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6F0EF" w14:textId="77777777" w:rsidR="00A0198A" w:rsidRDefault="00A0198A" w:rsidP="005E56FF">
      <w:pPr>
        <w:spacing w:line="300" w:lineRule="exact"/>
        <w:jc w:val="center"/>
      </w:pPr>
      <w:r>
        <w:rPr>
          <w:rFonts w:ascii="標楷體" w:eastAsia="標楷體" w:hAnsi="標楷體"/>
          <w:b/>
          <w:sz w:val="32"/>
          <w:szCs w:val="32"/>
        </w:rPr>
        <w:t>藥品給付規定</w:t>
      </w:r>
      <w:r>
        <w:rPr>
          <w:rFonts w:ascii="標楷體" w:eastAsia="標楷體" w:hAnsi="標楷體"/>
          <w:b/>
          <w:color w:val="000000"/>
          <w:sz w:val="32"/>
          <w:szCs w:val="32"/>
        </w:rPr>
        <w:t>通則</w:t>
      </w:r>
    </w:p>
    <w:p w14:paraId="0A65B08F" w14:textId="77777777" w:rsidR="00A0198A" w:rsidRDefault="00A0198A" w:rsidP="005E56FF">
      <w:pPr>
        <w:spacing w:line="300" w:lineRule="exact"/>
        <w:jc w:val="center"/>
        <w:rPr>
          <w:rFonts w:ascii="標楷體" w:eastAsia="標楷體" w:hAnsi="標楷體"/>
          <w:b/>
          <w:color w:val="000000"/>
          <w:sz w:val="32"/>
          <w:szCs w:val="32"/>
        </w:rPr>
      </w:pPr>
    </w:p>
    <w:p w14:paraId="7A33061C" w14:textId="77777777" w:rsidR="00A0198A" w:rsidRDefault="00A0198A" w:rsidP="005E56FF">
      <w:pPr>
        <w:spacing w:line="300" w:lineRule="exact"/>
        <w:rPr>
          <w:rFonts w:ascii="標楷體" w:eastAsia="標楷體" w:hAnsi="標楷體"/>
          <w:color w:val="000000"/>
        </w:rPr>
      </w:pPr>
      <w:r>
        <w:rPr>
          <w:rFonts w:ascii="標楷體" w:eastAsia="標楷體" w:hAnsi="標楷體"/>
          <w:color w:val="000000"/>
        </w:rPr>
        <w:t>一、本保險</w:t>
      </w:r>
      <w:proofErr w:type="gramStart"/>
      <w:r>
        <w:rPr>
          <w:rFonts w:ascii="標楷體" w:eastAsia="標楷體" w:hAnsi="標楷體"/>
          <w:color w:val="000000"/>
        </w:rPr>
        <w:t>醫</w:t>
      </w:r>
      <w:proofErr w:type="gramEnd"/>
      <w:r>
        <w:rPr>
          <w:rFonts w:ascii="標楷體" w:eastAsia="標楷體" w:hAnsi="標楷體"/>
          <w:color w:val="000000"/>
        </w:rPr>
        <w:t>事服務機構申報之藥品，以收載於本標準者為限。</w:t>
      </w:r>
    </w:p>
    <w:p w14:paraId="127E47CD"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二、本保險醫療用藥，由保險人就各</w:t>
      </w:r>
      <w:proofErr w:type="gramStart"/>
      <w:r>
        <w:rPr>
          <w:rFonts w:ascii="標楷體" w:eastAsia="標楷體" w:hAnsi="標楷體"/>
          <w:color w:val="000000"/>
        </w:rPr>
        <w:t>醫</w:t>
      </w:r>
      <w:proofErr w:type="gramEnd"/>
      <w:r>
        <w:rPr>
          <w:rFonts w:ascii="標楷體" w:eastAsia="標楷體" w:hAnsi="標楷體"/>
          <w:color w:val="000000"/>
        </w:rPr>
        <w:t>事服務機構已申報之藥品</w:t>
      </w:r>
      <w:proofErr w:type="gramStart"/>
      <w:r>
        <w:rPr>
          <w:rFonts w:ascii="標楷體" w:eastAsia="標楷體" w:hAnsi="標楷體"/>
          <w:color w:val="000000"/>
        </w:rPr>
        <w:t>品</w:t>
      </w:r>
      <w:proofErr w:type="gramEnd"/>
      <w:r>
        <w:rPr>
          <w:rFonts w:ascii="標楷體" w:eastAsia="標楷體" w:hAnsi="標楷體"/>
          <w:color w:val="000000"/>
        </w:rPr>
        <w:t>項</w:t>
      </w:r>
      <w:proofErr w:type="gramStart"/>
      <w:r>
        <w:rPr>
          <w:rFonts w:ascii="標楷體" w:eastAsia="標楷體" w:hAnsi="標楷體"/>
          <w:color w:val="000000"/>
        </w:rPr>
        <w:t>及其藥價</w:t>
      </w:r>
      <w:proofErr w:type="gramEnd"/>
      <w:r>
        <w:rPr>
          <w:rFonts w:ascii="標楷體" w:eastAsia="標楷體" w:hAnsi="標楷體"/>
          <w:color w:val="000000"/>
        </w:rPr>
        <w:t>審查之。但因急救使用未經報備之藥品，可事後再報保險人備查。</w:t>
      </w:r>
    </w:p>
    <w:p w14:paraId="11953F0B"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三、本保險處方用藥，醫師得按保險對象病情需要，每次開給七日以內之藥量。保險人指定之慢性疾病得一次給予</w:t>
      </w:r>
      <w:proofErr w:type="gramStart"/>
      <w:r>
        <w:rPr>
          <w:rFonts w:ascii="標楷體" w:eastAsia="標楷體" w:hAnsi="標楷體"/>
          <w:color w:val="000000"/>
        </w:rPr>
        <w:t>三</w:t>
      </w:r>
      <w:proofErr w:type="gramEnd"/>
      <w:r>
        <w:rPr>
          <w:rFonts w:ascii="標楷體" w:eastAsia="標楷體" w:hAnsi="標楷體"/>
          <w:color w:val="000000"/>
        </w:rPr>
        <w:t>十日以內之用藥量。住院治療之保險對象於出院必須攜回藥品時，其給藥量規定同上。</w:t>
      </w:r>
    </w:p>
    <w:p w14:paraId="25A04BFC"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四、注射藥品之使用原則：</w:t>
      </w:r>
    </w:p>
    <w:p w14:paraId="118FC4DD"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（一）注射藥品使用時機，應以經醫師診斷後，判斷病情需要且病人不能口服，或口服仍不能期待其有治療效果，記明於病歷表者，方得為之。(86/1/1)</w:t>
      </w:r>
    </w:p>
    <w:p w14:paraId="537FFC3F" w14:textId="77777777" w:rsidR="00A0198A" w:rsidRDefault="00A0198A" w:rsidP="005E56FF">
      <w:pPr>
        <w:spacing w:line="300" w:lineRule="exact"/>
        <w:rPr>
          <w:rFonts w:ascii="標楷體" w:eastAsia="標楷體" w:hAnsi="標楷體"/>
          <w:color w:val="000000"/>
        </w:rPr>
      </w:pPr>
      <w:r>
        <w:rPr>
          <w:rFonts w:ascii="標楷體" w:eastAsia="標楷體" w:hAnsi="標楷體"/>
          <w:color w:val="000000"/>
        </w:rPr>
        <w:t>（二）因病情需要，經醫師指導使用方法由病人持回注射之藥品包括：</w:t>
      </w:r>
    </w:p>
    <w:p w14:paraId="6FFCCBEF"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1.治療糖尿病之insulin及GLP-1受體</w:t>
      </w:r>
      <w:proofErr w:type="gramStart"/>
      <w:r>
        <w:rPr>
          <w:rFonts w:ascii="標楷體" w:eastAsia="標楷體" w:hAnsi="標楷體"/>
          <w:color w:val="000000"/>
        </w:rPr>
        <w:t>促效劑</w:t>
      </w:r>
      <w:proofErr w:type="gramEnd"/>
      <w:r>
        <w:rPr>
          <w:rFonts w:ascii="標楷體" w:eastAsia="標楷體" w:hAnsi="標楷體"/>
          <w:color w:val="000000"/>
        </w:rPr>
        <w:t>。(109/12/1)</w:t>
      </w:r>
    </w:p>
    <w:p w14:paraId="502881DD" w14:textId="77777777" w:rsidR="00A0198A" w:rsidRDefault="00A0198A" w:rsidP="005E56FF">
      <w:pPr>
        <w:spacing w:line="300" w:lineRule="exact"/>
        <w:ind w:left="822" w:hanging="255"/>
        <w:rPr>
          <w:rFonts w:ascii="標楷體" w:eastAsia="標楷體" w:hAnsi="標楷體"/>
          <w:color w:val="000000"/>
        </w:rPr>
      </w:pPr>
      <w:r>
        <w:rPr>
          <w:rFonts w:ascii="標楷體" w:eastAsia="標楷體" w:hAnsi="標楷體"/>
          <w:color w:val="000000"/>
        </w:rPr>
        <w:t>2.CAPD使用之透析液。</w:t>
      </w:r>
    </w:p>
    <w:p w14:paraId="3D0AE6CF"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3.CAPD使用之抗生素及抗凝血劑（至多攜回二</w:t>
      </w:r>
      <w:proofErr w:type="gramStart"/>
      <w:r>
        <w:rPr>
          <w:rFonts w:ascii="標楷體" w:eastAsia="標楷體" w:hAnsi="標楷體"/>
          <w:color w:val="000000"/>
        </w:rPr>
        <w:t>週</w:t>
      </w:r>
      <w:proofErr w:type="gramEnd"/>
      <w:r>
        <w:rPr>
          <w:rFonts w:ascii="標楷體" w:eastAsia="標楷體" w:hAnsi="標楷體"/>
          <w:color w:val="000000"/>
        </w:rPr>
        <w:t>）。</w:t>
      </w:r>
    </w:p>
    <w:p w14:paraId="66455FC6"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 xml:space="preserve">4.Desferrioxamine（如 </w:t>
      </w:r>
      <w:proofErr w:type="spellStart"/>
      <w:r>
        <w:rPr>
          <w:rFonts w:ascii="標楷體" w:eastAsia="標楷體" w:hAnsi="標楷體"/>
          <w:color w:val="000000"/>
        </w:rPr>
        <w:t>Desferal</w:t>
      </w:r>
      <w:proofErr w:type="spellEnd"/>
      <w:r>
        <w:rPr>
          <w:rFonts w:ascii="標楷體" w:eastAsia="標楷體" w:hAnsi="標楷體"/>
          <w:color w:val="000000"/>
        </w:rPr>
        <w:t>）。</w:t>
      </w:r>
    </w:p>
    <w:p w14:paraId="0E782133"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5.慢性腎臟功能衰竭，使用紅血球生成素</w:t>
      </w:r>
      <w:proofErr w:type="gramStart"/>
      <w:r>
        <w:rPr>
          <w:rFonts w:ascii="標楷體" w:eastAsia="標楷體" w:hAnsi="標楷體"/>
          <w:color w:val="000000"/>
        </w:rPr>
        <w:t>（</w:t>
      </w:r>
      <w:proofErr w:type="gramEnd"/>
      <w:r>
        <w:rPr>
          <w:rFonts w:ascii="標楷體" w:eastAsia="標楷體" w:hAnsi="標楷體"/>
          <w:color w:val="000000"/>
        </w:rPr>
        <w:t>至多攜回二</w:t>
      </w:r>
      <w:proofErr w:type="gramStart"/>
      <w:r>
        <w:rPr>
          <w:rFonts w:ascii="標楷體" w:eastAsia="標楷體" w:hAnsi="標楷體"/>
          <w:color w:val="000000"/>
        </w:rPr>
        <w:t>週</w:t>
      </w:r>
      <w:proofErr w:type="gramEnd"/>
      <w:r>
        <w:rPr>
          <w:rFonts w:ascii="標楷體" w:eastAsia="標楷體" w:hAnsi="標楷體"/>
          <w:color w:val="000000"/>
        </w:rPr>
        <w:t>，如因特殊病情需要，需敘明理由，得以臨床實際需要方式給藥，惟一</w:t>
      </w:r>
      <w:proofErr w:type="gramStart"/>
      <w:r>
        <w:rPr>
          <w:rFonts w:ascii="標楷體" w:eastAsia="標楷體" w:hAnsi="標楷體"/>
          <w:color w:val="000000"/>
        </w:rPr>
        <w:t>個</w:t>
      </w:r>
      <w:proofErr w:type="gramEnd"/>
      <w:r>
        <w:rPr>
          <w:rFonts w:ascii="標楷體" w:eastAsia="標楷體" w:hAnsi="標楷體"/>
          <w:color w:val="000000"/>
        </w:rPr>
        <w:t>月不超過20,000U</w:t>
      </w:r>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Eprex</w:t>
      </w:r>
      <w:proofErr w:type="spellEnd"/>
      <w:r>
        <w:rPr>
          <w:rFonts w:ascii="標楷體" w:eastAsia="標楷體" w:hAnsi="標楷體"/>
          <w:color w:val="000000"/>
        </w:rPr>
        <w:t>、</w:t>
      </w:r>
      <w:proofErr w:type="spellStart"/>
      <w:r>
        <w:rPr>
          <w:rFonts w:ascii="標楷體" w:eastAsia="標楷體" w:hAnsi="標楷體"/>
          <w:color w:val="000000"/>
        </w:rPr>
        <w:t>Recormon</w:t>
      </w:r>
      <w:proofErr w:type="spellEnd"/>
      <w:proofErr w:type="gramStart"/>
      <w:r>
        <w:rPr>
          <w:rFonts w:ascii="標楷體" w:eastAsia="標楷體" w:hAnsi="標楷體"/>
          <w:color w:val="000000"/>
        </w:rPr>
        <w:t>）</w:t>
      </w:r>
      <w:proofErr w:type="gramEnd"/>
      <w:r>
        <w:rPr>
          <w:rFonts w:ascii="標楷體" w:eastAsia="標楷體" w:hAnsi="標楷體"/>
          <w:color w:val="000000"/>
        </w:rPr>
        <w:t>或100mcg（如Aranesp、</w:t>
      </w:r>
      <w:proofErr w:type="spellStart"/>
      <w:r>
        <w:rPr>
          <w:rFonts w:ascii="標楷體" w:eastAsia="標楷體" w:hAnsi="標楷體"/>
          <w:color w:val="000000"/>
        </w:rPr>
        <w:t>Mircera</w:t>
      </w:r>
      <w:proofErr w:type="spellEnd"/>
      <w:r>
        <w:rPr>
          <w:rFonts w:ascii="標楷體" w:eastAsia="標楷體" w:hAnsi="標楷體"/>
          <w:color w:val="000000"/>
        </w:rPr>
        <w:t>）為原則</w:t>
      </w:r>
      <w:proofErr w:type="gramStart"/>
      <w:r>
        <w:rPr>
          <w:rFonts w:ascii="標楷體" w:eastAsia="標楷體" w:hAnsi="標楷體"/>
          <w:color w:val="000000"/>
        </w:rPr>
        <w:t>）</w:t>
      </w:r>
      <w:proofErr w:type="gramEnd"/>
      <w:r>
        <w:rPr>
          <w:rFonts w:ascii="標楷體" w:eastAsia="標楷體" w:hAnsi="標楷體"/>
          <w:color w:val="000000"/>
        </w:rPr>
        <w:t>。(98/9/1)</w:t>
      </w:r>
    </w:p>
    <w:p w14:paraId="319E551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6.治療白血病使用之α-interferon（至多攜回二</w:t>
      </w:r>
      <w:proofErr w:type="gramStart"/>
      <w:r>
        <w:rPr>
          <w:rFonts w:ascii="標楷體" w:eastAsia="標楷體" w:hAnsi="標楷體"/>
          <w:color w:val="000000"/>
        </w:rPr>
        <w:t>週</w:t>
      </w:r>
      <w:proofErr w:type="gramEnd"/>
      <w:r>
        <w:rPr>
          <w:rFonts w:ascii="標楷體" w:eastAsia="標楷體" w:hAnsi="標楷體"/>
          <w:color w:val="000000"/>
        </w:rPr>
        <w:t>）。</w:t>
      </w:r>
    </w:p>
    <w:p w14:paraId="2232B8E8"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7.G-CSF (如filgrastim；</w:t>
      </w:r>
      <w:proofErr w:type="spellStart"/>
      <w:r>
        <w:rPr>
          <w:rFonts w:ascii="標楷體" w:eastAsia="標楷體" w:hAnsi="標楷體"/>
          <w:color w:val="000000"/>
        </w:rPr>
        <w:t>lenograstim</w:t>
      </w:r>
      <w:proofErr w:type="spellEnd"/>
      <w:proofErr w:type="gramStart"/>
      <w:r>
        <w:rPr>
          <w:rFonts w:ascii="標楷體" w:eastAsia="標楷體" w:hAnsi="標楷體"/>
          <w:color w:val="000000"/>
        </w:rPr>
        <w:t>）</w:t>
      </w:r>
      <w:proofErr w:type="gramEnd"/>
      <w:r>
        <w:rPr>
          <w:rFonts w:ascii="標楷體" w:eastAsia="標楷體" w:hAnsi="標楷體"/>
          <w:color w:val="000000"/>
        </w:rPr>
        <w:t>(至多攜回六天</w:t>
      </w:r>
      <w:proofErr w:type="gramStart"/>
      <w:r>
        <w:rPr>
          <w:rFonts w:ascii="標楷體" w:eastAsia="標楷體" w:hAnsi="標楷體"/>
          <w:color w:val="000000"/>
        </w:rPr>
        <w:t>）</w:t>
      </w:r>
      <w:proofErr w:type="gramEnd"/>
      <w:r>
        <w:rPr>
          <w:rFonts w:ascii="標楷體" w:eastAsia="標楷體" w:hAnsi="標楷體"/>
          <w:color w:val="000000"/>
        </w:rPr>
        <w:t>。(98/11/1)</w:t>
      </w:r>
    </w:p>
    <w:p w14:paraId="0EEC718E"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8.生長激素 (human growth hormone)（至多攜回一個月）。</w:t>
      </w:r>
    </w:p>
    <w:p w14:paraId="1FCCFCD3" w14:textId="2E663AAA"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9.門診</w:t>
      </w:r>
      <w:r w:rsidR="00484D53" w:rsidRPr="00484D53">
        <w:rPr>
          <w:rFonts w:ascii="標楷體" w:eastAsia="標楷體" w:hAnsi="標楷體" w:hint="eastAsia"/>
          <w:color w:val="000000"/>
        </w:rPr>
        <w:t>之血友病</w:t>
      </w:r>
      <w:proofErr w:type="gramStart"/>
      <w:r w:rsidR="00484D53" w:rsidRPr="00484D53">
        <w:rPr>
          <w:rFonts w:ascii="標楷體" w:eastAsia="標楷體" w:hAnsi="標楷體" w:hint="eastAsia"/>
          <w:color w:val="000000"/>
        </w:rPr>
        <w:t>人得攜回</w:t>
      </w:r>
      <w:proofErr w:type="gramEnd"/>
      <w:r w:rsidR="00484D53" w:rsidRPr="00484D53">
        <w:rPr>
          <w:rFonts w:ascii="標楷體" w:eastAsia="標楷體" w:hAnsi="標楷體" w:hint="eastAsia"/>
          <w:color w:val="000000"/>
        </w:rPr>
        <w:t>第八、第九凝血因子、繞徑治療藥物、第十三凝血因子、雙特異性單株抗體藥物、</w:t>
      </w:r>
      <w:proofErr w:type="spellStart"/>
      <w:r w:rsidR="00484D53" w:rsidRPr="00484D53">
        <w:rPr>
          <w:rFonts w:ascii="標楷體" w:eastAsia="標楷體" w:hAnsi="標楷體" w:hint="eastAsia"/>
          <w:color w:val="000000"/>
        </w:rPr>
        <w:t>concizumab</w:t>
      </w:r>
      <w:proofErr w:type="spellEnd"/>
      <w:r w:rsidR="00484D53" w:rsidRPr="00484D53">
        <w:rPr>
          <w:rFonts w:ascii="標楷體" w:eastAsia="標楷體" w:hAnsi="標楷體" w:hint="eastAsia"/>
          <w:color w:val="000000"/>
        </w:rPr>
        <w:t>備用，繼續治療時，比照</w:t>
      </w:r>
      <w:proofErr w:type="gramStart"/>
      <w:r w:rsidR="00484D53" w:rsidRPr="00484D53">
        <w:rPr>
          <w:rFonts w:ascii="標楷體" w:eastAsia="標楷體" w:hAnsi="標楷體" w:hint="eastAsia"/>
          <w:color w:val="000000"/>
        </w:rPr>
        <w:t>化療以</w:t>
      </w:r>
      <w:proofErr w:type="gramEnd"/>
      <w:r w:rsidR="00484D53" w:rsidRPr="00484D53">
        <w:rPr>
          <w:rFonts w:ascii="標楷體" w:eastAsia="標楷體" w:hAnsi="標楷體" w:hint="eastAsia"/>
          <w:color w:val="000000"/>
        </w:rPr>
        <w:t>「療程」方式處理，並查驗上次治療紀錄及申報費用時上傳上述治療紀錄表電子檔。醫療機構、醫師開立使用血液</w:t>
      </w:r>
      <w:proofErr w:type="gramStart"/>
      <w:r w:rsidR="00484D53" w:rsidRPr="00484D53">
        <w:rPr>
          <w:rFonts w:ascii="標楷體" w:eastAsia="標楷體" w:hAnsi="標楷體" w:hint="eastAsia"/>
          <w:color w:val="000000"/>
        </w:rPr>
        <w:t>製劑時</w:t>
      </w:r>
      <w:proofErr w:type="gramEnd"/>
      <w:r w:rsidR="00484D53" w:rsidRPr="00484D53">
        <w:rPr>
          <w:rFonts w:ascii="標楷體" w:eastAsia="標楷體" w:hAnsi="標楷體" w:hint="eastAsia"/>
          <w:color w:val="000000"/>
        </w:rPr>
        <w:t>，應依血液製劑條例之規定辦理。</w:t>
      </w:r>
      <w:proofErr w:type="gramStart"/>
      <w:r w:rsidR="00484D53" w:rsidRPr="00484D53">
        <w:rPr>
          <w:rFonts w:ascii="標楷體" w:eastAsia="標楷體" w:hAnsi="標楷體" w:hint="eastAsia"/>
          <w:color w:val="000000"/>
        </w:rPr>
        <w:t>（</w:t>
      </w:r>
      <w:proofErr w:type="gramEnd"/>
      <w:r w:rsidR="00484D53" w:rsidRPr="00484D53">
        <w:rPr>
          <w:rFonts w:ascii="標楷體" w:eastAsia="標楷體" w:hAnsi="標楷體" w:hint="eastAsia"/>
          <w:color w:val="000000"/>
        </w:rPr>
        <w:t>86/9/1、92/5/1、100/4/1、108/10/1、109/2/1、115/11/1</w:t>
      </w:r>
      <w:r>
        <w:rPr>
          <w:rFonts w:ascii="標楷體" w:eastAsia="標楷體" w:hAnsi="標楷體"/>
          <w:color w:val="000000"/>
        </w:rPr>
        <w:t>)</w:t>
      </w:r>
    </w:p>
    <w:p w14:paraId="160BF2E3"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10.於醫院內完成調配之靜脈營養輸液(TPN)，或不需調配之靜脈營養輸液，可攜回使用。(85/10/1、93/12/1、111/1/1)</w:t>
      </w:r>
    </w:p>
    <w:p w14:paraId="6371A5D6"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11.</w:t>
      </w:r>
      <w:proofErr w:type="gramStart"/>
      <w:r>
        <w:rPr>
          <w:rFonts w:ascii="標楷體" w:eastAsia="標楷體" w:hAnsi="標楷體"/>
          <w:color w:val="000000"/>
        </w:rPr>
        <w:t>肢端肥大</w:t>
      </w:r>
      <w:proofErr w:type="gramEnd"/>
      <w:r>
        <w:rPr>
          <w:rFonts w:ascii="標楷體" w:eastAsia="標楷體" w:hAnsi="標楷體"/>
          <w:color w:val="000000"/>
        </w:rPr>
        <w:t>症病人使用之octreotide、</w:t>
      </w:r>
      <w:proofErr w:type="spellStart"/>
      <w:r>
        <w:rPr>
          <w:rFonts w:ascii="標楷體" w:eastAsia="標楷體" w:hAnsi="標楷體"/>
          <w:color w:val="000000"/>
        </w:rPr>
        <w:t>lanreotide</w:t>
      </w:r>
      <w:proofErr w:type="spellEnd"/>
      <w:r>
        <w:rPr>
          <w:rFonts w:ascii="標楷體" w:eastAsia="標楷體" w:hAnsi="標楷體"/>
          <w:color w:val="000000"/>
        </w:rPr>
        <w:t xml:space="preserve"> (如</w:t>
      </w:r>
      <w:proofErr w:type="spellStart"/>
      <w:r>
        <w:rPr>
          <w:rFonts w:ascii="標楷體" w:eastAsia="標楷體" w:hAnsi="標楷體"/>
          <w:color w:val="000000"/>
        </w:rPr>
        <w:t>Sandostatin</w:t>
      </w:r>
      <w:proofErr w:type="spellEnd"/>
      <w:r>
        <w:rPr>
          <w:rFonts w:ascii="標楷體" w:eastAsia="標楷體" w:hAnsi="標楷體"/>
          <w:color w:val="000000"/>
        </w:rPr>
        <w:t>、</w:t>
      </w:r>
      <w:proofErr w:type="spellStart"/>
      <w:r>
        <w:rPr>
          <w:rFonts w:ascii="標楷體" w:eastAsia="標楷體" w:hAnsi="標楷體"/>
          <w:color w:val="000000"/>
        </w:rPr>
        <w:t>Somatuline</w:t>
      </w:r>
      <w:proofErr w:type="spellEnd"/>
      <w:r>
        <w:rPr>
          <w:rFonts w:ascii="標楷體" w:eastAsia="標楷體" w:hAnsi="標楷體"/>
          <w:color w:val="000000"/>
        </w:rPr>
        <w:t>等) 至多攜回一個月，另octreotide (如</w:t>
      </w:r>
      <w:proofErr w:type="spellStart"/>
      <w:r>
        <w:rPr>
          <w:rFonts w:ascii="標楷體" w:eastAsia="標楷體" w:hAnsi="標楷體"/>
          <w:color w:val="000000"/>
        </w:rPr>
        <w:t>Sandostatin</w:t>
      </w:r>
      <w:proofErr w:type="spellEnd"/>
      <w:r>
        <w:rPr>
          <w:rFonts w:ascii="標楷體" w:eastAsia="標楷體" w:hAnsi="標楷體"/>
          <w:color w:val="000000"/>
        </w:rPr>
        <w:t>等)需個案事前報准 (93/12/1)。</w:t>
      </w:r>
      <w:proofErr w:type="spellStart"/>
      <w:r>
        <w:rPr>
          <w:rFonts w:ascii="標楷體" w:eastAsia="標楷體" w:hAnsi="標楷體"/>
          <w:color w:val="000000"/>
        </w:rPr>
        <w:t>lanreotide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xml:space="preserve"> 30 mg (如</w:t>
      </w:r>
      <w:proofErr w:type="spellStart"/>
      <w:r>
        <w:rPr>
          <w:rFonts w:ascii="標楷體" w:eastAsia="標楷體" w:hAnsi="標楷體"/>
          <w:color w:val="000000"/>
        </w:rPr>
        <w:t>Somatuline</w:t>
      </w:r>
      <w:proofErr w:type="spellEnd"/>
      <w:r>
        <w:rPr>
          <w:rFonts w:ascii="標楷體" w:eastAsia="標楷體" w:hAnsi="標楷體"/>
          <w:color w:val="000000"/>
        </w:rPr>
        <w:t>) 每次注射間隔兩</w:t>
      </w:r>
      <w:proofErr w:type="gramStart"/>
      <w:r>
        <w:rPr>
          <w:rFonts w:ascii="標楷體" w:eastAsia="標楷體" w:hAnsi="標楷體"/>
          <w:color w:val="000000"/>
        </w:rPr>
        <w:t>週</w:t>
      </w:r>
      <w:proofErr w:type="gramEnd"/>
      <w:r>
        <w:rPr>
          <w:rFonts w:ascii="標楷體" w:eastAsia="標楷體" w:hAnsi="標楷體"/>
          <w:color w:val="000000"/>
        </w:rPr>
        <w:t xml:space="preserve"> (88/6/1)，octreotide LAR (如</w:t>
      </w:r>
      <w:proofErr w:type="spellStart"/>
      <w:r>
        <w:rPr>
          <w:rFonts w:ascii="標楷體" w:eastAsia="標楷體" w:hAnsi="標楷體"/>
          <w:color w:val="000000"/>
        </w:rPr>
        <w:t>Sandostatin</w:t>
      </w:r>
      <w:proofErr w:type="spellEnd"/>
      <w:r>
        <w:rPr>
          <w:rFonts w:ascii="標楷體" w:eastAsia="標楷體" w:hAnsi="標楷體"/>
          <w:color w:val="000000"/>
        </w:rPr>
        <w:t xml:space="preserve"> LAR Microspheres for Inj.) 每次注射間隔四週 (89/7/</w:t>
      </w:r>
      <w:proofErr w:type="gramStart"/>
      <w:r>
        <w:rPr>
          <w:rFonts w:ascii="標楷體" w:eastAsia="標楷體" w:hAnsi="標楷體"/>
          <w:color w:val="000000"/>
        </w:rPr>
        <w:t>1)。</w:t>
      </w:r>
      <w:proofErr w:type="gramEnd"/>
    </w:p>
    <w:p w14:paraId="19F3E580"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12.結核病病人持回之streptomycin、kanamycin及</w:t>
      </w:r>
      <w:proofErr w:type="spellStart"/>
      <w:r>
        <w:rPr>
          <w:rFonts w:ascii="標楷體" w:eastAsia="標楷體" w:hAnsi="標楷體"/>
          <w:color w:val="000000"/>
        </w:rPr>
        <w:t>enviomycin</w:t>
      </w:r>
      <w:proofErr w:type="spellEnd"/>
      <w:r>
        <w:rPr>
          <w:rFonts w:ascii="標楷體" w:eastAsia="標楷體" w:hAnsi="標楷體"/>
          <w:color w:val="000000"/>
        </w:rPr>
        <w:t>注射劑（至多攜回二</w:t>
      </w:r>
      <w:proofErr w:type="gramStart"/>
      <w:r>
        <w:rPr>
          <w:rFonts w:ascii="標楷體" w:eastAsia="標楷體" w:hAnsi="標楷體"/>
          <w:color w:val="000000"/>
        </w:rPr>
        <w:t>週</w:t>
      </w:r>
      <w:proofErr w:type="gramEnd"/>
      <w:r>
        <w:rPr>
          <w:rFonts w:ascii="標楷體" w:eastAsia="標楷體" w:hAnsi="標楷體"/>
          <w:color w:val="000000"/>
        </w:rPr>
        <w:t>）。（86/9/1）</w:t>
      </w:r>
    </w:p>
    <w:p w14:paraId="3CB82269"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13.抗精神病長效針劑（至多攜回三個月）。（87/4/1、109/6/1）</w:t>
      </w:r>
    </w:p>
    <w:p w14:paraId="7F0CF7D9"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14.低分子量</w:t>
      </w:r>
      <w:proofErr w:type="gramStart"/>
      <w:r>
        <w:rPr>
          <w:rFonts w:ascii="標楷體" w:eastAsia="標楷體" w:hAnsi="標楷體"/>
          <w:color w:val="000000"/>
        </w:rPr>
        <w:t>肝凝素</w:t>
      </w:r>
      <w:proofErr w:type="gramEnd"/>
      <w:r>
        <w:rPr>
          <w:rFonts w:ascii="標楷體" w:eastAsia="標楷體" w:hAnsi="標楷體"/>
          <w:color w:val="000000"/>
        </w:rPr>
        <w:t>注射劑：金屬瓣膜置換後之懷孕病患，可准予攜</w:t>
      </w:r>
      <w:proofErr w:type="gramStart"/>
      <w:r>
        <w:rPr>
          <w:rFonts w:ascii="標楷體" w:eastAsia="標楷體" w:hAnsi="標楷體"/>
          <w:color w:val="000000"/>
        </w:rPr>
        <w:t>回低分子量肝凝素</w:t>
      </w:r>
      <w:proofErr w:type="gramEnd"/>
      <w:r>
        <w:rPr>
          <w:rFonts w:ascii="標楷體" w:eastAsia="標楷體" w:hAnsi="標楷體"/>
          <w:color w:val="000000"/>
        </w:rPr>
        <w:t>注射劑自行注射，但至多攜回兩</w:t>
      </w:r>
      <w:proofErr w:type="gramStart"/>
      <w:r>
        <w:rPr>
          <w:rFonts w:ascii="標楷體" w:eastAsia="標楷體" w:hAnsi="標楷體"/>
          <w:color w:val="000000"/>
        </w:rPr>
        <w:t>週</w:t>
      </w:r>
      <w:proofErr w:type="gramEnd"/>
      <w:r>
        <w:rPr>
          <w:rFonts w:ascii="標楷體" w:eastAsia="標楷體" w:hAnsi="標楷體"/>
          <w:color w:val="000000"/>
        </w:rPr>
        <w:t>。（90/11/1）</w:t>
      </w:r>
    </w:p>
    <w:p w14:paraId="2F8D3AA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15.Apomorphine hydrochloride 10mg/mL（如Apo-Go Pen）：限使用於巴金森氏病後期產生藥效波動（on-and-off）現象，且經使用其他治療方式無法改善之病患使用，每人每月使用量不得超過20支。（91/2/1、99/11/1）</w:t>
      </w:r>
    </w:p>
    <w:p w14:paraId="580F745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16.</w:t>
      </w:r>
      <w:proofErr w:type="gramStart"/>
      <w:r>
        <w:rPr>
          <w:rFonts w:ascii="標楷體" w:eastAsia="標楷體" w:hAnsi="標楷體"/>
          <w:color w:val="000000"/>
        </w:rPr>
        <w:t>罹</w:t>
      </w:r>
      <w:proofErr w:type="gramEnd"/>
      <w:r>
        <w:rPr>
          <w:rFonts w:ascii="標楷體" w:eastAsia="標楷體" w:hAnsi="標楷體"/>
          <w:color w:val="000000"/>
        </w:rPr>
        <w:t>患惡性貧血（pernicious anemia）及維生素B12缺乏病患，如不能口服者或口服不能吸收者，</w:t>
      </w:r>
      <w:proofErr w:type="gramStart"/>
      <w:r>
        <w:rPr>
          <w:rFonts w:ascii="標楷體" w:eastAsia="標楷體" w:hAnsi="標楷體"/>
          <w:color w:val="000000"/>
        </w:rPr>
        <w:t>得攜回</w:t>
      </w:r>
      <w:proofErr w:type="gramEnd"/>
      <w:r>
        <w:rPr>
          <w:rFonts w:ascii="標楷體" w:eastAsia="標楷體" w:hAnsi="標楷體"/>
          <w:color w:val="000000"/>
        </w:rPr>
        <w:t>維生素B12注射劑，每次以一個月為限，且每三</w:t>
      </w:r>
      <w:proofErr w:type="gramStart"/>
      <w:r>
        <w:rPr>
          <w:rFonts w:ascii="標楷體" w:eastAsia="標楷體" w:hAnsi="標楷體"/>
          <w:color w:val="000000"/>
        </w:rPr>
        <w:t>個</w:t>
      </w:r>
      <w:proofErr w:type="gramEnd"/>
      <w:r>
        <w:rPr>
          <w:rFonts w:ascii="標楷體" w:eastAsia="標楷體" w:hAnsi="標楷體"/>
          <w:color w:val="000000"/>
        </w:rPr>
        <w:t>月應追蹤一次。(91/4/1)</w:t>
      </w:r>
    </w:p>
    <w:p w14:paraId="63EE90AE"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17.患者初次使用</w:t>
      </w:r>
      <w:proofErr w:type="spellStart"/>
      <w:r>
        <w:rPr>
          <w:rFonts w:ascii="標楷體" w:eastAsia="標楷體" w:hAnsi="標楷體"/>
          <w:color w:val="000000"/>
        </w:rPr>
        <w:t>aldesleukin</w:t>
      </w:r>
      <w:proofErr w:type="spellEnd"/>
      <w:r>
        <w:rPr>
          <w:rFonts w:ascii="標楷體" w:eastAsia="標楷體" w:hAnsi="標楷體"/>
          <w:color w:val="000000"/>
        </w:rPr>
        <w:t xml:space="preserve"> (如</w:t>
      </w:r>
      <w:proofErr w:type="spellStart"/>
      <w:r>
        <w:rPr>
          <w:rFonts w:ascii="標楷體" w:eastAsia="標楷體" w:hAnsi="標楷體"/>
          <w:color w:val="000000"/>
        </w:rPr>
        <w:t>Proleukin</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治療</w:t>
      </w:r>
      <w:proofErr w:type="gramStart"/>
      <w:r>
        <w:rPr>
          <w:rFonts w:ascii="標楷體" w:eastAsia="標楷體" w:hAnsi="標楷體"/>
          <w:color w:val="000000"/>
        </w:rPr>
        <w:t>期間（</w:t>
      </w:r>
      <w:proofErr w:type="gramEnd"/>
      <w:r>
        <w:rPr>
          <w:rFonts w:ascii="標楷體" w:eastAsia="標楷體" w:hAnsi="標楷體"/>
          <w:color w:val="000000"/>
        </w:rPr>
        <w:t>第一療程），應每週</w:t>
      </w:r>
      <w:proofErr w:type="gramStart"/>
      <w:r>
        <w:rPr>
          <w:rFonts w:ascii="標楷體" w:eastAsia="標楷體" w:hAnsi="標楷體"/>
          <w:color w:val="000000"/>
        </w:rPr>
        <w:t>發藥，俾</w:t>
      </w:r>
      <w:proofErr w:type="gramEnd"/>
      <w:r>
        <w:rPr>
          <w:rFonts w:ascii="標楷體" w:eastAsia="標楷體" w:hAnsi="標楷體"/>
          <w:color w:val="000000"/>
        </w:rPr>
        <w:t>回診觀察是否有無嚴重之副作用發生。第一療程使用若未發生嚴重副作用，在第二療程以後可攜回兩</w:t>
      </w:r>
      <w:proofErr w:type="gramStart"/>
      <w:r>
        <w:rPr>
          <w:rFonts w:ascii="標楷體" w:eastAsia="標楷體" w:hAnsi="標楷體"/>
          <w:color w:val="000000"/>
        </w:rPr>
        <w:t>週</w:t>
      </w:r>
      <w:proofErr w:type="gramEnd"/>
      <w:r>
        <w:rPr>
          <w:rFonts w:ascii="標楷體" w:eastAsia="標楷體" w:hAnsi="標楷體"/>
          <w:color w:val="000000"/>
        </w:rPr>
        <w:t>之處方量。(91/12/1)</w:t>
      </w:r>
    </w:p>
    <w:p w14:paraId="52315F11"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lastRenderedPageBreak/>
        <w:t>18.慢性病毒性B型肝炎、慢性病毒性C型肝炎所使用之長效型干擾素或短效型干擾素，至多攜回四</w:t>
      </w:r>
      <w:proofErr w:type="gramStart"/>
      <w:r>
        <w:rPr>
          <w:rFonts w:ascii="標楷體" w:eastAsia="標楷體" w:hAnsi="標楷體"/>
          <w:color w:val="000000"/>
        </w:rPr>
        <w:t>週</w:t>
      </w:r>
      <w:proofErr w:type="gramEnd"/>
      <w:r>
        <w:rPr>
          <w:rFonts w:ascii="標楷體" w:eastAsia="標楷體" w:hAnsi="標楷體"/>
          <w:color w:val="000000"/>
        </w:rPr>
        <w:t>之使用量。(92/10/1)</w:t>
      </w:r>
    </w:p>
    <w:p w14:paraId="4B18F2AE"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19.類風濕關節炎、僵直性脊椎炎、乾癬、</w:t>
      </w:r>
      <w:proofErr w:type="gramStart"/>
      <w:r>
        <w:rPr>
          <w:rFonts w:ascii="標楷體" w:eastAsia="標楷體" w:hAnsi="標楷體"/>
          <w:color w:val="000000"/>
        </w:rPr>
        <w:t>乾癬性周邊</w:t>
      </w:r>
      <w:proofErr w:type="gramEnd"/>
      <w:r>
        <w:rPr>
          <w:rFonts w:ascii="標楷體" w:eastAsia="標楷體" w:hAnsi="標楷體"/>
          <w:color w:val="000000"/>
        </w:rPr>
        <w:t>關節炎、</w:t>
      </w:r>
      <w:proofErr w:type="gramStart"/>
      <w:r>
        <w:rPr>
          <w:rFonts w:ascii="標楷體" w:eastAsia="標楷體" w:hAnsi="標楷體"/>
          <w:color w:val="000000"/>
        </w:rPr>
        <w:t>乾癬性脊椎</w:t>
      </w:r>
      <w:proofErr w:type="gramEnd"/>
      <w:r>
        <w:rPr>
          <w:rFonts w:ascii="標楷體" w:eastAsia="標楷體" w:hAnsi="標楷體"/>
          <w:color w:val="000000"/>
        </w:rPr>
        <w:t>病變與</w:t>
      </w:r>
      <w:proofErr w:type="gramStart"/>
      <w:r>
        <w:rPr>
          <w:rFonts w:ascii="標楷體" w:eastAsia="標楷體" w:hAnsi="標楷體"/>
          <w:color w:val="000000"/>
        </w:rPr>
        <w:t>克隆氏症</w:t>
      </w:r>
      <w:proofErr w:type="gramEnd"/>
      <w:r>
        <w:rPr>
          <w:rFonts w:ascii="標楷體" w:eastAsia="標楷體" w:hAnsi="標楷體"/>
          <w:color w:val="000000"/>
        </w:rPr>
        <w:t>病患使用etanercept、adalimumab、abatacept、tocilizumab、</w:t>
      </w:r>
      <w:proofErr w:type="spellStart"/>
      <w:r>
        <w:rPr>
          <w:rFonts w:ascii="標楷體" w:eastAsia="標楷體" w:hAnsi="標楷體"/>
          <w:color w:val="000000"/>
        </w:rPr>
        <w:t>opinercept</w:t>
      </w:r>
      <w:proofErr w:type="spellEnd"/>
      <w:r>
        <w:rPr>
          <w:rFonts w:ascii="標楷體" w:eastAsia="標楷體" w:hAnsi="標楷體"/>
          <w:color w:val="000000"/>
        </w:rPr>
        <w:t>、certolizumab、</w:t>
      </w:r>
      <w:proofErr w:type="spellStart"/>
      <w:r>
        <w:rPr>
          <w:rFonts w:ascii="標楷體" w:eastAsia="標楷體" w:hAnsi="標楷體"/>
          <w:color w:val="000000"/>
        </w:rPr>
        <w:t>brodalumab</w:t>
      </w:r>
      <w:proofErr w:type="spellEnd"/>
      <w:r>
        <w:rPr>
          <w:rFonts w:ascii="標楷體" w:eastAsia="標楷體" w:hAnsi="標楷體"/>
          <w:color w:val="000000"/>
        </w:rPr>
        <w:t>等生物製劑皮下注射劑，經事前審查核准後，在醫師指導下，至多可攜回四</w:t>
      </w:r>
      <w:proofErr w:type="gramStart"/>
      <w:r>
        <w:rPr>
          <w:rFonts w:ascii="標楷體" w:eastAsia="標楷體" w:hAnsi="標楷體"/>
          <w:color w:val="000000"/>
        </w:rPr>
        <w:t>週</w:t>
      </w:r>
      <w:proofErr w:type="gramEnd"/>
      <w:r>
        <w:rPr>
          <w:rFonts w:ascii="標楷體" w:eastAsia="標楷體" w:hAnsi="標楷體"/>
          <w:color w:val="000000"/>
        </w:rPr>
        <w:t>之使用量。(93/8/1、109/10/1)</w:t>
      </w:r>
    </w:p>
    <w:p w14:paraId="1722DF72"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20.(刪除) (109/12/1)</w:t>
      </w:r>
    </w:p>
    <w:p w14:paraId="2FE2D0E9"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21.(刪除) (109/12/1)</w:t>
      </w:r>
    </w:p>
    <w:p w14:paraId="2B7552D6"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22.含teriparatide成分注射劑。(103/9/1)</w:t>
      </w:r>
    </w:p>
    <w:p w14:paraId="4EF7AD90"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23.含interferon beta-1a 成分注射劑。(103/9/1)</w:t>
      </w:r>
    </w:p>
    <w:p w14:paraId="0ECA54A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24.含interferon beta-1b成分注射劑。(103/9/1)</w:t>
      </w:r>
    </w:p>
    <w:p w14:paraId="031DDD91"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25.含glatiramer成分注射劑。(103/9/1)</w:t>
      </w:r>
    </w:p>
    <w:p w14:paraId="2BC9A9D1"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26.Fondaparinux（如</w:t>
      </w:r>
      <w:proofErr w:type="spellStart"/>
      <w:r>
        <w:rPr>
          <w:rFonts w:ascii="標楷體" w:eastAsia="標楷體" w:hAnsi="標楷體"/>
          <w:color w:val="000000"/>
        </w:rPr>
        <w:t>Arixtra</w:t>
      </w:r>
      <w:proofErr w:type="spellEnd"/>
      <w:r>
        <w:rPr>
          <w:rFonts w:ascii="標楷體" w:eastAsia="標楷體" w:hAnsi="標楷體"/>
          <w:color w:val="000000"/>
        </w:rPr>
        <w:t>）用於靜脈血栓高危險病患，接受</w:t>
      </w:r>
      <w:proofErr w:type="gramStart"/>
      <w:r>
        <w:rPr>
          <w:rFonts w:ascii="標楷體" w:eastAsia="標楷體" w:hAnsi="標楷體"/>
          <w:color w:val="000000"/>
        </w:rPr>
        <w:t>人工髖或膝關節</w:t>
      </w:r>
      <w:proofErr w:type="gramEnd"/>
      <w:r>
        <w:rPr>
          <w:rFonts w:ascii="標楷體" w:eastAsia="標楷體" w:hAnsi="標楷體"/>
          <w:color w:val="000000"/>
        </w:rPr>
        <w:t>置換術或再置換術後，預防其術後之靜脈血栓(VTE)。</w:t>
      </w:r>
      <w:proofErr w:type="gramStart"/>
      <w:r>
        <w:rPr>
          <w:rFonts w:ascii="標楷體" w:eastAsia="標楷體" w:hAnsi="標楷體"/>
          <w:color w:val="000000"/>
        </w:rPr>
        <w:t>（</w:t>
      </w:r>
      <w:proofErr w:type="gramEnd"/>
      <w:r>
        <w:rPr>
          <w:rFonts w:ascii="標楷體" w:eastAsia="標楷體" w:hAnsi="標楷體"/>
          <w:color w:val="000000"/>
        </w:rPr>
        <w:t>111/3/1)</w:t>
      </w:r>
    </w:p>
    <w:p w14:paraId="72847BDC"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（三）電解質及營養靜脈補充輸液之使用，應說明理由並有明確需要，以積極治療為目的，始得為之。</w:t>
      </w:r>
    </w:p>
    <w:p w14:paraId="5F909BF5"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（四）癌症病人使用之morphine及化學治療藥品，於院內經醫師或藥師完成調劑作業後，亦可由病人攜回使用。（85/10/1）</w:t>
      </w:r>
    </w:p>
    <w:p w14:paraId="49BBFBB7"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五、使用抗微生物製劑，應優先選用全民健康保險醫療常用第一線抗微生物製劑品名表 (附表</w:t>
      </w:r>
      <w:proofErr w:type="gramStart"/>
      <w:r>
        <w:rPr>
          <w:rFonts w:ascii="標楷體" w:eastAsia="標楷體" w:hAnsi="標楷體"/>
          <w:color w:val="000000"/>
        </w:rPr>
        <w:t>一</w:t>
      </w:r>
      <w:proofErr w:type="gramEnd"/>
      <w:r>
        <w:rPr>
          <w:rFonts w:ascii="標楷體" w:eastAsia="標楷體" w:hAnsi="標楷體"/>
          <w:color w:val="000000"/>
        </w:rPr>
        <w:t>) 所列者為限。但經微生物培養及藥物敏感試驗確實有效或病情需要者，依本保險規定之抗微生物製劑使用原則用藥。</w:t>
      </w:r>
    </w:p>
    <w:p w14:paraId="4BB48308"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六、維生素、荷爾蒙及白蛋白製劑等類藥品之使用，門診以附表三-A及三-B所列醫治病症，住院以特殊病症或施行大手術後必須積極治療者為原則，</w:t>
      </w:r>
      <w:proofErr w:type="gramStart"/>
      <w:r>
        <w:rPr>
          <w:rFonts w:ascii="標楷體" w:eastAsia="標楷體" w:hAnsi="標楷體"/>
          <w:color w:val="000000"/>
        </w:rPr>
        <w:t>凡作一般</w:t>
      </w:r>
      <w:proofErr w:type="gramEnd"/>
      <w:r>
        <w:rPr>
          <w:rFonts w:ascii="標楷體" w:eastAsia="標楷體" w:hAnsi="標楷體"/>
          <w:color w:val="000000"/>
        </w:rPr>
        <w:t>營養補給者，不予給付。</w:t>
      </w:r>
    </w:p>
    <w:p w14:paraId="6713A4CB"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七、本保險處方用藥，需符合主管機關核准藥品許可證登載之適應症，並應依病情治療所需劑量，處方合理之含量或規格藥品。（85/1/1、86/1/1、94/6/1）</w:t>
      </w:r>
    </w:p>
    <w:p w14:paraId="77A5E63F"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八、內服液劑之使用原則：(94/11/1、97/3/1、97/12 /1)</w:t>
      </w:r>
    </w:p>
    <w:p w14:paraId="327EEB4F"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（一）12歲(含)以下兒童得使用內服液劑(97/3/1)。</w:t>
      </w:r>
    </w:p>
    <w:p w14:paraId="4A16093E"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（二）不適合服用</w:t>
      </w:r>
      <w:proofErr w:type="gramStart"/>
      <w:r>
        <w:rPr>
          <w:rFonts w:ascii="標楷體" w:eastAsia="標楷體" w:hAnsi="標楷體"/>
          <w:color w:val="000000"/>
        </w:rPr>
        <w:t>固型製劑</w:t>
      </w:r>
      <w:proofErr w:type="gramEnd"/>
      <w:r>
        <w:rPr>
          <w:rFonts w:ascii="標楷體" w:eastAsia="標楷體" w:hAnsi="標楷體"/>
          <w:color w:val="000000"/>
        </w:rPr>
        <w:t>之病人，如</w:t>
      </w:r>
      <w:proofErr w:type="gramStart"/>
      <w:r>
        <w:rPr>
          <w:rFonts w:ascii="標楷體" w:eastAsia="標楷體" w:hAnsi="標楷體"/>
          <w:color w:val="000000"/>
        </w:rPr>
        <w:t>施行管灌飲食</w:t>
      </w:r>
      <w:proofErr w:type="gramEnd"/>
      <w:r>
        <w:rPr>
          <w:rFonts w:ascii="標楷體" w:eastAsia="標楷體" w:hAnsi="標楷體"/>
          <w:color w:val="000000"/>
        </w:rPr>
        <w:t>等，得依病情需要使用內服液劑(97/12/1)。</w:t>
      </w:r>
    </w:p>
    <w:p w14:paraId="4A6D7DAB"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（三）非為兒童或吞嚥困難患者所設計之內服液劑，得依病情需要使用(97/12/1)。</w:t>
      </w:r>
    </w:p>
    <w:p w14:paraId="657AE368"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九、本保險處方用藥有下列情況者視為重複用藥，不予給付(87/4/1)：</w:t>
      </w:r>
    </w:p>
    <w:p w14:paraId="36730844"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（一）為達相同之治療目的，使用兩種以上同一治療類別 (或作用機轉) 之藥品，視為重複用藥。</w:t>
      </w:r>
    </w:p>
    <w:p w14:paraId="7610D95D"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（二）為達相同之治療目的，使用兩種以上不同治療類別 (或作用機轉) 之藥品，而未能增加療效；或其</w:t>
      </w:r>
      <w:proofErr w:type="gramStart"/>
      <w:r>
        <w:rPr>
          <w:rFonts w:ascii="標楷體" w:eastAsia="標楷體" w:hAnsi="標楷體"/>
          <w:color w:val="000000"/>
        </w:rPr>
        <w:t>併</w:t>
      </w:r>
      <w:proofErr w:type="gramEnd"/>
      <w:r>
        <w:rPr>
          <w:rFonts w:ascii="標楷體" w:eastAsia="標楷體" w:hAnsi="標楷體"/>
          <w:color w:val="000000"/>
        </w:rPr>
        <w:t>用不符合一般醫學學理，且無文獻佐證者。</w:t>
      </w:r>
    </w:p>
    <w:p w14:paraId="7F6FBB9E"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（三）但下列情形除外：</w:t>
      </w:r>
    </w:p>
    <w:p w14:paraId="7C7D9FE5"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1.長短效的藥品搭配使用或不同劑型配合使用，且其使用方法符合各項藥品</w:t>
      </w:r>
      <w:proofErr w:type="gramStart"/>
      <w:r>
        <w:rPr>
          <w:rFonts w:ascii="標楷體" w:eastAsia="標楷體" w:hAnsi="標楷體"/>
          <w:color w:val="000000"/>
        </w:rPr>
        <w:t>藥動學</w:t>
      </w:r>
      <w:proofErr w:type="gramEnd"/>
      <w:r>
        <w:rPr>
          <w:rFonts w:ascii="標楷體" w:eastAsia="標楷體" w:hAnsi="標楷體"/>
          <w:color w:val="000000"/>
        </w:rPr>
        <w:t>或藥理性質之特色者。</w:t>
      </w:r>
    </w:p>
    <w:p w14:paraId="7A6C0C00"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2.緊急傷病情況下之合併使用者，且其</w:t>
      </w:r>
      <w:proofErr w:type="gramStart"/>
      <w:r>
        <w:rPr>
          <w:rFonts w:ascii="標楷體" w:eastAsia="標楷體" w:hAnsi="標楷體"/>
          <w:color w:val="000000"/>
        </w:rPr>
        <w:t>併</w:t>
      </w:r>
      <w:proofErr w:type="gramEnd"/>
      <w:r>
        <w:rPr>
          <w:rFonts w:ascii="標楷體" w:eastAsia="標楷體" w:hAnsi="標楷體"/>
          <w:color w:val="000000"/>
        </w:rPr>
        <w:t>用符合一般醫學學理。</w:t>
      </w:r>
    </w:p>
    <w:p w14:paraId="1E1546ED"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3.本標準藥品給付規定有特別規定者。</w:t>
      </w:r>
    </w:p>
    <w:p w14:paraId="314EAD5E"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十、下列藥品為本保險界定之「無積極療效藥品」，不建議使用：</w:t>
      </w:r>
    </w:p>
    <w:p w14:paraId="325DBCA0"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（一）無藥品許可證，或許可證過期，或經主管機關再評估後未通過者。</w:t>
      </w:r>
    </w:p>
    <w:p w14:paraId="511A18EC"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（二）醫學專科教科書未列舉，或載明不適用者。</w:t>
      </w:r>
    </w:p>
    <w:p w14:paraId="713AE48E"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（三）醫學專科治療手冊未列舉，或載明不適用者。</w:t>
      </w:r>
    </w:p>
    <w:p w14:paraId="7B5F1F15"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（四）對藥品療效之原始文獻 (primary data) 之評論未收載於「臨床醫學電腦資訊系統」(Computer Clinical Information System)，或未給予正面評價者。</w:t>
      </w:r>
    </w:p>
    <w:p w14:paraId="0B386071"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十一、給付規定中年齡用詞統一使用「以上」、「以下」、「未滿」文字，並以阿拉伯數字呈</w:t>
      </w:r>
      <w:r>
        <w:rPr>
          <w:rFonts w:ascii="標楷體" w:eastAsia="標楷體" w:hAnsi="標楷體"/>
          <w:color w:val="000000"/>
        </w:rPr>
        <w:lastRenderedPageBreak/>
        <w:t>現，定義如下(111/2/1)：</w:t>
      </w:r>
    </w:p>
    <w:p w14:paraId="0CD8939D"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（一）○歲以上(包含○歲當日)。</w:t>
      </w:r>
    </w:p>
    <w:p w14:paraId="6BA3A93A"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（二）○歲以下(包含○歲當日)。</w:t>
      </w:r>
    </w:p>
    <w:p w14:paraId="00A002F2"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（三）○歲至未滿○歲(未滿○歲係不包含○歲當日)。</w:t>
      </w:r>
    </w:p>
    <w:p w14:paraId="159DAE8C" w14:textId="07DF3B11" w:rsidR="00A0198A" w:rsidRDefault="00A0198A" w:rsidP="005E56FF">
      <w:pPr>
        <w:spacing w:line="300" w:lineRule="exact"/>
        <w:ind w:left="727" w:hanging="727"/>
        <w:rPr>
          <w:rFonts w:ascii="標楷體" w:eastAsia="標楷體" w:hAnsi="標楷體"/>
          <w:color w:val="000000"/>
        </w:rPr>
      </w:pPr>
      <w:r w:rsidRPr="00BD7B65">
        <w:rPr>
          <w:rFonts w:ascii="標楷體" w:eastAsia="標楷體" w:hAnsi="標楷體" w:hint="eastAsia"/>
          <w:color w:val="000000"/>
        </w:rPr>
        <w:t>十二、藥物給付規定</w:t>
      </w:r>
      <w:proofErr w:type="gramStart"/>
      <w:r w:rsidRPr="00BD7B65">
        <w:rPr>
          <w:rFonts w:ascii="標楷體" w:eastAsia="標楷體" w:hAnsi="標楷體" w:hint="eastAsia"/>
          <w:color w:val="000000"/>
        </w:rPr>
        <w:t>所列需檢</w:t>
      </w:r>
      <w:proofErr w:type="gramEnd"/>
      <w:r w:rsidRPr="00BD7B65">
        <w:rPr>
          <w:rFonts w:ascii="標楷體" w:eastAsia="標楷體" w:hAnsi="標楷體" w:hint="eastAsia"/>
          <w:color w:val="000000"/>
        </w:rPr>
        <w:t>附生物標記檢測結果報告者，其報告須符合下列任</w:t>
      </w:r>
      <w:proofErr w:type="gramStart"/>
      <w:r w:rsidRPr="00BD7B65">
        <w:rPr>
          <w:rFonts w:ascii="標楷體" w:eastAsia="標楷體" w:hAnsi="標楷體" w:hint="eastAsia"/>
          <w:color w:val="000000"/>
        </w:rPr>
        <w:t>一</w:t>
      </w:r>
      <w:proofErr w:type="gramEnd"/>
      <w:r w:rsidRPr="00BD7B65">
        <w:rPr>
          <w:rFonts w:ascii="標楷體" w:eastAsia="標楷體" w:hAnsi="標楷體" w:hint="eastAsia"/>
          <w:color w:val="000000"/>
        </w:rPr>
        <w:t>條件</w:t>
      </w:r>
      <w:r w:rsidR="00325FAE" w:rsidRPr="00BE6C07">
        <w:rPr>
          <w:rFonts w:ascii="標楷體" w:eastAsia="標楷體" w:hAnsi="標楷體" w:hint="eastAsia"/>
        </w:rPr>
        <w:t>（113/6/1）</w:t>
      </w:r>
      <w:r w:rsidRPr="00BD7B65">
        <w:rPr>
          <w:rFonts w:ascii="標楷體" w:eastAsia="標楷體" w:hAnsi="標楷體" w:hint="eastAsia"/>
          <w:color w:val="000000"/>
        </w:rPr>
        <w:t>：</w:t>
      </w:r>
    </w:p>
    <w:p w14:paraId="5D3DDFEA" w14:textId="77777777" w:rsidR="00A0198A" w:rsidRPr="00BD7B65" w:rsidRDefault="00A0198A" w:rsidP="005E56FF">
      <w:pPr>
        <w:spacing w:line="300" w:lineRule="exact"/>
        <w:ind w:left="727" w:hanging="585"/>
        <w:rPr>
          <w:rFonts w:ascii="標楷體" w:eastAsia="標楷體" w:hAnsi="標楷體"/>
          <w:color w:val="000000"/>
        </w:rPr>
      </w:pPr>
      <w:r w:rsidRPr="00BD7B65">
        <w:rPr>
          <w:rFonts w:ascii="標楷體" w:eastAsia="標楷體" w:hAnsi="標楷體" w:hint="eastAsia"/>
          <w:color w:val="000000"/>
        </w:rPr>
        <w:t>(</w:t>
      </w:r>
      <w:proofErr w:type="gramStart"/>
      <w:r w:rsidRPr="00BD7B65">
        <w:rPr>
          <w:rFonts w:ascii="標楷體" w:eastAsia="標楷體" w:hAnsi="標楷體" w:hint="eastAsia"/>
          <w:color w:val="000000"/>
        </w:rPr>
        <w:t>一</w:t>
      </w:r>
      <w:proofErr w:type="gramEnd"/>
      <w:r w:rsidRPr="00BD7B65">
        <w:rPr>
          <w:rFonts w:ascii="標楷體" w:eastAsia="標楷體" w:hAnsi="標楷體" w:hint="eastAsia"/>
          <w:color w:val="000000"/>
        </w:rPr>
        <w:t>)符合全民健康保險醫療服務給付項目及支付標準規定。</w:t>
      </w:r>
    </w:p>
    <w:p w14:paraId="29C3FC0C" w14:textId="77777777" w:rsidR="00A0198A" w:rsidRPr="00BD7B65" w:rsidRDefault="00A0198A" w:rsidP="005E56FF">
      <w:pPr>
        <w:spacing w:line="300" w:lineRule="exact"/>
        <w:ind w:left="727" w:hanging="585"/>
        <w:rPr>
          <w:rFonts w:ascii="標楷體" w:eastAsia="標楷體" w:hAnsi="標楷體"/>
          <w:color w:val="000000"/>
        </w:rPr>
      </w:pPr>
      <w:r w:rsidRPr="00BD7B65">
        <w:rPr>
          <w:rFonts w:ascii="標楷體" w:eastAsia="標楷體" w:hAnsi="標楷體" w:hint="eastAsia"/>
          <w:color w:val="000000"/>
        </w:rPr>
        <w:t>(二)使用經衛生福利部許可之伴隨式</w:t>
      </w:r>
      <w:proofErr w:type="gramStart"/>
      <w:r w:rsidRPr="00BD7B65">
        <w:rPr>
          <w:rFonts w:ascii="標楷體" w:eastAsia="標楷體" w:hAnsi="標楷體" w:hint="eastAsia"/>
          <w:color w:val="000000"/>
        </w:rPr>
        <w:t>診斷用體外</w:t>
      </w:r>
      <w:proofErr w:type="gramEnd"/>
      <w:r w:rsidRPr="00BD7B65">
        <w:rPr>
          <w:rFonts w:ascii="標楷體" w:eastAsia="標楷體" w:hAnsi="標楷體" w:hint="eastAsia"/>
          <w:color w:val="000000"/>
        </w:rPr>
        <w:t>診斷醫療器材檢測（IVD）。</w:t>
      </w:r>
    </w:p>
    <w:p w14:paraId="5EA92708" w14:textId="77777777" w:rsidR="00A0198A" w:rsidRDefault="00A0198A" w:rsidP="005E56FF">
      <w:pPr>
        <w:spacing w:line="300" w:lineRule="exact"/>
        <w:ind w:left="727" w:hanging="585"/>
        <w:rPr>
          <w:rFonts w:ascii="標楷體" w:eastAsia="標楷體" w:hAnsi="標楷體"/>
          <w:color w:val="000000"/>
        </w:rPr>
      </w:pPr>
      <w:r w:rsidRPr="00BD7B65">
        <w:rPr>
          <w:rFonts w:ascii="標楷體" w:eastAsia="標楷體" w:hAnsi="標楷體" w:hint="eastAsia"/>
          <w:color w:val="000000"/>
        </w:rPr>
        <w:t>(三)經衛生福利部核定之實驗室開發檢測施行計畫表列醫療機構之認證實驗室執行，且技術項目符合核定之分析標的。</w:t>
      </w:r>
    </w:p>
    <w:p w14:paraId="1A4B5379" w14:textId="77777777" w:rsidR="00401786" w:rsidRPr="00A0198A" w:rsidRDefault="00401786" w:rsidP="005E56FF">
      <w:pPr>
        <w:spacing w:line="300" w:lineRule="exact"/>
        <w:ind w:left="727" w:hanging="585"/>
        <w:contextualSpacing/>
        <w:rPr>
          <w:rFonts w:ascii="標楷體" w:eastAsia="標楷體" w:hAnsi="標楷體"/>
          <w:color w:val="000000"/>
        </w:rPr>
      </w:pPr>
    </w:p>
    <w:p w14:paraId="56CDFC35" w14:textId="77777777" w:rsidR="00401786" w:rsidRPr="00A0198A" w:rsidRDefault="00401786" w:rsidP="005E56FF">
      <w:pPr>
        <w:pageBreakBefore/>
        <w:widowControl/>
        <w:suppressAutoHyphens w:val="0"/>
        <w:spacing w:line="300" w:lineRule="exact"/>
      </w:pPr>
    </w:p>
    <w:p w14:paraId="37516063" w14:textId="77777777" w:rsidR="00401786" w:rsidRDefault="00C64FB3" w:rsidP="005E56FF">
      <w:pPr>
        <w:pStyle w:val="2"/>
        <w:spacing w:line="300" w:lineRule="exact"/>
      </w:pPr>
      <w:r>
        <w:t>第1節 神經系統藥物 Drugs acting on the nervous system</w:t>
      </w:r>
    </w:p>
    <w:p w14:paraId="47EB755B" w14:textId="77777777" w:rsidR="00401786" w:rsidRDefault="00401786" w:rsidP="005E56FF">
      <w:pPr>
        <w:snapToGrid w:val="0"/>
        <w:spacing w:line="300" w:lineRule="exact"/>
        <w:jc w:val="center"/>
        <w:rPr>
          <w:rFonts w:ascii="標楷體" w:eastAsia="標楷體" w:hAnsi="標楷體"/>
          <w:b/>
          <w:color w:val="000000"/>
          <w:sz w:val="32"/>
          <w:szCs w:val="32"/>
        </w:rPr>
      </w:pPr>
    </w:p>
    <w:p w14:paraId="2F01F129" w14:textId="77777777" w:rsidR="00401786" w:rsidRDefault="00C64FB3" w:rsidP="00194464">
      <w:pPr>
        <w:spacing w:line="300" w:lineRule="exact"/>
        <w:ind w:left="672" w:hanging="386"/>
        <w:rPr>
          <w:rFonts w:ascii="標楷體" w:eastAsia="標楷體" w:hAnsi="標楷體"/>
          <w:color w:val="000000"/>
        </w:rPr>
      </w:pPr>
      <w:r>
        <w:rPr>
          <w:rFonts w:ascii="標楷體" w:eastAsia="標楷體" w:hAnsi="標楷體"/>
          <w:color w:val="000000"/>
        </w:rPr>
        <w:t>1.1.疼痛解除劑 Drugs used for pain relief</w:t>
      </w:r>
    </w:p>
    <w:p w14:paraId="1BFC3FB8" w14:textId="77777777" w:rsidR="00194464" w:rsidRDefault="00C64FB3" w:rsidP="00194464">
      <w:pPr>
        <w:spacing w:line="300" w:lineRule="exact"/>
        <w:ind w:left="672" w:hanging="386"/>
        <w:rPr>
          <w:rFonts w:ascii="標楷體" w:eastAsia="標楷體" w:hAnsi="標楷體"/>
          <w:color w:val="000000"/>
        </w:rPr>
      </w:pPr>
      <w:r>
        <w:rPr>
          <w:rFonts w:ascii="標楷體" w:eastAsia="標楷體" w:hAnsi="標楷體"/>
          <w:color w:val="000000"/>
        </w:rPr>
        <w:t>1.1.1.非</w:t>
      </w:r>
      <w:r w:rsidR="00194464">
        <w:rPr>
          <w:rFonts w:ascii="標楷體" w:eastAsia="標楷體" w:hAnsi="標楷體"/>
          <w:color w:val="000000"/>
        </w:rPr>
        <w:t>類固醇</w:t>
      </w:r>
      <w:bookmarkStart w:id="0" w:name="_Hlk236391298"/>
      <w:r w:rsidR="00194464">
        <w:rPr>
          <w:rFonts w:ascii="標楷體" w:eastAsia="標楷體" w:hAnsi="標楷體"/>
          <w:color w:val="000000"/>
        </w:rPr>
        <w:t>抗</w:t>
      </w:r>
      <w:bookmarkEnd w:id="0"/>
      <w:r w:rsidR="00194464">
        <w:rPr>
          <w:rFonts w:ascii="標楷體" w:eastAsia="標楷體" w:hAnsi="標楷體"/>
          <w:color w:val="000000"/>
        </w:rPr>
        <w:t>發炎劑外用製劑：(88/9/1、92/2/1、94/9/1、109/2/1)</w:t>
      </w:r>
    </w:p>
    <w:p w14:paraId="37254532"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1.外用非類固醇抗發炎軟膏，不得同時</w:t>
      </w:r>
      <w:proofErr w:type="gramStart"/>
      <w:r>
        <w:rPr>
          <w:rFonts w:ascii="標楷體" w:eastAsia="標楷體" w:hAnsi="標楷體"/>
          <w:color w:val="000000"/>
        </w:rPr>
        <w:t>併</w:t>
      </w:r>
      <w:proofErr w:type="gramEnd"/>
      <w:r>
        <w:rPr>
          <w:rFonts w:ascii="標楷體" w:eastAsia="標楷體" w:hAnsi="標楷體"/>
          <w:color w:val="000000"/>
        </w:rPr>
        <w:t>用口服或其他外用非類固醇</w:t>
      </w:r>
      <w:r w:rsidRPr="002B7BC0">
        <w:rPr>
          <w:rFonts w:ascii="標楷體" w:eastAsia="標楷體" w:hAnsi="標楷體" w:hint="eastAsia"/>
          <w:color w:val="000000"/>
        </w:rPr>
        <w:t>抗</w:t>
      </w:r>
      <w:r>
        <w:rPr>
          <w:rFonts w:ascii="標楷體" w:eastAsia="標楷體" w:hAnsi="標楷體"/>
          <w:color w:val="000000"/>
        </w:rPr>
        <w:t>發炎製劑，每4</w:t>
      </w:r>
      <w:proofErr w:type="gramStart"/>
      <w:r>
        <w:rPr>
          <w:rFonts w:ascii="標楷體" w:eastAsia="標楷體" w:hAnsi="標楷體"/>
          <w:color w:val="000000"/>
        </w:rPr>
        <w:t>週</w:t>
      </w:r>
      <w:proofErr w:type="gramEnd"/>
      <w:r>
        <w:rPr>
          <w:rFonts w:ascii="標楷體" w:eastAsia="標楷體" w:hAnsi="標楷體"/>
          <w:color w:val="000000"/>
        </w:rPr>
        <w:t>至多以處方40gm為限(94/9/1、109/2/1)。</w:t>
      </w:r>
    </w:p>
    <w:p w14:paraId="2BDC505A"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2.Flurbiprofen 40mg patch (如</w:t>
      </w:r>
      <w:proofErr w:type="spellStart"/>
      <w:r>
        <w:rPr>
          <w:rFonts w:ascii="標楷體" w:eastAsia="標楷體" w:hAnsi="標楷體"/>
          <w:color w:val="000000"/>
        </w:rPr>
        <w:t>Flur</w:t>
      </w:r>
      <w:proofErr w:type="spellEnd"/>
      <w:r>
        <w:rPr>
          <w:rFonts w:ascii="標楷體" w:eastAsia="標楷體" w:hAnsi="標楷體"/>
          <w:color w:val="000000"/>
        </w:rPr>
        <w:t xml:space="preserve"> Di Fen Patch)：</w:t>
      </w:r>
    </w:p>
    <w:p w14:paraId="3E036795"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限同時符合下列條件之病患使用：(92/2/1、109/2/1)</w:t>
      </w:r>
    </w:p>
    <w:p w14:paraId="23A9A5A2"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(1)單一關節（部位）或軟組織風濕症。</w:t>
      </w:r>
    </w:p>
    <w:p w14:paraId="3E43FDE9"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(2)不適合口服非類固醇抗發炎</w:t>
      </w:r>
      <w:proofErr w:type="gramStart"/>
      <w:r>
        <w:rPr>
          <w:rFonts w:ascii="標楷體" w:eastAsia="標楷體" w:hAnsi="標楷體"/>
          <w:color w:val="000000"/>
        </w:rPr>
        <w:t>製劑者</w:t>
      </w:r>
      <w:proofErr w:type="gramEnd"/>
      <w:r>
        <w:rPr>
          <w:rFonts w:ascii="標楷體" w:eastAsia="標楷體" w:hAnsi="標楷體"/>
          <w:color w:val="000000"/>
        </w:rPr>
        <w:t>。</w:t>
      </w:r>
    </w:p>
    <w:p w14:paraId="5170A71D"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(3)不得同時</w:t>
      </w:r>
      <w:proofErr w:type="gramStart"/>
      <w:r>
        <w:rPr>
          <w:rFonts w:ascii="標楷體" w:eastAsia="標楷體" w:hAnsi="標楷體"/>
          <w:color w:val="000000"/>
        </w:rPr>
        <w:t>併</w:t>
      </w:r>
      <w:proofErr w:type="gramEnd"/>
      <w:r>
        <w:rPr>
          <w:rFonts w:ascii="標楷體" w:eastAsia="標楷體" w:hAnsi="標楷體"/>
          <w:color w:val="000000"/>
        </w:rPr>
        <w:t>用口服或其他外用非類固醇</w:t>
      </w:r>
      <w:r w:rsidRPr="002B7BC0">
        <w:rPr>
          <w:rFonts w:ascii="標楷體" w:eastAsia="標楷體" w:hAnsi="標楷體" w:hint="eastAsia"/>
          <w:color w:val="000000"/>
        </w:rPr>
        <w:t>抗</w:t>
      </w:r>
      <w:r>
        <w:rPr>
          <w:rFonts w:ascii="標楷體" w:eastAsia="標楷體" w:hAnsi="標楷體"/>
          <w:color w:val="000000"/>
        </w:rPr>
        <w:t>發炎製劑，亦不得開立慢性連續處方箋(109/2/1)。</w:t>
      </w:r>
    </w:p>
    <w:p w14:paraId="69C7EAB6"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(4)每4</w:t>
      </w:r>
      <w:proofErr w:type="gramStart"/>
      <w:r>
        <w:rPr>
          <w:rFonts w:ascii="標楷體" w:eastAsia="標楷體" w:hAnsi="標楷體"/>
          <w:color w:val="000000"/>
        </w:rPr>
        <w:t>週</w:t>
      </w:r>
      <w:proofErr w:type="gramEnd"/>
      <w:r>
        <w:rPr>
          <w:rFonts w:ascii="標楷體" w:eastAsia="標楷體" w:hAnsi="標楷體"/>
          <w:color w:val="000000"/>
        </w:rPr>
        <w:t>限處方16片</w:t>
      </w:r>
      <w:proofErr w:type="gramStart"/>
      <w:r>
        <w:rPr>
          <w:rFonts w:ascii="標楷體" w:eastAsia="標楷體" w:hAnsi="標楷體"/>
          <w:color w:val="000000"/>
        </w:rPr>
        <w:t>以內(</w:t>
      </w:r>
      <w:proofErr w:type="gramEnd"/>
      <w:r>
        <w:rPr>
          <w:rFonts w:ascii="標楷體" w:eastAsia="標楷體" w:hAnsi="標楷體"/>
          <w:color w:val="000000"/>
        </w:rPr>
        <w:t>109/2/1)。</w:t>
      </w:r>
    </w:p>
    <w:p w14:paraId="35842687" w14:textId="77777777" w:rsidR="00194464" w:rsidRDefault="00194464" w:rsidP="00194464">
      <w:pPr>
        <w:spacing w:line="300" w:lineRule="exact"/>
        <w:ind w:left="672" w:hanging="386"/>
        <w:rPr>
          <w:rFonts w:ascii="標楷體" w:eastAsia="標楷體" w:hAnsi="標楷體"/>
          <w:color w:val="000000"/>
        </w:rPr>
      </w:pPr>
      <w:r>
        <w:rPr>
          <w:rFonts w:ascii="標楷體" w:eastAsia="標楷體" w:hAnsi="標楷體"/>
          <w:color w:val="000000"/>
        </w:rPr>
        <w:t>1.1.2.非類固醇抗發炎劑 (NSAIDs) 之注射劑：(88/12/1、97/7/1)</w:t>
      </w:r>
    </w:p>
    <w:p w14:paraId="29C6DDCA"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1.非類固醇抗發炎劑 (NSAIDs) 之注射劑（ketorolac成分之注射劑除外）：</w:t>
      </w:r>
    </w:p>
    <w:p w14:paraId="4D375291"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(1)限不能口服，且不能使用肛門栓劑之病患使用。</w:t>
      </w:r>
    </w:p>
    <w:p w14:paraId="5E6769C1"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本類藥品</w:t>
      </w:r>
      <w:proofErr w:type="gramEnd"/>
      <w:r>
        <w:rPr>
          <w:rFonts w:ascii="標楷體" w:eastAsia="標楷體" w:hAnsi="標楷體"/>
          <w:color w:val="000000"/>
        </w:rPr>
        <w:t>不可作為急性上呼吸道感染之例行或長期性使用。</w:t>
      </w:r>
    </w:p>
    <w:p w14:paraId="4050EC3A"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使用本類藥品</w:t>
      </w:r>
      <w:proofErr w:type="gramEnd"/>
      <w:r>
        <w:rPr>
          <w:rFonts w:ascii="標楷體" w:eastAsia="標楷體" w:hAnsi="標楷體"/>
          <w:color w:val="000000"/>
        </w:rPr>
        <w:t>，每次不可連續超過五天。</w:t>
      </w:r>
    </w:p>
    <w:p w14:paraId="7B83421C"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2.Ketorolac成分之注射劑：(97/7/1)</w:t>
      </w:r>
    </w:p>
    <w:p w14:paraId="758C3297"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限用於無法口服之病人且為手術後中重度急性疼痛之短期治療（治療期間為</w:t>
      </w:r>
      <w:proofErr w:type="gramStart"/>
      <w:r>
        <w:rPr>
          <w:rFonts w:ascii="標楷體" w:eastAsia="標楷體" w:hAnsi="標楷體"/>
          <w:color w:val="000000"/>
        </w:rPr>
        <w:t>≦</w:t>
      </w:r>
      <w:proofErr w:type="gramEnd"/>
      <w:r>
        <w:rPr>
          <w:rFonts w:ascii="標楷體" w:eastAsia="標楷體" w:hAnsi="標楷體"/>
          <w:color w:val="000000"/>
        </w:rPr>
        <w:t>5天），惟禁止使用於產科止痛。</w:t>
      </w:r>
    </w:p>
    <w:p w14:paraId="1E7DC5F7" w14:textId="77777777" w:rsidR="00194464" w:rsidRDefault="00194464" w:rsidP="00194464">
      <w:pPr>
        <w:spacing w:line="300" w:lineRule="exact"/>
        <w:ind w:left="672" w:hanging="386"/>
        <w:rPr>
          <w:rFonts w:ascii="標楷體" w:eastAsia="標楷體" w:hAnsi="標楷體"/>
          <w:color w:val="000000"/>
        </w:rPr>
      </w:pPr>
      <w:r>
        <w:rPr>
          <w:rFonts w:ascii="標楷體" w:eastAsia="標楷體" w:hAnsi="標楷體"/>
          <w:color w:val="000000"/>
        </w:rPr>
        <w:t>1.1.</w:t>
      </w:r>
      <w:proofErr w:type="gramStart"/>
      <w:r>
        <w:rPr>
          <w:rFonts w:ascii="標楷體" w:eastAsia="標楷體" w:hAnsi="標楷體"/>
          <w:color w:val="000000"/>
        </w:rPr>
        <w:t>3.Tramadol</w:t>
      </w:r>
      <w:proofErr w:type="gramEnd"/>
      <w:r>
        <w:rPr>
          <w:rFonts w:ascii="標楷體" w:eastAsia="標楷體" w:hAnsi="標楷體"/>
          <w:color w:val="000000"/>
        </w:rPr>
        <w:t xml:space="preserve"> (87/4/1)</w:t>
      </w:r>
    </w:p>
    <w:p w14:paraId="5A2058FD"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w:t>
      </w:r>
    </w:p>
    <w:p w14:paraId="2602CDF5"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1.癌症病例使用。</w:t>
      </w:r>
    </w:p>
    <w:p w14:paraId="54A406FF"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2.用於非癌症慢性頑固性</w:t>
      </w:r>
      <w:proofErr w:type="gramStart"/>
      <w:r>
        <w:rPr>
          <w:rFonts w:ascii="標楷體" w:eastAsia="標楷體" w:hAnsi="標楷體"/>
          <w:color w:val="000000"/>
        </w:rPr>
        <w:t>疼痛（疼痛</w:t>
      </w:r>
      <w:proofErr w:type="gramEnd"/>
      <w:r>
        <w:rPr>
          <w:rFonts w:ascii="標楷體" w:eastAsia="標楷體" w:hAnsi="標楷體"/>
          <w:color w:val="000000"/>
        </w:rPr>
        <w:t>期超過六個月）之病人，需同時符合下述條件：(1)需為服用NSAIDs仍無法控制疼痛或有嚴重副作用者。(2)需檢附疼痛評估報告，內容需包括疼痛強度及疼痛緩解的VAS與VRS (Visual Analogue Scale和Verbal Rating Scale)。</w:t>
      </w:r>
    </w:p>
    <w:p w14:paraId="33AD3A0E" w14:textId="77777777" w:rsidR="00194464" w:rsidRDefault="00194464" w:rsidP="00194464">
      <w:pPr>
        <w:spacing w:line="300" w:lineRule="exact"/>
        <w:ind w:left="672" w:hanging="386"/>
        <w:rPr>
          <w:rFonts w:ascii="標楷體" w:eastAsia="標楷體" w:hAnsi="標楷體"/>
          <w:color w:val="000000"/>
        </w:rPr>
      </w:pPr>
      <w:r>
        <w:rPr>
          <w:rFonts w:ascii="標楷體" w:eastAsia="標楷體" w:hAnsi="標楷體"/>
          <w:color w:val="000000"/>
        </w:rPr>
        <w:t>1.1.4.Tramadol HCl＋acetaminophen (如Ultracet Tablets) (93/7/1、95/5/1)</w:t>
      </w:r>
    </w:p>
    <w:p w14:paraId="179907A0"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限用於中度至嚴重性疼痛之病人，需符合下述條件：</w:t>
      </w:r>
    </w:p>
    <w:p w14:paraId="64C6451D"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1.經其他止痛藥、或非類固醇抗發炎藥物（NSAIDs）治療後仍無法控制疼痛或有嚴重副作用者。</w:t>
      </w:r>
    </w:p>
    <w:p w14:paraId="25564806"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2.非癌症病患使用超過五天時，需檢附疼痛評估報告，並每隔三個月再評估乙次，內容需包括疼痛強度及疼痛緩解的VAS與VRS (Visual Analogue Scale和Verbal Rating Scale)。</w:t>
      </w:r>
    </w:p>
    <w:p w14:paraId="7A15C387" w14:textId="77777777" w:rsidR="00194464" w:rsidRDefault="00194464" w:rsidP="00194464">
      <w:pPr>
        <w:spacing w:line="300" w:lineRule="exact"/>
        <w:ind w:left="686" w:hanging="341"/>
        <w:rPr>
          <w:rFonts w:ascii="標楷體" w:eastAsia="標楷體" w:hAnsi="標楷體"/>
          <w:color w:val="000000"/>
        </w:rPr>
      </w:pPr>
      <w:r>
        <w:rPr>
          <w:rFonts w:ascii="標楷體" w:eastAsia="標楷體" w:hAnsi="標楷體"/>
          <w:color w:val="000000"/>
        </w:rPr>
        <w:t>1.1.5.非類固醇抗發炎劑（NSAIDs）藥品，屬下列成分之口服製劑：celecoxib、</w:t>
      </w:r>
      <w:proofErr w:type="spellStart"/>
      <w:r>
        <w:rPr>
          <w:rFonts w:ascii="標楷體" w:eastAsia="標楷體" w:hAnsi="標楷體"/>
          <w:color w:val="000000"/>
        </w:rPr>
        <w:t>nabumetone</w:t>
      </w:r>
      <w:proofErr w:type="spellEnd"/>
      <w:r>
        <w:rPr>
          <w:rFonts w:ascii="標楷體" w:eastAsia="標楷體" w:hAnsi="標楷體"/>
          <w:color w:val="000000"/>
        </w:rPr>
        <w:t>、meloxicam、etodolac、</w:t>
      </w:r>
      <w:proofErr w:type="spellStart"/>
      <w:r>
        <w:rPr>
          <w:rFonts w:ascii="標楷體" w:eastAsia="標楷體" w:hAnsi="標楷體"/>
          <w:color w:val="000000"/>
        </w:rPr>
        <w:t>nimesulide</w:t>
      </w:r>
      <w:proofErr w:type="spellEnd"/>
      <w:r>
        <w:rPr>
          <w:rFonts w:ascii="標楷體" w:eastAsia="標楷體" w:hAnsi="標楷體"/>
          <w:color w:val="000000"/>
        </w:rPr>
        <w:t xml:space="preserve"> (90/7/1、97/9/1)、etoricoxib (96/1/1、99/10/1)、含naproxen及esomeprazole複方製劑(101/10/1、106/12/1、111/2/1、111/7/1</w:t>
      </w:r>
      <w:r w:rsidRPr="004C4D3F">
        <w:rPr>
          <w:rFonts w:ascii="標楷體" w:eastAsia="標楷體" w:hAnsi="標楷體" w:hint="eastAsia"/>
          <w:color w:val="000000"/>
        </w:rPr>
        <w:t>、</w:t>
      </w:r>
      <w:r w:rsidRPr="004C4D3F">
        <w:rPr>
          <w:rFonts w:ascii="標楷體" w:eastAsia="標楷體" w:hAnsi="標楷體"/>
          <w:color w:val="000000"/>
        </w:rPr>
        <w:t>115/4/1</w:t>
      </w:r>
      <w:r>
        <w:rPr>
          <w:rFonts w:ascii="標楷體" w:eastAsia="標楷體" w:hAnsi="標楷體"/>
          <w:color w:val="000000"/>
        </w:rPr>
        <w:t>)</w:t>
      </w:r>
    </w:p>
    <w:p w14:paraId="2FFAF879" w14:textId="77777777" w:rsidR="00194464" w:rsidRDefault="00194464" w:rsidP="00194464">
      <w:pPr>
        <w:spacing w:line="300" w:lineRule="exact"/>
        <w:ind w:left="851"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本類製</w:t>
      </w:r>
      <w:proofErr w:type="gramEnd"/>
      <w:r>
        <w:rPr>
          <w:rFonts w:ascii="標楷體" w:eastAsia="標楷體" w:hAnsi="標楷體"/>
          <w:color w:val="000000"/>
        </w:rPr>
        <w:t>劑之使用需符合下列條件之</w:t>
      </w:r>
      <w:proofErr w:type="gramStart"/>
      <w:r>
        <w:rPr>
          <w:rFonts w:ascii="標楷體" w:eastAsia="標楷體" w:hAnsi="標楷體"/>
          <w:color w:val="000000"/>
        </w:rPr>
        <w:t>一</w:t>
      </w:r>
      <w:proofErr w:type="gramEnd"/>
      <w:r>
        <w:rPr>
          <w:rFonts w:ascii="標楷體" w:eastAsia="標楷體" w:hAnsi="標楷體"/>
          <w:color w:val="000000"/>
        </w:rPr>
        <w:t>者(99/10/1、111/7/1)：</w:t>
      </w:r>
    </w:p>
    <w:p w14:paraId="4A1AF91F"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(1)骨關節炎病患。(106/12/1、111/2/1、111/7/1</w:t>
      </w:r>
      <w:r w:rsidRPr="004C4D3F">
        <w:rPr>
          <w:rFonts w:ascii="標楷體" w:eastAsia="標楷體" w:hAnsi="標楷體" w:hint="eastAsia"/>
          <w:color w:val="000000"/>
        </w:rPr>
        <w:t>、</w:t>
      </w:r>
      <w:r w:rsidRPr="004C4D3F">
        <w:rPr>
          <w:rFonts w:ascii="標楷體" w:eastAsia="標楷體" w:hAnsi="標楷體"/>
          <w:color w:val="000000"/>
        </w:rPr>
        <w:t>115/4/1</w:t>
      </w:r>
      <w:r>
        <w:rPr>
          <w:rFonts w:ascii="標楷體" w:eastAsia="標楷體" w:hAnsi="標楷體"/>
          <w:color w:val="000000"/>
        </w:rPr>
        <w:t>)</w:t>
      </w:r>
    </w:p>
    <w:p w14:paraId="07D3F8D3"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Ⅰ.每日藥費為4.5元以下，可用於18歲以上病患。</w:t>
      </w:r>
    </w:p>
    <w:p w14:paraId="69FD72F8"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Ⅱ.依個別成分規定如下</w:t>
      </w:r>
      <w:r w:rsidRPr="004C4D3F">
        <w:rPr>
          <w:rFonts w:ascii="標楷體" w:eastAsia="標楷體" w:hAnsi="標楷體"/>
          <w:color w:val="000000"/>
        </w:rPr>
        <w:t>(111/7/1</w:t>
      </w:r>
      <w:r w:rsidRPr="004C4D3F">
        <w:rPr>
          <w:rFonts w:ascii="標楷體" w:eastAsia="標楷體" w:hAnsi="標楷體" w:hint="eastAsia"/>
          <w:color w:val="000000"/>
        </w:rPr>
        <w:t>、</w:t>
      </w:r>
      <w:r w:rsidRPr="004C4D3F">
        <w:rPr>
          <w:rFonts w:ascii="標楷體" w:eastAsia="標楷體" w:hAnsi="標楷體"/>
          <w:color w:val="000000"/>
        </w:rPr>
        <w:t>115/4/1)</w:t>
      </w:r>
      <w:r>
        <w:rPr>
          <w:rFonts w:ascii="標楷體" w:eastAsia="標楷體" w:hAnsi="標楷體"/>
          <w:color w:val="000000"/>
        </w:rPr>
        <w:t>：</w:t>
      </w:r>
    </w:p>
    <w:p w14:paraId="3B307666" w14:textId="77777777" w:rsidR="00194464" w:rsidRDefault="00194464" w:rsidP="00194464">
      <w:pPr>
        <w:spacing w:line="300" w:lineRule="exact"/>
        <w:ind w:left="1134" w:hanging="341"/>
      </w:pPr>
      <w:r>
        <w:rPr>
          <w:rFonts w:ascii="標楷體" w:eastAsia="標楷體" w:hAnsi="標楷體"/>
          <w:color w:val="000000"/>
        </w:rPr>
        <w:t xml:space="preserve">   </w:t>
      </w:r>
      <w:r>
        <w:rPr>
          <w:rFonts w:ascii="新細明體" w:hAnsi="新細明體" w:cs="新細明體"/>
          <w:color w:val="000000"/>
        </w:rPr>
        <w:t>ⅰ</w:t>
      </w:r>
      <w:r>
        <w:rPr>
          <w:rFonts w:ascii="標楷體" w:eastAsia="標楷體" w:hAnsi="標楷體"/>
          <w:color w:val="000000"/>
        </w:rPr>
        <w:t>含</w:t>
      </w:r>
      <w:proofErr w:type="spellStart"/>
      <w:r>
        <w:rPr>
          <w:rFonts w:ascii="標楷體" w:eastAsia="標楷體" w:hAnsi="標楷體"/>
          <w:color w:val="000000"/>
        </w:rPr>
        <w:t>nabumetone</w:t>
      </w:r>
      <w:proofErr w:type="spellEnd"/>
      <w:r>
        <w:rPr>
          <w:rFonts w:ascii="標楷體" w:eastAsia="標楷體" w:hAnsi="標楷體"/>
          <w:color w:val="000000"/>
        </w:rPr>
        <w:t>成分之No-Ton、</w:t>
      </w:r>
      <w:proofErr w:type="spellStart"/>
      <w:r>
        <w:rPr>
          <w:rFonts w:ascii="標楷體" w:eastAsia="標楷體" w:hAnsi="標楷體"/>
          <w:color w:val="000000"/>
        </w:rPr>
        <w:t>Nabuton</w:t>
      </w:r>
      <w:proofErr w:type="spellEnd"/>
      <w:r>
        <w:rPr>
          <w:rFonts w:ascii="標楷體" w:eastAsia="標楷體" w:hAnsi="標楷體" w:hint="eastAsia"/>
          <w:color w:val="000000"/>
        </w:rPr>
        <w:t>及</w:t>
      </w:r>
      <w:proofErr w:type="spellStart"/>
      <w:r>
        <w:rPr>
          <w:rFonts w:ascii="標楷體" w:eastAsia="標楷體" w:hAnsi="標楷體"/>
          <w:color w:val="000000"/>
        </w:rPr>
        <w:t>Labuton</w:t>
      </w:r>
      <w:proofErr w:type="spellEnd"/>
      <w:r>
        <w:rPr>
          <w:rFonts w:ascii="標楷體" w:eastAsia="標楷體" w:hAnsi="標楷體"/>
          <w:color w:val="000000"/>
        </w:rPr>
        <w:t xml:space="preserve">僅可 </w:t>
      </w:r>
    </w:p>
    <w:p w14:paraId="4D3B0CE2"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 xml:space="preserve">     使用於60歲以上病患。</w:t>
      </w:r>
      <w:r w:rsidRPr="004C4D3F">
        <w:rPr>
          <w:rFonts w:ascii="標楷體" w:eastAsia="標楷體" w:hAnsi="標楷體"/>
          <w:color w:val="000000"/>
        </w:rPr>
        <w:t>(111/7/1</w:t>
      </w:r>
      <w:r w:rsidRPr="004C4D3F">
        <w:rPr>
          <w:rFonts w:ascii="標楷體" w:eastAsia="標楷體" w:hAnsi="標楷體" w:hint="eastAsia"/>
          <w:color w:val="000000"/>
        </w:rPr>
        <w:t>、</w:t>
      </w:r>
      <w:r w:rsidRPr="004C4D3F">
        <w:rPr>
          <w:rFonts w:ascii="標楷體" w:eastAsia="標楷體" w:hAnsi="標楷體"/>
          <w:color w:val="000000"/>
        </w:rPr>
        <w:t>115/4/1)</w:t>
      </w:r>
    </w:p>
    <w:p w14:paraId="6D6A0E2B" w14:textId="77777777" w:rsidR="00194464" w:rsidRDefault="00194464" w:rsidP="00194464">
      <w:pPr>
        <w:spacing w:line="300" w:lineRule="exact"/>
        <w:ind w:left="1134" w:hanging="341"/>
      </w:pPr>
      <w:r>
        <w:rPr>
          <w:rFonts w:ascii="標楷體" w:eastAsia="標楷體" w:hAnsi="標楷體"/>
          <w:color w:val="000000"/>
        </w:rPr>
        <w:t xml:space="preserve">   </w:t>
      </w:r>
      <w:r>
        <w:rPr>
          <w:rFonts w:ascii="新細明體" w:hAnsi="新細明體" w:cs="新細明體"/>
          <w:color w:val="000000"/>
        </w:rPr>
        <w:t>ⅱ</w:t>
      </w:r>
      <w:r>
        <w:rPr>
          <w:rFonts w:ascii="標楷體" w:eastAsia="標楷體" w:hAnsi="標楷體"/>
          <w:color w:val="000000"/>
        </w:rPr>
        <w:t>含etodolac成分之緩釋錠劑膠囊劑及一般錠劑膠囊劑僅可使用於</w:t>
      </w:r>
    </w:p>
    <w:p w14:paraId="18AE802F"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 xml:space="preserve">     60歲以上病患，惟單價低於2.25元(如</w:t>
      </w:r>
      <w:proofErr w:type="spellStart"/>
      <w:r>
        <w:rPr>
          <w:rFonts w:ascii="標楷體" w:eastAsia="標楷體" w:hAnsi="標楷體"/>
          <w:color w:val="000000"/>
        </w:rPr>
        <w:t>Etopin</w:t>
      </w:r>
      <w:proofErr w:type="spellEnd"/>
      <w:r>
        <w:rPr>
          <w:rFonts w:ascii="標楷體" w:eastAsia="標楷體" w:hAnsi="標楷體"/>
          <w:color w:val="000000"/>
        </w:rPr>
        <w:t>、</w:t>
      </w:r>
      <w:proofErr w:type="spellStart"/>
      <w:r>
        <w:rPr>
          <w:rFonts w:ascii="標楷體" w:eastAsia="標楷體" w:hAnsi="標楷體"/>
          <w:color w:val="000000"/>
        </w:rPr>
        <w:t>Etodon</w:t>
      </w:r>
      <w:proofErr w:type="spellEnd"/>
      <w:r>
        <w:rPr>
          <w:rFonts w:ascii="標楷體" w:eastAsia="標楷體" w:hAnsi="標楷體"/>
          <w:color w:val="000000"/>
        </w:rPr>
        <w:t>、</w:t>
      </w:r>
      <w:proofErr w:type="spellStart"/>
      <w:r>
        <w:rPr>
          <w:rFonts w:ascii="標楷體" w:eastAsia="標楷體" w:hAnsi="標楷體"/>
          <w:color w:val="000000"/>
        </w:rPr>
        <w:t>Jenac</w:t>
      </w:r>
      <w:proofErr w:type="spellEnd"/>
      <w:r>
        <w:rPr>
          <w:rFonts w:ascii="標楷體" w:eastAsia="標楷體" w:hAnsi="標楷體"/>
          <w:color w:val="000000"/>
        </w:rPr>
        <w:t>、</w:t>
      </w:r>
    </w:p>
    <w:p w14:paraId="79784896"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lastRenderedPageBreak/>
        <w:t xml:space="preserve">     </w:t>
      </w:r>
      <w:proofErr w:type="spellStart"/>
      <w:r>
        <w:rPr>
          <w:rFonts w:ascii="標楷體" w:eastAsia="標楷體" w:hAnsi="標楷體"/>
          <w:color w:val="000000"/>
        </w:rPr>
        <w:t>Doloc</w:t>
      </w:r>
      <w:proofErr w:type="spellEnd"/>
      <w:r>
        <w:rPr>
          <w:rFonts w:ascii="標楷體" w:eastAsia="標楷體" w:hAnsi="標楷體"/>
          <w:color w:val="000000"/>
        </w:rPr>
        <w:t>)且每日處方不超過2粒者，可用於18歲以上之病患。</w:t>
      </w:r>
    </w:p>
    <w:p w14:paraId="1685A791" w14:textId="77777777" w:rsidR="00194464" w:rsidRDefault="00194464" w:rsidP="00194464">
      <w:pPr>
        <w:spacing w:line="300" w:lineRule="exact"/>
        <w:ind w:left="1106" w:hanging="454"/>
        <w:rPr>
          <w:rFonts w:ascii="標楷體" w:eastAsia="標楷體" w:hAnsi="標楷體"/>
          <w:color w:val="000000"/>
        </w:rPr>
      </w:pPr>
      <w:r>
        <w:rPr>
          <w:rFonts w:ascii="標楷體" w:eastAsia="標楷體" w:hAnsi="標楷體"/>
          <w:color w:val="000000"/>
        </w:rPr>
        <w:t xml:space="preserve"> (2)類風濕性關節炎、僵直性脊髓炎、</w:t>
      </w:r>
      <w:proofErr w:type="gramStart"/>
      <w:r>
        <w:rPr>
          <w:rFonts w:ascii="標楷體" w:eastAsia="標楷體" w:hAnsi="標楷體"/>
          <w:color w:val="000000"/>
        </w:rPr>
        <w:t>乾癬性關節炎</w:t>
      </w:r>
      <w:proofErr w:type="gramEnd"/>
      <w:r>
        <w:rPr>
          <w:rFonts w:ascii="標楷體" w:eastAsia="標楷體" w:hAnsi="標楷體"/>
          <w:color w:val="000000"/>
        </w:rPr>
        <w:t>等慢性病</w:t>
      </w:r>
      <w:proofErr w:type="gramStart"/>
      <w:r>
        <w:rPr>
          <w:rFonts w:ascii="標楷體" w:eastAsia="標楷體" w:hAnsi="標楷體"/>
          <w:color w:val="000000"/>
        </w:rPr>
        <w:t>發炎性關</w:t>
      </w:r>
      <w:proofErr w:type="gramEnd"/>
      <w:r>
        <w:rPr>
          <w:rFonts w:ascii="標楷體" w:eastAsia="標楷體" w:hAnsi="標楷體"/>
          <w:color w:val="000000"/>
        </w:rPr>
        <w:t xml:space="preserve"> 節病變，需長期使用非類固醇抗</w:t>
      </w:r>
      <w:proofErr w:type="gramStart"/>
      <w:r>
        <w:rPr>
          <w:rFonts w:ascii="標楷體" w:eastAsia="標楷體" w:hAnsi="標楷體"/>
          <w:color w:val="000000"/>
        </w:rPr>
        <w:t>發炎劑者</w:t>
      </w:r>
      <w:proofErr w:type="gramEnd"/>
      <w:r>
        <w:rPr>
          <w:rFonts w:ascii="標楷體" w:eastAsia="標楷體" w:hAnsi="標楷體"/>
          <w:color w:val="000000"/>
        </w:rPr>
        <w:t>。</w:t>
      </w:r>
    </w:p>
    <w:p w14:paraId="207A2FEF"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(3)合併有急性嚴重創傷、急性中風及急性心血管事件者 (97/2/1)</w:t>
      </w:r>
    </w:p>
    <w:p w14:paraId="0A8D9787"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(4)同時</w:t>
      </w:r>
      <w:proofErr w:type="gramStart"/>
      <w:r>
        <w:rPr>
          <w:rFonts w:ascii="標楷體" w:eastAsia="標楷體" w:hAnsi="標楷體"/>
          <w:color w:val="000000"/>
        </w:rPr>
        <w:t>併</w:t>
      </w:r>
      <w:proofErr w:type="gramEnd"/>
      <w:r>
        <w:rPr>
          <w:rFonts w:ascii="標楷體" w:eastAsia="標楷體" w:hAnsi="標楷體"/>
          <w:color w:val="000000"/>
        </w:rPr>
        <w:t>有腎上腺類固醇之患者。</w:t>
      </w:r>
    </w:p>
    <w:p w14:paraId="74FAD641"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(5)曾有消化性潰瘍、上消化道出血或胃穿孔病史者。</w:t>
      </w:r>
    </w:p>
    <w:p w14:paraId="55FA6F00"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(6)同時</w:t>
      </w:r>
      <w:proofErr w:type="gramStart"/>
      <w:r>
        <w:rPr>
          <w:rFonts w:ascii="標楷體" w:eastAsia="標楷體" w:hAnsi="標楷體"/>
          <w:color w:val="000000"/>
        </w:rPr>
        <w:t>併</w:t>
      </w:r>
      <w:proofErr w:type="gramEnd"/>
      <w:r>
        <w:rPr>
          <w:rFonts w:ascii="標楷體" w:eastAsia="標楷體" w:hAnsi="標楷體"/>
          <w:color w:val="000000"/>
        </w:rPr>
        <w:t>有</w:t>
      </w:r>
      <w:proofErr w:type="gramStart"/>
      <w:r>
        <w:rPr>
          <w:rFonts w:ascii="標楷體" w:eastAsia="標楷體" w:hAnsi="標楷體"/>
          <w:color w:val="000000"/>
        </w:rPr>
        <w:t>抗擬血劑者</w:t>
      </w:r>
      <w:proofErr w:type="gramEnd"/>
      <w:r>
        <w:rPr>
          <w:rFonts w:ascii="標楷體" w:eastAsia="標楷體" w:hAnsi="標楷體"/>
          <w:color w:val="000000"/>
        </w:rPr>
        <w:t>。</w:t>
      </w:r>
    </w:p>
    <w:p w14:paraId="038148B7"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(7)肝硬化患者。</w:t>
      </w:r>
    </w:p>
    <w:p w14:paraId="11CF55AC" w14:textId="77777777" w:rsidR="00194464" w:rsidRDefault="00194464" w:rsidP="00194464">
      <w:pPr>
        <w:spacing w:line="300" w:lineRule="exact"/>
        <w:ind w:left="910" w:hanging="341"/>
        <w:rPr>
          <w:rFonts w:ascii="標楷體" w:eastAsia="標楷體" w:hAnsi="標楷體"/>
          <w:color w:val="000000"/>
        </w:rPr>
      </w:pPr>
      <w:r>
        <w:rPr>
          <w:rFonts w:ascii="標楷體" w:eastAsia="標楷體" w:hAnsi="標楷體"/>
          <w:color w:val="000000"/>
        </w:rPr>
        <w:t>2.使用</w:t>
      </w:r>
      <w:proofErr w:type="gramStart"/>
      <w:r>
        <w:rPr>
          <w:rFonts w:ascii="標楷體" w:eastAsia="標楷體" w:hAnsi="標楷體"/>
          <w:color w:val="000000"/>
        </w:rPr>
        <w:t>本類製</w:t>
      </w:r>
      <w:proofErr w:type="gramEnd"/>
      <w:r>
        <w:rPr>
          <w:rFonts w:ascii="標楷體" w:eastAsia="標楷體" w:hAnsi="標楷體"/>
          <w:color w:val="000000"/>
        </w:rPr>
        <w:t>劑之病患不得預防性</w:t>
      </w:r>
      <w:proofErr w:type="gramStart"/>
      <w:r>
        <w:rPr>
          <w:rFonts w:ascii="標楷體" w:eastAsia="標楷體" w:hAnsi="標楷體"/>
          <w:color w:val="000000"/>
        </w:rPr>
        <w:t>併</w:t>
      </w:r>
      <w:proofErr w:type="gramEnd"/>
      <w:r>
        <w:rPr>
          <w:rFonts w:ascii="標楷體" w:eastAsia="標楷體" w:hAnsi="標楷體"/>
          <w:color w:val="000000"/>
        </w:rPr>
        <w:t>用乙型組織胺受體阻斷劑、氫離子幫浦阻斷劑及其他消化性潰瘍用藥，亦不得合併使用</w:t>
      </w:r>
      <w:proofErr w:type="gramStart"/>
      <w:r>
        <w:rPr>
          <w:rFonts w:ascii="標楷體" w:eastAsia="標楷體" w:hAnsi="標楷體"/>
          <w:color w:val="000000"/>
        </w:rPr>
        <w:t>前列腺素劑</w:t>
      </w:r>
      <w:proofErr w:type="gramEnd"/>
      <w:r>
        <w:rPr>
          <w:rFonts w:ascii="標楷體" w:eastAsia="標楷體" w:hAnsi="標楷體"/>
          <w:color w:val="000000"/>
        </w:rPr>
        <w:t>（如misoprostol）</w:t>
      </w:r>
    </w:p>
    <w:p w14:paraId="5A165C02" w14:textId="77777777" w:rsidR="00194464" w:rsidRDefault="00194464" w:rsidP="00194464">
      <w:pPr>
        <w:spacing w:line="300" w:lineRule="exact"/>
        <w:ind w:left="910" w:hanging="341"/>
        <w:rPr>
          <w:rFonts w:ascii="標楷體" w:eastAsia="標楷體" w:hAnsi="標楷體"/>
          <w:color w:val="000000"/>
        </w:rPr>
      </w:pPr>
      <w:r>
        <w:rPr>
          <w:rFonts w:ascii="標楷體" w:eastAsia="標楷體" w:hAnsi="標楷體"/>
          <w:color w:val="000000"/>
        </w:rPr>
        <w:t>3.Nimesulide限用於急性疼痛緩解，其連續處方不得超過15日(97/9/1)。</w:t>
      </w:r>
    </w:p>
    <w:p w14:paraId="26D49F3B"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4.含naproxen及esomeprazole複方製劑不得作為急性疼痛的初始治療。(101/10/1)</w:t>
      </w:r>
    </w:p>
    <w:p w14:paraId="45ED607E" w14:textId="77777777" w:rsidR="00194464" w:rsidRDefault="00194464" w:rsidP="00194464">
      <w:pPr>
        <w:spacing w:line="300" w:lineRule="exact"/>
        <w:ind w:left="993" w:hanging="657"/>
        <w:rPr>
          <w:rFonts w:ascii="標楷體" w:eastAsia="標楷體" w:hAnsi="標楷體"/>
        </w:rPr>
      </w:pPr>
      <w:r>
        <w:rPr>
          <w:rFonts w:ascii="標楷體" w:eastAsia="標楷體" w:hAnsi="標楷體"/>
        </w:rPr>
        <w:t>1.1.6.Gabapentin、lidocaine貼片劑（97/12/1、98/4/1、98/9/1、101/2/1、101/5/1、102/2/1、110/5/1）</w:t>
      </w:r>
    </w:p>
    <w:p w14:paraId="3E9B953E"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限使用於帶狀疱疹皮膚病灶後神經痛，並符合下列條件：</w:t>
      </w:r>
    </w:p>
    <w:p w14:paraId="71B952B2"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1.使用其他止痛劑或非類固醇抗發炎劑（NSAIDs）藥品治療後仍無法控制疼痛或有嚴重副作用者。(97/12/1、98/4/1)</w:t>
      </w:r>
    </w:p>
    <w:p w14:paraId="6DA67B6F"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2.Gabapentin成分口服製劑，限每日最大劑量為3,600mg，且日劑量超過2,400mg時，需於病歷記載理由。臨床症狀改善，應逐步調低劑量。 (97/12/1、98/4/1、98/9/1、101/5/1)</w:t>
      </w:r>
    </w:p>
    <w:p w14:paraId="26DA4C6F"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3.Lidocaine貼片劑：（98/9/1、110/5/1）</w:t>
      </w:r>
    </w:p>
    <w:p w14:paraId="1FB30296" w14:textId="77777777" w:rsidR="00194464" w:rsidRDefault="00194464" w:rsidP="00194464">
      <w:pPr>
        <w:spacing w:line="300" w:lineRule="exact"/>
        <w:ind w:left="1078" w:hanging="370"/>
        <w:rPr>
          <w:rFonts w:ascii="標楷體" w:eastAsia="標楷體" w:hAnsi="標楷體"/>
          <w:color w:val="000000"/>
        </w:rPr>
      </w:pPr>
      <w:r>
        <w:rPr>
          <w:rFonts w:ascii="標楷體" w:eastAsia="標楷體" w:hAnsi="標楷體"/>
          <w:color w:val="000000"/>
        </w:rPr>
        <w:t>(1)限每日最大劑量為3片，且日劑量超過2</w:t>
      </w:r>
      <w:proofErr w:type="gramStart"/>
      <w:r>
        <w:rPr>
          <w:rFonts w:ascii="標楷體" w:eastAsia="標楷體" w:hAnsi="標楷體"/>
          <w:color w:val="000000"/>
        </w:rPr>
        <w:t>片時，</w:t>
      </w:r>
      <w:proofErr w:type="gramEnd"/>
      <w:r>
        <w:rPr>
          <w:rFonts w:ascii="標楷體" w:eastAsia="標楷體" w:hAnsi="標楷體"/>
          <w:color w:val="000000"/>
        </w:rPr>
        <w:t>需於病歷記載理由。臨床症狀改善，應逐步調低劑量。（98/9/1、110/5/1）</w:t>
      </w:r>
    </w:p>
    <w:p w14:paraId="3176FA2D" w14:textId="77777777" w:rsidR="00194464" w:rsidRDefault="00194464" w:rsidP="00194464">
      <w:pPr>
        <w:spacing w:line="300" w:lineRule="exact"/>
        <w:ind w:left="1049" w:hanging="341"/>
      </w:pPr>
      <w:r>
        <w:rPr>
          <w:rFonts w:ascii="標楷體" w:eastAsia="標楷體" w:hAnsi="標楷體"/>
          <w:color w:val="000000"/>
        </w:rPr>
        <w:t>(2)</w:t>
      </w:r>
      <w:r>
        <w:t xml:space="preserve"> </w:t>
      </w:r>
      <w:r>
        <w:rPr>
          <w:rFonts w:ascii="標楷體" w:eastAsia="標楷體" w:hAnsi="標楷體"/>
          <w:color w:val="000000"/>
        </w:rPr>
        <w:t>Lidocaine貼片劑不得與gabapentin或pregabalin成分口服製劑</w:t>
      </w:r>
      <w:proofErr w:type="gramStart"/>
      <w:r>
        <w:rPr>
          <w:rFonts w:ascii="標楷體" w:eastAsia="標楷體" w:hAnsi="標楷體"/>
          <w:color w:val="000000"/>
        </w:rPr>
        <w:t>併</w:t>
      </w:r>
      <w:proofErr w:type="gramEnd"/>
      <w:r>
        <w:rPr>
          <w:rFonts w:ascii="標楷體" w:eastAsia="標楷體" w:hAnsi="標楷體"/>
          <w:color w:val="000000"/>
        </w:rPr>
        <w:t>用。（101/2/1、110/5/1）</w:t>
      </w:r>
    </w:p>
    <w:p w14:paraId="3C686757" w14:textId="77777777" w:rsidR="00194464" w:rsidRDefault="00194464" w:rsidP="00194464">
      <w:pPr>
        <w:spacing w:line="300" w:lineRule="exact"/>
        <w:ind w:left="672" w:hanging="386"/>
        <w:rPr>
          <w:rFonts w:ascii="標楷體" w:eastAsia="標楷體" w:hAnsi="標楷體"/>
        </w:rPr>
      </w:pPr>
      <w:r>
        <w:rPr>
          <w:rFonts w:ascii="標楷體" w:eastAsia="標楷體" w:hAnsi="標楷體"/>
        </w:rPr>
        <w:t>1.1.7.Pregabalin（101/2/1、102/2/1、105/1/1、106/3/1、109/5/1、113/12/1）</w:t>
      </w:r>
    </w:p>
    <w:p w14:paraId="0C514A07" w14:textId="77777777" w:rsidR="00194464" w:rsidRDefault="00194464" w:rsidP="00194464">
      <w:pPr>
        <w:spacing w:line="300" w:lineRule="exact"/>
        <w:ind w:left="811" w:hanging="245"/>
        <w:rPr>
          <w:rFonts w:ascii="標楷體" w:eastAsia="標楷體" w:hAnsi="標楷體"/>
        </w:rPr>
      </w:pPr>
      <w:r>
        <w:rPr>
          <w:rFonts w:ascii="標楷體" w:eastAsia="標楷體" w:hAnsi="標楷體"/>
        </w:rPr>
        <w:t>1.使用於帶狀疱疹皮膚病灶後神經痛，並符合下列條件：</w:t>
      </w:r>
    </w:p>
    <w:p w14:paraId="2591A4B8" w14:textId="77777777" w:rsidR="00194464" w:rsidRPr="002144EC" w:rsidRDefault="00194464" w:rsidP="002144EC">
      <w:pPr>
        <w:spacing w:line="300" w:lineRule="exact"/>
        <w:ind w:left="1049" w:hanging="341"/>
        <w:rPr>
          <w:rFonts w:ascii="標楷體" w:eastAsia="標楷體" w:hAnsi="標楷體"/>
          <w:color w:val="000000"/>
        </w:rPr>
      </w:pPr>
      <w:r>
        <w:rPr>
          <w:rFonts w:ascii="標楷體" w:eastAsia="標楷體" w:hAnsi="標楷體"/>
        </w:rPr>
        <w:t>(1)經</w:t>
      </w:r>
      <w:r w:rsidRPr="002144EC">
        <w:rPr>
          <w:rFonts w:ascii="標楷體" w:eastAsia="標楷體" w:hAnsi="標楷體"/>
          <w:color w:val="000000"/>
        </w:rPr>
        <w:t>使用其他止痛劑或非類固醇抗發炎劑（NSAIDs）藥品治療後仍無法控制疼痛或有嚴重副作用者。(97/12/1、98/4/1)</w:t>
      </w:r>
    </w:p>
    <w:p w14:paraId="5F68E6D5" w14:textId="77777777" w:rsidR="00194464" w:rsidRDefault="00194464" w:rsidP="00194464">
      <w:pPr>
        <w:spacing w:line="300" w:lineRule="exact"/>
        <w:ind w:left="1049" w:hanging="341"/>
        <w:rPr>
          <w:rFonts w:ascii="標楷體" w:eastAsia="標楷體" w:hAnsi="標楷體"/>
        </w:rPr>
      </w:pPr>
      <w:r w:rsidRPr="002144EC">
        <w:rPr>
          <w:rFonts w:ascii="標楷體" w:eastAsia="標楷體" w:hAnsi="標楷體"/>
          <w:color w:val="000000"/>
        </w:rPr>
        <w:t>(2)每日</w:t>
      </w:r>
      <w:r>
        <w:rPr>
          <w:rFonts w:ascii="標楷體" w:eastAsia="標楷體" w:hAnsi="標楷體"/>
        </w:rPr>
        <w:t>最大劑量為600mg。</w:t>
      </w:r>
    </w:p>
    <w:p w14:paraId="566C57DD" w14:textId="77777777" w:rsidR="00194464" w:rsidRDefault="00194464" w:rsidP="00194464">
      <w:pPr>
        <w:spacing w:line="300" w:lineRule="exact"/>
        <w:ind w:left="811" w:hanging="245"/>
        <w:rPr>
          <w:rFonts w:ascii="標楷體" w:eastAsia="標楷體" w:hAnsi="標楷體"/>
        </w:rPr>
      </w:pPr>
      <w:r>
        <w:rPr>
          <w:rFonts w:ascii="標楷體" w:eastAsia="標楷體" w:hAnsi="標楷體"/>
        </w:rPr>
        <w:t>2.使用於纖維肌痛(fibromyalgia)</w:t>
      </w:r>
    </w:p>
    <w:p w14:paraId="15739500" w14:textId="77777777" w:rsidR="00194464" w:rsidRDefault="00194464" w:rsidP="00194464">
      <w:pPr>
        <w:spacing w:line="300" w:lineRule="exact"/>
        <w:ind w:left="1049" w:hanging="341"/>
        <w:rPr>
          <w:rFonts w:ascii="標楷體" w:eastAsia="標楷體" w:hAnsi="標楷體"/>
        </w:rPr>
      </w:pPr>
      <w:r>
        <w:rPr>
          <w:rFonts w:ascii="標楷體" w:eastAsia="標楷體" w:hAnsi="標楷體"/>
        </w:rPr>
        <w:t>(1)需</w:t>
      </w:r>
      <w:r w:rsidRPr="002144EC">
        <w:rPr>
          <w:rFonts w:ascii="標楷體" w:eastAsia="標楷體" w:hAnsi="標楷體"/>
          <w:color w:val="000000"/>
        </w:rPr>
        <w:t>符合</w:t>
      </w:r>
      <w:r>
        <w:rPr>
          <w:rFonts w:ascii="標楷體" w:eastAsia="標楷體" w:hAnsi="標楷體"/>
        </w:rPr>
        <w:t>American College of Rheumatology (ACR)及臨床試驗實證纖維肌痛診斷標準：</w:t>
      </w:r>
    </w:p>
    <w:p w14:paraId="0E27E111" w14:textId="77777777" w:rsidR="00194464" w:rsidRDefault="00194464" w:rsidP="00194464">
      <w:pPr>
        <w:spacing w:line="300" w:lineRule="exact"/>
        <w:ind w:left="1414" w:hanging="336"/>
        <w:rPr>
          <w:rFonts w:ascii="標楷體" w:eastAsia="標楷體" w:hAnsi="標楷體"/>
        </w:rPr>
      </w:pPr>
      <w:proofErr w:type="spellStart"/>
      <w:r>
        <w:rPr>
          <w:rFonts w:ascii="標楷體" w:eastAsia="標楷體" w:hAnsi="標楷體"/>
        </w:rPr>
        <w:t>Ⅰ.WPI</w:t>
      </w:r>
      <w:proofErr w:type="spellEnd"/>
      <w:r>
        <w:rPr>
          <w:rFonts w:ascii="標楷體" w:eastAsia="標楷體" w:hAnsi="標楷體"/>
        </w:rPr>
        <w:t>(wide spread pain index)</w:t>
      </w:r>
      <w:proofErr w:type="gramStart"/>
      <w:r>
        <w:rPr>
          <w:rFonts w:ascii="標楷體" w:eastAsia="標楷體" w:hAnsi="標楷體"/>
        </w:rPr>
        <w:t>≧</w:t>
      </w:r>
      <w:proofErr w:type="gramEnd"/>
      <w:r>
        <w:rPr>
          <w:rFonts w:ascii="標楷體" w:eastAsia="標楷體" w:hAnsi="標楷體"/>
        </w:rPr>
        <w:t>7、Symptom severity (SS)</w:t>
      </w:r>
      <w:proofErr w:type="gramStart"/>
      <w:r>
        <w:rPr>
          <w:rFonts w:ascii="標楷體" w:eastAsia="標楷體" w:hAnsi="標楷體"/>
        </w:rPr>
        <w:t>≧</w:t>
      </w:r>
      <w:proofErr w:type="gramEnd"/>
      <w:r>
        <w:rPr>
          <w:rFonts w:ascii="標楷體" w:eastAsia="標楷體" w:hAnsi="標楷體"/>
        </w:rPr>
        <w:t>5且pain rating scale</w:t>
      </w:r>
      <w:proofErr w:type="gramStart"/>
      <w:r>
        <w:rPr>
          <w:rFonts w:ascii="標楷體" w:eastAsia="標楷體" w:hAnsi="標楷體"/>
        </w:rPr>
        <w:t>≧</w:t>
      </w:r>
      <w:proofErr w:type="gramEnd"/>
      <w:r>
        <w:rPr>
          <w:rFonts w:ascii="標楷體" w:eastAsia="標楷體" w:hAnsi="標楷體"/>
        </w:rPr>
        <w:t>6分或WPI 3-6、SS scale</w:t>
      </w:r>
      <w:proofErr w:type="gramStart"/>
      <w:r>
        <w:rPr>
          <w:rFonts w:ascii="標楷體" w:eastAsia="標楷體" w:hAnsi="標楷體"/>
        </w:rPr>
        <w:t>≧</w:t>
      </w:r>
      <w:proofErr w:type="gramEnd"/>
      <w:r>
        <w:rPr>
          <w:rFonts w:ascii="標楷體" w:eastAsia="標楷體" w:hAnsi="標楷體"/>
        </w:rPr>
        <w:t>9且pain rating scale</w:t>
      </w:r>
      <w:proofErr w:type="gramStart"/>
      <w:r>
        <w:rPr>
          <w:rFonts w:ascii="標楷體" w:eastAsia="標楷體" w:hAnsi="標楷體"/>
        </w:rPr>
        <w:t>≧</w:t>
      </w:r>
      <w:proofErr w:type="gramEnd"/>
      <w:r>
        <w:rPr>
          <w:rFonts w:ascii="標楷體" w:eastAsia="標楷體" w:hAnsi="標楷體"/>
        </w:rPr>
        <w:t>6分。</w:t>
      </w:r>
    </w:p>
    <w:p w14:paraId="2AF20844"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Ⅱ.症狀持續超過三個月。</w:t>
      </w:r>
    </w:p>
    <w:p w14:paraId="2233F04C"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Ⅲ.應排除其他疾病因素，並於病歷詳載。</w:t>
      </w:r>
    </w:p>
    <w:p w14:paraId="3D96540C" w14:textId="77777777" w:rsidR="00194464" w:rsidRDefault="00194464" w:rsidP="00194464">
      <w:pPr>
        <w:spacing w:line="300" w:lineRule="exact"/>
        <w:ind w:left="1049" w:hanging="341"/>
      </w:pPr>
      <w:r>
        <w:rPr>
          <w:rFonts w:ascii="標楷體" w:eastAsia="標楷體" w:hAnsi="標楷體"/>
        </w:rPr>
        <w:t>(2)</w:t>
      </w:r>
      <w:r>
        <w:t xml:space="preserve"> </w:t>
      </w:r>
      <w:r>
        <w:rPr>
          <w:rFonts w:ascii="標楷體" w:eastAsia="標楷體" w:hAnsi="標楷體"/>
        </w:rPr>
        <w:t>處方醫師資格：(106/3/1、113/12/1)</w:t>
      </w:r>
    </w:p>
    <w:p w14:paraId="4B23324A"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Ⅰ.限風濕免疫科、神經內科、復健科、疼痛專科及精神科醫師使用，不得</w:t>
      </w:r>
      <w:proofErr w:type="gramStart"/>
      <w:r>
        <w:rPr>
          <w:rFonts w:ascii="標楷體" w:eastAsia="標楷體" w:hAnsi="標楷體"/>
        </w:rPr>
        <w:t>併</w:t>
      </w:r>
      <w:proofErr w:type="gramEnd"/>
      <w:r>
        <w:rPr>
          <w:rFonts w:ascii="標楷體" w:eastAsia="標楷體" w:hAnsi="標楷體"/>
        </w:rPr>
        <w:t>用同適應症</w:t>
      </w:r>
      <w:proofErr w:type="gramStart"/>
      <w:r>
        <w:rPr>
          <w:rFonts w:ascii="標楷體" w:eastAsia="標楷體" w:hAnsi="標楷體"/>
        </w:rPr>
        <w:t>之他類藥品</w:t>
      </w:r>
      <w:proofErr w:type="gramEnd"/>
      <w:r>
        <w:rPr>
          <w:rFonts w:ascii="標楷體" w:eastAsia="標楷體" w:hAnsi="標楷體"/>
        </w:rPr>
        <w:t>。(106/3/1)</w:t>
      </w:r>
    </w:p>
    <w:p w14:paraId="204D2A3C"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Ⅱ.全民健保公告之醫療資源缺乏地區及山地離島地區之就醫病人，倘其前經風濕免疫科、神經內科、復健科、疼痛專科及精神科醫師評估診斷符合規定開立過處方並檢附相關診斷證明資料，得由當地醫師處方，並於病歷詳細記載，但不得</w:t>
      </w:r>
      <w:proofErr w:type="gramStart"/>
      <w:r>
        <w:rPr>
          <w:rFonts w:ascii="標楷體" w:eastAsia="標楷體" w:hAnsi="標楷體"/>
        </w:rPr>
        <w:t>併</w:t>
      </w:r>
      <w:proofErr w:type="gramEnd"/>
      <w:r>
        <w:rPr>
          <w:rFonts w:ascii="標楷體" w:eastAsia="標楷體" w:hAnsi="標楷體"/>
        </w:rPr>
        <w:t>用同適應症</w:t>
      </w:r>
      <w:proofErr w:type="gramStart"/>
      <w:r>
        <w:rPr>
          <w:rFonts w:ascii="標楷體" w:eastAsia="標楷體" w:hAnsi="標楷體"/>
        </w:rPr>
        <w:t>之他類藥品</w:t>
      </w:r>
      <w:proofErr w:type="gramEnd"/>
      <w:r>
        <w:rPr>
          <w:rFonts w:ascii="標楷體" w:eastAsia="標楷體" w:hAnsi="標楷體"/>
        </w:rPr>
        <w:t>。(113/12/1)</w:t>
      </w:r>
    </w:p>
    <w:p w14:paraId="4B5A021C"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Ⅲ.全民健保公告之醫療資源缺乏地區及山地離島地區之就醫病人初次診斷，倘符合「全民健康保險遠距醫療給付計畫」，由當地醫師以視訊方式與風濕免疫科、神經內科、復健科、疼痛專科及精神科醫師共同診察，經評估診斷符合規定開立處方，並檢附相關診斷證明資料，得由當地醫師開立處方，並於病歷詳</w:t>
      </w:r>
      <w:r>
        <w:rPr>
          <w:rFonts w:ascii="標楷體" w:eastAsia="標楷體" w:hAnsi="標楷體"/>
        </w:rPr>
        <w:lastRenderedPageBreak/>
        <w:t>細記載，但不得</w:t>
      </w:r>
      <w:proofErr w:type="gramStart"/>
      <w:r>
        <w:rPr>
          <w:rFonts w:ascii="標楷體" w:eastAsia="標楷體" w:hAnsi="標楷體"/>
        </w:rPr>
        <w:t>併</w:t>
      </w:r>
      <w:proofErr w:type="gramEnd"/>
      <w:r>
        <w:rPr>
          <w:rFonts w:ascii="標楷體" w:eastAsia="標楷體" w:hAnsi="標楷體"/>
        </w:rPr>
        <w:t>用同適應症</w:t>
      </w:r>
      <w:proofErr w:type="gramStart"/>
      <w:r>
        <w:rPr>
          <w:rFonts w:ascii="標楷體" w:eastAsia="標楷體" w:hAnsi="標楷體"/>
        </w:rPr>
        <w:t>之他類藥品</w:t>
      </w:r>
      <w:proofErr w:type="gramEnd"/>
      <w:r>
        <w:rPr>
          <w:rFonts w:ascii="標楷體" w:eastAsia="標楷體" w:hAnsi="標楷體"/>
        </w:rPr>
        <w:t>。(113/12/1)</w:t>
      </w:r>
    </w:p>
    <w:p w14:paraId="570FBC7E" w14:textId="77777777" w:rsidR="00194464" w:rsidRPr="002144EC" w:rsidRDefault="00194464" w:rsidP="00194464">
      <w:pPr>
        <w:spacing w:line="300" w:lineRule="exact"/>
        <w:ind w:left="1049" w:hanging="341"/>
        <w:rPr>
          <w:rFonts w:ascii="標楷體" w:eastAsia="標楷體" w:hAnsi="標楷體"/>
          <w:color w:val="000000"/>
        </w:rPr>
      </w:pPr>
      <w:r>
        <w:rPr>
          <w:rFonts w:ascii="標楷體" w:eastAsia="標楷體" w:hAnsi="標楷體"/>
        </w:rPr>
        <w:t>(3)</w:t>
      </w:r>
      <w:r w:rsidRPr="002144EC">
        <w:rPr>
          <w:rFonts w:ascii="標楷體" w:eastAsia="標楷體" w:hAnsi="標楷體"/>
          <w:color w:val="000000"/>
        </w:rPr>
        <w:t xml:space="preserve">如使用3個月後pain rating scale未減少2分以上應予停藥。 </w:t>
      </w:r>
    </w:p>
    <w:p w14:paraId="11BF2330" w14:textId="77777777" w:rsidR="00194464" w:rsidRPr="002144EC" w:rsidRDefault="00194464" w:rsidP="00194464">
      <w:pPr>
        <w:spacing w:line="300" w:lineRule="exact"/>
        <w:ind w:left="1049" w:hanging="341"/>
        <w:rPr>
          <w:rFonts w:ascii="標楷體" w:eastAsia="標楷體" w:hAnsi="標楷體"/>
          <w:color w:val="000000"/>
        </w:rPr>
      </w:pPr>
      <w:r w:rsidRPr="002144EC">
        <w:rPr>
          <w:rFonts w:ascii="標楷體" w:eastAsia="標楷體" w:hAnsi="標楷體"/>
          <w:color w:val="000000"/>
        </w:rPr>
        <w:t>(4)病歷每3個月應記載一次評估結果，每日最大劑量為450mg。</w:t>
      </w:r>
    </w:p>
    <w:p w14:paraId="6CB5B41D" w14:textId="77777777" w:rsidR="00194464" w:rsidRDefault="00194464" w:rsidP="002144EC">
      <w:pPr>
        <w:spacing w:line="300" w:lineRule="exact"/>
        <w:ind w:left="811" w:hanging="245"/>
        <w:rPr>
          <w:rFonts w:ascii="標楷體" w:eastAsia="標楷體" w:hAnsi="標楷體"/>
        </w:rPr>
      </w:pPr>
      <w:r w:rsidRPr="002144EC">
        <w:rPr>
          <w:rFonts w:ascii="標楷體" w:eastAsia="標楷體" w:hAnsi="標楷體"/>
          <w:color w:val="000000"/>
        </w:rPr>
        <w:t>3.使用</w:t>
      </w:r>
      <w:r>
        <w:rPr>
          <w:rFonts w:ascii="標楷體" w:eastAsia="標楷體" w:hAnsi="標楷體"/>
        </w:rPr>
        <w:t>於糖尿病併發周邊神經病變並具有臨床神經疼痛 (neuropathic pain)，且符合以下條件(105/1/1):</w:t>
      </w:r>
    </w:p>
    <w:p w14:paraId="11CBA7E9" w14:textId="77777777" w:rsidR="00194464" w:rsidRDefault="00194464" w:rsidP="002144EC">
      <w:pPr>
        <w:spacing w:line="300" w:lineRule="exact"/>
        <w:ind w:left="1049" w:hanging="341"/>
        <w:rPr>
          <w:rFonts w:ascii="標楷體" w:eastAsia="標楷體" w:hAnsi="標楷體"/>
        </w:rPr>
      </w:pPr>
      <w:r>
        <w:rPr>
          <w:rFonts w:ascii="標楷體" w:eastAsia="標楷體" w:hAnsi="標楷體"/>
        </w:rPr>
        <w:t>(1)經</w:t>
      </w:r>
      <w:r w:rsidRPr="002144EC">
        <w:rPr>
          <w:rFonts w:ascii="標楷體" w:eastAsia="標楷體" w:hAnsi="標楷體"/>
          <w:color w:val="000000"/>
        </w:rPr>
        <w:t>神經科</w:t>
      </w:r>
      <w:r>
        <w:rPr>
          <w:rFonts w:ascii="標楷體" w:eastAsia="標楷體" w:hAnsi="標楷體"/>
        </w:rPr>
        <w:t>專科醫師診斷或經神經傳導(NCV) 檢查證實之多發性神經病變(polyneuropathy)。</w:t>
      </w:r>
    </w:p>
    <w:p w14:paraId="4CF5545C"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(2)Pain rating scale</w:t>
      </w:r>
      <w:proofErr w:type="gramStart"/>
      <w:r>
        <w:rPr>
          <w:rFonts w:ascii="標楷體" w:eastAsia="標楷體" w:hAnsi="標楷體"/>
        </w:rPr>
        <w:t>≧</w:t>
      </w:r>
      <w:proofErr w:type="gramEnd"/>
      <w:r>
        <w:rPr>
          <w:rFonts w:ascii="標楷體" w:eastAsia="標楷體" w:hAnsi="標楷體"/>
        </w:rPr>
        <w:t>4分。</w:t>
      </w:r>
    </w:p>
    <w:p w14:paraId="7AB22888"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(3)不得</w:t>
      </w:r>
      <w:proofErr w:type="gramStart"/>
      <w:r>
        <w:rPr>
          <w:rFonts w:ascii="標楷體" w:eastAsia="標楷體" w:hAnsi="標楷體"/>
        </w:rPr>
        <w:t>併</w:t>
      </w:r>
      <w:proofErr w:type="gramEnd"/>
      <w:r>
        <w:rPr>
          <w:rFonts w:ascii="標楷體" w:eastAsia="標楷體" w:hAnsi="標楷體"/>
        </w:rPr>
        <w:t>用同類適應症之藥品。</w:t>
      </w:r>
    </w:p>
    <w:p w14:paraId="1FC9E4D1"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(4)使用後應每3個月評估一次，並於病歷中記載評估結果，倘Pain rating scale較前一次評估之數值未改善或未持續改善，應予停止使用。</w:t>
      </w:r>
    </w:p>
    <w:p w14:paraId="1F5BDFB3"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(5)每日最大劑量為300 mg。</w:t>
      </w:r>
    </w:p>
    <w:p w14:paraId="22A18B3B" w14:textId="77777777" w:rsidR="00194464" w:rsidRDefault="00194464" w:rsidP="002144EC">
      <w:pPr>
        <w:spacing w:line="300" w:lineRule="exact"/>
        <w:ind w:left="811" w:hanging="245"/>
        <w:rPr>
          <w:rFonts w:ascii="標楷體" w:eastAsia="標楷體" w:hAnsi="標楷體"/>
        </w:rPr>
      </w:pPr>
      <w:r>
        <w:rPr>
          <w:rFonts w:ascii="標楷體" w:eastAsia="標楷體" w:hAnsi="標楷體"/>
        </w:rPr>
        <w:t>4.使用於脊髓損傷所引起的神經性</w:t>
      </w:r>
      <w:proofErr w:type="gramStart"/>
      <w:r>
        <w:rPr>
          <w:rFonts w:ascii="標楷體" w:eastAsia="標楷體" w:hAnsi="標楷體"/>
        </w:rPr>
        <w:t>疼痛(</w:t>
      </w:r>
      <w:proofErr w:type="gramEnd"/>
      <w:r>
        <w:rPr>
          <w:rFonts w:ascii="標楷體" w:eastAsia="標楷體" w:hAnsi="標楷體"/>
        </w:rPr>
        <w:t>不包括Lyrica、</w:t>
      </w:r>
      <w:proofErr w:type="spellStart"/>
      <w:r>
        <w:rPr>
          <w:rFonts w:ascii="標楷體" w:eastAsia="標楷體" w:hAnsi="標楷體"/>
        </w:rPr>
        <w:t>Tirica</w:t>
      </w:r>
      <w:proofErr w:type="spellEnd"/>
      <w:r>
        <w:rPr>
          <w:rFonts w:ascii="標楷體" w:eastAsia="標楷體" w:hAnsi="標楷體"/>
        </w:rPr>
        <w:t>、</w:t>
      </w:r>
      <w:proofErr w:type="spellStart"/>
      <w:r>
        <w:rPr>
          <w:rFonts w:ascii="標楷體" w:eastAsia="標楷體" w:hAnsi="標楷體"/>
        </w:rPr>
        <w:t>Phudialin</w:t>
      </w:r>
      <w:proofErr w:type="spellEnd"/>
      <w:r>
        <w:rPr>
          <w:rFonts w:ascii="標楷體" w:eastAsia="標楷體" w:hAnsi="標楷體"/>
        </w:rPr>
        <w:t>、</w:t>
      </w:r>
      <w:proofErr w:type="spellStart"/>
      <w:r>
        <w:rPr>
          <w:rFonts w:ascii="標楷體" w:eastAsia="標楷體" w:hAnsi="標楷體"/>
        </w:rPr>
        <w:t>Suculin</w:t>
      </w:r>
      <w:proofErr w:type="spellEnd"/>
      <w:r>
        <w:rPr>
          <w:rFonts w:ascii="標楷體" w:eastAsia="標楷體" w:hAnsi="標楷體"/>
        </w:rPr>
        <w:t>、</w:t>
      </w:r>
      <w:proofErr w:type="spellStart"/>
      <w:r>
        <w:rPr>
          <w:rFonts w:ascii="標楷體" w:eastAsia="標楷體" w:hAnsi="標楷體"/>
        </w:rPr>
        <w:t>Bergalin</w:t>
      </w:r>
      <w:proofErr w:type="spellEnd"/>
      <w:r>
        <w:rPr>
          <w:rFonts w:ascii="標楷體" w:eastAsia="標楷體" w:hAnsi="標楷體"/>
        </w:rPr>
        <w:t>、Pregabalin "C.C.P.C."、PMS-Pregabalin、</w:t>
      </w:r>
      <w:proofErr w:type="spellStart"/>
      <w:r>
        <w:rPr>
          <w:rFonts w:ascii="標楷體" w:eastAsia="標楷體" w:hAnsi="標楷體"/>
        </w:rPr>
        <w:t>Probalin</w:t>
      </w:r>
      <w:proofErr w:type="spellEnd"/>
      <w:proofErr w:type="gramStart"/>
      <w:r>
        <w:rPr>
          <w:rFonts w:ascii="標楷體" w:eastAsia="標楷體" w:hAnsi="標楷體"/>
        </w:rPr>
        <w:t>等藥品)，</w:t>
      </w:r>
      <w:proofErr w:type="gramEnd"/>
      <w:r>
        <w:rPr>
          <w:rFonts w:ascii="標楷體" w:eastAsia="標楷體" w:hAnsi="標楷體"/>
        </w:rPr>
        <w:t>且符合以下條件(109/5/1):</w:t>
      </w:r>
    </w:p>
    <w:p w14:paraId="2A670890"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(1)經使用其他止痛劑或非類固醇抗發炎劑治療後無法控制</w:t>
      </w:r>
      <w:proofErr w:type="gramStart"/>
      <w:r>
        <w:rPr>
          <w:rFonts w:ascii="標楷體" w:eastAsia="標楷體" w:hAnsi="標楷體"/>
        </w:rPr>
        <w:t>疼痛(pain rating scale≧</w:t>
      </w:r>
      <w:proofErr w:type="gramEnd"/>
      <w:r>
        <w:rPr>
          <w:rFonts w:ascii="標楷體" w:eastAsia="標楷體" w:hAnsi="標楷體"/>
        </w:rPr>
        <w:t>4)或有嚴重副作用。</w:t>
      </w:r>
    </w:p>
    <w:p w14:paraId="4DC043A5"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(2)每日最大劑量為600mg。</w:t>
      </w:r>
    </w:p>
    <w:p w14:paraId="63EFE7C8"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(3)不得</w:t>
      </w:r>
      <w:proofErr w:type="gramStart"/>
      <w:r>
        <w:rPr>
          <w:rFonts w:ascii="標楷體" w:eastAsia="標楷體" w:hAnsi="標楷體"/>
        </w:rPr>
        <w:t>併</w:t>
      </w:r>
      <w:proofErr w:type="gramEnd"/>
      <w:r>
        <w:rPr>
          <w:rFonts w:ascii="標楷體" w:eastAsia="標楷體" w:hAnsi="標楷體"/>
        </w:rPr>
        <w:t>用同類適應症之藥品。</w:t>
      </w:r>
    </w:p>
    <w:p w14:paraId="5052B326" w14:textId="23ABD20E" w:rsidR="00401786" w:rsidRPr="00194464" w:rsidRDefault="00194464" w:rsidP="00194464">
      <w:pPr>
        <w:spacing w:line="300" w:lineRule="exact"/>
        <w:ind w:left="1076" w:hanging="370"/>
        <w:rPr>
          <w:rFonts w:ascii="標楷體" w:eastAsia="標楷體" w:hAnsi="標楷體"/>
        </w:rPr>
      </w:pPr>
      <w:r>
        <w:rPr>
          <w:rFonts w:ascii="標楷體" w:eastAsia="標楷體" w:hAnsi="標楷體"/>
        </w:rPr>
        <w:t>(4)每3個月評估一次並於病例中記載評估結果，倘pain rating scale較前次評估數值未改善或未持續改善，應予停止使用。</w:t>
      </w:r>
    </w:p>
    <w:p w14:paraId="0FAFAB86" w14:textId="77777777" w:rsidR="00401786" w:rsidRDefault="00C64FB3" w:rsidP="00194464">
      <w:pPr>
        <w:spacing w:line="300" w:lineRule="exact"/>
        <w:ind w:left="706" w:hanging="425"/>
        <w:rPr>
          <w:rFonts w:ascii="標楷體" w:eastAsia="標楷體" w:hAnsi="標楷體"/>
          <w:color w:val="000000"/>
        </w:rPr>
      </w:pPr>
      <w:r>
        <w:rPr>
          <w:rFonts w:ascii="標楷體" w:eastAsia="標楷體" w:hAnsi="標楷體"/>
          <w:color w:val="000000"/>
        </w:rPr>
        <w:t>1.1.8.Duloxetine（如Cymbalta）：(102/8/1、105/2/1、113/12/1)</w:t>
      </w:r>
    </w:p>
    <w:p w14:paraId="6153EAAD" w14:textId="77777777" w:rsidR="00401786" w:rsidRDefault="00C64FB3" w:rsidP="005E56FF">
      <w:pPr>
        <w:spacing w:line="300" w:lineRule="exact"/>
        <w:ind w:left="825" w:hanging="254"/>
        <w:rPr>
          <w:rFonts w:ascii="標楷體" w:eastAsia="標楷體" w:hAnsi="標楷體"/>
          <w:color w:val="000000"/>
        </w:rPr>
      </w:pPr>
      <w:r>
        <w:rPr>
          <w:rFonts w:ascii="標楷體" w:eastAsia="標楷體" w:hAnsi="標楷體"/>
          <w:color w:val="000000"/>
        </w:rPr>
        <w:t>1.使用於糖尿病併發周邊神經病變並具有臨床神經疼痛 (neuropathic pain)，且符合以下條件:</w:t>
      </w:r>
    </w:p>
    <w:p w14:paraId="6B5ED51F"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(1)經神經科專科醫師診斷或經神經傳導(NCV) 檢查證實之多發性神經病變(polyneuropathy)。</w:t>
      </w:r>
    </w:p>
    <w:p w14:paraId="30230424"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(2)Pain rating scale</w:t>
      </w:r>
      <w:proofErr w:type="gramStart"/>
      <w:r>
        <w:rPr>
          <w:rFonts w:ascii="標楷體" w:eastAsia="標楷體" w:hAnsi="標楷體"/>
          <w:color w:val="000000"/>
        </w:rPr>
        <w:t>≧</w:t>
      </w:r>
      <w:proofErr w:type="gramEnd"/>
      <w:r>
        <w:rPr>
          <w:rFonts w:ascii="標楷體" w:eastAsia="標楷體" w:hAnsi="標楷體"/>
          <w:color w:val="000000"/>
        </w:rPr>
        <w:t>4分。</w:t>
      </w:r>
    </w:p>
    <w:p w14:paraId="4A62B8E9" w14:textId="77777777" w:rsidR="00401786" w:rsidRDefault="00C64FB3" w:rsidP="005E56FF">
      <w:pPr>
        <w:spacing w:line="300" w:lineRule="exact"/>
        <w:ind w:left="1133" w:hanging="425"/>
        <w:rPr>
          <w:rFonts w:ascii="標楷體" w:eastAsia="標楷體" w:hAnsi="標楷體"/>
          <w:color w:val="000000"/>
        </w:rPr>
      </w:pPr>
      <w:r>
        <w:rPr>
          <w:rFonts w:ascii="標楷體" w:eastAsia="標楷體" w:hAnsi="標楷體"/>
          <w:color w:val="000000"/>
        </w:rPr>
        <w:t>(3)不得</w:t>
      </w:r>
      <w:proofErr w:type="gramStart"/>
      <w:r>
        <w:rPr>
          <w:rFonts w:ascii="標楷體" w:eastAsia="標楷體" w:hAnsi="標楷體"/>
          <w:color w:val="000000"/>
        </w:rPr>
        <w:t>併</w:t>
      </w:r>
      <w:proofErr w:type="gramEnd"/>
      <w:r>
        <w:rPr>
          <w:rFonts w:ascii="標楷體" w:eastAsia="標楷體" w:hAnsi="標楷體"/>
          <w:color w:val="000000"/>
        </w:rPr>
        <w:t>用同類適應症之藥品。</w:t>
      </w:r>
    </w:p>
    <w:p w14:paraId="485CA8B2" w14:textId="77777777" w:rsidR="00401786" w:rsidRDefault="00C64FB3" w:rsidP="005E56FF">
      <w:pPr>
        <w:spacing w:line="300" w:lineRule="exact"/>
        <w:ind w:left="1076" w:hanging="370"/>
        <w:rPr>
          <w:rFonts w:ascii="標楷體" w:eastAsia="標楷體" w:hAnsi="標楷體"/>
          <w:color w:val="000000"/>
        </w:rPr>
      </w:pPr>
      <w:r>
        <w:rPr>
          <w:rFonts w:ascii="標楷體" w:eastAsia="標楷體" w:hAnsi="標楷體"/>
          <w:color w:val="000000"/>
        </w:rPr>
        <w:t>(4)使用後應每3個月評估一次，並於病歷中記載評估結果，倘Pain rating scale較前一次評估之數值未改善或未持續改善，應予停止使用。</w:t>
      </w:r>
    </w:p>
    <w:p w14:paraId="25C09DA4" w14:textId="77777777" w:rsidR="00401786" w:rsidRDefault="00C64FB3" w:rsidP="005E56FF">
      <w:pPr>
        <w:spacing w:line="300" w:lineRule="exact"/>
        <w:ind w:left="1133" w:hanging="425"/>
        <w:rPr>
          <w:rFonts w:ascii="標楷體" w:eastAsia="標楷體" w:hAnsi="標楷體"/>
          <w:color w:val="000000"/>
        </w:rPr>
      </w:pPr>
      <w:r>
        <w:rPr>
          <w:rFonts w:ascii="標楷體" w:eastAsia="標楷體" w:hAnsi="標楷體"/>
          <w:color w:val="000000"/>
        </w:rPr>
        <w:t>(5)每日最大劑量為60 mg。</w:t>
      </w:r>
    </w:p>
    <w:p w14:paraId="696C6269"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2.使用於纖維肌痛(fibromyalgia)(105/2/1)</w:t>
      </w:r>
    </w:p>
    <w:p w14:paraId="7E083B12"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(1)需符合American College of Rheumatology (ACR)及臨床試驗實證纖維肌痛診斷標準：</w:t>
      </w:r>
    </w:p>
    <w:p w14:paraId="1CCF1515" w14:textId="77777777" w:rsidR="00401786" w:rsidRDefault="00C64FB3" w:rsidP="005E56FF">
      <w:pPr>
        <w:spacing w:line="300" w:lineRule="exact"/>
        <w:ind w:left="1469" w:hanging="365"/>
        <w:rPr>
          <w:rFonts w:ascii="標楷體" w:eastAsia="標楷體" w:hAnsi="標楷體"/>
          <w:color w:val="000000"/>
        </w:rPr>
      </w:pPr>
      <w:proofErr w:type="spellStart"/>
      <w:r>
        <w:rPr>
          <w:rFonts w:ascii="標楷體" w:eastAsia="標楷體" w:hAnsi="標楷體"/>
          <w:color w:val="000000"/>
        </w:rPr>
        <w:t>Ⅰ.WPI</w:t>
      </w:r>
      <w:proofErr w:type="spellEnd"/>
      <w:r>
        <w:rPr>
          <w:rFonts w:ascii="標楷體" w:eastAsia="標楷體" w:hAnsi="標楷體"/>
          <w:color w:val="000000"/>
        </w:rPr>
        <w:t>(wide spread pain index)</w:t>
      </w:r>
      <w:proofErr w:type="gramStart"/>
      <w:r>
        <w:rPr>
          <w:rFonts w:ascii="標楷體" w:eastAsia="標楷體" w:hAnsi="標楷體"/>
          <w:color w:val="000000"/>
        </w:rPr>
        <w:t>≧</w:t>
      </w:r>
      <w:proofErr w:type="gramEnd"/>
      <w:r>
        <w:rPr>
          <w:rFonts w:ascii="標楷體" w:eastAsia="標楷體" w:hAnsi="標楷體"/>
          <w:color w:val="000000"/>
        </w:rPr>
        <w:t>7、Symptom severity (SS)</w:t>
      </w:r>
      <w:proofErr w:type="gramStart"/>
      <w:r>
        <w:rPr>
          <w:rFonts w:ascii="標楷體" w:eastAsia="標楷體" w:hAnsi="標楷體"/>
          <w:color w:val="000000"/>
        </w:rPr>
        <w:t>≧</w:t>
      </w:r>
      <w:proofErr w:type="gramEnd"/>
      <w:r>
        <w:rPr>
          <w:rFonts w:ascii="標楷體" w:eastAsia="標楷體" w:hAnsi="標楷體"/>
          <w:color w:val="000000"/>
        </w:rPr>
        <w:t>5且pain rating scale</w:t>
      </w:r>
      <w:proofErr w:type="gramStart"/>
      <w:r>
        <w:rPr>
          <w:rFonts w:ascii="標楷體" w:eastAsia="標楷體" w:hAnsi="標楷體"/>
          <w:color w:val="000000"/>
        </w:rPr>
        <w:t>≧</w:t>
      </w:r>
      <w:proofErr w:type="gramEnd"/>
      <w:r>
        <w:rPr>
          <w:rFonts w:ascii="標楷體" w:eastAsia="標楷體" w:hAnsi="標楷體"/>
          <w:color w:val="000000"/>
        </w:rPr>
        <w:t>6分或WPI 3-6、SS scale</w:t>
      </w:r>
      <w:proofErr w:type="gramStart"/>
      <w:r>
        <w:rPr>
          <w:rFonts w:ascii="標楷體" w:eastAsia="標楷體" w:hAnsi="標楷體"/>
          <w:color w:val="000000"/>
        </w:rPr>
        <w:t>≧</w:t>
      </w:r>
      <w:proofErr w:type="gramEnd"/>
      <w:r>
        <w:rPr>
          <w:rFonts w:ascii="標楷體" w:eastAsia="標楷體" w:hAnsi="標楷體"/>
          <w:color w:val="000000"/>
        </w:rPr>
        <w:t>9且pain rating scale</w:t>
      </w:r>
      <w:proofErr w:type="gramStart"/>
      <w:r>
        <w:rPr>
          <w:rFonts w:ascii="標楷體" w:eastAsia="標楷體" w:hAnsi="標楷體"/>
          <w:color w:val="000000"/>
        </w:rPr>
        <w:t>≧</w:t>
      </w:r>
      <w:proofErr w:type="gramEnd"/>
      <w:r>
        <w:rPr>
          <w:rFonts w:ascii="標楷體" w:eastAsia="標楷體" w:hAnsi="標楷體"/>
          <w:color w:val="000000"/>
        </w:rPr>
        <w:t>6分。</w:t>
      </w:r>
    </w:p>
    <w:p w14:paraId="4F687DB3" w14:textId="77777777" w:rsidR="00401786" w:rsidRDefault="00C64FB3" w:rsidP="005E56FF">
      <w:pPr>
        <w:spacing w:line="300" w:lineRule="exact"/>
        <w:ind w:left="1104"/>
        <w:rPr>
          <w:rFonts w:ascii="標楷體" w:eastAsia="標楷體" w:hAnsi="標楷體"/>
          <w:color w:val="000000"/>
        </w:rPr>
      </w:pPr>
      <w:r>
        <w:rPr>
          <w:rFonts w:ascii="標楷體" w:eastAsia="標楷體" w:hAnsi="標楷體"/>
          <w:color w:val="000000"/>
        </w:rPr>
        <w:t>Ⅱ.症狀持續超過三個月。</w:t>
      </w:r>
    </w:p>
    <w:p w14:paraId="76AB2945" w14:textId="77777777" w:rsidR="00401786" w:rsidRDefault="00C64FB3" w:rsidP="005E56FF">
      <w:pPr>
        <w:spacing w:line="300" w:lineRule="exact"/>
        <w:ind w:left="1104"/>
        <w:rPr>
          <w:rFonts w:ascii="標楷體" w:eastAsia="標楷體" w:hAnsi="標楷體"/>
          <w:color w:val="000000"/>
        </w:rPr>
      </w:pPr>
      <w:r>
        <w:rPr>
          <w:rFonts w:ascii="標楷體" w:eastAsia="標楷體" w:hAnsi="標楷體"/>
          <w:color w:val="000000"/>
        </w:rPr>
        <w:t>Ⅲ.應排除其他疾病因素，並於病歷詳載。</w:t>
      </w:r>
    </w:p>
    <w:p w14:paraId="1F5B35D4"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(2)處方醫師資格：(105/2/1、113/12/1)</w:t>
      </w:r>
    </w:p>
    <w:p w14:paraId="092CBFF0" w14:textId="77777777" w:rsidR="00401786" w:rsidRDefault="00C64FB3" w:rsidP="005E56FF">
      <w:pPr>
        <w:spacing w:line="300" w:lineRule="exact"/>
        <w:ind w:left="1469" w:hanging="365"/>
        <w:rPr>
          <w:rFonts w:ascii="標楷體" w:eastAsia="標楷體" w:hAnsi="標楷體"/>
          <w:color w:val="000000"/>
        </w:rPr>
      </w:pPr>
      <w:r>
        <w:rPr>
          <w:rFonts w:ascii="標楷體" w:eastAsia="標楷體" w:hAnsi="標楷體"/>
          <w:color w:val="000000"/>
        </w:rPr>
        <w:t>Ⅰ.限風濕免疫科、神經內科、復健科、疼痛專科及精神科醫師使用，不得</w:t>
      </w:r>
      <w:proofErr w:type="gramStart"/>
      <w:r>
        <w:rPr>
          <w:rFonts w:ascii="標楷體" w:eastAsia="標楷體" w:hAnsi="標楷體"/>
          <w:color w:val="000000"/>
        </w:rPr>
        <w:t>併</w:t>
      </w:r>
      <w:proofErr w:type="gramEnd"/>
      <w:r>
        <w:rPr>
          <w:rFonts w:ascii="標楷體" w:eastAsia="標楷體" w:hAnsi="標楷體"/>
          <w:color w:val="000000"/>
        </w:rPr>
        <w:t>用同適應症</w:t>
      </w:r>
      <w:proofErr w:type="gramStart"/>
      <w:r>
        <w:rPr>
          <w:rFonts w:ascii="標楷體" w:eastAsia="標楷體" w:hAnsi="標楷體"/>
          <w:color w:val="000000"/>
        </w:rPr>
        <w:t>之他類藥品</w:t>
      </w:r>
      <w:proofErr w:type="gramEnd"/>
      <w:r>
        <w:rPr>
          <w:rFonts w:ascii="標楷體" w:eastAsia="標楷體" w:hAnsi="標楷體"/>
          <w:color w:val="000000"/>
        </w:rPr>
        <w:t>。</w:t>
      </w:r>
    </w:p>
    <w:p w14:paraId="14CC1D54" w14:textId="77777777" w:rsidR="00401786" w:rsidRDefault="00C64FB3" w:rsidP="005E56FF">
      <w:pPr>
        <w:spacing w:line="300" w:lineRule="exact"/>
        <w:ind w:left="1469" w:hanging="365"/>
        <w:rPr>
          <w:rFonts w:ascii="標楷體" w:eastAsia="標楷體" w:hAnsi="標楷體"/>
          <w:color w:val="000000"/>
        </w:rPr>
      </w:pPr>
      <w:r>
        <w:rPr>
          <w:rFonts w:ascii="標楷體" w:eastAsia="標楷體" w:hAnsi="標楷體"/>
          <w:color w:val="000000"/>
        </w:rPr>
        <w:t>Ⅱ.全民健保公告之醫療資源缺乏地區及山地離島地區之就醫病人，倘其前經風濕免疫科、神經內科、復健科、疼痛專科及精神科醫師評估診斷符合規定開立過處方並檢附相關診斷證明資料，得由當地醫師處方，並於病歷詳細記載，但不得</w:t>
      </w:r>
      <w:proofErr w:type="gramStart"/>
      <w:r>
        <w:rPr>
          <w:rFonts w:ascii="標楷體" w:eastAsia="標楷體" w:hAnsi="標楷體"/>
          <w:color w:val="000000"/>
        </w:rPr>
        <w:t>併</w:t>
      </w:r>
      <w:proofErr w:type="gramEnd"/>
      <w:r>
        <w:rPr>
          <w:rFonts w:ascii="標楷體" w:eastAsia="標楷體" w:hAnsi="標楷體"/>
          <w:color w:val="000000"/>
        </w:rPr>
        <w:t>用同適應症</w:t>
      </w:r>
      <w:proofErr w:type="gramStart"/>
      <w:r>
        <w:rPr>
          <w:rFonts w:ascii="標楷體" w:eastAsia="標楷體" w:hAnsi="標楷體"/>
          <w:color w:val="000000"/>
        </w:rPr>
        <w:t>之他類藥品</w:t>
      </w:r>
      <w:proofErr w:type="gramEnd"/>
      <w:r>
        <w:rPr>
          <w:rFonts w:ascii="標楷體" w:eastAsia="標楷體" w:hAnsi="標楷體"/>
          <w:color w:val="000000"/>
        </w:rPr>
        <w:t>。 (113/12/1)</w:t>
      </w:r>
    </w:p>
    <w:p w14:paraId="758DC966" w14:textId="77777777" w:rsidR="00401786" w:rsidRDefault="00C64FB3" w:rsidP="005E56FF">
      <w:pPr>
        <w:spacing w:line="300" w:lineRule="exact"/>
        <w:ind w:left="1469" w:hanging="365"/>
        <w:rPr>
          <w:rFonts w:ascii="標楷體" w:eastAsia="標楷體" w:hAnsi="標楷體"/>
          <w:color w:val="000000"/>
        </w:rPr>
      </w:pPr>
      <w:r>
        <w:rPr>
          <w:rFonts w:ascii="標楷體" w:eastAsia="標楷體" w:hAnsi="標楷體"/>
          <w:color w:val="000000"/>
        </w:rPr>
        <w:t>Ⅲ.全民健保公告之醫療資源缺乏地區及山地離島地區之就醫病人初次診斷，倘符合「全民健康保險遠距醫療給付計畫」，由當地醫師以視訊方式與風濕免疫科、神經內科、復健科、疼痛專科及精神科醫師共同診察，經評估診斷符合規</w:t>
      </w:r>
      <w:r>
        <w:rPr>
          <w:rFonts w:ascii="標楷體" w:eastAsia="標楷體" w:hAnsi="標楷體"/>
          <w:color w:val="000000"/>
        </w:rPr>
        <w:lastRenderedPageBreak/>
        <w:t>定開立處方，並檢附相關診斷證明資料，得由當地醫師開立處方，並於病歷詳細記載，但不得</w:t>
      </w:r>
      <w:proofErr w:type="gramStart"/>
      <w:r>
        <w:rPr>
          <w:rFonts w:ascii="標楷體" w:eastAsia="標楷體" w:hAnsi="標楷體"/>
          <w:color w:val="000000"/>
        </w:rPr>
        <w:t>併</w:t>
      </w:r>
      <w:proofErr w:type="gramEnd"/>
      <w:r>
        <w:rPr>
          <w:rFonts w:ascii="標楷體" w:eastAsia="標楷體" w:hAnsi="標楷體"/>
          <w:color w:val="000000"/>
        </w:rPr>
        <w:t>用同適應症</w:t>
      </w:r>
      <w:proofErr w:type="gramStart"/>
      <w:r>
        <w:rPr>
          <w:rFonts w:ascii="標楷體" w:eastAsia="標楷體" w:hAnsi="標楷體"/>
          <w:color w:val="000000"/>
        </w:rPr>
        <w:t>之他類藥品</w:t>
      </w:r>
      <w:proofErr w:type="gramEnd"/>
      <w:r>
        <w:rPr>
          <w:rFonts w:ascii="標楷體" w:eastAsia="標楷體" w:hAnsi="標楷體"/>
          <w:color w:val="000000"/>
        </w:rPr>
        <w:t>。(113/12/1)</w:t>
      </w:r>
    </w:p>
    <w:p w14:paraId="5B743C7F"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(3)如使用3個月後pain rating scale未減少2分以上應予停藥。</w:t>
      </w:r>
    </w:p>
    <w:p w14:paraId="1541CA74"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(4)病歷每3個月應記載一次評估結果，每日最大劑量為60mg。</w:t>
      </w:r>
    </w:p>
    <w:p w14:paraId="1800705A" w14:textId="77777777" w:rsidR="00401786" w:rsidRDefault="00C64FB3" w:rsidP="002144EC">
      <w:pPr>
        <w:spacing w:line="300" w:lineRule="exact"/>
        <w:ind w:left="706" w:hanging="425"/>
        <w:rPr>
          <w:rFonts w:ascii="標楷體" w:eastAsia="標楷體" w:hAnsi="標楷體"/>
          <w:color w:val="000000"/>
        </w:rPr>
      </w:pPr>
      <w:r>
        <w:rPr>
          <w:rFonts w:ascii="標楷體" w:eastAsia="標楷體" w:hAnsi="標楷體"/>
          <w:color w:val="000000"/>
        </w:rPr>
        <w:t>1.1.9. Fentanyl citrate口</w:t>
      </w:r>
      <w:proofErr w:type="gramStart"/>
      <w:r>
        <w:rPr>
          <w:rFonts w:ascii="標楷體" w:eastAsia="標楷體" w:hAnsi="標楷體"/>
          <w:color w:val="000000"/>
        </w:rPr>
        <w:t>頰溶片</w:t>
      </w:r>
      <w:proofErr w:type="gramEnd"/>
      <w:r>
        <w:rPr>
          <w:rFonts w:ascii="標楷體" w:eastAsia="標楷體" w:hAnsi="標楷體"/>
          <w:color w:val="000000"/>
        </w:rPr>
        <w:t>或口頰錠(108/10/1、111/2/1)</w:t>
      </w:r>
    </w:p>
    <w:p w14:paraId="63E2E69D" w14:textId="77777777" w:rsidR="00401786" w:rsidRDefault="00C64FB3" w:rsidP="005E56FF">
      <w:pPr>
        <w:spacing w:line="300" w:lineRule="exact"/>
        <w:ind w:left="993" w:hanging="316"/>
        <w:rPr>
          <w:rFonts w:ascii="標楷體" w:eastAsia="標楷體" w:hAnsi="標楷體"/>
          <w:color w:val="000000"/>
        </w:rPr>
      </w:pPr>
      <w:r>
        <w:rPr>
          <w:rFonts w:ascii="標楷體" w:eastAsia="標楷體" w:hAnsi="標楷體"/>
          <w:color w:val="000000"/>
        </w:rPr>
        <w:t>1.限用於突發性</w:t>
      </w:r>
      <w:proofErr w:type="gramStart"/>
      <w:r>
        <w:rPr>
          <w:rFonts w:ascii="標楷體" w:eastAsia="標楷體" w:hAnsi="標楷體"/>
          <w:color w:val="000000"/>
        </w:rPr>
        <w:t>疼痛(</w:t>
      </w:r>
      <w:proofErr w:type="gramEnd"/>
      <w:r>
        <w:rPr>
          <w:rFonts w:ascii="標楷體" w:eastAsia="標楷體" w:hAnsi="標楷體"/>
          <w:color w:val="000000"/>
        </w:rPr>
        <w:t>breakthrough pain)，並已接受過口服morphine至少60mg/day、oxycodone至少30mg/day、hydromorphone至少8mg/day、或fentanyl貼片劑至少25/mcg/</w:t>
      </w:r>
      <w:proofErr w:type="spellStart"/>
      <w:r>
        <w:rPr>
          <w:rFonts w:ascii="標楷體" w:eastAsia="標楷體" w:hAnsi="標楷體"/>
          <w:color w:val="000000"/>
        </w:rPr>
        <w:t>hr</w:t>
      </w:r>
      <w:proofErr w:type="spellEnd"/>
      <w:r>
        <w:rPr>
          <w:rFonts w:ascii="標楷體" w:eastAsia="標楷體" w:hAnsi="標楷體"/>
          <w:color w:val="000000"/>
        </w:rPr>
        <w:t>或其他等止痛劑量之類鴉片藥物達一星期(含)以上之18歲以上癌症患者(111/2/1)。</w:t>
      </w:r>
    </w:p>
    <w:p w14:paraId="12B5FE8A" w14:textId="77777777" w:rsidR="00401786" w:rsidRDefault="00C64FB3" w:rsidP="005E56FF">
      <w:pPr>
        <w:spacing w:line="300" w:lineRule="exact"/>
        <w:ind w:left="706" w:firstLine="2"/>
        <w:rPr>
          <w:rFonts w:ascii="標楷體" w:eastAsia="標楷體" w:hAnsi="標楷體"/>
          <w:color w:val="000000"/>
        </w:rPr>
      </w:pPr>
      <w:r>
        <w:rPr>
          <w:rFonts w:ascii="標楷體" w:eastAsia="標楷體" w:hAnsi="標楷體"/>
          <w:color w:val="000000"/>
        </w:rPr>
        <w:t>2.不得用於急性或術後疼痛之處置。</w:t>
      </w:r>
    </w:p>
    <w:p w14:paraId="6AF29E04" w14:textId="77777777" w:rsidR="00401786" w:rsidRPr="002144EC" w:rsidRDefault="00C64FB3" w:rsidP="002144EC">
      <w:pPr>
        <w:spacing w:line="300" w:lineRule="exact"/>
        <w:ind w:left="706" w:hanging="425"/>
        <w:rPr>
          <w:rFonts w:ascii="標楷體" w:eastAsia="標楷體" w:hAnsi="標楷體"/>
          <w:color w:val="000000"/>
        </w:rPr>
      </w:pPr>
      <w:r>
        <w:rPr>
          <w:rFonts w:ascii="標楷體" w:eastAsia="標楷體" w:hAnsi="標楷體"/>
          <w:color w:val="000000"/>
        </w:rPr>
        <w:t>1.1.10.</w:t>
      </w:r>
      <w:r w:rsidRPr="002144EC">
        <w:rPr>
          <w:rFonts w:ascii="標楷體" w:eastAsia="標楷體" w:hAnsi="標楷體"/>
          <w:color w:val="000000"/>
        </w:rPr>
        <w:t xml:space="preserve"> </w:t>
      </w:r>
      <w:r>
        <w:rPr>
          <w:rFonts w:ascii="標楷體" w:eastAsia="標楷體" w:hAnsi="標楷體"/>
          <w:color w:val="000000"/>
        </w:rPr>
        <w:t>Acetaminophen 80mg</w:t>
      </w:r>
      <w:proofErr w:type="gramStart"/>
      <w:r>
        <w:rPr>
          <w:rFonts w:ascii="標楷體" w:eastAsia="標楷體" w:hAnsi="標楷體"/>
          <w:color w:val="000000"/>
        </w:rPr>
        <w:t>一般錠劑膠囊</w:t>
      </w:r>
      <w:proofErr w:type="gramEnd"/>
      <w:r>
        <w:rPr>
          <w:rFonts w:ascii="標楷體" w:eastAsia="標楷體" w:hAnsi="標楷體"/>
          <w:color w:val="000000"/>
        </w:rPr>
        <w:t>劑：(112/6/1) 限用於6歲以下病人。</w:t>
      </w:r>
    </w:p>
    <w:p w14:paraId="78A4EDE5" w14:textId="77777777" w:rsidR="00401786" w:rsidRDefault="00C64FB3" w:rsidP="005E56FF">
      <w:pPr>
        <w:spacing w:line="300" w:lineRule="exact"/>
        <w:ind w:left="706" w:hanging="425"/>
        <w:rPr>
          <w:rFonts w:ascii="標楷體" w:eastAsia="標楷體" w:hAnsi="標楷體"/>
          <w:color w:val="000000"/>
        </w:rPr>
      </w:pPr>
      <w:r>
        <w:rPr>
          <w:rFonts w:ascii="標楷體" w:eastAsia="標楷體" w:hAnsi="標楷體"/>
          <w:color w:val="000000"/>
        </w:rPr>
        <w:t>1.2.精神治療劑  Psychotherapeutic drugs</w:t>
      </w:r>
    </w:p>
    <w:p w14:paraId="6A476080" w14:textId="77777777" w:rsidR="00401786" w:rsidRDefault="00C64FB3" w:rsidP="005E56FF">
      <w:pPr>
        <w:spacing w:line="300" w:lineRule="exact"/>
        <w:ind w:left="706" w:hanging="425"/>
        <w:rPr>
          <w:rFonts w:ascii="標楷體" w:eastAsia="標楷體" w:hAnsi="標楷體"/>
          <w:color w:val="000000"/>
        </w:rPr>
      </w:pPr>
      <w:r>
        <w:rPr>
          <w:rFonts w:ascii="標楷體" w:eastAsia="標楷體" w:hAnsi="標楷體"/>
          <w:color w:val="000000"/>
        </w:rPr>
        <w:t>1.2.1.選擇性血清</w:t>
      </w:r>
      <w:proofErr w:type="gramStart"/>
      <w:r>
        <w:rPr>
          <w:rFonts w:ascii="標楷體" w:eastAsia="標楷體" w:hAnsi="標楷體"/>
          <w:color w:val="000000"/>
        </w:rPr>
        <w:t>促進素再吸收</w:t>
      </w:r>
      <w:proofErr w:type="gramEnd"/>
      <w:r>
        <w:rPr>
          <w:rFonts w:ascii="標楷體" w:eastAsia="標楷體" w:hAnsi="標楷體"/>
          <w:color w:val="000000"/>
        </w:rPr>
        <w:t>抑制劑 (SSRI)、血清促進素及正腎上腺素再吸收抑制劑 (SNRI)及其他抗憂鬱劑（fluvoxamine maleate、fluoxetine、paroxetine、sertraline、venlafaxine、milnacipran、mirtazapine、citalopram、escitalopram、duloxetine、agomelatine、vortioxetine等製劑）：(88/12/1、89/10/1、91/5/1、92/6/1、93/5/1、94/2/1、94/12/1、99/10/1、101/7/1、107/3/1)</w:t>
      </w:r>
    </w:p>
    <w:p w14:paraId="4F4E0782" w14:textId="77777777" w:rsidR="00401786" w:rsidRDefault="00C64FB3" w:rsidP="005E56FF">
      <w:pPr>
        <w:spacing w:line="300" w:lineRule="exact"/>
        <w:ind w:left="708"/>
        <w:rPr>
          <w:rFonts w:ascii="標楷體" w:eastAsia="標楷體" w:hAnsi="標楷體"/>
          <w:color w:val="000000"/>
        </w:rPr>
      </w:pPr>
      <w:r>
        <w:rPr>
          <w:rFonts w:ascii="標楷體" w:eastAsia="標楷體" w:hAnsi="標楷體"/>
          <w:color w:val="000000"/>
        </w:rPr>
        <w:t>使用時病歷上應詳細註明診斷依據及使用理由。</w:t>
      </w:r>
    </w:p>
    <w:p w14:paraId="7F82ED79"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1.2.1.1.Bupropion HCL：(92/1/1、99/10/1)</w:t>
      </w:r>
    </w:p>
    <w:p w14:paraId="5CDD46B2"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作為戒菸治療者不予給付。</w:t>
      </w:r>
    </w:p>
    <w:p w14:paraId="2FEE11BA"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1.2.2.抗精神病劑Antipsychotics</w:t>
      </w:r>
    </w:p>
    <w:p w14:paraId="5B2AD819"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1.2.2.1.Clozapine（如Clozaril）</w:t>
      </w:r>
    </w:p>
    <w:p w14:paraId="15B1148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1.限精神科專科醫師使用。</w:t>
      </w:r>
    </w:p>
    <w:p w14:paraId="456CF93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2.前18</w:t>
      </w:r>
      <w:proofErr w:type="gramStart"/>
      <w:r>
        <w:rPr>
          <w:rFonts w:ascii="標楷體" w:eastAsia="標楷體" w:hAnsi="標楷體"/>
          <w:color w:val="000000"/>
        </w:rPr>
        <w:t>週</w:t>
      </w:r>
      <w:proofErr w:type="gramEnd"/>
      <w:r>
        <w:rPr>
          <w:rFonts w:ascii="標楷體" w:eastAsia="標楷體" w:hAnsi="標楷體"/>
          <w:color w:val="000000"/>
        </w:rPr>
        <w:t>使用時，每週需作白血球檢驗，每次處方以七日為限，使用18</w:t>
      </w:r>
      <w:proofErr w:type="gramStart"/>
      <w:r>
        <w:rPr>
          <w:rFonts w:ascii="標楷體" w:eastAsia="標楷體" w:hAnsi="標楷體"/>
          <w:color w:val="000000"/>
        </w:rPr>
        <w:t>週</w:t>
      </w:r>
      <w:proofErr w:type="gramEnd"/>
      <w:r>
        <w:rPr>
          <w:rFonts w:ascii="標楷體" w:eastAsia="標楷體" w:hAnsi="標楷體"/>
          <w:color w:val="000000"/>
        </w:rPr>
        <w:t>後，每月作一次白血球檢驗。</w:t>
      </w:r>
    </w:p>
    <w:p w14:paraId="00A0ECE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3.申報費用時，應檢附白血球檢驗報告。</w:t>
      </w:r>
    </w:p>
    <w:p w14:paraId="38ADF9F1" w14:textId="77777777" w:rsidR="00401786" w:rsidRDefault="00C64FB3" w:rsidP="005E56FF">
      <w:pPr>
        <w:spacing w:line="300" w:lineRule="exact"/>
        <w:ind w:left="672" w:hanging="386"/>
      </w:pPr>
      <w:r>
        <w:rPr>
          <w:rFonts w:ascii="標楷體" w:eastAsia="標楷體" w:hAnsi="標楷體"/>
          <w:color w:val="000000"/>
        </w:rPr>
        <w:t>1.2.2.2.Second generation antipsychotics(簡稱第二代抗精神病藥品，如clozapine、olanzapine、risperidone、quetiapine、amisulpride、ziprasidone、aripiprazole、paliperidone、lurasidone、</w:t>
      </w:r>
      <w:proofErr w:type="spellStart"/>
      <w:r>
        <w:rPr>
          <w:rFonts w:ascii="標楷體" w:eastAsia="標楷體" w:hAnsi="標楷體"/>
          <w:color w:val="000000"/>
        </w:rPr>
        <w:t>brexpiprazole</w:t>
      </w:r>
      <w:proofErr w:type="spellEnd"/>
      <w:r>
        <w:rPr>
          <w:rFonts w:ascii="標楷體" w:eastAsia="標楷體" w:hAnsi="標楷體"/>
          <w:color w:val="000000"/>
        </w:rPr>
        <w:t>等)：(91/9/1、92/1/1、92/7/1、94/1/1、95/10/1、97/5/1、99/10/1、106/1/1、109/1/1、109/6/1、112/7/1)</w:t>
      </w:r>
    </w:p>
    <w:p w14:paraId="055A7516" w14:textId="77777777" w:rsidR="00401786" w:rsidRDefault="00C64FB3" w:rsidP="002144EC">
      <w:pPr>
        <w:spacing w:line="300" w:lineRule="exact"/>
        <w:ind w:left="993" w:hanging="316"/>
      </w:pPr>
      <w:r>
        <w:rPr>
          <w:rFonts w:ascii="標楷體" w:eastAsia="標楷體" w:hAnsi="標楷體"/>
          <w:color w:val="000000"/>
        </w:rPr>
        <w:t>1.</w:t>
      </w:r>
      <w:r>
        <w:t xml:space="preserve"> </w:t>
      </w:r>
      <w:proofErr w:type="gramStart"/>
      <w:r>
        <w:rPr>
          <w:rFonts w:ascii="標楷體" w:eastAsia="標楷體" w:hAnsi="標楷體"/>
          <w:color w:val="000000"/>
        </w:rPr>
        <w:t>本類製</w:t>
      </w:r>
      <w:proofErr w:type="gramEnd"/>
      <w:r>
        <w:rPr>
          <w:rFonts w:ascii="標楷體" w:eastAsia="標楷體" w:hAnsi="標楷體"/>
          <w:color w:val="000000"/>
        </w:rPr>
        <w:t>劑之使用需符合下列條件(95/10/1、97/5/1、99/10/1、106/1/1、109/1/1、112/7/1)：</w:t>
      </w:r>
    </w:p>
    <w:p w14:paraId="7A4A8675" w14:textId="77777777" w:rsidR="00401786" w:rsidRPr="002144EC" w:rsidRDefault="00C64FB3" w:rsidP="002144EC">
      <w:pPr>
        <w:spacing w:line="300" w:lineRule="exact"/>
        <w:ind w:left="1102" w:hanging="396"/>
        <w:rPr>
          <w:rFonts w:ascii="標楷體" w:eastAsia="標楷體" w:hAnsi="標楷體"/>
          <w:color w:val="000000"/>
        </w:rPr>
      </w:pPr>
      <w:r>
        <w:rPr>
          <w:rFonts w:ascii="標楷體" w:eastAsia="標楷體" w:hAnsi="標楷體"/>
          <w:color w:val="000000"/>
        </w:rPr>
        <w:t>(1)</w:t>
      </w:r>
      <w:r>
        <w:t xml:space="preserve"> </w:t>
      </w:r>
      <w:r>
        <w:rPr>
          <w:rFonts w:ascii="標楷體" w:eastAsia="標楷體" w:hAnsi="標楷體"/>
          <w:color w:val="000000"/>
        </w:rPr>
        <w:t>開始使用「第二代抗精神病藥品」時需於病歷記載：醫療理由或診斷。(112/7/1)。</w:t>
      </w:r>
    </w:p>
    <w:p w14:paraId="181542EC" w14:textId="77777777" w:rsidR="00401786" w:rsidRDefault="00C64FB3" w:rsidP="002144EC">
      <w:pPr>
        <w:spacing w:line="300" w:lineRule="exact"/>
        <w:ind w:left="1102" w:hanging="396"/>
        <w:rPr>
          <w:rFonts w:ascii="標楷體" w:eastAsia="標楷體" w:hAnsi="標楷體"/>
          <w:color w:val="000000"/>
        </w:rPr>
      </w:pPr>
      <w:r>
        <w:rPr>
          <w:rFonts w:ascii="標楷體" w:eastAsia="標楷體" w:hAnsi="標楷體"/>
          <w:color w:val="000000"/>
        </w:rPr>
        <w:t>(2)日劑量超過下列治療劑量時，需於病歷記載理由：</w:t>
      </w:r>
    </w:p>
    <w:p w14:paraId="02B51A80"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clozapine 400 mg/day</w:t>
      </w:r>
    </w:p>
    <w:p w14:paraId="78C64DE7"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risperidone 6 mg/day</w:t>
      </w:r>
    </w:p>
    <w:p w14:paraId="6AA799F8"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olanzapine 20 mg/day</w:t>
      </w:r>
    </w:p>
    <w:p w14:paraId="3ACAA406"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quetiapine 600 mg/day</w:t>
      </w:r>
    </w:p>
    <w:p w14:paraId="0B03475C"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amisulpride 800mg/day (92/1/1)</w:t>
      </w:r>
    </w:p>
    <w:p w14:paraId="17D54B59"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ziprasidone 120mg/day (92/7/1)</w:t>
      </w:r>
    </w:p>
    <w:p w14:paraId="6CB84E46"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aripiprazole 15mg/day (94/1/1)</w:t>
      </w:r>
    </w:p>
    <w:p w14:paraId="759FD56D"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paliperidone 12mg/day (97/5/1</w:t>
      </w:r>
      <w:proofErr w:type="gramStart"/>
      <w:r>
        <w:rPr>
          <w:rFonts w:ascii="標楷體" w:eastAsia="標楷體" w:hAnsi="標楷體"/>
          <w:color w:val="000000"/>
        </w:rPr>
        <w:t>）</w:t>
      </w:r>
      <w:proofErr w:type="gramEnd"/>
    </w:p>
    <w:p w14:paraId="0FCBBC7F"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lurasidone 120mg/day (106/1/1</w:t>
      </w:r>
      <w:proofErr w:type="gramStart"/>
      <w:r>
        <w:rPr>
          <w:rFonts w:ascii="標楷體" w:eastAsia="標楷體" w:hAnsi="標楷體"/>
          <w:color w:val="000000"/>
        </w:rPr>
        <w:t>）</w:t>
      </w:r>
      <w:proofErr w:type="gramEnd"/>
    </w:p>
    <w:p w14:paraId="160B1E65" w14:textId="77777777" w:rsidR="00401786" w:rsidRDefault="00C64FB3" w:rsidP="005E56FF">
      <w:pPr>
        <w:spacing w:line="300" w:lineRule="exact"/>
        <w:ind w:left="1063"/>
        <w:rPr>
          <w:rFonts w:ascii="標楷體" w:eastAsia="標楷體" w:hAnsi="標楷體"/>
          <w:color w:val="000000"/>
        </w:rPr>
      </w:pPr>
      <w:proofErr w:type="spellStart"/>
      <w:r>
        <w:rPr>
          <w:rFonts w:ascii="標楷體" w:eastAsia="標楷體" w:hAnsi="標楷體"/>
          <w:color w:val="000000"/>
        </w:rPr>
        <w:t>brexpiprazole</w:t>
      </w:r>
      <w:proofErr w:type="spellEnd"/>
      <w:r>
        <w:rPr>
          <w:rFonts w:ascii="標楷體" w:eastAsia="標楷體" w:hAnsi="標楷體"/>
          <w:color w:val="000000"/>
        </w:rPr>
        <w:t xml:space="preserve"> 4mg/day (109/1/1)</w:t>
      </w:r>
    </w:p>
    <w:p w14:paraId="4399BC64" w14:textId="77777777" w:rsidR="00401786" w:rsidRDefault="00C64FB3" w:rsidP="002144EC">
      <w:pPr>
        <w:spacing w:line="300" w:lineRule="exact"/>
        <w:ind w:left="993" w:hanging="31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本類藥品</w:t>
      </w:r>
      <w:proofErr w:type="gramEnd"/>
      <w:r>
        <w:rPr>
          <w:rFonts w:ascii="標楷體" w:eastAsia="標楷體" w:hAnsi="標楷體"/>
          <w:color w:val="000000"/>
        </w:rPr>
        <w:t>除quetiapine</w:t>
      </w:r>
      <w:proofErr w:type="gramStart"/>
      <w:r>
        <w:rPr>
          <w:rFonts w:ascii="標楷體" w:eastAsia="標楷體" w:hAnsi="標楷體"/>
          <w:color w:val="000000"/>
        </w:rPr>
        <w:t>緩釋劑</w:t>
      </w:r>
      <w:proofErr w:type="gramEnd"/>
      <w:r>
        <w:rPr>
          <w:rFonts w:ascii="標楷體" w:eastAsia="標楷體" w:hAnsi="標楷體"/>
          <w:color w:val="000000"/>
        </w:rPr>
        <w:t>型及lurasidone外，不得使用於雙極性疾患之鬱症</w:t>
      </w:r>
      <w:r>
        <w:rPr>
          <w:rFonts w:ascii="標楷體" w:eastAsia="標楷體" w:hAnsi="標楷體"/>
          <w:color w:val="000000"/>
        </w:rPr>
        <w:lastRenderedPageBreak/>
        <w:t>發作。(95/10/1、109/6/1)</w:t>
      </w:r>
    </w:p>
    <w:p w14:paraId="7BDD2EE7" w14:textId="77777777" w:rsidR="00401786" w:rsidRDefault="00C64FB3" w:rsidP="002144EC">
      <w:pPr>
        <w:spacing w:line="300" w:lineRule="exact"/>
        <w:ind w:left="993" w:hanging="316"/>
        <w:rPr>
          <w:rFonts w:ascii="標楷體" w:eastAsia="標楷體" w:hAnsi="標楷體"/>
          <w:color w:val="000000"/>
        </w:rPr>
      </w:pPr>
      <w:r>
        <w:rPr>
          <w:rFonts w:ascii="標楷體" w:eastAsia="標楷體" w:hAnsi="標楷體"/>
          <w:color w:val="000000"/>
        </w:rPr>
        <w:t>3.Olanzapine用於預防雙極性疾患復發時，限lithium、carbamazepine、valproate等藥品至少使用兩種以上，治療無效或無法耐受副作用時使用。(95/10/1)</w:t>
      </w:r>
    </w:p>
    <w:p w14:paraId="6F5D474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1.2.3.Zaleplon、zolpidem、zopiclone及eszopiclone（98/1/1、98/5/1、98/10/1、102/11/1）</w:t>
      </w:r>
    </w:p>
    <w:p w14:paraId="6885710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1.使用安眠藥物，病歷應詳載病人發生睡眠障礙的情形，並作適當的評估和診斷，探討可能的原因，並提供衛教建立良好睡眠習慣。(98/5/1)</w:t>
      </w:r>
    </w:p>
    <w:p w14:paraId="624EC0F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2.非精神科醫師、神經科專科醫師若</w:t>
      </w:r>
      <w:proofErr w:type="gramStart"/>
      <w:r>
        <w:rPr>
          <w:rFonts w:ascii="標楷體" w:eastAsia="標楷體" w:hAnsi="標楷體"/>
          <w:color w:val="000000"/>
        </w:rPr>
        <w:t>需開立本類</w:t>
      </w:r>
      <w:proofErr w:type="gramEnd"/>
      <w:r>
        <w:rPr>
          <w:rFonts w:ascii="標楷體" w:eastAsia="標楷體" w:hAnsi="標楷體"/>
          <w:color w:val="000000"/>
        </w:rPr>
        <w:t>藥品，每日不宜超過一顆，連續治療期間不宜超過6個月。若因病情需長期使用，病歷應載明原因，必要時轉精神科、神經科專科醫師評估其繼續使用的適當性。(98/5/1、98/10/1)</w:t>
      </w:r>
    </w:p>
    <w:p w14:paraId="024E656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3.精神科、神經科專科醫師應針對必須連續</w:t>
      </w:r>
      <w:proofErr w:type="gramStart"/>
      <w:r>
        <w:rPr>
          <w:rFonts w:ascii="標楷體" w:eastAsia="標楷體" w:hAnsi="標楷體"/>
          <w:color w:val="000000"/>
        </w:rPr>
        <w:t>使用本藥的</w:t>
      </w:r>
      <w:proofErr w:type="gramEnd"/>
      <w:r>
        <w:rPr>
          <w:rFonts w:ascii="標楷體" w:eastAsia="標楷體" w:hAnsi="標楷體"/>
          <w:color w:val="000000"/>
        </w:rPr>
        <w:t>個案，提出合理的診斷，並在病歷上詳細記錄。(98/5/1、98/10/1)</w:t>
      </w:r>
    </w:p>
    <w:p w14:paraId="149502C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4.依一般使用指引不建議各種安眠藥</w:t>
      </w:r>
      <w:proofErr w:type="gramStart"/>
      <w:r>
        <w:rPr>
          <w:rFonts w:ascii="標楷體" w:eastAsia="標楷體" w:hAnsi="標楷體"/>
          <w:color w:val="000000"/>
        </w:rPr>
        <w:t>併</w:t>
      </w:r>
      <w:proofErr w:type="gramEnd"/>
      <w:r>
        <w:rPr>
          <w:rFonts w:ascii="標楷體" w:eastAsia="標楷體" w:hAnsi="標楷體"/>
          <w:color w:val="000000"/>
        </w:rPr>
        <w:t>用，應依睡眠障礙型態處方安眠藥，若需不同半衰期之藥物</w:t>
      </w:r>
      <w:proofErr w:type="gramStart"/>
      <w:r>
        <w:rPr>
          <w:rFonts w:ascii="標楷體" w:eastAsia="標楷體" w:hAnsi="標楷體"/>
          <w:color w:val="000000"/>
        </w:rPr>
        <w:t>併</w:t>
      </w:r>
      <w:proofErr w:type="gramEnd"/>
      <w:r>
        <w:rPr>
          <w:rFonts w:ascii="標楷體" w:eastAsia="標楷體" w:hAnsi="標楷體"/>
          <w:color w:val="000000"/>
        </w:rPr>
        <w:t>用應有明確之睡眠障礙型態描述紀錄，且應在合理劑量範圍內。(98/5/1)</w:t>
      </w:r>
    </w:p>
    <w:p w14:paraId="339938E9"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5.對於首次就診尚未建立穩定</w:t>
      </w:r>
      <w:proofErr w:type="gramStart"/>
      <w:r>
        <w:rPr>
          <w:rFonts w:ascii="標楷體" w:eastAsia="標楷體" w:hAnsi="標楷體"/>
          <w:color w:val="000000"/>
        </w:rPr>
        <w:t>醫</w:t>
      </w:r>
      <w:proofErr w:type="gramEnd"/>
      <w:r>
        <w:rPr>
          <w:rFonts w:ascii="標楷體" w:eastAsia="標楷體" w:hAnsi="標楷體"/>
          <w:color w:val="000000"/>
        </w:rPr>
        <w:t>病關係之病患，限處方7日內安眠藥管制藥品。(98/5/1)</w:t>
      </w:r>
    </w:p>
    <w:p w14:paraId="1829033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6.zaleplon成分藥品用於治療難以入睡之失眠病人，僅適用於嚴重，病人功能障礙或遭受極度壓力之失眠症患者，用於65歲以上病患時，起始劑量為每日5mg (98/1/1、98/10/1)</w:t>
      </w:r>
    </w:p>
    <w:p w14:paraId="786DDE4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7.成人病患使用eszopiclone成分藥品之起始</w:t>
      </w:r>
      <w:proofErr w:type="gramStart"/>
      <w:r>
        <w:rPr>
          <w:rFonts w:ascii="標楷體" w:eastAsia="標楷體" w:hAnsi="標楷體"/>
          <w:color w:val="000000"/>
        </w:rPr>
        <w:t>劑量為睡前</w:t>
      </w:r>
      <w:proofErr w:type="gramEnd"/>
      <w:r>
        <w:rPr>
          <w:rFonts w:ascii="標楷體" w:eastAsia="標楷體" w:hAnsi="標楷體"/>
          <w:color w:val="000000"/>
        </w:rPr>
        <w:t>1mg，最高</w:t>
      </w:r>
      <w:proofErr w:type="gramStart"/>
      <w:r>
        <w:rPr>
          <w:rFonts w:ascii="標楷體" w:eastAsia="標楷體" w:hAnsi="標楷體"/>
          <w:color w:val="000000"/>
        </w:rPr>
        <w:t>劑量為睡前</w:t>
      </w:r>
      <w:proofErr w:type="gramEnd"/>
      <w:r>
        <w:rPr>
          <w:rFonts w:ascii="標楷體" w:eastAsia="標楷體" w:hAnsi="標楷體"/>
          <w:color w:val="000000"/>
        </w:rPr>
        <w:t>3mg，65歲以上病患之最高劑量為2mg。(102/11/1</w:t>
      </w:r>
      <w:proofErr w:type="gramStart"/>
      <w:r>
        <w:rPr>
          <w:rFonts w:ascii="標楷體" w:eastAsia="標楷體" w:hAnsi="標楷體"/>
          <w:color w:val="000000"/>
        </w:rPr>
        <w:t>）</w:t>
      </w:r>
      <w:proofErr w:type="gramEnd"/>
    </w:p>
    <w:p w14:paraId="29F61115"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1.3.神經藥物  Neurologic drugs</w:t>
      </w:r>
    </w:p>
    <w:p w14:paraId="5FFA15B0"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1.3.1.骨骼肌鬆弛劑Skeletal muscle relaxants</w:t>
      </w:r>
    </w:p>
    <w:p w14:paraId="181EF095"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1.3.1.1.Tizanidine HCl (如</w:t>
      </w:r>
      <w:proofErr w:type="spellStart"/>
      <w:r>
        <w:rPr>
          <w:rFonts w:ascii="標楷體" w:eastAsia="標楷體" w:hAnsi="標楷體"/>
          <w:color w:val="000000"/>
        </w:rPr>
        <w:t>Sirdalud</w:t>
      </w:r>
      <w:proofErr w:type="spellEnd"/>
      <w:r>
        <w:rPr>
          <w:rFonts w:ascii="標楷體" w:eastAsia="標楷體" w:hAnsi="標楷體"/>
          <w:color w:val="000000"/>
        </w:rPr>
        <w:t xml:space="preserve"> tab)：(90/10/1)</w:t>
      </w:r>
    </w:p>
    <w:p w14:paraId="76005054"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限下列病患使用</w:t>
      </w:r>
    </w:p>
    <w:p w14:paraId="05169C4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1.神經系統疾病引起痙攣症狀之病例。</w:t>
      </w:r>
    </w:p>
    <w:p w14:paraId="4F77247E"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2.急性疼痛性肌肉痙攣病例。</w:t>
      </w:r>
    </w:p>
    <w:p w14:paraId="28BFCC8B"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1.3.2.抗癲癇劑Antiepileptic drugs</w:t>
      </w:r>
    </w:p>
    <w:p w14:paraId="6116B102"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1.3.2.1.Sodium valproate注射劑 (如</w:t>
      </w:r>
      <w:proofErr w:type="spellStart"/>
      <w:r>
        <w:rPr>
          <w:rFonts w:ascii="標楷體" w:eastAsia="標楷體" w:hAnsi="標楷體"/>
          <w:color w:val="000000"/>
        </w:rPr>
        <w:t>Depakine</w:t>
      </w:r>
      <w:proofErr w:type="spellEnd"/>
      <w:r>
        <w:rPr>
          <w:rFonts w:ascii="標楷體" w:eastAsia="標楷體" w:hAnsi="標楷體"/>
          <w:color w:val="000000"/>
        </w:rPr>
        <w:t xml:space="preserve"> Lyophilized Injection)(89/7/1、93/2/1、93/6/1、102/10/1)</w:t>
      </w:r>
    </w:p>
    <w:p w14:paraId="3E9182A0"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限癲癇症病患使用，且符合以下其中之一項者使用：</w:t>
      </w:r>
    </w:p>
    <w:p w14:paraId="6F4D195A" w14:textId="77777777" w:rsidR="00401786" w:rsidRDefault="00C64FB3" w:rsidP="005E56FF">
      <w:pPr>
        <w:spacing w:line="300" w:lineRule="exact"/>
        <w:ind w:left="851" w:hanging="285"/>
        <w:rPr>
          <w:rFonts w:ascii="標楷體" w:eastAsia="標楷體" w:hAnsi="標楷體"/>
          <w:color w:val="000000"/>
        </w:rPr>
      </w:pPr>
      <w:r>
        <w:rPr>
          <w:rFonts w:ascii="標楷體" w:eastAsia="標楷體" w:hAnsi="標楷體"/>
          <w:color w:val="000000"/>
        </w:rPr>
        <w:t>1.對phenytoin注射劑無效或無法忍受phenytoin副作用且無法口服valproic acid之病患。</w:t>
      </w:r>
    </w:p>
    <w:p w14:paraId="7BD27ABE"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2.癲癇連續發作 (Seizure clusters) 之病患。</w:t>
      </w:r>
    </w:p>
    <w:p w14:paraId="54BBBE56"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癲癇重積狀態</w:t>
      </w:r>
      <w:proofErr w:type="gramEnd"/>
      <w:r>
        <w:rPr>
          <w:rFonts w:ascii="標楷體" w:eastAsia="標楷體" w:hAnsi="標楷體"/>
          <w:color w:val="000000"/>
        </w:rPr>
        <w:t>(Status epilepticus) 之病患。</w:t>
      </w:r>
    </w:p>
    <w:p w14:paraId="4181D810" w14:textId="77777777" w:rsidR="00401786" w:rsidRDefault="00C64FB3" w:rsidP="005E56FF">
      <w:pPr>
        <w:spacing w:line="300" w:lineRule="exact"/>
        <w:ind w:left="672" w:hanging="386"/>
        <w:rPr>
          <w:rFonts w:ascii="標楷體" w:eastAsia="標楷體" w:hAnsi="標楷體"/>
        </w:rPr>
      </w:pPr>
      <w:r>
        <w:rPr>
          <w:rFonts w:ascii="標楷體" w:eastAsia="標楷體" w:hAnsi="標楷體"/>
        </w:rPr>
        <w:t>1.3.2.2.Gabapentin (如Neurontin)、vigabatrin (如Sabril)、tiagabine (如</w:t>
      </w:r>
      <w:proofErr w:type="spellStart"/>
      <w:r>
        <w:rPr>
          <w:rFonts w:ascii="標楷體" w:eastAsia="標楷體" w:hAnsi="標楷體"/>
        </w:rPr>
        <w:t>Gabitril</w:t>
      </w:r>
      <w:proofErr w:type="spellEnd"/>
      <w:r>
        <w:rPr>
          <w:rFonts w:ascii="標楷體" w:eastAsia="標楷體" w:hAnsi="標楷體"/>
        </w:rPr>
        <w:t>)、pregabalin(如Lyrica)：(89/9/1、89/2/1、93/6/1、96/3/1、97/1/1、97/10/1、101/2/1、102/1/1、104/6/1、104/11/1、107/2/1、107/8/1、110/5/1</w:t>
      </w:r>
      <w:proofErr w:type="gramStart"/>
      <w:r>
        <w:rPr>
          <w:rFonts w:ascii="標楷體" w:eastAsia="標楷體" w:hAnsi="標楷體"/>
        </w:rPr>
        <w:t>）</w:t>
      </w:r>
      <w:proofErr w:type="gramEnd"/>
    </w:p>
    <w:p w14:paraId="2D4AAA17" w14:textId="77777777" w:rsidR="00401786" w:rsidRDefault="00C64FB3" w:rsidP="005E56FF">
      <w:pPr>
        <w:spacing w:line="300" w:lineRule="exact"/>
        <w:ind w:left="798" w:hanging="1"/>
      </w:pPr>
      <w:r>
        <w:rPr>
          <w:rFonts w:ascii="標楷體" w:eastAsia="標楷體" w:hAnsi="標楷體"/>
        </w:rPr>
        <w:t>限用於其他抗癲癇藥物無法有效控制之局部癲癇發作之輔助性治療(add on therapy)。</w:t>
      </w:r>
    </w:p>
    <w:p w14:paraId="246C0AC0" w14:textId="77777777" w:rsidR="00401786" w:rsidRDefault="00C64FB3" w:rsidP="005E56FF">
      <w:pPr>
        <w:spacing w:line="300" w:lineRule="exact"/>
        <w:ind w:left="847" w:hanging="566"/>
        <w:rPr>
          <w:rFonts w:ascii="標楷體" w:eastAsia="標楷體" w:hAnsi="標楷體"/>
          <w:color w:val="000000"/>
        </w:rPr>
      </w:pPr>
      <w:r>
        <w:rPr>
          <w:rFonts w:ascii="標楷體" w:eastAsia="標楷體" w:hAnsi="標楷體"/>
          <w:color w:val="000000"/>
        </w:rPr>
        <w:t>1.3.2.3.Topiramate(如Topamax 、</w:t>
      </w:r>
      <w:proofErr w:type="spellStart"/>
      <w:r>
        <w:rPr>
          <w:rFonts w:ascii="標楷體" w:eastAsia="標楷體" w:hAnsi="標楷體"/>
          <w:color w:val="000000"/>
        </w:rPr>
        <w:t>Trokendi</w:t>
      </w:r>
      <w:proofErr w:type="spellEnd"/>
      <w:proofErr w:type="gramStart"/>
      <w:r>
        <w:rPr>
          <w:rFonts w:ascii="標楷體" w:eastAsia="標楷體" w:hAnsi="標楷體"/>
          <w:color w:val="000000"/>
        </w:rPr>
        <w:t>）</w:t>
      </w:r>
      <w:proofErr w:type="gram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90/9/1、92/11/1、93/6/1、94/3/1、94/9/1、95/1/1、99/5/1、99/10/1、107/11/1、110/12/1)</w:t>
      </w:r>
    </w:p>
    <w:p w14:paraId="5FE52BC9"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1.限用於其他抗癲癇藥物無法有效控制之局部癲癇發作之輔助治療(add on therapy)或作為第二線之單一藥物治療。</w:t>
      </w:r>
    </w:p>
    <w:p w14:paraId="75CD9528"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2.用於預防偏頭痛之治療：(94/3/1、94/9/1、95/1/1、99/5/1、99/10/1、110/12/1</w:t>
      </w:r>
      <w:proofErr w:type="gramStart"/>
      <w:r>
        <w:rPr>
          <w:rFonts w:ascii="標楷體" w:eastAsia="標楷體" w:hAnsi="標楷體"/>
          <w:color w:val="000000"/>
        </w:rPr>
        <w:t>）</w:t>
      </w:r>
      <w:proofErr w:type="gramEnd"/>
    </w:p>
    <w:p w14:paraId="6AE0293F"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(1)限符合國際頭痛協會偏頭痛診斷標準並有以下任</w:t>
      </w:r>
      <w:proofErr w:type="gramStart"/>
      <w:r>
        <w:rPr>
          <w:rFonts w:ascii="標楷體" w:eastAsia="標楷體" w:hAnsi="標楷體"/>
          <w:color w:val="000000"/>
        </w:rPr>
        <w:t>一</w:t>
      </w:r>
      <w:proofErr w:type="gramEnd"/>
      <w:r>
        <w:rPr>
          <w:rFonts w:ascii="標楷體" w:eastAsia="標楷體" w:hAnsi="標楷體"/>
          <w:color w:val="000000"/>
        </w:rPr>
        <w:t>狀況之偏頭痛患者，且對現有</w:t>
      </w:r>
      <w:r>
        <w:rPr>
          <w:rFonts w:ascii="標楷體" w:eastAsia="標楷體" w:hAnsi="標楷體"/>
          <w:color w:val="000000"/>
        </w:rPr>
        <w:lastRenderedPageBreak/>
        <w:t>預防藥物療效不佳或無法忍受副作用或有使用禁忌者使用。</w:t>
      </w:r>
    </w:p>
    <w:p w14:paraId="349B50B2"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  I.即使使用急性藥物，反覆發作偏頭痛已嚴重影響到患者的日常生活。</w:t>
      </w:r>
    </w:p>
    <w:p w14:paraId="45738B6A" w14:textId="77777777" w:rsidR="00401786" w:rsidRDefault="00C64FB3" w:rsidP="005E56FF">
      <w:pPr>
        <w:spacing w:line="300" w:lineRule="exact"/>
        <w:ind w:left="1416" w:hanging="612"/>
        <w:rPr>
          <w:rFonts w:ascii="標楷體" w:eastAsia="標楷體" w:hAnsi="標楷體"/>
          <w:color w:val="000000"/>
        </w:rPr>
      </w:pPr>
      <w:r>
        <w:rPr>
          <w:rFonts w:ascii="標楷體" w:eastAsia="標楷體" w:hAnsi="標楷體"/>
          <w:color w:val="000000"/>
        </w:rPr>
        <w:t xml:space="preserve">  Ⅱ.特殊病例，如偏癱性偏頭痛、</w:t>
      </w:r>
      <w:proofErr w:type="gramStart"/>
      <w:r>
        <w:rPr>
          <w:rFonts w:ascii="標楷體" w:eastAsia="標楷體" w:hAnsi="標楷體"/>
          <w:color w:val="000000"/>
        </w:rPr>
        <w:t>基底性偏頭痛</w:t>
      </w:r>
      <w:proofErr w:type="gramEnd"/>
      <w:r>
        <w:rPr>
          <w:rFonts w:ascii="標楷體" w:eastAsia="標楷體" w:hAnsi="標楷體"/>
          <w:color w:val="000000"/>
        </w:rPr>
        <w:t>、偏頭痛之前預兆時間過長或是偏頭痛梗塞等。</w:t>
      </w:r>
    </w:p>
    <w:p w14:paraId="7CB837AC"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  Ⅲ.偏頭痛發作頻繁，每星期2次(含)以上。</w:t>
      </w:r>
    </w:p>
    <w:p w14:paraId="423CBD57"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(2)Topiramate每日治療劑量超過100mg時，需於病歷詳細記載使用理 </w:t>
      </w:r>
    </w:p>
    <w:p w14:paraId="2F389630"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   由。</w:t>
      </w:r>
    </w:p>
    <w:p w14:paraId="28E67246" w14:textId="77777777" w:rsidR="00401786" w:rsidRDefault="00C64FB3" w:rsidP="005E56FF">
      <w:pPr>
        <w:spacing w:line="300" w:lineRule="exact"/>
        <w:ind w:left="284" w:hanging="1"/>
        <w:rPr>
          <w:rFonts w:ascii="標楷體" w:eastAsia="標楷體" w:hAnsi="標楷體"/>
          <w:color w:val="000000"/>
        </w:rPr>
      </w:pPr>
      <w:r>
        <w:rPr>
          <w:rFonts w:ascii="標楷體" w:eastAsia="標楷體" w:hAnsi="標楷體"/>
          <w:color w:val="000000"/>
        </w:rPr>
        <w:t>1.3.2.4.Levetiracetam</w:t>
      </w:r>
      <w:proofErr w:type="gramStart"/>
      <w:r>
        <w:rPr>
          <w:rFonts w:ascii="標楷體" w:eastAsia="標楷體" w:hAnsi="標楷體"/>
          <w:color w:val="000000"/>
        </w:rPr>
        <w:t>（</w:t>
      </w:r>
      <w:proofErr w:type="gramEnd"/>
      <w:r>
        <w:rPr>
          <w:rFonts w:ascii="標楷體" w:eastAsia="標楷體" w:hAnsi="標楷體"/>
          <w:color w:val="000000"/>
        </w:rPr>
        <w:t>101/6/1、102/10/1、108/5/1、111/2/1)</w:t>
      </w:r>
    </w:p>
    <w:p w14:paraId="2BBAC22B" w14:textId="77777777" w:rsidR="00401786" w:rsidRDefault="00C64FB3" w:rsidP="005E56FF">
      <w:pPr>
        <w:spacing w:line="300" w:lineRule="exact"/>
        <w:ind w:left="567" w:hanging="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一般錠劑膠囊</w:t>
      </w:r>
      <w:proofErr w:type="gramEnd"/>
      <w:r>
        <w:rPr>
          <w:rFonts w:ascii="標楷體" w:eastAsia="標楷體" w:hAnsi="標楷體"/>
          <w:color w:val="000000"/>
        </w:rPr>
        <w:t>劑（如Keppra Film-Coated Tablets）：</w:t>
      </w:r>
      <w:proofErr w:type="gramStart"/>
      <w:r>
        <w:rPr>
          <w:rFonts w:ascii="標楷體" w:eastAsia="標楷體" w:hAnsi="標楷體"/>
          <w:color w:val="000000"/>
        </w:rPr>
        <w:t>（</w:t>
      </w:r>
      <w:proofErr w:type="gramEnd"/>
      <w:r>
        <w:rPr>
          <w:rFonts w:ascii="標楷體" w:eastAsia="標楷體" w:hAnsi="標楷體"/>
          <w:color w:val="000000"/>
        </w:rPr>
        <w:t>97/1/1、101/6/1)</w:t>
      </w:r>
    </w:p>
    <w:p w14:paraId="36B7C430" w14:textId="77777777" w:rsidR="00401786" w:rsidRDefault="00C64FB3" w:rsidP="005E56FF">
      <w:pPr>
        <w:spacing w:line="300" w:lineRule="exact"/>
        <w:ind w:left="851" w:hanging="1"/>
        <w:rPr>
          <w:rFonts w:ascii="標楷體" w:eastAsia="標楷體" w:hAnsi="標楷體"/>
          <w:color w:val="000000"/>
        </w:rPr>
      </w:pPr>
      <w:r>
        <w:rPr>
          <w:rFonts w:ascii="標楷體" w:eastAsia="標楷體" w:hAnsi="標楷體"/>
          <w:color w:val="000000"/>
        </w:rPr>
        <w:t>(1)限用於其他抗癲癇藥物無法有效控制之局部癲癇發作之輔助性治療 (add on therapy) 或作為第二線之單一藥物治療。</w:t>
      </w:r>
    </w:p>
    <w:p w14:paraId="42EE33BD" w14:textId="77777777" w:rsidR="00401786" w:rsidRDefault="00C64FB3" w:rsidP="005E56FF">
      <w:pPr>
        <w:spacing w:line="300" w:lineRule="exact"/>
        <w:ind w:left="851" w:hanging="1"/>
        <w:rPr>
          <w:rFonts w:ascii="標楷體" w:eastAsia="標楷體" w:hAnsi="標楷體"/>
          <w:color w:val="000000"/>
        </w:rPr>
      </w:pPr>
      <w:r>
        <w:rPr>
          <w:rFonts w:ascii="標楷體" w:eastAsia="標楷體" w:hAnsi="標楷體"/>
          <w:color w:val="000000"/>
        </w:rPr>
        <w:t>(2)12歲以上病患</w:t>
      </w:r>
      <w:proofErr w:type="gramStart"/>
      <w:r>
        <w:rPr>
          <w:rFonts w:ascii="標楷體" w:eastAsia="標楷體" w:hAnsi="標楷體"/>
          <w:color w:val="000000"/>
        </w:rPr>
        <w:t>之肌抽躍性</w:t>
      </w:r>
      <w:proofErr w:type="gramEnd"/>
      <w:r>
        <w:rPr>
          <w:rFonts w:ascii="標楷體" w:eastAsia="標楷體" w:hAnsi="標楷體"/>
          <w:color w:val="000000"/>
        </w:rPr>
        <w:t>癲癇發作之輔助治療(111/2/1)。</w:t>
      </w:r>
    </w:p>
    <w:p w14:paraId="4743AC62" w14:textId="77777777" w:rsidR="00401786" w:rsidRDefault="00C64FB3" w:rsidP="005E56FF">
      <w:pPr>
        <w:spacing w:line="300" w:lineRule="exact"/>
        <w:ind w:left="567" w:hanging="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緩釋錠劑</w:t>
      </w:r>
      <w:proofErr w:type="gramEnd"/>
      <w:r>
        <w:rPr>
          <w:rFonts w:ascii="標楷體" w:eastAsia="標楷體" w:hAnsi="標楷體"/>
          <w:color w:val="000000"/>
        </w:rPr>
        <w:t>膠囊劑：（101/6/1、108/5/1）</w:t>
      </w:r>
    </w:p>
    <w:p w14:paraId="0A38F376" w14:textId="77777777" w:rsidR="00401786" w:rsidRDefault="00C64FB3" w:rsidP="005E56FF">
      <w:pPr>
        <w:spacing w:line="300" w:lineRule="exact"/>
        <w:ind w:left="851" w:hanging="1"/>
        <w:rPr>
          <w:rFonts w:ascii="標楷體" w:eastAsia="標楷體" w:hAnsi="標楷體"/>
          <w:color w:val="000000"/>
        </w:rPr>
      </w:pPr>
      <w:r>
        <w:rPr>
          <w:rFonts w:ascii="標楷體" w:eastAsia="標楷體" w:hAnsi="標楷體"/>
          <w:color w:val="000000"/>
        </w:rPr>
        <w:t>限使用於16歲以上病患之局部癲癇發作之輔助治療(111/2/1)。</w:t>
      </w:r>
    </w:p>
    <w:p w14:paraId="45E0B0C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3.口服液劑（如Keppra Oral Solution）：（97/4/1）</w:t>
      </w:r>
    </w:p>
    <w:p w14:paraId="57E9F9D6"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限用於其他抗癲癇藥物無法有效控制之局部癲癇發作之輔助性治療 (add on therapy)。</w:t>
      </w:r>
    </w:p>
    <w:p w14:paraId="46226E2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4.注射劑（如Keppra 濃縮輸注液）：（101/3/1、102/10/1）</w:t>
      </w:r>
    </w:p>
    <w:p w14:paraId="31E84E65" w14:textId="77777777" w:rsidR="00401786" w:rsidRDefault="00C64FB3" w:rsidP="005E56FF">
      <w:pPr>
        <w:spacing w:line="300" w:lineRule="exact"/>
        <w:ind w:left="811" w:firstLine="1"/>
        <w:rPr>
          <w:rFonts w:ascii="標楷體" w:eastAsia="標楷體" w:hAnsi="標楷體"/>
          <w:color w:val="000000"/>
        </w:rPr>
      </w:pPr>
      <w:r>
        <w:rPr>
          <w:rFonts w:ascii="標楷體" w:eastAsia="標楷體" w:hAnsi="標楷體"/>
          <w:color w:val="000000"/>
        </w:rPr>
        <w:t>限癲癇症病患使用，且符合以下其中之一項者使用：</w:t>
      </w:r>
    </w:p>
    <w:p w14:paraId="38144113" w14:textId="77777777" w:rsidR="00401786" w:rsidRDefault="00C64FB3" w:rsidP="005E56FF">
      <w:pPr>
        <w:spacing w:line="300" w:lineRule="exact"/>
        <w:ind w:left="1133" w:hanging="281"/>
        <w:rPr>
          <w:rFonts w:ascii="標楷體" w:eastAsia="標楷體" w:hAnsi="標楷體"/>
          <w:color w:val="000000"/>
        </w:rPr>
      </w:pPr>
      <w:r>
        <w:rPr>
          <w:rFonts w:ascii="標楷體" w:eastAsia="標楷體" w:hAnsi="標楷體"/>
          <w:color w:val="000000"/>
        </w:rPr>
        <w:t>(1)對phenytoin注射劑無效或無法忍受phenytoin副作用且無法口服levetiracetam之病患。</w:t>
      </w:r>
    </w:p>
    <w:p w14:paraId="7C113B35" w14:textId="77777777" w:rsidR="00401786" w:rsidRDefault="00C64FB3" w:rsidP="005E56FF">
      <w:pPr>
        <w:spacing w:line="300" w:lineRule="exact"/>
        <w:ind w:left="1133" w:hanging="281"/>
        <w:rPr>
          <w:rFonts w:ascii="標楷體" w:eastAsia="標楷體" w:hAnsi="標楷體"/>
          <w:color w:val="000000"/>
        </w:rPr>
      </w:pPr>
      <w:r>
        <w:rPr>
          <w:rFonts w:ascii="標楷體" w:eastAsia="標楷體" w:hAnsi="標楷體"/>
          <w:color w:val="000000"/>
        </w:rPr>
        <w:t>(2)癲癇連續發作 (Seizure clusters) 之病患。</w:t>
      </w:r>
    </w:p>
    <w:p w14:paraId="3C196122" w14:textId="77777777" w:rsidR="00401786" w:rsidRDefault="00C64FB3" w:rsidP="005E56FF">
      <w:pPr>
        <w:spacing w:line="300" w:lineRule="exact"/>
        <w:ind w:left="1133" w:hanging="28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癲癇重積狀態</w:t>
      </w:r>
      <w:proofErr w:type="gramEnd"/>
      <w:r>
        <w:rPr>
          <w:rFonts w:ascii="標楷體" w:eastAsia="標楷體" w:hAnsi="標楷體"/>
          <w:color w:val="000000"/>
        </w:rPr>
        <w:t>(Status epilepticus) 之病患。</w:t>
      </w:r>
    </w:p>
    <w:p w14:paraId="34B01903" w14:textId="77777777" w:rsidR="00401786" w:rsidRDefault="00C64FB3" w:rsidP="005E56FF">
      <w:pPr>
        <w:spacing w:line="300" w:lineRule="exact"/>
        <w:ind w:left="567" w:hanging="245"/>
        <w:rPr>
          <w:rFonts w:ascii="標楷體" w:eastAsia="標楷體" w:hAnsi="標楷體"/>
          <w:color w:val="000000"/>
        </w:rPr>
      </w:pPr>
      <w:r>
        <w:rPr>
          <w:rFonts w:ascii="標楷體" w:eastAsia="標楷體" w:hAnsi="標楷體"/>
          <w:color w:val="000000"/>
        </w:rPr>
        <w:t xml:space="preserve">1.3.2.5.Lamotrigine (如Lamictal) </w:t>
      </w:r>
      <w:proofErr w:type="gramStart"/>
      <w:r>
        <w:rPr>
          <w:rFonts w:ascii="標楷體" w:eastAsia="標楷體" w:hAnsi="標楷體"/>
          <w:color w:val="000000"/>
        </w:rPr>
        <w:t>（</w:t>
      </w:r>
      <w:proofErr w:type="gramEnd"/>
      <w:r>
        <w:rPr>
          <w:rFonts w:ascii="標楷體" w:eastAsia="標楷體" w:hAnsi="標楷體"/>
          <w:color w:val="000000"/>
        </w:rPr>
        <w:t>97/10/1、111/2/1)</w:t>
      </w:r>
    </w:p>
    <w:p w14:paraId="62BC62C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限下列病患使用：</w:t>
      </w:r>
    </w:p>
    <w:p w14:paraId="702557B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1.限用於其他抗癲癇藥物無法有效控制之局部癲癇發作之輔助性治療(add on therapy)或作為第二線之單一藥物治療。</w:t>
      </w:r>
    </w:p>
    <w:p w14:paraId="63A2B389"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2.限使用於18歲以上且為雙極性疾患者，並依下列原則使用(111/2/1)：</w:t>
      </w:r>
    </w:p>
    <w:p w14:paraId="73CE877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急性鬱期</w:t>
      </w:r>
      <w:proofErr w:type="gramEnd"/>
      <w:r>
        <w:rPr>
          <w:rFonts w:ascii="標楷體" w:eastAsia="標楷體" w:hAnsi="標楷體"/>
          <w:color w:val="000000"/>
        </w:rPr>
        <w:t>: 限使用</w:t>
      </w:r>
      <w:proofErr w:type="gramStart"/>
      <w:r>
        <w:rPr>
          <w:rFonts w:ascii="標楷體" w:eastAsia="標楷體" w:hAnsi="標楷體"/>
          <w:color w:val="000000"/>
        </w:rPr>
        <w:t>於鋰鹽、</w:t>
      </w:r>
      <w:proofErr w:type="gramEnd"/>
      <w:r>
        <w:rPr>
          <w:rFonts w:ascii="標楷體" w:eastAsia="標楷體" w:hAnsi="標楷體"/>
          <w:color w:val="000000"/>
        </w:rPr>
        <w:t>carbamazepine、valproate 藥品治療療效不佳或治療後由鬱症轉為</w:t>
      </w:r>
      <w:proofErr w:type="gramStart"/>
      <w:r>
        <w:rPr>
          <w:rFonts w:ascii="標楷體" w:eastAsia="標楷體" w:hAnsi="標楷體"/>
          <w:color w:val="000000"/>
        </w:rPr>
        <w:t>躁</w:t>
      </w:r>
      <w:proofErr w:type="gramEnd"/>
      <w:r>
        <w:rPr>
          <w:rFonts w:ascii="標楷體" w:eastAsia="標楷體" w:hAnsi="標楷體"/>
          <w:color w:val="000000"/>
        </w:rPr>
        <w:t>症之個案。</w:t>
      </w:r>
    </w:p>
    <w:p w14:paraId="5530450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(2)雙極性疾患之鬱症預防: 限使用</w:t>
      </w:r>
      <w:proofErr w:type="gramStart"/>
      <w:r>
        <w:rPr>
          <w:rFonts w:ascii="標楷體" w:eastAsia="標楷體" w:hAnsi="標楷體"/>
          <w:color w:val="000000"/>
        </w:rPr>
        <w:t>於鋰鹽、</w:t>
      </w:r>
      <w:proofErr w:type="gramEnd"/>
      <w:r>
        <w:rPr>
          <w:rFonts w:ascii="標楷體" w:eastAsia="標楷體" w:hAnsi="標楷體"/>
          <w:color w:val="000000"/>
        </w:rPr>
        <w:t>carbamazepine、valproate 藥品治療療效不佳或無法耐受其副作用者，單純用於</w:t>
      </w:r>
      <w:proofErr w:type="gramStart"/>
      <w:r>
        <w:rPr>
          <w:rFonts w:ascii="標楷體" w:eastAsia="標楷體" w:hAnsi="標楷體"/>
          <w:color w:val="000000"/>
        </w:rPr>
        <w:t>躁</w:t>
      </w:r>
      <w:proofErr w:type="gramEnd"/>
      <w:r>
        <w:rPr>
          <w:rFonts w:ascii="標楷體" w:eastAsia="標楷體" w:hAnsi="標楷體"/>
          <w:color w:val="000000"/>
        </w:rPr>
        <w:t>症預防者不得使用。</w:t>
      </w:r>
    </w:p>
    <w:p w14:paraId="37D6467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(3)日劑量超過200mg時，需於病歷記載理由。</w:t>
      </w:r>
    </w:p>
    <w:p w14:paraId="3259F9E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1.3.2.6 Carbamazepine（100/8/1）</w:t>
      </w:r>
    </w:p>
    <w:p w14:paraId="40D5E9D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1.使用於新病患：</w:t>
      </w:r>
    </w:p>
    <w:p w14:paraId="6979AB49"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(1)處方使用carbamazepine成分藥品之前，應先檢查病患IC健保卡是否已註記曾檢測帶有HLA-B 1502基因，檢測結果為陽性者，不得開立carbamazepine成分藥品之處方。</w:t>
      </w:r>
    </w:p>
    <w:p w14:paraId="7BACEDD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(2)醫師欲為病患處方carbamazepine成分藥品前，應先詢問病患是否對該藥品有過敏病史，若為不確認者或未檢測者，宜先行作HLA-B 1502基因檢測。</w:t>
      </w:r>
    </w:p>
    <w:p w14:paraId="342DB85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2.使用於舊病患：</w:t>
      </w:r>
    </w:p>
    <w:p w14:paraId="590583B2"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若病患已服用4個月以上，且確認未曾出現喉嚨痛、嘴巴破或皮膚症狀（如分散的斑點或斑丘疹症狀）等類似Steven-Johnson症候群或其他不良反應時，可依病情繼續處方治療，但仍需提醒病患注意上述症狀之發生。</w:t>
      </w:r>
    </w:p>
    <w:p w14:paraId="439A364E"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3.醫師為病患處方使用carbamazepine成分藥品，</w:t>
      </w:r>
      <w:proofErr w:type="gramStart"/>
      <w:r>
        <w:rPr>
          <w:rFonts w:ascii="標楷體" w:eastAsia="標楷體" w:hAnsi="標楷體"/>
          <w:color w:val="000000"/>
        </w:rPr>
        <w:t>以日劑藥費</w:t>
      </w:r>
      <w:proofErr w:type="gramEnd"/>
      <w:r>
        <w:rPr>
          <w:rFonts w:ascii="標楷體" w:eastAsia="標楷體" w:hAnsi="標楷體"/>
          <w:color w:val="000000"/>
        </w:rPr>
        <w:t>申報者，應依規定詳實申報處方明細。</w:t>
      </w:r>
    </w:p>
    <w:p w14:paraId="0E2224BB" w14:textId="77777777" w:rsidR="00401786" w:rsidRDefault="00C64FB3" w:rsidP="005E56FF">
      <w:pPr>
        <w:spacing w:line="300" w:lineRule="exact"/>
        <w:ind w:left="283"/>
      </w:pPr>
      <w:r>
        <w:rPr>
          <w:rFonts w:ascii="標楷體" w:eastAsia="標楷體" w:hAnsi="標楷體"/>
          <w:color w:val="000000"/>
        </w:rPr>
        <w:t>1.3.2.7.Rufinamide (如</w:t>
      </w:r>
      <w:proofErr w:type="spellStart"/>
      <w:r>
        <w:rPr>
          <w:rFonts w:ascii="標楷體" w:eastAsia="標楷體" w:hAnsi="標楷體"/>
          <w:color w:val="000000"/>
        </w:rPr>
        <w:t>Inovelon</w:t>
      </w:r>
      <w:proofErr w:type="spellEnd"/>
      <w:r>
        <w:rPr>
          <w:rFonts w:ascii="標楷體" w:eastAsia="標楷體" w:hAnsi="標楷體"/>
          <w:color w:val="000000"/>
        </w:rPr>
        <w:t>) (106/5/1</w:t>
      </w:r>
      <w:r>
        <w:rPr>
          <w:rFonts w:ascii="新細明體" w:hAnsi="新細明體"/>
          <w:color w:val="000000"/>
        </w:rPr>
        <w:t>、</w:t>
      </w:r>
      <w:r>
        <w:rPr>
          <w:rFonts w:ascii="標楷體" w:eastAsia="標楷體" w:hAnsi="標楷體"/>
          <w:color w:val="000000"/>
        </w:rPr>
        <w:t>110/5/1)</w:t>
      </w:r>
    </w:p>
    <w:p w14:paraId="4EE7DDF8" w14:textId="77777777" w:rsidR="00401786" w:rsidRDefault="00C64FB3" w:rsidP="005E56FF">
      <w:pPr>
        <w:spacing w:line="300" w:lineRule="exact"/>
        <w:ind w:left="811"/>
        <w:rPr>
          <w:rFonts w:ascii="標楷體" w:eastAsia="標楷體" w:hAnsi="標楷體"/>
          <w:color w:val="000000"/>
        </w:rPr>
      </w:pPr>
      <w:r>
        <w:rPr>
          <w:rFonts w:ascii="標楷體" w:eastAsia="標楷體" w:hAnsi="標楷體"/>
          <w:color w:val="000000"/>
        </w:rPr>
        <w:t>限用於1歲以上病患之Lennox-</w:t>
      </w:r>
      <w:proofErr w:type="spellStart"/>
      <w:r>
        <w:rPr>
          <w:rFonts w:ascii="標楷體" w:eastAsia="標楷體" w:hAnsi="標楷體"/>
          <w:color w:val="000000"/>
        </w:rPr>
        <w:t>Gastaut</w:t>
      </w:r>
      <w:proofErr w:type="spellEnd"/>
      <w:r>
        <w:rPr>
          <w:rFonts w:ascii="標楷體" w:eastAsia="標楷體" w:hAnsi="標楷體"/>
          <w:color w:val="000000"/>
        </w:rPr>
        <w:t>症候群相關癲癇發作之輔助治療，且使用</w:t>
      </w:r>
      <w:r>
        <w:rPr>
          <w:rFonts w:ascii="標楷體" w:eastAsia="標楷體" w:hAnsi="標楷體"/>
          <w:color w:val="000000"/>
        </w:rPr>
        <w:lastRenderedPageBreak/>
        <w:t>lamotrigine、topiramate無效或無法耐受副作用者。</w:t>
      </w:r>
    </w:p>
    <w:p w14:paraId="303B4A3D" w14:textId="77777777" w:rsidR="00401786" w:rsidRDefault="00C64FB3" w:rsidP="005E56FF">
      <w:pPr>
        <w:spacing w:line="300" w:lineRule="exact"/>
        <w:ind w:left="283"/>
        <w:rPr>
          <w:rFonts w:ascii="標楷體" w:eastAsia="標楷體" w:hAnsi="標楷體"/>
          <w:color w:val="000000"/>
        </w:rPr>
      </w:pPr>
      <w:r>
        <w:rPr>
          <w:rFonts w:ascii="標楷體" w:eastAsia="標楷體" w:hAnsi="標楷體"/>
          <w:color w:val="000000"/>
        </w:rPr>
        <w:t>1.3.2.8.Zonisamide(如</w:t>
      </w:r>
      <w:proofErr w:type="spellStart"/>
      <w:r>
        <w:rPr>
          <w:rFonts w:ascii="標楷體" w:eastAsia="標楷體" w:hAnsi="標楷體"/>
          <w:color w:val="000000"/>
        </w:rPr>
        <w:t>Zonegran</w:t>
      </w:r>
      <w:proofErr w:type="spellEnd"/>
      <w:r>
        <w:rPr>
          <w:rFonts w:ascii="標楷體" w:eastAsia="標楷體" w:hAnsi="標楷體"/>
          <w:color w:val="000000"/>
        </w:rPr>
        <w:t>) (107/2/1)</w:t>
      </w:r>
    </w:p>
    <w:p w14:paraId="6D9BC326" w14:textId="77777777" w:rsidR="00401786" w:rsidRDefault="00C64FB3" w:rsidP="005E56FF">
      <w:pPr>
        <w:spacing w:line="300" w:lineRule="exact"/>
        <w:ind w:left="811"/>
        <w:rPr>
          <w:rFonts w:ascii="標楷體" w:eastAsia="標楷體" w:hAnsi="標楷體"/>
          <w:color w:val="000000"/>
        </w:rPr>
      </w:pPr>
      <w:r>
        <w:rPr>
          <w:rFonts w:ascii="標楷體" w:eastAsia="標楷體" w:hAnsi="標楷體"/>
          <w:color w:val="000000"/>
        </w:rPr>
        <w:t>限用於其他抗癲癇藥物無法有效控制之局部癲癇發作之輔助性治療(add on therapy)或作為新診斷成人局部癲癇發作之單一藥物治療。</w:t>
      </w:r>
    </w:p>
    <w:p w14:paraId="0B9A8377"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1.3.2.9. Lacosamide (107/8/1</w:t>
      </w:r>
      <w:proofErr w:type="gramStart"/>
      <w:r>
        <w:rPr>
          <w:rFonts w:ascii="標楷體" w:eastAsia="標楷體" w:hAnsi="標楷體"/>
          <w:color w:val="000000"/>
        </w:rPr>
        <w:t>）</w:t>
      </w:r>
      <w:proofErr w:type="gramEnd"/>
    </w:p>
    <w:p w14:paraId="41B22D0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一般錠劑膠囊</w:t>
      </w:r>
      <w:proofErr w:type="gramEnd"/>
      <w:r>
        <w:rPr>
          <w:rFonts w:ascii="標楷體" w:eastAsia="標楷體" w:hAnsi="標楷體"/>
          <w:color w:val="000000"/>
        </w:rPr>
        <w:t>劑(如Vimpat  film-coated tablets)：限用於其他抗癲癇藥物無法有效控制之局部癲癇發作之輔助性治療(add on therapy)。</w:t>
      </w:r>
    </w:p>
    <w:p w14:paraId="6B76DD6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2.注射劑(如Vimpat solution for infusion)：</w:t>
      </w:r>
    </w:p>
    <w:p w14:paraId="4A18B386" w14:textId="77777777" w:rsidR="00401786" w:rsidRDefault="00C64FB3" w:rsidP="005E56FF">
      <w:pPr>
        <w:spacing w:line="300" w:lineRule="exact"/>
        <w:ind w:left="1051" w:hanging="245"/>
        <w:rPr>
          <w:rFonts w:ascii="標楷體" w:eastAsia="標楷體" w:hAnsi="標楷體"/>
          <w:color w:val="000000"/>
        </w:rPr>
      </w:pPr>
      <w:r>
        <w:rPr>
          <w:rFonts w:ascii="標楷體" w:eastAsia="標楷體" w:hAnsi="標楷體"/>
          <w:color w:val="000000"/>
        </w:rPr>
        <w:t>限癲癇症病患使用，且符合以下其中之一項者使用：</w:t>
      </w:r>
    </w:p>
    <w:p w14:paraId="30AC064E"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(1)對phenytoin注射劑無效或無法忍受phenytoin副作用且無法口服lacosamide之病患。</w:t>
      </w:r>
    </w:p>
    <w:p w14:paraId="527AA405"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(2)癲癇連續發作(Seizure clusters)之病患。</w:t>
      </w:r>
    </w:p>
    <w:p w14:paraId="45F32AC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癲癇重積狀態</w:t>
      </w:r>
      <w:proofErr w:type="gramEnd"/>
      <w:r>
        <w:rPr>
          <w:rFonts w:ascii="標楷體" w:eastAsia="標楷體" w:hAnsi="標楷體"/>
          <w:color w:val="000000"/>
        </w:rPr>
        <w:t>(Status epilepticus)之病患。</w:t>
      </w:r>
    </w:p>
    <w:p w14:paraId="1CBE1C9F" w14:textId="77777777" w:rsidR="00401786" w:rsidRDefault="00C64FB3" w:rsidP="005E56FF">
      <w:pPr>
        <w:spacing w:line="300" w:lineRule="exact"/>
        <w:ind w:left="851" w:hanging="341"/>
        <w:rPr>
          <w:rFonts w:ascii="標楷體" w:eastAsia="標楷體" w:hAnsi="標楷體"/>
          <w:color w:val="000000"/>
        </w:rPr>
      </w:pPr>
      <w:r>
        <w:rPr>
          <w:rFonts w:ascii="標楷體" w:eastAsia="標楷體" w:hAnsi="標楷體"/>
          <w:color w:val="000000"/>
        </w:rPr>
        <w:t xml:space="preserve">1.3.2.10.Brivaracetam(如 </w:t>
      </w:r>
      <w:proofErr w:type="spellStart"/>
      <w:r>
        <w:rPr>
          <w:rFonts w:ascii="標楷體" w:eastAsia="標楷體" w:hAnsi="標楷體"/>
          <w:color w:val="000000"/>
        </w:rPr>
        <w:t>Briviact</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110/1/1、111/3/1、112/3/1)</w:t>
      </w:r>
    </w:p>
    <w:p w14:paraId="445CB5EF" w14:textId="77777777" w:rsidR="00401786" w:rsidRDefault="00C64FB3" w:rsidP="005E56FF">
      <w:pPr>
        <w:spacing w:line="300" w:lineRule="exact"/>
        <w:ind w:left="1134" w:hanging="341"/>
        <w:rPr>
          <w:rFonts w:ascii="標楷體" w:eastAsia="標楷體" w:hAnsi="標楷體"/>
        </w:rPr>
      </w:pPr>
      <w:r>
        <w:rPr>
          <w:rFonts w:ascii="標楷體" w:eastAsia="標楷體" w:hAnsi="標楷體"/>
        </w:rPr>
        <w:t>1.</w:t>
      </w:r>
      <w:proofErr w:type="gramStart"/>
      <w:r>
        <w:rPr>
          <w:rFonts w:ascii="標楷體" w:eastAsia="標楷體" w:hAnsi="標楷體"/>
        </w:rPr>
        <w:t>一般錠劑膠囊</w:t>
      </w:r>
      <w:proofErr w:type="gramEnd"/>
      <w:r>
        <w:rPr>
          <w:rFonts w:ascii="標楷體" w:eastAsia="標楷體" w:hAnsi="標楷體"/>
        </w:rPr>
        <w:t>劑</w:t>
      </w:r>
      <w:proofErr w:type="gramStart"/>
      <w:r>
        <w:rPr>
          <w:rFonts w:ascii="標楷體" w:eastAsia="標楷體" w:hAnsi="標楷體"/>
        </w:rPr>
        <w:t>（</w:t>
      </w:r>
      <w:proofErr w:type="gramEnd"/>
      <w:r>
        <w:rPr>
          <w:rFonts w:ascii="標楷體" w:eastAsia="標楷體" w:hAnsi="標楷體"/>
        </w:rPr>
        <w:t>如</w:t>
      </w:r>
      <w:proofErr w:type="spellStart"/>
      <w:r>
        <w:rPr>
          <w:rFonts w:ascii="標楷體" w:eastAsia="標楷體" w:hAnsi="標楷體"/>
        </w:rPr>
        <w:t>Briviact</w:t>
      </w:r>
      <w:proofErr w:type="spellEnd"/>
      <w:r>
        <w:rPr>
          <w:rFonts w:ascii="標楷體" w:eastAsia="標楷體" w:hAnsi="標楷體"/>
        </w:rPr>
        <w:t xml:space="preserve"> Film-Coated Tablet)：</w:t>
      </w:r>
      <w:proofErr w:type="gramStart"/>
      <w:r>
        <w:rPr>
          <w:rFonts w:ascii="標楷體" w:eastAsia="標楷體" w:hAnsi="標楷體"/>
        </w:rPr>
        <w:t>（</w:t>
      </w:r>
      <w:proofErr w:type="gramEnd"/>
      <w:r>
        <w:rPr>
          <w:rFonts w:ascii="標楷體" w:eastAsia="標楷體" w:hAnsi="標楷體"/>
        </w:rPr>
        <w:t>110/1/1、111/3/1)</w:t>
      </w:r>
    </w:p>
    <w:p w14:paraId="33BC782D"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(1)限用於4歲以上經使用其他抗癲癇藥物後仍然無法有效控制之局部癲癇發作病人的單一療法或輔助性治療(addon therapy)。</w:t>
      </w:r>
    </w:p>
    <w:p w14:paraId="605B34D5"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(2)每日限使用2粒。</w:t>
      </w:r>
    </w:p>
    <w:p w14:paraId="2606AB18" w14:textId="77777777" w:rsidR="00401786" w:rsidRDefault="00C64FB3" w:rsidP="005E56FF">
      <w:pPr>
        <w:spacing w:line="300" w:lineRule="exact"/>
        <w:ind w:left="851" w:hanging="341"/>
        <w:rPr>
          <w:rFonts w:ascii="標楷體" w:eastAsia="標楷體" w:hAnsi="標楷體"/>
        </w:rPr>
      </w:pPr>
      <w:r>
        <w:rPr>
          <w:rFonts w:ascii="標楷體" w:eastAsia="標楷體" w:hAnsi="標楷體"/>
        </w:rPr>
        <w:t>2.注射劑（如</w:t>
      </w:r>
      <w:proofErr w:type="spellStart"/>
      <w:r>
        <w:rPr>
          <w:rFonts w:ascii="標楷體" w:eastAsia="標楷體" w:hAnsi="標楷體"/>
        </w:rPr>
        <w:t>Briviact</w:t>
      </w:r>
      <w:proofErr w:type="spellEnd"/>
      <w:r>
        <w:rPr>
          <w:rFonts w:ascii="標楷體" w:eastAsia="標楷體" w:hAnsi="標楷體"/>
        </w:rPr>
        <w:t xml:space="preserve"> Solution for Injection）：</w:t>
      </w:r>
      <w:proofErr w:type="gramStart"/>
      <w:r>
        <w:rPr>
          <w:rFonts w:ascii="標楷體" w:eastAsia="標楷體" w:hAnsi="標楷體"/>
        </w:rPr>
        <w:t>（</w:t>
      </w:r>
      <w:proofErr w:type="gramEnd"/>
      <w:r>
        <w:rPr>
          <w:rFonts w:ascii="標楷體" w:eastAsia="標楷體" w:hAnsi="標楷體"/>
        </w:rPr>
        <w:t xml:space="preserve">111/3/1) </w:t>
      </w:r>
    </w:p>
    <w:p w14:paraId="68DE77C8" w14:textId="77777777" w:rsidR="00401786" w:rsidRDefault="00C64FB3" w:rsidP="005E56FF">
      <w:pPr>
        <w:spacing w:line="300" w:lineRule="exact"/>
        <w:ind w:left="851" w:hanging="341"/>
        <w:rPr>
          <w:rFonts w:ascii="標楷體" w:eastAsia="標楷體" w:hAnsi="標楷體"/>
        </w:rPr>
      </w:pPr>
      <w:r>
        <w:rPr>
          <w:rFonts w:ascii="標楷體" w:eastAsia="標楷體" w:hAnsi="標楷體"/>
        </w:rPr>
        <w:t>限用於16歲以上癲癇症病患且符合下列條件之</w:t>
      </w:r>
      <w:proofErr w:type="gramStart"/>
      <w:r>
        <w:rPr>
          <w:rFonts w:ascii="標楷體" w:eastAsia="標楷體" w:hAnsi="標楷體"/>
        </w:rPr>
        <w:t>一</w:t>
      </w:r>
      <w:proofErr w:type="gramEnd"/>
      <w:r>
        <w:rPr>
          <w:rFonts w:ascii="標楷體" w:eastAsia="標楷體" w:hAnsi="標楷體"/>
        </w:rPr>
        <w:t>者使用：</w:t>
      </w:r>
    </w:p>
    <w:p w14:paraId="39A6191C"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(1)對phenytoin注射劑無效或無法忍受phenytoin副作用且無法口服</w:t>
      </w:r>
      <w:proofErr w:type="spellStart"/>
      <w:r>
        <w:rPr>
          <w:rFonts w:ascii="標楷體" w:eastAsia="標楷體" w:hAnsi="標楷體"/>
        </w:rPr>
        <w:t>bivaracetam</w:t>
      </w:r>
      <w:proofErr w:type="spellEnd"/>
      <w:r>
        <w:rPr>
          <w:rFonts w:ascii="標楷體" w:eastAsia="標楷體" w:hAnsi="標楷體"/>
        </w:rPr>
        <w:t>之病患。</w:t>
      </w:r>
    </w:p>
    <w:p w14:paraId="341E1EC4"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(2)癲癇連續發作（Seizure clusters）之病患。</w:t>
      </w:r>
    </w:p>
    <w:p w14:paraId="028F05A5"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(3)</w:t>
      </w:r>
      <w:proofErr w:type="gramStart"/>
      <w:r>
        <w:rPr>
          <w:rFonts w:ascii="標楷體" w:eastAsia="標楷體" w:hAnsi="標楷體"/>
        </w:rPr>
        <w:t>癲癇重積狀態</w:t>
      </w:r>
      <w:proofErr w:type="gramEnd"/>
      <w:r>
        <w:rPr>
          <w:rFonts w:ascii="標楷體" w:eastAsia="標楷體" w:hAnsi="標楷體"/>
        </w:rPr>
        <w:t>（Status epilepticus）之病患。</w:t>
      </w:r>
    </w:p>
    <w:p w14:paraId="43D84682" w14:textId="77777777" w:rsidR="00401786" w:rsidRDefault="00C64FB3" w:rsidP="005E56FF">
      <w:pPr>
        <w:spacing w:line="300" w:lineRule="exact"/>
        <w:ind w:left="851" w:hanging="341"/>
        <w:rPr>
          <w:rFonts w:ascii="標楷體" w:eastAsia="標楷體" w:hAnsi="標楷體"/>
        </w:rPr>
      </w:pPr>
      <w:r>
        <w:rPr>
          <w:rFonts w:ascii="標楷體" w:eastAsia="標楷體" w:hAnsi="標楷體"/>
        </w:rPr>
        <w:t>3.口服液劑</w:t>
      </w:r>
      <w:proofErr w:type="gramStart"/>
      <w:r>
        <w:rPr>
          <w:rFonts w:ascii="標楷體" w:eastAsia="標楷體" w:hAnsi="標楷體"/>
        </w:rPr>
        <w:t>（</w:t>
      </w:r>
      <w:proofErr w:type="gramEnd"/>
      <w:r>
        <w:rPr>
          <w:rFonts w:ascii="標楷體" w:eastAsia="標楷體" w:hAnsi="標楷體"/>
        </w:rPr>
        <w:t>如</w:t>
      </w:r>
      <w:proofErr w:type="spellStart"/>
      <w:r>
        <w:rPr>
          <w:rFonts w:ascii="標楷體" w:eastAsia="標楷體" w:hAnsi="標楷體"/>
        </w:rPr>
        <w:t>Briviact</w:t>
      </w:r>
      <w:proofErr w:type="spellEnd"/>
      <w:r>
        <w:rPr>
          <w:rFonts w:ascii="標楷體" w:eastAsia="標楷體" w:hAnsi="標楷體"/>
        </w:rPr>
        <w:t xml:space="preserve"> Oral Solution)：(112/3/1) </w:t>
      </w:r>
    </w:p>
    <w:p w14:paraId="5B15D294" w14:textId="77777777" w:rsidR="00401786" w:rsidRDefault="00C64FB3" w:rsidP="005E56FF">
      <w:pPr>
        <w:spacing w:line="300" w:lineRule="exact"/>
        <w:ind w:left="756" w:hanging="246"/>
        <w:rPr>
          <w:rFonts w:ascii="標楷體" w:eastAsia="標楷體" w:hAnsi="標楷體"/>
        </w:rPr>
      </w:pPr>
      <w:r>
        <w:rPr>
          <w:rFonts w:ascii="標楷體" w:eastAsia="標楷體" w:hAnsi="標楷體"/>
        </w:rPr>
        <w:t xml:space="preserve">  限用於無法</w:t>
      </w:r>
      <w:proofErr w:type="gramStart"/>
      <w:r>
        <w:rPr>
          <w:rFonts w:ascii="標楷體" w:eastAsia="標楷體" w:hAnsi="標楷體"/>
        </w:rPr>
        <w:t>口服錠劑之</w:t>
      </w:r>
      <w:proofErr w:type="gramEnd"/>
      <w:r>
        <w:rPr>
          <w:rFonts w:ascii="標楷體" w:eastAsia="標楷體" w:hAnsi="標楷體"/>
        </w:rPr>
        <w:t>4歲以上經使用其他抗癲癇藥物後仍然無法有效控制之局部癲癇發作病人的單一療法或輔助性治療(addon therapy)。</w:t>
      </w:r>
    </w:p>
    <w:p w14:paraId="6F3C5114" w14:textId="77777777" w:rsidR="00401786" w:rsidRDefault="00C64FB3" w:rsidP="005E56FF">
      <w:pPr>
        <w:spacing w:line="300" w:lineRule="exact"/>
        <w:ind w:left="672" w:hanging="386"/>
        <w:rPr>
          <w:rFonts w:ascii="標楷體" w:eastAsia="標楷體" w:hAnsi="標楷體"/>
          <w:lang w:val="it-IT"/>
        </w:rPr>
      </w:pPr>
      <w:r>
        <w:rPr>
          <w:rFonts w:ascii="標楷體" w:eastAsia="標楷體" w:hAnsi="標楷體"/>
          <w:lang w:val="it-IT"/>
        </w:rPr>
        <w:t>1.3.2.11.Perampanel(如Fycompa)</w:t>
      </w:r>
    </w:p>
    <w:p w14:paraId="77FF59E2" w14:textId="77777777" w:rsidR="00401786" w:rsidRDefault="00C64FB3" w:rsidP="005E56FF">
      <w:pPr>
        <w:spacing w:line="300" w:lineRule="exact"/>
        <w:ind w:left="811" w:hanging="245"/>
        <w:rPr>
          <w:rFonts w:ascii="標楷體" w:eastAsia="標楷體" w:hAnsi="標楷體"/>
          <w:lang w:val="it-IT"/>
        </w:rPr>
      </w:pPr>
      <w:r>
        <w:rPr>
          <w:rFonts w:ascii="標楷體" w:eastAsia="標楷體" w:hAnsi="標楷體"/>
          <w:lang w:val="it-IT"/>
        </w:rPr>
        <w:t>1.</w:t>
      </w:r>
      <w:proofErr w:type="gramStart"/>
      <w:r>
        <w:rPr>
          <w:rFonts w:ascii="標楷體" w:eastAsia="標楷體" w:hAnsi="標楷體"/>
          <w:lang w:val="it-IT"/>
        </w:rPr>
        <w:t>一般錠劑膠囊</w:t>
      </w:r>
      <w:proofErr w:type="gramEnd"/>
      <w:r>
        <w:rPr>
          <w:rFonts w:ascii="標楷體" w:eastAsia="標楷體" w:hAnsi="標楷體"/>
          <w:lang w:val="it-IT"/>
        </w:rPr>
        <w:t>劑（如Fycompa Film-coated Tablets）：</w:t>
      </w:r>
      <w:proofErr w:type="gramStart"/>
      <w:r>
        <w:rPr>
          <w:rFonts w:ascii="標楷體" w:eastAsia="標楷體" w:hAnsi="標楷體"/>
          <w:lang w:val="it-IT"/>
        </w:rPr>
        <w:t>（</w:t>
      </w:r>
      <w:proofErr w:type="gramEnd"/>
      <w:r>
        <w:rPr>
          <w:rFonts w:ascii="標楷體" w:eastAsia="標楷體" w:hAnsi="標楷體"/>
          <w:lang w:val="it-IT"/>
        </w:rPr>
        <w:t>104/6/1、110/5/1)</w:t>
      </w:r>
    </w:p>
    <w:p w14:paraId="1A28296A" w14:textId="77777777" w:rsidR="00401786" w:rsidRDefault="00C64FB3" w:rsidP="005E56FF">
      <w:pPr>
        <w:spacing w:line="300" w:lineRule="exact"/>
        <w:ind w:left="710" w:hanging="960"/>
        <w:rPr>
          <w:rFonts w:ascii="標楷體" w:eastAsia="標楷體" w:hAnsi="標楷體"/>
          <w:lang w:val="it-IT"/>
        </w:rPr>
      </w:pPr>
      <w:r>
        <w:rPr>
          <w:rFonts w:ascii="標楷體" w:eastAsia="標楷體" w:hAnsi="標楷體"/>
          <w:lang w:val="it-IT"/>
        </w:rPr>
        <w:t xml:space="preserve">        限用於其他抗癲癇藥物無法有效控制之局部癲癇發作之輔助性治療 (add on therapy)。</w:t>
      </w:r>
    </w:p>
    <w:p w14:paraId="11C99A28" w14:textId="77777777" w:rsidR="00401786" w:rsidRDefault="00C64FB3" w:rsidP="005E56FF">
      <w:pPr>
        <w:spacing w:line="300" w:lineRule="exact"/>
        <w:rPr>
          <w:rFonts w:ascii="標楷體" w:eastAsia="標楷體" w:hAnsi="標楷體"/>
          <w:lang w:val="it-IT"/>
        </w:rPr>
      </w:pPr>
      <w:r>
        <w:rPr>
          <w:rFonts w:ascii="標楷體" w:eastAsia="標楷體" w:hAnsi="標楷體"/>
          <w:lang w:val="it-IT"/>
        </w:rPr>
        <w:t xml:space="preserve">     2.口服液劑（如Fycompa oral suspension）：</w:t>
      </w:r>
      <w:proofErr w:type="gramStart"/>
      <w:r>
        <w:rPr>
          <w:rFonts w:ascii="標楷體" w:eastAsia="標楷體" w:hAnsi="標楷體"/>
          <w:lang w:val="it-IT"/>
        </w:rPr>
        <w:t>（</w:t>
      </w:r>
      <w:proofErr w:type="gramEnd"/>
      <w:r>
        <w:rPr>
          <w:rFonts w:ascii="標楷體" w:eastAsia="標楷體" w:hAnsi="標楷體"/>
          <w:lang w:val="it-IT"/>
        </w:rPr>
        <w:t>110/5/1)</w:t>
      </w:r>
    </w:p>
    <w:p w14:paraId="7E2BB16A" w14:textId="77777777" w:rsidR="00401786" w:rsidRDefault="00C64FB3" w:rsidP="005E56FF">
      <w:pPr>
        <w:spacing w:line="300" w:lineRule="exact"/>
        <w:ind w:left="1049" w:hanging="341"/>
        <w:rPr>
          <w:rFonts w:ascii="標楷體" w:eastAsia="標楷體" w:hAnsi="標楷體"/>
          <w:lang w:val="it-IT"/>
        </w:rPr>
      </w:pPr>
      <w:r>
        <w:rPr>
          <w:rFonts w:ascii="標楷體" w:eastAsia="標楷體" w:hAnsi="標楷體"/>
          <w:lang w:val="it-IT"/>
        </w:rPr>
        <w:t>(1)限用於其他抗癲癇藥物無法有效控制之局部癲癇發作之輔助性治療 (add on therapy)。</w:t>
      </w:r>
    </w:p>
    <w:p w14:paraId="6D423B3F" w14:textId="77777777" w:rsidR="00401786" w:rsidRDefault="00C64FB3" w:rsidP="005E56FF">
      <w:pPr>
        <w:spacing w:line="300" w:lineRule="exact"/>
        <w:ind w:left="1064" w:hanging="341"/>
        <w:rPr>
          <w:rFonts w:ascii="標楷體" w:eastAsia="標楷體" w:hAnsi="標楷體"/>
          <w:lang w:val="it-IT"/>
        </w:rPr>
      </w:pPr>
      <w:r>
        <w:rPr>
          <w:rFonts w:ascii="標楷體" w:eastAsia="標楷體" w:hAnsi="標楷體"/>
          <w:lang w:val="it-IT"/>
        </w:rPr>
        <w:t>(2)12歲以上成人及青少年患者原發型全身性強直陣</w:t>
      </w:r>
      <w:proofErr w:type="gramStart"/>
      <w:r>
        <w:rPr>
          <w:rFonts w:ascii="標楷體" w:eastAsia="標楷體" w:hAnsi="標楷體"/>
          <w:lang w:val="it-IT"/>
        </w:rPr>
        <w:t>攣</w:t>
      </w:r>
      <w:proofErr w:type="gramEnd"/>
      <w:r>
        <w:rPr>
          <w:rFonts w:ascii="標楷體" w:eastAsia="標楷體" w:hAnsi="標楷體"/>
          <w:lang w:val="it-IT"/>
        </w:rPr>
        <w:t>癲癇發作</w:t>
      </w:r>
      <w:proofErr w:type="gramStart"/>
      <w:r>
        <w:rPr>
          <w:rFonts w:ascii="標楷體" w:eastAsia="標楷體" w:hAnsi="標楷體"/>
          <w:lang w:val="it-IT"/>
        </w:rPr>
        <w:t>併</w:t>
      </w:r>
      <w:proofErr w:type="gramEnd"/>
      <w:r>
        <w:rPr>
          <w:rFonts w:ascii="標楷體" w:eastAsia="標楷體" w:hAnsi="標楷體"/>
          <w:lang w:val="it-IT"/>
        </w:rPr>
        <w:t>有原發性全身發作之輔助治療。</w:t>
      </w:r>
    </w:p>
    <w:p w14:paraId="20E7D6F3" w14:textId="77777777" w:rsidR="00401786" w:rsidRDefault="00C64FB3" w:rsidP="005E56FF">
      <w:pPr>
        <w:spacing w:line="300" w:lineRule="exact"/>
        <w:ind w:left="567" w:hanging="281"/>
        <w:rPr>
          <w:rFonts w:ascii="標楷體" w:eastAsia="標楷體" w:hAnsi="標楷體"/>
          <w:szCs w:val="24"/>
        </w:rPr>
      </w:pPr>
      <w:r>
        <w:rPr>
          <w:rFonts w:ascii="標楷體" w:eastAsia="標楷體" w:hAnsi="標楷體"/>
          <w:szCs w:val="24"/>
        </w:rPr>
        <w:t>1.3.2.12.Stiripentol（如</w:t>
      </w:r>
      <w:proofErr w:type="spellStart"/>
      <w:r>
        <w:rPr>
          <w:rFonts w:ascii="標楷體" w:eastAsia="標楷體" w:hAnsi="標楷體"/>
          <w:szCs w:val="24"/>
        </w:rPr>
        <w:t>Diacomit</w:t>
      </w:r>
      <w:proofErr w:type="spellEnd"/>
      <w:r>
        <w:rPr>
          <w:rFonts w:ascii="標楷體" w:eastAsia="標楷體" w:hAnsi="標楷體"/>
          <w:szCs w:val="24"/>
        </w:rPr>
        <w:t>）：（113/2/1）</w:t>
      </w:r>
    </w:p>
    <w:p w14:paraId="792DF3E0" w14:textId="77777777" w:rsidR="00401786" w:rsidRDefault="00C64FB3" w:rsidP="005E56FF">
      <w:pPr>
        <w:spacing w:line="300" w:lineRule="exact"/>
        <w:ind w:left="807" w:hanging="281"/>
        <w:rPr>
          <w:rFonts w:ascii="標楷體" w:eastAsia="標楷體" w:hAnsi="標楷體"/>
          <w:szCs w:val="24"/>
        </w:rPr>
      </w:pPr>
      <w:r>
        <w:rPr>
          <w:rFonts w:ascii="標楷體" w:eastAsia="標楷體" w:hAnsi="標楷體"/>
          <w:szCs w:val="24"/>
        </w:rPr>
        <w:t>1.限用於經衛生福利部國民</w:t>
      </w:r>
      <w:proofErr w:type="gramStart"/>
      <w:r>
        <w:rPr>
          <w:rFonts w:ascii="標楷體" w:eastAsia="標楷體" w:hAnsi="標楷體"/>
          <w:szCs w:val="24"/>
        </w:rPr>
        <w:t>健康署</w:t>
      </w:r>
      <w:proofErr w:type="gramEnd"/>
      <w:r>
        <w:rPr>
          <w:rFonts w:ascii="標楷體" w:eastAsia="標楷體" w:hAnsi="標楷體"/>
          <w:szCs w:val="24"/>
        </w:rPr>
        <w:t>認定之嬰兒期嚴重</w:t>
      </w:r>
      <w:proofErr w:type="gramStart"/>
      <w:r>
        <w:rPr>
          <w:rFonts w:ascii="標楷體" w:eastAsia="標楷體" w:hAnsi="標楷體"/>
          <w:szCs w:val="24"/>
        </w:rPr>
        <w:t>肌</w:t>
      </w:r>
      <w:proofErr w:type="gramEnd"/>
      <w:r>
        <w:rPr>
          <w:rFonts w:ascii="標楷體" w:eastAsia="標楷體" w:hAnsi="標楷體"/>
          <w:szCs w:val="24"/>
        </w:rPr>
        <w:t>痙攣性癲癇(</w:t>
      </w:r>
      <w:proofErr w:type="spellStart"/>
      <w:r>
        <w:rPr>
          <w:rFonts w:ascii="標楷體" w:eastAsia="標楷體" w:hAnsi="標楷體"/>
          <w:szCs w:val="24"/>
        </w:rPr>
        <w:t>SMEI,Dravet</w:t>
      </w:r>
      <w:proofErr w:type="spellEnd"/>
      <w:r>
        <w:rPr>
          <w:rFonts w:ascii="標楷體" w:eastAsia="標楷體" w:hAnsi="標楷體"/>
          <w:szCs w:val="24"/>
        </w:rPr>
        <w:t xml:space="preserve"> syndrome)病人，並且合併服用clobazam及valproate兩種藥物無法充分控制癲癇發作時，</w:t>
      </w:r>
      <w:proofErr w:type="gramStart"/>
      <w:r>
        <w:rPr>
          <w:rFonts w:ascii="標楷體" w:eastAsia="標楷體" w:hAnsi="標楷體"/>
          <w:szCs w:val="24"/>
        </w:rPr>
        <w:t>併</w:t>
      </w:r>
      <w:proofErr w:type="gramEnd"/>
      <w:r>
        <w:rPr>
          <w:rFonts w:ascii="標楷體" w:eastAsia="標楷體" w:hAnsi="標楷體"/>
          <w:szCs w:val="24"/>
        </w:rPr>
        <w:t>用本藥品作為輔助治療難治的全身性強直陣</w:t>
      </w:r>
      <w:proofErr w:type="gramStart"/>
      <w:r>
        <w:rPr>
          <w:rFonts w:ascii="標楷體" w:eastAsia="標楷體" w:hAnsi="標楷體"/>
          <w:szCs w:val="24"/>
        </w:rPr>
        <w:t>攣</w:t>
      </w:r>
      <w:proofErr w:type="gramEnd"/>
      <w:r>
        <w:rPr>
          <w:rFonts w:ascii="標楷體" w:eastAsia="標楷體" w:hAnsi="標楷體"/>
          <w:szCs w:val="24"/>
        </w:rPr>
        <w:t>性發作(generalized tonic-</w:t>
      </w:r>
      <w:proofErr w:type="spellStart"/>
      <w:r>
        <w:rPr>
          <w:rFonts w:ascii="標楷體" w:eastAsia="標楷體" w:hAnsi="標楷體"/>
          <w:szCs w:val="24"/>
        </w:rPr>
        <w:t>clonic</w:t>
      </w:r>
      <w:proofErr w:type="spellEnd"/>
      <w:r>
        <w:rPr>
          <w:rFonts w:ascii="標楷體" w:eastAsia="標楷體" w:hAnsi="標楷體"/>
          <w:szCs w:val="24"/>
        </w:rPr>
        <w:t xml:space="preserve"> seizure)。</w:t>
      </w:r>
    </w:p>
    <w:p w14:paraId="72F1E324" w14:textId="77777777" w:rsidR="00401786" w:rsidRDefault="00C64FB3" w:rsidP="005E56FF">
      <w:pPr>
        <w:spacing w:line="300" w:lineRule="exact"/>
        <w:ind w:left="807" w:hanging="281"/>
        <w:rPr>
          <w:rFonts w:ascii="標楷體" w:eastAsia="標楷體" w:hAnsi="標楷體"/>
          <w:szCs w:val="24"/>
        </w:rPr>
      </w:pPr>
      <w:r>
        <w:rPr>
          <w:rFonts w:ascii="標楷體" w:eastAsia="標楷體" w:hAnsi="標楷體"/>
          <w:szCs w:val="24"/>
        </w:rPr>
        <w:t>2.停止治療條件：在持續使用(含自費使用)1年後，若病人全身陣</w:t>
      </w:r>
      <w:proofErr w:type="gramStart"/>
      <w:r>
        <w:rPr>
          <w:rFonts w:ascii="標楷體" w:eastAsia="標楷體" w:hAnsi="標楷體"/>
          <w:szCs w:val="24"/>
        </w:rPr>
        <w:t>攣</w:t>
      </w:r>
      <w:proofErr w:type="gramEnd"/>
      <w:r>
        <w:rPr>
          <w:rFonts w:ascii="標楷體" w:eastAsia="標楷體" w:hAnsi="標楷體"/>
          <w:szCs w:val="24"/>
        </w:rPr>
        <w:t>性及強直陣</w:t>
      </w:r>
      <w:proofErr w:type="gramStart"/>
      <w:r>
        <w:rPr>
          <w:rFonts w:ascii="標楷體" w:eastAsia="標楷體" w:hAnsi="標楷體"/>
          <w:szCs w:val="24"/>
        </w:rPr>
        <w:t>攣</w:t>
      </w:r>
      <w:proofErr w:type="gramEnd"/>
      <w:r>
        <w:rPr>
          <w:rFonts w:ascii="標楷體" w:eastAsia="標楷體" w:hAnsi="標楷體"/>
          <w:szCs w:val="24"/>
        </w:rPr>
        <w:t>性發作</w:t>
      </w:r>
      <w:proofErr w:type="gramStart"/>
      <w:r>
        <w:rPr>
          <w:rFonts w:ascii="標楷體" w:eastAsia="標楷體" w:hAnsi="標楷體"/>
          <w:szCs w:val="24"/>
        </w:rPr>
        <w:t>頻率未比用藥</w:t>
      </w:r>
      <w:proofErr w:type="gramEnd"/>
      <w:r>
        <w:rPr>
          <w:rFonts w:ascii="標楷體" w:eastAsia="標楷體" w:hAnsi="標楷體"/>
          <w:szCs w:val="24"/>
        </w:rPr>
        <w:t>前減少超過50%者，則應停止使用。</w:t>
      </w:r>
    </w:p>
    <w:p w14:paraId="44A3C534" w14:textId="77777777" w:rsidR="00401786" w:rsidRDefault="00C64FB3" w:rsidP="005E56FF">
      <w:pPr>
        <w:spacing w:line="300" w:lineRule="exact"/>
        <w:ind w:left="1126" w:hanging="360"/>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：減少超過50%之定義為「【用藥前3個月之平均每個月全身陣攣性及強直陣攣性發作次數(a)-用藥後1年平均每個月全身性強直陣攣性發作次數(b)】/a」</w:t>
      </w:r>
    </w:p>
    <w:p w14:paraId="59D12FBC" w14:textId="77777777" w:rsidR="00401786" w:rsidRDefault="00C64FB3" w:rsidP="005E56FF">
      <w:pPr>
        <w:spacing w:line="300" w:lineRule="exact"/>
        <w:ind w:left="807" w:hanging="281"/>
        <w:rPr>
          <w:rFonts w:ascii="標楷體" w:eastAsia="標楷體" w:hAnsi="標楷體"/>
          <w:szCs w:val="24"/>
        </w:rPr>
      </w:pPr>
      <w:r>
        <w:rPr>
          <w:rFonts w:ascii="標楷體" w:eastAsia="標楷體" w:hAnsi="標楷體"/>
          <w:szCs w:val="24"/>
        </w:rPr>
        <w:t>3.本藥品不能與cannabidiol合併使用。</w:t>
      </w:r>
    </w:p>
    <w:p w14:paraId="492122F4" w14:textId="77777777" w:rsidR="00401786" w:rsidRDefault="00C64FB3" w:rsidP="005E56FF">
      <w:pPr>
        <w:spacing w:line="300" w:lineRule="exact"/>
        <w:ind w:left="240"/>
      </w:pPr>
      <w:r>
        <w:rPr>
          <w:rFonts w:ascii="標楷體" w:eastAsia="標楷體" w:hAnsi="標楷體"/>
          <w:szCs w:val="24"/>
        </w:rPr>
        <w:t>1.3.2.13.Cannabidiol（如</w:t>
      </w:r>
      <w:proofErr w:type="spellStart"/>
      <w:r>
        <w:rPr>
          <w:rFonts w:ascii="標楷體" w:eastAsia="標楷體" w:hAnsi="標楷體"/>
          <w:szCs w:val="24"/>
        </w:rPr>
        <w:t>Epidyolex</w:t>
      </w:r>
      <w:proofErr w:type="spellEnd"/>
      <w:r>
        <w:rPr>
          <w:rFonts w:ascii="標楷體" w:eastAsia="標楷體" w:hAnsi="標楷體"/>
          <w:szCs w:val="24"/>
        </w:rPr>
        <w:t>）</w:t>
      </w:r>
      <w:r>
        <w:rPr>
          <w:rFonts w:ascii="新細明體" w:hAnsi="新細明體"/>
          <w:szCs w:val="24"/>
        </w:rPr>
        <w:t>：</w:t>
      </w:r>
      <w:r>
        <w:rPr>
          <w:rFonts w:ascii="標楷體" w:eastAsia="標楷體" w:hAnsi="標楷體"/>
          <w:szCs w:val="24"/>
        </w:rPr>
        <w:t>（113/4/1）</w:t>
      </w:r>
    </w:p>
    <w:p w14:paraId="1746B473" w14:textId="77777777" w:rsidR="00401786" w:rsidRDefault="00C64FB3" w:rsidP="005E56FF">
      <w:pPr>
        <w:numPr>
          <w:ilvl w:val="0"/>
          <w:numId w:val="8"/>
        </w:numPr>
        <w:suppressAutoHyphens w:val="0"/>
        <w:spacing w:line="300" w:lineRule="exact"/>
        <w:ind w:left="849" w:hanging="273"/>
        <w:textAlignment w:val="auto"/>
        <w:rPr>
          <w:rFonts w:ascii="標楷體" w:eastAsia="標楷體" w:hAnsi="標楷體"/>
          <w:szCs w:val="24"/>
        </w:rPr>
      </w:pPr>
      <w:r>
        <w:rPr>
          <w:rFonts w:ascii="標楷體" w:eastAsia="標楷體" w:hAnsi="標楷體"/>
          <w:szCs w:val="24"/>
        </w:rPr>
        <w:t>病人須符合以下(1)、(2)條件之</w:t>
      </w:r>
      <w:proofErr w:type="gramStart"/>
      <w:r>
        <w:rPr>
          <w:rFonts w:ascii="標楷體" w:eastAsia="標楷體" w:hAnsi="標楷體"/>
          <w:szCs w:val="24"/>
        </w:rPr>
        <w:t>一</w:t>
      </w:r>
      <w:proofErr w:type="gramEnd"/>
      <w:r>
        <w:rPr>
          <w:rFonts w:ascii="標楷體" w:eastAsia="標楷體" w:hAnsi="標楷體"/>
          <w:szCs w:val="24"/>
        </w:rPr>
        <w:t>：</w:t>
      </w:r>
    </w:p>
    <w:p w14:paraId="0E855009" w14:textId="77777777" w:rsidR="00401786" w:rsidRDefault="00C64FB3" w:rsidP="005E56FF">
      <w:pPr>
        <w:spacing w:line="300" w:lineRule="exact"/>
        <w:ind w:left="1260" w:hanging="396"/>
        <w:rPr>
          <w:rFonts w:ascii="標楷體" w:eastAsia="標楷體" w:hAnsi="標楷體"/>
          <w:szCs w:val="24"/>
        </w:rPr>
      </w:pPr>
      <w:r>
        <w:rPr>
          <w:rFonts w:ascii="標楷體" w:eastAsia="標楷體" w:hAnsi="標楷體"/>
          <w:szCs w:val="24"/>
        </w:rPr>
        <w:lastRenderedPageBreak/>
        <w:t>(1)經衛生福利部國民</w:t>
      </w:r>
      <w:proofErr w:type="gramStart"/>
      <w:r>
        <w:rPr>
          <w:rFonts w:ascii="標楷體" w:eastAsia="標楷體" w:hAnsi="標楷體"/>
          <w:szCs w:val="24"/>
        </w:rPr>
        <w:t>健康署</w:t>
      </w:r>
      <w:proofErr w:type="gramEnd"/>
      <w:r>
        <w:rPr>
          <w:rFonts w:ascii="標楷體" w:eastAsia="標楷體" w:hAnsi="標楷體"/>
          <w:szCs w:val="24"/>
        </w:rPr>
        <w:t>認定之年滿2歲之Dravet症候群病人，且符合下列條件：</w:t>
      </w:r>
    </w:p>
    <w:p w14:paraId="2B5C1BD9" w14:textId="77777777" w:rsidR="00401786" w:rsidRDefault="00C64FB3" w:rsidP="005E56FF">
      <w:pPr>
        <w:spacing w:line="300" w:lineRule="exact"/>
        <w:ind w:left="1406" w:hanging="362"/>
        <w:rPr>
          <w:rFonts w:ascii="標楷體" w:eastAsia="標楷體" w:hAnsi="標楷體"/>
          <w:szCs w:val="24"/>
        </w:rPr>
      </w:pPr>
      <w:r>
        <w:rPr>
          <w:rFonts w:ascii="標楷體" w:eastAsia="標楷體" w:hAnsi="標楷體"/>
          <w:szCs w:val="24"/>
        </w:rPr>
        <w:t>Ⅰ.限用於至少使用三種</w:t>
      </w:r>
      <w:proofErr w:type="gramStart"/>
      <w:r>
        <w:rPr>
          <w:rFonts w:ascii="標楷體" w:eastAsia="標楷體" w:hAnsi="標楷體"/>
          <w:szCs w:val="24"/>
        </w:rPr>
        <w:t>以上抗</w:t>
      </w:r>
      <w:proofErr w:type="gramEnd"/>
      <w:r>
        <w:rPr>
          <w:rFonts w:ascii="標楷體" w:eastAsia="標楷體" w:hAnsi="標楷體"/>
          <w:szCs w:val="24"/>
        </w:rPr>
        <w:t>癲癇藥物，仍無法有效控制癲癇發作之輔助性治療。</w:t>
      </w:r>
    </w:p>
    <w:p w14:paraId="07A51E9D" w14:textId="77777777" w:rsidR="00401786" w:rsidRDefault="00C64FB3" w:rsidP="005E56FF">
      <w:pPr>
        <w:spacing w:line="300" w:lineRule="exact"/>
        <w:ind w:left="1406" w:hanging="362"/>
        <w:rPr>
          <w:rFonts w:ascii="標楷體" w:eastAsia="標楷體" w:hAnsi="標楷體"/>
          <w:szCs w:val="24"/>
        </w:rPr>
      </w:pPr>
      <w:r>
        <w:rPr>
          <w:rFonts w:ascii="標楷體" w:eastAsia="標楷體" w:hAnsi="標楷體"/>
          <w:szCs w:val="24"/>
        </w:rPr>
        <w:t>Ⅱ.最大建議維持劑量為20mg/kg/day。</w:t>
      </w:r>
    </w:p>
    <w:p w14:paraId="64942B26" w14:textId="77777777" w:rsidR="00401786" w:rsidRDefault="00C64FB3" w:rsidP="005E56FF">
      <w:pPr>
        <w:spacing w:line="300" w:lineRule="exact"/>
        <w:ind w:left="1430" w:hanging="360"/>
        <w:rPr>
          <w:rFonts w:ascii="標楷體" w:eastAsia="標楷體" w:hAnsi="標楷體"/>
          <w:szCs w:val="24"/>
        </w:rPr>
      </w:pPr>
      <w:r>
        <w:rPr>
          <w:rFonts w:ascii="標楷體" w:eastAsia="標楷體" w:hAnsi="標楷體"/>
          <w:szCs w:val="24"/>
        </w:rPr>
        <w:t>Ⅲ.須先經</w:t>
      </w:r>
      <w:proofErr w:type="spellStart"/>
      <w:r>
        <w:rPr>
          <w:rFonts w:ascii="標楷體" w:eastAsia="標楷體" w:hAnsi="標楷體"/>
          <w:szCs w:val="24"/>
        </w:rPr>
        <w:t>stiripentol</w:t>
      </w:r>
      <w:proofErr w:type="spellEnd"/>
      <w:r>
        <w:rPr>
          <w:rFonts w:ascii="標楷體" w:eastAsia="標楷體" w:hAnsi="標楷體"/>
          <w:szCs w:val="24"/>
        </w:rPr>
        <w:t>治療後仍無法改善癲癇大發作次數或產生藥物不良反應時，方可</w:t>
      </w:r>
      <w:proofErr w:type="gramStart"/>
      <w:r>
        <w:rPr>
          <w:rFonts w:ascii="標楷體" w:eastAsia="標楷體" w:hAnsi="標楷體"/>
          <w:szCs w:val="24"/>
        </w:rPr>
        <w:t>使用本類藥品</w:t>
      </w:r>
      <w:proofErr w:type="gramEnd"/>
      <w:r>
        <w:rPr>
          <w:rFonts w:ascii="標楷體" w:eastAsia="標楷體" w:hAnsi="標楷體"/>
          <w:szCs w:val="24"/>
        </w:rPr>
        <w:t>。</w:t>
      </w:r>
    </w:p>
    <w:p w14:paraId="234840E6" w14:textId="77777777" w:rsidR="00401786" w:rsidRDefault="00C64FB3" w:rsidP="005E56FF">
      <w:pPr>
        <w:spacing w:line="300" w:lineRule="exact"/>
        <w:ind w:left="1190" w:hanging="360"/>
        <w:rPr>
          <w:rFonts w:ascii="標楷體" w:eastAsia="標楷體" w:hAnsi="標楷體"/>
          <w:szCs w:val="24"/>
        </w:rPr>
      </w:pPr>
      <w:r>
        <w:rPr>
          <w:rFonts w:ascii="標楷體" w:eastAsia="標楷體" w:hAnsi="標楷體"/>
          <w:szCs w:val="24"/>
        </w:rPr>
        <w:t>(2)經衛生福利部國民</w:t>
      </w:r>
      <w:proofErr w:type="gramStart"/>
      <w:r>
        <w:rPr>
          <w:rFonts w:ascii="標楷體" w:eastAsia="標楷體" w:hAnsi="標楷體"/>
          <w:szCs w:val="24"/>
        </w:rPr>
        <w:t>健康署</w:t>
      </w:r>
      <w:proofErr w:type="gramEnd"/>
      <w:r>
        <w:rPr>
          <w:rFonts w:ascii="標楷體" w:eastAsia="標楷體" w:hAnsi="標楷體"/>
          <w:szCs w:val="24"/>
        </w:rPr>
        <w:t>認定之年滿1歲之結節性硬化症病人，且符合下列各項條件：</w:t>
      </w:r>
    </w:p>
    <w:p w14:paraId="25EE8735" w14:textId="77777777" w:rsidR="00401786" w:rsidRDefault="00C64FB3" w:rsidP="005E56FF">
      <w:pPr>
        <w:spacing w:line="300" w:lineRule="exact"/>
        <w:ind w:left="1310" w:hanging="240"/>
        <w:rPr>
          <w:rFonts w:ascii="標楷體" w:eastAsia="標楷體" w:hAnsi="標楷體"/>
          <w:szCs w:val="24"/>
        </w:rPr>
      </w:pPr>
      <w:r>
        <w:rPr>
          <w:rFonts w:ascii="標楷體" w:eastAsia="標楷體" w:hAnsi="標楷體"/>
          <w:szCs w:val="24"/>
        </w:rPr>
        <w:t>I.限用於至少使用三種</w:t>
      </w:r>
      <w:proofErr w:type="gramStart"/>
      <w:r>
        <w:rPr>
          <w:rFonts w:ascii="標楷體" w:eastAsia="標楷體" w:hAnsi="標楷體"/>
          <w:szCs w:val="24"/>
        </w:rPr>
        <w:t>以上抗</w:t>
      </w:r>
      <w:proofErr w:type="gramEnd"/>
      <w:r>
        <w:rPr>
          <w:rFonts w:ascii="標楷體" w:eastAsia="標楷體" w:hAnsi="標楷體"/>
          <w:szCs w:val="24"/>
        </w:rPr>
        <w:t>癲癇藥物，仍無法有效控制癲癇發作之輔助性治療。</w:t>
      </w:r>
    </w:p>
    <w:p w14:paraId="4AC5B2F4" w14:textId="77777777" w:rsidR="00401786" w:rsidRDefault="00C64FB3" w:rsidP="005E56FF">
      <w:pPr>
        <w:spacing w:line="300" w:lineRule="exact"/>
        <w:ind w:left="1190" w:hanging="120"/>
        <w:rPr>
          <w:rFonts w:ascii="標楷體" w:eastAsia="標楷體" w:hAnsi="標楷體"/>
          <w:szCs w:val="24"/>
        </w:rPr>
      </w:pPr>
      <w:r>
        <w:rPr>
          <w:rFonts w:ascii="標楷體" w:eastAsia="標楷體" w:hAnsi="標楷體"/>
          <w:szCs w:val="24"/>
        </w:rPr>
        <w:t>Ⅱ.最大建議維持劑量為25mg/kg/day。</w:t>
      </w:r>
    </w:p>
    <w:p w14:paraId="1D6F050C" w14:textId="77777777" w:rsidR="00401786" w:rsidRDefault="00C64FB3" w:rsidP="005E56FF">
      <w:pPr>
        <w:pStyle w:val="xmsonormal"/>
        <w:spacing w:before="0" w:after="0" w:line="300" w:lineRule="exact"/>
        <w:ind w:left="1490" w:hanging="420"/>
      </w:pPr>
      <w:r>
        <w:rPr>
          <w:rFonts w:ascii="標楷體" w:eastAsia="標楷體" w:hAnsi="標楷體"/>
        </w:rPr>
        <w:t>Ⅲ.須先經癲</w:t>
      </w:r>
      <w:r>
        <w:rPr>
          <w:rFonts w:ascii="標楷體" w:eastAsia="標楷體" w:hAnsi="標楷體" w:cs="Times New Roman"/>
          <w:kern w:val="3"/>
        </w:rPr>
        <w:t>癇病灶切除術評估或迷走神經刺激術評估，無法以癲癇病灶切除術或迷走神經刺激術治療，或經癲癇病灶切除術或迷走神經刺激術治療無效或復發者，方可</w:t>
      </w:r>
      <w:proofErr w:type="gramStart"/>
      <w:r>
        <w:rPr>
          <w:rFonts w:ascii="標楷體" w:eastAsia="標楷體" w:hAnsi="標楷體" w:cs="Times New Roman"/>
          <w:kern w:val="3"/>
        </w:rPr>
        <w:t>使用本類藥品</w:t>
      </w:r>
      <w:proofErr w:type="gramEnd"/>
      <w:r>
        <w:rPr>
          <w:rFonts w:ascii="標楷體" w:eastAsia="標楷體" w:hAnsi="標楷體" w:cs="Times New Roman"/>
          <w:kern w:val="3"/>
        </w:rPr>
        <w:t>。</w:t>
      </w:r>
    </w:p>
    <w:p w14:paraId="47215EFF" w14:textId="77777777" w:rsidR="00401786" w:rsidRDefault="00C64FB3" w:rsidP="005E56FF">
      <w:pPr>
        <w:numPr>
          <w:ilvl w:val="0"/>
          <w:numId w:val="8"/>
        </w:numPr>
        <w:suppressAutoHyphens w:val="0"/>
        <w:spacing w:line="300" w:lineRule="exact"/>
        <w:ind w:left="840"/>
        <w:textAlignment w:val="auto"/>
        <w:rPr>
          <w:rFonts w:ascii="標楷體" w:eastAsia="標楷體" w:hAnsi="標楷體"/>
          <w:szCs w:val="24"/>
        </w:rPr>
      </w:pPr>
      <w:r>
        <w:rPr>
          <w:rFonts w:ascii="標楷體" w:eastAsia="標楷體" w:hAnsi="標楷體"/>
          <w:szCs w:val="24"/>
        </w:rPr>
        <w:t>停止治療條件：在持續使用(含自費使用)1年後，若病人全身陣</w:t>
      </w:r>
      <w:proofErr w:type="gramStart"/>
      <w:r>
        <w:rPr>
          <w:rFonts w:ascii="標楷體" w:eastAsia="標楷體" w:hAnsi="標楷體"/>
          <w:szCs w:val="24"/>
        </w:rPr>
        <w:t>攣</w:t>
      </w:r>
      <w:proofErr w:type="gramEnd"/>
      <w:r>
        <w:rPr>
          <w:rFonts w:ascii="標楷體" w:eastAsia="標楷體" w:hAnsi="標楷體"/>
          <w:szCs w:val="24"/>
        </w:rPr>
        <w:t>性及強直陣</w:t>
      </w:r>
      <w:proofErr w:type="gramStart"/>
      <w:r>
        <w:rPr>
          <w:rFonts w:ascii="標楷體" w:eastAsia="標楷體" w:hAnsi="標楷體"/>
          <w:szCs w:val="24"/>
        </w:rPr>
        <w:t>攣</w:t>
      </w:r>
      <w:proofErr w:type="gramEnd"/>
      <w:r>
        <w:rPr>
          <w:rFonts w:ascii="標楷體" w:eastAsia="標楷體" w:hAnsi="標楷體"/>
          <w:szCs w:val="24"/>
        </w:rPr>
        <w:t>性發作</w:t>
      </w:r>
      <w:proofErr w:type="gramStart"/>
      <w:r>
        <w:rPr>
          <w:rFonts w:ascii="標楷體" w:eastAsia="標楷體" w:hAnsi="標楷體"/>
          <w:szCs w:val="24"/>
        </w:rPr>
        <w:t>頻率未比用藥</w:t>
      </w:r>
      <w:proofErr w:type="gramEnd"/>
      <w:r>
        <w:rPr>
          <w:rFonts w:ascii="標楷體" w:eastAsia="標楷體" w:hAnsi="標楷體"/>
          <w:szCs w:val="24"/>
        </w:rPr>
        <w:t>前減少超過50%者，則應停止使用。</w:t>
      </w:r>
    </w:p>
    <w:p w14:paraId="66463AF8" w14:textId="77777777" w:rsidR="00401786" w:rsidRDefault="00C64FB3" w:rsidP="005E56FF">
      <w:pPr>
        <w:snapToGrid w:val="0"/>
        <w:spacing w:line="300" w:lineRule="exact"/>
        <w:ind w:left="1320" w:hanging="480"/>
      </w:pPr>
      <w:proofErr w:type="gramStart"/>
      <w:r>
        <w:rPr>
          <w:rFonts w:ascii="標楷體" w:eastAsia="標楷體" w:hAnsi="標楷體"/>
          <w:szCs w:val="24"/>
        </w:rPr>
        <w:t>註</w:t>
      </w:r>
      <w:proofErr w:type="gramEnd"/>
      <w:r>
        <w:rPr>
          <w:rFonts w:ascii="標楷體" w:eastAsia="標楷體" w:hAnsi="標楷體"/>
          <w:szCs w:val="24"/>
        </w:rPr>
        <w:t>：減少超過50%之定義為</w:t>
      </w:r>
      <w:r>
        <w:rPr>
          <w:rFonts w:ascii="微軟正黑體" w:eastAsia="微軟正黑體" w:hAnsi="微軟正黑體"/>
          <w:szCs w:val="24"/>
        </w:rPr>
        <w:t>「【</w:t>
      </w:r>
      <w:r>
        <w:rPr>
          <w:rFonts w:ascii="標楷體" w:eastAsia="標楷體" w:hAnsi="標楷體"/>
          <w:szCs w:val="24"/>
        </w:rPr>
        <w:t>用藥前3個月之平均每個月全身陣攣性及強直陣攣性發作次數(a)-用藥後1年平均每個月全身性強直陣攣性發作次數(b)】/a</w:t>
      </w:r>
      <w:r>
        <w:rPr>
          <w:rFonts w:ascii="微軟正黑體" w:eastAsia="微軟正黑體" w:hAnsi="微軟正黑體"/>
          <w:szCs w:val="24"/>
        </w:rPr>
        <w:t>」</w:t>
      </w:r>
    </w:p>
    <w:p w14:paraId="2F51303C" w14:textId="77777777" w:rsidR="00401786" w:rsidRDefault="00C64FB3" w:rsidP="005E56FF">
      <w:pPr>
        <w:spacing w:line="300" w:lineRule="exact"/>
        <w:ind w:left="470" w:hanging="120"/>
        <w:rPr>
          <w:rFonts w:ascii="標楷體" w:eastAsia="標楷體" w:hAnsi="標楷體"/>
          <w:szCs w:val="24"/>
        </w:rPr>
      </w:pPr>
      <w:r>
        <w:rPr>
          <w:rFonts w:ascii="標楷體" w:eastAsia="標楷體" w:hAnsi="標楷體"/>
          <w:szCs w:val="24"/>
        </w:rPr>
        <w:t xml:space="preserve"> 3.限小兒神經科或神經科醫師使用。</w:t>
      </w:r>
    </w:p>
    <w:p w14:paraId="58B4361A" w14:textId="77777777" w:rsidR="00401786" w:rsidRDefault="00C64FB3" w:rsidP="005E56FF">
      <w:pPr>
        <w:spacing w:line="300" w:lineRule="exact"/>
        <w:ind w:left="710" w:hanging="360"/>
        <w:rPr>
          <w:rFonts w:ascii="標楷體" w:eastAsia="標楷體" w:hAnsi="標楷體"/>
          <w:szCs w:val="24"/>
        </w:rPr>
      </w:pPr>
      <w:r>
        <w:rPr>
          <w:rFonts w:ascii="標楷體" w:eastAsia="標楷體" w:hAnsi="標楷體"/>
          <w:szCs w:val="24"/>
        </w:rPr>
        <w:t xml:space="preserve"> 4.需經事前審查核准後使用，每次申請以1年為限，期滿需經再次申請核准後使用。</w:t>
      </w:r>
    </w:p>
    <w:p w14:paraId="148C6827" w14:textId="77777777" w:rsidR="00401786" w:rsidRDefault="00C64FB3" w:rsidP="005E56FF">
      <w:pPr>
        <w:spacing w:line="300" w:lineRule="exact"/>
        <w:ind w:left="590" w:hanging="240"/>
        <w:rPr>
          <w:rFonts w:ascii="標楷體" w:eastAsia="標楷體" w:hAnsi="標楷體"/>
          <w:szCs w:val="24"/>
        </w:rPr>
      </w:pPr>
      <w:r>
        <w:rPr>
          <w:rFonts w:ascii="標楷體" w:eastAsia="標楷體" w:hAnsi="標楷體"/>
          <w:szCs w:val="24"/>
        </w:rPr>
        <w:t xml:space="preserve"> 5.本藥品不能與</w:t>
      </w:r>
      <w:proofErr w:type="spellStart"/>
      <w:r>
        <w:rPr>
          <w:rFonts w:ascii="標楷體" w:eastAsia="標楷體" w:hAnsi="標楷體"/>
          <w:szCs w:val="24"/>
        </w:rPr>
        <w:t>stiripentol</w:t>
      </w:r>
      <w:proofErr w:type="spellEnd"/>
      <w:r>
        <w:rPr>
          <w:rFonts w:ascii="標楷體" w:eastAsia="標楷體" w:hAnsi="標楷體"/>
          <w:szCs w:val="24"/>
        </w:rPr>
        <w:t>合併使用。</w:t>
      </w:r>
    </w:p>
    <w:p w14:paraId="69845870" w14:textId="77777777" w:rsidR="00401786" w:rsidRDefault="00401786" w:rsidP="005E56FF">
      <w:pPr>
        <w:spacing w:line="300" w:lineRule="exact"/>
        <w:ind w:left="807" w:hanging="281"/>
        <w:rPr>
          <w:rFonts w:ascii="標楷體" w:eastAsia="標楷體" w:hAnsi="標楷體"/>
          <w:szCs w:val="24"/>
        </w:rPr>
      </w:pPr>
    </w:p>
    <w:p w14:paraId="1541AA57" w14:textId="77777777" w:rsidR="00FF4DC8" w:rsidRPr="00B513F1" w:rsidRDefault="00FF4DC8" w:rsidP="005E56FF">
      <w:pPr>
        <w:spacing w:line="300" w:lineRule="exact"/>
        <w:ind w:left="672" w:hanging="386"/>
        <w:rPr>
          <w:rFonts w:ascii="標楷體" w:eastAsia="標楷體" w:hAnsi="標楷體"/>
          <w:color w:val="000000"/>
        </w:rPr>
      </w:pPr>
      <w:r w:rsidRPr="00B513F1">
        <w:rPr>
          <w:rFonts w:ascii="標楷體" w:eastAsia="標楷體" w:hAnsi="標楷體"/>
          <w:color w:val="000000"/>
        </w:rPr>
        <w:t>1.3.3.失智症治療藥品</w:t>
      </w:r>
    </w:p>
    <w:p w14:paraId="1330836E"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1.限用於依NINCDS-ADRDA或DSM或ICD標準診斷為</w:t>
      </w:r>
      <w:proofErr w:type="gramStart"/>
      <w:r w:rsidRPr="00B513F1">
        <w:rPr>
          <w:rFonts w:ascii="標楷體" w:eastAsia="標楷體" w:hAnsi="標楷體"/>
          <w:color w:val="000000"/>
        </w:rPr>
        <w:t>阿滋海默氏症或帕</w:t>
      </w:r>
      <w:proofErr w:type="gramEnd"/>
      <w:r w:rsidRPr="00B513F1">
        <w:rPr>
          <w:rFonts w:ascii="標楷體" w:eastAsia="標楷體" w:hAnsi="標楷體"/>
          <w:color w:val="000000"/>
        </w:rPr>
        <w:t>金森氏症之失智症病患。</w:t>
      </w:r>
    </w:p>
    <w:p w14:paraId="472ED2CD"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2.臨床診斷為「</w:t>
      </w:r>
      <w:proofErr w:type="gramStart"/>
      <w:r w:rsidRPr="00B513F1">
        <w:rPr>
          <w:rFonts w:ascii="標楷體" w:eastAsia="標楷體" w:hAnsi="標楷體"/>
          <w:color w:val="000000"/>
        </w:rPr>
        <w:t>血管性失智</w:t>
      </w:r>
      <w:proofErr w:type="gramEnd"/>
      <w:r w:rsidRPr="00B513F1">
        <w:rPr>
          <w:rFonts w:ascii="標楷體" w:eastAsia="標楷體" w:hAnsi="標楷體"/>
          <w:color w:val="000000"/>
        </w:rPr>
        <w:t>症」，或有嚴重心臟傳導阻斷（heart block）之病患，不建議使用。(108/12/1)</w:t>
      </w:r>
    </w:p>
    <w:p w14:paraId="6A59D305"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3.初次使用者，需於病歷上記載以下資料：(106/10/1)</w:t>
      </w:r>
    </w:p>
    <w:p w14:paraId="13014AC6"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(1)CT、MRI或哈金</w:t>
      </w:r>
      <w:proofErr w:type="gramStart"/>
      <w:r w:rsidRPr="00B513F1">
        <w:rPr>
          <w:rFonts w:ascii="標楷體" w:eastAsia="標楷體" w:hAnsi="標楷體"/>
          <w:color w:val="000000"/>
        </w:rPr>
        <w:t>斯氏量表</w:t>
      </w:r>
      <w:proofErr w:type="gramEnd"/>
      <w:r w:rsidRPr="00B513F1">
        <w:rPr>
          <w:rFonts w:ascii="標楷體" w:eastAsia="標楷體" w:hAnsi="標楷體"/>
          <w:color w:val="000000"/>
        </w:rPr>
        <w:t>（</w:t>
      </w:r>
      <w:proofErr w:type="spellStart"/>
      <w:r w:rsidRPr="00B513F1">
        <w:rPr>
          <w:rFonts w:ascii="標楷體" w:eastAsia="標楷體" w:hAnsi="標楷體"/>
          <w:color w:val="000000"/>
        </w:rPr>
        <w:t>Hachinski</w:t>
      </w:r>
      <w:proofErr w:type="spellEnd"/>
      <w:r w:rsidRPr="00B513F1">
        <w:rPr>
          <w:rFonts w:ascii="標楷體" w:eastAsia="標楷體" w:hAnsi="標楷體"/>
          <w:color w:val="000000"/>
        </w:rPr>
        <w:t xml:space="preserve"> </w:t>
      </w:r>
      <w:proofErr w:type="spellStart"/>
      <w:r w:rsidRPr="00B513F1">
        <w:rPr>
          <w:rFonts w:ascii="標楷體" w:eastAsia="標楷體" w:hAnsi="標楷體"/>
          <w:color w:val="000000"/>
        </w:rPr>
        <w:t>lschemic</w:t>
      </w:r>
      <w:proofErr w:type="spellEnd"/>
      <w:r w:rsidRPr="00B513F1">
        <w:rPr>
          <w:rFonts w:ascii="標楷體" w:eastAsia="標楷體" w:hAnsi="標楷體"/>
          <w:color w:val="000000"/>
        </w:rPr>
        <w:t xml:space="preserve"> Score）三項其中之任</w:t>
      </w:r>
      <w:proofErr w:type="gramStart"/>
      <w:r w:rsidRPr="00B513F1">
        <w:rPr>
          <w:rFonts w:ascii="標楷體" w:eastAsia="標楷體" w:hAnsi="標楷體"/>
          <w:color w:val="000000"/>
        </w:rPr>
        <w:t>一</w:t>
      </w:r>
      <w:proofErr w:type="gramEnd"/>
      <w:r w:rsidRPr="00B513F1">
        <w:rPr>
          <w:rFonts w:ascii="標楷體" w:eastAsia="標楷體" w:hAnsi="標楷體"/>
          <w:color w:val="000000"/>
        </w:rPr>
        <w:t>結果報告。</w:t>
      </w:r>
    </w:p>
    <w:p w14:paraId="339E4D3F"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(2)CBC, VDRL, BUN, Creatinine, GOT, GPT, T4, TSH檢驗。</w:t>
      </w:r>
    </w:p>
    <w:p w14:paraId="5B063005"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(3)MMSE或CDR智能測驗報告。</w:t>
      </w:r>
    </w:p>
    <w:p w14:paraId="176D0A42"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4.依疾病別及嚴重度，另規定如下：</w:t>
      </w:r>
    </w:p>
    <w:p w14:paraId="4D2F42AB"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(1)</w:t>
      </w:r>
      <w:proofErr w:type="gramStart"/>
      <w:r w:rsidRPr="00B513F1">
        <w:rPr>
          <w:rFonts w:ascii="標楷體" w:eastAsia="標楷體" w:hAnsi="標楷體"/>
          <w:color w:val="000000"/>
        </w:rPr>
        <w:t>阿滋海默氏</w:t>
      </w:r>
      <w:proofErr w:type="gramEnd"/>
      <w:r w:rsidRPr="00B513F1">
        <w:rPr>
          <w:rFonts w:ascii="標楷體" w:eastAsia="標楷體" w:hAnsi="標楷體"/>
          <w:color w:val="000000"/>
        </w:rPr>
        <w:t>症之失</w:t>
      </w:r>
      <w:proofErr w:type="gramStart"/>
      <w:r w:rsidRPr="00B513F1">
        <w:rPr>
          <w:rFonts w:ascii="標楷體" w:eastAsia="標楷體" w:hAnsi="標楷體"/>
          <w:color w:val="000000"/>
        </w:rPr>
        <w:t>智症由神經科</w:t>
      </w:r>
      <w:proofErr w:type="gramEnd"/>
      <w:r w:rsidRPr="00B513F1">
        <w:rPr>
          <w:rFonts w:ascii="標楷體" w:eastAsia="標楷體" w:hAnsi="標楷體"/>
          <w:color w:val="000000"/>
        </w:rPr>
        <w:t>或精神科醫師處方使用。</w:t>
      </w:r>
    </w:p>
    <w:p w14:paraId="291D78E8" w14:textId="77777777" w:rsidR="00FF4DC8" w:rsidRPr="00B513F1" w:rsidRDefault="00FF4DC8" w:rsidP="005E56FF">
      <w:pPr>
        <w:spacing w:line="300" w:lineRule="exact"/>
        <w:ind w:left="1174" w:hanging="336"/>
        <w:rPr>
          <w:rFonts w:ascii="標楷體" w:eastAsia="標楷體" w:hAnsi="標楷體"/>
          <w:color w:val="000000"/>
        </w:rPr>
      </w:pPr>
      <w:r w:rsidRPr="00B513F1">
        <w:rPr>
          <w:rFonts w:ascii="標楷體" w:eastAsia="標楷體" w:hAnsi="標楷體"/>
          <w:color w:val="000000"/>
        </w:rPr>
        <w:t>Ⅰ.輕度至中度失智症：</w:t>
      </w:r>
    </w:p>
    <w:p w14:paraId="6AB42D80"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限使用donepezil、rivastigmine及galantamine 口服製劑(90/10/1、92/1/1、95/6/1、100/3/1、102/8/1、106/10/1、108/5/1)：</w:t>
      </w:r>
    </w:p>
    <w:p w14:paraId="1D4283CF" w14:textId="77777777" w:rsidR="00FF4DC8" w:rsidRPr="00B513F1" w:rsidRDefault="00FF4DC8" w:rsidP="005E56FF">
      <w:pPr>
        <w:spacing w:line="300" w:lineRule="exact"/>
        <w:ind w:left="1414" w:hanging="336"/>
        <w:rPr>
          <w:rFonts w:ascii="標楷體" w:eastAsia="標楷體" w:hAnsi="標楷體"/>
          <w:color w:val="000000"/>
        </w:rPr>
      </w:pPr>
      <w:proofErr w:type="spellStart"/>
      <w:r w:rsidRPr="00B513F1">
        <w:rPr>
          <w:rFonts w:ascii="標楷體" w:eastAsia="標楷體" w:hAnsi="標楷體"/>
          <w:color w:val="000000"/>
        </w:rPr>
        <w:t>i</w:t>
      </w:r>
      <w:proofErr w:type="spellEnd"/>
      <w:r w:rsidRPr="00B513F1">
        <w:rPr>
          <w:rFonts w:ascii="標楷體" w:eastAsia="標楷體" w:hAnsi="標楷體"/>
          <w:color w:val="000000"/>
        </w:rPr>
        <w:t>.智能測驗結果為MMSE 10~26分或CDR 1級及2級之患者。</w:t>
      </w:r>
    </w:p>
    <w:p w14:paraId="1BC75CCA"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ii.使用前述三種藥品任一種後，三個月內，因副作用得換用</w:t>
      </w:r>
      <w:proofErr w:type="gramStart"/>
      <w:r w:rsidRPr="00B513F1">
        <w:rPr>
          <w:rFonts w:ascii="標楷體" w:eastAsia="標楷體" w:hAnsi="標楷體"/>
          <w:color w:val="000000"/>
        </w:rPr>
        <w:t>本類另</w:t>
      </w:r>
      <w:proofErr w:type="gramEnd"/>
      <w:r w:rsidRPr="00B513F1">
        <w:rPr>
          <w:rFonts w:ascii="標楷體" w:eastAsia="標楷體" w:hAnsi="標楷體"/>
          <w:color w:val="000000"/>
        </w:rPr>
        <w:t>一種藥物，並於病歷上記載換藥理由。(93/4/1、102/8/1、106/10/1)</w:t>
      </w:r>
    </w:p>
    <w:p w14:paraId="4A3F7AE3" w14:textId="77777777" w:rsidR="00FF4DC8" w:rsidRPr="00B513F1" w:rsidRDefault="00FF4DC8" w:rsidP="005E56FF">
      <w:pPr>
        <w:spacing w:line="300" w:lineRule="exact"/>
        <w:ind w:left="1414" w:hanging="336"/>
      </w:pPr>
      <w:r w:rsidRPr="00B513F1">
        <w:rPr>
          <w:rFonts w:ascii="標楷體" w:eastAsia="標楷體" w:hAnsi="標楷體"/>
          <w:color w:val="000000"/>
        </w:rPr>
        <w:t>iii.</w:t>
      </w:r>
      <w:r w:rsidRPr="00B513F1">
        <w:t xml:space="preserve"> </w:t>
      </w:r>
      <w:r w:rsidRPr="00B513F1">
        <w:rPr>
          <w:rFonts w:ascii="標楷體" w:eastAsia="標楷體" w:hAnsi="標楷體"/>
          <w:color w:val="000000"/>
        </w:rPr>
        <w:t>使用後每一年需重新評估，追蹤MMSE或CDR智能測驗，並於病歷記錄，如MMSE較前一次治療時減少2分(不含)以上或CDR退步1級，則應停用此類藥品。 (98/1/1、99/5/1、102/8/1、106/10/1、108/5/1)</w:t>
      </w:r>
    </w:p>
    <w:p w14:paraId="005A3793"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iv.使用rivastigmine貼片劑（如Exelon Patch），每日限用一片，且不得</w:t>
      </w:r>
      <w:proofErr w:type="gramStart"/>
      <w:r w:rsidRPr="00B513F1">
        <w:rPr>
          <w:rFonts w:ascii="標楷體" w:eastAsia="標楷體" w:hAnsi="標楷體"/>
          <w:color w:val="000000"/>
        </w:rPr>
        <w:t>併用同成分之</w:t>
      </w:r>
      <w:proofErr w:type="gramEnd"/>
      <w:r w:rsidRPr="00B513F1">
        <w:rPr>
          <w:rFonts w:ascii="標楷體" w:eastAsia="標楷體" w:hAnsi="標楷體"/>
          <w:color w:val="000000"/>
        </w:rPr>
        <w:t>口服藥品(100/3/1)。</w:t>
      </w:r>
    </w:p>
    <w:p w14:paraId="2012C577" w14:textId="77777777" w:rsidR="00FF4DC8" w:rsidRPr="00B513F1" w:rsidRDefault="00FF4DC8" w:rsidP="005E56FF">
      <w:pPr>
        <w:spacing w:line="300" w:lineRule="exact"/>
        <w:ind w:left="1174" w:hanging="336"/>
        <w:rPr>
          <w:rFonts w:ascii="標楷體" w:eastAsia="標楷體" w:hAnsi="標楷體"/>
          <w:color w:val="000000"/>
        </w:rPr>
      </w:pPr>
      <w:r w:rsidRPr="00B513F1">
        <w:rPr>
          <w:rFonts w:ascii="標楷體" w:eastAsia="標楷體" w:hAnsi="標楷體"/>
          <w:color w:val="000000"/>
        </w:rPr>
        <w:t>Ⅱ.中</w:t>
      </w:r>
      <w:proofErr w:type="gramStart"/>
      <w:r w:rsidRPr="00B513F1">
        <w:rPr>
          <w:rFonts w:ascii="標楷體" w:eastAsia="標楷體" w:hAnsi="標楷體"/>
          <w:color w:val="000000"/>
        </w:rPr>
        <w:t>重度失智</w:t>
      </w:r>
      <w:proofErr w:type="gramEnd"/>
      <w:r w:rsidRPr="00B513F1">
        <w:rPr>
          <w:rFonts w:ascii="標楷體" w:eastAsia="標楷體" w:hAnsi="標楷體"/>
          <w:color w:val="000000"/>
        </w:rPr>
        <w:t>症：</w:t>
      </w:r>
    </w:p>
    <w:p w14:paraId="0B2E2F84" w14:textId="77777777" w:rsidR="00FF4DC8" w:rsidRPr="00B513F1" w:rsidRDefault="00FF4DC8" w:rsidP="005E56FF">
      <w:pPr>
        <w:spacing w:line="300" w:lineRule="exact"/>
        <w:ind w:left="1440"/>
        <w:rPr>
          <w:rFonts w:ascii="標楷體" w:eastAsia="標楷體" w:hAnsi="標楷體"/>
          <w:color w:val="000000"/>
        </w:rPr>
      </w:pPr>
      <w:r w:rsidRPr="00B513F1">
        <w:rPr>
          <w:rFonts w:ascii="標楷體" w:eastAsia="標楷體" w:hAnsi="標楷體"/>
          <w:color w:val="000000"/>
        </w:rPr>
        <w:t>限使用memantine口服製劑（95/6/1、99/10/1、102/8/1、106/10/1、</w:t>
      </w:r>
      <w:r w:rsidRPr="00B513F1">
        <w:rPr>
          <w:rFonts w:ascii="標楷體" w:eastAsia="標楷體" w:hAnsi="標楷體"/>
          <w:color w:val="000000"/>
        </w:rPr>
        <w:lastRenderedPageBreak/>
        <w:t>111/3/1</w:t>
      </w:r>
      <w:r w:rsidRPr="00B513F1">
        <w:rPr>
          <w:rFonts w:ascii="標楷體" w:eastAsia="標楷體" w:hAnsi="標楷體" w:hint="eastAsia"/>
          <w:color w:val="000000"/>
        </w:rPr>
        <w:t>、114/10/1</w:t>
      </w:r>
      <w:r w:rsidRPr="00B513F1">
        <w:rPr>
          <w:rFonts w:ascii="標楷體" w:eastAsia="標楷體" w:hAnsi="標楷體"/>
          <w:color w:val="000000"/>
        </w:rPr>
        <w:t>）</w:t>
      </w:r>
    </w:p>
    <w:p w14:paraId="05E18F2F" w14:textId="77777777" w:rsidR="00FF4DC8" w:rsidRPr="00B513F1" w:rsidRDefault="00FF4DC8" w:rsidP="005E56FF">
      <w:pPr>
        <w:spacing w:line="300" w:lineRule="exact"/>
        <w:ind w:left="1414" w:hanging="336"/>
      </w:pPr>
      <w:proofErr w:type="spellStart"/>
      <w:r w:rsidRPr="00B513F1">
        <w:rPr>
          <w:rFonts w:ascii="標楷體" w:eastAsia="標楷體" w:hAnsi="標楷體"/>
          <w:color w:val="000000"/>
        </w:rPr>
        <w:t>i</w:t>
      </w:r>
      <w:proofErr w:type="spellEnd"/>
      <w:r w:rsidRPr="00B513F1">
        <w:rPr>
          <w:rFonts w:ascii="標楷體" w:eastAsia="標楷體" w:hAnsi="標楷體"/>
          <w:color w:val="000000"/>
        </w:rPr>
        <w:t>.</w:t>
      </w:r>
      <w:r w:rsidRPr="00B513F1">
        <w:t xml:space="preserve"> </w:t>
      </w:r>
      <w:r w:rsidRPr="00B513F1">
        <w:rPr>
          <w:rFonts w:ascii="標楷體" w:eastAsia="標楷體" w:hAnsi="標楷體"/>
          <w:color w:val="000000"/>
        </w:rPr>
        <w:t>智能測驗結果為10≦MMSE≦14分或CDR 2級之患者。</w:t>
      </w:r>
    </w:p>
    <w:p w14:paraId="393EA257"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ii.曾使用過donepezil、 rivastigmine、galantamine其中任一種藥品之患者，使用後每一年需重新評估，追蹤MMSE或CDR智能測驗，MMSE較起步治療時減少2分(不含)以上或CDR退步1級，且MMSE或CDR智能測驗達標準(10</w:t>
      </w:r>
      <w:proofErr w:type="gramStart"/>
      <w:r w:rsidRPr="00B513F1">
        <w:rPr>
          <w:rFonts w:ascii="標楷體" w:eastAsia="標楷體" w:hAnsi="標楷體"/>
          <w:color w:val="000000"/>
        </w:rPr>
        <w:t>≦</w:t>
      </w:r>
      <w:proofErr w:type="gramEnd"/>
      <w:r w:rsidRPr="00B513F1">
        <w:rPr>
          <w:rFonts w:ascii="標楷體" w:eastAsia="標楷體" w:hAnsi="標楷體"/>
          <w:color w:val="000000"/>
        </w:rPr>
        <w:t>MMSE</w:t>
      </w:r>
      <w:proofErr w:type="gramStart"/>
      <w:r w:rsidRPr="00B513F1">
        <w:rPr>
          <w:rFonts w:ascii="標楷體" w:eastAsia="標楷體" w:hAnsi="標楷體"/>
          <w:color w:val="000000"/>
        </w:rPr>
        <w:t>≦</w:t>
      </w:r>
      <w:proofErr w:type="gramEnd"/>
      <w:r w:rsidRPr="00B513F1">
        <w:rPr>
          <w:rFonts w:ascii="標楷體" w:eastAsia="標楷體" w:hAnsi="標楷體"/>
          <w:color w:val="000000"/>
        </w:rPr>
        <w:t>14分或CDR 2級)，得換用或</w:t>
      </w:r>
      <w:proofErr w:type="gramStart"/>
      <w:r w:rsidRPr="00B513F1">
        <w:rPr>
          <w:rFonts w:ascii="標楷體" w:eastAsia="標楷體" w:hAnsi="標楷體"/>
          <w:color w:val="000000"/>
        </w:rPr>
        <w:t>併</w:t>
      </w:r>
      <w:proofErr w:type="gramEnd"/>
      <w:r w:rsidRPr="00B513F1">
        <w:rPr>
          <w:rFonts w:ascii="標楷體" w:eastAsia="標楷體" w:hAnsi="標楷體"/>
          <w:color w:val="000000"/>
        </w:rPr>
        <w:t>用memantine。(106/10/1、111/3/1</w:t>
      </w:r>
      <w:r w:rsidRPr="00B513F1">
        <w:rPr>
          <w:rFonts w:ascii="標楷體" w:eastAsia="標楷體" w:hAnsi="標楷體" w:hint="eastAsia"/>
          <w:color w:val="000000"/>
        </w:rPr>
        <w:t>、114/10/1</w:t>
      </w:r>
      <w:r w:rsidRPr="00B513F1">
        <w:rPr>
          <w:rFonts w:ascii="標楷體" w:eastAsia="標楷體" w:hAnsi="標楷體"/>
          <w:color w:val="000000"/>
        </w:rPr>
        <w:t>)</w:t>
      </w:r>
    </w:p>
    <w:p w14:paraId="32E6BA26"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iii.換用或</w:t>
      </w:r>
      <w:proofErr w:type="gramStart"/>
      <w:r w:rsidRPr="00B513F1">
        <w:rPr>
          <w:rFonts w:ascii="標楷體" w:eastAsia="標楷體" w:hAnsi="標楷體"/>
          <w:color w:val="000000"/>
        </w:rPr>
        <w:t>併</w:t>
      </w:r>
      <w:proofErr w:type="gramEnd"/>
      <w:r w:rsidRPr="00B513F1">
        <w:rPr>
          <w:rFonts w:ascii="標楷體" w:eastAsia="標楷體" w:hAnsi="標楷體"/>
          <w:color w:val="000000"/>
        </w:rPr>
        <w:t>用memantine後每一年需重新評估，追蹤MMSE或CDR智能測驗，並於病歷記錄，如MMSE較前一次治療時減少2分(不含)以上或CDR退步1級，則應停用此類藥品。惟</w:t>
      </w:r>
      <w:proofErr w:type="spellStart"/>
      <w:r w:rsidRPr="00B513F1">
        <w:rPr>
          <w:rFonts w:ascii="標楷體" w:eastAsia="標楷體" w:hAnsi="標楷體"/>
          <w:color w:val="000000"/>
        </w:rPr>
        <w:t>Ebixa</w:t>
      </w:r>
      <w:proofErr w:type="spellEnd"/>
      <w:r w:rsidRPr="00B513F1">
        <w:rPr>
          <w:rFonts w:ascii="標楷體" w:eastAsia="標楷體" w:hAnsi="標楷體"/>
          <w:color w:val="000000"/>
        </w:rPr>
        <w:t xml:space="preserve"> Tablets及Evy Tablets等2種藥品，使用後每一年需重新評估，追蹤MMSE或CDR智能測驗，並於病歷記錄，如MMSE較起步治療時減少2分(不含)以上或CDR退步1級，則應停用此類藥品。(98/1/1、99/5/1、102/8/1、106/10/1、111/3/1)</w:t>
      </w:r>
    </w:p>
    <w:p w14:paraId="588015C6" w14:textId="77777777" w:rsidR="00FF4DC8" w:rsidRPr="00B513F1" w:rsidRDefault="00FF4DC8" w:rsidP="005E56FF">
      <w:pPr>
        <w:spacing w:line="300" w:lineRule="exact"/>
        <w:ind w:left="1174" w:hanging="336"/>
        <w:rPr>
          <w:rFonts w:ascii="標楷體" w:eastAsia="標楷體" w:hAnsi="標楷體"/>
          <w:color w:val="000000"/>
        </w:rPr>
      </w:pPr>
      <w:r w:rsidRPr="00B513F1">
        <w:rPr>
          <w:rFonts w:ascii="標楷體" w:eastAsia="標楷體" w:hAnsi="標楷體"/>
          <w:color w:val="000000"/>
        </w:rPr>
        <w:t>Ⅲ.</w:t>
      </w:r>
      <w:proofErr w:type="gramStart"/>
      <w:r w:rsidRPr="00B513F1">
        <w:rPr>
          <w:rFonts w:ascii="標楷體" w:eastAsia="標楷體" w:hAnsi="標楷體"/>
          <w:color w:val="000000"/>
        </w:rPr>
        <w:t>重度失智</w:t>
      </w:r>
      <w:proofErr w:type="gramEnd"/>
      <w:r w:rsidRPr="00B513F1">
        <w:rPr>
          <w:rFonts w:ascii="標楷體" w:eastAsia="標楷體" w:hAnsi="標楷體"/>
          <w:color w:val="000000"/>
        </w:rPr>
        <w:t>症：(99/10/1、102/8/1、108/5/1、111/3/1</w:t>
      </w:r>
      <w:r w:rsidRPr="00B513F1">
        <w:rPr>
          <w:rFonts w:ascii="標楷體" w:eastAsia="標楷體" w:hAnsi="標楷體" w:hint="eastAsia"/>
          <w:color w:val="000000"/>
        </w:rPr>
        <w:t>、114/10/1</w:t>
      </w:r>
      <w:r w:rsidRPr="00B513F1">
        <w:rPr>
          <w:rFonts w:ascii="標楷體" w:eastAsia="標楷體" w:hAnsi="標楷體"/>
          <w:color w:val="000000"/>
        </w:rPr>
        <w:t>)限使用donepezil及memantine口服製劑或是兩者</w:t>
      </w:r>
      <w:proofErr w:type="gramStart"/>
      <w:r w:rsidRPr="00B513F1">
        <w:rPr>
          <w:rFonts w:ascii="標楷體" w:eastAsia="標楷體" w:hAnsi="標楷體"/>
          <w:color w:val="000000"/>
        </w:rPr>
        <w:t>併</w:t>
      </w:r>
      <w:proofErr w:type="gramEnd"/>
      <w:r w:rsidRPr="00B513F1">
        <w:rPr>
          <w:rFonts w:ascii="標楷體" w:eastAsia="標楷體" w:hAnsi="標楷體"/>
          <w:color w:val="000000"/>
        </w:rPr>
        <w:t>用(102/8/1、108/5/1、111/3/1</w:t>
      </w:r>
      <w:r w:rsidRPr="00B513F1">
        <w:rPr>
          <w:rFonts w:ascii="標楷體" w:eastAsia="標楷體" w:hAnsi="標楷體" w:hint="eastAsia"/>
          <w:color w:val="000000"/>
        </w:rPr>
        <w:t>、114/10/1</w:t>
      </w:r>
      <w:r w:rsidRPr="00B513F1">
        <w:rPr>
          <w:rFonts w:ascii="標楷體" w:eastAsia="標楷體" w:hAnsi="標楷體"/>
          <w:color w:val="000000"/>
        </w:rPr>
        <w:t>)</w:t>
      </w:r>
    </w:p>
    <w:p w14:paraId="44D04231" w14:textId="77777777" w:rsidR="00FF4DC8" w:rsidRPr="00B513F1" w:rsidRDefault="00FF4DC8" w:rsidP="005E56FF">
      <w:pPr>
        <w:spacing w:line="300" w:lineRule="exact"/>
        <w:ind w:left="1414" w:hanging="336"/>
        <w:rPr>
          <w:rFonts w:ascii="標楷體" w:eastAsia="標楷體" w:hAnsi="標楷體"/>
          <w:color w:val="000000"/>
        </w:rPr>
      </w:pPr>
      <w:proofErr w:type="spellStart"/>
      <w:r w:rsidRPr="00B513F1">
        <w:rPr>
          <w:rFonts w:ascii="標楷體" w:eastAsia="標楷體" w:hAnsi="標楷體"/>
          <w:color w:val="000000"/>
        </w:rPr>
        <w:t>i</w:t>
      </w:r>
      <w:proofErr w:type="spellEnd"/>
      <w:r w:rsidRPr="00B513F1">
        <w:rPr>
          <w:rFonts w:ascii="標楷體" w:eastAsia="標楷體" w:hAnsi="標楷體"/>
          <w:color w:val="000000"/>
        </w:rPr>
        <w:t>.智能測驗結果為MMSE 5-9分且CDR 3級之患者。</w:t>
      </w:r>
    </w:p>
    <w:p w14:paraId="048835E9"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ii.臥床或無行動能力者不得使用。</w:t>
      </w:r>
    </w:p>
    <w:p w14:paraId="7888D287" w14:textId="77777777" w:rsidR="00FF4DC8" w:rsidRPr="00B513F1" w:rsidRDefault="00FF4DC8" w:rsidP="005E56FF">
      <w:pPr>
        <w:spacing w:line="300" w:lineRule="exact"/>
        <w:ind w:left="1414" w:hanging="336"/>
      </w:pPr>
      <w:r w:rsidRPr="00B513F1">
        <w:rPr>
          <w:rFonts w:ascii="標楷體" w:eastAsia="標楷體" w:hAnsi="標楷體"/>
          <w:color w:val="000000"/>
        </w:rPr>
        <w:t>iii.</w:t>
      </w:r>
      <w:r w:rsidRPr="00B513F1">
        <w:t xml:space="preserve"> </w:t>
      </w:r>
      <w:r w:rsidRPr="00B513F1">
        <w:rPr>
          <w:rFonts w:ascii="標楷體" w:eastAsia="標楷體" w:hAnsi="標楷體"/>
          <w:color w:val="000000"/>
        </w:rPr>
        <w:t>曾單獨或是併用過memantine、donepezil、rivastigmine、galantamine而不再適用者，不得使用</w:t>
      </w:r>
      <w:proofErr w:type="gramStart"/>
      <w:r w:rsidRPr="00B513F1">
        <w:rPr>
          <w:rFonts w:ascii="標楷體" w:eastAsia="標楷體" w:hAnsi="標楷體"/>
          <w:color w:val="000000"/>
        </w:rPr>
        <w:t>。(</w:t>
      </w:r>
      <w:proofErr w:type="gramEnd"/>
      <w:r w:rsidRPr="00B513F1">
        <w:rPr>
          <w:rFonts w:ascii="標楷體" w:eastAsia="標楷體" w:hAnsi="標楷體"/>
          <w:color w:val="000000"/>
        </w:rPr>
        <w:t>111/3/1)</w:t>
      </w:r>
    </w:p>
    <w:p w14:paraId="34018FA9"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iv.使用後每一年需重新評估，追蹤MMSE智能測驗，如MMSE較前一次治療時減少2分(不含)以上,則應停用此類藥品。惟</w:t>
      </w:r>
      <w:proofErr w:type="spellStart"/>
      <w:r w:rsidRPr="00B513F1">
        <w:rPr>
          <w:rFonts w:ascii="標楷體" w:eastAsia="標楷體" w:hAnsi="標楷體"/>
          <w:color w:val="000000"/>
        </w:rPr>
        <w:t>Ebixa</w:t>
      </w:r>
      <w:proofErr w:type="spellEnd"/>
      <w:r w:rsidRPr="00B513F1">
        <w:rPr>
          <w:rFonts w:ascii="標楷體" w:eastAsia="標楷體" w:hAnsi="標楷體"/>
          <w:color w:val="000000"/>
        </w:rPr>
        <w:t xml:space="preserve"> Tablets 及Evy Tablets等2種藥品，使用後每一年需重新評估，追蹤MMSE智能測驗，如MMSE較起步治療時減少2分(不含)以上，則應停用此類藥品。(99/10/1、102/8/1、108/5/1、111/3 /1)</w:t>
      </w:r>
    </w:p>
    <w:p w14:paraId="3AF121BC"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(2)帕金森氏症之失智症(99/5/1、100/3/1、102/8/1)</w:t>
      </w:r>
    </w:p>
    <w:p w14:paraId="4FA7ECE2" w14:textId="77777777" w:rsidR="00FF4DC8" w:rsidRPr="00B513F1" w:rsidRDefault="00FF4DC8" w:rsidP="005E56FF">
      <w:pPr>
        <w:spacing w:line="300" w:lineRule="exact"/>
        <w:ind w:left="1049"/>
        <w:rPr>
          <w:rFonts w:ascii="標楷體" w:eastAsia="標楷體" w:hAnsi="標楷體"/>
          <w:color w:val="000000"/>
        </w:rPr>
      </w:pPr>
      <w:r w:rsidRPr="00B513F1">
        <w:rPr>
          <w:rFonts w:ascii="標楷體" w:eastAsia="標楷體" w:hAnsi="標楷體"/>
          <w:color w:val="000000"/>
        </w:rPr>
        <w:t>限神經科醫師診斷及處方使用於輕度至中度之失智症。</w:t>
      </w:r>
    </w:p>
    <w:p w14:paraId="78376DCB" w14:textId="77777777" w:rsidR="00FF4DC8" w:rsidRPr="00B513F1" w:rsidRDefault="00FF4DC8" w:rsidP="005E56FF">
      <w:pPr>
        <w:spacing w:line="300" w:lineRule="exact"/>
        <w:ind w:left="1049"/>
        <w:rPr>
          <w:rFonts w:ascii="標楷體" w:eastAsia="標楷體" w:hAnsi="標楷體"/>
          <w:color w:val="000000"/>
        </w:rPr>
      </w:pPr>
      <w:r w:rsidRPr="00B513F1">
        <w:rPr>
          <w:rFonts w:ascii="標楷體" w:eastAsia="標楷體" w:hAnsi="標楷體"/>
          <w:color w:val="000000"/>
        </w:rPr>
        <w:t>限使用rivastigmine口服製劑 (102/8/1)</w:t>
      </w:r>
    </w:p>
    <w:p w14:paraId="017C00D5"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Ⅰ.智能測驗結果為MMSE 10~26分或CDR 1級及2級之患者。</w:t>
      </w:r>
    </w:p>
    <w:p w14:paraId="0D389711"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Ⅱ.失智症</w:t>
      </w:r>
      <w:proofErr w:type="gramStart"/>
      <w:r w:rsidRPr="00B513F1">
        <w:rPr>
          <w:rFonts w:ascii="標楷體" w:eastAsia="標楷體" w:hAnsi="標楷體"/>
          <w:color w:val="000000"/>
        </w:rPr>
        <w:t>發生於帕金</w:t>
      </w:r>
      <w:proofErr w:type="gramEnd"/>
      <w:r w:rsidRPr="00B513F1">
        <w:rPr>
          <w:rFonts w:ascii="標楷體" w:eastAsia="標楷體" w:hAnsi="標楷體"/>
          <w:color w:val="000000"/>
        </w:rPr>
        <w:t>森氏症診斷至少一年以後。</w:t>
      </w:r>
    </w:p>
    <w:p w14:paraId="4F0816AE"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Ⅲ.使用後每一年需重新評估，追蹤MMSE或CDR智能測驗，如MMSE較前一次治療時減少2分(不含)以上或CDR退步1級，則應停用此類藥品。(99/5/1、102/8/1)</w:t>
      </w:r>
    </w:p>
    <w:p w14:paraId="045AFCB3" w14:textId="77777777" w:rsidR="00401786" w:rsidRDefault="00FF4DC8" w:rsidP="005E56FF">
      <w:pPr>
        <w:spacing w:line="300" w:lineRule="exact"/>
        <w:ind w:left="811" w:hanging="245"/>
      </w:pPr>
      <w:r w:rsidRPr="00B513F1">
        <w:rPr>
          <w:rFonts w:ascii="標楷體" w:eastAsia="標楷體" w:hAnsi="標楷體"/>
          <w:color w:val="000000"/>
        </w:rPr>
        <w:t xml:space="preserve">   備註:</w:t>
      </w:r>
      <w:r w:rsidRPr="00B513F1">
        <w:t xml:space="preserve"> </w:t>
      </w:r>
      <w:r w:rsidRPr="00B513F1">
        <w:rPr>
          <w:rFonts w:ascii="標楷體" w:eastAsia="標楷體" w:hAnsi="標楷體"/>
          <w:color w:val="000000"/>
        </w:rPr>
        <w:t>起步治療定義:</w:t>
      </w:r>
      <w:proofErr w:type="gramStart"/>
      <w:r w:rsidRPr="00B513F1">
        <w:rPr>
          <w:rFonts w:ascii="標楷體" w:eastAsia="標楷體" w:hAnsi="標楷體"/>
          <w:color w:val="000000"/>
        </w:rPr>
        <w:t>係指同組</w:t>
      </w:r>
      <w:proofErr w:type="gramEnd"/>
      <w:r w:rsidRPr="00B513F1">
        <w:rPr>
          <w:rFonts w:ascii="標楷體" w:eastAsia="標楷體" w:hAnsi="標楷體"/>
          <w:color w:val="000000"/>
        </w:rPr>
        <w:t>藥品第一次申請同意治療之評分</w:t>
      </w:r>
    </w:p>
    <w:p w14:paraId="319D14FA" w14:textId="77777777" w:rsidR="00401786" w:rsidRDefault="00C64FB3" w:rsidP="005E56FF">
      <w:pPr>
        <w:spacing w:line="300" w:lineRule="exact"/>
        <w:ind w:left="811" w:hanging="527"/>
        <w:rPr>
          <w:rFonts w:ascii="標楷體" w:eastAsia="標楷體" w:hAnsi="標楷體"/>
          <w:color w:val="000000"/>
        </w:rPr>
      </w:pPr>
      <w:r>
        <w:rPr>
          <w:rFonts w:ascii="標楷體" w:eastAsia="標楷體" w:hAnsi="標楷體"/>
          <w:color w:val="000000"/>
        </w:rPr>
        <w:t>1.3.4.帕金森氏症治療藥品：(91/11/1、93/2/1、95/9/1、96/9/1、97/7/1、100/6/1、101/6/1、108/10/1、110/11/1、111/3/1)</w:t>
      </w:r>
    </w:p>
    <w:p w14:paraId="723A8C44"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1.如病人開始出現功能障礙，在使用levodopa之前或同時，得使用一種dopamine agonist（ropinirole、pramipexole、pergolide、</w:t>
      </w:r>
      <w:proofErr w:type="spellStart"/>
      <w:r>
        <w:rPr>
          <w:rFonts w:ascii="標楷體" w:eastAsia="標楷體" w:hAnsi="標楷體"/>
          <w:color w:val="000000"/>
        </w:rPr>
        <w:t>lisuride</w:t>
      </w:r>
      <w:proofErr w:type="spellEnd"/>
      <w:r>
        <w:rPr>
          <w:rFonts w:ascii="標楷體" w:eastAsia="標楷體" w:hAnsi="標楷體"/>
          <w:color w:val="000000"/>
        </w:rPr>
        <w:t>及</w:t>
      </w:r>
      <w:proofErr w:type="spellStart"/>
      <w:r>
        <w:rPr>
          <w:rFonts w:ascii="標楷體" w:eastAsia="標楷體" w:hAnsi="標楷體"/>
          <w:color w:val="000000"/>
        </w:rPr>
        <w:t>rotigotine</w:t>
      </w:r>
      <w:proofErr w:type="spellEnd"/>
      <w:r>
        <w:rPr>
          <w:rFonts w:ascii="標楷體" w:eastAsia="標楷體" w:hAnsi="標楷體"/>
          <w:color w:val="000000"/>
        </w:rPr>
        <w:t>），或amantadine，或是levodopa</w:t>
      </w:r>
      <w:proofErr w:type="gramStart"/>
      <w:r>
        <w:rPr>
          <w:rFonts w:ascii="標楷體" w:eastAsia="標楷體" w:hAnsi="標楷體"/>
          <w:color w:val="000000"/>
        </w:rPr>
        <w:t>併</w:t>
      </w:r>
      <w:proofErr w:type="gramEnd"/>
      <w:r>
        <w:rPr>
          <w:rFonts w:ascii="標楷體" w:eastAsia="標楷體" w:hAnsi="標楷體"/>
          <w:color w:val="000000"/>
        </w:rPr>
        <w:t>用 COMT抑制劑</w:t>
      </w:r>
      <w:proofErr w:type="gramStart"/>
      <w:r>
        <w:rPr>
          <w:rFonts w:ascii="標楷體" w:eastAsia="標楷體" w:hAnsi="標楷體"/>
          <w:color w:val="000000"/>
        </w:rPr>
        <w:t>（</w:t>
      </w:r>
      <w:proofErr w:type="gramEnd"/>
      <w:r>
        <w:rPr>
          <w:rFonts w:ascii="標楷體" w:eastAsia="標楷體" w:hAnsi="標楷體"/>
          <w:color w:val="000000"/>
        </w:rPr>
        <w:t>entacapone：如</w:t>
      </w:r>
      <w:proofErr w:type="spellStart"/>
      <w:r>
        <w:rPr>
          <w:rFonts w:ascii="標楷體" w:eastAsia="標楷體" w:hAnsi="標楷體"/>
          <w:color w:val="000000"/>
        </w:rPr>
        <w:t>Comtan</w:t>
      </w:r>
      <w:proofErr w:type="spellEnd"/>
      <w:r>
        <w:rPr>
          <w:rFonts w:ascii="標楷體" w:eastAsia="標楷體" w:hAnsi="標楷體"/>
          <w:color w:val="000000"/>
        </w:rPr>
        <w:t xml:space="preserve"> film-coated tab.；</w:t>
      </w:r>
      <w:proofErr w:type="spellStart"/>
      <w:r>
        <w:rPr>
          <w:rFonts w:ascii="標楷體" w:eastAsia="標楷體" w:hAnsi="標楷體"/>
          <w:color w:val="000000"/>
        </w:rPr>
        <w:t>opicapone</w:t>
      </w:r>
      <w:proofErr w:type="spellEnd"/>
      <w:r>
        <w:rPr>
          <w:rFonts w:ascii="標楷體" w:eastAsia="標楷體" w:hAnsi="標楷體"/>
          <w:color w:val="000000"/>
        </w:rPr>
        <w:t>：如</w:t>
      </w:r>
      <w:proofErr w:type="spellStart"/>
      <w:r>
        <w:rPr>
          <w:rFonts w:ascii="標楷體" w:eastAsia="標楷體" w:hAnsi="標楷體"/>
          <w:color w:val="000000"/>
        </w:rPr>
        <w:t>Ongentys</w:t>
      </w:r>
      <w:proofErr w:type="spellEnd"/>
      <w:r>
        <w:rPr>
          <w:rFonts w:ascii="標楷體" w:eastAsia="標楷體" w:hAnsi="標楷體"/>
          <w:color w:val="000000"/>
        </w:rPr>
        <w:t xml:space="preserve"> hard capsules</w:t>
      </w:r>
      <w:proofErr w:type="gramStart"/>
      <w:r>
        <w:rPr>
          <w:rFonts w:ascii="標楷體" w:eastAsia="標楷體" w:hAnsi="標楷體"/>
          <w:color w:val="000000"/>
        </w:rPr>
        <w:t>）</w:t>
      </w:r>
      <w:proofErr w:type="gramEnd"/>
      <w:r>
        <w:rPr>
          <w:rFonts w:ascii="標楷體" w:eastAsia="標楷體" w:hAnsi="標楷體"/>
          <w:color w:val="000000"/>
        </w:rPr>
        <w:t>。(110/11/1</w:t>
      </w:r>
      <w:proofErr w:type="gramStart"/>
      <w:r>
        <w:rPr>
          <w:rFonts w:ascii="標楷體" w:eastAsia="標楷體" w:hAnsi="標楷體"/>
          <w:color w:val="000000"/>
        </w:rPr>
        <w:t>）</w:t>
      </w:r>
      <w:proofErr w:type="gramEnd"/>
    </w:p>
    <w:p w14:paraId="4B23F78D" w14:textId="77777777" w:rsidR="00401786" w:rsidRDefault="00C64FB3" w:rsidP="005E56FF">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Levodopa＋carbidopa＋entacapone三合一製劑（如</w:t>
      </w:r>
      <w:proofErr w:type="spellStart"/>
      <w:r>
        <w:rPr>
          <w:rFonts w:ascii="標楷體" w:eastAsia="標楷體" w:hAnsi="標楷體"/>
          <w:color w:val="000000"/>
        </w:rPr>
        <w:t>Stalevo</w:t>
      </w:r>
      <w:proofErr w:type="spellEnd"/>
      <w:r>
        <w:rPr>
          <w:rFonts w:ascii="標楷體" w:eastAsia="標楷體" w:hAnsi="標楷體"/>
          <w:color w:val="000000"/>
        </w:rPr>
        <w:t>）：限用於表現藥效終期運動功能波動現象，以左多巴/多</w:t>
      </w:r>
      <w:proofErr w:type="gramStart"/>
      <w:r>
        <w:rPr>
          <w:rFonts w:ascii="標楷體" w:eastAsia="標楷體" w:hAnsi="標楷體"/>
          <w:color w:val="000000"/>
        </w:rPr>
        <w:t>巴脫羧基</w:t>
      </w:r>
      <w:proofErr w:type="gramEnd"/>
      <w:r>
        <w:rPr>
          <w:rFonts w:ascii="標楷體" w:eastAsia="標楷體" w:hAnsi="標楷體"/>
          <w:color w:val="000000"/>
        </w:rPr>
        <w:t>酶抑制劑無法達到穩定治療效果之巴金森氏症病人。（95/9/1）</w:t>
      </w:r>
    </w:p>
    <w:p w14:paraId="3DDCB6F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緩釋型</w:t>
      </w:r>
      <w:proofErr w:type="gramEnd"/>
      <w:r>
        <w:rPr>
          <w:rFonts w:ascii="標楷體" w:eastAsia="標楷體" w:hAnsi="標楷體"/>
          <w:color w:val="000000"/>
        </w:rPr>
        <w:t>levodopa + carbidopa  (如</w:t>
      </w:r>
      <w:proofErr w:type="spellStart"/>
      <w:r>
        <w:rPr>
          <w:rFonts w:ascii="標楷體" w:eastAsia="標楷體" w:hAnsi="標楷體"/>
          <w:color w:val="000000"/>
        </w:rPr>
        <w:t>Numient</w:t>
      </w:r>
      <w:proofErr w:type="spellEnd"/>
      <w:r>
        <w:rPr>
          <w:rFonts w:ascii="標楷體" w:eastAsia="標楷體" w:hAnsi="標楷體"/>
          <w:color w:val="000000"/>
        </w:rPr>
        <w:t>)：(110/11/1)</w:t>
      </w:r>
    </w:p>
    <w:p w14:paraId="5763D3EE" w14:textId="77777777" w:rsidR="00401786" w:rsidRDefault="00C64FB3" w:rsidP="005E56FF">
      <w:pPr>
        <w:spacing w:line="300" w:lineRule="exact"/>
        <w:ind w:left="907" w:hanging="340"/>
        <w:rPr>
          <w:rFonts w:ascii="標楷體" w:eastAsia="標楷體" w:hAnsi="標楷體"/>
          <w:color w:val="000000"/>
        </w:rPr>
      </w:pPr>
      <w:r>
        <w:rPr>
          <w:rFonts w:ascii="標楷體" w:eastAsia="標楷體" w:hAnsi="標楷體"/>
          <w:color w:val="000000"/>
        </w:rPr>
        <w:t>(1)限使用於病人表現藥效終期運動功能波動現象，並使用Levodopa＋ carbidopa＋entacapone三合一製劑或其他 levodopa製劑合併COMT抑制劑後無效者，或是目前無其他積極治療的病人。</w:t>
      </w:r>
    </w:p>
    <w:p w14:paraId="2BC6462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(2)每日至多可使用4粒。</w:t>
      </w:r>
    </w:p>
    <w:p w14:paraId="707D0C5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lastRenderedPageBreak/>
        <w:t>4.若已同時使用上述藥物且達高劑量，仍無法達到</w:t>
      </w:r>
      <w:proofErr w:type="gramStart"/>
      <w:r>
        <w:rPr>
          <w:rFonts w:ascii="標楷體" w:eastAsia="標楷體" w:hAnsi="標楷體"/>
          <w:color w:val="000000"/>
        </w:rPr>
        <w:t>滿意的</w:t>
      </w:r>
      <w:proofErr w:type="gramEnd"/>
      <w:r>
        <w:rPr>
          <w:rFonts w:ascii="標楷體" w:eastAsia="標楷體" w:hAnsi="標楷體"/>
          <w:color w:val="000000"/>
        </w:rPr>
        <w:t xml:space="preserve"> "on" state，或出現運動併發症（如異動症或肌強直），需合併使用多類藥物治療時，應於病歷上詳細記載理由。</w:t>
      </w:r>
    </w:p>
    <w:p w14:paraId="084F7A31"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5.Rasagiline：(101/6/1、108/10/1)</w:t>
      </w:r>
    </w:p>
    <w:p w14:paraId="6C0F64C4"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(1)可單獨使用，每日最高劑量為1 mg。</w:t>
      </w:r>
    </w:p>
    <w:p w14:paraId="2599B189" w14:textId="77777777" w:rsidR="00401786" w:rsidRDefault="00C64FB3" w:rsidP="005E56FF">
      <w:pPr>
        <w:spacing w:line="300" w:lineRule="exact"/>
        <w:ind w:left="1049" w:hanging="341"/>
      </w:pPr>
      <w:r>
        <w:rPr>
          <w:rFonts w:ascii="標楷體" w:eastAsia="標楷體" w:hAnsi="標楷體"/>
          <w:color w:val="000000"/>
        </w:rPr>
        <w:t>(2)</w:t>
      </w:r>
      <w:r>
        <w:t xml:space="preserve"> </w:t>
      </w:r>
      <w:r>
        <w:rPr>
          <w:rFonts w:ascii="標楷體" w:eastAsia="標楷體" w:hAnsi="標楷體"/>
          <w:color w:val="000000"/>
        </w:rPr>
        <w:t>與levodopa或是</w:t>
      </w:r>
      <w:proofErr w:type="gramStart"/>
      <w:r>
        <w:rPr>
          <w:rFonts w:ascii="標楷體" w:eastAsia="標楷體" w:hAnsi="標楷體"/>
          <w:color w:val="000000"/>
        </w:rPr>
        <w:t>其他抗帕金</w:t>
      </w:r>
      <w:proofErr w:type="gramEnd"/>
      <w:r>
        <w:rPr>
          <w:rFonts w:ascii="標楷體" w:eastAsia="標楷體" w:hAnsi="標楷體"/>
          <w:color w:val="000000"/>
        </w:rPr>
        <w:t>森藥物</w:t>
      </w:r>
      <w:proofErr w:type="gramStart"/>
      <w:r>
        <w:rPr>
          <w:rFonts w:ascii="標楷體" w:eastAsia="標楷體" w:hAnsi="標楷體"/>
          <w:color w:val="000000"/>
        </w:rPr>
        <w:t>併</w:t>
      </w:r>
      <w:proofErr w:type="gramEnd"/>
      <w:r>
        <w:rPr>
          <w:rFonts w:ascii="標楷體" w:eastAsia="標楷體" w:hAnsi="標楷體"/>
          <w:color w:val="000000"/>
        </w:rPr>
        <w:t>用，rasagiline每日最高劑量為0.5 mg。</w:t>
      </w:r>
    </w:p>
    <w:p w14:paraId="143C91D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6.Pramipexole及ropinirole用於治療原發</w:t>
      </w:r>
      <w:proofErr w:type="gramStart"/>
      <w:r>
        <w:rPr>
          <w:rFonts w:ascii="標楷體" w:eastAsia="標楷體" w:hAnsi="標楷體"/>
          <w:color w:val="000000"/>
        </w:rPr>
        <w:t>性腿部躁動症時</w:t>
      </w:r>
      <w:proofErr w:type="gramEnd"/>
      <w:r>
        <w:rPr>
          <w:rFonts w:ascii="標楷體" w:eastAsia="標楷體" w:hAnsi="標楷體"/>
          <w:color w:val="000000"/>
        </w:rPr>
        <w:t>需先</w:t>
      </w:r>
      <w:proofErr w:type="gramStart"/>
      <w:r>
        <w:rPr>
          <w:rFonts w:ascii="標楷體" w:eastAsia="標楷體" w:hAnsi="標楷體"/>
          <w:color w:val="000000"/>
        </w:rPr>
        <w:t>排除腎</w:t>
      </w:r>
      <w:proofErr w:type="gramEnd"/>
      <w:r>
        <w:rPr>
          <w:rFonts w:ascii="標楷體" w:eastAsia="標楷體" w:hAnsi="標楷體"/>
          <w:color w:val="000000"/>
        </w:rPr>
        <w:t>衰竭、鐵缺乏症及多發性神經病變，且不得與dopamine agonist及levodopa</w:t>
      </w:r>
      <w:proofErr w:type="gramStart"/>
      <w:r>
        <w:rPr>
          <w:rFonts w:ascii="標楷體" w:eastAsia="標楷體" w:hAnsi="標楷體"/>
          <w:color w:val="000000"/>
        </w:rPr>
        <w:t>併</w:t>
      </w:r>
      <w:proofErr w:type="gramEnd"/>
      <w:r>
        <w:rPr>
          <w:rFonts w:ascii="標楷體" w:eastAsia="標楷體" w:hAnsi="標楷體"/>
          <w:color w:val="000000"/>
        </w:rPr>
        <w:t>用。（96/9/1、97/7/1）</w:t>
      </w:r>
    </w:p>
    <w:p w14:paraId="72B39A0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(1)pramipexole每日最大劑量為0.75mg。（96/9/1）</w:t>
      </w:r>
    </w:p>
    <w:p w14:paraId="6F27FB5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(2)ropinirole每日最大劑量為4mg。（97/7/1）</w:t>
      </w:r>
    </w:p>
    <w:p w14:paraId="6BE236D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7.Rotigotine貼片劑（如</w:t>
      </w:r>
      <w:proofErr w:type="spellStart"/>
      <w:r>
        <w:rPr>
          <w:rFonts w:ascii="標楷體" w:eastAsia="標楷體" w:hAnsi="標楷體"/>
          <w:color w:val="000000"/>
        </w:rPr>
        <w:t>Neupro</w:t>
      </w:r>
      <w:proofErr w:type="spellEnd"/>
      <w:r>
        <w:rPr>
          <w:rFonts w:ascii="標楷體" w:eastAsia="標楷體" w:hAnsi="標楷體"/>
          <w:color w:val="000000"/>
        </w:rPr>
        <w:t xml:space="preserve"> Patch），限用於</w:t>
      </w:r>
      <w:proofErr w:type="gramStart"/>
      <w:r>
        <w:rPr>
          <w:rFonts w:ascii="標楷體" w:eastAsia="標楷體" w:hAnsi="標楷體"/>
          <w:color w:val="000000"/>
        </w:rPr>
        <w:t>原發性帕金</w:t>
      </w:r>
      <w:proofErr w:type="gramEnd"/>
      <w:r>
        <w:rPr>
          <w:rFonts w:ascii="標楷體" w:eastAsia="標楷體" w:hAnsi="標楷體"/>
          <w:color w:val="000000"/>
        </w:rPr>
        <w:t>森氏症，每日限用一片，且不得</w:t>
      </w:r>
      <w:proofErr w:type="gramStart"/>
      <w:r>
        <w:rPr>
          <w:rFonts w:ascii="標楷體" w:eastAsia="標楷體" w:hAnsi="標楷體"/>
          <w:color w:val="000000"/>
        </w:rPr>
        <w:t>併</w:t>
      </w:r>
      <w:proofErr w:type="gramEnd"/>
      <w:r>
        <w:rPr>
          <w:rFonts w:ascii="標楷體" w:eastAsia="標楷體" w:hAnsi="標楷體"/>
          <w:color w:val="000000"/>
        </w:rPr>
        <w:t>用其他dopamine agonist之口服藥品(100/6/1)</w:t>
      </w:r>
    </w:p>
    <w:p w14:paraId="605F724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8.Safinamide(如</w:t>
      </w:r>
      <w:proofErr w:type="spellStart"/>
      <w:r>
        <w:rPr>
          <w:rFonts w:ascii="標楷體" w:eastAsia="標楷體" w:hAnsi="標楷體"/>
          <w:color w:val="000000"/>
        </w:rPr>
        <w:t>Equfina</w:t>
      </w:r>
      <w:proofErr w:type="spellEnd"/>
      <w:r>
        <w:rPr>
          <w:rFonts w:ascii="標楷體" w:eastAsia="標楷體" w:hAnsi="標楷體"/>
          <w:color w:val="000000"/>
        </w:rPr>
        <w:t>)：(111/3/1)</w:t>
      </w:r>
    </w:p>
    <w:p w14:paraId="48B11930" w14:textId="77777777" w:rsidR="00401786" w:rsidRDefault="00C64FB3" w:rsidP="005E56FF">
      <w:pPr>
        <w:spacing w:line="300" w:lineRule="exact"/>
        <w:ind w:left="1134" w:hanging="386"/>
        <w:rPr>
          <w:rFonts w:ascii="標楷體" w:eastAsia="標楷體" w:hAnsi="標楷體"/>
          <w:color w:val="000000"/>
        </w:rPr>
      </w:pPr>
      <w:r>
        <w:rPr>
          <w:rFonts w:ascii="標楷體" w:eastAsia="標楷體" w:hAnsi="標楷體"/>
          <w:color w:val="000000"/>
        </w:rPr>
        <w:t>(1)與levodopa</w:t>
      </w:r>
      <w:proofErr w:type="gramStart"/>
      <w:r>
        <w:rPr>
          <w:rFonts w:ascii="標楷體" w:eastAsia="標楷體" w:hAnsi="標楷體"/>
          <w:color w:val="000000"/>
        </w:rPr>
        <w:t>併</w:t>
      </w:r>
      <w:proofErr w:type="gramEnd"/>
      <w:r>
        <w:rPr>
          <w:rFonts w:ascii="標楷體" w:eastAsia="標楷體" w:hAnsi="標楷體"/>
          <w:color w:val="000000"/>
        </w:rPr>
        <w:t>用，用於在使用含有levodopa製劑情況下出現運動功能波動現象之病患。</w:t>
      </w:r>
    </w:p>
    <w:p w14:paraId="4D203422" w14:textId="77777777" w:rsidR="00401786" w:rsidRDefault="00C64FB3" w:rsidP="005E56FF">
      <w:pPr>
        <w:spacing w:line="300" w:lineRule="exact"/>
        <w:ind w:left="1134" w:hanging="386"/>
        <w:rPr>
          <w:rFonts w:ascii="標楷體" w:eastAsia="標楷體" w:hAnsi="標楷體"/>
          <w:color w:val="000000"/>
        </w:rPr>
      </w:pPr>
      <w:r>
        <w:rPr>
          <w:rFonts w:ascii="標楷體" w:eastAsia="標楷體" w:hAnsi="標楷體"/>
          <w:color w:val="000000"/>
        </w:rPr>
        <w:t>(2)每日限使用1錠。若每日需使用2錠，應於病歷上詳細記載理由。</w:t>
      </w:r>
    </w:p>
    <w:p w14:paraId="677CD331" w14:textId="77777777" w:rsidR="002F54D0" w:rsidRDefault="002F54D0" w:rsidP="005E56FF">
      <w:pPr>
        <w:spacing w:line="300" w:lineRule="exact"/>
        <w:ind w:left="709" w:hanging="387"/>
        <w:rPr>
          <w:rFonts w:ascii="標楷體" w:eastAsia="標楷體" w:hAnsi="標楷體"/>
          <w:color w:val="000000"/>
        </w:rPr>
      </w:pPr>
      <w:r>
        <w:rPr>
          <w:rFonts w:ascii="標楷體" w:eastAsia="標楷體" w:hAnsi="標楷體"/>
          <w:color w:val="000000"/>
        </w:rPr>
        <w:t>1.3.5. Methylphenidate HCl</w:t>
      </w:r>
      <w:proofErr w:type="gramStart"/>
      <w:r>
        <w:rPr>
          <w:rFonts w:ascii="標楷體" w:eastAsia="標楷體" w:hAnsi="標楷體"/>
          <w:color w:val="000000"/>
        </w:rPr>
        <w:t>緩釋劑</w:t>
      </w:r>
      <w:proofErr w:type="gramEnd"/>
      <w:r>
        <w:rPr>
          <w:rFonts w:ascii="標楷體" w:eastAsia="標楷體" w:hAnsi="標楷體"/>
          <w:color w:val="000000"/>
        </w:rPr>
        <w:t>型（如</w:t>
      </w:r>
      <w:proofErr w:type="spellStart"/>
      <w:r>
        <w:rPr>
          <w:rFonts w:ascii="標楷體" w:eastAsia="標楷體" w:hAnsi="標楷體"/>
          <w:color w:val="000000"/>
        </w:rPr>
        <w:t>Concerta</w:t>
      </w:r>
      <w:proofErr w:type="spellEnd"/>
      <w:r>
        <w:rPr>
          <w:rFonts w:ascii="標楷體" w:eastAsia="標楷體" w:hAnsi="標楷體"/>
          <w:color w:val="000000"/>
        </w:rPr>
        <w:t xml:space="preserve"> Extended Release Tablets、</w:t>
      </w:r>
      <w:proofErr w:type="spellStart"/>
      <w:r>
        <w:rPr>
          <w:rFonts w:ascii="標楷體" w:eastAsia="標楷體" w:hAnsi="標楷體"/>
          <w:color w:val="000000"/>
        </w:rPr>
        <w:t>Methydur</w:t>
      </w:r>
      <w:proofErr w:type="spellEnd"/>
      <w:r>
        <w:rPr>
          <w:rFonts w:ascii="標楷體" w:eastAsia="標楷體" w:hAnsi="標楷體"/>
          <w:color w:val="000000"/>
        </w:rPr>
        <w:t xml:space="preserve"> Sustained Release Capsules）；atomoxetine HCl（如Strattera Hard capsules、</w:t>
      </w:r>
      <w:proofErr w:type="spellStart"/>
      <w:r>
        <w:rPr>
          <w:rFonts w:ascii="標楷體" w:eastAsia="標楷體" w:hAnsi="標楷體"/>
          <w:color w:val="000000"/>
        </w:rPr>
        <w:t>Atotine</w:t>
      </w:r>
      <w:proofErr w:type="spellEnd"/>
      <w:r>
        <w:rPr>
          <w:rFonts w:ascii="標楷體" w:eastAsia="標楷體" w:hAnsi="標楷體"/>
          <w:color w:val="000000"/>
        </w:rPr>
        <w:t xml:space="preserve"> oral Solution）(93/9/1、96/5/1、96/9/1、97/5/1、106/3/1、109/9/1、111/2/1、111/8/1、113/11/1</w:t>
      </w:r>
      <w:r w:rsidR="00024E12">
        <w:rPr>
          <w:rFonts w:ascii="標楷體" w:eastAsia="標楷體" w:hAnsi="標楷體" w:hint="eastAsia"/>
          <w:color w:val="000000"/>
        </w:rPr>
        <w:t>、114/10/1</w:t>
      </w:r>
      <w:r>
        <w:rPr>
          <w:rFonts w:ascii="標楷體" w:eastAsia="標楷體" w:hAnsi="標楷體"/>
          <w:color w:val="000000"/>
        </w:rPr>
        <w:t>)</w:t>
      </w:r>
    </w:p>
    <w:p w14:paraId="3ABEECA5"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1.限6歲以上至18歲以下，依DSM或ICD標準診斷為注意力</w:t>
      </w:r>
      <w:proofErr w:type="gramStart"/>
      <w:r>
        <w:rPr>
          <w:rFonts w:ascii="標楷體" w:eastAsia="標楷體" w:hAnsi="標楷體"/>
          <w:color w:val="000000"/>
        </w:rPr>
        <w:t>不全過動</w:t>
      </w:r>
      <w:proofErr w:type="gramEnd"/>
      <w:r>
        <w:rPr>
          <w:rFonts w:ascii="標楷體" w:eastAsia="標楷體" w:hAnsi="標楷體"/>
          <w:color w:val="000000"/>
        </w:rPr>
        <w:t>症患者，並於病歷上詳細記載其症狀、病程及診斷。（96/9/1、106/3/1、111/2/1）</w:t>
      </w:r>
    </w:p>
    <w:p w14:paraId="49895AB8"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2.如符合前項規定且已</w:t>
      </w:r>
      <w:proofErr w:type="gramStart"/>
      <w:r>
        <w:rPr>
          <w:rFonts w:ascii="標楷體" w:eastAsia="標楷體" w:hAnsi="標楷體"/>
          <w:color w:val="000000"/>
        </w:rPr>
        <w:t>使用本類藥品</w:t>
      </w:r>
      <w:proofErr w:type="gramEnd"/>
      <w:r>
        <w:rPr>
          <w:rFonts w:ascii="標楷體" w:eastAsia="標楷體" w:hAnsi="標楷體"/>
          <w:color w:val="000000"/>
        </w:rPr>
        <w:t>治療半年以上，而18歲以上仍需服用者，需於病歷上詳細記載以往病史及使用理由。（96/9/1、111/2/1）</w:t>
      </w:r>
    </w:p>
    <w:p w14:paraId="356A2A73" w14:textId="77777777" w:rsidR="002F54D0" w:rsidRPr="000B0CBF"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3.19歲以上至未滿41歲才第一次診斷者，須符合下列條件並檢附詳細病歷紀錄及相關資料，經事前審查核准後使用</w:t>
      </w:r>
      <w:r w:rsidRPr="000B0CBF">
        <w:rPr>
          <w:rFonts w:ascii="標楷體" w:eastAsia="標楷體" w:hAnsi="標楷體" w:hint="eastAsia"/>
          <w:color w:val="000000"/>
        </w:rPr>
        <w:t>(限用含atomoxetine HCl成分</w:t>
      </w:r>
      <w:proofErr w:type="gramStart"/>
      <w:r w:rsidRPr="000B0CBF">
        <w:rPr>
          <w:rFonts w:ascii="標楷體" w:eastAsia="標楷體" w:hAnsi="標楷體" w:hint="eastAsia"/>
          <w:color w:val="000000"/>
        </w:rPr>
        <w:t>一般錠劑膠囊</w:t>
      </w:r>
      <w:proofErr w:type="gramEnd"/>
      <w:r w:rsidRPr="000B0CBF">
        <w:rPr>
          <w:rFonts w:ascii="標楷體" w:eastAsia="標楷體" w:hAnsi="標楷體" w:hint="eastAsia"/>
          <w:color w:val="000000"/>
        </w:rPr>
        <w:t>劑藥品)：（111/8/1、114/10/1）</w:t>
      </w:r>
    </w:p>
    <w:p w14:paraId="44EB3CF1"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(1)注意力測驗(Continuous Performance Test ,CPT)或Gordon </w:t>
      </w:r>
    </w:p>
    <w:p w14:paraId="0F8DC81D"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Diagnostic </w:t>
      </w:r>
      <w:proofErr w:type="spellStart"/>
      <w:r>
        <w:rPr>
          <w:rFonts w:ascii="標楷體" w:eastAsia="標楷體" w:hAnsi="標楷體"/>
          <w:color w:val="000000"/>
        </w:rPr>
        <w:t>System,GDS</w:t>
      </w:r>
      <w:proofErr w:type="spellEnd"/>
      <w:r>
        <w:rPr>
          <w:rFonts w:ascii="標楷體" w:eastAsia="標楷體" w:hAnsi="標楷體"/>
          <w:color w:val="000000"/>
        </w:rPr>
        <w:t>。</w:t>
      </w:r>
    </w:p>
    <w:p w14:paraId="4D42BCDA"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(2)世界衛生組織公告之Adult ADHD Self report Scale, ASRS (傳統中</w:t>
      </w:r>
    </w:p>
    <w:p w14:paraId="1453D981"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文版)、Global Assessment of Functioning Scaling ,GAF。</w:t>
      </w:r>
    </w:p>
    <w:p w14:paraId="6FCBE953"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(3)需由精神科醫師診斷及處方，臨床醫師對個案之診斷及處方有疑慮</w:t>
      </w:r>
    </w:p>
    <w:p w14:paraId="7CC30F95"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時，宜由具有兒童青少年精神科訓練之專科醫師確認診斷。</w:t>
      </w:r>
    </w:p>
    <w:p w14:paraId="6239BFD6"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(4)排除其他疾病因素：</w:t>
      </w:r>
    </w:p>
    <w:p w14:paraId="5C81668F"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Ⅰ.任何使用之藥品/物質、身體及注意力</w:t>
      </w:r>
      <w:proofErr w:type="gramStart"/>
      <w:r>
        <w:rPr>
          <w:rFonts w:ascii="標楷體" w:eastAsia="標楷體" w:hAnsi="標楷體"/>
          <w:color w:val="000000"/>
        </w:rPr>
        <w:t>不全過動</w:t>
      </w:r>
      <w:proofErr w:type="gramEnd"/>
      <w:r>
        <w:rPr>
          <w:rFonts w:ascii="標楷體" w:eastAsia="標楷體" w:hAnsi="標楷體"/>
          <w:color w:val="000000"/>
        </w:rPr>
        <w:t xml:space="preserve">症以外之各種精神 </w:t>
      </w:r>
    </w:p>
    <w:p w14:paraId="6B48526A"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病等對注意力及衝動控制功能、症狀之影響作用。</w:t>
      </w:r>
    </w:p>
    <w:p w14:paraId="508E9DE0"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Ⅱ.</w:t>
      </w:r>
      <w:proofErr w:type="gramStart"/>
      <w:r>
        <w:rPr>
          <w:rFonts w:ascii="標楷體" w:eastAsia="標楷體" w:hAnsi="標楷體"/>
          <w:color w:val="000000"/>
        </w:rPr>
        <w:t>一</w:t>
      </w:r>
      <w:proofErr w:type="gramEnd"/>
      <w:r>
        <w:rPr>
          <w:rFonts w:ascii="標楷體" w:eastAsia="標楷體" w:hAnsi="標楷體"/>
          <w:color w:val="000000"/>
        </w:rPr>
        <w:t>年內患有物質使用/物質成癮、嚴重憂鬱症。</w:t>
      </w:r>
    </w:p>
    <w:p w14:paraId="0A4B6D79"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Ⅲ.</w:t>
      </w:r>
      <w:proofErr w:type="gramStart"/>
      <w:r>
        <w:rPr>
          <w:rFonts w:ascii="標楷體" w:eastAsia="標楷體" w:hAnsi="標楷體"/>
          <w:color w:val="000000"/>
        </w:rPr>
        <w:t>思覺失調</w:t>
      </w:r>
      <w:proofErr w:type="gramEnd"/>
      <w:r>
        <w:rPr>
          <w:rFonts w:ascii="標楷體" w:eastAsia="標楷體" w:hAnsi="標楷體"/>
          <w:color w:val="000000"/>
        </w:rPr>
        <w:t>症 (Schizophrenia</w:t>
      </w:r>
      <w:proofErr w:type="gramStart"/>
      <w:r>
        <w:rPr>
          <w:rFonts w:ascii="標楷體" w:eastAsia="標楷體" w:hAnsi="標楷體"/>
          <w:color w:val="000000"/>
        </w:rPr>
        <w:t>）</w:t>
      </w:r>
      <w:proofErr w:type="gramEnd"/>
      <w:r>
        <w:rPr>
          <w:rFonts w:ascii="標楷體" w:eastAsia="標楷體" w:hAnsi="標楷體"/>
          <w:color w:val="000000"/>
        </w:rPr>
        <w:t xml:space="preserve">、雙極性疾患(Bipolar </w:t>
      </w:r>
    </w:p>
    <w:p w14:paraId="0AB37F4C"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disorder</w:t>
      </w:r>
      <w:proofErr w:type="gramStart"/>
      <w:r>
        <w:rPr>
          <w:rFonts w:ascii="標楷體" w:eastAsia="標楷體" w:hAnsi="標楷體"/>
          <w:color w:val="000000"/>
        </w:rPr>
        <w:t>）</w:t>
      </w:r>
      <w:proofErr w:type="gramEnd"/>
      <w:r>
        <w:rPr>
          <w:rFonts w:ascii="標楷體" w:eastAsia="標楷體" w:hAnsi="標楷體"/>
          <w:color w:val="000000"/>
        </w:rPr>
        <w:t>、人格疾患、失智</w:t>
      </w:r>
      <w:proofErr w:type="gramStart"/>
      <w:r>
        <w:rPr>
          <w:rFonts w:ascii="標楷體" w:eastAsia="標楷體" w:hAnsi="標楷體"/>
          <w:color w:val="000000"/>
        </w:rPr>
        <w:t>症及器質</w:t>
      </w:r>
      <w:proofErr w:type="gramEnd"/>
      <w:r>
        <w:rPr>
          <w:rFonts w:ascii="標楷體" w:eastAsia="標楷體" w:hAnsi="標楷體"/>
          <w:color w:val="000000"/>
        </w:rPr>
        <w:t>性因素</w:t>
      </w:r>
    </w:p>
    <w:p w14:paraId="23272CE6"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(5)換藥條件：若使用原藥物3個月無效(如ASRS得分大於24或較治療前</w:t>
      </w:r>
    </w:p>
    <w:p w14:paraId="30F2466D"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增加)，得以更換methylphenidate成分藥品之</w:t>
      </w:r>
      <w:proofErr w:type="gramStart"/>
      <w:r>
        <w:rPr>
          <w:rFonts w:ascii="標楷體" w:eastAsia="標楷體" w:hAnsi="標楷體"/>
          <w:color w:val="000000"/>
        </w:rPr>
        <w:t>短效劑型</w:t>
      </w:r>
      <w:proofErr w:type="gramEnd"/>
      <w:r>
        <w:rPr>
          <w:rFonts w:ascii="標楷體" w:eastAsia="標楷體" w:hAnsi="標楷體"/>
          <w:color w:val="000000"/>
        </w:rPr>
        <w:t>。</w:t>
      </w:r>
    </w:p>
    <w:p w14:paraId="59849964"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(6)退場機制：</w:t>
      </w:r>
    </w:p>
    <w:p w14:paraId="4EFD6A58"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Ⅰ.19歲以上並已接受治療之病患，超過一年未回診，再開立藥物</w:t>
      </w:r>
    </w:p>
    <w:p w14:paraId="6AE583B7"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前，須重新經事前審查核准。</w:t>
      </w:r>
    </w:p>
    <w:p w14:paraId="01FAE3D8"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Ⅱ.換藥後半年應予評估，症狀未改善應予停用；症狀持續穩定逾</w:t>
      </w:r>
      <w:proofErr w:type="gramStart"/>
      <w:r>
        <w:rPr>
          <w:rFonts w:ascii="標楷體" w:eastAsia="標楷體" w:hAnsi="標楷體"/>
          <w:color w:val="000000"/>
        </w:rPr>
        <w:t>一</w:t>
      </w:r>
      <w:proofErr w:type="gramEnd"/>
    </w:p>
    <w:p w14:paraId="1103795D"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年者，得改為每年評估。</w:t>
      </w:r>
    </w:p>
    <w:p w14:paraId="4D53987D" w14:textId="77777777" w:rsidR="002F54D0" w:rsidRDefault="002F54D0" w:rsidP="005E56FF">
      <w:pPr>
        <w:spacing w:line="300" w:lineRule="exact"/>
        <w:ind w:left="811" w:hanging="245"/>
      </w:pPr>
      <w:r>
        <w:rPr>
          <w:rFonts w:ascii="標楷體" w:eastAsia="標楷體" w:hAnsi="標楷體"/>
          <w:color w:val="000000"/>
        </w:rPr>
        <w:t>4.</w:t>
      </w:r>
      <w:r>
        <w:t xml:space="preserve"> </w:t>
      </w:r>
      <w:r>
        <w:rPr>
          <w:rFonts w:ascii="標楷體" w:eastAsia="標楷體" w:hAnsi="標楷體"/>
          <w:color w:val="000000"/>
        </w:rPr>
        <w:t>Atomoxetine HCl之</w:t>
      </w:r>
      <w:proofErr w:type="gramStart"/>
      <w:r>
        <w:rPr>
          <w:rFonts w:ascii="標楷體" w:eastAsia="標楷體" w:hAnsi="標楷體"/>
          <w:color w:val="000000"/>
        </w:rPr>
        <w:t>口服錠劑</w:t>
      </w:r>
      <w:proofErr w:type="gramEnd"/>
      <w:r>
        <w:rPr>
          <w:rFonts w:ascii="標楷體" w:eastAsia="標楷體" w:hAnsi="標楷體"/>
          <w:color w:val="000000"/>
        </w:rPr>
        <w:t>、或膠囊劑原則上每日限使用1粒，惟每日劑量需超過</w:t>
      </w:r>
      <w:r>
        <w:rPr>
          <w:rFonts w:ascii="標楷體" w:eastAsia="標楷體" w:hAnsi="標楷體"/>
          <w:color w:val="000000"/>
        </w:rPr>
        <w:lastRenderedPageBreak/>
        <w:t>60mg時，應於病歷中記載理由，則每日至多可使用2粒，每日最大劑量為100mg。（97/5/1、113/11/1）</w:t>
      </w:r>
    </w:p>
    <w:p w14:paraId="1B0DCAA1" w14:textId="77777777" w:rsidR="002F54D0" w:rsidRDefault="002F54D0" w:rsidP="005E56FF">
      <w:pPr>
        <w:spacing w:line="300" w:lineRule="exact"/>
        <w:ind w:left="811" w:hanging="245"/>
      </w:pPr>
      <w:r>
        <w:rPr>
          <w:rFonts w:ascii="標楷體" w:eastAsia="標楷體" w:hAnsi="標楷體"/>
          <w:color w:val="000000"/>
        </w:rPr>
        <w:t>5.</w:t>
      </w:r>
      <w:r>
        <w:t xml:space="preserve"> </w:t>
      </w:r>
      <w:r>
        <w:rPr>
          <w:rFonts w:ascii="標楷體" w:eastAsia="標楷體" w:hAnsi="標楷體"/>
          <w:color w:val="000000"/>
        </w:rPr>
        <w:t>Atomoxetine HCl口服液劑，限用於6歲以上至18歲以下無法</w:t>
      </w:r>
      <w:proofErr w:type="gramStart"/>
      <w:r>
        <w:rPr>
          <w:rFonts w:ascii="標楷體" w:eastAsia="標楷體" w:hAnsi="標楷體"/>
          <w:color w:val="000000"/>
        </w:rPr>
        <w:t>口服錠劑之</w:t>
      </w:r>
      <w:proofErr w:type="gramEnd"/>
      <w:r>
        <w:rPr>
          <w:rFonts w:ascii="標楷體" w:eastAsia="標楷體" w:hAnsi="標楷體"/>
          <w:color w:val="000000"/>
        </w:rPr>
        <w:t>病人，每日劑量需超過60mg時，應於病歷中記載理由，每日最大劑量為100mg。（113/11/1）</w:t>
      </w:r>
    </w:p>
    <w:p w14:paraId="7B234672" w14:textId="77777777" w:rsidR="00401786"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6.Methydur原則上每日限使用1粒，惟每日劑量需超過33mg時，應於病歷中記載理由，則每日至多可使用2粒，每日最大劑量為44mg。(109/9/1)</w:t>
      </w:r>
    </w:p>
    <w:p w14:paraId="135279F4" w14:textId="77777777" w:rsidR="00401786" w:rsidRDefault="00C64FB3" w:rsidP="005E56FF">
      <w:pPr>
        <w:spacing w:line="300" w:lineRule="exact"/>
        <w:ind w:left="811" w:hanging="527"/>
        <w:rPr>
          <w:rFonts w:ascii="標楷體" w:eastAsia="標楷體" w:hAnsi="標楷體"/>
          <w:color w:val="000000"/>
        </w:rPr>
      </w:pPr>
      <w:r>
        <w:rPr>
          <w:rFonts w:ascii="標楷體" w:eastAsia="標楷體" w:hAnsi="標楷體"/>
          <w:color w:val="000000"/>
        </w:rPr>
        <w:t>1.3.6.Modafinil(如Provigil)、</w:t>
      </w:r>
      <w:proofErr w:type="spellStart"/>
      <w:r>
        <w:rPr>
          <w:rFonts w:ascii="標楷體" w:eastAsia="標楷體" w:hAnsi="標楷體"/>
          <w:color w:val="000000"/>
        </w:rPr>
        <w:t>pitolisant</w:t>
      </w:r>
      <w:proofErr w:type="spellEnd"/>
      <w:r>
        <w:rPr>
          <w:rFonts w:ascii="標楷體" w:eastAsia="標楷體" w:hAnsi="標楷體"/>
          <w:color w:val="000000"/>
        </w:rPr>
        <w:t xml:space="preserve"> (如</w:t>
      </w:r>
      <w:proofErr w:type="spellStart"/>
      <w:r>
        <w:rPr>
          <w:rFonts w:ascii="標楷體" w:eastAsia="標楷體" w:hAnsi="標楷體"/>
          <w:color w:val="000000"/>
        </w:rPr>
        <w:t>Wakix</w:t>
      </w:r>
      <w:proofErr w:type="spellEnd"/>
      <w:r>
        <w:rPr>
          <w:rFonts w:ascii="標楷體" w:eastAsia="標楷體" w:hAnsi="標楷體"/>
          <w:color w:val="000000"/>
        </w:rPr>
        <w:t>)：(96/2/1、109/12/1、110/12/1、112/3/1)</w:t>
      </w:r>
    </w:p>
    <w:p w14:paraId="5E1D46E7" w14:textId="77777777" w:rsidR="00401786" w:rsidRDefault="00C64FB3" w:rsidP="005E56FF">
      <w:pPr>
        <w:spacing w:line="300" w:lineRule="exact"/>
        <w:ind w:left="811" w:hanging="527"/>
        <w:rPr>
          <w:rFonts w:ascii="標楷體" w:eastAsia="標楷體" w:hAnsi="標楷體"/>
          <w:color w:val="000000"/>
        </w:rPr>
      </w:pPr>
      <w:r>
        <w:rPr>
          <w:rFonts w:ascii="標楷體" w:eastAsia="標楷體" w:hAnsi="標楷體"/>
          <w:color w:val="000000"/>
        </w:rPr>
        <w:t>1.3.6.1.Modafinil(如Provigil)：(96/2/1、109/12/1、110/12/1、112/3/1)</w:t>
      </w:r>
    </w:p>
    <w:p w14:paraId="2435EDC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同時需符合下列條件：</w:t>
      </w:r>
    </w:p>
    <w:p w14:paraId="43EFA750"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1.限</w:t>
      </w:r>
      <w:proofErr w:type="gramStart"/>
      <w:r>
        <w:rPr>
          <w:rFonts w:ascii="標楷體" w:eastAsia="標楷體" w:hAnsi="標楷體"/>
          <w:color w:val="000000"/>
        </w:rPr>
        <w:t>猝</w:t>
      </w:r>
      <w:proofErr w:type="gramEnd"/>
      <w:r>
        <w:rPr>
          <w:rFonts w:ascii="標楷體" w:eastAsia="標楷體" w:hAnsi="標楷體"/>
          <w:color w:val="000000"/>
        </w:rPr>
        <w:t>睡症(narcolepsy)患者有日間過度睡眠症狀。(109/12/1</w:t>
      </w:r>
      <w:proofErr w:type="gramStart"/>
      <w:r>
        <w:rPr>
          <w:rFonts w:ascii="標楷體" w:eastAsia="標楷體" w:hAnsi="標楷體"/>
          <w:color w:val="000000"/>
        </w:rPr>
        <w:t>）</w:t>
      </w:r>
      <w:proofErr w:type="gramEnd"/>
    </w:p>
    <w:p w14:paraId="5BF26E7E"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猝</w:t>
      </w:r>
      <w:proofErr w:type="gramEnd"/>
      <w:r>
        <w:rPr>
          <w:rFonts w:ascii="標楷體" w:eastAsia="標楷體" w:hAnsi="標楷體"/>
          <w:color w:val="000000"/>
        </w:rPr>
        <w:t>睡症之診斷需符合ICSD-3診斷準則（2014國際睡眠障礙分類標準）為Narcolepsy Type 1及Type 2，如下：(109/12/1</w:t>
      </w:r>
      <w:proofErr w:type="gramStart"/>
      <w:r>
        <w:rPr>
          <w:rFonts w:ascii="標楷體" w:eastAsia="標楷體" w:hAnsi="標楷體"/>
          <w:color w:val="000000"/>
        </w:rPr>
        <w:t>）</w:t>
      </w:r>
      <w:proofErr w:type="gramEnd"/>
    </w:p>
    <w:p w14:paraId="7E85CE15"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Ⅰ.病人必須出現3個月以上白天不可擋的嗜睡症狀。</w:t>
      </w:r>
    </w:p>
    <w:p w14:paraId="6E3FF490"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Ⅱ.以下兩項至少出現一項以上。</w:t>
      </w:r>
    </w:p>
    <w:p w14:paraId="269618BF"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)Type I Narcolepsy必須出現</w:t>
      </w:r>
      <w:proofErr w:type="gramStart"/>
      <w:r>
        <w:rPr>
          <w:rFonts w:ascii="標楷體" w:eastAsia="標楷體" w:hAnsi="標楷體"/>
          <w:color w:val="000000"/>
        </w:rPr>
        <w:t>猝</w:t>
      </w:r>
      <w:proofErr w:type="gramEnd"/>
      <w:r>
        <w:rPr>
          <w:rFonts w:ascii="標楷體" w:eastAsia="標楷體" w:hAnsi="標楷體"/>
          <w:color w:val="000000"/>
        </w:rPr>
        <w:t xml:space="preserve">倒（cataplexy）及多次入睡睡眠檢查（Multiple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）出現的平均入睡潛伏期（sleep latency）小於等於8分鐘，且有兩次以上的快速</w:t>
      </w:r>
      <w:proofErr w:type="gramStart"/>
      <w:r>
        <w:rPr>
          <w:rFonts w:ascii="標楷體" w:eastAsia="標楷體" w:hAnsi="標楷體"/>
          <w:color w:val="000000"/>
        </w:rPr>
        <w:t>動眼期</w:t>
      </w:r>
      <w:proofErr w:type="gramEnd"/>
      <w:r>
        <w:rPr>
          <w:rFonts w:ascii="標楷體" w:eastAsia="標楷體" w:hAnsi="標楷體"/>
          <w:color w:val="000000"/>
        </w:rPr>
        <w:t>（SOREMPs）；或者</w:t>
      </w:r>
      <w:proofErr w:type="gramStart"/>
      <w:r>
        <w:rPr>
          <w:rFonts w:ascii="標楷體" w:eastAsia="標楷體" w:hAnsi="標楷體"/>
          <w:color w:val="000000"/>
        </w:rPr>
        <w:t>前一晚多頻</w:t>
      </w:r>
      <w:proofErr w:type="gramEnd"/>
      <w:r>
        <w:rPr>
          <w:rFonts w:ascii="標楷體" w:eastAsia="標楷體" w:hAnsi="標楷體"/>
          <w:color w:val="000000"/>
        </w:rPr>
        <w:t>睡眠檢查 (</w:t>
      </w:r>
      <w:proofErr w:type="spellStart"/>
      <w:r>
        <w:rPr>
          <w:rFonts w:ascii="標楷體" w:eastAsia="標楷體" w:hAnsi="標楷體"/>
          <w:color w:val="000000"/>
        </w:rPr>
        <w:t>Polysomnography,PSG</w:t>
      </w:r>
      <w:proofErr w:type="spellEnd"/>
      <w:r>
        <w:rPr>
          <w:rFonts w:ascii="標楷體" w:eastAsia="標楷體" w:hAnsi="標楷體"/>
          <w:color w:val="000000"/>
        </w:rPr>
        <w:t>)的快速</w:t>
      </w:r>
      <w:proofErr w:type="gramStart"/>
      <w:r>
        <w:rPr>
          <w:rFonts w:ascii="標楷體" w:eastAsia="標楷體" w:hAnsi="標楷體"/>
          <w:color w:val="000000"/>
        </w:rPr>
        <w:t>動眼期</w:t>
      </w:r>
      <w:proofErr w:type="gramEnd"/>
      <w:r>
        <w:rPr>
          <w:rFonts w:ascii="標楷體" w:eastAsia="標楷體" w:hAnsi="標楷體"/>
          <w:color w:val="000000"/>
        </w:rPr>
        <w:t>潛伏期小於15分鐘，可取代一次白天的快速</w:t>
      </w:r>
      <w:proofErr w:type="gramStart"/>
      <w:r>
        <w:rPr>
          <w:rFonts w:ascii="標楷體" w:eastAsia="標楷體" w:hAnsi="標楷體"/>
          <w:color w:val="000000"/>
        </w:rPr>
        <w:t>動眼期</w:t>
      </w:r>
      <w:proofErr w:type="gramEnd"/>
      <w:r>
        <w:rPr>
          <w:rFonts w:ascii="標楷體" w:eastAsia="標楷體" w:hAnsi="標楷體"/>
          <w:color w:val="000000"/>
        </w:rPr>
        <w:t>（SOREMP）。</w:t>
      </w:r>
    </w:p>
    <w:p w14:paraId="67402888" w14:textId="77777777" w:rsidR="00401786" w:rsidRDefault="00C64FB3" w:rsidP="005E56FF">
      <w:pPr>
        <w:spacing w:line="300" w:lineRule="exact"/>
        <w:ind w:left="993" w:hanging="102"/>
        <w:rPr>
          <w:rFonts w:ascii="標楷體" w:eastAsia="標楷體" w:hAnsi="標楷體"/>
          <w:color w:val="000000"/>
        </w:rPr>
      </w:pPr>
      <w:r>
        <w:rPr>
          <w:rFonts w:ascii="標楷體" w:eastAsia="標楷體" w:hAnsi="標楷體"/>
          <w:color w:val="000000"/>
        </w:rPr>
        <w:t>Type 2 Narcolepsy則沒有</w:t>
      </w:r>
      <w:proofErr w:type="gramStart"/>
      <w:r>
        <w:rPr>
          <w:rFonts w:ascii="標楷體" w:eastAsia="標楷體" w:hAnsi="標楷體"/>
          <w:color w:val="000000"/>
        </w:rPr>
        <w:t>猝</w:t>
      </w:r>
      <w:proofErr w:type="gramEnd"/>
      <w:r>
        <w:rPr>
          <w:rFonts w:ascii="標楷體" w:eastAsia="標楷體" w:hAnsi="標楷體"/>
          <w:color w:val="000000"/>
        </w:rPr>
        <w:t>倒（cataplexy），但其多頻睡眠檢查 (</w:t>
      </w:r>
      <w:proofErr w:type="spellStart"/>
      <w:r>
        <w:rPr>
          <w:rFonts w:ascii="標楷體" w:eastAsia="標楷體" w:hAnsi="標楷體"/>
          <w:color w:val="000000"/>
        </w:rPr>
        <w:t>Polysomnography,PSG</w:t>
      </w:r>
      <w:proofErr w:type="spellEnd"/>
      <w:r>
        <w:rPr>
          <w:rFonts w:ascii="標楷體" w:eastAsia="標楷體" w:hAnsi="標楷體"/>
          <w:color w:val="000000"/>
        </w:rPr>
        <w:t xml:space="preserve">)及多次入睡睡眠檢查（Multiple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）準則如前述。</w:t>
      </w:r>
    </w:p>
    <w:p w14:paraId="235FDEBF"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(ii)Type 1 Narcolepsy病人腦脊髓液中的Hypocretin-1濃度低於110pg/mL或小於1/3正常人的平均濃度（是以immunoreactivity 測定）。</w:t>
      </w:r>
    </w:p>
    <w:p w14:paraId="2FF10A19" w14:textId="77777777" w:rsidR="00401786" w:rsidRDefault="00C64FB3" w:rsidP="005E56FF">
      <w:pPr>
        <w:spacing w:line="300" w:lineRule="exact"/>
        <w:ind w:left="993" w:firstLine="39"/>
        <w:rPr>
          <w:rFonts w:ascii="標楷體" w:eastAsia="標楷體" w:hAnsi="標楷體"/>
          <w:color w:val="000000"/>
        </w:rPr>
      </w:pPr>
      <w:r>
        <w:rPr>
          <w:rFonts w:ascii="標楷體" w:eastAsia="標楷體" w:hAnsi="標楷體"/>
          <w:color w:val="000000"/>
        </w:rPr>
        <w:t xml:space="preserve">Type 2 Narcolepsy病人腦脊髓液中的Hypocretin-1是大於110 </w:t>
      </w:r>
      <w:proofErr w:type="spellStart"/>
      <w:r>
        <w:rPr>
          <w:rFonts w:ascii="標楷體" w:eastAsia="標楷體" w:hAnsi="標楷體"/>
          <w:color w:val="000000"/>
        </w:rPr>
        <w:t>pg</w:t>
      </w:r>
      <w:proofErr w:type="spellEnd"/>
      <w:r>
        <w:rPr>
          <w:rFonts w:ascii="標楷體" w:eastAsia="標楷體" w:hAnsi="標楷體"/>
          <w:color w:val="000000"/>
        </w:rPr>
        <w:t>/mL或大於1/3正常人的平均濃度，亦或是無法檢測Hypocretin-1。亦可參考血液 HLA-DQB1*0602檢驗是否為positive，來協助診斷或分類</w:t>
      </w:r>
      <w:proofErr w:type="gramStart"/>
      <w:r>
        <w:rPr>
          <w:rFonts w:ascii="標楷體" w:eastAsia="標楷體" w:hAnsi="標楷體"/>
          <w:color w:val="000000"/>
        </w:rPr>
        <w:t>猝</w:t>
      </w:r>
      <w:proofErr w:type="gramEnd"/>
      <w:r>
        <w:rPr>
          <w:rFonts w:ascii="標楷體" w:eastAsia="標楷體" w:hAnsi="標楷體"/>
          <w:color w:val="000000"/>
        </w:rPr>
        <w:t>睡症類型。</w:t>
      </w:r>
    </w:p>
    <w:p w14:paraId="4D1D2A36"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3.日間過度睡眠持續至少3個月以上，應有客觀評估，如成人的愛普沃斯</w:t>
      </w:r>
      <w:proofErr w:type="gramStart"/>
      <w:r>
        <w:rPr>
          <w:rFonts w:ascii="標楷體" w:eastAsia="標楷體" w:hAnsi="標楷體"/>
          <w:color w:val="000000"/>
        </w:rPr>
        <w:t>嗜睡量表</w:t>
      </w:r>
      <w:proofErr w:type="gramEnd"/>
      <w:r>
        <w:rPr>
          <w:rFonts w:ascii="標楷體" w:eastAsia="標楷體" w:hAnsi="標楷體"/>
          <w:color w:val="000000"/>
        </w:rPr>
        <w:t>ESS (</w:t>
      </w:r>
      <w:proofErr w:type="spellStart"/>
      <w:r>
        <w:rPr>
          <w:rFonts w:ascii="標楷體" w:eastAsia="標楷體" w:hAnsi="標楷體"/>
          <w:color w:val="000000"/>
        </w:rPr>
        <w:t>Epworthsleepiness</w:t>
      </w:r>
      <w:proofErr w:type="spellEnd"/>
      <w:r>
        <w:rPr>
          <w:rFonts w:ascii="標楷體" w:eastAsia="標楷體" w:hAnsi="標楷體"/>
          <w:color w:val="000000"/>
        </w:rPr>
        <w:t xml:space="preserve"> Scale)需高於9分，或兒童青少年日間</w:t>
      </w:r>
      <w:proofErr w:type="gramStart"/>
      <w:r>
        <w:rPr>
          <w:rFonts w:ascii="標楷體" w:eastAsia="標楷體" w:hAnsi="標楷體"/>
          <w:color w:val="000000"/>
        </w:rPr>
        <w:t>嗜睡量表</w:t>
      </w:r>
      <w:proofErr w:type="gramEnd"/>
      <w:r>
        <w:rPr>
          <w:rFonts w:ascii="標楷體" w:eastAsia="標楷體" w:hAnsi="標楷體"/>
          <w:color w:val="000000"/>
        </w:rPr>
        <w:t>PDSS(Pediatric daytime sleepiness Scale)或史丹福嗜睡評量表SSS(</w:t>
      </w:r>
      <w:proofErr w:type="spellStart"/>
      <w:r>
        <w:rPr>
          <w:rFonts w:ascii="標楷體" w:eastAsia="標楷體" w:hAnsi="標楷體"/>
          <w:color w:val="000000"/>
        </w:rPr>
        <w:t>Stanfordsleepiness</w:t>
      </w:r>
      <w:proofErr w:type="spellEnd"/>
      <w:r>
        <w:rPr>
          <w:rFonts w:ascii="標楷體" w:eastAsia="標楷體" w:hAnsi="標楷體"/>
          <w:color w:val="000000"/>
        </w:rPr>
        <w:t xml:space="preserve"> scale)。病患嗜睡症狀及MSLT的結果必須排除其他原因，且需排除阻塞性睡眠呼吸障礙(obstructive sleep apnea)、週期性下肢抽動（Periodic leg </w:t>
      </w:r>
      <w:proofErr w:type="spellStart"/>
      <w:r>
        <w:rPr>
          <w:rFonts w:ascii="標楷體" w:eastAsia="標楷體" w:hAnsi="標楷體"/>
          <w:color w:val="000000"/>
        </w:rPr>
        <w:t>movementdisorder</w:t>
      </w:r>
      <w:proofErr w:type="spellEnd"/>
      <w:r>
        <w:rPr>
          <w:rFonts w:ascii="標楷體" w:eastAsia="標楷體" w:hAnsi="標楷體"/>
          <w:color w:val="000000"/>
        </w:rPr>
        <w:t>）和睡眠相位後移症候群（Delayed sleep phase syndrome）等造成日間過度睡眠之可能性。(109/12/1</w:t>
      </w:r>
      <w:proofErr w:type="gramStart"/>
      <w:r>
        <w:rPr>
          <w:rFonts w:ascii="標楷體" w:eastAsia="標楷體" w:hAnsi="標楷體"/>
          <w:color w:val="000000"/>
        </w:rPr>
        <w:t>）</w:t>
      </w:r>
      <w:proofErr w:type="gramEnd"/>
    </w:p>
    <w:p w14:paraId="72E93E3E"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4.限有睡眠實驗室之醫院之神經內科、精神科、胸腔內科、耳鼻喉科、兒童神經科及兒童胸腔科專科醫師使用。(110/12/1)</w:t>
      </w:r>
    </w:p>
    <w:p w14:paraId="7905CE8D"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5.經事前審查核准後使用。首次申請時需檢附以下資料：1.病歷紀錄  2.ICSD II 診斷  3.PSG報告4.MSLT報告5.日間過度睡眠量表，如ESS、PDSS、SSS 等。使用後每3-6個月施測日間過量睡眠症狀量表ESS、或PDSS、SSS，以評估療效。</w:t>
      </w:r>
    </w:p>
    <w:p w14:paraId="6ED1E524"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6.使用期程：第1次申請獲准1年後，需重新進行MSLT檢查以評估客觀療效，並同時檢附過去1年之ESS或PDSS、SSS。連續2年申請，如病人服藥順從性高，且藥效確定，則可每次核准3年。否則仍需每年申請1次，若 ESS 或 MSLT其中之一顯示療效不佳，應即停用。</w:t>
      </w:r>
    </w:p>
    <w:p w14:paraId="055081E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7.限制每日最大劑量 200-400mg。(109/12/1</w:t>
      </w:r>
      <w:proofErr w:type="gramStart"/>
      <w:r>
        <w:rPr>
          <w:rFonts w:ascii="標楷體" w:eastAsia="標楷體" w:hAnsi="標楷體"/>
          <w:color w:val="000000"/>
        </w:rPr>
        <w:t>）</w:t>
      </w:r>
      <w:proofErr w:type="gramEnd"/>
    </w:p>
    <w:p w14:paraId="7C943D14" w14:textId="77777777" w:rsidR="00401786" w:rsidRDefault="00C64FB3" w:rsidP="005E56FF">
      <w:pPr>
        <w:spacing w:line="300" w:lineRule="exact"/>
        <w:ind w:left="197" w:hanging="240"/>
        <w:rPr>
          <w:rFonts w:ascii="標楷體" w:eastAsia="標楷體" w:hAnsi="標楷體"/>
          <w:color w:val="000000"/>
        </w:rPr>
      </w:pPr>
      <w:r>
        <w:rPr>
          <w:rFonts w:ascii="標楷體" w:eastAsia="標楷體" w:hAnsi="標楷體"/>
          <w:color w:val="000000"/>
        </w:rPr>
        <w:t xml:space="preserve">     8.Modafinil(如Provigil)與</w:t>
      </w:r>
      <w:proofErr w:type="spellStart"/>
      <w:r>
        <w:rPr>
          <w:rFonts w:ascii="標楷體" w:eastAsia="標楷體" w:hAnsi="標楷體"/>
          <w:color w:val="000000"/>
        </w:rPr>
        <w:t>pitolisant</w:t>
      </w:r>
      <w:proofErr w:type="spellEnd"/>
      <w:r>
        <w:rPr>
          <w:rFonts w:ascii="標楷體" w:eastAsia="標楷體" w:hAnsi="標楷體"/>
          <w:color w:val="000000"/>
        </w:rPr>
        <w:t>(如</w:t>
      </w:r>
      <w:proofErr w:type="spellStart"/>
      <w:r>
        <w:rPr>
          <w:rFonts w:ascii="標楷體" w:eastAsia="標楷體" w:hAnsi="標楷體"/>
          <w:color w:val="000000"/>
        </w:rPr>
        <w:t>Wakix</w:t>
      </w:r>
      <w:proofErr w:type="spellEnd"/>
      <w:r>
        <w:rPr>
          <w:rFonts w:ascii="標楷體" w:eastAsia="標楷體" w:hAnsi="標楷體"/>
          <w:color w:val="000000"/>
        </w:rPr>
        <w:t>)兩者限擇</w:t>
      </w:r>
      <w:proofErr w:type="gramStart"/>
      <w:r>
        <w:rPr>
          <w:rFonts w:ascii="標楷體" w:eastAsia="標楷體" w:hAnsi="標楷體"/>
          <w:color w:val="000000"/>
        </w:rPr>
        <w:t>一</w:t>
      </w:r>
      <w:proofErr w:type="gramEnd"/>
      <w:r>
        <w:rPr>
          <w:rFonts w:ascii="標楷體" w:eastAsia="標楷體" w:hAnsi="標楷體"/>
          <w:color w:val="000000"/>
        </w:rPr>
        <w:t>使用。(112/3/1)</w:t>
      </w:r>
    </w:p>
    <w:p w14:paraId="5DF81104"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1.3.6.2.Pitolisant (如</w:t>
      </w:r>
      <w:proofErr w:type="spellStart"/>
      <w:r>
        <w:rPr>
          <w:rFonts w:ascii="標楷體" w:eastAsia="標楷體" w:hAnsi="標楷體"/>
          <w:color w:val="000000"/>
        </w:rPr>
        <w:t>Wakix</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112/3/1)</w:t>
      </w:r>
    </w:p>
    <w:p w14:paraId="10B19DE6"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1.限18歲以上之成人</w:t>
      </w:r>
      <w:proofErr w:type="gramStart"/>
      <w:r>
        <w:rPr>
          <w:rFonts w:ascii="標楷體" w:eastAsia="標楷體" w:hAnsi="標楷體"/>
          <w:color w:val="000000"/>
        </w:rPr>
        <w:t>猝</w:t>
      </w:r>
      <w:proofErr w:type="gramEnd"/>
      <w:r>
        <w:rPr>
          <w:rFonts w:ascii="標楷體" w:eastAsia="標楷體" w:hAnsi="標楷體"/>
          <w:color w:val="000000"/>
        </w:rPr>
        <w:t>睡症 (narcolepsy)患者。</w:t>
      </w:r>
    </w:p>
    <w:p w14:paraId="0903330F"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lastRenderedPageBreak/>
        <w:t>2.</w:t>
      </w:r>
      <w:proofErr w:type="gramStart"/>
      <w:r>
        <w:rPr>
          <w:rFonts w:ascii="標楷體" w:eastAsia="標楷體" w:hAnsi="標楷體"/>
          <w:color w:val="000000"/>
        </w:rPr>
        <w:t>猝</w:t>
      </w:r>
      <w:proofErr w:type="gramEnd"/>
      <w:r>
        <w:rPr>
          <w:rFonts w:ascii="標楷體" w:eastAsia="標楷體" w:hAnsi="標楷體"/>
          <w:color w:val="000000"/>
        </w:rPr>
        <w:t xml:space="preserve">睡症之診斷需符合ICSD-3診斷準則（2014國際睡眠障礙分類標準）為Narcolepsy Type 1及Type 2，如下： </w:t>
      </w:r>
    </w:p>
    <w:p w14:paraId="5ACA8A42"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Ⅰ.病人必須出現3個月以上白天不可擋的嗜睡症狀。</w:t>
      </w:r>
    </w:p>
    <w:p w14:paraId="2726EE94"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Ⅱ.以下兩項至少出現一項以上：</w:t>
      </w:r>
    </w:p>
    <w:p w14:paraId="1B9B6D1F"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)Type I Narcolepsy必須出現</w:t>
      </w:r>
      <w:proofErr w:type="gramStart"/>
      <w:r>
        <w:rPr>
          <w:rFonts w:ascii="標楷體" w:eastAsia="標楷體" w:hAnsi="標楷體"/>
          <w:color w:val="000000"/>
        </w:rPr>
        <w:t>猝</w:t>
      </w:r>
      <w:proofErr w:type="gramEnd"/>
      <w:r>
        <w:rPr>
          <w:rFonts w:ascii="標楷體" w:eastAsia="標楷體" w:hAnsi="標楷體"/>
          <w:color w:val="000000"/>
        </w:rPr>
        <w:t xml:space="preserve">倒（cataplexy）及多次入睡睡眠檢查（Multiple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）出現的平均入睡潛伏期（sleep latency）小於等於8分鐘，且有兩次以上的快速</w:t>
      </w:r>
      <w:proofErr w:type="gramStart"/>
      <w:r>
        <w:rPr>
          <w:rFonts w:ascii="標楷體" w:eastAsia="標楷體" w:hAnsi="標楷體"/>
          <w:color w:val="000000"/>
        </w:rPr>
        <w:t>動眼期</w:t>
      </w:r>
      <w:proofErr w:type="gramEnd"/>
      <w:r>
        <w:rPr>
          <w:rFonts w:ascii="標楷體" w:eastAsia="標楷體" w:hAnsi="標楷體"/>
          <w:color w:val="000000"/>
        </w:rPr>
        <w:t>（SOREMPs）；或者</w:t>
      </w:r>
      <w:proofErr w:type="gramStart"/>
      <w:r>
        <w:rPr>
          <w:rFonts w:ascii="標楷體" w:eastAsia="標楷體" w:hAnsi="標楷體"/>
          <w:color w:val="000000"/>
        </w:rPr>
        <w:t>前一晚多頻</w:t>
      </w:r>
      <w:proofErr w:type="gramEnd"/>
      <w:r>
        <w:rPr>
          <w:rFonts w:ascii="標楷體" w:eastAsia="標楷體" w:hAnsi="標楷體"/>
          <w:color w:val="000000"/>
        </w:rPr>
        <w:t>睡眠檢查 (</w:t>
      </w:r>
      <w:proofErr w:type="spellStart"/>
      <w:r>
        <w:rPr>
          <w:rFonts w:ascii="標楷體" w:eastAsia="標楷體" w:hAnsi="標楷體"/>
          <w:color w:val="000000"/>
        </w:rPr>
        <w:t>Polysomnography,PSG</w:t>
      </w:r>
      <w:proofErr w:type="spellEnd"/>
      <w:r>
        <w:rPr>
          <w:rFonts w:ascii="標楷體" w:eastAsia="標楷體" w:hAnsi="標楷體"/>
          <w:color w:val="000000"/>
        </w:rPr>
        <w:t>)的快速</w:t>
      </w:r>
      <w:proofErr w:type="gramStart"/>
      <w:r>
        <w:rPr>
          <w:rFonts w:ascii="標楷體" w:eastAsia="標楷體" w:hAnsi="標楷體"/>
          <w:color w:val="000000"/>
        </w:rPr>
        <w:t>動眼期</w:t>
      </w:r>
      <w:proofErr w:type="gramEnd"/>
      <w:r>
        <w:rPr>
          <w:rFonts w:ascii="標楷體" w:eastAsia="標楷體" w:hAnsi="標楷體"/>
          <w:color w:val="000000"/>
        </w:rPr>
        <w:t>潛伏期小於15分鐘，可取代一次白天的快速</w:t>
      </w:r>
      <w:proofErr w:type="gramStart"/>
      <w:r>
        <w:rPr>
          <w:rFonts w:ascii="標楷體" w:eastAsia="標楷體" w:hAnsi="標楷體"/>
          <w:color w:val="000000"/>
        </w:rPr>
        <w:t>動眼期</w:t>
      </w:r>
      <w:proofErr w:type="gramEnd"/>
      <w:r>
        <w:rPr>
          <w:rFonts w:ascii="標楷體" w:eastAsia="標楷體" w:hAnsi="標楷體"/>
          <w:color w:val="000000"/>
        </w:rPr>
        <w:t>（SOREMP）；Type 2 Narcolepsy則沒有</w:t>
      </w:r>
      <w:proofErr w:type="gramStart"/>
      <w:r>
        <w:rPr>
          <w:rFonts w:ascii="標楷體" w:eastAsia="標楷體" w:hAnsi="標楷體"/>
          <w:color w:val="000000"/>
        </w:rPr>
        <w:t>猝</w:t>
      </w:r>
      <w:proofErr w:type="gramEnd"/>
      <w:r>
        <w:rPr>
          <w:rFonts w:ascii="標楷體" w:eastAsia="標楷體" w:hAnsi="標楷體"/>
          <w:color w:val="000000"/>
        </w:rPr>
        <w:t>倒（cataplexy），但其多頻睡眠檢查 (</w:t>
      </w:r>
      <w:proofErr w:type="spellStart"/>
      <w:r>
        <w:rPr>
          <w:rFonts w:ascii="標楷體" w:eastAsia="標楷體" w:hAnsi="標楷體"/>
          <w:color w:val="000000"/>
        </w:rPr>
        <w:t>Polysomnography,PSG</w:t>
      </w:r>
      <w:proofErr w:type="spellEnd"/>
      <w:r>
        <w:rPr>
          <w:rFonts w:ascii="標楷體" w:eastAsia="標楷體" w:hAnsi="標楷體"/>
          <w:color w:val="000000"/>
        </w:rPr>
        <w:t xml:space="preserve">)及多次入睡睡眠檢查（Multiple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）準則如前述。</w:t>
      </w:r>
    </w:p>
    <w:p w14:paraId="34B6116F"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 xml:space="preserve">(ii)Type 1 Narcolepsy病人腦脊髓液中的Hypocretin-1濃度低於110pg/mL或小於1/3正常人的平均濃度（是以immunoreactivity 測定）；Type 2 Narcolepsy病人腦脊髓液中的Hypocretin-1是大於110 </w:t>
      </w:r>
      <w:proofErr w:type="spellStart"/>
      <w:r>
        <w:rPr>
          <w:rFonts w:ascii="標楷體" w:eastAsia="標楷體" w:hAnsi="標楷體"/>
          <w:color w:val="000000"/>
        </w:rPr>
        <w:t>pg</w:t>
      </w:r>
      <w:proofErr w:type="spellEnd"/>
      <w:r>
        <w:rPr>
          <w:rFonts w:ascii="標楷體" w:eastAsia="標楷體" w:hAnsi="標楷體"/>
          <w:color w:val="000000"/>
        </w:rPr>
        <w:t>/mL或大於1/3正常人的平均濃度，亦或是無法檢測Hypocretin-1。亦可參考血液 HLA-DQB1*0602檢驗是否為positive，來協助診斷或分類</w:t>
      </w:r>
      <w:proofErr w:type="gramStart"/>
      <w:r>
        <w:rPr>
          <w:rFonts w:ascii="標楷體" w:eastAsia="標楷體" w:hAnsi="標楷體"/>
          <w:color w:val="000000"/>
        </w:rPr>
        <w:t>猝</w:t>
      </w:r>
      <w:proofErr w:type="gramEnd"/>
      <w:r>
        <w:rPr>
          <w:rFonts w:ascii="標楷體" w:eastAsia="標楷體" w:hAnsi="標楷體"/>
          <w:color w:val="000000"/>
        </w:rPr>
        <w:t>睡症類型。</w:t>
      </w:r>
    </w:p>
    <w:p w14:paraId="47C79AA1"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3.日間過度睡眠持續至少3個月以上，應有客觀評估，如成人的愛普沃斯</w:t>
      </w:r>
      <w:proofErr w:type="gramStart"/>
      <w:r>
        <w:rPr>
          <w:rFonts w:ascii="標楷體" w:eastAsia="標楷體" w:hAnsi="標楷體"/>
          <w:color w:val="000000"/>
        </w:rPr>
        <w:t>嗜睡量表</w:t>
      </w:r>
      <w:proofErr w:type="gramEnd"/>
      <w:r>
        <w:rPr>
          <w:rFonts w:ascii="標楷體" w:eastAsia="標楷體" w:hAnsi="標楷體"/>
          <w:color w:val="000000"/>
        </w:rPr>
        <w:t>ESS (</w:t>
      </w:r>
      <w:proofErr w:type="spellStart"/>
      <w:r>
        <w:rPr>
          <w:rFonts w:ascii="標楷體" w:eastAsia="標楷體" w:hAnsi="標楷體"/>
          <w:color w:val="000000"/>
        </w:rPr>
        <w:t>Epworthsleepiness</w:t>
      </w:r>
      <w:proofErr w:type="spellEnd"/>
      <w:r>
        <w:rPr>
          <w:rFonts w:ascii="標楷體" w:eastAsia="標楷體" w:hAnsi="標楷體"/>
          <w:color w:val="000000"/>
        </w:rPr>
        <w:t xml:space="preserve"> Scale)需高於9分。病患嗜睡症狀及MSLT的結果必須排除其他原因，且需排除阻塞性睡眠呼吸障礙(obstructive sleep apnea)、週期性下肢抽動（Periodic leg movement disorder）和睡眠相位後移症候群（Delayed sleep phase syndrome）等造成日間過度睡眠之可能性。</w:t>
      </w:r>
    </w:p>
    <w:p w14:paraId="4F83DB05"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4.限有睡眠實驗室之醫院之神經內科、精神科、胸腔內科、耳鼻喉科專科醫師使用。</w:t>
      </w:r>
    </w:p>
    <w:p w14:paraId="10762211"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5.經事前審查核准後使用。首次申請時需檢附以下資料：</w:t>
      </w:r>
    </w:p>
    <w:p w14:paraId="1F059216"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(1)病歷紀錄。</w:t>
      </w:r>
    </w:p>
    <w:p w14:paraId="33C21A67"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(2)ICSD II 診斷。</w:t>
      </w:r>
    </w:p>
    <w:p w14:paraId="387BB50A"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(3)PSG報告。</w:t>
      </w:r>
    </w:p>
    <w:p w14:paraId="7CDD0F61"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(4)MSLT報告。</w:t>
      </w:r>
    </w:p>
    <w:p w14:paraId="47A3F8C5" w14:textId="77777777" w:rsidR="00401786" w:rsidRDefault="00C64FB3" w:rsidP="005E56FF">
      <w:pPr>
        <w:spacing w:line="300" w:lineRule="exact"/>
        <w:ind w:left="1233" w:hanging="386"/>
        <w:rPr>
          <w:rFonts w:ascii="標楷體" w:eastAsia="標楷體" w:hAnsi="標楷體"/>
          <w:color w:val="000000"/>
        </w:rPr>
      </w:pPr>
      <w:r>
        <w:rPr>
          <w:rFonts w:ascii="標楷體" w:eastAsia="標楷體" w:hAnsi="標楷體"/>
          <w:color w:val="000000"/>
        </w:rPr>
        <w:t>(5)日間過度睡眠量表，如ESS等。使用後每3-6個月施測日間過量睡眠症狀量表ESS，以評估療效。</w:t>
      </w:r>
    </w:p>
    <w:p w14:paraId="788B7335"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6.使用期程：第1次申請獲准1年後，需重新進行MSLT檢查以評估客觀療效，並同時檢附過去1年之ESS。連續2年申請，如病人服藥順從性高，且藥效確定，則可每次核准3年。否則仍需每年申請1次，若MSLT其中之一顯示療效不佳，應即停用。</w:t>
      </w:r>
    </w:p>
    <w:p w14:paraId="18CFA9B3"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7.限制每日最大劑量36mg，且每日至多使用2粒。</w:t>
      </w:r>
    </w:p>
    <w:p w14:paraId="71ADEBCD"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8.Modafinil(如Provigil)與</w:t>
      </w:r>
      <w:proofErr w:type="spellStart"/>
      <w:r>
        <w:rPr>
          <w:rFonts w:ascii="標楷體" w:eastAsia="標楷體" w:hAnsi="標楷體"/>
          <w:color w:val="000000"/>
        </w:rPr>
        <w:t>pitolisant</w:t>
      </w:r>
      <w:proofErr w:type="spellEnd"/>
      <w:r>
        <w:rPr>
          <w:rFonts w:ascii="標楷體" w:eastAsia="標楷體" w:hAnsi="標楷體"/>
          <w:color w:val="000000"/>
        </w:rPr>
        <w:t>(如</w:t>
      </w:r>
      <w:proofErr w:type="spellStart"/>
      <w:r>
        <w:rPr>
          <w:rFonts w:ascii="標楷體" w:eastAsia="標楷體" w:hAnsi="標楷體"/>
          <w:color w:val="000000"/>
        </w:rPr>
        <w:t>Wakix</w:t>
      </w:r>
      <w:proofErr w:type="spellEnd"/>
      <w:r>
        <w:rPr>
          <w:rFonts w:ascii="標楷體" w:eastAsia="標楷體" w:hAnsi="標楷體"/>
          <w:color w:val="000000"/>
        </w:rPr>
        <w:t>)兩者限擇</w:t>
      </w:r>
      <w:proofErr w:type="gramStart"/>
      <w:r>
        <w:rPr>
          <w:rFonts w:ascii="標楷體" w:eastAsia="標楷體" w:hAnsi="標楷體"/>
          <w:color w:val="000000"/>
        </w:rPr>
        <w:t>一</w:t>
      </w:r>
      <w:proofErr w:type="gramEnd"/>
      <w:r>
        <w:rPr>
          <w:rFonts w:ascii="標楷體" w:eastAsia="標楷體" w:hAnsi="標楷體"/>
          <w:color w:val="000000"/>
        </w:rPr>
        <w:t>使用。</w:t>
      </w:r>
    </w:p>
    <w:p w14:paraId="383C0505"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1.4.麻醉劑 Drugs used in anesthesia</w:t>
      </w:r>
    </w:p>
    <w:p w14:paraId="719959DE"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1.4.1.Propofol：(91/2/1、100/7/1、109/2/1)</w:t>
      </w:r>
    </w:p>
    <w:p w14:paraId="23199DAD"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1.限使用人工呼吸器治療且需要每日進行神智評估之病例使用(100/7/1)。</w:t>
      </w:r>
    </w:p>
    <w:p w14:paraId="28C2AB6C"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每次使用以不超過七十二小時為原則，依病程需要至多延長至七天。超過三天之使用需醫師評估病患在非重度鎮靜之輕、中度鎮靜狀態下使用，且需做相關預防Propofol之併發症的評估(109/2/1)。</w:t>
      </w:r>
    </w:p>
    <w:p w14:paraId="4F372334"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3.不得作為例行性使用。</w:t>
      </w:r>
    </w:p>
    <w:p w14:paraId="114E5AFC"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1.4.2.Cis-atracurium、atracurium：(91/2/1、100/7/1)</w:t>
      </w:r>
    </w:p>
    <w:p w14:paraId="060527E7"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1.限使用人工呼吸器</w:t>
      </w:r>
      <w:proofErr w:type="gramStart"/>
      <w:r>
        <w:rPr>
          <w:rFonts w:ascii="標楷體" w:eastAsia="標楷體" w:hAnsi="標楷體"/>
          <w:color w:val="000000"/>
        </w:rPr>
        <w:t>治療且肝或</w:t>
      </w:r>
      <w:proofErr w:type="gramEnd"/>
      <w:r>
        <w:rPr>
          <w:rFonts w:ascii="標楷體" w:eastAsia="標楷體" w:hAnsi="標楷體"/>
          <w:color w:val="000000"/>
        </w:rPr>
        <w:t>腎功能衰竭之病患使用(100/7/1)。</w:t>
      </w:r>
    </w:p>
    <w:p w14:paraId="0ED87ECB"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2.每次使用以不超過七十二小時為原則。</w:t>
      </w:r>
    </w:p>
    <w:p w14:paraId="2284FC3A"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3.不得作為例行性使用。</w:t>
      </w:r>
    </w:p>
    <w:p w14:paraId="62CD05AD"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1.4.3.Vecuronium、rocuronium：(91/2/1、100/7/1)</w:t>
      </w:r>
    </w:p>
    <w:p w14:paraId="6E5F980F"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1.限使用人工呼吸器治療之血液動力學不穩定之重症病患，且具有下述情形者(100/7/1)：</w:t>
      </w:r>
    </w:p>
    <w:p w14:paraId="64596BF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lastRenderedPageBreak/>
        <w:t>(1)心臟功能不穩定者。</w:t>
      </w:r>
    </w:p>
    <w:p w14:paraId="558FA79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心搏過速</w:t>
      </w:r>
      <w:proofErr w:type="gramEnd"/>
      <w:r>
        <w:rPr>
          <w:rFonts w:ascii="標楷體" w:eastAsia="標楷體" w:hAnsi="標楷體"/>
          <w:color w:val="000000"/>
        </w:rPr>
        <w:t>可能惡化者。</w:t>
      </w:r>
    </w:p>
    <w:p w14:paraId="031D22E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2.每次使用以不超過七十二小時為原則。</w:t>
      </w:r>
    </w:p>
    <w:p w14:paraId="0FD1942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3.不得作為例行性使用。</w:t>
      </w:r>
    </w:p>
    <w:p w14:paraId="762C41AD"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1.4.4.局部麻醉劑（local anesthetics）</w:t>
      </w:r>
    </w:p>
    <w:p w14:paraId="1AE08794"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Xylocaine 2 % jelly：</w:t>
      </w:r>
    </w:p>
    <w:p w14:paraId="32BE0AD0"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限直腸外科人工肛門造口病例需居家定期插入導管或脊椎</w:t>
      </w:r>
      <w:proofErr w:type="gramStart"/>
      <w:r>
        <w:rPr>
          <w:rFonts w:ascii="標楷體" w:eastAsia="標楷體" w:hAnsi="標楷體"/>
          <w:color w:val="000000"/>
        </w:rPr>
        <w:t>畸</w:t>
      </w:r>
      <w:proofErr w:type="gramEnd"/>
      <w:r>
        <w:rPr>
          <w:rFonts w:ascii="標楷體" w:eastAsia="標楷體" w:hAnsi="標楷體"/>
          <w:color w:val="000000"/>
        </w:rPr>
        <w:t>型合併有神經功能障礙之</w:t>
      </w:r>
      <w:proofErr w:type="gramStart"/>
      <w:r>
        <w:rPr>
          <w:rFonts w:ascii="標楷體" w:eastAsia="標楷體" w:hAnsi="標楷體"/>
          <w:color w:val="000000"/>
        </w:rPr>
        <w:t>病童需長期</w:t>
      </w:r>
      <w:proofErr w:type="gramEnd"/>
      <w:r>
        <w:rPr>
          <w:rFonts w:ascii="標楷體" w:eastAsia="標楷體" w:hAnsi="標楷體"/>
          <w:color w:val="000000"/>
        </w:rPr>
        <w:t>居家間歇導尿病例使用。</w:t>
      </w:r>
    </w:p>
    <w:p w14:paraId="3FB1A36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1.4.5.Dexmedetomidine（如</w:t>
      </w:r>
      <w:proofErr w:type="spellStart"/>
      <w:r>
        <w:rPr>
          <w:rFonts w:ascii="標楷體" w:eastAsia="標楷體" w:hAnsi="標楷體"/>
          <w:color w:val="000000"/>
        </w:rPr>
        <w:t>Precedex</w:t>
      </w:r>
      <w:proofErr w:type="spellEnd"/>
      <w:r>
        <w:rPr>
          <w:rFonts w:ascii="標楷體" w:eastAsia="標楷體" w:hAnsi="標楷體"/>
          <w:color w:val="000000"/>
        </w:rPr>
        <w:t>）：(96/8/1、108/3/1)</w:t>
      </w:r>
    </w:p>
    <w:p w14:paraId="1CD792F2"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1.限用於短期</w:t>
      </w:r>
      <w:proofErr w:type="gramStart"/>
      <w:r>
        <w:rPr>
          <w:rFonts w:ascii="標楷體" w:eastAsia="標楷體" w:hAnsi="標楷體"/>
          <w:color w:val="000000"/>
        </w:rPr>
        <w:t>可拔管需</w:t>
      </w:r>
      <w:proofErr w:type="gramEnd"/>
      <w:r>
        <w:rPr>
          <w:rFonts w:ascii="標楷體" w:eastAsia="標楷體" w:hAnsi="標楷體"/>
          <w:color w:val="000000"/>
        </w:rPr>
        <w:t>鎮靜之18歲以上加護病房病人使用，連續使用不得超過24小時，再次使用需間隔6小時以上，每次住院最多使用3次。</w:t>
      </w:r>
    </w:p>
    <w:p w14:paraId="152D1B8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2.申報費用時檢附病歷紀錄(資料)。</w:t>
      </w:r>
    </w:p>
    <w:p w14:paraId="7E865DDD" w14:textId="77777777" w:rsidR="00401786" w:rsidRDefault="00C64FB3" w:rsidP="005E56FF">
      <w:pPr>
        <w:spacing w:line="300" w:lineRule="exact"/>
        <w:ind w:left="672" w:hanging="386"/>
      </w:pPr>
      <w:r>
        <w:rPr>
          <w:rFonts w:ascii="標楷體" w:eastAsia="標楷體" w:hAnsi="標楷體"/>
          <w:color w:val="000000"/>
        </w:rPr>
        <w:t>1.5.Parasympathomimetic (Cholinergic) Agents（93/8/1、94/2/1、96/7/1、97/5/1</w:t>
      </w:r>
      <w:r>
        <w:rPr>
          <w:rFonts w:ascii="標楷體" w:eastAsia="標楷體" w:hAnsi="標楷體"/>
        </w:rPr>
        <w:t>、102/2/1</w:t>
      </w:r>
      <w:r>
        <w:rPr>
          <w:rFonts w:ascii="標楷體" w:eastAsia="標楷體" w:hAnsi="標楷體"/>
          <w:color w:val="000000"/>
        </w:rPr>
        <w:t>）</w:t>
      </w:r>
    </w:p>
    <w:p w14:paraId="03CBD43C"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1.5.1.Pilocarpine hydrochloride口服劑型</w:t>
      </w:r>
    </w:p>
    <w:p w14:paraId="3D99B97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1.使用於修格蘭氏症候群 (Sjogren's syndrome) 病人：</w:t>
      </w:r>
    </w:p>
    <w:p w14:paraId="4D6D08DC"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(1)使用對象：需符合修格蘭氏症候群之診斷標準。</w:t>
      </w:r>
    </w:p>
    <w:p w14:paraId="6AF9B8B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(2)使用時機：原發性或續</w:t>
      </w:r>
      <w:proofErr w:type="gramStart"/>
      <w:r>
        <w:rPr>
          <w:rFonts w:ascii="標楷體" w:eastAsia="標楷體" w:hAnsi="標楷體"/>
          <w:color w:val="000000"/>
        </w:rPr>
        <w:t>發性修格</w:t>
      </w:r>
      <w:proofErr w:type="gramEnd"/>
      <w:r>
        <w:rPr>
          <w:rFonts w:ascii="標楷體" w:eastAsia="標楷體" w:hAnsi="標楷體"/>
          <w:color w:val="000000"/>
        </w:rPr>
        <w:t>蘭氏症候群病人具有口乾燥症狀者。</w:t>
      </w:r>
    </w:p>
    <w:p w14:paraId="09300153" w14:textId="77777777" w:rsidR="00401786" w:rsidRDefault="00C64FB3" w:rsidP="005E56FF">
      <w:pPr>
        <w:spacing w:line="300" w:lineRule="exact"/>
        <w:ind w:left="1049" w:hanging="341"/>
        <w:rPr>
          <w:rFonts w:ascii="標楷體" w:eastAsia="標楷體" w:hAnsi="標楷體"/>
        </w:rPr>
      </w:pPr>
      <w:r>
        <w:rPr>
          <w:rFonts w:ascii="標楷體" w:eastAsia="標楷體" w:hAnsi="標楷體"/>
        </w:rPr>
        <w:t>(3)治療期程及評量：使用後每半年需檢附pilocarpine hydrochloride口服劑型治療後症狀改善評量表 (如附表十九) 於病歷上，證明pilocarpine hydrochloride口服劑型治療有效方可繼續使用。</w:t>
      </w:r>
      <w:proofErr w:type="gramStart"/>
      <w:r>
        <w:rPr>
          <w:rFonts w:ascii="標楷體" w:eastAsia="標楷體" w:hAnsi="標楷體"/>
        </w:rPr>
        <w:t>（</w:t>
      </w:r>
      <w:proofErr w:type="gramEnd"/>
      <w:r>
        <w:rPr>
          <w:rFonts w:ascii="標楷體" w:eastAsia="標楷體" w:hAnsi="標楷體"/>
        </w:rPr>
        <w:t>102/2/1)</w:t>
      </w:r>
    </w:p>
    <w:p w14:paraId="11AF9383" w14:textId="77777777" w:rsidR="00401786" w:rsidRDefault="00C64FB3" w:rsidP="005E56FF">
      <w:pPr>
        <w:spacing w:line="300" w:lineRule="exact"/>
        <w:ind w:left="1049" w:hanging="341"/>
      </w:pPr>
      <w:r>
        <w:rPr>
          <w:rFonts w:ascii="標楷體" w:eastAsia="標楷體" w:hAnsi="標楷體"/>
        </w:rPr>
        <w:t>(4)使用劑量：每日三至四次，每次</w:t>
      </w:r>
      <w:proofErr w:type="gramStart"/>
      <w:r>
        <w:rPr>
          <w:rFonts w:ascii="標楷體" w:eastAsia="標楷體" w:hAnsi="標楷體"/>
        </w:rPr>
        <w:t>一</w:t>
      </w:r>
      <w:proofErr w:type="gramEnd"/>
      <w:r>
        <w:rPr>
          <w:rFonts w:ascii="標楷體" w:eastAsia="標楷體" w:hAnsi="標楷體"/>
        </w:rPr>
        <w:t>錠 (5mg/tab) 依病人反映，可做劑量調整參考。</w:t>
      </w:r>
    </w:p>
    <w:p w14:paraId="17BAD19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2.使用於頭頸部癌放射線治療病人</w:t>
      </w:r>
    </w:p>
    <w:p w14:paraId="7506A4B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(1)使用對象：頭頸部癌放射線治療超過26GY之患者，造成唾腺功能減低而引起的口乾燥症狀。</w:t>
      </w:r>
    </w:p>
    <w:p w14:paraId="1AEA79D8"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(2)使用時機：適用於放射線治療期間及治療後所引起的口乾燥症狀需藥物控制時。</w:t>
      </w:r>
    </w:p>
    <w:p w14:paraId="30511A2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(3)治療期程及評量：每使用兩個月後，需以pilocarpine hydrochloride口服劑型治療後症狀改善評量表 (如附表十九) 評估，認定確有改善者達10分(含)以上者方可繼續使用。（96/7/1）</w:t>
      </w:r>
    </w:p>
    <w:p w14:paraId="3264227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(4)使用劑量：每日三至四次，每次</w:t>
      </w:r>
      <w:proofErr w:type="gramStart"/>
      <w:r>
        <w:rPr>
          <w:rFonts w:ascii="標楷體" w:eastAsia="標楷體" w:hAnsi="標楷體"/>
          <w:color w:val="000000"/>
        </w:rPr>
        <w:t>一</w:t>
      </w:r>
      <w:proofErr w:type="gramEnd"/>
      <w:r>
        <w:rPr>
          <w:rFonts w:ascii="標楷體" w:eastAsia="標楷體" w:hAnsi="標楷體"/>
          <w:color w:val="000000"/>
        </w:rPr>
        <w:t>錠 (5mg/tab) 依病人反應，可做劑量調整參考。</w:t>
      </w:r>
    </w:p>
    <w:p w14:paraId="468B8EE4" w14:textId="77777777" w:rsidR="00401786" w:rsidRDefault="00C64FB3" w:rsidP="005E56FF">
      <w:pPr>
        <w:spacing w:line="300" w:lineRule="exact"/>
        <w:ind w:left="1274" w:hanging="708"/>
        <w:rPr>
          <w:rFonts w:ascii="標楷體" w:eastAsia="標楷體" w:hAnsi="標楷體"/>
          <w:color w:val="000000"/>
        </w:rPr>
      </w:pPr>
      <w:r>
        <w:rPr>
          <w:rFonts w:ascii="標楷體" w:eastAsia="標楷體" w:hAnsi="標楷體"/>
          <w:color w:val="000000"/>
        </w:rPr>
        <w:t>備註：修格蘭氏症候群之診斷標準如下：【修格蘭氏症候群 (Sjogren's syndrome)之診斷標準依據2002年修立之歐洲分類標準】</w:t>
      </w:r>
    </w:p>
    <w:p w14:paraId="72F5A23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1.眼睛主觀症狀：至少符合下列問題之</w:t>
      </w:r>
      <w:proofErr w:type="gramStart"/>
      <w:r>
        <w:rPr>
          <w:rFonts w:ascii="標楷體" w:eastAsia="標楷體" w:hAnsi="標楷體"/>
          <w:color w:val="000000"/>
        </w:rPr>
        <w:t>一</w:t>
      </w:r>
      <w:proofErr w:type="gramEnd"/>
      <w:r>
        <w:rPr>
          <w:rFonts w:ascii="標楷體" w:eastAsia="標楷體" w:hAnsi="標楷體"/>
          <w:color w:val="000000"/>
        </w:rPr>
        <w:t>：</w:t>
      </w:r>
    </w:p>
    <w:p w14:paraId="545DB6B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(1)是否有每天，持續性，令人困擾的乾眼症狀持續三個月以上？</w:t>
      </w:r>
    </w:p>
    <w:p w14:paraId="2A38032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(2)眼睛是否有反覆性的異物感？</w:t>
      </w:r>
    </w:p>
    <w:p w14:paraId="41DE5D4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(3)是否使用人工淚液一天大於三次？</w:t>
      </w:r>
    </w:p>
    <w:p w14:paraId="0AADC37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2.口腔主觀症狀：至少符合下列問題之</w:t>
      </w:r>
      <w:proofErr w:type="gramStart"/>
      <w:r>
        <w:rPr>
          <w:rFonts w:ascii="標楷體" w:eastAsia="標楷體" w:hAnsi="標楷體"/>
          <w:color w:val="000000"/>
        </w:rPr>
        <w:t>一</w:t>
      </w:r>
      <w:proofErr w:type="gramEnd"/>
      <w:r>
        <w:rPr>
          <w:rFonts w:ascii="標楷體" w:eastAsia="標楷體" w:hAnsi="標楷體"/>
          <w:color w:val="000000"/>
        </w:rPr>
        <w:t>：</w:t>
      </w:r>
    </w:p>
    <w:p w14:paraId="47306F1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(1)是否每天都覺得口乾症狀持續三個月以上？</w:t>
      </w:r>
    </w:p>
    <w:p w14:paraId="2821B9E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(2)是否於成年後曾經有反覆性或持續性唾液腺體腫大的現象？</w:t>
      </w:r>
    </w:p>
    <w:p w14:paraId="30E61E9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(3)是否經常使用流質來幫助</w:t>
      </w:r>
      <w:proofErr w:type="gramStart"/>
      <w:r>
        <w:rPr>
          <w:rFonts w:ascii="標楷體" w:eastAsia="標楷體" w:hAnsi="標楷體"/>
          <w:color w:val="000000"/>
        </w:rPr>
        <w:t>吞食較乾的</w:t>
      </w:r>
      <w:proofErr w:type="gramEnd"/>
      <w:r>
        <w:rPr>
          <w:rFonts w:ascii="標楷體" w:eastAsia="標楷體" w:hAnsi="標楷體"/>
          <w:color w:val="000000"/>
        </w:rPr>
        <w:t>食物？</w:t>
      </w:r>
    </w:p>
    <w:p w14:paraId="072FBBB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3.眼睛客觀表現：兩項檢查之中至少有一項呈陽性反應：</w:t>
      </w:r>
    </w:p>
    <w:p w14:paraId="4D40BB1C"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Shirmer's</w:t>
      </w:r>
      <w:proofErr w:type="spellEnd"/>
      <w:r>
        <w:rPr>
          <w:rFonts w:ascii="標楷體" w:eastAsia="標楷體" w:hAnsi="標楷體"/>
          <w:color w:val="000000"/>
        </w:rPr>
        <w:t xml:space="preserve"> 試驗：在無麻醉下測試，5分鐘後小於或等於5公厘。</w:t>
      </w:r>
    </w:p>
    <w:p w14:paraId="47570F64"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 xml:space="preserve">(2)Rose Bengal score 或其他眼睛染色之評分，大於或等於4分 (依據van </w:t>
      </w:r>
      <w:proofErr w:type="spellStart"/>
      <w:r>
        <w:rPr>
          <w:rFonts w:ascii="標楷體" w:eastAsia="標楷體" w:hAnsi="標楷體"/>
          <w:color w:val="000000"/>
        </w:rPr>
        <w:t>Bijsterveld's</w:t>
      </w:r>
      <w:proofErr w:type="spellEnd"/>
      <w:r>
        <w:rPr>
          <w:rFonts w:ascii="標楷體" w:eastAsia="標楷體" w:hAnsi="標楷體"/>
          <w:color w:val="000000"/>
        </w:rPr>
        <w:t xml:space="preserve"> 評分系統)。</w:t>
      </w:r>
    </w:p>
    <w:p w14:paraId="71F65095" w14:textId="77777777" w:rsidR="00401786" w:rsidRDefault="00C64FB3" w:rsidP="005E56FF">
      <w:pPr>
        <w:spacing w:line="300" w:lineRule="exact"/>
        <w:ind w:left="811" w:hanging="245"/>
      </w:pPr>
      <w:r>
        <w:rPr>
          <w:rFonts w:ascii="標楷體" w:eastAsia="標楷體" w:hAnsi="標楷體"/>
          <w:color w:val="000000"/>
        </w:rPr>
        <w:t>4.組織病理學：在4mm</w:t>
      </w:r>
      <w:r>
        <w:rPr>
          <w:rFonts w:ascii="標楷體" w:eastAsia="標楷體" w:hAnsi="標楷體"/>
          <w:color w:val="000000"/>
          <w:vertAlign w:val="superscript"/>
        </w:rPr>
        <w:t>2</w:t>
      </w:r>
      <w:r>
        <w:rPr>
          <w:rFonts w:ascii="標楷體" w:eastAsia="標楷體" w:hAnsi="標楷體"/>
          <w:color w:val="000000"/>
        </w:rPr>
        <w:t>的唾液腺組織切片中顯示腺體發炎而且</w:t>
      </w:r>
      <w:proofErr w:type="gramStart"/>
      <w:r>
        <w:rPr>
          <w:rFonts w:ascii="標楷體" w:eastAsia="標楷體" w:hAnsi="標楷體"/>
          <w:color w:val="000000"/>
        </w:rPr>
        <w:t>≧</w:t>
      </w:r>
      <w:proofErr w:type="gramEnd"/>
      <w:r>
        <w:rPr>
          <w:rFonts w:ascii="標楷體" w:eastAsia="標楷體" w:hAnsi="標楷體"/>
          <w:color w:val="000000"/>
        </w:rPr>
        <w:t>1 focus的淋巴球浸潤 (1 Focus：</w:t>
      </w:r>
      <w:proofErr w:type="gramStart"/>
      <w:r>
        <w:rPr>
          <w:rFonts w:ascii="標楷體" w:eastAsia="標楷體" w:hAnsi="標楷體"/>
          <w:color w:val="000000"/>
        </w:rPr>
        <w:t>≧</w:t>
      </w:r>
      <w:proofErr w:type="gramEnd"/>
      <w:r>
        <w:rPr>
          <w:rFonts w:ascii="標楷體" w:eastAsia="標楷體" w:hAnsi="標楷體"/>
          <w:color w:val="000000"/>
        </w:rPr>
        <w:t>50個淋巴球聚集)。</w:t>
      </w:r>
    </w:p>
    <w:p w14:paraId="117E5B7E"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lastRenderedPageBreak/>
        <w:t>5.唾液腺之侵犯：下列檢查之中至少有一項呈陽性反應：</w:t>
      </w:r>
    </w:p>
    <w:p w14:paraId="3788B1E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(1)無刺激下唾液的分泌總量減少 (15分鐘少於1.5</w:t>
      </w:r>
      <w:proofErr w:type="gramStart"/>
      <w:r>
        <w:rPr>
          <w:rFonts w:ascii="標楷體" w:eastAsia="標楷體" w:hAnsi="標楷體"/>
          <w:color w:val="000000"/>
        </w:rPr>
        <w:t>㏄</w:t>
      </w:r>
      <w:proofErr w:type="gramEnd"/>
      <w:r>
        <w:rPr>
          <w:rFonts w:ascii="標楷體" w:eastAsia="標楷體" w:hAnsi="標楷體"/>
          <w:color w:val="000000"/>
        </w:rPr>
        <w:t>)</w:t>
      </w:r>
    </w:p>
    <w:p w14:paraId="121D256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(2)腮腺唾液管X光照像呈現瀰漫性唾液腺管擴大 (</w:t>
      </w:r>
      <w:proofErr w:type="gramStart"/>
      <w:r>
        <w:rPr>
          <w:rFonts w:ascii="標楷體" w:eastAsia="標楷體" w:hAnsi="標楷體"/>
          <w:color w:val="000000"/>
        </w:rPr>
        <w:t>呈像為</w:t>
      </w:r>
      <w:proofErr w:type="gramEnd"/>
      <w:r>
        <w:rPr>
          <w:rFonts w:ascii="標楷體" w:eastAsia="標楷體" w:hAnsi="標楷體"/>
          <w:color w:val="000000"/>
        </w:rPr>
        <w:t>斑點狀，空洞狀或不規則狀) 且無唾液管阻塞現象。</w:t>
      </w:r>
    </w:p>
    <w:p w14:paraId="03300B3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(3)唾液腺閃爍造影檢查呈現放射性同位元素之延遲顯影，低濃度以及/或排出延遲。</w:t>
      </w:r>
    </w:p>
    <w:p w14:paraId="652B75C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6.自體免疫抗體：出現以下自體抗體：</w:t>
      </w:r>
    </w:p>
    <w:p w14:paraId="4F51441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(1)SSA或SSB或兩者皆有</w:t>
      </w:r>
    </w:p>
    <w:p w14:paraId="7BAEAC3A" w14:textId="77777777" w:rsidR="00401786" w:rsidRDefault="00C64FB3" w:rsidP="005E56FF">
      <w:pPr>
        <w:spacing w:line="300" w:lineRule="exact"/>
        <w:ind w:left="991" w:firstLine="14"/>
        <w:rPr>
          <w:rFonts w:ascii="標楷體" w:eastAsia="標楷體" w:hAnsi="標楷體"/>
          <w:color w:val="000000"/>
        </w:rPr>
      </w:pPr>
      <w:r>
        <w:rPr>
          <w:rFonts w:ascii="標楷體" w:eastAsia="標楷體" w:hAnsi="標楷體"/>
          <w:color w:val="000000"/>
        </w:rPr>
        <w:t>合乎修格蘭氏症候群診斷標準之判定：</w:t>
      </w:r>
    </w:p>
    <w:p w14:paraId="771226E7" w14:textId="77777777" w:rsidR="00401786" w:rsidRDefault="00C64FB3" w:rsidP="005E56FF">
      <w:pPr>
        <w:spacing w:line="300" w:lineRule="exact"/>
        <w:ind w:left="1414" w:hanging="336"/>
        <w:rPr>
          <w:rFonts w:ascii="標楷體" w:eastAsia="標楷體" w:hAnsi="標楷體"/>
          <w:color w:val="000000"/>
        </w:rPr>
      </w:pPr>
      <w:r>
        <w:rPr>
          <w:rFonts w:ascii="標楷體" w:eastAsia="標楷體" w:hAnsi="標楷體"/>
          <w:color w:val="000000"/>
        </w:rPr>
        <w:t>1.原發性修格蘭氏症：無任何相關疾病且需合乎下述(1)或(2)項條件：</w:t>
      </w:r>
    </w:p>
    <w:p w14:paraId="0E6B533F" w14:textId="77777777" w:rsidR="00401786" w:rsidRDefault="00C64FB3" w:rsidP="005E56FF">
      <w:pPr>
        <w:spacing w:line="300" w:lineRule="exact"/>
        <w:ind w:left="1764" w:hanging="346"/>
        <w:rPr>
          <w:rFonts w:ascii="標楷體" w:eastAsia="標楷體" w:hAnsi="標楷體"/>
          <w:color w:val="000000"/>
        </w:rPr>
      </w:pPr>
      <w:r>
        <w:rPr>
          <w:rFonts w:ascii="標楷體" w:eastAsia="標楷體" w:hAnsi="標楷體"/>
          <w:color w:val="000000"/>
        </w:rPr>
        <w:t>(1)6項條件中4項符合，其中需有第4項 (組織病理) 或第6項 (血清檢查) 條件符合。</w:t>
      </w:r>
    </w:p>
    <w:p w14:paraId="46655DF2" w14:textId="77777777" w:rsidR="00401786" w:rsidRDefault="00C64FB3" w:rsidP="005E56FF">
      <w:pPr>
        <w:spacing w:line="300" w:lineRule="exact"/>
        <w:ind w:left="1764" w:hanging="346"/>
        <w:rPr>
          <w:rFonts w:ascii="標楷體" w:eastAsia="標楷體" w:hAnsi="標楷體"/>
          <w:color w:val="000000"/>
        </w:rPr>
      </w:pPr>
      <w:r>
        <w:rPr>
          <w:rFonts w:ascii="標楷體" w:eastAsia="標楷體" w:hAnsi="標楷體"/>
          <w:color w:val="000000"/>
        </w:rPr>
        <w:t>(2)4項客觀條件 (即第3、4、5、6項) 中，任3項條件符合。</w:t>
      </w:r>
    </w:p>
    <w:p w14:paraId="39D1E063" w14:textId="77777777" w:rsidR="00401786" w:rsidRDefault="00C64FB3" w:rsidP="005E56FF">
      <w:pPr>
        <w:spacing w:line="300" w:lineRule="exact"/>
        <w:ind w:left="1414" w:hanging="336"/>
        <w:rPr>
          <w:rFonts w:ascii="標楷體" w:eastAsia="標楷體" w:hAnsi="標楷體"/>
          <w:color w:val="000000"/>
        </w:rPr>
      </w:pPr>
      <w:r>
        <w:rPr>
          <w:rFonts w:ascii="標楷體" w:eastAsia="標楷體" w:hAnsi="標楷體"/>
          <w:color w:val="000000"/>
        </w:rPr>
        <w:t>2.次</w:t>
      </w:r>
      <w:proofErr w:type="gramStart"/>
      <w:r>
        <w:rPr>
          <w:rFonts w:ascii="標楷體" w:eastAsia="標楷體" w:hAnsi="標楷體"/>
          <w:color w:val="000000"/>
        </w:rPr>
        <w:t>發性修格</w:t>
      </w:r>
      <w:proofErr w:type="gramEnd"/>
      <w:r>
        <w:rPr>
          <w:rFonts w:ascii="標楷體" w:eastAsia="標楷體" w:hAnsi="標楷體"/>
          <w:color w:val="000000"/>
        </w:rPr>
        <w:t>蘭氏症：</w:t>
      </w:r>
    </w:p>
    <w:p w14:paraId="4399F6C7" w14:textId="77777777" w:rsidR="00401786" w:rsidRDefault="00C64FB3" w:rsidP="005E56FF">
      <w:pPr>
        <w:spacing w:line="300" w:lineRule="exact"/>
        <w:ind w:left="1301"/>
        <w:rPr>
          <w:rFonts w:ascii="標楷體" w:eastAsia="標楷體" w:hAnsi="標楷體"/>
          <w:color w:val="000000"/>
        </w:rPr>
      </w:pPr>
      <w:r>
        <w:rPr>
          <w:rFonts w:ascii="標楷體" w:eastAsia="標楷體" w:hAnsi="標楷體"/>
          <w:color w:val="000000"/>
        </w:rPr>
        <w:t>患者有潛在相關疾病 (例如：任何明確結締組織疾病) 而且存在有上述診斷標準中第1項條件，或第2條件，再加上第3、4、5項條件中任何2項，即考慮次</w:t>
      </w:r>
      <w:proofErr w:type="gramStart"/>
      <w:r>
        <w:rPr>
          <w:rFonts w:ascii="標楷體" w:eastAsia="標楷體" w:hAnsi="標楷體"/>
          <w:color w:val="000000"/>
        </w:rPr>
        <w:t>發性修格</w:t>
      </w:r>
      <w:proofErr w:type="gramEnd"/>
      <w:r>
        <w:rPr>
          <w:rFonts w:ascii="標楷體" w:eastAsia="標楷體" w:hAnsi="標楷體"/>
          <w:color w:val="000000"/>
        </w:rPr>
        <w:t>蘭氏症候群。</w:t>
      </w:r>
    </w:p>
    <w:p w14:paraId="049D0EB5" w14:textId="77777777" w:rsidR="00401786" w:rsidRDefault="00C64FB3" w:rsidP="005E56FF">
      <w:pPr>
        <w:spacing w:line="300" w:lineRule="exact"/>
        <w:ind w:left="672" w:hanging="386"/>
      </w:pPr>
      <w:r>
        <w:rPr>
          <w:rFonts w:ascii="標楷體" w:eastAsia="標楷體" w:hAnsi="標楷體"/>
          <w:color w:val="000000"/>
        </w:rPr>
        <w:t>1.5.2.Cevimeline hydrochloride（如</w:t>
      </w:r>
      <w:proofErr w:type="spellStart"/>
      <w:r>
        <w:rPr>
          <w:rFonts w:ascii="標楷體" w:eastAsia="標楷體" w:hAnsi="標楷體"/>
          <w:color w:val="000000"/>
        </w:rPr>
        <w:t>Evoxac</w:t>
      </w:r>
      <w:proofErr w:type="spellEnd"/>
      <w:r>
        <w:rPr>
          <w:rFonts w:ascii="標楷體" w:eastAsia="標楷體" w:hAnsi="標楷體"/>
          <w:color w:val="000000"/>
        </w:rPr>
        <w:t xml:space="preserve"> Capsules）</w:t>
      </w:r>
      <w:proofErr w:type="gramStart"/>
      <w:r>
        <w:rPr>
          <w:rFonts w:ascii="標楷體" w:eastAsia="標楷體" w:hAnsi="標楷體"/>
          <w:color w:val="000000"/>
        </w:rPr>
        <w:t>（</w:t>
      </w:r>
      <w:proofErr w:type="gramEnd"/>
      <w:r>
        <w:rPr>
          <w:rFonts w:ascii="標楷體" w:eastAsia="標楷體" w:hAnsi="標楷體"/>
          <w:color w:val="000000"/>
        </w:rPr>
        <w:t>97/5/1</w:t>
      </w:r>
      <w:r>
        <w:rPr>
          <w:rFonts w:ascii="標楷體" w:eastAsia="標楷體" w:hAnsi="標楷體"/>
        </w:rPr>
        <w:t>、102/2/1</w:t>
      </w:r>
      <w:r>
        <w:rPr>
          <w:rFonts w:ascii="標楷體" w:eastAsia="標楷體" w:hAnsi="標楷體"/>
          <w:color w:val="000000"/>
        </w:rPr>
        <w:t>)</w:t>
      </w:r>
    </w:p>
    <w:p w14:paraId="1849E42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1.使用對象：需符合修格蘭氏症候群之診斷標準。</w:t>
      </w:r>
    </w:p>
    <w:p w14:paraId="65C1D6E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2.使用時機：原發性或續</w:t>
      </w:r>
      <w:proofErr w:type="gramStart"/>
      <w:r>
        <w:rPr>
          <w:rFonts w:ascii="標楷體" w:eastAsia="標楷體" w:hAnsi="標楷體"/>
          <w:color w:val="000000"/>
        </w:rPr>
        <w:t>發性修格</w:t>
      </w:r>
      <w:proofErr w:type="gramEnd"/>
      <w:r>
        <w:rPr>
          <w:rFonts w:ascii="標楷體" w:eastAsia="標楷體" w:hAnsi="標楷體"/>
          <w:color w:val="000000"/>
        </w:rPr>
        <w:t>蘭氏症候群病人具有口乾燥症狀者。</w:t>
      </w:r>
    </w:p>
    <w:p w14:paraId="585E1AA2" w14:textId="77777777" w:rsidR="00401786" w:rsidRDefault="00C64FB3" w:rsidP="005E56FF">
      <w:pPr>
        <w:spacing w:line="300" w:lineRule="exact"/>
        <w:ind w:left="811" w:hanging="245"/>
        <w:rPr>
          <w:rFonts w:ascii="標楷體" w:eastAsia="標楷體" w:hAnsi="標楷體"/>
        </w:rPr>
      </w:pPr>
      <w:r>
        <w:rPr>
          <w:rFonts w:ascii="標楷體" w:eastAsia="標楷體" w:hAnsi="標楷體"/>
        </w:rPr>
        <w:t>3.治療期程及評量：使用後每半年需檢附cevimeline hydrochloride治療後症狀改善評量表（如附表二十）於病歷上，證明cevimeline hydrochloride治療有效方可繼續使用。</w:t>
      </w:r>
      <w:proofErr w:type="gramStart"/>
      <w:r>
        <w:rPr>
          <w:rFonts w:ascii="標楷體" w:eastAsia="標楷體" w:hAnsi="標楷體"/>
        </w:rPr>
        <w:t>（</w:t>
      </w:r>
      <w:proofErr w:type="gramEnd"/>
      <w:r>
        <w:rPr>
          <w:rFonts w:ascii="標楷體" w:eastAsia="標楷體" w:hAnsi="標楷體"/>
        </w:rPr>
        <w:t>102/2/1)。</w:t>
      </w:r>
    </w:p>
    <w:p w14:paraId="2D3093F7" w14:textId="77777777" w:rsidR="00401786" w:rsidRDefault="00C64FB3" w:rsidP="005E56FF">
      <w:pPr>
        <w:spacing w:line="300" w:lineRule="exact"/>
        <w:ind w:left="811" w:hanging="245"/>
      </w:pPr>
      <w:r>
        <w:rPr>
          <w:rFonts w:ascii="標楷體" w:eastAsia="標楷體" w:hAnsi="標楷體"/>
        </w:rPr>
        <w:t>4.使用劑量：每日三次，每次一顆 (30mg/cap) 依病人反映，可做劑量調整參考。</w:t>
      </w:r>
    </w:p>
    <w:p w14:paraId="3BA93FC6"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1.6.其他  Miscellaneous</w:t>
      </w:r>
    </w:p>
    <w:p w14:paraId="67006EFC"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1.6.1.Riluzole (如</w:t>
      </w:r>
      <w:proofErr w:type="spellStart"/>
      <w:r>
        <w:rPr>
          <w:rFonts w:ascii="標楷體" w:eastAsia="標楷體" w:hAnsi="標楷體"/>
          <w:color w:val="000000"/>
        </w:rPr>
        <w:t>Rilutek</w:t>
      </w:r>
      <w:proofErr w:type="spellEnd"/>
      <w:r>
        <w:rPr>
          <w:rFonts w:ascii="標楷體" w:eastAsia="標楷體" w:hAnsi="標楷體"/>
          <w:color w:val="000000"/>
        </w:rPr>
        <w:t>、</w:t>
      </w:r>
      <w:proofErr w:type="spellStart"/>
      <w:r>
        <w:rPr>
          <w:rFonts w:ascii="標楷體" w:eastAsia="標楷體" w:hAnsi="標楷體"/>
          <w:color w:val="000000"/>
        </w:rPr>
        <w:t>Teglutik</w:t>
      </w:r>
      <w:proofErr w:type="spellEnd"/>
      <w:r>
        <w:rPr>
          <w:rFonts w:ascii="標楷體" w:eastAsia="標楷體" w:hAnsi="標楷體"/>
          <w:color w:val="000000"/>
        </w:rPr>
        <w:t>) (87/4/1、92/11/1、95/4/1、112/7/1)</w:t>
      </w:r>
    </w:p>
    <w:p w14:paraId="16AEB482" w14:textId="77777777" w:rsidR="00401786" w:rsidRDefault="00C64FB3" w:rsidP="005E56FF">
      <w:pPr>
        <w:spacing w:line="300" w:lineRule="exact"/>
        <w:ind w:left="912" w:hanging="386"/>
        <w:rPr>
          <w:rFonts w:ascii="標楷體" w:eastAsia="標楷體" w:hAnsi="標楷體"/>
          <w:color w:val="000000"/>
        </w:rPr>
      </w:pPr>
      <w:r>
        <w:rPr>
          <w:rFonts w:ascii="標楷體" w:eastAsia="標楷體" w:hAnsi="標楷體"/>
          <w:color w:val="000000"/>
        </w:rPr>
        <w:t>1.經兩位神經科專科醫師診斷為運動神經元疾病 (ALS/MND)，且未氣管切開或未使用人工呼吸器之病患。(92/11/1、95/4/1、112/7/1)</w:t>
      </w:r>
    </w:p>
    <w:p w14:paraId="474F9579" w14:textId="77777777" w:rsidR="00401786" w:rsidRDefault="00C64FB3" w:rsidP="005E56FF">
      <w:pPr>
        <w:spacing w:line="300" w:lineRule="exact"/>
        <w:ind w:left="912" w:hanging="386"/>
        <w:rPr>
          <w:rFonts w:ascii="標楷體" w:eastAsia="標楷體" w:hAnsi="標楷體"/>
          <w:color w:val="000000"/>
        </w:rPr>
      </w:pPr>
      <w:r>
        <w:rPr>
          <w:rFonts w:ascii="標楷體" w:eastAsia="標楷體" w:hAnsi="標楷體"/>
          <w:color w:val="000000"/>
        </w:rPr>
        <w:t>2.遺傳性運動神經元萎縮症 (如spinal muscular atrophy等)，幼年性遠端肢體萎縮症 (如segmental or focal motor neuron disease等)，感染性神經元疾病 (如polio等) 不適用。</w:t>
      </w:r>
    </w:p>
    <w:p w14:paraId="53263047" w14:textId="77777777" w:rsidR="00401786" w:rsidRDefault="00C64FB3" w:rsidP="005E56FF">
      <w:pPr>
        <w:spacing w:line="300" w:lineRule="exact"/>
        <w:ind w:left="912" w:hanging="386"/>
        <w:rPr>
          <w:rFonts w:ascii="標楷體" w:eastAsia="標楷體" w:hAnsi="標楷體"/>
          <w:color w:val="000000"/>
        </w:rPr>
      </w:pPr>
      <w:r>
        <w:rPr>
          <w:rFonts w:ascii="標楷體" w:eastAsia="標楷體" w:hAnsi="標楷體"/>
          <w:color w:val="000000"/>
        </w:rPr>
        <w:t xml:space="preserve">3. </w:t>
      </w:r>
      <w:proofErr w:type="gramStart"/>
      <w:r>
        <w:rPr>
          <w:rFonts w:ascii="標楷體" w:eastAsia="標楷體" w:hAnsi="標楷體"/>
          <w:color w:val="000000"/>
        </w:rPr>
        <w:t>錠劑膠囊劑限</w:t>
      </w:r>
      <w:proofErr w:type="gramEnd"/>
      <w:r>
        <w:rPr>
          <w:rFonts w:ascii="標楷體" w:eastAsia="標楷體" w:hAnsi="標楷體"/>
          <w:color w:val="000000"/>
        </w:rPr>
        <w:t>使用於無裝置鼻胃管或胃造</w:t>
      </w:r>
      <w:proofErr w:type="gramStart"/>
      <w:r>
        <w:rPr>
          <w:rFonts w:ascii="標楷體" w:eastAsia="標楷體" w:hAnsi="標楷體"/>
          <w:color w:val="000000"/>
        </w:rPr>
        <w:t>廔</w:t>
      </w:r>
      <w:proofErr w:type="gramEnd"/>
      <w:r>
        <w:rPr>
          <w:rFonts w:ascii="標楷體" w:eastAsia="標楷體" w:hAnsi="標楷體"/>
          <w:color w:val="000000"/>
        </w:rPr>
        <w:t>餵食之病患。(112/7/1)</w:t>
      </w:r>
    </w:p>
    <w:p w14:paraId="7B16EE27" w14:textId="77777777" w:rsidR="00401786" w:rsidRDefault="00C64FB3" w:rsidP="005E56FF">
      <w:pPr>
        <w:spacing w:line="300" w:lineRule="exact"/>
        <w:ind w:left="672" w:hanging="386"/>
      </w:pPr>
      <w:r>
        <w:rPr>
          <w:rFonts w:ascii="標楷體" w:eastAsia="標楷體" w:hAnsi="標楷體"/>
          <w:color w:val="000000"/>
        </w:rPr>
        <w:t>1.6.2.</w:t>
      </w:r>
      <w:r>
        <w:t xml:space="preserve"> </w:t>
      </w:r>
      <w:r>
        <w:rPr>
          <w:rFonts w:ascii="標楷體" w:eastAsia="標楷體" w:hAnsi="標楷體"/>
          <w:color w:val="000000"/>
        </w:rPr>
        <w:t>Botulinum toxin type A</w:t>
      </w:r>
    </w:p>
    <w:p w14:paraId="39BB509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本類藥品</w:t>
      </w:r>
      <w:proofErr w:type="gramEnd"/>
      <w:r>
        <w:rPr>
          <w:rFonts w:ascii="標楷體" w:eastAsia="標楷體" w:hAnsi="標楷體"/>
          <w:color w:val="000000"/>
        </w:rPr>
        <w:t>限以下適應症使用，每一個案每一年需重新評估一次(98/5/1、107/2/1)。</w:t>
      </w:r>
    </w:p>
    <w:p w14:paraId="6210A061" w14:textId="77777777" w:rsidR="00401786" w:rsidRDefault="009606F5" w:rsidP="005E56FF">
      <w:pPr>
        <w:spacing w:line="300" w:lineRule="exact"/>
        <w:ind w:left="672" w:hanging="386"/>
        <w:rPr>
          <w:rFonts w:ascii="標楷體" w:eastAsia="標楷體" w:hAnsi="標楷體"/>
          <w:color w:val="000000"/>
        </w:rPr>
      </w:pPr>
      <w:r>
        <w:rPr>
          <w:rFonts w:ascii="標楷體" w:eastAsia="標楷體" w:hAnsi="標楷體"/>
          <w:color w:val="000000"/>
        </w:rPr>
        <w:t>1.6.2.1.Botox(90/1/1、93/1/1、94/6/1、98/3/1、98/5/1、100/8/1、104/5/1、104/9/1、107/2/1、109/2/1、109/12/1、110/3/1、111/3/1</w:t>
      </w:r>
      <w:r>
        <w:rPr>
          <w:rFonts w:ascii="標楷體" w:eastAsia="標楷體" w:hAnsi="標楷體" w:hint="eastAsia"/>
          <w:color w:val="000000"/>
        </w:rPr>
        <w:t>、115/2/1</w:t>
      </w:r>
      <w:r>
        <w:rPr>
          <w:rFonts w:ascii="標楷體" w:eastAsia="標楷體" w:hAnsi="標楷體"/>
          <w:color w:val="000000"/>
        </w:rPr>
        <w:t>)</w:t>
      </w:r>
    </w:p>
    <w:p w14:paraId="32E5810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1.使用於眼瞼痙攣或半面痙攣：</w:t>
      </w:r>
    </w:p>
    <w:p w14:paraId="2994CB6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(1)限12歲以上，經區域以上（含）教學醫院之眼科、神經內科或小兒神經科專科醫師診斷為眼瞼痙攣或半面痙攣之病患使用。</w:t>
      </w:r>
    </w:p>
    <w:p w14:paraId="4C4D1087"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(2)需符合Spasm Intensity Scale 3級（含）以上，另有病歷記載病史6個月以上者可申請治療。(94/6/1)</w:t>
      </w:r>
    </w:p>
    <w:p w14:paraId="437FF584"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(3)每次注射最高劑量：眼瞼痙攣為每側20單位，半面痙攣為每側30單位。每年最多注射3次為原則。</w:t>
      </w:r>
    </w:p>
    <w:p w14:paraId="1EFAA711"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2.使用於局部</w:t>
      </w:r>
      <w:proofErr w:type="gramStart"/>
      <w:r w:rsidRPr="00E818B3">
        <w:rPr>
          <w:rFonts w:ascii="標楷體" w:eastAsia="標楷體" w:hAnsi="標楷體"/>
          <w:color w:val="000000"/>
        </w:rPr>
        <w:t>肌</w:t>
      </w:r>
      <w:proofErr w:type="gramEnd"/>
      <w:r w:rsidRPr="00E818B3">
        <w:rPr>
          <w:rFonts w:ascii="標楷體" w:eastAsia="標楷體" w:hAnsi="標楷體"/>
          <w:color w:val="000000"/>
        </w:rPr>
        <w:t>張力不全症（focal dystonia）（如斜頸、書寫性痙攣、口顎部肌張力</w:t>
      </w:r>
      <w:proofErr w:type="gramStart"/>
      <w:r w:rsidRPr="00E818B3">
        <w:rPr>
          <w:rFonts w:ascii="標楷體" w:eastAsia="標楷體" w:hAnsi="標楷體"/>
          <w:color w:val="000000"/>
        </w:rPr>
        <w:t>不</w:t>
      </w:r>
      <w:proofErr w:type="gramEnd"/>
      <w:r w:rsidRPr="00E818B3">
        <w:rPr>
          <w:rFonts w:ascii="標楷體" w:eastAsia="標楷體" w:hAnsi="標楷體"/>
          <w:color w:val="000000"/>
        </w:rPr>
        <w:t>全等）</w:t>
      </w:r>
    </w:p>
    <w:p w14:paraId="10E7F00D"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(1)限12歲以上，經區域以上（含）教學醫院之神經內科、小兒神經科或復健科專科醫師診斷為局部張力不全症之病患使用。</w:t>
      </w:r>
    </w:p>
    <w:p w14:paraId="2CF0D10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(2)需有病歷記載已持續以其他方式治療6個月以上無效，</w:t>
      </w:r>
      <w:proofErr w:type="gramStart"/>
      <w:r w:rsidRPr="00E818B3">
        <w:rPr>
          <w:rFonts w:ascii="標楷體" w:eastAsia="標楷體" w:hAnsi="標楷體"/>
          <w:color w:val="000000"/>
        </w:rPr>
        <w:t>且斜頸症</w:t>
      </w:r>
      <w:proofErr w:type="gramEnd"/>
      <w:r w:rsidRPr="00E818B3">
        <w:rPr>
          <w:rFonts w:ascii="標楷體" w:eastAsia="標楷體" w:hAnsi="標楷體"/>
          <w:color w:val="000000"/>
        </w:rPr>
        <w:t>者需符合Tsui</w:t>
      </w:r>
      <w:proofErr w:type="gramStart"/>
      <w:r w:rsidRPr="00E818B3">
        <w:rPr>
          <w:rFonts w:ascii="標楷體" w:eastAsia="標楷體" w:hAnsi="標楷體"/>
          <w:color w:val="000000"/>
        </w:rPr>
        <w:t>’</w:t>
      </w:r>
      <w:proofErr w:type="gramEnd"/>
      <w:r w:rsidRPr="00E818B3">
        <w:rPr>
          <w:rFonts w:ascii="標楷體" w:eastAsia="標楷體" w:hAnsi="標楷體"/>
          <w:color w:val="000000"/>
        </w:rPr>
        <w:t>s rating scale for cervical dystonia分數11分（含）以上者。</w:t>
      </w:r>
    </w:p>
    <w:p w14:paraId="2D8FDD20"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lastRenderedPageBreak/>
        <w:t>(3)每次注射最高劑量：</w:t>
      </w:r>
      <w:proofErr w:type="gramStart"/>
      <w:r w:rsidRPr="00E818B3">
        <w:rPr>
          <w:rFonts w:ascii="標楷體" w:eastAsia="標楷體" w:hAnsi="標楷體"/>
          <w:color w:val="000000"/>
        </w:rPr>
        <w:t>斜頸症為</w:t>
      </w:r>
      <w:proofErr w:type="gramEnd"/>
      <w:r w:rsidRPr="00E818B3">
        <w:rPr>
          <w:rFonts w:ascii="標楷體" w:eastAsia="標楷體" w:hAnsi="標楷體"/>
          <w:color w:val="000000"/>
        </w:rPr>
        <w:t>150單位，書寫性痙攣及口</w:t>
      </w:r>
      <w:proofErr w:type="gramStart"/>
      <w:r w:rsidRPr="00E818B3">
        <w:rPr>
          <w:rFonts w:ascii="標楷體" w:eastAsia="標楷體" w:hAnsi="標楷體"/>
          <w:color w:val="000000"/>
        </w:rPr>
        <w:t>顎部肌張力</w:t>
      </w:r>
      <w:proofErr w:type="gramEnd"/>
      <w:r w:rsidRPr="00E818B3">
        <w:rPr>
          <w:rFonts w:ascii="標楷體" w:eastAsia="標楷體" w:hAnsi="標楷體"/>
          <w:color w:val="000000"/>
        </w:rPr>
        <w:t>不全為70單位，且每年最多注射3次為原則。</w:t>
      </w:r>
    </w:p>
    <w:p w14:paraId="0322D777"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(4)全身性肌張力不全症不在給付範圍。</w:t>
      </w:r>
    </w:p>
    <w:p w14:paraId="6AB0A49A"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3.使用於腦性麻痺病患</w:t>
      </w:r>
    </w:p>
    <w:p w14:paraId="15A7A6E1"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(1)限滿2歲以上，經區域以上（含）教學醫院復健科、神經內科或小兒神經科專科醫師診斷為</w:t>
      </w:r>
      <w:proofErr w:type="gramStart"/>
      <w:r w:rsidRPr="00E818B3">
        <w:rPr>
          <w:rFonts w:ascii="標楷體" w:eastAsia="標楷體" w:hAnsi="標楷體"/>
          <w:color w:val="000000"/>
        </w:rPr>
        <w:t>痙攣型腦性</w:t>
      </w:r>
      <w:proofErr w:type="gramEnd"/>
      <w:r w:rsidRPr="00E818B3">
        <w:rPr>
          <w:rFonts w:ascii="標楷體" w:eastAsia="標楷體" w:hAnsi="標楷體"/>
          <w:color w:val="000000"/>
        </w:rPr>
        <w:t>麻痺之病患使用。</w:t>
      </w:r>
    </w:p>
    <w:p w14:paraId="5BB9C4AD"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(2)其肢體之痙攣影響主動功能（如行走或手部動作），該肢體之痙攣程度以Modified Ashworth Scale評估為2或3級，且經藥物、復</w:t>
      </w:r>
      <w:proofErr w:type="gramStart"/>
      <w:r w:rsidRPr="00E818B3">
        <w:rPr>
          <w:rFonts w:ascii="標楷體" w:eastAsia="標楷體" w:hAnsi="標楷體"/>
          <w:color w:val="000000"/>
        </w:rPr>
        <w:t>健或輔具</w:t>
      </w:r>
      <w:proofErr w:type="gramEnd"/>
      <w:r w:rsidRPr="00E818B3">
        <w:rPr>
          <w:rFonts w:ascii="標楷體" w:eastAsia="標楷體" w:hAnsi="標楷體"/>
          <w:color w:val="000000"/>
        </w:rPr>
        <w:t>治療至少6個月以上無效者。</w:t>
      </w:r>
    </w:p>
    <w:p w14:paraId="00BB10D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(3)無固定不可逆之關節攣縮。</w:t>
      </w:r>
    </w:p>
    <w:p w14:paraId="2382DD55"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(4)每次注射最高劑量每公斤體重12~15單位（總劑量不超過300單位），下肢每塊肌肉每公斤體重使用3~6單位，上肢每塊肌肉每公斤體重使用1~2單位，且每年最多注射3次。(94/6/1)</w:t>
      </w:r>
    </w:p>
    <w:p w14:paraId="6E71C0B2"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(5)經外科手術治療之同肌肉部位不得再行注射。</w:t>
      </w:r>
    </w:p>
    <w:p w14:paraId="1CFA688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(6)使用於12~17歲病患，需經事前審查一次，並附有復健科、小兒神經科或神經科專科醫師近期之診察紀錄；使用於18歲(含)以上病患，需再經事前審查一次。(107/2/1、109/2/1)</w:t>
      </w:r>
    </w:p>
    <w:p w14:paraId="4D8A09CB"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4.使用於成人中風後之手臂或下肢痙攣：</w:t>
      </w:r>
      <w:proofErr w:type="gramStart"/>
      <w:r w:rsidRPr="00E818B3">
        <w:rPr>
          <w:rFonts w:ascii="標楷體" w:eastAsia="標楷體" w:hAnsi="標楷體"/>
          <w:color w:val="000000"/>
        </w:rPr>
        <w:t>（</w:t>
      </w:r>
      <w:proofErr w:type="gramEnd"/>
      <w:r w:rsidRPr="00E818B3">
        <w:rPr>
          <w:rFonts w:ascii="標楷體" w:eastAsia="標楷體" w:hAnsi="標楷體"/>
          <w:color w:val="000000"/>
        </w:rPr>
        <w:t>93/1/1、94/6/1、98/3/1、100/8/1、109/2/1、109/12/1)</w:t>
      </w:r>
    </w:p>
    <w:p w14:paraId="43A69467"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(1)限20歲以上，中風發生後，經復健、輔具或藥物治療上肢至少6個月以上，下肢至少3個月以上痙攣，影響其日常活動(如飲食、衛生、穿衣等)者，痙攣程度符合Modified Ashworth Scale評估2或3級，且關節活動度（R1/R2）顯示顯著痙攣，並排除臥床、肢體攣縮或關節固定不可逆攣縮者。(94/6/1、98/3/1、109/2/1)</w:t>
      </w:r>
    </w:p>
    <w:p w14:paraId="6897FD3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(2)限地區醫院以上（含）神經內外科或復健科專科醫師診斷及注射。(94/6/1、100/8/1、109/2/1)</w:t>
      </w:r>
    </w:p>
    <w:p w14:paraId="29DA4A5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(3)每次注射Botox最高劑量上肢限360單位，下肢限400單位，且每年最多3次，需列出每條肌肉要注射的劑量。(94/6/1、109/2/1)</w:t>
      </w:r>
    </w:p>
    <w:p w14:paraId="36622B1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(4)需經事前審查核准後使用，申請時需檢附病歷資料、治療計畫及照片或影片(109/2/1)。</w:t>
      </w:r>
    </w:p>
    <w:p w14:paraId="6F1C027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(5)再次申請時需提出使用效果評估結果(如附表三十五)、病歷、治療紀錄及治療計畫以供參考，並檢附前次及本次病人之照片或影片，如病人已呈現「意識不清合併臥床」、「</w:t>
      </w:r>
      <w:proofErr w:type="gramStart"/>
      <w:r w:rsidRPr="00E818B3">
        <w:rPr>
          <w:rFonts w:ascii="標楷體" w:eastAsia="標楷體" w:hAnsi="標楷體"/>
          <w:color w:val="000000"/>
        </w:rPr>
        <w:t>手部或下肢</w:t>
      </w:r>
      <w:proofErr w:type="gramEnd"/>
      <w:r w:rsidRPr="00E818B3">
        <w:rPr>
          <w:rFonts w:ascii="標楷體" w:eastAsia="標楷體" w:hAnsi="標楷體"/>
          <w:color w:val="000000"/>
        </w:rPr>
        <w:t>肌肉攣縮或關節固定不可逆者</w:t>
      </w:r>
      <w:proofErr w:type="gramStart"/>
      <w:r w:rsidRPr="00E818B3">
        <w:rPr>
          <w:rFonts w:ascii="標楷體" w:eastAsia="標楷體" w:hAnsi="標楷體"/>
          <w:color w:val="000000"/>
        </w:rPr>
        <w:t>（</w:t>
      </w:r>
      <w:proofErr w:type="gramEnd"/>
      <w:r w:rsidRPr="00E818B3">
        <w:rPr>
          <w:rFonts w:ascii="標楷體" w:eastAsia="標楷體" w:hAnsi="標楷體"/>
          <w:color w:val="000000"/>
        </w:rPr>
        <w:t>Modified Ashworth Scale 4分) 」，該明顯不可逆攣縮肌肉與固定關節部位得不予給付。(109/12/1)</w:t>
      </w:r>
    </w:p>
    <w:p w14:paraId="2098A69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(6)如因再次中風而導致臥床、</w:t>
      </w:r>
      <w:proofErr w:type="gramStart"/>
      <w:r w:rsidRPr="00E818B3">
        <w:rPr>
          <w:rFonts w:ascii="標楷體" w:eastAsia="標楷體" w:hAnsi="標楷體"/>
          <w:color w:val="000000"/>
        </w:rPr>
        <w:t>手部或下肢</w:t>
      </w:r>
      <w:proofErr w:type="gramEnd"/>
      <w:r w:rsidRPr="00E818B3">
        <w:rPr>
          <w:rFonts w:ascii="標楷體" w:eastAsia="標楷體" w:hAnsi="標楷體"/>
          <w:color w:val="000000"/>
        </w:rPr>
        <w:t>肌肉攣縮或關節固定不可逆攣縮，則應停用。(98/3/1、109/2/1)</w:t>
      </w:r>
    </w:p>
    <w:p w14:paraId="1B3CC535"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5.使用於脊髓病變所引起的</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動而導致尿失禁(104/5/1</w:t>
      </w:r>
      <w:r w:rsidRPr="00E818B3">
        <w:rPr>
          <w:rFonts w:ascii="標楷體" w:eastAsia="標楷體" w:hAnsi="標楷體" w:hint="eastAsia"/>
          <w:color w:val="000000"/>
        </w:rPr>
        <w:t>、115/2/1</w:t>
      </w:r>
      <w:r w:rsidRPr="00E818B3">
        <w:rPr>
          <w:rFonts w:ascii="標楷體" w:eastAsia="標楷體" w:hAnsi="標楷體"/>
          <w:color w:val="000000"/>
        </w:rPr>
        <w:t>)</w:t>
      </w:r>
    </w:p>
    <w:p w14:paraId="0566328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w:t>
      </w:r>
      <w:r w:rsidRPr="00E818B3">
        <w:rPr>
          <w:rFonts w:ascii="標楷體" w:eastAsia="標楷體" w:hAnsi="標楷體" w:hint="eastAsia"/>
          <w:color w:val="000000"/>
        </w:rPr>
        <w:t>需經事前審查核准後使用。首次申請時須</w:t>
      </w:r>
      <w:proofErr w:type="gramStart"/>
      <w:r w:rsidRPr="00E818B3">
        <w:rPr>
          <w:rFonts w:ascii="標楷體" w:eastAsia="標楷體" w:hAnsi="標楷體" w:hint="eastAsia"/>
          <w:color w:val="000000"/>
        </w:rPr>
        <w:t>檢</w:t>
      </w:r>
      <w:r w:rsidRPr="00E818B3">
        <w:rPr>
          <w:rFonts w:ascii="標楷體" w:eastAsia="標楷體" w:hAnsi="標楷體"/>
          <w:color w:val="000000"/>
        </w:rPr>
        <w:t>附尿動力學</w:t>
      </w:r>
      <w:proofErr w:type="gramEnd"/>
      <w:r w:rsidRPr="00E818B3">
        <w:rPr>
          <w:rFonts w:ascii="標楷體" w:eastAsia="標楷體" w:hAnsi="標楷體"/>
          <w:color w:val="000000"/>
        </w:rPr>
        <w:t>審查，確診為</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動症。(104/5/1</w:t>
      </w:r>
      <w:r w:rsidRPr="00E818B3">
        <w:rPr>
          <w:rFonts w:ascii="標楷體" w:eastAsia="標楷體" w:hAnsi="標楷體" w:hint="eastAsia"/>
          <w:color w:val="000000"/>
        </w:rPr>
        <w:t>、115/2/1</w:t>
      </w:r>
      <w:r w:rsidRPr="00E818B3">
        <w:rPr>
          <w:rFonts w:ascii="標楷體" w:eastAsia="標楷體" w:hAnsi="標楷體"/>
          <w:color w:val="000000"/>
        </w:rPr>
        <w:t>)</w:t>
      </w:r>
    </w:p>
    <w:p w14:paraId="3CAC7E2B"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(2)18歲以上(含)之成人病患。</w:t>
      </w:r>
    </w:p>
    <w:p w14:paraId="40710266"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(3)泌尿專科或神經內科或復健科醫師診斷為因脊髓病變引發的</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動症病患，由泌尿專科醫師施行注射。</w:t>
      </w:r>
    </w:p>
    <w:p w14:paraId="4A75E789"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(4)每週尿失禁次數至少14次。</w:t>
      </w:r>
    </w:p>
    <w:p w14:paraId="28403C80"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(5)病患需經至少一種抗膽鹼藥物治療三個月無效(仍有明顯</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動症狀)，或無法</w:t>
      </w:r>
      <w:proofErr w:type="gramStart"/>
      <w:r w:rsidRPr="00E818B3">
        <w:rPr>
          <w:rFonts w:ascii="標楷體" w:eastAsia="標楷體" w:hAnsi="標楷體"/>
          <w:color w:val="000000"/>
        </w:rPr>
        <w:t>耐受抗膽</w:t>
      </w:r>
      <w:proofErr w:type="gramEnd"/>
      <w:r w:rsidRPr="00E818B3">
        <w:rPr>
          <w:rFonts w:ascii="標楷體" w:eastAsia="標楷體" w:hAnsi="標楷體"/>
          <w:color w:val="000000"/>
        </w:rPr>
        <w:t>鹼藥物副作用。</w:t>
      </w:r>
    </w:p>
    <w:p w14:paraId="435DCA26"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(6)第1次注射後6-12</w:t>
      </w:r>
      <w:proofErr w:type="gramStart"/>
      <w:r w:rsidRPr="00E818B3">
        <w:rPr>
          <w:rFonts w:ascii="標楷體" w:eastAsia="標楷體" w:hAnsi="標楷體"/>
          <w:color w:val="000000"/>
        </w:rPr>
        <w:t>週</w:t>
      </w:r>
      <w:proofErr w:type="gramEnd"/>
      <w:r w:rsidRPr="00E818B3">
        <w:rPr>
          <w:rFonts w:ascii="標楷體" w:eastAsia="標楷體" w:hAnsi="標楷體"/>
          <w:color w:val="000000"/>
        </w:rPr>
        <w:t>評估尿失禁頻率改善未達50%者，不得再注射。</w:t>
      </w:r>
    </w:p>
    <w:p w14:paraId="0020F0D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(7)每次治療建議劑量200個單位，二次注射時間應間隔24</w:t>
      </w:r>
      <w:proofErr w:type="gramStart"/>
      <w:r w:rsidRPr="00E818B3">
        <w:rPr>
          <w:rFonts w:ascii="標楷體" w:eastAsia="標楷體" w:hAnsi="標楷體"/>
          <w:color w:val="000000"/>
        </w:rPr>
        <w:t>週</w:t>
      </w:r>
      <w:proofErr w:type="gramEnd"/>
      <w:r w:rsidRPr="00E818B3">
        <w:rPr>
          <w:rFonts w:ascii="標楷體" w:eastAsia="標楷體" w:hAnsi="標楷體"/>
          <w:color w:val="000000"/>
        </w:rPr>
        <w:t>以上，且病患有治療前症狀(頻尿、</w:t>
      </w:r>
      <w:proofErr w:type="gramStart"/>
      <w:r w:rsidRPr="00E818B3">
        <w:rPr>
          <w:rFonts w:ascii="標楷體" w:eastAsia="標楷體" w:hAnsi="標楷體"/>
          <w:color w:val="000000"/>
        </w:rPr>
        <w:t>急尿與尿</w:t>
      </w:r>
      <w:proofErr w:type="gramEnd"/>
      <w:r w:rsidRPr="00E818B3">
        <w:rPr>
          <w:rFonts w:ascii="標楷體" w:eastAsia="標楷體" w:hAnsi="標楷體"/>
          <w:color w:val="000000"/>
        </w:rPr>
        <w:t>失禁)時再次注射，每年注射以兩次為限。</w:t>
      </w:r>
    </w:p>
    <w:p w14:paraId="0AC53F0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6.使用於膀胱過動症：(104/9/1)</w:t>
      </w:r>
    </w:p>
    <w:p w14:paraId="4C10BDB9"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lastRenderedPageBreak/>
        <w:t>(1)</w:t>
      </w:r>
      <w:proofErr w:type="gramStart"/>
      <w:r w:rsidRPr="00E818B3">
        <w:rPr>
          <w:rFonts w:ascii="標楷體" w:eastAsia="標楷體" w:hAnsi="標楷體"/>
          <w:color w:val="000000"/>
        </w:rPr>
        <w:t>經尿路</w:t>
      </w:r>
      <w:proofErr w:type="gramEnd"/>
      <w:r w:rsidRPr="00E818B3">
        <w:rPr>
          <w:rFonts w:ascii="標楷體" w:eastAsia="標楷體" w:hAnsi="標楷體"/>
          <w:color w:val="000000"/>
        </w:rPr>
        <w:t>動力學檢查診斷為原發性膀胱過動症 (idiopathic overactive bladder)且有尿失禁 (wet type)每週大於14次的成年患者，且經至少一種抗膽鹼藥物治療無效。</w:t>
      </w:r>
    </w:p>
    <w:p w14:paraId="394B4EEB"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(2)需經事前審查核准後使用，每次治療建議劑量為100單位，每年限用兩次，兩次注射時間</w:t>
      </w:r>
      <w:proofErr w:type="gramStart"/>
      <w:r w:rsidRPr="00E818B3">
        <w:rPr>
          <w:rFonts w:ascii="標楷體" w:eastAsia="標楷體" w:hAnsi="標楷體"/>
          <w:color w:val="000000"/>
        </w:rPr>
        <w:t>需相隔三個月</w:t>
      </w:r>
      <w:proofErr w:type="gramEnd"/>
      <w:r w:rsidRPr="00E818B3">
        <w:rPr>
          <w:rFonts w:ascii="標楷體" w:eastAsia="標楷體" w:hAnsi="標楷體"/>
          <w:color w:val="000000"/>
        </w:rPr>
        <w:t>以上，且第二次使用限於第一次注射後在6-12</w:t>
      </w:r>
      <w:proofErr w:type="gramStart"/>
      <w:r w:rsidRPr="00E818B3">
        <w:rPr>
          <w:rFonts w:ascii="標楷體" w:eastAsia="標楷體" w:hAnsi="標楷體"/>
          <w:color w:val="000000"/>
        </w:rPr>
        <w:t>週</w:t>
      </w:r>
      <w:proofErr w:type="gramEnd"/>
      <w:r w:rsidRPr="00E818B3">
        <w:rPr>
          <w:rFonts w:ascii="標楷體" w:eastAsia="標楷體" w:hAnsi="標楷體"/>
          <w:color w:val="000000"/>
        </w:rPr>
        <w:t>評估有尿失禁頻率減少50%以上的患者。</w:t>
      </w:r>
    </w:p>
    <w:p w14:paraId="191F6D6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(3)限由泌尿專科或婦產科醫師診斷及施行注射。</w:t>
      </w:r>
    </w:p>
    <w:p w14:paraId="65B5E98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◎前開注射劑量單位僅適用於Botox®劑量計算。</w:t>
      </w:r>
    </w:p>
    <w:p w14:paraId="0ECDC93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7.慢性偏頭痛之預防性治療 (109/2/1、111/3/1)</w:t>
      </w:r>
    </w:p>
    <w:p w14:paraId="07AC707D"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(1)需經事前審查核准後使用。</w:t>
      </w:r>
    </w:p>
    <w:p w14:paraId="7D641F6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(2)限神經內科或神經外科專科醫師診斷及注射。</w:t>
      </w:r>
    </w:p>
    <w:p w14:paraId="0515DB3C"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(3)需符合慢性偏頭痛診斷：至少有3個月時間，每</w:t>
      </w:r>
      <w:proofErr w:type="gramStart"/>
      <w:r w:rsidRPr="00E818B3">
        <w:rPr>
          <w:rFonts w:ascii="標楷體" w:eastAsia="標楷體" w:hAnsi="標楷體"/>
          <w:color w:val="000000"/>
        </w:rPr>
        <w:t>個</w:t>
      </w:r>
      <w:proofErr w:type="gramEnd"/>
      <w:r w:rsidRPr="00E818B3">
        <w:rPr>
          <w:rFonts w:ascii="標楷體" w:eastAsia="標楷體" w:hAnsi="標楷體"/>
          <w:color w:val="000000"/>
        </w:rPr>
        <w:t>月</w:t>
      </w:r>
      <w:proofErr w:type="gramStart"/>
      <w:r w:rsidRPr="00E818B3">
        <w:rPr>
          <w:rFonts w:ascii="標楷體" w:eastAsia="標楷體" w:hAnsi="標楷體"/>
          <w:color w:val="000000"/>
        </w:rPr>
        <w:t>≧</w:t>
      </w:r>
      <w:proofErr w:type="gramEnd"/>
      <w:r w:rsidRPr="00E818B3">
        <w:rPr>
          <w:rFonts w:ascii="標楷體" w:eastAsia="標楷體" w:hAnsi="標楷體"/>
          <w:color w:val="000000"/>
        </w:rPr>
        <w:t>15天，每次持續4小時以上，且其中符合偏頭痛診斷的發作每</w:t>
      </w:r>
      <w:proofErr w:type="gramStart"/>
      <w:r w:rsidRPr="00E818B3">
        <w:rPr>
          <w:rFonts w:ascii="標楷體" w:eastAsia="標楷體" w:hAnsi="標楷體"/>
          <w:color w:val="000000"/>
        </w:rPr>
        <w:t>個</w:t>
      </w:r>
      <w:proofErr w:type="gramEnd"/>
      <w:r w:rsidRPr="00E818B3">
        <w:rPr>
          <w:rFonts w:ascii="標楷體" w:eastAsia="標楷體" w:hAnsi="標楷體"/>
          <w:color w:val="000000"/>
        </w:rPr>
        <w:t>月</w:t>
      </w:r>
      <w:proofErr w:type="gramStart"/>
      <w:r w:rsidRPr="00E818B3">
        <w:rPr>
          <w:rFonts w:ascii="標楷體" w:eastAsia="標楷體" w:hAnsi="標楷體"/>
          <w:color w:val="000000"/>
        </w:rPr>
        <w:t>≧</w:t>
      </w:r>
      <w:proofErr w:type="gramEnd"/>
      <w:r w:rsidRPr="00E818B3">
        <w:rPr>
          <w:rFonts w:ascii="標楷體" w:eastAsia="標楷體" w:hAnsi="標楷體"/>
          <w:color w:val="000000"/>
        </w:rPr>
        <w:t>8天。(重要限制：Botox對每</w:t>
      </w:r>
      <w:proofErr w:type="gramStart"/>
      <w:r w:rsidRPr="00E818B3">
        <w:rPr>
          <w:rFonts w:ascii="標楷體" w:eastAsia="標楷體" w:hAnsi="標楷體"/>
          <w:color w:val="000000"/>
        </w:rPr>
        <w:t>個</w:t>
      </w:r>
      <w:proofErr w:type="gramEnd"/>
      <w:r w:rsidRPr="00E818B3">
        <w:rPr>
          <w:rFonts w:ascii="標楷體" w:eastAsia="標楷體" w:hAnsi="標楷體"/>
          <w:color w:val="000000"/>
        </w:rPr>
        <w:t>月頭痛天數</w:t>
      </w:r>
      <w:r w:rsidRPr="00E818B3">
        <w:rPr>
          <w:rFonts w:ascii="Times New Roman" w:eastAsia="標楷體" w:hAnsi="Times New Roman"/>
          <w:color w:val="000000"/>
        </w:rPr>
        <w:t>≤</w:t>
      </w:r>
      <w:r w:rsidRPr="00E818B3">
        <w:rPr>
          <w:rFonts w:ascii="標楷體" w:eastAsia="標楷體" w:hAnsi="標楷體"/>
          <w:color w:val="000000"/>
        </w:rPr>
        <w:t>14天的陣發性偏頭痛之安全性及有效性，尚無證據證實其療效)。</w:t>
      </w:r>
    </w:p>
    <w:p w14:paraId="3288496A"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(4)患者需經3種（含）以上偏頭痛預防用藥物（依據台灣頭痛學會發表之慢性偏頭痛預防性藥物治療準則之建議用藥，至少包括topiramate）治療無顯著療效，或無法忍受其副作用。</w:t>
      </w:r>
    </w:p>
    <w:p w14:paraId="31753F5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(5)每次注射最高劑量Botox 155單位，且每年最多4個療程。</w:t>
      </w:r>
    </w:p>
    <w:p w14:paraId="7A0B287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(6)首次申請給付2個療程，2個療程治療之後，評估每月頭痛天數，</w:t>
      </w:r>
      <w:proofErr w:type="gramStart"/>
      <w:r w:rsidRPr="00E818B3">
        <w:rPr>
          <w:rFonts w:ascii="標楷體" w:eastAsia="標楷體" w:hAnsi="標楷體"/>
          <w:color w:val="000000"/>
        </w:rPr>
        <w:t>需比治療</w:t>
      </w:r>
      <w:proofErr w:type="gramEnd"/>
      <w:r w:rsidRPr="00E818B3">
        <w:rPr>
          <w:rFonts w:ascii="標楷體" w:eastAsia="標楷體" w:hAnsi="標楷體"/>
          <w:color w:val="000000"/>
        </w:rPr>
        <w:t>前降低50%以上，方可持續給付。</w:t>
      </w:r>
    </w:p>
    <w:p w14:paraId="191D65B5"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(7)接續得申請一年療程，分為4次注射治療。療程完畢後半年內不得再次申請。</w:t>
      </w:r>
    </w:p>
    <w:p w14:paraId="17D39504"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(8)若病況再度符合慢性偏頭痛診斷，得再次申請一年使用量時，需於病歷記錄治療後相關臨床資料，包括頭痛天數。</w:t>
      </w:r>
    </w:p>
    <w:p w14:paraId="2B08802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(9)神經內科、神經外科專科醫師需經台灣神經學學會訓練課程認證慢性偏頭痛診斷與Botox PREEMPT 155U 標準注射法。</w:t>
      </w:r>
    </w:p>
    <w:p w14:paraId="002895B6" w14:textId="77777777" w:rsidR="00401786" w:rsidRDefault="00E818B3" w:rsidP="005E56FF">
      <w:pPr>
        <w:spacing w:line="300" w:lineRule="exact"/>
        <w:ind w:left="1044" w:hanging="480"/>
      </w:pPr>
      <w:r w:rsidRPr="00E818B3">
        <w:rPr>
          <w:rFonts w:ascii="標楷體" w:eastAsia="標楷體" w:hAnsi="標楷體"/>
          <w:color w:val="000000"/>
        </w:rPr>
        <w:t xml:space="preserve"> (10)不得與CGRP(calcitonin gene-related peptide)單株抗體製劑</w:t>
      </w:r>
      <w:proofErr w:type="gramStart"/>
      <w:r w:rsidRPr="00E818B3">
        <w:rPr>
          <w:rFonts w:ascii="標楷體" w:eastAsia="標楷體" w:hAnsi="標楷體"/>
          <w:color w:val="000000"/>
        </w:rPr>
        <w:t>併</w:t>
      </w:r>
      <w:proofErr w:type="gramEnd"/>
      <w:r w:rsidRPr="00E818B3">
        <w:rPr>
          <w:rFonts w:ascii="標楷體" w:eastAsia="標楷體" w:hAnsi="標楷體"/>
          <w:color w:val="000000"/>
        </w:rPr>
        <w:t>用(110/3/1、111/3/1)</w:t>
      </w:r>
    </w:p>
    <w:p w14:paraId="3004162C"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1.6.2.2.Dysport (91/2/1、93/1/1、94/6/1、98/3/1、98/5/1、100/8/1、107/2/1、109/2/1、109/12/1、112/11/1)</w:t>
      </w:r>
    </w:p>
    <w:p w14:paraId="27D3728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1.使用於眼瞼痙攣或半面痙攣：</w:t>
      </w:r>
    </w:p>
    <w:p w14:paraId="75DD4D0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(1)限12歲以上，經區域以上（含）教學醫院之眼科、神經內科或小兒神經科專科醫師診斷為眼瞼痙攣或半面痙攣之病患使用。</w:t>
      </w:r>
    </w:p>
    <w:p w14:paraId="45E1EBC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(2)需符合Spasm Intensity Scale 3級（含）以上，另有病歷記載病史6個月以上者可申請治療。(94/6/1)</w:t>
      </w:r>
    </w:p>
    <w:p w14:paraId="071EF51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(3)每次注射最高劑量：眼瞼痙攣為每側80單位，半面痙攣為每側120單位。每年最多注射3次為原則。</w:t>
      </w:r>
    </w:p>
    <w:p w14:paraId="49ADCF0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2.使用於局部</w:t>
      </w:r>
      <w:proofErr w:type="gramStart"/>
      <w:r>
        <w:rPr>
          <w:rFonts w:ascii="標楷體" w:eastAsia="標楷體" w:hAnsi="標楷體"/>
          <w:color w:val="000000"/>
        </w:rPr>
        <w:t>肌</w:t>
      </w:r>
      <w:proofErr w:type="gramEnd"/>
      <w:r>
        <w:rPr>
          <w:rFonts w:ascii="標楷體" w:eastAsia="標楷體" w:hAnsi="標楷體"/>
          <w:color w:val="000000"/>
        </w:rPr>
        <w:t>張力不全症（focal dystonia）（如斜頸、書寫性痙攣、口顎部肌張力</w:t>
      </w:r>
      <w:proofErr w:type="gramStart"/>
      <w:r>
        <w:rPr>
          <w:rFonts w:ascii="標楷體" w:eastAsia="標楷體" w:hAnsi="標楷體"/>
          <w:color w:val="000000"/>
        </w:rPr>
        <w:t>不</w:t>
      </w:r>
      <w:proofErr w:type="gramEnd"/>
      <w:r>
        <w:rPr>
          <w:rFonts w:ascii="標楷體" w:eastAsia="標楷體" w:hAnsi="標楷體"/>
          <w:color w:val="000000"/>
        </w:rPr>
        <w:t>全等）</w:t>
      </w:r>
    </w:p>
    <w:p w14:paraId="2BECC8B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(1)限12歲以上，經區域以上（含）教學醫院之神經內科、小兒神經科或復健科專科醫師診斷為局部張力不全症之病患使用。</w:t>
      </w:r>
    </w:p>
    <w:p w14:paraId="35DCE7A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(2)需有病歷記載已持續以其他方式治療6個月以上無效，</w:t>
      </w:r>
      <w:proofErr w:type="gramStart"/>
      <w:r>
        <w:rPr>
          <w:rFonts w:ascii="標楷體" w:eastAsia="標楷體" w:hAnsi="標楷體"/>
          <w:color w:val="000000"/>
        </w:rPr>
        <w:t>且斜頸症</w:t>
      </w:r>
      <w:proofErr w:type="gramEnd"/>
      <w:r>
        <w:rPr>
          <w:rFonts w:ascii="標楷體" w:eastAsia="標楷體" w:hAnsi="標楷體"/>
          <w:color w:val="000000"/>
        </w:rPr>
        <w:t>者需符合Tsui</w:t>
      </w:r>
      <w:proofErr w:type="gramStart"/>
      <w:r>
        <w:rPr>
          <w:rFonts w:ascii="標楷體" w:eastAsia="標楷體" w:hAnsi="標楷體"/>
          <w:color w:val="000000"/>
        </w:rPr>
        <w:t>’</w:t>
      </w:r>
      <w:proofErr w:type="gramEnd"/>
      <w:r>
        <w:rPr>
          <w:rFonts w:ascii="標楷體" w:eastAsia="標楷體" w:hAnsi="標楷體"/>
          <w:color w:val="000000"/>
        </w:rPr>
        <w:t>s rating scale for cervical dystonia分數11分（含）以上者。</w:t>
      </w:r>
    </w:p>
    <w:p w14:paraId="76AFBCF8"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(3)每次注射最高劑量：</w:t>
      </w:r>
      <w:proofErr w:type="gramStart"/>
      <w:r>
        <w:rPr>
          <w:rFonts w:ascii="標楷體" w:eastAsia="標楷體" w:hAnsi="標楷體"/>
          <w:color w:val="000000"/>
        </w:rPr>
        <w:t>斜頸症為</w:t>
      </w:r>
      <w:proofErr w:type="gramEnd"/>
      <w:r>
        <w:rPr>
          <w:rFonts w:ascii="標楷體" w:eastAsia="標楷體" w:hAnsi="標楷體"/>
          <w:color w:val="000000"/>
        </w:rPr>
        <w:t>600單位，書寫性痙攣及口</w:t>
      </w:r>
      <w:proofErr w:type="gramStart"/>
      <w:r>
        <w:rPr>
          <w:rFonts w:ascii="標楷體" w:eastAsia="標楷體" w:hAnsi="標楷體"/>
          <w:color w:val="000000"/>
        </w:rPr>
        <w:t>顎部肌張力</w:t>
      </w:r>
      <w:proofErr w:type="gramEnd"/>
      <w:r>
        <w:rPr>
          <w:rFonts w:ascii="標楷體" w:eastAsia="標楷體" w:hAnsi="標楷體"/>
          <w:color w:val="000000"/>
        </w:rPr>
        <w:t>不全為280單位，且每年最多注射3次為原則。</w:t>
      </w:r>
    </w:p>
    <w:p w14:paraId="4EF164F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(4)全身性肌張力不全症不在給付範圍。</w:t>
      </w:r>
    </w:p>
    <w:p w14:paraId="1DBC112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3.使用於腦性麻痺病患</w:t>
      </w:r>
    </w:p>
    <w:p w14:paraId="52EAFDC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(1)限滿2歲以上，經區域以上（含）教學醫院復健科、神經內科或小兒神經科專科醫師診斷為</w:t>
      </w:r>
      <w:proofErr w:type="gramStart"/>
      <w:r>
        <w:rPr>
          <w:rFonts w:ascii="標楷體" w:eastAsia="標楷體" w:hAnsi="標楷體"/>
          <w:color w:val="000000"/>
        </w:rPr>
        <w:t>痙攣型腦性</w:t>
      </w:r>
      <w:proofErr w:type="gramEnd"/>
      <w:r>
        <w:rPr>
          <w:rFonts w:ascii="標楷體" w:eastAsia="標楷體" w:hAnsi="標楷體"/>
          <w:color w:val="000000"/>
        </w:rPr>
        <w:t>麻痺之病患使用。</w:t>
      </w:r>
    </w:p>
    <w:p w14:paraId="1C178C3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lastRenderedPageBreak/>
        <w:t>(2)其肢體之痙攣影響主動功能（如行走或手部動作），該肢體之痙攣程度以Modified Ashworth Scale評估為2或3級，且經藥物、復</w:t>
      </w:r>
      <w:proofErr w:type="gramStart"/>
      <w:r>
        <w:rPr>
          <w:rFonts w:ascii="標楷體" w:eastAsia="標楷體" w:hAnsi="標楷體"/>
          <w:color w:val="000000"/>
        </w:rPr>
        <w:t>健或輔具</w:t>
      </w:r>
      <w:proofErr w:type="gramEnd"/>
      <w:r>
        <w:rPr>
          <w:rFonts w:ascii="標楷體" w:eastAsia="標楷體" w:hAnsi="標楷體"/>
          <w:color w:val="000000"/>
        </w:rPr>
        <w:t>治療至少6個月以上無效者。</w:t>
      </w:r>
    </w:p>
    <w:p w14:paraId="4E6C2082"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(3)無固定不可逆之關節攣縮。</w:t>
      </w:r>
    </w:p>
    <w:p w14:paraId="2527E9F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(4)每次注射最高劑量每公斤體重30單位（總劑量不超過900單位），下肢每塊肌肉每公斤體重使用9~18單位，上肢每塊肌肉每公斤體重使用3~6單位，且每年最多注射3次。（94/6/1）</w:t>
      </w:r>
    </w:p>
    <w:p w14:paraId="0747F1FE"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(5)經外科手術治療之同肌肉部位不得再行注射。</w:t>
      </w:r>
    </w:p>
    <w:p w14:paraId="6E1B4C6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(6)使用於12~17歲病患，需經事前審查一次，並附有復健科、小兒神經科或神經科專科醫師近期之診察紀錄；使用於18歲(含)以上病患，需再經事前審查一次。(107/2/1、109/2/1)</w:t>
      </w:r>
    </w:p>
    <w:p w14:paraId="284EEEED" w14:textId="77777777" w:rsidR="00401786" w:rsidRDefault="00C64FB3" w:rsidP="005E56FF">
      <w:pPr>
        <w:spacing w:line="300" w:lineRule="exact"/>
        <w:ind w:left="811" w:hanging="245"/>
      </w:pPr>
      <w:r>
        <w:rPr>
          <w:rFonts w:ascii="標楷體" w:eastAsia="標楷體" w:hAnsi="標楷體"/>
          <w:color w:val="000000"/>
        </w:rPr>
        <w:t>4.使用於成人中風後之手臂或下肢痙攣：（93/1/1、94/6/1、98/3/1、100/8/1、109/2/1</w:t>
      </w:r>
      <w:r>
        <w:rPr>
          <w:rFonts w:ascii="新細明體" w:hAnsi="新細明體"/>
          <w:color w:val="000000"/>
        </w:rPr>
        <w:t>、</w:t>
      </w:r>
      <w:r>
        <w:rPr>
          <w:rFonts w:ascii="標楷體" w:eastAsia="標楷體" w:hAnsi="標楷體"/>
          <w:color w:val="000000"/>
        </w:rPr>
        <w:t>109/12/1、112/11/1）</w:t>
      </w:r>
    </w:p>
    <w:p w14:paraId="7730B5F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(1)限18歲以上，中風發生後，經復健、輔具或藥物治療上肢至少3個月以上，下肢至少3個月以上痙攣，影響其日常活動(如飲食、衛生、穿衣等)者，痙攣程度符合Modified Ashworth Scale評估2或3級，且關節活動度（R1/R2）顯示顯著痙攣，並排除臥床、肢體攣縮或關節固定不可逆攣縮者。(94/6/1、98/3/1、109/2/1、112/11/1)</w:t>
      </w:r>
    </w:p>
    <w:p w14:paraId="22C1A398"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(2)限地區醫院以上（含）神經內外科或復健科專科醫師診斷及注射。(94/6/1、100/8/1、109/2/1)</w:t>
      </w:r>
    </w:p>
    <w:p w14:paraId="79ADB03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(3)每次注射Dysport最高劑量上肢限1000單位，下肢限1500單位，且每年最多3次，需列出每條肌肉要注射的劑量。(94/6/1、109/2/1)</w:t>
      </w:r>
    </w:p>
    <w:p w14:paraId="174D4DE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(4)需經事前審查核准後使用，申請時需檢附病歷資料、治療計畫及照片或影片(109/2/1)。</w:t>
      </w:r>
    </w:p>
    <w:p w14:paraId="0BB335F9"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(5)再次申請時需提出使用效果評估結果(如附表三十五)、病歷、治療紀錄及治療計畫以供參考，並檢附前次及本次病人之照片或影片，如病人已呈現「意識不清合併臥床」、「</w:t>
      </w:r>
      <w:proofErr w:type="gramStart"/>
      <w:r>
        <w:rPr>
          <w:rFonts w:ascii="標楷體" w:eastAsia="標楷體" w:hAnsi="標楷體"/>
          <w:color w:val="000000"/>
        </w:rPr>
        <w:t>手部或下肢</w:t>
      </w:r>
      <w:proofErr w:type="gramEnd"/>
      <w:r>
        <w:rPr>
          <w:rFonts w:ascii="標楷體" w:eastAsia="標楷體" w:hAnsi="標楷體"/>
          <w:color w:val="000000"/>
        </w:rPr>
        <w:t>肌肉攣縮或關節固定不可逆者</w:t>
      </w:r>
      <w:proofErr w:type="gramStart"/>
      <w:r>
        <w:rPr>
          <w:rFonts w:ascii="標楷體" w:eastAsia="標楷體" w:hAnsi="標楷體"/>
          <w:color w:val="000000"/>
        </w:rPr>
        <w:t>（</w:t>
      </w:r>
      <w:proofErr w:type="gramEnd"/>
      <w:r>
        <w:rPr>
          <w:rFonts w:ascii="標楷體" w:eastAsia="標楷體" w:hAnsi="標楷體"/>
          <w:color w:val="000000"/>
        </w:rPr>
        <w:t>Modified Ashworth Scale 4分)」，該明顯不可逆攣縮肌肉與固定關節部位得不予給付。(109/12/1)。</w:t>
      </w:r>
    </w:p>
    <w:p w14:paraId="752A3FC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(6)如因再次中風而導致臥床、</w:t>
      </w:r>
      <w:proofErr w:type="gramStart"/>
      <w:r>
        <w:rPr>
          <w:rFonts w:ascii="標楷體" w:eastAsia="標楷體" w:hAnsi="標楷體"/>
          <w:color w:val="000000"/>
        </w:rPr>
        <w:t>手部或下肢</w:t>
      </w:r>
      <w:proofErr w:type="gramEnd"/>
      <w:r>
        <w:rPr>
          <w:rFonts w:ascii="標楷體" w:eastAsia="標楷體" w:hAnsi="標楷體"/>
          <w:color w:val="000000"/>
        </w:rPr>
        <w:t>肌肉攣縮或關節固定不可逆攣縮者，則應停用。(98/3/1、109/2/1)</w:t>
      </w:r>
    </w:p>
    <w:p w14:paraId="70DCFF6B"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◎前開注射劑量單位僅適用於 Dysport 劑量計算。</w:t>
      </w:r>
    </w:p>
    <w:p w14:paraId="693F9525"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◎Spasm Intensity Scale：</w:t>
      </w:r>
    </w:p>
    <w:p w14:paraId="47498E39"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0</w:t>
      </w:r>
      <w:r>
        <w:rPr>
          <w:rFonts w:ascii="標楷體" w:eastAsia="標楷體" w:hAnsi="標楷體"/>
          <w:color w:val="000000"/>
        </w:rPr>
        <w:tab/>
        <w:t xml:space="preserve"> 正常眨眼次數。</w:t>
      </w:r>
    </w:p>
    <w:p w14:paraId="6BE1FC1E"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 xml:space="preserve"> 眨眼次數因對外界刺激（如光、風等）而增加。</w:t>
      </w:r>
    </w:p>
    <w:p w14:paraId="5791FBD0"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 xml:space="preserve"> 輕微但明顯之眼瞼震顫（無痙攣），且未引起生活不便。</w:t>
      </w:r>
    </w:p>
    <w:p w14:paraId="16765094"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 xml:space="preserve"> 中度，且極明顯之眼瞼痙攣，且引起生活不便。</w:t>
      </w:r>
    </w:p>
    <w:p w14:paraId="53FDF476"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 xml:space="preserve"> 嚴重影響生活（無法閱讀、駕駛等）。</w:t>
      </w:r>
    </w:p>
    <w:p w14:paraId="509843A2"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 Modified Ashworth Scale：</w:t>
      </w:r>
    </w:p>
    <w:p w14:paraId="7C6785D9"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0</w:t>
      </w:r>
      <w:r>
        <w:rPr>
          <w:rFonts w:ascii="標楷體" w:eastAsia="標楷體" w:hAnsi="標楷體"/>
          <w:color w:val="000000"/>
        </w:rPr>
        <w:tab/>
        <w:t xml:space="preserve"> </w:t>
      </w:r>
      <w:proofErr w:type="gramStart"/>
      <w:r>
        <w:rPr>
          <w:rFonts w:ascii="標楷體" w:eastAsia="標楷體" w:hAnsi="標楷體"/>
          <w:color w:val="000000"/>
        </w:rPr>
        <w:t>無肌張力</w:t>
      </w:r>
      <w:proofErr w:type="gramEnd"/>
      <w:r>
        <w:rPr>
          <w:rFonts w:ascii="標楷體" w:eastAsia="標楷體" w:hAnsi="標楷體"/>
          <w:color w:val="000000"/>
        </w:rPr>
        <w:t>增加。</w:t>
      </w:r>
    </w:p>
    <w:p w14:paraId="2A86DA88"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 xml:space="preserve"> 肌肉張力輕微增加，表現在關節活動範圍之末端。</w:t>
      </w:r>
    </w:p>
    <w:p w14:paraId="127A6143"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1+  肌張力輕微增加，表現在關節活動一半範圍之內。</w:t>
      </w:r>
    </w:p>
    <w:p w14:paraId="7BF1F03F"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 xml:space="preserve"> 肌肉張力明顯增加，表現在整個關節活動範圍內。</w:t>
      </w:r>
    </w:p>
    <w:p w14:paraId="0B9AA7D6"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 xml:space="preserve"> 肌張力更明顯增加，關節活動出現困難。</w:t>
      </w:r>
    </w:p>
    <w:p w14:paraId="4725757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4</w:t>
      </w:r>
      <w:r>
        <w:rPr>
          <w:rFonts w:ascii="標楷體" w:eastAsia="標楷體" w:hAnsi="標楷體"/>
          <w:color w:val="000000"/>
        </w:rPr>
        <w:tab/>
        <w:t xml:space="preserve">   肌張力極高，無關節活動可言。</w:t>
      </w:r>
    </w:p>
    <w:p w14:paraId="03181CF8" w14:textId="77777777" w:rsidR="00401786" w:rsidRDefault="00C64FB3" w:rsidP="005E56FF">
      <w:pPr>
        <w:spacing w:line="300" w:lineRule="exact"/>
        <w:ind w:left="811" w:hanging="245"/>
      </w:pPr>
      <w:r>
        <w:rPr>
          <w:rFonts w:ascii="標楷體" w:eastAsia="標楷體" w:hAnsi="標楷體"/>
        </w:rPr>
        <w:t>◎附表三十五：成人中風後之手臂或下肢痙攣肉毒桿菌素再次申請治療效果評估表。(109/12/1</w:t>
      </w:r>
      <w:r>
        <w:rPr>
          <w:rFonts w:ascii="標楷體" w:eastAsia="標楷體" w:hAnsi="標楷體"/>
          <w:color w:val="000000"/>
        </w:rPr>
        <w:t>、112/11/1</w:t>
      </w:r>
      <w:r>
        <w:rPr>
          <w:rFonts w:ascii="標楷體" w:eastAsia="標楷體" w:hAnsi="標楷體"/>
        </w:rPr>
        <w:t>)</w:t>
      </w:r>
    </w:p>
    <w:p w14:paraId="4F1BF530"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1.6.3.Tolterodine L-tartrate  (如</w:t>
      </w:r>
      <w:proofErr w:type="spellStart"/>
      <w:r>
        <w:rPr>
          <w:rFonts w:ascii="標楷體" w:eastAsia="標楷體" w:hAnsi="標楷體"/>
          <w:color w:val="000000"/>
        </w:rPr>
        <w:t>Detrusitol</w:t>
      </w:r>
      <w:proofErr w:type="spellEnd"/>
      <w:r>
        <w:rPr>
          <w:rFonts w:ascii="標楷體" w:eastAsia="標楷體" w:hAnsi="標楷體"/>
          <w:color w:val="000000"/>
        </w:rPr>
        <w:t xml:space="preserve">) ; </w:t>
      </w:r>
      <w:proofErr w:type="spellStart"/>
      <w:r>
        <w:rPr>
          <w:rFonts w:ascii="標楷體" w:eastAsia="標楷體" w:hAnsi="標楷體"/>
          <w:color w:val="000000"/>
        </w:rPr>
        <w:t>solifenacin</w:t>
      </w:r>
      <w:proofErr w:type="spellEnd"/>
      <w:r>
        <w:rPr>
          <w:rFonts w:ascii="標楷體" w:eastAsia="標楷體" w:hAnsi="標楷體"/>
          <w:color w:val="000000"/>
        </w:rPr>
        <w:t xml:space="preserve"> succinate  (如Vesicare)；mirabegron (如</w:t>
      </w:r>
      <w:proofErr w:type="spellStart"/>
      <w:r>
        <w:rPr>
          <w:rFonts w:ascii="標楷體" w:eastAsia="標楷體" w:hAnsi="標楷體"/>
          <w:color w:val="000000"/>
        </w:rPr>
        <w:t>Betmiga</w:t>
      </w:r>
      <w:proofErr w:type="spellEnd"/>
      <w:r>
        <w:rPr>
          <w:rFonts w:ascii="標楷體" w:eastAsia="標楷體" w:hAnsi="標楷體"/>
          <w:color w:val="000000"/>
        </w:rPr>
        <w:t>):(90/7/1、93/10/1、96/4/1、104/2/1)</w:t>
      </w:r>
    </w:p>
    <w:p w14:paraId="7E9A1AE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lastRenderedPageBreak/>
        <w:t>1.限符合下列診斷標準條件之</w:t>
      </w:r>
      <w:proofErr w:type="gramStart"/>
      <w:r>
        <w:rPr>
          <w:rFonts w:ascii="標楷體" w:eastAsia="標楷體" w:hAnsi="標楷體"/>
          <w:color w:val="000000"/>
        </w:rPr>
        <w:t>一</w:t>
      </w:r>
      <w:proofErr w:type="gramEnd"/>
      <w:r>
        <w:rPr>
          <w:rFonts w:ascii="標楷體" w:eastAsia="標楷體" w:hAnsi="標楷體"/>
          <w:color w:val="000000"/>
        </w:rPr>
        <w:t>者：</w:t>
      </w:r>
    </w:p>
    <w:p w14:paraId="79066F3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(1)頻尿：每天（24小時）排尿次數超過八次，並有詳實病歷紀錄。</w:t>
      </w:r>
    </w:p>
    <w:p w14:paraId="06E6BC9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急尿</w:t>
      </w:r>
      <w:proofErr w:type="gramEnd"/>
      <w:r>
        <w:rPr>
          <w:rFonts w:ascii="標楷體" w:eastAsia="標楷體" w:hAnsi="標楷體"/>
          <w:color w:val="000000"/>
        </w:rPr>
        <w:t>：病患自述經常有一種很突然、很強烈</w:t>
      </w:r>
      <w:proofErr w:type="gramStart"/>
      <w:r>
        <w:rPr>
          <w:rFonts w:ascii="標楷體" w:eastAsia="標楷體" w:hAnsi="標楷體"/>
          <w:color w:val="000000"/>
        </w:rPr>
        <w:t>想解尿的</w:t>
      </w:r>
      <w:proofErr w:type="gramEnd"/>
      <w:r>
        <w:rPr>
          <w:rFonts w:ascii="標楷體" w:eastAsia="標楷體" w:hAnsi="標楷體"/>
          <w:color w:val="000000"/>
        </w:rPr>
        <w:t>感覺。</w:t>
      </w:r>
    </w:p>
    <w:p w14:paraId="5CDE0509"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(3)急迫性尿失禁：對於尿急的感覺無法控制，並於24小時內至少也有一次漏尿之情形。</w:t>
      </w:r>
    </w:p>
    <w:p w14:paraId="4C7400B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2.不宜</w:t>
      </w:r>
      <w:proofErr w:type="gramStart"/>
      <w:r>
        <w:rPr>
          <w:rFonts w:ascii="標楷體" w:eastAsia="標楷體" w:hAnsi="標楷體"/>
          <w:color w:val="000000"/>
        </w:rPr>
        <w:t>使用本類藥品</w:t>
      </w:r>
      <w:proofErr w:type="gramEnd"/>
      <w:r>
        <w:rPr>
          <w:rFonts w:ascii="標楷體" w:eastAsia="標楷體" w:hAnsi="標楷體"/>
          <w:color w:val="000000"/>
        </w:rPr>
        <w:t>者：</w:t>
      </w:r>
    </w:p>
    <w:p w14:paraId="194D1DA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(1)小兒夜尿。</w:t>
      </w:r>
    </w:p>
    <w:p w14:paraId="3E77D5C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(2)單純性應力性尿失禁。</w:t>
      </w:r>
    </w:p>
    <w:p w14:paraId="1651170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(3)膀胱</w:t>
      </w:r>
      <w:proofErr w:type="gramStart"/>
      <w:r>
        <w:rPr>
          <w:rFonts w:ascii="標楷體" w:eastAsia="標楷體" w:hAnsi="標楷體"/>
          <w:color w:val="000000"/>
        </w:rPr>
        <w:t>逼尿肌無</w:t>
      </w:r>
      <w:proofErr w:type="gramEnd"/>
      <w:r>
        <w:rPr>
          <w:rFonts w:ascii="標楷體" w:eastAsia="標楷體" w:hAnsi="標楷體"/>
          <w:color w:val="000000"/>
        </w:rPr>
        <w:t>反射（detrusor areflexia）或膀胱不收縮所引起之排尿</w:t>
      </w:r>
      <w:proofErr w:type="gramStart"/>
      <w:r>
        <w:rPr>
          <w:rFonts w:ascii="標楷體" w:eastAsia="標楷體" w:hAnsi="標楷體"/>
          <w:color w:val="000000"/>
        </w:rPr>
        <w:t>困難或尿失禁</w:t>
      </w:r>
      <w:proofErr w:type="gramEnd"/>
      <w:r>
        <w:rPr>
          <w:rFonts w:ascii="標楷體" w:eastAsia="標楷體" w:hAnsi="標楷體"/>
          <w:color w:val="000000"/>
        </w:rPr>
        <w:t>之症狀。</w:t>
      </w:r>
    </w:p>
    <w:p w14:paraId="3FED11F4"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3.Solifenacin succinate（如Vesicare）及mirabegron (如</w:t>
      </w:r>
      <w:proofErr w:type="spellStart"/>
      <w:r>
        <w:rPr>
          <w:rFonts w:ascii="標楷體" w:eastAsia="標楷體" w:hAnsi="標楷體"/>
          <w:color w:val="000000"/>
        </w:rPr>
        <w:t>Betmiga</w:t>
      </w:r>
      <w:proofErr w:type="spellEnd"/>
      <w:r>
        <w:rPr>
          <w:rFonts w:ascii="標楷體" w:eastAsia="標楷體" w:hAnsi="標楷體"/>
          <w:color w:val="000000"/>
        </w:rPr>
        <w:t>)藥品每天限使用1錠。(104/2/1)</w:t>
      </w:r>
    </w:p>
    <w:p w14:paraId="6A2C27D2" w14:textId="77777777" w:rsidR="00B42B19" w:rsidRPr="00E7087A" w:rsidRDefault="00B42B19" w:rsidP="005E56FF">
      <w:pPr>
        <w:spacing w:line="300" w:lineRule="exact"/>
        <w:rPr>
          <w:rFonts w:ascii="標楷體" w:eastAsia="標楷體" w:hAnsi="標楷體"/>
        </w:rPr>
      </w:pPr>
      <w:r w:rsidRPr="00E7087A">
        <w:rPr>
          <w:rFonts w:ascii="標楷體" w:eastAsia="標楷體" w:hAnsi="標楷體" w:hint="eastAsia"/>
        </w:rPr>
        <w:t xml:space="preserve">1.6.4. </w:t>
      </w:r>
      <w:proofErr w:type="spellStart"/>
      <w:r w:rsidRPr="00E7087A">
        <w:rPr>
          <w:rFonts w:ascii="標楷體" w:eastAsia="標楷體" w:hAnsi="標楷體" w:hint="eastAsia"/>
        </w:rPr>
        <w:t>Nusinersen</w:t>
      </w:r>
      <w:proofErr w:type="spellEnd"/>
      <w:r w:rsidRPr="00E7087A">
        <w:rPr>
          <w:rFonts w:ascii="標楷體" w:eastAsia="標楷體" w:hAnsi="標楷體" w:hint="eastAsia"/>
        </w:rPr>
        <w:t xml:space="preserve">(如 </w:t>
      </w:r>
      <w:proofErr w:type="spellStart"/>
      <w:r w:rsidRPr="00E7087A">
        <w:rPr>
          <w:rFonts w:ascii="標楷體" w:eastAsia="標楷體" w:hAnsi="標楷體" w:hint="eastAsia"/>
        </w:rPr>
        <w:t>Spinraza</w:t>
      </w:r>
      <w:proofErr w:type="spellEnd"/>
      <w:r w:rsidRPr="00E7087A">
        <w:rPr>
          <w:rFonts w:ascii="標楷體" w:eastAsia="標楷體" w:hAnsi="標楷體" w:hint="eastAsia"/>
        </w:rPr>
        <w:t>)、</w:t>
      </w:r>
      <w:proofErr w:type="spellStart"/>
      <w:r w:rsidRPr="00E7087A">
        <w:rPr>
          <w:rFonts w:ascii="標楷體" w:eastAsia="標楷體" w:hAnsi="標楷體" w:hint="eastAsia"/>
        </w:rPr>
        <w:t>risdiplam</w:t>
      </w:r>
      <w:proofErr w:type="spellEnd"/>
      <w:r w:rsidRPr="00E7087A">
        <w:rPr>
          <w:rFonts w:ascii="標楷體" w:eastAsia="標楷體" w:hAnsi="標楷體" w:hint="eastAsia"/>
        </w:rPr>
        <w:t>（如</w:t>
      </w:r>
      <w:proofErr w:type="spellStart"/>
      <w:r w:rsidRPr="00E7087A">
        <w:rPr>
          <w:rFonts w:ascii="標楷體" w:eastAsia="標楷體" w:hAnsi="標楷體" w:hint="eastAsia"/>
        </w:rPr>
        <w:t>Evrysdi</w:t>
      </w:r>
      <w:proofErr w:type="spellEnd"/>
      <w:r w:rsidRPr="00E7087A">
        <w:rPr>
          <w:rFonts w:ascii="標楷體" w:eastAsia="標楷體" w:hAnsi="標楷體" w:hint="eastAsia"/>
        </w:rPr>
        <w:t>）：（109/7/1、109/10/1、112/4/1、112/6/1、112/8/1、113/8/1、115/6/1）</w:t>
      </w:r>
    </w:p>
    <w:p w14:paraId="3B0081ED" w14:textId="77777777" w:rsidR="00B42B19" w:rsidRPr="00E7087A" w:rsidRDefault="00B42B19" w:rsidP="005E56FF">
      <w:pPr>
        <w:spacing w:line="300" w:lineRule="exact"/>
        <w:ind w:leftChars="136" w:left="566" w:hangingChars="100" w:hanging="240"/>
        <w:jc w:val="both"/>
        <w:rPr>
          <w:rFonts w:ascii="標楷體" w:eastAsia="標楷體" w:hAnsi="標楷體"/>
        </w:rPr>
      </w:pPr>
      <w:r w:rsidRPr="00E7087A">
        <w:rPr>
          <w:rFonts w:ascii="標楷體" w:eastAsia="標楷體" w:hAnsi="標楷體" w:hint="eastAsia"/>
        </w:rPr>
        <w:t>1.</w:t>
      </w:r>
      <w:proofErr w:type="gramStart"/>
      <w:r w:rsidRPr="00E7087A">
        <w:rPr>
          <w:rFonts w:ascii="標楷體" w:eastAsia="標楷體" w:hAnsi="標楷體" w:hint="eastAsia"/>
        </w:rPr>
        <w:t>限用經標準</w:t>
      </w:r>
      <w:proofErr w:type="gramEnd"/>
      <w:r w:rsidRPr="00E7087A">
        <w:rPr>
          <w:rFonts w:ascii="標楷體" w:eastAsia="標楷體" w:hAnsi="標楷體" w:hint="eastAsia"/>
        </w:rPr>
        <w:t>檢測方法 MLPA(Multiplex Ligation Dependent Probe Amplification) 或 NGS 檢測SMN1 基因變異之個案，且經衛生福利部國民</w:t>
      </w:r>
      <w:proofErr w:type="gramStart"/>
      <w:r w:rsidRPr="00E7087A">
        <w:rPr>
          <w:rFonts w:ascii="標楷體" w:eastAsia="標楷體" w:hAnsi="標楷體" w:hint="eastAsia"/>
        </w:rPr>
        <w:t>健康署</w:t>
      </w:r>
      <w:proofErr w:type="gramEnd"/>
      <w:r w:rsidRPr="00E7087A">
        <w:rPr>
          <w:rFonts w:ascii="標楷體" w:eastAsia="標楷體" w:hAnsi="標楷體" w:hint="eastAsia"/>
        </w:rPr>
        <w:t xml:space="preserve">認定之脊髓性肌肉萎縮症(Spinal muscular </w:t>
      </w:r>
      <w:proofErr w:type="spellStart"/>
      <w:r w:rsidRPr="00E7087A">
        <w:rPr>
          <w:rFonts w:ascii="標楷體" w:eastAsia="標楷體" w:hAnsi="標楷體" w:hint="eastAsia"/>
        </w:rPr>
        <w:t>atrophy,SMA</w:t>
      </w:r>
      <w:proofErr w:type="spellEnd"/>
      <w:r w:rsidRPr="00E7087A">
        <w:rPr>
          <w:rFonts w:ascii="標楷體" w:eastAsia="標楷體" w:hAnsi="標楷體" w:hint="eastAsia"/>
        </w:rPr>
        <w:t>)病人，並具以下(1)、(2)任何一個條件：(109/7/1、112/4/1、112/6/1、112/8/1、113/8/1、115/6/1)</w:t>
      </w:r>
    </w:p>
    <w:p w14:paraId="1D852463" w14:textId="4DC69C9B" w:rsidR="00B42B19" w:rsidRPr="00E7087A" w:rsidRDefault="00B42B19" w:rsidP="005E56FF">
      <w:pPr>
        <w:spacing w:line="300" w:lineRule="exact"/>
        <w:ind w:left="993" w:hanging="425"/>
        <w:jc w:val="both"/>
        <w:rPr>
          <w:rFonts w:ascii="標楷體" w:eastAsia="標楷體" w:hAnsi="標楷體"/>
        </w:rPr>
      </w:pPr>
      <w:r w:rsidRPr="00E7087A">
        <w:rPr>
          <w:rFonts w:ascii="標楷體" w:eastAsia="標楷體" w:hAnsi="標楷體" w:hint="eastAsia"/>
        </w:rPr>
        <w:t>(1)經新生兒篩檢確診之病人。(109/10/1、112/4/1、113/8/1、115/6/1</w:t>
      </w:r>
      <w:proofErr w:type="gramStart"/>
      <w:r w:rsidRPr="00E7087A">
        <w:rPr>
          <w:rFonts w:ascii="標楷體" w:eastAsia="標楷體" w:hAnsi="標楷體" w:hint="eastAsia"/>
        </w:rPr>
        <w:t>）</w:t>
      </w:r>
      <w:proofErr w:type="gramEnd"/>
    </w:p>
    <w:p w14:paraId="17D1A1CA" w14:textId="77777777" w:rsidR="00B42B19" w:rsidRDefault="00B42B19" w:rsidP="005E56FF">
      <w:pPr>
        <w:spacing w:line="300" w:lineRule="exact"/>
        <w:ind w:left="993" w:hanging="425"/>
        <w:jc w:val="both"/>
        <w:rPr>
          <w:rFonts w:ascii="標楷體" w:eastAsia="標楷體" w:hAnsi="標楷體"/>
        </w:rPr>
      </w:pPr>
      <w:r w:rsidRPr="00E7087A">
        <w:rPr>
          <w:rFonts w:ascii="標楷體" w:eastAsia="標楷體" w:hAnsi="標楷體" w:hint="eastAsia"/>
        </w:rPr>
        <w:t>(2)18歲以下發病確診之病人。(113/8/1)</w:t>
      </w:r>
    </w:p>
    <w:p w14:paraId="60388238"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2.需檢附</w:t>
      </w:r>
      <w:r w:rsidRPr="00AB0360">
        <w:rPr>
          <w:rFonts w:ascii="標楷體" w:eastAsia="標楷體" w:hAnsi="標楷體"/>
        </w:rPr>
        <w:t>下列</w:t>
      </w:r>
      <w:r>
        <w:rPr>
          <w:rFonts w:ascii="標楷體" w:eastAsia="標楷體" w:hAnsi="標楷體"/>
          <w:color w:val="000000"/>
        </w:rPr>
        <w:t>資料，經二位以上專家之專家小組特殊專案審查核准後使用，每年檢附療效評估資料重新申請。</w:t>
      </w:r>
    </w:p>
    <w:p w14:paraId="72E89541"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(1)符合衛生福利部國民</w:t>
      </w:r>
      <w:proofErr w:type="gramStart"/>
      <w:r>
        <w:rPr>
          <w:rFonts w:ascii="標楷體" w:eastAsia="標楷體" w:hAnsi="標楷體"/>
          <w:color w:val="000000"/>
        </w:rPr>
        <w:t>健康署</w:t>
      </w:r>
      <w:proofErr w:type="gramEnd"/>
      <w:r>
        <w:rPr>
          <w:rFonts w:ascii="標楷體" w:eastAsia="標楷體" w:hAnsi="標楷體"/>
          <w:color w:val="000000"/>
        </w:rPr>
        <w:t>SMA罕見疾病個案通報審查標準之臨床症狀錄影之影片</w:t>
      </w:r>
      <w:proofErr w:type="gramStart"/>
      <w:r>
        <w:rPr>
          <w:rFonts w:ascii="標楷體" w:eastAsia="標楷體" w:hAnsi="標楷體"/>
          <w:color w:val="000000"/>
        </w:rPr>
        <w:t>（</w:t>
      </w:r>
      <w:proofErr w:type="gramEnd"/>
      <w:r>
        <w:rPr>
          <w:rFonts w:ascii="標楷體" w:eastAsia="標楷體" w:hAnsi="標楷體"/>
          <w:color w:val="000000"/>
        </w:rPr>
        <w:t>內容必須包含：a.全身</w:t>
      </w:r>
      <w:proofErr w:type="gramStart"/>
      <w:r>
        <w:rPr>
          <w:rFonts w:ascii="標楷體" w:eastAsia="標楷體" w:hAnsi="標楷體"/>
          <w:color w:val="000000"/>
        </w:rPr>
        <w:t>肌</w:t>
      </w:r>
      <w:proofErr w:type="gramEnd"/>
      <w:r>
        <w:rPr>
          <w:rFonts w:ascii="標楷體" w:eastAsia="標楷體" w:hAnsi="標楷體"/>
          <w:color w:val="000000"/>
        </w:rPr>
        <w:t>張力低下，b.全身四肢無力，</w:t>
      </w:r>
      <w:proofErr w:type="gramStart"/>
      <w:r>
        <w:rPr>
          <w:rFonts w:ascii="標楷體" w:eastAsia="標楷體" w:hAnsi="標楷體"/>
          <w:color w:val="000000"/>
        </w:rPr>
        <w:t>近端比遠端</w:t>
      </w:r>
      <w:proofErr w:type="gramEnd"/>
      <w:r>
        <w:rPr>
          <w:rFonts w:ascii="標楷體" w:eastAsia="標楷體" w:hAnsi="標楷體"/>
          <w:color w:val="000000"/>
        </w:rPr>
        <w:t>嚴重且下肢比上肢嚴重，c.深部肌腱反射，如：</w:t>
      </w:r>
      <w:proofErr w:type="gramStart"/>
      <w:r>
        <w:rPr>
          <w:rFonts w:ascii="標楷體" w:eastAsia="標楷體" w:hAnsi="標楷體"/>
          <w:color w:val="000000"/>
        </w:rPr>
        <w:t>膝</w:t>
      </w:r>
      <w:proofErr w:type="gramEnd"/>
      <w:r>
        <w:rPr>
          <w:rFonts w:ascii="標楷體" w:eastAsia="標楷體" w:hAnsi="標楷體"/>
          <w:color w:val="000000"/>
        </w:rPr>
        <w:t>反射、踝反射、二頭</w:t>
      </w:r>
      <w:proofErr w:type="gramStart"/>
      <w:r>
        <w:rPr>
          <w:rFonts w:ascii="標楷體" w:eastAsia="標楷體" w:hAnsi="標楷體"/>
          <w:color w:val="000000"/>
        </w:rPr>
        <w:t>肌</w:t>
      </w:r>
      <w:proofErr w:type="gramEnd"/>
      <w:r>
        <w:rPr>
          <w:rFonts w:ascii="標楷體" w:eastAsia="標楷體" w:hAnsi="標楷體"/>
          <w:color w:val="000000"/>
        </w:rPr>
        <w:t>反射等消失</w:t>
      </w:r>
      <w:proofErr w:type="gramStart"/>
      <w:r>
        <w:rPr>
          <w:rFonts w:ascii="標楷體" w:eastAsia="標楷體" w:hAnsi="標楷體"/>
          <w:color w:val="000000"/>
        </w:rPr>
        <w:t>）</w:t>
      </w:r>
      <w:proofErr w:type="gramEnd"/>
      <w:r>
        <w:rPr>
          <w:rFonts w:ascii="標楷體" w:eastAsia="標楷體" w:hAnsi="標楷體"/>
          <w:color w:val="000000"/>
        </w:rPr>
        <w:t>。</w:t>
      </w:r>
    </w:p>
    <w:p w14:paraId="5FB2C291"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(2)3個（含）以下 SMN2 基因拷貝數之即將發病之個案，</w:t>
      </w:r>
      <w:proofErr w:type="gramStart"/>
      <w:r>
        <w:rPr>
          <w:rFonts w:ascii="標楷體" w:eastAsia="標楷體" w:hAnsi="標楷體"/>
          <w:color w:val="000000"/>
        </w:rPr>
        <w:t>須附經標準</w:t>
      </w:r>
      <w:proofErr w:type="gramEnd"/>
      <w:r>
        <w:rPr>
          <w:rFonts w:ascii="標楷體" w:eastAsia="標楷體" w:hAnsi="標楷體"/>
          <w:color w:val="000000"/>
        </w:rPr>
        <w:t>檢測方法MLPA 或 NGS 基因診斷技術報告。(112/4/1</w:t>
      </w:r>
      <w:proofErr w:type="gramStart"/>
      <w:r>
        <w:rPr>
          <w:rFonts w:ascii="標楷體" w:eastAsia="標楷體" w:hAnsi="標楷體"/>
          <w:color w:val="000000"/>
        </w:rPr>
        <w:t>）</w:t>
      </w:r>
      <w:proofErr w:type="gramEnd"/>
    </w:p>
    <w:p w14:paraId="67DF1A80"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(3)臨床病歷摘要。</w:t>
      </w:r>
    </w:p>
    <w:p w14:paraId="75089AEE"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(4)標準運動功能評估 (CHOP INTEND、HINE section 2、HFMSE、RULM、WHO motor milestone、MFM32、6MWT) 錄影之影片。(112/4/1</w:t>
      </w:r>
      <w:proofErr w:type="gramStart"/>
      <w:r>
        <w:rPr>
          <w:rFonts w:ascii="標楷體" w:eastAsia="標楷體" w:hAnsi="標楷體"/>
          <w:color w:val="000000"/>
        </w:rPr>
        <w:t>）</w:t>
      </w:r>
      <w:proofErr w:type="gramEnd"/>
    </w:p>
    <w:p w14:paraId="662C9505"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3.</w:t>
      </w:r>
      <w:r w:rsidRPr="00AB0360">
        <w:rPr>
          <w:rFonts w:ascii="標楷體" w:eastAsia="標楷體" w:hAnsi="標楷體"/>
        </w:rPr>
        <w:t>排除</w:t>
      </w:r>
      <w:r>
        <w:rPr>
          <w:rFonts w:ascii="標楷體" w:eastAsia="標楷體" w:hAnsi="標楷體"/>
          <w:color w:val="000000"/>
        </w:rPr>
        <w:t>條件：</w:t>
      </w:r>
    </w:p>
    <w:p w14:paraId="575DC4B2" w14:textId="77777777" w:rsidR="00B42B19" w:rsidRDefault="00B42B19" w:rsidP="005E56FF">
      <w:pPr>
        <w:spacing w:line="300" w:lineRule="exact"/>
        <w:ind w:left="567"/>
        <w:rPr>
          <w:rFonts w:ascii="標楷體" w:eastAsia="標楷體" w:hAnsi="標楷體"/>
          <w:color w:val="000000"/>
        </w:rPr>
      </w:pPr>
      <w:r>
        <w:rPr>
          <w:rFonts w:ascii="標楷體" w:eastAsia="標楷體" w:hAnsi="標楷體"/>
          <w:color w:val="000000"/>
        </w:rPr>
        <w:t>SMA病友在非急性住院</w:t>
      </w:r>
      <w:proofErr w:type="gramStart"/>
      <w:r>
        <w:rPr>
          <w:rFonts w:ascii="標楷體" w:eastAsia="標楷體" w:hAnsi="標楷體"/>
          <w:color w:val="000000"/>
        </w:rPr>
        <w:t>期間，</w:t>
      </w:r>
      <w:proofErr w:type="gramEnd"/>
      <w:r>
        <w:rPr>
          <w:rFonts w:ascii="標楷體" w:eastAsia="標楷體" w:hAnsi="標楷體"/>
          <w:color w:val="000000"/>
        </w:rPr>
        <w:t>連續30天（含）以上呼吸器的使用且每天超過12小時。</w:t>
      </w:r>
    </w:p>
    <w:p w14:paraId="434FBF60"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4.療效評估方式及時機：</w:t>
      </w:r>
    </w:p>
    <w:p w14:paraId="656D9021" w14:textId="77777777" w:rsidR="00B42B19" w:rsidRDefault="00B42B19" w:rsidP="005E56FF">
      <w:pPr>
        <w:spacing w:line="300" w:lineRule="exact"/>
        <w:ind w:left="1276" w:hanging="709"/>
        <w:rPr>
          <w:rFonts w:ascii="標楷體" w:eastAsia="標楷體" w:hAnsi="標楷體"/>
          <w:color w:val="000000"/>
        </w:rPr>
      </w:pPr>
      <w:r>
        <w:rPr>
          <w:rFonts w:ascii="標楷體" w:eastAsia="標楷體" w:hAnsi="標楷體"/>
          <w:color w:val="000000"/>
        </w:rPr>
        <w:t>(1)標準運動功能評估時機：</w:t>
      </w:r>
    </w:p>
    <w:p w14:paraId="373F1C0E"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I.Nusinersen</w:t>
      </w:r>
      <w:proofErr w:type="spellEnd"/>
      <w:r>
        <w:rPr>
          <w:rFonts w:ascii="標楷體" w:eastAsia="標楷體" w:hAnsi="標楷體"/>
          <w:color w:val="000000"/>
        </w:rPr>
        <w:t xml:space="preserve">或 </w:t>
      </w:r>
      <w:proofErr w:type="spellStart"/>
      <w:r>
        <w:rPr>
          <w:rFonts w:ascii="標楷體" w:eastAsia="標楷體" w:hAnsi="標楷體"/>
          <w:color w:val="000000"/>
        </w:rPr>
        <w:t>risdiplam</w:t>
      </w:r>
      <w:proofErr w:type="spellEnd"/>
      <w:r>
        <w:rPr>
          <w:rFonts w:ascii="標楷體" w:eastAsia="標楷體" w:hAnsi="標楷體"/>
          <w:color w:val="000000"/>
        </w:rPr>
        <w:t>治療前。(112/4/1</w:t>
      </w:r>
      <w:proofErr w:type="gramStart"/>
      <w:r>
        <w:rPr>
          <w:rFonts w:ascii="標楷體" w:eastAsia="標楷體" w:hAnsi="標楷體"/>
          <w:color w:val="000000"/>
        </w:rPr>
        <w:t>）</w:t>
      </w:r>
      <w:proofErr w:type="gramEnd"/>
    </w:p>
    <w:p w14:paraId="0B24054E" w14:textId="77777777" w:rsidR="00B42B19" w:rsidRDefault="00B42B19" w:rsidP="005E56FF">
      <w:pPr>
        <w:spacing w:line="300" w:lineRule="exact"/>
        <w:ind w:left="1276" w:hanging="386"/>
        <w:rPr>
          <w:rFonts w:ascii="標楷體" w:eastAsia="標楷體" w:hAnsi="標楷體"/>
          <w:color w:val="000000"/>
        </w:rPr>
      </w:pPr>
      <w:r>
        <w:rPr>
          <w:rFonts w:ascii="標楷體" w:eastAsia="標楷體" w:hAnsi="標楷體"/>
          <w:color w:val="000000"/>
        </w:rPr>
        <w:t>II.在4劑 loading doses(0、14、28、63天</w:t>
      </w:r>
      <w:proofErr w:type="gramStart"/>
      <w:r>
        <w:rPr>
          <w:rFonts w:ascii="標楷體" w:eastAsia="標楷體" w:hAnsi="標楷體"/>
          <w:color w:val="000000"/>
        </w:rPr>
        <w:t>）</w:t>
      </w:r>
      <w:proofErr w:type="gramEnd"/>
      <w:r>
        <w:rPr>
          <w:rFonts w:ascii="標楷體" w:eastAsia="標楷體" w:hAnsi="標楷體"/>
          <w:color w:val="000000"/>
        </w:rPr>
        <w:t>後，每4個月給與</w:t>
      </w:r>
      <w:proofErr w:type="spellStart"/>
      <w:r>
        <w:rPr>
          <w:rFonts w:ascii="標楷體" w:eastAsia="標楷體" w:hAnsi="標楷體"/>
          <w:color w:val="000000"/>
        </w:rPr>
        <w:t>nusinersen</w:t>
      </w:r>
      <w:proofErr w:type="spellEnd"/>
      <w:r>
        <w:rPr>
          <w:rFonts w:ascii="標楷體" w:eastAsia="標楷體" w:hAnsi="標楷體"/>
          <w:color w:val="000000"/>
        </w:rPr>
        <w:t xml:space="preserve"> maintain dose 治療前，若使用</w:t>
      </w:r>
      <w:proofErr w:type="spellStart"/>
      <w:r>
        <w:rPr>
          <w:rFonts w:ascii="標楷體" w:eastAsia="標楷體" w:hAnsi="標楷體"/>
          <w:color w:val="000000"/>
        </w:rPr>
        <w:t>risdiplam</w:t>
      </w:r>
      <w:proofErr w:type="spellEnd"/>
      <w:r>
        <w:rPr>
          <w:rFonts w:ascii="標楷體" w:eastAsia="標楷體" w:hAnsi="標楷體"/>
          <w:color w:val="000000"/>
        </w:rPr>
        <w:t>則於開始用藥滿2個月評估一次，之後每4個月評估一次。若於113年8月1日前已依修訂前之給付規定使用</w:t>
      </w:r>
      <w:proofErr w:type="spellStart"/>
      <w:r>
        <w:rPr>
          <w:rFonts w:ascii="標楷體" w:eastAsia="標楷體" w:hAnsi="標楷體"/>
          <w:color w:val="000000"/>
        </w:rPr>
        <w:t>risdiplam</w:t>
      </w:r>
      <w:proofErr w:type="spellEnd"/>
      <w:r>
        <w:rPr>
          <w:rFonts w:ascii="標楷體" w:eastAsia="標楷體" w:hAnsi="標楷體"/>
          <w:color w:val="000000"/>
        </w:rPr>
        <w:t>之病人，於首次重新申請時得滿2個月評估一次，之後每4個月評估一次。(112/4/1、113/8/1</w:t>
      </w:r>
      <w:proofErr w:type="gramStart"/>
      <w:r>
        <w:rPr>
          <w:rFonts w:ascii="標楷體" w:eastAsia="標楷體" w:hAnsi="標楷體"/>
          <w:color w:val="000000"/>
        </w:rPr>
        <w:t>）</w:t>
      </w:r>
      <w:proofErr w:type="gramEnd"/>
      <w:r>
        <w:rPr>
          <w:rFonts w:ascii="標楷體" w:eastAsia="標楷體" w:hAnsi="標楷體"/>
          <w:color w:val="000000"/>
        </w:rPr>
        <w:t>。</w:t>
      </w:r>
    </w:p>
    <w:p w14:paraId="7FEC27FF"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(2)標準運動功能評估：需由提供</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治療之小兒神經專科、神經科醫師選擇下列適合療效評估工具並判定評估結果。須選擇治療前&gt;0分之評估工具（若RULM=0建議使用CHOP INTEND, HFMSE, MFM32）；有獨自行走能力的病人，須做6MWT暨其他兩項運動功能評估。除因不適合該年齡之評估工具外，不能轉換其他評估工具，以利後續評估。(112/4/1、113/8/1</w:t>
      </w:r>
      <w:proofErr w:type="gramStart"/>
      <w:r>
        <w:rPr>
          <w:rFonts w:ascii="標楷體" w:eastAsia="標楷體" w:hAnsi="標楷體"/>
          <w:color w:val="000000"/>
        </w:rPr>
        <w:t>）</w:t>
      </w:r>
      <w:proofErr w:type="gramEnd"/>
    </w:p>
    <w:p w14:paraId="21C7575A"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Ⅰ.CHOP</w:t>
      </w:r>
      <w:proofErr w:type="spellEnd"/>
      <w:r>
        <w:rPr>
          <w:rFonts w:ascii="標楷體" w:eastAsia="標楷體" w:hAnsi="標楷體"/>
          <w:color w:val="000000"/>
        </w:rPr>
        <w:t xml:space="preserve"> INTEND(限用於嬰兒、兒童及RULM為0之第一型、第-二型之病人)(113/8/1</w:t>
      </w:r>
      <w:proofErr w:type="gramStart"/>
      <w:r>
        <w:rPr>
          <w:rFonts w:ascii="標楷體" w:eastAsia="標楷體" w:hAnsi="標楷體"/>
          <w:color w:val="000000"/>
        </w:rPr>
        <w:t>）</w:t>
      </w:r>
      <w:proofErr w:type="gramEnd"/>
    </w:p>
    <w:p w14:paraId="776ED8F4"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Ⅱ.HINE</w:t>
      </w:r>
      <w:proofErr w:type="spellEnd"/>
      <w:r>
        <w:rPr>
          <w:rFonts w:ascii="標楷體" w:eastAsia="標楷體" w:hAnsi="標楷體"/>
          <w:color w:val="000000"/>
        </w:rPr>
        <w:t xml:space="preserve"> section 2(限用於2至24個月大及第一型之病人) (113/8/1</w:t>
      </w:r>
      <w:proofErr w:type="gramStart"/>
      <w:r>
        <w:rPr>
          <w:rFonts w:ascii="標楷體" w:eastAsia="標楷體" w:hAnsi="標楷體"/>
          <w:color w:val="000000"/>
        </w:rPr>
        <w:t>）</w:t>
      </w:r>
      <w:proofErr w:type="gramEnd"/>
    </w:p>
    <w:p w14:paraId="728610DC"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lastRenderedPageBreak/>
        <w:t>Ⅲ.HFMSE</w:t>
      </w:r>
      <w:proofErr w:type="spellEnd"/>
      <w:r>
        <w:rPr>
          <w:rFonts w:ascii="標楷體" w:eastAsia="標楷體" w:hAnsi="標楷體"/>
          <w:color w:val="000000"/>
        </w:rPr>
        <w:t>(限用於2.5歲以上之病人)( 113/8/1</w:t>
      </w:r>
      <w:proofErr w:type="gramStart"/>
      <w:r>
        <w:rPr>
          <w:rFonts w:ascii="標楷體" w:eastAsia="標楷體" w:hAnsi="標楷體"/>
          <w:color w:val="000000"/>
        </w:rPr>
        <w:t>）</w:t>
      </w:r>
      <w:proofErr w:type="gramEnd"/>
    </w:p>
    <w:p w14:paraId="1C41AA75"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Ⅳ.RULM</w:t>
      </w:r>
      <w:proofErr w:type="spellEnd"/>
      <w:r>
        <w:rPr>
          <w:rFonts w:ascii="標楷體" w:eastAsia="標楷體" w:hAnsi="標楷體"/>
          <w:color w:val="000000"/>
        </w:rPr>
        <w:t>(起始治療年紀滿7歲以上病患必選) (112/6/1</w:t>
      </w:r>
      <w:proofErr w:type="gramStart"/>
      <w:r>
        <w:rPr>
          <w:rFonts w:ascii="標楷體" w:eastAsia="標楷體" w:hAnsi="標楷體"/>
          <w:color w:val="000000"/>
        </w:rPr>
        <w:t>）</w:t>
      </w:r>
      <w:proofErr w:type="gramEnd"/>
    </w:p>
    <w:p w14:paraId="1E34F896"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Ⅴ.WHO</w:t>
      </w:r>
      <w:proofErr w:type="spellEnd"/>
      <w:r>
        <w:rPr>
          <w:rFonts w:ascii="標楷體" w:eastAsia="標楷體" w:hAnsi="標楷體"/>
          <w:color w:val="000000"/>
        </w:rPr>
        <w:t xml:space="preserve"> motor milestone(限用於嬰兒、兒童及第一型之病人)(113/8/1</w:t>
      </w:r>
      <w:proofErr w:type="gramStart"/>
      <w:r>
        <w:rPr>
          <w:rFonts w:ascii="標楷體" w:eastAsia="標楷體" w:hAnsi="標楷體"/>
          <w:color w:val="000000"/>
        </w:rPr>
        <w:t>）</w:t>
      </w:r>
      <w:proofErr w:type="gramEnd"/>
    </w:p>
    <w:p w14:paraId="7131612A" w14:textId="77777777" w:rsidR="00B42B19" w:rsidRDefault="00B42B19" w:rsidP="005E56FF">
      <w:pPr>
        <w:spacing w:line="300" w:lineRule="exact"/>
        <w:ind w:left="1276" w:hanging="386"/>
        <w:rPr>
          <w:rFonts w:ascii="標楷體" w:eastAsia="標楷體" w:hAnsi="標楷體"/>
          <w:color w:val="000000"/>
        </w:rPr>
      </w:pPr>
      <w:r>
        <w:rPr>
          <w:rFonts w:ascii="標楷體" w:eastAsia="標楷體" w:hAnsi="標楷體"/>
          <w:color w:val="000000"/>
        </w:rPr>
        <w:t>Ⅵ.MFM32(限用於2.5歲以上之病人)(112/4/1、113/8/1)</w:t>
      </w:r>
    </w:p>
    <w:p w14:paraId="0E697DD3" w14:textId="77777777" w:rsidR="00B42B19" w:rsidRDefault="00B42B19" w:rsidP="005E56FF">
      <w:pPr>
        <w:spacing w:line="300" w:lineRule="exact"/>
        <w:ind w:left="1276" w:hanging="386"/>
        <w:rPr>
          <w:rFonts w:ascii="標楷體" w:eastAsia="標楷體" w:hAnsi="標楷體"/>
          <w:color w:val="000000"/>
        </w:rPr>
      </w:pPr>
      <w:r>
        <w:rPr>
          <w:rFonts w:ascii="標楷體" w:eastAsia="標楷體" w:hAnsi="標楷體"/>
          <w:color w:val="000000"/>
        </w:rPr>
        <w:t>Ⅶ.6MWT(若可行走之病人必選)(112/4/1、113/8/1</w:t>
      </w:r>
      <w:proofErr w:type="gramStart"/>
      <w:r>
        <w:rPr>
          <w:rFonts w:ascii="標楷體" w:eastAsia="標楷體" w:hAnsi="標楷體"/>
          <w:color w:val="000000"/>
        </w:rPr>
        <w:t>）</w:t>
      </w:r>
      <w:proofErr w:type="gramEnd"/>
    </w:p>
    <w:p w14:paraId="000CBAFC"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 xml:space="preserve">(3)醫師提交接受 </w:t>
      </w:r>
      <w:proofErr w:type="spellStart"/>
      <w:r>
        <w:rPr>
          <w:rFonts w:ascii="標楷體" w:eastAsia="標楷體" w:hAnsi="標楷體"/>
          <w:color w:val="000000"/>
        </w:rPr>
        <w:t>nusinersen</w:t>
      </w:r>
      <w:proofErr w:type="spellEnd"/>
      <w:r>
        <w:rPr>
          <w:rFonts w:ascii="標楷體" w:eastAsia="標楷體" w:hAnsi="標楷體"/>
          <w:color w:val="000000"/>
        </w:rPr>
        <w:t xml:space="preserve"> 或 </w:t>
      </w:r>
      <w:proofErr w:type="spellStart"/>
      <w:r>
        <w:rPr>
          <w:rFonts w:ascii="標楷體" w:eastAsia="標楷體" w:hAnsi="標楷體"/>
          <w:color w:val="000000"/>
        </w:rPr>
        <w:t>risdiplam</w:t>
      </w:r>
      <w:proofErr w:type="spellEnd"/>
      <w:r>
        <w:rPr>
          <w:rFonts w:ascii="標楷體" w:eastAsia="標楷體" w:hAnsi="標楷體"/>
          <w:color w:val="000000"/>
        </w:rPr>
        <w:t>治療之標準運動功能評估錄影之影片。(112/4/1</w:t>
      </w:r>
      <w:proofErr w:type="gramStart"/>
      <w:r>
        <w:rPr>
          <w:rFonts w:ascii="標楷體" w:eastAsia="標楷體" w:hAnsi="標楷體"/>
          <w:color w:val="000000"/>
        </w:rPr>
        <w:t>）</w:t>
      </w:r>
      <w:proofErr w:type="gramEnd"/>
    </w:p>
    <w:p w14:paraId="036DF2EC"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 xml:space="preserve">(4)醫師提交接受 </w:t>
      </w:r>
      <w:proofErr w:type="spellStart"/>
      <w:r>
        <w:rPr>
          <w:rFonts w:ascii="標楷體" w:eastAsia="標楷體" w:hAnsi="標楷體"/>
          <w:color w:val="000000"/>
        </w:rPr>
        <w:t>nusinersen</w:t>
      </w:r>
      <w:proofErr w:type="spellEnd"/>
      <w:r>
        <w:rPr>
          <w:rFonts w:ascii="標楷體" w:eastAsia="標楷體" w:hAnsi="標楷體"/>
          <w:color w:val="000000"/>
        </w:rPr>
        <w:t xml:space="preserve">或 </w:t>
      </w:r>
      <w:proofErr w:type="spellStart"/>
      <w:r>
        <w:rPr>
          <w:rFonts w:ascii="標楷體" w:eastAsia="標楷體" w:hAnsi="標楷體"/>
          <w:color w:val="000000"/>
        </w:rPr>
        <w:t>risdiplam</w:t>
      </w:r>
      <w:proofErr w:type="spellEnd"/>
      <w:r>
        <w:rPr>
          <w:rFonts w:ascii="標楷體" w:eastAsia="標楷體" w:hAnsi="標楷體"/>
          <w:color w:val="000000"/>
        </w:rPr>
        <w:t xml:space="preserve"> 治療之SMA 病友，每年的年度治療報告書包括標準運動功能評估項目、內容及錄影之影片。(112/4/1</w:t>
      </w:r>
      <w:proofErr w:type="gramStart"/>
      <w:r>
        <w:rPr>
          <w:rFonts w:ascii="標楷體" w:eastAsia="標楷體" w:hAnsi="標楷體"/>
          <w:color w:val="000000"/>
        </w:rPr>
        <w:t>）</w:t>
      </w:r>
      <w:proofErr w:type="gramEnd"/>
    </w:p>
    <w:p w14:paraId="2C0D0301"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(5)標準運動功能評估應由受過訓練之專科醫師，包含：小兒神經科、神經科醫師、復健科醫師或物理治療師執行。</w:t>
      </w:r>
    </w:p>
    <w:p w14:paraId="0A391880"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(6)醫師提交接受</w:t>
      </w:r>
      <w:proofErr w:type="spellStart"/>
      <w:r>
        <w:rPr>
          <w:rFonts w:ascii="標楷體" w:eastAsia="標楷體" w:hAnsi="標楷體"/>
          <w:color w:val="000000"/>
        </w:rPr>
        <w:t>nusinersen</w:t>
      </w:r>
      <w:proofErr w:type="spellEnd"/>
      <w:r>
        <w:rPr>
          <w:rFonts w:ascii="標楷體" w:eastAsia="標楷體" w:hAnsi="標楷體"/>
          <w:color w:val="000000"/>
        </w:rPr>
        <w:t>治療之SMA病友所有標準運動功能評估錄影之影片，必須包含所有可評估項目及內容。</w:t>
      </w:r>
    </w:p>
    <w:p w14:paraId="4B6D8D50"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5.停藥時機（下列評估需在 SMA 病友非急性住院期間執行）：用藥後追蹤至少2項標準運動功能評估(CHOP INTEND、HINE section 2、HFMSE、RULM、WHO motor milestone、MFM32、6MWT)，兩項評估分數每次均低於起始治療前該項標準運動功能之第1次評估分數。(112/4/1</w:t>
      </w:r>
      <w:proofErr w:type="gramStart"/>
      <w:r>
        <w:rPr>
          <w:rFonts w:ascii="標楷體" w:eastAsia="標楷體" w:hAnsi="標楷體"/>
          <w:color w:val="000000"/>
        </w:rPr>
        <w:t>）</w:t>
      </w:r>
      <w:proofErr w:type="gramEnd"/>
    </w:p>
    <w:p w14:paraId="44D31359"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6.</w:t>
      </w:r>
      <w:proofErr w:type="gramStart"/>
      <w:r>
        <w:rPr>
          <w:rFonts w:ascii="標楷體" w:eastAsia="標楷體" w:hAnsi="標楷體"/>
          <w:color w:val="000000"/>
        </w:rPr>
        <w:t>使用本類藥品</w:t>
      </w:r>
      <w:proofErr w:type="gramEnd"/>
      <w:r>
        <w:rPr>
          <w:rFonts w:ascii="標楷體" w:eastAsia="標楷體" w:hAnsi="標楷體"/>
          <w:color w:val="000000"/>
        </w:rPr>
        <w:t>需完成個案系統登錄，亦需於療程結束或停止使用該藥品後，於此系統登錄結案。(109/10/1)</w:t>
      </w:r>
    </w:p>
    <w:p w14:paraId="709A1CA3"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7.Nusinersen或</w:t>
      </w:r>
      <w:proofErr w:type="spellStart"/>
      <w:r>
        <w:rPr>
          <w:rFonts w:ascii="標楷體" w:eastAsia="標楷體" w:hAnsi="標楷體"/>
          <w:color w:val="000000"/>
        </w:rPr>
        <w:t>risdiplam</w:t>
      </w:r>
      <w:proofErr w:type="spellEnd"/>
      <w:r>
        <w:rPr>
          <w:rFonts w:ascii="標楷體" w:eastAsia="標楷體" w:hAnsi="標楷體"/>
          <w:color w:val="000000"/>
        </w:rPr>
        <w:t>或</w:t>
      </w:r>
      <w:proofErr w:type="spellStart"/>
      <w:r>
        <w:rPr>
          <w:rFonts w:ascii="標楷體" w:eastAsia="標楷體" w:hAnsi="標楷體"/>
          <w:color w:val="000000"/>
        </w:rPr>
        <w:t>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限擇</w:t>
      </w:r>
      <w:proofErr w:type="gramStart"/>
      <w:r>
        <w:rPr>
          <w:rFonts w:ascii="標楷體" w:eastAsia="標楷體" w:hAnsi="標楷體"/>
          <w:color w:val="000000"/>
        </w:rPr>
        <w:t>一</w:t>
      </w:r>
      <w:proofErr w:type="gramEnd"/>
      <w:r>
        <w:rPr>
          <w:rFonts w:ascii="標楷體" w:eastAsia="標楷體" w:hAnsi="標楷體"/>
          <w:color w:val="000000"/>
        </w:rPr>
        <w:t>使用，且不得互換。</w:t>
      </w:r>
      <w:proofErr w:type="gramStart"/>
      <w:r>
        <w:rPr>
          <w:rFonts w:ascii="標楷體" w:eastAsia="標楷體" w:hAnsi="標楷體"/>
          <w:color w:val="000000"/>
        </w:rPr>
        <w:t>惟</w:t>
      </w:r>
      <w:proofErr w:type="gramEnd"/>
      <w:r>
        <w:rPr>
          <w:rFonts w:ascii="標楷體" w:eastAsia="標楷體" w:hAnsi="標楷體"/>
          <w:color w:val="000000"/>
        </w:rPr>
        <w:t>使用</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後出現嚴重不耐受反應，經特殊專案審查核准後，此兩種藥物得轉換，以一次為限。轉換時應考慮二者藥物動力學及半衰期之差異，注意替換後開始使用時間與前次最後使用日期。(112/4/1、112/8/1、113/8/1)</w:t>
      </w:r>
    </w:p>
    <w:p w14:paraId="31F5CA58" w14:textId="63499B37" w:rsidR="00401786" w:rsidRDefault="00B42B19" w:rsidP="005E56FF">
      <w:pPr>
        <w:spacing w:line="300" w:lineRule="exact"/>
        <w:ind w:left="709" w:hanging="567"/>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：建議從</w:t>
      </w:r>
      <w:proofErr w:type="spellStart"/>
      <w:r>
        <w:rPr>
          <w:rFonts w:ascii="標楷體" w:eastAsia="標楷體" w:hAnsi="標楷體"/>
          <w:color w:val="000000"/>
        </w:rPr>
        <w:t>nusinersen</w:t>
      </w:r>
      <w:proofErr w:type="spellEnd"/>
      <w:r>
        <w:rPr>
          <w:rFonts w:ascii="標楷體" w:eastAsia="標楷體" w:hAnsi="標楷體"/>
          <w:color w:val="000000"/>
        </w:rPr>
        <w:t>轉換至</w:t>
      </w:r>
      <w:proofErr w:type="spellStart"/>
      <w:r>
        <w:rPr>
          <w:rFonts w:ascii="標楷體" w:eastAsia="標楷體" w:hAnsi="標楷體"/>
          <w:color w:val="000000"/>
        </w:rPr>
        <w:t>risdiplam</w:t>
      </w:r>
      <w:proofErr w:type="spellEnd"/>
      <w:r>
        <w:rPr>
          <w:rFonts w:ascii="標楷體" w:eastAsia="標楷體" w:hAnsi="標楷體"/>
          <w:color w:val="000000"/>
        </w:rPr>
        <w:t>，至少間隔135天；</w:t>
      </w:r>
      <w:proofErr w:type="spellStart"/>
      <w:r>
        <w:rPr>
          <w:rFonts w:ascii="標楷體" w:eastAsia="標楷體" w:hAnsi="標楷體"/>
          <w:color w:val="000000"/>
        </w:rPr>
        <w:t>risdiplam</w:t>
      </w:r>
      <w:proofErr w:type="spellEnd"/>
      <w:r>
        <w:rPr>
          <w:rFonts w:ascii="標楷體" w:eastAsia="標楷體" w:hAnsi="標楷體"/>
          <w:color w:val="000000"/>
        </w:rPr>
        <w:t>轉換至</w:t>
      </w:r>
      <w:proofErr w:type="spellStart"/>
      <w:r>
        <w:rPr>
          <w:rFonts w:ascii="標楷體" w:eastAsia="標楷體" w:hAnsi="標楷體"/>
          <w:color w:val="000000"/>
        </w:rPr>
        <w:t>nusinersen</w:t>
      </w:r>
      <w:proofErr w:type="spellEnd"/>
      <w:r>
        <w:rPr>
          <w:rFonts w:ascii="標楷體" w:eastAsia="標楷體" w:hAnsi="標楷體"/>
          <w:color w:val="000000"/>
        </w:rPr>
        <w:t>，應至少間隔50小時。</w:t>
      </w:r>
    </w:p>
    <w:p w14:paraId="3D605661" w14:textId="77777777" w:rsidR="00401786" w:rsidRDefault="00C64FB3" w:rsidP="005E56FF">
      <w:pPr>
        <w:spacing w:line="300" w:lineRule="exact"/>
        <w:ind w:left="567" w:hanging="386"/>
        <w:rPr>
          <w:rFonts w:ascii="標楷體" w:eastAsia="標楷體" w:hAnsi="標楷體"/>
          <w:color w:val="000000"/>
        </w:rPr>
      </w:pPr>
      <w:r>
        <w:rPr>
          <w:rFonts w:ascii="標楷體" w:eastAsia="標楷體" w:hAnsi="標楷體"/>
          <w:color w:val="000000"/>
        </w:rPr>
        <w:t>1.6.5.Galcanezumab(如</w:t>
      </w:r>
      <w:proofErr w:type="spellStart"/>
      <w:r>
        <w:rPr>
          <w:rFonts w:ascii="標楷體" w:eastAsia="標楷體" w:hAnsi="標楷體"/>
          <w:color w:val="000000"/>
        </w:rPr>
        <w:t>Emgality</w:t>
      </w:r>
      <w:proofErr w:type="spellEnd"/>
      <w:r>
        <w:rPr>
          <w:rFonts w:ascii="標楷體" w:eastAsia="標楷體" w:hAnsi="標楷體"/>
          <w:color w:val="000000"/>
        </w:rPr>
        <w:t>)、</w:t>
      </w:r>
      <w:proofErr w:type="spellStart"/>
      <w:r>
        <w:rPr>
          <w:rFonts w:ascii="標楷體" w:eastAsia="標楷體" w:hAnsi="標楷體"/>
          <w:color w:val="000000"/>
        </w:rPr>
        <w:t>fremanezumab</w:t>
      </w:r>
      <w:proofErr w:type="spellEnd"/>
      <w:r>
        <w:rPr>
          <w:rFonts w:ascii="標楷體" w:eastAsia="標楷體" w:hAnsi="標楷體"/>
          <w:color w:val="000000"/>
        </w:rPr>
        <w:t>(如</w:t>
      </w:r>
      <w:proofErr w:type="spellStart"/>
      <w:r>
        <w:rPr>
          <w:rFonts w:ascii="標楷體" w:eastAsia="標楷體" w:hAnsi="標楷體"/>
          <w:color w:val="000000"/>
        </w:rPr>
        <w:t>Ajovy</w:t>
      </w:r>
      <w:proofErr w:type="spellEnd"/>
      <w:r>
        <w:rPr>
          <w:rFonts w:ascii="標楷體" w:eastAsia="標楷體" w:hAnsi="標楷體"/>
          <w:color w:val="000000"/>
        </w:rPr>
        <w:t>)：(110/3/1、111/3/1)</w:t>
      </w:r>
    </w:p>
    <w:p w14:paraId="33DE9AD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慢性偏頭痛之預防性治療：</w:t>
      </w:r>
    </w:p>
    <w:p w14:paraId="7DE7B8A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1.需經事前審查核准後使用。</w:t>
      </w:r>
    </w:p>
    <w:p w14:paraId="3DA474A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2.限神經內科或神經外科專科醫師診斷處方，並不得攜回注射。</w:t>
      </w:r>
    </w:p>
    <w:p w14:paraId="691C004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3.需符合慢性偏頭痛診斷：至少有3個月時間，每</w:t>
      </w:r>
      <w:proofErr w:type="gramStart"/>
      <w:r>
        <w:rPr>
          <w:rFonts w:ascii="標楷體" w:eastAsia="標楷體" w:hAnsi="標楷體"/>
          <w:color w:val="000000"/>
        </w:rPr>
        <w:t>個</w:t>
      </w:r>
      <w:proofErr w:type="gramEnd"/>
      <w:r>
        <w:rPr>
          <w:rFonts w:ascii="標楷體" w:eastAsia="標楷體" w:hAnsi="標楷體"/>
          <w:color w:val="000000"/>
        </w:rPr>
        <w:t>月</w:t>
      </w:r>
      <w:proofErr w:type="gramStart"/>
      <w:r>
        <w:rPr>
          <w:rFonts w:ascii="標楷體" w:eastAsia="標楷體" w:hAnsi="標楷體"/>
          <w:color w:val="000000"/>
        </w:rPr>
        <w:t>≧</w:t>
      </w:r>
      <w:proofErr w:type="gramEnd"/>
      <w:r>
        <w:rPr>
          <w:rFonts w:ascii="標楷體" w:eastAsia="標楷體" w:hAnsi="標楷體"/>
          <w:color w:val="000000"/>
        </w:rPr>
        <w:t>15天，每次持續4小時以上，且其中符合偏頭痛診斷的發作每</w:t>
      </w:r>
      <w:proofErr w:type="gramStart"/>
      <w:r>
        <w:rPr>
          <w:rFonts w:ascii="標楷體" w:eastAsia="標楷體" w:hAnsi="標楷體"/>
          <w:color w:val="000000"/>
        </w:rPr>
        <w:t>個</w:t>
      </w:r>
      <w:proofErr w:type="gramEnd"/>
      <w:r>
        <w:rPr>
          <w:rFonts w:ascii="標楷體" w:eastAsia="標楷體" w:hAnsi="標楷體"/>
          <w:color w:val="000000"/>
        </w:rPr>
        <w:t>月</w:t>
      </w:r>
      <w:proofErr w:type="gramStart"/>
      <w:r>
        <w:rPr>
          <w:rFonts w:ascii="標楷體" w:eastAsia="標楷體" w:hAnsi="標楷體"/>
          <w:color w:val="000000"/>
        </w:rPr>
        <w:t>≧</w:t>
      </w:r>
      <w:proofErr w:type="gramEnd"/>
      <w:r>
        <w:rPr>
          <w:rFonts w:ascii="標楷體" w:eastAsia="標楷體" w:hAnsi="標楷體"/>
          <w:color w:val="000000"/>
        </w:rPr>
        <w:t>8天。</w:t>
      </w:r>
    </w:p>
    <w:p w14:paraId="7244C82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4.患者需經3種（含）以上偏頭痛預防用藥物（依據台灣頭痛學會發表之慢性偏頭痛預防性藥物治療準則之建議用藥，至少包括topiramate）治療無顯著療效，或無法忍受其副作用</w:t>
      </w:r>
    </w:p>
    <w:p w14:paraId="53BEE711"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5. </w:t>
      </w:r>
      <w:proofErr w:type="spellStart"/>
      <w:r>
        <w:rPr>
          <w:rFonts w:ascii="標楷體" w:eastAsia="標楷體" w:hAnsi="標楷體"/>
          <w:color w:val="000000"/>
        </w:rPr>
        <w:t>Galcanezumab</w:t>
      </w:r>
      <w:proofErr w:type="spellEnd"/>
      <w:r>
        <w:rPr>
          <w:rFonts w:ascii="標楷體" w:eastAsia="標楷體" w:hAnsi="標楷體"/>
          <w:color w:val="000000"/>
        </w:rPr>
        <w:t>：第一次注射240mg (連續兩次皮下注射，每次120mg)做為負荷劑量(loading dose)，之後每月皮下注射120 mg的劑量；</w:t>
      </w:r>
      <w:proofErr w:type="spellStart"/>
      <w:r>
        <w:rPr>
          <w:rFonts w:ascii="標楷體" w:eastAsia="標楷體" w:hAnsi="標楷體"/>
          <w:color w:val="000000"/>
        </w:rPr>
        <w:t>fremanezumab</w:t>
      </w:r>
      <w:proofErr w:type="spellEnd"/>
      <w:r>
        <w:rPr>
          <w:rFonts w:ascii="標楷體" w:eastAsia="標楷體" w:hAnsi="標楷體"/>
          <w:color w:val="000000"/>
        </w:rPr>
        <w:t>為每月注射一次225 mg，或每3個月注射一次675 mg。</w:t>
      </w:r>
    </w:p>
    <w:p w14:paraId="5DB356D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6.首次申請給付3個月療程(</w:t>
      </w:r>
      <w:proofErr w:type="spellStart"/>
      <w:r>
        <w:rPr>
          <w:rFonts w:ascii="標楷體" w:eastAsia="標楷體" w:hAnsi="標楷體"/>
          <w:color w:val="000000"/>
        </w:rPr>
        <w:t>galcanezumab</w:t>
      </w:r>
      <w:proofErr w:type="spellEnd"/>
      <w:r>
        <w:rPr>
          <w:rFonts w:ascii="標楷體" w:eastAsia="標楷體" w:hAnsi="標楷體"/>
          <w:color w:val="000000"/>
        </w:rPr>
        <w:t xml:space="preserve">共4支； </w:t>
      </w:r>
      <w:proofErr w:type="spellStart"/>
      <w:r>
        <w:rPr>
          <w:rFonts w:ascii="標楷體" w:eastAsia="標楷體" w:hAnsi="標楷體"/>
          <w:color w:val="000000"/>
        </w:rPr>
        <w:t>fremanezumab</w:t>
      </w:r>
      <w:proofErr w:type="spellEnd"/>
      <w:r>
        <w:rPr>
          <w:rFonts w:ascii="標楷體" w:eastAsia="標楷體" w:hAnsi="標楷體"/>
          <w:color w:val="000000"/>
        </w:rPr>
        <w:t>共3支)，3個月療程治療之後，評估每月頭痛天數，</w:t>
      </w:r>
      <w:proofErr w:type="gramStart"/>
      <w:r>
        <w:rPr>
          <w:rFonts w:ascii="標楷體" w:eastAsia="標楷體" w:hAnsi="標楷體"/>
          <w:color w:val="000000"/>
        </w:rPr>
        <w:t>需比治療</w:t>
      </w:r>
      <w:proofErr w:type="gramEnd"/>
      <w:r>
        <w:rPr>
          <w:rFonts w:ascii="標楷體" w:eastAsia="標楷體" w:hAnsi="標楷體"/>
          <w:color w:val="000000"/>
        </w:rPr>
        <w:t>前降低50%以上，方可持續給付。</w:t>
      </w:r>
    </w:p>
    <w:p w14:paraId="44180E0A"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7.接續得申請3個月療程，每月施打一次。療程完畢後半年內不得再次申請。</w:t>
      </w:r>
    </w:p>
    <w:p w14:paraId="69DF607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8.若病況再度符合慢性偏頭痛診斷，得再次申請3個月療程時，需於病歷記錄治療後相關臨床資料，包括頭痛天數。</w:t>
      </w:r>
    </w:p>
    <w:p w14:paraId="3985607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9. CGRP(calcitonin gene-related peptide)單株抗體</w:t>
      </w:r>
      <w:proofErr w:type="gramStart"/>
      <w:r>
        <w:rPr>
          <w:rFonts w:ascii="標楷體" w:eastAsia="標楷體" w:hAnsi="標楷體"/>
          <w:color w:val="000000"/>
        </w:rPr>
        <w:t>製劑僅能</w:t>
      </w:r>
      <w:proofErr w:type="gramEnd"/>
      <w:r>
        <w:rPr>
          <w:rFonts w:ascii="標楷體" w:eastAsia="標楷體" w:hAnsi="標楷體"/>
          <w:color w:val="000000"/>
        </w:rPr>
        <w:t>擇</w:t>
      </w:r>
      <w:proofErr w:type="gramStart"/>
      <w:r>
        <w:rPr>
          <w:rFonts w:ascii="標楷體" w:eastAsia="標楷體" w:hAnsi="標楷體"/>
          <w:color w:val="000000"/>
        </w:rPr>
        <w:t>一</w:t>
      </w:r>
      <w:proofErr w:type="gramEnd"/>
      <w:r>
        <w:rPr>
          <w:rFonts w:ascii="標楷體" w:eastAsia="標楷體" w:hAnsi="標楷體"/>
          <w:color w:val="000000"/>
        </w:rPr>
        <w:t>使用且不得互換，並不得與Botox</w:t>
      </w:r>
      <w:proofErr w:type="gramStart"/>
      <w:r>
        <w:rPr>
          <w:rFonts w:ascii="標楷體" w:eastAsia="標楷體" w:hAnsi="標楷體"/>
          <w:color w:val="000000"/>
        </w:rPr>
        <w:t>併</w:t>
      </w:r>
      <w:proofErr w:type="gramEnd"/>
      <w:r>
        <w:rPr>
          <w:rFonts w:ascii="標楷體" w:eastAsia="標楷體" w:hAnsi="標楷體"/>
          <w:color w:val="000000"/>
        </w:rPr>
        <w:t>用。</w:t>
      </w:r>
    </w:p>
    <w:p w14:paraId="4CD3ADBF" w14:textId="77777777" w:rsidR="00401786" w:rsidRDefault="00C64FB3" w:rsidP="005E56FF">
      <w:pPr>
        <w:snapToGrid w:val="0"/>
        <w:spacing w:line="300" w:lineRule="exact"/>
        <w:ind w:left="360" w:hanging="360"/>
      </w:pPr>
      <w:r>
        <w:rPr>
          <w:rFonts w:ascii="標楷體" w:eastAsia="標楷體" w:hAnsi="標楷體"/>
          <w:color w:val="000000"/>
        </w:rPr>
        <w:t xml:space="preserve">  </w:t>
      </w:r>
      <w:bookmarkStart w:id="1" w:name="_Hlk196313235"/>
      <w:r>
        <w:rPr>
          <w:rFonts w:ascii="標楷體" w:eastAsia="標楷體" w:hAnsi="標楷體"/>
          <w:szCs w:val="24"/>
        </w:rPr>
        <w:t>1.6.6.Patisiran（如</w:t>
      </w:r>
      <w:proofErr w:type="spellStart"/>
      <w:r>
        <w:rPr>
          <w:rFonts w:ascii="標楷體" w:eastAsia="標楷體" w:hAnsi="標楷體"/>
          <w:szCs w:val="24"/>
        </w:rPr>
        <w:t>Onpattro</w:t>
      </w:r>
      <w:proofErr w:type="spellEnd"/>
      <w:r>
        <w:rPr>
          <w:rFonts w:ascii="標楷體" w:eastAsia="標楷體" w:hAnsi="標楷體"/>
          <w:szCs w:val="24"/>
        </w:rPr>
        <w:t>）、</w:t>
      </w:r>
      <w:proofErr w:type="spellStart"/>
      <w:r>
        <w:rPr>
          <w:rFonts w:ascii="標楷體" w:eastAsia="標楷體" w:hAnsi="標楷體"/>
          <w:szCs w:val="24"/>
        </w:rPr>
        <w:t>vutrisiran</w:t>
      </w:r>
      <w:proofErr w:type="spellEnd"/>
      <w:r>
        <w:rPr>
          <w:rFonts w:ascii="標楷體" w:eastAsia="標楷體" w:hAnsi="標楷體"/>
          <w:szCs w:val="24"/>
        </w:rPr>
        <w:t>（如</w:t>
      </w:r>
      <w:proofErr w:type="spellStart"/>
      <w:r>
        <w:rPr>
          <w:rFonts w:ascii="標楷體" w:eastAsia="標楷體" w:hAnsi="標楷體"/>
          <w:szCs w:val="24"/>
        </w:rPr>
        <w:t>Amvuttra</w:t>
      </w:r>
      <w:proofErr w:type="spellEnd"/>
      <w:r>
        <w:rPr>
          <w:rFonts w:ascii="標楷體" w:eastAsia="標楷體" w:hAnsi="標楷體"/>
          <w:szCs w:val="24"/>
        </w:rPr>
        <w:t>）：（112/5/1、114/5/1）</w:t>
      </w:r>
    </w:p>
    <w:p w14:paraId="6FBD4868" w14:textId="77777777" w:rsidR="00401786" w:rsidRDefault="00C64FB3" w:rsidP="005E56FF">
      <w:pPr>
        <w:suppressAutoHyphens w:val="0"/>
        <w:snapToGrid w:val="0"/>
        <w:spacing w:line="300" w:lineRule="exact"/>
        <w:ind w:left="991" w:hanging="240"/>
        <w:textAlignment w:val="auto"/>
        <w:rPr>
          <w:rFonts w:ascii="標楷體" w:eastAsia="標楷體" w:hAnsi="標楷體"/>
          <w:szCs w:val="24"/>
        </w:rPr>
      </w:pPr>
      <w:r>
        <w:rPr>
          <w:rFonts w:ascii="標楷體" w:eastAsia="標楷體" w:hAnsi="標楷體"/>
          <w:szCs w:val="24"/>
        </w:rPr>
        <w:t>1.限用於確診為衛生福利部國民</w:t>
      </w:r>
      <w:proofErr w:type="gramStart"/>
      <w:r>
        <w:rPr>
          <w:rFonts w:ascii="標楷體" w:eastAsia="標楷體" w:hAnsi="標楷體"/>
          <w:szCs w:val="24"/>
        </w:rPr>
        <w:t>健康署</w:t>
      </w:r>
      <w:proofErr w:type="gramEnd"/>
      <w:r>
        <w:rPr>
          <w:rFonts w:ascii="標楷體" w:eastAsia="標楷體" w:hAnsi="標楷體"/>
          <w:szCs w:val="24"/>
        </w:rPr>
        <w:t xml:space="preserve">認定之TTR （transthyretin）家族性澱粉樣多發性神經病變（Familial Amyloidotic Polyneuropathy）之成人患者，並需同時符合下列條件者使用： </w:t>
      </w:r>
    </w:p>
    <w:p w14:paraId="4B8FBDAF" w14:textId="77777777" w:rsidR="00401786" w:rsidRDefault="00C64FB3" w:rsidP="005E56FF">
      <w:pPr>
        <w:suppressAutoHyphens w:val="0"/>
        <w:snapToGrid w:val="0"/>
        <w:spacing w:line="300" w:lineRule="exact"/>
        <w:ind w:left="1133" w:hanging="360"/>
        <w:textAlignment w:val="auto"/>
        <w:rPr>
          <w:rFonts w:ascii="標楷體" w:eastAsia="標楷體" w:hAnsi="標楷體"/>
          <w:szCs w:val="24"/>
        </w:rPr>
      </w:pPr>
      <w:r>
        <w:rPr>
          <w:rFonts w:ascii="標楷體" w:eastAsia="標楷體" w:hAnsi="標楷體"/>
          <w:szCs w:val="24"/>
        </w:rPr>
        <w:lastRenderedPageBreak/>
        <w:t>（1）含</w:t>
      </w:r>
      <w:proofErr w:type="spellStart"/>
      <w:r>
        <w:rPr>
          <w:rFonts w:ascii="標楷體" w:eastAsia="標楷體" w:hAnsi="標楷體"/>
          <w:szCs w:val="24"/>
        </w:rPr>
        <w:t>vutrisiran</w:t>
      </w:r>
      <w:proofErr w:type="spellEnd"/>
      <w:r>
        <w:rPr>
          <w:rFonts w:ascii="標楷體" w:eastAsia="標楷體" w:hAnsi="標楷體"/>
          <w:szCs w:val="24"/>
        </w:rPr>
        <w:t>成分藥品用於神經病變的疾病嚴重度限於第一、二期的病人（114/5/1）：</w:t>
      </w:r>
    </w:p>
    <w:p w14:paraId="646CBECF"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proofErr w:type="spellStart"/>
      <w:r>
        <w:rPr>
          <w:rFonts w:ascii="標楷體" w:eastAsia="標楷體" w:hAnsi="標楷體"/>
          <w:szCs w:val="24"/>
        </w:rPr>
        <w:t>Ⅰ.polyneuropathy</w:t>
      </w:r>
      <w:proofErr w:type="spellEnd"/>
      <w:r>
        <w:rPr>
          <w:rFonts w:ascii="標楷體" w:eastAsia="標楷體" w:hAnsi="標楷體"/>
          <w:szCs w:val="24"/>
        </w:rPr>
        <w:t xml:space="preserve"> disability [PND] stage Ⅱ、</w:t>
      </w:r>
      <w:proofErr w:type="spellStart"/>
      <w:r>
        <w:rPr>
          <w:rFonts w:ascii="標楷體" w:eastAsia="標楷體" w:hAnsi="標楷體"/>
          <w:szCs w:val="24"/>
        </w:rPr>
        <w:t>Ⅲa~Ⅲb</w:t>
      </w:r>
      <w:proofErr w:type="spellEnd"/>
      <w:r>
        <w:rPr>
          <w:rFonts w:ascii="標楷體" w:eastAsia="標楷體" w:hAnsi="標楷體"/>
          <w:szCs w:val="24"/>
        </w:rPr>
        <w:t>，或</w:t>
      </w:r>
    </w:p>
    <w:p w14:paraId="3AE0FC0B" w14:textId="77777777" w:rsidR="00401786" w:rsidRDefault="00C64FB3" w:rsidP="005E56FF">
      <w:pPr>
        <w:suppressAutoHyphens w:val="0"/>
        <w:snapToGrid w:val="0"/>
        <w:spacing w:line="300" w:lineRule="exact"/>
        <w:ind w:left="1274" w:hanging="360"/>
        <w:textAlignment w:val="auto"/>
        <w:rPr>
          <w:rFonts w:ascii="標楷體" w:eastAsia="標楷體" w:hAnsi="標楷體"/>
          <w:szCs w:val="24"/>
        </w:rPr>
      </w:pPr>
      <w:proofErr w:type="spellStart"/>
      <w:r>
        <w:rPr>
          <w:rFonts w:ascii="標楷體" w:eastAsia="標楷體" w:hAnsi="標楷體"/>
          <w:szCs w:val="24"/>
        </w:rPr>
        <w:t>Ⅱ.familial</w:t>
      </w:r>
      <w:proofErr w:type="spellEnd"/>
      <w:r>
        <w:rPr>
          <w:rFonts w:ascii="標楷體" w:eastAsia="標楷體" w:hAnsi="標楷體"/>
          <w:szCs w:val="24"/>
        </w:rPr>
        <w:t xml:space="preserve"> amyloidotic polyneuropathy [FAP] stage Ⅰ、Ⅱ。</w:t>
      </w:r>
    </w:p>
    <w:p w14:paraId="6431FA9A"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（2）含</w:t>
      </w:r>
      <w:proofErr w:type="spellStart"/>
      <w:r>
        <w:rPr>
          <w:rFonts w:ascii="標楷體" w:eastAsia="標楷體" w:hAnsi="標楷體"/>
          <w:szCs w:val="24"/>
        </w:rPr>
        <w:t>patisiran</w:t>
      </w:r>
      <w:proofErr w:type="spellEnd"/>
      <w:r>
        <w:rPr>
          <w:rFonts w:ascii="標楷體" w:eastAsia="標楷體" w:hAnsi="標楷體"/>
          <w:szCs w:val="24"/>
        </w:rPr>
        <w:t>成分藥品用於神經病變的疾病嚴重度限於第二期的病人：</w:t>
      </w:r>
    </w:p>
    <w:p w14:paraId="6C67C028" w14:textId="77777777" w:rsidR="00401786" w:rsidRDefault="00C64FB3" w:rsidP="005E56FF">
      <w:pPr>
        <w:suppressAutoHyphens w:val="0"/>
        <w:snapToGrid w:val="0"/>
        <w:spacing w:line="300" w:lineRule="exact"/>
        <w:ind w:left="1274" w:hanging="360"/>
        <w:textAlignment w:val="auto"/>
        <w:rPr>
          <w:rFonts w:ascii="標楷體" w:eastAsia="標楷體" w:hAnsi="標楷體"/>
          <w:szCs w:val="24"/>
        </w:rPr>
      </w:pPr>
      <w:proofErr w:type="spellStart"/>
      <w:r>
        <w:rPr>
          <w:rFonts w:ascii="標楷體" w:eastAsia="標楷體" w:hAnsi="標楷體"/>
          <w:szCs w:val="24"/>
        </w:rPr>
        <w:t>Ⅰ.polyneuropathy</w:t>
      </w:r>
      <w:proofErr w:type="spellEnd"/>
      <w:r>
        <w:rPr>
          <w:rFonts w:ascii="標楷體" w:eastAsia="標楷體" w:hAnsi="標楷體"/>
          <w:szCs w:val="24"/>
        </w:rPr>
        <w:t xml:space="preserve"> disability [PND] stage </w:t>
      </w:r>
      <w:proofErr w:type="spellStart"/>
      <w:r>
        <w:rPr>
          <w:rFonts w:ascii="標楷體" w:eastAsia="標楷體" w:hAnsi="標楷體"/>
          <w:szCs w:val="24"/>
        </w:rPr>
        <w:t>Ⅲa~Ⅲb</w:t>
      </w:r>
      <w:proofErr w:type="spellEnd"/>
      <w:r>
        <w:rPr>
          <w:rFonts w:ascii="標楷體" w:eastAsia="標楷體" w:hAnsi="標楷體"/>
          <w:szCs w:val="24"/>
        </w:rPr>
        <w:t>，或</w:t>
      </w:r>
    </w:p>
    <w:p w14:paraId="6343B30B" w14:textId="77777777" w:rsidR="00401786" w:rsidRDefault="00C64FB3" w:rsidP="005E56FF">
      <w:pPr>
        <w:suppressAutoHyphens w:val="0"/>
        <w:snapToGrid w:val="0"/>
        <w:spacing w:line="300" w:lineRule="exact"/>
        <w:ind w:left="1274" w:hanging="360"/>
        <w:textAlignment w:val="auto"/>
        <w:rPr>
          <w:rFonts w:ascii="標楷體" w:eastAsia="標楷體" w:hAnsi="標楷體"/>
          <w:szCs w:val="24"/>
        </w:rPr>
      </w:pPr>
      <w:proofErr w:type="spellStart"/>
      <w:r>
        <w:rPr>
          <w:rFonts w:ascii="標楷體" w:eastAsia="標楷體" w:hAnsi="標楷體"/>
          <w:szCs w:val="24"/>
        </w:rPr>
        <w:t>Ⅱ.familial</w:t>
      </w:r>
      <w:proofErr w:type="spellEnd"/>
      <w:r>
        <w:rPr>
          <w:rFonts w:ascii="標楷體" w:eastAsia="標楷體" w:hAnsi="標楷體"/>
          <w:szCs w:val="24"/>
        </w:rPr>
        <w:t xml:space="preserve"> amyloidotic polyneuropathy [FAP] stage Ⅱ。</w:t>
      </w:r>
    </w:p>
    <w:p w14:paraId="37389838"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（3）神經傳導檢查符合多發性神經病變（114/5/1）。</w:t>
      </w:r>
    </w:p>
    <w:p w14:paraId="1134736A"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（4）臨床症狀符合肢體末端麻木、無力、感覺異常、姿勢性低血壓或其它自律神經異常的症狀（114/5/1）。</w:t>
      </w:r>
    </w:p>
    <w:p w14:paraId="243C5F88"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（5）神經理學檢查符合</w:t>
      </w:r>
      <w:proofErr w:type="gramStart"/>
      <w:r>
        <w:rPr>
          <w:rFonts w:ascii="標楷體" w:eastAsia="標楷體" w:hAnsi="標楷體"/>
          <w:szCs w:val="24"/>
        </w:rPr>
        <w:t>週</w:t>
      </w:r>
      <w:proofErr w:type="gramEnd"/>
      <w:r>
        <w:rPr>
          <w:rFonts w:ascii="標楷體" w:eastAsia="標楷體" w:hAnsi="標楷體"/>
          <w:szCs w:val="24"/>
        </w:rPr>
        <w:t>邊神經病變的徵候：四肢肢體末端運動及感覺異常、深部肌腱反射低下（114/5/1）。</w:t>
      </w:r>
    </w:p>
    <w:p w14:paraId="3B29BCD2"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（6）無嚴重心衰竭症狀（定義依紐約心臟協會衰竭功能分級為第3級或第4級）。</w:t>
      </w:r>
    </w:p>
    <w:p w14:paraId="4B3DAB04"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（7）未曾</w:t>
      </w:r>
      <w:proofErr w:type="gramStart"/>
      <w:r>
        <w:rPr>
          <w:rFonts w:ascii="標楷體" w:eastAsia="標楷體" w:hAnsi="標楷體"/>
          <w:szCs w:val="24"/>
        </w:rPr>
        <w:t>接受過肝移植</w:t>
      </w:r>
      <w:proofErr w:type="gramEnd"/>
      <w:r>
        <w:rPr>
          <w:rFonts w:ascii="標楷體" w:eastAsia="標楷體" w:hAnsi="標楷體"/>
          <w:szCs w:val="24"/>
        </w:rPr>
        <w:t>。</w:t>
      </w:r>
    </w:p>
    <w:p w14:paraId="17D6936B"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（8）不得與其他RNAi及TTR穩定劑合併使用於治療</w:t>
      </w:r>
      <w:proofErr w:type="spellStart"/>
      <w:r>
        <w:rPr>
          <w:rFonts w:ascii="標楷體" w:eastAsia="標楷體" w:hAnsi="標楷體"/>
          <w:szCs w:val="24"/>
        </w:rPr>
        <w:t>hATTR</w:t>
      </w:r>
      <w:proofErr w:type="spellEnd"/>
      <w:r>
        <w:rPr>
          <w:rFonts w:ascii="標楷體" w:eastAsia="標楷體" w:hAnsi="標楷體"/>
          <w:szCs w:val="24"/>
        </w:rPr>
        <w:t>。</w:t>
      </w:r>
    </w:p>
    <w:p w14:paraId="1DE236FB"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（9）開始治療年齡未滿76歲者。</w:t>
      </w:r>
    </w:p>
    <w:p w14:paraId="0A63FD20"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2.排除條件：</w:t>
      </w:r>
      <w:proofErr w:type="gramStart"/>
      <w:r>
        <w:rPr>
          <w:rFonts w:ascii="標楷體" w:eastAsia="標楷體" w:hAnsi="標楷體"/>
          <w:szCs w:val="24"/>
        </w:rPr>
        <w:t>以腕隧道</w:t>
      </w:r>
      <w:proofErr w:type="gramEnd"/>
      <w:r>
        <w:rPr>
          <w:rFonts w:ascii="標楷體" w:eastAsia="標楷體" w:hAnsi="標楷體"/>
          <w:szCs w:val="24"/>
        </w:rPr>
        <w:t>症候群為病徵表現之TTR基因突變攜帶者。</w:t>
      </w:r>
    </w:p>
    <w:p w14:paraId="38F2621B"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3.需檢附下列資料，經專家小組特殊專案審查核准後使用：</w:t>
      </w:r>
    </w:p>
    <w:p w14:paraId="45AA8977" w14:textId="77777777" w:rsidR="00401786" w:rsidRDefault="00C64FB3" w:rsidP="005E56FF">
      <w:pPr>
        <w:suppressAutoHyphens w:val="0"/>
        <w:snapToGrid w:val="0"/>
        <w:spacing w:line="300" w:lineRule="exact"/>
        <w:ind w:left="850" w:hanging="240"/>
        <w:textAlignment w:val="auto"/>
      </w:pPr>
      <w:r>
        <w:rPr>
          <w:rFonts w:ascii="標楷體" w:eastAsia="標楷體" w:hAnsi="標楷體"/>
          <w:bCs/>
          <w:szCs w:val="24"/>
        </w:rPr>
        <w:t>（1）</w:t>
      </w:r>
      <w:r>
        <w:rPr>
          <w:rFonts w:ascii="標楷體" w:eastAsia="標楷體" w:hAnsi="標楷體"/>
          <w:szCs w:val="24"/>
        </w:rPr>
        <w:t>符合衛生福利部國民</w:t>
      </w:r>
      <w:proofErr w:type="gramStart"/>
      <w:r>
        <w:rPr>
          <w:rFonts w:ascii="標楷體" w:eastAsia="標楷體" w:hAnsi="標楷體"/>
          <w:szCs w:val="24"/>
        </w:rPr>
        <w:t>健康署</w:t>
      </w:r>
      <w:proofErr w:type="gramEnd"/>
      <w:r>
        <w:rPr>
          <w:rFonts w:ascii="標楷體" w:eastAsia="標楷體" w:hAnsi="標楷體"/>
          <w:bCs/>
          <w:szCs w:val="24"/>
        </w:rPr>
        <w:t>FAP</w:t>
      </w:r>
      <w:r>
        <w:rPr>
          <w:rFonts w:ascii="標楷體" w:eastAsia="標楷體" w:hAnsi="標楷體"/>
          <w:szCs w:val="24"/>
        </w:rPr>
        <w:t>罕見疾病個案通報審查標準之神經傳導</w:t>
      </w:r>
      <w:r>
        <w:rPr>
          <w:rFonts w:ascii="標楷體" w:eastAsia="標楷體" w:hAnsi="標楷體"/>
          <w:bCs/>
          <w:szCs w:val="24"/>
        </w:rPr>
        <w:t>/</w:t>
      </w:r>
      <w:r>
        <w:rPr>
          <w:rFonts w:ascii="標楷體" w:eastAsia="標楷體" w:hAnsi="標楷體"/>
          <w:szCs w:val="24"/>
        </w:rPr>
        <w:t>肌電圖</w:t>
      </w:r>
      <w:r>
        <w:rPr>
          <w:rFonts w:ascii="標楷體" w:eastAsia="標楷體" w:hAnsi="標楷體"/>
          <w:bCs/>
          <w:szCs w:val="24"/>
        </w:rPr>
        <w:t>/</w:t>
      </w:r>
      <w:r>
        <w:rPr>
          <w:rFonts w:ascii="標楷體" w:eastAsia="標楷體" w:hAnsi="標楷體"/>
          <w:szCs w:val="24"/>
        </w:rPr>
        <w:t>自律神經功能檢查報告。</w:t>
      </w:r>
    </w:p>
    <w:p w14:paraId="3A686409" w14:textId="77777777" w:rsidR="00401786" w:rsidRDefault="00C64FB3" w:rsidP="005E56FF">
      <w:pPr>
        <w:suppressAutoHyphens w:val="0"/>
        <w:snapToGrid w:val="0"/>
        <w:spacing w:line="300" w:lineRule="exact"/>
        <w:ind w:left="850" w:hanging="240"/>
        <w:textAlignment w:val="auto"/>
      </w:pPr>
      <w:r>
        <w:rPr>
          <w:rFonts w:ascii="標楷體" w:eastAsia="標楷體" w:hAnsi="標楷體"/>
          <w:bCs/>
          <w:szCs w:val="24"/>
        </w:rPr>
        <w:t>（2）</w:t>
      </w:r>
      <w:r>
        <w:rPr>
          <w:rFonts w:ascii="標楷體" w:eastAsia="標楷體" w:hAnsi="標楷體"/>
          <w:szCs w:val="24"/>
        </w:rPr>
        <w:t>臨床症狀及徵兆的病歷紀錄。</w:t>
      </w:r>
    </w:p>
    <w:p w14:paraId="51D283E3"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（3）運動功能評估：10公尺行走測試 （10MWT） 錄影之影片。</w:t>
      </w:r>
    </w:p>
    <w:p w14:paraId="141A7468" w14:textId="77777777" w:rsidR="00401786" w:rsidRDefault="00C64FB3" w:rsidP="005E56FF">
      <w:pPr>
        <w:suppressAutoHyphens w:val="0"/>
        <w:snapToGrid w:val="0"/>
        <w:spacing w:line="300" w:lineRule="exact"/>
        <w:ind w:left="849" w:hanging="283"/>
        <w:textAlignment w:val="auto"/>
        <w:rPr>
          <w:rFonts w:ascii="標楷體" w:eastAsia="標楷體" w:hAnsi="標楷體"/>
          <w:szCs w:val="24"/>
        </w:rPr>
      </w:pPr>
      <w:r>
        <w:rPr>
          <w:rFonts w:ascii="標楷體" w:eastAsia="標楷體" w:hAnsi="標楷體"/>
          <w:szCs w:val="24"/>
        </w:rPr>
        <w:t>4.首次申請得核准使用9個月，後續每6個月申請核准後得使用。療效評估方式及時機：</w:t>
      </w:r>
    </w:p>
    <w:p w14:paraId="55F0848F"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（1）神經病變疾病嚴重度評估時機：</w:t>
      </w:r>
    </w:p>
    <w:p w14:paraId="071A466F"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proofErr w:type="spellStart"/>
      <w:r>
        <w:rPr>
          <w:rFonts w:ascii="標楷體" w:eastAsia="標楷體" w:hAnsi="標楷體"/>
          <w:szCs w:val="24"/>
        </w:rPr>
        <w:t>Ⅰ.Patisiran</w:t>
      </w:r>
      <w:proofErr w:type="spellEnd"/>
      <w:r>
        <w:rPr>
          <w:rFonts w:ascii="標楷體" w:eastAsia="標楷體" w:hAnsi="標楷體"/>
          <w:szCs w:val="24"/>
        </w:rPr>
        <w:t>或</w:t>
      </w:r>
      <w:proofErr w:type="spellStart"/>
      <w:r>
        <w:rPr>
          <w:rFonts w:ascii="標楷體" w:eastAsia="標楷體" w:hAnsi="標楷體"/>
          <w:szCs w:val="24"/>
        </w:rPr>
        <w:t>vutrisiran</w:t>
      </w:r>
      <w:proofErr w:type="spellEnd"/>
      <w:r>
        <w:rPr>
          <w:rFonts w:ascii="標楷體" w:eastAsia="標楷體" w:hAnsi="標楷體"/>
          <w:szCs w:val="24"/>
        </w:rPr>
        <w:t>治療前。</w:t>
      </w:r>
    </w:p>
    <w:p w14:paraId="160CB3B1"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Ⅱ.治療反應的初步評估應在治療開始後9個月進行。</w:t>
      </w:r>
    </w:p>
    <w:p w14:paraId="00565CF4"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Ⅲ.隨後每6個月下一劑治療前。</w:t>
      </w:r>
    </w:p>
    <w:p w14:paraId="0C38B357" w14:textId="77777777" w:rsidR="00401786" w:rsidRDefault="00C64FB3" w:rsidP="005E56FF">
      <w:pPr>
        <w:suppressAutoHyphens w:val="0"/>
        <w:snapToGrid w:val="0"/>
        <w:spacing w:line="300" w:lineRule="exact"/>
        <w:ind w:left="1274" w:hanging="643"/>
        <w:textAlignment w:val="auto"/>
        <w:rPr>
          <w:rFonts w:ascii="標楷體" w:eastAsia="標楷體" w:hAnsi="標楷體"/>
          <w:szCs w:val="24"/>
        </w:rPr>
      </w:pPr>
      <w:r>
        <w:rPr>
          <w:rFonts w:ascii="標楷體" w:eastAsia="標楷體" w:hAnsi="標楷體"/>
          <w:szCs w:val="24"/>
        </w:rPr>
        <w:t>（2）神經病變疾病嚴重度評估（需由提供</w:t>
      </w:r>
      <w:proofErr w:type="spellStart"/>
      <w:r>
        <w:rPr>
          <w:rFonts w:ascii="標楷體" w:eastAsia="標楷體" w:hAnsi="標楷體"/>
          <w:szCs w:val="24"/>
        </w:rPr>
        <w:t>patisiran</w:t>
      </w:r>
      <w:proofErr w:type="spellEnd"/>
      <w:r>
        <w:rPr>
          <w:rFonts w:ascii="標楷體" w:eastAsia="標楷體" w:hAnsi="標楷體"/>
          <w:szCs w:val="24"/>
        </w:rPr>
        <w:t>或</w:t>
      </w:r>
      <w:proofErr w:type="spellStart"/>
      <w:r>
        <w:rPr>
          <w:rFonts w:ascii="標楷體" w:eastAsia="標楷體" w:hAnsi="標楷體"/>
          <w:szCs w:val="24"/>
        </w:rPr>
        <w:t>vutrisiran</w:t>
      </w:r>
      <w:proofErr w:type="spellEnd"/>
      <w:r>
        <w:rPr>
          <w:rFonts w:ascii="標楷體" w:eastAsia="標楷體" w:hAnsi="標楷體"/>
          <w:szCs w:val="24"/>
        </w:rPr>
        <w:t>治療之醫師判定評估結果）：</w:t>
      </w:r>
    </w:p>
    <w:p w14:paraId="7644DB02" w14:textId="77777777" w:rsidR="00401786" w:rsidRDefault="00C64FB3" w:rsidP="005E56FF">
      <w:pPr>
        <w:suppressAutoHyphens w:val="0"/>
        <w:snapToGrid w:val="0"/>
        <w:spacing w:line="300" w:lineRule="exact"/>
        <w:ind w:left="1272" w:hanging="139"/>
        <w:textAlignment w:val="auto"/>
        <w:rPr>
          <w:rFonts w:ascii="標楷體" w:eastAsia="標楷體" w:hAnsi="標楷體"/>
          <w:szCs w:val="24"/>
        </w:rPr>
      </w:pPr>
      <w:proofErr w:type="spellStart"/>
      <w:r>
        <w:rPr>
          <w:rFonts w:ascii="標楷體" w:eastAsia="標楷體" w:hAnsi="標楷體"/>
          <w:szCs w:val="24"/>
        </w:rPr>
        <w:t>Ⅰ.polyneuropathy</w:t>
      </w:r>
      <w:proofErr w:type="spellEnd"/>
      <w:r>
        <w:rPr>
          <w:rFonts w:ascii="標楷體" w:eastAsia="標楷體" w:hAnsi="標楷體"/>
          <w:szCs w:val="24"/>
        </w:rPr>
        <w:t xml:space="preserve"> disability [PND] stage，或</w:t>
      </w:r>
    </w:p>
    <w:p w14:paraId="4A92D21B" w14:textId="77777777" w:rsidR="00401786" w:rsidRDefault="00C64FB3" w:rsidP="005E56FF">
      <w:pPr>
        <w:suppressAutoHyphens w:val="0"/>
        <w:snapToGrid w:val="0"/>
        <w:spacing w:line="300" w:lineRule="exact"/>
        <w:ind w:left="1272" w:hanging="139"/>
        <w:textAlignment w:val="auto"/>
        <w:rPr>
          <w:rFonts w:ascii="標楷體" w:eastAsia="標楷體" w:hAnsi="標楷體"/>
          <w:szCs w:val="24"/>
        </w:rPr>
      </w:pPr>
      <w:proofErr w:type="spellStart"/>
      <w:r>
        <w:rPr>
          <w:rFonts w:ascii="標楷體" w:eastAsia="標楷體" w:hAnsi="標楷體"/>
          <w:szCs w:val="24"/>
        </w:rPr>
        <w:t>Ⅱ.familial</w:t>
      </w:r>
      <w:proofErr w:type="spellEnd"/>
      <w:r>
        <w:rPr>
          <w:rFonts w:ascii="標楷體" w:eastAsia="標楷體" w:hAnsi="標楷體"/>
          <w:szCs w:val="24"/>
        </w:rPr>
        <w:t xml:space="preserve"> amyloidotic polyneuropathy [FAP] stage。</w:t>
      </w:r>
    </w:p>
    <w:p w14:paraId="7D932035"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（3）後續每6個月申請使用需檢</w:t>
      </w:r>
      <w:proofErr w:type="gramStart"/>
      <w:r>
        <w:rPr>
          <w:rFonts w:ascii="標楷體" w:eastAsia="標楷體" w:hAnsi="標楷體"/>
          <w:szCs w:val="24"/>
        </w:rPr>
        <w:t>附</w:t>
      </w:r>
      <w:proofErr w:type="gramEnd"/>
      <w:r>
        <w:rPr>
          <w:rFonts w:ascii="標楷體" w:eastAsia="標楷體" w:hAnsi="標楷體"/>
          <w:szCs w:val="24"/>
        </w:rPr>
        <w:t>：</w:t>
      </w:r>
    </w:p>
    <w:p w14:paraId="10479F9F"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Ⅰ.臨床症狀及徵兆的病歷紀錄。</w:t>
      </w:r>
    </w:p>
    <w:p w14:paraId="26C34EBC"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Ⅱ.運動功能評估：10公尺行走測試 （10MWT） 錄影之影片。</w:t>
      </w:r>
    </w:p>
    <w:p w14:paraId="2DB05013"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5.停藥時機：</w:t>
      </w:r>
    </w:p>
    <w:p w14:paraId="5FFCB135" w14:textId="77777777" w:rsidR="00401786" w:rsidRDefault="00C64FB3" w:rsidP="005E56FF">
      <w:pPr>
        <w:suppressAutoHyphens w:val="0"/>
        <w:snapToGrid w:val="0"/>
        <w:spacing w:line="300" w:lineRule="exact"/>
        <w:ind w:left="708"/>
        <w:textAlignment w:val="auto"/>
        <w:rPr>
          <w:rFonts w:ascii="標楷體" w:eastAsia="標楷體" w:hAnsi="標楷體"/>
          <w:szCs w:val="24"/>
        </w:rPr>
      </w:pPr>
      <w:r>
        <w:rPr>
          <w:rFonts w:ascii="標楷體" w:eastAsia="標楷體" w:hAnsi="標楷體"/>
          <w:szCs w:val="24"/>
        </w:rPr>
        <w:t>若有下列任</w:t>
      </w:r>
      <w:proofErr w:type="gramStart"/>
      <w:r>
        <w:rPr>
          <w:rFonts w:ascii="標楷體" w:eastAsia="標楷體" w:hAnsi="標楷體"/>
          <w:szCs w:val="24"/>
        </w:rPr>
        <w:t>一</w:t>
      </w:r>
      <w:proofErr w:type="gramEnd"/>
      <w:r>
        <w:rPr>
          <w:rFonts w:ascii="標楷體" w:eastAsia="標楷體" w:hAnsi="標楷體"/>
          <w:szCs w:val="24"/>
        </w:rPr>
        <w:t>情況，則不再給予</w:t>
      </w:r>
      <w:proofErr w:type="spellStart"/>
      <w:r>
        <w:rPr>
          <w:rFonts w:ascii="標楷體" w:eastAsia="標楷體" w:hAnsi="標楷體"/>
          <w:szCs w:val="24"/>
        </w:rPr>
        <w:t>patisiran</w:t>
      </w:r>
      <w:proofErr w:type="spellEnd"/>
      <w:r>
        <w:rPr>
          <w:rFonts w:ascii="標楷體" w:eastAsia="標楷體" w:hAnsi="標楷體"/>
          <w:szCs w:val="24"/>
        </w:rPr>
        <w:t>或</w:t>
      </w:r>
      <w:proofErr w:type="spellStart"/>
      <w:r>
        <w:rPr>
          <w:rFonts w:ascii="標楷體" w:eastAsia="標楷體" w:hAnsi="標楷體"/>
          <w:szCs w:val="24"/>
        </w:rPr>
        <w:t>vutrisiran</w:t>
      </w:r>
      <w:proofErr w:type="spellEnd"/>
      <w:r>
        <w:rPr>
          <w:rFonts w:ascii="標楷體" w:eastAsia="標楷體" w:hAnsi="標楷體"/>
          <w:szCs w:val="24"/>
        </w:rPr>
        <w:t>治療：</w:t>
      </w:r>
    </w:p>
    <w:p w14:paraId="7C2722F4" w14:textId="77777777" w:rsidR="00401786" w:rsidRDefault="00C64FB3" w:rsidP="005E56FF">
      <w:pPr>
        <w:suppressAutoHyphens w:val="0"/>
        <w:snapToGrid w:val="0"/>
        <w:spacing w:line="300" w:lineRule="exact"/>
        <w:ind w:left="1274" w:hanging="564"/>
        <w:textAlignment w:val="auto"/>
        <w:rPr>
          <w:rFonts w:ascii="標楷體" w:eastAsia="標楷體" w:hAnsi="標楷體"/>
          <w:szCs w:val="24"/>
        </w:rPr>
      </w:pPr>
      <w:r>
        <w:rPr>
          <w:rFonts w:ascii="標楷體" w:eastAsia="標楷體" w:hAnsi="標楷體"/>
          <w:szCs w:val="24"/>
        </w:rPr>
        <w:t>（1）若病人在使用</w:t>
      </w:r>
      <w:proofErr w:type="gramStart"/>
      <w:r>
        <w:rPr>
          <w:rFonts w:ascii="標楷體" w:eastAsia="標楷體" w:hAnsi="標楷體"/>
          <w:szCs w:val="24"/>
        </w:rPr>
        <w:t>雙側輔</w:t>
      </w:r>
      <w:proofErr w:type="gramEnd"/>
      <w:r>
        <w:rPr>
          <w:rFonts w:ascii="標楷體" w:eastAsia="標楷體" w:hAnsi="標楷體"/>
          <w:szCs w:val="24"/>
        </w:rPr>
        <w:t>具下，於5分鐘內不休息，無法獨力完成10公尺以上步行者。</w:t>
      </w:r>
    </w:p>
    <w:p w14:paraId="0474EFA4" w14:textId="77777777" w:rsidR="00401786" w:rsidRDefault="00C64FB3" w:rsidP="005E56FF">
      <w:pPr>
        <w:suppressAutoHyphens w:val="0"/>
        <w:snapToGrid w:val="0"/>
        <w:spacing w:line="300" w:lineRule="exact"/>
        <w:ind w:left="847" w:hanging="139"/>
        <w:textAlignment w:val="auto"/>
        <w:rPr>
          <w:rFonts w:ascii="標楷體" w:eastAsia="標楷體" w:hAnsi="標楷體"/>
          <w:szCs w:val="24"/>
        </w:rPr>
      </w:pPr>
      <w:r>
        <w:rPr>
          <w:rFonts w:ascii="標楷體" w:eastAsia="標楷體" w:hAnsi="標楷體"/>
          <w:szCs w:val="24"/>
        </w:rPr>
        <w:t>（2）需接受臨終照護（end-of-life care）者。</w:t>
      </w:r>
    </w:p>
    <w:p w14:paraId="151A29F1" w14:textId="77777777" w:rsidR="00401786" w:rsidRDefault="00C64FB3" w:rsidP="005E56FF">
      <w:pPr>
        <w:spacing w:line="300" w:lineRule="exact"/>
        <w:ind w:left="850" w:hanging="281"/>
      </w:pPr>
      <w:r>
        <w:rPr>
          <w:rFonts w:ascii="標楷體" w:eastAsia="標楷體" w:hAnsi="標楷體"/>
          <w:szCs w:val="24"/>
        </w:rPr>
        <w:t>6.Patisiran與</w:t>
      </w:r>
      <w:proofErr w:type="spellStart"/>
      <w:r>
        <w:rPr>
          <w:rFonts w:ascii="標楷體" w:eastAsia="標楷體" w:hAnsi="標楷體"/>
          <w:szCs w:val="24"/>
        </w:rPr>
        <w:t>vutrisiran</w:t>
      </w:r>
      <w:proofErr w:type="spellEnd"/>
      <w:r>
        <w:rPr>
          <w:rFonts w:ascii="標楷體" w:eastAsia="標楷體" w:hAnsi="標楷體"/>
          <w:szCs w:val="24"/>
        </w:rPr>
        <w:t>兩者限擇</w:t>
      </w:r>
      <w:proofErr w:type="gramStart"/>
      <w:r>
        <w:rPr>
          <w:rFonts w:ascii="標楷體" w:eastAsia="標楷體" w:hAnsi="標楷體"/>
          <w:szCs w:val="24"/>
        </w:rPr>
        <w:t>一</w:t>
      </w:r>
      <w:proofErr w:type="gramEnd"/>
      <w:r>
        <w:rPr>
          <w:rFonts w:ascii="標楷體" w:eastAsia="標楷體" w:hAnsi="標楷體"/>
          <w:szCs w:val="24"/>
        </w:rPr>
        <w:t>給付，且不得互換。惟於114/5/1前已使用</w:t>
      </w:r>
      <w:proofErr w:type="spellStart"/>
      <w:r>
        <w:rPr>
          <w:rFonts w:ascii="標楷體" w:eastAsia="標楷體" w:hAnsi="標楷體"/>
          <w:szCs w:val="24"/>
        </w:rPr>
        <w:t>patisiran</w:t>
      </w:r>
      <w:proofErr w:type="spellEnd"/>
      <w:r>
        <w:rPr>
          <w:rFonts w:ascii="標楷體" w:eastAsia="標楷體" w:hAnsi="標楷體"/>
          <w:szCs w:val="24"/>
        </w:rPr>
        <w:t>治療之病人符合續用申請者，得轉換使用</w:t>
      </w:r>
      <w:proofErr w:type="spellStart"/>
      <w:r>
        <w:rPr>
          <w:rFonts w:ascii="標楷體" w:eastAsia="標楷體" w:hAnsi="標楷體"/>
          <w:szCs w:val="24"/>
        </w:rPr>
        <w:t>vutrisiran</w:t>
      </w:r>
      <w:proofErr w:type="spellEnd"/>
      <w:r>
        <w:rPr>
          <w:rFonts w:ascii="標楷體" w:eastAsia="標楷體" w:hAnsi="標楷體"/>
          <w:szCs w:val="24"/>
        </w:rPr>
        <w:t>，以一次為限（114/5/1）。</w:t>
      </w:r>
      <w:bookmarkEnd w:id="1"/>
    </w:p>
    <w:p w14:paraId="27C7C158" w14:textId="77777777" w:rsidR="00401786" w:rsidRDefault="00C64FB3" w:rsidP="005E56FF">
      <w:pPr>
        <w:spacing w:line="300" w:lineRule="exact"/>
        <w:ind w:left="579" w:hanging="454"/>
        <w:rPr>
          <w:rFonts w:ascii="標楷體" w:eastAsia="標楷體" w:hAnsi="標楷體"/>
          <w:color w:val="000000"/>
        </w:rPr>
      </w:pPr>
      <w:r>
        <w:rPr>
          <w:rFonts w:ascii="標楷體" w:eastAsia="標楷體" w:hAnsi="標楷體"/>
          <w:color w:val="000000"/>
        </w:rPr>
        <w:t xml:space="preserve">1.6.7.Onasemnogene </w:t>
      </w:r>
      <w:proofErr w:type="spellStart"/>
      <w:r>
        <w:rPr>
          <w:rFonts w:ascii="標楷體" w:eastAsia="標楷體" w:hAnsi="標楷體"/>
          <w:color w:val="000000"/>
        </w:rPr>
        <w:t>abeparvovec</w:t>
      </w:r>
      <w:proofErr w:type="spellEnd"/>
      <w:r>
        <w:rPr>
          <w:rFonts w:ascii="標楷體" w:eastAsia="標楷體" w:hAnsi="標楷體"/>
          <w:color w:val="000000"/>
        </w:rPr>
        <w:t xml:space="preserve"> (如</w:t>
      </w:r>
      <w:proofErr w:type="spellStart"/>
      <w:r>
        <w:rPr>
          <w:rFonts w:ascii="標楷體" w:eastAsia="標楷體" w:hAnsi="標楷體"/>
          <w:color w:val="000000"/>
        </w:rPr>
        <w:t>Zolgensma</w:t>
      </w:r>
      <w:proofErr w:type="spellEnd"/>
      <w:r>
        <w:rPr>
          <w:rFonts w:ascii="標楷體" w:eastAsia="標楷體" w:hAnsi="標楷體"/>
          <w:color w:val="000000"/>
        </w:rPr>
        <w:t xml:space="preserve"> suspension for Intravenous Infusion)：（112/8/1、112/10/1、113/4/1）</w:t>
      </w:r>
    </w:p>
    <w:p w14:paraId="355108B0"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1.限用於治療年齡6個月以下，經標準檢測方法MLPA(Multiplex Ligation-Dependent Probe Amplification)或NGS(Next Generation Sequencing)檢測基因確診，及SMN2基因檢驗報告，且經衛生福利部國民</w:t>
      </w:r>
      <w:proofErr w:type="gramStart"/>
      <w:r>
        <w:rPr>
          <w:rFonts w:ascii="標楷體" w:eastAsia="標楷體" w:hAnsi="標楷體"/>
          <w:color w:val="000000"/>
        </w:rPr>
        <w:t>健康署</w:t>
      </w:r>
      <w:proofErr w:type="gramEnd"/>
      <w:r>
        <w:rPr>
          <w:rFonts w:ascii="標楷體" w:eastAsia="標楷體" w:hAnsi="標楷體"/>
          <w:color w:val="000000"/>
        </w:rPr>
        <w:t xml:space="preserve">認定之脊髓性肌肉萎縮症(Spinal </w:t>
      </w:r>
      <w:r>
        <w:rPr>
          <w:rFonts w:ascii="標楷體" w:eastAsia="標楷體" w:hAnsi="標楷體"/>
          <w:color w:val="000000"/>
        </w:rPr>
        <w:lastRenderedPageBreak/>
        <w:t xml:space="preserve">muscular </w:t>
      </w:r>
      <w:proofErr w:type="spellStart"/>
      <w:r>
        <w:rPr>
          <w:rFonts w:ascii="標楷體" w:eastAsia="標楷體" w:hAnsi="標楷體"/>
          <w:color w:val="000000"/>
        </w:rPr>
        <w:t>atrophy,SMA</w:t>
      </w:r>
      <w:proofErr w:type="spellEnd"/>
      <w:r>
        <w:rPr>
          <w:rFonts w:ascii="標楷體" w:eastAsia="標楷體" w:hAnsi="標楷體"/>
          <w:color w:val="000000"/>
        </w:rPr>
        <w:t>)病人，但不適用於已使用呼吸器每天12小時以上，且連續30天以上者。</w:t>
      </w:r>
    </w:p>
    <w:p w14:paraId="00C718DD"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2.需檢附下列資料，經2位以上專家之專家小組特殊專案審查核准後使用：</w:t>
      </w:r>
    </w:p>
    <w:p w14:paraId="7111905A"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(1)經衛生福利部國民</w:t>
      </w:r>
      <w:proofErr w:type="gramStart"/>
      <w:r>
        <w:rPr>
          <w:rFonts w:ascii="標楷體" w:eastAsia="標楷體" w:hAnsi="標楷體"/>
          <w:color w:val="000000"/>
        </w:rPr>
        <w:t>健康署</w:t>
      </w:r>
      <w:proofErr w:type="gramEnd"/>
      <w:r>
        <w:rPr>
          <w:rFonts w:ascii="標楷體" w:eastAsia="標楷體" w:hAnsi="標楷體"/>
          <w:color w:val="000000"/>
        </w:rPr>
        <w:t>認定SMA罕見疾病個案之臨床症狀影片：</w:t>
      </w:r>
    </w:p>
    <w:p w14:paraId="49DBC422"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Ⅰ.經新生兒篩檢(含產前診斷)，SMN2基因拷貝數</w:t>
      </w:r>
      <w:proofErr w:type="gramStart"/>
      <w:r>
        <w:rPr>
          <w:rFonts w:ascii="標楷體" w:eastAsia="標楷體" w:hAnsi="標楷體"/>
          <w:color w:val="000000"/>
        </w:rPr>
        <w:t>≦</w:t>
      </w:r>
      <w:proofErr w:type="gramEnd"/>
      <w:r>
        <w:rPr>
          <w:rFonts w:ascii="標楷體" w:eastAsia="標楷體" w:hAnsi="標楷體"/>
          <w:color w:val="000000"/>
        </w:rPr>
        <w:t>2，內容需至少出現1項肌肉相關異常：</w:t>
      </w:r>
    </w:p>
    <w:p w14:paraId="0F001FE6" w14:textId="77777777" w:rsidR="00401786" w:rsidRDefault="00C64FB3" w:rsidP="005E56FF">
      <w:pPr>
        <w:spacing w:line="300" w:lineRule="exact"/>
        <w:ind w:left="1330" w:hanging="245"/>
      </w:pPr>
      <w:r>
        <w:rPr>
          <w:rFonts w:ascii="新細明體" w:hAnsi="新細明體" w:cs="新細明體"/>
          <w:color w:val="000000"/>
        </w:rPr>
        <w:t>ⅰ</w:t>
      </w:r>
      <w:r>
        <w:rPr>
          <w:rFonts w:ascii="標楷體" w:eastAsia="標楷體" w:hAnsi="標楷體"/>
          <w:color w:val="000000"/>
        </w:rPr>
        <w:t>.新生兒姿態異常。</w:t>
      </w:r>
    </w:p>
    <w:p w14:paraId="12D48257" w14:textId="77777777" w:rsidR="00401786" w:rsidRDefault="00C64FB3" w:rsidP="005E56FF">
      <w:pPr>
        <w:spacing w:line="300" w:lineRule="exact"/>
        <w:ind w:left="1330" w:hanging="245"/>
      </w:pPr>
      <w:r>
        <w:rPr>
          <w:rFonts w:ascii="新細明體" w:hAnsi="新細明體" w:cs="新細明體"/>
          <w:color w:val="000000"/>
        </w:rPr>
        <w:t>ⅱ</w:t>
      </w:r>
      <w:r>
        <w:rPr>
          <w:rFonts w:ascii="標楷體" w:eastAsia="標楷體" w:hAnsi="標楷體"/>
          <w:color w:val="000000"/>
        </w:rPr>
        <w:t>.新生兒哭聲弱。</w:t>
      </w:r>
    </w:p>
    <w:p w14:paraId="7D98F787" w14:textId="77777777" w:rsidR="00401786" w:rsidRDefault="00C64FB3" w:rsidP="005E56FF">
      <w:pPr>
        <w:spacing w:line="300" w:lineRule="exact"/>
        <w:ind w:left="1330" w:hanging="245"/>
      </w:pPr>
      <w:r>
        <w:rPr>
          <w:rFonts w:ascii="新細明體" w:hAnsi="新細明體" w:cs="新細明體"/>
          <w:color w:val="000000"/>
        </w:rPr>
        <w:t>ⅲ</w:t>
      </w:r>
      <w:r>
        <w:rPr>
          <w:rFonts w:ascii="標楷體" w:eastAsia="標楷體" w:hAnsi="標楷體"/>
          <w:color w:val="000000"/>
        </w:rPr>
        <w:t>.新生兒</w:t>
      </w:r>
      <w:proofErr w:type="gramStart"/>
      <w:r>
        <w:rPr>
          <w:rFonts w:ascii="標楷體" w:eastAsia="標楷體" w:hAnsi="標楷體"/>
          <w:color w:val="000000"/>
        </w:rPr>
        <w:t>肌</w:t>
      </w:r>
      <w:proofErr w:type="gramEnd"/>
      <w:r>
        <w:rPr>
          <w:rFonts w:ascii="標楷體" w:eastAsia="標楷體" w:hAnsi="標楷體"/>
          <w:color w:val="000000"/>
        </w:rPr>
        <w:t>張力低下。</w:t>
      </w:r>
    </w:p>
    <w:p w14:paraId="705CF186"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Ⅱ.非經新生兒篩檢(含產前診斷)，SMN2基因拷貝數</w:t>
      </w:r>
      <w:proofErr w:type="gramStart"/>
      <w:r>
        <w:rPr>
          <w:rFonts w:ascii="標楷體" w:eastAsia="標楷體" w:hAnsi="標楷體"/>
          <w:color w:val="000000"/>
        </w:rPr>
        <w:t>≦</w:t>
      </w:r>
      <w:proofErr w:type="gramEnd"/>
      <w:r>
        <w:rPr>
          <w:rFonts w:ascii="標楷體" w:eastAsia="標楷體" w:hAnsi="標楷體"/>
          <w:color w:val="000000"/>
        </w:rPr>
        <w:t>3，內容需包含下列各項：</w:t>
      </w:r>
    </w:p>
    <w:p w14:paraId="38AA88B5"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.全身性低張力及對稱</w:t>
      </w:r>
      <w:proofErr w:type="gramStart"/>
      <w:r>
        <w:rPr>
          <w:rFonts w:ascii="標楷體" w:eastAsia="標楷體" w:hAnsi="標楷體"/>
          <w:color w:val="000000"/>
        </w:rPr>
        <w:t>性近側端</w:t>
      </w:r>
      <w:proofErr w:type="gramEnd"/>
      <w:r>
        <w:rPr>
          <w:rFonts w:ascii="標楷體" w:eastAsia="標楷體" w:hAnsi="標楷體"/>
          <w:color w:val="000000"/>
        </w:rPr>
        <w:t>為主的肌無力。</w:t>
      </w:r>
    </w:p>
    <w:p w14:paraId="014B584E" w14:textId="77777777" w:rsidR="00401786" w:rsidRDefault="00C64FB3" w:rsidP="005E56FF">
      <w:pPr>
        <w:spacing w:line="300" w:lineRule="exact"/>
        <w:ind w:left="1330" w:hanging="245"/>
      </w:pPr>
      <w:r>
        <w:rPr>
          <w:rFonts w:ascii="新細明體" w:hAnsi="新細明體" w:cs="新細明體"/>
          <w:color w:val="000000"/>
        </w:rPr>
        <w:t>ⅱ</w:t>
      </w:r>
      <w:r>
        <w:rPr>
          <w:rFonts w:ascii="標楷體" w:eastAsia="標楷體" w:hAnsi="標楷體"/>
          <w:color w:val="000000"/>
        </w:rPr>
        <w:t>.深部肌腱反射減低或消失，如:</w:t>
      </w:r>
      <w:proofErr w:type="gramStart"/>
      <w:r>
        <w:rPr>
          <w:rFonts w:ascii="標楷體" w:eastAsia="標楷體" w:hAnsi="標楷體"/>
          <w:color w:val="000000"/>
        </w:rPr>
        <w:t>膝</w:t>
      </w:r>
      <w:proofErr w:type="gramEnd"/>
      <w:r>
        <w:rPr>
          <w:rFonts w:ascii="標楷體" w:eastAsia="標楷體" w:hAnsi="標楷體"/>
          <w:color w:val="000000"/>
        </w:rPr>
        <w:t>反射、踝反射、二頭</w:t>
      </w:r>
      <w:proofErr w:type="gramStart"/>
      <w:r>
        <w:rPr>
          <w:rFonts w:ascii="標楷體" w:eastAsia="標楷體" w:hAnsi="標楷體"/>
          <w:color w:val="000000"/>
        </w:rPr>
        <w:t>肌</w:t>
      </w:r>
      <w:proofErr w:type="gramEnd"/>
      <w:r>
        <w:rPr>
          <w:rFonts w:ascii="標楷體" w:eastAsia="標楷體" w:hAnsi="標楷體"/>
          <w:color w:val="000000"/>
        </w:rPr>
        <w:t>反射。</w:t>
      </w:r>
    </w:p>
    <w:p w14:paraId="428765ED"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(2)病歷摘要。</w:t>
      </w:r>
    </w:p>
    <w:p w14:paraId="5F5E1AC6" w14:textId="77777777" w:rsidR="00401786" w:rsidRDefault="00C64FB3" w:rsidP="005E56FF">
      <w:pPr>
        <w:spacing w:line="300" w:lineRule="exact"/>
        <w:ind w:left="1129" w:hanging="284"/>
        <w:rPr>
          <w:rFonts w:ascii="標楷體" w:eastAsia="標楷體" w:hAnsi="標楷體"/>
          <w:color w:val="000000"/>
        </w:rPr>
      </w:pPr>
      <w:r>
        <w:rPr>
          <w:rFonts w:ascii="標楷體" w:eastAsia="標楷體" w:hAnsi="標楷體"/>
          <w:color w:val="000000"/>
        </w:rPr>
        <w:t>(3)標準運動功能評估(CHOP INTEND、HINE Section 2、WHO motor milestones)之影片，倘上述評估項目任一項已達滿分，應繼續評估下列任</w:t>
      </w:r>
      <w:proofErr w:type="gramStart"/>
      <w:r>
        <w:rPr>
          <w:rFonts w:ascii="標楷體" w:eastAsia="標楷體" w:hAnsi="標楷體"/>
          <w:color w:val="000000"/>
        </w:rPr>
        <w:t>一</w:t>
      </w:r>
      <w:proofErr w:type="gramEnd"/>
      <w:r>
        <w:rPr>
          <w:rFonts w:ascii="標楷體" w:eastAsia="標楷體" w:hAnsi="標楷體"/>
          <w:color w:val="000000"/>
        </w:rPr>
        <w:t>項目</w:t>
      </w:r>
    </w:p>
    <w:p w14:paraId="383615E4"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Ⅰ.BAYLEY</w:t>
      </w:r>
      <w:proofErr w:type="spellEnd"/>
      <w:r>
        <w:rPr>
          <w:rFonts w:ascii="標楷體" w:eastAsia="標楷體" w:hAnsi="標楷體"/>
          <w:color w:val="000000"/>
        </w:rPr>
        <w:t>-Ⅲ(gross motor skills)。</w:t>
      </w:r>
    </w:p>
    <w:p w14:paraId="0DF29E41"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Ⅱ.若以HFMSE評估須滿兩歲。</w:t>
      </w:r>
    </w:p>
    <w:p w14:paraId="2FADCF99"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Ⅲ.若以RULM評估須滿兩歲六個月。</w:t>
      </w:r>
    </w:p>
    <w:p w14:paraId="3A01EBF6" w14:textId="77777777" w:rsidR="00401786" w:rsidRDefault="00C64FB3" w:rsidP="005E56FF">
      <w:pPr>
        <w:spacing w:line="300" w:lineRule="exact"/>
        <w:ind w:left="1129" w:hanging="284"/>
      </w:pPr>
      <w:r>
        <w:rPr>
          <w:rFonts w:ascii="標楷體" w:eastAsia="標楷體" w:hAnsi="標楷體"/>
          <w:color w:val="000000"/>
        </w:rPr>
        <w:t>(4)</w:t>
      </w:r>
      <w:r>
        <w:rPr>
          <w:rFonts w:ascii="標楷體" w:eastAsia="標楷體" w:hAnsi="標楷體"/>
          <w:szCs w:val="24"/>
        </w:rPr>
        <w:t>「全民健康</w:t>
      </w:r>
      <w:proofErr w:type="gramStart"/>
      <w:r>
        <w:rPr>
          <w:rFonts w:ascii="標楷體" w:eastAsia="標楷體" w:hAnsi="標楷體"/>
          <w:szCs w:val="24"/>
        </w:rPr>
        <w:t>保險保險</w:t>
      </w:r>
      <w:proofErr w:type="gramEnd"/>
      <w:r>
        <w:rPr>
          <w:rFonts w:ascii="標楷體" w:eastAsia="標楷體" w:hAnsi="標楷體"/>
          <w:szCs w:val="24"/>
        </w:rPr>
        <w:t>對象使用</w:t>
      </w:r>
      <w:proofErr w:type="spellStart"/>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基因療法製劑協議書」(附表三十七) (113/4/1)。</w:t>
      </w:r>
    </w:p>
    <w:p w14:paraId="76C60BDD"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3.排除條件：</w:t>
      </w:r>
    </w:p>
    <w:p w14:paraId="26C212C6"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(1)需使用侵入性呼吸器或血氧飽和度&lt;95%。</w:t>
      </w:r>
    </w:p>
    <w:p w14:paraId="7E570892"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(2)經酵素免疫分析法檢測，血液中Anti-AAV9抗體效價&gt;1:50。</w:t>
      </w:r>
    </w:p>
    <w:p w14:paraId="6BF0D6A7"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(3)已使用過</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w:t>
      </w:r>
    </w:p>
    <w:p w14:paraId="1167AA33"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4.療效評估時機、判定及執行者：</w:t>
      </w:r>
    </w:p>
    <w:p w14:paraId="50F91ECC"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(1)標準運動功能評估時機：</w:t>
      </w:r>
    </w:p>
    <w:p w14:paraId="001F61C3"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Ⅰ.Onasemnogene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治療前。</w:t>
      </w:r>
    </w:p>
    <w:p w14:paraId="4EF62DA9"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Ⅱ.Onasemnogene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治療後，每4個月評估1次，倘CHOP INTEND 或HINE Section 2或WHO motor milestones任一項評估已達滿分，應繼續評估下列任</w:t>
      </w:r>
      <w:proofErr w:type="gramStart"/>
      <w:r>
        <w:rPr>
          <w:rFonts w:ascii="標楷體" w:eastAsia="標楷體" w:hAnsi="標楷體"/>
          <w:color w:val="000000"/>
        </w:rPr>
        <w:t>一</w:t>
      </w:r>
      <w:proofErr w:type="gramEnd"/>
      <w:r>
        <w:rPr>
          <w:rFonts w:ascii="標楷體" w:eastAsia="標楷體" w:hAnsi="標楷體"/>
          <w:color w:val="000000"/>
        </w:rPr>
        <w:t>項目：</w:t>
      </w:r>
    </w:p>
    <w:p w14:paraId="55429299" w14:textId="77777777" w:rsidR="00401786" w:rsidRDefault="00C64FB3" w:rsidP="005E56FF">
      <w:pPr>
        <w:spacing w:line="300" w:lineRule="exact"/>
        <w:ind w:left="1570" w:hanging="245"/>
      </w:pPr>
      <w:proofErr w:type="spellStart"/>
      <w:r>
        <w:rPr>
          <w:rFonts w:ascii="新細明體" w:hAnsi="新細明體" w:cs="新細明體"/>
          <w:color w:val="000000"/>
        </w:rPr>
        <w:t>ⅰ</w:t>
      </w:r>
      <w:r>
        <w:rPr>
          <w:rFonts w:ascii="標楷體" w:eastAsia="標楷體" w:hAnsi="標楷體"/>
          <w:color w:val="000000"/>
        </w:rPr>
        <w:t>.BAYLEY</w:t>
      </w:r>
      <w:proofErr w:type="spellEnd"/>
      <w:r>
        <w:rPr>
          <w:rFonts w:ascii="標楷體" w:eastAsia="標楷體" w:hAnsi="標楷體"/>
          <w:color w:val="000000"/>
        </w:rPr>
        <w:t>-Ⅲ(gross motor skills)。</w:t>
      </w:r>
    </w:p>
    <w:p w14:paraId="75FED683" w14:textId="77777777" w:rsidR="00401786" w:rsidRDefault="00C64FB3" w:rsidP="005E56FF">
      <w:pPr>
        <w:spacing w:line="300" w:lineRule="exact"/>
        <w:ind w:left="1570" w:hanging="245"/>
      </w:pPr>
      <w:r>
        <w:rPr>
          <w:rFonts w:ascii="新細明體" w:hAnsi="新細明體" w:cs="新細明體"/>
          <w:color w:val="000000"/>
        </w:rPr>
        <w:t>ⅱ</w:t>
      </w:r>
      <w:r>
        <w:rPr>
          <w:rFonts w:ascii="標楷體" w:eastAsia="標楷體" w:hAnsi="標楷體"/>
          <w:color w:val="000000"/>
        </w:rPr>
        <w:t>.若以HFMSE評估須滿兩歲。</w:t>
      </w:r>
    </w:p>
    <w:p w14:paraId="4C78651D" w14:textId="77777777" w:rsidR="00401786" w:rsidRDefault="00C64FB3" w:rsidP="005E56FF">
      <w:pPr>
        <w:spacing w:line="300" w:lineRule="exact"/>
        <w:ind w:left="1570" w:hanging="245"/>
      </w:pPr>
      <w:r>
        <w:rPr>
          <w:rFonts w:ascii="新細明體" w:hAnsi="新細明體" w:cs="新細明體"/>
          <w:color w:val="000000"/>
        </w:rPr>
        <w:t>ⅲ</w:t>
      </w:r>
      <w:r>
        <w:rPr>
          <w:rFonts w:ascii="標楷體" w:eastAsia="標楷體" w:hAnsi="標楷體"/>
          <w:color w:val="000000"/>
        </w:rPr>
        <w:t>.若以RULM評估須滿兩歲六個月。</w:t>
      </w:r>
    </w:p>
    <w:p w14:paraId="41CBD763"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(2)標準運動功能評估判定者：</w:t>
      </w:r>
    </w:p>
    <w:p w14:paraId="4412C03D"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Ⅰ.需由提供</w:t>
      </w:r>
      <w:proofErr w:type="spellStart"/>
      <w:r>
        <w:rPr>
          <w:rFonts w:ascii="標楷體" w:eastAsia="標楷體" w:hAnsi="標楷體"/>
          <w:color w:val="000000"/>
        </w:rPr>
        <w:t>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治療之兒科專科醫師選擇下列各項適合療效評估工具，並判定評估結果：</w:t>
      </w:r>
    </w:p>
    <w:p w14:paraId="1E65C4BF" w14:textId="77777777" w:rsidR="00401786" w:rsidRDefault="00C64FB3" w:rsidP="005E56FF">
      <w:pPr>
        <w:spacing w:line="300" w:lineRule="exact"/>
        <w:ind w:left="1570" w:hanging="245"/>
      </w:pPr>
      <w:proofErr w:type="spellStart"/>
      <w:r>
        <w:rPr>
          <w:rFonts w:ascii="新細明體" w:hAnsi="新細明體" w:cs="新細明體"/>
          <w:color w:val="000000"/>
        </w:rPr>
        <w:t>ⅰ</w:t>
      </w:r>
      <w:r>
        <w:rPr>
          <w:rFonts w:ascii="標楷體" w:eastAsia="標楷體" w:hAnsi="標楷體"/>
          <w:color w:val="000000"/>
        </w:rPr>
        <w:t>.CHOP</w:t>
      </w:r>
      <w:proofErr w:type="spellEnd"/>
      <w:r>
        <w:rPr>
          <w:rFonts w:ascii="標楷體" w:eastAsia="標楷體" w:hAnsi="標楷體"/>
          <w:color w:val="000000"/>
        </w:rPr>
        <w:t xml:space="preserve"> INTEND。</w:t>
      </w:r>
    </w:p>
    <w:p w14:paraId="41398C08" w14:textId="77777777" w:rsidR="00401786" w:rsidRDefault="00C64FB3" w:rsidP="005E56FF">
      <w:pPr>
        <w:spacing w:line="300" w:lineRule="exact"/>
        <w:ind w:left="1570" w:hanging="245"/>
      </w:pPr>
      <w:proofErr w:type="spellStart"/>
      <w:r>
        <w:rPr>
          <w:rFonts w:ascii="新細明體" w:hAnsi="新細明體" w:cs="新細明體"/>
          <w:color w:val="000000"/>
        </w:rPr>
        <w:t>ⅱ</w:t>
      </w:r>
      <w:r>
        <w:rPr>
          <w:rFonts w:ascii="標楷體" w:eastAsia="標楷體" w:hAnsi="標楷體"/>
          <w:color w:val="000000"/>
        </w:rPr>
        <w:t>.HINE</w:t>
      </w:r>
      <w:proofErr w:type="spellEnd"/>
      <w:r>
        <w:rPr>
          <w:rFonts w:ascii="標楷體" w:eastAsia="標楷體" w:hAnsi="標楷體"/>
          <w:color w:val="000000"/>
        </w:rPr>
        <w:t xml:space="preserve"> Section 2。</w:t>
      </w:r>
    </w:p>
    <w:p w14:paraId="57BDF508" w14:textId="77777777" w:rsidR="00401786" w:rsidRDefault="00C64FB3" w:rsidP="005E56FF">
      <w:pPr>
        <w:spacing w:line="300" w:lineRule="exact"/>
        <w:ind w:left="1570" w:hanging="245"/>
      </w:pPr>
      <w:proofErr w:type="spellStart"/>
      <w:r>
        <w:rPr>
          <w:rFonts w:ascii="新細明體" w:hAnsi="新細明體" w:cs="新細明體"/>
          <w:color w:val="000000"/>
        </w:rPr>
        <w:t>ⅲ</w:t>
      </w:r>
      <w:r>
        <w:rPr>
          <w:rFonts w:ascii="標楷體" w:eastAsia="標楷體" w:hAnsi="標楷體"/>
          <w:color w:val="000000"/>
        </w:rPr>
        <w:t>.WHO</w:t>
      </w:r>
      <w:proofErr w:type="spellEnd"/>
      <w:r>
        <w:rPr>
          <w:rFonts w:ascii="標楷體" w:eastAsia="標楷體" w:hAnsi="標楷體"/>
          <w:color w:val="000000"/>
        </w:rPr>
        <w:t xml:space="preserve"> motor milestones。</w:t>
      </w:r>
    </w:p>
    <w:p w14:paraId="2D6E23DA"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Ⅱ.倘上述任</w:t>
      </w:r>
      <w:proofErr w:type="gramStart"/>
      <w:r>
        <w:rPr>
          <w:rFonts w:ascii="標楷體" w:eastAsia="標楷體" w:hAnsi="標楷體"/>
          <w:color w:val="000000"/>
        </w:rPr>
        <w:t>一</w:t>
      </w:r>
      <w:proofErr w:type="gramEnd"/>
      <w:r>
        <w:rPr>
          <w:rFonts w:ascii="標楷體" w:eastAsia="標楷體" w:hAnsi="標楷體"/>
          <w:color w:val="000000"/>
        </w:rPr>
        <w:t>項目評估已達滿分，則以下列任</w:t>
      </w:r>
      <w:proofErr w:type="gramStart"/>
      <w:r>
        <w:rPr>
          <w:rFonts w:ascii="標楷體" w:eastAsia="標楷體" w:hAnsi="標楷體"/>
          <w:color w:val="000000"/>
        </w:rPr>
        <w:t>一</w:t>
      </w:r>
      <w:proofErr w:type="gramEnd"/>
      <w:r>
        <w:rPr>
          <w:rFonts w:ascii="標楷體" w:eastAsia="標楷體" w:hAnsi="標楷體"/>
          <w:color w:val="000000"/>
        </w:rPr>
        <w:t>項目繼續評估：</w:t>
      </w:r>
    </w:p>
    <w:p w14:paraId="756223E8" w14:textId="77777777" w:rsidR="00401786" w:rsidRDefault="00C64FB3" w:rsidP="005E56FF">
      <w:pPr>
        <w:spacing w:line="300" w:lineRule="exact"/>
        <w:ind w:left="1570" w:hanging="245"/>
      </w:pPr>
      <w:proofErr w:type="spellStart"/>
      <w:r>
        <w:rPr>
          <w:rFonts w:ascii="新細明體" w:hAnsi="新細明體" w:cs="新細明體"/>
          <w:color w:val="000000"/>
        </w:rPr>
        <w:t>ⅰ</w:t>
      </w:r>
      <w:r>
        <w:rPr>
          <w:rFonts w:ascii="標楷體" w:eastAsia="標楷體" w:hAnsi="標楷體"/>
          <w:color w:val="000000"/>
        </w:rPr>
        <w:t>.BAYLEY</w:t>
      </w:r>
      <w:proofErr w:type="spellEnd"/>
      <w:r>
        <w:rPr>
          <w:rFonts w:ascii="標楷體" w:eastAsia="標楷體" w:hAnsi="標楷體"/>
          <w:color w:val="000000"/>
        </w:rPr>
        <w:t>-Ⅲ(gross motor skills)。</w:t>
      </w:r>
    </w:p>
    <w:p w14:paraId="51086095" w14:textId="77777777" w:rsidR="00401786" w:rsidRDefault="00C64FB3" w:rsidP="005E56FF">
      <w:pPr>
        <w:spacing w:line="300" w:lineRule="exact"/>
        <w:ind w:left="1570" w:hanging="245"/>
      </w:pPr>
      <w:r>
        <w:rPr>
          <w:rFonts w:ascii="新細明體" w:hAnsi="新細明體" w:cs="新細明體"/>
          <w:color w:val="000000"/>
        </w:rPr>
        <w:t>ⅱ</w:t>
      </w:r>
      <w:r>
        <w:rPr>
          <w:rFonts w:ascii="標楷體" w:eastAsia="標楷體" w:hAnsi="標楷體"/>
          <w:color w:val="000000"/>
        </w:rPr>
        <w:t>.若以HFMSE評估須滿兩歲。</w:t>
      </w:r>
    </w:p>
    <w:p w14:paraId="496E2425" w14:textId="77777777" w:rsidR="00401786" w:rsidRDefault="00C64FB3" w:rsidP="005E56FF">
      <w:pPr>
        <w:spacing w:line="300" w:lineRule="exact"/>
        <w:ind w:left="1570" w:hanging="245"/>
      </w:pPr>
      <w:r>
        <w:rPr>
          <w:rFonts w:ascii="新細明體" w:hAnsi="新細明體" w:cs="新細明體"/>
          <w:color w:val="000000"/>
        </w:rPr>
        <w:t>ⅲ</w:t>
      </w:r>
      <w:r>
        <w:rPr>
          <w:rFonts w:ascii="標楷體" w:eastAsia="標楷體" w:hAnsi="標楷體"/>
          <w:color w:val="000000"/>
        </w:rPr>
        <w:t>.若以RULM評估須滿兩歲六個月。</w:t>
      </w:r>
    </w:p>
    <w:p w14:paraId="216D8E7D"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(3)標準運動功能評估執行者：需由受過訓練之兒科專科醫師或物理治療師執行。</w:t>
      </w:r>
    </w:p>
    <w:p w14:paraId="03000C3C"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5.</w:t>
      </w:r>
      <w:proofErr w:type="gramStart"/>
      <w:r>
        <w:rPr>
          <w:rFonts w:ascii="標楷體" w:eastAsia="標楷體" w:hAnsi="標楷體"/>
          <w:color w:val="000000"/>
        </w:rPr>
        <w:t>使用本類藥品</w:t>
      </w:r>
      <w:proofErr w:type="gramEnd"/>
      <w:r>
        <w:rPr>
          <w:rFonts w:ascii="標楷體" w:eastAsia="標楷體" w:hAnsi="標楷體"/>
          <w:color w:val="000000"/>
        </w:rPr>
        <w:t>治療每年應檢附年度追蹤報告書，包括每4個月評估1次之標準運動功能、發展里程碑之錄影影片及病歷資料，並評估追蹤療效(下列評估需在SMA病人非急性住院期間執行，且病人需遵從標準支持治療)，且</w:t>
      </w:r>
      <w:proofErr w:type="gramStart"/>
      <w:r>
        <w:rPr>
          <w:rFonts w:ascii="標楷體" w:eastAsia="標楷體" w:hAnsi="標楷體"/>
          <w:color w:val="000000"/>
        </w:rPr>
        <w:t>每年均需符合</w:t>
      </w:r>
      <w:proofErr w:type="gramEnd"/>
      <w:r>
        <w:rPr>
          <w:rFonts w:ascii="標楷體" w:eastAsia="標楷體" w:hAnsi="標楷體"/>
          <w:color w:val="000000"/>
        </w:rPr>
        <w:t>下列各條件(112/10/1)：</w:t>
      </w:r>
    </w:p>
    <w:p w14:paraId="33E1FD77"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lastRenderedPageBreak/>
        <w:t>(1)存活。</w:t>
      </w:r>
    </w:p>
    <w:p w14:paraId="7FC58363" w14:textId="77777777" w:rsidR="00401786" w:rsidRDefault="00C64FB3" w:rsidP="005E56FF">
      <w:pPr>
        <w:spacing w:line="300" w:lineRule="exact"/>
        <w:ind w:left="1187" w:hanging="340"/>
      </w:pPr>
      <w:r>
        <w:rPr>
          <w:rFonts w:ascii="標楷體" w:eastAsia="標楷體" w:hAnsi="標楷體"/>
          <w:color w:val="000000"/>
        </w:rPr>
        <w:t>(2)</w:t>
      </w:r>
      <w:r>
        <w:rPr>
          <w:rFonts w:ascii="標楷體" w:eastAsia="標楷體" w:hAnsi="標楷體"/>
          <w:szCs w:val="24"/>
        </w:rPr>
        <w:t>在非急性住院</w:t>
      </w:r>
      <w:proofErr w:type="gramStart"/>
      <w:r>
        <w:rPr>
          <w:rFonts w:ascii="標楷體" w:eastAsia="標楷體" w:hAnsi="標楷體"/>
          <w:szCs w:val="24"/>
        </w:rPr>
        <w:t>期間，</w:t>
      </w:r>
      <w:proofErr w:type="gramEnd"/>
      <w:r>
        <w:rPr>
          <w:rFonts w:ascii="標楷體" w:eastAsia="標楷體" w:hAnsi="標楷體"/>
          <w:szCs w:val="24"/>
        </w:rPr>
        <w:t>未使用呼吸器，或有使用呼吸器但未達每天12小時，且連續30天。(需於年度報告書中，提交使用呼吸器之相關臨床醫療紀錄，以佐證上述治療情形) (112/10/1)</w:t>
      </w:r>
      <w:r>
        <w:rPr>
          <w:rFonts w:ascii="標楷體" w:eastAsia="標楷體" w:hAnsi="標楷體"/>
          <w:color w:val="000000"/>
        </w:rPr>
        <w:t xml:space="preserve"> </w:t>
      </w:r>
    </w:p>
    <w:p w14:paraId="574E76E8" w14:textId="77777777" w:rsidR="00401786" w:rsidRDefault="00C64FB3" w:rsidP="005E56FF">
      <w:pPr>
        <w:spacing w:line="300" w:lineRule="exact"/>
        <w:ind w:left="1187" w:hanging="340"/>
        <w:rPr>
          <w:rFonts w:ascii="標楷體" w:eastAsia="標楷體" w:hAnsi="標楷體"/>
          <w:color w:val="000000"/>
        </w:rPr>
      </w:pPr>
      <w:r>
        <w:rPr>
          <w:rFonts w:ascii="標楷體" w:eastAsia="標楷體" w:hAnsi="標楷體"/>
          <w:color w:val="000000"/>
        </w:rPr>
        <w:t>(3)用藥後追蹤CHOP INTEND、HINE Section 2、WHO motor milestones評估分數至少有一次不低於起始治療前該項標準運動功能第1次評估分數。(</w:t>
      </w:r>
      <w:proofErr w:type="gramStart"/>
      <w:r>
        <w:rPr>
          <w:rFonts w:ascii="標楷體" w:eastAsia="標楷體" w:hAnsi="標楷體"/>
          <w:color w:val="000000"/>
        </w:rPr>
        <w:t>註</w:t>
      </w:r>
      <w:proofErr w:type="gramEnd"/>
      <w:r>
        <w:rPr>
          <w:rFonts w:ascii="標楷體" w:eastAsia="標楷體" w:hAnsi="標楷體"/>
          <w:color w:val="000000"/>
        </w:rPr>
        <w:t>:如上述評估項目之評估分數每次均低於起始治療前該項標準運動功能之第1次評估分數，則表示未達療效。) (112/10/1)</w:t>
      </w:r>
    </w:p>
    <w:p w14:paraId="78348B8D" w14:textId="77777777" w:rsidR="00401786" w:rsidRDefault="00C64FB3" w:rsidP="005E56FF">
      <w:pPr>
        <w:spacing w:line="300" w:lineRule="exact"/>
        <w:ind w:left="1187" w:hanging="340"/>
        <w:rPr>
          <w:rFonts w:ascii="標楷體" w:eastAsia="標楷體" w:hAnsi="標楷體"/>
          <w:color w:val="000000"/>
        </w:rPr>
      </w:pPr>
      <w:r>
        <w:rPr>
          <w:rFonts w:ascii="標楷體" w:eastAsia="標楷體" w:hAnsi="標楷體"/>
          <w:color w:val="000000"/>
        </w:rPr>
        <w:t>(4)CHOP INTEND或HINE Section或WHO motor milestones 任</w:t>
      </w:r>
      <w:proofErr w:type="gramStart"/>
      <w:r>
        <w:rPr>
          <w:rFonts w:ascii="標楷體" w:eastAsia="標楷體" w:hAnsi="標楷體"/>
          <w:color w:val="000000"/>
        </w:rPr>
        <w:t>一</w:t>
      </w:r>
      <w:proofErr w:type="gramEnd"/>
      <w:r>
        <w:rPr>
          <w:rFonts w:ascii="標楷體" w:eastAsia="標楷體" w:hAnsi="標楷體"/>
          <w:color w:val="000000"/>
        </w:rPr>
        <w:t>評估分數已達滿分，應繼續評估下列任</w:t>
      </w:r>
      <w:proofErr w:type="gramStart"/>
      <w:r>
        <w:rPr>
          <w:rFonts w:ascii="標楷體" w:eastAsia="標楷體" w:hAnsi="標楷體"/>
          <w:color w:val="000000"/>
        </w:rPr>
        <w:t>一</w:t>
      </w:r>
      <w:proofErr w:type="gramEnd"/>
      <w:r>
        <w:rPr>
          <w:rFonts w:ascii="標楷體" w:eastAsia="標楷體" w:hAnsi="標楷體"/>
          <w:color w:val="000000"/>
        </w:rPr>
        <w:t>項目，且評估分數至少有一次不低於開始該項標準運動功能第1次評估分數。(</w:t>
      </w:r>
      <w:proofErr w:type="gramStart"/>
      <w:r>
        <w:rPr>
          <w:rFonts w:ascii="標楷體" w:eastAsia="標楷體" w:hAnsi="標楷體"/>
          <w:color w:val="000000"/>
        </w:rPr>
        <w:t>註</w:t>
      </w:r>
      <w:proofErr w:type="gramEnd"/>
      <w:r>
        <w:rPr>
          <w:rFonts w:ascii="標楷體" w:eastAsia="標楷體" w:hAnsi="標楷體"/>
          <w:color w:val="000000"/>
        </w:rPr>
        <w:t>:若評估項目之評估分數每次均低於開始該項標準運動功能之第1次評估分數，則表示未達療效。) (112/10/1)</w:t>
      </w:r>
    </w:p>
    <w:p w14:paraId="12DAA84C" w14:textId="77777777" w:rsidR="00401786" w:rsidRDefault="00C64FB3" w:rsidP="005E56FF">
      <w:pPr>
        <w:spacing w:line="300" w:lineRule="exact"/>
        <w:ind w:left="1330" w:hanging="245"/>
      </w:pPr>
      <w:proofErr w:type="spellStart"/>
      <w:r>
        <w:rPr>
          <w:rFonts w:ascii="新細明體" w:hAnsi="新細明體" w:cs="新細明體"/>
          <w:color w:val="000000"/>
        </w:rPr>
        <w:t>ⅰ</w:t>
      </w:r>
      <w:r>
        <w:rPr>
          <w:rFonts w:ascii="標楷體" w:eastAsia="標楷體" w:hAnsi="標楷體"/>
          <w:color w:val="000000"/>
        </w:rPr>
        <w:t>.BAYLEY</w:t>
      </w:r>
      <w:proofErr w:type="spellEnd"/>
      <w:r>
        <w:rPr>
          <w:rFonts w:ascii="標楷體" w:eastAsia="標楷體" w:hAnsi="標楷體"/>
          <w:color w:val="000000"/>
        </w:rPr>
        <w:t>-Ⅲ(gross motor skills)。</w:t>
      </w:r>
    </w:p>
    <w:p w14:paraId="697719B0" w14:textId="77777777" w:rsidR="00401786" w:rsidRDefault="00C64FB3" w:rsidP="005E56FF">
      <w:pPr>
        <w:spacing w:line="300" w:lineRule="exact"/>
        <w:ind w:left="1330" w:hanging="245"/>
      </w:pPr>
      <w:r>
        <w:rPr>
          <w:rFonts w:ascii="新細明體" w:hAnsi="新細明體" w:cs="新細明體"/>
          <w:color w:val="000000"/>
        </w:rPr>
        <w:t>ⅱ</w:t>
      </w:r>
      <w:r>
        <w:rPr>
          <w:rFonts w:ascii="標楷體" w:eastAsia="標楷體" w:hAnsi="標楷體"/>
          <w:color w:val="000000"/>
        </w:rPr>
        <w:t>.若以HFMSE評估須滿兩歲。</w:t>
      </w:r>
    </w:p>
    <w:p w14:paraId="192169FA" w14:textId="77777777" w:rsidR="00401786" w:rsidRDefault="00C64FB3" w:rsidP="005E56FF">
      <w:pPr>
        <w:spacing w:line="300" w:lineRule="exact"/>
        <w:ind w:left="1330" w:hanging="245"/>
      </w:pPr>
      <w:r>
        <w:rPr>
          <w:rFonts w:ascii="新細明體" w:hAnsi="新細明體" w:cs="新細明體"/>
          <w:color w:val="000000"/>
        </w:rPr>
        <w:t>ⅲ</w:t>
      </w:r>
      <w:r>
        <w:rPr>
          <w:rFonts w:ascii="標楷體" w:eastAsia="標楷體" w:hAnsi="標楷體"/>
          <w:color w:val="000000"/>
        </w:rPr>
        <w:t>.若以RULM評估須滿兩歲六個月。</w:t>
      </w:r>
    </w:p>
    <w:p w14:paraId="31EB6B05" w14:textId="77777777" w:rsidR="00401786" w:rsidRDefault="00C64FB3" w:rsidP="005E56FF">
      <w:pPr>
        <w:spacing w:line="300" w:lineRule="exact"/>
        <w:ind w:left="1187" w:hanging="340"/>
      </w:pPr>
      <w:r>
        <w:rPr>
          <w:rFonts w:ascii="標楷體" w:eastAsia="標楷體" w:hAnsi="標楷體"/>
          <w:color w:val="000000"/>
        </w:rPr>
        <w:t>(5)用藥後追蹤發展里程碑(獨自坐立</w:t>
      </w:r>
      <w:r>
        <w:rPr>
          <w:rFonts w:ascii="Times New Roman" w:eastAsia="標楷體" w:hAnsi="Times New Roman"/>
          <w:color w:val="000000"/>
        </w:rPr>
        <w:t>≥</w:t>
      </w:r>
      <w:r>
        <w:rPr>
          <w:rFonts w:ascii="標楷體" w:eastAsia="標楷體" w:hAnsi="標楷體"/>
          <w:color w:val="000000"/>
        </w:rPr>
        <w:t>30秒或獨自站立</w:t>
      </w:r>
      <w:r>
        <w:rPr>
          <w:rFonts w:ascii="Times New Roman" w:eastAsia="標楷體" w:hAnsi="Times New Roman"/>
          <w:color w:val="000000"/>
        </w:rPr>
        <w:t>≥</w:t>
      </w:r>
      <w:r>
        <w:rPr>
          <w:rFonts w:ascii="標楷體" w:eastAsia="標楷體" w:hAnsi="標楷體"/>
          <w:color w:val="000000"/>
        </w:rPr>
        <w:t>10秒或獨自行走</w:t>
      </w:r>
      <w:r>
        <w:rPr>
          <w:rFonts w:ascii="Times New Roman" w:eastAsia="標楷體" w:hAnsi="Times New Roman"/>
          <w:color w:val="000000"/>
        </w:rPr>
        <w:t>≥</w:t>
      </w:r>
      <w:r>
        <w:rPr>
          <w:rFonts w:ascii="標楷體" w:eastAsia="標楷體" w:hAnsi="標楷體"/>
          <w:color w:val="000000"/>
        </w:rPr>
        <w:t>5步），不得有退化。</w:t>
      </w:r>
      <w:r>
        <w:rPr>
          <w:rFonts w:ascii="標楷體" w:eastAsia="標楷體" w:hAnsi="標楷體"/>
          <w:szCs w:val="24"/>
        </w:rPr>
        <w:t>(</w:t>
      </w:r>
      <w:proofErr w:type="gramStart"/>
      <w:r>
        <w:rPr>
          <w:rFonts w:ascii="標楷體" w:eastAsia="標楷體" w:hAnsi="標楷體"/>
          <w:szCs w:val="24"/>
        </w:rPr>
        <w:t>註</w:t>
      </w:r>
      <w:proofErr w:type="gramEnd"/>
      <w:r>
        <w:rPr>
          <w:rFonts w:ascii="標楷體" w:eastAsia="標楷體" w:hAnsi="標楷體"/>
          <w:szCs w:val="24"/>
        </w:rPr>
        <w:t>：當年度2次以上評估均失去已達成之發展里程碑，則表示退化。) (112/10/1)</w:t>
      </w:r>
    </w:p>
    <w:p w14:paraId="2F75786F"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6.使用本藥品需完成個案系統登錄，亦需登錄每次評估療效或停止評估後，於此系統登錄結案。</w:t>
      </w:r>
    </w:p>
    <w:p w14:paraId="4899F717"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 xml:space="preserve">7.Onasemnogene </w:t>
      </w:r>
      <w:proofErr w:type="spellStart"/>
      <w:r>
        <w:rPr>
          <w:rFonts w:ascii="標楷體" w:eastAsia="標楷體" w:hAnsi="標楷體"/>
          <w:color w:val="000000"/>
        </w:rPr>
        <w:t>abeparvovec</w:t>
      </w:r>
      <w:proofErr w:type="spellEnd"/>
      <w:r>
        <w:rPr>
          <w:rFonts w:ascii="標楷體" w:eastAsia="標楷體" w:hAnsi="標楷體"/>
          <w:color w:val="000000"/>
        </w:rPr>
        <w:t xml:space="preserve"> 或</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限擇</w:t>
      </w:r>
      <w:proofErr w:type="gramStart"/>
      <w:r>
        <w:rPr>
          <w:rFonts w:ascii="標楷體" w:eastAsia="標楷體" w:hAnsi="標楷體"/>
          <w:color w:val="000000"/>
        </w:rPr>
        <w:t>一</w:t>
      </w:r>
      <w:proofErr w:type="gramEnd"/>
      <w:r>
        <w:rPr>
          <w:rFonts w:ascii="標楷體" w:eastAsia="標楷體" w:hAnsi="標楷體"/>
          <w:color w:val="000000"/>
        </w:rPr>
        <w:t>使用，且不得互換。</w:t>
      </w:r>
    </w:p>
    <w:p w14:paraId="55A9131B" w14:textId="77777777" w:rsidR="00401786" w:rsidRDefault="00C64FB3" w:rsidP="005E56FF">
      <w:pPr>
        <w:spacing w:line="300" w:lineRule="exact"/>
        <w:ind w:left="851" w:hanging="245"/>
      </w:pPr>
      <w:r>
        <w:rPr>
          <w:rFonts w:ascii="標楷體" w:eastAsia="標楷體" w:hAnsi="標楷體"/>
          <w:color w:val="000000"/>
        </w:rPr>
        <w:t>8.</w:t>
      </w:r>
      <w:r>
        <w:rPr>
          <w:rFonts w:ascii="標楷體" w:eastAsia="標楷體" w:hAnsi="標楷體"/>
          <w:szCs w:val="24"/>
        </w:rPr>
        <w:t>使用本藥品病人需簽署「全民健康</w:t>
      </w:r>
      <w:proofErr w:type="gramStart"/>
      <w:r>
        <w:rPr>
          <w:rFonts w:ascii="標楷體" w:eastAsia="標楷體" w:hAnsi="標楷體"/>
          <w:szCs w:val="24"/>
        </w:rPr>
        <w:t>保險保險</w:t>
      </w:r>
      <w:proofErr w:type="gramEnd"/>
      <w:r>
        <w:rPr>
          <w:rFonts w:ascii="標楷體" w:eastAsia="標楷體" w:hAnsi="標楷體"/>
          <w:szCs w:val="24"/>
        </w:rPr>
        <w:t>對象使用</w:t>
      </w:r>
      <w:proofErr w:type="spellStart"/>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基因療法製劑協議書」。(附表三十七) (112/10/1、113/4/1)。</w:t>
      </w:r>
    </w:p>
    <w:p w14:paraId="524EE646" w14:textId="77777777" w:rsidR="001A3809" w:rsidRPr="00BC671B" w:rsidRDefault="001A3809" w:rsidP="005E56FF">
      <w:pPr>
        <w:spacing w:line="300" w:lineRule="exact"/>
        <w:ind w:left="567" w:hanging="245"/>
        <w:rPr>
          <w:rFonts w:ascii="標楷體" w:eastAsia="標楷體" w:hAnsi="標楷體"/>
          <w:color w:val="000000"/>
        </w:rPr>
      </w:pPr>
      <w:r w:rsidRPr="00BC671B">
        <w:rPr>
          <w:rFonts w:ascii="標楷體" w:eastAsia="標楷體" w:hAnsi="標楷體"/>
          <w:color w:val="000000"/>
        </w:rPr>
        <w:t xml:space="preserve">1.6.8.Eladocagene </w:t>
      </w:r>
      <w:proofErr w:type="spellStart"/>
      <w:r w:rsidRPr="00BC671B">
        <w:rPr>
          <w:rFonts w:ascii="標楷體" w:eastAsia="標楷體" w:hAnsi="標楷體"/>
          <w:color w:val="000000"/>
        </w:rPr>
        <w:t>exuparvovec</w:t>
      </w:r>
      <w:proofErr w:type="spellEnd"/>
      <w:r w:rsidRPr="00BC671B">
        <w:rPr>
          <w:rFonts w:ascii="標楷體" w:eastAsia="標楷體" w:hAnsi="標楷體"/>
          <w:color w:val="000000"/>
        </w:rPr>
        <w:t>(如</w:t>
      </w:r>
      <w:proofErr w:type="spellStart"/>
      <w:r w:rsidRPr="00BC671B">
        <w:rPr>
          <w:rFonts w:ascii="標楷體" w:eastAsia="標楷體" w:hAnsi="標楷體"/>
          <w:color w:val="000000"/>
        </w:rPr>
        <w:t>Upstaza</w:t>
      </w:r>
      <w:proofErr w:type="spellEnd"/>
      <w:r w:rsidRPr="00BC671B">
        <w:rPr>
          <w:rFonts w:ascii="標楷體" w:eastAsia="標楷體" w:hAnsi="標楷體"/>
          <w:color w:val="000000"/>
        </w:rPr>
        <w:t>)：</w:t>
      </w:r>
      <w:proofErr w:type="gramStart"/>
      <w:r w:rsidRPr="00BC671B">
        <w:rPr>
          <w:rFonts w:ascii="標楷體" w:eastAsia="標楷體" w:hAnsi="標楷體"/>
          <w:color w:val="000000"/>
        </w:rPr>
        <w:t>（</w:t>
      </w:r>
      <w:proofErr w:type="gramEnd"/>
      <w:r w:rsidRPr="00BC671B">
        <w:rPr>
          <w:rFonts w:ascii="標楷體" w:eastAsia="標楷體" w:hAnsi="標楷體" w:hint="eastAsia"/>
          <w:color w:val="000000"/>
        </w:rPr>
        <w:t>1</w:t>
      </w:r>
      <w:r w:rsidRPr="00BC671B">
        <w:rPr>
          <w:rFonts w:ascii="標楷體" w:eastAsia="標楷體" w:hAnsi="標楷體"/>
          <w:color w:val="000000"/>
        </w:rPr>
        <w:t>14/12/1)</w:t>
      </w:r>
    </w:p>
    <w:p w14:paraId="37E4E1BF"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1.限用於經衛生福利部國民</w:t>
      </w:r>
      <w:proofErr w:type="gramStart"/>
      <w:r w:rsidRPr="00BC671B">
        <w:rPr>
          <w:rFonts w:ascii="標楷體" w:eastAsia="標楷體" w:hAnsi="標楷體"/>
          <w:color w:val="000000"/>
        </w:rPr>
        <w:t>健康署</w:t>
      </w:r>
      <w:proofErr w:type="gramEnd"/>
      <w:r w:rsidRPr="00BC671B">
        <w:rPr>
          <w:rFonts w:ascii="標楷體" w:eastAsia="標楷體" w:hAnsi="標楷體"/>
          <w:color w:val="000000"/>
        </w:rPr>
        <w:t>認定之治療年齡在18個月以上至</w:t>
      </w:r>
      <w:r w:rsidRPr="00BC671B">
        <w:rPr>
          <w:rFonts w:ascii="標楷體" w:eastAsia="標楷體" w:hAnsi="標楷體" w:hint="eastAsia"/>
          <w:color w:val="000000"/>
        </w:rPr>
        <w:t>未滿</w:t>
      </w:r>
      <w:r w:rsidRPr="00BC671B">
        <w:rPr>
          <w:rFonts w:ascii="標楷體" w:eastAsia="標楷體" w:hAnsi="標楷體"/>
          <w:color w:val="000000"/>
        </w:rPr>
        <w:t>6歲，且經臨床、生化和基因證實確診為具嚴重表現型之芳香族L-胺基</w:t>
      </w:r>
      <w:proofErr w:type="gramStart"/>
      <w:r w:rsidRPr="00BC671B">
        <w:rPr>
          <w:rFonts w:ascii="標楷體" w:eastAsia="標楷體" w:hAnsi="標楷體"/>
          <w:color w:val="000000"/>
        </w:rPr>
        <w:t>酸類脫羧基</w:t>
      </w:r>
      <w:proofErr w:type="gramEnd"/>
      <w:r w:rsidRPr="00BC671B">
        <w:rPr>
          <w:rFonts w:ascii="標楷體" w:eastAsia="標楷體" w:hAnsi="標楷體"/>
          <w:color w:val="000000"/>
        </w:rPr>
        <w:t>酶缺乏症(Aromatic L-Amino acid decarboxylase deficiency, AADC deficiency)病人，並符合下列</w:t>
      </w:r>
      <w:r w:rsidRPr="00BC671B">
        <w:rPr>
          <w:rFonts w:ascii="標楷體" w:eastAsia="標楷體" w:hAnsi="標楷體" w:hint="eastAsia"/>
          <w:color w:val="000000"/>
        </w:rPr>
        <w:t>所有</w:t>
      </w:r>
      <w:r w:rsidRPr="00BC671B">
        <w:rPr>
          <w:rFonts w:ascii="標楷體" w:eastAsia="標楷體" w:hAnsi="標楷體"/>
          <w:color w:val="000000"/>
        </w:rPr>
        <w:t>條件者：</w:t>
      </w:r>
    </w:p>
    <w:p w14:paraId="62B53FD1"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(1)年齡在12個月以上但無頭部控制能力或頭部控制不佳。</w:t>
      </w:r>
    </w:p>
    <w:p w14:paraId="5E5E1030"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(2)已使用多巴</w:t>
      </w:r>
      <w:proofErr w:type="gramStart"/>
      <w:r w:rsidRPr="00BC671B">
        <w:rPr>
          <w:rFonts w:ascii="標楷體" w:eastAsia="標楷體" w:hAnsi="標楷體"/>
          <w:color w:val="000000"/>
        </w:rPr>
        <w:t>胺促效劑</w:t>
      </w:r>
      <w:proofErr w:type="gramEnd"/>
      <w:r w:rsidRPr="00BC671B">
        <w:rPr>
          <w:rFonts w:ascii="標楷體" w:eastAsia="標楷體" w:hAnsi="標楷體"/>
          <w:color w:val="000000"/>
        </w:rPr>
        <w:t>和單胺氧化酶抑制劑（MAOIs, Monoamine oxidase inhibitor）藥物治療後，仍無法控制疾病。</w:t>
      </w:r>
    </w:p>
    <w:p w14:paraId="599FE46B"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t>2</w:t>
      </w:r>
      <w:r w:rsidRPr="00BC671B">
        <w:rPr>
          <w:rFonts w:ascii="標楷體" w:eastAsia="標楷體" w:hAnsi="標楷體"/>
          <w:color w:val="000000"/>
        </w:rPr>
        <w:t>.需經</w:t>
      </w:r>
      <w:r w:rsidRPr="00BC671B">
        <w:rPr>
          <w:rFonts w:ascii="標楷體" w:eastAsia="標楷體" w:hAnsi="標楷體" w:hint="eastAsia"/>
          <w:color w:val="000000"/>
        </w:rPr>
        <w:t>特殊專案審查</w:t>
      </w:r>
      <w:r w:rsidRPr="00BC671B">
        <w:rPr>
          <w:rFonts w:ascii="標楷體" w:eastAsia="標楷體" w:hAnsi="標楷體"/>
          <w:color w:val="000000"/>
        </w:rPr>
        <w:t>核准後使用：</w:t>
      </w:r>
    </w:p>
    <w:p w14:paraId="660AB4AF"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(1)檢附神經外科醫師評估病人頭蓋骨發育已足以進行立體定位手術</w:t>
      </w:r>
      <w:r w:rsidRPr="00BC671B">
        <w:rPr>
          <w:rFonts w:ascii="標楷體" w:eastAsia="標楷體" w:hAnsi="標楷體" w:hint="eastAsia"/>
          <w:color w:val="000000"/>
        </w:rPr>
        <w:t>之病歷</w:t>
      </w:r>
      <w:r w:rsidRPr="00BC671B">
        <w:rPr>
          <w:rFonts w:ascii="標楷體" w:eastAsia="標楷體" w:hAnsi="標楷體"/>
          <w:color w:val="000000"/>
        </w:rPr>
        <w:t>。</w:t>
      </w:r>
    </w:p>
    <w:p w14:paraId="43C29948"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(2)檢附病歷資料，</w:t>
      </w:r>
      <w:r w:rsidRPr="00BC671B">
        <w:rPr>
          <w:rFonts w:ascii="標楷體" w:eastAsia="標楷體" w:hAnsi="標楷體" w:hint="eastAsia"/>
          <w:color w:val="000000"/>
        </w:rPr>
        <w:t>包括治療前的標準運動功能評估(參見第7點療效評估)，</w:t>
      </w:r>
      <w:r w:rsidRPr="00BC671B">
        <w:rPr>
          <w:rFonts w:ascii="標楷體" w:eastAsia="標楷體" w:hAnsi="標楷體"/>
          <w:color w:val="000000"/>
        </w:rPr>
        <w:t>確認病人雖已接受標準藥物療法2個月，仍存在由AADC</w:t>
      </w:r>
      <w:proofErr w:type="gramStart"/>
      <w:r w:rsidRPr="00BC671B">
        <w:rPr>
          <w:rFonts w:ascii="標楷體" w:eastAsia="標楷體" w:hAnsi="標楷體"/>
          <w:color w:val="000000"/>
        </w:rPr>
        <w:t>缺乏症繼發</w:t>
      </w:r>
      <w:proofErr w:type="gramEnd"/>
      <w:r w:rsidRPr="00BC671B">
        <w:rPr>
          <w:rFonts w:ascii="標楷體" w:eastAsia="標楷體" w:hAnsi="標楷體"/>
          <w:color w:val="000000"/>
        </w:rPr>
        <w:t>的持續性神經症狀。</w:t>
      </w:r>
    </w:p>
    <w:p w14:paraId="1B7F34BA"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hint="eastAsia"/>
          <w:color w:val="000000"/>
        </w:rPr>
        <w:t>(3)檢附</w:t>
      </w:r>
      <w:proofErr w:type="gramStart"/>
      <w:r w:rsidRPr="00BC671B">
        <w:rPr>
          <w:rFonts w:ascii="標楷體" w:eastAsia="標楷體" w:hAnsi="標楷體" w:hint="eastAsia"/>
          <w:color w:val="000000"/>
        </w:rPr>
        <w:t>醫</w:t>
      </w:r>
      <w:proofErr w:type="gramEnd"/>
      <w:r w:rsidRPr="00BC671B">
        <w:rPr>
          <w:rFonts w:ascii="標楷體" w:eastAsia="標楷體" w:hAnsi="標楷體" w:hint="eastAsia"/>
          <w:color w:val="000000"/>
        </w:rPr>
        <w:t xml:space="preserve">病共享決策(Shared Decision </w:t>
      </w:r>
      <w:proofErr w:type="spellStart"/>
      <w:r w:rsidRPr="00BC671B">
        <w:rPr>
          <w:rFonts w:ascii="標楷體" w:eastAsia="標楷體" w:hAnsi="標楷體" w:hint="eastAsia"/>
          <w:color w:val="000000"/>
        </w:rPr>
        <w:t>Making,SDM</w:t>
      </w:r>
      <w:proofErr w:type="spellEnd"/>
      <w:r w:rsidRPr="00BC671B">
        <w:rPr>
          <w:rFonts w:ascii="標楷體" w:eastAsia="標楷體" w:hAnsi="標楷體" w:hint="eastAsia"/>
          <w:color w:val="000000"/>
        </w:rPr>
        <w:t>)之輔助評估表資料，並請病人(或法定代理人)簽名，正本留存病歷。</w:t>
      </w:r>
    </w:p>
    <w:p w14:paraId="7A1687AD"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hint="eastAsia"/>
          <w:color w:val="000000"/>
        </w:rPr>
        <w:t>(4</w:t>
      </w:r>
      <w:r w:rsidRPr="00BC671B">
        <w:rPr>
          <w:rFonts w:ascii="標楷體" w:eastAsia="標楷體" w:hAnsi="標楷體"/>
          <w:color w:val="000000"/>
        </w:rPr>
        <w:t>)</w:t>
      </w:r>
      <w:r w:rsidRPr="00BC671B">
        <w:rPr>
          <w:rFonts w:ascii="標楷體" w:eastAsia="標楷體" w:hAnsi="標楷體" w:hint="eastAsia"/>
          <w:color w:val="000000"/>
        </w:rPr>
        <w:t>檢附病人(或法定代理人)簽署「全民健康</w:t>
      </w:r>
      <w:proofErr w:type="gramStart"/>
      <w:r w:rsidRPr="00BC671B">
        <w:rPr>
          <w:rFonts w:ascii="標楷體" w:eastAsia="標楷體" w:hAnsi="標楷體" w:hint="eastAsia"/>
          <w:color w:val="000000"/>
        </w:rPr>
        <w:t>保險保險</w:t>
      </w:r>
      <w:proofErr w:type="gramEnd"/>
      <w:r w:rsidRPr="00BC671B">
        <w:rPr>
          <w:rFonts w:ascii="標楷體" w:eastAsia="標楷體" w:hAnsi="標楷體" w:hint="eastAsia"/>
          <w:color w:val="000000"/>
        </w:rPr>
        <w:t>對象使用</w:t>
      </w:r>
      <w:proofErr w:type="spellStart"/>
      <w:r w:rsidRPr="00BC671B">
        <w:rPr>
          <w:rFonts w:ascii="標楷體" w:eastAsia="標楷體" w:hAnsi="標楷體"/>
          <w:color w:val="000000"/>
        </w:rPr>
        <w:t>eladocagene</w:t>
      </w:r>
      <w:proofErr w:type="spellEnd"/>
      <w:r w:rsidRPr="00BC671B">
        <w:rPr>
          <w:rFonts w:ascii="標楷體" w:eastAsia="標楷體" w:hAnsi="標楷體"/>
          <w:color w:val="000000"/>
        </w:rPr>
        <w:t xml:space="preserve"> </w:t>
      </w:r>
      <w:proofErr w:type="spellStart"/>
      <w:r w:rsidRPr="00BC671B">
        <w:rPr>
          <w:rFonts w:ascii="標楷體" w:eastAsia="標楷體" w:hAnsi="標楷體"/>
          <w:color w:val="000000"/>
        </w:rPr>
        <w:t>exuparvovec</w:t>
      </w:r>
      <w:proofErr w:type="spellEnd"/>
      <w:r w:rsidRPr="00BC671B">
        <w:rPr>
          <w:rFonts w:ascii="標楷體" w:eastAsia="標楷體" w:hAnsi="標楷體" w:hint="eastAsia"/>
          <w:color w:val="000000"/>
        </w:rPr>
        <w:t>基因療法製劑協議書」影本，正本留存病歷。</w:t>
      </w:r>
    </w:p>
    <w:p w14:paraId="4D5FFC52"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t>3</w:t>
      </w:r>
      <w:r w:rsidRPr="00BC671B">
        <w:rPr>
          <w:rFonts w:ascii="標楷體" w:eastAsia="標楷體" w:hAnsi="標楷體"/>
          <w:color w:val="000000"/>
        </w:rPr>
        <w:t>.醫院及</w:t>
      </w:r>
      <w:r w:rsidRPr="00BC671B">
        <w:rPr>
          <w:rFonts w:ascii="標楷體" w:eastAsia="標楷體" w:hAnsi="標楷體" w:hint="eastAsia"/>
          <w:color w:val="000000"/>
        </w:rPr>
        <w:t>執行治療之醫師</w:t>
      </w:r>
      <w:r w:rsidRPr="00BC671B">
        <w:rPr>
          <w:rFonts w:ascii="標楷體" w:eastAsia="標楷體" w:hAnsi="標楷體"/>
          <w:color w:val="000000"/>
        </w:rPr>
        <w:t>資格</w:t>
      </w:r>
      <w:r w:rsidRPr="00BC671B">
        <w:rPr>
          <w:rFonts w:ascii="標楷體" w:eastAsia="標楷體" w:hAnsi="標楷體" w:hint="eastAsia"/>
          <w:color w:val="000000"/>
        </w:rPr>
        <w:t>須先經保險人審核同意後，後續始得依個案申請特殊專案審查，另醫院及執行治療之醫師</w:t>
      </w:r>
      <w:r w:rsidRPr="00BC671B">
        <w:rPr>
          <w:rFonts w:ascii="標楷體" w:eastAsia="標楷體" w:hAnsi="標楷體"/>
          <w:color w:val="000000"/>
        </w:rPr>
        <w:t>變更時應重新</w:t>
      </w:r>
      <w:r w:rsidRPr="00BC671B">
        <w:rPr>
          <w:rFonts w:ascii="標楷體" w:eastAsia="標楷體" w:hAnsi="標楷體" w:hint="eastAsia"/>
          <w:color w:val="000000"/>
        </w:rPr>
        <w:t>向保險人申請</w:t>
      </w:r>
      <w:r w:rsidRPr="00BC671B">
        <w:rPr>
          <w:rFonts w:ascii="標楷體" w:eastAsia="標楷體" w:hAnsi="標楷體"/>
          <w:color w:val="000000"/>
        </w:rPr>
        <w:t>。</w:t>
      </w:r>
    </w:p>
    <w:p w14:paraId="765FB505"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t>4</w:t>
      </w:r>
      <w:r w:rsidRPr="00BC671B">
        <w:rPr>
          <w:rFonts w:ascii="標楷體" w:eastAsia="標楷體" w:hAnsi="標楷體"/>
          <w:color w:val="000000"/>
        </w:rPr>
        <w:t>.執行治療之醫院須符合下列所有資格：</w:t>
      </w:r>
    </w:p>
    <w:p w14:paraId="50B07BD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(1)須為台灣神經外科醫學會所認定之專科醫師訓練的醫學中心。</w:t>
      </w:r>
    </w:p>
    <w:p w14:paraId="1D8C1790"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(2)應有專任具兒童麻醉、兒童重症加護專長之醫師。</w:t>
      </w:r>
    </w:p>
    <w:p w14:paraId="2270C016"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(3)需有腦瘤立體定位手術(但不包括放射治療手術)每年30例以上經驗。</w:t>
      </w:r>
    </w:p>
    <w:p w14:paraId="5A85DE7D"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(4)須具備兒童加護病房及基因治療調劑室，並有基因治療調劑經驗之醫學中心。</w:t>
      </w:r>
    </w:p>
    <w:p w14:paraId="5CB53AB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(5)備有完善腦部精</w:t>
      </w:r>
      <w:proofErr w:type="gramStart"/>
      <w:r w:rsidRPr="00BC671B">
        <w:rPr>
          <w:rFonts w:ascii="標楷體" w:eastAsia="標楷體" w:hAnsi="標楷體"/>
          <w:color w:val="000000"/>
        </w:rPr>
        <w:t>準</w:t>
      </w:r>
      <w:proofErr w:type="gramEnd"/>
      <w:r w:rsidRPr="00BC671B">
        <w:rPr>
          <w:rFonts w:ascii="標楷體" w:eastAsia="標楷體" w:hAnsi="標楷體"/>
          <w:color w:val="000000"/>
        </w:rPr>
        <w:t>定位手術導航系統，深</w:t>
      </w:r>
      <w:proofErr w:type="gramStart"/>
      <w:r w:rsidRPr="00BC671B">
        <w:rPr>
          <w:rFonts w:ascii="標楷體" w:eastAsia="標楷體" w:hAnsi="標楷體"/>
          <w:color w:val="000000"/>
        </w:rPr>
        <w:t>層腦部</w:t>
      </w:r>
      <w:proofErr w:type="gramEnd"/>
      <w:r w:rsidRPr="00BC671B">
        <w:rPr>
          <w:rFonts w:ascii="標楷體" w:eastAsia="標楷體" w:hAnsi="標楷體"/>
          <w:color w:val="000000"/>
        </w:rPr>
        <w:t>刺激器之立體</w:t>
      </w:r>
      <w:proofErr w:type="gramStart"/>
      <w:r w:rsidRPr="00BC671B">
        <w:rPr>
          <w:rFonts w:ascii="標楷體" w:eastAsia="標楷體" w:hAnsi="標楷體"/>
          <w:color w:val="000000"/>
        </w:rPr>
        <w:t>定位套組</w:t>
      </w:r>
      <w:proofErr w:type="gramEnd"/>
      <w:r w:rsidRPr="00BC671B">
        <w:rPr>
          <w:rFonts w:ascii="標楷體" w:eastAsia="標楷體" w:hAnsi="標楷體"/>
          <w:color w:val="000000"/>
        </w:rPr>
        <w:t>。</w:t>
      </w:r>
    </w:p>
    <w:p w14:paraId="2F9AB8D4"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lastRenderedPageBreak/>
        <w:t>5</w:t>
      </w:r>
      <w:r w:rsidRPr="00BC671B">
        <w:rPr>
          <w:rFonts w:ascii="標楷體" w:eastAsia="標楷體" w:hAnsi="標楷體"/>
          <w:color w:val="000000"/>
        </w:rPr>
        <w:t>.執行治療之醫師須符合下列資格：</w:t>
      </w:r>
    </w:p>
    <w:p w14:paraId="5DB16CE3"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(1)手術主持醫師：須為神經外科專科醫師，曾參與完成30例以上之立體定位手術經驗，其中至少5例為兒童(包括1例為</w:t>
      </w:r>
      <w:r w:rsidRPr="00BC671B">
        <w:rPr>
          <w:rFonts w:ascii="標楷體" w:eastAsia="標楷體" w:hAnsi="標楷體" w:hint="eastAsia"/>
          <w:color w:val="000000"/>
        </w:rPr>
        <w:t>未滿3</w:t>
      </w:r>
      <w:r w:rsidRPr="00BC671B">
        <w:rPr>
          <w:rFonts w:ascii="標楷體" w:eastAsia="標楷體" w:hAnsi="標楷體"/>
          <w:color w:val="000000"/>
        </w:rPr>
        <w:t>歲)之立體定位手術，並</w:t>
      </w:r>
      <w:r w:rsidRPr="00BC671B">
        <w:rPr>
          <w:rFonts w:ascii="標楷體" w:eastAsia="標楷體" w:hAnsi="標楷體" w:hint="eastAsia"/>
          <w:color w:val="000000"/>
        </w:rPr>
        <w:t>有</w:t>
      </w:r>
      <w:r w:rsidRPr="00BC671B">
        <w:rPr>
          <w:rFonts w:ascii="標楷體" w:eastAsia="標楷體" w:hAnsi="標楷體"/>
          <w:color w:val="000000"/>
        </w:rPr>
        <w:t>「AADC基因療法」(含病毒注射)</w:t>
      </w:r>
      <w:r w:rsidRPr="00BC671B">
        <w:rPr>
          <w:rFonts w:ascii="標楷體" w:eastAsia="標楷體" w:hAnsi="標楷體" w:hint="eastAsia"/>
          <w:color w:val="000000"/>
        </w:rPr>
        <w:t>經驗者</w:t>
      </w:r>
      <w:r w:rsidRPr="00BC671B">
        <w:rPr>
          <w:rFonts w:ascii="標楷體" w:eastAsia="標楷體" w:hAnsi="標楷體"/>
          <w:color w:val="000000"/>
        </w:rPr>
        <w:t>。</w:t>
      </w:r>
    </w:p>
    <w:p w14:paraId="7AAB326D"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w:t>
      </w:r>
      <w:r w:rsidRPr="00BC671B">
        <w:rPr>
          <w:rFonts w:ascii="標楷體" w:eastAsia="標楷體" w:hAnsi="標楷體" w:hint="eastAsia"/>
          <w:color w:val="000000"/>
        </w:rPr>
        <w:t>處方</w:t>
      </w:r>
      <w:r w:rsidRPr="00BC671B">
        <w:rPr>
          <w:rFonts w:ascii="標楷體" w:eastAsia="標楷體" w:hAnsi="標楷體"/>
          <w:color w:val="000000"/>
        </w:rPr>
        <w:t>醫師：須為小兒專科醫師5年以上經驗，並具小兒遺傳或小兒神經次專科證書者，且具有</w:t>
      </w:r>
      <w:r w:rsidRPr="00BC671B">
        <w:rPr>
          <w:rFonts w:ascii="標楷體" w:eastAsia="標楷體" w:hAnsi="標楷體" w:hint="eastAsia"/>
          <w:color w:val="000000"/>
        </w:rPr>
        <w:t>參與</w:t>
      </w:r>
      <w:r w:rsidRPr="00BC671B">
        <w:rPr>
          <w:rFonts w:ascii="標楷體" w:eastAsia="標楷體" w:hAnsi="標楷體"/>
          <w:color w:val="000000"/>
        </w:rPr>
        <w:t>AADC基因治療人體試驗之試驗主持人</w:t>
      </w:r>
      <w:r w:rsidRPr="00BC671B">
        <w:rPr>
          <w:rFonts w:ascii="標楷體" w:eastAsia="標楷體" w:hAnsi="標楷體" w:hint="eastAsia"/>
          <w:color w:val="000000"/>
        </w:rPr>
        <w:t>或該團隊中具處方本藥品之</w:t>
      </w:r>
      <w:r w:rsidRPr="00BC671B">
        <w:rPr>
          <w:rFonts w:ascii="標楷體" w:eastAsia="標楷體" w:hAnsi="標楷體"/>
          <w:color w:val="000000"/>
        </w:rPr>
        <w:t>經歷。</w:t>
      </w:r>
    </w:p>
    <w:p w14:paraId="14BA8A5E"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6.排除條件：</w:t>
      </w:r>
    </w:p>
    <w:p w14:paraId="535AFAE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(1)病人存在其他重大的醫學或神經狀況，導致有無法接受手術或麻醉的風險。</w:t>
      </w:r>
    </w:p>
    <w:p w14:paraId="6458906A"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(2)對影像檢查（電腦斷層掃描或磁振造影）有禁忌症，包括對鎮靜的限制或可能干擾腦</w:t>
      </w:r>
      <w:proofErr w:type="gramStart"/>
      <w:r w:rsidRPr="00BC671B">
        <w:rPr>
          <w:rFonts w:ascii="標楷體" w:eastAsia="標楷體" w:hAnsi="標楷體"/>
          <w:color w:val="000000"/>
        </w:rPr>
        <w:t>部磁振造</w:t>
      </w:r>
      <w:proofErr w:type="gramEnd"/>
      <w:r w:rsidRPr="00BC671B">
        <w:rPr>
          <w:rFonts w:ascii="標楷體" w:eastAsia="標楷體" w:hAnsi="標楷體"/>
          <w:color w:val="000000"/>
        </w:rPr>
        <w:t>影的金屬</w:t>
      </w:r>
      <w:proofErr w:type="gramStart"/>
      <w:r w:rsidRPr="00BC671B">
        <w:rPr>
          <w:rFonts w:ascii="標楷體" w:eastAsia="標楷體" w:hAnsi="標楷體"/>
          <w:color w:val="000000"/>
        </w:rPr>
        <w:t>植入物</w:t>
      </w:r>
      <w:proofErr w:type="gramEnd"/>
      <w:r w:rsidRPr="00BC671B">
        <w:rPr>
          <w:rFonts w:ascii="標楷體" w:eastAsia="標楷體" w:hAnsi="標楷體"/>
          <w:color w:val="000000"/>
        </w:rPr>
        <w:t>。</w:t>
      </w:r>
    </w:p>
    <w:p w14:paraId="34A90F32"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(3)病人存在其他危及生命的疾病，預期無法從此基因治療中獲益。</w:t>
      </w:r>
    </w:p>
    <w:p w14:paraId="54B8BF17"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7.療效評估時機、判定及執行者：</w:t>
      </w:r>
    </w:p>
    <w:p w14:paraId="4E87AB9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(1)評估時機：</w:t>
      </w:r>
    </w:p>
    <w:p w14:paraId="45CEE90B" w14:textId="77777777" w:rsidR="001A3809" w:rsidRPr="00BC671B" w:rsidRDefault="001A3809" w:rsidP="005E56FF">
      <w:pPr>
        <w:spacing w:line="300" w:lineRule="exact"/>
        <w:ind w:left="1560" w:hanging="426"/>
        <w:rPr>
          <w:rFonts w:ascii="標楷體" w:eastAsia="標楷體" w:hAnsi="標楷體"/>
          <w:color w:val="000000"/>
        </w:rPr>
      </w:pPr>
      <w:r w:rsidRPr="00BC671B">
        <w:rPr>
          <w:rFonts w:ascii="標楷體" w:eastAsia="標楷體" w:hAnsi="標楷體" w:hint="eastAsia"/>
          <w:color w:val="000000"/>
        </w:rPr>
        <w:t>Ⅰ</w:t>
      </w:r>
      <w:r w:rsidRPr="00BC671B">
        <w:rPr>
          <w:rFonts w:ascii="標楷體" w:eastAsia="標楷體" w:hAnsi="標楷體"/>
          <w:color w:val="000000"/>
        </w:rPr>
        <w:t>.治療前。</w:t>
      </w:r>
    </w:p>
    <w:p w14:paraId="2DCF2A62" w14:textId="77777777" w:rsidR="001A3809" w:rsidRPr="00BC671B" w:rsidRDefault="001A3809" w:rsidP="005E56FF">
      <w:pPr>
        <w:spacing w:line="300" w:lineRule="exact"/>
        <w:ind w:left="1560" w:hanging="426"/>
        <w:rPr>
          <w:rFonts w:ascii="標楷體" w:eastAsia="標楷體" w:hAnsi="標楷體"/>
          <w:color w:val="000000"/>
        </w:rPr>
      </w:pPr>
      <w:r w:rsidRPr="00BC671B">
        <w:rPr>
          <w:rFonts w:ascii="標楷體" w:eastAsia="標楷體" w:hAnsi="標楷體" w:hint="eastAsia"/>
          <w:color w:val="000000"/>
        </w:rPr>
        <w:t>Ⅱ</w:t>
      </w:r>
      <w:r w:rsidRPr="00BC671B">
        <w:rPr>
          <w:rFonts w:ascii="標楷體" w:eastAsia="標楷體" w:hAnsi="標楷體"/>
          <w:color w:val="000000"/>
        </w:rPr>
        <w:t>.</w:t>
      </w:r>
      <w:bookmarkStart w:id="2" w:name="_Hlk205388638"/>
      <w:r w:rsidRPr="00BC671B">
        <w:rPr>
          <w:rFonts w:ascii="標楷體" w:eastAsia="標楷體" w:hAnsi="標楷體"/>
          <w:color w:val="000000"/>
        </w:rPr>
        <w:t>治療後第一年每3個月評估1次，之後為每6個月評估一次</w:t>
      </w:r>
      <w:bookmarkEnd w:id="2"/>
      <w:r w:rsidRPr="00BC671B">
        <w:rPr>
          <w:rFonts w:ascii="標楷體" w:eastAsia="標楷體" w:hAnsi="標楷體"/>
          <w:color w:val="000000"/>
        </w:rPr>
        <w:t>。</w:t>
      </w:r>
    </w:p>
    <w:p w14:paraId="7F99ADD7"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 xml:space="preserve">(2)評估方式，必須包括以下兩大項: </w:t>
      </w:r>
    </w:p>
    <w:p w14:paraId="45AF12CE" w14:textId="77777777" w:rsidR="001A3809" w:rsidRPr="00BC671B" w:rsidRDefault="001A3809" w:rsidP="005E56FF">
      <w:pPr>
        <w:spacing w:line="300" w:lineRule="exact"/>
        <w:ind w:left="1418" w:hanging="245"/>
        <w:rPr>
          <w:rFonts w:ascii="標楷體" w:eastAsia="標楷體" w:hAnsi="標楷體"/>
          <w:color w:val="000000"/>
        </w:rPr>
      </w:pPr>
      <w:r w:rsidRPr="00BC671B">
        <w:rPr>
          <w:rFonts w:ascii="標楷體" w:eastAsia="標楷體" w:hAnsi="標楷體" w:hint="eastAsia"/>
          <w:color w:val="000000"/>
        </w:rPr>
        <w:t>Ⅰ</w:t>
      </w:r>
      <w:r w:rsidRPr="00BC671B">
        <w:rPr>
          <w:rFonts w:ascii="標楷體" w:eastAsia="標楷體" w:hAnsi="標楷體"/>
          <w:color w:val="000000"/>
        </w:rPr>
        <w:t>.標準運動功能:必須完成下列評估：</w:t>
      </w:r>
    </w:p>
    <w:p w14:paraId="687152DB" w14:textId="77777777" w:rsidR="001A3809" w:rsidRPr="00BC671B" w:rsidRDefault="001A3809" w:rsidP="005E56FF">
      <w:pPr>
        <w:spacing w:line="300" w:lineRule="exact"/>
        <w:ind w:left="1560" w:hanging="245"/>
        <w:rPr>
          <w:rFonts w:ascii="標楷體" w:eastAsia="標楷體" w:hAnsi="標楷體"/>
          <w:color w:val="000000"/>
        </w:rPr>
      </w:pPr>
      <w:r w:rsidRPr="00BC671B">
        <w:rPr>
          <w:rFonts w:ascii="新細明體" w:hAnsi="新細明體" w:cs="新細明體" w:hint="eastAsia"/>
          <w:color w:val="000000"/>
        </w:rPr>
        <w:t>ⅰ</w:t>
      </w:r>
      <w:r w:rsidRPr="00BC671B">
        <w:rPr>
          <w:rFonts w:ascii="標楷體" w:eastAsia="標楷體" w:hAnsi="標楷體"/>
          <w:color w:val="000000"/>
        </w:rPr>
        <w:t>.PDMS-2。</w:t>
      </w:r>
    </w:p>
    <w:p w14:paraId="5E849C95" w14:textId="77777777" w:rsidR="001A3809" w:rsidRPr="00BC671B" w:rsidRDefault="001A3809" w:rsidP="005E56FF">
      <w:pPr>
        <w:spacing w:line="300" w:lineRule="exact"/>
        <w:ind w:left="1560" w:hanging="245"/>
        <w:rPr>
          <w:rFonts w:ascii="標楷體" w:eastAsia="標楷體" w:hAnsi="標楷體"/>
          <w:color w:val="000000"/>
        </w:rPr>
      </w:pPr>
      <w:r w:rsidRPr="00BC671B">
        <w:rPr>
          <w:rFonts w:ascii="新細明體" w:hAnsi="新細明體" w:cs="新細明體" w:hint="eastAsia"/>
          <w:color w:val="000000"/>
        </w:rPr>
        <w:t>ⅱ</w:t>
      </w:r>
      <w:r w:rsidRPr="00BC671B">
        <w:rPr>
          <w:rFonts w:ascii="標楷體" w:eastAsia="標楷體" w:hAnsi="標楷體"/>
          <w:color w:val="000000"/>
        </w:rPr>
        <w:t>.WHO motor milestones。</w:t>
      </w:r>
    </w:p>
    <w:p w14:paraId="2077F817" w14:textId="77777777" w:rsidR="001A3809" w:rsidRPr="00BC671B" w:rsidRDefault="001A3809" w:rsidP="005E56FF">
      <w:pPr>
        <w:spacing w:line="300" w:lineRule="exact"/>
        <w:ind w:left="1418" w:hanging="245"/>
        <w:rPr>
          <w:rFonts w:ascii="標楷體" w:eastAsia="標楷體" w:hAnsi="標楷體"/>
          <w:color w:val="000000"/>
        </w:rPr>
      </w:pPr>
      <w:r w:rsidRPr="00BC671B">
        <w:rPr>
          <w:rFonts w:ascii="標楷體" w:eastAsia="標楷體" w:hAnsi="標楷體"/>
          <w:color w:val="000000"/>
        </w:rPr>
        <w:t>II.理學與神經學檢查:發展里程碑、生長發育(身高、體重)、肌肉張力、肌張力失調、肌肉力量，和深層肌腱反射反應。</w:t>
      </w:r>
    </w:p>
    <w:p w14:paraId="35755CC7"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(3)標準運動功能評估執行者：需由受過訓練之兒童遺傳科或兒童神經科專科醫師或物理治療師執行。</w:t>
      </w:r>
    </w:p>
    <w:p w14:paraId="727510A3"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8.</w:t>
      </w:r>
      <w:proofErr w:type="gramStart"/>
      <w:r w:rsidRPr="00BC671B">
        <w:rPr>
          <w:rFonts w:ascii="標楷體" w:eastAsia="標楷體" w:hAnsi="標楷體"/>
          <w:color w:val="000000"/>
        </w:rPr>
        <w:t>使用本類藥品</w:t>
      </w:r>
      <w:proofErr w:type="gramEnd"/>
      <w:r w:rsidRPr="00BC671B">
        <w:rPr>
          <w:rFonts w:ascii="標楷體" w:eastAsia="標楷體" w:hAnsi="標楷體"/>
          <w:color w:val="000000"/>
        </w:rPr>
        <w:t>須評估追蹤療效，且</w:t>
      </w:r>
      <w:proofErr w:type="gramStart"/>
      <w:r w:rsidRPr="00BC671B">
        <w:rPr>
          <w:rFonts w:ascii="標楷體" w:eastAsia="標楷體" w:hAnsi="標楷體"/>
          <w:color w:val="000000"/>
        </w:rPr>
        <w:t>每年均需符合</w:t>
      </w:r>
      <w:proofErr w:type="gramEnd"/>
      <w:r w:rsidRPr="00BC671B">
        <w:rPr>
          <w:rFonts w:ascii="標楷體" w:eastAsia="標楷體" w:hAnsi="標楷體"/>
          <w:color w:val="000000"/>
        </w:rPr>
        <w:t>下列各條件：</w:t>
      </w:r>
    </w:p>
    <w:p w14:paraId="100C2EF6" w14:textId="77777777" w:rsidR="001A3809" w:rsidRPr="00BC671B" w:rsidRDefault="001A3809" w:rsidP="005E56FF">
      <w:pPr>
        <w:spacing w:line="300" w:lineRule="exact"/>
        <w:ind w:left="851" w:firstLine="142"/>
        <w:rPr>
          <w:rFonts w:ascii="標楷體" w:eastAsia="標楷體" w:hAnsi="標楷體"/>
          <w:color w:val="000000"/>
        </w:rPr>
      </w:pPr>
      <w:r w:rsidRPr="00BC671B">
        <w:rPr>
          <w:rFonts w:ascii="標楷體" w:eastAsia="標楷體" w:hAnsi="標楷體"/>
          <w:color w:val="000000"/>
        </w:rPr>
        <w:t>(1)存活。</w:t>
      </w:r>
    </w:p>
    <w:p w14:paraId="3E723CA7" w14:textId="77777777" w:rsidR="001A3809" w:rsidRPr="00BC671B" w:rsidRDefault="001A3809" w:rsidP="005E56FF">
      <w:pPr>
        <w:spacing w:line="300" w:lineRule="exact"/>
        <w:ind w:left="1276" w:hanging="283"/>
        <w:rPr>
          <w:rFonts w:ascii="標楷體" w:eastAsia="標楷體" w:hAnsi="標楷體"/>
          <w:color w:val="000000"/>
        </w:rPr>
      </w:pPr>
      <w:r w:rsidRPr="00BC671B">
        <w:rPr>
          <w:rFonts w:ascii="標楷體" w:eastAsia="標楷體" w:hAnsi="標楷體"/>
          <w:color w:val="000000"/>
        </w:rPr>
        <w:t>(2)用藥後追蹤標準運動功能評估分數皆不低於起始治療前該項標準運動功能第1次評估分數。</w:t>
      </w:r>
    </w:p>
    <w:p w14:paraId="3F8DAFBB" w14:textId="77777777" w:rsidR="00401786" w:rsidRDefault="001A3809" w:rsidP="005E56FF">
      <w:pPr>
        <w:spacing w:line="300" w:lineRule="exact"/>
        <w:ind w:left="1276" w:hanging="283"/>
        <w:rPr>
          <w:rFonts w:ascii="標楷體" w:eastAsia="標楷體" w:hAnsi="標楷體"/>
          <w:color w:val="000000"/>
        </w:rPr>
      </w:pPr>
      <w:r w:rsidRPr="00BC671B">
        <w:rPr>
          <w:rFonts w:ascii="標楷體" w:eastAsia="標楷體" w:hAnsi="標楷體"/>
          <w:color w:val="000000"/>
        </w:rPr>
        <w:t>(3)用藥後發展里程碑不低於起始治療前之評估結果。</w:t>
      </w:r>
    </w:p>
    <w:p w14:paraId="76B60C7D" w14:textId="77777777" w:rsidR="005E56FF" w:rsidRPr="00A11683" w:rsidRDefault="005E56FF" w:rsidP="005E56FF">
      <w:pPr>
        <w:spacing w:line="300" w:lineRule="exact"/>
        <w:ind w:left="567" w:hanging="283"/>
        <w:rPr>
          <w:rFonts w:ascii="標楷體" w:eastAsia="標楷體" w:hAnsi="標楷體"/>
          <w:color w:val="000000"/>
        </w:rPr>
      </w:pPr>
      <w:r w:rsidRPr="00A11683">
        <w:rPr>
          <w:rFonts w:ascii="標楷體" w:eastAsia="標楷體" w:hAnsi="標楷體" w:hint="eastAsia"/>
          <w:color w:val="000000"/>
        </w:rPr>
        <w:t>1.6.9. Baclofen注射劑 (如</w:t>
      </w:r>
      <w:proofErr w:type="spellStart"/>
      <w:r w:rsidRPr="00A11683">
        <w:rPr>
          <w:rFonts w:ascii="標楷體" w:eastAsia="標楷體" w:hAnsi="標楷體" w:hint="eastAsia"/>
          <w:color w:val="000000"/>
        </w:rPr>
        <w:t>Gablofen</w:t>
      </w:r>
      <w:proofErr w:type="spellEnd"/>
      <w:r w:rsidRPr="00A11683">
        <w:rPr>
          <w:rFonts w:ascii="標楷體" w:eastAsia="標楷體" w:hAnsi="標楷體" w:hint="eastAsia"/>
          <w:color w:val="000000"/>
        </w:rPr>
        <w:t>)：(115/7/1)</w:t>
      </w:r>
    </w:p>
    <w:p w14:paraId="410A14C4"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1.限用於4歲(含)以上兒童及成人</w:t>
      </w:r>
      <w:proofErr w:type="gramStart"/>
      <w:r w:rsidRPr="00A11683">
        <w:rPr>
          <w:rFonts w:ascii="標楷體" w:eastAsia="標楷體" w:hAnsi="標楷體" w:hint="eastAsia"/>
          <w:color w:val="000000"/>
        </w:rPr>
        <w:t>之腦源性</w:t>
      </w:r>
      <w:proofErr w:type="gramEnd"/>
      <w:r w:rsidRPr="00A11683">
        <w:rPr>
          <w:rFonts w:ascii="標楷體" w:eastAsia="標楷體" w:hAnsi="標楷體" w:hint="eastAsia"/>
          <w:color w:val="000000"/>
        </w:rPr>
        <w:t>或脊髓源性嚴重痙攣病人，且須先經口服baclofen治療無反應或在有效劑量下出現無法耐受中樞神經系統副作用。</w:t>
      </w:r>
    </w:p>
    <w:p w14:paraId="3ACB78B2"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2.限區域以上（含）教學醫院之神經科、復健科、神經外科或經小兒神經科訓練醫師評估與執行。</w:t>
      </w:r>
    </w:p>
    <w:p w14:paraId="2AE2282C"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3.起始條件：</w:t>
      </w:r>
      <w:proofErr w:type="gramStart"/>
      <w:r w:rsidRPr="00A11683">
        <w:rPr>
          <w:rFonts w:ascii="標楷體" w:eastAsia="標楷體" w:hAnsi="標楷體" w:hint="eastAsia"/>
          <w:color w:val="000000"/>
        </w:rPr>
        <w:t>經單次</w:t>
      </w:r>
      <w:proofErr w:type="gramEnd"/>
      <w:r w:rsidRPr="00A11683">
        <w:rPr>
          <w:rFonts w:ascii="標楷體" w:eastAsia="標楷體" w:hAnsi="標楷體" w:hint="eastAsia"/>
          <w:color w:val="000000"/>
        </w:rPr>
        <w:t>測試劑量對baclofen注射有反應且經評估需長期治療者。</w:t>
      </w:r>
    </w:p>
    <w:p w14:paraId="412BDBDA"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4.需經事前審查核准後使用。</w:t>
      </w:r>
    </w:p>
    <w:p w14:paraId="4A9E190E"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(1)</w:t>
      </w:r>
      <w:r w:rsidRPr="00A11683">
        <w:rPr>
          <w:rFonts w:ascii="標楷體" w:eastAsia="標楷體" w:hAnsi="標楷體" w:hint="eastAsia"/>
          <w:color w:val="000000"/>
        </w:rPr>
        <w:tab/>
        <w:t>申請時需檢附功能</w:t>
      </w:r>
      <w:proofErr w:type="gramStart"/>
      <w:r w:rsidRPr="00A11683">
        <w:rPr>
          <w:rFonts w:ascii="標楷體" w:eastAsia="標楷體" w:hAnsi="標楷體" w:hint="eastAsia"/>
          <w:color w:val="000000"/>
        </w:rPr>
        <w:t>量表如</w:t>
      </w:r>
      <w:proofErr w:type="gramEnd"/>
      <w:r w:rsidRPr="00A11683">
        <w:rPr>
          <w:rFonts w:ascii="標楷體" w:eastAsia="標楷體" w:hAnsi="標楷體" w:hint="eastAsia"/>
          <w:color w:val="000000"/>
        </w:rPr>
        <w:t xml:space="preserve">GMFCS </w:t>
      </w:r>
      <w:proofErr w:type="gramStart"/>
      <w:r w:rsidRPr="00A11683">
        <w:rPr>
          <w:rFonts w:ascii="標楷體" w:eastAsia="標楷體" w:hAnsi="標楷體" w:hint="eastAsia"/>
          <w:color w:val="000000"/>
        </w:rPr>
        <w:t>（</w:t>
      </w:r>
      <w:proofErr w:type="gramEnd"/>
      <w:r w:rsidRPr="00A11683">
        <w:rPr>
          <w:rFonts w:ascii="標楷體" w:eastAsia="標楷體" w:hAnsi="標楷體" w:hint="eastAsia"/>
          <w:color w:val="000000"/>
        </w:rPr>
        <w:t>Gross Motor Function Classification System)達III至V級評估結果、Modified Ashworth Scale評估結果、病歷資料、治療計畫及照片或影片。</w:t>
      </w:r>
    </w:p>
    <w:p w14:paraId="7A37B167" w14:textId="2E340647" w:rsidR="005E56FF" w:rsidRDefault="005E56FF" w:rsidP="005E56FF">
      <w:pPr>
        <w:spacing w:line="300" w:lineRule="exact"/>
        <w:ind w:left="1276" w:hanging="283"/>
        <w:rPr>
          <w:rFonts w:ascii="標楷體" w:eastAsia="標楷體" w:hAnsi="標楷體"/>
          <w:color w:val="000000"/>
        </w:rPr>
      </w:pPr>
      <w:r w:rsidRPr="00A11683">
        <w:rPr>
          <w:rFonts w:ascii="標楷體" w:eastAsia="標楷體" w:hAnsi="標楷體" w:hint="eastAsia"/>
          <w:color w:val="000000"/>
        </w:rPr>
        <w:t>(2)</w:t>
      </w:r>
      <w:r w:rsidRPr="00A11683">
        <w:rPr>
          <w:rFonts w:ascii="標楷體" w:eastAsia="標楷體" w:hAnsi="標楷體" w:hint="eastAsia"/>
          <w:color w:val="000000"/>
        </w:rPr>
        <w:tab/>
        <w:t>首次申請以六個月為限，之後每六</w:t>
      </w:r>
      <w:proofErr w:type="gramStart"/>
      <w:r w:rsidRPr="00A11683">
        <w:rPr>
          <w:rFonts w:ascii="標楷體" w:eastAsia="標楷體" w:hAnsi="標楷體" w:hint="eastAsia"/>
          <w:color w:val="000000"/>
        </w:rPr>
        <w:t>個</w:t>
      </w:r>
      <w:proofErr w:type="gramEnd"/>
      <w:r w:rsidRPr="00A11683">
        <w:rPr>
          <w:rFonts w:ascii="標楷體" w:eastAsia="標楷體" w:hAnsi="標楷體" w:hint="eastAsia"/>
          <w:color w:val="000000"/>
        </w:rPr>
        <w:t>月須再次申請，評估使用後spasticity有改善(Modified Ashworth Scale進步一分以上，或功能/照護負擔改善)，方得續用。</w:t>
      </w:r>
    </w:p>
    <w:p w14:paraId="399B6357" w14:textId="77777777" w:rsidR="00CC252C" w:rsidRDefault="00CC252C">
      <w:pPr>
        <w:widowControl/>
        <w:suppressAutoHyphens w:val="0"/>
        <w:rPr>
          <w:rFonts w:ascii="標楷體" w:eastAsia="標楷體" w:hAnsi="標楷體"/>
          <w:b/>
          <w:sz w:val="32"/>
          <w:szCs w:val="32"/>
        </w:rPr>
      </w:pPr>
      <w:r>
        <w:br w:type="page"/>
      </w:r>
    </w:p>
    <w:p w14:paraId="193EC23F" w14:textId="77777777" w:rsidR="00401786" w:rsidRDefault="00C64FB3" w:rsidP="0009639E">
      <w:pPr>
        <w:pStyle w:val="2"/>
        <w:spacing w:line="300" w:lineRule="exact"/>
      </w:pPr>
      <w:r>
        <w:lastRenderedPageBreak/>
        <w:t>第2節 心臟血管及腎臟藥物 Cardiovascular-renal drugs</w:t>
      </w:r>
    </w:p>
    <w:p w14:paraId="17AEA2DC" w14:textId="77777777" w:rsidR="00401786" w:rsidRDefault="00401786" w:rsidP="0009639E">
      <w:pPr>
        <w:snapToGrid w:val="0"/>
        <w:spacing w:line="300" w:lineRule="exact"/>
        <w:jc w:val="center"/>
        <w:rPr>
          <w:rFonts w:ascii="標楷體" w:eastAsia="標楷體" w:hAnsi="標楷體"/>
          <w:b/>
          <w:color w:val="000000"/>
          <w:sz w:val="32"/>
          <w:szCs w:val="32"/>
        </w:rPr>
      </w:pPr>
    </w:p>
    <w:p w14:paraId="21AA9FB3"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2.1.抗血栓劑Antithrombotic agents</w:t>
      </w:r>
    </w:p>
    <w:p w14:paraId="29BD5E5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2.1.1.血小板凝集抑制劑  Platelet aggregation inhibitors（100/7/1）</w:t>
      </w:r>
    </w:p>
    <w:p w14:paraId="60D8C79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2.1.1.1.Acetylsalicylic acid (Aspirin) 製劑（89/2/1）</w:t>
      </w:r>
    </w:p>
    <w:p w14:paraId="776D7DC3"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如用於抗血小板凝集，以每日一粒為原則。</w:t>
      </w:r>
    </w:p>
    <w:p w14:paraId="3E7E8B7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2.1.1.2.Ticlopidine (原ticlopidine與acetylsalicylic acid合併使用之情況條文修訂)：(87/4/1、88/9/1、90/1/1、100/7/1)</w:t>
      </w:r>
    </w:p>
    <w:p w14:paraId="17BA18B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1.限無法忍受acetylsalicylic acid (Aspirin) 或對acetylsalicylic acid (Aspirin) 有禁忌而需使用抗血小板製劑之病患使用(88/9/1)。</w:t>
      </w:r>
    </w:p>
    <w:p w14:paraId="5954252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2.原則上</w:t>
      </w:r>
      <w:proofErr w:type="gramStart"/>
      <w:r>
        <w:rPr>
          <w:rFonts w:ascii="標楷體" w:eastAsia="標楷體" w:hAnsi="標楷體"/>
          <w:color w:val="000000"/>
        </w:rPr>
        <w:t>本類製</w:t>
      </w:r>
      <w:proofErr w:type="gramEnd"/>
      <w:r>
        <w:rPr>
          <w:rFonts w:ascii="標楷體" w:eastAsia="標楷體" w:hAnsi="標楷體"/>
          <w:color w:val="000000"/>
        </w:rPr>
        <w:t>劑與acetylsalicylic acid (Aspirin) 不宜合併使用，僅於冠狀動脈支架植入術後三</w:t>
      </w:r>
      <w:proofErr w:type="gramStart"/>
      <w:r>
        <w:rPr>
          <w:rFonts w:ascii="標楷體" w:eastAsia="標楷體" w:hAnsi="標楷體"/>
          <w:color w:val="000000"/>
        </w:rPr>
        <w:t>個</w:t>
      </w:r>
      <w:proofErr w:type="gramEnd"/>
      <w:r>
        <w:rPr>
          <w:rFonts w:ascii="標楷體" w:eastAsia="標楷體" w:hAnsi="標楷體"/>
          <w:color w:val="000000"/>
        </w:rPr>
        <w:t>月內，得依病情需要合併使用。(87/4/1、90/1/1</w:t>
      </w:r>
      <w:proofErr w:type="gramStart"/>
      <w:r>
        <w:rPr>
          <w:rFonts w:ascii="標楷體" w:eastAsia="標楷體" w:hAnsi="標楷體"/>
          <w:color w:val="000000"/>
        </w:rPr>
        <w:t>）</w:t>
      </w:r>
      <w:proofErr w:type="gramEnd"/>
    </w:p>
    <w:p w14:paraId="0C22849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3.申報費用時需註明放置支架 (stent) 之日期。</w:t>
      </w:r>
      <w:proofErr w:type="gramStart"/>
      <w:r>
        <w:rPr>
          <w:rFonts w:ascii="標楷體" w:eastAsia="標楷體" w:hAnsi="標楷體"/>
          <w:color w:val="000000"/>
        </w:rPr>
        <w:t>（</w:t>
      </w:r>
      <w:proofErr w:type="gramEnd"/>
      <w:r>
        <w:rPr>
          <w:rFonts w:ascii="標楷體" w:eastAsia="標楷體" w:hAnsi="標楷體"/>
          <w:color w:val="000000"/>
        </w:rPr>
        <w:t>87/4/1、90/1/1、100/7/1)</w:t>
      </w:r>
    </w:p>
    <w:p w14:paraId="23446D0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2.1.1.3.Tirofiban (如</w:t>
      </w:r>
      <w:proofErr w:type="spellStart"/>
      <w:r>
        <w:rPr>
          <w:rFonts w:ascii="標楷體" w:eastAsia="標楷體" w:hAnsi="標楷體"/>
          <w:color w:val="000000"/>
        </w:rPr>
        <w:t>Aggrastat</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91/2/1、99/10/1、100/7/1)</w:t>
      </w:r>
    </w:p>
    <w:p w14:paraId="1317111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1.限不穩定型心絞痛，對傳統療法無反應者，已預定施行經冠狀動脈成形術之不穩定狹心症時，作為heparin的輔助療法，或非Q波之心肌梗塞之病患使用。</w:t>
      </w:r>
    </w:p>
    <w:p w14:paraId="76F762A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2.急性Q波心肌梗塞於症狀發生十二小時內，於執行PTCA時得</w:t>
      </w:r>
      <w:proofErr w:type="gramStart"/>
      <w:r>
        <w:rPr>
          <w:rFonts w:ascii="標楷體" w:eastAsia="標楷體" w:hAnsi="標楷體"/>
          <w:color w:val="000000"/>
        </w:rPr>
        <w:t>併</w:t>
      </w:r>
      <w:proofErr w:type="gramEnd"/>
      <w:r>
        <w:rPr>
          <w:rFonts w:ascii="標楷體" w:eastAsia="標楷體" w:hAnsi="標楷體"/>
          <w:color w:val="000000"/>
        </w:rPr>
        <w:t>用tirofiban。</w:t>
      </w:r>
    </w:p>
    <w:p w14:paraId="0B900BC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2.1.1.4.Abciximab（如</w:t>
      </w:r>
      <w:proofErr w:type="spellStart"/>
      <w:r>
        <w:rPr>
          <w:rFonts w:ascii="標楷體" w:eastAsia="標楷體" w:hAnsi="標楷體"/>
          <w:color w:val="000000"/>
        </w:rPr>
        <w:t>ReoPro</w:t>
      </w:r>
      <w:proofErr w:type="spellEnd"/>
      <w:r>
        <w:rPr>
          <w:rFonts w:ascii="標楷體" w:eastAsia="標楷體" w:hAnsi="標楷體"/>
          <w:color w:val="000000"/>
        </w:rPr>
        <w:t>）：(90/7/1、100/7/1)</w:t>
      </w:r>
    </w:p>
    <w:p w14:paraId="30201E1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1.限不穩定型心絞痛，對傳統療法無反應者，已預定施行經冠狀動脈成形術之不穩定狹心症時、作為heparin的輔助療法，或非Q波之心肌梗塞之病患使用。</w:t>
      </w:r>
    </w:p>
    <w:p w14:paraId="5B303C6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2.急性Q波心肌梗塞於症狀發生十二小時內，於執行PTCA時得</w:t>
      </w:r>
      <w:proofErr w:type="gramStart"/>
      <w:r>
        <w:rPr>
          <w:rFonts w:ascii="標楷體" w:eastAsia="標楷體" w:hAnsi="標楷體"/>
          <w:color w:val="000000"/>
        </w:rPr>
        <w:t>併</w:t>
      </w:r>
      <w:proofErr w:type="gramEnd"/>
      <w:r>
        <w:rPr>
          <w:rFonts w:ascii="標楷體" w:eastAsia="標楷體" w:hAnsi="標楷體"/>
          <w:color w:val="000000"/>
        </w:rPr>
        <w:t>用abciximab。</w:t>
      </w:r>
    </w:p>
    <w:p w14:paraId="648A8E57" w14:textId="77777777" w:rsidR="00401786" w:rsidRDefault="00C64FB3" w:rsidP="0009639E">
      <w:pPr>
        <w:spacing w:line="300" w:lineRule="exact"/>
        <w:ind w:left="672" w:hanging="386"/>
      </w:pPr>
      <w:r>
        <w:rPr>
          <w:rFonts w:ascii="標楷體" w:eastAsia="標楷體" w:hAnsi="標楷體"/>
          <w:color w:val="000000"/>
        </w:rPr>
        <w:t>2.1.1.5.Cilostazol（如</w:t>
      </w:r>
      <w:proofErr w:type="spellStart"/>
      <w:r>
        <w:rPr>
          <w:rFonts w:ascii="標楷體" w:eastAsia="標楷體" w:hAnsi="標楷體"/>
          <w:color w:val="000000"/>
        </w:rPr>
        <w:t>Pletaal</w:t>
      </w:r>
      <w:proofErr w:type="spellEnd"/>
      <w:r>
        <w:rPr>
          <w:rFonts w:ascii="標楷體" w:eastAsia="標楷體" w:hAnsi="標楷體"/>
          <w:color w:val="000000"/>
        </w:rPr>
        <w:t>）：(90/6/1、100/7/1、104/4/1、105/5/1)</w:t>
      </w:r>
    </w:p>
    <w:p w14:paraId="328385A9" w14:textId="77777777" w:rsidR="00401786" w:rsidRDefault="00C64FB3" w:rsidP="0009639E">
      <w:pPr>
        <w:spacing w:line="300" w:lineRule="exact"/>
        <w:ind w:left="850" w:hanging="281"/>
      </w:pPr>
      <w:r>
        <w:rPr>
          <w:rFonts w:ascii="標楷體" w:eastAsia="標楷體" w:hAnsi="標楷體"/>
          <w:color w:val="000000"/>
          <w:lang w:val="it-IT"/>
        </w:rPr>
        <w:t>1.</w:t>
      </w:r>
      <w:r>
        <w:rPr>
          <w:rFonts w:ascii="標楷體" w:eastAsia="標楷體" w:hAnsi="標楷體"/>
          <w:color w:val="000000"/>
        </w:rPr>
        <w:t>使用於無休息時疼痛及周邊組織壞死之間歇性跛行病人</w:t>
      </w:r>
      <w:r>
        <w:rPr>
          <w:rFonts w:ascii="標楷體" w:eastAsia="標楷體" w:hAnsi="標楷體"/>
          <w:color w:val="000000"/>
          <w:lang w:val="it-IT"/>
        </w:rPr>
        <w:t>（</w:t>
      </w:r>
      <w:r>
        <w:rPr>
          <w:rFonts w:ascii="標楷體" w:eastAsia="標楷體" w:hAnsi="標楷體"/>
          <w:color w:val="000000"/>
        </w:rPr>
        <w:t>周邊動脈疾病</w:t>
      </w:r>
      <w:r>
        <w:rPr>
          <w:rFonts w:ascii="標楷體" w:eastAsia="標楷體" w:hAnsi="標楷體"/>
          <w:color w:val="000000"/>
          <w:lang w:val="it-IT"/>
        </w:rPr>
        <w:t>Fontaine stage II），</w:t>
      </w:r>
      <w:r>
        <w:rPr>
          <w:rFonts w:ascii="標楷體" w:eastAsia="標楷體" w:hAnsi="標楷體"/>
          <w:color w:val="000000"/>
        </w:rPr>
        <w:t>用於增加最大及無痛行走距離。</w:t>
      </w:r>
    </w:p>
    <w:p w14:paraId="7AAB6701"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2.經生活模式改變及其他治療後，仍無法充分改善間歇性跛行症狀病人之二線治療。</w:t>
      </w:r>
    </w:p>
    <w:p w14:paraId="1C9B7D90"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3.用於無法耐受acetylsalicylic acid且屬非心因性栓塞之腦梗塞患者，以預防腦梗塞之再復發，並符合下列條件之</w:t>
      </w:r>
      <w:proofErr w:type="gramStart"/>
      <w:r>
        <w:rPr>
          <w:rFonts w:ascii="標楷體" w:eastAsia="標楷體" w:hAnsi="標楷體"/>
          <w:color w:val="000000"/>
        </w:rPr>
        <w:t>一</w:t>
      </w:r>
      <w:proofErr w:type="gramEnd"/>
      <w:r>
        <w:rPr>
          <w:rFonts w:ascii="標楷體" w:eastAsia="標楷體" w:hAnsi="標楷體"/>
          <w:color w:val="000000"/>
        </w:rPr>
        <w:t>(105/5/1)：</w:t>
      </w:r>
    </w:p>
    <w:p w14:paraId="142CBBE1"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(1)對acetylsalicylic acid過敏。</w:t>
      </w:r>
    </w:p>
    <w:p w14:paraId="133073EB"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(2)臨床診斷確定為acetylsalicylic acid所導致之消化性潰瘍或上消化道出血、穿孔病史者。需於病歷註明發生時間。</w:t>
      </w:r>
    </w:p>
    <w:p w14:paraId="44DBB54B"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(3)最近</w:t>
      </w:r>
      <w:proofErr w:type="gramStart"/>
      <w:r>
        <w:rPr>
          <w:rFonts w:ascii="標楷體" w:eastAsia="標楷體" w:hAnsi="標楷體"/>
          <w:color w:val="000000"/>
        </w:rPr>
        <w:t>一</w:t>
      </w:r>
      <w:proofErr w:type="gramEnd"/>
      <w:r>
        <w:rPr>
          <w:rFonts w:ascii="標楷體" w:eastAsia="標楷體" w:hAnsi="標楷體"/>
          <w:color w:val="000000"/>
        </w:rPr>
        <w:t>年內臨床診斷確定為消化性潰瘍者。病歷上應有明確消化性潰瘍之典型症狀紀錄及發病時間。</w:t>
      </w:r>
    </w:p>
    <w:p w14:paraId="3BC6DD8E"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(4)最近</w:t>
      </w:r>
      <w:proofErr w:type="gramStart"/>
      <w:r>
        <w:rPr>
          <w:rFonts w:ascii="標楷體" w:eastAsia="標楷體" w:hAnsi="標楷體"/>
          <w:color w:val="000000"/>
        </w:rPr>
        <w:t>一</w:t>
      </w:r>
      <w:proofErr w:type="gramEnd"/>
      <w:r>
        <w:rPr>
          <w:rFonts w:ascii="標楷體" w:eastAsia="標楷體" w:hAnsi="標楷體"/>
          <w:color w:val="000000"/>
        </w:rPr>
        <w:t>年內經上消化道內視鏡檢查或上消化道X光攝影檢查證實消化性潰瘍或發生上消化道出血、穿孔病史。需於病歷註明上消化道內視鏡或上消化道X光攝影檢查時間。但對acetylsalicylic acid無法耐受，且身體狀況無法忍受內視鏡或消化道X光攝影檢查者</w:t>
      </w:r>
      <w:proofErr w:type="gramStart"/>
      <w:r>
        <w:rPr>
          <w:rFonts w:ascii="標楷體" w:eastAsia="標楷體" w:hAnsi="標楷體"/>
          <w:color w:val="000000"/>
        </w:rPr>
        <w:t>（</w:t>
      </w:r>
      <w:proofErr w:type="gramEnd"/>
      <w:r>
        <w:rPr>
          <w:rFonts w:ascii="標楷體" w:eastAsia="標楷體" w:hAnsi="標楷體"/>
          <w:color w:val="000000"/>
        </w:rPr>
        <w:t>如75歲(含)以上</w:t>
      </w:r>
      <w:proofErr w:type="gramStart"/>
      <w:r>
        <w:rPr>
          <w:rFonts w:ascii="標楷體" w:eastAsia="標楷體" w:hAnsi="標楷體"/>
          <w:color w:val="000000"/>
        </w:rPr>
        <w:t>罹</w:t>
      </w:r>
      <w:proofErr w:type="gramEnd"/>
      <w:r>
        <w:rPr>
          <w:rFonts w:ascii="標楷體" w:eastAsia="標楷體" w:hAnsi="標楷體"/>
          <w:color w:val="000000"/>
        </w:rPr>
        <w:t>有中風或長期卧床者）不在此限。</w:t>
      </w:r>
    </w:p>
    <w:p w14:paraId="572E6C3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2.1.1.6 Clopidogrel（如Plavix）：(90/1/1、93/4/1、94/8/1、96/10/1、100/7/1、101/12/1)</w:t>
      </w:r>
    </w:p>
    <w:p w14:paraId="2AFAA62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1.限近期發生中風、心肌梗塞或</w:t>
      </w:r>
      <w:proofErr w:type="gramStart"/>
      <w:r>
        <w:rPr>
          <w:rFonts w:ascii="標楷體" w:eastAsia="標楷體" w:hAnsi="標楷體"/>
          <w:color w:val="000000"/>
        </w:rPr>
        <w:t>週</w:t>
      </w:r>
      <w:proofErr w:type="gramEnd"/>
      <w:r>
        <w:rPr>
          <w:rFonts w:ascii="標楷體" w:eastAsia="標楷體" w:hAnsi="標楷體"/>
          <w:color w:val="000000"/>
        </w:rPr>
        <w:t>邊動脈血管疾病</w:t>
      </w:r>
      <w:proofErr w:type="gramStart"/>
      <w:r>
        <w:rPr>
          <w:rFonts w:ascii="標楷體" w:eastAsia="標楷體" w:hAnsi="標楷體"/>
          <w:color w:val="000000"/>
        </w:rPr>
        <w:t>的粥狀動脈硬化</w:t>
      </w:r>
      <w:proofErr w:type="gramEnd"/>
      <w:r>
        <w:rPr>
          <w:rFonts w:ascii="標楷體" w:eastAsia="標楷體" w:hAnsi="標楷體"/>
          <w:color w:val="000000"/>
        </w:rPr>
        <w:t>病人，並符合下列條件之</w:t>
      </w:r>
      <w:proofErr w:type="gramStart"/>
      <w:r>
        <w:rPr>
          <w:rFonts w:ascii="標楷體" w:eastAsia="標楷體" w:hAnsi="標楷體"/>
          <w:color w:val="000000"/>
        </w:rPr>
        <w:t>一</w:t>
      </w:r>
      <w:proofErr w:type="gramEnd"/>
      <w:r>
        <w:rPr>
          <w:rFonts w:ascii="標楷體" w:eastAsia="標楷體" w:hAnsi="標楷體"/>
          <w:color w:val="000000"/>
        </w:rPr>
        <w:t>者使用。(90/1/1、94/8/1、96/10/1)</w:t>
      </w:r>
    </w:p>
    <w:p w14:paraId="6CC582D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(1)對acetylsalicylic acid (如Aspirin)過敏。</w:t>
      </w:r>
    </w:p>
    <w:p w14:paraId="7038FC9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(2)臨床診斷確定為acetylsalicylic acid (如Aspirin)所導致之消化性潰瘍或上消化道出血、穿孔病史者。需於病歷註明發生時間。</w:t>
      </w:r>
    </w:p>
    <w:p w14:paraId="553F3D8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(3)最近</w:t>
      </w:r>
      <w:proofErr w:type="gramStart"/>
      <w:r>
        <w:rPr>
          <w:rFonts w:ascii="標楷體" w:eastAsia="標楷體" w:hAnsi="標楷體"/>
          <w:color w:val="000000"/>
        </w:rPr>
        <w:t>一</w:t>
      </w:r>
      <w:proofErr w:type="gramEnd"/>
      <w:r>
        <w:rPr>
          <w:rFonts w:ascii="標楷體" w:eastAsia="標楷體" w:hAnsi="標楷體"/>
          <w:color w:val="000000"/>
        </w:rPr>
        <w:t>年內臨床診斷確定為消化性潰瘍者。病歷上應有明確消化性潰瘍之典型症狀紀錄及發病時間。</w:t>
      </w:r>
    </w:p>
    <w:p w14:paraId="7628CDB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(4)最近</w:t>
      </w:r>
      <w:proofErr w:type="gramStart"/>
      <w:r>
        <w:rPr>
          <w:rFonts w:ascii="標楷體" w:eastAsia="標楷體" w:hAnsi="標楷體"/>
          <w:color w:val="000000"/>
        </w:rPr>
        <w:t>一</w:t>
      </w:r>
      <w:proofErr w:type="gramEnd"/>
      <w:r>
        <w:rPr>
          <w:rFonts w:ascii="標楷體" w:eastAsia="標楷體" w:hAnsi="標楷體"/>
          <w:color w:val="000000"/>
        </w:rPr>
        <w:t>年內經上消化道內視鏡檢查或上消化道X光攝影檢查證實消化性潰瘍或發生上消化道出血、穿孔病史。需於病歷註明上消化道內視鏡或上消化道X光攝影檢查時間。但對acetylsalicylic acid無法耐受，且身體狀況無法忍受內視鏡或</w:t>
      </w:r>
      <w:r>
        <w:rPr>
          <w:rFonts w:ascii="標楷體" w:eastAsia="標楷體" w:hAnsi="標楷體"/>
          <w:color w:val="000000"/>
        </w:rPr>
        <w:lastRenderedPageBreak/>
        <w:t>消化道X光攝影檢查者</w:t>
      </w:r>
      <w:proofErr w:type="gramStart"/>
      <w:r>
        <w:rPr>
          <w:rFonts w:ascii="標楷體" w:eastAsia="標楷體" w:hAnsi="標楷體"/>
          <w:color w:val="000000"/>
        </w:rPr>
        <w:t>（</w:t>
      </w:r>
      <w:proofErr w:type="gramEnd"/>
      <w:r>
        <w:rPr>
          <w:rFonts w:ascii="標楷體" w:eastAsia="標楷體" w:hAnsi="標楷體"/>
          <w:color w:val="000000"/>
        </w:rPr>
        <w:t>如75歲(含)以上</w:t>
      </w:r>
      <w:proofErr w:type="gramStart"/>
      <w:r>
        <w:rPr>
          <w:rFonts w:ascii="標楷體" w:eastAsia="標楷體" w:hAnsi="標楷體"/>
          <w:color w:val="000000"/>
        </w:rPr>
        <w:t>罹</w:t>
      </w:r>
      <w:proofErr w:type="gramEnd"/>
      <w:r>
        <w:rPr>
          <w:rFonts w:ascii="標楷體" w:eastAsia="標楷體" w:hAnsi="標楷體"/>
          <w:color w:val="000000"/>
        </w:rPr>
        <w:t>有中風、心肌梗塞、</w:t>
      </w:r>
      <w:proofErr w:type="gramStart"/>
      <w:r>
        <w:rPr>
          <w:rFonts w:ascii="標楷體" w:eastAsia="標楷體" w:hAnsi="標楷體"/>
          <w:color w:val="000000"/>
        </w:rPr>
        <w:t>週</w:t>
      </w:r>
      <w:proofErr w:type="gramEnd"/>
      <w:r>
        <w:rPr>
          <w:rFonts w:ascii="標楷體" w:eastAsia="標楷體" w:hAnsi="標楷體"/>
          <w:color w:val="000000"/>
        </w:rPr>
        <w:t>邊動脈血管疾病的粥狀動脈硬化或長期卧床者）不在此限。(101/12/1)</w:t>
      </w:r>
    </w:p>
    <w:p w14:paraId="1669E07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2.置放金屬支架3個月內得與acetylsalicylic acid (如Aspirin)合併使用；置</w:t>
      </w:r>
      <w:proofErr w:type="gramStart"/>
      <w:r>
        <w:rPr>
          <w:rFonts w:ascii="標楷體" w:eastAsia="標楷體" w:hAnsi="標楷體"/>
          <w:color w:val="000000"/>
        </w:rPr>
        <w:t>放塗藥</w:t>
      </w:r>
      <w:proofErr w:type="gramEnd"/>
      <w:r>
        <w:rPr>
          <w:rFonts w:ascii="標楷體" w:eastAsia="標楷體" w:hAnsi="標楷體"/>
          <w:color w:val="000000"/>
        </w:rPr>
        <w:t>支架6個月內得與acetylsalicylic acid (如Aspirin)合併使用。需於病歷註明支架置放手術之日期。(90/1/1、94/8/1、101/12/1)</w:t>
      </w:r>
    </w:p>
    <w:p w14:paraId="76D52B8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3.置放金屬支架後發生支架內再狹窄而施行藥物釋放型冠狀動脈氣球導管者，1個月內得與acetylsalicylic acid (如Aspirin)合併使用；置</w:t>
      </w:r>
      <w:proofErr w:type="gramStart"/>
      <w:r>
        <w:rPr>
          <w:rFonts w:ascii="標楷體" w:eastAsia="標楷體" w:hAnsi="標楷體"/>
          <w:color w:val="000000"/>
        </w:rPr>
        <w:t>放塗藥</w:t>
      </w:r>
      <w:proofErr w:type="gramEnd"/>
      <w:r>
        <w:rPr>
          <w:rFonts w:ascii="標楷體" w:eastAsia="標楷體" w:hAnsi="標楷體"/>
          <w:color w:val="000000"/>
        </w:rPr>
        <w:t>支架後發生支架內再狹窄而施行藥物釋放型冠狀動脈氣球導管者， 與acetylsalicylic acid (如Aspirin)合併使用期間可再延長1個月。(101/12/1)</w:t>
      </w:r>
    </w:p>
    <w:p w14:paraId="6AF4461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4.用於已發作之</w:t>
      </w:r>
      <w:proofErr w:type="gramStart"/>
      <w:r>
        <w:rPr>
          <w:rFonts w:ascii="標楷體" w:eastAsia="標楷體" w:hAnsi="標楷體"/>
          <w:color w:val="000000"/>
        </w:rPr>
        <w:t>急性冠心症</w:t>
      </w:r>
      <w:proofErr w:type="gramEnd"/>
      <w:r>
        <w:rPr>
          <w:rFonts w:ascii="標楷體" w:eastAsia="標楷體" w:hAnsi="標楷體"/>
          <w:color w:val="000000"/>
        </w:rPr>
        <w:t>(</w:t>
      </w:r>
      <w:proofErr w:type="gramStart"/>
      <w:r>
        <w:rPr>
          <w:rFonts w:ascii="標楷體" w:eastAsia="標楷體" w:hAnsi="標楷體"/>
          <w:color w:val="000000"/>
        </w:rPr>
        <w:t>不</w:t>
      </w:r>
      <w:proofErr w:type="gramEnd"/>
      <w:r>
        <w:rPr>
          <w:rFonts w:ascii="標楷體" w:eastAsia="標楷體" w:hAnsi="標楷體"/>
          <w:color w:val="000000"/>
        </w:rPr>
        <w:t>穩定性心絞痛和心肌梗塞)而住院的病人時，得與acetylsalicylic acid (如Aspirin) 合併治療，最長9個月。需於病歷註明住院時間。（93/4/1、94/8/1、96/10/1）</w:t>
      </w:r>
    </w:p>
    <w:p w14:paraId="3830DA9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2.1.1.7.Eptifibatide（如</w:t>
      </w:r>
      <w:proofErr w:type="spellStart"/>
      <w:r>
        <w:rPr>
          <w:rFonts w:ascii="標楷體" w:eastAsia="標楷體" w:hAnsi="標楷體"/>
          <w:color w:val="000000"/>
        </w:rPr>
        <w:t>Integrilin</w:t>
      </w:r>
      <w:proofErr w:type="spellEnd"/>
      <w:r>
        <w:rPr>
          <w:rFonts w:ascii="標楷體" w:eastAsia="標楷體" w:hAnsi="標楷體"/>
          <w:color w:val="000000"/>
        </w:rPr>
        <w:t>）：（95/8/1、100/7/1）</w:t>
      </w:r>
    </w:p>
    <w:p w14:paraId="453F63D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1.限不穩定型心絞痛，對傳統療法無反應者，已預定施行經冠狀動脈成形術之不穩定狹心症時、作為heparin的輔助療法，或非Q波之心肌梗塞之病患使用。</w:t>
      </w:r>
    </w:p>
    <w:p w14:paraId="2BE53E4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2.急性Q波心肌梗塞於症狀發生十二小時內，於執行PTCA時得</w:t>
      </w:r>
      <w:proofErr w:type="gramStart"/>
      <w:r>
        <w:rPr>
          <w:rFonts w:ascii="標楷體" w:eastAsia="標楷體" w:hAnsi="標楷體"/>
          <w:color w:val="000000"/>
        </w:rPr>
        <w:t>併</w:t>
      </w:r>
      <w:proofErr w:type="gramEnd"/>
      <w:r>
        <w:rPr>
          <w:rFonts w:ascii="標楷體" w:eastAsia="標楷體" w:hAnsi="標楷體"/>
          <w:color w:val="000000"/>
        </w:rPr>
        <w:t>用eptifibatide。</w:t>
      </w:r>
    </w:p>
    <w:p w14:paraId="14927B6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2.1.1.8.Clopidogrel-acetylsalicylic acid（如</w:t>
      </w:r>
      <w:proofErr w:type="spellStart"/>
      <w:r>
        <w:rPr>
          <w:rFonts w:ascii="標楷體" w:eastAsia="標楷體" w:hAnsi="標楷體"/>
          <w:color w:val="000000"/>
        </w:rPr>
        <w:t>CoPlavix</w:t>
      </w:r>
      <w:proofErr w:type="spellEnd"/>
      <w:r>
        <w:rPr>
          <w:rFonts w:ascii="標楷體" w:eastAsia="標楷體" w:hAnsi="標楷體"/>
          <w:color w:val="000000"/>
        </w:rPr>
        <w:t>）：(100/9/1、101/12/1)</w:t>
      </w:r>
    </w:p>
    <w:p w14:paraId="52955AA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1.置放金屬支架3個月內得使用；置</w:t>
      </w:r>
      <w:proofErr w:type="gramStart"/>
      <w:r>
        <w:rPr>
          <w:rFonts w:ascii="標楷體" w:eastAsia="標楷體" w:hAnsi="標楷體"/>
          <w:color w:val="000000"/>
        </w:rPr>
        <w:t>放塗藥</w:t>
      </w:r>
      <w:proofErr w:type="gramEnd"/>
      <w:r>
        <w:rPr>
          <w:rFonts w:ascii="標楷體" w:eastAsia="標楷體" w:hAnsi="標楷體"/>
          <w:color w:val="000000"/>
        </w:rPr>
        <w:t>支架6個月內得使用。需於病歷註明支架置放手術之日期。(100/9/1、101/12/1)</w:t>
      </w:r>
    </w:p>
    <w:p w14:paraId="46C303D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2.置放金屬支架後發生支架內再狹窄而施行藥物釋放型冠狀動脈氣球導管者，1個月內得使用；置</w:t>
      </w:r>
      <w:proofErr w:type="gramStart"/>
      <w:r>
        <w:rPr>
          <w:rFonts w:ascii="標楷體" w:eastAsia="標楷體" w:hAnsi="標楷體"/>
          <w:color w:val="000000"/>
        </w:rPr>
        <w:t>放塗藥</w:t>
      </w:r>
      <w:proofErr w:type="gramEnd"/>
      <w:r>
        <w:rPr>
          <w:rFonts w:ascii="標楷體" w:eastAsia="標楷體" w:hAnsi="標楷體"/>
          <w:color w:val="000000"/>
        </w:rPr>
        <w:t>支架後發生支架內再狹窄而施行藥物釋放型冠狀動脈氣球導管者，使用期間可再延長1個月。(101/12/1)</w:t>
      </w:r>
    </w:p>
    <w:p w14:paraId="42774D2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3.用於已發作之</w:t>
      </w:r>
      <w:proofErr w:type="gramStart"/>
      <w:r>
        <w:rPr>
          <w:rFonts w:ascii="標楷體" w:eastAsia="標楷體" w:hAnsi="標楷體"/>
          <w:color w:val="000000"/>
        </w:rPr>
        <w:t>急性冠心症</w:t>
      </w:r>
      <w:proofErr w:type="gramEnd"/>
      <w:r>
        <w:rPr>
          <w:rFonts w:ascii="標楷體" w:eastAsia="標楷體" w:hAnsi="標楷體"/>
          <w:color w:val="000000"/>
        </w:rPr>
        <w:t>(</w:t>
      </w:r>
      <w:proofErr w:type="gramStart"/>
      <w:r>
        <w:rPr>
          <w:rFonts w:ascii="標楷體" w:eastAsia="標楷體" w:hAnsi="標楷體"/>
          <w:color w:val="000000"/>
        </w:rPr>
        <w:t>不</w:t>
      </w:r>
      <w:proofErr w:type="gramEnd"/>
      <w:r>
        <w:rPr>
          <w:rFonts w:ascii="標楷體" w:eastAsia="標楷體" w:hAnsi="標楷體"/>
          <w:color w:val="000000"/>
        </w:rPr>
        <w:t>穩定性心絞痛和心肌梗塞)而住院的病人時，最長9個月。需於病歷註明住院時間。（100/9/1）</w:t>
      </w:r>
    </w:p>
    <w:p w14:paraId="75D6FF1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2.1.1.9.Ticagrelor（如</w:t>
      </w:r>
      <w:proofErr w:type="spellStart"/>
      <w:r>
        <w:rPr>
          <w:rFonts w:ascii="標楷體" w:eastAsia="標楷體" w:hAnsi="標楷體"/>
          <w:color w:val="000000"/>
        </w:rPr>
        <w:t>Brilinta</w:t>
      </w:r>
      <w:proofErr w:type="spellEnd"/>
      <w:r>
        <w:rPr>
          <w:rFonts w:ascii="標楷體" w:eastAsia="標楷體" w:hAnsi="標楷體"/>
          <w:color w:val="000000"/>
        </w:rPr>
        <w:t>）：(102/7/1)</w:t>
      </w:r>
    </w:p>
    <w:p w14:paraId="54062612" w14:textId="77777777" w:rsidR="00401786" w:rsidRDefault="00C64FB3" w:rsidP="0009639E">
      <w:pPr>
        <w:spacing w:line="300" w:lineRule="exact"/>
        <w:ind w:left="849" w:hanging="2"/>
        <w:rPr>
          <w:rFonts w:ascii="標楷體" w:eastAsia="標楷體" w:hAnsi="標楷體"/>
          <w:color w:val="000000"/>
        </w:rPr>
      </w:pPr>
      <w:r>
        <w:rPr>
          <w:rFonts w:ascii="標楷體" w:eastAsia="標楷體" w:hAnsi="標楷體"/>
          <w:color w:val="000000"/>
        </w:rPr>
        <w:t>限用於已發作之</w:t>
      </w:r>
      <w:proofErr w:type="gramStart"/>
      <w:r>
        <w:rPr>
          <w:rFonts w:ascii="標楷體" w:eastAsia="標楷體" w:hAnsi="標楷體"/>
          <w:color w:val="000000"/>
        </w:rPr>
        <w:t>急性冠心症</w:t>
      </w:r>
      <w:proofErr w:type="gramEnd"/>
      <w:r>
        <w:rPr>
          <w:rFonts w:ascii="標楷體" w:eastAsia="標楷體" w:hAnsi="標楷體"/>
          <w:color w:val="000000"/>
        </w:rPr>
        <w:t>(包括不穩定型心絞痛、非ST段上升型心肌梗塞或ST段上升型心肌梗塞)而住院的病人時，得與acetylsalicylic acid (如Aspirin) 合併治療，最長9個月。需於病歷註明住院時間。</w:t>
      </w:r>
    </w:p>
    <w:p w14:paraId="0AEF6A4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2.1.1.10. Prasugrel（如</w:t>
      </w:r>
      <w:proofErr w:type="spellStart"/>
      <w:r>
        <w:rPr>
          <w:rFonts w:ascii="標楷體" w:eastAsia="標楷體" w:hAnsi="標楷體"/>
          <w:color w:val="000000"/>
        </w:rPr>
        <w:t>Efient</w:t>
      </w:r>
      <w:proofErr w:type="spellEnd"/>
      <w:r>
        <w:rPr>
          <w:rFonts w:ascii="標楷體" w:eastAsia="標楷體" w:hAnsi="標楷體"/>
          <w:color w:val="000000"/>
        </w:rPr>
        <w:t>）：(107/11/1)</w:t>
      </w:r>
    </w:p>
    <w:p w14:paraId="1DCC717F" w14:textId="77777777" w:rsidR="00401786" w:rsidRDefault="00C64FB3" w:rsidP="0009639E">
      <w:pPr>
        <w:spacing w:line="300" w:lineRule="exact"/>
        <w:ind w:left="849" w:hanging="2"/>
        <w:rPr>
          <w:rFonts w:ascii="標楷體" w:eastAsia="標楷體" w:hAnsi="標楷體"/>
          <w:color w:val="000000"/>
        </w:rPr>
      </w:pPr>
      <w:r>
        <w:rPr>
          <w:rFonts w:ascii="標楷體" w:eastAsia="標楷體" w:hAnsi="標楷體"/>
          <w:color w:val="000000"/>
        </w:rPr>
        <w:t>限用於需要冠狀動脈介入性治療(PCI)的已發作之</w:t>
      </w:r>
      <w:proofErr w:type="gramStart"/>
      <w:r>
        <w:rPr>
          <w:rFonts w:ascii="標楷體" w:eastAsia="標楷體" w:hAnsi="標楷體"/>
          <w:color w:val="000000"/>
        </w:rPr>
        <w:t>急性冠心症</w:t>
      </w:r>
      <w:proofErr w:type="gramEnd"/>
      <w:r>
        <w:rPr>
          <w:rFonts w:ascii="標楷體" w:eastAsia="標楷體" w:hAnsi="標楷體"/>
          <w:color w:val="000000"/>
        </w:rPr>
        <w:t>(包括不穩定型心絞痛、非ST段上升型心肌梗塞或ST段上升型心肌梗塞)而住院的病人時，得與acetylsalicylic acid (如Aspirin) 合併治療，最長12個月。需於病歷註明住院時間。</w:t>
      </w:r>
    </w:p>
    <w:p w14:paraId="472AD0D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2.1.2.血栓溶解劑Thrombolytic drugs (100/7/1)</w:t>
      </w:r>
    </w:p>
    <w:p w14:paraId="509B327B" w14:textId="77777777" w:rsidR="00401786" w:rsidRDefault="00C64FB3" w:rsidP="0009639E">
      <w:pPr>
        <w:spacing w:line="300" w:lineRule="exact"/>
        <w:ind w:left="672" w:hanging="386"/>
      </w:pPr>
      <w:r>
        <w:rPr>
          <w:rFonts w:ascii="標楷體" w:eastAsia="標楷體" w:hAnsi="標楷體"/>
          <w:color w:val="000000"/>
        </w:rPr>
        <w:t>2.1.2.1.</w:t>
      </w:r>
      <w:r>
        <w:t xml:space="preserve"> </w:t>
      </w:r>
      <w:r>
        <w:rPr>
          <w:rFonts w:ascii="標楷體" w:eastAsia="標楷體" w:hAnsi="標楷體"/>
          <w:color w:val="000000"/>
        </w:rPr>
        <w:t>rt-PA（如</w:t>
      </w:r>
      <w:proofErr w:type="spellStart"/>
      <w:r>
        <w:rPr>
          <w:rFonts w:ascii="標楷體" w:eastAsia="標楷體" w:hAnsi="標楷體"/>
          <w:color w:val="000000"/>
        </w:rPr>
        <w:t>Actilyse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w:t>
      </w:r>
      <w:proofErr w:type="spellStart"/>
      <w:r>
        <w:rPr>
          <w:rFonts w:ascii="標楷體" w:eastAsia="標楷體" w:hAnsi="標楷體"/>
          <w:color w:val="000000"/>
        </w:rPr>
        <w:t>tenecteplase</w:t>
      </w:r>
      <w:proofErr w:type="spellEnd"/>
      <w:r>
        <w:rPr>
          <w:rFonts w:ascii="標楷體" w:eastAsia="標楷體" w:hAnsi="標楷體"/>
          <w:color w:val="000000"/>
        </w:rPr>
        <w:t xml:space="preserve"> (如  </w:t>
      </w:r>
      <w:proofErr w:type="spellStart"/>
      <w:r>
        <w:rPr>
          <w:rFonts w:ascii="標楷體" w:eastAsia="標楷體" w:hAnsi="標楷體"/>
          <w:color w:val="000000"/>
        </w:rPr>
        <w:t>Metalyse</w:t>
      </w:r>
      <w:proofErr w:type="spellEnd"/>
      <w:r>
        <w:rPr>
          <w:rFonts w:ascii="標楷體" w:eastAsia="標楷體" w:hAnsi="標楷體"/>
          <w:color w:val="000000"/>
        </w:rPr>
        <w:t>) ：</w:t>
      </w:r>
    </w:p>
    <w:p w14:paraId="6CEC791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用於血管（不含腦血管）血栓時：(91/12/1、100/7/1、107/11/1)</w:t>
      </w:r>
    </w:p>
    <w:p w14:paraId="46EF44F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1.限具有心臟專科醫師之醫院使用。</w:t>
      </w:r>
    </w:p>
    <w:p w14:paraId="6435CC9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2.應使用於胸痛急性發作十二小時內，心電圖至少有二</w:t>
      </w:r>
      <w:proofErr w:type="gramStart"/>
      <w:r>
        <w:rPr>
          <w:rFonts w:ascii="標楷體" w:eastAsia="標楷體" w:hAnsi="標楷體"/>
          <w:color w:val="000000"/>
        </w:rPr>
        <w:t>導極呈現</w:t>
      </w:r>
      <w:proofErr w:type="gramEnd"/>
      <w:r>
        <w:rPr>
          <w:rFonts w:ascii="標楷體" w:eastAsia="標楷體" w:hAnsi="標楷體"/>
          <w:color w:val="000000"/>
        </w:rPr>
        <w:t>心肌缺氧變化，使用硝化甘油舌下片歷經三十分鐘尚未能解除胸痛，有急性心肌梗塞之臆斷者。</w:t>
      </w:r>
    </w:p>
    <w:p w14:paraId="7EF779C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3.懷疑有急性肺動脈栓塞病人。</w:t>
      </w:r>
    </w:p>
    <w:p w14:paraId="7708945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4.有周邊血管血栓病人。(93/1/1)</w:t>
      </w:r>
    </w:p>
    <w:p w14:paraId="1F30034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5.應使用於無出血傾向之病人。有出血傾向之病人，或最近有手術或出血現象之病人應避免使用。</w:t>
      </w:r>
    </w:p>
    <w:p w14:paraId="0FFBB39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6.使用本</w:t>
      </w:r>
      <w:proofErr w:type="gramStart"/>
      <w:r>
        <w:rPr>
          <w:rFonts w:ascii="標楷體" w:eastAsia="標楷體" w:hAnsi="標楷體"/>
          <w:color w:val="000000"/>
        </w:rPr>
        <w:t>藥劑前宜先</w:t>
      </w:r>
      <w:proofErr w:type="gramEnd"/>
      <w:r>
        <w:rPr>
          <w:rFonts w:ascii="標楷體" w:eastAsia="標楷體" w:hAnsi="標楷體"/>
          <w:color w:val="000000"/>
        </w:rPr>
        <w:t>檢查病患血小板、出血時間、凝血時間、</w:t>
      </w:r>
      <w:proofErr w:type="gramStart"/>
      <w:r>
        <w:rPr>
          <w:rFonts w:ascii="標楷體" w:eastAsia="標楷體" w:hAnsi="標楷體"/>
          <w:color w:val="000000"/>
        </w:rPr>
        <w:t>凝血原時間</w:t>
      </w:r>
      <w:proofErr w:type="gramEnd"/>
      <w:r>
        <w:rPr>
          <w:rFonts w:ascii="標楷體" w:eastAsia="標楷體" w:hAnsi="標楷體"/>
          <w:color w:val="000000"/>
        </w:rPr>
        <w:t>及血漿纖維原含量。</w:t>
      </w:r>
    </w:p>
    <w:p w14:paraId="46262D3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7.醫院於病例發生時，應填寫「全民健康保險使用rt-PA (</w:t>
      </w:r>
      <w:proofErr w:type="spellStart"/>
      <w:r>
        <w:rPr>
          <w:rFonts w:ascii="標楷體" w:eastAsia="標楷體" w:hAnsi="標楷體"/>
          <w:color w:val="000000"/>
        </w:rPr>
        <w:t>Actilyse</w:t>
      </w:r>
      <w:proofErr w:type="spellEnd"/>
      <w:r>
        <w:rPr>
          <w:rFonts w:ascii="標楷體" w:eastAsia="標楷體" w:hAnsi="標楷體"/>
          <w:color w:val="000000"/>
        </w:rPr>
        <w:t>) 或</w:t>
      </w:r>
      <w:proofErr w:type="spellStart"/>
      <w:r>
        <w:rPr>
          <w:rFonts w:ascii="標楷體" w:eastAsia="標楷體" w:hAnsi="標楷體"/>
          <w:color w:val="000000"/>
        </w:rPr>
        <w:t>tenecteplase</w:t>
      </w:r>
      <w:proofErr w:type="spellEnd"/>
      <w:r>
        <w:rPr>
          <w:rFonts w:ascii="標楷體" w:eastAsia="標楷體" w:hAnsi="標楷體"/>
          <w:color w:val="000000"/>
        </w:rPr>
        <w:t xml:space="preserve"> (</w:t>
      </w:r>
      <w:proofErr w:type="spellStart"/>
      <w:r>
        <w:rPr>
          <w:rFonts w:ascii="標楷體" w:eastAsia="標楷體" w:hAnsi="標楷體"/>
          <w:color w:val="000000"/>
        </w:rPr>
        <w:t>Metalyse</w:t>
      </w:r>
      <w:proofErr w:type="spellEnd"/>
      <w:r>
        <w:rPr>
          <w:rFonts w:ascii="標楷體" w:eastAsia="標楷體" w:hAnsi="標楷體"/>
          <w:color w:val="000000"/>
        </w:rPr>
        <w:t xml:space="preserve"> Inj.) 申報表（血管（不含腦血管）血栓病患用）」(請詳附表二-A) 併附兩張有意義之不同時段心電圖於當月份醫療費用申報</w:t>
      </w:r>
      <w:proofErr w:type="gramStart"/>
      <w:r>
        <w:rPr>
          <w:rFonts w:ascii="標楷體" w:eastAsia="標楷體" w:hAnsi="標楷體"/>
          <w:color w:val="000000"/>
        </w:rPr>
        <w:t>。(</w:t>
      </w:r>
      <w:proofErr w:type="gramEnd"/>
      <w:r>
        <w:rPr>
          <w:rFonts w:ascii="標楷體" w:eastAsia="標楷體" w:hAnsi="標楷體"/>
          <w:color w:val="000000"/>
        </w:rPr>
        <w:t>93/1/1)</w:t>
      </w:r>
    </w:p>
    <w:p w14:paraId="41A1134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lastRenderedPageBreak/>
        <w:t>8.醫院如擬將 rt-PA或</w:t>
      </w:r>
      <w:proofErr w:type="spellStart"/>
      <w:r>
        <w:rPr>
          <w:rFonts w:ascii="標楷體" w:eastAsia="標楷體" w:hAnsi="標楷體"/>
          <w:color w:val="000000"/>
        </w:rPr>
        <w:t>tenecteplase</w:t>
      </w:r>
      <w:proofErr w:type="spellEnd"/>
      <w:r>
        <w:rPr>
          <w:rFonts w:ascii="標楷體" w:eastAsia="標楷體" w:hAnsi="標楷體"/>
          <w:color w:val="000000"/>
        </w:rPr>
        <w:t>列為常備藥品，請於</w:t>
      </w:r>
      <w:proofErr w:type="gramStart"/>
      <w:r>
        <w:rPr>
          <w:rFonts w:ascii="標楷體" w:eastAsia="標楷體" w:hAnsi="標楷體"/>
          <w:color w:val="000000"/>
        </w:rPr>
        <w:t>申報時檢附</w:t>
      </w:r>
      <w:proofErr w:type="gramEnd"/>
      <w:r>
        <w:rPr>
          <w:rFonts w:ascii="標楷體" w:eastAsia="標楷體" w:hAnsi="標楷體"/>
          <w:color w:val="000000"/>
        </w:rPr>
        <w:t>心臟病診斷設備，加護病房 ( ICU或CCU ) 之相關資料，經本保險同意後再按使用規定辦理。</w:t>
      </w:r>
    </w:p>
    <w:p w14:paraId="5B6E9B5C" w14:textId="77777777" w:rsidR="00401786" w:rsidRDefault="00C64FB3" w:rsidP="0009639E">
      <w:pPr>
        <w:spacing w:line="300" w:lineRule="exact"/>
        <w:ind w:left="672" w:hanging="386"/>
      </w:pPr>
      <w:r>
        <w:rPr>
          <w:rFonts w:ascii="標楷體" w:eastAsia="標楷體" w:hAnsi="標楷體"/>
          <w:color w:val="000000"/>
        </w:rPr>
        <w:t>2.1.2.2.</w:t>
      </w:r>
      <w:r>
        <w:t xml:space="preserve"> </w:t>
      </w:r>
      <w:r>
        <w:rPr>
          <w:rFonts w:ascii="標楷體" w:eastAsia="標楷體" w:hAnsi="標楷體"/>
          <w:color w:val="000000"/>
        </w:rPr>
        <w:t>rt-PA（如</w:t>
      </w:r>
      <w:proofErr w:type="spellStart"/>
      <w:r>
        <w:rPr>
          <w:rFonts w:ascii="標楷體" w:eastAsia="標楷體" w:hAnsi="標楷體"/>
          <w:color w:val="000000"/>
        </w:rPr>
        <w:t>Actilyse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）用於急性缺血性腦中風時：(93/1/1、100/7/1、107/11/1、112/10/1)</w:t>
      </w:r>
    </w:p>
    <w:p w14:paraId="3D4AF43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1.限急性缺血性腦中風4.5小時內使用。(112/10/1)</w:t>
      </w:r>
    </w:p>
    <w:p w14:paraId="7F8782A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2.使用醫院應具有神經內、外專科醫師及加護病房或同等級之設施。</w:t>
      </w:r>
    </w:p>
    <w:p w14:paraId="0CABFBA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3.使用本藥品前，應先作病人腦部電腦斷層</w:t>
      </w:r>
      <w:proofErr w:type="gramStart"/>
      <w:r>
        <w:rPr>
          <w:rFonts w:ascii="標楷體" w:eastAsia="標楷體" w:hAnsi="標楷體"/>
          <w:color w:val="000000"/>
        </w:rPr>
        <w:t>或磁振造</w:t>
      </w:r>
      <w:proofErr w:type="gramEnd"/>
      <w:r>
        <w:rPr>
          <w:rFonts w:ascii="標楷體" w:eastAsia="標楷體" w:hAnsi="標楷體"/>
          <w:color w:val="000000"/>
        </w:rPr>
        <w:t>影檢查、神經學檢查 (含NIHSS)、心電圖、胸部X光、凝血時間、凝血酶原時間、肝腎功能及血糖，並且必須符合「急性缺血性腦中風之血栓溶解治療檢查表」(請詳附表二-C) 之條件。(107/11/1)</w:t>
      </w:r>
    </w:p>
    <w:p w14:paraId="3CE1744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醫院於病例發生後，於當月醫療費用申報時，應填寫「全民健康保險使用rt-PA  (</w:t>
      </w:r>
      <w:proofErr w:type="spellStart"/>
      <w:r>
        <w:rPr>
          <w:rFonts w:ascii="標楷體" w:eastAsia="標楷體" w:hAnsi="標楷體"/>
          <w:color w:val="000000"/>
        </w:rPr>
        <w:t>Actilyse</w:t>
      </w:r>
      <w:proofErr w:type="spellEnd"/>
      <w:r>
        <w:rPr>
          <w:rFonts w:ascii="標楷體" w:eastAsia="標楷體" w:hAnsi="標楷體"/>
          <w:color w:val="000000"/>
        </w:rPr>
        <w:t>) 申請表（急性缺血性腦中風病患用）」(請詳附表二-B)，並附注射前及24小時、36小時後之腦部電腦斷層 (</w:t>
      </w:r>
      <w:proofErr w:type="gramStart"/>
      <w:r>
        <w:rPr>
          <w:rFonts w:ascii="標楷體" w:eastAsia="標楷體" w:hAnsi="標楷體"/>
          <w:color w:val="000000"/>
        </w:rPr>
        <w:t>或磁振造</w:t>
      </w:r>
      <w:proofErr w:type="gramEnd"/>
      <w:r>
        <w:rPr>
          <w:rFonts w:ascii="標楷體" w:eastAsia="標楷體" w:hAnsi="標楷體"/>
          <w:color w:val="000000"/>
        </w:rPr>
        <w:t>影檢查) 與NIHSS。</w:t>
      </w:r>
    </w:p>
    <w:p w14:paraId="3035CBD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2.1.2.3.刪除(101/4/1)</w:t>
      </w:r>
    </w:p>
    <w:p w14:paraId="1ADAA67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2.1.3.肝素類Heparin group</w:t>
      </w:r>
    </w:p>
    <w:p w14:paraId="5131F50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2.1.3.1.Tinzaparin注射劑（如</w:t>
      </w:r>
      <w:proofErr w:type="spellStart"/>
      <w:r>
        <w:rPr>
          <w:rFonts w:ascii="標楷體" w:eastAsia="標楷體" w:hAnsi="標楷體"/>
          <w:color w:val="000000"/>
        </w:rPr>
        <w:t>Innohep</w:t>
      </w:r>
      <w:proofErr w:type="spellEnd"/>
      <w:r>
        <w:rPr>
          <w:rFonts w:ascii="標楷體" w:eastAsia="標楷體" w:hAnsi="標楷體"/>
          <w:color w:val="000000"/>
        </w:rPr>
        <w:t>）：90/7/1、91/9/1、100/7/1)</w:t>
      </w:r>
    </w:p>
    <w:p w14:paraId="0491214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1.用於治療深層靜脈栓塞，每療程以二瓶為限。</w:t>
      </w:r>
    </w:p>
    <w:p w14:paraId="4EB6423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2.用於預防手術病人深層靜脈栓塞，每療程以一瓶為限。</w:t>
      </w:r>
    </w:p>
    <w:p w14:paraId="4116EBE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3.用於治療肺栓塞。</w:t>
      </w:r>
    </w:p>
    <w:p w14:paraId="2764F86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2.1.3.2.Enoxaparin 注射劑（如Clexane）：(108/2/1)</w:t>
      </w:r>
    </w:p>
    <w:p w14:paraId="679A481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依下列情形使用：</w:t>
      </w:r>
    </w:p>
    <w:p w14:paraId="24CC1E1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治療深部靜脈栓塞(DVT)：每次療程使用小於10天。</w:t>
      </w:r>
    </w:p>
    <w:p w14:paraId="45ABA86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治療</w:t>
      </w:r>
      <w:proofErr w:type="gramStart"/>
      <w:r>
        <w:rPr>
          <w:rFonts w:ascii="標楷體" w:eastAsia="標楷體" w:hAnsi="標楷體"/>
          <w:color w:val="000000"/>
        </w:rPr>
        <w:t>急性冠心症</w:t>
      </w:r>
      <w:proofErr w:type="gramEnd"/>
      <w:r>
        <w:rPr>
          <w:rFonts w:ascii="標楷體" w:eastAsia="標楷體" w:hAnsi="標楷體"/>
          <w:color w:val="000000"/>
        </w:rPr>
        <w:t>(ACS)：每次療程使用60mg 1天2次，2~8天。</w:t>
      </w:r>
    </w:p>
    <w:p w14:paraId="65696DC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預防手術後靜脈栓塞：腹部手術，每次療程使用40mg 1天1次，7~10天；膝蓋或髖關節手術，每次療程使用30mg 1天1次，7~10天。</w:t>
      </w:r>
    </w:p>
    <w:p w14:paraId="18A4979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2.1.4.其他抗血栓劑 Other antithrombotic agents：(100/7/1)</w:t>
      </w:r>
    </w:p>
    <w:p w14:paraId="7D58A68A" w14:textId="77777777" w:rsidR="00401786" w:rsidRDefault="00C64FB3" w:rsidP="0009639E">
      <w:pPr>
        <w:spacing w:line="300" w:lineRule="exact"/>
        <w:ind w:left="672" w:hanging="386"/>
      </w:pPr>
      <w:r>
        <w:rPr>
          <w:rFonts w:ascii="標楷體" w:eastAsia="標楷體" w:hAnsi="標楷體"/>
          <w:color w:val="000000"/>
        </w:rPr>
        <w:t>2.1.4.1.</w:t>
      </w:r>
      <w:r>
        <w:t xml:space="preserve"> </w:t>
      </w:r>
      <w:r>
        <w:rPr>
          <w:rFonts w:ascii="標楷體" w:eastAsia="標楷體" w:hAnsi="標楷體"/>
          <w:color w:val="000000"/>
        </w:rPr>
        <w:t>Fondaparinux（如</w:t>
      </w:r>
      <w:proofErr w:type="spellStart"/>
      <w:r>
        <w:rPr>
          <w:rFonts w:ascii="標楷體" w:eastAsia="標楷體" w:hAnsi="標楷體"/>
          <w:color w:val="000000"/>
        </w:rPr>
        <w:t>Arixtra</w:t>
      </w:r>
      <w:proofErr w:type="spellEnd"/>
      <w:r>
        <w:rPr>
          <w:rFonts w:ascii="標楷體" w:eastAsia="標楷體" w:hAnsi="標楷體"/>
          <w:color w:val="000000"/>
        </w:rPr>
        <w:t>）： (100/4/1、100/7/1、103/2/1、111/2/1、111/3/1)</w:t>
      </w:r>
    </w:p>
    <w:p w14:paraId="4CF9F3CB" w14:textId="77777777" w:rsidR="00401786" w:rsidRDefault="00C64FB3" w:rsidP="0009639E">
      <w:pPr>
        <w:spacing w:line="300" w:lineRule="exact"/>
        <w:ind w:left="851" w:hanging="1"/>
        <w:rPr>
          <w:rFonts w:ascii="標楷體" w:eastAsia="標楷體" w:hAnsi="標楷體"/>
          <w:color w:val="000000"/>
        </w:rPr>
      </w:pPr>
      <w:r>
        <w:rPr>
          <w:rFonts w:ascii="標楷體" w:eastAsia="標楷體" w:hAnsi="標楷體"/>
          <w:color w:val="000000"/>
        </w:rPr>
        <w:t>限用於</w:t>
      </w:r>
    </w:p>
    <w:p w14:paraId="2C0A8FBC" w14:textId="77777777" w:rsidR="00401786" w:rsidRDefault="00C64FB3" w:rsidP="0009639E">
      <w:pPr>
        <w:spacing w:line="300" w:lineRule="exact"/>
        <w:ind w:left="810" w:hanging="246"/>
        <w:rPr>
          <w:rFonts w:ascii="標楷體" w:eastAsia="標楷體" w:hAnsi="標楷體"/>
          <w:color w:val="000000"/>
        </w:rPr>
      </w:pPr>
      <w:r>
        <w:rPr>
          <w:rFonts w:ascii="標楷體" w:eastAsia="標楷體" w:hAnsi="標楷體"/>
          <w:color w:val="000000"/>
        </w:rPr>
        <w:t>1.治療ST段升高型心肌梗塞(STEMI)的</w:t>
      </w:r>
      <w:proofErr w:type="gramStart"/>
      <w:r>
        <w:rPr>
          <w:rFonts w:ascii="標楷體" w:eastAsia="標楷體" w:hAnsi="標楷體"/>
          <w:color w:val="000000"/>
        </w:rPr>
        <w:t>急性冠</w:t>
      </w:r>
      <w:proofErr w:type="gramEnd"/>
      <w:r>
        <w:rPr>
          <w:rFonts w:ascii="標楷體" w:eastAsia="標楷體" w:hAnsi="標楷體"/>
          <w:color w:val="000000"/>
        </w:rPr>
        <w:t>狀症候群之病患，藉以預防使用血栓溶解劑治療或原先即不準備接受任何其它型式之</w:t>
      </w:r>
      <w:proofErr w:type="gramStart"/>
      <w:r>
        <w:rPr>
          <w:rFonts w:ascii="標楷體" w:eastAsia="標楷體" w:hAnsi="標楷體"/>
          <w:color w:val="000000"/>
        </w:rPr>
        <w:t>再灌流治療</w:t>
      </w:r>
      <w:proofErr w:type="gramEnd"/>
      <w:r>
        <w:rPr>
          <w:rFonts w:ascii="標楷體" w:eastAsia="標楷體" w:hAnsi="標楷體"/>
          <w:color w:val="000000"/>
        </w:rPr>
        <w:t>的患者發生死亡和心肌再度梗塞。</w:t>
      </w:r>
    </w:p>
    <w:p w14:paraId="2C38E2BC" w14:textId="77777777" w:rsidR="00401786" w:rsidRDefault="00C64FB3" w:rsidP="0009639E">
      <w:pPr>
        <w:spacing w:line="300" w:lineRule="exact"/>
        <w:ind w:left="850" w:hanging="262"/>
        <w:rPr>
          <w:rFonts w:ascii="標楷體" w:eastAsia="標楷體" w:hAnsi="標楷體"/>
          <w:color w:val="000000"/>
        </w:rPr>
      </w:pPr>
      <w:r>
        <w:rPr>
          <w:rFonts w:ascii="標楷體" w:eastAsia="標楷體" w:hAnsi="標楷體"/>
          <w:color w:val="000000"/>
        </w:rPr>
        <w:t>2.治療60歲以上患有不穩定型心絞痛或非ST 段升高型心肌梗塞(UA/NSTEMI)且不適合接受緊急(120分鐘內)侵入性治療(PCI)者，其症狀開始時間需在24小時之內，且血清</w:t>
      </w:r>
      <w:proofErr w:type="gramStart"/>
      <w:r>
        <w:rPr>
          <w:rFonts w:ascii="標楷體" w:eastAsia="標楷體" w:hAnsi="標楷體"/>
          <w:color w:val="000000"/>
        </w:rPr>
        <w:t>肌</w:t>
      </w:r>
      <w:proofErr w:type="gramEnd"/>
      <w:r>
        <w:rPr>
          <w:rFonts w:ascii="標楷體" w:eastAsia="標楷體" w:hAnsi="標楷體"/>
          <w:color w:val="000000"/>
        </w:rPr>
        <w:t>酸酐需小於3.0 mg/dL。(103/2/1、111/2/1)</w:t>
      </w:r>
    </w:p>
    <w:p w14:paraId="1D5F0C0F" w14:textId="77777777" w:rsidR="00401786" w:rsidRDefault="00C64FB3" w:rsidP="0009639E">
      <w:pPr>
        <w:spacing w:line="300" w:lineRule="exact"/>
        <w:ind w:left="851" w:hanging="287"/>
        <w:rPr>
          <w:rFonts w:ascii="標楷體" w:eastAsia="標楷體" w:hAnsi="標楷體"/>
          <w:color w:val="000000"/>
        </w:rPr>
      </w:pPr>
      <w:r>
        <w:rPr>
          <w:rFonts w:ascii="標楷體" w:eastAsia="標楷體" w:hAnsi="標楷體"/>
          <w:color w:val="000000"/>
        </w:rPr>
        <w:t>3.靜脈血栓高危險（符合下列條件之一）病患，接受</w:t>
      </w:r>
      <w:proofErr w:type="gramStart"/>
      <w:r>
        <w:rPr>
          <w:rFonts w:ascii="標楷體" w:eastAsia="標楷體" w:hAnsi="標楷體"/>
          <w:color w:val="000000"/>
        </w:rPr>
        <w:t>人工髖或膝關節</w:t>
      </w:r>
      <w:proofErr w:type="gramEnd"/>
      <w:r>
        <w:rPr>
          <w:rFonts w:ascii="標楷體" w:eastAsia="標楷體" w:hAnsi="標楷體"/>
          <w:color w:val="000000"/>
        </w:rPr>
        <w:t>置換術或再置換術後，預防其術後之靜脈血栓(VTE)，限用2.5 mg針劑皮下注射，每日一劑，最多5</w:t>
      </w:r>
      <w:proofErr w:type="gramStart"/>
      <w:r>
        <w:rPr>
          <w:rFonts w:ascii="標楷體" w:eastAsia="標楷體" w:hAnsi="標楷體"/>
          <w:color w:val="000000"/>
        </w:rPr>
        <w:t>週</w:t>
      </w:r>
      <w:proofErr w:type="gramEnd"/>
      <w:r>
        <w:rPr>
          <w:rFonts w:ascii="標楷體" w:eastAsia="標楷體" w:hAnsi="標楷體"/>
          <w:color w:val="000000"/>
        </w:rPr>
        <w:t>：(103/2/1、111/3/1)</w:t>
      </w:r>
    </w:p>
    <w:p w14:paraId="625E530B" w14:textId="77777777" w:rsidR="00401786" w:rsidRDefault="00C64FB3" w:rsidP="0009639E">
      <w:pPr>
        <w:spacing w:line="300" w:lineRule="exact"/>
        <w:ind w:left="1132" w:hanging="287"/>
        <w:rPr>
          <w:rFonts w:ascii="標楷體" w:eastAsia="標楷體" w:hAnsi="標楷體"/>
          <w:color w:val="000000"/>
        </w:rPr>
      </w:pPr>
      <w:r>
        <w:rPr>
          <w:rFonts w:ascii="標楷體" w:eastAsia="標楷體" w:hAnsi="標楷體"/>
          <w:color w:val="000000"/>
        </w:rPr>
        <w:t>(1)曾發生有症狀之靜脈血栓症病史（須於病歷詳細說明發生之時間與診療過程）之病患。</w:t>
      </w:r>
    </w:p>
    <w:p w14:paraId="57A4C4A8" w14:textId="77777777" w:rsidR="00401786" w:rsidRDefault="00C64FB3" w:rsidP="0009639E">
      <w:pPr>
        <w:spacing w:line="300" w:lineRule="exact"/>
        <w:ind w:left="851" w:hanging="1"/>
        <w:rPr>
          <w:rFonts w:ascii="標楷體" w:eastAsia="標楷體" w:hAnsi="標楷體"/>
          <w:color w:val="000000"/>
        </w:rPr>
      </w:pPr>
      <w:r>
        <w:rPr>
          <w:rFonts w:ascii="標楷體" w:eastAsia="標楷體" w:hAnsi="標楷體"/>
          <w:color w:val="000000"/>
        </w:rPr>
        <w:t>(2)經靜脈超音波檢查（Venous ultrasonography）或靜脈攝影（Venography），診斷為靜脈血栓症之病患。(111/3/1)</w:t>
      </w:r>
    </w:p>
    <w:p w14:paraId="447D279C" w14:textId="77777777" w:rsidR="00594823" w:rsidRDefault="00594823" w:rsidP="00594823">
      <w:pPr>
        <w:spacing w:line="300" w:lineRule="exact"/>
        <w:rPr>
          <w:rFonts w:ascii="標楷體" w:eastAsia="標楷體" w:hAnsi="標楷體"/>
          <w:kern w:val="0"/>
          <w:szCs w:val="24"/>
        </w:rPr>
      </w:pPr>
      <w:r>
        <w:rPr>
          <w:rFonts w:ascii="標楷體" w:eastAsia="標楷體" w:hAnsi="標楷體" w:hint="eastAsia"/>
        </w:rPr>
        <w:t>2.1.4.2.Rivaroxaban(如Xarelto)（101/1/1、102/2/1、103/5/1、104/12/1、105/5/1、110/7/1、111/2/1、112/3/1、115/10/1）</w:t>
      </w:r>
    </w:p>
    <w:p w14:paraId="106553FB" w14:textId="77777777" w:rsidR="00594823" w:rsidRDefault="00594823" w:rsidP="00594823">
      <w:pPr>
        <w:spacing w:line="300" w:lineRule="exact"/>
        <w:ind w:left="330" w:hanging="330"/>
        <w:rPr>
          <w:rFonts w:ascii="標楷體" w:eastAsia="標楷體" w:hAnsi="標楷體"/>
        </w:rPr>
      </w:pPr>
      <w:r>
        <w:rPr>
          <w:rFonts w:ascii="標楷體" w:eastAsia="標楷體" w:hAnsi="標楷體" w:hint="eastAsia"/>
        </w:rPr>
        <w:t>限用於</w:t>
      </w:r>
    </w:p>
    <w:p w14:paraId="1A538287" w14:textId="77777777" w:rsidR="00594823" w:rsidRDefault="00594823" w:rsidP="00594823">
      <w:pPr>
        <w:spacing w:line="300" w:lineRule="exact"/>
        <w:ind w:left="330" w:hanging="330"/>
        <w:rPr>
          <w:rFonts w:ascii="標楷體" w:eastAsia="標楷體" w:hAnsi="標楷體"/>
        </w:rPr>
      </w:pPr>
      <w:r>
        <w:rPr>
          <w:rFonts w:ascii="標楷體" w:eastAsia="標楷體" w:hAnsi="標楷體" w:hint="eastAsia"/>
        </w:rPr>
        <w:t>1.靜脈血栓高危險（符合下列條件之一）病患，接受</w:t>
      </w:r>
      <w:proofErr w:type="gramStart"/>
      <w:r>
        <w:rPr>
          <w:rFonts w:ascii="標楷體" w:eastAsia="標楷體" w:hAnsi="標楷體" w:hint="eastAsia"/>
        </w:rPr>
        <w:t>人工髖或膝關節</w:t>
      </w:r>
      <w:proofErr w:type="gramEnd"/>
      <w:r>
        <w:rPr>
          <w:rFonts w:ascii="標楷體" w:eastAsia="標楷體" w:hAnsi="標楷體" w:hint="eastAsia"/>
        </w:rPr>
        <w:t>置換術或再置換術時，預防其術後之靜脈血栓栓塞症(VTE)，限用10mg</w:t>
      </w:r>
      <w:proofErr w:type="gramStart"/>
      <w:r>
        <w:rPr>
          <w:rFonts w:ascii="標楷體" w:eastAsia="標楷體" w:hAnsi="標楷體" w:hint="eastAsia"/>
        </w:rPr>
        <w:t>錠劑</w:t>
      </w:r>
      <w:proofErr w:type="gramEnd"/>
      <w:r>
        <w:rPr>
          <w:rFonts w:ascii="標楷體" w:eastAsia="標楷體" w:hAnsi="標楷體" w:hint="eastAsia"/>
        </w:rPr>
        <w:t>，每日一粒，人工</w:t>
      </w:r>
      <w:proofErr w:type="gramStart"/>
      <w:r>
        <w:rPr>
          <w:rFonts w:ascii="標楷體" w:eastAsia="標楷體" w:hAnsi="標楷體" w:hint="eastAsia"/>
        </w:rPr>
        <w:t>髖</w:t>
      </w:r>
      <w:proofErr w:type="gramEnd"/>
      <w:r>
        <w:rPr>
          <w:rFonts w:ascii="標楷體" w:eastAsia="標楷體" w:hAnsi="標楷體" w:hint="eastAsia"/>
        </w:rPr>
        <w:t>關節手術</w:t>
      </w:r>
      <w:proofErr w:type="gramStart"/>
      <w:r>
        <w:rPr>
          <w:rFonts w:ascii="標楷體" w:eastAsia="標楷體" w:hAnsi="標楷體" w:hint="eastAsia"/>
        </w:rPr>
        <w:t>術</w:t>
      </w:r>
      <w:proofErr w:type="gramEnd"/>
      <w:r>
        <w:rPr>
          <w:rFonts w:ascii="標楷體" w:eastAsia="標楷體" w:hAnsi="標楷體" w:hint="eastAsia"/>
        </w:rPr>
        <w:t>後治療，最多5</w:t>
      </w:r>
      <w:proofErr w:type="gramStart"/>
      <w:r>
        <w:rPr>
          <w:rFonts w:ascii="標楷體" w:eastAsia="標楷體" w:hAnsi="標楷體" w:hint="eastAsia"/>
        </w:rPr>
        <w:t>週</w:t>
      </w:r>
      <w:proofErr w:type="gramEnd"/>
      <w:r>
        <w:rPr>
          <w:rFonts w:ascii="標楷體" w:eastAsia="標楷體" w:hAnsi="標楷體" w:hint="eastAsia"/>
        </w:rPr>
        <w:t>；人工膝關節手術</w:t>
      </w:r>
      <w:proofErr w:type="gramStart"/>
      <w:r>
        <w:rPr>
          <w:rFonts w:ascii="標楷體" w:eastAsia="標楷體" w:hAnsi="標楷體" w:hint="eastAsia"/>
        </w:rPr>
        <w:t>術</w:t>
      </w:r>
      <w:proofErr w:type="gramEnd"/>
      <w:r>
        <w:rPr>
          <w:rFonts w:ascii="標楷體" w:eastAsia="標楷體" w:hAnsi="標楷體" w:hint="eastAsia"/>
        </w:rPr>
        <w:t>後治療，最多2</w:t>
      </w:r>
      <w:proofErr w:type="gramStart"/>
      <w:r>
        <w:rPr>
          <w:rFonts w:ascii="標楷體" w:eastAsia="標楷體" w:hAnsi="標楷體" w:hint="eastAsia"/>
        </w:rPr>
        <w:t>週</w:t>
      </w:r>
      <w:proofErr w:type="gramEnd"/>
      <w:r>
        <w:rPr>
          <w:rFonts w:ascii="標楷體" w:eastAsia="標楷體" w:hAnsi="標楷體" w:hint="eastAsia"/>
        </w:rPr>
        <w:t>：(112/3/1)</w:t>
      </w:r>
    </w:p>
    <w:p w14:paraId="10C32D51"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lastRenderedPageBreak/>
        <w:t>(1)曾發生有症狀之靜脈血栓症病史（須於病歷詳細說明發生之時間與診療過程）之病患；</w:t>
      </w:r>
    </w:p>
    <w:p w14:paraId="2AAE3FB7" w14:textId="77777777" w:rsidR="00594823" w:rsidRDefault="00594823" w:rsidP="00594823">
      <w:pPr>
        <w:pStyle w:val="af"/>
        <w:spacing w:line="300" w:lineRule="exact"/>
        <w:ind w:leftChars="116" w:left="523" w:hangingChars="102" w:hanging="245"/>
        <w:rPr>
          <w:rFonts w:ascii="標楷體" w:eastAsia="標楷體" w:hAnsi="標楷體"/>
        </w:rPr>
      </w:pPr>
      <w:r>
        <w:rPr>
          <w:rFonts w:ascii="標楷體" w:eastAsia="標楷體" w:hAnsi="標楷體" w:hint="eastAsia"/>
        </w:rPr>
        <w:t>(2)經靜脈超音波檢查（Venous ultrasonography）或靜脈攝影（Venography）檢測，診斷為靜脈血栓症之病患。(112/3/1)</w:t>
      </w:r>
    </w:p>
    <w:p w14:paraId="79CF074D" w14:textId="77777777" w:rsidR="00594823" w:rsidRDefault="00594823" w:rsidP="00594823">
      <w:pPr>
        <w:spacing w:line="300" w:lineRule="exact"/>
        <w:ind w:left="330" w:hanging="330"/>
        <w:rPr>
          <w:rFonts w:ascii="標楷體" w:eastAsia="標楷體" w:hAnsi="標楷體"/>
        </w:rPr>
      </w:pPr>
      <w:r>
        <w:rPr>
          <w:rFonts w:ascii="標楷體" w:eastAsia="標楷體" w:hAnsi="標楷體" w:hint="eastAsia"/>
        </w:rPr>
        <w:t>2.18歲以上非瓣膜性心房纖維顫動病患，須符合下列條件之</w:t>
      </w:r>
      <w:proofErr w:type="gramStart"/>
      <w:r>
        <w:rPr>
          <w:rFonts w:ascii="標楷體" w:eastAsia="標楷體" w:hAnsi="標楷體" w:hint="eastAsia"/>
        </w:rPr>
        <w:t>一</w:t>
      </w:r>
      <w:proofErr w:type="gramEnd"/>
      <w:r>
        <w:rPr>
          <w:rFonts w:ascii="標楷體" w:eastAsia="標楷體" w:hAnsi="標楷體" w:hint="eastAsia"/>
        </w:rPr>
        <w:t>：(102/2/1、103/5/1、105/5/1、111/2/1、112/3/1)</w:t>
      </w:r>
    </w:p>
    <w:p w14:paraId="1657FB2D"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(1)曾發生中風或全身性栓塞。</w:t>
      </w:r>
    </w:p>
    <w:p w14:paraId="484BBDE5"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(2)左心室射出分率小於40%。</w:t>
      </w:r>
    </w:p>
    <w:p w14:paraId="1CC0DE26"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(3)有症狀之心臟衰竭：收案前依紐約心臟協會衰竭功能分級為第二級或以上。</w:t>
      </w:r>
    </w:p>
    <w:p w14:paraId="2E17171F"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(4)75歲以上。(111/2/1)</w:t>
      </w:r>
    </w:p>
    <w:p w14:paraId="46DEC665"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(5)50歲以上未滿75歲且合併有糖尿病、高血壓或冠狀動脈疾病。(111/2/1、112/3/1)</w:t>
      </w:r>
    </w:p>
    <w:p w14:paraId="6B6DEB21"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(6)每日1次，每次限1粒。</w:t>
      </w:r>
      <w:proofErr w:type="gramStart"/>
      <w:r>
        <w:rPr>
          <w:rFonts w:ascii="標楷體" w:eastAsia="標楷體" w:hAnsi="標楷體" w:hint="eastAsia"/>
        </w:rPr>
        <w:t>（</w:t>
      </w:r>
      <w:proofErr w:type="gramEnd"/>
      <w:r>
        <w:rPr>
          <w:rFonts w:ascii="標楷體" w:eastAsia="標楷體" w:hAnsi="標楷體" w:hint="eastAsia"/>
        </w:rPr>
        <w:t>103/5/1)</w:t>
      </w:r>
    </w:p>
    <w:p w14:paraId="72E2340A"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(7)排除標準：</w:t>
      </w:r>
    </w:p>
    <w:p w14:paraId="6AF368EE" w14:textId="77777777" w:rsidR="00594823" w:rsidRDefault="00594823" w:rsidP="00594823">
      <w:pPr>
        <w:spacing w:line="300" w:lineRule="exact"/>
        <w:ind w:left="330" w:firstLine="237"/>
        <w:rPr>
          <w:rFonts w:ascii="標楷體" w:eastAsia="標楷體" w:hAnsi="標楷體"/>
        </w:rPr>
      </w:pPr>
      <w:r>
        <w:rPr>
          <w:rFonts w:ascii="標楷體" w:eastAsia="標楷體" w:hAnsi="標楷體" w:hint="eastAsia"/>
        </w:rPr>
        <w:t>Ⅰ.病人曾有嚴重心臟瓣膜疾病。</w:t>
      </w:r>
    </w:p>
    <w:p w14:paraId="170D51B3" w14:textId="77777777" w:rsidR="00594823" w:rsidRDefault="00594823" w:rsidP="00594823">
      <w:pPr>
        <w:spacing w:line="300" w:lineRule="exact"/>
        <w:ind w:left="330" w:firstLine="237"/>
        <w:rPr>
          <w:rFonts w:ascii="標楷體" w:eastAsia="標楷體" w:hAnsi="標楷體"/>
        </w:rPr>
      </w:pPr>
      <w:r>
        <w:rPr>
          <w:rFonts w:ascii="標楷體" w:eastAsia="標楷體" w:hAnsi="標楷體" w:hint="eastAsia"/>
        </w:rPr>
        <w:t>Ⅱ.14 天內發生中風。</w:t>
      </w:r>
    </w:p>
    <w:p w14:paraId="7503EE68" w14:textId="77777777" w:rsidR="00594823" w:rsidRDefault="00594823" w:rsidP="00594823">
      <w:pPr>
        <w:spacing w:line="300" w:lineRule="exact"/>
        <w:ind w:left="330" w:firstLine="237"/>
        <w:rPr>
          <w:rFonts w:ascii="標楷體" w:eastAsia="標楷體" w:hAnsi="標楷體"/>
        </w:rPr>
      </w:pPr>
      <w:r>
        <w:rPr>
          <w:rFonts w:ascii="標楷體" w:eastAsia="標楷體" w:hAnsi="標楷體" w:hint="eastAsia"/>
        </w:rPr>
        <w:t>Ⅲ.收案前的6個月內發生嚴重中風。</w:t>
      </w:r>
    </w:p>
    <w:p w14:paraId="32DDF655" w14:textId="77777777" w:rsidR="00594823" w:rsidRDefault="00594823" w:rsidP="00594823">
      <w:pPr>
        <w:spacing w:line="300" w:lineRule="exact"/>
        <w:ind w:left="330" w:firstLine="237"/>
        <w:rPr>
          <w:rFonts w:ascii="標楷體" w:eastAsia="標楷體" w:hAnsi="標楷體"/>
        </w:rPr>
      </w:pPr>
      <w:r>
        <w:rPr>
          <w:rFonts w:ascii="標楷體" w:eastAsia="標楷體" w:hAnsi="標楷體" w:hint="eastAsia"/>
        </w:rPr>
        <w:t>Ⅳ.有增加出血風險的情況。</w:t>
      </w:r>
    </w:p>
    <w:p w14:paraId="083FD9BF" w14:textId="77777777" w:rsidR="00594823" w:rsidRDefault="00594823" w:rsidP="00594823">
      <w:pPr>
        <w:spacing w:line="300" w:lineRule="exact"/>
        <w:ind w:left="993" w:hanging="426"/>
        <w:rPr>
          <w:rFonts w:ascii="標楷體" w:eastAsia="標楷體" w:hAnsi="標楷體"/>
        </w:rPr>
      </w:pPr>
      <w:r>
        <w:rPr>
          <w:rFonts w:ascii="標楷體" w:eastAsia="標楷體" w:hAnsi="標楷體" w:hint="eastAsia"/>
        </w:rPr>
        <w:t>Ⅴ.</w:t>
      </w:r>
      <w:proofErr w:type="gramStart"/>
      <w:r>
        <w:rPr>
          <w:rFonts w:ascii="標楷體" w:eastAsia="標楷體" w:hAnsi="標楷體" w:hint="eastAsia"/>
        </w:rPr>
        <w:t>肌</w:t>
      </w:r>
      <w:proofErr w:type="gramEnd"/>
      <w:r>
        <w:rPr>
          <w:rFonts w:ascii="標楷體" w:eastAsia="標楷體" w:hAnsi="標楷體" w:hint="eastAsia"/>
        </w:rPr>
        <w:t>酸酐清除率小於15mL/min。</w:t>
      </w:r>
    </w:p>
    <w:p w14:paraId="14913713" w14:textId="77777777" w:rsidR="00594823" w:rsidRDefault="00594823" w:rsidP="00594823">
      <w:pPr>
        <w:spacing w:line="300" w:lineRule="exact"/>
        <w:ind w:left="330" w:firstLine="237"/>
        <w:rPr>
          <w:rFonts w:ascii="標楷體" w:eastAsia="標楷體" w:hAnsi="標楷體"/>
        </w:rPr>
      </w:pPr>
      <w:r>
        <w:rPr>
          <w:rFonts w:ascii="標楷體" w:eastAsia="標楷體" w:hAnsi="標楷體" w:hint="eastAsia"/>
        </w:rPr>
        <w:t>Ⅵ.活動性肝病和懷孕。</w:t>
      </w:r>
    </w:p>
    <w:p w14:paraId="21FAA0B5" w14:textId="77777777" w:rsidR="00594823" w:rsidRDefault="00594823" w:rsidP="00594823">
      <w:pPr>
        <w:spacing w:line="300" w:lineRule="exact"/>
        <w:ind w:left="330" w:hanging="330"/>
        <w:rPr>
          <w:rFonts w:ascii="標楷體" w:eastAsia="標楷體" w:hAnsi="標楷體"/>
        </w:rPr>
      </w:pPr>
      <w:r>
        <w:rPr>
          <w:rFonts w:ascii="標楷體" w:eastAsia="標楷體" w:hAnsi="標楷體" w:hint="eastAsia"/>
        </w:rPr>
        <w:t>3.治療深部靜脈血栓與肺栓塞及預防再發性深部靜脈血栓與肺栓塞(103/5/1、104/12/1)：</w:t>
      </w:r>
    </w:p>
    <w:p w14:paraId="26F3FA33"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(1)須經影像學或血管超音波檢查診斷。</w:t>
      </w:r>
    </w:p>
    <w:p w14:paraId="78D24413"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(2)第1日至21日，每日早晚各一次，每次限用一粒。</w:t>
      </w:r>
    </w:p>
    <w:p w14:paraId="358A8D08" w14:textId="77777777" w:rsidR="00594823" w:rsidRDefault="00594823" w:rsidP="00594823">
      <w:pPr>
        <w:pStyle w:val="af"/>
        <w:spacing w:line="300" w:lineRule="exact"/>
        <w:ind w:leftChars="117" w:left="646" w:hangingChars="152" w:hanging="365"/>
        <w:rPr>
          <w:rFonts w:ascii="標楷體" w:eastAsia="標楷體" w:hAnsi="標楷體"/>
        </w:rPr>
      </w:pPr>
      <w:r>
        <w:rPr>
          <w:rFonts w:ascii="標楷體" w:eastAsia="標楷體" w:hAnsi="標楷體" w:hint="eastAsia"/>
        </w:rPr>
        <w:t>(3)第22日起，每日一次，每次限用一粒，每6個月評估一次。</w:t>
      </w:r>
    </w:p>
    <w:p w14:paraId="1F5136C3" w14:textId="77777777" w:rsidR="00594823" w:rsidRDefault="00594823" w:rsidP="00594823">
      <w:pPr>
        <w:spacing w:line="300" w:lineRule="exact"/>
        <w:ind w:left="330" w:hanging="330"/>
        <w:rPr>
          <w:rFonts w:ascii="標楷體" w:eastAsia="標楷體" w:hAnsi="標楷體"/>
        </w:rPr>
      </w:pPr>
      <w:r>
        <w:rPr>
          <w:rFonts w:ascii="標楷體" w:eastAsia="標楷體" w:hAnsi="標楷體" w:hint="eastAsia"/>
        </w:rPr>
        <w:t>4.Rivaroxaban 2.5mg限與aspirin</w:t>
      </w:r>
      <w:proofErr w:type="gramStart"/>
      <w:r>
        <w:rPr>
          <w:rFonts w:ascii="標楷體" w:eastAsia="標楷體" w:hAnsi="標楷體" w:hint="eastAsia"/>
        </w:rPr>
        <w:t>併</w:t>
      </w:r>
      <w:proofErr w:type="gramEnd"/>
      <w:r>
        <w:rPr>
          <w:rFonts w:ascii="標楷體" w:eastAsia="標楷體" w:hAnsi="標楷體" w:hint="eastAsia"/>
        </w:rPr>
        <w:t>用，可用於發生缺血事件高危險族群之冠狀動脈(CAD)或症狀性周邊動脈疾病(PAD)病人，以預防</w:t>
      </w:r>
      <w:proofErr w:type="gramStart"/>
      <w:r>
        <w:rPr>
          <w:rFonts w:ascii="標楷體" w:eastAsia="標楷體" w:hAnsi="標楷體" w:hint="eastAsia"/>
        </w:rPr>
        <w:t>動脈粥狀硬化</w:t>
      </w:r>
      <w:proofErr w:type="gramEnd"/>
      <w:r>
        <w:rPr>
          <w:rFonts w:ascii="標楷體" w:eastAsia="標楷體" w:hAnsi="標楷體" w:hint="eastAsia"/>
        </w:rPr>
        <w:t>血栓形成事件(Atherothrombotic events)：(110/7/1、115/10/1)</w:t>
      </w:r>
    </w:p>
    <w:p w14:paraId="09AE9BED" w14:textId="77777777" w:rsidR="00594823" w:rsidRDefault="00594823" w:rsidP="00594823">
      <w:pPr>
        <w:spacing w:line="300" w:lineRule="exact"/>
        <w:ind w:left="738" w:hanging="454"/>
        <w:jc w:val="both"/>
        <w:rPr>
          <w:rFonts w:ascii="標楷體" w:eastAsia="標楷體" w:hAnsi="標楷體"/>
        </w:rPr>
      </w:pPr>
      <w:r>
        <w:rPr>
          <w:rFonts w:ascii="標楷體" w:eastAsia="標楷體" w:hAnsi="標楷體" w:hint="eastAsia"/>
        </w:rPr>
        <w:t>(1)高風險的</w:t>
      </w:r>
      <w:proofErr w:type="gramStart"/>
      <w:r>
        <w:rPr>
          <w:rFonts w:ascii="標楷體" w:eastAsia="標楷體" w:hAnsi="標楷體" w:hint="eastAsia"/>
        </w:rPr>
        <w:t>動脈粥狀硬化</w:t>
      </w:r>
      <w:proofErr w:type="gramEnd"/>
      <w:r>
        <w:rPr>
          <w:rFonts w:ascii="標楷體" w:eastAsia="標楷體" w:hAnsi="標楷體" w:hint="eastAsia"/>
        </w:rPr>
        <w:t>須符合2年內曾經發生下列心血管事件之</w:t>
      </w:r>
      <w:proofErr w:type="gramStart"/>
      <w:r>
        <w:rPr>
          <w:rFonts w:ascii="標楷體" w:eastAsia="標楷體" w:hAnsi="標楷體" w:hint="eastAsia"/>
        </w:rPr>
        <w:t>一</w:t>
      </w:r>
      <w:proofErr w:type="gramEnd"/>
      <w:r>
        <w:rPr>
          <w:rFonts w:ascii="標楷體" w:eastAsia="標楷體" w:hAnsi="標楷體" w:hint="eastAsia"/>
        </w:rPr>
        <w:t>：(110/7/1、115/10/1</w:t>
      </w:r>
      <w:proofErr w:type="gramStart"/>
      <w:r>
        <w:rPr>
          <w:rFonts w:ascii="標楷體" w:eastAsia="標楷體" w:hAnsi="標楷體" w:hint="eastAsia"/>
        </w:rPr>
        <w:t>）</w:t>
      </w:r>
      <w:proofErr w:type="gramEnd"/>
    </w:p>
    <w:p w14:paraId="0AA098B6" w14:textId="77777777" w:rsidR="00594823" w:rsidRDefault="00594823" w:rsidP="00594823">
      <w:pPr>
        <w:spacing w:line="300" w:lineRule="exact"/>
        <w:ind w:leftChars="300" w:left="1050" w:hanging="330"/>
        <w:rPr>
          <w:rFonts w:ascii="標楷體" w:eastAsia="標楷體" w:hAnsi="標楷體"/>
        </w:rPr>
      </w:pPr>
      <w:r>
        <w:rPr>
          <w:rFonts w:ascii="標楷體" w:eastAsia="標楷體" w:hAnsi="標楷體" w:hint="eastAsia"/>
        </w:rPr>
        <w:t>Ⅰ.心肌梗塞。</w:t>
      </w:r>
    </w:p>
    <w:p w14:paraId="4E0F27C7" w14:textId="77777777" w:rsidR="00594823" w:rsidRDefault="00594823" w:rsidP="00594823">
      <w:pPr>
        <w:spacing w:line="300" w:lineRule="exact"/>
        <w:ind w:leftChars="300" w:left="1050" w:rightChars="-44" w:right="-106" w:hanging="330"/>
        <w:rPr>
          <w:rFonts w:ascii="標楷體" w:eastAsia="標楷體" w:hAnsi="標楷體"/>
        </w:rPr>
      </w:pPr>
      <w:r>
        <w:rPr>
          <w:rFonts w:ascii="標楷體" w:eastAsia="標楷體" w:hAnsi="標楷體" w:hint="eastAsia"/>
        </w:rPr>
        <w:t>Ⅱ.多支血管冠狀動脈疾病(Multivessel CAD)。(115/10/1)</w:t>
      </w:r>
    </w:p>
    <w:p w14:paraId="3675D6D5" w14:textId="77777777" w:rsidR="00594823" w:rsidRDefault="00594823" w:rsidP="00594823">
      <w:pPr>
        <w:spacing w:line="300" w:lineRule="exact"/>
        <w:ind w:leftChars="300" w:left="1050" w:rightChars="-44" w:right="-106" w:hanging="330"/>
        <w:rPr>
          <w:rFonts w:ascii="標楷體" w:eastAsia="標楷體" w:hAnsi="標楷體"/>
        </w:rPr>
      </w:pPr>
      <w:r>
        <w:rPr>
          <w:rFonts w:ascii="標楷體" w:eastAsia="標楷體" w:hAnsi="標楷體" w:hint="eastAsia"/>
        </w:rPr>
        <w:t>Ⅲ.多血管床疾病(</w:t>
      </w:r>
      <w:proofErr w:type="spellStart"/>
      <w:r>
        <w:rPr>
          <w:rFonts w:ascii="標楷體" w:eastAsia="標楷體" w:hAnsi="標楷體" w:hint="eastAsia"/>
        </w:rPr>
        <w:t>polyvascular</w:t>
      </w:r>
      <w:proofErr w:type="spellEnd"/>
      <w:r>
        <w:rPr>
          <w:rFonts w:ascii="標楷體" w:eastAsia="標楷體" w:hAnsi="標楷體" w:hint="eastAsia"/>
        </w:rPr>
        <w:t xml:space="preserve"> disease)。(115/10/1)</w:t>
      </w:r>
    </w:p>
    <w:p w14:paraId="61BF858A" w14:textId="77777777" w:rsidR="00594823" w:rsidRDefault="00594823" w:rsidP="00594823">
      <w:pPr>
        <w:spacing w:line="300" w:lineRule="exact"/>
        <w:ind w:leftChars="300" w:left="1050" w:hanging="330"/>
        <w:rPr>
          <w:rFonts w:ascii="標楷體" w:eastAsia="標楷體" w:hAnsi="標楷體"/>
        </w:rPr>
      </w:pPr>
      <w:r>
        <w:rPr>
          <w:rFonts w:ascii="標楷體" w:eastAsia="標楷體" w:hAnsi="標楷體" w:hint="eastAsia"/>
        </w:rPr>
        <w:t>Ⅳ. 接受血管</w:t>
      </w:r>
      <w:proofErr w:type="gramStart"/>
      <w:r>
        <w:rPr>
          <w:rFonts w:ascii="標楷體" w:eastAsia="標楷體" w:hAnsi="標楷體" w:hint="eastAsia"/>
        </w:rPr>
        <w:t>再通術</w:t>
      </w:r>
      <w:proofErr w:type="gramEnd"/>
      <w:r>
        <w:rPr>
          <w:rFonts w:ascii="標楷體" w:eastAsia="標楷體" w:hAnsi="標楷體" w:hint="eastAsia"/>
        </w:rPr>
        <w:t>(revascularization)，包括：</w:t>
      </w:r>
      <w:proofErr w:type="gramStart"/>
      <w:r>
        <w:rPr>
          <w:rFonts w:ascii="標楷體" w:eastAsia="標楷體" w:hAnsi="標楷體" w:hint="eastAsia"/>
        </w:rPr>
        <w:t>左主冠狀動脈</w:t>
      </w:r>
      <w:proofErr w:type="gramEnd"/>
      <w:r>
        <w:rPr>
          <w:rFonts w:ascii="標楷體" w:eastAsia="標楷體" w:hAnsi="標楷體" w:hint="eastAsia"/>
        </w:rPr>
        <w:t xml:space="preserve">(left main)、分岔處放過兩支以上支架(bifurcation stenting with </w:t>
      </w:r>
      <w:r>
        <w:rPr>
          <w:rFonts w:ascii="Times New Roman" w:eastAsia="標楷體" w:hAnsi="Times New Roman"/>
        </w:rPr>
        <w:t>≥</w:t>
      </w:r>
      <w:r>
        <w:rPr>
          <w:rFonts w:ascii="標楷體" w:eastAsia="標楷體" w:hAnsi="標楷體" w:hint="eastAsia"/>
        </w:rPr>
        <w:t>2 stents implanted)、慢性全阻塞(CTO, chronic total occlusion)、最後一條通暢血管接受支架置放(stenting of last patent vessel)。(110/7/1、115/10/1)</w:t>
      </w:r>
    </w:p>
    <w:p w14:paraId="0B72E903" w14:textId="77777777" w:rsidR="00594823" w:rsidRDefault="00594823" w:rsidP="00594823">
      <w:pPr>
        <w:spacing w:line="300" w:lineRule="exact"/>
        <w:ind w:leftChars="300" w:left="1050" w:hanging="330"/>
        <w:rPr>
          <w:rFonts w:ascii="標楷體" w:eastAsia="標楷體" w:hAnsi="標楷體"/>
        </w:rPr>
      </w:pPr>
      <w:r>
        <w:rPr>
          <w:rFonts w:ascii="標楷體" w:eastAsia="標楷體" w:hAnsi="標楷體" w:hint="eastAsia"/>
        </w:rPr>
        <w:t>Ⅴ.使用抗血小板治療下仍發生支架內血栓的病史。(115/10/1)</w:t>
      </w:r>
    </w:p>
    <w:p w14:paraId="5261BE74" w14:textId="77777777" w:rsidR="00594823" w:rsidRDefault="00594823" w:rsidP="00594823">
      <w:pPr>
        <w:spacing w:line="300" w:lineRule="exact"/>
        <w:ind w:leftChars="300" w:left="1050" w:hanging="330"/>
        <w:rPr>
          <w:rFonts w:ascii="標楷體" w:eastAsia="標楷體" w:hAnsi="標楷體"/>
        </w:rPr>
      </w:pPr>
      <w:r>
        <w:rPr>
          <w:rFonts w:ascii="標楷體" w:eastAsia="標楷體" w:hAnsi="標楷體" w:hint="eastAsia"/>
        </w:rPr>
        <w:t>Ⅵ.動脈硬化相關的缺血性腦中風。</w:t>
      </w:r>
    </w:p>
    <w:p w14:paraId="0AD441FC" w14:textId="77777777" w:rsidR="00594823" w:rsidRDefault="00594823" w:rsidP="00594823">
      <w:pPr>
        <w:spacing w:line="300" w:lineRule="exact"/>
        <w:ind w:left="738" w:hanging="454"/>
        <w:jc w:val="both"/>
        <w:rPr>
          <w:rFonts w:ascii="標楷體" w:eastAsia="標楷體" w:hAnsi="標楷體"/>
        </w:rPr>
      </w:pPr>
      <w:r>
        <w:rPr>
          <w:rFonts w:ascii="標楷體" w:eastAsia="標楷體" w:hAnsi="標楷體" w:hint="eastAsia"/>
        </w:rPr>
        <w:t>(2)高風險的症狀性周邊動脈硬化須符合下列條件之</w:t>
      </w:r>
      <w:proofErr w:type="gramStart"/>
      <w:r>
        <w:rPr>
          <w:rFonts w:ascii="標楷體" w:eastAsia="標楷體" w:hAnsi="標楷體" w:hint="eastAsia"/>
        </w:rPr>
        <w:t>一</w:t>
      </w:r>
      <w:proofErr w:type="gramEnd"/>
      <w:r>
        <w:rPr>
          <w:rFonts w:ascii="標楷體" w:eastAsia="標楷體" w:hAnsi="標楷體" w:hint="eastAsia"/>
        </w:rPr>
        <w:t>：(110/7/1、115/10/1</w:t>
      </w:r>
      <w:proofErr w:type="gramStart"/>
      <w:r>
        <w:rPr>
          <w:rFonts w:ascii="標楷體" w:eastAsia="標楷體" w:hAnsi="標楷體" w:hint="eastAsia"/>
        </w:rPr>
        <w:t>）</w:t>
      </w:r>
      <w:proofErr w:type="gramEnd"/>
    </w:p>
    <w:p w14:paraId="0BF40BDC" w14:textId="77777777" w:rsidR="00594823" w:rsidRDefault="00594823" w:rsidP="00594823">
      <w:pPr>
        <w:spacing w:line="300" w:lineRule="exact"/>
        <w:ind w:leftChars="300" w:left="1050" w:hanging="330"/>
        <w:rPr>
          <w:rFonts w:ascii="標楷體" w:eastAsia="標楷體" w:hAnsi="標楷體"/>
        </w:rPr>
      </w:pPr>
      <w:r>
        <w:rPr>
          <w:rFonts w:ascii="標楷體" w:eastAsia="標楷體" w:hAnsi="標楷體" w:hint="eastAsia"/>
        </w:rPr>
        <w:t>Ⅰ.曾經接受過主動脈股動脈(aorto-femoral)或下肢繞道手術；</w:t>
      </w:r>
      <w:proofErr w:type="gramStart"/>
      <w:r>
        <w:rPr>
          <w:rFonts w:ascii="標楷體" w:eastAsia="標楷體" w:hAnsi="標楷體" w:hint="eastAsia"/>
        </w:rPr>
        <w:t>髂</w:t>
      </w:r>
      <w:proofErr w:type="gramEnd"/>
      <w:r>
        <w:rPr>
          <w:rFonts w:ascii="標楷體" w:eastAsia="標楷體" w:hAnsi="標楷體" w:hint="eastAsia"/>
        </w:rPr>
        <w:t xml:space="preserve">動脈、股動脈及膝下動脈(iliac or </w:t>
      </w:r>
      <w:proofErr w:type="spellStart"/>
      <w:r>
        <w:rPr>
          <w:rFonts w:ascii="標楷體" w:eastAsia="標楷體" w:hAnsi="標楷體" w:hint="eastAsia"/>
        </w:rPr>
        <w:t>infrainguinal</w:t>
      </w:r>
      <w:proofErr w:type="spellEnd"/>
      <w:r>
        <w:rPr>
          <w:rFonts w:ascii="標楷體" w:eastAsia="標楷體" w:hAnsi="標楷體" w:hint="eastAsia"/>
        </w:rPr>
        <w:t>)接受經皮動脈血管造型整形術(PTA)。</w:t>
      </w:r>
    </w:p>
    <w:p w14:paraId="2C77A9F3" w14:textId="77777777" w:rsidR="00594823" w:rsidRDefault="00594823" w:rsidP="00594823">
      <w:pPr>
        <w:spacing w:line="300" w:lineRule="exact"/>
        <w:ind w:leftChars="300" w:left="1050" w:hanging="330"/>
        <w:rPr>
          <w:rFonts w:ascii="標楷體" w:eastAsia="標楷體" w:hAnsi="標楷體"/>
        </w:rPr>
      </w:pPr>
      <w:r>
        <w:rPr>
          <w:rFonts w:ascii="標楷體" w:eastAsia="標楷體" w:hAnsi="標楷體" w:hint="eastAsia"/>
        </w:rPr>
        <w:t>Ⅱ.下肢或足部因動脈血管疾病所造成的截肢或壞疽。</w:t>
      </w:r>
    </w:p>
    <w:p w14:paraId="05BF9D82" w14:textId="77777777" w:rsidR="00594823" w:rsidRDefault="00594823" w:rsidP="00594823">
      <w:pPr>
        <w:spacing w:line="300" w:lineRule="exact"/>
        <w:ind w:leftChars="300" w:left="1050" w:hanging="330"/>
        <w:rPr>
          <w:rFonts w:ascii="標楷體" w:eastAsia="標楷體" w:hAnsi="標楷體"/>
        </w:rPr>
      </w:pPr>
      <w:r>
        <w:rPr>
          <w:rFonts w:ascii="標楷體" w:eastAsia="標楷體" w:hAnsi="標楷體" w:hint="eastAsia"/>
        </w:rPr>
        <w:t>Ⅲ.有間歇性跛行的</w:t>
      </w:r>
      <w:proofErr w:type="gramStart"/>
      <w:r>
        <w:rPr>
          <w:rFonts w:ascii="標楷體" w:eastAsia="標楷體" w:hAnsi="標楷體" w:hint="eastAsia"/>
        </w:rPr>
        <w:t>病史並經</w:t>
      </w:r>
      <w:proofErr w:type="gramEnd"/>
      <w:r>
        <w:rPr>
          <w:rFonts w:ascii="標楷體" w:eastAsia="標楷體" w:hAnsi="標楷體" w:hint="eastAsia"/>
        </w:rPr>
        <w:t>血管攝影術或都卜勒超音波等非侵入性測試有顯著的周邊動脈狹窄(&gt;50%)。(110/7/1、115/10/1</w:t>
      </w:r>
      <w:proofErr w:type="gramStart"/>
      <w:r>
        <w:rPr>
          <w:rFonts w:ascii="標楷體" w:eastAsia="標楷體" w:hAnsi="標楷體" w:hint="eastAsia"/>
        </w:rPr>
        <w:t>）</w:t>
      </w:r>
      <w:proofErr w:type="gramEnd"/>
    </w:p>
    <w:p w14:paraId="230A299E" w14:textId="77777777" w:rsidR="00594823" w:rsidRDefault="00594823" w:rsidP="00594823">
      <w:pPr>
        <w:spacing w:line="300" w:lineRule="exact"/>
        <w:ind w:left="738" w:hanging="454"/>
        <w:jc w:val="both"/>
        <w:rPr>
          <w:rFonts w:ascii="標楷體" w:eastAsia="標楷體" w:hAnsi="標楷體"/>
        </w:rPr>
      </w:pPr>
      <w:r>
        <w:rPr>
          <w:rFonts w:ascii="標楷體" w:eastAsia="標楷體" w:hAnsi="標楷體" w:hint="eastAsia"/>
        </w:rPr>
        <w:t>(3)限Rivaroxaban 2.5mg，每日2次，每次限用1粒。</w:t>
      </w:r>
    </w:p>
    <w:p w14:paraId="57EB5E60" w14:textId="77777777" w:rsidR="00594823" w:rsidRDefault="00594823" w:rsidP="00594823">
      <w:pPr>
        <w:spacing w:line="300" w:lineRule="exact"/>
        <w:ind w:left="738" w:hanging="454"/>
        <w:jc w:val="both"/>
        <w:rPr>
          <w:rFonts w:ascii="新細明體" w:hAnsi="新細明體" w:cs="新細明體"/>
        </w:rPr>
      </w:pPr>
      <w:r>
        <w:rPr>
          <w:rFonts w:ascii="標楷體" w:eastAsia="標楷體" w:hAnsi="標楷體" w:hint="eastAsia"/>
        </w:rPr>
        <w:t>(4)不得合併雙重抗血小板(DAPT)藥物、P2Y12抑制劑(如clopidogrel、ticagrelor或prasugrel)、cilostazol或其他抗凝血劑(anti-coagulant，如warfarin)。</w:t>
      </w:r>
    </w:p>
    <w:p w14:paraId="1EC95158" w14:textId="77777777" w:rsidR="00401786" w:rsidRDefault="00C64FB3" w:rsidP="0009639E">
      <w:pPr>
        <w:spacing w:line="300" w:lineRule="exact"/>
        <w:ind w:left="1275" w:hanging="989"/>
        <w:rPr>
          <w:rFonts w:ascii="標楷體" w:eastAsia="標楷體" w:hAnsi="標楷體"/>
          <w:color w:val="000000"/>
        </w:rPr>
      </w:pPr>
      <w:r>
        <w:rPr>
          <w:rFonts w:ascii="標楷體" w:eastAsia="標楷體" w:hAnsi="標楷體"/>
          <w:color w:val="000000"/>
        </w:rPr>
        <w:t>2.1.4.3.Apixaban（如Eliquis）(103/6/1、106/4/1、111/2/1)</w:t>
      </w:r>
    </w:p>
    <w:p w14:paraId="2C426F8B"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t>限用於</w:t>
      </w:r>
    </w:p>
    <w:p w14:paraId="0BBDE16B"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lastRenderedPageBreak/>
        <w:t>1.非瓣膜性心房纖維顫動病患：</w:t>
      </w:r>
    </w:p>
    <w:p w14:paraId="0E7D8903"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(1)須符合下列條件之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00FDE1FB"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Ⅰ.曾發生中風或全身性栓塞。</w:t>
      </w:r>
    </w:p>
    <w:p w14:paraId="26D2FBE7"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Ⅱ.左心室射出分率小於40%。</w:t>
      </w:r>
    </w:p>
    <w:p w14:paraId="07169CB9"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Ⅲ.有症狀之心臟衰竭：收案前依紐約心臟協會衰竭功能分級為第二級或以上。</w:t>
      </w:r>
    </w:p>
    <w:p w14:paraId="09870EFC"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Ⅳ.75歲以上。(111/2/1)</w:t>
      </w:r>
    </w:p>
    <w:p w14:paraId="1D5683FF"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Ⅴ.65歲以上未滿75歲且合併有糖尿病、高血壓或冠狀動脈疾病。(111/2/1)</w:t>
      </w:r>
    </w:p>
    <w:p w14:paraId="1B129070" w14:textId="77777777" w:rsidR="00401786" w:rsidRDefault="00C64FB3" w:rsidP="0009639E">
      <w:pPr>
        <w:spacing w:line="300" w:lineRule="exact"/>
        <w:ind w:left="1092" w:hanging="384"/>
        <w:rPr>
          <w:rFonts w:ascii="標楷體" w:eastAsia="標楷體" w:hAnsi="標楷體"/>
          <w:color w:val="000000"/>
          <w:lang w:val="it-IT"/>
        </w:rPr>
      </w:pPr>
      <w:r>
        <w:rPr>
          <w:rFonts w:ascii="標楷體" w:eastAsia="標楷體" w:hAnsi="標楷體"/>
          <w:color w:val="000000"/>
          <w:lang w:val="it-IT"/>
        </w:rPr>
        <w:t>(2)每日2次，每次限用1顆。</w:t>
      </w:r>
    </w:p>
    <w:p w14:paraId="323BDCC3" w14:textId="77777777" w:rsidR="00401786" w:rsidRDefault="00C64FB3" w:rsidP="0009639E">
      <w:pPr>
        <w:spacing w:line="300" w:lineRule="exact"/>
        <w:ind w:left="1092" w:hanging="384"/>
        <w:rPr>
          <w:rFonts w:ascii="標楷體" w:eastAsia="標楷體" w:hAnsi="標楷體"/>
          <w:color w:val="000000"/>
          <w:lang w:val="it-IT"/>
        </w:rPr>
      </w:pPr>
      <w:r>
        <w:rPr>
          <w:rFonts w:ascii="標楷體" w:eastAsia="標楷體" w:hAnsi="標楷體"/>
          <w:color w:val="000000"/>
          <w:lang w:val="it-IT"/>
        </w:rPr>
        <w:t>(3)排除標準：</w:t>
      </w:r>
    </w:p>
    <w:p w14:paraId="3D90EC49"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Ⅰ.病人曾有嚴重心臟瓣膜疾病。</w:t>
      </w:r>
    </w:p>
    <w:p w14:paraId="7BC57AA1"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Ⅱ.14天內發生中風。</w:t>
      </w:r>
    </w:p>
    <w:p w14:paraId="61FE6D5E"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Ⅲ.收案前的6個月內發生嚴重中風。</w:t>
      </w:r>
    </w:p>
    <w:p w14:paraId="78B6AB27"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Ⅳ.有增加出血風險的情況。</w:t>
      </w:r>
    </w:p>
    <w:p w14:paraId="12D0E89D"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Ⅴ.</w:t>
      </w:r>
      <w:proofErr w:type="gramStart"/>
      <w:r>
        <w:rPr>
          <w:rFonts w:ascii="標楷體" w:eastAsia="標楷體" w:hAnsi="標楷體"/>
          <w:color w:val="000000"/>
          <w:lang w:val="it-IT"/>
        </w:rPr>
        <w:t>肌</w:t>
      </w:r>
      <w:proofErr w:type="gramEnd"/>
      <w:r>
        <w:rPr>
          <w:rFonts w:ascii="標楷體" w:eastAsia="標楷體" w:hAnsi="標楷體"/>
          <w:color w:val="000000"/>
          <w:lang w:val="it-IT"/>
        </w:rPr>
        <w:t>酸酐清除率小於15 mL/min。</w:t>
      </w:r>
    </w:p>
    <w:p w14:paraId="737882CF"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Ⅵ.活動性肝病和懷孕。</w:t>
      </w:r>
    </w:p>
    <w:p w14:paraId="713F2CBE"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t>2.治療深部靜脈血栓與肺栓塞及預防再發性深部靜脈血栓與肺栓塞：(106/4/1)</w:t>
      </w:r>
    </w:p>
    <w:p w14:paraId="1FA46472"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(1)須經影像學或血管超音波檢查診斷。</w:t>
      </w:r>
    </w:p>
    <w:p w14:paraId="00AE20CA"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(2)第1日至7日，每日2次，每次限用2顆。</w:t>
      </w:r>
    </w:p>
    <w:p w14:paraId="332CA1C7"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(3)第8日起，每日2次，每次限用1顆，每6個月評估一次。</w:t>
      </w:r>
    </w:p>
    <w:p w14:paraId="52471234" w14:textId="77777777" w:rsidR="00401786" w:rsidRDefault="00C64FB3" w:rsidP="0009639E">
      <w:pPr>
        <w:spacing w:line="300" w:lineRule="exact"/>
        <w:ind w:left="1274" w:hanging="991"/>
        <w:rPr>
          <w:rFonts w:ascii="標楷體" w:eastAsia="標楷體" w:hAnsi="標楷體"/>
          <w:color w:val="000000"/>
        </w:rPr>
      </w:pPr>
      <w:r>
        <w:rPr>
          <w:rFonts w:ascii="標楷體" w:eastAsia="標楷體" w:hAnsi="標楷體"/>
          <w:color w:val="000000"/>
        </w:rPr>
        <w:t>2.1.4.4.Edoxaban(如</w:t>
      </w:r>
      <w:proofErr w:type="spellStart"/>
      <w:r>
        <w:rPr>
          <w:rFonts w:ascii="標楷體" w:eastAsia="標楷體" w:hAnsi="標楷體"/>
          <w:color w:val="000000"/>
        </w:rPr>
        <w:t>Lixiana</w:t>
      </w:r>
      <w:proofErr w:type="spellEnd"/>
      <w:r>
        <w:rPr>
          <w:rFonts w:ascii="標楷體" w:eastAsia="標楷體" w:hAnsi="標楷體"/>
          <w:color w:val="000000"/>
        </w:rPr>
        <w:t>)：(105/9/1、111/2/1)</w:t>
      </w:r>
    </w:p>
    <w:p w14:paraId="0B92421A" w14:textId="77777777" w:rsidR="00401786" w:rsidRDefault="00C64FB3" w:rsidP="0009639E">
      <w:pPr>
        <w:spacing w:line="300" w:lineRule="exact"/>
        <w:ind w:left="811"/>
        <w:rPr>
          <w:rFonts w:ascii="標楷體" w:eastAsia="標楷體" w:hAnsi="標楷體"/>
          <w:color w:val="000000"/>
        </w:rPr>
      </w:pPr>
      <w:r>
        <w:rPr>
          <w:rFonts w:ascii="標楷體" w:eastAsia="標楷體" w:hAnsi="標楷體"/>
          <w:color w:val="000000"/>
        </w:rPr>
        <w:t>限用於</w:t>
      </w:r>
    </w:p>
    <w:p w14:paraId="04FE9C2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1.非瓣膜性心房纖維顫動病患：</w:t>
      </w:r>
    </w:p>
    <w:p w14:paraId="36B8C98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(1)須符合下列條件之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6A1704B8"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Ⅰ.曾發生中風或全身性栓塞。</w:t>
      </w:r>
    </w:p>
    <w:p w14:paraId="101D0327"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Ⅱ.左心室射出分率小於40%。</w:t>
      </w:r>
    </w:p>
    <w:p w14:paraId="440EAFC2"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Ⅲ.有症狀之心臟衰竭：收案前依紐約心臟協會衰竭功能分級為第二級或以上。</w:t>
      </w:r>
    </w:p>
    <w:p w14:paraId="02796EFC"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Ⅳ.75歲以上。(111/2/1)</w:t>
      </w:r>
    </w:p>
    <w:p w14:paraId="07A3744B"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Ⅴ.65歲以上未滿75歲且合併有糖尿病、高血壓或冠狀動脈疾病。(111/2/1)</w:t>
      </w:r>
    </w:p>
    <w:p w14:paraId="24B1245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(2)每日1次，每次限1顆。</w:t>
      </w:r>
    </w:p>
    <w:p w14:paraId="3ACACAF9"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(3)排除標準：</w:t>
      </w:r>
    </w:p>
    <w:p w14:paraId="10D98CB6"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Ⅰ.病人曾有嚴重心臟瓣膜疾病。</w:t>
      </w:r>
    </w:p>
    <w:p w14:paraId="04F7E09C"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Ⅱ.14天內發生中風。</w:t>
      </w:r>
    </w:p>
    <w:p w14:paraId="347086E1"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Ⅲ.收案前的6個月內發生嚴重中風。</w:t>
      </w:r>
    </w:p>
    <w:p w14:paraId="5BF34725"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Ⅳ.有增加出血風險的情況。</w:t>
      </w:r>
    </w:p>
    <w:p w14:paraId="1EFD3561"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Ⅴ.</w:t>
      </w:r>
      <w:proofErr w:type="gramStart"/>
      <w:r>
        <w:rPr>
          <w:rFonts w:ascii="標楷體" w:eastAsia="標楷體" w:hAnsi="標楷體"/>
          <w:color w:val="000000"/>
        </w:rPr>
        <w:t>肌</w:t>
      </w:r>
      <w:proofErr w:type="gramEnd"/>
      <w:r>
        <w:rPr>
          <w:rFonts w:ascii="標楷體" w:eastAsia="標楷體" w:hAnsi="標楷體"/>
          <w:color w:val="000000"/>
        </w:rPr>
        <w:t>酸酐清除率小於15 mL/min，或大於95 mL/min。</w:t>
      </w:r>
    </w:p>
    <w:p w14:paraId="72F58308"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Ⅵ.活動性肝病和懷孕。</w:t>
      </w:r>
    </w:p>
    <w:p w14:paraId="4FB0BDF8"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2.治療深部靜脈血栓與肺栓塞：</w:t>
      </w:r>
    </w:p>
    <w:p w14:paraId="4A74BADE" w14:textId="77777777" w:rsidR="00401786" w:rsidRDefault="00C64FB3" w:rsidP="0009639E">
      <w:pPr>
        <w:spacing w:line="300" w:lineRule="exact"/>
        <w:ind w:left="1088" w:hanging="382"/>
        <w:rPr>
          <w:rFonts w:ascii="標楷體" w:eastAsia="標楷體" w:hAnsi="標楷體"/>
          <w:color w:val="000000"/>
        </w:rPr>
      </w:pPr>
      <w:r>
        <w:rPr>
          <w:rFonts w:ascii="標楷體" w:eastAsia="標楷體" w:hAnsi="標楷體"/>
          <w:color w:val="000000"/>
        </w:rPr>
        <w:t>(1)須經影像學或血管超音波檢查診斷。</w:t>
      </w:r>
    </w:p>
    <w:p w14:paraId="7B31C670" w14:textId="77777777" w:rsidR="00401786" w:rsidRDefault="00C64FB3" w:rsidP="0009639E">
      <w:pPr>
        <w:spacing w:line="300" w:lineRule="exact"/>
        <w:ind w:left="1088" w:hanging="382"/>
        <w:rPr>
          <w:rFonts w:ascii="標楷體" w:eastAsia="標楷體" w:hAnsi="標楷體"/>
          <w:color w:val="000000"/>
        </w:rPr>
      </w:pPr>
      <w:r>
        <w:rPr>
          <w:rFonts w:ascii="標楷體" w:eastAsia="標楷體" w:hAnsi="標楷體"/>
          <w:color w:val="000000"/>
        </w:rPr>
        <w:t>(2)接受至少5日非</w:t>
      </w:r>
      <w:proofErr w:type="gramStart"/>
      <w:r>
        <w:rPr>
          <w:rFonts w:ascii="標楷體" w:eastAsia="標楷體" w:hAnsi="標楷體"/>
          <w:color w:val="000000"/>
        </w:rPr>
        <w:t>經腸道抗</w:t>
      </w:r>
      <w:proofErr w:type="gramEnd"/>
      <w:r>
        <w:rPr>
          <w:rFonts w:ascii="標楷體" w:eastAsia="標楷體" w:hAnsi="標楷體"/>
          <w:color w:val="000000"/>
        </w:rPr>
        <w:t>凝血劑注射治療後，開始每日1次，每次限1顆，每6個月評估一次。</w:t>
      </w:r>
    </w:p>
    <w:p w14:paraId="3F96B731" w14:textId="77777777" w:rsidR="00401786" w:rsidRDefault="00C64FB3" w:rsidP="0009639E">
      <w:pPr>
        <w:spacing w:line="300" w:lineRule="exact"/>
        <w:ind w:left="672" w:hanging="386"/>
      </w:pPr>
      <w:r>
        <w:rPr>
          <w:rFonts w:ascii="標楷體" w:eastAsia="標楷體" w:hAnsi="標楷體"/>
          <w:color w:val="000000"/>
          <w:szCs w:val="24"/>
        </w:rPr>
        <w:t>2.1.5.</w:t>
      </w:r>
      <w:proofErr w:type="gramStart"/>
      <w:r>
        <w:rPr>
          <w:rFonts w:ascii="標楷體" w:eastAsia="標楷體" w:hAnsi="標楷體"/>
          <w:color w:val="000000"/>
          <w:szCs w:val="24"/>
        </w:rPr>
        <w:t>直接凝</w:t>
      </w:r>
      <w:proofErr w:type="gramEnd"/>
      <w:r>
        <w:rPr>
          <w:rFonts w:ascii="標楷體" w:eastAsia="標楷體" w:hAnsi="標楷體"/>
          <w:color w:val="000000"/>
          <w:szCs w:val="24"/>
        </w:rPr>
        <w:t>血酶抑制劑(Direct thrombin inhibitors) ：Dabigatran(如Pradaxa)（101/6/1、104/12/1、107/9/1、111/2/1</w:t>
      </w:r>
      <w:r>
        <w:rPr>
          <w:rFonts w:ascii="標楷體" w:eastAsia="標楷體" w:hAnsi="標楷體"/>
          <w:szCs w:val="24"/>
          <w:u w:val="single"/>
        </w:rPr>
        <w:t>、112/3/1</w:t>
      </w:r>
      <w:r>
        <w:rPr>
          <w:rFonts w:ascii="標楷體" w:eastAsia="標楷體" w:hAnsi="標楷體"/>
          <w:color w:val="000000"/>
          <w:szCs w:val="24"/>
        </w:rPr>
        <w:t>）</w:t>
      </w:r>
    </w:p>
    <w:p w14:paraId="13FE9A10"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1.用於非瓣膜性心房纖維顫動病患：</w:t>
      </w:r>
    </w:p>
    <w:p w14:paraId="29690153"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(1)</w:t>
      </w:r>
      <w:r>
        <w:rPr>
          <w:rFonts w:ascii="標楷體" w:eastAsia="標楷體" w:hAnsi="標楷體"/>
          <w:color w:val="000000"/>
          <w:szCs w:val="24"/>
        </w:rPr>
        <w:tab/>
        <w:t>須符合下列條件之</w:t>
      </w:r>
      <w:proofErr w:type="gramStart"/>
      <w:r>
        <w:rPr>
          <w:rFonts w:ascii="標楷體" w:eastAsia="標楷體" w:hAnsi="標楷體"/>
          <w:color w:val="000000"/>
          <w:szCs w:val="24"/>
        </w:rPr>
        <w:t>一</w:t>
      </w:r>
      <w:proofErr w:type="gramEnd"/>
      <w:r>
        <w:rPr>
          <w:rFonts w:ascii="標楷體" w:eastAsia="標楷體" w:hAnsi="標楷體"/>
          <w:color w:val="000000"/>
          <w:szCs w:val="24"/>
        </w:rPr>
        <w:t>：</w:t>
      </w:r>
    </w:p>
    <w:p w14:paraId="3C6498C1"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曾發生中風或全身性栓塞。</w:t>
      </w:r>
    </w:p>
    <w:p w14:paraId="7A450884"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左心室射出分率小於40%。</w:t>
      </w:r>
    </w:p>
    <w:p w14:paraId="45649914"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有症狀之心臟衰竭：收案前依紐約心臟協會衰竭功能分級為第二級或以上。</w:t>
      </w:r>
    </w:p>
    <w:p w14:paraId="3F51681C"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75歲以上(111/2/1)。</w:t>
      </w:r>
    </w:p>
    <w:p w14:paraId="3113DDD4"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lastRenderedPageBreak/>
        <w:t>65歲以上未滿75歲且合併有糖尿病、高血壓或冠狀動脈疾病(111/2/1)。</w:t>
      </w:r>
    </w:p>
    <w:p w14:paraId="6231D7D1" w14:textId="77777777" w:rsidR="00401786" w:rsidRDefault="00C64FB3" w:rsidP="0009639E">
      <w:pPr>
        <w:suppressAutoHyphens w:val="0"/>
        <w:spacing w:line="300" w:lineRule="exact"/>
        <w:ind w:left="567"/>
        <w:textAlignment w:val="auto"/>
        <w:rPr>
          <w:rFonts w:ascii="標楷體" w:eastAsia="標楷體" w:hAnsi="標楷體"/>
          <w:color w:val="000000"/>
          <w:szCs w:val="24"/>
        </w:rPr>
      </w:pPr>
      <w:r>
        <w:rPr>
          <w:rFonts w:ascii="標楷體" w:eastAsia="標楷體" w:hAnsi="標楷體"/>
          <w:color w:val="000000"/>
          <w:szCs w:val="24"/>
        </w:rPr>
        <w:t>(2)150mg或110mg膠囊，每日2次，每次限1粒；75mg膠囊每日2次，每次限2粒(107/9/1)</w:t>
      </w:r>
    </w:p>
    <w:p w14:paraId="2D3169E8"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(3)排除標準：</w:t>
      </w:r>
    </w:p>
    <w:p w14:paraId="5BB8C238"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病人曾有嚴重心臟瓣膜疾病。</w:t>
      </w:r>
    </w:p>
    <w:p w14:paraId="59FFCF7C"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14 天內發生中風。</w:t>
      </w:r>
    </w:p>
    <w:p w14:paraId="45C7AC87"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收案前的6個月內發生嚴重中風。</w:t>
      </w:r>
    </w:p>
    <w:p w14:paraId="183280C6"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有增加出血風險的情況。</w:t>
      </w:r>
    </w:p>
    <w:p w14:paraId="6482FB94"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proofErr w:type="gramStart"/>
      <w:r>
        <w:rPr>
          <w:rFonts w:ascii="標楷體" w:eastAsia="標楷體" w:hAnsi="標楷體"/>
          <w:color w:val="000000"/>
          <w:szCs w:val="24"/>
        </w:rPr>
        <w:t>肌</w:t>
      </w:r>
      <w:proofErr w:type="gramEnd"/>
      <w:r>
        <w:rPr>
          <w:rFonts w:ascii="標楷體" w:eastAsia="標楷體" w:hAnsi="標楷體"/>
          <w:color w:val="000000"/>
          <w:szCs w:val="24"/>
        </w:rPr>
        <w:t>酸酐清除率小於 30 mL/min。</w:t>
      </w:r>
    </w:p>
    <w:p w14:paraId="0FFA39D4"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活動性肝病和懷孕。</w:t>
      </w:r>
    </w:p>
    <w:p w14:paraId="0D89446C" w14:textId="77777777" w:rsidR="00401786" w:rsidRDefault="00C64FB3" w:rsidP="0009639E">
      <w:pPr>
        <w:spacing w:line="300" w:lineRule="exact"/>
        <w:ind w:left="811" w:hanging="245"/>
      </w:pPr>
      <w:r>
        <w:rPr>
          <w:rFonts w:ascii="標楷體" w:eastAsia="標楷體" w:hAnsi="標楷體"/>
          <w:color w:val="000000"/>
          <w:szCs w:val="24"/>
        </w:rPr>
        <w:t>2.用於靜脈血栓高危險病患，接受</w:t>
      </w:r>
      <w:proofErr w:type="gramStart"/>
      <w:r>
        <w:rPr>
          <w:rFonts w:ascii="標楷體" w:eastAsia="標楷體" w:hAnsi="標楷體"/>
          <w:color w:val="000000"/>
          <w:szCs w:val="24"/>
        </w:rPr>
        <w:t>人工髖或膝關節</w:t>
      </w:r>
      <w:proofErr w:type="gramEnd"/>
      <w:r>
        <w:rPr>
          <w:rFonts w:ascii="標楷體" w:eastAsia="標楷體" w:hAnsi="標楷體"/>
          <w:color w:val="000000"/>
          <w:szCs w:val="24"/>
        </w:rPr>
        <w:t>置換術或再置換術時，預防其術後之靜脈血栓栓塞症(VTE)。</w:t>
      </w:r>
      <w:r>
        <w:rPr>
          <w:rFonts w:ascii="標楷體" w:eastAsia="標楷體" w:hAnsi="標楷體"/>
          <w:szCs w:val="24"/>
          <w:u w:val="single"/>
        </w:rPr>
        <w:t>(112/3/1)</w:t>
      </w:r>
    </w:p>
    <w:p w14:paraId="6612A4D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須符合下列條件之</w:t>
      </w:r>
      <w:proofErr w:type="gramStart"/>
      <w:r>
        <w:rPr>
          <w:rFonts w:ascii="標楷體" w:eastAsia="標楷體" w:hAnsi="標楷體"/>
          <w:color w:val="000000"/>
        </w:rPr>
        <w:t>一</w:t>
      </w:r>
      <w:proofErr w:type="gramEnd"/>
      <w:r>
        <w:rPr>
          <w:rFonts w:ascii="標楷體" w:eastAsia="標楷體" w:hAnsi="標楷體"/>
          <w:color w:val="000000"/>
        </w:rPr>
        <w:t xml:space="preserve">： </w:t>
      </w:r>
    </w:p>
    <w:p w14:paraId="744BDD58" w14:textId="77777777" w:rsidR="00401786" w:rsidRDefault="00C64FB3" w:rsidP="0009639E">
      <w:pPr>
        <w:spacing w:line="300" w:lineRule="exact"/>
        <w:ind w:left="1092" w:hanging="382"/>
      </w:pPr>
      <w:r>
        <w:rPr>
          <w:rFonts w:ascii="標楷體" w:eastAsia="標楷體" w:hAnsi="標楷體"/>
          <w:color w:val="000000"/>
        </w:rPr>
        <w:t xml:space="preserve">I. </w:t>
      </w:r>
      <w:r>
        <w:rPr>
          <w:rFonts w:ascii="標楷體" w:eastAsia="標楷體" w:hAnsi="標楷體"/>
          <w:color w:val="000000"/>
          <w:szCs w:val="24"/>
        </w:rPr>
        <w:t>曾發生有症狀之靜脈血栓症病史（須於病歷詳細說明發生之時間與診療過程）之病患。</w:t>
      </w:r>
    </w:p>
    <w:p w14:paraId="1D776D1C" w14:textId="77777777" w:rsidR="00401786" w:rsidRDefault="00C64FB3" w:rsidP="0009639E">
      <w:pPr>
        <w:spacing w:line="300" w:lineRule="exact"/>
        <w:ind w:left="1092" w:hanging="382"/>
      </w:pPr>
      <w:r>
        <w:rPr>
          <w:rFonts w:ascii="標楷體" w:eastAsia="標楷體" w:hAnsi="標楷體"/>
          <w:color w:val="000000"/>
          <w:szCs w:val="24"/>
        </w:rPr>
        <w:t>II.</w:t>
      </w:r>
      <w:r>
        <w:rPr>
          <w:rFonts w:ascii="標楷體" w:eastAsia="標楷體" w:hAnsi="標楷體"/>
          <w:color w:val="000000"/>
          <w:szCs w:val="24"/>
        </w:rPr>
        <w:tab/>
      </w:r>
      <w:r>
        <w:rPr>
          <w:rFonts w:ascii="標楷體" w:eastAsia="標楷體" w:hAnsi="標楷體"/>
          <w:szCs w:val="24"/>
        </w:rPr>
        <w:t>經靜脈超音波檢查（Venous ultrasonography）</w:t>
      </w:r>
      <w:r>
        <w:rPr>
          <w:rFonts w:ascii="標楷體" w:eastAsia="標楷體" w:hAnsi="標楷體"/>
          <w:szCs w:val="24"/>
          <w:u w:val="single"/>
        </w:rPr>
        <w:t>或</w:t>
      </w:r>
      <w:r>
        <w:rPr>
          <w:rFonts w:ascii="標楷體" w:eastAsia="標楷體" w:hAnsi="標楷體"/>
          <w:szCs w:val="24"/>
        </w:rPr>
        <w:t>靜脈攝影（Venography）檢測，診斷為靜脈血栓症之病患</w:t>
      </w:r>
      <w:proofErr w:type="gramStart"/>
      <w:r>
        <w:rPr>
          <w:rFonts w:ascii="標楷體" w:eastAsia="標楷體" w:hAnsi="標楷體"/>
          <w:szCs w:val="24"/>
        </w:rPr>
        <w:t>。</w:t>
      </w:r>
      <w:r>
        <w:rPr>
          <w:rFonts w:ascii="標楷體" w:eastAsia="標楷體" w:hAnsi="標楷體"/>
          <w:szCs w:val="24"/>
          <w:u w:val="single"/>
        </w:rPr>
        <w:t>(</w:t>
      </w:r>
      <w:proofErr w:type="gramEnd"/>
      <w:r>
        <w:rPr>
          <w:rFonts w:ascii="標楷體" w:eastAsia="標楷體" w:hAnsi="標楷體"/>
          <w:szCs w:val="24"/>
          <w:u w:val="single"/>
        </w:rPr>
        <w:t>112/3/1)</w:t>
      </w:r>
    </w:p>
    <w:p w14:paraId="09A193A2" w14:textId="77777777" w:rsidR="00401786" w:rsidRDefault="00C64FB3" w:rsidP="0009639E">
      <w:pPr>
        <w:spacing w:line="300" w:lineRule="exact"/>
        <w:ind w:left="1092" w:hanging="525"/>
      </w:pPr>
      <w:r>
        <w:rPr>
          <w:rFonts w:ascii="標楷體" w:eastAsia="標楷體" w:hAnsi="標楷體"/>
          <w:color w:val="000000"/>
          <w:szCs w:val="24"/>
        </w:rPr>
        <w:t>(2)</w:t>
      </w:r>
      <w:r>
        <w:rPr>
          <w:rFonts w:ascii="標楷體" w:eastAsia="標楷體" w:hAnsi="標楷體"/>
          <w:color w:val="000000"/>
        </w:rPr>
        <w:tab/>
        <w:t>限用75mg，每日至多二粒，人工</w:t>
      </w:r>
      <w:proofErr w:type="gramStart"/>
      <w:r>
        <w:rPr>
          <w:rFonts w:ascii="標楷體" w:eastAsia="標楷體" w:hAnsi="標楷體"/>
          <w:color w:val="000000"/>
        </w:rPr>
        <w:t>髖</w:t>
      </w:r>
      <w:proofErr w:type="gramEnd"/>
      <w:r>
        <w:rPr>
          <w:rFonts w:ascii="標楷體" w:eastAsia="標楷體" w:hAnsi="標楷體"/>
          <w:color w:val="000000"/>
        </w:rPr>
        <w:t>關節手術</w:t>
      </w:r>
      <w:proofErr w:type="gramStart"/>
      <w:r>
        <w:rPr>
          <w:rFonts w:ascii="標楷體" w:eastAsia="標楷體" w:hAnsi="標楷體"/>
          <w:color w:val="000000"/>
        </w:rPr>
        <w:t>術</w:t>
      </w:r>
      <w:proofErr w:type="gramEnd"/>
      <w:r>
        <w:rPr>
          <w:rFonts w:ascii="標楷體" w:eastAsia="標楷體" w:hAnsi="標楷體"/>
          <w:color w:val="000000"/>
        </w:rPr>
        <w:t>後治療，最多5</w:t>
      </w:r>
      <w:proofErr w:type="gramStart"/>
      <w:r>
        <w:rPr>
          <w:rFonts w:ascii="標楷體" w:eastAsia="標楷體" w:hAnsi="標楷體"/>
          <w:color w:val="000000"/>
        </w:rPr>
        <w:t>週</w:t>
      </w:r>
      <w:proofErr w:type="gramEnd"/>
      <w:r>
        <w:rPr>
          <w:rFonts w:ascii="標楷體" w:eastAsia="標楷體" w:hAnsi="標楷體"/>
          <w:color w:val="000000"/>
        </w:rPr>
        <w:t>；人工膝關節手術</w:t>
      </w:r>
      <w:proofErr w:type="gramStart"/>
      <w:r>
        <w:rPr>
          <w:rFonts w:ascii="標楷體" w:eastAsia="標楷體" w:hAnsi="標楷體"/>
          <w:color w:val="000000"/>
        </w:rPr>
        <w:t>術</w:t>
      </w:r>
      <w:proofErr w:type="gramEnd"/>
      <w:r>
        <w:rPr>
          <w:rFonts w:ascii="標楷體" w:eastAsia="標楷體" w:hAnsi="標楷體"/>
          <w:color w:val="000000"/>
        </w:rPr>
        <w:t>後治療，最多2</w:t>
      </w:r>
      <w:proofErr w:type="gramStart"/>
      <w:r>
        <w:rPr>
          <w:rFonts w:ascii="標楷體" w:eastAsia="標楷體" w:hAnsi="標楷體"/>
          <w:color w:val="000000"/>
        </w:rPr>
        <w:t>週</w:t>
      </w:r>
      <w:proofErr w:type="gramEnd"/>
      <w:r>
        <w:rPr>
          <w:rFonts w:ascii="標楷體" w:eastAsia="標楷體" w:hAnsi="標楷體"/>
          <w:color w:val="000000"/>
        </w:rPr>
        <w:t>。</w:t>
      </w:r>
    </w:p>
    <w:p w14:paraId="16A953C5"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(3)排除標準：</w:t>
      </w:r>
    </w:p>
    <w:p w14:paraId="78FF5C98"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病人曾有嚴重心臟瓣膜疾病。</w:t>
      </w:r>
    </w:p>
    <w:p w14:paraId="77901D9D"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14天內發生中風。</w:t>
      </w:r>
    </w:p>
    <w:p w14:paraId="6ECD0D8A"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收案前的6個月內發生嚴重中風。</w:t>
      </w:r>
    </w:p>
    <w:p w14:paraId="4B8D4A90"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有增加出血風險的情況。</w:t>
      </w:r>
    </w:p>
    <w:p w14:paraId="067251A7"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proofErr w:type="gramStart"/>
      <w:r>
        <w:rPr>
          <w:rFonts w:ascii="標楷體" w:eastAsia="標楷體" w:hAnsi="標楷體"/>
          <w:color w:val="000000"/>
        </w:rPr>
        <w:t>肌</w:t>
      </w:r>
      <w:proofErr w:type="gramEnd"/>
      <w:r>
        <w:rPr>
          <w:rFonts w:ascii="標楷體" w:eastAsia="標楷體" w:hAnsi="標楷體"/>
          <w:color w:val="000000"/>
        </w:rPr>
        <w:t>酸酐清除率小於 30 mL/min。</w:t>
      </w:r>
    </w:p>
    <w:p w14:paraId="6AB33740"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活動性肝病和懷孕。</w:t>
      </w:r>
    </w:p>
    <w:p w14:paraId="785B8C4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3.治療深部靜脈血栓與肺栓塞：（107/9/1）</w:t>
      </w:r>
    </w:p>
    <w:p w14:paraId="6B22886A"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須經影像學或血管超音波檢查診斷。</w:t>
      </w:r>
    </w:p>
    <w:p w14:paraId="26D842E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接受至少5日</w:t>
      </w:r>
      <w:proofErr w:type="gramStart"/>
      <w:r>
        <w:rPr>
          <w:rFonts w:ascii="標楷體" w:eastAsia="標楷體" w:hAnsi="標楷體"/>
          <w:color w:val="000000"/>
        </w:rPr>
        <w:t>注射型抗凝</w:t>
      </w:r>
      <w:proofErr w:type="gramEnd"/>
      <w:r>
        <w:rPr>
          <w:rFonts w:ascii="標楷體" w:eastAsia="標楷體" w:hAnsi="標楷體"/>
          <w:color w:val="000000"/>
        </w:rPr>
        <w:t>血劑治療後，開始每日兩次，每次限150mg以下，持續治療6個月。</w:t>
      </w:r>
    </w:p>
    <w:p w14:paraId="518C075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2.2.血管擴張劑  Vasodilators</w:t>
      </w:r>
    </w:p>
    <w:p w14:paraId="04016F0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2.2.1.(刪除)（101/9/1）</w:t>
      </w:r>
    </w:p>
    <w:p w14:paraId="460CB5F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2.2.2.Nimodipine </w:t>
      </w:r>
      <w:proofErr w:type="spellStart"/>
      <w:r>
        <w:rPr>
          <w:rFonts w:ascii="標楷體" w:eastAsia="標楷體" w:hAnsi="標楷體"/>
          <w:color w:val="000000"/>
        </w:rPr>
        <w:t>inj</w:t>
      </w:r>
      <w:proofErr w:type="spellEnd"/>
      <w:r>
        <w:rPr>
          <w:rFonts w:ascii="標楷體" w:eastAsia="標楷體" w:hAnsi="標楷體"/>
          <w:color w:val="000000"/>
        </w:rPr>
        <w:t>（如</w:t>
      </w:r>
      <w:proofErr w:type="spellStart"/>
      <w:r>
        <w:rPr>
          <w:rFonts w:ascii="標楷體" w:eastAsia="標楷體" w:hAnsi="標楷體"/>
          <w:color w:val="000000"/>
        </w:rPr>
        <w:t>Nimotop</w:t>
      </w:r>
      <w:proofErr w:type="spellEnd"/>
      <w:r>
        <w:rPr>
          <w:rFonts w:ascii="標楷體" w:eastAsia="標楷體" w:hAnsi="標楷體"/>
          <w:color w:val="000000"/>
        </w:rPr>
        <w:t>）：(87/4/1、93/2/1)</w:t>
      </w:r>
    </w:p>
    <w:p w14:paraId="70AD591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預防、治療因</w:t>
      </w:r>
      <w:proofErr w:type="gramStart"/>
      <w:r>
        <w:rPr>
          <w:rFonts w:ascii="標楷體" w:eastAsia="標楷體" w:hAnsi="標楷體"/>
          <w:color w:val="000000"/>
        </w:rPr>
        <w:t>動膜瘤引起</w:t>
      </w:r>
      <w:proofErr w:type="gramEnd"/>
      <w:r>
        <w:rPr>
          <w:rFonts w:ascii="標楷體" w:eastAsia="標楷體" w:hAnsi="標楷體"/>
          <w:color w:val="000000"/>
        </w:rPr>
        <w:t>之蜘蛛膜下出血後，腦血管痙攣所引起的缺血性神經缺損，可使用二星期，需附電腦斷層掃描（CT Scan）報告。</w:t>
      </w:r>
    </w:p>
    <w:p w14:paraId="4540709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2.2.3.Papaverine </w:t>
      </w:r>
      <w:proofErr w:type="spellStart"/>
      <w:r>
        <w:rPr>
          <w:rFonts w:ascii="標楷體" w:eastAsia="標楷體" w:hAnsi="標楷體"/>
          <w:color w:val="000000"/>
        </w:rPr>
        <w:t>inj</w:t>
      </w:r>
      <w:proofErr w:type="spellEnd"/>
      <w:r>
        <w:rPr>
          <w:rFonts w:ascii="標楷體" w:eastAsia="標楷體" w:hAnsi="標楷體"/>
          <w:color w:val="000000"/>
        </w:rPr>
        <w:t>：</w:t>
      </w:r>
    </w:p>
    <w:p w14:paraId="542C66F0"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限血管攝影及血管手術病例使用。</w:t>
      </w:r>
    </w:p>
    <w:p w14:paraId="4675D85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2.3.血管收縮劑  Vasoconstrictors</w:t>
      </w:r>
    </w:p>
    <w:p w14:paraId="31FA0CB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2.3.1.Sumatriptan succinate（如</w:t>
      </w:r>
      <w:proofErr w:type="spellStart"/>
      <w:r>
        <w:rPr>
          <w:rFonts w:ascii="標楷體" w:eastAsia="標楷體" w:hAnsi="標楷體"/>
          <w:color w:val="000000"/>
        </w:rPr>
        <w:t>Imigran</w:t>
      </w:r>
      <w:proofErr w:type="spellEnd"/>
      <w:r>
        <w:rPr>
          <w:rFonts w:ascii="標楷體" w:eastAsia="標楷體" w:hAnsi="標楷體"/>
          <w:color w:val="000000"/>
        </w:rPr>
        <w:t>）；rizatriptan：</w:t>
      </w:r>
      <w:proofErr w:type="gramStart"/>
      <w:r>
        <w:rPr>
          <w:rFonts w:ascii="標楷體" w:eastAsia="標楷體" w:hAnsi="標楷體"/>
          <w:color w:val="000000"/>
        </w:rPr>
        <w:t>（</w:t>
      </w:r>
      <w:proofErr w:type="gramEnd"/>
      <w:r>
        <w:rPr>
          <w:rFonts w:ascii="標楷體" w:eastAsia="標楷體" w:hAnsi="標楷體"/>
          <w:color w:val="000000"/>
        </w:rPr>
        <w:t>88/9/1、93/8/1、94/11/1、97/1/1、97/6/1、97/9/1、108/5/1)</w:t>
      </w:r>
    </w:p>
    <w:p w14:paraId="60C7041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1.限符合國際頭痛協會 (International Headache Society) </w:t>
      </w:r>
      <w:proofErr w:type="gramStart"/>
      <w:r>
        <w:rPr>
          <w:rFonts w:ascii="標楷體" w:eastAsia="標楷體" w:hAnsi="標楷體"/>
          <w:color w:val="000000"/>
        </w:rPr>
        <w:t>最</w:t>
      </w:r>
      <w:proofErr w:type="gramEnd"/>
      <w:r>
        <w:rPr>
          <w:rFonts w:ascii="標楷體" w:eastAsia="標楷體" w:hAnsi="標楷體"/>
          <w:color w:val="000000"/>
        </w:rPr>
        <w:t>新版「偏頭痛」診斷標準者：（97/9/1、108/5/1）</w:t>
      </w:r>
    </w:p>
    <w:p w14:paraId="4DF52CB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(1)至少有五次能符合(2)至(4)項的發作。</w:t>
      </w:r>
    </w:p>
    <w:p w14:paraId="51C0549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(2)頭痛發作持續4至72小時(若年齡小於18歲，頭痛發作可為持續2到72小時)。（108/5/1）</w:t>
      </w:r>
    </w:p>
    <w:p w14:paraId="5A794FD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(3)頭痛至少具下列二項特徵：</w:t>
      </w:r>
    </w:p>
    <w:p w14:paraId="7AF7B22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單側</w:t>
      </w:r>
    </w:p>
    <w:p w14:paraId="0B7B83D4"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搏動性</w:t>
      </w:r>
    </w:p>
    <w:p w14:paraId="1C7D0BE6"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lastRenderedPageBreak/>
        <w:t>Ⅲ</w:t>
      </w:r>
      <w:r>
        <w:rPr>
          <w:rFonts w:ascii="標楷體" w:eastAsia="標楷體" w:hAnsi="標楷體"/>
          <w:color w:val="000000"/>
        </w:rPr>
        <w:tab/>
        <w:t>程度中等或重度(日常生活受限制甚或禁絕)</w:t>
      </w:r>
    </w:p>
    <w:p w14:paraId="043E2CA8"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Ⅳ</w:t>
      </w:r>
      <w:r>
        <w:rPr>
          <w:rFonts w:ascii="標楷體" w:eastAsia="標楷體" w:hAnsi="標楷體"/>
          <w:color w:val="000000"/>
        </w:rPr>
        <w:tab/>
        <w:t>上下樓梯或類似之日常活動會使頭痛加劇</w:t>
      </w:r>
    </w:p>
    <w:p w14:paraId="6043E20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(4)當頭痛發作時至少有下列</w:t>
      </w:r>
      <w:proofErr w:type="gramStart"/>
      <w:r>
        <w:rPr>
          <w:rFonts w:ascii="標楷體" w:eastAsia="標楷體" w:hAnsi="標楷體"/>
          <w:color w:val="000000"/>
        </w:rPr>
        <w:t>一</w:t>
      </w:r>
      <w:proofErr w:type="gramEnd"/>
      <w:r>
        <w:rPr>
          <w:rFonts w:ascii="標楷體" w:eastAsia="標楷體" w:hAnsi="標楷體"/>
          <w:color w:val="000000"/>
        </w:rPr>
        <w:t>情形：</w:t>
      </w:r>
    </w:p>
    <w:p w14:paraId="2743EF55"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噁心或嘔吐</w:t>
      </w:r>
    </w:p>
    <w:p w14:paraId="744144D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r>
      <w:proofErr w:type="gramStart"/>
      <w:r>
        <w:rPr>
          <w:rFonts w:ascii="標楷體" w:eastAsia="標楷體" w:hAnsi="標楷體"/>
          <w:color w:val="000000"/>
        </w:rPr>
        <w:t>畏光及怕吵</w:t>
      </w:r>
      <w:proofErr w:type="gramEnd"/>
    </w:p>
    <w:p w14:paraId="06FB492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2.偏頭痛之發作嚴重影響日常生活 (無法工作或作家事或上課) 者。（97/9/1）</w:t>
      </w:r>
    </w:p>
    <w:p w14:paraId="7131E44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3.經使用其他藥物無效者。</w:t>
      </w:r>
    </w:p>
    <w:p w14:paraId="220FA82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4.每月限用四次，且</w:t>
      </w:r>
    </w:p>
    <w:p w14:paraId="4DB3904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(1)Sumatriptan succinate口服劑型藥品每次用量不超過100 mg，毎月不超過400 mg。</w:t>
      </w:r>
    </w:p>
    <w:p w14:paraId="7CB3BE8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(2)Sumatriptan succinate</w:t>
      </w:r>
      <w:proofErr w:type="gramStart"/>
      <w:r>
        <w:rPr>
          <w:rFonts w:ascii="標楷體" w:eastAsia="標楷體" w:hAnsi="標楷體"/>
          <w:color w:val="000000"/>
        </w:rPr>
        <w:t>鼻噴劑</w:t>
      </w:r>
      <w:proofErr w:type="gramEnd"/>
      <w:r>
        <w:rPr>
          <w:rFonts w:ascii="標楷體" w:eastAsia="標楷體" w:hAnsi="標楷體"/>
          <w:color w:val="000000"/>
        </w:rPr>
        <w:t>型藥品每次用量不超過一劑 (10mg 或20mg)，毎月不超過四劑 (10mg或20mg)。（93/8/1、94/11/1、97/1/1、97/9/1）</w:t>
      </w:r>
    </w:p>
    <w:p w14:paraId="16A111B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(3)Rizatriptan口服劑型藥品每次用量不超過10 mg，毎月不超過40 mg。（97/6/1）</w:t>
      </w:r>
    </w:p>
    <w:p w14:paraId="3C3271A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5.不得同時處方含有ergotamine 製劑或其衍生物類藥物。</w:t>
      </w:r>
    </w:p>
    <w:p w14:paraId="763DEB8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6.不得作為預防性使用。</w:t>
      </w:r>
    </w:p>
    <w:p w14:paraId="4081832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7.不得使用於曾患有心肌梗塞、缺血性心臟病、</w:t>
      </w:r>
      <w:proofErr w:type="spellStart"/>
      <w:r>
        <w:rPr>
          <w:rFonts w:ascii="標楷體" w:eastAsia="標楷體" w:hAnsi="標楷體"/>
          <w:color w:val="000000"/>
        </w:rPr>
        <w:t>Prinzmetal</w:t>
      </w:r>
      <w:proofErr w:type="spellEnd"/>
      <w:r>
        <w:rPr>
          <w:rFonts w:ascii="標楷體" w:eastAsia="標楷體" w:hAnsi="標楷體"/>
          <w:color w:val="000000"/>
        </w:rPr>
        <w:t>氏狹心症、冠狀血管痙攣者及高血壓未受控制的患者。</w:t>
      </w:r>
    </w:p>
    <w:p w14:paraId="4391DC7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8.青少年</w:t>
      </w:r>
      <w:proofErr w:type="gramStart"/>
      <w:r>
        <w:rPr>
          <w:rFonts w:ascii="標楷體" w:eastAsia="標楷體" w:hAnsi="標楷體"/>
          <w:color w:val="000000"/>
        </w:rPr>
        <w:t>（</w:t>
      </w:r>
      <w:proofErr w:type="gramEnd"/>
      <w:r>
        <w:rPr>
          <w:rFonts w:ascii="標楷體" w:eastAsia="標楷體" w:hAnsi="標楷體"/>
          <w:color w:val="000000"/>
        </w:rPr>
        <w:t>12-17歲)符合上述第1、2、3項者，限使用sumatriptan succinate鼻噴劑型或rizatriptan口服劑型藥品，且二藥品不得</w:t>
      </w:r>
      <w:proofErr w:type="gramStart"/>
      <w:r>
        <w:rPr>
          <w:rFonts w:ascii="標楷體" w:eastAsia="標楷體" w:hAnsi="標楷體"/>
          <w:color w:val="000000"/>
        </w:rPr>
        <w:t>併</w:t>
      </w:r>
      <w:proofErr w:type="gramEnd"/>
      <w:r>
        <w:rPr>
          <w:rFonts w:ascii="標楷體" w:eastAsia="標楷體" w:hAnsi="標楷體"/>
          <w:color w:val="000000"/>
        </w:rPr>
        <w:t>用。6-11歲兒童符合</w:t>
      </w:r>
      <w:proofErr w:type="gramStart"/>
      <w:r>
        <w:rPr>
          <w:rFonts w:ascii="標楷體" w:eastAsia="標楷體" w:hAnsi="標楷體"/>
          <w:color w:val="000000"/>
        </w:rPr>
        <w:t>上述第1</w:t>
      </w:r>
      <w:proofErr w:type="gramEnd"/>
      <w:r>
        <w:rPr>
          <w:rFonts w:ascii="標楷體" w:eastAsia="標楷體" w:hAnsi="標楷體"/>
          <w:color w:val="000000"/>
        </w:rPr>
        <w:t>、2、3項者，限使用rizatriptan口服劑型藥品。（97/9/1、108/5/1）</w:t>
      </w:r>
    </w:p>
    <w:p w14:paraId="4DC3A4E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2.4.泌尿道疾患治療藥物  Agents used to treat urological disorders</w:t>
      </w:r>
    </w:p>
    <w:p w14:paraId="6599624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2.4.1.Alprostadil：(86/9/1)</w:t>
      </w:r>
    </w:p>
    <w:p w14:paraId="485BC7AF"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如用於</w:t>
      </w:r>
      <w:proofErr w:type="gramStart"/>
      <w:r>
        <w:rPr>
          <w:rFonts w:ascii="標楷體" w:eastAsia="標楷體" w:hAnsi="標楷體"/>
          <w:color w:val="000000"/>
        </w:rPr>
        <w:t>勃</w:t>
      </w:r>
      <w:proofErr w:type="gramEnd"/>
      <w:r>
        <w:rPr>
          <w:rFonts w:ascii="標楷體" w:eastAsia="標楷體" w:hAnsi="標楷體"/>
          <w:color w:val="000000"/>
        </w:rPr>
        <w:t>起機能障礙之治療，不予給付。</w:t>
      </w:r>
    </w:p>
    <w:p w14:paraId="04085D8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2.4.2.Potassium citrate（如</w:t>
      </w:r>
      <w:proofErr w:type="spellStart"/>
      <w:r>
        <w:rPr>
          <w:rFonts w:ascii="標楷體" w:eastAsia="標楷體" w:hAnsi="標楷體"/>
          <w:color w:val="000000"/>
        </w:rPr>
        <w:t>Urocit</w:t>
      </w:r>
      <w:proofErr w:type="spellEnd"/>
      <w:r>
        <w:rPr>
          <w:rFonts w:ascii="標楷體" w:eastAsia="標楷體" w:hAnsi="標楷體"/>
          <w:color w:val="000000"/>
        </w:rPr>
        <w:t>-K tab）：</w:t>
      </w:r>
    </w:p>
    <w:p w14:paraId="4FF85BBB"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限泌尿道結石或腎</w:t>
      </w:r>
      <w:proofErr w:type="gramStart"/>
      <w:r>
        <w:rPr>
          <w:rFonts w:ascii="標楷體" w:eastAsia="標楷體" w:hAnsi="標楷體"/>
          <w:color w:val="000000"/>
        </w:rPr>
        <w:t>小管性酸毒症</w:t>
      </w:r>
      <w:proofErr w:type="gramEnd"/>
      <w:r>
        <w:rPr>
          <w:rFonts w:ascii="標楷體" w:eastAsia="標楷體" w:hAnsi="標楷體"/>
          <w:color w:val="000000"/>
        </w:rPr>
        <w:t>病人使用。</w:t>
      </w:r>
    </w:p>
    <w:p w14:paraId="05E3F96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2.4.3.Pentosan </w:t>
      </w:r>
      <w:proofErr w:type="spellStart"/>
      <w:r>
        <w:rPr>
          <w:rFonts w:ascii="標楷體" w:eastAsia="標楷體" w:hAnsi="標楷體"/>
          <w:color w:val="000000"/>
        </w:rPr>
        <w:t>Polysulfate</w:t>
      </w:r>
      <w:proofErr w:type="spellEnd"/>
      <w:r>
        <w:rPr>
          <w:rFonts w:ascii="標楷體" w:eastAsia="標楷體" w:hAnsi="標楷體"/>
          <w:color w:val="000000"/>
        </w:rPr>
        <w:t xml:space="preserve"> Sodium (如</w:t>
      </w:r>
      <w:proofErr w:type="spellStart"/>
      <w:r>
        <w:rPr>
          <w:rFonts w:ascii="標楷體" w:eastAsia="標楷體" w:hAnsi="標楷體"/>
          <w:color w:val="000000"/>
        </w:rPr>
        <w:t>Elmiron</w:t>
      </w:r>
      <w:proofErr w:type="spellEnd"/>
      <w:r>
        <w:rPr>
          <w:rFonts w:ascii="標楷體" w:eastAsia="標楷體" w:hAnsi="標楷體"/>
          <w:color w:val="000000"/>
        </w:rPr>
        <w:t xml:space="preserve"> Cap)(92/12/1)</w:t>
      </w:r>
    </w:p>
    <w:p w14:paraId="15E4213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用於間質性</w:t>
      </w:r>
      <w:proofErr w:type="gramEnd"/>
      <w:r>
        <w:rPr>
          <w:rFonts w:ascii="標楷體" w:eastAsia="標楷體" w:hAnsi="標楷體"/>
          <w:color w:val="000000"/>
        </w:rPr>
        <w:t>膀胱炎。</w:t>
      </w:r>
    </w:p>
    <w:p w14:paraId="6BDBF0C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2.病患應同時符合下列情形：</w:t>
      </w:r>
    </w:p>
    <w:p w14:paraId="6FB2124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(1)出現尿急、頻尿、骨盆腔</w:t>
      </w:r>
      <w:proofErr w:type="gramStart"/>
      <w:r>
        <w:rPr>
          <w:rFonts w:ascii="標楷體" w:eastAsia="標楷體" w:hAnsi="標楷體"/>
          <w:color w:val="000000"/>
        </w:rPr>
        <w:t>疼痛、</w:t>
      </w:r>
      <w:proofErr w:type="gramEnd"/>
      <w:r>
        <w:rPr>
          <w:rFonts w:ascii="標楷體" w:eastAsia="標楷體" w:hAnsi="標楷體"/>
          <w:color w:val="000000"/>
        </w:rPr>
        <w:t>夜尿症狀一年以上。</w:t>
      </w:r>
    </w:p>
    <w:p w14:paraId="1D735EE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(2)尿液常規檢查或培養無感染，及尿液細胞學檢查無惡性細胞。</w:t>
      </w:r>
    </w:p>
    <w:p w14:paraId="6E0C46D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(3)麻醉下</w:t>
      </w:r>
      <w:proofErr w:type="gramStart"/>
      <w:r>
        <w:rPr>
          <w:rFonts w:ascii="標楷體" w:eastAsia="標楷體" w:hAnsi="標楷體"/>
          <w:color w:val="000000"/>
        </w:rPr>
        <w:t>膀胱鏡水擴張</w:t>
      </w:r>
      <w:proofErr w:type="gramEnd"/>
      <w:r>
        <w:rPr>
          <w:rFonts w:ascii="標楷體" w:eastAsia="標楷體" w:hAnsi="標楷體"/>
          <w:color w:val="000000"/>
        </w:rPr>
        <w:t>後出現腎絲球狀出血（glomerulation）或</w:t>
      </w:r>
      <w:proofErr w:type="spellStart"/>
      <w:r>
        <w:rPr>
          <w:rFonts w:ascii="標楷體" w:eastAsia="標楷體" w:hAnsi="標楷體"/>
          <w:color w:val="000000"/>
        </w:rPr>
        <w:t>Hunner's</w:t>
      </w:r>
      <w:proofErr w:type="spellEnd"/>
      <w:r>
        <w:rPr>
          <w:rFonts w:ascii="標楷體" w:eastAsia="標楷體" w:hAnsi="標楷體"/>
          <w:color w:val="000000"/>
        </w:rPr>
        <w:t>潰瘍，或未出血但膀胱容量在麻醉下小於500毫升。</w:t>
      </w:r>
    </w:p>
    <w:p w14:paraId="6806832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(4)連續二天排尿日誌顯示每次排尿量少於300毫升，且每天排尿次數至少大於十次以上。</w:t>
      </w:r>
    </w:p>
    <w:p w14:paraId="5CE2D32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(5)曾以傳統治療（包括膀胱擴張、藥物、物理治療等）治療四</w:t>
      </w:r>
      <w:proofErr w:type="gramStart"/>
      <w:r>
        <w:rPr>
          <w:rFonts w:ascii="標楷體" w:eastAsia="標楷體" w:hAnsi="標楷體"/>
          <w:color w:val="000000"/>
        </w:rPr>
        <w:t>週</w:t>
      </w:r>
      <w:proofErr w:type="gramEnd"/>
      <w:r>
        <w:rPr>
          <w:rFonts w:ascii="標楷體" w:eastAsia="標楷體" w:hAnsi="標楷體"/>
          <w:color w:val="000000"/>
        </w:rPr>
        <w:t>以上仍無效果者。</w:t>
      </w:r>
    </w:p>
    <w:p w14:paraId="04CC34E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3.原則上每一療程以六個月為限，療程結束前應評估其療效，如症狀未有改善且無不良反應出現者，可再繼續另一療程。</w:t>
      </w:r>
    </w:p>
    <w:p w14:paraId="291717D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4.需經事前審查核准後使用。</w:t>
      </w:r>
    </w:p>
    <w:p w14:paraId="75F9EE8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2.5.(刪除)(100/7/1)</w:t>
      </w:r>
    </w:p>
    <w:p w14:paraId="10410BC3"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2.6.降血脂藥物  Drugs used for dyslipidemia</w:t>
      </w:r>
    </w:p>
    <w:p w14:paraId="63CBBA53" w14:textId="77777777" w:rsidR="00DD07AD" w:rsidRPr="00DD07AD" w:rsidRDefault="00DD07AD" w:rsidP="00DD07AD">
      <w:pPr>
        <w:spacing w:line="300" w:lineRule="exact"/>
        <w:ind w:left="672" w:hanging="386"/>
        <w:rPr>
          <w:rFonts w:ascii="標楷體" w:eastAsia="標楷體" w:hAnsi="標楷體"/>
          <w:color w:val="000000"/>
        </w:rPr>
      </w:pPr>
      <w:r w:rsidRPr="00DD07AD">
        <w:rPr>
          <w:rFonts w:ascii="標楷體" w:eastAsia="標楷體" w:hAnsi="標楷體" w:hint="eastAsia"/>
          <w:color w:val="000000"/>
        </w:rPr>
        <w:t>2.6.1.全民健康保險降血脂藥物給付規定表（86/1/1、87/4/1、87/7/1、91/9/1、93/9/1、97/7/1、102/8/1、108/2/1、115/9/1）</w:t>
      </w:r>
    </w:p>
    <w:p w14:paraId="19B7DDDE" w14:textId="77777777" w:rsidR="00DD07AD" w:rsidRPr="00DD07AD" w:rsidRDefault="00DD07AD" w:rsidP="00DD07AD">
      <w:pPr>
        <w:spacing w:line="300" w:lineRule="exact"/>
        <w:ind w:left="284" w:firstLine="2"/>
        <w:rPr>
          <w:rFonts w:ascii="標楷體" w:eastAsia="標楷體" w:hAnsi="標楷體"/>
          <w:color w:val="000000"/>
        </w:rPr>
      </w:pPr>
      <w:r w:rsidRPr="00DD07AD">
        <w:rPr>
          <w:rFonts w:ascii="標楷體" w:eastAsia="標楷體" w:hAnsi="標楷體" w:hint="eastAsia"/>
          <w:color w:val="000000"/>
        </w:rPr>
        <w:t>降膽固醇藥物，適用全民健康保險降膽固醇藥物給付規定表</w:t>
      </w:r>
      <w:proofErr w:type="gramStart"/>
      <w:r w:rsidRPr="00DD07AD">
        <w:rPr>
          <w:rFonts w:ascii="標楷體" w:eastAsia="標楷體" w:hAnsi="標楷體" w:hint="eastAsia"/>
          <w:color w:val="000000"/>
        </w:rPr>
        <w:t>一</w:t>
      </w:r>
      <w:proofErr w:type="gramEnd"/>
      <w:r w:rsidRPr="00DD07AD">
        <w:rPr>
          <w:rFonts w:ascii="標楷體" w:eastAsia="標楷體" w:hAnsi="標楷體" w:hint="eastAsia"/>
          <w:color w:val="000000"/>
        </w:rPr>
        <w:t>。但下表所列項目不適用表一，僅適用全民健康保險降膽固醇藥物給付規定表二。(115/9/1)</w:t>
      </w:r>
    </w:p>
    <w:tbl>
      <w:tblPr>
        <w:tblW w:w="9375" w:type="dxa"/>
        <w:tblInd w:w="279" w:type="dxa"/>
        <w:tblCellMar>
          <w:left w:w="10" w:type="dxa"/>
          <w:right w:w="10" w:type="dxa"/>
        </w:tblCellMar>
        <w:tblLook w:val="04A0" w:firstRow="1" w:lastRow="0" w:firstColumn="1" w:lastColumn="0" w:noHBand="0" w:noVBand="1"/>
      </w:tblPr>
      <w:tblGrid>
        <w:gridCol w:w="1824"/>
        <w:gridCol w:w="1861"/>
        <w:gridCol w:w="5690"/>
      </w:tblGrid>
      <w:tr w:rsidR="00DD07AD" w:rsidRPr="00DD07AD" w14:paraId="0D67234B" w14:textId="77777777" w:rsidTr="00DD07AD">
        <w:trPr>
          <w:tblHeader/>
        </w:trPr>
        <w:tc>
          <w:tcPr>
            <w:tcW w:w="1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74DB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成分名稱</w:t>
            </w: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FD249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健保代碼</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0CCA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藥品名稱</w:t>
            </w:r>
          </w:p>
        </w:tc>
      </w:tr>
      <w:tr w:rsidR="00DD07AD" w:rsidRPr="00DD07AD" w14:paraId="5AAAE01C"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1AFD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simvastatin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82A7E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AC46402100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07E5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Simvatin</w:t>
            </w:r>
            <w:proofErr w:type="spellEnd"/>
            <w:r w:rsidRPr="00DD07AD">
              <w:rPr>
                <w:rFonts w:ascii="標楷體" w:eastAsia="標楷體" w:hAnsi="標楷體" w:cs="新細明體" w:hint="eastAsia"/>
                <w:kern w:val="0"/>
                <w:sz w:val="22"/>
              </w:rPr>
              <w:t xml:space="preserve"> film coating tablets 20mg</w:t>
            </w:r>
          </w:p>
        </w:tc>
      </w:tr>
      <w:tr w:rsidR="00DD07AD" w:rsidRPr="00DD07AD" w14:paraId="3CB1FA5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864879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3B2512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AB47348100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0C9F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Vatatin</w:t>
            </w:r>
            <w:proofErr w:type="spellEnd"/>
            <w:r w:rsidRPr="00DD07AD">
              <w:rPr>
                <w:rFonts w:ascii="標楷體" w:eastAsia="標楷體" w:hAnsi="標楷體" w:cs="新細明體" w:hint="eastAsia"/>
                <w:kern w:val="0"/>
                <w:sz w:val="22"/>
              </w:rPr>
              <w:t xml:space="preserve"> F.C. tablets 20mg "STANDARD"</w:t>
            </w:r>
          </w:p>
        </w:tc>
      </w:tr>
      <w:tr w:rsidR="00DD07AD" w:rsidRPr="00DD07AD" w14:paraId="512B61D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2DE29D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FF6BF3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BC24339100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38D9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Simvahexal</w:t>
            </w:r>
            <w:proofErr w:type="spellEnd"/>
            <w:r w:rsidRPr="00DD07AD">
              <w:rPr>
                <w:rFonts w:ascii="標楷體" w:eastAsia="標楷體" w:hAnsi="標楷體" w:cs="新細明體" w:hint="eastAsia"/>
                <w:kern w:val="0"/>
                <w:sz w:val="22"/>
              </w:rPr>
              <w:t xml:space="preserve"> film-coated tablets 40mg</w:t>
            </w:r>
          </w:p>
        </w:tc>
      </w:tr>
      <w:tr w:rsidR="00DD07AD" w:rsidRPr="00DD07AD" w14:paraId="3377F21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856929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C415D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AC49672100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AB0A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Simatin</w:t>
            </w:r>
            <w:proofErr w:type="spellEnd"/>
            <w:r w:rsidRPr="00DD07AD">
              <w:rPr>
                <w:rFonts w:ascii="標楷體" w:eastAsia="標楷體" w:hAnsi="標楷體" w:cs="新細明體" w:hint="eastAsia"/>
                <w:kern w:val="0"/>
                <w:sz w:val="22"/>
              </w:rPr>
              <w:t xml:space="preserve"> F.C. tablets 20mg</w:t>
            </w:r>
          </w:p>
        </w:tc>
      </w:tr>
      <w:tr w:rsidR="00DD07AD" w:rsidRPr="00DD07AD" w14:paraId="780F0C5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B8EA30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A116BD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AC49841100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2A2D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Simpotin</w:t>
            </w:r>
            <w:proofErr w:type="spellEnd"/>
            <w:r w:rsidRPr="00DD07AD">
              <w:rPr>
                <w:rFonts w:ascii="標楷體" w:eastAsia="標楷體" w:hAnsi="標楷體" w:cs="新細明體" w:hint="eastAsia"/>
                <w:kern w:val="0"/>
                <w:sz w:val="22"/>
              </w:rPr>
              <w:t xml:space="preserve"> F.C. tablets 20 mg "</w:t>
            </w:r>
            <w:proofErr w:type="spellStart"/>
            <w:r w:rsidRPr="00DD07AD">
              <w:rPr>
                <w:rFonts w:ascii="標楷體" w:eastAsia="標楷體" w:hAnsi="標楷體" w:cs="新細明體" w:hint="eastAsia"/>
                <w:kern w:val="0"/>
                <w:sz w:val="22"/>
              </w:rPr>
              <w:t>Weidar</w:t>
            </w:r>
            <w:proofErr w:type="spellEnd"/>
            <w:r w:rsidRPr="00DD07AD">
              <w:rPr>
                <w:rFonts w:ascii="標楷體" w:eastAsia="標楷體" w:hAnsi="標楷體" w:cs="新細明體" w:hint="eastAsia"/>
                <w:kern w:val="0"/>
                <w:sz w:val="22"/>
              </w:rPr>
              <w:t>"</w:t>
            </w:r>
          </w:p>
        </w:tc>
      </w:tr>
      <w:tr w:rsidR="00DD07AD" w:rsidRPr="00DD07AD" w14:paraId="7B6FB24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45962C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308D1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AC47924100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2A3B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Zostatin</w:t>
            </w:r>
            <w:proofErr w:type="spellEnd"/>
            <w:r w:rsidRPr="00DD07AD">
              <w:rPr>
                <w:rFonts w:ascii="標楷體" w:eastAsia="標楷體" w:hAnsi="標楷體" w:cs="新細明體" w:hint="eastAsia"/>
                <w:kern w:val="0"/>
                <w:sz w:val="22"/>
              </w:rPr>
              <w:t xml:space="preserve"> F.C. tablets 20 mg "S.C."</w:t>
            </w:r>
          </w:p>
        </w:tc>
      </w:tr>
      <w:tr w:rsidR="00DD07AD" w:rsidRPr="00DD07AD" w14:paraId="081770D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717C92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68DACC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BC23970100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9F13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Simvahexal</w:t>
            </w:r>
            <w:proofErr w:type="spellEnd"/>
            <w:r w:rsidRPr="00DD07AD">
              <w:rPr>
                <w:rFonts w:ascii="標楷體" w:eastAsia="標楷體" w:hAnsi="標楷體" w:cs="新細明體" w:hint="eastAsia"/>
                <w:kern w:val="0"/>
                <w:sz w:val="22"/>
              </w:rPr>
              <w:t xml:space="preserve"> film-coated tablets 20mg</w:t>
            </w:r>
          </w:p>
        </w:tc>
      </w:tr>
      <w:tr w:rsidR="00DD07AD" w:rsidRPr="00DD07AD" w14:paraId="7D76D24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64FF7C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4E1CF8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AC49360100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280E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Bezostatin</w:t>
            </w:r>
            <w:proofErr w:type="spellEnd"/>
            <w:r w:rsidRPr="00DD07AD">
              <w:rPr>
                <w:rFonts w:ascii="標楷體" w:eastAsia="標楷體" w:hAnsi="標楷體" w:cs="新細明體" w:hint="eastAsia"/>
                <w:kern w:val="0"/>
                <w:sz w:val="22"/>
              </w:rPr>
              <w:t xml:space="preserve"> F.C. tablets 40 mg "S.C."</w:t>
            </w:r>
          </w:p>
        </w:tc>
      </w:tr>
      <w:tr w:rsidR="00DD07AD" w:rsidRPr="00DD07AD" w14:paraId="607BBB9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26D39B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34C188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AC48813100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658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Simvatenin</w:t>
            </w:r>
            <w:proofErr w:type="spellEnd"/>
            <w:r w:rsidRPr="00DD07AD">
              <w:rPr>
                <w:rFonts w:ascii="標楷體" w:eastAsia="標楷體" w:hAnsi="標楷體" w:cs="新細明體" w:hint="eastAsia"/>
                <w:kern w:val="0"/>
                <w:sz w:val="22"/>
              </w:rPr>
              <w:t xml:space="preserve"> F.C. tablets 20mg (simvastatin)</w:t>
            </w:r>
          </w:p>
        </w:tc>
      </w:tr>
      <w:tr w:rsidR="00DD07AD" w:rsidRPr="00DD07AD" w14:paraId="65A7EF7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5D9634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FC2948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AC56804100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9C56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Simvastatin F.C. tablets 20mg "CYH"</w:t>
            </w:r>
          </w:p>
        </w:tc>
      </w:tr>
      <w:tr w:rsidR="00DD07AD" w:rsidRPr="00DD07AD" w14:paraId="2548ADB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69B892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7E9182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AC49699100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03D3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Simatin</w:t>
            </w:r>
            <w:proofErr w:type="spellEnd"/>
            <w:r w:rsidRPr="00DD07AD">
              <w:rPr>
                <w:rFonts w:ascii="標楷體" w:eastAsia="標楷體" w:hAnsi="標楷體" w:cs="新細明體" w:hint="eastAsia"/>
                <w:kern w:val="0"/>
                <w:sz w:val="22"/>
              </w:rPr>
              <w:t xml:space="preserve"> F.C. tablets 10mg</w:t>
            </w:r>
          </w:p>
        </w:tc>
      </w:tr>
      <w:tr w:rsidR="00DD07AD" w:rsidRPr="00DD07AD" w14:paraId="6A2906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03DE7D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1F3846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AC47907100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A91D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Sinty</w:t>
            </w:r>
            <w:proofErr w:type="spellEnd"/>
            <w:r w:rsidRPr="00DD07AD">
              <w:rPr>
                <w:rFonts w:ascii="標楷體" w:eastAsia="標楷體" w:hAnsi="標楷體" w:cs="新細明體" w:hint="eastAsia"/>
                <w:kern w:val="0"/>
                <w:sz w:val="22"/>
              </w:rPr>
              <w:t xml:space="preserve"> F.C. tablets 20mg</w:t>
            </w:r>
          </w:p>
        </w:tc>
      </w:tr>
      <w:tr w:rsidR="00DD07AD" w:rsidRPr="00DD07AD" w14:paraId="6746292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2ECF9D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83A2DF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AC48926100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2035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w:t>
            </w:r>
            <w:proofErr w:type="spellEnd"/>
            <w:r w:rsidRPr="00DD07AD">
              <w:rPr>
                <w:rFonts w:ascii="標楷體" w:eastAsia="標楷體" w:hAnsi="標楷體" w:cs="新細明體" w:hint="eastAsia"/>
                <w:kern w:val="0"/>
                <w:sz w:val="22"/>
              </w:rPr>
              <w:t xml:space="preserve"> F.C. tablets 20 mg</w:t>
            </w:r>
          </w:p>
        </w:tc>
      </w:tr>
      <w:tr w:rsidR="00DD07AD" w:rsidRPr="00DD07AD" w14:paraId="667CEE2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9A6424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A4A11C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AC49190100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8298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Sivasin</w:t>
            </w:r>
            <w:proofErr w:type="spellEnd"/>
            <w:r w:rsidRPr="00DD07AD">
              <w:rPr>
                <w:rFonts w:ascii="標楷體" w:eastAsia="標楷體" w:hAnsi="標楷體" w:cs="新細明體" w:hint="eastAsia"/>
                <w:kern w:val="0"/>
                <w:sz w:val="22"/>
              </w:rPr>
              <w:t xml:space="preserve"> film coated tablets 40mg</w:t>
            </w:r>
          </w:p>
        </w:tc>
      </w:tr>
      <w:tr w:rsidR="00DD07AD" w:rsidRPr="00DD07AD" w14:paraId="571954C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1C992D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D13ADF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AC58207100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648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Simvatin</w:t>
            </w:r>
            <w:proofErr w:type="spellEnd"/>
            <w:r w:rsidRPr="00DD07AD">
              <w:rPr>
                <w:rFonts w:ascii="標楷體" w:eastAsia="標楷體" w:hAnsi="標楷體" w:cs="新細明體" w:hint="eastAsia"/>
                <w:kern w:val="0"/>
                <w:sz w:val="22"/>
              </w:rPr>
              <w:t xml:space="preserve"> film coating tablets 40mg</w:t>
            </w:r>
          </w:p>
        </w:tc>
      </w:tr>
      <w:tr w:rsidR="00DD07AD" w:rsidRPr="00DD07AD" w14:paraId="631A66E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1D6728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AF4277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AC48608100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9ECB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w:t>
            </w:r>
            <w:proofErr w:type="spellEnd"/>
            <w:r w:rsidRPr="00DD07AD">
              <w:rPr>
                <w:rFonts w:ascii="標楷體" w:eastAsia="標楷體" w:hAnsi="標楷體" w:cs="新細明體" w:hint="eastAsia"/>
                <w:kern w:val="0"/>
                <w:sz w:val="22"/>
              </w:rPr>
              <w:t xml:space="preserve"> F.C. tablets 20mg "Union"</w:t>
            </w:r>
          </w:p>
        </w:tc>
      </w:tr>
      <w:tr w:rsidR="00DD07AD" w:rsidRPr="00DD07AD" w14:paraId="577F5E5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6EB21B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57808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AC49997100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892A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Simatin</w:t>
            </w:r>
            <w:proofErr w:type="spellEnd"/>
            <w:r w:rsidRPr="00DD07AD">
              <w:rPr>
                <w:rFonts w:ascii="標楷體" w:eastAsia="標楷體" w:hAnsi="標楷體" w:cs="新細明體" w:hint="eastAsia"/>
                <w:kern w:val="0"/>
                <w:sz w:val="22"/>
              </w:rPr>
              <w:t xml:space="preserve"> F.C. tablets 40 mg</w:t>
            </w:r>
          </w:p>
        </w:tc>
      </w:tr>
      <w:tr w:rsidR="00DD07AD" w:rsidRPr="00DD07AD" w14:paraId="67E0B14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C5346F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1D621E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A055967100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FB99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w:t>
            </w:r>
            <w:proofErr w:type="spellEnd"/>
            <w:r w:rsidRPr="00DD07AD">
              <w:rPr>
                <w:rFonts w:ascii="標楷體" w:eastAsia="標楷體" w:hAnsi="標楷體" w:cs="新細明體" w:hint="eastAsia"/>
                <w:kern w:val="0"/>
                <w:sz w:val="22"/>
              </w:rPr>
              <w:t xml:space="preserve"> F.C. tablets 40mg "Union"</w:t>
            </w:r>
          </w:p>
        </w:tc>
      </w:tr>
      <w:tr w:rsidR="00DD07AD" w:rsidRPr="00DD07AD" w14:paraId="743C03D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1FE94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E9EDD9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AC56806100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83D1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Sinty</w:t>
            </w:r>
            <w:proofErr w:type="spellEnd"/>
            <w:r w:rsidRPr="00DD07AD">
              <w:rPr>
                <w:rFonts w:ascii="標楷體" w:eastAsia="標楷體" w:hAnsi="標楷體" w:cs="新細明體" w:hint="eastAsia"/>
                <w:kern w:val="0"/>
                <w:sz w:val="22"/>
              </w:rPr>
              <w:t xml:space="preserve"> F.C. tablets 40mg</w:t>
            </w:r>
          </w:p>
        </w:tc>
      </w:tr>
      <w:tr w:rsidR="00DD07AD" w:rsidRPr="00DD07AD" w14:paraId="105D4787"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BB4A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lovastatin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7FE665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AC39403100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A467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Lozutin</w:t>
            </w:r>
            <w:proofErr w:type="spellEnd"/>
            <w:r w:rsidRPr="00DD07AD">
              <w:rPr>
                <w:rFonts w:ascii="標楷體" w:eastAsia="標楷體" w:hAnsi="標楷體" w:cs="新細明體" w:hint="eastAsia"/>
                <w:kern w:val="0"/>
                <w:sz w:val="22"/>
              </w:rPr>
              <w:t xml:space="preserve"> tablets 20mg (lovastatin)</w:t>
            </w:r>
          </w:p>
        </w:tc>
      </w:tr>
      <w:tr w:rsidR="00DD07AD" w:rsidRPr="00DD07AD" w14:paraId="6B7E9EC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58DBD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9B6CD9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AC39307100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AFB1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Delipic</w:t>
            </w:r>
            <w:proofErr w:type="spellEnd"/>
            <w:r w:rsidRPr="00DD07AD">
              <w:rPr>
                <w:rFonts w:ascii="標楷體" w:eastAsia="標楷體" w:hAnsi="標楷體" w:cs="新細明體" w:hint="eastAsia"/>
                <w:kern w:val="0"/>
                <w:sz w:val="22"/>
              </w:rPr>
              <w:t xml:space="preserve"> tablets 20</w:t>
            </w:r>
            <w:proofErr w:type="gramStart"/>
            <w:r w:rsidRPr="00DD07AD">
              <w:rPr>
                <w:rFonts w:ascii="標楷體" w:eastAsia="標楷體" w:hAnsi="標楷體" w:cs="新細明體" w:hint="eastAsia"/>
                <w:kern w:val="0"/>
                <w:sz w:val="22"/>
              </w:rPr>
              <w:t>mg  "</w:t>
            </w:r>
            <w:proofErr w:type="gramEnd"/>
            <w:r w:rsidRPr="00DD07AD">
              <w:rPr>
                <w:rFonts w:ascii="標楷體" w:eastAsia="標楷體" w:hAnsi="標楷體" w:cs="新細明體" w:hint="eastAsia"/>
                <w:kern w:val="0"/>
                <w:sz w:val="22"/>
              </w:rPr>
              <w:t>Standard" (lovastatin)</w:t>
            </w:r>
          </w:p>
        </w:tc>
      </w:tr>
      <w:tr w:rsidR="00DD07AD" w:rsidRPr="00DD07AD" w14:paraId="30D0D0E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39D3B4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1F946C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A042389100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DFF1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Lovatin</w:t>
            </w:r>
            <w:proofErr w:type="spellEnd"/>
            <w:r w:rsidRPr="00DD07AD">
              <w:rPr>
                <w:rFonts w:ascii="標楷體" w:eastAsia="標楷體" w:hAnsi="標楷體" w:cs="新細明體" w:hint="eastAsia"/>
                <w:kern w:val="0"/>
                <w:sz w:val="22"/>
              </w:rPr>
              <w:t xml:space="preserve"> tablets 20mg "PANBIOTIC"</w:t>
            </w:r>
          </w:p>
        </w:tc>
      </w:tr>
      <w:tr w:rsidR="00DD07AD" w:rsidRPr="00DD07AD" w14:paraId="0D6AA45F"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A1D4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pravastatin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1733AD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BC23596100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4129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Mevalotin</w:t>
            </w:r>
            <w:proofErr w:type="spellEnd"/>
            <w:r w:rsidRPr="00DD07AD">
              <w:rPr>
                <w:rFonts w:ascii="標楷體" w:eastAsia="標楷體" w:hAnsi="標楷體" w:cs="新細明體" w:hint="eastAsia"/>
                <w:kern w:val="0"/>
                <w:sz w:val="22"/>
              </w:rPr>
              <w:t xml:space="preserve"> protect 40mg tablets</w:t>
            </w:r>
          </w:p>
        </w:tc>
      </w:tr>
      <w:tr w:rsidR="00DD07AD" w:rsidRPr="00DD07AD" w14:paraId="07E6895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F307EB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27B1B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AC52581100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0032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Joinlo</w:t>
            </w:r>
            <w:proofErr w:type="spellEnd"/>
            <w:r w:rsidRPr="00DD07AD">
              <w:rPr>
                <w:rFonts w:ascii="標楷體" w:eastAsia="標楷體" w:hAnsi="標楷體" w:cs="新細明體" w:hint="eastAsia"/>
                <w:kern w:val="0"/>
                <w:sz w:val="22"/>
              </w:rPr>
              <w:t xml:space="preserve"> tablets 40mg “EVEREST”</w:t>
            </w:r>
          </w:p>
        </w:tc>
      </w:tr>
      <w:tr w:rsidR="00DD07AD" w:rsidRPr="00DD07AD" w14:paraId="4EDCCB9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22FF76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533A6C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AB49454100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1F12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Pratin</w:t>
            </w:r>
            <w:proofErr w:type="spellEnd"/>
            <w:r w:rsidRPr="00DD07AD">
              <w:rPr>
                <w:rFonts w:ascii="標楷體" w:eastAsia="標楷體" w:hAnsi="標楷體" w:cs="新細明體" w:hint="eastAsia"/>
                <w:kern w:val="0"/>
                <w:sz w:val="22"/>
              </w:rPr>
              <w:t xml:space="preserve"> tablets 40 mg (pravastatin sodium)</w:t>
            </w:r>
          </w:p>
        </w:tc>
      </w:tr>
      <w:tr w:rsidR="00DD07AD" w:rsidRPr="00DD07AD" w14:paraId="38FEF91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77C489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F87FD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AB48586100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C8E60"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Pavatin</w:t>
            </w:r>
            <w:proofErr w:type="spellEnd"/>
            <w:r w:rsidRPr="00DD07AD">
              <w:rPr>
                <w:rFonts w:ascii="標楷體" w:eastAsia="標楷體" w:hAnsi="標楷體" w:cs="新細明體" w:hint="eastAsia"/>
                <w:kern w:val="0"/>
                <w:sz w:val="22"/>
              </w:rPr>
              <w:t xml:space="preserve"> protect tablets 20mg "Standard" (pravastatin sodium)</w:t>
            </w:r>
          </w:p>
        </w:tc>
      </w:tr>
      <w:tr w:rsidR="00DD07AD" w:rsidRPr="00DD07AD" w14:paraId="4B34B40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8A645F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DD5E19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AB48681100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BB8F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 xml:space="preserve">U-Chu </w:t>
            </w:r>
            <w:proofErr w:type="spellStart"/>
            <w:r w:rsidRPr="00DD07AD">
              <w:rPr>
                <w:rFonts w:ascii="標楷體" w:eastAsia="標楷體" w:hAnsi="標楷體" w:cs="新細明體" w:hint="eastAsia"/>
                <w:kern w:val="0"/>
                <w:sz w:val="22"/>
              </w:rPr>
              <w:t>Pavadin</w:t>
            </w:r>
            <w:proofErr w:type="spellEnd"/>
            <w:r w:rsidRPr="00DD07AD">
              <w:rPr>
                <w:rFonts w:ascii="標楷體" w:eastAsia="標楷體" w:hAnsi="標楷體" w:cs="新細明體" w:hint="eastAsia"/>
                <w:kern w:val="0"/>
                <w:sz w:val="22"/>
              </w:rPr>
              <w:t xml:space="preserve"> tablets 20 mg</w:t>
            </w:r>
          </w:p>
        </w:tc>
      </w:tr>
      <w:tr w:rsidR="00DD07AD" w:rsidRPr="00DD07AD" w14:paraId="6C824A0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FEB3C8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E7D9B3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AB46029100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7C8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Pratin</w:t>
            </w:r>
            <w:proofErr w:type="spellEnd"/>
            <w:r w:rsidRPr="00DD07AD">
              <w:rPr>
                <w:rFonts w:ascii="標楷體" w:eastAsia="標楷體" w:hAnsi="標楷體" w:cs="新細明體" w:hint="eastAsia"/>
                <w:kern w:val="0"/>
                <w:sz w:val="22"/>
              </w:rPr>
              <w:t xml:space="preserve"> tablets 10mg (pravastatin sodium)</w:t>
            </w:r>
          </w:p>
        </w:tc>
      </w:tr>
      <w:tr w:rsidR="00DD07AD" w:rsidRPr="00DD07AD" w14:paraId="4A7048E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D5DD38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3884FF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AB48644100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1590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Mechol</w:t>
            </w:r>
            <w:proofErr w:type="spellEnd"/>
            <w:r w:rsidRPr="00DD07AD">
              <w:rPr>
                <w:rFonts w:ascii="標楷體" w:eastAsia="標楷體" w:hAnsi="標楷體" w:cs="新細明體" w:hint="eastAsia"/>
                <w:kern w:val="0"/>
                <w:sz w:val="22"/>
              </w:rPr>
              <w:t xml:space="preserve"> tablets 20mg "Yung Shin"</w:t>
            </w:r>
          </w:p>
        </w:tc>
      </w:tr>
      <w:tr w:rsidR="00DD07AD" w:rsidRPr="00DD07AD" w14:paraId="79C7D1A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0AA12C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79F00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AB49021100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8245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Pratin</w:t>
            </w:r>
            <w:proofErr w:type="spellEnd"/>
            <w:r w:rsidRPr="00DD07AD">
              <w:rPr>
                <w:rFonts w:ascii="標楷體" w:eastAsia="標楷體" w:hAnsi="標楷體" w:cs="新細明體" w:hint="eastAsia"/>
                <w:kern w:val="0"/>
                <w:sz w:val="22"/>
              </w:rPr>
              <w:t xml:space="preserve"> tablets 20 mg</w:t>
            </w:r>
          </w:p>
        </w:tc>
      </w:tr>
      <w:tr w:rsidR="00DD07AD" w:rsidRPr="00DD07AD" w14:paraId="32B1EE1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1C2297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0BE812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BC23597100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D2F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Mevalotin</w:t>
            </w:r>
            <w:proofErr w:type="spellEnd"/>
            <w:r w:rsidRPr="00DD07AD">
              <w:rPr>
                <w:rFonts w:ascii="標楷體" w:eastAsia="標楷體" w:hAnsi="標楷體" w:cs="新細明體" w:hint="eastAsia"/>
                <w:kern w:val="0"/>
                <w:sz w:val="22"/>
              </w:rPr>
              <w:t xml:space="preserve"> protect 20mg tablets</w:t>
            </w:r>
          </w:p>
        </w:tc>
      </w:tr>
      <w:tr w:rsidR="00DD07AD" w:rsidRPr="00DD07AD" w14:paraId="435E0CC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F06E9C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7443F5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AC57126100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E5C0D"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Pavatin</w:t>
            </w:r>
            <w:proofErr w:type="spellEnd"/>
            <w:r w:rsidRPr="00DD07AD">
              <w:rPr>
                <w:rFonts w:ascii="標楷體" w:eastAsia="標楷體" w:hAnsi="標楷體" w:cs="新細明體" w:hint="eastAsia"/>
                <w:kern w:val="0"/>
                <w:sz w:val="22"/>
              </w:rPr>
              <w:t xml:space="preserve"> protect tablets 40mg "Standard" (pravastatin sodium)</w:t>
            </w:r>
          </w:p>
        </w:tc>
      </w:tr>
      <w:tr w:rsidR="00DD07AD" w:rsidRPr="00DD07AD" w14:paraId="44171CC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A1E098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D5FB5C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AC48469100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DE00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Mechol</w:t>
            </w:r>
            <w:proofErr w:type="spellEnd"/>
            <w:r w:rsidRPr="00DD07AD">
              <w:rPr>
                <w:rFonts w:ascii="標楷體" w:eastAsia="標楷體" w:hAnsi="標楷體" w:cs="新細明體" w:hint="eastAsia"/>
                <w:kern w:val="0"/>
                <w:sz w:val="22"/>
              </w:rPr>
              <w:t xml:space="preserve"> tablets 10mg "Yung Shin"</w:t>
            </w:r>
          </w:p>
        </w:tc>
      </w:tr>
      <w:tr w:rsidR="00DD07AD" w:rsidRPr="00DD07AD" w14:paraId="52299D0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5B770F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975341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AC57741100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CC62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Joinlo</w:t>
            </w:r>
            <w:proofErr w:type="spellEnd"/>
            <w:r w:rsidRPr="00DD07AD">
              <w:rPr>
                <w:rFonts w:ascii="標楷體" w:eastAsia="標楷體" w:hAnsi="標楷體" w:cs="新細明體" w:hint="eastAsia"/>
                <w:kern w:val="0"/>
                <w:sz w:val="22"/>
              </w:rPr>
              <w:t xml:space="preserve"> tablet 20</w:t>
            </w:r>
            <w:proofErr w:type="gramStart"/>
            <w:r w:rsidRPr="00DD07AD">
              <w:rPr>
                <w:rFonts w:ascii="標楷體" w:eastAsia="標楷體" w:hAnsi="標楷體" w:cs="新細明體" w:hint="eastAsia"/>
                <w:kern w:val="0"/>
                <w:sz w:val="22"/>
              </w:rPr>
              <w:t>mg  EVEREST</w:t>
            </w:r>
            <w:proofErr w:type="gramEnd"/>
          </w:p>
        </w:tc>
      </w:tr>
      <w:tr w:rsidR="00DD07AD" w:rsidRPr="00DD07AD" w14:paraId="11664316"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AFD5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fluvastatin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656225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BC23556100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F2EE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Lescol</w:t>
            </w:r>
            <w:proofErr w:type="spellEnd"/>
            <w:r w:rsidRPr="00DD07AD">
              <w:rPr>
                <w:rFonts w:ascii="標楷體" w:eastAsia="標楷體" w:hAnsi="標楷體" w:cs="新細明體" w:hint="eastAsia"/>
                <w:kern w:val="0"/>
                <w:sz w:val="22"/>
              </w:rPr>
              <w:t xml:space="preserve"> XL film-coated tablets 80mg</w:t>
            </w:r>
          </w:p>
        </w:tc>
      </w:tr>
      <w:tr w:rsidR="00DD07AD" w:rsidRPr="00DD07AD" w14:paraId="0A6ED06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B28523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4E632A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BC26147100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31755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Fluvastatin XL film-coated tablets 80mg</w:t>
            </w:r>
          </w:p>
        </w:tc>
      </w:tr>
      <w:tr w:rsidR="00DD07AD" w:rsidRPr="00DD07AD" w14:paraId="4470CCA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83D3AA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FFF3C6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AC56629100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E312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Lecitol</w:t>
            </w:r>
            <w:proofErr w:type="spellEnd"/>
            <w:r w:rsidRPr="00DD07AD">
              <w:rPr>
                <w:rFonts w:ascii="標楷體" w:eastAsia="標楷體" w:hAnsi="標楷體" w:cs="新細明體" w:hint="eastAsia"/>
                <w:kern w:val="0"/>
                <w:sz w:val="22"/>
              </w:rPr>
              <w:t xml:space="preserve"> XL film-coated Tablets 80mg</w:t>
            </w:r>
          </w:p>
        </w:tc>
      </w:tr>
      <w:tr w:rsidR="00DD07AD" w:rsidRPr="00DD07AD" w14:paraId="276D5F9D"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73B6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atorvastatin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15F462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AC55272100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3D8B5"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Atorva</w:t>
            </w:r>
            <w:proofErr w:type="spellEnd"/>
            <w:r w:rsidRPr="00DD07AD">
              <w:rPr>
                <w:rFonts w:ascii="標楷體" w:eastAsia="標楷體" w:hAnsi="標楷體" w:cs="新細明體" w:hint="eastAsia"/>
                <w:kern w:val="0"/>
                <w:sz w:val="22"/>
              </w:rPr>
              <w:t xml:space="preserve"> film-coated tablets 10mg "Standard" (atorvastatin)</w:t>
            </w:r>
          </w:p>
        </w:tc>
      </w:tr>
      <w:tr w:rsidR="00DD07AD" w:rsidRPr="00DD07AD" w14:paraId="61984B3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9F9C4E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E04AF7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BA25337100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C02E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Tulip 20mg film coated tablets</w:t>
            </w:r>
          </w:p>
        </w:tc>
      </w:tr>
      <w:tr w:rsidR="00DD07AD" w:rsidRPr="00DD07AD" w14:paraId="207805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A8B052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2527B0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BA25200100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6495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Tulip 10mg film coated tablets</w:t>
            </w:r>
          </w:p>
        </w:tc>
      </w:tr>
      <w:tr w:rsidR="00DD07AD" w:rsidRPr="00DD07AD" w14:paraId="5E90F2B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77959C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76B8B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AC48879100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8CA2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Anxolipo</w:t>
            </w:r>
            <w:proofErr w:type="spellEnd"/>
            <w:r w:rsidRPr="00DD07AD">
              <w:rPr>
                <w:rFonts w:ascii="標楷體" w:eastAsia="標楷體" w:hAnsi="標楷體" w:cs="新細明體" w:hint="eastAsia"/>
                <w:kern w:val="0"/>
                <w:sz w:val="22"/>
              </w:rPr>
              <w:t xml:space="preserve"> F.C. tablet 10 mg</w:t>
            </w:r>
          </w:p>
        </w:tc>
      </w:tr>
      <w:tr w:rsidR="00DD07AD" w:rsidRPr="00DD07AD" w14:paraId="73D7CEE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9BB621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AFEF5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AC57267100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EB44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Atotin</w:t>
            </w:r>
            <w:proofErr w:type="spellEnd"/>
            <w:r w:rsidRPr="00DD07AD">
              <w:rPr>
                <w:rFonts w:ascii="標楷體" w:eastAsia="標楷體" w:hAnsi="標楷體" w:cs="新細明體" w:hint="eastAsia"/>
                <w:kern w:val="0"/>
                <w:sz w:val="22"/>
              </w:rPr>
              <w:t xml:space="preserve"> F.C. tablets 10mg</w:t>
            </w:r>
          </w:p>
        </w:tc>
      </w:tr>
      <w:tr w:rsidR="00DD07AD" w:rsidRPr="00DD07AD" w14:paraId="4AD9757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92A5BF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9164AE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AC51598100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345C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Atoty</w:t>
            </w:r>
            <w:proofErr w:type="spellEnd"/>
            <w:r w:rsidRPr="00DD07AD">
              <w:rPr>
                <w:rFonts w:ascii="標楷體" w:eastAsia="標楷體" w:hAnsi="標楷體" w:cs="新細明體" w:hint="eastAsia"/>
                <w:kern w:val="0"/>
                <w:sz w:val="22"/>
              </w:rPr>
              <w:t xml:space="preserve"> F.C. tablets 10 mg</w:t>
            </w:r>
          </w:p>
        </w:tc>
      </w:tr>
      <w:tr w:rsidR="00DD07AD" w:rsidRPr="00DD07AD" w14:paraId="0634F53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37BD4E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0A2B19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AC58211100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4301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Atotin</w:t>
            </w:r>
            <w:proofErr w:type="spellEnd"/>
            <w:r w:rsidRPr="00DD07AD">
              <w:rPr>
                <w:rFonts w:ascii="標楷體" w:eastAsia="標楷體" w:hAnsi="標楷體" w:cs="新細明體" w:hint="eastAsia"/>
                <w:kern w:val="0"/>
                <w:sz w:val="22"/>
              </w:rPr>
              <w:t xml:space="preserve"> F.C. tablets 20mg</w:t>
            </w:r>
          </w:p>
        </w:tc>
      </w:tr>
      <w:tr w:rsidR="00DD07AD" w:rsidRPr="00DD07AD" w14:paraId="5B709D7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8AEF35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AB99C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AC49226100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6DE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Anxolightor</w:t>
            </w:r>
            <w:proofErr w:type="spellEnd"/>
            <w:r w:rsidRPr="00DD07AD">
              <w:rPr>
                <w:rFonts w:ascii="標楷體" w:eastAsia="標楷體" w:hAnsi="標楷體" w:cs="新細明體" w:hint="eastAsia"/>
                <w:kern w:val="0"/>
                <w:sz w:val="22"/>
              </w:rPr>
              <w:t xml:space="preserve"> F.C. tablets 20 mg</w:t>
            </w:r>
          </w:p>
        </w:tc>
      </w:tr>
      <w:tr w:rsidR="00DD07AD" w:rsidRPr="00DD07AD" w14:paraId="643228D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A55BF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6AB6EE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AC58517100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9F7B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Atoroty</w:t>
            </w:r>
            <w:proofErr w:type="spellEnd"/>
            <w:r w:rsidRPr="00DD07AD">
              <w:rPr>
                <w:rFonts w:ascii="標楷體" w:eastAsia="標楷體" w:hAnsi="標楷體" w:cs="新細明體" w:hint="eastAsia"/>
                <w:kern w:val="0"/>
                <w:sz w:val="22"/>
              </w:rPr>
              <w:t xml:space="preserve"> F.C. tablets 20mg</w:t>
            </w:r>
          </w:p>
        </w:tc>
      </w:tr>
      <w:tr w:rsidR="00DD07AD" w:rsidRPr="00DD07AD" w14:paraId="451747D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3557A6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145810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AC57805100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3F1F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Atorva</w:t>
            </w:r>
            <w:proofErr w:type="spellEnd"/>
            <w:r w:rsidRPr="00DD07AD">
              <w:rPr>
                <w:rFonts w:ascii="標楷體" w:eastAsia="標楷體" w:hAnsi="標楷體" w:cs="新細明體" w:hint="eastAsia"/>
                <w:kern w:val="0"/>
                <w:sz w:val="22"/>
              </w:rPr>
              <w:t xml:space="preserve"> F.C. tab. 20</w:t>
            </w:r>
            <w:proofErr w:type="gramStart"/>
            <w:r w:rsidRPr="00DD07AD">
              <w:rPr>
                <w:rFonts w:ascii="標楷體" w:eastAsia="標楷體" w:hAnsi="標楷體" w:cs="新細明體" w:hint="eastAsia"/>
                <w:kern w:val="0"/>
                <w:sz w:val="22"/>
              </w:rPr>
              <w:t>mg  "</w:t>
            </w:r>
            <w:proofErr w:type="gramEnd"/>
            <w:r w:rsidRPr="00DD07AD">
              <w:rPr>
                <w:rFonts w:ascii="標楷體" w:eastAsia="標楷體" w:hAnsi="標楷體" w:cs="新細明體" w:hint="eastAsia"/>
                <w:kern w:val="0"/>
                <w:sz w:val="22"/>
              </w:rPr>
              <w:t>Standard" (atorvastatin)</w:t>
            </w:r>
          </w:p>
        </w:tc>
      </w:tr>
      <w:tr w:rsidR="00DD07AD" w:rsidRPr="00DD07AD" w14:paraId="4D165E8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92B96D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8457A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AA49543100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E873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Atorin</w:t>
            </w:r>
            <w:proofErr w:type="spellEnd"/>
            <w:r w:rsidRPr="00DD07AD">
              <w:rPr>
                <w:rFonts w:ascii="標楷體" w:eastAsia="標楷體" w:hAnsi="標楷體" w:cs="新細明體" w:hint="eastAsia"/>
                <w:kern w:val="0"/>
                <w:sz w:val="22"/>
              </w:rPr>
              <w:t xml:space="preserve"> F.C. tablet 10mg</w:t>
            </w:r>
          </w:p>
        </w:tc>
      </w:tr>
      <w:tr w:rsidR="00DD07AD" w:rsidRPr="00DD07AD" w14:paraId="0D6D7AF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359CE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9D0989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BA25201100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BAB7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Tulip 40mg film coated tablets</w:t>
            </w:r>
          </w:p>
        </w:tc>
      </w:tr>
      <w:tr w:rsidR="00DD07AD" w:rsidRPr="00DD07AD" w14:paraId="0FF66D9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C1389C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499AA0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AA57774100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BB4D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Atover</w:t>
            </w:r>
            <w:proofErr w:type="spellEnd"/>
            <w:r w:rsidRPr="00DD07AD">
              <w:rPr>
                <w:rFonts w:ascii="標楷體" w:eastAsia="標楷體" w:hAnsi="標楷體" w:cs="新細明體" w:hint="eastAsia"/>
                <w:kern w:val="0"/>
                <w:sz w:val="22"/>
              </w:rPr>
              <w:t xml:space="preserve"> F.C. Tab. 10mg P.L.</w:t>
            </w:r>
          </w:p>
        </w:tc>
      </w:tr>
      <w:tr w:rsidR="00DD07AD" w:rsidRPr="00DD07AD" w14:paraId="63F0299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BD6CB2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A3CE28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AC52530100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B079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Atorin</w:t>
            </w:r>
            <w:proofErr w:type="spellEnd"/>
            <w:r w:rsidRPr="00DD07AD">
              <w:rPr>
                <w:rFonts w:ascii="標楷體" w:eastAsia="標楷體" w:hAnsi="標楷體" w:cs="新細明體" w:hint="eastAsia"/>
                <w:kern w:val="0"/>
                <w:sz w:val="22"/>
              </w:rPr>
              <w:t xml:space="preserve"> F.C. tablets 20mg</w:t>
            </w:r>
          </w:p>
        </w:tc>
      </w:tr>
      <w:tr w:rsidR="00DD07AD" w:rsidRPr="00DD07AD" w14:paraId="00D038A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F79577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D1DF5A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AC55583100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5FE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Atorcal</w:t>
            </w:r>
            <w:proofErr w:type="spellEnd"/>
            <w:r w:rsidRPr="00DD07AD">
              <w:rPr>
                <w:rFonts w:ascii="標楷體" w:eastAsia="標楷體" w:hAnsi="標楷體" w:cs="新細明體" w:hint="eastAsia"/>
                <w:kern w:val="0"/>
                <w:sz w:val="22"/>
              </w:rPr>
              <w:t xml:space="preserve"> F.C. tablets 20mg "S.C."</w:t>
            </w:r>
          </w:p>
        </w:tc>
      </w:tr>
      <w:tr w:rsidR="00DD07AD" w:rsidRPr="00DD07AD" w14:paraId="448E91E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F192E4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411906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AC55895100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D4AE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Atorcal</w:t>
            </w:r>
            <w:proofErr w:type="spellEnd"/>
            <w:r w:rsidRPr="00DD07AD">
              <w:rPr>
                <w:rFonts w:ascii="標楷體" w:eastAsia="標楷體" w:hAnsi="標楷體" w:cs="新細明體" w:hint="eastAsia"/>
                <w:kern w:val="0"/>
                <w:sz w:val="22"/>
              </w:rPr>
              <w:t xml:space="preserve"> F.C. tablets 10mg "S.C."</w:t>
            </w:r>
          </w:p>
        </w:tc>
      </w:tr>
      <w:tr w:rsidR="00DD07AD" w:rsidRPr="00DD07AD" w14:paraId="6A2B383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C80F21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9D3214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AA57950100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FCBD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Atover</w:t>
            </w:r>
            <w:proofErr w:type="spellEnd"/>
            <w:r w:rsidRPr="00DD07AD">
              <w:rPr>
                <w:rFonts w:ascii="標楷體" w:eastAsia="標楷體" w:hAnsi="標楷體" w:cs="新細明體" w:hint="eastAsia"/>
                <w:kern w:val="0"/>
                <w:sz w:val="22"/>
              </w:rPr>
              <w:t xml:space="preserve"> F.C. tablets 20mg P.L.</w:t>
            </w:r>
          </w:p>
        </w:tc>
      </w:tr>
      <w:tr w:rsidR="00DD07AD" w:rsidRPr="00DD07AD" w14:paraId="71F8B84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7196D2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7D47B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AC55268100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4E316"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Atorva</w:t>
            </w:r>
            <w:proofErr w:type="spellEnd"/>
            <w:r w:rsidRPr="00DD07AD">
              <w:rPr>
                <w:rFonts w:ascii="標楷體" w:eastAsia="標楷體" w:hAnsi="標楷體" w:cs="新細明體" w:hint="eastAsia"/>
                <w:kern w:val="0"/>
                <w:sz w:val="22"/>
              </w:rPr>
              <w:t xml:space="preserve"> film-coated tablets 40mg "Standard"(atorvastatin)</w:t>
            </w:r>
          </w:p>
        </w:tc>
      </w:tr>
      <w:tr w:rsidR="00DD07AD" w:rsidRPr="00DD07AD" w14:paraId="1C0F8E9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DC179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26A35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AC55952100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1A7C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Atoty</w:t>
            </w:r>
            <w:proofErr w:type="spellEnd"/>
            <w:r w:rsidRPr="00DD07AD">
              <w:rPr>
                <w:rFonts w:ascii="標楷體" w:eastAsia="標楷體" w:hAnsi="標楷體" w:cs="新細明體" w:hint="eastAsia"/>
                <w:kern w:val="0"/>
                <w:sz w:val="22"/>
              </w:rPr>
              <w:t xml:space="preserve"> F.C. tablets 20 mg</w:t>
            </w:r>
          </w:p>
        </w:tc>
      </w:tr>
      <w:tr w:rsidR="00DD07AD" w:rsidRPr="00DD07AD" w14:paraId="1421586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BDECB6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D2E8C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AA56739100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FDA2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Anxolipo</w:t>
            </w:r>
            <w:proofErr w:type="spellEnd"/>
            <w:r w:rsidRPr="00DD07AD">
              <w:rPr>
                <w:rFonts w:ascii="標楷體" w:eastAsia="標楷體" w:hAnsi="標楷體" w:cs="新細明體" w:hint="eastAsia"/>
                <w:kern w:val="0"/>
                <w:sz w:val="22"/>
              </w:rPr>
              <w:t xml:space="preserve"> F.C. tablets 20mg</w:t>
            </w:r>
          </w:p>
        </w:tc>
      </w:tr>
      <w:tr w:rsidR="00DD07AD" w:rsidRPr="00DD07AD" w14:paraId="31E5C66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E48098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CA36CA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AC55956100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BCA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Lipiminus</w:t>
            </w:r>
            <w:proofErr w:type="spellEnd"/>
            <w:r w:rsidRPr="00DD07AD">
              <w:rPr>
                <w:rFonts w:ascii="標楷體" w:eastAsia="標楷體" w:hAnsi="標楷體" w:cs="新細明體" w:hint="eastAsia"/>
                <w:kern w:val="0"/>
                <w:sz w:val="22"/>
              </w:rPr>
              <w:t xml:space="preserve"> F.C. tablets 20mg</w:t>
            </w:r>
          </w:p>
        </w:tc>
      </w:tr>
      <w:tr w:rsidR="00DD07AD" w:rsidRPr="00DD07AD" w14:paraId="255BE5B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6F8648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2369C5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AB54967100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7852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Atover</w:t>
            </w:r>
            <w:proofErr w:type="spellEnd"/>
            <w:r w:rsidRPr="00DD07AD">
              <w:rPr>
                <w:rFonts w:ascii="標楷體" w:eastAsia="標楷體" w:hAnsi="標楷體" w:cs="新細明體" w:hint="eastAsia"/>
                <w:kern w:val="0"/>
                <w:sz w:val="22"/>
              </w:rPr>
              <w:t xml:space="preserve"> F.C. tablets 40 mg "P.L."</w:t>
            </w:r>
          </w:p>
        </w:tc>
      </w:tr>
      <w:tr w:rsidR="00DD07AD" w:rsidRPr="00DD07AD" w14:paraId="173FA02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18847F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43DA83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AA49288100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A5B5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Anxolipo</w:t>
            </w:r>
            <w:proofErr w:type="spellEnd"/>
            <w:r w:rsidRPr="00DD07AD">
              <w:rPr>
                <w:rFonts w:ascii="標楷體" w:eastAsia="標楷體" w:hAnsi="標楷體" w:cs="新細明體" w:hint="eastAsia"/>
                <w:kern w:val="0"/>
                <w:sz w:val="22"/>
              </w:rPr>
              <w:t xml:space="preserve"> F.C. tablets 40mg</w:t>
            </w:r>
          </w:p>
        </w:tc>
      </w:tr>
      <w:tr w:rsidR="00DD07AD" w:rsidRPr="00DD07AD" w14:paraId="2D2E854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EEEE56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DE2C0D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AC56319100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BA7B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Lipiminus</w:t>
            </w:r>
            <w:proofErr w:type="spellEnd"/>
            <w:r w:rsidRPr="00DD07AD">
              <w:rPr>
                <w:rFonts w:ascii="標楷體" w:eastAsia="標楷體" w:hAnsi="標楷體" w:cs="新細明體" w:hint="eastAsia"/>
                <w:kern w:val="0"/>
                <w:sz w:val="22"/>
              </w:rPr>
              <w:t xml:space="preserve"> </w:t>
            </w:r>
            <w:proofErr w:type="spellStart"/>
            <w:r w:rsidRPr="00DD07AD">
              <w:rPr>
                <w:rFonts w:ascii="標楷體" w:eastAsia="標楷體" w:hAnsi="標楷體" w:cs="新細明體" w:hint="eastAsia"/>
                <w:kern w:val="0"/>
                <w:sz w:val="22"/>
              </w:rPr>
              <w:t>F.</w:t>
            </w:r>
            <w:proofErr w:type="gramStart"/>
            <w:r w:rsidRPr="00DD07AD">
              <w:rPr>
                <w:rFonts w:ascii="標楷體" w:eastAsia="標楷體" w:hAnsi="標楷體" w:cs="新細明體" w:hint="eastAsia"/>
                <w:kern w:val="0"/>
                <w:sz w:val="22"/>
              </w:rPr>
              <w:t>C.tablets</w:t>
            </w:r>
            <w:proofErr w:type="spellEnd"/>
            <w:proofErr w:type="gramEnd"/>
            <w:r w:rsidRPr="00DD07AD">
              <w:rPr>
                <w:rFonts w:ascii="標楷體" w:eastAsia="標楷體" w:hAnsi="標楷體" w:cs="新細明體" w:hint="eastAsia"/>
                <w:kern w:val="0"/>
                <w:sz w:val="22"/>
              </w:rPr>
              <w:t xml:space="preserve"> 10mg</w:t>
            </w:r>
          </w:p>
        </w:tc>
      </w:tr>
      <w:tr w:rsidR="00DD07AD" w:rsidRPr="00DD07AD" w14:paraId="2BAA3A8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CBCC93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17F3E0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AC57133100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C969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Atotin</w:t>
            </w:r>
            <w:proofErr w:type="spellEnd"/>
            <w:r w:rsidRPr="00DD07AD">
              <w:rPr>
                <w:rFonts w:ascii="標楷體" w:eastAsia="標楷體" w:hAnsi="標楷體" w:cs="新細明體" w:hint="eastAsia"/>
                <w:kern w:val="0"/>
                <w:sz w:val="22"/>
              </w:rPr>
              <w:t xml:space="preserve"> F.C. tablets 40mg</w:t>
            </w:r>
          </w:p>
        </w:tc>
      </w:tr>
      <w:tr w:rsidR="00DD07AD" w:rsidRPr="00DD07AD" w14:paraId="0AAB735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C9544A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77D08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AC52301100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7895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Lipiminus</w:t>
            </w:r>
            <w:proofErr w:type="spellEnd"/>
            <w:r w:rsidRPr="00DD07AD">
              <w:rPr>
                <w:rFonts w:ascii="標楷體" w:eastAsia="標楷體" w:hAnsi="標楷體" w:cs="新細明體" w:hint="eastAsia"/>
                <w:kern w:val="0"/>
                <w:sz w:val="22"/>
              </w:rPr>
              <w:t xml:space="preserve"> F.C tablets 40mg</w:t>
            </w:r>
          </w:p>
        </w:tc>
      </w:tr>
      <w:tr w:rsidR="00DD07AD" w:rsidRPr="00DD07AD" w14:paraId="78A164A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75A48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236B96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AC57930100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3416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Atova</w:t>
            </w:r>
            <w:proofErr w:type="spellEnd"/>
            <w:r w:rsidRPr="00DD07AD">
              <w:rPr>
                <w:rFonts w:ascii="標楷體" w:eastAsia="標楷體" w:hAnsi="標楷體" w:cs="新細明體" w:hint="eastAsia"/>
                <w:kern w:val="0"/>
                <w:sz w:val="22"/>
              </w:rPr>
              <w:t xml:space="preserve"> F.C. tablets 10mg "Yu Sheng"</w:t>
            </w:r>
          </w:p>
        </w:tc>
      </w:tr>
      <w:tr w:rsidR="00DD07AD" w:rsidRPr="00DD07AD" w14:paraId="145F226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29F89A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D6F9E1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AC56682100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F849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Atoroty</w:t>
            </w:r>
            <w:proofErr w:type="spellEnd"/>
            <w:r w:rsidRPr="00DD07AD">
              <w:rPr>
                <w:rFonts w:ascii="標楷體" w:eastAsia="標楷體" w:hAnsi="標楷體" w:cs="新細明體" w:hint="eastAsia"/>
                <w:kern w:val="0"/>
                <w:sz w:val="22"/>
              </w:rPr>
              <w:t xml:space="preserve"> F.C. tablets 10mg</w:t>
            </w:r>
          </w:p>
        </w:tc>
      </w:tr>
      <w:tr w:rsidR="00DD07AD" w:rsidRPr="00DD07AD" w14:paraId="35D7B2D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0B67E3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414C67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AC50086100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DBB4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Atorcal</w:t>
            </w:r>
            <w:proofErr w:type="spellEnd"/>
            <w:r w:rsidRPr="00DD07AD">
              <w:rPr>
                <w:rFonts w:ascii="標楷體" w:eastAsia="標楷體" w:hAnsi="標楷體" w:cs="新細明體" w:hint="eastAsia"/>
                <w:kern w:val="0"/>
                <w:sz w:val="22"/>
              </w:rPr>
              <w:t xml:space="preserve"> F.C. tablets 40 mg "S.C."</w:t>
            </w:r>
          </w:p>
        </w:tc>
      </w:tr>
      <w:tr w:rsidR="00DD07AD" w:rsidRPr="00DD07AD" w14:paraId="2E3371C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EF5E18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9D949E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AB57967100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4678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Atorstin</w:t>
            </w:r>
            <w:proofErr w:type="spellEnd"/>
            <w:r w:rsidRPr="00DD07AD">
              <w:rPr>
                <w:rFonts w:ascii="標楷體" w:eastAsia="標楷體" w:hAnsi="標楷體" w:cs="新細明體" w:hint="eastAsia"/>
                <w:kern w:val="0"/>
                <w:sz w:val="22"/>
              </w:rPr>
              <w:t xml:space="preserve"> film coated tablets 10mg</w:t>
            </w:r>
          </w:p>
        </w:tc>
      </w:tr>
      <w:tr w:rsidR="00DD07AD" w:rsidRPr="00DD07AD" w14:paraId="3EEBCEF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6A044F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D83A77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AC58041100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CE00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Atoty</w:t>
            </w:r>
            <w:proofErr w:type="spellEnd"/>
            <w:r w:rsidRPr="00DD07AD">
              <w:rPr>
                <w:rFonts w:ascii="標楷體" w:eastAsia="標楷體" w:hAnsi="標楷體" w:cs="新細明體" w:hint="eastAsia"/>
                <w:kern w:val="0"/>
                <w:sz w:val="22"/>
              </w:rPr>
              <w:t xml:space="preserve"> F.C. tablets 40mg</w:t>
            </w:r>
          </w:p>
        </w:tc>
      </w:tr>
      <w:tr w:rsidR="00DD07AD" w:rsidRPr="00DD07AD" w14:paraId="0857DC6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770238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0F388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AB57772100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74D2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Atorstin</w:t>
            </w:r>
            <w:proofErr w:type="spellEnd"/>
            <w:r w:rsidRPr="00DD07AD">
              <w:rPr>
                <w:rFonts w:ascii="標楷體" w:eastAsia="標楷體" w:hAnsi="標楷體" w:cs="新細明體" w:hint="eastAsia"/>
                <w:kern w:val="0"/>
                <w:sz w:val="22"/>
              </w:rPr>
              <w:t xml:space="preserve"> film coated tablets 40mg</w:t>
            </w:r>
          </w:p>
        </w:tc>
      </w:tr>
      <w:tr w:rsidR="00DD07AD" w:rsidRPr="00DD07AD" w14:paraId="5D97C1E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DAE885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BB0A12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AB58049100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26C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Atorstin</w:t>
            </w:r>
            <w:proofErr w:type="spellEnd"/>
            <w:r w:rsidRPr="00DD07AD">
              <w:rPr>
                <w:rFonts w:ascii="標楷體" w:eastAsia="標楷體" w:hAnsi="標楷體" w:cs="新細明體" w:hint="eastAsia"/>
                <w:kern w:val="0"/>
                <w:sz w:val="22"/>
              </w:rPr>
              <w:t xml:space="preserve"> film coated tablets 20mg</w:t>
            </w:r>
          </w:p>
        </w:tc>
      </w:tr>
      <w:tr w:rsidR="00DD07AD" w:rsidRPr="00DD07AD" w14:paraId="246BE74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1F6A7F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E9587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AB51732100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A773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Atorin</w:t>
            </w:r>
            <w:proofErr w:type="spellEnd"/>
            <w:r w:rsidRPr="00DD07AD">
              <w:rPr>
                <w:rFonts w:ascii="標楷體" w:eastAsia="標楷體" w:hAnsi="標楷體" w:cs="新細明體" w:hint="eastAsia"/>
                <w:kern w:val="0"/>
                <w:sz w:val="22"/>
              </w:rPr>
              <w:t xml:space="preserve"> F.C. tablets 40mg</w:t>
            </w:r>
          </w:p>
        </w:tc>
      </w:tr>
      <w:tr w:rsidR="00DD07AD" w:rsidRPr="00DD07AD" w14:paraId="3DBF2BA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A952D8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8010CA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AC58262100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F56B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Atoroty</w:t>
            </w:r>
            <w:proofErr w:type="spellEnd"/>
            <w:r w:rsidRPr="00DD07AD">
              <w:rPr>
                <w:rFonts w:ascii="標楷體" w:eastAsia="標楷體" w:hAnsi="標楷體" w:cs="新細明體" w:hint="eastAsia"/>
                <w:kern w:val="0"/>
                <w:sz w:val="22"/>
              </w:rPr>
              <w:t xml:space="preserve"> F.C. tablets 40mg</w:t>
            </w:r>
          </w:p>
        </w:tc>
      </w:tr>
      <w:tr w:rsidR="00DD07AD" w:rsidRPr="00DD07AD" w14:paraId="6451EA9C"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9CEA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rosuvastatin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F7AA1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AA57802100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375F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Roty</w:t>
            </w:r>
            <w:proofErr w:type="spellEnd"/>
            <w:r w:rsidRPr="00DD07AD">
              <w:rPr>
                <w:rFonts w:ascii="標楷體" w:eastAsia="標楷體" w:hAnsi="標楷體" w:cs="新細明體" w:hint="eastAsia"/>
                <w:kern w:val="0"/>
                <w:sz w:val="22"/>
              </w:rPr>
              <w:t xml:space="preserve"> F.C. tablets 10mg</w:t>
            </w:r>
          </w:p>
        </w:tc>
      </w:tr>
      <w:tr w:rsidR="00DD07AD" w:rsidRPr="00DD07AD" w14:paraId="73539E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5A2470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D8AAD2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AA57843100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1AF6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Roty</w:t>
            </w:r>
            <w:proofErr w:type="spellEnd"/>
            <w:r w:rsidRPr="00DD07AD">
              <w:rPr>
                <w:rFonts w:ascii="標楷體" w:eastAsia="標楷體" w:hAnsi="標楷體" w:cs="新細明體" w:hint="eastAsia"/>
                <w:kern w:val="0"/>
                <w:sz w:val="22"/>
              </w:rPr>
              <w:t xml:space="preserve"> F.C. tablets 5mg</w:t>
            </w:r>
          </w:p>
        </w:tc>
      </w:tr>
      <w:tr w:rsidR="00DD07AD" w:rsidRPr="00DD07AD" w14:paraId="08448C4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9F6324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F4C54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BC24597100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056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Crestor 5mg film-coated tablets</w:t>
            </w:r>
          </w:p>
        </w:tc>
      </w:tr>
      <w:tr w:rsidR="00DD07AD" w:rsidRPr="00DD07AD" w14:paraId="2FF9540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8C656B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BF9529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AC57803100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1655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Roty</w:t>
            </w:r>
            <w:proofErr w:type="spellEnd"/>
            <w:r w:rsidRPr="00DD07AD">
              <w:rPr>
                <w:rFonts w:ascii="標楷體" w:eastAsia="標楷體" w:hAnsi="標楷體" w:cs="新細明體" w:hint="eastAsia"/>
                <w:kern w:val="0"/>
                <w:sz w:val="22"/>
              </w:rPr>
              <w:t xml:space="preserve"> F.C. tablets 20mg</w:t>
            </w:r>
          </w:p>
        </w:tc>
      </w:tr>
      <w:tr w:rsidR="00DD07AD" w:rsidRPr="00DD07AD" w14:paraId="68BCDC6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B189A4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E48A6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BC24129100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EC37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Crestor 20mg film-coated tablets</w:t>
            </w:r>
          </w:p>
        </w:tc>
      </w:tr>
      <w:tr w:rsidR="00DD07AD" w:rsidRPr="00DD07AD" w14:paraId="40CF55F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061570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153A28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AB57940100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F9EE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Rosulator</w:t>
            </w:r>
            <w:proofErr w:type="spellEnd"/>
            <w:r w:rsidRPr="00DD07AD">
              <w:rPr>
                <w:rFonts w:ascii="標楷體" w:eastAsia="標楷體" w:hAnsi="標楷體" w:cs="新細明體" w:hint="eastAsia"/>
                <w:kern w:val="0"/>
                <w:sz w:val="22"/>
              </w:rPr>
              <w:t xml:space="preserve"> F.C. tablets 10mg "S.C."</w:t>
            </w:r>
          </w:p>
        </w:tc>
      </w:tr>
      <w:tr w:rsidR="00DD07AD" w:rsidRPr="00DD07AD" w14:paraId="0B0FDF5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D22977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31A625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BC26543100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A71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Alvostat</w:t>
            </w:r>
            <w:proofErr w:type="spellEnd"/>
            <w:r w:rsidRPr="00DD07AD">
              <w:rPr>
                <w:rFonts w:ascii="標楷體" w:eastAsia="標楷體" w:hAnsi="標楷體" w:cs="新細明體" w:hint="eastAsia"/>
                <w:kern w:val="0"/>
                <w:sz w:val="22"/>
              </w:rPr>
              <w:t xml:space="preserve"> film coated tablets 10mg</w:t>
            </w:r>
          </w:p>
        </w:tc>
      </w:tr>
      <w:tr w:rsidR="00DD07AD" w:rsidRPr="00DD07AD" w14:paraId="0134646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AF7910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683888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AC59266100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91B2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Rostatin</w:t>
            </w:r>
            <w:proofErr w:type="spellEnd"/>
            <w:r w:rsidRPr="00DD07AD">
              <w:rPr>
                <w:rFonts w:ascii="標楷體" w:eastAsia="標楷體" w:hAnsi="標楷體" w:cs="新細明體" w:hint="eastAsia"/>
                <w:kern w:val="0"/>
                <w:sz w:val="22"/>
              </w:rPr>
              <w:t xml:space="preserve"> F.C. tablets 5mg "Standard"</w:t>
            </w:r>
          </w:p>
        </w:tc>
      </w:tr>
      <w:tr w:rsidR="00DD07AD" w:rsidRPr="00DD07AD" w14:paraId="42B2290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1FD130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4D0735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AC58282100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6074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Rostatin</w:t>
            </w:r>
            <w:proofErr w:type="spellEnd"/>
            <w:r w:rsidRPr="00DD07AD">
              <w:rPr>
                <w:rFonts w:ascii="標楷體" w:eastAsia="標楷體" w:hAnsi="標楷體" w:cs="新細明體" w:hint="eastAsia"/>
                <w:kern w:val="0"/>
                <w:sz w:val="22"/>
              </w:rPr>
              <w:t xml:space="preserve"> F.C. tablets 10mg "Standard"</w:t>
            </w:r>
          </w:p>
        </w:tc>
      </w:tr>
      <w:tr w:rsidR="00DD07AD" w:rsidRPr="00DD07AD" w14:paraId="7D1E489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7DBC8B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5B07EB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AC58384100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9B83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w:t>
            </w:r>
            <w:proofErr w:type="spellEnd"/>
            <w:r w:rsidRPr="00DD07AD">
              <w:rPr>
                <w:rFonts w:ascii="標楷體" w:eastAsia="標楷體" w:hAnsi="標楷體" w:cs="新細明體" w:hint="eastAsia"/>
                <w:kern w:val="0"/>
                <w:sz w:val="22"/>
              </w:rPr>
              <w:t xml:space="preserve"> F.C. tablets 10mg</w:t>
            </w:r>
          </w:p>
        </w:tc>
      </w:tr>
      <w:tr w:rsidR="00DD07AD" w:rsidRPr="00DD07AD" w14:paraId="0BB6C1C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DD2A9F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5CE05C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AC57130100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04F8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Rotlip</w:t>
            </w:r>
            <w:proofErr w:type="spellEnd"/>
            <w:r w:rsidRPr="00DD07AD">
              <w:rPr>
                <w:rFonts w:ascii="標楷體" w:eastAsia="標楷體" w:hAnsi="標楷體" w:cs="新細明體" w:hint="eastAsia"/>
                <w:kern w:val="0"/>
                <w:sz w:val="22"/>
              </w:rPr>
              <w:t xml:space="preserve"> film-coated tablets 10mg</w:t>
            </w:r>
          </w:p>
        </w:tc>
      </w:tr>
      <w:tr w:rsidR="00DD07AD" w:rsidRPr="00DD07AD" w14:paraId="2E4E7B6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D34FF2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52D71C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AC59652100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2CDC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Rosulator</w:t>
            </w:r>
            <w:proofErr w:type="spellEnd"/>
            <w:r w:rsidRPr="00DD07AD">
              <w:rPr>
                <w:rFonts w:ascii="標楷體" w:eastAsia="標楷體" w:hAnsi="標楷體" w:cs="新細明體" w:hint="eastAsia"/>
                <w:kern w:val="0"/>
                <w:sz w:val="22"/>
              </w:rPr>
              <w:t xml:space="preserve"> F.C. tablets 5mg "S.C."</w:t>
            </w:r>
          </w:p>
        </w:tc>
      </w:tr>
      <w:tr w:rsidR="00DD07AD" w:rsidRPr="00DD07AD" w14:paraId="25CF9B3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3E10C5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BA32AF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AC57809100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50D6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Rolipostatin</w:t>
            </w:r>
            <w:proofErr w:type="spellEnd"/>
            <w:r w:rsidRPr="00DD07AD">
              <w:rPr>
                <w:rFonts w:ascii="標楷體" w:eastAsia="標楷體" w:hAnsi="標楷體" w:cs="新細明體" w:hint="eastAsia"/>
                <w:kern w:val="0"/>
                <w:sz w:val="22"/>
              </w:rPr>
              <w:t xml:space="preserve"> 10mg F.C. tablets "Macro"</w:t>
            </w:r>
          </w:p>
        </w:tc>
      </w:tr>
      <w:tr w:rsidR="00DD07AD" w:rsidRPr="00DD07AD" w14:paraId="2F69F03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883017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4DC4D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BC26900100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4101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Zyrova</w:t>
            </w:r>
            <w:proofErr w:type="spellEnd"/>
            <w:r w:rsidRPr="00DD07AD">
              <w:rPr>
                <w:rFonts w:ascii="標楷體" w:eastAsia="標楷體" w:hAnsi="標楷體" w:cs="新細明體" w:hint="eastAsia"/>
                <w:kern w:val="0"/>
                <w:sz w:val="22"/>
              </w:rPr>
              <w:t xml:space="preserve"> 20 (rosuvastatin tablets 20mg)</w:t>
            </w:r>
          </w:p>
        </w:tc>
      </w:tr>
      <w:tr w:rsidR="00DD07AD" w:rsidRPr="00DD07AD" w14:paraId="23BF9BE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E3127C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ECECC5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BC27782100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0F18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Zyrova</w:t>
            </w:r>
            <w:proofErr w:type="spellEnd"/>
            <w:r w:rsidRPr="00DD07AD">
              <w:rPr>
                <w:rFonts w:ascii="標楷體" w:eastAsia="標楷體" w:hAnsi="標楷體" w:cs="新細明體" w:hint="eastAsia"/>
                <w:kern w:val="0"/>
                <w:sz w:val="22"/>
              </w:rPr>
              <w:t xml:space="preserve"> 5 (rosuvastatin tablets 5mg)</w:t>
            </w:r>
          </w:p>
        </w:tc>
      </w:tr>
      <w:tr w:rsidR="00DD07AD" w:rsidRPr="00DD07AD" w14:paraId="45EFC4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8CD5D3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7DCE7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AC58969100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669A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Aladdin F.C. tablets 10mg</w:t>
            </w:r>
          </w:p>
        </w:tc>
      </w:tr>
      <w:tr w:rsidR="00DD07AD" w:rsidRPr="00DD07AD" w14:paraId="7A06B6E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A53EE0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0DF3AB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BC27781100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D475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Zyrova</w:t>
            </w:r>
            <w:proofErr w:type="spellEnd"/>
            <w:r w:rsidRPr="00DD07AD">
              <w:rPr>
                <w:rFonts w:ascii="標楷體" w:eastAsia="標楷體" w:hAnsi="標楷體" w:cs="新細明體" w:hint="eastAsia"/>
                <w:kern w:val="0"/>
                <w:sz w:val="22"/>
              </w:rPr>
              <w:t xml:space="preserve"> 10 (rosuvastatin tablets 10mg)</w:t>
            </w:r>
          </w:p>
        </w:tc>
      </w:tr>
      <w:tr w:rsidR="00DD07AD" w:rsidRPr="00DD07AD" w14:paraId="0280F23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A3EE7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2006C1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FFAB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Rosutor</w:t>
            </w:r>
            <w:proofErr w:type="spellEnd"/>
            <w:r w:rsidRPr="00DD07AD">
              <w:rPr>
                <w:rFonts w:ascii="標楷體" w:eastAsia="標楷體" w:hAnsi="標楷體" w:cs="新細明體" w:hint="eastAsia"/>
                <w:kern w:val="0"/>
                <w:sz w:val="22"/>
              </w:rPr>
              <w:t xml:space="preserve"> film-coated tablets 10mg</w:t>
            </w:r>
          </w:p>
        </w:tc>
      </w:tr>
      <w:tr w:rsidR="00DD07AD" w:rsidRPr="00DD07AD" w14:paraId="4AFF94A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7D96F1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B86AA6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BC26544100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4305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Alvostat</w:t>
            </w:r>
            <w:proofErr w:type="spellEnd"/>
            <w:r w:rsidRPr="00DD07AD">
              <w:rPr>
                <w:rFonts w:ascii="標楷體" w:eastAsia="標楷體" w:hAnsi="標楷體" w:cs="新細明體" w:hint="eastAsia"/>
                <w:kern w:val="0"/>
                <w:sz w:val="22"/>
              </w:rPr>
              <w:t xml:space="preserve"> film coated tablets 20mg</w:t>
            </w:r>
          </w:p>
        </w:tc>
      </w:tr>
      <w:tr w:rsidR="00DD07AD" w:rsidRPr="00DD07AD" w14:paraId="733637F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9F5DD9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842184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AC60114100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97D3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Rosutor</w:t>
            </w:r>
            <w:proofErr w:type="spellEnd"/>
            <w:r w:rsidRPr="00DD07AD">
              <w:rPr>
                <w:rFonts w:ascii="標楷體" w:eastAsia="標楷體" w:hAnsi="標楷體" w:cs="新細明體" w:hint="eastAsia"/>
                <w:kern w:val="0"/>
                <w:sz w:val="22"/>
              </w:rPr>
              <w:t xml:space="preserve"> film-coated tablets 5mg</w:t>
            </w:r>
          </w:p>
        </w:tc>
      </w:tr>
      <w:tr w:rsidR="00DD07AD" w:rsidRPr="00DD07AD" w14:paraId="0D2BFCC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20D0DE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DAA8B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AC59649100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63F0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Rosulip</w:t>
            </w:r>
            <w:proofErr w:type="spellEnd"/>
            <w:r w:rsidRPr="00DD07AD">
              <w:rPr>
                <w:rFonts w:ascii="標楷體" w:eastAsia="標楷體" w:hAnsi="標楷體" w:cs="新細明體" w:hint="eastAsia"/>
                <w:kern w:val="0"/>
                <w:sz w:val="22"/>
              </w:rPr>
              <w:t xml:space="preserve"> F.C. tablets 5mg C.H.</w:t>
            </w:r>
          </w:p>
        </w:tc>
      </w:tr>
      <w:tr w:rsidR="00DD07AD" w:rsidRPr="00DD07AD" w14:paraId="3E5758C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B8C477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F9E616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AC58270100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C20E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Crosuty</w:t>
            </w:r>
            <w:proofErr w:type="spellEnd"/>
            <w:r w:rsidRPr="00DD07AD">
              <w:rPr>
                <w:rFonts w:ascii="標楷體" w:eastAsia="標楷體" w:hAnsi="標楷體" w:cs="新細明體" w:hint="eastAsia"/>
                <w:kern w:val="0"/>
                <w:sz w:val="22"/>
              </w:rPr>
              <w:t xml:space="preserve"> F.C. tablets 10mg</w:t>
            </w:r>
          </w:p>
        </w:tc>
      </w:tr>
      <w:tr w:rsidR="00DD07AD" w:rsidRPr="00DD07AD" w14:paraId="15E44EA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7F64EF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F40572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AC58622100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C9C4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Rotlip</w:t>
            </w:r>
            <w:proofErr w:type="spellEnd"/>
            <w:r w:rsidRPr="00DD07AD">
              <w:rPr>
                <w:rFonts w:ascii="標楷體" w:eastAsia="標楷體" w:hAnsi="標楷體" w:cs="新細明體" w:hint="eastAsia"/>
                <w:kern w:val="0"/>
                <w:sz w:val="22"/>
              </w:rPr>
              <w:t xml:space="preserve"> film-coated tablets 5mg</w:t>
            </w:r>
          </w:p>
        </w:tc>
      </w:tr>
      <w:tr w:rsidR="00DD07AD" w:rsidRPr="00DD07AD" w14:paraId="4BFCF22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2A9FDA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E742D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AC58098100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1600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Crosuty</w:t>
            </w:r>
            <w:proofErr w:type="spellEnd"/>
            <w:r w:rsidRPr="00DD07AD">
              <w:rPr>
                <w:rFonts w:ascii="標楷體" w:eastAsia="標楷體" w:hAnsi="標楷體" w:cs="新細明體" w:hint="eastAsia"/>
                <w:kern w:val="0"/>
                <w:sz w:val="22"/>
              </w:rPr>
              <w:t xml:space="preserve"> F.C. tablets 5mg</w:t>
            </w:r>
          </w:p>
        </w:tc>
      </w:tr>
      <w:tr w:rsidR="00DD07AD" w:rsidRPr="00DD07AD" w14:paraId="1F462DB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1E3DD8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DB63F7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AC60197100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D6D4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Rosutor</w:t>
            </w:r>
            <w:proofErr w:type="spellEnd"/>
            <w:r w:rsidRPr="00DD07AD">
              <w:rPr>
                <w:rFonts w:ascii="標楷體" w:eastAsia="標楷體" w:hAnsi="標楷體" w:cs="新細明體" w:hint="eastAsia"/>
                <w:kern w:val="0"/>
                <w:sz w:val="22"/>
              </w:rPr>
              <w:t xml:space="preserve"> film-coated tablets 20mg</w:t>
            </w:r>
          </w:p>
        </w:tc>
      </w:tr>
      <w:tr w:rsidR="00DD07AD" w:rsidRPr="00DD07AD" w14:paraId="2A6B149C"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46EB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pitavastatin</w:t>
            </w:r>
            <w:proofErr w:type="spellEnd"/>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C27526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BC25350100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0BB3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Livalo</w:t>
            </w:r>
            <w:proofErr w:type="spellEnd"/>
            <w:r w:rsidRPr="00DD07AD">
              <w:rPr>
                <w:rFonts w:ascii="標楷體" w:eastAsia="標楷體" w:hAnsi="標楷體" w:cs="新細明體" w:hint="eastAsia"/>
                <w:kern w:val="0"/>
                <w:sz w:val="22"/>
              </w:rPr>
              <w:t xml:space="preserve"> tablets 2mg</w:t>
            </w:r>
          </w:p>
        </w:tc>
      </w:tr>
      <w:tr w:rsidR="00DD07AD" w:rsidRPr="00DD07AD" w14:paraId="0B9A7A3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902603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B32ED8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AA58648100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E7CE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Pitarty</w:t>
            </w:r>
            <w:proofErr w:type="spellEnd"/>
            <w:r w:rsidRPr="00DD07AD">
              <w:rPr>
                <w:rFonts w:ascii="標楷體" w:eastAsia="標楷體" w:hAnsi="標楷體" w:cs="新細明體" w:hint="eastAsia"/>
                <w:kern w:val="0"/>
                <w:sz w:val="22"/>
              </w:rPr>
              <w:t xml:space="preserve"> F.C. tablets 2mg</w:t>
            </w:r>
          </w:p>
        </w:tc>
      </w:tr>
      <w:tr w:rsidR="00DD07AD" w:rsidRPr="00DD07AD" w14:paraId="03F2163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0506B9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83BB21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BC27002100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B94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Livalo</w:t>
            </w:r>
            <w:proofErr w:type="spellEnd"/>
            <w:r w:rsidRPr="00DD07AD">
              <w:rPr>
                <w:rFonts w:ascii="標楷體" w:eastAsia="標楷體" w:hAnsi="標楷體" w:cs="新細明體" w:hint="eastAsia"/>
                <w:kern w:val="0"/>
                <w:sz w:val="22"/>
              </w:rPr>
              <w:t xml:space="preserve"> OD tablets 2mg</w:t>
            </w:r>
          </w:p>
        </w:tc>
      </w:tr>
      <w:tr w:rsidR="00DD07AD" w:rsidRPr="00DD07AD" w14:paraId="4FC510D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94B367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576329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AC58526100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F113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Pitastatin</w:t>
            </w:r>
            <w:proofErr w:type="spellEnd"/>
            <w:r w:rsidRPr="00DD07AD">
              <w:rPr>
                <w:rFonts w:ascii="標楷體" w:eastAsia="標楷體" w:hAnsi="標楷體" w:cs="新細明體" w:hint="eastAsia"/>
                <w:kern w:val="0"/>
                <w:sz w:val="22"/>
              </w:rPr>
              <w:t xml:space="preserve"> F.C. tablets 2mg</w:t>
            </w:r>
          </w:p>
        </w:tc>
      </w:tr>
      <w:tr w:rsidR="00DD07AD" w:rsidRPr="00DD07AD" w14:paraId="6B53CDE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6243DC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763F4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AC58633100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5BBD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Pitarty</w:t>
            </w:r>
            <w:proofErr w:type="spellEnd"/>
            <w:r w:rsidRPr="00DD07AD">
              <w:rPr>
                <w:rFonts w:ascii="標楷體" w:eastAsia="標楷體" w:hAnsi="標楷體" w:cs="新細明體" w:hint="eastAsia"/>
                <w:kern w:val="0"/>
                <w:sz w:val="22"/>
              </w:rPr>
              <w:t xml:space="preserve"> F.C. tablets 4mg</w:t>
            </w:r>
          </w:p>
        </w:tc>
      </w:tr>
      <w:tr w:rsidR="00DD07AD" w:rsidRPr="00DD07AD" w14:paraId="1FF3F1E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90F8DA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4BA456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AC58525100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5D6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Pitastatin</w:t>
            </w:r>
            <w:proofErr w:type="spellEnd"/>
            <w:r w:rsidRPr="00DD07AD">
              <w:rPr>
                <w:rFonts w:ascii="標楷體" w:eastAsia="標楷體" w:hAnsi="標楷體" w:cs="新細明體" w:hint="eastAsia"/>
                <w:kern w:val="0"/>
                <w:sz w:val="22"/>
              </w:rPr>
              <w:t xml:space="preserve"> F.C. tablets 4mg</w:t>
            </w:r>
          </w:p>
        </w:tc>
      </w:tr>
      <w:tr w:rsidR="00DD07AD" w:rsidRPr="00DD07AD" w14:paraId="1CC5E05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C92E1F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9F36E1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AC59398100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2319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Pivas F.C. tablets 2mg</w:t>
            </w:r>
          </w:p>
        </w:tc>
      </w:tr>
      <w:tr w:rsidR="00DD07AD" w:rsidRPr="00DD07AD" w14:paraId="3A53E76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3BA1E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0BED4E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AC59192100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ADF4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Pitanxo</w:t>
            </w:r>
            <w:proofErr w:type="spellEnd"/>
            <w:r w:rsidRPr="00DD07AD">
              <w:rPr>
                <w:rFonts w:ascii="標楷體" w:eastAsia="標楷體" w:hAnsi="標楷體" w:cs="新細明體" w:hint="eastAsia"/>
                <w:kern w:val="0"/>
                <w:sz w:val="22"/>
              </w:rPr>
              <w:t xml:space="preserve"> F.C. tablets 4mg</w:t>
            </w:r>
          </w:p>
        </w:tc>
      </w:tr>
      <w:tr w:rsidR="00DD07AD" w:rsidRPr="00DD07AD" w14:paraId="52DF5F6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FE14C7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1407FD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AC60561100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58E4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 xml:space="preserve">"EVEREST" </w:t>
            </w:r>
            <w:proofErr w:type="spellStart"/>
            <w:r w:rsidRPr="00DD07AD">
              <w:rPr>
                <w:rFonts w:ascii="標楷體" w:eastAsia="標楷體" w:hAnsi="標楷體" w:cs="新細明體" w:hint="eastAsia"/>
                <w:kern w:val="0"/>
                <w:sz w:val="22"/>
              </w:rPr>
              <w:t>Huiton</w:t>
            </w:r>
            <w:proofErr w:type="spellEnd"/>
            <w:r w:rsidRPr="00DD07AD">
              <w:rPr>
                <w:rFonts w:ascii="標楷體" w:eastAsia="標楷體" w:hAnsi="標楷體" w:cs="新細明體" w:hint="eastAsia"/>
                <w:kern w:val="0"/>
                <w:sz w:val="22"/>
              </w:rPr>
              <w:t xml:space="preserve"> F.C. tablets 2mg</w:t>
            </w:r>
          </w:p>
        </w:tc>
      </w:tr>
      <w:tr w:rsidR="00DD07AD" w:rsidRPr="00DD07AD" w14:paraId="2163398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E5CD68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A9FC60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AC61795100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CB6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Pistatin</w:t>
            </w:r>
            <w:proofErr w:type="spellEnd"/>
            <w:r w:rsidRPr="00DD07AD">
              <w:rPr>
                <w:rFonts w:ascii="標楷體" w:eastAsia="標楷體" w:hAnsi="標楷體" w:cs="新細明體" w:hint="eastAsia"/>
                <w:kern w:val="0"/>
                <w:sz w:val="22"/>
              </w:rPr>
              <w:t xml:space="preserve"> F.C. tablets 2mg</w:t>
            </w:r>
          </w:p>
        </w:tc>
      </w:tr>
      <w:tr w:rsidR="00DD07AD" w:rsidRPr="00DD07AD" w14:paraId="2E1EF58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6A28BF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4E15F9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AC58078100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D3FA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Pitavol</w:t>
            </w:r>
            <w:proofErr w:type="spellEnd"/>
            <w:r w:rsidRPr="00DD07AD">
              <w:rPr>
                <w:rFonts w:ascii="標楷體" w:eastAsia="標楷體" w:hAnsi="標楷體" w:cs="新細明體" w:hint="eastAsia"/>
                <w:kern w:val="0"/>
                <w:sz w:val="22"/>
              </w:rPr>
              <w:t xml:space="preserve"> </w:t>
            </w:r>
            <w:proofErr w:type="spellStart"/>
            <w:r w:rsidRPr="00DD07AD">
              <w:rPr>
                <w:rFonts w:ascii="標楷體" w:eastAsia="標楷體" w:hAnsi="標楷體" w:cs="新細明體" w:hint="eastAsia"/>
                <w:kern w:val="0"/>
                <w:sz w:val="22"/>
              </w:rPr>
              <w:t>F.</w:t>
            </w:r>
            <w:proofErr w:type="gramStart"/>
            <w:r w:rsidRPr="00DD07AD">
              <w:rPr>
                <w:rFonts w:ascii="標楷體" w:eastAsia="標楷體" w:hAnsi="標楷體" w:cs="新細明體" w:hint="eastAsia"/>
                <w:kern w:val="0"/>
                <w:sz w:val="22"/>
              </w:rPr>
              <w:t>C.tablets</w:t>
            </w:r>
            <w:proofErr w:type="spellEnd"/>
            <w:proofErr w:type="gramEnd"/>
            <w:r w:rsidRPr="00DD07AD">
              <w:rPr>
                <w:rFonts w:ascii="標楷體" w:eastAsia="標楷體" w:hAnsi="標楷體" w:cs="新細明體" w:hint="eastAsia"/>
                <w:kern w:val="0"/>
                <w:sz w:val="22"/>
              </w:rPr>
              <w:t xml:space="preserve"> 2mg</w:t>
            </w:r>
          </w:p>
        </w:tc>
      </w:tr>
      <w:tr w:rsidR="00DD07AD" w:rsidRPr="00DD07AD" w14:paraId="4403887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4BE276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DFAF28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AC60174100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65FB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Pitavastatin</w:t>
            </w:r>
            <w:proofErr w:type="spellEnd"/>
            <w:r w:rsidRPr="00DD07AD">
              <w:rPr>
                <w:rFonts w:ascii="標楷體" w:eastAsia="標楷體" w:hAnsi="標楷體" w:cs="新細明體" w:hint="eastAsia"/>
                <w:kern w:val="0"/>
                <w:sz w:val="22"/>
              </w:rPr>
              <w:t xml:space="preserve"> F.C. tablets 2mg "CYH"</w:t>
            </w:r>
          </w:p>
        </w:tc>
      </w:tr>
      <w:tr w:rsidR="00DD07AD" w:rsidRPr="00DD07AD" w14:paraId="559CC70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696F68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87D575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AC59193100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C6F7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Pitanxo</w:t>
            </w:r>
            <w:proofErr w:type="spellEnd"/>
            <w:r w:rsidRPr="00DD07AD">
              <w:rPr>
                <w:rFonts w:ascii="標楷體" w:eastAsia="標楷體" w:hAnsi="標楷體" w:cs="新細明體" w:hint="eastAsia"/>
                <w:kern w:val="0"/>
                <w:sz w:val="22"/>
              </w:rPr>
              <w:t xml:space="preserve"> F.C. tablets 2mg</w:t>
            </w:r>
          </w:p>
        </w:tc>
      </w:tr>
      <w:tr w:rsidR="00DD07AD" w:rsidRPr="00DD07AD" w14:paraId="48D35EA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A8C243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D5565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AC60290100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1E03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Lavitol</w:t>
            </w:r>
            <w:proofErr w:type="spellEnd"/>
            <w:r w:rsidRPr="00DD07AD">
              <w:rPr>
                <w:rFonts w:ascii="標楷體" w:eastAsia="標楷體" w:hAnsi="標楷體" w:cs="新細明體" w:hint="eastAsia"/>
                <w:kern w:val="0"/>
                <w:sz w:val="22"/>
              </w:rPr>
              <w:t xml:space="preserve"> film coated tablets 4mg</w:t>
            </w:r>
          </w:p>
        </w:tc>
      </w:tr>
      <w:tr w:rsidR="00DD07AD" w:rsidRPr="00DD07AD" w14:paraId="70661B21" w14:textId="77777777" w:rsidTr="00DD07AD">
        <w:tc>
          <w:tcPr>
            <w:tcW w:w="1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2B06A" w14:textId="77777777" w:rsidR="00DD07AD" w:rsidRPr="00DD07AD" w:rsidRDefault="00DD07AD" w:rsidP="00DD07AD">
            <w:pPr>
              <w:spacing w:line="300" w:lineRule="exact"/>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pravastatin及fenofibrate複方</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696BD2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BC26169100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287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Pravafen</w:t>
            </w:r>
            <w:proofErr w:type="spellEnd"/>
            <w:r w:rsidRPr="00DD07AD">
              <w:rPr>
                <w:rFonts w:ascii="標楷體" w:eastAsia="標楷體" w:hAnsi="標楷體" w:cs="新細明體" w:hint="eastAsia"/>
                <w:kern w:val="0"/>
                <w:sz w:val="22"/>
              </w:rPr>
              <w:t xml:space="preserve"> 40mg/160mg hard capsules</w:t>
            </w:r>
          </w:p>
        </w:tc>
      </w:tr>
      <w:tr w:rsidR="00DD07AD" w:rsidRPr="00DD07AD" w14:paraId="7BA3FC54"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BB8A7" w14:textId="77777777" w:rsidR="00DD07AD" w:rsidRPr="00DD07AD" w:rsidRDefault="00DD07AD" w:rsidP="00DD07AD">
            <w:pPr>
              <w:spacing w:line="300" w:lineRule="exact"/>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atorvastatin及amlodipine複方</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057954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BC24392100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721A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Caduet</w:t>
            </w:r>
            <w:proofErr w:type="spellEnd"/>
            <w:r w:rsidRPr="00DD07AD">
              <w:rPr>
                <w:rFonts w:ascii="標楷體" w:eastAsia="標楷體" w:hAnsi="標楷體" w:cs="新細明體" w:hint="eastAsia"/>
                <w:kern w:val="0"/>
                <w:sz w:val="22"/>
              </w:rPr>
              <w:t xml:space="preserve"> 5mg/20mg tablet</w:t>
            </w:r>
          </w:p>
        </w:tc>
      </w:tr>
      <w:tr w:rsidR="00DD07AD" w:rsidRPr="00DD07AD" w14:paraId="324BB82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D1426D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922D78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BC24391100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4271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Caduet</w:t>
            </w:r>
            <w:proofErr w:type="spellEnd"/>
            <w:r w:rsidRPr="00DD07AD">
              <w:rPr>
                <w:rFonts w:ascii="標楷體" w:eastAsia="標楷體" w:hAnsi="標楷體" w:cs="新細明體" w:hint="eastAsia"/>
                <w:kern w:val="0"/>
                <w:sz w:val="22"/>
              </w:rPr>
              <w:t xml:space="preserve"> 5mg/10mg tablet</w:t>
            </w:r>
          </w:p>
        </w:tc>
      </w:tr>
      <w:tr w:rsidR="00DD07AD" w:rsidRPr="00DD07AD" w14:paraId="2121C5C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DE394B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ECC27D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AC59887100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0246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Dualpress</w:t>
            </w:r>
            <w:proofErr w:type="spellEnd"/>
            <w:r w:rsidRPr="00DD07AD">
              <w:rPr>
                <w:rFonts w:ascii="標楷體" w:eastAsia="標楷體" w:hAnsi="標楷體" w:cs="新細明體" w:hint="eastAsia"/>
                <w:kern w:val="0"/>
                <w:sz w:val="22"/>
              </w:rPr>
              <w:t xml:space="preserve"> F.C. tablets 5mg/10mg</w:t>
            </w:r>
          </w:p>
        </w:tc>
      </w:tr>
      <w:tr w:rsidR="00DD07AD" w:rsidRPr="00DD07AD" w14:paraId="30CC975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7AD6A3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2D1852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AC60836100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EA8B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Dualpress</w:t>
            </w:r>
            <w:proofErr w:type="spellEnd"/>
            <w:r w:rsidRPr="00DD07AD">
              <w:rPr>
                <w:rFonts w:ascii="標楷體" w:eastAsia="標楷體" w:hAnsi="標楷體" w:cs="新細明體" w:hint="eastAsia"/>
                <w:kern w:val="0"/>
                <w:sz w:val="22"/>
              </w:rPr>
              <w:t xml:space="preserve"> F.C. tablets 5mg/20mg</w:t>
            </w:r>
          </w:p>
        </w:tc>
      </w:tr>
    </w:tbl>
    <w:p w14:paraId="33D659B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13D9AE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736C515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1D78F35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41AF7D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59A2BA49"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52D171CA"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807221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54B449D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381836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3A9A555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DC8C56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A4A796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062054F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168347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sectPr w:rsidR="00DD07AD" w:rsidRPr="00DD07AD" w:rsidSect="00DD07AD">
          <w:headerReference w:type="default" r:id="rId8"/>
          <w:pgSz w:w="11906" w:h="16838"/>
          <w:pgMar w:top="1134" w:right="1134" w:bottom="1134" w:left="1134" w:header="851" w:footer="992" w:gutter="0"/>
          <w:cols w:space="720"/>
          <w:docGrid w:type="lines" w:linePitch="360"/>
        </w:sectPr>
      </w:pPr>
    </w:p>
    <w:p w14:paraId="35B17D91" w14:textId="514A1B1B"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全民健康保險降膽固醇藥物給付規定表</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：(115/9/1)</w:t>
      </w:r>
    </w:p>
    <w:tbl>
      <w:tblPr>
        <w:tblW w:w="14601" w:type="dxa"/>
        <w:tblInd w:w="-5" w:type="dxa"/>
        <w:tblCellMar>
          <w:left w:w="10" w:type="dxa"/>
          <w:right w:w="10" w:type="dxa"/>
        </w:tblCellMar>
        <w:tblLook w:val="04A0" w:firstRow="1" w:lastRow="0" w:firstColumn="1" w:lastColumn="0" w:noHBand="0" w:noVBand="1"/>
      </w:tblPr>
      <w:tblGrid>
        <w:gridCol w:w="1560"/>
        <w:gridCol w:w="1984"/>
        <w:gridCol w:w="2268"/>
        <w:gridCol w:w="2835"/>
        <w:gridCol w:w="5954"/>
      </w:tblGrid>
      <w:tr w:rsidR="00DD07AD" w:rsidRPr="00DD07AD" w14:paraId="466FA6F1" w14:textId="77777777" w:rsidTr="00F179D0">
        <w:trPr>
          <w:trHeight w:val="182"/>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AF053"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ASCVD</w:t>
            </w:r>
          </w:p>
          <w:p w14:paraId="0B529964"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風險等級</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340E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6DEB3C"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起始藥物治療</w:t>
            </w:r>
          </w:p>
          <w:p w14:paraId="34E62674" w14:textId="77777777" w:rsidR="00DD07AD" w:rsidRPr="00DD07AD" w:rsidRDefault="00DD07AD" w:rsidP="00DD07AD">
            <w:pPr>
              <w:spacing w:line="300" w:lineRule="exact"/>
              <w:textAlignment w:val="auto"/>
              <w:rPr>
                <w:rFonts w:ascii="標楷體" w:eastAsia="標楷體" w:hAnsi="標楷體" w:cs="新細明體"/>
                <w:kern w:val="0"/>
                <w:szCs w:val="28"/>
              </w:rPr>
            </w:pPr>
            <w:proofErr w:type="gramStart"/>
            <w:r w:rsidRPr="00DD07AD">
              <w:rPr>
                <w:rFonts w:ascii="標楷體" w:eastAsia="標楷體" w:hAnsi="標楷體" w:cs="新細明體" w:hint="eastAsia"/>
                <w:kern w:val="0"/>
                <w:szCs w:val="28"/>
              </w:rPr>
              <w:t>血脂值</w:t>
            </w:r>
            <w:proofErr w:type="gramEnd"/>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DF8D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主要/（次要）</w:t>
            </w:r>
          </w:p>
          <w:p w14:paraId="3C1F7179"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血脂目標值</w:t>
            </w:r>
          </w:p>
        </w:tc>
        <w:tc>
          <w:tcPr>
            <w:tcW w:w="5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0F91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處方規定</w:t>
            </w:r>
          </w:p>
        </w:tc>
      </w:tr>
      <w:tr w:rsidR="00DD07AD" w:rsidRPr="00DD07AD" w14:paraId="333A8738" w14:textId="77777777" w:rsidTr="00F179D0">
        <w:trPr>
          <w:trHeight w:val="570"/>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4340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極高風險</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BFD0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處置各項可改善心血管風險因子與藥物治療並行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5E5C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55</w:t>
            </w:r>
            <w:r w:rsidRPr="00DD07AD">
              <w:rPr>
                <w:rFonts w:ascii="標楷體" w:eastAsia="標楷體" w:hAnsi="標楷體" w:cs="新細明體" w:hint="eastAsia"/>
                <w:kern w:val="0"/>
                <w:szCs w:val="28"/>
              </w:rPr>
              <w:t xml:space="preserve">mg/dL </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C078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LDL-C&lt;55mg/dL(non-HDL-C&lt;85mg/dL)</w:t>
            </w:r>
          </w:p>
        </w:tc>
        <w:tc>
          <w:tcPr>
            <w:tcW w:w="59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903B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極高、非常高風險：</w:t>
            </w:r>
          </w:p>
          <w:p w14:paraId="4271004A"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一、起始治療：依據基線</w:t>
            </w:r>
            <w:proofErr w:type="gramStart"/>
            <w:r w:rsidRPr="00DD07AD">
              <w:rPr>
                <w:rFonts w:ascii="標楷體" w:eastAsia="標楷體" w:hAnsi="標楷體" w:cs="新細明體" w:hint="eastAsia"/>
                <w:kern w:val="0"/>
                <w:szCs w:val="28"/>
              </w:rPr>
              <w:t>血脂值</w:t>
            </w:r>
            <w:proofErr w:type="gramEnd"/>
            <w:r w:rsidRPr="00DD07AD">
              <w:rPr>
                <w:rFonts w:ascii="標楷體" w:eastAsia="標楷體" w:hAnsi="標楷體" w:cs="新細明體" w:hint="eastAsia"/>
                <w:kern w:val="0"/>
                <w:szCs w:val="28"/>
              </w:rPr>
              <w:t>、用藥史和臨床狀況，給予中至高強度statin或合併ezetimibe。</w:t>
            </w:r>
          </w:p>
          <w:p w14:paraId="0424EB2E"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二、經起始治療6~8</w:t>
            </w:r>
            <w:proofErr w:type="gramStart"/>
            <w:r w:rsidRPr="00DD07AD">
              <w:rPr>
                <w:rFonts w:ascii="標楷體" w:eastAsia="標楷體" w:hAnsi="標楷體" w:cs="新細明體" w:hint="eastAsia"/>
                <w:kern w:val="0"/>
                <w:szCs w:val="28"/>
              </w:rPr>
              <w:t>週</w:t>
            </w:r>
            <w:proofErr w:type="gramEnd"/>
            <w:r w:rsidRPr="00DD07AD">
              <w:rPr>
                <w:rFonts w:ascii="標楷體" w:eastAsia="標楷體" w:hAnsi="標楷體" w:cs="新細明體" w:hint="eastAsia"/>
                <w:kern w:val="0"/>
                <w:szCs w:val="28"/>
              </w:rPr>
              <w:t>後，檢測血脂指標，如治療達標，則維持治療，並應每6個月追蹤血脂指標；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未達標，檢視服藥狀況，並考慮調整至高強度statin或最大耐受statin劑量，同時考慮合併non-statin治療，包含：ezetimibe、PCSK9單株抗體、siRNA、ATP citrate lyase抑制劑。</w:t>
            </w:r>
          </w:p>
          <w:p w14:paraId="175F0474"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三、更動治療1~3個月內需追蹤</w:t>
            </w:r>
            <w:proofErr w:type="gramStart"/>
            <w:r w:rsidRPr="00DD07AD">
              <w:rPr>
                <w:rFonts w:ascii="標楷體" w:eastAsia="標楷體" w:hAnsi="標楷體" w:cs="新細明體" w:hint="eastAsia"/>
                <w:kern w:val="0"/>
                <w:szCs w:val="28"/>
              </w:rPr>
              <w:t>血脂值是否</w:t>
            </w:r>
            <w:proofErr w:type="gramEnd"/>
            <w:r w:rsidRPr="00DD07AD">
              <w:rPr>
                <w:rFonts w:ascii="標楷體" w:eastAsia="標楷體" w:hAnsi="標楷體" w:cs="新細明體" w:hint="eastAsia"/>
                <w:kern w:val="0"/>
                <w:szCs w:val="28"/>
              </w:rPr>
              <w:t>達標，如治療達標，則維持治療，並應每6個月追蹤血脂指標；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未達標，檢視服藥狀況，並考慮調整藥物組合。</w:t>
            </w:r>
          </w:p>
        </w:tc>
      </w:tr>
      <w:tr w:rsidR="00DD07AD" w:rsidRPr="00DD07AD" w14:paraId="40DBB3AE" w14:textId="77777777" w:rsidTr="00F179D0">
        <w:trPr>
          <w:trHeight w:val="191"/>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24835"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非常高風險</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79036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5553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70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24EE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LDL-C&lt;70mg/dL(non-HDL-C&lt;100mg/dL)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6239075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5CD4A240" w14:textId="77777777" w:rsidTr="00F179D0">
        <w:trPr>
          <w:trHeight w:val="424"/>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8E59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高風險</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CA15A"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生活型態改變與藥物治療並行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6EF2F"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100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2B0B9"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LDL-C&lt;100mg/dL(non-HDL-C&lt;130mg/dL)</w:t>
            </w:r>
          </w:p>
        </w:tc>
        <w:tc>
          <w:tcPr>
            <w:tcW w:w="59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26A1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高風險：</w:t>
            </w:r>
          </w:p>
          <w:p w14:paraId="431D0019"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一、起始治療：依據基線</w:t>
            </w:r>
            <w:proofErr w:type="gramStart"/>
            <w:r w:rsidRPr="00DD07AD">
              <w:rPr>
                <w:rFonts w:ascii="標楷體" w:eastAsia="標楷體" w:hAnsi="標楷體" w:cs="新細明體" w:hint="eastAsia"/>
                <w:kern w:val="0"/>
                <w:szCs w:val="28"/>
              </w:rPr>
              <w:t>血脂值與</w:t>
            </w:r>
            <w:proofErr w:type="gramEnd"/>
            <w:r w:rsidRPr="00DD07AD">
              <w:rPr>
                <w:rFonts w:ascii="標楷體" w:eastAsia="標楷體" w:hAnsi="標楷體" w:cs="新細明體" w:hint="eastAsia"/>
                <w:kern w:val="0"/>
                <w:szCs w:val="28"/>
              </w:rPr>
              <w:t>臨床狀況，給予中至高強度statin或合併ezetimibe；同時進行生活型態改變。</w:t>
            </w:r>
          </w:p>
          <w:p w14:paraId="4A999B2B"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二、經起始治療6~8</w:t>
            </w:r>
            <w:proofErr w:type="gramStart"/>
            <w:r w:rsidRPr="00DD07AD">
              <w:rPr>
                <w:rFonts w:ascii="標楷體" w:eastAsia="標楷體" w:hAnsi="標楷體" w:cs="新細明體" w:hint="eastAsia"/>
                <w:kern w:val="0"/>
                <w:szCs w:val="28"/>
              </w:rPr>
              <w:t>週</w:t>
            </w:r>
            <w:proofErr w:type="gramEnd"/>
            <w:r w:rsidRPr="00DD07AD">
              <w:rPr>
                <w:rFonts w:ascii="標楷體" w:eastAsia="標楷體" w:hAnsi="標楷體" w:cs="新細明體" w:hint="eastAsia"/>
                <w:kern w:val="0"/>
                <w:szCs w:val="28"/>
              </w:rPr>
              <w:t>後，檢測血脂指標，如治療達標，則維持治療，並應每6個月追蹤血脂指標；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未達標，檢視服藥狀況，並考慮使用高強度statin或最大耐受statin劑量或同時合併non-statin治療，包含：ezetimibe、PCSK9單株抗體、siRNA、ATP citrate lyase抑制劑。</w:t>
            </w:r>
          </w:p>
          <w:p w14:paraId="01E2A388"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三、更動治療1~3個月內需追蹤</w:t>
            </w:r>
            <w:proofErr w:type="gramStart"/>
            <w:r w:rsidRPr="00DD07AD">
              <w:rPr>
                <w:rFonts w:ascii="標楷體" w:eastAsia="標楷體" w:hAnsi="標楷體" w:cs="新細明體" w:hint="eastAsia"/>
                <w:kern w:val="0"/>
                <w:szCs w:val="28"/>
              </w:rPr>
              <w:t>血脂值是否</w:t>
            </w:r>
            <w:proofErr w:type="gramEnd"/>
            <w:r w:rsidRPr="00DD07AD">
              <w:rPr>
                <w:rFonts w:ascii="標楷體" w:eastAsia="標楷體" w:hAnsi="標楷體" w:cs="新細明體" w:hint="eastAsia"/>
                <w:kern w:val="0"/>
                <w:szCs w:val="28"/>
              </w:rPr>
              <w:t>達標，如治療達標，則維持治療，並應每6個月追蹤血脂指標；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未達標，檢視服藥狀況，並考慮調整藥物組合。</w:t>
            </w:r>
          </w:p>
          <w:p w14:paraId="6EA842E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中、低風險：</w:t>
            </w:r>
          </w:p>
          <w:p w14:paraId="481AFE4B"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一、起始治療：進行生活型態改變，並處置心血管風險因子。</w:t>
            </w:r>
          </w:p>
          <w:p w14:paraId="4E9A6F84"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二、經起始治療3~6個月後，檢測血脂指標，如治療達標，則維持治療，並應每6-12個月追蹤血脂指標；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未達標，給予中強度statin。</w:t>
            </w:r>
          </w:p>
          <w:p w14:paraId="15B506DA"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三、中強度statin治療6~8</w:t>
            </w:r>
            <w:proofErr w:type="gramStart"/>
            <w:r w:rsidRPr="00DD07AD">
              <w:rPr>
                <w:rFonts w:ascii="標楷體" w:eastAsia="標楷體" w:hAnsi="標楷體" w:cs="新細明體" w:hint="eastAsia"/>
                <w:kern w:val="0"/>
                <w:szCs w:val="28"/>
              </w:rPr>
              <w:t>週</w:t>
            </w:r>
            <w:proofErr w:type="gramEnd"/>
            <w:r w:rsidRPr="00DD07AD">
              <w:rPr>
                <w:rFonts w:ascii="標楷體" w:eastAsia="標楷體" w:hAnsi="標楷體" w:cs="新細明體" w:hint="eastAsia"/>
                <w:kern w:val="0"/>
                <w:szCs w:val="28"/>
              </w:rPr>
              <w:t>後追蹤</w:t>
            </w:r>
            <w:proofErr w:type="gramStart"/>
            <w:r w:rsidRPr="00DD07AD">
              <w:rPr>
                <w:rFonts w:ascii="標楷體" w:eastAsia="標楷體" w:hAnsi="標楷體" w:cs="新細明體" w:hint="eastAsia"/>
                <w:kern w:val="0"/>
                <w:szCs w:val="28"/>
              </w:rPr>
              <w:t>血脂值是否</w:t>
            </w:r>
            <w:proofErr w:type="gramEnd"/>
            <w:r w:rsidRPr="00DD07AD">
              <w:rPr>
                <w:rFonts w:ascii="標楷體" w:eastAsia="標楷體" w:hAnsi="標楷體" w:cs="新細明體" w:hint="eastAsia"/>
                <w:kern w:val="0"/>
                <w:szCs w:val="28"/>
              </w:rPr>
              <w:t>達標，如治療達標，則維持治療，並應每6-12個月追蹤血脂指標；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未達標，檢視服藥狀況，並可給予高強度statin或最大耐受statin劑量或合併non-statin治療。</w:t>
            </w:r>
          </w:p>
        </w:tc>
      </w:tr>
      <w:tr w:rsidR="00DD07AD" w:rsidRPr="00DD07AD" w14:paraId="50B49F21" w14:textId="77777777" w:rsidTr="00F179D0">
        <w:trPr>
          <w:trHeight w:val="193"/>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14EE9"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中風險</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1D1C7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w:t>
            </w:r>
          </w:p>
          <w:p w14:paraId="6BD8955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生活型態改變，並處置心血管風險因子</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6A563"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115</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3C55F"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LDL-C&lt;115mg/dL(non-HDL-C&lt;145mg/dL)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0B97917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016ADA4A" w14:textId="77777777" w:rsidTr="00F179D0">
        <w:trPr>
          <w:trHeight w:val="558"/>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99C7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低風險</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04552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37D6E"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130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FAAB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LDL-C&lt;130mg/dL(non-HDL-C&lt;160mg/dL)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4BB532C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6D713944" w14:textId="77777777" w:rsidTr="00F179D0">
        <w:trPr>
          <w:trHeight w:val="558"/>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4E70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0項心血管風險因子</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5EEBF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EC5E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160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A4B9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LDL-C&lt;160mg/dL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4241B2B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bl>
    <w:p w14:paraId="2BAEE76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●ASCVD風險等級定義：</w:t>
      </w:r>
    </w:p>
    <w:p w14:paraId="6FF0447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一、極高風險：</w:t>
      </w:r>
    </w:p>
    <w:p w14:paraId="6F7E7DB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)冠狀動脈疾病合併下列任</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臨床狀況：</w:t>
      </w:r>
    </w:p>
    <w:p w14:paraId="62A9A73A"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年內曾經歷心肌梗塞。</w:t>
      </w:r>
    </w:p>
    <w:p w14:paraId="21813C8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兩次心肌梗塞病史。</w:t>
      </w:r>
    </w:p>
    <w:p w14:paraId="75FAF1E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3.多支冠狀動脈阻塞。</w:t>
      </w:r>
    </w:p>
    <w:p w14:paraId="37204C3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4.</w:t>
      </w:r>
      <w:proofErr w:type="gramStart"/>
      <w:r w:rsidRPr="00DD07AD">
        <w:rPr>
          <w:rFonts w:ascii="標楷體" w:eastAsia="標楷體" w:hAnsi="標楷體" w:cs="新細明體" w:hint="eastAsia"/>
          <w:kern w:val="0"/>
          <w:szCs w:val="28"/>
        </w:rPr>
        <w:t>急性冠心症</w:t>
      </w:r>
      <w:proofErr w:type="gramEnd"/>
      <w:r w:rsidRPr="00DD07AD">
        <w:rPr>
          <w:rFonts w:ascii="標楷體" w:eastAsia="標楷體" w:hAnsi="標楷體" w:cs="新細明體" w:hint="eastAsia"/>
          <w:kern w:val="0"/>
          <w:szCs w:val="28"/>
        </w:rPr>
        <w:t>合併糖尿病。</w:t>
      </w:r>
    </w:p>
    <w:p w14:paraId="6D17E31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5.周邊動脈</w:t>
      </w:r>
      <w:proofErr w:type="gramStart"/>
      <w:r w:rsidRPr="00DD07AD">
        <w:rPr>
          <w:rFonts w:ascii="標楷體" w:eastAsia="標楷體" w:hAnsi="標楷體" w:cs="新細明體" w:hint="eastAsia"/>
          <w:kern w:val="0"/>
          <w:szCs w:val="28"/>
        </w:rPr>
        <w:t>疾病或頸動脈</w:t>
      </w:r>
      <w:proofErr w:type="gramEnd"/>
      <w:r w:rsidRPr="00DD07AD">
        <w:rPr>
          <w:rFonts w:ascii="標楷體" w:eastAsia="標楷體" w:hAnsi="標楷體" w:cs="新細明體" w:hint="eastAsia"/>
          <w:kern w:val="0"/>
          <w:szCs w:val="28"/>
        </w:rPr>
        <w:t>狹窄。</w:t>
      </w:r>
    </w:p>
    <w:p w14:paraId="486EF94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(二)周邊動脈疾病合併下列任</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臨床狀況：</w:t>
      </w:r>
    </w:p>
    <w:p w14:paraId="645D635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1.冠狀動脈疾病。</w:t>
      </w:r>
    </w:p>
    <w:p w14:paraId="6DB9F9C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2.頸動脈狹窄。</w:t>
      </w:r>
    </w:p>
    <w:p w14:paraId="12B0C92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二、非常高風險：</w:t>
      </w:r>
    </w:p>
    <w:p w14:paraId="2320852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)經臨床檢查確診為動脈硬化心血管疾病，包含：</w:t>
      </w:r>
    </w:p>
    <w:p w14:paraId="31A0E94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w:t>
      </w:r>
      <w:proofErr w:type="gramStart"/>
      <w:r w:rsidRPr="00DD07AD">
        <w:rPr>
          <w:rFonts w:ascii="標楷體" w:eastAsia="標楷體" w:hAnsi="標楷體" w:cs="新細明體" w:hint="eastAsia"/>
          <w:kern w:val="0"/>
          <w:szCs w:val="28"/>
        </w:rPr>
        <w:t>急性冠心症</w:t>
      </w:r>
      <w:proofErr w:type="gramEnd"/>
      <w:r w:rsidRPr="00DD07AD">
        <w:rPr>
          <w:rFonts w:ascii="標楷體" w:eastAsia="標楷體" w:hAnsi="標楷體" w:cs="新細明體" w:hint="eastAsia"/>
          <w:kern w:val="0"/>
          <w:szCs w:val="28"/>
        </w:rPr>
        <w:t>病史。</w:t>
      </w:r>
    </w:p>
    <w:p w14:paraId="052341C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2.接受血管</w:t>
      </w:r>
      <w:proofErr w:type="gramStart"/>
      <w:r w:rsidRPr="00DD07AD">
        <w:rPr>
          <w:rFonts w:ascii="標楷體" w:eastAsia="標楷體" w:hAnsi="標楷體" w:cs="新細明體" w:hint="eastAsia"/>
          <w:kern w:val="0"/>
          <w:szCs w:val="28"/>
        </w:rPr>
        <w:t>再通術</w:t>
      </w:r>
      <w:proofErr w:type="gramEnd"/>
      <w:r w:rsidRPr="00DD07AD">
        <w:rPr>
          <w:rFonts w:ascii="標楷體" w:eastAsia="標楷體" w:hAnsi="標楷體" w:cs="新細明體" w:hint="eastAsia"/>
          <w:kern w:val="0"/>
          <w:szCs w:val="28"/>
        </w:rPr>
        <w:t>(心導管介入治療或外科冠狀動脈繞道手術)。</w:t>
      </w:r>
    </w:p>
    <w:p w14:paraId="349E82F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3.缺血性中風/短暫</w:t>
      </w:r>
      <w:proofErr w:type="gramStart"/>
      <w:r w:rsidRPr="00DD07AD">
        <w:rPr>
          <w:rFonts w:ascii="標楷體" w:eastAsia="標楷體" w:hAnsi="標楷體" w:cs="新細明體" w:hint="eastAsia"/>
          <w:kern w:val="0"/>
          <w:szCs w:val="28"/>
        </w:rPr>
        <w:t>性腦缺血</w:t>
      </w:r>
      <w:proofErr w:type="gramEnd"/>
      <w:r w:rsidRPr="00DD07AD">
        <w:rPr>
          <w:rFonts w:ascii="標楷體" w:eastAsia="標楷體" w:hAnsi="標楷體" w:cs="新細明體" w:hint="eastAsia"/>
          <w:kern w:val="0"/>
          <w:szCs w:val="28"/>
        </w:rPr>
        <w:t>發作合併動脈硬化相關疾病或病史。</w:t>
      </w:r>
    </w:p>
    <w:p w14:paraId="4012651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4.周邊動脈疾病(曾接受血管</w:t>
      </w:r>
      <w:proofErr w:type="gramStart"/>
      <w:r w:rsidRPr="00DD07AD">
        <w:rPr>
          <w:rFonts w:ascii="標楷體" w:eastAsia="標楷體" w:hAnsi="標楷體" w:cs="新細明體" w:hint="eastAsia"/>
          <w:kern w:val="0"/>
          <w:szCs w:val="28"/>
        </w:rPr>
        <w:t>再通術</w:t>
      </w:r>
      <w:proofErr w:type="gramEnd"/>
      <w:r w:rsidRPr="00DD07AD">
        <w:rPr>
          <w:rFonts w:ascii="標楷體" w:eastAsia="標楷體" w:hAnsi="標楷體" w:cs="新細明體" w:hint="eastAsia"/>
          <w:kern w:val="0"/>
          <w:szCs w:val="28"/>
        </w:rPr>
        <w:t>、有肢體缺血相關症狀或截肢)。</w:t>
      </w:r>
    </w:p>
    <w:p w14:paraId="1CBD01C5"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(二)經影像檢查確認有</w:t>
      </w:r>
      <w:proofErr w:type="gramStart"/>
      <w:r w:rsidRPr="00DD07AD">
        <w:rPr>
          <w:rFonts w:ascii="標楷體" w:eastAsia="標楷體" w:hAnsi="標楷體" w:cs="新細明體" w:hint="eastAsia"/>
          <w:kern w:val="0"/>
          <w:szCs w:val="28"/>
        </w:rPr>
        <w:t>顯著斑</w:t>
      </w:r>
      <w:proofErr w:type="gramEnd"/>
      <w:r w:rsidRPr="00DD07AD">
        <w:rPr>
          <w:rFonts w:ascii="標楷體" w:eastAsia="標楷體" w:hAnsi="標楷體" w:cs="新細明體" w:hint="eastAsia"/>
          <w:kern w:val="0"/>
          <w:szCs w:val="28"/>
        </w:rPr>
        <w:t>塊負擔，定義為</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50%直徑狹窄率，包含：</w:t>
      </w:r>
    </w:p>
    <w:p w14:paraId="19F990F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1.冠狀動脈血管攝影。</w:t>
      </w:r>
    </w:p>
    <w:p w14:paraId="163A7E7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2.冠狀動脈或周邊血管電腦斷層攝影。</w:t>
      </w:r>
    </w:p>
    <w:p w14:paraId="5D1259F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3.頸動脈或周邊血管超音波。</w:t>
      </w:r>
    </w:p>
    <w:p w14:paraId="2411740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三、高風險：</w:t>
      </w:r>
    </w:p>
    <w:p w14:paraId="4C9D059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)糖尿病。</w:t>
      </w:r>
    </w:p>
    <w:p w14:paraId="3EEC2B8D"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(二)慢性腎臟病(進入透析治療前的慢性腎臟病，包括UACR</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30mg/g or eGFR&lt;60mL/min/1.73m</w:t>
      </w:r>
      <w:r w:rsidRPr="00DD07AD">
        <w:rPr>
          <w:rFonts w:ascii="標楷體" w:eastAsia="標楷體" w:hAnsi="標楷體" w:cs="新細明體" w:hint="eastAsia"/>
          <w:kern w:val="0"/>
          <w:szCs w:val="28"/>
          <w:vertAlign w:val="superscript"/>
        </w:rPr>
        <w:t>2</w:t>
      </w:r>
      <w:r w:rsidRPr="00DD07AD">
        <w:rPr>
          <w:rFonts w:ascii="標楷體" w:eastAsia="標楷體" w:hAnsi="標楷體" w:cs="新細明體" w:hint="eastAsia"/>
          <w:kern w:val="0"/>
          <w:szCs w:val="28"/>
        </w:rPr>
        <w:t>至少持續3個月)。</w:t>
      </w:r>
    </w:p>
    <w:p w14:paraId="054F94D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(三)LDL-C</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190mg/dL。</w:t>
      </w:r>
    </w:p>
    <w:p w14:paraId="590CF289"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(四)冠狀動脈鈣化分數(CAC)</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400。</w:t>
      </w:r>
    </w:p>
    <w:p w14:paraId="60C15F1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四、中風險：2項(含)以上心血管風險因子。</w:t>
      </w:r>
    </w:p>
    <w:p w14:paraId="7569CFB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五、低風險：1項心血管風險因子。</w:t>
      </w:r>
    </w:p>
    <w:p w14:paraId="7752A1ED"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●心血管風險因子定義：</w:t>
      </w:r>
    </w:p>
    <w:p w14:paraId="381B0A7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一、高血壓。</w:t>
      </w:r>
    </w:p>
    <w:p w14:paraId="006C68F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45歲，女性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55歲。</w:t>
      </w:r>
    </w:p>
    <w:p w14:paraId="5A02C1D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三、早</w:t>
      </w:r>
      <w:proofErr w:type="gramStart"/>
      <w:r w:rsidRPr="00DD07AD">
        <w:rPr>
          <w:rFonts w:ascii="標楷體" w:eastAsia="標楷體" w:hAnsi="標楷體" w:cs="新細明體" w:hint="eastAsia"/>
          <w:kern w:val="0"/>
          <w:szCs w:val="28"/>
        </w:rPr>
        <w:t>發性冠心病</w:t>
      </w:r>
      <w:proofErr w:type="gramEnd"/>
      <w:r w:rsidRPr="00DD07AD">
        <w:rPr>
          <w:rFonts w:ascii="標楷體" w:eastAsia="標楷體" w:hAnsi="標楷體" w:cs="新細明體" w:hint="eastAsia"/>
          <w:kern w:val="0"/>
          <w:szCs w:val="28"/>
        </w:rPr>
        <w:t>家族史(男性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55歲，女性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65歲)。</w:t>
      </w:r>
    </w:p>
    <w:p w14:paraId="36D40CB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四、HDL-C：男性&lt;40mg/dL，女性&lt;50mg/dL。</w:t>
      </w:r>
    </w:p>
    <w:p w14:paraId="7FF9583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五、抽菸。</w:t>
      </w:r>
    </w:p>
    <w:p w14:paraId="1BBB3B7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六、代謝性症候群(符合以下至少三項)：</w:t>
      </w:r>
    </w:p>
    <w:p w14:paraId="78E4D7E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)腹部肥胖(男性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90cm，女性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80cm)。</w:t>
      </w:r>
    </w:p>
    <w:p w14:paraId="7E3CE34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(二)血壓偏高(</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130/85mmHg或使用高血壓藥物)。</w:t>
      </w:r>
    </w:p>
    <w:p w14:paraId="00E7498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(三)空腹血糖偏高(</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100mg/dL或使用糖尿病藥物)。</w:t>
      </w:r>
    </w:p>
    <w:p w14:paraId="43FB63F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(四)空腹TG偏高(</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150mg/dL或使用治療TG血脂藥物)。</w:t>
      </w:r>
    </w:p>
    <w:p w14:paraId="1E375BA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(五)HDL-C偏低(男性&lt;40mg/dL，女性&lt;50mg/dL)。</w:t>
      </w:r>
    </w:p>
    <w:p w14:paraId="4CC4790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●各風險等級評估建議：</w:t>
      </w:r>
    </w:p>
    <w:p w14:paraId="2862D29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一、極高風險、非常高風險：</w:t>
      </w:r>
    </w:p>
    <w:p w14:paraId="7235994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)初始評估應檢測完整血脂指標，並應於急性病人入院後24小時內完成血脂檢驗。</w:t>
      </w:r>
    </w:p>
    <w:p w14:paraId="0D475D3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(二)處置各項可改善心血管風險因子，包含：血壓、HbA1c、肥胖、抽菸、酒精攝取、生活型態。</w:t>
      </w:r>
    </w:p>
    <w:p w14:paraId="05CFE80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二、高風險、中風險、低風險：</w:t>
      </w:r>
    </w:p>
    <w:p w14:paraId="14049D8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)給予完整血脂指標檢測，辨識各項可改善心血管風險因子，包含：血壓、HbA1c、肥胖、抽菸、酒精攝取、生活型態。</w:t>
      </w:r>
    </w:p>
    <w:p w14:paraId="101CD14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(二)ASCVD風險分級為高風險，當有嚴重高膽固醇血症、肌腱黃色瘤、早發心血管疾病或家族病史時，應依照台灣家族性高膽固醇血症診斷標準進行家族性膽固醇血症篩檢。</w:t>
      </w:r>
    </w:p>
    <w:p w14:paraId="3C94C32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(三)若未符合上述高風險條件，應以列在低至中風險欄位的心血管風險因子數量作為風險評估。</w:t>
      </w:r>
    </w:p>
    <w:p w14:paraId="32101B9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當LDL-C達到理想治療目標後，非高密度脂蛋白-膽固醇(non-HDL-C)可作為血脂治療次要標的，其計算方式為總膽固醇數值減掉HDL-C數值，尤其適用於合併有高三酸甘油脂、糖尿病、或肥胖的病人以做進一步的心血管風險評估。</w:t>
      </w:r>
    </w:p>
    <w:p w14:paraId="2EFE667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70ACAB9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B3F454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0AEA4B1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sectPr w:rsidR="00DD07AD" w:rsidRPr="00DD07AD" w:rsidSect="00DD07AD">
          <w:pgSz w:w="16838" w:h="11906" w:orient="landscape"/>
          <w:pgMar w:top="1134" w:right="1134" w:bottom="1134" w:left="1134" w:header="851" w:footer="992" w:gutter="0"/>
          <w:cols w:space="720"/>
          <w:docGrid w:type="linesAndChars" w:linePitch="360"/>
        </w:sectPr>
      </w:pPr>
    </w:p>
    <w:p w14:paraId="5950267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全民健康保險降膽固醇藥物給付規定表二：（86/1/1、87/4/1、87/7/1、91/9/1、93/9/1、97/7/1、102/8/1、108/2/1、115/9/1）</w:t>
      </w:r>
    </w:p>
    <w:tbl>
      <w:tblPr>
        <w:tblW w:w="9615" w:type="dxa"/>
        <w:tblInd w:w="23" w:type="dxa"/>
        <w:tblLayout w:type="fixed"/>
        <w:tblCellMar>
          <w:left w:w="10" w:type="dxa"/>
          <w:right w:w="10" w:type="dxa"/>
        </w:tblCellMar>
        <w:tblLook w:val="04A0" w:firstRow="1" w:lastRow="0" w:firstColumn="1" w:lastColumn="0" w:noHBand="0" w:noVBand="1"/>
      </w:tblPr>
      <w:tblGrid>
        <w:gridCol w:w="1814"/>
        <w:gridCol w:w="1417"/>
        <w:gridCol w:w="2268"/>
        <w:gridCol w:w="2126"/>
        <w:gridCol w:w="1990"/>
      </w:tblGrid>
      <w:tr w:rsidR="00DD07AD" w:rsidRPr="00DD07AD" w14:paraId="61E9D05D" w14:textId="77777777" w:rsidTr="00DD07AD">
        <w:trPr>
          <w:trHeight w:val="187"/>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FC2D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3CE9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927C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起始藥物治療</w:t>
            </w:r>
            <w:proofErr w:type="gramStart"/>
            <w:r w:rsidRPr="00DD07AD">
              <w:rPr>
                <w:rFonts w:ascii="標楷體" w:eastAsia="標楷體" w:hAnsi="標楷體" w:cs="新細明體" w:hint="eastAsia"/>
                <w:kern w:val="0"/>
                <w:szCs w:val="28"/>
              </w:rPr>
              <w:t>血脂值</w:t>
            </w:r>
            <w:proofErr w:type="gramEnd"/>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814F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血脂目標值</w:t>
            </w:r>
          </w:p>
        </w:tc>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87A55"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處方規定</w:t>
            </w:r>
          </w:p>
        </w:tc>
      </w:tr>
      <w:tr w:rsidR="00DD07AD" w:rsidRPr="00DD07AD" w14:paraId="1A0D645D" w14:textId="77777777" w:rsidTr="00DD07AD">
        <w:trPr>
          <w:cantSplit/>
          <w:trHeight w:val="196"/>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B768B" w14:textId="77777777" w:rsidR="00DD07AD" w:rsidRPr="00DD07AD" w:rsidRDefault="00DD07AD" w:rsidP="002144EC">
            <w:pPr>
              <w:numPr>
                <w:ilvl w:val="0"/>
                <w:numId w:val="214"/>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有急性冠狀動脈症候群病史</w:t>
            </w:r>
          </w:p>
          <w:p w14:paraId="212FAEE1" w14:textId="77777777" w:rsidR="00DD07AD" w:rsidRPr="00DD07AD" w:rsidRDefault="00DD07AD" w:rsidP="002144EC">
            <w:pPr>
              <w:numPr>
                <w:ilvl w:val="0"/>
                <w:numId w:val="214"/>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曾接受心導管介入治療或外科冠動脈搭橋手術之</w:t>
            </w:r>
            <w:proofErr w:type="gramStart"/>
            <w:r w:rsidRPr="00DD07AD">
              <w:rPr>
                <w:rFonts w:ascii="標楷體" w:eastAsia="標楷體" w:hAnsi="標楷體" w:cs="新細明體" w:hint="eastAsia"/>
                <w:kern w:val="0"/>
                <w:szCs w:val="28"/>
              </w:rPr>
              <w:t>冠狀動脈粥狀硬化</w:t>
            </w:r>
            <w:proofErr w:type="gramEnd"/>
            <w:r w:rsidRPr="00DD07AD">
              <w:rPr>
                <w:rFonts w:ascii="標楷體" w:eastAsia="標楷體" w:hAnsi="標楷體" w:cs="新細明體" w:hint="eastAsia"/>
                <w:kern w:val="0"/>
                <w:szCs w:val="28"/>
              </w:rPr>
              <w:t>患者(108/2/1)</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4B54C"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與藥物治療可並行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BE9F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70mg/dL</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C96C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LDL-C&lt;70mg/dL</w:t>
            </w:r>
          </w:p>
        </w:tc>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0501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第一年應每3-6個月抽血檢查一次，第二年以後應至少每6-12個月抽血檢查一次，同時請注意副作用之產生如肝功能異常，橫紋肌溶解症。</w:t>
            </w:r>
          </w:p>
        </w:tc>
      </w:tr>
      <w:tr w:rsidR="00DD07AD" w:rsidRPr="00DD07AD" w14:paraId="11318794" w14:textId="77777777" w:rsidTr="00DD07AD">
        <w:trPr>
          <w:cantSplit/>
          <w:trHeight w:val="196"/>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00DBE"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心血管疾病或糖尿病患者</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BF036"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與藥物治療可並行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B3EAF"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160mg/dL或</w:t>
            </w:r>
          </w:p>
          <w:p w14:paraId="671064B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 xml:space="preserve">100mg/dL </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5841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TC＜160mg/dL或</w:t>
            </w:r>
          </w:p>
          <w:p w14:paraId="37D979F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LDL-C＜100mg/dL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2D28CC4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365B9566" w14:textId="77777777" w:rsidTr="00DD07AD">
        <w:trPr>
          <w:cantSplit/>
          <w:trHeight w:val="436"/>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AECB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2個危險因子或以上</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7176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A4AE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200mg/dL或</w:t>
            </w:r>
          </w:p>
          <w:p w14:paraId="16782A1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 xml:space="preserve">130mg/dL </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40B6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TC＜200mg/dL或</w:t>
            </w:r>
          </w:p>
          <w:p w14:paraId="1F662DBC"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LDL-C＜130mg/dL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2DF54B6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7CC2C2A3" w14:textId="77777777" w:rsidTr="00DD07AD">
        <w:trPr>
          <w:cantSplit/>
          <w:trHeight w:val="198"/>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F4D1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1個危險因子</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E09F5"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0CD4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240mg/dL或</w:t>
            </w:r>
          </w:p>
          <w:p w14:paraId="4720DFE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160mg/dL</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9C3EE"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TC＜240mg/dL或</w:t>
            </w:r>
          </w:p>
          <w:p w14:paraId="6A1E71B4"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LDL-C＜160mg/dL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2CFCE3F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309E388D" w14:textId="77777777" w:rsidTr="00DD07AD">
        <w:trPr>
          <w:cantSplit/>
          <w:trHeight w:val="574"/>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1D8B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0個危險因子</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45EF6"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C0C3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190mg/dL</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C5AF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LDL-C＜190mg/dL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16BB75A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bl>
    <w:p w14:paraId="40EC56BC" w14:textId="77777777" w:rsidR="00DD07AD" w:rsidRPr="00DD07AD" w:rsidRDefault="00DD07AD" w:rsidP="002144EC">
      <w:pPr>
        <w:numPr>
          <w:ilvl w:val="0"/>
          <w:numId w:val="215"/>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心血管疾病定義：</w:t>
      </w:r>
    </w:p>
    <w:p w14:paraId="45C83826" w14:textId="77777777" w:rsidR="00DD07AD" w:rsidRPr="00DD07AD" w:rsidRDefault="00DD07AD" w:rsidP="00DD07AD">
      <w:pPr>
        <w:spacing w:line="300" w:lineRule="exact"/>
        <w:ind w:left="600" w:hangingChars="250" w:hanging="60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 xml:space="preserve">) </w:t>
      </w:r>
      <w:proofErr w:type="gramStart"/>
      <w:r w:rsidRPr="00DD07AD">
        <w:rPr>
          <w:rFonts w:ascii="標楷體" w:eastAsia="標楷體" w:hAnsi="標楷體" w:cs="新細明體" w:hint="eastAsia"/>
          <w:kern w:val="0"/>
          <w:szCs w:val="28"/>
        </w:rPr>
        <w:t>冠狀動脈粥狀硬化</w:t>
      </w:r>
      <w:proofErr w:type="gramEnd"/>
      <w:r w:rsidRPr="00DD07AD">
        <w:rPr>
          <w:rFonts w:ascii="標楷體" w:eastAsia="標楷體" w:hAnsi="標楷體" w:cs="新細明體" w:hint="eastAsia"/>
          <w:kern w:val="0"/>
          <w:szCs w:val="28"/>
        </w:rPr>
        <w:t>患者包含：心絞痛病人，有心導管證實或缺氧性心電圖變化或負荷性試驗陽性反應者(附檢查報告)</w:t>
      </w:r>
    </w:p>
    <w:p w14:paraId="2D1ED915"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 缺血型腦血管疾病病人包含：</w:t>
      </w:r>
    </w:p>
    <w:p w14:paraId="137AB4DA"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1.腦梗塞。</w:t>
      </w:r>
    </w:p>
    <w:p w14:paraId="6578C7D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w:t>
      </w:r>
      <w:proofErr w:type="gramStart"/>
      <w:r w:rsidRPr="00DD07AD">
        <w:rPr>
          <w:rFonts w:ascii="標楷體" w:eastAsia="標楷體" w:hAnsi="標楷體" w:cs="新細明體" w:hint="eastAsia"/>
          <w:kern w:val="0"/>
          <w:szCs w:val="28"/>
        </w:rPr>
        <w:t>暫時性腦缺血</w:t>
      </w:r>
      <w:proofErr w:type="gramEnd"/>
      <w:r w:rsidRPr="00DD07AD">
        <w:rPr>
          <w:rFonts w:ascii="標楷體" w:eastAsia="標楷體" w:hAnsi="標楷體" w:cs="新細明體" w:hint="eastAsia"/>
          <w:kern w:val="0"/>
          <w:szCs w:val="28"/>
        </w:rPr>
        <w:t>患者(TIA)。（診斷須由神經科醫師確立）</w:t>
      </w:r>
    </w:p>
    <w:p w14:paraId="6597693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3.有症狀之頸動脈狹窄。（診斷須由神經科醫師確立）</w:t>
      </w:r>
    </w:p>
    <w:p w14:paraId="7CACEC60" w14:textId="77777777" w:rsidR="00DD07AD" w:rsidRPr="00DD07AD" w:rsidRDefault="00DD07AD" w:rsidP="002144EC">
      <w:pPr>
        <w:numPr>
          <w:ilvl w:val="0"/>
          <w:numId w:val="215"/>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危險因子定義：</w:t>
      </w:r>
    </w:p>
    <w:p w14:paraId="10F506F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1.高血壓</w:t>
      </w:r>
    </w:p>
    <w:p w14:paraId="23187DA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2.男性≧45歲，女性≧55歲或停經者</w:t>
      </w:r>
    </w:p>
    <w:p w14:paraId="7D9966A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3.有早</w:t>
      </w:r>
      <w:proofErr w:type="gramStart"/>
      <w:r w:rsidRPr="00DD07AD">
        <w:rPr>
          <w:rFonts w:ascii="標楷體" w:eastAsia="標楷體" w:hAnsi="標楷體" w:cs="新細明體" w:hint="eastAsia"/>
          <w:kern w:val="0"/>
          <w:szCs w:val="28"/>
        </w:rPr>
        <w:t>發性冠心病</w:t>
      </w:r>
      <w:proofErr w:type="gramEnd"/>
      <w:r w:rsidRPr="00DD07AD">
        <w:rPr>
          <w:rFonts w:ascii="標楷體" w:eastAsia="標楷體" w:hAnsi="標楷體" w:cs="新細明體" w:hint="eastAsia"/>
          <w:kern w:val="0"/>
          <w:szCs w:val="28"/>
        </w:rPr>
        <w:t>家族史(男性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55歲，女性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65歲)</w:t>
      </w:r>
    </w:p>
    <w:p w14:paraId="0103FF9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4.HDL-C&lt;40mg/dL</w:t>
      </w:r>
    </w:p>
    <w:p w14:paraId="1171257D"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5.吸菸(因吸菸而符合起步治療準則之個案，若未戒菸而要求藥物治療，應以自費治療)。</w:t>
      </w:r>
    </w:p>
    <w:p w14:paraId="30CFFDB9" w14:textId="63BED554" w:rsidR="00554111" w:rsidRPr="00554111" w:rsidRDefault="00554111" w:rsidP="00554111">
      <w:pPr>
        <w:widowControl/>
        <w:suppressAutoHyphens w:val="0"/>
        <w:rPr>
          <w:rFonts w:ascii="標楷體" w:eastAsia="標楷體" w:hAnsi="標楷體" w:cs="新細明體"/>
          <w:kern w:val="0"/>
          <w:szCs w:val="28"/>
        </w:rPr>
      </w:pPr>
      <w:r>
        <w:rPr>
          <w:rFonts w:ascii="標楷體" w:eastAsia="標楷體" w:hAnsi="標楷體" w:cs="新細明體"/>
          <w:kern w:val="0"/>
          <w:szCs w:val="28"/>
        </w:rPr>
        <w:br w:type="page"/>
      </w:r>
      <w:r w:rsidRPr="00554111">
        <w:rPr>
          <w:rFonts w:ascii="標楷體" w:eastAsia="標楷體" w:hAnsi="標楷體" w:cs="新細明體"/>
          <w:kern w:val="0"/>
          <w:szCs w:val="28"/>
        </w:rPr>
        <w:lastRenderedPageBreak/>
        <w:t>全民健康保險降三酸甘油</w:t>
      </w:r>
      <w:proofErr w:type="gramStart"/>
      <w:r w:rsidRPr="00554111">
        <w:rPr>
          <w:rFonts w:ascii="標楷體" w:eastAsia="標楷體" w:hAnsi="標楷體" w:cs="新細明體"/>
          <w:kern w:val="0"/>
          <w:szCs w:val="28"/>
        </w:rPr>
        <w:t>酯</w:t>
      </w:r>
      <w:proofErr w:type="gramEnd"/>
      <w:r w:rsidRPr="00554111">
        <w:rPr>
          <w:rFonts w:ascii="標楷體" w:eastAsia="標楷體" w:hAnsi="標楷體" w:cs="新細明體"/>
          <w:kern w:val="0"/>
          <w:szCs w:val="28"/>
        </w:rPr>
        <w:t>藥物給付規定表</w:t>
      </w:r>
    </w:p>
    <w:tbl>
      <w:tblPr>
        <w:tblW w:w="9639" w:type="dxa"/>
        <w:tblInd w:w="-5" w:type="dxa"/>
        <w:tblLayout w:type="fixed"/>
        <w:tblCellMar>
          <w:left w:w="10" w:type="dxa"/>
          <w:right w:w="10" w:type="dxa"/>
        </w:tblCellMar>
        <w:tblLook w:val="0000" w:firstRow="0" w:lastRow="0" w:firstColumn="0" w:lastColumn="0" w:noHBand="0" w:noVBand="0"/>
      </w:tblPr>
      <w:tblGrid>
        <w:gridCol w:w="1560"/>
        <w:gridCol w:w="1559"/>
        <w:gridCol w:w="2126"/>
        <w:gridCol w:w="1843"/>
        <w:gridCol w:w="2551"/>
      </w:tblGrid>
      <w:tr w:rsidR="00554111" w:rsidRPr="00554111" w14:paraId="13AAC65C" w14:textId="77777777" w:rsidTr="00195438">
        <w:trPr>
          <w:trHeight w:val="283"/>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56977" w14:textId="77777777" w:rsidR="00554111" w:rsidRPr="00554111" w:rsidRDefault="00554111" w:rsidP="00554111">
            <w:pPr>
              <w:spacing w:line="300" w:lineRule="exact"/>
              <w:ind w:left="240" w:hangingChars="100" w:hanging="240"/>
              <w:rPr>
                <w:rFonts w:ascii="標楷體" w:eastAsia="標楷體" w:hAnsi="標楷體" w:cs="新細明體"/>
                <w:kern w:val="0"/>
                <w:szCs w:val="28"/>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EBD59C" w14:textId="77777777" w:rsidR="00554111" w:rsidRPr="00554111" w:rsidRDefault="00554111" w:rsidP="00554111">
            <w:pPr>
              <w:spacing w:line="300" w:lineRule="exact"/>
              <w:ind w:left="240" w:hangingChars="100" w:hanging="240"/>
              <w:rPr>
                <w:rFonts w:ascii="標楷體" w:eastAsia="標楷體" w:hAnsi="標楷體" w:cs="新細明體"/>
                <w:kern w:val="0"/>
                <w:szCs w:val="28"/>
              </w:rPr>
            </w:pPr>
            <w:r w:rsidRPr="00554111">
              <w:rPr>
                <w:rFonts w:ascii="標楷體" w:eastAsia="標楷體" w:hAnsi="標楷體" w:cs="新細明體"/>
                <w:kern w:val="0"/>
                <w:szCs w:val="28"/>
              </w:rPr>
              <w:t>非藥物治療</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6E7586"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起始藥物治療三酸</w:t>
            </w:r>
            <w:proofErr w:type="gramStart"/>
            <w:r w:rsidRPr="00554111">
              <w:rPr>
                <w:rFonts w:ascii="標楷體" w:eastAsia="標楷體" w:hAnsi="標楷體" w:cs="新細明體"/>
                <w:kern w:val="0"/>
                <w:szCs w:val="28"/>
              </w:rPr>
              <w:t>甘油酯值</w:t>
            </w:r>
            <w:proofErr w:type="gramEnd"/>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9F63D4"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三酸甘油</w:t>
            </w:r>
            <w:proofErr w:type="gramStart"/>
            <w:r w:rsidRPr="00554111">
              <w:rPr>
                <w:rFonts w:ascii="標楷體" w:eastAsia="標楷體" w:hAnsi="標楷體" w:cs="新細明體"/>
                <w:kern w:val="0"/>
                <w:szCs w:val="28"/>
              </w:rPr>
              <w:t>酯</w:t>
            </w:r>
            <w:proofErr w:type="gramEnd"/>
            <w:r w:rsidRPr="00554111">
              <w:rPr>
                <w:rFonts w:ascii="標楷體" w:eastAsia="標楷體" w:hAnsi="標楷體" w:cs="新細明體"/>
                <w:kern w:val="0"/>
                <w:szCs w:val="28"/>
              </w:rPr>
              <w:t>目標值</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C5A72A"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處方規定</w:t>
            </w:r>
          </w:p>
        </w:tc>
      </w:tr>
      <w:tr w:rsidR="00554111" w:rsidRPr="00554111" w14:paraId="6909169B" w14:textId="77777777" w:rsidTr="00195438">
        <w:trPr>
          <w:cantSplit/>
          <w:trHeight w:val="418"/>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887192"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心血管疾病或糖尿病病人</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99FB8"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與藥物治療可並行</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F119BB"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TG</w:t>
            </w:r>
            <w:proofErr w:type="gramStart"/>
            <w:r w:rsidRPr="00554111">
              <w:rPr>
                <w:rFonts w:ascii="標楷體" w:eastAsia="標楷體" w:hAnsi="標楷體" w:cs="新細明體"/>
                <w:kern w:val="0"/>
                <w:szCs w:val="28"/>
              </w:rPr>
              <w:t>≧</w:t>
            </w:r>
            <w:proofErr w:type="gramEnd"/>
            <w:r w:rsidRPr="00554111">
              <w:rPr>
                <w:rFonts w:ascii="標楷體" w:eastAsia="標楷體" w:hAnsi="標楷體" w:cs="新細明體"/>
                <w:kern w:val="0"/>
                <w:szCs w:val="28"/>
              </w:rPr>
              <w:t>200mg/dL且(TC/HDL-C&gt;5或HDL-C&lt;40mg/dL)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74E423"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TG＜200mg/dL</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60FE51"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第一年應每3-6個月抽血檢查一次，第二年以後應至少每6-12個月抽血檢查一次，同時請注意副作用之產生如肝功能異常，橫紋肌溶解症。</w:t>
            </w:r>
          </w:p>
        </w:tc>
      </w:tr>
      <w:tr w:rsidR="00554111" w:rsidRPr="00554111" w14:paraId="0A667DD5" w14:textId="77777777" w:rsidTr="00195438">
        <w:trPr>
          <w:cantSplit/>
          <w:trHeight w:val="842"/>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B52675"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無心血管疾病病人</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910A6D"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給藥前應有3-6個月非藥物治療</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49F315"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TG</w:t>
            </w:r>
            <w:proofErr w:type="gramStart"/>
            <w:r w:rsidRPr="00554111">
              <w:rPr>
                <w:rFonts w:ascii="標楷體" w:eastAsia="標楷體" w:hAnsi="標楷體" w:cs="新細明體"/>
                <w:kern w:val="0"/>
                <w:szCs w:val="28"/>
              </w:rPr>
              <w:t>≧</w:t>
            </w:r>
            <w:proofErr w:type="gramEnd"/>
            <w:r w:rsidRPr="00554111">
              <w:rPr>
                <w:rFonts w:ascii="標楷體" w:eastAsia="標楷體" w:hAnsi="標楷體" w:cs="新細明體"/>
                <w:kern w:val="0"/>
                <w:szCs w:val="28"/>
              </w:rPr>
              <w:t>200mg/dL且(TC/HDL-C&gt;5或HDL-C&lt;40mg/dL)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FF2D4B"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TG＜200mg/dL</w:t>
            </w:r>
          </w:p>
        </w:tc>
        <w:tc>
          <w:tcPr>
            <w:tcW w:w="25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966B8" w14:textId="77777777" w:rsidR="00554111" w:rsidRPr="00554111" w:rsidRDefault="00554111" w:rsidP="00554111">
            <w:pPr>
              <w:spacing w:line="300" w:lineRule="exact"/>
              <w:rPr>
                <w:rFonts w:ascii="標楷體" w:eastAsia="標楷體" w:hAnsi="標楷體" w:cs="新細明體"/>
                <w:kern w:val="0"/>
                <w:szCs w:val="28"/>
              </w:rPr>
            </w:pPr>
          </w:p>
        </w:tc>
      </w:tr>
      <w:tr w:rsidR="00554111" w:rsidRPr="00554111" w14:paraId="55D899B1" w14:textId="77777777" w:rsidTr="00195438">
        <w:trPr>
          <w:cantSplit/>
          <w:trHeight w:val="552"/>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617D1"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無心血管疾病病人</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C72AF"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與藥物治療可並行</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C88188"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TG≧500mg/dL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E3612"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TG＜500mg/dL</w:t>
            </w:r>
          </w:p>
        </w:tc>
        <w:tc>
          <w:tcPr>
            <w:tcW w:w="25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0D0729" w14:textId="77777777" w:rsidR="00554111" w:rsidRPr="00554111" w:rsidRDefault="00554111" w:rsidP="00554111">
            <w:pPr>
              <w:spacing w:line="300" w:lineRule="exact"/>
              <w:rPr>
                <w:rFonts w:ascii="標楷體" w:eastAsia="標楷體" w:hAnsi="標楷體" w:cs="新細明體"/>
                <w:kern w:val="0"/>
                <w:szCs w:val="28"/>
              </w:rPr>
            </w:pPr>
          </w:p>
        </w:tc>
      </w:tr>
    </w:tbl>
    <w:p w14:paraId="78FA57C2" w14:textId="77777777" w:rsidR="00DD07AD" w:rsidRPr="00554111" w:rsidRDefault="00DD07AD" w:rsidP="00554111">
      <w:pPr>
        <w:spacing w:line="300" w:lineRule="exact"/>
        <w:textAlignment w:val="auto"/>
        <w:rPr>
          <w:rFonts w:ascii="標楷體" w:eastAsia="標楷體" w:hAnsi="標楷體" w:cs="新細明體"/>
          <w:kern w:val="0"/>
          <w:szCs w:val="28"/>
        </w:rPr>
      </w:pPr>
    </w:p>
    <w:p w14:paraId="3705B15A" w14:textId="77777777" w:rsidR="00DD07AD" w:rsidRPr="00DD07AD" w:rsidRDefault="00DD07AD" w:rsidP="00DD07AD">
      <w:pPr>
        <w:spacing w:line="300" w:lineRule="exact"/>
        <w:ind w:left="110"/>
        <w:textAlignment w:val="auto"/>
        <w:rPr>
          <w:rFonts w:ascii="Times New Roman" w:hAnsi="Times New Roman"/>
          <w:szCs w:val="24"/>
        </w:rPr>
      </w:pPr>
      <w:r w:rsidRPr="00DD07AD">
        <w:rPr>
          <w:rFonts w:ascii="標楷體" w:eastAsia="標楷體" w:hAnsi="標楷體" w:hint="eastAsia"/>
          <w:color w:val="000000"/>
          <w:szCs w:val="24"/>
        </w:rPr>
        <w:t>2.6.2.Ezetimibe：(94/6/1、115/9/1)</w:t>
      </w:r>
    </w:p>
    <w:p w14:paraId="7071978B" w14:textId="77777777" w:rsidR="00DD07AD" w:rsidRPr="00DD07AD" w:rsidRDefault="00DD07AD" w:rsidP="00DD07AD">
      <w:pPr>
        <w:spacing w:line="300" w:lineRule="exact"/>
        <w:ind w:left="110"/>
        <w:textAlignment w:val="auto"/>
        <w:rPr>
          <w:rFonts w:ascii="Times New Roman" w:hAnsi="Times New Roman"/>
          <w:szCs w:val="24"/>
        </w:rPr>
      </w:pPr>
      <w:r w:rsidRPr="00DD07AD">
        <w:rPr>
          <w:rFonts w:ascii="標楷體" w:eastAsia="標楷體" w:hAnsi="標楷體" w:hint="eastAsia"/>
          <w:color w:val="000000"/>
          <w:szCs w:val="24"/>
        </w:rPr>
        <w:t>限用於原發性高膽固醇血症、</w:t>
      </w:r>
      <w:proofErr w:type="gramStart"/>
      <w:r w:rsidRPr="00DD07AD">
        <w:rPr>
          <w:rFonts w:ascii="標楷體" w:eastAsia="標楷體" w:hAnsi="標楷體" w:hint="eastAsia"/>
          <w:color w:val="000000"/>
          <w:szCs w:val="24"/>
        </w:rPr>
        <w:t>同型接合子</w:t>
      </w:r>
      <w:proofErr w:type="gramEnd"/>
      <w:r w:rsidRPr="00DD07AD">
        <w:rPr>
          <w:rFonts w:ascii="標楷體" w:eastAsia="標楷體" w:hAnsi="標楷體" w:hint="eastAsia"/>
          <w:color w:val="000000"/>
          <w:szCs w:val="24"/>
        </w:rPr>
        <w:t>家族性高膽固醇血症、同</w:t>
      </w:r>
      <w:proofErr w:type="gramStart"/>
      <w:r w:rsidRPr="00DD07AD">
        <w:rPr>
          <w:rFonts w:ascii="標楷體" w:eastAsia="標楷體" w:hAnsi="標楷體" w:hint="eastAsia"/>
          <w:color w:val="000000"/>
          <w:szCs w:val="24"/>
        </w:rPr>
        <w:t>型接合子性麥脂醇血</w:t>
      </w:r>
      <w:proofErr w:type="gramEnd"/>
      <w:r w:rsidRPr="00DD07AD">
        <w:rPr>
          <w:rFonts w:ascii="標楷體" w:eastAsia="標楷體" w:hAnsi="標楷體" w:hint="eastAsia"/>
          <w:color w:val="000000"/>
          <w:szCs w:val="24"/>
        </w:rPr>
        <w:t>症(植物</w:t>
      </w:r>
      <w:proofErr w:type="gramStart"/>
      <w:r w:rsidRPr="00DD07AD">
        <w:rPr>
          <w:rFonts w:ascii="標楷體" w:eastAsia="標楷體" w:hAnsi="標楷體" w:hint="eastAsia"/>
          <w:color w:val="000000"/>
          <w:szCs w:val="24"/>
        </w:rPr>
        <w:t>脂醇血</w:t>
      </w:r>
      <w:proofErr w:type="gramEnd"/>
      <w:r w:rsidRPr="00DD07AD">
        <w:rPr>
          <w:rFonts w:ascii="標楷體" w:eastAsia="標楷體" w:hAnsi="標楷體" w:hint="eastAsia"/>
          <w:color w:val="000000"/>
          <w:szCs w:val="24"/>
        </w:rPr>
        <w:t>症)患者，並符合下列條件之</w:t>
      </w:r>
      <w:proofErr w:type="gramStart"/>
      <w:r w:rsidRPr="00DD07AD">
        <w:rPr>
          <w:rFonts w:ascii="標楷體" w:eastAsia="標楷體" w:hAnsi="標楷體" w:hint="eastAsia"/>
          <w:color w:val="000000"/>
          <w:szCs w:val="24"/>
        </w:rPr>
        <w:t>一</w:t>
      </w:r>
      <w:proofErr w:type="gramEnd"/>
      <w:r w:rsidRPr="00DD07AD">
        <w:rPr>
          <w:rFonts w:ascii="標楷體" w:eastAsia="標楷體" w:hAnsi="標楷體" w:hint="eastAsia"/>
          <w:color w:val="000000"/>
          <w:szCs w:val="24"/>
        </w:rPr>
        <w:t>者：</w:t>
      </w:r>
    </w:p>
    <w:p w14:paraId="50CFA522" w14:textId="77777777" w:rsidR="00DD07AD" w:rsidRPr="00DD07AD" w:rsidRDefault="00DD07AD" w:rsidP="00DD07AD">
      <w:pPr>
        <w:spacing w:line="300" w:lineRule="exact"/>
        <w:ind w:left="547" w:hanging="283"/>
        <w:textAlignment w:val="auto"/>
        <w:rPr>
          <w:rFonts w:ascii="Times New Roman" w:hAnsi="Times New Roman"/>
          <w:szCs w:val="24"/>
        </w:rPr>
      </w:pPr>
      <w:r w:rsidRPr="00DD07AD">
        <w:rPr>
          <w:rFonts w:ascii="標楷體" w:eastAsia="標楷體" w:hAnsi="標楷體" w:hint="eastAsia"/>
          <w:color w:val="000000"/>
          <w:szCs w:val="24"/>
        </w:rPr>
        <w:t>1.對statins類藥品發生無法耐受藥物不良反應（如Severe myalgia、Myositis）者。(94/6/1、115/9/1)</w:t>
      </w:r>
    </w:p>
    <w:p w14:paraId="48FEEA15" w14:textId="77777777" w:rsidR="00DD07AD" w:rsidRPr="00DD07AD" w:rsidRDefault="00DD07AD" w:rsidP="00DD07AD">
      <w:pPr>
        <w:spacing w:line="300" w:lineRule="exact"/>
        <w:ind w:left="547" w:hanging="283"/>
        <w:textAlignment w:val="auto"/>
        <w:rPr>
          <w:rFonts w:ascii="Times New Roman" w:hAnsi="Times New Roman"/>
          <w:szCs w:val="24"/>
        </w:rPr>
      </w:pPr>
      <w:r w:rsidRPr="00DD07AD">
        <w:rPr>
          <w:rFonts w:ascii="標楷體" w:eastAsia="標楷體" w:hAnsi="標楷體" w:hint="eastAsia"/>
          <w:color w:val="000000"/>
          <w:szCs w:val="24"/>
        </w:rPr>
        <w:t>2.經使用statins類藥品單一治療6-8</w:t>
      </w:r>
      <w:proofErr w:type="gramStart"/>
      <w:r w:rsidRPr="00DD07AD">
        <w:rPr>
          <w:rFonts w:ascii="標楷體" w:eastAsia="標楷體" w:hAnsi="標楷體" w:hint="eastAsia"/>
          <w:color w:val="000000"/>
          <w:szCs w:val="24"/>
        </w:rPr>
        <w:t>週</w:t>
      </w:r>
      <w:proofErr w:type="gramEnd"/>
      <w:r w:rsidRPr="00DD07AD">
        <w:rPr>
          <w:rFonts w:ascii="標楷體" w:eastAsia="標楷體" w:hAnsi="標楷體" w:hint="eastAsia"/>
          <w:color w:val="000000"/>
          <w:szCs w:val="24"/>
        </w:rPr>
        <w:t>未達治療目標者，得合併</w:t>
      </w:r>
      <w:proofErr w:type="gramStart"/>
      <w:r w:rsidRPr="00DD07AD">
        <w:rPr>
          <w:rFonts w:ascii="標楷體" w:eastAsia="標楷體" w:hAnsi="標楷體" w:hint="eastAsia"/>
          <w:color w:val="000000"/>
          <w:szCs w:val="24"/>
        </w:rPr>
        <w:t>使用本類藥品</w:t>
      </w:r>
      <w:proofErr w:type="gramEnd"/>
      <w:r w:rsidRPr="00DD07AD">
        <w:rPr>
          <w:rFonts w:ascii="標楷體" w:eastAsia="標楷體" w:hAnsi="標楷體" w:hint="eastAsia"/>
          <w:color w:val="000000"/>
          <w:szCs w:val="24"/>
        </w:rPr>
        <w:t>與statins類藥品。但下表所列項目，需經使用statins類藥品單一治療3個月未達治療目標者，始得與statins類藥品</w:t>
      </w:r>
      <w:proofErr w:type="gramStart"/>
      <w:r w:rsidRPr="00DD07AD">
        <w:rPr>
          <w:rFonts w:ascii="標楷體" w:eastAsia="標楷體" w:hAnsi="標楷體" w:hint="eastAsia"/>
          <w:color w:val="000000"/>
          <w:szCs w:val="24"/>
        </w:rPr>
        <w:t>併</w:t>
      </w:r>
      <w:proofErr w:type="gramEnd"/>
      <w:r w:rsidRPr="00DD07AD">
        <w:rPr>
          <w:rFonts w:ascii="標楷體" w:eastAsia="標楷體" w:hAnsi="標楷體" w:hint="eastAsia"/>
          <w:color w:val="000000"/>
          <w:szCs w:val="24"/>
        </w:rPr>
        <w:t>用。(115/9/1)</w:t>
      </w:r>
    </w:p>
    <w:tbl>
      <w:tblPr>
        <w:tblW w:w="5543" w:type="dxa"/>
        <w:tblInd w:w="264" w:type="dxa"/>
        <w:tblCellMar>
          <w:left w:w="10" w:type="dxa"/>
          <w:right w:w="10" w:type="dxa"/>
        </w:tblCellMar>
        <w:tblLook w:val="04A0" w:firstRow="1" w:lastRow="0" w:firstColumn="1" w:lastColumn="0" w:noHBand="0" w:noVBand="1"/>
      </w:tblPr>
      <w:tblGrid>
        <w:gridCol w:w="1417"/>
        <w:gridCol w:w="4126"/>
      </w:tblGrid>
      <w:tr w:rsidR="00DD07AD" w:rsidRPr="00DD07AD" w14:paraId="2175C64A"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71492" w14:textId="77777777" w:rsidR="00DD07AD" w:rsidRPr="00DD07AD" w:rsidRDefault="00DD07AD" w:rsidP="00F179D0">
            <w:pPr>
              <w:snapToGrid w:val="0"/>
              <w:spacing w:line="24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健保代碼</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D2949" w14:textId="77777777" w:rsidR="00DD07AD" w:rsidRPr="00DD07AD" w:rsidRDefault="00DD07AD" w:rsidP="00F179D0">
            <w:pPr>
              <w:snapToGrid w:val="0"/>
              <w:spacing w:line="24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藥品名稱</w:t>
            </w:r>
          </w:p>
        </w:tc>
      </w:tr>
      <w:tr w:rsidR="00DD07AD" w:rsidRPr="00DD07AD" w14:paraId="26CBD056"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44C698"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AC60610100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39A85" w14:textId="77777777" w:rsidR="00DD07AD" w:rsidRPr="00DD07AD" w:rsidRDefault="00DD07AD" w:rsidP="00F179D0">
            <w:pPr>
              <w:snapToGrid w:val="0"/>
              <w:spacing w:line="240" w:lineRule="exact"/>
              <w:textAlignment w:val="auto"/>
              <w:rPr>
                <w:rFonts w:ascii="Times New Roman" w:hAnsi="Times New Roman"/>
                <w:szCs w:val="24"/>
              </w:rPr>
            </w:pPr>
            <w:proofErr w:type="spellStart"/>
            <w:r w:rsidRPr="00DD07AD">
              <w:rPr>
                <w:rFonts w:ascii="Times New Roman" w:hAnsi="Times New Roman"/>
                <w:color w:val="000000"/>
                <w:sz w:val="22"/>
              </w:rPr>
              <w:t>Ezetity</w:t>
            </w:r>
            <w:proofErr w:type="spellEnd"/>
            <w:r w:rsidRPr="00DD07AD">
              <w:rPr>
                <w:rFonts w:ascii="Times New Roman" w:hAnsi="Times New Roman"/>
                <w:color w:val="000000"/>
                <w:sz w:val="22"/>
              </w:rPr>
              <w:t xml:space="preserve"> tablets 10mg</w:t>
            </w:r>
          </w:p>
        </w:tc>
      </w:tr>
      <w:tr w:rsidR="00DD07AD" w:rsidRPr="00DD07AD" w14:paraId="4F124471"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43BFF"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BC27311100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E8DC9" w14:textId="77777777" w:rsidR="00DD07AD" w:rsidRPr="00DD07AD" w:rsidRDefault="00DD07AD" w:rsidP="00F179D0">
            <w:pPr>
              <w:snapToGrid w:val="0"/>
              <w:spacing w:line="240" w:lineRule="exact"/>
              <w:textAlignment w:val="auto"/>
              <w:rPr>
                <w:rFonts w:ascii="Times New Roman" w:hAnsi="Times New Roman"/>
                <w:szCs w:val="24"/>
              </w:rPr>
            </w:pPr>
            <w:proofErr w:type="spellStart"/>
            <w:r w:rsidRPr="00DD07AD">
              <w:rPr>
                <w:rFonts w:ascii="Times New Roman" w:hAnsi="Times New Roman"/>
                <w:color w:val="000000"/>
                <w:sz w:val="22"/>
              </w:rPr>
              <w:t>Ezzicad</w:t>
            </w:r>
            <w:proofErr w:type="spellEnd"/>
            <w:r w:rsidRPr="00DD07AD">
              <w:rPr>
                <w:rFonts w:ascii="Times New Roman" w:hAnsi="Times New Roman"/>
                <w:color w:val="000000"/>
                <w:sz w:val="22"/>
              </w:rPr>
              <w:t xml:space="preserve"> (ezetimibe) 10mg Tablets</w:t>
            </w:r>
          </w:p>
        </w:tc>
      </w:tr>
      <w:tr w:rsidR="00DD07AD" w:rsidRPr="00DD07AD" w14:paraId="32BDC72F"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7686"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BC28252100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7B37E" w14:textId="77777777" w:rsidR="00DD07AD" w:rsidRPr="00DD07AD" w:rsidRDefault="00DD07AD" w:rsidP="00F179D0">
            <w:pPr>
              <w:snapToGrid w:val="0"/>
              <w:spacing w:line="240" w:lineRule="exact"/>
              <w:textAlignment w:val="auto"/>
              <w:rPr>
                <w:rFonts w:ascii="Times New Roman" w:hAnsi="Times New Roman"/>
                <w:szCs w:val="24"/>
              </w:rPr>
            </w:pPr>
            <w:proofErr w:type="spellStart"/>
            <w:r w:rsidRPr="00DD07AD">
              <w:rPr>
                <w:rFonts w:ascii="Times New Roman" w:hAnsi="Times New Roman"/>
                <w:color w:val="000000"/>
                <w:sz w:val="22"/>
              </w:rPr>
              <w:t>Ezta</w:t>
            </w:r>
            <w:proofErr w:type="spellEnd"/>
            <w:r w:rsidRPr="00DD07AD">
              <w:rPr>
                <w:rFonts w:ascii="Times New Roman" w:hAnsi="Times New Roman"/>
                <w:color w:val="000000"/>
                <w:sz w:val="22"/>
              </w:rPr>
              <w:t xml:space="preserve"> 10 (ezetimibe Tablets 10mg)</w:t>
            </w:r>
          </w:p>
        </w:tc>
      </w:tr>
      <w:tr w:rsidR="00DD07AD" w:rsidRPr="00DD07AD" w14:paraId="2082CD0A"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F2AD2"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BC26552100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6A7E79" w14:textId="77777777" w:rsidR="00DD07AD" w:rsidRPr="00DD07AD" w:rsidRDefault="00DD07AD" w:rsidP="00F179D0">
            <w:pPr>
              <w:snapToGrid w:val="0"/>
              <w:spacing w:line="240" w:lineRule="exact"/>
              <w:textAlignment w:val="auto"/>
              <w:rPr>
                <w:rFonts w:ascii="Times New Roman" w:hAnsi="Times New Roman"/>
                <w:szCs w:val="24"/>
              </w:rPr>
            </w:pPr>
            <w:r w:rsidRPr="00DD07AD">
              <w:rPr>
                <w:rFonts w:ascii="Times New Roman" w:hAnsi="Times New Roman"/>
                <w:color w:val="000000"/>
                <w:sz w:val="22"/>
              </w:rPr>
              <w:t>Ezetimibe Sandoz 10mg tablets</w:t>
            </w:r>
          </w:p>
        </w:tc>
      </w:tr>
    </w:tbl>
    <w:p w14:paraId="5500AD6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16085DA6" w14:textId="77777777" w:rsidR="00DD07AD" w:rsidRPr="00DD07AD" w:rsidRDefault="00DD07AD" w:rsidP="00DD07AD">
      <w:pPr>
        <w:spacing w:line="300" w:lineRule="exact"/>
        <w:ind w:left="672" w:hanging="386"/>
        <w:rPr>
          <w:rFonts w:ascii="標楷體" w:eastAsia="標楷體" w:hAnsi="標楷體"/>
          <w:color w:val="000000"/>
        </w:rPr>
      </w:pPr>
      <w:r w:rsidRPr="00DD07AD">
        <w:rPr>
          <w:rFonts w:ascii="標楷體" w:eastAsia="標楷體" w:hAnsi="標楷體" w:hint="eastAsia"/>
          <w:color w:val="000000"/>
        </w:rPr>
        <w:t>2.6.3.含ezetimibe及statin類之複方製劑：(95/12/1、106/8/1、111/11/1、112/12/1、115/9/1)：</w:t>
      </w:r>
    </w:p>
    <w:p w14:paraId="59FD6300" w14:textId="77777777" w:rsidR="00DD07AD" w:rsidRPr="00DD07AD" w:rsidRDefault="00DD07AD" w:rsidP="00DD07AD">
      <w:pPr>
        <w:spacing w:line="300" w:lineRule="exact"/>
        <w:ind w:left="535" w:hanging="283"/>
        <w:textAlignment w:val="auto"/>
        <w:rPr>
          <w:rFonts w:ascii="Times New Roman" w:hAnsi="Times New Roman"/>
          <w:szCs w:val="24"/>
        </w:rPr>
      </w:pPr>
      <w:r w:rsidRPr="00DD07AD">
        <w:rPr>
          <w:rFonts w:ascii="標楷體" w:eastAsia="標楷體" w:hAnsi="標楷體" w:hint="eastAsia"/>
          <w:color w:val="000000"/>
          <w:szCs w:val="24"/>
        </w:rPr>
        <w:t>1.限用於原發性高膽固醇血症、</w:t>
      </w:r>
      <w:proofErr w:type="gramStart"/>
      <w:r w:rsidRPr="00DD07AD">
        <w:rPr>
          <w:rFonts w:ascii="標楷體" w:eastAsia="標楷體" w:hAnsi="標楷體" w:hint="eastAsia"/>
          <w:color w:val="000000"/>
          <w:szCs w:val="24"/>
        </w:rPr>
        <w:t>同型接合子</w:t>
      </w:r>
      <w:proofErr w:type="gramEnd"/>
      <w:r w:rsidRPr="00DD07AD">
        <w:rPr>
          <w:rFonts w:ascii="標楷體" w:eastAsia="標楷體" w:hAnsi="標楷體" w:hint="eastAsia"/>
          <w:color w:val="000000"/>
          <w:szCs w:val="24"/>
        </w:rPr>
        <w:t>家族性高膽固醇血症(HOFH) 病患。(106/8/1、115/9/1)</w:t>
      </w:r>
    </w:p>
    <w:p w14:paraId="68CBCB98" w14:textId="77777777" w:rsidR="00DD07AD" w:rsidRPr="00DD07AD" w:rsidRDefault="00DD07AD" w:rsidP="00DD07AD">
      <w:pPr>
        <w:spacing w:line="300" w:lineRule="exact"/>
        <w:ind w:left="535" w:hanging="283"/>
        <w:textAlignment w:val="auto"/>
        <w:rPr>
          <w:rFonts w:ascii="Times New Roman" w:hAnsi="Times New Roman"/>
          <w:szCs w:val="24"/>
        </w:rPr>
      </w:pPr>
      <w:r w:rsidRPr="00DD07AD">
        <w:rPr>
          <w:rFonts w:ascii="標楷體" w:eastAsia="標楷體" w:hAnsi="標楷體" w:hint="eastAsia"/>
          <w:color w:val="000000"/>
          <w:szCs w:val="24"/>
        </w:rPr>
        <w:t>2.經使用statin類藥品單一治療6-8</w:t>
      </w:r>
      <w:proofErr w:type="gramStart"/>
      <w:r w:rsidRPr="00DD07AD">
        <w:rPr>
          <w:rFonts w:ascii="標楷體" w:eastAsia="標楷體" w:hAnsi="標楷體" w:hint="eastAsia"/>
          <w:color w:val="000000"/>
          <w:szCs w:val="24"/>
        </w:rPr>
        <w:t>週</w:t>
      </w:r>
      <w:proofErr w:type="gramEnd"/>
      <w:r w:rsidRPr="00DD07AD">
        <w:rPr>
          <w:rFonts w:ascii="標楷體" w:eastAsia="標楷體" w:hAnsi="標楷體" w:hint="eastAsia"/>
          <w:color w:val="000000"/>
          <w:szCs w:val="24"/>
        </w:rPr>
        <w:t>未達治療目標者，得</w:t>
      </w:r>
      <w:proofErr w:type="gramStart"/>
      <w:r w:rsidRPr="00DD07AD">
        <w:rPr>
          <w:rFonts w:ascii="標楷體" w:eastAsia="標楷體" w:hAnsi="標楷體" w:hint="eastAsia"/>
          <w:color w:val="000000"/>
          <w:szCs w:val="24"/>
        </w:rPr>
        <w:t>使用本類藥品</w:t>
      </w:r>
      <w:proofErr w:type="gramEnd"/>
      <w:r w:rsidRPr="00DD07AD">
        <w:rPr>
          <w:rFonts w:ascii="標楷體" w:eastAsia="標楷體" w:hAnsi="標楷體" w:hint="eastAsia"/>
          <w:color w:val="000000"/>
          <w:szCs w:val="24"/>
        </w:rPr>
        <w:t>。但下表所列項目，需經使用statin類藥品單一治療3個月未達治療目標者，始得使用。(115/9/1)</w:t>
      </w:r>
    </w:p>
    <w:tbl>
      <w:tblPr>
        <w:tblW w:w="5543" w:type="dxa"/>
        <w:tblInd w:w="264" w:type="dxa"/>
        <w:tblCellMar>
          <w:left w:w="10" w:type="dxa"/>
          <w:right w:w="10" w:type="dxa"/>
        </w:tblCellMar>
        <w:tblLook w:val="04A0" w:firstRow="1" w:lastRow="0" w:firstColumn="1" w:lastColumn="0" w:noHBand="0" w:noVBand="1"/>
      </w:tblPr>
      <w:tblGrid>
        <w:gridCol w:w="1417"/>
        <w:gridCol w:w="4126"/>
      </w:tblGrid>
      <w:tr w:rsidR="00DD07AD" w:rsidRPr="00DD07AD" w14:paraId="6BA759AE"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E62D4" w14:textId="77777777" w:rsidR="00DD07AD" w:rsidRPr="00DD07AD" w:rsidRDefault="00DD07AD" w:rsidP="00DD07AD">
            <w:pPr>
              <w:snapToGrid w:val="0"/>
              <w:spacing w:line="30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健保代碼</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24C55" w14:textId="77777777" w:rsidR="00DD07AD" w:rsidRPr="00DD07AD" w:rsidRDefault="00DD07AD" w:rsidP="00DD07AD">
            <w:pPr>
              <w:snapToGrid w:val="0"/>
              <w:spacing w:line="30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藥品名稱</w:t>
            </w:r>
          </w:p>
        </w:tc>
      </w:tr>
      <w:tr w:rsidR="00DD07AD" w:rsidRPr="00DD07AD" w14:paraId="1F052C65"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84B58"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AC59251100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DF2E6F"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Agitin</w:t>
            </w:r>
            <w:proofErr w:type="spellEnd"/>
            <w:r w:rsidRPr="00DD07AD">
              <w:rPr>
                <w:rFonts w:ascii="Times New Roman" w:hAnsi="Times New Roman"/>
                <w:color w:val="000000"/>
                <w:sz w:val="22"/>
              </w:rPr>
              <w:t xml:space="preserve"> tablets 10/20mg</w:t>
            </w:r>
          </w:p>
        </w:tc>
      </w:tr>
      <w:tr w:rsidR="00DD07AD" w:rsidRPr="00DD07AD" w14:paraId="5321E6CE"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4F0E4"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AC60402100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A1846"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Sacure</w:t>
            </w:r>
            <w:proofErr w:type="spellEnd"/>
            <w:r w:rsidRPr="00DD07AD">
              <w:rPr>
                <w:rFonts w:ascii="Times New Roman" w:hAnsi="Times New Roman"/>
                <w:color w:val="000000"/>
                <w:sz w:val="22"/>
              </w:rPr>
              <w:t xml:space="preserve"> tablets 10/20mg</w:t>
            </w:r>
          </w:p>
        </w:tc>
      </w:tr>
      <w:tr w:rsidR="00DD07AD" w:rsidRPr="00DD07AD" w14:paraId="6EAB4274"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06193"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BC28502100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C1E17"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Ezta</w:t>
            </w:r>
            <w:proofErr w:type="spellEnd"/>
            <w:r w:rsidRPr="00DD07AD">
              <w:rPr>
                <w:rFonts w:ascii="Times New Roman" w:hAnsi="Times New Roman"/>
                <w:color w:val="000000"/>
                <w:sz w:val="22"/>
              </w:rPr>
              <w:t>-SM 10+20 (ezetimibe and simvastatin tablets 10mg/20mg)</w:t>
            </w:r>
          </w:p>
        </w:tc>
      </w:tr>
      <w:tr w:rsidR="00DD07AD" w:rsidRPr="00DD07AD" w14:paraId="41A52273"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13DC6"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AC62052100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4BA27C"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Zoliton</w:t>
            </w:r>
            <w:proofErr w:type="spellEnd"/>
            <w:r w:rsidRPr="00DD07AD">
              <w:rPr>
                <w:rFonts w:ascii="Times New Roman" w:hAnsi="Times New Roman"/>
                <w:color w:val="000000"/>
                <w:sz w:val="22"/>
              </w:rPr>
              <w:t xml:space="preserve"> tablets 10/20mg</w:t>
            </w:r>
          </w:p>
        </w:tc>
      </w:tr>
      <w:tr w:rsidR="00DD07AD" w:rsidRPr="00DD07AD" w14:paraId="5A854803"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7607A"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AC62053100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D2C32"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Zoliton</w:t>
            </w:r>
            <w:proofErr w:type="spellEnd"/>
            <w:r w:rsidRPr="00DD07AD">
              <w:rPr>
                <w:rFonts w:ascii="Times New Roman" w:hAnsi="Times New Roman"/>
                <w:color w:val="000000"/>
                <w:sz w:val="22"/>
              </w:rPr>
              <w:t xml:space="preserve"> tablets 10/10mg</w:t>
            </w:r>
          </w:p>
        </w:tc>
      </w:tr>
      <w:tr w:rsidR="00DD07AD" w:rsidRPr="00DD07AD" w14:paraId="7D89872C"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890BA"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AC62140100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51028"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Zovastin</w:t>
            </w:r>
            <w:proofErr w:type="spellEnd"/>
            <w:r w:rsidRPr="00DD07AD">
              <w:rPr>
                <w:rFonts w:ascii="Times New Roman" w:hAnsi="Times New Roman"/>
                <w:color w:val="000000"/>
                <w:sz w:val="22"/>
              </w:rPr>
              <w:t xml:space="preserve"> tablets 10/10mg</w:t>
            </w:r>
          </w:p>
        </w:tc>
      </w:tr>
      <w:tr w:rsidR="00DD07AD" w:rsidRPr="00DD07AD" w14:paraId="5AA8D380"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3AF7A"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AC62139100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3FA4FA"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Zovastin</w:t>
            </w:r>
            <w:proofErr w:type="spellEnd"/>
            <w:r w:rsidRPr="00DD07AD">
              <w:rPr>
                <w:rFonts w:ascii="Times New Roman" w:hAnsi="Times New Roman"/>
                <w:color w:val="000000"/>
                <w:sz w:val="22"/>
              </w:rPr>
              <w:t xml:space="preserve"> tablets 10/20mg</w:t>
            </w:r>
          </w:p>
        </w:tc>
      </w:tr>
      <w:tr w:rsidR="00DD07AD" w:rsidRPr="00DD07AD" w14:paraId="7E24FC77"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6B6AF"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BC28181100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B219A"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Cretrol</w:t>
            </w:r>
            <w:proofErr w:type="spellEnd"/>
            <w:r w:rsidRPr="00DD07AD">
              <w:rPr>
                <w:rFonts w:ascii="Times New Roman" w:hAnsi="Times New Roman"/>
                <w:color w:val="000000"/>
                <w:sz w:val="22"/>
              </w:rPr>
              <w:t xml:space="preserve"> Tab. 10/10 mg</w:t>
            </w:r>
          </w:p>
        </w:tc>
      </w:tr>
      <w:tr w:rsidR="00DD07AD" w:rsidRPr="00DD07AD" w14:paraId="0CA11338"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6543E"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BC28182100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0AC7D5"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Cretrol</w:t>
            </w:r>
            <w:proofErr w:type="spellEnd"/>
            <w:r w:rsidRPr="00DD07AD">
              <w:rPr>
                <w:rFonts w:ascii="Times New Roman" w:hAnsi="Times New Roman"/>
                <w:color w:val="000000"/>
                <w:sz w:val="22"/>
              </w:rPr>
              <w:t xml:space="preserve"> Tab. 10/20 mg</w:t>
            </w:r>
          </w:p>
        </w:tc>
      </w:tr>
      <w:tr w:rsidR="00DD07AD" w:rsidRPr="00DD07AD" w14:paraId="6C12D4CD"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B00D8"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BC28884100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0C2C79"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Livazebe</w:t>
            </w:r>
            <w:proofErr w:type="spellEnd"/>
            <w:r w:rsidRPr="00DD07AD">
              <w:rPr>
                <w:rFonts w:ascii="Times New Roman" w:hAnsi="Times New Roman"/>
                <w:color w:val="000000"/>
                <w:sz w:val="22"/>
              </w:rPr>
              <w:t xml:space="preserve"> combination tablets HD (for 4mg)</w:t>
            </w:r>
          </w:p>
        </w:tc>
      </w:tr>
    </w:tbl>
    <w:p w14:paraId="297ABB2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4"/>
        </w:rPr>
      </w:pPr>
      <w:r w:rsidRPr="00DD07AD">
        <w:rPr>
          <w:rFonts w:ascii="標楷體" w:eastAsia="標楷體" w:hAnsi="標楷體" w:hint="eastAsia"/>
          <w:color w:val="000000"/>
          <w:szCs w:val="24"/>
        </w:rPr>
        <w:t>3.</w:t>
      </w:r>
      <w:proofErr w:type="gramStart"/>
      <w:r w:rsidRPr="00DD07AD">
        <w:rPr>
          <w:rFonts w:ascii="標楷體" w:eastAsia="標楷體" w:hAnsi="標楷體" w:hint="eastAsia"/>
          <w:color w:val="000000"/>
          <w:szCs w:val="24"/>
        </w:rPr>
        <w:t>本品不得</w:t>
      </w:r>
      <w:proofErr w:type="gramEnd"/>
      <w:r w:rsidRPr="00DD07AD">
        <w:rPr>
          <w:rFonts w:ascii="標楷體" w:eastAsia="標楷體" w:hAnsi="標楷體" w:hint="eastAsia"/>
          <w:color w:val="000000"/>
          <w:szCs w:val="24"/>
        </w:rPr>
        <w:t>與gemfibrozil</w:t>
      </w:r>
      <w:proofErr w:type="gramStart"/>
      <w:r w:rsidRPr="00DD07AD">
        <w:rPr>
          <w:rFonts w:ascii="標楷體" w:eastAsia="標楷體" w:hAnsi="標楷體" w:hint="eastAsia"/>
          <w:color w:val="000000"/>
          <w:szCs w:val="24"/>
        </w:rPr>
        <w:t>併</w:t>
      </w:r>
      <w:proofErr w:type="gramEnd"/>
      <w:r w:rsidRPr="00DD07AD">
        <w:rPr>
          <w:rFonts w:ascii="標楷體" w:eastAsia="標楷體" w:hAnsi="標楷體" w:hint="eastAsia"/>
          <w:color w:val="000000"/>
          <w:szCs w:val="24"/>
        </w:rPr>
        <w:t>用。(106/8/1)</w:t>
      </w:r>
    </w:p>
    <w:p w14:paraId="3CDB928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2.6.4. PCSK9 血脂調節劑</w:t>
      </w:r>
    </w:p>
    <w:p w14:paraId="4E923384" w14:textId="77777777" w:rsidR="00B0510F" w:rsidRPr="00E5735C" w:rsidRDefault="00C64FB3" w:rsidP="00B0510F">
      <w:pPr>
        <w:ind w:left="851" w:hanging="560"/>
        <w:rPr>
          <w:szCs w:val="24"/>
        </w:rPr>
      </w:pPr>
      <w:r>
        <w:rPr>
          <w:rFonts w:ascii="標楷體" w:eastAsia="標楷體" w:hAnsi="標楷體"/>
          <w:color w:val="000000"/>
        </w:rPr>
        <w:t>2.6.4.1.</w:t>
      </w:r>
      <w:r w:rsidR="00B0510F" w:rsidRPr="00B0510F">
        <w:rPr>
          <w:rFonts w:ascii="標楷體" w:eastAsia="標楷體" w:hAnsi="標楷體"/>
          <w:szCs w:val="24"/>
        </w:rPr>
        <w:t xml:space="preserve"> </w:t>
      </w:r>
      <w:proofErr w:type="spellStart"/>
      <w:r w:rsidR="00B0510F" w:rsidRPr="00E5735C">
        <w:rPr>
          <w:rFonts w:ascii="標楷體" w:eastAsia="標楷體" w:hAnsi="標楷體"/>
          <w:szCs w:val="24"/>
        </w:rPr>
        <w:t>Evolocumab</w:t>
      </w:r>
      <w:proofErr w:type="spellEnd"/>
      <w:r w:rsidR="00B0510F" w:rsidRPr="00E5735C">
        <w:rPr>
          <w:rFonts w:ascii="標楷體" w:eastAsia="標楷體" w:hAnsi="標楷體"/>
          <w:szCs w:val="24"/>
        </w:rPr>
        <w:t xml:space="preserve"> (如Repatha)：(107/3/1、108/5/1、109/4/1</w:t>
      </w:r>
      <w:r w:rsidR="00B0510F" w:rsidRPr="00E5735C">
        <w:rPr>
          <w:rFonts w:ascii="標楷體" w:eastAsia="標楷體" w:hAnsi="標楷體"/>
          <w:kern w:val="0"/>
          <w:szCs w:val="24"/>
        </w:rPr>
        <w:t>、114/9/1</w:t>
      </w:r>
      <w:r w:rsidR="00B0510F" w:rsidRPr="00E5735C">
        <w:rPr>
          <w:rFonts w:ascii="標楷體" w:eastAsia="標楷體" w:hAnsi="標楷體"/>
          <w:szCs w:val="24"/>
        </w:rPr>
        <w:t>)</w:t>
      </w:r>
    </w:p>
    <w:p w14:paraId="59CF384D" w14:textId="77777777" w:rsidR="00B0510F" w:rsidRPr="00E5735C" w:rsidRDefault="00B0510F" w:rsidP="002144EC">
      <w:pPr>
        <w:numPr>
          <w:ilvl w:val="0"/>
          <w:numId w:val="126"/>
        </w:numPr>
        <w:ind w:leftChars="253" w:left="849" w:hangingChars="101" w:hanging="242"/>
        <w:rPr>
          <w:rFonts w:ascii="標楷體" w:eastAsia="標楷體" w:hAnsi="標楷體"/>
          <w:szCs w:val="24"/>
        </w:rPr>
      </w:pPr>
      <w:r w:rsidRPr="00E5735C">
        <w:rPr>
          <w:rFonts w:ascii="標楷體" w:eastAsia="標楷體" w:hAnsi="標楷體"/>
          <w:szCs w:val="24"/>
        </w:rPr>
        <w:t>使用於發生重大心血管事件之病人</w:t>
      </w:r>
    </w:p>
    <w:p w14:paraId="7DAFCAA5" w14:textId="77777777" w:rsidR="00B0510F" w:rsidRPr="00E5735C" w:rsidRDefault="00B0510F" w:rsidP="002144EC">
      <w:pPr>
        <w:numPr>
          <w:ilvl w:val="0"/>
          <w:numId w:val="127"/>
        </w:numPr>
        <w:ind w:leftChars="296" w:left="1132" w:hangingChars="176" w:hanging="422"/>
        <w:rPr>
          <w:szCs w:val="24"/>
        </w:rPr>
      </w:pPr>
      <w:r w:rsidRPr="00E5735C">
        <w:rPr>
          <w:rFonts w:ascii="標楷體" w:eastAsia="標楷體" w:hAnsi="標楷體"/>
          <w:szCs w:val="24"/>
        </w:rPr>
        <w:t>須經事前審查核准後使用（請詳附表二-D），每次申請得核准使用12個月，再次申請須檢附評估報告，</w:t>
      </w:r>
      <w:proofErr w:type="gramStart"/>
      <w:r w:rsidRPr="00E5735C">
        <w:rPr>
          <w:rFonts w:ascii="標楷體" w:eastAsia="標楷體" w:hAnsi="標楷體"/>
          <w:szCs w:val="24"/>
        </w:rPr>
        <w:t>若血中</w:t>
      </w:r>
      <w:proofErr w:type="gramEnd"/>
      <w:r w:rsidRPr="00E5735C">
        <w:rPr>
          <w:rFonts w:ascii="標楷體" w:eastAsia="標楷體" w:hAnsi="標楷體"/>
          <w:szCs w:val="24"/>
        </w:rPr>
        <w:t xml:space="preserve"> LDL-C較本藥物開始使用前下降程度未達 30%，即屬療效不佳，則不再給付。</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5BFE12A0" w14:textId="77777777" w:rsidR="00B0510F" w:rsidRPr="00E5735C" w:rsidRDefault="00B0510F" w:rsidP="002144EC">
      <w:pPr>
        <w:numPr>
          <w:ilvl w:val="0"/>
          <w:numId w:val="127"/>
        </w:numPr>
        <w:ind w:leftChars="296" w:left="1132" w:hangingChars="176" w:hanging="422"/>
        <w:rPr>
          <w:szCs w:val="24"/>
        </w:rPr>
      </w:pPr>
      <w:r w:rsidRPr="00E5735C">
        <w:rPr>
          <w:rFonts w:ascii="標楷體" w:eastAsia="標楷體" w:hAnsi="標楷體"/>
          <w:szCs w:val="24"/>
        </w:rPr>
        <w:t>限給付於發生重大心血管事件之後</w:t>
      </w:r>
      <w:proofErr w:type="gramStart"/>
      <w:r w:rsidRPr="00E5735C">
        <w:rPr>
          <w:rFonts w:ascii="標楷體" w:eastAsia="標楷體" w:hAnsi="標楷體"/>
          <w:szCs w:val="24"/>
        </w:rPr>
        <w:t>一</w:t>
      </w:r>
      <w:proofErr w:type="gramEnd"/>
      <w:r w:rsidRPr="00E5735C">
        <w:rPr>
          <w:rFonts w:ascii="標楷體" w:eastAsia="標楷體" w:hAnsi="標楷體"/>
          <w:szCs w:val="24"/>
        </w:rPr>
        <w:t>年內且使用最大耐受劑量statin之病人，如心肌梗塞、接受冠狀動脈或其他動脈血管</w:t>
      </w:r>
      <w:proofErr w:type="gramStart"/>
      <w:r w:rsidRPr="00E5735C">
        <w:rPr>
          <w:rFonts w:ascii="標楷體" w:eastAsia="標楷體" w:hAnsi="標楷體"/>
          <w:szCs w:val="24"/>
        </w:rPr>
        <w:t>再通術</w:t>
      </w:r>
      <w:proofErr w:type="gramEnd"/>
      <w:r w:rsidRPr="00E5735C">
        <w:rPr>
          <w:rFonts w:ascii="標楷體" w:eastAsia="標楷體" w:hAnsi="標楷體"/>
          <w:szCs w:val="24"/>
        </w:rPr>
        <w:t xml:space="preserve"> (revascularization)、動脈硬化相關之缺血性腦中風等之</w:t>
      </w:r>
      <w:proofErr w:type="gramStart"/>
      <w:r w:rsidRPr="00E5735C">
        <w:rPr>
          <w:rFonts w:ascii="標楷體" w:eastAsia="標楷體" w:hAnsi="標楷體"/>
          <w:szCs w:val="24"/>
        </w:rPr>
        <w:t>動脈粥狀硬化</w:t>
      </w:r>
      <w:proofErr w:type="gramEnd"/>
      <w:r w:rsidRPr="00E5735C">
        <w:rPr>
          <w:rFonts w:ascii="標楷體" w:eastAsia="標楷體" w:hAnsi="標楷體"/>
          <w:szCs w:val="24"/>
        </w:rPr>
        <w:t>心血管疾病之成人病人，且符合下列條件之</w:t>
      </w:r>
      <w:proofErr w:type="gramStart"/>
      <w:r w:rsidRPr="00E5735C">
        <w:rPr>
          <w:rFonts w:ascii="標楷體" w:eastAsia="標楷體" w:hAnsi="標楷體"/>
          <w:szCs w:val="24"/>
        </w:rPr>
        <w:t>一</w:t>
      </w:r>
      <w:proofErr w:type="gramEnd"/>
      <w:r w:rsidRPr="00E5735C">
        <w:rPr>
          <w:rFonts w:ascii="標楷體" w:eastAsia="標楷體" w:hAnsi="標楷體"/>
          <w:szCs w:val="24"/>
        </w:rPr>
        <w:t>者：</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3D1D798A" w14:textId="77777777" w:rsidR="00B0510F" w:rsidRPr="00E5735C" w:rsidRDefault="00B0510F" w:rsidP="002144EC">
      <w:pPr>
        <w:numPr>
          <w:ilvl w:val="0"/>
          <w:numId w:val="128"/>
        </w:numPr>
        <w:ind w:left="1276" w:hanging="283"/>
        <w:rPr>
          <w:szCs w:val="24"/>
        </w:rPr>
      </w:pPr>
      <w:r w:rsidRPr="00E5735C">
        <w:rPr>
          <w:rFonts w:ascii="標楷體" w:eastAsia="標楷體" w:hAnsi="標楷體"/>
          <w:szCs w:val="24"/>
        </w:rPr>
        <w:t>經使用高強度statin (如rosuvastatin 20mg 或atorvastatin 40 mg(含)以上)或病人可耐受之最大劑量的statin三個月(含)以上且之後再合併使用ezetimibe 10 mg 三個月(含)以上，LDL-C 仍高於100 mg/dL者。</w:t>
      </w:r>
    </w:p>
    <w:p w14:paraId="2ECC6ED0" w14:textId="77777777" w:rsidR="00B0510F" w:rsidRPr="00E5735C" w:rsidRDefault="00B0510F" w:rsidP="002144EC">
      <w:pPr>
        <w:numPr>
          <w:ilvl w:val="0"/>
          <w:numId w:val="128"/>
        </w:numPr>
        <w:ind w:left="1276" w:hanging="283"/>
        <w:rPr>
          <w:szCs w:val="24"/>
        </w:rPr>
      </w:pPr>
      <w:r w:rsidRPr="00E5735C">
        <w:rPr>
          <w:rFonts w:ascii="標楷體" w:eastAsia="標楷體" w:hAnsi="標楷體"/>
          <w:szCs w:val="24"/>
        </w:rPr>
        <w:t>對statin 有禁忌症或確診為對statin不耐受之病人，經其他降血脂藥物(至少需有ezetimibe 10 mg)持續治療3個月，LDL-C仍高於100 mg/dL者。</w:t>
      </w:r>
    </w:p>
    <w:p w14:paraId="73C3E692" w14:textId="77777777" w:rsidR="00B0510F" w:rsidRPr="00E5735C" w:rsidRDefault="00B0510F" w:rsidP="002144EC">
      <w:pPr>
        <w:numPr>
          <w:ilvl w:val="0"/>
          <w:numId w:val="127"/>
        </w:numPr>
        <w:ind w:leftChars="296" w:left="1132" w:hangingChars="176" w:hanging="422"/>
        <w:rPr>
          <w:rFonts w:ascii="標楷體" w:eastAsia="標楷體" w:hAnsi="標楷體"/>
          <w:szCs w:val="24"/>
        </w:rPr>
      </w:pPr>
      <w:r w:rsidRPr="00E5735C">
        <w:rPr>
          <w:rFonts w:ascii="標楷體" w:eastAsia="標楷體" w:hAnsi="標楷體"/>
          <w:szCs w:val="24"/>
        </w:rPr>
        <w:t>最高劑量為每兩</w:t>
      </w:r>
      <w:proofErr w:type="gramStart"/>
      <w:r w:rsidRPr="00E5735C">
        <w:rPr>
          <w:rFonts w:ascii="標楷體" w:eastAsia="標楷體" w:hAnsi="標楷體"/>
          <w:szCs w:val="24"/>
        </w:rPr>
        <w:t>週</w:t>
      </w:r>
      <w:proofErr w:type="gramEnd"/>
      <w:r w:rsidRPr="00E5735C">
        <w:rPr>
          <w:rFonts w:ascii="標楷體" w:eastAsia="標楷體" w:hAnsi="標楷體"/>
          <w:szCs w:val="24"/>
        </w:rPr>
        <w:t>使用1支。</w:t>
      </w:r>
    </w:p>
    <w:p w14:paraId="3D71540B" w14:textId="77777777" w:rsidR="00B0510F" w:rsidRPr="00E5735C" w:rsidRDefault="00B0510F" w:rsidP="002144EC">
      <w:pPr>
        <w:numPr>
          <w:ilvl w:val="0"/>
          <w:numId w:val="127"/>
        </w:numPr>
        <w:ind w:leftChars="296" w:left="1132" w:hangingChars="176" w:hanging="422"/>
        <w:rPr>
          <w:rFonts w:ascii="標楷體" w:eastAsia="標楷體" w:hAnsi="標楷體"/>
          <w:szCs w:val="24"/>
        </w:rPr>
      </w:pPr>
      <w:r w:rsidRPr="00E5735C">
        <w:rPr>
          <w:rFonts w:ascii="標楷體" w:eastAsia="標楷體" w:hAnsi="標楷體"/>
          <w:szCs w:val="24"/>
        </w:rPr>
        <w:t>不可同時使用其他PCSK9血脂調節劑。</w:t>
      </w:r>
    </w:p>
    <w:p w14:paraId="3FB1FE24" w14:textId="77777777" w:rsidR="00B0510F" w:rsidRPr="00E5735C" w:rsidRDefault="00B0510F" w:rsidP="002144EC">
      <w:pPr>
        <w:numPr>
          <w:ilvl w:val="0"/>
          <w:numId w:val="126"/>
        </w:numPr>
        <w:ind w:leftChars="253" w:left="849" w:hangingChars="101" w:hanging="242"/>
        <w:rPr>
          <w:rFonts w:ascii="標楷體" w:eastAsia="標楷體" w:hAnsi="標楷體"/>
          <w:szCs w:val="24"/>
        </w:rPr>
      </w:pPr>
      <w:r w:rsidRPr="00E5735C">
        <w:rPr>
          <w:rFonts w:ascii="標楷體" w:eastAsia="標楷體" w:hAnsi="標楷體"/>
          <w:szCs w:val="24"/>
        </w:rPr>
        <w:t>使用於同合子家族性高膽固醇血症之病人</w:t>
      </w:r>
    </w:p>
    <w:p w14:paraId="2A6F843F" w14:textId="77777777" w:rsidR="00B0510F" w:rsidRPr="00E5735C" w:rsidRDefault="00B0510F" w:rsidP="002144EC">
      <w:pPr>
        <w:numPr>
          <w:ilvl w:val="0"/>
          <w:numId w:val="131"/>
        </w:numPr>
        <w:ind w:left="1134"/>
        <w:rPr>
          <w:rFonts w:ascii="標楷體" w:eastAsia="標楷體" w:hAnsi="標楷體"/>
          <w:color w:val="000000"/>
          <w:szCs w:val="24"/>
        </w:rPr>
      </w:pPr>
      <w:proofErr w:type="gramStart"/>
      <w:r w:rsidRPr="00E5735C">
        <w:rPr>
          <w:rFonts w:ascii="標楷體" w:eastAsia="標楷體" w:hAnsi="標楷體"/>
          <w:szCs w:val="24"/>
        </w:rPr>
        <w:t>限經使用</w:t>
      </w:r>
      <w:proofErr w:type="gramEnd"/>
      <w:r w:rsidRPr="00E5735C">
        <w:rPr>
          <w:rFonts w:ascii="標楷體" w:eastAsia="標楷體" w:hAnsi="標楷體"/>
          <w:szCs w:val="24"/>
        </w:rPr>
        <w:t>最高忍受劑量之</w:t>
      </w:r>
      <w:proofErr w:type="spellStart"/>
      <w:r w:rsidRPr="00E5735C">
        <w:rPr>
          <w:rFonts w:ascii="標楷體" w:eastAsia="標楷體" w:hAnsi="標楷體"/>
          <w:szCs w:val="24"/>
        </w:rPr>
        <w:t>statin+ezetimibe</w:t>
      </w:r>
      <w:proofErr w:type="spellEnd"/>
      <w:r w:rsidRPr="00E5735C">
        <w:rPr>
          <w:rFonts w:ascii="標楷體" w:eastAsia="標楷體" w:hAnsi="標楷體"/>
          <w:szCs w:val="24"/>
        </w:rPr>
        <w:t>合併治療6個月，LDL-C仍高於130mg</w:t>
      </w:r>
      <w:r w:rsidRPr="00E5735C">
        <w:rPr>
          <w:rFonts w:ascii="標楷體" w:eastAsia="標楷體" w:hAnsi="標楷體"/>
          <w:color w:val="000000"/>
          <w:szCs w:val="24"/>
        </w:rPr>
        <w:t>/dL者，且符合下列各項條件之</w:t>
      </w:r>
      <w:proofErr w:type="gramStart"/>
      <w:r w:rsidRPr="00E5735C">
        <w:rPr>
          <w:rFonts w:ascii="標楷體" w:eastAsia="標楷體" w:hAnsi="標楷體"/>
          <w:color w:val="000000"/>
          <w:szCs w:val="24"/>
        </w:rPr>
        <w:t>一</w:t>
      </w:r>
      <w:proofErr w:type="gramEnd"/>
      <w:r w:rsidRPr="00E5735C">
        <w:rPr>
          <w:rFonts w:ascii="標楷體" w:eastAsia="標楷體" w:hAnsi="標楷體"/>
          <w:color w:val="000000"/>
          <w:szCs w:val="24"/>
        </w:rPr>
        <w:t>患者使用：</w:t>
      </w:r>
    </w:p>
    <w:p w14:paraId="13311E36" w14:textId="77777777" w:rsidR="00B0510F" w:rsidRPr="00E5735C" w:rsidRDefault="00B0510F" w:rsidP="002144EC">
      <w:pPr>
        <w:pStyle w:val="af"/>
        <w:numPr>
          <w:ilvl w:val="0"/>
          <w:numId w:val="129"/>
        </w:numPr>
        <w:ind w:left="1134" w:hanging="306"/>
        <w:rPr>
          <w:rFonts w:ascii="標楷體" w:eastAsia="標楷體" w:hAnsi="標楷體"/>
          <w:color w:val="000000"/>
        </w:rPr>
      </w:pPr>
      <w:r w:rsidRPr="00E5735C">
        <w:rPr>
          <w:rFonts w:ascii="標楷體" w:eastAsia="標楷體" w:hAnsi="標楷體"/>
          <w:color w:val="000000"/>
        </w:rPr>
        <w:t>經遺傳基因檢測為同合子基因變異或多重不同基因異常，其</w:t>
      </w:r>
      <w:proofErr w:type="gramStart"/>
      <w:r w:rsidRPr="00E5735C">
        <w:rPr>
          <w:rFonts w:ascii="標楷體" w:eastAsia="標楷體" w:hAnsi="標楷體"/>
          <w:color w:val="000000"/>
        </w:rPr>
        <w:t>作用似同合子</w:t>
      </w:r>
      <w:proofErr w:type="gramEnd"/>
      <w:r w:rsidRPr="00E5735C">
        <w:rPr>
          <w:rFonts w:ascii="標楷體" w:eastAsia="標楷體" w:hAnsi="標楷體"/>
          <w:color w:val="000000"/>
        </w:rPr>
        <w:t>基因變異，</w:t>
      </w:r>
      <w:proofErr w:type="gramStart"/>
      <w:r w:rsidRPr="00E5735C">
        <w:rPr>
          <w:rFonts w:ascii="標楷體" w:eastAsia="標楷體" w:hAnsi="標楷體"/>
          <w:color w:val="000000"/>
        </w:rPr>
        <w:t>且確診</w:t>
      </w:r>
      <w:proofErr w:type="gramEnd"/>
      <w:r w:rsidRPr="00E5735C">
        <w:rPr>
          <w:rFonts w:ascii="標楷體" w:eastAsia="標楷體" w:hAnsi="標楷體"/>
          <w:color w:val="000000"/>
        </w:rPr>
        <w:t>為同合子家族性高膽固醇血症之患者：依中華民國血脂及動脈硬化學會「臺灣血脂異常防治共識節錄</w:t>
      </w:r>
      <w:proofErr w:type="gramStart"/>
      <w:r w:rsidRPr="00E5735C">
        <w:rPr>
          <w:rFonts w:ascii="標楷體" w:eastAsia="標楷體" w:hAnsi="標楷體"/>
          <w:color w:val="000000"/>
        </w:rPr>
        <w:t>─</w:t>
      </w:r>
      <w:proofErr w:type="gramEnd"/>
      <w:r w:rsidRPr="00E5735C">
        <w:rPr>
          <w:rFonts w:ascii="標楷體" w:eastAsia="標楷體" w:hAnsi="標楷體"/>
          <w:color w:val="000000"/>
        </w:rPr>
        <w:t>家族性高膽固醇血症之診斷與治療」之「台灣FH建議診斷標準」評分總和超過8分(108/5/1)。</w:t>
      </w:r>
    </w:p>
    <w:p w14:paraId="5E60AF5E" w14:textId="77777777" w:rsidR="00B0510F" w:rsidRPr="00E5735C" w:rsidRDefault="00B0510F" w:rsidP="002144EC">
      <w:pPr>
        <w:pStyle w:val="af"/>
        <w:numPr>
          <w:ilvl w:val="0"/>
          <w:numId w:val="129"/>
        </w:numPr>
        <w:tabs>
          <w:tab w:val="left" w:pos="1701"/>
        </w:tabs>
        <w:ind w:left="1134" w:hanging="425"/>
        <w:rPr>
          <w:rFonts w:ascii="標楷體" w:eastAsia="標楷體" w:hAnsi="標楷體"/>
          <w:color w:val="000000"/>
        </w:rPr>
      </w:pPr>
      <w:r w:rsidRPr="00E5735C">
        <w:rPr>
          <w:rFonts w:ascii="標楷體" w:eastAsia="標楷體" w:hAnsi="標楷體"/>
          <w:color w:val="000000"/>
        </w:rPr>
        <w:t>經遺傳基因檢測未檢出同合子基因變異或多重不同基因異常之同合子家族性高膽固醇血症患者，至少須符合以下三種臨床徵狀：(108/5/1、109/4/1)</w:t>
      </w:r>
    </w:p>
    <w:p w14:paraId="3E349A5E" w14:textId="77777777" w:rsidR="00B0510F" w:rsidRPr="00E5735C" w:rsidRDefault="00B0510F" w:rsidP="002144EC">
      <w:pPr>
        <w:pStyle w:val="af"/>
        <w:numPr>
          <w:ilvl w:val="0"/>
          <w:numId w:val="130"/>
        </w:numPr>
        <w:tabs>
          <w:tab w:val="left" w:pos="993"/>
        </w:tabs>
        <w:ind w:left="1418" w:hanging="54"/>
        <w:rPr>
          <w:rFonts w:ascii="標楷體" w:eastAsia="標楷體" w:hAnsi="標楷體"/>
          <w:color w:val="000000"/>
        </w:rPr>
      </w:pPr>
      <w:r w:rsidRPr="00E5735C">
        <w:rPr>
          <w:rFonts w:ascii="標楷體" w:eastAsia="標楷體" w:hAnsi="標楷體"/>
          <w:color w:val="000000"/>
        </w:rPr>
        <w:t>10歲前出現皮膚或肌腱黃色瘤。</w:t>
      </w:r>
    </w:p>
    <w:p w14:paraId="0312CD3D" w14:textId="77777777" w:rsidR="00B0510F" w:rsidRPr="00E5735C" w:rsidRDefault="00B0510F" w:rsidP="002144EC">
      <w:pPr>
        <w:pStyle w:val="af"/>
        <w:numPr>
          <w:ilvl w:val="0"/>
          <w:numId w:val="130"/>
        </w:numPr>
        <w:tabs>
          <w:tab w:val="left" w:pos="993"/>
        </w:tabs>
        <w:ind w:left="1560" w:hanging="54"/>
        <w:rPr>
          <w:rFonts w:ascii="標楷體" w:eastAsia="標楷體" w:hAnsi="標楷體"/>
          <w:color w:val="000000"/>
        </w:rPr>
      </w:pPr>
      <w:r w:rsidRPr="00E5735C">
        <w:rPr>
          <w:rFonts w:ascii="標楷體" w:eastAsia="標楷體" w:hAnsi="標楷體"/>
          <w:color w:val="000000"/>
        </w:rPr>
        <w:t>未經藥物治療之LDL-C&gt;500 mg/dL且</w:t>
      </w:r>
      <w:proofErr w:type="gramStart"/>
      <w:r w:rsidRPr="00E5735C">
        <w:rPr>
          <w:rFonts w:ascii="標楷體" w:eastAsia="標楷體" w:hAnsi="標楷體"/>
          <w:color w:val="000000"/>
        </w:rPr>
        <w:t>經降高血</w:t>
      </w:r>
      <w:proofErr w:type="gramEnd"/>
      <w:r w:rsidRPr="00E5735C">
        <w:rPr>
          <w:rFonts w:ascii="標楷體" w:eastAsia="標楷體" w:hAnsi="標楷體"/>
          <w:color w:val="000000"/>
        </w:rPr>
        <w:t>脂藥物治療後&gt;330mg/dL。</w:t>
      </w:r>
    </w:p>
    <w:p w14:paraId="03583C69" w14:textId="77777777" w:rsidR="00B0510F" w:rsidRPr="00E5735C" w:rsidRDefault="00B0510F" w:rsidP="002144EC">
      <w:pPr>
        <w:pStyle w:val="af"/>
        <w:numPr>
          <w:ilvl w:val="0"/>
          <w:numId w:val="130"/>
        </w:numPr>
        <w:tabs>
          <w:tab w:val="left" w:pos="993"/>
        </w:tabs>
        <w:ind w:left="1701" w:hanging="54"/>
        <w:rPr>
          <w:rFonts w:ascii="標楷體" w:eastAsia="標楷體" w:hAnsi="標楷體"/>
          <w:color w:val="000000"/>
        </w:rPr>
      </w:pPr>
      <w:r w:rsidRPr="00E5735C">
        <w:rPr>
          <w:rFonts w:ascii="標楷體" w:eastAsia="標楷體" w:hAnsi="標楷體"/>
          <w:color w:val="000000"/>
        </w:rPr>
        <w:t>父母有高膽固醇血症(未經藥物治療之TC&gt;250mg/dL)。</w:t>
      </w:r>
    </w:p>
    <w:p w14:paraId="6B1231CE" w14:textId="77777777" w:rsidR="00B0510F" w:rsidRPr="00E5735C" w:rsidRDefault="00B0510F" w:rsidP="002144EC">
      <w:pPr>
        <w:pStyle w:val="af"/>
        <w:numPr>
          <w:ilvl w:val="0"/>
          <w:numId w:val="130"/>
        </w:numPr>
        <w:tabs>
          <w:tab w:val="left" w:pos="993"/>
        </w:tabs>
        <w:ind w:left="1560" w:hanging="54"/>
        <w:rPr>
          <w:rFonts w:ascii="標楷體" w:eastAsia="標楷體" w:hAnsi="標楷體"/>
          <w:color w:val="000000"/>
        </w:rPr>
      </w:pPr>
      <w:r w:rsidRPr="00E5735C">
        <w:rPr>
          <w:rFonts w:ascii="標楷體" w:eastAsia="標楷體" w:hAnsi="標楷體"/>
          <w:color w:val="000000"/>
        </w:rPr>
        <w:t>20歲前發生冠心病。</w:t>
      </w:r>
    </w:p>
    <w:p w14:paraId="340D9C5F" w14:textId="77777777" w:rsidR="00B0510F" w:rsidRPr="00E5735C" w:rsidRDefault="00B0510F" w:rsidP="002144EC">
      <w:pPr>
        <w:numPr>
          <w:ilvl w:val="0"/>
          <w:numId w:val="131"/>
        </w:numPr>
        <w:ind w:leftChars="296" w:left="1132" w:hangingChars="176" w:hanging="422"/>
        <w:rPr>
          <w:rFonts w:ascii="標楷體" w:eastAsia="標楷體" w:hAnsi="標楷體"/>
          <w:szCs w:val="24"/>
        </w:rPr>
      </w:pPr>
      <w:r w:rsidRPr="00E5735C">
        <w:rPr>
          <w:rFonts w:ascii="標楷體" w:eastAsia="標楷體" w:hAnsi="標楷體"/>
          <w:szCs w:val="24"/>
        </w:rPr>
        <w:t>需經事前審查核准使用，每次申請之療程以6個月為限。</w:t>
      </w:r>
    </w:p>
    <w:p w14:paraId="0934AC7A" w14:textId="77777777" w:rsidR="00B0510F" w:rsidRDefault="00B0510F" w:rsidP="002144EC">
      <w:pPr>
        <w:numPr>
          <w:ilvl w:val="0"/>
          <w:numId w:val="131"/>
        </w:numPr>
        <w:ind w:leftChars="296" w:left="1132" w:hangingChars="176" w:hanging="422"/>
        <w:rPr>
          <w:rFonts w:ascii="標楷體" w:eastAsia="標楷體" w:hAnsi="標楷體"/>
          <w:szCs w:val="24"/>
        </w:rPr>
      </w:pPr>
      <w:r w:rsidRPr="00E5735C">
        <w:rPr>
          <w:rFonts w:ascii="標楷體" w:eastAsia="標楷體" w:hAnsi="標楷體"/>
          <w:szCs w:val="24"/>
        </w:rPr>
        <w:t>使用後需每6個月評估一次LDL-C，若LDL-C連續</w:t>
      </w:r>
      <w:proofErr w:type="gramStart"/>
      <w:r w:rsidRPr="00E5735C">
        <w:rPr>
          <w:rFonts w:ascii="標楷體" w:eastAsia="標楷體" w:hAnsi="標楷體"/>
          <w:szCs w:val="24"/>
        </w:rPr>
        <w:t>二次未較治療</w:t>
      </w:r>
      <w:proofErr w:type="gramEnd"/>
      <w:r w:rsidRPr="00E5735C">
        <w:rPr>
          <w:rFonts w:ascii="標楷體" w:eastAsia="標楷體" w:hAnsi="標楷體"/>
          <w:szCs w:val="24"/>
        </w:rPr>
        <w:t>前降低18%以上，則不予同意再使用。</w:t>
      </w:r>
    </w:p>
    <w:p w14:paraId="44C96E21" w14:textId="77777777" w:rsidR="00B0510F" w:rsidRPr="005849FE" w:rsidRDefault="00B0510F" w:rsidP="002144EC">
      <w:pPr>
        <w:numPr>
          <w:ilvl w:val="0"/>
          <w:numId w:val="131"/>
        </w:numPr>
        <w:ind w:leftChars="296" w:left="1132" w:hangingChars="176" w:hanging="422"/>
        <w:rPr>
          <w:rFonts w:ascii="標楷體" w:eastAsia="標楷體" w:hAnsi="標楷體"/>
          <w:szCs w:val="24"/>
        </w:rPr>
      </w:pPr>
      <w:proofErr w:type="gramStart"/>
      <w:r w:rsidRPr="005849FE">
        <w:rPr>
          <w:rFonts w:ascii="標楷體" w:eastAsia="標楷體" w:hAnsi="標楷體"/>
          <w:szCs w:val="24"/>
        </w:rPr>
        <w:t>限每4週</w:t>
      </w:r>
      <w:proofErr w:type="gramEnd"/>
      <w:r w:rsidRPr="005849FE">
        <w:rPr>
          <w:rFonts w:ascii="標楷體" w:eastAsia="標楷體" w:hAnsi="標楷體"/>
          <w:color w:val="000000"/>
          <w:szCs w:val="24"/>
        </w:rPr>
        <w:t>使用1次，每次最多使用3支，或每2</w:t>
      </w:r>
      <w:proofErr w:type="gramStart"/>
      <w:r w:rsidRPr="005849FE">
        <w:rPr>
          <w:rFonts w:ascii="標楷體" w:eastAsia="標楷體" w:hAnsi="標楷體"/>
          <w:color w:val="000000"/>
          <w:szCs w:val="24"/>
        </w:rPr>
        <w:t>週</w:t>
      </w:r>
      <w:proofErr w:type="gramEnd"/>
      <w:r w:rsidRPr="005849FE">
        <w:rPr>
          <w:rFonts w:ascii="標楷體" w:eastAsia="標楷體" w:hAnsi="標楷體"/>
          <w:color w:val="000000"/>
          <w:szCs w:val="24"/>
        </w:rPr>
        <w:t>使用1支。(109/4/1)</w:t>
      </w:r>
    </w:p>
    <w:p w14:paraId="7E92CF76" w14:textId="77777777" w:rsidR="00B0510F" w:rsidRPr="00E5735C" w:rsidRDefault="00B0510F" w:rsidP="00B0510F">
      <w:pPr>
        <w:ind w:left="692" w:hanging="560"/>
        <w:rPr>
          <w:szCs w:val="24"/>
        </w:rPr>
      </w:pPr>
      <w:r>
        <w:rPr>
          <w:rFonts w:ascii="標楷體" w:eastAsia="標楷體" w:hAnsi="標楷體"/>
          <w:color w:val="000000"/>
        </w:rPr>
        <w:t xml:space="preserve">2.6.4.2 </w:t>
      </w:r>
      <w:r w:rsidRPr="00E5735C">
        <w:rPr>
          <w:rFonts w:ascii="標楷體" w:eastAsia="標楷體" w:hAnsi="標楷體"/>
          <w:szCs w:val="24"/>
        </w:rPr>
        <w:t>Alirocumab</w:t>
      </w:r>
      <w:r w:rsidRPr="00E5735C">
        <w:rPr>
          <w:rFonts w:ascii="標楷體" w:eastAsia="標楷體" w:hAnsi="標楷體" w:hint="eastAsia"/>
          <w:szCs w:val="24"/>
        </w:rPr>
        <w:t xml:space="preserve"> </w:t>
      </w:r>
      <w:r w:rsidRPr="00E5735C">
        <w:rPr>
          <w:rFonts w:ascii="標楷體" w:eastAsia="標楷體" w:hAnsi="標楷體"/>
          <w:szCs w:val="24"/>
        </w:rPr>
        <w:t>(如</w:t>
      </w:r>
      <w:proofErr w:type="spellStart"/>
      <w:r w:rsidRPr="00E5735C">
        <w:rPr>
          <w:rFonts w:ascii="標楷體" w:eastAsia="標楷體" w:hAnsi="標楷體"/>
          <w:szCs w:val="24"/>
        </w:rPr>
        <w:t>Praluent</w:t>
      </w:r>
      <w:proofErr w:type="spellEnd"/>
      <w:r w:rsidRPr="00E5735C">
        <w:rPr>
          <w:rFonts w:ascii="標楷體" w:eastAsia="標楷體" w:hAnsi="標楷體"/>
          <w:szCs w:val="24"/>
        </w:rPr>
        <w:t>) (109/1/1</w:t>
      </w:r>
      <w:r w:rsidRPr="00E5735C">
        <w:rPr>
          <w:rFonts w:ascii="標楷體" w:eastAsia="標楷體" w:hAnsi="標楷體"/>
          <w:kern w:val="0"/>
          <w:szCs w:val="24"/>
        </w:rPr>
        <w:t>、114/9/1</w:t>
      </w:r>
      <w:r w:rsidRPr="00E5735C">
        <w:rPr>
          <w:rFonts w:ascii="標楷體" w:eastAsia="標楷體" w:hAnsi="標楷體"/>
          <w:szCs w:val="24"/>
        </w:rPr>
        <w:t>)：</w:t>
      </w:r>
    </w:p>
    <w:p w14:paraId="612DDC26" w14:textId="77777777" w:rsidR="00B0510F" w:rsidRPr="00E5735C" w:rsidRDefault="00B0510F" w:rsidP="00B0510F">
      <w:pPr>
        <w:snapToGrid w:val="0"/>
        <w:ind w:left="1134" w:hanging="386"/>
        <w:rPr>
          <w:rFonts w:ascii="標楷體" w:eastAsia="標楷體" w:hAnsi="標楷體"/>
          <w:szCs w:val="24"/>
        </w:rPr>
      </w:pPr>
      <w:r w:rsidRPr="00E5735C">
        <w:rPr>
          <w:rFonts w:ascii="標楷體" w:eastAsia="標楷體" w:hAnsi="標楷體"/>
          <w:szCs w:val="24"/>
        </w:rPr>
        <w:t>限使用於發生重大心血管事件之病人：</w:t>
      </w:r>
    </w:p>
    <w:p w14:paraId="3763886E" w14:textId="77777777" w:rsidR="00B0510F" w:rsidRPr="00E5735C" w:rsidRDefault="00B0510F" w:rsidP="002144EC">
      <w:pPr>
        <w:numPr>
          <w:ilvl w:val="0"/>
          <w:numId w:val="132"/>
        </w:numPr>
        <w:ind w:left="709" w:hanging="338"/>
        <w:rPr>
          <w:szCs w:val="24"/>
        </w:rPr>
      </w:pPr>
      <w:r w:rsidRPr="00E5735C">
        <w:rPr>
          <w:rFonts w:ascii="標楷體" w:eastAsia="標楷體" w:hAnsi="標楷體"/>
          <w:szCs w:val="24"/>
        </w:rPr>
        <w:t>須經事前審查核准後使用（請詳附表二-D），每次申請得核准使用12個月，再次申請須檢附評估報告，</w:t>
      </w:r>
      <w:proofErr w:type="gramStart"/>
      <w:r w:rsidRPr="00E5735C">
        <w:rPr>
          <w:rFonts w:ascii="標楷體" w:eastAsia="標楷體" w:hAnsi="標楷體"/>
          <w:szCs w:val="24"/>
        </w:rPr>
        <w:t>若血中</w:t>
      </w:r>
      <w:proofErr w:type="gramEnd"/>
      <w:r w:rsidRPr="00E5735C">
        <w:rPr>
          <w:rFonts w:ascii="標楷體" w:eastAsia="標楷體" w:hAnsi="標楷體"/>
          <w:szCs w:val="24"/>
        </w:rPr>
        <w:t>LDL-C較本藥物開始使用前下降程度未達30%，即屬療效不佳，則不再給付。</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0075A9A6" w14:textId="77777777" w:rsidR="00B0510F" w:rsidRPr="00E5735C" w:rsidRDefault="00B0510F" w:rsidP="002144EC">
      <w:pPr>
        <w:numPr>
          <w:ilvl w:val="0"/>
          <w:numId w:val="132"/>
        </w:numPr>
        <w:ind w:left="709" w:hanging="338"/>
        <w:rPr>
          <w:szCs w:val="24"/>
        </w:rPr>
      </w:pPr>
      <w:r w:rsidRPr="00E5735C">
        <w:rPr>
          <w:rFonts w:ascii="標楷體" w:eastAsia="標楷體" w:hAnsi="標楷體"/>
          <w:szCs w:val="24"/>
        </w:rPr>
        <w:t>限給付於發生重大心血管事件之後</w:t>
      </w:r>
      <w:proofErr w:type="gramStart"/>
      <w:r w:rsidRPr="00E5735C">
        <w:rPr>
          <w:rFonts w:ascii="標楷體" w:eastAsia="標楷體" w:hAnsi="標楷體"/>
          <w:szCs w:val="24"/>
        </w:rPr>
        <w:t>一</w:t>
      </w:r>
      <w:proofErr w:type="gramEnd"/>
      <w:r w:rsidRPr="00E5735C">
        <w:rPr>
          <w:rFonts w:ascii="標楷體" w:eastAsia="標楷體" w:hAnsi="標楷體"/>
          <w:szCs w:val="24"/>
        </w:rPr>
        <w:t>年內且使用最大耐受劑量statin之病人，如心肌梗塞、接受冠狀動脈或其他動脈血管</w:t>
      </w:r>
      <w:proofErr w:type="gramStart"/>
      <w:r w:rsidRPr="00E5735C">
        <w:rPr>
          <w:rFonts w:ascii="標楷體" w:eastAsia="標楷體" w:hAnsi="標楷體"/>
          <w:szCs w:val="24"/>
        </w:rPr>
        <w:t>再通術</w:t>
      </w:r>
      <w:proofErr w:type="gramEnd"/>
      <w:r w:rsidRPr="00E5735C">
        <w:rPr>
          <w:rFonts w:ascii="標楷體" w:eastAsia="標楷體" w:hAnsi="標楷體"/>
          <w:szCs w:val="24"/>
        </w:rPr>
        <w:t xml:space="preserve"> (revascularization)、動脈硬化相關之缺血性腦中風等之</w:t>
      </w:r>
      <w:proofErr w:type="gramStart"/>
      <w:r w:rsidRPr="00E5735C">
        <w:rPr>
          <w:rFonts w:ascii="標楷體" w:eastAsia="標楷體" w:hAnsi="標楷體"/>
          <w:szCs w:val="24"/>
        </w:rPr>
        <w:t>動脈粥狀硬化</w:t>
      </w:r>
      <w:proofErr w:type="gramEnd"/>
      <w:r w:rsidRPr="00E5735C">
        <w:rPr>
          <w:rFonts w:ascii="標楷體" w:eastAsia="標楷體" w:hAnsi="標楷體"/>
          <w:szCs w:val="24"/>
        </w:rPr>
        <w:t>心血管疾病之成人病人，且符合下列條件之</w:t>
      </w:r>
      <w:proofErr w:type="gramStart"/>
      <w:r w:rsidRPr="00E5735C">
        <w:rPr>
          <w:rFonts w:ascii="標楷體" w:eastAsia="標楷體" w:hAnsi="標楷體"/>
          <w:szCs w:val="24"/>
        </w:rPr>
        <w:t>一</w:t>
      </w:r>
      <w:proofErr w:type="gramEnd"/>
      <w:r w:rsidRPr="00E5735C">
        <w:rPr>
          <w:rFonts w:ascii="標楷體" w:eastAsia="標楷體" w:hAnsi="標楷體"/>
          <w:szCs w:val="24"/>
        </w:rPr>
        <w:t>者：</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3CF9F5EF" w14:textId="77777777" w:rsidR="00B0510F" w:rsidRPr="00E5735C" w:rsidRDefault="00B0510F" w:rsidP="002144EC">
      <w:pPr>
        <w:numPr>
          <w:ilvl w:val="0"/>
          <w:numId w:val="133"/>
        </w:numPr>
        <w:ind w:left="1276"/>
        <w:rPr>
          <w:szCs w:val="24"/>
        </w:rPr>
      </w:pPr>
      <w:r w:rsidRPr="00E5735C">
        <w:rPr>
          <w:rFonts w:ascii="標楷體" w:eastAsia="標楷體" w:hAnsi="標楷體"/>
          <w:szCs w:val="24"/>
        </w:rPr>
        <w:t>經使用高強度statin (如 rosuvastatin 20mg 或atorvastatin 40 mg(含)以上)或病人可耐受之最大劑量的statin三個月(含)以上且之後再合併使用ezetimibe 10 mg 三個月(含)以上，LDL-C 仍高於100 mg/dL者。</w:t>
      </w:r>
    </w:p>
    <w:p w14:paraId="5C5CA73E" w14:textId="77777777" w:rsidR="00B0510F" w:rsidRPr="00E5735C" w:rsidRDefault="00B0510F" w:rsidP="002144EC">
      <w:pPr>
        <w:numPr>
          <w:ilvl w:val="0"/>
          <w:numId w:val="133"/>
        </w:numPr>
        <w:ind w:left="1276"/>
        <w:rPr>
          <w:szCs w:val="24"/>
        </w:rPr>
      </w:pPr>
      <w:r w:rsidRPr="00E5735C">
        <w:rPr>
          <w:rFonts w:ascii="標楷體" w:eastAsia="標楷體" w:hAnsi="標楷體"/>
          <w:szCs w:val="24"/>
        </w:rPr>
        <w:lastRenderedPageBreak/>
        <w:t>對statin有禁忌症或確診為對statin不耐受之病人，經其他降血脂藥物(至少需有ezetimibe 10 mg)持續治療3個月，LDL-C仍高於100 mg/dL者。</w:t>
      </w:r>
    </w:p>
    <w:p w14:paraId="6988DD86" w14:textId="77777777" w:rsidR="00B0510F" w:rsidRDefault="00B0510F" w:rsidP="002144EC">
      <w:pPr>
        <w:numPr>
          <w:ilvl w:val="0"/>
          <w:numId w:val="132"/>
        </w:numPr>
        <w:ind w:left="851" w:hanging="338"/>
        <w:rPr>
          <w:rFonts w:ascii="標楷體" w:eastAsia="標楷體" w:hAnsi="標楷體"/>
          <w:szCs w:val="24"/>
        </w:rPr>
      </w:pPr>
      <w:r w:rsidRPr="00E5735C">
        <w:rPr>
          <w:rFonts w:ascii="標楷體" w:eastAsia="標楷體" w:hAnsi="標楷體"/>
          <w:szCs w:val="24"/>
        </w:rPr>
        <w:t>最高劑量為每兩</w:t>
      </w:r>
      <w:proofErr w:type="gramStart"/>
      <w:r w:rsidRPr="00E5735C">
        <w:rPr>
          <w:rFonts w:ascii="標楷體" w:eastAsia="標楷體" w:hAnsi="標楷體"/>
          <w:szCs w:val="24"/>
        </w:rPr>
        <w:t>週</w:t>
      </w:r>
      <w:proofErr w:type="gramEnd"/>
      <w:r w:rsidRPr="00E5735C">
        <w:rPr>
          <w:rFonts w:ascii="標楷體" w:eastAsia="標楷體" w:hAnsi="標楷體"/>
          <w:szCs w:val="24"/>
        </w:rPr>
        <w:t>使用1支。</w:t>
      </w:r>
    </w:p>
    <w:p w14:paraId="42A73C04" w14:textId="77777777" w:rsidR="00401786" w:rsidRDefault="00B0510F" w:rsidP="00B0510F">
      <w:pPr>
        <w:spacing w:line="300" w:lineRule="exact"/>
        <w:ind w:left="1134" w:hanging="386"/>
        <w:rPr>
          <w:rFonts w:ascii="標楷體" w:eastAsia="標楷體" w:hAnsi="標楷體"/>
          <w:color w:val="000000"/>
        </w:rPr>
      </w:pPr>
      <w:r w:rsidRPr="00875863">
        <w:rPr>
          <w:rFonts w:ascii="標楷體" w:eastAsia="標楷體" w:hAnsi="標楷體"/>
          <w:szCs w:val="24"/>
        </w:rPr>
        <w:t>不可同時使用其他PCSK9血脂調節劑。</w:t>
      </w:r>
    </w:p>
    <w:p w14:paraId="24B6333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2.7.乙型擬交感神經阻斷劑Beta blocking agents：metoprolol succinate 23.75mg（如</w:t>
      </w:r>
      <w:proofErr w:type="spellStart"/>
      <w:r>
        <w:rPr>
          <w:rFonts w:ascii="標楷體" w:eastAsia="標楷體" w:hAnsi="標楷體"/>
          <w:color w:val="000000"/>
        </w:rPr>
        <w:t>Betaloc</w:t>
      </w:r>
      <w:proofErr w:type="spellEnd"/>
      <w:r>
        <w:rPr>
          <w:rFonts w:ascii="標楷體" w:eastAsia="標楷體" w:hAnsi="標楷體"/>
          <w:color w:val="000000"/>
        </w:rPr>
        <w:t xml:space="preserve"> ZOK 25mg）(93/5/1)</w:t>
      </w:r>
    </w:p>
    <w:p w14:paraId="7CD826B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限用於慢性心衰竭病患。</w:t>
      </w:r>
    </w:p>
    <w:p w14:paraId="0B53055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2.8.其他  Miscellaneous</w:t>
      </w:r>
    </w:p>
    <w:p w14:paraId="0B019F6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2.8.1.腦循環改善劑、腦代謝改善劑及血球流變改善劑：(87/4/1)</w:t>
      </w:r>
    </w:p>
    <w:p w14:paraId="584DB585"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因治療上需要使用腦循環改善劑或腦代謝改善劑或血球流變</w:t>
      </w:r>
      <w:proofErr w:type="gramStart"/>
      <w:r>
        <w:rPr>
          <w:rFonts w:ascii="標楷體" w:eastAsia="標楷體" w:hAnsi="標楷體"/>
          <w:color w:val="000000"/>
        </w:rPr>
        <w:t>改善劑時</w:t>
      </w:r>
      <w:proofErr w:type="gramEnd"/>
      <w:r>
        <w:rPr>
          <w:rFonts w:ascii="標楷體" w:eastAsia="標楷體" w:hAnsi="標楷體"/>
          <w:color w:val="000000"/>
        </w:rPr>
        <w:t>，最多使用一類，且需檢附相關之紀錄或報告，並於病歷上詳細記載。</w:t>
      </w:r>
    </w:p>
    <w:p w14:paraId="38398D81" w14:textId="77777777" w:rsidR="00401786" w:rsidRDefault="00C64FB3" w:rsidP="0009639E">
      <w:pPr>
        <w:spacing w:line="300" w:lineRule="exact"/>
        <w:ind w:left="672" w:hanging="386"/>
        <w:textAlignment w:val="auto"/>
        <w:rPr>
          <w:rFonts w:ascii="標楷體" w:eastAsia="標楷體" w:hAnsi="標楷體"/>
          <w:color w:val="000000"/>
        </w:rPr>
      </w:pPr>
      <w:r>
        <w:rPr>
          <w:rFonts w:ascii="標楷體" w:eastAsia="標楷體" w:hAnsi="標楷體"/>
          <w:color w:val="000000"/>
        </w:rPr>
        <w:t>2.8.2.肺動脈高血壓治療劑(95/1/1、97/6/1、98/12/1、99/11/1、100/4/1、103/7/1、104/6/1、104/8/1、108/5/1、109/1/1、112/3/1、113/1/1、114/6/1)：</w:t>
      </w:r>
    </w:p>
    <w:p w14:paraId="12F64DB5" w14:textId="77777777" w:rsidR="00401786" w:rsidRDefault="00C64FB3" w:rsidP="0009639E">
      <w:pPr>
        <w:spacing w:line="300" w:lineRule="exact"/>
        <w:ind w:left="798" w:hanging="1"/>
        <w:textAlignment w:val="auto"/>
        <w:rPr>
          <w:rFonts w:ascii="標楷體" w:eastAsia="標楷體" w:hAnsi="標楷體"/>
          <w:color w:val="000000"/>
        </w:rPr>
      </w:pPr>
      <w:r>
        <w:rPr>
          <w:rFonts w:ascii="標楷體" w:eastAsia="標楷體" w:hAnsi="標楷體"/>
          <w:color w:val="000000"/>
        </w:rPr>
        <w:t>此類藥物原則上不得</w:t>
      </w:r>
      <w:proofErr w:type="gramStart"/>
      <w:r>
        <w:rPr>
          <w:rFonts w:ascii="標楷體" w:eastAsia="標楷體" w:hAnsi="標楷體"/>
          <w:color w:val="000000"/>
        </w:rPr>
        <w:t>併</w:t>
      </w:r>
      <w:proofErr w:type="gramEnd"/>
      <w:r>
        <w:rPr>
          <w:rFonts w:ascii="標楷體" w:eastAsia="標楷體" w:hAnsi="標楷體"/>
          <w:color w:val="000000"/>
        </w:rPr>
        <w:t>用，惟符合下列之</w:t>
      </w:r>
      <w:proofErr w:type="gramStart"/>
      <w:r>
        <w:rPr>
          <w:rFonts w:ascii="標楷體" w:eastAsia="標楷體" w:hAnsi="標楷體"/>
          <w:color w:val="000000"/>
        </w:rPr>
        <w:t>一</w:t>
      </w:r>
      <w:proofErr w:type="gramEnd"/>
      <w:r>
        <w:rPr>
          <w:rFonts w:ascii="標楷體" w:eastAsia="標楷體" w:hAnsi="標楷體"/>
          <w:color w:val="000000"/>
        </w:rPr>
        <w:t>情況者，得經事前審查核准通過接受合併治療：</w:t>
      </w:r>
    </w:p>
    <w:p w14:paraId="0E0FC2F1" w14:textId="77777777" w:rsidR="00401786" w:rsidRDefault="00C64FB3" w:rsidP="0009639E">
      <w:pPr>
        <w:spacing w:line="300" w:lineRule="exact"/>
        <w:ind w:left="798" w:hanging="231"/>
        <w:textAlignment w:val="auto"/>
        <w:rPr>
          <w:rFonts w:ascii="標楷體" w:eastAsia="標楷體" w:hAnsi="標楷體"/>
          <w:color w:val="000000"/>
        </w:rPr>
      </w:pPr>
      <w:r>
        <w:rPr>
          <w:rFonts w:ascii="標楷體" w:eastAsia="標楷體" w:hAnsi="標楷體"/>
          <w:color w:val="000000"/>
        </w:rPr>
        <w:t>1.WHO Functional Class III及IV嚴重且危及生命之原發性肺動脈高血壓患者，使用單一藥物治療成效不佳時。</w:t>
      </w:r>
    </w:p>
    <w:p w14:paraId="0DB65525" w14:textId="77777777" w:rsidR="00401786" w:rsidRDefault="00C64FB3" w:rsidP="0009639E">
      <w:pPr>
        <w:spacing w:line="300" w:lineRule="exact"/>
        <w:ind w:left="780" w:hanging="216"/>
        <w:rPr>
          <w:rFonts w:ascii="標楷體" w:eastAsia="標楷體" w:hAnsi="標楷體"/>
          <w:color w:val="000000"/>
        </w:rPr>
      </w:pPr>
      <w:r>
        <w:rPr>
          <w:rFonts w:ascii="標楷體" w:eastAsia="標楷體" w:hAnsi="標楷體"/>
          <w:color w:val="000000"/>
        </w:rPr>
        <w:t>2.WHO Functional Class III之先天性心臟病續發肺動脈高血壓患者，使用單一藥物治療三個月後成效不佳時。（104/8/1）</w:t>
      </w:r>
    </w:p>
    <w:p w14:paraId="26ED2BC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2.8.2.1.Iloprost (如</w:t>
      </w:r>
      <w:proofErr w:type="spellStart"/>
      <w:r>
        <w:rPr>
          <w:rFonts w:ascii="標楷體" w:eastAsia="標楷體" w:hAnsi="標楷體"/>
          <w:color w:val="000000"/>
        </w:rPr>
        <w:t>Ventavis</w:t>
      </w:r>
      <w:proofErr w:type="spellEnd"/>
      <w:r>
        <w:rPr>
          <w:rFonts w:ascii="標楷體" w:eastAsia="標楷體" w:hAnsi="標楷體"/>
          <w:color w:val="000000"/>
        </w:rPr>
        <w:t>、 Ilomedin-20)：(95/1/1、99/11/1、100/4/1)</w:t>
      </w:r>
    </w:p>
    <w:p w14:paraId="73B477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1.吸入劑：限用於原發性肺動脈高血壓之治療。</w:t>
      </w:r>
    </w:p>
    <w:p w14:paraId="6D5D761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2.輸注液：限用於原發性肺動脈高血壓且合併右心室衰竭嚴重度高於class III。</w:t>
      </w:r>
    </w:p>
    <w:p w14:paraId="3588F34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3.需經事前審查核准後使用。</w:t>
      </w:r>
    </w:p>
    <w:p w14:paraId="61EAB6C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2.8.2.2.Sildenafil (如</w:t>
      </w:r>
      <w:proofErr w:type="spellStart"/>
      <w:r>
        <w:rPr>
          <w:rFonts w:ascii="標楷體" w:eastAsia="標楷體" w:hAnsi="標楷體"/>
          <w:color w:val="000000"/>
        </w:rPr>
        <w:t>Revatio</w:t>
      </w:r>
      <w:proofErr w:type="spellEnd"/>
      <w:r>
        <w:rPr>
          <w:rFonts w:ascii="標楷體" w:eastAsia="標楷體" w:hAnsi="標楷體"/>
          <w:color w:val="000000"/>
        </w:rPr>
        <w:t>)：(97/6/1、100/4/1、102/8/1)</w:t>
      </w:r>
    </w:p>
    <w:p w14:paraId="0473AA8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1.用於原發性肺動脈高血壓、結締組織病變導致之肺動脈高血壓或先天性心臟病併發之肺動脈高血壓(Eisenmenger 症候群)運動能力差 (WHO Functional Class III及IV) 患者。(102/8/1)。</w:t>
      </w:r>
    </w:p>
    <w:p w14:paraId="646268B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2.不得與任何有機硝酸鹽藥物合併使用。</w:t>
      </w:r>
    </w:p>
    <w:p w14:paraId="2E57321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2.8.2.3.Ambrisentan（如</w:t>
      </w:r>
      <w:proofErr w:type="spellStart"/>
      <w:r>
        <w:rPr>
          <w:rFonts w:ascii="標楷體" w:eastAsia="標楷體" w:hAnsi="標楷體"/>
          <w:color w:val="000000"/>
        </w:rPr>
        <w:t>Volibris</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98/12/1、103/7/1、104/8/1、107/12/1)：</w:t>
      </w:r>
    </w:p>
    <w:p w14:paraId="622A0D8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1.限用於原發性肺動脈高血壓之治療。</w:t>
      </w:r>
    </w:p>
    <w:p w14:paraId="0256A8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2.需經事前審查核准後使用。</w:t>
      </w:r>
    </w:p>
    <w:p w14:paraId="518ECF4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3.每次限用1粒。</w:t>
      </w:r>
    </w:p>
    <w:p w14:paraId="6EB2742A"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2.8.2.4.Riociguat（如Adempas）(104/6/1</w:t>
      </w:r>
      <w:proofErr w:type="gramStart"/>
      <w:r>
        <w:rPr>
          <w:rFonts w:ascii="標楷體" w:eastAsia="標楷體" w:hAnsi="標楷體"/>
          <w:color w:val="000000"/>
        </w:rPr>
        <w:t>）</w:t>
      </w:r>
      <w:proofErr w:type="gramEnd"/>
      <w:r>
        <w:rPr>
          <w:rFonts w:ascii="標楷體" w:eastAsia="標楷體" w:hAnsi="標楷體"/>
          <w:color w:val="000000"/>
        </w:rPr>
        <w:t>：</w:t>
      </w:r>
    </w:p>
    <w:p w14:paraId="4F1F67E4"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1.限用於</w:t>
      </w:r>
    </w:p>
    <w:p w14:paraId="02E180C1" w14:textId="77777777" w:rsidR="00401786" w:rsidRDefault="00C64FB3" w:rsidP="0009639E">
      <w:pPr>
        <w:spacing w:line="300" w:lineRule="exact"/>
        <w:ind w:left="1078" w:hanging="370"/>
        <w:rPr>
          <w:rFonts w:ascii="標楷體" w:eastAsia="標楷體" w:hAnsi="標楷體"/>
          <w:color w:val="000000"/>
        </w:rPr>
      </w:pPr>
      <w:r>
        <w:rPr>
          <w:rFonts w:ascii="標楷體" w:eastAsia="標楷體" w:hAnsi="標楷體"/>
          <w:color w:val="000000"/>
        </w:rPr>
        <w:t>(1)原發性肺動脈高血壓之治療。</w:t>
      </w:r>
    </w:p>
    <w:p w14:paraId="2015274F" w14:textId="77777777" w:rsidR="00401786" w:rsidRDefault="00C64FB3" w:rsidP="0009639E">
      <w:pPr>
        <w:spacing w:line="300" w:lineRule="exact"/>
        <w:ind w:left="1078" w:hanging="370"/>
        <w:rPr>
          <w:rFonts w:ascii="標楷體" w:eastAsia="標楷體" w:hAnsi="標楷體"/>
          <w:color w:val="000000"/>
        </w:rPr>
      </w:pPr>
      <w:r>
        <w:rPr>
          <w:rFonts w:ascii="標楷體" w:eastAsia="標楷體" w:hAnsi="標楷體"/>
          <w:color w:val="000000"/>
        </w:rPr>
        <w:t>(2)無法手術或術後仍持續發生或復發、肺功能分級為WHO第II 級到第III 級的慢性血栓栓塞性肺高壓 (CTEPH，chronic thromboembolic pulmonary hypertension)之成年患者。</w:t>
      </w:r>
    </w:p>
    <w:p w14:paraId="6691C835"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2.需經事前審查核准後使用。</w:t>
      </w:r>
    </w:p>
    <w:p w14:paraId="01BA872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3.每次限用1粒。</w:t>
      </w:r>
    </w:p>
    <w:p w14:paraId="6BE08EBB" w14:textId="77777777" w:rsidR="00401786" w:rsidRDefault="00C64FB3" w:rsidP="0009639E">
      <w:pPr>
        <w:spacing w:line="300" w:lineRule="exact"/>
        <w:ind w:left="284"/>
        <w:rPr>
          <w:rFonts w:ascii="標楷體" w:eastAsia="標楷體" w:hAnsi="標楷體"/>
          <w:color w:val="000000"/>
        </w:rPr>
      </w:pPr>
      <w:r>
        <w:rPr>
          <w:rFonts w:ascii="標楷體" w:eastAsia="標楷體" w:hAnsi="標楷體"/>
          <w:color w:val="000000"/>
        </w:rPr>
        <w:t>2.8.2.5.Bosentan（如</w:t>
      </w:r>
      <w:proofErr w:type="spellStart"/>
      <w:r>
        <w:rPr>
          <w:rFonts w:ascii="標楷體" w:eastAsia="標楷體" w:hAnsi="標楷體"/>
          <w:color w:val="000000"/>
        </w:rPr>
        <w:t>Tracleer</w:t>
      </w:r>
      <w:proofErr w:type="spellEnd"/>
      <w:r>
        <w:rPr>
          <w:rFonts w:ascii="標楷體" w:eastAsia="標楷體" w:hAnsi="標楷體"/>
          <w:color w:val="000000"/>
        </w:rPr>
        <w:t>）（98/12/1、103/7/1、104/8/1）：</w:t>
      </w:r>
    </w:p>
    <w:p w14:paraId="20D07D6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1.用於原發性肺動脈高血壓。</w:t>
      </w:r>
    </w:p>
    <w:p w14:paraId="79684869"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2.用於因先天性心臟病續發WHO Functional Class III肺動脈高血壓(伴隨先天性Systemic-to-pulmonary shunts與Eisenmenger physiology)。</w:t>
      </w:r>
    </w:p>
    <w:p w14:paraId="30AEDC7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3.需經事前審查核准後使用。</w:t>
      </w:r>
    </w:p>
    <w:p w14:paraId="3F4D29BC"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4.每次限用1粒。</w:t>
      </w:r>
    </w:p>
    <w:p w14:paraId="7911ACA2" w14:textId="77777777" w:rsidR="00902168" w:rsidRPr="00F517B5" w:rsidRDefault="00902168" w:rsidP="00902168">
      <w:pPr>
        <w:spacing w:line="300" w:lineRule="exact"/>
        <w:ind w:leftChars="118" w:left="283"/>
        <w:jc w:val="both"/>
        <w:rPr>
          <w:szCs w:val="24"/>
        </w:rPr>
      </w:pPr>
      <w:r w:rsidRPr="00F517B5">
        <w:rPr>
          <w:rFonts w:ascii="標楷體" w:eastAsia="標楷體" w:hAnsi="標楷體"/>
          <w:color w:val="000000"/>
          <w:szCs w:val="24"/>
        </w:rPr>
        <w:t>2.8.2.6.Macitentan（如</w:t>
      </w:r>
      <w:proofErr w:type="spellStart"/>
      <w:r w:rsidRPr="00F517B5">
        <w:rPr>
          <w:rFonts w:ascii="標楷體" w:eastAsia="標楷體" w:hAnsi="標楷體"/>
          <w:color w:val="000000"/>
          <w:szCs w:val="24"/>
        </w:rPr>
        <w:t>Opsumit</w:t>
      </w:r>
      <w:proofErr w:type="spellEnd"/>
      <w:r w:rsidRPr="00F517B5">
        <w:rPr>
          <w:rFonts w:ascii="標楷體" w:eastAsia="標楷體" w:hAnsi="標楷體"/>
          <w:color w:val="000000"/>
          <w:szCs w:val="24"/>
        </w:rPr>
        <w:t>）</w:t>
      </w:r>
      <w:proofErr w:type="gramStart"/>
      <w:r w:rsidRPr="00F517B5">
        <w:rPr>
          <w:rFonts w:ascii="標楷體" w:eastAsia="標楷體" w:hAnsi="標楷體"/>
          <w:color w:val="000000"/>
          <w:szCs w:val="24"/>
        </w:rPr>
        <w:t>（</w:t>
      </w:r>
      <w:proofErr w:type="gramEnd"/>
      <w:r w:rsidRPr="00F517B5">
        <w:rPr>
          <w:rFonts w:ascii="標楷體" w:eastAsia="標楷體" w:hAnsi="標楷體"/>
          <w:color w:val="000000"/>
          <w:szCs w:val="24"/>
        </w:rPr>
        <w:t>107/12/1、114/6/1、115/5/1)：</w:t>
      </w:r>
    </w:p>
    <w:p w14:paraId="3618CD52" w14:textId="77777777" w:rsidR="00902168" w:rsidRPr="00F517B5" w:rsidRDefault="00902168" w:rsidP="00902168">
      <w:pPr>
        <w:spacing w:line="300" w:lineRule="exact"/>
        <w:ind w:left="567"/>
        <w:jc w:val="both"/>
        <w:rPr>
          <w:rFonts w:ascii="標楷體" w:eastAsia="標楷體" w:hAnsi="標楷體"/>
          <w:color w:val="000000"/>
          <w:szCs w:val="24"/>
        </w:rPr>
      </w:pPr>
      <w:r w:rsidRPr="00F517B5">
        <w:rPr>
          <w:rFonts w:ascii="標楷體" w:eastAsia="標楷體" w:hAnsi="標楷體"/>
          <w:color w:val="000000"/>
          <w:szCs w:val="24"/>
        </w:rPr>
        <w:t>1.用於原發性肺動脈高血壓：</w:t>
      </w:r>
    </w:p>
    <w:p w14:paraId="7089900A" w14:textId="77777777" w:rsidR="00902168" w:rsidRPr="00F517B5" w:rsidRDefault="00902168" w:rsidP="00902168">
      <w:pPr>
        <w:spacing w:line="300" w:lineRule="exact"/>
        <w:ind w:left="993" w:hanging="86"/>
        <w:jc w:val="both"/>
        <w:rPr>
          <w:rFonts w:ascii="標楷體" w:eastAsia="標楷體" w:hAnsi="標楷體"/>
          <w:color w:val="000000"/>
          <w:szCs w:val="24"/>
        </w:rPr>
      </w:pPr>
      <w:r w:rsidRPr="00F517B5">
        <w:rPr>
          <w:rFonts w:ascii="標楷體" w:eastAsia="標楷體" w:hAnsi="標楷體"/>
          <w:color w:val="000000"/>
          <w:szCs w:val="24"/>
        </w:rPr>
        <w:lastRenderedPageBreak/>
        <w:t>(1)需經事前審查核准使用。</w:t>
      </w:r>
    </w:p>
    <w:p w14:paraId="6867B3E2" w14:textId="77777777" w:rsidR="00902168" w:rsidRPr="00F517B5" w:rsidRDefault="00902168" w:rsidP="00902168">
      <w:pPr>
        <w:spacing w:line="300" w:lineRule="exact"/>
        <w:ind w:left="993" w:hanging="86"/>
        <w:jc w:val="both"/>
        <w:rPr>
          <w:rFonts w:ascii="標楷體" w:eastAsia="標楷體" w:hAnsi="標楷體"/>
          <w:color w:val="000000"/>
          <w:szCs w:val="24"/>
        </w:rPr>
      </w:pPr>
      <w:r w:rsidRPr="00F517B5">
        <w:rPr>
          <w:rFonts w:ascii="標楷體" w:eastAsia="標楷體" w:hAnsi="標楷體"/>
          <w:color w:val="000000"/>
          <w:szCs w:val="24"/>
        </w:rPr>
        <w:t>(2)每日限用1粒。</w:t>
      </w:r>
    </w:p>
    <w:p w14:paraId="6D6CE6CD" w14:textId="77777777" w:rsidR="00902168" w:rsidRPr="00F517B5" w:rsidRDefault="00902168" w:rsidP="00902168">
      <w:pPr>
        <w:spacing w:line="300" w:lineRule="exact"/>
        <w:ind w:left="567"/>
        <w:jc w:val="both"/>
        <w:rPr>
          <w:rFonts w:ascii="標楷體" w:eastAsia="標楷體" w:hAnsi="標楷體"/>
          <w:color w:val="000000"/>
          <w:szCs w:val="24"/>
        </w:rPr>
      </w:pPr>
      <w:r w:rsidRPr="00F517B5">
        <w:rPr>
          <w:rFonts w:ascii="標楷體" w:eastAsia="標楷體" w:hAnsi="標楷體"/>
          <w:color w:val="000000"/>
          <w:szCs w:val="24"/>
        </w:rPr>
        <w:t>2.用於結締組織病變導致之肺動脈高血壓：</w:t>
      </w:r>
    </w:p>
    <w:p w14:paraId="05DF306D" w14:textId="77777777" w:rsidR="00902168" w:rsidRPr="00F517B5" w:rsidRDefault="00902168" w:rsidP="00902168">
      <w:pPr>
        <w:spacing w:line="300" w:lineRule="exact"/>
        <w:ind w:left="993" w:hanging="86"/>
        <w:jc w:val="both"/>
        <w:rPr>
          <w:rFonts w:ascii="標楷體" w:eastAsia="標楷體" w:hAnsi="標楷體"/>
          <w:color w:val="000000"/>
          <w:szCs w:val="24"/>
        </w:rPr>
      </w:pPr>
      <w:r w:rsidRPr="00F517B5">
        <w:rPr>
          <w:rFonts w:ascii="標楷體" w:eastAsia="標楷體" w:hAnsi="標楷體"/>
          <w:color w:val="000000"/>
          <w:szCs w:val="24"/>
        </w:rPr>
        <w:t>(1)限符合下列各項條件之病患使用：</w:t>
      </w:r>
    </w:p>
    <w:p w14:paraId="5E517314" w14:textId="77777777" w:rsidR="00902168" w:rsidRPr="00F517B5" w:rsidRDefault="00902168" w:rsidP="00902168">
      <w:pPr>
        <w:spacing w:line="300" w:lineRule="exact"/>
        <w:ind w:left="1560" w:hanging="425"/>
        <w:jc w:val="both"/>
        <w:rPr>
          <w:rFonts w:ascii="標楷體" w:eastAsia="標楷體" w:hAnsi="標楷體"/>
          <w:color w:val="000000"/>
          <w:szCs w:val="24"/>
        </w:rPr>
      </w:pPr>
      <w:r w:rsidRPr="00F517B5">
        <w:rPr>
          <w:rFonts w:ascii="標楷體" w:eastAsia="標楷體" w:hAnsi="標楷體"/>
          <w:color w:val="000000"/>
          <w:szCs w:val="24"/>
        </w:rPr>
        <w:t>Ⅰ.</w:t>
      </w:r>
      <w:proofErr w:type="gramStart"/>
      <w:r w:rsidRPr="00F517B5">
        <w:rPr>
          <w:rFonts w:ascii="標楷體" w:eastAsia="標楷體" w:hAnsi="標楷體"/>
          <w:color w:val="000000"/>
          <w:szCs w:val="24"/>
        </w:rPr>
        <w:t>經右心</w:t>
      </w:r>
      <w:proofErr w:type="gramEnd"/>
      <w:r w:rsidRPr="00F517B5">
        <w:rPr>
          <w:rFonts w:ascii="標楷體" w:eastAsia="標楷體" w:hAnsi="標楷體"/>
          <w:color w:val="000000"/>
          <w:szCs w:val="24"/>
        </w:rPr>
        <w:t>導管檢查，證實確實符合肺動脈高血壓之診斷。</w:t>
      </w:r>
    </w:p>
    <w:p w14:paraId="75B8A9EB" w14:textId="77777777" w:rsidR="00902168" w:rsidRPr="00F517B5" w:rsidRDefault="00902168" w:rsidP="00902168">
      <w:pPr>
        <w:spacing w:line="300" w:lineRule="exact"/>
        <w:ind w:left="1560" w:hanging="425"/>
        <w:jc w:val="both"/>
        <w:rPr>
          <w:szCs w:val="24"/>
        </w:rPr>
      </w:pPr>
      <w:r w:rsidRPr="00F517B5">
        <w:rPr>
          <w:rFonts w:ascii="標楷體" w:eastAsia="標楷體" w:hAnsi="標楷體"/>
          <w:color w:val="000000"/>
          <w:szCs w:val="24"/>
        </w:rPr>
        <w:t>Ⅱ.結締組織病變導致之肺動脈高血壓成年患者(須經肺動脈高血壓相關檢查，</w:t>
      </w:r>
      <w:proofErr w:type="gramStart"/>
      <w:r w:rsidRPr="00F517B5">
        <w:rPr>
          <w:rFonts w:ascii="標楷體" w:eastAsia="標楷體" w:hAnsi="標楷體"/>
          <w:color w:val="000000"/>
          <w:szCs w:val="24"/>
        </w:rPr>
        <w:t>如肺功能</w:t>
      </w:r>
      <w:proofErr w:type="gramEnd"/>
      <w:r w:rsidRPr="00F517B5">
        <w:rPr>
          <w:rFonts w:ascii="標楷體" w:eastAsia="標楷體" w:hAnsi="標楷體"/>
          <w:color w:val="000000"/>
          <w:szCs w:val="24"/>
        </w:rPr>
        <w:t>、高解析胸部電腦斷層、肺部通氣</w:t>
      </w:r>
      <w:proofErr w:type="gramStart"/>
      <w:r w:rsidRPr="00F517B5">
        <w:rPr>
          <w:rFonts w:ascii="標楷體" w:eastAsia="標楷體" w:hAnsi="標楷體"/>
          <w:color w:val="000000"/>
          <w:szCs w:val="24"/>
        </w:rPr>
        <w:t>及灌流核醫</w:t>
      </w:r>
      <w:proofErr w:type="gramEnd"/>
      <w:r w:rsidRPr="00F517B5">
        <w:rPr>
          <w:rFonts w:ascii="標楷體" w:eastAsia="標楷體" w:hAnsi="標楷體"/>
          <w:color w:val="000000"/>
          <w:szCs w:val="24"/>
        </w:rPr>
        <w:t>掃瞄、血液檢查、心臟超音波檢查、或六分鐘走路測試等排除其他病因)，且使用現有藥物(如：sildenafil或tadalafil)治療3個月後成效仍不佳者。</w:t>
      </w:r>
      <w:proofErr w:type="gramStart"/>
      <w:r w:rsidRPr="00F517B5">
        <w:rPr>
          <w:rFonts w:ascii="標楷體" w:eastAsia="標楷體" w:hAnsi="標楷體"/>
          <w:color w:val="000000"/>
          <w:szCs w:val="24"/>
        </w:rPr>
        <w:t>（</w:t>
      </w:r>
      <w:proofErr w:type="gramEnd"/>
      <w:r w:rsidRPr="00F517B5">
        <w:rPr>
          <w:rFonts w:ascii="標楷體" w:eastAsia="標楷體" w:hAnsi="標楷體"/>
          <w:color w:val="000000"/>
          <w:szCs w:val="24"/>
        </w:rPr>
        <w:t>107/12/1、115/5/1)</w:t>
      </w:r>
    </w:p>
    <w:p w14:paraId="485B8C8A" w14:textId="77777777" w:rsidR="00902168" w:rsidRPr="00F517B5" w:rsidRDefault="00902168" w:rsidP="00902168">
      <w:pPr>
        <w:spacing w:line="300" w:lineRule="exact"/>
        <w:ind w:left="1560" w:hanging="425"/>
        <w:jc w:val="both"/>
        <w:rPr>
          <w:rFonts w:ascii="標楷體" w:eastAsia="標楷體" w:hAnsi="標楷體"/>
          <w:color w:val="000000"/>
          <w:szCs w:val="24"/>
        </w:rPr>
      </w:pPr>
      <w:r w:rsidRPr="00F517B5">
        <w:rPr>
          <w:rFonts w:ascii="標楷體" w:eastAsia="標楷體" w:hAnsi="標楷體"/>
          <w:color w:val="000000"/>
          <w:szCs w:val="24"/>
        </w:rPr>
        <w:t>Ⅲ.經風濕免疫專科醫師會診，確認有需使用者。</w:t>
      </w:r>
    </w:p>
    <w:p w14:paraId="7B2B60D2" w14:textId="77777777" w:rsidR="00902168" w:rsidRPr="00F517B5" w:rsidRDefault="00902168" w:rsidP="00902168">
      <w:pPr>
        <w:spacing w:line="300" w:lineRule="exact"/>
        <w:ind w:left="1276" w:hanging="426"/>
        <w:jc w:val="both"/>
        <w:rPr>
          <w:rFonts w:ascii="標楷體" w:eastAsia="標楷體" w:hAnsi="標楷體"/>
          <w:color w:val="000000"/>
          <w:szCs w:val="24"/>
        </w:rPr>
      </w:pPr>
      <w:r w:rsidRPr="00F517B5">
        <w:rPr>
          <w:rFonts w:ascii="標楷體" w:eastAsia="標楷體" w:hAnsi="標楷體"/>
          <w:color w:val="000000"/>
          <w:szCs w:val="24"/>
        </w:rPr>
        <w:t>(2)需經事前審查核准後使用，每次申請之療程以6個月為限。申請時須檢附NYHA Functional class、六分鐘步行測試、心臟超音波或心電圖、心房衰竭指數(Pro-BNP or NT Pro-BNP)等檢查結果，專科醫師會診意見等病歷紀錄。</w:t>
      </w:r>
    </w:p>
    <w:p w14:paraId="4A2E5E8F" w14:textId="77777777" w:rsidR="00902168" w:rsidRPr="00F517B5" w:rsidRDefault="00902168" w:rsidP="00902168">
      <w:pPr>
        <w:spacing w:line="300" w:lineRule="exact"/>
        <w:ind w:left="1276" w:hanging="426"/>
        <w:jc w:val="both"/>
        <w:rPr>
          <w:rFonts w:ascii="標楷體" w:eastAsia="標楷體" w:hAnsi="標楷體"/>
          <w:color w:val="000000"/>
          <w:szCs w:val="24"/>
        </w:rPr>
      </w:pPr>
      <w:r w:rsidRPr="00F517B5">
        <w:rPr>
          <w:rFonts w:ascii="標楷體" w:eastAsia="標楷體" w:hAnsi="標楷體"/>
          <w:color w:val="000000"/>
          <w:szCs w:val="24"/>
        </w:rPr>
        <w:t>(3)使用後每6個月需重新評估一次治療之療效，前述檢查結果皆無較使用前改善者，應暫停使用並加強結締組織病本身疾病之控制。必要時得於3個月後再行申請使用1次。</w:t>
      </w:r>
    </w:p>
    <w:p w14:paraId="453DEF72" w14:textId="6FEE80F8" w:rsidR="00401786" w:rsidRDefault="00902168" w:rsidP="00902168">
      <w:pPr>
        <w:spacing w:line="300" w:lineRule="exact"/>
        <w:ind w:left="1276" w:hanging="370"/>
        <w:rPr>
          <w:rFonts w:ascii="標楷體" w:eastAsia="標楷體" w:hAnsi="標楷體"/>
          <w:color w:val="000000"/>
        </w:rPr>
      </w:pPr>
      <w:r w:rsidRPr="00F517B5">
        <w:rPr>
          <w:rFonts w:ascii="標楷體" w:eastAsia="標楷體" w:hAnsi="標楷體"/>
          <w:color w:val="000000"/>
          <w:szCs w:val="24"/>
        </w:rPr>
        <w:t>(4)每日限用1粒</w:t>
      </w:r>
      <w:r>
        <w:rPr>
          <w:rFonts w:ascii="標楷體" w:eastAsia="標楷體" w:hAnsi="標楷體"/>
          <w:color w:val="000000"/>
        </w:rPr>
        <w:t>。</w:t>
      </w:r>
    </w:p>
    <w:p w14:paraId="7417C493" w14:textId="77777777" w:rsidR="00401786" w:rsidRDefault="00C64FB3" w:rsidP="0009639E">
      <w:pPr>
        <w:spacing w:line="300" w:lineRule="exact"/>
        <w:ind w:left="284"/>
        <w:textAlignment w:val="auto"/>
        <w:rPr>
          <w:rFonts w:ascii="標楷體" w:eastAsia="標楷體" w:hAnsi="標楷體"/>
          <w:color w:val="000000"/>
        </w:rPr>
      </w:pPr>
      <w:r>
        <w:rPr>
          <w:rFonts w:ascii="標楷體" w:eastAsia="標楷體" w:hAnsi="標楷體"/>
          <w:color w:val="000000"/>
        </w:rPr>
        <w:t>2.8.2.7.Selexipag (如UPTRAVI)：(108/5/1、114/6/1)</w:t>
      </w:r>
    </w:p>
    <w:p w14:paraId="4EDD2547" w14:textId="77777777" w:rsidR="00401786" w:rsidRDefault="00C64FB3" w:rsidP="0009639E">
      <w:pPr>
        <w:spacing w:line="300" w:lineRule="exact"/>
        <w:ind w:left="849" w:hanging="283"/>
        <w:textAlignment w:val="auto"/>
      </w:pPr>
      <w:r>
        <w:rPr>
          <w:rFonts w:ascii="標楷體" w:eastAsia="標楷體" w:hAnsi="標楷體"/>
          <w:color w:val="000000"/>
        </w:rPr>
        <w:t>1.</w:t>
      </w:r>
      <w:r>
        <w:t xml:space="preserve"> </w:t>
      </w:r>
      <w:r>
        <w:rPr>
          <w:rFonts w:ascii="標楷體" w:eastAsia="標楷體" w:hAnsi="標楷體"/>
          <w:color w:val="000000"/>
        </w:rPr>
        <w:t>用於經衛生福利部國民</w:t>
      </w:r>
      <w:proofErr w:type="gramStart"/>
      <w:r>
        <w:rPr>
          <w:rFonts w:ascii="標楷體" w:eastAsia="標楷體" w:hAnsi="標楷體"/>
          <w:color w:val="000000"/>
        </w:rPr>
        <w:t>健康署</w:t>
      </w:r>
      <w:proofErr w:type="gramEnd"/>
      <w:r>
        <w:rPr>
          <w:rFonts w:ascii="標楷體" w:eastAsia="標楷體" w:hAnsi="標楷體"/>
          <w:color w:val="000000"/>
        </w:rPr>
        <w:t>認定之WHO Functional Class III之原發性肺動脈高壓患者，經PDE-5i (phosphodiesterase type 5 inhibitor) 和/或ERA (endothelin-receptor antagonist)治療療效不佳者，合併PDE-5i或ERA使用。</w:t>
      </w:r>
    </w:p>
    <w:p w14:paraId="14EBE199" w14:textId="77777777" w:rsidR="00401786" w:rsidRDefault="00C64FB3" w:rsidP="0009639E">
      <w:pPr>
        <w:spacing w:line="300" w:lineRule="exact"/>
        <w:ind w:left="709"/>
        <w:textAlignment w:val="auto"/>
        <w:rPr>
          <w:rFonts w:ascii="標楷體" w:eastAsia="標楷體" w:hAnsi="標楷體"/>
          <w:color w:val="000000"/>
        </w:rPr>
      </w:pPr>
      <w:r>
        <w:rPr>
          <w:rFonts w:ascii="標楷體" w:eastAsia="標楷體" w:hAnsi="標楷體"/>
          <w:color w:val="000000"/>
        </w:rPr>
        <w:t>(1)需經事前審查核准使用。</w:t>
      </w:r>
    </w:p>
    <w:p w14:paraId="383A6507" w14:textId="77777777" w:rsidR="00401786" w:rsidRDefault="00C64FB3" w:rsidP="0009639E">
      <w:pPr>
        <w:spacing w:line="300" w:lineRule="exact"/>
        <w:ind w:left="709"/>
        <w:textAlignment w:val="auto"/>
        <w:rPr>
          <w:rFonts w:ascii="標楷體" w:eastAsia="標楷體" w:hAnsi="標楷體"/>
          <w:color w:val="000000"/>
        </w:rPr>
      </w:pPr>
      <w:r>
        <w:rPr>
          <w:rFonts w:ascii="標楷體" w:eastAsia="標楷體" w:hAnsi="標楷體"/>
          <w:color w:val="000000"/>
        </w:rPr>
        <w:t>(2)每日限最多使用4粒。</w:t>
      </w:r>
    </w:p>
    <w:p w14:paraId="33428B18" w14:textId="77777777" w:rsidR="00401786" w:rsidRDefault="00C64FB3" w:rsidP="0009639E">
      <w:pPr>
        <w:spacing w:line="300" w:lineRule="exact"/>
        <w:ind w:left="849" w:hanging="283"/>
        <w:textAlignment w:val="auto"/>
        <w:rPr>
          <w:rFonts w:ascii="標楷體" w:eastAsia="標楷體" w:hAnsi="標楷體"/>
          <w:color w:val="000000"/>
        </w:rPr>
      </w:pPr>
      <w:r>
        <w:rPr>
          <w:rFonts w:ascii="標楷體" w:eastAsia="標楷體" w:hAnsi="標楷體"/>
          <w:color w:val="000000"/>
        </w:rPr>
        <w:t>2.用於WHO Functional Class II~III之結締組織病變導致之肺動脈高血壓成人患者：(114/6/1)</w:t>
      </w:r>
    </w:p>
    <w:p w14:paraId="1ADEF17C" w14:textId="77777777" w:rsidR="00401786" w:rsidRDefault="00C64FB3" w:rsidP="0009639E">
      <w:pPr>
        <w:spacing w:line="300" w:lineRule="exact"/>
        <w:ind w:left="709"/>
        <w:textAlignment w:val="auto"/>
        <w:rPr>
          <w:rFonts w:ascii="標楷體" w:eastAsia="標楷體" w:hAnsi="標楷體"/>
          <w:color w:val="000000"/>
        </w:rPr>
      </w:pPr>
      <w:r>
        <w:rPr>
          <w:rFonts w:ascii="標楷體" w:eastAsia="標楷體" w:hAnsi="標楷體"/>
          <w:color w:val="000000"/>
        </w:rPr>
        <w:t>(1)限符合下列各項條件之病患，合併PDE-5i或ERA使用：</w:t>
      </w:r>
    </w:p>
    <w:p w14:paraId="75E2ECBF" w14:textId="77777777" w:rsidR="00401786" w:rsidRDefault="00C64FB3" w:rsidP="0009639E">
      <w:pPr>
        <w:spacing w:line="300" w:lineRule="exact"/>
        <w:ind w:left="1212" w:hanging="360"/>
        <w:textAlignment w:val="auto"/>
        <w:rPr>
          <w:rFonts w:ascii="標楷體" w:eastAsia="標楷體" w:hAnsi="標楷體"/>
          <w:color w:val="000000"/>
        </w:rPr>
      </w:pPr>
      <w:r>
        <w:rPr>
          <w:rFonts w:ascii="標楷體" w:eastAsia="標楷體" w:hAnsi="標楷體"/>
          <w:color w:val="000000"/>
        </w:rPr>
        <w:t>Ⅰ.經PDE-5i和ERA</w:t>
      </w:r>
      <w:proofErr w:type="gramStart"/>
      <w:r>
        <w:rPr>
          <w:rFonts w:ascii="標楷體" w:eastAsia="標楷體" w:hAnsi="標楷體"/>
          <w:color w:val="000000"/>
        </w:rPr>
        <w:t>（</w:t>
      </w:r>
      <w:proofErr w:type="gramEnd"/>
      <w:r>
        <w:rPr>
          <w:rFonts w:ascii="標楷體" w:eastAsia="標楷體" w:hAnsi="標楷體"/>
          <w:color w:val="000000"/>
        </w:rPr>
        <w:t>如：sildenafil 和</w:t>
      </w:r>
      <w:proofErr w:type="spellStart"/>
      <w:r>
        <w:rPr>
          <w:rFonts w:ascii="標楷體" w:eastAsia="標楷體" w:hAnsi="標楷體"/>
          <w:color w:val="000000"/>
        </w:rPr>
        <w:t>macitentan</w:t>
      </w:r>
      <w:proofErr w:type="spellEnd"/>
      <w:proofErr w:type="gramStart"/>
      <w:r>
        <w:rPr>
          <w:rFonts w:ascii="標楷體" w:eastAsia="標楷體" w:hAnsi="標楷體"/>
          <w:color w:val="000000"/>
        </w:rPr>
        <w:t>）併</w:t>
      </w:r>
      <w:proofErr w:type="gramEnd"/>
      <w:r>
        <w:rPr>
          <w:rFonts w:ascii="標楷體" w:eastAsia="標楷體" w:hAnsi="標楷體"/>
          <w:color w:val="000000"/>
        </w:rPr>
        <w:t>用治療半年後，療效不佳仍處於中低風險，或不耐受靜脈注射或吸入型前列腺</w:t>
      </w:r>
      <w:proofErr w:type="gramStart"/>
      <w:r>
        <w:rPr>
          <w:rFonts w:ascii="標楷體" w:eastAsia="標楷體" w:hAnsi="標楷體"/>
          <w:color w:val="000000"/>
        </w:rPr>
        <w:t>環素類</w:t>
      </w:r>
      <w:proofErr w:type="gramEnd"/>
      <w:r>
        <w:rPr>
          <w:rFonts w:ascii="標楷體" w:eastAsia="標楷體" w:hAnsi="標楷體"/>
          <w:color w:val="000000"/>
        </w:rPr>
        <w:t>(prostacyclin analogues, PCA)藥物之中高風險患者。</w:t>
      </w:r>
    </w:p>
    <w:p w14:paraId="1DA15F43" w14:textId="77777777" w:rsidR="00401786" w:rsidRDefault="00C64FB3" w:rsidP="0009639E">
      <w:pPr>
        <w:spacing w:line="300" w:lineRule="exact"/>
        <w:ind w:left="1212" w:hanging="360"/>
        <w:textAlignment w:val="auto"/>
        <w:rPr>
          <w:rFonts w:ascii="標楷體" w:eastAsia="標楷體" w:hAnsi="標楷體"/>
          <w:color w:val="000000"/>
        </w:rPr>
      </w:pPr>
      <w:r>
        <w:rPr>
          <w:rFonts w:ascii="標楷體" w:eastAsia="標楷體" w:hAnsi="標楷體"/>
          <w:color w:val="000000"/>
        </w:rPr>
        <w:t>Ⅱ.經風濕免疫專科醫師會診，確認有需使用者。</w:t>
      </w:r>
    </w:p>
    <w:p w14:paraId="52D05B31" w14:textId="77777777" w:rsidR="00401786" w:rsidRDefault="00C64FB3" w:rsidP="0009639E">
      <w:pPr>
        <w:spacing w:line="300" w:lineRule="exact"/>
        <w:ind w:left="1079" w:hanging="369"/>
        <w:textAlignment w:val="auto"/>
        <w:rPr>
          <w:rFonts w:ascii="標楷體" w:eastAsia="標楷體" w:hAnsi="標楷體"/>
          <w:color w:val="000000"/>
        </w:rPr>
      </w:pPr>
      <w:r>
        <w:rPr>
          <w:rFonts w:ascii="標楷體" w:eastAsia="標楷體" w:hAnsi="標楷體"/>
          <w:color w:val="000000"/>
        </w:rPr>
        <w:t>(2)需經事前審查核准後使用，每次申請療程以6個月為限。申請時須檢附最近三個月內</w:t>
      </w:r>
      <w:proofErr w:type="gramStart"/>
      <w:r>
        <w:rPr>
          <w:rFonts w:ascii="標楷體" w:eastAsia="標楷體" w:hAnsi="標楷體"/>
          <w:color w:val="000000"/>
        </w:rPr>
        <w:t>的右心導管</w:t>
      </w:r>
      <w:proofErr w:type="gramEnd"/>
      <w:r>
        <w:rPr>
          <w:rFonts w:ascii="標楷體" w:eastAsia="標楷體" w:hAnsi="標楷體"/>
          <w:color w:val="000000"/>
        </w:rPr>
        <w:t>檢查報告、NYHA Functional class、六分鐘步行測試、心臟超音波或心電圖、心房衰竭指數（BNP or NT-</w:t>
      </w:r>
      <w:proofErr w:type="spellStart"/>
      <w:r>
        <w:rPr>
          <w:rFonts w:ascii="標楷體" w:eastAsia="標楷體" w:hAnsi="標楷體"/>
          <w:color w:val="000000"/>
        </w:rPr>
        <w:t>proBNP</w:t>
      </w:r>
      <w:proofErr w:type="spellEnd"/>
      <w:r>
        <w:rPr>
          <w:rFonts w:ascii="標楷體" w:eastAsia="標楷體" w:hAnsi="標楷體"/>
          <w:color w:val="000000"/>
        </w:rPr>
        <w:t>）等檢查結果，專科醫師會診意見等病歷紀錄，若患者臨床條件無法</w:t>
      </w:r>
      <w:proofErr w:type="gramStart"/>
      <w:r>
        <w:rPr>
          <w:rFonts w:ascii="標楷體" w:eastAsia="標楷體" w:hAnsi="標楷體"/>
          <w:color w:val="000000"/>
        </w:rPr>
        <w:t>接受右心導管</w:t>
      </w:r>
      <w:proofErr w:type="gramEnd"/>
      <w:r>
        <w:rPr>
          <w:rFonts w:ascii="標楷體" w:eastAsia="標楷體" w:hAnsi="標楷體"/>
          <w:color w:val="000000"/>
        </w:rPr>
        <w:t>檢查，則需另檢附心臟</w:t>
      </w:r>
      <w:proofErr w:type="gramStart"/>
      <w:r>
        <w:rPr>
          <w:rFonts w:ascii="標楷體" w:eastAsia="標楷體" w:hAnsi="標楷體"/>
          <w:color w:val="000000"/>
        </w:rPr>
        <w:t>磁振造影</w:t>
      </w:r>
      <w:proofErr w:type="gramEnd"/>
      <w:r>
        <w:rPr>
          <w:rFonts w:ascii="標楷體" w:eastAsia="標楷體" w:hAnsi="標楷體"/>
          <w:color w:val="000000"/>
        </w:rPr>
        <w:t>檢查報告。</w:t>
      </w:r>
    </w:p>
    <w:p w14:paraId="1E473614" w14:textId="77777777" w:rsidR="00401786" w:rsidRDefault="00C64FB3" w:rsidP="0009639E">
      <w:pPr>
        <w:spacing w:line="300" w:lineRule="exact"/>
        <w:ind w:left="1079" w:hanging="369"/>
        <w:textAlignment w:val="auto"/>
        <w:rPr>
          <w:rFonts w:ascii="標楷體" w:eastAsia="標楷體" w:hAnsi="標楷體"/>
          <w:color w:val="000000"/>
        </w:rPr>
      </w:pPr>
      <w:r>
        <w:rPr>
          <w:rFonts w:ascii="標楷體" w:eastAsia="標楷體" w:hAnsi="標楷體"/>
          <w:color w:val="000000"/>
        </w:rPr>
        <w:t>(3)使用後每6個月需重新評估一次治療之療效，若出現下列任</w:t>
      </w:r>
      <w:proofErr w:type="gramStart"/>
      <w:r>
        <w:rPr>
          <w:rFonts w:ascii="標楷體" w:eastAsia="標楷體" w:hAnsi="標楷體"/>
          <w:color w:val="000000"/>
        </w:rPr>
        <w:t>一</w:t>
      </w:r>
      <w:proofErr w:type="gramEnd"/>
      <w:r>
        <w:rPr>
          <w:rFonts w:ascii="標楷體" w:eastAsia="標楷體" w:hAnsi="標楷體"/>
          <w:color w:val="000000"/>
        </w:rPr>
        <w:t>情況者，或出現無法耐受之副作用，應暫停使用並加強結締組織病本身疾病之控制。</w:t>
      </w:r>
    </w:p>
    <w:p w14:paraId="2CF2577D" w14:textId="77777777" w:rsidR="00401786" w:rsidRDefault="00C64FB3" w:rsidP="0009639E">
      <w:pPr>
        <w:spacing w:line="300" w:lineRule="exact"/>
        <w:ind w:left="1274" w:hanging="360"/>
        <w:textAlignment w:val="auto"/>
        <w:rPr>
          <w:rFonts w:ascii="標楷體" w:eastAsia="標楷體" w:hAnsi="標楷體"/>
          <w:color w:val="000000"/>
        </w:rPr>
      </w:pPr>
      <w:r>
        <w:rPr>
          <w:rFonts w:ascii="標楷體" w:eastAsia="標楷體" w:hAnsi="標楷體"/>
          <w:color w:val="000000"/>
        </w:rPr>
        <w:t>Ⅰ.因肺動脈高血壓惡化導致住院。</w:t>
      </w:r>
    </w:p>
    <w:p w14:paraId="68130F0E" w14:textId="77777777" w:rsidR="00401786" w:rsidRDefault="00C64FB3" w:rsidP="0009639E">
      <w:pPr>
        <w:spacing w:line="300" w:lineRule="exact"/>
        <w:ind w:left="1274" w:hanging="360"/>
        <w:textAlignment w:val="auto"/>
        <w:rPr>
          <w:rFonts w:ascii="標楷體" w:eastAsia="標楷體" w:hAnsi="標楷體"/>
          <w:color w:val="000000"/>
        </w:rPr>
      </w:pPr>
      <w:r>
        <w:rPr>
          <w:rFonts w:ascii="標楷體" w:eastAsia="標楷體" w:hAnsi="標楷體"/>
          <w:color w:val="000000"/>
        </w:rPr>
        <w:t>Ⅱ.六分鐘步行測試(行走距離縮短15%以上)伴隨WHO功能分級惡化或需要額外使用其他肺動脈高血壓藥物的治療(例如需使用</w:t>
      </w:r>
      <w:proofErr w:type="gramStart"/>
      <w:r>
        <w:rPr>
          <w:rFonts w:ascii="標楷體" w:eastAsia="標楷體" w:hAnsi="標楷體"/>
          <w:color w:val="000000"/>
        </w:rPr>
        <w:t>注射型類前列腺</w:t>
      </w:r>
      <w:proofErr w:type="gramEnd"/>
      <w:r>
        <w:rPr>
          <w:rFonts w:ascii="標楷體" w:eastAsia="標楷體" w:hAnsi="標楷體"/>
          <w:color w:val="000000"/>
        </w:rPr>
        <w:t>藥品)。</w:t>
      </w:r>
    </w:p>
    <w:p w14:paraId="3E357237" w14:textId="77777777" w:rsidR="00401786" w:rsidRDefault="00C64FB3" w:rsidP="0009639E">
      <w:pPr>
        <w:spacing w:line="300" w:lineRule="exact"/>
        <w:ind w:left="1274" w:hanging="360"/>
        <w:textAlignment w:val="auto"/>
        <w:rPr>
          <w:rFonts w:ascii="標楷體" w:eastAsia="標楷體" w:hAnsi="標楷體"/>
          <w:color w:val="000000"/>
        </w:rPr>
      </w:pPr>
      <w:r>
        <w:rPr>
          <w:rFonts w:ascii="標楷體" w:eastAsia="標楷體" w:hAnsi="標楷體"/>
          <w:color w:val="000000"/>
        </w:rPr>
        <w:t>Ⅲ.因肺動脈高血壓惡化(worsening)需接受肺臟移植。</w:t>
      </w:r>
    </w:p>
    <w:p w14:paraId="236B7190" w14:textId="77777777" w:rsidR="00401786" w:rsidRDefault="00C64FB3" w:rsidP="0009639E">
      <w:pPr>
        <w:spacing w:line="300" w:lineRule="exact"/>
        <w:ind w:left="1079" w:hanging="369"/>
        <w:textAlignment w:val="auto"/>
        <w:rPr>
          <w:rFonts w:ascii="標楷體" w:eastAsia="標楷體" w:hAnsi="標楷體"/>
          <w:color w:val="000000"/>
        </w:rPr>
      </w:pPr>
      <w:r>
        <w:rPr>
          <w:rFonts w:ascii="標楷體" w:eastAsia="標楷體" w:hAnsi="標楷體"/>
          <w:color w:val="000000"/>
        </w:rPr>
        <w:t>(4)必要時得於3個月後再行申請使用1次，惟若再行使用6個月後狀況仍無進步者，則不得再使用。</w:t>
      </w:r>
    </w:p>
    <w:p w14:paraId="6BF06306" w14:textId="77777777" w:rsidR="00401786" w:rsidRDefault="00C64FB3" w:rsidP="0009639E">
      <w:pPr>
        <w:spacing w:line="300" w:lineRule="exact"/>
        <w:ind w:left="1134" w:hanging="480"/>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每日限最多使用4粒。</w:t>
      </w:r>
    </w:p>
    <w:p w14:paraId="0013C27D" w14:textId="77777777" w:rsidR="00401786" w:rsidRDefault="00C64FB3" w:rsidP="0009639E">
      <w:pPr>
        <w:spacing w:line="300" w:lineRule="exact"/>
        <w:ind w:left="1134" w:hanging="480"/>
        <w:rPr>
          <w:rFonts w:ascii="標楷體" w:eastAsia="標楷體" w:hAnsi="標楷體"/>
          <w:color w:val="000000"/>
        </w:rPr>
      </w:pPr>
      <w:r>
        <w:rPr>
          <w:rFonts w:ascii="標楷體" w:eastAsia="標楷體" w:hAnsi="標楷體"/>
          <w:color w:val="000000"/>
        </w:rPr>
        <w:t>2.8.2.8.Treprostinil (如</w:t>
      </w:r>
      <w:proofErr w:type="spellStart"/>
      <w:r>
        <w:rPr>
          <w:rFonts w:ascii="標楷體" w:eastAsia="標楷體" w:hAnsi="標楷體"/>
          <w:color w:val="000000"/>
        </w:rPr>
        <w:t>Remodulin</w:t>
      </w:r>
      <w:proofErr w:type="spellEnd"/>
      <w:r>
        <w:rPr>
          <w:rFonts w:ascii="標楷體" w:eastAsia="標楷體" w:hAnsi="標楷體"/>
          <w:color w:val="000000"/>
        </w:rPr>
        <w:t xml:space="preserve"> inj.、Tyvaso)：(109/1/1、112/3/1、113/1/1)</w:t>
      </w:r>
    </w:p>
    <w:p w14:paraId="1118D8B4" w14:textId="77777777" w:rsidR="00401786" w:rsidRDefault="00C64FB3" w:rsidP="0009639E">
      <w:pPr>
        <w:spacing w:line="300" w:lineRule="exact"/>
        <w:ind w:left="837" w:hanging="271"/>
        <w:rPr>
          <w:rFonts w:ascii="標楷體" w:eastAsia="標楷體" w:hAnsi="標楷體"/>
          <w:color w:val="000000"/>
        </w:rPr>
      </w:pPr>
      <w:r>
        <w:rPr>
          <w:rFonts w:ascii="標楷體" w:eastAsia="標楷體" w:hAnsi="標楷體"/>
          <w:color w:val="000000"/>
        </w:rPr>
        <w:t>1.吸入劑：限用於治療WHO Group I 原發性肺動脈高血壓合併NYH A class Ⅲ 症狀。</w:t>
      </w:r>
    </w:p>
    <w:p w14:paraId="013E3A14" w14:textId="77777777" w:rsidR="00401786" w:rsidRDefault="00C64FB3" w:rsidP="0009639E">
      <w:pPr>
        <w:spacing w:line="300" w:lineRule="exact"/>
        <w:ind w:left="837" w:hanging="271"/>
      </w:pPr>
      <w:r>
        <w:rPr>
          <w:rFonts w:ascii="標楷體" w:eastAsia="標楷體" w:hAnsi="標楷體"/>
          <w:color w:val="000000"/>
        </w:rPr>
        <w:lastRenderedPageBreak/>
        <w:t>2.注射劑：限用於特發性或遺傳性肺動脈高壓(WHO functional class III 及IV)</w:t>
      </w:r>
      <w:r>
        <w:rPr>
          <w:rFonts w:ascii="標楷體" w:eastAsia="標楷體" w:hAnsi="標楷體"/>
          <w:color w:val="000000"/>
          <w:kern w:val="0"/>
          <w:szCs w:val="24"/>
        </w:rPr>
        <w:t>，並符合下列條件</w:t>
      </w:r>
      <w:r>
        <w:rPr>
          <w:rFonts w:ascii="新細明體" w:hAnsi="新細明體"/>
          <w:color w:val="000000"/>
          <w:kern w:val="0"/>
          <w:szCs w:val="24"/>
        </w:rPr>
        <w:t>：</w:t>
      </w:r>
      <w:r>
        <w:rPr>
          <w:rFonts w:ascii="標楷體" w:eastAsia="標楷體" w:hAnsi="標楷體"/>
          <w:color w:val="000000"/>
          <w:kern w:val="0"/>
          <w:szCs w:val="24"/>
        </w:rPr>
        <w:t>(112/3/1、113/1/1)</w:t>
      </w:r>
    </w:p>
    <w:p w14:paraId="4B46B360" w14:textId="77777777" w:rsidR="00401786" w:rsidRDefault="00C64FB3" w:rsidP="0009639E">
      <w:pPr>
        <w:widowControl/>
        <w:spacing w:line="300" w:lineRule="exact"/>
        <w:ind w:left="837" w:hanging="271"/>
        <w:rPr>
          <w:rFonts w:ascii="標楷體" w:eastAsia="標楷體" w:hAnsi="標楷體"/>
          <w:color w:val="000000"/>
          <w:kern w:val="0"/>
          <w:szCs w:val="24"/>
        </w:rPr>
      </w:pPr>
      <w:r>
        <w:rPr>
          <w:rFonts w:ascii="標楷體" w:eastAsia="標楷體" w:hAnsi="標楷體"/>
          <w:color w:val="000000"/>
          <w:kern w:val="0"/>
          <w:szCs w:val="24"/>
        </w:rPr>
        <w:t xml:space="preserve">  WHO功能性分級第</w:t>
      </w:r>
      <w:proofErr w:type="gramStart"/>
      <w:r>
        <w:rPr>
          <w:rFonts w:ascii="標楷體" w:eastAsia="標楷體" w:hAnsi="標楷體"/>
          <w:color w:val="000000"/>
          <w:kern w:val="0"/>
          <w:szCs w:val="24"/>
        </w:rPr>
        <w:t>Ⅲ級且</w:t>
      </w:r>
      <w:proofErr w:type="gramEnd"/>
      <w:r>
        <w:rPr>
          <w:rFonts w:ascii="標楷體" w:eastAsia="標楷體" w:hAnsi="標楷體"/>
          <w:color w:val="000000"/>
          <w:kern w:val="0"/>
          <w:szCs w:val="24"/>
        </w:rPr>
        <w:t>非屬於high risk病人，須先經</w:t>
      </w:r>
      <w:proofErr w:type="spellStart"/>
      <w:r>
        <w:rPr>
          <w:rFonts w:ascii="標楷體" w:eastAsia="標楷體" w:hAnsi="標楷體"/>
          <w:color w:val="000000"/>
          <w:kern w:val="0"/>
          <w:szCs w:val="24"/>
        </w:rPr>
        <w:t>iloprost</w:t>
      </w:r>
      <w:proofErr w:type="spellEnd"/>
      <w:r>
        <w:rPr>
          <w:rFonts w:ascii="標楷體" w:eastAsia="標楷體" w:hAnsi="標楷體"/>
          <w:color w:val="000000"/>
          <w:kern w:val="0"/>
          <w:szCs w:val="24"/>
        </w:rPr>
        <w:t>吸入劑或口服</w:t>
      </w:r>
      <w:proofErr w:type="spellStart"/>
      <w:r>
        <w:rPr>
          <w:rFonts w:ascii="標楷體" w:eastAsia="標楷體" w:hAnsi="標楷體"/>
          <w:color w:val="000000"/>
          <w:kern w:val="0"/>
          <w:szCs w:val="24"/>
        </w:rPr>
        <w:t>ambrisentan</w:t>
      </w:r>
      <w:proofErr w:type="spellEnd"/>
      <w:r>
        <w:rPr>
          <w:rFonts w:ascii="標楷體" w:eastAsia="標楷體" w:hAnsi="標楷體"/>
          <w:color w:val="000000"/>
          <w:kern w:val="0"/>
          <w:szCs w:val="24"/>
        </w:rPr>
        <w:t>、</w:t>
      </w:r>
      <w:proofErr w:type="spellStart"/>
      <w:r>
        <w:rPr>
          <w:rFonts w:ascii="標楷體" w:eastAsia="標楷體" w:hAnsi="標楷體"/>
          <w:color w:val="000000"/>
          <w:kern w:val="0"/>
          <w:szCs w:val="24"/>
        </w:rPr>
        <w:t>bosentan</w:t>
      </w:r>
      <w:proofErr w:type="spellEnd"/>
      <w:r>
        <w:rPr>
          <w:rFonts w:ascii="標楷體" w:eastAsia="標楷體" w:hAnsi="標楷體"/>
          <w:color w:val="000000"/>
          <w:kern w:val="0"/>
          <w:szCs w:val="24"/>
        </w:rPr>
        <w:t>、</w:t>
      </w:r>
      <w:proofErr w:type="spellStart"/>
      <w:r>
        <w:rPr>
          <w:rFonts w:ascii="標楷體" w:eastAsia="標楷體" w:hAnsi="標楷體"/>
          <w:color w:val="000000"/>
          <w:kern w:val="0"/>
          <w:szCs w:val="24"/>
        </w:rPr>
        <w:t>macitentan</w:t>
      </w:r>
      <w:proofErr w:type="spellEnd"/>
      <w:r>
        <w:rPr>
          <w:rFonts w:ascii="標楷體" w:eastAsia="標楷體" w:hAnsi="標楷體"/>
          <w:color w:val="000000"/>
          <w:kern w:val="0"/>
          <w:szCs w:val="24"/>
        </w:rPr>
        <w:t>、sildenafil、</w:t>
      </w:r>
      <w:proofErr w:type="spellStart"/>
      <w:r>
        <w:rPr>
          <w:rFonts w:ascii="標楷體" w:eastAsia="標楷體" w:hAnsi="標楷體"/>
          <w:color w:val="000000"/>
          <w:kern w:val="0"/>
          <w:szCs w:val="24"/>
        </w:rPr>
        <w:t>riociguat</w:t>
      </w:r>
      <w:proofErr w:type="spellEnd"/>
      <w:r>
        <w:rPr>
          <w:rFonts w:ascii="標楷體" w:eastAsia="標楷體" w:hAnsi="標楷體"/>
          <w:color w:val="000000"/>
          <w:kern w:val="0"/>
          <w:szCs w:val="24"/>
        </w:rPr>
        <w:t>或</w:t>
      </w:r>
      <w:bookmarkStart w:id="5" w:name="_Hlk133311874"/>
      <w:proofErr w:type="spellStart"/>
      <w:r>
        <w:rPr>
          <w:rFonts w:ascii="標楷體" w:eastAsia="標楷體" w:hAnsi="標楷體"/>
          <w:color w:val="000000"/>
          <w:kern w:val="0"/>
          <w:szCs w:val="24"/>
        </w:rPr>
        <w:t>selexipag</w:t>
      </w:r>
      <w:proofErr w:type="spellEnd"/>
      <w:r>
        <w:rPr>
          <w:rFonts w:ascii="標楷體" w:eastAsia="標楷體" w:hAnsi="標楷體"/>
          <w:color w:val="000000"/>
          <w:kern w:val="0"/>
          <w:szCs w:val="24"/>
        </w:rPr>
        <w:t xml:space="preserve"> </w:t>
      </w:r>
      <w:bookmarkEnd w:id="5"/>
      <w:r>
        <w:rPr>
          <w:rFonts w:ascii="標楷體" w:eastAsia="標楷體" w:hAnsi="標楷體"/>
          <w:color w:val="000000"/>
          <w:kern w:val="0"/>
          <w:szCs w:val="24"/>
        </w:rPr>
        <w:t>治療反應不佳或有禁忌症或有實證顯示疾病快速惡化或預後不佳。</w:t>
      </w:r>
    </w:p>
    <w:p w14:paraId="725C54AA" w14:textId="77777777" w:rsidR="00401786" w:rsidRDefault="00C64FB3" w:rsidP="0009639E">
      <w:pPr>
        <w:widowControl/>
        <w:spacing w:line="300" w:lineRule="exact"/>
        <w:ind w:left="837" w:hanging="271"/>
        <w:rPr>
          <w:rFonts w:ascii="標楷體" w:eastAsia="標楷體" w:hAnsi="標楷體"/>
          <w:color w:val="000000"/>
          <w:kern w:val="0"/>
          <w:szCs w:val="24"/>
        </w:rPr>
      </w:pPr>
      <w:r>
        <w:rPr>
          <w:rFonts w:ascii="標楷體" w:eastAsia="標楷體" w:hAnsi="標楷體"/>
          <w:color w:val="000000"/>
          <w:kern w:val="0"/>
          <w:szCs w:val="24"/>
        </w:rPr>
        <w:t>3.需經事前審查核准後使用，每次申請以24</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為限，期滿須經再次申請核准後才得以續用。(109/1/1、113/1/1)</w:t>
      </w:r>
    </w:p>
    <w:p w14:paraId="5B28FB69" w14:textId="77777777" w:rsidR="00401786" w:rsidRDefault="00C64FB3" w:rsidP="0009639E">
      <w:pPr>
        <w:widowControl/>
        <w:spacing w:line="300" w:lineRule="exact"/>
        <w:ind w:left="567" w:hanging="271"/>
        <w:textAlignment w:val="auto"/>
        <w:rPr>
          <w:rFonts w:ascii="標楷體" w:eastAsia="標楷體" w:hAnsi="標楷體"/>
          <w:color w:val="000000"/>
        </w:rPr>
      </w:pPr>
      <w:r>
        <w:rPr>
          <w:rFonts w:ascii="標楷體" w:eastAsia="標楷體" w:hAnsi="標楷體"/>
          <w:color w:val="000000"/>
        </w:rPr>
        <w:t>2.8.2.9.Tadalafil（如</w:t>
      </w:r>
      <w:proofErr w:type="spellStart"/>
      <w:r>
        <w:rPr>
          <w:rFonts w:ascii="標楷體" w:eastAsia="標楷體" w:hAnsi="標楷體"/>
          <w:color w:val="000000"/>
        </w:rPr>
        <w:t>Adcirca</w:t>
      </w:r>
      <w:proofErr w:type="spellEnd"/>
      <w:r>
        <w:rPr>
          <w:rFonts w:ascii="標楷體" w:eastAsia="標楷體" w:hAnsi="標楷體"/>
          <w:color w:val="000000"/>
        </w:rPr>
        <w:t>）：（114/6/1）</w:t>
      </w:r>
    </w:p>
    <w:p w14:paraId="4E41DC83" w14:textId="77777777" w:rsidR="00401786" w:rsidRDefault="00C64FB3" w:rsidP="0009639E">
      <w:pPr>
        <w:spacing w:line="300" w:lineRule="exact"/>
        <w:ind w:left="989" w:hanging="281"/>
        <w:textAlignment w:val="auto"/>
        <w:rPr>
          <w:rFonts w:ascii="標楷體" w:eastAsia="標楷體" w:hAnsi="標楷體"/>
          <w:color w:val="000000"/>
        </w:rPr>
      </w:pPr>
      <w:r>
        <w:rPr>
          <w:rFonts w:ascii="標楷體" w:eastAsia="標楷體" w:hAnsi="標楷體"/>
          <w:color w:val="000000"/>
        </w:rPr>
        <w:t>1.限用於原發性肺動脈高血壓、結締組織病變導致之肺動脈高血壓或先天性心臟病併發之肺動脈高血壓（Eisenmenger 症候群）運動能力差（WHO Functional Class Ⅲ及Ⅳ）之成人病人。</w:t>
      </w:r>
    </w:p>
    <w:p w14:paraId="4FB5609C" w14:textId="77777777" w:rsidR="00401786" w:rsidRDefault="00C64FB3" w:rsidP="0009639E">
      <w:pPr>
        <w:spacing w:line="300" w:lineRule="exact"/>
        <w:ind w:left="989" w:hanging="281"/>
        <w:textAlignment w:val="auto"/>
        <w:rPr>
          <w:rFonts w:ascii="標楷體" w:eastAsia="標楷體" w:hAnsi="標楷體"/>
          <w:color w:val="000000"/>
        </w:rPr>
      </w:pPr>
      <w:r>
        <w:rPr>
          <w:rFonts w:ascii="標楷體" w:eastAsia="標楷體" w:hAnsi="標楷體"/>
          <w:color w:val="000000"/>
        </w:rPr>
        <w:t>2.不得與任何有機硝酸鹽藥物（如nitroglycerin、isosorbide salts…等）合併使用。</w:t>
      </w:r>
    </w:p>
    <w:p w14:paraId="2D3EAC0F" w14:textId="77777777" w:rsidR="000308AE" w:rsidRPr="00F517B5" w:rsidRDefault="000308AE" w:rsidP="000308AE">
      <w:pPr>
        <w:spacing w:line="300" w:lineRule="exact"/>
        <w:ind w:leftChars="118" w:left="283"/>
        <w:jc w:val="both"/>
        <w:rPr>
          <w:szCs w:val="24"/>
        </w:rPr>
      </w:pPr>
      <w:r w:rsidRPr="00F517B5">
        <w:rPr>
          <w:rFonts w:ascii="標楷體" w:eastAsia="標楷體" w:hAnsi="標楷體"/>
          <w:color w:val="000000"/>
          <w:szCs w:val="24"/>
        </w:rPr>
        <w:t>2.8.2.10.含</w:t>
      </w:r>
      <w:proofErr w:type="spellStart"/>
      <w:r w:rsidRPr="00F517B5">
        <w:rPr>
          <w:rFonts w:ascii="標楷體" w:eastAsia="標楷體" w:hAnsi="標楷體"/>
          <w:szCs w:val="24"/>
        </w:rPr>
        <w:t>macitentan</w:t>
      </w:r>
      <w:proofErr w:type="spellEnd"/>
      <w:r w:rsidRPr="00F517B5">
        <w:rPr>
          <w:rFonts w:ascii="標楷體" w:eastAsia="標楷體" w:hAnsi="標楷體"/>
          <w:color w:val="000000"/>
          <w:szCs w:val="24"/>
        </w:rPr>
        <w:t>及</w:t>
      </w:r>
      <w:r w:rsidRPr="00F517B5">
        <w:rPr>
          <w:rFonts w:ascii="標楷體" w:eastAsia="標楷體" w:hAnsi="標楷體"/>
          <w:szCs w:val="24"/>
        </w:rPr>
        <w:t>tadalafil</w:t>
      </w:r>
      <w:r w:rsidRPr="00F517B5">
        <w:rPr>
          <w:rFonts w:ascii="標楷體" w:eastAsia="標楷體" w:hAnsi="標楷體"/>
          <w:color w:val="000000"/>
          <w:szCs w:val="24"/>
        </w:rPr>
        <w:t>之複方製劑(如</w:t>
      </w:r>
      <w:proofErr w:type="spellStart"/>
      <w:r w:rsidRPr="00F517B5">
        <w:rPr>
          <w:rFonts w:ascii="標楷體" w:eastAsia="標楷體" w:hAnsi="標楷體"/>
          <w:color w:val="000000"/>
          <w:szCs w:val="24"/>
        </w:rPr>
        <w:t>Opsynvi</w:t>
      </w:r>
      <w:proofErr w:type="spellEnd"/>
      <w:r w:rsidRPr="00F517B5">
        <w:rPr>
          <w:rFonts w:ascii="標楷體" w:eastAsia="標楷體" w:hAnsi="標楷體"/>
          <w:color w:val="000000"/>
          <w:szCs w:val="24"/>
        </w:rPr>
        <w:t>)：(115/5/1)</w:t>
      </w:r>
    </w:p>
    <w:p w14:paraId="585B85C7" w14:textId="77777777" w:rsidR="000308AE" w:rsidRPr="00F517B5" w:rsidRDefault="000308AE" w:rsidP="000308AE">
      <w:pPr>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1.用於結締組織病變導致之肺動脈高血壓，限符合下列各項條件之病人使用：</w:t>
      </w:r>
    </w:p>
    <w:p w14:paraId="4A280453" w14:textId="77777777" w:rsidR="000308AE" w:rsidRPr="00F517B5" w:rsidRDefault="000308AE" w:rsidP="000308AE">
      <w:pPr>
        <w:tabs>
          <w:tab w:val="left" w:pos="458"/>
          <w:tab w:val="left" w:pos="742"/>
          <w:tab w:val="left" w:pos="993"/>
        </w:tabs>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(1)</w:t>
      </w:r>
      <w:proofErr w:type="gramStart"/>
      <w:r w:rsidRPr="00F517B5">
        <w:rPr>
          <w:rFonts w:ascii="標楷體" w:eastAsia="標楷體" w:hAnsi="標楷體"/>
          <w:color w:val="000000"/>
          <w:szCs w:val="24"/>
        </w:rPr>
        <w:t>經右心</w:t>
      </w:r>
      <w:proofErr w:type="gramEnd"/>
      <w:r w:rsidRPr="00F517B5">
        <w:rPr>
          <w:rFonts w:ascii="標楷體" w:eastAsia="標楷體" w:hAnsi="標楷體"/>
          <w:color w:val="000000"/>
          <w:szCs w:val="24"/>
        </w:rPr>
        <w:t>導管檢查，證實確實符合肺動脈高血壓之診斷。</w:t>
      </w:r>
    </w:p>
    <w:p w14:paraId="7C3AC69B" w14:textId="77777777" w:rsidR="000308AE" w:rsidRPr="005407C1" w:rsidRDefault="000308AE" w:rsidP="000308AE">
      <w:pPr>
        <w:tabs>
          <w:tab w:val="left" w:pos="458"/>
          <w:tab w:val="left" w:pos="742"/>
          <w:tab w:val="left" w:pos="993"/>
        </w:tabs>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(2)結締組織病變導致之肺動脈高血壓成人病人(須經肺動脈高血壓相關檢查，</w:t>
      </w:r>
      <w:proofErr w:type="gramStart"/>
      <w:r w:rsidRPr="00F517B5">
        <w:rPr>
          <w:rFonts w:ascii="標楷體" w:eastAsia="標楷體" w:hAnsi="標楷體"/>
          <w:color w:val="000000"/>
          <w:szCs w:val="24"/>
        </w:rPr>
        <w:t>如肺功能</w:t>
      </w:r>
      <w:proofErr w:type="gramEnd"/>
      <w:r w:rsidRPr="00F517B5">
        <w:rPr>
          <w:rFonts w:ascii="標楷體" w:eastAsia="標楷體" w:hAnsi="標楷體"/>
          <w:color w:val="000000"/>
          <w:szCs w:val="24"/>
        </w:rPr>
        <w:t>、高解</w:t>
      </w:r>
      <w:r w:rsidRPr="00F517B5">
        <w:rPr>
          <w:rFonts w:ascii="標楷體" w:eastAsia="標楷體" w:hAnsi="標楷體"/>
          <w:szCs w:val="24"/>
        </w:rPr>
        <w:t>析</w:t>
      </w:r>
      <w:r w:rsidRPr="005407C1">
        <w:rPr>
          <w:rFonts w:ascii="標楷體" w:eastAsia="標楷體" w:hAnsi="標楷體"/>
          <w:color w:val="000000"/>
          <w:szCs w:val="24"/>
        </w:rPr>
        <w:t>胸部電腦斷層、肺部通氣</w:t>
      </w:r>
      <w:proofErr w:type="gramStart"/>
      <w:r w:rsidRPr="005407C1">
        <w:rPr>
          <w:rFonts w:ascii="標楷體" w:eastAsia="標楷體" w:hAnsi="標楷體"/>
          <w:color w:val="000000"/>
          <w:szCs w:val="24"/>
        </w:rPr>
        <w:t>及灌流核醫</w:t>
      </w:r>
      <w:proofErr w:type="gramEnd"/>
      <w:r w:rsidRPr="005407C1">
        <w:rPr>
          <w:rFonts w:ascii="標楷體" w:eastAsia="標楷體" w:hAnsi="標楷體"/>
          <w:color w:val="000000"/>
          <w:szCs w:val="24"/>
        </w:rPr>
        <w:t>掃瞄、血液檢查、心臟超音波檢查、或六分鐘走路測試等排除其他病因)，且使用現有藥物(如：sildenafil或tadalafil)治療3個月後成效仍不佳者。</w:t>
      </w:r>
    </w:p>
    <w:p w14:paraId="75E21C12" w14:textId="77777777" w:rsidR="000308AE" w:rsidRPr="00F517B5" w:rsidRDefault="000308AE" w:rsidP="000308AE">
      <w:pPr>
        <w:tabs>
          <w:tab w:val="left" w:pos="458"/>
          <w:tab w:val="left" w:pos="742"/>
          <w:tab w:val="left" w:pos="993"/>
        </w:tabs>
        <w:spacing w:line="300" w:lineRule="exact"/>
        <w:ind w:leftChars="236" w:left="848" w:hanging="282"/>
        <w:jc w:val="both"/>
        <w:rPr>
          <w:rFonts w:ascii="標楷體" w:eastAsia="標楷體" w:hAnsi="標楷體"/>
          <w:szCs w:val="24"/>
        </w:rPr>
      </w:pPr>
      <w:r w:rsidRPr="005407C1">
        <w:rPr>
          <w:rFonts w:ascii="標楷體" w:eastAsia="標楷體" w:hAnsi="標楷體"/>
          <w:color w:val="000000"/>
          <w:szCs w:val="24"/>
        </w:rPr>
        <w:t>(3)經風濕</w:t>
      </w:r>
      <w:r w:rsidRPr="00F517B5">
        <w:rPr>
          <w:rFonts w:ascii="標楷體" w:eastAsia="標楷體" w:hAnsi="標楷體"/>
          <w:szCs w:val="24"/>
        </w:rPr>
        <w:t>免疫專科醫師會診，確認有需使用者。</w:t>
      </w:r>
    </w:p>
    <w:p w14:paraId="7E5BD0CD" w14:textId="77777777" w:rsidR="000308AE" w:rsidRPr="00F517B5" w:rsidRDefault="000308AE" w:rsidP="000308AE">
      <w:pPr>
        <w:spacing w:line="300" w:lineRule="exact"/>
        <w:ind w:leftChars="236" w:left="848" w:hanging="282"/>
        <w:jc w:val="both"/>
        <w:rPr>
          <w:rFonts w:ascii="標楷體" w:eastAsia="標楷體" w:hAnsi="標楷體"/>
          <w:szCs w:val="24"/>
        </w:rPr>
      </w:pPr>
      <w:r w:rsidRPr="00F517B5">
        <w:rPr>
          <w:rFonts w:ascii="標楷體" w:eastAsia="標楷體" w:hAnsi="標楷體"/>
          <w:szCs w:val="24"/>
        </w:rPr>
        <w:t>2.需經事前審查核准後使用。</w:t>
      </w:r>
    </w:p>
    <w:p w14:paraId="236648D4" w14:textId="77777777" w:rsidR="000308AE" w:rsidRPr="00F517B5" w:rsidRDefault="000308AE" w:rsidP="000308AE">
      <w:pPr>
        <w:tabs>
          <w:tab w:val="left" w:pos="458"/>
          <w:tab w:val="left" w:pos="600"/>
          <w:tab w:val="left" w:pos="742"/>
        </w:tabs>
        <w:spacing w:line="300" w:lineRule="exact"/>
        <w:ind w:leftChars="236" w:left="848" w:hanging="282"/>
        <w:jc w:val="both"/>
        <w:rPr>
          <w:szCs w:val="24"/>
        </w:rPr>
      </w:pPr>
      <w:r w:rsidRPr="00F517B5">
        <w:rPr>
          <w:rFonts w:ascii="標楷體" w:eastAsia="標楷體" w:hAnsi="標楷體"/>
          <w:szCs w:val="24"/>
        </w:rPr>
        <w:t>(1)</w:t>
      </w:r>
      <w:r w:rsidRPr="00F517B5">
        <w:rPr>
          <w:rFonts w:ascii="標楷體" w:eastAsia="標楷體" w:hAnsi="標楷體"/>
          <w:color w:val="000000"/>
          <w:szCs w:val="24"/>
        </w:rPr>
        <w:t>每次申請之療程以6個月為限。申請時須檢附NYHA Functional class、六分鐘步行測試、心臟超音波或心電圖、心房衰竭指數(Pro-BNP or NT Pro-BNP)等檢查結果，及專科醫師會診意見等病歷紀錄。</w:t>
      </w:r>
    </w:p>
    <w:p w14:paraId="2604A656" w14:textId="77777777" w:rsidR="000308AE" w:rsidRPr="00F517B5" w:rsidRDefault="000308AE" w:rsidP="000308AE">
      <w:pPr>
        <w:tabs>
          <w:tab w:val="left" w:pos="458"/>
          <w:tab w:val="left" w:pos="600"/>
          <w:tab w:val="left" w:pos="742"/>
        </w:tabs>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(2)使用後每6個月需重新評估一次治療之療效，前述檢查結果</w:t>
      </w:r>
      <w:proofErr w:type="gramStart"/>
      <w:r w:rsidRPr="00F517B5">
        <w:rPr>
          <w:rFonts w:ascii="標楷體" w:eastAsia="標楷體" w:hAnsi="標楷體"/>
          <w:color w:val="000000"/>
          <w:szCs w:val="24"/>
        </w:rPr>
        <w:t>皆未較使用</w:t>
      </w:r>
      <w:proofErr w:type="gramEnd"/>
      <w:r w:rsidRPr="00F517B5">
        <w:rPr>
          <w:rFonts w:ascii="標楷體" w:eastAsia="標楷體" w:hAnsi="標楷體"/>
          <w:color w:val="000000"/>
          <w:szCs w:val="24"/>
        </w:rPr>
        <w:t>前改善者，應暫停使用並加強結締組織病本身疾病之控制。必要時得於3個月後再行申請使用1次。</w:t>
      </w:r>
    </w:p>
    <w:p w14:paraId="74869FB1" w14:textId="1B6E095C" w:rsidR="000308AE" w:rsidRDefault="000308AE" w:rsidP="000308AE">
      <w:pPr>
        <w:spacing w:line="300" w:lineRule="exact"/>
        <w:ind w:leftChars="236" w:left="848" w:hanging="282"/>
        <w:textAlignment w:val="auto"/>
        <w:rPr>
          <w:rFonts w:ascii="標楷體" w:eastAsia="標楷體" w:hAnsi="標楷體"/>
          <w:color w:val="000000"/>
          <w:szCs w:val="24"/>
        </w:rPr>
      </w:pPr>
      <w:r w:rsidRPr="00F517B5">
        <w:rPr>
          <w:rFonts w:ascii="標楷體" w:eastAsia="標楷體" w:hAnsi="標楷體"/>
          <w:color w:val="000000"/>
          <w:szCs w:val="24"/>
        </w:rPr>
        <w:t>3.每日限給付1粒，且不得與PDE-5i或ERA類藥物</w:t>
      </w:r>
      <w:proofErr w:type="gramStart"/>
      <w:r w:rsidRPr="00F517B5">
        <w:rPr>
          <w:rFonts w:ascii="標楷體" w:eastAsia="標楷體" w:hAnsi="標楷體"/>
          <w:color w:val="000000"/>
          <w:szCs w:val="24"/>
        </w:rPr>
        <w:t>併</w:t>
      </w:r>
      <w:proofErr w:type="gramEnd"/>
      <w:r w:rsidRPr="00F517B5">
        <w:rPr>
          <w:rFonts w:ascii="標楷體" w:eastAsia="標楷體" w:hAnsi="標楷體"/>
          <w:color w:val="000000"/>
          <w:szCs w:val="24"/>
        </w:rPr>
        <w:t>用。</w:t>
      </w:r>
    </w:p>
    <w:p w14:paraId="1AA4ABD8" w14:textId="77777777" w:rsidR="003F1C76" w:rsidRPr="005C32AE" w:rsidRDefault="003F1C76" w:rsidP="003F1C76">
      <w:pPr>
        <w:spacing w:line="300" w:lineRule="exact"/>
        <w:ind w:left="240"/>
        <w:rPr>
          <w:rFonts w:ascii="標楷體" w:eastAsia="標楷體" w:hAnsi="標楷體"/>
        </w:rPr>
      </w:pPr>
      <w:r w:rsidRPr="005C32AE">
        <w:rPr>
          <w:rFonts w:ascii="標楷體" w:eastAsia="標楷體" w:hAnsi="標楷體" w:hint="eastAsia"/>
        </w:rPr>
        <w:t>2.8.2.11.Sotatercept（如</w:t>
      </w:r>
      <w:proofErr w:type="spellStart"/>
      <w:r w:rsidRPr="005C32AE">
        <w:rPr>
          <w:rFonts w:ascii="標楷體" w:eastAsia="標楷體" w:hAnsi="標楷體" w:hint="eastAsia"/>
        </w:rPr>
        <w:t>Winrevair</w:t>
      </w:r>
      <w:proofErr w:type="spellEnd"/>
      <w:r w:rsidRPr="005C32AE">
        <w:rPr>
          <w:rFonts w:ascii="標楷體" w:eastAsia="標楷體" w:hAnsi="標楷體" w:hint="eastAsia"/>
        </w:rPr>
        <w:t>）：（115/6/1）</w:t>
      </w:r>
    </w:p>
    <w:p w14:paraId="3A612B7A"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1.</w:t>
      </w:r>
      <w:r w:rsidRPr="005C32AE">
        <w:rPr>
          <w:rFonts w:ascii="標楷體" w:eastAsia="標楷體" w:hAnsi="標楷體" w:hint="eastAsia"/>
        </w:rPr>
        <w:t>限用於經衛生福利部國民</w:t>
      </w:r>
      <w:proofErr w:type="gramStart"/>
      <w:r w:rsidRPr="005C32AE">
        <w:rPr>
          <w:rFonts w:ascii="標楷體" w:eastAsia="標楷體" w:hAnsi="標楷體" w:hint="eastAsia"/>
        </w:rPr>
        <w:t>健康署</w:t>
      </w:r>
      <w:proofErr w:type="gramEnd"/>
      <w:r w:rsidRPr="005C32AE">
        <w:rPr>
          <w:rFonts w:ascii="標楷體" w:eastAsia="標楷體" w:hAnsi="標楷體" w:hint="eastAsia"/>
        </w:rPr>
        <w:t>認定之特發性或遺傳性肺動脈高壓的成人病人(WHO Functional ClassⅢ</w:t>
      </w:r>
      <w:proofErr w:type="gramStart"/>
      <w:r w:rsidRPr="005C32AE">
        <w:rPr>
          <w:rFonts w:ascii="標楷體" w:eastAsia="標楷體" w:hAnsi="標楷體" w:hint="eastAsia"/>
        </w:rPr>
        <w:t>或Ⅳ級</w:t>
      </w:r>
      <w:proofErr w:type="gramEnd"/>
      <w:r w:rsidRPr="005C32AE">
        <w:rPr>
          <w:rFonts w:ascii="標楷體" w:eastAsia="標楷體" w:hAnsi="標楷體" w:hint="eastAsia"/>
        </w:rPr>
        <w:t>)，並符合下列條件之</w:t>
      </w:r>
      <w:proofErr w:type="gramStart"/>
      <w:r w:rsidRPr="005C32AE">
        <w:rPr>
          <w:rFonts w:ascii="標楷體" w:eastAsia="標楷體" w:hAnsi="標楷體" w:hint="eastAsia"/>
        </w:rPr>
        <w:t>一</w:t>
      </w:r>
      <w:proofErr w:type="gramEnd"/>
      <w:r w:rsidRPr="005C32AE">
        <w:rPr>
          <w:rFonts w:ascii="標楷體" w:eastAsia="標楷體" w:hAnsi="標楷體" w:hint="eastAsia"/>
        </w:rPr>
        <w:t>：</w:t>
      </w:r>
    </w:p>
    <w:p w14:paraId="3CCDAF07"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(1)WHO</w:t>
      </w:r>
      <w:r w:rsidRPr="005C32AE">
        <w:rPr>
          <w:rFonts w:ascii="標楷體" w:eastAsia="標楷體" w:hAnsi="標楷體" w:hint="eastAsia"/>
        </w:rPr>
        <w:t>功能性分級</w:t>
      </w:r>
      <w:proofErr w:type="gramStart"/>
      <w:r w:rsidRPr="005C32AE">
        <w:rPr>
          <w:rFonts w:ascii="標楷體" w:eastAsia="標楷體" w:hAnsi="標楷體" w:hint="eastAsia"/>
        </w:rPr>
        <w:t>第Ⅲ級病人</w:t>
      </w:r>
      <w:proofErr w:type="gramEnd"/>
      <w:r w:rsidRPr="005C32AE">
        <w:rPr>
          <w:rFonts w:ascii="標楷體" w:eastAsia="標楷體" w:hAnsi="標楷體" w:hint="eastAsia"/>
        </w:rPr>
        <w:t>，須先經</w:t>
      </w:r>
      <w:r w:rsidRPr="005C32AE">
        <w:rPr>
          <w:rFonts w:ascii="標楷體" w:eastAsia="標楷體" w:hAnsi="標楷體"/>
        </w:rPr>
        <w:t>PDE 5-I/</w:t>
      </w:r>
      <w:proofErr w:type="spellStart"/>
      <w:r w:rsidRPr="005C32AE">
        <w:rPr>
          <w:rFonts w:ascii="標楷體" w:eastAsia="標楷體" w:hAnsi="標楷體"/>
        </w:rPr>
        <w:t>sGCS</w:t>
      </w:r>
      <w:proofErr w:type="spellEnd"/>
      <w:r w:rsidRPr="005C32AE">
        <w:rPr>
          <w:rFonts w:ascii="標楷體" w:eastAsia="標楷體" w:hAnsi="標楷體"/>
        </w:rPr>
        <w:t xml:space="preserve"> (phosphodiesterase type 5 inhibitor/soluble guanylyl cyclase stimulator)</w:t>
      </w:r>
      <w:r w:rsidRPr="005C32AE">
        <w:rPr>
          <w:rFonts w:ascii="標楷體" w:eastAsia="標楷體" w:hAnsi="標楷體" w:hint="eastAsia"/>
        </w:rPr>
        <w:t>或</w:t>
      </w:r>
      <w:r w:rsidRPr="005C32AE">
        <w:rPr>
          <w:rFonts w:ascii="標楷體" w:eastAsia="標楷體" w:hAnsi="標楷體"/>
        </w:rPr>
        <w:t>ERA (endothelin-receptor antagonist)</w:t>
      </w:r>
      <w:r w:rsidRPr="005C32AE">
        <w:rPr>
          <w:rFonts w:ascii="標楷體" w:eastAsia="標楷體" w:hAnsi="標楷體" w:hint="eastAsia"/>
        </w:rPr>
        <w:t>或</w:t>
      </w:r>
      <w:r w:rsidRPr="005C32AE">
        <w:rPr>
          <w:rFonts w:ascii="標楷體" w:eastAsia="標楷體" w:hAnsi="標楷體"/>
        </w:rPr>
        <w:t>PPA(prostacyclin pathway agents,</w:t>
      </w:r>
      <w:r w:rsidRPr="005C32AE">
        <w:rPr>
          <w:rFonts w:ascii="標楷體" w:eastAsia="標楷體" w:hAnsi="標楷體" w:hint="eastAsia"/>
        </w:rPr>
        <w:t>含口服、吸入、靜脈或皮下注射劑</w:t>
      </w:r>
      <w:r w:rsidRPr="005C32AE">
        <w:rPr>
          <w:rFonts w:ascii="標楷體" w:eastAsia="標楷體" w:hAnsi="標楷體"/>
        </w:rPr>
        <w:t>)</w:t>
      </w:r>
      <w:r w:rsidRPr="005C32AE">
        <w:rPr>
          <w:rFonts w:ascii="標楷體" w:eastAsia="標楷體" w:hAnsi="標楷體" w:hint="eastAsia"/>
        </w:rPr>
        <w:t>藥品，至少使用二類以上藥品</w:t>
      </w:r>
      <w:proofErr w:type="gramStart"/>
      <w:r w:rsidRPr="005C32AE">
        <w:rPr>
          <w:rFonts w:ascii="標楷體" w:eastAsia="標楷體" w:hAnsi="標楷體" w:hint="eastAsia"/>
        </w:rPr>
        <w:t>併</w:t>
      </w:r>
      <w:proofErr w:type="gramEnd"/>
      <w:r w:rsidRPr="005C32AE">
        <w:rPr>
          <w:rFonts w:ascii="標楷體" w:eastAsia="標楷體" w:hAnsi="標楷體" w:hint="eastAsia"/>
        </w:rPr>
        <w:t>用治療半年後，治療反應不佳或藥物耐受不良或有實證顯示疾病快速惡化，經評估後仍處於中高風險</w:t>
      </w:r>
      <w:r w:rsidRPr="005C32AE">
        <w:rPr>
          <w:rFonts w:ascii="標楷體" w:eastAsia="標楷體" w:hAnsi="標楷體"/>
        </w:rPr>
        <w:t>(inter</w:t>
      </w:r>
      <w:r w:rsidRPr="005C32AE">
        <w:rPr>
          <w:rFonts w:ascii="標楷體" w:eastAsia="標楷體" w:hAnsi="標楷體" w:hint="eastAsia"/>
        </w:rPr>
        <w:t>mediate-high risk)之附加治療(add-on therapy)。</w:t>
      </w:r>
    </w:p>
    <w:p w14:paraId="39C072DD"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(2)</w:t>
      </w:r>
      <w:r w:rsidRPr="005C32AE">
        <w:rPr>
          <w:rFonts w:ascii="標楷體" w:eastAsia="標楷體" w:hAnsi="標楷體" w:hint="eastAsia"/>
        </w:rPr>
        <w:t>WHO功能性分級第IV級病人，須先經PDE 5-I/</w:t>
      </w:r>
      <w:proofErr w:type="spellStart"/>
      <w:r w:rsidRPr="005C32AE">
        <w:rPr>
          <w:rFonts w:ascii="標楷體" w:eastAsia="標楷體" w:hAnsi="標楷體" w:hint="eastAsia"/>
        </w:rPr>
        <w:t>sGCS</w:t>
      </w:r>
      <w:proofErr w:type="spellEnd"/>
      <w:r w:rsidRPr="005C32AE">
        <w:rPr>
          <w:rFonts w:ascii="標楷體" w:eastAsia="標楷體" w:hAnsi="標楷體" w:hint="eastAsia"/>
        </w:rPr>
        <w:t>或ERA或PPA靜脈或皮下注射劑等藥品，至少三類以上藥品治療三個月後，治療反應不佳或藥物耐受不良或有實證顯示疾病快速惡化，經評估後仍處於高風險(high risk)之附加治療(add-on therapy)。</w:t>
      </w:r>
    </w:p>
    <w:p w14:paraId="27036187"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2.</w:t>
      </w:r>
      <w:r w:rsidRPr="005C32AE">
        <w:rPr>
          <w:rFonts w:ascii="標楷體" w:eastAsia="標楷體" w:hAnsi="標楷體" w:hint="eastAsia"/>
        </w:rPr>
        <w:t>停止治療條件：治療</w:t>
      </w:r>
      <w:proofErr w:type="gramStart"/>
      <w:r w:rsidRPr="005C32AE">
        <w:rPr>
          <w:rFonts w:ascii="標楷體" w:eastAsia="標楷體" w:hAnsi="標楷體" w:hint="eastAsia"/>
        </w:rPr>
        <w:t>期間，</w:t>
      </w:r>
      <w:proofErr w:type="gramEnd"/>
      <w:r w:rsidRPr="005C32AE">
        <w:rPr>
          <w:rFonts w:ascii="標楷體" w:eastAsia="標楷體" w:hAnsi="標楷體" w:hint="eastAsia"/>
        </w:rPr>
        <w:t>經評估有實證顯示疾病惡化或接受肺臟移植後，則應停止治療。</w:t>
      </w:r>
    </w:p>
    <w:p w14:paraId="669F5FD6" w14:textId="47C13855" w:rsidR="00EC0B9F" w:rsidRDefault="003F1C76" w:rsidP="003F1C76">
      <w:pPr>
        <w:spacing w:line="300" w:lineRule="exact"/>
        <w:ind w:leftChars="236" w:left="848" w:hanging="282"/>
        <w:textAlignment w:val="auto"/>
      </w:pPr>
      <w:r w:rsidRPr="005C32AE">
        <w:rPr>
          <w:rFonts w:ascii="標楷體" w:eastAsia="標楷體" w:hAnsi="標楷體"/>
        </w:rPr>
        <w:t>3.</w:t>
      </w:r>
      <w:r w:rsidRPr="005C32AE">
        <w:rPr>
          <w:rFonts w:ascii="標楷體" w:eastAsia="標楷體" w:hAnsi="標楷體" w:hint="eastAsia"/>
        </w:rPr>
        <w:t>需經事前審查核准後使用，每次申請以24</w:t>
      </w:r>
      <w:proofErr w:type="gramStart"/>
      <w:r w:rsidRPr="005C32AE">
        <w:rPr>
          <w:rFonts w:ascii="標楷體" w:eastAsia="標楷體" w:hAnsi="標楷體" w:hint="eastAsia"/>
        </w:rPr>
        <w:t>週</w:t>
      </w:r>
      <w:proofErr w:type="gramEnd"/>
      <w:r w:rsidRPr="005C32AE">
        <w:rPr>
          <w:rFonts w:ascii="標楷體" w:eastAsia="標楷體" w:hAnsi="標楷體" w:hint="eastAsia"/>
        </w:rPr>
        <w:t>為限，期滿須經再次申請核准後才得以續用。</w:t>
      </w:r>
    </w:p>
    <w:p w14:paraId="7C48246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2.9.利尿劑 Diuretics（100/1/1）</w:t>
      </w:r>
    </w:p>
    <w:p w14:paraId="76A9543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2.9.1. Eplerenone (如</w:t>
      </w:r>
      <w:proofErr w:type="spellStart"/>
      <w:r>
        <w:rPr>
          <w:rFonts w:ascii="標楷體" w:eastAsia="標楷體" w:hAnsi="標楷體"/>
          <w:color w:val="000000"/>
        </w:rPr>
        <w:t>Inspra</w:t>
      </w:r>
      <w:proofErr w:type="spellEnd"/>
      <w:r>
        <w:rPr>
          <w:rFonts w:ascii="標楷體" w:eastAsia="標楷體" w:hAnsi="標楷體"/>
          <w:color w:val="000000"/>
        </w:rPr>
        <w:t>)：（100/1/1、104/12/1）</w:t>
      </w:r>
    </w:p>
    <w:p w14:paraId="590FAE72" w14:textId="77777777" w:rsidR="00401786" w:rsidRDefault="00C64FB3" w:rsidP="0009639E">
      <w:pPr>
        <w:spacing w:line="300" w:lineRule="exact"/>
        <w:ind w:left="670" w:firstLine="110"/>
        <w:rPr>
          <w:rFonts w:ascii="標楷體" w:eastAsia="標楷體" w:hAnsi="標楷體"/>
          <w:color w:val="000000"/>
        </w:rPr>
      </w:pPr>
      <w:r>
        <w:rPr>
          <w:rFonts w:ascii="標楷體" w:eastAsia="標楷體" w:hAnsi="標楷體"/>
          <w:color w:val="000000"/>
        </w:rPr>
        <w:lastRenderedPageBreak/>
        <w:t>限使用於對spironolactone無法耐受之下述個案：</w:t>
      </w:r>
    </w:p>
    <w:p w14:paraId="49A432BD"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1.心肌梗塞後之心衰竭病人。</w:t>
      </w:r>
    </w:p>
    <w:p w14:paraId="3B3B6902"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2.紐約心臟學會(NYHA) 心臟功能分類第II級(含)以上之慢性心衰竭及左心室收縮功能不全(LVEF</w:t>
      </w:r>
      <w:proofErr w:type="gramStart"/>
      <w:r>
        <w:rPr>
          <w:rFonts w:ascii="標楷體" w:eastAsia="標楷體" w:hAnsi="標楷體"/>
          <w:color w:val="000000"/>
        </w:rPr>
        <w:t>≦</w:t>
      </w:r>
      <w:proofErr w:type="gramEnd"/>
      <w:r>
        <w:rPr>
          <w:rFonts w:ascii="標楷體" w:eastAsia="標楷體" w:hAnsi="標楷體"/>
          <w:color w:val="000000"/>
        </w:rPr>
        <w:t>30%)的成人患者。(104/12/1</w:t>
      </w:r>
      <w:proofErr w:type="gramStart"/>
      <w:r>
        <w:rPr>
          <w:rFonts w:ascii="標楷體" w:eastAsia="標楷體" w:hAnsi="標楷體"/>
          <w:color w:val="000000"/>
        </w:rPr>
        <w:t>）</w:t>
      </w:r>
      <w:proofErr w:type="gramEnd"/>
    </w:p>
    <w:p w14:paraId="71383E3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2.9.2. Amiloride單方口服製劑（109/9/1）</w:t>
      </w:r>
    </w:p>
    <w:p w14:paraId="15B8225F"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1.限Liddle's Syndrome病人經事前審查核准後使用。</w:t>
      </w:r>
    </w:p>
    <w:p w14:paraId="540B4E2F"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2.送審時須檢附高血壓、血液電解質異常(高血鈉、低血鉀)，</w:t>
      </w:r>
      <w:proofErr w:type="gramStart"/>
      <w:r>
        <w:rPr>
          <w:rFonts w:ascii="標楷體" w:eastAsia="標楷體" w:hAnsi="標楷體"/>
          <w:color w:val="000000"/>
        </w:rPr>
        <w:t>酸鹼度偏鹼</w:t>
      </w:r>
      <w:proofErr w:type="gramEnd"/>
      <w:r>
        <w:rPr>
          <w:rFonts w:ascii="標楷體" w:eastAsia="標楷體" w:hAnsi="標楷體"/>
          <w:color w:val="000000"/>
        </w:rPr>
        <w:t>（如高serum bicarbonate）、血液</w:t>
      </w:r>
      <w:proofErr w:type="gramStart"/>
      <w:r>
        <w:rPr>
          <w:rFonts w:ascii="標楷體" w:eastAsia="標楷體" w:hAnsi="標楷體"/>
          <w:color w:val="000000"/>
        </w:rPr>
        <w:t>醛固酮</w:t>
      </w:r>
      <w:proofErr w:type="gramEnd"/>
      <w:r>
        <w:rPr>
          <w:rFonts w:ascii="標楷體" w:eastAsia="標楷體" w:hAnsi="標楷體"/>
          <w:color w:val="000000"/>
        </w:rPr>
        <w:t>（aldosterone）偏低或正常濃度及低血液renin activity之病歷資料。</w:t>
      </w:r>
    </w:p>
    <w:p w14:paraId="50C33957" w14:textId="77777777" w:rsidR="00401786" w:rsidRDefault="00C64FB3" w:rsidP="0009639E">
      <w:pPr>
        <w:spacing w:line="300" w:lineRule="exact"/>
        <w:ind w:left="566" w:hanging="283"/>
        <w:rPr>
          <w:rFonts w:ascii="標楷體" w:eastAsia="標楷體" w:hAnsi="標楷體"/>
          <w:color w:val="000000"/>
        </w:rPr>
      </w:pPr>
      <w:r>
        <w:rPr>
          <w:rFonts w:ascii="標楷體" w:eastAsia="標楷體" w:hAnsi="標楷體"/>
          <w:color w:val="000000"/>
        </w:rPr>
        <w:t>2.9.3. Furosemide口服液劑(如</w:t>
      </w:r>
      <w:proofErr w:type="spellStart"/>
      <w:r>
        <w:rPr>
          <w:rFonts w:ascii="標楷體" w:eastAsia="標楷體" w:hAnsi="標楷體"/>
          <w:color w:val="000000"/>
        </w:rPr>
        <w:t>Fumide</w:t>
      </w:r>
      <w:proofErr w:type="spellEnd"/>
      <w:r>
        <w:rPr>
          <w:rFonts w:ascii="標楷體" w:eastAsia="標楷體" w:hAnsi="標楷體"/>
          <w:color w:val="000000"/>
        </w:rPr>
        <w:t xml:space="preserve"> oral solution)：（110/7/1）</w:t>
      </w:r>
    </w:p>
    <w:p w14:paraId="6C7B9765" w14:textId="77777777" w:rsidR="00401786" w:rsidRDefault="00C64FB3" w:rsidP="0009639E">
      <w:pPr>
        <w:spacing w:line="300" w:lineRule="exact"/>
        <w:ind w:left="1133" w:hanging="283"/>
        <w:rPr>
          <w:rFonts w:ascii="標楷體" w:eastAsia="標楷體" w:hAnsi="標楷體"/>
          <w:color w:val="000000"/>
        </w:rPr>
      </w:pPr>
      <w:r>
        <w:rPr>
          <w:rFonts w:ascii="標楷體" w:eastAsia="標楷體" w:hAnsi="標楷體"/>
          <w:color w:val="000000"/>
        </w:rPr>
        <w:t>限使用於無法吞食</w:t>
      </w:r>
      <w:proofErr w:type="gramStart"/>
      <w:r>
        <w:rPr>
          <w:rFonts w:ascii="標楷體" w:eastAsia="標楷體" w:hAnsi="標楷體"/>
          <w:color w:val="000000"/>
        </w:rPr>
        <w:t>錠劑者</w:t>
      </w:r>
      <w:proofErr w:type="gramEnd"/>
      <w:r>
        <w:rPr>
          <w:rFonts w:ascii="標楷體" w:eastAsia="標楷體" w:hAnsi="標楷體"/>
          <w:color w:val="000000"/>
        </w:rPr>
        <w:t>使用(病歷中應註明不能</w:t>
      </w:r>
      <w:proofErr w:type="gramStart"/>
      <w:r>
        <w:rPr>
          <w:rFonts w:ascii="標楷體" w:eastAsia="標楷體" w:hAnsi="標楷體"/>
          <w:color w:val="000000"/>
        </w:rPr>
        <w:t>使用錠劑的</w:t>
      </w:r>
      <w:proofErr w:type="gramEnd"/>
      <w:r>
        <w:rPr>
          <w:rFonts w:ascii="標楷體" w:eastAsia="標楷體" w:hAnsi="標楷體"/>
          <w:color w:val="000000"/>
        </w:rPr>
        <w:t>原因)。（110/7/1）</w:t>
      </w:r>
    </w:p>
    <w:p w14:paraId="5C6BE0E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2.10.抗心律</w:t>
      </w:r>
      <w:proofErr w:type="gramStart"/>
      <w:r>
        <w:rPr>
          <w:rFonts w:ascii="標楷體" w:eastAsia="標楷體" w:hAnsi="標楷體"/>
          <w:color w:val="000000"/>
        </w:rPr>
        <w:t>不整劑</w:t>
      </w:r>
      <w:proofErr w:type="gramEnd"/>
      <w:r>
        <w:rPr>
          <w:rFonts w:ascii="標楷體" w:eastAsia="標楷體" w:hAnsi="標楷體"/>
          <w:color w:val="000000"/>
        </w:rPr>
        <w:t>Antiarrhythmics（100/8/1、111/2/1、112/12/1）</w:t>
      </w:r>
    </w:p>
    <w:p w14:paraId="319F9DE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2.10.1.Dronedarone (如</w:t>
      </w:r>
      <w:proofErr w:type="spellStart"/>
      <w:r>
        <w:rPr>
          <w:rFonts w:ascii="標楷體" w:eastAsia="標楷體" w:hAnsi="標楷體"/>
          <w:color w:val="000000"/>
        </w:rPr>
        <w:t>Multaq</w:t>
      </w:r>
      <w:proofErr w:type="spellEnd"/>
      <w:r>
        <w:rPr>
          <w:rFonts w:ascii="標楷體" w:eastAsia="標楷體" w:hAnsi="標楷體"/>
          <w:color w:val="000000"/>
        </w:rPr>
        <w:t>) (100/8/1、111/2/1、112/12/1)</w:t>
      </w:r>
    </w:p>
    <w:p w14:paraId="5379E2FD" w14:textId="77777777" w:rsidR="00401786" w:rsidRDefault="00C64FB3" w:rsidP="0009639E">
      <w:pPr>
        <w:spacing w:line="300" w:lineRule="exact"/>
        <w:ind w:left="705" w:hanging="199"/>
        <w:rPr>
          <w:rFonts w:ascii="標楷體" w:eastAsia="標楷體" w:hAnsi="標楷體"/>
          <w:color w:val="000000"/>
        </w:rPr>
      </w:pPr>
      <w:r>
        <w:rPr>
          <w:rFonts w:ascii="標楷體" w:eastAsia="標楷體" w:hAnsi="標楷體"/>
          <w:color w:val="000000"/>
        </w:rPr>
        <w:t>1.Multaq適用於最近6個月內有陣發性或持續性心房纖維顫動(AF)或</w:t>
      </w:r>
      <w:proofErr w:type="gramStart"/>
      <w:r>
        <w:rPr>
          <w:rFonts w:ascii="標楷體" w:eastAsia="標楷體" w:hAnsi="標楷體"/>
          <w:color w:val="000000"/>
        </w:rPr>
        <w:t>心房撲動</w:t>
      </w:r>
      <w:proofErr w:type="gramEnd"/>
      <w:r>
        <w:rPr>
          <w:rFonts w:ascii="標楷體" w:eastAsia="標楷體" w:hAnsi="標楷體"/>
          <w:color w:val="000000"/>
        </w:rPr>
        <w:t>(AFL)，且目前</w:t>
      </w:r>
      <w:proofErr w:type="gramStart"/>
      <w:r>
        <w:rPr>
          <w:rFonts w:ascii="標楷體" w:eastAsia="標楷體" w:hAnsi="標楷體"/>
          <w:color w:val="000000"/>
        </w:rPr>
        <w:t>處於竇性節律</w:t>
      </w:r>
      <w:proofErr w:type="gramEnd"/>
      <w:r>
        <w:rPr>
          <w:rFonts w:ascii="標楷體" w:eastAsia="標楷體" w:hAnsi="標楷體"/>
          <w:color w:val="000000"/>
        </w:rPr>
        <w:t>（sinus rhythm）狀態或即將接受治療成為正常節律的患者，可降低病患發生心血管疾病而住院的風險：</w:t>
      </w:r>
    </w:p>
    <w:p w14:paraId="0605DA9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(1)70歲以上，曾有過心房纖維顫動（AF）或</w:t>
      </w:r>
      <w:proofErr w:type="gramStart"/>
      <w:r>
        <w:rPr>
          <w:rFonts w:ascii="標楷體" w:eastAsia="標楷體" w:hAnsi="標楷體"/>
          <w:color w:val="000000"/>
        </w:rPr>
        <w:t>心房撲動</w:t>
      </w:r>
      <w:proofErr w:type="gramEnd"/>
      <w:r>
        <w:rPr>
          <w:rFonts w:ascii="標楷體" w:eastAsia="標楷體" w:hAnsi="標楷體"/>
          <w:color w:val="000000"/>
        </w:rPr>
        <w:t>(AFL)之病患；(111/2/1)</w:t>
      </w:r>
    </w:p>
    <w:p w14:paraId="29A025D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(2)65歲以上未滿70歲，且帶有下列心血管相關危險因子之</w:t>
      </w:r>
      <w:proofErr w:type="gramStart"/>
      <w:r>
        <w:rPr>
          <w:rFonts w:ascii="標楷體" w:eastAsia="標楷體" w:hAnsi="標楷體"/>
          <w:color w:val="000000"/>
        </w:rPr>
        <w:t>ㄧ</w:t>
      </w:r>
      <w:proofErr w:type="gramEnd"/>
      <w:r>
        <w:rPr>
          <w:rFonts w:ascii="標楷體" w:eastAsia="標楷體" w:hAnsi="標楷體"/>
          <w:color w:val="000000"/>
        </w:rPr>
        <w:t>的患者</w:t>
      </w:r>
      <w:proofErr w:type="gramStart"/>
      <w:r>
        <w:rPr>
          <w:rFonts w:ascii="標楷體" w:eastAsia="標楷體" w:hAnsi="標楷體"/>
          <w:color w:val="000000"/>
        </w:rPr>
        <w:t>（</w:t>
      </w:r>
      <w:proofErr w:type="gramEnd"/>
      <w:r>
        <w:rPr>
          <w:rFonts w:ascii="標楷體" w:eastAsia="標楷體" w:hAnsi="標楷體"/>
          <w:color w:val="000000"/>
        </w:rPr>
        <w:t>例如：高血壓、糖尿病、曾發生過腦血管意外、左心房直徑</w:t>
      </w:r>
      <w:proofErr w:type="gramStart"/>
      <w:r>
        <w:rPr>
          <w:rFonts w:ascii="標楷體" w:eastAsia="標楷體" w:hAnsi="標楷體"/>
          <w:color w:val="000000"/>
        </w:rPr>
        <w:t>≧</w:t>
      </w:r>
      <w:proofErr w:type="gramEnd"/>
      <w:r>
        <w:rPr>
          <w:rFonts w:ascii="標楷體" w:eastAsia="標楷體" w:hAnsi="標楷體"/>
          <w:color w:val="000000"/>
        </w:rPr>
        <w:t>50mm</w:t>
      </w:r>
      <w:proofErr w:type="gramStart"/>
      <w:r>
        <w:rPr>
          <w:rFonts w:ascii="標楷體" w:eastAsia="標楷體" w:hAnsi="標楷體"/>
          <w:color w:val="000000"/>
        </w:rPr>
        <w:t>）</w:t>
      </w:r>
      <w:proofErr w:type="gramEnd"/>
      <w:r>
        <w:rPr>
          <w:rFonts w:ascii="標楷體" w:eastAsia="標楷體" w:hAnsi="標楷體"/>
          <w:color w:val="000000"/>
        </w:rPr>
        <w:t>。(111/2/1、112/12/1)</w:t>
      </w:r>
    </w:p>
    <w:p w14:paraId="7FD9093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2.不得使用於有心衰竭診斷史病人。(112/12/1)</w:t>
      </w:r>
    </w:p>
    <w:p w14:paraId="444367D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2.11.抗痛風劑 Antigout agents</w:t>
      </w:r>
    </w:p>
    <w:p w14:paraId="68F3431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2.11.1.Febuxostat（如</w:t>
      </w:r>
      <w:proofErr w:type="spellStart"/>
      <w:r>
        <w:rPr>
          <w:rFonts w:ascii="標楷體" w:eastAsia="標楷體" w:hAnsi="標楷體"/>
          <w:color w:val="000000"/>
        </w:rPr>
        <w:t>Feburic</w:t>
      </w:r>
      <w:proofErr w:type="spellEnd"/>
      <w:r>
        <w:rPr>
          <w:rFonts w:ascii="標楷體" w:eastAsia="標楷體" w:hAnsi="標楷體"/>
          <w:color w:val="000000"/>
        </w:rPr>
        <w:t>）：（101/4/1、103/3/1、105/8/1、108/12/1）</w:t>
      </w:r>
    </w:p>
    <w:p w14:paraId="5762056D"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限慢性痛風患者之高尿酸血症使用，且符合以下條件之</w:t>
      </w:r>
      <w:proofErr w:type="gramStart"/>
      <w:r>
        <w:rPr>
          <w:rFonts w:ascii="標楷體" w:eastAsia="標楷體" w:hAnsi="標楷體"/>
          <w:color w:val="000000"/>
        </w:rPr>
        <w:t>一</w:t>
      </w:r>
      <w:proofErr w:type="gramEnd"/>
      <w:r>
        <w:rPr>
          <w:rFonts w:ascii="標楷體" w:eastAsia="標楷體" w:hAnsi="標楷體"/>
          <w:color w:val="000000"/>
        </w:rPr>
        <w:t>：</w:t>
      </w:r>
    </w:p>
    <w:p w14:paraId="6676FD4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1.曾</w:t>
      </w:r>
      <w:proofErr w:type="gramStart"/>
      <w:r>
        <w:rPr>
          <w:rFonts w:ascii="標楷體" w:eastAsia="標楷體" w:hAnsi="標楷體"/>
          <w:color w:val="000000"/>
        </w:rPr>
        <w:t>使用過降尿酸</w:t>
      </w:r>
      <w:proofErr w:type="gramEnd"/>
      <w:r>
        <w:rPr>
          <w:rFonts w:ascii="標楷體" w:eastAsia="標楷體" w:hAnsi="標楷體"/>
          <w:color w:val="000000"/>
        </w:rPr>
        <w:t>藥物benzbromarone治療反應不佳，尿酸值仍高於6.0 mg/dL。（103/3/1）</w:t>
      </w:r>
    </w:p>
    <w:p w14:paraId="7DDFDFCA" w14:textId="77777777" w:rsidR="00401786" w:rsidRDefault="00C64FB3" w:rsidP="0009639E">
      <w:pPr>
        <w:spacing w:line="300" w:lineRule="exact"/>
        <w:ind w:left="811" w:hanging="245"/>
      </w:pPr>
      <w:r>
        <w:rPr>
          <w:rFonts w:ascii="標楷體" w:eastAsia="標楷體" w:hAnsi="標楷體"/>
          <w:color w:val="000000"/>
        </w:rPr>
        <w:t>2.患有慢性腎臟病 (eGFR＜45 mL/min/1.73m</w:t>
      </w:r>
      <w:r>
        <w:rPr>
          <w:rFonts w:ascii="標楷體" w:eastAsia="標楷體" w:hAnsi="標楷體"/>
          <w:color w:val="000000"/>
          <w:vertAlign w:val="superscript"/>
        </w:rPr>
        <w:t>2</w:t>
      </w:r>
      <w:r>
        <w:rPr>
          <w:rFonts w:ascii="標楷體" w:eastAsia="標楷體" w:hAnsi="標楷體"/>
          <w:color w:val="000000"/>
        </w:rPr>
        <w:t>或serum creatinine</w:t>
      </w:r>
      <w:proofErr w:type="gramStart"/>
      <w:r>
        <w:rPr>
          <w:rFonts w:ascii="標楷體" w:eastAsia="標楷體" w:hAnsi="標楷體"/>
          <w:color w:val="000000"/>
        </w:rPr>
        <w:t>≧</w:t>
      </w:r>
      <w:proofErr w:type="gramEnd"/>
      <w:r>
        <w:rPr>
          <w:rFonts w:ascii="標楷體" w:eastAsia="標楷體" w:hAnsi="標楷體"/>
          <w:color w:val="000000"/>
        </w:rPr>
        <w:t>1.5mg/dL)，或具尿酸性腎臟結石或尿酸性尿路結石或痛風石，或肝硬化之痛風病人。（103/3/1、105/8/1、108/12/1）</w:t>
      </w:r>
    </w:p>
    <w:p w14:paraId="1099356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3.痛風石病人使用時需於病歷上詳細記載部位(需有照片或X光攝影檢查)及醫療理由。(108/12/1</w:t>
      </w:r>
      <w:proofErr w:type="gramStart"/>
      <w:r>
        <w:rPr>
          <w:rFonts w:ascii="標楷體" w:eastAsia="標楷體" w:hAnsi="標楷體"/>
          <w:color w:val="000000"/>
        </w:rPr>
        <w:t>）</w:t>
      </w:r>
      <w:proofErr w:type="gramEnd"/>
    </w:p>
    <w:p w14:paraId="60A29558" w14:textId="77777777" w:rsidR="00401786" w:rsidRDefault="00C64FB3" w:rsidP="0009639E">
      <w:pPr>
        <w:spacing w:line="300" w:lineRule="exact"/>
        <w:ind w:left="1133" w:hanging="850"/>
        <w:rPr>
          <w:rFonts w:ascii="標楷體" w:eastAsia="標楷體" w:hAnsi="標楷體"/>
          <w:color w:val="000000"/>
        </w:rPr>
      </w:pPr>
      <w:r>
        <w:rPr>
          <w:rFonts w:ascii="標楷體" w:eastAsia="標楷體" w:hAnsi="標楷體"/>
          <w:color w:val="000000"/>
        </w:rPr>
        <w:t>2.11.2.含allopurinol成分製劑(105/2/1)</w:t>
      </w:r>
    </w:p>
    <w:p w14:paraId="58484482"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1.限使用於痛風症、痛風性關節炎、尿酸結石、癌症或經化學治療產生之高尿酸血症之治療。</w:t>
      </w:r>
    </w:p>
    <w:p w14:paraId="67790C83"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2.本藥品可能發生嚴重藥物不良反應，故不得使用於非核准之適應症。且須充分提醒病人相關不良反應症狀及後續作為。</w:t>
      </w:r>
    </w:p>
    <w:p w14:paraId="29E1DCE6"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2.12.Ivabradine(如</w:t>
      </w:r>
      <w:proofErr w:type="spellStart"/>
      <w:r>
        <w:rPr>
          <w:rFonts w:ascii="標楷體" w:eastAsia="標楷體" w:hAnsi="標楷體"/>
          <w:color w:val="000000"/>
        </w:rPr>
        <w:t>Coralan</w:t>
      </w:r>
      <w:proofErr w:type="spellEnd"/>
      <w:r>
        <w:rPr>
          <w:rFonts w:ascii="標楷體" w:eastAsia="標楷體" w:hAnsi="標楷體"/>
          <w:color w:val="000000"/>
        </w:rPr>
        <w:t>) (103/5/1、106/10/1)</w:t>
      </w:r>
    </w:p>
    <w:p w14:paraId="58E43F31"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1.限符合下列所有條件之慢性心衰竭患者使用:</w:t>
      </w:r>
    </w:p>
    <w:p w14:paraId="47591A42"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(1)依紐約心臟協會(NYHA)衰竭功能分級為第二級至第四級。(106/10/1)</w:t>
      </w:r>
    </w:p>
    <w:p w14:paraId="40513F8D"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(2)心臟收縮性功能不全，且Ejection Fraction</w:t>
      </w:r>
      <w:proofErr w:type="gramStart"/>
      <w:r>
        <w:rPr>
          <w:rFonts w:ascii="標楷體" w:eastAsia="標楷體" w:hAnsi="標楷體"/>
          <w:color w:val="000000"/>
        </w:rPr>
        <w:t>≦</w:t>
      </w:r>
      <w:proofErr w:type="gramEnd"/>
      <w:r>
        <w:rPr>
          <w:rFonts w:ascii="標楷體" w:eastAsia="標楷體" w:hAnsi="標楷體"/>
          <w:color w:val="000000"/>
        </w:rPr>
        <w:t>35%。</w:t>
      </w:r>
    </w:p>
    <w:p w14:paraId="07FFDB71"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竇性心率</w:t>
      </w:r>
      <w:proofErr w:type="gramEnd"/>
      <w:r>
        <w:rPr>
          <w:rFonts w:ascii="標楷體" w:eastAsia="標楷體" w:hAnsi="標楷體"/>
          <w:color w:val="000000"/>
        </w:rPr>
        <w:t>且每分鐘心跳速率</w:t>
      </w:r>
      <w:proofErr w:type="gramStart"/>
      <w:r>
        <w:rPr>
          <w:rFonts w:ascii="標楷體" w:eastAsia="標楷體" w:hAnsi="標楷體"/>
          <w:color w:val="000000"/>
        </w:rPr>
        <w:t>≧</w:t>
      </w:r>
      <w:proofErr w:type="gramEnd"/>
      <w:r>
        <w:rPr>
          <w:rFonts w:ascii="標楷體" w:eastAsia="標楷體" w:hAnsi="標楷體"/>
          <w:color w:val="000000"/>
        </w:rPr>
        <w:t>75。</w:t>
      </w:r>
    </w:p>
    <w:p w14:paraId="7D924202"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(4)對使用β-阻斷劑為禁忌症或使用最大可耐受劑量之β-阻斷劑已達四</w:t>
      </w:r>
      <w:proofErr w:type="gramStart"/>
      <w:r>
        <w:rPr>
          <w:rFonts w:ascii="標楷體" w:eastAsia="標楷體" w:hAnsi="標楷體"/>
          <w:color w:val="000000"/>
        </w:rPr>
        <w:t>週</w:t>
      </w:r>
      <w:proofErr w:type="gramEnd"/>
      <w:r>
        <w:rPr>
          <w:rFonts w:ascii="標楷體" w:eastAsia="標楷體" w:hAnsi="標楷體"/>
          <w:color w:val="000000"/>
        </w:rPr>
        <w:t>(含)以上。(106/10/1)</w:t>
      </w:r>
    </w:p>
    <w:p w14:paraId="6EFB3D43"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2.每日使用二次，每次</w:t>
      </w:r>
      <w:proofErr w:type="gramStart"/>
      <w:r>
        <w:rPr>
          <w:rFonts w:ascii="標楷體" w:eastAsia="標楷體" w:hAnsi="標楷體"/>
          <w:color w:val="000000"/>
        </w:rPr>
        <w:t>用量限不</w:t>
      </w:r>
      <w:proofErr w:type="gramEnd"/>
      <w:r>
        <w:rPr>
          <w:rFonts w:ascii="標楷體" w:eastAsia="標楷體" w:hAnsi="標楷體"/>
          <w:color w:val="000000"/>
        </w:rPr>
        <w:t>超過一粒。</w:t>
      </w:r>
    </w:p>
    <w:p w14:paraId="376A1AF7"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2.13.Tolvaptan(105/9/1、108/7/1、109/3/1、109/10/1)：</w:t>
      </w:r>
    </w:p>
    <w:p w14:paraId="7C9957A9"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2.13.1.Tolvaptan (如</w:t>
      </w:r>
      <w:proofErr w:type="spellStart"/>
      <w:r>
        <w:rPr>
          <w:rFonts w:ascii="標楷體" w:eastAsia="標楷體" w:hAnsi="標楷體"/>
          <w:color w:val="000000"/>
        </w:rPr>
        <w:t>Samsca</w:t>
      </w:r>
      <w:proofErr w:type="spellEnd"/>
      <w:r>
        <w:rPr>
          <w:rFonts w:ascii="標楷體" w:eastAsia="標楷體" w:hAnsi="標楷體"/>
          <w:color w:val="000000"/>
        </w:rPr>
        <w:t>)：(105/9/1、108/7/1、109/3/1)</w:t>
      </w:r>
    </w:p>
    <w:p w14:paraId="21C4D7BF"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限用於住院病人有下列情形之</w:t>
      </w:r>
      <w:proofErr w:type="gramStart"/>
      <w:r>
        <w:rPr>
          <w:rFonts w:ascii="標楷體" w:eastAsia="標楷體" w:hAnsi="標楷體"/>
          <w:color w:val="000000"/>
        </w:rPr>
        <w:t>一</w:t>
      </w:r>
      <w:proofErr w:type="gramEnd"/>
      <w:r>
        <w:rPr>
          <w:rFonts w:ascii="標楷體" w:eastAsia="標楷體" w:hAnsi="標楷體"/>
          <w:color w:val="000000"/>
        </w:rPr>
        <w:t>者：</w:t>
      </w:r>
    </w:p>
    <w:p w14:paraId="17957CDA" w14:textId="77777777" w:rsidR="00401786" w:rsidRDefault="00C64FB3" w:rsidP="0009639E">
      <w:pPr>
        <w:spacing w:line="300" w:lineRule="exact"/>
        <w:ind w:left="1080" w:hanging="360"/>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罹</w:t>
      </w:r>
      <w:proofErr w:type="gramEnd"/>
      <w:r>
        <w:rPr>
          <w:rFonts w:ascii="標楷體" w:eastAsia="標楷體" w:hAnsi="標楷體"/>
          <w:color w:val="000000"/>
        </w:rPr>
        <w:t>患心臟衰竭引起之低</w:t>
      </w:r>
      <w:proofErr w:type="gramStart"/>
      <w:r>
        <w:rPr>
          <w:rFonts w:ascii="標楷體" w:eastAsia="標楷體" w:hAnsi="標楷體"/>
          <w:color w:val="000000"/>
        </w:rPr>
        <w:t>血鈉症</w:t>
      </w:r>
      <w:proofErr w:type="gramEnd"/>
      <w:r>
        <w:rPr>
          <w:rFonts w:ascii="標楷體" w:eastAsia="標楷體" w:hAnsi="標楷體"/>
          <w:color w:val="000000"/>
        </w:rPr>
        <w:t>(血清鈉濃度低於125mEq/L)，經傳統治療(包括限水，loop diuretics 及補充鹽分等) 48小時以上症狀仍無法改善之成年患者，鈉</w:t>
      </w:r>
      <w:r>
        <w:rPr>
          <w:rFonts w:ascii="標楷體" w:eastAsia="標楷體" w:hAnsi="標楷體"/>
          <w:color w:val="000000"/>
        </w:rPr>
        <w:lastRenderedPageBreak/>
        <w:t>濃度達125mEq/L(含)以上應即停藥。(109/3/1)</w:t>
      </w:r>
    </w:p>
    <w:p w14:paraId="5CE36F17" w14:textId="77777777" w:rsidR="00401786" w:rsidRDefault="00C64FB3" w:rsidP="0009639E">
      <w:pPr>
        <w:spacing w:line="300" w:lineRule="exact"/>
        <w:ind w:left="1080" w:hanging="360"/>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罹患抗利</w:t>
      </w:r>
      <w:proofErr w:type="gramEnd"/>
      <w:r>
        <w:rPr>
          <w:rFonts w:ascii="標楷體" w:eastAsia="標楷體" w:hAnsi="標楷體"/>
          <w:color w:val="000000"/>
        </w:rPr>
        <w:t>尿激素分泌不當症候群（SIADH）引起之低</w:t>
      </w:r>
      <w:proofErr w:type="gramStart"/>
      <w:r>
        <w:rPr>
          <w:rFonts w:ascii="標楷體" w:eastAsia="標楷體" w:hAnsi="標楷體"/>
          <w:color w:val="000000"/>
        </w:rPr>
        <w:t>血鈉症</w:t>
      </w:r>
      <w:proofErr w:type="gramEnd"/>
      <w:r>
        <w:rPr>
          <w:rFonts w:ascii="標楷體" w:eastAsia="標楷體" w:hAnsi="標楷體"/>
          <w:color w:val="000000"/>
        </w:rPr>
        <w:t>(血清鈉濃度低於125mEq/L)，經傳統治療(包括限水，loop diuretics 及補充鹽分等) 48小時以上症狀仍無法改善之成年患者，鈉濃度達125mEq/L(含)以上應即停藥。(109/3/1)</w:t>
      </w:r>
    </w:p>
    <w:p w14:paraId="1C29B287" w14:textId="77777777" w:rsidR="00401786" w:rsidRDefault="00C64FB3" w:rsidP="0009639E">
      <w:pPr>
        <w:spacing w:line="300" w:lineRule="exact"/>
        <w:ind w:left="720" w:hanging="240"/>
        <w:rPr>
          <w:rFonts w:ascii="標楷體" w:eastAsia="標楷體" w:hAnsi="標楷體"/>
          <w:color w:val="000000"/>
        </w:rPr>
      </w:pPr>
      <w:r>
        <w:rPr>
          <w:rFonts w:ascii="標楷體" w:eastAsia="標楷體" w:hAnsi="標楷體"/>
          <w:color w:val="000000"/>
        </w:rPr>
        <w:t>2.每位病人每年限給付3次療程，</w:t>
      </w:r>
      <w:proofErr w:type="gramStart"/>
      <w:r>
        <w:rPr>
          <w:rFonts w:ascii="標楷體" w:eastAsia="標楷體" w:hAnsi="標楷體"/>
          <w:color w:val="000000"/>
        </w:rPr>
        <w:t>同次住院</w:t>
      </w:r>
      <w:proofErr w:type="gramEnd"/>
      <w:r>
        <w:rPr>
          <w:rFonts w:ascii="標楷體" w:eastAsia="標楷體" w:hAnsi="標楷體"/>
          <w:color w:val="000000"/>
        </w:rPr>
        <w:t>限給付1次療程。每次療程最多給付4日，每日最多給付1粒。</w:t>
      </w:r>
    </w:p>
    <w:p w14:paraId="06B2B179" w14:textId="77777777" w:rsidR="00401786" w:rsidRDefault="00C64FB3" w:rsidP="0009639E">
      <w:pPr>
        <w:spacing w:line="300" w:lineRule="exact"/>
        <w:ind w:left="720" w:hanging="240"/>
        <w:rPr>
          <w:rFonts w:ascii="標楷體" w:eastAsia="標楷體" w:hAnsi="標楷體"/>
          <w:color w:val="000000"/>
        </w:rPr>
      </w:pPr>
      <w:r>
        <w:rPr>
          <w:rFonts w:ascii="標楷體" w:eastAsia="標楷體" w:hAnsi="標楷體"/>
          <w:color w:val="000000"/>
        </w:rPr>
        <w:t>3.須於使用後監測肝功能，肝功能指數大於正常上限3倍者應停用。</w:t>
      </w:r>
    </w:p>
    <w:p w14:paraId="104F2CED"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2.13.2.Tolvaptan (如</w:t>
      </w:r>
      <w:proofErr w:type="spellStart"/>
      <w:r>
        <w:rPr>
          <w:rFonts w:ascii="標楷體" w:eastAsia="標楷體" w:hAnsi="標楷體"/>
          <w:color w:val="000000"/>
        </w:rPr>
        <w:t>Jinarc</w:t>
      </w:r>
      <w:proofErr w:type="spellEnd"/>
      <w:r>
        <w:rPr>
          <w:rFonts w:ascii="標楷體" w:eastAsia="標楷體" w:hAnsi="標楷體"/>
          <w:color w:val="000000"/>
        </w:rPr>
        <w:t>)(108/7/1、109/10/1)：</w:t>
      </w:r>
    </w:p>
    <w:p w14:paraId="487B3BE4"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1.限腎臟專科醫師處方，須經事前審查核准後使用，每日至多使用2粒，每年檢附評估資料重新申請。</w:t>
      </w:r>
    </w:p>
    <w:p w14:paraId="3AB571B8"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2.初次使用限用於已出現病情迅速惡化跡象之第 3 期慢性腎臟病的18歲以上，50歲以下自體顯性多囊性腎臟病(ADPKD) 患者，且腎臟影像</w:t>
      </w:r>
      <w:proofErr w:type="gramStart"/>
      <w:r>
        <w:rPr>
          <w:rFonts w:ascii="標楷體" w:eastAsia="標楷體" w:hAnsi="標楷體"/>
          <w:color w:val="000000"/>
        </w:rPr>
        <w:t>呈雙側</w:t>
      </w:r>
      <w:proofErr w:type="gramEnd"/>
      <w:r>
        <w:rPr>
          <w:rFonts w:ascii="標楷體" w:eastAsia="標楷體" w:hAnsi="標楷體"/>
          <w:color w:val="000000"/>
        </w:rPr>
        <w:t>/瀰漫性水泡，病情須符合下列至少一項：(109/10/1)</w:t>
      </w:r>
    </w:p>
    <w:p w14:paraId="5DD87C27"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(1)一年之內eGFR下降</w:t>
      </w:r>
      <w:proofErr w:type="gramStart"/>
      <w:r>
        <w:rPr>
          <w:rFonts w:ascii="標楷體" w:eastAsia="標楷體" w:hAnsi="標楷體"/>
          <w:color w:val="000000"/>
        </w:rPr>
        <w:t>≧</w:t>
      </w:r>
      <w:proofErr w:type="gramEnd"/>
      <w:r>
        <w:rPr>
          <w:rFonts w:ascii="標楷體" w:eastAsia="標楷體" w:hAnsi="標楷體"/>
          <w:color w:val="000000"/>
        </w:rPr>
        <w:t>5.0 mL/min/1.73 m2 或五年內eGFR每年下降</w:t>
      </w:r>
      <w:proofErr w:type="gramStart"/>
      <w:r>
        <w:rPr>
          <w:rFonts w:ascii="標楷體" w:eastAsia="標楷體" w:hAnsi="標楷體"/>
          <w:color w:val="000000"/>
        </w:rPr>
        <w:t>≧</w:t>
      </w:r>
      <w:proofErr w:type="gramEnd"/>
      <w:r>
        <w:rPr>
          <w:rFonts w:ascii="標楷體" w:eastAsia="標楷體" w:hAnsi="標楷體"/>
          <w:color w:val="000000"/>
        </w:rPr>
        <w:t>2.5mL/min/1.73 m2，且排除其它如脫水、藥物、感染、阻塞等原因所致。</w:t>
      </w:r>
    </w:p>
    <w:p w14:paraId="551FDBFA" w14:textId="77777777" w:rsidR="00401786" w:rsidRDefault="00C64FB3" w:rsidP="0009639E">
      <w:pPr>
        <w:spacing w:line="300" w:lineRule="exact"/>
        <w:ind w:left="993" w:firstLine="1"/>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htTKV</w:t>
      </w:r>
      <w:proofErr w:type="spellEnd"/>
      <w:r>
        <w:rPr>
          <w:rFonts w:ascii="標楷體" w:eastAsia="標楷體" w:hAnsi="標楷體"/>
          <w:color w:val="000000"/>
        </w:rPr>
        <w:t>符合Mayo分期1C-1E disease</w:t>
      </w:r>
    </w:p>
    <w:p w14:paraId="4246F0AB"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3.病患開始使用tolvaptan前，確認下列條件及病史：</w:t>
      </w:r>
    </w:p>
    <w:p w14:paraId="368BAAB6"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(1)用藥前肝功能正常</w:t>
      </w:r>
    </w:p>
    <w:p w14:paraId="2720D2BF"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(2)血清尿酸濃度控制在7mg/dL或以下</w:t>
      </w:r>
    </w:p>
    <w:p w14:paraId="3141BFEE"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(3)沒有青光眼或經眼科醫師證明眼壓控制良好</w:t>
      </w:r>
    </w:p>
    <w:p w14:paraId="426CDF6F"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(4)沒有皮膚腫瘤的病史</w:t>
      </w:r>
    </w:p>
    <w:p w14:paraId="65C47439"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(5)沒有電解質異常</w:t>
      </w:r>
    </w:p>
    <w:p w14:paraId="3CAB92D0"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(6)排除懷孕、哺乳、脫水、尿路阻塞、及肝臟損傷病史</w:t>
      </w:r>
    </w:p>
    <w:p w14:paraId="1D2C02D1"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4.出現下列情況時停用tolvaptan：</w:t>
      </w:r>
    </w:p>
    <w:p w14:paraId="3C74C9D1"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(1)在藥物調整後，肝功能指數仍高於上限三倍</w:t>
      </w:r>
    </w:p>
    <w:p w14:paraId="676F321D"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(2)在使用tolvaptan</w:t>
      </w:r>
      <w:proofErr w:type="gramStart"/>
      <w:r>
        <w:rPr>
          <w:rFonts w:ascii="標楷體" w:eastAsia="標楷體" w:hAnsi="標楷體"/>
          <w:color w:val="000000"/>
        </w:rPr>
        <w:t>一</w:t>
      </w:r>
      <w:proofErr w:type="gramEnd"/>
      <w:r>
        <w:rPr>
          <w:rFonts w:ascii="標楷體" w:eastAsia="標楷體" w:hAnsi="標楷體"/>
          <w:color w:val="000000"/>
        </w:rPr>
        <w:t>年後，eGFR下降仍</w:t>
      </w:r>
      <w:proofErr w:type="gramStart"/>
      <w:r>
        <w:rPr>
          <w:rFonts w:ascii="標楷體" w:eastAsia="標楷體" w:hAnsi="標楷體"/>
          <w:color w:val="000000"/>
        </w:rPr>
        <w:t>≧</w:t>
      </w:r>
      <w:proofErr w:type="gramEnd"/>
      <w:r>
        <w:rPr>
          <w:rFonts w:ascii="標楷體" w:eastAsia="標楷體" w:hAnsi="標楷體"/>
          <w:color w:val="000000"/>
        </w:rPr>
        <w:t>5mL/min/1.73 m2</w:t>
      </w:r>
    </w:p>
    <w:p w14:paraId="2FE25E8C"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(3)有明顯副作用以致有危害健康的疑慮時</w:t>
      </w:r>
    </w:p>
    <w:p w14:paraId="1A51FCCD" w14:textId="77777777" w:rsidR="00401786" w:rsidRDefault="00C64FB3" w:rsidP="0009639E">
      <w:pPr>
        <w:spacing w:line="300" w:lineRule="exact"/>
        <w:ind w:left="566" w:hanging="283"/>
        <w:rPr>
          <w:rFonts w:ascii="標楷體" w:eastAsia="標楷體" w:hAnsi="標楷體"/>
          <w:color w:val="000000"/>
        </w:rPr>
      </w:pPr>
      <w:r>
        <w:rPr>
          <w:rFonts w:ascii="標楷體" w:eastAsia="標楷體" w:hAnsi="標楷體"/>
          <w:color w:val="000000"/>
        </w:rPr>
        <w:t>2.14.Sacubitril+Valsartan (如Entresto)：(106/3/1、109/6/1、110/7/1、111/5/1)</w:t>
      </w:r>
    </w:p>
    <w:p w14:paraId="565BF314"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1.限符合下列各項條件之慢性收縮性心衰竭患者使用：</w:t>
      </w:r>
    </w:p>
    <w:p w14:paraId="20891F5C" w14:textId="77777777" w:rsidR="00401786" w:rsidRDefault="00C64FB3" w:rsidP="0009639E">
      <w:pPr>
        <w:spacing w:line="300" w:lineRule="exact"/>
        <w:ind w:left="1274" w:hanging="283"/>
        <w:rPr>
          <w:rFonts w:ascii="標楷體" w:eastAsia="標楷體" w:hAnsi="標楷體"/>
          <w:color w:val="000000"/>
        </w:rPr>
      </w:pPr>
      <w:r>
        <w:rPr>
          <w:rFonts w:ascii="標楷體" w:eastAsia="標楷體" w:hAnsi="標楷體"/>
          <w:color w:val="000000"/>
        </w:rPr>
        <w:t>(1)依紐約心臟協會(NYHA)心衰竭功能分級為第二級至第四級。左心室收縮功能不全，左心室射出分率(LVEF)</w:t>
      </w:r>
      <w:proofErr w:type="gramStart"/>
      <w:r>
        <w:rPr>
          <w:rFonts w:ascii="標楷體" w:eastAsia="標楷體" w:hAnsi="標楷體"/>
          <w:color w:val="000000"/>
        </w:rPr>
        <w:t>≦</w:t>
      </w:r>
      <w:proofErr w:type="gramEnd"/>
      <w:r>
        <w:rPr>
          <w:rFonts w:ascii="標楷體" w:eastAsia="標楷體" w:hAnsi="標楷體"/>
          <w:color w:val="000000"/>
        </w:rPr>
        <w:t>35% (初次使用者須</w:t>
      </w:r>
      <w:proofErr w:type="gramStart"/>
      <w:r>
        <w:rPr>
          <w:rFonts w:ascii="標楷體" w:eastAsia="標楷體" w:hAnsi="標楷體"/>
          <w:color w:val="000000"/>
        </w:rPr>
        <w:t>檢附半年內</w:t>
      </w:r>
      <w:proofErr w:type="gramEnd"/>
      <w:r>
        <w:rPr>
          <w:rFonts w:ascii="標楷體" w:eastAsia="標楷體" w:hAnsi="標楷體"/>
          <w:color w:val="000000"/>
        </w:rPr>
        <w:t>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影等標準心臟功能檢查的左心室射出分率數值結果為參考依據；如果是急性心肌梗塞、急性心肌炎或初次裝置左心室再同步心律調節器或左心室再同步去</w:t>
      </w:r>
      <w:proofErr w:type="gramStart"/>
      <w:r>
        <w:rPr>
          <w:rFonts w:ascii="標楷體" w:eastAsia="標楷體" w:hAnsi="標楷體"/>
          <w:color w:val="000000"/>
        </w:rPr>
        <w:t>顫復律器</w:t>
      </w:r>
      <w:proofErr w:type="gramEnd"/>
      <w:r>
        <w:rPr>
          <w:rFonts w:ascii="標楷體" w:eastAsia="標楷體" w:hAnsi="標楷體"/>
          <w:color w:val="000000"/>
        </w:rPr>
        <w:t>者，須經治療至少3個月並附上往後半年內之心臟超音波、心導管左心室造影、核醫、電腦斷層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 xml:space="preserve">影等標準心臟功能檢查的左心室射出分率數值結果為參考依據)；或左心室射出分率(LVEF)介於36%至40%且對SGLT2抑制劑不耐受之病人(109/6/1、110/7/1、111/5/1)。 </w:t>
      </w:r>
    </w:p>
    <w:p w14:paraId="4784BEC6" w14:textId="77777777" w:rsidR="00401786" w:rsidRDefault="00C64FB3" w:rsidP="0009639E">
      <w:pPr>
        <w:spacing w:line="300" w:lineRule="exact"/>
        <w:ind w:left="1274" w:hanging="283"/>
        <w:rPr>
          <w:rFonts w:ascii="標楷體" w:eastAsia="標楷體" w:hAnsi="標楷體"/>
          <w:color w:val="000000"/>
        </w:rPr>
      </w:pPr>
      <w:r>
        <w:rPr>
          <w:rFonts w:ascii="標楷體" w:eastAsia="標楷體" w:hAnsi="標楷體"/>
          <w:color w:val="000000"/>
        </w:rPr>
        <w:t>(2)經ACEI或ARB穩定劑量治療，及合併使用β-阻斷劑最大可耐受劑量已達4</w:t>
      </w:r>
      <w:proofErr w:type="gramStart"/>
      <w:r>
        <w:rPr>
          <w:rFonts w:ascii="標楷體" w:eastAsia="標楷體" w:hAnsi="標楷體"/>
          <w:color w:val="000000"/>
        </w:rPr>
        <w:t>週</w:t>
      </w:r>
      <w:proofErr w:type="gramEnd"/>
      <w:r>
        <w:rPr>
          <w:rFonts w:ascii="標楷體" w:eastAsia="標楷體" w:hAnsi="標楷體"/>
          <w:color w:val="000000"/>
        </w:rPr>
        <w:t>(含)以上或使用β-阻斷劑有禁忌症而無法使用，且再</w:t>
      </w:r>
      <w:proofErr w:type="gramStart"/>
      <w:r>
        <w:rPr>
          <w:rFonts w:ascii="標楷體" w:eastAsia="標楷體" w:hAnsi="標楷體"/>
          <w:color w:val="000000"/>
        </w:rPr>
        <w:t>併</w:t>
      </w:r>
      <w:proofErr w:type="gramEnd"/>
      <w:r>
        <w:rPr>
          <w:rFonts w:ascii="標楷體" w:eastAsia="標楷體" w:hAnsi="標楷體"/>
          <w:color w:val="000000"/>
        </w:rPr>
        <w:t>用SGLT-2抑制劑治療12</w:t>
      </w:r>
      <w:proofErr w:type="gramStart"/>
      <w:r>
        <w:rPr>
          <w:rFonts w:ascii="標楷體" w:eastAsia="標楷體" w:hAnsi="標楷體"/>
          <w:color w:val="000000"/>
        </w:rPr>
        <w:t>週</w:t>
      </w:r>
      <w:proofErr w:type="gramEnd"/>
      <w:r>
        <w:rPr>
          <w:rFonts w:ascii="標楷體" w:eastAsia="標楷體" w:hAnsi="標楷體"/>
          <w:color w:val="000000"/>
        </w:rPr>
        <w:t>之後，LVEF仍</w:t>
      </w:r>
      <w:proofErr w:type="gramStart"/>
      <w:r>
        <w:rPr>
          <w:rFonts w:ascii="標楷體" w:eastAsia="標楷體" w:hAnsi="標楷體"/>
          <w:color w:val="000000"/>
        </w:rPr>
        <w:t>≦</w:t>
      </w:r>
      <w:proofErr w:type="gramEnd"/>
      <w:r>
        <w:rPr>
          <w:rFonts w:ascii="標楷體" w:eastAsia="標楷體" w:hAnsi="標楷體"/>
          <w:color w:val="000000"/>
        </w:rPr>
        <w:t>35%，或對SGLT-2抑制劑無法耐受，仍有心衰竭症狀者。(109/6/1、111/5/1)</w:t>
      </w:r>
    </w:p>
    <w:p w14:paraId="4A978E2B"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2.不應與ACEI或ARB合併使用，開始</w:t>
      </w:r>
      <w:proofErr w:type="gramStart"/>
      <w:r>
        <w:rPr>
          <w:rFonts w:ascii="標楷體" w:eastAsia="標楷體" w:hAnsi="標楷體"/>
          <w:color w:val="000000"/>
        </w:rPr>
        <w:t>使用本藥</w:t>
      </w:r>
      <w:proofErr w:type="gramEnd"/>
      <w:r>
        <w:rPr>
          <w:rFonts w:ascii="標楷體" w:eastAsia="標楷體" w:hAnsi="標楷體"/>
          <w:color w:val="000000"/>
        </w:rPr>
        <w:t>，至少要和ACEI間隔36小時。(109/6/1)</w:t>
      </w:r>
    </w:p>
    <w:p w14:paraId="3335D21A"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3.曾有血管性水腫(angioedema)病史者，禁止使用。</w:t>
      </w:r>
    </w:p>
    <w:p w14:paraId="32C9F80D"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4.每日限最多使用2粒。</w:t>
      </w:r>
    </w:p>
    <w:p w14:paraId="093DE4F1"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5.111年5月1日前已依修訂前之給付規定使用本藥品之病人，得繼續使用本藥品至醫師更新其處方內容。(111/5/1)</w:t>
      </w:r>
    </w:p>
    <w:p w14:paraId="2684995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2.15.Digoxin口服液劑(如</w:t>
      </w:r>
      <w:proofErr w:type="spellStart"/>
      <w:r>
        <w:rPr>
          <w:rFonts w:ascii="標楷體" w:eastAsia="標楷體" w:hAnsi="標楷體"/>
          <w:color w:val="000000"/>
        </w:rPr>
        <w:t>Cardiacin</w:t>
      </w:r>
      <w:proofErr w:type="spellEnd"/>
      <w:r>
        <w:rPr>
          <w:rFonts w:ascii="標楷體" w:eastAsia="標楷體" w:hAnsi="標楷體"/>
          <w:color w:val="000000"/>
        </w:rPr>
        <w:t xml:space="preserve"> elixir)：(110/1/1)</w:t>
      </w:r>
    </w:p>
    <w:p w14:paraId="47FB636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限用於年齡1個月以上至未滿7歲兒童。</w:t>
      </w:r>
    </w:p>
    <w:p w14:paraId="1220C36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2.16.Dapagliflozin(如</w:t>
      </w:r>
      <w:proofErr w:type="spellStart"/>
      <w:r>
        <w:rPr>
          <w:rFonts w:ascii="標楷體" w:eastAsia="標楷體" w:hAnsi="標楷體"/>
          <w:color w:val="000000"/>
        </w:rPr>
        <w:t>Forxiga</w:t>
      </w:r>
      <w:proofErr w:type="spellEnd"/>
      <w:r>
        <w:rPr>
          <w:rFonts w:ascii="標楷體" w:eastAsia="標楷體" w:hAnsi="標楷體"/>
          <w:color w:val="000000"/>
        </w:rPr>
        <w:t>)、empagliflozin (如Jardiance 10mg)：（111/5/1、111/8/1、114/3/1）</w:t>
      </w:r>
    </w:p>
    <w:p w14:paraId="0DF60D1C" w14:textId="77777777" w:rsidR="00401786" w:rsidRDefault="00C64FB3" w:rsidP="0009639E">
      <w:pPr>
        <w:suppressAutoHyphens w:val="0"/>
        <w:spacing w:line="300" w:lineRule="exact"/>
        <w:ind w:left="991" w:hanging="283"/>
        <w:textAlignment w:val="auto"/>
        <w:rPr>
          <w:rFonts w:ascii="標楷體" w:eastAsia="標楷體" w:hAnsi="標楷體"/>
          <w:color w:val="000000"/>
        </w:rPr>
      </w:pPr>
      <w:r>
        <w:rPr>
          <w:rFonts w:ascii="標楷體" w:eastAsia="標楷體" w:hAnsi="標楷體"/>
          <w:color w:val="000000"/>
        </w:rPr>
        <w:t>1.慢性收縮性心衰竭：</w:t>
      </w:r>
    </w:p>
    <w:p w14:paraId="33619CDA" w14:textId="77777777" w:rsidR="00401786" w:rsidRDefault="00C64FB3" w:rsidP="0009639E">
      <w:pPr>
        <w:suppressAutoHyphens w:val="0"/>
        <w:spacing w:line="300" w:lineRule="exact"/>
        <w:ind w:left="1274" w:hanging="283"/>
        <w:textAlignment w:val="auto"/>
        <w:rPr>
          <w:rFonts w:ascii="標楷體" w:eastAsia="標楷體" w:hAnsi="標楷體"/>
          <w:color w:val="000000"/>
        </w:rPr>
      </w:pPr>
      <w:r>
        <w:rPr>
          <w:rFonts w:ascii="標楷體" w:eastAsia="標楷體" w:hAnsi="標楷體"/>
          <w:color w:val="000000"/>
        </w:rPr>
        <w:t>(1)用於慢性收縮性心衰竭病人(LVEF</w:t>
      </w:r>
      <w:proofErr w:type="gramStart"/>
      <w:r>
        <w:rPr>
          <w:rFonts w:ascii="標楷體" w:eastAsia="標楷體" w:hAnsi="標楷體"/>
          <w:color w:val="000000"/>
        </w:rPr>
        <w:t>≦</w:t>
      </w:r>
      <w:proofErr w:type="gramEnd"/>
      <w:r>
        <w:rPr>
          <w:rFonts w:ascii="標楷體" w:eastAsia="標楷體" w:hAnsi="標楷體"/>
          <w:color w:val="000000"/>
        </w:rPr>
        <w:t>40%)，應完全符合下列條件：</w:t>
      </w:r>
    </w:p>
    <w:p w14:paraId="42CB1B15"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Ⅰ.依紐約心臟協會(NYHA)心衰竭功能分級為第二級至第四級。左心室收縮功能不全，左心室射出分率(LVEF)</w:t>
      </w:r>
      <w:proofErr w:type="gramStart"/>
      <w:r>
        <w:rPr>
          <w:rFonts w:ascii="標楷體" w:eastAsia="標楷體" w:hAnsi="標楷體"/>
          <w:color w:val="000000"/>
        </w:rPr>
        <w:t>≦</w:t>
      </w:r>
      <w:proofErr w:type="gramEnd"/>
      <w:r>
        <w:rPr>
          <w:rFonts w:ascii="標楷體" w:eastAsia="標楷體" w:hAnsi="標楷體"/>
          <w:color w:val="000000"/>
        </w:rPr>
        <w:t>40%(初次使用者須檢附</w:t>
      </w:r>
      <w:proofErr w:type="gramStart"/>
      <w:r>
        <w:rPr>
          <w:rFonts w:ascii="標楷體" w:eastAsia="標楷體" w:hAnsi="標楷體"/>
          <w:color w:val="000000"/>
        </w:rPr>
        <w:t>一</w:t>
      </w:r>
      <w:proofErr w:type="gramEnd"/>
      <w:r>
        <w:rPr>
          <w:rFonts w:ascii="標楷體" w:eastAsia="標楷體" w:hAnsi="標楷體"/>
          <w:color w:val="000000"/>
        </w:rPr>
        <w:t>年內心臟超音波、心導管左心室造影、核醫、電腦斷層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 xml:space="preserve">影等標準心臟功能檢查的左心室射出分率數值結果)。 </w:t>
      </w:r>
    </w:p>
    <w:p w14:paraId="04DABDD6"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Ⅱ.經ACEI或ARB穩定劑量治療，及合併使用β-阻斷劑最大可耐受劑量已達4</w:t>
      </w:r>
      <w:proofErr w:type="gramStart"/>
      <w:r>
        <w:rPr>
          <w:rFonts w:ascii="標楷體" w:eastAsia="標楷體" w:hAnsi="標楷體"/>
          <w:color w:val="000000"/>
        </w:rPr>
        <w:t>週</w:t>
      </w:r>
      <w:proofErr w:type="gramEnd"/>
      <w:r>
        <w:rPr>
          <w:rFonts w:ascii="標楷體" w:eastAsia="標楷體" w:hAnsi="標楷體"/>
          <w:color w:val="000000"/>
        </w:rPr>
        <w:t>(含)以上或使用β-阻斷劑有禁忌症而無法使用，仍有心衰竭症狀者。</w:t>
      </w:r>
    </w:p>
    <w:p w14:paraId="56B17FFA" w14:textId="77777777" w:rsidR="00401786" w:rsidRDefault="00C64FB3" w:rsidP="0009639E">
      <w:pPr>
        <w:suppressAutoHyphens w:val="0"/>
        <w:spacing w:line="300" w:lineRule="exact"/>
        <w:ind w:left="1274" w:hanging="283"/>
        <w:textAlignment w:val="auto"/>
        <w:rPr>
          <w:rFonts w:ascii="標楷體" w:eastAsia="標楷體" w:hAnsi="標楷體"/>
          <w:color w:val="000000"/>
        </w:rPr>
      </w:pPr>
      <w:r>
        <w:rPr>
          <w:rFonts w:ascii="標楷體" w:eastAsia="標楷體" w:hAnsi="標楷體"/>
          <w:color w:val="000000"/>
        </w:rPr>
        <w:t>(2)用於慢性收縮性心衰竭病人(41%</w:t>
      </w:r>
      <w:proofErr w:type="gramStart"/>
      <w:r>
        <w:rPr>
          <w:rFonts w:ascii="標楷體" w:eastAsia="標楷體" w:hAnsi="標楷體"/>
          <w:color w:val="000000"/>
        </w:rPr>
        <w:t>≦</w:t>
      </w:r>
      <w:proofErr w:type="gramEnd"/>
      <w:r>
        <w:rPr>
          <w:rFonts w:ascii="標楷體" w:eastAsia="標楷體" w:hAnsi="標楷體"/>
          <w:color w:val="000000"/>
        </w:rPr>
        <w:t>LVEF</w:t>
      </w:r>
      <w:proofErr w:type="gramStart"/>
      <w:r>
        <w:rPr>
          <w:rFonts w:ascii="標楷體" w:eastAsia="標楷體" w:hAnsi="標楷體"/>
          <w:color w:val="000000"/>
        </w:rPr>
        <w:t>≦</w:t>
      </w:r>
      <w:proofErr w:type="gramEnd"/>
      <w:r>
        <w:rPr>
          <w:rFonts w:ascii="標楷體" w:eastAsia="標楷體" w:hAnsi="標楷體"/>
          <w:color w:val="000000"/>
        </w:rPr>
        <w:t>49%)，應完全符合下列條件：(114/3/1</w:t>
      </w:r>
      <w:proofErr w:type="gramStart"/>
      <w:r>
        <w:rPr>
          <w:rFonts w:ascii="標楷體" w:eastAsia="標楷體" w:hAnsi="標楷體"/>
          <w:color w:val="000000"/>
        </w:rPr>
        <w:t>）</w:t>
      </w:r>
      <w:proofErr w:type="gramEnd"/>
    </w:p>
    <w:p w14:paraId="72876D5D"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Ⅰ.依紐約心臟協會(NYHA)心衰竭功能分級為第二級至第四級。左心室收縮功能不全，左心室射出分率(LVEF)</w:t>
      </w:r>
      <w:proofErr w:type="gramStart"/>
      <w:r>
        <w:rPr>
          <w:rFonts w:ascii="標楷體" w:eastAsia="標楷體" w:hAnsi="標楷體"/>
          <w:color w:val="000000"/>
        </w:rPr>
        <w:t>≧</w:t>
      </w:r>
      <w:proofErr w:type="gramEnd"/>
      <w:r>
        <w:rPr>
          <w:rFonts w:ascii="標楷體" w:eastAsia="標楷體" w:hAnsi="標楷體"/>
          <w:color w:val="000000"/>
        </w:rPr>
        <w:t>41且</w:t>
      </w:r>
      <w:proofErr w:type="gramStart"/>
      <w:r>
        <w:rPr>
          <w:rFonts w:ascii="標楷體" w:eastAsia="標楷體" w:hAnsi="標楷體"/>
          <w:color w:val="000000"/>
        </w:rPr>
        <w:t>≦</w:t>
      </w:r>
      <w:proofErr w:type="gramEnd"/>
      <w:r>
        <w:rPr>
          <w:rFonts w:ascii="標楷體" w:eastAsia="標楷體" w:hAnsi="標楷體"/>
          <w:color w:val="000000"/>
        </w:rPr>
        <w:t>49%(初次使用者須檢附</w:t>
      </w:r>
      <w:proofErr w:type="gramStart"/>
      <w:r>
        <w:rPr>
          <w:rFonts w:ascii="標楷體" w:eastAsia="標楷體" w:hAnsi="標楷體"/>
          <w:color w:val="000000"/>
        </w:rPr>
        <w:t>一</w:t>
      </w:r>
      <w:proofErr w:type="gramEnd"/>
      <w:r>
        <w:rPr>
          <w:rFonts w:ascii="標楷體" w:eastAsia="標楷體" w:hAnsi="標楷體"/>
          <w:color w:val="000000"/>
        </w:rPr>
        <w:t>年內心臟超音波、心導管左心室造影、核醫、電腦斷層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影等標準心臟功能檢查的左心室射出分率數值結果)。</w:t>
      </w:r>
    </w:p>
    <w:p w14:paraId="507B76EE"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Ⅱ.經ACEI或ARB穩定劑量治療，及合併使用β-阻斷劑最大可耐受劑量已達4</w:t>
      </w:r>
      <w:proofErr w:type="gramStart"/>
      <w:r>
        <w:rPr>
          <w:rFonts w:ascii="標楷體" w:eastAsia="標楷體" w:hAnsi="標楷體"/>
          <w:color w:val="000000"/>
        </w:rPr>
        <w:t>週</w:t>
      </w:r>
      <w:proofErr w:type="gramEnd"/>
      <w:r>
        <w:rPr>
          <w:rFonts w:ascii="標楷體" w:eastAsia="標楷體" w:hAnsi="標楷體"/>
          <w:color w:val="000000"/>
        </w:rPr>
        <w:t>(含)以上或使用β-阻斷劑有禁忌症而無法使用，仍有心衰竭症狀者。</w:t>
      </w:r>
    </w:p>
    <w:p w14:paraId="2B8E62E7"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Ⅲ.過去曾有心臟衰竭住院</w:t>
      </w:r>
      <w:proofErr w:type="gramStart"/>
      <w:r>
        <w:rPr>
          <w:rFonts w:ascii="標楷體" w:eastAsia="標楷體" w:hAnsi="標楷體"/>
          <w:color w:val="000000"/>
        </w:rPr>
        <w:t>病史或經</w:t>
      </w:r>
      <w:proofErr w:type="gramEnd"/>
      <w:r>
        <w:rPr>
          <w:rFonts w:ascii="標楷體" w:eastAsia="標楷體" w:hAnsi="標楷體"/>
          <w:color w:val="000000"/>
        </w:rPr>
        <w:t>心臟專科醫師診斷為心衰竭者。</w:t>
      </w:r>
    </w:p>
    <w:p w14:paraId="1074F49D" w14:textId="77777777" w:rsidR="00401786" w:rsidRDefault="00C64FB3" w:rsidP="0009639E">
      <w:pPr>
        <w:suppressAutoHyphens w:val="0"/>
        <w:spacing w:line="300" w:lineRule="exact"/>
        <w:ind w:left="708"/>
        <w:textAlignment w:val="auto"/>
        <w:rPr>
          <w:rFonts w:ascii="標楷體" w:eastAsia="標楷體" w:hAnsi="標楷體"/>
          <w:color w:val="000000"/>
        </w:rPr>
      </w:pPr>
      <w:r>
        <w:rPr>
          <w:rFonts w:ascii="標楷體" w:eastAsia="標楷體" w:hAnsi="標楷體"/>
          <w:color w:val="000000"/>
        </w:rPr>
        <w:t>2.慢性腎臟病：(114/3/1</w:t>
      </w:r>
      <w:proofErr w:type="gramStart"/>
      <w:r>
        <w:rPr>
          <w:rFonts w:ascii="標楷體" w:eastAsia="標楷體" w:hAnsi="標楷體"/>
          <w:color w:val="000000"/>
        </w:rPr>
        <w:t>）</w:t>
      </w:r>
      <w:proofErr w:type="gramEnd"/>
    </w:p>
    <w:p w14:paraId="71D8E374" w14:textId="77777777" w:rsidR="00401786" w:rsidRDefault="00C64FB3" w:rsidP="0009639E">
      <w:pPr>
        <w:suppressAutoHyphens w:val="0"/>
        <w:spacing w:line="300" w:lineRule="exact"/>
        <w:ind w:left="1274" w:hanging="283"/>
        <w:textAlignment w:val="auto"/>
        <w:rPr>
          <w:rFonts w:ascii="標楷體" w:eastAsia="標楷體" w:hAnsi="標楷體"/>
          <w:color w:val="000000"/>
        </w:rPr>
      </w:pPr>
      <w:r>
        <w:rPr>
          <w:rFonts w:ascii="標楷體" w:eastAsia="標楷體" w:hAnsi="標楷體"/>
          <w:color w:val="000000"/>
        </w:rPr>
        <w:t xml:space="preserve">(1)限用於參加「初期慢性腎臟病照護整合方案」或「全民健康保險末期腎臟病前期(Pre-ESRD)之病人照護與衛教計畫」之慢性腎臟病病人，應完全符合下列條件： </w:t>
      </w:r>
    </w:p>
    <w:p w14:paraId="289AD0BA"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Ⅰ.接受dapagliflozin或empagliflozin治療前應穩定接受最大耐受劑量的ACEI或ARB至少4</w:t>
      </w:r>
      <w:proofErr w:type="gramStart"/>
      <w:r>
        <w:rPr>
          <w:rFonts w:ascii="標楷體" w:eastAsia="標楷體" w:hAnsi="標楷體"/>
          <w:color w:val="000000"/>
        </w:rPr>
        <w:t>週</w:t>
      </w:r>
      <w:proofErr w:type="gramEnd"/>
      <w:r>
        <w:rPr>
          <w:rFonts w:ascii="標楷體" w:eastAsia="標楷體" w:hAnsi="標楷體"/>
          <w:color w:val="000000"/>
        </w:rPr>
        <w:t>。</w:t>
      </w:r>
    </w:p>
    <w:p w14:paraId="56464583"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Ⅱ.起始治療eGFR</w:t>
      </w:r>
      <w:proofErr w:type="gramStart"/>
      <w:r>
        <w:rPr>
          <w:rFonts w:ascii="標楷體" w:eastAsia="標楷體" w:hAnsi="標楷體"/>
          <w:color w:val="000000"/>
        </w:rPr>
        <w:t>≧</w:t>
      </w:r>
      <w:proofErr w:type="gramEnd"/>
      <w:r>
        <w:rPr>
          <w:rFonts w:ascii="標楷體" w:eastAsia="標楷體" w:hAnsi="標楷體"/>
          <w:color w:val="000000"/>
        </w:rPr>
        <w:t>25且</w:t>
      </w:r>
      <w:proofErr w:type="gramStart"/>
      <w:r>
        <w:rPr>
          <w:rFonts w:ascii="標楷體" w:eastAsia="標楷體" w:hAnsi="標楷體"/>
          <w:color w:val="000000"/>
        </w:rPr>
        <w:t>≦</w:t>
      </w:r>
      <w:proofErr w:type="gramEnd"/>
      <w:r>
        <w:rPr>
          <w:rFonts w:ascii="標楷體" w:eastAsia="標楷體" w:hAnsi="標楷體"/>
          <w:color w:val="000000"/>
        </w:rPr>
        <w:t>60mL/min/1.73m2。</w:t>
      </w:r>
    </w:p>
    <w:p w14:paraId="60E5998A"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Ⅲ.uACR</w:t>
      </w:r>
      <w:proofErr w:type="gramStart"/>
      <w:r>
        <w:rPr>
          <w:rFonts w:ascii="標楷體" w:eastAsia="標楷體" w:hAnsi="標楷體"/>
          <w:color w:val="000000"/>
        </w:rPr>
        <w:t>≧</w:t>
      </w:r>
      <w:proofErr w:type="gramEnd"/>
      <w:r>
        <w:rPr>
          <w:rFonts w:ascii="標楷體" w:eastAsia="標楷體" w:hAnsi="標楷體"/>
          <w:color w:val="000000"/>
        </w:rPr>
        <w:t>200且</w:t>
      </w:r>
      <w:proofErr w:type="gramStart"/>
      <w:r>
        <w:rPr>
          <w:rFonts w:ascii="標楷體" w:eastAsia="標楷體" w:hAnsi="標楷體"/>
          <w:color w:val="000000"/>
        </w:rPr>
        <w:t>≦</w:t>
      </w:r>
      <w:proofErr w:type="gramEnd"/>
      <w:r>
        <w:rPr>
          <w:rFonts w:ascii="標楷體" w:eastAsia="標楷體" w:hAnsi="標楷體"/>
          <w:color w:val="000000"/>
        </w:rPr>
        <w:t>5000/mg/g。</w:t>
      </w:r>
    </w:p>
    <w:p w14:paraId="63403300"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Ⅳ.須排除有以下任</w:t>
      </w:r>
      <w:proofErr w:type="gramStart"/>
      <w:r>
        <w:rPr>
          <w:rFonts w:ascii="標楷體" w:eastAsia="標楷體" w:hAnsi="標楷體"/>
          <w:color w:val="000000"/>
        </w:rPr>
        <w:t>一</w:t>
      </w:r>
      <w:proofErr w:type="gramEnd"/>
      <w:r>
        <w:rPr>
          <w:rFonts w:ascii="標楷體" w:eastAsia="標楷體" w:hAnsi="標楷體"/>
          <w:color w:val="000000"/>
        </w:rPr>
        <w:t>情形：</w:t>
      </w:r>
    </w:p>
    <w:p w14:paraId="30F1681C"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.第1型糖尿病。</w:t>
      </w:r>
    </w:p>
    <w:p w14:paraId="3833BD3C"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ii.已知為多</w:t>
      </w:r>
      <w:proofErr w:type="gramStart"/>
      <w:r>
        <w:rPr>
          <w:rFonts w:ascii="標楷體" w:eastAsia="標楷體" w:hAnsi="標楷體"/>
          <w:color w:val="000000"/>
        </w:rPr>
        <w:t>囊腎、</w:t>
      </w:r>
      <w:proofErr w:type="gramEnd"/>
      <w:r>
        <w:rPr>
          <w:rFonts w:ascii="標楷體" w:eastAsia="標楷體" w:hAnsi="標楷體"/>
          <w:color w:val="000000"/>
        </w:rPr>
        <w:t>紅斑性狼瘡相關腎病，或抗中性粒細胞</w:t>
      </w:r>
      <w:proofErr w:type="gramStart"/>
      <w:r>
        <w:rPr>
          <w:rFonts w:ascii="標楷體" w:eastAsia="標楷體" w:hAnsi="標楷體"/>
          <w:color w:val="000000"/>
        </w:rPr>
        <w:t>胞</w:t>
      </w:r>
      <w:proofErr w:type="gramEnd"/>
      <w:r>
        <w:rPr>
          <w:rFonts w:ascii="標楷體" w:eastAsia="標楷體" w:hAnsi="標楷體"/>
          <w:color w:val="000000"/>
        </w:rPr>
        <w:t>漿抗體(ANCA)相關血管炎。</w:t>
      </w:r>
    </w:p>
    <w:p w14:paraId="33EF7014"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iii.六個月內接受化療/免疫抑制治療或其他原發</w:t>
      </w:r>
      <w:proofErr w:type="gramStart"/>
      <w:r>
        <w:rPr>
          <w:rFonts w:ascii="標楷體" w:eastAsia="標楷體" w:hAnsi="標楷體"/>
          <w:color w:val="000000"/>
        </w:rPr>
        <w:t>性或繼發</w:t>
      </w:r>
      <w:proofErr w:type="gramEnd"/>
      <w:r>
        <w:rPr>
          <w:rFonts w:ascii="標楷體" w:eastAsia="標楷體" w:hAnsi="標楷體"/>
          <w:color w:val="000000"/>
        </w:rPr>
        <w:t>性腎臟疾病的免疫治療。</w:t>
      </w:r>
    </w:p>
    <w:p w14:paraId="03AB7B79"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iv.器官移植病史。</w:t>
      </w:r>
    </w:p>
    <w:p w14:paraId="64AC7A04"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v.急性心肌梗塞、不穩定型心絞痛、中風或12</w:t>
      </w:r>
      <w:proofErr w:type="gramStart"/>
      <w:r>
        <w:rPr>
          <w:rFonts w:ascii="標楷體" w:eastAsia="標楷體" w:hAnsi="標楷體"/>
          <w:color w:val="000000"/>
        </w:rPr>
        <w:t>週</w:t>
      </w:r>
      <w:proofErr w:type="gramEnd"/>
      <w:r>
        <w:rPr>
          <w:rFonts w:ascii="標楷體" w:eastAsia="標楷體" w:hAnsi="標楷體"/>
          <w:color w:val="000000"/>
        </w:rPr>
        <w:t>內短暫</w:t>
      </w:r>
      <w:proofErr w:type="gramStart"/>
      <w:r>
        <w:rPr>
          <w:rFonts w:ascii="標楷體" w:eastAsia="標楷體" w:hAnsi="標楷體"/>
          <w:color w:val="000000"/>
        </w:rPr>
        <w:t>性腦缺血</w:t>
      </w:r>
      <w:proofErr w:type="gramEnd"/>
      <w:r>
        <w:rPr>
          <w:rFonts w:ascii="標楷體" w:eastAsia="標楷體" w:hAnsi="標楷體"/>
          <w:color w:val="000000"/>
        </w:rPr>
        <w:t>發作。</w:t>
      </w:r>
    </w:p>
    <w:p w14:paraId="47D1D9F9"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vi.12</w:t>
      </w:r>
      <w:proofErr w:type="gramStart"/>
      <w:r>
        <w:rPr>
          <w:rFonts w:ascii="標楷體" w:eastAsia="標楷體" w:hAnsi="標楷體"/>
          <w:color w:val="000000"/>
        </w:rPr>
        <w:t>週</w:t>
      </w:r>
      <w:proofErr w:type="gramEnd"/>
      <w:r>
        <w:rPr>
          <w:rFonts w:ascii="標楷體" w:eastAsia="標楷體" w:hAnsi="標楷體"/>
          <w:color w:val="000000"/>
        </w:rPr>
        <w:t>內</w:t>
      </w:r>
      <w:proofErr w:type="gramStart"/>
      <w:r>
        <w:rPr>
          <w:rFonts w:ascii="標楷體" w:eastAsia="標楷體" w:hAnsi="標楷體"/>
          <w:color w:val="000000"/>
        </w:rPr>
        <w:t>冠狀動脈血運重建</w:t>
      </w:r>
      <w:proofErr w:type="gramEnd"/>
      <w:r>
        <w:rPr>
          <w:rFonts w:ascii="標楷體" w:eastAsia="標楷體" w:hAnsi="標楷體"/>
          <w:color w:val="000000"/>
        </w:rPr>
        <w:t>術。</w:t>
      </w:r>
    </w:p>
    <w:p w14:paraId="58A3FC39" w14:textId="77777777" w:rsidR="00401786" w:rsidRDefault="00C64FB3" w:rsidP="0009639E">
      <w:pPr>
        <w:suppressAutoHyphens w:val="0"/>
        <w:spacing w:line="300" w:lineRule="exact"/>
        <w:ind w:left="1274" w:hanging="283"/>
        <w:textAlignment w:val="auto"/>
      </w:pPr>
      <w:r>
        <w:rPr>
          <w:rFonts w:ascii="標楷體" w:eastAsia="標楷體" w:hAnsi="標楷體"/>
          <w:color w:val="000000"/>
        </w:rPr>
        <w:t>(2)使用後eGFR下降至&lt;15mL/min/1.73m</w:t>
      </w:r>
      <w:r>
        <w:rPr>
          <w:rFonts w:ascii="標楷體" w:eastAsia="標楷體" w:hAnsi="標楷體"/>
          <w:color w:val="000000"/>
          <w:vertAlign w:val="superscript"/>
        </w:rPr>
        <w:t>2</w:t>
      </w:r>
      <w:r>
        <w:rPr>
          <w:rFonts w:ascii="標楷體" w:eastAsia="標楷體" w:hAnsi="標楷體"/>
          <w:color w:val="000000"/>
        </w:rPr>
        <w:t>，應予停藥。</w:t>
      </w:r>
    </w:p>
    <w:p w14:paraId="260FFD96" w14:textId="77777777" w:rsidR="00401786" w:rsidRDefault="00C64FB3" w:rsidP="0009639E">
      <w:pPr>
        <w:widowControl/>
        <w:suppressAutoHyphens w:val="0"/>
        <w:spacing w:line="300" w:lineRule="exact"/>
        <w:ind w:left="708"/>
      </w:pPr>
      <w:r>
        <w:rPr>
          <w:rFonts w:ascii="標楷體" w:eastAsia="標楷體" w:hAnsi="標楷體"/>
          <w:color w:val="000000"/>
        </w:rPr>
        <w:t>3.每日最多處方1粒。</w:t>
      </w:r>
    </w:p>
    <w:p w14:paraId="4E802607" w14:textId="77777777" w:rsidR="00401786" w:rsidRDefault="00C64FB3" w:rsidP="0009639E">
      <w:pPr>
        <w:widowControl/>
        <w:suppressAutoHyphens w:val="0"/>
        <w:spacing w:line="300" w:lineRule="exact"/>
        <w:ind w:left="567" w:hanging="281"/>
      </w:pPr>
      <w:r>
        <w:rPr>
          <w:rFonts w:ascii="標楷體" w:eastAsia="標楷體" w:hAnsi="標楷體"/>
          <w:szCs w:val="24"/>
        </w:rPr>
        <w:t>2.17.</w:t>
      </w:r>
      <w:bookmarkStart w:id="6" w:name="_Hlk156220079"/>
      <w:r>
        <w:rPr>
          <w:rFonts w:ascii="標楷體" w:eastAsia="標楷體" w:hAnsi="標楷體"/>
          <w:szCs w:val="24"/>
        </w:rPr>
        <w:t>Tafamidis（如</w:t>
      </w:r>
      <w:proofErr w:type="spellStart"/>
      <w:r>
        <w:rPr>
          <w:rFonts w:ascii="標楷體" w:eastAsia="標楷體" w:hAnsi="標楷體"/>
          <w:szCs w:val="24"/>
        </w:rPr>
        <w:t>Vyndamax</w:t>
      </w:r>
      <w:proofErr w:type="spellEnd"/>
      <w:r>
        <w:rPr>
          <w:rFonts w:ascii="標楷體" w:eastAsia="標楷體" w:hAnsi="標楷體"/>
          <w:szCs w:val="24"/>
        </w:rPr>
        <w:t>）</w:t>
      </w:r>
      <w:bookmarkEnd w:id="6"/>
      <w:r>
        <w:rPr>
          <w:rFonts w:ascii="標楷體" w:eastAsia="標楷體" w:hAnsi="標楷體"/>
          <w:szCs w:val="24"/>
        </w:rPr>
        <w:t xml:space="preserve">：(113/2/1) </w:t>
      </w:r>
    </w:p>
    <w:p w14:paraId="253FBFC6"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1.限用於成人轉甲狀腺素蛋白類澱粉沉著症造成之心肌病變(transthyretin-mediated amyloid cardiomyopathy，ATTR-CM)，且符合下列各項條件：</w:t>
      </w:r>
    </w:p>
    <w:p w14:paraId="19ACD19E" w14:textId="77777777" w:rsidR="00401786" w:rsidRDefault="00C64FB3" w:rsidP="0009639E">
      <w:pPr>
        <w:pStyle w:val="af"/>
        <w:spacing w:line="300" w:lineRule="exact"/>
        <w:ind w:left="1240" w:hanging="280"/>
      </w:pPr>
      <w:r>
        <w:rPr>
          <w:rFonts w:ascii="標楷體" w:eastAsia="標楷體" w:hAnsi="標楷體"/>
          <w:szCs w:val="24"/>
        </w:rPr>
        <w:t>(1)須</w:t>
      </w:r>
      <w:proofErr w:type="gramStart"/>
      <w:r>
        <w:rPr>
          <w:rFonts w:ascii="標楷體" w:eastAsia="標楷體" w:hAnsi="標楷體"/>
          <w:szCs w:val="24"/>
        </w:rPr>
        <w:t>排除腎</w:t>
      </w:r>
      <w:proofErr w:type="gramEnd"/>
      <w:r>
        <w:rPr>
          <w:rFonts w:ascii="標楷體" w:eastAsia="標楷體" w:hAnsi="標楷體"/>
          <w:szCs w:val="24"/>
        </w:rPr>
        <w:t>功能不全患者(eGFR＜25mL/min/1.73m</w:t>
      </w:r>
      <w:r>
        <w:rPr>
          <w:rFonts w:ascii="標楷體" w:eastAsia="標楷體" w:hAnsi="標楷體"/>
          <w:szCs w:val="24"/>
          <w:vertAlign w:val="superscript"/>
        </w:rPr>
        <w:t>2</w:t>
      </w:r>
      <w:r>
        <w:rPr>
          <w:rFonts w:ascii="標楷體" w:eastAsia="標楷體" w:hAnsi="標楷體"/>
          <w:szCs w:val="24"/>
        </w:rPr>
        <w:t>)。</w:t>
      </w:r>
    </w:p>
    <w:p w14:paraId="15F26734" w14:textId="77777777" w:rsidR="00401786" w:rsidRDefault="00C64FB3" w:rsidP="0009639E">
      <w:pPr>
        <w:pStyle w:val="af"/>
        <w:spacing w:line="300" w:lineRule="exact"/>
        <w:ind w:left="1240" w:hanging="280"/>
        <w:rPr>
          <w:rFonts w:ascii="標楷體" w:eastAsia="標楷體" w:hAnsi="標楷體"/>
          <w:szCs w:val="24"/>
        </w:rPr>
      </w:pPr>
      <w:r>
        <w:rPr>
          <w:rFonts w:ascii="標楷體" w:eastAsia="標楷體" w:hAnsi="標楷體"/>
          <w:szCs w:val="24"/>
        </w:rPr>
        <w:t xml:space="preserve">(2)須排除為Amyloid light chain (AL amyloidosis ; </w:t>
      </w:r>
      <w:proofErr w:type="gramStart"/>
      <w:r>
        <w:rPr>
          <w:rFonts w:ascii="標楷體" w:eastAsia="標楷體" w:hAnsi="標楷體"/>
          <w:szCs w:val="24"/>
        </w:rPr>
        <w:t>輕鏈蛋白</w:t>
      </w:r>
      <w:proofErr w:type="gramEnd"/>
      <w:r>
        <w:rPr>
          <w:rFonts w:ascii="標楷體" w:eastAsia="標楷體" w:hAnsi="標楷體"/>
          <w:szCs w:val="24"/>
        </w:rPr>
        <w:t>相關之類澱粉</w:t>
      </w:r>
      <w:proofErr w:type="gramStart"/>
      <w:r>
        <w:rPr>
          <w:rFonts w:ascii="標楷體" w:eastAsia="標楷體" w:hAnsi="標楷體"/>
          <w:szCs w:val="24"/>
        </w:rPr>
        <w:t>沉積症</w:t>
      </w:r>
      <w:proofErr w:type="gramEnd"/>
      <w:r>
        <w:rPr>
          <w:rFonts w:ascii="標楷體" w:eastAsia="標楷體" w:hAnsi="標楷體"/>
          <w:szCs w:val="24"/>
        </w:rPr>
        <w:t>)。</w:t>
      </w:r>
    </w:p>
    <w:p w14:paraId="0F6DF057" w14:textId="77777777" w:rsidR="00401786" w:rsidRDefault="00C64FB3" w:rsidP="0009639E">
      <w:pPr>
        <w:pStyle w:val="af"/>
        <w:spacing w:line="300" w:lineRule="exact"/>
        <w:ind w:left="1240" w:hanging="280"/>
        <w:rPr>
          <w:rFonts w:ascii="標楷體" w:eastAsia="標楷體" w:hAnsi="標楷體"/>
          <w:szCs w:val="24"/>
        </w:rPr>
      </w:pPr>
      <w:r>
        <w:rPr>
          <w:rFonts w:ascii="標楷體" w:eastAsia="標楷體" w:hAnsi="標楷體"/>
          <w:szCs w:val="24"/>
        </w:rPr>
        <w:t xml:space="preserve">(3)經心臟核醫掃描(例如:診療項目代碼26023B) 等於第三級以上(PYP scintigraphy scan visual score = Grade 3 )，並經心臟組織切片( cardiac </w:t>
      </w:r>
      <w:r>
        <w:rPr>
          <w:rFonts w:ascii="標楷體" w:eastAsia="標楷體" w:hAnsi="標楷體"/>
          <w:szCs w:val="24"/>
        </w:rPr>
        <w:lastRenderedPageBreak/>
        <w:t>biopsy) 檢查確認。</w:t>
      </w:r>
    </w:p>
    <w:p w14:paraId="07A9E0CC" w14:textId="77777777" w:rsidR="00401786" w:rsidRDefault="00C64FB3" w:rsidP="0009639E">
      <w:pPr>
        <w:pStyle w:val="af"/>
        <w:spacing w:line="300" w:lineRule="exact"/>
        <w:ind w:left="1240" w:hanging="280"/>
        <w:rPr>
          <w:rFonts w:ascii="標楷體" w:eastAsia="標楷體" w:hAnsi="標楷體"/>
          <w:szCs w:val="24"/>
        </w:rPr>
      </w:pPr>
      <w:r>
        <w:rPr>
          <w:rFonts w:ascii="標楷體" w:eastAsia="標楷體" w:hAnsi="標楷體"/>
          <w:szCs w:val="24"/>
        </w:rPr>
        <w:t>(4)依紐約心臟協會(NYHA)心衰竭功能分級第二至第三級（class 2 &amp; 3）。</w:t>
      </w:r>
    </w:p>
    <w:p w14:paraId="1B21A583" w14:textId="77777777" w:rsidR="00401786" w:rsidRDefault="00C64FB3" w:rsidP="0009639E">
      <w:pPr>
        <w:pStyle w:val="af"/>
        <w:spacing w:line="300" w:lineRule="exact"/>
        <w:ind w:left="1240" w:hanging="280"/>
      </w:pPr>
      <w:r>
        <w:rPr>
          <w:rFonts w:ascii="標楷體" w:eastAsia="標楷體" w:hAnsi="標楷體"/>
          <w:szCs w:val="24"/>
        </w:rPr>
        <w:t>(5)NT-</w:t>
      </w:r>
      <w:proofErr w:type="spellStart"/>
      <w:r>
        <w:rPr>
          <w:rFonts w:ascii="標楷體" w:eastAsia="標楷體" w:hAnsi="標楷體"/>
          <w:szCs w:val="24"/>
        </w:rPr>
        <w:t>proBNP</w:t>
      </w:r>
      <w:proofErr w:type="spellEnd"/>
      <w:r>
        <w:rPr>
          <w:rFonts w:ascii="標楷體" w:eastAsia="標楷體" w:hAnsi="標楷體"/>
          <w:szCs w:val="24"/>
        </w:rPr>
        <w:t xml:space="preserve"> </w:t>
      </w:r>
      <w:r>
        <w:rPr>
          <w:rFonts w:ascii="Times New Roman" w:eastAsia="標楷體" w:hAnsi="Times New Roman"/>
          <w:szCs w:val="24"/>
        </w:rPr>
        <w:t>≥</w:t>
      </w:r>
      <w:r>
        <w:rPr>
          <w:rFonts w:ascii="標楷體" w:eastAsia="標楷體" w:hAnsi="標楷體"/>
          <w:szCs w:val="24"/>
        </w:rPr>
        <w:t xml:space="preserve"> 600 </w:t>
      </w:r>
      <w:proofErr w:type="spellStart"/>
      <w:r>
        <w:rPr>
          <w:rFonts w:ascii="標楷體" w:eastAsia="標楷體" w:hAnsi="標楷體"/>
          <w:szCs w:val="24"/>
        </w:rPr>
        <w:t>pg</w:t>
      </w:r>
      <w:proofErr w:type="spellEnd"/>
      <w:r>
        <w:rPr>
          <w:rFonts w:ascii="標楷體" w:eastAsia="標楷體" w:hAnsi="標楷體"/>
          <w:szCs w:val="24"/>
        </w:rPr>
        <w:t xml:space="preserve">/ml或 BNP </w:t>
      </w:r>
      <w:r>
        <w:rPr>
          <w:rFonts w:ascii="Times New Roman" w:eastAsia="標楷體" w:hAnsi="Times New Roman"/>
          <w:szCs w:val="24"/>
        </w:rPr>
        <w:t>≥</w:t>
      </w:r>
      <w:r>
        <w:rPr>
          <w:rFonts w:ascii="標楷體" w:eastAsia="標楷體" w:hAnsi="標楷體"/>
          <w:szCs w:val="24"/>
        </w:rPr>
        <w:t xml:space="preserve"> 100 </w:t>
      </w:r>
      <w:proofErr w:type="spellStart"/>
      <w:r>
        <w:rPr>
          <w:rFonts w:ascii="標楷體" w:eastAsia="標楷體" w:hAnsi="標楷體"/>
          <w:szCs w:val="24"/>
        </w:rPr>
        <w:t>pg</w:t>
      </w:r>
      <w:proofErr w:type="spellEnd"/>
      <w:r>
        <w:rPr>
          <w:rFonts w:ascii="標楷體" w:eastAsia="標楷體" w:hAnsi="標楷體"/>
          <w:szCs w:val="24"/>
        </w:rPr>
        <w:t>/ml (符合其中一項即可)。</w:t>
      </w:r>
    </w:p>
    <w:p w14:paraId="74D75D4A" w14:textId="77777777" w:rsidR="00401786" w:rsidRDefault="00C64FB3" w:rsidP="0009639E">
      <w:pPr>
        <w:pStyle w:val="af"/>
        <w:spacing w:line="300" w:lineRule="exact"/>
        <w:ind w:left="1240" w:hanging="280"/>
      </w:pPr>
      <w:r>
        <w:rPr>
          <w:rFonts w:ascii="標楷體" w:eastAsia="標楷體" w:hAnsi="標楷體"/>
          <w:szCs w:val="24"/>
        </w:rPr>
        <w:t>(6)心室中膈厚度 (interventricular septal wall thickness) &gt;12mm</w:t>
      </w:r>
      <w:proofErr w:type="gramStart"/>
      <w:r>
        <w:rPr>
          <w:rFonts w:ascii="標楷體" w:eastAsia="標楷體" w:hAnsi="標楷體"/>
          <w:szCs w:val="24"/>
        </w:rPr>
        <w:t>且左心室</w:t>
      </w:r>
      <w:proofErr w:type="gramEnd"/>
      <w:r>
        <w:rPr>
          <w:rFonts w:ascii="標楷體" w:eastAsia="標楷體" w:hAnsi="標楷體"/>
          <w:szCs w:val="24"/>
        </w:rPr>
        <w:t>後壁舒張末期厚度 (</w:t>
      </w:r>
      <w:proofErr w:type="spellStart"/>
      <w:r>
        <w:rPr>
          <w:rFonts w:ascii="標楷體" w:eastAsia="標楷體" w:hAnsi="標楷體"/>
          <w:szCs w:val="24"/>
        </w:rPr>
        <w:t>LVPWd</w:t>
      </w:r>
      <w:proofErr w:type="spellEnd"/>
      <w:r>
        <w:rPr>
          <w:rFonts w:ascii="標楷體" w:eastAsia="標楷體" w:hAnsi="標楷體"/>
          <w:szCs w:val="24"/>
        </w:rPr>
        <w:t xml:space="preserve"> : Left Ventricular Posterior Wall Dimensions)</w:t>
      </w:r>
      <w:r>
        <w:rPr>
          <w:rFonts w:ascii="標楷體" w:eastAsia="標楷體" w:hAnsi="標楷體"/>
        </w:rPr>
        <w:t xml:space="preserve"> </w:t>
      </w:r>
      <w:r>
        <w:rPr>
          <w:rFonts w:ascii="標楷體" w:eastAsia="標楷體" w:hAnsi="標楷體"/>
          <w:szCs w:val="24"/>
        </w:rPr>
        <w:t>&gt;12mm。</w:t>
      </w:r>
    </w:p>
    <w:p w14:paraId="0522E3C3" w14:textId="77777777" w:rsidR="00401786" w:rsidRDefault="00C64FB3" w:rsidP="0009639E">
      <w:pPr>
        <w:pStyle w:val="af"/>
        <w:spacing w:line="300" w:lineRule="exact"/>
        <w:ind w:left="1240" w:hanging="280"/>
      </w:pPr>
      <w:r>
        <w:rPr>
          <w:rFonts w:ascii="標楷體" w:eastAsia="標楷體" w:hAnsi="標楷體"/>
          <w:szCs w:val="24"/>
        </w:rPr>
        <w:t xml:space="preserve">(7)左心室射出率( LVEF，left ventricular ejection fraction) </w:t>
      </w:r>
      <w:r>
        <w:rPr>
          <w:rFonts w:ascii="Times New Roman" w:eastAsia="標楷體" w:hAnsi="Times New Roman"/>
          <w:szCs w:val="24"/>
        </w:rPr>
        <w:t>≥</w:t>
      </w:r>
      <w:r>
        <w:rPr>
          <w:rFonts w:ascii="標楷體" w:eastAsia="標楷體" w:hAnsi="標楷體"/>
          <w:szCs w:val="24"/>
        </w:rPr>
        <w:t xml:space="preserve"> 40%。</w:t>
      </w:r>
    </w:p>
    <w:p w14:paraId="26885754"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2.限具有心臟專科醫師處方。</w:t>
      </w:r>
    </w:p>
    <w:p w14:paraId="578B00CA"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3.須經事前審查核准後使用。</w:t>
      </w:r>
    </w:p>
    <w:p w14:paraId="0AAA25F8"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4.繼續使用條件：</w:t>
      </w:r>
      <w:r>
        <w:rPr>
          <w:rFonts w:ascii="標楷體" w:eastAsia="標楷體" w:hAnsi="標楷體"/>
          <w:szCs w:val="24"/>
        </w:rPr>
        <w:br/>
        <w:t>使用藥物治療達1年以上，且確定紐約心臟協會(NYHA)心衰竭功能分級未達第四級，方可繼續使用。</w:t>
      </w:r>
    </w:p>
    <w:p w14:paraId="3C7F53BD"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5.出現下列任一情況時需停用：接受心室輔助系統、心臟移植或肝臟移植治療。</w:t>
      </w:r>
    </w:p>
    <w:p w14:paraId="7BBC5FC9" w14:textId="77777777" w:rsidR="00411D91" w:rsidRDefault="00C64FB3" w:rsidP="00CC252C">
      <w:pPr>
        <w:spacing w:line="300" w:lineRule="exact"/>
        <w:ind w:left="480"/>
        <w:rPr>
          <w:rFonts w:ascii="標楷體" w:eastAsia="標楷體" w:hAnsi="標楷體"/>
          <w:szCs w:val="24"/>
        </w:rPr>
      </w:pPr>
      <w:r>
        <w:rPr>
          <w:rFonts w:ascii="標楷體" w:eastAsia="標楷體" w:hAnsi="標楷體"/>
          <w:szCs w:val="24"/>
        </w:rPr>
        <w:t xml:space="preserve">  6.每日限使用1粒</w:t>
      </w:r>
      <w:r>
        <w:rPr>
          <w:rFonts w:ascii="標楷體" w:eastAsia="標楷體" w:hAnsi="標楷體"/>
          <w:b/>
          <w:szCs w:val="24"/>
        </w:rPr>
        <w:t>，</w:t>
      </w:r>
      <w:r>
        <w:rPr>
          <w:rFonts w:ascii="標楷體" w:eastAsia="標楷體" w:hAnsi="標楷體"/>
          <w:szCs w:val="24"/>
        </w:rPr>
        <w:t>限給付45個月。</w:t>
      </w:r>
    </w:p>
    <w:p w14:paraId="04B391F7" w14:textId="77777777" w:rsidR="00411D91" w:rsidRPr="009B2266" w:rsidRDefault="00411D91" w:rsidP="00411D91">
      <w:pPr>
        <w:spacing w:line="300" w:lineRule="exact"/>
        <w:ind w:leftChars="119" w:left="567" w:hangingChars="117" w:hanging="281"/>
        <w:rPr>
          <w:rFonts w:ascii="標楷體" w:eastAsia="標楷體" w:hAnsi="標楷體"/>
          <w:color w:val="000000"/>
        </w:rPr>
      </w:pPr>
      <w:r w:rsidRPr="009B2266">
        <w:rPr>
          <w:rFonts w:ascii="標楷體" w:eastAsia="標楷體" w:hAnsi="標楷體"/>
          <w:color w:val="000000"/>
        </w:rPr>
        <w:t>2.18.Captopril內服液劑（如Cen-</w:t>
      </w:r>
      <w:proofErr w:type="spellStart"/>
      <w:r w:rsidRPr="009B2266">
        <w:rPr>
          <w:rFonts w:ascii="標楷體" w:eastAsia="標楷體" w:hAnsi="標楷體"/>
          <w:color w:val="000000"/>
        </w:rPr>
        <w:t>Capto</w:t>
      </w:r>
      <w:proofErr w:type="spellEnd"/>
      <w:r w:rsidRPr="009B2266">
        <w:rPr>
          <w:rFonts w:ascii="標楷體" w:eastAsia="標楷體" w:hAnsi="標楷體"/>
          <w:color w:val="000000"/>
        </w:rPr>
        <w:t xml:space="preserve"> Oral Solution）：（114/8/1）</w:t>
      </w:r>
    </w:p>
    <w:p w14:paraId="77F37297" w14:textId="77777777" w:rsidR="00004295" w:rsidRDefault="00411D91" w:rsidP="00411D91">
      <w:pPr>
        <w:spacing w:line="300" w:lineRule="exact"/>
        <w:ind w:left="851"/>
        <w:rPr>
          <w:rFonts w:ascii="標楷體" w:eastAsia="標楷體" w:hAnsi="標楷體"/>
          <w:color w:val="000000"/>
        </w:rPr>
      </w:pPr>
      <w:r w:rsidRPr="009B2266">
        <w:rPr>
          <w:rFonts w:ascii="標楷體" w:eastAsia="標楷體" w:hAnsi="標楷體"/>
          <w:color w:val="000000"/>
        </w:rPr>
        <w:t>限用於未滿12歲兒童之高血壓、心臟衰竭、心肌梗塞後左心室功能不全、第一型糖尿病之腎病變；及12歲以上至未滿18歲患有前述疾病需劑量調整或具有吞嚥障礙而不適用</w:t>
      </w:r>
      <w:proofErr w:type="gramStart"/>
      <w:r w:rsidRPr="009B2266">
        <w:rPr>
          <w:rFonts w:ascii="標楷體" w:eastAsia="標楷體" w:hAnsi="標楷體"/>
          <w:color w:val="000000"/>
        </w:rPr>
        <w:t>一般錠劑之</w:t>
      </w:r>
      <w:proofErr w:type="gramEnd"/>
      <w:r w:rsidRPr="009B2266">
        <w:rPr>
          <w:rFonts w:ascii="標楷體" w:eastAsia="標楷體" w:hAnsi="標楷體"/>
          <w:color w:val="000000"/>
        </w:rPr>
        <w:t>兒童族群。</w:t>
      </w:r>
    </w:p>
    <w:p w14:paraId="517FFE18" w14:textId="77777777" w:rsidR="00004295" w:rsidRPr="00730305" w:rsidRDefault="00004295" w:rsidP="00004295">
      <w:pPr>
        <w:widowControl/>
        <w:spacing w:line="300" w:lineRule="exact"/>
        <w:ind w:left="426" w:hanging="137"/>
        <w:jc w:val="both"/>
        <w:rPr>
          <w:rFonts w:ascii="標楷體" w:eastAsia="標楷體" w:hAnsi="標楷體" w:cs="新細明體"/>
          <w:kern w:val="0"/>
          <w:szCs w:val="24"/>
        </w:rPr>
      </w:pPr>
      <w:r w:rsidRPr="00730305">
        <w:rPr>
          <w:rFonts w:ascii="標楷體" w:eastAsia="標楷體" w:hAnsi="標楷體" w:cs="新細明體"/>
          <w:kern w:val="0"/>
          <w:szCs w:val="24"/>
        </w:rPr>
        <w:t>2.19.Mavacamten（如</w:t>
      </w:r>
      <w:proofErr w:type="spellStart"/>
      <w:r w:rsidRPr="00730305">
        <w:rPr>
          <w:rFonts w:ascii="標楷體" w:eastAsia="標楷體" w:hAnsi="標楷體" w:cs="新細明體"/>
          <w:kern w:val="0"/>
          <w:szCs w:val="24"/>
        </w:rPr>
        <w:t>Camzyos</w:t>
      </w:r>
      <w:proofErr w:type="spellEnd"/>
      <w:r w:rsidRPr="00730305">
        <w:rPr>
          <w:rFonts w:ascii="標楷體" w:eastAsia="標楷體" w:hAnsi="標楷體" w:cs="新細明體"/>
          <w:kern w:val="0"/>
          <w:szCs w:val="24"/>
        </w:rPr>
        <w:t>）：(115/4/1)</w:t>
      </w:r>
    </w:p>
    <w:p w14:paraId="3643C6A5" w14:textId="77777777" w:rsidR="00004295" w:rsidRPr="00730305" w:rsidRDefault="00004295" w:rsidP="00004295">
      <w:pPr>
        <w:widowControl/>
        <w:spacing w:line="300" w:lineRule="exact"/>
        <w:ind w:left="851" w:right="127" w:hanging="255"/>
        <w:jc w:val="both"/>
        <w:rPr>
          <w:rFonts w:ascii="標楷體" w:eastAsia="標楷體" w:hAnsi="標楷體" w:cs="新細明體"/>
          <w:spacing w:val="-4"/>
          <w:kern w:val="0"/>
          <w:szCs w:val="24"/>
        </w:rPr>
      </w:pPr>
      <w:r w:rsidRPr="00730305">
        <w:rPr>
          <w:rFonts w:ascii="標楷體" w:eastAsia="標楷體" w:hAnsi="標楷體" w:cs="新細明體"/>
          <w:spacing w:val="-4"/>
          <w:kern w:val="0"/>
          <w:szCs w:val="24"/>
        </w:rPr>
        <w:t>1.限用於治療症狀性紐約心臟學會(NYHA)分級第二級及第三級阻塞型肥厚性心肌病變(HCM)之18歲以上成人病人，用以改善功能容量與症狀。病人須符合以下條件：</w:t>
      </w:r>
    </w:p>
    <w:p w14:paraId="61287F4E" w14:textId="77777777" w:rsidR="00004295" w:rsidRPr="00730305" w:rsidRDefault="00004295" w:rsidP="002144EC">
      <w:pPr>
        <w:widowControl/>
        <w:numPr>
          <w:ilvl w:val="0"/>
          <w:numId w:val="181"/>
        </w:numPr>
        <w:tabs>
          <w:tab w:val="left" w:pos="484"/>
        </w:tabs>
        <w:autoSpaceDE w:val="0"/>
        <w:spacing w:line="300" w:lineRule="exact"/>
        <w:ind w:left="1134" w:right="125" w:hanging="397"/>
        <w:jc w:val="both"/>
        <w:rPr>
          <w:rFonts w:ascii="標楷體" w:eastAsia="標楷體" w:hAnsi="標楷體"/>
          <w:szCs w:val="24"/>
        </w:rPr>
      </w:pPr>
      <w:proofErr w:type="spellStart"/>
      <w:r w:rsidRPr="00730305">
        <w:rPr>
          <w:rFonts w:ascii="標楷體" w:eastAsia="標楷體" w:hAnsi="標楷體"/>
          <w:spacing w:val="-4"/>
          <w:kern w:val="0"/>
          <w:szCs w:val="24"/>
          <w:lang w:eastAsia="en-US"/>
        </w:rPr>
        <w:t>左心室壁厚度</w:t>
      </w:r>
      <w:proofErr w:type="spellEnd"/>
      <w:r w:rsidRPr="00730305">
        <w:rPr>
          <w:rFonts w:ascii="標楷體" w:eastAsia="標楷體" w:hAnsi="標楷體"/>
          <w:kern w:val="0"/>
          <w:szCs w:val="24"/>
          <w:lang w:eastAsia="en-US"/>
        </w:rPr>
        <w:t>(left</w:t>
      </w:r>
      <w:r w:rsidRPr="00730305">
        <w:rPr>
          <w:rFonts w:ascii="標楷體" w:eastAsia="標楷體" w:hAnsi="標楷體"/>
          <w:spacing w:val="-1"/>
          <w:kern w:val="0"/>
          <w:szCs w:val="24"/>
          <w:lang w:eastAsia="en-US"/>
        </w:rPr>
        <w:t xml:space="preserve"> </w:t>
      </w:r>
      <w:r w:rsidRPr="00730305">
        <w:rPr>
          <w:rFonts w:ascii="標楷體" w:eastAsia="標楷體" w:hAnsi="標楷體"/>
          <w:kern w:val="0"/>
          <w:szCs w:val="24"/>
          <w:lang w:eastAsia="en-US"/>
        </w:rPr>
        <w:t>ventricular</w:t>
      </w:r>
      <w:r w:rsidRPr="00730305">
        <w:rPr>
          <w:rFonts w:ascii="標楷體" w:eastAsia="標楷體" w:hAnsi="標楷體"/>
          <w:spacing w:val="-2"/>
          <w:kern w:val="0"/>
          <w:szCs w:val="24"/>
          <w:lang w:eastAsia="en-US"/>
        </w:rPr>
        <w:t xml:space="preserve"> </w:t>
      </w:r>
      <w:r w:rsidRPr="00730305">
        <w:rPr>
          <w:rFonts w:ascii="標楷體" w:eastAsia="標楷體" w:hAnsi="標楷體"/>
          <w:kern w:val="0"/>
          <w:szCs w:val="24"/>
          <w:lang w:eastAsia="en-US"/>
        </w:rPr>
        <w:t>wall</w:t>
      </w:r>
      <w:r w:rsidRPr="00730305">
        <w:rPr>
          <w:rFonts w:ascii="標楷體" w:eastAsia="標楷體" w:hAnsi="標楷體"/>
          <w:spacing w:val="-1"/>
          <w:kern w:val="0"/>
          <w:szCs w:val="24"/>
          <w:lang w:eastAsia="en-US"/>
        </w:rPr>
        <w:t xml:space="preserve"> </w:t>
      </w:r>
      <w:r w:rsidRPr="00730305">
        <w:rPr>
          <w:rFonts w:ascii="標楷體" w:eastAsia="標楷體" w:hAnsi="標楷體"/>
          <w:kern w:val="0"/>
          <w:szCs w:val="24"/>
          <w:lang w:eastAsia="en-US"/>
        </w:rPr>
        <w:t>thickness)</w:t>
      </w:r>
      <w:r w:rsidRPr="00730305">
        <w:rPr>
          <w:rFonts w:eastAsia="標楷體"/>
          <w:spacing w:val="-1"/>
          <w:kern w:val="0"/>
          <w:szCs w:val="24"/>
          <w:lang w:eastAsia="en-US"/>
        </w:rPr>
        <w:t>≥</w:t>
      </w:r>
      <w:r w:rsidRPr="00730305">
        <w:rPr>
          <w:rFonts w:ascii="標楷體" w:eastAsia="標楷體" w:hAnsi="標楷體"/>
          <w:kern w:val="0"/>
          <w:szCs w:val="24"/>
          <w:lang w:eastAsia="en-US"/>
        </w:rPr>
        <w:t>15mm</w:t>
      </w:r>
      <w:r w:rsidRPr="00730305">
        <w:rPr>
          <w:rFonts w:ascii="標楷體" w:eastAsia="標楷體" w:hAnsi="標楷體"/>
          <w:spacing w:val="-1"/>
          <w:kern w:val="0"/>
          <w:szCs w:val="24"/>
          <w:lang w:eastAsia="en-US"/>
        </w:rPr>
        <w:t>(</w:t>
      </w:r>
      <w:proofErr w:type="spellStart"/>
      <w:r w:rsidRPr="00730305">
        <w:rPr>
          <w:rFonts w:ascii="標楷體" w:eastAsia="標楷體" w:hAnsi="標楷體"/>
          <w:kern w:val="0"/>
          <w:szCs w:val="24"/>
          <w:lang w:eastAsia="en-US"/>
        </w:rPr>
        <w:t>具</w:t>
      </w:r>
      <w:r w:rsidRPr="00730305">
        <w:rPr>
          <w:rFonts w:ascii="標楷體" w:eastAsia="標楷體" w:hAnsi="標楷體"/>
          <w:spacing w:val="-17"/>
          <w:kern w:val="0"/>
          <w:szCs w:val="24"/>
          <w:lang w:eastAsia="en-US"/>
        </w:rPr>
        <w:t>有</w:t>
      </w:r>
      <w:r w:rsidRPr="00730305">
        <w:rPr>
          <w:rFonts w:ascii="標楷體" w:eastAsia="標楷體" w:hAnsi="標楷體"/>
          <w:kern w:val="0"/>
          <w:szCs w:val="24"/>
          <w:lang w:eastAsia="en-US"/>
        </w:rPr>
        <w:t>HCM家族史</w:t>
      </w:r>
      <w:proofErr w:type="spellEnd"/>
      <w:r w:rsidRPr="00730305">
        <w:rPr>
          <w:rFonts w:ascii="標楷體" w:eastAsia="標楷體" w:hAnsi="標楷體"/>
          <w:kern w:val="0"/>
          <w:szCs w:val="24"/>
        </w:rPr>
        <w:t>者則</w:t>
      </w:r>
      <w:r w:rsidRPr="00730305">
        <w:rPr>
          <w:rFonts w:eastAsia="標楷體"/>
          <w:kern w:val="0"/>
          <w:szCs w:val="24"/>
          <w:lang w:eastAsia="en-US"/>
        </w:rPr>
        <w:t>≥</w:t>
      </w:r>
      <w:r w:rsidRPr="00730305">
        <w:rPr>
          <w:rFonts w:ascii="標楷體" w:eastAsia="標楷體" w:hAnsi="標楷體"/>
          <w:kern w:val="0"/>
          <w:szCs w:val="24"/>
          <w:lang w:eastAsia="en-US"/>
        </w:rPr>
        <w:t>13mm)。</w:t>
      </w:r>
    </w:p>
    <w:p w14:paraId="69A8CB98" w14:textId="77777777" w:rsidR="00004295" w:rsidRPr="00730305" w:rsidRDefault="00004295" w:rsidP="002144EC">
      <w:pPr>
        <w:widowControl/>
        <w:numPr>
          <w:ilvl w:val="0"/>
          <w:numId w:val="181"/>
        </w:numPr>
        <w:tabs>
          <w:tab w:val="left" w:pos="484"/>
        </w:tabs>
        <w:autoSpaceDE w:val="0"/>
        <w:spacing w:line="300" w:lineRule="exact"/>
        <w:ind w:left="1134" w:right="125" w:hanging="397"/>
        <w:jc w:val="both"/>
        <w:rPr>
          <w:rFonts w:ascii="標楷體" w:eastAsia="標楷體" w:hAnsi="標楷體"/>
          <w:spacing w:val="-4"/>
          <w:kern w:val="0"/>
          <w:szCs w:val="24"/>
          <w:lang w:eastAsia="en-US"/>
        </w:rPr>
      </w:pPr>
      <w:proofErr w:type="spellStart"/>
      <w:r w:rsidRPr="00730305">
        <w:rPr>
          <w:rFonts w:ascii="標楷體" w:eastAsia="標楷體" w:hAnsi="標楷體"/>
          <w:spacing w:val="-4"/>
          <w:kern w:val="0"/>
          <w:szCs w:val="24"/>
          <w:lang w:eastAsia="en-US"/>
        </w:rPr>
        <w:t>經心臟超音波檢測之靜止時、</w:t>
      </w:r>
      <w:proofErr w:type="gramStart"/>
      <w:r w:rsidRPr="00730305">
        <w:rPr>
          <w:rFonts w:ascii="標楷體" w:eastAsia="標楷體" w:hAnsi="標楷體"/>
          <w:spacing w:val="-4"/>
          <w:kern w:val="0"/>
          <w:szCs w:val="24"/>
          <w:lang w:eastAsia="en-US"/>
        </w:rPr>
        <w:t>伐式操作</w:t>
      </w:r>
      <w:proofErr w:type="spellEnd"/>
      <w:r w:rsidRPr="00730305">
        <w:rPr>
          <w:rFonts w:ascii="標楷體" w:eastAsia="標楷體" w:hAnsi="標楷體"/>
          <w:spacing w:val="-4"/>
          <w:kern w:val="0"/>
          <w:szCs w:val="24"/>
          <w:lang w:eastAsia="en-US"/>
        </w:rPr>
        <w:t>(</w:t>
      </w:r>
      <w:proofErr w:type="gramEnd"/>
      <w:r w:rsidRPr="00730305">
        <w:rPr>
          <w:rFonts w:ascii="標楷體" w:eastAsia="標楷體" w:hAnsi="標楷體"/>
          <w:spacing w:val="-4"/>
          <w:kern w:val="0"/>
          <w:szCs w:val="24"/>
          <w:lang w:eastAsia="en-US"/>
        </w:rPr>
        <w:t>Valsalva maneuver)或運動後之LVOT壓力差</w:t>
      </w:r>
      <w:r w:rsidRPr="00730305">
        <w:rPr>
          <w:rFonts w:eastAsia="標楷體"/>
          <w:spacing w:val="-4"/>
          <w:kern w:val="0"/>
          <w:szCs w:val="24"/>
          <w:lang w:eastAsia="en-US"/>
        </w:rPr>
        <w:t>≥</w:t>
      </w:r>
      <w:r w:rsidRPr="00730305">
        <w:rPr>
          <w:rFonts w:ascii="標楷體" w:eastAsia="標楷體" w:hAnsi="標楷體"/>
          <w:spacing w:val="-4"/>
          <w:kern w:val="0"/>
          <w:szCs w:val="24"/>
          <w:lang w:eastAsia="en-US"/>
        </w:rPr>
        <w:t>50mmHg且LVEF</w:t>
      </w:r>
      <w:r w:rsidRPr="00730305">
        <w:rPr>
          <w:rFonts w:eastAsia="標楷體"/>
          <w:spacing w:val="-4"/>
          <w:kern w:val="0"/>
          <w:szCs w:val="24"/>
          <w:lang w:eastAsia="en-US"/>
        </w:rPr>
        <w:t>≥</w:t>
      </w:r>
      <w:r w:rsidRPr="00730305">
        <w:rPr>
          <w:rFonts w:ascii="標楷體" w:eastAsia="標楷體" w:hAnsi="標楷體"/>
          <w:spacing w:val="-4"/>
          <w:kern w:val="0"/>
          <w:szCs w:val="24"/>
          <w:lang w:eastAsia="en-US"/>
        </w:rPr>
        <w:t>55%。</w:t>
      </w:r>
    </w:p>
    <w:p w14:paraId="0B977484" w14:textId="77777777" w:rsidR="00004295" w:rsidRPr="00730305" w:rsidRDefault="00004295" w:rsidP="002144EC">
      <w:pPr>
        <w:widowControl/>
        <w:numPr>
          <w:ilvl w:val="0"/>
          <w:numId w:val="181"/>
        </w:numPr>
        <w:tabs>
          <w:tab w:val="left" w:pos="484"/>
        </w:tabs>
        <w:autoSpaceDE w:val="0"/>
        <w:spacing w:line="300" w:lineRule="exact"/>
        <w:ind w:left="1134" w:right="125" w:hanging="397"/>
        <w:jc w:val="both"/>
        <w:rPr>
          <w:rFonts w:ascii="標楷體" w:eastAsia="標楷體" w:hAnsi="標楷體"/>
          <w:szCs w:val="24"/>
        </w:rPr>
      </w:pPr>
      <w:r w:rsidRPr="00730305">
        <w:rPr>
          <w:rFonts w:ascii="標楷體" w:eastAsia="標楷體" w:hAnsi="標楷體"/>
          <w:spacing w:val="-4"/>
          <w:kern w:val="0"/>
          <w:szCs w:val="24"/>
        </w:rPr>
        <w:t>曾接受過乙型阻斷劑或鈣離子阻斷劑（verapamil或diltiazem）治療並已達最大LVOT壓力差下降效果的劑量後，在治療期間仍無法控制LVOT壓力差；但具禁忌症或無法耐受者不在此</w:t>
      </w:r>
      <w:r w:rsidRPr="00730305">
        <w:rPr>
          <w:rFonts w:ascii="標楷體" w:eastAsia="標楷體" w:hAnsi="標楷體"/>
          <w:szCs w:val="24"/>
        </w:rPr>
        <w:t>限。</w:t>
      </w:r>
    </w:p>
    <w:p w14:paraId="4C5DADD1" w14:textId="77777777" w:rsidR="00004295" w:rsidRPr="00730305" w:rsidRDefault="00004295" w:rsidP="00004295">
      <w:pPr>
        <w:widowControl/>
        <w:spacing w:line="300" w:lineRule="exact"/>
        <w:ind w:left="851" w:right="127" w:hanging="255"/>
        <w:jc w:val="both"/>
        <w:rPr>
          <w:rFonts w:ascii="標楷體" w:eastAsia="標楷體" w:hAnsi="標楷體"/>
          <w:szCs w:val="24"/>
        </w:rPr>
      </w:pPr>
      <w:r w:rsidRPr="00730305">
        <w:rPr>
          <w:rFonts w:ascii="標楷體" w:eastAsia="標楷體" w:hAnsi="標楷體" w:cs="新細明體"/>
          <w:kern w:val="0"/>
          <w:szCs w:val="24"/>
        </w:rPr>
        <w:t>2.須經</w:t>
      </w:r>
      <w:r w:rsidRPr="00BF3CFA">
        <w:rPr>
          <w:rFonts w:ascii="標楷體" w:eastAsia="標楷體" w:hAnsi="標楷體" w:cs="新細明體"/>
          <w:spacing w:val="-4"/>
          <w:kern w:val="0"/>
          <w:szCs w:val="24"/>
        </w:rPr>
        <w:t>事前</w:t>
      </w:r>
      <w:r w:rsidRPr="00730305">
        <w:rPr>
          <w:rFonts w:ascii="標楷體" w:eastAsia="標楷體" w:hAnsi="標楷體" w:cs="新細明體"/>
          <w:spacing w:val="-4"/>
          <w:kern w:val="0"/>
          <w:szCs w:val="24"/>
        </w:rPr>
        <w:t>審查核准後使用，第一次申請以6個月為限，期滿需經再次申請核准後使用，每次續用申請以12個月為限。</w:t>
      </w:r>
    </w:p>
    <w:p w14:paraId="40E1F7CD" w14:textId="77777777" w:rsidR="00004295" w:rsidRPr="00730305" w:rsidRDefault="00004295" w:rsidP="00004295">
      <w:pPr>
        <w:widowControl/>
        <w:spacing w:line="300" w:lineRule="exact"/>
        <w:ind w:left="851" w:right="127" w:hanging="255"/>
        <w:jc w:val="both"/>
        <w:rPr>
          <w:rFonts w:ascii="標楷體" w:eastAsia="標楷體" w:hAnsi="標楷體"/>
          <w:szCs w:val="24"/>
        </w:rPr>
      </w:pPr>
      <w:r w:rsidRPr="00730305">
        <w:rPr>
          <w:rFonts w:ascii="標楷體" w:eastAsia="標楷體" w:hAnsi="標楷體" w:cs="新細明體"/>
          <w:spacing w:val="-4"/>
          <w:kern w:val="0"/>
          <w:szCs w:val="24"/>
        </w:rPr>
        <w:t>3.續用條件：使用藥物治療達6個月以上，LVEF</w:t>
      </w:r>
      <w:r w:rsidRPr="00730305">
        <w:rPr>
          <w:rFonts w:eastAsia="標楷體"/>
          <w:spacing w:val="-4"/>
          <w:kern w:val="0"/>
          <w:szCs w:val="24"/>
        </w:rPr>
        <w:t>≥</w:t>
      </w:r>
      <w:r w:rsidRPr="00730305">
        <w:rPr>
          <w:rFonts w:ascii="標楷體" w:eastAsia="標楷體" w:hAnsi="標楷體" w:cs="新細明體"/>
          <w:spacing w:val="-4"/>
          <w:kern w:val="0"/>
          <w:szCs w:val="24"/>
        </w:rPr>
        <w:t>55%，並且靜止時、伐式操作(Valsalva maneuver)或運動後之LVOT壓力差&lt;50mmHg或治療前後LVOT壓力差下降幅度達20mmHg。</w:t>
      </w:r>
    </w:p>
    <w:p w14:paraId="37EC5B40" w14:textId="77777777" w:rsidR="00004295" w:rsidRPr="00730305" w:rsidRDefault="00004295" w:rsidP="00004295">
      <w:pPr>
        <w:widowControl/>
        <w:spacing w:line="300" w:lineRule="exact"/>
        <w:ind w:left="851" w:right="127" w:hanging="255"/>
        <w:jc w:val="both"/>
        <w:rPr>
          <w:rFonts w:ascii="標楷體" w:eastAsia="標楷體" w:hAnsi="標楷體" w:cs="新細明體"/>
          <w:spacing w:val="-4"/>
          <w:kern w:val="0"/>
          <w:szCs w:val="24"/>
        </w:rPr>
      </w:pPr>
      <w:r w:rsidRPr="00730305">
        <w:rPr>
          <w:rFonts w:ascii="標楷體" w:eastAsia="標楷體" w:hAnsi="標楷體" w:cs="新細明體"/>
          <w:spacing w:val="-4"/>
          <w:kern w:val="0"/>
          <w:szCs w:val="24"/>
        </w:rPr>
        <w:t>4.停藥條件：</w:t>
      </w:r>
    </w:p>
    <w:p w14:paraId="01756FAF" w14:textId="77777777" w:rsidR="00004295" w:rsidRPr="00730305" w:rsidRDefault="00004295" w:rsidP="00004295">
      <w:pPr>
        <w:widowControl/>
        <w:spacing w:line="300" w:lineRule="exact"/>
        <w:ind w:left="1134" w:right="125" w:hanging="397"/>
        <w:jc w:val="both"/>
        <w:rPr>
          <w:rFonts w:ascii="標楷體" w:eastAsia="標楷體" w:hAnsi="標楷體"/>
          <w:szCs w:val="24"/>
        </w:rPr>
      </w:pPr>
      <w:r w:rsidRPr="00730305">
        <w:rPr>
          <w:rFonts w:ascii="標楷體" w:eastAsia="標楷體" w:hAnsi="標楷體" w:cs="新細明體"/>
          <w:spacing w:val="-4"/>
          <w:kern w:val="0"/>
          <w:szCs w:val="24"/>
        </w:rPr>
        <w:t>(1)當LVEF&lt;50%時應中斷治療，每4</w:t>
      </w:r>
      <w:proofErr w:type="gramStart"/>
      <w:r w:rsidRPr="00730305">
        <w:rPr>
          <w:rFonts w:ascii="標楷體" w:eastAsia="標楷體" w:hAnsi="標楷體" w:cs="新細明體"/>
          <w:spacing w:val="-4"/>
          <w:kern w:val="0"/>
          <w:szCs w:val="24"/>
        </w:rPr>
        <w:t>週</w:t>
      </w:r>
      <w:proofErr w:type="gramEnd"/>
      <w:r w:rsidRPr="00730305">
        <w:rPr>
          <w:rFonts w:ascii="標楷體" w:eastAsia="標楷體" w:hAnsi="標楷體" w:cs="新細明體"/>
          <w:spacing w:val="-4"/>
          <w:kern w:val="0"/>
          <w:szCs w:val="24"/>
        </w:rPr>
        <w:t>再次確認心臟超音波參數，直到LVEF</w:t>
      </w:r>
      <w:r w:rsidRPr="00730305">
        <w:rPr>
          <w:rFonts w:eastAsia="標楷體"/>
          <w:spacing w:val="-4"/>
          <w:kern w:val="0"/>
          <w:szCs w:val="24"/>
        </w:rPr>
        <w:t>≥</w:t>
      </w:r>
      <w:r w:rsidRPr="00730305">
        <w:rPr>
          <w:rFonts w:ascii="標楷體" w:eastAsia="標楷體" w:hAnsi="標楷體" w:cs="新細明體"/>
          <w:spacing w:val="-4"/>
          <w:kern w:val="0"/>
          <w:szCs w:val="24"/>
        </w:rPr>
        <w:t>50%為止，並依仿單用法重啟治療。</w:t>
      </w:r>
    </w:p>
    <w:p w14:paraId="114A405A" w14:textId="77777777" w:rsidR="00004295" w:rsidRPr="00730305" w:rsidRDefault="00004295" w:rsidP="00004295">
      <w:pPr>
        <w:widowControl/>
        <w:spacing w:line="300" w:lineRule="exact"/>
        <w:ind w:left="1134" w:right="125" w:hanging="397"/>
        <w:jc w:val="both"/>
        <w:rPr>
          <w:rFonts w:ascii="標楷體" w:eastAsia="標楷體" w:hAnsi="標楷體"/>
          <w:szCs w:val="24"/>
        </w:rPr>
      </w:pPr>
      <w:r w:rsidRPr="00730305">
        <w:rPr>
          <w:rFonts w:ascii="標楷體" w:eastAsia="標楷體" w:hAnsi="標楷體" w:cs="新細明體"/>
          <w:spacing w:val="-4"/>
          <w:kern w:val="0"/>
          <w:szCs w:val="24"/>
        </w:rPr>
        <w:t>(2)當每日劑量2.5mg時，發生2次LVEF&lt;50%或1次LVEF</w:t>
      </w:r>
      <w:r w:rsidRPr="00730305">
        <w:rPr>
          <w:rFonts w:eastAsia="標楷體"/>
          <w:spacing w:val="-4"/>
          <w:kern w:val="0"/>
          <w:szCs w:val="24"/>
        </w:rPr>
        <w:t>≤</w:t>
      </w:r>
      <w:r w:rsidRPr="00730305">
        <w:rPr>
          <w:rFonts w:ascii="標楷體" w:eastAsia="標楷體" w:hAnsi="標楷體" w:cs="新細明體"/>
          <w:spacing w:val="-4"/>
          <w:kern w:val="0"/>
          <w:szCs w:val="24"/>
        </w:rPr>
        <w:t>30%時，須永久停藥。</w:t>
      </w:r>
    </w:p>
    <w:p w14:paraId="689383E0" w14:textId="77777777" w:rsidR="00004295" w:rsidRPr="00730305" w:rsidRDefault="00004295" w:rsidP="002F092D">
      <w:pPr>
        <w:widowControl/>
        <w:spacing w:line="300" w:lineRule="exact"/>
        <w:ind w:left="851" w:right="127" w:hanging="255"/>
        <w:jc w:val="both"/>
        <w:rPr>
          <w:rFonts w:ascii="標楷體" w:eastAsia="標楷體" w:hAnsi="標楷體"/>
          <w:szCs w:val="24"/>
        </w:rPr>
      </w:pPr>
      <w:r w:rsidRPr="00730305">
        <w:rPr>
          <w:rFonts w:ascii="標楷體" w:eastAsia="標楷體" w:hAnsi="標楷體" w:cs="新細明體"/>
          <w:spacing w:val="-4"/>
          <w:kern w:val="0"/>
          <w:szCs w:val="24"/>
        </w:rPr>
        <w:t>5.限心臟專</w:t>
      </w:r>
      <w:r w:rsidRPr="00730305">
        <w:rPr>
          <w:rFonts w:ascii="標楷體" w:eastAsia="標楷體" w:hAnsi="標楷體" w:cs="新細明體"/>
          <w:kern w:val="0"/>
          <w:szCs w:val="24"/>
        </w:rPr>
        <w:t>科醫師處方。</w:t>
      </w:r>
    </w:p>
    <w:p w14:paraId="09F3E800" w14:textId="7A2B38DF" w:rsidR="004444F1" w:rsidRPr="00151077" w:rsidRDefault="00004295" w:rsidP="002F092D">
      <w:pPr>
        <w:widowControl/>
        <w:spacing w:line="300" w:lineRule="exact"/>
        <w:ind w:left="851" w:right="127" w:hanging="255"/>
        <w:jc w:val="both"/>
        <w:rPr>
          <w:rFonts w:ascii="標楷體" w:eastAsia="標楷體" w:hAnsi="標楷體"/>
          <w:bCs/>
          <w:color w:val="000000"/>
          <w:kern w:val="2"/>
          <w:szCs w:val="24"/>
        </w:rPr>
      </w:pPr>
      <w:r w:rsidRPr="00730305">
        <w:rPr>
          <w:rFonts w:ascii="標楷體" w:eastAsia="標楷體" w:hAnsi="標楷體" w:cs="新細明體"/>
          <w:kern w:val="0"/>
          <w:szCs w:val="24"/>
        </w:rPr>
        <w:t>6.</w:t>
      </w:r>
      <w:r w:rsidRPr="002F092D">
        <w:rPr>
          <w:rFonts w:ascii="標楷體" w:eastAsia="標楷體" w:hAnsi="標楷體" w:cs="新細明體"/>
          <w:spacing w:val="-4"/>
          <w:kern w:val="0"/>
          <w:szCs w:val="24"/>
        </w:rPr>
        <w:t>Camzyos</w:t>
      </w:r>
      <w:r w:rsidRPr="00730305">
        <w:rPr>
          <w:rFonts w:ascii="標楷體" w:eastAsia="標楷體" w:hAnsi="標楷體" w:cs="新細明體"/>
          <w:kern w:val="0"/>
          <w:szCs w:val="24"/>
        </w:rPr>
        <w:t xml:space="preserve"> 2.5mg每日至多給付2粒，</w:t>
      </w:r>
      <w:proofErr w:type="spellStart"/>
      <w:r w:rsidRPr="00730305">
        <w:rPr>
          <w:rFonts w:ascii="標楷體" w:eastAsia="標楷體" w:hAnsi="標楷體" w:cs="新細明體"/>
          <w:kern w:val="0"/>
          <w:szCs w:val="24"/>
        </w:rPr>
        <w:t>Camzyos</w:t>
      </w:r>
      <w:proofErr w:type="spellEnd"/>
      <w:r w:rsidRPr="00730305">
        <w:rPr>
          <w:rFonts w:ascii="標楷體" w:eastAsia="標楷體" w:hAnsi="標楷體" w:cs="新細明體"/>
          <w:kern w:val="0"/>
          <w:szCs w:val="24"/>
        </w:rPr>
        <w:t xml:space="preserve"> 10mg或15mg每日至多給付1粒，且2.5mg不得與10mg或15mg</w:t>
      </w:r>
      <w:proofErr w:type="gramStart"/>
      <w:r w:rsidRPr="00730305">
        <w:rPr>
          <w:rFonts w:ascii="標楷體" w:eastAsia="標楷體" w:hAnsi="標楷體" w:cs="新細明體"/>
          <w:kern w:val="0"/>
          <w:szCs w:val="24"/>
        </w:rPr>
        <w:t>併</w:t>
      </w:r>
      <w:proofErr w:type="gramEnd"/>
      <w:r w:rsidRPr="00730305">
        <w:rPr>
          <w:rFonts w:ascii="標楷體" w:eastAsia="標楷體" w:hAnsi="標楷體" w:cs="新細明體"/>
          <w:kern w:val="0"/>
          <w:szCs w:val="24"/>
        </w:rPr>
        <w:t>用。</w:t>
      </w:r>
    </w:p>
    <w:p w14:paraId="1704A0BB" w14:textId="1C87C72E" w:rsidR="00585377" w:rsidRPr="00151077" w:rsidRDefault="00585377" w:rsidP="004444F1">
      <w:pPr>
        <w:suppressAutoHyphens w:val="0"/>
        <w:autoSpaceDN/>
        <w:adjustRightInd w:val="0"/>
        <w:snapToGrid w:val="0"/>
        <w:spacing w:line="300" w:lineRule="exact"/>
        <w:ind w:left="120"/>
        <w:jc w:val="both"/>
        <w:textAlignment w:val="auto"/>
        <w:rPr>
          <w:rFonts w:ascii="標楷體" w:eastAsia="標楷體" w:hAnsi="標楷體"/>
          <w:bCs/>
          <w:color w:val="000000"/>
          <w:kern w:val="2"/>
          <w:szCs w:val="24"/>
        </w:rPr>
      </w:pPr>
    </w:p>
    <w:p w14:paraId="7E372324" w14:textId="4B2FF5C2" w:rsidR="00CC252C" w:rsidRPr="00CC252C" w:rsidRDefault="00CC252C" w:rsidP="00585377">
      <w:pPr>
        <w:widowControl/>
        <w:spacing w:line="300" w:lineRule="exact"/>
        <w:ind w:left="426" w:hanging="137"/>
        <w:jc w:val="both"/>
      </w:pPr>
      <w:r>
        <w:br w:type="page"/>
      </w:r>
    </w:p>
    <w:p w14:paraId="244C20DA" w14:textId="77777777" w:rsidR="00401786" w:rsidRDefault="00C64FB3" w:rsidP="0009639E">
      <w:pPr>
        <w:pStyle w:val="2"/>
        <w:spacing w:line="300" w:lineRule="exact"/>
      </w:pPr>
      <w:r>
        <w:lastRenderedPageBreak/>
        <w:t>第3節 代謝及營養劑 Metabolic &amp; nutrient agents</w:t>
      </w:r>
    </w:p>
    <w:p w14:paraId="17951FF1" w14:textId="77777777" w:rsidR="00401786" w:rsidRDefault="00401786" w:rsidP="002144EC">
      <w:pPr>
        <w:snapToGrid w:val="0"/>
        <w:spacing w:line="300" w:lineRule="exact"/>
        <w:jc w:val="center"/>
        <w:rPr>
          <w:rFonts w:ascii="標楷體" w:eastAsia="標楷體" w:hAnsi="標楷體"/>
          <w:b/>
          <w:color w:val="000000"/>
          <w:sz w:val="32"/>
          <w:szCs w:val="32"/>
        </w:rPr>
      </w:pPr>
    </w:p>
    <w:p w14:paraId="79DFA737" w14:textId="77777777" w:rsidR="002144EC" w:rsidRDefault="00C64FB3" w:rsidP="002144EC">
      <w:pPr>
        <w:spacing w:line="300" w:lineRule="exact"/>
        <w:ind w:left="672" w:hanging="386"/>
        <w:rPr>
          <w:rFonts w:ascii="標楷體" w:eastAsia="標楷體" w:hAnsi="標楷體"/>
          <w:color w:val="000000"/>
        </w:rPr>
      </w:pPr>
      <w:r>
        <w:rPr>
          <w:rFonts w:ascii="標楷體" w:eastAsia="標楷體" w:hAnsi="標楷體"/>
          <w:color w:val="000000"/>
        </w:rPr>
        <w:t>3</w:t>
      </w:r>
      <w:r w:rsidR="002144EC">
        <w:rPr>
          <w:rFonts w:ascii="標楷體" w:eastAsia="標楷體" w:hAnsi="標楷體"/>
          <w:color w:val="000000"/>
        </w:rPr>
        <w:t xml:space="preserve">.1.靜脈營養輸液  Parenteral </w:t>
      </w:r>
      <w:proofErr w:type="spellStart"/>
      <w:r w:rsidR="002144EC">
        <w:rPr>
          <w:rFonts w:ascii="標楷體" w:eastAsia="標楷體" w:hAnsi="標楷體"/>
          <w:color w:val="000000"/>
        </w:rPr>
        <w:t>nutritions</w:t>
      </w:r>
      <w:proofErr w:type="spellEnd"/>
    </w:p>
    <w:p w14:paraId="141ED481"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3.1.1. Fat emulsion：或含Fat emulsion之靜脈營養輸液(</w:t>
      </w:r>
      <w:proofErr w:type="gramStart"/>
      <w:r>
        <w:rPr>
          <w:rFonts w:ascii="標楷體" w:eastAsia="標楷體" w:hAnsi="標楷體"/>
          <w:color w:val="000000"/>
        </w:rPr>
        <w:t>如含</w:t>
      </w:r>
      <w:proofErr w:type="gramEnd"/>
      <w:r>
        <w:rPr>
          <w:rFonts w:ascii="標楷體" w:eastAsia="標楷體" w:hAnsi="標楷體"/>
          <w:color w:val="000000"/>
        </w:rPr>
        <w:t>glucose、lipid、amino acid及electrolytes三合一靜脈營養輸液)：(97/11/1、98/7/1、98/12/1)限</w:t>
      </w:r>
    </w:p>
    <w:p w14:paraId="7DCB2583"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1.嚴重燒傷病人，為靜脈營養補充。</w:t>
      </w:r>
    </w:p>
    <w:p w14:paraId="756B0BD2"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2.使用全靜脈營養者。</w:t>
      </w:r>
    </w:p>
    <w:p w14:paraId="26B17399"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3.重大手術後五至七天仍</w:t>
      </w:r>
      <w:proofErr w:type="gramStart"/>
      <w:r>
        <w:rPr>
          <w:rFonts w:ascii="標楷體" w:eastAsia="標楷體" w:hAnsi="標楷體"/>
          <w:color w:val="000000"/>
        </w:rPr>
        <w:t>不能經腸道</w:t>
      </w:r>
      <w:proofErr w:type="gramEnd"/>
      <w:r>
        <w:rPr>
          <w:rFonts w:ascii="標楷體" w:eastAsia="標楷體" w:hAnsi="標楷體"/>
          <w:color w:val="000000"/>
        </w:rPr>
        <w:t>進食者，每日不超過一瓶為原則。(98/12/1)</w:t>
      </w:r>
    </w:p>
    <w:p w14:paraId="00AC7540" w14:textId="77777777" w:rsidR="002144EC" w:rsidRDefault="002144EC" w:rsidP="002144EC">
      <w:pPr>
        <w:spacing w:line="300" w:lineRule="exact"/>
        <w:ind w:left="672" w:hanging="386"/>
        <w:rPr>
          <w:rFonts w:ascii="標楷體" w:eastAsia="標楷體" w:hAnsi="標楷體"/>
        </w:rPr>
      </w:pPr>
      <w:r>
        <w:rPr>
          <w:rFonts w:ascii="標楷體" w:eastAsia="標楷體" w:hAnsi="標楷體"/>
        </w:rPr>
        <w:t>3.1.2.Sodium glycerophosphate(如</w:t>
      </w:r>
      <w:proofErr w:type="spellStart"/>
      <w:r>
        <w:rPr>
          <w:rFonts w:ascii="標楷體" w:eastAsia="標楷體" w:hAnsi="標楷體"/>
        </w:rPr>
        <w:t>Glycophos</w:t>
      </w:r>
      <w:proofErr w:type="spellEnd"/>
      <w:r>
        <w:rPr>
          <w:rFonts w:ascii="標楷體" w:eastAsia="標楷體" w:hAnsi="標楷體"/>
        </w:rPr>
        <w:t>)：（111/1/1）</w:t>
      </w:r>
    </w:p>
    <w:p w14:paraId="731AC25B"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1.限用於接受靜脈營養補充，且臨床上有低血磷及相關症狀的病人使用。</w:t>
      </w:r>
    </w:p>
    <w:p w14:paraId="649F2068"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2.早產兒有臨床需要者。</w:t>
      </w:r>
    </w:p>
    <w:p w14:paraId="47AB2B32" w14:textId="77777777" w:rsidR="002144EC" w:rsidRDefault="002144EC" w:rsidP="002144EC">
      <w:pPr>
        <w:spacing w:line="300" w:lineRule="exact"/>
        <w:ind w:left="811" w:hanging="245"/>
      </w:pPr>
      <w:r>
        <w:rPr>
          <w:rFonts w:ascii="標楷體" w:eastAsia="標楷體" w:hAnsi="標楷體"/>
        </w:rPr>
        <w:t>3.用於成人以使用7日為限。</w:t>
      </w:r>
    </w:p>
    <w:p w14:paraId="0CA4E8D8"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3.2.維生素 Vitamins</w:t>
      </w:r>
    </w:p>
    <w:p w14:paraId="2D856B7B"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（使用維生素醫治之適應症</w:t>
      </w:r>
      <w:proofErr w:type="gramStart"/>
      <w:r>
        <w:rPr>
          <w:rFonts w:ascii="標楷體" w:eastAsia="標楷體" w:hAnsi="標楷體"/>
          <w:color w:val="000000"/>
        </w:rPr>
        <w:t>詳</w:t>
      </w:r>
      <w:proofErr w:type="gramEnd"/>
      <w:r>
        <w:rPr>
          <w:rFonts w:ascii="標楷體" w:eastAsia="標楷體" w:hAnsi="標楷體"/>
          <w:color w:val="000000"/>
        </w:rPr>
        <w:t>附表三-</w:t>
      </w:r>
      <w:proofErr w:type="gramStart"/>
      <w:r>
        <w:rPr>
          <w:rFonts w:ascii="標楷體" w:eastAsia="標楷體" w:hAnsi="標楷體"/>
          <w:color w:val="000000"/>
        </w:rPr>
        <w:t>Ａ</w:t>
      </w:r>
      <w:proofErr w:type="gramEnd"/>
      <w:r>
        <w:rPr>
          <w:rFonts w:ascii="標楷體" w:eastAsia="標楷體" w:hAnsi="標楷體"/>
          <w:color w:val="000000"/>
        </w:rPr>
        <w:t>）</w:t>
      </w:r>
    </w:p>
    <w:p w14:paraId="72790C52"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3.2.1.Mecobalamin製劑：(85/4/1、100/8/1)</w:t>
      </w:r>
    </w:p>
    <w:p w14:paraId="28DAA04C"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限符合以下條件之</w:t>
      </w:r>
      <w:proofErr w:type="gramStart"/>
      <w:r>
        <w:rPr>
          <w:rFonts w:ascii="標楷體" w:eastAsia="標楷體" w:hAnsi="標楷體"/>
          <w:color w:val="000000"/>
        </w:rPr>
        <w:t>一</w:t>
      </w:r>
      <w:proofErr w:type="gramEnd"/>
      <w:r>
        <w:rPr>
          <w:rFonts w:ascii="標楷體" w:eastAsia="標楷體" w:hAnsi="標楷體"/>
          <w:color w:val="000000"/>
        </w:rPr>
        <w:t>使用：</w:t>
      </w:r>
    </w:p>
    <w:p w14:paraId="66445CD9"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1.糖尿病併發周邊神經病變並具有臨床神經學病徵 (須於</w:t>
      </w:r>
      <w:proofErr w:type="gramStart"/>
      <w:r>
        <w:rPr>
          <w:rFonts w:ascii="標楷體" w:eastAsia="標楷體" w:hAnsi="標楷體"/>
          <w:color w:val="000000"/>
        </w:rPr>
        <w:t>處方上敘明</w:t>
      </w:r>
      <w:proofErr w:type="gramEnd"/>
      <w:r>
        <w:rPr>
          <w:rFonts w:ascii="標楷體" w:eastAsia="標楷體" w:hAnsi="標楷體"/>
          <w:color w:val="000000"/>
        </w:rPr>
        <w:t>)。</w:t>
      </w:r>
    </w:p>
    <w:p w14:paraId="67AAD77B"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2.經神經科專科醫師診斷或經神經傳導(NCV) 檢查證實之慢性多發性神經病變(chronic polyneuropathy)。（100/8/1）</w:t>
      </w:r>
    </w:p>
    <w:p w14:paraId="2019840B" w14:textId="77777777" w:rsidR="002144EC" w:rsidRDefault="002144EC" w:rsidP="002144EC">
      <w:pPr>
        <w:spacing w:line="300" w:lineRule="exact"/>
        <w:ind w:left="1276" w:hanging="851"/>
        <w:rPr>
          <w:rFonts w:ascii="標楷體" w:eastAsia="標楷體" w:hAnsi="標楷體"/>
          <w:color w:val="000000"/>
        </w:rPr>
      </w:pPr>
      <w:bookmarkStart w:id="7" w:name="_Hlk88666733"/>
      <w:r>
        <w:rPr>
          <w:rFonts w:ascii="標楷體" w:eastAsia="標楷體" w:hAnsi="標楷體"/>
          <w:color w:val="000000"/>
        </w:rPr>
        <w:t>3.2.2.活性維生素D3製劑 (如</w:t>
      </w:r>
      <w:proofErr w:type="spellStart"/>
      <w:r>
        <w:rPr>
          <w:rFonts w:ascii="標楷體" w:eastAsia="標楷體" w:hAnsi="標楷體"/>
          <w:color w:val="000000"/>
        </w:rPr>
        <w:t>alfacalcidol</w:t>
      </w:r>
      <w:proofErr w:type="spellEnd"/>
      <w:r>
        <w:rPr>
          <w:rFonts w:ascii="標楷體" w:eastAsia="標楷體" w:hAnsi="標楷體"/>
          <w:color w:val="000000"/>
        </w:rPr>
        <w:t>；calcitriol) 限下列病例使用：（86/1/1、91/7/1、100/1/1、109/10/1、110/12/1）</w:t>
      </w:r>
    </w:p>
    <w:p w14:paraId="0DEB653A" w14:textId="77777777" w:rsidR="002144EC" w:rsidRDefault="002144EC" w:rsidP="002144EC">
      <w:pPr>
        <w:widowControl/>
        <w:numPr>
          <w:ilvl w:val="0"/>
          <w:numId w:val="224"/>
        </w:numPr>
        <w:spacing w:line="300" w:lineRule="exact"/>
        <w:ind w:left="993" w:hanging="322"/>
        <w:rPr>
          <w:rFonts w:ascii="標楷體" w:eastAsia="標楷體" w:hAnsi="標楷體"/>
          <w:color w:val="000000"/>
        </w:rPr>
      </w:pPr>
      <w:proofErr w:type="spellStart"/>
      <w:r>
        <w:rPr>
          <w:rFonts w:ascii="標楷體" w:eastAsia="標楷體" w:hAnsi="標楷體"/>
          <w:color w:val="000000"/>
        </w:rPr>
        <w:t>Vit.D</w:t>
      </w:r>
      <w:proofErr w:type="spellEnd"/>
      <w:r>
        <w:rPr>
          <w:rFonts w:ascii="標楷體" w:eastAsia="標楷體" w:hAnsi="標楷體"/>
          <w:color w:val="000000"/>
        </w:rPr>
        <w:t>依賴型佝僂症或</w:t>
      </w:r>
      <w:proofErr w:type="gramStart"/>
      <w:r>
        <w:rPr>
          <w:rFonts w:ascii="標楷體" w:eastAsia="標楷體" w:hAnsi="標楷體"/>
          <w:color w:val="000000"/>
        </w:rPr>
        <w:t>低磷血佝僂</w:t>
      </w:r>
      <w:proofErr w:type="gramEnd"/>
      <w:r>
        <w:rPr>
          <w:rFonts w:ascii="標楷體" w:eastAsia="標楷體" w:hAnsi="標楷體"/>
          <w:color w:val="000000"/>
        </w:rPr>
        <w:t>症。(應附醫學中心之診斷證明)</w:t>
      </w:r>
    </w:p>
    <w:p w14:paraId="1A9723A3" w14:textId="77777777" w:rsidR="002144EC" w:rsidRDefault="002144EC" w:rsidP="002144EC">
      <w:pPr>
        <w:widowControl/>
        <w:numPr>
          <w:ilvl w:val="0"/>
          <w:numId w:val="224"/>
        </w:numPr>
        <w:spacing w:line="300" w:lineRule="exact"/>
        <w:ind w:left="993" w:hanging="322"/>
        <w:rPr>
          <w:rFonts w:ascii="標楷體" w:eastAsia="標楷體" w:hAnsi="標楷體"/>
          <w:color w:val="000000"/>
        </w:rPr>
      </w:pPr>
      <w:r>
        <w:rPr>
          <w:rFonts w:ascii="標楷體" w:eastAsia="標楷體" w:hAnsi="標楷體"/>
          <w:color w:val="000000"/>
        </w:rPr>
        <w:t>副甲狀腺機能低下症。(應檢附病歷影本)</w:t>
      </w:r>
    </w:p>
    <w:p w14:paraId="333ED538" w14:textId="77777777" w:rsidR="002144EC" w:rsidRDefault="002144EC" w:rsidP="002144EC">
      <w:pPr>
        <w:widowControl/>
        <w:numPr>
          <w:ilvl w:val="0"/>
          <w:numId w:val="224"/>
        </w:numPr>
        <w:spacing w:line="300" w:lineRule="exact"/>
        <w:ind w:left="993" w:hanging="322"/>
        <w:rPr>
          <w:rFonts w:ascii="標楷體" w:eastAsia="標楷體" w:hAnsi="標楷體"/>
          <w:color w:val="000000"/>
        </w:rPr>
      </w:pPr>
      <w:r>
        <w:rPr>
          <w:rFonts w:ascii="標楷體" w:eastAsia="標楷體" w:hAnsi="標楷體"/>
          <w:color w:val="000000"/>
        </w:rPr>
        <w:t>慢性腎臟病引起之低</w:t>
      </w:r>
      <w:proofErr w:type="gramStart"/>
      <w:r>
        <w:rPr>
          <w:rFonts w:ascii="標楷體" w:eastAsia="標楷體" w:hAnsi="標楷體"/>
          <w:color w:val="000000"/>
        </w:rPr>
        <w:t>血鈣症</w:t>
      </w:r>
      <w:proofErr w:type="gramEnd"/>
      <w:r>
        <w:rPr>
          <w:rFonts w:ascii="標楷體" w:eastAsia="標楷體" w:hAnsi="標楷體"/>
          <w:color w:val="000000"/>
        </w:rPr>
        <w:t>，並限eGFR小於45mL/min/1.73 m2，或PTH-</w:t>
      </w:r>
      <w:proofErr w:type="spellStart"/>
      <w:r>
        <w:rPr>
          <w:rFonts w:ascii="標楷體" w:eastAsia="標楷體" w:hAnsi="標楷體"/>
          <w:color w:val="000000"/>
        </w:rPr>
        <w:t>i</w:t>
      </w:r>
      <w:proofErr w:type="spellEnd"/>
      <w:r>
        <w:rPr>
          <w:rFonts w:ascii="標楷體" w:eastAsia="標楷體" w:hAnsi="標楷體"/>
          <w:color w:val="000000"/>
        </w:rPr>
        <w:t>大於正常值三倍以上，血中鈣濃度在10.5mg/dL以上病例不可使用，每6個月須檢測病人血中鈣磷乘積，</w:t>
      </w:r>
      <w:proofErr w:type="gramStart"/>
      <w:r>
        <w:rPr>
          <w:rFonts w:ascii="標楷體" w:eastAsia="標楷體" w:hAnsi="標楷體"/>
          <w:color w:val="000000"/>
        </w:rPr>
        <w:t>若血鈣</w:t>
      </w:r>
      <w:proofErr w:type="gramEnd"/>
      <w:r>
        <w:rPr>
          <w:rFonts w:ascii="標楷體" w:eastAsia="標楷體" w:hAnsi="標楷體"/>
          <w:color w:val="000000"/>
        </w:rPr>
        <w:t>*血磷&gt;55mg2/dL2者不可使用。（109/10/1、110/12/1）。</w:t>
      </w:r>
    </w:p>
    <w:p w14:paraId="0C86973E" w14:textId="77777777" w:rsidR="002144EC" w:rsidRDefault="002144EC" w:rsidP="002144EC">
      <w:pPr>
        <w:widowControl/>
        <w:numPr>
          <w:ilvl w:val="0"/>
          <w:numId w:val="224"/>
        </w:numPr>
        <w:spacing w:line="300" w:lineRule="exact"/>
        <w:ind w:left="993" w:hanging="322"/>
        <w:rPr>
          <w:rFonts w:ascii="標楷體" w:eastAsia="標楷體" w:hAnsi="標楷體"/>
          <w:color w:val="000000"/>
        </w:rPr>
      </w:pPr>
      <w:r>
        <w:rPr>
          <w:rFonts w:ascii="標楷體" w:eastAsia="標楷體" w:hAnsi="標楷體"/>
          <w:color w:val="000000"/>
        </w:rPr>
        <w:t>停經後婦女患有脊椎壓迫性骨折或髖骨骨折病患。</w:t>
      </w:r>
      <w:bookmarkEnd w:id="7"/>
    </w:p>
    <w:p w14:paraId="2264ED75"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3.3.其他  Miscellaneous</w:t>
      </w:r>
    </w:p>
    <w:p w14:paraId="14F6635E"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3.3.1.肝庇護劑：(85/1/1、88/3/1、94/7/1、108/11/1、114/6/1)</w:t>
      </w:r>
    </w:p>
    <w:p w14:paraId="4B4EDA06" w14:textId="77777777" w:rsidR="002144EC" w:rsidRDefault="002144EC" w:rsidP="002144EC">
      <w:pPr>
        <w:spacing w:line="300" w:lineRule="exact"/>
        <w:ind w:left="709" w:hanging="199"/>
        <w:rPr>
          <w:rFonts w:ascii="標楷體" w:eastAsia="標楷體" w:hAnsi="標楷體"/>
          <w:color w:val="000000"/>
        </w:rPr>
      </w:pPr>
      <w:r>
        <w:rPr>
          <w:rFonts w:ascii="標楷體" w:eastAsia="標楷體" w:hAnsi="標楷體"/>
          <w:color w:val="000000"/>
        </w:rPr>
        <w:t>1.肝硬化、肝炎患者，限下列情形之</w:t>
      </w:r>
      <w:proofErr w:type="gramStart"/>
      <w:r>
        <w:rPr>
          <w:rFonts w:ascii="標楷體" w:eastAsia="標楷體" w:hAnsi="標楷體"/>
          <w:color w:val="000000"/>
        </w:rPr>
        <w:t>一</w:t>
      </w:r>
      <w:proofErr w:type="gramEnd"/>
      <w:r>
        <w:rPr>
          <w:rFonts w:ascii="標楷體" w:eastAsia="標楷體" w:hAnsi="標楷體"/>
          <w:color w:val="000000"/>
        </w:rPr>
        <w:t>者，得由醫師依肝功能和影像檢查或病理切片檢查確實診斷後，視病情需要處方之。（94/7/1、114/6/1）</w:t>
      </w:r>
    </w:p>
    <w:p w14:paraId="2B0EFFF5" w14:textId="77777777" w:rsidR="002144EC" w:rsidRDefault="002144EC" w:rsidP="002144EC">
      <w:pPr>
        <w:spacing w:line="300" w:lineRule="exact"/>
        <w:ind w:left="1134" w:hanging="482"/>
        <w:rPr>
          <w:rFonts w:ascii="標楷體" w:eastAsia="標楷體" w:hAnsi="標楷體"/>
          <w:color w:val="000000"/>
        </w:rPr>
      </w:pPr>
      <w:r>
        <w:rPr>
          <w:rFonts w:ascii="標楷體" w:eastAsia="標楷體" w:hAnsi="標楷體"/>
          <w:color w:val="000000"/>
        </w:rPr>
        <w:t>（1）HBV（+）或HCV（+）之病患且GOT或GPT值大於等於正常值上限1倍以上。</w:t>
      </w:r>
    </w:p>
    <w:p w14:paraId="797E236E" w14:textId="77777777" w:rsidR="002144EC" w:rsidRDefault="002144EC" w:rsidP="002144EC">
      <w:pPr>
        <w:spacing w:line="300" w:lineRule="exact"/>
        <w:ind w:left="1134" w:hanging="482"/>
        <w:rPr>
          <w:rFonts w:ascii="標楷體" w:eastAsia="標楷體" w:hAnsi="標楷體"/>
          <w:color w:val="000000"/>
        </w:rPr>
      </w:pPr>
      <w:r>
        <w:rPr>
          <w:rFonts w:ascii="標楷體" w:eastAsia="標楷體" w:hAnsi="標楷體"/>
          <w:color w:val="000000"/>
        </w:rPr>
        <w:t>（2）任何原因所引起之肝硬化且GOT或GPT值大於等於正常值上限1倍以上。</w:t>
      </w:r>
    </w:p>
    <w:p w14:paraId="77223376" w14:textId="77777777" w:rsidR="002144EC" w:rsidRDefault="002144EC" w:rsidP="002144EC">
      <w:pPr>
        <w:spacing w:line="300" w:lineRule="exact"/>
        <w:ind w:left="1134" w:hanging="482"/>
        <w:rPr>
          <w:rFonts w:ascii="標楷體" w:eastAsia="標楷體" w:hAnsi="標楷體"/>
          <w:color w:val="000000"/>
        </w:rPr>
      </w:pPr>
      <w:r>
        <w:rPr>
          <w:rFonts w:ascii="標楷體" w:eastAsia="標楷體" w:hAnsi="標楷體"/>
          <w:color w:val="000000"/>
        </w:rPr>
        <w:t>（3）HBV（-）及HCV（-）之病患，GOT或GPT值大於等於正常值上限2倍以上。</w:t>
      </w:r>
    </w:p>
    <w:p w14:paraId="761D237C" w14:textId="77777777" w:rsidR="002144EC" w:rsidRDefault="002144EC" w:rsidP="002144EC">
      <w:pPr>
        <w:spacing w:line="300" w:lineRule="exact"/>
        <w:ind w:left="709" w:hanging="199"/>
        <w:rPr>
          <w:rFonts w:ascii="標楷體" w:eastAsia="標楷體" w:hAnsi="標楷體"/>
          <w:color w:val="000000"/>
        </w:rPr>
      </w:pPr>
      <w:r>
        <w:rPr>
          <w:rFonts w:ascii="標楷體" w:eastAsia="標楷體" w:hAnsi="標楷體"/>
          <w:color w:val="000000"/>
        </w:rPr>
        <w:t>2.肝庇護劑之使用，門診以口服一種為原則；使用於高</w:t>
      </w:r>
      <w:proofErr w:type="gramStart"/>
      <w:r>
        <w:rPr>
          <w:rFonts w:ascii="標楷體" w:eastAsia="標楷體" w:hAnsi="標楷體"/>
          <w:color w:val="000000"/>
        </w:rPr>
        <w:t>血氨症</w:t>
      </w:r>
      <w:proofErr w:type="gramEnd"/>
      <w:r>
        <w:rPr>
          <w:rFonts w:ascii="標楷體" w:eastAsia="標楷體" w:hAnsi="標楷體"/>
          <w:color w:val="000000"/>
        </w:rPr>
        <w:t>(hyperammonemia) 之肝庇護劑應檢附氨之異常報告。</w:t>
      </w:r>
    </w:p>
    <w:p w14:paraId="56E7425C" w14:textId="77777777" w:rsidR="002144EC" w:rsidRDefault="002144EC" w:rsidP="002144EC">
      <w:pPr>
        <w:spacing w:line="300" w:lineRule="exact"/>
        <w:ind w:left="709" w:hanging="199"/>
        <w:rPr>
          <w:rFonts w:ascii="標楷體" w:eastAsia="標楷體" w:hAnsi="標楷體"/>
          <w:color w:val="000000"/>
        </w:rPr>
      </w:pPr>
      <w:r>
        <w:rPr>
          <w:rFonts w:ascii="標楷體" w:eastAsia="標楷體" w:hAnsi="標楷體"/>
          <w:color w:val="000000"/>
        </w:rPr>
        <w:t>3.使用肝庇護劑應檢附肝功能報告，該報告有效期為三至六個月，逾期應再複查。(108/11/1)</w:t>
      </w:r>
    </w:p>
    <w:p w14:paraId="00E99612"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4.肝功能檢查如檢查結果正常，應停止用藥，在檢查未得結果前，所用藥物以一</w:t>
      </w:r>
      <w:proofErr w:type="gramStart"/>
      <w:r>
        <w:rPr>
          <w:rFonts w:ascii="標楷體" w:eastAsia="標楷體" w:hAnsi="標楷體"/>
          <w:color w:val="000000"/>
        </w:rPr>
        <w:t>週</w:t>
      </w:r>
      <w:proofErr w:type="gramEnd"/>
      <w:r>
        <w:rPr>
          <w:rFonts w:ascii="標楷體" w:eastAsia="標楷體" w:hAnsi="標楷體"/>
          <w:color w:val="000000"/>
        </w:rPr>
        <w:t>為宜。</w:t>
      </w:r>
    </w:p>
    <w:p w14:paraId="1C2EF16E"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3.3.2.α-Keto acid-amino acid製劑(如</w:t>
      </w:r>
      <w:proofErr w:type="spellStart"/>
      <w:r>
        <w:rPr>
          <w:rFonts w:ascii="標楷體" w:eastAsia="標楷體" w:hAnsi="標楷體"/>
          <w:color w:val="000000"/>
        </w:rPr>
        <w:t>Ketosteril</w:t>
      </w:r>
      <w:proofErr w:type="spellEnd"/>
      <w:r>
        <w:rPr>
          <w:rFonts w:ascii="標楷體" w:eastAsia="標楷體" w:hAnsi="標楷體"/>
          <w:color w:val="000000"/>
        </w:rPr>
        <w:t>)：限</w:t>
      </w:r>
    </w:p>
    <w:p w14:paraId="4FF0C7FA"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1.限慢性腎衰竭</w:t>
      </w:r>
      <w:proofErr w:type="gramStart"/>
      <w:r>
        <w:rPr>
          <w:rFonts w:ascii="標楷體" w:eastAsia="標楷體" w:hAnsi="標楷體"/>
          <w:color w:val="000000"/>
        </w:rPr>
        <w:t>病患行低蛋白</w:t>
      </w:r>
      <w:proofErr w:type="gramEnd"/>
      <w:r>
        <w:rPr>
          <w:rFonts w:ascii="標楷體" w:eastAsia="標楷體" w:hAnsi="標楷體"/>
          <w:color w:val="000000"/>
        </w:rPr>
        <w:t>飲食治療，連續三個月，每</w:t>
      </w:r>
      <w:proofErr w:type="gramStart"/>
      <w:r>
        <w:rPr>
          <w:rFonts w:ascii="標楷體" w:eastAsia="標楷體" w:hAnsi="標楷體"/>
          <w:color w:val="000000"/>
        </w:rPr>
        <w:t>個</w:t>
      </w:r>
      <w:proofErr w:type="gramEnd"/>
      <w:r>
        <w:rPr>
          <w:rFonts w:ascii="標楷體" w:eastAsia="標楷體" w:hAnsi="標楷體"/>
          <w:color w:val="000000"/>
        </w:rPr>
        <w:t xml:space="preserve">月之腎絲球過濾率eGFR </w:t>
      </w:r>
      <w:proofErr w:type="gramStart"/>
      <w:r>
        <w:rPr>
          <w:rFonts w:ascii="標楷體" w:eastAsia="標楷體" w:hAnsi="標楷體"/>
          <w:color w:val="000000"/>
        </w:rPr>
        <w:t>≦</w:t>
      </w:r>
      <w:proofErr w:type="gramEnd"/>
      <w:r>
        <w:rPr>
          <w:rFonts w:ascii="標楷體" w:eastAsia="標楷體" w:hAnsi="標楷體"/>
          <w:color w:val="000000"/>
        </w:rPr>
        <w:t>15mL/min /1.73 m2且尚未接受透析治療，每日至多使用六顆。(98/11/1、104/12/1)</w:t>
      </w:r>
    </w:p>
    <w:p w14:paraId="63349DF1"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2.使用時應每兩</w:t>
      </w:r>
      <w:proofErr w:type="gramStart"/>
      <w:r>
        <w:rPr>
          <w:rFonts w:ascii="標楷體" w:eastAsia="標楷體" w:hAnsi="標楷體"/>
          <w:color w:val="000000"/>
        </w:rPr>
        <w:t>個</w:t>
      </w:r>
      <w:proofErr w:type="gramEnd"/>
      <w:r>
        <w:rPr>
          <w:rFonts w:ascii="標楷體" w:eastAsia="標楷體" w:hAnsi="標楷體"/>
          <w:color w:val="000000"/>
        </w:rPr>
        <w:t>月檢查一次，腎絲球過濾率eGFR</w:t>
      </w:r>
      <w:proofErr w:type="gramStart"/>
      <w:r>
        <w:rPr>
          <w:rFonts w:ascii="標楷體" w:eastAsia="標楷體" w:hAnsi="標楷體"/>
          <w:color w:val="000000"/>
        </w:rPr>
        <w:t>≧</w:t>
      </w:r>
      <w:proofErr w:type="gramEnd"/>
      <w:r>
        <w:rPr>
          <w:rFonts w:ascii="標楷體" w:eastAsia="標楷體" w:hAnsi="標楷體"/>
          <w:color w:val="000000"/>
        </w:rPr>
        <w:t>25mL/min/1.73 m2時，或</w:t>
      </w:r>
      <w:proofErr w:type="gramStart"/>
      <w:r>
        <w:rPr>
          <w:rFonts w:ascii="標楷體" w:eastAsia="標楷體" w:hAnsi="標楷體"/>
          <w:color w:val="000000"/>
        </w:rPr>
        <w:t>服用本品期間</w:t>
      </w:r>
      <w:proofErr w:type="gramEnd"/>
      <w:r>
        <w:rPr>
          <w:rFonts w:ascii="標楷體" w:eastAsia="標楷體" w:hAnsi="標楷體"/>
          <w:color w:val="000000"/>
        </w:rPr>
        <w:t>病人若發生體重減輕&gt;5%或血清白蛋白降低&gt;5%之情況或病人不遵守低蛋白飲食時，應即停藥。(104/12/1)</w:t>
      </w:r>
    </w:p>
    <w:p w14:paraId="749C2015"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本品不得</w:t>
      </w:r>
      <w:proofErr w:type="gramEnd"/>
      <w:r>
        <w:rPr>
          <w:rFonts w:ascii="標楷體" w:eastAsia="標楷體" w:hAnsi="標楷體"/>
          <w:color w:val="000000"/>
        </w:rPr>
        <w:t>用於透析及換腎病患，並不得做為一般營養補充劑。(103/4/1)</w:t>
      </w:r>
    </w:p>
    <w:p w14:paraId="2487B74C"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lastRenderedPageBreak/>
        <w:t>4.</w:t>
      </w:r>
      <w:r>
        <w:rPr>
          <w:rFonts w:ascii="標楷體" w:eastAsia="標楷體" w:hAnsi="標楷體"/>
          <w:color w:val="000000"/>
        </w:rPr>
        <w:tab/>
      </w:r>
      <w:proofErr w:type="gramStart"/>
      <w:r>
        <w:rPr>
          <w:rFonts w:ascii="標楷體" w:eastAsia="標楷體" w:hAnsi="標楷體"/>
          <w:color w:val="000000"/>
        </w:rPr>
        <w:t>使用本品時</w:t>
      </w:r>
      <w:proofErr w:type="gramEnd"/>
      <w:r>
        <w:rPr>
          <w:rFonts w:ascii="標楷體" w:eastAsia="標楷體" w:hAnsi="標楷體"/>
          <w:color w:val="000000"/>
        </w:rPr>
        <w:t>不得與</w:t>
      </w:r>
      <w:proofErr w:type="gramStart"/>
      <w:r>
        <w:rPr>
          <w:rFonts w:ascii="標楷體" w:eastAsia="標楷體" w:hAnsi="標楷體"/>
          <w:color w:val="000000"/>
        </w:rPr>
        <w:t>同類品製劑</w:t>
      </w:r>
      <w:proofErr w:type="gramEnd"/>
      <w:r>
        <w:rPr>
          <w:rFonts w:ascii="標楷體" w:eastAsia="標楷體" w:hAnsi="標楷體"/>
          <w:color w:val="000000"/>
        </w:rPr>
        <w:t xml:space="preserve">(例如 </w:t>
      </w:r>
      <w:proofErr w:type="spellStart"/>
      <w:r>
        <w:rPr>
          <w:rFonts w:ascii="標楷體" w:eastAsia="標楷體" w:hAnsi="標楷體"/>
          <w:color w:val="000000"/>
        </w:rPr>
        <w:t>Amiyu</w:t>
      </w:r>
      <w:proofErr w:type="spellEnd"/>
      <w:proofErr w:type="gramStart"/>
      <w:r>
        <w:rPr>
          <w:rFonts w:ascii="標楷體" w:eastAsia="標楷體" w:hAnsi="標楷體"/>
          <w:color w:val="000000"/>
        </w:rPr>
        <w:t>‥）</w:t>
      </w:r>
      <w:proofErr w:type="gramEnd"/>
      <w:r>
        <w:rPr>
          <w:rFonts w:ascii="標楷體" w:eastAsia="標楷體" w:hAnsi="標楷體"/>
          <w:color w:val="000000"/>
        </w:rPr>
        <w:t>同時處方。(93/12/1)</w:t>
      </w:r>
    </w:p>
    <w:p w14:paraId="058FA738"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3.3.3.(刪除)：（88/9/1、93/8/1、107/10/1）</w:t>
      </w:r>
    </w:p>
    <w:p w14:paraId="730EC331"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3.3.4.口服鈣質補充劑oral calcium salt：（89/2/1）</w:t>
      </w:r>
    </w:p>
    <w:p w14:paraId="18632351"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限下列病患使用：</w:t>
      </w:r>
    </w:p>
    <w:p w14:paraId="2E4E9F49"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骨質疏鬆（osteoporosis）或軟骨病（</w:t>
      </w:r>
      <w:proofErr w:type="spellStart"/>
      <w:r>
        <w:rPr>
          <w:rFonts w:ascii="標楷體" w:eastAsia="標楷體" w:hAnsi="標楷體"/>
          <w:color w:val="000000"/>
        </w:rPr>
        <w:t>osteomalacia</w:t>
      </w:r>
      <w:proofErr w:type="spellEnd"/>
      <w:r>
        <w:rPr>
          <w:rFonts w:ascii="標楷體" w:eastAsia="標楷體" w:hAnsi="標楷體"/>
          <w:color w:val="000000"/>
        </w:rPr>
        <w:t>）病患。</w:t>
      </w:r>
    </w:p>
    <w:p w14:paraId="19418A97"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高磷酸鹽血症（hyperphosphatemia）或低</w:t>
      </w:r>
      <w:proofErr w:type="gramStart"/>
      <w:r>
        <w:rPr>
          <w:rFonts w:ascii="標楷體" w:eastAsia="標楷體" w:hAnsi="標楷體"/>
          <w:color w:val="000000"/>
        </w:rPr>
        <w:t>血鈣症</w:t>
      </w:r>
      <w:proofErr w:type="gramEnd"/>
      <w:r>
        <w:rPr>
          <w:rFonts w:ascii="標楷體" w:eastAsia="標楷體" w:hAnsi="標楷體"/>
          <w:color w:val="000000"/>
        </w:rPr>
        <w:t>（hypocalcemia）。</w:t>
      </w:r>
    </w:p>
    <w:p w14:paraId="026E78E2"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長期使用糖皮質類固醇（glucocorticoid）病患。</w:t>
      </w:r>
    </w:p>
    <w:p w14:paraId="63202827"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腎衰竭病患。</w:t>
      </w:r>
    </w:p>
    <w:p w14:paraId="63B146E5"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3.3.5.Nutrineal PD4 with 1.1% Amino Acid：(91/2/1、92/10/1、99/5/1)</w:t>
      </w:r>
    </w:p>
    <w:p w14:paraId="22F9B129"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1.限長期接受腹膜透析之病患使用；該病患至少接受腹膜透析（CAPD）三個月以上者。</w:t>
      </w:r>
    </w:p>
    <w:p w14:paraId="600E2FEF"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2.每天限使用一袋代替葡萄糖腹膜透析液。</w:t>
      </w:r>
    </w:p>
    <w:p w14:paraId="1B51CCF4" w14:textId="77777777" w:rsidR="002144EC" w:rsidRDefault="002144EC" w:rsidP="002144EC">
      <w:pPr>
        <w:spacing w:line="300" w:lineRule="exact"/>
        <w:ind w:left="811" w:hanging="245"/>
      </w:pPr>
      <w:r>
        <w:rPr>
          <w:rFonts w:ascii="標楷體" w:eastAsia="標楷體" w:hAnsi="標楷體"/>
          <w:color w:val="000000"/>
        </w:rPr>
        <w:t xml:space="preserve">3.serum albumin </w:t>
      </w:r>
      <w:proofErr w:type="gramStart"/>
      <w:r>
        <w:rPr>
          <w:rFonts w:ascii="標楷體" w:eastAsia="標楷體" w:hAnsi="標楷體"/>
        </w:rPr>
        <w:t>≦</w:t>
      </w:r>
      <w:proofErr w:type="gramEnd"/>
      <w:r>
        <w:rPr>
          <w:rFonts w:ascii="標楷體" w:eastAsia="標楷體" w:hAnsi="標楷體"/>
          <w:color w:val="000000"/>
        </w:rPr>
        <w:t>3.5gm/dL 或</w:t>
      </w:r>
      <w:proofErr w:type="spellStart"/>
      <w:r>
        <w:rPr>
          <w:rFonts w:ascii="標楷體" w:eastAsia="標楷體" w:hAnsi="標楷體"/>
          <w:color w:val="000000"/>
        </w:rPr>
        <w:t>nPNA</w:t>
      </w:r>
      <w:proofErr w:type="spellEnd"/>
      <w:r>
        <w:rPr>
          <w:rFonts w:ascii="標楷體" w:eastAsia="標楷體" w:hAnsi="標楷體"/>
          <w:color w:val="000000"/>
        </w:rPr>
        <w:t xml:space="preserve"> &lt;0.9患者使用，需附開始CAPD當月的檢驗報告影本。</w:t>
      </w:r>
    </w:p>
    <w:p w14:paraId="2C305A0C" w14:textId="77777777" w:rsidR="002144EC" w:rsidRDefault="002144EC" w:rsidP="002144EC">
      <w:pPr>
        <w:spacing w:line="300" w:lineRule="exact"/>
        <w:ind w:left="798" w:hanging="1"/>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 xml:space="preserve">: </w:t>
      </w:r>
      <w:proofErr w:type="spellStart"/>
      <w:r>
        <w:rPr>
          <w:rFonts w:ascii="標楷體" w:eastAsia="標楷體" w:hAnsi="標楷體"/>
          <w:color w:val="000000"/>
        </w:rPr>
        <w:t>nPNA</w:t>
      </w:r>
      <w:proofErr w:type="spellEnd"/>
      <w:r>
        <w:rPr>
          <w:rFonts w:ascii="標楷體" w:eastAsia="標楷體" w:hAnsi="標楷體"/>
          <w:color w:val="000000"/>
        </w:rPr>
        <w:t xml:space="preserve"> (normalized protein equivalent of total nitrogen appearance) (gm/kg/day) = [10.76×(0.69×UNA+1.46)] ÷body weight (kg)</w:t>
      </w:r>
      <w:proofErr w:type="gramStart"/>
      <w:r>
        <w:rPr>
          <w:rFonts w:ascii="標楷體" w:eastAsia="標楷體" w:hAnsi="標楷體"/>
          <w:color w:val="000000"/>
        </w:rPr>
        <w:t>】</w:t>
      </w:r>
      <w:proofErr w:type="gramEnd"/>
    </w:p>
    <w:p w14:paraId="55FB5B0B"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4.每週Kt/V需＞1.7。(92/10/1、99/5/1)</w:t>
      </w:r>
    </w:p>
    <w:p w14:paraId="26E0A949"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5.不得同時合併其他胺基酸（amino acid）使用。</w:t>
      </w:r>
    </w:p>
    <w:p w14:paraId="13CB2BC4" w14:textId="77777777" w:rsidR="002144EC" w:rsidRDefault="002144EC" w:rsidP="002144EC">
      <w:pPr>
        <w:spacing w:line="300" w:lineRule="exact"/>
        <w:ind w:left="283"/>
        <w:rPr>
          <w:rFonts w:ascii="標楷體" w:eastAsia="標楷體" w:hAnsi="標楷體"/>
          <w:color w:val="000000"/>
        </w:rPr>
      </w:pPr>
      <w:r>
        <w:rPr>
          <w:rFonts w:ascii="標楷體" w:eastAsia="標楷體" w:hAnsi="標楷體"/>
          <w:color w:val="000000"/>
        </w:rPr>
        <w:t xml:space="preserve">3.3.6."Baxter" </w:t>
      </w:r>
      <w:proofErr w:type="spellStart"/>
      <w:r>
        <w:rPr>
          <w:rFonts w:ascii="標楷體" w:eastAsia="標楷體" w:hAnsi="標楷體"/>
          <w:color w:val="000000"/>
        </w:rPr>
        <w:t>Extraneal</w:t>
      </w:r>
      <w:proofErr w:type="spellEnd"/>
      <w:r>
        <w:rPr>
          <w:rFonts w:ascii="標楷體" w:eastAsia="標楷體" w:hAnsi="標楷體"/>
          <w:color w:val="000000"/>
        </w:rPr>
        <w:t xml:space="preserve"> Peritoneal Dialysis Solution With 7.5% </w:t>
      </w:r>
      <w:proofErr w:type="spellStart"/>
      <w:r>
        <w:rPr>
          <w:rFonts w:ascii="標楷體" w:eastAsia="標楷體" w:hAnsi="標楷體"/>
          <w:color w:val="000000"/>
        </w:rPr>
        <w:t>Icodextrin</w:t>
      </w:r>
      <w:proofErr w:type="spellEnd"/>
      <w:r>
        <w:rPr>
          <w:rFonts w:ascii="標楷體" w:eastAsia="標楷體" w:hAnsi="標楷體"/>
          <w:color w:val="000000"/>
        </w:rPr>
        <w:t xml:space="preserve"> (93/12 /1、96/1/1、99/9/1、100/2/1、108/8/1</w:t>
      </w:r>
      <w:proofErr w:type="gramStart"/>
      <w:r>
        <w:rPr>
          <w:rFonts w:ascii="標楷體" w:eastAsia="標楷體" w:hAnsi="標楷體"/>
          <w:color w:val="000000"/>
        </w:rPr>
        <w:t>）</w:t>
      </w:r>
      <w:proofErr w:type="gramEnd"/>
    </w:p>
    <w:p w14:paraId="745AB44C"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1.限下列病患使用：</w:t>
      </w:r>
    </w:p>
    <w:p w14:paraId="56C3CD5B"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(1)high transporters病患，用於每天長留置期。(100/2/1)</w:t>
      </w:r>
    </w:p>
    <w:p w14:paraId="30A9FEBE" w14:textId="77777777" w:rsidR="002144EC" w:rsidRDefault="002144EC" w:rsidP="002144EC">
      <w:pPr>
        <w:spacing w:line="300" w:lineRule="exact"/>
        <w:ind w:left="1037" w:hanging="240"/>
        <w:rPr>
          <w:rFonts w:ascii="標楷體" w:eastAsia="標楷體" w:hAnsi="標楷體"/>
          <w:color w:val="000000"/>
        </w:rPr>
      </w:pPr>
      <w:r>
        <w:rPr>
          <w:rFonts w:ascii="標楷體" w:eastAsia="標楷體" w:hAnsi="標楷體"/>
          <w:color w:val="000000"/>
        </w:rPr>
        <w:t>(2) high average transporters 病患，每天使用1袋</w:t>
      </w:r>
      <w:proofErr w:type="gramStart"/>
      <w:r>
        <w:rPr>
          <w:rFonts w:ascii="標楷體" w:eastAsia="標楷體" w:hAnsi="標楷體"/>
          <w:color w:val="000000"/>
        </w:rPr>
        <w:t>≧</w:t>
      </w:r>
      <w:proofErr w:type="gramEnd"/>
      <w:r>
        <w:rPr>
          <w:rFonts w:ascii="標楷體" w:eastAsia="標楷體" w:hAnsi="標楷體"/>
          <w:color w:val="000000"/>
        </w:rPr>
        <w:t>2.5%葡萄糖腹膜透析液。(108/8/1)</w:t>
      </w:r>
    </w:p>
    <w:p w14:paraId="049E7AF8"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(3)脫水衰竭病患及臨界脫水衰竭邊緣之病患，即病患下列情形之</w:t>
      </w:r>
      <w:proofErr w:type="gramStart"/>
      <w:r>
        <w:rPr>
          <w:rFonts w:ascii="標楷體" w:eastAsia="標楷體" w:hAnsi="標楷體"/>
          <w:color w:val="000000"/>
        </w:rPr>
        <w:t>一</w:t>
      </w:r>
      <w:proofErr w:type="gramEnd"/>
      <w:r>
        <w:rPr>
          <w:rFonts w:ascii="標楷體" w:eastAsia="標楷體" w:hAnsi="標楷體"/>
          <w:color w:val="000000"/>
        </w:rPr>
        <w:t>者：</w:t>
      </w:r>
    </w:p>
    <w:p w14:paraId="4EE03B8F" w14:textId="77777777" w:rsidR="002144EC" w:rsidRDefault="002144EC" w:rsidP="002144EC">
      <w:pPr>
        <w:spacing w:line="300" w:lineRule="exact"/>
        <w:ind w:left="797" w:firstLine="240"/>
        <w:rPr>
          <w:rFonts w:ascii="標楷體" w:eastAsia="標楷體" w:hAnsi="標楷體"/>
          <w:color w:val="000000"/>
        </w:rPr>
      </w:pPr>
      <w:r>
        <w:rPr>
          <w:rFonts w:ascii="標楷體" w:eastAsia="標楷體" w:hAnsi="標楷體"/>
          <w:color w:val="000000"/>
        </w:rPr>
        <w:t>I.使用4.25% 傳統式葡萄糖腹膜透析液4小時內脫水量小於等於400cc.者。</w:t>
      </w:r>
    </w:p>
    <w:p w14:paraId="0B59B106" w14:textId="77777777" w:rsidR="002144EC" w:rsidRDefault="002144EC" w:rsidP="002144EC">
      <w:pPr>
        <w:spacing w:line="300" w:lineRule="exact"/>
        <w:ind w:left="797" w:firstLine="240"/>
        <w:rPr>
          <w:rFonts w:ascii="標楷體" w:eastAsia="標楷體" w:hAnsi="標楷體"/>
          <w:color w:val="000000"/>
        </w:rPr>
      </w:pPr>
      <w:r>
        <w:rPr>
          <w:rFonts w:ascii="標楷體" w:eastAsia="標楷體" w:hAnsi="標楷體"/>
          <w:color w:val="000000"/>
        </w:rPr>
        <w:t>II.每天使用</w:t>
      </w:r>
      <w:proofErr w:type="gramStart"/>
      <w:r>
        <w:rPr>
          <w:rFonts w:ascii="標楷體" w:eastAsia="標楷體" w:hAnsi="標楷體"/>
          <w:color w:val="000000"/>
        </w:rPr>
        <w:t>總袋數</w:t>
      </w:r>
      <w:proofErr w:type="gramEnd"/>
      <w:r>
        <w:rPr>
          <w:rFonts w:ascii="標楷體" w:eastAsia="標楷體" w:hAnsi="標楷體"/>
          <w:color w:val="000000"/>
        </w:rPr>
        <w:t>1/2以上（含）2.5</w:t>
      </w:r>
      <w:proofErr w:type="gramStart"/>
      <w:r>
        <w:rPr>
          <w:rFonts w:ascii="標楷體" w:eastAsia="標楷體" w:hAnsi="標楷體"/>
          <w:color w:val="000000"/>
        </w:rPr>
        <w:t>﹪</w:t>
      </w:r>
      <w:proofErr w:type="gramEnd"/>
      <w:r>
        <w:rPr>
          <w:rFonts w:ascii="標楷體" w:eastAsia="標楷體" w:hAnsi="標楷體"/>
          <w:color w:val="000000"/>
        </w:rPr>
        <w:t>葡萄糖腹膜透析液。(108/8/1)</w:t>
      </w:r>
    </w:p>
    <w:p w14:paraId="0AE8DF04"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 xml:space="preserve">(4)HbA1c大於7.0 </w:t>
      </w:r>
      <w:proofErr w:type="gramStart"/>
      <w:r>
        <w:rPr>
          <w:rFonts w:ascii="標楷體" w:eastAsia="標楷體" w:hAnsi="標楷體"/>
          <w:color w:val="000000"/>
        </w:rPr>
        <w:t>﹪</w:t>
      </w:r>
      <w:proofErr w:type="gramEnd"/>
      <w:r>
        <w:rPr>
          <w:rFonts w:ascii="標楷體" w:eastAsia="標楷體" w:hAnsi="標楷體"/>
          <w:color w:val="000000"/>
        </w:rPr>
        <w:t>的糖尿病腹膜透析病患，用於每天長留置期。</w:t>
      </w:r>
    </w:p>
    <w:p w14:paraId="22C059E5"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(5)腹膜炎病患。</w:t>
      </w:r>
    </w:p>
    <w:p w14:paraId="48457DEF"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2.每天限用一袋。</w:t>
      </w:r>
    </w:p>
    <w:p w14:paraId="2CFD0833"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3.申報時，應檢附最近1個月內，殘餘尿量與每日脫水量之相關文件，以及使用</w:t>
      </w:r>
      <w:proofErr w:type="spellStart"/>
      <w:r>
        <w:rPr>
          <w:rFonts w:ascii="標楷體" w:eastAsia="標楷體" w:hAnsi="標楷體"/>
          <w:color w:val="000000"/>
        </w:rPr>
        <w:t>Extraneal</w:t>
      </w:r>
      <w:proofErr w:type="spellEnd"/>
      <w:r>
        <w:rPr>
          <w:rFonts w:ascii="標楷體" w:eastAsia="標楷體" w:hAnsi="標楷體"/>
          <w:color w:val="000000"/>
        </w:rPr>
        <w:t xml:space="preserve"> solution前，每日脫水量等相關資料，供審查參考。(99/9/1、108/8/1)</w:t>
      </w:r>
    </w:p>
    <w:p w14:paraId="02306638"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3.3.7.Sodium bicarbonate成分之口服製劑給付規定：(95/8/1、96/12/1)</w:t>
      </w:r>
    </w:p>
    <w:p w14:paraId="15CE3615"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限用於代謝性酸中毒。</w:t>
      </w:r>
    </w:p>
    <w:p w14:paraId="22FD7EE7"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3.3.8.Idursulfase(如</w:t>
      </w:r>
      <w:proofErr w:type="spellStart"/>
      <w:r>
        <w:rPr>
          <w:rFonts w:ascii="標楷體" w:eastAsia="標楷體" w:hAnsi="標楷體"/>
          <w:color w:val="000000"/>
        </w:rPr>
        <w:t>Elaprase</w:t>
      </w:r>
      <w:proofErr w:type="spellEnd"/>
      <w:r>
        <w:rPr>
          <w:rFonts w:ascii="標楷體" w:eastAsia="標楷體" w:hAnsi="標楷體"/>
          <w:color w:val="000000"/>
        </w:rPr>
        <w:t>)：(96/7/1、99/8/1、106/10/1)</w:t>
      </w:r>
    </w:p>
    <w:p w14:paraId="71FA2208"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1.病患須符合以下診斷條件：除了臨床表徵及尿液葡萄醣</w:t>
      </w:r>
      <w:proofErr w:type="gramStart"/>
      <w:r>
        <w:rPr>
          <w:rFonts w:ascii="標楷體" w:eastAsia="標楷體" w:hAnsi="標楷體"/>
          <w:color w:val="000000"/>
        </w:rPr>
        <w:t>胺聚醣</w:t>
      </w:r>
      <w:proofErr w:type="gramEnd"/>
      <w:r>
        <w:rPr>
          <w:rFonts w:ascii="標楷體" w:eastAsia="標楷體" w:hAnsi="標楷體"/>
          <w:color w:val="000000"/>
        </w:rPr>
        <w:t>定性、定量檢驗的佐證外，須證明患者</w:t>
      </w:r>
      <w:proofErr w:type="gramStart"/>
      <w:r>
        <w:rPr>
          <w:rFonts w:ascii="標楷體" w:eastAsia="標楷體" w:hAnsi="標楷體"/>
          <w:color w:val="000000"/>
        </w:rPr>
        <w:t>週</w:t>
      </w:r>
      <w:proofErr w:type="gramEnd"/>
      <w:r>
        <w:rPr>
          <w:rFonts w:ascii="標楷體" w:eastAsia="標楷體" w:hAnsi="標楷體"/>
          <w:color w:val="000000"/>
        </w:rPr>
        <w:t>邊血液白血球或血漿，或經培養之皮膚纖維</w:t>
      </w:r>
      <w:proofErr w:type="gramStart"/>
      <w:r>
        <w:rPr>
          <w:rFonts w:ascii="標楷體" w:eastAsia="標楷體" w:hAnsi="標楷體"/>
          <w:color w:val="000000"/>
        </w:rPr>
        <w:t>芽</w:t>
      </w:r>
      <w:proofErr w:type="gramEnd"/>
      <w:r>
        <w:rPr>
          <w:rFonts w:ascii="標楷體" w:eastAsia="標楷體" w:hAnsi="標楷體"/>
          <w:color w:val="000000"/>
        </w:rPr>
        <w:t>細胞的IDS 酵素活性缺乏，或者是患者位於X 染色體Xq27-28 位點上之IDS 基因經分子生物學檢驗確認有一處已知或必然會引起</w:t>
      </w:r>
      <w:proofErr w:type="gramStart"/>
      <w:r>
        <w:rPr>
          <w:rFonts w:ascii="標楷體" w:eastAsia="標楷體" w:hAnsi="標楷體"/>
          <w:color w:val="000000"/>
        </w:rPr>
        <w:t>黏</w:t>
      </w:r>
      <w:proofErr w:type="gramEnd"/>
      <w:r>
        <w:rPr>
          <w:rFonts w:ascii="標楷體" w:eastAsia="標楷體" w:hAnsi="標楷體"/>
          <w:color w:val="000000"/>
        </w:rPr>
        <w:t>多醣第Ⅱ型（</w:t>
      </w:r>
      <w:proofErr w:type="spellStart"/>
      <w:r>
        <w:rPr>
          <w:rFonts w:ascii="標楷體" w:eastAsia="標楷體" w:hAnsi="標楷體"/>
          <w:color w:val="000000"/>
        </w:rPr>
        <w:t>MPSⅡ</w:t>
      </w:r>
      <w:proofErr w:type="spellEnd"/>
      <w:r>
        <w:rPr>
          <w:rFonts w:ascii="標楷體" w:eastAsia="標楷體" w:hAnsi="標楷體"/>
          <w:color w:val="000000"/>
        </w:rPr>
        <w:t>）之突變。(106/10/1)</w:t>
      </w:r>
    </w:p>
    <w:p w14:paraId="23F87D00"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2.限兒科專科經醫學遺傳學次專科訓練取得證書之醫師使用。(106/10/1)</w:t>
      </w:r>
    </w:p>
    <w:p w14:paraId="0EE038A7"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3.排除使用於：(106/10/1)</w:t>
      </w:r>
    </w:p>
    <w:p w14:paraId="4AEA155E"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(1)因</w:t>
      </w:r>
      <w:proofErr w:type="spellStart"/>
      <w:r>
        <w:rPr>
          <w:rFonts w:ascii="標楷體" w:eastAsia="標楷體" w:hAnsi="標楷體"/>
          <w:color w:val="000000"/>
        </w:rPr>
        <w:t>idursulfase</w:t>
      </w:r>
      <w:proofErr w:type="spellEnd"/>
      <w:r>
        <w:rPr>
          <w:rFonts w:ascii="標楷體" w:eastAsia="標楷體" w:hAnsi="標楷體"/>
          <w:color w:val="000000"/>
        </w:rPr>
        <w:t>無法</w:t>
      </w:r>
      <w:proofErr w:type="gramStart"/>
      <w:r>
        <w:rPr>
          <w:rFonts w:ascii="標楷體" w:eastAsia="標楷體" w:hAnsi="標楷體"/>
          <w:color w:val="000000"/>
        </w:rPr>
        <w:t>通過血腦屏障</w:t>
      </w:r>
      <w:proofErr w:type="gramEnd"/>
      <w:r>
        <w:rPr>
          <w:rFonts w:ascii="標楷體" w:eastAsia="標楷體" w:hAnsi="標楷體"/>
          <w:color w:val="000000"/>
        </w:rPr>
        <w:t>(blood-brain barrier)，靜脈注射</w:t>
      </w:r>
      <w:proofErr w:type="spellStart"/>
      <w:r>
        <w:rPr>
          <w:rFonts w:ascii="標楷體" w:eastAsia="標楷體" w:hAnsi="標楷體"/>
          <w:color w:val="000000"/>
        </w:rPr>
        <w:t>idursulfas</w:t>
      </w:r>
      <w:proofErr w:type="spellEnd"/>
      <w:r>
        <w:rPr>
          <w:rFonts w:ascii="標楷體" w:eastAsia="標楷體" w:hAnsi="標楷體"/>
          <w:color w:val="000000"/>
        </w:rPr>
        <w:t>無法有效治療</w:t>
      </w:r>
      <w:proofErr w:type="spellStart"/>
      <w:r>
        <w:rPr>
          <w:rFonts w:ascii="標楷體" w:eastAsia="標楷體" w:hAnsi="標楷體"/>
          <w:color w:val="000000"/>
        </w:rPr>
        <w:t>MPSⅡA</w:t>
      </w:r>
      <w:proofErr w:type="spellEnd"/>
      <w:r>
        <w:rPr>
          <w:rFonts w:ascii="標楷體" w:eastAsia="標楷體" w:hAnsi="標楷體"/>
          <w:color w:val="000000"/>
        </w:rPr>
        <w:t>，若有明顯中樞神經症狀且持續惡化，應不予治療。</w:t>
      </w:r>
    </w:p>
    <w:p w14:paraId="1142818E"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(2)未經治療之患者沒有任何會影響健康之症狀時。</w:t>
      </w:r>
    </w:p>
    <w:p w14:paraId="3F70E639"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(3)重型病患：完全臥床且無行動能力，或是無法自行呼吸且完全仰賴呼吸器維生者。</w:t>
      </w:r>
    </w:p>
    <w:p w14:paraId="693CF70A"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黏</w:t>
      </w:r>
      <w:proofErr w:type="gramEnd"/>
      <w:r>
        <w:rPr>
          <w:rFonts w:ascii="標楷體" w:eastAsia="標楷體" w:hAnsi="標楷體"/>
          <w:color w:val="000000"/>
        </w:rPr>
        <w:t>多醣症第二型患者之器官傷害多屬不可逆性，治療前應與患者及家屬充分溝通告</w:t>
      </w:r>
      <w:r>
        <w:rPr>
          <w:rFonts w:ascii="標楷體" w:eastAsia="標楷體" w:hAnsi="標楷體"/>
          <w:color w:val="000000"/>
        </w:rPr>
        <w:lastRenderedPageBreak/>
        <w:t>知下列事項，並請其簽名確認已被告知，留存病歷備查：(106/10/1)</w:t>
      </w:r>
    </w:p>
    <w:p w14:paraId="62DE2EC5"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(1)確定其了解治療的預期效果。</w:t>
      </w:r>
    </w:p>
    <w:p w14:paraId="00B52A3D"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 xml:space="preserve">(2)患者有義務接受定期追蹤評估，在中樞神經症狀明顯退化情況下，主治醫師在向患者及家屬清楚解釋後，適時停止 </w:t>
      </w:r>
      <w:proofErr w:type="spellStart"/>
      <w:r>
        <w:rPr>
          <w:rFonts w:ascii="標楷體" w:eastAsia="標楷體" w:hAnsi="標楷體"/>
          <w:color w:val="000000"/>
        </w:rPr>
        <w:t>idursulfase</w:t>
      </w:r>
      <w:proofErr w:type="spellEnd"/>
      <w:r>
        <w:rPr>
          <w:rFonts w:ascii="標楷體" w:eastAsia="標楷體" w:hAnsi="標楷體"/>
          <w:color w:val="000000"/>
        </w:rPr>
        <w:t xml:space="preserve"> 之治療。</w:t>
      </w:r>
    </w:p>
    <w:p w14:paraId="41222480"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5.應定期追蹤評估治療效果及下列事項：(106/10/1)</w:t>
      </w:r>
    </w:p>
    <w:p w14:paraId="55DF2122"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(1)至少每半年追蹤一次：</w:t>
      </w:r>
    </w:p>
    <w:p w14:paraId="6C070A76"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 身高體重；</w:t>
      </w:r>
    </w:p>
    <w:p w14:paraId="65294D65"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II.尿液</w:t>
      </w:r>
      <w:proofErr w:type="gramStart"/>
      <w:r>
        <w:rPr>
          <w:rFonts w:ascii="標楷體" w:eastAsia="標楷體" w:hAnsi="標楷體"/>
          <w:color w:val="000000"/>
        </w:rPr>
        <w:t>黏多醣量</w:t>
      </w:r>
      <w:proofErr w:type="gramEnd"/>
      <w:r>
        <w:rPr>
          <w:rFonts w:ascii="標楷體" w:eastAsia="標楷體" w:hAnsi="標楷體"/>
          <w:color w:val="000000"/>
        </w:rPr>
        <w:t>；</w:t>
      </w:r>
    </w:p>
    <w:p w14:paraId="7C8B17B2"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III.依Hunter Outcome Survey (HOS) Registry所建議之評估事項評估。</w:t>
      </w:r>
    </w:p>
    <w:p w14:paraId="7F18F91A"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(2)至少每一年追蹤一次：</w:t>
      </w:r>
    </w:p>
    <w:p w14:paraId="7C195AF2"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I.腹部超音波、肝臟大小、脾臟大小；</w:t>
      </w:r>
    </w:p>
    <w:p w14:paraId="73C2E388"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II.心電圖；</w:t>
      </w:r>
    </w:p>
    <w:p w14:paraId="169FCEB9"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III.心臟超音波</w:t>
      </w:r>
    </w:p>
    <w:p w14:paraId="0BCA3B7E"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IV.六分鐘步行測驗（6-minute walk test）或於5 歲以下幼童以DDST（Denver Developmental Screening Test）粗動作及精細動作（Gross Motor and Fine Motor）檢測；</w:t>
      </w:r>
    </w:p>
    <w:p w14:paraId="685911A9"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V.肺功能；</w:t>
      </w:r>
    </w:p>
    <w:p w14:paraId="3C0765C6"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VI.藥物抗體</w:t>
      </w:r>
    </w:p>
    <w:p w14:paraId="02D82D8E"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6.需經事前審查核准後使用，每次申請之療程以1年為限。重新申請時，若有下列任</w:t>
      </w:r>
      <w:proofErr w:type="gramStart"/>
      <w:r>
        <w:rPr>
          <w:rFonts w:ascii="標楷體" w:eastAsia="標楷體" w:hAnsi="標楷體"/>
          <w:color w:val="000000"/>
        </w:rPr>
        <w:t>一</w:t>
      </w:r>
      <w:proofErr w:type="gramEnd"/>
      <w:r>
        <w:rPr>
          <w:rFonts w:ascii="標楷體" w:eastAsia="標楷體" w:hAnsi="標楷體"/>
          <w:color w:val="000000"/>
        </w:rPr>
        <w:t>情況，則不再給予</w:t>
      </w:r>
      <w:proofErr w:type="spellStart"/>
      <w:r>
        <w:rPr>
          <w:rFonts w:ascii="標楷體" w:eastAsia="標楷體" w:hAnsi="標楷體"/>
          <w:color w:val="000000"/>
        </w:rPr>
        <w:t>idursulfase</w:t>
      </w:r>
      <w:proofErr w:type="spellEnd"/>
      <w:r>
        <w:rPr>
          <w:rFonts w:ascii="標楷體" w:eastAsia="標楷體" w:hAnsi="標楷體"/>
          <w:color w:val="000000"/>
        </w:rPr>
        <w:t>治療：(106/10/1)</w:t>
      </w:r>
    </w:p>
    <w:p w14:paraId="3A586525"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(1)尿中葡萄</w:t>
      </w:r>
      <w:proofErr w:type="gramStart"/>
      <w:r>
        <w:rPr>
          <w:rFonts w:ascii="標楷體" w:eastAsia="標楷體" w:hAnsi="標楷體"/>
          <w:color w:val="000000"/>
        </w:rPr>
        <w:t>胺聚醣與</w:t>
      </w:r>
      <w:proofErr w:type="gramEnd"/>
      <w:r>
        <w:rPr>
          <w:rFonts w:ascii="標楷體" w:eastAsia="標楷體" w:hAnsi="標楷體"/>
          <w:color w:val="000000"/>
        </w:rPr>
        <w:t>肌酸酐比值：於接受治療的第一年之後評估，較前一年有50%以上的增加；第二年之後評估，較之前一年有100%以上的增加。。</w:t>
      </w:r>
    </w:p>
    <w:p w14:paraId="6C2D1DFF"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(2)六分鐘步行測驗：較之前一年退步50%以上或連續2 年有退步現象；5 歲以下幼童以DDST 粗動作及精細動作檢測，發展進程年齡與實際年齡商數低於60%，或比初次檢測時之發展進程年齡退步。</w:t>
      </w:r>
    </w:p>
    <w:p w14:paraId="19E4C383"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(3)呼吸功能檢查：血液中氧氣飽和度在2 小時內無法持續維持1 小時以上</w:t>
      </w:r>
      <w:proofErr w:type="gramStart"/>
      <w:r>
        <w:rPr>
          <w:rFonts w:ascii="標楷體" w:eastAsia="標楷體" w:hAnsi="標楷體"/>
          <w:color w:val="000000"/>
        </w:rPr>
        <w:t>≧</w:t>
      </w:r>
      <w:proofErr w:type="gramEnd"/>
      <w:r>
        <w:rPr>
          <w:rFonts w:ascii="標楷體" w:eastAsia="標楷體" w:hAnsi="標楷體"/>
          <w:color w:val="000000"/>
        </w:rPr>
        <w:t>90%。</w:t>
      </w:r>
    </w:p>
    <w:p w14:paraId="782D4670"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(4)病人有認知功能退化，或有明顯中樞神經系統退化之臨床表徵。</w:t>
      </w:r>
    </w:p>
    <w:p w14:paraId="7BF42C52"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7.須立即停止</w:t>
      </w:r>
      <w:proofErr w:type="spellStart"/>
      <w:r>
        <w:rPr>
          <w:rFonts w:ascii="標楷體" w:eastAsia="標楷體" w:hAnsi="標楷體"/>
          <w:color w:val="000000"/>
        </w:rPr>
        <w:t>idusulfase</w:t>
      </w:r>
      <w:proofErr w:type="spellEnd"/>
      <w:r>
        <w:rPr>
          <w:rFonts w:ascii="標楷體" w:eastAsia="標楷體" w:hAnsi="標楷體"/>
          <w:color w:val="000000"/>
        </w:rPr>
        <w:t xml:space="preserve"> 治療的情形：(106/10/1)</w:t>
      </w:r>
    </w:p>
    <w:p w14:paraId="61554CE2"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(1)有證據顯示病人開始呈現明顯的中樞神經系統退化之臨床表徵。</w:t>
      </w:r>
    </w:p>
    <w:p w14:paraId="20736720"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(2)病人在接受治療時發生其它致命的疾病，這表示病人無法獲得</w:t>
      </w:r>
      <w:proofErr w:type="spellStart"/>
      <w:r>
        <w:rPr>
          <w:rFonts w:ascii="標楷體" w:eastAsia="標楷體" w:hAnsi="標楷體"/>
          <w:color w:val="000000"/>
        </w:rPr>
        <w:t>idursulfase</w:t>
      </w:r>
      <w:proofErr w:type="spellEnd"/>
      <w:r>
        <w:rPr>
          <w:rFonts w:ascii="標楷體" w:eastAsia="標楷體" w:hAnsi="標楷體"/>
          <w:color w:val="000000"/>
        </w:rPr>
        <w:t>的療效。</w:t>
      </w:r>
    </w:p>
    <w:p w14:paraId="0647F51E"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(3)病人發生嚴重不良反應。</w:t>
      </w:r>
    </w:p>
    <w:p w14:paraId="1193461C"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(4)病人無法配合</w:t>
      </w:r>
      <w:proofErr w:type="gramStart"/>
      <w:r>
        <w:rPr>
          <w:rFonts w:ascii="標楷體" w:eastAsia="標楷體" w:hAnsi="標楷體"/>
          <w:color w:val="000000"/>
        </w:rPr>
        <w:t>最</w:t>
      </w:r>
      <w:proofErr w:type="gramEnd"/>
      <w:r>
        <w:rPr>
          <w:rFonts w:ascii="標楷體" w:eastAsia="標楷體" w:hAnsi="標楷體"/>
          <w:color w:val="000000"/>
        </w:rPr>
        <w:t>適療程所需的注射規定或無法配合療效的評估。</w:t>
      </w:r>
    </w:p>
    <w:p w14:paraId="59F55B37" w14:textId="77777777" w:rsidR="002144EC" w:rsidRDefault="002144EC" w:rsidP="002144EC">
      <w:pPr>
        <w:spacing w:line="300" w:lineRule="exact"/>
        <w:ind w:left="567" w:hanging="245"/>
        <w:rPr>
          <w:rFonts w:ascii="標楷體" w:eastAsia="標楷體" w:hAnsi="標楷體"/>
          <w:color w:val="000000"/>
        </w:rPr>
      </w:pPr>
      <w:r>
        <w:rPr>
          <w:rFonts w:ascii="標楷體" w:eastAsia="標楷體" w:hAnsi="標楷體"/>
          <w:color w:val="000000"/>
        </w:rPr>
        <w:t>3.3.9.Imiglucerase(如Cerezyme inj.</w:t>
      </w:r>
      <w:proofErr w:type="gramStart"/>
      <w:r>
        <w:rPr>
          <w:rFonts w:ascii="標楷體" w:eastAsia="標楷體" w:hAnsi="標楷體"/>
          <w:color w:val="000000"/>
        </w:rPr>
        <w:t>)、</w:t>
      </w:r>
      <w:proofErr w:type="spellStart"/>
      <w:proofErr w:type="gramEnd"/>
      <w:r>
        <w:rPr>
          <w:rFonts w:ascii="標楷體" w:eastAsia="標楷體" w:hAnsi="標楷體"/>
          <w:color w:val="000000"/>
        </w:rPr>
        <w:t>taliglucerase</w:t>
      </w:r>
      <w:proofErr w:type="spellEnd"/>
      <w:r>
        <w:rPr>
          <w:rFonts w:ascii="標楷體" w:eastAsia="標楷體" w:hAnsi="標楷體"/>
          <w:color w:val="000000"/>
        </w:rPr>
        <w:t xml:space="preserve"> alfa(如</w:t>
      </w:r>
      <w:proofErr w:type="spellStart"/>
      <w:r>
        <w:rPr>
          <w:rFonts w:ascii="標楷體" w:eastAsia="標楷體" w:hAnsi="標楷體"/>
          <w:color w:val="000000"/>
        </w:rPr>
        <w:t>Elelyso</w:t>
      </w:r>
      <w:proofErr w:type="spellEnd"/>
      <w:r>
        <w:rPr>
          <w:rFonts w:ascii="標楷體" w:eastAsia="標楷體" w:hAnsi="標楷體"/>
          <w:color w:val="000000"/>
        </w:rPr>
        <w:t>注射劑)、</w:t>
      </w:r>
      <w:proofErr w:type="spellStart"/>
      <w:r>
        <w:rPr>
          <w:rFonts w:ascii="標楷體" w:eastAsia="標楷體" w:hAnsi="標楷體"/>
          <w:color w:val="000000"/>
        </w:rPr>
        <w:t>velaglucerase</w:t>
      </w:r>
      <w:proofErr w:type="spellEnd"/>
      <w:r>
        <w:rPr>
          <w:rFonts w:ascii="標楷體" w:eastAsia="標楷體" w:hAnsi="標楷體"/>
          <w:color w:val="000000"/>
        </w:rPr>
        <w:t xml:space="preserve"> alfa(如VPRIV凍晶注射劑)（97/7/1、107/3/1、107/9/1、108/5/1、111/5/1）</w:t>
      </w:r>
    </w:p>
    <w:p w14:paraId="34B92BEA"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1.限用於下列條件，且排除第二型</w:t>
      </w:r>
      <w:proofErr w:type="gramStart"/>
      <w:r>
        <w:rPr>
          <w:rFonts w:ascii="標楷體" w:eastAsia="標楷體" w:hAnsi="標楷體"/>
          <w:color w:val="000000"/>
        </w:rPr>
        <w:t>高雪氏</w:t>
      </w:r>
      <w:proofErr w:type="gramEnd"/>
      <w:r>
        <w:rPr>
          <w:rFonts w:ascii="標楷體" w:eastAsia="標楷體" w:hAnsi="標楷體"/>
          <w:color w:val="000000"/>
        </w:rPr>
        <w:t>症：(111/5/1</w:t>
      </w:r>
      <w:proofErr w:type="gramStart"/>
      <w:r>
        <w:rPr>
          <w:rFonts w:ascii="標楷體" w:eastAsia="標楷體" w:hAnsi="標楷體"/>
          <w:color w:val="000000"/>
        </w:rPr>
        <w:t>）</w:t>
      </w:r>
      <w:proofErr w:type="gramEnd"/>
    </w:p>
    <w:p w14:paraId="3ED68F2B"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Imiglucerase</w:t>
      </w:r>
      <w:proofErr w:type="spellEnd"/>
      <w:r>
        <w:rPr>
          <w:rFonts w:ascii="標楷體" w:eastAsia="標楷體" w:hAnsi="標楷體"/>
          <w:color w:val="000000"/>
        </w:rPr>
        <w:t>(如Cerezyme inj.</w:t>
      </w:r>
      <w:proofErr w:type="gramStart"/>
      <w:r>
        <w:rPr>
          <w:rFonts w:ascii="標楷體" w:eastAsia="標楷體" w:hAnsi="標楷體"/>
          <w:color w:val="000000"/>
        </w:rPr>
        <w:t>)、</w:t>
      </w:r>
      <w:proofErr w:type="spellStart"/>
      <w:proofErr w:type="gramEnd"/>
      <w:r>
        <w:rPr>
          <w:rFonts w:ascii="標楷體" w:eastAsia="標楷體" w:hAnsi="標楷體"/>
          <w:color w:val="000000"/>
        </w:rPr>
        <w:t>taliglucerase</w:t>
      </w:r>
      <w:proofErr w:type="spellEnd"/>
      <w:r>
        <w:rPr>
          <w:rFonts w:ascii="標楷體" w:eastAsia="標楷體" w:hAnsi="標楷體"/>
          <w:color w:val="000000"/>
        </w:rPr>
        <w:t xml:space="preserve"> alfa(如</w:t>
      </w:r>
      <w:proofErr w:type="spellStart"/>
      <w:r>
        <w:rPr>
          <w:rFonts w:ascii="標楷體" w:eastAsia="標楷體" w:hAnsi="標楷體"/>
          <w:color w:val="000000"/>
        </w:rPr>
        <w:t>Elelyso</w:t>
      </w:r>
      <w:proofErr w:type="spellEnd"/>
      <w:r>
        <w:rPr>
          <w:rFonts w:ascii="標楷體" w:eastAsia="標楷體" w:hAnsi="標楷體"/>
          <w:color w:val="000000"/>
        </w:rPr>
        <w:t>注射劑)：改善高雪氏症症狀，包括貧血、血小板減少症、肝臟或脾臟腫大、骨病變，但對於神經學症狀無效。（97/7/1、107/3/1、107/9/1、108/5/1、111/5/1）</w:t>
      </w:r>
    </w:p>
    <w:p w14:paraId="483F3252"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Velaglucerase</w:t>
      </w:r>
      <w:proofErr w:type="spellEnd"/>
      <w:r>
        <w:rPr>
          <w:rFonts w:ascii="標楷體" w:eastAsia="標楷體" w:hAnsi="標楷體"/>
          <w:color w:val="000000"/>
        </w:rPr>
        <w:t xml:space="preserve"> alfa(如VPRIV</w:t>
      </w:r>
      <w:proofErr w:type="gramStart"/>
      <w:r>
        <w:rPr>
          <w:rFonts w:ascii="標楷體" w:eastAsia="標楷體" w:hAnsi="標楷體"/>
          <w:color w:val="000000"/>
        </w:rPr>
        <w:t>凍晶注射</w:t>
      </w:r>
      <w:proofErr w:type="gramEnd"/>
      <w:r>
        <w:rPr>
          <w:rFonts w:ascii="標楷體" w:eastAsia="標楷體" w:hAnsi="標楷體"/>
          <w:color w:val="000000"/>
        </w:rPr>
        <w:t>劑)：限用於改善第一型</w:t>
      </w:r>
      <w:proofErr w:type="gramStart"/>
      <w:r>
        <w:rPr>
          <w:rFonts w:ascii="標楷體" w:eastAsia="標楷體" w:hAnsi="標楷體"/>
          <w:color w:val="000000"/>
        </w:rPr>
        <w:t>高雪氏</w:t>
      </w:r>
      <w:proofErr w:type="gramEnd"/>
      <w:r>
        <w:rPr>
          <w:rFonts w:ascii="標楷體" w:eastAsia="標楷體" w:hAnsi="標楷體"/>
          <w:color w:val="000000"/>
        </w:rPr>
        <w:t>症症狀，包括貧血、血小板減少症、肝臟或脾臟腫大、骨病變，但對於神經學症狀無效。(107/3/1、107/9/1、108/5/1、111/5/1)</w:t>
      </w:r>
    </w:p>
    <w:p w14:paraId="3B7A5B7E"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2.限擇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高雪氏</w:t>
      </w:r>
      <w:proofErr w:type="gramEnd"/>
      <w:r>
        <w:rPr>
          <w:rFonts w:ascii="標楷體" w:eastAsia="標楷體" w:hAnsi="標楷體"/>
          <w:color w:val="000000"/>
        </w:rPr>
        <w:t>症酵素療法之藥品。(111/5/1</w:t>
      </w:r>
      <w:proofErr w:type="gramStart"/>
      <w:r>
        <w:rPr>
          <w:rFonts w:ascii="標楷體" w:eastAsia="標楷體" w:hAnsi="標楷體"/>
          <w:color w:val="000000"/>
        </w:rPr>
        <w:t>）</w:t>
      </w:r>
      <w:proofErr w:type="gramEnd"/>
    </w:p>
    <w:p w14:paraId="6014B33C"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3.需經事前審查核准後使用，每次申請療程以1年為限，期滿需經再次申請核准後，始得續用，申請續用時，需檢附療效評估資料，追蹤檢查項目如下：(111/5/1</w:t>
      </w:r>
      <w:proofErr w:type="gramStart"/>
      <w:r>
        <w:rPr>
          <w:rFonts w:ascii="標楷體" w:eastAsia="標楷體" w:hAnsi="標楷體"/>
          <w:color w:val="000000"/>
        </w:rPr>
        <w:t>）</w:t>
      </w:r>
      <w:proofErr w:type="gramEnd"/>
    </w:p>
    <w:p w14:paraId="152CE30F"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(1)每6個月應評估1次：</w:t>
      </w:r>
    </w:p>
    <w:p w14:paraId="760F7D41" w14:textId="77777777" w:rsidR="002144EC" w:rsidRDefault="002144EC" w:rsidP="002144EC">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Ⅰ.身高體重。</w:t>
      </w:r>
    </w:p>
    <w:p w14:paraId="4B451967" w14:textId="77777777" w:rsidR="002144EC" w:rsidRDefault="002144EC" w:rsidP="002144EC">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lastRenderedPageBreak/>
        <w:t>Ⅱ.血紅素及血小板數。</w:t>
      </w:r>
    </w:p>
    <w:p w14:paraId="34EC68BF" w14:textId="77777777" w:rsidR="002144EC" w:rsidRDefault="002144EC" w:rsidP="002144EC">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Ⅲ.血液磷酸酶(Alkaline phosphatase)。</w:t>
      </w:r>
    </w:p>
    <w:p w14:paraId="6C7B498A" w14:textId="77777777" w:rsidR="002144EC" w:rsidRDefault="002144EC" w:rsidP="002144EC">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高雪氏</w:t>
      </w:r>
      <w:proofErr w:type="gramEnd"/>
      <w:r>
        <w:rPr>
          <w:rFonts w:ascii="標楷體" w:eastAsia="標楷體" w:hAnsi="標楷體"/>
          <w:color w:val="000000"/>
        </w:rPr>
        <w:t>症相關特異性生化指標biomarkers(如chitotriosidase或lysoGL1)。</w:t>
      </w:r>
    </w:p>
    <w:p w14:paraId="50C13163" w14:textId="77777777" w:rsidR="002144EC" w:rsidRDefault="002144EC" w:rsidP="002144EC">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Ⅴ.整體狀況。</w:t>
      </w:r>
    </w:p>
    <w:p w14:paraId="1E907F5B"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(2)每年應評估1次：肝臟及脾臟大小。</w:t>
      </w:r>
    </w:p>
    <w:p w14:paraId="2872781D"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4.治療目標：(111/5/1</w:t>
      </w:r>
      <w:proofErr w:type="gramStart"/>
      <w:r>
        <w:rPr>
          <w:rFonts w:ascii="標楷體" w:eastAsia="標楷體" w:hAnsi="標楷體"/>
          <w:color w:val="000000"/>
        </w:rPr>
        <w:t>）</w:t>
      </w:r>
      <w:proofErr w:type="gramEnd"/>
    </w:p>
    <w:p w14:paraId="4A76B0E6"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(1)血紅素及血小板數上升或穩定(不低於未治療的數值)。</w:t>
      </w:r>
    </w:p>
    <w:p w14:paraId="466D4284"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高雪氏</w:t>
      </w:r>
      <w:proofErr w:type="gramEnd"/>
      <w:r>
        <w:rPr>
          <w:rFonts w:ascii="標楷體" w:eastAsia="標楷體" w:hAnsi="標楷體"/>
          <w:color w:val="000000"/>
        </w:rPr>
        <w:t>症相關特異性生化指標biomarkers(如chitotriosidase或lysoGL1)數值持續降低或穩定(不高於未治療的數值)。</w:t>
      </w:r>
    </w:p>
    <w:p w14:paraId="689DAF6C"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(3)肝、脾腫大之現象改善或穩定(不大於未治療的數值)。</w:t>
      </w:r>
    </w:p>
    <w:p w14:paraId="045FAA8A"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5.停用條件：有下列任</w:t>
      </w:r>
      <w:proofErr w:type="gramStart"/>
      <w:r>
        <w:rPr>
          <w:rFonts w:ascii="標楷體" w:eastAsia="標楷體" w:hAnsi="標楷體"/>
          <w:color w:val="000000"/>
        </w:rPr>
        <w:t>一</w:t>
      </w:r>
      <w:proofErr w:type="gramEnd"/>
      <w:r>
        <w:rPr>
          <w:rFonts w:ascii="標楷體" w:eastAsia="標楷體" w:hAnsi="標楷體"/>
          <w:color w:val="000000"/>
        </w:rPr>
        <w:t>項者：(111/5/1</w:t>
      </w:r>
      <w:proofErr w:type="gramStart"/>
      <w:r>
        <w:rPr>
          <w:rFonts w:ascii="標楷體" w:eastAsia="標楷體" w:hAnsi="標楷體"/>
          <w:color w:val="000000"/>
        </w:rPr>
        <w:t>）</w:t>
      </w:r>
      <w:proofErr w:type="gramEnd"/>
    </w:p>
    <w:p w14:paraId="651E1D9D"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(1)病人在接受治療時發生其它致命的疾病。</w:t>
      </w:r>
    </w:p>
    <w:p w14:paraId="4F62F3B0"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(2)病人整體狀況持續惡化。</w:t>
      </w:r>
    </w:p>
    <w:p w14:paraId="222B971B"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(3)病人因藥物注射發生嚴重不良反應，且經由適當或預防性的用藥和/或</w:t>
      </w:r>
      <w:proofErr w:type="gramStart"/>
      <w:r>
        <w:rPr>
          <w:rFonts w:ascii="標楷體" w:eastAsia="標楷體" w:hAnsi="標楷體"/>
          <w:color w:val="000000"/>
        </w:rPr>
        <w:t>調整輸注速度</w:t>
      </w:r>
      <w:proofErr w:type="gramEnd"/>
      <w:r>
        <w:rPr>
          <w:rFonts w:ascii="標楷體" w:eastAsia="標楷體" w:hAnsi="標楷體"/>
          <w:color w:val="000000"/>
        </w:rPr>
        <w:t>仍無法預防/控制此不良反應。</w:t>
      </w:r>
    </w:p>
    <w:p w14:paraId="7D50BD6C" w14:textId="77777777" w:rsidR="002144EC" w:rsidRDefault="002144EC" w:rsidP="002144EC">
      <w:pPr>
        <w:spacing w:line="300" w:lineRule="exact"/>
        <w:ind w:left="993" w:hanging="245"/>
        <w:rPr>
          <w:rFonts w:ascii="標楷體" w:eastAsia="標楷體" w:hAnsi="標楷體"/>
          <w:color w:val="000000"/>
        </w:rPr>
      </w:pPr>
      <w:r>
        <w:rPr>
          <w:rFonts w:ascii="標楷體" w:eastAsia="標楷體" w:hAnsi="標楷體"/>
          <w:color w:val="000000"/>
        </w:rPr>
        <w:t>(4)病人無法配合療程規範規則用藥、或無法配合每年至少1次之療效評估。</w:t>
      </w:r>
    </w:p>
    <w:p w14:paraId="1D7FD78A"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3.3.10.Laronidase (如</w:t>
      </w:r>
      <w:proofErr w:type="spellStart"/>
      <w:r>
        <w:rPr>
          <w:rFonts w:ascii="標楷體" w:eastAsia="標楷體" w:hAnsi="標楷體"/>
          <w:color w:val="000000"/>
        </w:rPr>
        <w:t>Aldurazyme</w:t>
      </w:r>
      <w:proofErr w:type="spellEnd"/>
      <w:r>
        <w:rPr>
          <w:rFonts w:ascii="標楷體" w:eastAsia="標楷體" w:hAnsi="標楷體"/>
          <w:color w:val="000000"/>
        </w:rPr>
        <w:t>)：(97/7/1、106/10/1)</w:t>
      </w:r>
    </w:p>
    <w:p w14:paraId="4C7C93FC"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1.限下列病例使用：</w:t>
      </w:r>
    </w:p>
    <w:p w14:paraId="624615FE"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黏</w:t>
      </w:r>
      <w:proofErr w:type="gramEnd"/>
      <w:r>
        <w:rPr>
          <w:rFonts w:ascii="標楷體" w:eastAsia="標楷體" w:hAnsi="標楷體"/>
          <w:color w:val="000000"/>
        </w:rPr>
        <w:t>多醣症</w:t>
      </w:r>
      <w:proofErr w:type="gramStart"/>
      <w:r>
        <w:rPr>
          <w:rFonts w:ascii="標楷體" w:eastAsia="標楷體" w:hAnsi="標楷體"/>
          <w:color w:val="000000"/>
        </w:rPr>
        <w:t>第一型賀勒</w:t>
      </w:r>
      <w:proofErr w:type="gramEnd"/>
      <w:r>
        <w:rPr>
          <w:rFonts w:ascii="標楷體" w:eastAsia="標楷體" w:hAnsi="標楷體"/>
          <w:color w:val="000000"/>
        </w:rPr>
        <w:t>-施艾氏症患者。</w:t>
      </w:r>
    </w:p>
    <w:p w14:paraId="35C69D3F"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黏</w:t>
      </w:r>
      <w:proofErr w:type="gramEnd"/>
      <w:r>
        <w:rPr>
          <w:rFonts w:ascii="標楷體" w:eastAsia="標楷體" w:hAnsi="標楷體"/>
          <w:color w:val="000000"/>
        </w:rPr>
        <w:t>多醣症第一型中度至重度之施艾氏症患者。</w:t>
      </w:r>
    </w:p>
    <w:p w14:paraId="1F8B49EA"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黏</w:t>
      </w:r>
      <w:proofErr w:type="gramEnd"/>
      <w:r>
        <w:rPr>
          <w:rFonts w:ascii="標楷體" w:eastAsia="標楷體" w:hAnsi="標楷體"/>
          <w:color w:val="000000"/>
        </w:rPr>
        <w:t>多醣症</w:t>
      </w:r>
      <w:proofErr w:type="gramStart"/>
      <w:r>
        <w:rPr>
          <w:rFonts w:ascii="標楷體" w:eastAsia="標楷體" w:hAnsi="標楷體"/>
          <w:color w:val="000000"/>
        </w:rPr>
        <w:t>第一型賀勒</w:t>
      </w:r>
      <w:proofErr w:type="gramEnd"/>
      <w:r>
        <w:rPr>
          <w:rFonts w:ascii="標楷體" w:eastAsia="標楷體" w:hAnsi="標楷體"/>
          <w:color w:val="000000"/>
        </w:rPr>
        <w:t>氏症進行造血幹細胞移植或手術前後。</w:t>
      </w:r>
    </w:p>
    <w:p w14:paraId="3D9F492F" w14:textId="77777777" w:rsidR="002144EC" w:rsidRDefault="002144EC" w:rsidP="002144EC">
      <w:pPr>
        <w:spacing w:line="300" w:lineRule="exact"/>
        <w:ind w:left="991" w:hanging="341"/>
        <w:rPr>
          <w:rFonts w:ascii="標楷體" w:eastAsia="標楷體" w:hAnsi="標楷體"/>
          <w:color w:val="000000"/>
        </w:rPr>
      </w:pPr>
      <w:r>
        <w:rPr>
          <w:rFonts w:ascii="標楷體" w:eastAsia="標楷體" w:hAnsi="標楷體"/>
          <w:color w:val="000000"/>
        </w:rPr>
        <w:t>備註：針對早期診斷帶有文獻報告已知的嚴重型突變點的病人，應持續追蹤其臨床症狀，若在兩歲以前出現明顯症狀 (疝氣或呼吸道阻塞等，建議儘速進行造血幹細胞移植，如為未知但預測為嚴重型突變的病人，比照處理。</w:t>
      </w:r>
    </w:p>
    <w:p w14:paraId="22C76C3D"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2.限兒科專科經醫學遺傳學次專科訓練取得證書之醫師使用。</w:t>
      </w:r>
    </w:p>
    <w:p w14:paraId="579023AB"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3.排除使用於：</w:t>
      </w:r>
    </w:p>
    <w:p w14:paraId="4FB54A36"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(1)未經治療之患者沒有任何會影響健康之症狀時。</w:t>
      </w:r>
    </w:p>
    <w:p w14:paraId="78ECD374"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(2)患者有明顯之中樞神經症狀時。</w:t>
      </w:r>
    </w:p>
    <w:p w14:paraId="3079012D"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(3)重型病患：完全臥床且無行動能力，或是無法自行呼吸且完全仰賴呼吸器維生者。</w:t>
      </w:r>
    </w:p>
    <w:p w14:paraId="2D2EF4E3"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4.應定期追蹤評估治療效果及下列事項目：</w:t>
      </w:r>
    </w:p>
    <w:p w14:paraId="7D7584A0"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(1)至少每半年追蹤一次：</w:t>
      </w:r>
    </w:p>
    <w:p w14:paraId="206DD800"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I.身高體重；</w:t>
      </w:r>
    </w:p>
    <w:p w14:paraId="310444CE"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II.尿液</w:t>
      </w:r>
      <w:proofErr w:type="gramStart"/>
      <w:r>
        <w:rPr>
          <w:rFonts w:ascii="標楷體" w:eastAsia="標楷體" w:hAnsi="標楷體"/>
          <w:color w:val="000000"/>
        </w:rPr>
        <w:t>黏多醣量</w:t>
      </w:r>
      <w:proofErr w:type="gramEnd"/>
      <w:r>
        <w:rPr>
          <w:rFonts w:ascii="標楷體" w:eastAsia="標楷體" w:hAnsi="標楷體"/>
          <w:color w:val="000000"/>
        </w:rPr>
        <w:t>；</w:t>
      </w:r>
    </w:p>
    <w:p w14:paraId="0BD04D49"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(2)至少每一年追蹤一次：</w:t>
      </w:r>
    </w:p>
    <w:p w14:paraId="513190B5"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I.整體智能發展、中樞神經症狀；</w:t>
      </w:r>
    </w:p>
    <w:p w14:paraId="75894984"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II.腹部超音波、肝臟大小、脾臟大小；</w:t>
      </w:r>
    </w:p>
    <w:p w14:paraId="2ED63E05"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III.心電圖；</w:t>
      </w:r>
    </w:p>
    <w:p w14:paraId="6C162366"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IV.心臟超音波；</w:t>
      </w:r>
    </w:p>
    <w:p w14:paraId="2858FB3D"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V.六分鐘步行測驗；</w:t>
      </w:r>
    </w:p>
    <w:p w14:paraId="78AB1E4F"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VI.肺功能；</w:t>
      </w:r>
    </w:p>
    <w:p w14:paraId="57B6C405"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VII.藥物抗體</w:t>
      </w:r>
    </w:p>
    <w:p w14:paraId="198ACF75"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5.需經事前審查核准後使用，每次申請之療程以1年為限。重新申請時，若有下列任</w:t>
      </w:r>
      <w:proofErr w:type="gramStart"/>
      <w:r>
        <w:rPr>
          <w:rFonts w:ascii="標楷體" w:eastAsia="標楷體" w:hAnsi="標楷體"/>
          <w:color w:val="000000"/>
        </w:rPr>
        <w:t>一</w:t>
      </w:r>
      <w:proofErr w:type="gramEnd"/>
      <w:r>
        <w:rPr>
          <w:rFonts w:ascii="標楷體" w:eastAsia="標楷體" w:hAnsi="標楷體"/>
          <w:color w:val="000000"/>
        </w:rPr>
        <w:t>情況，則不再給予</w:t>
      </w:r>
      <w:proofErr w:type="spellStart"/>
      <w:r>
        <w:rPr>
          <w:rFonts w:ascii="標楷體" w:eastAsia="標楷體" w:hAnsi="標楷體"/>
          <w:color w:val="000000"/>
        </w:rPr>
        <w:t>laronidase</w:t>
      </w:r>
      <w:proofErr w:type="spellEnd"/>
      <w:r>
        <w:rPr>
          <w:rFonts w:ascii="標楷體" w:eastAsia="標楷體" w:hAnsi="標楷體"/>
          <w:color w:val="000000"/>
        </w:rPr>
        <w:t>治療：</w:t>
      </w:r>
    </w:p>
    <w:p w14:paraId="7D457499"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(1)尿中葡萄</w:t>
      </w:r>
      <w:proofErr w:type="gramStart"/>
      <w:r>
        <w:rPr>
          <w:rFonts w:ascii="標楷體" w:eastAsia="標楷體" w:hAnsi="標楷體"/>
          <w:color w:val="000000"/>
        </w:rPr>
        <w:t>胺聚醣與</w:t>
      </w:r>
      <w:proofErr w:type="gramEnd"/>
      <w:r>
        <w:rPr>
          <w:rFonts w:ascii="標楷體" w:eastAsia="標楷體" w:hAnsi="標楷體"/>
          <w:color w:val="000000"/>
        </w:rPr>
        <w:t>肌酸酐比值：於接受治療的第一年之後評估，較前一年有50%以上的增加；第二年之後評估，較之前一年有100%以上的增加。。</w:t>
      </w:r>
    </w:p>
    <w:p w14:paraId="6C96FB27"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(2)六分鐘步行測驗：較之前一年退步50%以上或連續2 年有退步現象；5 歲以下幼童以DDST 粗動作及精細動作檢測，發展進程年齡與實際年齡商數低於60%，或比初</w:t>
      </w:r>
      <w:r>
        <w:rPr>
          <w:rFonts w:ascii="標楷體" w:eastAsia="標楷體" w:hAnsi="標楷體"/>
          <w:color w:val="000000"/>
        </w:rPr>
        <w:lastRenderedPageBreak/>
        <w:t>次檢測時之發展進程年齡退步。</w:t>
      </w:r>
    </w:p>
    <w:p w14:paraId="772E04D2"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(3)呼吸功能檢查：血液中氧氣飽和度在2 小時內無法持續維持1 小時以上</w:t>
      </w:r>
      <w:proofErr w:type="gramStart"/>
      <w:r>
        <w:rPr>
          <w:rFonts w:ascii="標楷體" w:eastAsia="標楷體" w:hAnsi="標楷體"/>
          <w:color w:val="000000"/>
        </w:rPr>
        <w:t>≧</w:t>
      </w:r>
      <w:proofErr w:type="gramEnd"/>
      <w:r>
        <w:rPr>
          <w:rFonts w:ascii="標楷體" w:eastAsia="標楷體" w:hAnsi="標楷體"/>
          <w:color w:val="000000"/>
        </w:rPr>
        <w:t>90%。</w:t>
      </w:r>
    </w:p>
    <w:p w14:paraId="3B7BDDA8"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(4)病人有認知功能退化，或有明顯中樞神經系統退化之臨床表徵。</w:t>
      </w:r>
    </w:p>
    <w:p w14:paraId="19F34921"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6.須立即停止</w:t>
      </w:r>
      <w:proofErr w:type="spellStart"/>
      <w:r>
        <w:rPr>
          <w:rFonts w:ascii="標楷體" w:eastAsia="標楷體" w:hAnsi="標楷體"/>
          <w:color w:val="000000"/>
        </w:rPr>
        <w:t>laronidase</w:t>
      </w:r>
      <w:proofErr w:type="spellEnd"/>
      <w:r>
        <w:rPr>
          <w:rFonts w:ascii="標楷體" w:eastAsia="標楷體" w:hAnsi="標楷體"/>
          <w:color w:val="000000"/>
        </w:rPr>
        <w:t xml:space="preserve">治療的情形： </w:t>
      </w:r>
    </w:p>
    <w:p w14:paraId="25493B53"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(1)有證據顯示病人開始呈現明顯的中樞神經系統退化之臨床表徵。</w:t>
      </w:r>
    </w:p>
    <w:p w14:paraId="0575ABCF"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(2)病人在接受治療時發生其它致命的疾病，這表示病人無法獲得</w:t>
      </w:r>
      <w:proofErr w:type="spellStart"/>
      <w:r>
        <w:rPr>
          <w:rFonts w:ascii="標楷體" w:eastAsia="標楷體" w:hAnsi="標楷體"/>
          <w:color w:val="000000"/>
        </w:rPr>
        <w:t>laronidase</w:t>
      </w:r>
      <w:proofErr w:type="spellEnd"/>
      <w:r>
        <w:rPr>
          <w:rFonts w:ascii="標楷體" w:eastAsia="標楷體" w:hAnsi="標楷體"/>
          <w:color w:val="000000"/>
        </w:rPr>
        <w:t>的療效。</w:t>
      </w:r>
    </w:p>
    <w:p w14:paraId="0E4CD0B6"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(3)病人發生嚴重不良反應。</w:t>
      </w:r>
    </w:p>
    <w:p w14:paraId="33EF858C"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(4)病人無法配合</w:t>
      </w:r>
      <w:proofErr w:type="gramStart"/>
      <w:r>
        <w:rPr>
          <w:rFonts w:ascii="標楷體" w:eastAsia="標楷體" w:hAnsi="標楷體"/>
          <w:color w:val="000000"/>
        </w:rPr>
        <w:t>最</w:t>
      </w:r>
      <w:proofErr w:type="gramEnd"/>
      <w:r>
        <w:rPr>
          <w:rFonts w:ascii="標楷體" w:eastAsia="標楷體" w:hAnsi="標楷體"/>
          <w:color w:val="000000"/>
        </w:rPr>
        <w:t>適療程所需的注射規定或無法配合療效的評估。</w:t>
      </w:r>
    </w:p>
    <w:p w14:paraId="06E324E1"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3.3.11.Miglustat（如</w:t>
      </w:r>
      <w:proofErr w:type="spellStart"/>
      <w:r>
        <w:rPr>
          <w:rFonts w:ascii="標楷體" w:eastAsia="標楷體" w:hAnsi="標楷體"/>
          <w:color w:val="000000"/>
        </w:rPr>
        <w:t>Zavesca</w:t>
      </w:r>
      <w:proofErr w:type="spellEnd"/>
      <w:r>
        <w:rPr>
          <w:rFonts w:ascii="標楷體" w:eastAsia="標楷體" w:hAnsi="標楷體"/>
          <w:color w:val="000000"/>
        </w:rPr>
        <w:t>）(98/8/1、108/5/1)</w:t>
      </w:r>
    </w:p>
    <w:p w14:paraId="530A771F"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1.限用於第一型</w:t>
      </w:r>
      <w:proofErr w:type="gramStart"/>
      <w:r>
        <w:rPr>
          <w:rFonts w:ascii="標楷體" w:eastAsia="標楷體" w:hAnsi="標楷體"/>
          <w:color w:val="000000"/>
        </w:rPr>
        <w:t>高雪氏</w:t>
      </w:r>
      <w:proofErr w:type="gramEnd"/>
      <w:r>
        <w:rPr>
          <w:rFonts w:ascii="標楷體" w:eastAsia="標楷體" w:hAnsi="標楷體"/>
          <w:color w:val="000000"/>
        </w:rPr>
        <w:t>症、Niemann-Pick Disease Type C之治療。</w:t>
      </w:r>
    </w:p>
    <w:p w14:paraId="5388C09E" w14:textId="77777777" w:rsidR="002144EC" w:rsidRDefault="002144EC" w:rsidP="002144EC">
      <w:pPr>
        <w:spacing w:line="3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本品使用</w:t>
      </w:r>
      <w:proofErr w:type="gramEnd"/>
      <w:r>
        <w:rPr>
          <w:rFonts w:ascii="標楷體" w:eastAsia="標楷體" w:hAnsi="標楷體"/>
          <w:color w:val="000000"/>
        </w:rPr>
        <w:t>於Niemann-Pick Disease Type C之規定：</w:t>
      </w:r>
    </w:p>
    <w:p w14:paraId="40525DDE"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(1)需事前審查，核准後才得以使用。</w:t>
      </w:r>
    </w:p>
    <w:p w14:paraId="32E7D9C7"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(2)不得</w:t>
      </w:r>
      <w:proofErr w:type="gramStart"/>
      <w:r>
        <w:rPr>
          <w:rFonts w:ascii="標楷體" w:eastAsia="標楷體" w:hAnsi="標楷體"/>
          <w:color w:val="000000"/>
        </w:rPr>
        <w:t>併</w:t>
      </w:r>
      <w:proofErr w:type="gramEnd"/>
      <w:r>
        <w:rPr>
          <w:rFonts w:ascii="標楷體" w:eastAsia="標楷體" w:hAnsi="標楷體"/>
          <w:color w:val="000000"/>
        </w:rPr>
        <w:t>用其他</w:t>
      </w:r>
      <w:proofErr w:type="gramStart"/>
      <w:r>
        <w:rPr>
          <w:rFonts w:ascii="標楷體" w:eastAsia="標楷體" w:hAnsi="標楷體"/>
          <w:color w:val="000000"/>
        </w:rPr>
        <w:t>高雪氏</w:t>
      </w:r>
      <w:proofErr w:type="gramEnd"/>
      <w:r>
        <w:rPr>
          <w:rFonts w:ascii="標楷體" w:eastAsia="標楷體" w:hAnsi="標楷體"/>
          <w:color w:val="000000"/>
        </w:rPr>
        <w:t>症酵素療法之藥品。</w:t>
      </w:r>
    </w:p>
    <w:p w14:paraId="039A6FC1"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(3)申請使用藥物時需附上之資料包括:</w:t>
      </w:r>
    </w:p>
    <w:p w14:paraId="56BDE507"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Ⅰ生化或基因分析等足以確定診斷之依據。</w:t>
      </w:r>
    </w:p>
    <w:p w14:paraId="4E0813EF" w14:textId="77777777" w:rsidR="002144EC" w:rsidRDefault="002144EC" w:rsidP="002144EC">
      <w:pPr>
        <w:spacing w:line="300" w:lineRule="exact"/>
        <w:ind w:left="1231" w:hanging="379"/>
        <w:rPr>
          <w:rFonts w:ascii="標楷體" w:eastAsia="標楷體" w:hAnsi="標楷體"/>
          <w:color w:val="000000"/>
        </w:rPr>
      </w:pPr>
      <w:r>
        <w:rPr>
          <w:rFonts w:ascii="標楷體" w:eastAsia="標楷體" w:hAnsi="標楷體"/>
          <w:color w:val="000000"/>
        </w:rPr>
        <w:t>Ⅱ臨床、神經學或影像上顯示有神經系統之侵犯。</w:t>
      </w:r>
    </w:p>
    <w:p w14:paraId="26F1A239"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(4)限遺傳或神經專科醫師使用，每六</w:t>
      </w:r>
      <w:proofErr w:type="gramStart"/>
      <w:r>
        <w:rPr>
          <w:rFonts w:ascii="標楷體" w:eastAsia="標楷體" w:hAnsi="標楷體"/>
          <w:color w:val="000000"/>
        </w:rPr>
        <w:t>個</w:t>
      </w:r>
      <w:proofErr w:type="gramEnd"/>
      <w:r>
        <w:rPr>
          <w:rFonts w:ascii="標楷體" w:eastAsia="標楷體" w:hAnsi="標楷體"/>
          <w:color w:val="000000"/>
        </w:rPr>
        <w:t>月須再申請事前審查一次。</w:t>
      </w:r>
    </w:p>
    <w:p w14:paraId="1EE93BDA"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(5)治療前應告知患者及家長其有義務接受定期追蹤評估。</w:t>
      </w:r>
    </w:p>
    <w:p w14:paraId="74A9D72F"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(6)醫師應定期追蹤評估治療效果及副作用。</w:t>
      </w:r>
    </w:p>
    <w:p w14:paraId="32B120BC"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(7)申報費用時須檢附病歷資料。</w:t>
      </w:r>
    </w:p>
    <w:p w14:paraId="50418D1C" w14:textId="77777777" w:rsidR="002144EC" w:rsidRDefault="002144EC" w:rsidP="002144EC">
      <w:pPr>
        <w:spacing w:line="300" w:lineRule="exact"/>
        <w:ind w:left="1049" w:hanging="341"/>
        <w:rPr>
          <w:rFonts w:ascii="標楷體" w:eastAsia="標楷體" w:hAnsi="標楷體"/>
          <w:color w:val="000000"/>
        </w:rPr>
      </w:pPr>
      <w:r>
        <w:rPr>
          <w:rFonts w:ascii="標楷體" w:eastAsia="標楷體" w:hAnsi="標楷體"/>
          <w:color w:val="000000"/>
        </w:rPr>
        <w:t>(8)排除條件</w:t>
      </w:r>
    </w:p>
    <w:p w14:paraId="7DCF4994" w14:textId="77777777" w:rsidR="002144EC" w:rsidRDefault="002144EC" w:rsidP="002144EC">
      <w:pPr>
        <w:spacing w:line="300" w:lineRule="exact"/>
        <w:ind w:left="1231" w:hanging="379"/>
      </w:pPr>
      <w:r>
        <w:rPr>
          <w:rFonts w:ascii="標楷體" w:eastAsia="標楷體" w:hAnsi="標楷體"/>
          <w:color w:val="000000"/>
        </w:rPr>
        <w:t>Ⅰ對於</w:t>
      </w:r>
      <w:proofErr w:type="gramStart"/>
      <w:r>
        <w:rPr>
          <w:rFonts w:ascii="標楷體" w:eastAsia="標楷體" w:hAnsi="標楷體"/>
          <w:color w:val="000000"/>
        </w:rPr>
        <w:t>嚴重腎</w:t>
      </w:r>
      <w:proofErr w:type="gramEnd"/>
      <w:r>
        <w:rPr>
          <w:rFonts w:ascii="標楷體" w:eastAsia="標楷體" w:hAnsi="標楷體"/>
          <w:color w:val="000000"/>
        </w:rPr>
        <w:t>損傷患者（肌酸酐廓清率小於30mL/min/1.73m</w:t>
      </w:r>
      <w:r>
        <w:rPr>
          <w:rFonts w:ascii="標楷體" w:eastAsia="標楷體" w:hAnsi="標楷體"/>
          <w:color w:val="000000"/>
          <w:vertAlign w:val="superscript"/>
        </w:rPr>
        <w:t>2</w:t>
      </w:r>
      <w:r>
        <w:rPr>
          <w:rFonts w:ascii="標楷體" w:eastAsia="標楷體" w:hAnsi="標楷體"/>
          <w:color w:val="000000"/>
        </w:rPr>
        <w:t>）不建議使用</w:t>
      </w:r>
      <w:proofErr w:type="spellStart"/>
      <w:r>
        <w:rPr>
          <w:rFonts w:ascii="標楷體" w:eastAsia="標楷體" w:hAnsi="標楷體"/>
          <w:color w:val="000000"/>
        </w:rPr>
        <w:t>Zavesca</w:t>
      </w:r>
      <w:proofErr w:type="spellEnd"/>
      <w:r>
        <w:rPr>
          <w:rFonts w:ascii="標楷體" w:eastAsia="標楷體" w:hAnsi="標楷體"/>
          <w:color w:val="000000"/>
        </w:rPr>
        <w:t>。</w:t>
      </w:r>
    </w:p>
    <w:p w14:paraId="1446ADE0" w14:textId="77777777" w:rsidR="002144EC" w:rsidRDefault="002144EC" w:rsidP="002144EC">
      <w:pPr>
        <w:spacing w:line="300" w:lineRule="exact"/>
        <w:ind w:left="1231" w:hanging="379"/>
        <w:rPr>
          <w:rFonts w:ascii="標楷體" w:eastAsia="標楷體" w:hAnsi="標楷體"/>
          <w:color w:val="000000"/>
        </w:rPr>
      </w:pPr>
      <w:proofErr w:type="gramStart"/>
      <w:r>
        <w:rPr>
          <w:rFonts w:ascii="標楷體" w:eastAsia="標楷體" w:hAnsi="標楷體"/>
          <w:color w:val="000000"/>
        </w:rPr>
        <w:t>Ⅱ無神經</w:t>
      </w:r>
      <w:proofErr w:type="gramEnd"/>
      <w:r>
        <w:rPr>
          <w:rFonts w:ascii="標楷體" w:eastAsia="標楷體" w:hAnsi="標楷體"/>
          <w:color w:val="000000"/>
        </w:rPr>
        <w:t>症狀之患者不建議使用。</w:t>
      </w:r>
    </w:p>
    <w:p w14:paraId="76892EA2" w14:textId="77777777" w:rsidR="002144EC" w:rsidRDefault="002144EC" w:rsidP="002144EC">
      <w:pPr>
        <w:spacing w:line="300" w:lineRule="exact"/>
        <w:ind w:left="672" w:hanging="386"/>
        <w:rPr>
          <w:rFonts w:ascii="標楷體" w:eastAsia="標楷體" w:hAnsi="標楷體"/>
          <w:color w:val="000000"/>
        </w:rPr>
      </w:pPr>
      <w:r>
        <w:rPr>
          <w:rFonts w:ascii="標楷體" w:eastAsia="標楷體" w:hAnsi="標楷體"/>
          <w:color w:val="000000"/>
        </w:rPr>
        <w:t>3.3.12.Sodium phenylacetate＋Sodium benzoate（如</w:t>
      </w:r>
      <w:proofErr w:type="spellStart"/>
      <w:r>
        <w:rPr>
          <w:rFonts w:ascii="標楷體" w:eastAsia="標楷體" w:hAnsi="標楷體"/>
          <w:color w:val="000000"/>
        </w:rPr>
        <w:t>Ammonul</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(99/2 /1)</w:t>
      </w:r>
    </w:p>
    <w:p w14:paraId="07CEE8E7" w14:textId="77777777" w:rsidR="002144EC" w:rsidRDefault="002144EC" w:rsidP="002144EC">
      <w:pPr>
        <w:spacing w:line="300" w:lineRule="exact"/>
        <w:ind w:left="798" w:hanging="1"/>
        <w:rPr>
          <w:rFonts w:ascii="標楷體" w:eastAsia="標楷體" w:hAnsi="標楷體"/>
          <w:color w:val="000000"/>
        </w:rPr>
      </w:pPr>
      <w:r>
        <w:rPr>
          <w:rFonts w:ascii="標楷體" w:eastAsia="標楷體" w:hAnsi="標楷體"/>
          <w:color w:val="000000"/>
        </w:rPr>
        <w:t>限用於先天性尿素循環代謝障礙之</w:t>
      </w:r>
      <w:proofErr w:type="gramStart"/>
      <w:r>
        <w:rPr>
          <w:rFonts w:ascii="標楷體" w:eastAsia="標楷體" w:hAnsi="標楷體"/>
          <w:color w:val="000000"/>
        </w:rPr>
        <w:t>急性血氨症</w:t>
      </w:r>
      <w:proofErr w:type="gramEnd"/>
      <w:r>
        <w:rPr>
          <w:rFonts w:ascii="標楷體" w:eastAsia="標楷體" w:hAnsi="標楷體"/>
          <w:color w:val="000000"/>
        </w:rPr>
        <w:t>及伴隨腦部病變。</w:t>
      </w:r>
    </w:p>
    <w:p w14:paraId="27C996B3" w14:textId="77777777" w:rsidR="002144EC" w:rsidRDefault="002144EC" w:rsidP="002144EC">
      <w:pPr>
        <w:tabs>
          <w:tab w:val="left" w:pos="284"/>
        </w:tabs>
        <w:suppressAutoHyphens w:val="0"/>
        <w:spacing w:line="300" w:lineRule="exact"/>
        <w:ind w:left="672" w:hanging="386"/>
        <w:textAlignment w:val="auto"/>
        <w:rPr>
          <w:rFonts w:ascii="標楷體" w:eastAsia="標楷體" w:hAnsi="標楷體"/>
          <w:szCs w:val="24"/>
        </w:rPr>
      </w:pPr>
      <w:r>
        <w:rPr>
          <w:rFonts w:ascii="標楷體" w:eastAsia="標楷體" w:hAnsi="標楷體"/>
          <w:szCs w:val="24"/>
        </w:rPr>
        <w:t>3.3.13.Agalsidase alfa(如</w:t>
      </w:r>
      <w:proofErr w:type="spellStart"/>
      <w:r>
        <w:rPr>
          <w:rFonts w:ascii="標楷體" w:eastAsia="標楷體" w:hAnsi="標楷體"/>
          <w:szCs w:val="24"/>
        </w:rPr>
        <w:t>Replagal</w:t>
      </w:r>
      <w:proofErr w:type="spellEnd"/>
      <w:r>
        <w:rPr>
          <w:rFonts w:ascii="標楷體" w:eastAsia="標楷體" w:hAnsi="標楷體"/>
          <w:szCs w:val="24"/>
        </w:rPr>
        <w:t>)、</w:t>
      </w:r>
      <w:proofErr w:type="spellStart"/>
      <w:r>
        <w:rPr>
          <w:rFonts w:ascii="標楷體" w:eastAsia="標楷體" w:hAnsi="標楷體"/>
          <w:szCs w:val="24"/>
        </w:rPr>
        <w:t>agalsidase</w:t>
      </w:r>
      <w:proofErr w:type="spellEnd"/>
      <w:r>
        <w:rPr>
          <w:rFonts w:ascii="標楷體" w:eastAsia="標楷體" w:hAnsi="標楷體"/>
          <w:szCs w:val="24"/>
        </w:rPr>
        <w:t xml:space="preserve"> beta(如Fabrazyme)及</w:t>
      </w:r>
      <w:proofErr w:type="spellStart"/>
      <w:r>
        <w:rPr>
          <w:rFonts w:ascii="標楷體" w:eastAsia="標楷體" w:hAnsi="標楷體"/>
          <w:szCs w:val="24"/>
        </w:rPr>
        <w:t>pegunigalsidase</w:t>
      </w:r>
      <w:proofErr w:type="spellEnd"/>
      <w:r>
        <w:rPr>
          <w:rFonts w:ascii="標楷體" w:eastAsia="標楷體" w:hAnsi="標楷體"/>
          <w:szCs w:val="24"/>
        </w:rPr>
        <w:t xml:space="preserve"> alfa (如</w:t>
      </w:r>
      <w:proofErr w:type="spellStart"/>
      <w:r>
        <w:rPr>
          <w:rFonts w:ascii="標楷體" w:eastAsia="標楷體" w:hAnsi="標楷體"/>
          <w:szCs w:val="24"/>
        </w:rPr>
        <w:t>Elfabrio</w:t>
      </w:r>
      <w:proofErr w:type="spellEnd"/>
      <w:r>
        <w:rPr>
          <w:rFonts w:ascii="標楷體" w:eastAsia="標楷體" w:hAnsi="標楷體"/>
          <w:szCs w:val="24"/>
        </w:rPr>
        <w:t>)：(102/1/1、103/9/1、108/5/1、112/8/1、114/2/1)</w:t>
      </w:r>
    </w:p>
    <w:p w14:paraId="7BA70E04" w14:textId="77777777" w:rsidR="002144EC" w:rsidRDefault="002144EC" w:rsidP="002144EC">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1.病患須符合以下診斷條件：(112/8/1、114/2/1)</w:t>
      </w:r>
    </w:p>
    <w:p w14:paraId="52D1AA1C" w14:textId="77777777" w:rsidR="002144EC" w:rsidRDefault="002144EC" w:rsidP="002144EC">
      <w:pPr>
        <w:tabs>
          <w:tab w:val="left" w:pos="284"/>
        </w:tabs>
        <w:suppressAutoHyphens w:val="0"/>
        <w:spacing w:line="300" w:lineRule="exact"/>
        <w:ind w:left="1134" w:hanging="386"/>
        <w:textAlignment w:val="auto"/>
        <w:rPr>
          <w:rFonts w:ascii="標楷體" w:eastAsia="標楷體" w:hAnsi="標楷體"/>
          <w:szCs w:val="24"/>
        </w:rPr>
      </w:pPr>
      <w:r>
        <w:rPr>
          <w:rFonts w:ascii="標楷體" w:eastAsia="標楷體" w:hAnsi="標楷體"/>
          <w:szCs w:val="24"/>
        </w:rPr>
        <w:t>(1)確定診斷為</w:t>
      </w:r>
      <w:proofErr w:type="gramStart"/>
      <w:r>
        <w:rPr>
          <w:rFonts w:ascii="標楷體" w:eastAsia="標楷體" w:hAnsi="標楷體"/>
          <w:szCs w:val="24"/>
        </w:rPr>
        <w:t>典型法布瑞</w:t>
      </w:r>
      <w:proofErr w:type="gramEnd"/>
      <w:r>
        <w:rPr>
          <w:rFonts w:ascii="標楷體" w:eastAsia="標楷體" w:hAnsi="標楷體"/>
          <w:szCs w:val="24"/>
        </w:rPr>
        <w:t>氏症之患者，且符合下列條件之</w:t>
      </w:r>
      <w:proofErr w:type="gramStart"/>
      <w:r>
        <w:rPr>
          <w:rFonts w:ascii="標楷體" w:eastAsia="標楷體" w:hAnsi="標楷體"/>
          <w:szCs w:val="24"/>
        </w:rPr>
        <w:t>一</w:t>
      </w:r>
      <w:proofErr w:type="gramEnd"/>
      <w:r>
        <w:rPr>
          <w:rFonts w:ascii="標楷體" w:eastAsia="標楷體" w:hAnsi="標楷體"/>
          <w:szCs w:val="24"/>
        </w:rPr>
        <w:t>：（108/5/1、112/8/1）</w:t>
      </w:r>
    </w:p>
    <w:p w14:paraId="5077DB59" w14:textId="77777777" w:rsidR="002144EC" w:rsidRDefault="002144EC" w:rsidP="002144EC">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I. 出現肢端疼痛排汗障礙，或中風</w:t>
      </w:r>
    </w:p>
    <w:p w14:paraId="2126C3BE" w14:textId="77777777" w:rsidR="002144EC" w:rsidRDefault="002144EC" w:rsidP="002144EC">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II.蛋白尿、微量白蛋白尿(Microalbuminuria)</w:t>
      </w:r>
    </w:p>
    <w:p w14:paraId="673024C4" w14:textId="77777777" w:rsidR="002144EC" w:rsidRDefault="002144EC" w:rsidP="002144EC">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III.不整脈(附表心電圖〔ECG〕第2項)或心室肥大</w:t>
      </w:r>
    </w:p>
    <w:p w14:paraId="3CFF5DC0" w14:textId="77777777" w:rsidR="002144EC" w:rsidRDefault="002144EC" w:rsidP="002144EC">
      <w:pPr>
        <w:tabs>
          <w:tab w:val="left" w:pos="284"/>
        </w:tabs>
        <w:suppressAutoHyphens w:val="0"/>
        <w:spacing w:line="300" w:lineRule="exact"/>
        <w:ind w:left="1134" w:hanging="386"/>
        <w:textAlignment w:val="auto"/>
        <w:rPr>
          <w:rFonts w:ascii="標楷體" w:eastAsia="標楷體" w:hAnsi="標楷體"/>
          <w:szCs w:val="24"/>
        </w:rPr>
      </w:pPr>
      <w:r>
        <w:rPr>
          <w:rFonts w:ascii="標楷體" w:eastAsia="標楷體" w:hAnsi="標楷體"/>
          <w:szCs w:val="24"/>
        </w:rPr>
        <w:t>(2)確定診斷</w:t>
      </w:r>
      <w:proofErr w:type="gramStart"/>
      <w:r>
        <w:rPr>
          <w:rFonts w:ascii="標楷體" w:eastAsia="標楷體" w:hAnsi="標楷體"/>
          <w:szCs w:val="24"/>
        </w:rPr>
        <w:t>為法布瑞氏症非典型</w:t>
      </w:r>
      <w:proofErr w:type="gramEnd"/>
      <w:r>
        <w:rPr>
          <w:rFonts w:ascii="標楷體" w:eastAsia="標楷體" w:hAnsi="標楷體"/>
          <w:szCs w:val="24"/>
        </w:rPr>
        <w:t>患者，且符合下列所有條件：</w:t>
      </w:r>
      <w:proofErr w:type="gramStart"/>
      <w:r>
        <w:rPr>
          <w:rFonts w:ascii="標楷體" w:eastAsia="標楷體" w:hAnsi="標楷體"/>
          <w:szCs w:val="24"/>
        </w:rPr>
        <w:t>（</w:t>
      </w:r>
      <w:proofErr w:type="gramEnd"/>
      <w:r>
        <w:rPr>
          <w:rFonts w:ascii="標楷體" w:eastAsia="標楷體" w:hAnsi="標楷體"/>
          <w:szCs w:val="24"/>
        </w:rPr>
        <w:t>108/5/1、112/8/1、114/2/1)</w:t>
      </w:r>
    </w:p>
    <w:p w14:paraId="2BBC73D4" w14:textId="77777777" w:rsidR="002144EC" w:rsidRDefault="002144EC" w:rsidP="002144EC">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Ⅰ.經腎臟或心臟切片證實</w:t>
      </w:r>
      <w:proofErr w:type="gramStart"/>
      <w:r>
        <w:rPr>
          <w:rFonts w:ascii="標楷體" w:eastAsia="標楷體" w:hAnsi="標楷體"/>
          <w:szCs w:val="24"/>
        </w:rPr>
        <w:t>與法布瑞</w:t>
      </w:r>
      <w:proofErr w:type="gramEnd"/>
      <w:r>
        <w:rPr>
          <w:rFonts w:ascii="標楷體" w:eastAsia="標楷體" w:hAnsi="標楷體"/>
          <w:szCs w:val="24"/>
        </w:rPr>
        <w:t>氏症相關。（108/5/1）</w:t>
      </w:r>
    </w:p>
    <w:p w14:paraId="77B46720" w14:textId="77777777" w:rsidR="002144EC" w:rsidRDefault="002144EC" w:rsidP="002144EC">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Ⅱ.</w:t>
      </w:r>
      <w:proofErr w:type="gramStart"/>
      <w:r>
        <w:rPr>
          <w:rFonts w:ascii="標楷體" w:eastAsia="標楷體" w:hAnsi="標楷體"/>
          <w:szCs w:val="24"/>
        </w:rPr>
        <w:t>法布瑞</w:t>
      </w:r>
      <w:proofErr w:type="gramEnd"/>
      <w:r>
        <w:rPr>
          <w:rFonts w:ascii="標楷體" w:eastAsia="標楷體" w:hAnsi="標楷體"/>
          <w:szCs w:val="24"/>
        </w:rPr>
        <w:t>氏症IVS4+919G&gt;A基因型患者，於「</w:t>
      </w:r>
      <w:proofErr w:type="gramStart"/>
      <w:r>
        <w:rPr>
          <w:rFonts w:ascii="標楷體" w:eastAsia="標楷體" w:hAnsi="標楷體"/>
          <w:szCs w:val="24"/>
        </w:rPr>
        <w:t>法布瑞</w:t>
      </w:r>
      <w:proofErr w:type="gramEnd"/>
      <w:r>
        <w:rPr>
          <w:rFonts w:ascii="標楷體" w:eastAsia="標楷體" w:hAnsi="標楷體"/>
          <w:szCs w:val="24"/>
        </w:rPr>
        <w:t>氏症心臟變異型心臟功能評估指標表」(詳罕見疾病通報審查基準表)之「心電圖」、「心臟超音波」、「心臟核磁共振檢查報告」及「實驗室檢查報告」4個部分中，每</w:t>
      </w:r>
      <w:proofErr w:type="gramStart"/>
      <w:r>
        <w:rPr>
          <w:rFonts w:ascii="標楷體" w:eastAsia="標楷體" w:hAnsi="標楷體"/>
          <w:szCs w:val="24"/>
        </w:rPr>
        <w:t>個</w:t>
      </w:r>
      <w:proofErr w:type="gramEnd"/>
      <w:r>
        <w:rPr>
          <w:rFonts w:ascii="標楷體" w:eastAsia="標楷體" w:hAnsi="標楷體"/>
          <w:szCs w:val="24"/>
        </w:rPr>
        <w:t>部份需符合至少1項指標並提具該指標檢測報告，且心臟組織切片檢查(cardiac biopsy) 證實有GL3或lyso-Gb3脂質堆積者;且需檢附相關檢查及檢驗資料，以及至少半年之高血壓或糖尿病心肌病變危險因子之治療紀錄。糖尿病經過治療且HbA1c(</w:t>
      </w:r>
      <w:proofErr w:type="gramStart"/>
      <w:r>
        <w:rPr>
          <w:rFonts w:ascii="標楷體" w:eastAsia="標楷體" w:hAnsi="標楷體"/>
          <w:szCs w:val="24"/>
        </w:rPr>
        <w:t>醣化血色素</w:t>
      </w:r>
      <w:proofErr w:type="gramEnd"/>
      <w:r>
        <w:rPr>
          <w:rFonts w:ascii="標楷體" w:eastAsia="標楷體" w:hAnsi="標楷體"/>
          <w:szCs w:val="24"/>
        </w:rPr>
        <w:t>)＜7者，始可接受酵素補充治療。（103/9/1、108/5/1、114/2/1）。</w:t>
      </w:r>
    </w:p>
    <w:p w14:paraId="5EE53208" w14:textId="77777777" w:rsidR="002144EC" w:rsidRDefault="002144EC" w:rsidP="002144EC">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2.排除使用於無法接受換腎之末期腎臟疾病合併有嚴重心臟衰竭(NYHA class IV)。（112/8/1）</w:t>
      </w:r>
    </w:p>
    <w:p w14:paraId="19BD3D0B" w14:textId="77777777" w:rsidR="002144EC" w:rsidRDefault="002144EC" w:rsidP="002144EC">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3.標準劑量Fabrazyme 1 mg/Kg/every 2 weeks；</w:t>
      </w:r>
      <w:proofErr w:type="spellStart"/>
      <w:r>
        <w:rPr>
          <w:rFonts w:ascii="標楷體" w:eastAsia="標楷體" w:hAnsi="標楷體"/>
          <w:szCs w:val="24"/>
        </w:rPr>
        <w:t>Replagal</w:t>
      </w:r>
      <w:proofErr w:type="spellEnd"/>
      <w:r>
        <w:rPr>
          <w:rFonts w:ascii="標楷體" w:eastAsia="標楷體" w:hAnsi="標楷體"/>
          <w:szCs w:val="24"/>
        </w:rPr>
        <w:t xml:space="preserve"> 0.2mg/Kg/every 2 </w:t>
      </w:r>
      <w:r>
        <w:rPr>
          <w:rFonts w:ascii="標楷體" w:eastAsia="標楷體" w:hAnsi="標楷體"/>
          <w:szCs w:val="24"/>
        </w:rPr>
        <w:lastRenderedPageBreak/>
        <w:t>weeks；</w:t>
      </w:r>
      <w:proofErr w:type="spellStart"/>
      <w:r>
        <w:rPr>
          <w:rFonts w:ascii="標楷體" w:eastAsia="標楷體" w:hAnsi="標楷體"/>
          <w:szCs w:val="24"/>
        </w:rPr>
        <w:t>Elfabrio</w:t>
      </w:r>
      <w:proofErr w:type="spellEnd"/>
      <w:r>
        <w:rPr>
          <w:rFonts w:ascii="標楷體" w:eastAsia="標楷體" w:hAnsi="標楷體"/>
          <w:szCs w:val="24"/>
        </w:rPr>
        <w:t xml:space="preserve"> 1 mg/Kg/every 2 weeks。針對副作用嚴重或症狀輕微病人，可以考慮減量治療，是否減量治療由主治醫師決定之。（108/5/1、112/8/1、114/2/1）。</w:t>
      </w:r>
    </w:p>
    <w:p w14:paraId="0BDB8433" w14:textId="77777777" w:rsidR="002144EC" w:rsidRDefault="002144EC" w:rsidP="002144EC">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4.需經事前審查核准後使用，每次申請之療程以1年為限，申請續用時需檢送酵素補充治療療效評估資料，若符合下列條件之一，則不予同意使用：（108/5/1、112/8/1、114/2/1）</w:t>
      </w:r>
    </w:p>
    <w:p w14:paraId="7F6B4AA7" w14:textId="77777777" w:rsidR="002144EC" w:rsidRDefault="002144EC" w:rsidP="002144EC">
      <w:pPr>
        <w:tabs>
          <w:tab w:val="left" w:pos="284"/>
        </w:tabs>
        <w:suppressAutoHyphens w:val="0"/>
        <w:spacing w:line="300" w:lineRule="exact"/>
        <w:ind w:left="1134" w:hanging="386"/>
        <w:textAlignment w:val="auto"/>
        <w:rPr>
          <w:rFonts w:ascii="標楷體" w:eastAsia="標楷體" w:hAnsi="標楷體"/>
          <w:szCs w:val="24"/>
        </w:rPr>
      </w:pPr>
      <w:r>
        <w:rPr>
          <w:rFonts w:ascii="標楷體" w:eastAsia="標楷體" w:hAnsi="標楷體"/>
          <w:szCs w:val="24"/>
        </w:rPr>
        <w:t>(1)嚴重心臟疾病(NYHA class IV)或嚴重心肌纖維化（112/8/1、114/2/1）</w:t>
      </w:r>
    </w:p>
    <w:p w14:paraId="521BD65D"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：嚴重心肌纖維化定義：每2年</w:t>
      </w:r>
      <w:proofErr w:type="gramStart"/>
      <w:r>
        <w:rPr>
          <w:rFonts w:ascii="標楷體" w:eastAsia="標楷體" w:hAnsi="標楷體"/>
          <w:szCs w:val="24"/>
        </w:rPr>
        <w:t>磁振造影</w:t>
      </w:r>
      <w:proofErr w:type="gramEnd"/>
      <w:r>
        <w:rPr>
          <w:rFonts w:ascii="標楷體" w:eastAsia="標楷體" w:hAnsi="標楷體"/>
          <w:szCs w:val="24"/>
        </w:rPr>
        <w:t>中，有超過15%心肌質量為</w:t>
      </w:r>
      <w:proofErr w:type="gramStart"/>
      <w:r>
        <w:rPr>
          <w:rFonts w:ascii="標楷體" w:eastAsia="標楷體" w:hAnsi="標楷體"/>
          <w:szCs w:val="24"/>
        </w:rPr>
        <w:t>釓</w:t>
      </w:r>
      <w:proofErr w:type="gramEnd"/>
      <w:r>
        <w:rPr>
          <w:rFonts w:ascii="標楷體" w:eastAsia="標楷體" w:hAnsi="標楷體"/>
          <w:szCs w:val="24"/>
        </w:rPr>
        <w:t>延遲顯影(late gadolinium enhancement &gt;15% of myocardial mass)，或4個segments以上有＞75%纖維化</w:t>
      </w:r>
    </w:p>
    <w:p w14:paraId="10FB84A1"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(2)腎臟變異</w:t>
      </w:r>
      <w:proofErr w:type="gramStart"/>
      <w:r>
        <w:rPr>
          <w:rFonts w:ascii="標楷體" w:eastAsia="標楷體" w:hAnsi="標楷體"/>
          <w:szCs w:val="24"/>
        </w:rPr>
        <w:t>型法布</w:t>
      </w:r>
      <w:proofErr w:type="gramEnd"/>
      <w:r>
        <w:rPr>
          <w:rFonts w:ascii="標楷體" w:eastAsia="標楷體" w:hAnsi="標楷體"/>
          <w:szCs w:val="24"/>
        </w:rPr>
        <w:t>瑞氏症病人合併末期腎臟疾病（108/5/1）</w:t>
      </w:r>
    </w:p>
    <w:p w14:paraId="1C1BDBF9"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(3)嚴重認知退化經診斷為中、</w:t>
      </w:r>
      <w:proofErr w:type="gramStart"/>
      <w:r>
        <w:rPr>
          <w:rFonts w:ascii="標楷體" w:eastAsia="標楷體" w:hAnsi="標楷體"/>
          <w:szCs w:val="24"/>
        </w:rPr>
        <w:t>重度失智</w:t>
      </w:r>
      <w:proofErr w:type="gramEnd"/>
      <w:r>
        <w:rPr>
          <w:rFonts w:ascii="標楷體" w:eastAsia="標楷體" w:hAnsi="標楷體"/>
          <w:szCs w:val="24"/>
        </w:rPr>
        <w:t>症（108/5/1）</w:t>
      </w:r>
    </w:p>
    <w:p w14:paraId="73D29DDF"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(4)由於</w:t>
      </w:r>
      <w:proofErr w:type="gramStart"/>
      <w:r>
        <w:rPr>
          <w:rFonts w:ascii="標楷體" w:eastAsia="標楷體" w:hAnsi="標楷體"/>
          <w:szCs w:val="24"/>
        </w:rPr>
        <w:t>末期法布瑞</w:t>
      </w:r>
      <w:proofErr w:type="gramEnd"/>
      <w:r>
        <w:rPr>
          <w:rFonts w:ascii="標楷體" w:eastAsia="標楷體" w:hAnsi="標楷體"/>
          <w:szCs w:val="24"/>
        </w:rPr>
        <w:t>氏症或其他疾病，以致預期生存壽命少於一年（108/5/1）</w:t>
      </w:r>
    </w:p>
    <w:p w14:paraId="71FF599D"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(5)在已事先預防情況之下，仍持續發生危及生命或</w:t>
      </w:r>
      <w:proofErr w:type="gramStart"/>
      <w:r>
        <w:rPr>
          <w:rFonts w:ascii="標楷體" w:eastAsia="標楷體" w:hAnsi="標楷體"/>
          <w:szCs w:val="24"/>
        </w:rPr>
        <w:t>嚴重輸注相關</w:t>
      </w:r>
      <w:proofErr w:type="gramEnd"/>
      <w:r>
        <w:rPr>
          <w:rFonts w:ascii="標楷體" w:eastAsia="標楷體" w:hAnsi="標楷體"/>
          <w:szCs w:val="24"/>
        </w:rPr>
        <w:t>不良反應者，例如:全身性過敏反應（112/8/1）</w:t>
      </w:r>
    </w:p>
    <w:p w14:paraId="6C1DC190"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(6)病人的服藥順從性不佳，超過50%未正常施打藥物（112/8/1）</w:t>
      </w:r>
    </w:p>
    <w:p w14:paraId="4C978FF2"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(7)病人整年長期疼痛控制無法改善者或嚴重腸胃道症狀無法改善者，然典型男性患者不受此限（112/8/1）</w:t>
      </w:r>
    </w:p>
    <w:p w14:paraId="6D7A20A3"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(8)以下檢測心臟功能之評估項目，若有一項目相較於前一年惡化，則不予續用（114/2/1）。</w:t>
      </w:r>
    </w:p>
    <w:p w14:paraId="0142F25F" w14:textId="77777777" w:rsidR="002144EC" w:rsidRDefault="002144EC" w:rsidP="002144EC">
      <w:pPr>
        <w:tabs>
          <w:tab w:val="left" w:pos="284"/>
        </w:tabs>
        <w:suppressAutoHyphens w:val="0"/>
        <w:spacing w:line="300" w:lineRule="exact"/>
        <w:ind w:left="1560" w:hanging="386"/>
        <w:textAlignment w:val="auto"/>
        <w:rPr>
          <w:rFonts w:ascii="標楷體" w:eastAsia="標楷體" w:hAnsi="標楷體"/>
          <w:szCs w:val="24"/>
        </w:rPr>
      </w:pPr>
      <w:r>
        <w:rPr>
          <w:rFonts w:ascii="標楷體" w:eastAsia="標楷體" w:hAnsi="標楷體"/>
          <w:szCs w:val="24"/>
        </w:rPr>
        <w:t>I.</w:t>
      </w:r>
      <w:r>
        <w:rPr>
          <w:rFonts w:ascii="標楷體" w:eastAsia="標楷體" w:hAnsi="標楷體"/>
          <w:szCs w:val="24"/>
        </w:rPr>
        <w:tab/>
        <w:t>六分鐘步行惡化：絕對行走距離減少50公尺和相對行走距離減少大於20%</w:t>
      </w:r>
    </w:p>
    <w:p w14:paraId="0058E262" w14:textId="77777777" w:rsidR="002144EC" w:rsidRDefault="002144EC" w:rsidP="002144EC">
      <w:pPr>
        <w:tabs>
          <w:tab w:val="left" w:pos="284"/>
        </w:tabs>
        <w:suppressAutoHyphens w:val="0"/>
        <w:spacing w:line="300" w:lineRule="exact"/>
        <w:ind w:left="1560" w:hanging="386"/>
        <w:textAlignment w:val="auto"/>
        <w:rPr>
          <w:rFonts w:ascii="標楷體" w:eastAsia="標楷體" w:hAnsi="標楷體"/>
          <w:szCs w:val="24"/>
        </w:rPr>
      </w:pPr>
      <w:r>
        <w:rPr>
          <w:rFonts w:ascii="標楷體" w:eastAsia="標楷體" w:hAnsi="標楷體"/>
          <w:szCs w:val="24"/>
        </w:rPr>
        <w:t>II.</w:t>
      </w:r>
      <w:r>
        <w:rPr>
          <w:rFonts w:ascii="標楷體" w:eastAsia="標楷體" w:hAnsi="標楷體"/>
          <w:szCs w:val="24"/>
        </w:rPr>
        <w:tab/>
        <w:t>心臟衰竭指數惡化：相較於基期，NT-Pro BNP增加&gt; 700 mg/L且&gt;30%</w:t>
      </w:r>
    </w:p>
    <w:p w14:paraId="6CF18219" w14:textId="77777777" w:rsidR="002144EC" w:rsidRDefault="002144EC" w:rsidP="002144EC">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5.治療前應與患者及家屬充分溝通告知下列事項，並請其簽名確認已被告知，留存病歷備查：</w:t>
      </w:r>
    </w:p>
    <w:p w14:paraId="0818DCC7"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(1)確定其了解治療的預期效果。</w:t>
      </w:r>
    </w:p>
    <w:p w14:paraId="3CDA6448"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(2)患者有義務接受定期追蹤評估，如無明顯療效（如上述3所列），主治醫師在向患者及家屬清楚解釋後，應停止</w:t>
      </w:r>
      <w:proofErr w:type="spellStart"/>
      <w:r>
        <w:rPr>
          <w:rFonts w:ascii="標楷體" w:eastAsia="標楷體" w:hAnsi="標楷體"/>
          <w:szCs w:val="24"/>
        </w:rPr>
        <w:t>agalsidase</w:t>
      </w:r>
      <w:proofErr w:type="spellEnd"/>
      <w:r>
        <w:rPr>
          <w:rFonts w:ascii="標楷體" w:eastAsia="標楷體" w:hAnsi="標楷體"/>
          <w:szCs w:val="24"/>
        </w:rPr>
        <w:t xml:space="preserve"> alfa、</w:t>
      </w:r>
      <w:proofErr w:type="spellStart"/>
      <w:r>
        <w:rPr>
          <w:rFonts w:ascii="標楷體" w:eastAsia="標楷體" w:hAnsi="標楷體"/>
          <w:szCs w:val="24"/>
        </w:rPr>
        <w:t>agalsidase</w:t>
      </w:r>
      <w:proofErr w:type="spellEnd"/>
      <w:r>
        <w:rPr>
          <w:rFonts w:ascii="標楷體" w:eastAsia="標楷體" w:hAnsi="標楷體"/>
          <w:szCs w:val="24"/>
        </w:rPr>
        <w:t xml:space="preserve"> beta或</w:t>
      </w:r>
      <w:proofErr w:type="spellStart"/>
      <w:r>
        <w:rPr>
          <w:rFonts w:ascii="標楷體" w:eastAsia="標楷體" w:hAnsi="標楷體"/>
          <w:szCs w:val="24"/>
        </w:rPr>
        <w:t>pegunigalsidase</w:t>
      </w:r>
      <w:proofErr w:type="spellEnd"/>
      <w:r>
        <w:rPr>
          <w:rFonts w:ascii="標楷體" w:eastAsia="標楷體" w:hAnsi="標楷體"/>
          <w:szCs w:val="24"/>
        </w:rPr>
        <w:t xml:space="preserve"> alfa之治療。（108/5/1、114/2/1）</w:t>
      </w:r>
    </w:p>
    <w:p w14:paraId="2145FB85"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 xml:space="preserve">(3)女性患者之角膜病變Cornea </w:t>
      </w:r>
      <w:proofErr w:type="spellStart"/>
      <w:r>
        <w:rPr>
          <w:rFonts w:ascii="標楷體" w:eastAsia="標楷體" w:hAnsi="標楷體"/>
          <w:szCs w:val="24"/>
        </w:rPr>
        <w:t>Verticillata</w:t>
      </w:r>
      <w:proofErr w:type="spellEnd"/>
      <w:r>
        <w:rPr>
          <w:rFonts w:ascii="標楷體" w:eastAsia="標楷體" w:hAnsi="標楷體"/>
          <w:szCs w:val="24"/>
        </w:rPr>
        <w:t>為良性症狀。</w:t>
      </w:r>
    </w:p>
    <w:p w14:paraId="14CEDD3C" w14:textId="77777777" w:rsidR="002144EC" w:rsidRDefault="002144EC" w:rsidP="002144EC">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6.每一年須重新評估一次，追蹤檢查項目如下：（102/1/1、114/2/1）</w:t>
      </w:r>
    </w:p>
    <w:p w14:paraId="5F09F7F3"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(1)腎功能(eGFR)；</w:t>
      </w:r>
    </w:p>
    <w:p w14:paraId="1C7A051D"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(2)尿蛋白(尿蛋白</w:t>
      </w:r>
      <w:proofErr w:type="gramStart"/>
      <w:r>
        <w:rPr>
          <w:rFonts w:ascii="標楷體" w:eastAsia="標楷體" w:hAnsi="標楷體"/>
          <w:szCs w:val="24"/>
        </w:rPr>
        <w:t>或微尿蛋白</w:t>
      </w:r>
      <w:proofErr w:type="gramEnd"/>
      <w:r>
        <w:rPr>
          <w:rFonts w:ascii="標楷體" w:eastAsia="標楷體" w:hAnsi="標楷體"/>
          <w:szCs w:val="24"/>
        </w:rPr>
        <w:t>)；</w:t>
      </w:r>
    </w:p>
    <w:p w14:paraId="1022E93A"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(3)血漿或尿液lyso-Gb3；</w:t>
      </w:r>
    </w:p>
    <w:p w14:paraId="265A18AF"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(4)疼痛狀態；</w:t>
      </w:r>
    </w:p>
    <w:p w14:paraId="6971B768"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(5)中風次數；</w:t>
      </w:r>
    </w:p>
    <w:p w14:paraId="4A95F5B6"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(6)病患是否有出現新的心臟病或原心臟病是否有惡化情形(出現新的心肌梗塞、心律</w:t>
      </w:r>
      <w:proofErr w:type="gramStart"/>
      <w:r>
        <w:rPr>
          <w:rFonts w:ascii="標楷體" w:eastAsia="標楷體" w:hAnsi="標楷體"/>
          <w:szCs w:val="24"/>
        </w:rPr>
        <w:t>不整需心臟</w:t>
      </w:r>
      <w:proofErr w:type="gramEnd"/>
      <w:r>
        <w:rPr>
          <w:rFonts w:ascii="標楷體" w:eastAsia="標楷體" w:hAnsi="標楷體"/>
          <w:szCs w:val="24"/>
        </w:rPr>
        <w:t>電擊整流或藥物治療、</w:t>
      </w:r>
      <w:proofErr w:type="gramStart"/>
      <w:r>
        <w:rPr>
          <w:rFonts w:ascii="標楷體" w:eastAsia="標楷體" w:hAnsi="標楷體"/>
          <w:szCs w:val="24"/>
        </w:rPr>
        <w:t>心跳過緩</w:t>
      </w:r>
      <w:proofErr w:type="gramEnd"/>
      <w:r>
        <w:rPr>
          <w:rFonts w:ascii="標楷體" w:eastAsia="標楷體" w:hAnsi="標楷體"/>
          <w:szCs w:val="24"/>
        </w:rPr>
        <w:t>、房室傳導阻斷或其他心律疾病需心律調節器的植入治療，心臟衰竭需住院治療)。</w:t>
      </w:r>
    </w:p>
    <w:p w14:paraId="7600144A"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(7)心肺功能狀態 (紐約心臟學會心功能分級 NYHA functional class及6分鐘走路測驗或運動心電圖測驗)。</w:t>
      </w:r>
    </w:p>
    <w:p w14:paraId="7C175E87"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(8)靜態心電圖、24小時Holter心電圖與心臟超音波。心臟超音波檢查時之基本項目:</w:t>
      </w:r>
    </w:p>
    <w:p w14:paraId="279266CB" w14:textId="77777777" w:rsidR="002144EC" w:rsidRDefault="002144EC" w:rsidP="002144EC">
      <w:pPr>
        <w:tabs>
          <w:tab w:val="left" w:pos="284"/>
        </w:tabs>
        <w:suppressAutoHyphens w:val="0"/>
        <w:spacing w:line="300" w:lineRule="exact"/>
        <w:ind w:left="1152" w:hanging="18"/>
        <w:textAlignment w:val="auto"/>
        <w:rPr>
          <w:rFonts w:ascii="標楷體" w:eastAsia="標楷體" w:hAnsi="標楷體"/>
          <w:szCs w:val="24"/>
        </w:rPr>
      </w:pPr>
      <w:r>
        <w:rPr>
          <w:rFonts w:ascii="標楷體" w:eastAsia="標楷體" w:hAnsi="標楷體"/>
          <w:szCs w:val="24"/>
        </w:rPr>
        <w:t>左心室舒張期直徑、左心室後壁厚度、左</w:t>
      </w:r>
      <w:proofErr w:type="gramStart"/>
      <w:r>
        <w:rPr>
          <w:rFonts w:ascii="標楷體" w:eastAsia="標楷體" w:hAnsi="標楷體"/>
          <w:szCs w:val="24"/>
        </w:rPr>
        <w:t>心室前壁厚度</w:t>
      </w:r>
      <w:proofErr w:type="gramEnd"/>
      <w:r>
        <w:rPr>
          <w:rFonts w:ascii="標楷體" w:eastAsia="標楷體" w:hAnsi="標楷體"/>
          <w:szCs w:val="24"/>
        </w:rPr>
        <w:t>、左心室質量與質量身高比、心房大小測量、左心室舒張功能測量(包含組織超音波)、心室後壁輻射向應變率、心中</w:t>
      </w:r>
      <w:proofErr w:type="gramStart"/>
      <w:r>
        <w:rPr>
          <w:rFonts w:ascii="標楷體" w:eastAsia="標楷體" w:hAnsi="標楷體"/>
          <w:szCs w:val="24"/>
        </w:rPr>
        <w:t>膈</w:t>
      </w:r>
      <w:proofErr w:type="gramEnd"/>
      <w:r>
        <w:rPr>
          <w:rFonts w:ascii="標楷體" w:eastAsia="標楷體" w:hAnsi="標楷體"/>
          <w:szCs w:val="24"/>
        </w:rPr>
        <w:t>縱向應變率與</w:t>
      </w:r>
      <w:proofErr w:type="gramStart"/>
      <w:r>
        <w:rPr>
          <w:rFonts w:ascii="標楷體" w:eastAsia="標楷體" w:hAnsi="標楷體"/>
          <w:szCs w:val="24"/>
        </w:rPr>
        <w:t>心側壁</w:t>
      </w:r>
      <w:proofErr w:type="gramEnd"/>
      <w:r>
        <w:rPr>
          <w:rFonts w:ascii="標楷體" w:eastAsia="標楷體" w:hAnsi="標楷體"/>
          <w:szCs w:val="24"/>
        </w:rPr>
        <w:t>縱向應變率、心臟瓣膜功能。超音波左心室質量與質量身高比、心室後壁輻射向應變率、</w:t>
      </w:r>
      <w:proofErr w:type="gramStart"/>
      <w:r>
        <w:rPr>
          <w:rFonts w:ascii="標楷體" w:eastAsia="標楷體" w:hAnsi="標楷體"/>
          <w:szCs w:val="24"/>
        </w:rPr>
        <w:t>心側壁</w:t>
      </w:r>
      <w:proofErr w:type="gramEnd"/>
      <w:r>
        <w:rPr>
          <w:rFonts w:ascii="標楷體" w:eastAsia="標楷體" w:hAnsi="標楷體"/>
          <w:szCs w:val="24"/>
        </w:rPr>
        <w:t>縱向應變率。</w:t>
      </w:r>
    </w:p>
    <w:p w14:paraId="367E3610" w14:textId="77777777" w:rsidR="002144EC" w:rsidRDefault="002144EC" w:rsidP="002144EC">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(9)若初次心臟</w:t>
      </w:r>
      <w:proofErr w:type="gramStart"/>
      <w:r>
        <w:rPr>
          <w:rFonts w:ascii="標楷體" w:eastAsia="標楷體" w:hAnsi="標楷體"/>
          <w:szCs w:val="24"/>
        </w:rPr>
        <w:t>磁振造影</w:t>
      </w:r>
      <w:proofErr w:type="gramEnd"/>
      <w:r>
        <w:rPr>
          <w:rFonts w:ascii="標楷體" w:eastAsia="標楷體" w:hAnsi="標楷體"/>
          <w:szCs w:val="24"/>
        </w:rPr>
        <w:t>(MRI)檢查時有心肌纖維化的病患，追蹤時應做心臟</w:t>
      </w:r>
      <w:proofErr w:type="gramStart"/>
      <w:r>
        <w:rPr>
          <w:rFonts w:ascii="標楷體" w:eastAsia="標楷體" w:hAnsi="標楷體"/>
          <w:szCs w:val="24"/>
        </w:rPr>
        <w:t>磁振造影</w:t>
      </w:r>
      <w:proofErr w:type="gramEnd"/>
      <w:r>
        <w:rPr>
          <w:rFonts w:ascii="標楷體" w:eastAsia="標楷體" w:hAnsi="標楷體"/>
          <w:szCs w:val="24"/>
        </w:rPr>
        <w:t>；其他患者建議每兩年做心臟</w:t>
      </w:r>
      <w:proofErr w:type="gramStart"/>
      <w:r>
        <w:rPr>
          <w:rFonts w:ascii="標楷體" w:eastAsia="標楷體" w:hAnsi="標楷體"/>
          <w:szCs w:val="24"/>
        </w:rPr>
        <w:t>磁振造影</w:t>
      </w:r>
      <w:proofErr w:type="gramEnd"/>
      <w:r>
        <w:rPr>
          <w:rFonts w:ascii="標楷體" w:eastAsia="標楷體" w:hAnsi="標楷體"/>
          <w:szCs w:val="24"/>
        </w:rPr>
        <w:t>追蹤檢查。</w:t>
      </w:r>
    </w:p>
    <w:p w14:paraId="22ECE61F" w14:textId="77777777" w:rsidR="002144EC" w:rsidRDefault="002144EC" w:rsidP="002144EC">
      <w:pPr>
        <w:tabs>
          <w:tab w:val="left" w:pos="284"/>
        </w:tabs>
        <w:spacing w:line="300" w:lineRule="exact"/>
        <w:ind w:left="1152" w:hanging="386"/>
      </w:pPr>
      <w:r>
        <w:rPr>
          <w:rFonts w:ascii="標楷體" w:eastAsia="標楷體" w:hAnsi="標楷體"/>
          <w:szCs w:val="24"/>
        </w:rPr>
        <w:lastRenderedPageBreak/>
        <w:t>7.</w:t>
      </w:r>
      <w:proofErr w:type="gramStart"/>
      <w:r>
        <w:rPr>
          <w:rFonts w:ascii="標楷體" w:eastAsia="標楷體" w:hAnsi="標楷體"/>
          <w:szCs w:val="24"/>
        </w:rPr>
        <w:t>使用本類藥品</w:t>
      </w:r>
      <w:proofErr w:type="gramEnd"/>
      <w:r>
        <w:rPr>
          <w:rFonts w:ascii="標楷體" w:eastAsia="標楷體" w:hAnsi="標楷體"/>
          <w:szCs w:val="24"/>
        </w:rPr>
        <w:t>需完成個案系統登錄，亦需於療程結束或停止使用該藥品後，於此系統登錄結案。逾期未登錄結案者，系統自動結案，且不予支付該個案自前次事前審查核定日後申報之藥費。(114/2/1</w:t>
      </w:r>
      <w:proofErr w:type="gramStart"/>
      <w:r>
        <w:rPr>
          <w:rFonts w:ascii="標楷體" w:eastAsia="標楷體" w:hAnsi="標楷體"/>
          <w:szCs w:val="24"/>
        </w:rPr>
        <w:t>）</w:t>
      </w:r>
      <w:proofErr w:type="gramEnd"/>
    </w:p>
    <w:p w14:paraId="7544F2B9" w14:textId="77777777" w:rsidR="002144EC" w:rsidRDefault="002144EC" w:rsidP="002144EC">
      <w:pPr>
        <w:spacing w:line="300" w:lineRule="exact"/>
        <w:ind w:left="1176" w:hanging="468"/>
        <w:jc w:val="center"/>
        <w:rPr>
          <w:rFonts w:ascii="標楷體" w:eastAsia="標楷體" w:hAnsi="標楷體"/>
        </w:rPr>
      </w:pPr>
      <w:proofErr w:type="gramStart"/>
      <w:r>
        <w:rPr>
          <w:rFonts w:ascii="標楷體" w:eastAsia="標楷體" w:hAnsi="標楷體"/>
        </w:rPr>
        <w:t>法布瑞</w:t>
      </w:r>
      <w:proofErr w:type="gramEnd"/>
      <w:r>
        <w:rPr>
          <w:rFonts w:ascii="標楷體" w:eastAsia="標楷體" w:hAnsi="標楷體"/>
        </w:rPr>
        <w:t>氏症心臟變異型心臟功能評估指標表（114/2/1）</w:t>
      </w:r>
    </w:p>
    <w:tbl>
      <w:tblPr>
        <w:tblW w:w="5000" w:type="pct"/>
        <w:tblCellMar>
          <w:left w:w="10" w:type="dxa"/>
          <w:right w:w="10" w:type="dxa"/>
        </w:tblCellMar>
        <w:tblLook w:val="0000" w:firstRow="0" w:lastRow="0" w:firstColumn="0" w:lastColumn="0" w:noHBand="0" w:noVBand="0"/>
      </w:tblPr>
      <w:tblGrid>
        <w:gridCol w:w="1168"/>
        <w:gridCol w:w="8460"/>
      </w:tblGrid>
      <w:tr w:rsidR="002144EC" w14:paraId="0B4C6EEE"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209DA3"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心電圖[ECG]</w:t>
            </w:r>
          </w:p>
        </w:tc>
      </w:tr>
      <w:tr w:rsidR="002144EC" w14:paraId="0DD7394F"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48458E"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A108B2"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心電圖左心室肥厚 (ECG LVH </w:t>
            </w:r>
            <w:proofErr w:type="spellStart"/>
            <w:r>
              <w:rPr>
                <w:rFonts w:ascii="標楷體" w:eastAsia="標楷體" w:hAnsi="標楷體" w:cs="Calibri"/>
                <w:szCs w:val="24"/>
              </w:rPr>
              <w:t>Romhilt</w:t>
            </w:r>
            <w:proofErr w:type="spellEnd"/>
            <w:r>
              <w:rPr>
                <w:rFonts w:ascii="標楷體" w:eastAsia="標楷體" w:hAnsi="標楷體" w:cs="Calibri"/>
                <w:szCs w:val="24"/>
              </w:rPr>
              <w:t>-Estes score&gt;5或符合Cornell's criteria)</w:t>
            </w:r>
          </w:p>
        </w:tc>
      </w:tr>
      <w:tr w:rsidR="002144EC" w14:paraId="6463BC27"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BE385C"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84DEC9"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心肌與節律出現異常：AV block, short PR interval, </w:t>
            </w:r>
            <w:proofErr w:type="spellStart"/>
            <w:r>
              <w:rPr>
                <w:rFonts w:ascii="標楷體" w:eastAsia="標楷體" w:hAnsi="標楷體" w:cs="Calibri"/>
                <w:szCs w:val="24"/>
              </w:rPr>
              <w:t>LBBB,ventricular</w:t>
            </w:r>
            <w:proofErr w:type="spellEnd"/>
            <w:r>
              <w:rPr>
                <w:rFonts w:ascii="標楷體" w:eastAsia="標楷體" w:hAnsi="標楷體" w:cs="Calibri"/>
                <w:szCs w:val="24"/>
              </w:rPr>
              <w:t xml:space="preserve"> or atrial tachyarrhythmias, sinus bradycardia(在沒有使用抑制心律的藥物下)</w:t>
            </w:r>
          </w:p>
        </w:tc>
      </w:tr>
      <w:tr w:rsidR="002144EC" w14:paraId="74046EDB"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361D07"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心臟超音波[Echocardiogram]</w:t>
            </w:r>
          </w:p>
        </w:tc>
      </w:tr>
      <w:tr w:rsidR="002144EC" w14:paraId="5FFAA6F7"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1DB52D"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BC75A9"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左心室厚度&gt;12mm。</w:t>
            </w:r>
          </w:p>
        </w:tc>
      </w:tr>
      <w:tr w:rsidR="002144EC" w14:paraId="39BB1F1B"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E43204"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5F8697"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心臟超音波左心室質量指數 (LVMI)男性大於51 gm/m2.7, 女性大於48 gm/m2.7, LVMI。（108/5/1）</w:t>
            </w:r>
          </w:p>
        </w:tc>
      </w:tr>
      <w:tr w:rsidR="002144EC" w14:paraId="5E5476C9"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A516E3"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6BF8A1"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心臟超音波左心室舒張功能異常 E/A ratio&gt;2.0及</w:t>
            </w:r>
          </w:p>
          <w:p w14:paraId="6B2DFD1F"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deceleration time&lt;150 msec或組織超音波顯示舒張功能異常(二尖瓣</w:t>
            </w:r>
            <w:proofErr w:type="gramStart"/>
            <w:r>
              <w:rPr>
                <w:rFonts w:ascii="標楷體" w:eastAsia="標楷體" w:hAnsi="標楷體" w:cs="Calibri"/>
                <w:szCs w:val="24"/>
              </w:rPr>
              <w:t>環部中膈</w:t>
            </w:r>
            <w:proofErr w:type="gramEnd"/>
            <w:r>
              <w:rPr>
                <w:rFonts w:ascii="標楷體" w:eastAsia="標楷體" w:hAnsi="標楷體" w:cs="Calibri"/>
                <w:szCs w:val="24"/>
              </w:rPr>
              <w:t xml:space="preserve">E/E' &gt;15 </w:t>
            </w:r>
            <w:proofErr w:type="gramStart"/>
            <w:r>
              <w:rPr>
                <w:rFonts w:ascii="標楷體" w:eastAsia="標楷體" w:hAnsi="標楷體" w:cs="Calibri"/>
                <w:szCs w:val="24"/>
              </w:rPr>
              <w:t>或側壁</w:t>
            </w:r>
            <w:proofErr w:type="gramEnd"/>
            <w:r>
              <w:rPr>
                <w:rFonts w:ascii="標楷體" w:eastAsia="標楷體" w:hAnsi="標楷體" w:cs="Calibri"/>
                <w:szCs w:val="24"/>
              </w:rPr>
              <w:t>E/E'&gt;12).</w:t>
            </w:r>
          </w:p>
        </w:tc>
      </w:tr>
      <w:tr w:rsidR="002144EC" w14:paraId="194965BE"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5DE5D8"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476DBA" w14:textId="77777777" w:rsidR="002144EC" w:rsidRDefault="002144EC" w:rsidP="002144EC">
            <w:pPr>
              <w:suppressAutoHyphens w:val="0"/>
              <w:spacing w:line="300" w:lineRule="exact"/>
              <w:textAlignment w:val="auto"/>
            </w:pPr>
            <w:r>
              <w:rPr>
                <w:rFonts w:ascii="標楷體" w:eastAsia="標楷體" w:hAnsi="標楷體" w:cs="Calibri"/>
                <w:szCs w:val="24"/>
              </w:rPr>
              <w:t>間隔至少超過12個月測量左心室質量 (LVM) 增加&gt;5g/m</w:t>
            </w:r>
            <w:r>
              <w:rPr>
                <w:rFonts w:ascii="標楷體" w:eastAsia="標楷體" w:hAnsi="標楷體" w:cs="Calibri"/>
                <w:szCs w:val="24"/>
                <w:vertAlign w:val="superscript"/>
              </w:rPr>
              <w:t>2</w:t>
            </w:r>
          </w:p>
        </w:tc>
      </w:tr>
      <w:tr w:rsidR="002144EC" w14:paraId="4D11E2C5"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0F674"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5</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8B7E1A"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心臟超音波左心房體積增加&gt;34 mL/m2 body surface area (BSA)</w:t>
            </w:r>
          </w:p>
          <w:p w14:paraId="4871B3F7"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（108/5/1）</w:t>
            </w:r>
          </w:p>
        </w:tc>
      </w:tr>
      <w:tr w:rsidR="002144EC" w14:paraId="3F473D96"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589D1"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6</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4E022"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中度到重度的二尖瓣與主動瓣膜閉鎖不全</w:t>
            </w:r>
          </w:p>
        </w:tc>
      </w:tr>
      <w:tr w:rsidR="002144EC" w14:paraId="7E6D8269"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12770A"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心臟核磁共振檢查報告</w:t>
            </w:r>
          </w:p>
        </w:tc>
      </w:tr>
      <w:tr w:rsidR="002144EC" w14:paraId="5B3608F7"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30F6CC"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78C54D"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w:t>
            </w:r>
            <w:proofErr w:type="gramStart"/>
            <w:r>
              <w:rPr>
                <w:rFonts w:ascii="標楷體" w:eastAsia="標楷體" w:hAnsi="標楷體" w:cs="Calibri"/>
                <w:szCs w:val="24"/>
              </w:rPr>
              <w:t>磁振造影</w:t>
            </w:r>
            <w:proofErr w:type="gramEnd"/>
            <w:r>
              <w:rPr>
                <w:rFonts w:ascii="標楷體" w:eastAsia="標楷體" w:hAnsi="標楷體" w:cs="Calibri"/>
                <w:szCs w:val="24"/>
              </w:rPr>
              <w:t>心肌延遲顯影(delayed enhancement)出現左心室的輕度到中度纖維化。</w:t>
            </w:r>
          </w:p>
        </w:tc>
      </w:tr>
      <w:tr w:rsidR="002144EC" w14:paraId="441DCA35"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02DE72"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1C98C6"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Low native T1</w:t>
            </w:r>
          </w:p>
        </w:tc>
      </w:tr>
      <w:tr w:rsidR="002144EC" w14:paraId="2FDEDA1C"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E32AC5"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ECA767"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High T2</w:t>
            </w:r>
          </w:p>
        </w:tc>
      </w:tr>
      <w:tr w:rsidR="002144EC" w14:paraId="5FB83A1F"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6226C9"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6B2DB"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因裝置MRI incompatible pacemaker 而無法執行</w:t>
            </w:r>
          </w:p>
        </w:tc>
      </w:tr>
      <w:tr w:rsidR="002144EC" w14:paraId="7D9757C1"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9AAACD"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實驗室檢查報告</w:t>
            </w:r>
          </w:p>
        </w:tc>
      </w:tr>
      <w:tr w:rsidR="002144EC" w14:paraId="59A6CA7D" w14:textId="77777777" w:rsidTr="00C8754F">
        <w:trPr>
          <w:trHeight w:val="429"/>
        </w:trPr>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0E8CC9"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3BD6A7"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NT-</w:t>
            </w:r>
            <w:proofErr w:type="spellStart"/>
            <w:r>
              <w:rPr>
                <w:rFonts w:ascii="標楷體" w:eastAsia="標楷體" w:hAnsi="標楷體" w:cs="Calibri"/>
                <w:szCs w:val="24"/>
              </w:rPr>
              <w:t>proBNP</w:t>
            </w:r>
            <w:proofErr w:type="spellEnd"/>
            <w:r>
              <w:rPr>
                <w:rFonts w:ascii="標楷體" w:eastAsia="標楷體" w:hAnsi="標楷體" w:cs="Calibri"/>
                <w:szCs w:val="24"/>
              </w:rPr>
              <w:t>/BNP 或 high sensitivity troponin升高（112/8/1）</w:t>
            </w:r>
          </w:p>
        </w:tc>
      </w:tr>
    </w:tbl>
    <w:p w14:paraId="6EB30722" w14:textId="77777777" w:rsidR="002144EC" w:rsidRDefault="002144EC" w:rsidP="002144EC">
      <w:pPr>
        <w:tabs>
          <w:tab w:val="left" w:pos="284"/>
        </w:tabs>
        <w:suppressAutoHyphens w:val="0"/>
        <w:spacing w:line="300" w:lineRule="exact"/>
        <w:ind w:left="672" w:hanging="386"/>
        <w:textAlignment w:val="auto"/>
        <w:rPr>
          <w:rFonts w:ascii="標楷體" w:eastAsia="標楷體" w:hAnsi="標楷體"/>
        </w:rPr>
      </w:pPr>
      <w:r>
        <w:rPr>
          <w:rFonts w:ascii="標楷體" w:eastAsia="標楷體" w:hAnsi="標楷體"/>
        </w:rPr>
        <w:t>3.3.14.Carglumic acid (如</w:t>
      </w:r>
      <w:proofErr w:type="spellStart"/>
      <w:r>
        <w:rPr>
          <w:rFonts w:ascii="標楷體" w:eastAsia="標楷體" w:hAnsi="標楷體"/>
        </w:rPr>
        <w:t>Carbaglu</w:t>
      </w:r>
      <w:proofErr w:type="spellEnd"/>
      <w:r>
        <w:rPr>
          <w:rFonts w:ascii="標楷體" w:eastAsia="標楷體" w:hAnsi="標楷體"/>
        </w:rPr>
        <w:t xml:space="preserve"> Tablets)：（102/9/1、106/7/1）</w:t>
      </w:r>
    </w:p>
    <w:p w14:paraId="65258881" w14:textId="77777777" w:rsidR="002144EC" w:rsidRDefault="002144EC" w:rsidP="002144EC">
      <w:pPr>
        <w:spacing w:line="300" w:lineRule="exact"/>
        <w:ind w:left="566"/>
        <w:rPr>
          <w:rFonts w:ascii="標楷體" w:eastAsia="標楷體" w:hAnsi="標楷體"/>
        </w:rPr>
      </w:pPr>
      <w:r>
        <w:rPr>
          <w:rFonts w:ascii="標楷體" w:eastAsia="標楷體" w:hAnsi="標楷體"/>
        </w:rPr>
        <w:t>1.限下列病例使用：</w:t>
      </w:r>
    </w:p>
    <w:p w14:paraId="6BF29F18"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(1)N-乙醯</w:t>
      </w:r>
      <w:proofErr w:type="gramStart"/>
      <w:r>
        <w:rPr>
          <w:rFonts w:ascii="標楷體" w:eastAsia="標楷體" w:hAnsi="標楷體"/>
        </w:rPr>
        <w:t>麩</w:t>
      </w:r>
      <w:proofErr w:type="gramEnd"/>
      <w:r>
        <w:rPr>
          <w:rFonts w:ascii="標楷體" w:eastAsia="標楷體" w:hAnsi="標楷體"/>
        </w:rPr>
        <w:t>胺酸合成酶缺乏症(以下稱NAGS 缺乏症)。</w:t>
      </w:r>
    </w:p>
    <w:p w14:paraId="55CE3A94"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w:t>
      </w:r>
      <w:proofErr w:type="gramStart"/>
      <w:r>
        <w:rPr>
          <w:rFonts w:ascii="標楷體" w:eastAsia="標楷體" w:hAnsi="標楷體"/>
        </w:rPr>
        <w:t>異戊酸血</w:t>
      </w:r>
      <w:proofErr w:type="gramEnd"/>
      <w:r>
        <w:rPr>
          <w:rFonts w:ascii="標楷體" w:eastAsia="標楷體" w:hAnsi="標楷體"/>
        </w:rPr>
        <w:t>症及甲基丙二</w:t>
      </w:r>
      <w:proofErr w:type="gramStart"/>
      <w:r>
        <w:rPr>
          <w:rFonts w:ascii="標楷體" w:eastAsia="標楷體" w:hAnsi="標楷體"/>
        </w:rPr>
        <w:t>酸血症及丙酸血</w:t>
      </w:r>
      <w:proofErr w:type="gramEnd"/>
      <w:r>
        <w:rPr>
          <w:rFonts w:ascii="標楷體" w:eastAsia="標楷體" w:hAnsi="標楷體"/>
        </w:rPr>
        <w:t>症。</w:t>
      </w:r>
    </w:p>
    <w:p w14:paraId="63AA181B"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(3)初次發作之不明原因高血氨，懷疑是先天代謝異常者 (</w:t>
      </w:r>
      <w:proofErr w:type="gramStart"/>
      <w:r>
        <w:rPr>
          <w:rFonts w:ascii="標楷體" w:eastAsia="標楷體" w:hAnsi="標楷體"/>
        </w:rPr>
        <w:t>血氨值在</w:t>
      </w:r>
      <w:proofErr w:type="gramEnd"/>
      <w:r>
        <w:rPr>
          <w:rFonts w:ascii="標楷體" w:eastAsia="標楷體" w:hAnsi="標楷體"/>
        </w:rPr>
        <w:t>新生兒高於150μmol/L，在其他患者高於100μmol/L)。（106/7/1）</w:t>
      </w:r>
    </w:p>
    <w:p w14:paraId="0F6BA392" w14:textId="77777777" w:rsidR="002144EC" w:rsidRDefault="002144EC" w:rsidP="002144EC">
      <w:pPr>
        <w:spacing w:line="300" w:lineRule="exact"/>
        <w:ind w:left="782" w:hanging="216"/>
        <w:rPr>
          <w:rFonts w:ascii="標楷體" w:eastAsia="標楷體" w:hAnsi="標楷體"/>
        </w:rPr>
      </w:pPr>
      <w:r>
        <w:rPr>
          <w:rFonts w:ascii="標楷體" w:eastAsia="標楷體" w:hAnsi="標楷體"/>
        </w:rPr>
        <w:t>2.應由具小兒專科醫師證書且接受過小兒遺傳或小兒新陳代謝等次專科訓練之醫師處方使用。</w:t>
      </w:r>
    </w:p>
    <w:p w14:paraId="2F6ED0C3"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3.使用時須符合下列規定：（106/7/1）</w:t>
      </w:r>
    </w:p>
    <w:p w14:paraId="494B8F92" w14:textId="77777777" w:rsidR="002144EC" w:rsidRDefault="002144EC" w:rsidP="002144EC">
      <w:pPr>
        <w:spacing w:line="300" w:lineRule="exact"/>
        <w:ind w:left="1090" w:hanging="382"/>
        <w:rPr>
          <w:rFonts w:ascii="標楷體" w:eastAsia="標楷體" w:hAnsi="標楷體"/>
        </w:rPr>
      </w:pPr>
      <w:r>
        <w:rPr>
          <w:rFonts w:ascii="標楷體" w:eastAsia="標楷體" w:hAnsi="標楷體"/>
        </w:rPr>
        <w:t>(1)病歷應詳實記載病程、確診之檢驗資料及治療反應。</w:t>
      </w:r>
    </w:p>
    <w:p w14:paraId="72CFBFDC" w14:textId="77777777" w:rsidR="002144EC" w:rsidRDefault="002144EC" w:rsidP="002144EC">
      <w:pPr>
        <w:spacing w:line="300" w:lineRule="exact"/>
        <w:ind w:left="1090" w:hanging="382"/>
        <w:rPr>
          <w:rFonts w:ascii="標楷體" w:eastAsia="標楷體" w:hAnsi="標楷體"/>
        </w:rPr>
      </w:pPr>
      <w:r>
        <w:rPr>
          <w:rFonts w:ascii="標楷體" w:eastAsia="標楷體" w:hAnsi="標楷體"/>
        </w:rPr>
        <w:t>(2)</w:t>
      </w:r>
      <w:proofErr w:type="gramStart"/>
      <w:r>
        <w:rPr>
          <w:rFonts w:ascii="標楷體" w:eastAsia="標楷體" w:hAnsi="標楷體"/>
        </w:rPr>
        <w:t>異戊酸血</w:t>
      </w:r>
      <w:proofErr w:type="gramEnd"/>
      <w:r>
        <w:rPr>
          <w:rFonts w:ascii="標楷體" w:eastAsia="標楷體" w:hAnsi="標楷體"/>
        </w:rPr>
        <w:t>症及甲基丙二</w:t>
      </w:r>
      <w:proofErr w:type="gramStart"/>
      <w:r>
        <w:rPr>
          <w:rFonts w:ascii="標楷體" w:eastAsia="標楷體" w:hAnsi="標楷體"/>
        </w:rPr>
        <w:t>酸血症及丙酸血</w:t>
      </w:r>
      <w:proofErr w:type="gramEnd"/>
      <w:r>
        <w:rPr>
          <w:rFonts w:ascii="標楷體" w:eastAsia="標楷體" w:hAnsi="標楷體"/>
        </w:rPr>
        <w:t>症患者，每次以使用7天為限，一年不超過21天為限。</w:t>
      </w:r>
    </w:p>
    <w:p w14:paraId="27004360" w14:textId="77777777" w:rsidR="002144EC" w:rsidRDefault="002144EC" w:rsidP="002144EC">
      <w:pPr>
        <w:spacing w:line="300" w:lineRule="exact"/>
        <w:ind w:left="1090" w:hanging="382"/>
        <w:rPr>
          <w:rFonts w:ascii="標楷體" w:eastAsia="標楷體" w:hAnsi="標楷體"/>
        </w:rPr>
      </w:pPr>
      <w:r>
        <w:rPr>
          <w:rFonts w:ascii="標楷體" w:eastAsia="標楷體" w:hAnsi="標楷體"/>
        </w:rPr>
        <w:t>(3)初次發作之不明原因高血氨，懷疑是先天代謝異常者 (</w:t>
      </w:r>
      <w:proofErr w:type="gramStart"/>
      <w:r>
        <w:rPr>
          <w:rFonts w:ascii="標楷體" w:eastAsia="標楷體" w:hAnsi="標楷體"/>
        </w:rPr>
        <w:t>血氨值在</w:t>
      </w:r>
      <w:proofErr w:type="gramEnd"/>
      <w:r>
        <w:rPr>
          <w:rFonts w:ascii="標楷體" w:eastAsia="標楷體" w:hAnsi="標楷體"/>
        </w:rPr>
        <w:t>新生兒高於150μmol/L，在其他患者高於100μmol/L)，以使用7天為限，一生使用以一次為限。</w:t>
      </w:r>
    </w:p>
    <w:p w14:paraId="50257571" w14:textId="77777777" w:rsidR="002144EC" w:rsidRDefault="002144EC" w:rsidP="002144EC">
      <w:pPr>
        <w:spacing w:line="300" w:lineRule="exact"/>
        <w:ind w:left="1090" w:hanging="382"/>
        <w:rPr>
          <w:rFonts w:ascii="標楷體" w:eastAsia="標楷體" w:hAnsi="標楷體"/>
        </w:rPr>
      </w:pPr>
      <w:r>
        <w:rPr>
          <w:rFonts w:ascii="標楷體" w:eastAsia="標楷體" w:hAnsi="標楷體"/>
        </w:rPr>
        <w:t>(4)用藥後，若病情無法持續改善或疾病已惡化，應停止使用。</w:t>
      </w:r>
    </w:p>
    <w:p w14:paraId="48175966" w14:textId="77777777" w:rsidR="002144EC" w:rsidRDefault="002144EC" w:rsidP="002144EC">
      <w:pPr>
        <w:spacing w:line="300" w:lineRule="exact"/>
        <w:ind w:left="566"/>
        <w:rPr>
          <w:rFonts w:ascii="標楷體" w:eastAsia="標楷體" w:hAnsi="標楷體"/>
        </w:rPr>
      </w:pPr>
      <w:r>
        <w:rPr>
          <w:rFonts w:ascii="標楷體" w:eastAsia="標楷體" w:hAnsi="標楷體"/>
        </w:rPr>
        <w:t>※病情無法持續改善或疾病已惡化之定義：</w:t>
      </w:r>
    </w:p>
    <w:p w14:paraId="42CD86BB" w14:textId="77777777" w:rsidR="002144EC" w:rsidRDefault="002144EC" w:rsidP="002144EC">
      <w:pPr>
        <w:spacing w:line="300" w:lineRule="exact"/>
        <w:ind w:left="783" w:hanging="1"/>
        <w:rPr>
          <w:rFonts w:ascii="標楷體" w:eastAsia="標楷體" w:hAnsi="標楷體"/>
        </w:rPr>
      </w:pPr>
      <w:r>
        <w:rPr>
          <w:rFonts w:ascii="標楷體" w:eastAsia="標楷體" w:hAnsi="標楷體"/>
        </w:rPr>
        <w:t>昏迷指數(GCS)持續低於8分(重度昏迷)，或新生兒患者之</w:t>
      </w:r>
      <w:proofErr w:type="gramStart"/>
      <w:r>
        <w:rPr>
          <w:rFonts w:ascii="標楷體" w:eastAsia="標楷體" w:hAnsi="標楷體"/>
        </w:rPr>
        <w:t>血氨值持續</w:t>
      </w:r>
      <w:proofErr w:type="gramEnd"/>
      <w:r>
        <w:rPr>
          <w:rFonts w:ascii="標楷體" w:eastAsia="標楷體" w:hAnsi="標楷體"/>
        </w:rPr>
        <w:t>高於</w:t>
      </w:r>
      <w:r>
        <w:rPr>
          <w:rFonts w:ascii="標楷體" w:eastAsia="標楷體" w:hAnsi="標楷體"/>
        </w:rPr>
        <w:lastRenderedPageBreak/>
        <w:t>150μmol/L；嬰兒及兒童患者之</w:t>
      </w:r>
      <w:proofErr w:type="gramStart"/>
      <w:r>
        <w:rPr>
          <w:rFonts w:ascii="標楷體" w:eastAsia="標楷體" w:hAnsi="標楷體"/>
        </w:rPr>
        <w:t>血氨值持續</w:t>
      </w:r>
      <w:proofErr w:type="gramEnd"/>
      <w:r>
        <w:rPr>
          <w:rFonts w:ascii="標楷體" w:eastAsia="標楷體" w:hAnsi="標楷體"/>
        </w:rPr>
        <w:t>高於100μmol/L 。</w:t>
      </w:r>
    </w:p>
    <w:p w14:paraId="61B68441" w14:textId="77777777" w:rsidR="002144EC" w:rsidRDefault="002144EC" w:rsidP="002144EC">
      <w:pPr>
        <w:spacing w:line="300" w:lineRule="exact"/>
        <w:ind w:left="708" w:hanging="425"/>
        <w:rPr>
          <w:rFonts w:ascii="標楷體" w:eastAsia="標楷體" w:hAnsi="標楷體"/>
        </w:rPr>
      </w:pPr>
      <w:r>
        <w:rPr>
          <w:rFonts w:ascii="標楷體" w:eastAsia="標楷體" w:hAnsi="標楷體"/>
        </w:rPr>
        <w:t>3.3.15.Galsulfase (如</w:t>
      </w:r>
      <w:proofErr w:type="spellStart"/>
      <w:r>
        <w:rPr>
          <w:rFonts w:ascii="標楷體" w:eastAsia="標楷體" w:hAnsi="標楷體"/>
        </w:rPr>
        <w:t>Naglazyme</w:t>
      </w:r>
      <w:proofErr w:type="spellEnd"/>
      <w:r>
        <w:rPr>
          <w:rFonts w:ascii="標楷體" w:eastAsia="標楷體" w:hAnsi="標楷體"/>
        </w:rPr>
        <w:t>)：(106/10/1、107/12/1)</w:t>
      </w:r>
    </w:p>
    <w:p w14:paraId="31FCA707"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1.病患須符合以下診斷條件：須證明患者之</w:t>
      </w:r>
      <w:proofErr w:type="gramStart"/>
      <w:r>
        <w:rPr>
          <w:rFonts w:ascii="標楷體" w:eastAsia="標楷體" w:hAnsi="標楷體"/>
        </w:rPr>
        <w:t>週</w:t>
      </w:r>
      <w:proofErr w:type="gramEnd"/>
      <w:r>
        <w:rPr>
          <w:rFonts w:ascii="標楷體" w:eastAsia="標楷體" w:hAnsi="標楷體"/>
        </w:rPr>
        <w:t>邊血液白血球或經培養之皮膚纖維</w:t>
      </w:r>
      <w:proofErr w:type="gramStart"/>
      <w:r>
        <w:rPr>
          <w:rFonts w:ascii="標楷體" w:eastAsia="標楷體" w:hAnsi="標楷體"/>
        </w:rPr>
        <w:t>芽</w:t>
      </w:r>
      <w:proofErr w:type="gramEnd"/>
      <w:r>
        <w:rPr>
          <w:rFonts w:ascii="標楷體" w:eastAsia="標楷體" w:hAnsi="標楷體"/>
        </w:rPr>
        <w:t>細胞ARSB活性缺乏，或是患者ARSB基因經分子生物學檢驗確認有兩個分別來自父母雙方，已知或必然會引起</w:t>
      </w:r>
      <w:proofErr w:type="gramStart"/>
      <w:r>
        <w:rPr>
          <w:rFonts w:ascii="標楷體" w:eastAsia="標楷體" w:hAnsi="標楷體"/>
        </w:rPr>
        <w:t>黏</w:t>
      </w:r>
      <w:proofErr w:type="gramEnd"/>
      <w:r>
        <w:rPr>
          <w:rFonts w:ascii="標楷體" w:eastAsia="標楷體" w:hAnsi="標楷體"/>
        </w:rPr>
        <w:t>多醣症第六型之突變。</w:t>
      </w:r>
    </w:p>
    <w:p w14:paraId="44A08338"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2.限兒科專科經醫學遺傳學次專科訓練取得證書之醫師使用。</w:t>
      </w:r>
    </w:p>
    <w:p w14:paraId="5CD6E6B7"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3.排除使用於：</w:t>
      </w:r>
    </w:p>
    <w:p w14:paraId="3B5DDF7C"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(1)患者若未給予治療，並不會導致健康情況之惡化時。</w:t>
      </w:r>
    </w:p>
    <w:p w14:paraId="1B536C32"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(2)重型病患：完全臥床且無行動能力，或是無法自行呼吸且完全仰賴呼吸器維生者。</w:t>
      </w:r>
    </w:p>
    <w:p w14:paraId="6A6A6CF7"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(3)早期診斷帶有已知嚴重突變點的病患, 但無明顯臨床症狀者。</w:t>
      </w:r>
    </w:p>
    <w:p w14:paraId="0FE31F6B"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4.標準劑量為每週經靜脈注射給予</w:t>
      </w:r>
      <w:proofErr w:type="spellStart"/>
      <w:r>
        <w:rPr>
          <w:rFonts w:ascii="標楷體" w:eastAsia="標楷體" w:hAnsi="標楷體"/>
        </w:rPr>
        <w:t>galsulfase</w:t>
      </w:r>
      <w:proofErr w:type="spellEnd"/>
      <w:r>
        <w:rPr>
          <w:rFonts w:ascii="標楷體" w:eastAsia="標楷體" w:hAnsi="標楷體"/>
        </w:rPr>
        <w:t xml:space="preserve"> 1 mg/Kg。</w:t>
      </w:r>
    </w:p>
    <w:p w14:paraId="1738FDA0"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5.</w:t>
      </w:r>
      <w:proofErr w:type="gramStart"/>
      <w:r>
        <w:rPr>
          <w:rFonts w:ascii="標楷體" w:eastAsia="標楷體" w:hAnsi="標楷體"/>
        </w:rPr>
        <w:t>黏</w:t>
      </w:r>
      <w:proofErr w:type="gramEnd"/>
      <w:r>
        <w:rPr>
          <w:rFonts w:ascii="標楷體" w:eastAsia="標楷體" w:hAnsi="標楷體"/>
        </w:rPr>
        <w:t>多醣症第六型對於器官之傷害多屬不可逆性，治療前應與患者及家屬充分溝通告知下列事項，並請其簽名確認已被告知，留存病歷備查：</w:t>
      </w:r>
    </w:p>
    <w:p w14:paraId="0066ADFC"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(1)確定其了解治療的預期效果。</w:t>
      </w:r>
    </w:p>
    <w:p w14:paraId="7E2D3B44"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(2)患者有義務接受定期追蹤評估。</w:t>
      </w:r>
    </w:p>
    <w:p w14:paraId="28478BAE"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6.應定期追蹤評估治療效果及下列事項：</w:t>
      </w:r>
    </w:p>
    <w:p w14:paraId="5BC64A55"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(1)至少每半年追蹤一次：</w:t>
      </w:r>
    </w:p>
    <w:p w14:paraId="611E7A97" w14:textId="77777777" w:rsidR="002144EC" w:rsidRDefault="002144EC" w:rsidP="002144EC">
      <w:pPr>
        <w:spacing w:line="300" w:lineRule="exact"/>
        <w:ind w:left="1414" w:hanging="336"/>
        <w:rPr>
          <w:rFonts w:ascii="標楷體" w:eastAsia="標楷體" w:hAnsi="標楷體"/>
        </w:rPr>
      </w:pPr>
      <w:r>
        <w:rPr>
          <w:rFonts w:ascii="標楷體" w:eastAsia="標楷體" w:hAnsi="標楷體"/>
        </w:rPr>
        <w:t>I.身高體重；</w:t>
      </w:r>
    </w:p>
    <w:p w14:paraId="6951D948" w14:textId="77777777" w:rsidR="002144EC" w:rsidRDefault="002144EC" w:rsidP="002144EC">
      <w:pPr>
        <w:spacing w:line="300" w:lineRule="exact"/>
        <w:ind w:left="1414" w:hanging="336"/>
        <w:rPr>
          <w:rFonts w:ascii="標楷體" w:eastAsia="標楷體" w:hAnsi="標楷體"/>
        </w:rPr>
      </w:pPr>
      <w:r>
        <w:rPr>
          <w:rFonts w:ascii="標楷體" w:eastAsia="標楷體" w:hAnsi="標楷體"/>
        </w:rPr>
        <w:t>II.尿液</w:t>
      </w:r>
      <w:proofErr w:type="gramStart"/>
      <w:r>
        <w:rPr>
          <w:rFonts w:ascii="標楷體" w:eastAsia="標楷體" w:hAnsi="標楷體"/>
        </w:rPr>
        <w:t>黏多醣量</w:t>
      </w:r>
      <w:proofErr w:type="gramEnd"/>
      <w:r>
        <w:rPr>
          <w:rFonts w:ascii="標楷體" w:eastAsia="標楷體" w:hAnsi="標楷體"/>
        </w:rPr>
        <w:t>；</w:t>
      </w:r>
    </w:p>
    <w:p w14:paraId="0409849D"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(2)至少每一年追蹤一次：</w:t>
      </w:r>
    </w:p>
    <w:p w14:paraId="7C312C42" w14:textId="77777777" w:rsidR="002144EC" w:rsidRDefault="002144EC" w:rsidP="002144EC">
      <w:pPr>
        <w:spacing w:line="300" w:lineRule="exact"/>
        <w:ind w:left="1414" w:hanging="336"/>
        <w:rPr>
          <w:rFonts w:ascii="標楷體" w:eastAsia="標楷體" w:hAnsi="標楷體"/>
        </w:rPr>
      </w:pPr>
      <w:r>
        <w:rPr>
          <w:rFonts w:ascii="標楷體" w:eastAsia="標楷體" w:hAnsi="標楷體"/>
        </w:rPr>
        <w:t>I.腹部超音波、肝臟大小、脾臟大小；</w:t>
      </w:r>
    </w:p>
    <w:p w14:paraId="057BED25" w14:textId="77777777" w:rsidR="002144EC" w:rsidRDefault="002144EC" w:rsidP="002144EC">
      <w:pPr>
        <w:spacing w:line="300" w:lineRule="exact"/>
        <w:ind w:left="1414" w:hanging="336"/>
        <w:rPr>
          <w:rFonts w:ascii="標楷體" w:eastAsia="標楷體" w:hAnsi="標楷體"/>
        </w:rPr>
      </w:pPr>
      <w:r>
        <w:rPr>
          <w:rFonts w:ascii="標楷體" w:eastAsia="標楷體" w:hAnsi="標楷體"/>
        </w:rPr>
        <w:t>II. 心電圖；</w:t>
      </w:r>
    </w:p>
    <w:p w14:paraId="7E456002" w14:textId="77777777" w:rsidR="002144EC" w:rsidRDefault="002144EC" w:rsidP="002144EC">
      <w:pPr>
        <w:spacing w:line="300" w:lineRule="exact"/>
        <w:ind w:left="1414" w:hanging="336"/>
        <w:rPr>
          <w:rFonts w:ascii="標楷體" w:eastAsia="標楷體" w:hAnsi="標楷體"/>
        </w:rPr>
      </w:pPr>
      <w:r>
        <w:rPr>
          <w:rFonts w:ascii="標楷體" w:eastAsia="標楷體" w:hAnsi="標楷體"/>
        </w:rPr>
        <w:t>III.心臟超音波；</w:t>
      </w:r>
    </w:p>
    <w:p w14:paraId="46811613" w14:textId="77777777" w:rsidR="002144EC" w:rsidRDefault="002144EC" w:rsidP="002144EC">
      <w:pPr>
        <w:spacing w:line="300" w:lineRule="exact"/>
        <w:ind w:left="1414" w:hanging="336"/>
        <w:rPr>
          <w:rFonts w:ascii="標楷體" w:eastAsia="標楷體" w:hAnsi="標楷體"/>
        </w:rPr>
      </w:pPr>
      <w:r>
        <w:rPr>
          <w:rFonts w:ascii="標楷體" w:eastAsia="標楷體" w:hAnsi="標楷體"/>
        </w:rPr>
        <w:t>IV.六分鐘步行測驗（6-minute walk test）或於5歲以下幼童以DDST （Denver Developmental Screening Test）粗動作及精細動作（Gross Motor and Fine Motor）檢測；(107/12/1)；</w:t>
      </w:r>
    </w:p>
    <w:p w14:paraId="6138BFBA" w14:textId="77777777" w:rsidR="002144EC" w:rsidRDefault="002144EC" w:rsidP="002144EC">
      <w:pPr>
        <w:spacing w:line="300" w:lineRule="exact"/>
        <w:ind w:left="1414" w:hanging="336"/>
        <w:rPr>
          <w:rFonts w:ascii="標楷體" w:eastAsia="標楷體" w:hAnsi="標楷體"/>
        </w:rPr>
      </w:pPr>
      <w:r>
        <w:rPr>
          <w:rFonts w:ascii="標楷體" w:eastAsia="標楷體" w:hAnsi="標楷體"/>
        </w:rPr>
        <w:t>V.肺功能；</w:t>
      </w:r>
    </w:p>
    <w:p w14:paraId="592020D4"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7.需經事前審查核准後使用，每次申請之療程以1年為限。重新申請時，若有下列任</w:t>
      </w:r>
      <w:proofErr w:type="gramStart"/>
      <w:r>
        <w:rPr>
          <w:rFonts w:ascii="標楷體" w:eastAsia="標楷體" w:hAnsi="標楷體"/>
        </w:rPr>
        <w:t>一</w:t>
      </w:r>
      <w:proofErr w:type="gramEnd"/>
      <w:r>
        <w:rPr>
          <w:rFonts w:ascii="標楷體" w:eastAsia="標楷體" w:hAnsi="標楷體"/>
        </w:rPr>
        <w:t>情況，則不再給予</w:t>
      </w:r>
      <w:proofErr w:type="spellStart"/>
      <w:r>
        <w:rPr>
          <w:rFonts w:ascii="標楷體" w:eastAsia="標楷體" w:hAnsi="標楷體"/>
        </w:rPr>
        <w:t>galsulfase</w:t>
      </w:r>
      <w:proofErr w:type="spellEnd"/>
      <w:r>
        <w:rPr>
          <w:rFonts w:ascii="標楷體" w:eastAsia="標楷體" w:hAnsi="標楷體"/>
        </w:rPr>
        <w:t>治療：(107/12/1)</w:t>
      </w:r>
    </w:p>
    <w:p w14:paraId="40985230"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(1)尿中葡萄</w:t>
      </w:r>
      <w:proofErr w:type="gramStart"/>
      <w:r>
        <w:rPr>
          <w:rFonts w:ascii="標楷體" w:eastAsia="標楷體" w:hAnsi="標楷體"/>
        </w:rPr>
        <w:t>胺聚醣與</w:t>
      </w:r>
      <w:proofErr w:type="gramEnd"/>
      <w:r>
        <w:rPr>
          <w:rFonts w:ascii="標楷體" w:eastAsia="標楷體" w:hAnsi="標楷體"/>
        </w:rPr>
        <w:t>肌酸酐比值：於接受治療的第一年之後評估，較前一年有50%以上的增加；第二年之後評估，較之前一年有100%以上的增加。(107/12/1)</w:t>
      </w:r>
    </w:p>
    <w:p w14:paraId="2E95C7DE"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(2)六分鐘步行測驗：較之前一年退步50%以上或連續2年有退步現象；5 歲以下幼童以DDST粗動作及精細動作檢測，發展進程年齡與實際年齡商數低於60%，或比初次檢測時之發展進程年齡退步。(107/12/1)</w:t>
      </w:r>
    </w:p>
    <w:p w14:paraId="43214D9D"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(3)呼吸功能檢查：在未供給任何氧氣治療下，血液中氧氣飽和度在2小時內無法持續維持1小時以上</w:t>
      </w:r>
      <w:proofErr w:type="gramStart"/>
      <w:r>
        <w:rPr>
          <w:rFonts w:ascii="標楷體" w:eastAsia="標楷體" w:hAnsi="標楷體"/>
        </w:rPr>
        <w:t>≧</w:t>
      </w:r>
      <w:proofErr w:type="gramEnd"/>
      <w:r>
        <w:rPr>
          <w:rFonts w:ascii="標楷體" w:eastAsia="標楷體" w:hAnsi="標楷體"/>
        </w:rPr>
        <w:t>90%。(107/12/1)</w:t>
      </w:r>
    </w:p>
    <w:p w14:paraId="6FAB6230"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8.須立即停止</w:t>
      </w:r>
      <w:proofErr w:type="spellStart"/>
      <w:r>
        <w:rPr>
          <w:rFonts w:ascii="標楷體" w:eastAsia="標楷體" w:hAnsi="標楷體"/>
        </w:rPr>
        <w:t>galsulfase</w:t>
      </w:r>
      <w:proofErr w:type="spellEnd"/>
      <w:r>
        <w:rPr>
          <w:rFonts w:ascii="標楷體" w:eastAsia="標楷體" w:hAnsi="標楷體"/>
        </w:rPr>
        <w:t xml:space="preserve">治療的情形： </w:t>
      </w:r>
    </w:p>
    <w:p w14:paraId="1CE2C9B2"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(1)有證據顯示病人開始呈現明顯的中樞神經系統退化之臨床表徵。</w:t>
      </w:r>
    </w:p>
    <w:p w14:paraId="436067B0"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(2)病人在接受治療時發生其它致命的疾病，這表示病人無法獲得</w:t>
      </w:r>
      <w:proofErr w:type="spellStart"/>
      <w:r>
        <w:rPr>
          <w:rFonts w:ascii="標楷體" w:eastAsia="標楷體" w:hAnsi="標楷體"/>
        </w:rPr>
        <w:t>galsulfase</w:t>
      </w:r>
      <w:proofErr w:type="spellEnd"/>
      <w:r>
        <w:rPr>
          <w:rFonts w:ascii="標楷體" w:eastAsia="標楷體" w:hAnsi="標楷體"/>
        </w:rPr>
        <w:t>的療效。</w:t>
      </w:r>
    </w:p>
    <w:p w14:paraId="6476A35A"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(3)病人發生嚴重不良反應。</w:t>
      </w:r>
    </w:p>
    <w:p w14:paraId="36659A6C"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(4)病人無法配合</w:t>
      </w:r>
      <w:proofErr w:type="gramStart"/>
      <w:r>
        <w:rPr>
          <w:rFonts w:ascii="標楷體" w:eastAsia="標楷體" w:hAnsi="標楷體"/>
        </w:rPr>
        <w:t>最</w:t>
      </w:r>
      <w:proofErr w:type="gramEnd"/>
      <w:r>
        <w:rPr>
          <w:rFonts w:ascii="標楷體" w:eastAsia="標楷體" w:hAnsi="標楷體"/>
        </w:rPr>
        <w:t>適療程所需的注射規定或無法配合療效的評估。</w:t>
      </w:r>
    </w:p>
    <w:p w14:paraId="72E1FC32" w14:textId="77777777" w:rsidR="002144EC" w:rsidRDefault="002144EC" w:rsidP="002144EC">
      <w:pPr>
        <w:spacing w:line="300" w:lineRule="exact"/>
        <w:ind w:left="532" w:hanging="245"/>
        <w:rPr>
          <w:rFonts w:ascii="標楷體" w:eastAsia="標楷體" w:hAnsi="標楷體"/>
        </w:rPr>
      </w:pPr>
      <w:r>
        <w:rPr>
          <w:rFonts w:ascii="標楷體" w:eastAsia="標楷體" w:hAnsi="標楷體"/>
        </w:rPr>
        <w:t>3.3.16.(刪除)(107/3/1、107/9/1、108/5/1、111/5/1)。</w:t>
      </w:r>
    </w:p>
    <w:p w14:paraId="6294F7A2" w14:textId="77777777" w:rsidR="002144EC" w:rsidRDefault="002144EC" w:rsidP="002144EC">
      <w:pPr>
        <w:spacing w:line="300" w:lineRule="exact"/>
        <w:ind w:left="708" w:hanging="425"/>
        <w:rPr>
          <w:rFonts w:ascii="標楷體" w:eastAsia="標楷體" w:hAnsi="標楷體"/>
        </w:rPr>
      </w:pPr>
      <w:r>
        <w:rPr>
          <w:rFonts w:ascii="標楷體" w:eastAsia="標楷體" w:hAnsi="標楷體"/>
        </w:rPr>
        <w:t xml:space="preserve">3.3.17. </w:t>
      </w:r>
      <w:proofErr w:type="spellStart"/>
      <w:r>
        <w:rPr>
          <w:rFonts w:ascii="標楷體" w:eastAsia="標楷體" w:hAnsi="標楷體"/>
        </w:rPr>
        <w:t>Elosulfase</w:t>
      </w:r>
      <w:proofErr w:type="spellEnd"/>
      <w:r>
        <w:rPr>
          <w:rFonts w:ascii="標楷體" w:eastAsia="標楷體" w:hAnsi="標楷體"/>
        </w:rPr>
        <w:t xml:space="preserve"> alfa (如</w:t>
      </w:r>
      <w:proofErr w:type="spellStart"/>
      <w:r>
        <w:rPr>
          <w:rFonts w:ascii="標楷體" w:eastAsia="標楷體" w:hAnsi="標楷體"/>
        </w:rPr>
        <w:t>Vimizim</w:t>
      </w:r>
      <w:proofErr w:type="spellEnd"/>
      <w:r>
        <w:rPr>
          <w:rFonts w:ascii="標楷體" w:eastAsia="標楷體" w:hAnsi="標楷體"/>
        </w:rPr>
        <w:t xml:space="preserve">) </w:t>
      </w:r>
      <w:proofErr w:type="spellStart"/>
      <w:r>
        <w:rPr>
          <w:rFonts w:ascii="標楷體" w:eastAsia="標楷體" w:hAnsi="標楷體"/>
        </w:rPr>
        <w:t>Elosulfase</w:t>
      </w:r>
      <w:proofErr w:type="spellEnd"/>
      <w:r>
        <w:rPr>
          <w:rFonts w:ascii="標楷體" w:eastAsia="標楷體" w:hAnsi="標楷體"/>
        </w:rPr>
        <w:t xml:space="preserve"> alfa (如</w:t>
      </w:r>
      <w:proofErr w:type="spellStart"/>
      <w:r>
        <w:rPr>
          <w:rFonts w:ascii="標楷體" w:eastAsia="標楷體" w:hAnsi="標楷體"/>
        </w:rPr>
        <w:t>Vimizim</w:t>
      </w:r>
      <w:proofErr w:type="spellEnd"/>
      <w:r>
        <w:rPr>
          <w:rFonts w:ascii="標楷體" w:eastAsia="標楷體" w:hAnsi="標楷體"/>
        </w:rPr>
        <w:t>) (107/4/1、112/7/1)</w:t>
      </w:r>
    </w:p>
    <w:p w14:paraId="07ECEA3B"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1.診斷：除了臨床表徵及尿液葡萄醣</w:t>
      </w:r>
      <w:proofErr w:type="gramStart"/>
      <w:r>
        <w:rPr>
          <w:rFonts w:ascii="標楷體" w:eastAsia="標楷體" w:hAnsi="標楷體"/>
        </w:rPr>
        <w:t>胺聚醣</w:t>
      </w:r>
      <w:proofErr w:type="gramEnd"/>
      <w:r>
        <w:rPr>
          <w:rFonts w:ascii="標楷體" w:eastAsia="標楷體" w:hAnsi="標楷體"/>
        </w:rPr>
        <w:t>定性、定量檢驗的佐證外，須證明患者之</w:t>
      </w:r>
      <w:proofErr w:type="gramStart"/>
      <w:r>
        <w:rPr>
          <w:rFonts w:ascii="標楷體" w:eastAsia="標楷體" w:hAnsi="標楷體"/>
        </w:rPr>
        <w:t>週</w:t>
      </w:r>
      <w:proofErr w:type="gramEnd"/>
      <w:r>
        <w:rPr>
          <w:rFonts w:ascii="標楷體" w:eastAsia="標楷體" w:hAnsi="標楷體"/>
        </w:rPr>
        <w:t>邊血液白血球或經培養之皮膚纖維</w:t>
      </w:r>
      <w:proofErr w:type="gramStart"/>
      <w:r>
        <w:rPr>
          <w:rFonts w:ascii="標楷體" w:eastAsia="標楷體" w:hAnsi="標楷體"/>
        </w:rPr>
        <w:t>芽</w:t>
      </w:r>
      <w:proofErr w:type="gramEnd"/>
      <w:r>
        <w:rPr>
          <w:rFonts w:ascii="標楷體" w:eastAsia="標楷體" w:hAnsi="標楷體"/>
        </w:rPr>
        <w:t>細胞GALNS 活性缺乏，或是患者GALNS 基因</w:t>
      </w:r>
      <w:r>
        <w:rPr>
          <w:rFonts w:ascii="標楷體" w:eastAsia="標楷體" w:hAnsi="標楷體"/>
        </w:rPr>
        <w:lastRenderedPageBreak/>
        <w:t>經分子生物學檢驗確認有兩個分別來自父母雙方，已知或必然會引起</w:t>
      </w:r>
      <w:proofErr w:type="gramStart"/>
      <w:r>
        <w:rPr>
          <w:rFonts w:ascii="標楷體" w:eastAsia="標楷體" w:hAnsi="標楷體"/>
        </w:rPr>
        <w:t>黏</w:t>
      </w:r>
      <w:proofErr w:type="gramEnd"/>
      <w:r>
        <w:rPr>
          <w:rFonts w:ascii="標楷體" w:eastAsia="標楷體" w:hAnsi="標楷體"/>
        </w:rPr>
        <w:t>多</w:t>
      </w:r>
      <w:proofErr w:type="gramStart"/>
      <w:r>
        <w:rPr>
          <w:rFonts w:ascii="標楷體" w:eastAsia="標楷體" w:hAnsi="標楷體"/>
        </w:rPr>
        <w:t>醣症第</w:t>
      </w:r>
      <w:proofErr w:type="gramEnd"/>
      <w:r>
        <w:rPr>
          <w:rFonts w:ascii="標楷體" w:eastAsia="標楷體" w:hAnsi="標楷體"/>
        </w:rPr>
        <w:t>IVA 型之突變。</w:t>
      </w:r>
    </w:p>
    <w:p w14:paraId="26E28DE3"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2.限小兒遺傳專科醫師使用。</w:t>
      </w:r>
    </w:p>
    <w:p w14:paraId="5C69F6A2"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3.排除使用於：</w:t>
      </w:r>
    </w:p>
    <w:p w14:paraId="68279564"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(1)患者合併有其他嚴重疾病，無法從酵素治療得到長期效益。</w:t>
      </w:r>
    </w:p>
    <w:p w14:paraId="519B16C9"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(2)重型病患：完全臥床且無行動能力，或是無法自行呼吸且完全仰賴呼吸器維生者。</w:t>
      </w:r>
    </w:p>
    <w:p w14:paraId="45C607B8"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(3)病患不願意配合追蹤評估。</w:t>
      </w:r>
    </w:p>
    <w:p w14:paraId="5922EA7F"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4.</w:t>
      </w:r>
      <w:proofErr w:type="gramStart"/>
      <w:r>
        <w:rPr>
          <w:rFonts w:ascii="標楷體" w:eastAsia="標楷體" w:hAnsi="標楷體"/>
        </w:rPr>
        <w:t>黏</w:t>
      </w:r>
      <w:proofErr w:type="gramEnd"/>
      <w:r>
        <w:rPr>
          <w:rFonts w:ascii="標楷體" w:eastAsia="標楷體" w:hAnsi="標楷體"/>
        </w:rPr>
        <w:t>多醣症第四型患者之傷害多屬不可逆性，治療前應與患者及家屬充分溝通告知下列事項，並請其簽名確認已被告知，留存病歷備查：</w:t>
      </w:r>
    </w:p>
    <w:p w14:paraId="2B8ADD02"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(1)確定其了解治療的預期效果。</w:t>
      </w:r>
    </w:p>
    <w:p w14:paraId="094D6B86"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(2)患者有義務接受定期追蹤評估。</w:t>
      </w:r>
    </w:p>
    <w:p w14:paraId="7A22A654"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5.需經事前審查核准後使用，每次申請之療程以1年為限。重新申請時，依下列病患疾病進程分類，若有評估項目中任兩項未達標準，則不予同意使用：</w:t>
      </w:r>
    </w:p>
    <w:p w14:paraId="1E53DCA1"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(1)5歲以上至少能以助行器行走的患者，針對下列Ⅰ.~ V.項。(112/7/1)</w:t>
      </w:r>
    </w:p>
    <w:p w14:paraId="1243C690"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(2)5歲以上無法行走的患者，針對下列II.~V.項。(112/7/1)</w:t>
      </w:r>
    </w:p>
    <w:p w14:paraId="4D252D05"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(3)未滿5歲的患者，針對下列III. ~V.項。(112/7/1)</w:t>
      </w:r>
    </w:p>
    <w:p w14:paraId="263D0730" w14:textId="77777777" w:rsidR="002144EC" w:rsidRDefault="002144EC" w:rsidP="002144EC">
      <w:pPr>
        <w:spacing w:line="300" w:lineRule="exact"/>
        <w:ind w:left="1188" w:hanging="425"/>
        <w:rPr>
          <w:rFonts w:ascii="標楷體" w:eastAsia="標楷體" w:hAnsi="標楷體"/>
        </w:rPr>
      </w:pPr>
      <w:r>
        <w:rPr>
          <w:rFonts w:ascii="標楷體" w:eastAsia="標楷體" w:hAnsi="標楷體"/>
        </w:rPr>
        <w:t>Ⅰ.6分鐘步行測驗：相較於治療前，至少有10%的改善，或在達療效高原期後維持10%的改善。</w:t>
      </w:r>
    </w:p>
    <w:p w14:paraId="0E498545" w14:textId="77777777" w:rsidR="002144EC" w:rsidRDefault="002144EC" w:rsidP="002144EC">
      <w:pPr>
        <w:spacing w:line="300" w:lineRule="exact"/>
        <w:ind w:left="1188" w:hanging="425"/>
        <w:rPr>
          <w:rFonts w:ascii="標楷體" w:eastAsia="標楷體" w:hAnsi="標楷體"/>
        </w:rPr>
      </w:pPr>
      <w:r>
        <w:rPr>
          <w:rFonts w:ascii="標楷體" w:eastAsia="標楷體" w:hAnsi="標楷體"/>
        </w:rPr>
        <w:t>II.呼吸功能檢查：FVC或FEV-1相較於治療前至少有5%的改善，或在達療效高原期後維持5%的改善。</w:t>
      </w:r>
    </w:p>
    <w:p w14:paraId="358A70D3" w14:textId="77777777" w:rsidR="002144EC" w:rsidRDefault="002144EC" w:rsidP="002144EC">
      <w:pPr>
        <w:spacing w:line="300" w:lineRule="exact"/>
        <w:ind w:left="1188" w:hanging="425"/>
        <w:rPr>
          <w:rFonts w:ascii="標楷體" w:eastAsia="標楷體" w:hAnsi="標楷體"/>
        </w:rPr>
      </w:pPr>
      <w:r>
        <w:rPr>
          <w:rFonts w:ascii="標楷體" w:eastAsia="標楷體" w:hAnsi="標楷體"/>
        </w:rPr>
        <w:t>III.尿液中keratan sulfate (</w:t>
      </w:r>
      <w:proofErr w:type="spellStart"/>
      <w:r>
        <w:rPr>
          <w:rFonts w:ascii="標楷體" w:eastAsia="標楷體" w:hAnsi="標楷體"/>
        </w:rPr>
        <w:t>Uks</w:t>
      </w:r>
      <w:proofErr w:type="spellEnd"/>
      <w:r>
        <w:rPr>
          <w:rFonts w:ascii="標楷體" w:eastAsia="標楷體" w:hAnsi="標楷體"/>
        </w:rPr>
        <w:t>)相較於治療前降低大於20%。</w:t>
      </w:r>
    </w:p>
    <w:p w14:paraId="1B171071" w14:textId="77777777" w:rsidR="002144EC" w:rsidRDefault="002144EC" w:rsidP="002144EC">
      <w:pPr>
        <w:spacing w:line="300" w:lineRule="exact"/>
        <w:ind w:left="1188" w:hanging="425"/>
        <w:rPr>
          <w:rFonts w:ascii="標楷體" w:eastAsia="標楷體" w:hAnsi="標楷體"/>
        </w:rPr>
      </w:pPr>
      <w:r>
        <w:rPr>
          <w:rFonts w:ascii="標楷體" w:eastAsia="標楷體" w:hAnsi="標楷體"/>
        </w:rPr>
        <w:t>IV.呼吸功能檢查：血液中氧氣飽和度(SpO2)在2小時內需持續維持1小時以上</w:t>
      </w:r>
      <w:proofErr w:type="gramStart"/>
      <w:r>
        <w:rPr>
          <w:rFonts w:ascii="標楷體" w:eastAsia="標楷體" w:hAnsi="標楷體"/>
        </w:rPr>
        <w:t>≧</w:t>
      </w:r>
      <w:proofErr w:type="gramEnd"/>
      <w:r>
        <w:rPr>
          <w:rFonts w:ascii="標楷體" w:eastAsia="標楷體" w:hAnsi="標楷體"/>
        </w:rPr>
        <w:t>90%。</w:t>
      </w:r>
    </w:p>
    <w:p w14:paraId="5EDE84F5" w14:textId="77777777" w:rsidR="002144EC" w:rsidRDefault="002144EC" w:rsidP="002144EC">
      <w:pPr>
        <w:spacing w:line="300" w:lineRule="exact"/>
        <w:ind w:left="1188" w:hanging="425"/>
      </w:pPr>
      <w:r>
        <w:rPr>
          <w:rFonts w:ascii="標楷體" w:eastAsia="標楷體" w:hAnsi="標楷體"/>
        </w:rPr>
        <w:t>V.</w:t>
      </w:r>
      <w:r>
        <w:t xml:space="preserve"> </w:t>
      </w:r>
      <w:r>
        <w:rPr>
          <w:rFonts w:ascii="標楷體" w:eastAsia="標楷體" w:hAnsi="標楷體"/>
        </w:rPr>
        <w:t>以心臟超音波檢測，Ejection Fraction</w:t>
      </w:r>
      <w:proofErr w:type="gramStart"/>
      <w:r>
        <w:rPr>
          <w:rFonts w:ascii="標楷體" w:eastAsia="標楷體" w:hAnsi="標楷體"/>
        </w:rPr>
        <w:t>維持在正常範圍內(</w:t>
      </w:r>
      <w:proofErr w:type="gramEnd"/>
      <w:r>
        <w:rPr>
          <w:rFonts w:ascii="標楷體" w:eastAsia="標楷體" w:hAnsi="標楷體"/>
        </w:rPr>
        <w:t>Ejection Fraction≧50%)。(112/7/1)</w:t>
      </w:r>
    </w:p>
    <w:p w14:paraId="199F96E7"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6.須立即停止</w:t>
      </w:r>
      <w:proofErr w:type="spellStart"/>
      <w:r>
        <w:rPr>
          <w:rFonts w:ascii="標楷體" w:eastAsia="標楷體" w:hAnsi="標楷體"/>
        </w:rPr>
        <w:t>elosulfase</w:t>
      </w:r>
      <w:proofErr w:type="spellEnd"/>
      <w:r>
        <w:rPr>
          <w:rFonts w:ascii="標楷體" w:eastAsia="標楷體" w:hAnsi="標楷體"/>
        </w:rPr>
        <w:t xml:space="preserve"> alfa治療的情形：</w:t>
      </w:r>
    </w:p>
    <w:p w14:paraId="1A6CE4FA"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(1)病人在接受治療時發生其它致命的疾病，這表示病人無法獲得</w:t>
      </w:r>
      <w:proofErr w:type="spellStart"/>
      <w:r>
        <w:rPr>
          <w:rFonts w:ascii="標楷體" w:eastAsia="標楷體" w:hAnsi="標楷體"/>
        </w:rPr>
        <w:t>elosulfase</w:t>
      </w:r>
      <w:proofErr w:type="spellEnd"/>
      <w:r>
        <w:rPr>
          <w:rFonts w:ascii="標楷體" w:eastAsia="標楷體" w:hAnsi="標楷體"/>
        </w:rPr>
        <w:t xml:space="preserve"> alfa的療效。</w:t>
      </w:r>
    </w:p>
    <w:p w14:paraId="5E99021E"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(2)病患發生嚴重不良反應。</w:t>
      </w:r>
    </w:p>
    <w:p w14:paraId="2EF314B0" w14:textId="77777777" w:rsidR="002144EC" w:rsidRDefault="002144EC" w:rsidP="002144EC">
      <w:pPr>
        <w:spacing w:line="300" w:lineRule="exact"/>
        <w:ind w:left="1078" w:hanging="372"/>
        <w:rPr>
          <w:rFonts w:ascii="標楷體" w:eastAsia="標楷體" w:hAnsi="標楷體"/>
        </w:rPr>
      </w:pPr>
      <w:r>
        <w:rPr>
          <w:rFonts w:ascii="標楷體" w:eastAsia="標楷體" w:hAnsi="標楷體"/>
        </w:rPr>
        <w:t>(3)病患無法配合</w:t>
      </w:r>
      <w:proofErr w:type="gramStart"/>
      <w:r>
        <w:rPr>
          <w:rFonts w:ascii="標楷體" w:eastAsia="標楷體" w:hAnsi="標楷體"/>
        </w:rPr>
        <w:t>最</w:t>
      </w:r>
      <w:proofErr w:type="gramEnd"/>
      <w:r>
        <w:rPr>
          <w:rFonts w:ascii="標楷體" w:eastAsia="標楷體" w:hAnsi="標楷體"/>
        </w:rPr>
        <w:t>適療程所需的注射規定或無法配合療效的評估。</w:t>
      </w:r>
    </w:p>
    <w:p w14:paraId="3E6D6AF8" w14:textId="77777777" w:rsidR="002144EC" w:rsidRDefault="002144EC" w:rsidP="002144EC">
      <w:pPr>
        <w:spacing w:line="300" w:lineRule="exact"/>
        <w:ind w:left="708" w:hanging="425"/>
        <w:rPr>
          <w:rFonts w:ascii="標楷體" w:eastAsia="標楷體" w:hAnsi="標楷體"/>
        </w:rPr>
      </w:pPr>
      <w:r>
        <w:rPr>
          <w:rFonts w:ascii="標楷體" w:eastAsia="標楷體" w:hAnsi="標楷體"/>
        </w:rPr>
        <w:t>3.3.18.Eliglustat Capsules (如</w:t>
      </w:r>
      <w:proofErr w:type="spellStart"/>
      <w:r>
        <w:rPr>
          <w:rFonts w:ascii="標楷體" w:eastAsia="標楷體" w:hAnsi="標楷體"/>
        </w:rPr>
        <w:t>Cerdelga</w:t>
      </w:r>
      <w:proofErr w:type="spellEnd"/>
      <w:r>
        <w:rPr>
          <w:rFonts w:ascii="標楷體" w:eastAsia="標楷體" w:hAnsi="標楷體"/>
        </w:rPr>
        <w:t xml:space="preserve"> ) (108/5/1)</w:t>
      </w:r>
    </w:p>
    <w:p w14:paraId="06AD8D6E"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限用於改善成人第一型</w:t>
      </w:r>
      <w:proofErr w:type="gramStart"/>
      <w:r>
        <w:rPr>
          <w:rFonts w:ascii="標楷體" w:eastAsia="標楷體" w:hAnsi="標楷體"/>
        </w:rPr>
        <w:t>高雪氏</w:t>
      </w:r>
      <w:proofErr w:type="gramEnd"/>
      <w:r>
        <w:rPr>
          <w:rFonts w:ascii="標楷體" w:eastAsia="標楷體" w:hAnsi="標楷體"/>
        </w:rPr>
        <w:t>症症狀。</w:t>
      </w:r>
    </w:p>
    <w:p w14:paraId="4B176690"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使用劑量須依CYP2D6代謝狀況調整。</w:t>
      </w:r>
    </w:p>
    <w:p w14:paraId="5BC68597"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3.</w:t>
      </w:r>
      <w:r>
        <w:rPr>
          <w:rFonts w:ascii="標楷體" w:eastAsia="標楷體" w:hAnsi="標楷體"/>
        </w:rPr>
        <w:tab/>
        <w:t>不得</w:t>
      </w:r>
      <w:proofErr w:type="gramStart"/>
      <w:r>
        <w:rPr>
          <w:rFonts w:ascii="標楷體" w:eastAsia="標楷體" w:hAnsi="標楷體"/>
        </w:rPr>
        <w:t>併</w:t>
      </w:r>
      <w:proofErr w:type="gramEnd"/>
      <w:r>
        <w:rPr>
          <w:rFonts w:ascii="標楷體" w:eastAsia="標楷體" w:hAnsi="標楷體"/>
        </w:rPr>
        <w:t>用其他</w:t>
      </w:r>
      <w:proofErr w:type="gramStart"/>
      <w:r>
        <w:rPr>
          <w:rFonts w:ascii="標楷體" w:eastAsia="標楷體" w:hAnsi="標楷體"/>
        </w:rPr>
        <w:t>高雪氏</w:t>
      </w:r>
      <w:proofErr w:type="gramEnd"/>
      <w:r>
        <w:rPr>
          <w:rFonts w:ascii="標楷體" w:eastAsia="標楷體" w:hAnsi="標楷體"/>
        </w:rPr>
        <w:t>症酵素療法之藥品。</w:t>
      </w:r>
    </w:p>
    <w:p w14:paraId="69FFE58B" w14:textId="77777777" w:rsidR="002144EC" w:rsidRDefault="002144EC" w:rsidP="002144EC">
      <w:pPr>
        <w:spacing w:line="300" w:lineRule="exact"/>
        <w:ind w:left="811" w:hanging="245"/>
        <w:rPr>
          <w:rFonts w:ascii="標楷體" w:eastAsia="標楷體" w:hAnsi="標楷體"/>
        </w:rPr>
      </w:pPr>
      <w:r>
        <w:rPr>
          <w:rFonts w:ascii="標楷體" w:eastAsia="標楷體" w:hAnsi="標楷體"/>
        </w:rPr>
        <w:t>4.</w:t>
      </w:r>
      <w:r>
        <w:rPr>
          <w:rFonts w:ascii="標楷體" w:eastAsia="標楷體" w:hAnsi="標楷體"/>
        </w:rPr>
        <w:tab/>
        <w:t>需經事前審查核准後使用。</w:t>
      </w:r>
    </w:p>
    <w:p w14:paraId="1915F0B9" w14:textId="77777777" w:rsidR="002144EC" w:rsidRDefault="002144EC" w:rsidP="002144EC">
      <w:pPr>
        <w:spacing w:line="300" w:lineRule="exact"/>
        <w:ind w:left="283"/>
        <w:rPr>
          <w:rFonts w:ascii="標楷體" w:eastAsia="標楷體" w:hAnsi="標楷體"/>
          <w:color w:val="000000"/>
        </w:rPr>
      </w:pPr>
      <w:r>
        <w:rPr>
          <w:rFonts w:ascii="標楷體" w:eastAsia="標楷體" w:hAnsi="標楷體"/>
          <w:color w:val="000000"/>
        </w:rPr>
        <w:t>3.3.19.先天性代謝異常之罕見疾病藥品(108/9/1、108/12/1、111/9/1、113/11/1)</w:t>
      </w:r>
    </w:p>
    <w:p w14:paraId="79C099E8" w14:textId="77777777" w:rsidR="002144EC" w:rsidRDefault="002144EC" w:rsidP="002144EC">
      <w:pPr>
        <w:spacing w:line="300" w:lineRule="exact"/>
        <w:ind w:left="566"/>
        <w:rPr>
          <w:rFonts w:ascii="標楷體" w:eastAsia="標楷體" w:hAnsi="標楷體"/>
          <w:color w:val="000000"/>
        </w:rPr>
      </w:pPr>
      <w:r>
        <w:rPr>
          <w:rFonts w:ascii="標楷體" w:eastAsia="標楷體" w:hAnsi="標楷體"/>
          <w:color w:val="000000"/>
        </w:rPr>
        <w:t>1.藥品成分：</w:t>
      </w:r>
    </w:p>
    <w:p w14:paraId="6CDD5C07"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(1) Levocarnitine/L-Carnitine inner salt</w:t>
      </w:r>
    </w:p>
    <w:p w14:paraId="03207767"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(2) Sodium phenylbutyrate、glycerol phenylbutyrate(108/9/1、113/11/1)</w:t>
      </w:r>
    </w:p>
    <w:p w14:paraId="0F914B77"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 xml:space="preserve">(3) Citrulline malate </w:t>
      </w:r>
    </w:p>
    <w:p w14:paraId="5408CBAE"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(4) L-Arginine</w:t>
      </w:r>
    </w:p>
    <w:p w14:paraId="707AAC92"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 xml:space="preserve">(5) </w:t>
      </w:r>
      <w:proofErr w:type="spellStart"/>
      <w:r>
        <w:rPr>
          <w:rFonts w:ascii="標楷體" w:eastAsia="標楷體" w:hAnsi="標楷體"/>
          <w:color w:val="000000"/>
        </w:rPr>
        <w:t>Sapropterin</w:t>
      </w:r>
      <w:proofErr w:type="spellEnd"/>
      <w:r>
        <w:rPr>
          <w:rFonts w:ascii="標楷體" w:eastAsia="標楷體" w:hAnsi="標楷體"/>
          <w:color w:val="000000"/>
        </w:rPr>
        <w:t xml:space="preserve"> dihydrochloride（Tetrahydro- Biopterin,BH4）</w:t>
      </w:r>
    </w:p>
    <w:p w14:paraId="2D3B5F7E"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 xml:space="preserve">(6) </w:t>
      </w:r>
      <w:proofErr w:type="gramStart"/>
      <w:r>
        <w:rPr>
          <w:rFonts w:ascii="標楷體" w:eastAsia="標楷體" w:hAnsi="標楷體"/>
          <w:color w:val="000000"/>
        </w:rPr>
        <w:t>betaine(</w:t>
      </w:r>
      <w:proofErr w:type="gramEnd"/>
      <w:r>
        <w:rPr>
          <w:rFonts w:ascii="標楷體" w:eastAsia="標楷體" w:hAnsi="標楷體"/>
          <w:color w:val="000000"/>
        </w:rPr>
        <w:t>108/12/1)</w:t>
      </w:r>
    </w:p>
    <w:p w14:paraId="59CB2164"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 xml:space="preserve">(7) </w:t>
      </w:r>
      <w:proofErr w:type="spellStart"/>
      <w:r>
        <w:rPr>
          <w:rFonts w:ascii="標楷體" w:eastAsia="標楷體" w:hAnsi="標楷體"/>
          <w:color w:val="000000"/>
        </w:rPr>
        <w:t>oxitriptan</w:t>
      </w:r>
      <w:proofErr w:type="spellEnd"/>
      <w:r>
        <w:rPr>
          <w:rFonts w:ascii="標楷體" w:eastAsia="標楷體" w:hAnsi="標楷體"/>
          <w:color w:val="000000"/>
        </w:rPr>
        <w:t>（L-5-hydroxytryptophan ,5-HTP）(108/12/1)</w:t>
      </w:r>
    </w:p>
    <w:p w14:paraId="60CCD124"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(8) alpha-</w:t>
      </w:r>
      <w:proofErr w:type="gramStart"/>
      <w:r>
        <w:rPr>
          <w:rFonts w:ascii="標楷體" w:eastAsia="標楷體" w:hAnsi="標楷體"/>
          <w:color w:val="000000"/>
        </w:rPr>
        <w:t>glucosidase(</w:t>
      </w:r>
      <w:proofErr w:type="gramEnd"/>
      <w:r>
        <w:rPr>
          <w:rFonts w:ascii="標楷體" w:eastAsia="標楷體" w:hAnsi="標楷體"/>
          <w:color w:val="000000"/>
        </w:rPr>
        <w:t>108/12/1)</w:t>
      </w:r>
    </w:p>
    <w:p w14:paraId="2C804DC9"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 xml:space="preserve">(9) sodium </w:t>
      </w:r>
      <w:proofErr w:type="gramStart"/>
      <w:r>
        <w:rPr>
          <w:rFonts w:ascii="標楷體" w:eastAsia="標楷體" w:hAnsi="標楷體"/>
          <w:color w:val="000000"/>
        </w:rPr>
        <w:t>benzoate(</w:t>
      </w:r>
      <w:proofErr w:type="gramEnd"/>
      <w:r>
        <w:rPr>
          <w:rFonts w:ascii="標楷體" w:eastAsia="標楷體" w:hAnsi="標楷體"/>
          <w:color w:val="000000"/>
        </w:rPr>
        <w:t>108/12/1)</w:t>
      </w:r>
    </w:p>
    <w:p w14:paraId="5134ED96"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10)diazoxide</w:t>
      </w:r>
      <w:proofErr w:type="gramEnd"/>
      <w:r>
        <w:rPr>
          <w:rFonts w:ascii="標楷體" w:eastAsia="標楷體" w:hAnsi="標楷體"/>
          <w:color w:val="000000"/>
        </w:rPr>
        <w:t>(108/12/1)</w:t>
      </w:r>
    </w:p>
    <w:p w14:paraId="768B7DF6" w14:textId="77777777" w:rsidR="002144EC" w:rsidRDefault="002144EC" w:rsidP="002144EC">
      <w:pPr>
        <w:spacing w:line="300" w:lineRule="exact"/>
        <w:ind w:left="850"/>
        <w:rPr>
          <w:rFonts w:ascii="標楷體" w:eastAsia="標楷體" w:hAnsi="標楷體"/>
          <w:color w:val="000000"/>
        </w:rPr>
      </w:pPr>
      <w:r>
        <w:rPr>
          <w:rFonts w:ascii="標楷體" w:eastAsia="標楷體" w:hAnsi="標楷體"/>
          <w:color w:val="000000"/>
        </w:rPr>
        <w:lastRenderedPageBreak/>
        <w:t>(</w:t>
      </w:r>
      <w:proofErr w:type="gramStart"/>
      <w:r>
        <w:rPr>
          <w:rFonts w:ascii="標楷體" w:eastAsia="標楷體" w:hAnsi="標楷體"/>
          <w:color w:val="000000"/>
        </w:rPr>
        <w:t>11)Cholic</w:t>
      </w:r>
      <w:proofErr w:type="gramEnd"/>
      <w:r>
        <w:rPr>
          <w:rFonts w:ascii="標楷體" w:eastAsia="標楷體" w:hAnsi="標楷體"/>
          <w:color w:val="000000"/>
        </w:rPr>
        <w:t xml:space="preserve"> acid(111/9/1)</w:t>
      </w:r>
    </w:p>
    <w:p w14:paraId="606C4AD7" w14:textId="77777777" w:rsidR="002144EC" w:rsidRDefault="002144EC" w:rsidP="002144EC">
      <w:pPr>
        <w:spacing w:line="300" w:lineRule="exact"/>
        <w:ind w:left="849" w:hanging="283"/>
        <w:rPr>
          <w:rFonts w:ascii="標楷體" w:eastAsia="標楷體" w:hAnsi="標楷體"/>
          <w:color w:val="000000"/>
        </w:rPr>
      </w:pPr>
      <w:r>
        <w:rPr>
          <w:rFonts w:ascii="標楷體" w:eastAsia="標楷體" w:hAnsi="標楷體"/>
          <w:color w:val="000000"/>
        </w:rPr>
        <w:t>2.用於尚未</w:t>
      </w:r>
      <w:proofErr w:type="gramStart"/>
      <w:r>
        <w:rPr>
          <w:rFonts w:ascii="標楷體" w:eastAsia="標楷體" w:hAnsi="標楷體"/>
          <w:color w:val="000000"/>
        </w:rPr>
        <w:t>確診經主管機關</w:t>
      </w:r>
      <w:proofErr w:type="gramEnd"/>
      <w:r>
        <w:rPr>
          <w:rFonts w:ascii="標楷體" w:eastAsia="標楷體" w:hAnsi="標楷體"/>
          <w:color w:val="000000"/>
        </w:rPr>
        <w:t>認定為罕見疾病者，需緊急使用時，除下列</w:t>
      </w:r>
      <w:proofErr w:type="gramStart"/>
      <w:r>
        <w:rPr>
          <w:rFonts w:ascii="標楷體" w:eastAsia="標楷體" w:hAnsi="標楷體"/>
          <w:color w:val="000000"/>
        </w:rPr>
        <w:t>各款另有</w:t>
      </w:r>
      <w:proofErr w:type="gramEnd"/>
      <w:r>
        <w:rPr>
          <w:rFonts w:ascii="標楷體" w:eastAsia="標楷體" w:hAnsi="標楷體"/>
          <w:color w:val="000000"/>
        </w:rPr>
        <w:t>規定外，應由具小兒專科醫師證書且接受過小兒遺傳或小兒新陳代謝或小兒內分泌科次專科訓練之醫師處方使用，並於病歷詳實記載病程、確診之檢驗資料及治療反應，且第一項各款藥品須符合下列各對應條件：</w:t>
      </w:r>
    </w:p>
    <w:p w14:paraId="357FF957"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 xml:space="preserve">(1) 新生兒篩檢為carnitine deficiency陽性個案 (free carnitine 低於6 </w:t>
      </w:r>
      <w:proofErr w:type="spellStart"/>
      <w:r>
        <w:rPr>
          <w:rFonts w:ascii="標楷體" w:eastAsia="標楷體" w:hAnsi="標楷體"/>
          <w:color w:val="000000"/>
        </w:rPr>
        <w:t>μmol</w:t>
      </w:r>
      <w:proofErr w:type="spellEnd"/>
      <w:r>
        <w:rPr>
          <w:rFonts w:ascii="標楷體" w:eastAsia="標楷體" w:hAnsi="標楷體"/>
          <w:color w:val="000000"/>
        </w:rPr>
        <w:t>/L)。</w:t>
      </w:r>
    </w:p>
    <w:p w14:paraId="098D5347"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(2) 新生兒篩檢</w:t>
      </w:r>
      <w:proofErr w:type="gramStart"/>
      <w:r>
        <w:rPr>
          <w:rFonts w:ascii="標楷體" w:eastAsia="標楷體" w:hAnsi="標楷體"/>
          <w:color w:val="000000"/>
        </w:rPr>
        <w:t>為瓜氨酸血</w:t>
      </w:r>
      <w:proofErr w:type="gramEnd"/>
      <w:r>
        <w:rPr>
          <w:rFonts w:ascii="標楷體" w:eastAsia="標楷體" w:hAnsi="標楷體"/>
          <w:color w:val="000000"/>
        </w:rPr>
        <w:t>症之陽性個案，初次發作之不明原因高血氨(</w:t>
      </w:r>
      <w:proofErr w:type="gramStart"/>
      <w:r>
        <w:rPr>
          <w:rFonts w:ascii="標楷體" w:eastAsia="標楷體" w:hAnsi="標楷體"/>
          <w:color w:val="000000"/>
        </w:rPr>
        <w:t>血氨值高於</w:t>
      </w:r>
      <w:proofErr w:type="gramEnd"/>
      <w:r>
        <w:rPr>
          <w:rFonts w:ascii="標楷體" w:eastAsia="標楷體" w:hAnsi="標楷體"/>
          <w:color w:val="000000"/>
        </w:rPr>
        <w:t xml:space="preserve"> 150 μ mol/L)。</w:t>
      </w:r>
    </w:p>
    <w:p w14:paraId="0DC08803"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(3) 新生兒篩檢為有機酸血症 (甲基丙二</w:t>
      </w:r>
      <w:proofErr w:type="gramStart"/>
      <w:r>
        <w:rPr>
          <w:rFonts w:ascii="標楷體" w:eastAsia="標楷體" w:hAnsi="標楷體"/>
          <w:color w:val="000000"/>
        </w:rPr>
        <w:t>酸血症</w:t>
      </w:r>
      <w:proofErr w:type="gramEnd"/>
      <w:r>
        <w:rPr>
          <w:rFonts w:ascii="標楷體" w:eastAsia="標楷體" w:hAnsi="標楷體"/>
          <w:color w:val="000000"/>
        </w:rPr>
        <w:t>，</w:t>
      </w:r>
      <w:proofErr w:type="gramStart"/>
      <w:r>
        <w:rPr>
          <w:rFonts w:ascii="標楷體" w:eastAsia="標楷體" w:hAnsi="標楷體"/>
          <w:color w:val="000000"/>
        </w:rPr>
        <w:t>丙酸血</w:t>
      </w:r>
      <w:proofErr w:type="gramEnd"/>
      <w:r>
        <w:rPr>
          <w:rFonts w:ascii="標楷體" w:eastAsia="標楷體" w:hAnsi="標楷體"/>
          <w:color w:val="000000"/>
        </w:rPr>
        <w:t>症，</w:t>
      </w:r>
      <w:proofErr w:type="gramStart"/>
      <w:r>
        <w:rPr>
          <w:rFonts w:ascii="標楷體" w:eastAsia="標楷體" w:hAnsi="標楷體"/>
          <w:color w:val="000000"/>
        </w:rPr>
        <w:t>異戊酸血</w:t>
      </w:r>
      <w:proofErr w:type="gramEnd"/>
      <w:r>
        <w:rPr>
          <w:rFonts w:ascii="標楷體" w:eastAsia="標楷體" w:hAnsi="標楷體"/>
          <w:color w:val="000000"/>
        </w:rPr>
        <w:t>症，戊二</w:t>
      </w:r>
      <w:proofErr w:type="gramStart"/>
      <w:r>
        <w:rPr>
          <w:rFonts w:ascii="標楷體" w:eastAsia="標楷體" w:hAnsi="標楷體"/>
          <w:color w:val="000000"/>
        </w:rPr>
        <w:t>酸血症</w:t>
      </w:r>
      <w:proofErr w:type="gramEnd"/>
      <w:r>
        <w:rPr>
          <w:rFonts w:ascii="標楷體" w:eastAsia="標楷體" w:hAnsi="標楷體"/>
          <w:color w:val="000000"/>
        </w:rPr>
        <w:t>，HMG CoA lyase等) 之陽性個案。</w:t>
      </w:r>
    </w:p>
    <w:p w14:paraId="2E2E9DED"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(4) 新生兒初次發作之不明原因高血氨，懷疑是先天代謝異常者(</w:t>
      </w:r>
      <w:proofErr w:type="gramStart"/>
      <w:r>
        <w:rPr>
          <w:rFonts w:ascii="標楷體" w:eastAsia="標楷體" w:hAnsi="標楷體"/>
          <w:color w:val="000000"/>
        </w:rPr>
        <w:t>血氨值高於</w:t>
      </w:r>
      <w:proofErr w:type="gramEnd"/>
      <w:r>
        <w:rPr>
          <w:rFonts w:ascii="標楷體" w:eastAsia="標楷體" w:hAnsi="標楷體"/>
          <w:color w:val="000000"/>
        </w:rPr>
        <w:t>150μmol/L)。(111/9/1)</w:t>
      </w:r>
    </w:p>
    <w:p w14:paraId="4D6D67D6"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 xml:space="preserve">(5) </w:t>
      </w:r>
      <w:proofErr w:type="gramStart"/>
      <w:r>
        <w:rPr>
          <w:rFonts w:ascii="標楷體" w:eastAsia="標楷體" w:hAnsi="標楷體"/>
          <w:color w:val="000000"/>
        </w:rPr>
        <w:t>新生兒篩檢為苯酮</w:t>
      </w:r>
      <w:proofErr w:type="gramEnd"/>
      <w:r>
        <w:rPr>
          <w:rFonts w:ascii="標楷體" w:eastAsia="標楷體" w:hAnsi="標楷體"/>
          <w:color w:val="000000"/>
        </w:rPr>
        <w:t>尿症陽性個案 (blood phenylalanine 高於 200μmol/L)。(111/9/1)</w:t>
      </w:r>
    </w:p>
    <w:p w14:paraId="7935554E"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(6) 新生兒篩檢為高</w:t>
      </w:r>
      <w:proofErr w:type="gramStart"/>
      <w:r>
        <w:rPr>
          <w:rFonts w:ascii="標楷體" w:eastAsia="標楷體" w:hAnsi="標楷體"/>
          <w:color w:val="000000"/>
        </w:rPr>
        <w:t>胱胺酸血症</w:t>
      </w:r>
      <w:proofErr w:type="gramEnd"/>
      <w:r>
        <w:rPr>
          <w:rFonts w:ascii="標楷體" w:eastAsia="標楷體" w:hAnsi="標楷體"/>
          <w:color w:val="000000"/>
        </w:rPr>
        <w:t>之陽性個案(</w:t>
      </w:r>
      <w:proofErr w:type="spellStart"/>
      <w:r>
        <w:rPr>
          <w:rFonts w:ascii="標楷體" w:eastAsia="標楷體" w:hAnsi="標楷體"/>
          <w:color w:val="000000"/>
        </w:rPr>
        <w:t>tHcy</w:t>
      </w:r>
      <w:proofErr w:type="spellEnd"/>
      <w:r>
        <w:rPr>
          <w:rFonts w:ascii="標楷體" w:eastAsia="標楷體" w:hAnsi="標楷體"/>
          <w:color w:val="000000"/>
        </w:rPr>
        <w:t xml:space="preserve">高於50 </w:t>
      </w:r>
      <w:proofErr w:type="spellStart"/>
      <w:r>
        <w:rPr>
          <w:rFonts w:ascii="標楷體" w:eastAsia="標楷體" w:hAnsi="標楷體"/>
          <w:color w:val="000000"/>
        </w:rPr>
        <w:t>uM</w:t>
      </w:r>
      <w:proofErr w:type="spellEnd"/>
      <w:r>
        <w:rPr>
          <w:rFonts w:ascii="標楷體" w:eastAsia="標楷體" w:hAnsi="標楷體"/>
          <w:color w:val="000000"/>
        </w:rPr>
        <w:t>)。(108/12/1)</w:t>
      </w:r>
    </w:p>
    <w:p w14:paraId="0E168601"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(7) 新生兒篩檢為BH4</w:t>
      </w:r>
      <w:proofErr w:type="gramStart"/>
      <w:r>
        <w:rPr>
          <w:rFonts w:ascii="標楷體" w:eastAsia="標楷體" w:hAnsi="標楷體"/>
          <w:color w:val="000000"/>
        </w:rPr>
        <w:t>缺乏之苯酮</w:t>
      </w:r>
      <w:proofErr w:type="gramEnd"/>
      <w:r>
        <w:rPr>
          <w:rFonts w:ascii="標楷體" w:eastAsia="標楷體" w:hAnsi="標楷體"/>
          <w:color w:val="000000"/>
        </w:rPr>
        <w:t>尿症陽性個案 (blood phenylalanine 高於 200μmol/L)。(108/12/1)</w:t>
      </w:r>
    </w:p>
    <w:p w14:paraId="111F80CD"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(8) 經心電圖，胸部X光，或是心臟超音波等，證實已出現心臟影響徵象之嬰兒型龐貝氏症患者(</w:t>
      </w:r>
      <w:proofErr w:type="gramStart"/>
      <w:r>
        <w:rPr>
          <w:rFonts w:ascii="標楷體" w:eastAsia="標楷體" w:hAnsi="標楷體"/>
          <w:color w:val="000000"/>
        </w:rPr>
        <w:t>本款限由</w:t>
      </w:r>
      <w:proofErr w:type="gramEnd"/>
      <w:r>
        <w:rPr>
          <w:rFonts w:ascii="標楷體" w:eastAsia="標楷體" w:hAnsi="標楷體"/>
          <w:color w:val="000000"/>
        </w:rPr>
        <w:t>具兒科專科醫師證書，且經小兒遺傳及內分泌新陳代謝科或小兒神經科訓練之醫師，或具神經科專科醫師證書之醫師處方使用)。(108/12/1、111/9/1)</w:t>
      </w:r>
    </w:p>
    <w:p w14:paraId="009CE0F0"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(9) 腦脊髓液/血液甘胺酸比值超過0.08之</w:t>
      </w:r>
      <w:proofErr w:type="gramStart"/>
      <w:r>
        <w:rPr>
          <w:rFonts w:ascii="標楷體" w:eastAsia="標楷體" w:hAnsi="標楷體"/>
          <w:color w:val="000000"/>
        </w:rPr>
        <w:t>非酮性高甘胺酸血</w:t>
      </w:r>
      <w:proofErr w:type="gramEnd"/>
      <w:r>
        <w:rPr>
          <w:rFonts w:ascii="標楷體" w:eastAsia="標楷體" w:hAnsi="標楷體"/>
          <w:color w:val="000000"/>
        </w:rPr>
        <w:t>症患者。(108/12/1)</w:t>
      </w:r>
    </w:p>
    <w:p w14:paraId="1D6E0DF6"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(10)持續性幼兒型胰島素過度分泌低血糖症(PHHI)患者，且符合下列條件之</w:t>
      </w:r>
      <w:proofErr w:type="gramStart"/>
      <w:r>
        <w:rPr>
          <w:rFonts w:ascii="標楷體" w:eastAsia="標楷體" w:hAnsi="標楷體"/>
          <w:color w:val="000000"/>
        </w:rPr>
        <w:t>一</w:t>
      </w:r>
      <w:proofErr w:type="gramEnd"/>
      <w:r>
        <w:rPr>
          <w:rFonts w:ascii="標楷體" w:eastAsia="標楷體" w:hAnsi="標楷體"/>
          <w:color w:val="000000"/>
        </w:rPr>
        <w:t>：(108/12/1)</w:t>
      </w:r>
    </w:p>
    <w:p w14:paraId="221A67BE" w14:textId="77777777" w:rsidR="002144EC" w:rsidRDefault="002144EC" w:rsidP="002144EC">
      <w:pPr>
        <w:spacing w:line="300" w:lineRule="exact"/>
        <w:ind w:left="1810" w:hanging="480"/>
        <w:rPr>
          <w:rFonts w:ascii="標楷體" w:eastAsia="標楷體" w:hAnsi="標楷體"/>
          <w:color w:val="000000"/>
        </w:rPr>
      </w:pPr>
      <w:r>
        <w:rPr>
          <w:rFonts w:ascii="標楷體" w:eastAsia="標楷體" w:hAnsi="標楷體"/>
          <w:color w:val="000000"/>
        </w:rPr>
        <w:t xml:space="preserve">I.當血糖&lt;50 mg/mL時，Insulin&gt;2 </w:t>
      </w:r>
      <w:proofErr w:type="spellStart"/>
      <w:r>
        <w:rPr>
          <w:rFonts w:ascii="標楷體" w:eastAsia="標楷體" w:hAnsi="標楷體"/>
          <w:color w:val="000000"/>
        </w:rPr>
        <w:t>μU</w:t>
      </w:r>
      <w:proofErr w:type="spellEnd"/>
      <w:r>
        <w:rPr>
          <w:rFonts w:ascii="標楷體" w:eastAsia="標楷體" w:hAnsi="標楷體"/>
          <w:color w:val="000000"/>
        </w:rPr>
        <w:t>/mL，blood ketone&lt;0.6 mmol/L。</w:t>
      </w:r>
    </w:p>
    <w:p w14:paraId="6A0AAD0A" w14:textId="77777777" w:rsidR="002144EC" w:rsidRDefault="002144EC" w:rsidP="002144EC">
      <w:pPr>
        <w:spacing w:line="300" w:lineRule="exact"/>
        <w:ind w:left="1810" w:hanging="480"/>
        <w:rPr>
          <w:rFonts w:ascii="標楷體" w:eastAsia="標楷體" w:hAnsi="標楷體"/>
          <w:color w:val="000000"/>
        </w:rPr>
      </w:pPr>
      <w:r>
        <w:rPr>
          <w:rFonts w:ascii="標楷體" w:eastAsia="標楷體" w:hAnsi="標楷體"/>
          <w:color w:val="000000"/>
        </w:rPr>
        <w:t>II.需注射糖水(</w:t>
      </w:r>
      <w:proofErr w:type="gramStart"/>
      <w:r>
        <w:rPr>
          <w:rFonts w:ascii="標楷體" w:eastAsia="標楷體" w:hAnsi="標楷體"/>
          <w:color w:val="000000"/>
        </w:rPr>
        <w:t>輸注速率</w:t>
      </w:r>
      <w:proofErr w:type="gramEnd"/>
      <w:r>
        <w:rPr>
          <w:rFonts w:ascii="標楷體" w:eastAsia="標楷體" w:hAnsi="標楷體"/>
          <w:color w:val="000000"/>
        </w:rPr>
        <w:t>&gt;6 mg/kg/min)，血糖才能達到50 mg/mL。</w:t>
      </w:r>
    </w:p>
    <w:p w14:paraId="369D45FE" w14:textId="77777777" w:rsidR="002144EC" w:rsidRDefault="002144EC" w:rsidP="002144EC">
      <w:pPr>
        <w:spacing w:line="300" w:lineRule="exact"/>
        <w:ind w:left="1330" w:hanging="480"/>
        <w:rPr>
          <w:rFonts w:ascii="標楷體" w:eastAsia="標楷體" w:hAnsi="標楷體"/>
          <w:color w:val="000000"/>
        </w:rPr>
      </w:pPr>
      <w:r>
        <w:rPr>
          <w:rFonts w:ascii="標楷體" w:eastAsia="標楷體" w:hAnsi="標楷體"/>
          <w:color w:val="000000"/>
        </w:rPr>
        <w:t>(11)臨床上高度懷疑需緊急使用，並符合下列條件之膽汁滯留症患者(</w:t>
      </w:r>
      <w:proofErr w:type="gramStart"/>
      <w:r>
        <w:rPr>
          <w:rFonts w:ascii="標楷體" w:eastAsia="標楷體" w:hAnsi="標楷體"/>
          <w:color w:val="000000"/>
        </w:rPr>
        <w:t>本款限兒科</w:t>
      </w:r>
      <w:proofErr w:type="gramEnd"/>
      <w:r>
        <w:rPr>
          <w:rFonts w:ascii="標楷體" w:eastAsia="標楷體" w:hAnsi="標楷體"/>
          <w:color w:val="000000"/>
        </w:rPr>
        <w:t>消化次專科醫師，或小兒神經科醫師，或兒科專科經醫學</w:t>
      </w:r>
      <w:proofErr w:type="gramStart"/>
      <w:r>
        <w:rPr>
          <w:rFonts w:ascii="標楷體" w:eastAsia="標楷體" w:hAnsi="標楷體"/>
          <w:color w:val="000000"/>
        </w:rPr>
        <w:t>遺傳學次專訓練</w:t>
      </w:r>
      <w:proofErr w:type="gramEnd"/>
      <w:r>
        <w:rPr>
          <w:rFonts w:ascii="標楷體" w:eastAsia="標楷體" w:hAnsi="標楷體"/>
          <w:color w:val="000000"/>
        </w:rPr>
        <w:t>取得證書之醫師使用)：(111/9/1)</w:t>
      </w:r>
    </w:p>
    <w:p w14:paraId="4A92EBE7" w14:textId="77777777" w:rsidR="002144EC" w:rsidRDefault="002144EC" w:rsidP="002144EC">
      <w:pPr>
        <w:spacing w:line="300" w:lineRule="exact"/>
        <w:ind w:left="1810" w:hanging="480"/>
        <w:rPr>
          <w:rFonts w:ascii="標楷體" w:eastAsia="標楷體" w:hAnsi="標楷體"/>
          <w:color w:val="000000"/>
        </w:rPr>
      </w:pPr>
      <w:r>
        <w:rPr>
          <w:rFonts w:ascii="標楷體" w:eastAsia="標楷體" w:hAnsi="標楷體"/>
          <w:color w:val="000000"/>
        </w:rPr>
        <w:t>I.嬰兒肝內膽汁滯留症超過兩</w:t>
      </w:r>
      <w:proofErr w:type="gramStart"/>
      <w:r>
        <w:rPr>
          <w:rFonts w:ascii="標楷體" w:eastAsia="標楷體" w:hAnsi="標楷體"/>
          <w:color w:val="000000"/>
        </w:rPr>
        <w:t>週</w:t>
      </w:r>
      <w:proofErr w:type="gramEnd"/>
      <w:r>
        <w:rPr>
          <w:rFonts w:ascii="標楷體" w:eastAsia="標楷體" w:hAnsi="標楷體"/>
          <w:color w:val="000000"/>
        </w:rPr>
        <w:t>。</w:t>
      </w:r>
    </w:p>
    <w:p w14:paraId="0170D377" w14:textId="77777777" w:rsidR="002144EC" w:rsidRDefault="002144EC" w:rsidP="002144EC">
      <w:pPr>
        <w:spacing w:line="300" w:lineRule="exact"/>
        <w:ind w:left="1810" w:hanging="480"/>
        <w:rPr>
          <w:rFonts w:ascii="標楷體" w:eastAsia="標楷體" w:hAnsi="標楷體"/>
          <w:color w:val="000000"/>
        </w:rPr>
      </w:pPr>
      <w:r>
        <w:rPr>
          <w:rFonts w:ascii="標楷體" w:eastAsia="標楷體" w:hAnsi="標楷體"/>
          <w:color w:val="000000"/>
        </w:rPr>
        <w:t>II.γ-Glutamyltransferase≦150 U/L</w:t>
      </w:r>
    </w:p>
    <w:p w14:paraId="606D27D6" w14:textId="77777777" w:rsidR="002144EC" w:rsidRDefault="002144EC" w:rsidP="002144EC">
      <w:pPr>
        <w:spacing w:line="300" w:lineRule="exact"/>
        <w:ind w:left="1810" w:hanging="480"/>
        <w:rPr>
          <w:rFonts w:ascii="標楷體" w:eastAsia="標楷體" w:hAnsi="標楷體"/>
          <w:color w:val="000000"/>
        </w:rPr>
      </w:pPr>
      <w:proofErr w:type="spellStart"/>
      <w:r>
        <w:rPr>
          <w:rFonts w:ascii="標楷體" w:eastAsia="標楷體" w:hAnsi="標楷體"/>
          <w:color w:val="000000"/>
        </w:rPr>
        <w:t>III.alaine</w:t>
      </w:r>
      <w:proofErr w:type="spellEnd"/>
      <w:r>
        <w:rPr>
          <w:rFonts w:ascii="標楷體" w:eastAsia="標楷體" w:hAnsi="標楷體"/>
          <w:color w:val="000000"/>
        </w:rPr>
        <w:t xml:space="preserve"> aminotransferase &gt; 2x upper limit of normal (ULN)</w:t>
      </w:r>
    </w:p>
    <w:p w14:paraId="569E3201" w14:textId="77777777" w:rsidR="002144EC" w:rsidRDefault="002144EC" w:rsidP="002144EC">
      <w:pPr>
        <w:spacing w:line="300" w:lineRule="exact"/>
        <w:ind w:left="1810" w:hanging="480"/>
        <w:rPr>
          <w:rFonts w:ascii="標楷體" w:eastAsia="標楷體" w:hAnsi="標楷體"/>
          <w:color w:val="000000"/>
        </w:rPr>
      </w:pPr>
      <w:r>
        <w:rPr>
          <w:rFonts w:ascii="標楷體" w:eastAsia="標楷體" w:hAnsi="標楷體"/>
          <w:color w:val="000000"/>
        </w:rPr>
        <w:t>IV.血清膽汁酸濃度</w:t>
      </w:r>
      <w:proofErr w:type="gramStart"/>
      <w:r>
        <w:rPr>
          <w:rFonts w:ascii="標楷體" w:eastAsia="標楷體" w:hAnsi="標楷體"/>
          <w:color w:val="000000"/>
        </w:rPr>
        <w:t>≦</w:t>
      </w:r>
      <w:proofErr w:type="gramEnd"/>
      <w:r>
        <w:rPr>
          <w:rFonts w:ascii="標楷體" w:eastAsia="標楷體" w:hAnsi="標楷體"/>
          <w:color w:val="000000"/>
        </w:rPr>
        <w:t>150μmol/L。</w:t>
      </w:r>
    </w:p>
    <w:p w14:paraId="0DF13FEF" w14:textId="77777777" w:rsidR="002144EC" w:rsidRDefault="002144EC" w:rsidP="002144EC">
      <w:pPr>
        <w:spacing w:line="300" w:lineRule="exact"/>
        <w:ind w:left="798" w:hanging="709"/>
      </w:pPr>
      <w:r>
        <w:rPr>
          <w:rFonts w:ascii="標楷體" w:eastAsia="標楷體" w:hAnsi="標楷體"/>
          <w:color w:val="000000"/>
        </w:rPr>
        <w:t xml:space="preserve">    3.</w:t>
      </w:r>
      <w:r>
        <w:t xml:space="preserve"> </w:t>
      </w:r>
      <w:r>
        <w:rPr>
          <w:rFonts w:ascii="標楷體" w:eastAsia="標楷體" w:hAnsi="標楷體"/>
          <w:color w:val="000000"/>
        </w:rPr>
        <w:t>經通報主管機關，符合下列情形之一時，應停止使用：(111/9/1)</w:t>
      </w:r>
    </w:p>
    <w:p w14:paraId="7B2E790E" w14:textId="77777777" w:rsidR="002144EC" w:rsidRDefault="002144EC" w:rsidP="002144EC">
      <w:pPr>
        <w:spacing w:line="300" w:lineRule="exact"/>
        <w:ind w:left="1429" w:hanging="709"/>
        <w:rPr>
          <w:rFonts w:ascii="標楷體" w:eastAsia="標楷體" w:hAnsi="標楷體"/>
          <w:color w:val="000000"/>
        </w:rPr>
      </w:pPr>
      <w:r>
        <w:rPr>
          <w:rFonts w:ascii="標楷體" w:eastAsia="標楷體" w:hAnsi="標楷體"/>
          <w:color w:val="000000"/>
        </w:rPr>
        <w:t xml:space="preserve">  (1)用藥後，若病情無法持續改善或疾病已惡化者。</w:t>
      </w:r>
    </w:p>
    <w:p w14:paraId="40E707FF" w14:textId="77777777" w:rsidR="002144EC" w:rsidRDefault="002144EC" w:rsidP="002144EC">
      <w:pPr>
        <w:spacing w:line="300" w:lineRule="exact"/>
        <w:ind w:left="1669" w:hanging="709"/>
        <w:rPr>
          <w:rFonts w:ascii="標楷體" w:eastAsia="標楷體" w:hAnsi="標楷體"/>
          <w:color w:val="000000"/>
        </w:rPr>
      </w:pPr>
      <w:r>
        <w:rPr>
          <w:rFonts w:ascii="標楷體" w:eastAsia="標楷體" w:hAnsi="標楷體"/>
          <w:color w:val="000000"/>
        </w:rPr>
        <w:t>(2)經主管機關認定非為罕見疾病時。</w:t>
      </w:r>
    </w:p>
    <w:p w14:paraId="7A2A897D" w14:textId="77777777" w:rsidR="002144EC" w:rsidRDefault="002144EC" w:rsidP="002144EC">
      <w:pPr>
        <w:spacing w:line="300" w:lineRule="exact"/>
        <w:ind w:left="1669" w:hanging="709"/>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本類藥品</w:t>
      </w:r>
      <w:proofErr w:type="gramEnd"/>
      <w:r>
        <w:rPr>
          <w:rFonts w:ascii="標楷體" w:eastAsia="標楷體" w:hAnsi="標楷體"/>
          <w:color w:val="000000"/>
        </w:rPr>
        <w:t>依個別給付規定需經事前審查，審查結果未核准使用者。</w:t>
      </w:r>
    </w:p>
    <w:p w14:paraId="4CE98808" w14:textId="77777777" w:rsidR="002144EC" w:rsidRDefault="002144EC" w:rsidP="002144EC">
      <w:pPr>
        <w:spacing w:line="300" w:lineRule="exact"/>
        <w:ind w:left="70"/>
        <w:rPr>
          <w:rFonts w:ascii="標楷體" w:eastAsia="標楷體" w:hAnsi="標楷體"/>
          <w:color w:val="000000"/>
        </w:rPr>
      </w:pPr>
      <w:r>
        <w:rPr>
          <w:rFonts w:ascii="標楷體" w:eastAsia="標楷體" w:hAnsi="標楷體"/>
          <w:color w:val="000000"/>
        </w:rPr>
        <w:t xml:space="preserve">    4.未通報主管機關認定者，用藥日數以14日為限。</w:t>
      </w:r>
    </w:p>
    <w:p w14:paraId="36146C0E" w14:textId="77777777" w:rsidR="002144EC" w:rsidRDefault="002144EC" w:rsidP="002144EC">
      <w:pPr>
        <w:spacing w:line="300" w:lineRule="exact"/>
        <w:ind w:left="708" w:hanging="142"/>
        <w:rPr>
          <w:rFonts w:ascii="標楷體" w:eastAsia="標楷體" w:hAnsi="標楷體"/>
          <w:color w:val="000000"/>
        </w:rPr>
      </w:pPr>
      <w:r>
        <w:rPr>
          <w:rFonts w:ascii="標楷體" w:eastAsia="標楷體" w:hAnsi="標楷體"/>
          <w:color w:val="000000"/>
        </w:rPr>
        <w:t>5.</w:t>
      </w:r>
      <w:proofErr w:type="gramStart"/>
      <w:r>
        <w:rPr>
          <w:rFonts w:ascii="標楷體" w:eastAsia="標楷體" w:hAnsi="標楷體"/>
          <w:color w:val="000000"/>
        </w:rPr>
        <w:t>本類藥品</w:t>
      </w:r>
      <w:proofErr w:type="gramEnd"/>
      <w:r>
        <w:rPr>
          <w:rFonts w:ascii="標楷體" w:eastAsia="標楷體" w:hAnsi="標楷體"/>
          <w:color w:val="000000"/>
        </w:rPr>
        <w:t>依個別給付規定需經事前審查者，依本規定初次緊急用藥時應</w:t>
      </w:r>
      <w:proofErr w:type="gramStart"/>
      <w:r>
        <w:rPr>
          <w:rFonts w:ascii="標楷體" w:eastAsia="標楷體" w:hAnsi="標楷體"/>
          <w:color w:val="000000"/>
        </w:rPr>
        <w:t>併</w:t>
      </w:r>
      <w:proofErr w:type="gramEnd"/>
      <w:r>
        <w:rPr>
          <w:rFonts w:ascii="標楷體" w:eastAsia="標楷體" w:hAnsi="標楷體"/>
          <w:color w:val="000000"/>
        </w:rPr>
        <w:t>送事前審查。(111/9/1)</w:t>
      </w:r>
    </w:p>
    <w:p w14:paraId="4882240F" w14:textId="77777777" w:rsidR="002144EC" w:rsidRDefault="002144EC" w:rsidP="002144EC">
      <w:pPr>
        <w:spacing w:line="300" w:lineRule="exact"/>
        <w:ind w:left="283"/>
        <w:rPr>
          <w:rFonts w:ascii="標楷體" w:eastAsia="標楷體" w:hAnsi="標楷體"/>
          <w:color w:val="000000"/>
        </w:rPr>
      </w:pPr>
      <w:r>
        <w:rPr>
          <w:rFonts w:ascii="標楷體" w:eastAsia="標楷體" w:hAnsi="標楷體"/>
          <w:color w:val="000000"/>
        </w:rPr>
        <w:t xml:space="preserve">3.3.20.Polysaccharides of Astragalus </w:t>
      </w:r>
      <w:proofErr w:type="spellStart"/>
      <w:r>
        <w:rPr>
          <w:rFonts w:ascii="標楷體" w:eastAsia="標楷體" w:hAnsi="標楷體"/>
          <w:color w:val="000000"/>
        </w:rPr>
        <w:t>membranaceus</w:t>
      </w:r>
      <w:proofErr w:type="spellEnd"/>
      <w:r>
        <w:rPr>
          <w:rFonts w:ascii="標楷體" w:eastAsia="標楷體" w:hAnsi="標楷體"/>
          <w:color w:val="000000"/>
        </w:rPr>
        <w:t xml:space="preserve">(如PG2 </w:t>
      </w:r>
      <w:proofErr w:type="spellStart"/>
      <w:r>
        <w:rPr>
          <w:rFonts w:ascii="標楷體" w:eastAsia="標楷體" w:hAnsi="標楷體"/>
          <w:color w:val="000000"/>
        </w:rPr>
        <w:t>Lyo</w:t>
      </w:r>
      <w:proofErr w:type="spellEnd"/>
      <w:r>
        <w:rPr>
          <w:rFonts w:ascii="標楷體" w:eastAsia="標楷體" w:hAnsi="標楷體"/>
          <w:color w:val="000000"/>
        </w:rPr>
        <w:t>. Injection)：(110/3/1)</w:t>
      </w:r>
    </w:p>
    <w:p w14:paraId="43AE3E86" w14:textId="77777777" w:rsidR="002144EC" w:rsidRDefault="002144EC" w:rsidP="002144EC">
      <w:pPr>
        <w:spacing w:line="300" w:lineRule="exact"/>
        <w:ind w:left="283"/>
        <w:rPr>
          <w:rFonts w:ascii="標楷體" w:eastAsia="標楷體" w:hAnsi="標楷體"/>
          <w:color w:val="000000"/>
        </w:rPr>
      </w:pPr>
      <w:r>
        <w:rPr>
          <w:rFonts w:ascii="標楷體" w:eastAsia="標楷體" w:hAnsi="標楷體"/>
          <w:color w:val="000000"/>
        </w:rPr>
        <w:t>使用本藥品應符合下列各條件：</w:t>
      </w:r>
    </w:p>
    <w:p w14:paraId="0EA163D0" w14:textId="77777777" w:rsidR="002144EC" w:rsidRDefault="002144EC" w:rsidP="002144EC">
      <w:pPr>
        <w:spacing w:line="300" w:lineRule="exact"/>
        <w:ind w:left="849" w:hanging="283"/>
        <w:rPr>
          <w:rFonts w:ascii="標楷體" w:eastAsia="標楷體" w:hAnsi="標楷體"/>
          <w:color w:val="000000"/>
        </w:rPr>
      </w:pPr>
      <w:r>
        <w:rPr>
          <w:rFonts w:ascii="標楷體" w:eastAsia="標楷體" w:hAnsi="標楷體"/>
          <w:color w:val="000000"/>
        </w:rPr>
        <w:t>1.限用於第四期因疾病進展導致中重度疲憊之乳癌成人患者(不含住院安寧療護病患)。</w:t>
      </w:r>
    </w:p>
    <w:p w14:paraId="607EE0D4" w14:textId="77777777" w:rsidR="002144EC" w:rsidRDefault="002144EC" w:rsidP="002144EC">
      <w:pPr>
        <w:spacing w:line="300" w:lineRule="exact"/>
        <w:ind w:left="789" w:hanging="223"/>
        <w:rPr>
          <w:rFonts w:ascii="標楷體" w:eastAsia="標楷體" w:hAnsi="標楷體"/>
          <w:color w:val="000000"/>
        </w:rPr>
      </w:pPr>
      <w:r>
        <w:rPr>
          <w:rFonts w:ascii="標楷體" w:eastAsia="標楷體" w:hAnsi="標楷體"/>
          <w:color w:val="000000"/>
        </w:rPr>
        <w:t>2.臨床上需符合ICD-10診斷標準，病歷上應詳細記載疲憊分數</w:t>
      </w:r>
      <w:proofErr w:type="gramStart"/>
      <w:r>
        <w:rPr>
          <w:rFonts w:ascii="標楷體" w:eastAsia="標楷體" w:hAnsi="標楷體"/>
          <w:color w:val="000000"/>
        </w:rPr>
        <w:t>≧</w:t>
      </w:r>
      <w:proofErr w:type="gramEnd"/>
      <w:r>
        <w:rPr>
          <w:rFonts w:ascii="標楷體" w:eastAsia="標楷體" w:hAnsi="標楷體"/>
          <w:color w:val="000000"/>
        </w:rPr>
        <w:t>4(BFI-T或VAS)，經其他處置無效之中重</w:t>
      </w:r>
      <w:proofErr w:type="gramStart"/>
      <w:r>
        <w:rPr>
          <w:rFonts w:ascii="標楷體" w:eastAsia="標楷體" w:hAnsi="標楷體"/>
          <w:color w:val="000000"/>
        </w:rPr>
        <w:t>度癌因性疲憊症</w:t>
      </w:r>
      <w:proofErr w:type="gramEnd"/>
      <w:r>
        <w:rPr>
          <w:rFonts w:ascii="標楷體" w:eastAsia="標楷體" w:hAnsi="標楷體"/>
          <w:color w:val="000000"/>
        </w:rPr>
        <w:t>患者。</w:t>
      </w:r>
    </w:p>
    <w:p w14:paraId="7E83FCAE" w14:textId="77777777" w:rsidR="002144EC" w:rsidRDefault="002144EC" w:rsidP="002144EC">
      <w:pPr>
        <w:spacing w:line="300" w:lineRule="exact"/>
        <w:ind w:left="566"/>
        <w:rPr>
          <w:rFonts w:ascii="標楷體" w:eastAsia="標楷體" w:hAnsi="標楷體"/>
          <w:color w:val="000000"/>
        </w:rPr>
      </w:pPr>
      <w:r>
        <w:rPr>
          <w:rFonts w:ascii="標楷體" w:eastAsia="標楷體" w:hAnsi="標楷體"/>
          <w:color w:val="000000"/>
        </w:rPr>
        <w:lastRenderedPageBreak/>
        <w:t>3.ECOG需為0-2之患者。</w:t>
      </w:r>
    </w:p>
    <w:p w14:paraId="28818CFC" w14:textId="77777777" w:rsidR="002144EC" w:rsidRDefault="002144EC" w:rsidP="002144EC">
      <w:pPr>
        <w:spacing w:line="300" w:lineRule="exact"/>
        <w:ind w:left="566"/>
        <w:rPr>
          <w:rFonts w:ascii="標楷體" w:eastAsia="標楷體" w:hAnsi="標楷體"/>
          <w:color w:val="000000"/>
        </w:rPr>
      </w:pPr>
      <w:r>
        <w:rPr>
          <w:rFonts w:ascii="標楷體" w:eastAsia="標楷體" w:hAnsi="標楷體"/>
          <w:color w:val="000000"/>
        </w:rPr>
        <w:t>4.每位病人終生給付6支為上限。</w:t>
      </w:r>
    </w:p>
    <w:p w14:paraId="0D0A5712" w14:textId="77777777" w:rsidR="002144EC" w:rsidRDefault="002144EC" w:rsidP="002144EC">
      <w:pPr>
        <w:spacing w:line="300" w:lineRule="exact"/>
        <w:ind w:left="566"/>
        <w:rPr>
          <w:rFonts w:ascii="標楷體" w:eastAsia="標楷體" w:hAnsi="標楷體"/>
          <w:color w:val="000000"/>
        </w:rPr>
      </w:pPr>
      <w:r>
        <w:rPr>
          <w:rFonts w:ascii="標楷體" w:eastAsia="標楷體" w:hAnsi="標楷體"/>
          <w:color w:val="000000"/>
        </w:rPr>
        <w:t>5.需經事前審查核准後使用。</w:t>
      </w:r>
    </w:p>
    <w:p w14:paraId="60BB17DE" w14:textId="77777777" w:rsidR="002144EC" w:rsidRPr="00A60E4D" w:rsidRDefault="002144EC" w:rsidP="002144EC">
      <w:pPr>
        <w:spacing w:line="300" w:lineRule="exact"/>
        <w:ind w:left="245" w:hanging="245"/>
        <w:rPr>
          <w:rFonts w:ascii="標楷體" w:eastAsia="標楷體" w:hAnsi="標楷體"/>
          <w:color w:val="000000"/>
          <w:szCs w:val="24"/>
        </w:rPr>
      </w:pPr>
      <w:r w:rsidRPr="00A60E4D">
        <w:rPr>
          <w:rFonts w:ascii="標楷體" w:eastAsia="標楷體" w:hAnsi="標楷體"/>
          <w:color w:val="000000"/>
          <w:szCs w:val="24"/>
        </w:rPr>
        <w:t>3.3.21.alpha-glucosidase (如</w:t>
      </w:r>
      <w:proofErr w:type="spellStart"/>
      <w:r w:rsidRPr="00A60E4D">
        <w:rPr>
          <w:rFonts w:ascii="標楷體" w:eastAsia="標楷體" w:hAnsi="標楷體"/>
          <w:color w:val="000000"/>
          <w:szCs w:val="24"/>
        </w:rPr>
        <w:t>Myozyme</w:t>
      </w:r>
      <w:proofErr w:type="spellEnd"/>
      <w:r w:rsidRPr="00A60E4D">
        <w:rPr>
          <w:rFonts w:ascii="標楷體" w:eastAsia="標楷體" w:hAnsi="標楷體"/>
          <w:color w:val="000000"/>
          <w:szCs w:val="24"/>
        </w:rPr>
        <w:t>)(110/12/1</w:t>
      </w:r>
      <w:r w:rsidRPr="00A60E4D">
        <w:rPr>
          <w:rFonts w:ascii="標楷體" w:eastAsia="標楷體" w:hAnsi="標楷體"/>
          <w:szCs w:val="24"/>
        </w:rPr>
        <w:t>、</w:t>
      </w:r>
      <w:r w:rsidRPr="00A60E4D">
        <w:rPr>
          <w:rFonts w:ascii="標楷體" w:eastAsia="標楷體" w:hAnsi="標楷體" w:hint="eastAsia"/>
          <w:szCs w:val="24"/>
        </w:rPr>
        <w:t>115</w:t>
      </w:r>
      <w:r w:rsidRPr="00A60E4D">
        <w:rPr>
          <w:rFonts w:ascii="標楷體" w:eastAsia="標楷體" w:hAnsi="標楷體"/>
          <w:szCs w:val="24"/>
        </w:rPr>
        <w:t>/</w:t>
      </w:r>
      <w:r w:rsidRPr="00A60E4D">
        <w:rPr>
          <w:rFonts w:ascii="標楷體" w:eastAsia="標楷體" w:hAnsi="標楷體" w:hint="eastAsia"/>
          <w:szCs w:val="24"/>
        </w:rPr>
        <w:t>6</w:t>
      </w:r>
      <w:r w:rsidRPr="00A60E4D">
        <w:rPr>
          <w:rFonts w:ascii="標楷體" w:eastAsia="標楷體" w:hAnsi="標楷體"/>
          <w:szCs w:val="24"/>
        </w:rPr>
        <w:t>/1</w:t>
      </w:r>
      <w:r w:rsidRPr="00A60E4D">
        <w:rPr>
          <w:rFonts w:ascii="標楷體" w:eastAsia="標楷體" w:hAnsi="標楷體"/>
          <w:color w:val="000000"/>
          <w:szCs w:val="24"/>
        </w:rPr>
        <w:t xml:space="preserve">) </w:t>
      </w:r>
    </w:p>
    <w:p w14:paraId="048F80AF" w14:textId="77777777" w:rsidR="002144EC" w:rsidRPr="00A60E4D" w:rsidRDefault="002144EC" w:rsidP="002144EC">
      <w:pPr>
        <w:numPr>
          <w:ilvl w:val="0"/>
          <w:numId w:val="189"/>
        </w:numPr>
        <w:spacing w:line="300" w:lineRule="exact"/>
        <w:ind w:left="567" w:hanging="258"/>
        <w:jc w:val="both"/>
        <w:rPr>
          <w:rFonts w:ascii="標楷體" w:eastAsia="標楷體" w:hAnsi="標楷體"/>
          <w:color w:val="000000"/>
          <w:szCs w:val="24"/>
        </w:rPr>
      </w:pPr>
      <w:r w:rsidRPr="00A60E4D">
        <w:rPr>
          <w:rFonts w:ascii="標楷體" w:eastAsia="標楷體" w:hAnsi="標楷體" w:hint="eastAsia"/>
          <w:szCs w:val="24"/>
        </w:rPr>
        <w:t>用於衛生福利部國民</w:t>
      </w:r>
      <w:proofErr w:type="gramStart"/>
      <w:r w:rsidRPr="00A60E4D">
        <w:rPr>
          <w:rFonts w:ascii="標楷體" w:eastAsia="標楷體" w:hAnsi="標楷體" w:hint="eastAsia"/>
          <w:szCs w:val="24"/>
        </w:rPr>
        <w:t>健康署</w:t>
      </w:r>
      <w:proofErr w:type="gramEnd"/>
      <w:r w:rsidRPr="00A60E4D">
        <w:rPr>
          <w:rFonts w:ascii="標楷體" w:eastAsia="標楷體" w:hAnsi="標楷體" w:hint="eastAsia"/>
          <w:szCs w:val="24"/>
        </w:rPr>
        <w:t>認定之龐貝氏症病人，且為未滿</w:t>
      </w:r>
      <w:r w:rsidRPr="00A60E4D">
        <w:rPr>
          <w:rFonts w:ascii="標楷體" w:eastAsia="標楷體" w:hAnsi="標楷體"/>
          <w:szCs w:val="24"/>
        </w:rPr>
        <w:t>1</w:t>
      </w:r>
      <w:r w:rsidRPr="00A60E4D">
        <w:rPr>
          <w:rFonts w:ascii="標楷體" w:eastAsia="標楷體" w:hAnsi="標楷體" w:hint="eastAsia"/>
          <w:szCs w:val="24"/>
        </w:rPr>
        <w:t>歲前發病之嬰兒型龐貝氏症，出現肌肉無力，或心室肥大，或</w:t>
      </w:r>
      <w:proofErr w:type="gramStart"/>
      <w:r w:rsidRPr="00A60E4D">
        <w:rPr>
          <w:rFonts w:ascii="標楷體" w:eastAsia="標楷體" w:hAnsi="標楷體" w:hint="eastAsia"/>
          <w:szCs w:val="24"/>
        </w:rPr>
        <w:t>肌酸激酶</w:t>
      </w:r>
      <w:proofErr w:type="gramEnd"/>
      <w:r w:rsidRPr="00A60E4D">
        <w:rPr>
          <w:rFonts w:ascii="標楷體" w:eastAsia="標楷體" w:hAnsi="標楷體"/>
          <w:szCs w:val="24"/>
        </w:rPr>
        <w:t>CK</w:t>
      </w:r>
      <w:r w:rsidRPr="00A60E4D">
        <w:rPr>
          <w:rFonts w:ascii="標楷體" w:eastAsia="標楷體" w:hAnsi="標楷體" w:hint="eastAsia"/>
          <w:szCs w:val="24"/>
        </w:rPr>
        <w:t>升高，或於肌肉切片顯示有肝醣堆積者。</w:t>
      </w:r>
    </w:p>
    <w:p w14:paraId="104875AC" w14:textId="77777777" w:rsidR="002144EC" w:rsidRPr="00A60E4D" w:rsidRDefault="002144EC" w:rsidP="002144EC">
      <w:pPr>
        <w:numPr>
          <w:ilvl w:val="0"/>
          <w:numId w:val="189"/>
        </w:numPr>
        <w:spacing w:line="300" w:lineRule="exact"/>
        <w:ind w:left="567" w:hanging="258"/>
        <w:jc w:val="both"/>
        <w:rPr>
          <w:rFonts w:ascii="標楷體" w:eastAsia="標楷體" w:hAnsi="標楷體"/>
          <w:szCs w:val="24"/>
        </w:rPr>
      </w:pPr>
      <w:r w:rsidRPr="00A60E4D">
        <w:rPr>
          <w:rFonts w:ascii="標楷體" w:eastAsia="標楷體" w:hAnsi="標楷體" w:hint="eastAsia"/>
          <w:color w:val="000000"/>
          <w:szCs w:val="24"/>
        </w:rPr>
        <w:t>限由具兒</w:t>
      </w:r>
      <w:r w:rsidRPr="00A60E4D">
        <w:rPr>
          <w:rFonts w:ascii="標楷體" w:eastAsia="標楷體" w:hAnsi="標楷體" w:hint="eastAsia"/>
          <w:szCs w:val="24"/>
        </w:rPr>
        <w:t>科專科醫師證書，且經小兒遺傳及內分泌新陳代謝科或小兒神經科訓練之醫師，或具神經科專科醫師證書之醫師處方使用，並應於病歷詳實記載病程、確診之檢驗資料及治療反應。</w:t>
      </w:r>
      <w:r w:rsidRPr="00A60E4D">
        <w:rPr>
          <w:rFonts w:ascii="標楷體" w:eastAsia="標楷體" w:hAnsi="標楷體"/>
          <w:szCs w:val="24"/>
        </w:rPr>
        <w:t>(110/12/1、</w:t>
      </w:r>
      <w:r w:rsidRPr="00A60E4D">
        <w:rPr>
          <w:rFonts w:ascii="標楷體" w:eastAsia="標楷體" w:hAnsi="標楷體" w:hint="eastAsia"/>
          <w:szCs w:val="24"/>
        </w:rPr>
        <w:t>115</w:t>
      </w:r>
      <w:r w:rsidRPr="00A60E4D">
        <w:rPr>
          <w:rFonts w:ascii="標楷體" w:eastAsia="標楷體" w:hAnsi="標楷體"/>
          <w:szCs w:val="24"/>
        </w:rPr>
        <w:t>/</w:t>
      </w:r>
      <w:r w:rsidRPr="00A60E4D">
        <w:rPr>
          <w:rFonts w:ascii="標楷體" w:eastAsia="標楷體" w:hAnsi="標楷體" w:hint="eastAsia"/>
          <w:szCs w:val="24"/>
        </w:rPr>
        <w:t>6</w:t>
      </w:r>
      <w:r w:rsidRPr="00A60E4D">
        <w:rPr>
          <w:rFonts w:ascii="標楷體" w:eastAsia="標楷體" w:hAnsi="標楷體"/>
          <w:szCs w:val="24"/>
        </w:rPr>
        <w:t>/1)</w:t>
      </w:r>
    </w:p>
    <w:p w14:paraId="46D6EE86" w14:textId="77777777" w:rsidR="002144EC" w:rsidRPr="00A60E4D" w:rsidRDefault="002144EC" w:rsidP="002144EC">
      <w:pPr>
        <w:numPr>
          <w:ilvl w:val="0"/>
          <w:numId w:val="189"/>
        </w:numPr>
        <w:spacing w:line="300" w:lineRule="exact"/>
        <w:ind w:left="567" w:hanging="258"/>
        <w:jc w:val="both"/>
        <w:rPr>
          <w:rFonts w:ascii="標楷體" w:eastAsia="標楷體" w:hAnsi="標楷體"/>
          <w:color w:val="000000"/>
          <w:szCs w:val="24"/>
        </w:rPr>
      </w:pPr>
      <w:r w:rsidRPr="00A60E4D">
        <w:rPr>
          <w:rFonts w:ascii="標楷體" w:eastAsia="標楷體" w:hAnsi="標楷體" w:hint="eastAsia"/>
          <w:szCs w:val="24"/>
        </w:rPr>
        <w:t>需經事前審查</w:t>
      </w:r>
      <w:r w:rsidRPr="00A60E4D">
        <w:rPr>
          <w:rFonts w:ascii="標楷體" w:eastAsia="標楷體" w:hAnsi="標楷體" w:hint="eastAsia"/>
          <w:color w:val="000000"/>
          <w:szCs w:val="24"/>
        </w:rPr>
        <w:t>核准後使用，並應定期追蹤評估患者下列事項之治療效果，每次申請以1年為限，期滿需經再次申請核准後，始得續用：</w:t>
      </w:r>
      <w:r w:rsidRPr="00A60E4D">
        <w:rPr>
          <w:rFonts w:ascii="標楷體" w:eastAsia="標楷體" w:hAnsi="標楷體"/>
          <w:color w:val="000000"/>
          <w:szCs w:val="24"/>
        </w:rPr>
        <w:t>(110/12/1</w:t>
      </w:r>
      <w:r w:rsidRPr="00A60E4D">
        <w:rPr>
          <w:rFonts w:ascii="標楷體" w:eastAsia="標楷體" w:hAnsi="標楷體"/>
          <w:szCs w:val="24"/>
        </w:rPr>
        <w:t>、</w:t>
      </w:r>
      <w:r w:rsidRPr="00A60E4D">
        <w:rPr>
          <w:rFonts w:ascii="標楷體" w:eastAsia="標楷體" w:hAnsi="標楷體" w:hint="eastAsia"/>
          <w:szCs w:val="24"/>
        </w:rPr>
        <w:t>115</w:t>
      </w:r>
      <w:r w:rsidRPr="00A60E4D">
        <w:rPr>
          <w:rFonts w:ascii="標楷體" w:eastAsia="標楷體" w:hAnsi="標楷體"/>
          <w:szCs w:val="24"/>
        </w:rPr>
        <w:t>/</w:t>
      </w:r>
      <w:r w:rsidRPr="00A60E4D">
        <w:rPr>
          <w:rFonts w:ascii="標楷體" w:eastAsia="標楷體" w:hAnsi="標楷體" w:hint="eastAsia"/>
          <w:szCs w:val="24"/>
        </w:rPr>
        <w:t>6</w:t>
      </w:r>
      <w:r w:rsidRPr="00A60E4D">
        <w:rPr>
          <w:rFonts w:ascii="標楷體" w:eastAsia="標楷體" w:hAnsi="標楷體"/>
          <w:szCs w:val="24"/>
        </w:rPr>
        <w:t>/1</w:t>
      </w:r>
      <w:r w:rsidRPr="00A60E4D">
        <w:rPr>
          <w:rFonts w:ascii="標楷體" w:eastAsia="標楷體" w:hAnsi="標楷體"/>
          <w:color w:val="000000"/>
          <w:szCs w:val="24"/>
        </w:rPr>
        <w:t>)</w:t>
      </w:r>
    </w:p>
    <w:p w14:paraId="3E895682" w14:textId="77777777" w:rsidR="002144EC" w:rsidRPr="00A60E4D" w:rsidRDefault="002144EC" w:rsidP="002144EC">
      <w:pPr>
        <w:numPr>
          <w:ilvl w:val="0"/>
          <w:numId w:val="190"/>
        </w:numPr>
        <w:spacing w:line="300" w:lineRule="exact"/>
        <w:ind w:left="993" w:hanging="426"/>
        <w:jc w:val="both"/>
        <w:rPr>
          <w:rFonts w:ascii="標楷體" w:eastAsia="標楷體" w:hAnsi="標楷體"/>
          <w:color w:val="000000"/>
          <w:szCs w:val="24"/>
        </w:rPr>
      </w:pPr>
      <w:r w:rsidRPr="00A60E4D">
        <w:rPr>
          <w:rFonts w:ascii="標楷體" w:eastAsia="標楷體" w:hAnsi="標楷體" w:hint="eastAsia"/>
          <w:color w:val="000000"/>
          <w:szCs w:val="24"/>
        </w:rPr>
        <w:t>追蹤事項：</w:t>
      </w:r>
    </w:p>
    <w:p w14:paraId="35C88C2C" w14:textId="77777777" w:rsidR="002144EC" w:rsidRPr="00A60E4D" w:rsidRDefault="002144EC" w:rsidP="002144EC">
      <w:pPr>
        <w:numPr>
          <w:ilvl w:val="0"/>
          <w:numId w:val="191"/>
        </w:numPr>
        <w:spacing w:line="300" w:lineRule="exact"/>
        <w:ind w:left="1276" w:hanging="320"/>
        <w:jc w:val="both"/>
        <w:rPr>
          <w:rFonts w:ascii="標楷體" w:eastAsia="標楷體" w:hAnsi="標楷體"/>
          <w:color w:val="000000"/>
          <w:szCs w:val="24"/>
        </w:rPr>
      </w:pPr>
      <w:r w:rsidRPr="00A60E4D">
        <w:rPr>
          <w:rFonts w:ascii="標楷體" w:eastAsia="標楷體" w:hAnsi="標楷體" w:hint="eastAsia"/>
          <w:color w:val="000000"/>
          <w:szCs w:val="24"/>
        </w:rPr>
        <w:t>肝功能、腎功能、</w:t>
      </w:r>
      <w:proofErr w:type="gramStart"/>
      <w:r w:rsidRPr="00A60E4D">
        <w:rPr>
          <w:rFonts w:ascii="標楷體" w:eastAsia="標楷體" w:hAnsi="標楷體" w:hint="eastAsia"/>
          <w:color w:val="000000"/>
          <w:szCs w:val="24"/>
        </w:rPr>
        <w:t>肌酸激酶</w:t>
      </w:r>
      <w:proofErr w:type="gramEnd"/>
      <w:r w:rsidRPr="00A60E4D">
        <w:rPr>
          <w:rFonts w:ascii="標楷體" w:eastAsia="標楷體" w:hAnsi="標楷體"/>
          <w:color w:val="000000"/>
          <w:szCs w:val="24"/>
        </w:rPr>
        <w:t>(CK)</w:t>
      </w:r>
      <w:r w:rsidRPr="00A60E4D">
        <w:rPr>
          <w:rFonts w:ascii="標楷體" w:eastAsia="標楷體" w:hAnsi="標楷體" w:hint="eastAsia"/>
          <w:color w:val="000000"/>
          <w:szCs w:val="24"/>
        </w:rPr>
        <w:t>、尿液</w:t>
      </w:r>
      <w:r w:rsidRPr="00A60E4D">
        <w:rPr>
          <w:rFonts w:ascii="標楷體" w:eastAsia="標楷體" w:hAnsi="標楷體"/>
          <w:color w:val="000000"/>
          <w:szCs w:val="24"/>
        </w:rPr>
        <w:t>Glc4</w:t>
      </w:r>
      <w:r w:rsidRPr="00A60E4D">
        <w:rPr>
          <w:rFonts w:ascii="標楷體" w:eastAsia="標楷體" w:hAnsi="標楷體" w:hint="eastAsia"/>
          <w:color w:val="000000"/>
          <w:szCs w:val="24"/>
        </w:rPr>
        <w:t>、心電圖、心臟超音波、肌力以及整體發展，至少</w:t>
      </w:r>
      <w:r w:rsidRPr="00A60E4D">
        <w:rPr>
          <w:rFonts w:ascii="標楷體" w:eastAsia="標楷體" w:hAnsi="標楷體"/>
          <w:color w:val="000000"/>
          <w:szCs w:val="24"/>
        </w:rPr>
        <w:t>1</w:t>
      </w:r>
      <w:r w:rsidRPr="00A60E4D">
        <w:rPr>
          <w:rFonts w:ascii="標楷體" w:eastAsia="標楷體" w:hAnsi="標楷體" w:hint="eastAsia"/>
          <w:color w:val="000000"/>
          <w:szCs w:val="24"/>
        </w:rPr>
        <w:t>年</w:t>
      </w:r>
      <w:r w:rsidRPr="00A60E4D">
        <w:rPr>
          <w:rFonts w:ascii="標楷體" w:eastAsia="標楷體" w:hAnsi="標楷體"/>
          <w:color w:val="000000"/>
          <w:szCs w:val="24"/>
        </w:rPr>
        <w:t>2</w:t>
      </w:r>
      <w:r w:rsidRPr="00A60E4D">
        <w:rPr>
          <w:rFonts w:ascii="標楷體" w:eastAsia="標楷體" w:hAnsi="標楷體" w:hint="eastAsia"/>
          <w:color w:val="000000"/>
          <w:szCs w:val="24"/>
        </w:rPr>
        <w:t>次。</w:t>
      </w:r>
    </w:p>
    <w:p w14:paraId="69B650BE" w14:textId="77777777" w:rsidR="002144EC" w:rsidRPr="00A60E4D" w:rsidRDefault="002144EC" w:rsidP="002144EC">
      <w:pPr>
        <w:numPr>
          <w:ilvl w:val="0"/>
          <w:numId w:val="191"/>
        </w:numPr>
        <w:spacing w:line="300" w:lineRule="exact"/>
        <w:ind w:left="1276" w:hanging="425"/>
        <w:jc w:val="both"/>
        <w:rPr>
          <w:rFonts w:ascii="標楷體" w:eastAsia="標楷體" w:hAnsi="標楷體"/>
          <w:color w:val="000000"/>
          <w:szCs w:val="24"/>
        </w:rPr>
      </w:pPr>
      <w:r w:rsidRPr="00A60E4D">
        <w:rPr>
          <w:rFonts w:ascii="標楷體" w:eastAsia="標楷體" w:hAnsi="標楷體" w:hint="eastAsia"/>
          <w:color w:val="000000"/>
          <w:szCs w:val="24"/>
        </w:rPr>
        <w:t>抗體測定至少每年1次。</w:t>
      </w:r>
    </w:p>
    <w:p w14:paraId="12448449" w14:textId="77777777" w:rsidR="002144EC" w:rsidRPr="00A60E4D" w:rsidRDefault="002144EC" w:rsidP="002144EC">
      <w:pPr>
        <w:numPr>
          <w:ilvl w:val="0"/>
          <w:numId w:val="190"/>
        </w:numPr>
        <w:spacing w:line="300" w:lineRule="exact"/>
        <w:ind w:left="1134" w:hanging="426"/>
        <w:jc w:val="both"/>
        <w:rPr>
          <w:rFonts w:ascii="標楷體" w:eastAsia="標楷體" w:hAnsi="標楷體"/>
          <w:color w:val="000000"/>
          <w:szCs w:val="24"/>
        </w:rPr>
      </w:pPr>
      <w:r w:rsidRPr="00A60E4D">
        <w:rPr>
          <w:rFonts w:ascii="標楷體" w:eastAsia="標楷體" w:hAnsi="標楷體" w:hint="eastAsia"/>
          <w:color w:val="000000"/>
          <w:szCs w:val="24"/>
        </w:rPr>
        <w:t>治療目標：心臟肥大現象改善或穩定，肌肉無力現象改善或穩定，</w:t>
      </w:r>
      <w:proofErr w:type="gramStart"/>
      <w:r w:rsidRPr="00A60E4D">
        <w:rPr>
          <w:rFonts w:ascii="標楷體" w:eastAsia="標楷體" w:hAnsi="標楷體" w:hint="eastAsia"/>
          <w:color w:val="000000"/>
          <w:szCs w:val="24"/>
        </w:rPr>
        <w:t>肌酸激酶</w:t>
      </w:r>
      <w:proofErr w:type="gramEnd"/>
      <w:r w:rsidRPr="00A60E4D">
        <w:rPr>
          <w:rFonts w:ascii="標楷體" w:eastAsia="標楷體" w:hAnsi="標楷體"/>
          <w:color w:val="000000"/>
          <w:szCs w:val="24"/>
        </w:rPr>
        <w:t>(CK)</w:t>
      </w:r>
      <w:r w:rsidRPr="00A60E4D">
        <w:rPr>
          <w:rFonts w:ascii="標楷體" w:eastAsia="標楷體" w:hAnsi="標楷體" w:hint="eastAsia"/>
          <w:color w:val="000000"/>
          <w:szCs w:val="24"/>
        </w:rPr>
        <w:t>數值改善或穩定，尿液</w:t>
      </w:r>
      <w:r w:rsidRPr="00A60E4D">
        <w:rPr>
          <w:rFonts w:ascii="標楷體" w:eastAsia="標楷體" w:hAnsi="標楷體"/>
          <w:color w:val="000000"/>
          <w:szCs w:val="24"/>
        </w:rPr>
        <w:t>Glc4</w:t>
      </w:r>
      <w:r w:rsidRPr="00A60E4D">
        <w:rPr>
          <w:rFonts w:ascii="標楷體" w:eastAsia="標楷體" w:hAnsi="標楷體" w:hint="eastAsia"/>
          <w:color w:val="000000"/>
          <w:szCs w:val="24"/>
        </w:rPr>
        <w:t>數值改善或穩定，整體發展持續進步、穩定或減緩退化</w:t>
      </w:r>
    </w:p>
    <w:p w14:paraId="69939047" w14:textId="77777777" w:rsidR="002144EC" w:rsidRPr="00F9792D" w:rsidRDefault="002144EC" w:rsidP="002144EC">
      <w:pPr>
        <w:numPr>
          <w:ilvl w:val="0"/>
          <w:numId w:val="189"/>
        </w:numPr>
        <w:spacing w:line="300" w:lineRule="exact"/>
        <w:ind w:left="567" w:hanging="258"/>
        <w:jc w:val="both"/>
        <w:rPr>
          <w:szCs w:val="24"/>
        </w:rPr>
      </w:pPr>
      <w:r w:rsidRPr="00A60E4D">
        <w:rPr>
          <w:rFonts w:ascii="標楷體" w:eastAsia="標楷體" w:hAnsi="標楷體" w:hint="eastAsia"/>
          <w:color w:val="000000"/>
          <w:szCs w:val="24"/>
        </w:rPr>
        <w:t>本</w:t>
      </w:r>
      <w:r w:rsidRPr="00F9792D">
        <w:rPr>
          <w:rFonts w:ascii="標楷體" w:eastAsia="標楷體" w:hAnsi="標楷體" w:hint="eastAsia"/>
          <w:szCs w:val="24"/>
        </w:rPr>
        <w:t>藥品</w:t>
      </w:r>
      <w:r w:rsidRPr="00A60E4D">
        <w:rPr>
          <w:rFonts w:ascii="標楷體" w:eastAsia="標楷體" w:hAnsi="標楷體" w:hint="eastAsia"/>
          <w:color w:val="000000"/>
          <w:szCs w:val="24"/>
        </w:rPr>
        <w:t>不能與alfa-</w:t>
      </w:r>
      <w:proofErr w:type="spellStart"/>
      <w:r w:rsidRPr="00A60E4D">
        <w:rPr>
          <w:rFonts w:ascii="標楷體" w:eastAsia="標楷體" w:hAnsi="標楷體" w:hint="eastAsia"/>
          <w:color w:val="000000"/>
          <w:szCs w:val="24"/>
        </w:rPr>
        <w:t>avalglucosidase</w:t>
      </w:r>
      <w:proofErr w:type="spellEnd"/>
      <w:r w:rsidRPr="00A60E4D">
        <w:rPr>
          <w:rFonts w:ascii="標楷體" w:eastAsia="標楷體" w:hAnsi="標楷體" w:hint="eastAsia"/>
          <w:color w:val="000000"/>
          <w:szCs w:val="24"/>
        </w:rPr>
        <w:t>合併使用。(115/6/1)</w:t>
      </w:r>
    </w:p>
    <w:p w14:paraId="5D12D0A1" w14:textId="77777777" w:rsidR="002144EC" w:rsidRDefault="002144EC" w:rsidP="002144EC">
      <w:pPr>
        <w:tabs>
          <w:tab w:val="left" w:pos="539"/>
        </w:tabs>
        <w:spacing w:line="300" w:lineRule="exact"/>
        <w:ind w:left="539" w:hanging="539"/>
      </w:pPr>
      <w:bookmarkStart w:id="8" w:name="_Hlk99110380"/>
      <w:r>
        <w:rPr>
          <w:rFonts w:ascii="標楷體" w:eastAsia="標楷體" w:hAnsi="標楷體"/>
          <w:szCs w:val="28"/>
        </w:rPr>
        <w:t>3.3.22.</w:t>
      </w:r>
      <w:r>
        <w:rPr>
          <w:sz w:val="22"/>
        </w:rPr>
        <w:t xml:space="preserve"> </w:t>
      </w:r>
      <w:r>
        <w:rPr>
          <w:rFonts w:ascii="標楷體" w:eastAsia="標楷體" w:hAnsi="標楷體"/>
          <w:szCs w:val="28"/>
        </w:rPr>
        <w:t>CRRT non Ca dialysate：（111/4/1）</w:t>
      </w:r>
    </w:p>
    <w:p w14:paraId="35DA8C5A" w14:textId="77777777" w:rsidR="002144EC" w:rsidRDefault="002144EC" w:rsidP="002144EC">
      <w:pPr>
        <w:spacing w:line="300" w:lineRule="exact"/>
        <w:ind w:left="110" w:firstLine="24"/>
        <w:rPr>
          <w:rFonts w:ascii="標楷體" w:eastAsia="標楷體" w:hAnsi="標楷體"/>
          <w:szCs w:val="28"/>
        </w:rPr>
      </w:pPr>
      <w:r>
        <w:rPr>
          <w:rFonts w:ascii="標楷體" w:eastAsia="標楷體" w:hAnsi="標楷體"/>
          <w:szCs w:val="28"/>
        </w:rPr>
        <w:t>須符合下列各項條件：</w:t>
      </w:r>
    </w:p>
    <w:p w14:paraId="1C4726B3" w14:textId="77777777" w:rsidR="002144EC" w:rsidRDefault="002144EC" w:rsidP="002144EC">
      <w:pPr>
        <w:numPr>
          <w:ilvl w:val="3"/>
          <w:numId w:val="225"/>
        </w:numPr>
        <w:suppressAutoHyphens w:val="0"/>
        <w:spacing w:line="300" w:lineRule="exact"/>
        <w:ind w:left="537" w:hanging="338"/>
        <w:textAlignment w:val="auto"/>
        <w:rPr>
          <w:rFonts w:ascii="標楷體" w:eastAsia="標楷體" w:hAnsi="標楷體"/>
          <w:szCs w:val="28"/>
        </w:rPr>
      </w:pPr>
      <w:r>
        <w:rPr>
          <w:rFonts w:ascii="標楷體" w:eastAsia="標楷體" w:hAnsi="標楷體"/>
          <w:szCs w:val="28"/>
        </w:rPr>
        <w:t>接受連續性靜脈血液透析(CVVHD)且不適用heparin抗凝之病人，以局部檸檬酸</w:t>
      </w:r>
      <w:proofErr w:type="gramStart"/>
      <w:r>
        <w:rPr>
          <w:rFonts w:ascii="標楷體" w:eastAsia="標楷體" w:hAnsi="標楷體"/>
          <w:szCs w:val="28"/>
        </w:rPr>
        <w:t>鹽抗凝法</w:t>
      </w:r>
      <w:proofErr w:type="gramEnd"/>
      <w:r>
        <w:rPr>
          <w:rFonts w:ascii="標楷體" w:eastAsia="標楷體" w:hAnsi="標楷體"/>
          <w:szCs w:val="28"/>
        </w:rPr>
        <w:t xml:space="preserve"> (regional citrate anticoagulation)</w:t>
      </w:r>
      <w:proofErr w:type="gramStart"/>
      <w:r>
        <w:rPr>
          <w:rFonts w:ascii="標楷體" w:eastAsia="標楷體" w:hAnsi="標楷體"/>
          <w:szCs w:val="28"/>
        </w:rPr>
        <w:t>使用本品作為</w:t>
      </w:r>
      <w:proofErr w:type="gramEnd"/>
      <w:r>
        <w:rPr>
          <w:rFonts w:ascii="標楷體" w:eastAsia="標楷體" w:hAnsi="標楷體"/>
          <w:szCs w:val="28"/>
        </w:rPr>
        <w:t>透析液。</w:t>
      </w:r>
    </w:p>
    <w:p w14:paraId="70A457DF" w14:textId="77777777" w:rsidR="002144EC" w:rsidRDefault="002144EC" w:rsidP="002144EC">
      <w:pPr>
        <w:numPr>
          <w:ilvl w:val="3"/>
          <w:numId w:val="225"/>
        </w:numPr>
        <w:suppressAutoHyphens w:val="0"/>
        <w:spacing w:line="300" w:lineRule="exact"/>
        <w:ind w:left="537" w:hanging="338"/>
        <w:textAlignment w:val="auto"/>
      </w:pPr>
      <w:r>
        <w:rPr>
          <w:rFonts w:ascii="標楷體" w:eastAsia="標楷體" w:hAnsi="標楷體"/>
          <w:szCs w:val="28"/>
        </w:rPr>
        <w:t>與4%檸檬酸鈉溶液(如A.C.D.-4 Solution "S.T.</w:t>
      </w:r>
      <w:proofErr w:type="gramStart"/>
      <w:r>
        <w:rPr>
          <w:rFonts w:ascii="標楷體" w:eastAsia="標楷體" w:hAnsi="標楷體"/>
          <w:szCs w:val="28"/>
        </w:rPr>
        <w:t>")及鈣補充液</w:t>
      </w:r>
      <w:proofErr w:type="gramEnd"/>
      <w:r>
        <w:rPr>
          <w:rFonts w:ascii="標楷體" w:eastAsia="標楷體" w:hAnsi="標楷體"/>
          <w:szCs w:val="28"/>
        </w:rPr>
        <w:t>(如Support Cal 1.47% CaCl</w:t>
      </w:r>
      <w:r>
        <w:rPr>
          <w:rFonts w:ascii="標楷體" w:eastAsia="標楷體" w:hAnsi="標楷體"/>
          <w:szCs w:val="28"/>
          <w:vertAlign w:val="subscript"/>
        </w:rPr>
        <w:t>2</w:t>
      </w:r>
      <w:r>
        <w:rPr>
          <w:rFonts w:ascii="標楷體" w:eastAsia="標楷體" w:hAnsi="標楷體"/>
          <w:szCs w:val="28"/>
        </w:rPr>
        <w:t>)合併使用。</w:t>
      </w:r>
    </w:p>
    <w:p w14:paraId="6BCC04B7" w14:textId="77777777" w:rsidR="002144EC" w:rsidRDefault="002144EC" w:rsidP="002144EC">
      <w:pPr>
        <w:tabs>
          <w:tab w:val="left" w:pos="539"/>
        </w:tabs>
        <w:spacing w:line="300" w:lineRule="exact"/>
        <w:ind w:left="539" w:hanging="539"/>
      </w:pPr>
      <w:r>
        <w:rPr>
          <w:rFonts w:ascii="標楷體" w:eastAsia="標楷體" w:hAnsi="標楷體"/>
          <w:szCs w:val="28"/>
        </w:rPr>
        <w:t>3.3.23.</w:t>
      </w:r>
      <w:r>
        <w:rPr>
          <w:sz w:val="22"/>
        </w:rPr>
        <w:t xml:space="preserve"> </w:t>
      </w:r>
      <w:r>
        <w:rPr>
          <w:rFonts w:ascii="標楷體" w:eastAsia="標楷體" w:hAnsi="標楷體"/>
          <w:szCs w:val="28"/>
        </w:rPr>
        <w:t>4%檸檬酸鈉溶液(如A.C.D.-4 Solution "S.T.</w:t>
      </w:r>
      <w:proofErr w:type="gramStart"/>
      <w:r>
        <w:rPr>
          <w:rFonts w:ascii="標楷體" w:eastAsia="標楷體" w:hAnsi="標楷體"/>
          <w:szCs w:val="28"/>
        </w:rPr>
        <w:t>")：</w:t>
      </w:r>
      <w:proofErr w:type="gramEnd"/>
      <w:r>
        <w:rPr>
          <w:rFonts w:ascii="標楷體" w:eastAsia="標楷體" w:hAnsi="標楷體"/>
          <w:szCs w:val="28"/>
        </w:rPr>
        <w:t>（111/4/1）</w:t>
      </w:r>
    </w:p>
    <w:p w14:paraId="0CDDC051" w14:textId="77777777" w:rsidR="002144EC" w:rsidRDefault="002144EC" w:rsidP="002144EC">
      <w:pPr>
        <w:spacing w:line="300" w:lineRule="exact"/>
        <w:ind w:left="110" w:firstLine="24"/>
        <w:rPr>
          <w:rFonts w:ascii="標楷體" w:eastAsia="標楷體" w:hAnsi="標楷體"/>
          <w:szCs w:val="28"/>
        </w:rPr>
      </w:pPr>
      <w:r>
        <w:rPr>
          <w:rFonts w:ascii="標楷體" w:eastAsia="標楷體" w:hAnsi="標楷體"/>
          <w:szCs w:val="28"/>
        </w:rPr>
        <w:t>須符合下列各項條件：</w:t>
      </w:r>
    </w:p>
    <w:p w14:paraId="3227A331" w14:textId="77777777" w:rsidR="002144EC" w:rsidRDefault="002144EC" w:rsidP="002144EC">
      <w:pPr>
        <w:numPr>
          <w:ilvl w:val="0"/>
          <w:numId w:val="226"/>
        </w:numPr>
        <w:suppressAutoHyphens w:val="0"/>
        <w:spacing w:line="300" w:lineRule="exact"/>
        <w:ind w:left="537" w:hanging="283"/>
        <w:textAlignment w:val="auto"/>
        <w:rPr>
          <w:rFonts w:ascii="標楷體" w:eastAsia="標楷體" w:hAnsi="標楷體"/>
          <w:szCs w:val="28"/>
        </w:rPr>
      </w:pPr>
      <w:r>
        <w:rPr>
          <w:rFonts w:ascii="標楷體" w:eastAsia="標楷體" w:hAnsi="標楷體"/>
          <w:szCs w:val="28"/>
        </w:rPr>
        <w:t>接受連續性靜脈血液透析(CVVHD)且不適用heparin抗凝之病人，以局部檸檬酸</w:t>
      </w:r>
      <w:proofErr w:type="gramStart"/>
      <w:r>
        <w:rPr>
          <w:rFonts w:ascii="標楷體" w:eastAsia="標楷體" w:hAnsi="標楷體"/>
          <w:szCs w:val="28"/>
        </w:rPr>
        <w:t>鹽抗凝法</w:t>
      </w:r>
      <w:proofErr w:type="gramEnd"/>
      <w:r>
        <w:rPr>
          <w:rFonts w:ascii="標楷體" w:eastAsia="標楷體" w:hAnsi="標楷體"/>
          <w:szCs w:val="28"/>
        </w:rPr>
        <w:t xml:space="preserve"> (regional citrate anticoagulation)</w:t>
      </w:r>
      <w:proofErr w:type="gramStart"/>
      <w:r>
        <w:rPr>
          <w:rFonts w:ascii="標楷體" w:eastAsia="標楷體" w:hAnsi="標楷體"/>
          <w:szCs w:val="28"/>
        </w:rPr>
        <w:t>使用本品作為</w:t>
      </w:r>
      <w:proofErr w:type="gramEnd"/>
      <w:r>
        <w:rPr>
          <w:rFonts w:ascii="標楷體" w:eastAsia="標楷體" w:hAnsi="標楷體"/>
          <w:szCs w:val="28"/>
        </w:rPr>
        <w:t>抗凝劑。</w:t>
      </w:r>
    </w:p>
    <w:p w14:paraId="35AC5862" w14:textId="77777777" w:rsidR="002144EC" w:rsidRDefault="002144EC" w:rsidP="002144EC">
      <w:pPr>
        <w:numPr>
          <w:ilvl w:val="0"/>
          <w:numId w:val="226"/>
        </w:numPr>
        <w:suppressAutoHyphens w:val="0"/>
        <w:spacing w:line="300" w:lineRule="exact"/>
        <w:ind w:left="537" w:hanging="283"/>
        <w:textAlignment w:val="auto"/>
      </w:pPr>
      <w:r>
        <w:rPr>
          <w:rFonts w:ascii="標楷體" w:eastAsia="標楷體" w:hAnsi="標楷體"/>
          <w:szCs w:val="28"/>
        </w:rPr>
        <w:t>與CRRT non Ca dialysate及鈣補充液(如Support Cal 1.47% CaCl</w:t>
      </w:r>
      <w:r>
        <w:rPr>
          <w:rFonts w:ascii="標楷體" w:eastAsia="標楷體" w:hAnsi="標楷體"/>
          <w:szCs w:val="28"/>
          <w:vertAlign w:val="subscript"/>
        </w:rPr>
        <w:t>2</w:t>
      </w:r>
      <w:r>
        <w:rPr>
          <w:rFonts w:ascii="標楷體" w:eastAsia="標楷體" w:hAnsi="標楷體"/>
          <w:szCs w:val="28"/>
        </w:rPr>
        <w:t>)合併使用。</w:t>
      </w:r>
    </w:p>
    <w:p w14:paraId="2FC76951" w14:textId="77777777" w:rsidR="002144EC" w:rsidRDefault="002144EC" w:rsidP="002144EC">
      <w:pPr>
        <w:tabs>
          <w:tab w:val="left" w:pos="539"/>
        </w:tabs>
        <w:spacing w:line="300" w:lineRule="exact"/>
        <w:ind w:left="539" w:hanging="539"/>
      </w:pPr>
      <w:r>
        <w:rPr>
          <w:rFonts w:ascii="標楷體" w:eastAsia="標楷體" w:hAnsi="標楷體"/>
          <w:szCs w:val="28"/>
        </w:rPr>
        <w:t>3.3.24. Support Cal 1.47% CaCl</w:t>
      </w:r>
      <w:r>
        <w:rPr>
          <w:rFonts w:ascii="標楷體" w:eastAsia="標楷體" w:hAnsi="標楷體"/>
          <w:szCs w:val="28"/>
          <w:vertAlign w:val="subscript"/>
        </w:rPr>
        <w:t>2</w:t>
      </w:r>
      <w:r>
        <w:rPr>
          <w:rFonts w:ascii="標楷體" w:eastAsia="標楷體" w:hAnsi="標楷體"/>
          <w:szCs w:val="28"/>
        </w:rPr>
        <w:t>：（111/4/1）</w:t>
      </w:r>
    </w:p>
    <w:p w14:paraId="1020075E" w14:textId="77777777" w:rsidR="002144EC" w:rsidRDefault="002144EC" w:rsidP="002144EC">
      <w:pPr>
        <w:spacing w:line="300" w:lineRule="exact"/>
        <w:ind w:left="110" w:firstLine="24"/>
        <w:rPr>
          <w:rFonts w:ascii="標楷體" w:eastAsia="標楷體" w:hAnsi="標楷體"/>
          <w:szCs w:val="28"/>
        </w:rPr>
      </w:pPr>
      <w:r>
        <w:rPr>
          <w:rFonts w:ascii="標楷體" w:eastAsia="標楷體" w:hAnsi="標楷體"/>
          <w:szCs w:val="28"/>
        </w:rPr>
        <w:t>須符合下列各項條件：</w:t>
      </w:r>
    </w:p>
    <w:p w14:paraId="37C76ACE" w14:textId="77777777" w:rsidR="002144EC" w:rsidRDefault="002144EC" w:rsidP="002144EC">
      <w:pPr>
        <w:numPr>
          <w:ilvl w:val="0"/>
          <w:numId w:val="227"/>
        </w:numPr>
        <w:suppressAutoHyphens w:val="0"/>
        <w:spacing w:line="300" w:lineRule="exact"/>
        <w:ind w:left="537" w:hanging="283"/>
        <w:textAlignment w:val="auto"/>
        <w:rPr>
          <w:rFonts w:ascii="標楷體" w:eastAsia="標楷體" w:hAnsi="標楷體"/>
          <w:szCs w:val="28"/>
        </w:rPr>
      </w:pPr>
      <w:r>
        <w:rPr>
          <w:rFonts w:ascii="標楷體" w:eastAsia="標楷體" w:hAnsi="標楷體"/>
          <w:szCs w:val="28"/>
        </w:rPr>
        <w:t>接受連續性靜脈血液透析(CVVHD)且不適用heparin抗凝之病人，以局部檸檬酸</w:t>
      </w:r>
      <w:proofErr w:type="gramStart"/>
      <w:r>
        <w:rPr>
          <w:rFonts w:ascii="標楷體" w:eastAsia="標楷體" w:hAnsi="標楷體"/>
          <w:szCs w:val="28"/>
        </w:rPr>
        <w:t>鹽抗凝法</w:t>
      </w:r>
      <w:proofErr w:type="gramEnd"/>
      <w:r>
        <w:rPr>
          <w:rFonts w:ascii="標楷體" w:eastAsia="標楷體" w:hAnsi="標楷體"/>
          <w:szCs w:val="28"/>
        </w:rPr>
        <w:t xml:space="preserve"> (regional citrate anticoagulation)</w:t>
      </w:r>
      <w:proofErr w:type="gramStart"/>
      <w:r>
        <w:rPr>
          <w:rFonts w:ascii="標楷體" w:eastAsia="標楷體" w:hAnsi="標楷體"/>
          <w:szCs w:val="28"/>
        </w:rPr>
        <w:t>使用本品作為</w:t>
      </w:r>
      <w:proofErr w:type="gramEnd"/>
      <w:r>
        <w:rPr>
          <w:rFonts w:ascii="標楷體" w:eastAsia="標楷體" w:hAnsi="標楷體"/>
          <w:szCs w:val="28"/>
        </w:rPr>
        <w:t>鈣補充液。</w:t>
      </w:r>
    </w:p>
    <w:p w14:paraId="78592983" w14:textId="77777777" w:rsidR="002144EC" w:rsidRDefault="002144EC" w:rsidP="002144EC">
      <w:pPr>
        <w:numPr>
          <w:ilvl w:val="0"/>
          <w:numId w:val="227"/>
        </w:numPr>
        <w:suppressAutoHyphens w:val="0"/>
        <w:spacing w:line="300" w:lineRule="exact"/>
        <w:ind w:left="537" w:hanging="283"/>
        <w:textAlignment w:val="auto"/>
        <w:rPr>
          <w:rFonts w:ascii="標楷體" w:eastAsia="標楷體" w:hAnsi="標楷體"/>
          <w:szCs w:val="28"/>
        </w:rPr>
      </w:pPr>
      <w:r>
        <w:rPr>
          <w:rFonts w:ascii="標楷體" w:eastAsia="標楷體" w:hAnsi="標楷體"/>
          <w:szCs w:val="28"/>
        </w:rPr>
        <w:t>與CRRT non Ca dialysate及4%檸檬酸鈉溶液(如A.C.D.-4 Solution "S.T.</w:t>
      </w:r>
      <w:proofErr w:type="gramStart"/>
      <w:r>
        <w:rPr>
          <w:rFonts w:ascii="標楷體" w:eastAsia="標楷體" w:hAnsi="標楷體"/>
          <w:szCs w:val="28"/>
        </w:rPr>
        <w:t>")合併使用</w:t>
      </w:r>
      <w:proofErr w:type="gramEnd"/>
      <w:r>
        <w:rPr>
          <w:rFonts w:ascii="標楷體" w:eastAsia="標楷體" w:hAnsi="標楷體"/>
          <w:szCs w:val="28"/>
        </w:rPr>
        <w:t>。</w:t>
      </w:r>
      <w:bookmarkEnd w:id="8"/>
    </w:p>
    <w:p w14:paraId="0F9A8E23" w14:textId="77777777" w:rsidR="002144EC" w:rsidRDefault="002144EC" w:rsidP="002144EC">
      <w:pPr>
        <w:suppressAutoHyphens w:val="0"/>
        <w:spacing w:line="300" w:lineRule="exact"/>
        <w:textAlignment w:val="auto"/>
        <w:rPr>
          <w:rFonts w:ascii="標楷體" w:eastAsia="標楷體" w:hAnsi="標楷體"/>
          <w:szCs w:val="28"/>
        </w:rPr>
      </w:pPr>
      <w:r>
        <w:rPr>
          <w:rFonts w:ascii="標楷體" w:eastAsia="標楷體" w:hAnsi="標楷體"/>
          <w:szCs w:val="28"/>
        </w:rPr>
        <w:t>3.3.</w:t>
      </w:r>
      <w:proofErr w:type="gramStart"/>
      <w:r>
        <w:rPr>
          <w:rFonts w:ascii="標楷體" w:eastAsia="標楷體" w:hAnsi="標楷體"/>
          <w:szCs w:val="28"/>
        </w:rPr>
        <w:t>25.Chenodeoxycholic</w:t>
      </w:r>
      <w:proofErr w:type="gramEnd"/>
      <w:r>
        <w:rPr>
          <w:rFonts w:ascii="標楷體" w:eastAsia="標楷體" w:hAnsi="標楷體"/>
          <w:szCs w:val="28"/>
        </w:rPr>
        <w:t xml:space="preserve"> acid (111/6/1)</w:t>
      </w:r>
    </w:p>
    <w:p w14:paraId="374B9ED2" w14:textId="77777777" w:rsidR="002144EC" w:rsidRDefault="002144EC" w:rsidP="002144EC">
      <w:pPr>
        <w:suppressAutoHyphens w:val="0"/>
        <w:spacing w:line="300" w:lineRule="exact"/>
        <w:ind w:left="566" w:hanging="283"/>
        <w:textAlignment w:val="auto"/>
        <w:rPr>
          <w:rFonts w:ascii="標楷體" w:eastAsia="標楷體" w:hAnsi="標楷體"/>
          <w:szCs w:val="28"/>
        </w:rPr>
      </w:pPr>
      <w:r>
        <w:rPr>
          <w:rFonts w:ascii="標楷體" w:eastAsia="標楷體" w:hAnsi="標楷體"/>
          <w:szCs w:val="28"/>
        </w:rPr>
        <w:t>1.限用於因缺乏固醇27-</w:t>
      </w:r>
      <w:proofErr w:type="gramStart"/>
      <w:r>
        <w:rPr>
          <w:rFonts w:ascii="標楷體" w:eastAsia="標楷體" w:hAnsi="標楷體"/>
          <w:szCs w:val="28"/>
        </w:rPr>
        <w:t>羥化</w:t>
      </w:r>
      <w:proofErr w:type="gramEnd"/>
      <w:r>
        <w:rPr>
          <w:rFonts w:ascii="標楷體" w:eastAsia="標楷體" w:hAnsi="標楷體"/>
          <w:szCs w:val="28"/>
        </w:rPr>
        <w:t>酶(sterol 27-hydroxylase)而導致的先天性膽酸合成障礙(呈現症狀為腦腱性黃瘤症)之1個月齡以上的病人。</w:t>
      </w:r>
    </w:p>
    <w:p w14:paraId="6B18AA6A" w14:textId="77777777" w:rsidR="002144EC" w:rsidRDefault="002144EC" w:rsidP="002144EC">
      <w:pPr>
        <w:suppressAutoHyphens w:val="0"/>
        <w:spacing w:line="300" w:lineRule="exact"/>
        <w:ind w:left="566" w:hanging="283"/>
        <w:textAlignment w:val="auto"/>
        <w:rPr>
          <w:rFonts w:ascii="標楷體" w:eastAsia="標楷體" w:hAnsi="標楷體"/>
          <w:szCs w:val="28"/>
        </w:rPr>
      </w:pPr>
      <w:r>
        <w:rPr>
          <w:rFonts w:ascii="標楷體" w:eastAsia="標楷體" w:hAnsi="標楷體"/>
          <w:szCs w:val="28"/>
        </w:rPr>
        <w:t>2.需經事前審查後核准後使用，每次申請以1年為限，期滿需經再次申請核准後，始得續用。</w:t>
      </w:r>
    </w:p>
    <w:p w14:paraId="2C4E9354" w14:textId="77777777" w:rsidR="002144EC" w:rsidRDefault="002144EC" w:rsidP="002144EC">
      <w:pPr>
        <w:suppressAutoHyphens w:val="0"/>
        <w:spacing w:line="300" w:lineRule="exact"/>
        <w:ind w:left="283"/>
        <w:textAlignment w:val="auto"/>
        <w:rPr>
          <w:rFonts w:ascii="標楷體" w:eastAsia="標楷體" w:hAnsi="標楷體"/>
          <w:szCs w:val="28"/>
        </w:rPr>
      </w:pPr>
      <w:r>
        <w:rPr>
          <w:rFonts w:ascii="標楷體" w:eastAsia="標楷體" w:hAnsi="標楷體"/>
          <w:szCs w:val="28"/>
        </w:rPr>
        <w:t>3.符合下列任</w:t>
      </w:r>
      <w:proofErr w:type="gramStart"/>
      <w:r>
        <w:rPr>
          <w:rFonts w:ascii="標楷體" w:eastAsia="標楷體" w:hAnsi="標楷體"/>
          <w:szCs w:val="28"/>
        </w:rPr>
        <w:t>一</w:t>
      </w:r>
      <w:proofErr w:type="gramEnd"/>
      <w:r>
        <w:rPr>
          <w:rFonts w:ascii="標楷體" w:eastAsia="標楷體" w:hAnsi="標楷體"/>
          <w:szCs w:val="28"/>
        </w:rPr>
        <w:t>條件，應停止治療：</w:t>
      </w:r>
    </w:p>
    <w:p w14:paraId="5D76C9DE" w14:textId="77777777" w:rsidR="002144EC" w:rsidRDefault="002144EC" w:rsidP="002144EC">
      <w:pPr>
        <w:suppressAutoHyphens w:val="0"/>
        <w:spacing w:line="300" w:lineRule="exact"/>
        <w:ind w:left="566"/>
        <w:textAlignment w:val="auto"/>
        <w:rPr>
          <w:rFonts w:ascii="標楷體" w:eastAsia="標楷體" w:hAnsi="標楷體"/>
          <w:szCs w:val="28"/>
        </w:rPr>
      </w:pPr>
      <w:r>
        <w:rPr>
          <w:rFonts w:ascii="標楷體" w:eastAsia="標楷體" w:hAnsi="標楷體"/>
          <w:szCs w:val="28"/>
        </w:rPr>
        <w:t>(1)肝功能指數(SGPT，SGOT)上升高於基礎值。</w:t>
      </w:r>
    </w:p>
    <w:p w14:paraId="312B2703" w14:textId="77777777" w:rsidR="002144EC" w:rsidRDefault="002144EC" w:rsidP="002144EC">
      <w:pPr>
        <w:suppressAutoHyphens w:val="0"/>
        <w:spacing w:line="300" w:lineRule="exact"/>
        <w:ind w:left="566"/>
        <w:textAlignment w:val="auto"/>
        <w:rPr>
          <w:rFonts w:ascii="標楷體" w:eastAsia="標楷體" w:hAnsi="標楷體"/>
          <w:szCs w:val="28"/>
        </w:rPr>
      </w:pPr>
      <w:r>
        <w:rPr>
          <w:rFonts w:ascii="標楷體" w:eastAsia="標楷體" w:hAnsi="標楷體"/>
          <w:szCs w:val="28"/>
        </w:rPr>
        <w:t>(2)膽</w:t>
      </w:r>
      <w:proofErr w:type="gramStart"/>
      <w:r>
        <w:rPr>
          <w:rFonts w:ascii="標楷體" w:eastAsia="標楷體" w:hAnsi="標楷體"/>
          <w:szCs w:val="28"/>
        </w:rPr>
        <w:t>甾烷醇(</w:t>
      </w:r>
      <w:proofErr w:type="gramEnd"/>
      <w:r>
        <w:rPr>
          <w:rFonts w:ascii="標楷體" w:eastAsia="標楷體" w:hAnsi="標楷體"/>
          <w:szCs w:val="28"/>
        </w:rPr>
        <w:t>Cholestanol)上升高於基礎值。</w:t>
      </w:r>
    </w:p>
    <w:p w14:paraId="5F845E01" w14:textId="77777777" w:rsidR="002144EC" w:rsidRDefault="002144EC" w:rsidP="002144EC">
      <w:pPr>
        <w:suppressAutoHyphens w:val="0"/>
        <w:spacing w:line="300" w:lineRule="exact"/>
        <w:ind w:left="566"/>
        <w:textAlignment w:val="auto"/>
        <w:rPr>
          <w:rFonts w:ascii="標楷體" w:eastAsia="標楷體" w:hAnsi="標楷體"/>
          <w:szCs w:val="28"/>
        </w:rPr>
      </w:pPr>
      <w:r>
        <w:rPr>
          <w:rFonts w:ascii="標楷體" w:eastAsia="標楷體" w:hAnsi="標楷體"/>
          <w:szCs w:val="28"/>
        </w:rPr>
        <w:t>(3)凝血酶原時間延長，高於基礎值。</w:t>
      </w:r>
    </w:p>
    <w:p w14:paraId="741723E0" w14:textId="77777777" w:rsidR="002144EC" w:rsidRDefault="002144EC" w:rsidP="002144EC">
      <w:pPr>
        <w:suppressAutoHyphens w:val="0"/>
        <w:spacing w:line="300" w:lineRule="exact"/>
        <w:ind w:left="566"/>
        <w:textAlignment w:val="auto"/>
        <w:rPr>
          <w:rFonts w:ascii="標楷體" w:eastAsia="標楷體" w:hAnsi="標楷體"/>
          <w:szCs w:val="28"/>
        </w:rPr>
      </w:pPr>
      <w:r>
        <w:rPr>
          <w:rFonts w:ascii="標楷體" w:eastAsia="標楷體" w:hAnsi="標楷體"/>
          <w:szCs w:val="28"/>
        </w:rPr>
        <w:t>(4)連續2年追蹤，神經系統功能無法進步或穩定，逐漸退化。</w:t>
      </w:r>
    </w:p>
    <w:p w14:paraId="36C84E93" w14:textId="77777777" w:rsidR="002144EC" w:rsidRDefault="002144EC" w:rsidP="002144EC">
      <w:pPr>
        <w:suppressAutoHyphens w:val="0"/>
        <w:spacing w:line="300" w:lineRule="exact"/>
        <w:textAlignment w:val="auto"/>
        <w:rPr>
          <w:rFonts w:ascii="標楷體" w:eastAsia="標楷體" w:hAnsi="標楷體"/>
          <w:szCs w:val="28"/>
        </w:rPr>
      </w:pPr>
      <w:r>
        <w:rPr>
          <w:rFonts w:ascii="標楷體" w:eastAsia="標楷體" w:hAnsi="標楷體"/>
          <w:szCs w:val="28"/>
        </w:rPr>
        <w:t xml:space="preserve">3.3.26.Alfa-avalglucosidase（如 </w:t>
      </w:r>
      <w:proofErr w:type="spellStart"/>
      <w:r>
        <w:rPr>
          <w:rFonts w:ascii="標楷體" w:eastAsia="標楷體" w:hAnsi="標楷體"/>
          <w:szCs w:val="28"/>
        </w:rPr>
        <w:t>Nexviazyme</w:t>
      </w:r>
      <w:proofErr w:type="spellEnd"/>
      <w:r>
        <w:rPr>
          <w:rFonts w:ascii="標楷體" w:eastAsia="標楷體" w:hAnsi="標楷體"/>
          <w:szCs w:val="28"/>
        </w:rPr>
        <w:t>）（112/4/1）</w:t>
      </w:r>
    </w:p>
    <w:p w14:paraId="3D7B1D2B" w14:textId="77777777" w:rsidR="002144EC" w:rsidRDefault="002144EC" w:rsidP="002144EC">
      <w:pPr>
        <w:suppressAutoHyphens w:val="0"/>
        <w:spacing w:line="300" w:lineRule="exact"/>
        <w:ind w:left="566" w:hanging="283"/>
        <w:textAlignment w:val="auto"/>
        <w:rPr>
          <w:rFonts w:ascii="標楷體" w:eastAsia="標楷體" w:hAnsi="標楷體"/>
          <w:szCs w:val="28"/>
        </w:rPr>
      </w:pPr>
      <w:r>
        <w:rPr>
          <w:rFonts w:ascii="標楷體" w:eastAsia="標楷體" w:hAnsi="標楷體"/>
          <w:szCs w:val="28"/>
        </w:rPr>
        <w:lastRenderedPageBreak/>
        <w:t>1.用於確診為主管機關認定之6個月以上龐貝氏症患者，限由具兒科專科醫師證書，且經小兒遺傳及內分泌新陳代謝科或小兒神經科訓練之醫師，或具神經科專科醫師證書之醫師處方使用，並應於病歷詳實記載病程、確診之檢驗資料及治療反應，亦應符合下列任</w:t>
      </w:r>
      <w:proofErr w:type="gramStart"/>
      <w:r>
        <w:rPr>
          <w:rFonts w:ascii="標楷體" w:eastAsia="標楷體" w:hAnsi="標楷體"/>
          <w:szCs w:val="28"/>
        </w:rPr>
        <w:t>一</w:t>
      </w:r>
      <w:proofErr w:type="gramEnd"/>
      <w:r>
        <w:rPr>
          <w:rFonts w:ascii="標楷體" w:eastAsia="標楷體" w:hAnsi="標楷體"/>
          <w:szCs w:val="28"/>
        </w:rPr>
        <w:t>條件：</w:t>
      </w:r>
    </w:p>
    <w:p w14:paraId="371AC434"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(1)嬰兒型龐貝氏症為未滿1歲前發病，包括出現肌肉無力、心室肥大、</w:t>
      </w:r>
      <w:proofErr w:type="gramStart"/>
      <w:r>
        <w:rPr>
          <w:rFonts w:ascii="標楷體" w:eastAsia="標楷體" w:hAnsi="標楷體"/>
          <w:szCs w:val="28"/>
        </w:rPr>
        <w:t>肌酸激酶</w:t>
      </w:r>
      <w:proofErr w:type="gramEnd"/>
      <w:r>
        <w:rPr>
          <w:rFonts w:ascii="標楷體" w:eastAsia="標楷體" w:hAnsi="標楷體"/>
          <w:szCs w:val="28"/>
        </w:rPr>
        <w:t>（CK）升高、或肌肉切片顯示有肝醣堆積者。</w:t>
      </w:r>
    </w:p>
    <w:p w14:paraId="18E5C09B"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晚發型</w:t>
      </w:r>
      <w:proofErr w:type="gramEnd"/>
      <w:r>
        <w:rPr>
          <w:rFonts w:ascii="標楷體" w:eastAsia="標楷體" w:hAnsi="標楷體"/>
          <w:szCs w:val="28"/>
        </w:rPr>
        <w:t>龐貝氏症為滿1歲後發病，包括出現肌肉無力、</w:t>
      </w:r>
      <w:proofErr w:type="gramStart"/>
      <w:r>
        <w:rPr>
          <w:rFonts w:ascii="標楷體" w:eastAsia="標楷體" w:hAnsi="標楷體"/>
          <w:szCs w:val="28"/>
        </w:rPr>
        <w:t>肌酸激酶</w:t>
      </w:r>
      <w:proofErr w:type="gramEnd"/>
      <w:r>
        <w:rPr>
          <w:rFonts w:ascii="標楷體" w:eastAsia="標楷體" w:hAnsi="標楷體"/>
          <w:szCs w:val="28"/>
        </w:rPr>
        <w:t>（CK）持續升高、或肌肉切片顯示有肝醣堆積者。</w:t>
      </w:r>
    </w:p>
    <w:p w14:paraId="411AB940" w14:textId="77777777" w:rsidR="002144EC" w:rsidRDefault="002144EC" w:rsidP="002144EC">
      <w:pPr>
        <w:suppressAutoHyphens w:val="0"/>
        <w:spacing w:line="300" w:lineRule="exact"/>
        <w:ind w:left="566" w:hanging="283"/>
        <w:textAlignment w:val="auto"/>
        <w:rPr>
          <w:rFonts w:ascii="標楷體" w:eastAsia="標楷體" w:hAnsi="標楷體"/>
          <w:szCs w:val="28"/>
        </w:rPr>
      </w:pPr>
      <w:r>
        <w:rPr>
          <w:rFonts w:ascii="標楷體" w:eastAsia="標楷體" w:hAnsi="標楷體"/>
          <w:szCs w:val="28"/>
        </w:rPr>
        <w:t>2.使用劑量如下：</w:t>
      </w:r>
    </w:p>
    <w:p w14:paraId="394195E8"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(1)嬰兒型龐貝氏症劑量為40 mg/kg/every 2 weeks</w:t>
      </w:r>
    </w:p>
    <w:p w14:paraId="2420ADF7"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晚發型</w:t>
      </w:r>
      <w:proofErr w:type="gramEnd"/>
      <w:r>
        <w:rPr>
          <w:rFonts w:ascii="標楷體" w:eastAsia="標楷體" w:hAnsi="標楷體"/>
          <w:szCs w:val="28"/>
        </w:rPr>
        <w:t xml:space="preserve">龐貝氏症: </w:t>
      </w:r>
    </w:p>
    <w:p w14:paraId="14BE978D" w14:textId="77777777" w:rsidR="002144EC" w:rsidRDefault="002144EC" w:rsidP="002144EC">
      <w:pPr>
        <w:suppressAutoHyphens w:val="0"/>
        <w:spacing w:line="300" w:lineRule="exact"/>
        <w:ind w:left="566" w:firstLine="283"/>
        <w:textAlignment w:val="auto"/>
        <w:rPr>
          <w:rFonts w:ascii="標楷體" w:eastAsia="標楷體" w:hAnsi="標楷體"/>
          <w:szCs w:val="28"/>
        </w:rPr>
      </w:pPr>
      <w:r>
        <w:rPr>
          <w:rFonts w:ascii="標楷體" w:eastAsia="標楷體" w:hAnsi="標楷體"/>
          <w:szCs w:val="28"/>
        </w:rPr>
        <w:t>Ⅰ.大於或等於30 kg，劑量為20 mg/kg/every 2 weeks</w:t>
      </w:r>
    </w:p>
    <w:p w14:paraId="6EC8C640" w14:textId="77777777" w:rsidR="002144EC" w:rsidRDefault="002144EC" w:rsidP="002144EC">
      <w:pPr>
        <w:suppressAutoHyphens w:val="0"/>
        <w:spacing w:line="300" w:lineRule="exact"/>
        <w:ind w:left="566" w:firstLine="283"/>
        <w:textAlignment w:val="auto"/>
        <w:rPr>
          <w:rFonts w:ascii="標楷體" w:eastAsia="標楷體" w:hAnsi="標楷體"/>
          <w:szCs w:val="28"/>
        </w:rPr>
      </w:pPr>
      <w:r>
        <w:rPr>
          <w:rFonts w:ascii="標楷體" w:eastAsia="標楷體" w:hAnsi="標楷體"/>
          <w:szCs w:val="28"/>
        </w:rPr>
        <w:t>Ⅱ.小於30 kg，劑量為40 mg/kg/ every 2 weeks</w:t>
      </w:r>
    </w:p>
    <w:p w14:paraId="276A70C6" w14:textId="77777777" w:rsidR="002144EC" w:rsidRDefault="002144EC" w:rsidP="002144EC">
      <w:pPr>
        <w:suppressAutoHyphens w:val="0"/>
        <w:spacing w:line="300" w:lineRule="exact"/>
        <w:ind w:left="566" w:hanging="283"/>
        <w:textAlignment w:val="auto"/>
        <w:rPr>
          <w:rFonts w:ascii="標楷體" w:eastAsia="標楷體" w:hAnsi="標楷體"/>
          <w:szCs w:val="28"/>
        </w:rPr>
      </w:pPr>
      <w:r>
        <w:rPr>
          <w:rFonts w:ascii="標楷體" w:eastAsia="標楷體" w:hAnsi="標楷體"/>
          <w:szCs w:val="28"/>
        </w:rPr>
        <w:t>3.需經事前審查核准後使用，並應定期追蹤評估患者下列事項之治療效果，每次申請以1年為限，期滿需經再次申請核准後，始得續用：</w:t>
      </w:r>
    </w:p>
    <w:p w14:paraId="39752895"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(1)嬰兒型龐貝氏症追蹤事項：肝功能、腎功能、</w:t>
      </w:r>
      <w:proofErr w:type="gramStart"/>
      <w:r>
        <w:rPr>
          <w:rFonts w:ascii="標楷體" w:eastAsia="標楷體" w:hAnsi="標楷體"/>
          <w:szCs w:val="28"/>
        </w:rPr>
        <w:t>肌酸激酶</w:t>
      </w:r>
      <w:proofErr w:type="gramEnd"/>
      <w:r>
        <w:rPr>
          <w:rFonts w:ascii="標楷體" w:eastAsia="標楷體" w:hAnsi="標楷體"/>
          <w:szCs w:val="28"/>
        </w:rPr>
        <w:t>(CK)、尿液Glc4、心電圖、心臟超音波、肌力以及整體發展，至少1年2次。抗體測定至少每年1次。治療目標為心臟肥大現象改善或穩定，肌肉無力現象改善或穩定，</w:t>
      </w:r>
      <w:proofErr w:type="gramStart"/>
      <w:r>
        <w:rPr>
          <w:rFonts w:ascii="標楷體" w:eastAsia="標楷體" w:hAnsi="標楷體"/>
          <w:szCs w:val="28"/>
        </w:rPr>
        <w:t>肌酸激酶</w:t>
      </w:r>
      <w:proofErr w:type="gramEnd"/>
      <w:r>
        <w:rPr>
          <w:rFonts w:ascii="標楷體" w:eastAsia="標楷體" w:hAnsi="標楷體"/>
          <w:szCs w:val="28"/>
        </w:rPr>
        <w:t>(CK)數值改善或穩定，尿液Glc4數值改善或穩定，整體發展持續進步、穩定或減緩退化的速度。</w:t>
      </w:r>
    </w:p>
    <w:p w14:paraId="5EA2AF00"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晚發型</w:t>
      </w:r>
      <w:proofErr w:type="gramEnd"/>
      <w:r>
        <w:rPr>
          <w:rFonts w:ascii="標楷體" w:eastAsia="標楷體" w:hAnsi="標楷體"/>
          <w:szCs w:val="28"/>
        </w:rPr>
        <w:t>龐貝氏症追蹤事項：肝功能、腎功能、</w:t>
      </w:r>
      <w:proofErr w:type="gramStart"/>
      <w:r>
        <w:rPr>
          <w:rFonts w:ascii="標楷體" w:eastAsia="標楷體" w:hAnsi="標楷體"/>
          <w:szCs w:val="28"/>
        </w:rPr>
        <w:t>肌酸激酶</w:t>
      </w:r>
      <w:proofErr w:type="gramEnd"/>
      <w:r>
        <w:rPr>
          <w:rFonts w:ascii="標楷體" w:eastAsia="標楷體" w:hAnsi="標楷體"/>
          <w:szCs w:val="28"/>
        </w:rPr>
        <w:t>(CK)、尿液Glc4、肺功能、肌力以及整體發展，至少1年2次。抗體測定至少每年1次。治療目標為肌肉無力現象改善或穩定，</w:t>
      </w:r>
      <w:proofErr w:type="gramStart"/>
      <w:r>
        <w:rPr>
          <w:rFonts w:ascii="標楷體" w:eastAsia="標楷體" w:hAnsi="標楷體"/>
          <w:szCs w:val="28"/>
        </w:rPr>
        <w:t>肌酸激酶</w:t>
      </w:r>
      <w:proofErr w:type="gramEnd"/>
      <w:r>
        <w:rPr>
          <w:rFonts w:ascii="標楷體" w:eastAsia="標楷體" w:hAnsi="標楷體"/>
          <w:szCs w:val="28"/>
        </w:rPr>
        <w:t>CK數值改善或穩定，尿液Glc4數值改善或穩定，整體發展持續進步、穩定或減緩退化的速度。</w:t>
      </w:r>
    </w:p>
    <w:p w14:paraId="222068CC" w14:textId="77777777" w:rsidR="002144EC" w:rsidRDefault="002144EC" w:rsidP="002144EC">
      <w:pPr>
        <w:suppressAutoHyphens w:val="0"/>
        <w:spacing w:line="300" w:lineRule="exact"/>
        <w:ind w:left="566" w:hanging="283"/>
        <w:textAlignment w:val="auto"/>
        <w:rPr>
          <w:rFonts w:ascii="標楷體" w:eastAsia="標楷體" w:hAnsi="標楷體"/>
          <w:szCs w:val="28"/>
        </w:rPr>
      </w:pPr>
      <w:r>
        <w:rPr>
          <w:rFonts w:ascii="標楷體" w:eastAsia="標楷體" w:hAnsi="標楷體"/>
          <w:szCs w:val="28"/>
        </w:rPr>
        <w:t>4.有以下任</w:t>
      </w:r>
      <w:proofErr w:type="gramStart"/>
      <w:r>
        <w:rPr>
          <w:rFonts w:ascii="標楷體" w:eastAsia="標楷體" w:hAnsi="標楷體"/>
          <w:szCs w:val="28"/>
        </w:rPr>
        <w:t>一</w:t>
      </w:r>
      <w:proofErr w:type="gramEnd"/>
      <w:r>
        <w:rPr>
          <w:rFonts w:ascii="標楷體" w:eastAsia="標楷體" w:hAnsi="標楷體"/>
          <w:szCs w:val="28"/>
        </w:rPr>
        <w:t>情形，則立即停藥：</w:t>
      </w:r>
    </w:p>
    <w:p w14:paraId="50610CC3"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(1)出現嚴重</w:t>
      </w:r>
      <w:proofErr w:type="gramStart"/>
      <w:r>
        <w:rPr>
          <w:rFonts w:ascii="標楷體" w:eastAsia="標楷體" w:hAnsi="標楷體"/>
          <w:szCs w:val="28"/>
        </w:rPr>
        <w:t>的輸注過敏</w:t>
      </w:r>
      <w:proofErr w:type="gramEnd"/>
      <w:r>
        <w:rPr>
          <w:rFonts w:ascii="標楷體" w:eastAsia="標楷體" w:hAnsi="標楷體"/>
          <w:szCs w:val="28"/>
        </w:rPr>
        <w:t>反應。</w:t>
      </w:r>
    </w:p>
    <w:p w14:paraId="36336696" w14:textId="77777777" w:rsidR="002144EC" w:rsidRDefault="002144EC" w:rsidP="002144EC">
      <w:pPr>
        <w:suppressAutoHyphens w:val="0"/>
        <w:spacing w:line="300" w:lineRule="exact"/>
        <w:ind w:left="991" w:hanging="425"/>
        <w:textAlignment w:val="auto"/>
        <w:rPr>
          <w:rFonts w:ascii="標楷體" w:eastAsia="標楷體" w:hAnsi="標楷體"/>
          <w:szCs w:val="28"/>
        </w:rPr>
      </w:pPr>
      <w:r>
        <w:rPr>
          <w:rFonts w:ascii="標楷體" w:eastAsia="標楷體" w:hAnsi="標楷體"/>
          <w:szCs w:val="28"/>
        </w:rPr>
        <w:t>(2)運動或呼吸功能的衰退速率與治療前相似，治療至病人達運動功能末期(上肢及下肢</w:t>
      </w:r>
      <w:proofErr w:type="gramStart"/>
      <w:r>
        <w:rPr>
          <w:rFonts w:ascii="標楷體" w:eastAsia="標楷體" w:hAnsi="標楷體"/>
          <w:szCs w:val="28"/>
        </w:rPr>
        <w:t>肌力皆小於</w:t>
      </w:r>
      <w:proofErr w:type="gramEnd"/>
      <w:r>
        <w:rPr>
          <w:rFonts w:ascii="標楷體" w:eastAsia="標楷體" w:hAnsi="標楷體"/>
          <w:szCs w:val="28"/>
        </w:rPr>
        <w:t>或等於2)與24小時呼吸器依賴時。</w:t>
      </w:r>
    </w:p>
    <w:p w14:paraId="6CF368D9" w14:textId="77777777" w:rsidR="002144EC" w:rsidRDefault="002144EC" w:rsidP="002144EC">
      <w:pPr>
        <w:suppressAutoHyphens w:val="0"/>
        <w:spacing w:line="300" w:lineRule="exact"/>
        <w:ind w:left="566" w:hanging="283"/>
        <w:textAlignment w:val="auto"/>
        <w:rPr>
          <w:rFonts w:ascii="標楷體" w:eastAsia="標楷體" w:hAnsi="標楷體"/>
          <w:szCs w:val="28"/>
        </w:rPr>
      </w:pPr>
      <w:r>
        <w:rPr>
          <w:rFonts w:ascii="標楷體" w:eastAsia="標楷體" w:hAnsi="標楷體"/>
          <w:szCs w:val="28"/>
        </w:rPr>
        <w:t>5.本藥品不能與alpha-glucosidase合併使用。</w:t>
      </w:r>
    </w:p>
    <w:p w14:paraId="510A3D4C" w14:textId="77777777" w:rsidR="002144EC" w:rsidRDefault="002144EC" w:rsidP="002144EC">
      <w:pPr>
        <w:suppressAutoHyphens w:val="0"/>
        <w:spacing w:line="300" w:lineRule="exact"/>
        <w:textAlignment w:val="auto"/>
        <w:rPr>
          <w:rFonts w:ascii="標楷體" w:eastAsia="標楷體" w:hAnsi="標楷體"/>
          <w:szCs w:val="28"/>
        </w:rPr>
      </w:pPr>
      <w:r>
        <w:rPr>
          <w:rFonts w:ascii="標楷體" w:eastAsia="標楷體" w:hAnsi="標楷體"/>
          <w:szCs w:val="28"/>
        </w:rPr>
        <w:t>3.3.27.KH2PO4+Na2HPO4+NaH2PO4．H2O</w:t>
      </w:r>
      <w:proofErr w:type="gramStart"/>
      <w:r>
        <w:rPr>
          <w:rFonts w:ascii="標楷體" w:eastAsia="標楷體" w:hAnsi="標楷體"/>
          <w:szCs w:val="28"/>
        </w:rPr>
        <w:t>（</w:t>
      </w:r>
      <w:proofErr w:type="gramEnd"/>
      <w:r>
        <w:rPr>
          <w:rFonts w:ascii="標楷體" w:eastAsia="標楷體" w:hAnsi="標楷體"/>
          <w:szCs w:val="28"/>
        </w:rPr>
        <w:t>如</w:t>
      </w:r>
      <w:proofErr w:type="spellStart"/>
      <w:r>
        <w:rPr>
          <w:rFonts w:ascii="標楷體" w:eastAsia="標楷體" w:hAnsi="標楷體"/>
          <w:szCs w:val="28"/>
        </w:rPr>
        <w:t>PhosAdd</w:t>
      </w:r>
      <w:proofErr w:type="spellEnd"/>
      <w:r>
        <w:rPr>
          <w:rFonts w:ascii="標楷體" w:eastAsia="標楷體" w:hAnsi="標楷體"/>
          <w:szCs w:val="28"/>
        </w:rPr>
        <w:t xml:space="preserve"> Tab.）：（112/5/1）</w:t>
      </w:r>
    </w:p>
    <w:p w14:paraId="10DE7F2E" w14:textId="77777777" w:rsidR="002144EC" w:rsidRDefault="002144EC" w:rsidP="002144EC">
      <w:pPr>
        <w:suppressAutoHyphens w:val="0"/>
        <w:spacing w:line="300" w:lineRule="exact"/>
        <w:ind w:left="566"/>
        <w:textAlignment w:val="auto"/>
        <w:rPr>
          <w:rFonts w:ascii="標楷體" w:eastAsia="標楷體" w:hAnsi="標楷體"/>
          <w:szCs w:val="28"/>
        </w:rPr>
      </w:pPr>
      <w:r>
        <w:rPr>
          <w:rFonts w:ascii="標楷體" w:eastAsia="標楷體" w:hAnsi="標楷體"/>
          <w:szCs w:val="28"/>
        </w:rPr>
        <w:t>限用於確診為主管機關認定之性聯</w:t>
      </w:r>
      <w:proofErr w:type="gramStart"/>
      <w:r>
        <w:rPr>
          <w:rFonts w:ascii="標楷體" w:eastAsia="標楷體" w:hAnsi="標楷體"/>
          <w:szCs w:val="28"/>
        </w:rPr>
        <w:t>遺傳型低磷酸鹽</w:t>
      </w:r>
      <w:proofErr w:type="gramEnd"/>
      <w:r>
        <w:rPr>
          <w:rFonts w:ascii="標楷體" w:eastAsia="標楷體" w:hAnsi="標楷體"/>
          <w:szCs w:val="28"/>
        </w:rPr>
        <w:t>佝僂症患者。</w:t>
      </w:r>
    </w:p>
    <w:p w14:paraId="42C1B0C6" w14:textId="77777777" w:rsidR="002144EC" w:rsidRPr="0087078A" w:rsidRDefault="002144EC" w:rsidP="002144EC">
      <w:pPr>
        <w:spacing w:line="300" w:lineRule="exact"/>
        <w:rPr>
          <w:rFonts w:ascii="標楷體" w:eastAsia="標楷體" w:hAnsi="標楷體"/>
          <w:kern w:val="2"/>
          <w:szCs w:val="24"/>
          <w14:ligatures w14:val="standardContextual"/>
        </w:rPr>
      </w:pPr>
      <w:r>
        <w:rPr>
          <w:rFonts w:ascii="標楷體" w:eastAsia="標楷體" w:hAnsi="標楷體"/>
          <w:szCs w:val="24"/>
        </w:rPr>
        <w:t>3.3.28.Migalastat hydrochloride (如</w:t>
      </w:r>
      <w:proofErr w:type="spellStart"/>
      <w:r>
        <w:rPr>
          <w:rFonts w:ascii="標楷體" w:eastAsia="標楷體" w:hAnsi="標楷體"/>
          <w:szCs w:val="24"/>
        </w:rPr>
        <w:t>Galafold</w:t>
      </w:r>
      <w:proofErr w:type="spellEnd"/>
      <w:r>
        <w:rPr>
          <w:rFonts w:ascii="標楷體" w:eastAsia="標楷體" w:hAnsi="標楷體"/>
          <w:szCs w:val="24"/>
        </w:rPr>
        <w:t>)：(112/8/1、114/2/1</w:t>
      </w:r>
      <w:r w:rsidRPr="0087078A">
        <w:rPr>
          <w:rFonts w:ascii="標楷體" w:eastAsia="標楷體" w:hAnsi="標楷體" w:hint="eastAsia"/>
          <w:kern w:val="2"/>
          <w:szCs w:val="24"/>
          <w14:ligatures w14:val="standardContextual"/>
        </w:rPr>
        <w:t>、</w:t>
      </w:r>
      <w:r w:rsidRPr="0087078A">
        <w:rPr>
          <w:rFonts w:ascii="標楷體" w:eastAsia="標楷體" w:hAnsi="標楷體"/>
          <w:kern w:val="2"/>
          <w:szCs w:val="24"/>
          <w14:ligatures w14:val="standardContextual"/>
        </w:rPr>
        <w:t xml:space="preserve">115/10/1) </w:t>
      </w:r>
    </w:p>
    <w:p w14:paraId="1BA76417"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kern w:val="2"/>
          <w:szCs w:val="24"/>
          <w14:ligatures w14:val="standardContextual"/>
        </w:rPr>
        <w:t>1.</w:t>
      </w:r>
      <w:proofErr w:type="gramStart"/>
      <w:r w:rsidRPr="0087078A">
        <w:rPr>
          <w:rFonts w:ascii="標楷體" w:eastAsia="標楷體" w:hAnsi="標楷體" w:hint="eastAsia"/>
          <w:kern w:val="2"/>
          <w:szCs w:val="24"/>
          <w14:ligatures w14:val="standardContextual"/>
        </w:rPr>
        <w:t>本品不適</w:t>
      </w:r>
      <w:proofErr w:type="gramEnd"/>
      <w:r w:rsidRPr="0087078A">
        <w:rPr>
          <w:rFonts w:ascii="標楷體" w:eastAsia="標楷體" w:hAnsi="標楷體" w:hint="eastAsia"/>
          <w:szCs w:val="28"/>
        </w:rPr>
        <w:t>用於</w:t>
      </w:r>
      <w:proofErr w:type="gramStart"/>
      <w:r w:rsidRPr="0087078A">
        <w:rPr>
          <w:rFonts w:ascii="標楷體" w:eastAsia="標楷體" w:hAnsi="標楷體" w:hint="eastAsia"/>
          <w:kern w:val="2"/>
          <w:szCs w:val="24"/>
          <w14:ligatures w14:val="standardContextual"/>
        </w:rPr>
        <w:t>治療法布瑞</w:t>
      </w:r>
      <w:proofErr w:type="gramEnd"/>
      <w:r w:rsidRPr="0087078A">
        <w:rPr>
          <w:rFonts w:ascii="標楷體" w:eastAsia="標楷體" w:hAnsi="標楷體" w:hint="eastAsia"/>
          <w:kern w:val="2"/>
          <w:szCs w:val="24"/>
          <w14:ligatures w14:val="standardContextual"/>
        </w:rPr>
        <w:t>氏症</w:t>
      </w:r>
      <w:r w:rsidRPr="0087078A">
        <w:rPr>
          <w:rFonts w:ascii="標楷體" w:eastAsia="標楷體" w:hAnsi="標楷體"/>
          <w:kern w:val="2"/>
          <w:szCs w:val="24"/>
          <w14:ligatures w14:val="standardContextual"/>
        </w:rPr>
        <w:t>IVS4+919G&gt;A(c.639+919G&gt;A)</w:t>
      </w:r>
      <w:r w:rsidRPr="0087078A">
        <w:rPr>
          <w:rFonts w:ascii="標楷體" w:eastAsia="標楷體" w:hAnsi="標楷體" w:hint="eastAsia"/>
          <w:kern w:val="2"/>
          <w:szCs w:val="24"/>
          <w14:ligatures w14:val="standardContextual"/>
        </w:rPr>
        <w:t>基因型病人。</w:t>
      </w:r>
      <w:r w:rsidRPr="0087078A">
        <w:rPr>
          <w:rFonts w:ascii="標楷體" w:eastAsia="標楷體" w:hAnsi="標楷體"/>
          <w:kern w:val="2"/>
          <w:szCs w:val="24"/>
          <w14:ligatures w14:val="standardContextual"/>
        </w:rPr>
        <w:t xml:space="preserve"> </w:t>
      </w:r>
    </w:p>
    <w:p w14:paraId="7FB776C1"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kern w:val="2"/>
          <w:szCs w:val="24"/>
          <w14:ligatures w14:val="standardContextual"/>
        </w:rPr>
        <w:t>2.</w:t>
      </w:r>
      <w:r w:rsidRPr="0087078A">
        <w:rPr>
          <w:rFonts w:ascii="標楷體" w:eastAsia="標楷體" w:hAnsi="標楷體" w:hint="eastAsia"/>
          <w:kern w:val="2"/>
          <w:szCs w:val="24"/>
          <w14:ligatures w14:val="standardContextual"/>
        </w:rPr>
        <w:t>須為</w:t>
      </w:r>
      <w:r w:rsidRPr="0087078A">
        <w:rPr>
          <w:rFonts w:ascii="標楷體" w:eastAsia="標楷體" w:hAnsi="標楷體"/>
          <w:kern w:val="2"/>
          <w:szCs w:val="24"/>
          <w14:ligatures w14:val="standardContextual"/>
        </w:rPr>
        <w:t>12</w:t>
      </w:r>
      <w:r w:rsidRPr="0087078A">
        <w:rPr>
          <w:rFonts w:ascii="標楷體" w:eastAsia="標楷體" w:hAnsi="標楷體" w:hint="eastAsia"/>
          <w:kern w:val="2"/>
          <w:szCs w:val="24"/>
          <w14:ligatures w14:val="standardContextual"/>
        </w:rPr>
        <w:t>歲</w:t>
      </w:r>
      <w:r w:rsidRPr="0087078A">
        <w:rPr>
          <w:rFonts w:ascii="標楷體" w:eastAsia="標楷體" w:hAnsi="標楷體" w:hint="eastAsia"/>
          <w:szCs w:val="28"/>
        </w:rPr>
        <w:t>以上</w:t>
      </w:r>
      <w:r w:rsidRPr="0087078A">
        <w:rPr>
          <w:rFonts w:ascii="標楷體" w:eastAsia="標楷體" w:hAnsi="標楷體" w:hint="eastAsia"/>
          <w:kern w:val="2"/>
          <w:szCs w:val="24"/>
          <w14:ligatures w14:val="standardContextual"/>
        </w:rPr>
        <w:t>，經衛生福利部國民</w:t>
      </w:r>
      <w:proofErr w:type="gramStart"/>
      <w:r w:rsidRPr="0087078A">
        <w:rPr>
          <w:rFonts w:ascii="標楷體" w:eastAsia="標楷體" w:hAnsi="標楷體" w:hint="eastAsia"/>
          <w:kern w:val="2"/>
          <w:szCs w:val="24"/>
          <w14:ligatures w14:val="standardContextual"/>
        </w:rPr>
        <w:t>健康署</w:t>
      </w:r>
      <w:proofErr w:type="gramEnd"/>
      <w:r w:rsidRPr="0087078A">
        <w:rPr>
          <w:rFonts w:ascii="標楷體" w:eastAsia="標楷體" w:hAnsi="標楷體" w:hint="eastAsia"/>
          <w:kern w:val="2"/>
          <w:szCs w:val="24"/>
          <w14:ligatures w14:val="standardContextual"/>
        </w:rPr>
        <w:t>認定</w:t>
      </w:r>
      <w:proofErr w:type="gramStart"/>
      <w:r w:rsidRPr="0087078A">
        <w:rPr>
          <w:rFonts w:ascii="標楷體" w:eastAsia="標楷體" w:hAnsi="標楷體" w:hint="eastAsia"/>
          <w:kern w:val="2"/>
          <w:szCs w:val="24"/>
          <w14:ligatures w14:val="standardContextual"/>
        </w:rPr>
        <w:t>之法布瑞</w:t>
      </w:r>
      <w:proofErr w:type="gramEnd"/>
      <w:r w:rsidRPr="0087078A">
        <w:rPr>
          <w:rFonts w:ascii="標楷體" w:eastAsia="標楷體" w:hAnsi="標楷體" w:hint="eastAsia"/>
          <w:kern w:val="2"/>
          <w:szCs w:val="24"/>
          <w14:ligatures w14:val="standardContextual"/>
        </w:rPr>
        <w:t>氏症</w:t>
      </w:r>
      <w:proofErr w:type="gramStart"/>
      <w:r w:rsidRPr="0087078A">
        <w:rPr>
          <w:rFonts w:ascii="標楷體" w:eastAsia="標楷體" w:hAnsi="標楷體" w:hint="eastAsia"/>
          <w:kern w:val="2"/>
          <w:szCs w:val="24"/>
          <w14:ligatures w14:val="standardContextual"/>
        </w:rPr>
        <w:t>病人且體外</w:t>
      </w:r>
      <w:proofErr w:type="gramEnd"/>
      <w:r w:rsidRPr="0087078A">
        <w:rPr>
          <w:rFonts w:ascii="標楷體" w:eastAsia="標楷體" w:hAnsi="標楷體" w:hint="eastAsia"/>
          <w:kern w:val="2"/>
          <w:szCs w:val="24"/>
          <w14:ligatures w14:val="standardContextual"/>
        </w:rPr>
        <w:t>試驗確定為可符合性基因突變</w:t>
      </w:r>
      <w:r w:rsidRPr="0087078A">
        <w:rPr>
          <w:rFonts w:ascii="標楷體" w:eastAsia="標楷體" w:hAnsi="標楷體"/>
          <w:kern w:val="2"/>
          <w:szCs w:val="24"/>
          <w14:ligatures w14:val="standardContextual"/>
        </w:rPr>
        <w:t xml:space="preserve"> (amenable mutation)</w:t>
      </w:r>
      <w:proofErr w:type="gramStart"/>
      <w:r w:rsidRPr="0087078A">
        <w:rPr>
          <w:rFonts w:ascii="標楷體" w:eastAsia="標楷體" w:hAnsi="標楷體" w:hint="eastAsia"/>
          <w:kern w:val="2"/>
          <w:szCs w:val="24"/>
          <w14:ligatures w14:val="standardContextual"/>
        </w:rPr>
        <w:t>【</w:t>
      </w:r>
      <w:proofErr w:type="gramEnd"/>
      <w:r w:rsidRPr="0087078A">
        <w:rPr>
          <w:rFonts w:ascii="標楷體" w:eastAsia="標楷體" w:hAnsi="標楷體" w:hint="eastAsia"/>
          <w:kern w:val="2"/>
          <w:szCs w:val="24"/>
          <w14:ligatures w14:val="standardContextual"/>
        </w:rPr>
        <w:t>請參照</w:t>
      </w:r>
      <w:r w:rsidRPr="0087078A">
        <w:rPr>
          <w:rFonts w:ascii="標楷體" w:eastAsia="標楷體" w:hAnsi="標楷體"/>
          <w:kern w:val="2"/>
          <w:szCs w:val="24"/>
          <w14:ligatures w14:val="standardContextual"/>
        </w:rPr>
        <w:t>https://www.galafoldamenabilitytable.com.tw/</w:t>
      </w:r>
      <w:proofErr w:type="gramStart"/>
      <w:r w:rsidRPr="0087078A">
        <w:rPr>
          <w:rFonts w:ascii="標楷體" w:eastAsia="標楷體" w:hAnsi="標楷體" w:hint="eastAsia"/>
          <w:kern w:val="2"/>
          <w:szCs w:val="24"/>
          <w14:ligatures w14:val="standardContextual"/>
        </w:rPr>
        <w:t>】</w:t>
      </w:r>
      <w:proofErr w:type="gramEnd"/>
      <w:r w:rsidRPr="0087078A">
        <w:rPr>
          <w:rFonts w:ascii="標楷體" w:eastAsia="標楷體" w:hAnsi="標楷體"/>
          <w:kern w:val="2"/>
          <w:szCs w:val="24"/>
          <w14:ligatures w14:val="standardContextual"/>
        </w:rPr>
        <w:t>(112/8/1</w:t>
      </w:r>
      <w:r w:rsidRPr="0087078A">
        <w:rPr>
          <w:rFonts w:ascii="標楷體" w:eastAsia="標楷體" w:hAnsi="標楷體" w:hint="eastAsia"/>
          <w:kern w:val="2"/>
          <w:szCs w:val="24"/>
          <w14:ligatures w14:val="standardContextual"/>
        </w:rPr>
        <w:t>、</w:t>
      </w:r>
      <w:r w:rsidRPr="0087078A">
        <w:rPr>
          <w:rFonts w:ascii="標楷體" w:eastAsia="標楷體" w:hAnsi="標楷體"/>
          <w:kern w:val="2"/>
          <w:szCs w:val="24"/>
          <w14:ligatures w14:val="standardContextual"/>
        </w:rPr>
        <w:t xml:space="preserve">115/10/1) </w:t>
      </w:r>
    </w:p>
    <w:p w14:paraId="3C53D75B"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kern w:val="2"/>
          <w:szCs w:val="24"/>
          <w14:ligatures w14:val="standardContextual"/>
        </w:rPr>
        <w:t>3.</w:t>
      </w:r>
      <w:r w:rsidRPr="0087078A">
        <w:rPr>
          <w:rFonts w:ascii="標楷體" w:eastAsia="標楷體" w:hAnsi="標楷體" w:hint="eastAsia"/>
          <w:kern w:val="2"/>
          <w:szCs w:val="24"/>
          <w14:ligatures w14:val="standardContextual"/>
        </w:rPr>
        <w:t>病人須符合以下診斷條件：</w:t>
      </w:r>
      <w:r w:rsidRPr="0087078A">
        <w:rPr>
          <w:rFonts w:ascii="標楷體" w:eastAsia="標楷體" w:hAnsi="標楷體"/>
          <w:kern w:val="2"/>
          <w:szCs w:val="24"/>
          <w14:ligatures w14:val="standardContextual"/>
        </w:rPr>
        <w:t xml:space="preserve"> </w:t>
      </w:r>
    </w:p>
    <w:p w14:paraId="777980AB"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kern w:val="2"/>
          <w:szCs w:val="24"/>
          <w14:ligatures w14:val="standardContextual"/>
        </w:rPr>
        <w:t>(1)</w:t>
      </w:r>
      <w:r w:rsidRPr="0087078A">
        <w:rPr>
          <w:rFonts w:ascii="標楷體" w:eastAsia="標楷體" w:hAnsi="標楷體" w:hint="eastAsia"/>
          <w:szCs w:val="28"/>
        </w:rPr>
        <w:t>確定</w:t>
      </w:r>
      <w:r w:rsidRPr="0087078A">
        <w:rPr>
          <w:rFonts w:ascii="標楷體" w:eastAsia="標楷體" w:hAnsi="標楷體" w:hint="eastAsia"/>
          <w:kern w:val="2"/>
          <w:szCs w:val="24"/>
          <w14:ligatures w14:val="standardContextual"/>
        </w:rPr>
        <w:t>診斷</w:t>
      </w:r>
      <w:proofErr w:type="gramStart"/>
      <w:r w:rsidRPr="0087078A">
        <w:rPr>
          <w:rFonts w:ascii="標楷體" w:eastAsia="標楷體" w:hAnsi="標楷體" w:hint="eastAsia"/>
          <w:kern w:val="2"/>
          <w:szCs w:val="24"/>
          <w14:ligatures w14:val="standardContextual"/>
        </w:rPr>
        <w:t>為法布瑞</w:t>
      </w:r>
      <w:proofErr w:type="gramEnd"/>
      <w:r w:rsidRPr="0087078A">
        <w:rPr>
          <w:rFonts w:ascii="標楷體" w:eastAsia="標楷體" w:hAnsi="標楷體" w:hint="eastAsia"/>
          <w:kern w:val="2"/>
          <w:szCs w:val="24"/>
          <w14:ligatures w14:val="standardContextual"/>
        </w:rPr>
        <w:t>氏症典型患者，須符合下列條件之</w:t>
      </w:r>
      <w:proofErr w:type="gramStart"/>
      <w:r w:rsidRPr="0087078A">
        <w:rPr>
          <w:rFonts w:ascii="標楷體" w:eastAsia="標楷體" w:hAnsi="標楷體" w:hint="eastAsia"/>
          <w:kern w:val="2"/>
          <w:szCs w:val="24"/>
          <w14:ligatures w14:val="standardContextual"/>
        </w:rPr>
        <w:t>一</w:t>
      </w:r>
      <w:proofErr w:type="gramEnd"/>
      <w:r w:rsidRPr="0087078A">
        <w:rPr>
          <w:rFonts w:ascii="標楷體" w:eastAsia="標楷體" w:hAnsi="標楷體" w:hint="eastAsia"/>
          <w:kern w:val="2"/>
          <w:szCs w:val="24"/>
          <w14:ligatures w14:val="standardContextual"/>
        </w:rPr>
        <w:t>：</w:t>
      </w:r>
      <w:r w:rsidRPr="0087078A">
        <w:rPr>
          <w:rFonts w:ascii="標楷體" w:eastAsia="標楷體" w:hAnsi="標楷體"/>
          <w:kern w:val="2"/>
          <w:szCs w:val="24"/>
          <w14:ligatures w14:val="standardContextual"/>
        </w:rPr>
        <w:t xml:space="preserve"> </w:t>
      </w:r>
    </w:p>
    <w:p w14:paraId="0B4A0C52" w14:textId="77777777" w:rsidR="002144EC" w:rsidRPr="0087078A" w:rsidRDefault="002144EC" w:rsidP="002144EC">
      <w:pPr>
        <w:suppressAutoHyphens w:val="0"/>
        <w:autoSpaceDN/>
        <w:spacing w:line="300" w:lineRule="exact"/>
        <w:ind w:leftChars="295" w:left="708" w:firstLineChars="59" w:firstLine="142"/>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Ⅰ</w:t>
      </w:r>
      <w:r w:rsidRPr="0087078A">
        <w:rPr>
          <w:rFonts w:ascii="標楷體" w:eastAsia="標楷體" w:hAnsi="標楷體"/>
          <w:kern w:val="2"/>
          <w:szCs w:val="24"/>
          <w14:ligatures w14:val="standardContextual"/>
        </w:rPr>
        <w:t>.</w:t>
      </w:r>
      <w:proofErr w:type="gramStart"/>
      <w:r w:rsidRPr="0087078A">
        <w:rPr>
          <w:rFonts w:ascii="標楷體" w:eastAsia="標楷體" w:hAnsi="標楷體" w:hint="eastAsia"/>
          <w:kern w:val="2"/>
          <w:szCs w:val="24"/>
          <w14:ligatures w14:val="standardContextual"/>
        </w:rPr>
        <w:t>出現肢端疼痛</w:t>
      </w:r>
      <w:proofErr w:type="gramEnd"/>
      <w:r w:rsidRPr="0087078A">
        <w:rPr>
          <w:rFonts w:ascii="標楷體" w:eastAsia="標楷體" w:hAnsi="標楷體" w:hint="eastAsia"/>
          <w:kern w:val="2"/>
          <w:szCs w:val="24"/>
          <w14:ligatures w14:val="standardContextual"/>
        </w:rPr>
        <w:t>排汗障礙，或中風</w:t>
      </w:r>
      <w:r w:rsidRPr="0087078A">
        <w:rPr>
          <w:rFonts w:ascii="標楷體" w:eastAsia="標楷體" w:hAnsi="標楷體"/>
          <w:kern w:val="2"/>
          <w:szCs w:val="24"/>
          <w14:ligatures w14:val="standardContextual"/>
        </w:rPr>
        <w:t xml:space="preserve"> </w:t>
      </w:r>
    </w:p>
    <w:p w14:paraId="32C7645B" w14:textId="77777777" w:rsidR="002144EC" w:rsidRPr="0087078A" w:rsidRDefault="002144EC" w:rsidP="002144EC">
      <w:pPr>
        <w:suppressAutoHyphens w:val="0"/>
        <w:autoSpaceDN/>
        <w:spacing w:line="300" w:lineRule="exact"/>
        <w:ind w:leftChars="295" w:left="708" w:firstLineChars="59" w:firstLine="142"/>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Ⅱ</w:t>
      </w:r>
      <w:r w:rsidRPr="0087078A">
        <w:rPr>
          <w:rFonts w:ascii="標楷體" w:eastAsia="標楷體" w:hAnsi="標楷體"/>
          <w:kern w:val="2"/>
          <w:szCs w:val="24"/>
          <w14:ligatures w14:val="standardContextual"/>
        </w:rPr>
        <w:t>.</w:t>
      </w:r>
      <w:r w:rsidRPr="0087078A">
        <w:rPr>
          <w:rFonts w:ascii="標楷體" w:eastAsia="標楷體" w:hAnsi="標楷體" w:hint="eastAsia"/>
          <w:kern w:val="2"/>
          <w:szCs w:val="24"/>
          <w14:ligatures w14:val="standardContextual"/>
        </w:rPr>
        <w:t>蛋白尿、微量白蛋白尿</w:t>
      </w:r>
      <w:r w:rsidRPr="0087078A">
        <w:rPr>
          <w:rFonts w:ascii="標楷體" w:eastAsia="標楷體" w:hAnsi="標楷體"/>
          <w:kern w:val="2"/>
          <w:szCs w:val="24"/>
          <w14:ligatures w14:val="standardContextual"/>
        </w:rPr>
        <w:t xml:space="preserve"> (Microalbuminuria) </w:t>
      </w:r>
    </w:p>
    <w:p w14:paraId="2661C43D" w14:textId="77777777" w:rsidR="002144EC" w:rsidRPr="0087078A" w:rsidRDefault="002144EC" w:rsidP="002144EC">
      <w:pPr>
        <w:suppressAutoHyphens w:val="0"/>
        <w:autoSpaceDN/>
        <w:spacing w:line="300" w:lineRule="exact"/>
        <w:ind w:leftChars="295" w:left="708" w:firstLineChars="59" w:firstLine="142"/>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Ⅲ</w:t>
      </w:r>
      <w:r w:rsidRPr="0087078A">
        <w:rPr>
          <w:rFonts w:ascii="標楷體" w:eastAsia="標楷體" w:hAnsi="標楷體"/>
          <w:kern w:val="2"/>
          <w:szCs w:val="24"/>
          <w14:ligatures w14:val="standardContextual"/>
        </w:rPr>
        <w:t>.</w:t>
      </w:r>
      <w:r w:rsidRPr="0087078A">
        <w:rPr>
          <w:rFonts w:ascii="標楷體" w:eastAsia="標楷體" w:hAnsi="標楷體" w:hint="eastAsia"/>
          <w:kern w:val="2"/>
          <w:szCs w:val="24"/>
          <w14:ligatures w14:val="standardContextual"/>
        </w:rPr>
        <w:t>不整脈</w:t>
      </w:r>
      <w:r w:rsidRPr="0087078A">
        <w:rPr>
          <w:rFonts w:ascii="標楷體" w:eastAsia="標楷體" w:hAnsi="標楷體"/>
          <w:kern w:val="2"/>
          <w:szCs w:val="24"/>
          <w14:ligatures w14:val="standardContextual"/>
        </w:rPr>
        <w:t>(</w:t>
      </w:r>
      <w:r w:rsidRPr="0087078A">
        <w:rPr>
          <w:rFonts w:ascii="標楷體" w:eastAsia="標楷體" w:hAnsi="標楷體" w:hint="eastAsia"/>
          <w:kern w:val="2"/>
          <w:szCs w:val="24"/>
          <w14:ligatures w14:val="standardContextual"/>
        </w:rPr>
        <w:t>附表心電圖〔</w:t>
      </w:r>
      <w:r w:rsidRPr="0087078A">
        <w:rPr>
          <w:rFonts w:ascii="標楷體" w:eastAsia="標楷體" w:hAnsi="標楷體"/>
          <w:kern w:val="2"/>
          <w:szCs w:val="24"/>
          <w14:ligatures w14:val="standardContextual"/>
        </w:rPr>
        <w:t>ECG</w:t>
      </w:r>
      <w:r w:rsidRPr="0087078A">
        <w:rPr>
          <w:rFonts w:ascii="標楷體" w:eastAsia="標楷體" w:hAnsi="標楷體" w:hint="eastAsia"/>
          <w:kern w:val="2"/>
          <w:szCs w:val="24"/>
          <w14:ligatures w14:val="standardContextual"/>
        </w:rPr>
        <w:t>〕第</w:t>
      </w:r>
      <w:r w:rsidRPr="0087078A">
        <w:rPr>
          <w:rFonts w:ascii="標楷體" w:eastAsia="標楷體" w:hAnsi="標楷體"/>
          <w:kern w:val="2"/>
          <w:szCs w:val="24"/>
          <w14:ligatures w14:val="standardContextual"/>
        </w:rPr>
        <w:t>2</w:t>
      </w:r>
      <w:r w:rsidRPr="0087078A">
        <w:rPr>
          <w:rFonts w:ascii="標楷體" w:eastAsia="標楷體" w:hAnsi="標楷體" w:hint="eastAsia"/>
          <w:kern w:val="2"/>
          <w:szCs w:val="24"/>
          <w14:ligatures w14:val="standardContextual"/>
        </w:rPr>
        <w:t>項</w:t>
      </w:r>
      <w:r w:rsidRPr="0087078A">
        <w:rPr>
          <w:rFonts w:ascii="標楷體" w:eastAsia="標楷體" w:hAnsi="標楷體"/>
          <w:kern w:val="2"/>
          <w:szCs w:val="24"/>
          <w14:ligatures w14:val="standardContextual"/>
        </w:rPr>
        <w:t>)</w:t>
      </w:r>
      <w:r w:rsidRPr="0087078A">
        <w:rPr>
          <w:rFonts w:ascii="標楷體" w:eastAsia="標楷體" w:hAnsi="標楷體" w:hint="eastAsia"/>
          <w:kern w:val="2"/>
          <w:szCs w:val="24"/>
          <w14:ligatures w14:val="standardContextual"/>
        </w:rPr>
        <w:t>或心室肥大</w:t>
      </w:r>
      <w:r w:rsidRPr="0087078A">
        <w:rPr>
          <w:rFonts w:ascii="標楷體" w:eastAsia="標楷體" w:hAnsi="標楷體"/>
          <w:kern w:val="2"/>
          <w:szCs w:val="24"/>
          <w14:ligatures w14:val="standardContextual"/>
        </w:rPr>
        <w:t xml:space="preserve"> </w:t>
      </w:r>
    </w:p>
    <w:p w14:paraId="0FB20F16"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kern w:val="2"/>
          <w:szCs w:val="24"/>
          <w14:ligatures w14:val="standardContextual"/>
        </w:rPr>
        <w:t>(2)</w:t>
      </w:r>
      <w:r w:rsidRPr="0087078A">
        <w:rPr>
          <w:rFonts w:ascii="標楷體" w:eastAsia="標楷體" w:hAnsi="標楷體" w:hint="eastAsia"/>
          <w:kern w:val="2"/>
          <w:szCs w:val="24"/>
          <w14:ligatures w14:val="standardContextual"/>
        </w:rPr>
        <w:t>確定診斷</w:t>
      </w:r>
      <w:proofErr w:type="gramStart"/>
      <w:r w:rsidRPr="0087078A">
        <w:rPr>
          <w:rFonts w:ascii="標楷體" w:eastAsia="標楷體" w:hAnsi="標楷體" w:hint="eastAsia"/>
          <w:kern w:val="2"/>
          <w:szCs w:val="24"/>
          <w14:ligatures w14:val="standardContextual"/>
        </w:rPr>
        <w:t>為法布瑞氏症非典型</w:t>
      </w:r>
      <w:proofErr w:type="gramEnd"/>
      <w:r w:rsidRPr="0087078A">
        <w:rPr>
          <w:rFonts w:ascii="標楷體" w:eastAsia="標楷體" w:hAnsi="標楷體" w:hint="eastAsia"/>
          <w:kern w:val="2"/>
          <w:szCs w:val="24"/>
          <w14:ligatures w14:val="standardContextual"/>
        </w:rPr>
        <w:t>患者，須符合下列條件之</w:t>
      </w:r>
      <w:proofErr w:type="gramStart"/>
      <w:r w:rsidRPr="0087078A">
        <w:rPr>
          <w:rFonts w:ascii="標楷體" w:eastAsia="標楷體" w:hAnsi="標楷體" w:hint="eastAsia"/>
          <w:kern w:val="2"/>
          <w:szCs w:val="24"/>
          <w14:ligatures w14:val="standardContextual"/>
        </w:rPr>
        <w:t>一</w:t>
      </w:r>
      <w:proofErr w:type="gramEnd"/>
      <w:r w:rsidRPr="0087078A">
        <w:rPr>
          <w:rFonts w:ascii="標楷體" w:eastAsia="標楷體" w:hAnsi="標楷體" w:hint="eastAsia"/>
          <w:kern w:val="2"/>
          <w:szCs w:val="24"/>
          <w14:ligatures w14:val="standardContextual"/>
        </w:rPr>
        <w:t>：</w:t>
      </w:r>
      <w:r w:rsidRPr="0087078A">
        <w:rPr>
          <w:rFonts w:ascii="標楷體" w:eastAsia="標楷體" w:hAnsi="標楷體"/>
          <w:kern w:val="2"/>
          <w:szCs w:val="24"/>
          <w14:ligatures w14:val="standardContextual"/>
        </w:rPr>
        <w:t xml:space="preserve"> </w:t>
      </w:r>
    </w:p>
    <w:p w14:paraId="3CF977F0" w14:textId="77777777" w:rsidR="002144EC" w:rsidRPr="0087078A" w:rsidRDefault="002144EC" w:rsidP="002144EC">
      <w:pPr>
        <w:suppressAutoHyphens w:val="0"/>
        <w:autoSpaceDN/>
        <w:spacing w:line="300" w:lineRule="exact"/>
        <w:ind w:leftChars="354" w:left="1133" w:hangingChars="118"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Ⅰ</w:t>
      </w:r>
      <w:r w:rsidRPr="0087078A">
        <w:rPr>
          <w:rFonts w:ascii="標楷體" w:eastAsia="標楷體" w:hAnsi="標楷體"/>
          <w:kern w:val="2"/>
          <w:szCs w:val="24"/>
          <w14:ligatures w14:val="standardContextual"/>
        </w:rPr>
        <w:t>.</w:t>
      </w:r>
      <w:r w:rsidRPr="0087078A">
        <w:rPr>
          <w:rFonts w:ascii="標楷體" w:eastAsia="標楷體" w:hAnsi="標楷體" w:hint="eastAsia"/>
          <w:kern w:val="2"/>
          <w:szCs w:val="24"/>
          <w14:ligatures w14:val="standardContextual"/>
        </w:rPr>
        <w:t>經腎臟切片證實</w:t>
      </w:r>
      <w:proofErr w:type="gramStart"/>
      <w:r w:rsidRPr="0087078A">
        <w:rPr>
          <w:rFonts w:ascii="標楷體" w:eastAsia="標楷體" w:hAnsi="標楷體" w:hint="eastAsia"/>
          <w:kern w:val="2"/>
          <w:szCs w:val="24"/>
          <w14:ligatures w14:val="standardContextual"/>
        </w:rPr>
        <w:t>與法布瑞</w:t>
      </w:r>
      <w:proofErr w:type="gramEnd"/>
      <w:r w:rsidRPr="0087078A">
        <w:rPr>
          <w:rFonts w:ascii="標楷體" w:eastAsia="標楷體" w:hAnsi="標楷體" w:hint="eastAsia"/>
          <w:kern w:val="2"/>
          <w:szCs w:val="24"/>
          <w14:ligatures w14:val="standardContextual"/>
        </w:rPr>
        <w:t>氏症相關</w:t>
      </w:r>
      <w:proofErr w:type="gramStart"/>
      <w:r w:rsidRPr="0087078A">
        <w:rPr>
          <w:rFonts w:ascii="標楷體" w:eastAsia="標楷體" w:hAnsi="標楷體" w:hint="eastAsia"/>
          <w:kern w:val="2"/>
          <w:szCs w:val="24"/>
          <w14:ligatures w14:val="standardContextual"/>
        </w:rPr>
        <w:t>之法布瑞</w:t>
      </w:r>
      <w:proofErr w:type="gramEnd"/>
      <w:r w:rsidRPr="0087078A">
        <w:rPr>
          <w:rFonts w:ascii="標楷體" w:eastAsia="標楷體" w:hAnsi="標楷體" w:hint="eastAsia"/>
          <w:kern w:val="2"/>
          <w:szCs w:val="24"/>
          <w14:ligatures w14:val="standardContextual"/>
        </w:rPr>
        <w:t>氏症腎臟型患者，需檢附蛋白尿、微量白蛋白尿 (Microalbuminuria)相關資料。</w:t>
      </w:r>
    </w:p>
    <w:p w14:paraId="497B0DD3" w14:textId="77777777" w:rsidR="002144EC" w:rsidRPr="0087078A" w:rsidRDefault="002144EC" w:rsidP="002144EC">
      <w:pPr>
        <w:suppressAutoHyphens w:val="0"/>
        <w:autoSpaceDN/>
        <w:spacing w:line="300" w:lineRule="exact"/>
        <w:ind w:leftChars="354" w:left="1133" w:hangingChars="118"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Ⅱ.</w:t>
      </w:r>
      <w:proofErr w:type="gramStart"/>
      <w:r w:rsidRPr="0087078A">
        <w:rPr>
          <w:rFonts w:ascii="標楷體" w:eastAsia="標楷體" w:hAnsi="標楷體" w:hint="eastAsia"/>
          <w:kern w:val="2"/>
          <w:szCs w:val="24"/>
          <w14:ligatures w14:val="standardContextual"/>
        </w:rPr>
        <w:t>法布瑞</w:t>
      </w:r>
      <w:proofErr w:type="gramEnd"/>
      <w:r w:rsidRPr="0087078A">
        <w:rPr>
          <w:rFonts w:ascii="標楷體" w:eastAsia="標楷體" w:hAnsi="標楷體" w:hint="eastAsia"/>
          <w:kern w:val="2"/>
          <w:szCs w:val="24"/>
          <w14:ligatures w14:val="standardContextual"/>
        </w:rPr>
        <w:t>氏症IVS4+919G&gt;A基因型以外之心臟型患者，於「</w:t>
      </w:r>
      <w:proofErr w:type="gramStart"/>
      <w:r w:rsidRPr="0087078A">
        <w:rPr>
          <w:rFonts w:ascii="標楷體" w:eastAsia="標楷體" w:hAnsi="標楷體" w:hint="eastAsia"/>
          <w:kern w:val="2"/>
          <w:szCs w:val="24"/>
          <w14:ligatures w14:val="standardContextual"/>
        </w:rPr>
        <w:t>法布瑞</w:t>
      </w:r>
      <w:proofErr w:type="gramEnd"/>
      <w:r w:rsidRPr="0087078A">
        <w:rPr>
          <w:rFonts w:ascii="標楷體" w:eastAsia="標楷體" w:hAnsi="標楷體" w:hint="eastAsia"/>
          <w:kern w:val="2"/>
          <w:szCs w:val="24"/>
          <w14:ligatures w14:val="standardContextual"/>
        </w:rPr>
        <w:t>氏症心臟變異型心臟功能評估指標表」(詳罕見疾病通報審查基準表)之「心電圖」、「心臟超音波」、「心臟核磁共振檢查報告」及「實驗室檢查報告」4個部分中，每</w:t>
      </w:r>
      <w:proofErr w:type="gramStart"/>
      <w:r w:rsidRPr="0087078A">
        <w:rPr>
          <w:rFonts w:ascii="標楷體" w:eastAsia="標楷體" w:hAnsi="標楷體" w:hint="eastAsia"/>
          <w:kern w:val="2"/>
          <w:szCs w:val="24"/>
          <w14:ligatures w14:val="standardContextual"/>
        </w:rPr>
        <w:t>個</w:t>
      </w:r>
      <w:proofErr w:type="gramEnd"/>
      <w:r w:rsidRPr="0087078A">
        <w:rPr>
          <w:rFonts w:ascii="標楷體" w:eastAsia="標楷體" w:hAnsi="標楷體" w:hint="eastAsia"/>
          <w:kern w:val="2"/>
          <w:szCs w:val="24"/>
          <w14:ligatures w14:val="standardContextual"/>
        </w:rPr>
        <w:t>部份需符合至少1項指標並提具該指標檢測報告，且心臟組織切片檢查(cardiac biopsy) 證實有GL3或lyso-Gb3脂質堆積者;且需檢附相關檢查及檢驗資料，以</w:t>
      </w:r>
      <w:r w:rsidRPr="0087078A">
        <w:rPr>
          <w:rFonts w:ascii="標楷體" w:eastAsia="標楷體" w:hAnsi="標楷體" w:hint="eastAsia"/>
          <w:kern w:val="2"/>
          <w:szCs w:val="24"/>
          <w14:ligatures w14:val="standardContextual"/>
        </w:rPr>
        <w:lastRenderedPageBreak/>
        <w:t>及至少半年之高血壓或糖尿病心肌病變危險因子之治療紀錄。糖尿病經過治療且HbA1c(</w:t>
      </w:r>
      <w:proofErr w:type="gramStart"/>
      <w:r w:rsidRPr="0087078A">
        <w:rPr>
          <w:rFonts w:ascii="標楷體" w:eastAsia="標楷體" w:hAnsi="標楷體" w:hint="eastAsia"/>
          <w:kern w:val="2"/>
          <w:szCs w:val="24"/>
          <w14:ligatures w14:val="standardContextual"/>
        </w:rPr>
        <w:t>醣化血色素</w:t>
      </w:r>
      <w:proofErr w:type="gramEnd"/>
      <w:r w:rsidRPr="0087078A">
        <w:rPr>
          <w:rFonts w:ascii="標楷體" w:eastAsia="標楷體" w:hAnsi="標楷體" w:hint="eastAsia"/>
          <w:kern w:val="2"/>
          <w:szCs w:val="24"/>
          <w14:ligatures w14:val="standardContextual"/>
        </w:rPr>
        <w:t>)＜7者，始可接受酵素補充治療。（103/9/1、108/5/1、114/2/1）。</w:t>
      </w:r>
    </w:p>
    <w:p w14:paraId="10CE371D"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4.排除使用於無法接受換腎之末期腎臟疾病合併有嚴重心臟衰竭(NYHA class IV)</w:t>
      </w:r>
    </w:p>
    <w:p w14:paraId="522516BF"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5.使用劑量：每間隔1日1次，每次服用1粒。</w:t>
      </w:r>
    </w:p>
    <w:p w14:paraId="73E6749A"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6.本藥品不能與</w:t>
      </w:r>
      <w:proofErr w:type="spellStart"/>
      <w:r w:rsidRPr="0087078A">
        <w:rPr>
          <w:rFonts w:ascii="標楷體" w:eastAsia="標楷體" w:hAnsi="標楷體" w:hint="eastAsia"/>
          <w:kern w:val="2"/>
          <w:szCs w:val="24"/>
          <w14:ligatures w14:val="standardContextual"/>
        </w:rPr>
        <w:t>pegunigalsidase</w:t>
      </w:r>
      <w:proofErr w:type="spellEnd"/>
      <w:r w:rsidRPr="0087078A">
        <w:rPr>
          <w:rFonts w:ascii="標楷體" w:eastAsia="標楷體" w:hAnsi="標楷體" w:hint="eastAsia"/>
          <w:kern w:val="2"/>
          <w:szCs w:val="24"/>
          <w14:ligatures w14:val="standardContextual"/>
        </w:rPr>
        <w:t xml:space="preserve"> alfa、</w:t>
      </w:r>
      <w:proofErr w:type="spellStart"/>
      <w:r w:rsidRPr="0087078A">
        <w:rPr>
          <w:rFonts w:ascii="標楷體" w:eastAsia="標楷體" w:hAnsi="標楷體" w:hint="eastAsia"/>
          <w:kern w:val="2"/>
          <w:szCs w:val="24"/>
          <w14:ligatures w14:val="standardContextual"/>
        </w:rPr>
        <w:t>agalsidase</w:t>
      </w:r>
      <w:proofErr w:type="spellEnd"/>
      <w:r w:rsidRPr="0087078A">
        <w:rPr>
          <w:rFonts w:ascii="標楷體" w:eastAsia="標楷體" w:hAnsi="標楷體" w:hint="eastAsia"/>
          <w:kern w:val="2"/>
          <w:szCs w:val="24"/>
          <w14:ligatures w14:val="standardContextual"/>
        </w:rPr>
        <w:t xml:space="preserve"> alfa或</w:t>
      </w:r>
      <w:proofErr w:type="spellStart"/>
      <w:r w:rsidRPr="0087078A">
        <w:rPr>
          <w:rFonts w:ascii="標楷體" w:eastAsia="標楷體" w:hAnsi="標楷體" w:hint="eastAsia"/>
          <w:kern w:val="2"/>
          <w:szCs w:val="24"/>
          <w14:ligatures w14:val="standardContextual"/>
        </w:rPr>
        <w:t>agalsidase</w:t>
      </w:r>
      <w:proofErr w:type="spellEnd"/>
      <w:r w:rsidRPr="0087078A">
        <w:rPr>
          <w:rFonts w:ascii="標楷體" w:eastAsia="標楷體" w:hAnsi="標楷體" w:hint="eastAsia"/>
          <w:kern w:val="2"/>
          <w:szCs w:val="24"/>
          <w14:ligatures w14:val="standardContextual"/>
        </w:rPr>
        <w:t xml:space="preserve"> beta合併使用。</w:t>
      </w:r>
    </w:p>
    <w:p w14:paraId="6B142244"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7.需經事前審查核准後使用，每次申請之療程以1年為限，申請續用時需檢送療效評估資料，若符合下列條件之一，則不予同意使用：</w:t>
      </w:r>
    </w:p>
    <w:p w14:paraId="7E738150"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(1)嚴重心臟疾病(NYHA class IV)或嚴重心肌纖維化（112/8/1、114/2/1）</w:t>
      </w:r>
    </w:p>
    <w:p w14:paraId="3034C895"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proofErr w:type="gramStart"/>
      <w:r w:rsidRPr="0087078A">
        <w:rPr>
          <w:rFonts w:ascii="標楷體" w:eastAsia="標楷體" w:hAnsi="標楷體" w:hint="eastAsia"/>
          <w:kern w:val="2"/>
          <w:szCs w:val="24"/>
          <w14:ligatures w14:val="standardContextual"/>
        </w:rPr>
        <w:t>註</w:t>
      </w:r>
      <w:proofErr w:type="gramEnd"/>
      <w:r w:rsidRPr="0087078A">
        <w:rPr>
          <w:rFonts w:ascii="標楷體" w:eastAsia="標楷體" w:hAnsi="標楷體" w:hint="eastAsia"/>
          <w:kern w:val="2"/>
          <w:szCs w:val="24"/>
          <w14:ligatures w14:val="standardContextual"/>
        </w:rPr>
        <w:t>：嚴重心肌纖維化定義：每2年</w:t>
      </w:r>
      <w:proofErr w:type="gramStart"/>
      <w:r w:rsidRPr="0087078A">
        <w:rPr>
          <w:rFonts w:ascii="標楷體" w:eastAsia="標楷體" w:hAnsi="標楷體" w:hint="eastAsia"/>
          <w:kern w:val="2"/>
          <w:szCs w:val="24"/>
          <w14:ligatures w14:val="standardContextual"/>
        </w:rPr>
        <w:t>磁振造影</w:t>
      </w:r>
      <w:proofErr w:type="gramEnd"/>
      <w:r w:rsidRPr="0087078A">
        <w:rPr>
          <w:rFonts w:ascii="標楷體" w:eastAsia="標楷體" w:hAnsi="標楷體" w:hint="eastAsia"/>
          <w:kern w:val="2"/>
          <w:szCs w:val="24"/>
          <w14:ligatures w14:val="standardContextual"/>
        </w:rPr>
        <w:t>中，有超過15%心肌質量為</w:t>
      </w:r>
      <w:proofErr w:type="gramStart"/>
      <w:r w:rsidRPr="0087078A">
        <w:rPr>
          <w:rFonts w:ascii="標楷體" w:eastAsia="標楷體" w:hAnsi="標楷體" w:hint="eastAsia"/>
          <w:kern w:val="2"/>
          <w:szCs w:val="24"/>
          <w14:ligatures w14:val="standardContextual"/>
        </w:rPr>
        <w:t>釓</w:t>
      </w:r>
      <w:proofErr w:type="gramEnd"/>
      <w:r w:rsidRPr="0087078A">
        <w:rPr>
          <w:rFonts w:ascii="標楷體" w:eastAsia="標楷體" w:hAnsi="標楷體" w:hint="eastAsia"/>
          <w:kern w:val="2"/>
          <w:szCs w:val="24"/>
          <w14:ligatures w14:val="standardContextual"/>
        </w:rPr>
        <w:t>延遲顯影(late gadolinium enhancement &gt;15% of myocardial mass)，或4個segments以上有＞75%纖維化</w:t>
      </w:r>
    </w:p>
    <w:p w14:paraId="73FFD2F8"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(2)腎臟變異</w:t>
      </w:r>
      <w:proofErr w:type="gramStart"/>
      <w:r w:rsidRPr="0087078A">
        <w:rPr>
          <w:rFonts w:ascii="標楷體" w:eastAsia="標楷體" w:hAnsi="標楷體" w:hint="eastAsia"/>
          <w:kern w:val="2"/>
          <w:szCs w:val="24"/>
          <w14:ligatures w14:val="standardContextual"/>
        </w:rPr>
        <w:t>型法布</w:t>
      </w:r>
      <w:proofErr w:type="gramEnd"/>
      <w:r w:rsidRPr="0087078A">
        <w:rPr>
          <w:rFonts w:ascii="標楷體" w:eastAsia="標楷體" w:hAnsi="標楷體" w:hint="eastAsia"/>
          <w:kern w:val="2"/>
          <w:szCs w:val="24"/>
          <w14:ligatures w14:val="standardContextual"/>
        </w:rPr>
        <w:t>瑞氏症病人合併末期腎臟疾病</w:t>
      </w:r>
    </w:p>
    <w:p w14:paraId="384D61F0"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(3)腎功能惡化 (eGFR&lt;30mL/min/1.73m2)</w:t>
      </w:r>
    </w:p>
    <w:p w14:paraId="0BB3191F"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(4)嚴重認知退化經診斷為中、</w:t>
      </w:r>
      <w:proofErr w:type="gramStart"/>
      <w:r w:rsidRPr="0087078A">
        <w:rPr>
          <w:rFonts w:ascii="標楷體" w:eastAsia="標楷體" w:hAnsi="標楷體" w:hint="eastAsia"/>
          <w:kern w:val="2"/>
          <w:szCs w:val="24"/>
          <w14:ligatures w14:val="standardContextual"/>
        </w:rPr>
        <w:t>重度失智</w:t>
      </w:r>
      <w:proofErr w:type="gramEnd"/>
      <w:r w:rsidRPr="0087078A">
        <w:rPr>
          <w:rFonts w:ascii="標楷體" w:eastAsia="標楷體" w:hAnsi="標楷體" w:hint="eastAsia"/>
          <w:kern w:val="2"/>
          <w:szCs w:val="24"/>
          <w14:ligatures w14:val="standardContextual"/>
        </w:rPr>
        <w:t>症</w:t>
      </w:r>
    </w:p>
    <w:p w14:paraId="70D76112"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(5)由於</w:t>
      </w:r>
      <w:proofErr w:type="gramStart"/>
      <w:r w:rsidRPr="0087078A">
        <w:rPr>
          <w:rFonts w:ascii="標楷體" w:eastAsia="標楷體" w:hAnsi="標楷體" w:hint="eastAsia"/>
          <w:kern w:val="2"/>
          <w:szCs w:val="24"/>
          <w14:ligatures w14:val="standardContextual"/>
        </w:rPr>
        <w:t>末期法布瑞</w:t>
      </w:r>
      <w:proofErr w:type="gramEnd"/>
      <w:r w:rsidRPr="0087078A">
        <w:rPr>
          <w:rFonts w:ascii="標楷體" w:eastAsia="標楷體" w:hAnsi="標楷體" w:hint="eastAsia"/>
          <w:kern w:val="2"/>
          <w:szCs w:val="24"/>
          <w14:ligatures w14:val="standardContextual"/>
        </w:rPr>
        <w:t>氏症或其他疾病，以致預期生存壽命少於一年</w:t>
      </w:r>
    </w:p>
    <w:p w14:paraId="11B3F331"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(6)在已事先預防情況之下，仍持續發生危及生命或嚴重不良反應者，例如:全身性過敏反應</w:t>
      </w:r>
    </w:p>
    <w:p w14:paraId="3F8557D2"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(7)病人的服藥順從性不佳，超過50%未正常服用藥物。</w:t>
      </w:r>
    </w:p>
    <w:p w14:paraId="7986F5E4"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(8)病患整年長期疼痛控制無法改善者或嚴重腸胃道症狀無法改善者，然典型男性患者不受此限。</w:t>
      </w:r>
    </w:p>
    <w:p w14:paraId="49942D87"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(9)以下檢測心臟功能之評估項目，若有一項目相較於前一年惡化，則不予續用（114/2/1）。</w:t>
      </w:r>
    </w:p>
    <w:p w14:paraId="54A37E11"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8.治療前應與患者及家屬充分溝通告知下列事項，並請其簽名確認已被告知，留存病歷備查：</w:t>
      </w:r>
    </w:p>
    <w:p w14:paraId="1F282CD7"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(1)確定其了解治療的預期效果。</w:t>
      </w:r>
    </w:p>
    <w:p w14:paraId="634D05B3"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(2)患者有義務接受定期追蹤評估，如無明顯療效（如上述7所列），主治醫師在向患者及家屬清楚解釋後，應停止治療。</w:t>
      </w:r>
    </w:p>
    <w:p w14:paraId="1CE09CD0"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 xml:space="preserve">(3)女性患者之角膜病變Cornea </w:t>
      </w:r>
      <w:proofErr w:type="spellStart"/>
      <w:r w:rsidRPr="0087078A">
        <w:rPr>
          <w:rFonts w:ascii="標楷體" w:eastAsia="標楷體" w:hAnsi="標楷體" w:hint="eastAsia"/>
          <w:kern w:val="2"/>
          <w:szCs w:val="24"/>
          <w14:ligatures w14:val="standardContextual"/>
        </w:rPr>
        <w:t>Verticillata</w:t>
      </w:r>
      <w:proofErr w:type="spellEnd"/>
      <w:r w:rsidRPr="0087078A">
        <w:rPr>
          <w:rFonts w:ascii="標楷體" w:eastAsia="標楷體" w:hAnsi="標楷體" w:hint="eastAsia"/>
          <w:kern w:val="2"/>
          <w:szCs w:val="24"/>
          <w14:ligatures w14:val="standardContextual"/>
        </w:rPr>
        <w:t>為良性症狀。</w:t>
      </w:r>
    </w:p>
    <w:p w14:paraId="6FECA9E8"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9.每一年須重新評估一次，追蹤檢查項目如下：（114/2/1）</w:t>
      </w:r>
    </w:p>
    <w:p w14:paraId="653F1B05"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(1)腎功能(eGFR)；</w:t>
      </w:r>
    </w:p>
    <w:p w14:paraId="40FC84D4"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(2)尿蛋白(尿蛋白</w:t>
      </w:r>
      <w:proofErr w:type="gramStart"/>
      <w:r w:rsidRPr="0087078A">
        <w:rPr>
          <w:rFonts w:ascii="標楷體" w:eastAsia="標楷體" w:hAnsi="標楷體" w:hint="eastAsia"/>
          <w:kern w:val="2"/>
          <w:szCs w:val="24"/>
          <w14:ligatures w14:val="standardContextual"/>
        </w:rPr>
        <w:t>或微尿蛋白</w:t>
      </w:r>
      <w:proofErr w:type="gramEnd"/>
      <w:r w:rsidRPr="0087078A">
        <w:rPr>
          <w:rFonts w:ascii="標楷體" w:eastAsia="標楷體" w:hAnsi="標楷體" w:hint="eastAsia"/>
          <w:kern w:val="2"/>
          <w:szCs w:val="24"/>
          <w14:ligatures w14:val="standardContextual"/>
        </w:rPr>
        <w:t>)；</w:t>
      </w:r>
    </w:p>
    <w:p w14:paraId="32809614"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(3)血漿或尿液lyso-Gb3；</w:t>
      </w:r>
    </w:p>
    <w:p w14:paraId="0A0A47AC"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(4)疼痛狀態；</w:t>
      </w:r>
    </w:p>
    <w:p w14:paraId="476C531F"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(5)中風次數；</w:t>
      </w:r>
    </w:p>
    <w:p w14:paraId="21BDAA99"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(6)病患是否有出現新的心臟病或原心臟病是否有惡化情形(出現新的心肌梗塞、心律</w:t>
      </w:r>
      <w:proofErr w:type="gramStart"/>
      <w:r w:rsidRPr="0087078A">
        <w:rPr>
          <w:rFonts w:ascii="標楷體" w:eastAsia="標楷體" w:hAnsi="標楷體" w:hint="eastAsia"/>
          <w:kern w:val="2"/>
          <w:szCs w:val="24"/>
          <w14:ligatures w14:val="standardContextual"/>
        </w:rPr>
        <w:t>不整需心臟</w:t>
      </w:r>
      <w:proofErr w:type="gramEnd"/>
      <w:r w:rsidRPr="0087078A">
        <w:rPr>
          <w:rFonts w:ascii="標楷體" w:eastAsia="標楷體" w:hAnsi="標楷體" w:hint="eastAsia"/>
          <w:kern w:val="2"/>
          <w:szCs w:val="24"/>
          <w14:ligatures w14:val="standardContextual"/>
        </w:rPr>
        <w:t>電擊整流或藥物治療、</w:t>
      </w:r>
      <w:proofErr w:type="gramStart"/>
      <w:r w:rsidRPr="0087078A">
        <w:rPr>
          <w:rFonts w:ascii="標楷體" w:eastAsia="標楷體" w:hAnsi="標楷體" w:hint="eastAsia"/>
          <w:kern w:val="2"/>
          <w:szCs w:val="24"/>
          <w14:ligatures w14:val="standardContextual"/>
        </w:rPr>
        <w:t>心跳過緩</w:t>
      </w:r>
      <w:proofErr w:type="gramEnd"/>
      <w:r w:rsidRPr="0087078A">
        <w:rPr>
          <w:rFonts w:ascii="標楷體" w:eastAsia="標楷體" w:hAnsi="標楷體" w:hint="eastAsia"/>
          <w:kern w:val="2"/>
          <w:szCs w:val="24"/>
          <w14:ligatures w14:val="standardContextual"/>
        </w:rPr>
        <w:t>、房室傳導阻斷或其他心律疾病需心律調節器的植入治療，心臟衰竭需住院治療)。</w:t>
      </w:r>
    </w:p>
    <w:p w14:paraId="04467D5D"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(7)心肺功能狀態 (紐約心臟學會心功能分級 NYHA functional class及6分鐘走路測驗或運動心電圖測驗)。</w:t>
      </w:r>
    </w:p>
    <w:p w14:paraId="1F43FABB"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(8)靜態心電圖、24小時Holter心電圖與心臟超音波。心臟超音波檢查時之基本項目:</w:t>
      </w:r>
    </w:p>
    <w:p w14:paraId="0DF69647" w14:textId="77777777" w:rsidR="002144EC" w:rsidRPr="0087078A" w:rsidRDefault="002144EC" w:rsidP="002144EC">
      <w:pPr>
        <w:suppressAutoHyphens w:val="0"/>
        <w:autoSpaceDN/>
        <w:spacing w:line="300" w:lineRule="exact"/>
        <w:ind w:leftChars="354" w:left="850" w:firstLine="1"/>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左心室舒張期直徑、左心室後壁厚度、左</w:t>
      </w:r>
      <w:proofErr w:type="gramStart"/>
      <w:r w:rsidRPr="0087078A">
        <w:rPr>
          <w:rFonts w:ascii="標楷體" w:eastAsia="標楷體" w:hAnsi="標楷體" w:hint="eastAsia"/>
          <w:kern w:val="2"/>
          <w:szCs w:val="24"/>
          <w14:ligatures w14:val="standardContextual"/>
        </w:rPr>
        <w:t>心室前壁厚度</w:t>
      </w:r>
      <w:proofErr w:type="gramEnd"/>
      <w:r w:rsidRPr="0087078A">
        <w:rPr>
          <w:rFonts w:ascii="標楷體" w:eastAsia="標楷體" w:hAnsi="標楷體" w:hint="eastAsia"/>
          <w:kern w:val="2"/>
          <w:szCs w:val="24"/>
          <w14:ligatures w14:val="standardContextual"/>
        </w:rPr>
        <w:t>、左心室質量與質量身高比、心房大小測量、左心室舒張功能測量(包含組織超音波)、心室後壁輻射向應變率、心中</w:t>
      </w:r>
      <w:proofErr w:type="gramStart"/>
      <w:r w:rsidRPr="0087078A">
        <w:rPr>
          <w:rFonts w:ascii="標楷體" w:eastAsia="標楷體" w:hAnsi="標楷體" w:hint="eastAsia"/>
          <w:kern w:val="2"/>
          <w:szCs w:val="24"/>
          <w14:ligatures w14:val="standardContextual"/>
        </w:rPr>
        <w:t>膈</w:t>
      </w:r>
      <w:proofErr w:type="gramEnd"/>
      <w:r w:rsidRPr="0087078A">
        <w:rPr>
          <w:rFonts w:ascii="標楷體" w:eastAsia="標楷體" w:hAnsi="標楷體" w:hint="eastAsia"/>
          <w:kern w:val="2"/>
          <w:szCs w:val="24"/>
          <w14:ligatures w14:val="standardContextual"/>
        </w:rPr>
        <w:t>縱向應變率與</w:t>
      </w:r>
      <w:proofErr w:type="gramStart"/>
      <w:r w:rsidRPr="0087078A">
        <w:rPr>
          <w:rFonts w:ascii="標楷體" w:eastAsia="標楷體" w:hAnsi="標楷體" w:hint="eastAsia"/>
          <w:kern w:val="2"/>
          <w:szCs w:val="24"/>
          <w14:ligatures w14:val="standardContextual"/>
        </w:rPr>
        <w:t>心側壁</w:t>
      </w:r>
      <w:proofErr w:type="gramEnd"/>
      <w:r w:rsidRPr="0087078A">
        <w:rPr>
          <w:rFonts w:ascii="標楷體" w:eastAsia="標楷體" w:hAnsi="標楷體" w:hint="eastAsia"/>
          <w:kern w:val="2"/>
          <w:szCs w:val="24"/>
          <w14:ligatures w14:val="standardContextual"/>
        </w:rPr>
        <w:t>縱向應變率、心臟瓣膜功能。超音波左心室質量與質量身高比、心室後壁輻射向應變率、</w:t>
      </w:r>
      <w:proofErr w:type="gramStart"/>
      <w:r w:rsidRPr="0087078A">
        <w:rPr>
          <w:rFonts w:ascii="標楷體" w:eastAsia="標楷體" w:hAnsi="標楷體" w:hint="eastAsia"/>
          <w:kern w:val="2"/>
          <w:szCs w:val="24"/>
          <w14:ligatures w14:val="standardContextual"/>
        </w:rPr>
        <w:t>心側壁</w:t>
      </w:r>
      <w:proofErr w:type="gramEnd"/>
      <w:r w:rsidRPr="0087078A">
        <w:rPr>
          <w:rFonts w:ascii="標楷體" w:eastAsia="標楷體" w:hAnsi="標楷體" w:hint="eastAsia"/>
          <w:kern w:val="2"/>
          <w:szCs w:val="24"/>
          <w14:ligatures w14:val="standardContextual"/>
        </w:rPr>
        <w:t>縱向應變率。</w:t>
      </w:r>
    </w:p>
    <w:p w14:paraId="47EFDA10" w14:textId="77777777" w:rsidR="002144EC" w:rsidRPr="0087078A" w:rsidRDefault="002144EC" w:rsidP="002144EC">
      <w:pPr>
        <w:suppressAutoHyphens w:val="0"/>
        <w:spacing w:line="300" w:lineRule="exact"/>
        <w:ind w:left="991" w:hanging="425"/>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t>(9)若初次心臟</w:t>
      </w:r>
      <w:proofErr w:type="gramStart"/>
      <w:r w:rsidRPr="0087078A">
        <w:rPr>
          <w:rFonts w:ascii="標楷體" w:eastAsia="標楷體" w:hAnsi="標楷體" w:hint="eastAsia"/>
          <w:kern w:val="2"/>
          <w:szCs w:val="24"/>
          <w14:ligatures w14:val="standardContextual"/>
        </w:rPr>
        <w:t>磁振造影</w:t>
      </w:r>
      <w:proofErr w:type="gramEnd"/>
      <w:r w:rsidRPr="0087078A">
        <w:rPr>
          <w:rFonts w:ascii="標楷體" w:eastAsia="標楷體" w:hAnsi="標楷體" w:hint="eastAsia"/>
          <w:kern w:val="2"/>
          <w:szCs w:val="24"/>
          <w14:ligatures w14:val="standardContextual"/>
        </w:rPr>
        <w:t>(MRI)檢查時有心肌纖維化的病患，追蹤時應做心臟</w:t>
      </w:r>
      <w:proofErr w:type="gramStart"/>
      <w:r w:rsidRPr="0087078A">
        <w:rPr>
          <w:rFonts w:ascii="標楷體" w:eastAsia="標楷體" w:hAnsi="標楷體" w:hint="eastAsia"/>
          <w:kern w:val="2"/>
          <w:szCs w:val="24"/>
          <w14:ligatures w14:val="standardContextual"/>
        </w:rPr>
        <w:t>磁振造影</w:t>
      </w:r>
      <w:proofErr w:type="gramEnd"/>
      <w:r w:rsidRPr="0087078A">
        <w:rPr>
          <w:rFonts w:ascii="標楷體" w:eastAsia="標楷體" w:hAnsi="標楷體" w:hint="eastAsia"/>
          <w:kern w:val="2"/>
          <w:szCs w:val="24"/>
          <w14:ligatures w14:val="standardContextual"/>
        </w:rPr>
        <w:t>；其他患者建議每兩年做心臟</w:t>
      </w:r>
      <w:proofErr w:type="gramStart"/>
      <w:r w:rsidRPr="0087078A">
        <w:rPr>
          <w:rFonts w:ascii="標楷體" w:eastAsia="標楷體" w:hAnsi="標楷體" w:hint="eastAsia"/>
          <w:kern w:val="2"/>
          <w:szCs w:val="24"/>
          <w14:ligatures w14:val="standardContextual"/>
        </w:rPr>
        <w:t>磁振造影</w:t>
      </w:r>
      <w:proofErr w:type="gramEnd"/>
      <w:r w:rsidRPr="0087078A">
        <w:rPr>
          <w:rFonts w:ascii="標楷體" w:eastAsia="標楷體" w:hAnsi="標楷體" w:hint="eastAsia"/>
          <w:kern w:val="2"/>
          <w:szCs w:val="24"/>
          <w14:ligatures w14:val="standardContextual"/>
        </w:rPr>
        <w:t>追蹤檢查。</w:t>
      </w:r>
    </w:p>
    <w:p w14:paraId="578D8176" w14:textId="77777777" w:rsidR="002144EC" w:rsidRPr="0087078A" w:rsidRDefault="002144EC" w:rsidP="002144EC">
      <w:pPr>
        <w:suppressAutoHyphens w:val="0"/>
        <w:spacing w:line="300" w:lineRule="exact"/>
        <w:ind w:left="566" w:hanging="283"/>
        <w:textAlignment w:val="auto"/>
        <w:rPr>
          <w:rFonts w:ascii="標楷體" w:eastAsia="標楷體" w:hAnsi="標楷體"/>
          <w:kern w:val="2"/>
          <w:szCs w:val="24"/>
          <w14:ligatures w14:val="standardContextual"/>
        </w:rPr>
      </w:pPr>
      <w:r w:rsidRPr="0087078A">
        <w:rPr>
          <w:rFonts w:ascii="標楷體" w:eastAsia="標楷體" w:hAnsi="標楷體" w:hint="eastAsia"/>
          <w:kern w:val="2"/>
          <w:szCs w:val="24"/>
          <w14:ligatures w14:val="standardContextual"/>
        </w:rPr>
        <w:lastRenderedPageBreak/>
        <w:t>10.</w:t>
      </w:r>
      <w:proofErr w:type="gramStart"/>
      <w:r w:rsidRPr="0087078A">
        <w:rPr>
          <w:rFonts w:ascii="標楷體" w:eastAsia="標楷體" w:hAnsi="標楷體" w:hint="eastAsia"/>
          <w:kern w:val="2"/>
          <w:szCs w:val="24"/>
          <w14:ligatures w14:val="standardContextual"/>
        </w:rPr>
        <w:t>使用本類藥品</w:t>
      </w:r>
      <w:proofErr w:type="gramEnd"/>
      <w:r w:rsidRPr="0087078A">
        <w:rPr>
          <w:rFonts w:ascii="標楷體" w:eastAsia="標楷體" w:hAnsi="標楷體" w:hint="eastAsia"/>
          <w:kern w:val="2"/>
          <w:szCs w:val="24"/>
          <w14:ligatures w14:val="standardContextual"/>
        </w:rPr>
        <w:t>需完成個案系統登錄，亦需於療程結束或停止使用該藥品後，於此系統登錄結案。逾期未登錄結案者，系統自動結案，且不予支付該個案自前次事前審查核定日後申報之藥費。(114/2/1</w:t>
      </w:r>
      <w:proofErr w:type="gramStart"/>
      <w:r w:rsidRPr="0087078A">
        <w:rPr>
          <w:rFonts w:ascii="標楷體" w:eastAsia="標楷體" w:hAnsi="標楷體" w:hint="eastAsia"/>
          <w:kern w:val="2"/>
          <w:szCs w:val="24"/>
          <w14:ligatures w14:val="standardContextual"/>
        </w:rPr>
        <w:t>）</w:t>
      </w:r>
      <w:proofErr w:type="gramEnd"/>
    </w:p>
    <w:p w14:paraId="6AAC6A0D" w14:textId="77777777" w:rsidR="002144EC" w:rsidRDefault="002144EC" w:rsidP="002144EC">
      <w:pPr>
        <w:tabs>
          <w:tab w:val="left" w:pos="284"/>
        </w:tabs>
        <w:suppressAutoHyphens w:val="0"/>
        <w:spacing w:line="300" w:lineRule="exact"/>
        <w:ind w:left="426" w:hanging="386"/>
        <w:textAlignment w:val="auto"/>
      </w:pPr>
      <w:proofErr w:type="gramStart"/>
      <w:r>
        <w:rPr>
          <w:rFonts w:ascii="標楷體" w:eastAsia="標楷體" w:hAnsi="標楷體" w:cs="Calibri"/>
          <w:szCs w:val="24"/>
        </w:rPr>
        <w:t>法布瑞</w:t>
      </w:r>
      <w:proofErr w:type="gramEnd"/>
      <w:r>
        <w:rPr>
          <w:rFonts w:ascii="標楷體" w:eastAsia="標楷體" w:hAnsi="標楷體" w:cs="Calibri"/>
          <w:szCs w:val="24"/>
        </w:rPr>
        <w:t>氏症心臟變異型心臟功能評估指標表（114/2/1）</w:t>
      </w:r>
    </w:p>
    <w:tbl>
      <w:tblPr>
        <w:tblW w:w="5000" w:type="pct"/>
        <w:tblCellMar>
          <w:left w:w="10" w:type="dxa"/>
          <w:right w:w="10" w:type="dxa"/>
        </w:tblCellMar>
        <w:tblLook w:val="0000" w:firstRow="0" w:lastRow="0" w:firstColumn="0" w:lastColumn="0" w:noHBand="0" w:noVBand="0"/>
      </w:tblPr>
      <w:tblGrid>
        <w:gridCol w:w="1168"/>
        <w:gridCol w:w="8460"/>
      </w:tblGrid>
      <w:tr w:rsidR="002144EC" w14:paraId="454606A5"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D5AEC"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心電圖[ECG]</w:t>
            </w:r>
          </w:p>
        </w:tc>
      </w:tr>
      <w:tr w:rsidR="002144EC" w14:paraId="251E9C0A"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79CBF9"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92D5BE"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心電圖左心室肥厚 (ECG LVH </w:t>
            </w:r>
            <w:proofErr w:type="spellStart"/>
            <w:r>
              <w:rPr>
                <w:rFonts w:ascii="標楷體" w:eastAsia="標楷體" w:hAnsi="標楷體" w:cs="Calibri"/>
                <w:szCs w:val="24"/>
              </w:rPr>
              <w:t>Romhilt</w:t>
            </w:r>
            <w:proofErr w:type="spellEnd"/>
            <w:r>
              <w:rPr>
                <w:rFonts w:ascii="標楷體" w:eastAsia="標楷體" w:hAnsi="標楷體" w:cs="Calibri"/>
                <w:szCs w:val="24"/>
              </w:rPr>
              <w:t>-Estes score&gt;5或符合Cornell's criteria)</w:t>
            </w:r>
          </w:p>
        </w:tc>
      </w:tr>
      <w:tr w:rsidR="002144EC" w14:paraId="0EA6C671"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4E016"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25652A"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心肌與節律出現異常：AV block, short PR interval, </w:t>
            </w:r>
            <w:proofErr w:type="spellStart"/>
            <w:r>
              <w:rPr>
                <w:rFonts w:ascii="標楷體" w:eastAsia="標楷體" w:hAnsi="標楷體" w:cs="Calibri"/>
                <w:szCs w:val="24"/>
              </w:rPr>
              <w:t>LBBB,ventricular</w:t>
            </w:r>
            <w:proofErr w:type="spellEnd"/>
            <w:r>
              <w:rPr>
                <w:rFonts w:ascii="標楷體" w:eastAsia="標楷體" w:hAnsi="標楷體" w:cs="Calibri"/>
                <w:szCs w:val="24"/>
              </w:rPr>
              <w:t xml:space="preserve"> or atrial tachyarrhythmias, sinus bradycardia(在沒有使用抑制心律的藥物下)</w:t>
            </w:r>
          </w:p>
        </w:tc>
      </w:tr>
      <w:tr w:rsidR="002144EC" w14:paraId="350DA85B"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1789C9"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心臟超音波[Echocardiogram]</w:t>
            </w:r>
          </w:p>
        </w:tc>
      </w:tr>
      <w:tr w:rsidR="002144EC" w14:paraId="358BE6B4"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077B5"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FD53FC"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左心室厚度&gt;12mm。</w:t>
            </w:r>
          </w:p>
        </w:tc>
      </w:tr>
      <w:tr w:rsidR="002144EC" w14:paraId="69BC504A"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1E607B"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682766"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心臟超音波左心室質量指數 (LVMI)男性大於51 gm/m2.7, 女性大於48 gm/m2.7, LVMI。（108/5/1）</w:t>
            </w:r>
          </w:p>
        </w:tc>
      </w:tr>
      <w:tr w:rsidR="002144EC" w14:paraId="31A4D556"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6117B9"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8032D"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心臟超音波左心室舒張功能異常 E/A ratio&gt;2.0及</w:t>
            </w:r>
          </w:p>
          <w:p w14:paraId="5CFEAFA3"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deceleration time&lt;150 msec或組織超音波顯示舒張功能異常(二尖瓣</w:t>
            </w:r>
            <w:proofErr w:type="gramStart"/>
            <w:r>
              <w:rPr>
                <w:rFonts w:ascii="標楷體" w:eastAsia="標楷體" w:hAnsi="標楷體" w:cs="Calibri"/>
                <w:szCs w:val="24"/>
              </w:rPr>
              <w:t>環部中膈</w:t>
            </w:r>
            <w:proofErr w:type="gramEnd"/>
            <w:r>
              <w:rPr>
                <w:rFonts w:ascii="標楷體" w:eastAsia="標楷體" w:hAnsi="標楷體" w:cs="Calibri"/>
                <w:szCs w:val="24"/>
              </w:rPr>
              <w:t xml:space="preserve">E/E' &gt;15 </w:t>
            </w:r>
            <w:proofErr w:type="gramStart"/>
            <w:r>
              <w:rPr>
                <w:rFonts w:ascii="標楷體" w:eastAsia="標楷體" w:hAnsi="標楷體" w:cs="Calibri"/>
                <w:szCs w:val="24"/>
              </w:rPr>
              <w:t>或側壁</w:t>
            </w:r>
            <w:proofErr w:type="gramEnd"/>
            <w:r>
              <w:rPr>
                <w:rFonts w:ascii="標楷體" w:eastAsia="標楷體" w:hAnsi="標楷體" w:cs="Calibri"/>
                <w:szCs w:val="24"/>
              </w:rPr>
              <w:t>E/E'&gt;12).</w:t>
            </w:r>
          </w:p>
        </w:tc>
      </w:tr>
      <w:tr w:rsidR="002144EC" w14:paraId="2A82B11A"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9904E8"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5E08C1" w14:textId="77777777" w:rsidR="002144EC" w:rsidRDefault="002144EC" w:rsidP="002144EC">
            <w:pPr>
              <w:suppressAutoHyphens w:val="0"/>
              <w:spacing w:line="300" w:lineRule="exact"/>
              <w:textAlignment w:val="auto"/>
            </w:pPr>
            <w:r>
              <w:rPr>
                <w:rFonts w:ascii="標楷體" w:eastAsia="標楷體" w:hAnsi="標楷體" w:cs="Calibri"/>
                <w:szCs w:val="24"/>
              </w:rPr>
              <w:t>間隔至少超過12個月測量左心室質量 (LVM) 增加&gt;5g/m</w:t>
            </w:r>
            <w:r>
              <w:rPr>
                <w:rFonts w:ascii="標楷體" w:eastAsia="標楷體" w:hAnsi="標楷體" w:cs="Calibri"/>
                <w:szCs w:val="24"/>
                <w:vertAlign w:val="superscript"/>
              </w:rPr>
              <w:t>2</w:t>
            </w:r>
          </w:p>
        </w:tc>
      </w:tr>
      <w:tr w:rsidR="002144EC" w14:paraId="17E7B446"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D0F5E1"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5</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75A4DC"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心臟超音波左心房體積增加&gt;34 mL/m2 body surface area (BSA)</w:t>
            </w:r>
          </w:p>
          <w:p w14:paraId="1D4269F6"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（108/5/1）</w:t>
            </w:r>
          </w:p>
        </w:tc>
      </w:tr>
      <w:tr w:rsidR="002144EC" w14:paraId="0F89F490"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B93DC"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6</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641BC5"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中度到重度的二尖瓣與主動瓣膜閉鎖不全</w:t>
            </w:r>
          </w:p>
        </w:tc>
      </w:tr>
      <w:tr w:rsidR="002144EC" w14:paraId="28D670F1"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78014B"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心臟核磁共振檢查報告</w:t>
            </w:r>
          </w:p>
        </w:tc>
      </w:tr>
      <w:tr w:rsidR="002144EC" w14:paraId="58AB8783"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78718"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C690BE"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w:t>
            </w:r>
            <w:proofErr w:type="gramStart"/>
            <w:r>
              <w:rPr>
                <w:rFonts w:ascii="標楷體" w:eastAsia="標楷體" w:hAnsi="標楷體" w:cs="Calibri"/>
                <w:szCs w:val="24"/>
              </w:rPr>
              <w:t>磁振造影</w:t>
            </w:r>
            <w:proofErr w:type="gramEnd"/>
            <w:r>
              <w:rPr>
                <w:rFonts w:ascii="標楷體" w:eastAsia="標楷體" w:hAnsi="標楷體" w:cs="Calibri"/>
                <w:szCs w:val="24"/>
              </w:rPr>
              <w:t>心肌延遲顯影(delayed enhancement)出現左心室的輕度到中度纖維化。</w:t>
            </w:r>
          </w:p>
        </w:tc>
      </w:tr>
      <w:tr w:rsidR="002144EC" w14:paraId="0D1CB7E9"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7A9929"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529B4D"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Low native T1</w:t>
            </w:r>
          </w:p>
        </w:tc>
      </w:tr>
      <w:tr w:rsidR="002144EC" w14:paraId="05248774"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81E71"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44A2C1"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High T2</w:t>
            </w:r>
          </w:p>
        </w:tc>
      </w:tr>
      <w:tr w:rsidR="002144EC" w14:paraId="1C7C8910"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6D2F9A"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C80535"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因裝置MRI incompatible pacemaker 而無法執行</w:t>
            </w:r>
          </w:p>
        </w:tc>
      </w:tr>
      <w:tr w:rsidR="002144EC" w14:paraId="36F3C37D" w14:textId="77777777" w:rsidTr="00C8754F">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A2F73D"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實驗室檢查報告</w:t>
            </w:r>
          </w:p>
        </w:tc>
      </w:tr>
      <w:tr w:rsidR="002144EC" w14:paraId="087A1EE2" w14:textId="77777777" w:rsidTr="00C8754F">
        <w:trPr>
          <w:trHeight w:val="429"/>
        </w:trPr>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9F74A4" w14:textId="77777777" w:rsidR="002144EC" w:rsidRDefault="002144EC" w:rsidP="002144EC">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4A9670" w14:textId="77777777" w:rsidR="002144EC" w:rsidRDefault="002144EC" w:rsidP="002144EC">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NT-</w:t>
            </w:r>
            <w:proofErr w:type="spellStart"/>
            <w:r>
              <w:rPr>
                <w:rFonts w:ascii="標楷體" w:eastAsia="標楷體" w:hAnsi="標楷體" w:cs="Calibri"/>
                <w:szCs w:val="24"/>
              </w:rPr>
              <w:t>proBNP</w:t>
            </w:r>
            <w:proofErr w:type="spellEnd"/>
            <w:r>
              <w:rPr>
                <w:rFonts w:ascii="標楷體" w:eastAsia="標楷體" w:hAnsi="標楷體" w:cs="Calibri"/>
                <w:szCs w:val="24"/>
              </w:rPr>
              <w:t>/BNP 或 high sensitivity troponin升高（112/8/1）</w:t>
            </w:r>
          </w:p>
        </w:tc>
      </w:tr>
    </w:tbl>
    <w:p w14:paraId="4FFF6F8F" w14:textId="77777777" w:rsidR="002144EC" w:rsidRDefault="002144EC" w:rsidP="002144EC">
      <w:pPr>
        <w:tabs>
          <w:tab w:val="left" w:pos="284"/>
        </w:tabs>
        <w:suppressAutoHyphens w:val="0"/>
        <w:spacing w:line="300" w:lineRule="exact"/>
        <w:ind w:left="426" w:hanging="386"/>
        <w:textAlignment w:val="auto"/>
        <w:rPr>
          <w:rFonts w:ascii="標楷體" w:eastAsia="標楷體" w:hAnsi="標楷體"/>
          <w:szCs w:val="28"/>
        </w:rPr>
      </w:pPr>
      <w:r>
        <w:rPr>
          <w:rFonts w:ascii="標楷體" w:eastAsia="標楷體" w:hAnsi="標楷體"/>
          <w:szCs w:val="28"/>
        </w:rPr>
        <w:t xml:space="preserve">3.3.29. </w:t>
      </w:r>
      <w:proofErr w:type="spellStart"/>
      <w:r>
        <w:rPr>
          <w:rFonts w:ascii="標楷體" w:eastAsia="標楷體" w:hAnsi="標楷體"/>
          <w:szCs w:val="28"/>
        </w:rPr>
        <w:t>Burosumab</w:t>
      </w:r>
      <w:proofErr w:type="spellEnd"/>
      <w:r>
        <w:rPr>
          <w:rFonts w:ascii="標楷體" w:eastAsia="標楷體" w:hAnsi="標楷體"/>
          <w:szCs w:val="28"/>
        </w:rPr>
        <w:t>(如</w:t>
      </w:r>
      <w:proofErr w:type="spellStart"/>
      <w:r>
        <w:rPr>
          <w:rFonts w:ascii="標楷體" w:eastAsia="標楷體" w:hAnsi="標楷體"/>
          <w:szCs w:val="28"/>
        </w:rPr>
        <w:t>Crysvita</w:t>
      </w:r>
      <w:proofErr w:type="spellEnd"/>
      <w:r>
        <w:rPr>
          <w:rFonts w:ascii="標楷體" w:eastAsia="標楷體" w:hAnsi="標楷體"/>
          <w:szCs w:val="28"/>
        </w:rPr>
        <w:t>)：(113/5/1)</w:t>
      </w:r>
    </w:p>
    <w:p w14:paraId="1567A847"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1.用於經衛生福利部國民</w:t>
      </w:r>
      <w:proofErr w:type="gramStart"/>
      <w:r>
        <w:rPr>
          <w:rFonts w:ascii="標楷體" w:eastAsia="標楷體" w:hAnsi="標楷體"/>
          <w:szCs w:val="28"/>
        </w:rPr>
        <w:t>健康署</w:t>
      </w:r>
      <w:proofErr w:type="gramEnd"/>
      <w:r>
        <w:rPr>
          <w:rFonts w:ascii="標楷體" w:eastAsia="標楷體" w:hAnsi="標楷體"/>
          <w:szCs w:val="28"/>
        </w:rPr>
        <w:t>認定之1歲以上性聯</w:t>
      </w:r>
      <w:proofErr w:type="gramStart"/>
      <w:r>
        <w:rPr>
          <w:rFonts w:ascii="標楷體" w:eastAsia="標楷體" w:hAnsi="標楷體"/>
          <w:szCs w:val="28"/>
        </w:rPr>
        <w:t>遺傳型低磷酸鹽</w:t>
      </w:r>
      <w:proofErr w:type="gramEnd"/>
      <w:r>
        <w:rPr>
          <w:rFonts w:ascii="標楷體" w:eastAsia="標楷體" w:hAnsi="標楷體"/>
          <w:szCs w:val="28"/>
        </w:rPr>
        <w:t>症患者，生長板尚未關閉，且</w:t>
      </w:r>
      <w:proofErr w:type="gramStart"/>
      <w:r>
        <w:rPr>
          <w:rFonts w:ascii="標楷體" w:eastAsia="標楷體" w:hAnsi="標楷體"/>
          <w:szCs w:val="28"/>
        </w:rPr>
        <w:t>男性骨齡未</w:t>
      </w:r>
      <w:proofErr w:type="gramEnd"/>
      <w:r>
        <w:rPr>
          <w:rFonts w:ascii="標楷體" w:eastAsia="標楷體" w:hAnsi="標楷體"/>
          <w:szCs w:val="28"/>
        </w:rPr>
        <w:t>達18歲、</w:t>
      </w:r>
      <w:proofErr w:type="gramStart"/>
      <w:r>
        <w:rPr>
          <w:rFonts w:ascii="標楷體" w:eastAsia="標楷體" w:hAnsi="標楷體"/>
          <w:szCs w:val="28"/>
        </w:rPr>
        <w:t>女性骨齡未</w:t>
      </w:r>
      <w:proofErr w:type="gramEnd"/>
      <w:r>
        <w:rPr>
          <w:rFonts w:ascii="標楷體" w:eastAsia="標楷體" w:hAnsi="標楷體"/>
          <w:szCs w:val="28"/>
        </w:rPr>
        <w:t>達16歲，並符合以下所有條件：</w:t>
      </w:r>
    </w:p>
    <w:p w14:paraId="44AF71C7" w14:textId="77777777" w:rsidR="002144EC" w:rsidRDefault="002144EC" w:rsidP="002144EC">
      <w:pPr>
        <w:autoSpaceDE w:val="0"/>
        <w:spacing w:line="300" w:lineRule="exact"/>
        <w:ind w:left="720"/>
        <w:rPr>
          <w:rFonts w:ascii="標楷體" w:eastAsia="標楷體" w:hAnsi="標楷體"/>
          <w:szCs w:val="28"/>
        </w:rPr>
      </w:pPr>
      <w:r>
        <w:rPr>
          <w:rFonts w:ascii="標楷體" w:eastAsia="標楷體" w:hAnsi="標楷體"/>
          <w:szCs w:val="28"/>
        </w:rPr>
        <w:t>(1)空腹低</w:t>
      </w:r>
      <w:proofErr w:type="gramStart"/>
      <w:r>
        <w:rPr>
          <w:rFonts w:ascii="標楷體" w:eastAsia="標楷體" w:hAnsi="標楷體"/>
          <w:szCs w:val="28"/>
        </w:rPr>
        <w:t>血磷症</w:t>
      </w:r>
      <w:proofErr w:type="gramEnd"/>
      <w:r>
        <w:rPr>
          <w:rFonts w:ascii="標楷體" w:eastAsia="標楷體" w:hAnsi="標楷體"/>
          <w:szCs w:val="28"/>
        </w:rPr>
        <w:t>。</w:t>
      </w:r>
    </w:p>
    <w:p w14:paraId="19ACABCC" w14:textId="77777777" w:rsidR="002144EC" w:rsidRDefault="002144EC" w:rsidP="002144EC">
      <w:pPr>
        <w:autoSpaceDE w:val="0"/>
        <w:spacing w:line="300" w:lineRule="exact"/>
        <w:ind w:left="1140" w:hanging="420"/>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正常腎</w:t>
      </w:r>
      <w:proofErr w:type="gramEnd"/>
      <w:r>
        <w:rPr>
          <w:rFonts w:ascii="標楷體" w:eastAsia="標楷體" w:hAnsi="標楷體"/>
          <w:szCs w:val="28"/>
        </w:rPr>
        <w:t>功能（定義為空腹血清</w:t>
      </w:r>
      <w:proofErr w:type="gramStart"/>
      <w:r>
        <w:rPr>
          <w:rFonts w:ascii="標楷體" w:eastAsia="標楷體" w:hAnsi="標楷體"/>
          <w:szCs w:val="28"/>
        </w:rPr>
        <w:t>肌</w:t>
      </w:r>
      <w:proofErr w:type="gramEnd"/>
      <w:r>
        <w:rPr>
          <w:rFonts w:ascii="標楷體" w:eastAsia="標楷體" w:hAnsi="標楷體"/>
          <w:szCs w:val="28"/>
        </w:rPr>
        <w:t>酸酐低於經年齡調整的正常上限）。</w:t>
      </w:r>
    </w:p>
    <w:p w14:paraId="1047760C" w14:textId="77777777" w:rsidR="002144EC" w:rsidRDefault="002144EC" w:rsidP="002144EC">
      <w:pPr>
        <w:autoSpaceDE w:val="0"/>
        <w:spacing w:line="300" w:lineRule="exact"/>
        <w:ind w:left="1140" w:hanging="420"/>
        <w:rPr>
          <w:rFonts w:ascii="標楷體" w:eastAsia="標楷體" w:hAnsi="標楷體"/>
          <w:szCs w:val="28"/>
        </w:rPr>
      </w:pPr>
      <w:r>
        <w:rPr>
          <w:rFonts w:ascii="標楷體" w:eastAsia="標楷體" w:hAnsi="標楷體"/>
          <w:szCs w:val="28"/>
        </w:rPr>
        <w:t xml:space="preserve">(3)放射學證據顯示具有佝僂症，且佝僂症嚴重程度分數（rickets severity </w:t>
      </w:r>
      <w:proofErr w:type="spellStart"/>
      <w:r>
        <w:rPr>
          <w:rFonts w:ascii="標楷體" w:eastAsia="標楷體" w:hAnsi="標楷體"/>
          <w:szCs w:val="28"/>
        </w:rPr>
        <w:t>score,RSS</w:t>
      </w:r>
      <w:proofErr w:type="spellEnd"/>
      <w:r>
        <w:rPr>
          <w:rFonts w:ascii="標楷體" w:eastAsia="標楷體" w:hAnsi="標楷體"/>
          <w:szCs w:val="28"/>
        </w:rPr>
        <w:t>）總分為大於等於2分。</w:t>
      </w:r>
    </w:p>
    <w:p w14:paraId="20886209"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(4)具有已確認的PHEX（phosphate-regulating endopeptidase homolog, X-linked）基因變異。</w:t>
      </w:r>
    </w:p>
    <w:p w14:paraId="2B25A52C" w14:textId="77777777" w:rsidR="002144EC" w:rsidRDefault="002144EC" w:rsidP="002144EC">
      <w:pPr>
        <w:autoSpaceDE w:val="0"/>
        <w:spacing w:line="300" w:lineRule="exact"/>
        <w:ind w:left="876" w:hanging="283"/>
        <w:rPr>
          <w:rFonts w:ascii="標楷體" w:eastAsia="標楷體" w:hAnsi="標楷體"/>
          <w:szCs w:val="28"/>
        </w:rPr>
      </w:pPr>
      <w:r>
        <w:rPr>
          <w:rFonts w:ascii="標楷體" w:eastAsia="標楷體" w:hAnsi="標楷體"/>
          <w:szCs w:val="28"/>
        </w:rPr>
        <w:t>2.限由具兒科專科醫師證書，且經小兒醫學遺傳學/</w:t>
      </w:r>
      <w:proofErr w:type="gramStart"/>
      <w:r>
        <w:rPr>
          <w:rFonts w:ascii="標楷體" w:eastAsia="標楷體" w:hAnsi="標楷體"/>
          <w:szCs w:val="28"/>
        </w:rPr>
        <w:t>新陳代謝學次專科</w:t>
      </w:r>
      <w:proofErr w:type="gramEnd"/>
      <w:r>
        <w:rPr>
          <w:rFonts w:ascii="標楷體" w:eastAsia="標楷體" w:hAnsi="標楷體"/>
          <w:szCs w:val="28"/>
        </w:rPr>
        <w:t>或內分泌次專科或小兒腎臟科次專科</w:t>
      </w:r>
      <w:proofErr w:type="gramStart"/>
      <w:r>
        <w:rPr>
          <w:rFonts w:ascii="標楷體" w:eastAsia="標楷體" w:hAnsi="標楷體"/>
          <w:szCs w:val="28"/>
        </w:rPr>
        <w:t>甄</w:t>
      </w:r>
      <w:proofErr w:type="gramEnd"/>
      <w:r>
        <w:rPr>
          <w:rFonts w:ascii="標楷體" w:eastAsia="標楷體" w:hAnsi="標楷體"/>
          <w:szCs w:val="28"/>
        </w:rPr>
        <w:t>審合格之醫師，或具腎臟科次專科醫師證書之醫師處方使用。</w:t>
      </w:r>
    </w:p>
    <w:p w14:paraId="5E3E61C6" w14:textId="77777777" w:rsidR="002144EC" w:rsidRDefault="002144EC" w:rsidP="002144EC">
      <w:pPr>
        <w:autoSpaceDE w:val="0"/>
        <w:spacing w:line="300" w:lineRule="exact"/>
        <w:ind w:left="876" w:hanging="283"/>
        <w:rPr>
          <w:rFonts w:ascii="標楷體" w:eastAsia="標楷體" w:hAnsi="標楷體"/>
          <w:szCs w:val="28"/>
        </w:rPr>
      </w:pPr>
      <w:r>
        <w:rPr>
          <w:rFonts w:ascii="標楷體" w:eastAsia="標楷體" w:hAnsi="標楷體"/>
          <w:szCs w:val="28"/>
        </w:rPr>
        <w:t>3.應每半年定期追蹤評估至少1次治療效果及下列事項:</w:t>
      </w:r>
    </w:p>
    <w:p w14:paraId="1A39CC23"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(1)血清磷。</w:t>
      </w:r>
    </w:p>
    <w:p w14:paraId="36592113"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(2)腎小管對磷酸鹽的吸收率(</w:t>
      </w:r>
      <w:proofErr w:type="spellStart"/>
      <w:r>
        <w:rPr>
          <w:rFonts w:ascii="標楷體" w:eastAsia="標楷體" w:hAnsi="標楷體"/>
          <w:szCs w:val="28"/>
        </w:rPr>
        <w:t>TmP</w:t>
      </w:r>
      <w:proofErr w:type="spellEnd"/>
      <w:r>
        <w:rPr>
          <w:rFonts w:ascii="標楷體" w:eastAsia="標楷體" w:hAnsi="標楷體"/>
          <w:szCs w:val="28"/>
        </w:rPr>
        <w:t>/GFR)。</w:t>
      </w:r>
    </w:p>
    <w:p w14:paraId="14569EE3"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(3)副甲狀腺功能。</w:t>
      </w:r>
    </w:p>
    <w:p w14:paraId="5A1A1ACB"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(4)RSS總分 (每年一次)。</w:t>
      </w:r>
    </w:p>
    <w:p w14:paraId="3682BDA8" w14:textId="77777777" w:rsidR="002144EC" w:rsidRDefault="002144EC" w:rsidP="002144EC">
      <w:pPr>
        <w:autoSpaceDE w:val="0"/>
        <w:spacing w:line="300" w:lineRule="exact"/>
        <w:ind w:left="876" w:hanging="283"/>
        <w:rPr>
          <w:rFonts w:ascii="標楷體" w:eastAsia="標楷體" w:hAnsi="標楷體"/>
          <w:szCs w:val="28"/>
        </w:rPr>
      </w:pPr>
      <w:r>
        <w:rPr>
          <w:rFonts w:ascii="標楷體" w:eastAsia="標楷體" w:hAnsi="標楷體"/>
          <w:szCs w:val="28"/>
        </w:rPr>
        <w:t>4.需經事前審查核准後使用，每次申請療程以12個月為限。</w:t>
      </w:r>
    </w:p>
    <w:p w14:paraId="50B29CB0" w14:textId="77777777" w:rsidR="002144EC" w:rsidRDefault="002144EC" w:rsidP="002144EC">
      <w:pPr>
        <w:autoSpaceDE w:val="0"/>
        <w:spacing w:line="300" w:lineRule="exact"/>
        <w:ind w:left="876" w:hanging="283"/>
        <w:rPr>
          <w:rFonts w:ascii="標楷體" w:eastAsia="標楷體" w:hAnsi="標楷體"/>
          <w:szCs w:val="28"/>
        </w:rPr>
      </w:pPr>
      <w:r>
        <w:rPr>
          <w:rFonts w:ascii="標楷體" w:eastAsia="標楷體" w:hAnsi="標楷體"/>
          <w:szCs w:val="28"/>
        </w:rPr>
        <w:lastRenderedPageBreak/>
        <w:t>5.停藥條件：若出現以下任</w:t>
      </w:r>
      <w:proofErr w:type="gramStart"/>
      <w:r>
        <w:rPr>
          <w:rFonts w:ascii="標楷體" w:eastAsia="標楷體" w:hAnsi="標楷體"/>
          <w:szCs w:val="28"/>
        </w:rPr>
        <w:t>一</w:t>
      </w:r>
      <w:proofErr w:type="gramEnd"/>
      <w:r>
        <w:rPr>
          <w:rFonts w:ascii="標楷體" w:eastAsia="標楷體" w:hAnsi="標楷體"/>
          <w:szCs w:val="28"/>
        </w:rPr>
        <w:t>情況，應停止</w:t>
      </w:r>
      <w:proofErr w:type="spellStart"/>
      <w:r>
        <w:rPr>
          <w:rFonts w:ascii="標楷體" w:eastAsia="標楷體" w:hAnsi="標楷體"/>
          <w:szCs w:val="28"/>
        </w:rPr>
        <w:t>burosumab</w:t>
      </w:r>
      <w:proofErr w:type="spellEnd"/>
      <w:r>
        <w:rPr>
          <w:rFonts w:ascii="標楷體" w:eastAsia="標楷體" w:hAnsi="標楷體"/>
          <w:szCs w:val="28"/>
        </w:rPr>
        <w:t>治療。</w:t>
      </w:r>
    </w:p>
    <w:p w14:paraId="6F31F0CA"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(1)使用本藥品後第12個月的RSS總</w:t>
      </w:r>
      <w:proofErr w:type="gramStart"/>
      <w:r>
        <w:rPr>
          <w:rFonts w:ascii="標楷體" w:eastAsia="標楷體" w:hAnsi="標楷體"/>
          <w:szCs w:val="28"/>
        </w:rPr>
        <w:t>分未比開始</w:t>
      </w:r>
      <w:proofErr w:type="gramEnd"/>
      <w:r>
        <w:rPr>
          <w:rFonts w:ascii="標楷體" w:eastAsia="標楷體" w:hAnsi="標楷體"/>
          <w:szCs w:val="28"/>
        </w:rPr>
        <w:t>治療時基礎值有改善。</w:t>
      </w:r>
    </w:p>
    <w:p w14:paraId="69EF61F4"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(2)治療後每12個月評估一次RSS總分，相較於前一次RSS總分沒有改善。</w:t>
      </w:r>
    </w:p>
    <w:p w14:paraId="1F8DAF20"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(3)副甲狀腺功能亢進、腎鈣化或放射學評估的骨折與假性骨折。</w:t>
      </w:r>
    </w:p>
    <w:p w14:paraId="19841E2B"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(4)生長板關閉，或至多到</w:t>
      </w:r>
      <w:proofErr w:type="gramStart"/>
      <w:r>
        <w:rPr>
          <w:rFonts w:ascii="標楷體" w:eastAsia="標楷體" w:hAnsi="標楷體"/>
          <w:szCs w:val="28"/>
        </w:rPr>
        <w:t>男性骨齡達</w:t>
      </w:r>
      <w:proofErr w:type="gramEnd"/>
      <w:r>
        <w:rPr>
          <w:rFonts w:ascii="標楷體" w:eastAsia="標楷體" w:hAnsi="標楷體"/>
          <w:szCs w:val="28"/>
        </w:rPr>
        <w:t>18歲、</w:t>
      </w:r>
      <w:proofErr w:type="gramStart"/>
      <w:r>
        <w:rPr>
          <w:rFonts w:ascii="標楷體" w:eastAsia="標楷體" w:hAnsi="標楷體"/>
          <w:szCs w:val="28"/>
        </w:rPr>
        <w:t>女性骨齡達</w:t>
      </w:r>
      <w:proofErr w:type="gramEnd"/>
      <w:r>
        <w:rPr>
          <w:rFonts w:ascii="標楷體" w:eastAsia="標楷體" w:hAnsi="標楷體"/>
          <w:szCs w:val="28"/>
        </w:rPr>
        <w:t>16歲。</w:t>
      </w:r>
    </w:p>
    <w:p w14:paraId="7C860C4B" w14:textId="77777777" w:rsidR="002144EC" w:rsidRDefault="002144EC" w:rsidP="002144EC">
      <w:pPr>
        <w:snapToGrid w:val="0"/>
        <w:spacing w:line="300" w:lineRule="exact"/>
        <w:ind w:left="400" w:hanging="280"/>
        <w:rPr>
          <w:rFonts w:ascii="標楷體" w:eastAsia="標楷體" w:hAnsi="標楷體"/>
          <w:szCs w:val="28"/>
        </w:rPr>
      </w:pPr>
      <w:r>
        <w:rPr>
          <w:rFonts w:ascii="標楷體" w:eastAsia="標楷體" w:hAnsi="標楷體"/>
          <w:szCs w:val="28"/>
        </w:rPr>
        <w:t>3.3.30. Glycerol phenylbutyrate (如</w:t>
      </w:r>
      <w:proofErr w:type="spellStart"/>
      <w:r>
        <w:rPr>
          <w:rFonts w:ascii="標楷體" w:eastAsia="標楷體" w:hAnsi="標楷體"/>
          <w:szCs w:val="28"/>
        </w:rPr>
        <w:t>Ravicti</w:t>
      </w:r>
      <w:proofErr w:type="spellEnd"/>
      <w:r>
        <w:rPr>
          <w:rFonts w:ascii="標楷體" w:eastAsia="標楷體" w:hAnsi="標楷體"/>
          <w:szCs w:val="28"/>
        </w:rPr>
        <w:t>)：(113/11/1)</w:t>
      </w:r>
    </w:p>
    <w:p w14:paraId="3D928DAF"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1.用於經衛生福利部國民</w:t>
      </w:r>
      <w:proofErr w:type="gramStart"/>
      <w:r>
        <w:rPr>
          <w:rFonts w:ascii="標楷體" w:eastAsia="標楷體" w:hAnsi="標楷體"/>
          <w:szCs w:val="28"/>
        </w:rPr>
        <w:t>健康署</w:t>
      </w:r>
      <w:proofErr w:type="gramEnd"/>
      <w:r>
        <w:rPr>
          <w:rFonts w:ascii="標楷體" w:eastAsia="標楷體" w:hAnsi="標楷體"/>
          <w:szCs w:val="28"/>
        </w:rPr>
        <w:t>認定之不能藉由限制蛋白質的攝入和/或單純補充氨基酸控制的尿素循環代謝異常(Urea Cycle Disorders；UCDs)病人的長期輔助治療，包括 carbamoyl phosphate synthetase (CPS) I缺乏症、鳥胺酸</w:t>
      </w:r>
      <w:proofErr w:type="gramStart"/>
      <w:r>
        <w:rPr>
          <w:rFonts w:ascii="標楷體" w:eastAsia="標楷體" w:hAnsi="標楷體"/>
          <w:szCs w:val="28"/>
        </w:rPr>
        <w:t>氨甲醯基</w:t>
      </w:r>
      <w:proofErr w:type="gramEnd"/>
      <w:r>
        <w:rPr>
          <w:rFonts w:ascii="標楷體" w:eastAsia="標楷體" w:hAnsi="標楷體"/>
          <w:szCs w:val="28"/>
        </w:rPr>
        <w:t xml:space="preserve">轉移酶(ornithine </w:t>
      </w:r>
      <w:proofErr w:type="spellStart"/>
      <w:r>
        <w:rPr>
          <w:rFonts w:ascii="標楷體" w:eastAsia="標楷體" w:hAnsi="標楷體"/>
          <w:szCs w:val="28"/>
        </w:rPr>
        <w:t>carbamoyltransferase,OTC</w:t>
      </w:r>
      <w:proofErr w:type="spellEnd"/>
      <w:r>
        <w:rPr>
          <w:rFonts w:ascii="標楷體" w:eastAsia="標楷體" w:hAnsi="標楷體"/>
          <w:szCs w:val="28"/>
        </w:rPr>
        <w:t>)缺乏症、</w:t>
      </w:r>
      <w:proofErr w:type="spellStart"/>
      <w:r>
        <w:rPr>
          <w:rFonts w:ascii="標楷體" w:eastAsia="標楷體" w:hAnsi="標楷體"/>
          <w:szCs w:val="28"/>
        </w:rPr>
        <w:t>argininosuccinate</w:t>
      </w:r>
      <w:proofErr w:type="spellEnd"/>
      <w:r>
        <w:rPr>
          <w:rFonts w:ascii="標楷體" w:eastAsia="標楷體" w:hAnsi="標楷體"/>
          <w:szCs w:val="28"/>
        </w:rPr>
        <w:t xml:space="preserve"> synthetase(ASS)缺乏症、</w:t>
      </w:r>
      <w:proofErr w:type="spellStart"/>
      <w:r>
        <w:rPr>
          <w:rFonts w:ascii="標楷體" w:eastAsia="標楷體" w:hAnsi="標楷體"/>
          <w:szCs w:val="28"/>
        </w:rPr>
        <w:t>argininosuccinate</w:t>
      </w:r>
      <w:proofErr w:type="spellEnd"/>
      <w:r>
        <w:rPr>
          <w:rFonts w:ascii="標楷體" w:eastAsia="標楷體" w:hAnsi="標楷體"/>
          <w:szCs w:val="28"/>
        </w:rPr>
        <w:t xml:space="preserve"> lyase(ASL)缺乏症、arginase (ARG) I 缺乏症和ornithine translocase缺失引起之高鳥胺酸血症-高氨血症-高瓜胺酸血症症候群(</w:t>
      </w:r>
      <w:proofErr w:type="spellStart"/>
      <w:r>
        <w:rPr>
          <w:rFonts w:ascii="標楷體" w:eastAsia="標楷體" w:hAnsi="標楷體"/>
          <w:szCs w:val="28"/>
        </w:rPr>
        <w:t>hyperornithinaemia-hyperammonaemia</w:t>
      </w:r>
      <w:proofErr w:type="spellEnd"/>
      <w:r>
        <w:rPr>
          <w:rFonts w:ascii="標楷體" w:eastAsia="標楷體" w:hAnsi="標楷體"/>
          <w:szCs w:val="28"/>
        </w:rPr>
        <w:t xml:space="preserve"> </w:t>
      </w:r>
      <w:proofErr w:type="spellStart"/>
      <w:r>
        <w:rPr>
          <w:rFonts w:ascii="標楷體" w:eastAsia="標楷體" w:hAnsi="標楷體"/>
          <w:szCs w:val="28"/>
        </w:rPr>
        <w:t>homocitrullinuria</w:t>
      </w:r>
      <w:proofErr w:type="spellEnd"/>
      <w:r>
        <w:rPr>
          <w:rFonts w:ascii="標楷體" w:eastAsia="標楷體" w:hAnsi="標楷體"/>
          <w:szCs w:val="28"/>
        </w:rPr>
        <w:t xml:space="preserve"> </w:t>
      </w:r>
      <w:proofErr w:type="spellStart"/>
      <w:r>
        <w:rPr>
          <w:rFonts w:ascii="標楷體" w:eastAsia="標楷體" w:hAnsi="標楷體"/>
          <w:szCs w:val="28"/>
        </w:rPr>
        <w:t>syndrome,HHH</w:t>
      </w:r>
      <w:proofErr w:type="spellEnd"/>
      <w:r>
        <w:rPr>
          <w:rFonts w:ascii="標楷體" w:eastAsia="標楷體" w:hAnsi="標楷體"/>
          <w:szCs w:val="28"/>
        </w:rPr>
        <w:t>)。</w:t>
      </w:r>
    </w:p>
    <w:p w14:paraId="3A5256E7"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2.使用限制：</w:t>
      </w:r>
    </w:p>
    <w:p w14:paraId="03DCBE14"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 xml:space="preserve">(1)服用本藥品時，必須限制飲食中的蛋白質，某些情況下還應添加膳食補充劑(例如必需氨基酸、精氨酸[arginine]、瓜氨酸[citrulline]、無蛋白熱量補充劑)。 </w:t>
      </w:r>
    </w:p>
    <w:p w14:paraId="4674B6CB"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(2)本藥品不得使用於急性</w:t>
      </w:r>
      <w:proofErr w:type="gramStart"/>
      <w:r>
        <w:rPr>
          <w:rFonts w:ascii="標楷體" w:eastAsia="標楷體" w:hAnsi="標楷體"/>
          <w:szCs w:val="28"/>
        </w:rPr>
        <w:t>高氨血症</w:t>
      </w:r>
      <w:proofErr w:type="gramEnd"/>
      <w:r>
        <w:rPr>
          <w:rFonts w:ascii="標楷體" w:eastAsia="標楷體" w:hAnsi="標楷體"/>
          <w:szCs w:val="28"/>
        </w:rPr>
        <w:t>(acute hyperammonemia)之控制。</w:t>
      </w:r>
    </w:p>
    <w:p w14:paraId="06956610"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(3)需經事前審查核准使用。</w:t>
      </w:r>
    </w:p>
    <w:p w14:paraId="2C791EE6"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3.用藥後，若病情惡化即須停止使用。</w:t>
      </w:r>
    </w:p>
    <w:p w14:paraId="3DA3220A" w14:textId="77777777" w:rsidR="002144EC" w:rsidRDefault="002144EC" w:rsidP="002144EC">
      <w:pPr>
        <w:snapToGrid w:val="0"/>
        <w:spacing w:line="300" w:lineRule="exact"/>
        <w:ind w:left="400" w:hanging="280"/>
        <w:rPr>
          <w:rFonts w:ascii="標楷體" w:eastAsia="標楷體" w:hAnsi="標楷體"/>
          <w:szCs w:val="28"/>
        </w:rPr>
      </w:pPr>
      <w:r>
        <w:rPr>
          <w:rFonts w:ascii="標楷體" w:eastAsia="標楷體" w:hAnsi="標楷體"/>
          <w:szCs w:val="28"/>
        </w:rPr>
        <w:t>3.3.31.Givosiran(如</w:t>
      </w:r>
      <w:proofErr w:type="spellStart"/>
      <w:r>
        <w:rPr>
          <w:rFonts w:ascii="標楷體" w:eastAsia="標楷體" w:hAnsi="標楷體"/>
          <w:szCs w:val="28"/>
        </w:rPr>
        <w:t>Givlaari</w:t>
      </w:r>
      <w:proofErr w:type="spellEnd"/>
      <w:r>
        <w:rPr>
          <w:rFonts w:ascii="標楷體" w:eastAsia="標楷體" w:hAnsi="標楷體"/>
          <w:szCs w:val="28"/>
        </w:rPr>
        <w:t>)：(114/1/1)</w:t>
      </w:r>
    </w:p>
    <w:p w14:paraId="365DB439"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1.限用於確診為衛生福利部國民</w:t>
      </w:r>
      <w:proofErr w:type="gramStart"/>
      <w:r>
        <w:rPr>
          <w:rFonts w:ascii="標楷體" w:eastAsia="標楷體" w:hAnsi="標楷體"/>
          <w:szCs w:val="28"/>
        </w:rPr>
        <w:t>健康署</w:t>
      </w:r>
      <w:proofErr w:type="gramEnd"/>
      <w:r>
        <w:rPr>
          <w:rFonts w:ascii="標楷體" w:eastAsia="標楷體" w:hAnsi="標楷體"/>
          <w:szCs w:val="28"/>
        </w:rPr>
        <w:t>認定之罕見疾病</w:t>
      </w:r>
      <w:proofErr w:type="gramStart"/>
      <w:r>
        <w:rPr>
          <w:rFonts w:ascii="標楷體" w:eastAsia="標楷體" w:hAnsi="標楷體"/>
          <w:szCs w:val="28"/>
        </w:rPr>
        <w:t>紫質症</w:t>
      </w:r>
      <w:proofErr w:type="gramEnd"/>
      <w:r>
        <w:rPr>
          <w:rFonts w:ascii="標楷體" w:eastAsia="標楷體" w:hAnsi="標楷體"/>
          <w:szCs w:val="28"/>
        </w:rPr>
        <w:t>(porphyria)中屬</w:t>
      </w:r>
      <w:proofErr w:type="gramStart"/>
      <w:r>
        <w:rPr>
          <w:rFonts w:ascii="標楷體" w:eastAsia="標楷體" w:hAnsi="標楷體"/>
          <w:szCs w:val="28"/>
        </w:rPr>
        <w:t>急性肝紫質症</w:t>
      </w:r>
      <w:proofErr w:type="gramEnd"/>
      <w:r>
        <w:rPr>
          <w:rFonts w:ascii="標楷體" w:eastAsia="標楷體" w:hAnsi="標楷體"/>
          <w:szCs w:val="28"/>
        </w:rPr>
        <w:t>(acute hepatic porphyria, AHP)[如：急性間歇</w:t>
      </w:r>
      <w:proofErr w:type="gramStart"/>
      <w:r>
        <w:rPr>
          <w:rFonts w:ascii="標楷體" w:eastAsia="標楷體" w:hAnsi="標楷體"/>
          <w:szCs w:val="28"/>
        </w:rPr>
        <w:t>性紫質症</w:t>
      </w:r>
      <w:proofErr w:type="gramEnd"/>
      <w:r>
        <w:rPr>
          <w:rFonts w:ascii="標楷體" w:eastAsia="標楷體" w:hAnsi="標楷體"/>
          <w:szCs w:val="28"/>
        </w:rPr>
        <w:t>(AIP)、遺傳性</w:t>
      </w:r>
      <w:proofErr w:type="gramStart"/>
      <w:r>
        <w:rPr>
          <w:rFonts w:ascii="標楷體" w:eastAsia="標楷體" w:hAnsi="標楷體"/>
          <w:szCs w:val="28"/>
        </w:rPr>
        <w:t>紫質症</w:t>
      </w:r>
      <w:proofErr w:type="gramEnd"/>
      <w:r>
        <w:rPr>
          <w:rFonts w:ascii="標楷體" w:eastAsia="標楷體" w:hAnsi="標楷體"/>
          <w:szCs w:val="28"/>
        </w:rPr>
        <w:t>(HCP)、異位</w:t>
      </w:r>
      <w:proofErr w:type="gramStart"/>
      <w:r>
        <w:rPr>
          <w:rFonts w:ascii="標楷體" w:eastAsia="標楷體" w:hAnsi="標楷體"/>
          <w:szCs w:val="28"/>
        </w:rPr>
        <w:t>型紫質症</w:t>
      </w:r>
      <w:proofErr w:type="gramEnd"/>
      <w:r>
        <w:rPr>
          <w:rFonts w:ascii="標楷體" w:eastAsia="標楷體" w:hAnsi="標楷體"/>
          <w:szCs w:val="28"/>
        </w:rPr>
        <w:t>(VP)、ALAD缺乏</w:t>
      </w:r>
      <w:proofErr w:type="gramStart"/>
      <w:r>
        <w:rPr>
          <w:rFonts w:ascii="標楷體" w:eastAsia="標楷體" w:hAnsi="標楷體"/>
          <w:szCs w:val="28"/>
        </w:rPr>
        <w:t>紫質症</w:t>
      </w:r>
      <w:proofErr w:type="gramEnd"/>
      <w:r>
        <w:rPr>
          <w:rFonts w:ascii="標楷體" w:eastAsia="標楷體" w:hAnsi="標楷體"/>
          <w:szCs w:val="28"/>
        </w:rPr>
        <w:t>(ADP)]，且符合下列全部條件者：</w:t>
      </w:r>
    </w:p>
    <w:p w14:paraId="43D7B956"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(1)年滿18歲以上。</w:t>
      </w:r>
    </w:p>
    <w:p w14:paraId="45EDEEC9"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(2)具HMBS(PBGD)、ALAD、CPOX、PPOX致病基因變異者(需檢附基因診斷報告)。</w:t>
      </w:r>
    </w:p>
    <w:p w14:paraId="53EE66FD"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(3)經過適當醫療處置2年後，仍於申請本藥品前1年內，發生4次(含)以上急性發作，急性發作時需急診或住院治療，且使用靜脈</w:t>
      </w:r>
      <w:proofErr w:type="gramStart"/>
      <w:r>
        <w:rPr>
          <w:rFonts w:ascii="標楷體" w:eastAsia="標楷體" w:hAnsi="標楷體"/>
          <w:szCs w:val="28"/>
        </w:rPr>
        <w:t>輸注血基質</w:t>
      </w:r>
      <w:proofErr w:type="gramEnd"/>
      <w:r>
        <w:rPr>
          <w:rFonts w:ascii="標楷體" w:eastAsia="標楷體" w:hAnsi="標楷體"/>
          <w:szCs w:val="28"/>
        </w:rPr>
        <w:t xml:space="preserve">藥品(hemin)治療反應不佳或耐受性不良(intolerance)或無效者。 </w:t>
      </w:r>
    </w:p>
    <w:p w14:paraId="7BF1ED2B"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(4)過去1年內尿液檢查曾經偵測出高量(大於等於正常值之4倍以上)的胺</w:t>
      </w:r>
      <w:proofErr w:type="gramStart"/>
      <w:r>
        <w:rPr>
          <w:rFonts w:ascii="標楷體" w:eastAsia="標楷體" w:hAnsi="標楷體"/>
          <w:szCs w:val="28"/>
        </w:rPr>
        <w:t>基酮戊酸</w:t>
      </w:r>
      <w:proofErr w:type="gramEnd"/>
      <w:r>
        <w:rPr>
          <w:rFonts w:ascii="標楷體" w:eastAsia="標楷體" w:hAnsi="標楷體"/>
          <w:szCs w:val="28"/>
        </w:rPr>
        <w:t>(</w:t>
      </w:r>
      <w:proofErr w:type="spellStart"/>
      <w:r>
        <w:rPr>
          <w:rFonts w:ascii="標楷體" w:eastAsia="標楷體" w:hAnsi="標楷體"/>
          <w:szCs w:val="28"/>
        </w:rPr>
        <w:t>aminolevulinic</w:t>
      </w:r>
      <w:proofErr w:type="spellEnd"/>
      <w:r>
        <w:rPr>
          <w:rFonts w:ascii="標楷體" w:eastAsia="標楷體" w:hAnsi="標楷體"/>
          <w:szCs w:val="28"/>
        </w:rPr>
        <w:t xml:space="preserve"> acid, ALA)</w:t>
      </w:r>
      <w:proofErr w:type="gramStart"/>
      <w:r>
        <w:rPr>
          <w:rFonts w:ascii="標楷體" w:eastAsia="標楷體" w:hAnsi="標楷體"/>
          <w:szCs w:val="28"/>
        </w:rPr>
        <w:t>與膽色素</w:t>
      </w:r>
      <w:proofErr w:type="gramEnd"/>
      <w:r>
        <w:rPr>
          <w:rFonts w:ascii="標楷體" w:eastAsia="標楷體" w:hAnsi="標楷體"/>
          <w:szCs w:val="28"/>
        </w:rPr>
        <w:t>原(porphobilinogen, PBG)(需檢附實驗室檢查報告)。</w:t>
      </w:r>
    </w:p>
    <w:p w14:paraId="0B249518"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備註：</w:t>
      </w:r>
    </w:p>
    <w:p w14:paraId="1578609C"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I.反應不佳定義：使用hemin治療後，每年平均發作次數仍大於4次，且每次發作都需連續使用hemin。</w:t>
      </w:r>
    </w:p>
    <w:p w14:paraId="461EFE90"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II.耐受性不良定義：使用hemin後，造成與hemin相關之嚴重且具有臨床顯著意義，會限制生活、</w:t>
      </w:r>
      <w:proofErr w:type="gramStart"/>
      <w:r>
        <w:rPr>
          <w:rFonts w:ascii="標楷體" w:eastAsia="標楷體" w:hAnsi="標楷體"/>
          <w:szCs w:val="28"/>
        </w:rPr>
        <w:t>對健康有立</w:t>
      </w:r>
      <w:proofErr w:type="gramEnd"/>
      <w:r>
        <w:rPr>
          <w:rFonts w:ascii="標楷體" w:eastAsia="標楷體" w:hAnsi="標楷體"/>
          <w:szCs w:val="28"/>
        </w:rPr>
        <w:t>即或長期影響，或必須住院或延長住院處理的不良反應，例如：反覆人工血管</w:t>
      </w:r>
      <w:proofErr w:type="gramStart"/>
      <w:r>
        <w:rPr>
          <w:rFonts w:ascii="標楷體" w:eastAsia="標楷體" w:hAnsi="標楷體"/>
          <w:szCs w:val="28"/>
        </w:rPr>
        <w:t>感染或菌血</w:t>
      </w:r>
      <w:proofErr w:type="gramEnd"/>
      <w:r>
        <w:rPr>
          <w:rFonts w:ascii="標楷體" w:eastAsia="標楷體" w:hAnsi="標楷體"/>
          <w:szCs w:val="28"/>
        </w:rPr>
        <w:t>症、敗血症、其他感染、鐵質</w:t>
      </w:r>
      <w:proofErr w:type="gramStart"/>
      <w:r>
        <w:rPr>
          <w:rFonts w:ascii="標楷體" w:eastAsia="標楷體" w:hAnsi="標楷體"/>
          <w:szCs w:val="28"/>
        </w:rPr>
        <w:t>沉</w:t>
      </w:r>
      <w:proofErr w:type="gramEnd"/>
      <w:r>
        <w:rPr>
          <w:rFonts w:ascii="標楷體" w:eastAsia="標楷體" w:hAnsi="標楷體"/>
          <w:szCs w:val="28"/>
        </w:rPr>
        <w:t>積、靜脈炎等。</w:t>
      </w:r>
    </w:p>
    <w:p w14:paraId="2E18B580"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(5)無任</w:t>
      </w:r>
      <w:proofErr w:type="gramStart"/>
      <w:r>
        <w:rPr>
          <w:rFonts w:ascii="標楷體" w:eastAsia="標楷體" w:hAnsi="標楷體"/>
          <w:szCs w:val="28"/>
        </w:rPr>
        <w:t>一</w:t>
      </w:r>
      <w:proofErr w:type="gramEnd"/>
      <w:r>
        <w:rPr>
          <w:rFonts w:ascii="標楷體" w:eastAsia="標楷體" w:hAnsi="標楷體"/>
          <w:szCs w:val="28"/>
        </w:rPr>
        <w:t>下列情形：</w:t>
      </w:r>
    </w:p>
    <w:p w14:paraId="04F7CB84"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I.曾</w:t>
      </w:r>
      <w:proofErr w:type="gramStart"/>
      <w:r>
        <w:rPr>
          <w:rFonts w:ascii="標楷體" w:eastAsia="標楷體" w:hAnsi="標楷體"/>
          <w:szCs w:val="28"/>
        </w:rPr>
        <w:t>接受過肝移植</w:t>
      </w:r>
      <w:proofErr w:type="gramEnd"/>
      <w:r>
        <w:rPr>
          <w:rFonts w:ascii="標楷體" w:eastAsia="標楷體" w:hAnsi="標楷體"/>
          <w:szCs w:val="28"/>
        </w:rPr>
        <w:t>患者。</w:t>
      </w:r>
    </w:p>
    <w:p w14:paraId="31473C87"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II.病人合併有其他嚴重疾病，無法從本藥品治療得到長期效益。</w:t>
      </w:r>
    </w:p>
    <w:p w14:paraId="14E9DC04"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III.病人無生活自理能力。</w:t>
      </w:r>
    </w:p>
    <w:p w14:paraId="6AAA382D"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2.限由神經內科、血液科、肝膽腸胃科、遺傳科醫師處方。</w:t>
      </w:r>
    </w:p>
    <w:p w14:paraId="1F3A156E"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3.治療中有輕微不良反應(如轉胺酶或血清肌酸酐升高)而暫停使用者，得於狀況排除後使用。</w:t>
      </w:r>
    </w:p>
    <w:p w14:paraId="1254D2D6"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4.需經事前審查核准後使用，每次申請以1年為限，期滿需再次申請並經核准後始得續用：</w:t>
      </w:r>
    </w:p>
    <w:p w14:paraId="5B292638"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lastRenderedPageBreak/>
        <w:t>(1)送審時應檢附病歷紀錄及原始治療醫囑單、治療紀錄單且載明hemin使用劑量、發作症狀、次數及嚴重程度及對hemin耐受性不良或無效之證明。</w:t>
      </w:r>
    </w:p>
    <w:p w14:paraId="54AC2150"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(2)治療目標：相較於治療前，治療後胺</w:t>
      </w:r>
      <w:proofErr w:type="gramStart"/>
      <w:r>
        <w:rPr>
          <w:rFonts w:ascii="標楷體" w:eastAsia="標楷體" w:hAnsi="標楷體"/>
          <w:szCs w:val="28"/>
        </w:rPr>
        <w:t>基酮戊酸</w:t>
      </w:r>
      <w:proofErr w:type="gramEnd"/>
      <w:r>
        <w:rPr>
          <w:rFonts w:ascii="標楷體" w:eastAsia="標楷體" w:hAnsi="標楷體"/>
          <w:szCs w:val="28"/>
        </w:rPr>
        <w:t>(ALA)、膽色素原(PBG)及年發作率(急性發作次數)下降需達50%。</w:t>
      </w:r>
    </w:p>
    <w:p w14:paraId="6A86D446"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(3)申請續用者：</w:t>
      </w:r>
    </w:p>
    <w:p w14:paraId="518A75F1"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I.需達治療目標及檢附至少3次療效評估項目資料，方可續用。</w:t>
      </w:r>
    </w:p>
    <w:p w14:paraId="47DB89B3" w14:textId="77777777" w:rsidR="002144EC" w:rsidRDefault="002144EC" w:rsidP="002144EC">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II.經第1年治療後未達治療目標者，可續申請1次(共6個月)之藥物，不受治療目標之限制。</w:t>
      </w:r>
    </w:p>
    <w:p w14:paraId="4C3E6820"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5.療效評估項目(每3個月評估一次)：</w:t>
      </w:r>
    </w:p>
    <w:p w14:paraId="112D7423"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(1)臨床症狀及徵兆的病歷紀錄(含發作次數)。</w:t>
      </w:r>
    </w:p>
    <w:p w14:paraId="17CD1465"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(2)胺</w:t>
      </w:r>
      <w:proofErr w:type="gramStart"/>
      <w:r>
        <w:rPr>
          <w:rFonts w:ascii="標楷體" w:eastAsia="標楷體" w:hAnsi="標楷體"/>
          <w:szCs w:val="28"/>
        </w:rPr>
        <w:t>基酮戊酸</w:t>
      </w:r>
      <w:proofErr w:type="gramEnd"/>
      <w:r>
        <w:rPr>
          <w:rFonts w:ascii="標楷體" w:eastAsia="標楷體" w:hAnsi="標楷體"/>
          <w:szCs w:val="28"/>
        </w:rPr>
        <w:t>(ALA)</w:t>
      </w:r>
      <w:proofErr w:type="gramStart"/>
      <w:r>
        <w:rPr>
          <w:rFonts w:ascii="標楷體" w:eastAsia="標楷體" w:hAnsi="標楷體"/>
          <w:szCs w:val="28"/>
        </w:rPr>
        <w:t>與膽色素</w:t>
      </w:r>
      <w:proofErr w:type="gramEnd"/>
      <w:r>
        <w:rPr>
          <w:rFonts w:ascii="標楷體" w:eastAsia="標楷體" w:hAnsi="標楷體"/>
          <w:szCs w:val="28"/>
        </w:rPr>
        <w:t>原(PBG)實驗室檢查報告。</w:t>
      </w:r>
    </w:p>
    <w:p w14:paraId="31942A94"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(3)轉氨酶、血清肌酸酐、血中半同胱胺酸(此3項初始使用需每個月追蹤檢查，至少3個月)。</w:t>
      </w:r>
    </w:p>
    <w:p w14:paraId="1C3238F9"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6.停藥條件：</w:t>
      </w:r>
    </w:p>
    <w:p w14:paraId="4DC06DB1"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(1)發生藥物不良反應，懷孕或出現仿單禁忌症之病人，應立即停止以本藥品治療。</w:t>
      </w:r>
    </w:p>
    <w:p w14:paraId="6A3CF2D8"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(2)治療18個月後，以用藥前1年為基準未達治療目標者。</w:t>
      </w:r>
    </w:p>
    <w:p w14:paraId="3F3D369D" w14:textId="77777777" w:rsidR="002144EC" w:rsidRDefault="002144EC" w:rsidP="002144EC">
      <w:pPr>
        <w:autoSpaceDE w:val="0"/>
        <w:spacing w:line="300" w:lineRule="exact"/>
        <w:ind w:left="1000" w:hanging="280"/>
        <w:rPr>
          <w:rFonts w:ascii="標楷體" w:eastAsia="標楷體" w:hAnsi="標楷體"/>
          <w:szCs w:val="28"/>
        </w:rPr>
      </w:pPr>
      <w:r>
        <w:rPr>
          <w:rFonts w:ascii="標楷體" w:eastAsia="標楷體" w:hAnsi="標楷體"/>
          <w:szCs w:val="28"/>
        </w:rPr>
        <w:t>(3)停經後持續治療18個月且無急性發作者。</w:t>
      </w:r>
    </w:p>
    <w:p w14:paraId="2A64FF53"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7.本藥品不可合併使用human hemin預防性治療(prophylactic hemin)。</w:t>
      </w:r>
    </w:p>
    <w:p w14:paraId="7FA3E844" w14:textId="77777777" w:rsidR="002144EC" w:rsidRDefault="002144EC" w:rsidP="002144EC">
      <w:pPr>
        <w:autoSpaceDE w:val="0"/>
        <w:spacing w:line="300" w:lineRule="exact"/>
        <w:ind w:left="873" w:hanging="283"/>
        <w:rPr>
          <w:rFonts w:ascii="標楷體" w:eastAsia="標楷體" w:hAnsi="標楷體"/>
          <w:szCs w:val="28"/>
        </w:rPr>
      </w:pPr>
      <w:r>
        <w:rPr>
          <w:rFonts w:ascii="標楷體" w:eastAsia="標楷體" w:hAnsi="標楷體"/>
          <w:szCs w:val="28"/>
        </w:rPr>
        <w:t>8.使用3年後未再發作或大幅改善可先暫停用藥，得視病情需要重新申請使用。</w:t>
      </w:r>
    </w:p>
    <w:p w14:paraId="4E128618" w14:textId="77777777" w:rsidR="002144EC" w:rsidRPr="00F97969" w:rsidRDefault="002144EC" w:rsidP="002144EC">
      <w:pPr>
        <w:widowControl/>
        <w:suppressAutoHyphens w:val="0"/>
        <w:autoSpaceDN/>
        <w:snapToGrid w:val="0"/>
        <w:spacing w:line="300" w:lineRule="exact"/>
        <w:ind w:leftChars="-59" w:hangingChars="59" w:hanging="142"/>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 xml:space="preserve">3.3.32. </w:t>
      </w:r>
      <w:proofErr w:type="spellStart"/>
      <w:r w:rsidRPr="00F97969">
        <w:rPr>
          <w:rFonts w:ascii="標楷體" w:eastAsia="標楷體" w:hAnsi="標楷體" w:cs="新細明體" w:hint="eastAsia"/>
          <w:kern w:val="0"/>
          <w:szCs w:val="24"/>
        </w:rPr>
        <w:t>Maralixibat</w:t>
      </w:r>
      <w:proofErr w:type="spellEnd"/>
      <w:r w:rsidRPr="00F97969">
        <w:rPr>
          <w:rFonts w:ascii="標楷體" w:eastAsia="標楷體" w:hAnsi="標楷體" w:cs="新細明體" w:hint="eastAsia"/>
          <w:kern w:val="0"/>
          <w:szCs w:val="24"/>
        </w:rPr>
        <w:t xml:space="preserve"> chloride（如 </w:t>
      </w:r>
      <w:proofErr w:type="spellStart"/>
      <w:r w:rsidRPr="00F97969">
        <w:rPr>
          <w:rFonts w:ascii="標楷體" w:eastAsia="標楷體" w:hAnsi="標楷體" w:cs="新細明體" w:hint="eastAsia"/>
          <w:kern w:val="0"/>
          <w:szCs w:val="24"/>
        </w:rPr>
        <w:t>Livmarli</w:t>
      </w:r>
      <w:proofErr w:type="spellEnd"/>
      <w:r w:rsidRPr="00F97969">
        <w:rPr>
          <w:rFonts w:ascii="標楷體" w:eastAsia="標楷體" w:hAnsi="標楷體" w:cs="新細明體" w:hint="eastAsia"/>
          <w:kern w:val="0"/>
          <w:szCs w:val="24"/>
        </w:rPr>
        <w:t>）：(115/9/1)</w:t>
      </w:r>
    </w:p>
    <w:p w14:paraId="37AF1744" w14:textId="77777777" w:rsidR="002144EC" w:rsidRPr="00F97969" w:rsidRDefault="002144EC" w:rsidP="002144EC">
      <w:pPr>
        <w:widowControl/>
        <w:numPr>
          <w:ilvl w:val="0"/>
          <w:numId w:val="211"/>
        </w:numPr>
        <w:suppressAutoHyphens w:val="0"/>
        <w:autoSpaceDN/>
        <w:snapToGrid w:val="0"/>
        <w:spacing w:line="300" w:lineRule="exact"/>
        <w:ind w:left="284" w:hanging="338"/>
        <w:jc w:val="both"/>
        <w:textAlignment w:val="auto"/>
        <w:rPr>
          <w:rFonts w:ascii="標楷體" w:eastAsia="標楷體" w:hAnsi="標楷體" w:cs="新細明體"/>
          <w:kern w:val="0"/>
          <w:szCs w:val="24"/>
        </w:rPr>
      </w:pPr>
      <w:r w:rsidRPr="00F97969">
        <w:rPr>
          <w:rFonts w:ascii="標楷體" w:eastAsia="標楷體" w:hAnsi="標楷體" w:cs="新細明體"/>
          <w:kern w:val="0"/>
          <w:szCs w:val="24"/>
        </w:rPr>
        <w:t>限用於</w:t>
      </w:r>
    </w:p>
    <w:p w14:paraId="531C6FA8" w14:textId="77777777" w:rsidR="002144EC" w:rsidRPr="00F97969" w:rsidRDefault="002144EC" w:rsidP="002144EC">
      <w:pPr>
        <w:widowControl/>
        <w:numPr>
          <w:ilvl w:val="1"/>
          <w:numId w:val="211"/>
        </w:numPr>
        <w:suppressAutoHyphens w:val="0"/>
        <w:autoSpaceDN/>
        <w:snapToGrid w:val="0"/>
        <w:spacing w:line="300" w:lineRule="exact"/>
        <w:ind w:left="624" w:hanging="454"/>
        <w:jc w:val="both"/>
        <w:textAlignment w:val="auto"/>
        <w:rPr>
          <w:rFonts w:ascii="標楷體" w:eastAsia="標楷體" w:hAnsi="標楷體" w:cs="新細明體"/>
          <w:kern w:val="0"/>
          <w:szCs w:val="24"/>
        </w:rPr>
      </w:pPr>
      <w:r w:rsidRPr="00F97969">
        <w:rPr>
          <w:rFonts w:ascii="標楷體" w:eastAsia="標楷體" w:hAnsi="標楷體" w:cs="新細明體"/>
          <w:kern w:val="0"/>
          <w:szCs w:val="24"/>
        </w:rPr>
        <w:t>經衛生福利部國民</w:t>
      </w:r>
      <w:proofErr w:type="gramStart"/>
      <w:r w:rsidRPr="00F97969">
        <w:rPr>
          <w:rFonts w:ascii="標楷體" w:eastAsia="標楷體" w:hAnsi="標楷體" w:cs="新細明體"/>
          <w:kern w:val="0"/>
          <w:szCs w:val="24"/>
        </w:rPr>
        <w:t>健康署</w:t>
      </w:r>
      <w:proofErr w:type="gramEnd"/>
      <w:r w:rsidRPr="00F97969">
        <w:rPr>
          <w:rFonts w:ascii="標楷體" w:eastAsia="標楷體" w:hAnsi="標楷體" w:cs="新細明體"/>
          <w:kern w:val="0"/>
          <w:szCs w:val="24"/>
        </w:rPr>
        <w:t>認定之治療年齡1歲以上之進行性</w:t>
      </w:r>
      <w:proofErr w:type="gramStart"/>
      <w:r w:rsidRPr="00F97969">
        <w:rPr>
          <w:rFonts w:ascii="標楷體" w:eastAsia="標楷體" w:hAnsi="標楷體" w:cs="新細明體"/>
          <w:kern w:val="0"/>
          <w:szCs w:val="24"/>
        </w:rPr>
        <w:t>家族性肝內</w:t>
      </w:r>
      <w:proofErr w:type="gramEnd"/>
      <w:r w:rsidRPr="00F97969">
        <w:rPr>
          <w:rFonts w:ascii="標楷體" w:eastAsia="標楷體" w:hAnsi="標楷體" w:cs="新細明體"/>
          <w:kern w:val="0"/>
          <w:szCs w:val="24"/>
        </w:rPr>
        <w:t>膽汁滯留症(PFIC)病人。</w:t>
      </w:r>
    </w:p>
    <w:p w14:paraId="04F465B6" w14:textId="77777777" w:rsidR="002144EC" w:rsidRPr="00F97969" w:rsidRDefault="002144EC" w:rsidP="002144EC">
      <w:pPr>
        <w:widowControl/>
        <w:numPr>
          <w:ilvl w:val="1"/>
          <w:numId w:val="211"/>
        </w:numPr>
        <w:suppressAutoHyphens w:val="0"/>
        <w:autoSpaceDN/>
        <w:snapToGrid w:val="0"/>
        <w:spacing w:line="300" w:lineRule="exact"/>
        <w:ind w:left="624" w:hanging="454"/>
        <w:jc w:val="both"/>
        <w:textAlignment w:val="auto"/>
        <w:rPr>
          <w:rFonts w:ascii="標楷體" w:eastAsia="標楷體" w:hAnsi="標楷體" w:cs="新細明體"/>
          <w:kern w:val="0"/>
          <w:szCs w:val="24"/>
        </w:rPr>
      </w:pPr>
      <w:r w:rsidRPr="00F97969">
        <w:rPr>
          <w:rFonts w:ascii="標楷體" w:eastAsia="標楷體" w:hAnsi="標楷體" w:cs="新細明體"/>
          <w:kern w:val="0"/>
          <w:szCs w:val="24"/>
        </w:rPr>
        <w:t>經衛生福利部國民</w:t>
      </w:r>
      <w:proofErr w:type="gramStart"/>
      <w:r w:rsidRPr="00F97969">
        <w:rPr>
          <w:rFonts w:ascii="標楷體" w:eastAsia="標楷體" w:hAnsi="標楷體" w:cs="新細明體"/>
          <w:kern w:val="0"/>
          <w:szCs w:val="24"/>
        </w:rPr>
        <w:t>健康署</w:t>
      </w:r>
      <w:proofErr w:type="gramEnd"/>
      <w:r w:rsidRPr="00F97969">
        <w:rPr>
          <w:rFonts w:ascii="標楷體" w:eastAsia="標楷體" w:hAnsi="標楷體" w:cs="新細明體"/>
          <w:kern w:val="0"/>
          <w:szCs w:val="24"/>
        </w:rPr>
        <w:t>認定之治療年齡1歲以上之阿拉吉歐症候群(ALGS)病人。</w:t>
      </w:r>
    </w:p>
    <w:p w14:paraId="2EEEBD40" w14:textId="77777777" w:rsidR="002144EC" w:rsidRPr="00F97969" w:rsidRDefault="002144EC" w:rsidP="002144EC">
      <w:pPr>
        <w:widowControl/>
        <w:numPr>
          <w:ilvl w:val="0"/>
          <w:numId w:val="211"/>
        </w:numPr>
        <w:suppressAutoHyphens w:val="0"/>
        <w:autoSpaceDN/>
        <w:snapToGrid w:val="0"/>
        <w:spacing w:line="300" w:lineRule="exact"/>
        <w:ind w:left="284" w:hanging="338"/>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需</w:t>
      </w:r>
      <w:r w:rsidRPr="00F97969">
        <w:rPr>
          <w:rFonts w:ascii="標楷體" w:eastAsia="標楷體" w:hAnsi="標楷體" w:cs="新細明體"/>
          <w:kern w:val="0"/>
          <w:szCs w:val="24"/>
        </w:rPr>
        <w:t>經事前審查核准後使用</w:t>
      </w:r>
      <w:r w:rsidRPr="00F97969">
        <w:rPr>
          <w:rFonts w:ascii="標楷體" w:eastAsia="標楷體" w:hAnsi="標楷體" w:cs="新細明體" w:hint="eastAsia"/>
          <w:kern w:val="0"/>
          <w:szCs w:val="24"/>
        </w:rPr>
        <w:t>：</w:t>
      </w:r>
    </w:p>
    <w:p w14:paraId="17DF1AB1" w14:textId="77777777" w:rsidR="002144EC" w:rsidRPr="00F97969" w:rsidRDefault="002144EC" w:rsidP="002144EC">
      <w:pPr>
        <w:widowControl/>
        <w:numPr>
          <w:ilvl w:val="1"/>
          <w:numId w:val="211"/>
        </w:numPr>
        <w:suppressAutoHyphens w:val="0"/>
        <w:autoSpaceDN/>
        <w:snapToGrid w:val="0"/>
        <w:spacing w:line="300" w:lineRule="exact"/>
        <w:ind w:left="604" w:hanging="425"/>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每次</w:t>
      </w:r>
      <w:r w:rsidRPr="00F97969">
        <w:rPr>
          <w:rFonts w:ascii="標楷體" w:eastAsia="標楷體" w:hAnsi="標楷體" w:cs="新細明體" w:hint="eastAsia"/>
          <w:bCs/>
          <w:kern w:val="0"/>
          <w:szCs w:val="24"/>
        </w:rPr>
        <w:t>申</w:t>
      </w:r>
      <w:r w:rsidRPr="00F97969">
        <w:rPr>
          <w:rFonts w:ascii="標楷體" w:eastAsia="標楷體" w:hAnsi="標楷體" w:cs="新細明體" w:hint="eastAsia"/>
          <w:kern w:val="0"/>
          <w:szCs w:val="24"/>
        </w:rPr>
        <w:t>請以6個月為限。</w:t>
      </w:r>
    </w:p>
    <w:p w14:paraId="650FB4FE" w14:textId="77777777" w:rsidR="002144EC" w:rsidRPr="00F97969" w:rsidRDefault="002144EC" w:rsidP="002144EC">
      <w:pPr>
        <w:widowControl/>
        <w:numPr>
          <w:ilvl w:val="1"/>
          <w:numId w:val="211"/>
        </w:numPr>
        <w:suppressAutoHyphens w:val="0"/>
        <w:autoSpaceDN/>
        <w:snapToGrid w:val="0"/>
        <w:spacing w:line="300" w:lineRule="exact"/>
        <w:ind w:left="604" w:hanging="425"/>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初次申請時須完全符合以下條件：</w:t>
      </w:r>
    </w:p>
    <w:p w14:paraId="269F530F" w14:textId="77777777" w:rsidR="002144EC" w:rsidRPr="00F97969" w:rsidRDefault="002144EC" w:rsidP="002144EC">
      <w:pPr>
        <w:widowControl/>
        <w:numPr>
          <w:ilvl w:val="2"/>
          <w:numId w:val="211"/>
        </w:numPr>
        <w:suppressAutoHyphens w:val="0"/>
        <w:autoSpaceDN/>
        <w:snapToGrid w:val="0"/>
        <w:spacing w:line="300" w:lineRule="exact"/>
        <w:ind w:left="766" w:hanging="445"/>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經醫學中心兒科專科醫師且領有兒科</w:t>
      </w:r>
      <w:proofErr w:type="gramStart"/>
      <w:r w:rsidRPr="00F97969">
        <w:rPr>
          <w:rFonts w:ascii="標楷體" w:eastAsia="標楷體" w:hAnsi="標楷體" w:cs="新細明體" w:hint="eastAsia"/>
          <w:kern w:val="0"/>
          <w:szCs w:val="24"/>
        </w:rPr>
        <w:t>消化學次專科</w:t>
      </w:r>
      <w:proofErr w:type="gramEnd"/>
      <w:r w:rsidRPr="00F97969">
        <w:rPr>
          <w:rFonts w:ascii="標楷體" w:eastAsia="標楷體" w:hAnsi="標楷體" w:cs="新細明體" w:hint="eastAsia"/>
          <w:kern w:val="0"/>
          <w:szCs w:val="24"/>
        </w:rPr>
        <w:t>醫師證書者評估需接受肝臟移植治療但尚無法取得</w:t>
      </w:r>
      <w:proofErr w:type="gramStart"/>
      <w:r w:rsidRPr="00F97969">
        <w:rPr>
          <w:rFonts w:ascii="標楷體" w:eastAsia="標楷體" w:hAnsi="標楷體" w:cs="新細明體" w:hint="eastAsia"/>
          <w:kern w:val="0"/>
          <w:szCs w:val="24"/>
        </w:rPr>
        <w:t>肝源者</w:t>
      </w:r>
      <w:proofErr w:type="gramEnd"/>
      <w:r w:rsidRPr="00F97969">
        <w:rPr>
          <w:rFonts w:ascii="標楷體" w:eastAsia="標楷體" w:hAnsi="標楷體" w:cs="新細明體" w:hint="eastAsia"/>
          <w:kern w:val="0"/>
          <w:szCs w:val="24"/>
        </w:rPr>
        <w:t>，且出現下列任</w:t>
      </w:r>
      <w:proofErr w:type="gramStart"/>
      <w:r w:rsidRPr="00F97969">
        <w:rPr>
          <w:rFonts w:ascii="標楷體" w:eastAsia="標楷體" w:hAnsi="標楷體" w:cs="新細明體" w:hint="eastAsia"/>
          <w:kern w:val="0"/>
          <w:szCs w:val="24"/>
        </w:rPr>
        <w:t>一</w:t>
      </w:r>
      <w:proofErr w:type="gramEnd"/>
      <w:r w:rsidRPr="00F97969">
        <w:rPr>
          <w:rFonts w:ascii="標楷體" w:eastAsia="標楷體" w:hAnsi="標楷體" w:cs="新細明體" w:hint="eastAsia"/>
          <w:kern w:val="0"/>
          <w:szCs w:val="24"/>
        </w:rPr>
        <w:t>臨床症狀：</w:t>
      </w:r>
    </w:p>
    <w:p w14:paraId="494237AC" w14:textId="77777777" w:rsidR="002144EC" w:rsidRPr="00F97969" w:rsidRDefault="002144EC" w:rsidP="002144EC">
      <w:pPr>
        <w:widowControl/>
        <w:numPr>
          <w:ilvl w:val="0"/>
          <w:numId w:val="212"/>
        </w:numPr>
        <w:suppressAutoHyphens w:val="0"/>
        <w:autoSpaceDN/>
        <w:snapToGrid w:val="0"/>
        <w:spacing w:line="300" w:lineRule="exact"/>
        <w:ind w:left="1134" w:firstLine="0"/>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經內外科處置1個月後，仍有灰白色糞便表現。</w:t>
      </w:r>
    </w:p>
    <w:p w14:paraId="0C5E976E" w14:textId="77777777" w:rsidR="002144EC" w:rsidRPr="00F97969" w:rsidRDefault="002144EC" w:rsidP="002144EC">
      <w:pPr>
        <w:widowControl/>
        <w:numPr>
          <w:ilvl w:val="0"/>
          <w:numId w:val="212"/>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F97969">
        <w:rPr>
          <w:rFonts w:ascii="標楷體" w:eastAsia="標楷體" w:hAnsi="標楷體" w:cs="新細明體" w:hint="eastAsia"/>
          <w:kern w:val="0"/>
          <w:szCs w:val="24"/>
        </w:rPr>
        <w:t>顯著肝</w:t>
      </w:r>
      <w:proofErr w:type="gramEnd"/>
      <w:r w:rsidRPr="00F97969">
        <w:rPr>
          <w:rFonts w:ascii="標楷體" w:eastAsia="標楷體" w:hAnsi="標楷體" w:cs="新細明體" w:hint="eastAsia"/>
          <w:kern w:val="0"/>
          <w:szCs w:val="24"/>
        </w:rPr>
        <w:t>門脈高壓、肝臟纖維化(如腹部超音波、電腦</w:t>
      </w:r>
      <w:proofErr w:type="gramStart"/>
      <w:r w:rsidRPr="00F97969">
        <w:rPr>
          <w:rFonts w:ascii="標楷體" w:eastAsia="標楷體" w:hAnsi="標楷體" w:cs="新細明體" w:hint="eastAsia"/>
          <w:kern w:val="0"/>
          <w:szCs w:val="24"/>
        </w:rPr>
        <w:t>斷層或磁振</w:t>
      </w:r>
      <w:proofErr w:type="gramEnd"/>
      <w:r w:rsidRPr="00F97969">
        <w:rPr>
          <w:rFonts w:ascii="標楷體" w:eastAsia="標楷體" w:hAnsi="標楷體" w:cs="新細明體" w:hint="eastAsia"/>
          <w:kern w:val="0"/>
          <w:szCs w:val="24"/>
        </w:rPr>
        <w:t>攝影等檢測顯示脾臟腫大，腹水，胃食道靜脈瘤，</w:t>
      </w:r>
      <w:proofErr w:type="spellStart"/>
      <w:r w:rsidRPr="00F97969">
        <w:rPr>
          <w:rFonts w:ascii="標楷體" w:eastAsia="標楷體" w:hAnsi="標楷體" w:cs="新細明體" w:hint="eastAsia"/>
          <w:kern w:val="0"/>
          <w:szCs w:val="24"/>
        </w:rPr>
        <w:t>Fibroscan</w:t>
      </w:r>
      <w:proofErr w:type="spellEnd"/>
      <w:r w:rsidRPr="00F97969">
        <w:rPr>
          <w:rFonts w:ascii="標楷體" w:eastAsia="標楷體" w:hAnsi="標楷體" w:cs="新細明體" w:hint="eastAsia"/>
          <w:kern w:val="0"/>
          <w:szCs w:val="24"/>
        </w:rPr>
        <w:t xml:space="preserve"> &gt; 7 kPa，APRI score &gt;0.5等其中之一)。</w:t>
      </w:r>
    </w:p>
    <w:p w14:paraId="23E4178D" w14:textId="77777777" w:rsidR="002144EC" w:rsidRPr="00F97969" w:rsidRDefault="002144EC" w:rsidP="002144EC">
      <w:pPr>
        <w:widowControl/>
        <w:numPr>
          <w:ilvl w:val="0"/>
          <w:numId w:val="212"/>
        </w:numPr>
        <w:suppressAutoHyphens w:val="0"/>
        <w:autoSpaceDN/>
        <w:snapToGrid w:val="0"/>
        <w:spacing w:line="300" w:lineRule="exact"/>
        <w:ind w:left="1134" w:firstLine="0"/>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凝血障礙</w:t>
      </w:r>
      <w:r w:rsidRPr="00F97969">
        <w:rPr>
          <w:rFonts w:ascii="標楷體" w:eastAsia="標楷體" w:hAnsi="標楷體" w:cs="新細明體"/>
          <w:kern w:val="0"/>
          <w:szCs w:val="24"/>
        </w:rPr>
        <w:t>(PT</w:t>
      </w:r>
      <w:r w:rsidRPr="00F97969">
        <w:rPr>
          <w:rFonts w:ascii="標楷體" w:eastAsia="標楷體" w:hAnsi="標楷體" w:cs="新細明體" w:hint="eastAsia"/>
          <w:kern w:val="0"/>
          <w:szCs w:val="24"/>
        </w:rPr>
        <w:t>延長</w:t>
      </w:r>
      <w:r w:rsidRPr="00F97969">
        <w:rPr>
          <w:rFonts w:ascii="標楷體" w:eastAsia="標楷體" w:hAnsi="標楷體" w:cs="新細明體"/>
          <w:kern w:val="0"/>
          <w:szCs w:val="24"/>
        </w:rPr>
        <w:t xml:space="preserve"> </w:t>
      </w:r>
      <w:r w:rsidRPr="00F97969">
        <w:rPr>
          <w:rFonts w:ascii="Times New Roman" w:eastAsia="標楷體" w:hAnsi="Times New Roman"/>
          <w:kern w:val="0"/>
          <w:szCs w:val="24"/>
        </w:rPr>
        <w:t>≥</w:t>
      </w:r>
      <w:r w:rsidRPr="00F97969">
        <w:rPr>
          <w:rFonts w:ascii="標楷體" w:eastAsia="標楷體" w:hAnsi="標楷體" w:cs="新細明體"/>
          <w:kern w:val="0"/>
          <w:szCs w:val="24"/>
        </w:rPr>
        <w:t xml:space="preserve"> 1.2)</w:t>
      </w:r>
      <w:r w:rsidRPr="00F97969">
        <w:rPr>
          <w:rFonts w:ascii="標楷體" w:eastAsia="標楷體" w:hAnsi="標楷體" w:cs="新細明體" w:hint="eastAsia"/>
          <w:kern w:val="0"/>
          <w:szCs w:val="24"/>
        </w:rPr>
        <w:t>。</w:t>
      </w:r>
    </w:p>
    <w:p w14:paraId="006845BB" w14:textId="77777777" w:rsidR="002144EC" w:rsidRPr="00F97969" w:rsidRDefault="002144EC" w:rsidP="002144EC">
      <w:pPr>
        <w:widowControl/>
        <w:numPr>
          <w:ilvl w:val="0"/>
          <w:numId w:val="212"/>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F97969">
        <w:rPr>
          <w:rFonts w:ascii="標楷體" w:eastAsia="標楷體" w:hAnsi="標楷體" w:cs="新細明體" w:hint="eastAsia"/>
          <w:kern w:val="0"/>
          <w:szCs w:val="24"/>
        </w:rPr>
        <w:t>肝肺症候群</w:t>
      </w:r>
      <w:proofErr w:type="gramEnd"/>
      <w:r w:rsidRPr="00F97969">
        <w:rPr>
          <w:rFonts w:ascii="標楷體" w:eastAsia="標楷體" w:hAnsi="標楷體" w:cs="新細明體" w:hint="eastAsia"/>
          <w:kern w:val="0"/>
          <w:szCs w:val="24"/>
        </w:rPr>
        <w:t>。</w:t>
      </w:r>
    </w:p>
    <w:p w14:paraId="3B47D1AE" w14:textId="77777777" w:rsidR="002144EC" w:rsidRPr="00F97969" w:rsidRDefault="002144EC" w:rsidP="002144EC">
      <w:pPr>
        <w:widowControl/>
        <w:numPr>
          <w:ilvl w:val="0"/>
          <w:numId w:val="212"/>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F97969">
        <w:rPr>
          <w:rFonts w:ascii="標楷體" w:eastAsia="標楷體" w:hAnsi="標楷體" w:cs="新細明體"/>
          <w:kern w:val="0"/>
          <w:szCs w:val="24"/>
        </w:rPr>
        <w:t>肺門脈</w:t>
      </w:r>
      <w:proofErr w:type="gramEnd"/>
      <w:r w:rsidRPr="00F97969">
        <w:rPr>
          <w:rFonts w:ascii="標楷體" w:eastAsia="標楷體" w:hAnsi="標楷體" w:cs="新細明體"/>
          <w:kern w:val="0"/>
          <w:szCs w:val="24"/>
        </w:rPr>
        <w:t>高壓</w:t>
      </w:r>
      <w:r w:rsidRPr="00F97969">
        <w:rPr>
          <w:rFonts w:ascii="標楷體" w:eastAsia="標楷體" w:hAnsi="標楷體" w:cs="新細明體" w:hint="eastAsia"/>
          <w:kern w:val="0"/>
          <w:szCs w:val="24"/>
        </w:rPr>
        <w:t>。</w:t>
      </w:r>
    </w:p>
    <w:p w14:paraId="4D43C346" w14:textId="77777777" w:rsidR="002144EC" w:rsidRPr="00F97969" w:rsidRDefault="002144EC" w:rsidP="002144EC">
      <w:pPr>
        <w:widowControl/>
        <w:numPr>
          <w:ilvl w:val="0"/>
          <w:numId w:val="212"/>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F97969">
        <w:rPr>
          <w:rFonts w:ascii="標楷體" w:eastAsia="標楷體" w:hAnsi="標楷體" w:cs="新細明體" w:hint="eastAsia"/>
          <w:kern w:val="0"/>
          <w:szCs w:val="24"/>
        </w:rPr>
        <w:t>高氨血症</w:t>
      </w:r>
      <w:proofErr w:type="gramEnd"/>
      <w:r w:rsidRPr="00F97969">
        <w:rPr>
          <w:rFonts w:ascii="標楷體" w:eastAsia="標楷體" w:hAnsi="標楷體" w:cs="新細明體" w:hint="eastAsia"/>
          <w:kern w:val="0"/>
          <w:szCs w:val="24"/>
        </w:rPr>
        <w:t>。</w:t>
      </w:r>
    </w:p>
    <w:p w14:paraId="3BA72C19" w14:textId="77777777" w:rsidR="002144EC" w:rsidRPr="00F97969" w:rsidRDefault="002144EC" w:rsidP="002144EC">
      <w:pPr>
        <w:widowControl/>
        <w:numPr>
          <w:ilvl w:val="0"/>
          <w:numId w:val="212"/>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F97969">
        <w:rPr>
          <w:rFonts w:ascii="標楷體" w:eastAsia="標楷體" w:hAnsi="標楷體" w:cs="新細明體" w:hint="eastAsia"/>
          <w:kern w:val="0"/>
          <w:szCs w:val="24"/>
        </w:rPr>
        <w:t>肝腦症候群</w:t>
      </w:r>
      <w:proofErr w:type="gramEnd"/>
      <w:r w:rsidRPr="00F97969">
        <w:rPr>
          <w:rFonts w:ascii="標楷體" w:eastAsia="標楷體" w:hAnsi="標楷體" w:cs="新細明體" w:hint="eastAsia"/>
          <w:kern w:val="0"/>
          <w:szCs w:val="24"/>
        </w:rPr>
        <w:t>。</w:t>
      </w:r>
    </w:p>
    <w:p w14:paraId="1753827E" w14:textId="77777777" w:rsidR="002144EC" w:rsidRPr="00F97969" w:rsidRDefault="002144EC" w:rsidP="002144EC">
      <w:pPr>
        <w:widowControl/>
        <w:numPr>
          <w:ilvl w:val="2"/>
          <w:numId w:val="211"/>
        </w:numPr>
        <w:suppressAutoHyphens w:val="0"/>
        <w:autoSpaceDN/>
        <w:snapToGrid w:val="0"/>
        <w:spacing w:line="300" w:lineRule="exact"/>
        <w:ind w:left="766" w:hanging="482"/>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符合下列任</w:t>
      </w:r>
      <w:proofErr w:type="gramStart"/>
      <w:r w:rsidRPr="00F97969">
        <w:rPr>
          <w:rFonts w:ascii="標楷體" w:eastAsia="標楷體" w:hAnsi="標楷體" w:cs="新細明體" w:hint="eastAsia"/>
          <w:kern w:val="0"/>
          <w:szCs w:val="24"/>
        </w:rPr>
        <w:t>一</w:t>
      </w:r>
      <w:proofErr w:type="gramEnd"/>
      <w:r w:rsidRPr="00F97969">
        <w:rPr>
          <w:rFonts w:ascii="標楷體" w:eastAsia="標楷體" w:hAnsi="標楷體" w:cs="新細明體" w:hint="eastAsia"/>
          <w:kern w:val="0"/>
          <w:szCs w:val="24"/>
        </w:rPr>
        <w:t>診斷條件：</w:t>
      </w:r>
    </w:p>
    <w:p w14:paraId="79C1D338" w14:textId="77777777" w:rsidR="002144EC" w:rsidRPr="00F97969" w:rsidRDefault="002144EC" w:rsidP="002144EC">
      <w:pPr>
        <w:widowControl/>
        <w:numPr>
          <w:ilvl w:val="0"/>
          <w:numId w:val="210"/>
        </w:numPr>
        <w:suppressAutoHyphens w:val="0"/>
        <w:autoSpaceDN/>
        <w:snapToGrid w:val="0"/>
        <w:spacing w:line="300" w:lineRule="exact"/>
        <w:ind w:left="993" w:firstLine="0"/>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治療前血清膽汁酸</w:t>
      </w:r>
      <w:r w:rsidRPr="00F97969">
        <w:rPr>
          <w:rFonts w:ascii="標楷體" w:eastAsia="標楷體" w:hAnsi="標楷體" w:cs="新細明體"/>
          <w:kern w:val="0"/>
          <w:szCs w:val="24"/>
        </w:rPr>
        <w:t>(</w:t>
      </w:r>
      <w:proofErr w:type="spellStart"/>
      <w:r w:rsidRPr="00F97969">
        <w:rPr>
          <w:rFonts w:ascii="標楷體" w:eastAsia="標楷體" w:hAnsi="標楷體" w:cs="新細明體"/>
          <w:kern w:val="0"/>
          <w:szCs w:val="24"/>
        </w:rPr>
        <w:t>sBA</w:t>
      </w:r>
      <w:proofErr w:type="spellEnd"/>
      <w:r w:rsidRPr="00F97969">
        <w:rPr>
          <w:rFonts w:ascii="標楷體" w:eastAsia="標楷體" w:hAnsi="標楷體" w:cs="新細明體"/>
          <w:kern w:val="0"/>
          <w:szCs w:val="24"/>
        </w:rPr>
        <w:t>)</w:t>
      </w:r>
      <w:r w:rsidRPr="00F97969">
        <w:rPr>
          <w:rFonts w:ascii="標楷體" w:eastAsia="標楷體" w:hAnsi="標楷體" w:cs="新細明體" w:hint="eastAsia"/>
          <w:kern w:val="0"/>
          <w:szCs w:val="24"/>
        </w:rPr>
        <w:t>檢測</w:t>
      </w:r>
      <w:r w:rsidRPr="00F97969">
        <w:rPr>
          <w:rFonts w:ascii="Times New Roman" w:eastAsia="標楷體" w:hAnsi="Times New Roman"/>
          <w:kern w:val="0"/>
          <w:szCs w:val="24"/>
        </w:rPr>
        <w:t>≥</w:t>
      </w:r>
      <w:r w:rsidRPr="00F97969">
        <w:rPr>
          <w:rFonts w:ascii="標楷體" w:eastAsia="標楷體" w:hAnsi="標楷體" w:cs="新細明體"/>
          <w:kern w:val="0"/>
          <w:szCs w:val="24"/>
        </w:rPr>
        <w:t xml:space="preserve">100 </w:t>
      </w:r>
      <w:r w:rsidRPr="00F97969">
        <w:rPr>
          <w:rFonts w:ascii="標楷體" w:eastAsia="標楷體" w:hAnsi="標楷體" w:cs="標楷體" w:hint="eastAsia"/>
          <w:kern w:val="0"/>
          <w:szCs w:val="24"/>
        </w:rPr>
        <w:t>μ</w:t>
      </w:r>
      <w:r w:rsidRPr="00F97969">
        <w:rPr>
          <w:rFonts w:ascii="標楷體" w:eastAsia="標楷體" w:hAnsi="標楷體" w:cs="新細明體"/>
          <w:kern w:val="0"/>
          <w:szCs w:val="24"/>
        </w:rPr>
        <w:t>mol/L</w:t>
      </w:r>
      <w:r w:rsidRPr="00F97969">
        <w:rPr>
          <w:rFonts w:ascii="標楷體" w:eastAsia="標楷體" w:hAnsi="標楷體" w:cs="新細明體" w:hint="eastAsia"/>
          <w:kern w:val="0"/>
          <w:szCs w:val="24"/>
        </w:rPr>
        <w:t>。</w:t>
      </w:r>
    </w:p>
    <w:p w14:paraId="1BD0F512" w14:textId="77777777" w:rsidR="002144EC" w:rsidRPr="00F97969" w:rsidRDefault="002144EC" w:rsidP="002144EC">
      <w:pPr>
        <w:widowControl/>
        <w:numPr>
          <w:ilvl w:val="0"/>
          <w:numId w:val="210"/>
        </w:numPr>
        <w:suppressAutoHyphens w:val="0"/>
        <w:autoSpaceDN/>
        <w:snapToGrid w:val="0"/>
        <w:spacing w:line="300" w:lineRule="exact"/>
        <w:ind w:left="993" w:firstLine="0"/>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治療前</w:t>
      </w:r>
      <w:r w:rsidRPr="00F97969">
        <w:rPr>
          <w:rFonts w:ascii="標楷體" w:eastAsia="標楷體" w:hAnsi="標楷體" w:cs="新細明體"/>
          <w:bCs/>
          <w:kern w:val="0"/>
          <w:szCs w:val="24"/>
        </w:rPr>
        <w:t>CSS</w:t>
      </w:r>
      <w:r w:rsidRPr="00F97969">
        <w:rPr>
          <w:rFonts w:ascii="標楷體" w:eastAsia="標楷體" w:hAnsi="標楷體" w:cs="新細明體" w:hint="eastAsia"/>
          <w:kern w:val="0"/>
          <w:szCs w:val="24"/>
        </w:rPr>
        <w:t>評估膽汁淤積搔癢之分數</w:t>
      </w:r>
      <w:r w:rsidRPr="00F97969">
        <w:rPr>
          <w:rFonts w:ascii="Times New Roman" w:eastAsia="標楷體" w:hAnsi="Times New Roman"/>
          <w:kern w:val="0"/>
          <w:szCs w:val="24"/>
        </w:rPr>
        <w:t>≥</w:t>
      </w:r>
      <w:r w:rsidRPr="00F97969">
        <w:rPr>
          <w:rFonts w:ascii="標楷體" w:eastAsia="標楷體" w:hAnsi="標楷體" w:cs="新細明體" w:hint="eastAsia"/>
          <w:kern w:val="0"/>
          <w:szCs w:val="24"/>
        </w:rPr>
        <w:t>3分。</w:t>
      </w:r>
    </w:p>
    <w:p w14:paraId="3A567268" w14:textId="77777777" w:rsidR="002144EC" w:rsidRPr="00F97969" w:rsidRDefault="002144EC" w:rsidP="002144EC">
      <w:pPr>
        <w:widowControl/>
        <w:numPr>
          <w:ilvl w:val="1"/>
          <w:numId w:val="211"/>
        </w:numPr>
        <w:suppressAutoHyphens w:val="0"/>
        <w:autoSpaceDN/>
        <w:snapToGrid w:val="0"/>
        <w:spacing w:line="300" w:lineRule="exact"/>
        <w:ind w:leftChars="50" w:left="545" w:hanging="425"/>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續用申請時須符合下列任</w:t>
      </w:r>
      <w:proofErr w:type="gramStart"/>
      <w:r w:rsidRPr="00F97969">
        <w:rPr>
          <w:rFonts w:ascii="標楷體" w:eastAsia="標楷體" w:hAnsi="標楷體" w:cs="新細明體" w:hint="eastAsia"/>
          <w:kern w:val="0"/>
          <w:szCs w:val="24"/>
        </w:rPr>
        <w:t>一</w:t>
      </w:r>
      <w:proofErr w:type="gramEnd"/>
      <w:r w:rsidRPr="00F97969">
        <w:rPr>
          <w:rFonts w:ascii="標楷體" w:eastAsia="標楷體" w:hAnsi="標楷體" w:cs="新細明體" w:hint="eastAsia"/>
          <w:kern w:val="0"/>
          <w:szCs w:val="24"/>
        </w:rPr>
        <w:t>診斷條件：</w:t>
      </w:r>
    </w:p>
    <w:p w14:paraId="216FC278" w14:textId="77777777" w:rsidR="002144EC" w:rsidRPr="00F97969" w:rsidRDefault="002144EC" w:rsidP="002144EC">
      <w:pPr>
        <w:widowControl/>
        <w:numPr>
          <w:ilvl w:val="2"/>
          <w:numId w:val="211"/>
        </w:numPr>
        <w:suppressAutoHyphens w:val="0"/>
        <w:autoSpaceDN/>
        <w:snapToGrid w:val="0"/>
        <w:spacing w:line="300" w:lineRule="exact"/>
        <w:ind w:left="766" w:hanging="340"/>
        <w:jc w:val="both"/>
        <w:textAlignment w:val="auto"/>
        <w:rPr>
          <w:rFonts w:ascii="標楷體" w:eastAsia="標楷體" w:hAnsi="標楷體" w:cs="新細明體"/>
          <w:kern w:val="0"/>
          <w:szCs w:val="24"/>
        </w:rPr>
      </w:pPr>
      <w:r w:rsidRPr="00F97969">
        <w:rPr>
          <w:rFonts w:ascii="標楷體" w:eastAsia="標楷體" w:hAnsi="標楷體" w:cs="新細明體" w:hint="eastAsia"/>
          <w:kern w:val="0"/>
          <w:szCs w:val="24"/>
        </w:rPr>
        <w:t>血清膽汁酸</w:t>
      </w:r>
      <w:r w:rsidRPr="00F97969">
        <w:rPr>
          <w:rFonts w:ascii="標楷體" w:eastAsia="標楷體" w:hAnsi="標楷體" w:cs="新細明體"/>
          <w:kern w:val="0"/>
          <w:szCs w:val="24"/>
        </w:rPr>
        <w:t>(</w:t>
      </w:r>
      <w:proofErr w:type="spellStart"/>
      <w:r w:rsidRPr="00F97969">
        <w:rPr>
          <w:rFonts w:ascii="標楷體" w:eastAsia="標楷體" w:hAnsi="標楷體" w:cs="新細明體"/>
          <w:kern w:val="0"/>
          <w:szCs w:val="24"/>
        </w:rPr>
        <w:t>sBA</w:t>
      </w:r>
      <w:proofErr w:type="spellEnd"/>
      <w:r w:rsidRPr="00F97969">
        <w:rPr>
          <w:rFonts w:ascii="標楷體" w:eastAsia="標楷體" w:hAnsi="標楷體" w:cs="新細明體"/>
          <w:kern w:val="0"/>
          <w:szCs w:val="24"/>
        </w:rPr>
        <w:t>)</w:t>
      </w:r>
      <w:r w:rsidRPr="00F97969">
        <w:rPr>
          <w:rFonts w:ascii="標楷體" w:eastAsia="標楷體" w:hAnsi="標楷體" w:cs="新細明體" w:hint="eastAsia"/>
          <w:kern w:val="0"/>
          <w:szCs w:val="24"/>
        </w:rPr>
        <w:t>：較</w:t>
      </w:r>
      <w:proofErr w:type="gramStart"/>
      <w:r w:rsidRPr="00F97969">
        <w:rPr>
          <w:rFonts w:ascii="標楷體" w:eastAsia="標楷體" w:hAnsi="標楷體" w:cs="新細明體" w:hint="eastAsia"/>
          <w:kern w:val="0"/>
          <w:szCs w:val="24"/>
        </w:rPr>
        <w:t>治療前降幅</w:t>
      </w:r>
      <w:proofErr w:type="gramEnd"/>
      <w:r w:rsidRPr="00F97969">
        <w:rPr>
          <w:rFonts w:ascii="標楷體" w:eastAsia="標楷體" w:hAnsi="標楷體" w:cs="新細明體" w:hint="eastAsia"/>
          <w:kern w:val="0"/>
          <w:szCs w:val="24"/>
        </w:rPr>
        <w:t>達</w:t>
      </w:r>
      <w:r w:rsidRPr="00F97969">
        <w:rPr>
          <w:rFonts w:ascii="Times New Roman" w:eastAsia="標楷體" w:hAnsi="Times New Roman"/>
          <w:kern w:val="0"/>
          <w:szCs w:val="24"/>
        </w:rPr>
        <w:t>≥</w:t>
      </w:r>
      <w:r w:rsidRPr="00F97969">
        <w:rPr>
          <w:rFonts w:ascii="標楷體" w:eastAsia="標楷體" w:hAnsi="標楷體" w:cs="新細明體"/>
          <w:kern w:val="0"/>
          <w:szCs w:val="24"/>
        </w:rPr>
        <w:t>30%</w:t>
      </w:r>
      <w:r w:rsidRPr="00F97969">
        <w:rPr>
          <w:rFonts w:ascii="標楷體" w:eastAsia="標楷體" w:hAnsi="標楷體" w:cs="新細明體" w:hint="eastAsia"/>
          <w:kern w:val="0"/>
          <w:szCs w:val="24"/>
        </w:rPr>
        <w:t>或</w:t>
      </w:r>
      <w:r w:rsidRPr="00F97969">
        <w:rPr>
          <w:rFonts w:ascii="Times New Roman" w:eastAsia="標楷體" w:hAnsi="Times New Roman"/>
          <w:kern w:val="0"/>
          <w:szCs w:val="24"/>
        </w:rPr>
        <w:t>≤</w:t>
      </w:r>
      <w:r w:rsidRPr="00F97969">
        <w:rPr>
          <w:rFonts w:ascii="標楷體" w:eastAsia="標楷體" w:hAnsi="標楷體" w:cs="新細明體"/>
          <w:kern w:val="0"/>
          <w:szCs w:val="24"/>
        </w:rPr>
        <w:t>70</w:t>
      </w:r>
      <w:r w:rsidRPr="00F97969">
        <w:rPr>
          <w:rFonts w:ascii="標楷體" w:eastAsia="標楷體" w:hAnsi="標楷體" w:cs="新細明體" w:hint="eastAsia"/>
          <w:kern w:val="0"/>
          <w:szCs w:val="24"/>
        </w:rPr>
        <w:t>μmol/L。</w:t>
      </w:r>
    </w:p>
    <w:p w14:paraId="57844265" w14:textId="77777777" w:rsidR="002144EC" w:rsidRPr="00F97969" w:rsidRDefault="002144EC" w:rsidP="002144EC">
      <w:pPr>
        <w:widowControl/>
        <w:numPr>
          <w:ilvl w:val="2"/>
          <w:numId w:val="211"/>
        </w:numPr>
        <w:suppressAutoHyphens w:val="0"/>
        <w:autoSpaceDN/>
        <w:snapToGrid w:val="0"/>
        <w:spacing w:line="300" w:lineRule="exact"/>
        <w:ind w:left="709" w:hanging="425"/>
        <w:jc w:val="both"/>
        <w:textAlignment w:val="auto"/>
        <w:rPr>
          <w:rFonts w:ascii="標楷體" w:eastAsia="標楷體" w:hAnsi="標楷體" w:cs="新細明體"/>
          <w:kern w:val="0"/>
          <w:szCs w:val="24"/>
        </w:rPr>
      </w:pPr>
      <w:r w:rsidRPr="00F97969">
        <w:rPr>
          <w:rFonts w:ascii="標楷體" w:eastAsia="標楷體" w:hAnsi="標楷體" w:cs="新細明體"/>
          <w:bCs/>
          <w:kern w:val="0"/>
          <w:szCs w:val="24"/>
        </w:rPr>
        <w:t>CSS</w:t>
      </w:r>
      <w:r w:rsidRPr="00F97969">
        <w:rPr>
          <w:rFonts w:ascii="標楷體" w:eastAsia="標楷體" w:hAnsi="標楷體" w:cs="新細明體" w:hint="eastAsia"/>
          <w:bCs/>
          <w:kern w:val="0"/>
          <w:szCs w:val="24"/>
        </w:rPr>
        <w:t>工具評估</w:t>
      </w:r>
      <w:r w:rsidRPr="00F97969">
        <w:rPr>
          <w:rFonts w:ascii="標楷體" w:eastAsia="標楷體" w:hAnsi="標楷體" w:cs="新細明體" w:hint="eastAsia"/>
          <w:kern w:val="0"/>
          <w:szCs w:val="24"/>
        </w:rPr>
        <w:t>：膽汁淤積搔癢分數</w:t>
      </w:r>
      <w:r w:rsidRPr="00F97969">
        <w:rPr>
          <w:rFonts w:ascii="Times New Roman" w:eastAsia="標楷體" w:hAnsi="Times New Roman"/>
          <w:kern w:val="0"/>
          <w:szCs w:val="24"/>
        </w:rPr>
        <w:t>≤</w:t>
      </w:r>
      <w:r w:rsidRPr="00F97969">
        <w:rPr>
          <w:rFonts w:ascii="標楷體" w:eastAsia="標楷體" w:hAnsi="標楷體" w:cs="新細明體"/>
          <w:kern w:val="0"/>
          <w:szCs w:val="24"/>
        </w:rPr>
        <w:t>1</w:t>
      </w:r>
      <w:r w:rsidRPr="00F97969">
        <w:rPr>
          <w:rFonts w:ascii="標楷體" w:eastAsia="標楷體" w:hAnsi="標楷體" w:cs="新細明體" w:hint="eastAsia"/>
          <w:kern w:val="0"/>
          <w:szCs w:val="24"/>
        </w:rPr>
        <w:t>或比基準點改善達到</w:t>
      </w:r>
      <w:r w:rsidRPr="00F97969">
        <w:rPr>
          <w:rFonts w:ascii="Times New Roman" w:eastAsia="標楷體" w:hAnsi="Times New Roman"/>
          <w:kern w:val="0"/>
          <w:szCs w:val="24"/>
        </w:rPr>
        <w:t>≥</w:t>
      </w:r>
      <w:r w:rsidRPr="00F97969">
        <w:rPr>
          <w:rFonts w:ascii="標楷體" w:eastAsia="標楷體" w:hAnsi="標楷體" w:cs="新細明體"/>
          <w:kern w:val="0"/>
          <w:szCs w:val="24"/>
        </w:rPr>
        <w:t>1</w:t>
      </w:r>
      <w:r w:rsidRPr="00F97969">
        <w:rPr>
          <w:rFonts w:ascii="標楷體" w:eastAsia="標楷體" w:hAnsi="標楷體" w:cs="新細明體" w:hint="eastAsia"/>
          <w:kern w:val="0"/>
          <w:szCs w:val="24"/>
        </w:rPr>
        <w:t>分。</w:t>
      </w:r>
    </w:p>
    <w:p w14:paraId="07F3FD81" w14:textId="77777777" w:rsidR="002144EC" w:rsidRPr="00F97969" w:rsidRDefault="002144EC" w:rsidP="002144EC">
      <w:pPr>
        <w:widowControl/>
        <w:numPr>
          <w:ilvl w:val="0"/>
          <w:numId w:val="211"/>
        </w:numPr>
        <w:suppressAutoHyphens w:val="0"/>
        <w:autoSpaceDN/>
        <w:snapToGrid w:val="0"/>
        <w:spacing w:line="300" w:lineRule="exact"/>
        <w:ind w:left="284" w:hanging="338"/>
        <w:jc w:val="both"/>
        <w:textAlignment w:val="auto"/>
        <w:rPr>
          <w:rFonts w:ascii="標楷體" w:eastAsia="標楷體" w:hAnsi="標楷體" w:cs="新細明體"/>
          <w:kern w:val="0"/>
          <w:szCs w:val="24"/>
        </w:rPr>
      </w:pPr>
      <w:r w:rsidRPr="00F97969">
        <w:rPr>
          <w:rFonts w:ascii="標楷體" w:eastAsia="標楷體" w:hAnsi="標楷體" w:cs="新細明體"/>
          <w:kern w:val="0"/>
          <w:szCs w:val="24"/>
        </w:rPr>
        <w:t>限由</w:t>
      </w:r>
      <w:r w:rsidRPr="00F97969">
        <w:rPr>
          <w:rFonts w:ascii="標楷體" w:eastAsia="標楷體" w:hAnsi="標楷體" w:cs="新細明體" w:hint="eastAsia"/>
          <w:kern w:val="0"/>
          <w:szCs w:val="24"/>
        </w:rPr>
        <w:t>醫學中心兒科專科醫師且領有兒科</w:t>
      </w:r>
      <w:proofErr w:type="gramStart"/>
      <w:r w:rsidRPr="00F97969">
        <w:rPr>
          <w:rFonts w:ascii="標楷體" w:eastAsia="標楷體" w:hAnsi="標楷體" w:cs="新細明體" w:hint="eastAsia"/>
          <w:kern w:val="0"/>
          <w:szCs w:val="24"/>
        </w:rPr>
        <w:t>消化學次專科</w:t>
      </w:r>
      <w:proofErr w:type="gramEnd"/>
      <w:r w:rsidRPr="00F97969">
        <w:rPr>
          <w:rFonts w:ascii="標楷體" w:eastAsia="標楷體" w:hAnsi="標楷體" w:cs="新細明體" w:hint="eastAsia"/>
          <w:kern w:val="0"/>
          <w:szCs w:val="24"/>
        </w:rPr>
        <w:t>醫師證書者處方</w:t>
      </w:r>
      <w:r w:rsidRPr="00F97969">
        <w:rPr>
          <w:rFonts w:ascii="標楷體" w:eastAsia="標楷體" w:hAnsi="標楷體" w:cs="新細明體"/>
          <w:bCs/>
          <w:kern w:val="0"/>
          <w:szCs w:val="24"/>
        </w:rPr>
        <w:t>，並應於病歷詳實記載病程、確診之檢</w:t>
      </w:r>
      <w:r w:rsidRPr="00F97969">
        <w:rPr>
          <w:rFonts w:ascii="標楷體" w:eastAsia="標楷體" w:hAnsi="標楷體" w:cs="新細明體"/>
          <w:kern w:val="0"/>
          <w:szCs w:val="24"/>
        </w:rPr>
        <w:t>驗資料及治療反應。</w:t>
      </w:r>
    </w:p>
    <w:p w14:paraId="3650E50D" w14:textId="77777777" w:rsidR="002144EC" w:rsidRPr="00F97969" w:rsidRDefault="002144EC" w:rsidP="002144EC">
      <w:pPr>
        <w:widowControl/>
        <w:numPr>
          <w:ilvl w:val="0"/>
          <w:numId w:val="211"/>
        </w:numPr>
        <w:suppressAutoHyphens w:val="0"/>
        <w:autoSpaceDN/>
        <w:snapToGrid w:val="0"/>
        <w:spacing w:line="300" w:lineRule="exact"/>
        <w:ind w:left="284" w:hanging="338"/>
        <w:jc w:val="both"/>
        <w:textAlignment w:val="auto"/>
        <w:rPr>
          <w:rFonts w:ascii="標楷體" w:eastAsia="標楷體" w:hAnsi="標楷體" w:cs="新細明體"/>
          <w:bCs/>
          <w:kern w:val="0"/>
          <w:szCs w:val="24"/>
        </w:rPr>
      </w:pPr>
      <w:r w:rsidRPr="00F97969">
        <w:rPr>
          <w:rFonts w:ascii="標楷體" w:eastAsia="標楷體" w:hAnsi="標楷體" w:cs="新細明體" w:hint="eastAsia"/>
          <w:bCs/>
          <w:kern w:val="0"/>
          <w:szCs w:val="24"/>
        </w:rPr>
        <w:t>每人終生給付以2年為限。</w:t>
      </w:r>
      <w:r w:rsidRPr="00F97969">
        <w:rPr>
          <w:rFonts w:ascii="標楷體" w:eastAsia="標楷體" w:hAnsi="標楷體" w:hint="eastAsia"/>
          <w:kern w:val="0"/>
          <w:szCs w:val="24"/>
        </w:rPr>
        <w:t>倘病人用藥</w:t>
      </w:r>
      <w:r w:rsidRPr="00F97969">
        <w:rPr>
          <w:rFonts w:ascii="標楷體" w:eastAsia="標楷體" w:hAnsi="標楷體"/>
          <w:kern w:val="0"/>
          <w:szCs w:val="24"/>
        </w:rPr>
        <w:t>2</w:t>
      </w:r>
      <w:r w:rsidRPr="00F97969">
        <w:rPr>
          <w:rFonts w:ascii="標楷體" w:eastAsia="標楷體" w:hAnsi="標楷體" w:hint="eastAsia"/>
          <w:kern w:val="0"/>
          <w:szCs w:val="24"/>
        </w:rPr>
        <w:t>年間仍無法</w:t>
      </w:r>
      <w:proofErr w:type="gramStart"/>
      <w:r w:rsidRPr="00F97969">
        <w:rPr>
          <w:rFonts w:ascii="標楷體" w:eastAsia="標楷體" w:hAnsi="標楷體" w:hint="eastAsia"/>
          <w:kern w:val="0"/>
          <w:szCs w:val="24"/>
        </w:rPr>
        <w:t>取得肝源</w:t>
      </w:r>
      <w:proofErr w:type="gramEnd"/>
      <w:r w:rsidRPr="00F97969">
        <w:rPr>
          <w:rFonts w:ascii="標楷體" w:eastAsia="標楷體" w:hAnsi="標楷體" w:hint="eastAsia"/>
          <w:kern w:val="0"/>
          <w:szCs w:val="24"/>
        </w:rPr>
        <w:t>，需檢附證明文件(如無法</w:t>
      </w:r>
      <w:proofErr w:type="gramStart"/>
      <w:r w:rsidRPr="00F97969">
        <w:rPr>
          <w:rFonts w:ascii="標楷體" w:eastAsia="標楷體" w:hAnsi="標楷體" w:hint="eastAsia"/>
          <w:kern w:val="0"/>
          <w:szCs w:val="24"/>
        </w:rPr>
        <w:t>取得肝源之</w:t>
      </w:r>
      <w:proofErr w:type="gramEnd"/>
      <w:r w:rsidRPr="00F97969">
        <w:rPr>
          <w:rFonts w:ascii="標楷體" w:eastAsia="標楷體" w:hAnsi="標楷體" w:hint="eastAsia"/>
          <w:kern w:val="0"/>
          <w:szCs w:val="24"/>
        </w:rPr>
        <w:t>就醫紀錄)，得重新申請續用</w:t>
      </w:r>
      <w:r w:rsidRPr="00F97969">
        <w:rPr>
          <w:rFonts w:ascii="標楷體" w:eastAsia="標楷體" w:hAnsi="標楷體" w:cs="新細明體" w:hint="eastAsia"/>
          <w:kern w:val="0"/>
          <w:szCs w:val="24"/>
        </w:rPr>
        <w:t>。</w:t>
      </w:r>
    </w:p>
    <w:p w14:paraId="586FFD7C" w14:textId="77777777" w:rsidR="002144EC" w:rsidRPr="00F97969" w:rsidRDefault="002144EC" w:rsidP="002144EC">
      <w:pPr>
        <w:widowControl/>
        <w:numPr>
          <w:ilvl w:val="0"/>
          <w:numId w:val="211"/>
        </w:numPr>
        <w:suppressAutoHyphens w:val="0"/>
        <w:autoSpaceDN/>
        <w:snapToGrid w:val="0"/>
        <w:spacing w:line="300" w:lineRule="exact"/>
        <w:ind w:left="284" w:hanging="338"/>
        <w:jc w:val="both"/>
        <w:textAlignment w:val="auto"/>
        <w:rPr>
          <w:rFonts w:ascii="標楷體" w:eastAsia="標楷體" w:hAnsi="標楷體" w:cs="新細明體"/>
          <w:bCs/>
          <w:kern w:val="0"/>
          <w:szCs w:val="24"/>
        </w:rPr>
      </w:pPr>
      <w:r w:rsidRPr="00F97969">
        <w:rPr>
          <w:rFonts w:ascii="標楷體" w:eastAsia="標楷體" w:hAnsi="標楷體" w:cs="新細明體"/>
          <w:bCs/>
          <w:kern w:val="0"/>
          <w:szCs w:val="24"/>
        </w:rPr>
        <w:lastRenderedPageBreak/>
        <w:t>若用藥後病人已接受肝臟移植，則需停藥。</w:t>
      </w:r>
    </w:p>
    <w:p w14:paraId="5B5C6F1D" w14:textId="77777777" w:rsidR="002144EC" w:rsidRPr="00F97969" w:rsidRDefault="002144EC" w:rsidP="002144EC">
      <w:pPr>
        <w:widowControl/>
        <w:suppressAutoHyphens w:val="0"/>
        <w:autoSpaceDN/>
        <w:spacing w:line="300" w:lineRule="exact"/>
        <w:textAlignment w:val="auto"/>
        <w:rPr>
          <w:rFonts w:ascii="標楷體" w:eastAsia="標楷體" w:hAnsi="標楷體" w:cs="新細明體"/>
          <w:bCs/>
          <w:kern w:val="0"/>
          <w:szCs w:val="24"/>
        </w:rPr>
      </w:pPr>
      <w:r w:rsidRPr="00F97969">
        <w:rPr>
          <w:rFonts w:ascii="標楷體" w:eastAsia="標楷體" w:hAnsi="標楷體" w:cs="新細明體" w:hint="eastAsia"/>
          <w:bCs/>
          <w:kern w:val="0"/>
          <w:szCs w:val="24"/>
        </w:rPr>
        <w:t>◎附表三十九：全民健康保險阿拉吉歐症候群(ALGS)與進行性</w:t>
      </w:r>
      <w:proofErr w:type="gramStart"/>
      <w:r w:rsidRPr="00F97969">
        <w:rPr>
          <w:rFonts w:ascii="標楷體" w:eastAsia="標楷體" w:hAnsi="標楷體" w:cs="新細明體" w:hint="eastAsia"/>
          <w:bCs/>
          <w:kern w:val="0"/>
          <w:szCs w:val="24"/>
        </w:rPr>
        <w:t>家族性肝內</w:t>
      </w:r>
      <w:proofErr w:type="gramEnd"/>
      <w:r w:rsidRPr="00F97969">
        <w:rPr>
          <w:rFonts w:ascii="標楷體" w:eastAsia="標楷體" w:hAnsi="標楷體" w:cs="新細明體" w:hint="eastAsia"/>
          <w:bCs/>
          <w:kern w:val="0"/>
          <w:szCs w:val="24"/>
        </w:rPr>
        <w:t>膽汁滯留症(PFIC)使用</w:t>
      </w:r>
      <w:proofErr w:type="spellStart"/>
      <w:r w:rsidRPr="00F97969">
        <w:rPr>
          <w:rFonts w:ascii="標楷體" w:eastAsia="標楷體" w:hAnsi="標楷體" w:cs="新細明體" w:hint="eastAsia"/>
          <w:bCs/>
          <w:kern w:val="0"/>
          <w:szCs w:val="24"/>
        </w:rPr>
        <w:t>Livmarli</w:t>
      </w:r>
      <w:proofErr w:type="spellEnd"/>
      <w:r w:rsidRPr="00F97969">
        <w:rPr>
          <w:rFonts w:ascii="標楷體" w:eastAsia="標楷體" w:hAnsi="標楷體" w:cs="新細明體" w:hint="eastAsia"/>
          <w:bCs/>
          <w:kern w:val="0"/>
          <w:szCs w:val="24"/>
        </w:rPr>
        <w:t xml:space="preserve"> (</w:t>
      </w:r>
      <w:proofErr w:type="spellStart"/>
      <w:r w:rsidRPr="00F97969">
        <w:rPr>
          <w:rFonts w:ascii="標楷體" w:eastAsia="標楷體" w:hAnsi="標楷體" w:cs="新細明體" w:hint="eastAsia"/>
          <w:bCs/>
          <w:kern w:val="0"/>
          <w:szCs w:val="24"/>
        </w:rPr>
        <w:t>maralixibat</w:t>
      </w:r>
      <w:proofErr w:type="spellEnd"/>
      <w:r w:rsidRPr="00F97969">
        <w:rPr>
          <w:rFonts w:ascii="標楷體" w:eastAsia="標楷體" w:hAnsi="標楷體" w:cs="新細明體" w:hint="eastAsia"/>
          <w:bCs/>
          <w:kern w:val="0"/>
          <w:szCs w:val="24"/>
        </w:rPr>
        <w:t xml:space="preserve"> chloride)申請表</w:t>
      </w:r>
    </w:p>
    <w:p w14:paraId="041F890D" w14:textId="77777777" w:rsidR="002144EC" w:rsidRPr="00F97969" w:rsidRDefault="002144EC" w:rsidP="002144EC">
      <w:pPr>
        <w:snapToGrid w:val="0"/>
        <w:spacing w:line="300" w:lineRule="exact"/>
        <w:ind w:left="400" w:hanging="280"/>
      </w:pPr>
    </w:p>
    <w:p w14:paraId="48D95F36" w14:textId="77777777" w:rsidR="002144EC" w:rsidRDefault="002144EC" w:rsidP="002144EC">
      <w:pPr>
        <w:pageBreakBefore/>
        <w:autoSpaceDE w:val="0"/>
        <w:spacing w:line="300" w:lineRule="exact"/>
        <w:ind w:left="873" w:hanging="283"/>
      </w:pPr>
      <w:proofErr w:type="gramStart"/>
      <w:r>
        <w:rPr>
          <w:rFonts w:ascii="標楷體" w:eastAsia="標楷體" w:hAnsi="標楷體"/>
        </w:rPr>
        <w:lastRenderedPageBreak/>
        <w:t>法布瑞</w:t>
      </w:r>
      <w:proofErr w:type="gramEnd"/>
      <w:r>
        <w:rPr>
          <w:rFonts w:ascii="標楷體" w:eastAsia="標楷體" w:hAnsi="標楷體"/>
        </w:rPr>
        <w:t>氏症心臟變異型心臟功能評估指標表</w:t>
      </w:r>
    </w:p>
    <w:tbl>
      <w:tblPr>
        <w:tblW w:w="5000" w:type="pct"/>
        <w:tblCellMar>
          <w:left w:w="10" w:type="dxa"/>
          <w:right w:w="10" w:type="dxa"/>
        </w:tblCellMar>
        <w:tblLook w:val="0000" w:firstRow="0" w:lastRow="0" w:firstColumn="0" w:lastColumn="0" w:noHBand="0" w:noVBand="0"/>
      </w:tblPr>
      <w:tblGrid>
        <w:gridCol w:w="1168"/>
        <w:gridCol w:w="8460"/>
      </w:tblGrid>
      <w:tr w:rsidR="002144EC" w14:paraId="4D830B27"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2669E4"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1</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9306A"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左心室厚度&gt;12mm。</w:t>
            </w:r>
          </w:p>
        </w:tc>
      </w:tr>
      <w:tr w:rsidR="002144EC" w14:paraId="58AED783"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4FBD4C"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2</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1DD631"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 xml:space="preserve">心電圖左心室肥厚 (ECG LVH </w:t>
            </w:r>
            <w:proofErr w:type="spellStart"/>
            <w:r>
              <w:rPr>
                <w:rFonts w:ascii="標楷體" w:eastAsia="標楷體" w:hAnsi="標楷體"/>
                <w:color w:val="000000"/>
              </w:rPr>
              <w:t>Romhilt</w:t>
            </w:r>
            <w:proofErr w:type="spellEnd"/>
            <w:r>
              <w:rPr>
                <w:rFonts w:ascii="標楷體" w:eastAsia="標楷體" w:hAnsi="標楷體"/>
                <w:color w:val="000000"/>
              </w:rPr>
              <w:t>-Estes score&gt;5或符合Cornell's criteria)</w:t>
            </w:r>
          </w:p>
        </w:tc>
      </w:tr>
      <w:tr w:rsidR="002144EC" w14:paraId="4AFF2883"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8EA1E5"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3</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E597D8"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心臟超音波左心室質量指數 (LVMI)男性大於51 gm/m2.7, 女性大於48 gm/m2.7, LVMI。（108/5/1）</w:t>
            </w:r>
          </w:p>
        </w:tc>
      </w:tr>
      <w:tr w:rsidR="002144EC" w14:paraId="4885F09F"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C20AC6"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4</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417F5"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心臟超音波左心室舒張功能異常 E/A ratio&gt;2.0及</w:t>
            </w:r>
          </w:p>
          <w:p w14:paraId="57B7FD86"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deceleration time&lt;150 msec或組織超音波顯示舒張功能異常(二尖瓣</w:t>
            </w:r>
            <w:proofErr w:type="gramStart"/>
            <w:r>
              <w:rPr>
                <w:rFonts w:ascii="標楷體" w:eastAsia="標楷體" w:hAnsi="標楷體"/>
                <w:color w:val="000000"/>
              </w:rPr>
              <w:t>環部中膈</w:t>
            </w:r>
            <w:proofErr w:type="gramEnd"/>
            <w:r>
              <w:rPr>
                <w:rFonts w:ascii="標楷體" w:eastAsia="標楷體" w:hAnsi="標楷體"/>
                <w:color w:val="000000"/>
              </w:rPr>
              <w:t xml:space="preserve">E/E' &gt;15 </w:t>
            </w:r>
            <w:proofErr w:type="gramStart"/>
            <w:r>
              <w:rPr>
                <w:rFonts w:ascii="標楷體" w:eastAsia="標楷體" w:hAnsi="標楷體"/>
                <w:color w:val="000000"/>
              </w:rPr>
              <w:t>或側壁</w:t>
            </w:r>
            <w:proofErr w:type="gramEnd"/>
            <w:r>
              <w:rPr>
                <w:rFonts w:ascii="標楷體" w:eastAsia="標楷體" w:hAnsi="標楷體"/>
                <w:color w:val="000000"/>
              </w:rPr>
              <w:t>E/E'&gt;12).</w:t>
            </w:r>
          </w:p>
        </w:tc>
      </w:tr>
      <w:tr w:rsidR="002144EC" w14:paraId="00A64D21"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6CCFAA"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5</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6786AC" w14:textId="77777777" w:rsidR="002144EC" w:rsidRDefault="002144EC" w:rsidP="002144EC">
            <w:pPr>
              <w:spacing w:line="300" w:lineRule="exact"/>
            </w:pPr>
            <w:r>
              <w:rPr>
                <w:rFonts w:ascii="標楷體" w:eastAsia="標楷體" w:hAnsi="標楷體"/>
                <w:color w:val="000000"/>
              </w:rPr>
              <w:t>間隔至少超過12個月測量左心室質量 (LVM) 增加&gt;5g/m</w:t>
            </w:r>
            <w:r>
              <w:rPr>
                <w:rFonts w:ascii="標楷體" w:eastAsia="標楷體" w:hAnsi="標楷體"/>
                <w:color w:val="000000"/>
                <w:vertAlign w:val="superscript"/>
              </w:rPr>
              <w:t>2</w:t>
            </w:r>
          </w:p>
        </w:tc>
      </w:tr>
      <w:tr w:rsidR="002144EC" w14:paraId="65296BAA"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E999E6"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6</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C1B4CB"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心臟超音波左心房體積增加&gt;34 mL/m2 body surface area (BSA)</w:t>
            </w:r>
          </w:p>
          <w:p w14:paraId="0441A37C"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（108/5/1）</w:t>
            </w:r>
          </w:p>
        </w:tc>
      </w:tr>
      <w:tr w:rsidR="002144EC" w14:paraId="3510637D"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144BA1"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7</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A5FE10"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 xml:space="preserve">心肌與節律出現異常：AV block, short PR interval, </w:t>
            </w:r>
            <w:proofErr w:type="spellStart"/>
            <w:r>
              <w:rPr>
                <w:rFonts w:ascii="標楷體" w:eastAsia="標楷體" w:hAnsi="標楷體"/>
                <w:color w:val="000000"/>
              </w:rPr>
              <w:t>LBBB,ventricular</w:t>
            </w:r>
            <w:proofErr w:type="spellEnd"/>
            <w:r>
              <w:rPr>
                <w:rFonts w:ascii="標楷體" w:eastAsia="標楷體" w:hAnsi="標楷體"/>
                <w:color w:val="000000"/>
              </w:rPr>
              <w:t xml:space="preserve"> or atrial tachyarrhythmias, sinus bradycardia(在沒有使用抑制心律的藥物下)</w:t>
            </w:r>
          </w:p>
        </w:tc>
      </w:tr>
      <w:tr w:rsidR="002144EC" w14:paraId="00667949"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C56FD0"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8</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5F4F00"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中度到重度的二尖瓣與主動瓣膜閉鎖不全</w:t>
            </w:r>
          </w:p>
        </w:tc>
      </w:tr>
      <w:tr w:rsidR="002144EC" w14:paraId="429D3D44" w14:textId="77777777" w:rsidTr="00C8754F">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47A787"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9</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F2E739"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心臟</w:t>
            </w:r>
            <w:proofErr w:type="gramStart"/>
            <w:r>
              <w:rPr>
                <w:rFonts w:ascii="標楷體" w:eastAsia="標楷體" w:hAnsi="標楷體"/>
                <w:color w:val="000000"/>
              </w:rPr>
              <w:t>磁振造影</w:t>
            </w:r>
            <w:proofErr w:type="gramEnd"/>
            <w:r>
              <w:rPr>
                <w:rFonts w:ascii="標楷體" w:eastAsia="標楷體" w:hAnsi="標楷體"/>
                <w:color w:val="000000"/>
              </w:rPr>
              <w:t>心肌延遲顯影(delayed enhancement)出現左心室的輕度到中度纖維化。</w:t>
            </w:r>
          </w:p>
        </w:tc>
      </w:tr>
      <w:tr w:rsidR="002144EC" w14:paraId="050CB7DD" w14:textId="77777777" w:rsidTr="00C8754F">
        <w:trPr>
          <w:trHeight w:val="429"/>
        </w:trPr>
        <w:tc>
          <w:tcPr>
            <w:tcW w:w="10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441F17" w14:textId="77777777" w:rsidR="002144EC" w:rsidRDefault="002144EC" w:rsidP="002144EC">
            <w:pPr>
              <w:spacing w:line="300" w:lineRule="exact"/>
              <w:jc w:val="center"/>
              <w:rPr>
                <w:rFonts w:ascii="標楷體" w:eastAsia="標楷體" w:hAnsi="標楷體"/>
                <w:color w:val="000000"/>
              </w:rPr>
            </w:pPr>
            <w:r>
              <w:rPr>
                <w:rFonts w:ascii="標楷體" w:eastAsia="標楷體" w:hAnsi="標楷體"/>
                <w:color w:val="000000"/>
              </w:rPr>
              <w:t>10</w:t>
            </w:r>
          </w:p>
        </w:tc>
        <w:tc>
          <w:tcPr>
            <w:tcW w:w="7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697079" w14:textId="77777777" w:rsidR="002144EC" w:rsidRDefault="002144EC" w:rsidP="002144EC">
            <w:pPr>
              <w:spacing w:line="300" w:lineRule="exact"/>
              <w:rPr>
                <w:rFonts w:ascii="標楷體" w:eastAsia="標楷體" w:hAnsi="標楷體"/>
                <w:color w:val="000000"/>
              </w:rPr>
            </w:pPr>
            <w:r>
              <w:rPr>
                <w:rFonts w:ascii="標楷體" w:eastAsia="標楷體" w:hAnsi="標楷體"/>
                <w:color w:val="000000"/>
              </w:rPr>
              <w:t>NT-</w:t>
            </w:r>
            <w:proofErr w:type="spellStart"/>
            <w:r>
              <w:rPr>
                <w:rFonts w:ascii="標楷體" w:eastAsia="標楷體" w:hAnsi="標楷體"/>
                <w:color w:val="000000"/>
              </w:rPr>
              <w:t>proBNP</w:t>
            </w:r>
            <w:proofErr w:type="spellEnd"/>
            <w:r>
              <w:rPr>
                <w:rFonts w:ascii="標楷體" w:eastAsia="標楷體" w:hAnsi="標楷體"/>
                <w:color w:val="000000"/>
              </w:rPr>
              <w:t>/BNP 或 high sensitivity troponin升高</w:t>
            </w:r>
          </w:p>
        </w:tc>
      </w:tr>
    </w:tbl>
    <w:p w14:paraId="2943098C" w14:textId="53F64DF5" w:rsidR="00CC252C" w:rsidRPr="0097260E" w:rsidRDefault="00CC252C" w:rsidP="002144EC">
      <w:pPr>
        <w:spacing w:line="300" w:lineRule="exact"/>
        <w:ind w:left="672" w:hanging="386"/>
        <w:rPr>
          <w:rFonts w:ascii="標楷體" w:eastAsia="標楷體" w:hAnsi="標楷體"/>
          <w:b/>
          <w:sz w:val="28"/>
          <w:szCs w:val="28"/>
        </w:rPr>
      </w:pPr>
      <w:r w:rsidRPr="0097260E">
        <w:rPr>
          <w:sz w:val="22"/>
          <w:szCs w:val="20"/>
        </w:rPr>
        <w:br w:type="page"/>
      </w:r>
    </w:p>
    <w:p w14:paraId="0BD204B9" w14:textId="77777777" w:rsidR="00401786" w:rsidRDefault="00C64FB3" w:rsidP="0009639E">
      <w:pPr>
        <w:pStyle w:val="2"/>
        <w:spacing w:line="300" w:lineRule="exact"/>
      </w:pPr>
      <w:r>
        <w:lastRenderedPageBreak/>
        <w:t>第4節 血液治療藥物 Hematological drugs</w:t>
      </w:r>
    </w:p>
    <w:p w14:paraId="130BE96A" w14:textId="77777777" w:rsidR="00401786" w:rsidRDefault="00401786" w:rsidP="0009639E">
      <w:pPr>
        <w:spacing w:line="300" w:lineRule="exact"/>
        <w:ind w:firstLine="160"/>
        <w:jc w:val="center"/>
        <w:rPr>
          <w:rFonts w:ascii="標楷體" w:eastAsia="標楷體" w:hAnsi="標楷體"/>
          <w:b/>
          <w:color w:val="000000"/>
          <w:sz w:val="32"/>
          <w:szCs w:val="32"/>
        </w:rPr>
      </w:pPr>
    </w:p>
    <w:p w14:paraId="4B064C2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4.1.造血功能治療藥物  Hematopoietic agents </w:t>
      </w:r>
    </w:p>
    <w:p w14:paraId="4BA5598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4.1.1.紅血球生成素(簡稱EPO) hu-erythropoietin (如</w:t>
      </w:r>
      <w:proofErr w:type="spellStart"/>
      <w:r>
        <w:rPr>
          <w:rFonts w:ascii="標楷體" w:eastAsia="標楷體" w:hAnsi="標楷體"/>
          <w:color w:val="000000"/>
        </w:rPr>
        <w:t>Eprex</w:t>
      </w:r>
      <w:proofErr w:type="spellEnd"/>
      <w:r>
        <w:rPr>
          <w:rFonts w:ascii="標楷體" w:eastAsia="標楷體" w:hAnsi="標楷體"/>
          <w:color w:val="000000"/>
        </w:rPr>
        <w:t>、</w:t>
      </w:r>
      <w:proofErr w:type="spellStart"/>
      <w:r>
        <w:rPr>
          <w:rFonts w:ascii="標楷體" w:eastAsia="標楷體" w:hAnsi="標楷體"/>
          <w:color w:val="000000"/>
        </w:rPr>
        <w:t>Recormon</w:t>
      </w:r>
      <w:proofErr w:type="spellEnd"/>
      <w:r>
        <w:rPr>
          <w:rFonts w:ascii="標楷體" w:eastAsia="標楷體" w:hAnsi="標楷體"/>
          <w:color w:val="000000"/>
        </w:rPr>
        <w:t xml:space="preserve">)、darbepoetin alfa（如Aranesp ）、methoxy polyethylene glycol-epoetin beta（如 </w:t>
      </w:r>
      <w:proofErr w:type="spellStart"/>
      <w:r>
        <w:rPr>
          <w:rFonts w:ascii="標楷體" w:eastAsia="標楷體" w:hAnsi="標楷體"/>
          <w:color w:val="000000"/>
        </w:rPr>
        <w:t>Mircera</w:t>
      </w:r>
      <w:proofErr w:type="spellEnd"/>
      <w:r>
        <w:rPr>
          <w:rFonts w:ascii="標楷體" w:eastAsia="標楷體" w:hAnsi="標楷體"/>
          <w:color w:val="000000"/>
        </w:rPr>
        <w:t xml:space="preserve"> solution for injection in pre-filled syringe）：(93/5/1、95/11/1、96/10/1、98/1/1、98/9/1、104/12/1、105/9/1</w:t>
      </w:r>
      <w:proofErr w:type="gramStart"/>
      <w:r>
        <w:rPr>
          <w:rFonts w:ascii="標楷體" w:eastAsia="標楷體" w:hAnsi="標楷體"/>
          <w:color w:val="000000"/>
        </w:rPr>
        <w:t>）</w:t>
      </w:r>
      <w:proofErr w:type="gramEnd"/>
    </w:p>
    <w:p w14:paraId="2168D6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1.使用前和治療後每三至六個月應作體內鐵質貯存評估，如Hb在8 gm/dL以下，且ferritin小於100 mg/dL(非透析病人)、或200 mg/dL(透析病人)，有可能是鐵質缺乏。(104/12/1)。</w:t>
      </w:r>
    </w:p>
    <w:p w14:paraId="4DFDB91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2.使用期間應排除維他命B12或葉酸缺乏，腸胃道出血，全身性感染或發炎疾病等情況，始得繼續。(104/12/1)。</w:t>
      </w:r>
    </w:p>
    <w:p w14:paraId="19B3B8A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3.限腎臟病並符合下列條件使用：(104/12/1)</w:t>
      </w:r>
    </w:p>
    <w:p w14:paraId="1EC0733B" w14:textId="77777777" w:rsidR="00401786" w:rsidRDefault="00C64FB3" w:rsidP="0009639E">
      <w:pPr>
        <w:spacing w:line="300" w:lineRule="exact"/>
        <w:ind w:left="1049" w:hanging="341"/>
      </w:pPr>
      <w:r>
        <w:rPr>
          <w:rFonts w:ascii="標楷體" w:eastAsia="標楷體" w:hAnsi="標楷體"/>
          <w:color w:val="000000"/>
        </w:rPr>
        <w:t>(1)末期腎臟病接受透析病人，其Hb &lt;9gm/dL，或第五期慢性腎臟病病人 (eGFR &lt; 15 mL/min/1.73 m</w:t>
      </w:r>
      <w:r>
        <w:rPr>
          <w:rFonts w:ascii="標楷體" w:eastAsia="標楷體" w:hAnsi="標楷體"/>
          <w:color w:val="000000"/>
          <w:vertAlign w:val="superscript"/>
        </w:rPr>
        <w:t>2</w:t>
      </w:r>
      <w:r>
        <w:rPr>
          <w:rFonts w:ascii="標楷體" w:eastAsia="標楷體" w:hAnsi="標楷體"/>
          <w:color w:val="000000"/>
        </w:rPr>
        <w:t>)，其Hb &lt; 9gm/dL。</w:t>
      </w:r>
    </w:p>
    <w:p w14:paraId="5811629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Ⅰ.使用時，應從小劑量開始，Hb目標為10 gm/dL，符合下列情形之病人，應即暫停</w:t>
      </w:r>
      <w:proofErr w:type="gramStart"/>
      <w:r>
        <w:rPr>
          <w:rFonts w:ascii="標楷體" w:eastAsia="標楷體" w:hAnsi="標楷體"/>
          <w:color w:val="000000"/>
        </w:rPr>
        <w:t>使用本類藥品</w:t>
      </w:r>
      <w:proofErr w:type="gramEnd"/>
      <w:r>
        <w:rPr>
          <w:rFonts w:ascii="標楷體" w:eastAsia="標楷體" w:hAnsi="標楷體"/>
          <w:color w:val="000000"/>
        </w:rPr>
        <w:t>：</w:t>
      </w:r>
    </w:p>
    <w:p w14:paraId="2E012C7A" w14:textId="77777777" w:rsidR="00401786" w:rsidRDefault="00C64FB3" w:rsidP="0009639E">
      <w:pPr>
        <w:spacing w:line="300" w:lineRule="exact"/>
        <w:ind w:left="1229" w:hanging="238"/>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 Hb超過11gm/dL。</w:t>
      </w:r>
    </w:p>
    <w:p w14:paraId="7E141F6E" w14:textId="77777777" w:rsidR="00401786" w:rsidRDefault="00C64FB3" w:rsidP="0009639E">
      <w:pPr>
        <w:spacing w:line="300" w:lineRule="exact"/>
        <w:ind w:left="1229" w:hanging="238"/>
        <w:rPr>
          <w:rFonts w:ascii="標楷體" w:eastAsia="標楷體" w:hAnsi="標楷體"/>
          <w:color w:val="000000"/>
        </w:rPr>
      </w:pPr>
      <w:r>
        <w:rPr>
          <w:rFonts w:ascii="標楷體" w:eastAsia="標楷體" w:hAnsi="標楷體"/>
          <w:color w:val="000000"/>
        </w:rPr>
        <w:t>ii.接受治療第6</w:t>
      </w:r>
      <w:proofErr w:type="gramStart"/>
      <w:r>
        <w:rPr>
          <w:rFonts w:ascii="標楷體" w:eastAsia="標楷體" w:hAnsi="標楷體"/>
          <w:color w:val="000000"/>
        </w:rPr>
        <w:t>週</w:t>
      </w:r>
      <w:proofErr w:type="gramEnd"/>
      <w:r>
        <w:rPr>
          <w:rFonts w:ascii="標楷體" w:eastAsia="標楷體" w:hAnsi="標楷體"/>
          <w:color w:val="000000"/>
        </w:rPr>
        <w:t>到第8</w:t>
      </w:r>
      <w:proofErr w:type="gramStart"/>
      <w:r>
        <w:rPr>
          <w:rFonts w:ascii="標楷體" w:eastAsia="標楷體" w:hAnsi="標楷體"/>
          <w:color w:val="000000"/>
        </w:rPr>
        <w:t>週</w:t>
      </w:r>
      <w:proofErr w:type="gramEnd"/>
      <w:r>
        <w:rPr>
          <w:rFonts w:ascii="標楷體" w:eastAsia="標楷體" w:hAnsi="標楷體"/>
          <w:color w:val="000000"/>
        </w:rPr>
        <w:t>內Hb之上升值未達1 gm/dL。</w:t>
      </w:r>
    </w:p>
    <w:p w14:paraId="6506BA5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Ⅱ.如Hb值維持在目標值一段時間 (一至二個月)，宜逐次減量，以求得最低維持劑量。</w:t>
      </w:r>
    </w:p>
    <w:p w14:paraId="4E28884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(2)每名病人所用劑量，一個月不超過20,000U (如</w:t>
      </w:r>
      <w:proofErr w:type="spellStart"/>
      <w:r>
        <w:rPr>
          <w:rFonts w:ascii="標楷體" w:eastAsia="標楷體" w:hAnsi="標楷體"/>
          <w:color w:val="000000"/>
        </w:rPr>
        <w:t>Eprex</w:t>
      </w:r>
      <w:proofErr w:type="spellEnd"/>
      <w:r>
        <w:rPr>
          <w:rFonts w:ascii="標楷體" w:eastAsia="標楷體" w:hAnsi="標楷體"/>
          <w:color w:val="000000"/>
        </w:rPr>
        <w:t>、</w:t>
      </w:r>
      <w:proofErr w:type="spellStart"/>
      <w:r>
        <w:rPr>
          <w:rFonts w:ascii="標楷體" w:eastAsia="標楷體" w:hAnsi="標楷體"/>
          <w:color w:val="000000"/>
        </w:rPr>
        <w:t>Recormon</w:t>
      </w:r>
      <w:proofErr w:type="spellEnd"/>
      <w:r>
        <w:rPr>
          <w:rFonts w:ascii="標楷體" w:eastAsia="標楷體" w:hAnsi="標楷體"/>
          <w:color w:val="000000"/>
        </w:rPr>
        <w:t>)或100mcg (如Aranesp 、</w:t>
      </w:r>
      <w:proofErr w:type="spellStart"/>
      <w:r>
        <w:rPr>
          <w:rFonts w:ascii="標楷體" w:eastAsia="標楷體" w:hAnsi="標楷體"/>
          <w:color w:val="000000"/>
        </w:rPr>
        <w:t>Mircera</w:t>
      </w:r>
      <w:proofErr w:type="spellEnd"/>
      <w:r>
        <w:rPr>
          <w:rFonts w:ascii="標楷體" w:eastAsia="標楷體" w:hAnsi="標楷體"/>
          <w:color w:val="000000"/>
        </w:rPr>
        <w:t xml:space="preserve"> solution for injection in pre-filled syringe)為原則，</w:t>
      </w:r>
      <w:proofErr w:type="gramStart"/>
      <w:r>
        <w:rPr>
          <w:rFonts w:ascii="標楷體" w:eastAsia="標楷體" w:hAnsi="標楷體"/>
          <w:color w:val="000000"/>
        </w:rPr>
        <w:t>如需超量</w:t>
      </w:r>
      <w:proofErr w:type="gramEnd"/>
      <w:r>
        <w:rPr>
          <w:rFonts w:ascii="標楷體" w:eastAsia="標楷體" w:hAnsi="標楷體"/>
          <w:color w:val="000000"/>
        </w:rPr>
        <w:t>使用，應附病人臨床資料(如年齡、前月Hb值、前月所用劑量、所定目標值…等等)及使用理由。(93/5/1、98/9/1)。</w:t>
      </w:r>
    </w:p>
    <w:p w14:paraId="04010DB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使用本類藥品</w:t>
      </w:r>
      <w:proofErr w:type="gramEnd"/>
      <w:r>
        <w:rPr>
          <w:rFonts w:ascii="標楷體" w:eastAsia="標楷體" w:hAnsi="標楷體"/>
          <w:color w:val="000000"/>
        </w:rPr>
        <w:t>之血液透析、腹膜透析(CAPD)及未透析患者因病情需要</w:t>
      </w:r>
      <w:proofErr w:type="gramStart"/>
      <w:r>
        <w:rPr>
          <w:rFonts w:ascii="標楷體" w:eastAsia="標楷體" w:hAnsi="標楷體"/>
          <w:color w:val="000000"/>
        </w:rPr>
        <w:t>使用本類藥品</w:t>
      </w:r>
      <w:proofErr w:type="gramEnd"/>
      <w:r>
        <w:rPr>
          <w:rFonts w:ascii="標楷體" w:eastAsia="標楷體" w:hAnsi="標楷體"/>
          <w:color w:val="000000"/>
        </w:rPr>
        <w:t>時，應依下列頻率定期檢查Hb值，其檢查費用包含於透析費用內，</w:t>
      </w:r>
      <w:proofErr w:type="gramStart"/>
      <w:r>
        <w:rPr>
          <w:rFonts w:ascii="標楷體" w:eastAsia="標楷體" w:hAnsi="標楷體"/>
          <w:color w:val="000000"/>
        </w:rPr>
        <w:t>不</w:t>
      </w:r>
      <w:proofErr w:type="gramEnd"/>
      <w:r>
        <w:rPr>
          <w:rFonts w:ascii="標楷體" w:eastAsia="標楷體" w:hAnsi="標楷體"/>
          <w:color w:val="000000"/>
        </w:rPr>
        <w:t>另給付(未接受透析病人除外)：(105/9/1)</w:t>
      </w:r>
    </w:p>
    <w:p w14:paraId="37782456" w14:textId="77777777" w:rsidR="00401786" w:rsidRDefault="00C64FB3" w:rsidP="0009639E">
      <w:pPr>
        <w:spacing w:line="300" w:lineRule="exact"/>
        <w:ind w:left="1275" w:hanging="425"/>
        <w:rPr>
          <w:rFonts w:ascii="標楷體" w:eastAsia="標楷體" w:hAnsi="標楷體"/>
          <w:color w:val="000000"/>
        </w:rPr>
      </w:pPr>
      <w:r>
        <w:rPr>
          <w:rFonts w:ascii="標楷體" w:eastAsia="標楷體" w:hAnsi="標楷體"/>
          <w:color w:val="000000"/>
        </w:rPr>
        <w:t>Ⅰ.血液透析及腹膜透析患者：每月應檢查乙次。(105/9/1)</w:t>
      </w:r>
    </w:p>
    <w:p w14:paraId="1716BE94" w14:textId="77777777" w:rsidR="00401786" w:rsidRDefault="00C64FB3" w:rsidP="0009639E">
      <w:pPr>
        <w:spacing w:line="300" w:lineRule="exact"/>
        <w:ind w:left="1275" w:hanging="425"/>
        <w:rPr>
          <w:rFonts w:ascii="標楷體" w:eastAsia="標楷體" w:hAnsi="標楷體"/>
          <w:color w:val="000000"/>
        </w:rPr>
      </w:pPr>
      <w:r>
        <w:rPr>
          <w:rFonts w:ascii="標楷體" w:eastAsia="標楷體" w:hAnsi="標楷體"/>
          <w:color w:val="000000"/>
        </w:rPr>
        <w:t>Ⅱ.未透析患者：至少每3個月應檢查乙次。初次使用者，治療後6至8</w:t>
      </w:r>
      <w:proofErr w:type="gramStart"/>
      <w:r>
        <w:rPr>
          <w:rFonts w:ascii="標楷體" w:eastAsia="標楷體" w:hAnsi="標楷體"/>
          <w:color w:val="000000"/>
        </w:rPr>
        <w:t>週</w:t>
      </w:r>
      <w:proofErr w:type="gramEnd"/>
      <w:r>
        <w:rPr>
          <w:rFonts w:ascii="標楷體" w:eastAsia="標楷體" w:hAnsi="標楷體"/>
          <w:color w:val="000000"/>
        </w:rPr>
        <w:t>應檢查乙次。(105/9/1)</w:t>
      </w:r>
    </w:p>
    <w:p w14:paraId="5E99E43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使用本類藥品</w:t>
      </w:r>
      <w:proofErr w:type="gramEnd"/>
      <w:r>
        <w:rPr>
          <w:rFonts w:ascii="標楷體" w:eastAsia="標楷體" w:hAnsi="標楷體"/>
          <w:color w:val="000000"/>
        </w:rPr>
        <w:t>期間如需輸血，請附輸血時Hb值及原因。</w:t>
      </w:r>
    </w:p>
    <w:p w14:paraId="50D60C5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4.限癌症病人合併化學治療有關的貧血。不含使用</w:t>
      </w:r>
      <w:proofErr w:type="spellStart"/>
      <w:r>
        <w:rPr>
          <w:rFonts w:ascii="標楷體" w:eastAsia="標楷體" w:hAnsi="標楷體"/>
          <w:color w:val="000000"/>
        </w:rPr>
        <w:t>Mircera</w:t>
      </w:r>
      <w:proofErr w:type="spellEnd"/>
      <w:r>
        <w:rPr>
          <w:rFonts w:ascii="標楷體" w:eastAsia="標楷體" w:hAnsi="標楷體"/>
          <w:color w:val="000000"/>
        </w:rPr>
        <w:t xml:space="preserve"> solution for injection in pre-filled syringe：（95/11/1、96/10/1、98/1/1、98/9/1、104/12/1）</w:t>
      </w:r>
    </w:p>
    <w:p w14:paraId="3EA556E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(1)限患有固態腫瘤接受化學藥物治療而引起之症狀性貧血，且Hb＜8 gm/dL之病人使用。對於癌症患者預期有合理且足夠的存活時間者（含治癒性治療及預期輔助性化學治療等），不應使用EPO治療貧血。（98/1/1、104/12/1）</w:t>
      </w:r>
    </w:p>
    <w:p w14:paraId="6804A7B3" w14:textId="77777777" w:rsidR="00401786" w:rsidRDefault="00C64FB3" w:rsidP="0009639E">
      <w:pPr>
        <w:spacing w:line="300" w:lineRule="exact"/>
        <w:ind w:left="1092" w:hanging="384"/>
        <w:rPr>
          <w:rFonts w:ascii="標楷體" w:eastAsia="標楷體" w:hAnsi="標楷體"/>
          <w:color w:val="000000"/>
        </w:rPr>
      </w:pPr>
      <w:r>
        <w:rPr>
          <w:rFonts w:ascii="標楷體" w:eastAsia="標楷體" w:hAnsi="標楷體"/>
          <w:color w:val="000000"/>
        </w:rPr>
        <w:t>(2)Epoetin beta（如</w:t>
      </w:r>
      <w:proofErr w:type="spellStart"/>
      <w:r>
        <w:rPr>
          <w:rFonts w:ascii="標楷體" w:eastAsia="標楷體" w:hAnsi="標楷體"/>
          <w:color w:val="000000"/>
        </w:rPr>
        <w:t>Recormon</w:t>
      </w:r>
      <w:proofErr w:type="spellEnd"/>
      <w:r>
        <w:rPr>
          <w:rFonts w:ascii="標楷體" w:eastAsia="標楷體" w:hAnsi="標楷體"/>
          <w:color w:val="000000"/>
        </w:rPr>
        <w:t>）與epoetin alfa（如</w:t>
      </w:r>
      <w:proofErr w:type="spellStart"/>
      <w:r>
        <w:rPr>
          <w:rFonts w:ascii="標楷體" w:eastAsia="標楷體" w:hAnsi="標楷體"/>
          <w:color w:val="000000"/>
        </w:rPr>
        <w:t>Eprex</w:t>
      </w:r>
      <w:proofErr w:type="spellEnd"/>
      <w:r>
        <w:rPr>
          <w:rFonts w:ascii="標楷體" w:eastAsia="標楷體" w:hAnsi="標楷體"/>
          <w:color w:val="000000"/>
        </w:rPr>
        <w:t>）初劑量為150U/Kg 每週3次，最高劑量300U/Kg每週3次，或epoetin beta（如</w:t>
      </w:r>
      <w:proofErr w:type="spellStart"/>
      <w:r>
        <w:rPr>
          <w:rFonts w:ascii="標楷體" w:eastAsia="標楷體" w:hAnsi="標楷體"/>
          <w:color w:val="000000"/>
        </w:rPr>
        <w:t>Recormon</w:t>
      </w:r>
      <w:proofErr w:type="spellEnd"/>
      <w:r>
        <w:rPr>
          <w:rFonts w:ascii="標楷體" w:eastAsia="標楷體" w:hAnsi="標楷體"/>
          <w:color w:val="000000"/>
        </w:rPr>
        <w:t>）初劑量30,000單位，epoetin alfa（如</w:t>
      </w:r>
      <w:proofErr w:type="spellStart"/>
      <w:r>
        <w:rPr>
          <w:rFonts w:ascii="標楷體" w:eastAsia="標楷體" w:hAnsi="標楷體"/>
          <w:color w:val="000000"/>
        </w:rPr>
        <w:t>Eprex</w:t>
      </w:r>
      <w:proofErr w:type="spellEnd"/>
      <w:r>
        <w:rPr>
          <w:rFonts w:ascii="標楷體" w:eastAsia="標楷體" w:hAnsi="標楷體"/>
          <w:color w:val="000000"/>
        </w:rPr>
        <w:t>）初劑量40,000單位，每週1次，最高劑量60,000單位，每週1次；Darbepoetin alfa（如Aranesp）初劑量2.25mcg/kg，每週1次，最高劑量4.5mcg/kg，每週1次。（96/10/1）。</w:t>
      </w:r>
    </w:p>
    <w:p w14:paraId="15A2638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(3)每次療程最長24</w:t>
      </w:r>
      <w:proofErr w:type="gramStart"/>
      <w:r>
        <w:rPr>
          <w:rFonts w:ascii="標楷體" w:eastAsia="標楷體" w:hAnsi="標楷體"/>
          <w:color w:val="000000"/>
        </w:rPr>
        <w:t>週</w:t>
      </w:r>
      <w:proofErr w:type="gramEnd"/>
      <w:r>
        <w:rPr>
          <w:rFonts w:ascii="標楷體" w:eastAsia="標楷體" w:hAnsi="標楷體"/>
          <w:color w:val="000000"/>
        </w:rPr>
        <w:t>，如化學治療療程完全結束後4</w:t>
      </w:r>
      <w:proofErr w:type="gramStart"/>
      <w:r>
        <w:rPr>
          <w:rFonts w:ascii="標楷體" w:eastAsia="標楷體" w:hAnsi="標楷體"/>
          <w:color w:val="000000"/>
        </w:rPr>
        <w:t>週</w:t>
      </w:r>
      <w:proofErr w:type="gramEnd"/>
      <w:r>
        <w:rPr>
          <w:rFonts w:ascii="標楷體" w:eastAsia="標楷體" w:hAnsi="標楷體"/>
          <w:color w:val="000000"/>
        </w:rPr>
        <w:t>也應停止EPO使用。(104/12/1</w:t>
      </w:r>
      <w:proofErr w:type="gramStart"/>
      <w:r>
        <w:rPr>
          <w:rFonts w:ascii="標楷體" w:eastAsia="標楷體" w:hAnsi="標楷體"/>
          <w:color w:val="000000"/>
        </w:rPr>
        <w:t>）</w:t>
      </w:r>
      <w:proofErr w:type="gramEnd"/>
    </w:p>
    <w:p w14:paraId="11D21D26"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(4)符合下列情形之病人，應即停止</w:t>
      </w:r>
      <w:proofErr w:type="gramStart"/>
      <w:r>
        <w:rPr>
          <w:rFonts w:ascii="標楷體" w:eastAsia="標楷體" w:hAnsi="標楷體"/>
          <w:color w:val="000000"/>
        </w:rPr>
        <w:t>使用本類藥品</w:t>
      </w:r>
      <w:proofErr w:type="gramEnd"/>
      <w:r>
        <w:rPr>
          <w:rFonts w:ascii="標楷體" w:eastAsia="標楷體" w:hAnsi="標楷體"/>
          <w:color w:val="000000"/>
        </w:rPr>
        <w:t>：</w:t>
      </w:r>
    </w:p>
    <w:p w14:paraId="44B4F71F" w14:textId="77777777" w:rsidR="00401786" w:rsidRDefault="00C64FB3" w:rsidP="0009639E">
      <w:pPr>
        <w:spacing w:line="300" w:lineRule="exact"/>
        <w:ind w:left="1198" w:hanging="346"/>
        <w:rPr>
          <w:rFonts w:ascii="標楷體" w:eastAsia="標楷體" w:hAnsi="標楷體"/>
          <w:color w:val="000000"/>
        </w:rPr>
      </w:pPr>
      <w:proofErr w:type="spellStart"/>
      <w:r>
        <w:rPr>
          <w:rFonts w:ascii="標楷體" w:eastAsia="標楷體" w:hAnsi="標楷體"/>
          <w:color w:val="000000"/>
        </w:rPr>
        <w:t>Ⅰ.Hb</w:t>
      </w:r>
      <w:proofErr w:type="spellEnd"/>
      <w:r>
        <w:rPr>
          <w:rFonts w:ascii="標楷體" w:eastAsia="標楷體" w:hAnsi="標楷體"/>
          <w:color w:val="000000"/>
        </w:rPr>
        <w:t>超過10 gm/dL (Hb＞10gm/dL)。</w:t>
      </w:r>
    </w:p>
    <w:p w14:paraId="6D794291" w14:textId="77777777" w:rsidR="00401786" w:rsidRDefault="00C64FB3" w:rsidP="0009639E">
      <w:pPr>
        <w:spacing w:line="300" w:lineRule="exact"/>
        <w:ind w:left="1198" w:hanging="346"/>
        <w:rPr>
          <w:rFonts w:ascii="標楷體" w:eastAsia="標楷體" w:hAnsi="標楷體"/>
          <w:color w:val="000000"/>
        </w:rPr>
      </w:pPr>
      <w:r>
        <w:rPr>
          <w:rFonts w:ascii="標楷體" w:eastAsia="標楷體" w:hAnsi="標楷體"/>
          <w:color w:val="000000"/>
        </w:rPr>
        <w:t>Ⅱ.於接受治療第6</w:t>
      </w:r>
      <w:proofErr w:type="gramStart"/>
      <w:r>
        <w:rPr>
          <w:rFonts w:ascii="標楷體" w:eastAsia="標楷體" w:hAnsi="標楷體"/>
          <w:color w:val="000000"/>
        </w:rPr>
        <w:t>週</w:t>
      </w:r>
      <w:proofErr w:type="gramEnd"/>
      <w:r>
        <w:rPr>
          <w:rFonts w:ascii="標楷體" w:eastAsia="標楷體" w:hAnsi="標楷體"/>
          <w:color w:val="000000"/>
        </w:rPr>
        <w:t>到第8</w:t>
      </w:r>
      <w:proofErr w:type="gramStart"/>
      <w:r>
        <w:rPr>
          <w:rFonts w:ascii="標楷體" w:eastAsia="標楷體" w:hAnsi="標楷體"/>
          <w:color w:val="000000"/>
        </w:rPr>
        <w:t>週</w:t>
      </w:r>
      <w:proofErr w:type="gramEnd"/>
      <w:r>
        <w:rPr>
          <w:rFonts w:ascii="標楷體" w:eastAsia="標楷體" w:hAnsi="標楷體"/>
          <w:color w:val="000000"/>
        </w:rPr>
        <w:t>內Hb之上升值未達1 gm/dL。</w:t>
      </w:r>
    </w:p>
    <w:p w14:paraId="5FFB9A80" w14:textId="77777777" w:rsidR="00401786" w:rsidRDefault="00C64FB3" w:rsidP="0009639E">
      <w:pPr>
        <w:spacing w:line="300" w:lineRule="exact"/>
        <w:ind w:left="1198" w:hanging="346"/>
        <w:rPr>
          <w:rFonts w:ascii="標楷體" w:eastAsia="標楷體" w:hAnsi="標楷體"/>
          <w:color w:val="000000"/>
        </w:rPr>
      </w:pPr>
      <w:r>
        <w:rPr>
          <w:rFonts w:ascii="標楷體" w:eastAsia="標楷體" w:hAnsi="標楷體"/>
          <w:color w:val="000000"/>
        </w:rPr>
        <w:t>Ⅲ.化學治療結束後4</w:t>
      </w:r>
      <w:proofErr w:type="gramStart"/>
      <w:r>
        <w:rPr>
          <w:rFonts w:ascii="標楷體" w:eastAsia="標楷體" w:hAnsi="標楷體"/>
          <w:color w:val="000000"/>
        </w:rPr>
        <w:t>週</w:t>
      </w:r>
      <w:proofErr w:type="gramEnd"/>
      <w:r>
        <w:rPr>
          <w:rFonts w:ascii="標楷體" w:eastAsia="標楷體" w:hAnsi="標楷體"/>
          <w:color w:val="000000"/>
        </w:rPr>
        <w:t>(104/12/1</w:t>
      </w:r>
      <w:proofErr w:type="gramStart"/>
      <w:r>
        <w:rPr>
          <w:rFonts w:ascii="標楷體" w:eastAsia="標楷體" w:hAnsi="標楷體"/>
          <w:color w:val="000000"/>
        </w:rPr>
        <w:t>）</w:t>
      </w:r>
      <w:proofErr w:type="gramEnd"/>
      <w:r>
        <w:rPr>
          <w:rFonts w:ascii="標楷體" w:eastAsia="標楷體" w:hAnsi="標楷體"/>
          <w:color w:val="000000"/>
        </w:rPr>
        <w:t>。</w:t>
      </w:r>
    </w:p>
    <w:p w14:paraId="52631B0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 xml:space="preserve">4.1.2.白血球生長激素(G-CSF)(101/6/1)： </w:t>
      </w:r>
    </w:p>
    <w:p w14:paraId="3F0FF4E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4.1.2.1.短效型注射劑（如filgrastim、</w:t>
      </w:r>
      <w:proofErr w:type="spellStart"/>
      <w:r>
        <w:rPr>
          <w:rFonts w:ascii="標楷體" w:eastAsia="標楷體" w:hAnsi="標楷體"/>
          <w:color w:val="000000"/>
        </w:rPr>
        <w:t>lenograstim</w:t>
      </w:r>
      <w:proofErr w:type="spellEnd"/>
      <w:r>
        <w:rPr>
          <w:rFonts w:ascii="標楷體" w:eastAsia="標楷體" w:hAnsi="標楷體"/>
          <w:color w:val="000000"/>
        </w:rPr>
        <w:t>）：(85/10/1、93/4/1、96/1/1、101/6/1)</w:t>
      </w:r>
    </w:p>
    <w:p w14:paraId="6232AE8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w:t>
      </w:r>
    </w:p>
    <w:p w14:paraId="4D5DAFB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(1)用於造血幹細胞移植患者。</w:t>
      </w:r>
    </w:p>
    <w:p w14:paraId="1E2A7D9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(2)血液惡性疾病</w:t>
      </w:r>
      <w:proofErr w:type="gramStart"/>
      <w:r>
        <w:rPr>
          <w:rFonts w:ascii="標楷體" w:eastAsia="標楷體" w:hAnsi="標楷體"/>
          <w:color w:val="000000"/>
        </w:rPr>
        <w:t>接受靜注化學治療</w:t>
      </w:r>
      <w:proofErr w:type="gramEnd"/>
      <w:r>
        <w:rPr>
          <w:rFonts w:ascii="標楷體" w:eastAsia="標楷體" w:hAnsi="標楷體"/>
          <w:color w:val="000000"/>
        </w:rPr>
        <w:t>後。</w:t>
      </w:r>
    </w:p>
    <w:p w14:paraId="5F218EC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(3)先天性或循環性中性白血球低下症者(當白血球數量少於1000/</w:t>
      </w:r>
      <w:proofErr w:type="spellStart"/>
      <w:r>
        <w:rPr>
          <w:rFonts w:ascii="標楷體" w:eastAsia="標楷體" w:hAnsi="標楷體"/>
          <w:color w:val="000000"/>
        </w:rPr>
        <w:t>cumm</w:t>
      </w:r>
      <w:proofErr w:type="spellEnd"/>
      <w:r>
        <w:rPr>
          <w:rFonts w:ascii="標楷體" w:eastAsia="標楷體" w:hAnsi="標楷體"/>
          <w:color w:val="000000"/>
        </w:rPr>
        <w:t>，或中性白血球 (ANC) 少於500/</w:t>
      </w:r>
      <w:proofErr w:type="spellStart"/>
      <w:r>
        <w:rPr>
          <w:rFonts w:ascii="標楷體" w:eastAsia="標楷體" w:hAnsi="標楷體"/>
          <w:color w:val="000000"/>
        </w:rPr>
        <w:t>cumm</w:t>
      </w:r>
      <w:proofErr w:type="spellEnd"/>
      <w:r>
        <w:rPr>
          <w:rFonts w:ascii="標楷體" w:eastAsia="標楷體" w:hAnsi="標楷體"/>
          <w:color w:val="000000"/>
        </w:rPr>
        <w:t>)。</w:t>
      </w:r>
    </w:p>
    <w:p w14:paraId="256E6E1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(4)其他惡性疾病患者在接受化學治療後，曾經發生白血球少於1000/</w:t>
      </w:r>
      <w:proofErr w:type="spellStart"/>
      <w:r>
        <w:rPr>
          <w:rFonts w:ascii="標楷體" w:eastAsia="標楷體" w:hAnsi="標楷體"/>
          <w:color w:val="000000"/>
        </w:rPr>
        <w:t>cumm</w:t>
      </w:r>
      <w:proofErr w:type="spellEnd"/>
      <w:r>
        <w:rPr>
          <w:rFonts w:ascii="標楷體" w:eastAsia="標楷體" w:hAnsi="標楷體"/>
          <w:color w:val="000000"/>
        </w:rPr>
        <w:t>，或中性白血球 (ANC) 少於500/</w:t>
      </w:r>
      <w:proofErr w:type="spellStart"/>
      <w:r>
        <w:rPr>
          <w:rFonts w:ascii="標楷體" w:eastAsia="標楷體" w:hAnsi="標楷體"/>
          <w:color w:val="000000"/>
        </w:rPr>
        <w:t>cumm</w:t>
      </w:r>
      <w:proofErr w:type="spellEnd"/>
      <w:r>
        <w:rPr>
          <w:rFonts w:ascii="標楷體" w:eastAsia="標楷體" w:hAnsi="標楷體"/>
          <w:color w:val="000000"/>
        </w:rPr>
        <w:t>者，即可使用。(96/1/1)</w:t>
      </w:r>
    </w:p>
    <w:p w14:paraId="1882120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(5)重度再生不良性貧血病人嚴重感染時使用，惟不得作為此類病人之預防性使用 。(86/9/1) </w:t>
      </w:r>
    </w:p>
    <w:p w14:paraId="50F9FCF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(6)化學治療，</w:t>
      </w:r>
      <w:proofErr w:type="gramStart"/>
      <w:r>
        <w:rPr>
          <w:rFonts w:ascii="標楷體" w:eastAsia="標楷體" w:hAnsi="標楷體"/>
          <w:color w:val="000000"/>
        </w:rPr>
        <w:t>併</w:t>
      </w:r>
      <w:proofErr w:type="gramEnd"/>
      <w:r>
        <w:rPr>
          <w:rFonts w:ascii="標楷體" w:eastAsia="標楷體" w:hAnsi="標楷體"/>
          <w:color w:val="000000"/>
        </w:rPr>
        <w:t>中性白血球缺乏之發燒，若中性白血球小於100/</w:t>
      </w:r>
      <w:proofErr w:type="spellStart"/>
      <w:r>
        <w:rPr>
          <w:rFonts w:ascii="標楷體" w:eastAsia="標楷體" w:hAnsi="標楷體"/>
          <w:color w:val="000000"/>
        </w:rPr>
        <w:t>cumm</w:t>
      </w:r>
      <w:proofErr w:type="spellEnd"/>
      <w:r>
        <w:rPr>
          <w:rFonts w:ascii="標楷體" w:eastAsia="標楷體" w:hAnsi="標楷體"/>
          <w:color w:val="000000"/>
        </w:rPr>
        <w:t>、癌症不受控制、肺炎、低血壓、多器官衰竭或侵犯性黴菌感染等危機程度高之感染。</w:t>
      </w:r>
    </w:p>
    <w:p w14:paraId="216B787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(7)對於骨髓造血功能不良症候群（MDS）的病人，若因嚴重性的中性白血球過低（ANC&lt;500/</w:t>
      </w:r>
      <w:proofErr w:type="spellStart"/>
      <w:r>
        <w:rPr>
          <w:rFonts w:ascii="標楷體" w:eastAsia="標楷體" w:hAnsi="標楷體"/>
          <w:color w:val="000000"/>
        </w:rPr>
        <w:t>cumm</w:t>
      </w:r>
      <w:proofErr w:type="spellEnd"/>
      <w:r>
        <w:rPr>
          <w:rFonts w:ascii="標楷體" w:eastAsia="標楷體" w:hAnsi="標楷體"/>
          <w:color w:val="000000"/>
        </w:rPr>
        <w:t>）而併發感染時，可間歇性使用G-CSF，但不得作為長期且常規性使用。</w:t>
      </w:r>
    </w:p>
    <w:p w14:paraId="32F82433"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(8)</w:t>
      </w:r>
      <w:proofErr w:type="gramStart"/>
      <w:r>
        <w:rPr>
          <w:rFonts w:ascii="標楷體" w:eastAsia="標楷體" w:hAnsi="標楷體"/>
          <w:color w:val="000000"/>
        </w:rPr>
        <w:t>週</w:t>
      </w:r>
      <w:proofErr w:type="gramEnd"/>
      <w:r>
        <w:rPr>
          <w:rFonts w:ascii="標楷體" w:eastAsia="標楷體" w:hAnsi="標楷體"/>
          <w:color w:val="000000"/>
        </w:rPr>
        <w:t>邊血液幹細胞的趨動</w:t>
      </w:r>
      <w:proofErr w:type="gramStart"/>
      <w:r>
        <w:rPr>
          <w:rFonts w:ascii="標楷體" w:eastAsia="標楷體" w:hAnsi="標楷體"/>
          <w:color w:val="000000"/>
        </w:rPr>
        <w:t>─</w:t>
      </w:r>
      <w:proofErr w:type="gramEnd"/>
      <w:r>
        <w:rPr>
          <w:rFonts w:ascii="標楷體" w:eastAsia="標楷體" w:hAnsi="標楷體"/>
          <w:color w:val="000000"/>
        </w:rPr>
        <w:t>不論在自體或異體幹細胞的收集，應於收集前之4~5日開始皮下注射G-CSF，其劑量為10μg /KG/day。</w:t>
      </w:r>
    </w:p>
    <w:p w14:paraId="7491854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2.患者如白血球超過4000/</w:t>
      </w:r>
      <w:proofErr w:type="spellStart"/>
      <w:r>
        <w:rPr>
          <w:rFonts w:ascii="標楷體" w:eastAsia="標楷體" w:hAnsi="標楷體"/>
          <w:color w:val="000000"/>
        </w:rPr>
        <w:t>cumm</w:t>
      </w:r>
      <w:proofErr w:type="spellEnd"/>
      <w:r>
        <w:rPr>
          <w:rFonts w:ascii="標楷體" w:eastAsia="標楷體" w:hAnsi="標楷體"/>
          <w:color w:val="000000"/>
        </w:rPr>
        <w:t>，或中性白血球超過2000/</w:t>
      </w:r>
      <w:proofErr w:type="spellStart"/>
      <w:r>
        <w:rPr>
          <w:rFonts w:ascii="標楷體" w:eastAsia="標楷體" w:hAnsi="標楷體"/>
          <w:color w:val="000000"/>
        </w:rPr>
        <w:t>cumm</w:t>
      </w:r>
      <w:proofErr w:type="spellEnd"/>
      <w:r>
        <w:rPr>
          <w:rFonts w:ascii="標楷體" w:eastAsia="標楷體" w:hAnsi="標楷體"/>
          <w:color w:val="000000"/>
        </w:rPr>
        <w:t>時，應即停藥。惟當預估其骨髓功能不易恢復時，雖其血球已達上述標準，仍可</w:t>
      </w:r>
      <w:proofErr w:type="gramStart"/>
      <w:r>
        <w:rPr>
          <w:rFonts w:ascii="標楷體" w:eastAsia="標楷體" w:hAnsi="標楷體"/>
          <w:color w:val="000000"/>
        </w:rPr>
        <w:t>給予半量之</w:t>
      </w:r>
      <w:proofErr w:type="gramEnd"/>
      <w:r>
        <w:rPr>
          <w:rFonts w:ascii="標楷體" w:eastAsia="標楷體" w:hAnsi="標楷體"/>
          <w:color w:val="000000"/>
        </w:rPr>
        <w:t>治療，若仍可維持血球數，則可給予四分之一劑量，若仍可維持血球數，則停用。任何時候，若白血球或中性白血球數過度增高，即應停藥。</w:t>
      </w:r>
    </w:p>
    <w:p w14:paraId="0DB1E875" w14:textId="77777777" w:rsidR="00ED43C3" w:rsidRDefault="00C64FB3" w:rsidP="00ED43C3">
      <w:pPr>
        <w:ind w:left="672" w:hanging="386"/>
        <w:rPr>
          <w:rFonts w:ascii="標楷體" w:eastAsia="標楷體" w:hAnsi="標楷體"/>
          <w:color w:val="000000"/>
        </w:rPr>
      </w:pPr>
      <w:r>
        <w:rPr>
          <w:rFonts w:ascii="標楷體" w:eastAsia="標楷體" w:hAnsi="標楷體"/>
          <w:color w:val="000000"/>
        </w:rPr>
        <w:t>4.1.2.2.</w:t>
      </w:r>
      <w:r w:rsidR="00ED43C3" w:rsidRPr="00ED43C3">
        <w:rPr>
          <w:rFonts w:ascii="標楷體" w:eastAsia="標楷體" w:hAnsi="標楷體"/>
          <w:color w:val="000000"/>
        </w:rPr>
        <w:t xml:space="preserve"> </w:t>
      </w:r>
      <w:r w:rsidR="00ED43C3">
        <w:rPr>
          <w:rFonts w:ascii="標楷體" w:eastAsia="標楷體" w:hAnsi="標楷體"/>
          <w:color w:val="000000"/>
        </w:rPr>
        <w:t>長效型注射劑(如</w:t>
      </w:r>
      <w:proofErr w:type="spellStart"/>
      <w:r w:rsidR="00ED43C3">
        <w:rPr>
          <w:rFonts w:ascii="標楷體" w:eastAsia="標楷體" w:hAnsi="標楷體"/>
          <w:color w:val="000000"/>
        </w:rPr>
        <w:t>pegfilgrastim</w:t>
      </w:r>
      <w:proofErr w:type="spellEnd"/>
      <w:r w:rsidR="00ED43C3">
        <w:rPr>
          <w:rFonts w:ascii="標楷體" w:eastAsia="標楷體" w:hAnsi="標楷體"/>
          <w:color w:val="000000"/>
        </w:rPr>
        <w:t>)：(101/6/1、112/10/1、113/11/1、114/9/1)</w:t>
      </w:r>
    </w:p>
    <w:p w14:paraId="7D2F7BE2" w14:textId="77777777" w:rsidR="00ED43C3" w:rsidRDefault="00ED43C3" w:rsidP="00ED43C3">
      <w:pPr>
        <w:ind w:left="851" w:hanging="600"/>
      </w:pPr>
      <w:r>
        <w:rPr>
          <w:rFonts w:ascii="標楷體" w:eastAsia="標楷體" w:hAnsi="標楷體"/>
          <w:color w:val="000000"/>
        </w:rPr>
        <w:t xml:space="preserve">   1.</w:t>
      </w:r>
      <w:r>
        <w:rPr>
          <w:rFonts w:ascii="標楷體" w:eastAsia="標楷體" w:hAnsi="標楷體"/>
          <w:color w:val="000000"/>
          <w:szCs w:val="24"/>
        </w:rPr>
        <w:t>限非骨髓性癌症病人(不限合併有骨髓侵犯)，在骨髓抑制性抗癌藥物治療後，且曾經發生白血球少於1000/</w:t>
      </w:r>
      <w:proofErr w:type="spellStart"/>
      <w:r>
        <w:rPr>
          <w:rFonts w:ascii="標楷體" w:eastAsia="標楷體" w:hAnsi="標楷體"/>
          <w:color w:val="000000"/>
          <w:szCs w:val="24"/>
        </w:rPr>
        <w:t>cumm</w:t>
      </w:r>
      <w:proofErr w:type="spellEnd"/>
      <w:r>
        <w:rPr>
          <w:rFonts w:ascii="標楷體" w:eastAsia="標楷體" w:hAnsi="標楷體"/>
          <w:color w:val="000000"/>
          <w:szCs w:val="24"/>
        </w:rPr>
        <w:t>，或嗜中性白血球(ANC)少於500/</w:t>
      </w:r>
      <w:proofErr w:type="spellStart"/>
      <w:r>
        <w:rPr>
          <w:rFonts w:ascii="標楷體" w:eastAsia="標楷體" w:hAnsi="標楷體"/>
          <w:color w:val="000000"/>
          <w:szCs w:val="24"/>
        </w:rPr>
        <w:t>cumm</w:t>
      </w:r>
      <w:proofErr w:type="spellEnd"/>
      <w:r>
        <w:rPr>
          <w:rFonts w:ascii="標楷體" w:eastAsia="標楷體" w:hAnsi="標楷體"/>
          <w:color w:val="000000"/>
          <w:szCs w:val="24"/>
        </w:rPr>
        <w:t>者使用。(112/10/1、113/11/1</w:t>
      </w:r>
      <w:r>
        <w:rPr>
          <w:rFonts w:ascii="標楷體" w:eastAsia="標楷體" w:hAnsi="標楷體"/>
          <w:color w:val="000000"/>
        </w:rPr>
        <w:t>、114/9/1</w:t>
      </w:r>
      <w:r>
        <w:rPr>
          <w:rFonts w:ascii="標楷體" w:eastAsia="標楷體" w:hAnsi="標楷體"/>
          <w:color w:val="000000"/>
          <w:szCs w:val="24"/>
        </w:rPr>
        <w:t xml:space="preserve">) </w:t>
      </w:r>
    </w:p>
    <w:p w14:paraId="21B093D3" w14:textId="77777777" w:rsidR="00401786" w:rsidRDefault="00ED43C3" w:rsidP="00ED43C3">
      <w:pPr>
        <w:spacing w:line="300" w:lineRule="exact"/>
        <w:ind w:left="672" w:hanging="386"/>
        <w:rPr>
          <w:rFonts w:ascii="標楷體" w:eastAsia="標楷體" w:hAnsi="標楷體"/>
          <w:color w:val="000000"/>
          <w:szCs w:val="24"/>
        </w:rPr>
      </w:pPr>
      <w:r>
        <w:rPr>
          <w:rFonts w:ascii="標楷體" w:eastAsia="標楷體" w:hAnsi="標楷體"/>
          <w:color w:val="000000"/>
          <w:szCs w:val="24"/>
        </w:rPr>
        <w:t xml:space="preserve">   2.同一化學治療</w:t>
      </w:r>
      <w:proofErr w:type="gramStart"/>
      <w:r>
        <w:rPr>
          <w:rFonts w:ascii="標楷體" w:eastAsia="標楷體" w:hAnsi="標楷體"/>
          <w:color w:val="000000"/>
          <w:szCs w:val="24"/>
        </w:rPr>
        <w:t>療程內限用</w:t>
      </w:r>
      <w:proofErr w:type="gramEnd"/>
      <w:r>
        <w:rPr>
          <w:rFonts w:ascii="標楷體" w:eastAsia="標楷體" w:hAnsi="標楷體"/>
          <w:color w:val="000000"/>
          <w:szCs w:val="24"/>
        </w:rPr>
        <w:t>1支，亦不可</w:t>
      </w:r>
      <w:proofErr w:type="gramStart"/>
      <w:r>
        <w:rPr>
          <w:rFonts w:ascii="標楷體" w:eastAsia="標楷體" w:hAnsi="標楷體"/>
          <w:color w:val="000000"/>
          <w:szCs w:val="24"/>
        </w:rPr>
        <w:t>併</w:t>
      </w:r>
      <w:proofErr w:type="gramEnd"/>
      <w:r>
        <w:rPr>
          <w:rFonts w:ascii="標楷體" w:eastAsia="標楷體" w:hAnsi="標楷體"/>
          <w:color w:val="000000"/>
          <w:szCs w:val="24"/>
        </w:rPr>
        <w:t>用短效型注射劑。(112/10/1)</w:t>
      </w:r>
    </w:p>
    <w:p w14:paraId="496E7E21" w14:textId="77777777" w:rsidR="006D7737" w:rsidRPr="006D7737" w:rsidRDefault="006D7737" w:rsidP="005D56BC">
      <w:pPr>
        <w:spacing w:line="300" w:lineRule="exact"/>
        <w:ind w:left="670" w:hanging="386"/>
        <w:rPr>
          <w:rFonts w:ascii="標楷體" w:eastAsia="標楷體" w:hAnsi="標楷體"/>
          <w:color w:val="000000"/>
        </w:rPr>
      </w:pPr>
      <w:r w:rsidRPr="006D7737">
        <w:rPr>
          <w:rFonts w:ascii="標楷體" w:eastAsia="標楷體" w:hAnsi="標楷體" w:hint="eastAsia"/>
          <w:color w:val="000000"/>
        </w:rPr>
        <w:t>4.2.血液代用製劑及血液成分製劑 blood substituents and blood components</w:t>
      </w:r>
    </w:p>
    <w:p w14:paraId="2EE9834B" w14:textId="77777777" w:rsidR="006D7737" w:rsidRPr="006D7737" w:rsidRDefault="006D7737" w:rsidP="005D56BC">
      <w:pPr>
        <w:spacing w:line="300" w:lineRule="exact"/>
        <w:ind w:left="670" w:hanging="386"/>
        <w:rPr>
          <w:rFonts w:ascii="標楷體" w:eastAsia="標楷體" w:hAnsi="標楷體"/>
          <w:color w:val="000000"/>
        </w:rPr>
      </w:pPr>
      <w:r w:rsidRPr="006D7737">
        <w:rPr>
          <w:rFonts w:ascii="標楷體" w:eastAsia="標楷體" w:hAnsi="標楷體" w:hint="eastAsia"/>
          <w:color w:val="000000"/>
        </w:rPr>
        <w:t>相關表單如下：</w:t>
      </w:r>
    </w:p>
    <w:p w14:paraId="78342C3B"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◎附表四：全民健康保險使用Human Albumin申報表(96/6/1、104/11/1)</w:t>
      </w:r>
    </w:p>
    <w:p w14:paraId="0491D9EF"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◎附表五：全民健康保險使用繞徑治療藥物申報表(93/7/1、103/9/1、108/10/1)</w:t>
      </w:r>
    </w:p>
    <w:p w14:paraId="6A625B19"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◎附表十八之</w:t>
      </w:r>
      <w:proofErr w:type="gramStart"/>
      <w:r w:rsidRPr="005D56BC">
        <w:rPr>
          <w:rFonts w:ascii="標楷體" w:eastAsia="標楷體" w:hAnsi="標楷體" w:hint="eastAsia"/>
          <w:color w:val="000000"/>
        </w:rPr>
        <w:t>一</w:t>
      </w:r>
      <w:proofErr w:type="gramEnd"/>
      <w:r w:rsidRPr="005D56BC">
        <w:rPr>
          <w:rFonts w:ascii="標楷體" w:eastAsia="標楷體" w:hAnsi="標楷體" w:hint="eastAsia"/>
          <w:color w:val="000000"/>
        </w:rPr>
        <w:t>：全民健康保險血友病患者使用「第八、第九凝血因子」在家治療紀錄表</w:t>
      </w:r>
      <w:proofErr w:type="gramStart"/>
      <w:r w:rsidRPr="005D56BC">
        <w:rPr>
          <w:rFonts w:ascii="標楷體" w:eastAsia="標楷體" w:hAnsi="標楷體" w:hint="eastAsia"/>
          <w:color w:val="000000"/>
        </w:rPr>
        <w:t>（</w:t>
      </w:r>
      <w:proofErr w:type="gramEnd"/>
      <w:r w:rsidRPr="005D56BC">
        <w:rPr>
          <w:rFonts w:ascii="標楷體" w:eastAsia="標楷體" w:hAnsi="標楷體" w:hint="eastAsia"/>
          <w:color w:val="000000"/>
        </w:rPr>
        <w:t>103/4/1、109/6/1)</w:t>
      </w:r>
    </w:p>
    <w:p w14:paraId="5A4DAD8A"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◎附表十八之二：全民健康保險血友病患者使用「繞徑治療藥物」在家治療紀錄表</w:t>
      </w:r>
      <w:proofErr w:type="gramStart"/>
      <w:r w:rsidRPr="005D56BC">
        <w:rPr>
          <w:rFonts w:ascii="標楷體" w:eastAsia="標楷體" w:hAnsi="標楷體" w:hint="eastAsia"/>
          <w:color w:val="000000"/>
        </w:rPr>
        <w:t>（</w:t>
      </w:r>
      <w:proofErr w:type="gramEnd"/>
      <w:r w:rsidRPr="005D56BC">
        <w:rPr>
          <w:rFonts w:ascii="標楷體" w:eastAsia="標楷體" w:hAnsi="標楷體" w:hint="eastAsia"/>
          <w:color w:val="000000"/>
        </w:rPr>
        <w:t>103/4/1、108/10/1、109/6/1)</w:t>
      </w:r>
    </w:p>
    <w:p w14:paraId="710770B4"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◎附表十八之</w:t>
      </w:r>
      <w:proofErr w:type="gramStart"/>
      <w:r w:rsidRPr="005D56BC">
        <w:rPr>
          <w:rFonts w:ascii="標楷體" w:eastAsia="標楷體" w:hAnsi="標楷體" w:hint="eastAsia"/>
          <w:color w:val="000000"/>
        </w:rPr>
        <w:t>三</w:t>
      </w:r>
      <w:proofErr w:type="gramEnd"/>
      <w:r w:rsidRPr="005D56BC">
        <w:rPr>
          <w:rFonts w:ascii="標楷體" w:eastAsia="標楷體" w:hAnsi="標楷體" w:hint="eastAsia"/>
          <w:color w:val="000000"/>
        </w:rPr>
        <w:t>：全民健康保險一般型血友病患需要時</w:t>
      </w:r>
      <w:proofErr w:type="gramStart"/>
      <w:r w:rsidRPr="005D56BC">
        <w:rPr>
          <w:rFonts w:ascii="標楷體" w:eastAsia="標楷體" w:hAnsi="標楷體" w:hint="eastAsia"/>
          <w:color w:val="000000"/>
        </w:rPr>
        <w:t>治療之凝血</w:t>
      </w:r>
      <w:proofErr w:type="gramEnd"/>
      <w:r w:rsidRPr="005D56BC">
        <w:rPr>
          <w:rFonts w:ascii="標楷體" w:eastAsia="標楷體" w:hAnsi="標楷體" w:hint="eastAsia"/>
          <w:color w:val="000000"/>
        </w:rPr>
        <w:t>因子建議劑量(103/4/1、106/9/1、111/3/1、113/7/1)</w:t>
      </w:r>
    </w:p>
    <w:p w14:paraId="457BA6F8"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◎附表十八之四：全民健康保險血友病患者使用「第十三凝血因子」在家治療紀錄表(107/8/1、109/6/1)</w:t>
      </w:r>
    </w:p>
    <w:p w14:paraId="33C1626B"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◎附表十八之五：重型血友病患「醫療評估追蹤紀錄表」(108/10/1、115/8/1、115/10/1、115/11/1)</w:t>
      </w:r>
    </w:p>
    <w:p w14:paraId="1CE9730C" w14:textId="77777777" w:rsidR="005D56BC" w:rsidRPr="005D56BC"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◎附表十八之六：全民健康保險血友病患者使用「雙特異性單株抗體藥物」在家治療紀錄表(109/8/1)</w:t>
      </w:r>
    </w:p>
    <w:p w14:paraId="58D55A8B" w14:textId="728879E0" w:rsidR="006D7737" w:rsidRDefault="005D56BC" w:rsidP="005D56BC">
      <w:pPr>
        <w:spacing w:line="300" w:lineRule="exact"/>
        <w:ind w:left="670" w:hanging="386"/>
        <w:rPr>
          <w:rFonts w:ascii="標楷體" w:eastAsia="標楷體" w:hAnsi="標楷體"/>
          <w:color w:val="000000"/>
        </w:rPr>
      </w:pPr>
      <w:r w:rsidRPr="005D56BC">
        <w:rPr>
          <w:rFonts w:ascii="標楷體" w:eastAsia="標楷體" w:hAnsi="標楷體" w:hint="eastAsia"/>
          <w:color w:val="000000"/>
        </w:rPr>
        <w:t>◎附表十八之七：全民健康保險血友病患者使用</w:t>
      </w:r>
      <w:proofErr w:type="spellStart"/>
      <w:r w:rsidRPr="005D56BC">
        <w:rPr>
          <w:rFonts w:ascii="標楷體" w:eastAsia="標楷體" w:hAnsi="標楷體" w:hint="eastAsia"/>
          <w:color w:val="000000"/>
        </w:rPr>
        <w:t>Alhemo</w:t>
      </w:r>
      <w:proofErr w:type="spellEnd"/>
      <w:r w:rsidRPr="005D56BC">
        <w:rPr>
          <w:rFonts w:ascii="標楷體" w:eastAsia="標楷體" w:hAnsi="標楷體" w:hint="eastAsia"/>
          <w:color w:val="000000"/>
        </w:rPr>
        <w:t xml:space="preserve"> (</w:t>
      </w:r>
      <w:proofErr w:type="spellStart"/>
      <w:r w:rsidRPr="005D56BC">
        <w:rPr>
          <w:rFonts w:ascii="標楷體" w:eastAsia="標楷體" w:hAnsi="標楷體" w:hint="eastAsia"/>
          <w:color w:val="000000"/>
        </w:rPr>
        <w:t>concizumab</w:t>
      </w:r>
      <w:proofErr w:type="spellEnd"/>
      <w:r w:rsidRPr="005D56BC">
        <w:rPr>
          <w:rFonts w:ascii="標楷體" w:eastAsia="標楷體" w:hAnsi="標楷體" w:hint="eastAsia"/>
          <w:color w:val="000000"/>
        </w:rPr>
        <w:t>)在家治療紀錄(115/11/1</w:t>
      </w:r>
      <w:r w:rsidR="006D7737" w:rsidRPr="006D7737">
        <w:rPr>
          <w:rFonts w:ascii="標楷體" w:eastAsia="標楷體" w:hAnsi="標楷體" w:hint="eastAsia"/>
          <w:color w:val="000000"/>
        </w:rPr>
        <w:t>)</w:t>
      </w:r>
    </w:p>
    <w:p w14:paraId="0EEBD159" w14:textId="7C515FCE" w:rsidR="00401786" w:rsidRDefault="00C64FB3" w:rsidP="006D7737">
      <w:pPr>
        <w:spacing w:line="300" w:lineRule="exact"/>
        <w:ind w:left="432" w:hanging="386"/>
        <w:rPr>
          <w:rFonts w:ascii="標楷體" w:eastAsia="標楷體" w:hAnsi="標楷體"/>
          <w:color w:val="000000"/>
        </w:rPr>
      </w:pPr>
      <w:bookmarkStart w:id="9" w:name="_Hlk243322216"/>
      <w:r>
        <w:rPr>
          <w:rFonts w:ascii="標楷體" w:eastAsia="標楷體" w:hAnsi="標楷體"/>
          <w:color w:val="000000"/>
        </w:rPr>
        <w:t>4.2.1.Human Albumin：（100/8/1、111/2/1）</w:t>
      </w:r>
      <w:bookmarkEnd w:id="9"/>
    </w:p>
    <w:p w14:paraId="07CB038D" w14:textId="77777777" w:rsidR="00401786" w:rsidRDefault="00C64FB3" w:rsidP="006D7737">
      <w:pPr>
        <w:spacing w:line="300" w:lineRule="exact"/>
        <w:ind w:left="811" w:hanging="245"/>
        <w:rPr>
          <w:rFonts w:ascii="標楷體" w:eastAsia="標楷體" w:hAnsi="標楷體"/>
          <w:color w:val="000000"/>
        </w:rPr>
      </w:pPr>
      <w:r>
        <w:rPr>
          <w:rFonts w:ascii="標楷體" w:eastAsia="標楷體" w:hAnsi="標楷體"/>
          <w:color w:val="000000"/>
        </w:rPr>
        <w:lastRenderedPageBreak/>
        <w:t>1.本保險對象因病使用Human Albumin以符合下列適應症為限：（96/6/1、104/11/1、111/2/1）</w:t>
      </w:r>
    </w:p>
    <w:p w14:paraId="1253DEE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(1)休克病人擴充有效循環血液量</w:t>
      </w:r>
    </w:p>
    <w:p w14:paraId="369A79D1"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Ⅰ休克病人至少已給生理鹽水或林</w:t>
      </w:r>
      <w:proofErr w:type="gramStart"/>
      <w:r>
        <w:rPr>
          <w:rFonts w:ascii="標楷體" w:eastAsia="標楷體" w:hAnsi="標楷體"/>
          <w:color w:val="000000"/>
        </w:rPr>
        <w:t>格爾液等</w:t>
      </w:r>
      <w:proofErr w:type="gramEnd"/>
      <w:r>
        <w:rPr>
          <w:rFonts w:ascii="標楷體" w:eastAsia="標楷體" w:hAnsi="標楷體"/>
          <w:color w:val="000000"/>
        </w:rPr>
        <w:t>類溶液1000 mL後尚不能維持穩定血流動態，</w:t>
      </w:r>
      <w:proofErr w:type="gramStart"/>
      <w:r>
        <w:rPr>
          <w:rFonts w:ascii="標楷體" w:eastAsia="標楷體" w:hAnsi="標楷體"/>
          <w:color w:val="000000"/>
        </w:rPr>
        <w:t>血比容</w:t>
      </w:r>
      <w:proofErr w:type="gramEnd"/>
      <w:r>
        <w:rPr>
          <w:rFonts w:ascii="標楷體" w:eastAsia="標楷體" w:hAnsi="標楷體"/>
          <w:color w:val="000000"/>
        </w:rPr>
        <w:t xml:space="preserve"> (hematocrit) ＞30%，或血色素 (hemoglobin) ＞10 gm/dL需要繼續靜脈輸液時，宜優先使用</w:t>
      </w:r>
      <w:proofErr w:type="gramStart"/>
      <w:r>
        <w:rPr>
          <w:rFonts w:ascii="標楷體" w:eastAsia="標楷體" w:hAnsi="標楷體"/>
          <w:color w:val="000000"/>
        </w:rPr>
        <w:t>合成膠類溶液</w:t>
      </w:r>
      <w:proofErr w:type="gramEnd"/>
      <w:r>
        <w:rPr>
          <w:rFonts w:ascii="標楷體" w:eastAsia="標楷體" w:hAnsi="標楷體"/>
          <w:color w:val="000000"/>
        </w:rPr>
        <w:t>，如dextran、</w:t>
      </w:r>
      <w:proofErr w:type="spellStart"/>
      <w:r>
        <w:rPr>
          <w:rFonts w:ascii="標楷體" w:eastAsia="標楷體" w:hAnsi="標楷體"/>
          <w:color w:val="000000"/>
        </w:rPr>
        <w:t>hydroxyethylstarch</w:t>
      </w:r>
      <w:proofErr w:type="spellEnd"/>
      <w:r>
        <w:rPr>
          <w:rFonts w:ascii="標楷體" w:eastAsia="標楷體" w:hAnsi="標楷體"/>
          <w:color w:val="000000"/>
        </w:rPr>
        <w:t>、</w:t>
      </w:r>
      <w:proofErr w:type="spellStart"/>
      <w:r>
        <w:rPr>
          <w:rFonts w:ascii="標楷體" w:eastAsia="標楷體" w:hAnsi="標楷體"/>
          <w:color w:val="000000"/>
        </w:rPr>
        <w:t>polyvinylpyrolidone</w:t>
      </w:r>
      <w:proofErr w:type="spellEnd"/>
      <w:r>
        <w:rPr>
          <w:rFonts w:ascii="標楷體" w:eastAsia="標楷體" w:hAnsi="標楷體"/>
          <w:color w:val="000000"/>
        </w:rPr>
        <w:t>等。若無上述合適製劑，可給白蛋白溶液，每一病人</w:t>
      </w:r>
      <w:proofErr w:type="gramStart"/>
      <w:r>
        <w:rPr>
          <w:rFonts w:ascii="標楷體" w:eastAsia="標楷體" w:hAnsi="標楷體"/>
          <w:color w:val="000000"/>
        </w:rPr>
        <w:t>用量限</w:t>
      </w:r>
      <w:proofErr w:type="gramEnd"/>
      <w:r>
        <w:rPr>
          <w:rFonts w:ascii="標楷體" w:eastAsia="標楷體" w:hAnsi="標楷體"/>
          <w:color w:val="000000"/>
        </w:rPr>
        <w:t>50 gm。（86/1/1）</w:t>
      </w:r>
    </w:p>
    <w:p w14:paraId="5F40081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Ⅱ70歲以上及2歲以下或</w:t>
      </w:r>
      <w:proofErr w:type="gramStart"/>
      <w:r>
        <w:rPr>
          <w:rFonts w:ascii="標楷體" w:eastAsia="標楷體" w:hAnsi="標楷體"/>
          <w:color w:val="000000"/>
        </w:rPr>
        <w:t>併</w:t>
      </w:r>
      <w:proofErr w:type="gramEnd"/>
      <w:r>
        <w:rPr>
          <w:rFonts w:ascii="標楷體" w:eastAsia="標楷體" w:hAnsi="標楷體"/>
          <w:color w:val="000000"/>
        </w:rPr>
        <w:t>有心衰竭的休克病人，無法忍受太多靜脈輸液時，可一開始即使用白蛋白溶液，每一病人</w:t>
      </w:r>
      <w:proofErr w:type="gramStart"/>
      <w:r>
        <w:rPr>
          <w:rFonts w:ascii="標楷體" w:eastAsia="標楷體" w:hAnsi="標楷體"/>
          <w:color w:val="000000"/>
        </w:rPr>
        <w:t>用量限</w:t>
      </w:r>
      <w:proofErr w:type="gramEnd"/>
      <w:r>
        <w:rPr>
          <w:rFonts w:ascii="標楷體" w:eastAsia="標楷體" w:hAnsi="標楷體"/>
          <w:color w:val="000000"/>
        </w:rPr>
        <w:t>50 gm。(111/2/1</w:t>
      </w:r>
      <w:proofErr w:type="gramStart"/>
      <w:r>
        <w:rPr>
          <w:rFonts w:ascii="標楷體" w:eastAsia="標楷體" w:hAnsi="標楷體"/>
          <w:color w:val="000000"/>
        </w:rPr>
        <w:t>）</w:t>
      </w:r>
      <w:proofErr w:type="gramEnd"/>
    </w:p>
    <w:p w14:paraId="36841B6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(2)病危、有腹水或水腫</w:t>
      </w:r>
      <w:proofErr w:type="gramStart"/>
      <w:r>
        <w:rPr>
          <w:rFonts w:ascii="標楷體" w:eastAsia="標楷體" w:hAnsi="標楷體"/>
          <w:color w:val="000000"/>
        </w:rPr>
        <w:t>併</w:t>
      </w:r>
      <w:proofErr w:type="gramEnd"/>
      <w:r>
        <w:rPr>
          <w:rFonts w:ascii="標楷體" w:eastAsia="標楷體" w:hAnsi="標楷體"/>
          <w:color w:val="000000"/>
        </w:rPr>
        <w:t>有血清白蛋白濃度偏低病人</w:t>
      </w:r>
    </w:p>
    <w:p w14:paraId="051CE4B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Ⅰ血清白蛋白濃度低於 2.5 gm/dL</w:t>
      </w:r>
    </w:p>
    <w:p w14:paraId="407FECB8" w14:textId="77777777" w:rsidR="00401786" w:rsidRDefault="00C64FB3" w:rsidP="0009639E">
      <w:pPr>
        <w:spacing w:line="300" w:lineRule="exact"/>
        <w:ind w:left="1413" w:hanging="44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肝硬化症 (有相當之腹水或併發水腫) 每日最多用量限25 gm。</w:t>
      </w:r>
    </w:p>
    <w:p w14:paraId="06A92251"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腎病症候群 (嚴重蛋白尿致血清白蛋白下降)，每日最多用量限25 gm。</w:t>
      </w:r>
    </w:p>
    <w:p w14:paraId="21963E3E"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嚴重燒燙傷。</w:t>
      </w:r>
    </w:p>
    <w:p w14:paraId="1BDE8893"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iv</w:t>
      </w:r>
      <w:r>
        <w:rPr>
          <w:rFonts w:ascii="標楷體" w:eastAsia="標楷體" w:hAnsi="標楷體"/>
          <w:color w:val="000000"/>
        </w:rPr>
        <w:tab/>
        <w:t>肝移植。</w:t>
      </w:r>
    </w:p>
    <w:p w14:paraId="432A1DC8"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 xml:space="preserve">v. </w:t>
      </w:r>
      <w:r>
        <w:rPr>
          <w:rFonts w:ascii="標楷體" w:eastAsia="標楷體" w:hAnsi="標楷體"/>
          <w:color w:val="000000"/>
        </w:rPr>
        <w:tab/>
      </w:r>
      <w:proofErr w:type="gramStart"/>
      <w:r>
        <w:rPr>
          <w:rFonts w:ascii="標楷體" w:eastAsia="標楷體" w:hAnsi="標楷體"/>
          <w:color w:val="000000"/>
        </w:rPr>
        <w:t>蛋白質流失性腸症(</w:t>
      </w:r>
      <w:proofErr w:type="gramEnd"/>
      <w:r>
        <w:rPr>
          <w:rFonts w:ascii="標楷體" w:eastAsia="標楷體" w:hAnsi="標楷體"/>
          <w:color w:val="000000"/>
        </w:rPr>
        <w:t>protein-losing enteropathy) (104/11/1）</w:t>
      </w:r>
    </w:p>
    <w:p w14:paraId="41C56C34" w14:textId="77777777" w:rsidR="00401786" w:rsidRDefault="00C64FB3" w:rsidP="0009639E">
      <w:pPr>
        <w:spacing w:line="300" w:lineRule="exact"/>
        <w:ind w:left="1411" w:firstLine="5"/>
        <w:rPr>
          <w:rFonts w:ascii="標楷體" w:eastAsia="標楷體" w:hAnsi="標楷體"/>
          <w:color w:val="000000"/>
        </w:rPr>
      </w:pPr>
      <w:r>
        <w:rPr>
          <w:rFonts w:ascii="標楷體" w:eastAsia="標楷體" w:hAnsi="標楷體"/>
          <w:color w:val="000000"/>
        </w:rPr>
        <w:t>依下列規範使用：</w:t>
      </w:r>
    </w:p>
    <w:p w14:paraId="4DD4EBF8" w14:textId="77777777" w:rsidR="00401786" w:rsidRDefault="00C64FB3" w:rsidP="0009639E">
      <w:pPr>
        <w:spacing w:line="300" w:lineRule="exact"/>
        <w:ind w:left="1841" w:hanging="425"/>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)經內視鏡或手術或病理報告證實為蛋白質</w:t>
      </w:r>
      <w:proofErr w:type="gramStart"/>
      <w:r>
        <w:rPr>
          <w:rFonts w:ascii="標楷體" w:eastAsia="標楷體" w:hAnsi="標楷體"/>
          <w:color w:val="000000"/>
        </w:rPr>
        <w:t>流失性腸症</w:t>
      </w:r>
      <w:proofErr w:type="gramEnd"/>
      <w:r>
        <w:rPr>
          <w:rFonts w:ascii="標楷體" w:eastAsia="標楷體" w:hAnsi="標楷體"/>
          <w:color w:val="000000"/>
        </w:rPr>
        <w:t>；或糞便alpha-1-antitrypsin 升高。</w:t>
      </w:r>
    </w:p>
    <w:p w14:paraId="7C6D6434" w14:textId="77777777" w:rsidR="00401786" w:rsidRDefault="00C64FB3" w:rsidP="0009639E">
      <w:pPr>
        <w:spacing w:line="300" w:lineRule="exact"/>
        <w:ind w:left="1841" w:hanging="425"/>
      </w:pPr>
      <w:r>
        <w:rPr>
          <w:rFonts w:ascii="標楷體" w:eastAsia="標楷體" w:hAnsi="標楷體"/>
          <w:color w:val="000000"/>
        </w:rPr>
        <w:t>(ii)</w:t>
      </w:r>
      <w:r>
        <w:t xml:space="preserve"> </w:t>
      </w:r>
      <w:r>
        <w:rPr>
          <w:rFonts w:ascii="標楷體" w:eastAsia="標楷體" w:hAnsi="標楷體"/>
          <w:color w:val="000000"/>
        </w:rPr>
        <w:t>18歲以下。(111/2/1</w:t>
      </w:r>
      <w:proofErr w:type="gramStart"/>
      <w:r>
        <w:rPr>
          <w:rFonts w:ascii="標楷體" w:eastAsia="標楷體" w:hAnsi="標楷體"/>
          <w:color w:val="000000"/>
        </w:rPr>
        <w:t>）</w:t>
      </w:r>
      <w:proofErr w:type="gramEnd"/>
    </w:p>
    <w:p w14:paraId="0BAA1A4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Ⅱ血清白蛋白濃度低於 3.0 gm/dL（96/6/1）</w:t>
      </w:r>
    </w:p>
    <w:p w14:paraId="17BFB5BF" w14:textId="77777777" w:rsidR="00401786" w:rsidRDefault="00C64FB3" w:rsidP="0009639E">
      <w:pPr>
        <w:spacing w:line="300" w:lineRule="exact"/>
        <w:ind w:left="1413" w:hanging="44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ab/>
        <w:t>嚴重肺水腫。</w:t>
      </w:r>
    </w:p>
    <w:p w14:paraId="30AC1596"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r>
      <w:proofErr w:type="gramStart"/>
      <w:r>
        <w:rPr>
          <w:rFonts w:ascii="標楷體" w:eastAsia="標楷體" w:hAnsi="標楷體"/>
          <w:color w:val="000000"/>
        </w:rPr>
        <w:t>大量肝</w:t>
      </w:r>
      <w:proofErr w:type="gramEnd"/>
      <w:r>
        <w:rPr>
          <w:rFonts w:ascii="標楷體" w:eastAsia="標楷體" w:hAnsi="標楷體"/>
          <w:color w:val="000000"/>
        </w:rPr>
        <w:t>切除（＞40 %）</w:t>
      </w:r>
    </w:p>
    <w:p w14:paraId="54C4F3F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Ⅲ開心手術用於維持體外循環液，</w:t>
      </w:r>
      <w:proofErr w:type="gramStart"/>
      <w:r>
        <w:rPr>
          <w:rFonts w:ascii="標楷體" w:eastAsia="標楷體" w:hAnsi="標楷體"/>
          <w:color w:val="000000"/>
        </w:rPr>
        <w:t>用量限</w:t>
      </w:r>
      <w:proofErr w:type="gramEnd"/>
      <w:r>
        <w:rPr>
          <w:rFonts w:ascii="標楷體" w:eastAsia="標楷體" w:hAnsi="標楷體"/>
          <w:color w:val="000000"/>
        </w:rPr>
        <w:t xml:space="preserve"> 37.5 gm。</w:t>
      </w:r>
    </w:p>
    <w:p w14:paraId="22D0D1E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2.注意事項</w:t>
      </w:r>
    </w:p>
    <w:p w14:paraId="40107B9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(1)血清白蛋白濃度檢驗日期限最近3天</w:t>
      </w:r>
      <w:proofErr w:type="gramStart"/>
      <w:r>
        <w:rPr>
          <w:rFonts w:ascii="標楷體" w:eastAsia="標楷體" w:hAnsi="標楷體"/>
          <w:color w:val="000000"/>
        </w:rPr>
        <w:t>以內，</w:t>
      </w:r>
      <w:proofErr w:type="gramEnd"/>
      <w:r>
        <w:rPr>
          <w:rFonts w:ascii="標楷體" w:eastAsia="標楷體" w:hAnsi="標楷體"/>
          <w:color w:val="000000"/>
        </w:rPr>
        <w:t>如係多次注射，限上次注射後，最近3天內之結果。</w:t>
      </w:r>
    </w:p>
    <w:p w14:paraId="5361CA9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(2)醫院於病例發生時，應填寫「全民健康保險病人使用Human Albumin申報表」(請詳附表四)，並附原始治療</w:t>
      </w:r>
      <w:proofErr w:type="gramStart"/>
      <w:r>
        <w:rPr>
          <w:rFonts w:ascii="標楷體" w:eastAsia="標楷體" w:hAnsi="標楷體"/>
          <w:color w:val="000000"/>
        </w:rPr>
        <w:t>醫囑單於當</w:t>
      </w:r>
      <w:proofErr w:type="gramEnd"/>
      <w:r>
        <w:rPr>
          <w:rFonts w:ascii="標楷體" w:eastAsia="標楷體" w:hAnsi="標楷體"/>
          <w:color w:val="000000"/>
        </w:rPr>
        <w:t>月份申報醫療費用時送局辦理。</w:t>
      </w:r>
    </w:p>
    <w:p w14:paraId="69A6A773"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(3)醫療機構、醫師開立使用血液</w:t>
      </w:r>
      <w:proofErr w:type="gramStart"/>
      <w:r>
        <w:rPr>
          <w:rFonts w:ascii="標楷體" w:eastAsia="標楷體" w:hAnsi="標楷體"/>
          <w:color w:val="000000"/>
        </w:rPr>
        <w:t>製劑時</w:t>
      </w:r>
      <w:proofErr w:type="gramEnd"/>
      <w:r>
        <w:rPr>
          <w:rFonts w:ascii="標楷體" w:eastAsia="標楷體" w:hAnsi="標楷體"/>
          <w:color w:val="000000"/>
        </w:rPr>
        <w:t>，應依血液製劑條例之規定辦理。（100/8/1）</w:t>
      </w:r>
    </w:p>
    <w:p w14:paraId="3972CC61"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 xml:space="preserve">4.2.2.繞徑治療藥物(活化的第七因子 </w:t>
      </w:r>
      <w:proofErr w:type="spellStart"/>
      <w:r>
        <w:rPr>
          <w:rFonts w:ascii="標楷體" w:eastAsia="標楷體" w:hAnsi="標楷體"/>
          <w:color w:val="000000"/>
        </w:rPr>
        <w:t>rVIIa</w:t>
      </w:r>
      <w:proofErr w:type="spellEnd"/>
      <w:r>
        <w:rPr>
          <w:rFonts w:ascii="標楷體" w:eastAsia="標楷體" w:hAnsi="標楷體"/>
          <w:color w:val="000000"/>
        </w:rPr>
        <w:t>, 如</w:t>
      </w:r>
      <w:proofErr w:type="spellStart"/>
      <w:r>
        <w:rPr>
          <w:rFonts w:ascii="標楷體" w:eastAsia="標楷體" w:hAnsi="標楷體"/>
          <w:color w:val="000000"/>
        </w:rPr>
        <w:t>NovoSeven</w:t>
      </w:r>
      <w:proofErr w:type="spellEnd"/>
      <w:r>
        <w:rPr>
          <w:rFonts w:ascii="標楷體" w:eastAsia="標楷體" w:hAnsi="標楷體"/>
          <w:color w:val="000000"/>
        </w:rPr>
        <w:t>和活化的凝血酶原複合物濃縮劑 APCC, 如</w:t>
      </w:r>
      <w:proofErr w:type="spellStart"/>
      <w:r>
        <w:rPr>
          <w:rFonts w:ascii="標楷體" w:eastAsia="標楷體" w:hAnsi="標楷體"/>
          <w:color w:val="000000"/>
        </w:rPr>
        <w:t>Feiba</w:t>
      </w:r>
      <w:proofErr w:type="spellEnd"/>
      <w:r>
        <w:rPr>
          <w:rFonts w:ascii="標楷體" w:eastAsia="標楷體" w:hAnsi="標楷體"/>
          <w:color w:val="000000"/>
        </w:rPr>
        <w:t>)：(88/6/1、93/7/1、94/2/1、98/8/1、103/4/1、105/2/1、105/8/1、108/10/1、109/12/1)</w:t>
      </w:r>
    </w:p>
    <w:p w14:paraId="04178AC5"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1.門診之血友病</w:t>
      </w:r>
      <w:proofErr w:type="gramStart"/>
      <w:r>
        <w:rPr>
          <w:rFonts w:ascii="標楷體" w:eastAsia="標楷體" w:hAnsi="標楷體"/>
          <w:color w:val="000000"/>
        </w:rPr>
        <w:t>人得攜回</w:t>
      </w:r>
      <w:proofErr w:type="gramEnd"/>
      <w:r>
        <w:rPr>
          <w:rFonts w:ascii="標楷體" w:eastAsia="標楷體" w:hAnsi="標楷體"/>
          <w:color w:val="000000"/>
        </w:rPr>
        <w:t>二~三劑量繞徑治療藥物備用(施打</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IV單次注射劑量除外)，繼續治療時，比照</w:t>
      </w:r>
      <w:proofErr w:type="gramStart"/>
      <w:r>
        <w:rPr>
          <w:rFonts w:ascii="標楷體" w:eastAsia="標楷體" w:hAnsi="標楷體"/>
          <w:color w:val="000000"/>
        </w:rPr>
        <w:t>化療以</w:t>
      </w:r>
      <w:proofErr w:type="gramEnd"/>
      <w:r>
        <w:rPr>
          <w:rFonts w:ascii="標楷體" w:eastAsia="標楷體" w:hAnsi="標楷體"/>
          <w:color w:val="000000"/>
        </w:rPr>
        <w:t>「療程」方式處理，並查驗上次治療紀錄（如附表十八之二</w:t>
      </w:r>
      <w:proofErr w:type="gramStart"/>
      <w:r>
        <w:rPr>
          <w:rFonts w:ascii="標楷體" w:eastAsia="標楷體" w:hAnsi="標楷體"/>
          <w:color w:val="000000"/>
        </w:rPr>
        <w:t>─</w:t>
      </w:r>
      <w:proofErr w:type="gramEnd"/>
      <w:r>
        <w:rPr>
          <w:rFonts w:ascii="標楷體" w:eastAsia="標楷體" w:hAnsi="標楷體"/>
          <w:color w:val="000000"/>
        </w:rPr>
        <w:t>全民健康保險血友病患者使用「繞徑治療藥物」在家治療紀錄）及登錄醫療評估追蹤紀錄表(附表十八之五)。醫療機構、醫師開立使用血液</w:t>
      </w:r>
      <w:proofErr w:type="gramStart"/>
      <w:r>
        <w:rPr>
          <w:rFonts w:ascii="標楷體" w:eastAsia="標楷體" w:hAnsi="標楷體"/>
          <w:color w:val="000000"/>
        </w:rPr>
        <w:t>製劑時</w:t>
      </w:r>
      <w:proofErr w:type="gramEnd"/>
      <w:r>
        <w:rPr>
          <w:rFonts w:ascii="標楷體" w:eastAsia="標楷體" w:hAnsi="標楷體"/>
          <w:color w:val="000000"/>
        </w:rPr>
        <w:t>，應依血液製劑條例之規定辦理。</w:t>
      </w:r>
      <w:proofErr w:type="gramStart"/>
      <w:r>
        <w:rPr>
          <w:rFonts w:ascii="標楷體" w:eastAsia="標楷體" w:hAnsi="標楷體"/>
          <w:color w:val="000000"/>
        </w:rPr>
        <w:t>（</w:t>
      </w:r>
      <w:proofErr w:type="gramEnd"/>
      <w:r>
        <w:rPr>
          <w:rFonts w:ascii="標楷體" w:eastAsia="標楷體" w:hAnsi="標楷體"/>
          <w:color w:val="000000"/>
        </w:rPr>
        <w:t>103/4/1、108/10/1、109/12/1)</w:t>
      </w:r>
    </w:p>
    <w:p w14:paraId="16335FC4"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2.缺乏第七凝血因子之病患：</w:t>
      </w:r>
    </w:p>
    <w:p w14:paraId="4BED9E85" w14:textId="77777777" w:rsidR="00401786" w:rsidRDefault="00C64FB3" w:rsidP="0009639E">
      <w:pPr>
        <w:spacing w:line="300" w:lineRule="exact"/>
        <w:ind w:left="851" w:hanging="1"/>
        <w:rPr>
          <w:rFonts w:ascii="標楷體" w:eastAsia="標楷體" w:hAnsi="標楷體"/>
          <w:color w:val="000000"/>
        </w:rPr>
      </w:pPr>
      <w:r>
        <w:rPr>
          <w:rFonts w:ascii="標楷體" w:eastAsia="標楷體" w:hAnsi="標楷體"/>
          <w:color w:val="000000"/>
        </w:rPr>
        <w:t>可以使用</w:t>
      </w:r>
      <w:proofErr w:type="spellStart"/>
      <w:r>
        <w:rPr>
          <w:rFonts w:ascii="標楷體" w:eastAsia="標楷體" w:hAnsi="標楷體"/>
          <w:color w:val="000000"/>
        </w:rPr>
        <w:t>rVIIa</w:t>
      </w:r>
      <w:proofErr w:type="spellEnd"/>
      <w:r>
        <w:rPr>
          <w:rFonts w:ascii="標楷體" w:eastAsia="標楷體" w:hAnsi="標楷體"/>
          <w:color w:val="000000"/>
        </w:rPr>
        <w:t xml:space="preserve"> 10~20μg/kg IV，q 2~3 </w:t>
      </w:r>
      <w:proofErr w:type="spellStart"/>
      <w:r>
        <w:rPr>
          <w:rFonts w:ascii="標楷體" w:eastAsia="標楷體" w:hAnsi="標楷體"/>
          <w:color w:val="000000"/>
        </w:rPr>
        <w:t>hr</w:t>
      </w:r>
      <w:proofErr w:type="spellEnd"/>
      <w:r>
        <w:rPr>
          <w:rFonts w:ascii="標楷體" w:eastAsia="標楷體" w:hAnsi="標楷體"/>
          <w:color w:val="000000"/>
        </w:rPr>
        <w:t>，1~3劑至止血為止。</w:t>
      </w:r>
    </w:p>
    <w:p w14:paraId="75E7369F"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3.發生第八因子抗體之A型血友病患者：</w:t>
      </w:r>
    </w:p>
    <w:p w14:paraId="42275797"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 xml:space="preserve">(1)低反應者 (low responder) </w:t>
      </w:r>
      <w:proofErr w:type="gramStart"/>
      <w:r>
        <w:rPr>
          <w:rFonts w:ascii="標楷體" w:eastAsia="標楷體" w:hAnsi="標楷體"/>
          <w:color w:val="000000"/>
        </w:rPr>
        <w:t>–</w:t>
      </w:r>
      <w:proofErr w:type="gramEnd"/>
      <w:r>
        <w:rPr>
          <w:rFonts w:ascii="標楷體" w:eastAsia="標楷體" w:hAnsi="標楷體"/>
          <w:color w:val="000000"/>
        </w:rPr>
        <w:t>指第八因子抗體</w:t>
      </w:r>
      <w:proofErr w:type="gramStart"/>
      <w:r>
        <w:rPr>
          <w:rFonts w:ascii="標楷體" w:eastAsia="標楷體" w:hAnsi="標楷體"/>
          <w:color w:val="000000"/>
        </w:rPr>
        <w:t>力價平常≦</w:t>
      </w:r>
      <w:proofErr w:type="gramEnd"/>
      <w:r>
        <w:rPr>
          <w:rFonts w:ascii="標楷體" w:eastAsia="標楷體" w:hAnsi="標楷體"/>
          <w:color w:val="000000"/>
        </w:rPr>
        <w:t>5 BU/mL以下，再注射第八因子後不會有記憶性反應。使用平常治療沒有抗體病人出血時兩倍劑量的第八因子，可以加上適當的抗纖維蛋白溶解劑。如無效可以改用下述(2)之方法。</w:t>
      </w:r>
    </w:p>
    <w:p w14:paraId="7A580FFF"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 xml:space="preserve">(2)高反應者 (high responder) </w:t>
      </w:r>
      <w:proofErr w:type="gramStart"/>
      <w:r>
        <w:rPr>
          <w:rFonts w:ascii="標楷體" w:eastAsia="標楷體" w:hAnsi="標楷體"/>
          <w:color w:val="000000"/>
        </w:rPr>
        <w:t>–</w:t>
      </w:r>
      <w:proofErr w:type="gramEnd"/>
      <w:r>
        <w:rPr>
          <w:rFonts w:ascii="標楷體" w:eastAsia="標楷體" w:hAnsi="標楷體"/>
          <w:color w:val="000000"/>
        </w:rPr>
        <w:t>指第八因子</w:t>
      </w:r>
      <w:proofErr w:type="gramStart"/>
      <w:r>
        <w:rPr>
          <w:rFonts w:ascii="標楷體" w:eastAsia="標楷體" w:hAnsi="標楷體"/>
          <w:color w:val="000000"/>
        </w:rPr>
        <w:t>抗體力價平常</w:t>
      </w:r>
      <w:proofErr w:type="gramEnd"/>
      <w:r>
        <w:rPr>
          <w:rFonts w:ascii="標楷體" w:eastAsia="標楷體" w:hAnsi="標楷體"/>
          <w:color w:val="000000"/>
        </w:rPr>
        <w:t>&gt;5 BU/mL以上，即使降到&lt;5 BU/mL以下，如再注射第八因子都會有記憶性反應。</w:t>
      </w:r>
    </w:p>
    <w:p w14:paraId="1F6AA92B" w14:textId="77777777" w:rsidR="00401786" w:rsidRDefault="00C64FB3" w:rsidP="0009639E">
      <w:pPr>
        <w:spacing w:line="300" w:lineRule="exact"/>
        <w:ind w:left="1171" w:hanging="379"/>
        <w:rPr>
          <w:rFonts w:ascii="標楷體" w:eastAsia="標楷體" w:hAnsi="標楷體"/>
          <w:color w:val="000000"/>
        </w:rPr>
      </w:pPr>
      <w:r>
        <w:rPr>
          <w:rFonts w:ascii="標楷體" w:eastAsia="標楷體" w:hAnsi="標楷體"/>
          <w:color w:val="000000"/>
        </w:rPr>
        <w:lastRenderedPageBreak/>
        <w:t>I.出血時抗體</w:t>
      </w:r>
      <w:proofErr w:type="gramStart"/>
      <w:r>
        <w:rPr>
          <w:rFonts w:ascii="標楷體" w:eastAsia="標楷體" w:hAnsi="標楷體"/>
          <w:color w:val="000000"/>
        </w:rPr>
        <w:t>≦</w:t>
      </w:r>
      <w:proofErr w:type="gramEnd"/>
      <w:r>
        <w:rPr>
          <w:rFonts w:ascii="標楷體" w:eastAsia="標楷體" w:hAnsi="標楷體"/>
          <w:color w:val="000000"/>
        </w:rPr>
        <w:t>5 BU/mL：</w:t>
      </w:r>
    </w:p>
    <w:p w14:paraId="59E89017" w14:textId="77777777" w:rsidR="00401786" w:rsidRDefault="00C64FB3" w:rsidP="0009639E">
      <w:pPr>
        <w:spacing w:line="300" w:lineRule="exact"/>
        <w:ind w:left="1157" w:hanging="36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輕度出血時：使用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 2 </w:t>
      </w:r>
      <w:proofErr w:type="spellStart"/>
      <w:r>
        <w:rPr>
          <w:rFonts w:ascii="標楷體" w:eastAsia="標楷體" w:hAnsi="標楷體"/>
          <w:color w:val="000000"/>
        </w:rPr>
        <w:t>hr</w:t>
      </w:r>
      <w:proofErr w:type="spellEnd"/>
      <w:r>
        <w:rPr>
          <w:rFonts w:ascii="標楷體" w:eastAsia="標楷體" w:hAnsi="標楷體"/>
          <w:color w:val="000000"/>
        </w:rPr>
        <w:t>，1~3劑或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w:t>
      </w:r>
      <w:proofErr w:type="gramStart"/>
      <w:r>
        <w:rPr>
          <w:rFonts w:ascii="標楷體" w:eastAsia="標楷體" w:hAnsi="標楷體"/>
          <w:color w:val="000000"/>
        </w:rPr>
        <w:t>小時以上)或</w:t>
      </w:r>
      <w:proofErr w:type="gramEnd"/>
      <w:r>
        <w:rPr>
          <w:rFonts w:ascii="標楷體" w:eastAsia="標楷體" w:hAnsi="標楷體"/>
          <w:color w:val="000000"/>
        </w:rPr>
        <w:t>APCC 50~100 U/kg IV，q6-12h，1 ~ 4劑量。(98/8/1、108/10/1)。</w:t>
      </w:r>
    </w:p>
    <w:p w14:paraId="49ECA868" w14:textId="77777777" w:rsidR="00401786" w:rsidRDefault="00C64FB3" w:rsidP="0009639E">
      <w:pPr>
        <w:spacing w:line="300" w:lineRule="exact"/>
        <w:ind w:left="792"/>
        <w:rPr>
          <w:rFonts w:ascii="標楷體" w:eastAsia="標楷體" w:hAnsi="標楷體"/>
          <w:color w:val="000000"/>
        </w:rPr>
      </w:pPr>
      <w:r>
        <w:rPr>
          <w:rFonts w:ascii="標楷體" w:eastAsia="標楷體" w:hAnsi="標楷體"/>
          <w:color w:val="000000"/>
        </w:rPr>
        <w:t>無效時改用下述ii之方法。</w:t>
      </w:r>
    </w:p>
    <w:p w14:paraId="170586C2" w14:textId="77777777" w:rsidR="00401786" w:rsidRDefault="00C64FB3" w:rsidP="0009639E">
      <w:pPr>
        <w:spacing w:line="300" w:lineRule="exact"/>
        <w:ind w:left="1157" w:hanging="365"/>
        <w:rPr>
          <w:rFonts w:ascii="標楷體" w:eastAsia="標楷體" w:hAnsi="標楷體"/>
          <w:color w:val="000000"/>
        </w:rPr>
      </w:pPr>
      <w:r>
        <w:rPr>
          <w:rFonts w:ascii="標楷體" w:eastAsia="標楷體" w:hAnsi="標楷體"/>
          <w:color w:val="000000"/>
        </w:rPr>
        <w:t>ii.嚴重出血時：使用第八因子100 U/kg IV bolus，然後第八因子5~10 U/kg/</w:t>
      </w:r>
      <w:proofErr w:type="spellStart"/>
      <w:r>
        <w:rPr>
          <w:rFonts w:ascii="標楷體" w:eastAsia="標楷體" w:hAnsi="標楷體"/>
          <w:color w:val="000000"/>
        </w:rPr>
        <w:t>hr</w:t>
      </w:r>
      <w:proofErr w:type="spellEnd"/>
      <w:r>
        <w:rPr>
          <w:rFonts w:ascii="標楷體" w:eastAsia="標楷體" w:hAnsi="標楷體"/>
          <w:color w:val="000000"/>
        </w:rPr>
        <w:t xml:space="preserve"> IV inf.或第八因子100 U/kg IV q8-12 </w:t>
      </w:r>
      <w:proofErr w:type="spellStart"/>
      <w:r>
        <w:rPr>
          <w:rFonts w:ascii="標楷體" w:eastAsia="標楷體" w:hAnsi="標楷體"/>
          <w:color w:val="000000"/>
        </w:rPr>
        <w:t>hr</w:t>
      </w:r>
      <w:proofErr w:type="spellEnd"/>
      <w:r>
        <w:rPr>
          <w:rFonts w:ascii="標楷體" w:eastAsia="標楷體" w:hAnsi="標楷體"/>
          <w:color w:val="000000"/>
        </w:rPr>
        <w:t>至5天，可以加上適當的抗纖維蛋白溶解劑。</w:t>
      </w:r>
    </w:p>
    <w:p w14:paraId="4A0F864F" w14:textId="77777777" w:rsidR="00401786" w:rsidRDefault="00C64FB3" w:rsidP="0009639E">
      <w:pPr>
        <w:spacing w:line="300" w:lineRule="exact"/>
        <w:ind w:left="792"/>
        <w:rPr>
          <w:rFonts w:ascii="標楷體" w:eastAsia="標楷體" w:hAnsi="標楷體"/>
          <w:color w:val="000000"/>
        </w:rPr>
      </w:pPr>
      <w:r>
        <w:rPr>
          <w:rFonts w:ascii="標楷體" w:eastAsia="標楷體" w:hAnsi="標楷體"/>
          <w:color w:val="000000"/>
        </w:rPr>
        <w:t>無效時可使用下述II之方法。</w:t>
      </w:r>
    </w:p>
    <w:p w14:paraId="50A069A0" w14:textId="77777777" w:rsidR="00401786" w:rsidRDefault="00C64FB3" w:rsidP="0009639E">
      <w:pPr>
        <w:spacing w:line="300" w:lineRule="exact"/>
        <w:ind w:left="1171" w:hanging="379"/>
        <w:rPr>
          <w:rFonts w:ascii="標楷體" w:eastAsia="標楷體" w:hAnsi="標楷體"/>
          <w:color w:val="000000"/>
        </w:rPr>
      </w:pPr>
      <w:r>
        <w:rPr>
          <w:rFonts w:ascii="標楷體" w:eastAsia="標楷體" w:hAnsi="標楷體"/>
          <w:color w:val="000000"/>
        </w:rPr>
        <w:t>II.出血時抗體&gt;5 BU/mL：</w:t>
      </w:r>
    </w:p>
    <w:p w14:paraId="350112AA" w14:textId="77777777" w:rsidR="00401786" w:rsidRDefault="00C64FB3" w:rsidP="0009639E">
      <w:pPr>
        <w:spacing w:line="300" w:lineRule="exact"/>
        <w:ind w:left="1075" w:hanging="283"/>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 xml:space="preserve">rVIIa70~90μg/kg IV，q 2 </w:t>
      </w:r>
      <w:proofErr w:type="spellStart"/>
      <w:r>
        <w:rPr>
          <w:rFonts w:ascii="標楷體" w:eastAsia="標楷體" w:hAnsi="標楷體"/>
          <w:color w:val="000000"/>
        </w:rPr>
        <w:t>hr</w:t>
      </w:r>
      <w:proofErr w:type="spellEnd"/>
      <w:r>
        <w:rPr>
          <w:rFonts w:ascii="標楷體" w:eastAsia="標楷體" w:hAnsi="標楷體"/>
          <w:color w:val="000000"/>
        </w:rPr>
        <w:t>，3劑量或至止血為止或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w:t>
      </w:r>
      <w:proofErr w:type="gramStart"/>
      <w:r>
        <w:rPr>
          <w:rFonts w:ascii="標楷體" w:eastAsia="標楷體" w:hAnsi="標楷體"/>
          <w:color w:val="000000"/>
        </w:rPr>
        <w:t>小時以上)，</w:t>
      </w:r>
      <w:proofErr w:type="gramEnd"/>
      <w:r>
        <w:rPr>
          <w:rFonts w:ascii="標楷體" w:eastAsia="標楷體" w:hAnsi="標楷體"/>
          <w:color w:val="000000"/>
        </w:rPr>
        <w:t>可以加上適當的抗纖維蛋白溶解劑或APCC 50~100 U/kg IV，q6-12h，3～4劑量或至止血為止，以3~5天為原則，如要續用，須詳細記載病歷(含影像檢查、肌肉骨骼超音波或出血照片等)資料。(98/8/1、108/10/1)</w:t>
      </w:r>
    </w:p>
    <w:p w14:paraId="0535E10C" w14:textId="77777777" w:rsidR="00401786" w:rsidRDefault="00C64FB3" w:rsidP="0009639E">
      <w:pPr>
        <w:spacing w:line="300" w:lineRule="exact"/>
        <w:ind w:left="792"/>
        <w:rPr>
          <w:rFonts w:ascii="標楷體" w:eastAsia="標楷體" w:hAnsi="標楷體"/>
          <w:color w:val="000000"/>
        </w:rPr>
      </w:pPr>
      <w:r>
        <w:rPr>
          <w:rFonts w:ascii="標楷體" w:eastAsia="標楷體" w:hAnsi="標楷體"/>
          <w:color w:val="000000"/>
        </w:rPr>
        <w:t>如都無效則改用下述ii。</w:t>
      </w:r>
    </w:p>
    <w:p w14:paraId="7F07424D" w14:textId="77777777" w:rsidR="00401786" w:rsidRDefault="00C64FB3" w:rsidP="0009639E">
      <w:pPr>
        <w:spacing w:line="300" w:lineRule="exact"/>
        <w:ind w:left="1157" w:hanging="365"/>
        <w:rPr>
          <w:rFonts w:ascii="標楷體" w:eastAsia="標楷體" w:hAnsi="標楷體"/>
          <w:color w:val="000000"/>
        </w:rPr>
      </w:pPr>
      <w:r>
        <w:rPr>
          <w:rFonts w:ascii="標楷體" w:eastAsia="標楷體" w:hAnsi="標楷體"/>
          <w:color w:val="000000"/>
        </w:rPr>
        <w:t>ii.可改用體外吸收抗體的方式 (如protein A) 或</w:t>
      </w:r>
      <w:proofErr w:type="spellStart"/>
      <w:r>
        <w:rPr>
          <w:rFonts w:ascii="標楷體" w:eastAsia="標楷體" w:hAnsi="標楷體"/>
          <w:color w:val="000000"/>
        </w:rPr>
        <w:t>Plasmaphoresis</w:t>
      </w:r>
      <w:proofErr w:type="spellEnd"/>
      <w:r>
        <w:rPr>
          <w:rFonts w:ascii="標楷體" w:eastAsia="標楷體" w:hAnsi="標楷體"/>
          <w:color w:val="000000"/>
        </w:rPr>
        <w:t>，去除大部分抗體後，再大量使用第八因子。</w:t>
      </w:r>
    </w:p>
    <w:p w14:paraId="548785F9"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(3)手術時：</w:t>
      </w:r>
    </w:p>
    <w:p w14:paraId="6E2B80FD" w14:textId="77777777" w:rsidR="00401786" w:rsidRDefault="00C64FB3" w:rsidP="0009639E">
      <w:pPr>
        <w:spacing w:line="300" w:lineRule="exact"/>
        <w:ind w:left="1255" w:hanging="463"/>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術前開始，</w:t>
      </w:r>
      <w:proofErr w:type="gramStart"/>
      <w:r>
        <w:rPr>
          <w:rFonts w:ascii="標楷體" w:eastAsia="標楷體" w:hAnsi="標楷體"/>
          <w:color w:val="000000"/>
        </w:rPr>
        <w:t>術中及</w:t>
      </w:r>
      <w:proofErr w:type="gramEnd"/>
      <w:r>
        <w:rPr>
          <w:rFonts w:ascii="標楷體" w:eastAsia="標楷體" w:hAnsi="標楷體"/>
          <w:color w:val="000000"/>
        </w:rPr>
        <w:t>術後兩天</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 ~3 </w:t>
      </w:r>
      <w:proofErr w:type="spellStart"/>
      <w:r>
        <w:rPr>
          <w:rFonts w:ascii="標楷體" w:eastAsia="標楷體" w:hAnsi="標楷體"/>
          <w:color w:val="000000"/>
        </w:rPr>
        <w:t>hr</w:t>
      </w:r>
      <w:proofErr w:type="spellEnd"/>
      <w:r>
        <w:rPr>
          <w:rFonts w:ascii="標楷體" w:eastAsia="標楷體" w:hAnsi="標楷體"/>
          <w:color w:val="000000"/>
        </w:rPr>
        <w:t>。</w:t>
      </w:r>
    </w:p>
    <w:p w14:paraId="16005A75" w14:textId="77777777" w:rsidR="00401786" w:rsidRDefault="00C64FB3" w:rsidP="0009639E">
      <w:pPr>
        <w:spacing w:line="300" w:lineRule="exact"/>
        <w:ind w:left="1171" w:hanging="379"/>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 xml:space="preserve"> 術後第三天至傷口癒合，並以7~10天為原則，如要續用，須詳細記載病歷(含影像檢查、肌肉骨骼超音波或出血照片等)資料。</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 3 ~ 6 </w:t>
      </w:r>
      <w:proofErr w:type="spellStart"/>
      <w:r>
        <w:rPr>
          <w:rFonts w:ascii="標楷體" w:eastAsia="標楷體" w:hAnsi="標楷體"/>
          <w:color w:val="000000"/>
        </w:rPr>
        <w:t>hr</w:t>
      </w:r>
      <w:proofErr w:type="spellEnd"/>
      <w:r>
        <w:rPr>
          <w:rFonts w:ascii="標楷體" w:eastAsia="標楷體" w:hAnsi="標楷體"/>
          <w:color w:val="000000"/>
        </w:rPr>
        <w:t>。(108/10/1)</w:t>
      </w:r>
    </w:p>
    <w:p w14:paraId="269AE763"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或術前，</w:t>
      </w:r>
      <w:proofErr w:type="gramStart"/>
      <w:r>
        <w:rPr>
          <w:rFonts w:ascii="標楷體" w:eastAsia="標楷體" w:hAnsi="標楷體"/>
          <w:color w:val="000000"/>
        </w:rPr>
        <w:t>術中及</w:t>
      </w:r>
      <w:proofErr w:type="gramEnd"/>
      <w:r>
        <w:rPr>
          <w:rFonts w:ascii="標楷體" w:eastAsia="標楷體" w:hAnsi="標楷體"/>
          <w:color w:val="000000"/>
        </w:rPr>
        <w:t>術後至傷口癒合APCC 50~100 U/kg IV，q6-12hr，需留心病人有無過高凝血現象發生。</w:t>
      </w:r>
    </w:p>
    <w:p w14:paraId="1FAB933D"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發生第九因子抗體之B型血友病患者。</w:t>
      </w:r>
    </w:p>
    <w:p w14:paraId="143C4F93"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(1)對第九因子沒有過敏反應者：</w:t>
      </w:r>
    </w:p>
    <w:p w14:paraId="68C567A8"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I低反應者 (</w:t>
      </w:r>
      <w:proofErr w:type="gramStart"/>
      <w:r>
        <w:rPr>
          <w:rFonts w:ascii="標楷體" w:eastAsia="標楷體" w:hAnsi="標楷體"/>
          <w:color w:val="000000"/>
        </w:rPr>
        <w:t>≦</w:t>
      </w:r>
      <w:proofErr w:type="gramEnd"/>
      <w:r>
        <w:rPr>
          <w:rFonts w:ascii="標楷體" w:eastAsia="標楷體" w:hAnsi="標楷體"/>
          <w:color w:val="000000"/>
        </w:rPr>
        <w:t>5BU/mL)：使用平常劑量兩倍的第九因子。</w:t>
      </w:r>
    </w:p>
    <w:p w14:paraId="78268D24" w14:textId="77777777" w:rsidR="00401786" w:rsidRDefault="00C64FB3" w:rsidP="0009639E">
      <w:pPr>
        <w:spacing w:line="300" w:lineRule="exact"/>
        <w:ind w:left="792" w:firstLine="30"/>
      </w:pPr>
      <w:r>
        <w:rPr>
          <w:rFonts w:ascii="標楷體" w:eastAsia="標楷體" w:hAnsi="標楷體"/>
          <w:color w:val="000000"/>
        </w:rPr>
        <w:t>II高反應者，出血時抗體在</w:t>
      </w:r>
      <w:proofErr w:type="gramStart"/>
      <w:r>
        <w:rPr>
          <w:rFonts w:ascii="標楷體" w:eastAsia="標楷體" w:hAnsi="標楷體"/>
          <w:color w:val="000000"/>
        </w:rPr>
        <w:t>≦</w:t>
      </w:r>
      <w:proofErr w:type="gramEnd"/>
      <w:r>
        <w:rPr>
          <w:rFonts w:ascii="標楷體" w:eastAsia="標楷體" w:hAnsi="標楷體"/>
          <w:color w:val="000000"/>
        </w:rPr>
        <w:t xml:space="preserve"> 5BU/mL：使用第九因子200U/kg IV q12-24hr,2-3天或至止血為止，如要續用，須詳細記載病歷(含影像檢查、肌肉骨骼超音波或出血照片等)資料。(108/10/1)</w:t>
      </w:r>
    </w:p>
    <w:p w14:paraId="7A019A9B"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w:t>
      </w:r>
      <w:proofErr w:type="gramStart"/>
      <w:r>
        <w:rPr>
          <w:rFonts w:ascii="標楷體" w:eastAsia="標楷體" w:hAnsi="標楷體"/>
          <w:color w:val="000000"/>
        </w:rPr>
        <w:t>II.無效時可使用下述</w:t>
      </w:r>
      <w:proofErr w:type="gramEnd"/>
      <w:r>
        <w:rPr>
          <w:rFonts w:ascii="標楷體" w:eastAsia="標楷體" w:hAnsi="標楷體"/>
          <w:color w:val="000000"/>
        </w:rPr>
        <w:t>III.。</w:t>
      </w:r>
    </w:p>
    <w:p w14:paraId="2A952851" w14:textId="77777777" w:rsidR="00401786" w:rsidRDefault="00C64FB3" w:rsidP="0009639E">
      <w:pPr>
        <w:spacing w:line="300" w:lineRule="exact"/>
        <w:ind w:left="1217" w:hanging="425"/>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高反應者出血時抗體&gt; 5BU/mL：使用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IVq2h，3劑量或至止血為止或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IV單次注射劑量(注射間隔至少6小時以上)。或APCC 50-100U/kg IV q6-12hr，4劑量或至止血為止，並以3~5天為原則，如要續用，須詳細記載病歷(含影像檢查、肌肉骨骼超音波或出血照片等)資料。需留心記憶性反應。(98/8/1、108/10/1)</w:t>
      </w:r>
    </w:p>
    <w:p w14:paraId="37387694" w14:textId="77777777" w:rsidR="00401786" w:rsidRDefault="00C64FB3" w:rsidP="0009639E">
      <w:pPr>
        <w:spacing w:line="300" w:lineRule="exact"/>
        <w:ind w:left="792" w:firstLine="58"/>
        <w:rPr>
          <w:rFonts w:ascii="標楷體" w:eastAsia="標楷體" w:hAnsi="標楷體"/>
          <w:color w:val="000000"/>
        </w:rPr>
      </w:pPr>
      <w:r>
        <w:rPr>
          <w:rFonts w:ascii="標楷體" w:eastAsia="標楷體" w:hAnsi="標楷體"/>
          <w:color w:val="000000"/>
        </w:rPr>
        <w:t>(2)對第九因子有過敏反應者：</w:t>
      </w:r>
    </w:p>
    <w:p w14:paraId="0C29ECBA"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w:t>
      </w:r>
      <w:r>
        <w:rPr>
          <w:rFonts w:ascii="標楷體" w:eastAsia="標楷體" w:hAnsi="標楷體"/>
          <w:color w:val="000000"/>
        </w:rPr>
        <w:tab/>
        <w:t>不能使用第九因子或APCC。</w:t>
      </w:r>
    </w:p>
    <w:p w14:paraId="3F6B50B2"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只能使用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 q2h，3劑量或至止血為止或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IV單次注射劑量(注射間隔至少6小時以上)。(98/8/1、108/10/1)</w:t>
      </w:r>
    </w:p>
    <w:p w14:paraId="13038E30" w14:textId="77777777" w:rsidR="00401786" w:rsidRDefault="00C64FB3" w:rsidP="0009639E">
      <w:pPr>
        <w:spacing w:line="300" w:lineRule="exact"/>
        <w:ind w:left="889" w:hanging="284"/>
      </w:pPr>
      <w:r>
        <w:rPr>
          <w:rFonts w:ascii="標楷體" w:eastAsia="標楷體" w:hAnsi="標楷體"/>
          <w:color w:val="000000"/>
        </w:rPr>
        <w:t>5.凡使用</w:t>
      </w:r>
      <w:proofErr w:type="spellStart"/>
      <w:r>
        <w:rPr>
          <w:rFonts w:ascii="標楷體" w:eastAsia="標楷體" w:hAnsi="標楷體"/>
          <w:color w:val="000000"/>
        </w:rPr>
        <w:t>rVIIa</w:t>
      </w:r>
      <w:proofErr w:type="spellEnd"/>
      <w:r>
        <w:rPr>
          <w:rFonts w:ascii="標楷體" w:eastAsia="標楷體" w:hAnsi="標楷體"/>
          <w:color w:val="000000"/>
        </w:rPr>
        <w:t>、APCC之申請給付案件，</w:t>
      </w:r>
      <w:proofErr w:type="gramStart"/>
      <w:r>
        <w:rPr>
          <w:rFonts w:ascii="標楷體" w:eastAsia="標楷體" w:hAnsi="標楷體"/>
          <w:color w:val="000000"/>
        </w:rPr>
        <w:t>均需由</w:t>
      </w:r>
      <w:proofErr w:type="gramEnd"/>
      <w:r>
        <w:rPr>
          <w:rFonts w:ascii="標楷體" w:eastAsia="標楷體" w:hAnsi="標楷體"/>
          <w:color w:val="000000"/>
        </w:rPr>
        <w:t>醫療機構詳細填具事後申報表 (附表五) 及記載病歷(含影像檢查、肌肉骨骼超音波或出血照片等)資料。(108/10/1)</w:t>
      </w:r>
    </w:p>
    <w:p w14:paraId="0A7292E5" w14:textId="77777777" w:rsidR="00401786" w:rsidRDefault="00C64FB3" w:rsidP="0009639E">
      <w:pPr>
        <w:spacing w:line="300" w:lineRule="exact"/>
        <w:ind w:left="1323" w:hanging="718"/>
        <w:rPr>
          <w:rFonts w:ascii="標楷體" w:eastAsia="標楷體" w:hAnsi="標楷體"/>
          <w:color w:val="000000"/>
        </w:rPr>
      </w:pPr>
      <w:r>
        <w:rPr>
          <w:rFonts w:ascii="標楷體" w:eastAsia="標楷體" w:hAnsi="標楷體"/>
          <w:color w:val="000000"/>
        </w:rPr>
        <w:t>6.A型或B</w:t>
      </w:r>
      <w:proofErr w:type="gramStart"/>
      <w:r>
        <w:rPr>
          <w:rFonts w:ascii="標楷體" w:eastAsia="標楷體" w:hAnsi="標楷體"/>
          <w:color w:val="000000"/>
        </w:rPr>
        <w:t>型且有</w:t>
      </w:r>
      <w:proofErr w:type="gramEnd"/>
      <w:r>
        <w:rPr>
          <w:rFonts w:ascii="標楷體" w:eastAsia="標楷體" w:hAnsi="標楷體"/>
          <w:color w:val="000000"/>
        </w:rPr>
        <w:t>高反應抗體存在之血友病病人：(103/4/1、108/10/1)</w:t>
      </w:r>
    </w:p>
    <w:p w14:paraId="687A0B4B"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(1)在六個月內同一關節發生四次以上出血且關節傷害輕微而認定為標的關節時，可給予1-3個月繞徑治療藥物。</w:t>
      </w:r>
    </w:p>
    <w:p w14:paraId="2D102D9D" w14:textId="77777777" w:rsidR="00401786" w:rsidRDefault="00C64FB3" w:rsidP="0009639E">
      <w:pPr>
        <w:spacing w:line="300" w:lineRule="exact"/>
        <w:ind w:left="1308" w:hanging="425"/>
        <w:rPr>
          <w:rFonts w:ascii="標楷體" w:eastAsia="標楷體" w:hAnsi="標楷體"/>
          <w:color w:val="000000"/>
        </w:rPr>
      </w:pPr>
      <w:r>
        <w:rPr>
          <w:rFonts w:ascii="標楷體" w:eastAsia="標楷體" w:hAnsi="標楷體"/>
          <w:color w:val="000000"/>
        </w:rPr>
        <w:t>(2)接受重大手術後，</w:t>
      </w:r>
      <w:proofErr w:type="gramStart"/>
      <w:r>
        <w:rPr>
          <w:rFonts w:ascii="標楷體" w:eastAsia="標楷體" w:hAnsi="標楷體"/>
          <w:color w:val="000000"/>
        </w:rPr>
        <w:t>可視術後</w:t>
      </w:r>
      <w:proofErr w:type="gramEnd"/>
      <w:r>
        <w:rPr>
          <w:rFonts w:ascii="標楷體" w:eastAsia="標楷體" w:hAnsi="標楷體"/>
          <w:color w:val="000000"/>
        </w:rPr>
        <w:t>傷口出血及復原狀況給予1-2</w:t>
      </w:r>
      <w:proofErr w:type="gramStart"/>
      <w:r>
        <w:rPr>
          <w:rFonts w:ascii="標楷體" w:eastAsia="標楷體" w:hAnsi="標楷體"/>
          <w:color w:val="000000"/>
        </w:rPr>
        <w:t>週</w:t>
      </w:r>
      <w:proofErr w:type="gramEnd"/>
      <w:r>
        <w:rPr>
          <w:rFonts w:ascii="標楷體" w:eastAsia="標楷體" w:hAnsi="標楷體"/>
          <w:color w:val="000000"/>
        </w:rPr>
        <w:t>繞徑治療藥物，接受骨關節手術後，每次復健之前得視狀況使用，並以3個月為原則，如要續用，須</w:t>
      </w:r>
      <w:r>
        <w:rPr>
          <w:rFonts w:ascii="標楷體" w:eastAsia="標楷體" w:hAnsi="標楷體"/>
          <w:color w:val="000000"/>
        </w:rPr>
        <w:lastRenderedPageBreak/>
        <w:t>詳細記載病歷(含影像檢查、肌肉骨骼超音波或出血照片等)資料。(103/4/1、108/10/1)</w:t>
      </w:r>
    </w:p>
    <w:p w14:paraId="60B2B30E"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(3)發生</w:t>
      </w:r>
      <w:proofErr w:type="gramStart"/>
      <w:r>
        <w:rPr>
          <w:rFonts w:ascii="標楷體" w:eastAsia="標楷體" w:hAnsi="標楷體"/>
          <w:color w:val="000000"/>
        </w:rPr>
        <w:t>顱</w:t>
      </w:r>
      <w:proofErr w:type="gramEnd"/>
      <w:r>
        <w:rPr>
          <w:rFonts w:ascii="標楷體" w:eastAsia="標楷體" w:hAnsi="標楷體"/>
          <w:color w:val="000000"/>
        </w:rPr>
        <w:t>內出血或後腹腔出血接受治療穩定後，可視臨床狀況給1-2個月的繞徑治療藥物治療。(103/4/1、108/10/1)</w:t>
      </w:r>
    </w:p>
    <w:p w14:paraId="428C03D1"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(4)血友病合併抗體患者，如不符合上述(1)至(3)項短期預防之規定，不可使用繞徑治療藥物進行預防性治療。</w:t>
      </w:r>
    </w:p>
    <w:p w14:paraId="107B39B4" w14:textId="77777777" w:rsidR="00401786" w:rsidRDefault="00C64FB3" w:rsidP="0009639E">
      <w:pPr>
        <w:spacing w:line="300" w:lineRule="exact"/>
        <w:ind w:left="996" w:hanging="391"/>
        <w:rPr>
          <w:rFonts w:ascii="標楷體" w:eastAsia="標楷體" w:hAnsi="標楷體"/>
          <w:color w:val="000000"/>
        </w:rPr>
      </w:pPr>
      <w:r>
        <w:rPr>
          <w:rFonts w:ascii="標楷體" w:eastAsia="標楷體" w:hAnsi="標楷體"/>
          <w:color w:val="000000"/>
        </w:rPr>
        <w:t>7.後天型血友病患者急性出血治療（申報費用時須附詳實評估記錄）：(105/2/1、105/8/1、108/10/1)</w:t>
      </w:r>
    </w:p>
    <w:p w14:paraId="62615A86"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(1) 重要器官嚴重出血且危及生命時：</w:t>
      </w:r>
    </w:p>
    <w:p w14:paraId="4BDA9FFE"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Ⅰ.可使用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IV，q2-3 </w:t>
      </w:r>
      <w:proofErr w:type="spellStart"/>
      <w:r>
        <w:rPr>
          <w:rFonts w:ascii="標楷體" w:eastAsia="標楷體" w:hAnsi="標楷體"/>
          <w:color w:val="000000"/>
        </w:rPr>
        <w:t>hr</w:t>
      </w:r>
      <w:proofErr w:type="spellEnd"/>
      <w:r>
        <w:rPr>
          <w:rFonts w:ascii="標楷體" w:eastAsia="標楷體" w:hAnsi="標楷體"/>
          <w:color w:val="000000"/>
        </w:rPr>
        <w:t xml:space="preserve">，或APCC 50~100 U/kg IV，q6-12 </w:t>
      </w:r>
      <w:proofErr w:type="spellStart"/>
      <w:r>
        <w:rPr>
          <w:rFonts w:ascii="標楷體" w:eastAsia="標楷體" w:hAnsi="標楷體"/>
          <w:color w:val="000000"/>
        </w:rPr>
        <w:t>hr</w:t>
      </w:r>
      <w:proofErr w:type="spellEnd"/>
      <w:r>
        <w:rPr>
          <w:rFonts w:ascii="標楷體" w:eastAsia="標楷體" w:hAnsi="標楷體"/>
          <w:color w:val="000000"/>
        </w:rPr>
        <w:t xml:space="preserve">(最多一天200U/kg)，至止血為止，並以3~5天為原則。無效時可改用高劑量第八因子100 U/kg q8-12 </w:t>
      </w:r>
      <w:proofErr w:type="spellStart"/>
      <w:r>
        <w:rPr>
          <w:rFonts w:ascii="標楷體" w:eastAsia="標楷體" w:hAnsi="標楷體"/>
          <w:color w:val="000000"/>
        </w:rPr>
        <w:t>hr</w:t>
      </w:r>
      <w:proofErr w:type="spellEnd"/>
      <w:r>
        <w:rPr>
          <w:rFonts w:ascii="標楷體" w:eastAsia="標楷體" w:hAnsi="標楷體"/>
          <w:color w:val="000000"/>
        </w:rPr>
        <w:t>或desmopressin(0.3μg/kg)治療。(105/8/1、108/10/1)</w:t>
      </w:r>
    </w:p>
    <w:p w14:paraId="1D38C0E5"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Ⅱ.當出血症狀使用繞徑藥物療效不佳時，可改用另一種繞徑藥物治療，如果仍無法止血時，可</w:t>
      </w:r>
      <w:proofErr w:type="gramStart"/>
      <w:r>
        <w:rPr>
          <w:rFonts w:ascii="標楷體" w:eastAsia="標楷體" w:hAnsi="標楷體"/>
          <w:color w:val="000000"/>
        </w:rPr>
        <w:t>併用體</w:t>
      </w:r>
      <w:proofErr w:type="gramEnd"/>
      <w:r>
        <w:rPr>
          <w:rFonts w:ascii="標楷體" w:eastAsia="標楷體" w:hAnsi="標楷體"/>
          <w:color w:val="000000"/>
        </w:rPr>
        <w:t>外吸收抗體的方式(如protein A)或Plasmapheresis，去除大部分抗體後，再使用第八因子。(105/8/1)</w:t>
      </w:r>
    </w:p>
    <w:p w14:paraId="254CE111"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(2)需侵襲性處理或緊急手術時：</w:t>
      </w:r>
    </w:p>
    <w:p w14:paraId="116314C8"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Ⅰ.</w:t>
      </w:r>
      <w:proofErr w:type="gramStart"/>
      <w:r>
        <w:rPr>
          <w:rFonts w:ascii="標楷體" w:eastAsia="標楷體" w:hAnsi="標楷體"/>
          <w:color w:val="000000"/>
        </w:rPr>
        <w:t>於術前</w:t>
      </w:r>
      <w:proofErr w:type="gramEnd"/>
      <w:r>
        <w:rPr>
          <w:rFonts w:ascii="標楷體" w:eastAsia="標楷體" w:hAnsi="標楷體"/>
          <w:color w:val="000000"/>
        </w:rPr>
        <w:t>、</w:t>
      </w:r>
      <w:proofErr w:type="gramStart"/>
      <w:r>
        <w:rPr>
          <w:rFonts w:ascii="標楷體" w:eastAsia="標楷體" w:hAnsi="標楷體"/>
          <w:color w:val="000000"/>
        </w:rPr>
        <w:t>術中至</w:t>
      </w:r>
      <w:proofErr w:type="gramEnd"/>
      <w:r>
        <w:rPr>
          <w:rFonts w:ascii="標楷體" w:eastAsia="標楷體" w:hAnsi="標楷體"/>
          <w:color w:val="000000"/>
        </w:rPr>
        <w:t>傷口癒合</w:t>
      </w:r>
      <w:proofErr w:type="gramStart"/>
      <w:r>
        <w:rPr>
          <w:rFonts w:ascii="標楷體" w:eastAsia="標楷體" w:hAnsi="標楷體"/>
          <w:color w:val="000000"/>
        </w:rPr>
        <w:t>期間，</w:t>
      </w:r>
      <w:proofErr w:type="gramEnd"/>
      <w:r>
        <w:rPr>
          <w:rFonts w:ascii="標楷體" w:eastAsia="標楷體" w:hAnsi="標楷體"/>
          <w:color w:val="000000"/>
        </w:rPr>
        <w:t>依患者實際出血及傷口癒合情況，使用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IV，q2-8 </w:t>
      </w:r>
      <w:proofErr w:type="spellStart"/>
      <w:r>
        <w:rPr>
          <w:rFonts w:ascii="標楷體" w:eastAsia="標楷體" w:hAnsi="標楷體"/>
          <w:color w:val="000000"/>
        </w:rPr>
        <w:t>hr</w:t>
      </w:r>
      <w:proofErr w:type="spellEnd"/>
      <w:r>
        <w:rPr>
          <w:rFonts w:ascii="標楷體" w:eastAsia="標楷體" w:hAnsi="標楷體"/>
          <w:color w:val="000000"/>
        </w:rPr>
        <w:t>。</w:t>
      </w:r>
    </w:p>
    <w:p w14:paraId="2120FAB3"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Ⅱ.</w:t>
      </w:r>
      <w:proofErr w:type="gramStart"/>
      <w:r>
        <w:rPr>
          <w:rFonts w:ascii="標楷體" w:eastAsia="標楷體" w:hAnsi="標楷體"/>
          <w:color w:val="000000"/>
        </w:rPr>
        <w:t>於術前</w:t>
      </w:r>
      <w:proofErr w:type="gramEnd"/>
      <w:r>
        <w:rPr>
          <w:rFonts w:ascii="標楷體" w:eastAsia="標楷體" w:hAnsi="標楷體"/>
          <w:color w:val="000000"/>
        </w:rPr>
        <w:t>、</w:t>
      </w:r>
      <w:proofErr w:type="gramStart"/>
      <w:r>
        <w:rPr>
          <w:rFonts w:ascii="標楷體" w:eastAsia="標楷體" w:hAnsi="標楷體"/>
          <w:color w:val="000000"/>
        </w:rPr>
        <w:t>術中至</w:t>
      </w:r>
      <w:proofErr w:type="gramEnd"/>
      <w:r>
        <w:rPr>
          <w:rFonts w:ascii="標楷體" w:eastAsia="標楷體" w:hAnsi="標楷體"/>
          <w:color w:val="000000"/>
        </w:rPr>
        <w:t>傷口癒合</w:t>
      </w:r>
      <w:proofErr w:type="gramStart"/>
      <w:r>
        <w:rPr>
          <w:rFonts w:ascii="標楷體" w:eastAsia="標楷體" w:hAnsi="標楷體"/>
          <w:color w:val="000000"/>
        </w:rPr>
        <w:t>期間，</w:t>
      </w:r>
      <w:proofErr w:type="gramEnd"/>
      <w:r>
        <w:rPr>
          <w:rFonts w:ascii="標楷體" w:eastAsia="標楷體" w:hAnsi="標楷體"/>
          <w:color w:val="000000"/>
        </w:rPr>
        <w:t xml:space="preserve">依患者實際出血及傷口癒合情況，使用APCC 50~100 U/kg IV，q6-12 </w:t>
      </w:r>
      <w:proofErr w:type="spellStart"/>
      <w:r>
        <w:rPr>
          <w:rFonts w:ascii="標楷體" w:eastAsia="標楷體" w:hAnsi="標楷體"/>
          <w:color w:val="000000"/>
        </w:rPr>
        <w:t>hr</w:t>
      </w:r>
      <w:proofErr w:type="spellEnd"/>
      <w:r>
        <w:rPr>
          <w:rFonts w:ascii="標楷體" w:eastAsia="標楷體" w:hAnsi="標楷體"/>
          <w:color w:val="000000"/>
        </w:rPr>
        <w:t>。</w:t>
      </w:r>
    </w:p>
    <w:p w14:paraId="093E67CB"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Ⅲ.使用期間以傷口癒合即終止治療，並以7~10天為原則。(108/10/1)</w:t>
      </w:r>
    </w:p>
    <w:p w14:paraId="3A208427" w14:textId="77777777" w:rsidR="00401786" w:rsidRDefault="00C64FB3" w:rsidP="0009639E">
      <w:pPr>
        <w:spacing w:line="300" w:lineRule="exact"/>
        <w:ind w:left="1054" w:hanging="449"/>
        <w:rPr>
          <w:rFonts w:ascii="標楷體" w:eastAsia="標楷體" w:hAnsi="標楷體"/>
          <w:color w:val="000000"/>
        </w:rPr>
      </w:pPr>
      <w:r>
        <w:rPr>
          <w:rFonts w:ascii="標楷體" w:eastAsia="標楷體" w:hAnsi="標楷體"/>
          <w:color w:val="000000"/>
        </w:rPr>
        <w:t>8.APCC，如</w:t>
      </w:r>
      <w:proofErr w:type="spellStart"/>
      <w:r>
        <w:rPr>
          <w:rFonts w:ascii="標楷體" w:eastAsia="標楷體" w:hAnsi="標楷體"/>
          <w:color w:val="000000"/>
        </w:rPr>
        <w:t>Feiba</w:t>
      </w:r>
      <w:proofErr w:type="spellEnd"/>
      <w:r>
        <w:rPr>
          <w:rFonts w:ascii="標楷體" w:eastAsia="標楷體" w:hAnsi="標楷體"/>
          <w:color w:val="000000"/>
        </w:rPr>
        <w:t>，應依藥品仿單記載，每次使用劑量</w:t>
      </w:r>
      <w:proofErr w:type="gramStart"/>
      <w:r>
        <w:rPr>
          <w:rFonts w:ascii="標楷體" w:eastAsia="標楷體" w:hAnsi="標楷體"/>
          <w:color w:val="000000"/>
        </w:rPr>
        <w:t>勿</w:t>
      </w:r>
      <w:proofErr w:type="gramEnd"/>
      <w:r>
        <w:rPr>
          <w:rFonts w:ascii="標楷體" w:eastAsia="標楷體" w:hAnsi="標楷體"/>
          <w:color w:val="000000"/>
        </w:rPr>
        <w:t>超過100U/kg，每日劑量</w:t>
      </w:r>
      <w:proofErr w:type="gramStart"/>
      <w:r>
        <w:rPr>
          <w:rFonts w:ascii="標楷體" w:eastAsia="標楷體" w:hAnsi="標楷體"/>
          <w:color w:val="000000"/>
        </w:rPr>
        <w:t>勿</w:t>
      </w:r>
      <w:proofErr w:type="gramEnd"/>
      <w:r>
        <w:rPr>
          <w:rFonts w:ascii="標楷體" w:eastAsia="標楷體" w:hAnsi="標楷體"/>
          <w:color w:val="000000"/>
        </w:rPr>
        <w:t>超過200U/kg。(94/2/1)</w:t>
      </w:r>
    </w:p>
    <w:p w14:paraId="0C7AA8DC" w14:textId="77777777" w:rsidR="00401786" w:rsidRDefault="00C64FB3" w:rsidP="0009639E">
      <w:pPr>
        <w:spacing w:line="300" w:lineRule="exact"/>
        <w:ind w:left="1296" w:hanging="691"/>
        <w:rPr>
          <w:rFonts w:ascii="標楷體" w:eastAsia="標楷體" w:hAnsi="標楷體"/>
          <w:color w:val="000000"/>
        </w:rPr>
      </w:pPr>
      <w:r>
        <w:rPr>
          <w:rFonts w:ascii="標楷體" w:eastAsia="標楷體" w:hAnsi="標楷體"/>
          <w:color w:val="000000"/>
        </w:rPr>
        <w:t>9.二種繞徑治療藥物不得倂用，若有特殊情形需要併用(如接續性併用,sequential therapy)，須詳細記載病歷(含影像檢查、肌肉骨骼超音波或出血照片等)資料。(108/10/1)</w:t>
      </w:r>
    </w:p>
    <w:p w14:paraId="58ACA77C" w14:textId="77777777" w:rsidR="002F5A40" w:rsidRPr="002F5A40" w:rsidRDefault="00C64FB3" w:rsidP="002F5A40">
      <w:pPr>
        <w:pStyle w:val="af"/>
        <w:spacing w:line="300" w:lineRule="exact"/>
        <w:ind w:left="684" w:hanging="684"/>
        <w:rPr>
          <w:rFonts w:ascii="標楷體" w:eastAsia="標楷體" w:hAnsi="標楷體"/>
          <w:color w:val="000000"/>
        </w:rPr>
      </w:pPr>
      <w:r>
        <w:rPr>
          <w:rFonts w:ascii="標楷體" w:eastAsia="標楷體" w:hAnsi="標楷體"/>
          <w:szCs w:val="24"/>
        </w:rPr>
        <w:t>4.2.3.</w:t>
      </w:r>
      <w:r w:rsidR="002F5A40" w:rsidRPr="002F5A40">
        <w:rPr>
          <w:rFonts w:ascii="標楷體" w:eastAsia="標楷體" w:hAnsi="標楷體"/>
          <w:color w:val="000000"/>
          <w:kern w:val="2"/>
        </w:rPr>
        <w:t xml:space="preserve"> </w:t>
      </w:r>
      <w:r w:rsidR="002F5A40" w:rsidRPr="002F5A40">
        <w:rPr>
          <w:rFonts w:ascii="標楷體" w:eastAsia="標楷體" w:hAnsi="標楷體"/>
          <w:color w:val="000000"/>
        </w:rPr>
        <w:t>第八、第九凝血因子製劑（103/4/1、106/9/1、106/12/1、107/11/1、108/10/1、109/3/1、109/9/1、109/12/1、110/3/1、111/1/1、111/3/1、112/3/1、112/5/1、113/7/1、114/3/1）：</w:t>
      </w:r>
    </w:p>
    <w:p w14:paraId="72A21649" w14:textId="77777777" w:rsidR="002F5A40" w:rsidRPr="002F5A40" w:rsidRDefault="002F5A40" w:rsidP="002F5A40">
      <w:pPr>
        <w:pStyle w:val="af"/>
        <w:spacing w:line="300" w:lineRule="exact"/>
        <w:ind w:left="684" w:hanging="258"/>
        <w:rPr>
          <w:rFonts w:ascii="標楷體" w:eastAsia="標楷體" w:hAnsi="標楷體"/>
          <w:color w:val="000000"/>
        </w:rPr>
      </w:pPr>
      <w:r w:rsidRPr="002F5A40">
        <w:rPr>
          <w:rFonts w:ascii="標楷體" w:eastAsia="標楷體" w:hAnsi="標楷體"/>
          <w:color w:val="000000"/>
        </w:rPr>
        <w:t>1.門診之血友病</w:t>
      </w:r>
      <w:proofErr w:type="gramStart"/>
      <w:r w:rsidRPr="002F5A40">
        <w:rPr>
          <w:rFonts w:ascii="標楷體" w:eastAsia="標楷體" w:hAnsi="標楷體"/>
          <w:color w:val="000000"/>
        </w:rPr>
        <w:t>人得攜回</w:t>
      </w:r>
      <w:proofErr w:type="gramEnd"/>
      <w:r w:rsidRPr="002F5A40">
        <w:rPr>
          <w:rFonts w:ascii="標楷體" w:eastAsia="標楷體" w:hAnsi="標楷體"/>
          <w:color w:val="000000"/>
        </w:rPr>
        <w:t>二~三劑量(至多攜回一個月)第八、第九凝血因子備用，繼續治療時，比照</w:t>
      </w:r>
      <w:proofErr w:type="gramStart"/>
      <w:r w:rsidRPr="002F5A40">
        <w:rPr>
          <w:rFonts w:ascii="標楷體" w:eastAsia="標楷體" w:hAnsi="標楷體"/>
          <w:color w:val="000000"/>
        </w:rPr>
        <w:t>化療以</w:t>
      </w:r>
      <w:proofErr w:type="gramEnd"/>
      <w:r w:rsidRPr="002F5A40">
        <w:rPr>
          <w:rFonts w:ascii="標楷體" w:eastAsia="標楷體" w:hAnsi="標楷體"/>
          <w:color w:val="000000"/>
        </w:rPr>
        <w:t>「療程」方式處理，並查驗上次治療紀錄（如附表十八之</w:t>
      </w:r>
      <w:proofErr w:type="gramStart"/>
      <w:r w:rsidRPr="002F5A40">
        <w:rPr>
          <w:rFonts w:ascii="標楷體" w:eastAsia="標楷體" w:hAnsi="標楷體"/>
          <w:color w:val="000000"/>
        </w:rPr>
        <w:t>一─</w:t>
      </w:r>
      <w:proofErr w:type="gramEnd"/>
      <w:r w:rsidRPr="002F5A40">
        <w:rPr>
          <w:rFonts w:ascii="標楷體" w:eastAsia="標楷體" w:hAnsi="標楷體"/>
          <w:color w:val="000000"/>
        </w:rPr>
        <w:t>全民健康保險血友病患者使用第八、第九凝血因子在家治療紀錄）及登錄醫療評估追蹤紀錄表(附表十八之五)。醫療機構、醫師開立使用血液</w:t>
      </w:r>
      <w:proofErr w:type="gramStart"/>
      <w:r w:rsidRPr="002F5A40">
        <w:rPr>
          <w:rFonts w:ascii="標楷體" w:eastAsia="標楷體" w:hAnsi="標楷體"/>
          <w:color w:val="000000"/>
        </w:rPr>
        <w:t>製劑時</w:t>
      </w:r>
      <w:proofErr w:type="gramEnd"/>
      <w:r w:rsidRPr="002F5A40">
        <w:rPr>
          <w:rFonts w:ascii="標楷體" w:eastAsia="標楷體" w:hAnsi="標楷體"/>
          <w:color w:val="000000"/>
        </w:rPr>
        <w:t>，應依血液製劑條例之規定辦理。</w:t>
      </w:r>
      <w:proofErr w:type="gramStart"/>
      <w:r w:rsidRPr="002F5A40">
        <w:rPr>
          <w:rFonts w:ascii="標楷體" w:eastAsia="標楷體" w:hAnsi="標楷體"/>
          <w:color w:val="000000"/>
        </w:rPr>
        <w:t>（</w:t>
      </w:r>
      <w:proofErr w:type="gramEnd"/>
      <w:r w:rsidRPr="002F5A40">
        <w:rPr>
          <w:rFonts w:ascii="標楷體" w:eastAsia="標楷體" w:hAnsi="標楷體"/>
          <w:color w:val="000000"/>
        </w:rPr>
        <w:t>103/4/1、108/10/1、109/12/1)</w:t>
      </w:r>
    </w:p>
    <w:p w14:paraId="4F3DF158" w14:textId="77777777" w:rsidR="002F5A40" w:rsidRPr="002F5A40" w:rsidRDefault="002F5A40" w:rsidP="002F5A40">
      <w:pPr>
        <w:pStyle w:val="af"/>
        <w:spacing w:line="300" w:lineRule="exact"/>
        <w:ind w:left="684" w:hanging="258"/>
        <w:rPr>
          <w:rFonts w:ascii="標楷體" w:eastAsia="標楷體" w:hAnsi="標楷體"/>
          <w:color w:val="000000"/>
        </w:rPr>
      </w:pPr>
      <w:r w:rsidRPr="002F5A40">
        <w:rPr>
          <w:rFonts w:ascii="標楷體" w:eastAsia="標楷體" w:hAnsi="標楷體"/>
          <w:color w:val="000000"/>
        </w:rPr>
        <w:t>2.用於A型或B型無抗體存在之血友病人：(111/1/1</w:t>
      </w:r>
      <w:proofErr w:type="gramStart"/>
      <w:r w:rsidRPr="002F5A40">
        <w:rPr>
          <w:rFonts w:ascii="標楷體" w:eastAsia="標楷體" w:hAnsi="標楷體"/>
          <w:color w:val="000000"/>
        </w:rPr>
        <w:t>）</w:t>
      </w:r>
      <w:proofErr w:type="gramEnd"/>
    </w:p>
    <w:p w14:paraId="16609C81" w14:textId="77777777" w:rsidR="002F5A40" w:rsidRPr="002F5A40" w:rsidRDefault="002F5A40" w:rsidP="002F5A40">
      <w:pPr>
        <w:pStyle w:val="af"/>
        <w:spacing w:line="300" w:lineRule="exact"/>
        <w:ind w:left="1276" w:hanging="542"/>
        <w:rPr>
          <w:rFonts w:ascii="標楷體" w:eastAsia="標楷體" w:hAnsi="標楷體"/>
          <w:color w:val="000000"/>
        </w:rPr>
      </w:pPr>
      <w:r w:rsidRPr="002F5A40">
        <w:rPr>
          <w:rFonts w:ascii="標楷體" w:eastAsia="標楷體" w:hAnsi="標楷體"/>
          <w:color w:val="000000"/>
        </w:rPr>
        <w:t>(1) 突發性出血治療(episodic therapy)：適用一般型血友病病人，建議</w:t>
      </w:r>
      <w:proofErr w:type="gramStart"/>
      <w:r w:rsidRPr="002F5A40">
        <w:rPr>
          <w:rFonts w:ascii="標楷體" w:eastAsia="標楷體" w:hAnsi="標楷體"/>
          <w:color w:val="000000"/>
        </w:rPr>
        <w:t>劑量均如附表</w:t>
      </w:r>
      <w:proofErr w:type="gramEnd"/>
      <w:r w:rsidRPr="002F5A40">
        <w:rPr>
          <w:rFonts w:ascii="標楷體" w:eastAsia="標楷體" w:hAnsi="標楷體"/>
          <w:color w:val="000000"/>
        </w:rPr>
        <w:t>十八之三－全民健康保險一般型血友病患突發性出血治療(episodic therapy)</w:t>
      </w:r>
      <w:proofErr w:type="gramStart"/>
      <w:r w:rsidRPr="002F5A40">
        <w:rPr>
          <w:rFonts w:ascii="標楷體" w:eastAsia="標楷體" w:hAnsi="標楷體"/>
          <w:color w:val="000000"/>
        </w:rPr>
        <w:t>之凝血</w:t>
      </w:r>
      <w:proofErr w:type="gramEnd"/>
      <w:r w:rsidRPr="002F5A40">
        <w:rPr>
          <w:rFonts w:ascii="標楷體" w:eastAsia="標楷體" w:hAnsi="標楷體"/>
          <w:color w:val="000000"/>
        </w:rPr>
        <w:t>因子建議劑量。 (106/9/1、106/12/1、107/11/1、108/10/1、111/1/1、112/5/1)</w:t>
      </w:r>
    </w:p>
    <w:p w14:paraId="1360CB0C" w14:textId="77777777" w:rsidR="002F5A40" w:rsidRPr="002F5A40" w:rsidRDefault="002F5A40" w:rsidP="002F5A40">
      <w:pPr>
        <w:pStyle w:val="af"/>
        <w:spacing w:line="300" w:lineRule="exact"/>
        <w:ind w:left="1418" w:hanging="684"/>
        <w:rPr>
          <w:rFonts w:ascii="標楷體" w:eastAsia="標楷體" w:hAnsi="標楷體"/>
          <w:color w:val="000000"/>
        </w:rPr>
      </w:pPr>
      <w:r w:rsidRPr="002F5A40">
        <w:rPr>
          <w:rFonts w:ascii="標楷體" w:eastAsia="標楷體" w:hAnsi="標楷體"/>
          <w:color w:val="000000"/>
        </w:rPr>
        <w:t>(2) 預防性治療：限嚴重型(</w:t>
      </w:r>
      <w:proofErr w:type="spellStart"/>
      <w:r w:rsidRPr="002F5A40">
        <w:rPr>
          <w:rFonts w:ascii="標楷體" w:eastAsia="標楷體" w:hAnsi="標楷體"/>
          <w:color w:val="000000"/>
        </w:rPr>
        <w:t>Ⅷ:C</w:t>
      </w:r>
      <w:proofErr w:type="spellEnd"/>
      <w:r w:rsidRPr="002F5A40">
        <w:rPr>
          <w:rFonts w:ascii="標楷體" w:eastAsia="標楷體" w:hAnsi="標楷體"/>
          <w:color w:val="000000"/>
        </w:rPr>
        <w:t>小於1%)血友病病人，且與雙特異性單株抗體藥物(如</w:t>
      </w:r>
      <w:proofErr w:type="spellStart"/>
      <w:r w:rsidRPr="002F5A40">
        <w:rPr>
          <w:rFonts w:ascii="標楷體" w:eastAsia="標楷體" w:hAnsi="標楷體"/>
          <w:color w:val="000000"/>
        </w:rPr>
        <w:t>emicizumab</w:t>
      </w:r>
      <w:proofErr w:type="spellEnd"/>
      <w:r w:rsidRPr="002F5A40">
        <w:rPr>
          <w:rFonts w:ascii="標楷體" w:eastAsia="標楷體" w:hAnsi="標楷體"/>
          <w:color w:val="000000"/>
        </w:rPr>
        <w:t>)不得</w:t>
      </w:r>
      <w:proofErr w:type="gramStart"/>
      <w:r w:rsidRPr="002F5A40">
        <w:rPr>
          <w:rFonts w:ascii="標楷體" w:eastAsia="標楷體" w:hAnsi="標楷體"/>
          <w:color w:val="000000"/>
        </w:rPr>
        <w:t>併</w:t>
      </w:r>
      <w:proofErr w:type="gramEnd"/>
      <w:r w:rsidRPr="002F5A40">
        <w:rPr>
          <w:rFonts w:ascii="標楷體" w:eastAsia="標楷體" w:hAnsi="標楷體"/>
          <w:color w:val="000000"/>
        </w:rPr>
        <w:t>用。(113/7/1</w:t>
      </w:r>
      <w:proofErr w:type="gramStart"/>
      <w:r w:rsidRPr="002F5A40">
        <w:rPr>
          <w:rFonts w:ascii="標楷體" w:eastAsia="標楷體" w:hAnsi="標楷體"/>
          <w:color w:val="000000"/>
        </w:rPr>
        <w:t>）</w:t>
      </w:r>
      <w:proofErr w:type="gramEnd"/>
    </w:p>
    <w:p w14:paraId="035A3818"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Ⅰ.嚴重A型血友病病人：</w:t>
      </w:r>
    </w:p>
    <w:p w14:paraId="3726B50E"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新細明體" w:hAnsi="新細明體" w:cs="新細明體" w:hint="eastAsia"/>
          <w:color w:val="000000"/>
        </w:rPr>
        <w:t>ⅰ</w:t>
      </w:r>
      <w:r w:rsidRPr="002F5A40">
        <w:rPr>
          <w:rFonts w:ascii="標楷體" w:eastAsia="標楷體" w:hAnsi="標楷體"/>
          <w:color w:val="000000"/>
        </w:rPr>
        <w:t>.Eloctate：(106/9/1、106/12/1、109/3/1、111/1/1)</w:t>
      </w:r>
    </w:p>
    <w:p w14:paraId="62FCA6BC" w14:textId="77777777" w:rsidR="002F5A40" w:rsidRPr="002F5A40" w:rsidRDefault="002F5A40" w:rsidP="002F5A40">
      <w:pPr>
        <w:pStyle w:val="af"/>
        <w:spacing w:line="300" w:lineRule="exact"/>
        <w:ind w:left="1418" w:hanging="142"/>
        <w:rPr>
          <w:rFonts w:ascii="標楷體" w:eastAsia="標楷體" w:hAnsi="標楷體"/>
          <w:color w:val="000000"/>
        </w:rPr>
      </w:pPr>
      <w:r w:rsidRPr="002F5A40">
        <w:rPr>
          <w:rFonts w:ascii="標楷體" w:eastAsia="標楷體" w:hAnsi="標楷體"/>
          <w:color w:val="000000"/>
        </w:rPr>
        <w:t>A.每3天注射一次，每次25-35 IU/kg或每4天注射一次，每次36-50 IU/kg或每5天注射一次，每次51-65 IU/kg。</w:t>
      </w:r>
    </w:p>
    <w:p w14:paraId="11957389" w14:textId="77777777" w:rsidR="002F5A40" w:rsidRPr="002F5A40" w:rsidRDefault="002F5A40" w:rsidP="002F5A40">
      <w:pPr>
        <w:pStyle w:val="af"/>
        <w:spacing w:line="300" w:lineRule="exact"/>
        <w:ind w:left="1701" w:hanging="425"/>
        <w:rPr>
          <w:rFonts w:ascii="標楷體" w:eastAsia="標楷體" w:hAnsi="標楷體"/>
          <w:color w:val="000000"/>
        </w:rPr>
      </w:pPr>
      <w:r w:rsidRPr="002F5A40">
        <w:rPr>
          <w:rFonts w:ascii="標楷體" w:eastAsia="標楷體" w:hAnsi="標楷體"/>
          <w:color w:val="000000"/>
        </w:rPr>
        <w:t>B.每天最大平均劑量不可超過15 IU/kg，單次劑量不可超過65 IU/kg。若臨床上需要使用超過上述劑量，則需要事前審查。</w:t>
      </w:r>
    </w:p>
    <w:p w14:paraId="2D7DFE33" w14:textId="77777777" w:rsidR="002F5A40" w:rsidRPr="002F5A40" w:rsidRDefault="002F5A40" w:rsidP="002F5A40">
      <w:pPr>
        <w:pStyle w:val="af"/>
        <w:spacing w:line="300" w:lineRule="exact"/>
        <w:ind w:left="1701" w:firstLine="142"/>
        <w:rPr>
          <w:rFonts w:ascii="標楷體" w:eastAsia="標楷體" w:hAnsi="標楷體"/>
          <w:color w:val="000000"/>
        </w:rPr>
      </w:pPr>
      <w:r w:rsidRPr="002F5A40">
        <w:rPr>
          <w:rFonts w:ascii="新細明體" w:hAnsi="新細明體" w:cs="新細明體" w:hint="eastAsia"/>
          <w:color w:val="000000"/>
        </w:rPr>
        <w:lastRenderedPageBreak/>
        <w:t>ⅱ</w:t>
      </w:r>
      <w:r w:rsidRPr="002F5A40">
        <w:rPr>
          <w:rFonts w:ascii="標楷體" w:eastAsia="標楷體" w:hAnsi="標楷體"/>
          <w:color w:val="000000"/>
        </w:rPr>
        <w:t>.</w:t>
      </w:r>
      <w:proofErr w:type="spellStart"/>
      <w:r w:rsidRPr="002F5A40">
        <w:rPr>
          <w:rFonts w:ascii="標楷體" w:eastAsia="標楷體" w:hAnsi="標楷體"/>
          <w:color w:val="000000"/>
        </w:rPr>
        <w:t>Adynovate</w:t>
      </w:r>
      <w:proofErr w:type="spellEnd"/>
      <w:r w:rsidRPr="002F5A40">
        <w:rPr>
          <w:rFonts w:ascii="標楷體" w:eastAsia="標楷體" w:hAnsi="標楷體"/>
          <w:color w:val="000000"/>
        </w:rPr>
        <w:t>：(107/11/1、109/3/1、111/1/1)</w:t>
      </w:r>
    </w:p>
    <w:p w14:paraId="558DC38B" w14:textId="77777777" w:rsidR="002F5A40" w:rsidRPr="002F5A40" w:rsidRDefault="002F5A40" w:rsidP="002F5A40">
      <w:pPr>
        <w:pStyle w:val="af"/>
        <w:spacing w:line="300" w:lineRule="exact"/>
        <w:ind w:left="1418" w:hanging="142"/>
        <w:rPr>
          <w:rFonts w:ascii="標楷體" w:eastAsia="標楷體" w:hAnsi="標楷體"/>
          <w:color w:val="000000"/>
        </w:rPr>
      </w:pPr>
      <w:r w:rsidRPr="002F5A40">
        <w:rPr>
          <w:rFonts w:ascii="標楷體" w:eastAsia="標楷體" w:hAnsi="標楷體"/>
          <w:color w:val="000000"/>
        </w:rPr>
        <w:t>A.每週注射2次，每次40-50 IU/kg。</w:t>
      </w:r>
    </w:p>
    <w:p w14:paraId="3A937D3E" w14:textId="77777777" w:rsidR="002F5A40" w:rsidRPr="002F5A40" w:rsidRDefault="002F5A40" w:rsidP="002F5A40">
      <w:pPr>
        <w:pStyle w:val="af"/>
        <w:spacing w:line="300" w:lineRule="exact"/>
        <w:ind w:left="1560" w:hanging="258"/>
        <w:rPr>
          <w:rFonts w:ascii="標楷體" w:eastAsia="標楷體" w:hAnsi="標楷體"/>
          <w:color w:val="000000"/>
        </w:rPr>
      </w:pPr>
      <w:r w:rsidRPr="002F5A40">
        <w:rPr>
          <w:rFonts w:ascii="標楷體" w:eastAsia="標楷體" w:hAnsi="標楷體"/>
          <w:color w:val="000000"/>
        </w:rPr>
        <w:t>B.每天最大平均劑量不可超過15 IU/kg，單次劑量不可超過65 IU/kg。若臨床上需要使用超過上述劑量，則需要事前審查。</w:t>
      </w:r>
    </w:p>
    <w:p w14:paraId="473893E2"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 xml:space="preserve">iii. </w:t>
      </w:r>
      <w:proofErr w:type="spellStart"/>
      <w:r w:rsidRPr="002F5A40">
        <w:rPr>
          <w:rFonts w:ascii="標楷體" w:eastAsia="標楷體" w:hAnsi="標楷體"/>
          <w:color w:val="000000"/>
        </w:rPr>
        <w:t>Kovaltry</w:t>
      </w:r>
      <w:proofErr w:type="spellEnd"/>
      <w:r w:rsidRPr="002F5A40">
        <w:rPr>
          <w:rFonts w:ascii="標楷體" w:eastAsia="標楷體" w:hAnsi="標楷體"/>
          <w:color w:val="000000"/>
        </w:rPr>
        <w:t>、</w:t>
      </w:r>
      <w:proofErr w:type="spellStart"/>
      <w:r w:rsidRPr="002F5A40">
        <w:rPr>
          <w:rFonts w:ascii="標楷體" w:eastAsia="標楷體" w:hAnsi="標楷體"/>
          <w:color w:val="000000"/>
        </w:rPr>
        <w:t>Afstyla</w:t>
      </w:r>
      <w:proofErr w:type="spellEnd"/>
      <w:r w:rsidRPr="002F5A40">
        <w:rPr>
          <w:rFonts w:ascii="標楷體" w:eastAsia="標楷體" w:hAnsi="標楷體"/>
          <w:color w:val="000000"/>
        </w:rPr>
        <w:t>、</w:t>
      </w:r>
      <w:proofErr w:type="spellStart"/>
      <w:r w:rsidRPr="002F5A40">
        <w:rPr>
          <w:rFonts w:ascii="標楷體" w:eastAsia="標楷體" w:hAnsi="標楷體"/>
          <w:color w:val="000000"/>
        </w:rPr>
        <w:t>Nuwiq</w:t>
      </w:r>
      <w:proofErr w:type="spellEnd"/>
      <w:proofErr w:type="gramStart"/>
      <w:r w:rsidRPr="002F5A40">
        <w:rPr>
          <w:rFonts w:ascii="標楷體" w:eastAsia="標楷體" w:hAnsi="標楷體"/>
          <w:color w:val="000000"/>
        </w:rPr>
        <w:t>：(</w:t>
      </w:r>
      <w:proofErr w:type="gramEnd"/>
      <w:r w:rsidRPr="002F5A40">
        <w:rPr>
          <w:rFonts w:ascii="標楷體" w:eastAsia="標楷體" w:hAnsi="標楷體"/>
          <w:color w:val="000000"/>
        </w:rPr>
        <w:t>109/3/1、109/9/1、111/1/1、</w:t>
      </w:r>
    </w:p>
    <w:p w14:paraId="608E0F34" w14:textId="77777777" w:rsidR="002F5A40" w:rsidRPr="002F5A40" w:rsidRDefault="002F5A40" w:rsidP="002F5A40">
      <w:pPr>
        <w:pStyle w:val="af"/>
        <w:spacing w:line="300" w:lineRule="exact"/>
        <w:ind w:left="2835" w:hanging="684"/>
        <w:rPr>
          <w:rFonts w:ascii="標楷體" w:eastAsia="標楷體" w:hAnsi="標楷體"/>
          <w:color w:val="000000"/>
        </w:rPr>
      </w:pPr>
      <w:r w:rsidRPr="002F5A40">
        <w:rPr>
          <w:rFonts w:ascii="標楷體" w:eastAsia="標楷體" w:hAnsi="標楷體"/>
          <w:color w:val="000000"/>
        </w:rPr>
        <w:t>111/3/1)</w:t>
      </w:r>
    </w:p>
    <w:p w14:paraId="44EA3062" w14:textId="77777777" w:rsidR="002F5A40" w:rsidRPr="002F5A40" w:rsidRDefault="002F5A40" w:rsidP="002F5A40">
      <w:pPr>
        <w:pStyle w:val="af"/>
        <w:spacing w:line="300" w:lineRule="exact"/>
        <w:ind w:left="684" w:firstLine="592"/>
        <w:rPr>
          <w:rFonts w:ascii="標楷體" w:eastAsia="標楷體" w:hAnsi="標楷體"/>
          <w:color w:val="000000"/>
        </w:rPr>
      </w:pPr>
      <w:r w:rsidRPr="002F5A40">
        <w:rPr>
          <w:rFonts w:ascii="標楷體" w:eastAsia="標楷體" w:hAnsi="標楷體"/>
          <w:color w:val="000000"/>
        </w:rPr>
        <w:t>A.每週注射2至3次，每次20-40 IU/kg。</w:t>
      </w:r>
    </w:p>
    <w:p w14:paraId="674EE80E" w14:textId="77777777" w:rsidR="002F5A40" w:rsidRPr="002F5A40" w:rsidRDefault="002F5A40" w:rsidP="002F5A40">
      <w:pPr>
        <w:pStyle w:val="af"/>
        <w:spacing w:line="300" w:lineRule="exact"/>
        <w:ind w:left="1560" w:hanging="284"/>
        <w:rPr>
          <w:rFonts w:ascii="標楷體" w:eastAsia="標楷體" w:hAnsi="標楷體"/>
          <w:color w:val="000000"/>
        </w:rPr>
      </w:pPr>
      <w:r w:rsidRPr="002F5A40">
        <w:rPr>
          <w:rFonts w:ascii="標楷體" w:eastAsia="標楷體" w:hAnsi="標楷體"/>
          <w:color w:val="000000"/>
        </w:rPr>
        <w:t>B.每天最大平均劑量不可超過15 IU/kg，單次劑量不可超過65 IU/kg。若臨床上需要使用超過上述劑量，則需要事前審查。</w:t>
      </w:r>
    </w:p>
    <w:p w14:paraId="592953BA"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 xml:space="preserve">iv. </w:t>
      </w:r>
      <w:proofErr w:type="spellStart"/>
      <w:r w:rsidRPr="002F5A40">
        <w:rPr>
          <w:rFonts w:ascii="標楷體" w:eastAsia="標楷體" w:hAnsi="標楷體"/>
          <w:color w:val="000000"/>
        </w:rPr>
        <w:t>Jivi</w:t>
      </w:r>
      <w:proofErr w:type="spellEnd"/>
      <w:proofErr w:type="gramStart"/>
      <w:r w:rsidRPr="002F5A40">
        <w:rPr>
          <w:rFonts w:ascii="標楷體" w:eastAsia="標楷體" w:hAnsi="標楷體"/>
          <w:color w:val="000000"/>
        </w:rPr>
        <w:t>：(</w:t>
      </w:r>
      <w:proofErr w:type="gramEnd"/>
      <w:r w:rsidRPr="002F5A40">
        <w:rPr>
          <w:rFonts w:ascii="標楷體" w:eastAsia="標楷體" w:hAnsi="標楷體"/>
          <w:color w:val="000000"/>
        </w:rPr>
        <w:t>109/12/1、111/1/1、112/3/1）</w:t>
      </w:r>
    </w:p>
    <w:p w14:paraId="217DDCF7"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A.每週注射2次，每次30-40 IU/kg；每5天注射1次，每次45-60 IU/kg；每週注射1次，每次60 IU/kg。</w:t>
      </w:r>
    </w:p>
    <w:p w14:paraId="7492B3C3"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B.限用於12歲以上且曾接受治療之A型血友病病人。(112/3/1)</w:t>
      </w:r>
    </w:p>
    <w:p w14:paraId="3B073D58"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v.Esperoct</w:t>
      </w:r>
      <w:proofErr w:type="spellEnd"/>
      <w:r w:rsidRPr="002F5A40">
        <w:rPr>
          <w:rFonts w:ascii="標楷體" w:eastAsia="標楷體" w:hAnsi="標楷體"/>
          <w:color w:val="000000"/>
        </w:rPr>
        <w:t>：(112/3/1)</w:t>
      </w:r>
    </w:p>
    <w:p w14:paraId="1FC93C67"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A.未滿12歲：每週注射1~2次， 每次65 IU/kg。每天最大平均劑量不可超過15 IU/kg，單次劑量不可超過65 IU/kg。若臨床上需要使用超過前述劑量，則需要事前審查。</w:t>
      </w:r>
    </w:p>
    <w:p w14:paraId="061EF052"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B.12歲以上：每4天注射1次，每次50 IU/kg，或每週注射1次，每次75 IU/kg，但每月總量不得超過350 IU/kg。</w:t>
      </w:r>
    </w:p>
    <w:p w14:paraId="6BF63667"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vi.Altuviiio</w:t>
      </w:r>
      <w:proofErr w:type="spellEnd"/>
      <w:r w:rsidRPr="002F5A40">
        <w:rPr>
          <w:rFonts w:ascii="標楷體" w:eastAsia="標楷體" w:hAnsi="標楷體"/>
          <w:color w:val="000000"/>
        </w:rPr>
        <w:t>：每週注射1次，每次50 IU/kg。(113/7/1</w:t>
      </w:r>
      <w:proofErr w:type="gramStart"/>
      <w:r w:rsidRPr="002F5A40">
        <w:rPr>
          <w:rFonts w:ascii="標楷體" w:eastAsia="標楷體" w:hAnsi="標楷體"/>
          <w:color w:val="000000"/>
        </w:rPr>
        <w:t>）</w:t>
      </w:r>
      <w:proofErr w:type="gramEnd"/>
    </w:p>
    <w:p w14:paraId="5F920B98"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vii.其他製劑：每週注射1-3次，每一次劑量為15-25 IU/kg。(106/12/1、109/3/1、111/1/1)</w:t>
      </w:r>
    </w:p>
    <w:p w14:paraId="00D3C1EE" w14:textId="77777777" w:rsidR="002F5A40" w:rsidRPr="002F5A40" w:rsidRDefault="002F5A40" w:rsidP="002F5A40">
      <w:pPr>
        <w:pStyle w:val="af"/>
        <w:spacing w:line="300" w:lineRule="exact"/>
        <w:ind w:left="2127" w:hanging="684"/>
        <w:rPr>
          <w:rFonts w:ascii="標楷體" w:eastAsia="標楷體" w:hAnsi="標楷體"/>
          <w:color w:val="000000"/>
        </w:rPr>
      </w:pPr>
      <w:r w:rsidRPr="002F5A40">
        <w:rPr>
          <w:rFonts w:ascii="標楷體" w:eastAsia="標楷體" w:hAnsi="標楷體"/>
          <w:color w:val="000000"/>
        </w:rPr>
        <w:t>Ⅱ.嚴重B型血友病病人：</w:t>
      </w:r>
    </w:p>
    <w:p w14:paraId="56C376AA"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i.Idelvion</w:t>
      </w:r>
      <w:proofErr w:type="spellEnd"/>
      <w:r w:rsidRPr="002F5A40">
        <w:rPr>
          <w:rFonts w:ascii="標楷體" w:eastAsia="標楷體" w:hAnsi="標楷體"/>
          <w:color w:val="000000"/>
        </w:rPr>
        <w:t>：用於12歲以上病人每週注射一次，每次25-35 IU/kg，或每2</w:t>
      </w:r>
      <w:proofErr w:type="gramStart"/>
      <w:r w:rsidRPr="002F5A40">
        <w:rPr>
          <w:rFonts w:ascii="標楷體" w:eastAsia="標楷體" w:hAnsi="標楷體"/>
          <w:color w:val="000000"/>
        </w:rPr>
        <w:t>週</w:t>
      </w:r>
      <w:proofErr w:type="gramEnd"/>
      <w:r w:rsidRPr="002F5A40">
        <w:rPr>
          <w:rFonts w:ascii="標楷體" w:eastAsia="標楷體" w:hAnsi="標楷體"/>
          <w:color w:val="000000"/>
        </w:rPr>
        <w:t xml:space="preserve">注射一次，每次40-50 IU/kg；用於未滿12歲病人每週注射一次，每次35 IU/kg。(109/9/1、111/1/1) </w:t>
      </w:r>
    </w:p>
    <w:p w14:paraId="23AC423C"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ii.Alprolix</w:t>
      </w:r>
      <w:proofErr w:type="spellEnd"/>
      <w:r w:rsidRPr="002F5A40">
        <w:rPr>
          <w:rFonts w:ascii="標楷體" w:eastAsia="標楷體" w:hAnsi="標楷體"/>
          <w:color w:val="000000"/>
        </w:rPr>
        <w:t>：每週注射一次，每次50 IU/kg。(109/9/1、111/1/1)</w:t>
      </w:r>
    </w:p>
    <w:p w14:paraId="2275BB02"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iii.Refixia</w:t>
      </w:r>
      <w:proofErr w:type="spellEnd"/>
      <w:r w:rsidRPr="002F5A40">
        <w:rPr>
          <w:rFonts w:ascii="標楷體" w:eastAsia="標楷體" w:hAnsi="標楷體"/>
          <w:color w:val="000000"/>
        </w:rPr>
        <w:t>：每週注射一次，每次40 IU/kg。(110/3/1、111/1/1、114/3/1</w:t>
      </w:r>
      <w:proofErr w:type="gramStart"/>
      <w:r w:rsidRPr="002F5A40">
        <w:rPr>
          <w:rFonts w:ascii="標楷體" w:eastAsia="標楷體" w:hAnsi="標楷體"/>
          <w:color w:val="000000"/>
        </w:rPr>
        <w:t>）</w:t>
      </w:r>
      <w:proofErr w:type="gramEnd"/>
    </w:p>
    <w:p w14:paraId="199412F2"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iv.其他製劑：每週注射1-2次，每一次劑量為30-50 IU/kg。(103/4/1、109/9/1、111/1/1)</w:t>
      </w:r>
    </w:p>
    <w:p w14:paraId="60A791DF" w14:textId="77777777" w:rsidR="002F5A40" w:rsidRPr="002F5A40" w:rsidRDefault="002F5A40" w:rsidP="002F5A40">
      <w:pPr>
        <w:pStyle w:val="af"/>
        <w:spacing w:line="300" w:lineRule="exact"/>
        <w:ind w:left="2127" w:hanging="684"/>
        <w:rPr>
          <w:rFonts w:ascii="標楷體" w:eastAsia="標楷體" w:hAnsi="標楷體"/>
          <w:color w:val="000000"/>
        </w:rPr>
      </w:pPr>
      <w:r w:rsidRPr="002F5A40">
        <w:rPr>
          <w:rFonts w:ascii="標楷體" w:eastAsia="標楷體" w:hAnsi="標楷體"/>
          <w:color w:val="000000"/>
        </w:rPr>
        <w:t>Ⅲ.施行預防性治療</w:t>
      </w:r>
      <w:proofErr w:type="gramStart"/>
      <w:r w:rsidRPr="002F5A40">
        <w:rPr>
          <w:rFonts w:ascii="標楷體" w:eastAsia="標楷體" w:hAnsi="標楷體"/>
          <w:color w:val="000000"/>
        </w:rPr>
        <w:t>期間，</w:t>
      </w:r>
      <w:proofErr w:type="gramEnd"/>
      <w:r w:rsidRPr="002F5A40">
        <w:rPr>
          <w:rFonts w:ascii="標楷體" w:eastAsia="標楷體" w:hAnsi="標楷體"/>
          <w:color w:val="000000"/>
        </w:rPr>
        <w:t>其預防效果可以臨床觀察為之，如病人仍然出現突破性出血時，得檢測給藥前最低濃度(trough level)，其濃度低於1IU/dL，得再調整劑量。(106/12/1、109/3/1、111/1/1)</w:t>
      </w:r>
    </w:p>
    <w:p w14:paraId="17940E8D" w14:textId="77777777" w:rsidR="002F5A40" w:rsidRPr="002F5A40" w:rsidRDefault="002F5A40" w:rsidP="002F5A40">
      <w:pPr>
        <w:pStyle w:val="af"/>
        <w:spacing w:line="300" w:lineRule="exact"/>
        <w:ind w:left="1701" w:hanging="284"/>
        <w:rPr>
          <w:rFonts w:ascii="標楷體" w:eastAsia="標楷體" w:hAnsi="標楷體"/>
          <w:color w:val="000000"/>
        </w:rPr>
      </w:pPr>
      <w:r w:rsidRPr="002F5A40">
        <w:rPr>
          <w:rFonts w:ascii="標楷體" w:eastAsia="標楷體" w:hAnsi="標楷體"/>
          <w:color w:val="000000"/>
        </w:rPr>
        <w:t>Ⅳ.如病患治療時產生凝血因子低反應性抗體，則建議暫時終止預防性治療，直到確定抗體消失始得重新治療；病人如產生凝血因子高反應性抗體時，則需停止預防性治療，在接受免疫耐受性療法確定成功且抗體消失後，可重新使用「預防性」治療。</w:t>
      </w:r>
    </w:p>
    <w:p w14:paraId="25FEF856" w14:textId="77777777" w:rsidR="002F5A40" w:rsidRPr="002F5A40" w:rsidRDefault="002F5A40" w:rsidP="005D56BC">
      <w:pPr>
        <w:pStyle w:val="af"/>
        <w:spacing w:line="300" w:lineRule="exact"/>
        <w:ind w:left="1418" w:hanging="684"/>
        <w:rPr>
          <w:rFonts w:ascii="標楷體" w:eastAsia="標楷體" w:hAnsi="標楷體"/>
          <w:color w:val="000000"/>
        </w:rPr>
      </w:pPr>
      <w:r w:rsidRPr="002F5A40">
        <w:rPr>
          <w:rFonts w:ascii="標楷體" w:eastAsia="標楷體" w:hAnsi="標楷體"/>
          <w:color w:val="000000"/>
        </w:rPr>
        <w:t xml:space="preserve">(3) </w:t>
      </w:r>
      <w:proofErr w:type="spellStart"/>
      <w:r w:rsidRPr="002F5A40">
        <w:rPr>
          <w:rFonts w:ascii="標楷體" w:eastAsia="標楷體" w:hAnsi="標楷體"/>
          <w:color w:val="000000"/>
        </w:rPr>
        <w:t>Idelvion</w:t>
      </w:r>
      <w:proofErr w:type="spellEnd"/>
      <w:r w:rsidRPr="002F5A40">
        <w:rPr>
          <w:rFonts w:ascii="標楷體" w:eastAsia="標楷體" w:hAnsi="標楷體"/>
          <w:color w:val="000000"/>
        </w:rPr>
        <w:t>限用於預防性治療。(109/9/1、110/3/1、111/1/1、112/5/1)</w:t>
      </w:r>
    </w:p>
    <w:p w14:paraId="4189CF29" w14:textId="77777777" w:rsidR="002F5A40" w:rsidRPr="002F5A40" w:rsidRDefault="002F5A40" w:rsidP="005D56BC">
      <w:pPr>
        <w:pStyle w:val="af"/>
        <w:spacing w:line="300" w:lineRule="exact"/>
        <w:ind w:left="684" w:hanging="258"/>
        <w:rPr>
          <w:rFonts w:ascii="標楷體" w:eastAsia="標楷體" w:hAnsi="標楷體"/>
          <w:color w:val="000000"/>
        </w:rPr>
      </w:pPr>
      <w:r w:rsidRPr="002F5A40">
        <w:rPr>
          <w:rFonts w:ascii="標楷體" w:eastAsia="標楷體" w:hAnsi="標楷體"/>
          <w:color w:val="000000"/>
        </w:rPr>
        <w:t>3.免疫耐受治療(immune toleration induction；ITI)：(111/1/1</w:t>
      </w:r>
      <w:proofErr w:type="gramStart"/>
      <w:r w:rsidRPr="002F5A40">
        <w:rPr>
          <w:rFonts w:ascii="標楷體" w:eastAsia="標楷體" w:hAnsi="標楷體"/>
          <w:color w:val="000000"/>
        </w:rPr>
        <w:t>）</w:t>
      </w:r>
      <w:proofErr w:type="gramEnd"/>
    </w:p>
    <w:p w14:paraId="5EDD4284" w14:textId="77777777" w:rsidR="002F5A40" w:rsidRPr="002F5A40" w:rsidRDefault="002F5A40" w:rsidP="005D56BC">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(1)需經事前審查核准後使用。送審時需檢附最近5年內就醫紀錄（包含抗體檢驗數值、整合醫療評估表）和1年內出血凝血因子使用記錄。</w:t>
      </w:r>
    </w:p>
    <w:p w14:paraId="694DADFF" w14:textId="77777777" w:rsidR="002F5A40" w:rsidRPr="002F5A40" w:rsidRDefault="002F5A40" w:rsidP="005D56BC">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(2)起始劑量以每週3次，每次50 IU/kg開始。最高劑量不得超過100 IU/kg/day。</w:t>
      </w:r>
    </w:p>
    <w:p w14:paraId="64190CFD" w14:textId="77777777" w:rsidR="002F5A40" w:rsidRPr="002F5A40" w:rsidRDefault="002F5A40" w:rsidP="005D56BC">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(3)開始治療後，每</w:t>
      </w:r>
      <w:proofErr w:type="gramStart"/>
      <w:r w:rsidRPr="002F5A40">
        <w:rPr>
          <w:rFonts w:ascii="標楷體" w:eastAsia="標楷體" w:hAnsi="標楷體"/>
          <w:color w:val="000000"/>
        </w:rPr>
        <w:t>個</w:t>
      </w:r>
      <w:proofErr w:type="gramEnd"/>
      <w:r w:rsidRPr="002F5A40">
        <w:rPr>
          <w:rFonts w:ascii="標楷體" w:eastAsia="標楷體" w:hAnsi="標楷體"/>
          <w:color w:val="000000"/>
        </w:rPr>
        <w:t>月檢測抗體，治療開始3個月後，每6個月評估療效，於第9個月內進行第一次療效評估，若抗體下降未達前9個月內最高點之20%，可考慮增加劑量、頻率，但最高劑量不得超過100 IU/kg/day或改用</w:t>
      </w:r>
      <w:proofErr w:type="spellStart"/>
      <w:r w:rsidRPr="002F5A40">
        <w:rPr>
          <w:rFonts w:ascii="標楷體" w:eastAsia="標楷體" w:hAnsi="標楷體"/>
          <w:color w:val="000000"/>
        </w:rPr>
        <w:t>vWF</w:t>
      </w:r>
      <w:proofErr w:type="spellEnd"/>
      <w:r w:rsidRPr="002F5A40">
        <w:rPr>
          <w:rFonts w:ascii="標楷體" w:eastAsia="標楷體" w:hAnsi="標楷體"/>
          <w:color w:val="000000"/>
        </w:rPr>
        <w:t xml:space="preserve">之第八因子產品，方可繼續執行。第15個月後仍未下降達最高點（9個月～15個月之間）之20%，可以考慮給予免疫抑制劑，若第21個月仍未下降達最高點（15～21個月之間）之20 </w:t>
      </w:r>
      <w:r w:rsidRPr="002F5A40">
        <w:rPr>
          <w:rFonts w:ascii="標楷體" w:eastAsia="標楷體" w:hAnsi="標楷體"/>
          <w:color w:val="000000"/>
        </w:rPr>
        <w:lastRenderedPageBreak/>
        <w:t>%，則應該停止。若持續下降達前次最高點之20 %，則可以繼續治療，至多不超過33個月。</w:t>
      </w:r>
    </w:p>
    <w:p w14:paraId="301441B1" w14:textId="77777777" w:rsidR="002F5A40" w:rsidRPr="002F5A40" w:rsidRDefault="002F5A40" w:rsidP="002F5A40">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(4)若評估時，達到partial response（定義為抗體效價下降至無法檢出），則之後每</w:t>
      </w:r>
      <w:proofErr w:type="gramStart"/>
      <w:r w:rsidRPr="002F5A40">
        <w:rPr>
          <w:rFonts w:ascii="標楷體" w:eastAsia="標楷體" w:hAnsi="標楷體"/>
          <w:color w:val="000000"/>
        </w:rPr>
        <w:t>個</w:t>
      </w:r>
      <w:proofErr w:type="gramEnd"/>
      <w:r w:rsidRPr="002F5A40">
        <w:rPr>
          <w:rFonts w:ascii="標楷體" w:eastAsia="標楷體" w:hAnsi="標楷體"/>
          <w:color w:val="000000"/>
        </w:rPr>
        <w:t>月</w:t>
      </w:r>
      <w:proofErr w:type="gramStart"/>
      <w:r w:rsidRPr="002F5A40">
        <w:rPr>
          <w:rFonts w:ascii="標楷體" w:eastAsia="標楷體" w:hAnsi="標楷體"/>
          <w:color w:val="000000"/>
        </w:rPr>
        <w:t>需加驗第八</w:t>
      </w:r>
      <w:proofErr w:type="gramEnd"/>
      <w:r w:rsidRPr="002F5A40">
        <w:rPr>
          <w:rFonts w:ascii="標楷體" w:eastAsia="標楷體" w:hAnsi="標楷體"/>
          <w:color w:val="000000"/>
        </w:rPr>
        <w:t>因子recovery rate。若recovery rate &lt;66%，則照原</w:t>
      </w:r>
      <w:proofErr w:type="gramStart"/>
      <w:r w:rsidRPr="002F5A40">
        <w:rPr>
          <w:rFonts w:ascii="標楷體" w:eastAsia="標楷體" w:hAnsi="標楷體"/>
          <w:color w:val="000000"/>
        </w:rPr>
        <w:t>採</w:t>
      </w:r>
      <w:proofErr w:type="gramEnd"/>
      <w:r w:rsidRPr="002F5A40">
        <w:rPr>
          <w:rFonts w:ascii="標楷體" w:eastAsia="標楷體" w:hAnsi="標楷體"/>
          <w:color w:val="000000"/>
        </w:rPr>
        <w:t xml:space="preserve">行中之方式繼續ITI；若 recovery rate </w:t>
      </w:r>
      <w:r w:rsidRPr="005D56BC">
        <w:rPr>
          <w:rFonts w:ascii="Times New Roman" w:eastAsia="標楷體" w:hAnsi="Times New Roman"/>
          <w:color w:val="000000"/>
        </w:rPr>
        <w:t>≥</w:t>
      </w:r>
      <w:r w:rsidRPr="002F5A40">
        <w:rPr>
          <w:rFonts w:ascii="標楷體" w:eastAsia="標楷體" w:hAnsi="標楷體"/>
          <w:color w:val="000000"/>
        </w:rPr>
        <w:t>66%，往後需每3個月加驗第八因子之half-life：</w:t>
      </w:r>
    </w:p>
    <w:p w14:paraId="1428FFD7" w14:textId="77777777" w:rsidR="002F5A40" w:rsidRPr="002F5A40" w:rsidRDefault="002F5A40" w:rsidP="002F5A40">
      <w:pPr>
        <w:pStyle w:val="af"/>
        <w:spacing w:line="300" w:lineRule="exact"/>
        <w:ind w:left="1560" w:hanging="684"/>
        <w:rPr>
          <w:rFonts w:ascii="標楷體" w:eastAsia="標楷體" w:hAnsi="標楷體"/>
          <w:color w:val="000000"/>
        </w:rPr>
      </w:pPr>
      <w:r w:rsidRPr="002F5A40">
        <w:rPr>
          <w:rFonts w:ascii="標楷體" w:eastAsia="標楷體" w:hAnsi="標楷體"/>
          <w:color w:val="000000"/>
        </w:rPr>
        <w:t>Ι.若第八因子之half-life &lt;6小時，則照原</w:t>
      </w:r>
      <w:proofErr w:type="gramStart"/>
      <w:r w:rsidRPr="002F5A40">
        <w:rPr>
          <w:rFonts w:ascii="標楷體" w:eastAsia="標楷體" w:hAnsi="標楷體"/>
          <w:color w:val="000000"/>
        </w:rPr>
        <w:t>採</w:t>
      </w:r>
      <w:proofErr w:type="gramEnd"/>
      <w:r w:rsidRPr="002F5A40">
        <w:rPr>
          <w:rFonts w:ascii="標楷體" w:eastAsia="標楷體" w:hAnsi="標楷體"/>
          <w:color w:val="000000"/>
        </w:rPr>
        <w:t>行中之方式繼續ITI。</w:t>
      </w:r>
    </w:p>
    <w:p w14:paraId="03EB9B19" w14:textId="77777777" w:rsidR="002F5A40" w:rsidRPr="002F5A40" w:rsidRDefault="002F5A40" w:rsidP="002F5A40">
      <w:pPr>
        <w:pStyle w:val="af"/>
        <w:spacing w:line="300" w:lineRule="exact"/>
        <w:ind w:left="1276" w:hanging="426"/>
        <w:rPr>
          <w:rFonts w:ascii="標楷體" w:eastAsia="標楷體" w:hAnsi="標楷體"/>
          <w:color w:val="000000"/>
        </w:rPr>
      </w:pPr>
      <w:r w:rsidRPr="002F5A40">
        <w:rPr>
          <w:rFonts w:ascii="標楷體" w:eastAsia="標楷體" w:hAnsi="標楷體"/>
          <w:color w:val="000000"/>
        </w:rPr>
        <w:t xml:space="preserve">Ⅱ.若half-life </w:t>
      </w:r>
      <w:r w:rsidRPr="002F5A40">
        <w:rPr>
          <w:rFonts w:ascii="Times New Roman" w:eastAsia="標楷體" w:hAnsi="Times New Roman"/>
          <w:color w:val="000000"/>
        </w:rPr>
        <w:t>≥</w:t>
      </w:r>
      <w:r w:rsidRPr="002F5A40">
        <w:rPr>
          <w:rFonts w:ascii="標楷體" w:eastAsia="標楷體" w:hAnsi="標楷體"/>
          <w:color w:val="000000"/>
        </w:rPr>
        <w:t>6小時，可考慮逐步降低劑量至停止ITI，至多不超過33個月。若達到tolerization</w:t>
      </w:r>
      <w:proofErr w:type="gramStart"/>
      <w:r w:rsidRPr="002F5A40">
        <w:rPr>
          <w:rFonts w:ascii="標楷體" w:eastAsia="標楷體" w:hAnsi="標楷體"/>
          <w:color w:val="000000"/>
        </w:rPr>
        <w:t>（</w:t>
      </w:r>
      <w:proofErr w:type="gramEnd"/>
      <w:r w:rsidRPr="002F5A40">
        <w:rPr>
          <w:rFonts w:ascii="標楷體" w:eastAsia="標楷體" w:hAnsi="標楷體"/>
          <w:color w:val="000000"/>
        </w:rPr>
        <w:t xml:space="preserve">定義為抗體效價抗體效價下降至無法檢出，第八因子 recovery rate </w:t>
      </w:r>
      <w:r w:rsidRPr="002F5A40">
        <w:rPr>
          <w:rFonts w:ascii="Times New Roman" w:eastAsia="標楷體" w:hAnsi="Times New Roman"/>
          <w:color w:val="000000"/>
        </w:rPr>
        <w:t>≥</w:t>
      </w:r>
      <w:r w:rsidRPr="002F5A40">
        <w:rPr>
          <w:rFonts w:ascii="標楷體" w:eastAsia="標楷體" w:hAnsi="標楷體"/>
          <w:color w:val="000000"/>
        </w:rPr>
        <w:t xml:space="preserve">66%，第八因子之half-life </w:t>
      </w:r>
      <w:r w:rsidRPr="002F5A40">
        <w:rPr>
          <w:rFonts w:ascii="Times New Roman" w:eastAsia="標楷體" w:hAnsi="Times New Roman"/>
          <w:color w:val="000000"/>
        </w:rPr>
        <w:t>≥</w:t>
      </w:r>
      <w:r w:rsidRPr="002F5A40">
        <w:rPr>
          <w:rFonts w:ascii="標楷體" w:eastAsia="標楷體" w:hAnsi="標楷體"/>
          <w:color w:val="000000"/>
        </w:rPr>
        <w:t>6小時且未出現anamnestic response)，則可停止ITI。</w:t>
      </w:r>
    </w:p>
    <w:p w14:paraId="00A9C635" w14:textId="77777777" w:rsidR="002F5A40" w:rsidRPr="002F5A40" w:rsidRDefault="002F5A40" w:rsidP="005D56BC">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(5)每位病人以做一次ITI為限。如需再次做</w:t>
      </w:r>
      <w:proofErr w:type="gramStart"/>
      <w:r w:rsidRPr="002F5A40">
        <w:rPr>
          <w:rFonts w:ascii="標楷體" w:eastAsia="標楷體" w:hAnsi="標楷體"/>
          <w:color w:val="000000"/>
        </w:rPr>
        <w:t>治療須敘明理</w:t>
      </w:r>
      <w:proofErr w:type="gramEnd"/>
      <w:r w:rsidRPr="002F5A40">
        <w:rPr>
          <w:rFonts w:ascii="標楷體" w:eastAsia="標楷體" w:hAnsi="標楷體"/>
          <w:color w:val="000000"/>
        </w:rPr>
        <w:t>由經特殊專案審查核准後使用。</w:t>
      </w:r>
    </w:p>
    <w:p w14:paraId="0C25949B" w14:textId="77777777" w:rsidR="002F5A40" w:rsidRPr="002F5A40" w:rsidRDefault="002F5A40" w:rsidP="005D56BC">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(6)不得與</w:t>
      </w:r>
      <w:proofErr w:type="spellStart"/>
      <w:r w:rsidRPr="002F5A40">
        <w:rPr>
          <w:rFonts w:ascii="標楷體" w:eastAsia="標楷體" w:hAnsi="標楷體"/>
          <w:color w:val="000000"/>
        </w:rPr>
        <w:t>emicizumab</w:t>
      </w:r>
      <w:proofErr w:type="spellEnd"/>
      <w:r w:rsidRPr="002F5A40">
        <w:rPr>
          <w:rFonts w:ascii="標楷體" w:eastAsia="標楷體" w:hAnsi="標楷體"/>
          <w:color w:val="000000"/>
        </w:rPr>
        <w:t>合併使用。</w:t>
      </w:r>
    </w:p>
    <w:p w14:paraId="18C2BE60" w14:textId="77777777" w:rsidR="00401786" w:rsidRDefault="002F5A40" w:rsidP="005D56BC">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(7)限未滿9歲之兒童使用。</w:t>
      </w:r>
    </w:p>
    <w:p w14:paraId="020E3378"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 xml:space="preserve">4.2.4.類血友病治療藥品，VWF/FVIII濃縮製劑(如 </w:t>
      </w:r>
      <w:proofErr w:type="spellStart"/>
      <w:r>
        <w:rPr>
          <w:rFonts w:ascii="標楷體" w:eastAsia="標楷體" w:hAnsi="標楷體"/>
          <w:color w:val="000000"/>
        </w:rPr>
        <w:t>Haemate</w:t>
      </w:r>
      <w:proofErr w:type="spellEnd"/>
      <w:r>
        <w:rPr>
          <w:rFonts w:ascii="標楷體" w:eastAsia="標楷體" w:hAnsi="標楷體"/>
          <w:color w:val="000000"/>
        </w:rPr>
        <w:t xml:space="preserve"> P, </w:t>
      </w:r>
      <w:proofErr w:type="spellStart"/>
      <w:r>
        <w:rPr>
          <w:rFonts w:ascii="標楷體" w:eastAsia="標楷體" w:hAnsi="標楷體"/>
          <w:color w:val="000000"/>
        </w:rPr>
        <w:t>Alphanate</w:t>
      </w:r>
      <w:proofErr w:type="spellEnd"/>
      <w:r>
        <w:rPr>
          <w:rFonts w:ascii="標楷體" w:eastAsia="標楷體" w:hAnsi="標楷體"/>
          <w:color w:val="000000"/>
        </w:rPr>
        <w:t>等)、 Desmopressin(DDAVP) 等：(103/4/1)</w:t>
      </w:r>
    </w:p>
    <w:p w14:paraId="75D94278"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t>1.各</w:t>
      </w:r>
      <w:proofErr w:type="gramStart"/>
      <w:r>
        <w:rPr>
          <w:rFonts w:ascii="標楷體" w:eastAsia="標楷體" w:hAnsi="標楷體"/>
          <w:color w:val="000000"/>
        </w:rPr>
        <w:t>分型類</w:t>
      </w:r>
      <w:proofErr w:type="gramEnd"/>
      <w:r>
        <w:rPr>
          <w:rFonts w:ascii="標楷體" w:eastAsia="標楷體" w:hAnsi="標楷體"/>
          <w:color w:val="000000"/>
        </w:rPr>
        <w:t>血友病治療規定：</w:t>
      </w:r>
    </w:p>
    <w:p w14:paraId="2AD7DCD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(1)第一型類血友病(Type 1 von-Willebrand Disease)：</w:t>
      </w:r>
    </w:p>
    <w:p w14:paraId="363ED707"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Ⅰ.以DDAVP治療為原則，如患者</w:t>
      </w:r>
      <w:proofErr w:type="spellStart"/>
      <w:r>
        <w:rPr>
          <w:rFonts w:ascii="標楷體" w:eastAsia="標楷體" w:hAnsi="標楷體"/>
          <w:color w:val="000000"/>
        </w:rPr>
        <w:t>VWF:RCo</w:t>
      </w:r>
      <w:proofErr w:type="spellEnd"/>
      <w:r>
        <w:rPr>
          <w:rFonts w:ascii="標楷體" w:eastAsia="標楷體" w:hAnsi="標楷體"/>
          <w:color w:val="000000"/>
        </w:rPr>
        <w:t xml:space="preserve"> ＜10 IU/dL，則不建議使用DDAVP。</w:t>
      </w:r>
    </w:p>
    <w:p w14:paraId="23CBFB9D"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Ⅱ.輕度出血或小手術處置：使用DDAVP，治療目標為</w:t>
      </w:r>
      <w:proofErr w:type="spellStart"/>
      <w:r>
        <w:rPr>
          <w:rFonts w:ascii="標楷體" w:eastAsia="標楷體" w:hAnsi="標楷體"/>
          <w:color w:val="000000"/>
        </w:rPr>
        <w:t>VWF:RCo</w:t>
      </w:r>
      <w:proofErr w:type="spellEnd"/>
      <w:r>
        <w:rPr>
          <w:rFonts w:ascii="標楷體" w:eastAsia="標楷體" w:hAnsi="標楷體"/>
          <w:color w:val="000000"/>
        </w:rPr>
        <w:t>及VIII:C 都上升到30-50 IU/dL以上，維持1-5天，若DDAVP治療無效或有禁忌症時可使用VWF/FVIII濃縮製劑。</w:t>
      </w:r>
    </w:p>
    <w:p w14:paraId="6380883B"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Ⅲ.嚴重出血治療或重大手術處置：使用VWF/FVIII濃縮製劑，治療目標為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及VIII:C起初濃度都上升到至少100 IU/dL以上，接下來劑量於7-10日內維持</w:t>
      </w:r>
      <w:proofErr w:type="spellStart"/>
      <w:r>
        <w:rPr>
          <w:rFonts w:ascii="標楷體" w:eastAsia="標楷體" w:hAnsi="標楷體"/>
          <w:color w:val="000000"/>
        </w:rPr>
        <w:t>VWF:RCo</w:t>
      </w:r>
      <w:proofErr w:type="spellEnd"/>
      <w:r>
        <w:rPr>
          <w:rFonts w:ascii="標楷體" w:eastAsia="標楷體" w:hAnsi="標楷體"/>
          <w:color w:val="000000"/>
        </w:rPr>
        <w:t>及VIII:C最低濃度(trough level)都在50IU/dL以上。</w:t>
      </w:r>
    </w:p>
    <w:p w14:paraId="54F7233D"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IV.如重複給予DDAVP使得藥物效果降低，或</w:t>
      </w:r>
      <w:proofErr w:type="gramStart"/>
      <w:r>
        <w:rPr>
          <w:rFonts w:ascii="標楷體" w:eastAsia="標楷體" w:hAnsi="標楷體"/>
          <w:color w:val="000000"/>
        </w:rPr>
        <w:t>已知對</w:t>
      </w:r>
      <w:proofErr w:type="gramEnd"/>
      <w:r>
        <w:rPr>
          <w:rFonts w:ascii="標楷體" w:eastAsia="標楷體" w:hAnsi="標楷體"/>
          <w:color w:val="000000"/>
        </w:rPr>
        <w:t>DDAVP治療無效，應使用VWF/FVIII濃縮製劑。</w:t>
      </w:r>
    </w:p>
    <w:p w14:paraId="280FB2E7"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(2)第二型類血友病(Type 2 von-Willebrand Disease)：</w:t>
      </w:r>
    </w:p>
    <w:p w14:paraId="7D4F164A" w14:textId="77777777" w:rsidR="00401786" w:rsidRDefault="00C64FB3" w:rsidP="0009639E">
      <w:pPr>
        <w:spacing w:line="300" w:lineRule="exact"/>
        <w:ind w:left="1416" w:hanging="312"/>
        <w:rPr>
          <w:rFonts w:ascii="標楷體" w:eastAsia="標楷體" w:hAnsi="標楷體"/>
          <w:color w:val="000000"/>
        </w:rPr>
      </w:pPr>
      <w:proofErr w:type="spellStart"/>
      <w:r>
        <w:rPr>
          <w:rFonts w:ascii="標楷體" w:eastAsia="標楷體" w:hAnsi="標楷體"/>
          <w:color w:val="000000"/>
        </w:rPr>
        <w:t>Ⅰ.Type</w:t>
      </w:r>
      <w:proofErr w:type="spellEnd"/>
      <w:r>
        <w:rPr>
          <w:rFonts w:ascii="標楷體" w:eastAsia="標楷體" w:hAnsi="標楷體"/>
          <w:color w:val="000000"/>
        </w:rPr>
        <w:t xml:space="preserve"> 2A 及 2M VWD</w:t>
      </w:r>
    </w:p>
    <w:p w14:paraId="5E1714EF" w14:textId="77777777" w:rsidR="00401786" w:rsidRDefault="00C64FB3" w:rsidP="0009639E">
      <w:pPr>
        <w:spacing w:line="300" w:lineRule="exact"/>
        <w:ind w:left="1695"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.輕度出血治療或小手術處置：如病人對於DDAVP治療有效，應以DDAVP治療為原則。如使用VWF/FVIII濃縮製劑，治療目標為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及VIII:C都上升到30-50 IU/dL以上，維持1-5天。</w:t>
      </w:r>
    </w:p>
    <w:p w14:paraId="368AFF00" w14:textId="77777777" w:rsidR="00401786" w:rsidRDefault="00C64FB3" w:rsidP="0009639E">
      <w:pPr>
        <w:spacing w:line="300" w:lineRule="exact"/>
        <w:ind w:left="1695" w:hanging="245"/>
        <w:rPr>
          <w:rFonts w:ascii="標楷體" w:eastAsia="標楷體" w:hAnsi="標楷體"/>
          <w:color w:val="000000"/>
        </w:rPr>
      </w:pPr>
      <w:r>
        <w:rPr>
          <w:rFonts w:ascii="標楷體" w:eastAsia="標楷體" w:hAnsi="標楷體"/>
          <w:color w:val="000000"/>
        </w:rPr>
        <w:t>ii.嚴重出血治療或重大手術處置：依Type 1 VWD之III規定處置。</w:t>
      </w:r>
    </w:p>
    <w:p w14:paraId="0D65653D" w14:textId="77777777" w:rsidR="00401786" w:rsidRDefault="00C64FB3" w:rsidP="0009639E">
      <w:pPr>
        <w:spacing w:line="300" w:lineRule="exact"/>
        <w:ind w:left="1416" w:hanging="312"/>
        <w:rPr>
          <w:rFonts w:ascii="標楷體" w:eastAsia="標楷體" w:hAnsi="標楷體"/>
          <w:color w:val="000000"/>
        </w:rPr>
      </w:pPr>
      <w:proofErr w:type="spellStart"/>
      <w:proofErr w:type="gramStart"/>
      <w:r>
        <w:rPr>
          <w:rFonts w:ascii="標楷體" w:eastAsia="標楷體" w:hAnsi="標楷體"/>
          <w:color w:val="000000"/>
        </w:rPr>
        <w:t>Ⅱ.Type</w:t>
      </w:r>
      <w:proofErr w:type="spellEnd"/>
      <w:proofErr w:type="gramEnd"/>
      <w:r>
        <w:rPr>
          <w:rFonts w:ascii="標楷體" w:eastAsia="標楷體" w:hAnsi="標楷體"/>
          <w:color w:val="000000"/>
        </w:rPr>
        <w:t xml:space="preserve"> 2B VWD</w:t>
      </w:r>
    </w:p>
    <w:p w14:paraId="05E99E85" w14:textId="77777777" w:rsidR="00401786" w:rsidRDefault="00C64FB3" w:rsidP="0009639E">
      <w:pPr>
        <w:spacing w:line="300" w:lineRule="exact"/>
        <w:ind w:left="1841" w:hanging="425"/>
        <w:rPr>
          <w:rFonts w:ascii="標楷體" w:eastAsia="標楷體" w:hAnsi="標楷體"/>
          <w:color w:val="000000"/>
        </w:rPr>
      </w:pPr>
      <w:proofErr w:type="spellStart"/>
      <w:r>
        <w:rPr>
          <w:rFonts w:ascii="標楷體" w:eastAsia="標楷體" w:hAnsi="標楷體"/>
          <w:color w:val="000000"/>
        </w:rPr>
        <w:t>i.DDAVP</w:t>
      </w:r>
      <w:proofErr w:type="spellEnd"/>
      <w:r>
        <w:rPr>
          <w:rFonts w:ascii="標楷體" w:eastAsia="標楷體" w:hAnsi="標楷體"/>
          <w:color w:val="000000"/>
        </w:rPr>
        <w:t>不適合使用於Type 2B VWD。</w:t>
      </w:r>
    </w:p>
    <w:p w14:paraId="6E73011F" w14:textId="77777777" w:rsidR="00401786" w:rsidRDefault="00C64FB3" w:rsidP="0009639E">
      <w:pPr>
        <w:spacing w:line="300" w:lineRule="exact"/>
        <w:ind w:left="1841" w:hanging="425"/>
        <w:rPr>
          <w:rFonts w:ascii="標楷體" w:eastAsia="標楷體" w:hAnsi="標楷體"/>
          <w:color w:val="000000"/>
        </w:rPr>
      </w:pPr>
      <w:r>
        <w:rPr>
          <w:rFonts w:ascii="標楷體" w:eastAsia="標楷體" w:hAnsi="標楷體"/>
          <w:color w:val="000000"/>
        </w:rPr>
        <w:t>ii.輕度出血或小手術處置：使用VWF/FVIII濃縮製劑，治療目標為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及VIII:C都上升到30-50 IU/dL以上，維持1-5天。</w:t>
      </w:r>
    </w:p>
    <w:p w14:paraId="4CFEF3ED" w14:textId="77777777" w:rsidR="00401786" w:rsidRDefault="00C64FB3" w:rsidP="0009639E">
      <w:pPr>
        <w:spacing w:line="300" w:lineRule="exact"/>
        <w:ind w:left="1841" w:hanging="425"/>
        <w:rPr>
          <w:rFonts w:ascii="標楷體" w:eastAsia="標楷體" w:hAnsi="標楷體"/>
          <w:color w:val="000000"/>
        </w:rPr>
      </w:pPr>
      <w:r>
        <w:rPr>
          <w:rFonts w:ascii="標楷體" w:eastAsia="標楷體" w:hAnsi="標楷體"/>
          <w:color w:val="000000"/>
        </w:rPr>
        <w:t>iii.嚴重出血治療或重大手術處置：依Type 1 VWD之III規定處置，並且應注意血小板濃度，必要時應給予</w:t>
      </w:r>
      <w:proofErr w:type="gramStart"/>
      <w:r>
        <w:rPr>
          <w:rFonts w:ascii="標楷體" w:eastAsia="標楷體" w:hAnsi="標楷體"/>
          <w:color w:val="000000"/>
        </w:rPr>
        <w:t>血小板輸注</w:t>
      </w:r>
      <w:proofErr w:type="gramEnd"/>
      <w:r>
        <w:rPr>
          <w:rFonts w:ascii="標楷體" w:eastAsia="標楷體" w:hAnsi="標楷體"/>
          <w:color w:val="000000"/>
        </w:rPr>
        <w:t>。</w:t>
      </w:r>
    </w:p>
    <w:p w14:paraId="6BE0BA10" w14:textId="77777777" w:rsidR="00401786" w:rsidRDefault="00C64FB3" w:rsidP="0009639E">
      <w:pPr>
        <w:spacing w:line="300" w:lineRule="exact"/>
        <w:ind w:left="1416" w:hanging="312"/>
        <w:rPr>
          <w:rFonts w:ascii="標楷體" w:eastAsia="標楷體" w:hAnsi="標楷體"/>
          <w:color w:val="000000"/>
        </w:rPr>
      </w:pPr>
      <w:proofErr w:type="spellStart"/>
      <w:proofErr w:type="gramStart"/>
      <w:r>
        <w:rPr>
          <w:rFonts w:ascii="標楷體" w:eastAsia="標楷體" w:hAnsi="標楷體"/>
          <w:color w:val="000000"/>
        </w:rPr>
        <w:t>Ⅲ.Type</w:t>
      </w:r>
      <w:proofErr w:type="spellEnd"/>
      <w:proofErr w:type="gramEnd"/>
      <w:r>
        <w:rPr>
          <w:rFonts w:ascii="標楷體" w:eastAsia="標楷體" w:hAnsi="標楷體"/>
          <w:color w:val="000000"/>
        </w:rPr>
        <w:t xml:space="preserve"> 2N VWD</w:t>
      </w:r>
    </w:p>
    <w:p w14:paraId="274EF864" w14:textId="77777777" w:rsidR="00401786" w:rsidRDefault="00C64FB3" w:rsidP="0009639E">
      <w:pPr>
        <w:spacing w:line="300" w:lineRule="exact"/>
        <w:ind w:left="1759" w:hanging="374"/>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.使用DDAVP治療可能提升VIII:C，但VIII:C半衰期會減短。</w:t>
      </w:r>
    </w:p>
    <w:p w14:paraId="1B9BE27B" w14:textId="77777777" w:rsidR="00401786" w:rsidRDefault="00C64FB3" w:rsidP="0009639E">
      <w:pPr>
        <w:spacing w:line="300" w:lineRule="exact"/>
        <w:ind w:left="1759" w:hanging="374"/>
        <w:rPr>
          <w:rFonts w:ascii="標楷體" w:eastAsia="標楷體" w:hAnsi="標楷體"/>
          <w:color w:val="000000"/>
        </w:rPr>
      </w:pPr>
      <w:r>
        <w:rPr>
          <w:rFonts w:ascii="標楷體" w:eastAsia="標楷體" w:hAnsi="標楷體"/>
          <w:color w:val="000000"/>
        </w:rPr>
        <w:t>ii.輕度出血或小手術處置：使用DDAVP或VWF/FVIII濃縮製劑，治療目標為VIII:C上升到30-50 IU/dL以上，維持1-5天。</w:t>
      </w:r>
    </w:p>
    <w:p w14:paraId="464C4D78" w14:textId="77777777" w:rsidR="00401786" w:rsidRDefault="00C64FB3" w:rsidP="0009639E">
      <w:pPr>
        <w:spacing w:line="300" w:lineRule="exact"/>
        <w:ind w:left="1846" w:hanging="461"/>
        <w:rPr>
          <w:rFonts w:ascii="標楷體" w:eastAsia="標楷體" w:hAnsi="標楷體"/>
          <w:color w:val="000000"/>
        </w:rPr>
      </w:pPr>
      <w:r>
        <w:rPr>
          <w:rFonts w:ascii="標楷體" w:eastAsia="標楷體" w:hAnsi="標楷體"/>
          <w:color w:val="000000"/>
        </w:rPr>
        <w:t>iii.嚴重出血治療或重大手術處置：使用VWF/FVIII濃縮製劑，治療目標為VIII:C起初濃度上升到至少100 IU/dL以上，接下來劑量於7-10日內維持VIII:C最低濃度在50 IU/dL以上。</w:t>
      </w:r>
    </w:p>
    <w:p w14:paraId="7844C4B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第三型類血友病</w:t>
      </w:r>
      <w:proofErr w:type="gramEnd"/>
      <w:r>
        <w:rPr>
          <w:rFonts w:ascii="標楷體" w:eastAsia="標楷體" w:hAnsi="標楷體"/>
          <w:color w:val="000000"/>
        </w:rPr>
        <w:t>(Type 3 von-Willebrand Disease)：</w:t>
      </w:r>
    </w:p>
    <w:p w14:paraId="013A9AD0"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lastRenderedPageBreak/>
        <w:t>Ⅰ.原則應使用VWF/FVIII濃縮製劑，DDAVP則不應使用。</w:t>
      </w:r>
    </w:p>
    <w:p w14:paraId="4051CF3E"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Ⅱ.輕度出血或小手術處置：使用VWF/FVIII濃縮製劑，治療目標為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及VIII:C都上升到30-50 IU/dL以上，維持1-5天。</w:t>
      </w:r>
    </w:p>
    <w:p w14:paraId="1D884169"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Ⅲ.嚴重出血治療或重大手術處置：依Type 1 VWD之III規定處置，惟</w:t>
      </w:r>
      <w:proofErr w:type="spellStart"/>
      <w:r>
        <w:rPr>
          <w:rFonts w:ascii="標楷體" w:eastAsia="標楷體" w:hAnsi="標楷體"/>
          <w:color w:val="000000"/>
        </w:rPr>
        <w:t>Alphanate</w:t>
      </w:r>
      <w:proofErr w:type="spellEnd"/>
      <w:r>
        <w:rPr>
          <w:rFonts w:ascii="標楷體" w:eastAsia="標楷體" w:hAnsi="標楷體"/>
          <w:color w:val="000000"/>
        </w:rPr>
        <w:t>不適用於Type 3 VWD病人進行重度手術。</w:t>
      </w:r>
    </w:p>
    <w:p w14:paraId="0F422DD1" w14:textId="77777777" w:rsidR="00401786" w:rsidRDefault="00C64FB3" w:rsidP="0009639E">
      <w:pPr>
        <w:spacing w:line="300" w:lineRule="exact"/>
        <w:ind w:left="1133" w:hanging="564"/>
        <w:rPr>
          <w:rFonts w:ascii="標楷體" w:eastAsia="標楷體" w:hAnsi="標楷體"/>
          <w:color w:val="000000"/>
        </w:rPr>
      </w:pPr>
      <w:r>
        <w:rPr>
          <w:rFonts w:ascii="標楷體" w:eastAsia="標楷體" w:hAnsi="標楷體"/>
          <w:color w:val="000000"/>
        </w:rPr>
        <w:t>2.VWD患者輔助治療及懷孕患者處置：</w:t>
      </w:r>
    </w:p>
    <w:p w14:paraId="78E46824"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r>
      <w:proofErr w:type="gramStart"/>
      <w:r>
        <w:rPr>
          <w:rFonts w:ascii="標楷體" w:eastAsia="標楷體" w:hAnsi="標楷體"/>
          <w:color w:val="000000"/>
        </w:rPr>
        <w:t>血小板輸注可以</w:t>
      </w:r>
      <w:proofErr w:type="gramEnd"/>
      <w:r>
        <w:rPr>
          <w:rFonts w:ascii="標楷體" w:eastAsia="標楷體" w:hAnsi="標楷體"/>
          <w:color w:val="000000"/>
        </w:rPr>
        <w:t>考慮使用於已使用足量VWF/FVIII濃縮製劑達成治療目標濃度但仍有出血之患者，尤其是腸胃道出血時。</w:t>
      </w:r>
    </w:p>
    <w:p w14:paraId="6D7C1646"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冷凍沉澱品(Cryoprecipitate)可以考慮使用於已充分使用其他各種藥物治療但仍無法控制的頑固性出血。</w:t>
      </w:r>
    </w:p>
    <w:p w14:paraId="4C6F7C88"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抗纖維蛋白溶解製劑(如tranexamic acid)可以單獨使用於黏膜輕微出血(如月經量過多、口腔出血、流鼻血)，如果治療無效，應合併使用DDAVP或VWF/FVIII濃縮製劑治療。</w:t>
      </w:r>
    </w:p>
    <w:p w14:paraId="6C09460B"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拔牙時大多數病患可使用單次DDAVP加上tranexamic acid治療，不適合使用DDAVP患者則用單次VWF/FVIII濃縮製劑加上tranexamic acid治療。</w:t>
      </w:r>
    </w:p>
    <w:p w14:paraId="3AD10FA1"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月經量過多患者可單獨使用雌性激素/</w:t>
      </w:r>
      <w:proofErr w:type="gramStart"/>
      <w:r>
        <w:rPr>
          <w:rFonts w:ascii="標楷體" w:eastAsia="標楷體" w:hAnsi="標楷體"/>
          <w:color w:val="000000"/>
        </w:rPr>
        <w:t>黃體素製劑</w:t>
      </w:r>
      <w:proofErr w:type="gramEnd"/>
      <w:r>
        <w:rPr>
          <w:rFonts w:ascii="標楷體" w:eastAsia="標楷體" w:hAnsi="標楷體"/>
          <w:color w:val="000000"/>
        </w:rPr>
        <w:t>或tranexamic acid治療，如果無效時則需合併使用DDAVP或VWF/FVIII濃縮製劑治療。</w:t>
      </w:r>
    </w:p>
    <w:p w14:paraId="0151623E"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(6)</w:t>
      </w:r>
      <w:r>
        <w:rPr>
          <w:rFonts w:ascii="標楷體" w:eastAsia="標楷體" w:hAnsi="標楷體"/>
          <w:color w:val="000000"/>
        </w:rPr>
        <w:tab/>
        <w:t>VWD患者懷孕生產治療建議：</w:t>
      </w:r>
    </w:p>
    <w:p w14:paraId="2A329454" w14:textId="77777777" w:rsidR="00401786" w:rsidRDefault="00C64FB3" w:rsidP="0009639E">
      <w:pPr>
        <w:spacing w:line="300" w:lineRule="exact"/>
        <w:ind w:left="1469" w:hanging="425"/>
        <w:rPr>
          <w:rFonts w:ascii="標楷體" w:eastAsia="標楷體" w:hAnsi="標楷體"/>
          <w:color w:val="000000"/>
        </w:rPr>
      </w:pPr>
      <w:proofErr w:type="spellStart"/>
      <w:r>
        <w:rPr>
          <w:rFonts w:ascii="標楷體" w:eastAsia="標楷體" w:hAnsi="標楷體"/>
          <w:color w:val="000000"/>
        </w:rPr>
        <w:t>Ⅰ.DDAVP</w:t>
      </w:r>
      <w:proofErr w:type="spellEnd"/>
      <w:r>
        <w:rPr>
          <w:rFonts w:ascii="標楷體" w:eastAsia="標楷體" w:hAnsi="標楷體"/>
          <w:color w:val="000000"/>
        </w:rPr>
        <w:t>避免使用於子</w:t>
      </w:r>
      <w:proofErr w:type="gramStart"/>
      <w:r>
        <w:rPr>
          <w:rFonts w:ascii="標楷體" w:eastAsia="標楷體" w:hAnsi="標楷體"/>
          <w:color w:val="000000"/>
        </w:rPr>
        <w:t>癲前症</w:t>
      </w:r>
      <w:proofErr w:type="gramEnd"/>
      <w:r>
        <w:rPr>
          <w:rFonts w:ascii="標楷體" w:eastAsia="標楷體" w:hAnsi="標楷體"/>
          <w:color w:val="000000"/>
        </w:rPr>
        <w:t>或體液增加(fluid retention)患者。</w:t>
      </w:r>
    </w:p>
    <w:p w14:paraId="71713002" w14:textId="77777777" w:rsidR="00401786" w:rsidRDefault="00C64FB3" w:rsidP="0009639E">
      <w:pPr>
        <w:spacing w:line="300" w:lineRule="exact"/>
        <w:ind w:left="1469" w:hanging="425"/>
        <w:rPr>
          <w:rFonts w:ascii="標楷體" w:eastAsia="標楷體" w:hAnsi="標楷體"/>
          <w:color w:val="000000"/>
        </w:rPr>
      </w:pPr>
      <w:proofErr w:type="spellStart"/>
      <w:r>
        <w:rPr>
          <w:rFonts w:ascii="標楷體" w:eastAsia="標楷體" w:hAnsi="標楷體"/>
          <w:color w:val="000000"/>
        </w:rPr>
        <w:t>Ⅱ.Type</w:t>
      </w:r>
      <w:proofErr w:type="spellEnd"/>
      <w:r>
        <w:rPr>
          <w:rFonts w:ascii="標楷體" w:eastAsia="標楷體" w:hAnsi="標楷體"/>
          <w:color w:val="000000"/>
        </w:rPr>
        <w:t xml:space="preserve"> 1 VWD：分娩時大多數不需要預防性治療。</w:t>
      </w:r>
    </w:p>
    <w:p w14:paraId="1E4BABBC" w14:textId="77777777" w:rsidR="00401786" w:rsidRDefault="00C64FB3" w:rsidP="0009639E">
      <w:pPr>
        <w:spacing w:line="300" w:lineRule="exact"/>
        <w:ind w:left="1342" w:hanging="300"/>
        <w:rPr>
          <w:rFonts w:ascii="標楷體" w:eastAsia="標楷體" w:hAnsi="標楷體"/>
          <w:color w:val="000000"/>
        </w:rPr>
      </w:pPr>
      <w:proofErr w:type="spellStart"/>
      <w:r>
        <w:rPr>
          <w:rFonts w:ascii="標楷體" w:eastAsia="標楷體" w:hAnsi="標楷體"/>
          <w:color w:val="000000"/>
        </w:rPr>
        <w:t>Ⅲ.Type</w:t>
      </w:r>
      <w:proofErr w:type="spellEnd"/>
      <w:r>
        <w:rPr>
          <w:rFonts w:ascii="標楷體" w:eastAsia="標楷體" w:hAnsi="標楷體"/>
          <w:color w:val="000000"/>
        </w:rPr>
        <w:t xml:space="preserve"> 2 VWD：剖腹生產或自然生產預期要進行episiotomy時，要給予藥物預防性治療。</w:t>
      </w:r>
    </w:p>
    <w:p w14:paraId="580815D9" w14:textId="77777777" w:rsidR="00401786" w:rsidRDefault="00C64FB3" w:rsidP="0009639E">
      <w:pPr>
        <w:spacing w:line="300" w:lineRule="exact"/>
        <w:ind w:left="1469" w:hanging="425"/>
        <w:rPr>
          <w:rFonts w:ascii="標楷體" w:eastAsia="標楷體" w:hAnsi="標楷體"/>
          <w:color w:val="000000"/>
        </w:rPr>
      </w:pPr>
      <w:proofErr w:type="spellStart"/>
      <w:r>
        <w:rPr>
          <w:rFonts w:ascii="標楷體" w:eastAsia="標楷體" w:hAnsi="標楷體"/>
          <w:color w:val="000000"/>
        </w:rPr>
        <w:t>Ⅳ.Type</w:t>
      </w:r>
      <w:proofErr w:type="spellEnd"/>
      <w:r>
        <w:rPr>
          <w:rFonts w:ascii="標楷體" w:eastAsia="標楷體" w:hAnsi="標楷體"/>
          <w:color w:val="000000"/>
        </w:rPr>
        <w:t xml:space="preserve"> 3 VWD：各種生產方式都需要給予藥物預防性治療。</w:t>
      </w:r>
    </w:p>
    <w:p w14:paraId="493B1BC5" w14:textId="77777777" w:rsidR="00401786" w:rsidRDefault="00C64FB3" w:rsidP="0009639E">
      <w:pPr>
        <w:spacing w:line="300" w:lineRule="exact"/>
        <w:ind w:left="1397" w:hanging="355"/>
        <w:rPr>
          <w:rFonts w:ascii="標楷體" w:eastAsia="標楷體" w:hAnsi="標楷體"/>
          <w:color w:val="000000"/>
        </w:rPr>
      </w:pPr>
      <w:r>
        <w:rPr>
          <w:rFonts w:ascii="標楷體" w:eastAsia="標楷體" w:hAnsi="標楷體"/>
          <w:color w:val="000000"/>
        </w:rPr>
        <w:t>Ⅴ.對於Type 1及Type 2 VWD的懷孕婦女，應該要在懷孕第三期與生產前檢查</w:t>
      </w:r>
      <w:proofErr w:type="spellStart"/>
      <w:r>
        <w:rPr>
          <w:rFonts w:ascii="標楷體" w:eastAsia="標楷體" w:hAnsi="標楷體"/>
          <w:color w:val="000000"/>
        </w:rPr>
        <w:t>VWF:RCo</w:t>
      </w:r>
      <w:proofErr w:type="spellEnd"/>
      <w:r>
        <w:rPr>
          <w:rFonts w:ascii="標楷體" w:eastAsia="標楷體" w:hAnsi="標楷體"/>
          <w:color w:val="000000"/>
        </w:rPr>
        <w:t>與VIII:C。如果</w:t>
      </w:r>
      <w:proofErr w:type="spellStart"/>
      <w:r>
        <w:rPr>
          <w:rFonts w:ascii="標楷體" w:eastAsia="標楷體" w:hAnsi="標楷體"/>
          <w:color w:val="000000"/>
        </w:rPr>
        <w:t>VWF:RCo</w:t>
      </w:r>
      <w:proofErr w:type="spellEnd"/>
      <w:r>
        <w:rPr>
          <w:rFonts w:ascii="標楷體" w:eastAsia="標楷體" w:hAnsi="標楷體"/>
          <w:color w:val="000000"/>
        </w:rPr>
        <w:t xml:space="preserve"> &lt;50IU/dL，產程期間則應該給予藥物預防治療。Type 2B懷孕婦女應特別注意血小板有無減少。</w:t>
      </w:r>
    </w:p>
    <w:p w14:paraId="7BA52AA8" w14:textId="77777777" w:rsidR="00401786" w:rsidRDefault="00C64FB3" w:rsidP="0009639E">
      <w:pPr>
        <w:spacing w:line="300" w:lineRule="exact"/>
        <w:ind w:left="1397" w:hanging="355"/>
        <w:rPr>
          <w:rFonts w:ascii="標楷體" w:eastAsia="標楷體" w:hAnsi="標楷體"/>
          <w:color w:val="000000"/>
        </w:rPr>
      </w:pPr>
      <w:r>
        <w:rPr>
          <w:rFonts w:ascii="標楷體" w:eastAsia="標楷體" w:hAnsi="標楷體"/>
          <w:color w:val="000000"/>
        </w:rPr>
        <w:t>Ⅵ.生產後至少應該維持</w:t>
      </w:r>
      <w:proofErr w:type="spellStart"/>
      <w:r>
        <w:rPr>
          <w:rFonts w:ascii="標楷體" w:eastAsia="標楷體" w:hAnsi="標楷體"/>
          <w:color w:val="000000"/>
        </w:rPr>
        <w:t>VWF:RCo</w:t>
      </w:r>
      <w:proofErr w:type="spellEnd"/>
      <w:r>
        <w:rPr>
          <w:rFonts w:ascii="標楷體" w:eastAsia="標楷體" w:hAnsi="標楷體"/>
          <w:color w:val="000000"/>
        </w:rPr>
        <w:t xml:space="preserve"> &gt; 50IU/dL 3-5天。</w:t>
      </w:r>
    </w:p>
    <w:p w14:paraId="0A6263EC"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4.2.5.第二、七、九、十凝血因子複合製劑(如</w:t>
      </w:r>
      <w:proofErr w:type="spellStart"/>
      <w:r>
        <w:rPr>
          <w:rFonts w:ascii="標楷體" w:eastAsia="標楷體" w:hAnsi="標楷體"/>
          <w:color w:val="000000"/>
        </w:rPr>
        <w:t>Beriplex</w:t>
      </w:r>
      <w:proofErr w:type="spellEnd"/>
      <w:r>
        <w:rPr>
          <w:rFonts w:ascii="標楷體" w:eastAsia="標楷體" w:hAnsi="標楷體"/>
          <w:color w:val="000000"/>
        </w:rPr>
        <w:t>)：(105/7/1)</w:t>
      </w:r>
    </w:p>
    <w:p w14:paraId="7BA015FE" w14:textId="77777777" w:rsidR="00401786" w:rsidRDefault="00C64FB3" w:rsidP="0009639E">
      <w:pPr>
        <w:spacing w:line="300" w:lineRule="exact"/>
        <w:ind w:left="826"/>
        <w:rPr>
          <w:rFonts w:ascii="標楷體" w:eastAsia="標楷體" w:hAnsi="標楷體"/>
          <w:color w:val="000000"/>
        </w:rPr>
      </w:pPr>
      <w:r>
        <w:rPr>
          <w:rFonts w:ascii="標楷體" w:eastAsia="標楷體" w:hAnsi="標楷體"/>
          <w:color w:val="000000"/>
        </w:rPr>
        <w:t>限用於下列情況以矯正凝血因子缺乏，且須同時針對出血原因進行處置：</w:t>
      </w:r>
    </w:p>
    <w:p w14:paraId="4778B97E"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1.在缺乏單一的凝血因子製劑可使用的情況，因先天性單一或多重缺乏第二、第七、第九或第十凝血因子，有出血或接受侵犯性處理及手術時的預防出血性治療。</w:t>
      </w:r>
    </w:p>
    <w:p w14:paraId="7D70F94D"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2.在缺乏單一的凝血因子製劑可使用的情況，因單一或多重缺乏第二、第七、第九或第十凝血因子造成的新生兒嚴重出血。</w:t>
      </w:r>
    </w:p>
    <w:p w14:paraId="7218F9B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3.因嚴重的肝臟實質傷害(</w:t>
      </w:r>
      <w:proofErr w:type="gramStart"/>
      <w:r>
        <w:rPr>
          <w:rFonts w:ascii="標楷體" w:eastAsia="標楷體" w:hAnsi="標楷體"/>
          <w:color w:val="000000"/>
        </w:rPr>
        <w:t>如猛爆</w:t>
      </w:r>
      <w:proofErr w:type="gramEnd"/>
      <w:r>
        <w:rPr>
          <w:rFonts w:ascii="標楷體" w:eastAsia="標楷體" w:hAnsi="標楷體"/>
          <w:color w:val="000000"/>
        </w:rPr>
        <w:t>性肝炎、肝硬化末期、肝中毒、肝創傷等)或</w:t>
      </w:r>
      <w:proofErr w:type="gramStart"/>
      <w:r>
        <w:rPr>
          <w:rFonts w:ascii="標楷體" w:eastAsia="標楷體" w:hAnsi="標楷體"/>
          <w:color w:val="000000"/>
        </w:rPr>
        <w:t>極度肝</w:t>
      </w:r>
      <w:proofErr w:type="gramEnd"/>
      <w:r>
        <w:rPr>
          <w:rFonts w:ascii="標楷體" w:eastAsia="標楷體" w:hAnsi="標楷體"/>
          <w:color w:val="000000"/>
        </w:rPr>
        <w:t>萎縮引起的食道胃靜脈瘤出血。</w:t>
      </w:r>
    </w:p>
    <w:p w14:paraId="43305C9C"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4.因服用coumarin</w:t>
      </w:r>
      <w:proofErr w:type="gramStart"/>
      <w:r>
        <w:rPr>
          <w:rFonts w:ascii="標楷體" w:eastAsia="標楷體" w:hAnsi="標楷體"/>
          <w:color w:val="000000"/>
        </w:rPr>
        <w:t>類抗凝</w:t>
      </w:r>
      <w:proofErr w:type="gramEnd"/>
      <w:r>
        <w:rPr>
          <w:rFonts w:ascii="標楷體" w:eastAsia="標楷體" w:hAnsi="標楷體"/>
          <w:color w:val="000000"/>
        </w:rPr>
        <w:t>血劑造成併發症引起的嚴重出血。</w:t>
      </w:r>
    </w:p>
    <w:p w14:paraId="315DAE01"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5.缺乏維生素K併發的嚴重出血或需緊急手術時。</w:t>
      </w:r>
    </w:p>
    <w:p w14:paraId="71E93454"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4.2.6.Human plasma coagulation factor XIII (如</w:t>
      </w:r>
      <w:proofErr w:type="spellStart"/>
      <w:r>
        <w:rPr>
          <w:rFonts w:ascii="標楷體" w:eastAsia="標楷體" w:hAnsi="標楷體"/>
          <w:color w:val="000000"/>
        </w:rPr>
        <w:t>Fibrogammin</w:t>
      </w:r>
      <w:proofErr w:type="spellEnd"/>
      <w:r>
        <w:rPr>
          <w:rFonts w:ascii="標楷體" w:eastAsia="標楷體" w:hAnsi="標楷體"/>
          <w:color w:val="000000"/>
        </w:rPr>
        <w:t>) (107/8/1、108/10/1、109/12/1)</w:t>
      </w:r>
    </w:p>
    <w:p w14:paraId="1A895DCC"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1.用於第十三凝血因子缺乏之病人。</w:t>
      </w:r>
    </w:p>
    <w:p w14:paraId="22E02883"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有急性出血時</w:t>
      </w:r>
    </w:p>
    <w:p w14:paraId="0C7EF56C"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A.</w:t>
      </w:r>
      <w:r>
        <w:rPr>
          <w:rFonts w:ascii="標楷體" w:eastAsia="標楷體" w:hAnsi="標楷體"/>
          <w:color w:val="000000"/>
        </w:rPr>
        <w:tab/>
        <w:t>輕度至中度出血：</w:t>
      </w:r>
    </w:p>
    <w:p w14:paraId="7D99DCD0" w14:textId="77777777" w:rsidR="00401786" w:rsidRDefault="00C64FB3" w:rsidP="0009639E">
      <w:pPr>
        <w:spacing w:line="300" w:lineRule="exact"/>
        <w:ind w:left="1613" w:hanging="425"/>
        <w:rPr>
          <w:rFonts w:ascii="標楷體" w:eastAsia="標楷體" w:hAnsi="標楷體"/>
          <w:color w:val="000000"/>
        </w:rPr>
      </w:pPr>
      <w:r>
        <w:rPr>
          <w:rFonts w:ascii="標楷體" w:eastAsia="標楷體" w:hAnsi="標楷體"/>
          <w:color w:val="000000"/>
        </w:rPr>
        <w:t>10-20 IU/Kg注射1-3次至止血。</w:t>
      </w:r>
    </w:p>
    <w:p w14:paraId="12B91AB1"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B.</w:t>
      </w:r>
      <w:r>
        <w:rPr>
          <w:rFonts w:ascii="標楷體" w:eastAsia="標楷體" w:hAnsi="標楷體"/>
          <w:color w:val="000000"/>
        </w:rPr>
        <w:tab/>
        <w:t>嚴重出血：</w:t>
      </w:r>
    </w:p>
    <w:p w14:paraId="6241A6FB" w14:textId="77777777" w:rsidR="00401786" w:rsidRDefault="00C64FB3" w:rsidP="0009639E">
      <w:pPr>
        <w:spacing w:line="300" w:lineRule="exact"/>
        <w:ind w:left="1188"/>
        <w:rPr>
          <w:rFonts w:ascii="標楷體" w:eastAsia="標楷體" w:hAnsi="標楷體"/>
          <w:color w:val="000000"/>
        </w:rPr>
      </w:pPr>
      <w:r>
        <w:rPr>
          <w:rFonts w:ascii="標楷體" w:eastAsia="標楷體" w:hAnsi="標楷體"/>
          <w:color w:val="000000"/>
        </w:rPr>
        <w:t>20-30 IU/Kg注射數次，可間隔數日至一周，直至止血。如有顱內出血，建議30-40 IU/Kg注射，間隔每天至</w:t>
      </w:r>
      <w:proofErr w:type="gramStart"/>
      <w:r>
        <w:rPr>
          <w:rFonts w:ascii="標楷體" w:eastAsia="標楷體" w:hAnsi="標楷體"/>
          <w:color w:val="000000"/>
        </w:rPr>
        <w:t>一週</w:t>
      </w:r>
      <w:proofErr w:type="gramEnd"/>
      <w:r>
        <w:rPr>
          <w:rFonts w:ascii="標楷體" w:eastAsia="標楷體" w:hAnsi="標楷體"/>
          <w:color w:val="000000"/>
        </w:rPr>
        <w:t>給藥，直至止血。</w:t>
      </w:r>
    </w:p>
    <w:p w14:paraId="0BAFCB3F"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C.</w:t>
      </w:r>
      <w:r>
        <w:rPr>
          <w:rFonts w:ascii="標楷體" w:eastAsia="標楷體" w:hAnsi="標楷體"/>
          <w:color w:val="000000"/>
        </w:rPr>
        <w:tab/>
        <w:t>手術：</w:t>
      </w:r>
    </w:p>
    <w:p w14:paraId="7214DE1D" w14:textId="77777777" w:rsidR="00401786" w:rsidRDefault="00C64FB3" w:rsidP="0009639E">
      <w:pPr>
        <w:spacing w:line="300" w:lineRule="exact"/>
        <w:ind w:left="1613" w:hanging="425"/>
        <w:rPr>
          <w:rFonts w:ascii="標楷體" w:eastAsia="標楷體" w:hAnsi="標楷體"/>
          <w:color w:val="000000"/>
        </w:rPr>
      </w:pPr>
      <w:r>
        <w:rPr>
          <w:rFonts w:ascii="標楷體" w:eastAsia="標楷體" w:hAnsi="標楷體"/>
          <w:color w:val="000000"/>
        </w:rPr>
        <w:t>20-30 IU/Kg，每天注射1-3天，嗣後10-20 IU/Kg注射2-3天。</w:t>
      </w:r>
    </w:p>
    <w:p w14:paraId="259A0183"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lastRenderedPageBreak/>
        <w:t>(2)</w:t>
      </w:r>
      <w:r>
        <w:rPr>
          <w:rFonts w:ascii="標楷體" w:eastAsia="標楷體" w:hAnsi="標楷體"/>
          <w:color w:val="000000"/>
        </w:rPr>
        <w:tab/>
        <w:t>預防性給予：</w:t>
      </w:r>
    </w:p>
    <w:p w14:paraId="2038C58D" w14:textId="77777777" w:rsidR="00401786" w:rsidRDefault="00C64FB3" w:rsidP="0009639E">
      <w:pPr>
        <w:spacing w:line="300" w:lineRule="exact"/>
        <w:ind w:left="948"/>
        <w:rPr>
          <w:rFonts w:ascii="標楷體" w:eastAsia="標楷體" w:hAnsi="標楷體"/>
          <w:color w:val="000000"/>
        </w:rPr>
      </w:pPr>
      <w:r>
        <w:rPr>
          <w:rFonts w:ascii="標楷體" w:eastAsia="標楷體" w:hAnsi="標楷體"/>
          <w:color w:val="000000"/>
        </w:rPr>
        <w:t>建議10-40 IU/Kg，每4至6</w:t>
      </w:r>
      <w:proofErr w:type="gramStart"/>
      <w:r>
        <w:rPr>
          <w:rFonts w:ascii="標楷體" w:eastAsia="標楷體" w:hAnsi="標楷體"/>
          <w:color w:val="000000"/>
        </w:rPr>
        <w:t>週</w:t>
      </w:r>
      <w:proofErr w:type="gramEnd"/>
      <w:r>
        <w:rPr>
          <w:rFonts w:ascii="標楷體" w:eastAsia="標楷體" w:hAnsi="標楷體"/>
          <w:color w:val="000000"/>
        </w:rPr>
        <w:t>注射一次；視突破性出血情況可增至40 IU/Kg每4至6</w:t>
      </w:r>
      <w:proofErr w:type="gramStart"/>
      <w:r>
        <w:rPr>
          <w:rFonts w:ascii="標楷體" w:eastAsia="標楷體" w:hAnsi="標楷體"/>
          <w:color w:val="000000"/>
        </w:rPr>
        <w:t>週</w:t>
      </w:r>
      <w:proofErr w:type="gramEnd"/>
      <w:r>
        <w:rPr>
          <w:rFonts w:ascii="標楷體" w:eastAsia="標楷體" w:hAnsi="標楷體"/>
          <w:color w:val="000000"/>
        </w:rPr>
        <w:t>注射一次。</w:t>
      </w:r>
    </w:p>
    <w:p w14:paraId="3CFF6639"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懷孕時：</w:t>
      </w:r>
    </w:p>
    <w:p w14:paraId="2D0174CC" w14:textId="77777777" w:rsidR="00401786" w:rsidRDefault="00C64FB3" w:rsidP="0009639E">
      <w:pPr>
        <w:spacing w:line="300" w:lineRule="exact"/>
        <w:ind w:left="1373" w:hanging="425"/>
        <w:rPr>
          <w:rFonts w:ascii="標楷體" w:eastAsia="標楷體" w:hAnsi="標楷體"/>
          <w:color w:val="000000"/>
        </w:rPr>
      </w:pPr>
      <w:r>
        <w:rPr>
          <w:rFonts w:ascii="標楷體" w:eastAsia="標楷體" w:hAnsi="標楷體"/>
          <w:color w:val="000000"/>
        </w:rPr>
        <w:t>在5~6</w:t>
      </w:r>
      <w:proofErr w:type="gramStart"/>
      <w:r>
        <w:rPr>
          <w:rFonts w:ascii="標楷體" w:eastAsia="標楷體" w:hAnsi="標楷體"/>
          <w:color w:val="000000"/>
        </w:rPr>
        <w:t>週</w:t>
      </w:r>
      <w:proofErr w:type="gramEnd"/>
      <w:r>
        <w:rPr>
          <w:rFonts w:ascii="標楷體" w:eastAsia="標楷體" w:hAnsi="標楷體"/>
          <w:color w:val="000000"/>
        </w:rPr>
        <w:t>懷孕時即建議開始給予，至懷孕後期劑量可視患者情況增加。</w:t>
      </w:r>
    </w:p>
    <w:p w14:paraId="2BEA72A7"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出現抗體時：</w:t>
      </w:r>
    </w:p>
    <w:p w14:paraId="5C3D4184" w14:textId="77777777" w:rsidR="00401786" w:rsidRDefault="00C64FB3" w:rsidP="0009639E">
      <w:pPr>
        <w:spacing w:line="300" w:lineRule="exact"/>
        <w:ind w:left="948"/>
        <w:rPr>
          <w:rFonts w:ascii="標楷體" w:eastAsia="標楷體" w:hAnsi="標楷體"/>
          <w:color w:val="000000"/>
        </w:rPr>
      </w:pPr>
      <w:r>
        <w:rPr>
          <w:rFonts w:ascii="標楷體" w:eastAsia="標楷體" w:hAnsi="標楷體"/>
          <w:color w:val="000000"/>
        </w:rPr>
        <w:t>得由臨床醫師依病人狀況調整劑量，惟需於病歷上詳細記載治療劑量調整之原因及反應。</w:t>
      </w:r>
    </w:p>
    <w:p w14:paraId="35073E6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門診之XIII因子缺乏病人，</w:t>
      </w:r>
      <w:proofErr w:type="gramStart"/>
      <w:r>
        <w:rPr>
          <w:rFonts w:ascii="標楷體" w:eastAsia="標楷體" w:hAnsi="標楷體"/>
          <w:color w:val="000000"/>
        </w:rPr>
        <w:t>得攜回</w:t>
      </w:r>
      <w:proofErr w:type="gramEnd"/>
      <w:r>
        <w:rPr>
          <w:rFonts w:ascii="標楷體" w:eastAsia="標楷體" w:hAnsi="標楷體"/>
          <w:color w:val="000000"/>
        </w:rPr>
        <w:t>二~四劑量(至多攜回二個月)第十三凝血因子備用，繼續治療時，比照</w:t>
      </w:r>
      <w:proofErr w:type="gramStart"/>
      <w:r>
        <w:rPr>
          <w:rFonts w:ascii="標楷體" w:eastAsia="標楷體" w:hAnsi="標楷體"/>
          <w:color w:val="000000"/>
        </w:rPr>
        <w:t>化療以</w:t>
      </w:r>
      <w:proofErr w:type="gramEnd"/>
      <w:r>
        <w:rPr>
          <w:rFonts w:ascii="標楷體" w:eastAsia="標楷體" w:hAnsi="標楷體"/>
          <w:color w:val="000000"/>
        </w:rPr>
        <w:t>「療程」方式處理，並檢附上次治療紀錄（如附表十八-四 全民健康保險血友病患使用第十三凝血因子在家治療紀錄）及登錄醫療評估追蹤紀錄表(附表十八之五)。醫療機構、醫師開立使用血液</w:t>
      </w:r>
      <w:proofErr w:type="gramStart"/>
      <w:r>
        <w:rPr>
          <w:rFonts w:ascii="標楷體" w:eastAsia="標楷體" w:hAnsi="標楷體"/>
          <w:color w:val="000000"/>
        </w:rPr>
        <w:t>製劑時</w:t>
      </w:r>
      <w:proofErr w:type="gramEnd"/>
      <w:r>
        <w:rPr>
          <w:rFonts w:ascii="標楷體" w:eastAsia="標楷體" w:hAnsi="標楷體"/>
          <w:color w:val="000000"/>
        </w:rPr>
        <w:t>，應依血液製劑條例之規定辦理。(107/8/1、108/10/1、109/12/1)</w:t>
      </w:r>
    </w:p>
    <w:p w14:paraId="71F26410"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 xml:space="preserve">預防性治療(primary  prophylaxis)：限嚴重型或中度(Factor </w:t>
      </w:r>
      <w:proofErr w:type="spellStart"/>
      <w:r>
        <w:rPr>
          <w:rFonts w:ascii="標楷體" w:eastAsia="標楷體" w:hAnsi="標楷體"/>
          <w:color w:val="000000"/>
        </w:rPr>
        <w:t>XIIIa</w:t>
      </w:r>
      <w:proofErr w:type="spellEnd"/>
      <w:r>
        <w:rPr>
          <w:rFonts w:ascii="標楷體" w:eastAsia="標楷體" w:hAnsi="標楷體"/>
          <w:color w:val="000000"/>
        </w:rPr>
        <w:t>小於5IU/dL) 之XIII因子缺乏病人。預防性使用之病患建議每隔1-2年監測血清中之第十三凝血因子濃度。</w:t>
      </w:r>
    </w:p>
    <w:p w14:paraId="7AF5A7CE"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初次使用需經事前審查核准後使用。</w:t>
      </w:r>
    </w:p>
    <w:p w14:paraId="3D337C8D" w14:textId="19DD9E8B" w:rsidR="00780733" w:rsidRDefault="00780733" w:rsidP="00780733">
      <w:pPr>
        <w:pStyle w:val="af"/>
        <w:spacing w:line="300" w:lineRule="exact"/>
        <w:ind w:left="684" w:hanging="684"/>
      </w:pPr>
      <w:bookmarkStart w:id="10" w:name="_Hlk222734757"/>
      <w:r>
        <w:rPr>
          <w:rFonts w:ascii="標楷體" w:eastAsia="標楷體" w:hAnsi="標楷體" w:hint="eastAsia"/>
          <w:color w:val="000000"/>
        </w:rPr>
        <w:t>4.2.7.</w:t>
      </w:r>
      <w:r>
        <w:t xml:space="preserve"> </w:t>
      </w:r>
      <w:r>
        <w:rPr>
          <w:rFonts w:ascii="標楷體" w:eastAsia="標楷體" w:hAnsi="標楷體" w:hint="eastAsia"/>
          <w:color w:val="000000"/>
        </w:rPr>
        <w:t>雙特異性單株抗體藥物(</w:t>
      </w:r>
      <w:r w:rsidR="00997580" w:rsidRPr="00997580">
        <w:rPr>
          <w:rFonts w:ascii="標楷體" w:eastAsia="標楷體" w:hAnsi="標楷體" w:hint="eastAsia"/>
          <w:color w:val="000000"/>
        </w:rPr>
        <w:t>如</w:t>
      </w:r>
      <w:proofErr w:type="spellStart"/>
      <w:r w:rsidR="00997580" w:rsidRPr="00997580">
        <w:rPr>
          <w:rFonts w:ascii="標楷體" w:eastAsia="標楷體" w:hAnsi="標楷體" w:hint="eastAsia"/>
          <w:color w:val="000000"/>
        </w:rPr>
        <w:t>emicizumab</w:t>
      </w:r>
      <w:proofErr w:type="spellEnd"/>
      <w:r>
        <w:rPr>
          <w:rFonts w:ascii="標楷體" w:eastAsia="標楷體" w:hAnsi="標楷體" w:hint="eastAsia"/>
          <w:color w:val="000000"/>
        </w:rPr>
        <w:t>)：(108/11/1、109/8/1、109/12/1、112/7/1、113/7/1、115/3/1</w:t>
      </w:r>
      <w:r w:rsidR="009C3080" w:rsidRPr="009C3080">
        <w:rPr>
          <w:rFonts w:ascii="標楷體" w:eastAsia="標楷體" w:hAnsi="標楷體" w:hint="eastAsia"/>
          <w:color w:val="000000"/>
        </w:rPr>
        <w:t>、115/8/1</w:t>
      </w:r>
      <w:r w:rsidR="005D56BC" w:rsidRPr="005D56BC">
        <w:rPr>
          <w:rFonts w:ascii="標楷體" w:eastAsia="標楷體" w:hAnsi="標楷體" w:hint="eastAsia"/>
          <w:color w:val="000000"/>
        </w:rPr>
        <w:t>、115/11/1</w:t>
      </w:r>
      <w:r>
        <w:rPr>
          <w:rFonts w:ascii="標楷體" w:eastAsia="標楷體" w:hAnsi="標楷體" w:hint="eastAsia"/>
          <w:color w:val="000000"/>
        </w:rPr>
        <w:t xml:space="preserve">) </w:t>
      </w:r>
    </w:p>
    <w:p w14:paraId="7B3E0AA8" w14:textId="77777777" w:rsidR="00780733" w:rsidRDefault="00780733" w:rsidP="00780733">
      <w:pPr>
        <w:spacing w:line="300" w:lineRule="exact"/>
        <w:ind w:left="709" w:hanging="386"/>
        <w:rPr>
          <w:rFonts w:ascii="標楷體" w:eastAsia="標楷體" w:hAnsi="標楷體"/>
          <w:color w:val="000000"/>
        </w:rPr>
      </w:pPr>
      <w:r>
        <w:rPr>
          <w:rFonts w:ascii="標楷體" w:eastAsia="標楷體" w:hAnsi="標楷體" w:hint="eastAsia"/>
          <w:color w:val="000000"/>
        </w:rPr>
        <w:t>限用於A型血友病且有抗體病人及嚴重(FVIII小於1%)未帶有抗體A型血友病病人之預防性治療：</w:t>
      </w:r>
    </w:p>
    <w:p w14:paraId="162BBC48"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1.用於A型血友病且有抗體病人預防性治療，並符合以下情形：</w:t>
      </w:r>
    </w:p>
    <w:p w14:paraId="26E2C357" w14:textId="77777777" w:rsidR="00780733" w:rsidRDefault="00780733" w:rsidP="00780733">
      <w:pPr>
        <w:spacing w:line="300" w:lineRule="exact"/>
        <w:ind w:left="851" w:hanging="423"/>
      </w:pPr>
      <w:r>
        <w:rPr>
          <w:rFonts w:ascii="標楷體" w:eastAsia="標楷體" w:hAnsi="標楷體" w:hint="eastAsia"/>
          <w:color w:val="000000"/>
        </w:rPr>
        <w:t>(1)</w:t>
      </w:r>
      <w:r>
        <w:rPr>
          <w:rFonts w:ascii="標楷體" w:eastAsia="標楷體" w:hAnsi="標楷體" w:hint="eastAsia"/>
          <w:color w:val="000000"/>
        </w:rPr>
        <w:tab/>
        <w:t>經Bethesda分析法不只一次證實帶有第八凝血因子抑制性抗體</w:t>
      </w:r>
      <w:r>
        <w:rPr>
          <w:rFonts w:ascii="Times New Roman" w:eastAsia="標楷體" w:hAnsi="Times New Roman"/>
          <w:color w:val="000000"/>
        </w:rPr>
        <w:t>≥</w:t>
      </w:r>
      <w:r>
        <w:rPr>
          <w:rFonts w:ascii="標楷體" w:eastAsia="標楷體" w:hAnsi="標楷體" w:hint="eastAsia"/>
          <w:color w:val="000000"/>
        </w:rPr>
        <w:t>5.0BU。(108/11/1、109/8/1)</w:t>
      </w:r>
    </w:p>
    <w:p w14:paraId="646CA863" w14:textId="11065346" w:rsidR="00780733" w:rsidRDefault="00780733" w:rsidP="00780733">
      <w:pPr>
        <w:spacing w:line="300" w:lineRule="exact"/>
        <w:ind w:left="851" w:hanging="423"/>
        <w:rPr>
          <w:rFonts w:ascii="標楷體" w:eastAsia="標楷體" w:hAnsi="標楷體"/>
          <w:color w:val="000000"/>
        </w:rPr>
      </w:pPr>
      <w:r>
        <w:rPr>
          <w:rFonts w:ascii="標楷體" w:eastAsia="標楷體" w:hAnsi="標楷體" w:hint="eastAsia"/>
          <w:color w:val="000000"/>
        </w:rPr>
        <w:t>(2)</w:t>
      </w:r>
      <w:r w:rsidR="009C3080" w:rsidRPr="009C3080">
        <w:rPr>
          <w:rFonts w:ascii="標楷體" w:eastAsia="標楷體" w:hAnsi="標楷體" w:hint="eastAsia"/>
          <w:color w:val="000000"/>
        </w:rPr>
        <w:t>使用</w:t>
      </w:r>
      <w:proofErr w:type="spellStart"/>
      <w:r w:rsidR="009C3080" w:rsidRPr="009C3080">
        <w:rPr>
          <w:rFonts w:ascii="標楷體" w:eastAsia="標楷體" w:hAnsi="標楷體" w:hint="eastAsia"/>
          <w:color w:val="000000"/>
        </w:rPr>
        <w:t>emicizumab</w:t>
      </w:r>
      <w:proofErr w:type="spellEnd"/>
      <w:r w:rsidR="009C3080" w:rsidRPr="009C3080">
        <w:rPr>
          <w:rFonts w:ascii="標楷體" w:eastAsia="標楷體" w:hAnsi="標楷體" w:hint="eastAsia"/>
          <w:color w:val="000000"/>
        </w:rPr>
        <w:t xml:space="preserve"> 24 小時以前繞徑藥物須停止使用。病人領取的</w:t>
      </w:r>
      <w:proofErr w:type="spellStart"/>
      <w:r w:rsidR="009C3080" w:rsidRPr="009C3080">
        <w:rPr>
          <w:rFonts w:ascii="標楷體" w:eastAsia="標楷體" w:hAnsi="標楷體" w:hint="eastAsia"/>
          <w:color w:val="000000"/>
        </w:rPr>
        <w:t>Feiba</w:t>
      </w:r>
      <w:proofErr w:type="spellEnd"/>
      <w:r w:rsidR="009C3080" w:rsidRPr="009C3080">
        <w:rPr>
          <w:rFonts w:ascii="標楷體" w:eastAsia="標楷體" w:hAnsi="標楷體" w:hint="eastAsia"/>
          <w:color w:val="000000"/>
        </w:rPr>
        <w:t>必須先使用完後，才能考慮開始使用</w:t>
      </w:r>
      <w:proofErr w:type="spellStart"/>
      <w:r w:rsidR="009C3080" w:rsidRPr="009C3080">
        <w:rPr>
          <w:rFonts w:ascii="標楷體" w:eastAsia="標楷體" w:hAnsi="標楷體" w:hint="eastAsia"/>
          <w:color w:val="000000"/>
        </w:rPr>
        <w:t>Hemlibra</w:t>
      </w:r>
      <w:proofErr w:type="spellEnd"/>
      <w:r w:rsidR="009C3080" w:rsidRPr="009C3080">
        <w:rPr>
          <w:rFonts w:ascii="標楷體" w:eastAsia="標楷體" w:hAnsi="標楷體" w:hint="eastAsia"/>
          <w:color w:val="000000"/>
        </w:rPr>
        <w:t>。(108/11/1、109/8/1</w:t>
      </w:r>
      <w:r>
        <w:rPr>
          <w:rFonts w:ascii="標楷體" w:eastAsia="標楷體" w:hAnsi="標楷體" w:hint="eastAsia"/>
          <w:color w:val="000000"/>
        </w:rPr>
        <w:t>)</w:t>
      </w:r>
    </w:p>
    <w:p w14:paraId="3784B841" w14:textId="77777777" w:rsidR="00780733" w:rsidRDefault="00780733" w:rsidP="00780733">
      <w:pPr>
        <w:spacing w:line="300" w:lineRule="exact"/>
        <w:ind w:left="851" w:hanging="423"/>
        <w:rPr>
          <w:rFonts w:ascii="標楷體" w:eastAsia="標楷體" w:hAnsi="標楷體"/>
          <w:color w:val="000000"/>
        </w:rPr>
      </w:pPr>
      <w:r>
        <w:rPr>
          <w:rFonts w:ascii="標楷體" w:eastAsia="標楷體" w:hAnsi="標楷體" w:hint="eastAsia"/>
          <w:color w:val="000000"/>
        </w:rPr>
        <w:t>(3)</w:t>
      </w:r>
      <w:r>
        <w:rPr>
          <w:rFonts w:ascii="標楷體" w:eastAsia="標楷體" w:hAnsi="標楷體" w:hint="eastAsia"/>
          <w:color w:val="000000"/>
        </w:rPr>
        <w:tab/>
        <w:t>若發生突破性出血時，第一線藥物為</w:t>
      </w:r>
      <w:proofErr w:type="spellStart"/>
      <w:r>
        <w:rPr>
          <w:rFonts w:ascii="標楷體" w:eastAsia="標楷體" w:hAnsi="標楷體" w:hint="eastAsia"/>
          <w:color w:val="000000"/>
        </w:rPr>
        <w:t>rVIIa</w:t>
      </w:r>
      <w:proofErr w:type="spellEnd"/>
      <w:r>
        <w:rPr>
          <w:rFonts w:ascii="標楷體" w:eastAsia="標楷體" w:hAnsi="標楷體" w:hint="eastAsia"/>
          <w:color w:val="000000"/>
        </w:rPr>
        <w:t>或第八凝血因子；除非沒有其他選擇，儘量避免使用</w:t>
      </w:r>
      <w:proofErr w:type="spellStart"/>
      <w:r>
        <w:rPr>
          <w:rFonts w:ascii="標楷體" w:eastAsia="標楷體" w:hAnsi="標楷體" w:hint="eastAsia"/>
          <w:color w:val="000000"/>
        </w:rPr>
        <w:t>Feiba</w:t>
      </w:r>
      <w:proofErr w:type="spellEnd"/>
      <w:r>
        <w:rPr>
          <w:rFonts w:ascii="標楷體" w:eastAsia="標楷體" w:hAnsi="標楷體" w:hint="eastAsia"/>
          <w:color w:val="000000"/>
        </w:rPr>
        <w:t>。</w:t>
      </w:r>
    </w:p>
    <w:p w14:paraId="799D6ABB" w14:textId="77777777" w:rsidR="00780733" w:rsidRDefault="00780733" w:rsidP="00780733">
      <w:pPr>
        <w:spacing w:line="300" w:lineRule="exact"/>
        <w:ind w:left="1276" w:hanging="386"/>
        <w:rPr>
          <w:rFonts w:ascii="標楷體" w:eastAsia="標楷體" w:hAnsi="標楷體"/>
          <w:color w:val="000000"/>
        </w:rPr>
      </w:pPr>
      <w:r>
        <w:rPr>
          <w:rFonts w:ascii="標楷體" w:eastAsia="標楷體" w:hAnsi="標楷體" w:hint="eastAsia"/>
          <w:color w:val="000000"/>
        </w:rPr>
        <w:t>I.</w:t>
      </w:r>
      <w:r>
        <w:rPr>
          <w:rFonts w:ascii="標楷體" w:eastAsia="標楷體" w:hAnsi="標楷體" w:hint="eastAsia"/>
          <w:color w:val="000000"/>
        </w:rPr>
        <w:tab/>
        <w:t>用</w:t>
      </w:r>
      <w:proofErr w:type="spellStart"/>
      <w:r>
        <w:rPr>
          <w:rFonts w:ascii="標楷體" w:eastAsia="標楷體" w:hAnsi="標楷體" w:hint="eastAsia"/>
          <w:color w:val="000000"/>
        </w:rPr>
        <w:t>rVIIa</w:t>
      </w:r>
      <w:proofErr w:type="spellEnd"/>
      <w:r>
        <w:rPr>
          <w:rFonts w:ascii="標楷體" w:eastAsia="標楷體" w:hAnsi="標楷體" w:hint="eastAsia"/>
          <w:color w:val="000000"/>
        </w:rPr>
        <w:t>，</w:t>
      </w:r>
      <w:proofErr w:type="gramStart"/>
      <w:r>
        <w:rPr>
          <w:rFonts w:ascii="標楷體" w:eastAsia="標楷體" w:hAnsi="標楷體" w:hint="eastAsia"/>
          <w:color w:val="000000"/>
        </w:rPr>
        <w:t>需要從低劑量(</w:t>
      </w:r>
      <w:proofErr w:type="gramEnd"/>
      <w:r>
        <w:rPr>
          <w:rFonts w:ascii="標楷體" w:eastAsia="標楷體" w:hAnsi="標楷體" w:hint="eastAsia"/>
          <w:color w:val="000000"/>
        </w:rPr>
        <w:t>45-90 μg/kg)開始使用，不可以使用高劑量。</w:t>
      </w:r>
    </w:p>
    <w:p w14:paraId="27146EF6" w14:textId="77777777" w:rsidR="00780733" w:rsidRDefault="00780733" w:rsidP="00780733">
      <w:pPr>
        <w:spacing w:line="300" w:lineRule="exact"/>
        <w:ind w:left="1276" w:hanging="386"/>
        <w:rPr>
          <w:rFonts w:ascii="標楷體" w:eastAsia="標楷體" w:hAnsi="標楷體"/>
          <w:color w:val="000000"/>
        </w:rPr>
      </w:pPr>
      <w:r>
        <w:rPr>
          <w:rFonts w:ascii="標楷體" w:eastAsia="標楷體" w:hAnsi="標楷體" w:hint="eastAsia"/>
          <w:color w:val="000000"/>
        </w:rPr>
        <w:t>II.</w:t>
      </w:r>
      <w:r>
        <w:rPr>
          <w:rFonts w:ascii="標楷體" w:eastAsia="標楷體" w:hAnsi="標楷體" w:hint="eastAsia"/>
          <w:color w:val="000000"/>
        </w:rPr>
        <w:tab/>
        <w:t>用</w:t>
      </w:r>
      <w:proofErr w:type="spellStart"/>
      <w:r>
        <w:rPr>
          <w:rFonts w:ascii="標楷體" w:eastAsia="標楷體" w:hAnsi="標楷體" w:hint="eastAsia"/>
          <w:color w:val="000000"/>
        </w:rPr>
        <w:t>Feiba</w:t>
      </w:r>
      <w:proofErr w:type="spellEnd"/>
      <w:r>
        <w:rPr>
          <w:rFonts w:ascii="標楷體" w:eastAsia="標楷體" w:hAnsi="標楷體" w:hint="eastAsia"/>
          <w:color w:val="000000"/>
        </w:rPr>
        <w:t>，第一次使用不可超過50IU/Kg；需第二劑使用時，一天內不得超過100IU/Kg。</w:t>
      </w:r>
    </w:p>
    <w:p w14:paraId="55F1A3EA"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2.用於嚴重(FVIII小於1%)未帶有抗體A型血友病病人之預防性治療。(112/7/1、115/3/1)</w:t>
      </w:r>
    </w:p>
    <w:p w14:paraId="322A2BF7"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3.皮下注射預防性治療(prophylaxis)：最初4</w:t>
      </w:r>
      <w:proofErr w:type="gramStart"/>
      <w:r>
        <w:rPr>
          <w:rFonts w:ascii="標楷體" w:eastAsia="標楷體" w:hAnsi="標楷體" w:hint="eastAsia"/>
          <w:color w:val="000000"/>
        </w:rPr>
        <w:t>週</w:t>
      </w:r>
      <w:proofErr w:type="gramEnd"/>
      <w:r>
        <w:rPr>
          <w:rFonts w:ascii="標楷體" w:eastAsia="標楷體" w:hAnsi="標楷體" w:hint="eastAsia"/>
          <w:color w:val="000000"/>
        </w:rPr>
        <w:t>，每週</w:t>
      </w:r>
      <w:proofErr w:type="gramStart"/>
      <w:r>
        <w:rPr>
          <w:rFonts w:ascii="標楷體" w:eastAsia="標楷體" w:hAnsi="標楷體" w:hint="eastAsia"/>
          <w:color w:val="000000"/>
        </w:rPr>
        <w:t>一次投予</w:t>
      </w:r>
      <w:proofErr w:type="gramEnd"/>
      <w:r>
        <w:rPr>
          <w:rFonts w:ascii="標楷體" w:eastAsia="標楷體" w:hAnsi="標楷體" w:hint="eastAsia"/>
          <w:color w:val="000000"/>
        </w:rPr>
        <w:t>3 mg/kg(負荷劑量)，之後改為每週</w:t>
      </w:r>
      <w:proofErr w:type="gramStart"/>
      <w:r>
        <w:rPr>
          <w:rFonts w:ascii="標楷體" w:eastAsia="標楷體" w:hAnsi="標楷體" w:hint="eastAsia"/>
          <w:color w:val="000000"/>
        </w:rPr>
        <w:t>一次投予</w:t>
      </w:r>
      <w:proofErr w:type="gramEnd"/>
      <w:r>
        <w:rPr>
          <w:rFonts w:ascii="標楷體" w:eastAsia="標楷體" w:hAnsi="標楷體" w:hint="eastAsia"/>
          <w:color w:val="000000"/>
        </w:rPr>
        <w:t>1.5 mg/kg、每2週一次3 mg/kg或每4週一次6 mg/kg (維持劑量)。(108/11/1、109/8/1)</w:t>
      </w:r>
    </w:p>
    <w:p w14:paraId="16E5620C"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4.</w:t>
      </w:r>
      <w:r w:rsidRPr="002318AA">
        <w:rPr>
          <w:rFonts w:ascii="標楷體" w:eastAsia="標楷體" w:hAnsi="標楷體" w:hint="eastAsia"/>
          <w:color w:val="000000"/>
        </w:rPr>
        <w:t>初次使用</w:t>
      </w:r>
      <w:r>
        <w:rPr>
          <w:rFonts w:ascii="標楷體" w:eastAsia="標楷體" w:hAnsi="標楷體" w:hint="eastAsia"/>
          <w:color w:val="000000"/>
        </w:rPr>
        <w:t>需經事前審查後核准後使用。(108/11/1、109/8/1、112/7/1、115/3/1)</w:t>
      </w:r>
    </w:p>
    <w:p w14:paraId="78EF2C7D"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5.門診之血友病</w:t>
      </w:r>
      <w:proofErr w:type="gramStart"/>
      <w:r>
        <w:rPr>
          <w:rFonts w:ascii="標楷體" w:eastAsia="標楷體" w:hAnsi="標楷體" w:hint="eastAsia"/>
          <w:color w:val="000000"/>
        </w:rPr>
        <w:t>病人得攜回</w:t>
      </w:r>
      <w:proofErr w:type="gramEnd"/>
      <w:r>
        <w:rPr>
          <w:rFonts w:ascii="標楷體" w:eastAsia="標楷體" w:hAnsi="標楷體" w:hint="eastAsia"/>
          <w:color w:val="000000"/>
        </w:rPr>
        <w:t>一至二劑量(至多攜回一個月)備用，繼續治療時，比照</w:t>
      </w:r>
      <w:proofErr w:type="gramStart"/>
      <w:r>
        <w:rPr>
          <w:rFonts w:ascii="標楷體" w:eastAsia="標楷體" w:hAnsi="標楷體" w:hint="eastAsia"/>
          <w:color w:val="000000"/>
        </w:rPr>
        <w:t>化療以</w:t>
      </w:r>
      <w:proofErr w:type="gramEnd"/>
      <w:r>
        <w:rPr>
          <w:rFonts w:ascii="標楷體" w:eastAsia="標楷體" w:hAnsi="標楷體" w:hint="eastAsia"/>
          <w:color w:val="000000"/>
        </w:rPr>
        <w:t>「療程」方式處理，並查驗上次治療紀錄(如附表十八之六</w:t>
      </w:r>
      <w:proofErr w:type="gramStart"/>
      <w:r>
        <w:rPr>
          <w:rFonts w:ascii="標楷體" w:eastAsia="標楷體" w:hAnsi="標楷體" w:hint="eastAsia"/>
          <w:color w:val="000000"/>
        </w:rPr>
        <w:t>─</w:t>
      </w:r>
      <w:proofErr w:type="gramEnd"/>
      <w:r>
        <w:rPr>
          <w:rFonts w:ascii="標楷體" w:eastAsia="標楷體" w:hAnsi="標楷體" w:hint="eastAsia"/>
          <w:color w:val="000000"/>
        </w:rPr>
        <w:t>全民健康保險血友病患者使用雙特異性單株抗體藥物在家治療紀錄表)及登錄醫療評估追蹤紀錄表(附表十八之五)：(109/8/1、109/12/1)</w:t>
      </w:r>
    </w:p>
    <w:p w14:paraId="0A8AB837" w14:textId="77777777" w:rsidR="00780733" w:rsidRDefault="00780733" w:rsidP="00780733">
      <w:pPr>
        <w:spacing w:line="300" w:lineRule="exact"/>
        <w:ind w:left="851" w:hanging="386"/>
        <w:rPr>
          <w:rFonts w:ascii="標楷體" w:eastAsia="標楷體" w:hAnsi="標楷體"/>
          <w:color w:val="000000"/>
        </w:rPr>
      </w:pPr>
      <w:r>
        <w:rPr>
          <w:rFonts w:ascii="標楷體" w:eastAsia="標楷體" w:hAnsi="標楷體" w:hint="eastAsia"/>
          <w:color w:val="000000"/>
        </w:rPr>
        <w:t>(1)</w:t>
      </w:r>
      <w:r>
        <w:rPr>
          <w:rFonts w:ascii="標楷體" w:eastAsia="標楷體" w:hAnsi="標楷體" w:hint="eastAsia"/>
          <w:color w:val="000000"/>
        </w:rPr>
        <w:tab/>
        <w:t>每1</w:t>
      </w:r>
      <w:proofErr w:type="gramStart"/>
      <w:r>
        <w:rPr>
          <w:rFonts w:ascii="標楷體" w:eastAsia="標楷體" w:hAnsi="標楷體" w:hint="eastAsia"/>
          <w:color w:val="000000"/>
        </w:rPr>
        <w:t>週</w:t>
      </w:r>
      <w:proofErr w:type="gramEnd"/>
      <w:r>
        <w:rPr>
          <w:rFonts w:ascii="標楷體" w:eastAsia="標楷體" w:hAnsi="標楷體" w:hint="eastAsia"/>
          <w:color w:val="000000"/>
        </w:rPr>
        <w:t>皮下注射一次者，可攜回二次劑量。</w:t>
      </w:r>
    </w:p>
    <w:p w14:paraId="06C9D2C0" w14:textId="77777777" w:rsidR="00780733" w:rsidRDefault="00780733" w:rsidP="00780733">
      <w:pPr>
        <w:spacing w:line="300" w:lineRule="exact"/>
        <w:ind w:left="851" w:hanging="386"/>
        <w:rPr>
          <w:rFonts w:ascii="標楷體" w:eastAsia="標楷體" w:hAnsi="標楷體"/>
          <w:color w:val="000000"/>
        </w:rPr>
      </w:pPr>
      <w:r>
        <w:rPr>
          <w:rFonts w:ascii="標楷體" w:eastAsia="標楷體" w:hAnsi="標楷體" w:hint="eastAsia"/>
          <w:color w:val="000000"/>
        </w:rPr>
        <w:t>(2)</w:t>
      </w:r>
      <w:r>
        <w:rPr>
          <w:rFonts w:ascii="標楷體" w:eastAsia="標楷體" w:hAnsi="標楷體" w:hint="eastAsia"/>
          <w:color w:val="000000"/>
        </w:rPr>
        <w:tab/>
        <w:t>每2</w:t>
      </w:r>
      <w:proofErr w:type="gramStart"/>
      <w:r>
        <w:rPr>
          <w:rFonts w:ascii="標楷體" w:eastAsia="標楷體" w:hAnsi="標楷體" w:hint="eastAsia"/>
          <w:color w:val="000000"/>
        </w:rPr>
        <w:t>週</w:t>
      </w:r>
      <w:proofErr w:type="gramEnd"/>
      <w:r>
        <w:rPr>
          <w:rFonts w:ascii="標楷體" w:eastAsia="標楷體" w:hAnsi="標楷體" w:hint="eastAsia"/>
          <w:color w:val="000000"/>
        </w:rPr>
        <w:t>皮下注射一次者，可攜回一次劑量。</w:t>
      </w:r>
    </w:p>
    <w:p w14:paraId="07A6CF25" w14:textId="77777777" w:rsidR="00780733" w:rsidRDefault="00780733" w:rsidP="00780733">
      <w:pPr>
        <w:spacing w:line="300" w:lineRule="exact"/>
        <w:ind w:left="851" w:hanging="386"/>
        <w:rPr>
          <w:rFonts w:ascii="標楷體" w:eastAsia="標楷體" w:hAnsi="標楷體"/>
          <w:color w:val="000000"/>
        </w:rPr>
      </w:pPr>
      <w:r>
        <w:rPr>
          <w:rFonts w:ascii="標楷體" w:eastAsia="標楷體" w:hAnsi="標楷體" w:hint="eastAsia"/>
          <w:color w:val="000000"/>
        </w:rPr>
        <w:t>(3)</w:t>
      </w:r>
      <w:r>
        <w:rPr>
          <w:rFonts w:ascii="標楷體" w:eastAsia="標楷體" w:hAnsi="標楷體" w:hint="eastAsia"/>
          <w:color w:val="000000"/>
        </w:rPr>
        <w:tab/>
        <w:t>每4</w:t>
      </w:r>
      <w:proofErr w:type="gramStart"/>
      <w:r>
        <w:rPr>
          <w:rFonts w:ascii="標楷體" w:eastAsia="標楷體" w:hAnsi="標楷體" w:hint="eastAsia"/>
          <w:color w:val="000000"/>
        </w:rPr>
        <w:t>週</w:t>
      </w:r>
      <w:proofErr w:type="gramEnd"/>
      <w:r>
        <w:rPr>
          <w:rFonts w:ascii="標楷體" w:eastAsia="標楷體" w:hAnsi="標楷體" w:hint="eastAsia"/>
          <w:color w:val="000000"/>
        </w:rPr>
        <w:t>皮下注射一次者，則每4</w:t>
      </w:r>
      <w:proofErr w:type="gramStart"/>
      <w:r>
        <w:rPr>
          <w:rFonts w:ascii="標楷體" w:eastAsia="標楷體" w:hAnsi="標楷體" w:hint="eastAsia"/>
          <w:color w:val="000000"/>
        </w:rPr>
        <w:t>週均回</w:t>
      </w:r>
      <w:proofErr w:type="gramEnd"/>
      <w:r>
        <w:rPr>
          <w:rFonts w:ascii="標楷體" w:eastAsia="標楷體" w:hAnsi="標楷體" w:hint="eastAsia"/>
          <w:color w:val="000000"/>
        </w:rPr>
        <w:t>醫院領藥注射並觀察追蹤。</w:t>
      </w:r>
    </w:p>
    <w:p w14:paraId="2565652E" w14:textId="1AF3644E" w:rsidR="00401786"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6.</w:t>
      </w:r>
      <w:bookmarkEnd w:id="10"/>
      <w:r w:rsidR="00FD182A" w:rsidRPr="00FD182A">
        <w:rPr>
          <w:rFonts w:ascii="標楷體" w:eastAsia="標楷體" w:hAnsi="標楷體" w:hint="eastAsia"/>
          <w:color w:val="000000"/>
        </w:rPr>
        <w:t>不得</w:t>
      </w:r>
      <w:r w:rsidR="00416D62" w:rsidRPr="00416D62">
        <w:rPr>
          <w:rFonts w:ascii="標楷體" w:eastAsia="標楷體" w:hAnsi="標楷體" w:hint="eastAsia"/>
          <w:color w:val="000000"/>
        </w:rPr>
        <w:t>與第八凝血因子製劑、</w:t>
      </w:r>
      <w:proofErr w:type="spellStart"/>
      <w:r w:rsidR="00416D62" w:rsidRPr="00416D62">
        <w:rPr>
          <w:rFonts w:ascii="標楷體" w:eastAsia="標楷體" w:hAnsi="標楷體" w:hint="eastAsia"/>
          <w:color w:val="000000"/>
        </w:rPr>
        <w:t>fitusiran</w:t>
      </w:r>
      <w:proofErr w:type="spellEnd"/>
      <w:r w:rsidR="00416D62" w:rsidRPr="00416D62">
        <w:rPr>
          <w:rFonts w:ascii="標楷體" w:eastAsia="標楷體" w:hAnsi="標楷體" w:hint="eastAsia"/>
          <w:color w:val="000000"/>
        </w:rPr>
        <w:t>及</w:t>
      </w:r>
      <w:proofErr w:type="spellStart"/>
      <w:r w:rsidR="00416D62" w:rsidRPr="00416D62">
        <w:rPr>
          <w:rFonts w:ascii="標楷體" w:eastAsia="標楷體" w:hAnsi="標楷體" w:hint="eastAsia"/>
          <w:color w:val="000000"/>
        </w:rPr>
        <w:t>concizumab</w:t>
      </w:r>
      <w:proofErr w:type="spellEnd"/>
      <w:proofErr w:type="gramStart"/>
      <w:r w:rsidR="00416D62" w:rsidRPr="00416D62">
        <w:rPr>
          <w:rFonts w:ascii="標楷體" w:eastAsia="標楷體" w:hAnsi="標楷體" w:hint="eastAsia"/>
          <w:color w:val="000000"/>
        </w:rPr>
        <w:t>併</w:t>
      </w:r>
      <w:proofErr w:type="gramEnd"/>
      <w:r w:rsidR="00416D62" w:rsidRPr="00416D62">
        <w:rPr>
          <w:rFonts w:ascii="標楷體" w:eastAsia="標楷體" w:hAnsi="標楷體" w:hint="eastAsia"/>
          <w:color w:val="000000"/>
        </w:rPr>
        <w:t>用。(113/7/1、115/8/1、115/11/1</w:t>
      </w:r>
      <w:r w:rsidR="00FD182A" w:rsidRPr="00FD182A">
        <w:rPr>
          <w:rFonts w:ascii="標楷體" w:eastAsia="標楷體" w:hAnsi="標楷體" w:hint="eastAsia"/>
          <w:color w:val="000000"/>
        </w:rPr>
        <w:t>)</w:t>
      </w:r>
    </w:p>
    <w:p w14:paraId="200E3441" w14:textId="046F27A5" w:rsidR="00997580" w:rsidRDefault="00997580" w:rsidP="00997580">
      <w:pPr>
        <w:spacing w:line="300" w:lineRule="exact"/>
        <w:jc w:val="both"/>
        <w:rPr>
          <w:rFonts w:ascii="標楷體" w:eastAsia="標楷體" w:hAnsi="標楷體"/>
          <w:kern w:val="2"/>
          <w:szCs w:val="24"/>
        </w:rPr>
      </w:pPr>
      <w:r>
        <w:rPr>
          <w:rFonts w:ascii="標楷體" w:eastAsia="標楷體" w:hAnsi="標楷體" w:hint="eastAsia"/>
        </w:rPr>
        <w:t>4.2.8.fitusiran(如</w:t>
      </w:r>
      <w:proofErr w:type="spellStart"/>
      <w:r>
        <w:rPr>
          <w:rFonts w:ascii="標楷體" w:eastAsia="標楷體" w:hAnsi="標楷體" w:hint="eastAsia"/>
        </w:rPr>
        <w:t>Qfitlia</w:t>
      </w:r>
      <w:proofErr w:type="spellEnd"/>
      <w:r>
        <w:rPr>
          <w:rFonts w:ascii="標楷體" w:eastAsia="標楷體" w:hAnsi="標楷體" w:hint="eastAsia"/>
        </w:rPr>
        <w:t>)：(115/8/1</w:t>
      </w:r>
      <w:r w:rsidR="0072187B" w:rsidRPr="0072187B">
        <w:rPr>
          <w:rFonts w:ascii="標楷體" w:eastAsia="標楷體" w:hAnsi="標楷體" w:hint="eastAsia"/>
        </w:rPr>
        <w:t>、115/11/1</w:t>
      </w:r>
      <w:r>
        <w:rPr>
          <w:rFonts w:ascii="標楷體" w:eastAsia="標楷體" w:hAnsi="標楷體" w:hint="eastAsia"/>
        </w:rPr>
        <w:t>)</w:t>
      </w:r>
    </w:p>
    <w:p w14:paraId="5BF77442" w14:textId="77777777" w:rsidR="00997580" w:rsidRDefault="00997580" w:rsidP="002144EC">
      <w:pPr>
        <w:pStyle w:val="af"/>
        <w:numPr>
          <w:ilvl w:val="0"/>
          <w:numId w:val="195"/>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用於12歲以上帶有抗體及未帶有抗體的嚴重A型（FVIII小於1%）或B型(FIX小於1%</w:t>
      </w:r>
      <w:proofErr w:type="gramStart"/>
      <w:r>
        <w:rPr>
          <w:rFonts w:ascii="標楷體" w:eastAsia="標楷體" w:hAnsi="標楷體" w:hint="eastAsia"/>
        </w:rPr>
        <w:t>）</w:t>
      </w:r>
      <w:proofErr w:type="gramEnd"/>
      <w:r>
        <w:rPr>
          <w:rFonts w:ascii="標楷體" w:eastAsia="標楷體" w:hAnsi="標楷體" w:hint="eastAsia"/>
        </w:rPr>
        <w:lastRenderedPageBreak/>
        <w:t>血友病病人之預防性治療。</w:t>
      </w:r>
    </w:p>
    <w:p w14:paraId="3F33EF3A" w14:textId="77777777" w:rsidR="00997580" w:rsidRDefault="00997580" w:rsidP="002144EC">
      <w:pPr>
        <w:pStyle w:val="af"/>
        <w:numPr>
          <w:ilvl w:val="0"/>
          <w:numId w:val="195"/>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在病人最初開始使用</w:t>
      </w:r>
      <w:proofErr w:type="spellStart"/>
      <w:r>
        <w:rPr>
          <w:rFonts w:ascii="標楷體" w:eastAsia="標楷體" w:hAnsi="標楷體" w:hint="eastAsia"/>
        </w:rPr>
        <w:t>fitusiran</w:t>
      </w:r>
      <w:proofErr w:type="spellEnd"/>
      <w:r>
        <w:rPr>
          <w:rFonts w:ascii="標楷體" w:eastAsia="標楷體" w:hAnsi="標楷體" w:hint="eastAsia"/>
        </w:rPr>
        <w:t>治療的7天內，可以繼續使用原先的凝血因子</w:t>
      </w:r>
      <w:proofErr w:type="gramStart"/>
      <w:r>
        <w:rPr>
          <w:rFonts w:ascii="標楷體" w:eastAsia="標楷體" w:hAnsi="標楷體" w:hint="eastAsia"/>
        </w:rPr>
        <w:t>或繞徑</w:t>
      </w:r>
      <w:proofErr w:type="gramEnd"/>
      <w:r>
        <w:rPr>
          <w:rFonts w:ascii="標楷體" w:eastAsia="標楷體" w:hAnsi="標楷體" w:hint="eastAsia"/>
        </w:rPr>
        <w:t>治療藥物預防性治療。在</w:t>
      </w:r>
      <w:proofErr w:type="spellStart"/>
      <w:r>
        <w:rPr>
          <w:rFonts w:ascii="標楷體" w:eastAsia="標楷體" w:hAnsi="標楷體" w:hint="eastAsia"/>
        </w:rPr>
        <w:t>fitusiran</w:t>
      </w:r>
      <w:proofErr w:type="spellEnd"/>
      <w:r>
        <w:rPr>
          <w:rFonts w:ascii="標楷體" w:eastAsia="標楷體" w:hAnsi="標楷體" w:hint="eastAsia"/>
        </w:rPr>
        <w:t>開始治療7天後，則需要</w:t>
      </w:r>
      <w:proofErr w:type="gramStart"/>
      <w:r>
        <w:rPr>
          <w:rFonts w:ascii="標楷體" w:eastAsia="標楷體" w:hAnsi="標楷體" w:hint="eastAsia"/>
        </w:rPr>
        <w:t>停用凝血</w:t>
      </w:r>
      <w:proofErr w:type="gramEnd"/>
      <w:r>
        <w:rPr>
          <w:rFonts w:ascii="標楷體" w:eastAsia="標楷體" w:hAnsi="標楷體" w:hint="eastAsia"/>
        </w:rPr>
        <w:t>因子</w:t>
      </w:r>
      <w:proofErr w:type="gramStart"/>
      <w:r>
        <w:rPr>
          <w:rFonts w:ascii="標楷體" w:eastAsia="標楷體" w:hAnsi="標楷體" w:hint="eastAsia"/>
        </w:rPr>
        <w:t>或繞徑</w:t>
      </w:r>
      <w:proofErr w:type="gramEnd"/>
      <w:r>
        <w:rPr>
          <w:rFonts w:ascii="標楷體" w:eastAsia="標楷體" w:hAnsi="標楷體" w:hint="eastAsia"/>
        </w:rPr>
        <w:t>治療藥物預防性治療。</w:t>
      </w:r>
    </w:p>
    <w:p w14:paraId="466D6973" w14:textId="77777777" w:rsidR="00997580" w:rsidRDefault="00997580" w:rsidP="002144EC">
      <w:pPr>
        <w:pStyle w:val="af"/>
        <w:numPr>
          <w:ilvl w:val="0"/>
          <w:numId w:val="195"/>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使用</w:t>
      </w:r>
      <w:proofErr w:type="spellStart"/>
      <w:r>
        <w:rPr>
          <w:rFonts w:ascii="標楷體" w:eastAsia="標楷體" w:hAnsi="標楷體" w:hint="eastAsia"/>
        </w:rPr>
        <w:t>fitusiran</w:t>
      </w:r>
      <w:proofErr w:type="spellEnd"/>
      <w:r>
        <w:rPr>
          <w:rFonts w:ascii="標楷體" w:eastAsia="標楷體" w:hAnsi="標楷體" w:hint="eastAsia"/>
        </w:rPr>
        <w:t>預防性治療，若發生突破性出血或需要進行手術，需使用的凝血因子</w:t>
      </w:r>
      <w:proofErr w:type="gramStart"/>
      <w:r>
        <w:rPr>
          <w:rFonts w:ascii="標楷體" w:eastAsia="標楷體" w:hAnsi="標楷體" w:hint="eastAsia"/>
        </w:rPr>
        <w:t>或繞徑</w:t>
      </w:r>
      <w:proofErr w:type="gramEnd"/>
      <w:r>
        <w:rPr>
          <w:rFonts w:ascii="標楷體" w:eastAsia="標楷體" w:hAnsi="標楷體" w:hint="eastAsia"/>
        </w:rPr>
        <w:t>治療藥物劑量則依</w:t>
      </w:r>
      <w:proofErr w:type="spellStart"/>
      <w:r>
        <w:rPr>
          <w:rFonts w:ascii="標楷體" w:eastAsia="標楷體" w:hAnsi="標楷體" w:hint="eastAsia"/>
        </w:rPr>
        <w:t>fitusiran</w:t>
      </w:r>
      <w:proofErr w:type="spellEnd"/>
      <w:r>
        <w:rPr>
          <w:rFonts w:ascii="標楷體" w:eastAsia="標楷體" w:hAnsi="標楷體" w:hint="eastAsia"/>
        </w:rPr>
        <w:t>仿單「突破性出血處置指引」中的建議劑量使用。</w:t>
      </w:r>
    </w:p>
    <w:p w14:paraId="6E733166" w14:textId="77777777" w:rsidR="00997580" w:rsidRDefault="00997580" w:rsidP="002144EC">
      <w:pPr>
        <w:pStyle w:val="af"/>
        <w:numPr>
          <w:ilvl w:val="0"/>
          <w:numId w:val="195"/>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需經事前審查後核准後使用。</w:t>
      </w:r>
    </w:p>
    <w:p w14:paraId="543B00FA" w14:textId="77777777" w:rsidR="00997580" w:rsidRDefault="00997580" w:rsidP="002144EC">
      <w:pPr>
        <w:pStyle w:val="af"/>
        <w:numPr>
          <w:ilvl w:val="1"/>
          <w:numId w:val="195"/>
        </w:numPr>
        <w:suppressAutoHyphens w:val="0"/>
        <w:autoSpaceDN/>
        <w:spacing w:line="300" w:lineRule="exact"/>
        <w:contextualSpacing/>
        <w:jc w:val="both"/>
        <w:textAlignment w:val="auto"/>
        <w:rPr>
          <w:rFonts w:ascii="標楷體" w:eastAsia="標楷體" w:hAnsi="標楷體"/>
        </w:rPr>
      </w:pPr>
      <w:r>
        <w:rPr>
          <w:rFonts w:ascii="標楷體" w:eastAsia="標楷體" w:hAnsi="標楷體" w:hint="eastAsia"/>
        </w:rPr>
        <w:t>初次申請以6個月為限，確定維持劑量後，每次申請1年為限。</w:t>
      </w:r>
    </w:p>
    <w:p w14:paraId="76A15873" w14:textId="77777777" w:rsidR="00997580" w:rsidRDefault="00997580" w:rsidP="002144EC">
      <w:pPr>
        <w:pStyle w:val="af"/>
        <w:numPr>
          <w:ilvl w:val="1"/>
          <w:numId w:val="195"/>
        </w:numPr>
        <w:suppressAutoHyphens w:val="0"/>
        <w:autoSpaceDN/>
        <w:spacing w:line="300" w:lineRule="exact"/>
        <w:contextualSpacing/>
        <w:jc w:val="both"/>
        <w:textAlignment w:val="auto"/>
        <w:rPr>
          <w:rFonts w:ascii="標楷體" w:eastAsia="標楷體" w:hAnsi="標楷體"/>
        </w:rPr>
      </w:pPr>
      <w:r>
        <w:rPr>
          <w:rFonts w:ascii="標楷體" w:eastAsia="標楷體" w:hAnsi="標楷體" w:hint="eastAsia"/>
        </w:rPr>
        <w:t>期滿須再次申請並經核准後方得續用。申請續用時，需</w:t>
      </w:r>
      <w:proofErr w:type="gramStart"/>
      <w:r>
        <w:rPr>
          <w:rFonts w:ascii="標楷體" w:eastAsia="標楷體" w:hAnsi="標楷體" w:hint="eastAsia"/>
        </w:rPr>
        <w:t>檢附並登錄</w:t>
      </w:r>
      <w:proofErr w:type="gramEnd"/>
      <w:r>
        <w:rPr>
          <w:rFonts w:ascii="標楷體" w:eastAsia="標楷體" w:hAnsi="標楷體" w:hint="eastAsia"/>
        </w:rPr>
        <w:t>醫療評估追蹤紀錄表(附表十八之五)、抗凝血酵素（anti-thrombin）濃度檢測報告、血栓事件紀錄及劑量調整等資料。</w:t>
      </w:r>
    </w:p>
    <w:p w14:paraId="26CB279E" w14:textId="77777777" w:rsidR="00997580" w:rsidRDefault="00997580" w:rsidP="00DB71A0">
      <w:pPr>
        <w:pStyle w:val="af"/>
        <w:numPr>
          <w:ilvl w:val="0"/>
          <w:numId w:val="195"/>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使用</w:t>
      </w:r>
      <w:proofErr w:type="spellStart"/>
      <w:r>
        <w:rPr>
          <w:rFonts w:ascii="標楷體" w:eastAsia="標楷體" w:hAnsi="標楷體" w:hint="eastAsia"/>
        </w:rPr>
        <w:t>fitusiran</w:t>
      </w:r>
      <w:proofErr w:type="spellEnd"/>
      <w:r>
        <w:rPr>
          <w:rFonts w:ascii="標楷體" w:eastAsia="標楷體" w:hAnsi="標楷體" w:hint="eastAsia"/>
        </w:rPr>
        <w:t>治療前及治療後需每2個月檢測AT活性，並於給藥劑量調整後重新開始AT活性檢測。</w:t>
      </w:r>
    </w:p>
    <w:p w14:paraId="5ABBAB58" w14:textId="77777777" w:rsidR="00997580" w:rsidRDefault="00997580" w:rsidP="00DB71A0">
      <w:pPr>
        <w:pStyle w:val="af"/>
        <w:numPr>
          <w:ilvl w:val="0"/>
          <w:numId w:val="195"/>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排除使用的情形：出現肝功能損害者(Child-Pugh分級A、B或C)。</w:t>
      </w:r>
    </w:p>
    <w:p w14:paraId="40386B7A" w14:textId="17DE3F3E" w:rsidR="00997580" w:rsidRPr="00997580" w:rsidRDefault="00997580" w:rsidP="00DB71A0">
      <w:pPr>
        <w:pStyle w:val="af"/>
        <w:numPr>
          <w:ilvl w:val="0"/>
          <w:numId w:val="195"/>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與</w:t>
      </w:r>
      <w:r w:rsidR="0072187B" w:rsidRPr="0072187B">
        <w:rPr>
          <w:rFonts w:ascii="標楷體" w:eastAsia="標楷體" w:hAnsi="標楷體" w:hint="eastAsia"/>
        </w:rPr>
        <w:t>雙特異性單株抗體藥物(如</w:t>
      </w:r>
      <w:proofErr w:type="spellStart"/>
      <w:r w:rsidR="0072187B" w:rsidRPr="0072187B">
        <w:rPr>
          <w:rFonts w:ascii="標楷體" w:eastAsia="標楷體" w:hAnsi="標楷體" w:hint="eastAsia"/>
        </w:rPr>
        <w:t>emicizumab</w:t>
      </w:r>
      <w:proofErr w:type="spellEnd"/>
      <w:r w:rsidR="0072187B" w:rsidRPr="0072187B">
        <w:rPr>
          <w:rFonts w:ascii="標楷體" w:eastAsia="標楷體" w:hAnsi="標楷體" w:hint="eastAsia"/>
        </w:rPr>
        <w:t>)及</w:t>
      </w:r>
      <w:proofErr w:type="spellStart"/>
      <w:r w:rsidR="0072187B" w:rsidRPr="0072187B">
        <w:rPr>
          <w:rFonts w:ascii="標楷體" w:eastAsia="標楷體" w:hAnsi="標楷體" w:hint="eastAsia"/>
        </w:rPr>
        <w:t>concizumab</w:t>
      </w:r>
      <w:proofErr w:type="spellEnd"/>
      <w:proofErr w:type="gramStart"/>
      <w:r w:rsidR="0072187B" w:rsidRPr="0072187B">
        <w:rPr>
          <w:rFonts w:ascii="標楷體" w:eastAsia="標楷體" w:hAnsi="標楷體" w:hint="eastAsia"/>
        </w:rPr>
        <w:t>併</w:t>
      </w:r>
      <w:proofErr w:type="gramEnd"/>
      <w:r w:rsidR="0072187B" w:rsidRPr="0072187B">
        <w:rPr>
          <w:rFonts w:ascii="標楷體" w:eastAsia="標楷體" w:hAnsi="標楷體" w:hint="eastAsia"/>
        </w:rPr>
        <w:t>用。(115/8/1、115/11/1)</w:t>
      </w:r>
    </w:p>
    <w:p w14:paraId="0E6C7062" w14:textId="77777777" w:rsidR="00DB71A0" w:rsidRPr="00DB71A0" w:rsidRDefault="00DB71A0" w:rsidP="00DB71A0">
      <w:pPr>
        <w:pStyle w:val="af"/>
        <w:spacing w:line="300" w:lineRule="exact"/>
        <w:ind w:left="684" w:hanging="684"/>
        <w:rPr>
          <w:rFonts w:ascii="標楷體" w:eastAsia="標楷體" w:hAnsi="標楷體"/>
          <w:color w:val="000000"/>
        </w:rPr>
      </w:pPr>
      <w:r w:rsidRPr="00DB71A0">
        <w:rPr>
          <w:rFonts w:ascii="標楷體" w:eastAsia="標楷體" w:hAnsi="標楷體" w:hint="eastAsia"/>
          <w:color w:val="000000"/>
        </w:rPr>
        <w:t xml:space="preserve">4.2.9.Concizumab（如 </w:t>
      </w:r>
      <w:proofErr w:type="spellStart"/>
      <w:r w:rsidRPr="00DB71A0">
        <w:rPr>
          <w:rFonts w:ascii="標楷體" w:eastAsia="標楷體" w:hAnsi="標楷體" w:hint="eastAsia"/>
          <w:color w:val="000000"/>
        </w:rPr>
        <w:t>Alhemo</w:t>
      </w:r>
      <w:proofErr w:type="spellEnd"/>
      <w:r w:rsidRPr="00DB71A0">
        <w:rPr>
          <w:rFonts w:ascii="標楷體" w:eastAsia="標楷體" w:hAnsi="標楷體" w:hint="eastAsia"/>
          <w:color w:val="000000"/>
        </w:rPr>
        <w:t>）：（115/11/1）</w:t>
      </w:r>
    </w:p>
    <w:p w14:paraId="71201A6B" w14:textId="77777777" w:rsidR="00DB71A0" w:rsidRPr="00DB71A0" w:rsidRDefault="00DB71A0" w:rsidP="00DB71A0">
      <w:pPr>
        <w:pStyle w:val="af"/>
        <w:spacing w:line="300" w:lineRule="exact"/>
        <w:ind w:left="684" w:hanging="400"/>
        <w:rPr>
          <w:rFonts w:ascii="標楷體" w:eastAsia="標楷體" w:hAnsi="標楷體"/>
          <w:color w:val="000000"/>
        </w:rPr>
      </w:pPr>
      <w:r w:rsidRPr="00DB71A0">
        <w:rPr>
          <w:rFonts w:ascii="標楷體" w:eastAsia="標楷體" w:hAnsi="標楷體"/>
          <w:color w:val="000000"/>
        </w:rPr>
        <w:t>1.</w:t>
      </w:r>
      <w:r w:rsidRPr="00DB71A0">
        <w:rPr>
          <w:rFonts w:ascii="標楷體" w:eastAsia="標楷體" w:hAnsi="標楷體" w:hint="eastAsia"/>
          <w:color w:val="000000"/>
        </w:rPr>
        <w:t>限用於大於</w:t>
      </w:r>
      <w:r w:rsidRPr="00DB71A0">
        <w:rPr>
          <w:rFonts w:ascii="標楷體" w:eastAsia="標楷體" w:hAnsi="標楷體"/>
          <w:color w:val="000000"/>
        </w:rPr>
        <w:t>12(</w:t>
      </w:r>
      <w:r w:rsidRPr="00DB71A0">
        <w:rPr>
          <w:rFonts w:ascii="標楷體" w:eastAsia="標楷體" w:hAnsi="標楷體" w:hint="eastAsia"/>
          <w:color w:val="000000"/>
        </w:rPr>
        <w:t>含</w:t>
      </w:r>
      <w:r w:rsidRPr="00DB71A0">
        <w:rPr>
          <w:rFonts w:ascii="標楷體" w:eastAsia="標楷體" w:hAnsi="標楷體"/>
          <w:color w:val="000000"/>
        </w:rPr>
        <w:t>)</w:t>
      </w:r>
      <w:r w:rsidRPr="00DB71A0">
        <w:rPr>
          <w:rFonts w:ascii="標楷體" w:eastAsia="標楷體" w:hAnsi="標楷體" w:hint="eastAsia"/>
          <w:color w:val="000000"/>
        </w:rPr>
        <w:t>歲</w:t>
      </w:r>
      <w:r w:rsidRPr="00DB71A0">
        <w:rPr>
          <w:rFonts w:ascii="標楷體" w:eastAsia="標楷體" w:hAnsi="標楷體"/>
          <w:color w:val="000000"/>
        </w:rPr>
        <w:t>A</w:t>
      </w:r>
      <w:r w:rsidRPr="00DB71A0">
        <w:rPr>
          <w:rFonts w:ascii="標楷體" w:eastAsia="標楷體" w:hAnsi="標楷體" w:hint="eastAsia"/>
          <w:color w:val="000000"/>
        </w:rPr>
        <w:t>型及</w:t>
      </w:r>
      <w:r w:rsidRPr="00DB71A0">
        <w:rPr>
          <w:rFonts w:ascii="標楷體" w:eastAsia="標楷體" w:hAnsi="標楷體"/>
          <w:color w:val="000000"/>
        </w:rPr>
        <w:t>B</w:t>
      </w:r>
      <w:r w:rsidRPr="00DB71A0">
        <w:rPr>
          <w:rFonts w:ascii="標楷體" w:eastAsia="標楷體" w:hAnsi="標楷體" w:hint="eastAsia"/>
          <w:color w:val="000000"/>
        </w:rPr>
        <w:t>型血友病且有抗體病人</w:t>
      </w:r>
      <w:r w:rsidRPr="00DB71A0">
        <w:rPr>
          <w:rFonts w:ascii="標楷體" w:eastAsia="標楷體" w:hAnsi="標楷體"/>
          <w:color w:val="000000"/>
        </w:rPr>
        <w:t>(</w:t>
      </w:r>
      <w:r w:rsidRPr="00DB71A0">
        <w:rPr>
          <w:rFonts w:ascii="標楷體" w:eastAsia="標楷體" w:hAnsi="標楷體" w:hint="eastAsia"/>
          <w:color w:val="000000"/>
        </w:rPr>
        <w:t>經</w:t>
      </w:r>
      <w:r w:rsidRPr="00DB71A0">
        <w:rPr>
          <w:rFonts w:ascii="標楷體" w:eastAsia="標楷體" w:hAnsi="標楷體"/>
          <w:color w:val="000000"/>
        </w:rPr>
        <w:t xml:space="preserve"> Bethesda</w:t>
      </w:r>
      <w:r w:rsidRPr="00DB71A0">
        <w:rPr>
          <w:rFonts w:ascii="標楷體" w:eastAsia="標楷體" w:hAnsi="標楷體" w:hint="eastAsia"/>
          <w:color w:val="000000"/>
        </w:rPr>
        <w:t>分析法證實帶有第八凝血因子或第九凝血因子抑制性抗體</w:t>
      </w:r>
      <w:r w:rsidRPr="00DB71A0">
        <w:rPr>
          <w:rFonts w:ascii="Times New Roman" w:eastAsia="標楷體" w:hAnsi="Times New Roman"/>
          <w:color w:val="000000"/>
        </w:rPr>
        <w:t>≥</w:t>
      </w:r>
      <w:r w:rsidRPr="00DB71A0">
        <w:rPr>
          <w:rFonts w:ascii="標楷體" w:eastAsia="標楷體" w:hAnsi="標楷體"/>
          <w:color w:val="000000"/>
        </w:rPr>
        <w:t>5.0BU)</w:t>
      </w:r>
      <w:r w:rsidRPr="00DB71A0">
        <w:rPr>
          <w:rFonts w:ascii="標楷體" w:eastAsia="標楷體" w:hAnsi="標楷體" w:hint="eastAsia"/>
          <w:color w:val="000000"/>
        </w:rPr>
        <w:t>之預防性治療。</w:t>
      </w:r>
    </w:p>
    <w:p w14:paraId="77A26B43" w14:textId="77777777" w:rsidR="00DB71A0" w:rsidRPr="00DB71A0" w:rsidRDefault="00DB71A0" w:rsidP="00DB71A0">
      <w:pPr>
        <w:pStyle w:val="af"/>
        <w:spacing w:line="300" w:lineRule="exact"/>
        <w:ind w:left="684" w:hanging="400"/>
        <w:rPr>
          <w:rFonts w:ascii="標楷體" w:eastAsia="標楷體" w:hAnsi="標楷體"/>
          <w:color w:val="000000"/>
        </w:rPr>
      </w:pPr>
      <w:r w:rsidRPr="00DB71A0">
        <w:rPr>
          <w:rFonts w:ascii="標楷體" w:eastAsia="標楷體" w:hAnsi="標楷體"/>
          <w:color w:val="000000"/>
        </w:rPr>
        <w:t>2.</w:t>
      </w:r>
      <w:r w:rsidRPr="00DB71A0">
        <w:rPr>
          <w:rFonts w:ascii="標楷體" w:eastAsia="標楷體" w:hAnsi="標楷體" w:hint="eastAsia"/>
          <w:color w:val="000000"/>
        </w:rPr>
        <w:t>開始使用</w:t>
      </w:r>
      <w:proofErr w:type="spellStart"/>
      <w:r w:rsidRPr="00DB71A0">
        <w:rPr>
          <w:rFonts w:ascii="標楷體" w:eastAsia="標楷體" w:hAnsi="標楷體"/>
          <w:color w:val="000000"/>
        </w:rPr>
        <w:t>concizumab</w:t>
      </w:r>
      <w:proofErr w:type="spellEnd"/>
      <w:r w:rsidRPr="00DB71A0">
        <w:rPr>
          <w:rFonts w:ascii="標楷體" w:eastAsia="標楷體" w:hAnsi="標楷體" w:hint="eastAsia"/>
          <w:color w:val="000000"/>
        </w:rPr>
        <w:t>前，</w:t>
      </w:r>
      <w:proofErr w:type="spellStart"/>
      <w:r w:rsidRPr="00DB71A0">
        <w:rPr>
          <w:rFonts w:ascii="標楷體" w:eastAsia="標楷體" w:hAnsi="標楷體"/>
          <w:color w:val="000000"/>
        </w:rPr>
        <w:t>rFVIIa</w:t>
      </w:r>
      <w:proofErr w:type="spellEnd"/>
      <w:r w:rsidRPr="00DB71A0">
        <w:rPr>
          <w:rFonts w:ascii="標楷體" w:eastAsia="標楷體" w:hAnsi="標楷體" w:hint="eastAsia"/>
          <w:color w:val="000000"/>
        </w:rPr>
        <w:t>治療應停用至少</w:t>
      </w:r>
      <w:r w:rsidRPr="00DB71A0">
        <w:rPr>
          <w:rFonts w:ascii="標楷體" w:eastAsia="標楷體" w:hAnsi="標楷體"/>
          <w:color w:val="000000"/>
        </w:rPr>
        <w:t>12</w:t>
      </w:r>
      <w:r w:rsidRPr="00DB71A0">
        <w:rPr>
          <w:rFonts w:ascii="標楷體" w:eastAsia="標楷體" w:hAnsi="標楷體" w:hint="eastAsia"/>
          <w:color w:val="000000"/>
        </w:rPr>
        <w:t>小時，活化凝血酶原複合物濃縮</w:t>
      </w:r>
      <w:r w:rsidRPr="00DB71A0">
        <w:rPr>
          <w:rFonts w:ascii="標楷體" w:eastAsia="標楷體" w:hAnsi="標楷體"/>
          <w:color w:val="000000"/>
        </w:rPr>
        <w:t>(</w:t>
      </w:r>
      <w:proofErr w:type="spellStart"/>
      <w:r w:rsidRPr="00DB71A0">
        <w:rPr>
          <w:rFonts w:ascii="標楷體" w:eastAsia="標楷體" w:hAnsi="標楷體"/>
          <w:color w:val="000000"/>
        </w:rPr>
        <w:t>aPCC</w:t>
      </w:r>
      <w:proofErr w:type="spellEnd"/>
      <w:r w:rsidRPr="00DB71A0">
        <w:rPr>
          <w:rFonts w:ascii="標楷體" w:eastAsia="標楷體" w:hAnsi="標楷體"/>
          <w:color w:val="000000"/>
        </w:rPr>
        <w:t>)</w:t>
      </w:r>
      <w:r w:rsidRPr="00DB71A0">
        <w:rPr>
          <w:rFonts w:ascii="標楷體" w:eastAsia="標楷體" w:hAnsi="標楷體" w:hint="eastAsia"/>
          <w:color w:val="000000"/>
        </w:rPr>
        <w:t>治療應停用至少</w:t>
      </w:r>
      <w:r w:rsidRPr="00DB71A0">
        <w:rPr>
          <w:rFonts w:ascii="標楷體" w:eastAsia="標楷體" w:hAnsi="標楷體"/>
          <w:color w:val="000000"/>
        </w:rPr>
        <w:t>48</w:t>
      </w:r>
      <w:r w:rsidRPr="00DB71A0">
        <w:rPr>
          <w:rFonts w:ascii="標楷體" w:eastAsia="標楷體" w:hAnsi="標楷體" w:hint="eastAsia"/>
          <w:color w:val="000000"/>
        </w:rPr>
        <w:t>小時，才能考慮開始使用。</w:t>
      </w:r>
    </w:p>
    <w:p w14:paraId="2CF9D4DD" w14:textId="77777777" w:rsidR="00DB71A0" w:rsidRPr="00DB71A0" w:rsidRDefault="00DB71A0" w:rsidP="00DB71A0">
      <w:pPr>
        <w:pStyle w:val="af"/>
        <w:spacing w:line="300" w:lineRule="exact"/>
        <w:ind w:left="684" w:hanging="400"/>
        <w:rPr>
          <w:rFonts w:ascii="標楷體" w:eastAsia="標楷體" w:hAnsi="標楷體"/>
          <w:color w:val="000000"/>
        </w:rPr>
      </w:pPr>
      <w:r w:rsidRPr="00DB71A0">
        <w:rPr>
          <w:rFonts w:ascii="標楷體" w:eastAsia="標楷體" w:hAnsi="標楷體" w:hint="eastAsia"/>
          <w:color w:val="000000"/>
        </w:rPr>
        <w:t>3.若發生突發性出血時，不須調整劑量。若需要額外的繞徑藥物治療，建議</w:t>
      </w:r>
      <w:proofErr w:type="gramStart"/>
      <w:r w:rsidRPr="00DB71A0">
        <w:rPr>
          <w:rFonts w:ascii="標楷體" w:eastAsia="標楷體" w:hAnsi="標楷體" w:hint="eastAsia"/>
          <w:color w:val="000000"/>
        </w:rPr>
        <w:t>依繞徑</w:t>
      </w:r>
      <w:proofErr w:type="gramEnd"/>
      <w:r w:rsidRPr="00DB71A0">
        <w:rPr>
          <w:rFonts w:ascii="標楷體" w:eastAsia="標楷體" w:hAnsi="標楷體" w:hint="eastAsia"/>
          <w:color w:val="000000"/>
        </w:rPr>
        <w:t>藥物核准仿單，使用最低核准劑量及用藥間隔。</w:t>
      </w:r>
    </w:p>
    <w:p w14:paraId="0767EEF1" w14:textId="77777777" w:rsidR="00DB71A0" w:rsidRPr="00DB71A0" w:rsidRDefault="00DB71A0" w:rsidP="00DB71A0">
      <w:pPr>
        <w:pStyle w:val="af"/>
        <w:spacing w:line="300" w:lineRule="exact"/>
        <w:ind w:left="684" w:hanging="400"/>
        <w:rPr>
          <w:rFonts w:ascii="標楷體" w:eastAsia="標楷體" w:hAnsi="標楷體"/>
          <w:color w:val="000000"/>
        </w:rPr>
      </w:pPr>
      <w:r w:rsidRPr="00DB71A0">
        <w:rPr>
          <w:rFonts w:ascii="標楷體" w:eastAsia="標楷體" w:hAnsi="標楷體" w:hint="eastAsia"/>
          <w:color w:val="000000"/>
        </w:rPr>
        <w:t>4.需經事前審查核准後使用，初次申請以6個月為限，確定維持劑量後，每次申請一年為限。每次給付期滿後，須再次申請並經核准後方得續用。申請續用時，需檢附醫療評估追蹤紀錄表(附表十八之五)、關節出血次數、是否有血栓副作用發生等資料。</w:t>
      </w:r>
    </w:p>
    <w:p w14:paraId="3946400F" w14:textId="77777777" w:rsidR="00DB71A0" w:rsidRPr="00DB71A0" w:rsidRDefault="00DB71A0" w:rsidP="00DB71A0">
      <w:pPr>
        <w:pStyle w:val="af"/>
        <w:spacing w:line="300" w:lineRule="exact"/>
        <w:ind w:left="684" w:hanging="400"/>
        <w:rPr>
          <w:rFonts w:ascii="標楷體" w:eastAsia="標楷體" w:hAnsi="標楷體"/>
          <w:color w:val="000000"/>
        </w:rPr>
      </w:pPr>
      <w:r w:rsidRPr="00DB71A0">
        <w:rPr>
          <w:rFonts w:ascii="標楷體" w:eastAsia="標楷體" w:hAnsi="標楷體" w:hint="eastAsia"/>
          <w:color w:val="000000"/>
        </w:rPr>
        <w:t>5.使用</w:t>
      </w:r>
      <w:proofErr w:type="spellStart"/>
      <w:r w:rsidRPr="00DB71A0">
        <w:rPr>
          <w:rFonts w:ascii="標楷體" w:eastAsia="標楷體" w:hAnsi="標楷體" w:hint="eastAsia"/>
          <w:color w:val="000000"/>
        </w:rPr>
        <w:t>concizumab</w:t>
      </w:r>
      <w:proofErr w:type="spellEnd"/>
      <w:r w:rsidRPr="00DB71A0">
        <w:rPr>
          <w:rFonts w:ascii="標楷體" w:eastAsia="標楷體" w:hAnsi="標楷體" w:hint="eastAsia"/>
          <w:color w:val="000000"/>
        </w:rPr>
        <w:t xml:space="preserve"> 4</w:t>
      </w:r>
      <w:proofErr w:type="gramStart"/>
      <w:r w:rsidRPr="00DB71A0">
        <w:rPr>
          <w:rFonts w:ascii="標楷體" w:eastAsia="標楷體" w:hAnsi="標楷體" w:hint="eastAsia"/>
          <w:color w:val="000000"/>
        </w:rPr>
        <w:t>週</w:t>
      </w:r>
      <w:proofErr w:type="gramEnd"/>
      <w:r w:rsidRPr="00DB71A0">
        <w:rPr>
          <w:rFonts w:ascii="標楷體" w:eastAsia="標楷體" w:hAnsi="標楷體" w:hint="eastAsia"/>
          <w:color w:val="000000"/>
        </w:rPr>
        <w:t>後必須檢附</w:t>
      </w:r>
      <w:proofErr w:type="spellStart"/>
      <w:r w:rsidRPr="00DB71A0">
        <w:rPr>
          <w:rFonts w:ascii="標楷體" w:eastAsia="標楷體" w:hAnsi="標楷體" w:hint="eastAsia"/>
          <w:color w:val="000000"/>
        </w:rPr>
        <w:t>concizumab</w:t>
      </w:r>
      <w:proofErr w:type="spellEnd"/>
      <w:r w:rsidRPr="00DB71A0">
        <w:rPr>
          <w:rFonts w:ascii="標楷體" w:eastAsia="標楷體" w:hAnsi="標楷體" w:hint="eastAsia"/>
          <w:color w:val="000000"/>
        </w:rPr>
        <w:t>血漿濃度，&gt;4,000ng/mL 給予0.15mg/kg；若使用0.25mg/kg，必須提出血中濃度&lt;200ng/mL。其他劑量為0.2mg/kg。</w:t>
      </w:r>
    </w:p>
    <w:p w14:paraId="5714553E" w14:textId="77777777" w:rsidR="00DB71A0" w:rsidRPr="00DB71A0" w:rsidRDefault="00DB71A0" w:rsidP="00DB71A0">
      <w:pPr>
        <w:pStyle w:val="af"/>
        <w:spacing w:line="300" w:lineRule="exact"/>
        <w:ind w:left="684" w:hanging="400"/>
        <w:rPr>
          <w:rFonts w:ascii="標楷體" w:eastAsia="標楷體" w:hAnsi="標楷體"/>
          <w:color w:val="000000"/>
        </w:rPr>
      </w:pPr>
      <w:r w:rsidRPr="00DB71A0">
        <w:rPr>
          <w:rFonts w:ascii="標楷體" w:eastAsia="標楷體" w:hAnsi="標楷體" w:hint="eastAsia"/>
          <w:color w:val="000000"/>
        </w:rPr>
        <w:t>6.門診之血友病</w:t>
      </w:r>
      <w:proofErr w:type="gramStart"/>
      <w:r w:rsidRPr="00DB71A0">
        <w:rPr>
          <w:rFonts w:ascii="標楷體" w:eastAsia="標楷體" w:hAnsi="標楷體" w:hint="eastAsia"/>
          <w:color w:val="000000"/>
        </w:rPr>
        <w:t>人得攜回</w:t>
      </w:r>
      <w:proofErr w:type="gramEnd"/>
      <w:r w:rsidRPr="00DB71A0">
        <w:rPr>
          <w:rFonts w:ascii="標楷體" w:eastAsia="標楷體" w:hAnsi="標楷體" w:hint="eastAsia"/>
          <w:color w:val="000000"/>
        </w:rPr>
        <w:t>至多一個月藥量備用，繼續治療時，比照</w:t>
      </w:r>
      <w:proofErr w:type="gramStart"/>
      <w:r w:rsidRPr="00DB71A0">
        <w:rPr>
          <w:rFonts w:ascii="標楷體" w:eastAsia="標楷體" w:hAnsi="標楷體" w:hint="eastAsia"/>
          <w:color w:val="000000"/>
        </w:rPr>
        <w:t>化療以</w:t>
      </w:r>
      <w:proofErr w:type="gramEnd"/>
      <w:r w:rsidRPr="00DB71A0">
        <w:rPr>
          <w:rFonts w:ascii="標楷體" w:eastAsia="標楷體" w:hAnsi="標楷體" w:hint="eastAsia"/>
          <w:color w:val="000000"/>
        </w:rPr>
        <w:t>「療程」方式處理，並查驗上次治療紀錄（如附表十八之七</w:t>
      </w:r>
      <w:proofErr w:type="gramStart"/>
      <w:r w:rsidRPr="00DB71A0">
        <w:rPr>
          <w:rFonts w:ascii="標楷體" w:eastAsia="標楷體" w:hAnsi="標楷體" w:hint="eastAsia"/>
          <w:color w:val="000000"/>
        </w:rPr>
        <w:t>─</w:t>
      </w:r>
      <w:proofErr w:type="gramEnd"/>
      <w:r w:rsidRPr="00DB71A0">
        <w:rPr>
          <w:rFonts w:ascii="標楷體" w:eastAsia="標楷體" w:hAnsi="標楷體" w:hint="eastAsia"/>
          <w:color w:val="000000"/>
        </w:rPr>
        <w:t>全民健康保險血友病患者使用</w:t>
      </w:r>
      <w:proofErr w:type="spellStart"/>
      <w:r w:rsidRPr="00DB71A0">
        <w:rPr>
          <w:rFonts w:ascii="標楷體" w:eastAsia="標楷體" w:hAnsi="標楷體" w:hint="eastAsia"/>
          <w:color w:val="000000"/>
        </w:rPr>
        <w:t>Alhemo</w:t>
      </w:r>
      <w:proofErr w:type="spellEnd"/>
      <w:r w:rsidRPr="00DB71A0">
        <w:rPr>
          <w:rFonts w:ascii="標楷體" w:eastAsia="標楷體" w:hAnsi="標楷體" w:hint="eastAsia"/>
          <w:color w:val="000000"/>
        </w:rPr>
        <w:t xml:space="preserve"> (</w:t>
      </w:r>
      <w:proofErr w:type="spellStart"/>
      <w:r w:rsidRPr="00DB71A0">
        <w:rPr>
          <w:rFonts w:ascii="標楷體" w:eastAsia="標楷體" w:hAnsi="標楷體" w:hint="eastAsia"/>
          <w:color w:val="000000"/>
        </w:rPr>
        <w:t>concizumab</w:t>
      </w:r>
      <w:proofErr w:type="spellEnd"/>
      <w:r w:rsidRPr="00DB71A0">
        <w:rPr>
          <w:rFonts w:ascii="標楷體" w:eastAsia="標楷體" w:hAnsi="標楷體" w:hint="eastAsia"/>
          <w:color w:val="000000"/>
        </w:rPr>
        <w:t>)在家治療紀錄）及登錄醫療評估追蹤紀錄表(附表十八之五)。</w:t>
      </w:r>
    </w:p>
    <w:p w14:paraId="37A72EB0" w14:textId="4CFC3E32" w:rsidR="00DB71A0" w:rsidRDefault="00DB71A0" w:rsidP="00DB71A0">
      <w:pPr>
        <w:pStyle w:val="af"/>
        <w:spacing w:line="300" w:lineRule="exact"/>
        <w:ind w:left="684" w:hanging="400"/>
        <w:rPr>
          <w:rFonts w:ascii="標楷體" w:eastAsia="標楷體" w:hAnsi="標楷體"/>
          <w:color w:val="000000"/>
        </w:rPr>
      </w:pPr>
      <w:r w:rsidRPr="00DB71A0">
        <w:rPr>
          <w:rFonts w:ascii="標楷體" w:eastAsia="標楷體" w:hAnsi="標楷體" w:hint="eastAsia"/>
          <w:color w:val="000000"/>
        </w:rPr>
        <w:t>7.不得與雙特異性單株抗體藥物(如</w:t>
      </w:r>
      <w:proofErr w:type="spellStart"/>
      <w:r w:rsidRPr="00DB71A0">
        <w:rPr>
          <w:rFonts w:ascii="標楷體" w:eastAsia="標楷體" w:hAnsi="標楷體" w:hint="eastAsia"/>
          <w:color w:val="000000"/>
        </w:rPr>
        <w:t>emicizumab</w:t>
      </w:r>
      <w:proofErr w:type="spellEnd"/>
      <w:r w:rsidRPr="00DB71A0">
        <w:rPr>
          <w:rFonts w:ascii="標楷體" w:eastAsia="標楷體" w:hAnsi="標楷體" w:hint="eastAsia"/>
          <w:color w:val="000000"/>
        </w:rPr>
        <w:t>)及</w:t>
      </w:r>
      <w:proofErr w:type="spellStart"/>
      <w:r w:rsidRPr="00DB71A0">
        <w:rPr>
          <w:rFonts w:ascii="標楷體" w:eastAsia="標楷體" w:hAnsi="標楷體" w:hint="eastAsia"/>
          <w:color w:val="000000"/>
        </w:rPr>
        <w:t>fitusiran</w:t>
      </w:r>
      <w:proofErr w:type="spellEnd"/>
      <w:proofErr w:type="gramStart"/>
      <w:r w:rsidRPr="00DB71A0">
        <w:rPr>
          <w:rFonts w:ascii="標楷體" w:eastAsia="標楷體" w:hAnsi="標楷體" w:hint="eastAsia"/>
          <w:color w:val="000000"/>
        </w:rPr>
        <w:t>併</w:t>
      </w:r>
      <w:proofErr w:type="gramEnd"/>
      <w:r w:rsidRPr="00DB71A0">
        <w:rPr>
          <w:rFonts w:ascii="標楷體" w:eastAsia="標楷體" w:hAnsi="標楷體" w:hint="eastAsia"/>
          <w:color w:val="000000"/>
        </w:rPr>
        <w:t>用。</w:t>
      </w:r>
    </w:p>
    <w:p w14:paraId="3DE76C07" w14:textId="450DA60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4.3.其他</w:t>
      </w:r>
    </w:p>
    <w:p w14:paraId="72282BF8"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4.3.1.Deferasirox（如</w:t>
      </w:r>
      <w:proofErr w:type="spellStart"/>
      <w:r>
        <w:rPr>
          <w:rFonts w:ascii="標楷體" w:eastAsia="標楷體" w:hAnsi="標楷體"/>
          <w:color w:val="000000"/>
        </w:rPr>
        <w:t>Exjade</w:t>
      </w:r>
      <w:proofErr w:type="spellEnd"/>
      <w:r>
        <w:rPr>
          <w:rFonts w:ascii="標楷體" w:eastAsia="標楷體" w:hAnsi="標楷體"/>
          <w:color w:val="000000"/>
        </w:rPr>
        <w:t>、</w:t>
      </w:r>
      <w:proofErr w:type="spellStart"/>
      <w:r>
        <w:rPr>
          <w:rFonts w:ascii="標楷體" w:eastAsia="標楷體" w:hAnsi="標楷體"/>
          <w:color w:val="000000"/>
        </w:rPr>
        <w:t>Jadenu</w:t>
      </w:r>
      <w:proofErr w:type="spellEnd"/>
      <w:r>
        <w:rPr>
          <w:rFonts w:ascii="標楷體" w:eastAsia="標楷體" w:hAnsi="標楷體"/>
          <w:color w:val="000000"/>
        </w:rPr>
        <w:t>）(96/7/1、104/12/1、108/7/1)：</w:t>
      </w:r>
    </w:p>
    <w:p w14:paraId="0A2BCAB9" w14:textId="77777777" w:rsidR="00401786" w:rsidRDefault="00C64FB3" w:rsidP="0009639E">
      <w:pPr>
        <w:spacing w:line="300" w:lineRule="exact"/>
        <w:ind w:left="797"/>
        <w:rPr>
          <w:rFonts w:ascii="標楷體" w:eastAsia="標楷體" w:hAnsi="標楷體"/>
          <w:color w:val="000000"/>
        </w:rPr>
      </w:pPr>
      <w:r>
        <w:rPr>
          <w:rFonts w:ascii="標楷體" w:eastAsia="標楷體" w:hAnsi="標楷體"/>
          <w:color w:val="000000"/>
        </w:rPr>
        <w:t>限用於治療因輸血而導致慢性鐵質沉著症（輸血性血鐵質</w:t>
      </w:r>
      <w:proofErr w:type="gramStart"/>
      <w:r>
        <w:rPr>
          <w:rFonts w:ascii="標楷體" w:eastAsia="標楷體" w:hAnsi="標楷體"/>
          <w:color w:val="000000"/>
        </w:rPr>
        <w:t>沉</w:t>
      </w:r>
      <w:proofErr w:type="gramEnd"/>
      <w:r>
        <w:rPr>
          <w:rFonts w:ascii="標楷體" w:eastAsia="標楷體" w:hAnsi="標楷體"/>
          <w:color w:val="000000"/>
        </w:rPr>
        <w:t>積）的成年人及2歲以上兒童患者且符合下列條件之</w:t>
      </w:r>
      <w:proofErr w:type="gramStart"/>
      <w:r>
        <w:rPr>
          <w:rFonts w:ascii="標楷體" w:eastAsia="標楷體" w:hAnsi="標楷體"/>
          <w:color w:val="000000"/>
        </w:rPr>
        <w:t>一</w:t>
      </w:r>
      <w:proofErr w:type="gramEnd"/>
      <w:r>
        <w:rPr>
          <w:rFonts w:ascii="標楷體" w:eastAsia="標楷體" w:hAnsi="標楷體"/>
          <w:color w:val="000000"/>
        </w:rPr>
        <w:t>者：</w:t>
      </w:r>
    </w:p>
    <w:p w14:paraId="4D0CD7F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1.重型海洋性貧血或骨髓造血功能不良症候群、再生不良性貧血患者。</w:t>
      </w:r>
    </w:p>
    <w:p w14:paraId="00C6513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2.需長期輸血治療且已</w:t>
      </w:r>
      <w:proofErr w:type="gramStart"/>
      <w:r>
        <w:rPr>
          <w:rFonts w:ascii="標楷體" w:eastAsia="標楷體" w:hAnsi="標楷體"/>
          <w:color w:val="000000"/>
        </w:rPr>
        <w:t>併</w:t>
      </w:r>
      <w:proofErr w:type="gramEnd"/>
      <w:r>
        <w:rPr>
          <w:rFonts w:ascii="標楷體" w:eastAsia="標楷體" w:hAnsi="標楷體"/>
          <w:color w:val="000000"/>
        </w:rPr>
        <w:t>有鐵質</w:t>
      </w:r>
      <w:proofErr w:type="gramStart"/>
      <w:r>
        <w:rPr>
          <w:rFonts w:ascii="標楷體" w:eastAsia="標楷體" w:hAnsi="標楷體"/>
          <w:color w:val="000000"/>
        </w:rPr>
        <w:t>沉</w:t>
      </w:r>
      <w:proofErr w:type="gramEnd"/>
      <w:r>
        <w:rPr>
          <w:rFonts w:ascii="標楷體" w:eastAsia="標楷體" w:hAnsi="標楷體"/>
          <w:color w:val="000000"/>
        </w:rPr>
        <w:t>積之患者，則在患者血清內鐵蛋白（Ferritin）＞ 2000ug/L時使用。</w:t>
      </w:r>
    </w:p>
    <w:p w14:paraId="532651B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3.中型(非輸血依賴)海洋性貧血患者：(104/12/1)</w:t>
      </w:r>
    </w:p>
    <w:p w14:paraId="0019D62B" w14:textId="77777777" w:rsidR="00401786" w:rsidRDefault="00C64FB3" w:rsidP="0009639E">
      <w:pPr>
        <w:spacing w:line="300" w:lineRule="exact"/>
        <w:ind w:left="1147" w:hanging="377"/>
        <w:rPr>
          <w:rFonts w:ascii="標楷體" w:eastAsia="標楷體" w:hAnsi="標楷體"/>
          <w:color w:val="000000"/>
        </w:rPr>
      </w:pPr>
      <w:r>
        <w:rPr>
          <w:rFonts w:ascii="標楷體" w:eastAsia="標楷體" w:hAnsi="標楷體"/>
          <w:color w:val="000000"/>
        </w:rPr>
        <w:t>(1)使用條件：病患已開始長期接受輸血治療(即一年輸血兩次以上或四個單位以上者)，且血清內鐵蛋白（Ferritin）＞ 800μg/L(至少二次檢查確認，檢查之間隔需經過至少3個月，並排除感染及發炎等狀況)或肝臟鐵質（Liver iron content）&gt; 7mg/g dry weight者。</w:t>
      </w:r>
    </w:p>
    <w:p w14:paraId="7A39D1C9" w14:textId="77777777" w:rsidR="00401786" w:rsidRDefault="00C64FB3" w:rsidP="0009639E">
      <w:pPr>
        <w:spacing w:line="300" w:lineRule="exact"/>
        <w:ind w:left="1147" w:hanging="377"/>
        <w:rPr>
          <w:rFonts w:ascii="標楷體" w:eastAsia="標楷體" w:hAnsi="標楷體"/>
          <w:color w:val="000000"/>
        </w:rPr>
      </w:pPr>
      <w:r>
        <w:rPr>
          <w:rFonts w:ascii="標楷體" w:eastAsia="標楷體" w:hAnsi="標楷體"/>
          <w:color w:val="000000"/>
        </w:rPr>
        <w:t>(2)當肝臟鐵質&lt; 3mg/g dry weight，或血清內鐵蛋白（Ferritin）&lt; 300μg/L時即停藥。</w:t>
      </w:r>
    </w:p>
    <w:p w14:paraId="173205A2" w14:textId="77777777" w:rsidR="00401786" w:rsidRDefault="00521B12" w:rsidP="0009639E">
      <w:pPr>
        <w:pStyle w:val="af"/>
        <w:spacing w:line="300" w:lineRule="exact"/>
        <w:ind w:left="684" w:hanging="684"/>
      </w:pPr>
      <w:r w:rsidRPr="0025278E">
        <w:rPr>
          <w:rFonts w:ascii="標楷體" w:eastAsia="標楷體" w:hAnsi="標楷體"/>
          <w:color w:val="000000"/>
        </w:rPr>
        <w:t>4.3.2.Eltrombopag(如</w:t>
      </w:r>
      <w:proofErr w:type="spellStart"/>
      <w:r w:rsidRPr="0025278E">
        <w:rPr>
          <w:rFonts w:ascii="標楷體" w:eastAsia="標楷體" w:hAnsi="標楷體"/>
          <w:color w:val="000000"/>
        </w:rPr>
        <w:t>Revolade</w:t>
      </w:r>
      <w:proofErr w:type="spellEnd"/>
      <w:r w:rsidRPr="0025278E">
        <w:rPr>
          <w:rFonts w:ascii="標楷體" w:eastAsia="標楷體" w:hAnsi="標楷體"/>
          <w:color w:val="000000"/>
        </w:rPr>
        <w:t>)、romiplostim(如</w:t>
      </w:r>
      <w:proofErr w:type="spellStart"/>
      <w:r w:rsidRPr="0025278E">
        <w:rPr>
          <w:rFonts w:ascii="標楷體" w:eastAsia="標楷體" w:hAnsi="標楷體"/>
          <w:color w:val="000000"/>
        </w:rPr>
        <w:t>Romiplate</w:t>
      </w:r>
      <w:proofErr w:type="spellEnd"/>
      <w:r w:rsidRPr="0025278E">
        <w:rPr>
          <w:rFonts w:ascii="標楷體" w:eastAsia="標楷體" w:hAnsi="標楷體"/>
          <w:color w:val="000000"/>
        </w:rPr>
        <w:t xml:space="preserve">) </w:t>
      </w:r>
      <w:proofErr w:type="gramStart"/>
      <w:r w:rsidRPr="0025278E">
        <w:rPr>
          <w:rFonts w:ascii="標楷體" w:eastAsia="標楷體" w:hAnsi="標楷體"/>
          <w:color w:val="000000"/>
        </w:rPr>
        <w:t>（</w:t>
      </w:r>
      <w:proofErr w:type="gramEnd"/>
      <w:r w:rsidRPr="0025278E">
        <w:rPr>
          <w:rFonts w:ascii="標楷體" w:eastAsia="標楷體" w:hAnsi="標楷體"/>
          <w:color w:val="000000"/>
        </w:rPr>
        <w:t>100/8/1、101/9/1、102/8/1、102/9/1、105/8/1、106/4/1、108/6/1、109/2/1</w:t>
      </w:r>
      <w:r w:rsidRPr="0025278E">
        <w:rPr>
          <w:rFonts w:ascii="標楷體" w:eastAsia="標楷體" w:hAnsi="標楷體" w:hint="eastAsia"/>
          <w:color w:val="000000"/>
        </w:rPr>
        <w:t>、115/3/1</w:t>
      </w:r>
      <w:r w:rsidRPr="0025278E">
        <w:rPr>
          <w:rFonts w:ascii="標楷體" w:eastAsia="標楷體" w:hAnsi="標楷體"/>
          <w:color w:val="000000"/>
        </w:rPr>
        <w:t>)</w:t>
      </w:r>
    </w:p>
    <w:p w14:paraId="750ED178" w14:textId="77777777" w:rsidR="00521B12" w:rsidRPr="0025278E" w:rsidRDefault="00521B12" w:rsidP="00521B12">
      <w:pPr>
        <w:spacing w:line="400" w:lineRule="exact"/>
        <w:rPr>
          <w:rFonts w:ascii="標楷體" w:eastAsia="標楷體" w:hAnsi="標楷體"/>
          <w:color w:val="000000"/>
        </w:rPr>
      </w:pPr>
      <w:r w:rsidRPr="0025278E">
        <w:rPr>
          <w:rFonts w:ascii="標楷體" w:eastAsia="標楷體" w:hAnsi="標楷體"/>
          <w:color w:val="000000"/>
        </w:rPr>
        <w:lastRenderedPageBreak/>
        <w:t>4.3.2.1.Eltrombopag (如</w:t>
      </w:r>
      <w:proofErr w:type="spellStart"/>
      <w:r w:rsidRPr="0025278E">
        <w:rPr>
          <w:rFonts w:ascii="標楷體" w:eastAsia="標楷體" w:hAnsi="標楷體"/>
          <w:color w:val="000000"/>
        </w:rPr>
        <w:t>Revolade</w:t>
      </w:r>
      <w:proofErr w:type="spellEnd"/>
      <w:r w:rsidRPr="0025278E">
        <w:rPr>
          <w:rFonts w:ascii="標楷體" w:eastAsia="標楷體" w:hAnsi="標楷體"/>
          <w:color w:val="000000"/>
        </w:rPr>
        <w:t>)(108/6/1、109/2/1、112/1/1</w:t>
      </w:r>
      <w:r w:rsidRPr="0025278E">
        <w:rPr>
          <w:rFonts w:ascii="標楷體" w:eastAsia="標楷體" w:hAnsi="標楷體" w:hint="eastAsia"/>
          <w:color w:val="000000"/>
        </w:rPr>
        <w:t>、115/3/1</w:t>
      </w:r>
      <w:r w:rsidRPr="0025278E">
        <w:rPr>
          <w:rFonts w:ascii="標楷體" w:eastAsia="標楷體" w:hAnsi="標楷體"/>
          <w:color w:val="000000"/>
        </w:rPr>
        <w:t>)</w:t>
      </w:r>
    </w:p>
    <w:p w14:paraId="5486DC95" w14:textId="77777777" w:rsidR="00521B12" w:rsidRPr="0025278E" w:rsidRDefault="00521B12" w:rsidP="002144EC">
      <w:pPr>
        <w:pStyle w:val="af"/>
        <w:numPr>
          <w:ilvl w:val="0"/>
          <w:numId w:val="158"/>
        </w:numPr>
        <w:suppressAutoHyphens w:val="0"/>
        <w:autoSpaceDN/>
        <w:spacing w:line="400" w:lineRule="exact"/>
        <w:ind w:left="851" w:hanging="284"/>
        <w:textAlignment w:val="auto"/>
        <w:rPr>
          <w:rFonts w:ascii="標楷體" w:eastAsia="標楷體" w:hAnsi="標楷體"/>
          <w:color w:val="000000"/>
        </w:rPr>
      </w:pPr>
      <w:r w:rsidRPr="0025278E">
        <w:rPr>
          <w:rFonts w:ascii="標楷體" w:eastAsia="標楷體" w:hAnsi="標楷體"/>
          <w:color w:val="000000"/>
        </w:rPr>
        <w:t>限用於</w:t>
      </w:r>
      <w:r w:rsidRPr="0025278E">
        <w:rPr>
          <w:rFonts w:ascii="標楷體" w:eastAsia="標楷體" w:hAnsi="標楷體" w:hint="eastAsia"/>
        </w:rPr>
        <w:t>6歲以上至未滿18歲</w:t>
      </w:r>
      <w:r w:rsidRPr="0025278E">
        <w:rPr>
          <w:rFonts w:ascii="標楷體" w:eastAsia="標楷體" w:cs="標楷體" w:hint="eastAsia"/>
        </w:rPr>
        <w:t>持續6個月以上之自發性(免疫性)血小板缺乏</w:t>
      </w:r>
      <w:proofErr w:type="gramStart"/>
      <w:r w:rsidRPr="0025278E">
        <w:rPr>
          <w:rFonts w:ascii="標楷體" w:eastAsia="標楷體" w:cs="標楷體" w:hint="eastAsia"/>
        </w:rPr>
        <w:t>紫斑症</w:t>
      </w:r>
      <w:proofErr w:type="gramEnd"/>
      <w:r w:rsidRPr="0025278E">
        <w:rPr>
          <w:rFonts w:ascii="標楷體" w:eastAsia="標楷體" w:cs="標楷體" w:hint="eastAsia"/>
        </w:rPr>
        <w:t>(ITP)病人</w:t>
      </w:r>
      <w:r w:rsidRPr="0025278E">
        <w:rPr>
          <w:rFonts w:ascii="新細明體" w:hAnsi="新細明體" w:cs="標楷體" w:hint="eastAsia"/>
        </w:rPr>
        <w:t>，</w:t>
      </w:r>
      <w:r w:rsidRPr="0025278E">
        <w:rPr>
          <w:rFonts w:ascii="標楷體" w:eastAsia="標楷體" w:cs="標楷體" w:hint="eastAsia"/>
          <w:color w:val="000000"/>
        </w:rPr>
        <w:t>或是</w:t>
      </w:r>
      <w:r w:rsidRPr="0025278E">
        <w:rPr>
          <w:rFonts w:ascii="標楷體" w:eastAsia="標楷體" w:hAnsi="標楷體" w:hint="eastAsia"/>
          <w:color w:val="000000"/>
        </w:rPr>
        <w:t>18</w:t>
      </w:r>
      <w:r w:rsidRPr="0025278E">
        <w:rPr>
          <w:rFonts w:ascii="標楷體" w:eastAsia="標楷體" w:hAnsi="標楷體"/>
          <w:color w:val="000000"/>
        </w:rPr>
        <w:t>歲以上之</w:t>
      </w:r>
      <w:r w:rsidRPr="0025278E">
        <w:rPr>
          <w:rFonts w:ascii="標楷體" w:eastAsia="標楷體" w:cs="標楷體" w:hint="eastAsia"/>
          <w:color w:val="000000"/>
        </w:rPr>
        <w:t>自發性(免疫性)血小板缺乏</w:t>
      </w:r>
      <w:proofErr w:type="gramStart"/>
      <w:r w:rsidRPr="0025278E">
        <w:rPr>
          <w:rFonts w:ascii="標楷體" w:eastAsia="標楷體" w:cs="標楷體" w:hint="eastAsia"/>
          <w:color w:val="000000"/>
        </w:rPr>
        <w:t>紫斑症</w:t>
      </w:r>
      <w:proofErr w:type="gramEnd"/>
      <w:r w:rsidRPr="0025278E">
        <w:rPr>
          <w:rFonts w:ascii="標楷體" w:eastAsia="標楷體" w:cs="標楷體" w:hint="eastAsia"/>
          <w:color w:val="000000"/>
        </w:rPr>
        <w:t>(ITP)病人，需經</w:t>
      </w:r>
      <w:r w:rsidRPr="0025278E">
        <w:rPr>
          <w:rFonts w:ascii="標楷體" w:eastAsia="標楷體" w:hAnsi="標楷體" w:hint="eastAsia"/>
          <w:color w:val="000000"/>
        </w:rPr>
        <w:t>類固醇標準劑量或免疫球蛋白治療失敗</w:t>
      </w:r>
      <w:r w:rsidRPr="0025278E">
        <w:rPr>
          <w:rFonts w:ascii="新細明體" w:hAnsi="新細明體" w:hint="eastAsia"/>
          <w:color w:val="000000"/>
        </w:rPr>
        <w:t>；</w:t>
      </w:r>
      <w:r w:rsidRPr="0025278E">
        <w:rPr>
          <w:rFonts w:ascii="標楷體" w:eastAsia="標楷體" w:hAnsi="標楷體" w:hint="eastAsia"/>
          <w:color w:val="000000"/>
        </w:rPr>
        <w:t>若因特殊情況不適合類固醇標準劑量治療而以低劑量或其他治療替代者須於病歷說明理由</w:t>
      </w:r>
      <w:r w:rsidRPr="0025278E">
        <w:rPr>
          <w:rFonts w:ascii="新細明體" w:hAnsi="新細明體" w:hint="eastAsia"/>
          <w:color w:val="000000"/>
        </w:rPr>
        <w:t>。</w:t>
      </w:r>
      <w:r w:rsidRPr="0025278E">
        <w:rPr>
          <w:rFonts w:ascii="標楷體" w:eastAsia="標楷體" w:hAnsi="標楷體"/>
          <w:color w:val="000000"/>
        </w:rPr>
        <w:t>且符合下列情況之</w:t>
      </w:r>
      <w:proofErr w:type="gramStart"/>
      <w:r w:rsidRPr="0025278E">
        <w:rPr>
          <w:rFonts w:ascii="標楷體" w:eastAsia="標楷體" w:hAnsi="標楷體"/>
          <w:color w:val="000000"/>
        </w:rPr>
        <w:t>一</w:t>
      </w:r>
      <w:proofErr w:type="gramEnd"/>
      <w:r w:rsidRPr="0025278E">
        <w:rPr>
          <w:rFonts w:ascii="標楷體" w:eastAsia="標楷體" w:hAnsi="標楷體"/>
          <w:color w:val="000000"/>
        </w:rPr>
        <w:t>者</w:t>
      </w:r>
      <w:r w:rsidRPr="0025278E">
        <w:rPr>
          <w:rFonts w:ascii="標楷體" w:eastAsia="標楷體" w:hAnsi="標楷體" w:hint="eastAsia"/>
          <w:color w:val="000000"/>
        </w:rPr>
        <w:t>方可</w:t>
      </w:r>
      <w:r w:rsidRPr="0025278E">
        <w:rPr>
          <w:rFonts w:ascii="標楷體" w:eastAsia="標楷體" w:hAnsi="標楷體"/>
          <w:color w:val="000000"/>
        </w:rPr>
        <w:t>使用</w:t>
      </w:r>
      <w:r w:rsidRPr="0025278E">
        <w:rPr>
          <w:rFonts w:ascii="標楷體" w:eastAsia="標楷體" w:hAnsi="標楷體" w:hint="eastAsia"/>
          <w:color w:val="000000"/>
        </w:rPr>
        <w:t>：</w:t>
      </w:r>
      <w:r w:rsidRPr="0025278E">
        <w:rPr>
          <w:rFonts w:ascii="標楷體" w:eastAsia="標楷體" w:hAnsi="標楷體"/>
          <w:color w:val="000000"/>
        </w:rPr>
        <w:t>(105/8/1、106/4/1、108/6/1、109/2/1、111/2/1</w:t>
      </w:r>
      <w:r w:rsidRPr="0025278E">
        <w:rPr>
          <w:rFonts w:ascii="標楷體" w:eastAsia="標楷體" w:hAnsi="標楷體" w:hint="eastAsia"/>
          <w:color w:val="000000"/>
        </w:rPr>
        <w:t>、115/3/1</w:t>
      </w:r>
      <w:r w:rsidRPr="0025278E">
        <w:rPr>
          <w:rFonts w:ascii="標楷體" w:eastAsia="標楷體" w:hAnsi="標楷體"/>
          <w:color w:val="000000"/>
        </w:rPr>
        <w:t>)</w:t>
      </w:r>
    </w:p>
    <w:p w14:paraId="54C920DC" w14:textId="77777777" w:rsidR="00521B12" w:rsidRPr="0025278E" w:rsidRDefault="00521B12" w:rsidP="002144EC">
      <w:pPr>
        <w:numPr>
          <w:ilvl w:val="0"/>
          <w:numId w:val="153"/>
        </w:numPr>
        <w:suppressAutoHyphens w:val="0"/>
        <w:autoSpaceDN/>
        <w:spacing w:line="400" w:lineRule="exact"/>
        <w:ind w:leftChars="294" w:left="706" w:firstLineChars="177" w:firstLine="425"/>
        <w:textAlignment w:val="auto"/>
        <w:rPr>
          <w:rFonts w:ascii="標楷體" w:eastAsia="標楷體" w:cs="標楷體"/>
          <w:color w:val="000000"/>
          <w:kern w:val="0"/>
        </w:rPr>
      </w:pPr>
      <w:r w:rsidRPr="0025278E">
        <w:rPr>
          <w:rFonts w:ascii="標楷體" w:eastAsia="標楷體" w:cs="標楷體" w:hint="eastAsia"/>
          <w:color w:val="000000"/>
          <w:kern w:val="0"/>
        </w:rPr>
        <w:t>未</w:t>
      </w:r>
      <w:r w:rsidRPr="0025278E">
        <w:rPr>
          <w:rFonts w:ascii="標楷體" w:eastAsia="標楷體" w:hAnsi="標楷體"/>
          <w:color w:val="000000"/>
        </w:rPr>
        <w:t>曾接受脾臟切除患者，且符合下列所有條件：(109/2/1</w:t>
      </w:r>
      <w:r w:rsidRPr="0025278E">
        <w:rPr>
          <w:rFonts w:ascii="標楷體" w:eastAsia="標楷體" w:hAnsi="標楷體"/>
        </w:rPr>
        <w:t>、112/1/1</w:t>
      </w:r>
      <w:r w:rsidRPr="0025278E">
        <w:rPr>
          <w:rFonts w:ascii="標楷體" w:eastAsia="標楷體" w:hAnsi="標楷體" w:hint="eastAsia"/>
          <w:color w:val="000000"/>
        </w:rPr>
        <w:t>、115/3/1</w:t>
      </w:r>
      <w:r w:rsidRPr="0025278E">
        <w:rPr>
          <w:rFonts w:ascii="標楷體" w:eastAsia="標楷體" w:hAnsi="標楷體"/>
          <w:color w:val="000000"/>
        </w:rPr>
        <w:t>)</w:t>
      </w:r>
    </w:p>
    <w:p w14:paraId="42FE84DE" w14:textId="77777777" w:rsidR="00521B12" w:rsidRPr="0025278E" w:rsidRDefault="00521B12" w:rsidP="002144EC">
      <w:pPr>
        <w:numPr>
          <w:ilvl w:val="0"/>
          <w:numId w:val="154"/>
        </w:numPr>
        <w:suppressAutoHyphens w:val="0"/>
        <w:autoSpaceDN/>
        <w:spacing w:line="400" w:lineRule="exact"/>
        <w:ind w:leftChars="292" w:left="701" w:firstLineChars="121" w:firstLine="290"/>
        <w:textAlignment w:val="auto"/>
        <w:rPr>
          <w:rFonts w:ascii="標楷體" w:eastAsia="標楷體" w:cs="標楷體"/>
          <w:color w:val="000000"/>
          <w:kern w:val="0"/>
        </w:rPr>
      </w:pPr>
      <w:r w:rsidRPr="0025278E">
        <w:rPr>
          <w:rFonts w:ascii="標楷體" w:eastAsia="標楷體" w:cs="標楷體" w:hint="eastAsia"/>
          <w:color w:val="000000"/>
          <w:kern w:val="0"/>
        </w:rPr>
        <w:t>需接受計畫性手術或侵入性檢查並具出血危險者，且血小板＜80,000/</w:t>
      </w:r>
      <w:proofErr w:type="spellStart"/>
      <w:r w:rsidRPr="0025278E">
        <w:rPr>
          <w:rFonts w:ascii="標楷體" w:eastAsia="標楷體" w:cs="標楷體" w:hint="eastAsia"/>
          <w:color w:val="000000"/>
          <w:kern w:val="0"/>
        </w:rPr>
        <w:t>uL</w:t>
      </w:r>
      <w:proofErr w:type="spellEnd"/>
      <w:r w:rsidRPr="0025278E">
        <w:rPr>
          <w:rFonts w:ascii="標楷體" w:eastAsia="標楷體" w:cs="標楷體" w:hint="eastAsia"/>
          <w:color w:val="000000"/>
          <w:kern w:val="0"/>
        </w:rPr>
        <w:t>。</w:t>
      </w:r>
    </w:p>
    <w:p w14:paraId="393C1689" w14:textId="77777777" w:rsidR="00521B12" w:rsidRPr="0025278E" w:rsidRDefault="00521B12" w:rsidP="002144EC">
      <w:pPr>
        <w:numPr>
          <w:ilvl w:val="0"/>
          <w:numId w:val="154"/>
        </w:numPr>
        <w:suppressAutoHyphens w:val="0"/>
        <w:autoSpaceDN/>
        <w:spacing w:line="400" w:lineRule="exact"/>
        <w:ind w:leftChars="413" w:left="991" w:firstLine="1"/>
        <w:textAlignment w:val="auto"/>
        <w:rPr>
          <w:rFonts w:ascii="標楷體" w:eastAsia="標楷體" w:cs="標楷體"/>
          <w:color w:val="000000"/>
          <w:kern w:val="0"/>
        </w:rPr>
      </w:pPr>
      <w:r w:rsidRPr="0025278E">
        <w:rPr>
          <w:rFonts w:ascii="標楷體" w:eastAsia="標楷體" w:cs="標楷體" w:hint="eastAsia"/>
          <w:color w:val="000000"/>
          <w:kern w:val="0"/>
        </w:rPr>
        <w:t>具有下列不適合進行脾臟切除之其一條件：(109/2/1</w:t>
      </w:r>
      <w:r w:rsidRPr="0025278E">
        <w:rPr>
          <w:rFonts w:ascii="標楷體" w:eastAsia="標楷體" w:hAnsi="標楷體" w:hint="eastAsia"/>
          <w:color w:val="000000"/>
        </w:rPr>
        <w:t>、115/3/1</w:t>
      </w:r>
      <w:r w:rsidRPr="0025278E">
        <w:rPr>
          <w:rFonts w:ascii="標楷體" w:eastAsia="標楷體" w:cs="標楷體" w:hint="eastAsia"/>
          <w:color w:val="000000"/>
          <w:kern w:val="0"/>
        </w:rPr>
        <w:t>)</w:t>
      </w:r>
    </w:p>
    <w:p w14:paraId="51395019" w14:textId="77777777" w:rsidR="00521B12" w:rsidRPr="0025278E" w:rsidRDefault="00521B12" w:rsidP="002144EC">
      <w:pPr>
        <w:pStyle w:val="af"/>
        <w:numPr>
          <w:ilvl w:val="0"/>
          <w:numId w:val="155"/>
        </w:numPr>
        <w:suppressAutoHyphens w:val="0"/>
        <w:autoSpaceDN/>
        <w:spacing w:line="400" w:lineRule="exact"/>
        <w:ind w:leftChars="648" w:left="1557" w:hanging="2"/>
        <w:textAlignment w:val="auto"/>
        <w:rPr>
          <w:rFonts w:ascii="標楷體" w:eastAsia="標楷體" w:cs="標楷體"/>
          <w:color w:val="000000"/>
        </w:rPr>
      </w:pPr>
      <w:r w:rsidRPr="0025278E">
        <w:rPr>
          <w:rFonts w:ascii="標楷體" w:eastAsia="標楷體" w:cs="標楷體" w:hint="eastAsia"/>
          <w:color w:val="000000"/>
        </w:rPr>
        <w:t>經麻醉科醫師評估無法耐受全身性麻醉。</w:t>
      </w:r>
    </w:p>
    <w:p w14:paraId="1EC2B01E" w14:textId="77777777" w:rsidR="00521B12" w:rsidRPr="0025278E" w:rsidRDefault="00521B12" w:rsidP="002144EC">
      <w:pPr>
        <w:pStyle w:val="af"/>
        <w:numPr>
          <w:ilvl w:val="0"/>
          <w:numId w:val="155"/>
        </w:numPr>
        <w:suppressAutoHyphens w:val="0"/>
        <w:autoSpaceDN/>
        <w:spacing w:line="400" w:lineRule="exact"/>
        <w:ind w:leftChars="707" w:left="1699" w:hanging="2"/>
        <w:textAlignment w:val="auto"/>
        <w:rPr>
          <w:rFonts w:ascii="標楷體" w:eastAsia="標楷體" w:cs="標楷體"/>
          <w:color w:val="000000"/>
        </w:rPr>
      </w:pPr>
      <w:r w:rsidRPr="0025278E">
        <w:rPr>
          <w:rFonts w:ascii="標楷體" w:eastAsia="標楷體" w:cs="標楷體" w:hint="eastAsia"/>
          <w:color w:val="000000"/>
        </w:rPr>
        <w:t>難以</w:t>
      </w:r>
      <w:proofErr w:type="gramStart"/>
      <w:r w:rsidRPr="0025278E">
        <w:rPr>
          <w:rFonts w:ascii="標楷體" w:eastAsia="標楷體" w:cs="標楷體" w:hint="eastAsia"/>
          <w:color w:val="000000"/>
        </w:rPr>
        <w:t>控制之凝血</w:t>
      </w:r>
      <w:proofErr w:type="gramEnd"/>
      <w:r w:rsidRPr="0025278E">
        <w:rPr>
          <w:rFonts w:ascii="標楷體" w:eastAsia="標楷體" w:cs="標楷體" w:hint="eastAsia"/>
          <w:color w:val="000000"/>
        </w:rPr>
        <w:t>機能障礙。</w:t>
      </w:r>
    </w:p>
    <w:p w14:paraId="2DEB2AFE" w14:textId="77777777" w:rsidR="00521B12" w:rsidRPr="0025278E" w:rsidRDefault="00521B12" w:rsidP="002144EC">
      <w:pPr>
        <w:pStyle w:val="af"/>
        <w:numPr>
          <w:ilvl w:val="0"/>
          <w:numId w:val="155"/>
        </w:numPr>
        <w:suppressAutoHyphens w:val="0"/>
        <w:autoSpaceDN/>
        <w:spacing w:line="400" w:lineRule="exact"/>
        <w:ind w:leftChars="767" w:left="1843" w:hanging="2"/>
        <w:textAlignment w:val="auto"/>
        <w:rPr>
          <w:rFonts w:ascii="標楷體" w:eastAsia="標楷體" w:cs="標楷體"/>
          <w:color w:val="000000"/>
        </w:rPr>
      </w:pPr>
      <w:r w:rsidRPr="0025278E">
        <w:rPr>
          <w:rFonts w:ascii="標楷體" w:eastAsia="標楷體" w:cs="標楷體" w:hint="eastAsia"/>
          <w:color w:val="000000"/>
        </w:rPr>
        <w:t>心、肺等主要臟器功能不全。</w:t>
      </w:r>
    </w:p>
    <w:p w14:paraId="31DD1FAD" w14:textId="77777777" w:rsidR="00521B12" w:rsidRPr="0025278E" w:rsidRDefault="00521B12" w:rsidP="002144EC">
      <w:pPr>
        <w:pStyle w:val="af"/>
        <w:numPr>
          <w:ilvl w:val="0"/>
          <w:numId w:val="155"/>
        </w:numPr>
        <w:suppressAutoHyphens w:val="0"/>
        <w:autoSpaceDN/>
        <w:spacing w:line="400" w:lineRule="exact"/>
        <w:ind w:leftChars="707" w:left="1699" w:hanging="2"/>
        <w:textAlignment w:val="auto"/>
        <w:rPr>
          <w:rFonts w:ascii="標楷體" w:eastAsia="標楷體" w:cs="標楷體"/>
          <w:color w:val="000000"/>
        </w:rPr>
      </w:pPr>
      <w:r w:rsidRPr="0025278E">
        <w:rPr>
          <w:rFonts w:ascii="標楷體" w:eastAsia="標楷體" w:cs="標楷體" w:hint="eastAsia"/>
          <w:color w:val="000000"/>
        </w:rPr>
        <w:t>有其他</w:t>
      </w:r>
      <w:proofErr w:type="gramStart"/>
      <w:r w:rsidRPr="0025278E">
        <w:rPr>
          <w:rFonts w:ascii="標楷體" w:eastAsia="標楷體" w:cs="標楷體" w:hint="eastAsia"/>
          <w:color w:val="000000"/>
        </w:rPr>
        <w:t>重大共病</w:t>
      </w:r>
      <w:proofErr w:type="gramEnd"/>
      <w:r w:rsidRPr="0025278E">
        <w:rPr>
          <w:rFonts w:ascii="標楷體" w:eastAsia="標楷體" w:cs="標楷體" w:hint="eastAsia"/>
          <w:color w:val="000000"/>
        </w:rPr>
        <w:t>，經臨床醫師判斷不適合進行脾臟切除。</w:t>
      </w:r>
    </w:p>
    <w:p w14:paraId="0B14FBAE" w14:textId="77777777" w:rsidR="00521B12" w:rsidRPr="0025278E" w:rsidRDefault="00521B12" w:rsidP="002144EC">
      <w:pPr>
        <w:pStyle w:val="af"/>
        <w:numPr>
          <w:ilvl w:val="0"/>
          <w:numId w:val="155"/>
        </w:numPr>
        <w:suppressAutoHyphens w:val="0"/>
        <w:autoSpaceDN/>
        <w:spacing w:line="400" w:lineRule="exact"/>
        <w:ind w:leftChars="649" w:left="1560" w:hanging="2"/>
        <w:textAlignment w:val="auto"/>
        <w:rPr>
          <w:rFonts w:ascii="標楷體" w:eastAsia="標楷體" w:cs="標楷體"/>
          <w:color w:val="000000"/>
        </w:rPr>
      </w:pPr>
      <w:r w:rsidRPr="0025278E">
        <w:rPr>
          <w:rFonts w:ascii="標楷體" w:eastAsia="標楷體" w:cs="標楷體"/>
          <w:color w:val="000000"/>
        </w:rPr>
        <w:t>兒童</w:t>
      </w:r>
      <w:r w:rsidRPr="0025278E">
        <w:rPr>
          <w:rFonts w:ascii="標楷體" w:eastAsia="標楷體" w:cs="標楷體" w:hint="eastAsia"/>
          <w:color w:val="000000"/>
        </w:rPr>
        <w:t>(18歲以下)(109/2/1、115/3/1)</w:t>
      </w:r>
    </w:p>
    <w:p w14:paraId="3F07EECB" w14:textId="77777777" w:rsidR="00521B12" w:rsidRPr="0025278E" w:rsidRDefault="00521B12" w:rsidP="002144EC">
      <w:pPr>
        <w:numPr>
          <w:ilvl w:val="0"/>
          <w:numId w:val="154"/>
        </w:numPr>
        <w:suppressAutoHyphens w:val="0"/>
        <w:autoSpaceDN/>
        <w:spacing w:line="400" w:lineRule="exact"/>
        <w:ind w:leftChars="413" w:left="991" w:firstLine="1"/>
        <w:textAlignment w:val="auto"/>
        <w:rPr>
          <w:rFonts w:ascii="標楷體" w:eastAsia="標楷體" w:cs="標楷體"/>
          <w:color w:val="000000"/>
        </w:rPr>
      </w:pPr>
      <w:r w:rsidRPr="0025278E">
        <w:rPr>
          <w:rFonts w:ascii="標楷體" w:eastAsia="標楷體" w:cs="標楷體" w:hint="eastAsia"/>
          <w:color w:val="000000"/>
        </w:rPr>
        <w:t>未曾</w:t>
      </w:r>
      <w:r w:rsidRPr="0025278E">
        <w:rPr>
          <w:rFonts w:ascii="標楷體" w:eastAsia="標楷體" w:cs="標楷體" w:hint="eastAsia"/>
          <w:color w:val="000000"/>
          <w:kern w:val="0"/>
        </w:rPr>
        <w:t>接受</w:t>
      </w:r>
      <w:r w:rsidRPr="0025278E">
        <w:rPr>
          <w:rFonts w:ascii="標楷體" w:eastAsia="標楷體" w:cs="標楷體" w:hint="eastAsia"/>
          <w:color w:val="000000"/>
        </w:rPr>
        <w:t>脾臟切除患者須經事前審查同意使用，且須檢附申請前4</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內之血小板數值，限用12</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w:t>
      </w:r>
      <w:r w:rsidRPr="0025278E">
        <w:rPr>
          <w:rFonts w:ascii="標楷體" w:eastAsia="標楷體" w:cs="標楷體"/>
          <w:color w:val="000000"/>
        </w:rPr>
        <w:t>112/1/1</w:t>
      </w:r>
      <w:r w:rsidRPr="0025278E">
        <w:rPr>
          <w:rFonts w:ascii="標楷體" w:eastAsia="標楷體" w:hAnsi="標楷體" w:hint="eastAsia"/>
          <w:color w:val="000000"/>
        </w:rPr>
        <w:t>、115/3/1)</w:t>
      </w:r>
    </w:p>
    <w:p w14:paraId="2E60BE82" w14:textId="77777777" w:rsidR="00521B12" w:rsidRPr="0025278E" w:rsidRDefault="00521B12" w:rsidP="002144EC">
      <w:pPr>
        <w:numPr>
          <w:ilvl w:val="0"/>
          <w:numId w:val="153"/>
        </w:numPr>
        <w:suppressAutoHyphens w:val="0"/>
        <w:autoSpaceDN/>
        <w:spacing w:line="400" w:lineRule="exact"/>
        <w:ind w:leftChars="294" w:left="706" w:firstLineChars="177" w:firstLine="425"/>
        <w:textAlignment w:val="auto"/>
        <w:rPr>
          <w:rFonts w:ascii="標楷體" w:eastAsia="標楷體" w:cs="標楷體"/>
          <w:color w:val="000000"/>
          <w:kern w:val="0"/>
        </w:rPr>
      </w:pPr>
      <w:r w:rsidRPr="0025278E">
        <w:rPr>
          <w:rFonts w:ascii="標楷體" w:eastAsia="標楷體" w:hAnsi="標楷體"/>
          <w:color w:val="000000"/>
        </w:rPr>
        <w:t>未曾接受脾臟切除患者，且符合下列所有條件：(109/2/1</w:t>
      </w:r>
      <w:r w:rsidRPr="0025278E">
        <w:rPr>
          <w:rFonts w:ascii="標楷體" w:eastAsia="標楷體" w:hAnsi="標楷體" w:hint="eastAsia"/>
          <w:color w:val="000000"/>
        </w:rPr>
        <w:t>、115/3/1</w:t>
      </w:r>
      <w:r w:rsidRPr="0025278E">
        <w:rPr>
          <w:rFonts w:ascii="標楷體" w:eastAsia="標楷體" w:hAnsi="標楷體"/>
          <w:color w:val="000000"/>
        </w:rPr>
        <w:t>)</w:t>
      </w:r>
    </w:p>
    <w:p w14:paraId="5079561F" w14:textId="77777777" w:rsidR="00521B12" w:rsidRPr="0025278E" w:rsidRDefault="00521B12" w:rsidP="002144EC">
      <w:pPr>
        <w:pStyle w:val="af"/>
        <w:numPr>
          <w:ilvl w:val="0"/>
          <w:numId w:val="159"/>
        </w:numPr>
        <w:suppressAutoHyphens w:val="0"/>
        <w:autoSpaceDN/>
        <w:spacing w:line="400" w:lineRule="exact"/>
        <w:ind w:left="993" w:firstLine="0"/>
        <w:textAlignment w:val="auto"/>
        <w:rPr>
          <w:rFonts w:ascii="標楷體" w:eastAsia="標楷體" w:cs="標楷體"/>
          <w:color w:val="000000"/>
        </w:rPr>
      </w:pPr>
      <w:r w:rsidRPr="0025278E">
        <w:rPr>
          <w:rFonts w:ascii="標楷體" w:eastAsia="標楷體" w:cs="標楷體"/>
          <w:color w:val="000000"/>
        </w:rPr>
        <w:t>血小板</w:t>
      </w:r>
      <w:r w:rsidRPr="0025278E">
        <w:rPr>
          <w:rFonts w:ascii="標楷體" w:eastAsia="標楷體" w:cs="標楷體" w:hint="eastAsia"/>
          <w:color w:val="000000"/>
        </w:rPr>
        <w:t>低於3</w:t>
      </w:r>
      <w:r w:rsidRPr="0025278E">
        <w:rPr>
          <w:rFonts w:ascii="標楷體" w:eastAsia="標楷體" w:cs="標楷體"/>
          <w:color w:val="000000"/>
        </w:rPr>
        <w:t>0,000/</w:t>
      </w:r>
      <w:r w:rsidRPr="0025278E">
        <w:rPr>
          <w:rFonts w:ascii="標楷體" w:eastAsia="標楷體" w:cs="標楷體" w:hint="eastAsia"/>
          <w:color w:val="000000"/>
        </w:rPr>
        <w:t>μL</w:t>
      </w:r>
      <w:r w:rsidRPr="0025278E">
        <w:rPr>
          <w:rFonts w:ascii="標楷體" w:eastAsia="標楷體" w:cs="標楷體"/>
          <w:color w:val="000000"/>
        </w:rPr>
        <w:t xml:space="preserve"> (三個月內至少兩次)，且</w:t>
      </w:r>
      <w:proofErr w:type="gramStart"/>
      <w:r w:rsidRPr="0025278E">
        <w:rPr>
          <w:rFonts w:ascii="標楷體" w:eastAsia="標楷體" w:cs="標楷體"/>
          <w:color w:val="000000"/>
        </w:rPr>
        <w:t>有紫斑及</w:t>
      </w:r>
      <w:proofErr w:type="gramEnd"/>
      <w:r w:rsidRPr="0025278E">
        <w:rPr>
          <w:rFonts w:ascii="標楷體" w:eastAsia="標楷體" w:cs="標楷體"/>
          <w:color w:val="000000"/>
        </w:rPr>
        <w:t>出血紀錄者。</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59E9B562" w14:textId="77777777" w:rsidR="00521B12" w:rsidRPr="0025278E" w:rsidRDefault="00521B12" w:rsidP="002144EC">
      <w:pPr>
        <w:pStyle w:val="af"/>
        <w:numPr>
          <w:ilvl w:val="0"/>
          <w:numId w:val="159"/>
        </w:numPr>
        <w:suppressAutoHyphens w:val="0"/>
        <w:autoSpaceDN/>
        <w:spacing w:line="400" w:lineRule="exact"/>
        <w:ind w:left="993" w:firstLine="0"/>
        <w:textAlignment w:val="auto"/>
        <w:rPr>
          <w:rFonts w:ascii="標楷體" w:eastAsia="標楷體" w:cs="標楷體"/>
          <w:color w:val="000000"/>
        </w:rPr>
      </w:pPr>
      <w:r w:rsidRPr="0025278E">
        <w:rPr>
          <w:rFonts w:ascii="標楷體" w:eastAsia="標楷體" w:cs="標楷體"/>
          <w:color w:val="000000"/>
        </w:rPr>
        <w:t>須排除</w:t>
      </w:r>
      <w:proofErr w:type="gramStart"/>
      <w:r w:rsidRPr="0025278E">
        <w:rPr>
          <w:rFonts w:ascii="標楷體" w:eastAsia="標楷體" w:cs="標楷體"/>
          <w:color w:val="000000"/>
        </w:rPr>
        <w:t>下列共病</w:t>
      </w:r>
      <w:proofErr w:type="gramEnd"/>
      <w:r w:rsidRPr="0025278E">
        <w:rPr>
          <w:rFonts w:ascii="標楷體" w:eastAsia="標楷體" w:cs="標楷體"/>
          <w:color w:val="000000"/>
        </w:rPr>
        <w:t>：C型肝炎、肝硬化、脾腫大 (Hypersplenism)、骨髓化生不良症候群(MDS)、再生不良性貧血、HIV或化學治療相關之血小板低下。</w:t>
      </w:r>
    </w:p>
    <w:p w14:paraId="75E04D6F" w14:textId="77777777" w:rsidR="00521B12" w:rsidRPr="0025278E" w:rsidRDefault="00521B12" w:rsidP="002144EC">
      <w:pPr>
        <w:pStyle w:val="af"/>
        <w:numPr>
          <w:ilvl w:val="0"/>
          <w:numId w:val="159"/>
        </w:numPr>
        <w:suppressAutoHyphens w:val="0"/>
        <w:autoSpaceDN/>
        <w:spacing w:line="400" w:lineRule="exact"/>
        <w:ind w:left="993" w:firstLine="0"/>
        <w:textAlignment w:val="auto"/>
        <w:rPr>
          <w:rFonts w:ascii="標楷體" w:eastAsia="標楷體" w:cs="標楷體"/>
          <w:color w:val="000000"/>
        </w:rPr>
      </w:pPr>
      <w:r w:rsidRPr="0025278E">
        <w:rPr>
          <w:rFonts w:ascii="標楷體" w:eastAsia="標楷體" w:cs="標楷體"/>
          <w:color w:val="000000"/>
        </w:rPr>
        <w:t>須經事前審查同意使用，首次申請限用</w:t>
      </w:r>
      <w:r w:rsidRPr="0025278E">
        <w:rPr>
          <w:rFonts w:ascii="標楷體" w:eastAsia="標楷體" w:cs="標楷體" w:hint="eastAsia"/>
          <w:color w:val="000000"/>
        </w:rPr>
        <w:t>3</w:t>
      </w:r>
      <w:r w:rsidRPr="0025278E">
        <w:rPr>
          <w:rFonts w:ascii="標楷體" w:eastAsia="標楷體" w:cs="標楷體"/>
          <w:color w:val="000000"/>
        </w:rPr>
        <w:t>個月</w:t>
      </w:r>
      <w:r w:rsidRPr="0025278E">
        <w:rPr>
          <w:rFonts w:ascii="標楷體" w:eastAsia="標楷體" w:cs="標楷體" w:hint="eastAsia"/>
          <w:color w:val="000000"/>
        </w:rPr>
        <w:t>，且須檢附申請前4</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內之血小板數值；每6個月可再次申請續用，惟血小板需上升至超過30,000/μL，或與</w:t>
      </w:r>
      <w:proofErr w:type="gramStart"/>
      <w:r w:rsidRPr="0025278E">
        <w:rPr>
          <w:rFonts w:ascii="標楷體" w:eastAsia="標楷體" w:cs="標楷體" w:hint="eastAsia"/>
          <w:color w:val="000000"/>
        </w:rPr>
        <w:t>使用前基期</w:t>
      </w:r>
      <w:proofErr w:type="gramEnd"/>
      <w:r w:rsidRPr="0025278E">
        <w:rPr>
          <w:rFonts w:ascii="標楷體" w:eastAsia="標楷體" w:cs="標楷體" w:hint="eastAsia"/>
          <w:color w:val="000000"/>
        </w:rPr>
        <w:t>的血小板數值</w:t>
      </w:r>
      <w:proofErr w:type="gramStart"/>
      <w:r w:rsidRPr="0025278E">
        <w:rPr>
          <w:rFonts w:ascii="標楷體" w:eastAsia="標楷體" w:cs="標楷體" w:hint="eastAsia"/>
          <w:color w:val="000000"/>
        </w:rPr>
        <w:t>相較達兩倍</w:t>
      </w:r>
      <w:proofErr w:type="gramEnd"/>
      <w:r w:rsidRPr="0025278E">
        <w:rPr>
          <w:rFonts w:ascii="標楷體" w:eastAsia="標楷體" w:cs="標楷體" w:hint="eastAsia"/>
          <w:color w:val="000000"/>
        </w:rPr>
        <w:t>以上者(含)者方得續用</w:t>
      </w:r>
      <w:r w:rsidRPr="0025278E">
        <w:rPr>
          <w:rFonts w:ascii="標楷體" w:eastAsia="標楷體" w:cs="標楷體"/>
          <w:color w:val="000000"/>
        </w:rPr>
        <w:t>。(109/2/1</w:t>
      </w:r>
      <w:r w:rsidRPr="0025278E">
        <w:rPr>
          <w:rFonts w:ascii="標楷體" w:eastAsia="標楷體" w:cs="標楷體" w:hint="eastAsia"/>
          <w:color w:val="000000"/>
        </w:rPr>
        <w:t>、115/3/1</w:t>
      </w:r>
      <w:r w:rsidRPr="0025278E">
        <w:rPr>
          <w:rFonts w:ascii="標楷體" w:eastAsia="標楷體" w:cs="標楷體"/>
          <w:color w:val="000000"/>
        </w:rPr>
        <w:t>)</w:t>
      </w:r>
    </w:p>
    <w:p w14:paraId="39079D8D" w14:textId="77777777" w:rsidR="00521B12" w:rsidRPr="0025278E" w:rsidRDefault="00521B12" w:rsidP="002144EC">
      <w:pPr>
        <w:numPr>
          <w:ilvl w:val="0"/>
          <w:numId w:val="153"/>
        </w:numPr>
        <w:suppressAutoHyphens w:val="0"/>
        <w:autoSpaceDN/>
        <w:spacing w:line="400" w:lineRule="exact"/>
        <w:ind w:leftChars="294" w:left="706" w:firstLineChars="177" w:firstLine="425"/>
        <w:textAlignment w:val="auto"/>
        <w:rPr>
          <w:rFonts w:ascii="標楷體" w:eastAsia="標楷體" w:hAnsi="標楷體"/>
          <w:color w:val="000000"/>
        </w:rPr>
      </w:pPr>
      <w:r w:rsidRPr="0025278E">
        <w:rPr>
          <w:rFonts w:ascii="標楷體" w:eastAsia="標楷體" w:hAnsi="標楷體"/>
          <w:color w:val="000000"/>
        </w:rPr>
        <w:t>若曾接受脾臟切除患者，且符合下列所有條件：(109/2/1</w:t>
      </w:r>
      <w:r w:rsidRPr="0025278E">
        <w:rPr>
          <w:rFonts w:ascii="標楷體" w:eastAsia="標楷體" w:hAnsi="標楷體" w:hint="eastAsia"/>
          <w:color w:val="000000"/>
        </w:rPr>
        <w:t>、115/3/1</w:t>
      </w:r>
      <w:r w:rsidRPr="0025278E">
        <w:rPr>
          <w:rFonts w:ascii="標楷體" w:eastAsia="標楷體" w:hAnsi="標楷體"/>
          <w:color w:val="000000"/>
        </w:rPr>
        <w:t>)</w:t>
      </w:r>
    </w:p>
    <w:p w14:paraId="7433F85F" w14:textId="77777777" w:rsidR="00521B12" w:rsidRPr="0025278E" w:rsidRDefault="00521B12" w:rsidP="002144EC">
      <w:pPr>
        <w:pStyle w:val="af"/>
        <w:numPr>
          <w:ilvl w:val="0"/>
          <w:numId w:val="160"/>
        </w:numPr>
        <w:suppressAutoHyphens w:val="0"/>
        <w:autoSpaceDN/>
        <w:spacing w:line="400" w:lineRule="exact"/>
        <w:ind w:leftChars="304" w:left="730" w:firstLineChars="109" w:firstLine="262"/>
        <w:textAlignment w:val="auto"/>
        <w:rPr>
          <w:rFonts w:ascii="標楷體" w:eastAsia="標楷體" w:cs="標楷體"/>
          <w:color w:val="000000"/>
        </w:rPr>
      </w:pPr>
      <w:r w:rsidRPr="0025278E">
        <w:rPr>
          <w:rFonts w:ascii="標楷體" w:eastAsia="標楷體" w:cs="標楷體"/>
          <w:color w:val="000000"/>
        </w:rPr>
        <w:t>治療前血小板</w:t>
      </w:r>
      <w:r w:rsidRPr="0025278E">
        <w:rPr>
          <w:rFonts w:ascii="標楷體" w:eastAsia="標楷體" w:cs="標楷體" w:hint="eastAsia"/>
          <w:color w:val="000000"/>
        </w:rPr>
        <w:t>低於3</w:t>
      </w:r>
      <w:r w:rsidRPr="0025278E">
        <w:rPr>
          <w:rFonts w:ascii="標楷體" w:eastAsia="標楷體" w:cs="標楷體"/>
          <w:color w:val="000000"/>
        </w:rPr>
        <w:t>0,000/</w:t>
      </w:r>
      <w:r w:rsidRPr="0025278E">
        <w:rPr>
          <w:rFonts w:ascii="標楷體" w:eastAsia="標楷體" w:cs="標楷體" w:hint="eastAsia"/>
          <w:color w:val="000000"/>
        </w:rPr>
        <w:t>μL</w:t>
      </w:r>
      <w:r w:rsidRPr="0025278E">
        <w:rPr>
          <w:rFonts w:ascii="標楷體" w:eastAsia="標楷體" w:cs="標楷體"/>
          <w:color w:val="000000"/>
        </w:rPr>
        <w:t>，或有明顯出血症狀者。</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08CC3FAA" w14:textId="77777777" w:rsidR="00521B12" w:rsidRPr="0025278E" w:rsidRDefault="00521B12" w:rsidP="002144EC">
      <w:pPr>
        <w:pStyle w:val="af"/>
        <w:numPr>
          <w:ilvl w:val="0"/>
          <w:numId w:val="160"/>
        </w:numPr>
        <w:suppressAutoHyphens w:val="0"/>
        <w:autoSpaceDN/>
        <w:spacing w:line="400" w:lineRule="exact"/>
        <w:ind w:leftChars="413" w:left="992" w:hanging="1"/>
        <w:textAlignment w:val="auto"/>
        <w:rPr>
          <w:rFonts w:ascii="標楷體" w:eastAsia="標楷體" w:cs="標楷體"/>
          <w:color w:val="000000"/>
        </w:rPr>
      </w:pPr>
      <w:r w:rsidRPr="0025278E">
        <w:rPr>
          <w:rFonts w:ascii="標楷體" w:eastAsia="標楷體" w:cs="標楷體" w:hint="eastAsia"/>
          <w:color w:val="000000"/>
        </w:rPr>
        <w:t>治療12</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 xml:space="preserve">後，血小板需達治療目標值 </w:t>
      </w:r>
      <w:r w:rsidRPr="0025278E">
        <w:rPr>
          <w:rFonts w:ascii="標楷體" w:eastAsia="標楷體" w:cs="標楷體"/>
          <w:color w:val="000000"/>
        </w:rPr>
        <w:t>(</w:t>
      </w:r>
      <w:r w:rsidRPr="0025278E">
        <w:rPr>
          <w:rFonts w:ascii="標楷體" w:eastAsia="標楷體" w:cs="標楷體" w:hint="eastAsia"/>
          <w:color w:val="000000"/>
        </w:rPr>
        <w:t>超過30,000/μL，或與</w:t>
      </w:r>
      <w:proofErr w:type="gramStart"/>
      <w:r w:rsidRPr="0025278E">
        <w:rPr>
          <w:rFonts w:ascii="標楷體" w:eastAsia="標楷體" w:cs="標楷體" w:hint="eastAsia"/>
          <w:color w:val="000000"/>
        </w:rPr>
        <w:t>使用前基期</w:t>
      </w:r>
      <w:proofErr w:type="gramEnd"/>
      <w:r w:rsidRPr="0025278E">
        <w:rPr>
          <w:rFonts w:ascii="標楷體" w:eastAsia="標楷體" w:cs="標楷體" w:hint="eastAsia"/>
          <w:color w:val="000000"/>
        </w:rPr>
        <w:t>的血小板數值未增加達兩倍以上(含)</w:t>
      </w:r>
      <w:r w:rsidRPr="0025278E">
        <w:rPr>
          <w:rFonts w:ascii="標楷體" w:eastAsia="標楷體" w:cs="標楷體"/>
          <w:color w:val="000000"/>
        </w:rPr>
        <w:t>)</w:t>
      </w:r>
      <w:r w:rsidRPr="0025278E">
        <w:rPr>
          <w:rFonts w:ascii="新細明體" w:hAnsi="新細明體" w:cs="標楷體" w:hint="eastAsia"/>
          <w:color w:val="000000"/>
        </w:rPr>
        <w:t>，</w:t>
      </w:r>
      <w:r w:rsidRPr="0025278E">
        <w:rPr>
          <w:rFonts w:ascii="標楷體" w:eastAsia="標楷體" w:cs="標楷體" w:hint="eastAsia"/>
          <w:color w:val="000000"/>
        </w:rPr>
        <w:t>且出血需改善，否則不得再繼續使用</w:t>
      </w:r>
      <w:r w:rsidRPr="0025278E">
        <w:rPr>
          <w:rFonts w:ascii="標楷體" w:eastAsia="標楷體" w:cs="標楷體"/>
          <w:color w:val="000000"/>
        </w:rPr>
        <w:t>。</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1EB306A5" w14:textId="77777777" w:rsidR="00521B12" w:rsidRPr="0025278E" w:rsidRDefault="00521B12" w:rsidP="002144EC">
      <w:pPr>
        <w:numPr>
          <w:ilvl w:val="0"/>
          <w:numId w:val="153"/>
        </w:numPr>
        <w:suppressAutoHyphens w:val="0"/>
        <w:autoSpaceDN/>
        <w:spacing w:line="400" w:lineRule="exact"/>
        <w:ind w:leftChars="294" w:left="706" w:firstLineChars="177" w:firstLine="425"/>
        <w:textAlignment w:val="auto"/>
        <w:rPr>
          <w:rFonts w:ascii="標楷體" w:eastAsia="標楷體" w:hAnsi="標楷體"/>
          <w:color w:val="000000"/>
        </w:rPr>
      </w:pPr>
      <w:r w:rsidRPr="0025278E">
        <w:rPr>
          <w:rFonts w:ascii="標楷體" w:eastAsia="標楷體" w:hAnsi="標楷體"/>
          <w:color w:val="000000"/>
        </w:rPr>
        <w:t>每天劑量以50mg為上限。(109/2/1)</w:t>
      </w:r>
    </w:p>
    <w:p w14:paraId="5512B005" w14:textId="77777777" w:rsidR="00521B12" w:rsidRPr="0025278E" w:rsidRDefault="00521B12" w:rsidP="002144EC">
      <w:pPr>
        <w:numPr>
          <w:ilvl w:val="0"/>
          <w:numId w:val="153"/>
        </w:numPr>
        <w:suppressAutoHyphens w:val="0"/>
        <w:autoSpaceDN/>
        <w:spacing w:line="400" w:lineRule="exact"/>
        <w:ind w:leftChars="471" w:left="1132" w:hangingChars="1" w:hanging="2"/>
        <w:textAlignment w:val="auto"/>
        <w:rPr>
          <w:rFonts w:ascii="標楷體" w:eastAsia="標楷體" w:hAnsi="標楷體"/>
          <w:color w:val="000000"/>
        </w:rPr>
      </w:pPr>
      <w:r w:rsidRPr="0025278E">
        <w:rPr>
          <w:rFonts w:ascii="標楷體" w:eastAsia="標楷體" w:hAnsi="標楷體"/>
          <w:color w:val="000000"/>
        </w:rPr>
        <w:t>治療</w:t>
      </w:r>
      <w:proofErr w:type="gramStart"/>
      <w:r w:rsidRPr="0025278E">
        <w:rPr>
          <w:rFonts w:ascii="標楷體" w:eastAsia="標楷體" w:hAnsi="標楷體"/>
          <w:color w:val="000000"/>
        </w:rPr>
        <w:t>期間，</w:t>
      </w:r>
      <w:proofErr w:type="gramEnd"/>
      <w:r w:rsidRPr="0025278E">
        <w:rPr>
          <w:rFonts w:ascii="標楷體" w:eastAsia="標楷體" w:hAnsi="標楷體"/>
          <w:color w:val="000000"/>
        </w:rPr>
        <w:t>不得同時</w:t>
      </w:r>
      <w:proofErr w:type="gramStart"/>
      <w:r w:rsidRPr="0025278E">
        <w:rPr>
          <w:rFonts w:ascii="標楷體" w:eastAsia="標楷體" w:hAnsi="標楷體"/>
          <w:color w:val="000000"/>
        </w:rPr>
        <w:t>併</w:t>
      </w:r>
      <w:proofErr w:type="gramEnd"/>
      <w:r w:rsidRPr="0025278E">
        <w:rPr>
          <w:rFonts w:ascii="標楷體" w:eastAsia="標楷體" w:hAnsi="標楷體"/>
          <w:color w:val="000000"/>
        </w:rPr>
        <w:t>用免疫球蛋白</w:t>
      </w:r>
      <w:r w:rsidRPr="0025278E">
        <w:rPr>
          <w:rFonts w:ascii="標楷體" w:eastAsia="標楷體" w:hAnsi="標楷體" w:hint="eastAsia"/>
          <w:color w:val="000000"/>
        </w:rPr>
        <w:t>。</w:t>
      </w:r>
      <w:proofErr w:type="spellStart"/>
      <w:r w:rsidRPr="0025278E">
        <w:rPr>
          <w:rFonts w:ascii="標楷體" w:eastAsia="標楷體" w:cs="標楷體" w:hint="eastAsia"/>
          <w:color w:val="000000"/>
          <w:kern w:val="0"/>
        </w:rPr>
        <w:t>eltrombopag</w:t>
      </w:r>
      <w:proofErr w:type="spellEnd"/>
      <w:r w:rsidRPr="0025278E">
        <w:rPr>
          <w:rFonts w:ascii="標楷體" w:eastAsia="標楷體" w:cs="標楷體" w:hint="eastAsia"/>
          <w:color w:val="000000"/>
          <w:kern w:val="0"/>
        </w:rPr>
        <w:t>及romiplostim得轉換使用，</w:t>
      </w:r>
      <w:proofErr w:type="gramStart"/>
      <w:r w:rsidRPr="0025278E">
        <w:rPr>
          <w:rFonts w:ascii="標楷體" w:eastAsia="標楷體" w:cs="標楷體" w:hint="eastAsia"/>
          <w:color w:val="000000"/>
          <w:kern w:val="0"/>
        </w:rPr>
        <w:t>惟限轉換</w:t>
      </w:r>
      <w:proofErr w:type="gramEnd"/>
      <w:r w:rsidRPr="0025278E">
        <w:rPr>
          <w:rFonts w:ascii="標楷體" w:eastAsia="標楷體" w:cs="標楷體" w:hint="eastAsia"/>
          <w:color w:val="000000"/>
          <w:kern w:val="0"/>
        </w:rPr>
        <w:t>一次。</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48F7A5FA" w14:textId="77777777" w:rsidR="00521B12" w:rsidRPr="0025278E" w:rsidRDefault="00521B12" w:rsidP="002144EC">
      <w:pPr>
        <w:pStyle w:val="af"/>
        <w:numPr>
          <w:ilvl w:val="0"/>
          <w:numId w:val="158"/>
        </w:numPr>
        <w:suppressAutoHyphens w:val="0"/>
        <w:autoSpaceDN/>
        <w:spacing w:line="400" w:lineRule="exact"/>
        <w:ind w:left="851" w:hanging="284"/>
        <w:textAlignment w:val="auto"/>
        <w:rPr>
          <w:rFonts w:ascii="標楷體" w:eastAsia="標楷體" w:hAnsi="標楷體"/>
          <w:color w:val="000000"/>
        </w:rPr>
      </w:pPr>
      <w:r w:rsidRPr="0025278E">
        <w:rPr>
          <w:rFonts w:ascii="標楷體" w:eastAsia="標楷體" w:hAnsi="標楷體"/>
          <w:color w:val="000000"/>
        </w:rPr>
        <w:t>用於免疫抑制療法(IST)反應不佳的嚴重再生不良性貧血</w:t>
      </w:r>
      <w:r w:rsidRPr="0025278E">
        <w:rPr>
          <w:rFonts w:ascii="標楷體" w:eastAsia="標楷體" w:cs="標楷體" w:hint="eastAsia"/>
          <w:color w:val="000000"/>
        </w:rPr>
        <w:t>成人</w:t>
      </w:r>
      <w:r w:rsidRPr="0025278E">
        <w:rPr>
          <w:rFonts w:ascii="標楷體" w:eastAsia="標楷體" w:hAnsi="標楷體" w:hint="eastAsia"/>
          <w:color w:val="000000"/>
        </w:rPr>
        <w:t>病人</w:t>
      </w:r>
      <w:r w:rsidRPr="0025278E">
        <w:rPr>
          <w:rFonts w:ascii="標楷體" w:eastAsia="標楷體" w:hAnsi="標楷體"/>
          <w:color w:val="000000"/>
        </w:rPr>
        <w:t>，需同時符合下列條件：(108/6/1、112/1/1</w:t>
      </w:r>
      <w:r w:rsidRPr="0025278E">
        <w:rPr>
          <w:rFonts w:ascii="標楷體" w:eastAsia="標楷體" w:hAnsi="標楷體" w:hint="eastAsia"/>
          <w:color w:val="000000"/>
        </w:rPr>
        <w:t>、115/3/1</w:t>
      </w:r>
      <w:r w:rsidRPr="0025278E">
        <w:rPr>
          <w:rFonts w:ascii="標楷體" w:eastAsia="標楷體" w:hAnsi="標楷體"/>
          <w:color w:val="000000"/>
        </w:rPr>
        <w:t>)</w:t>
      </w:r>
      <w:r w:rsidRPr="0025278E">
        <w:rPr>
          <w:rFonts w:ascii="標楷體" w:eastAsia="標楷體" w:hAnsi="標楷體" w:hint="eastAsia"/>
          <w:color w:val="000000"/>
        </w:rPr>
        <w:t xml:space="preserve"> </w:t>
      </w:r>
    </w:p>
    <w:p w14:paraId="5FA752D1" w14:textId="77777777" w:rsidR="00521B12" w:rsidRPr="00612EBB" w:rsidRDefault="00521B12" w:rsidP="002144EC">
      <w:pPr>
        <w:pStyle w:val="af"/>
        <w:numPr>
          <w:ilvl w:val="0"/>
          <w:numId w:val="156"/>
        </w:numPr>
        <w:suppressAutoHyphens w:val="0"/>
        <w:autoSpaceDN/>
        <w:spacing w:line="400" w:lineRule="exact"/>
        <w:ind w:left="1134" w:firstLine="0"/>
        <w:textAlignment w:val="auto"/>
        <w:rPr>
          <w:rFonts w:ascii="標楷體" w:eastAsia="標楷體" w:cs="標楷體"/>
          <w:color w:val="000000"/>
        </w:rPr>
      </w:pPr>
      <w:r w:rsidRPr="00612EBB">
        <w:rPr>
          <w:rFonts w:ascii="標楷體" w:eastAsia="標楷體" w:cs="標楷體" w:hint="eastAsia"/>
          <w:color w:val="000000"/>
        </w:rPr>
        <w:t>需至少符合下列其中兩項： (</w:t>
      </w:r>
      <w:r w:rsidRPr="00612EBB">
        <w:rPr>
          <w:rFonts w:ascii="標楷體" w:eastAsia="標楷體" w:hAnsi="標楷體" w:hint="eastAsia"/>
          <w:color w:val="000000"/>
        </w:rPr>
        <w:t>115/3/1)</w:t>
      </w:r>
    </w:p>
    <w:p w14:paraId="31210474" w14:textId="77777777" w:rsidR="00521B12" w:rsidRPr="00612EBB" w:rsidRDefault="00521B12" w:rsidP="002144EC">
      <w:pPr>
        <w:pStyle w:val="af"/>
        <w:numPr>
          <w:ilvl w:val="0"/>
          <w:numId w:val="157"/>
        </w:numPr>
        <w:suppressAutoHyphens w:val="0"/>
        <w:autoSpaceDN/>
        <w:spacing w:line="400" w:lineRule="exact"/>
        <w:ind w:left="993" w:firstLine="0"/>
        <w:textAlignment w:val="auto"/>
        <w:rPr>
          <w:rFonts w:ascii="標楷體" w:eastAsia="標楷體" w:cs="標楷體"/>
          <w:color w:val="000000"/>
        </w:rPr>
      </w:pPr>
      <w:r w:rsidRPr="00612EBB">
        <w:rPr>
          <w:rFonts w:ascii="標楷體" w:eastAsia="標楷體" w:cs="標楷體" w:hint="eastAsia"/>
          <w:color w:val="000000"/>
        </w:rPr>
        <w:t xml:space="preserve">周邊血液 ANC &lt;500/μL </w:t>
      </w:r>
    </w:p>
    <w:p w14:paraId="5AB49887" w14:textId="77777777" w:rsidR="00521B12" w:rsidRPr="00612EBB" w:rsidRDefault="00521B12" w:rsidP="002144EC">
      <w:pPr>
        <w:pStyle w:val="af"/>
        <w:numPr>
          <w:ilvl w:val="0"/>
          <w:numId w:val="157"/>
        </w:numPr>
        <w:suppressAutoHyphens w:val="0"/>
        <w:autoSpaceDN/>
        <w:spacing w:line="400" w:lineRule="exact"/>
        <w:ind w:left="993" w:firstLine="0"/>
        <w:textAlignment w:val="auto"/>
        <w:rPr>
          <w:rFonts w:ascii="標楷體" w:eastAsia="標楷體" w:cs="標楷體"/>
          <w:color w:val="000000"/>
        </w:rPr>
      </w:pPr>
      <w:r w:rsidRPr="00612EBB">
        <w:rPr>
          <w:rFonts w:ascii="標楷體" w:eastAsia="標楷體" w:cs="標楷體" w:hint="eastAsia"/>
          <w:color w:val="000000"/>
        </w:rPr>
        <w:lastRenderedPageBreak/>
        <w:t>周邊血液血小板&lt;20,000/μL</w:t>
      </w:r>
    </w:p>
    <w:p w14:paraId="5D4C4A55" w14:textId="77777777" w:rsidR="00521B12" w:rsidRPr="00612EBB" w:rsidRDefault="00521B12" w:rsidP="002144EC">
      <w:pPr>
        <w:pStyle w:val="af"/>
        <w:numPr>
          <w:ilvl w:val="0"/>
          <w:numId w:val="157"/>
        </w:numPr>
        <w:suppressAutoHyphens w:val="0"/>
        <w:autoSpaceDN/>
        <w:spacing w:line="400" w:lineRule="exact"/>
        <w:ind w:left="993" w:firstLine="0"/>
        <w:textAlignment w:val="auto"/>
        <w:rPr>
          <w:rFonts w:ascii="標楷體" w:eastAsia="標楷體" w:cs="標楷體"/>
          <w:color w:val="000000"/>
        </w:rPr>
      </w:pPr>
      <w:r w:rsidRPr="00612EBB">
        <w:rPr>
          <w:rFonts w:ascii="標楷體" w:eastAsia="標楷體" w:cs="標楷體" w:hint="eastAsia"/>
          <w:color w:val="000000"/>
        </w:rPr>
        <w:t>周邊血液網狀紅血球&lt;60,000/μL</w:t>
      </w:r>
    </w:p>
    <w:p w14:paraId="52CC902B" w14:textId="77777777" w:rsidR="00521B12" w:rsidRPr="00612EBB" w:rsidRDefault="00521B12" w:rsidP="002144EC">
      <w:pPr>
        <w:pStyle w:val="af"/>
        <w:numPr>
          <w:ilvl w:val="0"/>
          <w:numId w:val="156"/>
        </w:numPr>
        <w:suppressAutoHyphens w:val="0"/>
        <w:autoSpaceDN/>
        <w:spacing w:line="400" w:lineRule="exact"/>
        <w:ind w:left="1134" w:firstLine="0"/>
        <w:textAlignment w:val="auto"/>
        <w:rPr>
          <w:rFonts w:ascii="標楷體" w:eastAsia="標楷體" w:cs="標楷體"/>
          <w:color w:val="000000"/>
        </w:rPr>
      </w:pPr>
      <w:r w:rsidRPr="00612EBB">
        <w:rPr>
          <w:rFonts w:ascii="標楷體" w:eastAsia="標楷體" w:cs="標楷體"/>
          <w:color w:val="000000"/>
        </w:rPr>
        <w:t>不適合接受幹細胞移植的病</w:t>
      </w:r>
      <w:r w:rsidRPr="00612EBB">
        <w:rPr>
          <w:rFonts w:ascii="標楷體" w:eastAsia="標楷體" w:cs="標楷體" w:hint="eastAsia"/>
          <w:color w:val="000000"/>
        </w:rPr>
        <w:t>人</w:t>
      </w:r>
      <w:r w:rsidRPr="00612EBB">
        <w:rPr>
          <w:rFonts w:ascii="標楷體" w:eastAsia="標楷體" w:cs="標楷體"/>
          <w:color w:val="000000"/>
        </w:rPr>
        <w:t>。(112/1/1)</w:t>
      </w:r>
    </w:p>
    <w:p w14:paraId="0CC3B40A" w14:textId="77777777" w:rsidR="00521B12" w:rsidRPr="00612EBB" w:rsidRDefault="00521B12" w:rsidP="002144EC">
      <w:pPr>
        <w:pStyle w:val="af"/>
        <w:numPr>
          <w:ilvl w:val="0"/>
          <w:numId w:val="156"/>
        </w:numPr>
        <w:suppressAutoHyphens w:val="0"/>
        <w:autoSpaceDN/>
        <w:spacing w:line="400" w:lineRule="exact"/>
        <w:ind w:left="1134" w:firstLine="0"/>
        <w:textAlignment w:val="auto"/>
        <w:rPr>
          <w:rFonts w:ascii="標楷體" w:eastAsia="標楷體" w:cs="標楷體"/>
          <w:color w:val="000000"/>
        </w:rPr>
      </w:pPr>
      <w:r w:rsidRPr="00612EBB">
        <w:rPr>
          <w:rFonts w:ascii="標楷體" w:eastAsia="標楷體" w:cs="標楷體" w:hint="eastAsia"/>
          <w:color w:val="000000"/>
          <w:kern w:val="0"/>
        </w:rPr>
        <w:t>已</w:t>
      </w:r>
      <w:proofErr w:type="gramStart"/>
      <w:r w:rsidRPr="00612EBB">
        <w:rPr>
          <w:rFonts w:ascii="標楷體" w:eastAsia="標楷體" w:cs="標楷體" w:hint="eastAsia"/>
          <w:color w:val="000000"/>
          <w:kern w:val="0"/>
        </w:rPr>
        <w:t>接受</w:t>
      </w:r>
      <w:r w:rsidRPr="00612EBB">
        <w:rPr>
          <w:rFonts w:ascii="標楷體" w:eastAsia="標楷體" w:cs="標楷體"/>
          <w:color w:val="000000"/>
          <w:kern w:val="0"/>
        </w:rPr>
        <w:t>抗胸</w:t>
      </w:r>
      <w:r w:rsidRPr="00612EBB">
        <w:rPr>
          <w:rFonts w:ascii="標楷體" w:eastAsia="標楷體" w:cs="標楷體"/>
          <w:color w:val="000000"/>
        </w:rPr>
        <w:t>腺細胞</w:t>
      </w:r>
      <w:proofErr w:type="gramEnd"/>
      <w:r w:rsidRPr="00612EBB">
        <w:rPr>
          <w:rFonts w:ascii="標楷體" w:eastAsia="標楷體" w:cs="標楷體"/>
          <w:color w:val="000000"/>
        </w:rPr>
        <w:t>免疫球蛋白</w:t>
      </w:r>
      <w:r w:rsidRPr="00612EBB">
        <w:rPr>
          <w:rFonts w:ascii="標楷體" w:eastAsia="標楷體" w:cs="標楷體" w:hint="eastAsia"/>
          <w:color w:val="000000"/>
        </w:rPr>
        <w:t>(ATG)治療之病人，若於治療後3個月仍無療效，</w:t>
      </w:r>
      <w:r w:rsidRPr="00612EBB">
        <w:rPr>
          <w:rFonts w:ascii="標楷體" w:eastAsia="標楷體" w:cs="標楷體"/>
          <w:color w:val="000000"/>
        </w:rPr>
        <w:t>或不適於接受</w:t>
      </w:r>
      <w:r w:rsidRPr="00612EBB">
        <w:rPr>
          <w:rFonts w:ascii="標楷體" w:eastAsia="標楷體" w:cs="標楷體" w:hint="eastAsia"/>
          <w:color w:val="000000"/>
        </w:rPr>
        <w:t>ATG</w:t>
      </w:r>
      <w:r w:rsidRPr="00612EBB">
        <w:rPr>
          <w:rFonts w:ascii="標楷體" w:eastAsia="標楷體" w:cs="標楷體"/>
          <w:color w:val="000000"/>
        </w:rPr>
        <w:t>治療的病</w:t>
      </w:r>
      <w:r w:rsidRPr="00612EBB">
        <w:rPr>
          <w:rFonts w:ascii="標楷體" w:eastAsia="標楷體" w:cs="標楷體" w:hint="eastAsia"/>
          <w:color w:val="000000"/>
        </w:rPr>
        <w:t>人。(112/1/1、115/3/1)</w:t>
      </w:r>
    </w:p>
    <w:p w14:paraId="4ADEA51F" w14:textId="77777777" w:rsidR="00A50E4A" w:rsidRPr="00A50E4A" w:rsidRDefault="00521B12" w:rsidP="002144EC">
      <w:pPr>
        <w:pStyle w:val="af"/>
        <w:numPr>
          <w:ilvl w:val="0"/>
          <w:numId w:val="156"/>
        </w:numPr>
        <w:suppressAutoHyphens w:val="0"/>
        <w:autoSpaceDN/>
        <w:spacing w:line="400" w:lineRule="exact"/>
        <w:ind w:left="1134" w:firstLine="0"/>
        <w:textAlignment w:val="auto"/>
        <w:rPr>
          <w:rFonts w:ascii="標楷體" w:eastAsia="標楷體" w:cs="標楷體"/>
          <w:color w:val="000000"/>
          <w:kern w:val="0"/>
        </w:rPr>
      </w:pPr>
      <w:r w:rsidRPr="00612EBB">
        <w:rPr>
          <w:rFonts w:ascii="標楷體" w:eastAsia="標楷體" w:cs="標楷體" w:hint="eastAsia"/>
          <w:color w:val="000000"/>
        </w:rPr>
        <w:t>需經事前審查</w:t>
      </w:r>
      <w:r w:rsidRPr="00612EBB">
        <w:rPr>
          <w:rFonts w:ascii="標楷體" w:eastAsia="標楷體" w:cs="標楷體" w:hint="eastAsia"/>
          <w:color w:val="000000"/>
          <w:kern w:val="0"/>
        </w:rPr>
        <w:t>核准後使用，使用劑量上限為 150 mg/天。首次申請之療程以4個月為限，之後每6個月評估及申請，送審時需檢附血液檢查報告。(</w:t>
      </w:r>
      <w:r w:rsidRPr="00612EBB">
        <w:rPr>
          <w:rFonts w:ascii="標楷體" w:eastAsia="標楷體" w:hAnsi="標楷體"/>
          <w:color w:val="000000"/>
        </w:rPr>
        <w:t>108/6/1</w:t>
      </w:r>
      <w:r w:rsidRPr="00612EBB">
        <w:rPr>
          <w:rFonts w:ascii="標楷體" w:eastAsia="標楷體" w:hAnsi="標楷體" w:hint="eastAsia"/>
          <w:color w:val="000000"/>
        </w:rPr>
        <w:t>、115/3/1)</w:t>
      </w:r>
    </w:p>
    <w:p w14:paraId="5A7166A9" w14:textId="77777777" w:rsidR="00401786" w:rsidRPr="00A50E4A" w:rsidRDefault="00521B12" w:rsidP="002144EC">
      <w:pPr>
        <w:pStyle w:val="af"/>
        <w:numPr>
          <w:ilvl w:val="0"/>
          <w:numId w:val="156"/>
        </w:numPr>
        <w:suppressAutoHyphens w:val="0"/>
        <w:autoSpaceDN/>
        <w:spacing w:line="400" w:lineRule="exact"/>
        <w:ind w:left="1134" w:firstLine="0"/>
        <w:textAlignment w:val="auto"/>
        <w:rPr>
          <w:rFonts w:ascii="標楷體" w:eastAsia="標楷體" w:cs="標楷體"/>
          <w:color w:val="000000"/>
          <w:kern w:val="0"/>
        </w:rPr>
      </w:pPr>
      <w:proofErr w:type="spellStart"/>
      <w:r w:rsidRPr="00A50E4A">
        <w:rPr>
          <w:rFonts w:ascii="標楷體" w:eastAsia="標楷體" w:cs="標楷體" w:hint="eastAsia"/>
          <w:color w:val="000000"/>
        </w:rPr>
        <w:t>E</w:t>
      </w:r>
      <w:r w:rsidRPr="00A50E4A">
        <w:rPr>
          <w:rFonts w:ascii="標楷體" w:eastAsia="標楷體" w:cs="標楷體"/>
          <w:color w:val="000000"/>
        </w:rPr>
        <w:t>ltrombopag</w:t>
      </w:r>
      <w:proofErr w:type="spellEnd"/>
      <w:r w:rsidRPr="00A50E4A">
        <w:rPr>
          <w:rFonts w:ascii="標楷體" w:eastAsia="標楷體" w:cs="標楷體"/>
          <w:color w:val="000000"/>
          <w:kern w:val="0"/>
        </w:rPr>
        <w:t>與romiplostim僅得擇</w:t>
      </w:r>
      <w:proofErr w:type="gramStart"/>
      <w:r w:rsidRPr="00A50E4A">
        <w:rPr>
          <w:rFonts w:ascii="標楷體" w:eastAsia="標楷體" w:cs="標楷體"/>
          <w:color w:val="000000"/>
          <w:kern w:val="0"/>
        </w:rPr>
        <w:t>一</w:t>
      </w:r>
      <w:proofErr w:type="gramEnd"/>
      <w:r w:rsidRPr="00A50E4A">
        <w:rPr>
          <w:rFonts w:ascii="標楷體" w:eastAsia="標楷體" w:cs="標楷體"/>
          <w:color w:val="000000"/>
          <w:kern w:val="0"/>
        </w:rPr>
        <w:t>使用，</w:t>
      </w:r>
      <w:proofErr w:type="gramStart"/>
      <w:r w:rsidRPr="00A50E4A">
        <w:rPr>
          <w:rFonts w:ascii="標楷體" w:eastAsia="標楷體" w:cs="標楷體"/>
          <w:color w:val="000000"/>
          <w:kern w:val="0"/>
        </w:rPr>
        <w:t>惟有在耐受</w:t>
      </w:r>
      <w:proofErr w:type="gramEnd"/>
      <w:r w:rsidRPr="00A50E4A">
        <w:rPr>
          <w:rFonts w:ascii="標楷體" w:eastAsia="標楷體" w:cs="標楷體"/>
          <w:color w:val="000000"/>
          <w:kern w:val="0"/>
        </w:rPr>
        <w:t>不良時方可轉換使用。(112/1/1</w:t>
      </w:r>
      <w:r w:rsidRPr="00A50E4A">
        <w:rPr>
          <w:rFonts w:ascii="標楷體" w:eastAsia="標楷體" w:hAnsi="標楷體" w:hint="eastAsia"/>
          <w:color w:val="000000"/>
        </w:rPr>
        <w:t>、115/3/1</w:t>
      </w:r>
      <w:r w:rsidRPr="00A50E4A">
        <w:rPr>
          <w:rFonts w:ascii="標楷體" w:eastAsia="標楷體" w:cs="標楷體"/>
          <w:color w:val="000000"/>
          <w:kern w:val="0"/>
        </w:rPr>
        <w:t>)</w:t>
      </w:r>
    </w:p>
    <w:p w14:paraId="4B7C3769" w14:textId="77777777" w:rsidR="00401786" w:rsidRDefault="00C64FB3" w:rsidP="0009639E">
      <w:pPr>
        <w:pStyle w:val="af"/>
        <w:spacing w:line="300" w:lineRule="exact"/>
        <w:ind w:left="684" w:hanging="684"/>
      </w:pPr>
      <w:r>
        <w:rPr>
          <w:rFonts w:ascii="標楷體" w:eastAsia="標楷體" w:hAnsi="標楷體"/>
          <w:color w:val="000000"/>
          <w:lang w:val="it-IT"/>
        </w:rPr>
        <w:t>4.3.2.2.Romiplostim (</w:t>
      </w:r>
      <w:r>
        <w:rPr>
          <w:rFonts w:ascii="標楷體" w:eastAsia="標楷體" w:hAnsi="標楷體"/>
          <w:color w:val="000000"/>
        </w:rPr>
        <w:t>如</w:t>
      </w:r>
      <w:r>
        <w:rPr>
          <w:rFonts w:ascii="標楷體" w:eastAsia="標楷體" w:hAnsi="標楷體"/>
          <w:color w:val="000000"/>
          <w:lang w:val="it-IT"/>
        </w:rPr>
        <w:t>Romiplate) (108/6/1</w:t>
      </w:r>
      <w:r>
        <w:rPr>
          <w:rFonts w:ascii="標楷體" w:eastAsia="標楷體" w:hAnsi="標楷體"/>
          <w:color w:val="000000"/>
          <w:szCs w:val="24"/>
        </w:rPr>
        <w:t>、</w:t>
      </w:r>
      <w:r>
        <w:rPr>
          <w:rFonts w:ascii="標楷體" w:eastAsia="標楷體" w:hAnsi="標楷體"/>
          <w:color w:val="000000"/>
          <w:szCs w:val="24"/>
          <w:lang w:val="it-IT"/>
        </w:rPr>
        <w:t>112/1/1</w:t>
      </w:r>
      <w:r>
        <w:rPr>
          <w:rFonts w:ascii="標楷體" w:eastAsia="標楷體" w:hAnsi="標楷體"/>
          <w:color w:val="000000"/>
          <w:lang w:val="it-IT"/>
        </w:rPr>
        <w:t>)</w:t>
      </w:r>
    </w:p>
    <w:p w14:paraId="7766A510" w14:textId="77777777" w:rsidR="00401786" w:rsidRDefault="00C64FB3" w:rsidP="0009639E">
      <w:pPr>
        <w:pStyle w:val="af"/>
        <w:spacing w:line="300" w:lineRule="exact"/>
        <w:ind w:left="878" w:hanging="240"/>
      </w:pPr>
      <w:r>
        <w:rPr>
          <w:rFonts w:ascii="標楷體" w:eastAsia="標楷體" w:hAnsi="標楷體"/>
          <w:color w:val="000000"/>
          <w:szCs w:val="24"/>
          <w:lang w:val="it-IT"/>
        </w:rPr>
        <w:t>1.</w:t>
      </w:r>
      <w:r>
        <w:rPr>
          <w:rFonts w:ascii="標楷體" w:eastAsia="標楷體" w:hAnsi="標楷體"/>
          <w:color w:val="000000"/>
          <w:szCs w:val="24"/>
        </w:rPr>
        <w:t>限用於成年慢性自發性</w:t>
      </w:r>
      <w:r>
        <w:rPr>
          <w:rFonts w:ascii="標楷體" w:eastAsia="標楷體" w:hAnsi="標楷體"/>
          <w:color w:val="000000"/>
          <w:szCs w:val="24"/>
          <w:lang w:val="it-IT"/>
        </w:rPr>
        <w:t>(</w:t>
      </w:r>
      <w:r>
        <w:rPr>
          <w:rFonts w:ascii="標楷體" w:eastAsia="標楷體" w:hAnsi="標楷體"/>
          <w:color w:val="000000"/>
          <w:szCs w:val="24"/>
        </w:rPr>
        <w:t>免疫性</w:t>
      </w:r>
      <w:r>
        <w:rPr>
          <w:rFonts w:ascii="標楷體" w:eastAsia="標楷體" w:hAnsi="標楷體"/>
          <w:color w:val="000000"/>
          <w:szCs w:val="24"/>
          <w:lang w:val="it-IT"/>
        </w:rPr>
        <w:t>)</w:t>
      </w:r>
      <w:r>
        <w:rPr>
          <w:rFonts w:ascii="標楷體" w:eastAsia="標楷體" w:hAnsi="標楷體"/>
          <w:color w:val="000000"/>
          <w:szCs w:val="24"/>
        </w:rPr>
        <w:t>血小板缺乏</w:t>
      </w:r>
      <w:proofErr w:type="gramStart"/>
      <w:r>
        <w:rPr>
          <w:rFonts w:ascii="標楷體" w:eastAsia="標楷體" w:hAnsi="標楷體"/>
          <w:color w:val="000000"/>
          <w:szCs w:val="24"/>
        </w:rPr>
        <w:t>紫斑症</w:t>
      </w:r>
      <w:proofErr w:type="gramEnd"/>
      <w:r>
        <w:rPr>
          <w:rFonts w:ascii="標楷體" w:eastAsia="標楷體" w:hAnsi="標楷體"/>
          <w:color w:val="000000"/>
          <w:szCs w:val="24"/>
          <w:lang w:val="it-IT"/>
        </w:rPr>
        <w:t>(ITP)</w:t>
      </w:r>
      <w:r>
        <w:rPr>
          <w:rFonts w:ascii="標楷體" w:eastAsia="標楷體" w:hAnsi="標楷體"/>
          <w:color w:val="000000"/>
          <w:szCs w:val="24"/>
        </w:rPr>
        <w:t>且對於其他治療</w:t>
      </w:r>
      <w:r>
        <w:rPr>
          <w:rFonts w:ascii="標楷體" w:eastAsia="標楷體" w:hAnsi="標楷體"/>
          <w:color w:val="000000"/>
          <w:szCs w:val="24"/>
          <w:lang w:val="it-IT"/>
        </w:rPr>
        <w:t>(</w:t>
      </w:r>
      <w:r>
        <w:rPr>
          <w:rFonts w:ascii="標楷體" w:eastAsia="標楷體" w:hAnsi="標楷體"/>
          <w:color w:val="000000"/>
          <w:szCs w:val="24"/>
        </w:rPr>
        <w:t>例如</w:t>
      </w:r>
      <w:r>
        <w:rPr>
          <w:rFonts w:ascii="標楷體" w:eastAsia="標楷體" w:hAnsi="標楷體"/>
          <w:color w:val="000000"/>
          <w:szCs w:val="24"/>
          <w:lang w:val="it-IT"/>
        </w:rPr>
        <w:t>：</w:t>
      </w:r>
      <w:r>
        <w:rPr>
          <w:rFonts w:ascii="標楷體" w:eastAsia="標楷體" w:hAnsi="標楷體"/>
          <w:color w:val="000000"/>
          <w:szCs w:val="24"/>
        </w:rPr>
        <w:t>類固醇、免疫球蛋白等</w:t>
      </w:r>
      <w:r>
        <w:rPr>
          <w:rFonts w:ascii="標楷體" w:eastAsia="標楷體" w:hAnsi="標楷體"/>
          <w:color w:val="000000"/>
          <w:szCs w:val="24"/>
          <w:lang w:val="it-IT"/>
        </w:rPr>
        <w:t>)</w:t>
      </w:r>
      <w:r>
        <w:rPr>
          <w:rFonts w:ascii="標楷體" w:eastAsia="標楷體" w:hAnsi="標楷體"/>
          <w:color w:val="000000"/>
          <w:szCs w:val="24"/>
        </w:rPr>
        <w:t>失敗患者</w:t>
      </w:r>
      <w:r>
        <w:rPr>
          <w:rFonts w:ascii="標楷體" w:eastAsia="標楷體" w:hAnsi="標楷體"/>
          <w:color w:val="000000"/>
          <w:szCs w:val="24"/>
          <w:lang w:val="it-IT"/>
        </w:rPr>
        <w:t>，</w:t>
      </w:r>
      <w:r>
        <w:rPr>
          <w:rFonts w:ascii="標楷體" w:eastAsia="標楷體" w:hAnsi="標楷體"/>
          <w:color w:val="000000"/>
          <w:szCs w:val="24"/>
        </w:rPr>
        <w:t>且符合下列情況之</w:t>
      </w:r>
      <w:proofErr w:type="gramStart"/>
      <w:r>
        <w:rPr>
          <w:rFonts w:ascii="標楷體" w:eastAsia="標楷體" w:hAnsi="標楷體"/>
          <w:color w:val="000000"/>
          <w:szCs w:val="24"/>
        </w:rPr>
        <w:t>一</w:t>
      </w:r>
      <w:proofErr w:type="gramEnd"/>
      <w:r>
        <w:rPr>
          <w:rFonts w:ascii="標楷體" w:eastAsia="標楷體" w:hAnsi="標楷體"/>
          <w:color w:val="000000"/>
          <w:szCs w:val="24"/>
        </w:rPr>
        <w:t>者使用</w:t>
      </w:r>
      <w:r>
        <w:rPr>
          <w:rFonts w:ascii="標楷體" w:eastAsia="標楷體" w:hAnsi="標楷體"/>
          <w:color w:val="000000"/>
          <w:szCs w:val="24"/>
          <w:lang w:val="it-IT"/>
        </w:rPr>
        <w:t>：(105/8/1</w:t>
      </w:r>
      <w:r>
        <w:rPr>
          <w:rFonts w:ascii="標楷體" w:eastAsia="標楷體" w:hAnsi="標楷體"/>
          <w:color w:val="000000"/>
          <w:szCs w:val="24"/>
        </w:rPr>
        <w:t>、</w:t>
      </w:r>
      <w:r>
        <w:rPr>
          <w:rFonts w:ascii="標楷體" w:eastAsia="標楷體" w:hAnsi="標楷體"/>
          <w:color w:val="000000"/>
          <w:szCs w:val="24"/>
          <w:lang w:val="it-IT"/>
        </w:rPr>
        <w:t>106/4/1</w:t>
      </w:r>
      <w:r>
        <w:rPr>
          <w:rFonts w:ascii="標楷體" w:eastAsia="標楷體" w:hAnsi="標楷體"/>
          <w:color w:val="000000"/>
          <w:szCs w:val="24"/>
        </w:rPr>
        <w:t>、</w:t>
      </w:r>
      <w:r>
        <w:rPr>
          <w:rFonts w:ascii="標楷體" w:eastAsia="標楷體" w:hAnsi="標楷體"/>
          <w:color w:val="000000"/>
          <w:szCs w:val="24"/>
          <w:lang w:val="it-IT"/>
        </w:rPr>
        <w:t>112/1/1)</w:t>
      </w:r>
    </w:p>
    <w:p w14:paraId="37D7428F" w14:textId="77777777" w:rsidR="00401786" w:rsidRDefault="00C64FB3" w:rsidP="0009639E">
      <w:pPr>
        <w:pStyle w:val="af"/>
        <w:spacing w:line="300" w:lineRule="exact"/>
        <w:ind w:left="758"/>
      </w:pPr>
      <w:r>
        <w:rPr>
          <w:rFonts w:ascii="標楷體" w:eastAsia="標楷體" w:hAnsi="標楷體"/>
          <w:color w:val="000000"/>
          <w:szCs w:val="24"/>
          <w:lang w:val="it-IT"/>
        </w:rPr>
        <w:t>(1)未曾</w:t>
      </w:r>
      <w:r>
        <w:rPr>
          <w:rFonts w:ascii="標楷體" w:eastAsia="標楷體" w:hAnsi="標楷體"/>
          <w:color w:val="000000"/>
          <w:szCs w:val="24"/>
        </w:rPr>
        <w:t>接受</w:t>
      </w:r>
      <w:r>
        <w:rPr>
          <w:rFonts w:ascii="標楷體" w:eastAsia="標楷體" w:hAnsi="標楷體"/>
          <w:color w:val="000000"/>
          <w:szCs w:val="24"/>
          <w:lang w:val="it-IT"/>
        </w:rPr>
        <w:t>脾臟切除患者，且符合：</w:t>
      </w:r>
      <w:r>
        <w:rPr>
          <w:rFonts w:ascii="標楷體" w:eastAsia="標楷體" w:hAnsi="標楷體"/>
          <w:color w:val="000000"/>
          <w:szCs w:val="24"/>
        </w:rPr>
        <w:t>(112/1/1)</w:t>
      </w:r>
    </w:p>
    <w:p w14:paraId="58214994" w14:textId="77777777" w:rsidR="00401786" w:rsidRDefault="00C64FB3" w:rsidP="0009639E">
      <w:pPr>
        <w:pStyle w:val="af"/>
        <w:spacing w:line="300" w:lineRule="exact"/>
        <w:ind w:left="998"/>
      </w:pPr>
      <w:r>
        <w:rPr>
          <w:rFonts w:ascii="標楷體" w:eastAsia="標楷體" w:hAnsi="標楷體"/>
          <w:color w:val="000000"/>
          <w:szCs w:val="24"/>
          <w:lang w:val="it-IT"/>
        </w:rPr>
        <w:t>Ⅰ.</w:t>
      </w:r>
      <w:r>
        <w:rPr>
          <w:rFonts w:ascii="標楷體" w:eastAsia="標楷體" w:hAnsi="標楷體"/>
          <w:color w:val="000000"/>
          <w:szCs w:val="24"/>
        </w:rPr>
        <w:t>需接受計畫性手術或侵入性檢查並具出血危險者，且血小板＜80,000/</w:t>
      </w:r>
      <w:proofErr w:type="spellStart"/>
      <w:r>
        <w:rPr>
          <w:rFonts w:ascii="標楷體" w:eastAsia="標楷體" w:hAnsi="標楷體"/>
          <w:color w:val="000000"/>
          <w:szCs w:val="24"/>
        </w:rPr>
        <w:t>uL</w:t>
      </w:r>
      <w:proofErr w:type="spellEnd"/>
      <w:r>
        <w:rPr>
          <w:rFonts w:ascii="標楷體" w:eastAsia="標楷體" w:hAnsi="標楷體"/>
          <w:color w:val="000000"/>
          <w:szCs w:val="24"/>
        </w:rPr>
        <w:t>。</w:t>
      </w:r>
    </w:p>
    <w:p w14:paraId="1010A69C" w14:textId="77777777" w:rsidR="00401786" w:rsidRDefault="00C64FB3" w:rsidP="0009639E">
      <w:pPr>
        <w:pStyle w:val="af"/>
        <w:spacing w:line="300" w:lineRule="exact"/>
        <w:ind w:left="998"/>
      </w:pPr>
      <w:r>
        <w:rPr>
          <w:rFonts w:ascii="標楷體" w:eastAsia="標楷體" w:hAnsi="標楷體"/>
          <w:color w:val="000000"/>
          <w:szCs w:val="24"/>
        </w:rPr>
        <w:t>Ⅱ.具</w:t>
      </w:r>
      <w:r>
        <w:rPr>
          <w:rFonts w:ascii="標楷體" w:eastAsia="標楷體" w:hAnsi="標楷體"/>
          <w:color w:val="000000"/>
          <w:szCs w:val="24"/>
          <w:lang w:val="it-IT"/>
        </w:rPr>
        <w:t>有下列不適合進行脾臟切除之其一條件：</w:t>
      </w:r>
    </w:p>
    <w:p w14:paraId="69D45B1A" w14:textId="77777777" w:rsidR="00401786" w:rsidRDefault="00C64FB3" w:rsidP="0009639E">
      <w:pPr>
        <w:pStyle w:val="af"/>
        <w:spacing w:line="300" w:lineRule="exact"/>
        <w:ind w:left="1238"/>
      </w:pPr>
      <w:r>
        <w:rPr>
          <w:rFonts w:ascii="標楷體" w:eastAsia="標楷體" w:hAnsi="標楷體"/>
          <w:color w:val="000000"/>
          <w:szCs w:val="24"/>
          <w:lang w:val="it-IT"/>
        </w:rPr>
        <w:t>i.經麻醉</w:t>
      </w:r>
      <w:r>
        <w:rPr>
          <w:rFonts w:ascii="標楷體" w:eastAsia="標楷體" w:hAnsi="標楷體"/>
          <w:color w:val="000000"/>
          <w:szCs w:val="24"/>
        </w:rPr>
        <w:t>科醫師評估無法耐受全身性麻醉。</w:t>
      </w:r>
    </w:p>
    <w:p w14:paraId="12B7E9A3" w14:textId="77777777" w:rsidR="00401786" w:rsidRDefault="00C64FB3" w:rsidP="0009639E">
      <w:pPr>
        <w:pStyle w:val="af"/>
        <w:spacing w:line="300" w:lineRule="exact"/>
        <w:ind w:left="1238"/>
        <w:rPr>
          <w:rFonts w:ascii="標楷體" w:eastAsia="標楷體" w:hAnsi="標楷體"/>
          <w:color w:val="000000"/>
          <w:szCs w:val="24"/>
        </w:rPr>
      </w:pPr>
      <w:r>
        <w:rPr>
          <w:rFonts w:ascii="標楷體" w:eastAsia="標楷體" w:hAnsi="標楷體"/>
          <w:color w:val="000000"/>
          <w:szCs w:val="24"/>
        </w:rPr>
        <w:t>ii.難以</w:t>
      </w:r>
      <w:proofErr w:type="gramStart"/>
      <w:r>
        <w:rPr>
          <w:rFonts w:ascii="標楷體" w:eastAsia="標楷體" w:hAnsi="標楷體"/>
          <w:color w:val="000000"/>
          <w:szCs w:val="24"/>
        </w:rPr>
        <w:t>控制之凝血</w:t>
      </w:r>
      <w:proofErr w:type="gramEnd"/>
      <w:r>
        <w:rPr>
          <w:rFonts w:ascii="標楷體" w:eastAsia="標楷體" w:hAnsi="標楷體"/>
          <w:color w:val="000000"/>
          <w:szCs w:val="24"/>
        </w:rPr>
        <w:t>機能障礙。</w:t>
      </w:r>
    </w:p>
    <w:p w14:paraId="348AC8FD" w14:textId="77777777" w:rsidR="00401786" w:rsidRDefault="00C64FB3" w:rsidP="0009639E">
      <w:pPr>
        <w:pStyle w:val="af"/>
        <w:spacing w:line="300" w:lineRule="exact"/>
        <w:ind w:left="1238"/>
        <w:rPr>
          <w:rFonts w:ascii="標楷體" w:eastAsia="標楷體" w:hAnsi="標楷體"/>
          <w:color w:val="000000"/>
          <w:szCs w:val="24"/>
        </w:rPr>
      </w:pPr>
      <w:r>
        <w:rPr>
          <w:rFonts w:ascii="標楷體" w:eastAsia="標楷體" w:hAnsi="標楷體"/>
          <w:color w:val="000000"/>
          <w:szCs w:val="24"/>
        </w:rPr>
        <w:t>iii.心、肺等主要臟器功能不全。</w:t>
      </w:r>
    </w:p>
    <w:p w14:paraId="4B4D6348" w14:textId="77777777" w:rsidR="00401786" w:rsidRDefault="00C64FB3" w:rsidP="0009639E">
      <w:pPr>
        <w:pStyle w:val="af"/>
        <w:spacing w:line="300" w:lineRule="exact"/>
        <w:ind w:left="1238"/>
      </w:pPr>
      <w:r>
        <w:rPr>
          <w:rFonts w:ascii="標楷體" w:eastAsia="標楷體" w:hAnsi="標楷體"/>
          <w:color w:val="000000"/>
          <w:szCs w:val="24"/>
        </w:rPr>
        <w:t>iv.有其他</w:t>
      </w:r>
      <w:proofErr w:type="gramStart"/>
      <w:r>
        <w:rPr>
          <w:rFonts w:ascii="標楷體" w:eastAsia="標楷體" w:hAnsi="標楷體"/>
          <w:color w:val="000000"/>
          <w:szCs w:val="24"/>
          <w:lang w:val="it-IT"/>
        </w:rPr>
        <w:t>重大共病</w:t>
      </w:r>
      <w:proofErr w:type="gramEnd"/>
      <w:r>
        <w:rPr>
          <w:rFonts w:ascii="標楷體" w:eastAsia="標楷體" w:hAnsi="標楷體"/>
          <w:color w:val="000000"/>
          <w:szCs w:val="24"/>
          <w:lang w:val="it-IT"/>
        </w:rPr>
        <w:t>，經臨床醫師判斷不適合進行脾臟切除。</w:t>
      </w:r>
    </w:p>
    <w:p w14:paraId="72E6A508" w14:textId="77777777" w:rsidR="00401786" w:rsidRDefault="00C64FB3" w:rsidP="0009639E">
      <w:pPr>
        <w:pStyle w:val="af"/>
        <w:spacing w:line="300" w:lineRule="exact"/>
        <w:ind w:left="998"/>
      </w:pPr>
      <w:r>
        <w:rPr>
          <w:rFonts w:ascii="標楷體" w:eastAsia="標楷體" w:hAnsi="標楷體"/>
          <w:color w:val="000000"/>
          <w:szCs w:val="24"/>
          <w:lang w:val="it-IT"/>
        </w:rPr>
        <w:t>Ⅲ.</w:t>
      </w:r>
      <w:r>
        <w:rPr>
          <w:rFonts w:ascii="標楷體" w:eastAsia="標楷體" w:hAnsi="標楷體"/>
          <w:color w:val="000000"/>
          <w:szCs w:val="24"/>
        </w:rPr>
        <w:t xml:space="preserve"> 未曾接受脾臟切除患者須經事前審查同意使用，限用12</w:t>
      </w:r>
      <w:proofErr w:type="gramStart"/>
      <w:r>
        <w:rPr>
          <w:rFonts w:ascii="標楷體" w:eastAsia="標楷體" w:hAnsi="標楷體"/>
          <w:color w:val="000000"/>
          <w:szCs w:val="24"/>
        </w:rPr>
        <w:t>週</w:t>
      </w:r>
      <w:proofErr w:type="gramEnd"/>
      <w:r>
        <w:rPr>
          <w:rFonts w:ascii="標楷體" w:eastAsia="標楷體" w:hAnsi="標楷體"/>
          <w:color w:val="000000"/>
          <w:szCs w:val="24"/>
          <w:lang w:val="it-IT"/>
        </w:rPr>
        <w:t>。</w:t>
      </w:r>
    </w:p>
    <w:p w14:paraId="155628FB" w14:textId="77777777" w:rsidR="00401786" w:rsidRDefault="00C64FB3" w:rsidP="0009639E">
      <w:pPr>
        <w:pStyle w:val="af"/>
        <w:spacing w:line="300" w:lineRule="exact"/>
        <w:ind w:left="1068" w:hanging="389"/>
        <w:rPr>
          <w:rFonts w:ascii="標楷體" w:eastAsia="標楷體" w:hAnsi="標楷體"/>
          <w:color w:val="000000"/>
          <w:szCs w:val="24"/>
        </w:rPr>
      </w:pPr>
      <w:r>
        <w:rPr>
          <w:rFonts w:ascii="標楷體" w:eastAsia="標楷體" w:hAnsi="標楷體"/>
          <w:color w:val="000000"/>
          <w:szCs w:val="24"/>
        </w:rPr>
        <w:t>(2)未曾接受脾臟切除且不適合進行脾臟切除之患者，並符合下列所有條件：(112/1/1)</w:t>
      </w:r>
    </w:p>
    <w:p w14:paraId="256EEF71" w14:textId="77777777" w:rsidR="00401786" w:rsidRDefault="00C64FB3" w:rsidP="0009639E">
      <w:pPr>
        <w:pStyle w:val="af"/>
        <w:spacing w:line="300" w:lineRule="exact"/>
        <w:ind w:left="1356" w:hanging="365"/>
      </w:pPr>
      <w:r>
        <w:rPr>
          <w:rFonts w:ascii="標楷體" w:eastAsia="標楷體" w:hAnsi="標楷體"/>
          <w:color w:val="000000"/>
          <w:szCs w:val="24"/>
        </w:rPr>
        <w:t>Ⅰ.長期血小板＜20,000/</w:t>
      </w:r>
      <w:proofErr w:type="spellStart"/>
      <w:r>
        <w:rPr>
          <w:rFonts w:ascii="標楷體" w:eastAsia="標楷體" w:hAnsi="標楷體"/>
          <w:color w:val="000000"/>
          <w:szCs w:val="24"/>
        </w:rPr>
        <w:t>μL</w:t>
      </w:r>
      <w:proofErr w:type="spellEnd"/>
      <w:r>
        <w:rPr>
          <w:rFonts w:ascii="標楷體" w:eastAsia="標楷體" w:hAnsi="標楷體"/>
          <w:color w:val="000000"/>
          <w:szCs w:val="24"/>
        </w:rPr>
        <w:t>(三個月內至少兩次)，且</w:t>
      </w:r>
      <w:proofErr w:type="gramStart"/>
      <w:r>
        <w:rPr>
          <w:rFonts w:ascii="標楷體" w:eastAsia="標楷體" w:hAnsi="標楷體"/>
          <w:color w:val="000000"/>
          <w:szCs w:val="24"/>
        </w:rPr>
        <w:t>有紫斑及</w:t>
      </w:r>
      <w:proofErr w:type="gramEnd"/>
      <w:r>
        <w:rPr>
          <w:rFonts w:ascii="標楷體" w:eastAsia="標楷體" w:hAnsi="標楷體"/>
          <w:color w:val="000000"/>
          <w:szCs w:val="24"/>
        </w:rPr>
        <w:t>出血紀錄者。</w:t>
      </w:r>
      <w:r>
        <w:rPr>
          <w:rFonts w:ascii="標楷體" w:eastAsia="標楷體" w:hAnsi="標楷體"/>
          <w:szCs w:val="24"/>
        </w:rPr>
        <w:t>(112/1/1)</w:t>
      </w:r>
    </w:p>
    <w:p w14:paraId="2BE475C1" w14:textId="77777777" w:rsidR="00401786" w:rsidRDefault="00C64FB3" w:rsidP="0009639E">
      <w:pPr>
        <w:pStyle w:val="af"/>
        <w:spacing w:line="300" w:lineRule="exact"/>
        <w:ind w:left="1356" w:hanging="365"/>
      </w:pPr>
      <w:r>
        <w:rPr>
          <w:rFonts w:ascii="標楷體" w:eastAsia="標楷體" w:hAnsi="標楷體"/>
          <w:color w:val="000000"/>
          <w:szCs w:val="24"/>
        </w:rPr>
        <w:t>Ⅱ.須排除</w:t>
      </w:r>
      <w:proofErr w:type="gramStart"/>
      <w:r>
        <w:rPr>
          <w:rFonts w:ascii="標楷體" w:eastAsia="標楷體" w:hAnsi="標楷體"/>
          <w:color w:val="000000"/>
          <w:szCs w:val="24"/>
        </w:rPr>
        <w:t>下列共病</w:t>
      </w:r>
      <w:proofErr w:type="gramEnd"/>
      <w:r>
        <w:rPr>
          <w:rFonts w:ascii="標楷體" w:eastAsia="標楷體" w:hAnsi="標楷體"/>
          <w:color w:val="000000"/>
          <w:szCs w:val="24"/>
        </w:rPr>
        <w:t>：</w:t>
      </w:r>
      <w:proofErr w:type="gramStart"/>
      <w:r>
        <w:rPr>
          <w:rFonts w:ascii="標楷體" w:eastAsia="標楷體" w:hAnsi="標楷體"/>
          <w:color w:val="000000"/>
          <w:szCs w:val="24"/>
        </w:rPr>
        <w:t>脾</w:t>
      </w:r>
      <w:proofErr w:type="gramEnd"/>
      <w:r>
        <w:rPr>
          <w:rFonts w:ascii="標楷體" w:eastAsia="標楷體" w:hAnsi="標楷體"/>
          <w:color w:val="000000"/>
          <w:szCs w:val="24"/>
        </w:rPr>
        <w:t>腫大 (Hypersplenism)、骨髓化生不良症候群(MDS)、再生不良性貧血、 HIV或化學治療相關之血小板低下。</w:t>
      </w:r>
      <w:r>
        <w:rPr>
          <w:rFonts w:ascii="標楷體" w:eastAsia="標楷體" w:hAnsi="標楷體"/>
          <w:szCs w:val="24"/>
        </w:rPr>
        <w:t>(112/1/1)</w:t>
      </w:r>
    </w:p>
    <w:p w14:paraId="76862D53" w14:textId="77777777" w:rsidR="00401786" w:rsidRDefault="00C64FB3" w:rsidP="0009639E">
      <w:pPr>
        <w:pStyle w:val="af"/>
        <w:spacing w:line="300" w:lineRule="exact"/>
        <w:ind w:left="1356" w:hanging="365"/>
      </w:pPr>
      <w:r>
        <w:rPr>
          <w:rFonts w:ascii="標楷體" w:eastAsia="標楷體" w:hAnsi="標楷體"/>
          <w:color w:val="000000"/>
          <w:szCs w:val="24"/>
        </w:rPr>
        <w:t>Ⅲ.須經事前審查同意使用，首次申請限用三個月，如申請續用，之後每六</w:t>
      </w:r>
      <w:proofErr w:type="gramStart"/>
      <w:r>
        <w:rPr>
          <w:rFonts w:ascii="標楷體" w:eastAsia="標楷體" w:hAnsi="標楷體"/>
          <w:color w:val="000000"/>
          <w:szCs w:val="24"/>
        </w:rPr>
        <w:t>個</w:t>
      </w:r>
      <w:proofErr w:type="gramEnd"/>
      <w:r>
        <w:rPr>
          <w:rFonts w:ascii="標楷體" w:eastAsia="標楷體" w:hAnsi="標楷體"/>
          <w:color w:val="000000"/>
          <w:szCs w:val="24"/>
        </w:rPr>
        <w:t>月須再次申請，血小板&gt;50,000/</w:t>
      </w:r>
      <w:proofErr w:type="spellStart"/>
      <w:r>
        <w:rPr>
          <w:rFonts w:ascii="標楷體" w:eastAsia="標楷體" w:hAnsi="標楷體"/>
          <w:color w:val="000000"/>
          <w:szCs w:val="24"/>
        </w:rPr>
        <w:t>μL</w:t>
      </w:r>
      <w:proofErr w:type="spellEnd"/>
      <w:r>
        <w:rPr>
          <w:rFonts w:ascii="標楷體" w:eastAsia="標楷體" w:hAnsi="標楷體"/>
          <w:color w:val="000000"/>
          <w:szCs w:val="24"/>
        </w:rPr>
        <w:t>者方得續用。</w:t>
      </w:r>
      <w:r>
        <w:rPr>
          <w:rFonts w:ascii="標楷體" w:eastAsia="標楷體" w:hAnsi="標楷體"/>
          <w:szCs w:val="24"/>
        </w:rPr>
        <w:t>(112/1/1)</w:t>
      </w:r>
    </w:p>
    <w:p w14:paraId="1485BC8B" w14:textId="77777777" w:rsidR="00401786" w:rsidRDefault="00C64FB3">
      <w:pPr>
        <w:pStyle w:val="af"/>
        <w:numPr>
          <w:ilvl w:val="0"/>
          <w:numId w:val="12"/>
        </w:numPr>
        <w:suppressAutoHyphens w:val="0"/>
        <w:spacing w:line="300" w:lineRule="exact"/>
        <w:ind w:left="1356" w:hanging="365"/>
        <w:textAlignment w:val="auto"/>
      </w:pPr>
      <w:r>
        <w:rPr>
          <w:rFonts w:ascii="標楷體" w:eastAsia="標楷體" w:hAnsi="標楷體"/>
          <w:color w:val="000000"/>
          <w:szCs w:val="24"/>
        </w:rPr>
        <w:t>本藥品與</w:t>
      </w:r>
      <w:proofErr w:type="spellStart"/>
      <w:r>
        <w:rPr>
          <w:rFonts w:ascii="標楷體" w:eastAsia="標楷體" w:hAnsi="標楷體"/>
          <w:color w:val="000000"/>
          <w:szCs w:val="24"/>
        </w:rPr>
        <w:t>eltrombopag</w:t>
      </w:r>
      <w:proofErr w:type="spellEnd"/>
      <w:r>
        <w:rPr>
          <w:rFonts w:ascii="標楷體" w:eastAsia="標楷體" w:hAnsi="標楷體"/>
          <w:color w:val="000000"/>
          <w:szCs w:val="24"/>
        </w:rPr>
        <w:t>僅得擇</w:t>
      </w:r>
      <w:proofErr w:type="gramStart"/>
      <w:r>
        <w:rPr>
          <w:rFonts w:ascii="標楷體" w:eastAsia="標楷體" w:hAnsi="標楷體"/>
          <w:color w:val="000000"/>
          <w:szCs w:val="24"/>
        </w:rPr>
        <w:t>一</w:t>
      </w:r>
      <w:proofErr w:type="gramEnd"/>
      <w:r>
        <w:rPr>
          <w:rFonts w:ascii="標楷體" w:eastAsia="標楷體" w:hAnsi="標楷體"/>
          <w:color w:val="000000"/>
          <w:szCs w:val="24"/>
        </w:rPr>
        <w:t>使用，</w:t>
      </w:r>
      <w:proofErr w:type="gramStart"/>
      <w:r>
        <w:rPr>
          <w:rFonts w:ascii="標楷體" w:eastAsia="標楷體" w:hAnsi="標楷體"/>
          <w:color w:val="000000"/>
          <w:szCs w:val="24"/>
        </w:rPr>
        <w:t>惟有在耐受</w:t>
      </w:r>
      <w:proofErr w:type="gramEnd"/>
      <w:r>
        <w:rPr>
          <w:rFonts w:ascii="標楷體" w:eastAsia="標楷體" w:hAnsi="標楷體"/>
          <w:color w:val="000000"/>
          <w:szCs w:val="24"/>
        </w:rPr>
        <w:t>不良時方可轉換使用。</w:t>
      </w:r>
      <w:r>
        <w:rPr>
          <w:rFonts w:ascii="標楷體" w:eastAsia="標楷體" w:hAnsi="標楷體"/>
          <w:szCs w:val="24"/>
        </w:rPr>
        <w:t>(112/1/1)</w:t>
      </w:r>
    </w:p>
    <w:p w14:paraId="699EEFD8" w14:textId="77777777" w:rsidR="00401786" w:rsidRDefault="00C64FB3" w:rsidP="0009639E">
      <w:pPr>
        <w:pStyle w:val="af"/>
        <w:spacing w:line="300" w:lineRule="exact"/>
        <w:rPr>
          <w:rFonts w:ascii="標楷體" w:eastAsia="標楷體" w:hAnsi="標楷體"/>
          <w:color w:val="000000"/>
          <w:szCs w:val="24"/>
        </w:rPr>
      </w:pPr>
      <w:r>
        <w:rPr>
          <w:rFonts w:ascii="標楷體" w:eastAsia="標楷體" w:hAnsi="標楷體"/>
          <w:color w:val="000000"/>
          <w:szCs w:val="24"/>
        </w:rPr>
        <w:t>(3)若曾接受脾臟切除患者，且符合下列所有條件：(112/1/1)</w:t>
      </w:r>
    </w:p>
    <w:p w14:paraId="11641906" w14:textId="77777777" w:rsidR="00401786" w:rsidRDefault="00C64FB3" w:rsidP="0009639E">
      <w:pPr>
        <w:pStyle w:val="af"/>
        <w:spacing w:line="300" w:lineRule="exact"/>
        <w:ind w:left="1356" w:hanging="362"/>
        <w:rPr>
          <w:rFonts w:ascii="標楷體" w:eastAsia="標楷體" w:hAnsi="標楷體"/>
          <w:color w:val="000000"/>
          <w:szCs w:val="24"/>
        </w:rPr>
      </w:pPr>
      <w:r>
        <w:rPr>
          <w:rFonts w:ascii="標楷體" w:eastAsia="標楷體" w:hAnsi="標楷體"/>
          <w:color w:val="000000"/>
          <w:szCs w:val="24"/>
        </w:rPr>
        <w:t>Ⅰ.治療前血小板＜20,000/</w:t>
      </w:r>
      <w:proofErr w:type="spellStart"/>
      <w:r>
        <w:rPr>
          <w:rFonts w:ascii="標楷體" w:eastAsia="標楷體" w:hAnsi="標楷體"/>
          <w:color w:val="000000"/>
          <w:szCs w:val="24"/>
        </w:rPr>
        <w:t>μL</w:t>
      </w:r>
      <w:proofErr w:type="spellEnd"/>
      <w:r>
        <w:rPr>
          <w:rFonts w:ascii="標楷體" w:eastAsia="標楷體" w:hAnsi="標楷體"/>
          <w:color w:val="000000"/>
          <w:szCs w:val="24"/>
        </w:rPr>
        <w:t>，或有明顯出血症狀者。</w:t>
      </w:r>
    </w:p>
    <w:p w14:paraId="4820AFB4" w14:textId="77777777" w:rsidR="00401786" w:rsidRDefault="00C64FB3" w:rsidP="0009639E">
      <w:pPr>
        <w:pStyle w:val="af"/>
        <w:spacing w:line="300" w:lineRule="exact"/>
        <w:ind w:left="1356" w:hanging="362"/>
        <w:rPr>
          <w:rFonts w:ascii="標楷體" w:eastAsia="標楷體" w:hAnsi="標楷體"/>
          <w:color w:val="000000"/>
          <w:szCs w:val="24"/>
        </w:rPr>
      </w:pPr>
      <w:r>
        <w:rPr>
          <w:rFonts w:ascii="標楷體" w:eastAsia="標楷體" w:hAnsi="標楷體"/>
          <w:color w:val="000000"/>
          <w:szCs w:val="24"/>
        </w:rPr>
        <w:t>Ⅱ.治療12</w:t>
      </w:r>
      <w:proofErr w:type="gramStart"/>
      <w:r>
        <w:rPr>
          <w:rFonts w:ascii="標楷體" w:eastAsia="標楷體" w:hAnsi="標楷體"/>
          <w:color w:val="000000"/>
          <w:szCs w:val="24"/>
        </w:rPr>
        <w:t>週</w:t>
      </w:r>
      <w:proofErr w:type="gramEnd"/>
      <w:r>
        <w:rPr>
          <w:rFonts w:ascii="標楷體" w:eastAsia="標楷體" w:hAnsi="標楷體"/>
          <w:color w:val="000000"/>
          <w:szCs w:val="24"/>
        </w:rPr>
        <w:t>後，若血小板無明顯上升或出血未改善，則不得再繼續使用。</w:t>
      </w:r>
    </w:p>
    <w:p w14:paraId="290172E5" w14:textId="77777777" w:rsidR="00401786" w:rsidRDefault="00C64FB3" w:rsidP="0009639E">
      <w:pPr>
        <w:pStyle w:val="af"/>
        <w:spacing w:line="300" w:lineRule="exact"/>
        <w:ind w:left="1207" w:hanging="398"/>
        <w:rPr>
          <w:rFonts w:ascii="標楷體" w:eastAsia="標楷體" w:hAnsi="標楷體"/>
          <w:color w:val="000000"/>
          <w:szCs w:val="24"/>
        </w:rPr>
      </w:pPr>
      <w:r>
        <w:rPr>
          <w:rFonts w:ascii="標楷體" w:eastAsia="標楷體" w:hAnsi="標楷體"/>
          <w:color w:val="000000"/>
          <w:szCs w:val="24"/>
        </w:rPr>
        <w:t>(4)每週劑量以10μg/kg為上限。(112/1/1)</w:t>
      </w:r>
    </w:p>
    <w:p w14:paraId="37A18140" w14:textId="77777777" w:rsidR="00401786" w:rsidRDefault="00C64FB3" w:rsidP="0009639E">
      <w:pPr>
        <w:pStyle w:val="af"/>
        <w:spacing w:line="300" w:lineRule="exact"/>
        <w:ind w:left="1207" w:hanging="398"/>
        <w:rPr>
          <w:rFonts w:ascii="標楷體" w:eastAsia="標楷體" w:hAnsi="標楷體"/>
          <w:color w:val="000000"/>
          <w:szCs w:val="24"/>
        </w:rPr>
      </w:pPr>
      <w:r>
        <w:rPr>
          <w:rFonts w:ascii="標楷體" w:eastAsia="標楷體" w:hAnsi="標楷體"/>
          <w:color w:val="000000"/>
          <w:szCs w:val="24"/>
        </w:rPr>
        <w:t>(5)治療</w:t>
      </w:r>
      <w:proofErr w:type="gramStart"/>
      <w:r>
        <w:rPr>
          <w:rFonts w:ascii="標楷體" w:eastAsia="標楷體" w:hAnsi="標楷體"/>
          <w:color w:val="000000"/>
          <w:szCs w:val="24"/>
        </w:rPr>
        <w:t>期間，</w:t>
      </w:r>
      <w:proofErr w:type="gramEnd"/>
      <w:r>
        <w:rPr>
          <w:rFonts w:ascii="標楷體" w:eastAsia="標楷體" w:hAnsi="標楷體"/>
          <w:color w:val="000000"/>
          <w:szCs w:val="24"/>
        </w:rPr>
        <w:t>不得同時</w:t>
      </w:r>
      <w:proofErr w:type="gramStart"/>
      <w:r>
        <w:rPr>
          <w:rFonts w:ascii="標楷體" w:eastAsia="標楷體" w:hAnsi="標楷體"/>
          <w:color w:val="000000"/>
          <w:szCs w:val="24"/>
        </w:rPr>
        <w:t>併</w:t>
      </w:r>
      <w:proofErr w:type="gramEnd"/>
      <w:r>
        <w:rPr>
          <w:rFonts w:ascii="標楷體" w:eastAsia="標楷體" w:hAnsi="標楷體"/>
          <w:color w:val="000000"/>
          <w:szCs w:val="24"/>
        </w:rPr>
        <w:t>用免疫球蛋白，且</w:t>
      </w:r>
      <w:proofErr w:type="spellStart"/>
      <w:r>
        <w:rPr>
          <w:rFonts w:ascii="標楷體" w:eastAsia="標楷體" w:hAnsi="標楷體"/>
          <w:color w:val="000000"/>
          <w:szCs w:val="24"/>
        </w:rPr>
        <w:t>eltrombopag</w:t>
      </w:r>
      <w:proofErr w:type="spellEnd"/>
      <w:r>
        <w:rPr>
          <w:rFonts w:ascii="標楷體" w:eastAsia="標楷體" w:hAnsi="標楷體"/>
          <w:color w:val="000000"/>
          <w:szCs w:val="24"/>
        </w:rPr>
        <w:t>與romiplostim不得</w:t>
      </w:r>
      <w:proofErr w:type="gramStart"/>
      <w:r>
        <w:rPr>
          <w:rFonts w:ascii="標楷體" w:eastAsia="標楷體" w:hAnsi="標楷體"/>
          <w:color w:val="000000"/>
          <w:szCs w:val="24"/>
        </w:rPr>
        <w:t>併</w:t>
      </w:r>
      <w:proofErr w:type="gramEnd"/>
      <w:r>
        <w:rPr>
          <w:rFonts w:ascii="標楷體" w:eastAsia="標楷體" w:hAnsi="標楷體"/>
          <w:color w:val="000000"/>
          <w:szCs w:val="24"/>
        </w:rPr>
        <w:t>用。</w:t>
      </w:r>
    </w:p>
    <w:p w14:paraId="49E847B8" w14:textId="77777777" w:rsidR="00401786" w:rsidRDefault="00C64FB3" w:rsidP="0009639E">
      <w:pPr>
        <w:pStyle w:val="af"/>
        <w:spacing w:line="300" w:lineRule="exact"/>
        <w:ind w:left="926" w:hanging="360"/>
        <w:rPr>
          <w:rFonts w:ascii="標楷體" w:eastAsia="標楷體" w:hAnsi="標楷體"/>
          <w:color w:val="000000"/>
          <w:szCs w:val="24"/>
        </w:rPr>
      </w:pPr>
      <w:r>
        <w:rPr>
          <w:rFonts w:ascii="標楷體" w:eastAsia="標楷體" w:hAnsi="標楷體"/>
          <w:color w:val="000000"/>
          <w:szCs w:val="24"/>
        </w:rPr>
        <w:t>2.用於免疫抑制療法(IST)反應不佳的嚴重再生不良性貧血，需同時符合下列條件：(112/1/1)</w:t>
      </w:r>
    </w:p>
    <w:p w14:paraId="6F144504" w14:textId="77777777" w:rsidR="00401786" w:rsidRDefault="00C64FB3" w:rsidP="0009639E">
      <w:pPr>
        <w:pStyle w:val="af"/>
        <w:tabs>
          <w:tab w:val="left" w:pos="1276"/>
        </w:tabs>
        <w:spacing w:line="300" w:lineRule="exact"/>
        <w:ind w:left="1274" w:hanging="422"/>
        <w:rPr>
          <w:rFonts w:ascii="標楷體" w:eastAsia="標楷體" w:hAnsi="標楷體"/>
          <w:color w:val="000000"/>
          <w:szCs w:val="24"/>
        </w:rPr>
      </w:pPr>
      <w:r>
        <w:rPr>
          <w:rFonts w:ascii="標楷體" w:eastAsia="標楷體" w:hAnsi="標楷體"/>
          <w:color w:val="000000"/>
          <w:szCs w:val="24"/>
        </w:rPr>
        <w:t>(1)不適合接受幹細胞移植的病患。</w:t>
      </w:r>
    </w:p>
    <w:p w14:paraId="77A8AF39" w14:textId="77777777" w:rsidR="00401786" w:rsidRDefault="00C64FB3" w:rsidP="0009639E">
      <w:pPr>
        <w:pStyle w:val="af"/>
        <w:tabs>
          <w:tab w:val="left" w:pos="1276"/>
        </w:tabs>
        <w:spacing w:line="300" w:lineRule="exact"/>
        <w:ind w:left="1274" w:hanging="422"/>
        <w:rPr>
          <w:rFonts w:ascii="標楷體" w:eastAsia="標楷體" w:hAnsi="標楷體"/>
          <w:color w:val="000000"/>
          <w:szCs w:val="24"/>
        </w:rPr>
      </w:pPr>
      <w:r>
        <w:rPr>
          <w:rFonts w:ascii="標楷體" w:eastAsia="標楷體" w:hAnsi="標楷體"/>
          <w:color w:val="000000"/>
          <w:szCs w:val="24"/>
        </w:rPr>
        <w:t>(2)已接受或不適合</w:t>
      </w:r>
      <w:proofErr w:type="gramStart"/>
      <w:r>
        <w:rPr>
          <w:rFonts w:ascii="標楷體" w:eastAsia="標楷體" w:hAnsi="標楷體"/>
          <w:color w:val="000000"/>
          <w:szCs w:val="24"/>
        </w:rPr>
        <w:t>接受抗胸腺細胞</w:t>
      </w:r>
      <w:proofErr w:type="gramEnd"/>
      <w:r>
        <w:rPr>
          <w:rFonts w:ascii="標楷體" w:eastAsia="標楷體" w:hAnsi="標楷體"/>
          <w:color w:val="000000"/>
          <w:szCs w:val="24"/>
        </w:rPr>
        <w:t>免疫球蛋白(ATG)治療之病患。</w:t>
      </w:r>
    </w:p>
    <w:p w14:paraId="1D5718D1" w14:textId="77777777" w:rsidR="00401786" w:rsidRDefault="00C64FB3" w:rsidP="0009639E">
      <w:pPr>
        <w:pStyle w:val="af"/>
        <w:tabs>
          <w:tab w:val="left" w:pos="1276"/>
        </w:tabs>
        <w:spacing w:line="300" w:lineRule="exact"/>
        <w:ind w:left="1274" w:hanging="422"/>
        <w:rPr>
          <w:rFonts w:ascii="標楷體" w:eastAsia="標楷體" w:hAnsi="標楷體"/>
          <w:color w:val="000000"/>
          <w:szCs w:val="24"/>
        </w:rPr>
      </w:pPr>
      <w:r>
        <w:rPr>
          <w:rFonts w:ascii="標楷體" w:eastAsia="標楷體" w:hAnsi="標楷體"/>
          <w:color w:val="000000"/>
          <w:szCs w:val="24"/>
        </w:rPr>
        <w:t>(3)需經事前審查核准後使用。首次申請之療程以4個月為限，之後每6個月評估及申請，送審時需檢附血液檢查報告。</w:t>
      </w:r>
    </w:p>
    <w:p w14:paraId="315FCE30" w14:textId="77777777" w:rsidR="00401786" w:rsidRDefault="00C64FB3" w:rsidP="0009639E">
      <w:pPr>
        <w:pStyle w:val="af"/>
        <w:spacing w:line="300" w:lineRule="exact"/>
        <w:ind w:left="878" w:hanging="240"/>
      </w:pPr>
      <w:r>
        <w:rPr>
          <w:rFonts w:ascii="標楷體" w:eastAsia="標楷體" w:hAnsi="標楷體"/>
          <w:color w:val="000000"/>
          <w:szCs w:val="24"/>
        </w:rPr>
        <w:t>(4)本藥品與</w:t>
      </w:r>
      <w:proofErr w:type="spellStart"/>
      <w:r>
        <w:rPr>
          <w:rFonts w:ascii="標楷體" w:eastAsia="標楷體" w:hAnsi="標楷體"/>
          <w:color w:val="000000"/>
          <w:szCs w:val="24"/>
        </w:rPr>
        <w:t>eltrombopag</w:t>
      </w:r>
      <w:proofErr w:type="spellEnd"/>
      <w:r>
        <w:rPr>
          <w:rFonts w:ascii="標楷體" w:eastAsia="標楷體" w:hAnsi="標楷體"/>
          <w:color w:val="000000"/>
          <w:szCs w:val="24"/>
        </w:rPr>
        <w:t>僅得擇</w:t>
      </w:r>
      <w:proofErr w:type="gramStart"/>
      <w:r>
        <w:rPr>
          <w:rFonts w:ascii="標楷體" w:eastAsia="標楷體" w:hAnsi="標楷體"/>
          <w:color w:val="000000"/>
          <w:szCs w:val="24"/>
        </w:rPr>
        <w:t>一</w:t>
      </w:r>
      <w:proofErr w:type="gramEnd"/>
      <w:r>
        <w:rPr>
          <w:rFonts w:ascii="標楷體" w:eastAsia="標楷體" w:hAnsi="標楷體"/>
          <w:color w:val="000000"/>
          <w:szCs w:val="24"/>
        </w:rPr>
        <w:t>使用，</w:t>
      </w:r>
      <w:proofErr w:type="gramStart"/>
      <w:r>
        <w:rPr>
          <w:rFonts w:ascii="標楷體" w:eastAsia="標楷體" w:hAnsi="標楷體"/>
          <w:color w:val="000000"/>
          <w:szCs w:val="24"/>
        </w:rPr>
        <w:t>惟有在耐受</w:t>
      </w:r>
      <w:proofErr w:type="gramEnd"/>
      <w:r>
        <w:rPr>
          <w:rFonts w:ascii="標楷體" w:eastAsia="標楷體" w:hAnsi="標楷體"/>
          <w:color w:val="000000"/>
          <w:szCs w:val="24"/>
        </w:rPr>
        <w:t>不良時方可轉換使用。</w:t>
      </w:r>
    </w:p>
    <w:p w14:paraId="4375CD1F" w14:textId="77777777" w:rsidR="00401786" w:rsidRDefault="00C64FB3" w:rsidP="0009639E">
      <w:pPr>
        <w:spacing w:line="300" w:lineRule="exact"/>
      </w:pPr>
      <w:r>
        <w:rPr>
          <w:rFonts w:ascii="標楷體" w:eastAsia="標楷體" w:hAnsi="標楷體"/>
          <w:color w:val="000000"/>
          <w:lang w:val="it-IT"/>
        </w:rPr>
        <w:lastRenderedPageBreak/>
        <w:t>4.3.3.Anagrelide (</w:t>
      </w:r>
      <w:r>
        <w:rPr>
          <w:rFonts w:ascii="標楷體" w:eastAsia="標楷體" w:hAnsi="標楷體"/>
          <w:color w:val="000000"/>
        </w:rPr>
        <w:t>如</w:t>
      </w:r>
      <w:r>
        <w:rPr>
          <w:rFonts w:ascii="標楷體" w:eastAsia="標楷體" w:hAnsi="標楷體"/>
          <w:color w:val="000000"/>
          <w:lang w:val="it-IT"/>
        </w:rPr>
        <w:t>Agrylin)：(107/6/1</w:t>
      </w:r>
      <w:proofErr w:type="gramStart"/>
      <w:r>
        <w:rPr>
          <w:rFonts w:ascii="標楷體" w:eastAsia="標楷體" w:hAnsi="標楷體"/>
          <w:color w:val="000000"/>
          <w:lang w:val="it-IT"/>
        </w:rPr>
        <w:t>）</w:t>
      </w:r>
      <w:proofErr w:type="gramEnd"/>
    </w:p>
    <w:p w14:paraId="194AF542" w14:textId="77777777" w:rsidR="00401786" w:rsidRDefault="00C64FB3" w:rsidP="0009639E">
      <w:pPr>
        <w:pStyle w:val="af"/>
        <w:spacing w:line="300" w:lineRule="exact"/>
        <w:ind w:left="878" w:hanging="240"/>
      </w:pPr>
      <w:r>
        <w:rPr>
          <w:rFonts w:ascii="標楷體" w:eastAsia="標楷體" w:hAnsi="標楷體"/>
          <w:color w:val="000000"/>
          <w:lang w:val="it-IT"/>
        </w:rPr>
        <w:t>1.</w:t>
      </w:r>
      <w:r>
        <w:rPr>
          <w:rFonts w:ascii="標楷體" w:eastAsia="標楷體" w:hAnsi="標楷體"/>
          <w:color w:val="000000"/>
        </w:rPr>
        <w:t>用於經骨髓穿刺檢查並診斷為原發性血小板過多症者</w:t>
      </w:r>
      <w:r>
        <w:rPr>
          <w:rFonts w:ascii="標楷體" w:eastAsia="標楷體" w:hAnsi="標楷體"/>
          <w:color w:val="000000"/>
          <w:lang w:val="it-IT"/>
        </w:rPr>
        <w:t>，</w:t>
      </w:r>
      <w:r>
        <w:rPr>
          <w:rFonts w:ascii="標楷體" w:eastAsia="標楷體" w:hAnsi="標楷體"/>
          <w:color w:val="000000"/>
        </w:rPr>
        <w:t>惟具有</w:t>
      </w:r>
      <w:r>
        <w:rPr>
          <w:rFonts w:ascii="標楷體" w:eastAsia="標楷體" w:hAnsi="標楷體"/>
          <w:color w:val="000000"/>
          <w:lang w:val="it-IT"/>
        </w:rPr>
        <w:t>JAK2</w:t>
      </w:r>
      <w:r>
        <w:rPr>
          <w:rFonts w:ascii="標楷體" w:eastAsia="標楷體" w:hAnsi="標楷體"/>
          <w:color w:val="000000"/>
        </w:rPr>
        <w:t>、</w:t>
      </w:r>
      <w:r>
        <w:rPr>
          <w:rFonts w:ascii="標楷體" w:eastAsia="標楷體" w:hAnsi="標楷體"/>
          <w:color w:val="000000"/>
          <w:lang w:val="it-IT"/>
        </w:rPr>
        <w:t>CALR</w:t>
      </w:r>
      <w:r>
        <w:rPr>
          <w:rFonts w:ascii="標楷體" w:eastAsia="標楷體" w:hAnsi="標楷體"/>
          <w:color w:val="000000"/>
        </w:rPr>
        <w:t>或</w:t>
      </w:r>
      <w:r>
        <w:rPr>
          <w:rFonts w:ascii="標楷體" w:eastAsia="標楷體" w:hAnsi="標楷體"/>
          <w:color w:val="000000"/>
          <w:lang w:val="it-IT"/>
        </w:rPr>
        <w:t>MPL</w:t>
      </w:r>
      <w:r>
        <w:rPr>
          <w:rFonts w:ascii="標楷體" w:eastAsia="標楷體" w:hAnsi="標楷體"/>
          <w:color w:val="000000"/>
        </w:rPr>
        <w:t>之基因突變者</w:t>
      </w:r>
      <w:r>
        <w:rPr>
          <w:rFonts w:ascii="標楷體" w:eastAsia="標楷體" w:hAnsi="標楷體"/>
          <w:color w:val="000000"/>
          <w:lang w:val="it-IT"/>
        </w:rPr>
        <w:t>，</w:t>
      </w:r>
      <w:r>
        <w:rPr>
          <w:rFonts w:ascii="標楷體" w:eastAsia="標楷體" w:hAnsi="標楷體"/>
          <w:color w:val="000000"/>
        </w:rPr>
        <w:t>可不進行骨髓穿刺。</w:t>
      </w:r>
    </w:p>
    <w:p w14:paraId="6BAF9407"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2.初次使用時，需經事前審查。</w:t>
      </w:r>
    </w:p>
    <w:p w14:paraId="49CED371" w14:textId="77777777" w:rsidR="00401786" w:rsidRDefault="00C64FB3" w:rsidP="0009639E">
      <w:pPr>
        <w:spacing w:line="300" w:lineRule="exact"/>
        <w:ind w:left="708" w:hanging="708"/>
        <w:rPr>
          <w:rFonts w:ascii="標楷體" w:eastAsia="標楷體" w:hAnsi="標楷體"/>
          <w:color w:val="000000"/>
          <w:lang w:val="it-IT"/>
        </w:rPr>
      </w:pPr>
      <w:r>
        <w:rPr>
          <w:rFonts w:ascii="標楷體" w:eastAsia="標楷體" w:hAnsi="標楷體"/>
          <w:color w:val="000000"/>
          <w:lang w:val="it-IT"/>
        </w:rPr>
        <w:t>4.3.4.Icatibant（如Firazyr）、C1 esterase inhibitor（如Berinert）：（109/6/1、111/2/1、111/6/1）</w:t>
      </w:r>
    </w:p>
    <w:p w14:paraId="1E927C7B"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1.須經主管機關認定具遺傳性血管性水腫(</w:t>
      </w:r>
      <w:proofErr w:type="spellStart"/>
      <w:r>
        <w:rPr>
          <w:rFonts w:ascii="標楷體" w:eastAsia="標楷體" w:hAnsi="標楷體"/>
          <w:color w:val="000000"/>
        </w:rPr>
        <w:t>heeditary</w:t>
      </w:r>
      <w:proofErr w:type="spellEnd"/>
      <w:r>
        <w:rPr>
          <w:rFonts w:ascii="標楷體" w:eastAsia="標楷體" w:hAnsi="標楷體"/>
          <w:color w:val="000000"/>
        </w:rPr>
        <w:t xml:space="preserve"> angioedema，HAE)罕見疾病者。</w:t>
      </w:r>
    </w:p>
    <w:p w14:paraId="74BE39C5"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2.Icatibant（如</w:t>
      </w:r>
      <w:proofErr w:type="spellStart"/>
      <w:r>
        <w:rPr>
          <w:rFonts w:ascii="標楷體" w:eastAsia="標楷體" w:hAnsi="標楷體"/>
          <w:color w:val="000000"/>
        </w:rPr>
        <w:t>Firazyr</w:t>
      </w:r>
      <w:proofErr w:type="spellEnd"/>
      <w:r>
        <w:rPr>
          <w:rFonts w:ascii="標楷體" w:eastAsia="標楷體" w:hAnsi="標楷體"/>
          <w:color w:val="000000"/>
        </w:rPr>
        <w:t>）：限用於2歲以上之體內C</w:t>
      </w:r>
      <w:proofErr w:type="gramStart"/>
      <w:r>
        <w:rPr>
          <w:rFonts w:ascii="標楷體" w:eastAsia="標楷體" w:hAnsi="標楷體"/>
          <w:color w:val="000000"/>
        </w:rPr>
        <w:t>1酯酶</w:t>
      </w:r>
      <w:proofErr w:type="gramEnd"/>
      <w:r>
        <w:rPr>
          <w:rFonts w:ascii="標楷體" w:eastAsia="標楷體" w:hAnsi="標楷體"/>
          <w:color w:val="000000"/>
        </w:rPr>
        <w:t>抑制劑不足之HAE患者於急性發作時進行症狀治療，並符合下列臨床標準：(111/2/1)</w:t>
      </w:r>
    </w:p>
    <w:p w14:paraId="40BB3885" w14:textId="77777777" w:rsidR="00401786" w:rsidRDefault="00C64FB3" w:rsidP="0009639E">
      <w:pPr>
        <w:pStyle w:val="af"/>
        <w:spacing w:line="300" w:lineRule="exact"/>
        <w:ind w:left="758"/>
        <w:rPr>
          <w:rFonts w:ascii="標楷體" w:eastAsia="標楷體" w:hAnsi="標楷體"/>
          <w:color w:val="000000"/>
          <w:lang w:val="it-IT"/>
        </w:rPr>
      </w:pPr>
      <w:r>
        <w:rPr>
          <w:rFonts w:ascii="標楷體" w:eastAsia="標楷體" w:hAnsi="標楷體"/>
          <w:color w:val="000000"/>
          <w:lang w:val="it-IT"/>
        </w:rPr>
        <w:t>(1)患者</w:t>
      </w:r>
      <w:proofErr w:type="gramStart"/>
      <w:r>
        <w:rPr>
          <w:rFonts w:ascii="標楷體" w:eastAsia="標楷體" w:hAnsi="標楷體"/>
          <w:color w:val="000000"/>
          <w:lang w:val="it-IT"/>
        </w:rPr>
        <w:t>必須經確診</w:t>
      </w:r>
      <w:proofErr w:type="gramEnd"/>
      <w:r>
        <w:rPr>
          <w:rFonts w:ascii="標楷體" w:eastAsia="標楷體" w:hAnsi="標楷體"/>
          <w:color w:val="000000"/>
          <w:lang w:val="it-IT"/>
        </w:rPr>
        <w:t>為C1-酯酶抑製劑缺乏症(C1-esterase inhibitor deficiency)。</w:t>
      </w:r>
    </w:p>
    <w:p w14:paraId="69742D31" w14:textId="77777777" w:rsidR="00401786" w:rsidRDefault="00C64FB3" w:rsidP="0009639E">
      <w:pPr>
        <w:pStyle w:val="af"/>
        <w:spacing w:line="300" w:lineRule="exact"/>
        <w:ind w:left="758"/>
        <w:rPr>
          <w:rFonts w:ascii="標楷體" w:eastAsia="標楷體" w:hAnsi="標楷體"/>
          <w:color w:val="000000"/>
          <w:lang w:val="it-IT"/>
        </w:rPr>
      </w:pPr>
      <w:r>
        <w:rPr>
          <w:rFonts w:ascii="標楷體" w:eastAsia="標楷體" w:hAnsi="標楷體"/>
          <w:color w:val="000000"/>
          <w:lang w:val="it-IT"/>
        </w:rPr>
        <w:t>(2)患者存在遺傳性血管性水腫急性發作的重大風險，如曾有中重度</w:t>
      </w:r>
      <w:proofErr w:type="gramStart"/>
      <w:r>
        <w:rPr>
          <w:rFonts w:ascii="標楷體" w:eastAsia="標楷體" w:hAnsi="標楷體"/>
          <w:color w:val="000000"/>
          <w:lang w:val="it-IT"/>
        </w:rPr>
        <w:t>的非喉部</w:t>
      </w:r>
      <w:proofErr w:type="gramEnd"/>
      <w:r>
        <w:rPr>
          <w:rFonts w:ascii="標楷體" w:eastAsia="標楷體" w:hAnsi="標楷體"/>
          <w:color w:val="000000"/>
          <w:lang w:val="it-IT"/>
        </w:rPr>
        <w:t>發作(visual analog scale 30mm以上[含],最嚴重100mm)或</w:t>
      </w:r>
      <w:proofErr w:type="gramStart"/>
      <w:r>
        <w:rPr>
          <w:rFonts w:ascii="標楷體" w:eastAsia="標楷體" w:hAnsi="標楷體"/>
          <w:color w:val="000000"/>
          <w:lang w:val="it-IT"/>
        </w:rPr>
        <w:t>急性喉</w:t>
      </w:r>
      <w:proofErr w:type="gramEnd"/>
      <w:r>
        <w:rPr>
          <w:rFonts w:ascii="標楷體" w:eastAsia="標楷體" w:hAnsi="標楷體"/>
          <w:color w:val="000000"/>
          <w:lang w:val="it-IT"/>
        </w:rPr>
        <w:t>部之發作病史。</w:t>
      </w:r>
    </w:p>
    <w:p w14:paraId="28F699B4" w14:textId="77777777" w:rsidR="00401786" w:rsidRDefault="00C64FB3" w:rsidP="0009639E">
      <w:pPr>
        <w:pStyle w:val="af"/>
        <w:spacing w:line="300" w:lineRule="exact"/>
        <w:ind w:left="878" w:hanging="240"/>
      </w:pPr>
      <w:r>
        <w:rPr>
          <w:rFonts w:ascii="標楷體" w:eastAsia="標楷體" w:hAnsi="標楷體"/>
          <w:color w:val="000000"/>
          <w:lang w:val="it-IT"/>
        </w:rPr>
        <w:t>3.C1 esterase inhibitor（</w:t>
      </w:r>
      <w:r>
        <w:rPr>
          <w:rFonts w:ascii="標楷體" w:eastAsia="標楷體" w:hAnsi="標楷體"/>
          <w:color w:val="000000"/>
        </w:rPr>
        <w:t>如</w:t>
      </w:r>
      <w:r>
        <w:rPr>
          <w:rFonts w:ascii="標楷體" w:eastAsia="標楷體" w:hAnsi="標楷體"/>
          <w:color w:val="000000"/>
          <w:lang w:val="it-IT"/>
        </w:rPr>
        <w:t>Berinert）：</w:t>
      </w:r>
      <w:r>
        <w:rPr>
          <w:rFonts w:ascii="標楷體" w:eastAsia="標楷體" w:hAnsi="標楷體"/>
          <w:color w:val="000000"/>
        </w:rPr>
        <w:t>限用於</w:t>
      </w:r>
      <w:r>
        <w:rPr>
          <w:rFonts w:ascii="標楷體" w:eastAsia="標楷體" w:hAnsi="標楷體"/>
          <w:color w:val="000000"/>
          <w:lang w:val="it-IT"/>
        </w:rPr>
        <w:t>6</w:t>
      </w:r>
      <w:r>
        <w:rPr>
          <w:rFonts w:ascii="標楷體" w:eastAsia="標楷體" w:hAnsi="標楷體"/>
          <w:color w:val="000000"/>
        </w:rPr>
        <w:t>歲以上第一型及第二型遺傳性血管性水腫</w:t>
      </w:r>
      <w:r>
        <w:rPr>
          <w:rFonts w:ascii="標楷體" w:eastAsia="標楷體" w:hAnsi="標楷體"/>
          <w:color w:val="000000"/>
          <w:lang w:val="it-IT"/>
        </w:rPr>
        <w:t>(HAE)</w:t>
      </w:r>
      <w:r>
        <w:rPr>
          <w:rFonts w:ascii="標楷體" w:eastAsia="標楷體" w:hAnsi="標楷體"/>
          <w:color w:val="000000"/>
        </w:rPr>
        <w:t>急性發作的治療</w:t>
      </w:r>
      <w:r>
        <w:rPr>
          <w:rFonts w:ascii="標楷體" w:eastAsia="標楷體" w:hAnsi="標楷體"/>
          <w:color w:val="000000"/>
          <w:lang w:val="it-IT"/>
        </w:rPr>
        <w:t>，</w:t>
      </w:r>
      <w:r>
        <w:rPr>
          <w:rFonts w:ascii="標楷體" w:eastAsia="標楷體" w:hAnsi="標楷體"/>
          <w:color w:val="000000"/>
        </w:rPr>
        <w:t>且具重大風險</w:t>
      </w:r>
      <w:r>
        <w:rPr>
          <w:rFonts w:ascii="標楷體" w:eastAsia="標楷體" w:hAnsi="標楷體"/>
          <w:color w:val="000000"/>
          <w:lang w:val="it-IT"/>
        </w:rPr>
        <w:t>，</w:t>
      </w:r>
      <w:r>
        <w:rPr>
          <w:rFonts w:ascii="標楷體" w:eastAsia="標楷體" w:hAnsi="標楷體"/>
          <w:color w:val="000000"/>
        </w:rPr>
        <w:t>如曾有中重度</w:t>
      </w:r>
      <w:proofErr w:type="gramStart"/>
      <w:r>
        <w:rPr>
          <w:rFonts w:ascii="標楷體" w:eastAsia="標楷體" w:hAnsi="標楷體"/>
          <w:color w:val="000000"/>
        </w:rPr>
        <w:t>的非喉部</w:t>
      </w:r>
      <w:proofErr w:type="gramEnd"/>
      <w:r>
        <w:rPr>
          <w:rFonts w:ascii="標楷體" w:eastAsia="標楷體" w:hAnsi="標楷體"/>
          <w:color w:val="000000"/>
        </w:rPr>
        <w:t>發作</w:t>
      </w:r>
      <w:r>
        <w:rPr>
          <w:rFonts w:ascii="標楷體" w:eastAsia="標楷體" w:hAnsi="標楷體"/>
          <w:color w:val="000000"/>
          <w:lang w:val="it-IT"/>
        </w:rPr>
        <w:t>(visual analog scale 30mm</w:t>
      </w:r>
      <w:r>
        <w:rPr>
          <w:rFonts w:ascii="標楷體" w:eastAsia="標楷體" w:hAnsi="標楷體"/>
          <w:color w:val="000000"/>
        </w:rPr>
        <w:t>以上</w:t>
      </w:r>
      <w:r>
        <w:rPr>
          <w:rFonts w:ascii="標楷體" w:eastAsia="標楷體" w:hAnsi="標楷體"/>
          <w:color w:val="000000"/>
          <w:lang w:val="it-IT"/>
        </w:rPr>
        <w:t>，</w:t>
      </w:r>
      <w:r>
        <w:rPr>
          <w:rFonts w:ascii="標楷體" w:eastAsia="標楷體" w:hAnsi="標楷體"/>
          <w:color w:val="000000"/>
        </w:rPr>
        <w:t>最嚴重</w:t>
      </w:r>
      <w:r>
        <w:rPr>
          <w:rFonts w:ascii="標楷體" w:eastAsia="標楷體" w:hAnsi="標楷體"/>
          <w:color w:val="000000"/>
          <w:lang w:val="it-IT"/>
        </w:rPr>
        <w:t>100mm)</w:t>
      </w:r>
      <w:r>
        <w:rPr>
          <w:rFonts w:ascii="標楷體" w:eastAsia="標楷體" w:hAnsi="標楷體"/>
          <w:color w:val="000000"/>
        </w:rPr>
        <w:t>或</w:t>
      </w:r>
      <w:proofErr w:type="gramStart"/>
      <w:r>
        <w:rPr>
          <w:rFonts w:ascii="標楷體" w:eastAsia="標楷體" w:hAnsi="標楷體"/>
          <w:color w:val="000000"/>
        </w:rPr>
        <w:t>急性喉</w:t>
      </w:r>
      <w:proofErr w:type="gramEnd"/>
      <w:r>
        <w:rPr>
          <w:rFonts w:ascii="標楷體" w:eastAsia="標楷體" w:hAnsi="標楷體"/>
          <w:color w:val="000000"/>
        </w:rPr>
        <w:t>部之發作病史。(111/6/1</w:t>
      </w:r>
      <w:proofErr w:type="gramStart"/>
      <w:r>
        <w:rPr>
          <w:rFonts w:ascii="標楷體" w:eastAsia="標楷體" w:hAnsi="標楷體"/>
          <w:color w:val="000000"/>
        </w:rPr>
        <w:t>）</w:t>
      </w:r>
      <w:proofErr w:type="gramEnd"/>
    </w:p>
    <w:p w14:paraId="17734D42"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4.限內科或兒科專科醫師且具有免疫過敏或兒童過敏免疫風濕專科醫師處方攜回下列備用注射之數量；但因急性發作至急診求診者不在此限：</w:t>
      </w:r>
    </w:p>
    <w:p w14:paraId="3D679FAA"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Icatibant</w:t>
      </w:r>
      <w:proofErr w:type="spellEnd"/>
      <w:r>
        <w:rPr>
          <w:rFonts w:ascii="標楷體" w:eastAsia="標楷體" w:hAnsi="標楷體"/>
          <w:color w:val="000000"/>
        </w:rPr>
        <w:t>（如</w:t>
      </w:r>
      <w:proofErr w:type="spellStart"/>
      <w:r>
        <w:rPr>
          <w:rFonts w:ascii="標楷體" w:eastAsia="標楷體" w:hAnsi="標楷體"/>
          <w:color w:val="000000"/>
        </w:rPr>
        <w:t>Firazyr</w:t>
      </w:r>
      <w:proofErr w:type="spellEnd"/>
      <w:r>
        <w:rPr>
          <w:rFonts w:ascii="標楷體" w:eastAsia="標楷體" w:hAnsi="標楷體"/>
          <w:color w:val="000000"/>
        </w:rPr>
        <w:t>）：1支。</w:t>
      </w:r>
    </w:p>
    <w:p w14:paraId="4B65098F"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(2)C1 esterase inhibitor：1次劑量。(111/6/1)</w:t>
      </w:r>
    </w:p>
    <w:p w14:paraId="7E2C93C1"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5.於處方本藥品時，應附原始治療醫囑單及治療紀錄(載明發作部位、症狀及嚴重程度)；於處方備用</w:t>
      </w:r>
      <w:proofErr w:type="spellStart"/>
      <w:r>
        <w:rPr>
          <w:rFonts w:ascii="標楷體" w:eastAsia="標楷體" w:hAnsi="標楷體"/>
          <w:color w:val="000000"/>
        </w:rPr>
        <w:t>icatibant</w:t>
      </w:r>
      <w:proofErr w:type="spellEnd"/>
      <w:r>
        <w:rPr>
          <w:rFonts w:ascii="標楷體" w:eastAsia="標楷體" w:hAnsi="標楷體"/>
          <w:color w:val="000000"/>
        </w:rPr>
        <w:t>/C1 esterase inhibitor時，應衛教病人用藥規範及附上用藥資料表(如附表三十三-全民健康保險遺傳性血管性水腫患者使用</w:t>
      </w:r>
      <w:proofErr w:type="spellStart"/>
      <w:r>
        <w:rPr>
          <w:rFonts w:ascii="標楷體" w:eastAsia="標楷體" w:hAnsi="標楷體"/>
          <w:color w:val="000000"/>
        </w:rPr>
        <w:t>Icatibant</w:t>
      </w:r>
      <w:proofErr w:type="spellEnd"/>
      <w:r>
        <w:rPr>
          <w:rFonts w:ascii="標楷體" w:eastAsia="標楷體" w:hAnsi="標楷體"/>
          <w:color w:val="000000"/>
        </w:rPr>
        <w:t>/C1 esterase inhibitor治療紀錄表)，並於病歷載明前次發作之部位、症狀及嚴重程度以供審查。(111/6/1)</w:t>
      </w:r>
    </w:p>
    <w:p w14:paraId="0F2D4708"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6.24</w:t>
      </w:r>
      <w:proofErr w:type="gramStart"/>
      <w:r>
        <w:rPr>
          <w:rFonts w:ascii="標楷體" w:eastAsia="標楷體" w:hAnsi="標楷體"/>
          <w:color w:val="000000"/>
        </w:rPr>
        <w:t>小時內限用</w:t>
      </w:r>
      <w:proofErr w:type="gramEnd"/>
      <w:r>
        <w:rPr>
          <w:rFonts w:ascii="標楷體" w:eastAsia="標楷體" w:hAnsi="標楷體"/>
          <w:color w:val="000000"/>
        </w:rPr>
        <w:t>：</w:t>
      </w:r>
    </w:p>
    <w:p w14:paraId="570AB162"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Icatibant</w:t>
      </w:r>
      <w:proofErr w:type="spellEnd"/>
      <w:r>
        <w:rPr>
          <w:rFonts w:ascii="標楷體" w:eastAsia="標楷體" w:hAnsi="標楷體"/>
          <w:color w:val="000000"/>
        </w:rPr>
        <w:t>（如</w:t>
      </w:r>
      <w:proofErr w:type="spellStart"/>
      <w:r>
        <w:rPr>
          <w:rFonts w:ascii="標楷體" w:eastAsia="標楷體" w:hAnsi="標楷體"/>
          <w:color w:val="000000"/>
        </w:rPr>
        <w:t>Firazyr</w:t>
      </w:r>
      <w:proofErr w:type="spellEnd"/>
      <w:r>
        <w:rPr>
          <w:rFonts w:ascii="標楷體" w:eastAsia="標楷體" w:hAnsi="標楷體"/>
          <w:color w:val="000000"/>
        </w:rPr>
        <w:t>）：3支。</w:t>
      </w:r>
    </w:p>
    <w:p w14:paraId="5043CE46"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(2)C1 esterase inhibitor 1次。(111/6/1)</w:t>
      </w:r>
    </w:p>
    <w:p w14:paraId="544D2CD1" w14:textId="77777777" w:rsidR="00401786" w:rsidRDefault="00C64FB3" w:rsidP="0009639E">
      <w:pPr>
        <w:pStyle w:val="Default"/>
        <w:spacing w:line="300" w:lineRule="exact"/>
        <w:ind w:left="280" w:hanging="280"/>
        <w:rPr>
          <w:rFonts w:ascii="標楷體" w:eastAsia="標楷體" w:hAnsi="標楷體"/>
          <w:color w:val="auto"/>
          <w:kern w:val="3"/>
        </w:rPr>
      </w:pPr>
      <w:r>
        <w:rPr>
          <w:rFonts w:ascii="標楷體" w:eastAsia="標楷體" w:hAnsi="標楷體"/>
          <w:color w:val="auto"/>
          <w:kern w:val="3"/>
        </w:rPr>
        <w:t>4.3.5.Ropeginterferon alfa-2b（如</w:t>
      </w:r>
      <w:proofErr w:type="spellStart"/>
      <w:r>
        <w:rPr>
          <w:rFonts w:ascii="標楷體" w:eastAsia="標楷體" w:hAnsi="標楷體"/>
          <w:color w:val="auto"/>
          <w:kern w:val="3"/>
        </w:rPr>
        <w:t>Besremi</w:t>
      </w:r>
      <w:proofErr w:type="spellEnd"/>
      <w:r>
        <w:rPr>
          <w:rFonts w:ascii="標楷體" w:eastAsia="標楷體" w:hAnsi="標楷體"/>
          <w:color w:val="auto"/>
          <w:kern w:val="3"/>
        </w:rPr>
        <w:t xml:space="preserve">）：(111/9/1、114/2/1) </w:t>
      </w:r>
    </w:p>
    <w:p w14:paraId="2FBD4284" w14:textId="77777777" w:rsidR="00401786" w:rsidRDefault="00C64FB3" w:rsidP="0009639E">
      <w:pPr>
        <w:spacing w:line="300" w:lineRule="exact"/>
        <w:ind w:left="851" w:hanging="280"/>
      </w:pPr>
      <w:r>
        <w:rPr>
          <w:rFonts w:ascii="標楷體" w:eastAsia="標楷體" w:hAnsi="標楷體"/>
          <w:szCs w:val="24"/>
        </w:rPr>
        <w:t>1.限用於高風險族群(60歲以上、或60歲以下合併有血栓病史)之不具症狀性脾腫大之成人真性紅血球增多症病人，經骨髓檢查或JAK2基因檢測確診，且符合</w:t>
      </w:r>
      <w:r>
        <w:rPr>
          <w:rFonts w:ascii="標楷體" w:eastAsia="標楷體" w:hAnsi="標楷體"/>
          <w:color w:val="000000"/>
          <w:szCs w:val="24"/>
        </w:rPr>
        <w:t>下列所有條件者方可</w:t>
      </w:r>
      <w:r>
        <w:rPr>
          <w:rFonts w:ascii="標楷體" w:eastAsia="標楷體" w:hAnsi="標楷體"/>
          <w:szCs w:val="24"/>
        </w:rPr>
        <w:t>使用</w:t>
      </w:r>
      <w:r>
        <w:rPr>
          <w:rFonts w:ascii="新細明體" w:hAnsi="新細明體"/>
          <w:szCs w:val="24"/>
        </w:rPr>
        <w:t>：</w:t>
      </w:r>
    </w:p>
    <w:p w14:paraId="0AAD8DB6" w14:textId="77777777" w:rsidR="00401786" w:rsidRDefault="00C64FB3" w:rsidP="0009639E">
      <w:pPr>
        <w:spacing w:line="300" w:lineRule="exact"/>
        <w:ind w:left="993" w:hanging="280"/>
      </w:pPr>
      <w:r>
        <w:rPr>
          <w:rFonts w:ascii="標楷體" w:eastAsia="標楷體" w:hAnsi="標楷體"/>
          <w:szCs w:val="24"/>
        </w:rPr>
        <w:t>(1)使用放血療法達至少每3個月一次（每年至少4次）以上，且曾經接受細胞減量治療至最大容許劑量仍無法達到</w:t>
      </w:r>
      <w:proofErr w:type="spellStart"/>
      <w:r>
        <w:rPr>
          <w:rFonts w:ascii="標楷體" w:eastAsia="標楷體" w:hAnsi="標楷體"/>
          <w:szCs w:val="24"/>
        </w:rPr>
        <w:t>Hct</w:t>
      </w:r>
      <w:proofErr w:type="spellEnd"/>
      <w:r>
        <w:rPr>
          <w:rFonts w:ascii="新細明體" w:hAnsi="新細明體"/>
          <w:szCs w:val="24"/>
        </w:rPr>
        <w:t>＜</w:t>
      </w:r>
      <w:r>
        <w:rPr>
          <w:rFonts w:ascii="標楷體" w:eastAsia="標楷體" w:hAnsi="標楷體"/>
          <w:szCs w:val="24"/>
        </w:rPr>
        <w:t>45%</w:t>
      </w:r>
      <w:r>
        <w:rPr>
          <w:rFonts w:ascii="新細明體" w:hAnsi="新細明體"/>
          <w:szCs w:val="24"/>
        </w:rPr>
        <w:t>，</w:t>
      </w:r>
      <w:r>
        <w:rPr>
          <w:rFonts w:ascii="標楷體" w:eastAsia="標楷體" w:hAnsi="標楷體"/>
          <w:szCs w:val="24"/>
        </w:rPr>
        <w:t>或CTCAE2.0 Grade 3以上的嚴重副作用者</w:t>
      </w:r>
      <w:r>
        <w:rPr>
          <w:rFonts w:ascii="細明體" w:eastAsia="細明體" w:hAnsi="細明體"/>
          <w:szCs w:val="24"/>
        </w:rPr>
        <w:t>。</w:t>
      </w:r>
    </w:p>
    <w:p w14:paraId="3F2224BB" w14:textId="77777777" w:rsidR="00401786" w:rsidRDefault="00C64FB3" w:rsidP="0009639E">
      <w:pPr>
        <w:spacing w:line="300" w:lineRule="exact"/>
        <w:ind w:left="993" w:hanging="280"/>
        <w:rPr>
          <w:rFonts w:ascii="標楷體" w:eastAsia="標楷體" w:hAnsi="標楷體"/>
          <w:szCs w:val="24"/>
        </w:rPr>
      </w:pPr>
      <w:r>
        <w:rPr>
          <w:rFonts w:ascii="標楷體" w:eastAsia="標楷體" w:hAnsi="標楷體"/>
          <w:szCs w:val="24"/>
        </w:rPr>
        <w:t>(2)</w:t>
      </w:r>
      <w:bookmarkStart w:id="11" w:name="_Hlk103863093"/>
      <w:r>
        <w:rPr>
          <w:rFonts w:ascii="標楷體" w:eastAsia="標楷體" w:hAnsi="標楷體"/>
          <w:szCs w:val="24"/>
        </w:rPr>
        <w:t>且具下列所有條件：</w:t>
      </w:r>
      <w:bookmarkEnd w:id="11"/>
    </w:p>
    <w:p w14:paraId="1BE7FAD2" w14:textId="77777777" w:rsidR="00401786" w:rsidRDefault="00C64FB3" w:rsidP="0009639E">
      <w:pPr>
        <w:spacing w:line="300" w:lineRule="exact"/>
        <w:ind w:left="993"/>
      </w:pPr>
      <w:r>
        <w:rPr>
          <w:rFonts w:ascii="標楷體" w:eastAsia="標楷體" w:hAnsi="標楷體"/>
          <w:szCs w:val="24"/>
        </w:rPr>
        <w:t>Ⅰ.</w:t>
      </w:r>
      <w:proofErr w:type="gramStart"/>
      <w:r>
        <w:rPr>
          <w:rFonts w:ascii="標楷體" w:eastAsia="標楷體" w:hAnsi="標楷體"/>
          <w:szCs w:val="24"/>
        </w:rPr>
        <w:t>血容比</w:t>
      </w:r>
      <w:proofErr w:type="gramEnd"/>
      <w:r>
        <w:rPr>
          <w:rFonts w:ascii="標楷體" w:eastAsia="標楷體" w:hAnsi="標楷體"/>
          <w:szCs w:val="24"/>
        </w:rPr>
        <w:t>&gt;45%</w:t>
      </w:r>
    </w:p>
    <w:p w14:paraId="2D8DF872" w14:textId="77777777" w:rsidR="00401786" w:rsidRDefault="00C64FB3" w:rsidP="0009639E">
      <w:pPr>
        <w:spacing w:line="300" w:lineRule="exact"/>
        <w:ind w:left="993" w:hanging="280"/>
      </w:pPr>
      <w:r>
        <w:rPr>
          <w:rFonts w:ascii="標楷體" w:eastAsia="標楷體" w:hAnsi="標楷體"/>
          <w:szCs w:val="24"/>
        </w:rPr>
        <w:t xml:space="preserve">  Ⅱ.血小板數&gt;600 X 10</w:t>
      </w:r>
      <w:r>
        <w:rPr>
          <w:rFonts w:ascii="標楷體" w:eastAsia="標楷體" w:hAnsi="標楷體"/>
          <w:szCs w:val="24"/>
          <w:vertAlign w:val="superscript"/>
        </w:rPr>
        <w:t>9</w:t>
      </w:r>
      <w:r>
        <w:rPr>
          <w:rFonts w:ascii="標楷體" w:eastAsia="標楷體" w:hAnsi="標楷體"/>
          <w:szCs w:val="24"/>
        </w:rPr>
        <w:t>/L</w:t>
      </w:r>
    </w:p>
    <w:p w14:paraId="3A81030F" w14:textId="77777777" w:rsidR="00401786" w:rsidRDefault="00C64FB3" w:rsidP="0009639E">
      <w:pPr>
        <w:spacing w:line="300" w:lineRule="exact"/>
        <w:ind w:left="993" w:hanging="280"/>
      </w:pPr>
      <w:r>
        <w:rPr>
          <w:rFonts w:ascii="標楷體" w:eastAsia="標楷體" w:hAnsi="標楷體"/>
          <w:szCs w:val="24"/>
        </w:rPr>
        <w:t xml:space="preserve">  </w:t>
      </w:r>
      <w:bookmarkStart w:id="12" w:name="_Hlk103863172"/>
      <w:r>
        <w:rPr>
          <w:rFonts w:ascii="標楷體" w:eastAsia="標楷體" w:hAnsi="標楷體"/>
          <w:szCs w:val="24"/>
        </w:rPr>
        <w:t>Ⅲ.</w:t>
      </w:r>
      <w:bookmarkStart w:id="13" w:name="_Hlk103863157"/>
      <w:r>
        <w:rPr>
          <w:rFonts w:ascii="標楷體" w:eastAsia="標楷體" w:hAnsi="標楷體"/>
          <w:szCs w:val="24"/>
        </w:rPr>
        <w:t>白血球數&gt;10 X 10</w:t>
      </w:r>
      <w:r>
        <w:rPr>
          <w:rFonts w:ascii="標楷體" w:eastAsia="標楷體" w:hAnsi="標楷體"/>
          <w:szCs w:val="24"/>
          <w:vertAlign w:val="superscript"/>
        </w:rPr>
        <w:t>9</w:t>
      </w:r>
      <w:r>
        <w:rPr>
          <w:rFonts w:ascii="標楷體" w:eastAsia="標楷體" w:hAnsi="標楷體"/>
          <w:szCs w:val="24"/>
        </w:rPr>
        <w:t>/L</w:t>
      </w:r>
      <w:bookmarkEnd w:id="12"/>
      <w:bookmarkEnd w:id="13"/>
    </w:p>
    <w:p w14:paraId="025F2188" w14:textId="77777777" w:rsidR="00401786" w:rsidRDefault="00C64FB3" w:rsidP="0009639E">
      <w:pPr>
        <w:pStyle w:val="Default"/>
        <w:spacing w:line="300" w:lineRule="exact"/>
        <w:ind w:left="851" w:hanging="280"/>
      </w:pPr>
      <w:r>
        <w:rPr>
          <w:rFonts w:ascii="標楷體" w:eastAsia="標楷體" w:hAnsi="標楷體"/>
        </w:rPr>
        <w:t>2.需經事前審查核准後使用。</w:t>
      </w:r>
    </w:p>
    <w:p w14:paraId="16961209" w14:textId="77777777" w:rsidR="00401786" w:rsidRDefault="00C64FB3" w:rsidP="0009639E">
      <w:pPr>
        <w:pStyle w:val="Default"/>
        <w:spacing w:line="300" w:lineRule="exact"/>
        <w:ind w:left="851" w:hanging="280"/>
      </w:pPr>
      <w:r>
        <w:rPr>
          <w:rFonts w:ascii="標楷體" w:eastAsia="標楷體" w:hAnsi="標楷體"/>
          <w:color w:val="auto"/>
          <w:kern w:val="3"/>
        </w:rPr>
        <w:t>3.治療滿1</w:t>
      </w:r>
      <w:r>
        <w:rPr>
          <w:rFonts w:ascii="標楷體" w:eastAsia="標楷體" w:hAnsi="標楷體"/>
          <w:kern w:val="3"/>
        </w:rPr>
        <w:t>2個月後，未達完全血液學反應者不可續用</w:t>
      </w:r>
      <w:r>
        <w:rPr>
          <w:rFonts w:ascii="細明體" w:eastAsia="細明體" w:hAnsi="細明體"/>
          <w:color w:val="auto"/>
          <w:kern w:val="3"/>
        </w:rPr>
        <w:t>。</w:t>
      </w:r>
    </w:p>
    <w:p w14:paraId="163E9C85" w14:textId="77777777" w:rsidR="00401786" w:rsidRDefault="00C64FB3" w:rsidP="0009639E">
      <w:pPr>
        <w:pStyle w:val="Default"/>
        <w:spacing w:line="300" w:lineRule="exact"/>
        <w:ind w:left="851" w:hanging="280"/>
        <w:rPr>
          <w:rFonts w:ascii="標楷體" w:eastAsia="標楷體" w:hAnsi="標楷體"/>
          <w:color w:val="auto"/>
          <w:kern w:val="3"/>
        </w:rPr>
      </w:pPr>
      <w:r>
        <w:rPr>
          <w:rFonts w:ascii="標楷體" w:eastAsia="標楷體" w:hAnsi="標楷體"/>
          <w:color w:val="auto"/>
          <w:kern w:val="3"/>
        </w:rPr>
        <w:t>4.第一次續用之後改為每6個月評估一次。持續治療1年後，原則上改為維持治療(1個月施打一次)。</w:t>
      </w:r>
    </w:p>
    <w:p w14:paraId="7B075C1A" w14:textId="77777777" w:rsidR="00401786" w:rsidRDefault="00C64FB3" w:rsidP="0009639E">
      <w:pPr>
        <w:pStyle w:val="af"/>
        <w:spacing w:line="300" w:lineRule="exact"/>
        <w:ind w:left="850" w:hanging="240"/>
      </w:pPr>
      <w:r>
        <w:rPr>
          <w:rFonts w:ascii="標楷體" w:eastAsia="標楷體" w:hAnsi="標楷體"/>
          <w:szCs w:val="24"/>
        </w:rPr>
        <w:t>5.</w:t>
      </w:r>
      <w:proofErr w:type="gramStart"/>
      <w:r>
        <w:rPr>
          <w:rFonts w:ascii="標楷體" w:eastAsia="標楷體" w:hAnsi="標楷體"/>
          <w:szCs w:val="24"/>
        </w:rPr>
        <w:t>本品不得併</w:t>
      </w:r>
      <w:proofErr w:type="gramEnd"/>
      <w:r>
        <w:rPr>
          <w:rFonts w:ascii="標楷體" w:eastAsia="標楷體" w:hAnsi="標楷體"/>
          <w:szCs w:val="24"/>
        </w:rPr>
        <w:t>用</w:t>
      </w:r>
      <w:proofErr w:type="spellStart"/>
      <w:r>
        <w:rPr>
          <w:rFonts w:ascii="標楷體" w:eastAsia="標楷體" w:hAnsi="標楷體"/>
          <w:szCs w:val="24"/>
        </w:rPr>
        <w:t>ruxolitinib</w:t>
      </w:r>
      <w:proofErr w:type="spellEnd"/>
      <w:r>
        <w:rPr>
          <w:rFonts w:ascii="標楷體" w:eastAsia="標楷體" w:hAnsi="標楷體"/>
          <w:szCs w:val="24"/>
        </w:rPr>
        <w:t>成分藥品</w:t>
      </w:r>
      <w:r>
        <w:rPr>
          <w:rFonts w:ascii="細明體" w:eastAsia="細明體" w:hAnsi="細明體"/>
          <w:szCs w:val="24"/>
        </w:rPr>
        <w:t>。</w:t>
      </w:r>
    </w:p>
    <w:p w14:paraId="64653DB7" w14:textId="77777777" w:rsidR="00401786" w:rsidRDefault="00C64FB3" w:rsidP="0009639E">
      <w:pPr>
        <w:spacing w:line="300" w:lineRule="exact"/>
        <w:ind w:left="360" w:hanging="240"/>
        <w:rPr>
          <w:rFonts w:ascii="標楷體" w:eastAsia="標楷體" w:hAnsi="標楷體"/>
          <w:szCs w:val="24"/>
        </w:rPr>
      </w:pPr>
      <w:r>
        <w:rPr>
          <w:rFonts w:ascii="標楷體" w:eastAsia="標楷體" w:hAnsi="標楷體"/>
          <w:szCs w:val="24"/>
        </w:rPr>
        <w:t>4.3.6.Luspatercept</w:t>
      </w:r>
      <w:proofErr w:type="gramStart"/>
      <w:r>
        <w:rPr>
          <w:rFonts w:ascii="標楷體" w:eastAsia="標楷體" w:hAnsi="標楷體"/>
          <w:szCs w:val="24"/>
        </w:rPr>
        <w:t>（</w:t>
      </w:r>
      <w:proofErr w:type="gramEnd"/>
      <w:r>
        <w:rPr>
          <w:rFonts w:ascii="標楷體" w:eastAsia="標楷體" w:hAnsi="標楷體"/>
          <w:szCs w:val="24"/>
        </w:rPr>
        <w:t>如</w:t>
      </w:r>
      <w:proofErr w:type="spellStart"/>
      <w:r>
        <w:rPr>
          <w:rFonts w:ascii="標楷體" w:eastAsia="標楷體" w:hAnsi="標楷體"/>
          <w:szCs w:val="24"/>
        </w:rPr>
        <w:t>Reblozyl</w:t>
      </w:r>
      <w:proofErr w:type="spellEnd"/>
      <w:r>
        <w:rPr>
          <w:rFonts w:ascii="標楷體" w:eastAsia="標楷體" w:hAnsi="標楷體"/>
          <w:szCs w:val="24"/>
        </w:rPr>
        <w:t>)：(113/1/1)</w:t>
      </w:r>
    </w:p>
    <w:p w14:paraId="1AFD8174"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1.</w:t>
      </w:r>
      <w:proofErr w:type="gramStart"/>
      <w:r>
        <w:rPr>
          <w:rFonts w:ascii="標楷體" w:eastAsia="標楷體" w:hAnsi="標楷體"/>
          <w:szCs w:val="24"/>
        </w:rPr>
        <w:t>限經衛生</w:t>
      </w:r>
      <w:proofErr w:type="gramEnd"/>
      <w:r>
        <w:rPr>
          <w:rFonts w:ascii="標楷體" w:eastAsia="標楷體" w:hAnsi="標楷體"/>
          <w:szCs w:val="24"/>
        </w:rPr>
        <w:t>福利部國民</w:t>
      </w:r>
      <w:proofErr w:type="gramStart"/>
      <w:r>
        <w:rPr>
          <w:rFonts w:ascii="標楷體" w:eastAsia="標楷體" w:hAnsi="標楷體"/>
          <w:szCs w:val="24"/>
        </w:rPr>
        <w:t>健康署</w:t>
      </w:r>
      <w:proofErr w:type="gramEnd"/>
      <w:r>
        <w:rPr>
          <w:rFonts w:ascii="標楷體" w:eastAsia="標楷體" w:hAnsi="標楷體"/>
          <w:szCs w:val="24"/>
        </w:rPr>
        <w:t>認定之重型海洋性貧血，且用於治療與β型「重型」海洋性貧血相關的輸血依賴性貧血的成年病人。</w:t>
      </w:r>
    </w:p>
    <w:p w14:paraId="0A5C0F2B"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lastRenderedPageBreak/>
        <w:t>2.病人需要常規輸血，且須符合下列2個條件：</w:t>
      </w:r>
    </w:p>
    <w:p w14:paraId="08BE97CD"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(1)在接受本藥品治療前24</w:t>
      </w:r>
      <w:proofErr w:type="gramStart"/>
      <w:r>
        <w:rPr>
          <w:rFonts w:ascii="標楷體" w:eastAsia="標楷體" w:hAnsi="標楷體"/>
          <w:szCs w:val="24"/>
        </w:rPr>
        <w:t>週</w:t>
      </w:r>
      <w:proofErr w:type="gramEnd"/>
      <w:r>
        <w:rPr>
          <w:rFonts w:ascii="標楷體" w:eastAsia="標楷體" w:hAnsi="標楷體"/>
          <w:szCs w:val="24"/>
        </w:rPr>
        <w:t>內</w:t>
      </w:r>
      <w:proofErr w:type="gramStart"/>
      <w:r>
        <w:rPr>
          <w:rFonts w:ascii="標楷體" w:eastAsia="標楷體" w:hAnsi="標楷體"/>
          <w:szCs w:val="24"/>
        </w:rPr>
        <w:t>需要輸注24個</w:t>
      </w:r>
      <w:proofErr w:type="gramEnd"/>
      <w:r>
        <w:rPr>
          <w:rFonts w:ascii="標楷體" w:eastAsia="標楷體" w:hAnsi="標楷體"/>
          <w:szCs w:val="24"/>
        </w:rPr>
        <w:t>紅血球(RBC)單位。</w:t>
      </w:r>
    </w:p>
    <w:p w14:paraId="12D24946"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(2)在接受本藥品治療前24</w:t>
      </w:r>
      <w:proofErr w:type="gramStart"/>
      <w:r>
        <w:rPr>
          <w:rFonts w:ascii="標楷體" w:eastAsia="標楷體" w:hAnsi="標楷體"/>
          <w:szCs w:val="24"/>
        </w:rPr>
        <w:t>週</w:t>
      </w:r>
      <w:proofErr w:type="gramEnd"/>
      <w:r>
        <w:rPr>
          <w:rFonts w:ascii="標楷體" w:eastAsia="標楷體" w:hAnsi="標楷體"/>
          <w:szCs w:val="24"/>
        </w:rPr>
        <w:t>內沒有超過35天的無輸血期。</w:t>
      </w:r>
    </w:p>
    <w:p w14:paraId="2851C5F1"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3.限由血液病專科醫師處方。</w:t>
      </w:r>
    </w:p>
    <w:p w14:paraId="64237B47"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4.需經事前審查核准後使用，每24</w:t>
      </w:r>
      <w:proofErr w:type="gramStart"/>
      <w:r>
        <w:rPr>
          <w:rFonts w:ascii="標楷體" w:eastAsia="標楷體" w:hAnsi="標楷體"/>
          <w:szCs w:val="24"/>
        </w:rPr>
        <w:t>週</w:t>
      </w:r>
      <w:proofErr w:type="gramEnd"/>
      <w:r>
        <w:rPr>
          <w:rFonts w:ascii="標楷體" w:eastAsia="標楷體" w:hAnsi="標楷體"/>
          <w:szCs w:val="24"/>
        </w:rPr>
        <w:t>評估一次，具治療反應定義如下：</w:t>
      </w:r>
    </w:p>
    <w:p w14:paraId="403D2CA2" w14:textId="77777777" w:rsidR="00401786" w:rsidRDefault="00C64FB3" w:rsidP="0009639E">
      <w:pPr>
        <w:spacing w:line="300" w:lineRule="exact"/>
        <w:ind w:left="1200" w:hanging="360"/>
      </w:pPr>
      <w:r>
        <w:rPr>
          <w:rFonts w:ascii="標楷體" w:eastAsia="標楷體" w:hAnsi="標楷體"/>
          <w:szCs w:val="24"/>
        </w:rPr>
        <w:t>(1)治療24</w:t>
      </w:r>
      <w:proofErr w:type="gramStart"/>
      <w:r>
        <w:rPr>
          <w:rFonts w:ascii="標楷體" w:eastAsia="標楷體" w:hAnsi="標楷體"/>
          <w:szCs w:val="24"/>
        </w:rPr>
        <w:t>週</w:t>
      </w:r>
      <w:proofErr w:type="gramEnd"/>
      <w:r>
        <w:rPr>
          <w:rFonts w:ascii="標楷體" w:eastAsia="標楷體" w:hAnsi="標楷體"/>
          <w:szCs w:val="24"/>
        </w:rPr>
        <w:t>後，與治療前的24</w:t>
      </w:r>
      <w:proofErr w:type="gramStart"/>
      <w:r>
        <w:rPr>
          <w:rFonts w:ascii="標楷體" w:eastAsia="標楷體" w:hAnsi="標楷體"/>
          <w:szCs w:val="24"/>
        </w:rPr>
        <w:t>週</w:t>
      </w:r>
      <w:proofErr w:type="gramEnd"/>
      <w:r>
        <w:rPr>
          <w:rFonts w:ascii="標楷體" w:eastAsia="標楷體" w:hAnsi="標楷體"/>
          <w:szCs w:val="24"/>
        </w:rPr>
        <w:t>相比，RBC輸血量較基礎值降低</w:t>
      </w:r>
      <w:r>
        <w:rPr>
          <w:rFonts w:ascii="Times New Roman" w:eastAsia="標楷體" w:hAnsi="Times New Roman"/>
          <w:szCs w:val="24"/>
        </w:rPr>
        <w:t>≥</w:t>
      </w:r>
      <w:r>
        <w:rPr>
          <w:rFonts w:ascii="標楷體" w:eastAsia="標楷體" w:hAnsi="標楷體"/>
          <w:szCs w:val="24"/>
        </w:rPr>
        <w:t>50%。</w:t>
      </w:r>
    </w:p>
    <w:p w14:paraId="05E61487" w14:textId="77777777" w:rsidR="00401786" w:rsidRDefault="00C64FB3" w:rsidP="0009639E">
      <w:pPr>
        <w:spacing w:line="300" w:lineRule="exact"/>
        <w:ind w:left="1200" w:hanging="360"/>
      </w:pPr>
      <w:r>
        <w:rPr>
          <w:rFonts w:ascii="標楷體" w:eastAsia="標楷體" w:hAnsi="標楷體"/>
          <w:color w:val="000000"/>
          <w:szCs w:val="24"/>
        </w:rPr>
        <w:t>(2)在每24</w:t>
      </w:r>
      <w:proofErr w:type="gramStart"/>
      <w:r>
        <w:rPr>
          <w:rFonts w:ascii="標楷體" w:eastAsia="標楷體" w:hAnsi="標楷體"/>
          <w:color w:val="000000"/>
          <w:szCs w:val="24"/>
        </w:rPr>
        <w:t>週</w:t>
      </w:r>
      <w:proofErr w:type="gramEnd"/>
      <w:r>
        <w:rPr>
          <w:rFonts w:ascii="標楷體" w:eastAsia="標楷體" w:hAnsi="標楷體"/>
          <w:color w:val="000000"/>
          <w:szCs w:val="24"/>
        </w:rPr>
        <w:t>治療中，能維持「RBC輸血量較基礎值降低</w:t>
      </w:r>
      <w:r>
        <w:rPr>
          <w:rFonts w:ascii="Times New Roman" w:eastAsia="標楷體" w:hAnsi="Times New Roman"/>
          <w:color w:val="000000"/>
          <w:szCs w:val="24"/>
        </w:rPr>
        <w:t>≥</w:t>
      </w:r>
      <w:r>
        <w:rPr>
          <w:rFonts w:ascii="標楷體" w:eastAsia="標楷體" w:hAnsi="標楷體"/>
          <w:color w:val="000000"/>
          <w:szCs w:val="24"/>
        </w:rPr>
        <w:t>50%」的反應。</w:t>
      </w:r>
    </w:p>
    <w:p w14:paraId="66AE3211"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5.最大劑量不得超過1.25 mg/kg (或總劑量120毫克)。</w:t>
      </w:r>
    </w:p>
    <w:p w14:paraId="43C3AAC4" w14:textId="77777777" w:rsidR="00401786" w:rsidRDefault="00C64FB3" w:rsidP="0009639E">
      <w:pPr>
        <w:spacing w:line="300" w:lineRule="exact"/>
        <w:ind w:left="860" w:hanging="238"/>
      </w:pPr>
      <w:r>
        <w:rPr>
          <w:rFonts w:ascii="標楷體" w:eastAsia="標楷體" w:hAnsi="標楷體"/>
          <w:szCs w:val="24"/>
        </w:rPr>
        <w:t>6.停藥條件：</w:t>
      </w:r>
      <w:r>
        <w:rPr>
          <w:rFonts w:ascii="標楷體" w:eastAsia="標楷體" w:hAnsi="標楷體"/>
          <w:color w:val="000000"/>
          <w:szCs w:val="24"/>
        </w:rPr>
        <w:t>若接受本藥品最大劑量治療24</w:t>
      </w:r>
      <w:proofErr w:type="gramStart"/>
      <w:r>
        <w:rPr>
          <w:rFonts w:ascii="標楷體" w:eastAsia="標楷體" w:hAnsi="標楷體"/>
          <w:color w:val="000000"/>
          <w:szCs w:val="24"/>
        </w:rPr>
        <w:t>週</w:t>
      </w:r>
      <w:proofErr w:type="gramEnd"/>
      <w:r>
        <w:rPr>
          <w:rFonts w:ascii="標楷體" w:eastAsia="標楷體" w:hAnsi="標楷體"/>
          <w:color w:val="000000"/>
          <w:szCs w:val="24"/>
        </w:rPr>
        <w:t>後仍未達到治療反應，則應停藥。</w:t>
      </w:r>
    </w:p>
    <w:p w14:paraId="447AECF5" w14:textId="77777777" w:rsidR="00401786" w:rsidRDefault="00C64FB3" w:rsidP="0009639E">
      <w:pPr>
        <w:spacing w:line="300" w:lineRule="exact"/>
        <w:ind w:left="360" w:hanging="360"/>
        <w:rPr>
          <w:rFonts w:ascii="標楷體" w:eastAsia="標楷體" w:hAnsi="標楷體"/>
          <w:szCs w:val="24"/>
        </w:rPr>
      </w:pPr>
      <w:r>
        <w:rPr>
          <w:rFonts w:ascii="標楷體" w:eastAsia="標楷體" w:hAnsi="標楷體"/>
          <w:szCs w:val="24"/>
        </w:rPr>
        <w:t>4.3.7.Lanadelumab(如</w:t>
      </w:r>
      <w:proofErr w:type="spellStart"/>
      <w:r>
        <w:rPr>
          <w:rFonts w:ascii="標楷體" w:eastAsia="標楷體" w:hAnsi="標楷體"/>
          <w:szCs w:val="24"/>
        </w:rPr>
        <w:t>Takhzyro</w:t>
      </w:r>
      <w:proofErr w:type="spellEnd"/>
      <w:r>
        <w:rPr>
          <w:rFonts w:ascii="標楷體" w:eastAsia="標楷體" w:hAnsi="標楷體"/>
          <w:szCs w:val="24"/>
        </w:rPr>
        <w:t>)：(113/3/1)</w:t>
      </w:r>
    </w:p>
    <w:p w14:paraId="3AE13EFB"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1.限用於經衛生福利部國民</w:t>
      </w:r>
      <w:proofErr w:type="gramStart"/>
      <w:r>
        <w:rPr>
          <w:rFonts w:ascii="標楷體" w:eastAsia="標楷體" w:hAnsi="標楷體"/>
          <w:szCs w:val="24"/>
        </w:rPr>
        <w:t>健康署</w:t>
      </w:r>
      <w:proofErr w:type="gramEnd"/>
      <w:r>
        <w:rPr>
          <w:rFonts w:ascii="標楷體" w:eastAsia="標楷體" w:hAnsi="標楷體"/>
          <w:szCs w:val="24"/>
        </w:rPr>
        <w:t>認定12歲以上，體內C</w:t>
      </w:r>
      <w:proofErr w:type="gramStart"/>
      <w:r>
        <w:rPr>
          <w:rFonts w:ascii="標楷體" w:eastAsia="標楷體" w:hAnsi="標楷體"/>
          <w:szCs w:val="24"/>
        </w:rPr>
        <w:t>1酯酶</w:t>
      </w:r>
      <w:proofErr w:type="gramEnd"/>
      <w:r>
        <w:rPr>
          <w:rFonts w:ascii="標楷體" w:eastAsia="標楷體" w:hAnsi="標楷體"/>
          <w:szCs w:val="24"/>
        </w:rPr>
        <w:t>抑制劑不足之遺傳性血管性水腫(HAE)患者，作為遺傳性血管性水腫反覆發作之預防，患者必須經確診為C1-酯酶抑製劑缺乏症(C1-esterase inhibitor deficiency)，並符合下列任一臨床條件：</w:t>
      </w:r>
    </w:p>
    <w:p w14:paraId="6E3A0410"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(1)使用口服預防性藥物，但於過去連續8</w:t>
      </w:r>
      <w:proofErr w:type="gramStart"/>
      <w:r>
        <w:rPr>
          <w:rFonts w:ascii="標楷體" w:eastAsia="標楷體" w:hAnsi="標楷體"/>
          <w:szCs w:val="24"/>
        </w:rPr>
        <w:t>週</w:t>
      </w:r>
      <w:proofErr w:type="gramEnd"/>
      <w:r>
        <w:rPr>
          <w:rFonts w:ascii="標楷體" w:eastAsia="標楷體" w:hAnsi="標楷體"/>
          <w:szCs w:val="24"/>
        </w:rPr>
        <w:t>每週有2次以上急性發作(定義：需要以急性藥物</w:t>
      </w:r>
      <w:proofErr w:type="gramStart"/>
      <w:r>
        <w:rPr>
          <w:rFonts w:ascii="標楷體" w:eastAsia="標楷體" w:hAnsi="標楷體"/>
          <w:szCs w:val="24"/>
        </w:rPr>
        <w:t>【</w:t>
      </w:r>
      <w:proofErr w:type="gramEnd"/>
      <w:r>
        <w:rPr>
          <w:rFonts w:ascii="標楷體" w:eastAsia="標楷體" w:hAnsi="標楷體"/>
          <w:szCs w:val="24"/>
        </w:rPr>
        <w:t>如：新鮮冷凍血漿或</w:t>
      </w:r>
      <w:proofErr w:type="spellStart"/>
      <w:r>
        <w:rPr>
          <w:rFonts w:ascii="標楷體" w:eastAsia="標楷體" w:hAnsi="標楷體"/>
          <w:szCs w:val="24"/>
        </w:rPr>
        <w:t>icatibant</w:t>
      </w:r>
      <w:proofErr w:type="spellEnd"/>
      <w:r>
        <w:rPr>
          <w:rFonts w:ascii="標楷體" w:eastAsia="標楷體" w:hAnsi="標楷體"/>
          <w:szCs w:val="24"/>
        </w:rPr>
        <w:t>或C1-esterase inhibitor</w:t>
      </w:r>
      <w:proofErr w:type="gramStart"/>
      <w:r>
        <w:rPr>
          <w:rFonts w:ascii="標楷體" w:eastAsia="標楷體" w:hAnsi="標楷體"/>
          <w:szCs w:val="24"/>
        </w:rPr>
        <w:t>】</w:t>
      </w:r>
      <w:proofErr w:type="gramEnd"/>
      <w:r>
        <w:rPr>
          <w:rFonts w:ascii="標楷體" w:eastAsia="標楷體" w:hAnsi="標楷體"/>
          <w:szCs w:val="24"/>
        </w:rPr>
        <w:t>緊急注射治療之發作)。</w:t>
      </w:r>
    </w:p>
    <w:p w14:paraId="42BAD4B2"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(2)因禁忌症、耐受性而無法接受口服預防性治療者，在開始使用</w:t>
      </w:r>
      <w:proofErr w:type="spellStart"/>
      <w:r>
        <w:rPr>
          <w:rFonts w:ascii="標楷體" w:eastAsia="標楷體" w:hAnsi="標楷體"/>
          <w:szCs w:val="24"/>
        </w:rPr>
        <w:t>lanadelumab</w:t>
      </w:r>
      <w:proofErr w:type="spellEnd"/>
      <w:r>
        <w:rPr>
          <w:rFonts w:ascii="標楷體" w:eastAsia="標楷體" w:hAnsi="標楷體"/>
          <w:szCs w:val="24"/>
        </w:rPr>
        <w:t>治療前，患者必須在過去4</w:t>
      </w:r>
      <w:proofErr w:type="gramStart"/>
      <w:r>
        <w:rPr>
          <w:rFonts w:ascii="標楷體" w:eastAsia="標楷體" w:hAnsi="標楷體"/>
          <w:szCs w:val="24"/>
        </w:rPr>
        <w:t>週</w:t>
      </w:r>
      <w:proofErr w:type="gramEnd"/>
      <w:r>
        <w:rPr>
          <w:rFonts w:ascii="標楷體" w:eastAsia="標楷體" w:hAnsi="標楷體"/>
          <w:szCs w:val="24"/>
        </w:rPr>
        <w:t>內至少具3次以上之急性發作，或曾經有過危及生命之發作(定義：需接受侵入性治療</w:t>
      </w:r>
      <w:proofErr w:type="gramStart"/>
      <w:r>
        <w:rPr>
          <w:rFonts w:ascii="標楷體" w:eastAsia="標楷體" w:hAnsi="標楷體"/>
          <w:szCs w:val="24"/>
        </w:rPr>
        <w:t>【</w:t>
      </w:r>
      <w:proofErr w:type="gramEnd"/>
      <w:r>
        <w:rPr>
          <w:rFonts w:ascii="標楷體" w:eastAsia="標楷體" w:hAnsi="標楷體"/>
          <w:szCs w:val="24"/>
        </w:rPr>
        <w:t>如：氣管切開</w:t>
      </w:r>
      <w:proofErr w:type="gramStart"/>
      <w:r>
        <w:rPr>
          <w:rFonts w:ascii="標楷體" w:eastAsia="標楷體" w:hAnsi="標楷體"/>
          <w:szCs w:val="24"/>
        </w:rPr>
        <w:t>造口術</w:t>
      </w:r>
      <w:proofErr w:type="gramEnd"/>
      <w:r>
        <w:rPr>
          <w:rFonts w:ascii="標楷體" w:eastAsia="標楷體" w:hAnsi="標楷體"/>
          <w:szCs w:val="24"/>
        </w:rPr>
        <w:t>、氣管內管插管</w:t>
      </w:r>
      <w:proofErr w:type="gramStart"/>
      <w:r>
        <w:rPr>
          <w:rFonts w:ascii="標楷體" w:eastAsia="標楷體" w:hAnsi="標楷體"/>
          <w:szCs w:val="24"/>
        </w:rPr>
        <w:t>】</w:t>
      </w:r>
      <w:proofErr w:type="gramEnd"/>
      <w:r>
        <w:rPr>
          <w:rFonts w:ascii="標楷體" w:eastAsia="標楷體" w:hAnsi="標楷體"/>
          <w:szCs w:val="24"/>
        </w:rPr>
        <w:t>之發作)。</w:t>
      </w:r>
    </w:p>
    <w:p w14:paraId="147E864F" w14:textId="77777777" w:rsidR="00401786" w:rsidRDefault="00C64FB3" w:rsidP="0009639E">
      <w:pPr>
        <w:spacing w:line="300" w:lineRule="exact"/>
        <w:ind w:left="840" w:hanging="240"/>
      </w:pPr>
      <w:r>
        <w:rPr>
          <w:rFonts w:ascii="標楷體" w:eastAsia="標楷體" w:hAnsi="標楷體"/>
          <w:szCs w:val="24"/>
        </w:rPr>
        <w:t>2.使用劑量</w:t>
      </w:r>
      <w:r>
        <w:rPr>
          <w:rFonts w:ascii="新細明體" w:hAnsi="新細明體"/>
          <w:szCs w:val="24"/>
        </w:rPr>
        <w:t>：</w:t>
      </w:r>
      <w:r>
        <w:rPr>
          <w:rFonts w:ascii="標楷體" w:eastAsia="標楷體" w:hAnsi="標楷體"/>
          <w:szCs w:val="24"/>
        </w:rPr>
        <w:t>維持劑量至多300mg/4</w:t>
      </w:r>
      <w:proofErr w:type="gramStart"/>
      <w:r>
        <w:rPr>
          <w:rFonts w:ascii="標楷體" w:eastAsia="標楷體" w:hAnsi="標楷體"/>
          <w:szCs w:val="24"/>
        </w:rPr>
        <w:t>週</w:t>
      </w:r>
      <w:proofErr w:type="gramEnd"/>
      <w:r>
        <w:rPr>
          <w:rFonts w:ascii="新細明體" w:hAnsi="新細明體"/>
          <w:szCs w:val="24"/>
        </w:rPr>
        <w:t>。</w:t>
      </w:r>
    </w:p>
    <w:p w14:paraId="54F34FC7" w14:textId="77777777" w:rsidR="00401786" w:rsidRDefault="00C64FB3" w:rsidP="0009639E">
      <w:pPr>
        <w:spacing w:line="300" w:lineRule="exact"/>
        <w:ind w:left="840" w:hanging="240"/>
      </w:pPr>
      <w:r>
        <w:rPr>
          <w:rFonts w:ascii="標楷體" w:eastAsia="標楷體" w:hAnsi="標楷體"/>
          <w:szCs w:val="24"/>
        </w:rPr>
        <w:t>3.減少使用劑量</w:t>
      </w:r>
      <w:r>
        <w:rPr>
          <w:rFonts w:ascii="新細明體" w:hAnsi="新細明體"/>
          <w:szCs w:val="24"/>
        </w:rPr>
        <w:t>：</w:t>
      </w:r>
    </w:p>
    <w:p w14:paraId="15485F49"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(1)減量時機：超過6個月沒有發作紀錄。</w:t>
      </w:r>
    </w:p>
    <w:p w14:paraId="147C2CC5" w14:textId="77777777" w:rsidR="00401786" w:rsidRDefault="00C64FB3" w:rsidP="0009639E">
      <w:pPr>
        <w:spacing w:line="300" w:lineRule="exact"/>
        <w:ind w:left="1200" w:hanging="360"/>
      </w:pPr>
      <w:r>
        <w:rPr>
          <w:rFonts w:ascii="標楷體" w:eastAsia="標楷體" w:hAnsi="標楷體"/>
          <w:szCs w:val="24"/>
        </w:rPr>
        <w:t>(2)減量方式</w:t>
      </w:r>
      <w:r>
        <w:rPr>
          <w:rFonts w:ascii="新細明體" w:hAnsi="新細明體"/>
          <w:szCs w:val="24"/>
        </w:rPr>
        <w:t>：</w:t>
      </w:r>
      <w:r>
        <w:rPr>
          <w:rFonts w:ascii="標楷體" w:eastAsia="標楷體" w:hAnsi="標楷體"/>
          <w:szCs w:val="24"/>
        </w:rPr>
        <w:t>申請續用之事前審查時，應依據患者個別狀況提出延長給藥間隔之治療計畫。</w:t>
      </w:r>
    </w:p>
    <w:p w14:paraId="7ACE2C59"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(3)減量期間若有疾病復發得申請回復減量前之使用量。</w:t>
      </w:r>
    </w:p>
    <w:p w14:paraId="528847AB"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4.需經事前審查核准後使用，每次申請以6個月為限。</w:t>
      </w:r>
    </w:p>
    <w:p w14:paraId="51325658"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5.續用條件：在開始使用</w:t>
      </w:r>
      <w:proofErr w:type="spellStart"/>
      <w:r>
        <w:rPr>
          <w:rFonts w:ascii="標楷體" w:eastAsia="標楷體" w:hAnsi="標楷體"/>
          <w:szCs w:val="24"/>
        </w:rPr>
        <w:t>lanadelumab</w:t>
      </w:r>
      <w:proofErr w:type="spellEnd"/>
      <w:r>
        <w:rPr>
          <w:rFonts w:ascii="標楷體" w:eastAsia="標楷體" w:hAnsi="標楷體"/>
          <w:szCs w:val="24"/>
        </w:rPr>
        <w:t>治療3個月後，即應對患者進行療效評估，</w:t>
      </w:r>
      <w:proofErr w:type="gramStart"/>
      <w:r>
        <w:rPr>
          <w:rFonts w:ascii="標楷體" w:eastAsia="標楷體" w:hAnsi="標楷體"/>
          <w:szCs w:val="24"/>
        </w:rPr>
        <w:t>且迄後仍</w:t>
      </w:r>
      <w:proofErr w:type="gramEnd"/>
      <w:r>
        <w:rPr>
          <w:rFonts w:ascii="標楷體" w:eastAsia="標楷體" w:hAnsi="標楷體"/>
          <w:szCs w:val="24"/>
        </w:rPr>
        <w:t>應每3個月持續評估，</w:t>
      </w:r>
      <w:proofErr w:type="gramStart"/>
      <w:r>
        <w:rPr>
          <w:rFonts w:ascii="標楷體" w:eastAsia="標楷體" w:hAnsi="標楷體"/>
          <w:szCs w:val="24"/>
        </w:rPr>
        <w:t>均需達</w:t>
      </w:r>
      <w:proofErr w:type="gramEnd"/>
      <w:r>
        <w:rPr>
          <w:rFonts w:ascii="標楷體" w:eastAsia="標楷體" w:hAnsi="標楷體"/>
          <w:szCs w:val="24"/>
        </w:rPr>
        <w:t>療效指標(定義：使用</w:t>
      </w:r>
      <w:proofErr w:type="spellStart"/>
      <w:r>
        <w:rPr>
          <w:rFonts w:ascii="標楷體" w:eastAsia="標楷體" w:hAnsi="標楷體"/>
          <w:szCs w:val="24"/>
        </w:rPr>
        <w:t>lanadelumab</w:t>
      </w:r>
      <w:proofErr w:type="spellEnd"/>
      <w:r>
        <w:rPr>
          <w:rFonts w:ascii="標楷體" w:eastAsia="標楷體" w:hAnsi="標楷體"/>
          <w:szCs w:val="24"/>
        </w:rPr>
        <w:t>治療3個月內，無危及生命發作，且需HAE發作接受急性注射治療之次數&lt;開始使用</w:t>
      </w:r>
      <w:proofErr w:type="spellStart"/>
      <w:r>
        <w:rPr>
          <w:rFonts w:ascii="標楷體" w:eastAsia="標楷體" w:hAnsi="標楷體"/>
          <w:szCs w:val="24"/>
        </w:rPr>
        <w:t>lanadelumab</w:t>
      </w:r>
      <w:proofErr w:type="spellEnd"/>
      <w:r>
        <w:rPr>
          <w:rFonts w:ascii="標楷體" w:eastAsia="標楷體" w:hAnsi="標楷體"/>
          <w:szCs w:val="24"/>
        </w:rPr>
        <w:t>治療前8</w:t>
      </w:r>
      <w:proofErr w:type="gramStart"/>
      <w:r>
        <w:rPr>
          <w:rFonts w:ascii="標楷體" w:eastAsia="標楷體" w:hAnsi="標楷體"/>
          <w:szCs w:val="24"/>
        </w:rPr>
        <w:t>週</w:t>
      </w:r>
      <w:proofErr w:type="gramEnd"/>
      <w:r>
        <w:rPr>
          <w:rFonts w:ascii="標楷體" w:eastAsia="標楷體" w:hAnsi="標楷體"/>
          <w:szCs w:val="24"/>
        </w:rPr>
        <w:t>內所觀察到之發作次數)。</w:t>
      </w:r>
    </w:p>
    <w:p w14:paraId="1327450A" w14:textId="77777777" w:rsidR="00401786" w:rsidRDefault="00C64FB3" w:rsidP="00CC252C">
      <w:pPr>
        <w:spacing w:line="300" w:lineRule="exact"/>
        <w:ind w:left="840" w:hanging="240"/>
        <w:rPr>
          <w:rFonts w:ascii="標楷體" w:eastAsia="標楷體" w:hAnsi="標楷體"/>
          <w:szCs w:val="24"/>
        </w:rPr>
      </w:pPr>
      <w:r>
        <w:rPr>
          <w:rFonts w:ascii="標楷體" w:eastAsia="標楷體" w:hAnsi="標楷體"/>
          <w:szCs w:val="24"/>
        </w:rPr>
        <w:t>6.停用條件：HAE發作之次數</w:t>
      </w:r>
      <w:proofErr w:type="gramStart"/>
      <w:r>
        <w:rPr>
          <w:rFonts w:ascii="標楷體" w:eastAsia="標楷體" w:hAnsi="標楷體"/>
          <w:szCs w:val="24"/>
        </w:rPr>
        <w:t>≧</w:t>
      </w:r>
      <w:proofErr w:type="gramEnd"/>
      <w:r>
        <w:rPr>
          <w:rFonts w:ascii="標楷體" w:eastAsia="標楷體" w:hAnsi="標楷體"/>
          <w:szCs w:val="24"/>
        </w:rPr>
        <w:t>開始使用</w:t>
      </w:r>
      <w:proofErr w:type="spellStart"/>
      <w:r>
        <w:rPr>
          <w:rFonts w:ascii="標楷體" w:eastAsia="標楷體" w:hAnsi="標楷體"/>
          <w:szCs w:val="24"/>
        </w:rPr>
        <w:t>lanadelumab</w:t>
      </w:r>
      <w:proofErr w:type="spellEnd"/>
      <w:r>
        <w:rPr>
          <w:rFonts w:ascii="標楷體" w:eastAsia="標楷體" w:hAnsi="標楷體"/>
          <w:szCs w:val="24"/>
        </w:rPr>
        <w:t>治療前8</w:t>
      </w:r>
      <w:proofErr w:type="gramStart"/>
      <w:r>
        <w:rPr>
          <w:rFonts w:ascii="標楷體" w:eastAsia="標楷體" w:hAnsi="標楷體"/>
          <w:szCs w:val="24"/>
        </w:rPr>
        <w:t>週</w:t>
      </w:r>
      <w:proofErr w:type="gramEnd"/>
      <w:r>
        <w:rPr>
          <w:rFonts w:ascii="標楷體" w:eastAsia="標楷體" w:hAnsi="標楷體"/>
          <w:szCs w:val="24"/>
        </w:rPr>
        <w:t>內所觀察到之發作次數。</w:t>
      </w:r>
    </w:p>
    <w:p w14:paraId="2A9239BF" w14:textId="77777777" w:rsidR="00897BD0" w:rsidRPr="003A1059" w:rsidRDefault="00897BD0" w:rsidP="00897BD0">
      <w:pPr>
        <w:spacing w:line="300" w:lineRule="exact"/>
        <w:ind w:left="360" w:hanging="360"/>
        <w:rPr>
          <w:rFonts w:ascii="標楷體" w:eastAsia="標楷體" w:hAnsi="標楷體"/>
          <w:color w:val="000000"/>
        </w:rPr>
      </w:pPr>
      <w:r w:rsidRPr="003A1059">
        <w:rPr>
          <w:rFonts w:ascii="標楷體" w:eastAsia="標楷體" w:hAnsi="標楷體" w:hint="eastAsia"/>
          <w:color w:val="000000"/>
        </w:rPr>
        <w:t>4.3.8.</w:t>
      </w:r>
      <w:r w:rsidRPr="003A1059">
        <w:rPr>
          <w:rFonts w:ascii="標楷體" w:eastAsia="標楷體" w:hAnsi="標楷體" w:hint="eastAsia"/>
          <w:sz w:val="22"/>
        </w:rPr>
        <w:t xml:space="preserve"> </w:t>
      </w:r>
      <w:r w:rsidRPr="003A1059">
        <w:rPr>
          <w:rFonts w:ascii="標楷體" w:eastAsia="標楷體" w:hAnsi="標楷體" w:hint="eastAsia"/>
          <w:szCs w:val="24"/>
        </w:rPr>
        <w:t>rADAMTS13</w:t>
      </w:r>
      <w:r w:rsidRPr="003A1059">
        <w:rPr>
          <w:rFonts w:ascii="標楷體" w:eastAsia="標楷體" w:hAnsi="標楷體" w:hint="eastAsia"/>
          <w:color w:val="000000"/>
        </w:rPr>
        <w:t xml:space="preserve"> (如</w:t>
      </w:r>
      <w:proofErr w:type="spellStart"/>
      <w:r w:rsidRPr="003A1059">
        <w:rPr>
          <w:rFonts w:ascii="標楷體" w:eastAsia="標楷體" w:hAnsi="標楷體" w:hint="eastAsia"/>
          <w:color w:val="000000"/>
        </w:rPr>
        <w:t>Adzynma</w:t>
      </w:r>
      <w:proofErr w:type="spellEnd"/>
      <w:r w:rsidRPr="003A1059">
        <w:rPr>
          <w:rFonts w:ascii="標楷體" w:eastAsia="標楷體" w:hAnsi="標楷體" w:hint="eastAsia"/>
          <w:color w:val="000000"/>
        </w:rPr>
        <w:t>)：(115/11/1)</w:t>
      </w:r>
    </w:p>
    <w:p w14:paraId="46BE14AD" w14:textId="77777777" w:rsidR="00897BD0" w:rsidRPr="003A1059" w:rsidRDefault="00897BD0" w:rsidP="00897BD0">
      <w:pPr>
        <w:widowControl/>
        <w:numPr>
          <w:ilvl w:val="0"/>
          <w:numId w:val="230"/>
        </w:numPr>
        <w:suppressAutoHyphens w:val="0"/>
        <w:autoSpaceDN/>
        <w:spacing w:line="300" w:lineRule="exact"/>
        <w:ind w:leftChars="236" w:left="850" w:hanging="284"/>
        <w:textAlignment w:val="auto"/>
        <w:rPr>
          <w:rFonts w:ascii="標楷體" w:eastAsia="標楷體" w:hAnsi="標楷體"/>
        </w:rPr>
      </w:pPr>
      <w:r w:rsidRPr="003A1059">
        <w:rPr>
          <w:rFonts w:ascii="標楷體" w:eastAsia="標楷體" w:hAnsi="標楷體" w:hint="eastAsia"/>
          <w:color w:val="000000"/>
        </w:rPr>
        <w:t>用於</w:t>
      </w:r>
      <w:r w:rsidRPr="003A1059">
        <w:rPr>
          <w:rFonts w:ascii="標楷體" w:eastAsia="標楷體" w:hAnsi="標楷體" w:hint="eastAsia"/>
        </w:rPr>
        <w:t>經衛生福利部國民</w:t>
      </w:r>
      <w:proofErr w:type="gramStart"/>
      <w:r w:rsidRPr="003A1059">
        <w:rPr>
          <w:rFonts w:ascii="標楷體" w:eastAsia="標楷體" w:hAnsi="標楷體" w:hint="eastAsia"/>
        </w:rPr>
        <w:t>健康署</w:t>
      </w:r>
      <w:proofErr w:type="gramEnd"/>
      <w:r w:rsidRPr="003A1059">
        <w:rPr>
          <w:rFonts w:ascii="標楷體" w:eastAsia="標楷體" w:hAnsi="標楷體" w:hint="eastAsia"/>
          <w:color w:val="000000"/>
        </w:rPr>
        <w:t>認定</w:t>
      </w:r>
      <w:r w:rsidRPr="003A1059">
        <w:rPr>
          <w:rFonts w:ascii="標楷體" w:eastAsia="標楷體" w:hAnsi="標楷體" w:hint="eastAsia"/>
        </w:rPr>
        <w:t>之</w:t>
      </w:r>
      <w:r w:rsidRPr="003A1059">
        <w:rPr>
          <w:rFonts w:ascii="標楷體" w:eastAsia="標楷體" w:hAnsi="標楷體" w:hint="eastAsia"/>
          <w:color w:val="000000"/>
        </w:rPr>
        <w:t>先天性血栓性血小板</w:t>
      </w:r>
      <w:proofErr w:type="gramStart"/>
      <w:r w:rsidRPr="003A1059">
        <w:rPr>
          <w:rFonts w:ascii="標楷體" w:eastAsia="標楷體" w:hAnsi="標楷體" w:hint="eastAsia"/>
          <w:color w:val="000000"/>
        </w:rPr>
        <w:t>低下紫斑症</w:t>
      </w:r>
      <w:proofErr w:type="gramEnd"/>
      <w:r w:rsidRPr="003A1059">
        <w:rPr>
          <w:rFonts w:ascii="標楷體" w:eastAsia="標楷體" w:hAnsi="標楷體" w:hint="eastAsia"/>
          <w:color w:val="000000"/>
        </w:rPr>
        <w:t>(Congenital Thrombotic Thro</w:t>
      </w:r>
      <w:r w:rsidRPr="003A1059">
        <w:rPr>
          <w:rFonts w:ascii="標楷體" w:eastAsia="標楷體" w:hAnsi="標楷體" w:hint="eastAsia"/>
        </w:rPr>
        <w:t xml:space="preserve">mbocytopenic </w:t>
      </w:r>
      <w:proofErr w:type="spellStart"/>
      <w:r w:rsidRPr="003A1059">
        <w:rPr>
          <w:rFonts w:ascii="標楷體" w:eastAsia="標楷體" w:hAnsi="標楷體" w:hint="eastAsia"/>
        </w:rPr>
        <w:t>Purpura,cTTP</w:t>
      </w:r>
      <w:proofErr w:type="spellEnd"/>
      <w:r w:rsidRPr="003A1059">
        <w:rPr>
          <w:rFonts w:ascii="標楷體" w:eastAsia="標楷體" w:hAnsi="標楷體" w:hint="eastAsia"/>
        </w:rPr>
        <w:t>)病人之預防性治療，且須同時符合下列條件：</w:t>
      </w:r>
    </w:p>
    <w:p w14:paraId="052C04D9" w14:textId="77777777" w:rsidR="00897BD0" w:rsidRPr="003A1059" w:rsidRDefault="00897BD0" w:rsidP="00897BD0">
      <w:pPr>
        <w:widowControl/>
        <w:numPr>
          <w:ilvl w:val="1"/>
          <w:numId w:val="231"/>
        </w:numPr>
        <w:suppressAutoHyphens w:val="0"/>
        <w:autoSpaceDN/>
        <w:spacing w:line="300" w:lineRule="exact"/>
        <w:ind w:leftChars="330" w:left="1215" w:hanging="423"/>
        <w:textAlignment w:val="auto"/>
        <w:rPr>
          <w:rFonts w:ascii="標楷體" w:eastAsia="標楷體" w:hAnsi="標楷體"/>
        </w:rPr>
      </w:pPr>
      <w:r w:rsidRPr="003A1059">
        <w:rPr>
          <w:rFonts w:ascii="標楷體" w:eastAsia="標楷體" w:hAnsi="標楷體" w:hint="eastAsia"/>
        </w:rPr>
        <w:t>經確認為ADAMTS-13基因突變，且對預防性冷凍血漿治療無法耐受或具過敏者。</w:t>
      </w:r>
    </w:p>
    <w:p w14:paraId="04C29DB3" w14:textId="77777777" w:rsidR="00897BD0" w:rsidRPr="003A1059" w:rsidRDefault="00897BD0" w:rsidP="00897BD0">
      <w:pPr>
        <w:widowControl/>
        <w:numPr>
          <w:ilvl w:val="1"/>
          <w:numId w:val="231"/>
        </w:numPr>
        <w:suppressAutoHyphens w:val="0"/>
        <w:autoSpaceDN/>
        <w:spacing w:line="300" w:lineRule="exact"/>
        <w:ind w:leftChars="330" w:left="1215" w:hanging="423"/>
        <w:textAlignment w:val="auto"/>
        <w:rPr>
          <w:rFonts w:ascii="標楷體" w:eastAsia="標楷體" w:hAnsi="標楷體"/>
        </w:rPr>
      </w:pPr>
      <w:r w:rsidRPr="003A1059">
        <w:rPr>
          <w:rFonts w:ascii="標楷體" w:eastAsia="標楷體" w:hAnsi="標楷體" w:hint="eastAsia"/>
        </w:rPr>
        <w:t>ADAMTS13 活性低於10%。</w:t>
      </w:r>
    </w:p>
    <w:p w14:paraId="39289D97" w14:textId="77777777" w:rsidR="00897BD0" w:rsidRPr="003A1059" w:rsidRDefault="00897BD0" w:rsidP="00897BD0">
      <w:pPr>
        <w:widowControl/>
        <w:numPr>
          <w:ilvl w:val="1"/>
          <w:numId w:val="231"/>
        </w:numPr>
        <w:suppressAutoHyphens w:val="0"/>
        <w:autoSpaceDN/>
        <w:spacing w:line="300" w:lineRule="exact"/>
        <w:ind w:leftChars="330" w:left="1215" w:hanging="423"/>
        <w:textAlignment w:val="auto"/>
        <w:rPr>
          <w:rFonts w:ascii="標楷體" w:eastAsia="標楷體" w:hAnsi="標楷體"/>
        </w:rPr>
      </w:pPr>
      <w:r w:rsidRPr="003A1059">
        <w:rPr>
          <w:rFonts w:ascii="標楷體" w:eastAsia="標楷體" w:hAnsi="標楷體" w:hint="eastAsia"/>
        </w:rPr>
        <w:t>出現過典型TTP相關臨床事件，如血管性溶血性貧血(MAHA)、血栓性相關心臟、神經或腎病變等表現。</w:t>
      </w:r>
    </w:p>
    <w:p w14:paraId="66328138" w14:textId="77777777" w:rsidR="00897BD0" w:rsidRPr="003A1059" w:rsidRDefault="00897BD0" w:rsidP="00897BD0">
      <w:pPr>
        <w:widowControl/>
        <w:numPr>
          <w:ilvl w:val="1"/>
          <w:numId w:val="231"/>
        </w:numPr>
        <w:suppressAutoHyphens w:val="0"/>
        <w:autoSpaceDN/>
        <w:spacing w:line="300" w:lineRule="exact"/>
        <w:ind w:leftChars="330" w:left="1215" w:hanging="423"/>
        <w:textAlignment w:val="auto"/>
        <w:rPr>
          <w:rFonts w:ascii="標楷體" w:eastAsia="標楷體" w:hAnsi="標楷體"/>
        </w:rPr>
      </w:pPr>
      <w:r w:rsidRPr="003A1059">
        <w:rPr>
          <w:rFonts w:ascii="標楷體" w:eastAsia="標楷體" w:hAnsi="標楷體" w:hint="eastAsia"/>
        </w:rPr>
        <w:t>曾發生至少一次急性事件(acute episode)，並符合下列任一項檢驗標準：</w:t>
      </w:r>
    </w:p>
    <w:p w14:paraId="3A94399B" w14:textId="77777777" w:rsidR="00897BD0" w:rsidRPr="003A1059" w:rsidRDefault="00897BD0" w:rsidP="00897BD0">
      <w:pPr>
        <w:widowControl/>
        <w:numPr>
          <w:ilvl w:val="2"/>
          <w:numId w:val="232"/>
        </w:numPr>
        <w:suppressAutoHyphens w:val="0"/>
        <w:autoSpaceDN/>
        <w:spacing w:line="300" w:lineRule="exact"/>
        <w:ind w:left="877" w:firstLine="116"/>
        <w:textAlignment w:val="auto"/>
        <w:rPr>
          <w:rFonts w:ascii="標楷體" w:eastAsia="標楷體" w:hAnsi="標楷體"/>
        </w:rPr>
      </w:pPr>
      <w:r w:rsidRPr="003A1059">
        <w:rPr>
          <w:rFonts w:ascii="標楷體" w:eastAsia="標楷體" w:hAnsi="標楷體" w:hint="eastAsia"/>
        </w:rPr>
        <w:t>血小板計數相較基準值下降達50%以上，或小於100,000/μL 。</w:t>
      </w:r>
    </w:p>
    <w:p w14:paraId="6372B73D" w14:textId="77777777" w:rsidR="00897BD0" w:rsidRPr="003A1059" w:rsidRDefault="00897BD0" w:rsidP="00897BD0">
      <w:pPr>
        <w:widowControl/>
        <w:numPr>
          <w:ilvl w:val="2"/>
          <w:numId w:val="232"/>
        </w:numPr>
        <w:suppressAutoHyphens w:val="0"/>
        <w:autoSpaceDN/>
        <w:spacing w:line="300" w:lineRule="exact"/>
        <w:ind w:left="877" w:firstLine="116"/>
        <w:textAlignment w:val="auto"/>
        <w:rPr>
          <w:rFonts w:ascii="標楷體" w:eastAsia="標楷體" w:hAnsi="標楷體"/>
        </w:rPr>
      </w:pPr>
      <w:r w:rsidRPr="003A1059">
        <w:rPr>
          <w:rFonts w:ascii="標楷體" w:eastAsia="標楷體" w:hAnsi="標楷體" w:hint="eastAsia"/>
        </w:rPr>
        <w:t>血清中</w:t>
      </w:r>
      <w:proofErr w:type="gramStart"/>
      <w:r w:rsidRPr="003A1059">
        <w:rPr>
          <w:rFonts w:ascii="標楷體" w:eastAsia="標楷體" w:hAnsi="標楷體" w:hint="eastAsia"/>
        </w:rPr>
        <w:t>乳酸去氫</w:t>
      </w:r>
      <w:proofErr w:type="gramEnd"/>
      <w:r w:rsidRPr="003A1059">
        <w:rPr>
          <w:rFonts w:ascii="標楷體" w:eastAsia="標楷體" w:hAnsi="標楷體" w:hint="eastAsia"/>
        </w:rPr>
        <w:t>酶(LDH)數值較基準值上升2倍以上，或高於檢驗上限值2倍。</w:t>
      </w:r>
    </w:p>
    <w:p w14:paraId="42EC8763" w14:textId="77777777" w:rsidR="00897BD0" w:rsidRPr="003A1059" w:rsidRDefault="00897BD0" w:rsidP="00897BD0">
      <w:pPr>
        <w:widowControl/>
        <w:numPr>
          <w:ilvl w:val="0"/>
          <w:numId w:val="230"/>
        </w:numPr>
        <w:suppressAutoHyphens w:val="0"/>
        <w:autoSpaceDN/>
        <w:spacing w:line="300" w:lineRule="exact"/>
        <w:ind w:leftChars="236" w:left="850" w:hanging="284"/>
        <w:textAlignment w:val="auto"/>
        <w:rPr>
          <w:rFonts w:ascii="標楷體" w:eastAsia="標楷體" w:hAnsi="標楷體"/>
        </w:rPr>
      </w:pPr>
      <w:r w:rsidRPr="003A1059">
        <w:rPr>
          <w:rFonts w:ascii="標楷體" w:eastAsia="標楷體" w:hAnsi="標楷體" w:hint="eastAsia"/>
        </w:rPr>
        <w:t>使用劑量：每兩週一次，每次40 IU/kg。</w:t>
      </w:r>
    </w:p>
    <w:p w14:paraId="0712ADD8" w14:textId="77777777" w:rsidR="00897BD0" w:rsidRPr="003A1059" w:rsidRDefault="00897BD0" w:rsidP="00897BD0">
      <w:pPr>
        <w:widowControl/>
        <w:numPr>
          <w:ilvl w:val="0"/>
          <w:numId w:val="230"/>
        </w:numPr>
        <w:suppressAutoHyphens w:val="0"/>
        <w:autoSpaceDN/>
        <w:spacing w:line="300" w:lineRule="exact"/>
        <w:ind w:leftChars="236" w:left="850" w:hanging="284"/>
        <w:textAlignment w:val="auto"/>
        <w:rPr>
          <w:rFonts w:ascii="標楷體" w:eastAsia="標楷體" w:hAnsi="標楷體"/>
        </w:rPr>
      </w:pPr>
      <w:r w:rsidRPr="003A1059">
        <w:rPr>
          <w:rFonts w:ascii="標楷體" w:eastAsia="標楷體" w:hAnsi="標楷體" w:hint="eastAsia"/>
        </w:rPr>
        <w:t>須經事前審查核准後使用，首次申請限用6個月，再次申請時血小板&gt;150,000/μL且ADAMTS13活性&gt;10%者方得續用，之後每12個月須再次申請。</w:t>
      </w:r>
    </w:p>
    <w:p w14:paraId="72A3F8E1" w14:textId="77777777" w:rsidR="00897BD0" w:rsidRPr="003A1059" w:rsidRDefault="00897BD0" w:rsidP="00897BD0">
      <w:pPr>
        <w:widowControl/>
        <w:numPr>
          <w:ilvl w:val="0"/>
          <w:numId w:val="230"/>
        </w:numPr>
        <w:suppressAutoHyphens w:val="0"/>
        <w:autoSpaceDN/>
        <w:spacing w:line="300" w:lineRule="exact"/>
        <w:ind w:leftChars="236" w:left="850" w:hanging="284"/>
        <w:textAlignment w:val="auto"/>
        <w:rPr>
          <w:rFonts w:ascii="標楷體" w:eastAsia="標楷體" w:hAnsi="標楷體"/>
        </w:rPr>
      </w:pPr>
      <w:r w:rsidRPr="003A1059">
        <w:rPr>
          <w:rFonts w:ascii="標楷體" w:eastAsia="標楷體" w:hAnsi="標楷體" w:hint="eastAsia"/>
        </w:rPr>
        <w:t>停用條件：</w:t>
      </w:r>
    </w:p>
    <w:p w14:paraId="178FBF89" w14:textId="77777777" w:rsidR="00897BD0" w:rsidRPr="003A1059" w:rsidRDefault="00897BD0" w:rsidP="00897BD0">
      <w:pPr>
        <w:widowControl/>
        <w:numPr>
          <w:ilvl w:val="1"/>
          <w:numId w:val="231"/>
        </w:numPr>
        <w:suppressAutoHyphens w:val="0"/>
        <w:autoSpaceDN/>
        <w:spacing w:line="300" w:lineRule="exact"/>
        <w:ind w:leftChars="330" w:left="1215" w:hanging="423"/>
        <w:textAlignment w:val="auto"/>
        <w:rPr>
          <w:rFonts w:ascii="標楷體" w:eastAsia="標楷體" w:hAnsi="標楷體"/>
        </w:rPr>
      </w:pPr>
      <w:r w:rsidRPr="003A1059">
        <w:rPr>
          <w:rFonts w:ascii="標楷體" w:eastAsia="標楷體" w:hAnsi="標楷體" w:hint="eastAsia"/>
        </w:rPr>
        <w:lastRenderedPageBreak/>
        <w:t>嚴重或不可接受之不良反應：出現危及生命或重</w:t>
      </w:r>
      <w:proofErr w:type="gramStart"/>
      <w:r w:rsidRPr="003A1059">
        <w:rPr>
          <w:rFonts w:ascii="標楷體" w:eastAsia="標楷體" w:hAnsi="標楷體" w:hint="eastAsia"/>
        </w:rPr>
        <w:t>度輸注</w:t>
      </w:r>
      <w:proofErr w:type="gramEnd"/>
      <w:r w:rsidRPr="003A1059">
        <w:rPr>
          <w:rFonts w:ascii="標楷體" w:eastAsia="標楷體" w:hAnsi="標楷體" w:hint="eastAsia"/>
        </w:rPr>
        <w:t>相關反應，例如全身性過敏反應(anaphylaxis)、嚴重過敏性休克。</w:t>
      </w:r>
    </w:p>
    <w:p w14:paraId="649046A7" w14:textId="45617D9B" w:rsidR="00CC252C" w:rsidRPr="00897BD0" w:rsidRDefault="00897BD0" w:rsidP="00897BD0">
      <w:pPr>
        <w:widowControl/>
        <w:numPr>
          <w:ilvl w:val="1"/>
          <w:numId w:val="231"/>
        </w:numPr>
        <w:suppressAutoHyphens w:val="0"/>
        <w:autoSpaceDN/>
        <w:spacing w:line="300" w:lineRule="exact"/>
        <w:ind w:leftChars="330" w:left="1215" w:hanging="423"/>
        <w:textAlignment w:val="auto"/>
        <w:rPr>
          <w:rFonts w:ascii="標楷體" w:eastAsia="標楷體" w:hAnsi="標楷體"/>
        </w:rPr>
      </w:pPr>
      <w:r w:rsidRPr="003A1059">
        <w:rPr>
          <w:rFonts w:ascii="標楷體" w:eastAsia="標楷體" w:hAnsi="標楷體" w:hint="eastAsia"/>
        </w:rPr>
        <w:t>療效不佳：ADAMTS13活性無法有效提升至&gt;10%，且臨床上持續發生急性事件。</w:t>
      </w:r>
      <w:r w:rsidR="00CC252C">
        <w:br w:type="page"/>
      </w:r>
    </w:p>
    <w:p w14:paraId="0DF37373" w14:textId="77777777" w:rsidR="00401786" w:rsidRDefault="00C64FB3" w:rsidP="0009639E">
      <w:pPr>
        <w:pStyle w:val="2"/>
        <w:spacing w:line="300" w:lineRule="exact"/>
      </w:pPr>
      <w:r>
        <w:lastRenderedPageBreak/>
        <w:t>第5節 激素及影響內分泌機轉藥物</w:t>
      </w:r>
      <w:r>
        <w:br/>
        <w:t>Hormones &amp; drugs affecting hormonal mechanism</w:t>
      </w:r>
    </w:p>
    <w:p w14:paraId="4FA0C324" w14:textId="77777777" w:rsidR="00401786" w:rsidRDefault="00401786" w:rsidP="0009639E">
      <w:pPr>
        <w:snapToGrid w:val="0"/>
        <w:spacing w:line="300" w:lineRule="exact"/>
        <w:jc w:val="center"/>
        <w:rPr>
          <w:rFonts w:ascii="標楷體" w:eastAsia="標楷體" w:hAnsi="標楷體"/>
          <w:b/>
          <w:color w:val="000000"/>
          <w:sz w:val="32"/>
          <w:szCs w:val="32"/>
        </w:rPr>
      </w:pPr>
    </w:p>
    <w:p w14:paraId="656B170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5.1.糖尿病用藥 Drugs used in diabetes</w:t>
      </w:r>
    </w:p>
    <w:p w14:paraId="585FC81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1.藥品種類(105/5/1)</w:t>
      </w:r>
    </w:p>
    <w:p w14:paraId="6D8C75BE"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(1)胰島素：各廠牌短、中、長效、速效或</w:t>
      </w:r>
      <w:proofErr w:type="gramStart"/>
      <w:r>
        <w:rPr>
          <w:rFonts w:ascii="標楷體" w:eastAsia="標楷體" w:hAnsi="標楷體"/>
          <w:color w:val="000000"/>
        </w:rPr>
        <w:t>預混型</w:t>
      </w:r>
      <w:proofErr w:type="gramEnd"/>
      <w:r>
        <w:rPr>
          <w:rFonts w:ascii="標楷體" w:eastAsia="標楷體" w:hAnsi="標楷體"/>
          <w:color w:val="000000"/>
        </w:rPr>
        <w:t>胰島素。</w:t>
      </w:r>
    </w:p>
    <w:p w14:paraId="408DF43B"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(2)Biguanides：如metformin。</w:t>
      </w:r>
    </w:p>
    <w:p w14:paraId="20DF5F2A"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(3)Sulfonylureas(SU)：如chlorpropamide、glipizide、glimepiride等。</w:t>
      </w:r>
    </w:p>
    <w:p w14:paraId="34529F08"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(4)Meglitinide：如repaglinide、</w:t>
      </w:r>
      <w:proofErr w:type="spellStart"/>
      <w:r>
        <w:rPr>
          <w:rFonts w:ascii="標楷體" w:eastAsia="標楷體" w:hAnsi="標楷體"/>
          <w:color w:val="000000"/>
        </w:rPr>
        <w:t>nateglinide</w:t>
      </w:r>
      <w:proofErr w:type="spellEnd"/>
      <w:r>
        <w:rPr>
          <w:rFonts w:ascii="標楷體" w:eastAsia="標楷體" w:hAnsi="標楷體"/>
          <w:color w:val="000000"/>
        </w:rPr>
        <w:t>等。</w:t>
      </w:r>
    </w:p>
    <w:p w14:paraId="60ABC867"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(5)α-glucosidase inhibitor：如acarbose、miglitol等。</w:t>
      </w:r>
    </w:p>
    <w:p w14:paraId="3933F0BC"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(6)Thiazolidinediones(TZD)：如 rosiglitazone、pioglitazone等。</w:t>
      </w:r>
    </w:p>
    <w:p w14:paraId="18A7238E"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(7)DPP-4抑制劑：如sitagliptin、vildagliptin、</w:t>
      </w:r>
      <w:proofErr w:type="spellStart"/>
      <w:r>
        <w:rPr>
          <w:rFonts w:ascii="標楷體" w:eastAsia="標楷體" w:hAnsi="標楷體"/>
          <w:color w:val="000000"/>
        </w:rPr>
        <w:t>saxagliptin</w:t>
      </w:r>
      <w:proofErr w:type="spellEnd"/>
      <w:r>
        <w:rPr>
          <w:rFonts w:ascii="標楷體" w:eastAsia="標楷體" w:hAnsi="標楷體"/>
          <w:color w:val="000000"/>
        </w:rPr>
        <w:t>、linagliptin等。</w:t>
      </w:r>
    </w:p>
    <w:p w14:paraId="5F0BCE75"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(8)GLP-1受體</w:t>
      </w:r>
      <w:proofErr w:type="gramStart"/>
      <w:r>
        <w:rPr>
          <w:rFonts w:ascii="標楷體" w:eastAsia="標楷體" w:hAnsi="標楷體"/>
          <w:color w:val="000000"/>
        </w:rPr>
        <w:t>促效劑</w:t>
      </w:r>
      <w:proofErr w:type="gramEnd"/>
      <w:r>
        <w:rPr>
          <w:rFonts w:ascii="標楷體" w:eastAsia="標楷體" w:hAnsi="標楷體"/>
          <w:color w:val="000000"/>
        </w:rPr>
        <w:t>：如exenatide、liraglutide等。</w:t>
      </w:r>
    </w:p>
    <w:p w14:paraId="62FC5078"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(9)SGLT-2抑制劑：如empagliflozin、dapagliflozin等。</w:t>
      </w:r>
    </w:p>
    <w:p w14:paraId="04A7F000" w14:textId="77777777" w:rsidR="00401786" w:rsidRDefault="00C64FB3" w:rsidP="0009639E">
      <w:pPr>
        <w:spacing w:line="300" w:lineRule="exact"/>
        <w:ind w:left="1258" w:hanging="550"/>
        <w:rPr>
          <w:rFonts w:ascii="標楷體" w:eastAsia="標楷體" w:hAnsi="標楷體"/>
          <w:color w:val="000000"/>
        </w:rPr>
      </w:pPr>
      <w:r>
        <w:rPr>
          <w:rFonts w:ascii="標楷體" w:eastAsia="標楷體" w:hAnsi="標楷體"/>
          <w:color w:val="000000"/>
        </w:rPr>
        <w:t>(10)各降血糖成分之口服複方製劑。</w:t>
      </w:r>
    </w:p>
    <w:p w14:paraId="39AEF2C3" w14:textId="77777777" w:rsidR="00401786" w:rsidRDefault="00C64FB3" w:rsidP="0009639E">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使用條件：(105/5/1、114/6/1)</w:t>
      </w:r>
    </w:p>
    <w:p w14:paraId="07A3F69D" w14:textId="77777777" w:rsidR="00401786" w:rsidRDefault="00C64FB3" w:rsidP="0009639E">
      <w:pPr>
        <w:spacing w:line="300" w:lineRule="exact"/>
        <w:ind w:left="993" w:hanging="426"/>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原則上第二型糖尿病治療應優先使用metformin，或考慮早期開始使用胰島素。除有過敏、禁忌症、</w:t>
      </w:r>
      <w:proofErr w:type="gramStart"/>
      <w:r>
        <w:rPr>
          <w:rFonts w:ascii="標楷體" w:eastAsia="標楷體" w:hAnsi="標楷體"/>
          <w:color w:val="000000"/>
        </w:rPr>
        <w:t>不</w:t>
      </w:r>
      <w:proofErr w:type="gramEnd"/>
      <w:r>
        <w:rPr>
          <w:rFonts w:ascii="標楷體" w:eastAsia="標楷體" w:hAnsi="標楷體"/>
          <w:color w:val="000000"/>
        </w:rPr>
        <w:t>能耐受或仍無法理想控制血糖的情形下，可使用其他類口服降血糖藥物。</w:t>
      </w:r>
    </w:p>
    <w:p w14:paraId="38389B5C" w14:textId="77777777" w:rsidR="00401786" w:rsidRDefault="00C64FB3" w:rsidP="0009639E">
      <w:pPr>
        <w:spacing w:line="300" w:lineRule="exact"/>
        <w:ind w:left="993" w:hanging="426"/>
        <w:rPr>
          <w:rFonts w:ascii="標楷體" w:eastAsia="標楷體" w:hAnsi="標楷體"/>
          <w:color w:val="000000"/>
        </w:rPr>
      </w:pPr>
      <w:r>
        <w:rPr>
          <w:rFonts w:ascii="標楷體" w:eastAsia="標楷體" w:hAnsi="標楷體"/>
          <w:color w:val="000000"/>
        </w:rPr>
        <w:t>(2) TZD製劑、DPP-4抑制劑、SGLT-2抑制劑、以及含該3類成分之複方製劑，限用於已接受過最大耐受劑量的metformin仍無法理想控制血糖之第二型糖尿病病人，且SGLT-2抑制劑與DPP-4抑制劑及其複方製</w:t>
      </w:r>
      <w:proofErr w:type="gramStart"/>
      <w:r>
        <w:rPr>
          <w:rFonts w:ascii="標楷體" w:eastAsia="標楷體" w:hAnsi="標楷體"/>
          <w:color w:val="000000"/>
        </w:rPr>
        <w:t>劑宜二種擇</w:t>
      </w:r>
      <w:proofErr w:type="gramEnd"/>
      <w:r>
        <w:rPr>
          <w:rFonts w:ascii="標楷體" w:eastAsia="標楷體" w:hAnsi="標楷體"/>
          <w:color w:val="000000"/>
        </w:rPr>
        <w:t>一種使用。</w:t>
      </w:r>
    </w:p>
    <w:p w14:paraId="6EACE658" w14:textId="77777777" w:rsidR="00401786" w:rsidRDefault="00C64FB3" w:rsidP="0009639E">
      <w:pPr>
        <w:spacing w:line="300" w:lineRule="exact"/>
        <w:ind w:left="993" w:hanging="426"/>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第二型糖尿病</w:t>
      </w:r>
      <w:proofErr w:type="gramStart"/>
      <w:r>
        <w:rPr>
          <w:rFonts w:ascii="標楷體" w:eastAsia="標楷體" w:hAnsi="標楷體"/>
          <w:color w:val="000000"/>
        </w:rPr>
        <w:t>病人倘於使用</w:t>
      </w:r>
      <w:proofErr w:type="gramEnd"/>
      <w:r>
        <w:rPr>
          <w:rFonts w:ascii="標楷體" w:eastAsia="標楷體" w:hAnsi="標楷體"/>
          <w:color w:val="000000"/>
        </w:rPr>
        <w:t>三種口服降血糖藥物治療仍無法理想控制血糖者，宜考慮給予胰島素治療。</w:t>
      </w:r>
    </w:p>
    <w:p w14:paraId="7A0DBA92" w14:textId="77777777" w:rsidR="00401786" w:rsidRDefault="00C64FB3" w:rsidP="0009639E">
      <w:pPr>
        <w:spacing w:line="300" w:lineRule="exact"/>
        <w:ind w:left="708" w:hanging="2"/>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特約醫療院所應加強衛教第二型糖尿病病人，鼓勵健康生活型態的飲食和運動，如控制肥胖、限制熱量攝取等措施。</w:t>
      </w:r>
    </w:p>
    <w:p w14:paraId="7BBB75E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5.1.1.Acarbose (如</w:t>
      </w:r>
      <w:proofErr w:type="spellStart"/>
      <w:r>
        <w:rPr>
          <w:rFonts w:ascii="標楷體" w:eastAsia="標楷體" w:hAnsi="標楷體"/>
          <w:color w:val="000000"/>
        </w:rPr>
        <w:t>Glucobay</w:t>
      </w:r>
      <w:proofErr w:type="spellEnd"/>
      <w:r>
        <w:rPr>
          <w:rFonts w:ascii="標楷體" w:eastAsia="標楷體" w:hAnsi="標楷體"/>
          <w:color w:val="000000"/>
        </w:rPr>
        <w:t>)；miglitol (如</w:t>
      </w:r>
      <w:proofErr w:type="spellStart"/>
      <w:r>
        <w:rPr>
          <w:rFonts w:ascii="標楷體" w:eastAsia="標楷體" w:hAnsi="標楷體"/>
          <w:color w:val="000000"/>
        </w:rPr>
        <w:t>Diaban</w:t>
      </w:r>
      <w:proofErr w:type="spellEnd"/>
      <w:r>
        <w:rPr>
          <w:rFonts w:ascii="標楷體" w:eastAsia="標楷體" w:hAnsi="標楷體"/>
          <w:color w:val="000000"/>
        </w:rPr>
        <w:t>)（86/1/1、87/4/1、89/6/1、91/7/1、98/12/1）</w:t>
      </w:r>
    </w:p>
    <w:p w14:paraId="61A85E9D"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限用於非胰島素依賴型糖尿病之治療。</w:t>
      </w:r>
    </w:p>
    <w:p w14:paraId="1342929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5.1.2.Guar gum (如</w:t>
      </w:r>
      <w:proofErr w:type="spellStart"/>
      <w:r>
        <w:rPr>
          <w:rFonts w:ascii="標楷體" w:eastAsia="標楷體" w:hAnsi="標楷體"/>
          <w:color w:val="000000"/>
        </w:rPr>
        <w:t>Guarina</w:t>
      </w:r>
      <w:proofErr w:type="spellEnd"/>
      <w:r>
        <w:rPr>
          <w:rFonts w:ascii="標楷體" w:eastAsia="標楷體" w:hAnsi="標楷體"/>
          <w:color w:val="000000"/>
        </w:rPr>
        <w:t>；</w:t>
      </w:r>
      <w:proofErr w:type="spellStart"/>
      <w:r>
        <w:rPr>
          <w:rFonts w:ascii="標楷體" w:eastAsia="標楷體" w:hAnsi="標楷體"/>
          <w:color w:val="000000"/>
        </w:rPr>
        <w:t>Guarem</w:t>
      </w:r>
      <w:proofErr w:type="spellEnd"/>
      <w:r>
        <w:rPr>
          <w:rFonts w:ascii="標楷體" w:eastAsia="標楷體" w:hAnsi="標楷體"/>
          <w:color w:val="000000"/>
        </w:rPr>
        <w:t xml:space="preserve"> )限糖尿病治療使用。</w:t>
      </w:r>
    </w:p>
    <w:p w14:paraId="7BFD7CD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5.1.3.GLP-1受體</w:t>
      </w:r>
      <w:proofErr w:type="gramStart"/>
      <w:r>
        <w:rPr>
          <w:rFonts w:ascii="標楷體" w:eastAsia="標楷體" w:hAnsi="標楷體"/>
          <w:color w:val="000000"/>
        </w:rPr>
        <w:t>促效劑</w:t>
      </w:r>
      <w:proofErr w:type="gramEnd"/>
      <w:r>
        <w:rPr>
          <w:rFonts w:ascii="標楷體" w:eastAsia="標楷體" w:hAnsi="標楷體"/>
          <w:color w:val="000000"/>
        </w:rPr>
        <w:t>(105/8/1、107/4/1、108/7/1)</w:t>
      </w:r>
    </w:p>
    <w:p w14:paraId="46AC59B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5.1.3.1.Exenatide(如Byetta)(100/5/1、105/5/1、107/4/1)</w:t>
      </w:r>
    </w:p>
    <w:p w14:paraId="5CF9BDA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1.限用於已接受過最大耐受劑量的metformin及/或sulfonylurea類藥物仍無法理想控制血糖之第二型糖尿病患者。</w:t>
      </w:r>
    </w:p>
    <w:p w14:paraId="73EEA90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2.本藥品不得與insulin、DPP-4抑制劑、SGLT-2抑制劑等藥物</w:t>
      </w:r>
      <w:proofErr w:type="gramStart"/>
      <w:r>
        <w:rPr>
          <w:rFonts w:ascii="標楷體" w:eastAsia="標楷體" w:hAnsi="標楷體"/>
          <w:color w:val="000000"/>
        </w:rPr>
        <w:t>併</w:t>
      </w:r>
      <w:proofErr w:type="gramEnd"/>
      <w:r>
        <w:rPr>
          <w:rFonts w:ascii="標楷體" w:eastAsia="標楷體" w:hAnsi="標楷體"/>
          <w:color w:val="000000"/>
        </w:rPr>
        <w:t>用。</w:t>
      </w:r>
    </w:p>
    <w:p w14:paraId="25D681AD" w14:textId="77777777" w:rsidR="00401786" w:rsidRDefault="00C64FB3" w:rsidP="0009639E">
      <w:pPr>
        <w:spacing w:line="300" w:lineRule="exact"/>
        <w:ind w:left="567" w:hanging="245"/>
        <w:rPr>
          <w:rFonts w:ascii="標楷體" w:eastAsia="標楷體" w:hAnsi="標楷體"/>
          <w:color w:val="000000"/>
        </w:rPr>
      </w:pPr>
      <w:r>
        <w:rPr>
          <w:rFonts w:ascii="標楷體" w:eastAsia="標楷體" w:hAnsi="標楷體"/>
          <w:color w:val="000000"/>
        </w:rPr>
        <w:t>5.1.3.2. Liraglutide (如Victoza)、dulaglutide (如Trulicity)、</w:t>
      </w:r>
      <w:proofErr w:type="spellStart"/>
      <w:r>
        <w:rPr>
          <w:rFonts w:ascii="標楷體" w:eastAsia="標楷體" w:hAnsi="標楷體"/>
          <w:color w:val="000000"/>
        </w:rPr>
        <w:t>lixisenatide</w:t>
      </w:r>
      <w:proofErr w:type="spellEnd"/>
      <w:r>
        <w:rPr>
          <w:rFonts w:ascii="標楷體" w:eastAsia="標楷體" w:hAnsi="標楷體"/>
          <w:color w:val="000000"/>
        </w:rPr>
        <w:t>(如</w:t>
      </w:r>
      <w:proofErr w:type="spellStart"/>
      <w:r>
        <w:rPr>
          <w:rFonts w:ascii="標楷體" w:eastAsia="標楷體" w:hAnsi="標楷體"/>
          <w:color w:val="000000"/>
        </w:rPr>
        <w:t>Lyxumia</w:t>
      </w:r>
      <w:proofErr w:type="spellEnd"/>
      <w:r>
        <w:rPr>
          <w:rFonts w:ascii="標楷體" w:eastAsia="標楷體" w:hAnsi="標楷體"/>
          <w:color w:val="000000"/>
        </w:rPr>
        <w:t>) 、</w:t>
      </w:r>
      <w:proofErr w:type="spellStart"/>
      <w:r>
        <w:rPr>
          <w:rFonts w:ascii="標楷體" w:eastAsia="標楷體" w:hAnsi="標楷體"/>
          <w:color w:val="000000"/>
        </w:rPr>
        <w:t>semaglutide</w:t>
      </w:r>
      <w:proofErr w:type="spellEnd"/>
      <w:r>
        <w:rPr>
          <w:rFonts w:ascii="標楷體" w:eastAsia="標楷體" w:hAnsi="標楷體"/>
          <w:color w:val="000000"/>
        </w:rPr>
        <w:t>（如Ozempic）(101/10/1、105/5/1、105/8/1、107/4/1、107/7/1、109/5/1、109/8/1、109/9/1、109/12/1)</w:t>
      </w:r>
    </w:p>
    <w:p w14:paraId="31399C7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1.限用於已接受過最大耐受劑量的metformin及/或sulfonylurea類藥物，且</w:t>
      </w:r>
      <w:proofErr w:type="gramStart"/>
      <w:r>
        <w:rPr>
          <w:rFonts w:ascii="標楷體" w:eastAsia="標楷體" w:hAnsi="標楷體"/>
          <w:color w:val="000000"/>
        </w:rPr>
        <w:t>併</w:t>
      </w:r>
      <w:proofErr w:type="gramEnd"/>
      <w:r>
        <w:rPr>
          <w:rFonts w:ascii="標楷體" w:eastAsia="標楷體" w:hAnsi="標楷體"/>
          <w:color w:val="000000"/>
        </w:rPr>
        <w:t>用下列藥品之</w:t>
      </w:r>
      <w:proofErr w:type="gramStart"/>
      <w:r>
        <w:rPr>
          <w:rFonts w:ascii="標楷體" w:eastAsia="標楷體" w:hAnsi="標楷體"/>
          <w:color w:val="000000"/>
        </w:rPr>
        <w:t>一</w:t>
      </w:r>
      <w:proofErr w:type="gramEnd"/>
      <w:r>
        <w:rPr>
          <w:rFonts w:ascii="標楷體" w:eastAsia="標楷體" w:hAnsi="標楷體"/>
          <w:color w:val="000000"/>
        </w:rPr>
        <w:t>持續6個月之後，HbA1c仍高於8.5%以上之第二型糖尿病患者：(109/5/1)</w:t>
      </w:r>
    </w:p>
    <w:p w14:paraId="0A357507"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(1)SGLT-2抑制劑</w:t>
      </w:r>
    </w:p>
    <w:p w14:paraId="3FD74C8F"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(2)DPP-4抑制劑</w:t>
      </w:r>
    </w:p>
    <w:p w14:paraId="41A0DA93"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(3)SGLT-2抑制劑合併DPP-4抑制劑複方藥品</w:t>
      </w:r>
    </w:p>
    <w:p w14:paraId="52EDFDF6"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4)Insulin</w:t>
      </w:r>
      <w:proofErr w:type="gramEnd"/>
    </w:p>
    <w:p w14:paraId="0F34A7E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2.當患者已接受前述口服降血糖藥物，及/或基礎胰島素治療仍未達理想血糖控制時，與口服降血糖藥物及/或基礎胰島素</w:t>
      </w:r>
      <w:proofErr w:type="gramStart"/>
      <w:r>
        <w:rPr>
          <w:rFonts w:ascii="標楷體" w:eastAsia="標楷體" w:hAnsi="標楷體"/>
          <w:color w:val="000000"/>
        </w:rPr>
        <w:t>併</w:t>
      </w:r>
      <w:proofErr w:type="gramEnd"/>
      <w:r>
        <w:rPr>
          <w:rFonts w:ascii="標楷體" w:eastAsia="標楷體" w:hAnsi="標楷體"/>
          <w:color w:val="000000"/>
        </w:rPr>
        <w:t>用。</w:t>
      </w:r>
    </w:p>
    <w:p w14:paraId="721AF5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3.發生重大心血管事件，如心肌梗塞、接受冠狀動脈或其他動脈血管</w:t>
      </w:r>
      <w:proofErr w:type="gramStart"/>
      <w:r>
        <w:rPr>
          <w:rFonts w:ascii="標楷體" w:eastAsia="標楷體" w:hAnsi="標楷體"/>
          <w:color w:val="000000"/>
        </w:rPr>
        <w:t>再通術</w:t>
      </w:r>
      <w:proofErr w:type="gramEnd"/>
      <w:r>
        <w:rPr>
          <w:rFonts w:ascii="標楷體" w:eastAsia="標楷體" w:hAnsi="標楷體"/>
          <w:color w:val="000000"/>
        </w:rPr>
        <w:t>(revascularization)、動脈硬化相關之缺血性腦中風等之病人，於接受過最大耐受</w:t>
      </w:r>
      <w:r>
        <w:rPr>
          <w:rFonts w:ascii="標楷體" w:eastAsia="標楷體" w:hAnsi="標楷體"/>
          <w:color w:val="000000"/>
        </w:rPr>
        <w:lastRenderedPageBreak/>
        <w:t>劑量的metformin後，仍無法理想控制血糖之第二型糖尿病患者，可考慮不須使用其他口服降血糖藥品而考慮使用liraglutide或dulaglutide或</w:t>
      </w:r>
      <w:proofErr w:type="spellStart"/>
      <w:r>
        <w:rPr>
          <w:rFonts w:ascii="標楷體" w:eastAsia="標楷體" w:hAnsi="標楷體"/>
          <w:color w:val="000000"/>
        </w:rPr>
        <w:t>semaglutide</w:t>
      </w:r>
      <w:proofErr w:type="spellEnd"/>
      <w:r>
        <w:rPr>
          <w:rFonts w:ascii="標楷體" w:eastAsia="標楷體" w:hAnsi="標楷體"/>
          <w:color w:val="000000"/>
        </w:rPr>
        <w:t>。(109/12/1)</w:t>
      </w:r>
    </w:p>
    <w:p w14:paraId="0F4D123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4.本藥品不得與DPP-4抑制劑、SGLT-2抑制劑</w:t>
      </w:r>
      <w:proofErr w:type="gramStart"/>
      <w:r>
        <w:rPr>
          <w:rFonts w:ascii="標楷體" w:eastAsia="標楷體" w:hAnsi="標楷體"/>
          <w:color w:val="000000"/>
        </w:rPr>
        <w:t>併</w:t>
      </w:r>
      <w:proofErr w:type="gramEnd"/>
      <w:r>
        <w:rPr>
          <w:rFonts w:ascii="標楷體" w:eastAsia="標楷體" w:hAnsi="標楷體"/>
          <w:color w:val="000000"/>
        </w:rPr>
        <w:t>用。</w:t>
      </w:r>
    </w:p>
    <w:p w14:paraId="1AC1098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5.109年5月1日前已依生效前之給付規定</w:t>
      </w:r>
      <w:proofErr w:type="gramStart"/>
      <w:r>
        <w:rPr>
          <w:rFonts w:ascii="標楷體" w:eastAsia="標楷體" w:hAnsi="標楷體"/>
          <w:color w:val="000000"/>
        </w:rPr>
        <w:t>使用本類藥物</w:t>
      </w:r>
      <w:proofErr w:type="gramEnd"/>
      <w:r>
        <w:rPr>
          <w:rFonts w:ascii="標楷體" w:eastAsia="標楷體" w:hAnsi="標楷體"/>
          <w:color w:val="000000"/>
        </w:rPr>
        <w:t>之病人，得繼續使用原藥物至醫師更新其處方內容（109/8/1）。</w:t>
      </w:r>
    </w:p>
    <w:p w14:paraId="7A9713F8" w14:textId="77777777" w:rsidR="00401786" w:rsidRDefault="00C64FB3" w:rsidP="0009639E">
      <w:pPr>
        <w:spacing w:line="300" w:lineRule="exact"/>
        <w:ind w:left="989" w:hanging="706"/>
        <w:rPr>
          <w:rFonts w:ascii="標楷體" w:eastAsia="標楷體" w:hAnsi="標楷體"/>
          <w:color w:val="000000"/>
        </w:rPr>
      </w:pPr>
      <w:r>
        <w:rPr>
          <w:rFonts w:ascii="標楷體" w:eastAsia="標楷體" w:hAnsi="標楷體"/>
          <w:color w:val="000000"/>
        </w:rPr>
        <w:t>5.1.3.3.含</w:t>
      </w:r>
      <w:proofErr w:type="spellStart"/>
      <w:r>
        <w:rPr>
          <w:rFonts w:ascii="標楷體" w:eastAsia="標楷體" w:hAnsi="標楷體"/>
          <w:color w:val="000000"/>
        </w:rPr>
        <w:t>lixisenatide</w:t>
      </w:r>
      <w:proofErr w:type="spellEnd"/>
      <w:r>
        <w:rPr>
          <w:rFonts w:ascii="標楷體" w:eastAsia="標楷體" w:hAnsi="標楷體"/>
          <w:color w:val="000000"/>
        </w:rPr>
        <w:t>及insulin glargine之複方製劑(如</w:t>
      </w:r>
      <w:proofErr w:type="spellStart"/>
      <w:r>
        <w:rPr>
          <w:rFonts w:ascii="標楷體" w:eastAsia="標楷體" w:hAnsi="標楷體"/>
          <w:color w:val="000000"/>
        </w:rPr>
        <w:t>Soliqua</w:t>
      </w:r>
      <w:proofErr w:type="spellEnd"/>
      <w:r>
        <w:rPr>
          <w:rFonts w:ascii="標楷體" w:eastAsia="標楷體" w:hAnsi="標楷體"/>
          <w:color w:val="000000"/>
        </w:rPr>
        <w:t>)(108/7/1、110/7/1)</w:t>
      </w:r>
    </w:p>
    <w:p w14:paraId="10E61D70" w14:textId="77777777" w:rsidR="00401786" w:rsidRDefault="00C64FB3" w:rsidP="0009639E">
      <w:pPr>
        <w:spacing w:line="300" w:lineRule="exact"/>
        <w:ind w:left="567"/>
        <w:rPr>
          <w:rFonts w:ascii="標楷體" w:eastAsia="標楷體" w:hAnsi="標楷體"/>
          <w:color w:val="000000"/>
        </w:rPr>
      </w:pPr>
      <w:r>
        <w:rPr>
          <w:rFonts w:ascii="標楷體" w:eastAsia="標楷體" w:hAnsi="標楷體"/>
          <w:color w:val="000000"/>
        </w:rPr>
        <w:t>1.限用於已接受過最大耐受劑量的metformin及/或sulfonylurea類藥物，且</w:t>
      </w:r>
      <w:proofErr w:type="gramStart"/>
      <w:r>
        <w:rPr>
          <w:rFonts w:ascii="標楷體" w:eastAsia="標楷體" w:hAnsi="標楷體"/>
          <w:color w:val="000000"/>
        </w:rPr>
        <w:t>併</w:t>
      </w:r>
      <w:proofErr w:type="gramEnd"/>
      <w:r>
        <w:rPr>
          <w:rFonts w:ascii="標楷體" w:eastAsia="標楷體" w:hAnsi="標楷體"/>
          <w:color w:val="000000"/>
        </w:rPr>
        <w:t>用下列藥品之</w:t>
      </w:r>
      <w:proofErr w:type="gramStart"/>
      <w:r>
        <w:rPr>
          <w:rFonts w:ascii="標楷體" w:eastAsia="標楷體" w:hAnsi="標楷體"/>
          <w:color w:val="000000"/>
        </w:rPr>
        <w:t>一</w:t>
      </w:r>
      <w:proofErr w:type="gramEnd"/>
      <w:r>
        <w:rPr>
          <w:rFonts w:ascii="標楷體" w:eastAsia="標楷體" w:hAnsi="標楷體"/>
          <w:color w:val="000000"/>
        </w:rPr>
        <w:t>持續6個月之後，HbA1c仍高於8.0%以上之第二型糖尿病成人病人：(110/7/1)</w:t>
      </w:r>
    </w:p>
    <w:p w14:paraId="67040D67"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(1)SGLT-2抑制劑</w:t>
      </w:r>
    </w:p>
    <w:p w14:paraId="21831FB5"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(2)DPP-4抑制劑</w:t>
      </w:r>
    </w:p>
    <w:p w14:paraId="3E641CD3"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(3)SGLT-2抑制劑合併DPP-4抑制劑複方藥品</w:t>
      </w:r>
    </w:p>
    <w:p w14:paraId="21B29BBA"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(4)Insulin(每日劑量少於60單位)</w:t>
      </w:r>
    </w:p>
    <w:p w14:paraId="5C0CF693" w14:textId="77777777" w:rsidR="00401786" w:rsidRDefault="00C64FB3" w:rsidP="0009639E">
      <w:pPr>
        <w:spacing w:line="300" w:lineRule="exact"/>
        <w:ind w:left="567"/>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本品不得</w:t>
      </w:r>
      <w:proofErr w:type="gramEnd"/>
      <w:r>
        <w:rPr>
          <w:rFonts w:ascii="標楷體" w:eastAsia="標楷體" w:hAnsi="標楷體"/>
          <w:color w:val="000000"/>
        </w:rPr>
        <w:t>與DPP-4抑制劑、SGLT-2抑制劑</w:t>
      </w:r>
      <w:proofErr w:type="gramStart"/>
      <w:r>
        <w:rPr>
          <w:rFonts w:ascii="標楷體" w:eastAsia="標楷體" w:hAnsi="標楷體"/>
          <w:color w:val="000000"/>
        </w:rPr>
        <w:t>併</w:t>
      </w:r>
      <w:proofErr w:type="gramEnd"/>
      <w:r>
        <w:rPr>
          <w:rFonts w:ascii="標楷體" w:eastAsia="標楷體" w:hAnsi="標楷體"/>
          <w:color w:val="000000"/>
        </w:rPr>
        <w:t>用。</w:t>
      </w:r>
    </w:p>
    <w:p w14:paraId="785C549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5.1.4.(刪除)(100/8/1、107/10/1)</w:t>
      </w:r>
    </w:p>
    <w:p w14:paraId="09263A57" w14:textId="77777777" w:rsidR="00401786" w:rsidRDefault="00C64FB3" w:rsidP="0009639E">
      <w:pPr>
        <w:spacing w:line="300" w:lineRule="exact"/>
        <w:ind w:left="1063" w:hanging="780"/>
        <w:rPr>
          <w:rFonts w:ascii="標楷體" w:eastAsia="標楷體" w:hAnsi="標楷體"/>
          <w:color w:val="000000"/>
        </w:rPr>
      </w:pPr>
      <w:r>
        <w:rPr>
          <w:rFonts w:ascii="標楷體" w:eastAsia="標楷體" w:hAnsi="標楷體"/>
          <w:color w:val="000000"/>
        </w:rPr>
        <w:t>5.1.5.SGLT-2抑制劑及其複方：</w:t>
      </w:r>
    </w:p>
    <w:p w14:paraId="1A98DD7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1.Dapagliflozin (如</w:t>
      </w:r>
      <w:proofErr w:type="spellStart"/>
      <w:r>
        <w:rPr>
          <w:rFonts w:ascii="標楷體" w:eastAsia="標楷體" w:hAnsi="標楷體"/>
          <w:color w:val="000000"/>
        </w:rPr>
        <w:t>Forxiga</w:t>
      </w:r>
      <w:proofErr w:type="spellEnd"/>
      <w:r>
        <w:rPr>
          <w:rFonts w:ascii="標楷體" w:eastAsia="標楷體" w:hAnsi="標楷體"/>
          <w:color w:val="000000"/>
        </w:rPr>
        <w:t>)、empagliflozin (如Jardiance)、canagliflozin (如</w:t>
      </w:r>
      <w:proofErr w:type="spellStart"/>
      <w:r>
        <w:rPr>
          <w:rFonts w:ascii="標楷體" w:eastAsia="標楷體" w:hAnsi="標楷體"/>
          <w:color w:val="000000"/>
        </w:rPr>
        <w:t>Canaglu</w:t>
      </w:r>
      <w:proofErr w:type="spellEnd"/>
      <w:r>
        <w:rPr>
          <w:rFonts w:ascii="標楷體" w:eastAsia="標楷體" w:hAnsi="標楷體"/>
          <w:color w:val="000000"/>
        </w:rPr>
        <w:t>)、ertugliflozin (如</w:t>
      </w:r>
      <w:proofErr w:type="spellStart"/>
      <w:r>
        <w:rPr>
          <w:rFonts w:ascii="標楷體" w:eastAsia="標楷體" w:hAnsi="標楷體"/>
          <w:color w:val="000000"/>
        </w:rPr>
        <w:t>Steglatro</w:t>
      </w:r>
      <w:proofErr w:type="spellEnd"/>
      <w:r>
        <w:rPr>
          <w:rFonts w:ascii="標楷體" w:eastAsia="標楷體" w:hAnsi="標楷體"/>
          <w:color w:val="000000"/>
        </w:rPr>
        <w:t>) (105/5/1、107/3/1、108/7/1)</w:t>
      </w:r>
    </w:p>
    <w:p w14:paraId="75751178"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每日最多處方1粒。</w:t>
      </w:r>
    </w:p>
    <w:p w14:paraId="272C105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2.Empagliflozin/metformin 複方(如 Jardiance Duo) (107/3/1)</w:t>
      </w:r>
    </w:p>
    <w:p w14:paraId="607CD604"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每日最多處方2粒。</w:t>
      </w:r>
    </w:p>
    <w:p w14:paraId="302B389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3.Dapagliflozin及metformin 複方(如</w:t>
      </w:r>
      <w:proofErr w:type="spellStart"/>
      <w:r>
        <w:rPr>
          <w:rFonts w:ascii="標楷體" w:eastAsia="標楷體" w:hAnsi="標楷體"/>
          <w:color w:val="000000"/>
        </w:rPr>
        <w:t>Xigduo</w:t>
      </w:r>
      <w:proofErr w:type="spellEnd"/>
      <w:r>
        <w:rPr>
          <w:rFonts w:ascii="標楷體" w:eastAsia="標楷體" w:hAnsi="標楷體"/>
          <w:color w:val="000000"/>
        </w:rPr>
        <w:t xml:space="preserve"> XR)(107/3/1)</w:t>
      </w:r>
    </w:p>
    <w:p w14:paraId="0525AF61"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每日最多處方1粒。</w:t>
      </w:r>
    </w:p>
    <w:p w14:paraId="11C5BF2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5.1.6.含empagliflozin及linagliptin之複方製劑(如</w:t>
      </w:r>
      <w:proofErr w:type="spellStart"/>
      <w:r>
        <w:rPr>
          <w:rFonts w:ascii="標楷體" w:eastAsia="標楷體" w:hAnsi="標楷體"/>
          <w:color w:val="000000"/>
        </w:rPr>
        <w:t>Glyxambi</w:t>
      </w:r>
      <w:proofErr w:type="spellEnd"/>
      <w:r>
        <w:rPr>
          <w:rFonts w:ascii="標楷體" w:eastAsia="標楷體" w:hAnsi="標楷體"/>
          <w:color w:val="000000"/>
        </w:rPr>
        <w:t>)(108/1/1、109/5/1)</w:t>
      </w:r>
    </w:p>
    <w:p w14:paraId="6A432DB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1.每日限處方1粒。</w:t>
      </w:r>
    </w:p>
    <w:p w14:paraId="2E3E54B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2.限用於已接受過最大耐受劑量的metformin，且</w:t>
      </w:r>
      <w:proofErr w:type="gramStart"/>
      <w:r>
        <w:rPr>
          <w:rFonts w:ascii="標楷體" w:eastAsia="標楷體" w:hAnsi="標楷體"/>
          <w:color w:val="000000"/>
        </w:rPr>
        <w:t>併</w:t>
      </w:r>
      <w:proofErr w:type="gramEnd"/>
      <w:r>
        <w:rPr>
          <w:rFonts w:ascii="標楷體" w:eastAsia="標楷體" w:hAnsi="標楷體"/>
          <w:color w:val="000000"/>
        </w:rPr>
        <w:t>用empagliflozin或linagliptin治療至少6個月，糖化血色素值(HbA1c)仍高於7.5%者。</w:t>
      </w:r>
    </w:p>
    <w:p w14:paraId="2845055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5.1.7.含dapagliflozin及</w:t>
      </w:r>
      <w:proofErr w:type="spellStart"/>
      <w:r>
        <w:rPr>
          <w:rFonts w:ascii="標楷體" w:eastAsia="標楷體" w:hAnsi="標楷體"/>
          <w:color w:val="000000"/>
        </w:rPr>
        <w:t>saxagliptin</w:t>
      </w:r>
      <w:proofErr w:type="spellEnd"/>
      <w:r>
        <w:rPr>
          <w:rFonts w:ascii="標楷體" w:eastAsia="標楷體" w:hAnsi="標楷體"/>
          <w:color w:val="000000"/>
        </w:rPr>
        <w:t>之複方製劑(如</w:t>
      </w:r>
      <w:proofErr w:type="spellStart"/>
      <w:r>
        <w:rPr>
          <w:rFonts w:ascii="標楷體" w:eastAsia="標楷體" w:hAnsi="標楷體"/>
          <w:color w:val="000000"/>
        </w:rPr>
        <w:t>Qtern</w:t>
      </w:r>
      <w:proofErr w:type="spellEnd"/>
      <w:r>
        <w:rPr>
          <w:rFonts w:ascii="標楷體" w:eastAsia="標楷體" w:hAnsi="標楷體"/>
          <w:color w:val="000000"/>
        </w:rPr>
        <w:t>)(108/11/1、109/5/1)</w:t>
      </w:r>
    </w:p>
    <w:p w14:paraId="7AEB978D"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1.每日限處方1粒。</w:t>
      </w:r>
    </w:p>
    <w:p w14:paraId="3B21E31A"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2.限用於已接受過最大耐受劑量的metformin，且</w:t>
      </w:r>
      <w:proofErr w:type="gramStart"/>
      <w:r>
        <w:rPr>
          <w:rFonts w:ascii="標楷體" w:eastAsia="標楷體" w:hAnsi="標楷體"/>
          <w:color w:val="000000"/>
        </w:rPr>
        <w:t>併</w:t>
      </w:r>
      <w:proofErr w:type="gramEnd"/>
      <w:r>
        <w:rPr>
          <w:rFonts w:ascii="標楷體" w:eastAsia="標楷體" w:hAnsi="標楷體"/>
          <w:color w:val="000000"/>
        </w:rPr>
        <w:t>用dapagliflozin或</w:t>
      </w:r>
      <w:proofErr w:type="spellStart"/>
      <w:r>
        <w:rPr>
          <w:rFonts w:ascii="標楷體" w:eastAsia="標楷體" w:hAnsi="標楷體"/>
          <w:color w:val="000000"/>
        </w:rPr>
        <w:t>saxagliptin</w:t>
      </w:r>
      <w:proofErr w:type="spellEnd"/>
      <w:r>
        <w:rPr>
          <w:rFonts w:ascii="標楷體" w:eastAsia="標楷體" w:hAnsi="標楷體"/>
          <w:color w:val="000000"/>
        </w:rPr>
        <w:t>治療至少6個月，糖化血色素值(HbA1c)仍高於7.5%者。</w:t>
      </w:r>
    </w:p>
    <w:p w14:paraId="1E121F0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5.1.8.含ertugliflozin及sitagliptin之複方製劑(如</w:t>
      </w:r>
      <w:proofErr w:type="spellStart"/>
      <w:r>
        <w:rPr>
          <w:rFonts w:ascii="標楷體" w:eastAsia="標楷體" w:hAnsi="標楷體"/>
          <w:color w:val="000000"/>
        </w:rPr>
        <w:t>Steglujan</w:t>
      </w:r>
      <w:proofErr w:type="spellEnd"/>
      <w:r>
        <w:rPr>
          <w:rFonts w:ascii="標楷體" w:eastAsia="標楷體" w:hAnsi="標楷體"/>
          <w:color w:val="000000"/>
        </w:rPr>
        <w:t>)(109/5/1)</w:t>
      </w:r>
    </w:p>
    <w:p w14:paraId="383E4848"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1.每日限處方1粒。</w:t>
      </w:r>
    </w:p>
    <w:p w14:paraId="4867D716"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2.限用於已接受過最大耐受劑量的metformin，且</w:t>
      </w:r>
      <w:proofErr w:type="gramStart"/>
      <w:r>
        <w:rPr>
          <w:rFonts w:ascii="標楷體" w:eastAsia="標楷體" w:hAnsi="標楷體"/>
          <w:color w:val="000000"/>
        </w:rPr>
        <w:t>併</w:t>
      </w:r>
      <w:proofErr w:type="gramEnd"/>
      <w:r>
        <w:rPr>
          <w:rFonts w:ascii="標楷體" w:eastAsia="標楷體" w:hAnsi="標楷體"/>
          <w:color w:val="000000"/>
        </w:rPr>
        <w:t>用ertugliflozin或sitagliptin治療至少6個月，糖化血色素值(HbA1c)仍高於7.5%者。</w:t>
      </w:r>
    </w:p>
    <w:p w14:paraId="52B3342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5.2.雄性</w:t>
      </w:r>
      <w:proofErr w:type="gramStart"/>
      <w:r>
        <w:rPr>
          <w:rFonts w:ascii="標楷體" w:eastAsia="標楷體" w:hAnsi="標楷體"/>
          <w:color w:val="000000"/>
        </w:rPr>
        <w:t>激素類製劑</w:t>
      </w:r>
      <w:proofErr w:type="gramEnd"/>
      <w:r>
        <w:rPr>
          <w:rFonts w:ascii="標楷體" w:eastAsia="標楷體" w:hAnsi="標楷體"/>
          <w:color w:val="000000"/>
        </w:rPr>
        <w:t>與同化作用類固醇及其</w:t>
      </w:r>
      <w:proofErr w:type="gramStart"/>
      <w:r>
        <w:rPr>
          <w:rFonts w:ascii="標楷體" w:eastAsia="標楷體" w:hAnsi="標楷體"/>
          <w:color w:val="000000"/>
        </w:rPr>
        <w:t>拮抗劑</w:t>
      </w:r>
      <w:proofErr w:type="gramEnd"/>
      <w:r>
        <w:rPr>
          <w:rFonts w:ascii="標楷體" w:eastAsia="標楷體" w:hAnsi="標楷體"/>
          <w:color w:val="000000"/>
        </w:rPr>
        <w:t xml:space="preserve">  Androgens and anabolic steroids and antagonists</w:t>
      </w:r>
    </w:p>
    <w:p w14:paraId="3FE532E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5.2.1.Danazol限下列病例使用（86/1/1）</w:t>
      </w:r>
    </w:p>
    <w:p w14:paraId="56DECD9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1.子宮內膜異位。</w:t>
      </w:r>
    </w:p>
    <w:p w14:paraId="3C81F57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2.纖維性囊腫乳房性疾患。</w:t>
      </w:r>
    </w:p>
    <w:p w14:paraId="60B3C23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5.2.2.含testosterone 5-alpha reductase inhibitor製劑（101/3/1）</w:t>
      </w:r>
    </w:p>
    <w:p w14:paraId="6B2F3B01" w14:textId="77777777" w:rsidR="00401786" w:rsidRDefault="00C64FB3" w:rsidP="0009639E">
      <w:pPr>
        <w:spacing w:line="300" w:lineRule="exact"/>
        <w:ind w:left="672" w:right="70" w:hanging="386"/>
        <w:rPr>
          <w:rFonts w:ascii="標楷體" w:eastAsia="標楷體" w:hAnsi="標楷體"/>
          <w:color w:val="000000"/>
        </w:rPr>
      </w:pPr>
      <w:r>
        <w:rPr>
          <w:rFonts w:ascii="標楷體" w:eastAsia="標楷體" w:hAnsi="標楷體"/>
          <w:color w:val="000000"/>
        </w:rPr>
        <w:t>5.2.2.1 Finasteride（如Proscar）; dutasteride (如Avodart) (86/1/1、87/4/1、93/10/1、101/3/1、102/12/1、106/10/1、108/12/1)：</w:t>
      </w:r>
    </w:p>
    <w:p w14:paraId="0DF792F2" w14:textId="77777777" w:rsidR="00401786" w:rsidRDefault="00C64FB3" w:rsidP="0009639E">
      <w:pPr>
        <w:spacing w:line="300" w:lineRule="exact"/>
        <w:ind w:left="567" w:hanging="1"/>
        <w:rPr>
          <w:rFonts w:ascii="標楷體" w:eastAsia="標楷體" w:hAnsi="標楷體"/>
          <w:color w:val="000000"/>
        </w:rPr>
      </w:pPr>
      <w:r>
        <w:rPr>
          <w:rFonts w:ascii="標楷體" w:eastAsia="標楷體" w:hAnsi="標楷體"/>
          <w:color w:val="000000"/>
        </w:rPr>
        <w:t>限前列腺增生且有阻塞症狀，使用經直腸超音波前列腺掃描 (TRUS of prostate) 或使用腹部超音波測量(僅限無法實施直腸超音波前列腺掃描者)為原則，前列腺大於30mL或最大尿流速 (</w:t>
      </w:r>
      <w:proofErr w:type="spellStart"/>
      <w:r>
        <w:rPr>
          <w:rFonts w:ascii="標楷體" w:eastAsia="標楷體" w:hAnsi="標楷體"/>
          <w:color w:val="000000"/>
        </w:rPr>
        <w:t>Qmax</w:t>
      </w:r>
      <w:proofErr w:type="spellEnd"/>
      <w:r>
        <w:rPr>
          <w:rFonts w:ascii="標楷體" w:eastAsia="標楷體" w:hAnsi="標楷體"/>
          <w:color w:val="000000"/>
        </w:rPr>
        <w:t>) 小於15 mL/sec之病人方可使用。(102/12/1、108/12/1)</w:t>
      </w:r>
    </w:p>
    <w:p w14:paraId="6DCD11DF" w14:textId="77777777" w:rsidR="00401786" w:rsidRDefault="00C64FB3" w:rsidP="0009639E">
      <w:pPr>
        <w:spacing w:line="300" w:lineRule="exact"/>
        <w:ind w:left="672" w:right="70" w:hanging="386"/>
        <w:rPr>
          <w:rFonts w:ascii="標楷體" w:eastAsia="標楷體" w:hAnsi="標楷體"/>
          <w:color w:val="000000"/>
        </w:rPr>
      </w:pPr>
      <w:r>
        <w:rPr>
          <w:rFonts w:ascii="標楷體" w:eastAsia="標楷體" w:hAnsi="標楷體"/>
          <w:color w:val="000000"/>
        </w:rPr>
        <w:lastRenderedPageBreak/>
        <w:t>5.2.2.2. Dutasteride + tamsulosin (如</w:t>
      </w:r>
      <w:proofErr w:type="spellStart"/>
      <w:r>
        <w:rPr>
          <w:rFonts w:ascii="標楷體" w:eastAsia="標楷體" w:hAnsi="標楷體"/>
          <w:color w:val="000000"/>
        </w:rPr>
        <w:t>Duodart</w:t>
      </w:r>
      <w:proofErr w:type="spellEnd"/>
      <w:r>
        <w:rPr>
          <w:rFonts w:ascii="標楷體" w:eastAsia="標楷體" w:hAnsi="標楷體"/>
          <w:color w:val="000000"/>
        </w:rPr>
        <w:t>) (101/3/1、102/12/1、106/10/1、108/12/1)：</w:t>
      </w:r>
    </w:p>
    <w:p w14:paraId="6F338E8C" w14:textId="77777777" w:rsidR="00401786" w:rsidRDefault="00C64FB3" w:rsidP="0009639E">
      <w:pPr>
        <w:spacing w:line="300" w:lineRule="exact"/>
        <w:ind w:left="567" w:hanging="1"/>
        <w:rPr>
          <w:rFonts w:ascii="標楷體" w:eastAsia="標楷體" w:hAnsi="標楷體"/>
          <w:color w:val="000000"/>
        </w:rPr>
      </w:pPr>
      <w:r>
        <w:rPr>
          <w:rFonts w:ascii="標楷體" w:eastAsia="標楷體" w:hAnsi="標楷體"/>
          <w:color w:val="000000"/>
        </w:rPr>
        <w:t>限前列腺增生且有阻塞症狀，經直腸超音波前列腺掃描 (TRUS of prostate) 或使用腹部超音波測量(僅限無法實施直腸超音波前列腺掃描者)為原則，前列腺大於30mL或最大尿流速 (</w:t>
      </w:r>
      <w:proofErr w:type="spellStart"/>
      <w:r>
        <w:rPr>
          <w:rFonts w:ascii="標楷體" w:eastAsia="標楷體" w:hAnsi="標楷體"/>
          <w:color w:val="000000"/>
        </w:rPr>
        <w:t>Qmax</w:t>
      </w:r>
      <w:proofErr w:type="spellEnd"/>
      <w:r>
        <w:rPr>
          <w:rFonts w:ascii="標楷體" w:eastAsia="標楷體" w:hAnsi="標楷體"/>
          <w:color w:val="000000"/>
        </w:rPr>
        <w:t>) 小於15 mL/sec之病人。 (102/12/1、108/12/1)</w:t>
      </w:r>
    </w:p>
    <w:p w14:paraId="27F0787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5.3.動情激素、黃體激素及治療不孕症藥物  Estrogens, progestins &amp; drugs used for infertility</w:t>
      </w:r>
    </w:p>
    <w:p w14:paraId="4F4B0EF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5.3.1.Estradiol之經皮吸收製劑：</w:t>
      </w:r>
    </w:p>
    <w:p w14:paraId="0D8A762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5.3.1.1.Estraderm TTS；</w:t>
      </w:r>
      <w:proofErr w:type="spellStart"/>
      <w:r>
        <w:rPr>
          <w:rFonts w:ascii="標楷體" w:eastAsia="標楷體" w:hAnsi="標楷體"/>
          <w:color w:val="000000"/>
        </w:rPr>
        <w:t>Oestro</w:t>
      </w:r>
      <w:proofErr w:type="spellEnd"/>
      <w:r>
        <w:rPr>
          <w:rFonts w:ascii="標楷體" w:eastAsia="標楷體" w:hAnsi="標楷體"/>
          <w:color w:val="000000"/>
        </w:rPr>
        <w:t xml:space="preserve"> V.T (93/5/1)</w:t>
      </w:r>
    </w:p>
    <w:p w14:paraId="13E4384D"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限不能</w:t>
      </w:r>
      <w:proofErr w:type="gramStart"/>
      <w:r>
        <w:rPr>
          <w:rFonts w:ascii="標楷體" w:eastAsia="標楷體" w:hAnsi="標楷體"/>
          <w:color w:val="000000"/>
        </w:rPr>
        <w:t>口服本品患者</w:t>
      </w:r>
      <w:proofErr w:type="gramEnd"/>
      <w:r>
        <w:rPr>
          <w:rFonts w:ascii="標楷體" w:eastAsia="標楷體" w:hAnsi="標楷體"/>
          <w:color w:val="000000"/>
        </w:rPr>
        <w:t>使用，申報費用時應具體說明不能口服之理由。</w:t>
      </w:r>
    </w:p>
    <w:p w14:paraId="35508BEF" w14:textId="77777777" w:rsidR="00401786" w:rsidRDefault="00C64FB3" w:rsidP="0009639E">
      <w:pPr>
        <w:spacing w:line="300" w:lineRule="exact"/>
        <w:ind w:left="672" w:hanging="386"/>
      </w:pPr>
      <w:r>
        <w:rPr>
          <w:rFonts w:ascii="標楷體" w:eastAsia="標楷體" w:hAnsi="標楷體"/>
          <w:color w:val="000000"/>
        </w:rPr>
        <w:t>5.3.1.2.Estradiol 3.8mg/12.5cm</w:t>
      </w:r>
      <w:r>
        <w:rPr>
          <w:rFonts w:ascii="標楷體" w:eastAsia="標楷體" w:hAnsi="標楷體"/>
          <w:color w:val="000000"/>
          <w:vertAlign w:val="superscript"/>
        </w:rPr>
        <w:t>2</w:t>
      </w:r>
      <w:r>
        <w:rPr>
          <w:rFonts w:ascii="標楷體" w:eastAsia="標楷體" w:hAnsi="標楷體"/>
          <w:color w:val="000000"/>
        </w:rPr>
        <w:t>/patch （如</w:t>
      </w:r>
      <w:proofErr w:type="spellStart"/>
      <w:r>
        <w:rPr>
          <w:rFonts w:ascii="標楷體" w:eastAsia="標楷體" w:hAnsi="標楷體"/>
          <w:color w:val="000000"/>
        </w:rPr>
        <w:t>Climara</w:t>
      </w:r>
      <w:proofErr w:type="spellEnd"/>
      <w:r>
        <w:rPr>
          <w:rFonts w:ascii="標楷體" w:eastAsia="標楷體" w:hAnsi="標楷體"/>
          <w:color w:val="000000"/>
        </w:rPr>
        <w:t xml:space="preserve"> 50 Transdermal Patch）之給付規定：（90/4/1）限每週一片。</w:t>
      </w:r>
    </w:p>
    <w:p w14:paraId="6E151ED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5.3.2.FSH (pure FSH)用於誘發排卵時，限hypothalamus failure (下視丘功能衰竭)患者，事前專案報准後使用(85/1/1)。</w:t>
      </w:r>
    </w:p>
    <w:p w14:paraId="3B4E430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5.3.3.HMG用於誘發排卵時，限hypothalamus failure (下視丘功能衰竭)患者，事前專案報准後使用(85/1/1)。</w:t>
      </w:r>
    </w:p>
    <w:p w14:paraId="446F353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5.3.4. (刪除)(110/12/1)</w:t>
      </w:r>
    </w:p>
    <w:p w14:paraId="795A7E76"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5.3.5.Levonorgestrel intrauterine system  (如Mirena)：(104/2/1、107/4/1)</w:t>
      </w:r>
    </w:p>
    <w:p w14:paraId="1FB26723" w14:textId="77777777" w:rsidR="00401786" w:rsidRDefault="00C64FB3" w:rsidP="0009639E">
      <w:pPr>
        <w:spacing w:line="300" w:lineRule="exact"/>
        <w:ind w:left="782"/>
        <w:rPr>
          <w:rFonts w:ascii="標楷體" w:eastAsia="標楷體" w:hAnsi="標楷體"/>
          <w:color w:val="000000"/>
        </w:rPr>
      </w:pPr>
      <w:r>
        <w:rPr>
          <w:rFonts w:ascii="標楷體" w:eastAsia="標楷體" w:hAnsi="標楷體"/>
          <w:color w:val="000000"/>
        </w:rPr>
        <w:t>限使用於連續3個月(含)以上月經經血過多導致嚴重貧血(Hemoglobin</w:t>
      </w:r>
      <w:proofErr w:type="gramStart"/>
      <w:r>
        <w:rPr>
          <w:rFonts w:ascii="標楷體" w:eastAsia="標楷體" w:hAnsi="標楷體"/>
          <w:color w:val="000000"/>
        </w:rPr>
        <w:t>≦</w:t>
      </w:r>
      <w:proofErr w:type="gramEnd"/>
      <w:r>
        <w:rPr>
          <w:rFonts w:ascii="標楷體" w:eastAsia="標楷體" w:hAnsi="標楷體"/>
          <w:color w:val="000000"/>
        </w:rPr>
        <w:t>10g/dL)之婦女，且每次使用後之五年內，不得再次使用。</w:t>
      </w:r>
    </w:p>
    <w:p w14:paraId="1A2B5D58" w14:textId="77777777" w:rsidR="00401786" w:rsidRDefault="00C64FB3" w:rsidP="0009639E">
      <w:pPr>
        <w:snapToGrid w:val="0"/>
        <w:spacing w:line="300" w:lineRule="exact"/>
        <w:ind w:left="283"/>
      </w:pPr>
      <w:r>
        <w:rPr>
          <w:rFonts w:ascii="標楷體" w:eastAsia="標楷體" w:hAnsi="標楷體"/>
          <w:color w:val="000000"/>
        </w:rPr>
        <w:t>5.3.6. Megestrol口服液劑：(108/6/1、109/3/1)</w:t>
      </w:r>
    </w:p>
    <w:p w14:paraId="0CA8B238"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限用於已排除其他可治療之體重減輕（如全身性感染、影響吸收的腸胃道疾病、內分泌疾病、腎臟或精神病）之</w:t>
      </w:r>
      <w:proofErr w:type="gramStart"/>
      <w:r>
        <w:rPr>
          <w:rFonts w:ascii="標楷體" w:eastAsia="標楷體" w:hAnsi="標楷體"/>
          <w:color w:val="000000"/>
        </w:rPr>
        <w:t>具惡病質</w:t>
      </w:r>
      <w:proofErr w:type="gramEnd"/>
      <w:r>
        <w:rPr>
          <w:rFonts w:ascii="標楷體" w:eastAsia="標楷體" w:hAnsi="標楷體"/>
          <w:color w:val="000000"/>
        </w:rPr>
        <w:t>的後天免疫缺乏症候群患者及癌症患者。</w:t>
      </w:r>
    </w:p>
    <w:p w14:paraId="3EC9B921"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r>
      <w:proofErr w:type="gramStart"/>
      <w:r>
        <w:rPr>
          <w:rFonts w:ascii="標楷體" w:eastAsia="標楷體" w:hAnsi="標楷體"/>
          <w:color w:val="000000"/>
        </w:rPr>
        <w:t>惡病質</w:t>
      </w:r>
      <w:proofErr w:type="gramEnd"/>
      <w:r>
        <w:rPr>
          <w:rFonts w:ascii="標楷體" w:eastAsia="標楷體" w:hAnsi="標楷體"/>
          <w:color w:val="000000"/>
        </w:rPr>
        <w:t>之條件包括最近6個月以內體重流失&gt;5%，或BMI&lt;20且體重流失&gt;2%。</w:t>
      </w:r>
    </w:p>
    <w:p w14:paraId="5BCFF5F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5.4.作用於</w:t>
      </w:r>
      <w:proofErr w:type="gramStart"/>
      <w:r>
        <w:rPr>
          <w:rFonts w:ascii="標楷體" w:eastAsia="標楷體" w:hAnsi="標楷體"/>
          <w:color w:val="000000"/>
        </w:rPr>
        <w:t>腦下腺前</w:t>
      </w:r>
      <w:proofErr w:type="gramEnd"/>
      <w:r>
        <w:rPr>
          <w:rFonts w:ascii="標楷體" w:eastAsia="標楷體" w:hAnsi="標楷體"/>
          <w:color w:val="000000"/>
        </w:rPr>
        <w:t>葉與下視丘的藥物  Drugs related to anterior pituitary &amp; hypothalamic function</w:t>
      </w:r>
    </w:p>
    <w:p w14:paraId="541BC970" w14:textId="77777777" w:rsidR="00401786" w:rsidRDefault="00C64FB3" w:rsidP="0009639E">
      <w:pPr>
        <w:spacing w:line="300" w:lineRule="exact"/>
        <w:ind w:left="630" w:hanging="341"/>
      </w:pPr>
      <w:r>
        <w:rPr>
          <w:rFonts w:ascii="標楷體" w:eastAsia="標楷體" w:hAnsi="標楷體"/>
          <w:color w:val="000000"/>
          <w:szCs w:val="24"/>
        </w:rPr>
        <w:t>5.4.1.1.生長激素 (Somatropin)</w:t>
      </w:r>
      <w:r>
        <w:rPr>
          <w:rFonts w:ascii="標楷體" w:eastAsia="標楷體" w:hAnsi="標楷體"/>
          <w:szCs w:val="24"/>
        </w:rPr>
        <w:t xml:space="preserve"> </w:t>
      </w:r>
      <w:r>
        <w:rPr>
          <w:rFonts w:ascii="標楷體" w:eastAsia="標楷體" w:hAnsi="標楷體"/>
          <w:color w:val="000000"/>
          <w:szCs w:val="24"/>
        </w:rPr>
        <w:t>(111/2/1)：</w:t>
      </w:r>
    </w:p>
    <w:p w14:paraId="490BBD2E"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1.限生長激素缺乏症、透納氏症候群、SHOX缺乏症(限使用</w:t>
      </w:r>
      <w:proofErr w:type="spellStart"/>
      <w:r>
        <w:rPr>
          <w:rFonts w:ascii="標楷體" w:eastAsia="標楷體" w:hAnsi="標楷體"/>
          <w:color w:val="000000"/>
          <w:szCs w:val="24"/>
        </w:rPr>
        <w:t>Humatrope</w:t>
      </w:r>
      <w:proofErr w:type="spellEnd"/>
      <w:r>
        <w:rPr>
          <w:rFonts w:ascii="標楷體" w:eastAsia="標楷體" w:hAnsi="標楷體"/>
          <w:color w:val="000000"/>
          <w:szCs w:val="24"/>
        </w:rPr>
        <w:t>)及努南氏症候群（限使用</w:t>
      </w:r>
      <w:proofErr w:type="spellStart"/>
      <w:r>
        <w:rPr>
          <w:rFonts w:ascii="標楷體" w:eastAsia="標楷體" w:hAnsi="標楷體"/>
          <w:color w:val="000000"/>
          <w:szCs w:val="24"/>
        </w:rPr>
        <w:t>Norditropin</w:t>
      </w:r>
      <w:proofErr w:type="spellEnd"/>
      <w:r>
        <w:rPr>
          <w:rFonts w:ascii="標楷體" w:eastAsia="標楷體" w:hAnsi="標楷體"/>
          <w:color w:val="000000"/>
          <w:szCs w:val="24"/>
        </w:rPr>
        <w:t>）患者使用。(104/6/1、111/11/1)</w:t>
      </w:r>
    </w:p>
    <w:p w14:paraId="62657256"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2.限地區醫院以上層級具兒科</w:t>
      </w:r>
      <w:proofErr w:type="gramStart"/>
      <w:r>
        <w:rPr>
          <w:rFonts w:ascii="標楷體" w:eastAsia="標楷體" w:hAnsi="標楷體"/>
          <w:color w:val="000000"/>
          <w:szCs w:val="24"/>
        </w:rPr>
        <w:t>內分泌學次專科</w:t>
      </w:r>
      <w:proofErr w:type="gramEnd"/>
      <w:r>
        <w:rPr>
          <w:rFonts w:ascii="標楷體" w:eastAsia="標楷體" w:hAnsi="標楷體"/>
          <w:color w:val="000000"/>
          <w:szCs w:val="24"/>
        </w:rPr>
        <w:t>、兒科醫學遺傳學及</w:t>
      </w:r>
      <w:proofErr w:type="gramStart"/>
      <w:r>
        <w:rPr>
          <w:rFonts w:ascii="標楷體" w:eastAsia="標楷體" w:hAnsi="標楷體"/>
          <w:color w:val="000000"/>
          <w:szCs w:val="24"/>
        </w:rPr>
        <w:t>新陳代謝學次專科</w:t>
      </w:r>
      <w:proofErr w:type="gramEnd"/>
      <w:r>
        <w:rPr>
          <w:rFonts w:ascii="標楷體" w:eastAsia="標楷體" w:hAnsi="標楷體"/>
          <w:color w:val="000000"/>
          <w:szCs w:val="24"/>
        </w:rPr>
        <w:t>或新陳代謝專科醫師診斷。(104/6/1、110/12/1)</w:t>
      </w:r>
    </w:p>
    <w:p w14:paraId="68E04B45"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3.生長激素缺乏症使用生長激素治療，依下列規範使用：（100/12/1）</w:t>
      </w:r>
    </w:p>
    <w:p w14:paraId="7FB483D5"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(1)診斷：施行insulin, clonidine, L-Dopa, glucagon, arginine等檢查有兩項以上之檢查生長激素值均低於7ng/mL(insulin test須附檢查時之血糖值)。包括病理性(pathological)及特發性(idiopathic)及新生兒生長激素缺乏症。</w:t>
      </w:r>
    </w:p>
    <w:p w14:paraId="4B32868D"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(2)開始治療條件：</w:t>
      </w:r>
    </w:p>
    <w:p w14:paraId="6C60B8F2"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Ⅰ.病理性生長激素缺乏症者須兼具下列二項條件：</w:t>
      </w:r>
    </w:p>
    <w:p w14:paraId="55A40111" w14:textId="77777777" w:rsidR="00401786" w:rsidRDefault="00C64FB3" w:rsidP="0009639E">
      <w:pPr>
        <w:spacing w:line="300" w:lineRule="exact"/>
        <w:ind w:left="1526" w:hanging="307"/>
        <w:rPr>
          <w:rFonts w:ascii="標楷體" w:eastAsia="標楷體" w:hAnsi="標楷體"/>
          <w:color w:val="000000"/>
          <w:szCs w:val="24"/>
        </w:rPr>
      </w:pPr>
      <w:proofErr w:type="spellStart"/>
      <w:r>
        <w:rPr>
          <w:rFonts w:ascii="標楷體" w:eastAsia="標楷體" w:hAnsi="標楷體"/>
          <w:color w:val="000000"/>
          <w:szCs w:val="24"/>
        </w:rPr>
        <w:t>i</w:t>
      </w:r>
      <w:proofErr w:type="spellEnd"/>
      <w:r>
        <w:rPr>
          <w:rFonts w:ascii="標楷體" w:eastAsia="標楷體" w:hAnsi="標楷體"/>
          <w:color w:val="000000"/>
          <w:szCs w:val="24"/>
        </w:rPr>
        <w:t>.包括下視丘-腦垂體病變(如：腫瘤或</w:t>
      </w:r>
      <w:proofErr w:type="gramStart"/>
      <w:r>
        <w:rPr>
          <w:rFonts w:ascii="標楷體" w:eastAsia="標楷體" w:hAnsi="標楷體"/>
          <w:color w:val="000000"/>
          <w:szCs w:val="24"/>
        </w:rPr>
        <w:t>腦垂體柄因被</w:t>
      </w:r>
      <w:proofErr w:type="gramEnd"/>
      <w:r>
        <w:rPr>
          <w:rFonts w:ascii="標楷體" w:eastAsia="標楷體" w:hAnsi="標楷體"/>
          <w:color w:val="000000"/>
          <w:szCs w:val="24"/>
        </w:rPr>
        <w:t>浸潤而膨大)及下視丘-腦垂體發育異常(如：無腦垂體柄、腦垂體</w:t>
      </w:r>
      <w:proofErr w:type="gramStart"/>
      <w:r>
        <w:rPr>
          <w:rFonts w:ascii="標楷體" w:eastAsia="標楷體" w:hAnsi="標楷體"/>
          <w:color w:val="000000"/>
          <w:szCs w:val="24"/>
        </w:rPr>
        <w:t>後葉異位</w:t>
      </w:r>
      <w:proofErr w:type="gramEnd"/>
      <w:r>
        <w:rPr>
          <w:rFonts w:ascii="標楷體" w:eastAsia="標楷體" w:hAnsi="標楷體"/>
          <w:color w:val="000000"/>
          <w:szCs w:val="24"/>
        </w:rPr>
        <w:t>)者。</w:t>
      </w:r>
    </w:p>
    <w:p w14:paraId="0FC9CB69" w14:textId="77777777" w:rsidR="00401786" w:rsidRDefault="00C64FB3" w:rsidP="0009639E">
      <w:pPr>
        <w:tabs>
          <w:tab w:val="left" w:pos="1701"/>
        </w:tabs>
        <w:spacing w:line="300" w:lineRule="exact"/>
        <w:ind w:left="1560" w:hanging="426"/>
        <w:rPr>
          <w:rFonts w:ascii="標楷體" w:eastAsia="標楷體" w:hAnsi="標楷體"/>
          <w:color w:val="000000"/>
          <w:szCs w:val="24"/>
        </w:rPr>
      </w:pPr>
      <w:r>
        <w:rPr>
          <w:rFonts w:ascii="標楷體" w:eastAsia="標楷體" w:hAnsi="標楷體"/>
          <w:color w:val="000000"/>
          <w:szCs w:val="24"/>
        </w:rPr>
        <w:t>ii.生長速率一年小於四公分。須具有資格申請生長激素治療的醫療機構身高檢查，每隔三個月一次至少六個月以上之紀錄。)</w:t>
      </w:r>
    </w:p>
    <w:p w14:paraId="4B8D33A4"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Ⅱ.特發性生長激素</w:t>
      </w:r>
      <w:proofErr w:type="gramStart"/>
      <w:r>
        <w:rPr>
          <w:rFonts w:ascii="標楷體" w:eastAsia="標楷體" w:hAnsi="標楷體"/>
          <w:color w:val="000000"/>
          <w:szCs w:val="24"/>
        </w:rPr>
        <w:t>缺乏症須兼具</w:t>
      </w:r>
      <w:proofErr w:type="gramEnd"/>
      <w:r>
        <w:rPr>
          <w:rFonts w:ascii="標楷體" w:eastAsia="標楷體" w:hAnsi="標楷體"/>
          <w:color w:val="000000"/>
          <w:szCs w:val="24"/>
        </w:rPr>
        <w:t>下列二項條件：</w:t>
      </w:r>
    </w:p>
    <w:p w14:paraId="0302F2C6" w14:textId="77777777" w:rsidR="00401786" w:rsidRDefault="00C64FB3" w:rsidP="0009639E">
      <w:pPr>
        <w:spacing w:line="300" w:lineRule="exact"/>
        <w:ind w:left="1498" w:hanging="279"/>
        <w:rPr>
          <w:rFonts w:ascii="標楷體" w:eastAsia="標楷體" w:hAnsi="標楷體"/>
          <w:color w:val="000000"/>
          <w:szCs w:val="24"/>
        </w:rPr>
      </w:pPr>
      <w:proofErr w:type="spellStart"/>
      <w:r>
        <w:rPr>
          <w:rFonts w:ascii="標楷體" w:eastAsia="標楷體" w:hAnsi="標楷體"/>
          <w:color w:val="000000"/>
          <w:szCs w:val="24"/>
        </w:rPr>
        <w:t>i</w:t>
      </w:r>
      <w:proofErr w:type="spellEnd"/>
      <w:r>
        <w:rPr>
          <w:rFonts w:ascii="標楷體" w:eastAsia="標楷體" w:hAnsi="標楷體"/>
          <w:color w:val="000000"/>
          <w:szCs w:val="24"/>
        </w:rPr>
        <w:t>.身高低於第三</w:t>
      </w:r>
      <w:proofErr w:type="gramStart"/>
      <w:r>
        <w:rPr>
          <w:rFonts w:ascii="標楷體" w:eastAsia="標楷體" w:hAnsi="標楷體"/>
          <w:color w:val="000000"/>
          <w:szCs w:val="24"/>
        </w:rPr>
        <w:t>百分位且生長</w:t>
      </w:r>
      <w:proofErr w:type="gramEnd"/>
      <w:r>
        <w:rPr>
          <w:rFonts w:ascii="標楷體" w:eastAsia="標楷體" w:hAnsi="標楷體"/>
          <w:color w:val="000000"/>
          <w:szCs w:val="24"/>
        </w:rPr>
        <w:t>速率一年小於四公分。須具有資格申請生長激素治療的醫療機構身高檢查，每隔三個月一次至少六個月以上之紀錄。</w:t>
      </w:r>
    </w:p>
    <w:p w14:paraId="23284164" w14:textId="77777777" w:rsidR="00401786" w:rsidRDefault="00C64FB3" w:rsidP="0009639E">
      <w:pPr>
        <w:spacing w:line="300" w:lineRule="exact"/>
        <w:ind w:left="1498" w:hanging="279"/>
        <w:rPr>
          <w:rFonts w:ascii="標楷體" w:eastAsia="標楷體" w:hAnsi="標楷體"/>
          <w:color w:val="000000"/>
          <w:szCs w:val="24"/>
        </w:rPr>
      </w:pPr>
      <w:r>
        <w:rPr>
          <w:rFonts w:ascii="標楷體" w:eastAsia="標楷體" w:hAnsi="標楷體"/>
          <w:color w:val="000000"/>
          <w:szCs w:val="24"/>
        </w:rPr>
        <w:t>ii.</w:t>
      </w:r>
      <w:proofErr w:type="gramStart"/>
      <w:r>
        <w:rPr>
          <w:rFonts w:ascii="標楷體" w:eastAsia="標楷體" w:hAnsi="標楷體"/>
          <w:color w:val="000000"/>
          <w:szCs w:val="24"/>
        </w:rPr>
        <w:t>骨齡比</w:t>
      </w:r>
      <w:proofErr w:type="gramEnd"/>
      <w:r>
        <w:rPr>
          <w:rFonts w:ascii="標楷體" w:eastAsia="標楷體" w:hAnsi="標楷體"/>
          <w:color w:val="000000"/>
          <w:szCs w:val="24"/>
        </w:rPr>
        <w:t>實際年齡遲緩至少二個標準差(應檢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X光檢查影像)。</w:t>
      </w:r>
    </w:p>
    <w:p w14:paraId="5A615A4B"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Ⅲ.新生兒生長激素缺乏症，一再發生低血糖，有影響腦部發育之顧慮者。</w:t>
      </w:r>
    </w:p>
    <w:p w14:paraId="63D1CC3B"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(3)治療劑量：起始劑量0.18 mg/kg/week，爾後視需要可調整至0.18~0.23mg/kg/week。</w:t>
      </w:r>
    </w:p>
    <w:p w14:paraId="0294DD3D"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lastRenderedPageBreak/>
        <w:t>(4)治療監測：身高和體重至少每三</w:t>
      </w:r>
      <w:proofErr w:type="gramStart"/>
      <w:r>
        <w:rPr>
          <w:rFonts w:ascii="標楷體" w:eastAsia="標楷體" w:hAnsi="標楷體"/>
          <w:color w:val="000000"/>
          <w:szCs w:val="24"/>
        </w:rPr>
        <w:t>個</w:t>
      </w:r>
      <w:proofErr w:type="gramEnd"/>
      <w:r>
        <w:rPr>
          <w:rFonts w:ascii="標楷體" w:eastAsia="標楷體" w:hAnsi="標楷體"/>
          <w:color w:val="000000"/>
          <w:szCs w:val="24"/>
        </w:rPr>
        <w:t>月測量一次，</w:t>
      </w:r>
      <w:proofErr w:type="gramStart"/>
      <w:r>
        <w:rPr>
          <w:rFonts w:ascii="標楷體" w:eastAsia="標楷體" w:hAnsi="標楷體"/>
          <w:color w:val="000000"/>
          <w:szCs w:val="24"/>
        </w:rPr>
        <w:t>骨齡每六</w:t>
      </w:r>
      <w:proofErr w:type="gramEnd"/>
      <w:r>
        <w:rPr>
          <w:rFonts w:ascii="標楷體" w:eastAsia="標楷體" w:hAnsi="標楷體"/>
          <w:color w:val="000000"/>
          <w:szCs w:val="24"/>
        </w:rPr>
        <w:t>至十二</w:t>
      </w:r>
      <w:proofErr w:type="gramStart"/>
      <w:r>
        <w:rPr>
          <w:rFonts w:ascii="標楷體" w:eastAsia="標楷體" w:hAnsi="標楷體"/>
          <w:color w:val="000000"/>
          <w:szCs w:val="24"/>
        </w:rPr>
        <w:t>個</w:t>
      </w:r>
      <w:proofErr w:type="gramEnd"/>
      <w:r>
        <w:rPr>
          <w:rFonts w:ascii="標楷體" w:eastAsia="標楷體" w:hAnsi="標楷體"/>
          <w:color w:val="000000"/>
          <w:szCs w:val="24"/>
        </w:rPr>
        <w:t>月測定一次。</w:t>
      </w:r>
    </w:p>
    <w:p w14:paraId="23F80C8F"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(5)繼續治療條件(每年評估一次)：</w:t>
      </w:r>
    </w:p>
    <w:p w14:paraId="7E06818B"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Ⅰ.治療後第一年，生長速率比治療前增加至少3公分/年。</w:t>
      </w:r>
    </w:p>
    <w:p w14:paraId="5AA4C029"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Ⅱ.</w:t>
      </w:r>
      <w:proofErr w:type="gramStart"/>
      <w:r>
        <w:rPr>
          <w:rFonts w:ascii="標楷體" w:eastAsia="標楷體" w:hAnsi="標楷體"/>
          <w:color w:val="000000"/>
          <w:szCs w:val="24"/>
        </w:rPr>
        <w:t>骨齡</w:t>
      </w:r>
      <w:proofErr w:type="gramEnd"/>
      <w:r>
        <w:rPr>
          <w:rFonts w:ascii="標楷體" w:eastAsia="標楷體" w:hAnsi="標楷體"/>
          <w:color w:val="000000"/>
          <w:szCs w:val="24"/>
        </w:rPr>
        <w:t>：男生</w:t>
      </w:r>
      <w:proofErr w:type="gramStart"/>
      <w:r>
        <w:rPr>
          <w:rFonts w:ascii="標楷體" w:eastAsia="標楷體" w:hAnsi="標楷體"/>
          <w:color w:val="000000"/>
          <w:szCs w:val="24"/>
        </w:rPr>
        <w:t>骨齡16歲</w:t>
      </w:r>
      <w:proofErr w:type="gramEnd"/>
      <w:r>
        <w:rPr>
          <w:rFonts w:ascii="標楷體" w:eastAsia="標楷體" w:hAnsi="標楷體"/>
          <w:color w:val="000000"/>
          <w:szCs w:val="24"/>
        </w:rPr>
        <w:t>，女生</w:t>
      </w:r>
      <w:proofErr w:type="gramStart"/>
      <w:r>
        <w:rPr>
          <w:rFonts w:ascii="標楷體" w:eastAsia="標楷體" w:hAnsi="標楷體"/>
          <w:color w:val="000000"/>
          <w:szCs w:val="24"/>
        </w:rPr>
        <w:t>骨齡14歲</w:t>
      </w:r>
      <w:proofErr w:type="gramEnd"/>
      <w:r>
        <w:rPr>
          <w:rFonts w:ascii="標楷體" w:eastAsia="標楷體" w:hAnsi="標楷體"/>
          <w:color w:val="000000"/>
          <w:szCs w:val="24"/>
        </w:rPr>
        <w:t>為治療之最後期限。</w:t>
      </w:r>
    </w:p>
    <w:p w14:paraId="7D6CB8BC"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(6)個案申請時需檢附相關資料包括實驗室檢查報告影本、療程中門診追蹤身高體重記錄影本、</w:t>
      </w:r>
      <w:proofErr w:type="gramStart"/>
      <w:r>
        <w:rPr>
          <w:rFonts w:ascii="標楷體" w:eastAsia="標楷體" w:hAnsi="標楷體"/>
          <w:color w:val="000000"/>
          <w:szCs w:val="24"/>
        </w:rPr>
        <w:t>骨齡</w:t>
      </w:r>
      <w:proofErr w:type="gramEnd"/>
      <w:r>
        <w:rPr>
          <w:rFonts w:ascii="標楷體" w:eastAsia="標楷體" w:hAnsi="標楷體"/>
          <w:color w:val="000000"/>
          <w:szCs w:val="24"/>
        </w:rPr>
        <w:t>X光片影像及藥品劑量等資料之治療計畫)，經事前審查核准後使用。</w:t>
      </w:r>
    </w:p>
    <w:p w14:paraId="4EF80E50"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4.透納氏症候群病人使用生長激素治療的原則：</w:t>
      </w:r>
    </w:p>
    <w:p w14:paraId="1D4A0362"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(1)診斷：</w:t>
      </w:r>
      <w:proofErr w:type="gramStart"/>
      <w:r>
        <w:rPr>
          <w:rFonts w:ascii="標楷體" w:eastAsia="標楷體" w:hAnsi="標楷體"/>
          <w:color w:val="000000"/>
          <w:szCs w:val="24"/>
        </w:rPr>
        <w:t>Ｘ</w:t>
      </w:r>
      <w:proofErr w:type="gramEnd"/>
      <w:r>
        <w:rPr>
          <w:rFonts w:ascii="標楷體" w:eastAsia="標楷體" w:hAnsi="標楷體"/>
          <w:color w:val="000000"/>
          <w:szCs w:val="24"/>
        </w:rPr>
        <w:t>染色體部分或全部缺乏的女童。（請檢附檢查報告）(96/11/1)</w:t>
      </w:r>
    </w:p>
    <w:p w14:paraId="3B7084CB"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(2)病人無嚴重心臟血管、腎臟衰竭等危及生命或重度脊椎彎曲等影響治療效果的狀況。</w:t>
      </w:r>
    </w:p>
    <w:p w14:paraId="66A33071"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(3)開始治療條件：</w:t>
      </w:r>
    </w:p>
    <w:p w14:paraId="1D8650F2" w14:textId="77777777" w:rsidR="00401786" w:rsidRDefault="00C64FB3" w:rsidP="0009639E">
      <w:pPr>
        <w:spacing w:line="300" w:lineRule="exact"/>
        <w:ind w:left="1260" w:hanging="398"/>
      </w:pPr>
      <w:r>
        <w:rPr>
          <w:rFonts w:ascii="標楷體" w:eastAsia="標楷體" w:hAnsi="標楷體"/>
          <w:color w:val="000000"/>
          <w:szCs w:val="24"/>
        </w:rPr>
        <w:t>Ⅰ.</w:t>
      </w:r>
      <w:r>
        <w:rPr>
          <w:rFonts w:ascii="標楷體" w:eastAsia="標楷體" w:hAnsi="標楷體"/>
          <w:szCs w:val="24"/>
        </w:rPr>
        <w:t xml:space="preserve"> </w:t>
      </w:r>
      <w:r>
        <w:rPr>
          <w:rFonts w:ascii="標楷體" w:eastAsia="標楷體" w:hAnsi="標楷體"/>
          <w:color w:val="000000"/>
          <w:szCs w:val="24"/>
        </w:rPr>
        <w:t>6歲以上(111/2/1)。</w:t>
      </w:r>
    </w:p>
    <w:p w14:paraId="44DC0AFD"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Ⅱ.身高低於第三百分位以下且生長速率一年小於四公分，需具有資格申請生長激素治療的醫療機構身高檢查，每隔三個月一次，至少六個月以上之紀錄。(96/11/1)</w:t>
      </w:r>
    </w:p>
    <w:p w14:paraId="489E52CB"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Ⅲ.</w:t>
      </w:r>
      <w:proofErr w:type="gramStart"/>
      <w:r>
        <w:rPr>
          <w:rFonts w:ascii="標楷體" w:eastAsia="標楷體" w:hAnsi="標楷體"/>
          <w:color w:val="000000"/>
          <w:szCs w:val="24"/>
        </w:rPr>
        <w:t>骨齡14歲</w:t>
      </w:r>
      <w:proofErr w:type="gramEnd"/>
      <w:r>
        <w:rPr>
          <w:rFonts w:ascii="標楷體" w:eastAsia="標楷體" w:hAnsi="標楷體"/>
          <w:color w:val="000000"/>
          <w:szCs w:val="24"/>
        </w:rPr>
        <w:t>以下（請檢附骨齡Ｘ光片）(111/2/1)</w:t>
      </w:r>
    </w:p>
    <w:p w14:paraId="7CDB0923"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(4)治療劑量：不超過 1 IU/kg/</w:t>
      </w:r>
      <w:proofErr w:type="spellStart"/>
      <w:r>
        <w:rPr>
          <w:rFonts w:ascii="標楷體" w:eastAsia="標楷體" w:hAnsi="標楷體"/>
          <w:color w:val="000000"/>
          <w:szCs w:val="24"/>
        </w:rPr>
        <w:t>wk</w:t>
      </w:r>
      <w:proofErr w:type="spellEnd"/>
      <w:r>
        <w:rPr>
          <w:rFonts w:ascii="標楷體" w:eastAsia="標楷體" w:hAnsi="標楷體"/>
          <w:color w:val="000000"/>
          <w:szCs w:val="24"/>
        </w:rPr>
        <w:t>或0.35 mg/kg/</w:t>
      </w:r>
      <w:proofErr w:type="spellStart"/>
      <w:r>
        <w:rPr>
          <w:rFonts w:ascii="標楷體" w:eastAsia="標楷體" w:hAnsi="標楷體"/>
          <w:color w:val="000000"/>
          <w:szCs w:val="24"/>
        </w:rPr>
        <w:t>wk</w:t>
      </w:r>
      <w:proofErr w:type="spellEnd"/>
      <w:r>
        <w:rPr>
          <w:rFonts w:ascii="標楷體" w:eastAsia="標楷體" w:hAnsi="標楷體"/>
          <w:color w:val="000000"/>
          <w:szCs w:val="24"/>
        </w:rPr>
        <w:t>。(96/11/1)</w:t>
      </w:r>
    </w:p>
    <w:p w14:paraId="79FA8A48"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(5)繼續治療條件（每年評估一次）：</w:t>
      </w:r>
    </w:p>
    <w:p w14:paraId="1B97F50E"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Ⅰ.</w:t>
      </w:r>
      <w:proofErr w:type="gramStart"/>
      <w:r>
        <w:rPr>
          <w:rFonts w:ascii="標楷體" w:eastAsia="標楷體" w:hAnsi="標楷體"/>
          <w:color w:val="000000"/>
          <w:szCs w:val="24"/>
        </w:rPr>
        <w:t>骨齡14歲</w:t>
      </w:r>
      <w:proofErr w:type="gramEnd"/>
      <w:r>
        <w:rPr>
          <w:rFonts w:ascii="標楷體" w:eastAsia="標楷體" w:hAnsi="標楷體"/>
          <w:color w:val="000000"/>
          <w:szCs w:val="24"/>
        </w:rPr>
        <w:t>以下(111/2/1)。</w:t>
      </w:r>
    </w:p>
    <w:p w14:paraId="2FA0C82B"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Ⅱ.第一年生長速率比治療前增加至少2公分/年。</w:t>
      </w:r>
    </w:p>
    <w:p w14:paraId="462BE84C"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Ⅲ.第二年開始，生長速率至少4公分/年。</w:t>
      </w:r>
    </w:p>
    <w:p w14:paraId="1D7B7AD0"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5.用於治療SHOX缺乏症患者使用生長激素治療的原則：(104/6/1)</w:t>
      </w:r>
    </w:p>
    <w:p w14:paraId="252330D1"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(1)診斷：SHOX基因突變或缺乏(請檢附檢查報告，若為點突變者，需加附文獻資料證實此突變確為致病突變)。</w:t>
      </w:r>
    </w:p>
    <w:p w14:paraId="52147EB1"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(2)開始治療條件：</w:t>
      </w:r>
    </w:p>
    <w:p w14:paraId="774D320D"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Ⅰ.年齡6歲以上(111/2/1)。</w:t>
      </w:r>
    </w:p>
    <w:p w14:paraId="6786102F"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Ⅱ.身高低於第三百分位以下且生長速率一年小於四公分，需具有資格申請生長激素治療的醫療機構身高檢查，每隔三個月一次，至少六個月以上之紀錄。</w:t>
      </w:r>
    </w:p>
    <w:p w14:paraId="1D27D7D5"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Ⅲ.男性16歲以下、女性14歲以下(請檢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 (111/2/1)</w:t>
      </w:r>
    </w:p>
    <w:p w14:paraId="1C8FCA6B"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(3)治療劑量：不超過 0.35 mg/kg/</w:t>
      </w:r>
      <w:proofErr w:type="spellStart"/>
      <w:r>
        <w:rPr>
          <w:rFonts w:ascii="標楷體" w:eastAsia="標楷體" w:hAnsi="標楷體"/>
          <w:color w:val="000000"/>
          <w:szCs w:val="24"/>
        </w:rPr>
        <w:t>wk</w:t>
      </w:r>
      <w:proofErr w:type="spellEnd"/>
      <w:r>
        <w:rPr>
          <w:rFonts w:ascii="標楷體" w:eastAsia="標楷體" w:hAnsi="標楷體"/>
          <w:color w:val="000000"/>
          <w:szCs w:val="24"/>
        </w:rPr>
        <w:t>。</w:t>
      </w:r>
    </w:p>
    <w:p w14:paraId="53551BA6"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(4)繼續治療條件(每年評估一次)：</w:t>
      </w:r>
    </w:p>
    <w:p w14:paraId="031292AA" w14:textId="77777777" w:rsidR="00401786" w:rsidRDefault="00C64FB3" w:rsidP="0009639E">
      <w:pPr>
        <w:spacing w:line="300" w:lineRule="exact"/>
        <w:ind w:left="1134" w:hanging="272"/>
      </w:pPr>
      <w:r>
        <w:rPr>
          <w:rFonts w:ascii="標楷體" w:eastAsia="標楷體" w:hAnsi="標楷體"/>
          <w:color w:val="000000"/>
          <w:szCs w:val="24"/>
        </w:rPr>
        <w:t>Ⅰ.</w:t>
      </w:r>
      <w:r>
        <w:rPr>
          <w:rFonts w:ascii="標楷體" w:eastAsia="標楷體" w:hAnsi="標楷體"/>
          <w:szCs w:val="24"/>
        </w:rPr>
        <w:t xml:space="preserve"> </w:t>
      </w:r>
      <w:proofErr w:type="gramStart"/>
      <w:r>
        <w:rPr>
          <w:rFonts w:ascii="標楷體" w:eastAsia="標楷體" w:hAnsi="標楷體"/>
          <w:color w:val="000000"/>
          <w:szCs w:val="24"/>
        </w:rPr>
        <w:t>骨齡</w:t>
      </w:r>
      <w:proofErr w:type="gramEnd"/>
      <w:r>
        <w:rPr>
          <w:rFonts w:ascii="標楷體" w:eastAsia="標楷體" w:hAnsi="標楷體"/>
          <w:color w:val="000000"/>
          <w:szCs w:val="24"/>
        </w:rPr>
        <w:t>：男性16歲以下、女性14歲以下(請檢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 (111/2/1)</w:t>
      </w:r>
    </w:p>
    <w:p w14:paraId="7A9131B0"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Ⅱ.第一年生長速率比治療前增加至少2公分/年。</w:t>
      </w:r>
    </w:p>
    <w:p w14:paraId="2F2C140B"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Ⅲ.第二年開始，生長速率至少4公分/年。</w:t>
      </w:r>
    </w:p>
    <w:p w14:paraId="4909B227" w14:textId="77777777" w:rsidR="00401786" w:rsidRDefault="00C64FB3" w:rsidP="0009639E">
      <w:pPr>
        <w:spacing w:line="300" w:lineRule="exact"/>
        <w:ind w:left="851" w:hanging="2"/>
      </w:pPr>
      <w:r>
        <w:rPr>
          <w:rFonts w:ascii="標楷體" w:eastAsia="標楷體" w:hAnsi="標楷體"/>
          <w:color w:val="000000"/>
          <w:szCs w:val="24"/>
        </w:rPr>
        <w:t>(5)需事前審查核准後使用。</w:t>
      </w:r>
    </w:p>
    <w:p w14:paraId="140458F0" w14:textId="77777777" w:rsidR="00401786" w:rsidRDefault="00C64FB3" w:rsidP="0009639E">
      <w:pPr>
        <w:spacing w:line="300" w:lineRule="exact"/>
        <w:ind w:left="993" w:hanging="284"/>
      </w:pPr>
      <w:r>
        <w:rPr>
          <w:rFonts w:ascii="標楷體" w:eastAsia="標楷體" w:hAnsi="標楷體"/>
          <w:color w:val="000000"/>
          <w:szCs w:val="24"/>
        </w:rPr>
        <w:t>6.努南氏症候群（Noonan Syndrome）病人使用生長激素治療的原則：(111</w:t>
      </w:r>
      <w:r>
        <w:rPr>
          <w:rFonts w:ascii="標楷體" w:eastAsia="標楷體" w:hAnsi="標楷體"/>
          <w:szCs w:val="24"/>
        </w:rPr>
        <w:t>/11/1</w:t>
      </w:r>
      <w:r>
        <w:rPr>
          <w:rFonts w:ascii="標楷體" w:eastAsia="標楷體" w:hAnsi="標楷體"/>
          <w:color w:val="000000"/>
          <w:szCs w:val="24"/>
        </w:rPr>
        <w:t>)</w:t>
      </w:r>
    </w:p>
    <w:p w14:paraId="05D4AFB4" w14:textId="77777777" w:rsidR="00401786" w:rsidRDefault="00C64FB3" w:rsidP="0009639E">
      <w:pPr>
        <w:spacing w:line="300" w:lineRule="exact"/>
        <w:ind w:left="672" w:firstLine="321"/>
        <w:rPr>
          <w:rFonts w:ascii="標楷體" w:eastAsia="標楷體" w:hAnsi="標楷體"/>
          <w:color w:val="000000"/>
          <w:szCs w:val="24"/>
        </w:rPr>
      </w:pPr>
      <w:r>
        <w:rPr>
          <w:rFonts w:ascii="標楷體" w:eastAsia="標楷體" w:hAnsi="標楷體"/>
          <w:color w:val="000000"/>
          <w:szCs w:val="24"/>
        </w:rPr>
        <w:t>(1)診斷：(需同時符合下列兩點)</w:t>
      </w:r>
    </w:p>
    <w:p w14:paraId="4B654EED" w14:textId="77777777" w:rsidR="00401786" w:rsidRDefault="00C64FB3" w:rsidP="0009639E">
      <w:pPr>
        <w:spacing w:line="300" w:lineRule="exact"/>
        <w:ind w:left="672" w:firstLine="179"/>
        <w:rPr>
          <w:rFonts w:ascii="標楷體" w:eastAsia="標楷體" w:hAnsi="標楷體"/>
          <w:color w:val="000000"/>
          <w:szCs w:val="24"/>
        </w:rPr>
      </w:pPr>
      <w:r>
        <w:rPr>
          <w:rFonts w:ascii="標楷體" w:eastAsia="標楷體" w:hAnsi="標楷體"/>
          <w:color w:val="000000"/>
          <w:szCs w:val="24"/>
        </w:rPr>
        <w:t>Ⅰ.努南氏症候群臨床表現型者，診斷標準表如下:</w:t>
      </w:r>
    </w:p>
    <w:tbl>
      <w:tblPr>
        <w:tblW w:w="9608" w:type="dxa"/>
        <w:tblInd w:w="168" w:type="dxa"/>
        <w:tblCellMar>
          <w:left w:w="10" w:type="dxa"/>
          <w:right w:w="10" w:type="dxa"/>
        </w:tblCellMar>
        <w:tblLook w:val="0000" w:firstRow="0" w:lastRow="0" w:firstColumn="0" w:lastColumn="0" w:noHBand="0" w:noVBand="0"/>
      </w:tblPr>
      <w:tblGrid>
        <w:gridCol w:w="1387"/>
        <w:gridCol w:w="4110"/>
        <w:gridCol w:w="4111"/>
      </w:tblGrid>
      <w:tr w:rsidR="00401786" w14:paraId="59B8DE1B"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1BF54"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臨床特徵</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65BC33" w14:textId="77777777" w:rsidR="00401786" w:rsidRDefault="00C64FB3" w:rsidP="0009639E">
            <w:pPr>
              <w:spacing w:line="300" w:lineRule="exact"/>
              <w:jc w:val="center"/>
              <w:rPr>
                <w:rFonts w:ascii="標楷體" w:eastAsia="標楷體" w:hAnsi="標楷體"/>
                <w:color w:val="000000"/>
                <w:szCs w:val="24"/>
              </w:rPr>
            </w:pPr>
            <w:r>
              <w:rPr>
                <w:rFonts w:ascii="標楷體" w:eastAsia="標楷體" w:hAnsi="標楷體"/>
                <w:color w:val="000000"/>
                <w:szCs w:val="24"/>
              </w:rPr>
              <w:t>主要表徵</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F1E3B2" w14:textId="77777777" w:rsidR="00401786" w:rsidRDefault="00C64FB3" w:rsidP="0009639E">
            <w:pPr>
              <w:spacing w:line="300" w:lineRule="exact"/>
              <w:jc w:val="center"/>
              <w:rPr>
                <w:rFonts w:ascii="標楷體" w:eastAsia="標楷體" w:hAnsi="標楷體"/>
                <w:color w:val="000000"/>
                <w:szCs w:val="24"/>
              </w:rPr>
            </w:pPr>
            <w:r>
              <w:rPr>
                <w:rFonts w:ascii="標楷體" w:eastAsia="標楷體" w:hAnsi="標楷體"/>
                <w:color w:val="000000"/>
                <w:szCs w:val="24"/>
              </w:rPr>
              <w:t>次要表徵</w:t>
            </w:r>
          </w:p>
        </w:tc>
      </w:tr>
      <w:tr w:rsidR="00401786" w14:paraId="7DB9AC67"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2DA5B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1.臉部</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3B83F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典型臉部表徵</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42B229"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疑似臉部表徵</w:t>
            </w:r>
          </w:p>
        </w:tc>
      </w:tr>
      <w:tr w:rsidR="00401786" w14:paraId="405A5727"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17DFA1"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2.心臟</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EB1933"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肺動脈狹窄，肥厚阻塞型心肌病變and/or 典型努南氏症心電圖(wide QRS with negative pattern in left precordial lead)</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32A114"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其他心臟缺陷</w:t>
            </w:r>
          </w:p>
        </w:tc>
      </w:tr>
      <w:tr w:rsidR="00401786" w14:paraId="38653EE8"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CE59AB"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3.身高</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52E18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小於 3%</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A364F8"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小於 10%</w:t>
            </w:r>
          </w:p>
        </w:tc>
      </w:tr>
      <w:tr w:rsidR="00401786" w14:paraId="28F94493"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B28B1"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4.</w:t>
            </w:r>
            <w:proofErr w:type="gramStart"/>
            <w:r>
              <w:rPr>
                <w:rFonts w:ascii="標楷體" w:eastAsia="標楷體" w:hAnsi="標楷體"/>
                <w:color w:val="000000"/>
                <w:szCs w:val="24"/>
              </w:rPr>
              <w:t>胸壁</w:t>
            </w:r>
            <w:proofErr w:type="gramEnd"/>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C4E30B"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雞胸或漏斗胸</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47078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寬的胸廓</w:t>
            </w:r>
          </w:p>
        </w:tc>
      </w:tr>
      <w:tr w:rsidR="00401786" w14:paraId="25283976"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C89696"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5.家族史</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45FADF"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第一直系血親有努南氏症診斷</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B5F295"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第一直系血親疑似有努南氏症</w:t>
            </w:r>
          </w:p>
        </w:tc>
      </w:tr>
      <w:tr w:rsidR="00401786" w14:paraId="6C255683"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313D1C"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lastRenderedPageBreak/>
              <w:t>6.其他</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021B75"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同時合併智力障礙，隱</w:t>
            </w:r>
            <w:proofErr w:type="gramStart"/>
            <w:r>
              <w:rPr>
                <w:rFonts w:ascii="標楷體" w:eastAsia="標楷體" w:hAnsi="標楷體"/>
                <w:color w:val="000000"/>
                <w:szCs w:val="24"/>
              </w:rPr>
              <w:t>睪</w:t>
            </w:r>
            <w:proofErr w:type="gramEnd"/>
            <w:r>
              <w:rPr>
                <w:rFonts w:ascii="標楷體" w:eastAsia="標楷體" w:hAnsi="標楷體"/>
                <w:color w:val="000000"/>
                <w:szCs w:val="24"/>
              </w:rPr>
              <w:t>及淋巴循環不良</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E451DC"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智力障礙，隱</w:t>
            </w:r>
            <w:proofErr w:type="gramStart"/>
            <w:r>
              <w:rPr>
                <w:rFonts w:ascii="標楷體" w:eastAsia="標楷體" w:hAnsi="標楷體"/>
                <w:color w:val="000000"/>
                <w:szCs w:val="24"/>
              </w:rPr>
              <w:t>睪</w:t>
            </w:r>
            <w:proofErr w:type="gramEnd"/>
            <w:r>
              <w:rPr>
                <w:rFonts w:ascii="標楷體" w:eastAsia="標楷體" w:hAnsi="標楷體"/>
                <w:color w:val="000000"/>
                <w:szCs w:val="24"/>
              </w:rPr>
              <w:t>及淋巴循環不良符合其中一項</w:t>
            </w:r>
          </w:p>
        </w:tc>
      </w:tr>
    </w:tbl>
    <w:p w14:paraId="6F74C783" w14:textId="77777777" w:rsidR="00401786" w:rsidRDefault="00C64FB3" w:rsidP="0009639E">
      <w:pPr>
        <w:spacing w:line="300" w:lineRule="exact"/>
        <w:ind w:firstLine="140"/>
        <w:rPr>
          <w:rFonts w:ascii="標楷體" w:eastAsia="標楷體" w:hAnsi="標楷體"/>
          <w:color w:val="000000"/>
          <w:szCs w:val="24"/>
        </w:rPr>
      </w:pPr>
      <w:r>
        <w:rPr>
          <w:rFonts w:ascii="標楷體" w:eastAsia="標楷體" w:hAnsi="標楷體"/>
          <w:color w:val="000000"/>
          <w:szCs w:val="24"/>
        </w:rPr>
        <w:t>備註：</w:t>
      </w:r>
    </w:p>
    <w:p w14:paraId="6E16EA64" w14:textId="77777777" w:rsidR="00401786" w:rsidRDefault="00C64FB3" w:rsidP="0009639E">
      <w:pPr>
        <w:spacing w:line="300" w:lineRule="exact"/>
        <w:ind w:left="1701" w:hanging="850"/>
      </w:pPr>
      <w:r>
        <w:rPr>
          <w:rFonts w:ascii="標楷體" w:eastAsia="標楷體" w:hAnsi="標楷體"/>
          <w:color w:val="000000"/>
          <w:szCs w:val="24"/>
        </w:rPr>
        <w:t>備註1:典型臉部表徵包括：額頭高</w:t>
      </w:r>
      <w:proofErr w:type="gramStart"/>
      <w:r>
        <w:rPr>
          <w:rFonts w:ascii="標楷體" w:eastAsia="標楷體" w:hAnsi="標楷體"/>
          <w:color w:val="000000"/>
          <w:szCs w:val="24"/>
        </w:rPr>
        <w:t>且寬、眼距</w:t>
      </w:r>
      <w:proofErr w:type="gramEnd"/>
      <w:r>
        <w:rPr>
          <w:rFonts w:ascii="標楷體" w:eastAsia="標楷體" w:hAnsi="標楷體"/>
          <w:color w:val="000000"/>
          <w:szCs w:val="24"/>
        </w:rPr>
        <w:t>過寬、內</w:t>
      </w:r>
      <w:proofErr w:type="gramStart"/>
      <w:r>
        <w:rPr>
          <w:rFonts w:ascii="標楷體" w:eastAsia="標楷體" w:hAnsi="標楷體"/>
          <w:color w:val="000000"/>
          <w:szCs w:val="24"/>
        </w:rPr>
        <w:t>眥贅</w:t>
      </w:r>
      <w:proofErr w:type="gramEnd"/>
      <w:r>
        <w:rPr>
          <w:rFonts w:ascii="標楷體" w:eastAsia="標楷體" w:hAnsi="標楷體"/>
          <w:color w:val="000000"/>
          <w:szCs w:val="24"/>
        </w:rPr>
        <w:t>皮、眼尾下垂、低位後</w:t>
      </w:r>
      <w:proofErr w:type="gramStart"/>
      <w:r>
        <w:rPr>
          <w:rFonts w:ascii="標楷體" w:eastAsia="標楷體" w:hAnsi="標楷體"/>
          <w:color w:val="000000"/>
          <w:szCs w:val="24"/>
        </w:rPr>
        <w:t>轉耳、</w:t>
      </w:r>
      <w:proofErr w:type="gramEnd"/>
      <w:r>
        <w:rPr>
          <w:rFonts w:ascii="標楷體" w:eastAsia="標楷體" w:hAnsi="標楷體"/>
          <w:color w:val="000000"/>
          <w:szCs w:val="24"/>
        </w:rPr>
        <w:t>耳</w:t>
      </w:r>
      <w:proofErr w:type="gramStart"/>
      <w:r>
        <w:rPr>
          <w:rFonts w:ascii="標楷體" w:eastAsia="標楷體" w:hAnsi="標楷體"/>
          <w:color w:val="000000"/>
          <w:szCs w:val="24"/>
        </w:rPr>
        <w:t>外緣厚</w:t>
      </w:r>
      <w:proofErr w:type="gramEnd"/>
      <w:r>
        <w:rPr>
          <w:rFonts w:ascii="標楷體" w:eastAsia="標楷體" w:hAnsi="標楷體"/>
          <w:color w:val="000000"/>
          <w:szCs w:val="24"/>
        </w:rPr>
        <w:t>、</w:t>
      </w:r>
      <w:proofErr w:type="gramStart"/>
      <w:r>
        <w:rPr>
          <w:rFonts w:ascii="標楷體" w:eastAsia="標楷體" w:hAnsi="標楷體"/>
          <w:color w:val="000000"/>
          <w:szCs w:val="24"/>
        </w:rPr>
        <w:t>高顎弓</w:t>
      </w:r>
      <w:proofErr w:type="gramEnd"/>
      <w:r>
        <w:rPr>
          <w:rFonts w:ascii="標楷體" w:eastAsia="標楷體" w:hAnsi="標楷體"/>
          <w:color w:val="000000"/>
          <w:szCs w:val="24"/>
        </w:rPr>
        <w:t>、小下巴、脖子短、後</w:t>
      </w:r>
      <w:proofErr w:type="gramStart"/>
      <w:r>
        <w:rPr>
          <w:rFonts w:ascii="標楷體" w:eastAsia="標楷體" w:hAnsi="標楷體"/>
          <w:color w:val="000000"/>
          <w:szCs w:val="24"/>
        </w:rPr>
        <w:t>頸厚及</w:t>
      </w:r>
      <w:proofErr w:type="gramEnd"/>
      <w:r>
        <w:rPr>
          <w:rFonts w:ascii="標楷體" w:eastAsia="標楷體" w:hAnsi="標楷體"/>
          <w:color w:val="000000"/>
          <w:szCs w:val="24"/>
        </w:rPr>
        <w:t>後枕髮線低。</w:t>
      </w:r>
    </w:p>
    <w:p w14:paraId="002AFDA3" w14:textId="77777777" w:rsidR="00401786" w:rsidRDefault="00C64FB3" w:rsidP="0009639E">
      <w:pPr>
        <w:spacing w:line="300" w:lineRule="exact"/>
        <w:ind w:left="869" w:hanging="18"/>
        <w:rPr>
          <w:rFonts w:ascii="標楷體" w:eastAsia="標楷體" w:hAnsi="標楷體"/>
          <w:color w:val="000000"/>
          <w:szCs w:val="24"/>
        </w:rPr>
      </w:pPr>
      <w:r>
        <w:rPr>
          <w:rFonts w:ascii="標楷體" w:eastAsia="標楷體" w:hAnsi="標楷體"/>
          <w:color w:val="000000"/>
          <w:szCs w:val="24"/>
        </w:rPr>
        <w:t>備註2:努南氏症臨床診斷須符合以下三者之</w:t>
      </w:r>
      <w:proofErr w:type="gramStart"/>
      <w:r>
        <w:rPr>
          <w:rFonts w:ascii="標楷體" w:eastAsia="標楷體" w:hAnsi="標楷體"/>
          <w:color w:val="000000"/>
          <w:szCs w:val="24"/>
        </w:rPr>
        <w:t>一</w:t>
      </w:r>
      <w:proofErr w:type="gramEnd"/>
      <w:r>
        <w:rPr>
          <w:rFonts w:ascii="標楷體" w:eastAsia="標楷體" w:hAnsi="標楷體"/>
          <w:color w:val="000000"/>
          <w:szCs w:val="24"/>
        </w:rPr>
        <w:t>:</w:t>
      </w:r>
    </w:p>
    <w:p w14:paraId="0C50FAB5" w14:textId="77777777" w:rsidR="00401786" w:rsidRDefault="00C64FB3">
      <w:pPr>
        <w:pStyle w:val="af"/>
        <w:numPr>
          <w:ilvl w:val="0"/>
          <w:numId w:val="13"/>
        </w:numPr>
        <w:spacing w:line="300" w:lineRule="exact"/>
        <w:ind w:left="768" w:firstLine="933"/>
        <w:rPr>
          <w:rFonts w:ascii="標楷體" w:eastAsia="標楷體" w:hAnsi="標楷體"/>
          <w:color w:val="000000"/>
          <w:szCs w:val="24"/>
        </w:rPr>
      </w:pPr>
      <w:r>
        <w:rPr>
          <w:rFonts w:ascii="標楷體" w:eastAsia="標楷體" w:hAnsi="標楷體"/>
          <w:color w:val="000000"/>
          <w:szCs w:val="24"/>
        </w:rPr>
        <w:t>兩個主要表徵。</w:t>
      </w:r>
    </w:p>
    <w:p w14:paraId="19AEB6D8" w14:textId="77777777" w:rsidR="00401786" w:rsidRDefault="00C64FB3">
      <w:pPr>
        <w:pStyle w:val="af"/>
        <w:numPr>
          <w:ilvl w:val="0"/>
          <w:numId w:val="13"/>
        </w:numPr>
        <w:spacing w:line="300" w:lineRule="exact"/>
        <w:ind w:left="909" w:firstLine="792"/>
        <w:rPr>
          <w:rFonts w:ascii="標楷體" w:eastAsia="標楷體" w:hAnsi="標楷體"/>
          <w:color w:val="000000"/>
          <w:szCs w:val="24"/>
        </w:rPr>
      </w:pPr>
      <w:r>
        <w:rPr>
          <w:rFonts w:ascii="標楷體" w:eastAsia="標楷體" w:hAnsi="標楷體"/>
          <w:color w:val="000000"/>
          <w:szCs w:val="24"/>
        </w:rPr>
        <w:t>一個主要表徵加上兩個次要表徵。</w:t>
      </w:r>
    </w:p>
    <w:p w14:paraId="5EA92A17" w14:textId="77777777" w:rsidR="00401786" w:rsidRDefault="00C64FB3">
      <w:pPr>
        <w:pStyle w:val="af"/>
        <w:numPr>
          <w:ilvl w:val="0"/>
          <w:numId w:val="13"/>
        </w:numPr>
        <w:spacing w:line="300" w:lineRule="exact"/>
        <w:ind w:left="909" w:firstLine="792"/>
        <w:rPr>
          <w:rFonts w:ascii="標楷體" w:eastAsia="標楷體" w:hAnsi="標楷體"/>
          <w:color w:val="000000"/>
          <w:szCs w:val="24"/>
        </w:rPr>
      </w:pPr>
      <w:r>
        <w:rPr>
          <w:rFonts w:ascii="標楷體" w:eastAsia="標楷體" w:hAnsi="標楷體"/>
          <w:color w:val="000000"/>
          <w:szCs w:val="24"/>
        </w:rPr>
        <w:t>四個次要表徵。</w:t>
      </w:r>
    </w:p>
    <w:p w14:paraId="1AC096B4" w14:textId="77777777" w:rsidR="00401786" w:rsidRDefault="00C64FB3" w:rsidP="0009639E">
      <w:pPr>
        <w:spacing w:line="300" w:lineRule="exact"/>
        <w:ind w:left="1560" w:hanging="425"/>
      </w:pPr>
      <w:r>
        <w:rPr>
          <w:rFonts w:ascii="標楷體" w:eastAsia="標楷體" w:hAnsi="標楷體"/>
          <w:color w:val="000000"/>
          <w:szCs w:val="24"/>
        </w:rPr>
        <w:t>Ⅱ.具有PTPN11、SOS1、RIT1、RAF1、</w:t>
      </w:r>
      <w:bookmarkStart w:id="14" w:name="_Hlk90824629"/>
      <w:r>
        <w:rPr>
          <w:rFonts w:ascii="標楷體" w:eastAsia="標楷體" w:hAnsi="標楷體"/>
          <w:color w:val="000000"/>
          <w:szCs w:val="24"/>
        </w:rPr>
        <w:t>RRAS2、LZTR1、SOS2、</w:t>
      </w:r>
      <w:bookmarkEnd w:id="14"/>
      <w:r>
        <w:rPr>
          <w:rFonts w:ascii="標楷體" w:eastAsia="標楷體" w:hAnsi="標楷體"/>
          <w:color w:val="000000"/>
          <w:szCs w:val="24"/>
        </w:rPr>
        <w:t>KRAS、NRAS、BRAF、</w:t>
      </w:r>
      <w:bookmarkStart w:id="15" w:name="_Hlk90824644"/>
      <w:r>
        <w:rPr>
          <w:rFonts w:ascii="標楷體" w:eastAsia="標楷體" w:hAnsi="標楷體"/>
          <w:color w:val="000000"/>
          <w:szCs w:val="24"/>
        </w:rPr>
        <w:t>MAP2K1 (MEK1)、PPP1CB</w:t>
      </w:r>
      <w:bookmarkEnd w:id="15"/>
      <w:r>
        <w:rPr>
          <w:rFonts w:ascii="標楷體" w:eastAsia="標楷體" w:hAnsi="標楷體"/>
          <w:color w:val="000000"/>
          <w:szCs w:val="24"/>
        </w:rPr>
        <w:t>等努南氏症候群相關基因之任</w:t>
      </w:r>
      <w:proofErr w:type="gramStart"/>
      <w:r>
        <w:rPr>
          <w:rFonts w:ascii="標楷體" w:eastAsia="標楷體" w:hAnsi="標楷體"/>
          <w:color w:val="000000"/>
          <w:szCs w:val="24"/>
        </w:rPr>
        <w:t>一</w:t>
      </w:r>
      <w:proofErr w:type="gramEnd"/>
      <w:r>
        <w:rPr>
          <w:rFonts w:ascii="標楷體" w:eastAsia="標楷體" w:hAnsi="標楷體"/>
          <w:color w:val="000000"/>
          <w:szCs w:val="24"/>
        </w:rPr>
        <w:t>致病性變異或拷貝數變異(請檢附檢查報告)。</w:t>
      </w:r>
    </w:p>
    <w:p w14:paraId="69622731" w14:textId="77777777" w:rsidR="00401786" w:rsidRDefault="00C64FB3" w:rsidP="0009639E">
      <w:pPr>
        <w:spacing w:line="300" w:lineRule="exact"/>
        <w:ind w:left="1701" w:hanging="672"/>
        <w:rPr>
          <w:rFonts w:ascii="標楷體" w:eastAsia="標楷體" w:hAnsi="標楷體"/>
          <w:color w:val="000000"/>
          <w:szCs w:val="24"/>
        </w:rPr>
      </w:pPr>
      <w:r>
        <w:rPr>
          <w:rFonts w:ascii="標楷體" w:eastAsia="標楷體" w:hAnsi="標楷體"/>
          <w:color w:val="000000"/>
          <w:szCs w:val="24"/>
        </w:rPr>
        <w:t>(2)開始治療條件：</w:t>
      </w:r>
    </w:p>
    <w:p w14:paraId="75867EA8" w14:textId="77777777" w:rsidR="00401786" w:rsidRDefault="00C64FB3" w:rsidP="0009639E">
      <w:pPr>
        <w:spacing w:line="300" w:lineRule="exact"/>
        <w:ind w:left="1134" w:hanging="246"/>
      </w:pPr>
      <w:r>
        <w:rPr>
          <w:rFonts w:ascii="標楷體" w:eastAsia="標楷體" w:hAnsi="標楷體"/>
          <w:color w:val="000000"/>
          <w:szCs w:val="24"/>
        </w:rPr>
        <w:t>Ⅰ.6歲以上。</w:t>
      </w:r>
    </w:p>
    <w:p w14:paraId="43B5D689" w14:textId="77777777" w:rsidR="00401786" w:rsidRDefault="00C64FB3" w:rsidP="0009639E">
      <w:pPr>
        <w:spacing w:line="300" w:lineRule="exact"/>
        <w:ind w:left="1232" w:hanging="381"/>
        <w:rPr>
          <w:rFonts w:ascii="標楷體" w:eastAsia="標楷體" w:hAnsi="標楷體"/>
          <w:color w:val="000000"/>
          <w:szCs w:val="24"/>
        </w:rPr>
      </w:pPr>
      <w:r>
        <w:rPr>
          <w:rFonts w:ascii="標楷體" w:eastAsia="標楷體" w:hAnsi="標楷體"/>
          <w:color w:val="000000"/>
          <w:szCs w:val="24"/>
        </w:rPr>
        <w:t>Ⅱ.身高低於第三百分位以下且生長速率一年小於4公分，需具有資格申請生長激素治療的醫療機構身高檢查，每隔3個月一次，至少6個月以上之紀錄。</w:t>
      </w:r>
    </w:p>
    <w:p w14:paraId="31F42800" w14:textId="77777777" w:rsidR="00401786" w:rsidRDefault="00C64FB3" w:rsidP="0009639E">
      <w:pPr>
        <w:spacing w:line="300" w:lineRule="exact"/>
        <w:ind w:left="1134" w:hanging="244"/>
        <w:rPr>
          <w:rFonts w:ascii="標楷體" w:eastAsia="標楷體" w:hAnsi="標楷體"/>
          <w:color w:val="000000"/>
          <w:szCs w:val="24"/>
        </w:rPr>
      </w:pPr>
      <w:r>
        <w:rPr>
          <w:rFonts w:ascii="標楷體" w:eastAsia="標楷體" w:hAnsi="標楷體"/>
          <w:color w:val="000000"/>
          <w:szCs w:val="24"/>
        </w:rPr>
        <w:t>Ⅲ.</w:t>
      </w:r>
      <w:proofErr w:type="gramStart"/>
      <w:r>
        <w:rPr>
          <w:rFonts w:ascii="標楷體" w:eastAsia="標楷體" w:hAnsi="標楷體"/>
          <w:color w:val="000000"/>
          <w:szCs w:val="24"/>
        </w:rPr>
        <w:t>骨齡</w:t>
      </w:r>
      <w:proofErr w:type="gramEnd"/>
      <w:r>
        <w:rPr>
          <w:rFonts w:ascii="標楷體" w:eastAsia="標楷體" w:hAnsi="標楷體"/>
          <w:color w:val="000000"/>
          <w:szCs w:val="24"/>
        </w:rPr>
        <w:t>：男性 16 歲以下、女性 14 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w:t>
      </w:r>
    </w:p>
    <w:p w14:paraId="7EAF66DB" w14:textId="77777777" w:rsidR="00401786" w:rsidRDefault="00C64FB3" w:rsidP="0009639E">
      <w:pPr>
        <w:spacing w:line="300" w:lineRule="exact"/>
        <w:ind w:left="1276" w:hanging="386"/>
        <w:rPr>
          <w:rFonts w:ascii="標楷體" w:eastAsia="標楷體" w:hAnsi="標楷體"/>
          <w:color w:val="000000"/>
          <w:szCs w:val="24"/>
        </w:rPr>
      </w:pPr>
      <w:r>
        <w:rPr>
          <w:rFonts w:ascii="標楷體" w:eastAsia="標楷體" w:hAnsi="標楷體"/>
          <w:color w:val="000000"/>
          <w:szCs w:val="24"/>
        </w:rPr>
        <w:t>(3)治療劑量：不超過 0.35mg/kg/</w:t>
      </w:r>
      <w:proofErr w:type="spellStart"/>
      <w:r>
        <w:rPr>
          <w:rFonts w:ascii="標楷體" w:eastAsia="標楷體" w:hAnsi="標楷體"/>
          <w:color w:val="000000"/>
          <w:szCs w:val="24"/>
        </w:rPr>
        <w:t>wk</w:t>
      </w:r>
      <w:proofErr w:type="spellEnd"/>
      <w:r>
        <w:rPr>
          <w:rFonts w:ascii="標楷體" w:eastAsia="標楷體" w:hAnsi="標楷體"/>
          <w:color w:val="000000"/>
          <w:szCs w:val="24"/>
        </w:rPr>
        <w:t>。</w:t>
      </w:r>
    </w:p>
    <w:p w14:paraId="2A09DE1D" w14:textId="77777777" w:rsidR="00401786" w:rsidRDefault="00C64FB3" w:rsidP="0009639E">
      <w:pPr>
        <w:spacing w:line="300" w:lineRule="exact"/>
        <w:ind w:left="1560" w:hanging="672"/>
        <w:rPr>
          <w:rFonts w:ascii="標楷體" w:eastAsia="標楷體" w:hAnsi="標楷體"/>
          <w:color w:val="000000"/>
          <w:szCs w:val="24"/>
        </w:rPr>
      </w:pPr>
      <w:r>
        <w:rPr>
          <w:rFonts w:ascii="標楷體" w:eastAsia="標楷體" w:hAnsi="標楷體"/>
          <w:color w:val="000000"/>
          <w:szCs w:val="24"/>
        </w:rPr>
        <w:t>(4)</w:t>
      </w:r>
      <w:bookmarkStart w:id="16" w:name="_Hlk90825075"/>
      <w:r>
        <w:rPr>
          <w:rFonts w:ascii="標楷體" w:eastAsia="標楷體" w:hAnsi="標楷體"/>
          <w:color w:val="000000"/>
          <w:szCs w:val="24"/>
        </w:rPr>
        <w:t>繼續治療條件(每年評估1次)：</w:t>
      </w:r>
    </w:p>
    <w:p w14:paraId="579AD06E" w14:textId="77777777" w:rsidR="00401786" w:rsidRDefault="00C64FB3" w:rsidP="0009639E">
      <w:pPr>
        <w:spacing w:line="300" w:lineRule="exact"/>
        <w:ind w:left="1276" w:hanging="428"/>
        <w:rPr>
          <w:rFonts w:ascii="標楷體" w:eastAsia="標楷體" w:hAnsi="標楷體"/>
          <w:color w:val="000000"/>
          <w:szCs w:val="24"/>
        </w:rPr>
      </w:pPr>
      <w:r>
        <w:rPr>
          <w:rFonts w:ascii="標楷體" w:eastAsia="標楷體" w:hAnsi="標楷體"/>
          <w:color w:val="000000"/>
          <w:szCs w:val="24"/>
        </w:rPr>
        <w:t>Ⅰ.</w:t>
      </w:r>
      <w:proofErr w:type="gramStart"/>
      <w:r>
        <w:rPr>
          <w:rFonts w:ascii="標楷體" w:eastAsia="標楷體" w:hAnsi="標楷體"/>
          <w:color w:val="000000"/>
          <w:szCs w:val="24"/>
        </w:rPr>
        <w:t>骨齡</w:t>
      </w:r>
      <w:proofErr w:type="gramEnd"/>
      <w:r>
        <w:rPr>
          <w:rFonts w:ascii="標楷體" w:eastAsia="標楷體" w:hAnsi="標楷體"/>
          <w:color w:val="000000"/>
          <w:szCs w:val="24"/>
        </w:rPr>
        <w:t>：男性16歲以下、女性 14 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w:t>
      </w:r>
    </w:p>
    <w:p w14:paraId="693AFA41" w14:textId="77777777" w:rsidR="00401786" w:rsidRDefault="00C64FB3" w:rsidP="0009639E">
      <w:pPr>
        <w:spacing w:line="300" w:lineRule="exact"/>
        <w:ind w:left="1276" w:hanging="428"/>
        <w:rPr>
          <w:rFonts w:ascii="標楷體" w:eastAsia="標楷體" w:hAnsi="標楷體"/>
          <w:color w:val="000000"/>
          <w:szCs w:val="24"/>
        </w:rPr>
      </w:pPr>
      <w:r>
        <w:rPr>
          <w:rFonts w:ascii="標楷體" w:eastAsia="標楷體" w:hAnsi="標楷體"/>
          <w:color w:val="000000"/>
          <w:szCs w:val="24"/>
        </w:rPr>
        <w:t>Ⅱ.第一年生長速率比治療前增加至少2公分/年。</w:t>
      </w:r>
    </w:p>
    <w:p w14:paraId="169F77D7" w14:textId="77777777" w:rsidR="00401786" w:rsidRDefault="00C64FB3" w:rsidP="0009639E">
      <w:pPr>
        <w:spacing w:line="300" w:lineRule="exact"/>
        <w:ind w:left="1276" w:hanging="428"/>
        <w:rPr>
          <w:rFonts w:ascii="標楷體" w:eastAsia="標楷體" w:hAnsi="標楷體"/>
          <w:color w:val="000000"/>
          <w:szCs w:val="24"/>
        </w:rPr>
      </w:pPr>
      <w:r>
        <w:rPr>
          <w:rFonts w:ascii="標楷體" w:eastAsia="標楷體" w:hAnsi="標楷體"/>
          <w:color w:val="000000"/>
          <w:szCs w:val="24"/>
        </w:rPr>
        <w:t>Ⅲ.第二年開始，生長速率至少4公分/年。</w:t>
      </w:r>
    </w:p>
    <w:p w14:paraId="7EC53FFA" w14:textId="77777777" w:rsidR="00401786" w:rsidRDefault="00C64FB3" w:rsidP="0009639E">
      <w:pPr>
        <w:spacing w:line="300" w:lineRule="exact"/>
        <w:ind w:left="1049" w:hanging="341"/>
        <w:rPr>
          <w:rFonts w:ascii="標楷體" w:eastAsia="標楷體" w:hAnsi="標楷體"/>
          <w:color w:val="000000"/>
          <w:szCs w:val="24"/>
        </w:rPr>
      </w:pPr>
      <w:r>
        <w:rPr>
          <w:rFonts w:ascii="標楷體" w:eastAsia="標楷體" w:hAnsi="標楷體"/>
          <w:color w:val="000000"/>
          <w:szCs w:val="24"/>
        </w:rPr>
        <w:t>(5)需事前審查核准後使用</w:t>
      </w:r>
      <w:bookmarkEnd w:id="16"/>
      <w:r>
        <w:rPr>
          <w:rFonts w:ascii="標楷體" w:eastAsia="標楷體" w:hAnsi="標楷體"/>
          <w:color w:val="000000"/>
          <w:szCs w:val="24"/>
        </w:rPr>
        <w:t>，治療後每年需再提出申請，審查同意後使用。</w:t>
      </w:r>
    </w:p>
    <w:p w14:paraId="703467F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5.4.1.2.生長激素（如Genotropin）用於治療普瑞德威利氏症候群 （Prader-Willi Syndrome）患者時：（93/5/1、106/8/1）</w:t>
      </w:r>
    </w:p>
    <w:p w14:paraId="258511E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1.限用於經由醫學中心或區域醫院小兒或內分泌專科醫師具小兒遺傳或小兒內分泌專長醫師診斷確認，且患者之</w:t>
      </w:r>
      <w:proofErr w:type="gramStart"/>
      <w:r>
        <w:rPr>
          <w:rFonts w:ascii="標楷體" w:eastAsia="標楷體" w:hAnsi="標楷體"/>
          <w:color w:val="000000"/>
        </w:rPr>
        <w:t>骨齡男性≦</w:t>
      </w:r>
      <w:proofErr w:type="gramEnd"/>
      <w:r>
        <w:rPr>
          <w:rFonts w:ascii="標楷體" w:eastAsia="標楷體" w:hAnsi="標楷體"/>
          <w:color w:val="000000"/>
        </w:rPr>
        <w:t>16歲、女性</w:t>
      </w:r>
      <w:proofErr w:type="gramStart"/>
      <w:r>
        <w:rPr>
          <w:rFonts w:ascii="標楷體" w:eastAsia="標楷體" w:hAnsi="標楷體"/>
          <w:color w:val="000000"/>
        </w:rPr>
        <w:t>≦</w:t>
      </w:r>
      <w:proofErr w:type="gramEnd"/>
      <w:r>
        <w:rPr>
          <w:rFonts w:ascii="標楷體" w:eastAsia="標楷體" w:hAnsi="標楷體"/>
          <w:color w:val="000000"/>
        </w:rPr>
        <w:t>14歲之病患。</w:t>
      </w:r>
    </w:p>
    <w:p w14:paraId="7D0B793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2.治療期間發生下列情形應停止治療：發生糖尿病、或其他嚴重副作用時。</w:t>
      </w:r>
    </w:p>
    <w:p w14:paraId="3C353D3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3.建議治療劑量：給予每天0.1 IU/kg（約等於0.035mg/kg）之生長激素治療。</w:t>
      </w:r>
    </w:p>
    <w:p w14:paraId="61796C5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4.治療時注意事項：</w:t>
      </w:r>
    </w:p>
    <w:p w14:paraId="0A3D78BC" w14:textId="77777777" w:rsidR="00401786" w:rsidRDefault="00C64FB3" w:rsidP="0009639E">
      <w:pPr>
        <w:spacing w:line="300" w:lineRule="exact"/>
        <w:ind w:left="1106" w:hanging="398"/>
        <w:rPr>
          <w:rFonts w:ascii="標楷體" w:eastAsia="標楷體" w:hAnsi="標楷體"/>
          <w:color w:val="000000"/>
        </w:rPr>
      </w:pPr>
      <w:r>
        <w:rPr>
          <w:rFonts w:ascii="標楷體" w:eastAsia="標楷體" w:hAnsi="標楷體"/>
          <w:color w:val="000000"/>
        </w:rPr>
        <w:t>(1)應於開始治療之前及每三至六個月定期監測血糖及血脂檢查 (Lipid profile) 等臨床生化指標、重高指數變化、活動力與肌肉張力、Sleeping Study。治療</w:t>
      </w:r>
      <w:proofErr w:type="gramStart"/>
      <w:r>
        <w:rPr>
          <w:rFonts w:ascii="標楷體" w:eastAsia="標楷體" w:hAnsi="標楷體"/>
          <w:color w:val="000000"/>
        </w:rPr>
        <w:t>一</w:t>
      </w:r>
      <w:proofErr w:type="gramEnd"/>
      <w:r>
        <w:rPr>
          <w:rFonts w:ascii="標楷體" w:eastAsia="標楷體" w:hAnsi="標楷體"/>
          <w:color w:val="000000"/>
        </w:rPr>
        <w:t>年後測量身體組成Body Composition (DXA)、</w:t>
      </w:r>
      <w:proofErr w:type="gramStart"/>
      <w:r>
        <w:rPr>
          <w:rFonts w:ascii="標楷體" w:eastAsia="標楷體" w:hAnsi="標楷體"/>
          <w:color w:val="000000"/>
        </w:rPr>
        <w:t>骨齡</w:t>
      </w:r>
      <w:proofErr w:type="gramEnd"/>
      <w:r>
        <w:rPr>
          <w:rFonts w:ascii="標楷體" w:eastAsia="標楷體" w:hAnsi="標楷體"/>
          <w:color w:val="000000"/>
        </w:rPr>
        <w:t>X光片。</w:t>
      </w:r>
    </w:p>
    <w:p w14:paraId="734D69D5" w14:textId="77777777" w:rsidR="00401786" w:rsidRDefault="00C64FB3" w:rsidP="0009639E">
      <w:pPr>
        <w:spacing w:line="300" w:lineRule="exact"/>
        <w:ind w:left="1078" w:hanging="370"/>
        <w:rPr>
          <w:rFonts w:ascii="標楷體" w:eastAsia="標楷體" w:hAnsi="標楷體"/>
          <w:color w:val="000000"/>
        </w:rPr>
      </w:pPr>
      <w:r>
        <w:rPr>
          <w:rFonts w:ascii="標楷體" w:eastAsia="標楷體" w:hAnsi="標楷體"/>
          <w:color w:val="000000"/>
        </w:rPr>
        <w:t>(2)普瑞德威利氏症候群患者容易發生睡眠窒息，這種現象或許治療後可減輕。最近發現年幼之患者可能因為一般之上呼吸道感染而引發猝死，也曾經發生在生長激素治療中的病人身上。目前並不</w:t>
      </w:r>
      <w:proofErr w:type="gramStart"/>
      <w:r>
        <w:rPr>
          <w:rFonts w:ascii="標楷體" w:eastAsia="標楷體" w:hAnsi="標楷體"/>
          <w:color w:val="000000"/>
        </w:rPr>
        <w:t>清楚生長激素</w:t>
      </w:r>
      <w:proofErr w:type="gramEnd"/>
      <w:r>
        <w:rPr>
          <w:rFonts w:ascii="標楷體" w:eastAsia="標楷體" w:hAnsi="標楷體"/>
          <w:color w:val="000000"/>
        </w:rPr>
        <w:t>治療是否會改變猝死的發生，故不論是否接受治療，都需要提醒普瑞德威利氏症候群年幼患者之家長，在患者有呼吸道問題時需要特別的注意。</w:t>
      </w:r>
    </w:p>
    <w:p w14:paraId="7BE210A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5.4.2.Bromocriptine：</w:t>
      </w:r>
    </w:p>
    <w:p w14:paraId="2AA5D5A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如用於產後正常性</w:t>
      </w:r>
      <w:proofErr w:type="gramStart"/>
      <w:r>
        <w:rPr>
          <w:rFonts w:ascii="標楷體" w:eastAsia="標楷體" w:hAnsi="標楷體"/>
          <w:color w:val="000000"/>
        </w:rPr>
        <w:t>泌</w:t>
      </w:r>
      <w:proofErr w:type="gramEnd"/>
      <w:r>
        <w:rPr>
          <w:rFonts w:ascii="標楷體" w:eastAsia="標楷體" w:hAnsi="標楷體"/>
          <w:color w:val="000000"/>
        </w:rPr>
        <w:t>乳之抑制，不予給付。</w:t>
      </w:r>
    </w:p>
    <w:p w14:paraId="3702FCD4" w14:textId="77777777" w:rsidR="00401786" w:rsidRDefault="00C64FB3" w:rsidP="0009639E">
      <w:pPr>
        <w:spacing w:line="300" w:lineRule="exact"/>
        <w:ind w:left="672" w:hanging="386"/>
      </w:pPr>
      <w:r>
        <w:rPr>
          <w:rFonts w:ascii="標楷體" w:eastAsia="標楷體" w:hAnsi="標楷體"/>
        </w:rPr>
        <w:t xml:space="preserve">5.4.3.Octreotide </w:t>
      </w:r>
      <w:proofErr w:type="spellStart"/>
      <w:r>
        <w:rPr>
          <w:rFonts w:ascii="標楷體" w:eastAsia="標楷體" w:hAnsi="標楷體"/>
        </w:rPr>
        <w:t>inj</w:t>
      </w:r>
      <w:proofErr w:type="spellEnd"/>
      <w:r>
        <w:rPr>
          <w:rFonts w:ascii="標楷體" w:eastAsia="標楷體" w:hAnsi="標楷體"/>
        </w:rPr>
        <w:t xml:space="preserve"> (如</w:t>
      </w:r>
      <w:proofErr w:type="spellStart"/>
      <w:r>
        <w:rPr>
          <w:rFonts w:ascii="標楷體" w:eastAsia="標楷體" w:hAnsi="標楷體"/>
        </w:rPr>
        <w:t>Sandostatin</w:t>
      </w:r>
      <w:proofErr w:type="spellEnd"/>
      <w:r>
        <w:rPr>
          <w:rFonts w:ascii="標楷體" w:eastAsia="標楷體" w:hAnsi="標楷體"/>
        </w:rPr>
        <w:t xml:space="preserve"> </w:t>
      </w:r>
      <w:proofErr w:type="spellStart"/>
      <w:r>
        <w:rPr>
          <w:rFonts w:ascii="標楷體" w:eastAsia="標楷體" w:hAnsi="標楷體"/>
        </w:rPr>
        <w:t>inj</w:t>
      </w:r>
      <w:proofErr w:type="spellEnd"/>
      <w:r>
        <w:rPr>
          <w:rFonts w:ascii="標楷體" w:eastAsia="標楷體" w:hAnsi="標楷體"/>
        </w:rPr>
        <w:t>) 限：（87/11/1、102/1/1）</w:t>
      </w:r>
    </w:p>
    <w:p w14:paraId="08AA269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1.對手術、放射線療法或dopamine作用劑療法控制無效</w:t>
      </w:r>
      <w:proofErr w:type="gramStart"/>
      <w:r>
        <w:rPr>
          <w:rFonts w:ascii="標楷體" w:eastAsia="標楷體" w:hAnsi="標楷體"/>
          <w:color w:val="000000"/>
        </w:rPr>
        <w:t>的肢端肥大</w:t>
      </w:r>
      <w:proofErr w:type="gramEnd"/>
      <w:r>
        <w:rPr>
          <w:rFonts w:ascii="標楷體" w:eastAsia="標楷體" w:hAnsi="標楷體"/>
          <w:color w:val="000000"/>
        </w:rPr>
        <w:t>症患者。</w:t>
      </w:r>
    </w:p>
    <w:p w14:paraId="02970C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2.預防胰臟手術後的併發症，最長使用七天。</w:t>
      </w:r>
    </w:p>
    <w:p w14:paraId="77CB4E0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3.使用</w:t>
      </w:r>
      <w:proofErr w:type="gramStart"/>
      <w:r>
        <w:rPr>
          <w:rFonts w:ascii="標楷體" w:eastAsia="標楷體" w:hAnsi="標楷體"/>
          <w:color w:val="000000"/>
        </w:rPr>
        <w:t>於胃、</w:t>
      </w:r>
      <w:proofErr w:type="gramEnd"/>
      <w:r>
        <w:rPr>
          <w:rFonts w:ascii="標楷體" w:eastAsia="標楷體" w:hAnsi="標楷體"/>
          <w:color w:val="000000"/>
        </w:rPr>
        <w:t>食道靜脈曲張出血，最長以三天為原則。</w:t>
      </w:r>
    </w:p>
    <w:p w14:paraId="4D7E4E52" w14:textId="77777777" w:rsidR="00401786" w:rsidRDefault="00C64FB3" w:rsidP="0009639E">
      <w:pPr>
        <w:spacing w:line="300" w:lineRule="exact"/>
        <w:ind w:left="811" w:hanging="245"/>
      </w:pPr>
      <w:r>
        <w:rPr>
          <w:rFonts w:ascii="標楷體" w:eastAsia="標楷體" w:hAnsi="標楷體"/>
        </w:rPr>
        <w:t>4.治療患有功能性症狀之胃、腸、胰內分泌腫瘤的患者。（102/1/1）</w:t>
      </w:r>
    </w:p>
    <w:p w14:paraId="018F8B77" w14:textId="77777777" w:rsidR="00401786" w:rsidRDefault="00C64FB3" w:rsidP="0009639E">
      <w:pPr>
        <w:spacing w:line="300" w:lineRule="exact"/>
        <w:ind w:left="672" w:hanging="386"/>
      </w:pPr>
      <w:r>
        <w:rPr>
          <w:rFonts w:ascii="標楷體" w:eastAsia="標楷體" w:hAnsi="標楷體"/>
        </w:rPr>
        <w:t>5.4.4.</w:t>
      </w:r>
      <w:r>
        <w:t xml:space="preserve"> </w:t>
      </w:r>
      <w:r>
        <w:rPr>
          <w:rFonts w:ascii="標楷體" w:eastAsia="標楷體" w:hAnsi="標楷體"/>
        </w:rPr>
        <w:t>Octreotide長效型注射劑 (如</w:t>
      </w:r>
      <w:proofErr w:type="spellStart"/>
      <w:r>
        <w:rPr>
          <w:rFonts w:ascii="標楷體" w:eastAsia="標楷體" w:hAnsi="標楷體"/>
        </w:rPr>
        <w:t>Sandostatin</w:t>
      </w:r>
      <w:proofErr w:type="spellEnd"/>
      <w:r>
        <w:rPr>
          <w:rFonts w:ascii="標楷體" w:eastAsia="標楷體" w:hAnsi="標楷體"/>
        </w:rPr>
        <w:t xml:space="preserve"> LAR Microspheres for Injection)：（89/7/1、102/1/1、104/4/1）</w:t>
      </w:r>
    </w:p>
    <w:p w14:paraId="7AE608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1.對手術、放射線療法或dopamine作用劑療法控制無效</w:t>
      </w:r>
      <w:proofErr w:type="gramStart"/>
      <w:r>
        <w:rPr>
          <w:rFonts w:ascii="標楷體" w:eastAsia="標楷體" w:hAnsi="標楷體"/>
          <w:color w:val="000000"/>
        </w:rPr>
        <w:t>的肢端肥大</w:t>
      </w:r>
      <w:proofErr w:type="gramEnd"/>
      <w:r>
        <w:rPr>
          <w:rFonts w:ascii="標楷體" w:eastAsia="標楷體" w:hAnsi="標楷體"/>
          <w:color w:val="000000"/>
        </w:rPr>
        <w:t>症患者。</w:t>
      </w:r>
    </w:p>
    <w:p w14:paraId="65DC5B43" w14:textId="77777777" w:rsidR="00401786" w:rsidRDefault="00C64FB3" w:rsidP="0009639E">
      <w:pPr>
        <w:spacing w:line="300" w:lineRule="exact"/>
        <w:ind w:left="811" w:hanging="245"/>
      </w:pPr>
      <w:r>
        <w:rPr>
          <w:rFonts w:ascii="標楷體" w:eastAsia="標楷體" w:hAnsi="標楷體"/>
        </w:rPr>
        <w:lastRenderedPageBreak/>
        <w:t>2.治療患有功能性症狀之胃、腸、胰內分泌腫瘤的患者。（102/1/1）</w:t>
      </w:r>
    </w:p>
    <w:p w14:paraId="51A5FF9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3.治療患有晚期</w:t>
      </w:r>
      <w:proofErr w:type="gramStart"/>
      <w:r>
        <w:rPr>
          <w:rFonts w:ascii="標楷體" w:eastAsia="標楷體" w:hAnsi="標楷體"/>
          <w:color w:val="000000"/>
        </w:rPr>
        <w:t>間腸(</w:t>
      </w:r>
      <w:proofErr w:type="gramEnd"/>
      <w:r>
        <w:rPr>
          <w:rFonts w:ascii="標楷體" w:eastAsia="標楷體" w:hAnsi="標楷體"/>
          <w:color w:val="000000"/>
        </w:rPr>
        <w:t>midgut)或已排除原位非</w:t>
      </w:r>
      <w:proofErr w:type="gramStart"/>
      <w:r>
        <w:rPr>
          <w:rFonts w:ascii="標楷體" w:eastAsia="標楷體" w:hAnsi="標楷體"/>
          <w:color w:val="000000"/>
        </w:rPr>
        <w:t>間腸處</w:t>
      </w:r>
      <w:proofErr w:type="gramEnd"/>
      <w:r>
        <w:rPr>
          <w:rFonts w:ascii="標楷體" w:eastAsia="標楷體" w:hAnsi="標楷體"/>
          <w:color w:val="000000"/>
        </w:rPr>
        <w:t>而原位不明之分化良好(well-differentiated)的神經內分泌瘤患者。（104/4/1）</w:t>
      </w:r>
    </w:p>
    <w:p w14:paraId="684C27E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4.需經事前審查核准後使用，每次申請以一年為限，期滿須經再次申請核准後才得以續用。（104/4/1）</w:t>
      </w:r>
    </w:p>
    <w:p w14:paraId="4CA41BD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5.用於治療</w:t>
      </w:r>
      <w:proofErr w:type="gramStart"/>
      <w:r>
        <w:rPr>
          <w:rFonts w:ascii="標楷體" w:eastAsia="標楷體" w:hAnsi="標楷體"/>
          <w:color w:val="000000"/>
        </w:rPr>
        <w:t>上述第1</w:t>
      </w:r>
      <w:proofErr w:type="gramEnd"/>
      <w:r>
        <w:rPr>
          <w:rFonts w:ascii="標楷體" w:eastAsia="標楷體" w:hAnsi="標楷體"/>
          <w:color w:val="000000"/>
        </w:rPr>
        <w:t>、2項患者時，每次注射以20 mg為原則，每次注射需間隔四</w:t>
      </w:r>
      <w:proofErr w:type="gramStart"/>
      <w:r>
        <w:rPr>
          <w:rFonts w:ascii="標楷體" w:eastAsia="標楷體" w:hAnsi="標楷體"/>
          <w:color w:val="000000"/>
        </w:rPr>
        <w:t>週</w:t>
      </w:r>
      <w:proofErr w:type="gramEnd"/>
      <w:r>
        <w:rPr>
          <w:rFonts w:ascii="標楷體" w:eastAsia="標楷體" w:hAnsi="標楷體"/>
          <w:color w:val="000000"/>
        </w:rPr>
        <w:t>；用於治療上述第3項患者時，每次注射以30 mg為原則，每次注射需間隔四</w:t>
      </w:r>
      <w:proofErr w:type="gramStart"/>
      <w:r>
        <w:rPr>
          <w:rFonts w:ascii="標楷體" w:eastAsia="標楷體" w:hAnsi="標楷體"/>
          <w:color w:val="000000"/>
        </w:rPr>
        <w:t>週</w:t>
      </w:r>
      <w:proofErr w:type="gramEnd"/>
      <w:r>
        <w:rPr>
          <w:rFonts w:ascii="標楷體" w:eastAsia="標楷體" w:hAnsi="標楷體"/>
          <w:color w:val="000000"/>
        </w:rPr>
        <w:t>。若因病情需要超過使用量，應於病歷詳細紀錄以備查核。（104/4/1）</w:t>
      </w:r>
    </w:p>
    <w:p w14:paraId="4ECCED2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5.4.5.Somatostatin：（87/11/1、89/5/1）</w:t>
      </w:r>
    </w:p>
    <w:p w14:paraId="26B3008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1.預防胰臟手術後的併發症，最長使用五天。</w:t>
      </w:r>
    </w:p>
    <w:p w14:paraId="3C27410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w:t>
      </w:r>
      <w:proofErr w:type="gramStart"/>
      <w:r>
        <w:rPr>
          <w:rFonts w:ascii="標楷體" w:eastAsia="標楷體" w:hAnsi="標楷體"/>
          <w:color w:val="000000"/>
        </w:rPr>
        <w:t>於胃、</w:t>
      </w:r>
      <w:proofErr w:type="gramEnd"/>
      <w:r>
        <w:rPr>
          <w:rFonts w:ascii="標楷體" w:eastAsia="標楷體" w:hAnsi="標楷體"/>
          <w:color w:val="000000"/>
        </w:rPr>
        <w:t>食道靜脈曲張出血最長以三天為原則。</w:t>
      </w:r>
    </w:p>
    <w:p w14:paraId="48F7C1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3.嚴重性急性消化性潰瘍出血，急性之糜爛或出血性胃炎之急性嚴重出血，經內視鏡處理</w:t>
      </w:r>
      <w:proofErr w:type="gramStart"/>
      <w:r>
        <w:rPr>
          <w:rFonts w:ascii="標楷體" w:eastAsia="標楷體" w:hAnsi="標楷體"/>
          <w:color w:val="000000"/>
        </w:rPr>
        <w:t>同時經氫離子</w:t>
      </w:r>
      <w:proofErr w:type="gramEnd"/>
      <w:r>
        <w:rPr>
          <w:rFonts w:ascii="標楷體" w:eastAsia="標楷體" w:hAnsi="標楷體"/>
          <w:color w:val="000000"/>
        </w:rPr>
        <w:t>幫浦阻斷劑或乙型組織胺受體阻斷劑注射治療仍不能止血，且不適合外科手術者，得</w:t>
      </w:r>
      <w:proofErr w:type="gramStart"/>
      <w:r>
        <w:rPr>
          <w:rFonts w:ascii="標楷體" w:eastAsia="標楷體" w:hAnsi="標楷體"/>
          <w:color w:val="000000"/>
        </w:rPr>
        <w:t>使用本品作為</w:t>
      </w:r>
      <w:proofErr w:type="gramEnd"/>
      <w:r>
        <w:rPr>
          <w:rFonts w:ascii="標楷體" w:eastAsia="標楷體" w:hAnsi="標楷體"/>
          <w:color w:val="000000"/>
        </w:rPr>
        <w:t>輔助治療三天。</w:t>
      </w:r>
    </w:p>
    <w:p w14:paraId="63C2736A" w14:textId="77777777" w:rsidR="00401786" w:rsidRDefault="00C64FB3" w:rsidP="0009639E">
      <w:pPr>
        <w:spacing w:line="300" w:lineRule="exact"/>
        <w:ind w:left="672" w:hanging="386"/>
      </w:pPr>
      <w:r>
        <w:rPr>
          <w:rFonts w:ascii="標楷體" w:eastAsia="標楷體" w:hAnsi="標楷體"/>
          <w:color w:val="000000"/>
        </w:rPr>
        <w:t>5.4.6.Lanreotide （如</w:t>
      </w:r>
      <w:proofErr w:type="spellStart"/>
      <w:r>
        <w:rPr>
          <w:rFonts w:ascii="標楷體" w:eastAsia="標楷體" w:hAnsi="標楷體"/>
          <w:color w:val="000000"/>
        </w:rPr>
        <w:t>Somatuline</w:t>
      </w:r>
      <w:proofErr w:type="spellEnd"/>
      <w:r>
        <w:rPr>
          <w:rFonts w:ascii="標楷體" w:eastAsia="標楷體" w:hAnsi="標楷體"/>
          <w:color w:val="000000"/>
        </w:rPr>
        <w:t>）：（88/6/1、89/5/1、93/12/1、98/1/1、106/8/1）</w:t>
      </w:r>
    </w:p>
    <w:p w14:paraId="35D286C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1.限使用於對手術、放射線療法或dopamine作用劑療法控制無效</w:t>
      </w:r>
      <w:proofErr w:type="gramStart"/>
      <w:r>
        <w:rPr>
          <w:rFonts w:ascii="標楷體" w:eastAsia="標楷體" w:hAnsi="標楷體"/>
          <w:color w:val="000000"/>
        </w:rPr>
        <w:t>的肢端肥大</w:t>
      </w:r>
      <w:proofErr w:type="gramEnd"/>
      <w:r>
        <w:rPr>
          <w:rFonts w:ascii="標楷體" w:eastAsia="標楷體" w:hAnsi="標楷體"/>
          <w:color w:val="000000"/>
        </w:rPr>
        <w:t>症病患。</w:t>
      </w:r>
    </w:p>
    <w:p w14:paraId="6889F90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類癌瘤</w:t>
      </w:r>
      <w:proofErr w:type="gramEnd"/>
      <w:r>
        <w:rPr>
          <w:rFonts w:ascii="標楷體" w:eastAsia="標楷體" w:hAnsi="標楷體"/>
          <w:color w:val="000000"/>
        </w:rPr>
        <w:t>患者：(93/12/1、106/8/1)</w:t>
      </w:r>
    </w:p>
    <w:p w14:paraId="102469BA" w14:textId="77777777" w:rsidR="00401786" w:rsidRDefault="00C64FB3" w:rsidP="0009639E">
      <w:pPr>
        <w:spacing w:line="300" w:lineRule="exact"/>
        <w:ind w:left="1032" w:hanging="326"/>
        <w:rPr>
          <w:rFonts w:ascii="標楷體" w:eastAsia="標楷體" w:hAnsi="標楷體"/>
          <w:color w:val="000000"/>
        </w:rPr>
      </w:pPr>
      <w:r>
        <w:rPr>
          <w:rFonts w:ascii="標楷體" w:eastAsia="標楷體" w:hAnsi="標楷體"/>
          <w:color w:val="000000"/>
        </w:rPr>
        <w:t>(1)具有功能性症狀且無法外科手術者</w:t>
      </w:r>
      <w:proofErr w:type="gramStart"/>
      <w:r>
        <w:rPr>
          <w:rFonts w:ascii="標楷體" w:eastAsia="標楷體" w:hAnsi="標楷體"/>
          <w:color w:val="000000"/>
        </w:rPr>
        <w:t>者</w:t>
      </w:r>
      <w:proofErr w:type="gramEnd"/>
      <w:r>
        <w:rPr>
          <w:rFonts w:ascii="標楷體" w:eastAsia="標楷體" w:hAnsi="標楷體"/>
          <w:color w:val="000000"/>
        </w:rPr>
        <w:t>，孕婦、小兒不得使用。</w:t>
      </w:r>
    </w:p>
    <w:p w14:paraId="5FF8BDAA" w14:textId="77777777" w:rsidR="00401786" w:rsidRDefault="00C64FB3" w:rsidP="0009639E">
      <w:pPr>
        <w:spacing w:line="300" w:lineRule="exact"/>
        <w:ind w:left="1032" w:hanging="326"/>
        <w:rPr>
          <w:rFonts w:ascii="標楷體" w:eastAsia="標楷體" w:hAnsi="標楷體"/>
          <w:color w:val="000000"/>
        </w:rPr>
      </w:pPr>
      <w:r>
        <w:rPr>
          <w:rFonts w:ascii="標楷體" w:eastAsia="標楷體" w:hAnsi="標楷體"/>
          <w:color w:val="000000"/>
        </w:rPr>
        <w:t>(2)須經事前審查核准後使用，每次申請以一年為限，期滿須經再次申請核准後，才得以續用。</w:t>
      </w:r>
    </w:p>
    <w:p w14:paraId="64910C5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3.治療無法切除、分化程度為良好或中度、局部進展或轉移性之胃、腸、胰臟神經內分泌腫瘤(GEP-NETs) (106/8/1)</w:t>
      </w:r>
    </w:p>
    <w:p w14:paraId="2B92F019"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(1)用於治療功能性患者，孕婦、小兒不得使用。</w:t>
      </w:r>
    </w:p>
    <w:p w14:paraId="3F11B30B"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(2)用於治療非功能性患者，須附6個月內somatostatin-receptor 陽性報告。</w:t>
      </w:r>
    </w:p>
    <w:p w14:paraId="250E7D2C"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(3)每月限用</w:t>
      </w:r>
      <w:proofErr w:type="spellStart"/>
      <w:r>
        <w:rPr>
          <w:rFonts w:ascii="標楷體" w:eastAsia="標楷體" w:hAnsi="標楷體"/>
          <w:color w:val="000000"/>
        </w:rPr>
        <w:t>lanreotide</w:t>
      </w:r>
      <w:proofErr w:type="spellEnd"/>
      <w:r>
        <w:rPr>
          <w:rFonts w:ascii="標楷體" w:eastAsia="標楷體" w:hAnsi="標楷體"/>
          <w:color w:val="000000"/>
        </w:rPr>
        <w:t xml:space="preserve"> 120mg長效注射劑一針，每次注射間隔4</w:t>
      </w:r>
      <w:proofErr w:type="gramStart"/>
      <w:r>
        <w:rPr>
          <w:rFonts w:ascii="標楷體" w:eastAsia="標楷體" w:hAnsi="標楷體"/>
          <w:color w:val="000000"/>
        </w:rPr>
        <w:t>週</w:t>
      </w:r>
      <w:proofErr w:type="gramEnd"/>
      <w:r>
        <w:rPr>
          <w:rFonts w:ascii="標楷體" w:eastAsia="標楷體" w:hAnsi="標楷體"/>
          <w:color w:val="000000"/>
        </w:rPr>
        <w:t>。須經事前審查核准後使用，每次申請以一年為限，期滿須經再次申請核准後，才得以續用。</w:t>
      </w:r>
    </w:p>
    <w:p w14:paraId="37E4C21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5.4.7.Cabergoline (如 </w:t>
      </w:r>
      <w:proofErr w:type="spellStart"/>
      <w:r>
        <w:rPr>
          <w:rFonts w:ascii="標楷體" w:eastAsia="標楷體" w:hAnsi="標楷體"/>
          <w:color w:val="000000"/>
        </w:rPr>
        <w:t>Dostinex</w:t>
      </w:r>
      <w:proofErr w:type="spellEnd"/>
      <w:r>
        <w:rPr>
          <w:rFonts w:ascii="標楷體" w:eastAsia="標楷體" w:hAnsi="標楷體"/>
          <w:color w:val="000000"/>
        </w:rPr>
        <w:t xml:space="preserve"> Tab.</w:t>
      </w:r>
      <w:proofErr w:type="gramStart"/>
      <w:r>
        <w:rPr>
          <w:rFonts w:ascii="標楷體" w:eastAsia="標楷體" w:hAnsi="標楷體"/>
          <w:color w:val="000000"/>
        </w:rPr>
        <w:t>)：</w:t>
      </w:r>
      <w:proofErr w:type="gramEnd"/>
      <w:r>
        <w:rPr>
          <w:rFonts w:ascii="標楷體" w:eastAsia="標楷體" w:hAnsi="標楷體"/>
          <w:color w:val="000000"/>
        </w:rPr>
        <w:t>(91/6/1)</w:t>
      </w:r>
    </w:p>
    <w:p w14:paraId="5DF70D0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w:t>
      </w:r>
      <w:proofErr w:type="gramStart"/>
      <w:r>
        <w:rPr>
          <w:rFonts w:ascii="標楷體" w:eastAsia="標楷體" w:hAnsi="標楷體"/>
          <w:color w:val="000000"/>
        </w:rPr>
        <w:t>高乳促素血</w:t>
      </w:r>
      <w:proofErr w:type="gramEnd"/>
      <w:r>
        <w:rPr>
          <w:rFonts w:ascii="標楷體" w:eastAsia="標楷體" w:hAnsi="標楷體"/>
          <w:color w:val="000000"/>
        </w:rPr>
        <w:t>症引起之狀況。</w:t>
      </w:r>
    </w:p>
    <w:p w14:paraId="69BAA39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2.如用於產後正常性</w:t>
      </w:r>
      <w:proofErr w:type="gramStart"/>
      <w:r>
        <w:rPr>
          <w:rFonts w:ascii="標楷體" w:eastAsia="標楷體" w:hAnsi="標楷體"/>
          <w:color w:val="000000"/>
        </w:rPr>
        <w:t>泌</w:t>
      </w:r>
      <w:proofErr w:type="gramEnd"/>
      <w:r>
        <w:rPr>
          <w:rFonts w:ascii="標楷體" w:eastAsia="標楷體" w:hAnsi="標楷體"/>
          <w:color w:val="000000"/>
        </w:rPr>
        <w:t>乳之抑制，不予給付。</w:t>
      </w:r>
    </w:p>
    <w:p w14:paraId="3823F6CF" w14:textId="77777777" w:rsidR="00401786" w:rsidRDefault="00C64FB3" w:rsidP="0009639E">
      <w:pPr>
        <w:spacing w:line="300" w:lineRule="exact"/>
        <w:ind w:left="567" w:hanging="245"/>
        <w:rPr>
          <w:rFonts w:ascii="標楷體" w:eastAsia="標楷體" w:hAnsi="標楷體"/>
          <w:color w:val="000000"/>
        </w:rPr>
      </w:pPr>
      <w:r>
        <w:rPr>
          <w:rFonts w:ascii="標楷體" w:eastAsia="標楷體" w:hAnsi="標楷體"/>
          <w:color w:val="000000"/>
        </w:rPr>
        <w:t xml:space="preserve">5.4.8. </w:t>
      </w:r>
      <w:proofErr w:type="spellStart"/>
      <w:r>
        <w:rPr>
          <w:rFonts w:ascii="標楷體" w:eastAsia="標楷體" w:hAnsi="標楷體"/>
          <w:color w:val="000000"/>
        </w:rPr>
        <w:t>Pasireotide</w:t>
      </w:r>
      <w:proofErr w:type="spellEnd"/>
      <w:r>
        <w:rPr>
          <w:rFonts w:ascii="標楷體" w:eastAsia="標楷體" w:hAnsi="標楷體"/>
          <w:color w:val="000000"/>
        </w:rPr>
        <w:t>：(如</w:t>
      </w:r>
      <w:proofErr w:type="spellStart"/>
      <w:r>
        <w:rPr>
          <w:rFonts w:ascii="標楷體" w:eastAsia="標楷體" w:hAnsi="標楷體"/>
          <w:color w:val="000000"/>
        </w:rPr>
        <w:t>Signifor</w:t>
      </w:r>
      <w:proofErr w:type="spellEnd"/>
      <w:r>
        <w:rPr>
          <w:rFonts w:ascii="標楷體" w:eastAsia="標楷體" w:hAnsi="標楷體"/>
          <w:color w:val="000000"/>
        </w:rPr>
        <w:t>) (103/7/1、106/10/1</w:t>
      </w:r>
      <w:proofErr w:type="gramStart"/>
      <w:r>
        <w:rPr>
          <w:rFonts w:ascii="標楷體" w:eastAsia="標楷體" w:hAnsi="標楷體"/>
          <w:color w:val="000000"/>
        </w:rPr>
        <w:t>）</w:t>
      </w:r>
      <w:proofErr w:type="gramEnd"/>
    </w:p>
    <w:p w14:paraId="56C03A3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1.限用於治療無法接受腦下垂體手術或已接受此手術未能治療的庫欣氏病 (Cushing's disease)患者。</w:t>
      </w:r>
    </w:p>
    <w:p w14:paraId="27853F3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2.限內分泌及神經外科專科醫師使用。</w:t>
      </w:r>
    </w:p>
    <w:p w14:paraId="3DD723E1" w14:textId="77777777" w:rsidR="00401786" w:rsidRDefault="00C64FB3" w:rsidP="0009639E">
      <w:pPr>
        <w:spacing w:line="300" w:lineRule="exact"/>
        <w:ind w:left="567" w:hanging="245"/>
        <w:rPr>
          <w:rFonts w:ascii="標楷體" w:eastAsia="標楷體" w:hAnsi="標楷體"/>
          <w:color w:val="000000"/>
        </w:rPr>
      </w:pPr>
      <w:r>
        <w:rPr>
          <w:rFonts w:ascii="標楷體" w:eastAsia="標楷體" w:hAnsi="標楷體"/>
          <w:color w:val="000000"/>
        </w:rPr>
        <w:t>5.4.9.Pasireotide長</w:t>
      </w:r>
      <w:proofErr w:type="gramStart"/>
      <w:r>
        <w:rPr>
          <w:rFonts w:ascii="標楷體" w:eastAsia="標楷體" w:hAnsi="標楷體"/>
          <w:color w:val="000000"/>
        </w:rPr>
        <w:t>效緩釋注射</w:t>
      </w:r>
      <w:proofErr w:type="gramEnd"/>
      <w:r>
        <w:rPr>
          <w:rFonts w:ascii="標楷體" w:eastAsia="標楷體" w:hAnsi="標楷體"/>
          <w:color w:val="000000"/>
        </w:rPr>
        <w:t>劑 (如</w:t>
      </w:r>
      <w:proofErr w:type="spellStart"/>
      <w:r>
        <w:rPr>
          <w:rFonts w:ascii="標楷體" w:eastAsia="標楷體" w:hAnsi="標楷體"/>
          <w:color w:val="000000"/>
        </w:rPr>
        <w:t>Signifor</w:t>
      </w:r>
      <w:proofErr w:type="spellEnd"/>
      <w:r>
        <w:rPr>
          <w:rFonts w:ascii="標楷體" w:eastAsia="標楷體" w:hAnsi="標楷體"/>
          <w:color w:val="000000"/>
        </w:rPr>
        <w:t xml:space="preserve"> LAR)：(108/12/1</w:t>
      </w:r>
      <w:proofErr w:type="gramStart"/>
      <w:r>
        <w:rPr>
          <w:rFonts w:ascii="標楷體" w:eastAsia="標楷體" w:hAnsi="標楷體"/>
          <w:color w:val="000000"/>
        </w:rPr>
        <w:t>）</w:t>
      </w:r>
      <w:proofErr w:type="gramEnd"/>
    </w:p>
    <w:p w14:paraId="01885518"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1.對手術反應不佳和/或無法接受手術治療，且以另一種</w:t>
      </w:r>
      <w:proofErr w:type="gramStart"/>
      <w:r>
        <w:rPr>
          <w:rFonts w:ascii="標楷體" w:eastAsia="標楷體" w:hAnsi="標楷體"/>
          <w:color w:val="000000"/>
        </w:rPr>
        <w:t>體抑素類似</w:t>
      </w:r>
      <w:proofErr w:type="gramEnd"/>
      <w:r>
        <w:rPr>
          <w:rFonts w:ascii="標楷體" w:eastAsia="標楷體" w:hAnsi="標楷體"/>
          <w:color w:val="000000"/>
        </w:rPr>
        <w:t>物(somatostatin analogue)治療控制不良</w:t>
      </w:r>
      <w:proofErr w:type="gramStart"/>
      <w:r>
        <w:rPr>
          <w:rFonts w:ascii="標楷體" w:eastAsia="標楷體" w:hAnsi="標楷體"/>
          <w:color w:val="000000"/>
        </w:rPr>
        <w:t>之肢端</w:t>
      </w:r>
      <w:proofErr w:type="gramEnd"/>
      <w:r>
        <w:rPr>
          <w:rFonts w:ascii="標楷體" w:eastAsia="標楷體" w:hAnsi="標楷體"/>
          <w:color w:val="000000"/>
        </w:rPr>
        <w:t>肥大症成人患者。</w:t>
      </w:r>
    </w:p>
    <w:p w14:paraId="663531D7"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2.每年至多使用13支。</w:t>
      </w:r>
    </w:p>
    <w:p w14:paraId="21C5E0D2"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3.限內分泌及神經外科專科醫師使用。</w:t>
      </w:r>
    </w:p>
    <w:p w14:paraId="3F4EA3D1"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4.須經事前審查核准後使用，每一年須重新申請。</w:t>
      </w:r>
    </w:p>
    <w:p w14:paraId="46EF665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5.5.其他  Miscellaneous</w:t>
      </w:r>
    </w:p>
    <w:p w14:paraId="6936C4AA" w14:textId="77777777" w:rsidR="00401786" w:rsidRDefault="00C64FB3" w:rsidP="0009639E">
      <w:pPr>
        <w:spacing w:line="300" w:lineRule="exact"/>
        <w:ind w:left="567" w:hanging="281"/>
        <w:rPr>
          <w:rFonts w:ascii="標楷體" w:eastAsia="標楷體" w:hAnsi="標楷體"/>
          <w:color w:val="000000"/>
        </w:rPr>
      </w:pPr>
      <w:r>
        <w:rPr>
          <w:rFonts w:ascii="標楷體" w:eastAsia="標楷體" w:hAnsi="標楷體"/>
          <w:color w:val="000000"/>
        </w:rPr>
        <w:t xml:space="preserve">5.5.1.Gn-RH analogue </w:t>
      </w:r>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Buserelin</w:t>
      </w:r>
      <w:proofErr w:type="spellEnd"/>
      <w:r>
        <w:rPr>
          <w:rFonts w:ascii="標楷體" w:eastAsia="標楷體" w:hAnsi="標楷體"/>
          <w:color w:val="000000"/>
        </w:rPr>
        <w:t>；Goserelin；Leuprorelin；Triptorelin；</w:t>
      </w:r>
      <w:proofErr w:type="spellStart"/>
      <w:r>
        <w:rPr>
          <w:rFonts w:ascii="標楷體" w:eastAsia="標楷體" w:hAnsi="標楷體"/>
          <w:color w:val="000000"/>
        </w:rPr>
        <w:t>Nafarelin</w:t>
      </w:r>
      <w:proofErr w:type="spellEnd"/>
      <w:r>
        <w:rPr>
          <w:rFonts w:ascii="標楷體" w:eastAsia="標楷體" w:hAnsi="標楷體"/>
          <w:color w:val="000000"/>
        </w:rPr>
        <w:t>(acetate)等製劑</w:t>
      </w:r>
      <w:proofErr w:type="gramStart"/>
      <w:r>
        <w:rPr>
          <w:rFonts w:ascii="標楷體" w:eastAsia="標楷體" w:hAnsi="標楷體"/>
          <w:color w:val="000000"/>
        </w:rPr>
        <w:t>）</w:t>
      </w:r>
      <w:proofErr w:type="gramEnd"/>
      <w:r>
        <w:rPr>
          <w:rFonts w:ascii="標楷體" w:eastAsia="標楷體" w:hAnsi="標楷體"/>
          <w:color w:val="000000"/>
        </w:rPr>
        <w:t>(92/1/1、93/4/1、95/4/1、98/5/1、99/2/1、99/10/1、100/2/1、106/2/1、109/2/1、110/12/1、111/2/1、113/6/1)</w:t>
      </w:r>
    </w:p>
    <w:p w14:paraId="7523A783"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本類藥品限依</w:t>
      </w:r>
      <w:proofErr w:type="gramEnd"/>
      <w:r>
        <w:rPr>
          <w:rFonts w:ascii="標楷體" w:eastAsia="標楷體" w:hAnsi="標楷體"/>
          <w:color w:val="000000"/>
        </w:rPr>
        <w:t>藥品許可證登載之適應症範圍內用於前列腺癌、中樞性早熟、子宮內膜異位症及停經前(或更年期前)之乳癌病例。</w:t>
      </w:r>
      <w:proofErr w:type="gramStart"/>
      <w:r>
        <w:rPr>
          <w:rFonts w:ascii="標楷體" w:eastAsia="標楷體" w:hAnsi="標楷體"/>
          <w:color w:val="000000"/>
        </w:rPr>
        <w:t>（</w:t>
      </w:r>
      <w:proofErr w:type="gramEnd"/>
      <w:r>
        <w:rPr>
          <w:rFonts w:ascii="標楷體" w:eastAsia="標楷體" w:hAnsi="標楷體"/>
          <w:color w:val="000000"/>
        </w:rPr>
        <w:t>85/1/1、98/5/1、106/2/1、113/6/1)</w:t>
      </w:r>
    </w:p>
    <w:p w14:paraId="73DE5329"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本類製</w:t>
      </w:r>
      <w:proofErr w:type="gramEnd"/>
      <w:r>
        <w:rPr>
          <w:rFonts w:ascii="標楷體" w:eastAsia="標楷體" w:hAnsi="標楷體"/>
          <w:color w:val="000000"/>
        </w:rPr>
        <w:t>劑用於中樞性早熟、乳癌及子宮內膜異位症病例需經事前審查核准後依下列規範使用(98/5/1、99/10/1)：</w:t>
      </w:r>
    </w:p>
    <w:p w14:paraId="33292E6D"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lastRenderedPageBreak/>
        <w:t>(1)中樞性早熟</w:t>
      </w:r>
    </w:p>
    <w:p w14:paraId="4DE6E00B"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Ⅰ.診斷：中樞性早熟（central precocious puberty, CPP）LHRH測驗呈LH反應最高值</w:t>
      </w:r>
      <w:proofErr w:type="gramStart"/>
      <w:r>
        <w:rPr>
          <w:rFonts w:ascii="標楷體" w:eastAsia="標楷體" w:hAnsi="標楷體"/>
          <w:color w:val="000000"/>
        </w:rPr>
        <w:t>≧</w:t>
      </w:r>
      <w:proofErr w:type="gramEnd"/>
      <w:r>
        <w:rPr>
          <w:rFonts w:ascii="標楷體" w:eastAsia="標楷體" w:hAnsi="標楷體"/>
          <w:color w:val="000000"/>
        </w:rPr>
        <w:t xml:space="preserve">10 </w:t>
      </w:r>
      <w:proofErr w:type="spellStart"/>
      <w:r>
        <w:rPr>
          <w:rFonts w:ascii="標楷體" w:eastAsia="標楷體" w:hAnsi="標楷體"/>
          <w:color w:val="000000"/>
        </w:rPr>
        <w:t>mIU</w:t>
      </w:r>
      <w:proofErr w:type="spellEnd"/>
      <w:r>
        <w:rPr>
          <w:rFonts w:ascii="標楷體" w:eastAsia="標楷體" w:hAnsi="標楷體"/>
          <w:color w:val="000000"/>
        </w:rPr>
        <w:t>/mL且合併第二性</w:t>
      </w:r>
      <w:proofErr w:type="gramStart"/>
      <w:r>
        <w:rPr>
          <w:rFonts w:ascii="標楷體" w:eastAsia="標楷體" w:hAnsi="標楷體"/>
          <w:color w:val="000000"/>
        </w:rPr>
        <w:t>徵</w:t>
      </w:r>
      <w:proofErr w:type="gramEnd"/>
      <w:r>
        <w:rPr>
          <w:rFonts w:ascii="標楷體" w:eastAsia="標楷體" w:hAnsi="標楷體"/>
          <w:color w:val="000000"/>
        </w:rPr>
        <w:t>。包括特發性   (Idiopathic CPP, ICPP) 和病理性(Pathologic CPP, PCPP)</w:t>
      </w:r>
    </w:p>
    <w:p w14:paraId="2D2DD4AC"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Ⅱ.治療條件：</w:t>
      </w:r>
    </w:p>
    <w:p w14:paraId="524499AF" w14:textId="77777777" w:rsidR="00401786" w:rsidRDefault="00C64FB3" w:rsidP="0009639E">
      <w:pPr>
        <w:spacing w:line="300" w:lineRule="exact"/>
        <w:ind w:left="1416" w:hanging="28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年齡：開始發育的年齡，女孩7歲以下，男孩8</w:t>
      </w:r>
      <w:proofErr w:type="gramStart"/>
      <w:r>
        <w:rPr>
          <w:rFonts w:ascii="標楷體" w:eastAsia="標楷體" w:hAnsi="標楷體"/>
          <w:color w:val="000000"/>
        </w:rPr>
        <w:t>歲以下(</w:t>
      </w:r>
      <w:proofErr w:type="gramEnd"/>
      <w:r>
        <w:rPr>
          <w:rFonts w:ascii="標楷體" w:eastAsia="標楷體" w:hAnsi="標楷體"/>
          <w:color w:val="000000"/>
        </w:rPr>
        <w:t>111/2/1)。</w:t>
      </w:r>
    </w:p>
    <w:p w14:paraId="2CC8A831" w14:textId="77777777" w:rsidR="00401786" w:rsidRDefault="00C64FB3" w:rsidP="0009639E">
      <w:pPr>
        <w:spacing w:line="300" w:lineRule="exact"/>
        <w:ind w:left="1416" w:hanging="281"/>
        <w:rPr>
          <w:rFonts w:ascii="標楷體" w:eastAsia="標楷體" w:hAnsi="標楷體"/>
          <w:color w:val="000000"/>
        </w:rPr>
      </w:pPr>
      <w:r>
        <w:rPr>
          <w:rFonts w:ascii="標楷體" w:eastAsia="標楷體" w:hAnsi="標楷體"/>
          <w:color w:val="000000"/>
        </w:rPr>
        <w:t>ii.</w:t>
      </w:r>
      <w:proofErr w:type="gramStart"/>
      <w:r>
        <w:rPr>
          <w:rFonts w:ascii="標楷體" w:eastAsia="標楷體" w:hAnsi="標楷體"/>
          <w:color w:val="000000"/>
        </w:rPr>
        <w:t>骨齡加速</w:t>
      </w:r>
      <w:proofErr w:type="gramEnd"/>
      <w:r>
        <w:rPr>
          <w:rFonts w:ascii="標楷體" w:eastAsia="標楷體" w:hAnsi="標楷體"/>
          <w:color w:val="000000"/>
        </w:rPr>
        <w:t>：較年齡至少超前二年。</w:t>
      </w:r>
    </w:p>
    <w:p w14:paraId="28E91C92" w14:textId="77777777" w:rsidR="00401786" w:rsidRDefault="00C64FB3" w:rsidP="0009639E">
      <w:pPr>
        <w:spacing w:line="300" w:lineRule="exact"/>
        <w:ind w:left="1416" w:hanging="281"/>
        <w:rPr>
          <w:rFonts w:ascii="標楷體" w:eastAsia="標楷體" w:hAnsi="標楷體"/>
          <w:color w:val="000000"/>
        </w:rPr>
      </w:pPr>
      <w:r>
        <w:rPr>
          <w:rFonts w:ascii="標楷體" w:eastAsia="標楷體" w:hAnsi="標楷體"/>
          <w:color w:val="000000"/>
        </w:rPr>
        <w:t>iii.預估成人身高需兼具下列3條件：(95/4/1)</w:t>
      </w:r>
    </w:p>
    <w:p w14:paraId="11F9CC6E" w14:textId="77777777" w:rsidR="00401786" w:rsidRDefault="00C64FB3" w:rsidP="0009639E">
      <w:pPr>
        <w:spacing w:line="300" w:lineRule="exact"/>
        <w:ind w:left="1699" w:hanging="281"/>
        <w:rPr>
          <w:rFonts w:ascii="標楷體" w:eastAsia="標楷體" w:hAnsi="標楷體"/>
          <w:color w:val="000000"/>
        </w:rPr>
      </w:pPr>
      <w:r>
        <w:rPr>
          <w:rFonts w:ascii="標楷體" w:eastAsia="標楷體" w:hAnsi="標楷體"/>
          <w:color w:val="000000"/>
        </w:rPr>
        <w:t>a.女</w:t>
      </w:r>
      <w:proofErr w:type="gramStart"/>
      <w:r>
        <w:rPr>
          <w:rFonts w:ascii="標楷體" w:eastAsia="標楷體" w:hAnsi="標楷體"/>
          <w:color w:val="000000"/>
        </w:rPr>
        <w:t>≦</w:t>
      </w:r>
      <w:proofErr w:type="gramEnd"/>
      <w:r>
        <w:rPr>
          <w:rFonts w:ascii="標楷體" w:eastAsia="標楷體" w:hAnsi="標楷體"/>
          <w:color w:val="000000"/>
        </w:rPr>
        <w:t>一五三</w:t>
      </w:r>
      <w:proofErr w:type="gramStart"/>
      <w:r>
        <w:rPr>
          <w:rFonts w:ascii="標楷體" w:eastAsia="標楷體" w:hAnsi="標楷體"/>
          <w:color w:val="000000"/>
        </w:rPr>
        <w:t>公分，男≦</w:t>
      </w:r>
      <w:proofErr w:type="gramEnd"/>
      <w:r>
        <w:rPr>
          <w:rFonts w:ascii="標楷體" w:eastAsia="標楷體" w:hAnsi="標楷體"/>
          <w:color w:val="000000"/>
        </w:rPr>
        <w:t>一六五公分</w:t>
      </w:r>
    </w:p>
    <w:p w14:paraId="37246510" w14:textId="77777777" w:rsidR="00401786" w:rsidRDefault="00C64FB3" w:rsidP="0009639E">
      <w:pPr>
        <w:spacing w:line="300" w:lineRule="exact"/>
        <w:ind w:left="1699" w:hanging="281"/>
        <w:rPr>
          <w:rFonts w:ascii="標楷體" w:eastAsia="標楷體" w:hAnsi="標楷體"/>
          <w:color w:val="000000"/>
        </w:rPr>
      </w:pPr>
      <w:r>
        <w:rPr>
          <w:rFonts w:ascii="標楷體" w:eastAsia="標楷體" w:hAnsi="標楷體"/>
          <w:color w:val="000000"/>
        </w:rPr>
        <w:t>b.比標的身高（target height，TH）至少相同或較矮；TH=【父親身高＋母親身高＋11（男）－11（女）】÷ 2。</w:t>
      </w:r>
    </w:p>
    <w:p w14:paraId="0A45ED22" w14:textId="77777777" w:rsidR="00401786" w:rsidRDefault="00C64FB3" w:rsidP="0009639E">
      <w:pPr>
        <w:spacing w:line="300" w:lineRule="exact"/>
        <w:ind w:left="1699" w:hanging="281"/>
        <w:rPr>
          <w:rFonts w:ascii="標楷體" w:eastAsia="標楷體" w:hAnsi="標楷體"/>
          <w:color w:val="000000"/>
        </w:rPr>
      </w:pPr>
      <w:r>
        <w:rPr>
          <w:rFonts w:ascii="標楷體" w:eastAsia="標楷體" w:hAnsi="標楷體"/>
          <w:color w:val="000000"/>
        </w:rPr>
        <w:t>c.在追蹤六至十二</w:t>
      </w:r>
      <w:proofErr w:type="gramStart"/>
      <w:r>
        <w:rPr>
          <w:rFonts w:ascii="標楷體" w:eastAsia="標楷體" w:hAnsi="標楷體"/>
          <w:color w:val="000000"/>
        </w:rPr>
        <w:t>個</w:t>
      </w:r>
      <w:proofErr w:type="gramEnd"/>
      <w:r>
        <w:rPr>
          <w:rFonts w:ascii="標楷體" w:eastAsia="標楷體" w:hAnsi="標楷體"/>
          <w:color w:val="000000"/>
        </w:rPr>
        <w:t>月</w:t>
      </w:r>
      <w:proofErr w:type="gramStart"/>
      <w:r>
        <w:rPr>
          <w:rFonts w:ascii="標楷體" w:eastAsia="標楷體" w:hAnsi="標楷體"/>
          <w:color w:val="000000"/>
        </w:rPr>
        <w:t>期間，骨齡</w:t>
      </w:r>
      <w:proofErr w:type="gramEnd"/>
      <w:r>
        <w:rPr>
          <w:rFonts w:ascii="標楷體" w:eastAsia="標楷體" w:hAnsi="標楷體"/>
          <w:color w:val="000000"/>
        </w:rPr>
        <w:t>增加與年齡增加比率</w:t>
      </w:r>
      <w:proofErr w:type="gramStart"/>
      <w:r>
        <w:rPr>
          <w:rFonts w:ascii="標楷體" w:eastAsia="標楷體" w:hAnsi="標楷體"/>
          <w:color w:val="000000"/>
        </w:rPr>
        <w:t>≧</w:t>
      </w:r>
      <w:proofErr w:type="gramEnd"/>
      <w:r>
        <w:rPr>
          <w:rFonts w:ascii="標楷體" w:eastAsia="標楷體" w:hAnsi="標楷體"/>
          <w:color w:val="000000"/>
        </w:rPr>
        <w:t>2.0，且預估身高 (PAH) 減少至少五公分。</w:t>
      </w:r>
    </w:p>
    <w:p w14:paraId="37A6EE6B" w14:textId="77777777" w:rsidR="00401786" w:rsidRDefault="00C64FB3" w:rsidP="0009639E">
      <w:pPr>
        <w:spacing w:line="300" w:lineRule="exact"/>
        <w:ind w:left="1416" w:hanging="281"/>
        <w:rPr>
          <w:rFonts w:ascii="標楷體" w:eastAsia="標楷體" w:hAnsi="標楷體"/>
          <w:color w:val="000000"/>
        </w:rPr>
      </w:pPr>
      <w:proofErr w:type="spellStart"/>
      <w:r>
        <w:rPr>
          <w:rFonts w:ascii="標楷體" w:eastAsia="標楷體" w:hAnsi="標楷體"/>
          <w:color w:val="000000"/>
        </w:rPr>
        <w:t>iv.PCPP</w:t>
      </w:r>
      <w:proofErr w:type="spellEnd"/>
      <w:r>
        <w:rPr>
          <w:rFonts w:ascii="標楷體" w:eastAsia="標楷體" w:hAnsi="標楷體"/>
          <w:color w:val="000000"/>
        </w:rPr>
        <w:t>中合併中樞神經疾病者，不受ii、iii之限制。</w:t>
      </w:r>
    </w:p>
    <w:p w14:paraId="1A155A23" w14:textId="77777777" w:rsidR="00401786" w:rsidRDefault="00C64FB3" w:rsidP="0009639E">
      <w:pPr>
        <w:spacing w:line="300" w:lineRule="exact"/>
        <w:ind w:left="1176" w:hanging="324"/>
        <w:rPr>
          <w:rFonts w:ascii="標楷體" w:eastAsia="標楷體" w:hAnsi="標楷體"/>
          <w:color w:val="000000"/>
        </w:rPr>
      </w:pPr>
      <w:r>
        <w:rPr>
          <w:rFonts w:ascii="標楷體" w:eastAsia="標楷體" w:hAnsi="標楷體"/>
          <w:color w:val="000000"/>
        </w:rPr>
        <w:t>Ⅲ.治療劑量及使用法：GnRH analogue 最高3.75 mg，每三至四</w:t>
      </w:r>
      <w:proofErr w:type="gramStart"/>
      <w:r>
        <w:rPr>
          <w:rFonts w:ascii="標楷體" w:eastAsia="標楷體" w:hAnsi="標楷體"/>
          <w:color w:val="000000"/>
        </w:rPr>
        <w:t>週</w:t>
      </w:r>
      <w:proofErr w:type="gramEnd"/>
      <w:r>
        <w:rPr>
          <w:rFonts w:ascii="標楷體" w:eastAsia="標楷體" w:hAnsi="標楷體"/>
          <w:color w:val="000000"/>
        </w:rPr>
        <w:t>注射一次 (途徑依藥廠規定)</w:t>
      </w:r>
    </w:p>
    <w:p w14:paraId="402FAD55" w14:textId="77777777" w:rsidR="00401786" w:rsidRDefault="00C64FB3" w:rsidP="0009639E">
      <w:pPr>
        <w:spacing w:line="300" w:lineRule="exact"/>
        <w:ind w:left="1176" w:hanging="324"/>
        <w:rPr>
          <w:rFonts w:ascii="標楷體" w:eastAsia="標楷體" w:hAnsi="標楷體"/>
          <w:color w:val="000000"/>
        </w:rPr>
      </w:pPr>
      <w:r>
        <w:rPr>
          <w:rFonts w:ascii="標楷體" w:eastAsia="標楷體" w:hAnsi="標楷體"/>
          <w:color w:val="000000"/>
        </w:rPr>
        <w:t>Ⅳ.治療監測：身高和體重至少每三</w:t>
      </w:r>
      <w:proofErr w:type="gramStart"/>
      <w:r>
        <w:rPr>
          <w:rFonts w:ascii="標楷體" w:eastAsia="標楷體" w:hAnsi="標楷體"/>
          <w:color w:val="000000"/>
        </w:rPr>
        <w:t>個</w:t>
      </w:r>
      <w:proofErr w:type="gramEnd"/>
      <w:r>
        <w:rPr>
          <w:rFonts w:ascii="標楷體" w:eastAsia="標楷體" w:hAnsi="標楷體"/>
          <w:color w:val="000000"/>
        </w:rPr>
        <w:t>月測量一次，</w:t>
      </w:r>
      <w:proofErr w:type="gramStart"/>
      <w:r>
        <w:rPr>
          <w:rFonts w:ascii="標楷體" w:eastAsia="標楷體" w:hAnsi="標楷體"/>
          <w:color w:val="000000"/>
        </w:rPr>
        <w:t>骨齡至少</w:t>
      </w:r>
      <w:proofErr w:type="gramEnd"/>
      <w:r>
        <w:rPr>
          <w:rFonts w:ascii="標楷體" w:eastAsia="標楷體" w:hAnsi="標楷體"/>
          <w:color w:val="000000"/>
        </w:rPr>
        <w:t>每六至十二</w:t>
      </w:r>
      <w:proofErr w:type="gramStart"/>
      <w:r>
        <w:rPr>
          <w:rFonts w:ascii="標楷體" w:eastAsia="標楷體" w:hAnsi="標楷體"/>
          <w:color w:val="000000"/>
        </w:rPr>
        <w:t>個</w:t>
      </w:r>
      <w:proofErr w:type="gramEnd"/>
      <w:r>
        <w:rPr>
          <w:rFonts w:ascii="標楷體" w:eastAsia="標楷體" w:hAnsi="標楷體"/>
          <w:color w:val="000000"/>
        </w:rPr>
        <w:t>月測定一次。</w:t>
      </w:r>
    </w:p>
    <w:p w14:paraId="00196DB3" w14:textId="77777777" w:rsidR="00401786" w:rsidRDefault="00C64FB3" w:rsidP="0009639E">
      <w:pPr>
        <w:spacing w:line="300" w:lineRule="exact"/>
        <w:ind w:left="1176" w:hanging="324"/>
        <w:rPr>
          <w:rFonts w:ascii="標楷體" w:eastAsia="標楷體" w:hAnsi="標楷體"/>
          <w:color w:val="000000"/>
        </w:rPr>
      </w:pPr>
      <w:r>
        <w:rPr>
          <w:rFonts w:ascii="標楷體" w:eastAsia="標楷體" w:hAnsi="標楷體"/>
          <w:color w:val="000000"/>
        </w:rPr>
        <w:t>Ⅴ.繼續治療條件：</w:t>
      </w:r>
    </w:p>
    <w:p w14:paraId="6A921B01" w14:textId="77777777" w:rsidR="00401786" w:rsidRDefault="00C64FB3" w:rsidP="0009639E">
      <w:pPr>
        <w:spacing w:line="300" w:lineRule="exact"/>
        <w:ind w:left="1416" w:hanging="28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.生長速率</w:t>
      </w:r>
      <w:proofErr w:type="gramStart"/>
      <w:r>
        <w:rPr>
          <w:rFonts w:ascii="標楷體" w:eastAsia="標楷體" w:hAnsi="標楷體"/>
          <w:color w:val="000000"/>
        </w:rPr>
        <w:t>≧</w:t>
      </w:r>
      <w:proofErr w:type="gramEnd"/>
      <w:r>
        <w:rPr>
          <w:rFonts w:ascii="標楷體" w:eastAsia="標楷體" w:hAnsi="標楷體"/>
          <w:color w:val="000000"/>
        </w:rPr>
        <w:t>2公分／年，</w:t>
      </w:r>
    </w:p>
    <w:p w14:paraId="0222F14D" w14:textId="77777777" w:rsidR="00401786" w:rsidRDefault="00C64FB3" w:rsidP="0009639E">
      <w:pPr>
        <w:spacing w:line="300" w:lineRule="exact"/>
        <w:ind w:left="1416" w:hanging="281"/>
        <w:rPr>
          <w:rFonts w:ascii="標楷體" w:eastAsia="標楷體" w:hAnsi="標楷體"/>
          <w:color w:val="000000"/>
        </w:rPr>
      </w:pPr>
      <w:r>
        <w:rPr>
          <w:rFonts w:ascii="標楷體" w:eastAsia="標楷體" w:hAnsi="標楷體"/>
          <w:color w:val="000000"/>
        </w:rPr>
        <w:t>ii.</w:t>
      </w:r>
      <w:proofErr w:type="gramStart"/>
      <w:r>
        <w:rPr>
          <w:rFonts w:ascii="標楷體" w:eastAsia="標楷體" w:hAnsi="標楷體"/>
          <w:color w:val="000000"/>
        </w:rPr>
        <w:t>骨齡</w:t>
      </w:r>
      <w:proofErr w:type="gramEnd"/>
      <w:r>
        <w:rPr>
          <w:rFonts w:ascii="標楷體" w:eastAsia="標楷體" w:hAnsi="標楷體"/>
          <w:color w:val="000000"/>
        </w:rPr>
        <w:t>：女14歲以下，男15歲以下(111/2/1)。</w:t>
      </w:r>
    </w:p>
    <w:p w14:paraId="118FC25C"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Ⅵ.使用醫師：限兒科</w:t>
      </w:r>
      <w:proofErr w:type="gramStart"/>
      <w:r>
        <w:rPr>
          <w:rFonts w:ascii="標楷體" w:eastAsia="標楷體" w:hAnsi="標楷體"/>
          <w:color w:val="000000"/>
        </w:rPr>
        <w:t>內分泌學次專科</w:t>
      </w:r>
      <w:proofErr w:type="gramEnd"/>
      <w:r>
        <w:rPr>
          <w:rFonts w:ascii="標楷體" w:eastAsia="標楷體" w:hAnsi="標楷體"/>
          <w:color w:val="000000"/>
        </w:rPr>
        <w:t>、兒科醫學遺傳學及</w:t>
      </w:r>
      <w:proofErr w:type="gramStart"/>
      <w:r>
        <w:rPr>
          <w:rFonts w:ascii="標楷體" w:eastAsia="標楷體" w:hAnsi="標楷體"/>
          <w:color w:val="000000"/>
        </w:rPr>
        <w:t>新陳代謝學次專科</w:t>
      </w:r>
      <w:proofErr w:type="gramEnd"/>
      <w:r>
        <w:rPr>
          <w:rFonts w:ascii="標楷體" w:eastAsia="標楷體" w:hAnsi="標楷體"/>
          <w:color w:val="000000"/>
        </w:rPr>
        <w:t>醫師或新陳代謝專科醫師。(110/12/1)</w:t>
      </w:r>
    </w:p>
    <w:p w14:paraId="531FFD6B"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Ⅶ.限地區醫院以上層級之醫院使用。(110/12/1)</w:t>
      </w:r>
    </w:p>
    <w:p w14:paraId="0D49D2FB"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(2)停經前（或更年期前）之嚴重乳癌，須完全符合以下二點：(86/9/1、99/2/1、113/6/1)</w:t>
      </w:r>
    </w:p>
    <w:p w14:paraId="642FAA3E" w14:textId="77777777" w:rsidR="00401786" w:rsidRDefault="00C64FB3" w:rsidP="0009639E">
      <w:pPr>
        <w:spacing w:line="300" w:lineRule="exact"/>
        <w:ind w:left="1217" w:hanging="365"/>
        <w:rPr>
          <w:rFonts w:ascii="標楷體" w:eastAsia="標楷體" w:hAnsi="標楷體"/>
          <w:color w:val="000000"/>
        </w:rPr>
      </w:pPr>
      <w:r>
        <w:rPr>
          <w:rFonts w:ascii="標楷體" w:eastAsia="標楷體" w:hAnsi="標楷體"/>
          <w:color w:val="000000"/>
        </w:rPr>
        <w:t>Ⅰ.荷爾蒙接受體陽性。</w:t>
      </w:r>
    </w:p>
    <w:p w14:paraId="13A2FC2B" w14:textId="77777777" w:rsidR="00401786" w:rsidRDefault="00C64FB3" w:rsidP="0009639E">
      <w:pPr>
        <w:spacing w:line="300" w:lineRule="exact"/>
        <w:ind w:left="1217" w:hanging="365"/>
        <w:rPr>
          <w:rFonts w:ascii="標楷體" w:eastAsia="標楷體" w:hAnsi="標楷體"/>
          <w:color w:val="000000"/>
        </w:rPr>
      </w:pPr>
      <w:r>
        <w:rPr>
          <w:rFonts w:ascii="標楷體" w:eastAsia="標楷體" w:hAnsi="標楷體"/>
          <w:color w:val="000000"/>
        </w:rPr>
        <w:t>Ⅱ.停經前婦女有轉移性乳癌者。(86/9/1、99/2/1、113/6/1)</w:t>
      </w:r>
    </w:p>
    <w:p w14:paraId="6EB0C9D2"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(3)停經前(或更年期前)之早期乳癌，且須完全符合以下六點：(100/2/1、106/2/1、109/2/1)</w:t>
      </w:r>
    </w:p>
    <w:p w14:paraId="0F3B7314"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Ⅰ.與tamoxifen合併使用，作為手術後取代化學治療之輔助療法。</w:t>
      </w:r>
    </w:p>
    <w:p w14:paraId="76BA8E6B"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Ⅱ.荷爾蒙接受體為強陽性：ER/PR為2+或3+。</w:t>
      </w:r>
    </w:p>
    <w:p w14:paraId="6DF69C00"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Ⅲ.Her-2 Fish檢測為陰性或IHC為1+。</w:t>
      </w:r>
    </w:p>
    <w:p w14:paraId="28CB9307"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Ⅳ.淋巴結轉移數目須</w:t>
      </w:r>
      <w:proofErr w:type="gramStart"/>
      <w:r>
        <w:rPr>
          <w:rFonts w:ascii="標楷體" w:eastAsia="標楷體" w:hAnsi="標楷體"/>
          <w:color w:val="000000"/>
        </w:rPr>
        <w:t>≦</w:t>
      </w:r>
      <w:proofErr w:type="gramEnd"/>
      <w:r>
        <w:rPr>
          <w:rFonts w:ascii="標楷體" w:eastAsia="標楷體" w:hAnsi="標楷體"/>
          <w:color w:val="000000"/>
        </w:rPr>
        <w:t>3個。</w:t>
      </w:r>
    </w:p>
    <w:p w14:paraId="24D44418"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Ⅴ.使用期限：leuprorelin、goserelin或triptorelin使用3年，tamoxifen使用5年。(106/2/1、109/2/1)</w:t>
      </w:r>
    </w:p>
    <w:p w14:paraId="7E450A4E"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Ⅵ.須事前審查，並於申請時說明無法接受化學治療之原因。</w:t>
      </w:r>
    </w:p>
    <w:p w14:paraId="39A95E61"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本品使用</w:t>
      </w:r>
      <w:proofErr w:type="gramEnd"/>
      <w:r>
        <w:rPr>
          <w:rFonts w:ascii="標楷體" w:eastAsia="標楷體" w:hAnsi="標楷體"/>
          <w:color w:val="000000"/>
        </w:rPr>
        <w:t>於子宮內膜異位症之規定：（87/10/1、98/5/1）</w:t>
      </w:r>
    </w:p>
    <w:p w14:paraId="31967573"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Ⅰ.經客觀診斷之第二期(含)以上子宮內膜異位症 (AFS修訂之評分標準（以下簡稱</w:t>
      </w:r>
      <w:proofErr w:type="spellStart"/>
      <w:r>
        <w:rPr>
          <w:rFonts w:ascii="標楷體" w:eastAsia="標楷體" w:hAnsi="標楷體"/>
          <w:color w:val="000000"/>
        </w:rPr>
        <w:t>rAFS</w:t>
      </w:r>
      <w:proofErr w:type="spellEnd"/>
      <w:r>
        <w:rPr>
          <w:rFonts w:ascii="標楷體" w:eastAsia="標楷體" w:hAnsi="標楷體"/>
          <w:color w:val="000000"/>
        </w:rPr>
        <w:t>），需附手術紀錄及病理報告證明)；且符合下列各項條件之</w:t>
      </w:r>
      <w:proofErr w:type="gramStart"/>
      <w:r>
        <w:rPr>
          <w:rFonts w:ascii="標楷體" w:eastAsia="標楷體" w:hAnsi="標楷體"/>
          <w:color w:val="000000"/>
        </w:rPr>
        <w:t>一</w:t>
      </w:r>
      <w:proofErr w:type="gramEnd"/>
      <w:r>
        <w:rPr>
          <w:rFonts w:ascii="標楷體" w:eastAsia="標楷體" w:hAnsi="標楷體"/>
          <w:color w:val="000000"/>
        </w:rPr>
        <w:t>者，需經事前審查核准後使用GnRH analogue。</w:t>
      </w:r>
    </w:p>
    <w:p w14:paraId="742477D1" w14:textId="77777777" w:rsidR="00401786" w:rsidRDefault="00C64FB3" w:rsidP="0009639E">
      <w:pPr>
        <w:spacing w:line="300" w:lineRule="exact"/>
        <w:ind w:left="1275" w:hanging="28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.肝機能不全（ALT或AST大於正常值三倍）、腎功能不全（creatinine &gt; 2 mg %）、鬱血性心臟病，不適用各種荷爾蒙藥物治療者。</w:t>
      </w:r>
    </w:p>
    <w:p w14:paraId="36159239" w14:textId="77777777" w:rsidR="00401786" w:rsidRDefault="00C64FB3" w:rsidP="0009639E">
      <w:pPr>
        <w:spacing w:line="300" w:lineRule="exact"/>
        <w:ind w:left="1275" w:hanging="281"/>
        <w:rPr>
          <w:rFonts w:ascii="標楷體" w:eastAsia="標楷體" w:hAnsi="標楷體"/>
          <w:color w:val="000000"/>
        </w:rPr>
      </w:pPr>
      <w:r>
        <w:rPr>
          <w:rFonts w:ascii="標楷體" w:eastAsia="標楷體" w:hAnsi="標楷體"/>
          <w:color w:val="000000"/>
        </w:rPr>
        <w:t>ii.曾使用各種荷爾蒙藥物治療，引起藥物過敏或不可逆之藥物不良反應者。</w:t>
      </w:r>
    </w:p>
    <w:p w14:paraId="749773F0"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Ⅱ.前項藥物治療以連續六個月為上限。</w:t>
      </w:r>
    </w:p>
    <w:p w14:paraId="7147B938"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 xml:space="preserve">5.5.1.1.Degarelix（如Firmagon）：（103/9/1） </w:t>
      </w:r>
    </w:p>
    <w:p w14:paraId="67997D12" w14:textId="77777777" w:rsidR="00401786" w:rsidRDefault="00C64FB3" w:rsidP="0009639E">
      <w:pPr>
        <w:spacing w:line="300" w:lineRule="exact"/>
        <w:ind w:left="989" w:hanging="139"/>
        <w:rPr>
          <w:rFonts w:ascii="標楷體" w:eastAsia="標楷體" w:hAnsi="標楷體"/>
          <w:color w:val="000000"/>
        </w:rPr>
      </w:pPr>
      <w:r>
        <w:rPr>
          <w:rFonts w:ascii="標楷體" w:eastAsia="標楷體" w:hAnsi="標楷體"/>
          <w:color w:val="000000"/>
        </w:rPr>
        <w:t>限用於成年男性晚期荷爾蒙依賴型前列腺癌患者。</w:t>
      </w:r>
    </w:p>
    <w:p w14:paraId="066012C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5.5.2.抑鈣激素製劑 (Salmon calcitonin injection)</w:t>
      </w:r>
    </w:p>
    <w:p w14:paraId="2EBC2937"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lastRenderedPageBreak/>
        <w:t>用於惡性疾病之高</w:t>
      </w:r>
      <w:proofErr w:type="gramStart"/>
      <w:r>
        <w:rPr>
          <w:rFonts w:ascii="標楷體" w:eastAsia="標楷體" w:hAnsi="標楷體"/>
          <w:color w:val="000000"/>
        </w:rPr>
        <w:t>血鈣症或</w:t>
      </w:r>
      <w:proofErr w:type="gramEnd"/>
      <w:r>
        <w:rPr>
          <w:rFonts w:ascii="標楷體" w:eastAsia="標楷體" w:hAnsi="標楷體"/>
          <w:color w:val="000000"/>
        </w:rPr>
        <w:t>變形</w:t>
      </w:r>
      <w:proofErr w:type="gramStart"/>
      <w:r>
        <w:rPr>
          <w:rFonts w:ascii="標楷體" w:eastAsia="標楷體" w:hAnsi="標楷體"/>
          <w:color w:val="000000"/>
        </w:rPr>
        <w:t>性骨炎</w:t>
      </w:r>
      <w:proofErr w:type="gramEnd"/>
      <w:r>
        <w:rPr>
          <w:rFonts w:ascii="標楷體" w:eastAsia="標楷體" w:hAnsi="標楷體"/>
          <w:color w:val="000000"/>
        </w:rPr>
        <w:t xml:space="preserve"> ( Paget's disease)（85/10/1、93/8/1、100/1/1、103/2/1）。</w:t>
      </w:r>
    </w:p>
    <w:p w14:paraId="0385F82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w:t>
      </w:r>
      <w:proofErr w:type="gramStart"/>
      <w:r>
        <w:rPr>
          <w:rFonts w:ascii="標楷體" w:eastAsia="標楷體" w:hAnsi="標楷體"/>
          <w:color w:val="000000"/>
        </w:rPr>
        <w:t>3.Bisphosphonate</w:t>
      </w:r>
      <w:proofErr w:type="gramEnd"/>
    </w:p>
    <w:p w14:paraId="458E9DF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5.5.3.1.Clodronate；pamidronate：（85/1/1、87/4/1、93/2/1、96/1/1、100/1/1）</w:t>
      </w:r>
    </w:p>
    <w:p w14:paraId="0B4F728A"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限符合下列條件之</w:t>
      </w:r>
      <w:proofErr w:type="gramStart"/>
      <w:r>
        <w:rPr>
          <w:rFonts w:ascii="標楷體" w:eastAsia="標楷體" w:hAnsi="標楷體"/>
          <w:color w:val="000000"/>
        </w:rPr>
        <w:t>一</w:t>
      </w:r>
      <w:proofErr w:type="gramEnd"/>
      <w:r>
        <w:rPr>
          <w:rFonts w:ascii="標楷體" w:eastAsia="標楷體" w:hAnsi="標楷體"/>
          <w:color w:val="000000"/>
        </w:rPr>
        <w:t xml:space="preserve">患者使用： </w:t>
      </w:r>
    </w:p>
    <w:p w14:paraId="01E9CF2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1.血清鈣濃度超過2.75 mmol/L (11.0mg %) 或游離鈣大於5.6 mg /dL者。</w:t>
      </w:r>
    </w:p>
    <w:p w14:paraId="01BC0B4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2.惡性腫瘤</w:t>
      </w:r>
      <w:proofErr w:type="gramStart"/>
      <w:r>
        <w:rPr>
          <w:rFonts w:ascii="標楷體" w:eastAsia="標楷體" w:hAnsi="標楷體"/>
          <w:color w:val="000000"/>
        </w:rPr>
        <w:t>之蝕骨性</w:t>
      </w:r>
      <w:proofErr w:type="gramEnd"/>
      <w:r>
        <w:rPr>
          <w:rFonts w:ascii="標楷體" w:eastAsia="標楷體" w:hAnsi="標楷體"/>
          <w:color w:val="000000"/>
        </w:rPr>
        <w:t>骨頭轉移之病患，在使用嗎啡、可待因等止痛劑後仍不易控制者。</w:t>
      </w:r>
    </w:p>
    <w:p w14:paraId="2609073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 Multiple Myeloma, Breast Cancer, Prostate Cancer</w:t>
      </w:r>
      <w:proofErr w:type="gramStart"/>
      <w:r>
        <w:rPr>
          <w:rFonts w:ascii="標楷體" w:eastAsia="標楷體" w:hAnsi="標楷體"/>
          <w:color w:val="000000"/>
        </w:rPr>
        <w:t>併有蝕骨性</w:t>
      </w:r>
      <w:proofErr w:type="gramEnd"/>
      <w:r>
        <w:rPr>
          <w:rFonts w:ascii="標楷體" w:eastAsia="標楷體" w:hAnsi="標楷體"/>
          <w:color w:val="000000"/>
        </w:rPr>
        <w:t>骨轉移之病患(96/1/1)。</w:t>
      </w:r>
    </w:p>
    <w:p w14:paraId="4366E62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5.5.3.2.Zoledronic acid：(93/6/1、93/12/1、96/1/1、98/6/1)</w:t>
      </w:r>
    </w:p>
    <w:p w14:paraId="5D9921B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5.5.3.2.1.Zoledronic acid 4mg/vial (如</w:t>
      </w:r>
      <w:proofErr w:type="spellStart"/>
      <w:r>
        <w:rPr>
          <w:rFonts w:ascii="標楷體" w:eastAsia="標楷體" w:hAnsi="標楷體"/>
          <w:color w:val="000000"/>
        </w:rPr>
        <w:t>Zometa</w:t>
      </w:r>
      <w:proofErr w:type="spellEnd"/>
      <w:r>
        <w:rPr>
          <w:rFonts w:ascii="標楷體" w:eastAsia="標楷體" w:hAnsi="標楷體"/>
          <w:color w:val="000000"/>
        </w:rPr>
        <w:t xml:space="preserve"> Powder For Solution For Infusion 4mg)( 98/6/1、100/1/1)</w:t>
      </w:r>
    </w:p>
    <w:p w14:paraId="56AE58DE"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限符合下列條件之</w:t>
      </w:r>
      <w:proofErr w:type="gramStart"/>
      <w:r>
        <w:rPr>
          <w:rFonts w:ascii="標楷體" w:eastAsia="標楷體" w:hAnsi="標楷體"/>
          <w:color w:val="000000"/>
        </w:rPr>
        <w:t>一</w:t>
      </w:r>
      <w:proofErr w:type="gramEnd"/>
      <w:r>
        <w:rPr>
          <w:rFonts w:ascii="標楷體" w:eastAsia="標楷體" w:hAnsi="標楷體"/>
          <w:color w:val="000000"/>
        </w:rPr>
        <w:t xml:space="preserve">患者使用： </w:t>
      </w:r>
    </w:p>
    <w:p w14:paraId="7994271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1.用於治療惡性腫瘤之高血鈣併發症 (HCM)，且限用於血清鈣濃度超過2.75 mmol/L  (11.0mg/dL) 或游離鈣大於5.6 mg/dL (93/6/1)。</w:t>
      </w:r>
    </w:p>
    <w:p w14:paraId="43ADAE5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2.Multiple Myeloma，Breast Cancer，Prostate Cancer</w:t>
      </w:r>
      <w:proofErr w:type="gramStart"/>
      <w:r>
        <w:rPr>
          <w:rFonts w:ascii="標楷體" w:eastAsia="標楷體" w:hAnsi="標楷體"/>
          <w:color w:val="000000"/>
        </w:rPr>
        <w:t>併有蝕骨性</w:t>
      </w:r>
      <w:proofErr w:type="gramEnd"/>
      <w:r>
        <w:rPr>
          <w:rFonts w:ascii="標楷體" w:eastAsia="標楷體" w:hAnsi="標楷體"/>
          <w:color w:val="000000"/>
        </w:rPr>
        <w:t>骨轉移之病患 (96/1/1)。</w:t>
      </w:r>
    </w:p>
    <w:p w14:paraId="790751B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5.5.3.2.2.Zoledronic acid 5mg (如</w:t>
      </w:r>
      <w:proofErr w:type="spellStart"/>
      <w:r>
        <w:rPr>
          <w:rFonts w:ascii="標楷體" w:eastAsia="標楷體" w:hAnsi="標楷體"/>
          <w:color w:val="000000"/>
        </w:rPr>
        <w:t>Aclasta</w:t>
      </w:r>
      <w:proofErr w:type="spellEnd"/>
      <w:r>
        <w:rPr>
          <w:rFonts w:ascii="標楷體" w:eastAsia="標楷體" w:hAnsi="標楷體"/>
          <w:color w:val="000000"/>
        </w:rPr>
        <w:t xml:space="preserve"> 5mg/100mL Solution for infusion)( 98/6/1、100/1/1)</w:t>
      </w:r>
    </w:p>
    <w:p w14:paraId="28D7E10F"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用於變形</w:t>
      </w:r>
      <w:proofErr w:type="gramStart"/>
      <w:r>
        <w:rPr>
          <w:rFonts w:ascii="標楷體" w:eastAsia="標楷體" w:hAnsi="標楷體"/>
          <w:color w:val="000000"/>
        </w:rPr>
        <w:t>性骨炎</w:t>
      </w:r>
      <w:proofErr w:type="gramEnd"/>
      <w:r>
        <w:rPr>
          <w:rFonts w:ascii="標楷體" w:eastAsia="標楷體" w:hAnsi="標楷體"/>
          <w:color w:val="000000"/>
        </w:rPr>
        <w:t>(Paget's disease)</w:t>
      </w:r>
    </w:p>
    <w:p w14:paraId="7CE1B9D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5.5.3.3.Etidronate（如</w:t>
      </w:r>
      <w:proofErr w:type="spellStart"/>
      <w:r>
        <w:rPr>
          <w:rFonts w:ascii="標楷體" w:eastAsia="標楷體" w:hAnsi="標楷體"/>
          <w:color w:val="000000"/>
        </w:rPr>
        <w:t>Etibon</w:t>
      </w:r>
      <w:proofErr w:type="spellEnd"/>
      <w:r>
        <w:rPr>
          <w:rFonts w:ascii="標楷體" w:eastAsia="標楷體" w:hAnsi="標楷體"/>
          <w:color w:val="000000"/>
        </w:rPr>
        <w:t>）：(87/10/1、100/1/1)</w:t>
      </w:r>
    </w:p>
    <w:p w14:paraId="7AA257B2"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限用於Paget</w:t>
      </w:r>
      <w:proofErr w:type="gramStart"/>
      <w:r>
        <w:rPr>
          <w:rFonts w:ascii="標楷體" w:eastAsia="標楷體" w:hAnsi="標楷體"/>
          <w:color w:val="000000"/>
        </w:rPr>
        <w:t>’</w:t>
      </w:r>
      <w:proofErr w:type="gramEnd"/>
      <w:r>
        <w:rPr>
          <w:rFonts w:ascii="標楷體" w:eastAsia="標楷體" w:hAnsi="標楷體"/>
          <w:color w:val="000000"/>
        </w:rPr>
        <w:t>s disease之症狀治療及異位性骨化症之治療。</w:t>
      </w:r>
    </w:p>
    <w:p w14:paraId="410B40A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5.5.3.4.Ibandronic acid: (96/8/1、97/8/1、100/1/1)</w:t>
      </w:r>
    </w:p>
    <w:p w14:paraId="67BCEDC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5.5.3.4.1.Ibandronic acid 2mg/2mL；6mg/6mL（如</w:t>
      </w:r>
      <w:proofErr w:type="spellStart"/>
      <w:r>
        <w:rPr>
          <w:rFonts w:ascii="標楷體" w:eastAsia="標楷體" w:hAnsi="標楷體"/>
          <w:color w:val="000000"/>
        </w:rPr>
        <w:t>Bondronat</w:t>
      </w:r>
      <w:proofErr w:type="spellEnd"/>
      <w:r>
        <w:rPr>
          <w:rFonts w:ascii="標楷體" w:eastAsia="標楷體" w:hAnsi="標楷體"/>
          <w:color w:val="000000"/>
        </w:rPr>
        <w:t xml:space="preserve"> concentrate for solution for infusion）(96/8/1、100/1/1)</w:t>
      </w:r>
    </w:p>
    <w:p w14:paraId="55FC0A8B"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限符合下列條件之</w:t>
      </w:r>
      <w:proofErr w:type="gramStart"/>
      <w:r>
        <w:rPr>
          <w:rFonts w:ascii="標楷體" w:eastAsia="標楷體" w:hAnsi="標楷體"/>
          <w:color w:val="000000"/>
        </w:rPr>
        <w:t>一</w:t>
      </w:r>
      <w:proofErr w:type="gramEnd"/>
      <w:r>
        <w:rPr>
          <w:rFonts w:ascii="標楷體" w:eastAsia="標楷體" w:hAnsi="標楷體"/>
          <w:color w:val="000000"/>
        </w:rPr>
        <w:t>患者使用：</w:t>
      </w:r>
    </w:p>
    <w:p w14:paraId="412D695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(1)限用於治療惡性腫瘤之高血鈣併發症，且限用於血清鈣濃度超過2.75 mmol/L (11.0mg/dL)或游離鈣大於5.6 mg/dL之病例。</w:t>
      </w:r>
    </w:p>
    <w:p w14:paraId="062FD9B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(2)限Breast Cancer</w:t>
      </w:r>
      <w:proofErr w:type="gramStart"/>
      <w:r>
        <w:rPr>
          <w:rFonts w:ascii="標楷體" w:eastAsia="標楷體" w:hAnsi="標楷體"/>
          <w:color w:val="000000"/>
        </w:rPr>
        <w:t>併有蝕骨性</w:t>
      </w:r>
      <w:proofErr w:type="gramEnd"/>
      <w:r>
        <w:rPr>
          <w:rFonts w:ascii="標楷體" w:eastAsia="標楷體" w:hAnsi="標楷體"/>
          <w:color w:val="000000"/>
        </w:rPr>
        <w:t>骨轉移之病患。</w:t>
      </w:r>
    </w:p>
    <w:p w14:paraId="74C045E0" w14:textId="77777777" w:rsidR="00401786" w:rsidRDefault="00C64FB3" w:rsidP="0009639E">
      <w:pPr>
        <w:spacing w:line="300" w:lineRule="exact"/>
        <w:ind w:firstLine="240"/>
        <w:rPr>
          <w:rFonts w:ascii="標楷體" w:eastAsia="標楷體" w:hAnsi="標楷體"/>
        </w:rPr>
      </w:pPr>
      <w:r>
        <w:rPr>
          <w:rFonts w:ascii="標楷體" w:eastAsia="標楷體" w:hAnsi="標楷體"/>
        </w:rPr>
        <w:t>5.5.4. Denosumab（如</w:t>
      </w:r>
      <w:proofErr w:type="spellStart"/>
      <w:r>
        <w:rPr>
          <w:rFonts w:ascii="標楷體" w:eastAsia="標楷體" w:hAnsi="標楷體"/>
        </w:rPr>
        <w:t>Xgeva</w:t>
      </w:r>
      <w:proofErr w:type="spellEnd"/>
      <w:r>
        <w:rPr>
          <w:rFonts w:ascii="標楷體" w:eastAsia="標楷體" w:hAnsi="標楷體"/>
        </w:rPr>
        <w:t>）(102/1/1、104/12/1、109/2/1、113/10/1)</w:t>
      </w:r>
    </w:p>
    <w:p w14:paraId="0F45A102"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w:t>
      </w:r>
    </w:p>
    <w:p w14:paraId="7D3E7C4D" w14:textId="77777777" w:rsidR="00401786" w:rsidRDefault="00C64FB3" w:rsidP="0009639E">
      <w:pPr>
        <w:spacing w:line="300" w:lineRule="exact"/>
        <w:ind w:left="798" w:hanging="1"/>
      </w:pPr>
      <w:r>
        <w:rPr>
          <w:rFonts w:ascii="標楷體" w:eastAsia="標楷體" w:hAnsi="標楷體"/>
        </w:rPr>
        <w:t>多發性骨髓瘤病人與乳癌、前列腺癌、肺癌、結腸直腸癌、膀胱癌、腎癌、子宮頸癌、卵巢癌、食道癌、胃癌及胰癌</w:t>
      </w:r>
      <w:proofErr w:type="gramStart"/>
      <w:r>
        <w:rPr>
          <w:rFonts w:ascii="標楷體" w:eastAsia="標楷體" w:hAnsi="標楷體"/>
        </w:rPr>
        <w:t>併有蝕骨性</w:t>
      </w:r>
      <w:proofErr w:type="gramEnd"/>
      <w:r>
        <w:rPr>
          <w:rFonts w:ascii="標楷體" w:eastAsia="標楷體" w:hAnsi="標楷體"/>
        </w:rPr>
        <w:t>骨轉移之病人。</w:t>
      </w:r>
    </w:p>
    <w:p w14:paraId="6133871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5.5.6.Rasburicase（如</w:t>
      </w:r>
      <w:proofErr w:type="spellStart"/>
      <w:r>
        <w:rPr>
          <w:rFonts w:ascii="標楷體" w:eastAsia="標楷體" w:hAnsi="標楷體"/>
          <w:color w:val="000000"/>
        </w:rPr>
        <w:t>Fasturtec</w:t>
      </w:r>
      <w:proofErr w:type="spellEnd"/>
      <w:r>
        <w:rPr>
          <w:rFonts w:ascii="標楷體" w:eastAsia="標楷體" w:hAnsi="標楷體"/>
          <w:color w:val="000000"/>
        </w:rPr>
        <w:t>注射劑）(93/5/1)</w:t>
      </w:r>
    </w:p>
    <w:p w14:paraId="10D3482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1.限用於血液腫瘤（急性白血病和high grade淋巴瘤）患者之下列情形：</w:t>
      </w:r>
    </w:p>
    <w:p w14:paraId="14844AE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(1)治療前或療程開始後，血清尿酸值高於10mg/dL；兒童高於8mg/dL者。</w:t>
      </w:r>
    </w:p>
    <w:p w14:paraId="323B2D8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(2)有心臟或腎臟衰竭，無法忍受大量靜脈輸液者。</w:t>
      </w:r>
    </w:p>
    <w:p w14:paraId="234D8BA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(3)對allopurinol過敏者。</w:t>
      </w:r>
    </w:p>
    <w:p w14:paraId="70F42F3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2.使用以每日一至二劑並以三日為限。</w:t>
      </w:r>
    </w:p>
    <w:p w14:paraId="62C3E96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5.5.7.Mecasermin（如</w:t>
      </w:r>
      <w:proofErr w:type="spellStart"/>
      <w:r>
        <w:rPr>
          <w:rFonts w:ascii="標楷體" w:eastAsia="標楷體" w:hAnsi="標楷體"/>
          <w:color w:val="000000"/>
        </w:rPr>
        <w:t>Increlex</w:t>
      </w:r>
      <w:proofErr w:type="spellEnd"/>
      <w:r>
        <w:rPr>
          <w:rFonts w:ascii="標楷體" w:eastAsia="標楷體" w:hAnsi="標楷體"/>
          <w:color w:val="000000"/>
        </w:rPr>
        <w:t>注射劑）(98/5/1、111/2/1)</w:t>
      </w:r>
    </w:p>
    <w:p w14:paraId="10DE1D0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1.限由醫學中心或區域醫院小兒內分泌或新陳代謝專科醫師實施。</w:t>
      </w:r>
    </w:p>
    <w:p w14:paraId="340BDAF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2.Primary IGF-I deficiency</w:t>
      </w:r>
    </w:p>
    <w:p w14:paraId="45DB747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(1)診斷：GH-IGF axis有明確的基因突變（即homozygotes或compound heterozygotes）（請檢附檢驗報告）。</w:t>
      </w:r>
    </w:p>
    <w:p w14:paraId="0F0FF16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(2)開始治療條件：</w:t>
      </w:r>
    </w:p>
    <w:p w14:paraId="71AD56D5" w14:textId="77777777" w:rsidR="00401786" w:rsidRDefault="00C64FB3" w:rsidP="0009639E">
      <w:pPr>
        <w:spacing w:line="300" w:lineRule="exact"/>
        <w:ind w:left="1231" w:hanging="379"/>
      </w:pPr>
      <w:r>
        <w:rPr>
          <w:rFonts w:ascii="標楷體" w:eastAsia="標楷體" w:hAnsi="標楷體"/>
          <w:color w:val="000000"/>
        </w:rPr>
        <w:t>I.</w:t>
      </w:r>
      <w:r>
        <w:t xml:space="preserve"> </w:t>
      </w:r>
      <w:r>
        <w:rPr>
          <w:rFonts w:ascii="標楷體" w:eastAsia="標楷體" w:hAnsi="標楷體"/>
          <w:color w:val="000000"/>
        </w:rPr>
        <w:t>2</w:t>
      </w:r>
      <w:proofErr w:type="gramStart"/>
      <w:r>
        <w:rPr>
          <w:rFonts w:ascii="標楷體" w:eastAsia="標楷體" w:hAnsi="標楷體"/>
          <w:color w:val="000000"/>
        </w:rPr>
        <w:t>歲以上(</w:t>
      </w:r>
      <w:proofErr w:type="gramEnd"/>
      <w:r>
        <w:rPr>
          <w:rFonts w:ascii="標楷體" w:eastAsia="標楷體" w:hAnsi="標楷體"/>
          <w:color w:val="000000"/>
        </w:rPr>
        <w:t>111/2/1)。</w:t>
      </w:r>
    </w:p>
    <w:p w14:paraId="21E915B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身高低於同性別同年齡正常孩童之-3SD。</w:t>
      </w:r>
    </w:p>
    <w:p w14:paraId="05F34D3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lastRenderedPageBreak/>
        <w:t>III.生長速率一年小於4公分，需具醫療機構之身高檢查每隔三個月一次，至少六個月以上之紀錄。</w:t>
      </w:r>
    </w:p>
    <w:p w14:paraId="61E65693"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w:t>
      </w:r>
      <w:proofErr w:type="gramStart"/>
      <w:r>
        <w:rPr>
          <w:rFonts w:ascii="標楷體" w:eastAsia="標楷體" w:hAnsi="標楷體"/>
          <w:color w:val="000000"/>
        </w:rPr>
        <w:t>骨齡比</w:t>
      </w:r>
      <w:proofErr w:type="gramEnd"/>
      <w:r>
        <w:rPr>
          <w:rFonts w:ascii="標楷體" w:eastAsia="標楷體" w:hAnsi="標楷體"/>
          <w:color w:val="000000"/>
        </w:rPr>
        <w:t>實際年齡遲緩至少二個標準差。</w:t>
      </w:r>
    </w:p>
    <w:p w14:paraId="5C94418F"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V.血清生長激素濃度之基礎值或施行生長激素刺激試驗的最高值超過10 ng/mL。</w:t>
      </w:r>
    </w:p>
    <w:p w14:paraId="3EA3E3F7"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VI.血清IGF-I基礎值低於50μg/L。</w:t>
      </w:r>
    </w:p>
    <w:p w14:paraId="306D4C7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VII.血清IGFBP-3基礎值低於1.0mg/L。</w:t>
      </w:r>
    </w:p>
    <w:p w14:paraId="6C1BC4A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VIII.IGF generation test（給予生長激素33μg/kg/day皮下注射四天）後血清IGF-I值增加不超過20μg/L。血清IGF-BP3值增加不超過0.4 mg/L。</w:t>
      </w:r>
    </w:p>
    <w:p w14:paraId="0055115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3.Isolated growth hormone deficiency type IA（GHD-IA）</w:t>
      </w:r>
    </w:p>
    <w:p w14:paraId="5A861CA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(1)診斷：GH1 gene有明確</w:t>
      </w:r>
      <w:proofErr w:type="gramStart"/>
      <w:r>
        <w:rPr>
          <w:rFonts w:ascii="標楷體" w:eastAsia="標楷體" w:hAnsi="標楷體"/>
          <w:color w:val="000000"/>
        </w:rPr>
        <w:t>的脫失突變</w:t>
      </w:r>
      <w:proofErr w:type="gramEnd"/>
      <w:r>
        <w:rPr>
          <w:rFonts w:ascii="標楷體" w:eastAsia="標楷體" w:hAnsi="標楷體"/>
          <w:color w:val="000000"/>
        </w:rPr>
        <w:t>（deletion）（請檢附檢驗報告）</w:t>
      </w:r>
    </w:p>
    <w:p w14:paraId="66051BE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(2)開始治療條件：</w:t>
      </w:r>
    </w:p>
    <w:p w14:paraId="6D0CB68C" w14:textId="77777777" w:rsidR="00401786" w:rsidRDefault="00C64FB3" w:rsidP="0009639E">
      <w:pPr>
        <w:spacing w:line="300" w:lineRule="exact"/>
        <w:ind w:left="1231" w:hanging="379"/>
      </w:pPr>
      <w:r>
        <w:rPr>
          <w:rFonts w:ascii="標楷體" w:eastAsia="標楷體" w:hAnsi="標楷體"/>
          <w:color w:val="000000"/>
        </w:rPr>
        <w:t>I.</w:t>
      </w:r>
      <w:r>
        <w:t xml:space="preserve"> </w:t>
      </w:r>
      <w:r>
        <w:rPr>
          <w:rFonts w:ascii="標楷體" w:eastAsia="標楷體" w:hAnsi="標楷體"/>
          <w:color w:val="000000"/>
        </w:rPr>
        <w:t>2</w:t>
      </w:r>
      <w:proofErr w:type="gramStart"/>
      <w:r>
        <w:rPr>
          <w:rFonts w:ascii="標楷體" w:eastAsia="標楷體" w:hAnsi="標楷體"/>
          <w:color w:val="000000"/>
        </w:rPr>
        <w:t>歲以上(</w:t>
      </w:r>
      <w:proofErr w:type="gramEnd"/>
      <w:r>
        <w:rPr>
          <w:rFonts w:ascii="標楷體" w:eastAsia="標楷體" w:hAnsi="標楷體"/>
          <w:color w:val="000000"/>
        </w:rPr>
        <w:t>111/2/1)。</w:t>
      </w:r>
    </w:p>
    <w:p w14:paraId="1BC41132"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II.身高低於同性別同年齡正常孩童之-2SD。</w:t>
      </w:r>
    </w:p>
    <w:p w14:paraId="4BD47A37"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III.生長速率一年小於4公分，需具醫療機構之身高檢查每隔三個月一次，至少六個月以上之記錄。</w:t>
      </w:r>
    </w:p>
    <w:p w14:paraId="31615BA9"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w:t>
      </w:r>
      <w:proofErr w:type="gramStart"/>
      <w:r>
        <w:rPr>
          <w:rFonts w:ascii="標楷體" w:eastAsia="標楷體" w:hAnsi="標楷體"/>
          <w:color w:val="000000"/>
        </w:rPr>
        <w:t>骨齡比</w:t>
      </w:r>
      <w:proofErr w:type="gramEnd"/>
      <w:r>
        <w:rPr>
          <w:rFonts w:ascii="標楷體" w:eastAsia="標楷體" w:hAnsi="標楷體"/>
          <w:color w:val="000000"/>
        </w:rPr>
        <w:t>實際年齡遲緩至少2個標準差。（請檢附骨齡X光片）</w:t>
      </w:r>
    </w:p>
    <w:p w14:paraId="7F062766"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V.施行insulin、clonidine、L-Dopa、glucagon、arginine等檢查，有兩項以上之檢查皆偵測不到生長激素值。</w:t>
      </w:r>
    </w:p>
    <w:p w14:paraId="2A227F6C"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VI.施予生長激素治療第一年比生長激素治療前多3公分以上，但後來以適當生長激素劑量治療，年生長速率仍小於3公分。</w:t>
      </w:r>
    </w:p>
    <w:p w14:paraId="087F266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治療劑量：不超過120μg/kg皮下注射每天兩次。</w:t>
      </w:r>
    </w:p>
    <w:p w14:paraId="10F0306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5.治療監測：病人至少每3個月測量身高體重一次，每6至12個月</w:t>
      </w:r>
      <w:proofErr w:type="gramStart"/>
      <w:r>
        <w:rPr>
          <w:rFonts w:ascii="標楷體" w:eastAsia="標楷體" w:hAnsi="標楷體"/>
          <w:color w:val="000000"/>
        </w:rPr>
        <w:t>評估骨齡一次</w:t>
      </w:r>
      <w:proofErr w:type="gramEnd"/>
      <w:r>
        <w:rPr>
          <w:rFonts w:ascii="標楷體" w:eastAsia="標楷體" w:hAnsi="標楷體"/>
          <w:color w:val="000000"/>
        </w:rPr>
        <w:t>。</w:t>
      </w:r>
    </w:p>
    <w:p w14:paraId="697DBF1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6.繼續治療條件：</w:t>
      </w:r>
    </w:p>
    <w:p w14:paraId="1819209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男童骨齡未滿</w:t>
      </w:r>
      <w:proofErr w:type="gramEnd"/>
      <w:r>
        <w:rPr>
          <w:rFonts w:ascii="標楷體" w:eastAsia="標楷體" w:hAnsi="標楷體"/>
          <w:color w:val="000000"/>
        </w:rPr>
        <w:t>16歲，女</w:t>
      </w:r>
      <w:proofErr w:type="gramStart"/>
      <w:r>
        <w:rPr>
          <w:rFonts w:ascii="標楷體" w:eastAsia="標楷體" w:hAnsi="標楷體"/>
          <w:color w:val="000000"/>
        </w:rPr>
        <w:t>童骨齡</w:t>
      </w:r>
      <w:proofErr w:type="gramEnd"/>
      <w:r>
        <w:rPr>
          <w:rFonts w:ascii="標楷體" w:eastAsia="標楷體" w:hAnsi="標楷體"/>
          <w:color w:val="000000"/>
        </w:rPr>
        <w:t>未滿14歲，</w:t>
      </w:r>
      <w:proofErr w:type="gramStart"/>
      <w:r>
        <w:rPr>
          <w:rFonts w:ascii="標楷體" w:eastAsia="標楷體" w:hAnsi="標楷體"/>
          <w:color w:val="000000"/>
        </w:rPr>
        <w:t>且骨端</w:t>
      </w:r>
      <w:proofErr w:type="gramEnd"/>
      <w:r>
        <w:rPr>
          <w:rFonts w:ascii="標楷體" w:eastAsia="標楷體" w:hAnsi="標楷體"/>
          <w:color w:val="000000"/>
        </w:rPr>
        <w:t>尚未癒合患者(111/2/1)。</w:t>
      </w:r>
    </w:p>
    <w:p w14:paraId="1702FF2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(2)第一年生長速率比治療前增加至少3公分。</w:t>
      </w:r>
    </w:p>
    <w:p w14:paraId="6903D9B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(3)第二年開始，生長速率至少4公分/年。</w:t>
      </w:r>
    </w:p>
    <w:p w14:paraId="53C3BA5D" w14:textId="77777777" w:rsidR="00401786" w:rsidRDefault="00C64FB3" w:rsidP="0009639E">
      <w:pPr>
        <w:spacing w:line="300" w:lineRule="exact"/>
        <w:ind w:left="636" w:hanging="636"/>
        <w:rPr>
          <w:rFonts w:ascii="標楷體" w:eastAsia="標楷體" w:hAnsi="標楷體"/>
          <w:kern w:val="0"/>
        </w:rPr>
      </w:pPr>
      <w:r>
        <w:rPr>
          <w:rFonts w:ascii="標楷體" w:eastAsia="標楷體" w:hAnsi="標楷體"/>
          <w:kern w:val="0"/>
        </w:rPr>
        <w:t>5.5.8.Vosoritide（如</w:t>
      </w:r>
      <w:proofErr w:type="spellStart"/>
      <w:r>
        <w:rPr>
          <w:rFonts w:ascii="標楷體" w:eastAsia="標楷體" w:hAnsi="標楷體"/>
          <w:kern w:val="0"/>
        </w:rPr>
        <w:t>Voxzogo</w:t>
      </w:r>
      <w:proofErr w:type="spellEnd"/>
      <w:r>
        <w:rPr>
          <w:rFonts w:ascii="標楷體" w:eastAsia="標楷體" w:hAnsi="標楷體"/>
          <w:kern w:val="0"/>
        </w:rPr>
        <w:t>）：（114/5/1）</w:t>
      </w:r>
    </w:p>
    <w:p w14:paraId="16D151D0" w14:textId="77777777" w:rsidR="00401786" w:rsidRDefault="00C64FB3">
      <w:pPr>
        <w:numPr>
          <w:ilvl w:val="0"/>
          <w:numId w:val="14"/>
        </w:numPr>
        <w:suppressAutoHyphens w:val="0"/>
        <w:autoSpaceDE w:val="0"/>
        <w:spacing w:line="300" w:lineRule="exact"/>
        <w:ind w:left="851" w:hanging="340"/>
        <w:textAlignment w:val="auto"/>
        <w:rPr>
          <w:rFonts w:ascii="標楷體" w:eastAsia="標楷體" w:hAnsi="標楷體"/>
        </w:rPr>
      </w:pPr>
      <w:r>
        <w:rPr>
          <w:rFonts w:ascii="標楷體" w:eastAsia="標楷體" w:hAnsi="標楷體"/>
        </w:rPr>
        <w:t>限用於經衛生福利部國民</w:t>
      </w:r>
      <w:proofErr w:type="gramStart"/>
      <w:r>
        <w:rPr>
          <w:rFonts w:ascii="標楷體" w:eastAsia="標楷體" w:hAnsi="標楷體"/>
        </w:rPr>
        <w:t>健康署</w:t>
      </w:r>
      <w:proofErr w:type="gramEnd"/>
      <w:r>
        <w:rPr>
          <w:rFonts w:ascii="標楷體" w:eastAsia="標楷體" w:hAnsi="標楷體"/>
        </w:rPr>
        <w:t>認定之2歲以上罕見疾病軟骨發育不全症（achondroplasia, ACH）</w:t>
      </w:r>
      <w:proofErr w:type="gramStart"/>
      <w:r>
        <w:rPr>
          <w:rFonts w:ascii="標楷體" w:eastAsia="標楷體" w:hAnsi="標楷體"/>
        </w:rPr>
        <w:t>且骨</w:t>
      </w:r>
      <w:proofErr w:type="gramEnd"/>
      <w:r>
        <w:rPr>
          <w:rFonts w:ascii="標楷體" w:eastAsia="標楷體" w:hAnsi="標楷體"/>
        </w:rPr>
        <w:t>骺未閉合之病人，並符合下列所有條件：</w:t>
      </w:r>
    </w:p>
    <w:p w14:paraId="773C4BBC" w14:textId="77777777" w:rsidR="00401786" w:rsidRDefault="00C64FB3">
      <w:pPr>
        <w:numPr>
          <w:ilvl w:val="0"/>
          <w:numId w:val="15"/>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經基因檢測具FGFR3基因變異者，需檢附基因診斷報告及衛生福利部國民</w:t>
      </w:r>
      <w:proofErr w:type="gramStart"/>
      <w:r>
        <w:rPr>
          <w:rFonts w:ascii="標楷體" w:eastAsia="標楷體" w:hAnsi="標楷體"/>
        </w:rPr>
        <w:t>健康署</w:t>
      </w:r>
      <w:proofErr w:type="gramEnd"/>
      <w:r>
        <w:rPr>
          <w:rFonts w:ascii="標楷體" w:eastAsia="標楷體" w:hAnsi="標楷體"/>
        </w:rPr>
        <w:t>通報通過證明。</w:t>
      </w:r>
    </w:p>
    <w:p w14:paraId="5F326DD2" w14:textId="77777777" w:rsidR="00401786" w:rsidRDefault="00C64FB3">
      <w:pPr>
        <w:numPr>
          <w:ilvl w:val="0"/>
          <w:numId w:val="15"/>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身高低於第三百分位，需</w:t>
      </w:r>
      <w:proofErr w:type="gramStart"/>
      <w:r>
        <w:rPr>
          <w:rFonts w:ascii="標楷體" w:eastAsia="標楷體" w:hAnsi="標楷體"/>
        </w:rPr>
        <w:t>檢附經地區</w:t>
      </w:r>
      <w:proofErr w:type="gramEnd"/>
      <w:r>
        <w:rPr>
          <w:rFonts w:ascii="標楷體" w:eastAsia="標楷體" w:hAnsi="標楷體"/>
        </w:rPr>
        <w:t>醫院以上每3個月追蹤1次且至少追蹤半年之身高體重紀錄。</w:t>
      </w:r>
    </w:p>
    <w:p w14:paraId="2CABFB50" w14:textId="77777777" w:rsidR="00401786" w:rsidRDefault="00C64FB3">
      <w:pPr>
        <w:numPr>
          <w:ilvl w:val="0"/>
          <w:numId w:val="15"/>
        </w:numPr>
        <w:suppressAutoHyphens w:val="0"/>
        <w:autoSpaceDE w:val="0"/>
        <w:spacing w:before="100" w:after="100" w:line="300" w:lineRule="exact"/>
        <w:ind w:left="1134" w:hanging="418"/>
        <w:textAlignment w:val="auto"/>
        <w:rPr>
          <w:rFonts w:ascii="標楷體" w:eastAsia="標楷體" w:hAnsi="標楷體"/>
        </w:rPr>
      </w:pPr>
      <w:proofErr w:type="gramStart"/>
      <w:r>
        <w:rPr>
          <w:rFonts w:ascii="標楷體" w:eastAsia="標楷體" w:hAnsi="標楷體"/>
        </w:rPr>
        <w:t>骨齡符合</w:t>
      </w:r>
      <w:proofErr w:type="gramEnd"/>
      <w:r>
        <w:rPr>
          <w:rFonts w:ascii="標楷體" w:eastAsia="標楷體" w:hAnsi="標楷體"/>
        </w:rPr>
        <w:t>下列任</w:t>
      </w:r>
      <w:proofErr w:type="gramStart"/>
      <w:r>
        <w:rPr>
          <w:rFonts w:ascii="標楷體" w:eastAsia="標楷體" w:hAnsi="標楷體"/>
        </w:rPr>
        <w:t>一</w:t>
      </w:r>
      <w:proofErr w:type="gramEnd"/>
      <w:r>
        <w:rPr>
          <w:rFonts w:ascii="標楷體" w:eastAsia="標楷體" w:hAnsi="標楷體"/>
        </w:rPr>
        <w:t>規範：</w:t>
      </w:r>
    </w:p>
    <w:p w14:paraId="5CD506B9" w14:textId="77777777" w:rsidR="00401786" w:rsidRDefault="00C64FB3">
      <w:pPr>
        <w:numPr>
          <w:ilvl w:val="0"/>
          <w:numId w:val="16"/>
        </w:numPr>
        <w:suppressAutoHyphens w:val="0"/>
        <w:autoSpaceDE w:val="0"/>
        <w:spacing w:before="100" w:after="100" w:line="300" w:lineRule="exact"/>
        <w:ind w:left="1560"/>
        <w:textAlignment w:val="auto"/>
        <w:rPr>
          <w:rFonts w:ascii="標楷體" w:eastAsia="標楷體" w:hAnsi="標楷體"/>
        </w:rPr>
      </w:pPr>
      <w:r>
        <w:rPr>
          <w:rFonts w:ascii="標楷體" w:eastAsia="標楷體" w:hAnsi="標楷體"/>
        </w:rPr>
        <w:t>女性</w:t>
      </w:r>
      <w:proofErr w:type="gramStart"/>
      <w:r>
        <w:rPr>
          <w:rFonts w:ascii="標楷體" w:eastAsia="標楷體" w:hAnsi="標楷體"/>
        </w:rPr>
        <w:t>骨齡14歲</w:t>
      </w:r>
      <w:proofErr w:type="gramEnd"/>
      <w:r>
        <w:rPr>
          <w:rFonts w:ascii="標楷體" w:eastAsia="標楷體" w:hAnsi="標楷體"/>
        </w:rPr>
        <w:t>以前，男性</w:t>
      </w:r>
      <w:proofErr w:type="gramStart"/>
      <w:r>
        <w:rPr>
          <w:rFonts w:ascii="標楷體" w:eastAsia="標楷體" w:hAnsi="標楷體"/>
        </w:rPr>
        <w:t>骨齡16歲</w:t>
      </w:r>
      <w:proofErr w:type="gramEnd"/>
      <w:r>
        <w:rPr>
          <w:rFonts w:ascii="標楷體" w:eastAsia="標楷體" w:hAnsi="標楷體"/>
        </w:rPr>
        <w:t>以前。</w:t>
      </w:r>
    </w:p>
    <w:p w14:paraId="736FDF2A" w14:textId="77777777" w:rsidR="00401786" w:rsidRDefault="00C64FB3">
      <w:pPr>
        <w:numPr>
          <w:ilvl w:val="0"/>
          <w:numId w:val="16"/>
        </w:numPr>
        <w:suppressAutoHyphens w:val="0"/>
        <w:autoSpaceDE w:val="0"/>
        <w:spacing w:before="100" w:after="100" w:line="300" w:lineRule="exact"/>
        <w:ind w:left="1560"/>
        <w:textAlignment w:val="auto"/>
        <w:rPr>
          <w:rFonts w:ascii="標楷體" w:eastAsia="標楷體" w:hAnsi="標楷體"/>
        </w:rPr>
      </w:pPr>
      <w:r>
        <w:rPr>
          <w:rFonts w:ascii="標楷體" w:eastAsia="標楷體" w:hAnsi="標楷體"/>
        </w:rPr>
        <w:t>女性</w:t>
      </w:r>
      <w:proofErr w:type="gramStart"/>
      <w:r>
        <w:rPr>
          <w:rFonts w:ascii="標楷體" w:eastAsia="標楷體" w:hAnsi="標楷體"/>
        </w:rPr>
        <w:t>骨齡14歲</w:t>
      </w:r>
      <w:proofErr w:type="gramEnd"/>
      <w:r>
        <w:rPr>
          <w:rFonts w:ascii="標楷體" w:eastAsia="標楷體" w:hAnsi="標楷體"/>
        </w:rPr>
        <w:t>以後，男性</w:t>
      </w:r>
      <w:proofErr w:type="gramStart"/>
      <w:r>
        <w:rPr>
          <w:rFonts w:ascii="標楷體" w:eastAsia="標楷體" w:hAnsi="標楷體"/>
        </w:rPr>
        <w:t>骨齡16歲</w:t>
      </w:r>
      <w:proofErr w:type="gramEnd"/>
      <w:r>
        <w:rPr>
          <w:rFonts w:ascii="標楷體" w:eastAsia="標楷體" w:hAnsi="標楷體"/>
        </w:rPr>
        <w:t>以後者，需每3個月追蹤生長速率，且至少追蹤半年，生長速率（AGV）每年需至少大於1.5公分。</w:t>
      </w:r>
    </w:p>
    <w:p w14:paraId="25D1470B"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限地區醫院以上層級具兒科遺傳學及</w:t>
      </w:r>
      <w:proofErr w:type="gramStart"/>
      <w:r>
        <w:rPr>
          <w:rFonts w:ascii="標楷體" w:eastAsia="標楷體" w:hAnsi="標楷體"/>
        </w:rPr>
        <w:t>新陳代謝學次專科</w:t>
      </w:r>
      <w:proofErr w:type="gramEnd"/>
      <w:r>
        <w:rPr>
          <w:rFonts w:ascii="標楷體" w:eastAsia="標楷體" w:hAnsi="標楷體"/>
        </w:rPr>
        <w:t>醫師使用。</w:t>
      </w:r>
    </w:p>
    <w:p w14:paraId="689F4357"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需經事前審查核准後使用，每次申請以1年為限。</w:t>
      </w:r>
    </w:p>
    <w:p w14:paraId="40E75259"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治療後未達停藥條件者，續用時需檢附療效評估資料經事前審查核准後使用。</w:t>
      </w:r>
    </w:p>
    <w:p w14:paraId="054EEFD6"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療效評估之追蹤檢查項目：</w:t>
      </w:r>
    </w:p>
    <w:p w14:paraId="40538D81" w14:textId="77777777" w:rsidR="00401786" w:rsidRDefault="00C64FB3">
      <w:pPr>
        <w:numPr>
          <w:ilvl w:val="0"/>
          <w:numId w:val="17"/>
        </w:numPr>
        <w:suppressAutoHyphens w:val="0"/>
        <w:autoSpaceDE w:val="0"/>
        <w:spacing w:before="100" w:after="100" w:line="300" w:lineRule="exact"/>
        <w:ind w:left="1134" w:hanging="425"/>
        <w:textAlignment w:val="auto"/>
        <w:rPr>
          <w:rFonts w:ascii="標楷體" w:eastAsia="標楷體" w:hAnsi="標楷體"/>
        </w:rPr>
      </w:pPr>
      <w:r>
        <w:rPr>
          <w:rFonts w:ascii="標楷體" w:eastAsia="標楷體" w:hAnsi="標楷體"/>
        </w:rPr>
        <w:t>身高體重：每3個月1次。</w:t>
      </w:r>
    </w:p>
    <w:p w14:paraId="60686082" w14:textId="77777777" w:rsidR="00401786" w:rsidRDefault="00C64FB3">
      <w:pPr>
        <w:numPr>
          <w:ilvl w:val="0"/>
          <w:numId w:val="17"/>
        </w:numPr>
        <w:suppressAutoHyphens w:val="0"/>
        <w:autoSpaceDE w:val="0"/>
        <w:spacing w:before="100" w:after="100" w:line="300" w:lineRule="exact"/>
        <w:ind w:left="1134" w:hanging="418"/>
        <w:textAlignment w:val="auto"/>
        <w:rPr>
          <w:rFonts w:ascii="標楷體" w:eastAsia="標楷體" w:hAnsi="標楷體"/>
        </w:rPr>
      </w:pPr>
      <w:proofErr w:type="gramStart"/>
      <w:r>
        <w:rPr>
          <w:rFonts w:ascii="標楷體" w:eastAsia="標楷體" w:hAnsi="標楷體"/>
        </w:rPr>
        <w:t>骨齡</w:t>
      </w:r>
      <w:proofErr w:type="gramEnd"/>
      <w:r>
        <w:rPr>
          <w:rFonts w:ascii="標楷體" w:eastAsia="標楷體" w:hAnsi="標楷體"/>
        </w:rPr>
        <w:t>：X光每6個月1次。</w:t>
      </w:r>
    </w:p>
    <w:p w14:paraId="1F4B427B"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停藥條件：</w:t>
      </w:r>
    </w:p>
    <w:p w14:paraId="254227B3"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出現嚴重過敏反應。</w:t>
      </w:r>
    </w:p>
    <w:p w14:paraId="75F9CEA6"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lastRenderedPageBreak/>
        <w:t>病人合併有其他嚴重疾病，預期無法從本藥品治療獲得長期效益，如病人長期臥床或24小時呼吸器依賴。</w:t>
      </w:r>
    </w:p>
    <w:p w14:paraId="0B79A13B"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經治療後生長速率（AGV）小於1.5公分/年。</w:t>
      </w:r>
    </w:p>
    <w:p w14:paraId="542B0FB3"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X光檢查證據顯示雙股下肢（脛骨近端、股骨遠端）生長板已閉合之病人。</w:t>
      </w:r>
    </w:p>
    <w:p w14:paraId="130639DF" w14:textId="77777777" w:rsidR="00401786" w:rsidRDefault="00C64FB3">
      <w:pPr>
        <w:pStyle w:val="af"/>
        <w:numPr>
          <w:ilvl w:val="0"/>
          <w:numId w:val="14"/>
        </w:numPr>
        <w:tabs>
          <w:tab w:val="left" w:pos="993"/>
        </w:tabs>
        <w:spacing w:line="300" w:lineRule="exact"/>
        <w:ind w:left="709" w:hanging="283"/>
      </w:pPr>
      <w:r>
        <w:rPr>
          <w:rFonts w:ascii="標楷體" w:eastAsia="標楷體" w:hAnsi="標楷體"/>
        </w:rPr>
        <w:t>如因先前使用後無效</w:t>
      </w:r>
      <w:proofErr w:type="gramStart"/>
      <w:r>
        <w:rPr>
          <w:rFonts w:ascii="標楷體" w:eastAsia="標楷體" w:hAnsi="標楷體"/>
        </w:rPr>
        <w:t>停藥者</w:t>
      </w:r>
      <w:proofErr w:type="gramEnd"/>
      <w:r>
        <w:rPr>
          <w:rFonts w:ascii="標楷體" w:eastAsia="標楷體" w:hAnsi="標楷體"/>
        </w:rPr>
        <w:t>，不得重新申請使用；如因使用中有輕微不良反應（如血壓偏低）而暫停使用者，得於狀況排除後重新申請使用。</w:t>
      </w:r>
    </w:p>
    <w:p w14:paraId="70E6CC7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5.6.骨質疏鬆症治療藥物(100/1/1)</w:t>
      </w:r>
    </w:p>
    <w:p w14:paraId="6CCA57CD" w14:textId="77777777" w:rsidR="00F13C3F" w:rsidRDefault="00F13C3F" w:rsidP="00F13C3F">
      <w:pPr>
        <w:spacing w:line="300" w:lineRule="exact"/>
        <w:ind w:left="672" w:hanging="386"/>
        <w:rPr>
          <w:rFonts w:ascii="標楷體" w:eastAsia="標楷體" w:hAnsi="標楷體"/>
          <w:color w:val="000000"/>
        </w:rPr>
      </w:pPr>
      <w:r>
        <w:rPr>
          <w:rFonts w:ascii="標楷體" w:eastAsia="標楷體" w:hAnsi="標楷體"/>
          <w:color w:val="000000"/>
        </w:rPr>
        <w:t>5.6.1.抗骨質再吸收劑（anti- resorptive）(101/3/1、101/5/1、102/2/1、102/8/1、103/2/1、103/10/1、104/8/1、106/12/1、114/3/1</w:t>
      </w:r>
      <w:r w:rsidRPr="00291ECF">
        <w:rPr>
          <w:rFonts w:ascii="標楷體" w:eastAsia="標楷體" w:hAnsi="標楷體" w:hint="eastAsia"/>
          <w:color w:val="000000"/>
        </w:rPr>
        <w:t>、115/7/1</w:t>
      </w:r>
      <w:r w:rsidRPr="00AE035B">
        <w:rPr>
          <w:rFonts w:ascii="標楷體" w:eastAsia="標楷體" w:hAnsi="標楷體" w:hint="eastAsia"/>
          <w:color w:val="000000"/>
        </w:rPr>
        <w:t>、115/8/1</w:t>
      </w:r>
      <w:r w:rsidRPr="00021709">
        <w:rPr>
          <w:rFonts w:ascii="標楷體" w:eastAsia="標楷體" w:hAnsi="標楷體" w:hint="eastAsia"/>
          <w:color w:val="000000"/>
        </w:rPr>
        <w:t>、115/9/1</w:t>
      </w:r>
      <w:r>
        <w:rPr>
          <w:rFonts w:ascii="標楷體" w:eastAsia="標楷體" w:hAnsi="標楷體"/>
          <w:color w:val="000000"/>
        </w:rPr>
        <w:t>)</w:t>
      </w:r>
    </w:p>
    <w:p w14:paraId="29973CAC" w14:textId="77777777" w:rsidR="00F13C3F" w:rsidRDefault="00F13C3F" w:rsidP="00F13C3F">
      <w:pPr>
        <w:spacing w:line="300" w:lineRule="exact"/>
        <w:ind w:left="811" w:hanging="245"/>
        <w:rPr>
          <w:rFonts w:ascii="標楷體" w:eastAsia="標楷體" w:hAnsi="標楷體"/>
          <w:color w:val="000000"/>
        </w:rPr>
      </w:pPr>
      <w:r>
        <w:rPr>
          <w:rFonts w:ascii="標楷體" w:eastAsia="標楷體" w:hAnsi="標楷體"/>
          <w:color w:val="000000"/>
        </w:rPr>
        <w:t>1.藥品種類</w:t>
      </w:r>
    </w:p>
    <w:p w14:paraId="29FF6D39"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(1)Bisphosphonates（雙磷酸鹽類）：alendronate（如Fosamax）、 zoledronate 5mg (如</w:t>
      </w:r>
      <w:proofErr w:type="spellStart"/>
      <w:r>
        <w:rPr>
          <w:rFonts w:ascii="標楷體" w:eastAsia="標楷體" w:hAnsi="標楷體"/>
          <w:color w:val="000000"/>
        </w:rPr>
        <w:t>Aclasta</w:t>
      </w:r>
      <w:proofErr w:type="spellEnd"/>
      <w:r>
        <w:rPr>
          <w:rFonts w:ascii="標楷體" w:eastAsia="標楷體" w:hAnsi="標楷體"/>
          <w:color w:val="000000"/>
        </w:rPr>
        <w:t xml:space="preserve"> 5mg/100mL solution for infusion)、risedronate（如</w:t>
      </w:r>
      <w:proofErr w:type="spellStart"/>
      <w:r>
        <w:rPr>
          <w:rFonts w:ascii="標楷體" w:eastAsia="標楷體" w:hAnsi="標楷體"/>
          <w:color w:val="000000"/>
        </w:rPr>
        <w:t>Reosteo</w:t>
      </w:r>
      <w:proofErr w:type="spellEnd"/>
      <w:r>
        <w:rPr>
          <w:rFonts w:ascii="標楷體" w:eastAsia="標楷體" w:hAnsi="標楷體"/>
          <w:color w:val="000000"/>
        </w:rPr>
        <w:t>）、ibandronate 3mg/3mL (如</w:t>
      </w:r>
      <w:proofErr w:type="spellStart"/>
      <w:r>
        <w:rPr>
          <w:rFonts w:ascii="標楷體" w:eastAsia="標楷體" w:hAnsi="標楷體"/>
          <w:color w:val="000000"/>
        </w:rPr>
        <w:t>Bonviva</w:t>
      </w:r>
      <w:proofErr w:type="spellEnd"/>
      <w:r>
        <w:rPr>
          <w:rFonts w:ascii="標楷體" w:eastAsia="標楷體" w:hAnsi="標楷體"/>
          <w:color w:val="000000"/>
        </w:rPr>
        <w:t xml:space="preserve">  3mg/3mL solution for injection)</w:t>
      </w:r>
    </w:p>
    <w:p w14:paraId="470DFC46"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(2)Selective estrogen receptor modulators (SERM，選擇性雌激素接受體調節劑</w:t>
      </w:r>
      <w:proofErr w:type="gramStart"/>
      <w:r>
        <w:rPr>
          <w:rFonts w:ascii="標楷體" w:eastAsia="標楷體" w:hAnsi="標楷體"/>
          <w:color w:val="000000"/>
        </w:rPr>
        <w:t>）</w:t>
      </w:r>
      <w:proofErr w:type="gramEnd"/>
      <w:r>
        <w:rPr>
          <w:rFonts w:ascii="標楷體" w:eastAsia="標楷體" w:hAnsi="標楷體"/>
          <w:color w:val="000000"/>
        </w:rPr>
        <w:t>：raloxifene（如</w:t>
      </w:r>
      <w:proofErr w:type="spellStart"/>
      <w:r>
        <w:rPr>
          <w:rFonts w:ascii="標楷體" w:eastAsia="標楷體" w:hAnsi="標楷體"/>
          <w:color w:val="000000"/>
        </w:rPr>
        <w:t>Evista</w:t>
      </w:r>
      <w:proofErr w:type="spellEnd"/>
      <w:r>
        <w:rPr>
          <w:rFonts w:ascii="標楷體" w:eastAsia="標楷體" w:hAnsi="標楷體"/>
          <w:color w:val="000000"/>
        </w:rPr>
        <w:t xml:space="preserve"> ）、bazedoxifene（如</w:t>
      </w:r>
      <w:proofErr w:type="spellStart"/>
      <w:r>
        <w:rPr>
          <w:rFonts w:ascii="標楷體" w:eastAsia="標楷體" w:hAnsi="標楷體"/>
          <w:color w:val="000000"/>
        </w:rPr>
        <w:t>Viviant</w:t>
      </w:r>
      <w:proofErr w:type="spellEnd"/>
      <w:r>
        <w:rPr>
          <w:rFonts w:ascii="標楷體" w:eastAsia="標楷體" w:hAnsi="標楷體"/>
          <w:color w:val="000000"/>
        </w:rPr>
        <w:t>）(102/2/1)</w:t>
      </w:r>
    </w:p>
    <w:p w14:paraId="7E93D7BA"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(3)Human monoclonal antibody for RANKL（</w:t>
      </w:r>
      <w:proofErr w:type="spellStart"/>
      <w:r>
        <w:rPr>
          <w:rFonts w:ascii="標楷體" w:eastAsia="標楷體" w:hAnsi="標楷體"/>
          <w:color w:val="000000"/>
        </w:rPr>
        <w:t>RANKL</w:t>
      </w:r>
      <w:proofErr w:type="spellEnd"/>
      <w:r>
        <w:rPr>
          <w:rFonts w:ascii="標楷體" w:eastAsia="標楷體" w:hAnsi="標楷體"/>
          <w:color w:val="000000"/>
        </w:rPr>
        <w:t>單株抗體）：denosumab（如Prolia）(101/3/1)</w:t>
      </w:r>
    </w:p>
    <w:p w14:paraId="08C7F3A8" w14:textId="77777777" w:rsidR="00F13C3F" w:rsidRDefault="00F13C3F" w:rsidP="00F13C3F">
      <w:pPr>
        <w:spacing w:line="300" w:lineRule="exact"/>
        <w:ind w:left="811" w:hanging="245"/>
        <w:rPr>
          <w:rFonts w:ascii="標楷體" w:eastAsia="標楷體" w:hAnsi="標楷體"/>
          <w:color w:val="000000"/>
        </w:rPr>
      </w:pPr>
      <w:r>
        <w:rPr>
          <w:rFonts w:ascii="標楷體" w:eastAsia="標楷體" w:hAnsi="標楷體"/>
          <w:color w:val="000000"/>
        </w:rPr>
        <w:t>2.使用規定</w:t>
      </w:r>
    </w:p>
    <w:p w14:paraId="79DB3BE2"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(1)使用條件</w:t>
      </w:r>
    </w:p>
    <w:p w14:paraId="6A9554B8" w14:textId="77777777" w:rsidR="00F13C3F" w:rsidRDefault="00F13C3F" w:rsidP="00F13C3F">
      <w:pPr>
        <w:spacing w:line="300" w:lineRule="exact"/>
        <w:ind w:left="1276" w:hanging="340"/>
        <w:rPr>
          <w:rFonts w:ascii="標楷體" w:eastAsia="標楷體" w:hAnsi="標楷體"/>
          <w:color w:val="000000"/>
        </w:rPr>
      </w:pPr>
      <w:r>
        <w:rPr>
          <w:rFonts w:ascii="標楷體" w:eastAsia="標楷體" w:hAnsi="標楷體"/>
          <w:color w:val="000000"/>
        </w:rPr>
        <w:t>Ⅰ.限用於停經後婦女（alendronate、zoledronate、denosumab及risedronate 35mg亦可使用於男性，risedronate 150mg不可使用於男性）因骨質疏鬆症（須經DXA 檢測BMD之T score</w:t>
      </w:r>
      <w:proofErr w:type="gramStart"/>
      <w:r>
        <w:rPr>
          <w:rFonts w:ascii="標楷體" w:eastAsia="標楷體" w:hAnsi="標楷體"/>
          <w:color w:val="000000"/>
        </w:rPr>
        <w:t>≦</w:t>
      </w:r>
      <w:proofErr w:type="gramEnd"/>
      <w:r>
        <w:rPr>
          <w:rFonts w:ascii="標楷體" w:eastAsia="標楷體" w:hAnsi="標楷體"/>
          <w:color w:val="000000"/>
        </w:rPr>
        <w:t xml:space="preserve"> -2.5SD）引起脊椎或髖部骨折，或因骨質</w:t>
      </w:r>
      <w:proofErr w:type="gramStart"/>
      <w:r>
        <w:rPr>
          <w:rFonts w:ascii="標楷體" w:eastAsia="標楷體" w:hAnsi="標楷體"/>
          <w:color w:val="000000"/>
        </w:rPr>
        <w:t>疏少症</w:t>
      </w:r>
      <w:proofErr w:type="gramEnd"/>
      <w:r>
        <w:rPr>
          <w:rFonts w:ascii="標楷體" w:eastAsia="標楷體" w:hAnsi="標楷體"/>
          <w:color w:val="000000"/>
        </w:rPr>
        <w:t>(osteopenia)(經DXA檢測BMD之-2.5SD &lt;T score &lt;-1.0SD)引起脊椎或髖部2處或2次(含)以上之骨折。</w:t>
      </w:r>
      <w:r>
        <w:rPr>
          <w:rFonts w:ascii="標楷體" w:eastAsia="標楷體" w:hAnsi="標楷體" w:hint="eastAsia"/>
          <w:color w:val="000000"/>
        </w:rPr>
        <w:t>denosumab、alendronate (除COVAXIN、</w:t>
      </w:r>
      <w:proofErr w:type="spellStart"/>
      <w:r>
        <w:rPr>
          <w:rFonts w:ascii="標楷體" w:eastAsia="標楷體" w:hAnsi="標楷體" w:hint="eastAsia"/>
          <w:color w:val="000000"/>
        </w:rPr>
        <w:t>Mosmass</w:t>
      </w:r>
      <w:proofErr w:type="spellEnd"/>
      <w:r>
        <w:rPr>
          <w:rFonts w:ascii="標楷體" w:eastAsia="標楷體" w:hAnsi="標楷體" w:hint="eastAsia"/>
          <w:color w:val="000000"/>
        </w:rPr>
        <w:t>、Apo-Alendronate、</w:t>
      </w:r>
      <w:proofErr w:type="spellStart"/>
      <w:r>
        <w:rPr>
          <w:rFonts w:ascii="標楷體" w:eastAsia="標楷體" w:hAnsi="標楷體" w:hint="eastAsia"/>
          <w:color w:val="000000"/>
        </w:rPr>
        <w:t>Binosto</w:t>
      </w:r>
      <w:proofErr w:type="spellEnd"/>
      <w:r>
        <w:rPr>
          <w:rFonts w:ascii="標楷體" w:eastAsia="標楷體" w:hAnsi="標楷體" w:hint="eastAsia"/>
          <w:color w:val="000000"/>
        </w:rPr>
        <w:t>及</w:t>
      </w:r>
      <w:proofErr w:type="spellStart"/>
      <w:r>
        <w:rPr>
          <w:rFonts w:ascii="標楷體" w:eastAsia="標楷體" w:hAnsi="標楷體" w:hint="eastAsia"/>
          <w:color w:val="000000"/>
        </w:rPr>
        <w:t>Alendro-Dthen</w:t>
      </w:r>
      <w:proofErr w:type="spellEnd"/>
      <w:r>
        <w:rPr>
          <w:rFonts w:ascii="標楷體" w:eastAsia="標楷體" w:hAnsi="標楷體" w:hint="eastAsia"/>
          <w:color w:val="000000"/>
        </w:rPr>
        <w:t>外)除使用於上述條件外，亦可用於前述因骨質疏鬆症引起之遠端</w:t>
      </w:r>
      <w:proofErr w:type="gramStart"/>
      <w:r>
        <w:rPr>
          <w:rFonts w:ascii="標楷體" w:eastAsia="標楷體" w:hAnsi="標楷體" w:hint="eastAsia"/>
          <w:color w:val="000000"/>
        </w:rPr>
        <w:t>橈</w:t>
      </w:r>
      <w:proofErr w:type="gramEnd"/>
      <w:r>
        <w:rPr>
          <w:rFonts w:ascii="標楷體" w:eastAsia="標楷體" w:hAnsi="標楷體" w:hint="eastAsia"/>
          <w:color w:val="000000"/>
        </w:rPr>
        <w:t>骨或近端肱骨骨折，或骨質</w:t>
      </w:r>
      <w:proofErr w:type="gramStart"/>
      <w:r>
        <w:rPr>
          <w:rFonts w:ascii="標楷體" w:eastAsia="標楷體" w:hAnsi="標楷體" w:hint="eastAsia"/>
          <w:color w:val="000000"/>
        </w:rPr>
        <w:t>疏少症</w:t>
      </w:r>
      <w:proofErr w:type="gramEnd"/>
      <w:r>
        <w:rPr>
          <w:rFonts w:ascii="標楷體" w:eastAsia="標楷體" w:hAnsi="標楷體" w:hint="eastAsia"/>
          <w:color w:val="000000"/>
        </w:rPr>
        <w:t>引起之遠端</w:t>
      </w:r>
      <w:proofErr w:type="gramStart"/>
      <w:r>
        <w:rPr>
          <w:rFonts w:ascii="標楷體" w:eastAsia="標楷體" w:hAnsi="標楷體" w:hint="eastAsia"/>
          <w:color w:val="000000"/>
        </w:rPr>
        <w:t>橈</w:t>
      </w:r>
      <w:proofErr w:type="gramEnd"/>
      <w:r>
        <w:rPr>
          <w:rFonts w:ascii="標楷體" w:eastAsia="標楷體" w:hAnsi="標楷體" w:hint="eastAsia"/>
          <w:color w:val="000000"/>
        </w:rPr>
        <w:t>骨、近端肱骨2處或2次(含)以上之骨折。 (101/5/1、102/8/1、103/10/1、104/8/1、106/12/1、114/3/1、115/7/1、115/8/1</w:t>
      </w:r>
      <w:r w:rsidRPr="00021709">
        <w:rPr>
          <w:rFonts w:ascii="標楷體" w:eastAsia="標楷體" w:hAnsi="標楷體" w:hint="eastAsia"/>
          <w:color w:val="000000"/>
        </w:rPr>
        <w:t>、115/9/1</w:t>
      </w:r>
      <w:r>
        <w:rPr>
          <w:rFonts w:ascii="標楷體" w:eastAsia="標楷體" w:hAnsi="標楷體" w:hint="eastAsia"/>
          <w:color w:val="000000"/>
        </w:rPr>
        <w:t>)</w:t>
      </w:r>
    </w:p>
    <w:p w14:paraId="7DE00E5A" w14:textId="77777777" w:rsidR="00F13C3F" w:rsidRDefault="00F13C3F" w:rsidP="00F13C3F">
      <w:pPr>
        <w:spacing w:line="300" w:lineRule="exact"/>
        <w:ind w:left="1276" w:hanging="341"/>
        <w:rPr>
          <w:rFonts w:ascii="標楷體" w:eastAsia="標楷體" w:hAnsi="標楷體"/>
          <w:color w:val="000000"/>
        </w:rPr>
      </w:pPr>
      <w:r>
        <w:rPr>
          <w:rFonts w:ascii="標楷體" w:eastAsia="標楷體" w:hAnsi="標楷體"/>
          <w:color w:val="000000"/>
        </w:rPr>
        <w:t>Ⅱ.用於骨質疏鬆症患者 (須經DXA檢測BMD之T-score</w:t>
      </w:r>
      <w:proofErr w:type="gramStart"/>
      <w:r>
        <w:rPr>
          <w:rFonts w:ascii="標楷體" w:eastAsia="標楷體" w:hAnsi="標楷體"/>
          <w:color w:val="000000"/>
        </w:rPr>
        <w:t>≦</w:t>
      </w:r>
      <w:proofErr w:type="gramEnd"/>
      <w:r>
        <w:rPr>
          <w:rFonts w:ascii="標楷體" w:eastAsia="標楷體" w:hAnsi="標楷體"/>
          <w:color w:val="000000"/>
        </w:rPr>
        <w:t>-2.5)，且合併下列至少一項骨質疏鬆性骨折高風險因子者，</w:t>
      </w:r>
      <w:r>
        <w:rPr>
          <w:rFonts w:ascii="標楷體" w:eastAsia="標楷體" w:hAnsi="標楷體" w:hint="eastAsia"/>
          <w:color w:val="000000"/>
        </w:rPr>
        <w:t>限使用denosumab、alendronate(除COVAXIN、</w:t>
      </w:r>
      <w:proofErr w:type="spellStart"/>
      <w:r>
        <w:rPr>
          <w:rFonts w:ascii="標楷體" w:eastAsia="標楷體" w:hAnsi="標楷體" w:hint="eastAsia"/>
          <w:color w:val="000000"/>
        </w:rPr>
        <w:t>Mosmass</w:t>
      </w:r>
      <w:proofErr w:type="spellEnd"/>
      <w:r>
        <w:rPr>
          <w:rFonts w:ascii="標楷體" w:eastAsia="標楷體" w:hAnsi="標楷體" w:hint="eastAsia"/>
          <w:color w:val="000000"/>
        </w:rPr>
        <w:t>、Apo-Alendronate、</w:t>
      </w:r>
      <w:proofErr w:type="spellStart"/>
      <w:r>
        <w:rPr>
          <w:rFonts w:ascii="標楷體" w:eastAsia="標楷體" w:hAnsi="標楷體" w:hint="eastAsia"/>
          <w:color w:val="000000"/>
        </w:rPr>
        <w:t>Binosto</w:t>
      </w:r>
      <w:proofErr w:type="spellEnd"/>
      <w:r>
        <w:rPr>
          <w:rFonts w:ascii="標楷體" w:eastAsia="標楷體" w:hAnsi="標楷體" w:hint="eastAsia"/>
          <w:color w:val="000000"/>
        </w:rPr>
        <w:t>及</w:t>
      </w:r>
      <w:proofErr w:type="spellStart"/>
      <w:r>
        <w:rPr>
          <w:rFonts w:ascii="標楷體" w:eastAsia="標楷體" w:hAnsi="標楷體" w:hint="eastAsia"/>
          <w:color w:val="000000"/>
        </w:rPr>
        <w:t>Alendro-Dthen</w:t>
      </w:r>
      <w:proofErr w:type="spellEnd"/>
      <w:r>
        <w:rPr>
          <w:rFonts w:ascii="標楷體" w:eastAsia="標楷體" w:hAnsi="標楷體" w:hint="eastAsia"/>
          <w:color w:val="000000"/>
        </w:rPr>
        <w:t>外)，且須於病歷上載明: (114/3/1、115/7/1、115/8/1</w:t>
      </w:r>
      <w:r w:rsidRPr="00021709">
        <w:rPr>
          <w:rFonts w:ascii="標楷體" w:eastAsia="標楷體" w:hAnsi="標楷體" w:hint="eastAsia"/>
          <w:color w:val="000000"/>
        </w:rPr>
        <w:t>、115/9/1</w:t>
      </w:r>
      <w:r>
        <w:rPr>
          <w:rFonts w:ascii="標楷體" w:eastAsia="標楷體" w:hAnsi="標楷體" w:hint="eastAsia"/>
          <w:color w:val="000000"/>
        </w:rPr>
        <w:t>)</w:t>
      </w:r>
    </w:p>
    <w:p w14:paraId="17938809" w14:textId="77777777" w:rsidR="00F13C3F" w:rsidRDefault="00F13C3F" w:rsidP="00F13C3F">
      <w:pPr>
        <w:spacing w:line="300" w:lineRule="exact"/>
        <w:ind w:left="1560" w:hanging="341"/>
      </w:pPr>
      <w:r>
        <w:rPr>
          <w:rFonts w:ascii="新細明體" w:hAnsi="新細明體" w:cs="新細明體"/>
          <w:color w:val="000000"/>
        </w:rPr>
        <w:t>ⅰ</w:t>
      </w:r>
      <w:r>
        <w:rPr>
          <w:rFonts w:ascii="標楷體" w:eastAsia="標楷體" w:hAnsi="標楷體"/>
          <w:color w:val="000000"/>
        </w:rPr>
        <w:t>類風溼性關節炎。</w:t>
      </w:r>
    </w:p>
    <w:p w14:paraId="11D68622" w14:textId="77777777" w:rsidR="00F13C3F" w:rsidRDefault="00F13C3F" w:rsidP="00F13C3F">
      <w:pPr>
        <w:spacing w:line="300" w:lineRule="exact"/>
        <w:ind w:left="1560" w:hanging="341"/>
      </w:pPr>
      <w:r>
        <w:rPr>
          <w:rFonts w:ascii="新細明體" w:hAnsi="新細明體" w:cs="新細明體"/>
          <w:color w:val="000000"/>
        </w:rPr>
        <w:t>ⅱ</w:t>
      </w:r>
      <w:r>
        <w:rPr>
          <w:rFonts w:ascii="標楷體" w:eastAsia="標楷體" w:hAnsi="標楷體"/>
          <w:color w:val="000000"/>
        </w:rPr>
        <w:t>糖尿病且使用胰島素。</w:t>
      </w:r>
    </w:p>
    <w:p w14:paraId="6DE4770D" w14:textId="77777777" w:rsidR="00F13C3F" w:rsidRDefault="00F13C3F" w:rsidP="00F13C3F">
      <w:pPr>
        <w:spacing w:line="300" w:lineRule="exact"/>
        <w:ind w:left="1560" w:hanging="341"/>
      </w:pPr>
      <w:r>
        <w:rPr>
          <w:rFonts w:ascii="新細明體" w:hAnsi="新細明體" w:cs="新細明體"/>
          <w:color w:val="000000"/>
        </w:rPr>
        <w:t>ⅲ</w:t>
      </w:r>
      <w:r>
        <w:rPr>
          <w:rFonts w:ascii="標楷體" w:eastAsia="標楷體" w:hAnsi="標楷體"/>
          <w:color w:val="000000"/>
        </w:rPr>
        <w:t>使用糖皮質類固醇(&gt;5毫克/天)超過3個月。</w:t>
      </w:r>
    </w:p>
    <w:p w14:paraId="70B83078"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(2)治療時，一次限用一項藥物，不得</w:t>
      </w:r>
      <w:proofErr w:type="gramStart"/>
      <w:r>
        <w:rPr>
          <w:rFonts w:ascii="標楷體" w:eastAsia="標楷體" w:hAnsi="標楷體"/>
          <w:color w:val="000000"/>
        </w:rPr>
        <w:t>併</w:t>
      </w:r>
      <w:proofErr w:type="gramEnd"/>
      <w:r>
        <w:rPr>
          <w:rFonts w:ascii="標楷體" w:eastAsia="標楷體" w:hAnsi="標楷體"/>
          <w:color w:val="000000"/>
        </w:rPr>
        <w:t>用其他骨質疏鬆症治療藥物。</w:t>
      </w:r>
    </w:p>
    <w:p w14:paraId="625B5A1E" w14:textId="149F79CA" w:rsidR="00401786" w:rsidRP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(3)使用雙磷酸鹽類藥物，須先檢測病患之血清creatinine濃度，符合該項藥物仿單之建議規定。</w:t>
      </w:r>
    </w:p>
    <w:p w14:paraId="659D2AB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 5.6.2.Parathyroid hormones and analogues （副甲狀腺素及類似劑）：teriparatide注射劑(101/7/1、110/5/1)</w:t>
      </w:r>
    </w:p>
    <w:p w14:paraId="597D2F1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w:t>
      </w:r>
    </w:p>
    <w:p w14:paraId="3285239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1.停經後骨質疏鬆婦女。</w:t>
      </w:r>
    </w:p>
    <w:p w14:paraId="38B2DFE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2.原發性或次發於性腺功能低下症造成骨質疏鬆之男性。</w:t>
      </w:r>
    </w:p>
    <w:p w14:paraId="4143588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3.需符合下列條件：</w:t>
      </w:r>
    </w:p>
    <w:p w14:paraId="4FA94B0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(1)引起脊椎或髖部多於2 (含)處骨折，經評估（須於病歷載明）無法耐受副作用或</w:t>
      </w:r>
      <w:r>
        <w:rPr>
          <w:rFonts w:ascii="標楷體" w:eastAsia="標楷體" w:hAnsi="標楷體"/>
          <w:color w:val="000000"/>
        </w:rPr>
        <w:lastRenderedPageBreak/>
        <w:t>在持續配合使用抗骨質吸收劑至少連續12個月的情況下仍發生至少1處新的骨折之病患。</w:t>
      </w:r>
    </w:p>
    <w:p w14:paraId="2CB026A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(2)骨質疏鬆之程度，須經DXA 檢測 BMD 之T-score 小於或等於-3.0。</w:t>
      </w:r>
    </w:p>
    <w:p w14:paraId="7CC7D01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4.使用不得超過18支並於二年內使用完畢，使用期間內不得</w:t>
      </w:r>
      <w:proofErr w:type="gramStart"/>
      <w:r>
        <w:rPr>
          <w:rFonts w:ascii="標楷體" w:eastAsia="標楷體" w:hAnsi="標楷體"/>
          <w:color w:val="000000"/>
        </w:rPr>
        <w:t>併</w:t>
      </w:r>
      <w:proofErr w:type="gramEnd"/>
      <w:r>
        <w:rPr>
          <w:rFonts w:ascii="標楷體" w:eastAsia="標楷體" w:hAnsi="標楷體"/>
          <w:color w:val="000000"/>
        </w:rPr>
        <w:t>用其他骨質疏鬆症治療藥物。</w:t>
      </w:r>
    </w:p>
    <w:p w14:paraId="188648F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5.與</w:t>
      </w:r>
      <w:proofErr w:type="spellStart"/>
      <w:r>
        <w:rPr>
          <w:rFonts w:ascii="標楷體" w:eastAsia="標楷體" w:hAnsi="標楷體"/>
          <w:color w:val="000000"/>
        </w:rPr>
        <w:t>romosozumab</w:t>
      </w:r>
      <w:proofErr w:type="spellEnd"/>
      <w:r>
        <w:rPr>
          <w:rFonts w:ascii="標楷體" w:eastAsia="標楷體" w:hAnsi="標楷體"/>
          <w:color w:val="000000"/>
        </w:rPr>
        <w:t>僅得擇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性不良，不得互換。(110/5/1)</w:t>
      </w:r>
    </w:p>
    <w:p w14:paraId="72A9DA1C"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備註DXA: Dual energy X-ray absorptiometry</w:t>
      </w:r>
    </w:p>
    <w:p w14:paraId="79214EB7" w14:textId="77777777" w:rsidR="00401786" w:rsidRDefault="00C64FB3" w:rsidP="0009639E">
      <w:pPr>
        <w:spacing w:line="300" w:lineRule="exact"/>
        <w:rPr>
          <w:rFonts w:ascii="標楷體" w:eastAsia="標楷體" w:hAnsi="標楷體"/>
          <w:color w:val="000000"/>
        </w:rPr>
      </w:pPr>
      <w:r>
        <w:rPr>
          <w:rFonts w:ascii="標楷體" w:eastAsia="標楷體" w:hAnsi="標楷體"/>
          <w:color w:val="000000"/>
        </w:rPr>
        <w:t xml:space="preserve">       BMD: Bone mineral density</w:t>
      </w:r>
    </w:p>
    <w:p w14:paraId="0DD5CE13" w14:textId="2495CD1C" w:rsidR="00401786" w:rsidRDefault="00C64FB3" w:rsidP="004F6186">
      <w:pPr>
        <w:spacing w:line="300" w:lineRule="exact"/>
        <w:ind w:left="672" w:hanging="386"/>
        <w:rPr>
          <w:rFonts w:ascii="標楷體" w:eastAsia="標楷體" w:hAnsi="標楷體"/>
        </w:rPr>
      </w:pPr>
      <w:r>
        <w:rPr>
          <w:rFonts w:ascii="標楷體" w:eastAsia="標楷體" w:hAnsi="標楷體"/>
        </w:rPr>
        <w:t>5.6.3.Romosozumab(如</w:t>
      </w:r>
      <w:proofErr w:type="spellStart"/>
      <w:r>
        <w:rPr>
          <w:rFonts w:ascii="標楷體" w:eastAsia="標楷體" w:hAnsi="標楷體"/>
        </w:rPr>
        <w:t>Evenity</w:t>
      </w:r>
      <w:proofErr w:type="spellEnd"/>
      <w:r>
        <w:rPr>
          <w:rFonts w:ascii="標楷體" w:eastAsia="標楷體" w:hAnsi="標楷體"/>
        </w:rPr>
        <w:t>)：(110/5/1、114/3/1</w:t>
      </w:r>
      <w:r w:rsidR="003515B9" w:rsidRPr="003515B9">
        <w:rPr>
          <w:rFonts w:ascii="標楷體" w:eastAsia="標楷體" w:hAnsi="標楷體" w:hint="eastAsia"/>
        </w:rPr>
        <w:t>、115/8/1</w:t>
      </w:r>
      <w:r>
        <w:rPr>
          <w:rFonts w:ascii="標楷體" w:eastAsia="標楷體" w:hAnsi="標楷體"/>
        </w:rPr>
        <w:t>)</w:t>
      </w:r>
    </w:p>
    <w:p w14:paraId="240FE92C"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限用於停經後骨質疏鬆婦女。</w:t>
      </w:r>
    </w:p>
    <w:p w14:paraId="1170F46F"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1.</w:t>
      </w:r>
      <w:r>
        <w:rPr>
          <w:rFonts w:ascii="標楷體" w:eastAsia="標楷體" w:hAnsi="標楷體" w:hint="eastAsia"/>
        </w:rPr>
        <w:tab/>
        <w:t>遠端</w:t>
      </w:r>
      <w:proofErr w:type="gramStart"/>
      <w:r>
        <w:rPr>
          <w:rFonts w:ascii="標楷體" w:eastAsia="標楷體" w:hAnsi="標楷體" w:hint="eastAsia"/>
        </w:rPr>
        <w:t>橈</w:t>
      </w:r>
      <w:proofErr w:type="gramEnd"/>
      <w:r>
        <w:rPr>
          <w:rFonts w:ascii="標楷體" w:eastAsia="標楷體" w:hAnsi="標楷體" w:hint="eastAsia"/>
        </w:rPr>
        <w:t>骨、近端肱骨、脊椎或髖部，經DXA檢測BMD之T-score小於或等於-3.0，且需符合下列條件之</w:t>
      </w:r>
      <w:proofErr w:type="gramStart"/>
      <w:r>
        <w:rPr>
          <w:rFonts w:ascii="標楷體" w:eastAsia="標楷體" w:hAnsi="標楷體" w:hint="eastAsia"/>
        </w:rPr>
        <w:t>一</w:t>
      </w:r>
      <w:proofErr w:type="gramEnd"/>
      <w:r>
        <w:rPr>
          <w:rFonts w:ascii="標楷體" w:eastAsia="標楷體" w:hAnsi="標楷體" w:hint="eastAsia"/>
        </w:rPr>
        <w:t>：(110/5/1、114/3/1、115/8/1)</w:t>
      </w:r>
    </w:p>
    <w:p w14:paraId="355E09B0" w14:textId="77777777" w:rsidR="004F6186" w:rsidRDefault="004F6186" w:rsidP="004F6186">
      <w:pPr>
        <w:spacing w:line="300" w:lineRule="exact"/>
        <w:ind w:left="1134" w:hanging="425"/>
        <w:rPr>
          <w:rFonts w:ascii="標楷體" w:eastAsia="標楷體" w:hAnsi="標楷體"/>
        </w:rPr>
      </w:pPr>
      <w:r>
        <w:rPr>
          <w:rFonts w:ascii="標楷體" w:eastAsia="標楷體" w:hAnsi="標楷體" w:hint="eastAsia"/>
        </w:rPr>
        <w:t>(1)</w:t>
      </w:r>
      <w:r>
        <w:rPr>
          <w:rFonts w:ascii="標楷體" w:eastAsia="標楷體" w:hAnsi="標楷體" w:hint="eastAsia"/>
        </w:rPr>
        <w:tab/>
        <w:t>於24個月內，多於2（含）處骨折，其中包含1處新診斷骨折。(110/5/1、114/3/1、115/8/1)</w:t>
      </w:r>
    </w:p>
    <w:p w14:paraId="73A663B9" w14:textId="77777777" w:rsidR="004F6186" w:rsidRDefault="004F6186" w:rsidP="004F6186">
      <w:pPr>
        <w:spacing w:line="300" w:lineRule="exact"/>
        <w:ind w:left="1134" w:hanging="425"/>
        <w:rPr>
          <w:rFonts w:ascii="標楷體" w:eastAsia="標楷體" w:hAnsi="標楷體"/>
        </w:rPr>
      </w:pPr>
      <w:r>
        <w:rPr>
          <w:rFonts w:ascii="標楷體" w:eastAsia="標楷體" w:hAnsi="標楷體" w:hint="eastAsia"/>
        </w:rPr>
        <w:t>(2)</w:t>
      </w:r>
      <w:r>
        <w:rPr>
          <w:rFonts w:ascii="標楷體" w:eastAsia="標楷體" w:hAnsi="標楷體" w:hint="eastAsia"/>
        </w:rPr>
        <w:tab/>
        <w:t>於24個月內，經評估（須於病歷載明）無法耐受副作用或在持續配合使用抗骨質吸收劑的情況下，仍發生至少1處新診斷骨折。(110/5/1、114/3/1、115/8/1)</w:t>
      </w:r>
    </w:p>
    <w:p w14:paraId="514CB8A7"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2.</w:t>
      </w:r>
      <w:r>
        <w:rPr>
          <w:rFonts w:ascii="標楷體" w:eastAsia="標楷體" w:hAnsi="標楷體" w:hint="eastAsia"/>
        </w:rPr>
        <w:tab/>
        <w:t>使用不得超過24支並於</w:t>
      </w:r>
      <w:proofErr w:type="gramStart"/>
      <w:r>
        <w:rPr>
          <w:rFonts w:ascii="標楷體" w:eastAsia="標楷體" w:hAnsi="標楷體" w:hint="eastAsia"/>
        </w:rPr>
        <w:t>一</w:t>
      </w:r>
      <w:proofErr w:type="gramEnd"/>
      <w:r>
        <w:rPr>
          <w:rFonts w:ascii="標楷體" w:eastAsia="標楷體" w:hAnsi="標楷體" w:hint="eastAsia"/>
        </w:rPr>
        <w:t>年內使用完畢。</w:t>
      </w:r>
    </w:p>
    <w:p w14:paraId="0754AFAB"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3.</w:t>
      </w:r>
      <w:r>
        <w:rPr>
          <w:rFonts w:ascii="標楷體" w:eastAsia="標楷體" w:hAnsi="標楷體" w:hint="eastAsia"/>
        </w:rPr>
        <w:tab/>
        <w:t>使用期間內不得</w:t>
      </w:r>
      <w:proofErr w:type="gramStart"/>
      <w:r>
        <w:rPr>
          <w:rFonts w:ascii="標楷體" w:eastAsia="標楷體" w:hAnsi="標楷體" w:hint="eastAsia"/>
        </w:rPr>
        <w:t>併</w:t>
      </w:r>
      <w:proofErr w:type="gramEnd"/>
      <w:r>
        <w:rPr>
          <w:rFonts w:ascii="標楷體" w:eastAsia="標楷體" w:hAnsi="標楷體" w:hint="eastAsia"/>
        </w:rPr>
        <w:t>用其他骨質疏鬆症治療藥物。</w:t>
      </w:r>
    </w:p>
    <w:p w14:paraId="5E73732C" w14:textId="157CB52F" w:rsidR="00401786" w:rsidRPr="004F6186" w:rsidRDefault="004F6186" w:rsidP="004F6186">
      <w:pPr>
        <w:spacing w:line="300" w:lineRule="exact"/>
        <w:ind w:left="811" w:hanging="245"/>
        <w:rPr>
          <w:rFonts w:ascii="標楷體" w:eastAsia="標楷體" w:hAnsi="標楷體"/>
        </w:rPr>
      </w:pPr>
      <w:r>
        <w:rPr>
          <w:rFonts w:ascii="標楷體" w:eastAsia="標楷體" w:hAnsi="標楷體" w:hint="eastAsia"/>
        </w:rPr>
        <w:t>4.</w:t>
      </w:r>
      <w:r>
        <w:rPr>
          <w:rFonts w:ascii="標楷體" w:eastAsia="標楷體" w:hAnsi="標楷體" w:hint="eastAsia"/>
        </w:rPr>
        <w:tab/>
        <w:t>與teriparatide僅得擇</w:t>
      </w:r>
      <w:proofErr w:type="gramStart"/>
      <w:r>
        <w:rPr>
          <w:rFonts w:ascii="標楷體" w:eastAsia="標楷體" w:hAnsi="標楷體" w:hint="eastAsia"/>
        </w:rPr>
        <w:t>一</w:t>
      </w:r>
      <w:proofErr w:type="gramEnd"/>
      <w:r>
        <w:rPr>
          <w:rFonts w:ascii="標楷體" w:eastAsia="標楷體" w:hAnsi="標楷體" w:hint="eastAsia"/>
        </w:rPr>
        <w:t>使用，</w:t>
      </w:r>
      <w:proofErr w:type="gramStart"/>
      <w:r>
        <w:rPr>
          <w:rFonts w:ascii="標楷體" w:eastAsia="標楷體" w:hAnsi="標楷體" w:hint="eastAsia"/>
        </w:rPr>
        <w:t>除因耐受</w:t>
      </w:r>
      <w:proofErr w:type="gramEnd"/>
      <w:r>
        <w:rPr>
          <w:rFonts w:ascii="標楷體" w:eastAsia="標楷體" w:hAnsi="標楷體" w:hint="eastAsia"/>
        </w:rPr>
        <w:t>性不良，不得互換。</w:t>
      </w:r>
    </w:p>
    <w:p w14:paraId="0E164471" w14:textId="77777777" w:rsidR="00CC252C" w:rsidRDefault="00CC252C">
      <w:pPr>
        <w:widowControl/>
        <w:suppressAutoHyphens w:val="0"/>
        <w:rPr>
          <w:rFonts w:ascii="標楷體" w:eastAsia="標楷體" w:hAnsi="標楷體"/>
          <w:b/>
          <w:sz w:val="32"/>
          <w:szCs w:val="32"/>
        </w:rPr>
      </w:pPr>
      <w:r>
        <w:br w:type="page"/>
      </w:r>
    </w:p>
    <w:p w14:paraId="074C5448" w14:textId="77777777" w:rsidR="00401786" w:rsidRDefault="00C64FB3" w:rsidP="0009639E">
      <w:pPr>
        <w:pStyle w:val="2"/>
        <w:spacing w:line="300" w:lineRule="exact"/>
      </w:pPr>
      <w:r>
        <w:lastRenderedPageBreak/>
        <w:t>第6節 呼吸道藥物 Respiratory tract drugs</w:t>
      </w:r>
    </w:p>
    <w:p w14:paraId="164A0E99" w14:textId="77777777" w:rsidR="00401786" w:rsidRDefault="00401786" w:rsidP="003970DC">
      <w:pPr>
        <w:spacing w:line="300" w:lineRule="exact"/>
        <w:rPr>
          <w:rFonts w:ascii="標楷體" w:eastAsia="標楷體" w:hAnsi="標楷體"/>
          <w:b/>
          <w:color w:val="000000"/>
          <w:sz w:val="32"/>
          <w:szCs w:val="32"/>
        </w:rPr>
      </w:pPr>
    </w:p>
    <w:p w14:paraId="321EBF27" w14:textId="77777777" w:rsidR="00B86A2D" w:rsidRPr="00E17E12" w:rsidRDefault="00B86A2D" w:rsidP="00B86A2D">
      <w:pPr>
        <w:snapToGrid w:val="0"/>
        <w:spacing w:after="120" w:line="400" w:lineRule="exact"/>
        <w:ind w:left="283"/>
        <w:rPr>
          <w:rFonts w:ascii="標楷體" w:eastAsia="標楷體" w:hAnsi="標楷體"/>
        </w:rPr>
      </w:pPr>
      <w:r w:rsidRPr="00E17E12">
        <w:rPr>
          <w:rFonts w:ascii="標楷體" w:eastAsia="標楷體" w:hAnsi="標楷體"/>
        </w:rPr>
        <w:t>6.1. 吸入劑 Inhalants(91/8/1、108/7/1、109/3/1、109/11/1、111/3/1、111/4/1、112/2/1、113/8/1</w:t>
      </w:r>
      <w:r w:rsidRPr="00E17E12">
        <w:rPr>
          <w:rFonts w:ascii="標楷體" w:eastAsia="標楷體" w:hAnsi="標楷體" w:hint="eastAsia"/>
          <w:bCs/>
          <w:szCs w:val="28"/>
        </w:rPr>
        <w:t>、</w:t>
      </w:r>
      <w:r w:rsidRPr="00E17E12">
        <w:rPr>
          <w:rFonts w:ascii="標楷體" w:eastAsia="標楷體" w:hAnsi="標楷體" w:hint="eastAsia"/>
          <w:bCs/>
        </w:rPr>
        <w:t>115</w:t>
      </w:r>
      <w:r w:rsidRPr="00E17E12">
        <w:rPr>
          <w:rFonts w:ascii="標楷體" w:eastAsia="標楷體" w:hAnsi="標楷體" w:hint="eastAsia"/>
          <w:bCs/>
          <w:szCs w:val="28"/>
        </w:rPr>
        <w:t>/</w:t>
      </w:r>
      <w:r w:rsidRPr="00E17E12">
        <w:rPr>
          <w:rFonts w:ascii="標楷體" w:eastAsia="標楷體" w:hAnsi="標楷體" w:hint="eastAsia"/>
          <w:bCs/>
        </w:rPr>
        <w:t>3</w:t>
      </w:r>
      <w:r w:rsidRPr="00E17E12">
        <w:rPr>
          <w:rFonts w:ascii="標楷體" w:eastAsia="標楷體" w:hAnsi="標楷體" w:hint="eastAsia"/>
          <w:bCs/>
          <w:szCs w:val="28"/>
        </w:rPr>
        <w:t>/</w:t>
      </w:r>
      <w:r w:rsidRPr="00E17E12">
        <w:rPr>
          <w:rFonts w:ascii="標楷體" w:eastAsia="標楷體" w:hAnsi="標楷體" w:hint="eastAsia"/>
        </w:rPr>
        <w:t>1</w:t>
      </w:r>
      <w:r w:rsidRPr="00E17E12">
        <w:rPr>
          <w:rFonts w:ascii="標楷體" w:eastAsia="標楷體" w:hAnsi="標楷體"/>
        </w:rPr>
        <w:t>)</w:t>
      </w:r>
    </w:p>
    <w:p w14:paraId="6097FE27"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1.支氣管擴張劑(含乙二型擬交感神經劑β2-agonists、抗</w:t>
      </w:r>
      <w:proofErr w:type="gramStart"/>
      <w:r w:rsidRPr="00E17E12">
        <w:rPr>
          <w:rFonts w:ascii="標楷體" w:eastAsia="標楷體" w:hAnsi="標楷體"/>
        </w:rPr>
        <w:t>膽鹼劑</w:t>
      </w:r>
      <w:proofErr w:type="gramEnd"/>
      <w:r w:rsidRPr="00E17E12">
        <w:rPr>
          <w:rFonts w:ascii="標楷體" w:eastAsia="標楷體" w:hAnsi="標楷體"/>
        </w:rPr>
        <w:t>anticholinergics)、吸入型類固醇(inhaled corticosteroid)等，依「成人呼吸道疾患吸入製劑給付規定表」(91/8/1、111/3/1、113/8/1)及「兒童呼吸道疾患吸入製劑給付規定表」(111/3/1、113/8/1)規定辦理；呼吸道藥物複方製劑比照辦理。</w:t>
      </w:r>
    </w:p>
    <w:p w14:paraId="41FE06D8"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 xml:space="preserve">2.Fluticasone furoate/ umeclidinium bromide/vilanterol </w:t>
      </w:r>
      <w:proofErr w:type="spellStart"/>
      <w:r w:rsidRPr="00E17E12">
        <w:rPr>
          <w:rFonts w:ascii="標楷體" w:eastAsia="標楷體" w:hAnsi="標楷體"/>
        </w:rPr>
        <w:t>trifenatate</w:t>
      </w:r>
      <w:proofErr w:type="spellEnd"/>
      <w:r w:rsidRPr="00E17E12">
        <w:rPr>
          <w:rFonts w:ascii="標楷體" w:eastAsia="標楷體" w:hAnsi="標楷體"/>
        </w:rPr>
        <w:t xml:space="preserve"> (如</w:t>
      </w:r>
      <w:proofErr w:type="spellStart"/>
      <w:r w:rsidRPr="00E17E12">
        <w:rPr>
          <w:rFonts w:ascii="標楷體" w:eastAsia="標楷體" w:hAnsi="標楷體"/>
        </w:rPr>
        <w:t>Trelegy</w:t>
      </w:r>
      <w:proofErr w:type="spellEnd"/>
      <w:r w:rsidRPr="00E17E12">
        <w:rPr>
          <w:rFonts w:ascii="標楷體" w:eastAsia="標楷體" w:hAnsi="標楷體"/>
        </w:rPr>
        <w:t xml:space="preserve"> Ellipta 92/55/22 mcg Inhalation Powder、</w:t>
      </w:r>
      <w:proofErr w:type="spellStart"/>
      <w:r w:rsidRPr="00E17E12">
        <w:rPr>
          <w:rFonts w:ascii="標楷體" w:eastAsia="標楷體" w:hAnsi="標楷體"/>
        </w:rPr>
        <w:t>Trelegy</w:t>
      </w:r>
      <w:proofErr w:type="spellEnd"/>
      <w:r w:rsidRPr="00E17E12">
        <w:rPr>
          <w:rFonts w:ascii="標楷體" w:eastAsia="標楷體" w:hAnsi="標楷體"/>
        </w:rPr>
        <w:t xml:space="preserve"> Ellipta 184/55/22 mcg Inhalation Powder) (108/7/1、109/11/1、112/2/1、113/8/1)：</w:t>
      </w:r>
    </w:p>
    <w:p w14:paraId="49595CCB" w14:textId="77777777" w:rsidR="00B86A2D" w:rsidRPr="00E17E12" w:rsidRDefault="00B86A2D" w:rsidP="00B86A2D">
      <w:pPr>
        <w:spacing w:line="400" w:lineRule="exact"/>
        <w:ind w:left="1186" w:hanging="336"/>
        <w:rPr>
          <w:rFonts w:ascii="標楷體" w:eastAsia="標楷體" w:hAnsi="標楷體"/>
        </w:rPr>
      </w:pPr>
      <w:r w:rsidRPr="00E17E12">
        <w:rPr>
          <w:rFonts w:ascii="標楷體" w:eastAsia="標楷體" w:hAnsi="標楷體"/>
        </w:rPr>
        <w:t>(1)慢性阻塞性肺病患者的維持治療(限用</w:t>
      </w:r>
      <w:proofErr w:type="spellStart"/>
      <w:r w:rsidRPr="00E17E12">
        <w:rPr>
          <w:rFonts w:ascii="標楷體" w:eastAsia="標楷體" w:hAnsi="標楷體"/>
        </w:rPr>
        <w:t>Trelegy</w:t>
      </w:r>
      <w:proofErr w:type="spellEnd"/>
      <w:r w:rsidRPr="00E17E12">
        <w:rPr>
          <w:rFonts w:ascii="標楷體" w:eastAsia="標楷體" w:hAnsi="標楷體"/>
        </w:rPr>
        <w:t xml:space="preserve"> Ellipta 92/55/22 mcg Inhalation Powder)，且須同時符合以下條件：(112/2/1)</w:t>
      </w:r>
    </w:p>
    <w:p w14:paraId="0449A6CD" w14:textId="77777777" w:rsidR="00B86A2D" w:rsidRPr="00E17E12" w:rsidRDefault="00B86A2D" w:rsidP="00B86A2D">
      <w:pPr>
        <w:spacing w:line="400" w:lineRule="exact"/>
        <w:ind w:left="850"/>
        <w:rPr>
          <w:rFonts w:ascii="標楷體" w:eastAsia="標楷體" w:hAnsi="標楷體"/>
        </w:rPr>
      </w:pPr>
      <w:r w:rsidRPr="00E17E12">
        <w:rPr>
          <w:rFonts w:ascii="標楷體" w:eastAsia="標楷體" w:hAnsi="標楷體"/>
        </w:rPr>
        <w:t xml:space="preserve"> </w:t>
      </w:r>
      <w:proofErr w:type="spellStart"/>
      <w:r w:rsidRPr="00E17E12">
        <w:rPr>
          <w:rFonts w:ascii="標楷體" w:eastAsia="標楷體" w:hAnsi="標楷體"/>
        </w:rPr>
        <w:t>I.Gold</w:t>
      </w:r>
      <w:proofErr w:type="spellEnd"/>
      <w:r w:rsidRPr="00E17E12">
        <w:rPr>
          <w:rFonts w:ascii="標楷體" w:eastAsia="標楷體" w:hAnsi="標楷體"/>
        </w:rPr>
        <w:t xml:space="preserve"> Guideline Group D 病人。（109/11/1） </w:t>
      </w:r>
    </w:p>
    <w:p w14:paraId="1890ABCA" w14:textId="77777777" w:rsidR="00B86A2D" w:rsidRPr="00E17E12" w:rsidRDefault="00B86A2D" w:rsidP="00B86A2D">
      <w:pPr>
        <w:spacing w:line="400" w:lineRule="exact"/>
        <w:ind w:left="1276" w:hanging="480"/>
        <w:rPr>
          <w:rFonts w:ascii="標楷體" w:eastAsia="標楷體" w:hAnsi="標楷體"/>
        </w:rPr>
      </w:pPr>
      <w:r w:rsidRPr="00E17E12">
        <w:rPr>
          <w:rFonts w:ascii="標楷體" w:eastAsia="標楷體" w:hAnsi="標楷體"/>
        </w:rPr>
        <w:t xml:space="preserve"> Ⅱ.已接受吸入性皮質類固醇與長效β2 作用劑或長效β2 作用劑與長</w:t>
      </w:r>
      <w:proofErr w:type="gramStart"/>
      <w:r w:rsidRPr="00E17E12">
        <w:rPr>
          <w:rFonts w:ascii="標楷體" w:eastAsia="標楷體" w:hAnsi="標楷體"/>
        </w:rPr>
        <w:t>效抗膽鹼劑</w:t>
      </w:r>
      <w:proofErr w:type="gramEnd"/>
      <w:r w:rsidRPr="00E17E12">
        <w:rPr>
          <w:rFonts w:ascii="標楷體" w:eastAsia="標楷體" w:hAnsi="標楷體"/>
        </w:rPr>
        <w:t xml:space="preserve">合併治療，仍然有顯著症狀或惡化控制不佳者。(109/11/1)  </w:t>
      </w:r>
    </w:p>
    <w:p w14:paraId="011B2965" w14:textId="77777777" w:rsidR="00B86A2D" w:rsidRPr="00E17E12" w:rsidRDefault="00B86A2D" w:rsidP="00B86A2D">
      <w:pPr>
        <w:spacing w:line="400" w:lineRule="exact"/>
        <w:ind w:left="1276" w:hanging="425"/>
        <w:rPr>
          <w:rFonts w:ascii="標楷體" w:eastAsia="標楷體" w:hAnsi="標楷體"/>
        </w:rPr>
      </w:pPr>
      <w:r w:rsidRPr="00E17E12">
        <w:rPr>
          <w:rFonts w:ascii="標楷體" w:eastAsia="標楷體" w:hAnsi="標楷體"/>
        </w:rPr>
        <w:t>(2)用於</w:t>
      </w:r>
      <w:proofErr w:type="gramStart"/>
      <w:r w:rsidRPr="00E17E12">
        <w:rPr>
          <w:rFonts w:ascii="標楷體" w:eastAsia="標楷體" w:hAnsi="標楷體"/>
        </w:rPr>
        <w:t>併</w:t>
      </w:r>
      <w:proofErr w:type="gramEnd"/>
      <w:r w:rsidRPr="00E17E12">
        <w:rPr>
          <w:rFonts w:ascii="標楷體" w:eastAsia="標楷體" w:hAnsi="標楷體"/>
        </w:rPr>
        <w:t>用吸入性長效型β2-腎上腺受體作用劑和吸入性皮質類固醇治療氣喘仍控制不佳的成年病人，做為氣喘維持治療。(112/2/1)</w:t>
      </w:r>
    </w:p>
    <w:p w14:paraId="0A0FC656" w14:textId="77777777" w:rsidR="00B86A2D" w:rsidRPr="00E17E12" w:rsidRDefault="00B86A2D" w:rsidP="00B86A2D">
      <w:pPr>
        <w:spacing w:line="400" w:lineRule="exact"/>
        <w:ind w:left="1134" w:hanging="283"/>
        <w:rPr>
          <w:rFonts w:ascii="標楷體" w:eastAsia="標楷體" w:hAnsi="標楷體"/>
        </w:rPr>
      </w:pPr>
      <w:r w:rsidRPr="00E17E12">
        <w:rPr>
          <w:rFonts w:ascii="標楷體" w:eastAsia="標楷體" w:hAnsi="標楷體"/>
        </w:rPr>
        <w:t>(3)每28天限用1盒(30 劑)。(113/8/1)</w:t>
      </w:r>
    </w:p>
    <w:p w14:paraId="1A387F07" w14:textId="77777777" w:rsidR="00B86A2D" w:rsidRPr="00E17E12" w:rsidRDefault="00B86A2D" w:rsidP="00B86A2D">
      <w:pPr>
        <w:spacing w:line="400" w:lineRule="exact"/>
        <w:ind w:left="1276" w:hanging="425"/>
      </w:pPr>
      <w:r w:rsidRPr="00E17E12">
        <w:rPr>
          <w:rFonts w:ascii="標楷體" w:eastAsia="標楷體" w:hAnsi="標楷體"/>
        </w:rPr>
        <w:t xml:space="preserve">(4)不得與中/高劑量吸入性皮質類固醇(ICS)/長效型乙二型擬交感神經劑(LABA)之固定劑量組合 (fixed dose </w:t>
      </w:r>
      <w:proofErr w:type="spellStart"/>
      <w:r w:rsidRPr="00E17E12">
        <w:rPr>
          <w:rFonts w:ascii="標楷體" w:eastAsia="標楷體" w:hAnsi="標楷體"/>
        </w:rPr>
        <w:t>combination,FDC</w:t>
      </w:r>
      <w:proofErr w:type="spellEnd"/>
      <w:r w:rsidRPr="00E17E12">
        <w:rPr>
          <w:rFonts w:ascii="標楷體" w:eastAsia="標楷體" w:hAnsi="標楷體"/>
        </w:rPr>
        <w:t>) 藥品</w:t>
      </w:r>
      <w:proofErr w:type="gramStart"/>
      <w:r w:rsidRPr="00E17E12">
        <w:rPr>
          <w:rFonts w:ascii="標楷體" w:eastAsia="標楷體" w:hAnsi="標楷體"/>
        </w:rPr>
        <w:t>併</w:t>
      </w:r>
      <w:proofErr w:type="gramEnd"/>
      <w:r w:rsidRPr="00E17E12">
        <w:rPr>
          <w:rFonts w:ascii="標楷體" w:eastAsia="標楷體" w:hAnsi="標楷體"/>
        </w:rPr>
        <w:t>用。</w:t>
      </w:r>
    </w:p>
    <w:p w14:paraId="046DEDDA"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3.Beclometasone dipropionate/ formoterol fumarate dihydrate/</w:t>
      </w:r>
      <w:proofErr w:type="spellStart"/>
      <w:r w:rsidRPr="00E17E12">
        <w:rPr>
          <w:rFonts w:ascii="標楷體" w:eastAsia="標楷體" w:hAnsi="標楷體"/>
        </w:rPr>
        <w:t>glycopyrronium</w:t>
      </w:r>
      <w:proofErr w:type="spellEnd"/>
      <w:r w:rsidRPr="00E17E12">
        <w:rPr>
          <w:rFonts w:ascii="標楷體" w:eastAsia="標楷體" w:hAnsi="標楷體"/>
        </w:rPr>
        <w:t xml:space="preserve"> bromide</w:t>
      </w:r>
      <w:r w:rsidRPr="00E17E12">
        <w:rPr>
          <w:rFonts w:ascii="標楷體" w:eastAsia="標楷體" w:hAnsi="標楷體" w:hint="eastAsia"/>
        </w:rPr>
        <w:t>(如</w:t>
      </w:r>
      <w:proofErr w:type="spellStart"/>
      <w:r w:rsidRPr="00E17E12">
        <w:rPr>
          <w:rFonts w:ascii="標楷體" w:eastAsia="標楷體" w:hAnsi="標楷體" w:hint="eastAsia"/>
        </w:rPr>
        <w:t>Trimbow</w:t>
      </w:r>
      <w:proofErr w:type="spellEnd"/>
      <w:r w:rsidRPr="00E17E12">
        <w:rPr>
          <w:rFonts w:ascii="標楷體" w:eastAsia="標楷體" w:hAnsi="標楷體" w:hint="eastAsia"/>
        </w:rPr>
        <w:t>)</w:t>
      </w:r>
      <w:r w:rsidRPr="00E17E12">
        <w:rPr>
          <w:rFonts w:ascii="標楷體" w:eastAsia="標楷體" w:hAnsi="標楷體"/>
        </w:rPr>
        <w:t xml:space="preserve"> (109/3/1、113/8/1</w:t>
      </w:r>
      <w:r w:rsidRPr="00E17E12">
        <w:rPr>
          <w:rFonts w:ascii="標楷體" w:eastAsia="標楷體" w:hAnsi="標楷體" w:hint="eastAsia"/>
          <w:bCs/>
          <w:szCs w:val="28"/>
        </w:rPr>
        <w:t>、</w:t>
      </w:r>
      <w:r w:rsidRPr="00E17E12">
        <w:rPr>
          <w:rFonts w:ascii="標楷體" w:eastAsia="標楷體" w:hAnsi="標楷體" w:hint="eastAsia"/>
          <w:bCs/>
        </w:rPr>
        <w:t>115</w:t>
      </w:r>
      <w:r w:rsidRPr="00E17E12">
        <w:rPr>
          <w:rFonts w:ascii="標楷體" w:eastAsia="標楷體" w:hAnsi="標楷體" w:hint="eastAsia"/>
          <w:bCs/>
          <w:szCs w:val="28"/>
        </w:rPr>
        <w:t>/</w:t>
      </w:r>
      <w:r w:rsidRPr="00E17E12">
        <w:rPr>
          <w:rFonts w:ascii="標楷體" w:eastAsia="標楷體" w:hAnsi="標楷體" w:hint="eastAsia"/>
          <w:bCs/>
        </w:rPr>
        <w:t>3</w:t>
      </w:r>
      <w:r w:rsidRPr="00E17E12">
        <w:rPr>
          <w:rFonts w:ascii="標楷體" w:eastAsia="標楷體" w:hAnsi="標楷體" w:hint="eastAsia"/>
          <w:bCs/>
          <w:szCs w:val="28"/>
        </w:rPr>
        <w:t>/</w:t>
      </w:r>
      <w:r w:rsidRPr="00E17E12">
        <w:rPr>
          <w:rFonts w:ascii="標楷體" w:eastAsia="標楷體" w:hAnsi="標楷體" w:hint="eastAsia"/>
        </w:rPr>
        <w:t>1</w:t>
      </w:r>
      <w:r w:rsidRPr="00E17E12">
        <w:rPr>
          <w:rFonts w:ascii="標楷體" w:eastAsia="標楷體" w:hAnsi="標楷體"/>
        </w:rPr>
        <w:t>)：</w:t>
      </w:r>
    </w:p>
    <w:p w14:paraId="084A65CE" w14:textId="77777777" w:rsidR="00B86A2D" w:rsidRPr="00E17E12" w:rsidRDefault="00B86A2D" w:rsidP="00B86A2D">
      <w:pPr>
        <w:spacing w:line="400" w:lineRule="exact"/>
        <w:ind w:left="1276" w:hanging="425"/>
        <w:rPr>
          <w:rFonts w:ascii="標楷體" w:eastAsia="標楷體" w:hAnsi="標楷體"/>
          <w:color w:val="000000"/>
        </w:rPr>
      </w:pPr>
      <w:r w:rsidRPr="00E17E12">
        <w:rPr>
          <w:rFonts w:ascii="標楷體" w:eastAsia="標楷體" w:hAnsi="標楷體"/>
          <w:color w:val="000000"/>
        </w:rPr>
        <w:t>(1)</w:t>
      </w:r>
      <w:r w:rsidRPr="00E17E12">
        <w:rPr>
          <w:rFonts w:ascii="標楷體" w:eastAsia="標楷體" w:hAnsi="標楷體" w:hint="eastAsia"/>
          <w:color w:val="000000"/>
        </w:rPr>
        <w:t>用於慢性阻塞性肺病病人的維持治療(限用</w:t>
      </w:r>
      <w:proofErr w:type="spellStart"/>
      <w:r w:rsidRPr="00E17E12">
        <w:rPr>
          <w:rFonts w:ascii="標楷體" w:eastAsia="標楷體" w:hAnsi="標楷體" w:hint="eastAsia"/>
          <w:color w:val="000000"/>
        </w:rPr>
        <w:t>Trimbow</w:t>
      </w:r>
      <w:proofErr w:type="spellEnd"/>
      <w:r w:rsidRPr="00E17E12">
        <w:rPr>
          <w:rFonts w:ascii="標楷體" w:eastAsia="標楷體" w:hAnsi="標楷體" w:hint="eastAsia"/>
          <w:color w:val="000000"/>
        </w:rPr>
        <w:t xml:space="preserve"> 100/6/12.5 mcg/dose)，且須同時符合以下條件(109/3/1、115/3/1)：</w:t>
      </w:r>
    </w:p>
    <w:p w14:paraId="29304201" w14:textId="77777777" w:rsidR="00B86A2D" w:rsidRPr="00E17E12" w:rsidRDefault="00B86A2D" w:rsidP="00B86A2D">
      <w:pPr>
        <w:spacing w:line="400" w:lineRule="exact"/>
        <w:ind w:leftChars="414" w:left="1275" w:hangingChars="117" w:hanging="281"/>
        <w:rPr>
          <w:rFonts w:ascii="標楷體" w:eastAsia="標楷體" w:hAnsi="標楷體"/>
          <w:color w:val="000000"/>
        </w:rPr>
      </w:pPr>
      <w:r w:rsidRPr="00E17E12">
        <w:rPr>
          <w:rFonts w:ascii="標楷體" w:eastAsia="標楷體" w:hAnsi="標楷體"/>
          <w:color w:val="000000"/>
        </w:rPr>
        <w:t>I.</w:t>
      </w:r>
      <w:r w:rsidRPr="00E17E12">
        <w:rPr>
          <w:rFonts w:ascii="標楷體" w:eastAsia="標楷體" w:hAnsi="標楷體" w:hint="eastAsia"/>
          <w:color w:val="000000"/>
        </w:rPr>
        <w:t>重度以上(FEV1 少於預測值之50%)及有反覆惡化病史之成人病人。</w:t>
      </w:r>
    </w:p>
    <w:p w14:paraId="3B60D800" w14:textId="77777777" w:rsidR="00B86A2D" w:rsidRPr="00E17E12" w:rsidRDefault="00B86A2D" w:rsidP="00B86A2D">
      <w:pPr>
        <w:tabs>
          <w:tab w:val="left" w:pos="1418"/>
        </w:tabs>
        <w:spacing w:line="400" w:lineRule="exact"/>
        <w:ind w:left="1418" w:hanging="425"/>
        <w:rPr>
          <w:rFonts w:ascii="標楷體" w:eastAsia="標楷體" w:hAnsi="標楷體"/>
          <w:color w:val="000000"/>
        </w:rPr>
      </w:pPr>
      <w:r w:rsidRPr="00E17E12">
        <w:rPr>
          <w:rFonts w:ascii="標楷體" w:eastAsia="標楷體" w:hAnsi="標楷體"/>
          <w:color w:val="000000"/>
        </w:rPr>
        <w:t>Ⅱ.已接受吸入型皮質類固醇與長效β2作用劑合併治療，仍然有顯著症狀或惡化控制不佳者。</w:t>
      </w:r>
    </w:p>
    <w:p w14:paraId="0D4B399A" w14:textId="77777777" w:rsidR="00B86A2D" w:rsidRDefault="00B86A2D" w:rsidP="00B86A2D">
      <w:pPr>
        <w:spacing w:line="400" w:lineRule="exact"/>
        <w:ind w:left="1276" w:hanging="385"/>
        <w:rPr>
          <w:rFonts w:ascii="標楷體" w:eastAsia="標楷體" w:hAnsi="標楷體"/>
          <w:color w:val="000000"/>
        </w:rPr>
      </w:pPr>
      <w:r w:rsidRPr="00E17E12">
        <w:rPr>
          <w:rFonts w:ascii="標楷體" w:eastAsia="標楷體" w:hAnsi="標楷體"/>
          <w:color w:val="000000"/>
        </w:rPr>
        <w:t>(2)</w:t>
      </w:r>
      <w:r w:rsidRPr="00E17E12">
        <w:rPr>
          <w:rFonts w:ascii="標楷體" w:eastAsia="標楷體" w:hAnsi="標楷體" w:hint="eastAsia"/>
          <w:color w:val="000000"/>
        </w:rPr>
        <w:t>用於</w:t>
      </w:r>
      <w:proofErr w:type="gramStart"/>
      <w:r w:rsidRPr="00E17E12">
        <w:rPr>
          <w:rFonts w:ascii="標楷體" w:eastAsia="標楷體" w:hAnsi="標楷體" w:hint="eastAsia"/>
          <w:color w:val="000000"/>
        </w:rPr>
        <w:t>併</w:t>
      </w:r>
      <w:proofErr w:type="gramEnd"/>
      <w:r w:rsidRPr="00E17E12">
        <w:rPr>
          <w:rFonts w:ascii="標楷體" w:eastAsia="標楷體" w:hAnsi="標楷體" w:hint="eastAsia"/>
          <w:color w:val="000000"/>
        </w:rPr>
        <w:t>用吸入性長效型β2-腎上腺受體作用劑和吸入性皮質類固醇治療氣喘仍控制不佳，且在過去一年至少發生一次急性惡化的成人病人，做為氣喘維持治療。(115/3/1)</w:t>
      </w:r>
    </w:p>
    <w:p w14:paraId="19ED9094" w14:textId="77777777" w:rsidR="00B86A2D" w:rsidRPr="00E17E12" w:rsidRDefault="00B86A2D" w:rsidP="00B86A2D">
      <w:pPr>
        <w:spacing w:line="400" w:lineRule="exact"/>
        <w:ind w:left="1134" w:hanging="245"/>
      </w:pPr>
      <w:r w:rsidRPr="00E17E12">
        <w:rPr>
          <w:rFonts w:ascii="標楷體" w:eastAsia="標楷體" w:hAnsi="標楷體"/>
          <w:color w:val="000000"/>
        </w:rPr>
        <w:t>(</w:t>
      </w:r>
      <w:r>
        <w:rPr>
          <w:rFonts w:ascii="標楷體" w:eastAsia="標楷體" w:hAnsi="標楷體" w:hint="eastAsia"/>
          <w:color w:val="000000"/>
        </w:rPr>
        <w:t>3</w:t>
      </w:r>
      <w:r w:rsidRPr="00E17E12">
        <w:rPr>
          <w:rFonts w:ascii="標楷體" w:eastAsia="標楷體" w:hAnsi="標楷體"/>
          <w:color w:val="000000"/>
        </w:rPr>
        <w:t>)每28天限用1盒(</w:t>
      </w:r>
      <w:bookmarkStart w:id="17" w:name="_Hlk109900791"/>
      <w:r w:rsidRPr="00E17E12">
        <w:rPr>
          <w:rFonts w:ascii="標楷體" w:eastAsia="標楷體" w:hAnsi="標楷體"/>
          <w:color w:val="000000"/>
        </w:rPr>
        <w:t>120</w:t>
      </w:r>
      <w:bookmarkEnd w:id="17"/>
      <w:r w:rsidRPr="00E17E12">
        <w:rPr>
          <w:rFonts w:ascii="標楷體" w:eastAsia="標楷體" w:hAnsi="標楷體"/>
          <w:color w:val="000000"/>
        </w:rPr>
        <w:t>劑)。</w:t>
      </w:r>
      <w:r w:rsidRPr="00E17E12">
        <w:rPr>
          <w:rFonts w:ascii="標楷體" w:eastAsia="標楷體" w:hAnsi="標楷體"/>
        </w:rPr>
        <w:t>(113/8/1)</w:t>
      </w:r>
    </w:p>
    <w:p w14:paraId="49D04A1E"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4.Indacaterol acetate/</w:t>
      </w:r>
      <w:proofErr w:type="spellStart"/>
      <w:r w:rsidRPr="00E17E12">
        <w:rPr>
          <w:rFonts w:ascii="標楷體" w:eastAsia="標楷體" w:hAnsi="標楷體"/>
        </w:rPr>
        <w:t>glycopyrronium</w:t>
      </w:r>
      <w:proofErr w:type="spellEnd"/>
      <w:r w:rsidRPr="00E17E12">
        <w:rPr>
          <w:rFonts w:ascii="標楷體" w:eastAsia="標楷體" w:hAnsi="標楷體"/>
        </w:rPr>
        <w:t xml:space="preserve"> bromide/mometasone furoate (如</w:t>
      </w:r>
      <w:proofErr w:type="spellStart"/>
      <w:r w:rsidRPr="00E17E12">
        <w:rPr>
          <w:rFonts w:ascii="標楷體" w:eastAsia="標楷體" w:hAnsi="標楷體"/>
        </w:rPr>
        <w:t>Enerzair</w:t>
      </w:r>
      <w:proofErr w:type="spellEnd"/>
      <w:r w:rsidRPr="00E17E12">
        <w:rPr>
          <w:rFonts w:ascii="標楷體" w:eastAsia="標楷體" w:hAnsi="標楷體"/>
        </w:rPr>
        <w:t xml:space="preserve"> </w:t>
      </w:r>
      <w:proofErr w:type="spellStart"/>
      <w:r w:rsidRPr="00E17E12">
        <w:rPr>
          <w:rFonts w:ascii="標楷體" w:eastAsia="標楷體" w:hAnsi="標楷體"/>
        </w:rPr>
        <w:t>breezhaler</w:t>
      </w:r>
      <w:proofErr w:type="spellEnd"/>
      <w:r w:rsidRPr="00E17E12">
        <w:rPr>
          <w:rFonts w:ascii="標楷體" w:eastAsia="標楷體" w:hAnsi="標楷體"/>
        </w:rPr>
        <w:t>)（111/4/1、113/8/1）</w:t>
      </w:r>
    </w:p>
    <w:p w14:paraId="56B83E42" w14:textId="77777777" w:rsidR="00B86A2D" w:rsidRPr="00E17E12" w:rsidRDefault="00B86A2D" w:rsidP="00B86A2D">
      <w:pPr>
        <w:spacing w:line="400" w:lineRule="exact"/>
        <w:ind w:left="1276" w:hanging="360"/>
        <w:rPr>
          <w:rFonts w:ascii="標楷體" w:eastAsia="標楷體" w:hAnsi="標楷體"/>
          <w:color w:val="000000"/>
        </w:rPr>
      </w:pPr>
      <w:r w:rsidRPr="00E17E12">
        <w:rPr>
          <w:rFonts w:ascii="標楷體" w:eastAsia="標楷體" w:hAnsi="標楷體"/>
          <w:color w:val="000000"/>
        </w:rPr>
        <w:t>(1)適用於</w:t>
      </w:r>
      <w:proofErr w:type="gramStart"/>
      <w:r w:rsidRPr="00E17E12">
        <w:rPr>
          <w:rFonts w:ascii="標楷體" w:eastAsia="標楷體" w:hAnsi="標楷體"/>
          <w:color w:val="000000"/>
        </w:rPr>
        <w:t>併</w:t>
      </w:r>
      <w:proofErr w:type="gramEnd"/>
      <w:r w:rsidRPr="00E17E12">
        <w:rPr>
          <w:rFonts w:ascii="標楷體" w:eastAsia="標楷體" w:hAnsi="標楷體"/>
          <w:color w:val="000000"/>
        </w:rPr>
        <w:t>用吸入性長效型β2-腎上腺受體作用劑和吸入性皮質類固醇治療氣喘</w:t>
      </w:r>
      <w:r w:rsidRPr="00E17E12">
        <w:rPr>
          <w:rFonts w:ascii="標楷體" w:eastAsia="標楷體" w:hAnsi="標楷體"/>
          <w:color w:val="000000"/>
        </w:rPr>
        <w:lastRenderedPageBreak/>
        <w:t>仍控制不佳，且在過去一年至少發生一次急性惡化的成人，做為氣喘維持治療。</w:t>
      </w:r>
    </w:p>
    <w:p w14:paraId="75395040" w14:textId="77777777" w:rsidR="00B86A2D" w:rsidRPr="00E17E12" w:rsidRDefault="00B86A2D" w:rsidP="00B86A2D">
      <w:pPr>
        <w:spacing w:line="400" w:lineRule="exact"/>
        <w:ind w:left="1134" w:hanging="245"/>
      </w:pPr>
      <w:r w:rsidRPr="00E17E12">
        <w:rPr>
          <w:rFonts w:ascii="標楷體" w:eastAsia="標楷體" w:hAnsi="標楷體"/>
          <w:color w:val="000000"/>
        </w:rPr>
        <w:t>(2)每28天限用1盒。</w:t>
      </w:r>
      <w:r w:rsidRPr="00E17E12">
        <w:rPr>
          <w:rFonts w:ascii="標楷體" w:eastAsia="標楷體" w:hAnsi="標楷體"/>
        </w:rPr>
        <w:t>(113/8/1)</w:t>
      </w:r>
    </w:p>
    <w:p w14:paraId="32C8A521" w14:textId="77777777" w:rsidR="00B86A2D" w:rsidRPr="00E17E12" w:rsidRDefault="00B86A2D" w:rsidP="00B86A2D">
      <w:pPr>
        <w:spacing w:line="400" w:lineRule="exact"/>
        <w:ind w:leftChars="237" w:left="850" w:hangingChars="117" w:hanging="281"/>
        <w:rPr>
          <w:rFonts w:ascii="標楷體" w:eastAsia="標楷體" w:hAnsi="標楷體"/>
          <w:color w:val="000000"/>
        </w:rPr>
      </w:pPr>
      <w:r w:rsidRPr="00E17E12">
        <w:rPr>
          <w:rFonts w:ascii="標楷體" w:eastAsia="標楷體" w:hAnsi="標楷體"/>
          <w:color w:val="000000"/>
        </w:rPr>
        <w:t>5.Budesonide/</w:t>
      </w:r>
      <w:proofErr w:type="spellStart"/>
      <w:r w:rsidRPr="00E17E12">
        <w:rPr>
          <w:rFonts w:ascii="標楷體" w:eastAsia="標楷體" w:hAnsi="標楷體"/>
          <w:color w:val="000000"/>
        </w:rPr>
        <w:t>glycopyrronium</w:t>
      </w:r>
      <w:proofErr w:type="spellEnd"/>
      <w:r w:rsidRPr="00E17E12">
        <w:rPr>
          <w:rFonts w:ascii="標楷體" w:eastAsia="標楷體" w:hAnsi="標楷體"/>
          <w:color w:val="000000"/>
        </w:rPr>
        <w:t xml:space="preserve"> bromide/formoterol fumarate dihydrate (如</w:t>
      </w:r>
    </w:p>
    <w:p w14:paraId="5673C2D2" w14:textId="77777777" w:rsidR="00B86A2D" w:rsidRPr="00E17E12" w:rsidRDefault="00B86A2D" w:rsidP="00B86A2D">
      <w:pPr>
        <w:spacing w:line="400" w:lineRule="exact"/>
        <w:ind w:left="775"/>
        <w:rPr>
          <w:rFonts w:ascii="標楷體" w:eastAsia="標楷體" w:hAnsi="標楷體"/>
          <w:color w:val="000000"/>
        </w:rPr>
      </w:pPr>
      <w:proofErr w:type="spellStart"/>
      <w:r w:rsidRPr="00E17E12">
        <w:rPr>
          <w:rFonts w:ascii="標楷體" w:eastAsia="標楷體" w:hAnsi="標楷體"/>
          <w:color w:val="000000"/>
        </w:rPr>
        <w:t>Breztri</w:t>
      </w:r>
      <w:proofErr w:type="spellEnd"/>
      <w:r w:rsidRPr="00E17E12">
        <w:rPr>
          <w:rFonts w:ascii="標楷體" w:eastAsia="標楷體" w:hAnsi="標楷體"/>
          <w:color w:val="000000"/>
        </w:rPr>
        <w:t xml:space="preserve"> aerosphere)（112/4/1、113/8/1）</w:t>
      </w:r>
    </w:p>
    <w:p w14:paraId="3205D858" w14:textId="77777777" w:rsidR="00B86A2D" w:rsidRPr="00E17E12" w:rsidRDefault="00B86A2D" w:rsidP="00B86A2D">
      <w:pPr>
        <w:spacing w:line="400" w:lineRule="exact"/>
        <w:ind w:left="1217" w:hanging="245"/>
        <w:rPr>
          <w:rFonts w:ascii="標楷體" w:eastAsia="標楷體" w:hAnsi="標楷體"/>
          <w:color w:val="000000"/>
        </w:rPr>
      </w:pPr>
      <w:r w:rsidRPr="00E17E12">
        <w:rPr>
          <w:rFonts w:ascii="標楷體" w:eastAsia="標楷體" w:hAnsi="標楷體"/>
          <w:color w:val="000000"/>
        </w:rPr>
        <w:t>(1)限用於慢性阻塞性肺病患者的維持治療，且須符合以下任</w:t>
      </w:r>
      <w:proofErr w:type="gramStart"/>
      <w:r w:rsidRPr="00E17E12">
        <w:rPr>
          <w:rFonts w:ascii="標楷體" w:eastAsia="標楷體" w:hAnsi="標楷體"/>
          <w:color w:val="000000"/>
        </w:rPr>
        <w:t>一</w:t>
      </w:r>
      <w:proofErr w:type="gramEnd"/>
      <w:r w:rsidRPr="00E17E12">
        <w:rPr>
          <w:rFonts w:ascii="標楷體" w:eastAsia="標楷體" w:hAnsi="標楷體"/>
          <w:color w:val="000000"/>
        </w:rPr>
        <w:t>條件：</w:t>
      </w:r>
    </w:p>
    <w:p w14:paraId="25496A95" w14:textId="77777777" w:rsidR="00B86A2D" w:rsidRPr="00E17E12" w:rsidRDefault="00B86A2D" w:rsidP="00B86A2D">
      <w:pPr>
        <w:spacing w:line="400" w:lineRule="exact"/>
        <w:ind w:left="1276" w:hanging="284"/>
        <w:rPr>
          <w:rFonts w:ascii="標楷體" w:eastAsia="標楷體" w:hAnsi="標楷體"/>
          <w:color w:val="000000"/>
        </w:rPr>
      </w:pPr>
      <w:r w:rsidRPr="00E17E12">
        <w:rPr>
          <w:rFonts w:ascii="標楷體" w:eastAsia="標楷體" w:hAnsi="標楷體"/>
          <w:color w:val="000000"/>
        </w:rPr>
        <w:t xml:space="preserve"> </w:t>
      </w:r>
      <w:proofErr w:type="spellStart"/>
      <w:r w:rsidRPr="00E17E12">
        <w:rPr>
          <w:rFonts w:ascii="標楷體" w:eastAsia="標楷體" w:hAnsi="標楷體"/>
          <w:color w:val="000000"/>
        </w:rPr>
        <w:t>I.Gold</w:t>
      </w:r>
      <w:proofErr w:type="spellEnd"/>
      <w:r w:rsidRPr="00E17E12">
        <w:rPr>
          <w:rFonts w:ascii="標楷體" w:eastAsia="標楷體" w:hAnsi="標楷體"/>
          <w:color w:val="000000"/>
        </w:rPr>
        <w:t xml:space="preserve"> Guideline Group D病人，已接受吸入性皮質類固醇與長效β2作用劑或長效β2作用劑與長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合併治療，仍然有顯著症狀或惡化控制不佳者。</w:t>
      </w:r>
    </w:p>
    <w:p w14:paraId="0C8A9BF7" w14:textId="77777777" w:rsidR="00B86A2D" w:rsidRPr="00E17E12" w:rsidRDefault="00B86A2D" w:rsidP="00B86A2D">
      <w:pPr>
        <w:spacing w:line="400" w:lineRule="exact"/>
        <w:ind w:left="1217" w:hanging="245"/>
        <w:rPr>
          <w:rFonts w:ascii="標楷體" w:eastAsia="標楷體" w:hAnsi="標楷體"/>
          <w:color w:val="000000"/>
        </w:rPr>
      </w:pPr>
      <w:r w:rsidRPr="00E17E12">
        <w:rPr>
          <w:rFonts w:ascii="標楷體" w:eastAsia="標楷體" w:hAnsi="標楷體"/>
          <w:color w:val="000000"/>
        </w:rPr>
        <w:t xml:space="preserve"> </w:t>
      </w:r>
      <w:proofErr w:type="spellStart"/>
      <w:r w:rsidRPr="00E17E12">
        <w:rPr>
          <w:rFonts w:ascii="標楷體" w:eastAsia="標楷體" w:hAnsi="標楷體"/>
          <w:color w:val="000000"/>
        </w:rPr>
        <w:t>Ⅱ.Gold</w:t>
      </w:r>
      <w:proofErr w:type="spellEnd"/>
      <w:r w:rsidRPr="00E17E12">
        <w:rPr>
          <w:rFonts w:ascii="標楷體" w:eastAsia="標楷體" w:hAnsi="標楷體"/>
          <w:color w:val="000000"/>
        </w:rPr>
        <w:t xml:space="preserve"> Guideline Group B病人，並須符合以下任</w:t>
      </w:r>
      <w:proofErr w:type="gramStart"/>
      <w:r w:rsidRPr="00E17E12">
        <w:rPr>
          <w:rFonts w:ascii="標楷體" w:eastAsia="標楷體" w:hAnsi="標楷體"/>
          <w:color w:val="000000"/>
        </w:rPr>
        <w:t>一</w:t>
      </w:r>
      <w:proofErr w:type="gramEnd"/>
      <w:r w:rsidRPr="00E17E12">
        <w:rPr>
          <w:rFonts w:ascii="標楷體" w:eastAsia="標楷體" w:hAnsi="標楷體"/>
          <w:color w:val="000000"/>
        </w:rPr>
        <w:t>條件：</w:t>
      </w:r>
    </w:p>
    <w:p w14:paraId="3C8E114C" w14:textId="77777777" w:rsidR="00B86A2D" w:rsidRPr="00E17E12" w:rsidRDefault="00B86A2D" w:rsidP="00B86A2D">
      <w:pPr>
        <w:spacing w:line="400" w:lineRule="exact"/>
        <w:ind w:left="1560" w:hanging="425"/>
        <w:rPr>
          <w:rFonts w:ascii="標楷體" w:eastAsia="標楷體" w:hAnsi="標楷體"/>
          <w:color w:val="000000"/>
        </w:rPr>
      </w:pPr>
      <w:r w:rsidRPr="00E17E12">
        <w:rPr>
          <w:rFonts w:ascii="標楷體" w:eastAsia="標楷體" w:hAnsi="標楷體"/>
          <w:color w:val="000000"/>
        </w:rPr>
        <w:t xml:space="preserve"> </w:t>
      </w:r>
      <w:proofErr w:type="spellStart"/>
      <w:r w:rsidRPr="00E17E12">
        <w:rPr>
          <w:rFonts w:ascii="標楷體" w:eastAsia="標楷體" w:hAnsi="標楷體"/>
          <w:color w:val="000000"/>
        </w:rPr>
        <w:t>i</w:t>
      </w:r>
      <w:proofErr w:type="spellEnd"/>
      <w:r w:rsidRPr="00E17E12">
        <w:rPr>
          <w:rFonts w:ascii="標楷體" w:eastAsia="標楷體" w:hAnsi="標楷體"/>
          <w:color w:val="000000"/>
        </w:rPr>
        <w:t xml:space="preserve">.已接受兩個裝置以上(multiple inhaler triple </w:t>
      </w:r>
      <w:proofErr w:type="spellStart"/>
      <w:r w:rsidRPr="00E17E12">
        <w:rPr>
          <w:rFonts w:ascii="標楷體" w:eastAsia="標楷體" w:hAnsi="標楷體"/>
          <w:color w:val="000000"/>
        </w:rPr>
        <w:t>therapy,MITT</w:t>
      </w:r>
      <w:proofErr w:type="spellEnd"/>
      <w:r w:rsidRPr="00E17E12">
        <w:rPr>
          <w:rFonts w:ascii="標楷體" w:eastAsia="標楷體" w:hAnsi="標楷體"/>
          <w:color w:val="000000"/>
        </w:rPr>
        <w:t>)給藥之吸入性皮質類固醇與長效β2作用劑與長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合併治療者。</w:t>
      </w:r>
    </w:p>
    <w:p w14:paraId="313A5DC9" w14:textId="77777777" w:rsidR="00B86A2D" w:rsidRPr="00E17E12" w:rsidRDefault="00B86A2D" w:rsidP="00B86A2D">
      <w:pPr>
        <w:spacing w:line="400" w:lineRule="exact"/>
        <w:ind w:left="1560" w:hanging="425"/>
        <w:rPr>
          <w:rFonts w:ascii="標楷體" w:eastAsia="標楷體" w:hAnsi="標楷體"/>
          <w:color w:val="000000"/>
        </w:rPr>
      </w:pPr>
      <w:r w:rsidRPr="00E17E12">
        <w:rPr>
          <w:rFonts w:ascii="標楷體" w:eastAsia="標楷體" w:hAnsi="標楷體"/>
          <w:color w:val="000000"/>
        </w:rPr>
        <w:t>ii.已接受吸入性皮質類固醇與長效β2作用劑或長效β2作用劑與長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合併治療，仍然有顯著症狀或惡化控制不佳。</w:t>
      </w:r>
    </w:p>
    <w:p w14:paraId="272CC54F" w14:textId="77777777" w:rsidR="00B86A2D" w:rsidRPr="00E17E12" w:rsidRDefault="00B86A2D" w:rsidP="00B86A2D">
      <w:pPr>
        <w:spacing w:line="400" w:lineRule="exact"/>
        <w:ind w:left="1217" w:hanging="245"/>
      </w:pPr>
      <w:r w:rsidRPr="00E17E12">
        <w:rPr>
          <w:rFonts w:ascii="標楷體" w:eastAsia="標楷體" w:hAnsi="標楷體"/>
          <w:color w:val="000000"/>
        </w:rPr>
        <w:t>(2)每28天限用1盒(120劑)。</w:t>
      </w:r>
      <w:r w:rsidRPr="00E17E12">
        <w:rPr>
          <w:rFonts w:ascii="標楷體" w:eastAsia="標楷體" w:hAnsi="標楷體"/>
        </w:rPr>
        <w:t>(113/8/1)</w:t>
      </w:r>
    </w:p>
    <w:p w14:paraId="7B9A20A4" w14:textId="77777777" w:rsidR="00401786" w:rsidRDefault="00B86A2D" w:rsidP="00B86A2D">
      <w:pPr>
        <w:snapToGrid w:val="0"/>
        <w:spacing w:after="120" w:line="300" w:lineRule="exact"/>
        <w:ind w:left="993"/>
        <w:rPr>
          <w:rFonts w:ascii="標楷體" w:eastAsia="標楷體" w:hAnsi="標楷體"/>
          <w:color w:val="000000"/>
        </w:rPr>
      </w:pPr>
      <w:r w:rsidRPr="00E17E12">
        <w:rPr>
          <w:rFonts w:ascii="標楷體" w:eastAsia="標楷體" w:hAnsi="標楷體"/>
          <w:color w:val="000000"/>
        </w:rPr>
        <w:t>(3)不得與其他含吸入性皮質類固醇或長效β2作用劑或長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合併使用。</w:t>
      </w:r>
    </w:p>
    <w:p w14:paraId="62E3359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6.2.其他  Miscellaneous </w:t>
      </w:r>
    </w:p>
    <w:p w14:paraId="418B4E4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6.2.1.Surfactant (如</w:t>
      </w:r>
      <w:proofErr w:type="spellStart"/>
      <w:r>
        <w:rPr>
          <w:rFonts w:ascii="標楷體" w:eastAsia="標楷體" w:hAnsi="標楷體"/>
          <w:color w:val="000000"/>
        </w:rPr>
        <w:t>Survanta</w:t>
      </w:r>
      <w:proofErr w:type="spellEnd"/>
      <w:r>
        <w:rPr>
          <w:rFonts w:ascii="標楷體" w:eastAsia="標楷體" w:hAnsi="標楷體"/>
          <w:color w:val="000000"/>
        </w:rPr>
        <w:t>、</w:t>
      </w:r>
      <w:proofErr w:type="spellStart"/>
      <w:r>
        <w:rPr>
          <w:rFonts w:ascii="標楷體" w:eastAsia="標楷體" w:hAnsi="標楷體"/>
          <w:color w:val="000000"/>
        </w:rPr>
        <w:t>Curosurf</w:t>
      </w:r>
      <w:proofErr w:type="spellEnd"/>
      <w:r>
        <w:rPr>
          <w:rFonts w:ascii="標楷體" w:eastAsia="標楷體" w:hAnsi="標楷體"/>
          <w:color w:val="000000"/>
        </w:rPr>
        <w:t>)：(85/1/1、113/9/1)</w:t>
      </w:r>
    </w:p>
    <w:p w14:paraId="1847AA2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1.用於新生兒(包含早產兒)因表面張力素不足引起的呼吸窘迫症候群 (respiratory distress syndrome, RDS)。(113/9/1)</w:t>
      </w:r>
    </w:p>
    <w:p w14:paraId="10576D4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2.符合下列治療條件之</w:t>
      </w:r>
      <w:proofErr w:type="gramStart"/>
      <w:r>
        <w:rPr>
          <w:rFonts w:ascii="標楷體" w:eastAsia="標楷體" w:hAnsi="標楷體"/>
          <w:color w:val="000000"/>
        </w:rPr>
        <w:t>一</w:t>
      </w:r>
      <w:proofErr w:type="gramEnd"/>
      <w:r>
        <w:rPr>
          <w:rFonts w:ascii="標楷體" w:eastAsia="標楷體" w:hAnsi="標楷體"/>
          <w:color w:val="000000"/>
        </w:rPr>
        <w:t>：(113/9/1)</w:t>
      </w:r>
    </w:p>
    <w:p w14:paraId="05078E0B" w14:textId="77777777" w:rsidR="00401786" w:rsidRDefault="00C64FB3" w:rsidP="0009639E">
      <w:pPr>
        <w:spacing w:line="300" w:lineRule="exact"/>
        <w:ind w:left="1049" w:hanging="341"/>
      </w:pPr>
      <w:r>
        <w:rPr>
          <w:rFonts w:ascii="標楷體" w:eastAsia="標楷體" w:hAnsi="標楷體"/>
          <w:color w:val="000000"/>
        </w:rPr>
        <w:t>(1)需使用非侵襲</w:t>
      </w:r>
      <w:proofErr w:type="gramStart"/>
      <w:r>
        <w:rPr>
          <w:rFonts w:ascii="標楷體" w:eastAsia="標楷體" w:hAnsi="標楷體"/>
          <w:color w:val="000000"/>
        </w:rPr>
        <w:t>性陽壓</w:t>
      </w:r>
      <w:proofErr w:type="gramEnd"/>
      <w:r>
        <w:rPr>
          <w:rFonts w:ascii="標楷體" w:eastAsia="標楷體" w:hAnsi="標楷體"/>
          <w:color w:val="000000"/>
        </w:rPr>
        <w:t>呼吸治療且氧氣(FiO</w:t>
      </w:r>
      <w:r>
        <w:rPr>
          <w:rFonts w:ascii="標楷體" w:eastAsia="標楷體" w:hAnsi="標楷體"/>
          <w:color w:val="000000"/>
          <w:vertAlign w:val="subscript"/>
        </w:rPr>
        <w:t>2</w:t>
      </w:r>
      <w:r>
        <w:rPr>
          <w:rFonts w:ascii="標楷體" w:eastAsia="標楷體" w:hAnsi="標楷體"/>
          <w:color w:val="000000"/>
        </w:rPr>
        <w:t>)設定於30%以上者。</w:t>
      </w:r>
    </w:p>
    <w:p w14:paraId="0DE0E24A" w14:textId="77777777" w:rsidR="00401786" w:rsidRDefault="00C64FB3" w:rsidP="0009639E">
      <w:pPr>
        <w:spacing w:line="300" w:lineRule="exact"/>
        <w:ind w:left="1049" w:hanging="341"/>
      </w:pPr>
      <w:r>
        <w:rPr>
          <w:rFonts w:ascii="標楷體" w:eastAsia="標楷體" w:hAnsi="標楷體"/>
          <w:color w:val="000000"/>
        </w:rPr>
        <w:t>(2)使用侵襲性呼吸輔助器者。</w:t>
      </w:r>
    </w:p>
    <w:p w14:paraId="0755DD6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3.使用時機：(113/9/1)</w:t>
      </w:r>
    </w:p>
    <w:p w14:paraId="041B1B2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Survanta</w:t>
      </w:r>
      <w:proofErr w:type="spellEnd"/>
      <w:r>
        <w:rPr>
          <w:rFonts w:ascii="標楷體" w:eastAsia="標楷體" w:hAnsi="標楷體"/>
          <w:color w:val="000000"/>
        </w:rPr>
        <w:t>：出生後48小時內最多使用4劑量，第一劑量建議在出生後8小時內使用。</w:t>
      </w:r>
    </w:p>
    <w:p w14:paraId="1EEC4D4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Curosurf</w:t>
      </w:r>
      <w:proofErr w:type="spellEnd"/>
      <w:r>
        <w:rPr>
          <w:rFonts w:ascii="標楷體" w:eastAsia="標楷體" w:hAnsi="標楷體"/>
          <w:color w:val="000000"/>
        </w:rPr>
        <w:t>：(113/9/1)</w:t>
      </w:r>
    </w:p>
    <w:p w14:paraId="6A5D6E8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Ⅰ.起始劑量最多每公斤使用200mg。</w:t>
      </w:r>
    </w:p>
    <w:p w14:paraId="1D66847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Ⅱ.重複劑量以每12小時，可額外再給予最高兩次每公斤100mg的重複劑量(最高總量為每公斤400mg)。(113/9/1)</w:t>
      </w:r>
    </w:p>
    <w:p w14:paraId="00F59FE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4.Survanta與</w:t>
      </w:r>
      <w:proofErr w:type="spellStart"/>
      <w:r>
        <w:rPr>
          <w:rFonts w:ascii="標楷體" w:eastAsia="標楷體" w:hAnsi="標楷體"/>
          <w:color w:val="000000"/>
        </w:rPr>
        <w:t>Curosurf</w:t>
      </w:r>
      <w:proofErr w:type="spellEnd"/>
      <w:r>
        <w:rPr>
          <w:rFonts w:ascii="標楷體" w:eastAsia="標楷體" w:hAnsi="標楷體"/>
          <w:color w:val="000000"/>
        </w:rPr>
        <w:t>兩藥品不得</w:t>
      </w:r>
      <w:proofErr w:type="gramStart"/>
      <w:r>
        <w:rPr>
          <w:rFonts w:ascii="標楷體" w:eastAsia="標楷體" w:hAnsi="標楷體"/>
          <w:color w:val="000000"/>
        </w:rPr>
        <w:t>併</w:t>
      </w:r>
      <w:proofErr w:type="gramEnd"/>
      <w:r>
        <w:rPr>
          <w:rFonts w:ascii="標楷體" w:eastAsia="標楷體" w:hAnsi="標楷體"/>
          <w:color w:val="000000"/>
        </w:rPr>
        <w:t>用。(113/9/1)</w:t>
      </w:r>
    </w:p>
    <w:p w14:paraId="6A0346D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6.2.2.Loratadine syrup（如</w:t>
      </w:r>
      <w:proofErr w:type="spellStart"/>
      <w:r>
        <w:rPr>
          <w:rFonts w:ascii="標楷體" w:eastAsia="標楷體" w:hAnsi="標楷體"/>
          <w:color w:val="000000"/>
        </w:rPr>
        <w:t>Clarityne</w:t>
      </w:r>
      <w:proofErr w:type="spellEnd"/>
      <w:r>
        <w:rPr>
          <w:rFonts w:ascii="標楷體" w:eastAsia="標楷體" w:hAnsi="標楷體"/>
          <w:color w:val="000000"/>
        </w:rPr>
        <w:t>）：(88/6/1、97/ 12/ 1)</w:t>
      </w:r>
    </w:p>
    <w:p w14:paraId="1AC27B1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依全民健康保險藥品給付規定之通則八使用本項藥品(97/12/1)。</w:t>
      </w:r>
    </w:p>
    <w:p w14:paraId="31F9928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6.2.3.Zafirlukast (如Accolate tabs</w:t>
      </w:r>
      <w:proofErr w:type="gramStart"/>
      <w:r>
        <w:rPr>
          <w:rFonts w:ascii="標楷體" w:eastAsia="標楷體" w:hAnsi="標楷體"/>
          <w:color w:val="000000"/>
        </w:rPr>
        <w:t>）</w:t>
      </w:r>
      <w:proofErr w:type="gramEnd"/>
      <w:r>
        <w:rPr>
          <w:rFonts w:ascii="標楷體" w:eastAsia="標楷體" w:hAnsi="標楷體"/>
          <w:color w:val="000000"/>
        </w:rPr>
        <w:t>：(88/8/1，90/1/1、113/8/1)(刪除)</w:t>
      </w:r>
    </w:p>
    <w:p w14:paraId="4E77F99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6.2.4.Montelukast sodium (如</w:t>
      </w:r>
      <w:proofErr w:type="spellStart"/>
      <w:r>
        <w:rPr>
          <w:rFonts w:ascii="標楷體" w:eastAsia="標楷體" w:hAnsi="標楷體"/>
          <w:color w:val="000000"/>
        </w:rPr>
        <w:t>Singulair</w:t>
      </w:r>
      <w:proofErr w:type="spellEnd"/>
      <w:r>
        <w:rPr>
          <w:rFonts w:ascii="標楷體" w:eastAsia="標楷體" w:hAnsi="標楷體"/>
          <w:color w:val="000000"/>
        </w:rPr>
        <w:t xml:space="preserve"> Coated Tab、</w:t>
      </w:r>
      <w:proofErr w:type="spellStart"/>
      <w:r>
        <w:rPr>
          <w:rFonts w:ascii="標楷體" w:eastAsia="標楷體" w:hAnsi="標楷體"/>
          <w:color w:val="000000"/>
        </w:rPr>
        <w:t>Singulair</w:t>
      </w:r>
      <w:proofErr w:type="spellEnd"/>
      <w:r>
        <w:rPr>
          <w:rFonts w:ascii="標楷體" w:eastAsia="標楷體" w:hAnsi="標楷體"/>
          <w:color w:val="000000"/>
        </w:rPr>
        <w:t xml:space="preserve"> Chewable Tabs)：(90/7/1、107/2/1、111/2/1、113/8/1)</w:t>
      </w:r>
    </w:p>
    <w:p w14:paraId="6BAF3C4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1.限用於6歲以上「輕度至中度持續性支氣管哮喘」疾患(111/2/1)。</w:t>
      </w:r>
    </w:p>
    <w:p w14:paraId="3CA80D2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2.病歷上應詳細記載上個月發作次數、頻率及PEFR值之變化。</w:t>
      </w:r>
    </w:p>
    <w:p w14:paraId="160DE5E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3.每日限用1粒。(113/8/1)</w:t>
      </w:r>
    </w:p>
    <w:p w14:paraId="2E39294E" w14:textId="77777777" w:rsidR="00401786" w:rsidRDefault="00C64FB3" w:rsidP="0009639E">
      <w:pPr>
        <w:spacing w:line="300" w:lineRule="exact"/>
        <w:rPr>
          <w:rFonts w:ascii="標楷體" w:eastAsia="標楷體" w:hAnsi="標楷體"/>
          <w:color w:val="000000"/>
        </w:rPr>
      </w:pPr>
      <w:r>
        <w:rPr>
          <w:rFonts w:ascii="標楷體" w:eastAsia="標楷體" w:hAnsi="標楷體"/>
          <w:color w:val="000000"/>
        </w:rPr>
        <w:t xml:space="preserve">      ※「輕度持續支氣管哮喘 (mild persistent asthma)」之定義：</w:t>
      </w:r>
    </w:p>
    <w:p w14:paraId="61F2682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(1)氣喘發作次數每週多於一次，但並非每天發作。</w:t>
      </w:r>
    </w:p>
    <w:p w14:paraId="2B91AF2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(2)發作時會影響日常生活及睡眠。</w:t>
      </w:r>
    </w:p>
    <w:p w14:paraId="0EFA2E7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(3)夜晚發作次數每月多於二次。</w:t>
      </w:r>
    </w:p>
    <w:p w14:paraId="2ED61C6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(4)尖峰呼氣流速 (Peak Expiratory Flow Rate；PEFR) 或第一秒呼氣量大於80%預</w:t>
      </w:r>
      <w:r>
        <w:rPr>
          <w:rFonts w:ascii="標楷體" w:eastAsia="標楷體" w:hAnsi="標楷體"/>
          <w:color w:val="000000"/>
        </w:rPr>
        <w:lastRenderedPageBreak/>
        <w:t>測值；每日變異值為20-30%。</w:t>
      </w:r>
    </w:p>
    <w:p w14:paraId="670D18C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6.2.5.Montelukast sodium 4mg(如</w:t>
      </w:r>
      <w:proofErr w:type="spellStart"/>
      <w:r>
        <w:rPr>
          <w:rFonts w:ascii="標楷體" w:eastAsia="標楷體" w:hAnsi="標楷體"/>
          <w:color w:val="000000"/>
        </w:rPr>
        <w:t>Singulair</w:t>
      </w:r>
      <w:proofErr w:type="spellEnd"/>
      <w:r>
        <w:rPr>
          <w:rFonts w:ascii="標楷體" w:eastAsia="標楷體" w:hAnsi="標楷體"/>
          <w:color w:val="000000"/>
        </w:rPr>
        <w:t xml:space="preserve"> Chewable Tab. 4mg、</w:t>
      </w:r>
      <w:proofErr w:type="spellStart"/>
      <w:r>
        <w:rPr>
          <w:rFonts w:ascii="標楷體" w:eastAsia="標楷體" w:hAnsi="標楷體"/>
          <w:color w:val="000000"/>
        </w:rPr>
        <w:t>Singulair</w:t>
      </w:r>
      <w:proofErr w:type="spellEnd"/>
      <w:r>
        <w:rPr>
          <w:rFonts w:ascii="標楷體" w:eastAsia="標楷體" w:hAnsi="標楷體"/>
          <w:color w:val="000000"/>
        </w:rPr>
        <w:t xml:space="preserve"> oral granules 4mg)：(92/1/1、100/7/1、107/2/1、111/2/1、113/8/1)</w:t>
      </w:r>
    </w:p>
    <w:p w14:paraId="7C7B5C75"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須符合下列各項條件：</w:t>
      </w:r>
    </w:p>
    <w:p w14:paraId="2396E52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1.限用於「輕度至中度持續支氣管哮喘病患」。</w:t>
      </w:r>
    </w:p>
    <w:p w14:paraId="6EE0B06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2.Chewable Tab. 4mg限用於2歲以上未滿6歲、oral granules 4mg限用於6個月以上未滿6</w:t>
      </w:r>
      <w:proofErr w:type="gramStart"/>
      <w:r>
        <w:rPr>
          <w:rFonts w:ascii="標楷體" w:eastAsia="標楷體" w:hAnsi="標楷體"/>
          <w:color w:val="000000"/>
        </w:rPr>
        <w:t>歲(</w:t>
      </w:r>
      <w:proofErr w:type="gramEnd"/>
      <w:r>
        <w:rPr>
          <w:rFonts w:ascii="標楷體" w:eastAsia="標楷體" w:hAnsi="標楷體"/>
          <w:color w:val="000000"/>
        </w:rPr>
        <w:t>111/2/1)。</w:t>
      </w:r>
    </w:p>
    <w:p w14:paraId="3CDC26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3.病歷上應詳細記載上個月發作次數、頻率。</w:t>
      </w:r>
    </w:p>
    <w:p w14:paraId="64C1AB0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4.每日限用1粒(包)。(113/8/1)</w:t>
      </w:r>
    </w:p>
    <w:p w14:paraId="74C9FCA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6.2.6.Omalizumab (如Xolair)：（97/6/1、100/6/1、103/10/1、111/2/1）</w:t>
      </w:r>
    </w:p>
    <w:p w14:paraId="03EEBB3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w:t>
      </w:r>
    </w:p>
    <w:p w14:paraId="788FC12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(1)12歲以上之青少年或成人經胸腔內科或小兒科或過敏免疫專科醫師診斷為「重度持續性氣喘」病患，為非抽煙或正積極戒煙者，需符合下列條件。</w:t>
      </w:r>
    </w:p>
    <w:p w14:paraId="3DF2EA03"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I.臨床病史顯示對某過敏原過敏或經由體內試驗 (如skin prick test)或體外</w:t>
      </w:r>
      <w:proofErr w:type="spellStart"/>
      <w:r>
        <w:rPr>
          <w:rFonts w:ascii="標楷體" w:eastAsia="標楷體" w:hAnsi="標楷體"/>
          <w:color w:val="000000"/>
        </w:rPr>
        <w:t>IgE</w:t>
      </w:r>
      <w:proofErr w:type="spellEnd"/>
      <w:r>
        <w:rPr>
          <w:rFonts w:ascii="標楷體" w:eastAsia="標楷體" w:hAnsi="標楷體"/>
          <w:color w:val="000000"/>
        </w:rPr>
        <w:t>試驗(如CAP、MAST、RAST、FAST、ELISA test等)呈陽性反應者。</w:t>
      </w:r>
    </w:p>
    <w:p w14:paraId="2B0848F0"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II.必須檢附「免疫球蛋白</w:t>
      </w:r>
      <w:proofErr w:type="spellStart"/>
      <w:r>
        <w:rPr>
          <w:rFonts w:ascii="標楷體" w:eastAsia="標楷體" w:hAnsi="標楷體"/>
          <w:color w:val="000000"/>
        </w:rPr>
        <w:t>IgE</w:t>
      </w:r>
      <w:proofErr w:type="spellEnd"/>
      <w:r>
        <w:rPr>
          <w:rFonts w:ascii="標楷體" w:eastAsia="標楷體" w:hAnsi="標楷體"/>
          <w:color w:val="000000"/>
        </w:rPr>
        <w:t xml:space="preserve">檢驗結果」。免疫球蛋白Total </w:t>
      </w:r>
      <w:proofErr w:type="spellStart"/>
      <w:r>
        <w:rPr>
          <w:rFonts w:ascii="標楷體" w:eastAsia="標楷體" w:hAnsi="標楷體"/>
          <w:color w:val="000000"/>
        </w:rPr>
        <w:t>IgE</w:t>
      </w:r>
      <w:proofErr w:type="spellEnd"/>
      <w:r>
        <w:rPr>
          <w:rFonts w:ascii="標楷體" w:eastAsia="標楷體" w:hAnsi="標楷體"/>
          <w:color w:val="000000"/>
        </w:rPr>
        <w:t>檢驗結果必須介於 30~1300IU/mL，但使用抗</w:t>
      </w:r>
      <w:proofErr w:type="spellStart"/>
      <w:r>
        <w:rPr>
          <w:rFonts w:ascii="標楷體" w:eastAsia="標楷體" w:hAnsi="標楷體"/>
          <w:color w:val="000000"/>
        </w:rPr>
        <w:t>IgE</w:t>
      </w:r>
      <w:proofErr w:type="spellEnd"/>
      <w:r>
        <w:rPr>
          <w:rFonts w:ascii="標楷體" w:eastAsia="標楷體" w:hAnsi="標楷體"/>
          <w:color w:val="000000"/>
        </w:rPr>
        <w:t>製劑後</w:t>
      </w:r>
      <w:proofErr w:type="spellStart"/>
      <w:r>
        <w:rPr>
          <w:rFonts w:ascii="標楷體" w:eastAsia="標楷體" w:hAnsi="標楷體"/>
          <w:color w:val="000000"/>
        </w:rPr>
        <w:t>IgE</w:t>
      </w:r>
      <w:proofErr w:type="spellEnd"/>
      <w:r>
        <w:rPr>
          <w:rFonts w:ascii="標楷體" w:eastAsia="標楷體" w:hAnsi="標楷體"/>
          <w:color w:val="000000"/>
        </w:rPr>
        <w:t>值降低者不在此限(103/10/1)。</w:t>
      </w:r>
    </w:p>
    <w:p w14:paraId="77E2DC7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 xml:space="preserve">III.已接受高劑量類固醇藥物吸入劑 (青少年大於400 mcg </w:t>
      </w:r>
      <w:proofErr w:type="spellStart"/>
      <w:r>
        <w:rPr>
          <w:rFonts w:ascii="標楷體" w:eastAsia="標楷體" w:hAnsi="標楷體"/>
          <w:color w:val="000000"/>
        </w:rPr>
        <w:t>belcomethasone</w:t>
      </w:r>
      <w:proofErr w:type="spellEnd"/>
      <w:r>
        <w:rPr>
          <w:rFonts w:ascii="標楷體" w:eastAsia="標楷體" w:hAnsi="標楷體"/>
          <w:color w:val="000000"/>
        </w:rPr>
        <w:t xml:space="preserve"> dipropionate/day以上或他類固醇藥物吸入劑相等劑量；成人大於800mcg beclomethasone dipropionate/day以上或其他類固醇藥物吸入劑相等劑量) 及</w:t>
      </w:r>
      <w:proofErr w:type="gramStart"/>
      <w:r>
        <w:rPr>
          <w:rFonts w:ascii="標楷體" w:eastAsia="標楷體" w:hAnsi="標楷體"/>
          <w:color w:val="000000"/>
        </w:rPr>
        <w:t>併</w:t>
      </w:r>
      <w:proofErr w:type="gramEnd"/>
      <w:r>
        <w:rPr>
          <w:rFonts w:ascii="標楷體" w:eastAsia="標楷體" w:hAnsi="標楷體"/>
          <w:color w:val="000000"/>
        </w:rPr>
        <w:t>用其他治療，如：長效乙二型作用劑 (β2-agonist)、口服類固醇治療、口服theophylline或</w:t>
      </w:r>
      <w:proofErr w:type="gramStart"/>
      <w:r>
        <w:rPr>
          <w:rFonts w:ascii="標楷體" w:eastAsia="標楷體" w:hAnsi="標楷體"/>
          <w:color w:val="000000"/>
        </w:rPr>
        <w:t>抗白三烯素類</w:t>
      </w:r>
      <w:proofErr w:type="gramEnd"/>
      <w:r>
        <w:rPr>
          <w:rFonts w:ascii="標楷體" w:eastAsia="標楷體" w:hAnsi="標楷體"/>
          <w:color w:val="000000"/>
        </w:rPr>
        <w:t>藥品仍控制不良者，且過去四</w:t>
      </w:r>
      <w:proofErr w:type="gramStart"/>
      <w:r>
        <w:rPr>
          <w:rFonts w:ascii="標楷體" w:eastAsia="標楷體" w:hAnsi="標楷體"/>
          <w:color w:val="000000"/>
        </w:rPr>
        <w:t>週</w:t>
      </w:r>
      <w:proofErr w:type="gramEnd"/>
      <w:r>
        <w:rPr>
          <w:rFonts w:ascii="標楷體" w:eastAsia="標楷體" w:hAnsi="標楷體"/>
          <w:color w:val="000000"/>
        </w:rPr>
        <w:t>氣喘控制仍不穩定者(包括:日間症狀每週超過2次、日常活動受到限制、有夜間氣喘症狀發作或到醒來、需要</w:t>
      </w:r>
      <w:proofErr w:type="gramStart"/>
      <w:r>
        <w:rPr>
          <w:rFonts w:ascii="標楷體" w:eastAsia="標楷體" w:hAnsi="標楷體"/>
          <w:color w:val="000000"/>
        </w:rPr>
        <w:t>緩解型藥物</w:t>
      </w:r>
      <w:proofErr w:type="gramEnd"/>
      <w:r>
        <w:rPr>
          <w:rFonts w:ascii="標楷體" w:eastAsia="標楷體" w:hAnsi="標楷體"/>
          <w:color w:val="000000"/>
        </w:rPr>
        <w:t>每週超過2次或以上，符合上述條件2者或以上者) (103/10/1)。</w:t>
      </w:r>
    </w:p>
    <w:p w14:paraId="5531247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IV.病歷記載有</w:t>
      </w:r>
      <w:proofErr w:type="gramStart"/>
      <w:r>
        <w:rPr>
          <w:rFonts w:ascii="標楷體" w:eastAsia="標楷體" w:hAnsi="標楷體"/>
          <w:color w:val="000000"/>
        </w:rPr>
        <w:t>氣喘病史或需</w:t>
      </w:r>
      <w:proofErr w:type="gramEnd"/>
      <w:r>
        <w:rPr>
          <w:rFonts w:ascii="標楷體" w:eastAsia="標楷體" w:hAnsi="標楷體"/>
          <w:color w:val="000000"/>
        </w:rPr>
        <w:t>經證實為氣喘病患，支氣管擴張試驗顯示FEV1 reversibility超過12%與絕對值增加200mL以上，或使用類固醇後FEV1增加20%以上(103/10/1)。</w:t>
      </w:r>
    </w:p>
    <w:p w14:paraId="5951A61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(2)6歲以上未滿13歲兒童經胸腔內科或小兒科或過敏免疫專科醫師診斷為「重度持續性氣喘」病患，需符合下列條件。（100/6/1、111/2/1）</w:t>
      </w:r>
    </w:p>
    <w:p w14:paraId="2C5E135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I.臨床病史顯示對某過敏原過敏或經由體內試驗(如skin prick test)或體外</w:t>
      </w:r>
      <w:proofErr w:type="spellStart"/>
      <w:r>
        <w:rPr>
          <w:rFonts w:ascii="標楷體" w:eastAsia="標楷體" w:hAnsi="標楷體"/>
          <w:color w:val="000000"/>
        </w:rPr>
        <w:t>IgE</w:t>
      </w:r>
      <w:proofErr w:type="spellEnd"/>
      <w:r>
        <w:rPr>
          <w:rFonts w:ascii="標楷體" w:eastAsia="標楷體" w:hAnsi="標楷體"/>
          <w:color w:val="000000"/>
        </w:rPr>
        <w:t>試驗(如CAP、MAST、RAST、FAST、ELISA test等)呈陽性反應者。</w:t>
      </w:r>
    </w:p>
    <w:p w14:paraId="301950B8"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II.必須檢附「免疫球蛋白</w:t>
      </w:r>
      <w:proofErr w:type="spellStart"/>
      <w:r>
        <w:rPr>
          <w:rFonts w:ascii="標楷體" w:eastAsia="標楷體" w:hAnsi="標楷體"/>
          <w:color w:val="000000"/>
        </w:rPr>
        <w:t>IgE</w:t>
      </w:r>
      <w:proofErr w:type="spellEnd"/>
      <w:r>
        <w:rPr>
          <w:rFonts w:ascii="標楷體" w:eastAsia="標楷體" w:hAnsi="標楷體"/>
          <w:color w:val="000000"/>
        </w:rPr>
        <w:t xml:space="preserve">檢驗結果」。免疫球蛋白Total </w:t>
      </w:r>
      <w:proofErr w:type="spellStart"/>
      <w:r>
        <w:rPr>
          <w:rFonts w:ascii="標楷體" w:eastAsia="標楷體" w:hAnsi="標楷體"/>
          <w:color w:val="000000"/>
        </w:rPr>
        <w:t>IgE</w:t>
      </w:r>
      <w:proofErr w:type="spellEnd"/>
      <w:r>
        <w:rPr>
          <w:rFonts w:ascii="標楷體" w:eastAsia="標楷體" w:hAnsi="標楷體"/>
          <w:color w:val="000000"/>
        </w:rPr>
        <w:t>檢驗結果必須介於 30~1300IU/mL，但使用抗</w:t>
      </w:r>
      <w:proofErr w:type="spellStart"/>
      <w:r>
        <w:rPr>
          <w:rFonts w:ascii="標楷體" w:eastAsia="標楷體" w:hAnsi="標楷體"/>
          <w:color w:val="000000"/>
        </w:rPr>
        <w:t>IgE</w:t>
      </w:r>
      <w:proofErr w:type="spellEnd"/>
      <w:r>
        <w:rPr>
          <w:rFonts w:ascii="標楷體" w:eastAsia="標楷體" w:hAnsi="標楷體"/>
          <w:color w:val="000000"/>
        </w:rPr>
        <w:t>製劑後</w:t>
      </w:r>
      <w:proofErr w:type="spellStart"/>
      <w:r>
        <w:rPr>
          <w:rFonts w:ascii="標楷體" w:eastAsia="標楷體" w:hAnsi="標楷體"/>
          <w:color w:val="000000"/>
        </w:rPr>
        <w:t>IgE</w:t>
      </w:r>
      <w:proofErr w:type="spellEnd"/>
      <w:r>
        <w:rPr>
          <w:rFonts w:ascii="標楷體" w:eastAsia="標楷體" w:hAnsi="標楷體"/>
          <w:color w:val="000000"/>
        </w:rPr>
        <w:t>值降低者不在此限。</w:t>
      </w:r>
    </w:p>
    <w:p w14:paraId="563A6155"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III.已接受高劑量類固醇藥物吸入劑 (大於400mcg Beclomethasone dipropionate/day以上或其他類固醇藥物吸入劑相等劑量) 及</w:t>
      </w:r>
      <w:proofErr w:type="gramStart"/>
      <w:r>
        <w:rPr>
          <w:rFonts w:ascii="標楷體" w:eastAsia="標楷體" w:hAnsi="標楷體"/>
          <w:color w:val="000000"/>
        </w:rPr>
        <w:t>併</w:t>
      </w:r>
      <w:proofErr w:type="gramEnd"/>
      <w:r>
        <w:rPr>
          <w:rFonts w:ascii="標楷體" w:eastAsia="標楷體" w:hAnsi="標楷體"/>
          <w:color w:val="000000"/>
        </w:rPr>
        <w:t>用其他治療，如：長效乙二型作用劑 (β2-agonist)、口服類固醇治療、口服theophylline或</w:t>
      </w:r>
      <w:proofErr w:type="gramStart"/>
      <w:r>
        <w:rPr>
          <w:rFonts w:ascii="標楷體" w:eastAsia="標楷體" w:hAnsi="標楷體"/>
          <w:color w:val="000000"/>
        </w:rPr>
        <w:t>抗白三烯素類</w:t>
      </w:r>
      <w:proofErr w:type="gramEnd"/>
      <w:r>
        <w:rPr>
          <w:rFonts w:ascii="標楷體" w:eastAsia="標楷體" w:hAnsi="標楷體"/>
          <w:color w:val="000000"/>
        </w:rPr>
        <w:t>藥品仍控制不良者，且過去四</w:t>
      </w:r>
      <w:proofErr w:type="gramStart"/>
      <w:r>
        <w:rPr>
          <w:rFonts w:ascii="標楷體" w:eastAsia="標楷體" w:hAnsi="標楷體"/>
          <w:color w:val="000000"/>
        </w:rPr>
        <w:t>週</w:t>
      </w:r>
      <w:proofErr w:type="gramEnd"/>
      <w:r>
        <w:rPr>
          <w:rFonts w:ascii="標楷體" w:eastAsia="標楷體" w:hAnsi="標楷體"/>
          <w:color w:val="000000"/>
        </w:rPr>
        <w:t>氣喘控制仍不穩定者 (包括:日間症狀每週超過2次、日常活動受到限制、有夜間氣喘症狀發作或到醒來、需要</w:t>
      </w:r>
      <w:proofErr w:type="gramStart"/>
      <w:r>
        <w:rPr>
          <w:rFonts w:ascii="標楷體" w:eastAsia="標楷體" w:hAnsi="標楷體"/>
          <w:color w:val="000000"/>
        </w:rPr>
        <w:t>緩解型藥物</w:t>
      </w:r>
      <w:proofErr w:type="gramEnd"/>
      <w:r>
        <w:rPr>
          <w:rFonts w:ascii="標楷體" w:eastAsia="標楷體" w:hAnsi="標楷體"/>
          <w:color w:val="000000"/>
        </w:rPr>
        <w:t>每週超過2次或以上，符合上述條件2者或以上者) (103/10/1)。</w:t>
      </w:r>
    </w:p>
    <w:p w14:paraId="18B4E674"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IV.病歷記載有</w:t>
      </w:r>
      <w:proofErr w:type="gramStart"/>
      <w:r>
        <w:rPr>
          <w:rFonts w:ascii="標楷體" w:eastAsia="標楷體" w:hAnsi="標楷體"/>
          <w:color w:val="000000"/>
        </w:rPr>
        <w:t>氣喘病史或需</w:t>
      </w:r>
      <w:proofErr w:type="gramEnd"/>
      <w:r>
        <w:rPr>
          <w:rFonts w:ascii="標楷體" w:eastAsia="標楷體" w:hAnsi="標楷體"/>
          <w:color w:val="000000"/>
        </w:rPr>
        <w:t>經證實為氣喘病患，支氣管擴張試驗顯示FEV1 reversibility超過12%與絕對值增加200mL以上，或使用類固醇後FEV1增加20%以上(103/10/1)。</w:t>
      </w:r>
    </w:p>
    <w:p w14:paraId="6EF9AB2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2.需經事前審查核准後使用。</w:t>
      </w:r>
    </w:p>
    <w:p w14:paraId="7B29090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3.每月使用不得超過2次。</w:t>
      </w:r>
    </w:p>
    <w:p w14:paraId="704B70F5" w14:textId="77777777" w:rsidR="00401786" w:rsidRDefault="00C64FB3" w:rsidP="0009639E">
      <w:pPr>
        <w:spacing w:line="300" w:lineRule="exact"/>
        <w:ind w:left="811" w:hanging="245"/>
      </w:pPr>
      <w:r>
        <w:rPr>
          <w:rFonts w:ascii="標楷體" w:eastAsia="標楷體" w:hAnsi="標楷體"/>
          <w:color w:val="000000"/>
        </w:rPr>
        <w:t>4.應於病歷上詳細記載上個月發作次數、頻率及肺功能(如PEFR值或FEV</w:t>
      </w:r>
      <w:r>
        <w:rPr>
          <w:rFonts w:ascii="標楷體" w:eastAsia="標楷體" w:hAnsi="標楷體"/>
          <w:color w:val="000000"/>
          <w:vertAlign w:val="subscript"/>
        </w:rPr>
        <w:t>1</w:t>
      </w:r>
      <w:r>
        <w:rPr>
          <w:rFonts w:ascii="標楷體" w:eastAsia="標楷體" w:hAnsi="標楷體"/>
          <w:color w:val="000000"/>
        </w:rPr>
        <w:t>值)之變化。</w:t>
      </w:r>
    </w:p>
    <w:p w14:paraId="1939621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5.使用16</w:t>
      </w:r>
      <w:proofErr w:type="gramStart"/>
      <w:r>
        <w:rPr>
          <w:rFonts w:ascii="標楷體" w:eastAsia="標楷體" w:hAnsi="標楷體"/>
          <w:color w:val="000000"/>
        </w:rPr>
        <w:t>週</w:t>
      </w:r>
      <w:proofErr w:type="gramEnd"/>
      <w:r>
        <w:rPr>
          <w:rFonts w:ascii="標楷體" w:eastAsia="標楷體" w:hAnsi="標楷體"/>
          <w:color w:val="000000"/>
        </w:rPr>
        <w:t>後需進行評估，與未使用前比較，症狀確實改善，方可繼續使用。</w:t>
      </w:r>
    </w:p>
    <w:p w14:paraId="4975B6CB" w14:textId="77777777" w:rsidR="00401786" w:rsidRDefault="00C64FB3" w:rsidP="0009639E">
      <w:pPr>
        <w:spacing w:line="300" w:lineRule="exact"/>
        <w:ind w:left="1418" w:hanging="708"/>
        <w:rPr>
          <w:rFonts w:ascii="標楷體" w:eastAsia="標楷體" w:hAnsi="標楷體"/>
          <w:color w:val="000000"/>
        </w:rPr>
      </w:pPr>
      <w:r>
        <w:rPr>
          <w:rFonts w:ascii="標楷體" w:eastAsia="標楷體" w:hAnsi="標楷體"/>
          <w:color w:val="000000"/>
        </w:rPr>
        <w:t>備註：「症狀改善」的定義為每日症狀或PEFR的改善，或減少口服或吸入性類固醇的</w:t>
      </w:r>
      <w:r>
        <w:rPr>
          <w:rFonts w:ascii="標楷體" w:eastAsia="標楷體" w:hAnsi="標楷體"/>
          <w:color w:val="000000"/>
        </w:rPr>
        <w:lastRenderedPageBreak/>
        <w:t>使用，或減少非常規回診的次數或急診就醫或住院次數。</w:t>
      </w:r>
    </w:p>
    <w:p w14:paraId="43F275CB" w14:textId="77777777" w:rsidR="00401786" w:rsidRDefault="00C64FB3" w:rsidP="0009639E">
      <w:pPr>
        <w:spacing w:line="300" w:lineRule="exact"/>
        <w:ind w:left="566" w:hanging="266"/>
        <w:rPr>
          <w:rFonts w:ascii="標楷體" w:eastAsia="標楷體" w:hAnsi="標楷體"/>
          <w:color w:val="000000"/>
        </w:rPr>
      </w:pPr>
      <w:r>
        <w:rPr>
          <w:rFonts w:ascii="標楷體" w:eastAsia="標楷體" w:hAnsi="標楷體"/>
          <w:color w:val="000000"/>
        </w:rPr>
        <w:t>6.2.7.Nintedanib(如</w:t>
      </w:r>
      <w:proofErr w:type="spellStart"/>
      <w:r>
        <w:rPr>
          <w:rFonts w:ascii="標楷體" w:eastAsia="標楷體" w:hAnsi="標楷體"/>
          <w:color w:val="000000"/>
        </w:rPr>
        <w:t>Ofev</w:t>
      </w:r>
      <w:proofErr w:type="spellEnd"/>
      <w:r>
        <w:rPr>
          <w:rFonts w:ascii="標楷體" w:eastAsia="標楷體" w:hAnsi="標楷體"/>
          <w:color w:val="000000"/>
        </w:rPr>
        <w:t>)、pirfenidone（如</w:t>
      </w:r>
      <w:proofErr w:type="spellStart"/>
      <w:r>
        <w:rPr>
          <w:rFonts w:ascii="標楷體" w:eastAsia="標楷體" w:hAnsi="標楷體"/>
          <w:color w:val="000000"/>
        </w:rPr>
        <w:t>Pirespa</w:t>
      </w:r>
      <w:proofErr w:type="spellEnd"/>
      <w:r>
        <w:rPr>
          <w:rFonts w:ascii="標楷體" w:eastAsia="標楷體" w:hAnsi="標楷體"/>
          <w:color w:val="000000"/>
        </w:rPr>
        <w:t>）：(106/3/1、106/7/1、108/12/1、109/9/1、110/6/1、112/7/1、112/12/1</w:t>
      </w:r>
      <w:proofErr w:type="gramStart"/>
      <w:r>
        <w:rPr>
          <w:rFonts w:ascii="標楷體" w:eastAsia="標楷體" w:hAnsi="標楷體"/>
          <w:color w:val="000000"/>
        </w:rPr>
        <w:t>）</w:t>
      </w:r>
      <w:proofErr w:type="gramEnd"/>
    </w:p>
    <w:p w14:paraId="479DC3BD" w14:textId="77777777" w:rsidR="00401786" w:rsidRDefault="00C64FB3" w:rsidP="0009639E">
      <w:pPr>
        <w:spacing w:line="300" w:lineRule="exact"/>
        <w:ind w:left="708" w:hanging="266"/>
        <w:rPr>
          <w:rFonts w:ascii="標楷體" w:eastAsia="標楷體" w:hAnsi="標楷體"/>
          <w:color w:val="000000"/>
        </w:rPr>
      </w:pPr>
      <w:r>
        <w:rPr>
          <w:rFonts w:ascii="標楷體" w:eastAsia="標楷體" w:hAnsi="標楷體"/>
          <w:color w:val="000000"/>
        </w:rPr>
        <w:t xml:space="preserve"> 1.特發性肺纖維化：</w:t>
      </w:r>
    </w:p>
    <w:p w14:paraId="0A6AFF15" w14:textId="77777777" w:rsidR="00401786" w:rsidRDefault="00C64FB3" w:rsidP="0009639E">
      <w:pPr>
        <w:spacing w:line="300" w:lineRule="exact"/>
        <w:ind w:left="991" w:hanging="266"/>
        <w:rPr>
          <w:rFonts w:ascii="標楷體" w:eastAsia="標楷體" w:hAnsi="標楷體"/>
          <w:color w:val="000000"/>
        </w:rPr>
      </w:pPr>
      <w:r>
        <w:rPr>
          <w:rFonts w:ascii="標楷體" w:eastAsia="標楷體" w:hAnsi="標楷體"/>
          <w:color w:val="000000"/>
        </w:rPr>
        <w:t>(1)需檢附肺部HRCT (High resolution computed tomography)影像檢查。</w:t>
      </w:r>
    </w:p>
    <w:p w14:paraId="45C87ECD" w14:textId="77777777" w:rsidR="00401786" w:rsidRDefault="00C64FB3" w:rsidP="0009639E">
      <w:pPr>
        <w:spacing w:line="300" w:lineRule="exact"/>
        <w:ind w:left="1090" w:hanging="365"/>
      </w:pPr>
      <w:r>
        <w:rPr>
          <w:rFonts w:ascii="標楷體" w:eastAsia="標楷體" w:hAnsi="標楷體"/>
          <w:color w:val="000000"/>
        </w:rPr>
        <w:t>(2)</w:t>
      </w:r>
      <w:r>
        <w:t xml:space="preserve"> </w:t>
      </w:r>
      <w:r>
        <w:rPr>
          <w:rFonts w:ascii="標楷體" w:eastAsia="標楷體" w:hAnsi="標楷體"/>
          <w:color w:val="000000"/>
        </w:rPr>
        <w:t xml:space="preserve">經專科醫師確診為特發性肺纖維化(Idiopathic pulmonary </w:t>
      </w:r>
      <w:proofErr w:type="spellStart"/>
      <w:r>
        <w:rPr>
          <w:rFonts w:ascii="標楷體" w:eastAsia="標楷體" w:hAnsi="標楷體"/>
          <w:color w:val="000000"/>
        </w:rPr>
        <w:t>fibrosis,IPF</w:t>
      </w:r>
      <w:proofErr w:type="spellEnd"/>
      <w:r>
        <w:rPr>
          <w:rFonts w:ascii="標楷體" w:eastAsia="標楷體" w:hAnsi="標楷體"/>
          <w:color w:val="000000"/>
        </w:rPr>
        <w:t xml:space="preserve">)後，首次申請時病人的用力肺活量預測值(forced vital </w:t>
      </w:r>
      <w:proofErr w:type="spellStart"/>
      <w:r>
        <w:rPr>
          <w:rFonts w:ascii="標楷體" w:eastAsia="標楷體" w:hAnsi="標楷體"/>
          <w:color w:val="000000"/>
        </w:rPr>
        <w:t>capacity,FVC</w:t>
      </w:r>
      <w:proofErr w:type="spellEnd"/>
      <w:r>
        <w:rPr>
          <w:rFonts w:ascii="標楷體" w:eastAsia="標楷體" w:hAnsi="標楷體"/>
          <w:color w:val="000000"/>
        </w:rPr>
        <w:t xml:space="preserve"> predicted)在50~80%之間。(112/7/1)</w:t>
      </w:r>
    </w:p>
    <w:p w14:paraId="37B564D3" w14:textId="77777777" w:rsidR="00401786" w:rsidRDefault="00C64FB3" w:rsidP="0009639E">
      <w:pPr>
        <w:spacing w:line="300" w:lineRule="exact"/>
        <w:ind w:left="991" w:hanging="266"/>
      </w:pPr>
      <w:r>
        <w:rPr>
          <w:rFonts w:ascii="標楷體" w:eastAsia="標楷體" w:hAnsi="標楷體"/>
          <w:color w:val="000000"/>
        </w:rPr>
        <w:t>(3)</w:t>
      </w:r>
      <w:r>
        <w:t xml:space="preserve"> </w:t>
      </w:r>
      <w:r>
        <w:rPr>
          <w:rFonts w:ascii="標楷體" w:eastAsia="標楷體" w:hAnsi="標楷體"/>
          <w:color w:val="000000"/>
        </w:rPr>
        <w:t>用於經專科醫師確診為特發性肺纖維化，且FVC預測值&gt;80%之病患，需具明顯症狀(病歷須清楚記載如呼吸困難、</w:t>
      </w:r>
      <w:proofErr w:type="gramStart"/>
      <w:r>
        <w:rPr>
          <w:rFonts w:ascii="標楷體" w:eastAsia="標楷體" w:hAnsi="標楷體"/>
          <w:color w:val="000000"/>
        </w:rPr>
        <w:t>喘或咳嗽</w:t>
      </w:r>
      <w:proofErr w:type="gramEnd"/>
      <w:r>
        <w:rPr>
          <w:rFonts w:ascii="標楷體" w:eastAsia="標楷體" w:hAnsi="標楷體"/>
          <w:color w:val="000000"/>
        </w:rPr>
        <w:t>等臨床症狀)。(108/12/1、109/9/1、112/7/1</w:t>
      </w:r>
      <w:proofErr w:type="gramStart"/>
      <w:r>
        <w:rPr>
          <w:rFonts w:ascii="標楷體" w:eastAsia="標楷體" w:hAnsi="標楷體"/>
          <w:color w:val="000000"/>
        </w:rPr>
        <w:t>）</w:t>
      </w:r>
      <w:proofErr w:type="gramEnd"/>
    </w:p>
    <w:p w14:paraId="44E9D123" w14:textId="77777777" w:rsidR="00401786" w:rsidRDefault="00C64FB3" w:rsidP="0009639E">
      <w:pPr>
        <w:spacing w:line="300" w:lineRule="exact"/>
        <w:ind w:left="1090" w:hanging="365"/>
      </w:pPr>
      <w:r>
        <w:rPr>
          <w:rFonts w:ascii="標楷體" w:eastAsia="標楷體" w:hAnsi="標楷體"/>
          <w:color w:val="000000"/>
        </w:rPr>
        <w:t>(4)</w:t>
      </w:r>
      <w:r>
        <w:t xml:space="preserve"> </w:t>
      </w:r>
      <w:r>
        <w:rPr>
          <w:rFonts w:ascii="標楷體" w:eastAsia="標楷體" w:hAnsi="標楷體"/>
          <w:color w:val="000000"/>
        </w:rPr>
        <w:t>停止治療條件：肺功能出現惡化（即確認病人的用力肺活量預測值與最近一次申請時的FVC預測值(%)相比降低10%絕對值或以上時），則進入12</w:t>
      </w:r>
      <w:proofErr w:type="gramStart"/>
      <w:r>
        <w:rPr>
          <w:rFonts w:ascii="標楷體" w:eastAsia="標楷體" w:hAnsi="標楷體"/>
          <w:color w:val="000000"/>
        </w:rPr>
        <w:t>週</w:t>
      </w:r>
      <w:proofErr w:type="gramEnd"/>
      <w:r>
        <w:rPr>
          <w:rFonts w:ascii="標楷體" w:eastAsia="標楷體" w:hAnsi="標楷體"/>
          <w:color w:val="000000"/>
        </w:rPr>
        <w:t>的緩衝期(grace period)，這段期間可先給予續用或得申請使用不同機轉的藥物治療12</w:t>
      </w:r>
      <w:proofErr w:type="gramStart"/>
      <w:r>
        <w:rPr>
          <w:rFonts w:ascii="標楷體" w:eastAsia="標楷體" w:hAnsi="標楷體"/>
          <w:color w:val="000000"/>
        </w:rPr>
        <w:t>週</w:t>
      </w:r>
      <w:proofErr w:type="gramEnd"/>
      <w:r>
        <w:rPr>
          <w:rFonts w:ascii="標楷體" w:eastAsia="標楷體" w:hAnsi="標楷體"/>
          <w:color w:val="000000"/>
        </w:rPr>
        <w:t>，緩衝期</w:t>
      </w:r>
      <w:proofErr w:type="gramStart"/>
      <w:r>
        <w:rPr>
          <w:rFonts w:ascii="標楷體" w:eastAsia="標楷體" w:hAnsi="標楷體"/>
          <w:color w:val="000000"/>
        </w:rPr>
        <w:t>後再測之</w:t>
      </w:r>
      <w:proofErr w:type="gramEnd"/>
      <w:r>
        <w:rPr>
          <w:rFonts w:ascii="標楷體" w:eastAsia="標楷體" w:hAnsi="標楷體"/>
          <w:color w:val="000000"/>
        </w:rPr>
        <w:t>FVC預測值(%)與緩衝期前相比仍降低時，則認定為未改善，應該停止用藥。(106/7/1、108/12/1、109/9/1、112/7/1</w:t>
      </w:r>
      <w:proofErr w:type="gramStart"/>
      <w:r>
        <w:rPr>
          <w:rFonts w:ascii="標楷體" w:eastAsia="標楷體" w:hAnsi="標楷體"/>
          <w:color w:val="000000"/>
        </w:rPr>
        <w:t>）</w:t>
      </w:r>
      <w:proofErr w:type="gramEnd"/>
    </w:p>
    <w:p w14:paraId="5909076D" w14:textId="77777777" w:rsidR="00401786" w:rsidRDefault="00C64FB3" w:rsidP="0009639E">
      <w:pPr>
        <w:spacing w:line="300" w:lineRule="exact"/>
        <w:ind w:left="991" w:hanging="266"/>
        <w:rPr>
          <w:rFonts w:ascii="標楷體" w:eastAsia="標楷體" w:hAnsi="標楷體"/>
          <w:color w:val="000000"/>
        </w:rPr>
      </w:pPr>
      <w:r>
        <w:rPr>
          <w:rFonts w:ascii="標楷體" w:eastAsia="標楷體" w:hAnsi="標楷體"/>
          <w:color w:val="000000"/>
        </w:rPr>
        <w:t>(5)需經事前審查核准後使用，每24</w:t>
      </w:r>
      <w:proofErr w:type="gramStart"/>
      <w:r>
        <w:rPr>
          <w:rFonts w:ascii="標楷體" w:eastAsia="標楷體" w:hAnsi="標楷體"/>
          <w:color w:val="000000"/>
        </w:rPr>
        <w:t>週</w:t>
      </w:r>
      <w:proofErr w:type="gramEnd"/>
      <w:r>
        <w:rPr>
          <w:rFonts w:ascii="標楷體" w:eastAsia="標楷體" w:hAnsi="標楷體"/>
          <w:color w:val="000000"/>
        </w:rPr>
        <w:t>需檢送評估資料再次申請。</w:t>
      </w:r>
    </w:p>
    <w:p w14:paraId="4A6EC706" w14:textId="77777777" w:rsidR="00401786" w:rsidRDefault="00C64FB3" w:rsidP="0009639E">
      <w:pPr>
        <w:spacing w:line="300" w:lineRule="exact"/>
        <w:ind w:left="991" w:hanging="266"/>
        <w:rPr>
          <w:rFonts w:ascii="標楷體" w:eastAsia="標楷體" w:hAnsi="標楷體"/>
          <w:color w:val="000000"/>
        </w:rPr>
      </w:pPr>
      <w:r>
        <w:rPr>
          <w:rFonts w:ascii="標楷體" w:eastAsia="標楷體" w:hAnsi="標楷體"/>
          <w:color w:val="000000"/>
        </w:rPr>
        <w:t>(6)</w:t>
      </w:r>
      <w:proofErr w:type="spellStart"/>
      <w:r>
        <w:rPr>
          <w:rFonts w:ascii="標楷體" w:eastAsia="標楷體" w:hAnsi="標楷體"/>
          <w:color w:val="000000"/>
        </w:rPr>
        <w:t>Nintedanib</w:t>
      </w:r>
      <w:proofErr w:type="spellEnd"/>
      <w:r>
        <w:rPr>
          <w:rFonts w:ascii="標楷體" w:eastAsia="標楷體" w:hAnsi="標楷體"/>
          <w:color w:val="000000"/>
        </w:rPr>
        <w:t>與pirfenidone不得同時</w:t>
      </w:r>
      <w:proofErr w:type="gramStart"/>
      <w:r>
        <w:rPr>
          <w:rFonts w:ascii="標楷體" w:eastAsia="標楷體" w:hAnsi="標楷體"/>
          <w:color w:val="000000"/>
        </w:rPr>
        <w:t>併</w:t>
      </w:r>
      <w:proofErr w:type="gramEnd"/>
      <w:r>
        <w:rPr>
          <w:rFonts w:ascii="標楷體" w:eastAsia="標楷體" w:hAnsi="標楷體"/>
          <w:color w:val="000000"/>
        </w:rPr>
        <w:t>用。(106/7/1</w:t>
      </w:r>
      <w:proofErr w:type="gramStart"/>
      <w:r>
        <w:rPr>
          <w:rFonts w:ascii="標楷體" w:eastAsia="標楷體" w:hAnsi="標楷體"/>
          <w:color w:val="000000"/>
        </w:rPr>
        <w:t>）</w:t>
      </w:r>
      <w:proofErr w:type="gramEnd"/>
    </w:p>
    <w:p w14:paraId="16D616A3" w14:textId="77777777" w:rsidR="00401786" w:rsidRDefault="00C64FB3" w:rsidP="0009639E">
      <w:pPr>
        <w:spacing w:line="300" w:lineRule="exact"/>
        <w:ind w:left="708" w:hanging="266"/>
        <w:rPr>
          <w:rFonts w:ascii="標楷體" w:eastAsia="標楷體" w:hAnsi="標楷體"/>
          <w:color w:val="000000"/>
        </w:rPr>
      </w:pPr>
      <w:r>
        <w:rPr>
          <w:rFonts w:ascii="標楷體" w:eastAsia="標楷體" w:hAnsi="標楷體"/>
          <w:color w:val="000000"/>
        </w:rPr>
        <w:t xml:space="preserve"> 2.Nintedanib用於全身性硬化症有關</w:t>
      </w:r>
      <w:proofErr w:type="gramStart"/>
      <w:r>
        <w:rPr>
          <w:rFonts w:ascii="標楷體" w:eastAsia="標楷體" w:hAnsi="標楷體"/>
          <w:color w:val="000000"/>
        </w:rPr>
        <w:t>之間質</w:t>
      </w:r>
      <w:proofErr w:type="gramEnd"/>
      <w:r>
        <w:rPr>
          <w:rFonts w:ascii="標楷體" w:eastAsia="標楷體" w:hAnsi="標楷體"/>
          <w:color w:val="000000"/>
        </w:rPr>
        <w:t>性肺病：需符合下列所有條件(110/6/1)</w:t>
      </w:r>
    </w:p>
    <w:p w14:paraId="2E2F1C72" w14:textId="77777777" w:rsidR="00401786" w:rsidRDefault="00C64FB3" w:rsidP="0009639E">
      <w:pPr>
        <w:spacing w:line="300" w:lineRule="exact"/>
        <w:ind w:left="657" w:hanging="266"/>
        <w:rPr>
          <w:rFonts w:ascii="標楷體" w:eastAsia="標楷體" w:hAnsi="標楷體"/>
          <w:color w:val="000000"/>
        </w:rPr>
      </w:pPr>
      <w:r>
        <w:rPr>
          <w:rFonts w:ascii="標楷體" w:eastAsia="標楷體" w:hAnsi="標楷體"/>
          <w:color w:val="000000"/>
        </w:rPr>
        <w:t xml:space="preserve">   (1)需經免疫風濕專科醫師確診為全身性硬化症。</w:t>
      </w:r>
    </w:p>
    <w:p w14:paraId="606301DA" w14:textId="77777777" w:rsidR="00401786" w:rsidRDefault="00C64FB3" w:rsidP="0009639E">
      <w:pPr>
        <w:spacing w:line="300" w:lineRule="exact"/>
        <w:ind w:left="1104" w:hanging="713"/>
        <w:rPr>
          <w:rFonts w:ascii="標楷體" w:eastAsia="標楷體" w:hAnsi="標楷體"/>
          <w:color w:val="000000"/>
        </w:rPr>
      </w:pPr>
      <w:r>
        <w:rPr>
          <w:rFonts w:ascii="標楷體" w:eastAsia="標楷體" w:hAnsi="標楷體"/>
          <w:color w:val="000000"/>
        </w:rPr>
        <w:t xml:space="preserve">   (2)需檢附肺部HRCT影像及檢查報告，經胸腔內科及放射科醫師證實具有肺部纖維</w:t>
      </w:r>
      <w:proofErr w:type="gramStart"/>
      <w:r>
        <w:rPr>
          <w:rFonts w:ascii="標楷體" w:eastAsia="標楷體" w:hAnsi="標楷體"/>
          <w:color w:val="000000"/>
        </w:rPr>
        <w:t>化且肺纖維</w:t>
      </w:r>
      <w:proofErr w:type="gramEnd"/>
      <w:r>
        <w:rPr>
          <w:rFonts w:ascii="標楷體" w:eastAsia="標楷體" w:hAnsi="標楷體"/>
          <w:color w:val="000000"/>
        </w:rPr>
        <w:t xml:space="preserve">化侵犯至少10% </w:t>
      </w:r>
      <w:proofErr w:type="gramStart"/>
      <w:r>
        <w:rPr>
          <w:rFonts w:ascii="標楷體" w:eastAsia="標楷體" w:hAnsi="標楷體"/>
          <w:color w:val="000000"/>
        </w:rPr>
        <w:t>肺野</w:t>
      </w:r>
      <w:proofErr w:type="gramEnd"/>
      <w:r>
        <w:rPr>
          <w:rFonts w:ascii="標楷體" w:eastAsia="標楷體" w:hAnsi="標楷體"/>
          <w:color w:val="000000"/>
        </w:rPr>
        <w:t>(lung field)，並</w:t>
      </w:r>
      <w:proofErr w:type="gramStart"/>
      <w:r>
        <w:rPr>
          <w:rFonts w:ascii="標楷體" w:eastAsia="標楷體" w:hAnsi="標楷體"/>
          <w:color w:val="000000"/>
        </w:rPr>
        <w:t>符合間質性</w:t>
      </w:r>
      <w:proofErr w:type="gramEnd"/>
      <w:r>
        <w:rPr>
          <w:rFonts w:ascii="標楷體" w:eastAsia="標楷體" w:hAnsi="標楷體"/>
          <w:color w:val="000000"/>
        </w:rPr>
        <w:t>肺病之診斷。</w:t>
      </w:r>
    </w:p>
    <w:p w14:paraId="514AEA20" w14:textId="77777777" w:rsidR="00401786" w:rsidRDefault="00C64FB3" w:rsidP="0009639E">
      <w:pPr>
        <w:spacing w:line="300" w:lineRule="exact"/>
        <w:ind w:left="1133" w:hanging="742"/>
        <w:rPr>
          <w:rFonts w:ascii="標楷體" w:eastAsia="標楷體" w:hAnsi="標楷體"/>
          <w:color w:val="000000"/>
        </w:rPr>
      </w:pPr>
      <w:r>
        <w:rPr>
          <w:rFonts w:ascii="標楷體" w:eastAsia="標楷體" w:hAnsi="標楷體"/>
          <w:color w:val="000000"/>
        </w:rPr>
        <w:t xml:space="preserve">   (3)經胸腔內科及免疫風濕專科醫師確診為全身性硬化症有關</w:t>
      </w:r>
      <w:proofErr w:type="gramStart"/>
      <w:r>
        <w:rPr>
          <w:rFonts w:ascii="標楷體" w:eastAsia="標楷體" w:hAnsi="標楷體"/>
          <w:color w:val="000000"/>
        </w:rPr>
        <w:t>之間質</w:t>
      </w:r>
      <w:proofErr w:type="gramEnd"/>
      <w:r>
        <w:rPr>
          <w:rFonts w:ascii="標楷體" w:eastAsia="標楷體" w:hAnsi="標楷體"/>
          <w:color w:val="000000"/>
        </w:rPr>
        <w:t>性肺病(</w:t>
      </w:r>
      <w:proofErr w:type="spellStart"/>
      <w:r>
        <w:rPr>
          <w:rFonts w:ascii="標楷體" w:eastAsia="標楷體" w:hAnsi="標楷體"/>
          <w:color w:val="000000"/>
        </w:rPr>
        <w:t>SSc</w:t>
      </w:r>
      <w:proofErr w:type="spellEnd"/>
      <w:r>
        <w:rPr>
          <w:rFonts w:ascii="標楷體" w:eastAsia="標楷體" w:hAnsi="標楷體"/>
          <w:color w:val="000000"/>
        </w:rPr>
        <w:t>-ILD)，且病人的用力肺活量(forced vital capacity，FVC)</w:t>
      </w:r>
      <w:proofErr w:type="gramStart"/>
      <w:r>
        <w:rPr>
          <w:rFonts w:ascii="標楷體" w:eastAsia="標楷體" w:hAnsi="標楷體"/>
          <w:color w:val="000000"/>
        </w:rPr>
        <w:t>≧</w:t>
      </w:r>
      <w:proofErr w:type="gramEnd"/>
      <w:r>
        <w:rPr>
          <w:rFonts w:ascii="標楷體" w:eastAsia="標楷體" w:hAnsi="標楷體"/>
          <w:color w:val="000000"/>
        </w:rPr>
        <w:t>40%且DLCO (Diffusing capacity of the lung for carbon monoxide)為預估值之30-89%，病歷須清楚記載病人之相關臨床症狀(如呼吸困難、</w:t>
      </w:r>
      <w:proofErr w:type="gramStart"/>
      <w:r>
        <w:rPr>
          <w:rFonts w:ascii="標楷體" w:eastAsia="標楷體" w:hAnsi="標楷體"/>
          <w:color w:val="000000"/>
        </w:rPr>
        <w:t>喘或咳嗽</w:t>
      </w:r>
      <w:proofErr w:type="gramEnd"/>
      <w:r>
        <w:rPr>
          <w:rFonts w:ascii="標楷體" w:eastAsia="標楷體" w:hAnsi="標楷體"/>
          <w:color w:val="000000"/>
        </w:rPr>
        <w:t>等)。</w:t>
      </w:r>
    </w:p>
    <w:p w14:paraId="4204B6F9" w14:textId="77777777" w:rsidR="00401786" w:rsidRDefault="00C64FB3" w:rsidP="0009639E">
      <w:pPr>
        <w:spacing w:line="300" w:lineRule="exact"/>
        <w:ind w:left="1133" w:hanging="742"/>
        <w:rPr>
          <w:rFonts w:ascii="標楷體" w:eastAsia="標楷體" w:hAnsi="標楷體"/>
          <w:color w:val="000000"/>
        </w:rPr>
      </w:pPr>
      <w:r>
        <w:rPr>
          <w:rFonts w:ascii="標楷體" w:eastAsia="標楷體" w:hAnsi="標楷體"/>
          <w:color w:val="000000"/>
        </w:rPr>
        <w:t xml:space="preserve">   (4)使用cyclophosphamide (CYC)或azathioprine (AZA)或mycophenolate mofetil (MMF)6個月最高可耐受劑量後治療失敗的</w:t>
      </w:r>
      <w:proofErr w:type="spellStart"/>
      <w:r>
        <w:rPr>
          <w:rFonts w:ascii="標楷體" w:eastAsia="標楷體" w:hAnsi="標楷體"/>
          <w:color w:val="000000"/>
        </w:rPr>
        <w:t>SSc</w:t>
      </w:r>
      <w:proofErr w:type="spellEnd"/>
      <w:r>
        <w:rPr>
          <w:rFonts w:ascii="標楷體" w:eastAsia="標楷體" w:hAnsi="標楷體"/>
          <w:color w:val="000000"/>
        </w:rPr>
        <w:t>-ILD病人。</w:t>
      </w:r>
    </w:p>
    <w:p w14:paraId="49EC5722" w14:textId="77777777" w:rsidR="00401786" w:rsidRDefault="00C64FB3" w:rsidP="0009639E">
      <w:pPr>
        <w:spacing w:line="300" w:lineRule="exact"/>
        <w:ind w:left="657" w:hanging="266"/>
        <w:rPr>
          <w:rFonts w:ascii="標楷體" w:eastAsia="標楷體" w:hAnsi="標楷體"/>
          <w:color w:val="000000"/>
        </w:rPr>
      </w:pPr>
      <w:r>
        <w:rPr>
          <w:rFonts w:ascii="標楷體" w:eastAsia="標楷體" w:hAnsi="標楷體"/>
          <w:color w:val="000000"/>
        </w:rPr>
        <w:t xml:space="preserve">   (5)需經事前審查核准後使用，每26</w:t>
      </w:r>
      <w:proofErr w:type="gramStart"/>
      <w:r>
        <w:rPr>
          <w:rFonts w:ascii="標楷體" w:eastAsia="標楷體" w:hAnsi="標楷體"/>
          <w:color w:val="000000"/>
        </w:rPr>
        <w:t>週</w:t>
      </w:r>
      <w:proofErr w:type="gramEnd"/>
      <w:r>
        <w:rPr>
          <w:rFonts w:ascii="標楷體" w:eastAsia="標楷體" w:hAnsi="標楷體"/>
          <w:color w:val="000000"/>
        </w:rPr>
        <w:t>需</w:t>
      </w:r>
      <w:proofErr w:type="gramStart"/>
      <w:r>
        <w:rPr>
          <w:rFonts w:ascii="標楷體" w:eastAsia="標楷體" w:hAnsi="標楷體"/>
          <w:color w:val="000000"/>
        </w:rPr>
        <w:t>檢送肺功能</w:t>
      </w:r>
      <w:proofErr w:type="gramEnd"/>
      <w:r>
        <w:rPr>
          <w:rFonts w:ascii="標楷體" w:eastAsia="標楷體" w:hAnsi="標楷體"/>
          <w:color w:val="000000"/>
        </w:rPr>
        <w:t>評估報告資料再次申請。</w:t>
      </w:r>
    </w:p>
    <w:p w14:paraId="0AD783AE" w14:textId="77777777" w:rsidR="00401786" w:rsidRDefault="00C64FB3" w:rsidP="0009639E">
      <w:pPr>
        <w:spacing w:line="300" w:lineRule="exact"/>
        <w:ind w:left="1104" w:hanging="713"/>
        <w:rPr>
          <w:rFonts w:ascii="標楷體" w:eastAsia="標楷體" w:hAnsi="標楷體"/>
          <w:color w:val="000000"/>
        </w:rPr>
      </w:pPr>
      <w:r>
        <w:rPr>
          <w:rFonts w:ascii="標楷體" w:eastAsia="標楷體" w:hAnsi="標楷體"/>
          <w:color w:val="000000"/>
        </w:rPr>
        <w:t xml:space="preserve">   (6)停止治療條件：在持續使用</w:t>
      </w:r>
      <w:proofErr w:type="spellStart"/>
      <w:r>
        <w:rPr>
          <w:rFonts w:ascii="標楷體" w:eastAsia="標楷體" w:hAnsi="標楷體"/>
          <w:color w:val="000000"/>
        </w:rPr>
        <w:t>nintedanib</w:t>
      </w:r>
      <w:proofErr w:type="spellEnd"/>
      <w:r>
        <w:rPr>
          <w:rFonts w:ascii="標楷體" w:eastAsia="標楷體" w:hAnsi="標楷體"/>
          <w:color w:val="000000"/>
        </w:rPr>
        <w:t xml:space="preserve"> 52</w:t>
      </w:r>
      <w:proofErr w:type="gramStart"/>
      <w:r>
        <w:rPr>
          <w:rFonts w:ascii="標楷體" w:eastAsia="標楷體" w:hAnsi="標楷體"/>
          <w:color w:val="000000"/>
        </w:rPr>
        <w:t>週</w:t>
      </w:r>
      <w:proofErr w:type="gramEnd"/>
      <w:r>
        <w:rPr>
          <w:rFonts w:ascii="標楷體" w:eastAsia="標楷體" w:hAnsi="標楷體"/>
          <w:color w:val="000000"/>
        </w:rPr>
        <w:t>後，若病人用力肺活量FVC持續年下降＞100毫升，得以續用並觀察12</w:t>
      </w:r>
      <w:proofErr w:type="gramStart"/>
      <w:r>
        <w:rPr>
          <w:rFonts w:ascii="標楷體" w:eastAsia="標楷體" w:hAnsi="標楷體"/>
          <w:color w:val="000000"/>
        </w:rPr>
        <w:t>週</w:t>
      </w:r>
      <w:proofErr w:type="gramEnd"/>
      <w:r>
        <w:rPr>
          <w:rFonts w:ascii="標楷體" w:eastAsia="標楷體" w:hAnsi="標楷體"/>
          <w:color w:val="000000"/>
        </w:rPr>
        <w:t>，</w:t>
      </w:r>
      <w:proofErr w:type="gramStart"/>
      <w:r>
        <w:rPr>
          <w:rFonts w:ascii="標楷體" w:eastAsia="標楷體" w:hAnsi="標楷體"/>
          <w:color w:val="000000"/>
        </w:rPr>
        <w:t>如再測之</w:t>
      </w:r>
      <w:proofErr w:type="gramEnd"/>
      <w:r>
        <w:rPr>
          <w:rFonts w:ascii="標楷體" w:eastAsia="標楷體" w:hAnsi="標楷體"/>
          <w:color w:val="000000"/>
        </w:rPr>
        <w:t>FVC未改善，則應停止使用。</w:t>
      </w:r>
    </w:p>
    <w:p w14:paraId="08E352E7" w14:textId="77777777" w:rsidR="00401786" w:rsidRDefault="00C64FB3" w:rsidP="0009639E">
      <w:pPr>
        <w:spacing w:line="300" w:lineRule="exact"/>
        <w:ind w:left="708" w:hanging="266"/>
        <w:rPr>
          <w:rFonts w:ascii="標楷體" w:eastAsia="標楷體" w:hAnsi="標楷體"/>
          <w:color w:val="000000"/>
        </w:rPr>
      </w:pPr>
      <w:r>
        <w:rPr>
          <w:rFonts w:ascii="標楷體" w:eastAsia="標楷體" w:hAnsi="標楷體"/>
          <w:color w:val="000000"/>
        </w:rPr>
        <w:t xml:space="preserve"> 3.Nintedanib用於慢性漸進性纖維</w:t>
      </w:r>
      <w:proofErr w:type="gramStart"/>
      <w:r>
        <w:rPr>
          <w:rFonts w:ascii="標楷體" w:eastAsia="標楷體" w:hAnsi="標楷體"/>
          <w:color w:val="000000"/>
        </w:rPr>
        <w:t>化間質性</w:t>
      </w:r>
      <w:proofErr w:type="gramEnd"/>
      <w:r>
        <w:rPr>
          <w:rFonts w:ascii="標楷體" w:eastAsia="標楷體" w:hAnsi="標楷體"/>
          <w:color w:val="000000"/>
        </w:rPr>
        <w:t>肺病（PF-ILD）：</w:t>
      </w:r>
    </w:p>
    <w:p w14:paraId="13F00D3C" w14:textId="77777777" w:rsidR="00401786" w:rsidRDefault="00C64FB3" w:rsidP="0009639E">
      <w:pPr>
        <w:spacing w:line="300" w:lineRule="exact"/>
        <w:ind w:left="948" w:hanging="266"/>
        <w:rPr>
          <w:rFonts w:ascii="標楷體" w:eastAsia="標楷體" w:hAnsi="標楷體"/>
          <w:color w:val="000000"/>
        </w:rPr>
      </w:pPr>
      <w:r>
        <w:rPr>
          <w:rFonts w:ascii="標楷體" w:eastAsia="標楷體" w:hAnsi="標楷體"/>
          <w:color w:val="000000"/>
        </w:rPr>
        <w:t xml:space="preserve"> 需符合下列所有條件：(112/12/1</w:t>
      </w:r>
      <w:proofErr w:type="gramStart"/>
      <w:r>
        <w:rPr>
          <w:rFonts w:ascii="標楷體" w:eastAsia="標楷體" w:hAnsi="標楷體"/>
          <w:color w:val="000000"/>
        </w:rPr>
        <w:t>）</w:t>
      </w:r>
      <w:proofErr w:type="gramEnd"/>
      <w:r>
        <w:rPr>
          <w:rFonts w:ascii="標楷體" w:eastAsia="標楷體" w:hAnsi="標楷體"/>
          <w:color w:val="000000"/>
        </w:rPr>
        <w:t xml:space="preserve"> </w:t>
      </w:r>
    </w:p>
    <w:p w14:paraId="7B387BCD" w14:textId="77777777" w:rsidR="00401786" w:rsidRDefault="00C64FB3" w:rsidP="0009639E">
      <w:pPr>
        <w:spacing w:line="300" w:lineRule="exact"/>
        <w:ind w:left="1146" w:hanging="340"/>
        <w:rPr>
          <w:rFonts w:ascii="標楷體" w:eastAsia="標楷體" w:hAnsi="標楷體"/>
          <w:color w:val="000000"/>
        </w:rPr>
      </w:pPr>
      <w:r>
        <w:rPr>
          <w:rFonts w:ascii="標楷體" w:eastAsia="標楷體" w:hAnsi="標楷體"/>
          <w:color w:val="000000"/>
        </w:rPr>
        <w:t>(1)需檢附肺部HRCT（High resolution computed tomography）影像及檢查報告，證實具有肺部纖維化且侵犯至少10%</w:t>
      </w:r>
      <w:proofErr w:type="gramStart"/>
      <w:r>
        <w:rPr>
          <w:rFonts w:ascii="標楷體" w:eastAsia="標楷體" w:hAnsi="標楷體"/>
          <w:color w:val="000000"/>
        </w:rPr>
        <w:t>肺野</w:t>
      </w:r>
      <w:proofErr w:type="gramEnd"/>
      <w:r>
        <w:rPr>
          <w:rFonts w:ascii="標楷體" w:eastAsia="標楷體" w:hAnsi="標楷體"/>
          <w:color w:val="000000"/>
        </w:rPr>
        <w:t>（lung field），並</w:t>
      </w:r>
      <w:proofErr w:type="gramStart"/>
      <w:r>
        <w:rPr>
          <w:rFonts w:ascii="標楷體" w:eastAsia="標楷體" w:hAnsi="標楷體"/>
          <w:color w:val="000000"/>
        </w:rPr>
        <w:t>符合間質性</w:t>
      </w:r>
      <w:proofErr w:type="gramEnd"/>
      <w:r>
        <w:rPr>
          <w:rFonts w:ascii="標楷體" w:eastAsia="標楷體" w:hAnsi="標楷體"/>
          <w:color w:val="000000"/>
        </w:rPr>
        <w:t>肺病之診斷。</w:t>
      </w:r>
    </w:p>
    <w:p w14:paraId="40F272D7" w14:textId="77777777" w:rsidR="00401786" w:rsidRDefault="00C64FB3" w:rsidP="0009639E">
      <w:pPr>
        <w:spacing w:line="300" w:lineRule="exact"/>
        <w:ind w:left="1146" w:hanging="340"/>
      </w:pPr>
      <w:r>
        <w:rPr>
          <w:rFonts w:ascii="標楷體" w:eastAsia="標楷體" w:hAnsi="標楷體"/>
          <w:color w:val="000000"/>
        </w:rPr>
        <w:t>(2)經胸腔或風濕免疫專科醫師確認符合慢性漸進性纖維</w:t>
      </w:r>
      <w:proofErr w:type="gramStart"/>
      <w:r>
        <w:rPr>
          <w:rFonts w:ascii="標楷體" w:eastAsia="標楷體" w:hAnsi="標楷體"/>
          <w:color w:val="000000"/>
        </w:rPr>
        <w:t>化間質性</w:t>
      </w:r>
      <w:proofErr w:type="gramEnd"/>
      <w:r>
        <w:rPr>
          <w:rFonts w:ascii="標楷體" w:eastAsia="標楷體" w:hAnsi="標楷體"/>
          <w:color w:val="000000"/>
        </w:rPr>
        <w:t>肺病（Chronic fibrosing interstitial lung diseases with a progressive phenotype，PF-ILD）之疾病進展定義（請檢附過去</w:t>
      </w:r>
      <w:proofErr w:type="gramStart"/>
      <w:r>
        <w:rPr>
          <w:rFonts w:ascii="標楷體" w:eastAsia="標楷體" w:hAnsi="標楷體"/>
          <w:color w:val="000000"/>
        </w:rPr>
        <w:t>一</w:t>
      </w:r>
      <w:proofErr w:type="gramEnd"/>
      <w:r>
        <w:rPr>
          <w:rFonts w:ascii="標楷體" w:eastAsia="標楷體" w:hAnsi="標楷體"/>
          <w:color w:val="000000"/>
        </w:rPr>
        <w:t>年內可證明疾病進展之病歷及相關檢查報告）。須符合肺功能惡化，且伴隨呼吸症狀惡化或HRCT肺部影響檢查有纖維化增加的證據。肺功能惡化可以為以下任</w:t>
      </w:r>
      <w:proofErr w:type="gramStart"/>
      <w:r>
        <w:rPr>
          <w:rFonts w:ascii="標楷體" w:eastAsia="標楷體" w:hAnsi="標楷體"/>
          <w:color w:val="000000"/>
        </w:rPr>
        <w:t>一</w:t>
      </w:r>
      <w:proofErr w:type="gramEnd"/>
      <w:r>
        <w:rPr>
          <w:rFonts w:ascii="標楷體" w:eastAsia="標楷體" w:hAnsi="標楷體"/>
          <w:color w:val="000000"/>
        </w:rPr>
        <w:t>條件(a)用力肺活量（Forced vital capacity, FVC）預測值之絕對值降低</w:t>
      </w:r>
      <w:r>
        <w:rPr>
          <w:rFonts w:eastAsia="標楷體"/>
          <w:color w:val="000000"/>
        </w:rPr>
        <w:t>≥</w:t>
      </w:r>
      <w:r>
        <w:rPr>
          <w:rFonts w:ascii="標楷體" w:eastAsia="標楷體" w:hAnsi="標楷體"/>
          <w:color w:val="000000"/>
        </w:rPr>
        <w:t>5%或(b) DLCO（Diffusing capacity of the lung for carbon monoxide）預測值之絕對值降低</w:t>
      </w:r>
      <w:r>
        <w:rPr>
          <w:rFonts w:eastAsia="標楷體"/>
          <w:color w:val="000000"/>
        </w:rPr>
        <w:t>≥</w:t>
      </w:r>
      <w:r>
        <w:rPr>
          <w:rFonts w:ascii="標楷體" w:eastAsia="標楷體" w:hAnsi="標楷體"/>
          <w:color w:val="000000"/>
        </w:rPr>
        <w:t>10%。</w:t>
      </w:r>
    </w:p>
    <w:p w14:paraId="302C7640" w14:textId="77777777" w:rsidR="00401786" w:rsidRDefault="00C64FB3" w:rsidP="0009639E">
      <w:pPr>
        <w:spacing w:line="300" w:lineRule="exact"/>
        <w:ind w:left="1146" w:hanging="340"/>
        <w:rPr>
          <w:rFonts w:ascii="標楷體" w:eastAsia="標楷體" w:hAnsi="標楷體"/>
          <w:color w:val="000000"/>
        </w:rPr>
      </w:pPr>
      <w:r>
        <w:rPr>
          <w:rFonts w:ascii="標楷體" w:eastAsia="標楷體" w:hAnsi="標楷體"/>
          <w:color w:val="000000"/>
        </w:rPr>
        <w:t>(3)起始治療條件：病人的FVC為預測值之45~80%且DLCO為預估值之30~80%，病歷須清楚記載病人之相關臨床症狀（如呼吸困難、喘或咳嗽等）。</w:t>
      </w:r>
    </w:p>
    <w:p w14:paraId="34C14E6A" w14:textId="77777777" w:rsidR="00401786" w:rsidRDefault="00C64FB3" w:rsidP="0009639E">
      <w:pPr>
        <w:spacing w:line="300" w:lineRule="exact"/>
        <w:ind w:left="1146" w:hanging="340"/>
        <w:rPr>
          <w:rFonts w:ascii="標楷體" w:eastAsia="標楷體" w:hAnsi="標楷體"/>
          <w:color w:val="000000"/>
        </w:rPr>
      </w:pPr>
      <w:r>
        <w:rPr>
          <w:rFonts w:ascii="標楷體" w:eastAsia="標楷體" w:hAnsi="標楷體"/>
          <w:color w:val="000000"/>
        </w:rPr>
        <w:t>(4)停止治療條件：在持續使用</w:t>
      </w:r>
      <w:proofErr w:type="spellStart"/>
      <w:r>
        <w:rPr>
          <w:rFonts w:ascii="標楷體" w:eastAsia="標楷體" w:hAnsi="標楷體"/>
          <w:color w:val="000000"/>
        </w:rPr>
        <w:t>nintedanib</w:t>
      </w:r>
      <w:proofErr w:type="spellEnd"/>
      <w:r>
        <w:rPr>
          <w:rFonts w:ascii="標楷體" w:eastAsia="標楷體" w:hAnsi="標楷體"/>
          <w:color w:val="000000"/>
        </w:rPr>
        <w:t xml:space="preserve"> 52</w:t>
      </w:r>
      <w:proofErr w:type="gramStart"/>
      <w:r>
        <w:rPr>
          <w:rFonts w:ascii="標楷體" w:eastAsia="標楷體" w:hAnsi="標楷體"/>
          <w:color w:val="000000"/>
        </w:rPr>
        <w:t>週</w:t>
      </w:r>
      <w:proofErr w:type="gramEnd"/>
      <w:r>
        <w:rPr>
          <w:rFonts w:ascii="標楷體" w:eastAsia="標楷體" w:hAnsi="標楷體"/>
          <w:color w:val="000000"/>
        </w:rPr>
        <w:t>後，若病人的用力肺活量FVC預測值持續年下降10%絕對值或以上，則進入12</w:t>
      </w:r>
      <w:proofErr w:type="gramStart"/>
      <w:r>
        <w:rPr>
          <w:rFonts w:ascii="標楷體" w:eastAsia="標楷體" w:hAnsi="標楷體"/>
          <w:color w:val="000000"/>
        </w:rPr>
        <w:t>週</w:t>
      </w:r>
      <w:proofErr w:type="gramEnd"/>
      <w:r>
        <w:rPr>
          <w:rFonts w:ascii="標楷體" w:eastAsia="標楷體" w:hAnsi="標楷體"/>
          <w:color w:val="000000"/>
        </w:rPr>
        <w:t>的緩衝期 (grace period)，這段期間可先給予續用，緩衝期後，</w:t>
      </w:r>
      <w:proofErr w:type="gramStart"/>
      <w:r>
        <w:rPr>
          <w:rFonts w:ascii="標楷體" w:eastAsia="標楷體" w:hAnsi="標楷體"/>
          <w:color w:val="000000"/>
        </w:rPr>
        <w:t>再測之</w:t>
      </w:r>
      <w:proofErr w:type="gramEnd"/>
      <w:r>
        <w:rPr>
          <w:rFonts w:ascii="標楷體" w:eastAsia="標楷體" w:hAnsi="標楷體"/>
          <w:color w:val="000000"/>
        </w:rPr>
        <w:t>FVC預測值（%）與緩衝期前相比仍降低</w:t>
      </w:r>
      <w:r>
        <w:rPr>
          <w:rFonts w:ascii="標楷體" w:eastAsia="標楷體" w:hAnsi="標楷體"/>
          <w:color w:val="000000"/>
        </w:rPr>
        <w:lastRenderedPageBreak/>
        <w:t>時，則認定為未改善，應停止用藥。</w:t>
      </w:r>
    </w:p>
    <w:p w14:paraId="76EA1830" w14:textId="77777777" w:rsidR="00401786" w:rsidRDefault="00C64FB3" w:rsidP="0009639E">
      <w:pPr>
        <w:spacing w:line="300" w:lineRule="exact"/>
        <w:ind w:left="566" w:hanging="266"/>
        <w:rPr>
          <w:rFonts w:ascii="標楷體" w:eastAsia="標楷體" w:hAnsi="標楷體"/>
          <w:color w:val="000000"/>
        </w:rPr>
      </w:pPr>
      <w:r>
        <w:rPr>
          <w:rFonts w:ascii="標楷體" w:eastAsia="標楷體" w:hAnsi="標楷體"/>
          <w:color w:val="000000"/>
        </w:rPr>
        <w:tab/>
        <w:t xml:space="preserve">  (5)需經事前審查核准後使用，每26</w:t>
      </w:r>
      <w:proofErr w:type="gramStart"/>
      <w:r>
        <w:rPr>
          <w:rFonts w:ascii="標楷體" w:eastAsia="標楷體" w:hAnsi="標楷體"/>
          <w:color w:val="000000"/>
        </w:rPr>
        <w:t>週</w:t>
      </w:r>
      <w:proofErr w:type="gramEnd"/>
      <w:r>
        <w:rPr>
          <w:rFonts w:ascii="標楷體" w:eastAsia="標楷體" w:hAnsi="標楷體"/>
          <w:color w:val="000000"/>
        </w:rPr>
        <w:t>需檢送評估資料再次申請。</w:t>
      </w:r>
    </w:p>
    <w:p w14:paraId="0DAEE7EB" w14:textId="77777777" w:rsidR="00C5391A" w:rsidRDefault="00C5391A" w:rsidP="00C5391A">
      <w:pPr>
        <w:spacing w:line="300" w:lineRule="exact"/>
        <w:ind w:left="991" w:hanging="708"/>
      </w:pPr>
      <w:r>
        <w:rPr>
          <w:rFonts w:ascii="標楷體" w:eastAsia="標楷體" w:hAnsi="標楷體"/>
          <w:color w:val="000000"/>
        </w:rPr>
        <w:t>6.2.8.Mepolizumab (如Nucala) 、</w:t>
      </w:r>
      <w:proofErr w:type="spellStart"/>
      <w:r>
        <w:rPr>
          <w:rFonts w:ascii="標楷體" w:eastAsia="標楷體" w:hAnsi="標楷體"/>
          <w:color w:val="000000"/>
        </w:rPr>
        <w:t>Benralizumab</w:t>
      </w:r>
      <w:proofErr w:type="spellEnd"/>
      <w:r>
        <w:rPr>
          <w:rFonts w:ascii="標楷體" w:eastAsia="標楷體" w:hAnsi="標楷體"/>
          <w:color w:val="000000"/>
        </w:rPr>
        <w:t xml:space="preserve"> (如Fasenra)（107/11/1、109/3/1、109/11/1</w:t>
      </w:r>
      <w:r w:rsidRPr="00F4276A">
        <w:rPr>
          <w:rFonts w:ascii="標楷體" w:eastAsia="標楷體" w:hAnsi="標楷體" w:hint="eastAsia"/>
          <w:color w:val="000000"/>
        </w:rPr>
        <w:t>、115/4/1</w:t>
      </w:r>
      <w:r>
        <w:rPr>
          <w:rFonts w:ascii="標楷體" w:eastAsia="標楷體" w:hAnsi="標楷體"/>
          <w:color w:val="000000"/>
        </w:rPr>
        <w:t xml:space="preserve">）： </w:t>
      </w:r>
    </w:p>
    <w:p w14:paraId="0A03ED3A"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1.</w:t>
      </w:r>
      <w:r w:rsidR="00A7036A" w:rsidRPr="00A7036A">
        <w:rPr>
          <w:rFonts w:hint="eastAsia"/>
        </w:rPr>
        <w:t xml:space="preserve"> </w:t>
      </w:r>
      <w:r w:rsidR="00A7036A" w:rsidRPr="00A7036A">
        <w:rPr>
          <w:rFonts w:ascii="標楷體" w:eastAsia="標楷體" w:hAnsi="標楷體" w:hint="eastAsia"/>
          <w:color w:val="000000"/>
        </w:rPr>
        <w:t>限用於經胸腔專科(含兒童)或過敏免疫專科(含兒童)醫師診斷</w:t>
      </w:r>
      <w:proofErr w:type="gramStart"/>
      <w:r w:rsidR="00A7036A" w:rsidRPr="00A7036A">
        <w:rPr>
          <w:rFonts w:ascii="標楷體" w:eastAsia="標楷體" w:hAnsi="標楷體" w:hint="eastAsia"/>
          <w:color w:val="000000"/>
        </w:rPr>
        <w:t>為嗜伊紅性</w:t>
      </w:r>
      <w:proofErr w:type="gramEnd"/>
      <w:r w:rsidR="00A7036A" w:rsidRPr="00A7036A">
        <w:rPr>
          <w:rFonts w:ascii="標楷體" w:eastAsia="標楷體" w:hAnsi="標楷體" w:hint="eastAsia"/>
          <w:color w:val="000000"/>
        </w:rPr>
        <w:t>(嗜酸性)白血球的嚴重氣喘且控制不良(severe refractory eosinophilic asthma)之病人，且需符合下列條件：(109/11/1、115/4/1</w:t>
      </w:r>
      <w:proofErr w:type="gramStart"/>
      <w:r w:rsidR="00A7036A" w:rsidRPr="00A7036A">
        <w:rPr>
          <w:rFonts w:ascii="標楷體" w:eastAsia="標楷體" w:hAnsi="標楷體" w:hint="eastAsia"/>
          <w:color w:val="000000"/>
        </w:rPr>
        <w:t>）</w:t>
      </w:r>
      <w:proofErr w:type="gramEnd"/>
    </w:p>
    <w:p w14:paraId="53B08F27" w14:textId="77777777" w:rsidR="00C5391A" w:rsidRPr="00F4276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(1)</w:t>
      </w:r>
      <w:r w:rsidRPr="00F4276A">
        <w:rPr>
          <w:rFonts w:ascii="標楷體" w:eastAsia="標楷體" w:hAnsi="標楷體" w:hint="eastAsia"/>
          <w:color w:val="000000"/>
        </w:rPr>
        <w:tab/>
        <w:t>Mepolizumab 限用於6歲以上病人；</w:t>
      </w:r>
      <w:proofErr w:type="spellStart"/>
      <w:r w:rsidRPr="00F4276A">
        <w:rPr>
          <w:rFonts w:ascii="標楷體" w:eastAsia="標楷體" w:hAnsi="標楷體" w:hint="eastAsia"/>
          <w:color w:val="000000"/>
        </w:rPr>
        <w:t>benralizumab</w:t>
      </w:r>
      <w:proofErr w:type="spellEnd"/>
      <w:r w:rsidRPr="00F4276A">
        <w:rPr>
          <w:rFonts w:ascii="標楷體" w:eastAsia="標楷體" w:hAnsi="標楷體" w:hint="eastAsia"/>
          <w:color w:val="000000"/>
        </w:rPr>
        <w:t>限用於18歲以上成人病人。(109/11/1、115/4/1</w:t>
      </w:r>
      <w:proofErr w:type="gramStart"/>
      <w:r w:rsidRPr="00F4276A">
        <w:rPr>
          <w:rFonts w:ascii="標楷體" w:eastAsia="標楷體" w:hAnsi="標楷體" w:hint="eastAsia"/>
          <w:color w:val="000000"/>
        </w:rPr>
        <w:t>）</w:t>
      </w:r>
      <w:proofErr w:type="gramEnd"/>
    </w:p>
    <w:p w14:paraId="3770B724" w14:textId="77777777" w:rsidR="00C5391A" w:rsidRPr="00F4276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(2)</w:t>
      </w:r>
      <w:r w:rsidRPr="00F4276A">
        <w:rPr>
          <w:rFonts w:ascii="標楷體" w:eastAsia="標楷體" w:hAnsi="標楷體" w:hint="eastAsia"/>
          <w:color w:val="000000"/>
        </w:rPr>
        <w:tab/>
        <w:t>投藥前12個月內的血中</w:t>
      </w:r>
      <w:proofErr w:type="gramStart"/>
      <w:r w:rsidRPr="00F4276A">
        <w:rPr>
          <w:rFonts w:ascii="標楷體" w:eastAsia="標楷體" w:hAnsi="標楷體" w:hint="eastAsia"/>
          <w:color w:val="000000"/>
        </w:rPr>
        <w:t>嗜伊紅性</w:t>
      </w:r>
      <w:proofErr w:type="gramEnd"/>
      <w:r w:rsidRPr="00F4276A">
        <w:rPr>
          <w:rFonts w:ascii="標楷體" w:eastAsia="標楷體" w:hAnsi="標楷體" w:hint="eastAsia"/>
          <w:color w:val="000000"/>
        </w:rPr>
        <w:t>(嗜酸性)白血球</w:t>
      </w:r>
      <w:proofErr w:type="gramStart"/>
      <w:r w:rsidRPr="00F4276A">
        <w:rPr>
          <w:rFonts w:ascii="標楷體" w:eastAsia="標楷體" w:hAnsi="標楷體" w:hint="eastAsia"/>
          <w:color w:val="000000"/>
        </w:rPr>
        <w:t>≧</w:t>
      </w:r>
      <w:proofErr w:type="gramEnd"/>
      <w:r w:rsidRPr="00F4276A">
        <w:rPr>
          <w:rFonts w:ascii="標楷體" w:eastAsia="標楷體" w:hAnsi="標楷體" w:hint="eastAsia"/>
          <w:color w:val="000000"/>
        </w:rPr>
        <w:t>300cells/</w:t>
      </w:r>
      <w:proofErr w:type="spellStart"/>
      <w:r w:rsidRPr="00F4276A">
        <w:rPr>
          <w:rFonts w:ascii="標楷體" w:eastAsia="標楷體" w:hAnsi="標楷體" w:hint="eastAsia"/>
          <w:color w:val="000000"/>
        </w:rPr>
        <w:t>mcL</w:t>
      </w:r>
      <w:proofErr w:type="spellEnd"/>
      <w:r w:rsidRPr="00F4276A">
        <w:rPr>
          <w:rFonts w:ascii="標楷體" w:eastAsia="標楷體" w:hAnsi="標楷體" w:hint="eastAsia"/>
          <w:color w:val="000000"/>
        </w:rPr>
        <w:t>。</w:t>
      </w:r>
    </w:p>
    <w:p w14:paraId="7A2EB019" w14:textId="77777777" w:rsidR="00C5391A" w:rsidRPr="00F4276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(3)</w:t>
      </w:r>
      <w:r w:rsidRPr="00F4276A">
        <w:rPr>
          <w:rFonts w:ascii="標楷體" w:eastAsia="標楷體" w:hAnsi="標楷體" w:hint="eastAsia"/>
          <w:color w:val="000000"/>
        </w:rPr>
        <w:tab/>
        <w:t>病人已遵循</w:t>
      </w:r>
      <w:proofErr w:type="gramStart"/>
      <w:r w:rsidRPr="00F4276A">
        <w:rPr>
          <w:rFonts w:ascii="標楷體" w:eastAsia="標楷體" w:hAnsi="標楷體" w:hint="eastAsia"/>
          <w:color w:val="000000"/>
        </w:rPr>
        <w:t>最</w:t>
      </w:r>
      <w:proofErr w:type="gramEnd"/>
      <w:r w:rsidRPr="00F4276A">
        <w:rPr>
          <w:rFonts w:ascii="標楷體" w:eastAsia="標楷體" w:hAnsi="標楷體" w:hint="eastAsia"/>
          <w:color w:val="000000"/>
        </w:rPr>
        <w:t>適切的標準療法，並依下列規定持續使用口服類固醇prednisolone每天至少5mg或等價當量(equivalence)。(109/11/1、115/4/1</w:t>
      </w:r>
      <w:proofErr w:type="gramStart"/>
      <w:r w:rsidRPr="00F4276A">
        <w:rPr>
          <w:rFonts w:ascii="標楷體" w:eastAsia="標楷體" w:hAnsi="標楷體" w:hint="eastAsia"/>
          <w:color w:val="000000"/>
        </w:rPr>
        <w:t>）</w:t>
      </w:r>
      <w:proofErr w:type="gramEnd"/>
    </w:p>
    <w:p w14:paraId="6C26AEFB" w14:textId="77777777" w:rsidR="00C5391A" w:rsidRPr="00F4276A" w:rsidRDefault="00C5391A" w:rsidP="00C5391A">
      <w:pPr>
        <w:spacing w:line="300" w:lineRule="exact"/>
        <w:ind w:left="1701" w:hanging="384"/>
        <w:rPr>
          <w:rFonts w:ascii="標楷體" w:eastAsia="標楷體" w:hAnsi="標楷體"/>
          <w:color w:val="000000"/>
        </w:rPr>
      </w:pPr>
      <w:r w:rsidRPr="00F4276A">
        <w:rPr>
          <w:rFonts w:ascii="標楷體" w:eastAsia="標楷體" w:hAnsi="標楷體" w:hint="eastAsia"/>
          <w:color w:val="000000"/>
        </w:rPr>
        <w:t>I.18歲以上病人過去3個月持續使用口服類固醇。(115/4/1)</w:t>
      </w:r>
    </w:p>
    <w:p w14:paraId="2313D5C9" w14:textId="77777777" w:rsidR="00C5391A" w:rsidRPr="00F4276A" w:rsidRDefault="00C5391A" w:rsidP="00C5391A">
      <w:pPr>
        <w:spacing w:line="300" w:lineRule="exact"/>
        <w:ind w:left="1701" w:hanging="384"/>
        <w:rPr>
          <w:rFonts w:ascii="標楷體" w:eastAsia="標楷體" w:hAnsi="標楷體"/>
          <w:color w:val="000000"/>
        </w:rPr>
      </w:pPr>
      <w:r w:rsidRPr="00F4276A">
        <w:rPr>
          <w:rFonts w:ascii="標楷體" w:eastAsia="標楷體" w:hAnsi="標楷體" w:hint="eastAsia"/>
          <w:color w:val="000000"/>
        </w:rPr>
        <w:t>II.6歲以上至未滿18歲病人過去1個月持續使用口服類固醇</w:t>
      </w:r>
      <w:r>
        <w:rPr>
          <w:rFonts w:ascii="標楷體" w:eastAsia="標楷體" w:hAnsi="標楷體" w:hint="eastAsia"/>
          <w:color w:val="000000"/>
        </w:rPr>
        <w:t>。</w:t>
      </w:r>
      <w:r w:rsidRPr="00F4276A">
        <w:rPr>
          <w:rFonts w:ascii="標楷體" w:eastAsia="標楷體" w:hAnsi="標楷體" w:hint="eastAsia"/>
          <w:color w:val="000000"/>
        </w:rPr>
        <w:t>(115/4/1)</w:t>
      </w:r>
    </w:p>
    <w:p w14:paraId="4AFD4A93" w14:textId="77777777" w:rsidR="00C5391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(4)</w:t>
      </w:r>
      <w:r w:rsidRPr="00F4276A">
        <w:rPr>
          <w:rFonts w:ascii="標楷體" w:eastAsia="標楷體" w:hAnsi="標楷體" w:hint="eastAsia"/>
          <w:color w:val="000000"/>
        </w:rPr>
        <w:tab/>
        <w:t>過去12個月內有2次或2次以上因氣喘急性惡化而需要使用全身性類固醇，且其中至少一次是因為氣喘惡化而需急診或住院治療。</w:t>
      </w:r>
    </w:p>
    <w:p w14:paraId="7222B8F9"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2.需經事前審查核准後使用。</w:t>
      </w:r>
    </w:p>
    <w:p w14:paraId="391F24EA"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3.使用頻率：</w:t>
      </w:r>
    </w:p>
    <w:p w14:paraId="7AD7F39B" w14:textId="77777777" w:rsidR="00C5391A" w:rsidRDefault="00C5391A" w:rsidP="00C5391A">
      <w:pPr>
        <w:spacing w:line="300" w:lineRule="exact"/>
        <w:ind w:left="708"/>
        <w:rPr>
          <w:rFonts w:ascii="標楷體" w:eastAsia="標楷體" w:hAnsi="標楷體"/>
          <w:color w:val="000000"/>
        </w:rPr>
      </w:pPr>
      <w:r>
        <w:rPr>
          <w:rFonts w:ascii="標楷體" w:eastAsia="標楷體" w:hAnsi="標楷體"/>
          <w:color w:val="000000"/>
        </w:rPr>
        <w:t>(1)Mepolizumab每4</w:t>
      </w:r>
      <w:proofErr w:type="gramStart"/>
      <w:r>
        <w:rPr>
          <w:rFonts w:ascii="標楷體" w:eastAsia="標楷體" w:hAnsi="標楷體"/>
          <w:color w:val="000000"/>
        </w:rPr>
        <w:t>週</w:t>
      </w:r>
      <w:proofErr w:type="gramEnd"/>
      <w:r>
        <w:rPr>
          <w:rFonts w:ascii="標楷體" w:eastAsia="標楷體" w:hAnsi="標楷體"/>
          <w:color w:val="000000"/>
        </w:rPr>
        <w:t>使用不得超過1次。</w:t>
      </w:r>
    </w:p>
    <w:p w14:paraId="49A96FE7" w14:textId="77777777" w:rsidR="00C5391A" w:rsidRDefault="00C5391A" w:rsidP="00C5391A">
      <w:pPr>
        <w:spacing w:line="300" w:lineRule="exact"/>
        <w:ind w:left="708"/>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Benralizumab</w:t>
      </w:r>
      <w:proofErr w:type="spellEnd"/>
      <w:r>
        <w:rPr>
          <w:rFonts w:ascii="標楷體" w:eastAsia="標楷體" w:hAnsi="標楷體"/>
          <w:color w:val="000000"/>
        </w:rPr>
        <w:t>第一個8</w:t>
      </w:r>
      <w:proofErr w:type="gramStart"/>
      <w:r>
        <w:rPr>
          <w:rFonts w:ascii="標楷體" w:eastAsia="標楷體" w:hAnsi="標楷體"/>
          <w:color w:val="000000"/>
        </w:rPr>
        <w:t>週</w:t>
      </w:r>
      <w:proofErr w:type="gramEnd"/>
      <w:r>
        <w:rPr>
          <w:rFonts w:ascii="標楷體" w:eastAsia="標楷體" w:hAnsi="標楷體"/>
          <w:color w:val="000000"/>
        </w:rPr>
        <w:t>使用不得超過3次(第0、4、8</w:t>
      </w:r>
      <w:proofErr w:type="gramStart"/>
      <w:r>
        <w:rPr>
          <w:rFonts w:ascii="標楷體" w:eastAsia="標楷體" w:hAnsi="標楷體"/>
          <w:color w:val="000000"/>
        </w:rPr>
        <w:t>週</w:t>
      </w:r>
      <w:proofErr w:type="gramEnd"/>
      <w:r>
        <w:rPr>
          <w:rFonts w:ascii="標楷體" w:eastAsia="標楷體" w:hAnsi="標楷體"/>
          <w:color w:val="000000"/>
        </w:rPr>
        <w:t>)，以後每8</w:t>
      </w:r>
      <w:proofErr w:type="gramStart"/>
      <w:r>
        <w:rPr>
          <w:rFonts w:ascii="標楷體" w:eastAsia="標楷體" w:hAnsi="標楷體"/>
          <w:color w:val="000000"/>
        </w:rPr>
        <w:t>週</w:t>
      </w:r>
      <w:proofErr w:type="gramEnd"/>
      <w:r>
        <w:rPr>
          <w:rFonts w:ascii="標楷體" w:eastAsia="標楷體" w:hAnsi="標楷體"/>
          <w:color w:val="000000"/>
        </w:rPr>
        <w:t>使用不得超過1次。</w:t>
      </w:r>
    </w:p>
    <w:p w14:paraId="0436CEA8"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4.使用32</w:t>
      </w:r>
      <w:proofErr w:type="gramStart"/>
      <w:r>
        <w:rPr>
          <w:rFonts w:ascii="標楷體" w:eastAsia="標楷體" w:hAnsi="標楷體"/>
          <w:color w:val="000000"/>
        </w:rPr>
        <w:t>週</w:t>
      </w:r>
      <w:proofErr w:type="gramEnd"/>
      <w:r>
        <w:rPr>
          <w:rFonts w:ascii="標楷體" w:eastAsia="標楷體" w:hAnsi="標楷體"/>
          <w:color w:val="000000"/>
        </w:rPr>
        <w:t>後進行評估，與未使用前比較，若「惡化」情形減少，方可繼續使用。</w:t>
      </w:r>
    </w:p>
    <w:p w14:paraId="45A2BF6C" w14:textId="77777777" w:rsidR="00C5391A" w:rsidRDefault="00C5391A" w:rsidP="00C5391A">
      <w:pPr>
        <w:spacing w:line="300" w:lineRule="exact"/>
        <w:ind w:left="566"/>
        <w:rPr>
          <w:rFonts w:ascii="標楷體" w:eastAsia="標楷體" w:hAnsi="標楷體"/>
          <w:color w:val="000000"/>
        </w:rPr>
      </w:pPr>
      <w:r>
        <w:rPr>
          <w:rFonts w:ascii="標楷體" w:eastAsia="標楷體" w:hAnsi="標楷體"/>
          <w:color w:val="000000"/>
        </w:rPr>
        <w:t>備註：</w:t>
      </w:r>
    </w:p>
    <w:p w14:paraId="0F967B83" w14:textId="77777777" w:rsidR="00C5391A" w:rsidRDefault="00C5391A" w:rsidP="00C5391A">
      <w:pPr>
        <w:spacing w:line="300" w:lineRule="exact"/>
        <w:ind w:left="1276" w:hanging="425"/>
        <w:rPr>
          <w:rFonts w:ascii="標楷體" w:eastAsia="標楷體" w:hAnsi="標楷體"/>
          <w:color w:val="000000"/>
        </w:rPr>
      </w:pPr>
      <w:r>
        <w:rPr>
          <w:rFonts w:ascii="標楷體" w:eastAsia="標楷體" w:hAnsi="標楷體"/>
          <w:color w:val="000000"/>
        </w:rPr>
        <w:t>1.「惡化」的定義為必須使用口服/全身性類固醇治療、或住院治療、或送急診治療的氣喘惡化現象。</w:t>
      </w:r>
    </w:p>
    <w:p w14:paraId="1B0D0BF0" w14:textId="77777777" w:rsidR="00401786" w:rsidRDefault="00C5391A" w:rsidP="00C5391A">
      <w:pPr>
        <w:spacing w:line="300" w:lineRule="exact"/>
        <w:ind w:left="56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最</w:t>
      </w:r>
      <w:proofErr w:type="gramEnd"/>
      <w:r>
        <w:rPr>
          <w:rFonts w:ascii="標楷體" w:eastAsia="標楷體" w:hAnsi="標楷體"/>
          <w:color w:val="000000"/>
        </w:rPr>
        <w:t>適切的標準療法」係指符合GINA治療指引Step 5之規範</w:t>
      </w:r>
      <w:r>
        <w:rPr>
          <w:rFonts w:ascii="標楷體" w:eastAsia="標楷體" w:hAnsi="標楷體" w:hint="eastAsia"/>
          <w:color w:val="000000"/>
        </w:rPr>
        <w:t>。</w:t>
      </w:r>
      <w:r>
        <w:rPr>
          <w:rFonts w:ascii="標楷體" w:eastAsia="標楷體" w:hAnsi="標楷體"/>
          <w:color w:val="000000"/>
        </w:rPr>
        <w:t>(109/11/1</w:t>
      </w:r>
      <w:proofErr w:type="gramStart"/>
      <w:r>
        <w:rPr>
          <w:rFonts w:ascii="標楷體" w:eastAsia="標楷體" w:hAnsi="標楷體"/>
          <w:color w:val="000000"/>
        </w:rPr>
        <w:t>）</w:t>
      </w:r>
      <w:proofErr w:type="gramEnd"/>
    </w:p>
    <w:p w14:paraId="5E8FA444" w14:textId="77777777" w:rsidR="00401786" w:rsidRDefault="00C64FB3" w:rsidP="0009639E">
      <w:pPr>
        <w:tabs>
          <w:tab w:val="left" w:pos="851"/>
        </w:tabs>
        <w:spacing w:line="300" w:lineRule="exact"/>
        <w:ind w:left="546" w:hanging="284"/>
        <w:rPr>
          <w:rFonts w:ascii="標楷體" w:eastAsia="標楷體" w:hAnsi="標楷體"/>
          <w:szCs w:val="24"/>
        </w:rPr>
      </w:pPr>
      <w:r>
        <w:rPr>
          <w:rFonts w:ascii="標楷體" w:eastAsia="標楷體" w:hAnsi="標楷體"/>
          <w:szCs w:val="24"/>
        </w:rPr>
        <w:t>6.2.9.Dupilumab (如Dupixent)：(113/2/1)</w:t>
      </w:r>
    </w:p>
    <w:p w14:paraId="479DB9BE"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1.限用於</w:t>
      </w:r>
      <w:proofErr w:type="gramStart"/>
      <w:r>
        <w:rPr>
          <w:rFonts w:ascii="標楷體" w:eastAsia="標楷體" w:hAnsi="標楷體"/>
          <w:szCs w:val="24"/>
        </w:rPr>
        <w:t>嗜伊紅性</w:t>
      </w:r>
      <w:proofErr w:type="gramEnd"/>
      <w:r>
        <w:rPr>
          <w:rFonts w:ascii="標楷體" w:eastAsia="標楷體" w:hAnsi="標楷體"/>
          <w:szCs w:val="24"/>
        </w:rPr>
        <w:t>(嗜酸性)白血球表現型的嚴重氣喘且控制不良(severe refractory eosinophilic asthma)之12歲以上病人，且需符合下列各項條件：</w:t>
      </w:r>
    </w:p>
    <w:p w14:paraId="08EB7D3A"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(1)須經胸腔專科或過敏免疫或兒科專科醫師診斷。</w:t>
      </w:r>
    </w:p>
    <w:p w14:paraId="4D2FCD52"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(2)投藥前12個月內的血中</w:t>
      </w:r>
      <w:proofErr w:type="gramStart"/>
      <w:r>
        <w:rPr>
          <w:rFonts w:ascii="標楷體" w:eastAsia="標楷體" w:hAnsi="標楷體"/>
        </w:rPr>
        <w:t>嗜伊紅性</w:t>
      </w:r>
      <w:proofErr w:type="gramEnd"/>
      <w:r>
        <w:rPr>
          <w:rFonts w:ascii="標楷體" w:eastAsia="標楷體" w:hAnsi="標楷體"/>
        </w:rPr>
        <w:t>(嗜酸性)白血球</w:t>
      </w:r>
      <w:proofErr w:type="gramStart"/>
      <w:r>
        <w:rPr>
          <w:rFonts w:ascii="標楷體" w:eastAsia="標楷體" w:hAnsi="標楷體"/>
        </w:rPr>
        <w:t>≧</w:t>
      </w:r>
      <w:proofErr w:type="gramEnd"/>
      <w:r>
        <w:rPr>
          <w:rFonts w:ascii="標楷體" w:eastAsia="標楷體" w:hAnsi="標楷體"/>
        </w:rPr>
        <w:t>300 cells/</w:t>
      </w:r>
      <w:proofErr w:type="spellStart"/>
      <w:r>
        <w:rPr>
          <w:rFonts w:ascii="標楷體" w:eastAsia="標楷體" w:hAnsi="標楷體"/>
        </w:rPr>
        <w:t>mcL</w:t>
      </w:r>
      <w:proofErr w:type="spellEnd"/>
      <w:r>
        <w:rPr>
          <w:rFonts w:ascii="標楷體" w:eastAsia="標楷體" w:hAnsi="標楷體"/>
        </w:rPr>
        <w:t>。</w:t>
      </w:r>
    </w:p>
    <w:p w14:paraId="3DE4A5EB"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(3)病人已使用</w:t>
      </w:r>
      <w:proofErr w:type="gramStart"/>
      <w:r>
        <w:rPr>
          <w:rFonts w:ascii="標楷體" w:eastAsia="標楷體" w:hAnsi="標楷體"/>
        </w:rPr>
        <w:t>最</w:t>
      </w:r>
      <w:proofErr w:type="gramEnd"/>
      <w:r>
        <w:rPr>
          <w:rFonts w:ascii="標楷體" w:eastAsia="標楷體" w:hAnsi="標楷體"/>
        </w:rPr>
        <w:t>適切的標準療法。</w:t>
      </w:r>
    </w:p>
    <w:p w14:paraId="07BE0E21"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(4)18歲以上病人過去6個月、12歲以上至未滿18歲過去1至3個月，持續使用口服類固醇prednisolone每天至少5mg或等價當量(equivalence)。</w:t>
      </w:r>
    </w:p>
    <w:p w14:paraId="2130AEBA"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(5)過去12個月內有2次或2次以上因氣喘急性惡化而需要使用全身性類固醇，且其中至少一次是因為氣喘惡化而需急診或住院治療。</w:t>
      </w:r>
    </w:p>
    <w:p w14:paraId="63ABEBE3"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2.需經事前審查核准後使用。</w:t>
      </w:r>
    </w:p>
    <w:p w14:paraId="558546E5"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 xml:space="preserve">3.使用頻率： </w:t>
      </w:r>
    </w:p>
    <w:p w14:paraId="74FD9A73"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(1)口服皮質類固醇依賴型的氣喘，或合併有中度至</w:t>
      </w:r>
      <w:proofErr w:type="gramStart"/>
      <w:r>
        <w:rPr>
          <w:rFonts w:ascii="標楷體" w:eastAsia="標楷體" w:hAnsi="標楷體"/>
        </w:rPr>
        <w:t>重度異位</w:t>
      </w:r>
      <w:proofErr w:type="gramEnd"/>
      <w:r>
        <w:rPr>
          <w:rFonts w:ascii="標楷體" w:eastAsia="標楷體" w:hAnsi="標楷體"/>
        </w:rPr>
        <w:t>性皮膚炎，或合併有慢性鼻竇炎合併鼻息肉：起始劑量為600 mg(300 mg注射兩劑)，接著以300 mg每2</w:t>
      </w:r>
      <w:proofErr w:type="gramStart"/>
      <w:r>
        <w:rPr>
          <w:rFonts w:ascii="標楷體" w:eastAsia="標楷體" w:hAnsi="標楷體"/>
        </w:rPr>
        <w:t>週</w:t>
      </w:r>
      <w:proofErr w:type="gramEnd"/>
      <w:r>
        <w:rPr>
          <w:rFonts w:ascii="標楷體" w:eastAsia="標楷體" w:hAnsi="標楷體"/>
        </w:rPr>
        <w:t>注射一次。</w:t>
      </w:r>
    </w:p>
    <w:p w14:paraId="401B371F"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(2)其他病人為起始劑量為400 mg(200 mg注射兩劑)，接著以200 mg每2</w:t>
      </w:r>
      <w:proofErr w:type="gramStart"/>
      <w:r>
        <w:rPr>
          <w:rFonts w:ascii="標楷體" w:eastAsia="標楷體" w:hAnsi="標楷體"/>
        </w:rPr>
        <w:t>週</w:t>
      </w:r>
      <w:proofErr w:type="gramEnd"/>
      <w:r>
        <w:rPr>
          <w:rFonts w:ascii="標楷體" w:eastAsia="標楷體" w:hAnsi="標楷體"/>
        </w:rPr>
        <w:t>注射一次。</w:t>
      </w:r>
    </w:p>
    <w:p w14:paraId="6F1E7826"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4.使用32</w:t>
      </w:r>
      <w:proofErr w:type="gramStart"/>
      <w:r>
        <w:rPr>
          <w:rFonts w:ascii="標楷體" w:eastAsia="標楷體" w:hAnsi="標楷體"/>
          <w:szCs w:val="24"/>
        </w:rPr>
        <w:t>週</w:t>
      </w:r>
      <w:proofErr w:type="gramEnd"/>
      <w:r>
        <w:rPr>
          <w:rFonts w:ascii="標楷體" w:eastAsia="標楷體" w:hAnsi="標楷體"/>
          <w:szCs w:val="24"/>
        </w:rPr>
        <w:t>後進行評估，與未使用前比較，若「惡化」情形減少，方可繼續使用。</w:t>
      </w:r>
    </w:p>
    <w:p w14:paraId="7EF44C7A"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5.不得</w:t>
      </w:r>
      <w:proofErr w:type="gramStart"/>
      <w:r>
        <w:rPr>
          <w:rFonts w:ascii="標楷體" w:eastAsia="標楷體" w:hAnsi="標楷體"/>
          <w:szCs w:val="24"/>
        </w:rPr>
        <w:t>併</w:t>
      </w:r>
      <w:proofErr w:type="gramEnd"/>
      <w:r>
        <w:rPr>
          <w:rFonts w:ascii="標楷體" w:eastAsia="標楷體" w:hAnsi="標楷體"/>
          <w:szCs w:val="24"/>
        </w:rPr>
        <w:t>用其他治療氣喘之生物製劑。</w:t>
      </w:r>
    </w:p>
    <w:p w14:paraId="7D26DC21" w14:textId="77777777" w:rsidR="00401786" w:rsidRDefault="00C64FB3" w:rsidP="0009639E">
      <w:pPr>
        <w:tabs>
          <w:tab w:val="left" w:pos="851"/>
        </w:tabs>
        <w:spacing w:line="300" w:lineRule="exact"/>
        <w:ind w:left="760" w:hanging="280"/>
        <w:rPr>
          <w:rFonts w:ascii="標楷體" w:eastAsia="標楷體" w:hAnsi="標楷體"/>
          <w:szCs w:val="24"/>
        </w:rPr>
      </w:pPr>
      <w:r>
        <w:rPr>
          <w:rFonts w:ascii="標楷體" w:eastAsia="標楷體" w:hAnsi="標楷體"/>
          <w:szCs w:val="24"/>
        </w:rPr>
        <w:t>備註：</w:t>
      </w:r>
    </w:p>
    <w:p w14:paraId="56D7C8E9" w14:textId="77777777" w:rsidR="00401786" w:rsidRDefault="00C64FB3">
      <w:pPr>
        <w:pStyle w:val="af"/>
        <w:numPr>
          <w:ilvl w:val="0"/>
          <w:numId w:val="19"/>
        </w:numPr>
        <w:tabs>
          <w:tab w:val="left" w:pos="851"/>
        </w:tabs>
        <w:spacing w:line="300" w:lineRule="exact"/>
        <w:ind w:left="926" w:hanging="283"/>
        <w:rPr>
          <w:rFonts w:ascii="標楷體" w:eastAsia="標楷體" w:hAnsi="標楷體"/>
        </w:rPr>
      </w:pPr>
      <w:r>
        <w:rPr>
          <w:rFonts w:ascii="標楷體" w:eastAsia="標楷體" w:hAnsi="標楷體"/>
        </w:rPr>
        <w:t>「惡化」的定義為必須使用口服/全身性類固醇治療、或住院治療、或送急診治療的氣喘惡化現象。</w:t>
      </w:r>
    </w:p>
    <w:p w14:paraId="2F437447" w14:textId="77777777" w:rsidR="00401786" w:rsidRDefault="00C64FB3">
      <w:pPr>
        <w:pStyle w:val="af"/>
        <w:numPr>
          <w:ilvl w:val="0"/>
          <w:numId w:val="19"/>
        </w:numPr>
        <w:tabs>
          <w:tab w:val="left" w:pos="851"/>
        </w:tabs>
        <w:spacing w:line="300" w:lineRule="exact"/>
        <w:ind w:left="926" w:hanging="283"/>
        <w:rPr>
          <w:rFonts w:ascii="標楷體" w:eastAsia="標楷體" w:hAnsi="標楷體"/>
        </w:rPr>
      </w:pPr>
      <w:r>
        <w:rPr>
          <w:rFonts w:ascii="標楷體" w:eastAsia="標楷體" w:hAnsi="標楷體"/>
        </w:rPr>
        <w:lastRenderedPageBreak/>
        <w:t>「</w:t>
      </w:r>
      <w:proofErr w:type="gramStart"/>
      <w:r>
        <w:rPr>
          <w:rFonts w:ascii="標楷體" w:eastAsia="標楷體" w:hAnsi="標楷體"/>
        </w:rPr>
        <w:t>最</w:t>
      </w:r>
      <w:proofErr w:type="gramEnd"/>
      <w:r>
        <w:rPr>
          <w:rFonts w:ascii="標楷體" w:eastAsia="標楷體" w:hAnsi="標楷體"/>
        </w:rPr>
        <w:t>適切的標準療法」係指符合GINA治療指引Step 5之規範。</w:t>
      </w:r>
    </w:p>
    <w:p w14:paraId="49D09545" w14:textId="77777777" w:rsidR="00401786" w:rsidRDefault="00C64FB3" w:rsidP="0009639E">
      <w:pPr>
        <w:tabs>
          <w:tab w:val="left" w:pos="851"/>
        </w:tabs>
        <w:spacing w:line="300" w:lineRule="exact"/>
        <w:ind w:left="546" w:hanging="284"/>
        <w:rPr>
          <w:rFonts w:ascii="標楷體" w:eastAsia="標楷體" w:hAnsi="標楷體"/>
          <w:szCs w:val="24"/>
        </w:rPr>
      </w:pPr>
      <w:r>
        <w:rPr>
          <w:rFonts w:ascii="標楷體" w:eastAsia="標楷體" w:hAnsi="標楷體"/>
          <w:szCs w:val="24"/>
        </w:rPr>
        <w:t>6.2.10. Tezepelumab (如</w:t>
      </w:r>
      <w:proofErr w:type="spellStart"/>
      <w:r>
        <w:rPr>
          <w:rFonts w:ascii="標楷體" w:eastAsia="標楷體" w:hAnsi="標楷體"/>
          <w:szCs w:val="24"/>
        </w:rPr>
        <w:t>Tezspire</w:t>
      </w:r>
      <w:proofErr w:type="spellEnd"/>
      <w:r>
        <w:rPr>
          <w:rFonts w:ascii="標楷體" w:eastAsia="標楷體" w:hAnsi="標楷體"/>
          <w:szCs w:val="24"/>
        </w:rPr>
        <w:t>)：(113/6/1)</w:t>
      </w:r>
    </w:p>
    <w:p w14:paraId="61FB4ADC" w14:textId="77777777" w:rsidR="00401786" w:rsidRDefault="00C64FB3" w:rsidP="0009639E">
      <w:pPr>
        <w:tabs>
          <w:tab w:val="left" w:pos="851"/>
        </w:tabs>
        <w:spacing w:line="300" w:lineRule="exact"/>
        <w:ind w:left="927" w:hanging="284"/>
      </w:pPr>
      <w:r>
        <w:rPr>
          <w:rFonts w:ascii="標楷體" w:eastAsia="標楷體" w:hAnsi="標楷體"/>
          <w:szCs w:val="24"/>
        </w:rPr>
        <w:t>1.限用於經胸腔專科或過敏免疫專科醫師診斷為嚴重氣喘且控制不良(severe asthma)之</w:t>
      </w:r>
      <w:r>
        <w:rPr>
          <w:rFonts w:ascii="標楷體" w:eastAsia="標楷體" w:hAnsi="標楷體"/>
          <w:color w:val="000000"/>
        </w:rPr>
        <w:t>18歲以上成人病人，且須符合下列條件：</w:t>
      </w:r>
    </w:p>
    <w:p w14:paraId="0073CF1D" w14:textId="77777777" w:rsidR="00401786" w:rsidRDefault="00C64FB3" w:rsidP="0009639E">
      <w:pPr>
        <w:spacing w:line="300" w:lineRule="exact"/>
        <w:ind w:left="1440"/>
      </w:pPr>
      <w:r>
        <w:rPr>
          <w:rFonts w:ascii="標楷體" w:eastAsia="標楷體" w:hAnsi="標楷體"/>
        </w:rPr>
        <w:t>(1)病人已遵循</w:t>
      </w:r>
      <w:proofErr w:type="gramStart"/>
      <w:r>
        <w:rPr>
          <w:rFonts w:ascii="標楷體" w:eastAsia="標楷體" w:hAnsi="標楷體"/>
        </w:rPr>
        <w:t>最</w:t>
      </w:r>
      <w:proofErr w:type="gramEnd"/>
      <w:r>
        <w:rPr>
          <w:rFonts w:ascii="標楷體" w:eastAsia="標楷體" w:hAnsi="標楷體"/>
        </w:rPr>
        <w:t>適</w:t>
      </w:r>
      <w:r>
        <w:rPr>
          <w:rFonts w:ascii="標楷體" w:eastAsia="標楷體" w:hAnsi="標楷體"/>
          <w:color w:val="000000"/>
        </w:rPr>
        <w:t>切的標準療法。</w:t>
      </w:r>
    </w:p>
    <w:p w14:paraId="75DD424E" w14:textId="77777777" w:rsidR="00401786" w:rsidRDefault="00C64FB3" w:rsidP="0009639E">
      <w:pPr>
        <w:pStyle w:val="af"/>
        <w:spacing w:line="300" w:lineRule="exact"/>
        <w:ind w:left="1352" w:hanging="423"/>
      </w:pPr>
      <w:r>
        <w:rPr>
          <w:rFonts w:ascii="標楷體" w:eastAsia="標楷體" w:hAnsi="標楷體"/>
        </w:rPr>
        <w:t>(2)</w:t>
      </w:r>
      <w:r>
        <w:rPr>
          <w:rFonts w:ascii="標楷體" w:eastAsia="標楷體" w:hAnsi="標楷體"/>
          <w:color w:val="000000"/>
        </w:rPr>
        <w:t>過去12個月內有2次或2次以上因氣喘急性惡化而需要使用全身性類固醇，且其中至少一次是因為氣喘惡化而需急診或住院治療。</w:t>
      </w:r>
    </w:p>
    <w:p w14:paraId="4445A213" w14:textId="77777777" w:rsidR="00401786" w:rsidRDefault="00C64FB3" w:rsidP="0009639E">
      <w:pPr>
        <w:tabs>
          <w:tab w:val="left" w:pos="851"/>
        </w:tabs>
        <w:spacing w:line="300" w:lineRule="exact"/>
        <w:ind w:left="927" w:hanging="284"/>
      </w:pPr>
      <w:r>
        <w:rPr>
          <w:rFonts w:ascii="標楷體" w:eastAsia="標楷體" w:hAnsi="標楷體"/>
          <w:szCs w:val="24"/>
        </w:rPr>
        <w:t>2.需經事前</w:t>
      </w:r>
      <w:r>
        <w:rPr>
          <w:rFonts w:ascii="標楷體" w:eastAsia="標楷體" w:hAnsi="標楷體"/>
          <w:color w:val="000000"/>
        </w:rPr>
        <w:t>審查核准後使用。</w:t>
      </w:r>
    </w:p>
    <w:p w14:paraId="3E677BF5" w14:textId="77777777" w:rsidR="00401786" w:rsidRDefault="00C64FB3" w:rsidP="0009639E">
      <w:pPr>
        <w:tabs>
          <w:tab w:val="left" w:pos="851"/>
        </w:tabs>
        <w:spacing w:line="300" w:lineRule="exact"/>
        <w:ind w:left="927" w:hanging="284"/>
        <w:rPr>
          <w:rFonts w:ascii="標楷體" w:eastAsia="標楷體" w:hAnsi="標楷體"/>
          <w:color w:val="000000"/>
        </w:rPr>
      </w:pPr>
      <w:r>
        <w:rPr>
          <w:rFonts w:ascii="標楷體" w:eastAsia="標楷體" w:hAnsi="標楷體"/>
          <w:color w:val="000000"/>
        </w:rPr>
        <w:t>3.使用頻率：Tezepelumab每4</w:t>
      </w:r>
      <w:proofErr w:type="gramStart"/>
      <w:r>
        <w:rPr>
          <w:rFonts w:ascii="標楷體" w:eastAsia="標楷體" w:hAnsi="標楷體"/>
          <w:color w:val="000000"/>
        </w:rPr>
        <w:t>週</w:t>
      </w:r>
      <w:proofErr w:type="gramEnd"/>
      <w:r>
        <w:rPr>
          <w:rFonts w:ascii="標楷體" w:eastAsia="標楷體" w:hAnsi="標楷體"/>
          <w:color w:val="000000"/>
        </w:rPr>
        <w:t>使用不得超過1次。</w:t>
      </w:r>
    </w:p>
    <w:p w14:paraId="230B43AB" w14:textId="77777777" w:rsidR="00401786" w:rsidRDefault="00C64FB3" w:rsidP="0009639E">
      <w:pPr>
        <w:tabs>
          <w:tab w:val="left" w:pos="851"/>
        </w:tabs>
        <w:spacing w:line="300" w:lineRule="exact"/>
        <w:ind w:left="927" w:hanging="284"/>
        <w:rPr>
          <w:rFonts w:ascii="標楷體" w:eastAsia="標楷體" w:hAnsi="標楷體"/>
          <w:color w:val="000000"/>
        </w:rPr>
      </w:pPr>
      <w:r>
        <w:rPr>
          <w:rFonts w:ascii="標楷體" w:eastAsia="標楷體" w:hAnsi="標楷體"/>
          <w:color w:val="000000"/>
        </w:rPr>
        <w:t>4.使用32</w:t>
      </w:r>
      <w:proofErr w:type="gramStart"/>
      <w:r>
        <w:rPr>
          <w:rFonts w:ascii="標楷體" w:eastAsia="標楷體" w:hAnsi="標楷體"/>
          <w:color w:val="000000"/>
        </w:rPr>
        <w:t>週</w:t>
      </w:r>
      <w:proofErr w:type="gramEnd"/>
      <w:r>
        <w:rPr>
          <w:rFonts w:ascii="標楷體" w:eastAsia="標楷體" w:hAnsi="標楷體"/>
          <w:color w:val="000000"/>
        </w:rPr>
        <w:t>後進行評估，與未使用前比較，若惡化情形減少，方可繼續使用。</w:t>
      </w:r>
    </w:p>
    <w:p w14:paraId="022FAC8D" w14:textId="77777777" w:rsidR="00401786" w:rsidRDefault="00C64FB3" w:rsidP="0009639E">
      <w:pPr>
        <w:tabs>
          <w:tab w:val="left" w:pos="851"/>
        </w:tabs>
        <w:spacing w:line="300" w:lineRule="exact"/>
        <w:ind w:left="760" w:hanging="280"/>
        <w:rPr>
          <w:rFonts w:ascii="標楷體" w:eastAsia="標楷體" w:hAnsi="標楷體"/>
          <w:color w:val="000000"/>
        </w:rPr>
      </w:pPr>
      <w:r>
        <w:rPr>
          <w:rFonts w:ascii="標楷體" w:eastAsia="標楷體" w:hAnsi="標楷體"/>
          <w:color w:val="000000"/>
        </w:rPr>
        <w:t>備註：</w:t>
      </w:r>
    </w:p>
    <w:p w14:paraId="79FB3DE3" w14:textId="77777777" w:rsidR="00401786" w:rsidRDefault="00C64FB3">
      <w:pPr>
        <w:pStyle w:val="af"/>
        <w:numPr>
          <w:ilvl w:val="0"/>
          <w:numId w:val="20"/>
        </w:numPr>
        <w:tabs>
          <w:tab w:val="left" w:pos="851"/>
        </w:tabs>
        <w:spacing w:line="300" w:lineRule="exact"/>
        <w:ind w:left="925" w:hanging="284"/>
        <w:rPr>
          <w:rFonts w:ascii="標楷體" w:eastAsia="標楷體" w:hAnsi="標楷體"/>
        </w:rPr>
      </w:pPr>
      <w:r>
        <w:rPr>
          <w:rFonts w:ascii="標楷體" w:eastAsia="標楷體" w:hAnsi="標楷體"/>
        </w:rPr>
        <w:t>「惡化」的定義為必須使用口服/全身性類固醇治療、或住院治療、或送急診治療的氣喘惡化現象。</w:t>
      </w:r>
    </w:p>
    <w:p w14:paraId="3682352A" w14:textId="77777777" w:rsidR="00401786" w:rsidRPr="00B75DDD" w:rsidRDefault="00C64FB3">
      <w:pPr>
        <w:pStyle w:val="af"/>
        <w:numPr>
          <w:ilvl w:val="0"/>
          <w:numId w:val="20"/>
        </w:numPr>
        <w:tabs>
          <w:tab w:val="left" w:pos="851"/>
        </w:tabs>
        <w:spacing w:line="300" w:lineRule="exact"/>
        <w:ind w:left="925" w:hanging="284"/>
      </w:pPr>
      <w:r>
        <w:rPr>
          <w:rFonts w:ascii="標楷體" w:eastAsia="標楷體" w:hAnsi="標楷體"/>
        </w:rPr>
        <w:t>「</w:t>
      </w:r>
      <w:proofErr w:type="gramStart"/>
      <w:r>
        <w:rPr>
          <w:rFonts w:ascii="標楷體" w:eastAsia="標楷體" w:hAnsi="標楷體"/>
        </w:rPr>
        <w:t>最</w:t>
      </w:r>
      <w:proofErr w:type="gramEnd"/>
      <w:r>
        <w:rPr>
          <w:rFonts w:ascii="標楷體" w:eastAsia="標楷體" w:hAnsi="標楷體"/>
        </w:rPr>
        <w:t>適切</w:t>
      </w:r>
      <w:r>
        <w:rPr>
          <w:rFonts w:ascii="標楷體" w:eastAsia="標楷體" w:hAnsi="標楷體"/>
          <w:color w:val="000000"/>
        </w:rPr>
        <w:t>的標準療法」係指符合GINA治療指引Step 5之規範。</w:t>
      </w:r>
    </w:p>
    <w:p w14:paraId="3C3E54DD" w14:textId="77777777" w:rsidR="00B75DDD" w:rsidRPr="00E91CF9" w:rsidRDefault="00B75DDD" w:rsidP="00B75DDD">
      <w:pPr>
        <w:spacing w:line="300" w:lineRule="exact"/>
        <w:ind w:leftChars="109" w:left="546" w:hanging="284"/>
        <w:rPr>
          <w:rFonts w:ascii="標楷體" w:eastAsia="標楷體" w:hAnsi="標楷體"/>
        </w:rPr>
      </w:pPr>
      <w:r w:rsidRPr="00E91CF9">
        <w:rPr>
          <w:rFonts w:ascii="標楷體" w:eastAsia="標楷體" w:hAnsi="標楷體" w:hint="eastAsia"/>
        </w:rPr>
        <w:t>6</w:t>
      </w:r>
      <w:r w:rsidRPr="00E91CF9">
        <w:rPr>
          <w:rFonts w:ascii="標楷體" w:eastAsia="標楷體" w:hAnsi="標楷體"/>
        </w:rPr>
        <w:t>.2</w:t>
      </w:r>
      <w:r w:rsidRPr="00E91CF9">
        <w:rPr>
          <w:rFonts w:ascii="標楷體" w:eastAsia="標楷體" w:hAnsi="標楷體" w:hint="eastAsia"/>
        </w:rPr>
        <w:t>.11.</w:t>
      </w:r>
      <w:r w:rsidRPr="00E91CF9">
        <w:rPr>
          <w:rFonts w:ascii="標楷體" w:eastAsia="標楷體" w:hAnsi="標楷體"/>
        </w:rPr>
        <w:t xml:space="preserve"> Caffeine citrate (如</w:t>
      </w:r>
      <w:proofErr w:type="spellStart"/>
      <w:r w:rsidRPr="00E91CF9">
        <w:rPr>
          <w:rFonts w:ascii="標楷體" w:eastAsia="標楷體" w:hAnsi="標楷體"/>
        </w:rPr>
        <w:t>Peyona</w:t>
      </w:r>
      <w:proofErr w:type="spellEnd"/>
      <w:r w:rsidRPr="00E91CF9">
        <w:rPr>
          <w:rFonts w:ascii="標楷體" w:eastAsia="標楷體" w:hAnsi="標楷體"/>
        </w:rPr>
        <w:t>)</w:t>
      </w:r>
      <w:r w:rsidRPr="00E91CF9">
        <w:rPr>
          <w:rFonts w:ascii="標楷體" w:eastAsia="標楷體" w:hAnsi="標楷體" w:hint="eastAsia"/>
        </w:rPr>
        <w:t>：(115/1/1)</w:t>
      </w:r>
    </w:p>
    <w:p w14:paraId="3E4A7C80" w14:textId="77777777" w:rsidR="00B75DDD" w:rsidRDefault="00B75DDD" w:rsidP="002144EC">
      <w:pPr>
        <w:numPr>
          <w:ilvl w:val="0"/>
          <w:numId w:val="149"/>
        </w:numPr>
        <w:suppressAutoHyphens w:val="0"/>
        <w:autoSpaceDN/>
        <w:spacing w:line="300" w:lineRule="exact"/>
        <w:ind w:left="993"/>
        <w:textAlignment w:val="auto"/>
        <w:rPr>
          <w:rFonts w:ascii="標楷體" w:eastAsia="標楷體" w:hAnsi="標楷體"/>
        </w:rPr>
      </w:pPr>
      <w:r w:rsidRPr="00E91CF9">
        <w:rPr>
          <w:rFonts w:ascii="標楷體" w:eastAsia="標楷體" w:hAnsi="標楷體"/>
        </w:rPr>
        <w:t>用於治療原發性早產兒呼吸暫停。</w:t>
      </w:r>
    </w:p>
    <w:p w14:paraId="4A9708A6" w14:textId="77777777" w:rsidR="00B75DDD" w:rsidRDefault="00B75DDD" w:rsidP="002144EC">
      <w:pPr>
        <w:numPr>
          <w:ilvl w:val="0"/>
          <w:numId w:val="149"/>
        </w:numPr>
        <w:suppressAutoHyphens w:val="0"/>
        <w:autoSpaceDN/>
        <w:spacing w:line="300" w:lineRule="exact"/>
        <w:ind w:left="993"/>
        <w:textAlignment w:val="auto"/>
        <w:rPr>
          <w:rFonts w:ascii="標楷體" w:eastAsia="標楷體" w:hAnsi="標楷體"/>
        </w:rPr>
      </w:pPr>
      <w:r w:rsidRPr="00E91CF9">
        <w:rPr>
          <w:rFonts w:ascii="標楷體" w:eastAsia="標楷體" w:hAnsi="標楷體"/>
        </w:rPr>
        <w:t>治療條件：受孕後週數(</w:t>
      </w:r>
      <w:proofErr w:type="spellStart"/>
      <w:r w:rsidRPr="00E91CF9">
        <w:rPr>
          <w:rFonts w:ascii="標楷體" w:eastAsia="標楷體" w:hAnsi="標楷體"/>
        </w:rPr>
        <w:t>postmenstral</w:t>
      </w:r>
      <w:proofErr w:type="spellEnd"/>
      <w:r w:rsidRPr="00E91CF9">
        <w:rPr>
          <w:rFonts w:ascii="標楷體" w:eastAsia="標楷體" w:hAnsi="標楷體"/>
        </w:rPr>
        <w:t xml:space="preserve"> age, PMA)未滿35</w:t>
      </w:r>
      <w:proofErr w:type="gramStart"/>
      <w:r w:rsidRPr="00E91CF9">
        <w:rPr>
          <w:rFonts w:ascii="標楷體" w:eastAsia="標楷體" w:hAnsi="標楷體"/>
        </w:rPr>
        <w:t>週</w:t>
      </w:r>
      <w:proofErr w:type="gramEnd"/>
      <w:r w:rsidRPr="00E91CF9">
        <w:rPr>
          <w:rFonts w:ascii="標楷體" w:eastAsia="標楷體" w:hAnsi="標楷體"/>
        </w:rPr>
        <w:t>(35+0)早產兒，經臨床診斷具顯著呼吸暫停或心</w:t>
      </w:r>
      <w:proofErr w:type="gramStart"/>
      <w:r w:rsidRPr="00E91CF9">
        <w:rPr>
          <w:rFonts w:ascii="標楷體" w:eastAsia="標楷體" w:hAnsi="標楷體"/>
        </w:rPr>
        <w:t>搏過緩</w:t>
      </w:r>
      <w:proofErr w:type="gramEnd"/>
      <w:r w:rsidRPr="00E91CF9">
        <w:rPr>
          <w:rFonts w:ascii="標楷體" w:eastAsia="標楷體" w:hAnsi="標楷體"/>
        </w:rPr>
        <w:t>情形。</w:t>
      </w:r>
    </w:p>
    <w:p w14:paraId="1F33B374" w14:textId="77777777" w:rsidR="00B75DDD" w:rsidRDefault="00B75DDD" w:rsidP="002144EC">
      <w:pPr>
        <w:numPr>
          <w:ilvl w:val="0"/>
          <w:numId w:val="149"/>
        </w:numPr>
        <w:suppressAutoHyphens w:val="0"/>
        <w:autoSpaceDN/>
        <w:spacing w:line="300" w:lineRule="exact"/>
        <w:ind w:left="993"/>
        <w:textAlignment w:val="auto"/>
        <w:rPr>
          <w:rFonts w:ascii="標楷體" w:eastAsia="標楷體" w:hAnsi="標楷體"/>
        </w:rPr>
      </w:pPr>
      <w:r w:rsidRPr="00E91CF9">
        <w:rPr>
          <w:rFonts w:ascii="標楷體" w:eastAsia="標楷體" w:hAnsi="標楷體"/>
        </w:rPr>
        <w:t>停用時機(符合下列任</w:t>
      </w:r>
      <w:proofErr w:type="gramStart"/>
      <w:r w:rsidRPr="00E91CF9">
        <w:rPr>
          <w:rFonts w:ascii="標楷體" w:eastAsia="標楷體" w:hAnsi="標楷體"/>
        </w:rPr>
        <w:t>一</w:t>
      </w:r>
      <w:proofErr w:type="gramEnd"/>
      <w:r w:rsidRPr="00E91CF9">
        <w:rPr>
          <w:rFonts w:ascii="標楷體" w:eastAsia="標楷體" w:hAnsi="標楷體"/>
        </w:rPr>
        <w:t>情形)：</w:t>
      </w:r>
    </w:p>
    <w:p w14:paraId="1D78393E" w14:textId="77777777" w:rsidR="00B75DDD" w:rsidRDefault="00B75DDD" w:rsidP="00B75DDD">
      <w:pPr>
        <w:tabs>
          <w:tab w:val="left" w:pos="709"/>
        </w:tabs>
        <w:spacing w:line="300" w:lineRule="exact"/>
        <w:ind w:left="1276" w:hanging="340"/>
        <w:rPr>
          <w:rFonts w:ascii="標楷體" w:eastAsia="標楷體" w:hAnsi="標楷體"/>
        </w:rPr>
      </w:pPr>
      <w:r>
        <w:rPr>
          <w:rFonts w:ascii="標楷體" w:eastAsia="標楷體" w:hAnsi="標楷體" w:hint="eastAsia"/>
        </w:rPr>
        <w:t>(1)</w:t>
      </w:r>
      <w:r w:rsidRPr="00E91CF9">
        <w:rPr>
          <w:rFonts w:ascii="標楷體" w:eastAsia="標楷體" w:hAnsi="標楷體"/>
        </w:rPr>
        <w:t>受孕後週數(</w:t>
      </w:r>
      <w:proofErr w:type="spellStart"/>
      <w:r w:rsidRPr="00E91CF9">
        <w:rPr>
          <w:rFonts w:ascii="標楷體" w:eastAsia="標楷體" w:hAnsi="標楷體"/>
        </w:rPr>
        <w:t>postmenstral</w:t>
      </w:r>
      <w:proofErr w:type="spellEnd"/>
      <w:r w:rsidRPr="00E91CF9">
        <w:rPr>
          <w:rFonts w:ascii="標楷體" w:eastAsia="標楷體" w:hAnsi="標楷體"/>
        </w:rPr>
        <w:t xml:space="preserve"> age, PMA)33+0</w:t>
      </w:r>
      <w:proofErr w:type="gramStart"/>
      <w:r w:rsidRPr="00E91CF9">
        <w:rPr>
          <w:rFonts w:ascii="標楷體" w:eastAsia="標楷體" w:hAnsi="標楷體"/>
        </w:rPr>
        <w:t>週</w:t>
      </w:r>
      <w:proofErr w:type="gramEnd"/>
      <w:r w:rsidRPr="00E91CF9">
        <w:rPr>
          <w:rFonts w:ascii="標楷體" w:eastAsia="標楷體" w:hAnsi="標楷體"/>
        </w:rPr>
        <w:t>以前，停</w:t>
      </w:r>
      <w:proofErr w:type="gramStart"/>
      <w:r w:rsidRPr="00E91CF9">
        <w:rPr>
          <w:rFonts w:ascii="標楷體" w:eastAsia="標楷體" w:hAnsi="標楷體"/>
        </w:rPr>
        <w:t>用正壓呼吸器</w:t>
      </w:r>
      <w:proofErr w:type="gramEnd"/>
      <w:r w:rsidRPr="00E91CF9">
        <w:rPr>
          <w:rFonts w:ascii="標楷體" w:eastAsia="標楷體" w:hAnsi="標楷體"/>
        </w:rPr>
        <w:t>後，持續觀察5至7天，無臨床顯著呼吸暫停或心</w:t>
      </w:r>
      <w:proofErr w:type="gramStart"/>
      <w:r w:rsidRPr="00E91CF9">
        <w:rPr>
          <w:rFonts w:ascii="標楷體" w:eastAsia="標楷體" w:hAnsi="標楷體"/>
        </w:rPr>
        <w:t>搏過緩</w:t>
      </w:r>
      <w:proofErr w:type="gramEnd"/>
      <w:r w:rsidRPr="00E91CF9">
        <w:rPr>
          <w:rFonts w:ascii="標楷體" w:eastAsia="標楷體" w:hAnsi="標楷體"/>
        </w:rPr>
        <w:t>發生，則停止用藥。</w:t>
      </w:r>
    </w:p>
    <w:p w14:paraId="2838B9AB" w14:textId="77777777" w:rsidR="00B75DDD" w:rsidRDefault="00B75DDD" w:rsidP="00425F90">
      <w:pPr>
        <w:tabs>
          <w:tab w:val="left" w:pos="709"/>
        </w:tabs>
        <w:spacing w:line="300" w:lineRule="exact"/>
        <w:ind w:left="1276" w:hanging="340"/>
      </w:pPr>
      <w:r>
        <w:rPr>
          <w:rFonts w:ascii="標楷體" w:eastAsia="標楷體" w:hAnsi="標楷體" w:hint="eastAsia"/>
        </w:rPr>
        <w:t>(2)</w:t>
      </w:r>
      <w:r w:rsidRPr="00E91CF9">
        <w:rPr>
          <w:rFonts w:ascii="標楷體" w:eastAsia="標楷體" w:hAnsi="標楷體"/>
        </w:rPr>
        <w:t>受孕後週數(</w:t>
      </w:r>
      <w:proofErr w:type="spellStart"/>
      <w:r w:rsidRPr="00E91CF9">
        <w:rPr>
          <w:rFonts w:ascii="標楷體" w:eastAsia="標楷體" w:hAnsi="標楷體"/>
        </w:rPr>
        <w:t>postmenstral</w:t>
      </w:r>
      <w:proofErr w:type="spellEnd"/>
      <w:r w:rsidRPr="00E91CF9">
        <w:rPr>
          <w:rFonts w:ascii="標楷體" w:eastAsia="標楷體" w:hAnsi="標楷體"/>
        </w:rPr>
        <w:t xml:space="preserve"> age, PMA)33+0至35+0</w:t>
      </w:r>
      <w:proofErr w:type="gramStart"/>
      <w:r w:rsidRPr="00E91CF9">
        <w:rPr>
          <w:rFonts w:ascii="標楷體" w:eastAsia="標楷體" w:hAnsi="標楷體"/>
        </w:rPr>
        <w:t>週</w:t>
      </w:r>
      <w:proofErr w:type="gramEnd"/>
      <w:r w:rsidRPr="00E91CF9">
        <w:rPr>
          <w:rFonts w:ascii="標楷體" w:eastAsia="標楷體" w:hAnsi="標楷體"/>
        </w:rPr>
        <w:t>，無臨床顯著呼吸暫停或心</w:t>
      </w:r>
      <w:proofErr w:type="gramStart"/>
      <w:r w:rsidRPr="00E91CF9">
        <w:rPr>
          <w:rFonts w:ascii="標楷體" w:eastAsia="標楷體" w:hAnsi="標楷體"/>
        </w:rPr>
        <w:t>搏過緩</w:t>
      </w:r>
      <w:proofErr w:type="gramEnd"/>
      <w:r w:rsidRPr="00E91CF9">
        <w:rPr>
          <w:rFonts w:ascii="標楷體" w:eastAsia="標楷體" w:hAnsi="標楷體"/>
        </w:rPr>
        <w:t>發生，則停止用藥。</w:t>
      </w:r>
    </w:p>
    <w:p w14:paraId="2337AD2A" w14:textId="77777777" w:rsidR="00401786" w:rsidRDefault="00401786" w:rsidP="0009639E">
      <w:pPr>
        <w:pageBreakBefore/>
        <w:widowControl/>
        <w:suppressAutoHyphens w:val="0"/>
        <w:spacing w:line="300" w:lineRule="exact"/>
        <w:rPr>
          <w:rFonts w:ascii="標楷體" w:eastAsia="標楷體" w:hAnsi="標楷體"/>
          <w:color w:val="000000"/>
        </w:rPr>
      </w:pPr>
    </w:p>
    <w:p w14:paraId="29FAE825" w14:textId="77777777" w:rsidR="00401786" w:rsidRDefault="00C64FB3" w:rsidP="0009639E">
      <w:pPr>
        <w:pStyle w:val="ab"/>
        <w:spacing w:line="300" w:lineRule="exact"/>
      </w:pPr>
      <w:r>
        <w:rPr>
          <w:rFonts w:ascii="標楷體" w:eastAsia="標楷體" w:hAnsi="標楷體"/>
          <w:color w:val="000000"/>
          <w:kern w:val="0"/>
        </w:rPr>
        <w:t>成人</w:t>
      </w:r>
      <w:r>
        <w:rPr>
          <w:rFonts w:ascii="標楷體" w:eastAsia="標楷體" w:hAnsi="標楷體"/>
          <w:color w:val="000000"/>
        </w:rPr>
        <w:t>呼吸道疾患吸入製劑給付規定表（91/8/1、</w:t>
      </w:r>
      <w:r>
        <w:rPr>
          <w:rFonts w:ascii="標楷體" w:eastAsia="標楷體" w:hAnsi="標楷體"/>
          <w:color w:val="000000"/>
          <w:kern w:val="0"/>
        </w:rPr>
        <w:t>111/3/1、113/8/1</w:t>
      </w:r>
      <w:r>
        <w:rPr>
          <w:rFonts w:ascii="標楷體" w:eastAsia="標楷體" w:hAnsi="標楷體"/>
          <w:color w:val="000000"/>
        </w:rPr>
        <w:t>）</w:t>
      </w:r>
    </w:p>
    <w:tbl>
      <w:tblPr>
        <w:tblW w:w="5000" w:type="pct"/>
        <w:jc w:val="center"/>
        <w:tblLayout w:type="fixed"/>
        <w:tblCellMar>
          <w:left w:w="10" w:type="dxa"/>
          <w:right w:w="10" w:type="dxa"/>
        </w:tblCellMar>
        <w:tblLook w:val="0000" w:firstRow="0" w:lastRow="0" w:firstColumn="0" w:lastColumn="0" w:noHBand="0" w:noVBand="0"/>
      </w:tblPr>
      <w:tblGrid>
        <w:gridCol w:w="1591"/>
        <w:gridCol w:w="3680"/>
        <w:gridCol w:w="1640"/>
        <w:gridCol w:w="2711"/>
      </w:tblGrid>
      <w:tr w:rsidR="00401786" w14:paraId="3E49DA6F" w14:textId="77777777">
        <w:trPr>
          <w:trHeight w:val="584"/>
          <w:jc w:val="center"/>
        </w:trPr>
        <w:tc>
          <w:tcPr>
            <w:tcW w:w="149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A89CA6" w14:textId="77777777" w:rsidR="00401786" w:rsidRDefault="00C64FB3" w:rsidP="0009639E">
            <w:pPr>
              <w:pStyle w:val="ab"/>
              <w:spacing w:line="300" w:lineRule="exact"/>
              <w:jc w:val="center"/>
            </w:pPr>
            <w:r>
              <w:rPr>
                <w:rFonts w:ascii="標楷體" w:eastAsia="標楷體" w:hAnsi="標楷體"/>
                <w:b/>
                <w:color w:val="000000"/>
              </w:rPr>
              <w:t xml:space="preserve"> </w:t>
            </w:r>
          </w:p>
        </w:tc>
        <w:tc>
          <w:tcPr>
            <w:tcW w:w="34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8E5189" w14:textId="77777777" w:rsidR="00401786" w:rsidRDefault="00C64FB3" w:rsidP="0009639E">
            <w:pPr>
              <w:pStyle w:val="ab"/>
              <w:spacing w:line="300" w:lineRule="exact"/>
              <w:jc w:val="center"/>
            </w:pPr>
            <w:r>
              <w:rPr>
                <w:rFonts w:ascii="標楷體" w:eastAsia="標楷體" w:hAnsi="標楷體"/>
                <w:b/>
                <w:color w:val="000000"/>
              </w:rPr>
              <w:t>定量吸入劑(MDI)</w:t>
            </w:r>
          </w:p>
        </w:tc>
        <w:tc>
          <w:tcPr>
            <w:tcW w:w="15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DAEEAE" w14:textId="77777777" w:rsidR="00401786" w:rsidRDefault="00C64FB3" w:rsidP="0009639E">
            <w:pPr>
              <w:pStyle w:val="ab"/>
              <w:spacing w:line="300" w:lineRule="exact"/>
              <w:jc w:val="center"/>
            </w:pPr>
            <w:r>
              <w:rPr>
                <w:rFonts w:ascii="標楷體" w:eastAsia="標楷體" w:hAnsi="標楷體"/>
                <w:b/>
                <w:color w:val="000000"/>
              </w:rPr>
              <w:t>乾粉吸入劑(DPI)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035110" w14:textId="77777777" w:rsidR="00401786" w:rsidRDefault="00C64FB3" w:rsidP="0009639E">
            <w:pPr>
              <w:pStyle w:val="ab"/>
              <w:spacing w:line="300" w:lineRule="exact"/>
              <w:jc w:val="center"/>
            </w:pPr>
            <w:r>
              <w:rPr>
                <w:rFonts w:ascii="標楷體" w:eastAsia="標楷體" w:hAnsi="標楷體"/>
                <w:b/>
                <w:color w:val="000000"/>
              </w:rPr>
              <w:t xml:space="preserve">霧化吸入劑 (nebulizer) </w:t>
            </w:r>
          </w:p>
        </w:tc>
      </w:tr>
      <w:tr w:rsidR="00401786" w14:paraId="3DB991B4" w14:textId="77777777">
        <w:trPr>
          <w:trHeight w:val="411"/>
          <w:jc w:val="center"/>
        </w:trPr>
        <w:tc>
          <w:tcPr>
            <w:tcW w:w="149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24DA579" w14:textId="77777777" w:rsidR="00401786" w:rsidRDefault="00C64FB3" w:rsidP="0009639E">
            <w:pPr>
              <w:pStyle w:val="ab"/>
              <w:snapToGrid w:val="0"/>
              <w:spacing w:line="300" w:lineRule="exact"/>
            </w:pPr>
            <w:r>
              <w:rPr>
                <w:rFonts w:ascii="標楷體" w:eastAsia="標楷體" w:hAnsi="標楷體"/>
                <w:color w:val="000000"/>
              </w:rPr>
              <w:t>支氣管擴張劑(bronchodilators)</w:t>
            </w:r>
          </w:p>
        </w:tc>
        <w:tc>
          <w:tcPr>
            <w:tcW w:w="34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D1E1EE"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一、</w:t>
            </w:r>
            <w:proofErr w:type="gramStart"/>
            <w:r>
              <w:rPr>
                <w:rFonts w:ascii="標楷體" w:eastAsia="標楷體" w:hAnsi="標楷體"/>
                <w:color w:val="000000"/>
              </w:rPr>
              <w:t>短效劑型</w:t>
            </w:r>
            <w:proofErr w:type="gramEnd"/>
          </w:p>
          <w:p w14:paraId="79D55288" w14:textId="77777777" w:rsidR="00401786" w:rsidRDefault="00C64FB3">
            <w:pPr>
              <w:pStyle w:val="ab"/>
              <w:widowControl/>
              <w:numPr>
                <w:ilvl w:val="0"/>
                <w:numId w:val="21"/>
              </w:numPr>
              <w:tabs>
                <w:tab w:val="left" w:pos="0"/>
              </w:tabs>
              <w:snapToGrid w:val="0"/>
              <w:spacing w:after="0" w:line="300" w:lineRule="exact"/>
              <w:ind w:left="686" w:firstLine="0"/>
              <w:jc w:val="both"/>
              <w:textAlignment w:val="auto"/>
            </w:pPr>
            <w:r>
              <w:rPr>
                <w:rFonts w:ascii="標楷體" w:eastAsia="標楷體" w:hAnsi="標楷體"/>
                <w:color w:val="000000"/>
              </w:rPr>
              <w:t>有症狀時使用，使用頻率每日一般不要超過4到6次。</w:t>
            </w:r>
          </w:p>
          <w:p w14:paraId="07CC1AE7" w14:textId="77777777" w:rsidR="00401786" w:rsidRDefault="00C64FB3">
            <w:pPr>
              <w:pStyle w:val="ab"/>
              <w:widowControl/>
              <w:numPr>
                <w:ilvl w:val="0"/>
                <w:numId w:val="21"/>
              </w:numPr>
              <w:tabs>
                <w:tab w:val="left" w:pos="0"/>
              </w:tabs>
              <w:snapToGrid w:val="0"/>
              <w:spacing w:after="0" w:line="300" w:lineRule="exact"/>
              <w:ind w:left="686" w:firstLine="0"/>
              <w:jc w:val="both"/>
              <w:textAlignment w:val="auto"/>
            </w:pPr>
            <w:r>
              <w:rPr>
                <w:rFonts w:ascii="標楷體" w:eastAsia="標楷體" w:hAnsi="標楷體"/>
                <w:color w:val="000000"/>
              </w:rPr>
              <w:t>每28天處方不得超過1支短效擴張劑。</w:t>
            </w:r>
          </w:p>
          <w:p w14:paraId="3C30CE2F" w14:textId="77777777" w:rsidR="00401786" w:rsidRDefault="00C64FB3">
            <w:pPr>
              <w:pStyle w:val="ab"/>
              <w:widowControl/>
              <w:numPr>
                <w:ilvl w:val="0"/>
                <w:numId w:val="21"/>
              </w:numPr>
              <w:tabs>
                <w:tab w:val="left" w:pos="0"/>
              </w:tabs>
              <w:snapToGrid w:val="0"/>
              <w:spacing w:after="0" w:line="300" w:lineRule="exact"/>
              <w:ind w:left="686" w:firstLine="0"/>
              <w:jc w:val="both"/>
              <w:textAlignment w:val="auto"/>
            </w:pPr>
            <w:r>
              <w:rPr>
                <w:rFonts w:ascii="標楷體" w:eastAsia="標楷體" w:hAnsi="標楷體"/>
                <w:color w:val="000000"/>
              </w:rPr>
              <w:t>不建議長期規則使用。</w:t>
            </w:r>
          </w:p>
          <w:p w14:paraId="3762B8BE" w14:textId="77777777" w:rsidR="00401786" w:rsidRDefault="00C64FB3" w:rsidP="0009639E">
            <w:pPr>
              <w:pStyle w:val="ab"/>
              <w:snapToGrid w:val="0"/>
              <w:spacing w:line="300" w:lineRule="exact"/>
              <w:ind w:left="560" w:hanging="560"/>
              <w:jc w:val="both"/>
            </w:pPr>
            <w:r>
              <w:rPr>
                <w:rFonts w:ascii="標楷體" w:eastAsia="標楷體" w:hAnsi="標楷體"/>
                <w:color w:val="000000"/>
              </w:rPr>
              <w:t>二、</w:t>
            </w:r>
            <w:proofErr w:type="gramStart"/>
            <w:r>
              <w:rPr>
                <w:rFonts w:ascii="標楷體" w:eastAsia="標楷體" w:hAnsi="標楷體"/>
                <w:color w:val="000000"/>
              </w:rPr>
              <w:t>長效劑型</w:t>
            </w:r>
            <w:proofErr w:type="gramEnd"/>
          </w:p>
          <w:p w14:paraId="6156186E"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proofErr w:type="gramStart"/>
            <w:r>
              <w:rPr>
                <w:rFonts w:ascii="標楷體" w:eastAsia="標楷體" w:hAnsi="標楷體"/>
                <w:color w:val="000000"/>
              </w:rPr>
              <w:t>長效劑型</w:t>
            </w:r>
            <w:proofErr w:type="gramEnd"/>
            <w:r>
              <w:rPr>
                <w:rFonts w:ascii="標楷體" w:eastAsia="標楷體" w:hAnsi="標楷體"/>
                <w:color w:val="000000"/>
              </w:rPr>
              <w:t>每日1至2次(QD~BID)。</w:t>
            </w:r>
          </w:p>
          <w:p w14:paraId="3EF411C6"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r>
              <w:rPr>
                <w:rFonts w:ascii="標楷體" w:eastAsia="標楷體" w:hAnsi="標楷體"/>
                <w:color w:val="000000"/>
              </w:rPr>
              <w:t>限與類固醇藥物吸入劑合併使用於治療氣喘。</w:t>
            </w:r>
          </w:p>
          <w:p w14:paraId="345A9C4B"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r>
              <w:rPr>
                <w:rFonts w:ascii="標楷體" w:eastAsia="標楷體" w:hAnsi="標楷體"/>
                <w:color w:val="000000"/>
              </w:rPr>
              <w:t>可用於治療肺阻塞。</w:t>
            </w:r>
          </w:p>
          <w:p w14:paraId="132AA80A"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r>
              <w:rPr>
                <w:rFonts w:ascii="標楷體" w:eastAsia="標楷體" w:hAnsi="標楷體"/>
                <w:color w:val="000000"/>
              </w:rPr>
              <w:t>合併低劑量吸入型類固醇與formoterol之</w:t>
            </w:r>
            <w:proofErr w:type="gramStart"/>
            <w:r>
              <w:rPr>
                <w:rFonts w:ascii="標楷體" w:eastAsia="標楷體" w:hAnsi="標楷體"/>
                <w:color w:val="000000"/>
              </w:rPr>
              <w:t>吸入劑於</w:t>
            </w:r>
            <w:proofErr w:type="gramEnd"/>
            <w:r>
              <w:rPr>
                <w:rFonts w:ascii="標楷體" w:eastAsia="標楷體" w:hAnsi="標楷體"/>
                <w:color w:val="000000"/>
              </w:rPr>
              <w:t>GINA輕度氣喘可用於有症狀或急性發作時之緩解治療，於中度與重度氣喘則可用於每日維持以及緩解治療。此類</w:t>
            </w:r>
            <w:proofErr w:type="gramStart"/>
            <w:r>
              <w:rPr>
                <w:rFonts w:ascii="標楷體" w:eastAsia="標楷體" w:hAnsi="標楷體"/>
                <w:color w:val="000000"/>
              </w:rPr>
              <w:t>吸入劑於輕度</w:t>
            </w:r>
            <w:proofErr w:type="gramEnd"/>
            <w:r>
              <w:rPr>
                <w:rFonts w:ascii="標楷體" w:eastAsia="標楷體" w:hAnsi="標楷體"/>
                <w:color w:val="000000"/>
              </w:rPr>
              <w:t>與中度氣喘每28天至多使用1支；於重度氣喘每28天至多可使用2支，但開立時病歷上應詳細記載氣喘發作與控制狀況，並註明</w:t>
            </w:r>
            <w:proofErr w:type="gramStart"/>
            <w:r>
              <w:rPr>
                <w:rFonts w:ascii="標楷體" w:eastAsia="標楷體" w:hAnsi="標楷體"/>
                <w:color w:val="000000"/>
              </w:rPr>
              <w:t>上次取藥日期</w:t>
            </w:r>
            <w:proofErr w:type="gramEnd"/>
            <w:r>
              <w:rPr>
                <w:rFonts w:ascii="標楷體" w:eastAsia="標楷體" w:hAnsi="標楷體"/>
                <w:color w:val="000000"/>
              </w:rPr>
              <w:t>。</w:t>
            </w:r>
          </w:p>
        </w:tc>
        <w:tc>
          <w:tcPr>
            <w:tcW w:w="15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7D4359" w14:textId="77777777" w:rsidR="00401786" w:rsidRDefault="00C64FB3" w:rsidP="0009639E">
            <w:pPr>
              <w:pStyle w:val="ab"/>
              <w:snapToGrid w:val="0"/>
              <w:spacing w:line="300" w:lineRule="exact"/>
            </w:pPr>
            <w:r>
              <w:rPr>
                <w:rFonts w:ascii="標楷體" w:eastAsia="標楷體" w:hAnsi="標楷體"/>
                <w:color w:val="000000"/>
              </w:rPr>
              <w:t>使用劑量及調整方式同固定劑量吸入劑(MDI)。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8DA49E"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一、阻塞性肺疾病急性發作時，每20分鐘至1小時使用1次。</w:t>
            </w:r>
          </w:p>
          <w:p w14:paraId="4AF121D5" w14:textId="77777777" w:rsidR="00401786" w:rsidRDefault="00C64FB3" w:rsidP="0009639E">
            <w:pPr>
              <w:pStyle w:val="ab"/>
              <w:snapToGrid w:val="0"/>
              <w:spacing w:line="300" w:lineRule="exact"/>
              <w:ind w:left="560" w:hanging="560"/>
              <w:jc w:val="both"/>
            </w:pPr>
            <w:r>
              <w:rPr>
                <w:rFonts w:ascii="標楷體" w:eastAsia="標楷體" w:hAnsi="標楷體"/>
                <w:color w:val="000000"/>
              </w:rPr>
              <w:t>二、急性症狀消失後恢復為每日4到6次。</w:t>
            </w:r>
          </w:p>
          <w:p w14:paraId="1FABB987"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三、乙二型刺激劑(β2-agonists)</w:t>
            </w:r>
          </w:p>
          <w:p w14:paraId="19F93F05" w14:textId="77777777" w:rsidR="00401786" w:rsidRDefault="00C64FB3" w:rsidP="0009639E">
            <w:pPr>
              <w:pStyle w:val="ab"/>
              <w:widowControl/>
              <w:snapToGrid w:val="0"/>
              <w:spacing w:line="300" w:lineRule="exact"/>
              <w:ind w:left="528" w:hanging="360"/>
              <w:jc w:val="both"/>
            </w:pPr>
            <w:r>
              <w:rPr>
                <w:rFonts w:ascii="標楷體" w:eastAsia="標楷體" w:hAnsi="標楷體" w:cs="新細明體"/>
                <w:color w:val="000000"/>
              </w:rPr>
              <w:t>(</w:t>
            </w:r>
            <w:proofErr w:type="gramStart"/>
            <w:r>
              <w:rPr>
                <w:rFonts w:ascii="標楷體" w:eastAsia="標楷體" w:hAnsi="標楷體" w:cs="新細明體"/>
                <w:color w:val="000000"/>
              </w:rPr>
              <w:t>一</w:t>
            </w:r>
            <w:proofErr w:type="gramEnd"/>
            <w:r>
              <w:rPr>
                <w:rFonts w:ascii="標楷體" w:eastAsia="標楷體" w:hAnsi="標楷體" w:cs="新細明體"/>
                <w:color w:val="000000"/>
              </w:rPr>
              <w:t>)視情況繼續居家使用，每次處方以1</w:t>
            </w:r>
            <w:proofErr w:type="gramStart"/>
            <w:r>
              <w:rPr>
                <w:rFonts w:ascii="標楷體" w:eastAsia="標楷體" w:hAnsi="標楷體" w:cs="新細明體"/>
                <w:color w:val="000000"/>
              </w:rPr>
              <w:t>週</w:t>
            </w:r>
            <w:proofErr w:type="gramEnd"/>
            <w:r>
              <w:rPr>
                <w:rFonts w:ascii="標楷體" w:eastAsia="標楷體" w:hAnsi="標楷體" w:cs="新細明體"/>
                <w:color w:val="000000"/>
              </w:rPr>
              <w:t>為限。</w:t>
            </w:r>
          </w:p>
          <w:p w14:paraId="09F36787" w14:textId="77777777" w:rsidR="00401786" w:rsidRDefault="00C64FB3" w:rsidP="0009639E">
            <w:pPr>
              <w:pStyle w:val="ab"/>
              <w:widowControl/>
              <w:snapToGrid w:val="0"/>
              <w:spacing w:line="300" w:lineRule="exact"/>
              <w:ind w:left="528" w:hanging="360"/>
              <w:jc w:val="both"/>
            </w:pPr>
            <w:r>
              <w:rPr>
                <w:rFonts w:ascii="標楷體" w:eastAsia="標楷體" w:hAnsi="標楷體" w:cs="新細明體"/>
                <w:color w:val="000000"/>
              </w:rPr>
              <w:t>(二)每28天最大劑量為56小瓶(vial)。</w:t>
            </w:r>
          </w:p>
          <w:p w14:paraId="59D76F2C" w14:textId="77777777" w:rsidR="00401786" w:rsidRDefault="00C64FB3" w:rsidP="0009639E">
            <w:pPr>
              <w:pStyle w:val="ab"/>
              <w:snapToGrid w:val="0"/>
              <w:spacing w:line="300" w:lineRule="exact"/>
              <w:ind w:left="560" w:hanging="560"/>
              <w:jc w:val="both"/>
            </w:pPr>
            <w:r>
              <w:rPr>
                <w:rFonts w:ascii="標楷體" w:eastAsia="標楷體" w:hAnsi="標楷體"/>
                <w:color w:val="000000"/>
              </w:rPr>
              <w:t>四、抗膽鹼藥物(anticholinergics)</w:t>
            </w:r>
          </w:p>
          <w:p w14:paraId="38D0CF9D" w14:textId="77777777" w:rsidR="00401786" w:rsidRDefault="00C64FB3" w:rsidP="0009639E">
            <w:pPr>
              <w:pStyle w:val="ab"/>
              <w:snapToGrid w:val="0"/>
              <w:spacing w:line="300" w:lineRule="exact"/>
              <w:ind w:left="557"/>
              <w:jc w:val="both"/>
            </w:pPr>
            <w:r>
              <w:rPr>
                <w:rFonts w:ascii="標楷體" w:eastAsia="標楷體" w:hAnsi="標楷體"/>
                <w:color w:val="000000"/>
              </w:rPr>
              <w:t>視情況(</w:t>
            </w:r>
            <w:proofErr w:type="gramStart"/>
            <w:r>
              <w:rPr>
                <w:rFonts w:ascii="標楷體" w:eastAsia="標楷體" w:hAnsi="標楷體"/>
                <w:color w:val="000000"/>
              </w:rPr>
              <w:t>＊</w:t>
            </w:r>
            <w:proofErr w:type="gramEnd"/>
            <w:r>
              <w:rPr>
                <w:rFonts w:ascii="標楷體" w:eastAsia="標楷體" w:hAnsi="標楷體"/>
                <w:color w:val="000000"/>
              </w:rPr>
              <w:t>)繼續居家使用，每28天最大劑量為112小瓶(vial)。</w:t>
            </w:r>
          </w:p>
        </w:tc>
      </w:tr>
      <w:tr w:rsidR="00401786" w14:paraId="51533C46" w14:textId="77777777">
        <w:trPr>
          <w:trHeight w:val="2183"/>
          <w:jc w:val="center"/>
        </w:trPr>
        <w:tc>
          <w:tcPr>
            <w:tcW w:w="149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176DCD" w14:textId="77777777" w:rsidR="00401786" w:rsidRDefault="00C64FB3" w:rsidP="0009639E">
            <w:pPr>
              <w:pStyle w:val="ab"/>
              <w:snapToGrid w:val="0"/>
              <w:spacing w:line="300" w:lineRule="exact"/>
              <w:ind w:left="72" w:right="50"/>
              <w:jc w:val="both"/>
            </w:pPr>
            <w:r>
              <w:rPr>
                <w:rFonts w:ascii="標楷體" w:eastAsia="標楷體" w:hAnsi="標楷體"/>
                <w:color w:val="000000"/>
              </w:rPr>
              <w:t>吸入型類固醇</w:t>
            </w:r>
          </w:p>
          <w:p w14:paraId="04DC08EC" w14:textId="77777777" w:rsidR="00401786" w:rsidRDefault="00C64FB3" w:rsidP="0009639E">
            <w:pPr>
              <w:pStyle w:val="ab"/>
              <w:snapToGrid w:val="0"/>
              <w:spacing w:line="300" w:lineRule="exact"/>
              <w:ind w:left="72" w:right="50"/>
              <w:jc w:val="both"/>
            </w:pPr>
            <w:r>
              <w:rPr>
                <w:rFonts w:ascii="標楷體" w:eastAsia="標楷體" w:hAnsi="標楷體"/>
                <w:color w:val="000000"/>
              </w:rPr>
              <w:t>(inhaled corticosteroid)</w:t>
            </w:r>
          </w:p>
        </w:tc>
        <w:tc>
          <w:tcPr>
            <w:tcW w:w="34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4F0919" w14:textId="77777777" w:rsidR="00401786" w:rsidRDefault="00C64FB3">
            <w:pPr>
              <w:pStyle w:val="ab"/>
              <w:widowControl/>
              <w:numPr>
                <w:ilvl w:val="0"/>
                <w:numId w:val="23"/>
              </w:numPr>
              <w:tabs>
                <w:tab w:val="left" w:pos="0"/>
              </w:tabs>
              <w:snapToGrid w:val="0"/>
              <w:spacing w:after="0" w:line="300" w:lineRule="exact"/>
              <w:ind w:left="505" w:hanging="505"/>
              <w:jc w:val="both"/>
              <w:textAlignment w:val="auto"/>
            </w:pPr>
            <w:r>
              <w:rPr>
                <w:rFonts w:ascii="標楷體" w:eastAsia="標楷體" w:hAnsi="標楷體" w:cs="新細明體"/>
                <w:color w:val="000000"/>
              </w:rPr>
              <w:t>氣喘治療之維持劑量依嚴重度及控制程度，以及所使用之類固醇藥物吸入劑之不同，依</w:t>
            </w:r>
            <w:proofErr w:type="gramStart"/>
            <w:r>
              <w:rPr>
                <w:rFonts w:ascii="標楷體" w:eastAsia="標楷體" w:hAnsi="標楷體" w:cs="新細明體"/>
                <w:color w:val="000000"/>
              </w:rPr>
              <w:t>最</w:t>
            </w:r>
            <w:proofErr w:type="gramEnd"/>
            <w:r>
              <w:rPr>
                <w:rFonts w:ascii="標楷體" w:eastAsia="標楷體" w:hAnsi="標楷體" w:cs="新細明體"/>
                <w:color w:val="000000"/>
              </w:rPr>
              <w:t>新版GINA指引之建議給予適當劑量。</w:t>
            </w:r>
          </w:p>
          <w:p w14:paraId="5B1CC2DF" w14:textId="77777777" w:rsidR="00401786" w:rsidRDefault="00C64FB3">
            <w:pPr>
              <w:pStyle w:val="ab"/>
              <w:widowControl/>
              <w:numPr>
                <w:ilvl w:val="0"/>
                <w:numId w:val="23"/>
              </w:numPr>
              <w:tabs>
                <w:tab w:val="left" w:pos="0"/>
              </w:tabs>
              <w:snapToGrid w:val="0"/>
              <w:spacing w:after="0" w:line="300" w:lineRule="exact"/>
              <w:ind w:left="505" w:hanging="505"/>
              <w:jc w:val="both"/>
              <w:textAlignment w:val="auto"/>
            </w:pPr>
            <w:r>
              <w:rPr>
                <w:rFonts w:ascii="標楷體" w:eastAsia="標楷體" w:hAnsi="標楷體" w:cs="新細明體"/>
                <w:color w:val="000000"/>
              </w:rPr>
              <w:t>少數控制不佳之患者，以BDP (CFC)為例，其劑量可增加至每日1000 mcg以上(或其他類固醇藥物吸入劑相等劑量)。</w:t>
            </w:r>
          </w:p>
          <w:p w14:paraId="796CC717" w14:textId="77777777" w:rsidR="00401786" w:rsidRDefault="00C64FB3">
            <w:pPr>
              <w:pStyle w:val="ab"/>
              <w:widowControl/>
              <w:numPr>
                <w:ilvl w:val="0"/>
                <w:numId w:val="23"/>
              </w:numPr>
              <w:tabs>
                <w:tab w:val="left" w:pos="0"/>
              </w:tabs>
              <w:snapToGrid w:val="0"/>
              <w:spacing w:after="0" w:line="300" w:lineRule="exact"/>
              <w:ind w:left="505" w:hanging="505"/>
              <w:jc w:val="both"/>
              <w:textAlignment w:val="auto"/>
            </w:pPr>
            <w:r>
              <w:rPr>
                <w:rFonts w:ascii="標楷體" w:eastAsia="標楷體" w:hAnsi="標楷體" w:cs="新細明體"/>
                <w:color w:val="000000"/>
              </w:rPr>
              <w:t>最大處方量每28天2瓶，需註明</w:t>
            </w:r>
            <w:proofErr w:type="gramStart"/>
            <w:r>
              <w:rPr>
                <w:rFonts w:ascii="標楷體" w:eastAsia="標楷體" w:hAnsi="標楷體" w:cs="新細明體"/>
                <w:color w:val="000000"/>
              </w:rPr>
              <w:t>上次取藥日期</w:t>
            </w:r>
            <w:proofErr w:type="gramEnd"/>
            <w:r>
              <w:rPr>
                <w:rFonts w:ascii="標楷體" w:eastAsia="標楷體" w:hAnsi="標楷體" w:cs="新細明體"/>
                <w:color w:val="000000"/>
              </w:rPr>
              <w:t>。</w:t>
            </w:r>
          </w:p>
        </w:tc>
        <w:tc>
          <w:tcPr>
            <w:tcW w:w="15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1EB4A4" w14:textId="77777777" w:rsidR="00401786" w:rsidRDefault="00C64FB3" w:rsidP="0009639E">
            <w:pPr>
              <w:pStyle w:val="ab"/>
              <w:snapToGrid w:val="0"/>
              <w:spacing w:line="300" w:lineRule="exact"/>
              <w:ind w:left="72" w:right="50"/>
              <w:jc w:val="both"/>
            </w:pPr>
            <w:r>
              <w:rPr>
                <w:rFonts w:ascii="標楷體" w:eastAsia="標楷體" w:hAnsi="標楷體"/>
                <w:color w:val="000000"/>
              </w:rPr>
              <w:t>使用劑量及調整方式同固定劑量吸入劑 (MDI)。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E04D802" w14:textId="77777777" w:rsidR="00401786" w:rsidRDefault="00C64FB3" w:rsidP="0009639E">
            <w:pPr>
              <w:pStyle w:val="ab"/>
              <w:snapToGrid w:val="0"/>
              <w:spacing w:line="300" w:lineRule="exact"/>
              <w:ind w:left="510" w:hanging="510"/>
              <w:jc w:val="both"/>
            </w:pPr>
            <w:r>
              <w:rPr>
                <w:rFonts w:ascii="標楷體" w:eastAsia="標楷體" w:hAnsi="標楷體"/>
                <w:color w:val="000000"/>
              </w:rPr>
              <w:t>一、阻塞性肺疾病</w:t>
            </w:r>
            <w:proofErr w:type="gramStart"/>
            <w:r>
              <w:rPr>
                <w:rFonts w:ascii="標楷體" w:eastAsia="標楷體" w:hAnsi="標楷體"/>
                <w:color w:val="000000"/>
              </w:rPr>
              <w:t>併</w:t>
            </w:r>
            <w:proofErr w:type="gramEnd"/>
            <w:r>
              <w:rPr>
                <w:rFonts w:ascii="標楷體" w:eastAsia="標楷體" w:hAnsi="標楷體"/>
                <w:color w:val="000000"/>
              </w:rPr>
              <w:t>有其他不適合口服、靜脈注射的狀況、具有人工呼吸道需要使用類固醇的狀況。</w:t>
            </w:r>
          </w:p>
          <w:p w14:paraId="1ADFBC2A" w14:textId="77777777" w:rsidR="00401786" w:rsidRDefault="00C64FB3" w:rsidP="0009639E">
            <w:pPr>
              <w:pStyle w:val="ab"/>
              <w:snapToGrid w:val="0"/>
              <w:spacing w:line="300" w:lineRule="exact"/>
              <w:ind w:left="397" w:hanging="397"/>
              <w:jc w:val="both"/>
            </w:pPr>
            <w:r>
              <w:rPr>
                <w:rFonts w:ascii="標楷體" w:eastAsia="標楷體" w:hAnsi="標楷體"/>
                <w:color w:val="000000"/>
              </w:rPr>
              <w:t>二、</w:t>
            </w:r>
            <w:proofErr w:type="gramStart"/>
            <w:r>
              <w:rPr>
                <w:rFonts w:ascii="標楷體" w:eastAsia="標楷體" w:hAnsi="標楷體"/>
                <w:color w:val="000000"/>
              </w:rPr>
              <w:t>拔管後</w:t>
            </w:r>
            <w:proofErr w:type="gramEnd"/>
            <w:r>
              <w:rPr>
                <w:rFonts w:ascii="標楷體" w:eastAsia="標楷體" w:hAnsi="標楷體"/>
                <w:color w:val="000000"/>
              </w:rPr>
              <w:t>、使用固定劑量吸入劑或粉狀吸入劑效果</w:t>
            </w:r>
            <w:proofErr w:type="gramStart"/>
            <w:r>
              <w:rPr>
                <w:rFonts w:ascii="標楷體" w:eastAsia="標楷體" w:hAnsi="標楷體"/>
                <w:color w:val="000000"/>
              </w:rPr>
              <w:t>不</w:t>
            </w:r>
            <w:proofErr w:type="gramEnd"/>
            <w:r>
              <w:rPr>
                <w:rFonts w:ascii="標楷體" w:eastAsia="標楷體" w:hAnsi="標楷體"/>
                <w:color w:val="000000"/>
              </w:rPr>
              <w:t>彰、或使用技巧無法配合等狀況使用。</w:t>
            </w:r>
          </w:p>
          <w:p w14:paraId="14425F6B"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三、適應症或狀況消失後應儘速改用</w:t>
            </w:r>
            <w:proofErr w:type="gramStart"/>
            <w:r>
              <w:rPr>
                <w:rFonts w:ascii="標楷體" w:eastAsia="標楷體" w:hAnsi="標楷體"/>
                <w:color w:val="000000"/>
              </w:rPr>
              <w:t>其他劑</w:t>
            </w:r>
            <w:proofErr w:type="gramEnd"/>
            <w:r>
              <w:rPr>
                <w:rFonts w:ascii="標楷體" w:eastAsia="標楷體" w:hAnsi="標楷體"/>
                <w:color w:val="000000"/>
              </w:rPr>
              <w:t>型，一般使用以不超過</w:t>
            </w:r>
            <w:proofErr w:type="gramStart"/>
            <w:r>
              <w:rPr>
                <w:rFonts w:ascii="標楷體" w:eastAsia="標楷體" w:hAnsi="標楷體"/>
                <w:color w:val="000000"/>
              </w:rPr>
              <w:t>一週</w:t>
            </w:r>
            <w:proofErr w:type="gramEnd"/>
            <w:r>
              <w:rPr>
                <w:rFonts w:ascii="標楷體" w:eastAsia="標楷體" w:hAnsi="標楷體"/>
                <w:color w:val="000000"/>
              </w:rPr>
              <w:t>為原則。</w:t>
            </w:r>
          </w:p>
        </w:tc>
      </w:tr>
    </w:tbl>
    <w:p w14:paraId="013C304F" w14:textId="77777777" w:rsidR="00401786" w:rsidRDefault="00C64FB3" w:rsidP="0009639E">
      <w:pPr>
        <w:pStyle w:val="ab"/>
        <w:snapToGrid w:val="0"/>
        <w:spacing w:line="300" w:lineRule="exact"/>
        <w:ind w:left="279" w:hanging="240"/>
      </w:pPr>
      <w:proofErr w:type="gramStart"/>
      <w:r>
        <w:rPr>
          <w:rFonts w:ascii="標楷體" w:eastAsia="標楷體" w:hAnsi="標楷體"/>
          <w:b/>
          <w:bCs/>
          <w:color w:val="000000"/>
        </w:rPr>
        <w:t>＊</w:t>
      </w:r>
      <w:proofErr w:type="gramEnd"/>
      <w:r>
        <w:rPr>
          <w:rFonts w:ascii="標楷體" w:eastAsia="標楷體" w:hAnsi="標楷體"/>
          <w:b/>
          <w:bCs/>
          <w:color w:val="000000"/>
        </w:rPr>
        <w:t>霧化吸入劑</w:t>
      </w:r>
    </w:p>
    <w:p w14:paraId="7D16093B" w14:textId="77777777" w:rsidR="00401786" w:rsidRDefault="00C64FB3" w:rsidP="0009639E">
      <w:pPr>
        <w:pStyle w:val="ab"/>
        <w:snapToGrid w:val="0"/>
        <w:spacing w:line="300" w:lineRule="exact"/>
        <w:ind w:left="811" w:hanging="772"/>
      </w:pPr>
      <w:r>
        <w:rPr>
          <w:rFonts w:ascii="標楷體" w:eastAsia="標楷體" w:hAnsi="標楷體"/>
          <w:color w:val="000000"/>
        </w:rPr>
        <w:t>一、病人被判斷為無法有效地操作固定劑量吸入劑 (MDI) 裝置</w:t>
      </w:r>
    </w:p>
    <w:p w14:paraId="516D2807" w14:textId="77777777" w:rsidR="00401786" w:rsidRDefault="00C64FB3" w:rsidP="0009639E">
      <w:pPr>
        <w:pStyle w:val="ab"/>
        <w:snapToGrid w:val="0"/>
        <w:spacing w:line="300" w:lineRule="exact"/>
        <w:ind w:left="563" w:hanging="524"/>
      </w:pPr>
      <w:r>
        <w:rPr>
          <w:rFonts w:ascii="標楷體" w:eastAsia="標楷體" w:hAnsi="標楷體"/>
          <w:color w:val="000000"/>
        </w:rPr>
        <w:lastRenderedPageBreak/>
        <w:t>二、病患肺活量低於7mL×1.5/kg吸氣流量(inspiratory flow)低於每分鐘30公升，或停止呼吸之能力低於4秒時。</w:t>
      </w:r>
    </w:p>
    <w:p w14:paraId="63A562D7" w14:textId="77777777" w:rsidR="00401786" w:rsidRDefault="00C64FB3" w:rsidP="0009639E">
      <w:pPr>
        <w:pStyle w:val="ab"/>
        <w:snapToGrid w:val="0"/>
        <w:spacing w:line="300" w:lineRule="exact"/>
        <w:ind w:left="563" w:hanging="524"/>
      </w:pPr>
      <w:r>
        <w:rPr>
          <w:rFonts w:ascii="標楷體" w:eastAsia="標楷體" w:hAnsi="標楷體"/>
          <w:color w:val="000000"/>
        </w:rPr>
        <w:t>三、使用定量吸入劑之病患，反覆發作急性呼吸道阻塞損及使用此裝置之能力。</w:t>
      </w:r>
    </w:p>
    <w:p w14:paraId="5ACDCB30" w14:textId="77777777" w:rsidR="00401786" w:rsidRDefault="00C64FB3" w:rsidP="0009639E">
      <w:pPr>
        <w:pStyle w:val="ab"/>
        <w:snapToGrid w:val="0"/>
        <w:spacing w:line="300" w:lineRule="exact"/>
        <w:ind w:left="563" w:hanging="524"/>
        <w:rPr>
          <w:rFonts w:ascii="標楷體" w:eastAsia="標楷體" w:hAnsi="標楷體"/>
          <w:color w:val="000000"/>
        </w:rPr>
      </w:pPr>
      <w:r>
        <w:rPr>
          <w:rFonts w:ascii="標楷體" w:eastAsia="標楷體" w:hAnsi="標楷體"/>
          <w:color w:val="000000"/>
        </w:rPr>
        <w:t>四、使用定量吸入劑或乾粉吸入劑(DPI)效果並不理想時，亦可使用小容積</w:t>
      </w:r>
      <w:proofErr w:type="gramStart"/>
      <w:r>
        <w:rPr>
          <w:rFonts w:ascii="標楷體" w:eastAsia="標楷體" w:hAnsi="標楷體"/>
          <w:color w:val="000000"/>
        </w:rPr>
        <w:t>化霧器</w:t>
      </w:r>
      <w:proofErr w:type="gramEnd"/>
      <w:r>
        <w:rPr>
          <w:rFonts w:ascii="標楷體" w:eastAsia="標楷體" w:hAnsi="標楷體"/>
          <w:color w:val="000000"/>
        </w:rPr>
        <w:t>或液態吸入劑，惟必須定期評估。</w:t>
      </w:r>
    </w:p>
    <w:p w14:paraId="23F8DEA9" w14:textId="77777777" w:rsidR="00401786" w:rsidRDefault="00C64FB3" w:rsidP="0009639E">
      <w:pPr>
        <w:pStyle w:val="ab"/>
        <w:spacing w:line="300" w:lineRule="exact"/>
      </w:pPr>
      <w:r>
        <w:rPr>
          <w:rFonts w:ascii="標楷體" w:eastAsia="標楷體" w:hAnsi="標楷體"/>
          <w:color w:val="000000"/>
        </w:rPr>
        <w:t>兒童呼吸道疾患吸入製劑給付規定表（</w:t>
      </w:r>
      <w:r>
        <w:rPr>
          <w:rFonts w:ascii="標楷體" w:eastAsia="標楷體" w:hAnsi="標楷體"/>
          <w:color w:val="000000"/>
          <w:kern w:val="0"/>
        </w:rPr>
        <w:t>111/3/1、113/8/1</w:t>
      </w:r>
      <w:r>
        <w:rPr>
          <w:rFonts w:ascii="標楷體" w:eastAsia="標楷體" w:hAnsi="標楷體"/>
          <w:color w:val="000000"/>
        </w:rPr>
        <w:t>）</w:t>
      </w:r>
    </w:p>
    <w:tbl>
      <w:tblPr>
        <w:tblW w:w="4950" w:type="pct"/>
        <w:jc w:val="center"/>
        <w:tblLayout w:type="fixed"/>
        <w:tblCellMar>
          <w:left w:w="10" w:type="dxa"/>
          <w:right w:w="10" w:type="dxa"/>
        </w:tblCellMar>
        <w:tblLook w:val="0000" w:firstRow="0" w:lastRow="0" w:firstColumn="0" w:lastColumn="0" w:noHBand="0" w:noVBand="0"/>
      </w:tblPr>
      <w:tblGrid>
        <w:gridCol w:w="1703"/>
        <w:gridCol w:w="2862"/>
        <w:gridCol w:w="1968"/>
        <w:gridCol w:w="2993"/>
      </w:tblGrid>
      <w:tr w:rsidR="00401786" w14:paraId="4F24735C" w14:textId="77777777">
        <w:trPr>
          <w:trHeight w:val="584"/>
          <w:jc w:val="center"/>
        </w:trPr>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82B44A" w14:textId="77777777" w:rsidR="00401786" w:rsidRDefault="00401786" w:rsidP="0009639E">
            <w:pPr>
              <w:pStyle w:val="ab"/>
              <w:spacing w:line="300" w:lineRule="exact"/>
              <w:jc w:val="center"/>
              <w:rPr>
                <w:rFonts w:ascii="標楷體" w:eastAsia="標楷體" w:hAnsi="標楷體"/>
                <w:b/>
                <w:color w:val="000000"/>
              </w:rPr>
            </w:pP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A4B4BE2" w14:textId="77777777" w:rsidR="00401786" w:rsidRDefault="00C64FB3" w:rsidP="0009639E">
            <w:pPr>
              <w:pStyle w:val="ab"/>
              <w:spacing w:line="300" w:lineRule="exact"/>
              <w:jc w:val="center"/>
            </w:pPr>
            <w:r>
              <w:rPr>
                <w:rFonts w:ascii="標楷體" w:eastAsia="標楷體" w:hAnsi="標楷體"/>
                <w:b/>
                <w:color w:val="000000"/>
              </w:rPr>
              <w:t>定量吸入劑(MDI)</w:t>
            </w:r>
          </w:p>
        </w:tc>
        <w:tc>
          <w:tcPr>
            <w:tcW w:w="185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AADE23" w14:textId="77777777" w:rsidR="00401786" w:rsidRDefault="00C64FB3" w:rsidP="0009639E">
            <w:pPr>
              <w:pStyle w:val="ab"/>
              <w:spacing w:line="300" w:lineRule="exact"/>
              <w:jc w:val="center"/>
            </w:pPr>
            <w:r>
              <w:rPr>
                <w:rFonts w:ascii="標楷體" w:eastAsia="標楷體" w:hAnsi="標楷體"/>
                <w:b/>
                <w:color w:val="000000"/>
              </w:rPr>
              <w:t>乾粉吸入劑(DPI)</w:t>
            </w:r>
          </w:p>
        </w:tc>
        <w:tc>
          <w:tcPr>
            <w:tcW w:w="281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18D808" w14:textId="77777777" w:rsidR="00401786" w:rsidRDefault="00C64FB3" w:rsidP="0009639E">
            <w:pPr>
              <w:pStyle w:val="ab"/>
              <w:spacing w:line="300" w:lineRule="exact"/>
              <w:jc w:val="center"/>
            </w:pPr>
            <w:r>
              <w:rPr>
                <w:rFonts w:ascii="標楷體" w:eastAsia="標楷體" w:hAnsi="標楷體"/>
                <w:b/>
                <w:color w:val="000000"/>
              </w:rPr>
              <w:t>霧化吸入劑(nebulizer)</w:t>
            </w:r>
          </w:p>
        </w:tc>
      </w:tr>
      <w:tr w:rsidR="00401786" w14:paraId="2029F5AB" w14:textId="77777777">
        <w:trPr>
          <w:trHeight w:val="440"/>
          <w:jc w:val="center"/>
        </w:trPr>
        <w:tc>
          <w:tcPr>
            <w:tcW w:w="1602"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6A8310" w14:textId="77777777" w:rsidR="00401786" w:rsidRDefault="00C64FB3" w:rsidP="0009639E">
            <w:pPr>
              <w:pStyle w:val="ab"/>
              <w:snapToGrid w:val="0"/>
              <w:spacing w:line="300" w:lineRule="exact"/>
              <w:ind w:left="72" w:right="50"/>
              <w:jc w:val="both"/>
            </w:pPr>
            <w:r>
              <w:rPr>
                <w:rFonts w:ascii="標楷體" w:eastAsia="標楷體" w:hAnsi="標楷體"/>
                <w:color w:val="000000"/>
              </w:rPr>
              <w:t>支氣管擴張劑(bronchodilators)</w:t>
            </w:r>
          </w:p>
        </w:tc>
        <w:tc>
          <w:tcPr>
            <w:tcW w:w="2693"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32D334" w14:textId="77777777" w:rsidR="00401786" w:rsidRDefault="00C64FB3" w:rsidP="0009639E">
            <w:pPr>
              <w:pStyle w:val="ab"/>
              <w:snapToGrid w:val="0"/>
              <w:spacing w:line="300" w:lineRule="exact"/>
              <w:ind w:left="561" w:hanging="561"/>
            </w:pPr>
            <w:r>
              <w:rPr>
                <w:rFonts w:ascii="標楷體" w:eastAsia="標楷體" w:hAnsi="標楷體"/>
                <w:color w:val="000000"/>
              </w:rPr>
              <w:t>一、</w:t>
            </w:r>
            <w:proofErr w:type="gramStart"/>
            <w:r>
              <w:rPr>
                <w:rFonts w:ascii="標楷體" w:eastAsia="標楷體" w:hAnsi="標楷體"/>
                <w:color w:val="000000"/>
              </w:rPr>
              <w:t>短效劑型</w:t>
            </w:r>
            <w:proofErr w:type="gramEnd"/>
          </w:p>
          <w:p w14:paraId="49DD5C4A" w14:textId="77777777" w:rsidR="00401786" w:rsidRDefault="00C64FB3" w:rsidP="0009639E">
            <w:pPr>
              <w:pStyle w:val="ab"/>
              <w:snapToGrid w:val="0"/>
              <w:spacing w:line="300" w:lineRule="exact"/>
              <w:ind w:left="609" w:hanging="408"/>
            </w:pPr>
            <w:r>
              <w:rPr>
                <w:rFonts w:ascii="標楷體" w:eastAsia="標楷體" w:hAnsi="標楷體"/>
                <w:color w:val="000000"/>
              </w:rPr>
              <w:t>(</w:t>
            </w:r>
            <w:proofErr w:type="gramStart"/>
            <w:r>
              <w:rPr>
                <w:rFonts w:ascii="標楷體" w:eastAsia="標楷體" w:hAnsi="標楷體"/>
                <w:color w:val="000000"/>
              </w:rPr>
              <w:t>一</w:t>
            </w:r>
            <w:proofErr w:type="gramEnd"/>
            <w:r>
              <w:rPr>
                <w:rFonts w:ascii="標楷體" w:eastAsia="標楷體" w:hAnsi="標楷體"/>
                <w:color w:val="000000"/>
              </w:rPr>
              <w:t>)需要時才使用，不建議長期規則使用。</w:t>
            </w:r>
          </w:p>
          <w:p w14:paraId="4C2A5A06" w14:textId="77777777" w:rsidR="00401786" w:rsidRDefault="00C64FB3" w:rsidP="0009639E">
            <w:pPr>
              <w:pStyle w:val="ab"/>
              <w:snapToGrid w:val="0"/>
              <w:spacing w:line="300" w:lineRule="exact"/>
              <w:ind w:left="606" w:hanging="408"/>
            </w:pPr>
            <w:r>
              <w:rPr>
                <w:rFonts w:ascii="標楷體" w:eastAsia="標楷體" w:hAnsi="標楷體"/>
                <w:color w:val="000000"/>
              </w:rPr>
              <w:t>(二)每日最多6次(puffs)，每28天最多100次。</w:t>
            </w:r>
          </w:p>
          <w:p w14:paraId="0FCC7B8A" w14:textId="77777777" w:rsidR="00401786" w:rsidRDefault="00C64FB3" w:rsidP="0009639E">
            <w:pPr>
              <w:pStyle w:val="ab"/>
              <w:snapToGrid w:val="0"/>
              <w:spacing w:line="300" w:lineRule="exact"/>
              <w:ind w:left="560" w:hanging="560"/>
            </w:pPr>
            <w:r>
              <w:rPr>
                <w:rFonts w:ascii="標楷體" w:eastAsia="標楷體" w:hAnsi="標楷體"/>
                <w:color w:val="000000"/>
              </w:rPr>
              <w:t>二、</w:t>
            </w:r>
            <w:proofErr w:type="gramStart"/>
            <w:r>
              <w:rPr>
                <w:rFonts w:ascii="標楷體" w:eastAsia="標楷體" w:hAnsi="標楷體"/>
                <w:color w:val="000000"/>
              </w:rPr>
              <w:t>長效劑型</w:t>
            </w:r>
            <w:proofErr w:type="gramEnd"/>
          </w:p>
          <w:p w14:paraId="32AC0B11" w14:textId="77777777" w:rsidR="00401786" w:rsidRDefault="00C64FB3" w:rsidP="0009639E">
            <w:pPr>
              <w:pStyle w:val="ab"/>
              <w:snapToGrid w:val="0"/>
              <w:spacing w:line="300" w:lineRule="exact"/>
              <w:ind w:left="446" w:hanging="446"/>
            </w:pPr>
            <w:r>
              <w:rPr>
                <w:rFonts w:ascii="標楷體" w:eastAsia="標楷體" w:hAnsi="標楷體"/>
                <w:color w:val="000000"/>
              </w:rPr>
              <w:t>(</w:t>
            </w:r>
            <w:proofErr w:type="gramStart"/>
            <w:r>
              <w:rPr>
                <w:rFonts w:ascii="標楷體" w:eastAsia="標楷體" w:hAnsi="標楷體"/>
                <w:color w:val="000000"/>
              </w:rPr>
              <w:t>一</w:t>
            </w:r>
            <w:proofErr w:type="gramEnd"/>
            <w:r>
              <w:rPr>
                <w:rFonts w:ascii="標楷體" w:eastAsia="標楷體" w:hAnsi="標楷體"/>
                <w:color w:val="000000"/>
              </w:rPr>
              <w:t>)每日1至2次(BID)，急性發作不建議使用。</w:t>
            </w:r>
          </w:p>
          <w:p w14:paraId="0D314BEB" w14:textId="77777777" w:rsidR="00401786" w:rsidRDefault="00C64FB3" w:rsidP="0009639E">
            <w:pPr>
              <w:pStyle w:val="ab"/>
              <w:snapToGrid w:val="0"/>
              <w:spacing w:line="300" w:lineRule="exact"/>
              <w:ind w:left="446" w:hanging="446"/>
            </w:pPr>
            <w:r>
              <w:rPr>
                <w:rFonts w:ascii="標楷體" w:eastAsia="標楷體" w:hAnsi="標楷體"/>
                <w:color w:val="000000"/>
              </w:rPr>
              <w:t>(二)合併低劑量吸入型類固醇與formoterol之</w:t>
            </w:r>
            <w:proofErr w:type="gramStart"/>
            <w:r>
              <w:rPr>
                <w:rFonts w:ascii="標楷體" w:eastAsia="標楷體" w:hAnsi="標楷體"/>
                <w:color w:val="000000"/>
              </w:rPr>
              <w:t>吸入劑於</w:t>
            </w:r>
            <w:proofErr w:type="gramEnd"/>
            <w:r>
              <w:rPr>
                <w:rFonts w:ascii="標楷體" w:eastAsia="標楷體" w:hAnsi="標楷體"/>
                <w:color w:val="000000"/>
              </w:rPr>
              <w:t>GINA輕度氣喘可用於有症狀或急性發作時之緩解治療，於中度與重度氣喘則可用於每日維持以及緩解治療。此類</w:t>
            </w:r>
            <w:proofErr w:type="gramStart"/>
            <w:r>
              <w:rPr>
                <w:rFonts w:ascii="標楷體" w:eastAsia="標楷體" w:hAnsi="標楷體"/>
                <w:color w:val="000000"/>
              </w:rPr>
              <w:t>吸入劑於輕度</w:t>
            </w:r>
            <w:proofErr w:type="gramEnd"/>
            <w:r>
              <w:rPr>
                <w:rFonts w:ascii="標楷體" w:eastAsia="標楷體" w:hAnsi="標楷體"/>
                <w:color w:val="000000"/>
              </w:rPr>
              <w:t>與中度氣喘每28天至多使用1支。</w:t>
            </w:r>
          </w:p>
        </w:tc>
        <w:tc>
          <w:tcPr>
            <w:tcW w:w="1852"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3A2773" w14:textId="77777777" w:rsidR="00401786" w:rsidRDefault="00C64FB3" w:rsidP="0009639E">
            <w:pPr>
              <w:pStyle w:val="ab"/>
              <w:snapToGrid w:val="0"/>
              <w:spacing w:line="300" w:lineRule="exact"/>
            </w:pPr>
            <w:r>
              <w:rPr>
                <w:rFonts w:ascii="標楷體" w:eastAsia="標楷體" w:hAnsi="標楷體"/>
                <w:color w:val="000000"/>
              </w:rPr>
              <w:t>使用劑量及調整方式同固定劑量吸入劑 (MDI)。</w:t>
            </w:r>
          </w:p>
        </w:tc>
        <w:tc>
          <w:tcPr>
            <w:tcW w:w="2816"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083FA4" w14:textId="77777777" w:rsidR="00401786" w:rsidRDefault="00C64FB3" w:rsidP="0009639E">
            <w:pPr>
              <w:pStyle w:val="ab"/>
              <w:snapToGrid w:val="0"/>
              <w:spacing w:line="300" w:lineRule="exact"/>
              <w:ind w:left="475" w:hanging="475"/>
            </w:pPr>
            <w:r>
              <w:rPr>
                <w:rFonts w:ascii="標楷體" w:eastAsia="標楷體" w:hAnsi="標楷體"/>
                <w:color w:val="000000"/>
              </w:rPr>
              <w:t>一、乙二型刺激劑(β2-agonists)</w:t>
            </w:r>
          </w:p>
          <w:p w14:paraId="507E60C0" w14:textId="77777777" w:rsidR="00401786" w:rsidRDefault="00C64FB3">
            <w:pPr>
              <w:pStyle w:val="ab"/>
              <w:numPr>
                <w:ilvl w:val="0"/>
                <w:numId w:val="24"/>
              </w:numPr>
              <w:tabs>
                <w:tab w:val="left" w:pos="0"/>
              </w:tabs>
              <w:snapToGrid w:val="0"/>
              <w:spacing w:after="0" w:line="300" w:lineRule="exact"/>
              <w:ind w:left="667" w:hanging="415"/>
              <w:textAlignment w:val="auto"/>
            </w:pPr>
            <w:r>
              <w:rPr>
                <w:rFonts w:ascii="標楷體" w:eastAsia="標楷體" w:hAnsi="標楷體"/>
                <w:color w:val="000000"/>
              </w:rPr>
              <w:t>急性症狀緩解後治療，有需要才使用，每日最多6次，每28天最高用量28次。</w:t>
            </w:r>
          </w:p>
          <w:p w14:paraId="1B528E5A" w14:textId="77777777" w:rsidR="00401786" w:rsidRDefault="00C64FB3">
            <w:pPr>
              <w:pStyle w:val="ab"/>
              <w:numPr>
                <w:ilvl w:val="0"/>
                <w:numId w:val="24"/>
              </w:numPr>
              <w:tabs>
                <w:tab w:val="left" w:pos="0"/>
              </w:tabs>
              <w:snapToGrid w:val="0"/>
              <w:spacing w:after="0" w:line="300" w:lineRule="exact"/>
              <w:ind w:left="667" w:hanging="415"/>
              <w:textAlignment w:val="auto"/>
            </w:pPr>
            <w:r>
              <w:rPr>
                <w:rFonts w:ascii="標楷體" w:eastAsia="標楷體" w:hAnsi="標楷體"/>
                <w:color w:val="000000"/>
              </w:rPr>
              <w:t>氣喘病人可合併使用吸入性類固醇，可減少長期使用。</w:t>
            </w:r>
          </w:p>
          <w:p w14:paraId="492BDC0D" w14:textId="77777777" w:rsidR="00401786" w:rsidRDefault="00C64FB3">
            <w:pPr>
              <w:pStyle w:val="ab"/>
              <w:numPr>
                <w:ilvl w:val="0"/>
                <w:numId w:val="24"/>
              </w:numPr>
              <w:tabs>
                <w:tab w:val="left" w:pos="0"/>
              </w:tabs>
              <w:snapToGrid w:val="0"/>
              <w:spacing w:after="0" w:line="300" w:lineRule="exact"/>
              <w:ind w:left="667" w:hanging="415"/>
              <w:textAlignment w:val="auto"/>
            </w:pPr>
            <w:r>
              <w:rPr>
                <w:rFonts w:ascii="標楷體" w:eastAsia="標楷體" w:hAnsi="標楷體"/>
                <w:color w:val="000000"/>
              </w:rPr>
              <w:t>視情況居家使用，以2天為限。</w:t>
            </w:r>
          </w:p>
          <w:p w14:paraId="32A5B1E5" w14:textId="77777777" w:rsidR="00401786" w:rsidRDefault="00C64FB3" w:rsidP="0009639E">
            <w:pPr>
              <w:pStyle w:val="ab"/>
              <w:snapToGrid w:val="0"/>
              <w:spacing w:line="300" w:lineRule="exact"/>
              <w:ind w:left="523" w:hanging="523"/>
            </w:pPr>
            <w:r>
              <w:rPr>
                <w:rFonts w:ascii="標楷體" w:eastAsia="標楷體" w:hAnsi="標楷體"/>
                <w:color w:val="000000"/>
              </w:rPr>
              <w:t>二、抗膽鹼藥物 (anticholinergics)</w:t>
            </w:r>
          </w:p>
          <w:p w14:paraId="19A6697F" w14:textId="77777777" w:rsidR="00401786" w:rsidRDefault="00C64FB3" w:rsidP="0009639E">
            <w:pPr>
              <w:pStyle w:val="ab"/>
              <w:snapToGrid w:val="0"/>
              <w:spacing w:line="300" w:lineRule="exact"/>
              <w:ind w:left="448" w:hanging="57"/>
            </w:pPr>
            <w:r>
              <w:rPr>
                <w:rFonts w:ascii="標楷體" w:eastAsia="標楷體" w:hAnsi="標楷體"/>
                <w:color w:val="000000"/>
              </w:rPr>
              <w:t>沒有急性重症發作時，每28天用量28次以內。</w:t>
            </w:r>
          </w:p>
        </w:tc>
      </w:tr>
      <w:tr w:rsidR="00401786" w14:paraId="6509A30F" w14:textId="77777777">
        <w:trPr>
          <w:trHeight w:val="480"/>
          <w:jc w:val="center"/>
        </w:trPr>
        <w:tc>
          <w:tcPr>
            <w:tcW w:w="1602"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C2745F" w14:textId="77777777" w:rsidR="00401786" w:rsidRDefault="00401786" w:rsidP="0009639E">
            <w:pPr>
              <w:spacing w:line="300" w:lineRule="exact"/>
              <w:rPr>
                <w:rFonts w:ascii="標楷體" w:eastAsia="標楷體" w:hAnsi="標楷體"/>
              </w:rPr>
            </w:pPr>
          </w:p>
        </w:tc>
        <w:tc>
          <w:tcPr>
            <w:tcW w:w="2693"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2F70C6C" w14:textId="77777777" w:rsidR="00401786" w:rsidRDefault="00401786" w:rsidP="0009639E">
            <w:pPr>
              <w:spacing w:line="300" w:lineRule="exact"/>
              <w:rPr>
                <w:rFonts w:ascii="標楷體" w:eastAsia="標楷體" w:hAnsi="標楷體"/>
              </w:rPr>
            </w:pPr>
          </w:p>
        </w:tc>
        <w:tc>
          <w:tcPr>
            <w:tcW w:w="1852"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AA44FA5" w14:textId="77777777" w:rsidR="00401786" w:rsidRDefault="00401786" w:rsidP="0009639E">
            <w:pPr>
              <w:spacing w:line="300" w:lineRule="exact"/>
              <w:rPr>
                <w:rFonts w:ascii="標楷體" w:eastAsia="標楷體" w:hAnsi="標楷體"/>
              </w:rPr>
            </w:pPr>
          </w:p>
        </w:tc>
        <w:tc>
          <w:tcPr>
            <w:tcW w:w="2816"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904090" w14:textId="77777777" w:rsidR="00401786" w:rsidRDefault="00401786" w:rsidP="0009639E">
            <w:pPr>
              <w:spacing w:line="300" w:lineRule="exact"/>
              <w:rPr>
                <w:rFonts w:ascii="標楷體" w:eastAsia="標楷體" w:hAnsi="標楷體"/>
              </w:rPr>
            </w:pPr>
          </w:p>
        </w:tc>
      </w:tr>
      <w:tr w:rsidR="00401786" w14:paraId="1FAF9921" w14:textId="77777777">
        <w:trPr>
          <w:trHeight w:val="2104"/>
          <w:jc w:val="center"/>
        </w:trPr>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DC172FB" w14:textId="77777777" w:rsidR="00401786" w:rsidRDefault="00C64FB3" w:rsidP="0009639E">
            <w:pPr>
              <w:pStyle w:val="ab"/>
              <w:spacing w:line="300" w:lineRule="exact"/>
            </w:pPr>
            <w:r>
              <w:rPr>
                <w:rFonts w:ascii="標楷體" w:eastAsia="標楷體" w:hAnsi="標楷體"/>
                <w:color w:val="000000"/>
              </w:rPr>
              <w:t>吸入型類固醇(inhaled corticosteroid)</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64DCAD" w14:textId="77777777" w:rsidR="00401786" w:rsidRDefault="00C64FB3" w:rsidP="0009639E">
            <w:pPr>
              <w:pStyle w:val="ab"/>
              <w:widowControl/>
              <w:snapToGrid w:val="0"/>
              <w:spacing w:line="300" w:lineRule="exact"/>
              <w:ind w:left="360" w:hanging="360"/>
              <w:jc w:val="both"/>
            </w:pPr>
            <w:r>
              <w:rPr>
                <w:rFonts w:ascii="標楷體" w:eastAsia="標楷體" w:hAnsi="標楷體"/>
                <w:color w:val="000000"/>
              </w:rPr>
              <w:t>一、有需要應規則使用，配合GINA氣喘控制評估項目調整。</w:t>
            </w:r>
          </w:p>
          <w:p w14:paraId="5572BC5A"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t>二、維持劑量視個人而定，原則上依</w:t>
            </w:r>
            <w:proofErr w:type="gramStart"/>
            <w:r>
              <w:rPr>
                <w:rFonts w:ascii="標楷體" w:eastAsia="標楷體" w:hAnsi="標楷體"/>
                <w:color w:val="000000"/>
              </w:rPr>
              <w:t>最</w:t>
            </w:r>
            <w:proofErr w:type="gramEnd"/>
            <w:r>
              <w:rPr>
                <w:rFonts w:ascii="標楷體" w:eastAsia="標楷體" w:hAnsi="標楷體"/>
                <w:color w:val="000000"/>
              </w:rPr>
              <w:t>新版GINA指引之建議，給予適當劑量。</w:t>
            </w:r>
          </w:p>
          <w:p w14:paraId="2DB0AAEE"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t>三、少數控制不佳之氣喘患者，以BDP (CFC)為例，其劑量可增加至每日1000mcg以上(或其他類固醇藥物吸入劑相等劑量)。</w:t>
            </w:r>
          </w:p>
          <w:p w14:paraId="6D9A24F4"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lastRenderedPageBreak/>
              <w:t>四、每28天最大用量1至2瓶。</w:t>
            </w:r>
          </w:p>
        </w:tc>
        <w:tc>
          <w:tcPr>
            <w:tcW w:w="185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88A332" w14:textId="77777777" w:rsidR="00401786" w:rsidRDefault="00C64FB3" w:rsidP="0009639E">
            <w:pPr>
              <w:pStyle w:val="ab"/>
              <w:widowControl/>
              <w:snapToGrid w:val="0"/>
              <w:spacing w:line="300" w:lineRule="exact"/>
              <w:jc w:val="both"/>
            </w:pPr>
            <w:r>
              <w:rPr>
                <w:rFonts w:ascii="標楷體" w:eastAsia="標楷體" w:hAnsi="標楷體"/>
                <w:color w:val="000000"/>
              </w:rPr>
              <w:lastRenderedPageBreak/>
              <w:t>使用劑量及調整方式同固定劑量吸入劑 (MDI)。</w:t>
            </w:r>
          </w:p>
        </w:tc>
        <w:tc>
          <w:tcPr>
            <w:tcW w:w="281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E98710" w14:textId="77777777" w:rsidR="00401786" w:rsidRDefault="00C64FB3" w:rsidP="0009639E">
            <w:pPr>
              <w:pStyle w:val="ab"/>
              <w:snapToGrid w:val="0"/>
              <w:spacing w:line="300" w:lineRule="exact"/>
              <w:ind w:left="480" w:hanging="480"/>
              <w:jc w:val="both"/>
            </w:pPr>
            <w:r>
              <w:rPr>
                <w:rFonts w:ascii="標楷體" w:eastAsia="標楷體" w:hAnsi="標楷體"/>
                <w:color w:val="000000"/>
              </w:rPr>
              <w:t>一、阻塞性肺病（如氣喘）急性發作，在確定診斷下，每12小時使用1劑（0.05mg/kg，上限2mg/次）。</w:t>
            </w:r>
          </w:p>
          <w:p w14:paraId="52EF38BE" w14:textId="77777777" w:rsidR="00401786" w:rsidRDefault="00C64FB3" w:rsidP="0009639E">
            <w:pPr>
              <w:pStyle w:val="ab"/>
              <w:snapToGrid w:val="0"/>
              <w:spacing w:line="300" w:lineRule="exact"/>
              <w:ind w:left="480" w:hanging="480"/>
              <w:jc w:val="both"/>
            </w:pPr>
            <w:r>
              <w:rPr>
                <w:rFonts w:ascii="標楷體" w:eastAsia="標楷體" w:hAnsi="標楷體"/>
                <w:color w:val="000000"/>
              </w:rPr>
              <w:t>二、</w:t>
            </w:r>
            <w:proofErr w:type="gramStart"/>
            <w:r>
              <w:rPr>
                <w:rFonts w:ascii="標楷體" w:eastAsia="標楷體" w:hAnsi="標楷體"/>
                <w:color w:val="000000"/>
              </w:rPr>
              <w:t>拔管前後</w:t>
            </w:r>
            <w:proofErr w:type="gramEnd"/>
            <w:r>
              <w:rPr>
                <w:rFonts w:ascii="標楷體" w:eastAsia="標楷體" w:hAnsi="標楷體"/>
                <w:color w:val="000000"/>
              </w:rPr>
              <w:t>之病人，亦適合使用，不超過2天。</w:t>
            </w:r>
          </w:p>
          <w:p w14:paraId="3E60B940"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t>三、使用1至3天後，應轉成其他MDI劑型使用。超過3天使用，應說明理由。</w:t>
            </w:r>
          </w:p>
        </w:tc>
      </w:tr>
    </w:tbl>
    <w:p w14:paraId="2E924867" w14:textId="77777777" w:rsidR="00401786" w:rsidRDefault="00C64FB3" w:rsidP="0009639E">
      <w:pPr>
        <w:pStyle w:val="ab"/>
        <w:spacing w:line="300" w:lineRule="exact"/>
        <w:rPr>
          <w:rFonts w:ascii="標楷體" w:eastAsia="標楷體" w:hAnsi="標楷體"/>
        </w:rPr>
      </w:pPr>
      <w:proofErr w:type="gramStart"/>
      <w:r>
        <w:rPr>
          <w:rFonts w:ascii="標楷體" w:eastAsia="標楷體" w:hAnsi="標楷體"/>
        </w:rPr>
        <w:t>＊</w:t>
      </w:r>
      <w:proofErr w:type="gramEnd"/>
      <w:r>
        <w:rPr>
          <w:rFonts w:ascii="標楷體" w:eastAsia="標楷體" w:hAnsi="標楷體"/>
        </w:rPr>
        <w:t>MDI使用於年紀小者，可配合spacer或</w:t>
      </w:r>
      <w:proofErr w:type="spellStart"/>
      <w:r>
        <w:rPr>
          <w:rFonts w:ascii="標楷體" w:eastAsia="標楷體" w:hAnsi="標楷體"/>
        </w:rPr>
        <w:t>aerochamber</w:t>
      </w:r>
      <w:proofErr w:type="spellEnd"/>
      <w:r>
        <w:rPr>
          <w:rFonts w:ascii="標楷體" w:eastAsia="標楷體" w:hAnsi="標楷體"/>
        </w:rPr>
        <w:t>使用</w:t>
      </w:r>
    </w:p>
    <w:p w14:paraId="3CF060D9" w14:textId="77777777" w:rsidR="00CC252C" w:rsidRDefault="00CC252C">
      <w:pPr>
        <w:widowControl/>
        <w:suppressAutoHyphens w:val="0"/>
        <w:rPr>
          <w:rFonts w:ascii="標楷體" w:eastAsia="標楷體" w:hAnsi="標楷體"/>
          <w:b/>
          <w:sz w:val="32"/>
          <w:szCs w:val="32"/>
        </w:rPr>
      </w:pPr>
      <w:r>
        <w:br w:type="page"/>
      </w:r>
    </w:p>
    <w:p w14:paraId="6CC03EF8" w14:textId="77777777" w:rsidR="00401786" w:rsidRDefault="00C64FB3" w:rsidP="0009639E">
      <w:pPr>
        <w:pStyle w:val="2"/>
        <w:spacing w:line="300" w:lineRule="exact"/>
      </w:pPr>
      <w:r>
        <w:lastRenderedPageBreak/>
        <w:t>第7節 腸胃藥物 Gastrointestinal drugs</w:t>
      </w:r>
    </w:p>
    <w:p w14:paraId="263C9DA4" w14:textId="77777777" w:rsidR="00401786" w:rsidRDefault="00401786" w:rsidP="0009639E">
      <w:pPr>
        <w:snapToGrid w:val="0"/>
        <w:spacing w:line="300" w:lineRule="exact"/>
        <w:jc w:val="center"/>
        <w:rPr>
          <w:rFonts w:ascii="標楷體" w:eastAsia="標楷體" w:hAnsi="標楷體"/>
          <w:b/>
          <w:color w:val="000000"/>
          <w:sz w:val="32"/>
          <w:szCs w:val="32"/>
        </w:rPr>
      </w:pPr>
    </w:p>
    <w:p w14:paraId="7E7865A1"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7.1</w:t>
      </w:r>
      <w:r>
        <w:rPr>
          <w:rFonts w:ascii="標楷體" w:eastAsia="標楷體" w:hAnsi="標楷體"/>
          <w:color w:val="000000"/>
        </w:rPr>
        <w:tab/>
        <w:t>.消化性潰瘍用藥：</w:t>
      </w:r>
    </w:p>
    <w:p w14:paraId="6BDFD582"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1.藥品種類：</w:t>
      </w:r>
    </w:p>
    <w:p w14:paraId="050EDE88"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(1)制酸懸浮劑：</w:t>
      </w:r>
    </w:p>
    <w:p w14:paraId="267BB617" w14:textId="77777777" w:rsidR="00401786" w:rsidRDefault="00C64FB3" w:rsidP="0009639E">
      <w:pPr>
        <w:snapToGrid w:val="0"/>
        <w:spacing w:line="300" w:lineRule="exact"/>
        <w:ind w:left="1049"/>
        <w:rPr>
          <w:rFonts w:ascii="標楷體" w:eastAsia="標楷體" w:hAnsi="標楷體"/>
          <w:color w:val="000000"/>
        </w:rPr>
      </w:pPr>
      <w:r>
        <w:rPr>
          <w:rFonts w:ascii="標楷體" w:eastAsia="標楷體" w:hAnsi="標楷體"/>
          <w:color w:val="000000"/>
        </w:rPr>
        <w:t>各廠牌瓶裝、袋裝制酸懸浮劑及袋裝顆粒制酸劑。</w:t>
      </w:r>
    </w:p>
    <w:p w14:paraId="73054A0C"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(2)乙型組織胺受體阻斷劑：</w:t>
      </w:r>
    </w:p>
    <w:p w14:paraId="2CF6A951" w14:textId="77777777" w:rsidR="00401786" w:rsidRDefault="00C64FB3" w:rsidP="0009639E">
      <w:pPr>
        <w:snapToGrid w:val="0"/>
        <w:spacing w:line="300" w:lineRule="exact"/>
        <w:ind w:left="1049"/>
        <w:rPr>
          <w:rFonts w:ascii="標楷體" w:eastAsia="標楷體" w:hAnsi="標楷體"/>
          <w:color w:val="000000"/>
        </w:rPr>
      </w:pPr>
      <w:r>
        <w:rPr>
          <w:rFonts w:ascii="標楷體" w:eastAsia="標楷體" w:hAnsi="標楷體"/>
          <w:color w:val="000000"/>
        </w:rPr>
        <w:t>各廠牌乙型組織胺受體阻斷劑之口服製劑與針劑。</w:t>
      </w:r>
    </w:p>
    <w:p w14:paraId="0DCA651E"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(3)氫離子幫浦阻斷劑：</w:t>
      </w:r>
    </w:p>
    <w:p w14:paraId="2895D776" w14:textId="77777777" w:rsidR="00401786" w:rsidRDefault="00C64FB3" w:rsidP="0009639E">
      <w:pPr>
        <w:snapToGrid w:val="0"/>
        <w:spacing w:line="300" w:lineRule="exact"/>
        <w:ind w:left="1049"/>
        <w:rPr>
          <w:rFonts w:ascii="標楷體" w:eastAsia="標楷體" w:hAnsi="標楷體"/>
          <w:color w:val="000000"/>
        </w:rPr>
      </w:pPr>
      <w:r>
        <w:rPr>
          <w:rFonts w:ascii="標楷體" w:eastAsia="標楷體" w:hAnsi="標楷體"/>
          <w:color w:val="000000"/>
        </w:rPr>
        <w:t>各廠牌氫離子幫浦阻斷劑。</w:t>
      </w:r>
    </w:p>
    <w:p w14:paraId="1777A01D"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(4)細胞保護劑：如gefarnate、</w:t>
      </w:r>
      <w:proofErr w:type="spellStart"/>
      <w:r>
        <w:rPr>
          <w:rFonts w:ascii="標楷體" w:eastAsia="標楷體" w:hAnsi="標楷體"/>
          <w:color w:val="000000"/>
        </w:rPr>
        <w:t>cetraxate</w:t>
      </w:r>
      <w:proofErr w:type="spellEnd"/>
      <w:r>
        <w:rPr>
          <w:rFonts w:ascii="標楷體" w:eastAsia="標楷體" w:hAnsi="標楷體"/>
          <w:color w:val="000000"/>
        </w:rPr>
        <w:t>、carbenoxolone等。</w:t>
      </w:r>
    </w:p>
    <w:p w14:paraId="63462EA2"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(5)其他消化性潰瘍用藥：</w:t>
      </w:r>
    </w:p>
    <w:p w14:paraId="1677DC3D" w14:textId="77777777" w:rsidR="00401786" w:rsidRDefault="00C64FB3" w:rsidP="0009639E">
      <w:pPr>
        <w:snapToGrid w:val="0"/>
        <w:spacing w:line="300" w:lineRule="exact"/>
        <w:ind w:left="1049"/>
        <w:rPr>
          <w:rFonts w:ascii="標楷體" w:eastAsia="標楷體" w:hAnsi="標楷體"/>
          <w:color w:val="000000"/>
        </w:rPr>
      </w:pPr>
      <w:proofErr w:type="spellStart"/>
      <w:r>
        <w:rPr>
          <w:rFonts w:ascii="標楷體" w:eastAsia="標楷體" w:hAnsi="標楷體"/>
          <w:color w:val="000000"/>
        </w:rPr>
        <w:t>dibismuth</w:t>
      </w:r>
      <w:proofErr w:type="spellEnd"/>
      <w:r>
        <w:rPr>
          <w:rFonts w:ascii="標楷體" w:eastAsia="標楷體" w:hAnsi="標楷體"/>
          <w:color w:val="000000"/>
        </w:rPr>
        <w:t xml:space="preserve"> trioxide, sucralfate, pirenzepine HCl, Gaspin, Caved-S, misoprostol, proglumide及其他未列入之同類藥品，價格與其相當者比照辦理。</w:t>
      </w:r>
    </w:p>
    <w:p w14:paraId="0F48CC68"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2.使用規定：(106/12/1、110/12/1)</w:t>
      </w:r>
    </w:p>
    <w:p w14:paraId="76D666C1"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(1)使用於治療活動性（active）或癒合中（healing）之消化性潰瘍及逆流性食道炎。(92/10/1)</w:t>
      </w:r>
    </w:p>
    <w:p w14:paraId="1A30E411"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(2)瘢痕期（scar stage）之消化性潰瘍復發預防，其劑量依照醫理減量使用。</w:t>
      </w:r>
    </w:p>
    <w:p w14:paraId="60AA0DA8"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(3)消化性潰瘍及逆流性食道炎符合洛杉磯食道炎分級表（The Los Angeles Classification of Esophagitis※備註）Grade A或Grade B者，欲使用消化性潰瘍用藥，其使用期間以四個月為限，申報費用時需檢附四個月內有效之上消化道內視鏡檢查或上消化道</w:t>
      </w:r>
      <w:proofErr w:type="gramStart"/>
      <w:r>
        <w:rPr>
          <w:rFonts w:ascii="標楷體" w:eastAsia="標楷體" w:hAnsi="標楷體"/>
          <w:color w:val="000000"/>
        </w:rPr>
        <w:t>Ｘ</w:t>
      </w:r>
      <w:proofErr w:type="gramEnd"/>
      <w:r>
        <w:rPr>
          <w:rFonts w:ascii="標楷體" w:eastAsia="標楷體" w:hAnsi="標楷體"/>
          <w:color w:val="000000"/>
        </w:rPr>
        <w:t>光攝影報告，其針劑限使用於消化道出血不能口服之病人急性期替代療法。(92/10/1)</w:t>
      </w:r>
    </w:p>
    <w:p w14:paraId="76DAC9AF"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(4)經上消化道內視鏡檢查，診斷為重度逆流性食道炎，且符合洛杉磯食道炎分級表（The Los Angeles Classification of Esophagitis※備註）Grade C或Grade D者，得經消化系專科醫師之確認後可長期使用消化性潰瘍用藥一年。另外，下列病患得比照辦理：(92/10/1)</w:t>
      </w:r>
    </w:p>
    <w:p w14:paraId="42782EBE"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Ⅰ.胃切除</w:t>
      </w:r>
      <w:proofErr w:type="gramStart"/>
      <w:r>
        <w:rPr>
          <w:rFonts w:ascii="標楷體" w:eastAsia="標楷體" w:hAnsi="標楷體"/>
          <w:color w:val="000000"/>
        </w:rPr>
        <w:t>手術縫接</w:t>
      </w:r>
      <w:proofErr w:type="gramEnd"/>
      <w:r>
        <w:rPr>
          <w:rFonts w:ascii="標楷體" w:eastAsia="標楷體" w:hAnsi="標楷體"/>
          <w:color w:val="000000"/>
        </w:rPr>
        <w:t>處產生之潰瘍。</w:t>
      </w:r>
    </w:p>
    <w:p w14:paraId="17A605B8"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Ⅱ.經消化系專科醫師重覆多次（三次以上）上消化道內視鏡檢查確認屬難治癒性之潰瘍。經診斷確定為Zollinger-</w:t>
      </w:r>
      <w:proofErr w:type="spellStart"/>
      <w:r>
        <w:rPr>
          <w:rFonts w:ascii="標楷體" w:eastAsia="標楷體" w:hAnsi="標楷體"/>
          <w:color w:val="000000"/>
        </w:rPr>
        <w:t>Ellision</w:t>
      </w:r>
      <w:proofErr w:type="spellEnd"/>
      <w:r>
        <w:rPr>
          <w:rFonts w:ascii="標楷體" w:eastAsia="標楷體" w:hAnsi="標楷體"/>
          <w:color w:val="000000"/>
        </w:rPr>
        <w:t>症候群之病患，得長期使用氫離子幫浦阻斷劑而不受一年之限制。</w:t>
      </w:r>
    </w:p>
    <w:p w14:paraId="57361D63"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(5)因腦中風，冠狀動脈疾病或周邊血管疾病，或易出血體質(備註)而需使用雙重抗血小板藥物及抗凝血藥物，如aspirin、warfarin、tirofiban、cilostazol、 P2Y12 inhibitor（如clopidogrel、ticagrelor、ticlopidine、prasugrel）或新一代口服抗凝血藥物（如rivaroxaban、apixaban、</w:t>
      </w:r>
      <w:proofErr w:type="spellStart"/>
      <w:r>
        <w:rPr>
          <w:rFonts w:ascii="標楷體" w:eastAsia="標楷體" w:hAnsi="標楷體"/>
          <w:color w:val="000000"/>
        </w:rPr>
        <w:t>edoxaban</w:t>
      </w:r>
      <w:proofErr w:type="spellEnd"/>
      <w:r>
        <w:rPr>
          <w:rFonts w:ascii="標楷體" w:eastAsia="標楷體" w:hAnsi="標楷體"/>
          <w:color w:val="000000"/>
        </w:rPr>
        <w:t>、dabigatran）病人得以使用每日藥費6.5元</w:t>
      </w:r>
      <w:proofErr w:type="gramStart"/>
      <w:r>
        <w:rPr>
          <w:rFonts w:ascii="標楷體" w:eastAsia="標楷體" w:hAnsi="標楷體"/>
          <w:color w:val="000000"/>
        </w:rPr>
        <w:t>以下之氫離子</w:t>
      </w:r>
      <w:proofErr w:type="gramEnd"/>
      <w:r>
        <w:rPr>
          <w:rFonts w:ascii="標楷體" w:eastAsia="標楷體" w:hAnsi="標楷體"/>
          <w:color w:val="000000"/>
        </w:rPr>
        <w:t>幫浦阻斷劑(PPI)，最長以16</w:t>
      </w:r>
      <w:proofErr w:type="gramStart"/>
      <w:r>
        <w:rPr>
          <w:rFonts w:ascii="標楷體" w:eastAsia="標楷體" w:hAnsi="標楷體"/>
          <w:color w:val="000000"/>
        </w:rPr>
        <w:t>週</w:t>
      </w:r>
      <w:proofErr w:type="gramEnd"/>
      <w:r>
        <w:rPr>
          <w:rFonts w:ascii="標楷體" w:eastAsia="標楷體" w:hAnsi="標楷體"/>
          <w:color w:val="000000"/>
        </w:rPr>
        <w:t>為限；若為曾接受過內視鏡檢查，經彩色內視鏡圖譜證實有活動性消化性潰瘍或上消化道出血，最長以一年為限，如使用期間或停藥後，活動性消化性潰瘍再發或上消化道出血，得再治療一年。(110/12/1)</w:t>
      </w:r>
    </w:p>
    <w:p w14:paraId="52124BFC"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備註：易出血性體質建議如下(110/12/1)：</w:t>
      </w:r>
    </w:p>
    <w:p w14:paraId="22F9E76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w:t>
      </w:r>
      <w:r>
        <w:rPr>
          <w:rFonts w:ascii="標楷體" w:eastAsia="標楷體" w:hAnsi="標楷體"/>
          <w:color w:val="000000"/>
        </w:rPr>
        <w:tab/>
        <w:t>第五期慢性腎臟病(eGFR&lt;15mL/min/1.73M</w:t>
      </w:r>
      <w:proofErr w:type="gramStart"/>
      <w:r>
        <w:rPr>
          <w:rFonts w:ascii="標楷體" w:eastAsia="標楷體" w:hAnsi="標楷體"/>
          <w:color w:val="000000"/>
        </w:rPr>
        <w:t>2)或透析治治療中</w:t>
      </w:r>
      <w:proofErr w:type="gramEnd"/>
    </w:p>
    <w:p w14:paraId="682F20A0"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血小板＜80,000 /mm3。</w:t>
      </w:r>
    </w:p>
    <w:p w14:paraId="73037B8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肝臟疾病且INR&gt;1.7。</w:t>
      </w:r>
    </w:p>
    <w:p w14:paraId="67A6EF5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IV.</w:t>
      </w:r>
      <w:r>
        <w:rPr>
          <w:rFonts w:ascii="標楷體" w:eastAsia="標楷體" w:hAnsi="標楷體"/>
          <w:color w:val="000000"/>
        </w:rPr>
        <w:tab/>
        <w:t>其他凝血功能不全疾病。</w:t>
      </w:r>
    </w:p>
    <w:p w14:paraId="0A38BBD8"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(6)需使用NSAIDs而曾經上消化道內視鏡或</w:t>
      </w:r>
      <w:proofErr w:type="gramStart"/>
      <w:r>
        <w:rPr>
          <w:rFonts w:ascii="標楷體" w:eastAsia="標楷體" w:hAnsi="標楷體"/>
          <w:color w:val="000000"/>
        </w:rPr>
        <w:t>Ｘ</w:t>
      </w:r>
      <w:proofErr w:type="gramEnd"/>
      <w:r>
        <w:rPr>
          <w:rFonts w:ascii="標楷體" w:eastAsia="標楷體" w:hAnsi="標楷體"/>
          <w:color w:val="000000"/>
        </w:rPr>
        <w:t>光攝影證實有過潰瘍，得於使用NSAIDs期間內，使用消化性潰瘍用藥。(92/10/1、110/12/1)</w:t>
      </w:r>
    </w:p>
    <w:p w14:paraId="3D8AFBC6"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(7)對於症狀擬似逆流性食道炎之患者，但其上消化道內視鏡檢查無異常，若欲使用消化性潰瘍用藥，則需檢附其他相關檢查（如24小時pH監測）的結果。</w:t>
      </w:r>
      <w:r>
        <w:rPr>
          <w:rFonts w:ascii="標楷體" w:eastAsia="標楷體" w:hAnsi="標楷體"/>
          <w:color w:val="000000"/>
        </w:rPr>
        <w:lastRenderedPageBreak/>
        <w:t>(92/10/1)</w:t>
      </w:r>
    </w:p>
    <w:p w14:paraId="17E9BE83"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(8)消化性潰瘍穿孔病人經手術證實者，且所施手術僅為單純縫合，未作胃酸抑制相關手術者，可檢附手術記錄或病理檢驗報告，申請使用消化性潰瘍用藥，但以四個月內為限，如需繼續使用，仍請檢附胃鏡檢查或上腸胃道</w:t>
      </w:r>
      <w:proofErr w:type="gramStart"/>
      <w:r>
        <w:rPr>
          <w:rFonts w:ascii="標楷體" w:eastAsia="標楷體" w:hAnsi="標楷體"/>
          <w:color w:val="000000"/>
        </w:rPr>
        <w:t>Ｘ</w:t>
      </w:r>
      <w:proofErr w:type="gramEnd"/>
      <w:r>
        <w:rPr>
          <w:rFonts w:ascii="標楷體" w:eastAsia="標楷體" w:hAnsi="標楷體"/>
          <w:color w:val="000000"/>
        </w:rPr>
        <w:t>光檢查四個月內有效報告影本。(92/10/1)</w:t>
      </w:r>
    </w:p>
    <w:p w14:paraId="7D3E6A6C"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(9)嚴重外傷、大手術、腦手術、嚴重燙傷、休克、嚴重胰臟炎及急性腦中風者為預防壓力性潰瘍，得使用消化性潰瘍藥品。此類藥物之針劑限使用於不能口服之前述病患短期替代療法。</w:t>
      </w:r>
    </w:p>
    <w:p w14:paraId="5E85B256"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(10)經由碳13尿素呼氣檢查、或幽門螺旋桿菌糞便抗原檢查、或上消化道內視鏡切片檢查，確診為幽門螺旋桿菌感染之病人，得進行初次幽門螺旋桿菌消除治療，使用時需檢附檢測報告並註明初次治療。(92/10/1、113/8/1)</w:t>
      </w:r>
    </w:p>
    <w:p w14:paraId="4A1765E2"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(11)幽門螺旋桿菌之消除治療療程以二</w:t>
      </w:r>
      <w:proofErr w:type="gramStart"/>
      <w:r>
        <w:rPr>
          <w:rFonts w:ascii="標楷體" w:eastAsia="標楷體" w:hAnsi="標楷體"/>
          <w:color w:val="000000"/>
        </w:rPr>
        <w:t>週</w:t>
      </w:r>
      <w:proofErr w:type="gramEnd"/>
      <w:r>
        <w:rPr>
          <w:rFonts w:ascii="標楷體" w:eastAsia="標楷體" w:hAnsi="標楷體"/>
          <w:color w:val="000000"/>
        </w:rPr>
        <w:t>為原則，特殊病例需延長治療或再次治療，需檢附相關檢驗報告說明理由。</w:t>
      </w:r>
    </w:p>
    <w:p w14:paraId="7EAC645E"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(12)下列病患若因長期服用NSAIDs而需使用</w:t>
      </w:r>
      <w:proofErr w:type="gramStart"/>
      <w:r>
        <w:rPr>
          <w:rFonts w:ascii="標楷體" w:eastAsia="標楷體" w:hAnsi="標楷體"/>
          <w:color w:val="000000"/>
        </w:rPr>
        <w:t>前列腺素劑</w:t>
      </w:r>
      <w:proofErr w:type="gramEnd"/>
      <w:r>
        <w:rPr>
          <w:rFonts w:ascii="標楷體" w:eastAsia="標楷體" w:hAnsi="標楷體"/>
          <w:color w:val="000000"/>
        </w:rPr>
        <w:t>(如misoprostol)，得免附胃鏡報告：(99/7/1)</w:t>
      </w:r>
    </w:p>
    <w:p w14:paraId="36935F1D"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Ⅰ紅斑性狼瘡。</w:t>
      </w:r>
    </w:p>
    <w:p w14:paraId="4EB4A3D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Ⅱ五十歲以上</w:t>
      </w:r>
      <w:proofErr w:type="gramStart"/>
      <w:r>
        <w:rPr>
          <w:rFonts w:ascii="標楷體" w:eastAsia="標楷體" w:hAnsi="標楷體"/>
          <w:color w:val="000000"/>
        </w:rPr>
        <w:t>罹患類</w:t>
      </w:r>
      <w:proofErr w:type="gramEnd"/>
      <w:r>
        <w:rPr>
          <w:rFonts w:ascii="標楷體" w:eastAsia="標楷體" w:hAnsi="標楷體"/>
          <w:color w:val="000000"/>
        </w:rPr>
        <w:t>風濕性關節炎或僵直性脊椎炎之病患。</w:t>
      </w:r>
    </w:p>
    <w:p w14:paraId="02FE53D0"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(13)經消化系專科醫師上消化道內視鏡檢查，並經病理切片確診為Barrett</w:t>
      </w:r>
      <w:proofErr w:type="gramStart"/>
      <w:r>
        <w:rPr>
          <w:rFonts w:ascii="標楷體" w:eastAsia="標楷體" w:hAnsi="標楷體"/>
          <w:color w:val="000000"/>
        </w:rPr>
        <w:t>’</w:t>
      </w:r>
      <w:proofErr w:type="gramEnd"/>
      <w:r>
        <w:rPr>
          <w:rFonts w:ascii="標楷體" w:eastAsia="標楷體" w:hAnsi="標楷體"/>
          <w:color w:val="000000"/>
        </w:rPr>
        <w:t>s esophagus之病患，可使用消化性潰瘍用藥一年，</w:t>
      </w:r>
      <w:proofErr w:type="gramStart"/>
      <w:r>
        <w:rPr>
          <w:rFonts w:ascii="標楷體" w:eastAsia="標楷體" w:hAnsi="標楷體"/>
          <w:color w:val="000000"/>
        </w:rPr>
        <w:t>一</w:t>
      </w:r>
      <w:proofErr w:type="gramEnd"/>
      <w:r>
        <w:rPr>
          <w:rFonts w:ascii="標楷體" w:eastAsia="標楷體" w:hAnsi="標楷體"/>
          <w:color w:val="000000"/>
        </w:rPr>
        <w:t>年內至少須經上消化道內視鏡檢查追蹤一次。(101/1/1)</w:t>
      </w:r>
    </w:p>
    <w:p w14:paraId="71E20AD5"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(14)腦性麻痺、先天性心臟病、消化道畸形及其他有施行胃鏡檢查困難之兒科病患有消化道出血、消化性潰瘍、逆流性食道炎者，可使用消化性潰瘍用藥六個月。上述病人若經上消化道X光攝影或經食道酸鹼度測定為重度逆流者，得經兒科消化醫學次專科醫師確認後長期使用消化性潰瘍用藥一年。(106/12/1)</w:t>
      </w:r>
    </w:p>
    <w:p w14:paraId="07C67709" w14:textId="77777777" w:rsidR="00401786" w:rsidRDefault="00C64FB3" w:rsidP="0009639E">
      <w:pPr>
        <w:snapToGrid w:val="0"/>
        <w:spacing w:line="300" w:lineRule="exact"/>
        <w:ind w:left="1419" w:hanging="850"/>
        <w:rPr>
          <w:rFonts w:ascii="標楷體" w:eastAsia="標楷體" w:hAnsi="標楷體"/>
          <w:color w:val="000000"/>
        </w:rPr>
      </w:pPr>
      <w:r>
        <w:rPr>
          <w:rFonts w:ascii="標楷體" w:eastAsia="標楷體" w:hAnsi="標楷體"/>
          <w:color w:val="000000"/>
        </w:rPr>
        <w:t>備註：</w:t>
      </w:r>
    </w:p>
    <w:p w14:paraId="63D13CC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1.The Los Angeles Classification of Esophagitis</w:t>
      </w:r>
    </w:p>
    <w:p w14:paraId="6D168EF0"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A:</w:t>
      </w:r>
      <w:r>
        <w:rPr>
          <w:rFonts w:ascii="標楷體" w:eastAsia="標楷體" w:hAnsi="標楷體"/>
          <w:color w:val="000000"/>
        </w:rPr>
        <w:tab/>
        <w:t xml:space="preserve">One or more mucosal </w:t>
      </w:r>
      <w:proofErr w:type="spellStart"/>
      <w:r>
        <w:rPr>
          <w:rFonts w:ascii="標楷體" w:eastAsia="標楷體" w:hAnsi="標楷體"/>
          <w:color w:val="000000"/>
        </w:rPr>
        <w:t>break,each</w:t>
      </w:r>
      <w:proofErr w:type="spellEnd"/>
      <w:r>
        <w:rPr>
          <w:rFonts w:ascii="標楷體" w:eastAsia="標楷體" w:hAnsi="標楷體"/>
          <w:color w:val="000000"/>
        </w:rPr>
        <w:t xml:space="preserve"> </w:t>
      </w:r>
      <w:proofErr w:type="gramStart"/>
      <w:r>
        <w:rPr>
          <w:rFonts w:ascii="標楷體" w:eastAsia="標楷體" w:hAnsi="標楷體"/>
          <w:color w:val="000000"/>
        </w:rPr>
        <w:t>≦</w:t>
      </w:r>
      <w:proofErr w:type="gramEnd"/>
      <w:r>
        <w:rPr>
          <w:rFonts w:ascii="標楷體" w:eastAsia="標楷體" w:hAnsi="標楷體"/>
          <w:color w:val="000000"/>
        </w:rPr>
        <w:t xml:space="preserve">5mm </w:t>
      </w:r>
      <w:proofErr w:type="spellStart"/>
      <w:r>
        <w:rPr>
          <w:rFonts w:ascii="標楷體" w:eastAsia="標楷體" w:hAnsi="標楷體"/>
          <w:color w:val="000000"/>
        </w:rPr>
        <w:t>long,confined</w:t>
      </w:r>
      <w:proofErr w:type="spellEnd"/>
      <w:r>
        <w:rPr>
          <w:rFonts w:ascii="標楷體" w:eastAsia="標楷體" w:hAnsi="標楷體"/>
          <w:color w:val="000000"/>
        </w:rPr>
        <w:t xml:space="preserve"> to the mucosal folds。</w:t>
      </w:r>
    </w:p>
    <w:p w14:paraId="157680CE"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B:</w:t>
      </w:r>
      <w:r>
        <w:rPr>
          <w:rFonts w:ascii="標楷體" w:eastAsia="標楷體" w:hAnsi="標楷體"/>
          <w:color w:val="000000"/>
        </w:rPr>
        <w:tab/>
        <w:t>One or more mucosal break &gt; 5mm long, confined to the mucosal folds but not continuous between the tops of two mucosal folds。</w:t>
      </w:r>
    </w:p>
    <w:p w14:paraId="7E381CCC"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C:</w:t>
      </w:r>
      <w:r>
        <w:rPr>
          <w:rFonts w:ascii="標楷體" w:eastAsia="標楷體" w:hAnsi="標楷體"/>
          <w:color w:val="000000"/>
        </w:rPr>
        <w:tab/>
        <w:t>One or more mucosal break continuous between the tops of two or more mucosal folds but which involve less than 75% of the esophageal circumference。</w:t>
      </w:r>
    </w:p>
    <w:p w14:paraId="49B5C6A1"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D:</w:t>
      </w:r>
      <w:r>
        <w:rPr>
          <w:rFonts w:ascii="標楷體" w:eastAsia="標楷體" w:hAnsi="標楷體"/>
          <w:color w:val="000000"/>
        </w:rPr>
        <w:tab/>
        <w:t>Mucosal breaks which involve less than 75% of the esophageal circumference。</w:t>
      </w:r>
    </w:p>
    <w:p w14:paraId="5D91E687"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醫療院所使用單價新台幣四元(含)以下之消化性潰瘍用藥時，得由醫師視病情決定是否需要上消化道內視鏡檢查。(92/10/1)</w:t>
      </w:r>
    </w:p>
    <w:p w14:paraId="4145B34B"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7.2.</w:t>
      </w:r>
      <w:proofErr w:type="gramStart"/>
      <w:r>
        <w:rPr>
          <w:rFonts w:ascii="標楷體" w:eastAsia="標楷體" w:hAnsi="標楷體"/>
          <w:color w:val="000000"/>
        </w:rPr>
        <w:t>止吐劑</w:t>
      </w:r>
      <w:proofErr w:type="gramEnd"/>
      <w:r>
        <w:rPr>
          <w:rFonts w:ascii="標楷體" w:eastAsia="標楷體" w:hAnsi="標楷體"/>
          <w:color w:val="000000"/>
        </w:rPr>
        <w:t xml:space="preserve">  Antiemetic drugs</w:t>
      </w:r>
    </w:p>
    <w:p w14:paraId="29FC0D74" w14:textId="77777777" w:rsidR="00401786" w:rsidRDefault="00C64FB3" w:rsidP="0009639E">
      <w:pPr>
        <w:snapToGrid w:val="0"/>
        <w:spacing w:line="300" w:lineRule="exact"/>
        <w:ind w:left="809"/>
        <w:rPr>
          <w:rFonts w:ascii="標楷體" w:eastAsia="標楷體" w:hAnsi="標楷體"/>
          <w:color w:val="000000"/>
        </w:rPr>
      </w:pPr>
      <w:r>
        <w:rPr>
          <w:rFonts w:ascii="標楷體" w:eastAsia="標楷體" w:hAnsi="標楷體"/>
          <w:color w:val="000000"/>
        </w:rPr>
        <w:t>靜脈注射癌症化療藥品之</w:t>
      </w:r>
      <w:proofErr w:type="gramStart"/>
      <w:r>
        <w:rPr>
          <w:rFonts w:ascii="標楷體" w:eastAsia="標楷體" w:hAnsi="標楷體"/>
          <w:color w:val="000000"/>
        </w:rPr>
        <w:t>致吐性</w:t>
      </w:r>
      <w:proofErr w:type="gramEnd"/>
      <w:r>
        <w:rPr>
          <w:rFonts w:ascii="標楷體" w:eastAsia="標楷體" w:hAnsi="標楷體"/>
          <w:color w:val="000000"/>
        </w:rPr>
        <w:t>風險與劑量標準，依NCCN (National Comprehensive Cancer Network)</w:t>
      </w:r>
      <w:proofErr w:type="gramStart"/>
      <w:r>
        <w:rPr>
          <w:rFonts w:ascii="標楷體" w:eastAsia="標楷體" w:hAnsi="標楷體"/>
          <w:color w:val="000000"/>
        </w:rPr>
        <w:t>最</w:t>
      </w:r>
      <w:proofErr w:type="gramEnd"/>
      <w:r>
        <w:rPr>
          <w:rFonts w:ascii="標楷體" w:eastAsia="標楷體" w:hAnsi="標楷體"/>
          <w:color w:val="000000"/>
        </w:rPr>
        <w:t>新版治療指引內容。(101/02/1、101/4/1、107/5/1)</w:t>
      </w:r>
    </w:p>
    <w:p w14:paraId="459CE060" w14:textId="77777777" w:rsidR="00401786" w:rsidRDefault="00C64FB3" w:rsidP="0009639E">
      <w:pPr>
        <w:snapToGrid w:val="0"/>
        <w:spacing w:line="300" w:lineRule="exact"/>
        <w:ind w:left="994" w:hanging="708"/>
        <w:rPr>
          <w:rFonts w:ascii="標楷體" w:eastAsia="標楷體" w:hAnsi="標楷體"/>
          <w:color w:val="000000"/>
        </w:rPr>
      </w:pPr>
      <w:r>
        <w:rPr>
          <w:rFonts w:ascii="標楷體" w:eastAsia="標楷體" w:hAnsi="標楷體"/>
          <w:color w:val="000000"/>
        </w:rPr>
        <w:t>7.2.1.Serotonin antagonists（如ondansetron、</w:t>
      </w:r>
      <w:proofErr w:type="spellStart"/>
      <w:r>
        <w:rPr>
          <w:rFonts w:ascii="標楷體" w:eastAsia="標楷體" w:hAnsi="標楷體"/>
          <w:color w:val="000000"/>
        </w:rPr>
        <w:t>granisetron</w:t>
      </w:r>
      <w:proofErr w:type="spellEnd"/>
      <w:r>
        <w:rPr>
          <w:rFonts w:ascii="標楷體" w:eastAsia="標楷體" w:hAnsi="標楷體"/>
          <w:color w:val="000000"/>
        </w:rPr>
        <w:t>、</w:t>
      </w:r>
      <w:proofErr w:type="spellStart"/>
      <w:r>
        <w:rPr>
          <w:rFonts w:ascii="標楷體" w:eastAsia="標楷體" w:hAnsi="標楷體"/>
          <w:color w:val="000000"/>
        </w:rPr>
        <w:t>tropisetron</w:t>
      </w:r>
      <w:proofErr w:type="spellEnd"/>
      <w:r>
        <w:rPr>
          <w:rFonts w:ascii="標楷體" w:eastAsia="標楷體" w:hAnsi="標楷體"/>
          <w:color w:val="000000"/>
        </w:rPr>
        <w:t>、</w:t>
      </w:r>
      <w:proofErr w:type="spellStart"/>
      <w:r>
        <w:rPr>
          <w:rFonts w:ascii="標楷體" w:eastAsia="標楷體" w:hAnsi="標楷體"/>
          <w:color w:val="000000"/>
        </w:rPr>
        <w:t>ramosetron</w:t>
      </w:r>
      <w:proofErr w:type="spellEnd"/>
      <w:r>
        <w:rPr>
          <w:rFonts w:ascii="標楷體" w:eastAsia="標楷體" w:hAnsi="標楷體"/>
          <w:color w:val="000000"/>
        </w:rPr>
        <w:t>、palonosetron等）(93/2/1、93/9/1、98/9/1、99/5/1、101/4/1、102/9/1)</w:t>
      </w:r>
    </w:p>
    <w:p w14:paraId="2E58966C"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1.血液幹細胞移植患者接受高劑量化學治療時。</w:t>
      </w:r>
    </w:p>
    <w:p w14:paraId="178F7505"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2.惡性腫瘤患者及風濕免疫疾病（如紅斑性狼瘡、類風濕性關節炎、貝西氏症、皮肌炎/多發性肌炎、硬皮症、血管炎等）患者接受化學治療時，依下述情形使用：(98/9/1、99/5/1)</w:t>
      </w:r>
    </w:p>
    <w:p w14:paraId="7588F4BD"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lastRenderedPageBreak/>
        <w:t>(1)前述患者處方高</w:t>
      </w:r>
      <w:proofErr w:type="gramStart"/>
      <w:r>
        <w:rPr>
          <w:rFonts w:ascii="標楷體" w:eastAsia="標楷體" w:hAnsi="標楷體"/>
          <w:color w:val="000000"/>
        </w:rPr>
        <w:t>致吐性</w:t>
      </w:r>
      <w:proofErr w:type="gramEnd"/>
      <w:r>
        <w:rPr>
          <w:rFonts w:ascii="標楷體" w:eastAsia="標楷體" w:hAnsi="標楷體"/>
          <w:color w:val="000000"/>
        </w:rPr>
        <w:t>藥品，可預防性使用ondansetron 8~32 mg、</w:t>
      </w:r>
      <w:proofErr w:type="spellStart"/>
      <w:r>
        <w:rPr>
          <w:rFonts w:ascii="標楷體" w:eastAsia="標楷體" w:hAnsi="標楷體"/>
          <w:color w:val="000000"/>
        </w:rPr>
        <w:t>granisetron</w:t>
      </w:r>
      <w:proofErr w:type="spellEnd"/>
      <w:r>
        <w:rPr>
          <w:rFonts w:ascii="標楷體" w:eastAsia="標楷體" w:hAnsi="標楷體"/>
          <w:color w:val="000000"/>
        </w:rPr>
        <w:t xml:space="preserve"> 1~3 mg、</w:t>
      </w:r>
      <w:proofErr w:type="spellStart"/>
      <w:r>
        <w:rPr>
          <w:rFonts w:ascii="標楷體" w:eastAsia="標楷體" w:hAnsi="標楷體"/>
          <w:color w:val="000000"/>
        </w:rPr>
        <w:t>tropisetron</w:t>
      </w:r>
      <w:proofErr w:type="spellEnd"/>
      <w:r>
        <w:rPr>
          <w:rFonts w:ascii="標楷體" w:eastAsia="標楷體" w:hAnsi="標楷體"/>
          <w:color w:val="000000"/>
        </w:rPr>
        <w:t xml:space="preserve"> 5 mg、</w:t>
      </w:r>
      <w:proofErr w:type="spellStart"/>
      <w:r>
        <w:rPr>
          <w:rFonts w:ascii="標楷體" w:eastAsia="標楷體" w:hAnsi="標楷體"/>
          <w:color w:val="000000"/>
        </w:rPr>
        <w:t>ramosetron</w:t>
      </w:r>
      <w:proofErr w:type="spellEnd"/>
      <w:r>
        <w:rPr>
          <w:rFonts w:ascii="標楷體" w:eastAsia="標楷體" w:hAnsi="標楷體"/>
          <w:color w:val="000000"/>
        </w:rPr>
        <w:t xml:space="preserve"> 0.3 mg一日劑量。必要時其使用以不得超過五日為原則。若發生嚴重延遲性嘔吐，得直接使用，每療程使用不得超過五日為原則。</w:t>
      </w:r>
    </w:p>
    <w:p w14:paraId="2221F225"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(2)前述患者處方中</w:t>
      </w:r>
      <w:proofErr w:type="gramStart"/>
      <w:r>
        <w:rPr>
          <w:rFonts w:ascii="標楷體" w:eastAsia="標楷體" w:hAnsi="標楷體"/>
          <w:color w:val="000000"/>
        </w:rPr>
        <w:t>致吐性</w:t>
      </w:r>
      <w:proofErr w:type="gramEnd"/>
      <w:r>
        <w:rPr>
          <w:rFonts w:ascii="標楷體" w:eastAsia="標楷體" w:hAnsi="標楷體"/>
          <w:color w:val="000000"/>
        </w:rPr>
        <w:t>藥品，可預防性使用ondansetron 8~32 mg、</w:t>
      </w:r>
      <w:proofErr w:type="spellStart"/>
      <w:r>
        <w:rPr>
          <w:rFonts w:ascii="標楷體" w:eastAsia="標楷體" w:hAnsi="標楷體"/>
          <w:color w:val="000000"/>
        </w:rPr>
        <w:t>granisetron</w:t>
      </w:r>
      <w:proofErr w:type="spellEnd"/>
      <w:r>
        <w:rPr>
          <w:rFonts w:ascii="標楷體" w:eastAsia="標楷體" w:hAnsi="標楷體"/>
          <w:color w:val="000000"/>
        </w:rPr>
        <w:t xml:space="preserve"> 1~3 mg、</w:t>
      </w:r>
      <w:proofErr w:type="spellStart"/>
      <w:r>
        <w:rPr>
          <w:rFonts w:ascii="標楷體" w:eastAsia="標楷體" w:hAnsi="標楷體"/>
          <w:color w:val="000000"/>
        </w:rPr>
        <w:t>tropisetron</w:t>
      </w:r>
      <w:proofErr w:type="spellEnd"/>
      <w:r>
        <w:rPr>
          <w:rFonts w:ascii="標楷體" w:eastAsia="標楷體" w:hAnsi="標楷體"/>
          <w:color w:val="000000"/>
        </w:rPr>
        <w:t xml:space="preserve"> 5 mg、</w:t>
      </w:r>
      <w:proofErr w:type="spellStart"/>
      <w:r>
        <w:rPr>
          <w:rFonts w:ascii="標楷體" w:eastAsia="標楷體" w:hAnsi="標楷體"/>
          <w:color w:val="000000"/>
        </w:rPr>
        <w:t>ramosetron</w:t>
      </w:r>
      <w:proofErr w:type="spellEnd"/>
      <w:r>
        <w:rPr>
          <w:rFonts w:ascii="標楷體" w:eastAsia="標楷體" w:hAnsi="標楷體"/>
          <w:color w:val="000000"/>
        </w:rPr>
        <w:t xml:space="preserve"> 0.3 mg一日劑量。若發生嚴重延遲性嘔吐，使用dexamethasone 及 metoclopramide 無效之病例，每療程使用以不得超過五日為原則。病歷需有使用dexamethasone及 metoclopramide 無效之記錄。</w:t>
      </w:r>
    </w:p>
    <w:p w14:paraId="0B53361C"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(3)血液腫瘤病患接受化學治療，需使用中、高</w:t>
      </w:r>
      <w:proofErr w:type="gramStart"/>
      <w:r>
        <w:rPr>
          <w:rFonts w:ascii="標楷體" w:eastAsia="標楷體" w:hAnsi="標楷體"/>
          <w:color w:val="000000"/>
        </w:rPr>
        <w:t>致吐性</w:t>
      </w:r>
      <w:proofErr w:type="gramEnd"/>
      <w:r>
        <w:rPr>
          <w:rFonts w:ascii="標楷體" w:eastAsia="標楷體" w:hAnsi="標楷體"/>
          <w:color w:val="000000"/>
        </w:rPr>
        <w:t>抗癌藥品時，得依患者接受抗癌藥品實際使用天數使用</w:t>
      </w:r>
      <w:proofErr w:type="gramStart"/>
      <w:r>
        <w:rPr>
          <w:rFonts w:ascii="標楷體" w:eastAsia="標楷體" w:hAnsi="標楷體"/>
          <w:color w:val="000000"/>
        </w:rPr>
        <w:t>本類製</w:t>
      </w:r>
      <w:proofErr w:type="gramEnd"/>
      <w:r>
        <w:rPr>
          <w:rFonts w:ascii="標楷體" w:eastAsia="標楷體" w:hAnsi="標楷體"/>
          <w:color w:val="000000"/>
        </w:rPr>
        <w:t>劑。(93/9/1)</w:t>
      </w:r>
    </w:p>
    <w:p w14:paraId="124F7A49"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(4)Palonosetron限於中、</w:t>
      </w:r>
      <w:proofErr w:type="gramStart"/>
      <w:r>
        <w:rPr>
          <w:rFonts w:ascii="標楷體" w:eastAsia="標楷體" w:hAnsi="標楷體"/>
          <w:color w:val="000000"/>
        </w:rPr>
        <w:t>高致吐化學治療</w:t>
      </w:r>
      <w:proofErr w:type="gramEnd"/>
      <w:r>
        <w:rPr>
          <w:rFonts w:ascii="標楷體" w:eastAsia="標楷體" w:hAnsi="標楷體"/>
          <w:color w:val="000000"/>
        </w:rPr>
        <w:t>之前使用。(99/5/1)</w:t>
      </w:r>
    </w:p>
    <w:p w14:paraId="0E12F925"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3.接受腹部放射照射之癌症病人，得依下列規範使用ondansetron、</w:t>
      </w:r>
      <w:proofErr w:type="spellStart"/>
      <w:r>
        <w:rPr>
          <w:rFonts w:ascii="標楷體" w:eastAsia="標楷體" w:hAnsi="標楷體"/>
          <w:color w:val="000000"/>
        </w:rPr>
        <w:t>granisetron</w:t>
      </w:r>
      <w:proofErr w:type="spellEnd"/>
      <w:r>
        <w:rPr>
          <w:rFonts w:ascii="標楷體" w:eastAsia="標楷體" w:hAnsi="標楷體"/>
          <w:color w:val="000000"/>
        </w:rPr>
        <w:t>等藥品：(93/9/1)</w:t>
      </w:r>
    </w:p>
    <w:p w14:paraId="08ECC3E1"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1)Total</w:t>
      </w:r>
      <w:proofErr w:type="gramEnd"/>
      <w:r>
        <w:rPr>
          <w:rFonts w:ascii="標楷體" w:eastAsia="標楷體" w:hAnsi="標楷體"/>
          <w:color w:val="000000"/>
        </w:rPr>
        <w:t xml:space="preserve"> body or half body irradiation</w:t>
      </w:r>
    </w:p>
    <w:p w14:paraId="7E23547E"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2)Pelvis</w:t>
      </w:r>
      <w:proofErr w:type="gramEnd"/>
      <w:r>
        <w:rPr>
          <w:rFonts w:ascii="標楷體" w:eastAsia="標楷體" w:hAnsi="標楷體"/>
          <w:color w:val="000000"/>
        </w:rPr>
        <w:t xml:space="preserve"> or upper abdominal region of single irradiation dose&gt; 6 </w:t>
      </w:r>
      <w:proofErr w:type="spellStart"/>
      <w:r>
        <w:rPr>
          <w:rFonts w:ascii="標楷體" w:eastAsia="標楷體" w:hAnsi="標楷體"/>
          <w:color w:val="000000"/>
        </w:rPr>
        <w:t>Gy</w:t>
      </w:r>
      <w:proofErr w:type="spellEnd"/>
    </w:p>
    <w:p w14:paraId="2C6D6A19"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(3)腹部放射治療中產生嘔吐，經使用dexamethasone、metoclopramide或prochlorperazine等傳統</w:t>
      </w:r>
      <w:proofErr w:type="gramStart"/>
      <w:r>
        <w:rPr>
          <w:rFonts w:ascii="標楷體" w:eastAsia="標楷體" w:hAnsi="標楷體"/>
          <w:color w:val="000000"/>
        </w:rPr>
        <w:t>止吐劑無效</w:t>
      </w:r>
      <w:proofErr w:type="gramEnd"/>
      <w:r>
        <w:rPr>
          <w:rFonts w:ascii="標楷體" w:eastAsia="標楷體" w:hAnsi="標楷體"/>
          <w:color w:val="000000"/>
        </w:rPr>
        <w:t>，仍發生嚴重嘔吐之患者。</w:t>
      </w:r>
    </w:p>
    <w:p w14:paraId="7C8C1287" w14:textId="77777777" w:rsidR="00401786" w:rsidRDefault="00C64FB3" w:rsidP="0009639E">
      <w:pPr>
        <w:snapToGrid w:val="0"/>
        <w:spacing w:line="300" w:lineRule="exact"/>
        <w:ind w:left="847" w:hanging="281"/>
        <w:rPr>
          <w:rFonts w:ascii="標楷體" w:eastAsia="標楷體" w:hAnsi="標楷體"/>
          <w:color w:val="000000"/>
        </w:rPr>
      </w:pPr>
      <w:r>
        <w:rPr>
          <w:rFonts w:ascii="標楷體" w:eastAsia="標楷體" w:hAnsi="標楷體"/>
          <w:color w:val="000000"/>
        </w:rPr>
        <w:t>4.穿</w:t>
      </w:r>
      <w:proofErr w:type="gramStart"/>
      <w:r>
        <w:rPr>
          <w:rFonts w:ascii="標楷體" w:eastAsia="標楷體" w:hAnsi="標楷體"/>
          <w:color w:val="000000"/>
        </w:rPr>
        <w:t>皮貼片劑限</w:t>
      </w:r>
      <w:proofErr w:type="gramEnd"/>
      <w:r>
        <w:rPr>
          <w:rFonts w:ascii="標楷體" w:eastAsia="標楷體" w:hAnsi="標楷體"/>
          <w:color w:val="000000"/>
        </w:rPr>
        <w:t>用於無法口服之病患。(102/9/1)</w:t>
      </w:r>
    </w:p>
    <w:p w14:paraId="24AFAFE5"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7.2.2. Neurokinin-1 receptor antagonist （如aprepitant、</w:t>
      </w:r>
      <w:proofErr w:type="spellStart"/>
      <w:r>
        <w:rPr>
          <w:rFonts w:ascii="標楷體" w:eastAsia="標楷體" w:hAnsi="標楷體"/>
          <w:color w:val="000000"/>
        </w:rPr>
        <w:t>fosaprepitant</w:t>
      </w:r>
      <w:proofErr w:type="spellEnd"/>
      <w:r>
        <w:rPr>
          <w:rFonts w:ascii="標楷體" w:eastAsia="標楷體" w:hAnsi="標楷體"/>
          <w:color w:val="000000"/>
        </w:rPr>
        <w:t>）(94/10/1、101/02/1、101/4/1、101/12/1、102/8/1)</w:t>
      </w:r>
    </w:p>
    <w:p w14:paraId="02FB9892"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1.與其他止吐藥劑</w:t>
      </w:r>
      <w:proofErr w:type="gramStart"/>
      <w:r>
        <w:rPr>
          <w:rFonts w:ascii="標楷體" w:eastAsia="標楷體" w:hAnsi="標楷體"/>
          <w:color w:val="000000"/>
        </w:rPr>
        <w:t>併</w:t>
      </w:r>
      <w:proofErr w:type="gramEnd"/>
      <w:r>
        <w:rPr>
          <w:rFonts w:ascii="標楷體" w:eastAsia="標楷體" w:hAnsi="標楷體"/>
          <w:color w:val="000000"/>
        </w:rPr>
        <w:t>用，以防止由高</w:t>
      </w:r>
      <w:proofErr w:type="gramStart"/>
      <w:r>
        <w:rPr>
          <w:rFonts w:ascii="標楷體" w:eastAsia="標楷體" w:hAnsi="標楷體"/>
          <w:color w:val="000000"/>
        </w:rPr>
        <w:t>致吐性</w:t>
      </w:r>
      <w:proofErr w:type="gramEnd"/>
      <w:r>
        <w:rPr>
          <w:rFonts w:ascii="標楷體" w:eastAsia="標楷體" w:hAnsi="標楷體"/>
          <w:color w:val="000000"/>
        </w:rPr>
        <w:t>癌症化療藥物在初次或重覆使用時所引起的急性或延遲性噁心與嘔吐。(101/2/1)</w:t>
      </w:r>
    </w:p>
    <w:p w14:paraId="0918CB3F"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2.口服</w:t>
      </w:r>
      <w:proofErr w:type="gramStart"/>
      <w:r>
        <w:rPr>
          <w:rFonts w:ascii="標楷體" w:eastAsia="標楷體" w:hAnsi="標楷體"/>
          <w:color w:val="000000"/>
        </w:rPr>
        <w:t>製劑限用</w:t>
      </w:r>
      <w:proofErr w:type="gramEnd"/>
      <w:r>
        <w:rPr>
          <w:rFonts w:ascii="標楷體" w:eastAsia="標楷體" w:hAnsi="標楷體"/>
          <w:color w:val="000000"/>
        </w:rPr>
        <w:t>三天，每日限用一顆。注射製劑限於</w:t>
      </w:r>
      <w:proofErr w:type="gramStart"/>
      <w:r>
        <w:rPr>
          <w:rFonts w:ascii="標楷體" w:eastAsia="標楷體" w:hAnsi="標楷體"/>
          <w:color w:val="000000"/>
        </w:rPr>
        <w:t>化療第一天</w:t>
      </w:r>
      <w:proofErr w:type="gramEnd"/>
      <w:r>
        <w:rPr>
          <w:rFonts w:ascii="標楷體" w:eastAsia="標楷體" w:hAnsi="標楷體"/>
          <w:color w:val="000000"/>
        </w:rPr>
        <w:t>使用。(101/4/1、101/12/1)</w:t>
      </w:r>
    </w:p>
    <w:p w14:paraId="1739D7D4" w14:textId="77777777" w:rsidR="00401786" w:rsidRDefault="00C64FB3" w:rsidP="0009639E">
      <w:pPr>
        <w:snapToGrid w:val="0"/>
        <w:spacing w:line="300" w:lineRule="exact"/>
        <w:ind w:left="811" w:hanging="245"/>
      </w:pPr>
      <w:r>
        <w:rPr>
          <w:rFonts w:ascii="標楷體" w:eastAsia="標楷體" w:hAnsi="標楷體"/>
          <w:bCs/>
          <w:color w:val="000000"/>
        </w:rPr>
        <w:t>3.</w:t>
      </w:r>
      <w:proofErr w:type="gramStart"/>
      <w:r>
        <w:rPr>
          <w:rFonts w:ascii="標楷體" w:eastAsia="標楷體" w:hAnsi="標楷體"/>
          <w:bCs/>
          <w:color w:val="000000"/>
        </w:rPr>
        <w:t>本品除</w:t>
      </w:r>
      <w:proofErr w:type="gramEnd"/>
      <w:r>
        <w:rPr>
          <w:rFonts w:ascii="標楷體" w:eastAsia="標楷體" w:hAnsi="標楷體"/>
          <w:bCs/>
          <w:color w:val="000000"/>
        </w:rPr>
        <w:t>第一天外，不得</w:t>
      </w:r>
      <w:proofErr w:type="gramStart"/>
      <w:r>
        <w:rPr>
          <w:rFonts w:ascii="標楷體" w:eastAsia="標楷體" w:hAnsi="標楷體"/>
          <w:bCs/>
          <w:color w:val="000000"/>
        </w:rPr>
        <w:t>併</w:t>
      </w:r>
      <w:proofErr w:type="gramEnd"/>
      <w:r>
        <w:rPr>
          <w:rFonts w:ascii="標楷體" w:eastAsia="標楷體" w:hAnsi="標楷體"/>
          <w:bCs/>
          <w:color w:val="000000"/>
        </w:rPr>
        <w:t>用5-HT</w:t>
      </w:r>
      <w:r>
        <w:rPr>
          <w:rFonts w:ascii="標楷體" w:eastAsia="標楷體" w:hAnsi="標楷體"/>
          <w:bCs/>
          <w:color w:val="000000"/>
          <w:vertAlign w:val="subscript"/>
        </w:rPr>
        <w:t>3</w:t>
      </w:r>
      <w:r>
        <w:rPr>
          <w:rFonts w:ascii="標楷體" w:eastAsia="標楷體" w:hAnsi="標楷體"/>
          <w:bCs/>
          <w:color w:val="000000"/>
        </w:rPr>
        <w:t>之藥物。(101/4/1)</w:t>
      </w:r>
    </w:p>
    <w:p w14:paraId="2119A35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若於化療</w:t>
      </w:r>
      <w:proofErr w:type="gramEnd"/>
      <w:r>
        <w:rPr>
          <w:rFonts w:ascii="標楷體" w:eastAsia="標楷體" w:hAnsi="標楷體"/>
          <w:color w:val="000000"/>
        </w:rPr>
        <w:t>第四天（含）後仍有Grade 2 以上之嘔吐，則於第四天及第五天可依照7.2.1.規範給予serotonin antagonist。(102/8/1)</w:t>
      </w:r>
    </w:p>
    <w:p w14:paraId="6F9D230D" w14:textId="77777777" w:rsidR="007436A2" w:rsidRPr="002A0CAC" w:rsidRDefault="007436A2" w:rsidP="007436A2">
      <w:pPr>
        <w:spacing w:line="300" w:lineRule="exact"/>
        <w:ind w:left="672" w:hanging="386"/>
        <w:rPr>
          <w:rFonts w:ascii="標楷體" w:eastAsia="標楷體" w:hAnsi="標楷體"/>
          <w:color w:val="000000"/>
        </w:rPr>
      </w:pPr>
      <w:r>
        <w:rPr>
          <w:rFonts w:ascii="標楷體" w:eastAsia="標楷體" w:hAnsi="標楷體"/>
          <w:color w:val="000000"/>
        </w:rPr>
        <w:t>7.2.3.</w:t>
      </w:r>
      <w:r w:rsidRPr="002A0CAC">
        <w:rPr>
          <w:rFonts w:ascii="標楷體" w:eastAsia="標楷體" w:hAnsi="標楷體"/>
          <w:color w:val="000000"/>
        </w:rPr>
        <w:t>含palonosetron及</w:t>
      </w:r>
      <w:proofErr w:type="spellStart"/>
      <w:r w:rsidRPr="002A0CAC">
        <w:rPr>
          <w:rFonts w:ascii="標楷體" w:eastAsia="標楷體" w:hAnsi="標楷體"/>
          <w:color w:val="000000"/>
        </w:rPr>
        <w:t>netupitant</w:t>
      </w:r>
      <w:proofErr w:type="spellEnd"/>
      <w:r w:rsidRPr="002A0CAC">
        <w:rPr>
          <w:rFonts w:ascii="標楷體" w:eastAsia="標楷體" w:hAnsi="標楷體"/>
          <w:color w:val="000000"/>
        </w:rPr>
        <w:t>之複方製劑(如</w:t>
      </w:r>
      <w:proofErr w:type="spellStart"/>
      <w:r w:rsidRPr="002A0CAC">
        <w:rPr>
          <w:rFonts w:ascii="標楷體" w:eastAsia="標楷體" w:hAnsi="標楷體"/>
          <w:color w:val="000000"/>
        </w:rPr>
        <w:t>Akynzeo</w:t>
      </w:r>
      <w:proofErr w:type="spellEnd"/>
      <w:r w:rsidRPr="002A0CAC">
        <w:rPr>
          <w:rFonts w:ascii="標楷體" w:eastAsia="標楷體" w:hAnsi="標楷體"/>
          <w:color w:val="000000"/>
        </w:rPr>
        <w:t>)(108/1/1、114/8/1)</w:t>
      </w:r>
    </w:p>
    <w:p w14:paraId="7A56A05E" w14:textId="77777777" w:rsidR="007436A2" w:rsidRPr="002A0CAC" w:rsidRDefault="007436A2" w:rsidP="007436A2">
      <w:pPr>
        <w:spacing w:line="300" w:lineRule="exact"/>
        <w:ind w:left="993" w:hanging="386"/>
        <w:rPr>
          <w:rFonts w:ascii="標楷體" w:eastAsia="標楷體" w:hAnsi="標楷體"/>
          <w:color w:val="000000"/>
        </w:rPr>
      </w:pPr>
      <w:r w:rsidRPr="002A0CAC">
        <w:rPr>
          <w:rFonts w:ascii="標楷體" w:eastAsia="標楷體" w:hAnsi="標楷體"/>
          <w:color w:val="000000"/>
        </w:rPr>
        <w:t>1.限用於</w:t>
      </w:r>
    </w:p>
    <w:p w14:paraId="68533B4B" w14:textId="77777777" w:rsidR="007436A2" w:rsidRPr="002A0CAC" w:rsidRDefault="007436A2" w:rsidP="007436A2">
      <w:pPr>
        <w:spacing w:line="300" w:lineRule="exact"/>
        <w:ind w:left="1134" w:hanging="386"/>
        <w:rPr>
          <w:rFonts w:ascii="標楷體" w:eastAsia="標楷體" w:hAnsi="標楷體"/>
          <w:color w:val="000000"/>
        </w:rPr>
      </w:pPr>
      <w:r w:rsidRPr="002A0CAC">
        <w:rPr>
          <w:rFonts w:ascii="標楷體" w:eastAsia="標楷體" w:hAnsi="標楷體"/>
          <w:color w:val="000000"/>
        </w:rPr>
        <w:t>(1)防止由高</w:t>
      </w:r>
      <w:proofErr w:type="gramStart"/>
      <w:r w:rsidRPr="002A0CAC">
        <w:rPr>
          <w:rFonts w:ascii="標楷體" w:eastAsia="標楷體" w:hAnsi="標楷體"/>
          <w:color w:val="000000"/>
        </w:rPr>
        <w:t>致吐性</w:t>
      </w:r>
      <w:proofErr w:type="gramEnd"/>
      <w:r w:rsidRPr="002A0CAC">
        <w:rPr>
          <w:rFonts w:ascii="標楷體" w:eastAsia="標楷體" w:hAnsi="標楷體"/>
          <w:color w:val="000000"/>
        </w:rPr>
        <w:t>癌症化療藥物在初次或重覆使用時所引起的急性或延遲性噁心與嘔吐。</w:t>
      </w:r>
    </w:p>
    <w:p w14:paraId="5C16A3E8" w14:textId="77777777" w:rsidR="007436A2" w:rsidRPr="002A0CAC" w:rsidRDefault="007436A2" w:rsidP="007436A2">
      <w:pPr>
        <w:spacing w:line="300" w:lineRule="exact"/>
        <w:ind w:left="1134" w:hanging="386"/>
        <w:rPr>
          <w:rFonts w:ascii="標楷體" w:eastAsia="標楷體" w:hAnsi="標楷體"/>
          <w:color w:val="000000"/>
        </w:rPr>
      </w:pPr>
      <w:r w:rsidRPr="002A0CAC">
        <w:rPr>
          <w:rFonts w:ascii="標楷體" w:eastAsia="標楷體" w:hAnsi="標楷體"/>
          <w:color w:val="000000"/>
        </w:rPr>
        <w:t>(2)初次使用中</w:t>
      </w:r>
      <w:proofErr w:type="gramStart"/>
      <w:r w:rsidRPr="002A0CAC">
        <w:rPr>
          <w:rFonts w:ascii="標楷體" w:eastAsia="標楷體" w:hAnsi="標楷體"/>
          <w:color w:val="000000"/>
        </w:rPr>
        <w:t>致吐性</w:t>
      </w:r>
      <w:proofErr w:type="gramEnd"/>
      <w:r w:rsidRPr="002A0CAC">
        <w:rPr>
          <w:rFonts w:ascii="標楷體" w:eastAsia="標楷體" w:hAnsi="標楷體"/>
          <w:color w:val="000000"/>
        </w:rPr>
        <w:t>癌症化療藥物時</w:t>
      </w:r>
      <w:proofErr w:type="gramStart"/>
      <w:r w:rsidRPr="002A0CAC">
        <w:rPr>
          <w:rFonts w:ascii="標楷體" w:eastAsia="標楷體" w:hAnsi="標楷體"/>
          <w:color w:val="000000"/>
        </w:rPr>
        <w:t>併</w:t>
      </w:r>
      <w:proofErr w:type="gramEnd"/>
      <w:r w:rsidRPr="002A0CAC">
        <w:rPr>
          <w:rFonts w:ascii="標楷體" w:eastAsia="標楷體" w:hAnsi="標楷體"/>
          <w:color w:val="000000"/>
        </w:rPr>
        <w:t>用含serotonin antagonist止吐處方，仍發生急性或延遲性噁心與嘔吐之病人，並限於後續重覆</w:t>
      </w:r>
      <w:proofErr w:type="gramStart"/>
      <w:r w:rsidRPr="002A0CAC">
        <w:rPr>
          <w:rFonts w:ascii="標楷體" w:eastAsia="標楷體" w:hAnsi="標楷體"/>
          <w:color w:val="000000"/>
        </w:rPr>
        <w:t>使用原化療</w:t>
      </w:r>
      <w:proofErr w:type="gramEnd"/>
      <w:r w:rsidRPr="002A0CAC">
        <w:rPr>
          <w:rFonts w:ascii="標楷體" w:eastAsia="標楷體" w:hAnsi="標楷體"/>
          <w:color w:val="000000"/>
        </w:rPr>
        <w:t>藥物處方之療程預防性使用。(114/8/1)</w:t>
      </w:r>
    </w:p>
    <w:p w14:paraId="6B9AD831" w14:textId="77777777" w:rsidR="007436A2" w:rsidRPr="002A0CAC" w:rsidRDefault="007436A2" w:rsidP="007436A2">
      <w:pPr>
        <w:spacing w:line="300" w:lineRule="exact"/>
        <w:ind w:left="672" w:firstLine="37"/>
        <w:rPr>
          <w:rFonts w:ascii="標楷體" w:eastAsia="標楷體" w:hAnsi="標楷體"/>
          <w:color w:val="000000"/>
        </w:rPr>
      </w:pPr>
      <w:r w:rsidRPr="002A0CAC">
        <w:rPr>
          <w:rFonts w:ascii="標楷體" w:eastAsia="標楷體" w:hAnsi="標楷體"/>
          <w:color w:val="000000"/>
        </w:rPr>
        <w:t>2.每次</w:t>
      </w:r>
      <w:proofErr w:type="gramStart"/>
      <w:r w:rsidRPr="002A0CAC">
        <w:rPr>
          <w:rFonts w:ascii="標楷體" w:eastAsia="標楷體" w:hAnsi="標楷體"/>
          <w:color w:val="000000"/>
        </w:rPr>
        <w:t>化療限使用</w:t>
      </w:r>
      <w:proofErr w:type="gramEnd"/>
      <w:r w:rsidRPr="002A0CAC">
        <w:rPr>
          <w:rFonts w:ascii="標楷體" w:eastAsia="標楷體" w:hAnsi="標楷體"/>
          <w:color w:val="000000"/>
        </w:rPr>
        <w:t>1粒。</w:t>
      </w:r>
    </w:p>
    <w:p w14:paraId="2E64B2A2" w14:textId="77777777" w:rsidR="00401786" w:rsidRDefault="007436A2" w:rsidP="007436A2">
      <w:pPr>
        <w:spacing w:line="300" w:lineRule="exact"/>
        <w:ind w:left="993" w:hanging="284"/>
      </w:pPr>
      <w:r w:rsidRPr="002A0CAC">
        <w:rPr>
          <w:rFonts w:ascii="標楷體" w:eastAsia="標楷體" w:hAnsi="標楷體"/>
          <w:color w:val="000000"/>
        </w:rPr>
        <w:t>3.自使用本案藥品之日起3天內不得</w:t>
      </w:r>
      <w:proofErr w:type="gramStart"/>
      <w:r w:rsidRPr="002A0CAC">
        <w:rPr>
          <w:rFonts w:ascii="標楷體" w:eastAsia="標楷體" w:hAnsi="標楷體"/>
          <w:color w:val="000000"/>
        </w:rPr>
        <w:t>併</w:t>
      </w:r>
      <w:proofErr w:type="gramEnd"/>
      <w:r w:rsidRPr="002A0CAC">
        <w:rPr>
          <w:rFonts w:ascii="標楷體" w:eastAsia="標楷體" w:hAnsi="標楷體"/>
          <w:color w:val="000000"/>
        </w:rPr>
        <w:t>用其他serotonin antagonist或neurokinin-1 receptor antagonist</w:t>
      </w:r>
      <w:proofErr w:type="gramStart"/>
      <w:r w:rsidRPr="002A0CAC">
        <w:rPr>
          <w:rFonts w:ascii="標楷體" w:eastAsia="標楷體" w:hAnsi="標楷體"/>
          <w:color w:val="000000"/>
        </w:rPr>
        <w:t>止吐劑</w:t>
      </w:r>
      <w:proofErr w:type="gramEnd"/>
      <w:r w:rsidRPr="002A0CAC">
        <w:rPr>
          <w:rFonts w:ascii="標楷體" w:eastAsia="標楷體" w:hAnsi="標楷體"/>
          <w:color w:val="000000"/>
        </w:rPr>
        <w:t>。</w:t>
      </w:r>
    </w:p>
    <w:p w14:paraId="6825BACE"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7.3.其他  Miscellaneous</w:t>
      </w:r>
    </w:p>
    <w:p w14:paraId="0A7C5565"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7.3.1.Mesalazine（如</w:t>
      </w:r>
      <w:proofErr w:type="spellStart"/>
      <w:r>
        <w:rPr>
          <w:rFonts w:ascii="標楷體" w:eastAsia="標楷體" w:hAnsi="標楷體"/>
          <w:color w:val="000000"/>
        </w:rPr>
        <w:t>Asacol</w:t>
      </w:r>
      <w:proofErr w:type="spellEnd"/>
      <w:r>
        <w:rPr>
          <w:rFonts w:ascii="標楷體" w:eastAsia="標楷體" w:hAnsi="標楷體"/>
          <w:color w:val="000000"/>
        </w:rPr>
        <w:t>）、</w:t>
      </w:r>
      <w:proofErr w:type="spellStart"/>
      <w:r>
        <w:rPr>
          <w:rFonts w:ascii="標楷體" w:eastAsia="標楷體" w:hAnsi="標楷體"/>
          <w:color w:val="000000"/>
        </w:rPr>
        <w:t>balsalazide</w:t>
      </w:r>
      <w:proofErr w:type="spellEnd"/>
      <w:r>
        <w:rPr>
          <w:rFonts w:ascii="標楷體" w:eastAsia="標楷體" w:hAnsi="標楷體"/>
          <w:color w:val="000000"/>
        </w:rPr>
        <w:t xml:space="preserve"> (如</w:t>
      </w:r>
      <w:proofErr w:type="spellStart"/>
      <w:r>
        <w:rPr>
          <w:rFonts w:ascii="標楷體" w:eastAsia="標楷體" w:hAnsi="標楷體"/>
          <w:color w:val="000000"/>
        </w:rPr>
        <w:t>Basazyde</w:t>
      </w:r>
      <w:proofErr w:type="spellEnd"/>
      <w:r>
        <w:rPr>
          <w:rFonts w:ascii="標楷體" w:eastAsia="標楷體" w:hAnsi="標楷體"/>
          <w:color w:val="000000"/>
        </w:rPr>
        <w:t>)(94/5/1)：</w:t>
      </w:r>
    </w:p>
    <w:p w14:paraId="5EE4AE06" w14:textId="77777777" w:rsidR="00CC252C"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限潰瘍性結腸炎、</w:t>
      </w:r>
      <w:proofErr w:type="gramStart"/>
      <w:r>
        <w:rPr>
          <w:rFonts w:ascii="標楷體" w:eastAsia="標楷體" w:hAnsi="標楷體"/>
          <w:color w:val="000000"/>
        </w:rPr>
        <w:t>庫隆氏症</w:t>
      </w:r>
      <w:proofErr w:type="gramEnd"/>
      <w:r>
        <w:rPr>
          <w:rFonts w:ascii="標楷體" w:eastAsia="標楷體" w:hAnsi="標楷體"/>
          <w:color w:val="000000"/>
        </w:rPr>
        <w:t>病例使用。</w:t>
      </w:r>
      <w:r w:rsidR="00CC252C">
        <w:rPr>
          <w:rFonts w:ascii="標楷體" w:eastAsia="標楷體" w:hAnsi="標楷體"/>
          <w:color w:val="000000"/>
        </w:rPr>
        <w:br w:type="page"/>
      </w:r>
    </w:p>
    <w:p w14:paraId="05F50E13" w14:textId="77777777" w:rsidR="00401786" w:rsidRDefault="00401786" w:rsidP="0009639E">
      <w:pPr>
        <w:snapToGrid w:val="0"/>
        <w:spacing w:line="300" w:lineRule="exact"/>
        <w:ind w:left="798" w:hanging="1"/>
        <w:rPr>
          <w:rFonts w:ascii="標楷體" w:eastAsia="標楷體" w:hAnsi="標楷體"/>
          <w:color w:val="000000"/>
        </w:rPr>
      </w:pPr>
    </w:p>
    <w:p w14:paraId="2529A5FA"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7.3.2.益生菌類藥物Antidiarrheal microorganisms：</w:t>
      </w:r>
    </w:p>
    <w:p w14:paraId="49D12EB4"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限用於接受放射治療、化學療法患者，治療期間造成的腹瀉。（97/8/1）</w:t>
      </w:r>
    </w:p>
    <w:p w14:paraId="78F982C8"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7.3.3. </w:t>
      </w:r>
      <w:proofErr w:type="spellStart"/>
      <w:r>
        <w:rPr>
          <w:rFonts w:ascii="標楷體" w:eastAsia="標楷體" w:hAnsi="標楷體"/>
          <w:color w:val="000000"/>
        </w:rPr>
        <w:t>Racecadotril</w:t>
      </w:r>
      <w:proofErr w:type="spellEnd"/>
      <w:r>
        <w:rPr>
          <w:rFonts w:ascii="標楷體" w:eastAsia="標楷體" w:hAnsi="標楷體"/>
          <w:color w:val="000000"/>
        </w:rPr>
        <w:t xml:space="preserve"> (如</w:t>
      </w:r>
      <w:proofErr w:type="spellStart"/>
      <w:r>
        <w:rPr>
          <w:rFonts w:ascii="標楷體" w:eastAsia="標楷體" w:hAnsi="標楷體"/>
          <w:color w:val="000000"/>
        </w:rPr>
        <w:t>Hidrasec</w:t>
      </w:r>
      <w:proofErr w:type="spellEnd"/>
      <w:r>
        <w:rPr>
          <w:rFonts w:ascii="標楷體" w:eastAsia="標楷體" w:hAnsi="標楷體"/>
          <w:color w:val="000000"/>
        </w:rPr>
        <w:t>)(106/3/1)</w:t>
      </w:r>
    </w:p>
    <w:p w14:paraId="171B393B" w14:textId="77777777" w:rsidR="00401786" w:rsidRDefault="00C64FB3" w:rsidP="0009639E">
      <w:pPr>
        <w:snapToGrid w:val="0"/>
        <w:spacing w:line="300" w:lineRule="exact"/>
        <w:ind w:left="797"/>
        <w:rPr>
          <w:rFonts w:ascii="標楷體" w:eastAsia="標楷體" w:hAnsi="標楷體"/>
          <w:color w:val="000000"/>
        </w:rPr>
      </w:pPr>
      <w:r>
        <w:rPr>
          <w:rFonts w:ascii="標楷體" w:eastAsia="標楷體" w:hAnsi="標楷體"/>
          <w:color w:val="000000"/>
        </w:rPr>
        <w:t>每療程使用不得超過5 天。</w:t>
      </w:r>
    </w:p>
    <w:p w14:paraId="0A6F489B"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7.3.4. Cholic acid（如</w:t>
      </w:r>
      <w:proofErr w:type="spellStart"/>
      <w:r>
        <w:rPr>
          <w:rFonts w:ascii="標楷體" w:eastAsia="標楷體" w:hAnsi="標楷體"/>
          <w:color w:val="000000"/>
        </w:rPr>
        <w:t>Cholbam</w:t>
      </w:r>
      <w:proofErr w:type="spellEnd"/>
      <w:r>
        <w:rPr>
          <w:rFonts w:ascii="標楷體" w:eastAsia="標楷體" w:hAnsi="標楷體"/>
          <w:color w:val="000000"/>
        </w:rPr>
        <w:t>）（108/7/1）：</w:t>
      </w:r>
    </w:p>
    <w:p w14:paraId="6A411050"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限E7870</w:t>
      </w:r>
      <w:proofErr w:type="gramStart"/>
      <w:r>
        <w:rPr>
          <w:rFonts w:ascii="標楷體" w:eastAsia="標楷體" w:hAnsi="標楷體"/>
          <w:color w:val="000000"/>
        </w:rPr>
        <w:t>先天性膽</w:t>
      </w:r>
      <w:proofErr w:type="gramEnd"/>
      <w:r>
        <w:rPr>
          <w:rFonts w:ascii="標楷體" w:eastAsia="標楷體" w:hAnsi="標楷體"/>
          <w:color w:val="000000"/>
        </w:rPr>
        <w:t>酸合成障礙、E71.510 Zellweger氏症候群病患使用。</w:t>
      </w:r>
    </w:p>
    <w:p w14:paraId="5D1BBB21"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1.需符合以下診斷條件之</w:t>
      </w:r>
      <w:proofErr w:type="gramStart"/>
      <w:r>
        <w:rPr>
          <w:rFonts w:ascii="標楷體" w:eastAsia="標楷體" w:hAnsi="標楷體"/>
          <w:bCs/>
          <w:color w:val="000000"/>
        </w:rPr>
        <w:t>一</w:t>
      </w:r>
      <w:proofErr w:type="gramEnd"/>
      <w:r>
        <w:rPr>
          <w:rFonts w:ascii="標楷體" w:eastAsia="標楷體" w:hAnsi="標楷體"/>
          <w:bCs/>
          <w:color w:val="000000"/>
        </w:rPr>
        <w:t>者：</w:t>
      </w:r>
    </w:p>
    <w:p w14:paraId="0BE6DAAD" w14:textId="77777777" w:rsidR="00401786" w:rsidRDefault="00C64FB3">
      <w:pPr>
        <w:numPr>
          <w:ilvl w:val="0"/>
          <w:numId w:val="25"/>
        </w:numPr>
        <w:snapToGrid w:val="0"/>
        <w:spacing w:line="300" w:lineRule="exact"/>
        <w:ind w:left="1133" w:hanging="424"/>
        <w:rPr>
          <w:rFonts w:ascii="標楷體" w:eastAsia="標楷體" w:hAnsi="標楷體"/>
          <w:szCs w:val="28"/>
        </w:rPr>
      </w:pPr>
      <w:r>
        <w:rPr>
          <w:rFonts w:ascii="標楷體" w:eastAsia="標楷體" w:hAnsi="標楷體"/>
          <w:szCs w:val="28"/>
        </w:rPr>
        <w:t>除臨床表徵外，須佐證患者尿液</w:t>
      </w:r>
      <w:proofErr w:type="gramStart"/>
      <w:r>
        <w:rPr>
          <w:rFonts w:ascii="標楷體" w:eastAsia="標楷體" w:hAnsi="標楷體"/>
          <w:szCs w:val="28"/>
        </w:rPr>
        <w:t>膽酸質譜</w:t>
      </w:r>
      <w:proofErr w:type="gramEnd"/>
      <w:r>
        <w:rPr>
          <w:rFonts w:ascii="標楷體" w:eastAsia="標楷體" w:hAnsi="標楷體"/>
          <w:szCs w:val="28"/>
        </w:rPr>
        <w:t>分析顯示尿液膽汁酸異常，或證明患者基因經分子生物學檢驗確認有一處已知或必然會引起單一酵素缺乏造成</w:t>
      </w:r>
      <w:proofErr w:type="gramStart"/>
      <w:r>
        <w:rPr>
          <w:rFonts w:ascii="標楷體" w:eastAsia="標楷體" w:hAnsi="標楷體"/>
          <w:szCs w:val="28"/>
        </w:rPr>
        <w:t>先天性膽</w:t>
      </w:r>
      <w:proofErr w:type="gramEnd"/>
      <w:r>
        <w:rPr>
          <w:rFonts w:ascii="標楷體" w:eastAsia="標楷體" w:hAnsi="標楷體"/>
          <w:szCs w:val="28"/>
        </w:rPr>
        <w:t>酸合成障礙之突變。</w:t>
      </w:r>
    </w:p>
    <w:p w14:paraId="325FD1BA" w14:textId="77777777" w:rsidR="00401786" w:rsidRDefault="00C64FB3">
      <w:pPr>
        <w:numPr>
          <w:ilvl w:val="0"/>
          <w:numId w:val="25"/>
        </w:numPr>
        <w:snapToGrid w:val="0"/>
        <w:spacing w:line="300" w:lineRule="exact"/>
        <w:ind w:left="1133" w:hanging="424"/>
        <w:rPr>
          <w:rFonts w:ascii="標楷體" w:eastAsia="標楷體" w:hAnsi="標楷體"/>
          <w:szCs w:val="28"/>
        </w:rPr>
      </w:pPr>
      <w:r>
        <w:rPr>
          <w:rFonts w:ascii="標楷體" w:eastAsia="標楷體" w:hAnsi="標楷體"/>
          <w:szCs w:val="28"/>
        </w:rPr>
        <w:t>過氧化體代謝異常（包括Zellweger spectrum disorders）病人呈現之肝病表現、脂肪</w:t>
      </w:r>
      <w:proofErr w:type="gramStart"/>
      <w:r>
        <w:rPr>
          <w:rFonts w:ascii="標楷體" w:eastAsia="標楷體" w:hAnsi="標楷體"/>
          <w:szCs w:val="28"/>
        </w:rPr>
        <w:t>瀉或脂</w:t>
      </w:r>
      <w:proofErr w:type="gramEnd"/>
      <w:r>
        <w:rPr>
          <w:rFonts w:ascii="標楷體" w:eastAsia="標楷體" w:hAnsi="標楷體"/>
          <w:szCs w:val="28"/>
        </w:rPr>
        <w:t>溶性維生素吸收降低所引起的併發症。</w:t>
      </w:r>
    </w:p>
    <w:p w14:paraId="20FD8CDC"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2.限兒科消化次專科醫師，或兒童神經科醫師，或兒科專科經醫學</w:t>
      </w:r>
      <w:proofErr w:type="gramStart"/>
      <w:r>
        <w:rPr>
          <w:rFonts w:ascii="標楷體" w:eastAsia="標楷體" w:hAnsi="標楷體"/>
          <w:bCs/>
          <w:color w:val="000000"/>
        </w:rPr>
        <w:t>遺傳學次專訓練</w:t>
      </w:r>
      <w:proofErr w:type="gramEnd"/>
      <w:r>
        <w:rPr>
          <w:rFonts w:ascii="標楷體" w:eastAsia="標楷體" w:hAnsi="標楷體"/>
          <w:bCs/>
          <w:color w:val="000000"/>
        </w:rPr>
        <w:t>取得證書之醫師使用。</w:t>
      </w:r>
    </w:p>
    <w:p w14:paraId="3A11A7EB"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3.應定期追蹤評估治療效果及下列事項：</w:t>
      </w:r>
    </w:p>
    <w:p w14:paraId="5263AD99"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 xml:space="preserve">  用藥後第一年至少每3個月監測一次血清aspartate aminotransferase (AST)，血清alanine aminotransferase (ALT)，膽紅素等之血中濃度，之後每6個月監測一次。</w:t>
      </w:r>
    </w:p>
    <w:p w14:paraId="5507AE82"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4.需經事前審查核准後使用。</w:t>
      </w:r>
    </w:p>
    <w:p w14:paraId="22BE8898"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7.3.5. Budesonide(如</w:t>
      </w:r>
      <w:proofErr w:type="spellStart"/>
      <w:r>
        <w:rPr>
          <w:rFonts w:ascii="標楷體" w:eastAsia="標楷體" w:hAnsi="標楷體"/>
          <w:color w:val="000000"/>
        </w:rPr>
        <w:t>Cortiment</w:t>
      </w:r>
      <w:proofErr w:type="spellEnd"/>
      <w:r>
        <w:rPr>
          <w:rFonts w:ascii="標楷體" w:eastAsia="標楷體" w:hAnsi="標楷體"/>
          <w:color w:val="000000"/>
        </w:rPr>
        <w:t xml:space="preserve"> MMX)(108/7/1):</w:t>
      </w:r>
    </w:p>
    <w:p w14:paraId="028B011F" w14:textId="77777777" w:rsidR="00401786" w:rsidRDefault="00C64FB3" w:rsidP="0009639E">
      <w:pPr>
        <w:snapToGrid w:val="0"/>
        <w:spacing w:line="300" w:lineRule="exact"/>
        <w:ind w:left="384" w:hanging="101"/>
        <w:rPr>
          <w:rFonts w:ascii="標楷體" w:eastAsia="標楷體" w:hAnsi="標楷體"/>
          <w:color w:val="000000"/>
        </w:rPr>
      </w:pPr>
      <w:r>
        <w:rPr>
          <w:rFonts w:ascii="標楷體" w:eastAsia="標楷體" w:hAnsi="標楷體"/>
          <w:color w:val="000000"/>
        </w:rPr>
        <w:t xml:space="preserve">  1.限符合下列各項條件之病患使用：</w:t>
      </w:r>
    </w:p>
    <w:p w14:paraId="29B6A3D5"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(1)對已接受</w:t>
      </w:r>
      <w:proofErr w:type="spellStart"/>
      <w:r>
        <w:rPr>
          <w:rFonts w:ascii="標楷體" w:eastAsia="標楷體" w:hAnsi="標楷體"/>
          <w:color w:val="000000"/>
        </w:rPr>
        <w:t>aminosalicylate</w:t>
      </w:r>
      <w:proofErr w:type="spellEnd"/>
      <w:r>
        <w:rPr>
          <w:rFonts w:ascii="標楷體" w:eastAsia="標楷體" w:hAnsi="標楷體"/>
          <w:color w:val="000000"/>
        </w:rPr>
        <w:t>類藥物治療效果不佳或</w:t>
      </w:r>
      <w:proofErr w:type="gramStart"/>
      <w:r>
        <w:rPr>
          <w:rFonts w:ascii="標楷體" w:eastAsia="標楷體" w:hAnsi="標楷體"/>
          <w:color w:val="000000"/>
        </w:rPr>
        <w:t>不</w:t>
      </w:r>
      <w:proofErr w:type="gramEnd"/>
      <w:r>
        <w:rPr>
          <w:rFonts w:ascii="標楷體" w:eastAsia="標楷體" w:hAnsi="標楷體"/>
          <w:color w:val="000000"/>
        </w:rPr>
        <w:t>能耐受之成人患者。</w:t>
      </w:r>
    </w:p>
    <w:p w14:paraId="5EB7E43E"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(2)領有潰瘍性結腸炎重大傷病卡。</w:t>
      </w:r>
    </w:p>
    <w:p w14:paraId="4FBC0267"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2.每療程限使用8</w:t>
      </w:r>
      <w:proofErr w:type="gramStart"/>
      <w:r>
        <w:rPr>
          <w:rFonts w:ascii="標楷體" w:eastAsia="標楷體" w:hAnsi="標楷體"/>
          <w:color w:val="000000"/>
        </w:rPr>
        <w:t>週</w:t>
      </w:r>
      <w:proofErr w:type="gramEnd"/>
      <w:r>
        <w:rPr>
          <w:rFonts w:ascii="標楷體" w:eastAsia="標楷體" w:hAnsi="標楷體"/>
          <w:color w:val="000000"/>
        </w:rPr>
        <w:t>，每日限使用1粒。</w:t>
      </w:r>
    </w:p>
    <w:p w14:paraId="7AB50820" w14:textId="77777777" w:rsidR="00401786" w:rsidRDefault="00C64FB3" w:rsidP="0009639E">
      <w:pPr>
        <w:spacing w:line="300" w:lineRule="exact"/>
        <w:ind w:left="782" w:hanging="499"/>
        <w:rPr>
          <w:rFonts w:ascii="標楷體" w:eastAsia="標楷體" w:hAnsi="標楷體"/>
          <w:color w:val="000000"/>
        </w:rPr>
      </w:pPr>
      <w:r>
        <w:rPr>
          <w:rFonts w:ascii="標楷體" w:eastAsia="標楷體" w:hAnsi="標楷體"/>
          <w:color w:val="000000"/>
        </w:rPr>
        <w:t>7.3.6.含</w:t>
      </w:r>
      <w:proofErr w:type="spellStart"/>
      <w:r>
        <w:rPr>
          <w:rFonts w:ascii="標楷體" w:eastAsia="標楷體" w:hAnsi="標楷體"/>
          <w:color w:val="000000"/>
        </w:rPr>
        <w:t>amylase+lipase+protease</w:t>
      </w:r>
      <w:proofErr w:type="spellEnd"/>
      <w:r>
        <w:rPr>
          <w:rFonts w:ascii="標楷體" w:eastAsia="標楷體" w:hAnsi="標楷體"/>
          <w:color w:val="000000"/>
        </w:rPr>
        <w:t>複方製劑(如</w:t>
      </w:r>
      <w:proofErr w:type="spellStart"/>
      <w:r>
        <w:rPr>
          <w:rFonts w:ascii="標楷體" w:eastAsia="標楷體" w:hAnsi="標楷體"/>
          <w:color w:val="000000"/>
        </w:rPr>
        <w:t>Protase</w:t>
      </w:r>
      <w:proofErr w:type="spellEnd"/>
      <w:r>
        <w:rPr>
          <w:rFonts w:ascii="標楷體" w:eastAsia="標楷體" w:hAnsi="標楷體"/>
          <w:color w:val="000000"/>
        </w:rPr>
        <w:t xml:space="preserve">、Creon)：(110/1/1) </w:t>
      </w:r>
    </w:p>
    <w:p w14:paraId="0E05A43F" w14:textId="77777777" w:rsidR="00401786" w:rsidRDefault="00C64FB3" w:rsidP="0009639E">
      <w:pPr>
        <w:spacing w:line="300" w:lineRule="exact"/>
        <w:ind w:left="850" w:hanging="262"/>
        <w:rPr>
          <w:rFonts w:ascii="標楷體" w:eastAsia="標楷體" w:hAnsi="標楷體"/>
          <w:color w:val="000000"/>
        </w:rPr>
      </w:pPr>
      <w:r>
        <w:rPr>
          <w:rFonts w:ascii="標楷體" w:eastAsia="標楷體" w:hAnsi="標楷體"/>
          <w:color w:val="000000"/>
        </w:rPr>
        <w:t>1.適用因疾病所導致之胰液分泌不全：</w:t>
      </w:r>
      <w:proofErr w:type="gramStart"/>
      <w:r>
        <w:rPr>
          <w:rFonts w:ascii="標楷體" w:eastAsia="標楷體" w:hAnsi="標楷體"/>
          <w:color w:val="000000"/>
        </w:rPr>
        <w:t>如囊狀性</w:t>
      </w:r>
      <w:proofErr w:type="gramEnd"/>
      <w:r>
        <w:rPr>
          <w:rFonts w:ascii="標楷體" w:eastAsia="標楷體" w:hAnsi="標楷體"/>
          <w:color w:val="000000"/>
        </w:rPr>
        <w:t>纖維化疾病、慢性胰臟炎、胰臟切除手術、胃腸繞道手術，或其他因腫瘤引發之胰管膽管阻塞之情形。</w:t>
      </w:r>
    </w:p>
    <w:p w14:paraId="097AB8AA" w14:textId="77777777" w:rsidR="00401786" w:rsidRDefault="00C64FB3" w:rsidP="0009639E">
      <w:pPr>
        <w:spacing w:line="300" w:lineRule="exact"/>
        <w:ind w:left="1077" w:hanging="499"/>
        <w:rPr>
          <w:rFonts w:ascii="標楷體" w:eastAsia="標楷體" w:hAnsi="標楷體"/>
          <w:color w:val="000000"/>
        </w:rPr>
      </w:pPr>
      <w:r>
        <w:rPr>
          <w:rFonts w:ascii="標楷體" w:eastAsia="標楷體" w:hAnsi="標楷體"/>
          <w:color w:val="000000"/>
        </w:rPr>
        <w:t>2.申報費用時應檢附病歷資料及相關檢驗（查）報告：</w:t>
      </w:r>
    </w:p>
    <w:p w14:paraId="440B18F1" w14:textId="77777777" w:rsidR="00401786" w:rsidRDefault="00C64FB3" w:rsidP="0009639E">
      <w:pPr>
        <w:spacing w:line="300" w:lineRule="exact"/>
        <w:ind w:left="1274" w:hanging="499"/>
        <w:rPr>
          <w:rFonts w:ascii="標楷體" w:eastAsia="標楷體" w:hAnsi="標楷體"/>
          <w:color w:val="000000"/>
        </w:rPr>
      </w:pPr>
      <w:r>
        <w:rPr>
          <w:rFonts w:ascii="標楷體" w:eastAsia="標楷體" w:hAnsi="標楷體"/>
          <w:color w:val="000000"/>
        </w:rPr>
        <w:t>(1)胰液分泌不全之疾病。</w:t>
      </w:r>
    </w:p>
    <w:p w14:paraId="78C89E74" w14:textId="77777777" w:rsidR="00401786" w:rsidRDefault="00C64FB3" w:rsidP="0009639E">
      <w:pPr>
        <w:spacing w:line="300" w:lineRule="exact"/>
        <w:ind w:left="1274" w:hanging="499"/>
        <w:rPr>
          <w:rFonts w:ascii="標楷體" w:eastAsia="標楷體" w:hAnsi="標楷體"/>
          <w:color w:val="000000"/>
        </w:rPr>
      </w:pPr>
      <w:r>
        <w:rPr>
          <w:rFonts w:ascii="標楷體" w:eastAsia="標楷體" w:hAnsi="標楷體"/>
          <w:color w:val="000000"/>
        </w:rPr>
        <w:t>(2)有營養不良或脂肪</w:t>
      </w:r>
      <w:proofErr w:type="gramStart"/>
      <w:r>
        <w:rPr>
          <w:rFonts w:ascii="標楷體" w:eastAsia="標楷體" w:hAnsi="標楷體"/>
          <w:color w:val="000000"/>
        </w:rPr>
        <w:t>痢</w:t>
      </w:r>
      <w:proofErr w:type="gramEnd"/>
      <w:r>
        <w:rPr>
          <w:rFonts w:ascii="標楷體" w:eastAsia="標楷體" w:hAnsi="標楷體"/>
          <w:color w:val="000000"/>
        </w:rPr>
        <w:t>便之記載。</w:t>
      </w:r>
    </w:p>
    <w:p w14:paraId="4373BE3A"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3.功能性腸胃炎不得</w:t>
      </w:r>
      <w:proofErr w:type="gramStart"/>
      <w:r>
        <w:rPr>
          <w:rFonts w:ascii="標楷體" w:eastAsia="標楷體" w:hAnsi="標楷體"/>
          <w:color w:val="000000"/>
        </w:rPr>
        <w:t>使用本類藥品</w:t>
      </w:r>
      <w:proofErr w:type="gramEnd"/>
      <w:r>
        <w:rPr>
          <w:rFonts w:ascii="標楷體" w:eastAsia="標楷體" w:hAnsi="標楷體"/>
          <w:color w:val="000000"/>
        </w:rPr>
        <w:t>。</w:t>
      </w:r>
    </w:p>
    <w:p w14:paraId="4A559B19" w14:textId="77777777" w:rsidR="00401786" w:rsidRDefault="00C64FB3" w:rsidP="0009639E">
      <w:pPr>
        <w:spacing w:line="300" w:lineRule="exact"/>
        <w:ind w:left="608" w:hanging="282"/>
        <w:rPr>
          <w:rFonts w:ascii="標楷體" w:eastAsia="標楷體" w:hAnsi="標楷體"/>
          <w:szCs w:val="24"/>
        </w:rPr>
      </w:pPr>
      <w:r>
        <w:rPr>
          <w:rFonts w:ascii="標楷體" w:eastAsia="標楷體" w:hAnsi="標楷體"/>
          <w:szCs w:val="24"/>
        </w:rPr>
        <w:t>7.3.7. Dioctahedral smectite</w:t>
      </w:r>
      <w:proofErr w:type="gramStart"/>
      <w:r>
        <w:rPr>
          <w:rFonts w:ascii="標楷體" w:eastAsia="標楷體" w:hAnsi="標楷體"/>
          <w:szCs w:val="24"/>
        </w:rPr>
        <w:t>口服懸液劑</w:t>
      </w:r>
      <w:proofErr w:type="gramEnd"/>
      <w:r>
        <w:rPr>
          <w:rFonts w:ascii="標楷體" w:eastAsia="標楷體" w:hAnsi="標楷體"/>
          <w:szCs w:val="24"/>
        </w:rPr>
        <w:t>(如Smectite oral suspension)：(113/4/1)</w:t>
      </w:r>
    </w:p>
    <w:p w14:paraId="512BFABA" w14:textId="77777777" w:rsidR="00401786" w:rsidRDefault="00C64FB3" w:rsidP="00114BA4">
      <w:pPr>
        <w:snapToGrid w:val="0"/>
        <w:spacing w:line="300" w:lineRule="exact"/>
        <w:ind w:left="709" w:hanging="142"/>
        <w:rPr>
          <w:rFonts w:ascii="標楷體" w:eastAsia="標楷體" w:hAnsi="標楷體"/>
          <w:szCs w:val="24"/>
        </w:rPr>
      </w:pPr>
      <w:r>
        <w:rPr>
          <w:rFonts w:ascii="標楷體" w:eastAsia="標楷體" w:hAnsi="標楷體"/>
          <w:szCs w:val="24"/>
        </w:rPr>
        <w:t>限用於2歲以上至未滿18歲兒童。</w:t>
      </w:r>
    </w:p>
    <w:p w14:paraId="1F3E99F3" w14:textId="77777777" w:rsidR="00114BA4" w:rsidRPr="00DF7A0F" w:rsidRDefault="00114BA4" w:rsidP="00114BA4">
      <w:pPr>
        <w:spacing w:line="300" w:lineRule="exact"/>
        <w:ind w:left="1134" w:hanging="808"/>
        <w:rPr>
          <w:rFonts w:ascii="標楷體" w:eastAsia="標楷體" w:hAnsi="標楷體"/>
          <w:szCs w:val="24"/>
        </w:rPr>
      </w:pPr>
      <w:r w:rsidRPr="00DF7A0F">
        <w:rPr>
          <w:rFonts w:ascii="標楷體" w:eastAsia="標楷體" w:hAnsi="標楷體"/>
          <w:szCs w:val="24"/>
        </w:rPr>
        <w:t>7.3.8.Teduglutide (如</w:t>
      </w:r>
      <w:proofErr w:type="spellStart"/>
      <w:r w:rsidRPr="00DF7A0F">
        <w:rPr>
          <w:rFonts w:ascii="標楷體" w:eastAsia="標楷體" w:hAnsi="標楷體"/>
          <w:szCs w:val="24"/>
        </w:rPr>
        <w:t>Revestive</w:t>
      </w:r>
      <w:proofErr w:type="spellEnd"/>
      <w:r w:rsidRPr="00DF7A0F">
        <w:rPr>
          <w:rFonts w:ascii="標楷體" w:eastAsia="標楷體" w:hAnsi="標楷體"/>
          <w:szCs w:val="24"/>
        </w:rPr>
        <w:t>)：(114/8/1)</w:t>
      </w:r>
    </w:p>
    <w:p w14:paraId="3FA4B3BA"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1.限用於1歲以上18歲以下</w:t>
      </w:r>
      <w:proofErr w:type="gramStart"/>
      <w:r w:rsidRPr="00DF7A0F">
        <w:rPr>
          <w:rFonts w:ascii="標楷體" w:eastAsia="標楷體" w:hAnsi="標楷體"/>
          <w:szCs w:val="24"/>
        </w:rPr>
        <w:t>患有短腸症</w:t>
      </w:r>
      <w:proofErr w:type="gramEnd"/>
      <w:r w:rsidRPr="00DF7A0F">
        <w:rPr>
          <w:rFonts w:ascii="標楷體" w:eastAsia="標楷體" w:hAnsi="標楷體"/>
          <w:szCs w:val="24"/>
        </w:rPr>
        <w:t>，且依賴靜脈營養的兒童病人，應完全符合下列條件：</w:t>
      </w:r>
    </w:p>
    <w:p w14:paraId="2C8FC61B"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(1)處於腸道手術適應期後之穩定狀態(6個月內無腸胃道手術)。</w:t>
      </w:r>
    </w:p>
    <w:p w14:paraId="22AFC3FD"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(2)須排除以下任</w:t>
      </w:r>
      <w:proofErr w:type="gramStart"/>
      <w:r w:rsidRPr="00DF7A0F">
        <w:rPr>
          <w:rFonts w:ascii="標楷體" w:eastAsia="標楷體" w:hAnsi="標楷體"/>
          <w:szCs w:val="24"/>
        </w:rPr>
        <w:t>一</w:t>
      </w:r>
      <w:proofErr w:type="gramEnd"/>
      <w:r w:rsidRPr="00DF7A0F">
        <w:rPr>
          <w:rFonts w:ascii="標楷體" w:eastAsia="標楷體" w:hAnsi="標楷體"/>
          <w:szCs w:val="24"/>
        </w:rPr>
        <w:t>情形：</w:t>
      </w:r>
    </w:p>
    <w:p w14:paraId="4BFE9401" w14:textId="77777777" w:rsidR="00114BA4" w:rsidRDefault="00114BA4" w:rsidP="002144EC">
      <w:pPr>
        <w:numPr>
          <w:ilvl w:val="0"/>
          <w:numId w:val="124"/>
        </w:numPr>
        <w:spacing w:line="300" w:lineRule="exact"/>
        <w:ind w:left="1276" w:hanging="142"/>
        <w:rPr>
          <w:rFonts w:ascii="標楷體" w:eastAsia="標楷體" w:hAnsi="標楷體"/>
          <w:szCs w:val="24"/>
        </w:rPr>
      </w:pPr>
      <w:r w:rsidRPr="00DF7A0F">
        <w:rPr>
          <w:rFonts w:ascii="標楷體" w:eastAsia="標楷體" w:hAnsi="標楷體"/>
          <w:szCs w:val="24"/>
        </w:rPr>
        <w:t>腸阻塞或腸道狹窄。</w:t>
      </w:r>
    </w:p>
    <w:p w14:paraId="0080D511" w14:textId="77777777" w:rsidR="00114BA4" w:rsidRPr="00114BA4" w:rsidRDefault="00114BA4" w:rsidP="002144EC">
      <w:pPr>
        <w:numPr>
          <w:ilvl w:val="0"/>
          <w:numId w:val="124"/>
        </w:numPr>
        <w:spacing w:line="300" w:lineRule="exact"/>
        <w:ind w:left="1134" w:hanging="142"/>
        <w:rPr>
          <w:rFonts w:ascii="標楷體" w:eastAsia="標楷體" w:hAnsi="標楷體"/>
          <w:szCs w:val="24"/>
        </w:rPr>
      </w:pPr>
      <w:r w:rsidRPr="00114BA4">
        <w:rPr>
          <w:rFonts w:ascii="標楷體" w:eastAsia="標楷體" w:hAnsi="標楷體"/>
          <w:szCs w:val="24"/>
        </w:rPr>
        <w:t>最近5年內有胃腸道惡性腫瘤</w:t>
      </w:r>
      <w:proofErr w:type="gramStart"/>
      <w:r w:rsidRPr="00114BA4">
        <w:rPr>
          <w:rFonts w:ascii="標楷體" w:eastAsia="標楷體" w:hAnsi="標楷體"/>
          <w:szCs w:val="24"/>
        </w:rPr>
        <w:t>病史或活動性</w:t>
      </w:r>
      <w:proofErr w:type="gramEnd"/>
      <w:r w:rsidRPr="00114BA4">
        <w:rPr>
          <w:rFonts w:ascii="標楷體" w:eastAsia="標楷體" w:hAnsi="標楷體"/>
          <w:szCs w:val="24"/>
        </w:rPr>
        <w:t>惡性腫瘤。</w:t>
      </w:r>
    </w:p>
    <w:p w14:paraId="697A9376"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2.需經事前審查核准後使用。</w:t>
      </w:r>
    </w:p>
    <w:p w14:paraId="1E780F1B"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3.初次使用條件需符合以下各項條件：</w:t>
      </w:r>
    </w:p>
    <w:p w14:paraId="7EE839B3"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(1)依賴靜脈</w:t>
      </w:r>
      <w:proofErr w:type="gramStart"/>
      <w:r w:rsidRPr="00DF7A0F">
        <w:rPr>
          <w:rFonts w:ascii="標楷體" w:eastAsia="標楷體" w:hAnsi="標楷體"/>
          <w:szCs w:val="24"/>
        </w:rPr>
        <w:t>營養輸注達</w:t>
      </w:r>
      <w:proofErr w:type="gramEnd"/>
      <w:r w:rsidRPr="00DF7A0F">
        <w:rPr>
          <w:rFonts w:ascii="標楷體" w:eastAsia="標楷體" w:hAnsi="標楷體"/>
          <w:szCs w:val="24"/>
        </w:rPr>
        <w:t>持續12個月以上。</w:t>
      </w:r>
    </w:p>
    <w:p w14:paraId="2DFA7F64"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(2)在過去4</w:t>
      </w:r>
      <w:proofErr w:type="gramStart"/>
      <w:r w:rsidRPr="00DF7A0F">
        <w:rPr>
          <w:rFonts w:ascii="標楷體" w:eastAsia="標楷體" w:hAnsi="標楷體"/>
          <w:szCs w:val="24"/>
        </w:rPr>
        <w:t>週</w:t>
      </w:r>
      <w:proofErr w:type="gramEnd"/>
      <w:r w:rsidRPr="00DF7A0F">
        <w:rPr>
          <w:rFonts w:ascii="標楷體" w:eastAsia="標楷體" w:hAnsi="標楷體"/>
          <w:szCs w:val="24"/>
        </w:rPr>
        <w:t>中，超過30%的熱量或液體/電解質需求依賴</w:t>
      </w:r>
      <w:proofErr w:type="gramStart"/>
      <w:r w:rsidRPr="00DF7A0F">
        <w:rPr>
          <w:rFonts w:ascii="標楷體" w:eastAsia="標楷體" w:hAnsi="標楷體"/>
          <w:szCs w:val="24"/>
        </w:rPr>
        <w:t>靜脈輸注</w:t>
      </w:r>
      <w:proofErr w:type="gramEnd"/>
      <w:r w:rsidRPr="00DF7A0F">
        <w:rPr>
          <w:rFonts w:ascii="標楷體" w:eastAsia="標楷體" w:hAnsi="標楷體"/>
          <w:szCs w:val="24"/>
        </w:rPr>
        <w:t>。</w:t>
      </w:r>
    </w:p>
    <w:p w14:paraId="7DF5E070"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4.續用申請條件：</w:t>
      </w:r>
    </w:p>
    <w:p w14:paraId="5CB022F8"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(1)應定期追蹤評估治療效果，每次門診時應記錄靜脈營養及輸液使用量。</w:t>
      </w:r>
    </w:p>
    <w:p w14:paraId="6C3A6EB7"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(2)初次治療6個月後評估治療反應，相較於初次治療前之基期，應降低依賴靜脈營</w:t>
      </w:r>
      <w:r w:rsidRPr="00DF7A0F">
        <w:rPr>
          <w:rFonts w:ascii="標楷體" w:eastAsia="標楷體" w:hAnsi="標楷體"/>
          <w:szCs w:val="24"/>
        </w:rPr>
        <w:lastRenderedPageBreak/>
        <w:t>養輸液量之總量達20%以上者，方可再申請6個月。</w:t>
      </w:r>
    </w:p>
    <w:p w14:paraId="18B64E88"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5.停用條件：</w:t>
      </w:r>
    </w:p>
    <w:p w14:paraId="24EF6830"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(1)經藥物治療後，每6個月評估一次靜脈</w:t>
      </w:r>
      <w:proofErr w:type="gramStart"/>
      <w:r w:rsidRPr="00DF7A0F">
        <w:rPr>
          <w:rFonts w:ascii="標楷體" w:eastAsia="標楷體" w:hAnsi="標楷體"/>
          <w:szCs w:val="24"/>
        </w:rPr>
        <w:t>營養輸注時</w:t>
      </w:r>
      <w:proofErr w:type="gramEnd"/>
      <w:r w:rsidRPr="00DF7A0F">
        <w:rPr>
          <w:rFonts w:ascii="標楷體" w:eastAsia="標楷體" w:hAnsi="標楷體"/>
          <w:szCs w:val="24"/>
        </w:rPr>
        <w:t>，相較於初次治療前之基期，減少依賴靜脈營養輸液量之總量未達20%以上者，應予以停用。</w:t>
      </w:r>
    </w:p>
    <w:p w14:paraId="0F7CB66F"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(2)經藥物治療6個月以上，於治療期滿評估時，已完全脫離靜脈支持療法，達到腸道自主，連續達1個月以上者，應予以停用。</w:t>
      </w:r>
    </w:p>
    <w:p w14:paraId="3E6F6E41"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6.每位病人限給付2年。</w:t>
      </w:r>
    </w:p>
    <w:p w14:paraId="53E59AB7" w14:textId="77777777" w:rsidR="00CC252C" w:rsidRDefault="00CC252C" w:rsidP="0009639E">
      <w:pPr>
        <w:snapToGrid w:val="0"/>
        <w:spacing w:line="300" w:lineRule="exact"/>
        <w:ind w:left="782" w:hanging="499"/>
        <w:rPr>
          <w:rFonts w:ascii="標楷體" w:eastAsia="標楷體" w:hAnsi="標楷體"/>
          <w:szCs w:val="24"/>
        </w:rPr>
      </w:pPr>
    </w:p>
    <w:p w14:paraId="2A6D35EC" w14:textId="77777777" w:rsidR="00CC252C" w:rsidRDefault="00CC252C" w:rsidP="0009639E">
      <w:pPr>
        <w:snapToGrid w:val="0"/>
        <w:spacing w:line="300" w:lineRule="exact"/>
        <w:ind w:left="782" w:hanging="499"/>
      </w:pPr>
    </w:p>
    <w:p w14:paraId="3ABA779A" w14:textId="77777777" w:rsidR="00CC252C" w:rsidRDefault="00CC252C">
      <w:pPr>
        <w:widowControl/>
        <w:suppressAutoHyphens w:val="0"/>
        <w:rPr>
          <w:rFonts w:ascii="標楷體" w:eastAsia="標楷體" w:hAnsi="標楷體"/>
          <w:b/>
          <w:sz w:val="32"/>
          <w:szCs w:val="32"/>
        </w:rPr>
      </w:pPr>
      <w:r>
        <w:br w:type="page"/>
      </w:r>
    </w:p>
    <w:p w14:paraId="1E8B12C2" w14:textId="77777777" w:rsidR="00401786" w:rsidRDefault="00C64FB3" w:rsidP="0009639E">
      <w:pPr>
        <w:pStyle w:val="2"/>
        <w:spacing w:line="300" w:lineRule="exact"/>
      </w:pPr>
      <w:r>
        <w:lastRenderedPageBreak/>
        <w:t>第8節 免疫製劑 Immunologic agents</w:t>
      </w:r>
    </w:p>
    <w:p w14:paraId="585B5EB6" w14:textId="77777777" w:rsidR="00401786" w:rsidRDefault="00401786" w:rsidP="0009639E">
      <w:pPr>
        <w:snapToGrid w:val="0"/>
        <w:spacing w:line="300" w:lineRule="exact"/>
        <w:jc w:val="center"/>
        <w:rPr>
          <w:rFonts w:ascii="標楷體" w:eastAsia="標楷體" w:hAnsi="標楷體"/>
          <w:b/>
          <w:color w:val="000000"/>
          <w:sz w:val="32"/>
          <w:szCs w:val="32"/>
        </w:rPr>
      </w:pPr>
    </w:p>
    <w:p w14:paraId="444D5BD6" w14:textId="77777777" w:rsidR="00401786" w:rsidRDefault="00C64FB3" w:rsidP="0009639E">
      <w:pPr>
        <w:spacing w:line="300" w:lineRule="exact"/>
        <w:ind w:left="672" w:hanging="386"/>
      </w:pPr>
      <w:r>
        <w:rPr>
          <w:rFonts w:ascii="標楷體" w:eastAsia="標楷體" w:hAnsi="標楷體"/>
          <w:color w:val="000000"/>
        </w:rPr>
        <w:t>8.1.疫苗及免疫球蛋白  Vaccines and Immunoglobulins</w:t>
      </w:r>
    </w:p>
    <w:p w14:paraId="66C8F3E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8.1.1.Hepatitis B immune globulin：</w:t>
      </w:r>
    </w:p>
    <w:p w14:paraId="46422350"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應以HBsAg (-)，Anti-HBc (-)之醫院工作人員為主，且傳染者需為HBsAg (+)。</w:t>
      </w:r>
    </w:p>
    <w:p w14:paraId="72517C9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8.1.2.(刪除)</w:t>
      </w:r>
    </w:p>
    <w:p w14:paraId="3B25A677" w14:textId="45DB0F02" w:rsidR="00563FFA" w:rsidRDefault="00563FFA" w:rsidP="009143F4">
      <w:pPr>
        <w:spacing w:line="300" w:lineRule="exact"/>
        <w:ind w:left="938" w:hanging="672"/>
        <w:rPr>
          <w:rFonts w:ascii="標楷體" w:eastAsia="標楷體" w:hAnsi="標楷體"/>
          <w:szCs w:val="28"/>
        </w:rPr>
      </w:pPr>
      <w:r>
        <w:rPr>
          <w:rFonts w:ascii="標楷體" w:eastAsia="標楷體" w:hAnsi="標楷體"/>
          <w:szCs w:val="28"/>
        </w:rPr>
        <w:t>8.1.3.高單位免疫球蛋白(111/2/1、113/11/1</w:t>
      </w:r>
      <w:r>
        <w:rPr>
          <w:rFonts w:ascii="標楷體" w:eastAsia="標楷體" w:hAnsi="標楷體" w:hint="eastAsia"/>
          <w:szCs w:val="28"/>
        </w:rPr>
        <w:t>、1</w:t>
      </w:r>
      <w:r>
        <w:rPr>
          <w:rFonts w:ascii="標楷體" w:eastAsia="標楷體" w:hAnsi="標楷體"/>
          <w:szCs w:val="28"/>
        </w:rPr>
        <w:t>14/10/1</w:t>
      </w:r>
      <w:r w:rsidR="005E55B5" w:rsidRPr="005E55B5">
        <w:rPr>
          <w:rFonts w:ascii="標楷體" w:eastAsia="標楷體" w:hAnsi="標楷體" w:hint="eastAsia"/>
          <w:szCs w:val="28"/>
        </w:rPr>
        <w:t>、115/10/1</w:t>
      </w:r>
      <w:r>
        <w:rPr>
          <w:rFonts w:ascii="標楷體" w:eastAsia="標楷體" w:hAnsi="標楷體"/>
          <w:szCs w:val="28"/>
        </w:rPr>
        <w:t>)：</w:t>
      </w:r>
    </w:p>
    <w:p w14:paraId="2E6FF594" w14:textId="77777777" w:rsidR="00563FFA" w:rsidRDefault="00563FFA" w:rsidP="009143F4">
      <w:pPr>
        <w:spacing w:line="300" w:lineRule="exact"/>
        <w:ind w:left="284"/>
        <w:rPr>
          <w:rFonts w:ascii="標楷體" w:eastAsia="標楷體" w:hAnsi="標楷體"/>
          <w:szCs w:val="28"/>
        </w:rPr>
      </w:pPr>
      <w:proofErr w:type="gramStart"/>
      <w:r>
        <w:rPr>
          <w:rFonts w:ascii="標楷體" w:eastAsia="標楷體" w:hAnsi="標楷體"/>
          <w:szCs w:val="28"/>
        </w:rPr>
        <w:t>本類藥品限依</w:t>
      </w:r>
      <w:proofErr w:type="gramEnd"/>
      <w:r>
        <w:rPr>
          <w:rFonts w:ascii="標楷體" w:eastAsia="標楷體" w:hAnsi="標楷體"/>
          <w:szCs w:val="28"/>
        </w:rPr>
        <w:t>藥品許可證登載之適應症範圍內用於符合下列任</w:t>
      </w:r>
      <w:proofErr w:type="gramStart"/>
      <w:r>
        <w:rPr>
          <w:rFonts w:ascii="標楷體" w:eastAsia="標楷體" w:hAnsi="標楷體"/>
          <w:szCs w:val="28"/>
        </w:rPr>
        <w:t>一</w:t>
      </w:r>
      <w:proofErr w:type="gramEnd"/>
      <w:r>
        <w:rPr>
          <w:rFonts w:ascii="標楷體" w:eastAsia="標楷體" w:hAnsi="標楷體"/>
          <w:szCs w:val="28"/>
        </w:rPr>
        <w:t>條件病人，須檢附病歷摘要（註明診斷，相關檢查報告及數據，體重、年齡、性別、病史、曾否使用同一藥品及其療效…等）</w:t>
      </w:r>
    </w:p>
    <w:p w14:paraId="182CFA25" w14:textId="77777777" w:rsidR="00563FFA" w:rsidRDefault="00563FFA" w:rsidP="009143F4">
      <w:pPr>
        <w:spacing w:line="300" w:lineRule="exact"/>
        <w:ind w:left="1276" w:hanging="672"/>
        <w:rPr>
          <w:rFonts w:ascii="標楷體" w:eastAsia="標楷體" w:hAnsi="標楷體"/>
          <w:szCs w:val="28"/>
        </w:rPr>
      </w:pPr>
      <w:r>
        <w:rPr>
          <w:rFonts w:ascii="標楷體" w:eastAsia="標楷體" w:hAnsi="標楷體"/>
          <w:szCs w:val="28"/>
        </w:rPr>
        <w:t>1.靜脈注射劑：</w:t>
      </w:r>
    </w:p>
    <w:p w14:paraId="10852CF2" w14:textId="77777777" w:rsidR="00563FFA" w:rsidRDefault="00563FFA" w:rsidP="005E55B5">
      <w:pPr>
        <w:spacing w:line="300" w:lineRule="exact"/>
        <w:ind w:left="1276" w:hanging="388"/>
        <w:rPr>
          <w:rFonts w:ascii="標楷體" w:eastAsia="標楷體" w:hAnsi="標楷體"/>
          <w:szCs w:val="28"/>
        </w:rPr>
      </w:pPr>
      <w:r>
        <w:rPr>
          <w:rFonts w:ascii="標楷體" w:eastAsia="標楷體" w:hAnsi="標楷體"/>
          <w:szCs w:val="28"/>
        </w:rPr>
        <w:t>(1)先天或後天性免疫球蛋白低下症併發嚴重感染時</w:t>
      </w:r>
      <w:proofErr w:type="gramStart"/>
      <w:r>
        <w:rPr>
          <w:rFonts w:ascii="標楷體" w:eastAsia="標楷體" w:hAnsi="標楷體"/>
          <w:szCs w:val="28"/>
        </w:rPr>
        <w:t>（</w:t>
      </w:r>
      <w:proofErr w:type="gramEnd"/>
      <w:r>
        <w:rPr>
          <w:rFonts w:ascii="標楷體" w:eastAsia="標楷體" w:hAnsi="標楷體"/>
          <w:szCs w:val="28"/>
        </w:rPr>
        <w:t>需附六個月內免疫球蛋白檢查報告)</w:t>
      </w:r>
    </w:p>
    <w:p w14:paraId="6019E8AC" w14:textId="77777777" w:rsidR="00563FFA" w:rsidRDefault="00563FFA" w:rsidP="009143F4">
      <w:pPr>
        <w:spacing w:line="300" w:lineRule="exact"/>
        <w:ind w:left="1276" w:hanging="388"/>
        <w:rPr>
          <w:rFonts w:ascii="標楷體" w:eastAsia="標楷體" w:hAnsi="標楷體"/>
          <w:szCs w:val="28"/>
        </w:rPr>
      </w:pPr>
      <w:r>
        <w:rPr>
          <w:rFonts w:ascii="標楷體" w:eastAsia="標楷體" w:hAnsi="標楷體"/>
          <w:szCs w:val="28"/>
        </w:rPr>
        <w:t>(2)免疫血小板缺乏</w:t>
      </w:r>
      <w:proofErr w:type="gramStart"/>
      <w:r>
        <w:rPr>
          <w:rFonts w:ascii="標楷體" w:eastAsia="標楷體" w:hAnsi="標楷體"/>
          <w:szCs w:val="28"/>
        </w:rPr>
        <w:t>性紫斑症</w:t>
      </w:r>
      <w:proofErr w:type="gramEnd"/>
      <w:r>
        <w:rPr>
          <w:rFonts w:ascii="標楷體" w:eastAsia="標楷體" w:hAnsi="標楷體"/>
          <w:szCs w:val="28"/>
        </w:rPr>
        <w:t xml:space="preserve"> (ITP) 經傳統治療效果不佳，若其血小板＜80,000/</w:t>
      </w:r>
      <w:proofErr w:type="spellStart"/>
      <w:r>
        <w:rPr>
          <w:rFonts w:ascii="標楷體" w:eastAsia="標楷體" w:hAnsi="標楷體"/>
          <w:szCs w:val="28"/>
        </w:rPr>
        <w:t>cumm</w:t>
      </w:r>
      <w:proofErr w:type="spellEnd"/>
      <w:r>
        <w:rPr>
          <w:rFonts w:ascii="標楷體" w:eastAsia="標楷體" w:hAnsi="標楷體"/>
          <w:szCs w:val="28"/>
        </w:rPr>
        <w:t>且符合下列情況之</w:t>
      </w:r>
      <w:proofErr w:type="gramStart"/>
      <w:r>
        <w:rPr>
          <w:rFonts w:ascii="標楷體" w:eastAsia="標楷體" w:hAnsi="標楷體"/>
          <w:szCs w:val="28"/>
        </w:rPr>
        <w:t>一</w:t>
      </w:r>
      <w:proofErr w:type="gramEnd"/>
      <w:r>
        <w:rPr>
          <w:rFonts w:ascii="標楷體" w:eastAsia="標楷體" w:hAnsi="標楷體"/>
          <w:szCs w:val="28"/>
        </w:rPr>
        <w:t>者：(108/6/1)</w:t>
      </w:r>
    </w:p>
    <w:p w14:paraId="5D00077E" w14:textId="77777777" w:rsidR="00563FFA" w:rsidRDefault="00563FFA" w:rsidP="005E55B5">
      <w:pPr>
        <w:tabs>
          <w:tab w:val="left" w:pos="993"/>
          <w:tab w:val="left" w:pos="1701"/>
        </w:tabs>
        <w:spacing w:line="300" w:lineRule="exact"/>
        <w:ind w:left="1498" w:hanging="364"/>
        <w:rPr>
          <w:rFonts w:ascii="標楷體" w:eastAsia="標楷體" w:hAnsi="標楷體"/>
          <w:szCs w:val="28"/>
        </w:rPr>
      </w:pPr>
      <w:r>
        <w:rPr>
          <w:rFonts w:ascii="標楷體" w:eastAsia="標楷體" w:hAnsi="標楷體"/>
          <w:szCs w:val="28"/>
        </w:rPr>
        <w:t>Ⅰ.有嚴重出血。</w:t>
      </w:r>
    </w:p>
    <w:p w14:paraId="652C5406" w14:textId="77777777" w:rsidR="00563FFA" w:rsidRDefault="00563FFA" w:rsidP="005E55B5">
      <w:pPr>
        <w:tabs>
          <w:tab w:val="left" w:pos="993"/>
          <w:tab w:val="left" w:pos="1701"/>
        </w:tabs>
        <w:spacing w:line="300" w:lineRule="exact"/>
        <w:ind w:left="1498" w:hanging="364"/>
        <w:rPr>
          <w:rFonts w:ascii="標楷體" w:eastAsia="標楷體" w:hAnsi="標楷體"/>
          <w:szCs w:val="28"/>
        </w:rPr>
      </w:pPr>
      <w:r>
        <w:rPr>
          <w:rFonts w:ascii="標楷體" w:eastAsia="標楷體" w:hAnsi="標楷體"/>
          <w:szCs w:val="28"/>
        </w:rPr>
        <w:t>Ⅱ.需接受緊急手術治療者。(103/4/1)</w:t>
      </w:r>
    </w:p>
    <w:p w14:paraId="70A04F8E" w14:textId="77777777" w:rsidR="00563FFA" w:rsidRDefault="00563FFA" w:rsidP="005E55B5">
      <w:pPr>
        <w:spacing w:line="300" w:lineRule="exact"/>
        <w:ind w:left="1276" w:hanging="388"/>
        <w:rPr>
          <w:rFonts w:ascii="標楷體" w:eastAsia="標楷體" w:hAnsi="標楷體"/>
          <w:szCs w:val="28"/>
        </w:rPr>
      </w:pPr>
      <w:r>
        <w:rPr>
          <w:rFonts w:ascii="標楷體" w:eastAsia="標楷體" w:hAnsi="標楷體"/>
          <w:szCs w:val="28"/>
        </w:rPr>
        <w:t>(3)免疫血小板缺乏</w:t>
      </w:r>
      <w:proofErr w:type="gramStart"/>
      <w:r>
        <w:rPr>
          <w:rFonts w:ascii="標楷體" w:eastAsia="標楷體" w:hAnsi="標楷體"/>
          <w:szCs w:val="28"/>
        </w:rPr>
        <w:t>性紫斑症</w:t>
      </w:r>
      <w:proofErr w:type="gramEnd"/>
      <w:r>
        <w:rPr>
          <w:rFonts w:ascii="標楷體" w:eastAsia="標楷體" w:hAnsi="標楷體"/>
          <w:szCs w:val="28"/>
        </w:rPr>
        <w:t>(ITP)且於懷孕或分娩</w:t>
      </w:r>
      <w:proofErr w:type="gramStart"/>
      <w:r>
        <w:rPr>
          <w:rFonts w:ascii="標楷體" w:eastAsia="標楷體" w:hAnsi="標楷體"/>
          <w:szCs w:val="28"/>
        </w:rPr>
        <w:t>期間，</w:t>
      </w:r>
      <w:proofErr w:type="gramEnd"/>
      <w:r>
        <w:rPr>
          <w:rFonts w:ascii="標楷體" w:eastAsia="標楷體" w:hAnsi="標楷體"/>
          <w:szCs w:val="28"/>
        </w:rPr>
        <w:t>或急性免疫血小板缺乏</w:t>
      </w:r>
      <w:proofErr w:type="gramStart"/>
      <w:r>
        <w:rPr>
          <w:rFonts w:ascii="標楷體" w:eastAsia="標楷體" w:hAnsi="標楷體"/>
          <w:szCs w:val="28"/>
        </w:rPr>
        <w:t>性紫斑症</w:t>
      </w:r>
      <w:proofErr w:type="gramEnd"/>
      <w:r>
        <w:rPr>
          <w:rFonts w:ascii="標楷體" w:eastAsia="標楷體" w:hAnsi="標楷體"/>
          <w:szCs w:val="28"/>
        </w:rPr>
        <w:t>(ITP) 18歲以下兒童。</w:t>
      </w:r>
      <w:proofErr w:type="gramStart"/>
      <w:r>
        <w:rPr>
          <w:rFonts w:ascii="標楷體" w:eastAsia="標楷體" w:hAnsi="標楷體"/>
          <w:szCs w:val="28"/>
        </w:rPr>
        <w:t>（</w:t>
      </w:r>
      <w:proofErr w:type="gramEnd"/>
      <w:r>
        <w:rPr>
          <w:rFonts w:ascii="標楷體" w:eastAsia="標楷體" w:hAnsi="標楷體"/>
          <w:szCs w:val="28"/>
        </w:rPr>
        <w:t>107/4/1、108/6/1、111/2/1)</w:t>
      </w:r>
    </w:p>
    <w:p w14:paraId="5118F192" w14:textId="77777777" w:rsidR="00563FFA" w:rsidRDefault="00563FFA" w:rsidP="005E55B5">
      <w:pPr>
        <w:spacing w:line="300" w:lineRule="exact"/>
        <w:ind w:left="1276" w:hanging="388"/>
        <w:rPr>
          <w:rFonts w:ascii="標楷體" w:eastAsia="標楷體" w:hAnsi="標楷體"/>
          <w:szCs w:val="28"/>
        </w:rPr>
      </w:pPr>
      <w:r>
        <w:rPr>
          <w:rFonts w:ascii="標楷體" w:eastAsia="標楷體" w:hAnsi="標楷體"/>
          <w:szCs w:val="28"/>
        </w:rPr>
        <w:t>(4)先天性免疫不全症之預防性使用，但需有醫學中心之診斷証明。</w:t>
      </w:r>
    </w:p>
    <w:p w14:paraId="44F858F6" w14:textId="77777777" w:rsidR="00563FFA" w:rsidRDefault="00563FFA" w:rsidP="005E55B5">
      <w:pPr>
        <w:spacing w:line="300" w:lineRule="exact"/>
        <w:ind w:left="1276" w:hanging="388"/>
        <w:rPr>
          <w:rFonts w:ascii="標楷體" w:eastAsia="標楷體" w:hAnsi="標楷體"/>
          <w:szCs w:val="28"/>
        </w:rPr>
      </w:pPr>
      <w:r>
        <w:rPr>
          <w:rFonts w:ascii="標楷體" w:eastAsia="標楷體" w:hAnsi="標楷體"/>
          <w:szCs w:val="28"/>
        </w:rPr>
        <w:t>(5)川崎病合乎美國疾病管制中心所訂之診斷標準</w:t>
      </w:r>
    </w:p>
    <w:p w14:paraId="0679B6ED" w14:textId="77777777" w:rsidR="00563FFA" w:rsidRDefault="00563FFA" w:rsidP="005E55B5">
      <w:pPr>
        <w:tabs>
          <w:tab w:val="left" w:pos="993"/>
          <w:tab w:val="left" w:pos="1701"/>
        </w:tabs>
        <w:spacing w:line="300" w:lineRule="exact"/>
        <w:ind w:left="1498" w:hanging="364"/>
        <w:rPr>
          <w:rFonts w:ascii="標楷體" w:eastAsia="標楷體" w:hAnsi="標楷體"/>
          <w:szCs w:val="28"/>
        </w:rPr>
      </w:pPr>
      <w:r>
        <w:rPr>
          <w:rFonts w:ascii="標楷體" w:eastAsia="標楷體" w:hAnsi="標楷體"/>
          <w:szCs w:val="28"/>
        </w:rPr>
        <w:t>Ⅰ.限由區域醫院(含)以上教學醫院實施或具有小兒心臟醫師證書之小兒科醫師，並有小兒心臟超音波儀器之醫院實施。(108/10/1)</w:t>
      </w:r>
    </w:p>
    <w:p w14:paraId="066B689C" w14:textId="77777777" w:rsidR="00563FFA" w:rsidRDefault="00563FFA" w:rsidP="005E55B5">
      <w:pPr>
        <w:tabs>
          <w:tab w:val="left" w:pos="993"/>
          <w:tab w:val="left" w:pos="1701"/>
        </w:tabs>
        <w:spacing w:line="300" w:lineRule="exact"/>
        <w:ind w:left="1498" w:hanging="364"/>
        <w:rPr>
          <w:rFonts w:ascii="標楷體" w:eastAsia="標楷體" w:hAnsi="標楷體"/>
          <w:szCs w:val="28"/>
        </w:rPr>
      </w:pPr>
      <w:r>
        <w:rPr>
          <w:rFonts w:ascii="標楷體" w:eastAsia="標楷體" w:hAnsi="標楷體"/>
          <w:szCs w:val="28"/>
        </w:rPr>
        <w:t>Ⅱ.需填寫「全民健康保險使用Intravenous Immune Globulin (IVIG) 治療川崎病」申請表(詳附表六)</w:t>
      </w:r>
      <w:proofErr w:type="gramStart"/>
      <w:r>
        <w:rPr>
          <w:rFonts w:ascii="標楷體" w:eastAsia="標楷體" w:hAnsi="標楷體"/>
          <w:szCs w:val="28"/>
        </w:rPr>
        <w:t>併</w:t>
      </w:r>
      <w:proofErr w:type="gramEnd"/>
      <w:r>
        <w:rPr>
          <w:rFonts w:ascii="標楷體" w:eastAsia="標楷體" w:hAnsi="標楷體"/>
          <w:szCs w:val="28"/>
        </w:rPr>
        <w:t>當月份醫療費用申報。</w:t>
      </w:r>
    </w:p>
    <w:p w14:paraId="6198D939" w14:textId="77777777" w:rsidR="00563FFA" w:rsidRDefault="00563FFA" w:rsidP="005E55B5">
      <w:pPr>
        <w:spacing w:line="300" w:lineRule="exact"/>
        <w:ind w:left="1276" w:hanging="388"/>
        <w:rPr>
          <w:rFonts w:ascii="標楷體" w:eastAsia="標楷體" w:hAnsi="標楷體"/>
          <w:szCs w:val="28"/>
        </w:rPr>
      </w:pPr>
      <w:r>
        <w:rPr>
          <w:rFonts w:ascii="標楷體" w:eastAsia="標楷體" w:hAnsi="標楷體"/>
          <w:szCs w:val="28"/>
        </w:rPr>
        <w:t>(6)因感染誘發過度免疫機轉反應，而致維生重要器官衰竭，有危及生命</w:t>
      </w:r>
      <w:proofErr w:type="gramStart"/>
      <w:r>
        <w:rPr>
          <w:rFonts w:ascii="標楷體" w:eastAsia="標楷體" w:hAnsi="標楷體"/>
          <w:szCs w:val="28"/>
        </w:rPr>
        <w:t>之慮者</w:t>
      </w:r>
      <w:proofErr w:type="gramEnd"/>
      <w:r>
        <w:rPr>
          <w:rFonts w:ascii="標楷體" w:eastAsia="標楷體" w:hAnsi="標楷體"/>
          <w:szCs w:val="28"/>
        </w:rPr>
        <w:t>，限由區域醫院（含）以上有加護病房乙等級以上之教學醫院實施。（93/2/1）</w:t>
      </w:r>
    </w:p>
    <w:p w14:paraId="3FD25485" w14:textId="77777777" w:rsidR="00563FFA" w:rsidRDefault="00563FFA" w:rsidP="009143F4">
      <w:pPr>
        <w:spacing w:line="300" w:lineRule="exact"/>
        <w:ind w:left="1276" w:hanging="388"/>
        <w:rPr>
          <w:rFonts w:ascii="標楷體" w:eastAsia="標楷體" w:hAnsi="標楷體"/>
          <w:szCs w:val="28"/>
        </w:rPr>
      </w:pPr>
      <w:r>
        <w:rPr>
          <w:rFonts w:ascii="標楷體" w:eastAsia="標楷體" w:hAnsi="標楷體"/>
          <w:szCs w:val="28"/>
        </w:rPr>
        <w:t>(7)腸病毒感染嚴重患者，且符合衛生福利部疾病管制署修訂之「腸病毒感染嚴重患者靜脈注射免疫球蛋白之適應症」。(97/5/9、102/7/23、105/8/1)</w:t>
      </w:r>
    </w:p>
    <w:p w14:paraId="030152FA" w14:textId="77777777" w:rsidR="00563FFA" w:rsidRDefault="00563FFA" w:rsidP="009143F4">
      <w:pPr>
        <w:spacing w:line="300" w:lineRule="exact"/>
        <w:ind w:left="1276" w:hanging="388"/>
        <w:rPr>
          <w:rFonts w:ascii="標楷體" w:eastAsia="標楷體" w:hAnsi="標楷體"/>
          <w:szCs w:val="28"/>
        </w:rPr>
      </w:pPr>
      <w:r>
        <w:rPr>
          <w:rFonts w:ascii="標楷體" w:eastAsia="標楷體" w:hAnsi="標楷體"/>
          <w:szCs w:val="28"/>
        </w:rPr>
        <w:t>(8)急性發炎</w:t>
      </w:r>
      <w:proofErr w:type="gramStart"/>
      <w:r>
        <w:rPr>
          <w:rFonts w:ascii="標楷體" w:eastAsia="標楷體" w:hAnsi="標楷體"/>
          <w:szCs w:val="28"/>
        </w:rPr>
        <w:t>性去髓鞘多</w:t>
      </w:r>
      <w:proofErr w:type="gramEnd"/>
      <w:r>
        <w:rPr>
          <w:rFonts w:ascii="標楷體" w:eastAsia="標楷體" w:hAnsi="標楷體"/>
          <w:szCs w:val="28"/>
        </w:rPr>
        <w:t>發性神經根病變（Guillain Barré症候群）：(107/12/1、111/2/1)</w:t>
      </w:r>
    </w:p>
    <w:p w14:paraId="64D9006F"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rPr>
        <w:t>Ⅰ.不得與血漿置換術</w:t>
      </w:r>
      <w:proofErr w:type="gramStart"/>
      <w:r w:rsidRPr="005E55B5">
        <w:rPr>
          <w:rFonts w:ascii="標楷體" w:eastAsia="標楷體" w:hAnsi="標楷體"/>
        </w:rPr>
        <w:t>併</w:t>
      </w:r>
      <w:proofErr w:type="gramEnd"/>
      <w:r w:rsidRPr="005E55B5">
        <w:rPr>
          <w:rFonts w:ascii="標楷體" w:eastAsia="標楷體" w:hAnsi="標楷體"/>
        </w:rPr>
        <w:t>用。</w:t>
      </w:r>
    </w:p>
    <w:p w14:paraId="73F28454"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rPr>
        <w:t>Ⅱ.使用於未滿18歲的病人</w:t>
      </w:r>
    </w:p>
    <w:p w14:paraId="39CB91D6" w14:textId="77777777" w:rsidR="00563FFA" w:rsidRDefault="00563FFA" w:rsidP="005E55B5">
      <w:pPr>
        <w:spacing w:line="300" w:lineRule="exact"/>
        <w:ind w:left="1701" w:hanging="283"/>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.限無法自行走路的病童，自行走路指不需要他人扶助可以走路，前述只適用於發病前會自行走路的孩童，經小兒神經專科醫師或神經科醫師確定診斷。</w:t>
      </w:r>
    </w:p>
    <w:p w14:paraId="51A69A61" w14:textId="77777777" w:rsidR="00563FFA" w:rsidRDefault="00563FFA" w:rsidP="005E55B5">
      <w:pPr>
        <w:spacing w:line="300" w:lineRule="exact"/>
        <w:ind w:left="1701" w:hanging="283"/>
        <w:rPr>
          <w:rFonts w:ascii="標楷體" w:eastAsia="標楷體" w:hAnsi="標楷體"/>
          <w:szCs w:val="28"/>
        </w:rPr>
      </w:pPr>
      <w:r>
        <w:rPr>
          <w:rFonts w:ascii="標楷體" w:eastAsia="標楷體" w:hAnsi="標楷體"/>
          <w:szCs w:val="28"/>
        </w:rPr>
        <w:t>ii.限由區域醫院（含）以上教學醫院實施。劑量為每公斤體重2公克，分成2天或5天給予。</w:t>
      </w:r>
    </w:p>
    <w:p w14:paraId="7F7D5AB2"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rPr>
        <w:t>Ⅲ.使用於18歲以上病人(111/2/1)</w:t>
      </w:r>
    </w:p>
    <w:p w14:paraId="070D483E" w14:textId="77777777" w:rsidR="00563FFA" w:rsidRDefault="00563FFA" w:rsidP="005E55B5">
      <w:pPr>
        <w:spacing w:line="300" w:lineRule="exact"/>
        <w:ind w:left="1701" w:hanging="283"/>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w:t>
      </w:r>
      <w:r>
        <w:rPr>
          <w:rFonts w:ascii="標楷體" w:eastAsia="標楷體" w:hAnsi="標楷體"/>
          <w:szCs w:val="28"/>
        </w:rPr>
        <w:tab/>
        <w:t>限發病兩週內有嚴重病況（呼吸衰竭或瀕臨呼吸衰竭）病人使用。</w:t>
      </w:r>
    </w:p>
    <w:p w14:paraId="23992374" w14:textId="77777777" w:rsidR="00563FFA" w:rsidRPr="005E55B5" w:rsidRDefault="00563FFA" w:rsidP="005E55B5">
      <w:pPr>
        <w:spacing w:line="300" w:lineRule="exact"/>
        <w:ind w:left="1701" w:hanging="283"/>
      </w:pPr>
      <w:r>
        <w:rPr>
          <w:rFonts w:ascii="標楷體" w:eastAsia="標楷體" w:hAnsi="標楷體"/>
          <w:szCs w:val="28"/>
        </w:rPr>
        <w:t>ii.</w:t>
      </w:r>
      <w:r>
        <w:rPr>
          <w:rFonts w:ascii="標楷體" w:eastAsia="標楷體" w:hAnsi="標楷體"/>
          <w:szCs w:val="28"/>
        </w:rPr>
        <w:tab/>
        <w:t>限經神經科醫師確定診斷，限由區域醫院（含）以上教學醫院實施。劑量為</w:t>
      </w:r>
      <w:r w:rsidRPr="005E55B5">
        <w:rPr>
          <w:rFonts w:ascii="標楷體" w:eastAsia="標楷體" w:hAnsi="標楷體"/>
          <w:szCs w:val="28"/>
        </w:rPr>
        <w:t>每公斤體重2公克，分成5天給予。</w:t>
      </w:r>
    </w:p>
    <w:p w14:paraId="45D181B4" w14:textId="77777777" w:rsidR="005E55B5" w:rsidRPr="005E55B5" w:rsidRDefault="005E55B5" w:rsidP="005E55B5">
      <w:pPr>
        <w:tabs>
          <w:tab w:val="left" w:pos="1418"/>
          <w:tab w:val="left" w:pos="2552"/>
          <w:tab w:val="left" w:pos="2977"/>
        </w:tabs>
        <w:spacing w:line="300" w:lineRule="exact"/>
        <w:ind w:left="1316" w:hanging="459"/>
        <w:rPr>
          <w:rFonts w:ascii="標楷體" w:eastAsia="標楷體" w:hAnsi="標楷體"/>
          <w:szCs w:val="28"/>
        </w:rPr>
      </w:pPr>
      <w:r w:rsidRPr="005E55B5">
        <w:rPr>
          <w:rFonts w:ascii="標楷體" w:eastAsia="標楷體" w:hAnsi="標楷體" w:hint="eastAsia"/>
          <w:szCs w:val="28"/>
        </w:rPr>
        <w:t>(9)慢性</w:t>
      </w:r>
      <w:proofErr w:type="gramStart"/>
      <w:r w:rsidRPr="005E55B5">
        <w:rPr>
          <w:rFonts w:ascii="標楷體" w:eastAsia="標楷體" w:hAnsi="標楷體" w:hint="eastAsia"/>
          <w:szCs w:val="28"/>
        </w:rPr>
        <w:t>脫髓鞘多</w:t>
      </w:r>
      <w:proofErr w:type="gramEnd"/>
      <w:r w:rsidRPr="005E55B5">
        <w:rPr>
          <w:rFonts w:ascii="標楷體" w:eastAsia="標楷體" w:hAnsi="標楷體" w:hint="eastAsia"/>
          <w:szCs w:val="28"/>
        </w:rPr>
        <w:t>發性神經炎（Chronic inflammatory demyelinating polyneuropathy, CIDP）：(108/2/1、108/10/1、109/4/1、110/3/1、110/12/1、111/3/1、113/11/1、115/10/1)</w:t>
      </w:r>
    </w:p>
    <w:p w14:paraId="11699E40" w14:textId="77777777" w:rsidR="005E55B5"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t>Ⅰ.限用於依歐洲神經醫學會聯合會 (European Federation of Neurological Societies; EFNS)之診斷標準確診為慢性</w:t>
      </w:r>
      <w:proofErr w:type="gramStart"/>
      <w:r w:rsidRPr="005E55B5">
        <w:rPr>
          <w:rFonts w:ascii="標楷體" w:eastAsia="標楷體" w:hAnsi="標楷體" w:hint="eastAsia"/>
        </w:rPr>
        <w:t>脫髓鞘多</w:t>
      </w:r>
      <w:proofErr w:type="gramEnd"/>
      <w:r w:rsidRPr="005E55B5">
        <w:rPr>
          <w:rFonts w:ascii="標楷體" w:eastAsia="標楷體" w:hAnsi="標楷體" w:hint="eastAsia"/>
        </w:rPr>
        <w:t>發性神經炎之2歲以上病人，且對於類固醇治療無效或無法耐受類固醇，臨床上仍產生急性惡化時使用。(110/12/1)</w:t>
      </w:r>
    </w:p>
    <w:p w14:paraId="1BE8B825" w14:textId="77777777" w:rsidR="005E55B5"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lastRenderedPageBreak/>
        <w:t>Ⅱ.前述類固醇治療無效定義，係指使用口服每日每公斤體重1mg或每日60mg prednisolone兩個月仍未有INCAT (Inflammatory Neuropathy Cause and Treatment) Disability scale 1分(含)以上之進步。</w:t>
      </w:r>
    </w:p>
    <w:p w14:paraId="49ED3470" w14:textId="77777777" w:rsidR="005E55B5"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t>Ⅲ.限由區域醫院(含)以上教學醫院神經科專科醫師或兒童神經科醫師診斷及使用。(108/2/1、115/10/1)</w:t>
      </w:r>
    </w:p>
    <w:p w14:paraId="2C019417" w14:textId="77777777" w:rsidR="005E55B5"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t>Ⅳ.需經事前審查核准後使用，每次申請半年兩個療程，每年最多四個療程，需檢附病歷資料及治療前後的INCAT評估結果。</w:t>
      </w:r>
    </w:p>
    <w:p w14:paraId="539B034E" w14:textId="77777777" w:rsidR="005E55B5"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t>Ⅴ.每月最大劑量每公斤體重2公克。</w:t>
      </w:r>
    </w:p>
    <w:p w14:paraId="7CDAB614" w14:textId="77777777" w:rsidR="005E55B5"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t>Ⅵ.如在開始兩個療程後無INCAT 1分(含)以上之進步，則不再給予高單位免疫球蛋白。</w:t>
      </w:r>
    </w:p>
    <w:p w14:paraId="6D8808EF" w14:textId="77777777" w:rsidR="005E55B5"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t>Ⅶ.經高單位免疫球蛋白治療滿1年未復發者(INCAT分數進步1分或1分以上者)，應停止治療；若停止治療後惡化(adjusted INCAT disability score change</w:t>
      </w:r>
      <w:proofErr w:type="gramStart"/>
      <w:r w:rsidRPr="005E55B5">
        <w:rPr>
          <w:rFonts w:ascii="標楷體" w:eastAsia="標楷體" w:hAnsi="標楷體" w:hint="eastAsia"/>
        </w:rPr>
        <w:t>≧</w:t>
      </w:r>
      <w:proofErr w:type="gramEnd"/>
      <w:r w:rsidRPr="005E55B5">
        <w:rPr>
          <w:rFonts w:ascii="標楷體" w:eastAsia="標楷體" w:hAnsi="標楷體" w:hint="eastAsia"/>
        </w:rPr>
        <w:t>1)的患者，可重新申請使用。</w:t>
      </w:r>
    </w:p>
    <w:p w14:paraId="5EFF6698" w14:textId="3CAB1DA0" w:rsidR="00563FFA" w:rsidRPr="005E55B5" w:rsidRDefault="005E55B5"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hint="eastAsia"/>
        </w:rPr>
        <w:t>Ⅷ.2歲以上至未滿18歲兒童限使用GAMUNEX-C、</w:t>
      </w:r>
      <w:proofErr w:type="spellStart"/>
      <w:r w:rsidRPr="005E55B5">
        <w:rPr>
          <w:rFonts w:ascii="標楷體" w:eastAsia="標楷體" w:hAnsi="標楷體" w:hint="eastAsia"/>
        </w:rPr>
        <w:t>Kiovig</w:t>
      </w:r>
      <w:proofErr w:type="spellEnd"/>
      <w:r w:rsidRPr="005E55B5">
        <w:rPr>
          <w:rFonts w:ascii="標楷體" w:eastAsia="標楷體" w:hAnsi="標楷體" w:hint="eastAsia"/>
        </w:rPr>
        <w:t>及</w:t>
      </w:r>
      <w:proofErr w:type="spellStart"/>
      <w:r w:rsidRPr="005E55B5">
        <w:rPr>
          <w:rFonts w:ascii="標楷體" w:eastAsia="標楷體" w:hAnsi="標楷體" w:hint="eastAsia"/>
        </w:rPr>
        <w:t>Privigen</w:t>
      </w:r>
      <w:proofErr w:type="spellEnd"/>
      <w:r w:rsidRPr="005E55B5">
        <w:rPr>
          <w:rFonts w:ascii="標楷體" w:eastAsia="標楷體" w:hAnsi="標楷體" w:hint="eastAsia"/>
        </w:rPr>
        <w:t xml:space="preserve"> TW。(110/12/1、111/3/1、114/10/1、115/10/1)</w:t>
      </w:r>
    </w:p>
    <w:p w14:paraId="070FC1CC" w14:textId="77777777" w:rsidR="00563FFA" w:rsidRDefault="00563FFA" w:rsidP="009143F4">
      <w:pPr>
        <w:spacing w:line="300" w:lineRule="exact"/>
        <w:ind w:left="1276" w:hanging="425"/>
        <w:rPr>
          <w:rFonts w:ascii="標楷體" w:eastAsia="標楷體" w:hAnsi="標楷體"/>
          <w:color w:val="000000"/>
          <w:szCs w:val="28"/>
        </w:rPr>
      </w:pPr>
      <w:r>
        <w:rPr>
          <w:rFonts w:ascii="標楷體" w:eastAsia="標楷體" w:hAnsi="標楷體"/>
          <w:color w:val="000000"/>
          <w:szCs w:val="28"/>
        </w:rPr>
        <w:t xml:space="preserve">(10)後天性免疫球蛋白低下症(Secondary </w:t>
      </w:r>
      <w:proofErr w:type="spellStart"/>
      <w:r>
        <w:rPr>
          <w:rFonts w:ascii="標楷體" w:eastAsia="標楷體" w:hAnsi="標楷體"/>
          <w:color w:val="000000"/>
          <w:szCs w:val="28"/>
        </w:rPr>
        <w:t>Immunodeficiency,SID</w:t>
      </w:r>
      <w:proofErr w:type="spellEnd"/>
      <w:r>
        <w:rPr>
          <w:rFonts w:ascii="標楷體" w:eastAsia="標楷體" w:hAnsi="標楷體"/>
          <w:color w:val="000000"/>
          <w:szCs w:val="28"/>
        </w:rPr>
        <w:t>)的維持性治療使用：(113/11/1)</w:t>
      </w:r>
    </w:p>
    <w:p w14:paraId="028A5ACC"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rPr>
        <w:t>Ⅰ.限用於接受骨髓或幹細胞移植病人在合併後天性免疫球蛋白低下症(SID)的維持性治療使用，預防感染或降低感染的發生率，且血清IgG濃度＜4 g/L，及過去6個月曾發生2次(含)以上嚴重感染。</w:t>
      </w:r>
    </w:p>
    <w:p w14:paraId="10C9F39E"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bookmarkStart w:id="18" w:name="_Hlk149032110"/>
      <w:r w:rsidRPr="005E55B5">
        <w:rPr>
          <w:rFonts w:ascii="標楷體" w:eastAsia="標楷體" w:hAnsi="標楷體"/>
        </w:rPr>
        <w:t>Ⅱ.療程為每4</w:t>
      </w:r>
      <w:proofErr w:type="gramStart"/>
      <w:r w:rsidRPr="005E55B5">
        <w:rPr>
          <w:rFonts w:ascii="標楷體" w:eastAsia="標楷體" w:hAnsi="標楷體"/>
        </w:rPr>
        <w:t>週</w:t>
      </w:r>
      <w:proofErr w:type="gramEnd"/>
      <w:r w:rsidRPr="005E55B5">
        <w:rPr>
          <w:rFonts w:ascii="標楷體" w:eastAsia="標楷體" w:hAnsi="標楷體"/>
        </w:rPr>
        <w:t>注射1次，每次劑量為每公斤體重0.2公克。</w:t>
      </w:r>
      <w:bookmarkEnd w:id="18"/>
    </w:p>
    <w:p w14:paraId="2E93AE06"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rPr>
        <w:t xml:space="preserve">Ⅲ.經事前審查核准後使用，每次申請以3個月為限(限使用3個療程)，並需檢附免疫球蛋白(IgG 濃度)檢查報告。 </w:t>
      </w:r>
    </w:p>
    <w:p w14:paraId="7287DA71"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rPr>
        <w:t>Ⅳ.繼續使用者，需每3個月評估一次血清IgG 濃度(於最後1次注射IVIg的4</w:t>
      </w:r>
      <w:proofErr w:type="gramStart"/>
      <w:r w:rsidRPr="005E55B5">
        <w:rPr>
          <w:rFonts w:ascii="標楷體" w:eastAsia="標楷體" w:hAnsi="標楷體"/>
        </w:rPr>
        <w:t>週</w:t>
      </w:r>
      <w:proofErr w:type="gramEnd"/>
      <w:r w:rsidRPr="005E55B5">
        <w:rPr>
          <w:rFonts w:ascii="標楷體" w:eastAsia="標楷體" w:hAnsi="標楷體"/>
        </w:rPr>
        <w:t>後或下次注射前檢測)，</w:t>
      </w:r>
      <w:bookmarkStart w:id="19" w:name="_Hlk149031951"/>
      <w:r w:rsidRPr="005E55B5">
        <w:rPr>
          <w:rFonts w:ascii="標楷體" w:eastAsia="標楷體" w:hAnsi="標楷體"/>
        </w:rPr>
        <w:t>符合血清IgG</w:t>
      </w:r>
      <w:bookmarkStart w:id="20" w:name="_Hlk149031626"/>
      <w:r w:rsidRPr="005E55B5">
        <w:rPr>
          <w:rFonts w:ascii="標楷體" w:eastAsia="標楷體" w:hAnsi="標楷體"/>
        </w:rPr>
        <w:t>濃度＜5g/L</w:t>
      </w:r>
      <w:bookmarkEnd w:id="20"/>
      <w:r w:rsidRPr="005E55B5">
        <w:rPr>
          <w:rFonts w:ascii="標楷體" w:eastAsia="標楷體" w:hAnsi="標楷體"/>
        </w:rPr>
        <w:t>，且過去3個月曾發生嚴重感染</w:t>
      </w:r>
      <w:bookmarkEnd w:id="19"/>
      <w:r w:rsidRPr="005E55B5">
        <w:rPr>
          <w:rFonts w:ascii="標楷體" w:eastAsia="標楷體" w:hAnsi="標楷體"/>
        </w:rPr>
        <w:t>，方可提出申請續用。若續用時血清IgG濃度＜5g/L則每次劑量為每公斤體重0.2-0.4公克。</w:t>
      </w:r>
    </w:p>
    <w:p w14:paraId="60D41F14" w14:textId="77777777" w:rsidR="00563FFA" w:rsidRPr="005E55B5" w:rsidRDefault="00563FFA" w:rsidP="005E55B5">
      <w:pPr>
        <w:tabs>
          <w:tab w:val="left" w:pos="993"/>
          <w:tab w:val="left" w:pos="1701"/>
        </w:tabs>
        <w:spacing w:line="300" w:lineRule="exact"/>
        <w:ind w:left="1498" w:hanging="364"/>
        <w:rPr>
          <w:rFonts w:ascii="標楷體" w:eastAsia="標楷體" w:hAnsi="標楷體"/>
        </w:rPr>
      </w:pPr>
      <w:r w:rsidRPr="005E55B5">
        <w:rPr>
          <w:rFonts w:ascii="標楷體" w:eastAsia="標楷體" w:hAnsi="標楷體"/>
        </w:rPr>
        <w:t>Ⅴ.</w:t>
      </w:r>
      <w:proofErr w:type="gramStart"/>
      <w:r w:rsidRPr="005E55B5">
        <w:rPr>
          <w:rFonts w:ascii="標楷體" w:eastAsia="標楷體" w:hAnsi="標楷體"/>
        </w:rPr>
        <w:t>上揭為預防</w:t>
      </w:r>
      <w:proofErr w:type="gramEnd"/>
      <w:r w:rsidRPr="005E55B5">
        <w:rPr>
          <w:rFonts w:ascii="標楷體" w:eastAsia="標楷體" w:hAnsi="標楷體"/>
        </w:rPr>
        <w:t>感染或降低感染發生率，限使用於正在接受壓抑B細胞之積極治療方案病人，每</w:t>
      </w:r>
      <w:proofErr w:type="gramStart"/>
      <w:r w:rsidRPr="005E55B5">
        <w:rPr>
          <w:rFonts w:ascii="標楷體" w:eastAsia="標楷體" w:hAnsi="標楷體"/>
        </w:rPr>
        <w:t>個</w:t>
      </w:r>
      <w:proofErr w:type="gramEnd"/>
      <w:r w:rsidRPr="005E55B5">
        <w:rPr>
          <w:rFonts w:ascii="標楷體" w:eastAsia="標楷體" w:hAnsi="標楷體"/>
        </w:rPr>
        <w:t>方案以9個月為上限。</w:t>
      </w:r>
    </w:p>
    <w:p w14:paraId="44B9302F" w14:textId="77777777" w:rsidR="00563FFA" w:rsidRDefault="00563FFA" w:rsidP="009143F4">
      <w:pPr>
        <w:tabs>
          <w:tab w:val="left" w:pos="709"/>
        </w:tabs>
        <w:spacing w:line="300" w:lineRule="exact"/>
        <w:ind w:left="1386" w:hanging="588"/>
        <w:rPr>
          <w:rFonts w:ascii="標楷體" w:eastAsia="標楷體" w:hAnsi="標楷體"/>
        </w:rPr>
      </w:pPr>
      <w:r>
        <w:rPr>
          <w:rFonts w:ascii="標楷體" w:eastAsia="標楷體" w:hAnsi="標楷體"/>
        </w:rPr>
        <w:t>(11)</w:t>
      </w:r>
      <w:proofErr w:type="gramStart"/>
      <w:r>
        <w:rPr>
          <w:rFonts w:ascii="標楷體" w:eastAsia="標楷體" w:hAnsi="標楷體"/>
        </w:rPr>
        <w:t>多灶性</w:t>
      </w:r>
      <w:proofErr w:type="gramEnd"/>
      <w:r>
        <w:rPr>
          <w:rFonts w:ascii="標楷體" w:eastAsia="標楷體" w:hAnsi="標楷體"/>
        </w:rPr>
        <w:t>運動神經病變(Multifocal motor neuropathy, MMN)(限使用</w:t>
      </w:r>
      <w:proofErr w:type="spellStart"/>
      <w:r>
        <w:rPr>
          <w:rFonts w:ascii="標楷體" w:eastAsia="標楷體" w:hAnsi="標楷體"/>
        </w:rPr>
        <w:t>Privigen</w:t>
      </w:r>
      <w:proofErr w:type="spellEnd"/>
      <w:r>
        <w:rPr>
          <w:rFonts w:ascii="標楷體" w:eastAsia="標楷體" w:hAnsi="標楷體"/>
        </w:rPr>
        <w:t>、</w:t>
      </w:r>
      <w:proofErr w:type="spellStart"/>
      <w:r>
        <w:rPr>
          <w:rFonts w:ascii="標楷體" w:eastAsia="標楷體" w:hAnsi="標楷體"/>
        </w:rPr>
        <w:t>Privigen</w:t>
      </w:r>
      <w:proofErr w:type="spellEnd"/>
      <w:r>
        <w:rPr>
          <w:rFonts w:ascii="標楷體" w:eastAsia="標楷體" w:hAnsi="標楷體"/>
        </w:rPr>
        <w:t xml:space="preserve"> TW Solution for Intravenous Infusion、KIOVIG、GAMUNEX-C)(114/7/1)</w:t>
      </w:r>
    </w:p>
    <w:p w14:paraId="0F7A66D3" w14:textId="77777777" w:rsidR="00563FFA" w:rsidRDefault="00563FFA" w:rsidP="009143F4">
      <w:pPr>
        <w:spacing w:line="300" w:lineRule="exact"/>
        <w:ind w:left="420" w:firstLine="672"/>
      </w:pPr>
      <w:r>
        <w:rPr>
          <w:rFonts w:ascii="標楷體" w:eastAsia="標楷體" w:hAnsi="標楷體"/>
        </w:rPr>
        <w:t>Ⅰ.</w:t>
      </w:r>
      <w:r>
        <w:rPr>
          <w:rFonts w:ascii="標楷體" w:eastAsia="標楷體" w:hAnsi="標楷體"/>
          <w:kern w:val="0"/>
        </w:rPr>
        <w:t>限用於</w:t>
      </w:r>
      <w:proofErr w:type="gramStart"/>
      <w:r>
        <w:rPr>
          <w:rFonts w:ascii="標楷體" w:eastAsia="標楷體" w:hAnsi="標楷體"/>
          <w:kern w:val="0"/>
        </w:rPr>
        <w:t>多灶性</w:t>
      </w:r>
      <w:proofErr w:type="gramEnd"/>
      <w:r>
        <w:rPr>
          <w:rFonts w:ascii="標楷體" w:eastAsia="標楷體" w:hAnsi="標楷體"/>
          <w:kern w:val="0"/>
        </w:rPr>
        <w:t>運動神經病且符合下列條件之病人：</w:t>
      </w:r>
    </w:p>
    <w:p w14:paraId="65C767C5" w14:textId="77777777" w:rsidR="00563FFA" w:rsidRDefault="00563FFA" w:rsidP="009143F4">
      <w:pPr>
        <w:tabs>
          <w:tab w:val="left" w:pos="1276"/>
          <w:tab w:val="left" w:pos="1560"/>
        </w:tabs>
        <w:spacing w:line="300" w:lineRule="exact"/>
        <w:ind w:left="1701" w:hanging="419"/>
      </w:pPr>
      <w:r>
        <w:rPr>
          <w:rFonts w:ascii="標楷體" w:eastAsia="標楷體" w:hAnsi="標楷體"/>
          <w:kern w:val="0"/>
        </w:rPr>
        <w:t xml:space="preserve"> </w:t>
      </w:r>
      <w:proofErr w:type="spellStart"/>
      <w:r>
        <w:rPr>
          <w:rFonts w:ascii="標楷體" w:eastAsia="標楷體" w:hAnsi="標楷體"/>
          <w:kern w:val="0"/>
        </w:rPr>
        <w:t>i</w:t>
      </w:r>
      <w:proofErr w:type="spellEnd"/>
      <w:r>
        <w:rPr>
          <w:rFonts w:ascii="標楷體" w:eastAsia="標楷體" w:hAnsi="標楷體"/>
          <w:kern w:val="0"/>
        </w:rPr>
        <w:t>.漸進性不對稱的局部肢體無力，至少影響到兩條運動神經支配區域，且缺乏明顯的感覺異常。</w:t>
      </w:r>
    </w:p>
    <w:p w14:paraId="2DE4D678" w14:textId="77777777" w:rsidR="00563FFA" w:rsidRDefault="00563FFA" w:rsidP="009143F4">
      <w:pPr>
        <w:spacing w:line="300" w:lineRule="exact"/>
        <w:ind w:left="420" w:firstLine="952"/>
      </w:pPr>
      <w:r>
        <w:rPr>
          <w:rFonts w:ascii="新細明體" w:hAnsi="新細明體" w:cs="新細明體"/>
          <w:kern w:val="0"/>
        </w:rPr>
        <w:t>ⅱ</w:t>
      </w:r>
      <w:r>
        <w:rPr>
          <w:rFonts w:ascii="標楷體" w:eastAsia="標楷體" w:hAnsi="標楷體"/>
          <w:kern w:val="0"/>
        </w:rPr>
        <w:t>.影響區域其肌腱反射低下或喪失。</w:t>
      </w:r>
    </w:p>
    <w:p w14:paraId="3F0494A2" w14:textId="77777777" w:rsidR="00563FFA" w:rsidRDefault="00563FFA" w:rsidP="009143F4">
      <w:pPr>
        <w:tabs>
          <w:tab w:val="left" w:pos="1134"/>
          <w:tab w:val="left" w:pos="1418"/>
        </w:tabs>
        <w:spacing w:line="300" w:lineRule="exact"/>
        <w:ind w:left="1820" w:hanging="442"/>
      </w:pPr>
      <w:r>
        <w:rPr>
          <w:rFonts w:ascii="新細明體" w:hAnsi="新細明體" w:cs="新細明體"/>
          <w:kern w:val="0"/>
        </w:rPr>
        <w:t>ⅲ</w:t>
      </w:r>
      <w:r>
        <w:rPr>
          <w:rFonts w:ascii="標楷體" w:eastAsia="標楷體" w:hAnsi="標楷體"/>
          <w:kern w:val="0"/>
        </w:rPr>
        <w:t>.影響之運動神經具備等於或超過50%傳導障礙(</w:t>
      </w:r>
      <w:r>
        <w:rPr>
          <w:rFonts w:eastAsia="標楷體"/>
          <w:kern w:val="0"/>
        </w:rPr>
        <w:t>≥</w:t>
      </w:r>
      <w:r>
        <w:rPr>
          <w:rFonts w:ascii="標楷體" w:eastAsia="標楷體" w:hAnsi="標楷體"/>
          <w:kern w:val="0"/>
        </w:rPr>
        <w:t xml:space="preserve"> 50% conduction block)。</w:t>
      </w:r>
    </w:p>
    <w:p w14:paraId="2DC6D8EE" w14:textId="77777777" w:rsidR="00563FFA" w:rsidRDefault="00563FFA" w:rsidP="009143F4">
      <w:pPr>
        <w:tabs>
          <w:tab w:val="left" w:pos="993"/>
        </w:tabs>
        <w:spacing w:line="300" w:lineRule="exact"/>
        <w:ind w:left="1750" w:hanging="498"/>
      </w:pPr>
      <w:r>
        <w:rPr>
          <w:rFonts w:ascii="標楷體" w:eastAsia="標楷體" w:hAnsi="標楷體"/>
          <w:kern w:val="0"/>
        </w:rPr>
        <w:t xml:space="preserve"> iv.排除上運動神經元徵象(upper motor neuron sign)及侵犯腦神經/延髓症狀(cranial nerves and bulbar involvement)。</w:t>
      </w:r>
    </w:p>
    <w:p w14:paraId="407CE047" w14:textId="77777777" w:rsidR="00563FFA" w:rsidRDefault="00563FFA" w:rsidP="009143F4">
      <w:pPr>
        <w:spacing w:line="300" w:lineRule="exact"/>
        <w:ind w:left="420" w:firstLine="998"/>
      </w:pPr>
      <w:r>
        <w:rPr>
          <w:rFonts w:ascii="標楷體" w:eastAsia="標楷體" w:hAnsi="標楷體"/>
          <w:kern w:val="0"/>
        </w:rPr>
        <w:t xml:space="preserve"> </w:t>
      </w:r>
      <w:proofErr w:type="spellStart"/>
      <w:r>
        <w:rPr>
          <w:rFonts w:ascii="標楷體" w:eastAsia="標楷體" w:hAnsi="標楷體"/>
          <w:kern w:val="0"/>
        </w:rPr>
        <w:t>v.ONLS</w:t>
      </w:r>
      <w:proofErr w:type="spellEnd"/>
      <w:r>
        <w:rPr>
          <w:rFonts w:ascii="標楷體" w:eastAsia="標楷體" w:hAnsi="標楷體"/>
          <w:kern w:val="0"/>
        </w:rPr>
        <w:t xml:space="preserve"> (Overall Neuropathy Limitations Scale)</w:t>
      </w:r>
      <w:r>
        <w:rPr>
          <w:rFonts w:eastAsia="標楷體"/>
          <w:kern w:val="0"/>
        </w:rPr>
        <w:t>≥</w:t>
      </w:r>
      <w:r>
        <w:rPr>
          <w:rFonts w:ascii="標楷體" w:eastAsia="標楷體" w:hAnsi="標楷體"/>
          <w:kern w:val="0"/>
        </w:rPr>
        <w:t xml:space="preserve"> 2分</w:t>
      </w:r>
      <w:r>
        <w:rPr>
          <w:rFonts w:ascii="標楷體" w:eastAsia="標楷體" w:hAnsi="標楷體"/>
          <w:kern w:val="0"/>
          <w:lang w:eastAsia="en-US"/>
        </w:rPr>
        <w:t>。</w:t>
      </w:r>
    </w:p>
    <w:p w14:paraId="11B4D804" w14:textId="77777777" w:rsidR="00563FFA" w:rsidRDefault="00563FFA" w:rsidP="009143F4">
      <w:pPr>
        <w:spacing w:line="300" w:lineRule="exact"/>
        <w:ind w:left="420" w:firstLine="714"/>
      </w:pPr>
      <w:r>
        <w:rPr>
          <w:rFonts w:ascii="標楷體" w:eastAsia="標楷體" w:hAnsi="標楷體"/>
        </w:rPr>
        <w:t>Ⅱ.</w:t>
      </w:r>
      <w:r>
        <w:rPr>
          <w:rFonts w:ascii="標楷體" w:eastAsia="標楷體" w:hAnsi="標楷體"/>
          <w:kern w:val="0"/>
        </w:rPr>
        <w:t>限由區域醫院(含)以上教學醫院神經科專科醫師診斷及使用。</w:t>
      </w:r>
    </w:p>
    <w:p w14:paraId="61CFCB39" w14:textId="77777777" w:rsidR="00563FFA" w:rsidRDefault="00563FFA" w:rsidP="009143F4">
      <w:pPr>
        <w:spacing w:line="300" w:lineRule="exact"/>
        <w:ind w:left="420" w:firstLine="714"/>
      </w:pPr>
      <w:r>
        <w:rPr>
          <w:rFonts w:ascii="標楷體" w:eastAsia="標楷體" w:hAnsi="標楷體"/>
        </w:rPr>
        <w:t>Ⅲ.</w:t>
      </w:r>
      <w:r>
        <w:rPr>
          <w:rFonts w:ascii="標楷體" w:eastAsia="標楷體" w:hAnsi="標楷體"/>
          <w:kern w:val="0"/>
        </w:rPr>
        <w:t>需經事前審查核准後使用，每次申請半年2個療程，每年最多4個療程。</w:t>
      </w:r>
    </w:p>
    <w:p w14:paraId="7BB42544" w14:textId="77777777" w:rsidR="00563FFA" w:rsidRDefault="00563FFA" w:rsidP="009143F4">
      <w:pPr>
        <w:spacing w:line="300" w:lineRule="exact"/>
        <w:ind w:left="420" w:firstLine="714"/>
      </w:pPr>
      <w:r>
        <w:rPr>
          <w:rFonts w:ascii="標楷體" w:eastAsia="標楷體" w:hAnsi="標楷體"/>
        </w:rPr>
        <w:t>Ⅳ.</w:t>
      </w:r>
      <w:r>
        <w:rPr>
          <w:rFonts w:ascii="標楷體" w:eastAsia="標楷體" w:hAnsi="標楷體"/>
          <w:kern w:val="0"/>
        </w:rPr>
        <w:t>每療程最大劑量每公斤體重2公克。</w:t>
      </w:r>
    </w:p>
    <w:p w14:paraId="4906A08E" w14:textId="77777777" w:rsidR="00563FFA" w:rsidRDefault="00563FFA" w:rsidP="009143F4">
      <w:pPr>
        <w:spacing w:line="300" w:lineRule="exact"/>
        <w:ind w:left="420" w:firstLine="714"/>
      </w:pPr>
      <w:r>
        <w:rPr>
          <w:rFonts w:ascii="標楷體" w:eastAsia="標楷體" w:hAnsi="標楷體"/>
        </w:rPr>
        <w:t>Ⅴ.</w:t>
      </w:r>
      <w:r>
        <w:rPr>
          <w:rFonts w:ascii="標楷體" w:eastAsia="標楷體" w:hAnsi="標楷體"/>
          <w:kern w:val="0"/>
        </w:rPr>
        <w:t>需檢附病歷資料、治療前後的神經傳導及ONLS量表評估結果。</w:t>
      </w:r>
    </w:p>
    <w:p w14:paraId="1E4A555C" w14:textId="77777777" w:rsidR="00563FFA" w:rsidRDefault="00563FFA" w:rsidP="009143F4">
      <w:pPr>
        <w:tabs>
          <w:tab w:val="left" w:pos="993"/>
          <w:tab w:val="left" w:pos="1701"/>
        </w:tabs>
        <w:spacing w:line="300" w:lineRule="exact"/>
        <w:ind w:left="1498" w:hanging="364"/>
      </w:pPr>
      <w:r>
        <w:rPr>
          <w:rFonts w:ascii="標楷體" w:eastAsia="標楷體" w:hAnsi="標楷體"/>
        </w:rPr>
        <w:t>Ⅵ.</w:t>
      </w:r>
      <w:r>
        <w:rPr>
          <w:rFonts w:ascii="標楷體" w:eastAsia="標楷體" w:hAnsi="標楷體"/>
          <w:kern w:val="0"/>
        </w:rPr>
        <w:t>如在開始2個療程後無ONLS 1分(含)以上之進步，則不再給予高單位免疫球蛋白治療。繼續使用者，需每半年評估一次，若ONLS量表改善或穩定無惡化者，得繼續使用下半年兩個療程。</w:t>
      </w:r>
    </w:p>
    <w:p w14:paraId="24B961DF" w14:textId="77777777" w:rsidR="00563FFA" w:rsidRDefault="00563FFA" w:rsidP="009143F4">
      <w:pPr>
        <w:spacing w:line="300" w:lineRule="exact"/>
        <w:ind w:left="1560" w:hanging="426"/>
      </w:pPr>
      <w:r>
        <w:rPr>
          <w:rFonts w:ascii="標楷體" w:eastAsia="標楷體" w:hAnsi="標楷體"/>
        </w:rPr>
        <w:t>Ⅶ.</w:t>
      </w:r>
      <w:r>
        <w:rPr>
          <w:rFonts w:ascii="標楷體" w:eastAsia="標楷體" w:hAnsi="標楷體"/>
          <w:kern w:val="0"/>
        </w:rPr>
        <w:t>經免疫球蛋白治療滿1年而未復發(ONLS進步1分(含)以上)者，應停止治療；</w:t>
      </w:r>
      <w:r>
        <w:rPr>
          <w:rFonts w:ascii="標楷體" w:eastAsia="標楷體" w:hAnsi="標楷體"/>
          <w:kern w:val="0"/>
        </w:rPr>
        <w:lastRenderedPageBreak/>
        <w:t>若停止治療後惡化(ONLS增加</w:t>
      </w:r>
      <w:r>
        <w:rPr>
          <w:rFonts w:eastAsia="標楷體"/>
          <w:kern w:val="0"/>
        </w:rPr>
        <w:t>≥</w:t>
      </w:r>
      <w:r>
        <w:rPr>
          <w:rFonts w:ascii="標楷體" w:eastAsia="標楷體" w:hAnsi="標楷體"/>
          <w:kern w:val="0"/>
        </w:rPr>
        <w:t xml:space="preserve"> 1分)的患者，可重新申請使用。</w:t>
      </w:r>
    </w:p>
    <w:p w14:paraId="76EC6B5F" w14:textId="77777777" w:rsidR="00563FFA" w:rsidRDefault="00563FFA" w:rsidP="009143F4">
      <w:pPr>
        <w:spacing w:line="300" w:lineRule="exact"/>
        <w:ind w:left="1276" w:hanging="672"/>
      </w:pPr>
      <w:r>
        <w:rPr>
          <w:rFonts w:ascii="標楷體" w:eastAsia="標楷體" w:hAnsi="標楷體"/>
          <w:szCs w:val="28"/>
        </w:rPr>
        <w:t>2.</w:t>
      </w:r>
      <w:r>
        <w:rPr>
          <w:sz w:val="22"/>
        </w:rPr>
        <w:t xml:space="preserve"> </w:t>
      </w:r>
      <w:r>
        <w:rPr>
          <w:rFonts w:ascii="標楷體" w:eastAsia="標楷體" w:hAnsi="標楷體"/>
          <w:szCs w:val="28"/>
        </w:rPr>
        <w:t xml:space="preserve">皮下注射劑：（108/2/1） </w:t>
      </w:r>
    </w:p>
    <w:p w14:paraId="66E000AA" w14:textId="77777777" w:rsidR="00563FFA" w:rsidRDefault="00563FFA" w:rsidP="009143F4">
      <w:pPr>
        <w:spacing w:line="300" w:lineRule="exact"/>
        <w:ind w:left="1064" w:hanging="84"/>
      </w:pPr>
      <w:r>
        <w:rPr>
          <w:rFonts w:ascii="標楷體" w:eastAsia="標楷體" w:hAnsi="標楷體"/>
          <w:szCs w:val="28"/>
        </w:rPr>
        <w:t>原發性免疫不全症之預防性使用，需有醫學中心之診斷證明。</w:t>
      </w:r>
    </w:p>
    <w:p w14:paraId="3A865BFD" w14:textId="77777777" w:rsidR="00563FFA" w:rsidRDefault="00563FFA" w:rsidP="009143F4">
      <w:pPr>
        <w:spacing w:line="300" w:lineRule="exact"/>
        <w:ind w:left="1276" w:hanging="1098"/>
        <w:rPr>
          <w:rFonts w:ascii="標楷體" w:eastAsia="標楷體" w:hAnsi="標楷體"/>
          <w:szCs w:val="28"/>
        </w:rPr>
      </w:pPr>
      <w:proofErr w:type="gramStart"/>
      <w:r>
        <w:rPr>
          <w:rFonts w:ascii="標楷體" w:eastAsia="標楷體" w:hAnsi="標楷體"/>
          <w:szCs w:val="28"/>
        </w:rPr>
        <w:t>註</w:t>
      </w:r>
      <w:proofErr w:type="gramEnd"/>
      <w:r>
        <w:rPr>
          <w:rFonts w:ascii="標楷體" w:eastAsia="標楷體" w:hAnsi="標楷體"/>
          <w:szCs w:val="28"/>
        </w:rPr>
        <w:t>：川崎病診斷標準：</w:t>
      </w:r>
    </w:p>
    <w:p w14:paraId="4F83D7C5" w14:textId="77777777" w:rsidR="00563FFA" w:rsidRDefault="00563FFA" w:rsidP="009143F4">
      <w:pPr>
        <w:spacing w:line="300" w:lineRule="exact"/>
        <w:ind w:left="1276" w:hanging="672"/>
        <w:rPr>
          <w:rFonts w:ascii="標楷體" w:eastAsia="標楷體" w:hAnsi="標楷體"/>
          <w:szCs w:val="28"/>
        </w:rPr>
      </w:pPr>
      <w:r>
        <w:rPr>
          <w:rFonts w:ascii="標楷體" w:eastAsia="標楷體" w:hAnsi="標楷體"/>
          <w:szCs w:val="28"/>
        </w:rPr>
        <w:t>1.發燒五天或五天以上且合併下列五項臨床症狀中至少四項。</w:t>
      </w:r>
    </w:p>
    <w:p w14:paraId="0FF978C3"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(1)兩眼眼球結膜充血。</w:t>
      </w:r>
    </w:p>
    <w:p w14:paraId="709A7C4C"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(2)嘴唇及口腔的變化：嘴唇紅、乾裂或</w:t>
      </w:r>
      <w:proofErr w:type="gramStart"/>
      <w:r>
        <w:rPr>
          <w:rFonts w:ascii="標楷體" w:eastAsia="標楷體" w:hAnsi="標楷體"/>
          <w:szCs w:val="28"/>
        </w:rPr>
        <w:t>草莓舌或咽喉</w:t>
      </w:r>
      <w:proofErr w:type="gramEnd"/>
      <w:r>
        <w:rPr>
          <w:rFonts w:ascii="標楷體" w:eastAsia="標楷體" w:hAnsi="標楷體"/>
          <w:szCs w:val="28"/>
        </w:rPr>
        <w:t>泛紅。</w:t>
      </w:r>
    </w:p>
    <w:p w14:paraId="719F56EF"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(3)</w:t>
      </w:r>
      <w:proofErr w:type="gramStart"/>
      <w:r>
        <w:rPr>
          <w:rFonts w:ascii="標楷體" w:eastAsia="標楷體" w:hAnsi="標楷體"/>
          <w:szCs w:val="28"/>
        </w:rPr>
        <w:t>肢端病變</w:t>
      </w:r>
      <w:proofErr w:type="gramEnd"/>
      <w:r>
        <w:rPr>
          <w:rFonts w:ascii="標楷體" w:eastAsia="標楷體" w:hAnsi="標楷體"/>
          <w:szCs w:val="28"/>
        </w:rPr>
        <w:t>：手（足）水腫或指（</w:t>
      </w:r>
      <w:proofErr w:type="gramStart"/>
      <w:r>
        <w:rPr>
          <w:rFonts w:ascii="標楷體" w:eastAsia="標楷體" w:hAnsi="標楷體"/>
          <w:szCs w:val="28"/>
        </w:rPr>
        <w:t>趾</w:t>
      </w:r>
      <w:proofErr w:type="gramEnd"/>
      <w:r>
        <w:rPr>
          <w:rFonts w:ascii="標楷體" w:eastAsia="標楷體" w:hAnsi="標楷體"/>
          <w:szCs w:val="28"/>
        </w:rPr>
        <w:t>）尖脫皮。</w:t>
      </w:r>
    </w:p>
    <w:p w14:paraId="08D6FB40"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(4)多形性皮疹。</w:t>
      </w:r>
    </w:p>
    <w:p w14:paraId="3A71736F"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(5)頸部淋巴腺腫。</w:t>
      </w:r>
    </w:p>
    <w:p w14:paraId="2D66311B" w14:textId="77777777" w:rsidR="00563FFA" w:rsidRDefault="00563FFA" w:rsidP="009143F4">
      <w:pPr>
        <w:spacing w:line="300" w:lineRule="exact"/>
        <w:ind w:left="1276" w:hanging="709"/>
        <w:rPr>
          <w:rFonts w:ascii="標楷體" w:eastAsia="標楷體" w:hAnsi="標楷體"/>
          <w:szCs w:val="28"/>
        </w:rPr>
      </w:pPr>
      <w:r>
        <w:rPr>
          <w:rFonts w:ascii="標楷體" w:eastAsia="標楷體" w:hAnsi="標楷體"/>
          <w:szCs w:val="28"/>
        </w:rPr>
        <w:t>2.排除其他可能引起類似臨床疾病。</w:t>
      </w:r>
    </w:p>
    <w:p w14:paraId="4476B319" w14:textId="77777777" w:rsidR="00401786" w:rsidRDefault="00563FFA" w:rsidP="009143F4">
      <w:pPr>
        <w:spacing w:line="300" w:lineRule="exact"/>
        <w:ind w:left="993" w:hanging="425"/>
      </w:pPr>
      <w:r>
        <w:rPr>
          <w:rFonts w:ascii="標楷體" w:eastAsia="標楷體" w:hAnsi="標楷體"/>
          <w:szCs w:val="28"/>
        </w:rPr>
        <w:t>3.或只符合三項臨床症狀，但心臟超音波檢查已發現有冠狀動脈病變。</w:t>
      </w:r>
    </w:p>
    <w:p w14:paraId="18C19B3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8.1.4.Immunoglobulin</w:t>
      </w:r>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Thymoglobuline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proofErr w:type="gramStart"/>
      <w:r>
        <w:rPr>
          <w:rFonts w:ascii="標楷體" w:eastAsia="標楷體" w:hAnsi="標楷體"/>
          <w:color w:val="000000"/>
        </w:rPr>
        <w:t>）</w:t>
      </w:r>
      <w:proofErr w:type="gramEnd"/>
      <w:r>
        <w:rPr>
          <w:rFonts w:ascii="標楷體" w:eastAsia="標楷體" w:hAnsi="標楷體"/>
          <w:color w:val="000000"/>
        </w:rPr>
        <w:t>(90/11/1、96/2/1、97/8/1、99/2/1、109/4/1)：</w:t>
      </w:r>
    </w:p>
    <w:p w14:paraId="566BDA8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1.限符合下列適應症病患檢附病歷摘要</w:t>
      </w:r>
      <w:proofErr w:type="gramStart"/>
      <w:r>
        <w:rPr>
          <w:rFonts w:ascii="標楷體" w:eastAsia="標楷體" w:hAnsi="標楷體"/>
          <w:color w:val="000000"/>
        </w:rPr>
        <w:t>（</w:t>
      </w:r>
      <w:proofErr w:type="gramEnd"/>
      <w:r>
        <w:rPr>
          <w:rFonts w:ascii="標楷體" w:eastAsia="標楷體" w:hAnsi="標楷體"/>
          <w:color w:val="000000"/>
        </w:rPr>
        <w:t>註明診斷、相關檢查報告及數據、體重、年齡、性別、病史)</w:t>
      </w:r>
    </w:p>
    <w:p w14:paraId="02AC4A1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(1)嚴重再生不良性貧血經傳統方法治療無效且不適合作骨髓移植之病例。</w:t>
      </w:r>
    </w:p>
    <w:p w14:paraId="26A1FE7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(2)器官移植病患併發嚴重之急性排斥反應。</w:t>
      </w:r>
    </w:p>
    <w:p w14:paraId="2FAAD22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(3)限定於異體造血幹細胞移植</w:t>
      </w:r>
      <w:proofErr w:type="gramStart"/>
      <w:r>
        <w:rPr>
          <w:rFonts w:ascii="標楷體" w:eastAsia="標楷體" w:hAnsi="標楷體"/>
          <w:color w:val="000000"/>
        </w:rPr>
        <w:t>之植體抗</w:t>
      </w:r>
      <w:proofErr w:type="gramEnd"/>
      <w:r>
        <w:rPr>
          <w:rFonts w:ascii="標楷體" w:eastAsia="標楷體" w:hAnsi="標楷體"/>
          <w:color w:val="000000"/>
        </w:rPr>
        <w:t>宿主疾病（graft versus host disease）之預防與治療。(109/4/1)</w:t>
      </w:r>
    </w:p>
    <w:p w14:paraId="474BF263"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(4)心臟移植病人使用呼吸器，並可能併發腎功能不全者。</w:t>
      </w:r>
    </w:p>
    <w:p w14:paraId="479E94D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(5)</w:t>
      </w:r>
      <w:proofErr w:type="spellStart"/>
      <w:r>
        <w:rPr>
          <w:rFonts w:ascii="標楷體" w:eastAsia="標楷體" w:hAnsi="標楷體"/>
          <w:color w:val="000000"/>
        </w:rPr>
        <w:t>Thymoglobuline</w:t>
      </w:r>
      <w:proofErr w:type="spellEnd"/>
      <w:r>
        <w:rPr>
          <w:rFonts w:ascii="標楷體" w:eastAsia="標楷體" w:hAnsi="標楷體"/>
          <w:color w:val="000000"/>
        </w:rPr>
        <w:t xml:space="preserve"> inj.可用於預防心臟、腎臟移植引起之急性排斥。(109/4/1)</w:t>
      </w:r>
    </w:p>
    <w:p w14:paraId="29C18E0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(6)作為異體造血幹細胞移植前之條件療法(109/4/1)。</w:t>
      </w:r>
    </w:p>
    <w:p w14:paraId="017318D6" w14:textId="77777777" w:rsidR="00401786" w:rsidRDefault="00C64FB3" w:rsidP="0009639E">
      <w:pPr>
        <w:spacing w:line="300" w:lineRule="exact"/>
        <w:ind w:left="629" w:hanging="346"/>
        <w:rPr>
          <w:rFonts w:ascii="標楷體" w:eastAsia="標楷體" w:hAnsi="標楷體"/>
          <w:color w:val="000000"/>
        </w:rPr>
      </w:pPr>
      <w:r>
        <w:rPr>
          <w:rFonts w:ascii="標楷體" w:eastAsia="標楷體" w:hAnsi="標楷體"/>
          <w:color w:val="000000"/>
        </w:rPr>
        <w:t>8.1.5.人用狂犬病疫苗及免疫球蛋白(如Rabipur)：(103/1/1、103/5/1、106/3/1)</w:t>
      </w:r>
    </w:p>
    <w:p w14:paraId="378C7F3E"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本類藥品</w:t>
      </w:r>
      <w:proofErr w:type="gramEnd"/>
      <w:r>
        <w:rPr>
          <w:rFonts w:ascii="標楷體" w:eastAsia="標楷體" w:hAnsi="標楷體"/>
          <w:color w:val="000000"/>
        </w:rPr>
        <w:t>使用於遭疑似狂犬病或麗沙病毒感染動物咬傷暴露後之接種，其使用對象及使用方式應依衛生福利部疾病管制署</w:t>
      </w:r>
      <w:proofErr w:type="gramStart"/>
      <w:r>
        <w:rPr>
          <w:rFonts w:ascii="標楷體" w:eastAsia="標楷體" w:hAnsi="標楷體"/>
          <w:color w:val="000000"/>
        </w:rPr>
        <w:t>最</w:t>
      </w:r>
      <w:proofErr w:type="gramEnd"/>
      <w:r>
        <w:rPr>
          <w:rFonts w:ascii="標楷體" w:eastAsia="標楷體" w:hAnsi="標楷體"/>
          <w:color w:val="000000"/>
        </w:rPr>
        <w:t>新版「疑似狂犬病或麗沙病毒感染</w:t>
      </w:r>
      <w:proofErr w:type="gramStart"/>
      <w:r>
        <w:rPr>
          <w:rFonts w:ascii="標楷體" w:eastAsia="標楷體" w:hAnsi="標楷體"/>
          <w:color w:val="000000"/>
        </w:rPr>
        <w:t>動物抓咬傷</w:t>
      </w:r>
      <w:proofErr w:type="gramEnd"/>
      <w:r>
        <w:rPr>
          <w:rFonts w:ascii="標楷體" w:eastAsia="標楷體" w:hAnsi="標楷體"/>
          <w:color w:val="000000"/>
        </w:rPr>
        <w:t>臨床處置指引」之接種建議辦理(請參閱疾病管制署狂犬病專區網頁http://www.cdc.gov.tw)。(106/3/1)</w:t>
      </w:r>
    </w:p>
    <w:p w14:paraId="23FA3B87"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2.限於疾病管制署公布之人用狂犬病疫苗接種服務醫院(衛生所)施打。(103/5/1)</w:t>
      </w:r>
    </w:p>
    <w:p w14:paraId="51CA6C5B" w14:textId="77777777" w:rsidR="00401786" w:rsidRDefault="00C64FB3" w:rsidP="0009639E">
      <w:pPr>
        <w:spacing w:line="300" w:lineRule="exact"/>
        <w:ind w:left="76" w:hanging="230"/>
      </w:pPr>
      <w:r>
        <w:rPr>
          <w:rFonts w:ascii="標楷體" w:eastAsia="標楷體" w:hAnsi="標楷體"/>
          <w:szCs w:val="24"/>
        </w:rPr>
        <w:tab/>
      </w:r>
      <w:r>
        <w:rPr>
          <w:rFonts w:ascii="標楷體" w:eastAsia="標楷體" w:hAnsi="標楷體"/>
          <w:sz w:val="20"/>
          <w:szCs w:val="20"/>
        </w:rPr>
        <w:t xml:space="preserve">  </w:t>
      </w:r>
      <w:r>
        <w:rPr>
          <w:rFonts w:ascii="標楷體" w:eastAsia="標楷體" w:hAnsi="標楷體"/>
          <w:szCs w:val="24"/>
        </w:rPr>
        <w:t>8.1.6.破傷風類毒素Tetanus toxoid：(112/11/12)</w:t>
      </w:r>
    </w:p>
    <w:p w14:paraId="5DABAF61" w14:textId="77777777" w:rsidR="00401786" w:rsidRDefault="00C64FB3" w:rsidP="0009639E">
      <w:pPr>
        <w:spacing w:line="300" w:lineRule="exact"/>
        <w:ind w:left="796" w:hanging="230"/>
      </w:pPr>
      <w:r>
        <w:rPr>
          <w:rFonts w:ascii="標楷體" w:eastAsia="標楷體" w:hAnsi="標楷體"/>
          <w:szCs w:val="24"/>
        </w:rPr>
        <w:t xml:space="preserve"> 每人每次處方限申報0.5mL。</w:t>
      </w:r>
    </w:p>
    <w:p w14:paraId="1E7411A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8.2.免疫調節劑  Immunomodulators</w:t>
      </w:r>
    </w:p>
    <w:p w14:paraId="65D5FF5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8.2.1.Cyclosporin（如</w:t>
      </w:r>
      <w:proofErr w:type="spellStart"/>
      <w:r>
        <w:rPr>
          <w:rFonts w:ascii="標楷體" w:eastAsia="標楷體" w:hAnsi="標楷體"/>
          <w:color w:val="000000"/>
        </w:rPr>
        <w:t>Sandimmun</w:t>
      </w:r>
      <w:proofErr w:type="spellEnd"/>
      <w:r>
        <w:rPr>
          <w:rFonts w:ascii="標楷體" w:eastAsia="標楷體" w:hAnsi="標楷體"/>
          <w:color w:val="000000"/>
        </w:rPr>
        <w:t>）：（86/1/1、86/9/1、89/7/1、101/10/1、111/5/1）限</w:t>
      </w:r>
    </w:p>
    <w:p w14:paraId="5DB1BE5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1.器官移植抗排斥藥物。</w:t>
      </w:r>
    </w:p>
    <w:p w14:paraId="06DFF49D" w14:textId="77777777" w:rsidR="00401786" w:rsidRDefault="00C64FB3" w:rsidP="0009639E">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嚴重</w:t>
      </w:r>
      <w:proofErr w:type="gramStart"/>
      <w:r>
        <w:rPr>
          <w:rFonts w:ascii="標楷體" w:eastAsia="標楷體" w:hAnsi="標楷體"/>
          <w:color w:val="000000"/>
        </w:rPr>
        <w:t>乾癬或異</w:t>
      </w:r>
      <w:proofErr w:type="gramEnd"/>
      <w:r>
        <w:rPr>
          <w:rFonts w:ascii="標楷體" w:eastAsia="標楷體" w:hAnsi="標楷體"/>
          <w:color w:val="000000"/>
        </w:rPr>
        <w:t>位性皮膚炎引起之</w:t>
      </w:r>
      <w:proofErr w:type="gramStart"/>
      <w:r>
        <w:rPr>
          <w:rFonts w:ascii="標楷體" w:eastAsia="標楷體" w:hAnsi="標楷體"/>
          <w:color w:val="000000"/>
        </w:rPr>
        <w:t>全身性紅皮</w:t>
      </w:r>
      <w:proofErr w:type="gramEnd"/>
      <w:r>
        <w:rPr>
          <w:rFonts w:ascii="標楷體" w:eastAsia="標楷體" w:hAnsi="標楷體"/>
          <w:color w:val="000000"/>
        </w:rPr>
        <w:t>症(需檢附照片)。(111/5/1</w:t>
      </w:r>
      <w:proofErr w:type="gramStart"/>
      <w:r>
        <w:rPr>
          <w:rFonts w:ascii="標楷體" w:eastAsia="標楷體" w:hAnsi="標楷體"/>
          <w:color w:val="000000"/>
        </w:rPr>
        <w:t>）</w:t>
      </w:r>
      <w:proofErr w:type="gramEnd"/>
      <w:r>
        <w:rPr>
          <w:rFonts w:ascii="標楷體" w:eastAsia="標楷體" w:hAnsi="標楷體"/>
          <w:color w:val="000000"/>
        </w:rPr>
        <w:t>。</w:t>
      </w:r>
    </w:p>
    <w:p w14:paraId="58B7D8D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3.自體免疫性</w:t>
      </w:r>
      <w:proofErr w:type="gramStart"/>
      <w:r>
        <w:rPr>
          <w:rFonts w:ascii="標楷體" w:eastAsia="標楷體" w:hAnsi="標楷體"/>
          <w:color w:val="000000"/>
        </w:rPr>
        <w:t>葡萄膜炎及</w:t>
      </w:r>
      <w:proofErr w:type="gramEnd"/>
      <w:r>
        <w:rPr>
          <w:rFonts w:ascii="標楷體" w:eastAsia="標楷體" w:hAnsi="標楷體"/>
          <w:color w:val="000000"/>
        </w:rPr>
        <w:t>貝西氏病病例使用，請檢附病歷摘要及診斷證明。</w:t>
      </w:r>
    </w:p>
    <w:p w14:paraId="2005A31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4.替代性療法無效或不適用之嚴重</w:t>
      </w:r>
      <w:proofErr w:type="gramStart"/>
      <w:r>
        <w:rPr>
          <w:rFonts w:ascii="標楷體" w:eastAsia="標楷體" w:hAnsi="標楷體"/>
          <w:color w:val="000000"/>
        </w:rPr>
        <w:t>乾癬或異</w:t>
      </w:r>
      <w:proofErr w:type="gramEnd"/>
      <w:r>
        <w:rPr>
          <w:rFonts w:ascii="標楷體" w:eastAsia="標楷體" w:hAnsi="標楷體"/>
          <w:color w:val="000000"/>
        </w:rPr>
        <w:t>位性皮膚炎(需檢附三個月以上之病歷與用藥紀錄)。(111/5/1</w:t>
      </w:r>
      <w:proofErr w:type="gramStart"/>
      <w:r>
        <w:rPr>
          <w:rFonts w:ascii="標楷體" w:eastAsia="標楷體" w:hAnsi="標楷體"/>
          <w:color w:val="000000"/>
        </w:rPr>
        <w:t>）</w:t>
      </w:r>
      <w:proofErr w:type="gramEnd"/>
      <w:r>
        <w:rPr>
          <w:rFonts w:ascii="標楷體" w:eastAsia="標楷體" w:hAnsi="標楷體"/>
          <w:color w:val="000000"/>
        </w:rPr>
        <w:t>。</w:t>
      </w:r>
    </w:p>
    <w:p w14:paraId="134E890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5.標準療法無效或不適用之嚴重類風濕性關節炎(需檢附三個月以上之病歷與用藥紀錄)。</w:t>
      </w:r>
    </w:p>
    <w:p w14:paraId="46EC1CC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6.以類固醇治療無效或對類固醇有依賴性的原發性腎病症候群【經活體檢視（biopsy）主要為微小病變疾病或局部環節腎絲球硬化症】，經細胞穩定劑（</w:t>
      </w:r>
      <w:proofErr w:type="spellStart"/>
      <w:r>
        <w:rPr>
          <w:rFonts w:ascii="標楷體" w:eastAsia="標楷體" w:hAnsi="標楷體"/>
          <w:color w:val="000000"/>
        </w:rPr>
        <w:t>cytostatics</w:t>
      </w:r>
      <w:proofErr w:type="spellEnd"/>
      <w:r>
        <w:rPr>
          <w:rFonts w:ascii="標楷體" w:eastAsia="標楷體" w:hAnsi="標楷體"/>
          <w:color w:val="000000"/>
        </w:rPr>
        <w:t>）治療</w:t>
      </w:r>
      <w:proofErr w:type="gramStart"/>
      <w:r>
        <w:rPr>
          <w:rFonts w:ascii="標楷體" w:eastAsia="標楷體" w:hAnsi="標楷體"/>
          <w:color w:val="000000"/>
        </w:rPr>
        <w:t>無效且腎功能</w:t>
      </w:r>
      <w:proofErr w:type="gramEnd"/>
      <w:r>
        <w:rPr>
          <w:rFonts w:ascii="標楷體" w:eastAsia="標楷體" w:hAnsi="標楷體"/>
          <w:color w:val="000000"/>
        </w:rPr>
        <w:t>指數在正常值50%以上之病人。</w:t>
      </w:r>
    </w:p>
    <w:p w14:paraId="6B17BC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7.若經病人使用cyclosporin後四</w:t>
      </w:r>
      <w:proofErr w:type="gramStart"/>
      <w:r>
        <w:rPr>
          <w:rFonts w:ascii="標楷體" w:eastAsia="標楷體" w:hAnsi="標楷體"/>
          <w:color w:val="000000"/>
        </w:rPr>
        <w:t>個</w:t>
      </w:r>
      <w:proofErr w:type="gramEnd"/>
      <w:r>
        <w:rPr>
          <w:rFonts w:ascii="標楷體" w:eastAsia="標楷體" w:hAnsi="標楷體"/>
          <w:color w:val="000000"/>
        </w:rPr>
        <w:t>月內，其每日尿蛋白量無法降低至少40%時，即認定為cyclosporin治療無效，應予以停用cyclosporin。</w:t>
      </w:r>
    </w:p>
    <w:p w14:paraId="08AB4B65" w14:textId="77777777" w:rsidR="00401786" w:rsidRDefault="00C64FB3" w:rsidP="0009639E">
      <w:pPr>
        <w:spacing w:line="300" w:lineRule="exact"/>
        <w:ind w:left="672" w:hanging="386"/>
      </w:pPr>
      <w:r>
        <w:rPr>
          <w:rFonts w:ascii="標楷體" w:eastAsia="標楷體" w:hAnsi="標楷體"/>
          <w:bCs/>
          <w:color w:val="000000"/>
        </w:rPr>
        <w:t>8.使用於後天型嚴重再生不良性貧血。</w:t>
      </w:r>
      <w:proofErr w:type="gramStart"/>
      <w:r>
        <w:rPr>
          <w:rFonts w:ascii="標楷體" w:eastAsia="標楷體" w:hAnsi="標楷體"/>
          <w:bCs/>
          <w:color w:val="000000"/>
        </w:rPr>
        <w:t>惟限使用</w:t>
      </w:r>
      <w:proofErr w:type="gramEnd"/>
      <w:r>
        <w:rPr>
          <w:rFonts w:ascii="標楷體" w:eastAsia="標楷體" w:hAnsi="標楷體"/>
          <w:bCs/>
          <w:color w:val="000000"/>
        </w:rPr>
        <w:t>「</w:t>
      </w:r>
      <w:proofErr w:type="spellStart"/>
      <w:r>
        <w:rPr>
          <w:rFonts w:ascii="標楷體" w:eastAsia="標楷體" w:hAnsi="標楷體"/>
          <w:bCs/>
          <w:color w:val="000000"/>
        </w:rPr>
        <w:t>Sandimmun</w:t>
      </w:r>
      <w:proofErr w:type="spellEnd"/>
      <w:r>
        <w:rPr>
          <w:rFonts w:ascii="標楷體" w:eastAsia="標楷體" w:hAnsi="標楷體"/>
          <w:bCs/>
          <w:color w:val="000000"/>
        </w:rPr>
        <w:t xml:space="preserve"> </w:t>
      </w:r>
      <w:proofErr w:type="spellStart"/>
      <w:r>
        <w:rPr>
          <w:rFonts w:ascii="標楷體" w:eastAsia="標楷體" w:hAnsi="標楷體"/>
          <w:bCs/>
          <w:color w:val="000000"/>
        </w:rPr>
        <w:t>Neoral</w:t>
      </w:r>
      <w:proofErr w:type="spellEnd"/>
      <w:r>
        <w:rPr>
          <w:rFonts w:ascii="標楷體" w:eastAsia="標楷體" w:hAnsi="標楷體"/>
          <w:bCs/>
          <w:color w:val="000000"/>
        </w:rPr>
        <w:t xml:space="preserve"> Soft Gelatin Capsules 25mg」及「</w:t>
      </w:r>
      <w:proofErr w:type="spellStart"/>
      <w:r>
        <w:rPr>
          <w:rFonts w:ascii="標楷體" w:eastAsia="標楷體" w:hAnsi="標楷體"/>
          <w:bCs/>
          <w:color w:val="000000"/>
        </w:rPr>
        <w:t>Sandimmun</w:t>
      </w:r>
      <w:proofErr w:type="spellEnd"/>
      <w:r>
        <w:rPr>
          <w:rFonts w:ascii="標楷體" w:eastAsia="標楷體" w:hAnsi="標楷體"/>
          <w:bCs/>
          <w:color w:val="000000"/>
        </w:rPr>
        <w:t xml:space="preserve"> </w:t>
      </w:r>
      <w:proofErr w:type="spellStart"/>
      <w:r>
        <w:rPr>
          <w:rFonts w:ascii="標楷體" w:eastAsia="標楷體" w:hAnsi="標楷體"/>
          <w:bCs/>
          <w:color w:val="000000"/>
        </w:rPr>
        <w:t>Neoral</w:t>
      </w:r>
      <w:proofErr w:type="spellEnd"/>
      <w:r>
        <w:rPr>
          <w:rFonts w:ascii="標楷體" w:eastAsia="標楷體" w:hAnsi="標楷體"/>
          <w:bCs/>
          <w:color w:val="000000"/>
        </w:rPr>
        <w:t xml:space="preserve"> Oral Solution </w:t>
      </w:r>
      <w:r>
        <w:rPr>
          <w:rFonts w:ascii="標楷體" w:eastAsia="標楷體" w:hAnsi="標楷體"/>
          <w:color w:val="000000"/>
        </w:rPr>
        <w:t>100mg/mL」。（101/10/1）</w:t>
      </w:r>
    </w:p>
    <w:p w14:paraId="2E782773"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8.2.</w:t>
      </w:r>
      <w:proofErr w:type="gramStart"/>
      <w:r>
        <w:rPr>
          <w:rFonts w:ascii="標楷體" w:eastAsia="標楷體" w:hAnsi="標楷體"/>
          <w:color w:val="000000"/>
        </w:rPr>
        <w:t>2.Tacrolimus</w:t>
      </w:r>
      <w:proofErr w:type="gramEnd"/>
    </w:p>
    <w:p w14:paraId="528E44B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8.2.2.1.Tacrolimus持續性口服製劑：(98/8/1)</w:t>
      </w:r>
    </w:p>
    <w:p w14:paraId="36EFD7F5"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1.成人肝、腎移植之第一線用藥。</w:t>
      </w:r>
    </w:p>
    <w:p w14:paraId="2A3CAEEB"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2.成人肝、腎移植cyclosporin無效之第二線用藥。</w:t>
      </w:r>
    </w:p>
    <w:p w14:paraId="750F29D6"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8.2.2.2.Tacrolimus 注射劑及其他非持續性口服製劑： (88/8/1、93/12/1、102/7/1)</w:t>
      </w:r>
    </w:p>
    <w:p w14:paraId="61C4E6FC"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1.肝臟及腎臟移植之第一線</w:t>
      </w:r>
      <w:proofErr w:type="gramStart"/>
      <w:r>
        <w:rPr>
          <w:rFonts w:ascii="標楷體" w:eastAsia="標楷體" w:hAnsi="標楷體"/>
          <w:color w:val="000000"/>
        </w:rPr>
        <w:t>用藥或肝腎</w:t>
      </w:r>
      <w:proofErr w:type="gramEnd"/>
      <w:r>
        <w:rPr>
          <w:rFonts w:ascii="標楷體" w:eastAsia="標楷體" w:hAnsi="標楷體"/>
          <w:color w:val="000000"/>
        </w:rPr>
        <w:t>移植cyclosporin無效之第二線用藥。</w:t>
      </w:r>
    </w:p>
    <w:p w14:paraId="59DE2F48"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2.心臟移植之第一線、第二線用藥。</w:t>
      </w:r>
    </w:p>
    <w:p w14:paraId="3BC8BFE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8.2.3.多發性硬化症治療藥品 (91/4/1、92/3/1、92/12/1、93/3/1、94/10/1、96/7/1、97/8/1、99/10/1、100/5/1、100/10/1、101/9/1、102/10/1、107/7/1、107/10/1、108/7/1、109/1/1、109/11/1、112/3/1</w:t>
      </w:r>
      <w:r w:rsidR="00953F0F">
        <w:rPr>
          <w:rFonts w:ascii="標楷體" w:eastAsia="標楷體" w:hAnsi="標楷體" w:hint="eastAsia"/>
          <w:color w:val="000000"/>
        </w:rPr>
        <w:t>、115/3/1</w:t>
      </w:r>
      <w:r>
        <w:rPr>
          <w:rFonts w:ascii="標楷體" w:eastAsia="標楷體" w:hAnsi="標楷體"/>
          <w:color w:val="000000"/>
        </w:rPr>
        <w:t>)</w:t>
      </w:r>
    </w:p>
    <w:p w14:paraId="1F7736EC" w14:textId="77777777" w:rsidR="00C6448D" w:rsidRPr="00065A54" w:rsidRDefault="00C6448D" w:rsidP="005A4100">
      <w:pPr>
        <w:autoSpaceDE w:val="0"/>
        <w:adjustRightInd w:val="0"/>
        <w:spacing w:line="300" w:lineRule="exact"/>
        <w:ind w:leftChars="101" w:left="708" w:hangingChars="194" w:hanging="466"/>
        <w:rPr>
          <w:rFonts w:ascii="標楷體" w:eastAsia="標楷體" w:hAnsi="標楷體"/>
          <w:color w:val="000000"/>
          <w:szCs w:val="24"/>
        </w:rPr>
      </w:pPr>
      <w:r w:rsidRPr="00065A54">
        <w:rPr>
          <w:rFonts w:ascii="標楷體" w:eastAsia="標楷體" w:hAnsi="標楷體"/>
          <w:szCs w:val="24"/>
        </w:rPr>
        <w:t>8.2.3.1.Interferon beta-la (</w:t>
      </w:r>
      <w:r w:rsidRPr="00065A54">
        <w:rPr>
          <w:rFonts w:ascii="標楷體" w:eastAsia="標楷體" w:hAnsi="標楷體" w:hint="eastAsia"/>
          <w:szCs w:val="24"/>
        </w:rPr>
        <w:t>如</w:t>
      </w:r>
      <w:r w:rsidRPr="00065A54">
        <w:rPr>
          <w:rFonts w:ascii="標楷體" w:eastAsia="標楷體" w:hAnsi="標楷體"/>
          <w:szCs w:val="24"/>
        </w:rPr>
        <w:t xml:space="preserve">Rebif) </w:t>
      </w:r>
      <w:r w:rsidRPr="00065A54">
        <w:rPr>
          <w:rFonts w:ascii="標楷體" w:eastAsia="標楷體" w:hAnsi="標楷體" w:hint="eastAsia"/>
          <w:szCs w:val="24"/>
        </w:rPr>
        <w:t>、</w:t>
      </w:r>
      <w:r w:rsidRPr="00065A54">
        <w:rPr>
          <w:rFonts w:ascii="標楷體" w:eastAsia="標楷體" w:hAnsi="標楷體"/>
          <w:szCs w:val="24"/>
        </w:rPr>
        <w:t>teriflunomide 14mg (</w:t>
      </w:r>
      <w:r w:rsidRPr="00065A54">
        <w:rPr>
          <w:rFonts w:ascii="標楷體" w:eastAsia="標楷體" w:hAnsi="標楷體" w:hint="eastAsia"/>
          <w:szCs w:val="24"/>
        </w:rPr>
        <w:t>如</w:t>
      </w:r>
      <w:proofErr w:type="spellStart"/>
      <w:r w:rsidRPr="00065A54">
        <w:rPr>
          <w:rFonts w:ascii="標楷體" w:eastAsia="標楷體" w:hAnsi="標楷體"/>
          <w:szCs w:val="24"/>
        </w:rPr>
        <w:t>Aubagio</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 xml:space="preserve"> dimethyl fumarate (</w:t>
      </w:r>
      <w:r w:rsidRPr="00065A54">
        <w:rPr>
          <w:rFonts w:ascii="標楷體" w:eastAsia="標楷體" w:hAnsi="標楷體" w:hint="eastAsia"/>
          <w:szCs w:val="24"/>
        </w:rPr>
        <w:t>如</w:t>
      </w:r>
      <w:r w:rsidRPr="00065A54">
        <w:rPr>
          <w:rFonts w:ascii="標楷體" w:eastAsia="標楷體" w:hAnsi="標楷體"/>
          <w:szCs w:val="24"/>
        </w:rPr>
        <w:t>Tecfidera)</w:t>
      </w:r>
      <w:r w:rsidRPr="00065A54">
        <w:rPr>
          <w:rFonts w:ascii="標楷體" w:eastAsia="標楷體" w:hAnsi="標楷體" w:hint="eastAsia"/>
          <w:szCs w:val="24"/>
        </w:rPr>
        <w:t>、</w:t>
      </w:r>
      <w:r w:rsidRPr="00065A54">
        <w:rPr>
          <w:rFonts w:ascii="標楷體" w:eastAsia="標楷體" w:hAnsi="標楷體"/>
          <w:szCs w:val="24"/>
        </w:rPr>
        <w:t>peginterferon beta-1a (</w:t>
      </w:r>
      <w:r w:rsidRPr="00065A54">
        <w:rPr>
          <w:rFonts w:ascii="標楷體" w:eastAsia="標楷體" w:hAnsi="標楷體" w:hint="eastAsia"/>
          <w:szCs w:val="24"/>
        </w:rPr>
        <w:t>如</w:t>
      </w:r>
      <w:proofErr w:type="spellStart"/>
      <w:r w:rsidRPr="00065A54">
        <w:rPr>
          <w:rFonts w:ascii="標楷體" w:eastAsia="標楷體" w:hAnsi="標楷體"/>
          <w:szCs w:val="24"/>
        </w:rPr>
        <w:t>Plegridy</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ozanimod (</w:t>
      </w:r>
      <w:r w:rsidRPr="00065A54">
        <w:rPr>
          <w:rFonts w:ascii="標楷體" w:eastAsia="標楷體" w:hAnsi="標楷體" w:hint="eastAsia"/>
          <w:szCs w:val="24"/>
        </w:rPr>
        <w:t>如</w:t>
      </w:r>
      <w:proofErr w:type="spellStart"/>
      <w:r w:rsidRPr="00065A54">
        <w:rPr>
          <w:rFonts w:ascii="標楷體" w:eastAsia="標楷體" w:hAnsi="標楷體"/>
          <w:szCs w:val="24"/>
        </w:rPr>
        <w:t>Zeposia</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cladribine(</w:t>
      </w:r>
      <w:r w:rsidRPr="00065A54">
        <w:rPr>
          <w:rFonts w:ascii="標楷體" w:eastAsia="標楷體" w:hAnsi="標楷體" w:hint="eastAsia"/>
          <w:szCs w:val="24"/>
        </w:rPr>
        <w:t>如</w:t>
      </w:r>
      <w:proofErr w:type="spellStart"/>
      <w:r w:rsidRPr="00065A54">
        <w:rPr>
          <w:rFonts w:ascii="標楷體" w:eastAsia="標楷體" w:hAnsi="標楷體"/>
          <w:szCs w:val="24"/>
        </w:rPr>
        <w:t>Mavenclad</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color w:val="000000"/>
          <w:szCs w:val="24"/>
        </w:rPr>
        <w:t>(91/4/1、97/8/1、100/10/1、106/10/1、107/7/1、107/10/1、109/11/1、112/3/1</w:t>
      </w:r>
      <w:r w:rsidRPr="00065A54">
        <w:rPr>
          <w:rFonts w:ascii="標楷體" w:eastAsia="標楷體" w:hAnsi="標楷體" w:hint="eastAsia"/>
          <w:color w:val="000000"/>
          <w:szCs w:val="24"/>
        </w:rPr>
        <w:t>、115</w:t>
      </w:r>
      <w:r w:rsidRPr="00065A54">
        <w:rPr>
          <w:rFonts w:ascii="標楷體" w:eastAsia="標楷體" w:hAnsi="標楷體" w:hint="eastAsia"/>
          <w:szCs w:val="24"/>
        </w:rPr>
        <w:t>/</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p>
    <w:p w14:paraId="3B82B714" w14:textId="77777777" w:rsidR="00C6448D" w:rsidRPr="00065A54" w:rsidRDefault="00C6448D" w:rsidP="005A4100">
      <w:pPr>
        <w:spacing w:line="300" w:lineRule="exact"/>
        <w:ind w:leftChars="233" w:left="849" w:hangingChars="121" w:hanging="290"/>
        <w:rPr>
          <w:rFonts w:ascii="標楷體" w:eastAsia="標楷體" w:hAnsi="標楷體"/>
          <w:szCs w:val="24"/>
        </w:rPr>
      </w:pPr>
      <w:r w:rsidRPr="00065A54">
        <w:rPr>
          <w:rFonts w:ascii="標楷體" w:eastAsia="標楷體" w:hAnsi="標楷體"/>
          <w:color w:val="000000"/>
          <w:szCs w:val="24"/>
        </w:rPr>
        <w:t>1.</w:t>
      </w:r>
      <w:r w:rsidRPr="00065A54">
        <w:rPr>
          <w:rFonts w:ascii="標楷體" w:eastAsia="標楷體" w:hAnsi="標楷體" w:hint="eastAsia"/>
          <w:szCs w:val="24"/>
        </w:rPr>
        <w:t>限用於復發型多發性硬化症。</w:t>
      </w:r>
    </w:p>
    <w:p w14:paraId="20B64EB6" w14:textId="77777777" w:rsidR="00C6448D" w:rsidRPr="00065A54" w:rsidRDefault="00C6448D" w:rsidP="005A4100">
      <w:pPr>
        <w:spacing w:line="300" w:lineRule="exact"/>
        <w:ind w:leftChars="233" w:left="849" w:hangingChars="121" w:hanging="290"/>
        <w:rPr>
          <w:rFonts w:ascii="標楷體" w:eastAsia="標楷體" w:hAnsi="標楷體"/>
          <w:color w:val="000000"/>
          <w:szCs w:val="24"/>
        </w:rPr>
      </w:pPr>
      <w:r w:rsidRPr="00065A54">
        <w:rPr>
          <w:rFonts w:ascii="標楷體" w:eastAsia="標楷體" w:hAnsi="標楷體" w:hint="eastAsia"/>
          <w:color w:val="000000"/>
          <w:szCs w:val="24"/>
        </w:rPr>
        <w:t>2.初次使用teriflunomide、dimethyl fumarate、peginterferon beta-1a</w:t>
      </w:r>
      <w:r w:rsidRPr="00065A54">
        <w:rPr>
          <w:rFonts w:ascii="標楷體" w:eastAsia="標楷體" w:hAnsi="標楷體" w:hint="eastAsia"/>
          <w:szCs w:val="24"/>
        </w:rPr>
        <w:t>、</w:t>
      </w:r>
      <w:r w:rsidRPr="00065A54">
        <w:rPr>
          <w:rFonts w:ascii="標楷體" w:eastAsia="標楷體" w:hAnsi="標楷體"/>
          <w:szCs w:val="24"/>
        </w:rPr>
        <w:t>ozanimod</w:t>
      </w:r>
      <w:r w:rsidRPr="00065A54">
        <w:rPr>
          <w:rFonts w:ascii="標楷體" w:eastAsia="標楷體" w:hAnsi="標楷體" w:hint="eastAsia"/>
          <w:szCs w:val="24"/>
        </w:rPr>
        <w:t>及</w:t>
      </w:r>
      <w:r w:rsidRPr="00065A54">
        <w:rPr>
          <w:rFonts w:ascii="標楷體" w:eastAsia="標楷體" w:hAnsi="標楷體"/>
          <w:szCs w:val="24"/>
        </w:rPr>
        <w:t>cladribine</w:t>
      </w:r>
      <w:r w:rsidRPr="00065A54">
        <w:rPr>
          <w:rFonts w:ascii="標楷體" w:eastAsia="標楷體" w:hAnsi="標楷體" w:hint="eastAsia"/>
          <w:color w:val="000000"/>
          <w:szCs w:val="24"/>
        </w:rPr>
        <w:t>時需經事前審查核准後使用</w:t>
      </w:r>
      <w:r w:rsidRPr="00065A54">
        <w:rPr>
          <w:rFonts w:ascii="標楷體" w:eastAsia="標楷體" w:hAnsi="標楷體"/>
          <w:color w:val="000000"/>
          <w:szCs w:val="24"/>
        </w:rPr>
        <w:t>(109/11/1、112/3/1</w:t>
      </w:r>
      <w:r w:rsidRPr="00065A54">
        <w:rPr>
          <w:rFonts w:ascii="標楷體" w:eastAsia="標楷體" w:hAnsi="標楷體" w:hint="eastAsia"/>
          <w:color w:val="000000"/>
          <w:szCs w:val="24"/>
        </w:rPr>
        <w:t>、115</w:t>
      </w:r>
      <w:r w:rsidRPr="00065A54">
        <w:rPr>
          <w:rFonts w:ascii="標楷體" w:eastAsia="標楷體" w:hAnsi="標楷體" w:hint="eastAsia"/>
          <w:szCs w:val="24"/>
        </w:rPr>
        <w:t>/</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r w:rsidRPr="00065A54">
        <w:rPr>
          <w:rFonts w:ascii="標楷體" w:eastAsia="標楷體" w:hAnsi="標楷體" w:hint="eastAsia"/>
          <w:color w:val="000000"/>
          <w:szCs w:val="24"/>
        </w:rPr>
        <w:t>。</w:t>
      </w:r>
    </w:p>
    <w:p w14:paraId="0CF66ACC" w14:textId="77777777" w:rsidR="00C6448D" w:rsidRPr="00065A54" w:rsidRDefault="00C6448D" w:rsidP="005A4100">
      <w:pPr>
        <w:spacing w:line="300" w:lineRule="exact"/>
        <w:ind w:leftChars="233" w:left="780" w:hangingChars="92" w:hanging="221"/>
        <w:rPr>
          <w:rFonts w:ascii="標楷體" w:eastAsia="標楷體" w:hAnsi="標楷體"/>
          <w:color w:val="000000"/>
          <w:szCs w:val="24"/>
        </w:rPr>
      </w:pPr>
      <w:r w:rsidRPr="00065A54">
        <w:rPr>
          <w:rFonts w:ascii="標楷體" w:eastAsia="標楷體" w:hAnsi="標楷體" w:hint="eastAsia"/>
          <w:color w:val="000000"/>
          <w:szCs w:val="24"/>
        </w:rPr>
        <w:t xml:space="preserve">3.不適用於視神經脊髓炎（neuromyelitis </w:t>
      </w:r>
      <w:proofErr w:type="spellStart"/>
      <w:r w:rsidRPr="00065A54">
        <w:rPr>
          <w:rFonts w:ascii="標楷體" w:eastAsia="標楷體" w:hAnsi="標楷體" w:hint="eastAsia"/>
          <w:color w:val="000000"/>
          <w:szCs w:val="24"/>
        </w:rPr>
        <w:t>optica</w:t>
      </w:r>
      <w:proofErr w:type="spellEnd"/>
      <w:r w:rsidRPr="00065A54">
        <w:rPr>
          <w:rFonts w:ascii="標楷體" w:eastAsia="標楷體" w:hAnsi="標楷體" w:hint="eastAsia"/>
          <w:color w:val="000000"/>
          <w:szCs w:val="24"/>
        </w:rPr>
        <w:t>, NMO），包括</w:t>
      </w:r>
      <w:r w:rsidRPr="00065A54">
        <w:rPr>
          <w:rFonts w:ascii="標楷體" w:eastAsia="標楷體" w:hAnsi="標楷體" w:hint="eastAsia"/>
          <w:szCs w:val="24"/>
        </w:rPr>
        <w:t>：</w:t>
      </w:r>
      <w:r w:rsidRPr="00065A54">
        <w:rPr>
          <w:rFonts w:ascii="標楷體" w:eastAsia="標楷體" w:hAnsi="標楷體"/>
          <w:color w:val="000000"/>
          <w:szCs w:val="24"/>
        </w:rPr>
        <w:t>(100/10/1)</w:t>
      </w:r>
    </w:p>
    <w:p w14:paraId="646BBCF2" w14:textId="77777777" w:rsidR="00C6448D" w:rsidRPr="00065A54" w:rsidRDefault="00C6448D" w:rsidP="005A4100">
      <w:pPr>
        <w:spacing w:line="300" w:lineRule="exact"/>
        <w:ind w:leftChars="350" w:left="1133" w:hangingChars="122" w:hanging="293"/>
        <w:rPr>
          <w:rFonts w:ascii="標楷體" w:eastAsia="標楷體" w:hAnsi="標楷體"/>
          <w:color w:val="000000"/>
          <w:szCs w:val="24"/>
        </w:rPr>
      </w:pPr>
      <w:r w:rsidRPr="00065A54">
        <w:rPr>
          <w:rFonts w:ascii="標楷體" w:eastAsia="標楷體" w:hAnsi="標楷體"/>
          <w:color w:val="000000"/>
          <w:szCs w:val="24"/>
        </w:rPr>
        <w:t>(1)</w:t>
      </w:r>
      <w:r w:rsidRPr="00065A54">
        <w:rPr>
          <w:rFonts w:ascii="標楷體" w:eastAsia="標楷體" w:hAnsi="標楷體" w:hint="eastAsia"/>
          <w:szCs w:val="24"/>
        </w:rPr>
        <w:t>有視神經及脊髓發作</w:t>
      </w:r>
      <w:r w:rsidRPr="00065A54">
        <w:rPr>
          <w:rFonts w:ascii="標楷體" w:eastAsia="標楷體" w:hAnsi="標楷體" w:hint="eastAsia"/>
          <w:color w:val="000000"/>
          <w:szCs w:val="24"/>
        </w:rPr>
        <w:t>。</w:t>
      </w:r>
    </w:p>
    <w:p w14:paraId="143C6988" w14:textId="77777777" w:rsidR="00C6448D" w:rsidRPr="00065A54" w:rsidRDefault="00C6448D" w:rsidP="005A4100">
      <w:pPr>
        <w:spacing w:line="300" w:lineRule="exact"/>
        <w:ind w:leftChars="350" w:left="1133" w:hangingChars="122" w:hanging="293"/>
        <w:rPr>
          <w:rFonts w:ascii="標楷體" w:eastAsia="標楷體" w:hAnsi="標楷體"/>
          <w:szCs w:val="24"/>
        </w:rPr>
      </w:pPr>
      <w:r w:rsidRPr="00065A54">
        <w:rPr>
          <w:rFonts w:ascii="標楷體" w:eastAsia="標楷體" w:hAnsi="標楷體"/>
          <w:color w:val="000000"/>
          <w:szCs w:val="24"/>
        </w:rPr>
        <w:t>(2)</w:t>
      </w:r>
      <w:r w:rsidRPr="00065A54">
        <w:rPr>
          <w:rFonts w:ascii="標楷體" w:eastAsia="標楷體" w:hAnsi="標楷體" w:hint="eastAsia"/>
          <w:szCs w:val="24"/>
        </w:rPr>
        <w:t>出現下列</w:t>
      </w:r>
      <w:r w:rsidRPr="00065A54">
        <w:rPr>
          <w:rFonts w:ascii="標楷體" w:eastAsia="標楷體" w:hAnsi="標楷體"/>
          <w:szCs w:val="24"/>
        </w:rPr>
        <w:t>2</w:t>
      </w:r>
      <w:r w:rsidRPr="00065A54">
        <w:rPr>
          <w:rFonts w:ascii="標楷體" w:eastAsia="標楷體" w:hAnsi="標楷體" w:hint="eastAsia"/>
          <w:szCs w:val="24"/>
        </w:rPr>
        <w:t>種以上症狀：</w:t>
      </w:r>
    </w:p>
    <w:p w14:paraId="6CA9432C" w14:textId="77777777" w:rsidR="00C6448D" w:rsidRPr="00065A54" w:rsidRDefault="00C6448D" w:rsidP="005A4100">
      <w:pPr>
        <w:snapToGrid w:val="0"/>
        <w:spacing w:line="300" w:lineRule="exact"/>
        <w:ind w:leftChars="577" w:left="1841" w:hangingChars="190" w:hanging="456"/>
        <w:rPr>
          <w:rFonts w:ascii="標楷體" w:eastAsia="標楷體" w:hAnsi="標楷體"/>
          <w:szCs w:val="24"/>
        </w:rPr>
      </w:pPr>
      <w:proofErr w:type="spellStart"/>
      <w:r w:rsidRPr="00065A54">
        <w:rPr>
          <w:rFonts w:ascii="標楷體" w:eastAsia="標楷體" w:hAnsi="標楷體" w:hint="eastAsia"/>
          <w:szCs w:val="24"/>
        </w:rPr>
        <w:t>i</w:t>
      </w:r>
      <w:proofErr w:type="spellEnd"/>
      <w:r w:rsidRPr="00065A54">
        <w:rPr>
          <w:rFonts w:ascii="標楷體" w:eastAsia="標楷體" w:hAnsi="標楷體" w:hint="eastAsia"/>
          <w:szCs w:val="24"/>
        </w:rPr>
        <w:t>.脊髓侵犯大於</w:t>
      </w:r>
      <w:r w:rsidRPr="00065A54">
        <w:rPr>
          <w:rFonts w:ascii="標楷體" w:eastAsia="標楷體" w:hAnsi="標楷體"/>
          <w:szCs w:val="24"/>
        </w:rPr>
        <w:t xml:space="preserve"> 3 </w:t>
      </w:r>
      <w:r w:rsidRPr="00065A54">
        <w:rPr>
          <w:rFonts w:ascii="標楷體" w:eastAsia="標楷體" w:hAnsi="標楷體" w:hint="eastAsia"/>
          <w:szCs w:val="24"/>
        </w:rPr>
        <w:t>節。</w:t>
      </w:r>
    </w:p>
    <w:p w14:paraId="3482D4BD" w14:textId="77777777" w:rsidR="00C6448D" w:rsidRPr="00065A54" w:rsidRDefault="00C6448D" w:rsidP="005A4100">
      <w:pPr>
        <w:snapToGrid w:val="0"/>
        <w:spacing w:line="300" w:lineRule="exact"/>
        <w:ind w:leftChars="577" w:left="1841" w:hangingChars="190" w:hanging="456"/>
        <w:rPr>
          <w:rFonts w:ascii="標楷體" w:eastAsia="標楷體" w:hAnsi="標楷體"/>
          <w:szCs w:val="24"/>
        </w:rPr>
      </w:pPr>
      <w:r w:rsidRPr="00065A54">
        <w:rPr>
          <w:rFonts w:ascii="標楷體" w:eastAsia="標楷體" w:hAnsi="標楷體" w:hint="eastAsia"/>
          <w:szCs w:val="24"/>
        </w:rPr>
        <w:t>ii</w:t>
      </w:r>
      <w:r w:rsidRPr="00065A54">
        <w:rPr>
          <w:rFonts w:ascii="標楷體" w:eastAsia="標楷體" w:hAnsi="標楷體"/>
          <w:szCs w:val="24"/>
        </w:rPr>
        <w:t>.</w:t>
      </w:r>
      <w:r w:rsidRPr="00065A54">
        <w:rPr>
          <w:rFonts w:ascii="標楷體" w:eastAsia="標楷體" w:hAnsi="標楷體" w:hint="eastAsia"/>
          <w:szCs w:val="24"/>
        </w:rPr>
        <w:t xml:space="preserve"> NMO-IgG or Aquaporin-4 抗體陽性。</w:t>
      </w:r>
    </w:p>
    <w:p w14:paraId="1A2823EA" w14:textId="77777777" w:rsidR="00C6448D" w:rsidRPr="00065A54" w:rsidRDefault="00C6448D" w:rsidP="005A4100">
      <w:pPr>
        <w:snapToGrid w:val="0"/>
        <w:spacing w:line="300" w:lineRule="exact"/>
        <w:ind w:leftChars="577" w:left="1841" w:hangingChars="190" w:hanging="456"/>
        <w:rPr>
          <w:rFonts w:ascii="標楷體" w:eastAsia="標楷體" w:hAnsi="標楷體"/>
          <w:szCs w:val="24"/>
        </w:rPr>
      </w:pPr>
      <w:r w:rsidRPr="00065A54">
        <w:rPr>
          <w:rFonts w:ascii="標楷體" w:eastAsia="標楷體" w:hAnsi="標楷體" w:hint="eastAsia"/>
          <w:szCs w:val="24"/>
        </w:rPr>
        <w:t>iii</w:t>
      </w:r>
      <w:r w:rsidRPr="00065A54">
        <w:rPr>
          <w:rFonts w:ascii="標楷體" w:eastAsia="標楷體" w:hAnsi="標楷體"/>
          <w:szCs w:val="24"/>
        </w:rPr>
        <w:t>.</w:t>
      </w:r>
      <w:r w:rsidRPr="00065A54">
        <w:rPr>
          <w:rFonts w:ascii="標楷體" w:eastAsia="標楷體" w:hAnsi="標楷體"/>
          <w:szCs w:val="24"/>
        </w:rPr>
        <w:tab/>
      </w:r>
      <w:r w:rsidRPr="00065A54">
        <w:rPr>
          <w:rFonts w:ascii="標楷體" w:eastAsia="標楷體" w:hAnsi="標楷體" w:hint="eastAsia"/>
          <w:szCs w:val="24"/>
        </w:rPr>
        <w:t>腦部磁振造影不符合多發性硬化症診斷標準。</w:t>
      </w:r>
    </w:p>
    <w:p w14:paraId="10F685E7" w14:textId="77777777" w:rsidR="00C6448D" w:rsidRPr="00065A54" w:rsidRDefault="00C6448D" w:rsidP="005A4100">
      <w:pPr>
        <w:spacing w:line="300" w:lineRule="exact"/>
        <w:ind w:leftChars="233" w:left="780" w:hangingChars="92" w:hanging="221"/>
        <w:rPr>
          <w:rFonts w:ascii="標楷體" w:eastAsia="標楷體" w:hAnsi="標楷體"/>
          <w:color w:val="000000"/>
          <w:szCs w:val="24"/>
        </w:rPr>
      </w:pPr>
      <w:r w:rsidRPr="00065A54">
        <w:rPr>
          <w:rFonts w:ascii="標楷體" w:eastAsia="標楷體" w:hAnsi="標楷體" w:hint="eastAsia"/>
          <w:szCs w:val="24"/>
        </w:rPr>
        <w:t>4.Oza</w:t>
      </w:r>
      <w:r w:rsidRPr="000C7C9A">
        <w:rPr>
          <w:rFonts w:ascii="標楷體" w:eastAsia="標楷體" w:hAnsi="標楷體" w:hint="eastAsia"/>
          <w:color w:val="000000"/>
          <w:szCs w:val="24"/>
        </w:rPr>
        <w:t>nimod每日限用1粒，若治療無效，第二線治療藥物不得使用fingolimod。</w:t>
      </w:r>
      <w:r w:rsidRPr="00065A54">
        <w:rPr>
          <w:rFonts w:ascii="標楷體" w:eastAsia="標楷體" w:hAnsi="標楷體"/>
          <w:color w:val="000000"/>
          <w:szCs w:val="24"/>
        </w:rPr>
        <w:t>(112/3/1)</w:t>
      </w:r>
    </w:p>
    <w:p w14:paraId="5C7BA3BE" w14:textId="77777777" w:rsidR="00C6448D" w:rsidRPr="00065A54" w:rsidRDefault="00C6448D" w:rsidP="005A4100">
      <w:pPr>
        <w:spacing w:line="300" w:lineRule="exact"/>
        <w:ind w:leftChars="233" w:left="780" w:hangingChars="92" w:hanging="221"/>
        <w:rPr>
          <w:rFonts w:ascii="標楷體" w:eastAsia="標楷體" w:hAnsi="標楷體"/>
          <w:szCs w:val="24"/>
        </w:rPr>
      </w:pPr>
      <w:r w:rsidRPr="000C7C9A">
        <w:rPr>
          <w:rFonts w:ascii="標楷體" w:eastAsia="標楷體" w:hAnsi="標楷體" w:hint="eastAsia"/>
          <w:color w:val="000000"/>
          <w:szCs w:val="24"/>
        </w:rPr>
        <w:t>5.Cladri</w:t>
      </w:r>
      <w:r w:rsidRPr="00065A54">
        <w:rPr>
          <w:rFonts w:ascii="標楷體" w:eastAsia="標楷體" w:hAnsi="標楷體" w:hint="eastAsia"/>
          <w:szCs w:val="24"/>
        </w:rPr>
        <w:t>bine不適用EDSS(Expanded Disabi1ity Status Scale)大於5.5之病人。首次申請限給付兩年，且須符合下列任</w:t>
      </w:r>
      <w:proofErr w:type="gramStart"/>
      <w:r w:rsidRPr="00065A54">
        <w:rPr>
          <w:rFonts w:ascii="標楷體" w:eastAsia="標楷體" w:hAnsi="標楷體" w:hint="eastAsia"/>
          <w:szCs w:val="24"/>
        </w:rPr>
        <w:t>一</w:t>
      </w:r>
      <w:proofErr w:type="gramEnd"/>
      <w:r w:rsidRPr="00065A54">
        <w:rPr>
          <w:rFonts w:ascii="標楷體" w:eastAsia="標楷體" w:hAnsi="標楷體" w:hint="eastAsia"/>
          <w:szCs w:val="24"/>
        </w:rPr>
        <w:t>條件：(115/</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p>
    <w:p w14:paraId="0E458C0A" w14:textId="77777777" w:rsidR="00C6448D" w:rsidRPr="00065A54" w:rsidRDefault="00C6448D" w:rsidP="005A4100">
      <w:pPr>
        <w:spacing w:line="300" w:lineRule="exact"/>
        <w:ind w:leftChars="321" w:left="1132" w:hangingChars="151" w:hanging="362"/>
        <w:rPr>
          <w:rFonts w:ascii="標楷體" w:eastAsia="標楷體" w:hAnsi="標楷體"/>
          <w:color w:val="000000"/>
          <w:szCs w:val="24"/>
        </w:rPr>
      </w:pPr>
      <w:r w:rsidRPr="00065A54">
        <w:rPr>
          <w:rFonts w:ascii="標楷體" w:eastAsia="標楷體" w:hAnsi="標楷體"/>
          <w:color w:val="000000"/>
          <w:szCs w:val="24"/>
        </w:rPr>
        <w:t>(1)</w:t>
      </w:r>
      <w:r w:rsidRPr="00065A54">
        <w:rPr>
          <w:rFonts w:ascii="標楷體" w:eastAsia="標楷體" w:hAnsi="標楷體" w:hint="eastAsia"/>
          <w:szCs w:val="24"/>
        </w:rPr>
        <w:t xml:space="preserve">未使用DMT </w:t>
      </w:r>
      <w:r w:rsidRPr="00065A54">
        <w:rPr>
          <w:rFonts w:ascii="標楷體" w:eastAsia="標楷體" w:hAnsi="標楷體" w:hint="eastAsia"/>
          <w:color w:val="000000"/>
          <w:szCs w:val="24"/>
        </w:rPr>
        <w:t>(disease-modifying therapies)</w:t>
      </w:r>
      <w:r w:rsidRPr="00065A54">
        <w:rPr>
          <w:rFonts w:ascii="標楷體" w:eastAsia="標楷體" w:hAnsi="標楷體" w:hint="eastAsia"/>
          <w:szCs w:val="24"/>
        </w:rPr>
        <w:t>藥物，但前一年有兩次發作，且MRI檢查至少有T1-gadolinium enhancing病灶或T2病灶惡化</w:t>
      </w:r>
      <w:r w:rsidRPr="00065A54">
        <w:rPr>
          <w:rFonts w:ascii="標楷體" w:eastAsia="標楷體" w:hAnsi="標楷體" w:hint="eastAsia"/>
          <w:color w:val="000000"/>
          <w:szCs w:val="24"/>
        </w:rPr>
        <w:t>。</w:t>
      </w:r>
    </w:p>
    <w:p w14:paraId="1D1A1136" w14:textId="77777777" w:rsidR="00C6448D" w:rsidRPr="00065A54" w:rsidRDefault="00C6448D" w:rsidP="005A4100">
      <w:pPr>
        <w:spacing w:line="300" w:lineRule="exact"/>
        <w:ind w:leftChars="321" w:left="1132" w:hangingChars="151" w:hanging="362"/>
        <w:rPr>
          <w:rFonts w:ascii="標楷體" w:eastAsia="標楷體" w:hAnsi="標楷體"/>
          <w:color w:val="000000"/>
          <w:szCs w:val="24"/>
        </w:rPr>
      </w:pPr>
      <w:r w:rsidRPr="00065A54">
        <w:rPr>
          <w:rFonts w:ascii="標楷體" w:eastAsia="標楷體" w:hAnsi="標楷體" w:hint="eastAsia"/>
          <w:color w:val="000000"/>
          <w:szCs w:val="24"/>
        </w:rPr>
        <w:t>(2)使用其他DMT藥物後，一年仍有一次復發且經MRI檢查確認疾病活躍。</w:t>
      </w:r>
    </w:p>
    <w:p w14:paraId="0C12F33A" w14:textId="77777777" w:rsidR="00C6448D" w:rsidRPr="00065A54" w:rsidRDefault="00C6448D" w:rsidP="005A4100">
      <w:pPr>
        <w:spacing w:line="300" w:lineRule="exact"/>
        <w:ind w:leftChars="321" w:left="1132" w:hangingChars="151" w:hanging="362"/>
        <w:rPr>
          <w:rFonts w:ascii="標楷體" w:eastAsia="標楷體" w:hAnsi="標楷體"/>
          <w:color w:val="000000"/>
          <w:szCs w:val="24"/>
        </w:rPr>
      </w:pPr>
      <w:r w:rsidRPr="00065A54">
        <w:rPr>
          <w:rFonts w:ascii="標楷體" w:eastAsia="標楷體" w:hAnsi="標楷體" w:hint="eastAsia"/>
          <w:color w:val="000000"/>
          <w:szCs w:val="24"/>
        </w:rPr>
        <w:t>(3)滿四年後若有復發或核磁共振上出現疾病活性可再次申請。</w:t>
      </w:r>
    </w:p>
    <w:p w14:paraId="4E09AACC" w14:textId="77777777" w:rsidR="00401786" w:rsidRDefault="00C6448D" w:rsidP="005A4100">
      <w:pPr>
        <w:spacing w:line="300" w:lineRule="exact"/>
        <w:ind w:left="912" w:hanging="386"/>
        <w:rPr>
          <w:rFonts w:ascii="標楷體" w:eastAsia="標楷體" w:hAnsi="標楷體"/>
          <w:color w:val="000000"/>
        </w:rPr>
      </w:pPr>
      <w:r w:rsidRPr="00065A54">
        <w:rPr>
          <w:rFonts w:ascii="標楷體" w:eastAsia="標楷體" w:hAnsi="標楷體"/>
          <w:szCs w:val="24"/>
        </w:rPr>
        <w:t>6</w:t>
      </w:r>
      <w:r w:rsidRPr="00065A54">
        <w:rPr>
          <w:rFonts w:ascii="標楷體" w:eastAsia="標楷體" w:hAnsi="標楷體" w:hint="eastAsia"/>
          <w:szCs w:val="24"/>
        </w:rPr>
        <w:t>.</w:t>
      </w:r>
      <w:r w:rsidRPr="000C7C9A">
        <w:rPr>
          <w:rFonts w:ascii="標楷體" w:eastAsia="標楷體" w:hAnsi="標楷體" w:hint="eastAsia"/>
          <w:color w:val="000000"/>
          <w:szCs w:val="24"/>
        </w:rPr>
        <w:t>Interferon</w:t>
      </w:r>
      <w:r w:rsidRPr="00065A54">
        <w:rPr>
          <w:rFonts w:ascii="標楷體" w:eastAsia="標楷體" w:hAnsi="標楷體" w:hint="eastAsia"/>
          <w:szCs w:val="24"/>
        </w:rPr>
        <w:t xml:space="preserve"> beta-la、teriflunomide 14mg、dimethyl fumarate、peginterferon beta-1a、ozanimod及c</w:t>
      </w:r>
      <w:r w:rsidRPr="00065A54">
        <w:rPr>
          <w:rFonts w:ascii="標楷體" w:eastAsia="標楷體" w:hAnsi="標楷體"/>
          <w:szCs w:val="24"/>
        </w:rPr>
        <w:t>ladribine</w:t>
      </w:r>
      <w:r w:rsidRPr="00065A54">
        <w:rPr>
          <w:rFonts w:ascii="標楷體" w:eastAsia="標楷體" w:hAnsi="標楷體" w:hint="eastAsia"/>
          <w:szCs w:val="24"/>
        </w:rPr>
        <w:t>不得合併使用。</w:t>
      </w:r>
      <w:r w:rsidRPr="00065A54">
        <w:rPr>
          <w:rFonts w:ascii="標楷體" w:eastAsia="標楷體" w:hAnsi="標楷體"/>
          <w:szCs w:val="24"/>
        </w:rPr>
        <w:t>(112/3/1</w:t>
      </w:r>
      <w:r w:rsidRPr="00065A54">
        <w:rPr>
          <w:rFonts w:ascii="標楷體" w:eastAsia="標楷體" w:hAnsi="標楷體" w:hint="eastAsia"/>
          <w:szCs w:val="24"/>
        </w:rPr>
        <w:t>、115/</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szCs w:val="24"/>
        </w:rPr>
        <w:t>)</w:t>
      </w:r>
    </w:p>
    <w:p w14:paraId="63EA2CD3" w14:textId="77777777" w:rsidR="00401786" w:rsidRDefault="00C64FB3" w:rsidP="0009639E">
      <w:pPr>
        <w:spacing w:line="300" w:lineRule="exact"/>
        <w:ind w:left="240"/>
        <w:rPr>
          <w:rFonts w:ascii="標楷體" w:eastAsia="標楷體" w:hAnsi="標楷體"/>
          <w:color w:val="000000"/>
        </w:rPr>
      </w:pPr>
      <w:r>
        <w:rPr>
          <w:rFonts w:ascii="標楷體" w:eastAsia="標楷體" w:hAnsi="標楷體"/>
          <w:color w:val="000000"/>
        </w:rPr>
        <w:t>8.2.3.2.Interferon beta-1b (如</w:t>
      </w:r>
      <w:proofErr w:type="spellStart"/>
      <w:r>
        <w:rPr>
          <w:rFonts w:ascii="標楷體" w:eastAsia="標楷體" w:hAnsi="標楷體"/>
          <w:color w:val="000000"/>
        </w:rPr>
        <w:t>Betaferon</w:t>
      </w:r>
      <w:proofErr w:type="spellEnd"/>
      <w:r>
        <w:rPr>
          <w:rFonts w:ascii="標楷體" w:eastAsia="標楷體" w:hAnsi="標楷體"/>
          <w:color w:val="000000"/>
        </w:rPr>
        <w:t xml:space="preserve"> 8MIU)：(92/3/1、92/12/1、93/3/1、97/8/1、99/10/1、100/10/1、106/10/1)</w:t>
      </w:r>
    </w:p>
    <w:p w14:paraId="29C676E4"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w:t>
      </w:r>
    </w:p>
    <w:p w14:paraId="3DCBD34F"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降低反覆發作型多發性硬化症的發作頻率及嚴重度。(100/10/1、106/10/1)</w:t>
      </w:r>
    </w:p>
    <w:p w14:paraId="4F76464E"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降低續發型多發性硬化症的發作頻率及嚴重度。(100/10/1、106/10/1)。</w:t>
      </w:r>
    </w:p>
    <w:p w14:paraId="0773F88E"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發生單一臨床症狀（Clinically Isolated Syndrome）疑似多發性硬化症的病患。使用時需符合下列規定：(99/10/1、106/10/1)</w:t>
      </w:r>
    </w:p>
    <w:p w14:paraId="07130760" w14:textId="77777777" w:rsidR="00401786" w:rsidRDefault="00C64FB3" w:rsidP="0009639E">
      <w:pPr>
        <w:pStyle w:val="af"/>
        <w:spacing w:line="300" w:lineRule="exact"/>
        <w:ind w:left="910"/>
        <w:rPr>
          <w:rFonts w:ascii="標楷體" w:eastAsia="標楷體" w:hAnsi="標楷體"/>
          <w:color w:val="000000"/>
        </w:rPr>
      </w:pPr>
      <w:r>
        <w:rPr>
          <w:rFonts w:ascii="標楷體" w:eastAsia="標楷體" w:hAnsi="標楷體"/>
          <w:color w:val="000000"/>
        </w:rPr>
        <w:t>限神經科醫師申請使用，申請時必須附病歷及具2個以上MS-like病灶點之MRI影像，以確認符合Clinical Isolated Syndrome (CIS)。</w:t>
      </w:r>
    </w:p>
    <w:p w14:paraId="000EB2AA"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 xml:space="preserve">不適用於視神經脊髓炎（neuromyelitis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 NMO），包括：(100/10/1)</w:t>
      </w:r>
    </w:p>
    <w:p w14:paraId="4EE8CD7E" w14:textId="77777777" w:rsidR="00401786" w:rsidRDefault="00C64FB3" w:rsidP="0009639E">
      <w:pPr>
        <w:pStyle w:val="af"/>
        <w:spacing w:line="300" w:lineRule="exact"/>
        <w:ind w:firstLine="399"/>
        <w:rPr>
          <w:rFonts w:ascii="標楷體" w:eastAsia="標楷體" w:hAnsi="標楷體"/>
          <w:color w:val="000000"/>
        </w:rPr>
      </w:pPr>
      <w:r>
        <w:rPr>
          <w:rFonts w:ascii="標楷體" w:eastAsia="標楷體" w:hAnsi="標楷體"/>
          <w:color w:val="000000"/>
        </w:rPr>
        <w:t>(1)有視神經及脊髓發作。</w:t>
      </w:r>
    </w:p>
    <w:p w14:paraId="54203B48" w14:textId="77777777" w:rsidR="00401786" w:rsidRDefault="00C64FB3" w:rsidP="0009639E">
      <w:pPr>
        <w:pStyle w:val="af"/>
        <w:spacing w:line="300" w:lineRule="exact"/>
        <w:ind w:firstLine="399"/>
        <w:rPr>
          <w:rFonts w:ascii="標楷體" w:eastAsia="標楷體" w:hAnsi="標楷體"/>
          <w:color w:val="000000"/>
        </w:rPr>
      </w:pPr>
      <w:r>
        <w:rPr>
          <w:rFonts w:ascii="標楷體" w:eastAsia="標楷體" w:hAnsi="標楷體"/>
          <w:color w:val="000000"/>
        </w:rPr>
        <w:t>(2)出現下列2種以上症狀：</w:t>
      </w:r>
    </w:p>
    <w:p w14:paraId="738F1ED5" w14:textId="77777777" w:rsidR="00401786" w:rsidRDefault="00C64FB3" w:rsidP="0009639E">
      <w:pPr>
        <w:spacing w:line="300" w:lineRule="exact"/>
        <w:ind w:left="120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脊髓侵犯大於3節。</w:t>
      </w:r>
    </w:p>
    <w:p w14:paraId="549EBDE0" w14:textId="77777777" w:rsidR="00401786" w:rsidRDefault="00C64FB3" w:rsidP="0009639E">
      <w:pPr>
        <w:spacing w:line="300" w:lineRule="exact"/>
        <w:ind w:left="1200"/>
        <w:rPr>
          <w:rFonts w:ascii="標楷體" w:eastAsia="標楷體" w:hAnsi="標楷體"/>
          <w:color w:val="000000"/>
        </w:rPr>
      </w:pPr>
      <w:proofErr w:type="spellStart"/>
      <w:r>
        <w:rPr>
          <w:rFonts w:ascii="標楷體" w:eastAsia="標楷體" w:hAnsi="標楷體"/>
          <w:color w:val="000000"/>
        </w:rPr>
        <w:t>iiNMO</w:t>
      </w:r>
      <w:proofErr w:type="spellEnd"/>
      <w:r>
        <w:rPr>
          <w:rFonts w:ascii="標楷體" w:eastAsia="標楷體" w:hAnsi="標楷體"/>
          <w:color w:val="000000"/>
        </w:rPr>
        <w:t>-IgG or Aquaporin-4抗體陽性。</w:t>
      </w:r>
    </w:p>
    <w:p w14:paraId="68E714D0" w14:textId="77777777" w:rsidR="00401786" w:rsidRDefault="00C64FB3" w:rsidP="0009639E">
      <w:pPr>
        <w:spacing w:line="300" w:lineRule="exact"/>
        <w:ind w:left="720" w:firstLine="480"/>
        <w:rPr>
          <w:rFonts w:ascii="標楷體" w:eastAsia="標楷體" w:hAnsi="標楷體"/>
          <w:color w:val="000000"/>
        </w:rPr>
      </w:pPr>
      <w:r>
        <w:rPr>
          <w:rFonts w:ascii="標楷體" w:eastAsia="標楷體" w:hAnsi="標楷體"/>
          <w:color w:val="000000"/>
        </w:rPr>
        <w:lastRenderedPageBreak/>
        <w:t>iii腦</w:t>
      </w:r>
      <w:proofErr w:type="gramStart"/>
      <w:r>
        <w:rPr>
          <w:rFonts w:ascii="標楷體" w:eastAsia="標楷體" w:hAnsi="標楷體"/>
          <w:color w:val="000000"/>
        </w:rPr>
        <w:t>部磁振造</w:t>
      </w:r>
      <w:proofErr w:type="gramEnd"/>
      <w:r>
        <w:rPr>
          <w:rFonts w:ascii="標楷體" w:eastAsia="標楷體" w:hAnsi="標楷體"/>
          <w:color w:val="000000"/>
        </w:rPr>
        <w:t>影不符合多發性硬化症診斷標準。</w:t>
      </w:r>
    </w:p>
    <w:p w14:paraId="0416529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8.2.3.3.Glatiramer acetate (如Copaxone injection)：(94/10/1、97/8/1)</w:t>
      </w:r>
    </w:p>
    <w:p w14:paraId="676C562E"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限用於復發型多發性硬化症，Copaxone用於減少復發型多發性硬化症病人的復發頻率。</w:t>
      </w:r>
    </w:p>
    <w:p w14:paraId="42331A4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8.2.3.4.Natalizumab (如Tysabri) （100/5/1）:</w:t>
      </w:r>
    </w:p>
    <w:p w14:paraId="3D84AB8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1.限用於interferon-beta 或 glatiramer 治療無效之復發型多發性硬化症病人。</w:t>
      </w:r>
    </w:p>
    <w:p w14:paraId="25B6272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2.前述治療無效定義，係指患者臨床上每年有2次（含）以上的失能發作，且</w:t>
      </w:r>
      <w:proofErr w:type="gramStart"/>
      <w:r>
        <w:rPr>
          <w:rFonts w:ascii="標楷體" w:eastAsia="標楷體" w:hAnsi="標楷體"/>
          <w:color w:val="000000"/>
        </w:rPr>
        <w:t>併</w:t>
      </w:r>
      <w:proofErr w:type="gramEnd"/>
      <w:r>
        <w:rPr>
          <w:rFonts w:ascii="標楷體" w:eastAsia="標楷體" w:hAnsi="標楷體"/>
          <w:color w:val="000000"/>
        </w:rPr>
        <w:t>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5809B2D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(1)磁振攝影（MRI）影像的T2增強訊號病灶明顯增加。</w:t>
      </w:r>
    </w:p>
    <w:p w14:paraId="071F364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(2)至少出現1 </w:t>
      </w:r>
      <w:proofErr w:type="gramStart"/>
      <w:r>
        <w:rPr>
          <w:rFonts w:ascii="標楷體" w:eastAsia="標楷體" w:hAnsi="標楷體"/>
          <w:color w:val="000000"/>
        </w:rPr>
        <w:t>個釓</w:t>
      </w:r>
      <w:proofErr w:type="gramEnd"/>
      <w:r>
        <w:rPr>
          <w:rFonts w:ascii="標楷體" w:eastAsia="標楷體" w:hAnsi="標楷體"/>
          <w:color w:val="000000"/>
        </w:rPr>
        <w:t>增強病灶(gadolinium-enhancing lesions)。</w:t>
      </w:r>
    </w:p>
    <w:p w14:paraId="5373116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3.病患若為眼神經脊髓炎(neuromyelitis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)或曾經有脊髓發作超過三節或三節(</w:t>
      </w:r>
      <w:proofErr w:type="gramStart"/>
      <w:r>
        <w:rPr>
          <w:rFonts w:ascii="標楷體" w:eastAsia="標楷體" w:hAnsi="標楷體"/>
          <w:color w:val="000000"/>
        </w:rPr>
        <w:t>≧</w:t>
      </w:r>
      <w:proofErr w:type="gramEnd"/>
      <w:r>
        <w:rPr>
          <w:rFonts w:ascii="標楷體" w:eastAsia="標楷體" w:hAnsi="標楷體"/>
          <w:color w:val="000000"/>
        </w:rPr>
        <w:t>3 vertebral bodies) 以上者，不得使用。</w:t>
      </w:r>
    </w:p>
    <w:p w14:paraId="006F3F5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4.僅限於「多發性硬化症擴展殘疾狀況評分表」</w:t>
      </w:r>
      <w:proofErr w:type="gramStart"/>
      <w:r>
        <w:rPr>
          <w:rFonts w:ascii="標楷體" w:eastAsia="標楷體" w:hAnsi="標楷體"/>
          <w:color w:val="000000"/>
        </w:rPr>
        <w:t>（</w:t>
      </w:r>
      <w:proofErr w:type="gramEnd"/>
      <w:r>
        <w:rPr>
          <w:rFonts w:ascii="標楷體" w:eastAsia="標楷體" w:hAnsi="標楷體"/>
          <w:color w:val="000000"/>
        </w:rPr>
        <w:t>Expanded Disability Status Scale；EDSS</w:t>
      </w:r>
      <w:proofErr w:type="gramStart"/>
      <w:r>
        <w:rPr>
          <w:rFonts w:ascii="標楷體" w:eastAsia="標楷體" w:hAnsi="標楷體"/>
          <w:color w:val="000000"/>
        </w:rPr>
        <w:t>）</w:t>
      </w:r>
      <w:proofErr w:type="gramEnd"/>
      <w:r>
        <w:rPr>
          <w:rFonts w:ascii="標楷體" w:eastAsia="標楷體" w:hAnsi="標楷體"/>
          <w:color w:val="000000"/>
        </w:rPr>
        <w:t>小於5.5者使用。</w:t>
      </w:r>
    </w:p>
    <w:p w14:paraId="46DD927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5.須經事前審查核准後使用，每年須重新申請，排除眼神經脊髓炎(neuromyelitis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)病患。處方醫師應事先告知病患，使用本案藥品無法完全排除發生「進行性</w:t>
      </w:r>
      <w:proofErr w:type="gramStart"/>
      <w:r>
        <w:rPr>
          <w:rFonts w:ascii="標楷體" w:eastAsia="標楷體" w:hAnsi="標楷體"/>
          <w:color w:val="000000"/>
        </w:rPr>
        <w:t>多灶性</w:t>
      </w:r>
      <w:proofErr w:type="gramEnd"/>
      <w:r>
        <w:rPr>
          <w:rFonts w:ascii="標楷體" w:eastAsia="標楷體" w:hAnsi="標楷體"/>
          <w:color w:val="000000"/>
        </w:rPr>
        <w:t>白質腦病」(Progressive multifocal leukoencephalopathy；PML)之副作用，PML致死率高，且臨床上不易處理。</w:t>
      </w:r>
    </w:p>
    <w:p w14:paraId="3D47EED7" w14:textId="77777777" w:rsidR="00164259" w:rsidRPr="0065082A" w:rsidRDefault="00164259" w:rsidP="00164259">
      <w:pPr>
        <w:autoSpaceDE w:val="0"/>
        <w:adjustRightInd w:val="0"/>
        <w:spacing w:line="300" w:lineRule="exact"/>
        <w:ind w:left="466" w:hangingChars="194" w:hanging="466"/>
        <w:jc w:val="both"/>
        <w:rPr>
          <w:rFonts w:ascii="標楷體" w:eastAsia="標楷體" w:hAnsi="標楷體"/>
          <w:color w:val="000000"/>
          <w:szCs w:val="24"/>
        </w:rPr>
      </w:pPr>
      <w:r w:rsidRPr="0065082A">
        <w:rPr>
          <w:rFonts w:ascii="標楷體" w:eastAsia="標楷體" w:hAnsi="標楷體" w:hint="eastAsia"/>
          <w:szCs w:val="24"/>
        </w:rPr>
        <w:t>8.2.3.5.Fingolimod(如</w:t>
      </w:r>
      <w:proofErr w:type="spellStart"/>
      <w:r w:rsidRPr="0065082A">
        <w:rPr>
          <w:rFonts w:ascii="標楷體" w:eastAsia="標楷體" w:hAnsi="標楷體" w:hint="eastAsia"/>
          <w:szCs w:val="24"/>
        </w:rPr>
        <w:t>Gilenya</w:t>
      </w:r>
      <w:proofErr w:type="spellEnd"/>
      <w:r w:rsidRPr="0065082A">
        <w:rPr>
          <w:rFonts w:ascii="標楷體" w:eastAsia="標楷體" w:hAnsi="標楷體" w:hint="eastAsia"/>
          <w:szCs w:val="24"/>
        </w:rPr>
        <w:t>)：</w:t>
      </w:r>
      <w:r w:rsidRPr="0065082A">
        <w:rPr>
          <w:rFonts w:ascii="標楷體" w:eastAsia="標楷體" w:hAnsi="標楷體"/>
          <w:color w:val="000000"/>
          <w:szCs w:val="24"/>
        </w:rPr>
        <w:t>(101/9/1、102/10/1、109/1/1、109/10/1</w:t>
      </w:r>
      <w:r w:rsidRPr="0065082A">
        <w:rPr>
          <w:rFonts w:ascii="標楷體" w:eastAsia="標楷體" w:hAnsi="標楷體" w:hint="eastAsia"/>
          <w:color w:val="000000"/>
          <w:szCs w:val="24"/>
        </w:rPr>
        <w:t>、115</w:t>
      </w:r>
      <w:r w:rsidRPr="0065082A">
        <w:rPr>
          <w:rFonts w:ascii="標楷體" w:eastAsia="標楷體" w:hAnsi="標楷體" w:hint="eastAsia"/>
          <w:szCs w:val="24"/>
        </w:rPr>
        <w:t>/</w:t>
      </w:r>
      <w:r w:rsidRPr="0065082A">
        <w:rPr>
          <w:rFonts w:ascii="標楷體" w:eastAsia="標楷體" w:hAnsi="標楷體"/>
          <w:szCs w:val="24"/>
        </w:rPr>
        <w:t>3</w:t>
      </w:r>
      <w:r w:rsidRPr="0065082A">
        <w:rPr>
          <w:rFonts w:ascii="標楷體" w:eastAsia="標楷體" w:hAnsi="標楷體" w:hint="eastAsia"/>
          <w:szCs w:val="24"/>
        </w:rPr>
        <w:t>/1</w:t>
      </w:r>
      <w:r w:rsidRPr="0065082A">
        <w:rPr>
          <w:rFonts w:ascii="標楷體" w:eastAsia="標楷體" w:hAnsi="標楷體"/>
          <w:color w:val="000000"/>
          <w:szCs w:val="24"/>
        </w:rPr>
        <w:t>)</w:t>
      </w:r>
    </w:p>
    <w:p w14:paraId="0BA281BB" w14:textId="77777777" w:rsidR="00164259" w:rsidRPr="0065082A" w:rsidRDefault="00164259" w:rsidP="00164259">
      <w:pPr>
        <w:autoSpaceDE w:val="0"/>
        <w:adjustRightInd w:val="0"/>
        <w:spacing w:line="300" w:lineRule="exact"/>
        <w:ind w:leftChars="117" w:left="567" w:hangingChars="119" w:hanging="286"/>
        <w:jc w:val="both"/>
        <w:rPr>
          <w:rFonts w:ascii="標楷體" w:eastAsia="標楷體" w:hAnsi="標楷體"/>
          <w:szCs w:val="24"/>
        </w:rPr>
      </w:pPr>
      <w:r w:rsidRPr="0065082A">
        <w:rPr>
          <w:rFonts w:ascii="標楷體" w:eastAsia="標楷體" w:hAnsi="標楷體" w:hint="eastAsia"/>
          <w:color w:val="000000"/>
          <w:szCs w:val="24"/>
        </w:rPr>
        <w:t>1.限用於雖已接受乙型干擾素或 glatiramer 治療，相較於前一年度復發率仍不變或反而上升之高度活躍型復發緩解之多發性硬化症病人(highly active relapsing</w:t>
      </w:r>
      <w:proofErr w:type="gramStart"/>
      <w:r w:rsidRPr="0065082A">
        <w:rPr>
          <w:rFonts w:ascii="標楷體" w:eastAsia="標楷體" w:hAnsi="標楷體" w:hint="eastAsia"/>
          <w:color w:val="000000"/>
          <w:szCs w:val="24"/>
        </w:rPr>
        <w:t>–</w:t>
      </w:r>
      <w:proofErr w:type="gramEnd"/>
      <w:r w:rsidRPr="0065082A">
        <w:rPr>
          <w:rFonts w:ascii="標楷體" w:eastAsia="標楷體" w:hAnsi="標楷體" w:hint="eastAsia"/>
          <w:color w:val="000000"/>
          <w:szCs w:val="24"/>
        </w:rPr>
        <w:t xml:space="preserve"> remitting multiple sclerosis即前一年有一次以上復發或是前兩年有兩次以上復發)，但排除使用於</w:t>
      </w:r>
      <w:r w:rsidRPr="0065082A">
        <w:rPr>
          <w:rFonts w:ascii="標楷體" w:eastAsia="標楷體" w:hAnsi="標楷體" w:hint="eastAsia"/>
          <w:szCs w:val="24"/>
        </w:rPr>
        <w:t>：</w:t>
      </w:r>
    </w:p>
    <w:p w14:paraId="74578B51" w14:textId="77777777" w:rsidR="00164259" w:rsidRPr="0065082A" w:rsidRDefault="00164259" w:rsidP="00164259">
      <w:pPr>
        <w:autoSpaceDE w:val="0"/>
        <w:adjustRightInd w:val="0"/>
        <w:spacing w:line="300" w:lineRule="exact"/>
        <w:ind w:leftChars="262" w:left="991" w:hangingChars="151" w:hanging="362"/>
        <w:jc w:val="both"/>
        <w:rPr>
          <w:rFonts w:ascii="標楷體" w:eastAsia="標楷體" w:hAnsi="標楷體"/>
          <w:szCs w:val="24"/>
        </w:rPr>
      </w:pPr>
      <w:r w:rsidRPr="0065082A">
        <w:rPr>
          <w:rFonts w:ascii="標楷體" w:eastAsia="標楷體" w:hAnsi="標楷體" w:hint="eastAsia"/>
          <w:szCs w:val="24"/>
        </w:rPr>
        <w:t>(1)EDSS (Expanded Disabi1ity Status Scale)大於5.5之患者。</w:t>
      </w:r>
    </w:p>
    <w:p w14:paraId="5D889EF5" w14:textId="77777777" w:rsidR="00164259" w:rsidRPr="0065082A" w:rsidRDefault="00164259" w:rsidP="00164259">
      <w:pPr>
        <w:autoSpaceDE w:val="0"/>
        <w:adjustRightInd w:val="0"/>
        <w:spacing w:line="300" w:lineRule="exact"/>
        <w:ind w:leftChars="262" w:left="991" w:hangingChars="151" w:hanging="362"/>
        <w:jc w:val="both"/>
        <w:rPr>
          <w:rFonts w:ascii="標楷體" w:eastAsia="標楷體" w:hAnsi="標楷體"/>
          <w:szCs w:val="24"/>
        </w:rPr>
      </w:pPr>
      <w:r w:rsidRPr="0065082A">
        <w:rPr>
          <w:rFonts w:ascii="標楷體" w:eastAsia="標楷體" w:hAnsi="標楷體" w:hint="eastAsia"/>
          <w:szCs w:val="24"/>
        </w:rPr>
        <w:t xml:space="preserve">(2)視神經脊髓炎(neuromyelitis </w:t>
      </w:r>
      <w:proofErr w:type="spellStart"/>
      <w:r w:rsidRPr="0065082A">
        <w:rPr>
          <w:rFonts w:ascii="標楷體" w:eastAsia="標楷體" w:hAnsi="標楷體" w:hint="eastAsia"/>
          <w:szCs w:val="24"/>
        </w:rPr>
        <w:t>optica,NMO</w:t>
      </w:r>
      <w:proofErr w:type="spellEnd"/>
      <w:r w:rsidRPr="0065082A">
        <w:rPr>
          <w:rFonts w:ascii="標楷體" w:eastAsia="標楷體" w:hAnsi="標楷體" w:hint="eastAsia"/>
          <w:szCs w:val="24"/>
        </w:rPr>
        <w:t>)，包括：</w:t>
      </w:r>
    </w:p>
    <w:p w14:paraId="5D46F2A5" w14:textId="77777777" w:rsidR="00164259" w:rsidRPr="0065082A" w:rsidRDefault="00164259" w:rsidP="00164259">
      <w:pPr>
        <w:autoSpaceDE w:val="0"/>
        <w:adjustRightInd w:val="0"/>
        <w:spacing w:line="300" w:lineRule="exact"/>
        <w:ind w:leftChars="362" w:left="991" w:hangingChars="51" w:hanging="122"/>
        <w:jc w:val="both"/>
        <w:rPr>
          <w:rFonts w:ascii="標楷體" w:eastAsia="標楷體" w:hAnsi="標楷體"/>
          <w:szCs w:val="24"/>
        </w:rPr>
      </w:pPr>
      <w:r w:rsidRPr="0065082A">
        <w:rPr>
          <w:rFonts w:ascii="標楷體" w:eastAsia="標楷體" w:hAnsi="標楷體" w:hint="eastAsia"/>
          <w:szCs w:val="24"/>
        </w:rPr>
        <w:t>I.</w:t>
      </w:r>
      <w:r w:rsidRPr="0065082A">
        <w:rPr>
          <w:rFonts w:hint="eastAsia"/>
          <w:szCs w:val="24"/>
        </w:rPr>
        <w:t xml:space="preserve"> </w:t>
      </w:r>
      <w:r w:rsidRPr="0065082A">
        <w:rPr>
          <w:rFonts w:ascii="標楷體" w:eastAsia="標楷體" w:hAnsi="標楷體" w:hint="eastAsia"/>
          <w:szCs w:val="24"/>
        </w:rPr>
        <w:t>有視神經及脊髓發作。</w:t>
      </w:r>
    </w:p>
    <w:p w14:paraId="05D79563" w14:textId="77777777" w:rsidR="00164259" w:rsidRPr="0065082A" w:rsidRDefault="00164259" w:rsidP="00164259">
      <w:pPr>
        <w:autoSpaceDE w:val="0"/>
        <w:adjustRightInd w:val="0"/>
        <w:spacing w:line="300" w:lineRule="exact"/>
        <w:ind w:leftChars="362" w:left="991" w:hangingChars="51" w:hanging="122"/>
        <w:jc w:val="both"/>
        <w:rPr>
          <w:rFonts w:ascii="標楷體" w:eastAsia="標楷體" w:hAnsi="標楷體"/>
          <w:szCs w:val="24"/>
        </w:rPr>
      </w:pPr>
      <w:r w:rsidRPr="0065082A">
        <w:rPr>
          <w:rFonts w:ascii="標楷體" w:eastAsia="標楷體" w:hAnsi="標楷體" w:hint="eastAsia"/>
          <w:szCs w:val="24"/>
        </w:rPr>
        <w:t>II.出現下列2種以上症狀：</w:t>
      </w:r>
    </w:p>
    <w:p w14:paraId="3A8AAA97" w14:textId="77777777" w:rsidR="00164259" w:rsidRPr="0065082A" w:rsidRDefault="00164259" w:rsidP="00164259">
      <w:pPr>
        <w:autoSpaceDE w:val="0"/>
        <w:adjustRightInd w:val="0"/>
        <w:spacing w:line="300" w:lineRule="exact"/>
        <w:ind w:leftChars="472" w:left="1133" w:firstLineChars="50" w:firstLine="120"/>
        <w:jc w:val="both"/>
        <w:rPr>
          <w:rFonts w:ascii="標楷體" w:eastAsia="標楷體" w:hAnsi="標楷體"/>
          <w:szCs w:val="24"/>
        </w:rPr>
      </w:pPr>
      <w:proofErr w:type="spellStart"/>
      <w:r w:rsidRPr="0065082A">
        <w:rPr>
          <w:rFonts w:ascii="標楷體" w:eastAsia="標楷體" w:hAnsi="標楷體" w:hint="eastAsia"/>
          <w:szCs w:val="24"/>
        </w:rPr>
        <w:t>i</w:t>
      </w:r>
      <w:proofErr w:type="spellEnd"/>
      <w:r w:rsidRPr="0065082A">
        <w:rPr>
          <w:rFonts w:ascii="標楷體" w:eastAsia="標楷體" w:hAnsi="標楷體" w:hint="eastAsia"/>
          <w:szCs w:val="24"/>
        </w:rPr>
        <w:t>.</w:t>
      </w:r>
      <w:r w:rsidRPr="0065082A">
        <w:rPr>
          <w:rFonts w:hint="eastAsia"/>
          <w:szCs w:val="24"/>
        </w:rPr>
        <w:t xml:space="preserve"> </w:t>
      </w:r>
      <w:r w:rsidRPr="0065082A">
        <w:rPr>
          <w:rFonts w:ascii="標楷體" w:eastAsia="標楷體" w:hAnsi="標楷體" w:hint="eastAsia"/>
          <w:szCs w:val="24"/>
        </w:rPr>
        <w:t>脊髓侵犯大於3節；</w:t>
      </w:r>
    </w:p>
    <w:p w14:paraId="74BF4276" w14:textId="77777777" w:rsidR="00164259" w:rsidRPr="0065082A" w:rsidRDefault="00164259" w:rsidP="00164259">
      <w:pPr>
        <w:autoSpaceDE w:val="0"/>
        <w:adjustRightInd w:val="0"/>
        <w:spacing w:line="300" w:lineRule="exact"/>
        <w:ind w:leftChars="472" w:left="1620" w:hangingChars="203" w:hanging="487"/>
        <w:jc w:val="both"/>
        <w:rPr>
          <w:rFonts w:ascii="標楷體" w:eastAsia="標楷體" w:hAnsi="標楷體"/>
          <w:szCs w:val="24"/>
        </w:rPr>
      </w:pPr>
      <w:r w:rsidRPr="0065082A">
        <w:rPr>
          <w:rFonts w:ascii="標楷體" w:eastAsia="標楷體" w:hAnsi="標楷體" w:hint="eastAsia"/>
          <w:szCs w:val="24"/>
        </w:rPr>
        <w:t>ii.</w:t>
      </w:r>
      <w:r w:rsidRPr="0065082A">
        <w:rPr>
          <w:rFonts w:hint="eastAsia"/>
          <w:szCs w:val="24"/>
        </w:rPr>
        <w:t xml:space="preserve"> </w:t>
      </w:r>
      <w:r w:rsidRPr="0065082A">
        <w:rPr>
          <w:rFonts w:ascii="標楷體" w:eastAsia="標楷體" w:hAnsi="標楷體" w:hint="eastAsia"/>
          <w:szCs w:val="24"/>
        </w:rPr>
        <w:tab/>
        <w:t>NMO-IgG or Aquaporin-4 抗體陽性；</w:t>
      </w:r>
    </w:p>
    <w:p w14:paraId="6865A060" w14:textId="77777777" w:rsidR="00164259" w:rsidRPr="0065082A" w:rsidRDefault="00164259" w:rsidP="00164259">
      <w:pPr>
        <w:autoSpaceDE w:val="0"/>
        <w:adjustRightInd w:val="0"/>
        <w:spacing w:line="300" w:lineRule="exact"/>
        <w:ind w:leftChars="472" w:left="1620" w:hangingChars="203" w:hanging="487"/>
        <w:jc w:val="both"/>
        <w:rPr>
          <w:rFonts w:ascii="標楷體" w:eastAsia="標楷體" w:hAnsi="標楷體"/>
          <w:szCs w:val="24"/>
        </w:rPr>
      </w:pPr>
      <w:r w:rsidRPr="0065082A">
        <w:rPr>
          <w:rFonts w:ascii="標楷體" w:eastAsia="標楷體" w:hAnsi="標楷體" w:hint="eastAsia"/>
          <w:szCs w:val="24"/>
        </w:rPr>
        <w:t>iii.腦</w:t>
      </w:r>
      <w:proofErr w:type="gramStart"/>
      <w:r w:rsidRPr="0065082A">
        <w:rPr>
          <w:rFonts w:ascii="標楷體" w:eastAsia="標楷體" w:hAnsi="標楷體" w:hint="eastAsia"/>
          <w:szCs w:val="24"/>
        </w:rPr>
        <w:t>部磁振造</w:t>
      </w:r>
      <w:proofErr w:type="gramEnd"/>
      <w:r w:rsidRPr="0065082A">
        <w:rPr>
          <w:rFonts w:ascii="標楷體" w:eastAsia="標楷體" w:hAnsi="標楷體" w:hint="eastAsia"/>
          <w:szCs w:val="24"/>
        </w:rPr>
        <w:t>影不符合多發性硬化症診斷標準。</w:t>
      </w:r>
    </w:p>
    <w:p w14:paraId="1DC6784A" w14:textId="77777777" w:rsidR="00164259" w:rsidRPr="0065082A" w:rsidRDefault="00164259" w:rsidP="00164259">
      <w:pPr>
        <w:autoSpaceDE w:val="0"/>
        <w:adjustRightInd w:val="0"/>
        <w:spacing w:line="300" w:lineRule="exact"/>
        <w:ind w:leftChars="211" w:left="849" w:hangingChars="143" w:hanging="343"/>
        <w:jc w:val="both"/>
        <w:rPr>
          <w:rFonts w:ascii="標楷體" w:eastAsia="標楷體" w:hAnsi="標楷體"/>
          <w:szCs w:val="24"/>
        </w:rPr>
      </w:pPr>
      <w:r w:rsidRPr="0065082A">
        <w:rPr>
          <w:rFonts w:ascii="標楷體" w:eastAsia="標楷體" w:hAnsi="標楷體" w:hint="eastAsia"/>
          <w:szCs w:val="24"/>
        </w:rPr>
        <w:t>2.</w:t>
      </w:r>
      <w:r w:rsidRPr="0065082A">
        <w:rPr>
          <w:rFonts w:hint="eastAsia"/>
          <w:szCs w:val="24"/>
        </w:rPr>
        <w:t xml:space="preserve"> </w:t>
      </w:r>
      <w:r w:rsidRPr="0065082A">
        <w:rPr>
          <w:rFonts w:ascii="標楷體" w:eastAsia="標楷體" w:hAnsi="標楷體" w:hint="eastAsia"/>
          <w:szCs w:val="24"/>
        </w:rPr>
        <w:t>須經事前審查核准後使用，每年需重新申請，</w:t>
      </w:r>
      <w:proofErr w:type="gramStart"/>
      <w:r w:rsidRPr="0065082A">
        <w:rPr>
          <w:rFonts w:ascii="標楷體" w:eastAsia="標楷體" w:hAnsi="標楷體" w:hint="eastAsia"/>
          <w:szCs w:val="24"/>
        </w:rPr>
        <w:t>併</w:t>
      </w:r>
      <w:proofErr w:type="gramEnd"/>
      <w:r w:rsidRPr="0065082A">
        <w:rPr>
          <w:rFonts w:ascii="標楷體" w:eastAsia="標楷體" w:hAnsi="標楷體" w:hint="eastAsia"/>
          <w:szCs w:val="24"/>
        </w:rPr>
        <w:t>應提出整個用藥期間的復發情形。</w:t>
      </w:r>
      <w:r w:rsidRPr="0065082A">
        <w:rPr>
          <w:rFonts w:ascii="標楷體" w:eastAsia="標楷體" w:hAnsi="標楷體"/>
          <w:color w:val="000000"/>
          <w:szCs w:val="24"/>
        </w:rPr>
        <w:t>(102/10/1)</w:t>
      </w:r>
    </w:p>
    <w:p w14:paraId="62017A8F" w14:textId="77777777" w:rsidR="00164259" w:rsidRPr="0065082A" w:rsidRDefault="00164259" w:rsidP="00164259">
      <w:pPr>
        <w:autoSpaceDE w:val="0"/>
        <w:adjustRightInd w:val="0"/>
        <w:spacing w:line="300" w:lineRule="exact"/>
        <w:ind w:leftChars="211" w:left="849" w:hangingChars="143" w:hanging="343"/>
        <w:jc w:val="both"/>
        <w:rPr>
          <w:rFonts w:ascii="標楷體" w:eastAsia="標楷體" w:hAnsi="標楷體"/>
          <w:szCs w:val="24"/>
        </w:rPr>
      </w:pPr>
      <w:r w:rsidRPr="0065082A">
        <w:rPr>
          <w:rFonts w:ascii="標楷體" w:eastAsia="標楷體" w:hAnsi="標楷體" w:hint="eastAsia"/>
          <w:szCs w:val="24"/>
        </w:rPr>
        <w:t>3.</w:t>
      </w:r>
      <w:r w:rsidRPr="0065082A">
        <w:rPr>
          <w:rFonts w:hint="eastAsia"/>
          <w:szCs w:val="24"/>
        </w:rPr>
        <w:t xml:space="preserve"> </w:t>
      </w:r>
      <w:r w:rsidRPr="0065082A">
        <w:rPr>
          <w:rFonts w:ascii="標楷體" w:eastAsia="標楷體" w:hAnsi="標楷體" w:hint="eastAsia"/>
          <w:szCs w:val="24"/>
        </w:rPr>
        <w:t>Fingolimod使用兩年後，年度復發率(average annual relapse)無法減少</w:t>
      </w:r>
      <w:r w:rsidRPr="0065082A">
        <w:rPr>
          <w:rFonts w:ascii="標楷體" w:eastAsia="標楷體" w:hAnsi="標楷體" w:hint="eastAsia"/>
          <w:szCs w:val="24"/>
          <w:vertAlign w:val="superscript"/>
        </w:rPr>
        <w:t>※</w:t>
      </w:r>
      <w:r w:rsidRPr="0065082A">
        <w:rPr>
          <w:rFonts w:ascii="標楷體" w:eastAsia="標楷體" w:hAnsi="標楷體" w:hint="eastAsia"/>
          <w:szCs w:val="24"/>
        </w:rPr>
        <w:t>時應停止本藥品之治療。</w:t>
      </w:r>
      <w:r w:rsidRPr="0065082A">
        <w:rPr>
          <w:rFonts w:ascii="標楷體" w:eastAsia="標楷體" w:hAnsi="標楷體"/>
          <w:color w:val="000000"/>
          <w:szCs w:val="24"/>
        </w:rPr>
        <w:t>(102/10/1、109/1/1)</w:t>
      </w:r>
    </w:p>
    <w:p w14:paraId="6DC7AB52" w14:textId="77777777" w:rsidR="00164259" w:rsidRPr="0065082A" w:rsidRDefault="00164259" w:rsidP="00C64C8B">
      <w:pPr>
        <w:autoSpaceDE w:val="0"/>
        <w:adjustRightInd w:val="0"/>
        <w:spacing w:line="300" w:lineRule="exact"/>
        <w:ind w:leftChars="354" w:left="850" w:firstLine="2"/>
        <w:jc w:val="both"/>
        <w:rPr>
          <w:rFonts w:ascii="標楷體" w:eastAsia="標楷體" w:hAnsi="標楷體"/>
          <w:szCs w:val="24"/>
        </w:rPr>
      </w:pPr>
      <w:proofErr w:type="gramStart"/>
      <w:r w:rsidRPr="0065082A">
        <w:rPr>
          <w:rFonts w:ascii="標楷體" w:eastAsia="標楷體" w:hAnsi="標楷體" w:hint="eastAsia"/>
          <w:szCs w:val="24"/>
        </w:rPr>
        <w:t>註</w:t>
      </w:r>
      <w:proofErr w:type="gramEnd"/>
      <w:r w:rsidRPr="0065082A">
        <w:rPr>
          <w:rFonts w:ascii="標楷體" w:eastAsia="標楷體" w:hAnsi="標楷體" w:hint="eastAsia"/>
          <w:szCs w:val="24"/>
        </w:rPr>
        <w:t xml:space="preserve">：年度復發率無法減少之定義為： </w:t>
      </w:r>
      <w:proofErr w:type="gramStart"/>
      <w:r w:rsidRPr="0065082A">
        <w:rPr>
          <w:rFonts w:ascii="標楷體" w:eastAsia="標楷體" w:hAnsi="標楷體" w:hint="eastAsia"/>
          <w:szCs w:val="24"/>
        </w:rPr>
        <w:t>採</w:t>
      </w:r>
      <w:proofErr w:type="gramEnd"/>
      <w:r w:rsidRPr="0065082A">
        <w:rPr>
          <w:rFonts w:ascii="標楷體" w:eastAsia="標楷體" w:hAnsi="標楷體" w:hint="eastAsia"/>
          <w:szCs w:val="24"/>
        </w:rPr>
        <w:t>計使用fingolimod藥物後一年至兩年復發次數之數據 (以最近一年或兩年之復發次數除以1或2來計算)，</w:t>
      </w:r>
      <w:proofErr w:type="gramStart"/>
      <w:r w:rsidRPr="0065082A">
        <w:rPr>
          <w:rFonts w:ascii="標楷體" w:eastAsia="標楷體" w:hAnsi="標楷體" w:hint="eastAsia"/>
          <w:szCs w:val="24"/>
        </w:rPr>
        <w:t>較諸更先前</w:t>
      </w:r>
      <w:proofErr w:type="gramEnd"/>
      <w:r w:rsidRPr="0065082A">
        <w:rPr>
          <w:rFonts w:ascii="標楷體" w:eastAsia="標楷體" w:hAnsi="標楷體" w:hint="eastAsia"/>
          <w:szCs w:val="24"/>
        </w:rPr>
        <w:t>一年或兩年之年復發率皆無再減少時。</w:t>
      </w:r>
      <w:r w:rsidRPr="0065082A">
        <w:rPr>
          <w:rFonts w:ascii="標楷體" w:eastAsia="標楷體" w:hAnsi="標楷體"/>
          <w:color w:val="000000"/>
          <w:szCs w:val="24"/>
        </w:rPr>
        <w:t>(102/10/1)</w:t>
      </w:r>
    </w:p>
    <w:p w14:paraId="20044DCB" w14:textId="77777777" w:rsidR="00401786" w:rsidRDefault="00164259" w:rsidP="00164259">
      <w:pPr>
        <w:spacing w:line="300" w:lineRule="exact"/>
        <w:ind w:left="811" w:hanging="245"/>
        <w:rPr>
          <w:rFonts w:ascii="標楷體" w:eastAsia="標楷體" w:hAnsi="標楷體"/>
          <w:color w:val="000000"/>
        </w:rPr>
      </w:pPr>
      <w:r w:rsidRPr="0065082A">
        <w:rPr>
          <w:rFonts w:ascii="標楷體" w:eastAsia="標楷體" w:hAnsi="標楷體" w:hint="eastAsia"/>
          <w:szCs w:val="24"/>
        </w:rPr>
        <w:t>4.個案在停藥觀察期間復發且為高度活躍型復發緩解之多發性硬化症病人(highly active relapsing</w:t>
      </w:r>
      <w:proofErr w:type="gramStart"/>
      <w:r w:rsidRPr="0065082A">
        <w:rPr>
          <w:rFonts w:ascii="標楷體" w:eastAsia="標楷體" w:hAnsi="標楷體" w:hint="eastAsia"/>
          <w:szCs w:val="24"/>
        </w:rPr>
        <w:t>–</w:t>
      </w:r>
      <w:proofErr w:type="gramEnd"/>
      <w:r w:rsidRPr="0065082A">
        <w:rPr>
          <w:rFonts w:ascii="標楷體" w:eastAsia="標楷體" w:hAnsi="標楷體" w:hint="eastAsia"/>
          <w:szCs w:val="24"/>
        </w:rPr>
        <w:t>remitting multiple sclerosis)可再申請並經事前審查核准後使用。</w:t>
      </w:r>
      <w:r w:rsidRPr="0065082A">
        <w:rPr>
          <w:rFonts w:ascii="標楷體" w:eastAsia="標楷體" w:hAnsi="標楷體"/>
          <w:szCs w:val="24"/>
        </w:rPr>
        <w:t>(102/10/1)</w:t>
      </w:r>
    </w:p>
    <w:p w14:paraId="602938E4" w14:textId="77777777" w:rsidR="00401786" w:rsidRDefault="00C64FB3" w:rsidP="0009639E">
      <w:pPr>
        <w:pStyle w:val="11"/>
        <w:spacing w:line="300" w:lineRule="exact"/>
        <w:ind w:left="949" w:hanging="829"/>
        <w:rPr>
          <w:rFonts w:ascii="標楷體" w:hAnsi="標楷體"/>
          <w:sz w:val="24"/>
          <w:szCs w:val="24"/>
        </w:rPr>
      </w:pPr>
      <w:r>
        <w:rPr>
          <w:rFonts w:ascii="標楷體" w:hAnsi="標楷體"/>
          <w:sz w:val="24"/>
          <w:szCs w:val="24"/>
        </w:rPr>
        <w:t>8.2.3.6.Alemtuzumab（如Lemtrada）：（108/7/1）</w:t>
      </w:r>
    </w:p>
    <w:p w14:paraId="28785BFF"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1.限用曾經使用兩類或以上的多發性硬化症藥物治療後，仍控制不佳之高度活躍型復發</w:t>
      </w:r>
      <w:proofErr w:type="gramStart"/>
      <w:r>
        <w:rPr>
          <w:rFonts w:ascii="標楷體" w:eastAsia="標楷體" w:hAnsi="標楷體"/>
          <w:color w:val="000000"/>
        </w:rPr>
        <w:t>緩解多發</w:t>
      </w:r>
      <w:proofErr w:type="gramEnd"/>
      <w:r>
        <w:rPr>
          <w:rFonts w:ascii="標楷體" w:eastAsia="標楷體" w:hAnsi="標楷體"/>
          <w:color w:val="000000"/>
        </w:rPr>
        <w:t>性硬化症病人(highly active relapsing</w:t>
      </w:r>
      <w:proofErr w:type="gramStart"/>
      <w:r>
        <w:rPr>
          <w:rFonts w:ascii="標楷體" w:eastAsia="標楷體" w:hAnsi="標楷體"/>
          <w:color w:val="000000"/>
        </w:rPr>
        <w:t>–</w:t>
      </w:r>
      <w:proofErr w:type="gramEnd"/>
      <w:r>
        <w:rPr>
          <w:rFonts w:ascii="標楷體" w:eastAsia="標楷體" w:hAnsi="標楷體"/>
          <w:color w:val="000000"/>
        </w:rPr>
        <w:t>remitting multiple sclerosis，意即前一年有一次以上復發或是前兩年有兩次以上復發)，但排除使用於：</w:t>
      </w:r>
    </w:p>
    <w:p w14:paraId="2C6DFEF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(1)EDSS (Expanded Disabi1ity Status Scale)大於5.5之患者。</w:t>
      </w:r>
    </w:p>
    <w:p w14:paraId="12DAD51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(2)視神經脊髓炎(neuromyelitis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 NMO)，包括：</w:t>
      </w:r>
    </w:p>
    <w:p w14:paraId="702ED11D"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Ⅰ.有視神經及脊髓發作。</w:t>
      </w:r>
    </w:p>
    <w:p w14:paraId="4F1930FB"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lastRenderedPageBreak/>
        <w:t>Ⅱ.出現下列2種以上症狀：</w:t>
      </w:r>
    </w:p>
    <w:p w14:paraId="1478F94F" w14:textId="77777777" w:rsidR="00401786" w:rsidRDefault="00C64FB3" w:rsidP="0009639E">
      <w:pPr>
        <w:spacing w:line="300" w:lineRule="exact"/>
        <w:ind w:left="1740" w:hanging="24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.脊髓侵犯大於3節</w:t>
      </w:r>
    </w:p>
    <w:p w14:paraId="0001034D" w14:textId="77777777" w:rsidR="00401786" w:rsidRDefault="00C64FB3" w:rsidP="0009639E">
      <w:pPr>
        <w:spacing w:line="300" w:lineRule="exact"/>
        <w:ind w:left="1740" w:hanging="240"/>
        <w:rPr>
          <w:rFonts w:ascii="標楷體" w:eastAsia="標楷體" w:hAnsi="標楷體"/>
          <w:color w:val="000000"/>
        </w:rPr>
      </w:pPr>
      <w:proofErr w:type="spellStart"/>
      <w:r>
        <w:rPr>
          <w:rFonts w:ascii="標楷體" w:eastAsia="標楷體" w:hAnsi="標楷體"/>
          <w:color w:val="000000"/>
        </w:rPr>
        <w:t>ii.NMO</w:t>
      </w:r>
      <w:proofErr w:type="spellEnd"/>
      <w:r>
        <w:rPr>
          <w:rFonts w:ascii="標楷體" w:eastAsia="標楷體" w:hAnsi="標楷體"/>
          <w:color w:val="000000"/>
        </w:rPr>
        <w:t>-IgG or Aquaporin-4抗體陽性</w:t>
      </w:r>
    </w:p>
    <w:p w14:paraId="41E84BE8" w14:textId="77777777" w:rsidR="00401786" w:rsidRDefault="00C64FB3" w:rsidP="0009639E">
      <w:pPr>
        <w:spacing w:line="300" w:lineRule="exact"/>
        <w:ind w:left="1740" w:hanging="240"/>
        <w:rPr>
          <w:rFonts w:ascii="標楷體" w:eastAsia="標楷體" w:hAnsi="標楷體"/>
          <w:color w:val="000000"/>
        </w:rPr>
      </w:pPr>
      <w:r>
        <w:rPr>
          <w:rFonts w:ascii="標楷體" w:eastAsia="標楷體" w:hAnsi="標楷體"/>
          <w:color w:val="000000"/>
        </w:rPr>
        <w:t>iii.腦</w:t>
      </w:r>
      <w:proofErr w:type="gramStart"/>
      <w:r>
        <w:rPr>
          <w:rFonts w:ascii="標楷體" w:eastAsia="標楷體" w:hAnsi="標楷體"/>
          <w:color w:val="000000"/>
        </w:rPr>
        <w:t>部磁振造</w:t>
      </w:r>
      <w:proofErr w:type="gramEnd"/>
      <w:r>
        <w:rPr>
          <w:rFonts w:ascii="標楷體" w:eastAsia="標楷體" w:hAnsi="標楷體"/>
          <w:color w:val="000000"/>
        </w:rPr>
        <w:t>影不符合多發性硬化症診斷標準。</w:t>
      </w:r>
    </w:p>
    <w:p w14:paraId="07B4E033"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2.須經事前審查核准後使用，治療第三年後如需再接受治療者，每次追加療程都須重新申請經事前審查核准後使用，</w:t>
      </w:r>
      <w:proofErr w:type="gramStart"/>
      <w:r>
        <w:rPr>
          <w:rFonts w:ascii="標楷體" w:eastAsia="標楷體" w:hAnsi="標楷體"/>
          <w:color w:val="000000"/>
        </w:rPr>
        <w:t>併</w:t>
      </w:r>
      <w:proofErr w:type="gramEnd"/>
      <w:r>
        <w:rPr>
          <w:rFonts w:ascii="標楷體" w:eastAsia="標楷體" w:hAnsi="標楷體"/>
          <w:color w:val="000000"/>
        </w:rPr>
        <w:t>應提出整個用藥期間的復發情形。</w:t>
      </w:r>
    </w:p>
    <w:p w14:paraId="4109A87E" w14:textId="77777777" w:rsidR="00401786" w:rsidRDefault="00C64FB3" w:rsidP="0009639E">
      <w:pPr>
        <w:snapToGrid w:val="0"/>
        <w:spacing w:line="300" w:lineRule="exact"/>
        <w:ind w:left="1051" w:hanging="245"/>
        <w:rPr>
          <w:rFonts w:ascii="標楷體" w:eastAsia="標楷體" w:hAnsi="標楷體"/>
          <w:color w:val="000000"/>
        </w:rPr>
      </w:pPr>
      <w:r>
        <w:rPr>
          <w:rFonts w:ascii="標楷體" w:eastAsia="標楷體" w:hAnsi="標楷體"/>
          <w:color w:val="000000"/>
        </w:rPr>
        <w:t>需再接受治療者應符合以下其中任</w:t>
      </w:r>
      <w:proofErr w:type="gramStart"/>
      <w:r>
        <w:rPr>
          <w:rFonts w:ascii="標楷體" w:eastAsia="標楷體" w:hAnsi="標楷體"/>
          <w:color w:val="000000"/>
        </w:rPr>
        <w:t>一</w:t>
      </w:r>
      <w:proofErr w:type="gramEnd"/>
      <w:r>
        <w:rPr>
          <w:rFonts w:ascii="標楷體" w:eastAsia="標楷體" w:hAnsi="標楷體"/>
          <w:color w:val="000000"/>
        </w:rPr>
        <w:t>條件:</w:t>
      </w:r>
    </w:p>
    <w:p w14:paraId="2A91CAC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(1)前一年有一次以上復發</w:t>
      </w:r>
    </w:p>
    <w:p w14:paraId="361E234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(2)腦部核磁共振影像上有&gt;=2個以上gadolinium-enhanced lesion或T2WI病灶數量明顯增加</w:t>
      </w:r>
    </w:p>
    <w:p w14:paraId="3D3CC1A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(3)脊椎核磁共振影像上有新的gadolinium-enhanced lesion或新的T2WI病灶</w:t>
      </w:r>
    </w:p>
    <w:p w14:paraId="5EDDC921"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3.第一次療程以申請第一年五支，第二年三支為限，治療第三年後如需再接受治療者，每年每次追加</w:t>
      </w:r>
      <w:proofErr w:type="gramStart"/>
      <w:r>
        <w:rPr>
          <w:rFonts w:ascii="標楷體" w:eastAsia="標楷體" w:hAnsi="標楷體"/>
          <w:color w:val="000000"/>
        </w:rPr>
        <w:t>療</w:t>
      </w:r>
      <w:proofErr w:type="gramEnd"/>
      <w:r>
        <w:rPr>
          <w:rFonts w:ascii="標楷體" w:eastAsia="標楷體" w:hAnsi="標楷體"/>
          <w:color w:val="000000"/>
        </w:rPr>
        <w:t>程以三支為限。</w:t>
      </w:r>
    </w:p>
    <w:p w14:paraId="7D79F04B"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4.使用兩年後，年度復發率(average annual relapse)無法減少時應停止本藥品之治療。</w:t>
      </w:r>
    </w:p>
    <w:p w14:paraId="4A04705F" w14:textId="77777777" w:rsidR="00401786" w:rsidRDefault="00C64FB3" w:rsidP="0009639E">
      <w:pPr>
        <w:snapToGrid w:val="0"/>
        <w:spacing w:line="300" w:lineRule="exact"/>
        <w:ind w:left="811" w:hanging="245"/>
        <w:rPr>
          <w:rFonts w:ascii="標楷體" w:eastAsia="標楷體" w:hAnsi="標楷體"/>
          <w:szCs w:val="24"/>
        </w:rPr>
      </w:pPr>
      <w:r>
        <w:rPr>
          <w:rFonts w:ascii="標楷體" w:eastAsia="標楷體" w:hAnsi="標楷體"/>
          <w:szCs w:val="24"/>
        </w:rPr>
        <w:t>※年度復發率無法減少之定義：</w:t>
      </w:r>
    </w:p>
    <w:p w14:paraId="2757C18F" w14:textId="77777777" w:rsidR="00401786" w:rsidRDefault="00C64FB3" w:rsidP="0009639E">
      <w:pPr>
        <w:spacing w:line="300" w:lineRule="exact"/>
        <w:ind w:left="670" w:firstLine="36"/>
        <w:rPr>
          <w:rFonts w:ascii="標楷體" w:eastAsia="標楷體" w:hAnsi="標楷體"/>
          <w:szCs w:val="24"/>
        </w:rPr>
      </w:pPr>
      <w:proofErr w:type="gramStart"/>
      <w:r>
        <w:rPr>
          <w:rFonts w:ascii="標楷體" w:eastAsia="標楷體" w:hAnsi="標楷體"/>
          <w:szCs w:val="24"/>
        </w:rPr>
        <w:t>採</w:t>
      </w:r>
      <w:proofErr w:type="gramEnd"/>
      <w:r>
        <w:rPr>
          <w:rFonts w:ascii="標楷體" w:eastAsia="標楷體" w:hAnsi="標楷體"/>
          <w:szCs w:val="24"/>
        </w:rPr>
        <w:t>計使用Alemtuzumab藥物後兩年內復發次數之數據(以最近兩年之復發次數除以2來計算)，</w:t>
      </w:r>
      <w:proofErr w:type="gramStart"/>
      <w:r>
        <w:rPr>
          <w:rFonts w:ascii="標楷體" w:eastAsia="標楷體" w:hAnsi="標楷體"/>
          <w:szCs w:val="24"/>
        </w:rPr>
        <w:t>較諸更先前</w:t>
      </w:r>
      <w:proofErr w:type="gramEnd"/>
      <w:r>
        <w:rPr>
          <w:rFonts w:ascii="標楷體" w:eastAsia="標楷體" w:hAnsi="標楷體"/>
          <w:szCs w:val="24"/>
        </w:rPr>
        <w:t>一年或兩年之年復發率皆無再減少時。</w:t>
      </w:r>
    </w:p>
    <w:p w14:paraId="6CA944A4" w14:textId="77777777" w:rsidR="00401786" w:rsidRDefault="00C64FB3" w:rsidP="0009639E">
      <w:pPr>
        <w:snapToGrid w:val="0"/>
        <w:spacing w:line="300" w:lineRule="exact"/>
        <w:ind w:left="567" w:hanging="245"/>
        <w:rPr>
          <w:rFonts w:ascii="標楷體" w:eastAsia="標楷體" w:hAnsi="標楷體"/>
          <w:color w:val="000000"/>
        </w:rPr>
      </w:pPr>
      <w:r>
        <w:rPr>
          <w:rFonts w:ascii="標楷體" w:eastAsia="標楷體" w:hAnsi="標楷體"/>
          <w:color w:val="000000"/>
        </w:rPr>
        <w:t>8.2.3.7.Siponimod(如</w:t>
      </w:r>
      <w:proofErr w:type="spellStart"/>
      <w:r>
        <w:rPr>
          <w:rFonts w:ascii="標楷體" w:eastAsia="標楷體" w:hAnsi="標楷體"/>
          <w:color w:val="000000"/>
        </w:rPr>
        <w:t>Mayzent</w:t>
      </w:r>
      <w:proofErr w:type="spellEnd"/>
      <w:r>
        <w:rPr>
          <w:rFonts w:ascii="標楷體" w:eastAsia="標楷體" w:hAnsi="標楷體"/>
          <w:color w:val="000000"/>
        </w:rPr>
        <w:t>)：(110/3/1)</w:t>
      </w:r>
    </w:p>
    <w:p w14:paraId="34BB4289"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限用於曾被診斷為復發</w:t>
      </w:r>
      <w:proofErr w:type="gramStart"/>
      <w:r>
        <w:rPr>
          <w:rFonts w:ascii="標楷體" w:eastAsia="標楷體" w:hAnsi="標楷體"/>
          <w:color w:val="000000"/>
        </w:rPr>
        <w:t>緩解型多</w:t>
      </w:r>
      <w:proofErr w:type="gramEnd"/>
      <w:r>
        <w:rPr>
          <w:rFonts w:ascii="標楷體" w:eastAsia="標楷體" w:hAnsi="標楷體"/>
          <w:color w:val="000000"/>
        </w:rPr>
        <w:t>發性硬化症之病人。</w:t>
      </w:r>
    </w:p>
    <w:p w14:paraId="0EF45E76"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須符合次發進展型多發性硬化症之診斷，即過去在沒有復發或與復發無關的情況下，出現失能惡化持續至少6個月以上。</w:t>
      </w:r>
    </w:p>
    <w:p w14:paraId="4FD87C6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初次接受</w:t>
      </w:r>
      <w:proofErr w:type="spellStart"/>
      <w:r>
        <w:rPr>
          <w:rFonts w:ascii="標楷體" w:eastAsia="標楷體" w:hAnsi="標楷體"/>
          <w:color w:val="000000"/>
        </w:rPr>
        <w:t>siponimod</w:t>
      </w:r>
      <w:proofErr w:type="spellEnd"/>
      <w:r>
        <w:rPr>
          <w:rFonts w:ascii="標楷體" w:eastAsia="標楷體" w:hAnsi="標楷體"/>
          <w:color w:val="000000"/>
        </w:rPr>
        <w:t>時，EDSS應小於或等於6.5分，且EDSS大於等於3分。</w:t>
      </w:r>
    </w:p>
    <w:p w14:paraId="3F2A5E34"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初次接受</w:t>
      </w:r>
      <w:proofErr w:type="spellStart"/>
      <w:r>
        <w:rPr>
          <w:rFonts w:ascii="標楷體" w:eastAsia="標楷體" w:hAnsi="標楷體"/>
          <w:color w:val="000000"/>
        </w:rPr>
        <w:t>siponimod</w:t>
      </w:r>
      <w:proofErr w:type="spellEnd"/>
      <w:r>
        <w:rPr>
          <w:rFonts w:ascii="標楷體" w:eastAsia="標楷體" w:hAnsi="標楷體"/>
          <w:color w:val="000000"/>
        </w:rPr>
        <w:t>之前2年內，需有明顯EDSS進展性惡化之證據，亦即符合以下二者其中之一：</w:t>
      </w:r>
    </w:p>
    <w:p w14:paraId="576CCD5A" w14:textId="77777777" w:rsidR="00401786" w:rsidRDefault="00C64FB3" w:rsidP="0009639E">
      <w:pPr>
        <w:snapToGrid w:val="0"/>
        <w:spacing w:line="300" w:lineRule="exact"/>
        <w:ind w:left="993" w:hanging="245"/>
        <w:rPr>
          <w:rFonts w:ascii="標楷體" w:eastAsia="標楷體" w:hAnsi="標楷體"/>
          <w:color w:val="000000"/>
        </w:rPr>
      </w:pPr>
      <w:r>
        <w:rPr>
          <w:rFonts w:ascii="標楷體" w:eastAsia="標楷體" w:hAnsi="標楷體"/>
          <w:color w:val="000000"/>
        </w:rPr>
        <w:t>(1)申請時EDSS未滿6分者，過去2年內EDSS惡化1分以上。</w:t>
      </w:r>
    </w:p>
    <w:p w14:paraId="040ED515" w14:textId="77777777" w:rsidR="00401786" w:rsidRDefault="00C64FB3" w:rsidP="0009639E">
      <w:pPr>
        <w:snapToGrid w:val="0"/>
        <w:spacing w:line="300" w:lineRule="exact"/>
        <w:ind w:left="993" w:hanging="245"/>
        <w:rPr>
          <w:rFonts w:ascii="標楷體" w:eastAsia="標楷體" w:hAnsi="標楷體"/>
          <w:color w:val="000000"/>
        </w:rPr>
      </w:pPr>
      <w:r>
        <w:rPr>
          <w:rFonts w:ascii="標楷體" w:eastAsia="標楷體" w:hAnsi="標楷體"/>
          <w:color w:val="000000"/>
        </w:rPr>
        <w:t>(2)申請時EDSS大於等於6分者，過去2年內EDSS惡化0.5分以上。</w:t>
      </w:r>
    </w:p>
    <w:p w14:paraId="481142DF"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須經事前審查核准後使用，每年需重新申請，</w:t>
      </w:r>
      <w:proofErr w:type="gramStart"/>
      <w:r>
        <w:rPr>
          <w:rFonts w:ascii="標楷體" w:eastAsia="標楷體" w:hAnsi="標楷體"/>
          <w:color w:val="000000"/>
        </w:rPr>
        <w:t>併</w:t>
      </w:r>
      <w:proofErr w:type="gramEnd"/>
      <w:r>
        <w:rPr>
          <w:rFonts w:ascii="標楷體" w:eastAsia="標楷體" w:hAnsi="標楷體"/>
          <w:color w:val="000000"/>
        </w:rPr>
        <w:t>應提出整個用藥期間之EDSS分數(包括起始用藥EDSS分數與每年申請時EDSS分數)</w:t>
      </w:r>
    </w:p>
    <w:p w14:paraId="593F4059"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6.</w:t>
      </w:r>
      <w:r>
        <w:rPr>
          <w:rFonts w:ascii="標楷體" w:eastAsia="標楷體" w:hAnsi="標楷體"/>
          <w:color w:val="000000"/>
        </w:rPr>
        <w:tab/>
        <w:t>Siponimod使用2年後，EDSS出現確認失能惡化持續6個月(6-month confirmed disability progression)時，亦即EDSS未滿6分者，2年內惡化1分以上，EDSS大於等於6分者，2年內惡化0.5分以上，應停止本藥品之治療。</w:t>
      </w:r>
    </w:p>
    <w:p w14:paraId="6A948047"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7.</w:t>
      </w:r>
      <w:r>
        <w:rPr>
          <w:rFonts w:ascii="標楷體" w:eastAsia="標楷體" w:hAnsi="標楷體"/>
          <w:color w:val="000000"/>
        </w:rPr>
        <w:tab/>
        <w:t>依治療建議劑量，從0.25mg每天1次起始，達到2mg每天1次之維持劑量，且不得以8粒0.25mg取代1粒2mg。</w:t>
      </w:r>
    </w:p>
    <w:p w14:paraId="5E0A1DDA" w14:textId="77777777" w:rsidR="00A00E93" w:rsidRDefault="00A00E93" w:rsidP="00A00E93">
      <w:pPr>
        <w:spacing w:line="300" w:lineRule="exact"/>
        <w:ind w:left="672" w:hanging="386"/>
        <w:rPr>
          <w:rFonts w:ascii="標楷體" w:eastAsia="標楷體" w:hAnsi="標楷體"/>
        </w:rPr>
      </w:pPr>
      <w:r>
        <w:rPr>
          <w:rFonts w:ascii="標楷體" w:eastAsia="標楷體" w:hAnsi="標楷體"/>
        </w:rPr>
        <w:t>8.2.4.</w:t>
      </w:r>
      <w:r w:rsidRPr="00D0771E">
        <w:rPr>
          <w:rFonts w:ascii="標楷體" w:eastAsia="標楷體" w:hAnsi="標楷體"/>
        </w:rPr>
        <w:t xml:space="preserve"> </w:t>
      </w:r>
      <w:r w:rsidRPr="006E20E4">
        <w:rPr>
          <w:rFonts w:ascii="標楷體" w:eastAsia="標楷體" w:hAnsi="標楷體" w:hint="eastAsia"/>
          <w:color w:val="000000"/>
        </w:rPr>
        <w:t>Etanercept(如Enbrel); adalimumab（如Humira）;golimumab（如Simponi）；abatacept（如Orencia）；tocilizumab（如Actemra）；tofacitinib（如Xeljanz）；infliximab ；certolizumab (如Cimzia)；</w:t>
      </w:r>
      <w:proofErr w:type="spellStart"/>
      <w:r w:rsidRPr="006E20E4">
        <w:rPr>
          <w:rFonts w:ascii="標楷體" w:eastAsia="標楷體" w:hAnsi="標楷體" w:hint="eastAsia"/>
          <w:color w:val="000000"/>
        </w:rPr>
        <w:t>ixekizumab</w:t>
      </w:r>
      <w:proofErr w:type="spellEnd"/>
      <w:r w:rsidRPr="006E20E4">
        <w:rPr>
          <w:rFonts w:ascii="標楷體" w:eastAsia="標楷體" w:hAnsi="標楷體" w:hint="eastAsia"/>
          <w:color w:val="000000"/>
        </w:rPr>
        <w:t>(如Taltz)；</w:t>
      </w:r>
      <w:proofErr w:type="spellStart"/>
      <w:r w:rsidRPr="006E20E4">
        <w:rPr>
          <w:rFonts w:ascii="標楷體" w:eastAsia="標楷體" w:hAnsi="標楷體" w:hint="eastAsia"/>
          <w:color w:val="000000"/>
        </w:rPr>
        <w:t>brodalumab</w:t>
      </w:r>
      <w:proofErr w:type="spellEnd"/>
      <w:r w:rsidRPr="006E20E4">
        <w:rPr>
          <w:rFonts w:ascii="標楷體" w:eastAsia="標楷體" w:hAnsi="標楷體" w:hint="eastAsia"/>
          <w:color w:val="000000"/>
        </w:rPr>
        <w:t>(如</w:t>
      </w:r>
      <w:proofErr w:type="spellStart"/>
      <w:r w:rsidRPr="006E20E4">
        <w:rPr>
          <w:rFonts w:ascii="標楷體" w:eastAsia="標楷體" w:hAnsi="標楷體" w:hint="eastAsia"/>
          <w:color w:val="000000"/>
        </w:rPr>
        <w:t>Lumicef</w:t>
      </w:r>
      <w:proofErr w:type="spellEnd"/>
      <w:r w:rsidRPr="006E20E4">
        <w:rPr>
          <w:rFonts w:ascii="標楷體" w:eastAsia="標楷體" w:hAnsi="標楷體" w:hint="eastAsia"/>
          <w:color w:val="000000"/>
        </w:rPr>
        <w:t>)；</w:t>
      </w:r>
      <w:proofErr w:type="spellStart"/>
      <w:r w:rsidRPr="006E20E4">
        <w:rPr>
          <w:rFonts w:ascii="標楷體" w:eastAsia="標楷體" w:hAnsi="標楷體" w:hint="eastAsia"/>
          <w:color w:val="000000"/>
        </w:rPr>
        <w:t>filgotinib</w:t>
      </w:r>
      <w:proofErr w:type="spellEnd"/>
      <w:r w:rsidRPr="006E20E4">
        <w:rPr>
          <w:rFonts w:ascii="標楷體" w:eastAsia="標楷體" w:hAnsi="標楷體" w:hint="eastAsia"/>
          <w:color w:val="000000"/>
        </w:rPr>
        <w:t>(如</w:t>
      </w:r>
      <w:proofErr w:type="spellStart"/>
      <w:r w:rsidRPr="006E20E4">
        <w:rPr>
          <w:rFonts w:ascii="標楷體" w:eastAsia="標楷體" w:hAnsi="標楷體" w:hint="eastAsia"/>
          <w:color w:val="000000"/>
        </w:rPr>
        <w:t>Jyseleca</w:t>
      </w:r>
      <w:proofErr w:type="spellEnd"/>
      <w:r w:rsidRPr="006E20E4">
        <w:rPr>
          <w:rFonts w:ascii="標楷體" w:eastAsia="標楷體" w:hAnsi="標楷體" w:hint="eastAsia"/>
          <w:color w:val="000000"/>
        </w:rPr>
        <w:t>)；</w:t>
      </w:r>
      <w:proofErr w:type="spellStart"/>
      <w:r w:rsidRPr="006E20E4">
        <w:rPr>
          <w:rFonts w:ascii="標楷體" w:eastAsia="標楷體" w:hAnsi="標楷體" w:hint="eastAsia"/>
          <w:color w:val="000000"/>
        </w:rPr>
        <w:t>secukinumab</w:t>
      </w:r>
      <w:proofErr w:type="spellEnd"/>
      <w:r w:rsidRPr="006E20E4">
        <w:rPr>
          <w:rFonts w:ascii="標楷體" w:eastAsia="標楷體" w:hAnsi="標楷體" w:hint="eastAsia"/>
          <w:color w:val="000000"/>
        </w:rPr>
        <w:t>（如Cosentyx）(92/3/1、93/8/1、93/9/1、98/3/1、99/2/1、100/12/1、101/1/1、101/6/1、101/10/1、102/1/1、102/2/1、102/4/1、102/10/1、103/9/1、103/12/1、105/9/1、105/10/1、109/12/1、111/5/1、112/5/1、113/10/1、114/7/1、114/10/1)</w:t>
      </w:r>
    </w:p>
    <w:p w14:paraId="452809EA" w14:textId="77777777" w:rsidR="00401786" w:rsidRDefault="00A00E93" w:rsidP="00A00E93">
      <w:pPr>
        <w:spacing w:line="300" w:lineRule="exact"/>
        <w:ind w:left="567"/>
        <w:rPr>
          <w:rFonts w:ascii="標楷體" w:eastAsia="標楷體" w:hAnsi="標楷體"/>
          <w:color w:val="000000"/>
        </w:rPr>
      </w:pPr>
      <w:proofErr w:type="gramStart"/>
      <w:r>
        <w:rPr>
          <w:rFonts w:ascii="標楷體" w:eastAsia="標楷體" w:hAnsi="標楷體"/>
          <w:color w:val="000000"/>
        </w:rPr>
        <w:t>使用本類藥品</w:t>
      </w:r>
      <w:proofErr w:type="gramEnd"/>
      <w:r>
        <w:rPr>
          <w:rFonts w:ascii="標楷體" w:eastAsia="標楷體" w:hAnsi="標楷體"/>
          <w:color w:val="000000"/>
        </w:rPr>
        <w:t>之</w:t>
      </w:r>
      <w:proofErr w:type="gramStart"/>
      <w:r>
        <w:rPr>
          <w:rFonts w:ascii="標楷體" w:eastAsia="標楷體" w:hAnsi="標楷體"/>
          <w:color w:val="000000"/>
        </w:rPr>
        <w:t>醫</w:t>
      </w:r>
      <w:proofErr w:type="gramEnd"/>
      <w:r>
        <w:rPr>
          <w:rFonts w:ascii="標楷體" w:eastAsia="標楷體" w:hAnsi="標楷體"/>
          <w:color w:val="000000"/>
        </w:rPr>
        <w:t>事機構應注意監測病患用藥後之不良反應及可能發生的重大安全事件(如肺結核及病毒性肝炎)。（103/9/1）</w:t>
      </w:r>
    </w:p>
    <w:p w14:paraId="2C11280E" w14:textId="77777777" w:rsidR="00A00E93" w:rsidRDefault="00A00E93" w:rsidP="003C466D">
      <w:pPr>
        <w:spacing w:line="300" w:lineRule="exact"/>
        <w:ind w:left="851" w:hanging="425"/>
        <w:rPr>
          <w:rFonts w:ascii="標楷體" w:eastAsia="標楷體" w:hAnsi="標楷體"/>
          <w:color w:val="000000"/>
        </w:rPr>
      </w:pPr>
      <w:r>
        <w:rPr>
          <w:rFonts w:ascii="標楷體" w:eastAsia="標楷體" w:hAnsi="標楷體"/>
          <w:color w:val="000000"/>
        </w:rPr>
        <w:t>8.2.4.1.</w:t>
      </w:r>
      <w:r w:rsidRPr="00D0771E">
        <w:rPr>
          <w:rFonts w:ascii="標楷體" w:eastAsia="標楷體" w:hAnsi="標楷體"/>
          <w:color w:val="000000"/>
        </w:rPr>
        <w:t xml:space="preserve"> </w:t>
      </w:r>
      <w:r>
        <w:rPr>
          <w:rFonts w:ascii="標楷體" w:eastAsia="標楷體" w:hAnsi="標楷體"/>
          <w:color w:val="000000"/>
        </w:rPr>
        <w:t>Etanercept(如Enbrel)；adalimumab(如Humira)；tocilizumab（如Actemra）；</w:t>
      </w:r>
      <w:r w:rsidR="004B67C5" w:rsidRPr="004B67C5">
        <w:rPr>
          <w:rFonts w:ascii="標楷體" w:eastAsia="標楷體" w:hAnsi="標楷體" w:hint="eastAsia"/>
          <w:color w:val="000000"/>
        </w:rPr>
        <w:t>tofacitinib（如Xeljanz）</w:t>
      </w:r>
      <w:r w:rsidRPr="000C1E55">
        <w:rPr>
          <w:rFonts w:ascii="標楷體" w:eastAsia="標楷體" w:hAnsi="標楷體" w:hint="eastAsia"/>
          <w:color w:val="000000"/>
        </w:rPr>
        <w:t>；</w:t>
      </w:r>
      <w:proofErr w:type="spellStart"/>
      <w:r w:rsidRPr="000C1E55">
        <w:rPr>
          <w:rFonts w:ascii="標楷體" w:eastAsia="標楷體" w:hAnsi="標楷體" w:hint="eastAsia"/>
          <w:color w:val="000000"/>
        </w:rPr>
        <w:t>secukinumab</w:t>
      </w:r>
      <w:proofErr w:type="spellEnd"/>
      <w:r w:rsidRPr="000C1E55">
        <w:rPr>
          <w:rFonts w:ascii="標楷體" w:eastAsia="標楷體" w:hAnsi="標楷體" w:hint="eastAsia"/>
          <w:color w:val="000000"/>
        </w:rPr>
        <w:t>（如Cosentyx）</w:t>
      </w:r>
      <w:r>
        <w:rPr>
          <w:rFonts w:ascii="標楷體" w:eastAsia="標楷體" w:hAnsi="標楷體"/>
          <w:color w:val="000000"/>
        </w:rPr>
        <w:t>(94/3/1、101/12/1、102/1/1、102/10/1、105/10/1、108/1/1、111/2/1、113/10/1</w:t>
      </w:r>
      <w:r w:rsidRPr="0014496F">
        <w:rPr>
          <w:rFonts w:ascii="標楷體" w:eastAsia="標楷體" w:hAnsi="標楷體" w:hint="eastAsia"/>
        </w:rPr>
        <w:t>、114/7/1、114/</w:t>
      </w:r>
      <w:r>
        <w:rPr>
          <w:rFonts w:ascii="標楷體" w:eastAsia="標楷體" w:hAnsi="標楷體" w:hint="eastAsia"/>
        </w:rPr>
        <w:t>10</w:t>
      </w:r>
      <w:r w:rsidRPr="0014496F">
        <w:rPr>
          <w:rFonts w:ascii="標楷體" w:eastAsia="標楷體" w:hAnsi="標楷體" w:hint="eastAsia"/>
        </w:rPr>
        <w:t>/1</w:t>
      </w:r>
      <w:r>
        <w:rPr>
          <w:rFonts w:ascii="標楷體" w:eastAsia="標楷體" w:hAnsi="標楷體"/>
          <w:color w:val="000000"/>
        </w:rPr>
        <w:t>)：兒童治療部分</w:t>
      </w:r>
    </w:p>
    <w:p w14:paraId="293A76F5"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1.Etanercept限使用於4歲以上具有活動性多關節幼年型慢性關節炎患者。</w:t>
      </w:r>
      <w:r w:rsidRPr="00D0771E">
        <w:rPr>
          <w:rFonts w:ascii="標楷體" w:eastAsia="標楷體" w:hAnsi="標楷體"/>
          <w:color w:val="000000"/>
        </w:rPr>
        <w:lastRenderedPageBreak/>
        <w:t>adalimumab、tocilizumab及tofacitinib限使用於2歲以上具有活動性多關節幼年型慢性關節炎患者（101/12/1、102/10/1、105/10/1、108/1/1、111/2/1、113/10/1）</w:t>
      </w:r>
      <w:r w:rsidRPr="00D0771E">
        <w:rPr>
          <w:rFonts w:ascii="標楷體" w:eastAsia="標楷體" w:hAnsi="標楷體" w:hint="eastAsia"/>
          <w:color w:val="000000"/>
        </w:rPr>
        <w:t>。</w:t>
      </w:r>
      <w:proofErr w:type="spellStart"/>
      <w:r w:rsidRPr="00D0771E">
        <w:rPr>
          <w:rFonts w:ascii="標楷體" w:eastAsia="標楷體" w:hAnsi="標楷體" w:hint="eastAsia"/>
          <w:color w:val="000000"/>
        </w:rPr>
        <w:t>secukinumab</w:t>
      </w:r>
      <w:proofErr w:type="spellEnd"/>
      <w:r w:rsidRPr="00D0771E">
        <w:rPr>
          <w:rFonts w:ascii="標楷體" w:eastAsia="標楷體" w:hAnsi="標楷體" w:hint="eastAsia"/>
          <w:color w:val="000000"/>
        </w:rPr>
        <w:t>限使用6歲以上具有接骨點發炎相關型關節炎患者（114/7/1）。</w:t>
      </w:r>
    </w:p>
    <w:p w14:paraId="42F24EA0" w14:textId="77777777" w:rsidR="00A00E93" w:rsidRPr="00D0771E" w:rsidRDefault="00A00E93" w:rsidP="003C466D">
      <w:pPr>
        <w:spacing w:line="300" w:lineRule="exact"/>
        <w:ind w:left="851" w:hanging="238"/>
        <w:rPr>
          <w:rFonts w:ascii="標楷體" w:eastAsia="標楷體" w:hAnsi="標楷體"/>
          <w:color w:val="000000"/>
        </w:rPr>
      </w:pPr>
      <w:r w:rsidRPr="00D0771E">
        <w:rPr>
          <w:rFonts w:ascii="標楷體" w:eastAsia="標楷體" w:hAnsi="標楷體"/>
          <w:color w:val="000000"/>
        </w:rPr>
        <w:t>2.</w:t>
      </w:r>
      <w:r w:rsidRPr="002478F1">
        <w:rPr>
          <w:rFonts w:ascii="標楷體" w:eastAsia="標楷體" w:hAnsi="標楷體" w:hint="eastAsia"/>
          <w:color w:val="000000"/>
        </w:rPr>
        <w:t>限具有風濕病專科醫師證書之內科專科醫師或具有小兒過敏免疫專科醫師證書之小兒科專科醫師處方。（114/10/1）</w:t>
      </w:r>
    </w:p>
    <w:p w14:paraId="64BF1DC0"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3.年齡大於18歲的病患應由具有風濕病專科醫師證書之內科專科醫師或具有小兒過敏免疫專科醫師證書之小兒科專科醫師重新評估病情，改依成人治療（8.2.4.2）規定申請。（108/1/1）</w:t>
      </w:r>
    </w:p>
    <w:p w14:paraId="12E52F7C"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4.需事前審查核准後使用。</w:t>
      </w:r>
    </w:p>
    <w:p w14:paraId="7D5B6EA0"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(1)申報時需檢附</w:t>
      </w:r>
      <w:proofErr w:type="spellStart"/>
      <w:r w:rsidRPr="00D0771E">
        <w:rPr>
          <w:rFonts w:ascii="標楷體" w:eastAsia="標楷體" w:hAnsi="標楷體"/>
          <w:color w:val="000000"/>
        </w:rPr>
        <w:t>methrotexate</w:t>
      </w:r>
      <w:proofErr w:type="spellEnd"/>
      <w:r w:rsidRPr="00D0771E">
        <w:rPr>
          <w:rFonts w:ascii="標楷體" w:eastAsia="標楷體" w:hAnsi="標楷體"/>
          <w:color w:val="000000"/>
        </w:rPr>
        <w:t>或corticosteroids</w:t>
      </w:r>
      <w:r w:rsidRPr="00D0771E">
        <w:rPr>
          <w:rFonts w:ascii="標楷體" w:eastAsia="標楷體" w:hAnsi="標楷體" w:hint="eastAsia"/>
          <w:color w:val="000000"/>
        </w:rPr>
        <w:t>或sulfasalazine（限接骨點發炎相關型關節炎患者，以下簡稱ERA）</w:t>
      </w:r>
      <w:r w:rsidRPr="00D0771E">
        <w:rPr>
          <w:rFonts w:ascii="標楷體" w:eastAsia="標楷體" w:hAnsi="標楷體"/>
          <w:color w:val="000000"/>
        </w:rPr>
        <w:t>藥物使用的劑量、治療時間、副作用、及關節腫脹治療前後的相關照片或關節X光檢查報告等資料。</w:t>
      </w:r>
    </w:p>
    <w:p w14:paraId="37AFF460"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(2)使用</w:t>
      </w:r>
      <w:r w:rsidRPr="00D0771E">
        <w:rPr>
          <w:rFonts w:ascii="標楷體" w:eastAsia="標楷體" w:hAnsi="標楷體" w:hint="eastAsia"/>
          <w:color w:val="000000"/>
        </w:rPr>
        <w:t>etanercept、adalimumab或tocilizumab或</w:t>
      </w:r>
      <w:proofErr w:type="spellStart"/>
      <w:r w:rsidRPr="00D0771E">
        <w:rPr>
          <w:rFonts w:ascii="標楷體" w:eastAsia="標楷體" w:hAnsi="標楷體" w:hint="eastAsia"/>
          <w:color w:val="000000"/>
        </w:rPr>
        <w:t>secukinumab</w:t>
      </w:r>
      <w:proofErr w:type="spellEnd"/>
      <w:r w:rsidRPr="00D0771E">
        <w:rPr>
          <w:rFonts w:ascii="標楷體" w:eastAsia="標楷體" w:hAnsi="標楷體" w:hint="eastAsia"/>
          <w:color w:val="000000"/>
        </w:rPr>
        <w:t>（限ERA）之後</w:t>
      </w:r>
      <w:r w:rsidRPr="00D0771E">
        <w:rPr>
          <w:rFonts w:ascii="標楷體" w:eastAsia="標楷體" w:hAnsi="標楷體"/>
          <w:color w:val="000000"/>
        </w:rPr>
        <w:t>，每六</w:t>
      </w:r>
      <w:proofErr w:type="gramStart"/>
      <w:r w:rsidRPr="00D0771E">
        <w:rPr>
          <w:rFonts w:ascii="標楷體" w:eastAsia="標楷體" w:hAnsi="標楷體"/>
          <w:color w:val="000000"/>
        </w:rPr>
        <w:t>個</w:t>
      </w:r>
      <w:proofErr w:type="gramEnd"/>
      <w:r w:rsidRPr="00D0771E">
        <w:rPr>
          <w:rFonts w:ascii="標楷體" w:eastAsia="標楷體" w:hAnsi="標楷體"/>
          <w:color w:val="000000"/>
        </w:rPr>
        <w:t>月需再申請一次；需描述使用藥物後的療效、副作用或併發症。（101/12/1、102/10/1、113/10/1</w:t>
      </w:r>
      <w:r w:rsidRPr="00D0771E">
        <w:rPr>
          <w:rFonts w:ascii="標楷體" w:eastAsia="標楷體" w:hAnsi="標楷體" w:hint="eastAsia"/>
          <w:color w:val="000000"/>
        </w:rPr>
        <w:t>、114/7/1</w:t>
      </w:r>
      <w:r w:rsidRPr="00D0771E">
        <w:rPr>
          <w:rFonts w:ascii="標楷體" w:eastAsia="標楷體" w:hAnsi="標楷體"/>
          <w:color w:val="000000"/>
        </w:rPr>
        <w:t>）</w:t>
      </w:r>
    </w:p>
    <w:p w14:paraId="743ED147"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5.</w:t>
      </w:r>
      <w:r w:rsidRPr="00D0771E">
        <w:rPr>
          <w:rFonts w:ascii="標楷體" w:eastAsia="標楷體" w:hAnsi="標楷體" w:hint="eastAsia"/>
          <w:color w:val="000000"/>
        </w:rPr>
        <w:t>病患需符合（1）且（2），（3）或（4）共符合三項條件者方可使用</w:t>
      </w:r>
    </w:p>
    <w:p w14:paraId="28EF78CC"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(1)病人的關節炎必須符合下列任何一種亞型的病變：</w:t>
      </w:r>
    </w:p>
    <w:p w14:paraId="05F9E216"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Ⅰ全身性 ( systemic)</w:t>
      </w:r>
    </w:p>
    <w:p w14:paraId="5E630D67" w14:textId="77777777" w:rsidR="00A00E93" w:rsidRPr="00D0771E" w:rsidRDefault="00A00E93" w:rsidP="003C466D">
      <w:pPr>
        <w:spacing w:line="300" w:lineRule="exact"/>
        <w:ind w:left="1414" w:hanging="336"/>
        <w:rPr>
          <w:rFonts w:ascii="標楷體" w:eastAsia="標楷體" w:hAnsi="標楷體"/>
          <w:color w:val="000000"/>
        </w:rPr>
      </w:pPr>
      <w:proofErr w:type="gramStart"/>
      <w:r w:rsidRPr="00D0771E">
        <w:rPr>
          <w:rFonts w:ascii="標楷體" w:eastAsia="標楷體" w:hAnsi="標楷體"/>
          <w:color w:val="000000"/>
        </w:rPr>
        <w:t>Ⅱ多發</w:t>
      </w:r>
      <w:proofErr w:type="gramEnd"/>
      <w:r w:rsidRPr="00D0771E">
        <w:rPr>
          <w:rFonts w:ascii="標楷體" w:eastAsia="標楷體" w:hAnsi="標楷體"/>
          <w:color w:val="000000"/>
        </w:rPr>
        <w:t>性關節炎 (polyarticular)(類風濕性因子陽性或陰性者皆可)</w:t>
      </w:r>
    </w:p>
    <w:p w14:paraId="19061717"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Ⅲ擴散型嚴重少數關節炎 (extended oligoarticular)</w:t>
      </w:r>
    </w:p>
    <w:p w14:paraId="19B08BB3"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hint="eastAsia"/>
          <w:color w:val="000000"/>
        </w:rPr>
        <w:t>Ⅳ接骨點發炎相關型關節炎（enthesitis-related arthritis, ERA）（114/7/1）</w:t>
      </w:r>
    </w:p>
    <w:p w14:paraId="24EC0A4D"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(2)標準療法失敗者 (符合下列任一項)</w:t>
      </w:r>
    </w:p>
    <w:p w14:paraId="0E53EF43"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Ⅰ病患必須曾經接受methotrexate的充分治療。</w:t>
      </w:r>
    </w:p>
    <w:p w14:paraId="450E9529"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充分治療的定義：</w:t>
      </w:r>
    </w:p>
    <w:p w14:paraId="5B7D2C1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10毫克/身體表面積平方米/</w:t>
      </w:r>
      <w:proofErr w:type="gramStart"/>
      <w:r w:rsidRPr="00D0771E">
        <w:rPr>
          <w:rFonts w:ascii="標楷體" w:eastAsia="標楷體" w:hAnsi="標楷體"/>
          <w:color w:val="000000"/>
        </w:rPr>
        <w:t>週</w:t>
      </w:r>
      <w:proofErr w:type="gramEnd"/>
      <w:r w:rsidRPr="00D0771E">
        <w:rPr>
          <w:rFonts w:ascii="標楷體" w:eastAsia="標楷體" w:hAnsi="標楷體"/>
          <w:color w:val="000000"/>
        </w:rPr>
        <w:t>的口服或注射methotrexate治療，藥物治療時間必須達3個月以上。(若因藥物毒性無法忍受，以致於無法達到上項要求時，劑量可以酌情降低。)</w:t>
      </w:r>
    </w:p>
    <w:p w14:paraId="6C118BA1" w14:textId="77777777" w:rsidR="00A00E93" w:rsidRPr="00D0771E" w:rsidRDefault="00A00E93" w:rsidP="003C466D">
      <w:pPr>
        <w:spacing w:line="300" w:lineRule="exact"/>
        <w:ind w:left="1414" w:hanging="336"/>
        <w:rPr>
          <w:rFonts w:ascii="標楷體" w:eastAsia="標楷體" w:hAnsi="標楷體"/>
          <w:color w:val="000000"/>
        </w:rPr>
      </w:pPr>
      <w:proofErr w:type="gramStart"/>
      <w:r w:rsidRPr="00D0771E">
        <w:rPr>
          <w:rFonts w:ascii="標楷體" w:eastAsia="標楷體" w:hAnsi="標楷體"/>
          <w:color w:val="000000"/>
        </w:rPr>
        <w:t>Ⅱ若單獨</w:t>
      </w:r>
      <w:proofErr w:type="gramEnd"/>
      <w:r w:rsidRPr="00D0771E">
        <w:rPr>
          <w:rFonts w:ascii="標楷體" w:eastAsia="標楷體" w:hAnsi="標楷體"/>
          <w:color w:val="000000"/>
        </w:rPr>
        <w:t>使用類固醇來治療</w:t>
      </w:r>
      <w:proofErr w:type="gramStart"/>
      <w:r w:rsidRPr="00D0771E">
        <w:rPr>
          <w:rFonts w:ascii="標楷體" w:eastAsia="標楷體" w:hAnsi="標楷體"/>
          <w:color w:val="000000"/>
        </w:rPr>
        <w:t>全身性類風濕</w:t>
      </w:r>
      <w:proofErr w:type="gramEnd"/>
      <w:r w:rsidRPr="00D0771E">
        <w:rPr>
          <w:rFonts w:ascii="標楷體" w:eastAsia="標楷體" w:hAnsi="標楷體"/>
          <w:color w:val="000000"/>
        </w:rPr>
        <w:t>性關節炎症狀，prednisolone的劑量必須高於每天每公斤0.25毫克以上並且發生無法接受的副作用。</w:t>
      </w:r>
    </w:p>
    <w:p w14:paraId="78268371"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Ⅲ</w:t>
      </w:r>
      <w:r w:rsidRPr="00D0771E">
        <w:rPr>
          <w:rFonts w:ascii="標楷體" w:eastAsia="標楷體" w:hAnsi="標楷體" w:hint="eastAsia"/>
          <w:color w:val="000000"/>
        </w:rPr>
        <w:t>必須曾經接受sulfasalazine的充分治療。（114/7/1）</w:t>
      </w:r>
    </w:p>
    <w:p w14:paraId="788D6BE0"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hint="eastAsia"/>
          <w:color w:val="000000"/>
        </w:rPr>
        <w:t>充分治療定義：sulfasalazine 需以 30 毫克/公斤/天之標準治療 3個月或以上。</w:t>
      </w:r>
      <w:proofErr w:type="gramStart"/>
      <w:r w:rsidRPr="00D0771E">
        <w:rPr>
          <w:rFonts w:ascii="標楷體" w:eastAsia="標楷體" w:hAnsi="標楷體" w:hint="eastAsia"/>
          <w:color w:val="000000"/>
        </w:rPr>
        <w:t>（</w:t>
      </w:r>
      <w:proofErr w:type="gramEnd"/>
      <w:r w:rsidRPr="00D0771E">
        <w:rPr>
          <w:rFonts w:ascii="標楷體" w:eastAsia="標楷體" w:hAnsi="標楷體" w:hint="eastAsia"/>
          <w:color w:val="000000"/>
        </w:rPr>
        <w:t>ERA若因藥物毒性無法忍受，以致於無法達到上項要求時，劑量可以酌情降低。）</w:t>
      </w:r>
    </w:p>
    <w:p w14:paraId="64706AE2"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(3)最近3個月關節炎的活動性必須符合活動性多關節炎標準者。活動性多關節炎標準定義:關節病情必須同時符合下列兩個要項：</w:t>
      </w:r>
    </w:p>
    <w:p w14:paraId="47C13957"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Ⅰ腫脹的關節總數大於等於5個。</w:t>
      </w:r>
    </w:p>
    <w:p w14:paraId="5AC1A542"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Ⅱ關節活動受到限制而且具有疼痛或壓痛的關節總數</w:t>
      </w:r>
      <w:proofErr w:type="gramStart"/>
      <w:r w:rsidRPr="00D0771E">
        <w:rPr>
          <w:rFonts w:ascii="標楷體" w:eastAsia="標楷體" w:hAnsi="標楷體"/>
          <w:color w:val="000000"/>
        </w:rPr>
        <w:t>≧</w:t>
      </w:r>
      <w:proofErr w:type="gramEnd"/>
      <w:r w:rsidRPr="00D0771E">
        <w:rPr>
          <w:rFonts w:ascii="標楷體" w:eastAsia="標楷體" w:hAnsi="標楷體"/>
          <w:color w:val="000000"/>
        </w:rPr>
        <w:t>3個。</w:t>
      </w:r>
    </w:p>
    <w:p w14:paraId="51EDA8F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(必須附上關節腫脹之相關照片或關節X光檢查報告作為輔</w:t>
      </w:r>
      <w:proofErr w:type="gramStart"/>
      <w:r w:rsidRPr="00D0771E">
        <w:rPr>
          <w:rFonts w:ascii="標楷體" w:eastAsia="標楷體" w:hAnsi="標楷體"/>
          <w:color w:val="000000"/>
        </w:rPr>
        <w:t>証</w:t>
      </w:r>
      <w:proofErr w:type="gramEnd"/>
      <w:r w:rsidRPr="00D0771E">
        <w:rPr>
          <w:rFonts w:ascii="標楷體" w:eastAsia="標楷體" w:hAnsi="標楷體"/>
          <w:color w:val="000000"/>
        </w:rPr>
        <w:t>)。</w:t>
      </w:r>
    </w:p>
    <w:p w14:paraId="257823B0"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hint="eastAsia"/>
          <w:color w:val="000000"/>
        </w:rPr>
        <w:t>(4)最近3個月關節炎的活動性必須符合接骨點發炎相關型關節炎標準者。接骨點發炎相關型關節炎標準定義關節病情必須符合：</w:t>
      </w:r>
    </w:p>
    <w:p w14:paraId="0CFDD881"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hint="eastAsia"/>
          <w:color w:val="000000"/>
        </w:rPr>
        <w:t>具活動性關節炎</w:t>
      </w:r>
      <w:r w:rsidRPr="00D0771E">
        <w:rPr>
          <w:rFonts w:ascii="Times New Roman" w:eastAsia="標楷體" w:hAnsi="Times New Roman"/>
          <w:color w:val="000000"/>
        </w:rPr>
        <w:t>≥</w:t>
      </w:r>
      <w:r w:rsidRPr="00D0771E">
        <w:rPr>
          <w:rFonts w:ascii="標楷體" w:eastAsia="標楷體" w:hAnsi="標楷體"/>
          <w:color w:val="000000"/>
        </w:rPr>
        <w:t>3</w:t>
      </w:r>
      <w:r w:rsidRPr="00D0771E">
        <w:rPr>
          <w:rFonts w:ascii="標楷體" w:eastAsia="標楷體" w:hAnsi="標楷體" w:hint="eastAsia"/>
          <w:color w:val="000000"/>
        </w:rPr>
        <w:t>個（疼痛且關節活動受到限制，或腫脹），且</w:t>
      </w:r>
      <w:r w:rsidRPr="00D0771E">
        <w:rPr>
          <w:rFonts w:ascii="Times New Roman" w:eastAsia="標楷體" w:hAnsi="Times New Roman"/>
          <w:color w:val="000000"/>
        </w:rPr>
        <w:t>≥</w:t>
      </w:r>
      <w:r w:rsidRPr="00D0771E">
        <w:rPr>
          <w:rFonts w:ascii="標楷體" w:eastAsia="標楷體" w:hAnsi="標楷體"/>
          <w:color w:val="000000"/>
        </w:rPr>
        <w:t>1</w:t>
      </w:r>
      <w:r w:rsidRPr="00D0771E">
        <w:rPr>
          <w:rFonts w:ascii="標楷體" w:eastAsia="標楷體" w:hAnsi="標楷體" w:hint="eastAsia"/>
          <w:color w:val="000000"/>
        </w:rPr>
        <w:t>個接骨點炎或中軸症狀。（</w:t>
      </w:r>
      <w:r w:rsidRPr="00D0771E">
        <w:rPr>
          <w:rFonts w:ascii="標楷體" w:eastAsia="標楷體" w:hAnsi="標楷體"/>
          <w:color w:val="000000"/>
        </w:rPr>
        <w:t>114/7/1</w:t>
      </w:r>
      <w:r w:rsidRPr="00D0771E">
        <w:rPr>
          <w:rFonts w:ascii="標楷體" w:eastAsia="標楷體" w:hAnsi="標楷體" w:hint="eastAsia"/>
          <w:color w:val="000000"/>
        </w:rPr>
        <w:t>）</w:t>
      </w:r>
    </w:p>
    <w:p w14:paraId="01677DDF"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6.需排除使用的情形(102/10/1、113/10/1)</w:t>
      </w:r>
    </w:p>
    <w:p w14:paraId="7A547F8B"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應參照藥物仿單，重要之排除使用狀況包括：</w:t>
      </w:r>
    </w:p>
    <w:p w14:paraId="16ADE5CB"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(1)懷孕或</w:t>
      </w:r>
      <w:proofErr w:type="gramStart"/>
      <w:r w:rsidRPr="00D0771E">
        <w:rPr>
          <w:rFonts w:ascii="標楷體" w:eastAsia="標楷體" w:hAnsi="標楷體"/>
          <w:color w:val="000000"/>
        </w:rPr>
        <w:t>正在授乳的</w:t>
      </w:r>
      <w:proofErr w:type="gramEnd"/>
      <w:r w:rsidRPr="00D0771E">
        <w:rPr>
          <w:rFonts w:ascii="標楷體" w:eastAsia="標楷體" w:hAnsi="標楷體"/>
          <w:color w:val="000000"/>
        </w:rPr>
        <w:t>婦女。</w:t>
      </w:r>
    </w:p>
    <w:p w14:paraId="28556A26"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(2)</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患活動性的感染症的病患。</w:t>
      </w:r>
    </w:p>
    <w:p w14:paraId="6FD5FFA1"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(3)未經完整治療之結核病的病患（包括潛伏結核感染治療未達四</w:t>
      </w:r>
      <w:proofErr w:type="gramStart"/>
      <w:r w:rsidRPr="00D0771E">
        <w:rPr>
          <w:rFonts w:ascii="標楷體" w:eastAsia="標楷體" w:hAnsi="標楷體"/>
          <w:color w:val="000000"/>
        </w:rPr>
        <w:t>週</w:t>
      </w:r>
      <w:proofErr w:type="gramEnd"/>
      <w:r w:rsidRPr="00D0771E">
        <w:rPr>
          <w:rFonts w:ascii="標楷體" w:eastAsia="標楷體" w:hAnsi="標楷體"/>
          <w:color w:val="000000"/>
        </w:rPr>
        <w:t>者，申請時應檢</w:t>
      </w:r>
      <w:r w:rsidRPr="00D0771E">
        <w:rPr>
          <w:rFonts w:ascii="標楷體" w:eastAsia="標楷體" w:hAnsi="標楷體"/>
          <w:color w:val="000000"/>
        </w:rPr>
        <w:lastRenderedPageBreak/>
        <w:t>附潛伏結核感染篩檢紀錄及治療紀錄供審查）。(102/1/1)</w:t>
      </w:r>
    </w:p>
    <w:p w14:paraId="7FBCBCCB"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(4)身上帶有人工關節者，</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患或先前曾</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患過嚴重的敗血症(sepsis)者。</w:t>
      </w:r>
    </w:p>
    <w:p w14:paraId="06A3BAF3"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(5)惡性腫瘤或具有癌症前兆 (pre-malignancy) 的病患。</w:t>
      </w:r>
    </w:p>
    <w:p w14:paraId="5247B1DA"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(6)免疫功能不全者 (Immunodeficiency)。</w:t>
      </w:r>
    </w:p>
    <w:p w14:paraId="237ECD2B"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7.需停止治療的情形(102/10/1、113/10/1)</w:t>
      </w:r>
    </w:p>
    <w:p w14:paraId="52919D59"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如果發生下列現象應停止治療：</w:t>
      </w:r>
    </w:p>
    <w:p w14:paraId="374E380C"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(1)不良事件，包括：</w:t>
      </w:r>
    </w:p>
    <w:p w14:paraId="4EC9009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Ⅰ惡性腫瘤。</w:t>
      </w:r>
    </w:p>
    <w:p w14:paraId="1028B810" w14:textId="77777777" w:rsidR="00A00E93" w:rsidRPr="00D0771E" w:rsidRDefault="00A00E93" w:rsidP="003C466D">
      <w:pPr>
        <w:spacing w:line="300" w:lineRule="exact"/>
        <w:ind w:left="1414" w:hanging="336"/>
        <w:rPr>
          <w:rFonts w:ascii="標楷體" w:eastAsia="標楷體" w:hAnsi="標楷體"/>
          <w:color w:val="000000"/>
        </w:rPr>
      </w:pPr>
      <w:proofErr w:type="gramStart"/>
      <w:r w:rsidRPr="00D0771E">
        <w:rPr>
          <w:rFonts w:ascii="標楷體" w:eastAsia="標楷體" w:hAnsi="標楷體"/>
          <w:color w:val="000000"/>
        </w:rPr>
        <w:t>Ⅱ該藥物</w:t>
      </w:r>
      <w:proofErr w:type="gramEnd"/>
      <w:r w:rsidRPr="00D0771E">
        <w:rPr>
          <w:rFonts w:ascii="標楷體" w:eastAsia="標楷體" w:hAnsi="標楷體"/>
          <w:color w:val="000000"/>
        </w:rPr>
        <w:t>引起的嚴重毒性。</w:t>
      </w:r>
    </w:p>
    <w:p w14:paraId="052A066C"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Ⅲ懷孕 (暫時停藥即可)。</w:t>
      </w:r>
    </w:p>
    <w:p w14:paraId="38451116"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Ⅳ嚴重</w:t>
      </w:r>
      <w:proofErr w:type="gramStart"/>
      <w:r w:rsidRPr="00D0771E">
        <w:rPr>
          <w:rFonts w:ascii="標楷體" w:eastAsia="標楷體" w:hAnsi="標楷體"/>
          <w:color w:val="000000"/>
        </w:rPr>
        <w:t>的間發性</w:t>
      </w:r>
      <w:proofErr w:type="gramEnd"/>
      <w:r w:rsidRPr="00D0771E">
        <w:rPr>
          <w:rFonts w:ascii="標楷體" w:eastAsia="標楷體" w:hAnsi="標楷體"/>
          <w:color w:val="000000"/>
        </w:rPr>
        <w:t>感染症 (intercurrent infection)(暫時停藥即可)。</w:t>
      </w:r>
    </w:p>
    <w:p w14:paraId="4CAD4724"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療效</w:t>
      </w:r>
      <w:proofErr w:type="gramStart"/>
      <w:r w:rsidRPr="00D0771E">
        <w:rPr>
          <w:rFonts w:ascii="標楷體" w:eastAsia="標楷體" w:hAnsi="標楷體"/>
          <w:color w:val="000000"/>
        </w:rPr>
        <w:t>不</w:t>
      </w:r>
      <w:proofErr w:type="gramEnd"/>
      <w:r w:rsidRPr="00D0771E">
        <w:rPr>
          <w:rFonts w:ascii="標楷體" w:eastAsia="標楷體" w:hAnsi="標楷體"/>
          <w:color w:val="000000"/>
        </w:rPr>
        <w:t>彰：患者的core set data經過6個月治療後未達療效者。</w:t>
      </w:r>
    </w:p>
    <w:p w14:paraId="2E8F1B3A"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療效定義：</w:t>
      </w:r>
    </w:p>
    <w:p w14:paraId="4314502B"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Ⅰ紅血球</w:t>
      </w:r>
      <w:proofErr w:type="gramStart"/>
      <w:r w:rsidRPr="00D0771E">
        <w:rPr>
          <w:rFonts w:ascii="標楷體" w:eastAsia="標楷體" w:hAnsi="標楷體"/>
          <w:color w:val="000000"/>
        </w:rPr>
        <w:t>沉</w:t>
      </w:r>
      <w:proofErr w:type="gramEnd"/>
      <w:r w:rsidRPr="00D0771E">
        <w:rPr>
          <w:rFonts w:ascii="標楷體" w:eastAsia="標楷體" w:hAnsi="標楷體"/>
          <w:color w:val="000000"/>
        </w:rPr>
        <w:t>降速率 (ESR) 或CRP及下列三項中至少有二項達到較基礎值改善30%以上效果者。</w:t>
      </w:r>
    </w:p>
    <w:p w14:paraId="7D546220" w14:textId="77777777" w:rsidR="00A00E93" w:rsidRPr="00D0771E" w:rsidRDefault="00A00E93" w:rsidP="003C466D">
      <w:pPr>
        <w:spacing w:line="300" w:lineRule="exact"/>
        <w:ind w:left="1414" w:hanging="336"/>
        <w:rPr>
          <w:rFonts w:ascii="標楷體" w:eastAsia="標楷體" w:hAnsi="標楷體"/>
          <w:color w:val="000000"/>
        </w:rPr>
      </w:pPr>
      <w:proofErr w:type="spellStart"/>
      <w:r w:rsidRPr="00D0771E">
        <w:rPr>
          <w:rFonts w:ascii="標楷體" w:eastAsia="標楷體" w:hAnsi="標楷體"/>
          <w:color w:val="000000"/>
        </w:rPr>
        <w:t>i</w:t>
      </w:r>
      <w:proofErr w:type="spellEnd"/>
      <w:r w:rsidRPr="00D0771E">
        <w:rPr>
          <w:rFonts w:ascii="標楷體" w:eastAsia="標楷體" w:hAnsi="標楷體"/>
          <w:color w:val="000000"/>
        </w:rPr>
        <w:t>.活動性關節炎的總數</w:t>
      </w:r>
    </w:p>
    <w:p w14:paraId="2945640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ii.關節活動範圍受到限制的關節總數</w:t>
      </w:r>
    </w:p>
    <w:p w14:paraId="661B4ADD"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iii.醫師的整體評估</w:t>
      </w:r>
    </w:p>
    <w:p w14:paraId="4013F6D2"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Ⅱ上述各種指標惡化程度達30%以上者不得超過一項</w:t>
      </w:r>
    </w:p>
    <w:p w14:paraId="58F0BDC4"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◎附表十六：全民健康保險活動性多關節幼年型慢性關節炎使用藥品申請表</w:t>
      </w:r>
    </w:p>
    <w:p w14:paraId="26ACDC20" w14:textId="77777777" w:rsidR="00401786" w:rsidRDefault="00A00E93" w:rsidP="003C466D">
      <w:pPr>
        <w:spacing w:line="300" w:lineRule="exact"/>
        <w:ind w:left="1276" w:hanging="208"/>
        <w:rPr>
          <w:rFonts w:ascii="標楷體" w:eastAsia="標楷體" w:hAnsi="標楷體"/>
          <w:color w:val="000000"/>
        </w:rPr>
      </w:pPr>
      <w:r w:rsidRPr="00D0771E">
        <w:rPr>
          <w:rFonts w:ascii="標楷體" w:eastAsia="標楷體" w:hAnsi="標楷體"/>
          <w:color w:val="000000"/>
        </w:rPr>
        <w:t>◎附表十六之二：（刪除）</w:t>
      </w:r>
    </w:p>
    <w:p w14:paraId="50857BE2" w14:textId="77777777" w:rsidR="00A825AE" w:rsidRDefault="00C64FB3" w:rsidP="00A825AE">
      <w:pPr>
        <w:ind w:left="567" w:hanging="245"/>
        <w:rPr>
          <w:rFonts w:ascii="標楷體" w:eastAsia="標楷體" w:hAnsi="標楷體"/>
          <w:color w:val="000000"/>
        </w:rPr>
      </w:pPr>
      <w:r>
        <w:rPr>
          <w:rFonts w:ascii="標楷體" w:eastAsia="標楷體" w:hAnsi="標楷體"/>
          <w:color w:val="000000"/>
        </w:rPr>
        <w:t>8.2.4.2.</w:t>
      </w:r>
      <w:r w:rsidR="00A825AE" w:rsidRPr="00A825AE">
        <w:rPr>
          <w:rFonts w:ascii="標楷體" w:eastAsia="標楷體" w:hAnsi="標楷體"/>
          <w:color w:val="000000"/>
        </w:rPr>
        <w:t xml:space="preserve"> </w:t>
      </w:r>
      <w:r w:rsidR="00A825AE">
        <w:rPr>
          <w:rFonts w:ascii="標楷體" w:eastAsia="標楷體" w:hAnsi="標楷體"/>
          <w:color w:val="000000"/>
        </w:rPr>
        <w:t>Etanercept(如Enbrel)； adalimumab（如Humira）；golimumab（如Simponi）； abatacept（如Orencia）；tocilizumab（如Actemra）；tofacitinib（如Xeljanz）；certolizumab (Cimzia) ；baricitinib（如Olumiant）；</w:t>
      </w:r>
      <w:proofErr w:type="spellStart"/>
      <w:r w:rsidR="00A825AE">
        <w:rPr>
          <w:rFonts w:ascii="標楷體" w:eastAsia="標楷體" w:hAnsi="標楷體"/>
          <w:color w:val="000000"/>
        </w:rPr>
        <w:t>opinercept</w:t>
      </w:r>
      <w:proofErr w:type="spellEnd"/>
      <w:r w:rsidR="00A825AE">
        <w:rPr>
          <w:rFonts w:ascii="標楷體" w:eastAsia="標楷體" w:hAnsi="標楷體"/>
          <w:color w:val="000000"/>
        </w:rPr>
        <w:t xml:space="preserve"> (如</w:t>
      </w:r>
      <w:proofErr w:type="spellStart"/>
      <w:r w:rsidR="00A825AE">
        <w:rPr>
          <w:rFonts w:ascii="標楷體" w:eastAsia="標楷體" w:hAnsi="標楷體"/>
          <w:color w:val="000000"/>
        </w:rPr>
        <w:t>Tunex</w:t>
      </w:r>
      <w:proofErr w:type="spellEnd"/>
      <w:r w:rsidR="00A825AE">
        <w:rPr>
          <w:rFonts w:ascii="標楷體" w:eastAsia="標楷體" w:hAnsi="標楷體"/>
          <w:color w:val="000000"/>
        </w:rPr>
        <w:t>)； infliximab</w:t>
      </w:r>
      <w:r w:rsidR="00A825AE" w:rsidRPr="00736BB0">
        <w:rPr>
          <w:rFonts w:ascii="標楷體" w:eastAsia="標楷體" w:hAnsi="標楷體" w:hint="eastAsia"/>
          <w:color w:val="000000"/>
        </w:rPr>
        <w:t>(如Remicade)</w:t>
      </w:r>
      <w:r w:rsidR="00A825AE">
        <w:rPr>
          <w:rFonts w:ascii="標楷體" w:eastAsia="標楷體" w:hAnsi="標楷體"/>
          <w:color w:val="000000"/>
        </w:rPr>
        <w:t>；</w:t>
      </w:r>
      <w:proofErr w:type="spellStart"/>
      <w:r w:rsidR="00A825AE">
        <w:rPr>
          <w:rFonts w:ascii="標楷體" w:eastAsia="標楷體" w:hAnsi="標楷體"/>
          <w:color w:val="000000"/>
        </w:rPr>
        <w:t>peficitinib</w:t>
      </w:r>
      <w:proofErr w:type="spellEnd"/>
      <w:r w:rsidR="00A825AE">
        <w:rPr>
          <w:rFonts w:ascii="標楷體" w:eastAsia="標楷體" w:hAnsi="標楷體"/>
          <w:color w:val="000000"/>
        </w:rPr>
        <w:t xml:space="preserve"> (如</w:t>
      </w:r>
      <w:proofErr w:type="spellStart"/>
      <w:r w:rsidR="00A825AE">
        <w:rPr>
          <w:rFonts w:ascii="標楷體" w:eastAsia="標楷體" w:hAnsi="標楷體"/>
          <w:color w:val="000000"/>
        </w:rPr>
        <w:t>Smyraf</w:t>
      </w:r>
      <w:proofErr w:type="spellEnd"/>
      <w:r w:rsidR="00A825AE">
        <w:rPr>
          <w:rFonts w:ascii="標楷體" w:eastAsia="標楷體" w:hAnsi="標楷體"/>
          <w:color w:val="000000"/>
        </w:rPr>
        <w:t>)；</w:t>
      </w:r>
      <w:proofErr w:type="spellStart"/>
      <w:r w:rsidR="00A825AE">
        <w:rPr>
          <w:rFonts w:ascii="標楷體" w:eastAsia="標楷體" w:hAnsi="標楷體"/>
          <w:color w:val="000000"/>
        </w:rPr>
        <w:t>upadacitinib</w:t>
      </w:r>
      <w:proofErr w:type="spellEnd"/>
      <w:r w:rsidR="00A825AE">
        <w:rPr>
          <w:rFonts w:ascii="標楷體" w:eastAsia="標楷體" w:hAnsi="標楷體"/>
          <w:color w:val="000000"/>
        </w:rPr>
        <w:t>(如</w:t>
      </w:r>
      <w:proofErr w:type="spellStart"/>
      <w:r w:rsidR="00A825AE">
        <w:rPr>
          <w:rFonts w:ascii="標楷體" w:eastAsia="標楷體" w:hAnsi="標楷體"/>
          <w:color w:val="000000"/>
        </w:rPr>
        <w:t>Rinvoq</w:t>
      </w:r>
      <w:proofErr w:type="spellEnd"/>
      <w:r w:rsidR="00A825AE">
        <w:rPr>
          <w:rFonts w:ascii="標楷體" w:eastAsia="標楷體" w:hAnsi="標楷體"/>
          <w:color w:val="000000"/>
        </w:rPr>
        <w:t>)；</w:t>
      </w:r>
      <w:proofErr w:type="spellStart"/>
      <w:r w:rsidR="00A825AE">
        <w:rPr>
          <w:rFonts w:ascii="標楷體" w:eastAsia="標楷體" w:hAnsi="標楷體"/>
          <w:color w:val="000000"/>
        </w:rPr>
        <w:t>filgotinib</w:t>
      </w:r>
      <w:proofErr w:type="spellEnd"/>
      <w:r w:rsidR="00A825AE">
        <w:rPr>
          <w:rFonts w:ascii="標楷體" w:eastAsia="標楷體" w:hAnsi="標楷體"/>
          <w:color w:val="000000"/>
        </w:rPr>
        <w:t>(如</w:t>
      </w:r>
      <w:proofErr w:type="spellStart"/>
      <w:r w:rsidR="00A825AE">
        <w:rPr>
          <w:rFonts w:ascii="標楷體" w:eastAsia="標楷體" w:hAnsi="標楷體"/>
          <w:color w:val="000000"/>
        </w:rPr>
        <w:t>Jyseleca</w:t>
      </w:r>
      <w:proofErr w:type="spellEnd"/>
      <w:r w:rsidR="00A825AE">
        <w:rPr>
          <w:rFonts w:ascii="標楷體" w:eastAsia="標楷體" w:hAnsi="標楷體"/>
          <w:color w:val="000000"/>
        </w:rPr>
        <w:t>) (92/3/1、93/8/1、93/9/1、98/3/1、99/2/1、100/12/1、101/1/1、101/6/1、102/1/1、102/4/1、102/10/1、103/12/1、106/4/1、106/11/1、107/9/1、108/3/1、108/5/1、109/8/1、109/9/1、109/12/1、110/3/1、110/5/1、110/6/1、112/5/1、</w:t>
      </w:r>
      <w:r w:rsidR="00A825AE">
        <w:rPr>
          <w:rFonts w:ascii="標楷體" w:eastAsia="標楷體" w:hAnsi="標楷體" w:hint="eastAsia"/>
          <w:color w:val="000000"/>
        </w:rPr>
        <w:t>1</w:t>
      </w:r>
      <w:r w:rsidR="00A825AE">
        <w:rPr>
          <w:rFonts w:ascii="標楷體" w:eastAsia="標楷體" w:hAnsi="標楷體"/>
          <w:color w:val="000000"/>
        </w:rPr>
        <w:t>14/9/1)：成人治療部分</w:t>
      </w:r>
    </w:p>
    <w:p w14:paraId="2BEE7926" w14:textId="77777777" w:rsidR="00A825AE" w:rsidRDefault="00A825AE" w:rsidP="00A825AE">
      <w:pPr>
        <w:ind w:left="797" w:hanging="245"/>
        <w:rPr>
          <w:rFonts w:ascii="標楷體" w:eastAsia="標楷體" w:hAnsi="標楷體"/>
          <w:color w:val="000000"/>
        </w:rPr>
      </w:pPr>
      <w:r>
        <w:rPr>
          <w:rFonts w:ascii="標楷體" w:eastAsia="標楷體" w:hAnsi="標楷體"/>
          <w:color w:val="000000"/>
        </w:rPr>
        <w:t>1.限內科專科醫師且具有風濕病專科醫師證書者使用於類風濕關節炎病患。</w:t>
      </w:r>
    </w:p>
    <w:p w14:paraId="76AA7DCB"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2.經事前審查核准後使用。</w:t>
      </w:r>
    </w:p>
    <w:p w14:paraId="05A8D088"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3.申報時須檢附使用DMARD藥物六個月以上後之DAS28積分，各種DMARD藥物使用之種類、劑量、治療時間、副作用、關節腫脹之相關照片(須註明日期)及關節X光檢查報告等資料。（99/2/1、108/5/1）</w:t>
      </w:r>
    </w:p>
    <w:p w14:paraId="3854A795"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4.使用劑量：</w:t>
      </w:r>
    </w:p>
    <w:p w14:paraId="22ADBF1F"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(1)初次使用tocilizumab時：</w:t>
      </w:r>
    </w:p>
    <w:p w14:paraId="7E89C061"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I.靜脈注射劑：劑量應從4mg/kg開始，治療第12</w:t>
      </w:r>
      <w:proofErr w:type="gramStart"/>
      <w:r>
        <w:rPr>
          <w:rFonts w:ascii="標楷體" w:eastAsia="標楷體" w:hAnsi="標楷體"/>
          <w:color w:val="000000"/>
        </w:rPr>
        <w:t>週</w:t>
      </w:r>
      <w:proofErr w:type="gramEnd"/>
      <w:r>
        <w:rPr>
          <w:rFonts w:ascii="標楷體" w:eastAsia="標楷體" w:hAnsi="標楷體"/>
          <w:color w:val="000000"/>
        </w:rPr>
        <w:t>，評估DAS28積分，未達療效者(療效之定義：DAS28總積分下降程度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3.2者)，得調高劑量至8mg/kg，繼續治療12</w:t>
      </w:r>
      <w:proofErr w:type="gramStart"/>
      <w:r>
        <w:rPr>
          <w:rFonts w:ascii="標楷體" w:eastAsia="標楷體" w:hAnsi="標楷體"/>
          <w:color w:val="000000"/>
        </w:rPr>
        <w:t>週</w:t>
      </w:r>
      <w:proofErr w:type="gramEnd"/>
      <w:r>
        <w:rPr>
          <w:rFonts w:ascii="標楷體" w:eastAsia="標楷體" w:hAnsi="標楷體"/>
          <w:color w:val="000000"/>
        </w:rPr>
        <w:t>後，再評估DAS28總積分，必須下降程度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3.2，方可續用。(102/10/1、106/4/1)</w:t>
      </w:r>
    </w:p>
    <w:p w14:paraId="05A64B51"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Ⅱ.皮下注射劑：體重小於100公斤者，劑量應從162mg每兩週一次開始，治療第12</w:t>
      </w:r>
      <w:proofErr w:type="gramStart"/>
      <w:r>
        <w:rPr>
          <w:rFonts w:ascii="標楷體" w:eastAsia="標楷體" w:hAnsi="標楷體"/>
          <w:color w:val="000000"/>
        </w:rPr>
        <w:t>週</w:t>
      </w:r>
      <w:proofErr w:type="gramEnd"/>
      <w:r>
        <w:rPr>
          <w:rFonts w:ascii="標楷體" w:eastAsia="標楷體" w:hAnsi="標楷體"/>
          <w:color w:val="000000"/>
        </w:rPr>
        <w:t>，評估DAS28積分，未達療效者，得調高劑量至162mg每週一次，繼續治療12</w:t>
      </w:r>
      <w:proofErr w:type="gramStart"/>
      <w:r>
        <w:rPr>
          <w:rFonts w:ascii="標楷體" w:eastAsia="標楷體" w:hAnsi="標楷體"/>
          <w:color w:val="000000"/>
        </w:rPr>
        <w:t>週</w:t>
      </w:r>
      <w:proofErr w:type="gramEnd"/>
      <w:r>
        <w:rPr>
          <w:rFonts w:ascii="標楷體" w:eastAsia="標楷體" w:hAnsi="標楷體"/>
          <w:color w:val="000000"/>
        </w:rPr>
        <w:t>後，再評估DAS28積分，達療效者方可續用。體重大於100公斤者，劑量162mg每週一次，治療第24</w:t>
      </w:r>
      <w:proofErr w:type="gramStart"/>
      <w:r>
        <w:rPr>
          <w:rFonts w:ascii="標楷體" w:eastAsia="標楷體" w:hAnsi="標楷體"/>
          <w:color w:val="000000"/>
        </w:rPr>
        <w:t>週</w:t>
      </w:r>
      <w:proofErr w:type="gramEnd"/>
      <w:r>
        <w:rPr>
          <w:rFonts w:ascii="標楷體" w:eastAsia="標楷體" w:hAnsi="標楷體"/>
          <w:color w:val="000000"/>
        </w:rPr>
        <w:t>，評估DAS28積分，達療效者方可續用。(106/4/1)</w:t>
      </w:r>
    </w:p>
    <w:p w14:paraId="57A4227D" w14:textId="77777777" w:rsidR="00A825AE" w:rsidRDefault="00A825AE" w:rsidP="00A825AE">
      <w:pPr>
        <w:ind w:left="1077" w:hanging="367"/>
      </w:pPr>
      <w:r>
        <w:rPr>
          <w:rFonts w:ascii="標楷體" w:eastAsia="標楷體" w:hAnsi="標楷體"/>
          <w:color w:val="000000"/>
        </w:rPr>
        <w:t>(2)</w:t>
      </w:r>
      <w:r>
        <w:t xml:space="preserve"> </w:t>
      </w:r>
      <w:r>
        <w:rPr>
          <w:rFonts w:ascii="標楷體" w:eastAsia="標楷體" w:hAnsi="標楷體"/>
          <w:color w:val="000000"/>
        </w:rPr>
        <w:t>baricitinib、</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filgotinib</w:t>
      </w:r>
      <w:proofErr w:type="spellEnd"/>
      <w:r>
        <w:rPr>
          <w:rFonts w:ascii="標楷體" w:eastAsia="標楷體" w:hAnsi="標楷體"/>
          <w:color w:val="000000"/>
        </w:rPr>
        <w:t>時，劑量用法之調整應參照藥物仿單，且每日限用1錠。使用</w:t>
      </w:r>
      <w:proofErr w:type="spellStart"/>
      <w:r>
        <w:rPr>
          <w:rFonts w:ascii="標楷體" w:eastAsia="標楷體" w:hAnsi="標楷體"/>
          <w:color w:val="000000"/>
        </w:rPr>
        <w:t>peficitinib</w:t>
      </w:r>
      <w:proofErr w:type="spellEnd"/>
      <w:r>
        <w:rPr>
          <w:rFonts w:ascii="標楷體" w:eastAsia="標楷體" w:hAnsi="標楷體"/>
          <w:color w:val="000000"/>
        </w:rPr>
        <w:t>時，劑量用法之調整應參照藥物仿單，每</w:t>
      </w:r>
      <w:r>
        <w:rPr>
          <w:rFonts w:ascii="標楷體" w:eastAsia="標楷體" w:hAnsi="標楷體"/>
          <w:color w:val="000000"/>
        </w:rPr>
        <w:lastRenderedPageBreak/>
        <w:t>日100mg~150mg (且限每日最大劑量150mg)。(107/9/1、110/3/1、110/5/1、112/5/1)</w:t>
      </w:r>
    </w:p>
    <w:p w14:paraId="4ECBFADD"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(3)使用infliximab時</w:t>
      </w:r>
      <w:r>
        <w:rPr>
          <w:rFonts w:ascii="標楷體" w:eastAsia="標楷體" w:hAnsi="標楷體" w:hint="eastAsia"/>
          <w:color w:val="000000"/>
        </w:rPr>
        <w:t>：</w:t>
      </w:r>
    </w:p>
    <w:p w14:paraId="0263C7E1" w14:textId="77777777" w:rsidR="00A825AE" w:rsidRDefault="00A825AE" w:rsidP="00A825AE">
      <w:pPr>
        <w:ind w:left="1372" w:hanging="238"/>
        <w:rPr>
          <w:rFonts w:ascii="標楷體" w:eastAsia="標楷體" w:hAnsi="標楷體"/>
          <w:color w:val="000000"/>
        </w:rPr>
      </w:pPr>
      <w:r>
        <w:rPr>
          <w:rFonts w:ascii="標楷體" w:eastAsia="標楷體" w:hAnsi="標楷體"/>
          <w:color w:val="000000"/>
        </w:rPr>
        <w:t>I.</w:t>
      </w:r>
      <w:r w:rsidRPr="00A121E9">
        <w:rPr>
          <w:rFonts w:ascii="標楷體" w:eastAsia="標楷體" w:hAnsi="標楷體" w:hint="eastAsia"/>
          <w:color w:val="000000"/>
        </w:rPr>
        <w:t>靜脈注射：應參照藥物仿單之用法，與methotrexate</w:t>
      </w:r>
      <w:proofErr w:type="gramStart"/>
      <w:r w:rsidRPr="00A121E9">
        <w:rPr>
          <w:rFonts w:ascii="標楷體" w:eastAsia="標楷體" w:hAnsi="標楷體" w:hint="eastAsia"/>
          <w:color w:val="000000"/>
        </w:rPr>
        <w:t>併</w:t>
      </w:r>
      <w:proofErr w:type="gramEnd"/>
      <w:r w:rsidRPr="00A121E9">
        <w:rPr>
          <w:rFonts w:ascii="標楷體" w:eastAsia="標楷體" w:hAnsi="標楷體" w:hint="eastAsia"/>
          <w:color w:val="000000"/>
        </w:rPr>
        <w:t>用，infliximab在第0、2及6</w:t>
      </w:r>
      <w:proofErr w:type="gramStart"/>
      <w:r w:rsidRPr="00A121E9">
        <w:rPr>
          <w:rFonts w:ascii="標楷體" w:eastAsia="標楷體" w:hAnsi="標楷體" w:hint="eastAsia"/>
          <w:color w:val="000000"/>
        </w:rPr>
        <w:t>週時投予靜脈注射</w:t>
      </w:r>
      <w:proofErr w:type="gramEnd"/>
      <w:r w:rsidRPr="00A121E9">
        <w:rPr>
          <w:rFonts w:ascii="標楷體" w:eastAsia="標楷體" w:hAnsi="標楷體" w:hint="eastAsia"/>
          <w:color w:val="000000"/>
        </w:rPr>
        <w:t>3mg/kg，之後每8</w:t>
      </w:r>
      <w:proofErr w:type="gramStart"/>
      <w:r w:rsidRPr="00A121E9">
        <w:rPr>
          <w:rFonts w:ascii="標楷體" w:eastAsia="標楷體" w:hAnsi="標楷體" w:hint="eastAsia"/>
          <w:color w:val="000000"/>
        </w:rPr>
        <w:t>週</w:t>
      </w:r>
      <w:proofErr w:type="gramEnd"/>
      <w:r w:rsidRPr="00A121E9">
        <w:rPr>
          <w:rFonts w:ascii="標楷體" w:eastAsia="標楷體" w:hAnsi="標楷體" w:hint="eastAsia"/>
          <w:color w:val="000000"/>
        </w:rPr>
        <w:t>給藥1次。</w:t>
      </w:r>
      <w:r>
        <w:rPr>
          <w:rFonts w:ascii="標楷體" w:eastAsia="標楷體" w:hAnsi="標楷體"/>
          <w:color w:val="000000"/>
        </w:rPr>
        <w:t>(109/9/1、109/12/1</w:t>
      </w:r>
      <w:r w:rsidR="00F62777" w:rsidRPr="007D49D3">
        <w:rPr>
          <w:rFonts w:ascii="標楷體" w:eastAsia="標楷體" w:hAnsi="標楷體"/>
          <w:color w:val="000000"/>
        </w:rPr>
        <w:t>、</w:t>
      </w:r>
      <w:r w:rsidR="00F62777" w:rsidRPr="007D49D3">
        <w:rPr>
          <w:rFonts w:ascii="標楷體" w:eastAsia="標楷體" w:hAnsi="標楷體" w:hint="eastAsia"/>
          <w:color w:val="000000"/>
        </w:rPr>
        <w:t>1</w:t>
      </w:r>
      <w:r w:rsidR="00F62777" w:rsidRPr="007D49D3">
        <w:rPr>
          <w:rFonts w:ascii="標楷體" w:eastAsia="標楷體" w:hAnsi="標楷體"/>
          <w:color w:val="000000"/>
        </w:rPr>
        <w:t>14/9/1</w:t>
      </w:r>
      <w:r>
        <w:rPr>
          <w:rFonts w:ascii="標楷體" w:eastAsia="標楷體" w:hAnsi="標楷體"/>
          <w:color w:val="000000"/>
        </w:rPr>
        <w:t>)</w:t>
      </w:r>
    </w:p>
    <w:p w14:paraId="48F7C32D" w14:textId="77777777" w:rsidR="00A825AE" w:rsidRDefault="00A825AE" w:rsidP="00A825AE">
      <w:pPr>
        <w:ind w:left="1418" w:hanging="284"/>
        <w:rPr>
          <w:rFonts w:ascii="標楷體" w:eastAsia="標楷體" w:hAnsi="標楷體"/>
          <w:color w:val="000000"/>
        </w:rPr>
      </w:pPr>
      <w:r>
        <w:rPr>
          <w:rFonts w:ascii="標楷體" w:eastAsia="標楷體" w:hAnsi="標楷體"/>
          <w:color w:val="000000"/>
        </w:rPr>
        <w:t>Ⅱ.</w:t>
      </w:r>
      <w:r w:rsidRPr="00A121E9">
        <w:rPr>
          <w:rFonts w:ascii="標楷體" w:eastAsia="標楷體" w:hAnsi="標楷體" w:hint="eastAsia"/>
          <w:color w:val="000000"/>
        </w:rPr>
        <w:t>靜脈注射搭配皮下注射：0、2</w:t>
      </w:r>
      <w:proofErr w:type="gramStart"/>
      <w:r w:rsidRPr="00A121E9">
        <w:rPr>
          <w:rFonts w:ascii="標楷體" w:eastAsia="標楷體" w:hAnsi="標楷體" w:hint="eastAsia"/>
          <w:color w:val="000000"/>
        </w:rPr>
        <w:t>週時投予靜脈注射</w:t>
      </w:r>
      <w:proofErr w:type="gramEnd"/>
      <w:r w:rsidRPr="00A121E9">
        <w:rPr>
          <w:rFonts w:ascii="標楷體" w:eastAsia="標楷體" w:hAnsi="標楷體" w:hint="eastAsia"/>
          <w:color w:val="000000"/>
        </w:rPr>
        <w:t>3mg/kg；之後每隔2</w:t>
      </w:r>
      <w:proofErr w:type="gramStart"/>
      <w:r w:rsidRPr="00A121E9">
        <w:rPr>
          <w:rFonts w:ascii="標楷體" w:eastAsia="標楷體" w:hAnsi="標楷體" w:hint="eastAsia"/>
          <w:color w:val="000000"/>
        </w:rPr>
        <w:t>週</w:t>
      </w:r>
      <w:proofErr w:type="gramEnd"/>
      <w:r w:rsidRPr="00A121E9">
        <w:rPr>
          <w:rFonts w:ascii="標楷體" w:eastAsia="標楷體" w:hAnsi="標楷體" w:hint="eastAsia"/>
          <w:color w:val="000000"/>
        </w:rPr>
        <w:t>給予皮下注射120 mg。</w:t>
      </w:r>
      <w:r>
        <w:rPr>
          <w:rFonts w:ascii="標楷體" w:eastAsia="標楷體" w:hAnsi="標楷體" w:hint="eastAsia"/>
          <w:color w:val="000000"/>
        </w:rPr>
        <w:t>(1</w:t>
      </w:r>
      <w:r>
        <w:rPr>
          <w:rFonts w:ascii="標楷體" w:eastAsia="標楷體" w:hAnsi="標楷體"/>
          <w:color w:val="000000"/>
        </w:rPr>
        <w:t>14/9/1)</w:t>
      </w:r>
    </w:p>
    <w:p w14:paraId="64077748"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5.使用半年後，每三</w:t>
      </w:r>
      <w:proofErr w:type="gramStart"/>
      <w:r>
        <w:rPr>
          <w:rFonts w:ascii="標楷體" w:eastAsia="標楷體" w:hAnsi="標楷體"/>
          <w:color w:val="000000"/>
        </w:rPr>
        <w:t>個</w:t>
      </w:r>
      <w:proofErr w:type="gramEnd"/>
      <w:r>
        <w:rPr>
          <w:rFonts w:ascii="標楷體" w:eastAsia="標楷體" w:hAnsi="標楷體"/>
          <w:color w:val="000000"/>
        </w:rPr>
        <w:t>月需再申報一次；內含DAS28積分，使用藥物後之療效、副作用或併發症。惟infliximab初次</w:t>
      </w:r>
      <w:proofErr w:type="gramStart"/>
      <w:r>
        <w:rPr>
          <w:rFonts w:ascii="標楷體" w:eastAsia="標楷體" w:hAnsi="標楷體"/>
          <w:color w:val="000000"/>
        </w:rPr>
        <w:t>申請時核予</w:t>
      </w:r>
      <w:proofErr w:type="gramEnd"/>
      <w:r>
        <w:rPr>
          <w:rFonts w:ascii="標楷體" w:eastAsia="標楷體" w:hAnsi="標楷體"/>
          <w:color w:val="000000"/>
        </w:rPr>
        <w:t>22</w:t>
      </w:r>
      <w:proofErr w:type="gramStart"/>
      <w:r>
        <w:rPr>
          <w:rFonts w:ascii="標楷體" w:eastAsia="標楷體" w:hAnsi="標楷體"/>
          <w:color w:val="000000"/>
        </w:rPr>
        <w:t>週</w:t>
      </w:r>
      <w:proofErr w:type="gramEnd"/>
      <w:r>
        <w:rPr>
          <w:rFonts w:ascii="標楷體" w:eastAsia="標楷體" w:hAnsi="標楷體"/>
          <w:color w:val="000000"/>
        </w:rPr>
        <w:t>用量，續用時，每16</w:t>
      </w:r>
      <w:proofErr w:type="gramStart"/>
      <w:r>
        <w:rPr>
          <w:rFonts w:ascii="標楷體" w:eastAsia="標楷體" w:hAnsi="標楷體"/>
          <w:color w:val="000000"/>
        </w:rPr>
        <w:t>週</w:t>
      </w:r>
      <w:proofErr w:type="gramEnd"/>
      <w:r>
        <w:rPr>
          <w:rFonts w:ascii="標楷體" w:eastAsia="標楷體" w:hAnsi="標楷體"/>
          <w:color w:val="000000"/>
        </w:rPr>
        <w:t>需再申請續用。(93/8/1、93/9/1、110/6/1)</w:t>
      </w:r>
    </w:p>
    <w:p w14:paraId="0D77DF26"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6.病患需同時符合下述(1)(2)(3)項條件，方可使用；若有第(4)項情形，不得使用；若有第(5)項情形，需停止使用。</w:t>
      </w:r>
    </w:p>
    <w:p w14:paraId="4AB86E0D"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(1)符合美國風濕病學院(American College of Rheumatology)類風濕關節炎分類標準的診斷條件。(102/10/1)</w:t>
      </w:r>
    </w:p>
    <w:p w14:paraId="2062B9DF"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(2)連續活動性的類風濕關節炎</w:t>
      </w:r>
    </w:p>
    <w:p w14:paraId="06816EFD"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Ⅰ.28處關節疾病活動度積分 (Disease Activity Score, DAS 28) 必須大於5.1。</w:t>
      </w:r>
    </w:p>
    <w:p w14:paraId="2E8BA49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Ⅱ.此項評分需連續二次，其</w:t>
      </w:r>
      <w:proofErr w:type="gramStart"/>
      <w:r>
        <w:rPr>
          <w:rFonts w:ascii="標楷體" w:eastAsia="標楷體" w:hAnsi="標楷體"/>
          <w:color w:val="000000"/>
        </w:rPr>
        <w:t>時間相隔至少</w:t>
      </w:r>
      <w:proofErr w:type="gramEnd"/>
      <w:r>
        <w:rPr>
          <w:rFonts w:ascii="標楷體" w:eastAsia="標楷體" w:hAnsi="標楷體"/>
          <w:color w:val="000000"/>
        </w:rPr>
        <w:t>4</w:t>
      </w:r>
      <w:proofErr w:type="gramStart"/>
      <w:r>
        <w:rPr>
          <w:rFonts w:ascii="標楷體" w:eastAsia="標楷體" w:hAnsi="標楷體"/>
          <w:color w:val="000000"/>
        </w:rPr>
        <w:t>週</w:t>
      </w:r>
      <w:proofErr w:type="gramEnd"/>
      <w:r>
        <w:rPr>
          <w:rFonts w:ascii="標楷體" w:eastAsia="標楷體" w:hAnsi="標楷體"/>
          <w:color w:val="000000"/>
        </w:rPr>
        <w:t>(含)以上，並附當時關節腫脹之相關照片(須註明日期)及關節X光檢查報告為輔</w:t>
      </w:r>
      <w:proofErr w:type="gramStart"/>
      <w:r>
        <w:rPr>
          <w:rFonts w:ascii="標楷體" w:eastAsia="標楷體" w:hAnsi="標楷體"/>
          <w:color w:val="000000"/>
        </w:rPr>
        <w:t>証</w:t>
      </w:r>
      <w:proofErr w:type="gramEnd"/>
      <w:r>
        <w:rPr>
          <w:rFonts w:ascii="標楷體" w:eastAsia="標楷體" w:hAnsi="標楷體"/>
          <w:color w:val="000000"/>
        </w:rPr>
        <w:t>。(108/5/1、109/8/1)</w:t>
      </w:r>
    </w:p>
    <w:p w14:paraId="3E3730E4" w14:textId="77777777" w:rsidR="00A825AE" w:rsidRDefault="00A825AE" w:rsidP="00A825AE">
      <w:pPr>
        <w:ind w:left="1666" w:hanging="574"/>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1：28處關節部位記分如 (附表十三) 所示，其疾病活動度積分計算方式如下:</w:t>
      </w:r>
    </w:p>
    <w:p w14:paraId="665B7F74" w14:textId="77777777" w:rsidR="00A825AE" w:rsidRDefault="00A825AE" w:rsidP="00A825AE">
      <w:pPr>
        <w:ind w:left="1721"/>
        <w:rPr>
          <w:rFonts w:ascii="標楷體" w:eastAsia="標楷體" w:hAnsi="標楷體"/>
          <w:color w:val="000000"/>
        </w:rPr>
      </w:pPr>
      <w:r>
        <w:rPr>
          <w:rFonts w:ascii="標楷體" w:eastAsia="標楷體" w:hAnsi="標楷體"/>
          <w:color w:val="000000"/>
        </w:rPr>
        <w:t>DAS28 = 0.56 ×√TJC + 0.28 ×√SJC + 0.7 × lnESR+0.014 × GH</w:t>
      </w:r>
    </w:p>
    <w:p w14:paraId="5F35832B" w14:textId="77777777" w:rsidR="00A825AE" w:rsidRDefault="00A825AE" w:rsidP="00A825AE">
      <w:pPr>
        <w:ind w:left="1666" w:hanging="574"/>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2：TJC: 觸痛關節數，SJC: 腫脹關節數，ESR: 紅血球</w:t>
      </w:r>
      <w:proofErr w:type="gramStart"/>
      <w:r>
        <w:rPr>
          <w:rFonts w:ascii="標楷體" w:eastAsia="標楷體" w:hAnsi="標楷體"/>
          <w:color w:val="000000"/>
        </w:rPr>
        <w:t>沉</w:t>
      </w:r>
      <w:proofErr w:type="gramEnd"/>
      <w:r>
        <w:rPr>
          <w:rFonts w:ascii="標楷體" w:eastAsia="標楷體" w:hAnsi="標楷體"/>
          <w:color w:val="000000"/>
        </w:rPr>
        <w:t>降速率 (單位為mm/h)，GH: 在100 mm圖像模擬量表中所呈現的整體健康狀態 (general health status)</w:t>
      </w:r>
    </w:p>
    <w:p w14:paraId="22F5F665"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(3)標準疾病修飾抗風濕病藥物 (Disease-Modifying Anti-Rheumatic Drugs, DMARD) 療法失敗：</w:t>
      </w:r>
    </w:p>
    <w:p w14:paraId="50FA3823" w14:textId="77777777" w:rsidR="00A825AE" w:rsidRDefault="00A825AE" w:rsidP="00A825AE">
      <w:pPr>
        <w:ind w:left="1020"/>
        <w:rPr>
          <w:rFonts w:ascii="標楷體" w:eastAsia="標楷體" w:hAnsi="標楷體"/>
          <w:color w:val="000000"/>
        </w:rPr>
      </w:pPr>
      <w:r>
        <w:rPr>
          <w:rFonts w:ascii="標楷體" w:eastAsia="標楷體" w:hAnsi="標楷體"/>
          <w:color w:val="000000"/>
        </w:rPr>
        <w:t>病患曾經接受至少兩種DMARDs (methotrexate為基本藥物，另一藥物必須包括肌肉注射</w:t>
      </w:r>
      <w:proofErr w:type="gramStart"/>
      <w:r>
        <w:rPr>
          <w:rFonts w:ascii="標楷體" w:eastAsia="標楷體" w:hAnsi="標楷體"/>
          <w:color w:val="000000"/>
        </w:rPr>
        <w:t>之金劑</w:t>
      </w:r>
      <w:proofErr w:type="gramEnd"/>
      <w:r>
        <w:rPr>
          <w:rFonts w:ascii="標楷體" w:eastAsia="標楷體" w:hAnsi="標楷體"/>
          <w:color w:val="000000"/>
        </w:rPr>
        <w:t>、hydroxychloroquine、sulfasalazine、d-penicillamine、azathioprine、leflunomide、cyclosporine中之任何一種) 之充分治療，而仍無明顯療效。(93/8/1)</w:t>
      </w:r>
    </w:p>
    <w:p w14:paraId="2A488071"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Ⅰ.充分治療的定義：(100/12/1)</w:t>
      </w:r>
    </w:p>
    <w:p w14:paraId="3A742DD7" w14:textId="77777777" w:rsidR="00A825AE" w:rsidRDefault="00A825AE" w:rsidP="00A825AE">
      <w:pPr>
        <w:ind w:left="1500" w:hanging="240"/>
        <w:rPr>
          <w:rFonts w:ascii="標楷體" w:eastAsia="標楷體" w:hAnsi="標楷體"/>
          <w:color w:val="000000"/>
        </w:rPr>
      </w:pPr>
      <w:proofErr w:type="spellStart"/>
      <w:r>
        <w:rPr>
          <w:rFonts w:ascii="標楷體" w:eastAsia="標楷體" w:hAnsi="標楷體"/>
          <w:color w:val="000000"/>
        </w:rPr>
        <w:t>i.DMARDs</w:t>
      </w:r>
      <w:proofErr w:type="spellEnd"/>
      <w:r>
        <w:rPr>
          <w:rFonts w:ascii="標楷體" w:eastAsia="標楷體" w:hAnsi="標楷體"/>
          <w:color w:val="000000"/>
        </w:rPr>
        <w:t>藥物治療時間須符合下列條件之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160F7331" w14:textId="77777777" w:rsidR="00A825AE" w:rsidRDefault="00A825AE" w:rsidP="00A825AE">
      <w:pPr>
        <w:ind w:left="1764" w:hanging="348"/>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)必須至少6個月以上，而其中至少2個月必須達到 (附表十四) 所示標準目標劑量 (standard target dose)。</w:t>
      </w:r>
    </w:p>
    <w:p w14:paraId="69C2C95C" w14:textId="77777777" w:rsidR="00A825AE" w:rsidRDefault="00A825AE" w:rsidP="00A825AE">
      <w:pPr>
        <w:ind w:left="1764" w:hanging="348"/>
        <w:rPr>
          <w:rFonts w:ascii="標楷體" w:eastAsia="標楷體" w:hAnsi="標楷體"/>
          <w:color w:val="000000"/>
        </w:rPr>
      </w:pPr>
      <w:r>
        <w:rPr>
          <w:rFonts w:ascii="標楷體" w:eastAsia="標楷體" w:hAnsi="標楷體"/>
          <w:color w:val="000000"/>
        </w:rPr>
        <w:t>(ii)DMARDs藥物合併使用prednisolone 15 mg/day治療，須至少3個月以上，而其中至少2個月DMARDs藥物必須達到 (附表十四) 所示標準目標劑量 (standard target dose)。(100/12/1)</w:t>
      </w:r>
    </w:p>
    <w:p w14:paraId="70B3AEDA"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ii.若病患因DMARDs藥物毒性無法忍受，以致無法達到上項要求時，DMARDs劑量仍需達 (附表十四) 所示治療劑量 (therapeutic doses) 連續2個月以上。</w:t>
      </w:r>
    </w:p>
    <w:p w14:paraId="3847D8A2"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Ⅱ.療效的定義：(93/8/1、98/3/1)</w:t>
      </w:r>
    </w:p>
    <w:p w14:paraId="374E8702" w14:textId="77777777" w:rsidR="00A825AE" w:rsidRDefault="00A825AE" w:rsidP="00A825AE">
      <w:pPr>
        <w:ind w:left="1428"/>
        <w:rPr>
          <w:rFonts w:ascii="標楷體" w:eastAsia="標楷體" w:hAnsi="標楷體"/>
          <w:color w:val="000000"/>
        </w:rPr>
      </w:pPr>
      <w:r>
        <w:rPr>
          <w:rFonts w:ascii="標楷體" w:eastAsia="標楷體" w:hAnsi="標楷體"/>
          <w:color w:val="000000"/>
        </w:rPr>
        <w:t>DAS28總積分下降程度大於等於(</w:t>
      </w:r>
      <w:proofErr w:type="gramStart"/>
      <w:r>
        <w:rPr>
          <w:rFonts w:ascii="標楷體" w:eastAsia="標楷體" w:hAnsi="標楷體"/>
          <w:color w:val="000000"/>
        </w:rPr>
        <w:t>≧</w:t>
      </w:r>
      <w:proofErr w:type="gramEnd"/>
      <w:r>
        <w:rPr>
          <w:rFonts w:ascii="標楷體" w:eastAsia="標楷體" w:hAnsi="標楷體"/>
          <w:color w:val="000000"/>
        </w:rPr>
        <w:t>)1.2，或DAS28總積分小於3.2者。</w:t>
      </w:r>
    </w:p>
    <w:p w14:paraId="5A9E2E7E"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(4)需排除使用的情形 (93/9/1、106/11/1)</w:t>
      </w:r>
    </w:p>
    <w:p w14:paraId="016A7EA7" w14:textId="77777777" w:rsidR="00A825AE" w:rsidRDefault="00A825AE" w:rsidP="00A825AE">
      <w:pPr>
        <w:ind w:left="1202"/>
        <w:rPr>
          <w:rFonts w:ascii="標楷體" w:eastAsia="標楷體" w:hAnsi="標楷體"/>
          <w:color w:val="000000"/>
        </w:rPr>
      </w:pPr>
      <w:r>
        <w:rPr>
          <w:rFonts w:ascii="標楷體" w:eastAsia="標楷體" w:hAnsi="標楷體"/>
          <w:color w:val="000000"/>
        </w:rPr>
        <w:t>應參照藥物仿單，重要之排除使用狀況包括 (以下未列者參照仿單所載)：</w:t>
      </w:r>
    </w:p>
    <w:p w14:paraId="6D898F34"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Ⅰ.懷孕或</w:t>
      </w:r>
      <w:proofErr w:type="gramStart"/>
      <w:r>
        <w:rPr>
          <w:rFonts w:ascii="標楷體" w:eastAsia="標楷體" w:hAnsi="標楷體"/>
          <w:color w:val="000000"/>
        </w:rPr>
        <w:t>正在授乳的</w:t>
      </w:r>
      <w:proofErr w:type="gramEnd"/>
      <w:r>
        <w:rPr>
          <w:rFonts w:ascii="標楷體" w:eastAsia="標楷體" w:hAnsi="標楷體"/>
          <w:color w:val="000000"/>
        </w:rPr>
        <w:t>婦女 (certolizumab除外) (106/11/1)</w:t>
      </w:r>
    </w:p>
    <w:p w14:paraId="5147A31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lastRenderedPageBreak/>
        <w:t>Ⅱ.活動性感染症之病患</w:t>
      </w:r>
    </w:p>
    <w:p w14:paraId="4449AA90"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Ⅲ.具高度感染機會的病患，包括：</w:t>
      </w:r>
    </w:p>
    <w:p w14:paraId="59212908" w14:textId="77777777" w:rsidR="00A825AE" w:rsidRDefault="00A825AE" w:rsidP="00A825AE">
      <w:pPr>
        <w:ind w:left="1500" w:hanging="24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68300620" w14:textId="77777777" w:rsidR="00A825AE" w:rsidRDefault="00A825AE" w:rsidP="00A825AE">
      <w:pPr>
        <w:ind w:left="1637" w:hanging="377"/>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1567DAE3"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iii.過去12個月內曾有感染性關節炎者</w:t>
      </w:r>
    </w:p>
    <w:p w14:paraId="4C44E119"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iv.有人工關節感染，若該人工關節未除去前，不可使用</w:t>
      </w:r>
    </w:p>
    <w:p w14:paraId="097C637D"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v.頑固性或復發性的胸腔感染症</w:t>
      </w:r>
    </w:p>
    <w:p w14:paraId="04015901"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vi.具有留置導尿管者</w:t>
      </w:r>
    </w:p>
    <w:p w14:paraId="42C01D62"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 （但不包括已經接受過充分治療達10年以上的惡性腫瘤）</w:t>
      </w:r>
    </w:p>
    <w:p w14:paraId="5F33FDE9"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Ⅴ.多發性硬化症 (multiple sclerosis)</w:t>
      </w:r>
    </w:p>
    <w:p w14:paraId="68A0AE28"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(5)需停止治療的情形 (93/8/1、93/9/1)</w:t>
      </w:r>
    </w:p>
    <w:p w14:paraId="77461E8D" w14:textId="77777777" w:rsidR="00A825AE" w:rsidRDefault="00A825AE" w:rsidP="00A825AE">
      <w:pPr>
        <w:ind w:left="1080"/>
        <w:rPr>
          <w:rFonts w:ascii="標楷體" w:eastAsia="標楷體" w:hAnsi="標楷體"/>
          <w:color w:val="000000"/>
        </w:rPr>
      </w:pPr>
      <w:r>
        <w:rPr>
          <w:rFonts w:ascii="標楷體" w:eastAsia="標楷體" w:hAnsi="標楷體"/>
          <w:color w:val="000000"/>
        </w:rPr>
        <w:t>如果發生下列現象應停止治療：</w:t>
      </w:r>
    </w:p>
    <w:p w14:paraId="580F083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Ⅰ療效</w:t>
      </w:r>
      <w:proofErr w:type="gramStart"/>
      <w:r>
        <w:rPr>
          <w:rFonts w:ascii="標楷體" w:eastAsia="標楷體" w:hAnsi="標楷體"/>
          <w:color w:val="000000"/>
        </w:rPr>
        <w:t>不</w:t>
      </w:r>
      <w:proofErr w:type="gramEnd"/>
      <w:r>
        <w:rPr>
          <w:rFonts w:ascii="標楷體" w:eastAsia="標楷體" w:hAnsi="標楷體"/>
          <w:color w:val="000000"/>
        </w:rPr>
        <w:t>彰</w:t>
      </w:r>
    </w:p>
    <w:p w14:paraId="53BC50F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Ⅱ不良事件，包括：</w:t>
      </w:r>
    </w:p>
    <w:p w14:paraId="7A7C26FE" w14:textId="77777777" w:rsidR="00A825AE" w:rsidRDefault="00A825AE" w:rsidP="00A825AE">
      <w:pPr>
        <w:ind w:left="1500" w:hanging="24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07F0CEBF"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ii.該藥物引起的嚴重毒性</w:t>
      </w:r>
    </w:p>
    <w:p w14:paraId="3C381B3A"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iii.懷孕 (暫時停藥即可)</w:t>
      </w:r>
    </w:p>
    <w:p w14:paraId="4F794F7E"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 (暫時停藥即可)</w:t>
      </w:r>
    </w:p>
    <w:p w14:paraId="7BEB834A"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7.轉用其他成分生物製劑之條件：</w:t>
      </w:r>
    </w:p>
    <w:p w14:paraId="1518AB04" w14:textId="77777777" w:rsidR="00A825AE" w:rsidRDefault="00A825AE" w:rsidP="00A825AE">
      <w:pPr>
        <w:ind w:left="1032" w:hanging="326"/>
        <w:rPr>
          <w:rFonts w:ascii="標楷體" w:eastAsia="標楷體" w:hAnsi="標楷體"/>
          <w:color w:val="000000"/>
        </w:rPr>
      </w:pPr>
      <w:r>
        <w:rPr>
          <w:rFonts w:ascii="標楷體" w:eastAsia="標楷體" w:hAnsi="標楷體"/>
          <w:color w:val="000000"/>
        </w:rPr>
        <w:t>(1)使用生物製劑治療後有療效，但因方便性欲改用給藥頻率較少者或無法忍受副作用者，可轉用相同藥理機轉之生物製劑。</w:t>
      </w:r>
    </w:p>
    <w:p w14:paraId="6E65791D" w14:textId="77777777" w:rsidR="00A825AE" w:rsidRDefault="00A825AE" w:rsidP="00A825AE">
      <w:pPr>
        <w:ind w:left="809" w:hanging="101"/>
        <w:rPr>
          <w:rFonts w:ascii="標楷體" w:eastAsia="標楷體" w:hAnsi="標楷體"/>
          <w:color w:val="000000"/>
        </w:rPr>
      </w:pPr>
      <w:r>
        <w:rPr>
          <w:rFonts w:ascii="標楷體" w:eastAsia="標楷體" w:hAnsi="標楷體"/>
          <w:color w:val="000000"/>
        </w:rPr>
        <w:t>(2)使用生物製劑治療後療效</w:t>
      </w:r>
      <w:proofErr w:type="gramStart"/>
      <w:r>
        <w:rPr>
          <w:rFonts w:ascii="標楷體" w:eastAsia="標楷體" w:hAnsi="標楷體"/>
          <w:color w:val="000000"/>
        </w:rPr>
        <w:t>不</w:t>
      </w:r>
      <w:proofErr w:type="gramEnd"/>
      <w:r>
        <w:rPr>
          <w:rFonts w:ascii="標楷體" w:eastAsia="標楷體" w:hAnsi="標楷體"/>
          <w:color w:val="000000"/>
        </w:rPr>
        <w:t>彰，不可轉用相同藥理機轉之其他成分生物製劑。</w:t>
      </w:r>
    </w:p>
    <w:p w14:paraId="45E4445F"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8.減量及暫緩續用之相關規定：(102/4/1)</w:t>
      </w:r>
    </w:p>
    <w:p w14:paraId="611FCDA5"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(1)減量時機：使用2年且已達疾病緩解(DAS28＜ 2.6)超過6個月。(108/5/1)</w:t>
      </w:r>
    </w:p>
    <w:p w14:paraId="1C212AAE"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(2)減量方式：</w:t>
      </w:r>
    </w:p>
    <w:p w14:paraId="3F6F12BA" w14:textId="77777777" w:rsidR="00A825AE" w:rsidRDefault="00A825AE" w:rsidP="00A825AE">
      <w:pPr>
        <w:ind w:left="1049" w:firstLine="41"/>
        <w:rPr>
          <w:rFonts w:ascii="標楷體" w:eastAsia="標楷體" w:hAnsi="標楷體"/>
          <w:color w:val="000000"/>
        </w:rPr>
      </w:pPr>
      <w:r>
        <w:rPr>
          <w:rFonts w:ascii="標楷體" w:eastAsia="標楷體" w:hAnsi="標楷體"/>
          <w:color w:val="000000"/>
        </w:rPr>
        <w:t>病患使用生物製劑2年後，申請續用之事前審查時，應依據患者個別狀況提出符合醫理之治療計畫，並敘明開始減量至1年後暫緩續用之減量方式。減量方式可為減少每次使用劑量或延長給藥間隔。</w:t>
      </w:r>
    </w:p>
    <w:p w14:paraId="232E4848"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(3)減量期間若符合以下所有條件，得申請回復減量前之使用量，下次再評估減量之時機為1年後：</w:t>
      </w:r>
    </w:p>
    <w:p w14:paraId="4197BC69" w14:textId="77777777" w:rsidR="00A825AE" w:rsidRDefault="00A825AE" w:rsidP="00A825AE">
      <w:pPr>
        <w:ind w:left="1133"/>
        <w:rPr>
          <w:rFonts w:ascii="標楷體" w:eastAsia="標楷體" w:hAnsi="標楷體"/>
          <w:color w:val="000000"/>
        </w:rPr>
      </w:pPr>
      <w:r>
        <w:rPr>
          <w:rFonts w:ascii="標楷體" w:eastAsia="標楷體" w:hAnsi="標楷體"/>
          <w:color w:val="000000"/>
        </w:rPr>
        <w:t>Ⅰ.與減量前比較，DAS28總積分上升程度＞ 1.2。</w:t>
      </w:r>
    </w:p>
    <w:p w14:paraId="7523E235" w14:textId="77777777" w:rsidR="00A825AE" w:rsidRDefault="00A825AE" w:rsidP="00A825AE">
      <w:pPr>
        <w:ind w:left="1133"/>
        <w:rPr>
          <w:rFonts w:ascii="標楷體" w:eastAsia="標楷體" w:hAnsi="標楷體"/>
          <w:color w:val="000000"/>
        </w:rPr>
      </w:pPr>
      <w:proofErr w:type="spellStart"/>
      <w:r>
        <w:rPr>
          <w:rFonts w:ascii="標楷體" w:eastAsia="標楷體" w:hAnsi="標楷體"/>
          <w:color w:val="000000"/>
        </w:rPr>
        <w:t>Ⅱ.ESR</w:t>
      </w:r>
      <w:proofErr w:type="spellEnd"/>
      <w:r>
        <w:rPr>
          <w:rFonts w:ascii="標楷體" w:eastAsia="標楷體" w:hAnsi="標楷體"/>
          <w:color w:val="000000"/>
        </w:rPr>
        <w:t>＞ 25mm/h。</w:t>
      </w:r>
    </w:p>
    <w:p w14:paraId="7CA9F1D4" w14:textId="77777777" w:rsidR="00A825AE" w:rsidRDefault="00A825AE" w:rsidP="00A825AE">
      <w:pPr>
        <w:ind w:left="1133"/>
        <w:rPr>
          <w:rFonts w:ascii="標楷體" w:eastAsia="標楷體" w:hAnsi="標楷體"/>
          <w:color w:val="000000"/>
        </w:rPr>
      </w:pPr>
      <w:r>
        <w:rPr>
          <w:rFonts w:ascii="標楷體" w:eastAsia="標楷體" w:hAnsi="標楷體"/>
          <w:color w:val="000000"/>
        </w:rPr>
        <w:t>Ⅲ.與減量前比較，ESR上升程度＞ 25%。</w:t>
      </w:r>
    </w:p>
    <w:p w14:paraId="1EAF457C" w14:textId="77777777" w:rsidR="00A825AE" w:rsidRDefault="00A825AE" w:rsidP="00A825AE">
      <w:pPr>
        <w:ind w:left="1061" w:hanging="355"/>
        <w:rPr>
          <w:rFonts w:ascii="標楷體" w:eastAsia="標楷體" w:hAnsi="標楷體"/>
          <w:color w:val="000000"/>
        </w:rPr>
      </w:pPr>
      <w:r>
        <w:rPr>
          <w:rFonts w:ascii="標楷體" w:eastAsia="標楷體" w:hAnsi="標楷體"/>
          <w:color w:val="000000"/>
        </w:rPr>
        <w:t>(4)因使用一種生物製劑治療後療效</w:t>
      </w:r>
      <w:proofErr w:type="gramStart"/>
      <w:r>
        <w:rPr>
          <w:rFonts w:ascii="標楷體" w:eastAsia="標楷體" w:hAnsi="標楷體"/>
          <w:color w:val="000000"/>
        </w:rPr>
        <w:t>不</w:t>
      </w:r>
      <w:proofErr w:type="gramEnd"/>
      <w:r>
        <w:rPr>
          <w:rFonts w:ascii="標楷體" w:eastAsia="標楷體" w:hAnsi="標楷體"/>
          <w:color w:val="000000"/>
        </w:rPr>
        <w:t>彰，而轉用另一種不同藥理機轉之生物製劑，以轉用後者之起始日重新計算2年後開始減量之時機。但因方便性考量或無法忍受副作用而轉用相同藥理機轉之生物製劑，轉用前後所使用生物製劑之</w:t>
      </w:r>
      <w:proofErr w:type="gramStart"/>
      <w:r>
        <w:rPr>
          <w:rFonts w:ascii="標楷體" w:eastAsia="標楷體" w:hAnsi="標楷體"/>
          <w:color w:val="000000"/>
        </w:rPr>
        <w:t>期間均應計</w:t>
      </w:r>
      <w:proofErr w:type="gramEnd"/>
      <w:r>
        <w:rPr>
          <w:rFonts w:ascii="標楷體" w:eastAsia="標楷體" w:hAnsi="標楷體"/>
          <w:color w:val="000000"/>
        </w:rPr>
        <w:t>入。</w:t>
      </w:r>
    </w:p>
    <w:p w14:paraId="45095613"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(5)暫緩續用時機：開始減量1年後暫緩續用。</w:t>
      </w:r>
    </w:p>
    <w:p w14:paraId="1238014E"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(6)至101年12月31日止，已申請使用逾2年者，於下次申報時即須依規定評估是否需減量。</w:t>
      </w:r>
    </w:p>
    <w:p w14:paraId="0996BE1E" w14:textId="77777777" w:rsidR="00A825AE" w:rsidRDefault="00A825AE" w:rsidP="005E55B5">
      <w:pPr>
        <w:spacing w:line="300" w:lineRule="exact"/>
        <w:ind w:left="912" w:hanging="386"/>
        <w:rPr>
          <w:rFonts w:ascii="標楷體" w:eastAsia="標楷體" w:hAnsi="標楷體"/>
          <w:color w:val="000000"/>
        </w:rPr>
      </w:pPr>
      <w:r>
        <w:rPr>
          <w:rFonts w:ascii="標楷體" w:eastAsia="標楷體" w:hAnsi="標楷體"/>
          <w:color w:val="000000"/>
        </w:rPr>
        <w:t>9.暫緩續用後若疾病再復發，重新申請使用必須符合以下條件：(102/1/1)</w:t>
      </w:r>
    </w:p>
    <w:p w14:paraId="770841E3"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(1)生物製劑暫緩續用後，必須持續接受至少2種DMARDs藥物之治療（methotrexate為基本藥物，另一藥物必須包括肌肉注射之金劑、hydroxychloroquine、sulfasalazine、d-penicillamine、azathioprine、leflunomide、cyclosporine</w:t>
      </w:r>
      <w:r>
        <w:rPr>
          <w:rFonts w:ascii="標楷體" w:eastAsia="標楷體" w:hAnsi="標楷體"/>
          <w:color w:val="000000"/>
        </w:rPr>
        <w:lastRenderedPageBreak/>
        <w:t>中之任何一種），其中methotrexate至少2個月以上必須達到當初申請生物</w:t>
      </w:r>
      <w:proofErr w:type="gramStart"/>
      <w:r>
        <w:rPr>
          <w:rFonts w:ascii="標楷體" w:eastAsia="標楷體" w:hAnsi="標楷體"/>
          <w:color w:val="000000"/>
        </w:rPr>
        <w:t>製劑時所</w:t>
      </w:r>
      <w:proofErr w:type="gramEnd"/>
      <w:r>
        <w:rPr>
          <w:rFonts w:ascii="標楷體" w:eastAsia="標楷體" w:hAnsi="標楷體"/>
          <w:color w:val="000000"/>
        </w:rPr>
        <w:t>使用之劑量。</w:t>
      </w:r>
    </w:p>
    <w:p w14:paraId="12D49C20" w14:textId="77777777" w:rsidR="00A825AE" w:rsidRDefault="00A825AE" w:rsidP="00A825AE">
      <w:pPr>
        <w:ind w:left="567" w:hanging="245"/>
        <w:rPr>
          <w:rFonts w:ascii="標楷體" w:eastAsia="標楷體" w:hAnsi="標楷體"/>
          <w:color w:val="000000"/>
        </w:rPr>
      </w:pPr>
      <w:r>
        <w:rPr>
          <w:rFonts w:ascii="標楷體" w:eastAsia="標楷體" w:hAnsi="標楷體"/>
          <w:color w:val="000000"/>
        </w:rPr>
        <w:t>(2)DAS28總積分上升程度＞ 1.2。(102/4/1)</w:t>
      </w:r>
    </w:p>
    <w:p w14:paraId="01763871" w14:textId="77777777" w:rsidR="00A825AE" w:rsidRDefault="00A825AE" w:rsidP="00A825AE">
      <w:pPr>
        <w:ind w:left="811" w:hanging="245"/>
      </w:pPr>
      <w:r>
        <w:rPr>
          <w:rFonts w:ascii="標楷體" w:eastAsia="標楷體" w:hAnsi="標楷體"/>
          <w:color w:val="000000"/>
        </w:rPr>
        <w:t>◎附表十三：全民健康保險類風濕關節炎病患28處關節疾病活動度(Disease Activity Score, DAS 28</w:t>
      </w:r>
      <w:r>
        <w:rPr>
          <w:rFonts w:ascii="標楷體" w:eastAsia="標楷體" w:hAnsi="標楷體"/>
        </w:rPr>
        <w:t>)評估表</w:t>
      </w:r>
    </w:p>
    <w:p w14:paraId="2F5FFF19" w14:textId="77777777" w:rsidR="00A825AE" w:rsidRDefault="00A825AE" w:rsidP="00A825AE">
      <w:pPr>
        <w:ind w:left="811" w:hanging="245"/>
        <w:rPr>
          <w:rFonts w:ascii="標楷體" w:eastAsia="標楷體" w:hAnsi="標楷體"/>
        </w:rPr>
      </w:pPr>
      <w:r>
        <w:rPr>
          <w:rFonts w:ascii="標楷體" w:eastAsia="標楷體" w:hAnsi="標楷體"/>
        </w:rPr>
        <w:t>◎附表十四：全民健康保險疾病修飾抗風濕病藥物(DMARDs)之標準目標劑量暨治療劑量表</w:t>
      </w:r>
    </w:p>
    <w:p w14:paraId="10CA36D5" w14:textId="77777777" w:rsidR="00401786" w:rsidRDefault="00A825AE" w:rsidP="00A825AE">
      <w:pPr>
        <w:spacing w:line="300" w:lineRule="exact"/>
        <w:ind w:left="709" w:hanging="245"/>
        <w:rPr>
          <w:rFonts w:ascii="標楷體" w:eastAsia="標楷體" w:hAnsi="標楷體"/>
        </w:rPr>
      </w:pPr>
      <w:r>
        <w:rPr>
          <w:rFonts w:ascii="標楷體" w:eastAsia="標楷體" w:hAnsi="標楷體"/>
        </w:rPr>
        <w:t>◎附表十五：全民健康保險類風濕關節炎使用生物製劑申請表(106/11/1)</w:t>
      </w:r>
    </w:p>
    <w:p w14:paraId="37AC0BEA" w14:textId="77777777" w:rsidR="009A56E8" w:rsidRDefault="009A56E8" w:rsidP="009A56E8">
      <w:pPr>
        <w:spacing w:line="300" w:lineRule="exact"/>
        <w:ind w:left="672" w:hanging="386"/>
      </w:pPr>
      <w:r>
        <w:rPr>
          <w:rFonts w:ascii="標楷體" w:eastAsia="標楷體" w:hAnsi="標楷體"/>
          <w:color w:val="000000"/>
        </w:rPr>
        <w:t>8.2.4.3. Adalimumab（如Humira）; etanercept (如Enbrel) ；golimumab（如Simponi）；</w:t>
      </w:r>
      <w:proofErr w:type="spellStart"/>
      <w:r>
        <w:rPr>
          <w:rFonts w:ascii="標楷體" w:eastAsia="標楷體" w:hAnsi="標楷體"/>
          <w:color w:val="000000"/>
        </w:rPr>
        <w:t>secukinumab</w:t>
      </w:r>
      <w:proofErr w:type="spellEnd"/>
      <w:r>
        <w:rPr>
          <w:rFonts w:ascii="標楷體" w:eastAsia="標楷體" w:hAnsi="標楷體"/>
          <w:color w:val="000000"/>
        </w:rPr>
        <w:t>（如Cosentyx）；infliximab（</w:t>
      </w:r>
      <w:r w:rsidRPr="00092B03">
        <w:rPr>
          <w:rFonts w:ascii="標楷體" w:eastAsia="標楷體" w:hAnsi="標楷體" w:hint="eastAsia"/>
          <w:color w:val="000000"/>
        </w:rPr>
        <w:t>如Remicade靜脈注射</w:t>
      </w:r>
      <w:r>
        <w:rPr>
          <w:rFonts w:ascii="標楷體" w:eastAsia="標楷體" w:hAnsi="標楷體"/>
          <w:color w:val="000000"/>
        </w:rPr>
        <w:t>）；certolizumab (如Cimzia)；</w:t>
      </w:r>
      <w:proofErr w:type="spellStart"/>
      <w:r>
        <w:rPr>
          <w:rFonts w:ascii="標楷體" w:eastAsia="標楷體" w:hAnsi="標楷體"/>
          <w:color w:val="000000"/>
        </w:rPr>
        <w:t>ixekizumab</w:t>
      </w:r>
      <w:proofErr w:type="spellEnd"/>
      <w:r>
        <w:rPr>
          <w:rFonts w:ascii="標楷體" w:eastAsia="標楷體" w:hAnsi="標楷體"/>
          <w:color w:val="000000"/>
        </w:rPr>
        <w:t>(如Taltz) ；</w:t>
      </w:r>
      <w:proofErr w:type="spellStart"/>
      <w:r>
        <w:rPr>
          <w:rFonts w:ascii="標楷體" w:eastAsia="標楷體" w:hAnsi="標楷體"/>
          <w:color w:val="000000"/>
        </w:rPr>
        <w:t>upadacitinib</w:t>
      </w:r>
      <w:proofErr w:type="spellEnd"/>
      <w:r>
        <w:rPr>
          <w:rFonts w:ascii="標楷體" w:eastAsia="標楷體" w:hAnsi="標楷體"/>
          <w:color w:val="000000"/>
        </w:rPr>
        <w:t>(如</w:t>
      </w:r>
      <w:proofErr w:type="spellStart"/>
      <w:r>
        <w:rPr>
          <w:rFonts w:ascii="標楷體" w:eastAsia="標楷體" w:hAnsi="標楷體"/>
          <w:color w:val="000000"/>
        </w:rPr>
        <w:t>Rinvoq</w:t>
      </w:r>
      <w:proofErr w:type="spellEnd"/>
      <w:r>
        <w:rPr>
          <w:rFonts w:ascii="標楷體" w:eastAsia="標楷體" w:hAnsi="標楷體"/>
          <w:color w:val="000000"/>
        </w:rPr>
        <w:t>)；tofacitinib (如Xeljanz)</w:t>
      </w:r>
      <w:r>
        <w:rPr>
          <w:rFonts w:ascii="標楷體" w:eastAsia="標楷體" w:hAnsi="標楷體"/>
          <w:szCs w:val="24"/>
        </w:rPr>
        <w:t>；</w:t>
      </w:r>
      <w:proofErr w:type="spellStart"/>
      <w:r>
        <w:rPr>
          <w:rFonts w:ascii="標楷體" w:eastAsia="標楷體" w:hAnsi="標楷體"/>
          <w:szCs w:val="24"/>
        </w:rPr>
        <w:t>brodalumab</w:t>
      </w:r>
      <w:proofErr w:type="spellEnd"/>
      <w:r>
        <w:rPr>
          <w:rFonts w:ascii="標楷體" w:eastAsia="標楷體" w:hAnsi="標楷體"/>
          <w:szCs w:val="24"/>
        </w:rPr>
        <w:t xml:space="preserve"> (如</w:t>
      </w:r>
      <w:proofErr w:type="spellStart"/>
      <w:r>
        <w:rPr>
          <w:rFonts w:ascii="標楷體" w:eastAsia="標楷體" w:hAnsi="標楷體"/>
          <w:szCs w:val="24"/>
        </w:rPr>
        <w:t>Lumicef</w:t>
      </w:r>
      <w:proofErr w:type="spellEnd"/>
      <w:r>
        <w:rPr>
          <w:rFonts w:ascii="標楷體" w:eastAsia="標楷體" w:hAnsi="標楷體"/>
          <w:szCs w:val="24"/>
        </w:rPr>
        <w:t>)</w:t>
      </w:r>
      <w:r w:rsidRPr="00B6228A">
        <w:rPr>
          <w:rFonts w:ascii="標楷體" w:eastAsia="標楷體" w:hAnsi="標楷體" w:hint="eastAsia"/>
          <w:szCs w:val="24"/>
        </w:rPr>
        <w:t>；</w:t>
      </w:r>
      <w:proofErr w:type="spellStart"/>
      <w:r w:rsidRPr="00B6228A">
        <w:rPr>
          <w:rFonts w:ascii="標楷體" w:eastAsia="標楷體" w:hAnsi="標楷體" w:hint="eastAsia"/>
          <w:szCs w:val="24"/>
        </w:rPr>
        <w:t>bimekizumab</w:t>
      </w:r>
      <w:proofErr w:type="spellEnd"/>
      <w:r w:rsidRPr="00B6228A">
        <w:rPr>
          <w:rFonts w:ascii="標楷體" w:eastAsia="標楷體" w:hAnsi="標楷體" w:hint="eastAsia"/>
          <w:szCs w:val="24"/>
        </w:rPr>
        <w:t>（如</w:t>
      </w:r>
      <w:proofErr w:type="spellStart"/>
      <w:r w:rsidRPr="00B6228A">
        <w:rPr>
          <w:rFonts w:ascii="標楷體" w:eastAsia="標楷體" w:hAnsi="標楷體" w:hint="eastAsia"/>
          <w:szCs w:val="24"/>
        </w:rPr>
        <w:t>Bimzelx</w:t>
      </w:r>
      <w:proofErr w:type="spellEnd"/>
      <w:r w:rsidRPr="00B6228A">
        <w:rPr>
          <w:rFonts w:ascii="標楷體" w:eastAsia="標楷體" w:hAnsi="標楷體" w:hint="eastAsia"/>
          <w:szCs w:val="24"/>
        </w:rPr>
        <w:t>）</w:t>
      </w:r>
      <w:r>
        <w:rPr>
          <w:rFonts w:ascii="標楷體" w:eastAsia="標楷體" w:hAnsi="標楷體"/>
          <w:color w:val="000000"/>
        </w:rPr>
        <w:t xml:space="preserve"> (98/8/1、98/11/1、101/1/1、102/1/1、107/1/1、109/9/1、109/12/1、110/7/1、111/5/1、112/3/1、112/4/1、112/12/1、</w:t>
      </w:r>
      <w:r>
        <w:rPr>
          <w:rFonts w:ascii="標楷體" w:eastAsia="標楷體" w:hAnsi="標楷體" w:hint="eastAsia"/>
          <w:color w:val="000000"/>
        </w:rPr>
        <w:t>114/9/1</w:t>
      </w:r>
      <w:r w:rsidRPr="00B6228A">
        <w:rPr>
          <w:rFonts w:ascii="標楷體" w:eastAsia="標楷體" w:hAnsi="標楷體" w:hint="eastAsia"/>
          <w:color w:val="000000"/>
        </w:rPr>
        <w:t>、115/5/1</w:t>
      </w:r>
      <w:r>
        <w:rPr>
          <w:rFonts w:ascii="標楷體" w:eastAsia="標楷體" w:hAnsi="標楷體"/>
          <w:color w:val="000000"/>
        </w:rPr>
        <w:t>)：用於僵直性脊椎炎治療部分</w:t>
      </w:r>
    </w:p>
    <w:p w14:paraId="5E51D397"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1.限內科專科醫師且具有風濕或免疫專科醫師證書者處方。</w:t>
      </w:r>
    </w:p>
    <w:p w14:paraId="042F41EB"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2.需經事前審查核准後使用。</w:t>
      </w:r>
    </w:p>
    <w:p w14:paraId="240083BA"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3.需符合下列所有條件：</w:t>
      </w:r>
    </w:p>
    <w:p w14:paraId="42CA489E"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(1)年齡18歲以上</w:t>
      </w:r>
    </w:p>
    <w:p w14:paraId="6550AB44"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(2)HLA B27陽性</w:t>
      </w:r>
    </w:p>
    <w:p w14:paraId="62C72FAF"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(3)X光(plain X Ray)檢查需</w:t>
      </w:r>
      <w:proofErr w:type="gramStart"/>
      <w:r>
        <w:rPr>
          <w:rFonts w:ascii="標楷體" w:eastAsia="標楷體" w:hAnsi="標楷體"/>
          <w:color w:val="000000"/>
        </w:rPr>
        <w:t>有薦腸</w:t>
      </w:r>
      <w:proofErr w:type="gramEnd"/>
      <w:r>
        <w:rPr>
          <w:rFonts w:ascii="標楷體" w:eastAsia="標楷體" w:hAnsi="標楷體"/>
          <w:color w:val="000000"/>
        </w:rPr>
        <w:t>關節炎：</w:t>
      </w:r>
      <w:proofErr w:type="gramStart"/>
      <w:r>
        <w:rPr>
          <w:rFonts w:ascii="標楷體" w:eastAsia="標楷體" w:hAnsi="標楷體"/>
          <w:color w:val="000000"/>
        </w:rPr>
        <w:t>雙側性</w:t>
      </w:r>
      <w:proofErr w:type="gramEnd"/>
      <w:r>
        <w:rPr>
          <w:rFonts w:ascii="標楷體" w:eastAsia="標楷體" w:hAnsi="標楷體"/>
          <w:color w:val="000000"/>
        </w:rPr>
        <w:t>二級以上，或</w:t>
      </w:r>
      <w:proofErr w:type="gramStart"/>
      <w:r>
        <w:rPr>
          <w:rFonts w:ascii="標楷體" w:eastAsia="標楷體" w:hAnsi="標楷體"/>
          <w:color w:val="000000"/>
        </w:rPr>
        <w:t>單側性三級</w:t>
      </w:r>
      <w:proofErr w:type="gramEnd"/>
      <w:r>
        <w:rPr>
          <w:rFonts w:ascii="標楷體" w:eastAsia="標楷體" w:hAnsi="標楷體"/>
          <w:color w:val="000000"/>
        </w:rPr>
        <w:t>以上、附有報告影印或X光影像光碟。</w:t>
      </w:r>
    </w:p>
    <w:p w14:paraId="0E7D409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(4)臨床症狀及身體檢查，下列</w:t>
      </w:r>
      <w:proofErr w:type="gramStart"/>
      <w:r>
        <w:rPr>
          <w:rFonts w:ascii="標楷體" w:eastAsia="標楷體" w:hAnsi="標楷體"/>
          <w:color w:val="000000"/>
        </w:rPr>
        <w:t>三</w:t>
      </w:r>
      <w:proofErr w:type="gramEnd"/>
      <w:r>
        <w:rPr>
          <w:rFonts w:ascii="標楷體" w:eastAsia="標楷體" w:hAnsi="標楷體"/>
          <w:color w:val="000000"/>
        </w:rPr>
        <w:t>條件至少需符合二項</w:t>
      </w:r>
    </w:p>
    <w:p w14:paraId="7622B50B" w14:textId="77777777" w:rsidR="009A56E8" w:rsidRDefault="009A56E8" w:rsidP="009A56E8">
      <w:pPr>
        <w:spacing w:line="300" w:lineRule="exact"/>
        <w:ind w:left="163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.下背痛及晨間僵硬的症狀持續3個月以上，這些症狀無法因休息而緩解，但會隨運動改善。</w:t>
      </w:r>
    </w:p>
    <w:p w14:paraId="2C8853F1" w14:textId="77777777" w:rsidR="009A56E8" w:rsidRDefault="009A56E8" w:rsidP="009A56E8">
      <w:pPr>
        <w:spacing w:line="300" w:lineRule="exact"/>
        <w:ind w:left="1632" w:hanging="386"/>
        <w:rPr>
          <w:rFonts w:ascii="標楷體" w:eastAsia="標楷體" w:hAnsi="標楷體"/>
          <w:color w:val="000000"/>
        </w:rPr>
      </w:pPr>
      <w:r>
        <w:rPr>
          <w:rFonts w:ascii="標楷體" w:eastAsia="標楷體" w:hAnsi="標楷體"/>
          <w:color w:val="000000"/>
        </w:rPr>
        <w:t>ii.腰椎活動受到限制，有確切體檢發現者。</w:t>
      </w:r>
    </w:p>
    <w:p w14:paraId="05092297" w14:textId="77777777" w:rsidR="009A56E8" w:rsidRDefault="009A56E8" w:rsidP="009A56E8">
      <w:pPr>
        <w:spacing w:line="300" w:lineRule="exact"/>
        <w:ind w:left="1632" w:hanging="386"/>
        <w:rPr>
          <w:rFonts w:ascii="標楷體" w:eastAsia="標楷體" w:hAnsi="標楷體"/>
          <w:color w:val="000000"/>
        </w:rPr>
      </w:pPr>
      <w:r>
        <w:rPr>
          <w:rFonts w:ascii="標楷體" w:eastAsia="標楷體" w:hAnsi="標楷體"/>
          <w:color w:val="000000"/>
        </w:rPr>
        <w:t>iii.胸部擴展受到限制，有確切體檢發現者。</w:t>
      </w:r>
    </w:p>
    <w:p w14:paraId="4A80ACC2"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(5)所有的病患都必須曾經使用過至少2種 (NSAIDs)進行充分的治療，但療效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彰。充分治療的定義為：使用最高建議劑量或最高耐受劑量的NSAID抗發炎藥物，在同一家醫院連續治療三個月以上，且每種NSAID至少使用四</w:t>
      </w:r>
      <w:proofErr w:type="gramStart"/>
      <w:r>
        <w:rPr>
          <w:rFonts w:ascii="標楷體" w:eastAsia="標楷體" w:hAnsi="標楷體"/>
          <w:color w:val="000000"/>
        </w:rPr>
        <w:t>週</w:t>
      </w:r>
      <w:proofErr w:type="gramEnd"/>
      <w:r>
        <w:rPr>
          <w:rFonts w:ascii="標楷體" w:eastAsia="標楷體" w:hAnsi="標楷體"/>
          <w:color w:val="000000"/>
        </w:rPr>
        <w:t>以上，除非出現毒性而停藥，需以附表二十一之二為根據記錄NSAID之毒性送審。</w:t>
      </w:r>
    </w:p>
    <w:p w14:paraId="45706744"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(6)周邊關節炎患者必須曾經同時使用NSAIDs和sulfasalazine進行充分的治療，sulfasalazine需以2 g/day之標準治療4個月或以上，除非有相關毒性發生而停藥，並有適當病歷記載者。</w:t>
      </w:r>
    </w:p>
    <w:p w14:paraId="04367EEA" w14:textId="77777777" w:rsidR="009A56E8" w:rsidRDefault="009A56E8" w:rsidP="009A56E8">
      <w:pPr>
        <w:spacing w:line="300" w:lineRule="exact"/>
        <w:ind w:left="1152" w:hanging="386"/>
      </w:pPr>
      <w:r>
        <w:rPr>
          <w:rFonts w:ascii="標楷體" w:eastAsia="標楷體" w:hAnsi="標楷體"/>
          <w:color w:val="000000"/>
        </w:rPr>
        <w:t>(7)</w:t>
      </w:r>
      <w:r>
        <w:t xml:space="preserve"> </w:t>
      </w:r>
      <w:r>
        <w:rPr>
          <w:rFonts w:ascii="標楷體" w:eastAsia="標楷體" w:hAnsi="標楷體"/>
          <w:color w:val="000000"/>
        </w:rPr>
        <w:t>必須附有(1) 風濕或免疫專科且具有保險人核定復健處方權之醫師所開立之運動衛教證明書和(2)病患自身在家運動狀况聲明書。</w:t>
      </w:r>
    </w:p>
    <w:p w14:paraId="39AF770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(8)活動性疾病持續四</w:t>
      </w:r>
      <w:proofErr w:type="gramStart"/>
      <w:r>
        <w:rPr>
          <w:rFonts w:ascii="標楷體" w:eastAsia="標楷體" w:hAnsi="標楷體"/>
          <w:color w:val="000000"/>
        </w:rPr>
        <w:t>週</w:t>
      </w:r>
      <w:proofErr w:type="gramEnd"/>
      <w:r>
        <w:rPr>
          <w:rFonts w:ascii="標楷體" w:eastAsia="標楷體" w:hAnsi="標楷體"/>
          <w:color w:val="000000"/>
        </w:rPr>
        <w:t>以上。（需連續二次檢查BASDAI</w:t>
      </w:r>
      <w:proofErr w:type="gramStart"/>
      <w:r>
        <w:rPr>
          <w:rFonts w:ascii="標楷體" w:eastAsia="標楷體" w:hAnsi="標楷體"/>
          <w:color w:val="000000"/>
        </w:rPr>
        <w:t>≧</w:t>
      </w:r>
      <w:proofErr w:type="gramEnd"/>
      <w:r>
        <w:rPr>
          <w:rFonts w:ascii="標楷體" w:eastAsia="標楷體" w:hAnsi="標楷體"/>
          <w:color w:val="000000"/>
        </w:rPr>
        <w:t xml:space="preserve">6、ESR &gt; 28 mm/1 </w:t>
      </w:r>
      <w:proofErr w:type="spellStart"/>
      <w:r>
        <w:rPr>
          <w:rFonts w:ascii="標楷體" w:eastAsia="標楷體" w:hAnsi="標楷體"/>
          <w:color w:val="000000"/>
        </w:rPr>
        <w:t>hr</w:t>
      </w:r>
      <w:proofErr w:type="spellEnd"/>
      <w:r>
        <w:rPr>
          <w:rFonts w:ascii="標楷體" w:eastAsia="標楷體" w:hAnsi="標楷體"/>
          <w:color w:val="000000"/>
        </w:rPr>
        <w:t xml:space="preserve"> 暨 CRP &gt; 1 mg/dL，且二次檢查之間隔需經過至少4</w:t>
      </w:r>
      <w:proofErr w:type="gramStart"/>
      <w:r>
        <w:rPr>
          <w:rFonts w:ascii="標楷體" w:eastAsia="標楷體" w:hAnsi="標楷體"/>
          <w:color w:val="000000"/>
        </w:rPr>
        <w:t>週</w:t>
      </w:r>
      <w:proofErr w:type="gramEnd"/>
      <w:r>
        <w:rPr>
          <w:rFonts w:ascii="標楷體" w:eastAsia="標楷體" w:hAnsi="標楷體"/>
          <w:color w:val="000000"/>
        </w:rPr>
        <w:t>以上之充分治療）</w:t>
      </w:r>
    </w:p>
    <w:p w14:paraId="1B752A59"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(9)病患需填具藥物使用同意書以示瞭解本藥物之適應症、禁忌及副作用。</w:t>
      </w:r>
    </w:p>
    <w:p w14:paraId="78E648A8"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4.使用劑量：</w:t>
      </w:r>
    </w:p>
    <w:p w14:paraId="357E5B4E"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Secukinumab</w:t>
      </w:r>
      <w:proofErr w:type="spellEnd"/>
      <w:r>
        <w:rPr>
          <w:rFonts w:ascii="標楷體" w:eastAsia="標楷體" w:hAnsi="標楷體"/>
          <w:color w:val="000000"/>
        </w:rPr>
        <w:t>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後，未達療效(參考底下第5點療效定義)，劑量可增加為300mg。(107/1/1、112/3/1)</w:t>
      </w:r>
    </w:p>
    <w:p w14:paraId="4B8185FE"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(2)infliximab起始於第0，2和6</w:t>
      </w:r>
      <w:proofErr w:type="gramStart"/>
      <w:r>
        <w:rPr>
          <w:rFonts w:ascii="標楷體" w:eastAsia="標楷體" w:hAnsi="標楷體"/>
          <w:color w:val="000000"/>
        </w:rPr>
        <w:t>週時投予</w:t>
      </w:r>
      <w:proofErr w:type="gramEnd"/>
      <w:r>
        <w:rPr>
          <w:rFonts w:ascii="標楷體" w:eastAsia="標楷體" w:hAnsi="標楷體"/>
          <w:color w:val="000000"/>
        </w:rPr>
        <w:t>5mg/kg，之後每6</w:t>
      </w:r>
      <w:proofErr w:type="gramStart"/>
      <w:r>
        <w:rPr>
          <w:rFonts w:ascii="標楷體" w:eastAsia="標楷體" w:hAnsi="標楷體"/>
          <w:color w:val="000000"/>
        </w:rPr>
        <w:t>週</w:t>
      </w:r>
      <w:proofErr w:type="gramEnd"/>
      <w:r>
        <w:rPr>
          <w:rFonts w:ascii="標楷體" w:eastAsia="標楷體" w:hAnsi="標楷體"/>
          <w:color w:val="000000"/>
        </w:rPr>
        <w:t>給藥。(109/9/1、109/12/1)</w:t>
      </w:r>
    </w:p>
    <w:p w14:paraId="42FE462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Ixekizumab</w:t>
      </w:r>
      <w:proofErr w:type="spellEnd"/>
      <w:r>
        <w:rPr>
          <w:rFonts w:ascii="標楷體" w:eastAsia="標楷體" w:hAnsi="標楷體"/>
          <w:color w:val="000000"/>
        </w:rPr>
        <w:t>每4</w:t>
      </w:r>
      <w:proofErr w:type="gramStart"/>
      <w:r>
        <w:rPr>
          <w:rFonts w:ascii="標楷體" w:eastAsia="標楷體" w:hAnsi="標楷體"/>
          <w:color w:val="000000"/>
        </w:rPr>
        <w:t>週</w:t>
      </w:r>
      <w:proofErr w:type="gramEnd"/>
      <w:r>
        <w:rPr>
          <w:rFonts w:ascii="標楷體" w:eastAsia="標楷體" w:hAnsi="標楷體"/>
          <w:color w:val="000000"/>
        </w:rPr>
        <w:t>給予80 mg (111/5/1)</w:t>
      </w:r>
    </w:p>
    <w:p w14:paraId="2FD52633"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(4)Certolizumab起始於第0</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與第4</w:t>
      </w:r>
      <w:proofErr w:type="gramStart"/>
      <w:r>
        <w:rPr>
          <w:rFonts w:ascii="標楷體" w:eastAsia="標楷體" w:hAnsi="標楷體"/>
          <w:color w:val="000000"/>
        </w:rPr>
        <w:t>週時投予各</w:t>
      </w:r>
      <w:proofErr w:type="gramEnd"/>
      <w:r>
        <w:rPr>
          <w:rFonts w:ascii="標楷體" w:eastAsia="標楷體" w:hAnsi="標楷體"/>
          <w:color w:val="000000"/>
        </w:rPr>
        <w:t>400mg，之後維持劑量為每2</w:t>
      </w:r>
      <w:proofErr w:type="gramStart"/>
      <w:r>
        <w:rPr>
          <w:rFonts w:ascii="標楷體" w:eastAsia="標楷體" w:hAnsi="標楷體"/>
          <w:color w:val="000000"/>
        </w:rPr>
        <w:t>週</w:t>
      </w:r>
      <w:proofErr w:type="gramEnd"/>
      <w:r>
        <w:rPr>
          <w:rFonts w:ascii="標楷體" w:eastAsia="標楷體" w:hAnsi="標楷體"/>
          <w:color w:val="000000"/>
        </w:rPr>
        <w:t>200 mg或每4</w:t>
      </w:r>
      <w:proofErr w:type="gramStart"/>
      <w:r>
        <w:rPr>
          <w:rFonts w:ascii="標楷體" w:eastAsia="標楷體" w:hAnsi="標楷體"/>
          <w:color w:val="000000"/>
        </w:rPr>
        <w:t>週</w:t>
      </w:r>
      <w:proofErr w:type="gramEnd"/>
      <w:r>
        <w:rPr>
          <w:rFonts w:ascii="標楷體" w:eastAsia="標楷體" w:hAnsi="標楷體"/>
          <w:color w:val="000000"/>
        </w:rPr>
        <w:t xml:space="preserve"> 400mg。於懷孕哺乳期間若已接受其他生物製劑治療者，得改</w:t>
      </w:r>
      <w:r>
        <w:rPr>
          <w:rFonts w:ascii="標楷體" w:eastAsia="標楷體" w:hAnsi="標楷體"/>
          <w:color w:val="000000"/>
        </w:rPr>
        <w:lastRenderedPageBreak/>
        <w:t>申請certolizumab。若症狀嚴重程度已符合生物製劑申請條件但尚未接受生物製劑治療者，不須受傳統治療無效才得申請之限制，得於懷孕哺乳期申請certolizumab。(110/7/1)</w:t>
      </w:r>
    </w:p>
    <w:p w14:paraId="1F272D93" w14:textId="77777777" w:rsidR="009A56E8" w:rsidRDefault="009A56E8" w:rsidP="009A56E8">
      <w:pPr>
        <w:spacing w:line="300" w:lineRule="exact"/>
        <w:ind w:left="1152" w:hanging="386"/>
      </w:pPr>
      <w:r>
        <w:rPr>
          <w:rFonts w:ascii="標楷體" w:eastAsia="標楷體" w:hAnsi="標楷體"/>
          <w:color w:val="000000"/>
        </w:rPr>
        <w:t>(5)</w:t>
      </w:r>
      <w:r>
        <w:t xml:space="preserve"> </w:t>
      </w:r>
      <w:r>
        <w:rPr>
          <w:rFonts w:ascii="標楷體" w:eastAsia="標楷體" w:hAnsi="標楷體"/>
          <w:color w:val="000000"/>
        </w:rPr>
        <w:t>Tofacitinib口服使用5mg每日2次或11mg每日1次。(使用前應排除有血栓風險之病患，不建議與azathioprine或與cyclosporine合併使用。(112/4/1)</w:t>
      </w:r>
    </w:p>
    <w:p w14:paraId="3D0C18F9"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(6)</w:t>
      </w:r>
      <w:r>
        <w:t xml:space="preserve"> </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210mg。(112/12/1)</w:t>
      </w:r>
    </w:p>
    <w:p w14:paraId="1426E79E" w14:textId="77777777" w:rsidR="009A56E8" w:rsidRPr="00B6228A" w:rsidRDefault="009A56E8" w:rsidP="009A56E8">
      <w:pPr>
        <w:spacing w:line="300" w:lineRule="exact"/>
        <w:ind w:left="1152" w:hanging="386"/>
        <w:rPr>
          <w:rFonts w:ascii="標楷體" w:eastAsia="標楷體" w:hAnsi="標楷體"/>
          <w:color w:val="000000"/>
        </w:rPr>
      </w:pPr>
      <w:r w:rsidRPr="00B6228A">
        <w:rPr>
          <w:rFonts w:ascii="標楷體" w:eastAsia="標楷體" w:hAnsi="標楷體" w:hint="eastAsia"/>
          <w:color w:val="000000"/>
        </w:rPr>
        <w:t xml:space="preserve">(7) </w:t>
      </w:r>
      <w:proofErr w:type="spellStart"/>
      <w:r w:rsidRPr="00B6228A">
        <w:rPr>
          <w:rFonts w:ascii="標楷體" w:eastAsia="標楷體" w:hAnsi="標楷體" w:hint="eastAsia"/>
          <w:color w:val="000000"/>
        </w:rPr>
        <w:t>Bimekizumab</w:t>
      </w:r>
      <w:proofErr w:type="spellEnd"/>
      <w:r w:rsidRPr="00B6228A">
        <w:rPr>
          <w:rFonts w:ascii="標楷體" w:eastAsia="標楷體" w:hAnsi="標楷體" w:hint="eastAsia"/>
          <w:color w:val="000000"/>
        </w:rPr>
        <w:t xml:space="preserve"> 每次使用劑量為160mg，每4</w:t>
      </w:r>
      <w:proofErr w:type="gramStart"/>
      <w:r w:rsidRPr="00B6228A">
        <w:rPr>
          <w:rFonts w:ascii="標楷體" w:eastAsia="標楷體" w:hAnsi="標楷體" w:hint="eastAsia"/>
          <w:color w:val="000000"/>
        </w:rPr>
        <w:t>週投予</w:t>
      </w:r>
      <w:proofErr w:type="gramEnd"/>
      <w:r w:rsidRPr="00B6228A">
        <w:rPr>
          <w:rFonts w:ascii="標楷體" w:eastAsia="標楷體" w:hAnsi="標楷體" w:hint="eastAsia"/>
          <w:color w:val="000000"/>
        </w:rPr>
        <w:t>160mg 劑量。(115/5/1)</w:t>
      </w:r>
    </w:p>
    <w:p w14:paraId="3390661A"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5.療效評估與繼續使用：</w:t>
      </w:r>
    </w:p>
    <w:p w14:paraId="45A9B4C8" w14:textId="77777777" w:rsidR="009A56E8" w:rsidRDefault="009A56E8" w:rsidP="009A56E8">
      <w:pPr>
        <w:spacing w:line="300" w:lineRule="exact"/>
        <w:ind w:left="1234" w:hanging="468"/>
        <w:rPr>
          <w:rFonts w:ascii="標楷體" w:eastAsia="標楷體" w:hAnsi="標楷體"/>
          <w:color w:val="000000"/>
        </w:rPr>
      </w:pPr>
      <w:r>
        <w:rPr>
          <w:rFonts w:ascii="標楷體" w:eastAsia="標楷體" w:hAnsi="標楷體"/>
          <w:color w:val="000000"/>
        </w:rPr>
        <w:t xml:space="preserve"> (1)治療12</w:t>
      </w:r>
      <w:proofErr w:type="gramStart"/>
      <w:r>
        <w:rPr>
          <w:rFonts w:ascii="標楷體" w:eastAsia="標楷體" w:hAnsi="標楷體"/>
          <w:color w:val="000000"/>
        </w:rPr>
        <w:t>週</w:t>
      </w:r>
      <w:proofErr w:type="gramEnd"/>
      <w:r>
        <w:rPr>
          <w:rFonts w:ascii="標楷體" w:eastAsia="標楷體" w:hAnsi="標楷體"/>
          <w:color w:val="000000"/>
        </w:rPr>
        <w:t>後評估BASDAI：與使用前比較,出現50%以上的進步或減少2 分以上，方得繼續使用。</w:t>
      </w:r>
    </w:p>
    <w:p w14:paraId="1A89457C" w14:textId="77777777" w:rsidR="009A56E8" w:rsidRDefault="009A56E8" w:rsidP="009A56E8">
      <w:pPr>
        <w:spacing w:line="300" w:lineRule="exact"/>
        <w:ind w:left="1262" w:hanging="386"/>
        <w:rPr>
          <w:rFonts w:ascii="標楷體" w:eastAsia="標楷體" w:hAnsi="標楷體"/>
          <w:color w:val="000000"/>
        </w:rPr>
      </w:pPr>
      <w:r>
        <w:rPr>
          <w:rFonts w:ascii="標楷體" w:eastAsia="標楷體" w:hAnsi="標楷體"/>
          <w:color w:val="000000"/>
        </w:rPr>
        <w:t>(2)繼續使用者，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w:t>
      </w:r>
    </w:p>
    <w:p w14:paraId="1F3B5DF2"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6.需排除使用的情形</w:t>
      </w:r>
    </w:p>
    <w:p w14:paraId="438FD3B9"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應參照藥物仿單，重要之排除使用狀況包括(以下未列者參照仿單所載)：</w:t>
      </w:r>
    </w:p>
    <w:p w14:paraId="7FBA2CA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婦女(certolizumab除外) (110/7/1)</w:t>
      </w:r>
    </w:p>
    <w:p w14:paraId="244F272F"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(2)活動性感染症之病患</w:t>
      </w:r>
    </w:p>
    <w:p w14:paraId="0B9EF1F2"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(3)具高度感染機會的病患，包括：</w:t>
      </w:r>
    </w:p>
    <w:p w14:paraId="6BB48968" w14:textId="77777777" w:rsidR="009A56E8" w:rsidRDefault="009A56E8" w:rsidP="009A56E8">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08085957"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43580A24"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iii.過去12個月內曾有感染性關節炎者</w:t>
      </w:r>
    </w:p>
    <w:p w14:paraId="2389CF03"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w:t>
      </w:r>
    </w:p>
    <w:p w14:paraId="78D767F3"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v.頑固性或復發性的胸腔感染症</w:t>
      </w:r>
    </w:p>
    <w:p w14:paraId="7ABBC884"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vi.具有留置導尿管者</w:t>
      </w:r>
    </w:p>
    <w:p w14:paraId="110857E2"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狀態之病患（但不包括已經接受過充分治療達10年以上的惡性腫瘤）</w:t>
      </w:r>
    </w:p>
    <w:p w14:paraId="08202A2F"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(5)多發性硬化症(multiple sclerosis)</w:t>
      </w:r>
    </w:p>
    <w:p w14:paraId="54FEFF93"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7.需停止治療的情形</w:t>
      </w:r>
    </w:p>
    <w:p w14:paraId="559F9493"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6613B400"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1CED53B8"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57B18D03" w14:textId="77777777" w:rsidR="009A56E8" w:rsidRDefault="009A56E8" w:rsidP="009A56E8">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517B9DC1"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0E5FE403"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 (110/7/1)</w:t>
      </w:r>
    </w:p>
    <w:p w14:paraId="0FBAF3FA" w14:textId="77777777" w:rsidR="009A56E8" w:rsidRDefault="009A56E8" w:rsidP="009A56E8">
      <w:pPr>
        <w:spacing w:line="300" w:lineRule="exact"/>
        <w:ind w:left="1418" w:hanging="386"/>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感染症(依嚴重性判斷可選擇暫時停藥即可)</w:t>
      </w:r>
    </w:p>
    <w:p w14:paraId="122E69BB"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◎附表二十一之</w:t>
      </w:r>
      <w:proofErr w:type="gramStart"/>
      <w:r>
        <w:rPr>
          <w:rFonts w:ascii="標楷體" w:eastAsia="標楷體" w:hAnsi="標楷體"/>
          <w:color w:val="000000"/>
        </w:rPr>
        <w:t>一</w:t>
      </w:r>
      <w:proofErr w:type="gramEnd"/>
      <w:r>
        <w:rPr>
          <w:rFonts w:ascii="標楷體" w:eastAsia="標楷體" w:hAnsi="標楷體"/>
          <w:color w:val="000000"/>
        </w:rPr>
        <w:t xml:space="preserve">：全民健康保險僵直性脊椎炎使用生物製劑申請表(107/1/1) </w:t>
      </w:r>
    </w:p>
    <w:p w14:paraId="75B81305" w14:textId="199AEF59" w:rsidR="00401786" w:rsidRDefault="009A56E8" w:rsidP="009A56E8">
      <w:pPr>
        <w:spacing w:line="300" w:lineRule="exact"/>
        <w:ind w:left="1134" w:hanging="386"/>
        <w:rPr>
          <w:rFonts w:ascii="標楷體" w:eastAsia="標楷體" w:hAnsi="標楷體"/>
          <w:color w:val="000000"/>
        </w:rPr>
      </w:pPr>
      <w:r>
        <w:rPr>
          <w:rFonts w:ascii="標楷體" w:eastAsia="標楷體" w:hAnsi="標楷體"/>
          <w:color w:val="000000"/>
        </w:rPr>
        <w:t>◎附表二十一之二：NSAID藥物副作用</w:t>
      </w:r>
    </w:p>
    <w:p w14:paraId="3DFC032B" w14:textId="6BAA7C4F" w:rsidR="00AB55BC" w:rsidRDefault="00AB55BC" w:rsidP="00AB55BC">
      <w:pPr>
        <w:spacing w:line="300" w:lineRule="exact"/>
        <w:ind w:left="672" w:hanging="386"/>
        <w:rPr>
          <w:rFonts w:ascii="標楷體" w:eastAsia="標楷體" w:hAnsi="標楷體"/>
          <w:color w:val="000000"/>
        </w:rPr>
      </w:pPr>
      <w:r>
        <w:rPr>
          <w:rFonts w:ascii="標楷體" w:eastAsia="標楷體" w:hAnsi="標楷體"/>
          <w:color w:val="000000"/>
        </w:rPr>
        <w:t>8.2.4.4.A</w:t>
      </w:r>
      <w:r w:rsidR="00DC4836" w:rsidRPr="00DC4836">
        <w:rPr>
          <w:rFonts w:ascii="標楷體" w:eastAsia="標楷體" w:hAnsi="標楷體" w:hint="eastAsia"/>
          <w:color w:val="000000"/>
        </w:rPr>
        <w:t>dalimumab（如Humira）； etanercept (如Enbrel)；golimumab（如Simponi）；</w:t>
      </w:r>
      <w:proofErr w:type="spellStart"/>
      <w:r w:rsidR="00DC4836" w:rsidRPr="00DC4836">
        <w:rPr>
          <w:rFonts w:ascii="標楷體" w:eastAsia="標楷體" w:hAnsi="標楷體" w:hint="eastAsia"/>
          <w:color w:val="000000"/>
        </w:rPr>
        <w:t>ustekinumab</w:t>
      </w:r>
      <w:proofErr w:type="spellEnd"/>
      <w:r w:rsidR="00DC4836" w:rsidRPr="00DC4836">
        <w:rPr>
          <w:rFonts w:ascii="標楷體" w:eastAsia="標楷體" w:hAnsi="標楷體" w:hint="eastAsia"/>
          <w:color w:val="000000"/>
        </w:rPr>
        <w:t>（如Stelara）；</w:t>
      </w:r>
      <w:proofErr w:type="spellStart"/>
      <w:r w:rsidR="00DC4836" w:rsidRPr="00DC4836">
        <w:rPr>
          <w:rFonts w:ascii="標楷體" w:eastAsia="標楷體" w:hAnsi="標楷體" w:hint="eastAsia"/>
          <w:color w:val="000000"/>
        </w:rPr>
        <w:t>secukinumab</w:t>
      </w:r>
      <w:proofErr w:type="spellEnd"/>
      <w:r w:rsidR="00DC4836" w:rsidRPr="00DC4836">
        <w:rPr>
          <w:rFonts w:ascii="標楷體" w:eastAsia="標楷體" w:hAnsi="標楷體" w:hint="eastAsia"/>
          <w:color w:val="000000"/>
        </w:rPr>
        <w:t>（如Cosentyx）；</w:t>
      </w:r>
      <w:proofErr w:type="spellStart"/>
      <w:r w:rsidR="00DC4836" w:rsidRPr="00DC4836">
        <w:rPr>
          <w:rFonts w:ascii="標楷體" w:eastAsia="標楷體" w:hAnsi="標楷體" w:hint="eastAsia"/>
          <w:color w:val="000000"/>
        </w:rPr>
        <w:t>ixekizumab</w:t>
      </w:r>
      <w:proofErr w:type="spellEnd"/>
      <w:r w:rsidR="00DC4836" w:rsidRPr="00DC4836">
        <w:rPr>
          <w:rFonts w:ascii="標楷體" w:eastAsia="標楷體" w:hAnsi="標楷體" w:hint="eastAsia"/>
          <w:color w:val="000000"/>
        </w:rPr>
        <w:t xml:space="preserve"> (如Taltz)；tofacitinib（如Xeljanz）；certolizumab(如Cimzia)；</w:t>
      </w:r>
      <w:proofErr w:type="spellStart"/>
      <w:r w:rsidR="00DC4836" w:rsidRPr="00DC4836">
        <w:rPr>
          <w:rFonts w:ascii="標楷體" w:eastAsia="標楷體" w:hAnsi="標楷體" w:hint="eastAsia"/>
          <w:color w:val="000000"/>
        </w:rPr>
        <w:t>brodalumab</w:t>
      </w:r>
      <w:proofErr w:type="spellEnd"/>
      <w:r w:rsidR="00DC4836" w:rsidRPr="00DC4836">
        <w:rPr>
          <w:rFonts w:ascii="標楷體" w:eastAsia="標楷體" w:hAnsi="標楷體" w:hint="eastAsia"/>
          <w:color w:val="000000"/>
        </w:rPr>
        <w:t>(如</w:t>
      </w:r>
      <w:proofErr w:type="spellStart"/>
      <w:r w:rsidR="00DC4836" w:rsidRPr="00DC4836">
        <w:rPr>
          <w:rFonts w:ascii="標楷體" w:eastAsia="標楷體" w:hAnsi="標楷體" w:hint="eastAsia"/>
          <w:color w:val="000000"/>
        </w:rPr>
        <w:t>Lumicef</w:t>
      </w:r>
      <w:proofErr w:type="spellEnd"/>
      <w:r w:rsidR="00DC4836" w:rsidRPr="00DC4836">
        <w:rPr>
          <w:rFonts w:ascii="標楷體" w:eastAsia="標楷體" w:hAnsi="標楷體" w:hint="eastAsia"/>
          <w:color w:val="000000"/>
        </w:rPr>
        <w:t>)；</w:t>
      </w:r>
      <w:proofErr w:type="spellStart"/>
      <w:r w:rsidR="00DC4836" w:rsidRPr="00DC4836">
        <w:rPr>
          <w:rFonts w:ascii="標楷體" w:eastAsia="標楷體" w:hAnsi="標楷體" w:hint="eastAsia"/>
          <w:color w:val="000000"/>
        </w:rPr>
        <w:t>guselkumab</w:t>
      </w:r>
      <w:proofErr w:type="spellEnd"/>
      <w:r w:rsidR="00DC4836" w:rsidRPr="00DC4836">
        <w:rPr>
          <w:rFonts w:ascii="標楷體" w:eastAsia="標楷體" w:hAnsi="標楷體" w:hint="eastAsia"/>
          <w:color w:val="000000"/>
        </w:rPr>
        <w:t>(如Tremfya)；</w:t>
      </w:r>
      <w:proofErr w:type="spellStart"/>
      <w:r w:rsidR="00DC4836" w:rsidRPr="00DC4836">
        <w:rPr>
          <w:rFonts w:ascii="標楷體" w:eastAsia="標楷體" w:hAnsi="標楷體" w:hint="eastAsia"/>
          <w:color w:val="000000"/>
        </w:rPr>
        <w:t>upadacitinib</w:t>
      </w:r>
      <w:proofErr w:type="spellEnd"/>
      <w:r w:rsidR="00DC4836" w:rsidRPr="00DC4836">
        <w:rPr>
          <w:rFonts w:ascii="標楷體" w:eastAsia="標楷體" w:hAnsi="標楷體" w:hint="eastAsia"/>
          <w:color w:val="000000"/>
        </w:rPr>
        <w:t>(如</w:t>
      </w:r>
      <w:proofErr w:type="spellStart"/>
      <w:r w:rsidR="00DC4836" w:rsidRPr="00DC4836">
        <w:rPr>
          <w:rFonts w:ascii="標楷體" w:eastAsia="標楷體" w:hAnsi="標楷體" w:hint="eastAsia"/>
          <w:color w:val="000000"/>
        </w:rPr>
        <w:t>Rinvoq</w:t>
      </w:r>
      <w:proofErr w:type="spellEnd"/>
      <w:r w:rsidR="00DC4836" w:rsidRPr="00DC4836">
        <w:rPr>
          <w:rFonts w:ascii="標楷體" w:eastAsia="標楷體" w:hAnsi="標楷體" w:hint="eastAsia"/>
          <w:color w:val="000000"/>
        </w:rPr>
        <w:t>) ；</w:t>
      </w:r>
      <w:proofErr w:type="spellStart"/>
      <w:r w:rsidR="00DC4836" w:rsidRPr="00DC4836">
        <w:rPr>
          <w:rFonts w:ascii="標楷體" w:eastAsia="標楷體" w:hAnsi="標楷體" w:hint="eastAsia"/>
          <w:color w:val="000000"/>
        </w:rPr>
        <w:t>risankizumab</w:t>
      </w:r>
      <w:proofErr w:type="spellEnd"/>
      <w:r w:rsidR="00DC4836" w:rsidRPr="00DC4836">
        <w:rPr>
          <w:rFonts w:ascii="標楷體" w:eastAsia="標楷體" w:hAnsi="標楷體" w:hint="eastAsia"/>
          <w:color w:val="000000"/>
        </w:rPr>
        <w:t xml:space="preserve"> (如</w:t>
      </w:r>
      <w:proofErr w:type="spellStart"/>
      <w:r w:rsidR="00DC4836" w:rsidRPr="00DC4836">
        <w:rPr>
          <w:rFonts w:ascii="標楷體" w:eastAsia="標楷體" w:hAnsi="標楷體" w:hint="eastAsia"/>
          <w:color w:val="000000"/>
        </w:rPr>
        <w:t>Skyrizi</w:t>
      </w:r>
      <w:proofErr w:type="spellEnd"/>
      <w:r w:rsidR="00DC4836" w:rsidRPr="00DC4836">
        <w:rPr>
          <w:rFonts w:ascii="標楷體" w:eastAsia="標楷體" w:hAnsi="標楷體" w:hint="eastAsia"/>
          <w:color w:val="000000"/>
        </w:rPr>
        <w:t>)；</w:t>
      </w:r>
      <w:proofErr w:type="spellStart"/>
      <w:r w:rsidR="00DC4836" w:rsidRPr="00DC4836">
        <w:rPr>
          <w:rFonts w:ascii="標楷體" w:eastAsia="標楷體" w:hAnsi="標楷體" w:hint="eastAsia"/>
          <w:color w:val="000000"/>
        </w:rPr>
        <w:t>bimekizumab</w:t>
      </w:r>
      <w:proofErr w:type="spellEnd"/>
      <w:r w:rsidR="00DC4836" w:rsidRPr="00DC4836">
        <w:rPr>
          <w:rFonts w:ascii="標楷體" w:eastAsia="標楷體" w:hAnsi="標楷體" w:hint="eastAsia"/>
          <w:color w:val="000000"/>
        </w:rPr>
        <w:t>（如</w:t>
      </w:r>
      <w:proofErr w:type="spellStart"/>
      <w:r w:rsidR="00DC4836" w:rsidRPr="00DC4836">
        <w:rPr>
          <w:rFonts w:ascii="標楷體" w:eastAsia="標楷體" w:hAnsi="標楷體" w:hint="eastAsia"/>
          <w:color w:val="000000"/>
        </w:rPr>
        <w:t>Bimzelx</w:t>
      </w:r>
      <w:proofErr w:type="spellEnd"/>
      <w:r w:rsidR="00DC4836" w:rsidRPr="00DC4836">
        <w:rPr>
          <w:rFonts w:ascii="標楷體" w:eastAsia="標楷體" w:hAnsi="標楷體" w:hint="eastAsia"/>
          <w:color w:val="000000"/>
        </w:rPr>
        <w:t>）</w:t>
      </w:r>
      <w:proofErr w:type="gramStart"/>
      <w:r w:rsidR="00DC4836" w:rsidRPr="00DC4836">
        <w:rPr>
          <w:rFonts w:ascii="標楷體" w:eastAsia="標楷體" w:hAnsi="標楷體" w:hint="eastAsia"/>
          <w:color w:val="000000"/>
        </w:rPr>
        <w:t>（</w:t>
      </w:r>
      <w:proofErr w:type="gramEnd"/>
      <w:r w:rsidR="00DC4836" w:rsidRPr="00DC4836">
        <w:rPr>
          <w:rFonts w:ascii="標楷體" w:eastAsia="標楷體" w:hAnsi="標楷體" w:hint="eastAsia"/>
          <w:color w:val="000000"/>
        </w:rPr>
        <w:t>98/8/1、98/11/1、99/1/1、102/1/1、102/2/1、105/10/1、107/1/1、109/3/1、109/6/1、109/8/1、109/9/1、110/7/1、111/3/1、111/5/1、111/9/1、112/3/1、112/4/1、112/12/1、114/2/1、115/5/1、115/8/1</w:t>
      </w:r>
      <w:r>
        <w:rPr>
          <w:rFonts w:ascii="標楷體" w:eastAsia="標楷體" w:hAnsi="標楷體"/>
          <w:color w:val="000000"/>
        </w:rPr>
        <w:t>)：用於活動性乾</w:t>
      </w:r>
      <w:proofErr w:type="gramStart"/>
      <w:r>
        <w:rPr>
          <w:rFonts w:ascii="標楷體" w:eastAsia="標楷體" w:hAnsi="標楷體"/>
          <w:color w:val="000000"/>
        </w:rPr>
        <w:t>癬性關節炎－乾癬性</w:t>
      </w:r>
      <w:proofErr w:type="gramEnd"/>
      <w:r>
        <w:rPr>
          <w:rFonts w:ascii="標楷體" w:eastAsia="標楷體" w:hAnsi="標楷體"/>
          <w:color w:val="000000"/>
        </w:rPr>
        <w:t>周邊關節炎治療部分</w:t>
      </w:r>
    </w:p>
    <w:p w14:paraId="081252BB"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1.限內科專科醫師且具有風濕或免疫專科醫師證書者，或皮膚科專科醫師處方。（99/1/ 1）</w:t>
      </w:r>
    </w:p>
    <w:p w14:paraId="41FC75B3"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2.需經事前審查核准後使用。</w:t>
      </w:r>
    </w:p>
    <w:p w14:paraId="0D3C1C7D"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lastRenderedPageBreak/>
        <w:t>3.需符合下列所有條件：</w:t>
      </w:r>
    </w:p>
    <w:p w14:paraId="561D8D53"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(1)經內科專科醫師且具有風濕或免疫專科醫師證書者診斷為</w:t>
      </w:r>
      <w:proofErr w:type="gramStart"/>
      <w:r>
        <w:rPr>
          <w:rFonts w:ascii="標楷體" w:eastAsia="標楷體" w:hAnsi="標楷體"/>
          <w:color w:val="000000"/>
        </w:rPr>
        <w:t>乾癬性關節炎</w:t>
      </w:r>
      <w:proofErr w:type="gramEnd"/>
      <w:r>
        <w:rPr>
          <w:rFonts w:ascii="標楷體" w:eastAsia="標楷體" w:hAnsi="標楷體"/>
          <w:color w:val="000000"/>
        </w:rPr>
        <w:t>之患者。</w:t>
      </w:r>
    </w:p>
    <w:p w14:paraId="46C37F8B"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(2)曾經皮膚科醫師診斷為乾癬患者，或經皮膚切片診斷為乾癬患者。</w:t>
      </w:r>
    </w:p>
    <w:p w14:paraId="5500E1E5"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(3)三個或是三個以上的疼痛關節及三個或三個以上的腫脹關節，且至少間隔4</w:t>
      </w:r>
      <w:proofErr w:type="gramStart"/>
      <w:r>
        <w:rPr>
          <w:rFonts w:ascii="標楷體" w:eastAsia="標楷體" w:hAnsi="標楷體"/>
          <w:color w:val="000000"/>
        </w:rPr>
        <w:t>週</w:t>
      </w:r>
      <w:proofErr w:type="gramEnd"/>
      <w:r>
        <w:rPr>
          <w:rFonts w:ascii="標楷體" w:eastAsia="標楷體" w:hAnsi="標楷體"/>
          <w:color w:val="000000"/>
        </w:rPr>
        <w:t>(含) 以上之連續兩次評估均符合上述條件。(需附關節腫脹相關X-光片或照片輔</w:t>
      </w:r>
      <w:proofErr w:type="gramStart"/>
      <w:r>
        <w:rPr>
          <w:rFonts w:ascii="標楷體" w:eastAsia="標楷體" w:hAnsi="標楷體"/>
          <w:color w:val="000000"/>
        </w:rPr>
        <w:t>証</w:t>
      </w:r>
      <w:proofErr w:type="gramEnd"/>
      <w:r>
        <w:rPr>
          <w:rFonts w:ascii="標楷體" w:eastAsia="標楷體" w:hAnsi="標楷體"/>
          <w:color w:val="000000"/>
        </w:rPr>
        <w:t>)。(109/8/1)</w:t>
      </w:r>
    </w:p>
    <w:p w14:paraId="1DE6E556"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(4)應先使用非類固醇類消炎止痛劑(NSAID)及疾病修飾治療藥物(DMARDs)，且必須曾使用過至少2種疾病修飾治療藥物(DMARDs)進行充分的治療，但療效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彰。(附表二十二之二)</w:t>
      </w:r>
    </w:p>
    <w:p w14:paraId="3DF8D13C"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.疾病修飾治療藥物</w:t>
      </w:r>
      <w:proofErr w:type="gramStart"/>
      <w:r>
        <w:rPr>
          <w:rFonts w:ascii="標楷體" w:eastAsia="標楷體" w:hAnsi="標楷體"/>
          <w:color w:val="000000"/>
        </w:rPr>
        <w:t>〔</w:t>
      </w:r>
      <w:proofErr w:type="gramEnd"/>
      <w:r>
        <w:rPr>
          <w:rFonts w:ascii="標楷體" w:eastAsia="標楷體" w:hAnsi="標楷體"/>
          <w:color w:val="000000"/>
        </w:rPr>
        <w:t>DMARDs包括下列四種: sulfasalazine、methotrexate (MTX)、cyclosporine、leflunomide</w:t>
      </w:r>
      <w:proofErr w:type="gramStart"/>
      <w:r>
        <w:rPr>
          <w:rFonts w:ascii="標楷體" w:eastAsia="標楷體" w:hAnsi="標楷體"/>
          <w:color w:val="000000"/>
        </w:rPr>
        <w:t>〕</w:t>
      </w:r>
      <w:proofErr w:type="gramEnd"/>
      <w:r>
        <w:rPr>
          <w:rFonts w:ascii="標楷體" w:eastAsia="標楷體" w:hAnsi="標楷體"/>
          <w:color w:val="000000"/>
        </w:rPr>
        <w:t>，治療至少六個月，且至少有兩個月都達標準目標劑量(除非有明顯副作用或毒性反應)，仍然未達療效者。</w:t>
      </w:r>
    </w:p>
    <w:p w14:paraId="0D7FBF18" w14:textId="6DBACD10"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ii.疾病</w:t>
      </w:r>
      <w:r w:rsidR="00DC4836" w:rsidRPr="00DC4836">
        <w:rPr>
          <w:rFonts w:ascii="標楷體" w:eastAsia="標楷體" w:hAnsi="標楷體" w:hint="eastAsia"/>
          <w:color w:val="000000"/>
        </w:rPr>
        <w:t>修飾治療藥物中sulfasalazine、methotrexate (MTX)、cyclosporine為第一線藥物，leflunomide為第二線藥物，第一線疾病修飾類藥物治療無效，應先經leflunomide治療3個月無效後，方可使用腫瘤壞死因子抑制劑或</w:t>
      </w:r>
      <w:proofErr w:type="spellStart"/>
      <w:r w:rsidR="00DC4836" w:rsidRPr="00DC4836">
        <w:rPr>
          <w:rFonts w:ascii="標楷體" w:eastAsia="標楷體" w:hAnsi="標楷體" w:hint="eastAsia"/>
          <w:color w:val="000000"/>
        </w:rPr>
        <w:t>secukinumab</w:t>
      </w:r>
      <w:proofErr w:type="spellEnd"/>
      <w:r w:rsidR="00DC4836" w:rsidRPr="00DC4836">
        <w:rPr>
          <w:rFonts w:ascii="標楷體" w:eastAsia="標楷體" w:hAnsi="標楷體" w:hint="eastAsia"/>
          <w:color w:val="000000"/>
        </w:rPr>
        <w:t xml:space="preserve"> 150mg、</w:t>
      </w:r>
      <w:proofErr w:type="spellStart"/>
      <w:r w:rsidR="00DC4836" w:rsidRPr="00DC4836">
        <w:rPr>
          <w:rFonts w:ascii="標楷體" w:eastAsia="標楷體" w:hAnsi="標楷體" w:hint="eastAsia"/>
          <w:color w:val="000000"/>
        </w:rPr>
        <w:t>ixekizumab</w:t>
      </w:r>
      <w:proofErr w:type="spellEnd"/>
      <w:r w:rsidR="00DC4836" w:rsidRPr="00DC4836">
        <w:rPr>
          <w:rFonts w:ascii="標楷體" w:eastAsia="標楷體" w:hAnsi="標楷體" w:hint="eastAsia"/>
          <w:color w:val="000000"/>
        </w:rPr>
        <w:t>或tofacitinib或</w:t>
      </w:r>
      <w:proofErr w:type="spellStart"/>
      <w:r w:rsidR="00DC4836" w:rsidRPr="00DC4836">
        <w:rPr>
          <w:rFonts w:ascii="標楷體" w:eastAsia="標楷體" w:hAnsi="標楷體" w:hint="eastAsia"/>
          <w:color w:val="000000"/>
        </w:rPr>
        <w:t>upadacitinib</w:t>
      </w:r>
      <w:proofErr w:type="spellEnd"/>
      <w:r w:rsidR="00DC4836" w:rsidRPr="00DC4836">
        <w:rPr>
          <w:rFonts w:ascii="標楷體" w:eastAsia="標楷體" w:hAnsi="標楷體" w:hint="eastAsia"/>
          <w:color w:val="000000"/>
        </w:rPr>
        <w:t>或</w:t>
      </w:r>
      <w:proofErr w:type="spellStart"/>
      <w:r w:rsidR="00DC4836" w:rsidRPr="00DC4836">
        <w:rPr>
          <w:rFonts w:ascii="標楷體" w:eastAsia="標楷體" w:hAnsi="標楷體" w:hint="eastAsia"/>
          <w:color w:val="000000"/>
        </w:rPr>
        <w:t>brodalumab</w:t>
      </w:r>
      <w:proofErr w:type="spellEnd"/>
      <w:r w:rsidR="00DC4836" w:rsidRPr="00DC4836">
        <w:rPr>
          <w:rFonts w:ascii="標楷體" w:eastAsia="標楷體" w:hAnsi="標楷體" w:hint="eastAsia"/>
          <w:color w:val="000000"/>
        </w:rPr>
        <w:t>或</w:t>
      </w:r>
      <w:proofErr w:type="spellStart"/>
      <w:r w:rsidR="00DC4836" w:rsidRPr="00DC4836">
        <w:rPr>
          <w:rFonts w:ascii="標楷體" w:eastAsia="標楷體" w:hAnsi="標楷體" w:hint="eastAsia"/>
          <w:color w:val="000000"/>
        </w:rPr>
        <w:t>bimekizumab</w:t>
      </w:r>
      <w:proofErr w:type="spellEnd"/>
      <w:r w:rsidR="00DC4836" w:rsidRPr="00DC4836">
        <w:rPr>
          <w:rFonts w:ascii="標楷體" w:eastAsia="標楷體" w:hAnsi="標楷體" w:hint="eastAsia"/>
          <w:color w:val="000000"/>
        </w:rPr>
        <w:t>作為第三線治療。原經事前審查符合apremilast藥品給付規定且已接受治療者，apremilast可視同為DMARDs第一線藥物。(107/1/1、109/6/1、112/3/1、112/4/1、112/12/1、115/5/1、115/8/1</w:t>
      </w:r>
      <w:r>
        <w:rPr>
          <w:rFonts w:ascii="標楷體" w:eastAsia="標楷體" w:hAnsi="標楷體"/>
          <w:color w:val="000000"/>
        </w:rPr>
        <w:t>)</w:t>
      </w:r>
    </w:p>
    <w:p w14:paraId="78D2BC7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iii.標準治療失敗之定義：經過充分使用以上藥物治療又給予規定劑量，且至少先後使用或</w:t>
      </w:r>
      <w:proofErr w:type="gramStart"/>
      <w:r>
        <w:rPr>
          <w:rFonts w:ascii="標楷體" w:eastAsia="標楷體" w:hAnsi="標楷體"/>
          <w:color w:val="000000"/>
        </w:rPr>
        <w:t>併</w:t>
      </w:r>
      <w:proofErr w:type="gramEnd"/>
      <w:r>
        <w:rPr>
          <w:rFonts w:ascii="標楷體" w:eastAsia="標楷體" w:hAnsi="標楷體"/>
          <w:color w:val="000000"/>
        </w:rPr>
        <w:t>用兩種疾病修飾類藥物(DMARDs)仍無法使病情緩解，即符合下列情況之</w:t>
      </w:r>
      <w:proofErr w:type="gramStart"/>
      <w:r>
        <w:rPr>
          <w:rFonts w:ascii="標楷體" w:eastAsia="標楷體" w:hAnsi="標楷體"/>
          <w:color w:val="000000"/>
        </w:rPr>
        <w:t>一</w:t>
      </w:r>
      <w:proofErr w:type="gramEnd"/>
      <w:r>
        <w:rPr>
          <w:rFonts w:ascii="標楷體" w:eastAsia="標楷體" w:hAnsi="標楷體"/>
          <w:color w:val="000000"/>
        </w:rPr>
        <w:t>：</w:t>
      </w:r>
    </w:p>
    <w:p w14:paraId="4794ABF2" w14:textId="77777777" w:rsidR="00AB55BC" w:rsidRDefault="00AB55BC" w:rsidP="00AB55BC">
      <w:pPr>
        <w:spacing w:line="300" w:lineRule="exact"/>
        <w:ind w:left="1702" w:hanging="284"/>
        <w:rPr>
          <w:rFonts w:ascii="標楷體" w:eastAsia="標楷體" w:hAnsi="標楷體"/>
          <w:color w:val="000000"/>
        </w:rPr>
      </w:pPr>
      <w:r>
        <w:rPr>
          <w:rFonts w:ascii="標楷體" w:eastAsia="標楷體" w:hAnsi="標楷體"/>
          <w:color w:val="000000"/>
        </w:rPr>
        <w:t>- 治療療程至少有六個月，且至少有兩個月都達標準目標劑量(除非有明顯副作用或毒性反應)仍然未達療效者。</w:t>
      </w:r>
    </w:p>
    <w:p w14:paraId="2D953BDB" w14:textId="77777777" w:rsidR="00AB55BC" w:rsidRDefault="00AB55BC" w:rsidP="00AB55BC">
      <w:pPr>
        <w:spacing w:line="300" w:lineRule="exact"/>
        <w:ind w:left="1702" w:hanging="284"/>
        <w:rPr>
          <w:rFonts w:ascii="標楷體" w:eastAsia="標楷體" w:hAnsi="標楷體"/>
          <w:color w:val="000000"/>
        </w:rPr>
      </w:pPr>
      <w:r>
        <w:rPr>
          <w:rFonts w:ascii="標楷體" w:eastAsia="標楷體" w:hAnsi="標楷體"/>
          <w:color w:val="000000"/>
        </w:rPr>
        <w:t>- 治療不到六個月，但是病患無法忍受藥物副作用或是藥物毒性而</w:t>
      </w:r>
      <w:proofErr w:type="gramStart"/>
      <w:r>
        <w:rPr>
          <w:rFonts w:ascii="標楷體" w:eastAsia="標楷體" w:hAnsi="標楷體"/>
          <w:color w:val="000000"/>
        </w:rPr>
        <w:t>停藥者</w:t>
      </w:r>
      <w:proofErr w:type="gramEnd"/>
      <w:r>
        <w:rPr>
          <w:rFonts w:ascii="標楷體" w:eastAsia="標楷體" w:hAnsi="標楷體"/>
          <w:color w:val="000000"/>
        </w:rPr>
        <w:t>，但需說明藥物之何種毒性或副作用。</w:t>
      </w:r>
    </w:p>
    <w:p w14:paraId="51260B56" w14:textId="77777777" w:rsidR="00AB55BC" w:rsidRDefault="00AB55BC" w:rsidP="00AB55BC">
      <w:pPr>
        <w:spacing w:line="300" w:lineRule="exact"/>
        <w:ind w:left="1702" w:hanging="284"/>
        <w:rPr>
          <w:rFonts w:ascii="標楷體" w:eastAsia="標楷體" w:hAnsi="標楷體"/>
          <w:color w:val="000000"/>
        </w:rPr>
      </w:pPr>
      <w:r>
        <w:rPr>
          <w:rFonts w:ascii="標楷體" w:eastAsia="標楷體" w:hAnsi="標楷體"/>
          <w:color w:val="000000"/>
        </w:rPr>
        <w:t>- 治療大於兩個月，且因無法忍受藥物副作用或是藥物毒性而停止療程，其中至少有兩個月需達有效治療劑量，且需說明藥物之何種毒性或副作用。</w:t>
      </w:r>
    </w:p>
    <w:p w14:paraId="3B8DC6B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(5)Ustekinumab、</w:t>
      </w:r>
      <w:proofErr w:type="spellStart"/>
      <w:r>
        <w:rPr>
          <w:rFonts w:ascii="標楷體" w:eastAsia="標楷體" w:hAnsi="標楷體"/>
          <w:color w:val="000000"/>
        </w:rPr>
        <w:t>guselkumab</w:t>
      </w:r>
      <w:proofErr w:type="spellEnd"/>
      <w:r>
        <w:rPr>
          <w:rFonts w:ascii="標楷體" w:eastAsia="標楷體" w:hAnsi="標楷體"/>
          <w:color w:val="000000"/>
        </w:rPr>
        <w:t>及</w:t>
      </w:r>
      <w:proofErr w:type="spellStart"/>
      <w:r>
        <w:rPr>
          <w:rFonts w:ascii="標楷體" w:eastAsia="標楷體" w:hAnsi="標楷體"/>
          <w:color w:val="000000"/>
        </w:rPr>
        <w:t>risankizumab</w:t>
      </w:r>
      <w:proofErr w:type="spellEnd"/>
      <w:r>
        <w:rPr>
          <w:rFonts w:ascii="標楷體" w:eastAsia="標楷體" w:hAnsi="標楷體"/>
          <w:color w:val="000000"/>
        </w:rPr>
        <w:t>限用於曾經接受抗腫瘤壞死因子(如etanercept、adalimumab或certolizumab等)、</w:t>
      </w:r>
      <w:proofErr w:type="spellStart"/>
      <w:r>
        <w:rPr>
          <w:rFonts w:ascii="標楷體" w:eastAsia="標楷體" w:hAnsi="標楷體"/>
          <w:color w:val="000000"/>
        </w:rPr>
        <w:t>secukinumab</w:t>
      </w:r>
      <w:proofErr w:type="spellEnd"/>
      <w:r>
        <w:rPr>
          <w:rFonts w:ascii="標楷體" w:eastAsia="標楷體" w:hAnsi="標楷體"/>
          <w:color w:val="000000"/>
        </w:rPr>
        <w:t>、</w:t>
      </w:r>
      <w:proofErr w:type="spellStart"/>
      <w:r>
        <w:rPr>
          <w:rFonts w:ascii="標楷體" w:eastAsia="標楷體" w:hAnsi="標楷體"/>
          <w:color w:val="000000"/>
        </w:rPr>
        <w:t>ixekizumab</w:t>
      </w:r>
      <w:proofErr w:type="spellEnd"/>
      <w:r>
        <w:rPr>
          <w:rFonts w:ascii="標楷體" w:eastAsia="標楷體" w:hAnsi="標楷體"/>
          <w:color w:val="000000"/>
        </w:rPr>
        <w:t>、tofacitinib、</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治療，但未達療效，或無法耐受的活動性</w:t>
      </w:r>
      <w:proofErr w:type="gramStart"/>
      <w:r>
        <w:rPr>
          <w:rFonts w:ascii="標楷體" w:eastAsia="標楷體" w:hAnsi="標楷體"/>
          <w:color w:val="000000"/>
        </w:rPr>
        <w:t>乾癬性關節炎</w:t>
      </w:r>
      <w:proofErr w:type="gramEnd"/>
      <w:r>
        <w:rPr>
          <w:rFonts w:ascii="標楷體" w:eastAsia="標楷體" w:hAnsi="標楷體"/>
          <w:color w:val="000000"/>
        </w:rPr>
        <w:t>。申請初次治療者，應檢附曾經使用抗腫瘤壞死因子、</w:t>
      </w:r>
      <w:proofErr w:type="spellStart"/>
      <w:r>
        <w:rPr>
          <w:rFonts w:ascii="標楷體" w:eastAsia="標楷體" w:hAnsi="標楷體"/>
          <w:color w:val="000000"/>
        </w:rPr>
        <w:t>secukinumab</w:t>
      </w:r>
      <w:proofErr w:type="spellEnd"/>
      <w:r>
        <w:rPr>
          <w:rFonts w:ascii="標楷體" w:eastAsia="標楷體" w:hAnsi="標楷體"/>
          <w:color w:val="000000"/>
        </w:rPr>
        <w:t>、tofacitinib、</w:t>
      </w:r>
      <w:proofErr w:type="spellStart"/>
      <w:r>
        <w:rPr>
          <w:rFonts w:ascii="標楷體" w:eastAsia="標楷體" w:hAnsi="標楷體"/>
          <w:color w:val="000000"/>
        </w:rPr>
        <w:t>ixekizumab</w:t>
      </w:r>
      <w:proofErr w:type="spellEnd"/>
      <w:r>
        <w:rPr>
          <w:rFonts w:ascii="標楷體" w:eastAsia="標楷體" w:hAnsi="標楷體"/>
          <w:color w:val="000000"/>
        </w:rPr>
        <w:t>、</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之用藥結果，包括種類、劑量、治療前後</w:t>
      </w:r>
      <w:proofErr w:type="spellStart"/>
      <w:r>
        <w:rPr>
          <w:rFonts w:ascii="標楷體" w:eastAsia="標楷體" w:hAnsi="標楷體"/>
          <w:color w:val="000000"/>
        </w:rPr>
        <w:t>PsARC</w:t>
      </w:r>
      <w:proofErr w:type="spellEnd"/>
      <w:r>
        <w:rPr>
          <w:rFonts w:ascii="標楷體" w:eastAsia="標楷體" w:hAnsi="標楷體"/>
          <w:color w:val="000000"/>
        </w:rPr>
        <w:t>評估及副作用報告等資料，並宜記錄患者HBsAg及Anti-HCV資料(若HBsAg檢驗為陽性，宜加作HBV DNA)。(105/10/1、107/1/1、109/3/1、109/6/1、111/3/1、111/5/1、111/9/1、112/4/1、112/12/1、114/2/1</w:t>
      </w:r>
      <w:r w:rsidRPr="00B6228A">
        <w:rPr>
          <w:rFonts w:ascii="標楷體" w:eastAsia="標楷體" w:hAnsi="標楷體" w:hint="eastAsia"/>
          <w:color w:val="000000"/>
        </w:rPr>
        <w:t>、115/5/1</w:t>
      </w:r>
      <w:r>
        <w:rPr>
          <w:rFonts w:ascii="標楷體" w:eastAsia="標楷體" w:hAnsi="標楷體"/>
          <w:color w:val="000000"/>
        </w:rPr>
        <w:t>)</w:t>
      </w:r>
    </w:p>
    <w:p w14:paraId="490D70F0"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4.使用劑量：</w:t>
      </w:r>
    </w:p>
    <w:p w14:paraId="23B276D7"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Secukinumab</w:t>
      </w:r>
      <w:proofErr w:type="spellEnd"/>
      <w:r>
        <w:rPr>
          <w:rFonts w:ascii="標楷體" w:eastAsia="標楷體" w:hAnsi="標楷體"/>
          <w:color w:val="000000"/>
        </w:rPr>
        <w:t>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後，若</w:t>
      </w:r>
      <w:proofErr w:type="spellStart"/>
      <w:r>
        <w:rPr>
          <w:rFonts w:ascii="標楷體" w:eastAsia="標楷體" w:hAnsi="標楷體"/>
          <w:color w:val="000000"/>
        </w:rPr>
        <w:t>secukinumb</w:t>
      </w:r>
      <w:proofErr w:type="spellEnd"/>
      <w:r>
        <w:rPr>
          <w:rFonts w:ascii="標楷體" w:eastAsia="標楷體" w:hAnsi="標楷體"/>
          <w:color w:val="000000"/>
        </w:rPr>
        <w:t xml:space="preserve"> 150mg 治療未達療效(參考底下第5點療效定義)的病人，劑量可增加為300mg。但對於曾以腫瘤壞死因子阻斷劑(anti-TNFα)未達療效，建議每次劑量為300mg，起始於第0，1，2，3和4</w:t>
      </w:r>
      <w:proofErr w:type="gramStart"/>
      <w:r>
        <w:rPr>
          <w:rFonts w:ascii="標楷體" w:eastAsia="標楷體" w:hAnsi="標楷體"/>
          <w:color w:val="000000"/>
        </w:rPr>
        <w:t>週</w:t>
      </w:r>
      <w:proofErr w:type="gramEnd"/>
      <w:r>
        <w:rPr>
          <w:rFonts w:ascii="標楷體" w:eastAsia="標楷體" w:hAnsi="標楷體"/>
          <w:color w:val="000000"/>
        </w:rPr>
        <w:t>皮下注射，之後每4</w:t>
      </w:r>
      <w:proofErr w:type="gramStart"/>
      <w:r>
        <w:rPr>
          <w:rFonts w:ascii="標楷體" w:eastAsia="標楷體" w:hAnsi="標楷體"/>
          <w:color w:val="000000"/>
        </w:rPr>
        <w:t>週</w:t>
      </w:r>
      <w:proofErr w:type="gramEnd"/>
      <w:r>
        <w:rPr>
          <w:rFonts w:ascii="標楷體" w:eastAsia="標楷體" w:hAnsi="標楷體"/>
          <w:color w:val="000000"/>
        </w:rPr>
        <w:t>給予300mg劑量。(107/1/1、112/3/1)</w:t>
      </w:r>
    </w:p>
    <w:p w14:paraId="1085CCCE"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Ixekizumab</w:t>
      </w:r>
      <w:proofErr w:type="spellEnd"/>
      <w:r>
        <w:rPr>
          <w:rFonts w:ascii="標楷體" w:eastAsia="標楷體" w:hAnsi="標楷體"/>
          <w:color w:val="000000"/>
        </w:rPr>
        <w:t xml:space="preserve"> 之起始劑量為第0</w:t>
      </w:r>
      <w:proofErr w:type="gramStart"/>
      <w:r>
        <w:rPr>
          <w:rFonts w:ascii="標楷體" w:eastAsia="標楷體" w:hAnsi="標楷體"/>
          <w:color w:val="000000"/>
        </w:rPr>
        <w:t>週</w:t>
      </w:r>
      <w:proofErr w:type="gramEnd"/>
      <w:r>
        <w:rPr>
          <w:rFonts w:ascii="標楷體" w:eastAsia="標楷體" w:hAnsi="標楷體"/>
          <w:color w:val="000000"/>
        </w:rPr>
        <w:t>160mg，之後每4</w:t>
      </w:r>
      <w:proofErr w:type="gramStart"/>
      <w:r>
        <w:rPr>
          <w:rFonts w:ascii="標楷體" w:eastAsia="標楷體" w:hAnsi="標楷體"/>
          <w:color w:val="000000"/>
        </w:rPr>
        <w:t>週</w:t>
      </w:r>
      <w:proofErr w:type="gramEnd"/>
      <w:r>
        <w:rPr>
          <w:rFonts w:ascii="標楷體" w:eastAsia="標楷體" w:hAnsi="標楷體"/>
          <w:color w:val="000000"/>
        </w:rPr>
        <w:t>給予80mg。(109/3/1、111/5/1)</w:t>
      </w:r>
    </w:p>
    <w:p w14:paraId="780EC53D"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(3)Certolizumab起始於第0</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與第4</w:t>
      </w:r>
      <w:proofErr w:type="gramStart"/>
      <w:r>
        <w:rPr>
          <w:rFonts w:ascii="標楷體" w:eastAsia="標楷體" w:hAnsi="標楷體"/>
          <w:color w:val="000000"/>
        </w:rPr>
        <w:t>週時投予各</w:t>
      </w:r>
      <w:proofErr w:type="gramEnd"/>
      <w:r>
        <w:rPr>
          <w:rFonts w:ascii="標楷體" w:eastAsia="標楷體" w:hAnsi="標楷體"/>
          <w:color w:val="000000"/>
        </w:rPr>
        <w:t>400 mg，之後維持劑量為每2</w:t>
      </w:r>
      <w:proofErr w:type="gramStart"/>
      <w:r>
        <w:rPr>
          <w:rFonts w:ascii="標楷體" w:eastAsia="標楷體" w:hAnsi="標楷體"/>
          <w:color w:val="000000"/>
        </w:rPr>
        <w:t>週</w:t>
      </w:r>
      <w:proofErr w:type="gramEnd"/>
      <w:r>
        <w:rPr>
          <w:rFonts w:ascii="標楷體" w:eastAsia="標楷體" w:hAnsi="標楷體"/>
          <w:color w:val="000000"/>
        </w:rPr>
        <w:t>200 mg或每4</w:t>
      </w:r>
      <w:proofErr w:type="gramStart"/>
      <w:r>
        <w:rPr>
          <w:rFonts w:ascii="標楷體" w:eastAsia="標楷體" w:hAnsi="標楷體"/>
          <w:color w:val="000000"/>
        </w:rPr>
        <w:t>週</w:t>
      </w:r>
      <w:proofErr w:type="gramEnd"/>
      <w:r>
        <w:rPr>
          <w:rFonts w:ascii="標楷體" w:eastAsia="標楷體" w:hAnsi="標楷體"/>
          <w:color w:val="000000"/>
        </w:rPr>
        <w:t>400mg。於懷孕哺乳期間若已接受其他生物製劑治療者，得改申請certolizumab。若症狀嚴重程度已符合生物製劑申請條件但尚未接受生物製劑</w:t>
      </w:r>
      <w:r>
        <w:rPr>
          <w:rFonts w:ascii="標楷體" w:eastAsia="標楷體" w:hAnsi="標楷體"/>
          <w:color w:val="000000"/>
        </w:rPr>
        <w:lastRenderedPageBreak/>
        <w:t>治療者，可不受傳統治療無效才得申請之限制，得於懷孕哺乳期申請certolizumab。(110/7/1)</w:t>
      </w:r>
    </w:p>
    <w:p w14:paraId="69B19D2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(4)</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 。(111/3/1)</w:t>
      </w:r>
    </w:p>
    <w:p w14:paraId="5DE70C3A"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w:t>
      </w:r>
      <w:proofErr w:type="spellStart"/>
      <w:r>
        <w:rPr>
          <w:rFonts w:ascii="標楷體" w:eastAsia="標楷體" w:hAnsi="標楷體"/>
          <w:color w:val="000000"/>
        </w:rPr>
        <w:t>Guselkumab</w:t>
      </w:r>
      <w:proofErr w:type="spellEnd"/>
      <w:r>
        <w:rPr>
          <w:rFonts w:ascii="標楷體" w:eastAsia="標楷體" w:hAnsi="標楷體"/>
          <w:color w:val="000000"/>
        </w:rPr>
        <w:t>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w:t>
      </w:r>
      <w:proofErr w:type="gramEnd"/>
      <w:r>
        <w:rPr>
          <w:rFonts w:ascii="標楷體" w:eastAsia="標楷體" w:hAnsi="標楷體"/>
          <w:color w:val="000000"/>
        </w:rPr>
        <w:t>給予維持劑量100mg。(111/9/1)</w:t>
      </w:r>
    </w:p>
    <w:p w14:paraId="03CD0137"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(6)Risankizumab之起始劑量為第0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150mg/mL，之後每12</w:t>
      </w:r>
      <w:proofErr w:type="gramStart"/>
      <w:r>
        <w:rPr>
          <w:rFonts w:ascii="標楷體" w:eastAsia="標楷體" w:hAnsi="標楷體"/>
          <w:color w:val="000000"/>
        </w:rPr>
        <w:t>週</w:t>
      </w:r>
      <w:proofErr w:type="gramEnd"/>
      <w:r>
        <w:rPr>
          <w:rFonts w:ascii="標楷體" w:eastAsia="標楷體" w:hAnsi="標楷體"/>
          <w:color w:val="000000"/>
        </w:rPr>
        <w:t>給予維持劑量150mg/mL。(114/2/1)</w:t>
      </w:r>
    </w:p>
    <w:p w14:paraId="1F920E71" w14:textId="14EA1DE0" w:rsidR="00AB55BC" w:rsidRPr="005A1EFB" w:rsidRDefault="00AB55BC" w:rsidP="005A1EFB">
      <w:pPr>
        <w:snapToGrid w:val="0"/>
        <w:spacing w:line="300" w:lineRule="exact"/>
        <w:ind w:leftChars="331" w:left="1274" w:hangingChars="200" w:hanging="480"/>
        <w:jc w:val="both"/>
        <w:rPr>
          <w:rFonts w:ascii="標楷體" w:eastAsia="標楷體" w:hAnsi="標楷體"/>
          <w:color w:val="000000"/>
        </w:rPr>
      </w:pPr>
      <w:r w:rsidRPr="00B6228A">
        <w:rPr>
          <w:rFonts w:ascii="標楷體" w:eastAsia="標楷體" w:hAnsi="標楷體" w:hint="eastAsia"/>
          <w:color w:val="000000"/>
        </w:rPr>
        <w:t>(7)</w:t>
      </w:r>
      <w:proofErr w:type="spellStart"/>
      <w:r w:rsidRPr="00B6228A">
        <w:rPr>
          <w:rFonts w:ascii="標楷體" w:eastAsia="標楷體" w:hAnsi="標楷體" w:hint="eastAsia"/>
          <w:color w:val="000000"/>
        </w:rPr>
        <w:t>Bimekizumab</w:t>
      </w:r>
      <w:proofErr w:type="spellEnd"/>
      <w:r w:rsidRPr="00B6228A">
        <w:rPr>
          <w:rFonts w:ascii="標楷體" w:eastAsia="標楷體" w:hAnsi="標楷體" w:hint="eastAsia"/>
          <w:color w:val="000000"/>
        </w:rPr>
        <w:t>每次使用劑量為160mg，每4</w:t>
      </w:r>
      <w:proofErr w:type="gramStart"/>
      <w:r w:rsidRPr="00B6228A">
        <w:rPr>
          <w:rFonts w:ascii="標楷體" w:eastAsia="標楷體" w:hAnsi="標楷體" w:hint="eastAsia"/>
          <w:color w:val="000000"/>
        </w:rPr>
        <w:t>週投予</w:t>
      </w:r>
      <w:proofErr w:type="gramEnd"/>
      <w:r w:rsidRPr="00B6228A">
        <w:rPr>
          <w:rFonts w:ascii="標楷體" w:eastAsia="標楷體" w:hAnsi="標楷體" w:hint="eastAsia"/>
          <w:color w:val="000000"/>
        </w:rPr>
        <w:t>160mg 劑量。(115/5/1)</w:t>
      </w:r>
    </w:p>
    <w:p w14:paraId="4140BD52"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5.療效評估與繼續使用：(105/10/1、111/9/1、114/2/1)</w:t>
      </w:r>
    </w:p>
    <w:p w14:paraId="6BABDC70"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(1)療效定義：治療12</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w:t>
      </w:r>
      <w:proofErr w:type="spellStart"/>
      <w:r>
        <w:rPr>
          <w:rFonts w:ascii="標楷體" w:eastAsia="標楷體" w:hAnsi="標楷體"/>
          <w:color w:val="000000"/>
        </w:rPr>
        <w:t>guselkumab</w:t>
      </w:r>
      <w:proofErr w:type="spellEnd"/>
      <w:r>
        <w:rPr>
          <w:rFonts w:ascii="標楷體" w:eastAsia="標楷體" w:hAnsi="標楷體"/>
          <w:color w:val="000000"/>
        </w:rPr>
        <w:t>及</w:t>
      </w:r>
      <w:proofErr w:type="spellStart"/>
      <w:r>
        <w:rPr>
          <w:rFonts w:ascii="標楷體" w:eastAsia="標楷體" w:hAnsi="標楷體"/>
          <w:color w:val="000000"/>
        </w:rPr>
        <w:t>risankizumab</w:t>
      </w:r>
      <w:proofErr w:type="spellEnd"/>
      <w:r>
        <w:rPr>
          <w:rFonts w:ascii="標楷體" w:eastAsia="標楷體" w:hAnsi="標楷體"/>
          <w:color w:val="000000"/>
        </w:rPr>
        <w:t>初次治療則為24</w:t>
      </w:r>
      <w:proofErr w:type="gramStart"/>
      <w:r>
        <w:rPr>
          <w:rFonts w:ascii="標楷體" w:eastAsia="標楷體" w:hAnsi="標楷體"/>
          <w:color w:val="000000"/>
        </w:rPr>
        <w:t>週</w:t>
      </w:r>
      <w:proofErr w:type="gramEnd"/>
      <w:r>
        <w:rPr>
          <w:rFonts w:ascii="標楷體" w:eastAsia="標楷體" w:hAnsi="標楷體"/>
          <w:color w:val="000000"/>
        </w:rPr>
        <w:t>)後，評估乾癬關節炎反應標準(</w:t>
      </w:r>
      <w:proofErr w:type="spellStart"/>
      <w:r>
        <w:rPr>
          <w:rFonts w:ascii="標楷體" w:eastAsia="標楷體" w:hAnsi="標楷體"/>
          <w:color w:val="000000"/>
        </w:rPr>
        <w:t>PsARC</w:t>
      </w:r>
      <w:proofErr w:type="spellEnd"/>
      <w:r>
        <w:rPr>
          <w:rFonts w:ascii="標楷體" w:eastAsia="標楷體" w:hAnsi="標楷體"/>
          <w:color w:val="000000"/>
        </w:rPr>
        <w:t>, Psoriatic Arthritis Response Criteria)，其標準為下列四項中至少有二項較原基礎值改善，且其中一項需為疼痛關節或腫脹關節的關節總數，且下述各種指標不得有任一項惡化，方得繼續使用。(附表二十二之三) (111/9/1、114/2/1)</w:t>
      </w:r>
    </w:p>
    <w:p w14:paraId="3B3492DF"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.疼痛關節的關節總數：改善的定義為關節總數減少30%或以上，惡化定義為總數增加30%或以上。</w:t>
      </w:r>
    </w:p>
    <w:p w14:paraId="6AF35B49"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ii.腫脹關節的關節總數：改善的定義為關節總數減少30%或以上，惡化定義為總數增加30%或以上。</w:t>
      </w:r>
    </w:p>
    <w:p w14:paraId="1501FD67"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iii.醫師的整體評估(0-5分)：改善定義為減少1分，惡化定義為增加1分。</w:t>
      </w:r>
    </w:p>
    <w:p w14:paraId="086311E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iv.病患的整體評估(0-5分)：改善定義為減少1分，惡化定義為增加1分。</w:t>
      </w:r>
    </w:p>
    <w:p w14:paraId="5BB21784"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(2)Ustekinumab：</w:t>
      </w:r>
    </w:p>
    <w:p w14:paraId="5A3D0BED"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.初次申請以3劑(初次、4</w:t>
      </w:r>
      <w:proofErr w:type="gramStart"/>
      <w:r>
        <w:rPr>
          <w:rFonts w:ascii="標楷體" w:eastAsia="標楷體" w:hAnsi="標楷體"/>
          <w:color w:val="000000"/>
        </w:rPr>
        <w:t>週</w:t>
      </w:r>
      <w:proofErr w:type="gramEnd"/>
      <w:r>
        <w:rPr>
          <w:rFonts w:ascii="標楷體" w:eastAsia="標楷體" w:hAnsi="標楷體"/>
          <w:color w:val="000000"/>
        </w:rPr>
        <w:t>後及16</w:t>
      </w:r>
      <w:proofErr w:type="gramStart"/>
      <w:r>
        <w:rPr>
          <w:rFonts w:ascii="標楷體" w:eastAsia="標楷體" w:hAnsi="標楷體"/>
          <w:color w:val="000000"/>
        </w:rPr>
        <w:t>週時投予每</w:t>
      </w:r>
      <w:proofErr w:type="gramEnd"/>
      <w:r>
        <w:rPr>
          <w:rFonts w:ascii="標楷體" w:eastAsia="標楷體" w:hAnsi="標楷體"/>
          <w:color w:val="000000"/>
        </w:rPr>
        <w:t>劑45mg；體重大於100公斤病患，得初次、4</w:t>
      </w:r>
      <w:proofErr w:type="gramStart"/>
      <w:r>
        <w:rPr>
          <w:rFonts w:ascii="標楷體" w:eastAsia="標楷體" w:hAnsi="標楷體"/>
          <w:color w:val="000000"/>
        </w:rPr>
        <w:t>週</w:t>
      </w:r>
      <w:proofErr w:type="gramEnd"/>
      <w:r>
        <w:rPr>
          <w:rFonts w:ascii="標楷體" w:eastAsia="標楷體" w:hAnsi="標楷體"/>
          <w:color w:val="000000"/>
        </w:rPr>
        <w:t>後及16</w:t>
      </w:r>
      <w:proofErr w:type="gramStart"/>
      <w:r>
        <w:rPr>
          <w:rFonts w:ascii="標楷體" w:eastAsia="標楷體" w:hAnsi="標楷體"/>
          <w:color w:val="000000"/>
        </w:rPr>
        <w:t>週時投予每</w:t>
      </w:r>
      <w:proofErr w:type="gramEnd"/>
      <w:r>
        <w:rPr>
          <w:rFonts w:ascii="標楷體" w:eastAsia="標楷體" w:hAnsi="標楷體"/>
          <w:color w:val="000000"/>
        </w:rPr>
        <w:t>劑90mg)為限，且於24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 xml:space="preserve">療效方可申請續用，續用以45mg q12w(體重大於100公斤，續用以90mg q12w)為限。(105/10/1、109/9/1) </w:t>
      </w:r>
    </w:p>
    <w:p w14:paraId="72FF6F4B"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ii.若使用劑量為90mg（含）以上，限使用90mg(1mL)規格量。(109/9/1)</w:t>
      </w:r>
    </w:p>
    <w:p w14:paraId="4C5D752D"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Guselkumab</w:t>
      </w:r>
      <w:proofErr w:type="spellEnd"/>
      <w:r>
        <w:rPr>
          <w:rFonts w:ascii="標楷體" w:eastAsia="標楷體" w:hAnsi="標楷體"/>
          <w:color w:val="000000"/>
        </w:rPr>
        <w:t>：初次申請以4劑(初次、第4</w:t>
      </w:r>
      <w:proofErr w:type="gramStart"/>
      <w:r>
        <w:rPr>
          <w:rFonts w:ascii="標楷體" w:eastAsia="標楷體" w:hAnsi="標楷體"/>
          <w:color w:val="000000"/>
        </w:rPr>
        <w:t>週</w:t>
      </w:r>
      <w:proofErr w:type="gramEnd"/>
      <w:r>
        <w:rPr>
          <w:rFonts w:ascii="標楷體" w:eastAsia="標楷體" w:hAnsi="標楷體"/>
          <w:color w:val="000000"/>
        </w:rPr>
        <w:t>、第12</w:t>
      </w:r>
      <w:proofErr w:type="gramStart"/>
      <w:r>
        <w:rPr>
          <w:rFonts w:ascii="標楷體" w:eastAsia="標楷體" w:hAnsi="標楷體"/>
          <w:color w:val="000000"/>
        </w:rPr>
        <w:t>週</w:t>
      </w:r>
      <w:proofErr w:type="gramEnd"/>
      <w:r>
        <w:rPr>
          <w:rFonts w:ascii="標楷體" w:eastAsia="標楷體" w:hAnsi="標楷體"/>
          <w:color w:val="000000"/>
        </w:rPr>
        <w:t>及第20</w:t>
      </w:r>
      <w:proofErr w:type="gramStart"/>
      <w:r>
        <w:rPr>
          <w:rFonts w:ascii="標楷體" w:eastAsia="標楷體" w:hAnsi="標楷體"/>
          <w:color w:val="000000"/>
        </w:rPr>
        <w:t>週時投予每</w:t>
      </w:r>
      <w:proofErr w:type="gramEnd"/>
      <w:r>
        <w:rPr>
          <w:rFonts w:ascii="標楷體" w:eastAsia="標楷體" w:hAnsi="標楷體"/>
          <w:color w:val="000000"/>
        </w:rPr>
        <w:t>劑100mg)為限，且於第24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療效方可申請續用，續用以每隔8</w:t>
      </w:r>
      <w:proofErr w:type="gramStart"/>
      <w:r>
        <w:rPr>
          <w:rFonts w:ascii="標楷體" w:eastAsia="標楷體" w:hAnsi="標楷體"/>
          <w:color w:val="000000"/>
        </w:rPr>
        <w:t>週</w:t>
      </w:r>
      <w:proofErr w:type="gramEnd"/>
      <w:r>
        <w:rPr>
          <w:rFonts w:ascii="標楷體" w:eastAsia="標楷體" w:hAnsi="標楷體"/>
          <w:color w:val="000000"/>
        </w:rPr>
        <w:t>給予維持劑量100mg為限。(111/9/1)</w:t>
      </w:r>
    </w:p>
    <w:p w14:paraId="38650C9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(4)Risankizumab：初次申請以3劑 (初次、第4</w:t>
      </w:r>
      <w:proofErr w:type="gramStart"/>
      <w:r>
        <w:rPr>
          <w:rFonts w:ascii="標楷體" w:eastAsia="標楷體" w:hAnsi="標楷體"/>
          <w:color w:val="000000"/>
        </w:rPr>
        <w:t>週</w:t>
      </w:r>
      <w:proofErr w:type="gramEnd"/>
      <w:r>
        <w:rPr>
          <w:rFonts w:ascii="標楷體" w:eastAsia="標楷體" w:hAnsi="標楷體"/>
          <w:color w:val="000000"/>
        </w:rPr>
        <w:t>及第16</w:t>
      </w:r>
      <w:proofErr w:type="gramStart"/>
      <w:r>
        <w:rPr>
          <w:rFonts w:ascii="標楷體" w:eastAsia="標楷體" w:hAnsi="標楷體"/>
          <w:color w:val="000000"/>
        </w:rPr>
        <w:t>週時投予每</w:t>
      </w:r>
      <w:proofErr w:type="gramEnd"/>
      <w:r>
        <w:rPr>
          <w:rFonts w:ascii="標楷體" w:eastAsia="標楷體" w:hAnsi="標楷體"/>
          <w:color w:val="000000"/>
        </w:rPr>
        <w:t>劑150mg/mL)為限，且於第24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療效方可申請續用，續用以每隔12</w:t>
      </w:r>
      <w:proofErr w:type="gramStart"/>
      <w:r>
        <w:rPr>
          <w:rFonts w:ascii="標楷體" w:eastAsia="標楷體" w:hAnsi="標楷體"/>
          <w:color w:val="000000"/>
        </w:rPr>
        <w:t>週</w:t>
      </w:r>
      <w:proofErr w:type="gramEnd"/>
      <w:r>
        <w:rPr>
          <w:rFonts w:ascii="標楷體" w:eastAsia="標楷體" w:hAnsi="標楷體"/>
          <w:color w:val="000000"/>
        </w:rPr>
        <w:t>給予維持劑量150mg/mL為限。(114/2/1)</w:t>
      </w:r>
    </w:p>
    <w:p w14:paraId="17A12DD7"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評估一次，再次提出申請續用；惟</w:t>
      </w:r>
      <w:proofErr w:type="spellStart"/>
      <w:r>
        <w:rPr>
          <w:rFonts w:ascii="標楷體" w:eastAsia="標楷體" w:hAnsi="標楷體"/>
          <w:color w:val="000000"/>
        </w:rPr>
        <w:t>guselkumab</w:t>
      </w:r>
      <w:proofErr w:type="spellEnd"/>
      <w:r>
        <w:rPr>
          <w:rFonts w:ascii="標楷體" w:eastAsia="標楷體" w:hAnsi="標楷體"/>
          <w:color w:val="000000"/>
        </w:rPr>
        <w:t>每16</w:t>
      </w:r>
      <w:proofErr w:type="gramStart"/>
      <w:r>
        <w:rPr>
          <w:rFonts w:ascii="標楷體" w:eastAsia="標楷體" w:hAnsi="標楷體"/>
          <w:color w:val="000000"/>
        </w:rPr>
        <w:t>週</w:t>
      </w:r>
      <w:proofErr w:type="gramEnd"/>
      <w:r>
        <w:rPr>
          <w:rFonts w:ascii="標楷體" w:eastAsia="標楷體" w:hAnsi="標楷體"/>
          <w:color w:val="000000"/>
        </w:rPr>
        <w:t>評估一次、</w:t>
      </w:r>
      <w:proofErr w:type="spellStart"/>
      <w:r>
        <w:rPr>
          <w:rFonts w:ascii="標楷體" w:eastAsia="標楷體" w:hAnsi="標楷體"/>
          <w:color w:val="000000"/>
        </w:rPr>
        <w:t>risankizumab</w:t>
      </w:r>
      <w:proofErr w:type="spellEnd"/>
      <w:r>
        <w:rPr>
          <w:rFonts w:ascii="標楷體" w:eastAsia="標楷體" w:hAnsi="標楷體"/>
          <w:color w:val="000000"/>
        </w:rPr>
        <w:t>每24</w:t>
      </w:r>
      <w:proofErr w:type="gramStart"/>
      <w:r>
        <w:rPr>
          <w:rFonts w:ascii="標楷體" w:eastAsia="標楷體" w:hAnsi="標楷體"/>
          <w:color w:val="000000"/>
        </w:rPr>
        <w:t>週</w:t>
      </w:r>
      <w:proofErr w:type="gramEnd"/>
      <w:r>
        <w:rPr>
          <w:rFonts w:ascii="標楷體" w:eastAsia="標楷體" w:hAnsi="標楷體"/>
          <w:color w:val="000000"/>
        </w:rPr>
        <w:t>評估一次，再次提出申請續用。(111/9/1、114/2/1)。</w:t>
      </w:r>
    </w:p>
    <w:p w14:paraId="1D6845EF"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6.需排除使用的情形：</w:t>
      </w:r>
    </w:p>
    <w:p w14:paraId="444F977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w:t>
      </w:r>
      <w:proofErr w:type="gramStart"/>
      <w:r>
        <w:rPr>
          <w:rFonts w:ascii="標楷體" w:eastAsia="標楷體" w:hAnsi="標楷體"/>
          <w:color w:val="000000"/>
        </w:rPr>
        <w:t>﹝</w:t>
      </w:r>
      <w:proofErr w:type="gramEnd"/>
      <w:r>
        <w:rPr>
          <w:rFonts w:ascii="標楷體" w:eastAsia="標楷體" w:hAnsi="標楷體"/>
          <w:color w:val="000000"/>
        </w:rPr>
        <w:t>以下未列者參照仿單所載</w:t>
      </w:r>
      <w:proofErr w:type="gramStart"/>
      <w:r>
        <w:rPr>
          <w:rFonts w:ascii="標楷體" w:eastAsia="標楷體" w:hAnsi="標楷體"/>
          <w:color w:val="000000"/>
        </w:rPr>
        <w:t>﹞</w:t>
      </w:r>
      <w:proofErr w:type="gramEnd"/>
      <w:r>
        <w:rPr>
          <w:rFonts w:ascii="標楷體" w:eastAsia="標楷體" w:hAnsi="標楷體"/>
          <w:color w:val="000000"/>
        </w:rPr>
        <w:t>：</w:t>
      </w:r>
    </w:p>
    <w:p w14:paraId="3C72D8E5"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正在授乳婦女</w:t>
      </w:r>
      <w:proofErr w:type="gramEnd"/>
      <w:r>
        <w:rPr>
          <w:rFonts w:ascii="標楷體" w:eastAsia="標楷體" w:hAnsi="標楷體"/>
          <w:color w:val="000000"/>
        </w:rPr>
        <w:t>(certolizumab除外) (110/7/1)</w:t>
      </w:r>
    </w:p>
    <w:p w14:paraId="1CF79E2A"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(2)活動性感染症之病患</w:t>
      </w:r>
    </w:p>
    <w:p w14:paraId="627B63FC"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(3)具高度感染機會之病患</w:t>
      </w:r>
    </w:p>
    <w:p w14:paraId="32B79343"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47994D9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5F41F13E"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iii.過去12個月內曾</w:t>
      </w:r>
      <w:proofErr w:type="gramStart"/>
      <w:r>
        <w:rPr>
          <w:rFonts w:ascii="標楷體" w:eastAsia="標楷體" w:hAnsi="標楷體"/>
          <w:color w:val="000000"/>
        </w:rPr>
        <w:t>罹</w:t>
      </w:r>
      <w:proofErr w:type="gramEnd"/>
      <w:r>
        <w:rPr>
          <w:rFonts w:ascii="標楷體" w:eastAsia="標楷體" w:hAnsi="標楷體"/>
          <w:color w:val="000000"/>
        </w:rPr>
        <w:t>患感染性關節炎者</w:t>
      </w:r>
    </w:p>
    <w:p w14:paraId="7FD0C67D"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iv.曾有人工關節感染，若該人工關節未去除前，不可使用v.頑固性或復發性的胸腔感染疾病</w:t>
      </w:r>
    </w:p>
    <w:p w14:paraId="075BA9FE"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vi.具有留置導尿管之情形</w:t>
      </w:r>
    </w:p>
    <w:p w14:paraId="62951D0F"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lastRenderedPageBreak/>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w:t>
      </w:r>
      <w:proofErr w:type="gramStart"/>
      <w:r>
        <w:rPr>
          <w:rFonts w:ascii="標楷體" w:eastAsia="標楷體" w:hAnsi="標楷體"/>
          <w:color w:val="000000"/>
        </w:rPr>
        <w:t>﹝</w:t>
      </w:r>
      <w:proofErr w:type="gramEnd"/>
      <w:r>
        <w:rPr>
          <w:rFonts w:ascii="標楷體" w:eastAsia="標楷體" w:hAnsi="標楷體"/>
          <w:color w:val="000000"/>
        </w:rPr>
        <w:t>但不包括已經接受過充分治療達10年以上的惡性腫瘤</w:t>
      </w:r>
      <w:proofErr w:type="gramStart"/>
      <w:r>
        <w:rPr>
          <w:rFonts w:ascii="標楷體" w:eastAsia="標楷體" w:hAnsi="標楷體"/>
          <w:color w:val="000000"/>
        </w:rPr>
        <w:t>﹞</w:t>
      </w:r>
      <w:proofErr w:type="gramEnd"/>
    </w:p>
    <w:p w14:paraId="0D88B39A"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(5)多發性硬化症 (multiple sclerosis)</w:t>
      </w:r>
    </w:p>
    <w:p w14:paraId="505EC4AE"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7.需停止治療的情形</w:t>
      </w:r>
    </w:p>
    <w:p w14:paraId="5EAC27B8"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0D7C95E3"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7F8EE95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289AEAE7"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5A32653A"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5A623C95"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iii.懷孕(certolizumab除外，其他暫時停藥即可)(110/7/1)</w:t>
      </w:r>
    </w:p>
    <w:p w14:paraId="05BB0A28"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iv.嚴重感染症</w:t>
      </w:r>
      <w:proofErr w:type="gramStart"/>
      <w:r>
        <w:rPr>
          <w:rFonts w:ascii="標楷體" w:eastAsia="標楷體" w:hAnsi="標楷體"/>
          <w:color w:val="000000"/>
        </w:rPr>
        <w:t>﹝</w:t>
      </w:r>
      <w:proofErr w:type="gramEnd"/>
      <w:r>
        <w:rPr>
          <w:rFonts w:ascii="標楷體" w:eastAsia="標楷體" w:hAnsi="標楷體"/>
          <w:color w:val="000000"/>
        </w:rPr>
        <w:t>依嚴重性判斷可選擇暫時停藥</w:t>
      </w:r>
      <w:proofErr w:type="gramStart"/>
      <w:r>
        <w:rPr>
          <w:rFonts w:ascii="標楷體" w:eastAsia="標楷體" w:hAnsi="標楷體"/>
          <w:color w:val="000000"/>
        </w:rPr>
        <w:t>﹞</w:t>
      </w:r>
      <w:proofErr w:type="gramEnd"/>
    </w:p>
    <w:p w14:paraId="738154D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w:t>
      </w:r>
      <w:proofErr w:type="gramStart"/>
      <w:r>
        <w:rPr>
          <w:rFonts w:ascii="標楷體" w:eastAsia="標楷體" w:hAnsi="標楷體"/>
          <w:color w:val="000000"/>
        </w:rPr>
        <w:t>一</w:t>
      </w:r>
      <w:proofErr w:type="gramEnd"/>
      <w:r>
        <w:rPr>
          <w:rFonts w:ascii="標楷體" w:eastAsia="標楷體" w:hAnsi="標楷體"/>
          <w:color w:val="000000"/>
        </w:rPr>
        <w:t>：全民健康保險</w:t>
      </w:r>
      <w:proofErr w:type="gramStart"/>
      <w:r>
        <w:rPr>
          <w:rFonts w:ascii="標楷體" w:eastAsia="標楷體" w:hAnsi="標楷體"/>
          <w:color w:val="000000"/>
        </w:rPr>
        <w:t>乾癬性周邊</w:t>
      </w:r>
      <w:proofErr w:type="gramEnd"/>
      <w:r>
        <w:rPr>
          <w:rFonts w:ascii="標楷體" w:eastAsia="標楷體" w:hAnsi="標楷體"/>
          <w:color w:val="000000"/>
        </w:rPr>
        <w:t>關節炎使用生物製劑申請表(109/3/1)</w:t>
      </w:r>
    </w:p>
    <w:p w14:paraId="43A040FA"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◎附表二十二之二：</w:t>
      </w:r>
      <w:proofErr w:type="gramStart"/>
      <w:r>
        <w:rPr>
          <w:rFonts w:ascii="標楷體" w:eastAsia="標楷體" w:hAnsi="標楷體"/>
          <w:color w:val="000000"/>
        </w:rPr>
        <w:t>乾癬性周邊</w:t>
      </w:r>
      <w:proofErr w:type="gramEnd"/>
      <w:r>
        <w:rPr>
          <w:rFonts w:ascii="標楷體" w:eastAsia="標楷體" w:hAnsi="標楷體"/>
          <w:color w:val="000000"/>
        </w:rPr>
        <w:t>關節炎使用DMARDs標準目標劑量及有效治療劑量的定義</w:t>
      </w:r>
    </w:p>
    <w:p w14:paraId="75E98950"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w:t>
      </w:r>
      <w:proofErr w:type="gramStart"/>
      <w:r>
        <w:rPr>
          <w:rFonts w:ascii="標楷體" w:eastAsia="標楷體" w:hAnsi="標楷體"/>
          <w:color w:val="000000"/>
        </w:rPr>
        <w:t>三</w:t>
      </w:r>
      <w:proofErr w:type="gramEnd"/>
      <w:r>
        <w:rPr>
          <w:rFonts w:ascii="標楷體" w:eastAsia="標楷體" w:hAnsi="標楷體"/>
          <w:color w:val="000000"/>
        </w:rPr>
        <w:t>：</w:t>
      </w:r>
      <w:proofErr w:type="gramStart"/>
      <w:r>
        <w:rPr>
          <w:rFonts w:ascii="標楷體" w:eastAsia="標楷體" w:hAnsi="標楷體"/>
          <w:color w:val="000000"/>
        </w:rPr>
        <w:t>乾癬性關節炎</w:t>
      </w:r>
      <w:proofErr w:type="gramEnd"/>
      <w:r>
        <w:rPr>
          <w:rFonts w:ascii="標楷體" w:eastAsia="標楷體" w:hAnsi="標楷體"/>
          <w:color w:val="000000"/>
        </w:rPr>
        <w:t>評估表</w:t>
      </w:r>
    </w:p>
    <w:p w14:paraId="4E082E7C" w14:textId="1B45C1BE" w:rsidR="00401786"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◎附表二十二之六：全民健康保險</w:t>
      </w:r>
      <w:proofErr w:type="gramStart"/>
      <w:r>
        <w:rPr>
          <w:rFonts w:ascii="標楷體" w:eastAsia="標楷體" w:hAnsi="標楷體"/>
          <w:color w:val="000000"/>
        </w:rPr>
        <w:t>乾癬性周邊</w:t>
      </w:r>
      <w:proofErr w:type="gramEnd"/>
      <w:r>
        <w:rPr>
          <w:rFonts w:ascii="標楷體" w:eastAsia="標楷體" w:hAnsi="標楷體"/>
          <w:color w:val="000000"/>
        </w:rPr>
        <w:t xml:space="preserve">關節炎使用 </w:t>
      </w:r>
      <w:proofErr w:type="spellStart"/>
      <w:r>
        <w:rPr>
          <w:rFonts w:ascii="標楷體" w:eastAsia="標楷體" w:hAnsi="標楷體"/>
          <w:color w:val="000000"/>
        </w:rPr>
        <w:t>ustekinumab</w:t>
      </w:r>
      <w:proofErr w:type="spellEnd"/>
      <w:r>
        <w:rPr>
          <w:rFonts w:ascii="標楷體" w:eastAsia="標楷體" w:hAnsi="標楷體"/>
          <w:color w:val="000000"/>
        </w:rPr>
        <w:t>/</w:t>
      </w:r>
      <w:proofErr w:type="spellStart"/>
      <w:r>
        <w:rPr>
          <w:rFonts w:ascii="標楷體" w:eastAsia="標楷體" w:hAnsi="標楷體"/>
          <w:color w:val="000000"/>
        </w:rPr>
        <w:t>guselkumab</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申請表(109/3/1、111/3/1、111/5/1、111/9/1、112/12/1、114/2/1)</w:t>
      </w:r>
    </w:p>
    <w:p w14:paraId="6624DB89" w14:textId="77777777" w:rsidR="009111AF" w:rsidRDefault="009111AF" w:rsidP="009111AF">
      <w:pPr>
        <w:spacing w:line="300" w:lineRule="exact"/>
        <w:ind w:left="672" w:hanging="386"/>
        <w:rPr>
          <w:rFonts w:ascii="標楷體" w:eastAsia="標楷體" w:hAnsi="標楷體"/>
          <w:color w:val="000000"/>
        </w:rPr>
      </w:pPr>
      <w:r>
        <w:rPr>
          <w:rFonts w:ascii="標楷體" w:eastAsia="標楷體" w:hAnsi="標楷體"/>
          <w:color w:val="000000"/>
        </w:rPr>
        <w:t>8.2.4.5.Adalimumab（如Humira）;etanercept(如Enbrel)；golimumab（如Simponi）；</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(如Taltz)；tofacitinib(如Xeljanz)；certolizumab(如Cimzia)；</w:t>
      </w:r>
      <w:proofErr w:type="spellStart"/>
      <w:r>
        <w:rPr>
          <w:rFonts w:ascii="標楷體" w:eastAsia="標楷體" w:hAnsi="標楷體"/>
          <w:color w:val="000000"/>
        </w:rPr>
        <w:t>guselkumab</w:t>
      </w:r>
      <w:proofErr w:type="spellEnd"/>
      <w:r>
        <w:rPr>
          <w:rFonts w:ascii="標楷體" w:eastAsia="標楷體" w:hAnsi="標楷體"/>
          <w:color w:val="000000"/>
        </w:rPr>
        <w:t>(如Tremfya)；</w:t>
      </w:r>
      <w:proofErr w:type="spellStart"/>
      <w:r>
        <w:rPr>
          <w:rFonts w:ascii="標楷體" w:eastAsia="標楷體" w:hAnsi="標楷體"/>
          <w:color w:val="000000"/>
        </w:rPr>
        <w:t>upadacitinib</w:t>
      </w:r>
      <w:proofErr w:type="spellEnd"/>
      <w:r>
        <w:rPr>
          <w:rFonts w:ascii="標楷體" w:eastAsia="標楷體" w:hAnsi="標楷體"/>
          <w:color w:val="000000"/>
        </w:rPr>
        <w:t>(如</w:t>
      </w:r>
      <w:proofErr w:type="spellStart"/>
      <w:r>
        <w:rPr>
          <w:rFonts w:ascii="標楷體" w:eastAsia="標楷體" w:hAnsi="標楷體"/>
          <w:color w:val="000000"/>
        </w:rPr>
        <w:t>Rinvoq</w:t>
      </w:r>
      <w:proofErr w:type="spellEnd"/>
      <w:r>
        <w:rPr>
          <w:rFonts w:ascii="標楷體" w:eastAsia="標楷體" w:hAnsi="標楷體"/>
          <w:color w:val="000000"/>
        </w:rPr>
        <w:t>)；</w:t>
      </w:r>
      <w:proofErr w:type="spellStart"/>
      <w:r>
        <w:rPr>
          <w:rFonts w:ascii="標楷體" w:eastAsia="標楷體" w:hAnsi="標楷體"/>
          <w:color w:val="000000"/>
        </w:rPr>
        <w:t>brodalumab</w:t>
      </w:r>
      <w:proofErr w:type="spellEnd"/>
      <w:r>
        <w:rPr>
          <w:rFonts w:ascii="標楷體" w:eastAsia="標楷體" w:hAnsi="標楷體"/>
          <w:color w:val="000000"/>
        </w:rPr>
        <w:t xml:space="preserve"> (如</w:t>
      </w:r>
      <w:proofErr w:type="spellStart"/>
      <w:r>
        <w:rPr>
          <w:rFonts w:ascii="標楷體" w:eastAsia="標楷體" w:hAnsi="標楷體"/>
          <w:color w:val="000000"/>
        </w:rPr>
        <w:t>Lumicef</w:t>
      </w:r>
      <w:proofErr w:type="spellEnd"/>
      <w:r>
        <w:rPr>
          <w:rFonts w:ascii="標楷體" w:eastAsia="標楷體" w:hAnsi="標楷體"/>
          <w:color w:val="000000"/>
        </w:rPr>
        <w:t>) ；</w:t>
      </w:r>
      <w:proofErr w:type="spellStart"/>
      <w:r>
        <w:rPr>
          <w:rFonts w:ascii="標楷體" w:eastAsia="標楷體" w:hAnsi="標楷體"/>
          <w:color w:val="000000"/>
        </w:rPr>
        <w:t>risankizumab</w:t>
      </w:r>
      <w:proofErr w:type="spellEnd"/>
      <w:r>
        <w:rPr>
          <w:rFonts w:ascii="標楷體" w:eastAsia="標楷體" w:hAnsi="標楷體"/>
          <w:color w:val="000000"/>
        </w:rPr>
        <w:t xml:space="preserve"> (如</w:t>
      </w:r>
      <w:proofErr w:type="spellStart"/>
      <w:r>
        <w:rPr>
          <w:rFonts w:ascii="標楷體" w:eastAsia="標楷體" w:hAnsi="標楷體"/>
          <w:color w:val="000000"/>
        </w:rPr>
        <w:t>Skyrizi</w:t>
      </w:r>
      <w:proofErr w:type="spellEnd"/>
      <w:r>
        <w:rPr>
          <w:rFonts w:ascii="標楷體" w:eastAsia="標楷體" w:hAnsi="標楷體"/>
          <w:color w:val="000000"/>
        </w:rPr>
        <w:t>)</w:t>
      </w:r>
      <w:r w:rsidRPr="00B6228A">
        <w:rPr>
          <w:rFonts w:ascii="標楷體" w:eastAsia="標楷體" w:hAnsi="標楷體" w:hint="eastAsia"/>
          <w:szCs w:val="24"/>
        </w:rPr>
        <w:t>；</w:t>
      </w:r>
      <w:proofErr w:type="spellStart"/>
      <w:r w:rsidRPr="00B6228A">
        <w:rPr>
          <w:rFonts w:ascii="標楷體" w:eastAsia="標楷體" w:hAnsi="標楷體" w:hint="eastAsia"/>
          <w:szCs w:val="24"/>
        </w:rPr>
        <w:t>bimekizumab</w:t>
      </w:r>
      <w:proofErr w:type="spellEnd"/>
      <w:r w:rsidRPr="00B6228A">
        <w:rPr>
          <w:rFonts w:ascii="標楷體" w:eastAsia="標楷體" w:hAnsi="標楷體" w:hint="eastAsia"/>
          <w:szCs w:val="24"/>
        </w:rPr>
        <w:t>（如</w:t>
      </w:r>
      <w:proofErr w:type="spellStart"/>
      <w:r w:rsidRPr="00B6228A">
        <w:rPr>
          <w:rFonts w:ascii="標楷體" w:eastAsia="標楷體" w:hAnsi="標楷體" w:hint="eastAsia"/>
          <w:szCs w:val="24"/>
        </w:rPr>
        <w:t>Bimzelx</w:t>
      </w:r>
      <w:proofErr w:type="spellEnd"/>
      <w:r w:rsidRPr="00B6228A">
        <w:rPr>
          <w:rFonts w:ascii="標楷體" w:eastAsia="標楷體" w:hAnsi="標楷體" w:hint="eastAsia"/>
          <w:szCs w:val="24"/>
        </w:rPr>
        <w:t>）</w:t>
      </w:r>
      <w:r>
        <w:rPr>
          <w:rFonts w:ascii="標楷體" w:eastAsia="標楷體" w:hAnsi="標楷體" w:hint="eastAsia"/>
          <w:szCs w:val="24"/>
        </w:rPr>
        <w:t xml:space="preserve"> </w:t>
      </w:r>
      <w:r>
        <w:rPr>
          <w:rFonts w:ascii="標楷體" w:eastAsia="標楷體" w:hAnsi="標楷體"/>
          <w:color w:val="000000"/>
        </w:rPr>
        <w:t>(98/8/1、98/11/1、99/1/1、102/1/1、102/2/1、107/1/1、109/3/1、109/6/1、110/7/1、111/9/1、112/3/1、112/4/1、112/12/1、114/2/1</w:t>
      </w:r>
      <w:r w:rsidRPr="00B6228A">
        <w:rPr>
          <w:rFonts w:ascii="標楷體" w:eastAsia="標楷體" w:hAnsi="標楷體" w:hint="eastAsia"/>
          <w:color w:val="000000"/>
        </w:rPr>
        <w:t>、115/5/1</w:t>
      </w:r>
      <w:r>
        <w:rPr>
          <w:rFonts w:ascii="標楷體" w:eastAsia="標楷體" w:hAnsi="標楷體"/>
          <w:color w:val="000000"/>
        </w:rPr>
        <w:t>)：用於活動性乾</w:t>
      </w:r>
      <w:proofErr w:type="gramStart"/>
      <w:r>
        <w:rPr>
          <w:rFonts w:ascii="標楷體" w:eastAsia="標楷體" w:hAnsi="標楷體"/>
          <w:color w:val="000000"/>
        </w:rPr>
        <w:t>癬性關節炎－乾癬性</w:t>
      </w:r>
      <w:proofErr w:type="gramEnd"/>
      <w:r>
        <w:rPr>
          <w:rFonts w:ascii="標楷體" w:eastAsia="標楷體" w:hAnsi="標楷體"/>
          <w:color w:val="000000"/>
        </w:rPr>
        <w:t>脊椎病變治療部分</w:t>
      </w:r>
    </w:p>
    <w:p w14:paraId="2F0703A4"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1.限內科專科醫師且具有風濕或免疫專科醫師證書者，或皮膚科專科醫師處方。（99/1/ 1）</w:t>
      </w:r>
    </w:p>
    <w:p w14:paraId="3B23817F"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2.需經事前審查核准後使用。 </w:t>
      </w:r>
    </w:p>
    <w:p w14:paraId="5C2BB396"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3.需符合下列所有條件方可使用腫瘤壞死因子抑制劑或</w:t>
      </w:r>
      <w:proofErr w:type="spellStart"/>
      <w:r>
        <w:rPr>
          <w:rFonts w:ascii="標楷體" w:eastAsia="標楷體" w:hAnsi="標楷體"/>
          <w:color w:val="000000"/>
        </w:rPr>
        <w:t>secukinumab</w:t>
      </w:r>
      <w:proofErr w:type="spellEnd"/>
      <w:r>
        <w:rPr>
          <w:rFonts w:ascii="標楷體" w:eastAsia="標楷體" w:hAnsi="標楷體"/>
          <w:color w:val="000000"/>
        </w:rPr>
        <w:t xml:space="preserve"> 150mg或</w:t>
      </w:r>
      <w:proofErr w:type="spellStart"/>
      <w:r>
        <w:rPr>
          <w:rFonts w:ascii="標楷體" w:eastAsia="標楷體" w:hAnsi="標楷體"/>
          <w:color w:val="000000"/>
        </w:rPr>
        <w:t>ixekizumab</w:t>
      </w:r>
      <w:proofErr w:type="spellEnd"/>
      <w:r>
        <w:rPr>
          <w:rFonts w:ascii="標楷體" w:eastAsia="標楷體" w:hAnsi="標楷體"/>
          <w:color w:val="000000"/>
        </w:rPr>
        <w:t>或tofacitinib或</w:t>
      </w:r>
      <w:proofErr w:type="spellStart"/>
      <w:r>
        <w:rPr>
          <w:rFonts w:ascii="標楷體" w:eastAsia="標楷體" w:hAnsi="標楷體"/>
          <w:color w:val="000000"/>
        </w:rPr>
        <w:t>guselkumab</w:t>
      </w:r>
      <w:proofErr w:type="spellEnd"/>
      <w:r>
        <w:rPr>
          <w:rFonts w:ascii="標楷體" w:eastAsia="標楷體" w:hAnsi="標楷體"/>
          <w:color w:val="000000"/>
        </w:rPr>
        <w:t>或</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Pr>
          <w:rFonts w:ascii="標楷體" w:eastAsia="標楷體" w:hAnsi="標楷體"/>
          <w:color w:val="000000"/>
        </w:rPr>
        <w:t>或</w:t>
      </w:r>
      <w:proofErr w:type="spellStart"/>
      <w:r>
        <w:rPr>
          <w:rFonts w:ascii="標楷體" w:eastAsia="標楷體" w:hAnsi="標楷體"/>
          <w:color w:val="000000"/>
        </w:rPr>
        <w:t>risankizumab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作為第二線治療：(107/1/1、109/3/1、109/6/1、111/9/1、112/4/1、112/12/1、114/2/1</w:t>
      </w:r>
      <w:r w:rsidRPr="00B6228A">
        <w:rPr>
          <w:rFonts w:ascii="標楷體" w:eastAsia="標楷體" w:hAnsi="標楷體" w:hint="eastAsia"/>
          <w:color w:val="000000"/>
        </w:rPr>
        <w:t>、115/5/1</w:t>
      </w:r>
      <w:r>
        <w:rPr>
          <w:rFonts w:ascii="標楷體" w:eastAsia="標楷體" w:hAnsi="標楷體"/>
          <w:color w:val="000000"/>
        </w:rPr>
        <w:t>)</w:t>
      </w:r>
    </w:p>
    <w:p w14:paraId="13956227"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(1)經內科專科醫師且具有風濕或免疫專科醫師證書者診斷為</w:t>
      </w:r>
      <w:proofErr w:type="gramStart"/>
      <w:r>
        <w:rPr>
          <w:rFonts w:ascii="標楷體" w:eastAsia="標楷體" w:hAnsi="標楷體"/>
          <w:color w:val="000000"/>
        </w:rPr>
        <w:t>乾癬性關節炎</w:t>
      </w:r>
      <w:proofErr w:type="gramEnd"/>
      <w:r>
        <w:rPr>
          <w:rFonts w:ascii="標楷體" w:eastAsia="標楷體" w:hAnsi="標楷體"/>
          <w:color w:val="000000"/>
        </w:rPr>
        <w:t>之患者。</w:t>
      </w:r>
    </w:p>
    <w:p w14:paraId="64E331C8"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(2)曾經皮膚科醫師診斷為乾癬患者，或經皮膚切片診斷為乾癬患者。</w:t>
      </w:r>
    </w:p>
    <w:p w14:paraId="7AF9A7A9"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(3)下列三項條件至少需符合二項：</w:t>
      </w:r>
    </w:p>
    <w:p w14:paraId="56A1EEB6" w14:textId="77777777" w:rsidR="009111AF" w:rsidRDefault="009111AF" w:rsidP="009111AF">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.下背痛及晨間僵硬的症狀持續3個月以上，這些症狀無法因休息而緩解，但會隨運動改善。</w:t>
      </w:r>
    </w:p>
    <w:p w14:paraId="1D4FA0C0"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ii.腰椎前屈活動受限。</w:t>
      </w:r>
    </w:p>
    <w:p w14:paraId="12D6970E"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iii.胸廓擴張受限。</w:t>
      </w:r>
    </w:p>
    <w:p w14:paraId="4D6DBB7E"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(4)X光(plain X ray)檢查需</w:t>
      </w:r>
      <w:proofErr w:type="gramStart"/>
      <w:r>
        <w:rPr>
          <w:rFonts w:ascii="標楷體" w:eastAsia="標楷體" w:hAnsi="標楷體"/>
          <w:color w:val="000000"/>
        </w:rPr>
        <w:t>有薦腸</w:t>
      </w:r>
      <w:proofErr w:type="gramEnd"/>
      <w:r>
        <w:rPr>
          <w:rFonts w:ascii="標楷體" w:eastAsia="標楷體" w:hAnsi="標楷體"/>
          <w:color w:val="000000"/>
        </w:rPr>
        <w:t>關節炎：</w:t>
      </w:r>
      <w:proofErr w:type="gramStart"/>
      <w:r>
        <w:rPr>
          <w:rFonts w:ascii="標楷體" w:eastAsia="標楷體" w:hAnsi="標楷體"/>
          <w:color w:val="000000"/>
        </w:rPr>
        <w:t>單側性二級</w:t>
      </w:r>
      <w:proofErr w:type="gramEnd"/>
      <w:r>
        <w:rPr>
          <w:rFonts w:ascii="標楷體" w:eastAsia="標楷體" w:hAnsi="標楷體"/>
          <w:color w:val="000000"/>
        </w:rPr>
        <w:t>以上、附有報告影印及X光影像光碟。</w:t>
      </w:r>
    </w:p>
    <w:p w14:paraId="05BEAE96"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(5)病患必須曾使用過至少2種非類固醇類消炎止痛劑(NSAIDs)進行充分的治療，但療效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彰。充分治療的定義為：使用最高建議劑量或最高耐受劑量的NSAID抗發炎藥物，在同一家醫院連續治療三個月以上，且每種NSAID至少使用四</w:t>
      </w:r>
      <w:proofErr w:type="gramStart"/>
      <w:r>
        <w:rPr>
          <w:rFonts w:ascii="標楷體" w:eastAsia="標楷體" w:hAnsi="標楷體"/>
          <w:color w:val="000000"/>
        </w:rPr>
        <w:t>週</w:t>
      </w:r>
      <w:proofErr w:type="gramEnd"/>
      <w:r>
        <w:rPr>
          <w:rFonts w:ascii="標楷體" w:eastAsia="標楷體" w:hAnsi="標楷體"/>
          <w:color w:val="000000"/>
        </w:rPr>
        <w:t>以上，除非出現毒性而停藥，需以附表二十二之五為根據，記錄NSAID之毒性送審。</w:t>
      </w:r>
    </w:p>
    <w:p w14:paraId="7F3C73D9"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(6)活動性疾病持續四</w:t>
      </w:r>
      <w:proofErr w:type="gramStart"/>
      <w:r>
        <w:rPr>
          <w:rFonts w:ascii="標楷體" w:eastAsia="標楷體" w:hAnsi="標楷體"/>
          <w:color w:val="000000"/>
        </w:rPr>
        <w:t>週</w:t>
      </w:r>
      <w:proofErr w:type="gramEnd"/>
      <w:r>
        <w:rPr>
          <w:rFonts w:ascii="標楷體" w:eastAsia="標楷體" w:hAnsi="標楷體"/>
          <w:color w:val="000000"/>
        </w:rPr>
        <w:t>以上。（需連續二次檢查BASDAI</w:t>
      </w:r>
      <w:proofErr w:type="gramStart"/>
      <w:r>
        <w:rPr>
          <w:rFonts w:ascii="標楷體" w:eastAsia="標楷體" w:hAnsi="標楷體"/>
          <w:color w:val="000000"/>
        </w:rPr>
        <w:t>≧</w:t>
      </w:r>
      <w:proofErr w:type="gramEnd"/>
      <w:r>
        <w:rPr>
          <w:rFonts w:ascii="標楷體" w:eastAsia="標楷體" w:hAnsi="標楷體"/>
          <w:color w:val="000000"/>
        </w:rPr>
        <w:t xml:space="preserve">6、ESR &gt; 28 mm/1 </w:t>
      </w:r>
      <w:proofErr w:type="spellStart"/>
      <w:r>
        <w:rPr>
          <w:rFonts w:ascii="標楷體" w:eastAsia="標楷體" w:hAnsi="標楷體"/>
          <w:color w:val="000000"/>
        </w:rPr>
        <w:t>hr</w:t>
      </w:r>
      <w:proofErr w:type="spellEnd"/>
      <w:r>
        <w:rPr>
          <w:rFonts w:ascii="標楷體" w:eastAsia="標楷體" w:hAnsi="標楷體"/>
          <w:color w:val="000000"/>
        </w:rPr>
        <w:t>及CRP &gt; 1 mg/dL，且二次檢查之間隔需經過至少4</w:t>
      </w:r>
      <w:proofErr w:type="gramStart"/>
      <w:r>
        <w:rPr>
          <w:rFonts w:ascii="標楷體" w:eastAsia="標楷體" w:hAnsi="標楷體"/>
          <w:color w:val="000000"/>
        </w:rPr>
        <w:t>週</w:t>
      </w:r>
      <w:proofErr w:type="gramEnd"/>
      <w:r>
        <w:rPr>
          <w:rFonts w:ascii="標楷體" w:eastAsia="標楷體" w:hAnsi="標楷體"/>
          <w:color w:val="000000"/>
        </w:rPr>
        <w:t>以上充分治療）</w:t>
      </w:r>
    </w:p>
    <w:p w14:paraId="4D355759"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lastRenderedPageBreak/>
        <w:t>4.Secukinumab每次使用劑量為150mg，起始於第0，1，2，3和4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後，若</w:t>
      </w:r>
      <w:proofErr w:type="spellStart"/>
      <w:r>
        <w:rPr>
          <w:rFonts w:ascii="標楷體" w:eastAsia="標楷體" w:hAnsi="標楷體"/>
          <w:color w:val="000000"/>
        </w:rPr>
        <w:t>secukinumb</w:t>
      </w:r>
      <w:proofErr w:type="spellEnd"/>
      <w:r>
        <w:rPr>
          <w:rFonts w:ascii="標楷體" w:eastAsia="標楷體" w:hAnsi="標楷體"/>
          <w:color w:val="000000"/>
        </w:rPr>
        <w:t xml:space="preserve"> 150mg 治療未達療效的病人(參考底下第8點療效定義)，劑量可增加為300mg。但對於曾以腫瘤壞死因子阻斷劑(anti-TNFα)未達療效，建議每次劑量為300mg，起始於第0，1，2，3和4</w:t>
      </w:r>
      <w:proofErr w:type="gramStart"/>
      <w:r>
        <w:rPr>
          <w:rFonts w:ascii="標楷體" w:eastAsia="標楷體" w:hAnsi="標楷體"/>
          <w:color w:val="000000"/>
        </w:rPr>
        <w:t>週</w:t>
      </w:r>
      <w:proofErr w:type="gramEnd"/>
      <w:r>
        <w:rPr>
          <w:rFonts w:ascii="標楷體" w:eastAsia="標楷體" w:hAnsi="標楷體"/>
          <w:color w:val="000000"/>
        </w:rPr>
        <w:t>皮下注射，之後每4</w:t>
      </w:r>
      <w:proofErr w:type="gramStart"/>
      <w:r>
        <w:rPr>
          <w:rFonts w:ascii="標楷體" w:eastAsia="標楷體" w:hAnsi="標楷體"/>
          <w:color w:val="000000"/>
        </w:rPr>
        <w:t>週</w:t>
      </w:r>
      <w:proofErr w:type="gramEnd"/>
      <w:r>
        <w:rPr>
          <w:rFonts w:ascii="標楷體" w:eastAsia="標楷體" w:hAnsi="標楷體"/>
          <w:color w:val="000000"/>
        </w:rPr>
        <w:t>給予300mg劑量。(107/1/1、112/3/1)</w:t>
      </w:r>
    </w:p>
    <w:p w14:paraId="1264D391"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5.Ixekizumab 之起始劑量為第0</w:t>
      </w:r>
      <w:proofErr w:type="gramStart"/>
      <w:r>
        <w:rPr>
          <w:rFonts w:ascii="標楷體" w:eastAsia="標楷體" w:hAnsi="標楷體"/>
          <w:color w:val="000000"/>
        </w:rPr>
        <w:t>週</w:t>
      </w:r>
      <w:proofErr w:type="gramEnd"/>
      <w:r>
        <w:rPr>
          <w:rFonts w:ascii="標楷體" w:eastAsia="標楷體" w:hAnsi="標楷體"/>
          <w:color w:val="000000"/>
        </w:rPr>
        <w:t>160mg，之後每4</w:t>
      </w:r>
      <w:proofErr w:type="gramStart"/>
      <w:r>
        <w:rPr>
          <w:rFonts w:ascii="標楷體" w:eastAsia="標楷體" w:hAnsi="標楷體"/>
          <w:color w:val="000000"/>
        </w:rPr>
        <w:t>週</w:t>
      </w:r>
      <w:proofErr w:type="gramEnd"/>
      <w:r>
        <w:rPr>
          <w:rFonts w:ascii="標楷體" w:eastAsia="標楷體" w:hAnsi="標楷體"/>
          <w:color w:val="000000"/>
        </w:rPr>
        <w:t>80mg。(109/3/1)</w:t>
      </w:r>
    </w:p>
    <w:p w14:paraId="41151A2C"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6.Certolizumab起始建議劑量為第0 </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週各投予</w:t>
      </w:r>
      <w:proofErr w:type="gramEnd"/>
      <w:r>
        <w:rPr>
          <w:rFonts w:ascii="標楷體" w:eastAsia="標楷體" w:hAnsi="標楷體"/>
          <w:color w:val="000000"/>
        </w:rPr>
        <w:t>400mg，之後每2</w:t>
      </w:r>
      <w:proofErr w:type="gramStart"/>
      <w:r>
        <w:rPr>
          <w:rFonts w:ascii="標楷體" w:eastAsia="標楷體" w:hAnsi="標楷體"/>
          <w:color w:val="000000"/>
        </w:rPr>
        <w:t>週</w:t>
      </w:r>
      <w:proofErr w:type="gramEnd"/>
      <w:r>
        <w:rPr>
          <w:rFonts w:ascii="標楷體" w:eastAsia="標楷體" w:hAnsi="標楷體"/>
          <w:color w:val="000000"/>
        </w:rPr>
        <w:t>200mg。於懷孕哺乳期間若已接受其他生物製劑治療者，得改申請certolizumab。若症狀嚴重程度已符合生物製劑申請條件但尚未接受生物製劑治療者，不需受傳統治療無效才得申請之限制，得於懷孕哺乳期申請certolizumab。(110/7/1)</w:t>
      </w:r>
    </w:p>
    <w:p w14:paraId="6199E22C"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7. </w:t>
      </w:r>
      <w:proofErr w:type="spellStart"/>
      <w:r>
        <w:rPr>
          <w:rFonts w:ascii="標楷體" w:eastAsia="標楷體" w:hAnsi="標楷體"/>
          <w:color w:val="000000"/>
        </w:rPr>
        <w:t>Guselkumab</w:t>
      </w:r>
      <w:proofErr w:type="spellEnd"/>
      <w:r>
        <w:rPr>
          <w:rFonts w:ascii="標楷體" w:eastAsia="標楷體" w:hAnsi="標楷體"/>
          <w:color w:val="000000"/>
        </w:rPr>
        <w:t>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w:t>
      </w:r>
      <w:proofErr w:type="gramEnd"/>
      <w:r>
        <w:rPr>
          <w:rFonts w:ascii="標楷體" w:eastAsia="標楷體" w:hAnsi="標楷體"/>
          <w:color w:val="000000"/>
        </w:rPr>
        <w:t>給予維持劑量100mg。(111/9/1)</w:t>
      </w:r>
    </w:p>
    <w:p w14:paraId="6786AA2B"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8. </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210mg。(112/12/1)</w:t>
      </w:r>
    </w:p>
    <w:p w14:paraId="343B1AF3"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9.Risankizumab之起始劑量於第0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150mg/mL，之後每12</w:t>
      </w:r>
      <w:proofErr w:type="gramStart"/>
      <w:r>
        <w:rPr>
          <w:rFonts w:ascii="標楷體" w:eastAsia="標楷體" w:hAnsi="標楷體"/>
          <w:color w:val="000000"/>
        </w:rPr>
        <w:t>週</w:t>
      </w:r>
      <w:proofErr w:type="gramEnd"/>
      <w:r>
        <w:rPr>
          <w:rFonts w:ascii="標楷體" w:eastAsia="標楷體" w:hAnsi="標楷體"/>
          <w:color w:val="000000"/>
        </w:rPr>
        <w:t>給予維持劑量150mg/mL。(114/2/1)</w:t>
      </w:r>
    </w:p>
    <w:p w14:paraId="5A85A242" w14:textId="77777777" w:rsidR="009111AF" w:rsidRDefault="009111AF" w:rsidP="009111AF">
      <w:pPr>
        <w:spacing w:line="300" w:lineRule="exact"/>
        <w:ind w:left="912" w:hanging="386"/>
        <w:rPr>
          <w:rFonts w:ascii="標楷體" w:eastAsia="標楷體" w:hAnsi="標楷體"/>
          <w:color w:val="000000"/>
        </w:rPr>
      </w:pPr>
      <w:r w:rsidRPr="003120C6">
        <w:rPr>
          <w:rFonts w:ascii="標楷體" w:eastAsia="標楷體" w:hAnsi="標楷體" w:hint="eastAsia"/>
          <w:color w:val="000000"/>
        </w:rPr>
        <w:t>10.Bimekizumab每次使用劑量為160mg，每4</w:t>
      </w:r>
      <w:proofErr w:type="gramStart"/>
      <w:r w:rsidRPr="003120C6">
        <w:rPr>
          <w:rFonts w:ascii="標楷體" w:eastAsia="標楷體" w:hAnsi="標楷體" w:hint="eastAsia"/>
          <w:color w:val="000000"/>
        </w:rPr>
        <w:t>週投予</w:t>
      </w:r>
      <w:proofErr w:type="gramEnd"/>
      <w:r w:rsidRPr="003120C6">
        <w:rPr>
          <w:rFonts w:ascii="標楷體" w:eastAsia="標楷體" w:hAnsi="標楷體" w:hint="eastAsia"/>
          <w:color w:val="000000"/>
        </w:rPr>
        <w:t>160mg劑量。(115/5/1)</w:t>
      </w:r>
    </w:p>
    <w:p w14:paraId="53AEB0D7"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1</w:t>
      </w:r>
      <w:r>
        <w:rPr>
          <w:rFonts w:ascii="標楷體" w:eastAsia="標楷體" w:hAnsi="標楷體"/>
          <w:color w:val="000000"/>
        </w:rPr>
        <w:t>.療效評估與繼續使用：</w:t>
      </w:r>
    </w:p>
    <w:p w14:paraId="6FC31366"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(1)初次使用者治療12</w:t>
      </w:r>
      <w:proofErr w:type="gramStart"/>
      <w:r>
        <w:rPr>
          <w:rFonts w:ascii="標楷體" w:eastAsia="標楷體" w:hAnsi="標楷體"/>
          <w:color w:val="000000"/>
        </w:rPr>
        <w:t>週</w:t>
      </w:r>
      <w:proofErr w:type="gramEnd"/>
      <w:r>
        <w:rPr>
          <w:rFonts w:ascii="標楷體" w:eastAsia="標楷體" w:hAnsi="標楷體"/>
          <w:color w:val="000000"/>
        </w:rPr>
        <w:t>評估BASDAI，惟</w:t>
      </w:r>
      <w:proofErr w:type="spellStart"/>
      <w:r>
        <w:rPr>
          <w:rFonts w:ascii="標楷體" w:eastAsia="標楷體" w:hAnsi="標楷體"/>
          <w:color w:val="000000"/>
        </w:rPr>
        <w:t>guselkumab</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初次治療24</w:t>
      </w:r>
      <w:proofErr w:type="gramStart"/>
      <w:r>
        <w:rPr>
          <w:rFonts w:ascii="標楷體" w:eastAsia="標楷體" w:hAnsi="標楷體"/>
          <w:color w:val="000000"/>
        </w:rPr>
        <w:t>週</w:t>
      </w:r>
      <w:proofErr w:type="gramEnd"/>
      <w:r>
        <w:rPr>
          <w:rFonts w:ascii="標楷體" w:eastAsia="標楷體" w:hAnsi="標楷體"/>
          <w:color w:val="000000"/>
        </w:rPr>
        <w:t>評估BASDAI：與使用前比較，出現50%以上的進步或減少2分以上，方得繼續使用。(111/9/1、114/2/1)</w:t>
      </w:r>
    </w:p>
    <w:p w14:paraId="29CC3474"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評估一次，再次提出申請續用；惟</w:t>
      </w:r>
      <w:proofErr w:type="spellStart"/>
      <w:r>
        <w:rPr>
          <w:rFonts w:ascii="標楷體" w:eastAsia="標楷體" w:hAnsi="標楷體"/>
          <w:color w:val="000000"/>
        </w:rPr>
        <w:t>guselkumab</w:t>
      </w:r>
      <w:proofErr w:type="spellEnd"/>
      <w:r>
        <w:rPr>
          <w:rFonts w:ascii="標楷體" w:eastAsia="標楷體" w:hAnsi="標楷體"/>
          <w:color w:val="000000"/>
        </w:rPr>
        <w:t>每16</w:t>
      </w:r>
      <w:proofErr w:type="gramStart"/>
      <w:r>
        <w:rPr>
          <w:rFonts w:ascii="標楷體" w:eastAsia="標楷體" w:hAnsi="標楷體"/>
          <w:color w:val="000000"/>
        </w:rPr>
        <w:t>週</w:t>
      </w:r>
      <w:proofErr w:type="gramEnd"/>
      <w:r>
        <w:rPr>
          <w:rFonts w:ascii="標楷體" w:eastAsia="標楷體" w:hAnsi="標楷體"/>
          <w:color w:val="000000"/>
        </w:rPr>
        <w:t>評估一次、</w:t>
      </w:r>
      <w:proofErr w:type="spellStart"/>
      <w:r>
        <w:rPr>
          <w:rFonts w:ascii="標楷體" w:eastAsia="標楷體" w:hAnsi="標楷體"/>
          <w:color w:val="000000"/>
        </w:rPr>
        <w:t>risankizumab</w:t>
      </w:r>
      <w:proofErr w:type="spellEnd"/>
      <w:r>
        <w:rPr>
          <w:rFonts w:ascii="標楷體" w:eastAsia="標楷體" w:hAnsi="標楷體"/>
          <w:color w:val="000000"/>
        </w:rPr>
        <w:t>每24</w:t>
      </w:r>
      <w:proofErr w:type="gramStart"/>
      <w:r>
        <w:rPr>
          <w:rFonts w:ascii="標楷體" w:eastAsia="標楷體" w:hAnsi="標楷體"/>
          <w:color w:val="000000"/>
        </w:rPr>
        <w:t>週</w:t>
      </w:r>
      <w:proofErr w:type="gramEnd"/>
      <w:r>
        <w:rPr>
          <w:rFonts w:ascii="標楷體" w:eastAsia="標楷體" w:hAnsi="標楷體"/>
          <w:color w:val="000000"/>
        </w:rPr>
        <w:t>評估一次，再次提出申請續用。(111/9/1、114/2/1)</w:t>
      </w:r>
    </w:p>
    <w:p w14:paraId="1A051E7C"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2</w:t>
      </w:r>
      <w:r>
        <w:rPr>
          <w:rFonts w:ascii="標楷體" w:eastAsia="標楷體" w:hAnsi="標楷體"/>
          <w:color w:val="000000"/>
        </w:rPr>
        <w:t>.需排除使用的情形：</w:t>
      </w:r>
    </w:p>
    <w:p w14:paraId="516F3471"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w:t>
      </w:r>
      <w:proofErr w:type="gramStart"/>
      <w:r>
        <w:rPr>
          <w:rFonts w:ascii="標楷體" w:eastAsia="標楷體" w:hAnsi="標楷體"/>
          <w:color w:val="000000"/>
        </w:rPr>
        <w:t>﹝</w:t>
      </w:r>
      <w:proofErr w:type="gramEnd"/>
      <w:r>
        <w:rPr>
          <w:rFonts w:ascii="標楷體" w:eastAsia="標楷體" w:hAnsi="標楷體"/>
          <w:color w:val="000000"/>
        </w:rPr>
        <w:t>以下未列者參照仿單所載</w:t>
      </w:r>
      <w:proofErr w:type="gramStart"/>
      <w:r>
        <w:rPr>
          <w:rFonts w:ascii="標楷體" w:eastAsia="標楷體" w:hAnsi="標楷體"/>
          <w:color w:val="000000"/>
        </w:rPr>
        <w:t>﹞</w:t>
      </w:r>
      <w:proofErr w:type="gramEnd"/>
      <w:r>
        <w:rPr>
          <w:rFonts w:ascii="標楷體" w:eastAsia="標楷體" w:hAnsi="標楷體"/>
          <w:color w:val="000000"/>
        </w:rPr>
        <w:t>：</w:t>
      </w:r>
    </w:p>
    <w:p w14:paraId="323BB223"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正在授乳婦女</w:t>
      </w:r>
      <w:proofErr w:type="gramEnd"/>
      <w:r>
        <w:rPr>
          <w:rFonts w:ascii="標楷體" w:eastAsia="標楷體" w:hAnsi="標楷體"/>
          <w:color w:val="000000"/>
        </w:rPr>
        <w:t>(certolizumab除外) (110/7/1)</w:t>
      </w:r>
    </w:p>
    <w:p w14:paraId="372DAF73"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(2)活動性感染症之病患</w:t>
      </w:r>
    </w:p>
    <w:p w14:paraId="6EB0943C"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(3)具高度感染機會之病患</w:t>
      </w:r>
    </w:p>
    <w:p w14:paraId="0733AA40" w14:textId="77777777" w:rsidR="009111AF" w:rsidRDefault="009111AF" w:rsidP="009111AF">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641714D1"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64867F46"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iii.過去12個月內曾</w:t>
      </w:r>
      <w:proofErr w:type="gramStart"/>
      <w:r>
        <w:rPr>
          <w:rFonts w:ascii="標楷體" w:eastAsia="標楷體" w:hAnsi="標楷體"/>
          <w:color w:val="000000"/>
        </w:rPr>
        <w:t>罹</w:t>
      </w:r>
      <w:proofErr w:type="gramEnd"/>
      <w:r>
        <w:rPr>
          <w:rFonts w:ascii="標楷體" w:eastAsia="標楷體" w:hAnsi="標楷體"/>
          <w:color w:val="000000"/>
        </w:rPr>
        <w:t>患感染性關節炎者</w:t>
      </w:r>
    </w:p>
    <w:p w14:paraId="16CD891B"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w:t>
      </w:r>
    </w:p>
    <w:p w14:paraId="6611A121"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v.頑固性或復發性的胸腔感染疾病</w:t>
      </w:r>
    </w:p>
    <w:p w14:paraId="4D5F6467"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vi.具有留置導尿管之情形</w:t>
      </w:r>
    </w:p>
    <w:p w14:paraId="5F9B8F18"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w:t>
      </w:r>
      <w:proofErr w:type="gramStart"/>
      <w:r>
        <w:rPr>
          <w:rFonts w:ascii="標楷體" w:eastAsia="標楷體" w:hAnsi="標楷體"/>
          <w:color w:val="000000"/>
        </w:rPr>
        <w:t>﹝</w:t>
      </w:r>
      <w:proofErr w:type="gramEnd"/>
      <w:r>
        <w:rPr>
          <w:rFonts w:ascii="標楷體" w:eastAsia="標楷體" w:hAnsi="標楷體"/>
          <w:color w:val="000000"/>
        </w:rPr>
        <w:t>但不包括已經接受過充分治療達10年以上的惡性腫瘤</w:t>
      </w:r>
      <w:proofErr w:type="gramStart"/>
      <w:r>
        <w:rPr>
          <w:rFonts w:ascii="標楷體" w:eastAsia="標楷體" w:hAnsi="標楷體"/>
          <w:color w:val="000000"/>
        </w:rPr>
        <w:t>﹞</w:t>
      </w:r>
      <w:proofErr w:type="gramEnd"/>
    </w:p>
    <w:p w14:paraId="6DCD7717"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(5)多發性硬化症 (multiple sclerosis)</w:t>
      </w:r>
    </w:p>
    <w:p w14:paraId="7E5E925B"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3</w:t>
      </w:r>
      <w:r>
        <w:rPr>
          <w:rFonts w:ascii="標楷體" w:eastAsia="標楷體" w:hAnsi="標楷體"/>
          <w:color w:val="000000"/>
        </w:rPr>
        <w:t>.需停止治療的情形</w:t>
      </w:r>
    </w:p>
    <w:p w14:paraId="0D21A792"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5F263EEA"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59487DA9"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4D099064" w14:textId="77777777" w:rsidR="009111AF" w:rsidRDefault="009111AF" w:rsidP="009111AF">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02F5178F"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0F958A84"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iii.懷孕(certolizumab除外，其他暫時停藥即可)(110/7/1)</w:t>
      </w:r>
    </w:p>
    <w:p w14:paraId="76EF9AF5"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w:t>
      </w:r>
      <w:proofErr w:type="gramStart"/>
      <w:r>
        <w:rPr>
          <w:rFonts w:ascii="標楷體" w:eastAsia="標楷體" w:hAnsi="標楷體"/>
          <w:color w:val="000000"/>
        </w:rPr>
        <w:t>﹝</w:t>
      </w:r>
      <w:proofErr w:type="gramEnd"/>
      <w:r>
        <w:rPr>
          <w:rFonts w:ascii="標楷體" w:eastAsia="標楷體" w:hAnsi="標楷體"/>
          <w:color w:val="000000"/>
        </w:rPr>
        <w:t>依嚴重性判斷可選擇暫時停藥</w:t>
      </w:r>
      <w:proofErr w:type="gramStart"/>
      <w:r>
        <w:rPr>
          <w:rFonts w:ascii="標楷體" w:eastAsia="標楷體" w:hAnsi="標楷體"/>
          <w:color w:val="000000"/>
        </w:rPr>
        <w:t>﹞</w:t>
      </w:r>
      <w:proofErr w:type="gramEnd"/>
    </w:p>
    <w:p w14:paraId="611891E7"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◎附表二十二之四：全民健康保險</w:t>
      </w:r>
      <w:proofErr w:type="gramStart"/>
      <w:r>
        <w:rPr>
          <w:rFonts w:ascii="標楷體" w:eastAsia="標楷體" w:hAnsi="標楷體"/>
          <w:color w:val="000000"/>
        </w:rPr>
        <w:t>乾癬性脊椎</w:t>
      </w:r>
      <w:proofErr w:type="gramEnd"/>
      <w:r>
        <w:rPr>
          <w:rFonts w:ascii="標楷體" w:eastAsia="標楷體" w:hAnsi="標楷體"/>
          <w:color w:val="000000"/>
        </w:rPr>
        <w:t>病變使用生物製劑申請表</w:t>
      </w:r>
      <w:r>
        <w:rPr>
          <w:rFonts w:ascii="標楷體" w:eastAsia="標楷體" w:hAnsi="標楷體"/>
          <w:color w:val="000000"/>
        </w:rPr>
        <w:lastRenderedPageBreak/>
        <w:t>(107/1/1、109/3/1)</w:t>
      </w:r>
    </w:p>
    <w:p w14:paraId="353A7D6D" w14:textId="06A23026" w:rsidR="00401786"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◎附表二十二之五：NSAID藥物副作用</w:t>
      </w:r>
    </w:p>
    <w:p w14:paraId="1FEA8003" w14:textId="6E6ECDC5" w:rsidR="00401786" w:rsidRDefault="009111AF" w:rsidP="0009639E">
      <w:pPr>
        <w:spacing w:line="300" w:lineRule="exact"/>
        <w:ind w:left="672" w:hanging="386"/>
      </w:pPr>
      <w:r>
        <w:rPr>
          <w:rFonts w:ascii="標楷體" w:eastAsia="標楷體" w:hAnsi="標楷體"/>
          <w:color w:val="000000"/>
        </w:rPr>
        <w:t>8.2.4.6. Etanercept（如Enbrel）；adalimumab（如Humira）；</w:t>
      </w:r>
      <w:proofErr w:type="spellStart"/>
      <w:r>
        <w:rPr>
          <w:rFonts w:ascii="標楷體" w:eastAsia="標楷體" w:hAnsi="標楷體"/>
          <w:color w:val="000000"/>
        </w:rPr>
        <w:t>ustekinumab</w:t>
      </w:r>
      <w:proofErr w:type="spellEnd"/>
      <w:r>
        <w:rPr>
          <w:rFonts w:ascii="標楷體" w:eastAsia="標楷體" w:hAnsi="標楷體"/>
          <w:color w:val="000000"/>
        </w:rPr>
        <w:t>（如Stelara）；</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（如Taltz）；</w:t>
      </w:r>
      <w:proofErr w:type="spellStart"/>
      <w:r>
        <w:rPr>
          <w:rFonts w:ascii="標楷體" w:eastAsia="標楷體" w:hAnsi="標楷體"/>
          <w:color w:val="000000"/>
        </w:rPr>
        <w:t>guselkumab</w:t>
      </w:r>
      <w:proofErr w:type="spellEnd"/>
      <w:r>
        <w:rPr>
          <w:rFonts w:ascii="標楷體" w:eastAsia="標楷體" w:hAnsi="標楷體"/>
          <w:color w:val="000000"/>
        </w:rPr>
        <w:t>（如Tremfya）；</w:t>
      </w:r>
      <w:proofErr w:type="spellStart"/>
      <w:r>
        <w:rPr>
          <w:rFonts w:ascii="標楷體" w:eastAsia="標楷體" w:hAnsi="標楷體"/>
          <w:color w:val="000000"/>
        </w:rPr>
        <w:t>brodalumab</w:t>
      </w:r>
      <w:proofErr w:type="spellEnd"/>
      <w:r>
        <w:rPr>
          <w:rFonts w:ascii="標楷體" w:eastAsia="標楷體" w:hAnsi="標楷體"/>
          <w:color w:val="000000"/>
        </w:rPr>
        <w:t>（如</w:t>
      </w:r>
      <w:proofErr w:type="spellStart"/>
      <w:r>
        <w:rPr>
          <w:rFonts w:ascii="標楷體" w:eastAsia="標楷體" w:hAnsi="標楷體"/>
          <w:color w:val="000000"/>
        </w:rPr>
        <w:t>Lumicef</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（如</w:t>
      </w:r>
      <w:proofErr w:type="spellStart"/>
      <w:r>
        <w:rPr>
          <w:rFonts w:ascii="標楷體" w:eastAsia="標楷體" w:hAnsi="標楷體"/>
          <w:color w:val="000000"/>
        </w:rPr>
        <w:t>Skyrizi</w:t>
      </w:r>
      <w:proofErr w:type="spellEnd"/>
      <w:r>
        <w:rPr>
          <w:rFonts w:ascii="標楷體" w:eastAsia="標楷體" w:hAnsi="標楷體"/>
          <w:color w:val="000000"/>
        </w:rPr>
        <w:t>）；certolizumab（如Cimzia）；</w:t>
      </w:r>
      <w:proofErr w:type="spellStart"/>
      <w:r>
        <w:rPr>
          <w:rFonts w:ascii="標楷體" w:eastAsia="標楷體" w:hAnsi="標楷體"/>
          <w:color w:val="000000"/>
        </w:rPr>
        <w:t>spesolimab</w:t>
      </w:r>
      <w:proofErr w:type="spellEnd"/>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Spevigo</w:t>
      </w:r>
      <w:proofErr w:type="spellEnd"/>
      <w:r>
        <w:rPr>
          <w:rFonts w:ascii="標楷體" w:eastAsia="標楷體" w:hAnsi="標楷體"/>
          <w:color w:val="000000"/>
        </w:rPr>
        <w:t>)</w:t>
      </w:r>
      <w:r w:rsidRPr="003120C6">
        <w:rPr>
          <w:rFonts w:ascii="標楷體" w:eastAsia="標楷體" w:hAnsi="標楷體" w:hint="eastAsia"/>
          <w:color w:val="000000"/>
        </w:rPr>
        <w:t>；</w:t>
      </w:r>
      <w:proofErr w:type="spellStart"/>
      <w:r w:rsidRPr="003120C6">
        <w:rPr>
          <w:rFonts w:ascii="標楷體" w:eastAsia="標楷體" w:hAnsi="標楷體" w:hint="eastAsia"/>
          <w:color w:val="000000"/>
        </w:rPr>
        <w:t>bimekizumab</w:t>
      </w:r>
      <w:proofErr w:type="spellEnd"/>
      <w:r w:rsidRPr="003120C6">
        <w:rPr>
          <w:rFonts w:ascii="標楷體" w:eastAsia="標楷體" w:hAnsi="標楷體" w:hint="eastAsia"/>
          <w:color w:val="000000"/>
        </w:rPr>
        <w:t>（如</w:t>
      </w:r>
      <w:proofErr w:type="spellStart"/>
      <w:r w:rsidRPr="003120C6">
        <w:rPr>
          <w:rFonts w:ascii="標楷體" w:eastAsia="標楷體" w:hAnsi="標楷體" w:hint="eastAsia"/>
          <w:color w:val="000000"/>
        </w:rPr>
        <w:t>Bimzelx</w:t>
      </w:r>
      <w:proofErr w:type="spellEnd"/>
      <w:r w:rsidRPr="003120C6">
        <w:rPr>
          <w:rFonts w:ascii="標楷體" w:eastAsia="標楷體" w:hAnsi="標楷體" w:hint="eastAsia"/>
          <w:color w:val="000000"/>
        </w:rPr>
        <w:t>）</w:t>
      </w:r>
      <w:r>
        <w:rPr>
          <w:rFonts w:ascii="標楷體" w:eastAsia="標楷體" w:hAnsi="標楷體"/>
          <w:color w:val="000000"/>
        </w:rPr>
        <w:t>(98/11/1、100/7/1、101/5/1、101/12/1、102/1/1、104/4/1、105/9/1、107/8/1、108/3/1、108/4/1、109/9/1、109/12/1、110/5/1、110/7/1、113/3/1、113/7/1、114/6/1</w:t>
      </w:r>
      <w:r>
        <w:rPr>
          <w:rFonts w:ascii="標楷體" w:eastAsia="標楷體" w:hAnsi="標楷體" w:hint="eastAsia"/>
          <w:color w:val="000000"/>
        </w:rPr>
        <w:t>、</w:t>
      </w:r>
      <w:r w:rsidRPr="003120C6">
        <w:rPr>
          <w:rFonts w:ascii="標楷體" w:eastAsia="標楷體" w:hAnsi="標楷體" w:hint="eastAsia"/>
          <w:color w:val="000000"/>
        </w:rPr>
        <w:t>115/5/1</w:t>
      </w:r>
      <w:r>
        <w:rPr>
          <w:rFonts w:ascii="標楷體" w:eastAsia="標楷體" w:hAnsi="標楷體"/>
          <w:color w:val="000000"/>
        </w:rPr>
        <w:t>)：用於乾癬治療部分</w:t>
      </w:r>
    </w:p>
    <w:p w14:paraId="62BCAB37" w14:textId="77777777" w:rsidR="009111AF" w:rsidRDefault="009111AF" w:rsidP="009111AF">
      <w:pPr>
        <w:spacing w:line="300" w:lineRule="exact"/>
        <w:ind w:left="672" w:hanging="386"/>
        <w:rPr>
          <w:rFonts w:ascii="標楷體" w:eastAsia="標楷體" w:hAnsi="標楷體"/>
          <w:color w:val="000000"/>
        </w:rPr>
      </w:pPr>
      <w:r>
        <w:rPr>
          <w:rFonts w:ascii="標楷體" w:eastAsia="標楷體" w:hAnsi="標楷體"/>
          <w:color w:val="000000"/>
        </w:rPr>
        <w:t>8.2.4.6.1. Etanercept（如Enbrel）；adalimumab（如Humira）；</w:t>
      </w:r>
      <w:proofErr w:type="spellStart"/>
      <w:r>
        <w:rPr>
          <w:rFonts w:ascii="標楷體" w:eastAsia="標楷體" w:hAnsi="標楷體"/>
          <w:color w:val="000000"/>
        </w:rPr>
        <w:t>ustekinumab</w:t>
      </w:r>
      <w:proofErr w:type="spellEnd"/>
      <w:r>
        <w:rPr>
          <w:rFonts w:ascii="標楷體" w:eastAsia="標楷體" w:hAnsi="標楷體"/>
          <w:color w:val="000000"/>
        </w:rPr>
        <w:t>（如Stelara）；</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 xml:space="preserve">(如Taltz) ； </w:t>
      </w:r>
      <w:proofErr w:type="spellStart"/>
      <w:r>
        <w:rPr>
          <w:rFonts w:ascii="標楷體" w:eastAsia="標楷體" w:hAnsi="標楷體"/>
          <w:color w:val="000000"/>
        </w:rPr>
        <w:t>guselkumab</w:t>
      </w:r>
      <w:proofErr w:type="spellEnd"/>
      <w:r>
        <w:rPr>
          <w:rFonts w:ascii="標楷體" w:eastAsia="標楷體" w:hAnsi="標楷體"/>
          <w:color w:val="000000"/>
        </w:rPr>
        <w:t xml:space="preserve"> (如Tremfya) ；</w:t>
      </w:r>
      <w:proofErr w:type="spellStart"/>
      <w:r>
        <w:rPr>
          <w:rFonts w:ascii="標楷體" w:eastAsia="標楷體" w:hAnsi="標楷體"/>
          <w:color w:val="000000"/>
        </w:rPr>
        <w:t>brodalumab</w:t>
      </w:r>
      <w:proofErr w:type="spellEnd"/>
      <w:r>
        <w:rPr>
          <w:rFonts w:ascii="標楷體" w:eastAsia="標楷體" w:hAnsi="標楷體"/>
          <w:color w:val="000000"/>
        </w:rPr>
        <w:t xml:space="preserve"> (如</w:t>
      </w:r>
      <w:proofErr w:type="spellStart"/>
      <w:r>
        <w:rPr>
          <w:rFonts w:ascii="標楷體" w:eastAsia="標楷體" w:hAnsi="標楷體"/>
          <w:color w:val="000000"/>
        </w:rPr>
        <w:t>Lumicef</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(如</w:t>
      </w:r>
      <w:proofErr w:type="spellStart"/>
      <w:r>
        <w:rPr>
          <w:rFonts w:ascii="標楷體" w:eastAsia="標楷體" w:hAnsi="標楷體"/>
          <w:color w:val="000000"/>
        </w:rPr>
        <w:t>Skyrizi</w:t>
      </w:r>
      <w:proofErr w:type="spellEnd"/>
      <w:r>
        <w:rPr>
          <w:rFonts w:ascii="標楷體" w:eastAsia="標楷體" w:hAnsi="標楷體"/>
          <w:color w:val="000000"/>
        </w:rPr>
        <w:t>) ；certolizumab (如Cimzia)</w:t>
      </w:r>
      <w:r w:rsidRPr="003120C6">
        <w:rPr>
          <w:rFonts w:ascii="標楷體" w:eastAsia="標楷體" w:hAnsi="標楷體" w:hint="eastAsia"/>
          <w:color w:val="000000"/>
        </w:rPr>
        <w:t xml:space="preserve"> ；</w:t>
      </w:r>
      <w:proofErr w:type="spellStart"/>
      <w:r w:rsidRPr="003120C6">
        <w:rPr>
          <w:rFonts w:ascii="標楷體" w:eastAsia="標楷體" w:hAnsi="標楷體" w:hint="eastAsia"/>
          <w:color w:val="000000"/>
        </w:rPr>
        <w:t>bimekizumab</w:t>
      </w:r>
      <w:proofErr w:type="spellEnd"/>
      <w:r w:rsidRPr="003120C6">
        <w:rPr>
          <w:rFonts w:ascii="標楷體" w:eastAsia="標楷體" w:hAnsi="標楷體" w:hint="eastAsia"/>
          <w:color w:val="000000"/>
        </w:rPr>
        <w:t>（如</w:t>
      </w:r>
      <w:proofErr w:type="spellStart"/>
      <w:r w:rsidRPr="003120C6">
        <w:rPr>
          <w:rFonts w:ascii="標楷體" w:eastAsia="標楷體" w:hAnsi="標楷體" w:hint="eastAsia"/>
          <w:color w:val="000000"/>
        </w:rPr>
        <w:t>Bimzelx</w:t>
      </w:r>
      <w:proofErr w:type="spellEnd"/>
      <w:r w:rsidRPr="003120C6">
        <w:rPr>
          <w:rFonts w:ascii="標楷體" w:eastAsia="標楷體" w:hAnsi="標楷體" w:hint="eastAsia"/>
          <w:color w:val="000000"/>
        </w:rPr>
        <w:t>）</w:t>
      </w:r>
      <w:r>
        <w:rPr>
          <w:rFonts w:ascii="標楷體" w:eastAsia="標楷體" w:hAnsi="標楷體"/>
          <w:color w:val="000000"/>
        </w:rPr>
        <w:t>(98/11/1、100/7/1、101/5/1、101/12/1、102/1/1、104/4/1、105/9/1、107/8/1、108/3/1、108/4/1、109/9/1、109/12/1、110/5/1、110/7/1、113/3/1、114/6/1</w:t>
      </w:r>
      <w:r>
        <w:rPr>
          <w:rFonts w:ascii="標楷體" w:eastAsia="標楷體" w:hAnsi="標楷體" w:hint="eastAsia"/>
          <w:color w:val="000000"/>
        </w:rPr>
        <w:t>、</w:t>
      </w:r>
      <w:r w:rsidRPr="003120C6">
        <w:rPr>
          <w:rFonts w:ascii="標楷體" w:eastAsia="標楷體" w:hAnsi="標楷體" w:hint="eastAsia"/>
          <w:color w:val="000000"/>
        </w:rPr>
        <w:t>115/5/1</w:t>
      </w:r>
      <w:r>
        <w:rPr>
          <w:rFonts w:ascii="標楷體" w:eastAsia="標楷體" w:hAnsi="標楷體"/>
          <w:color w:val="000000"/>
        </w:rPr>
        <w:t>)：用於乾癬治療部分</w:t>
      </w:r>
    </w:p>
    <w:p w14:paraId="7B0155EA" w14:textId="77777777" w:rsidR="009111AF" w:rsidRDefault="009111AF" w:rsidP="000337EA">
      <w:pPr>
        <w:ind w:left="1134" w:hanging="283"/>
        <w:rPr>
          <w:rFonts w:ascii="標楷體" w:eastAsia="標楷體" w:hAnsi="標楷體"/>
          <w:color w:val="000000"/>
          <w:szCs w:val="24"/>
        </w:rPr>
      </w:pPr>
      <w:r>
        <w:rPr>
          <w:rFonts w:ascii="標楷體" w:eastAsia="標楷體" w:hAnsi="標楷體"/>
          <w:color w:val="000000"/>
          <w:szCs w:val="24"/>
        </w:rPr>
        <w:t>1.給付條件：限符合下列(1)或(2)任</w:t>
      </w:r>
      <w:proofErr w:type="gramStart"/>
      <w:r>
        <w:rPr>
          <w:rFonts w:ascii="標楷體" w:eastAsia="標楷體" w:hAnsi="標楷體"/>
          <w:color w:val="000000"/>
          <w:szCs w:val="24"/>
        </w:rPr>
        <w:t>一</w:t>
      </w:r>
      <w:proofErr w:type="gramEnd"/>
      <w:r>
        <w:rPr>
          <w:rFonts w:ascii="標楷體" w:eastAsia="標楷體" w:hAnsi="標楷體"/>
          <w:color w:val="000000"/>
          <w:szCs w:val="24"/>
        </w:rPr>
        <w:t xml:space="preserve">情形使用： </w:t>
      </w:r>
    </w:p>
    <w:p w14:paraId="7D49E94A" w14:textId="77777777" w:rsidR="009111AF" w:rsidRDefault="009111AF" w:rsidP="000337EA">
      <w:pPr>
        <w:ind w:left="1560" w:hanging="426"/>
        <w:rPr>
          <w:rFonts w:ascii="標楷體" w:eastAsia="標楷體" w:hAnsi="標楷體"/>
          <w:color w:val="000000"/>
          <w:szCs w:val="24"/>
        </w:rPr>
      </w:pPr>
      <w:r>
        <w:rPr>
          <w:rFonts w:ascii="標楷體" w:eastAsia="標楷體" w:hAnsi="標楷體"/>
          <w:color w:val="000000"/>
          <w:szCs w:val="24"/>
        </w:rPr>
        <w:t>(1)</w:t>
      </w:r>
      <w:r w:rsidRPr="000337EA">
        <w:rPr>
          <w:rFonts w:ascii="標楷體" w:eastAsia="標楷體" w:hAnsi="標楷體"/>
          <w:color w:val="000000"/>
        </w:rPr>
        <w:t>用於</w:t>
      </w:r>
      <w:r>
        <w:rPr>
          <w:rFonts w:ascii="標楷體" w:eastAsia="標楷體" w:hAnsi="標楷體"/>
          <w:color w:val="000000"/>
          <w:szCs w:val="24"/>
        </w:rPr>
        <w:t>經照光治療及其他全身性治療無效，或因醫療因素而無法接受其他系統性治療之全身慢性中、重度之</w:t>
      </w:r>
      <w:proofErr w:type="gramStart"/>
      <w:r>
        <w:rPr>
          <w:rFonts w:ascii="標楷體" w:eastAsia="標楷體" w:hAnsi="標楷體"/>
          <w:color w:val="000000"/>
          <w:szCs w:val="24"/>
        </w:rPr>
        <w:t>乾癬或頑固</w:t>
      </w:r>
      <w:proofErr w:type="gramEnd"/>
      <w:r>
        <w:rPr>
          <w:rFonts w:ascii="標楷體" w:eastAsia="標楷體" w:hAnsi="標楷體"/>
          <w:color w:val="000000"/>
          <w:szCs w:val="24"/>
        </w:rPr>
        <w:t>之掌</w:t>
      </w:r>
      <w:proofErr w:type="gramStart"/>
      <w:r>
        <w:rPr>
          <w:rFonts w:ascii="標楷體" w:eastAsia="標楷體" w:hAnsi="標楷體"/>
          <w:color w:val="000000"/>
          <w:szCs w:val="24"/>
        </w:rPr>
        <w:t>蹠性乾</w:t>
      </w:r>
      <w:proofErr w:type="gramEnd"/>
      <w:r>
        <w:rPr>
          <w:rFonts w:ascii="標楷體" w:eastAsia="標楷體" w:hAnsi="標楷體"/>
          <w:color w:val="000000"/>
          <w:szCs w:val="24"/>
        </w:rPr>
        <w:t>癬，且影響功能之患者。</w:t>
      </w:r>
    </w:p>
    <w:p w14:paraId="1787C2AE" w14:textId="77777777" w:rsidR="009111AF" w:rsidRDefault="009111AF" w:rsidP="000337EA">
      <w:pPr>
        <w:spacing w:line="300" w:lineRule="exact"/>
        <w:ind w:left="1443" w:hanging="353"/>
        <w:rPr>
          <w:rFonts w:ascii="標楷體" w:eastAsia="標楷體" w:hAnsi="標楷體"/>
          <w:color w:val="000000"/>
          <w:szCs w:val="24"/>
        </w:rPr>
      </w:pPr>
      <w:r>
        <w:rPr>
          <w:rFonts w:ascii="標楷體" w:eastAsia="標楷體" w:hAnsi="標楷體"/>
          <w:color w:val="000000"/>
          <w:szCs w:val="24"/>
        </w:rPr>
        <w:t>Ⅰ.所稱</w:t>
      </w:r>
      <w:proofErr w:type="gramStart"/>
      <w:r>
        <w:rPr>
          <w:rFonts w:ascii="標楷體" w:eastAsia="標楷體" w:hAnsi="標楷體"/>
          <w:color w:val="000000"/>
          <w:szCs w:val="24"/>
        </w:rPr>
        <w:t>”</w:t>
      </w:r>
      <w:proofErr w:type="gramEnd"/>
      <w:r>
        <w:rPr>
          <w:rFonts w:ascii="標楷體" w:eastAsia="標楷體" w:hAnsi="標楷體"/>
          <w:color w:val="000000"/>
          <w:szCs w:val="24"/>
        </w:rPr>
        <w:t>慢性</w:t>
      </w:r>
      <w:proofErr w:type="gramStart"/>
      <w:r>
        <w:rPr>
          <w:rFonts w:ascii="標楷體" w:eastAsia="標楷體" w:hAnsi="標楷體"/>
          <w:color w:val="000000"/>
          <w:szCs w:val="24"/>
        </w:rPr>
        <w:t>”</w:t>
      </w:r>
      <w:proofErr w:type="gramEnd"/>
      <w:r>
        <w:rPr>
          <w:rFonts w:ascii="標楷體" w:eastAsia="標楷體" w:hAnsi="標楷體"/>
          <w:color w:val="000000"/>
          <w:szCs w:val="24"/>
        </w:rPr>
        <w:t xml:space="preserve">，指病灶持續至少6個月，且Psoriasis area severity index (PASI) </w:t>
      </w:r>
      <w:proofErr w:type="gramStart"/>
      <w:r>
        <w:rPr>
          <w:rFonts w:ascii="標楷體" w:eastAsia="標楷體" w:hAnsi="標楷體"/>
          <w:color w:val="000000"/>
          <w:szCs w:val="24"/>
        </w:rPr>
        <w:t>≧</w:t>
      </w:r>
      <w:proofErr w:type="gramEnd"/>
      <w:r>
        <w:rPr>
          <w:rFonts w:ascii="標楷體" w:eastAsia="標楷體" w:hAnsi="標楷體"/>
          <w:color w:val="000000"/>
          <w:szCs w:val="24"/>
        </w:rPr>
        <w:t>10 (不適用PASI測定如膿疱性乾癬，則以範圍 ≧10%體表面積)。(附表二十四之二)</w:t>
      </w:r>
    </w:p>
    <w:p w14:paraId="4E445E5C" w14:textId="77777777" w:rsidR="009111AF" w:rsidRDefault="009111AF" w:rsidP="000337EA">
      <w:pPr>
        <w:spacing w:line="300" w:lineRule="exact"/>
        <w:ind w:left="1443" w:hanging="353"/>
        <w:rPr>
          <w:rFonts w:ascii="標楷體" w:eastAsia="標楷體" w:hAnsi="標楷體"/>
          <w:color w:val="000000"/>
          <w:szCs w:val="24"/>
        </w:rPr>
      </w:pPr>
      <w:r>
        <w:rPr>
          <w:rFonts w:ascii="標楷體" w:eastAsia="標楷體" w:hAnsi="標楷體"/>
          <w:color w:val="000000"/>
          <w:szCs w:val="24"/>
        </w:rPr>
        <w:t>Ⅱ.頑固之掌</w:t>
      </w:r>
      <w:proofErr w:type="gramStart"/>
      <w:r>
        <w:rPr>
          <w:rFonts w:ascii="標楷體" w:eastAsia="標楷體" w:hAnsi="標楷體"/>
          <w:color w:val="000000"/>
          <w:szCs w:val="24"/>
        </w:rPr>
        <w:t>蹠性乾</w:t>
      </w:r>
      <w:proofErr w:type="gramEnd"/>
      <w:r>
        <w:rPr>
          <w:rFonts w:ascii="標楷體" w:eastAsia="標楷體" w:hAnsi="標楷體"/>
          <w:color w:val="000000"/>
          <w:szCs w:val="24"/>
        </w:rPr>
        <w:t>癬：指非膿疱性掌蹠廣泛性角化，嚴重影響行走或日常作習，申請時需附照片以供審查。照片應包括前、後、左、右至少四張，並視需要加附頭部、掌、</w:t>
      </w:r>
      <w:proofErr w:type="gramStart"/>
      <w:r>
        <w:rPr>
          <w:rFonts w:ascii="標楷體" w:eastAsia="標楷體" w:hAnsi="標楷體"/>
          <w:color w:val="000000"/>
          <w:szCs w:val="24"/>
        </w:rPr>
        <w:t>蹠</w:t>
      </w:r>
      <w:proofErr w:type="gramEnd"/>
      <w:r>
        <w:rPr>
          <w:rFonts w:ascii="標楷體" w:eastAsia="標楷體" w:hAnsi="標楷體"/>
          <w:color w:val="000000"/>
          <w:szCs w:val="24"/>
        </w:rPr>
        <w:t>照片。</w:t>
      </w:r>
    </w:p>
    <w:p w14:paraId="2FE4BE66" w14:textId="77777777" w:rsidR="009111AF" w:rsidRDefault="009111AF" w:rsidP="000337EA">
      <w:pPr>
        <w:spacing w:line="300" w:lineRule="exact"/>
        <w:ind w:left="1443" w:hanging="353"/>
        <w:rPr>
          <w:rFonts w:ascii="標楷體" w:eastAsia="標楷體" w:hAnsi="標楷體"/>
          <w:color w:val="000000"/>
          <w:szCs w:val="24"/>
        </w:rPr>
      </w:pPr>
      <w:r>
        <w:rPr>
          <w:rFonts w:ascii="標楷體" w:eastAsia="標楷體" w:hAnsi="標楷體"/>
          <w:color w:val="000000"/>
          <w:szCs w:val="24"/>
        </w:rPr>
        <w:t>Ⅲ.慢性紅</w:t>
      </w:r>
      <w:proofErr w:type="gramStart"/>
      <w:r>
        <w:rPr>
          <w:rFonts w:ascii="標楷體" w:eastAsia="標楷體" w:hAnsi="標楷體"/>
          <w:color w:val="000000"/>
          <w:szCs w:val="24"/>
        </w:rPr>
        <w:t>皮症乾癬</w:t>
      </w:r>
      <w:proofErr w:type="gramEnd"/>
      <w:r>
        <w:rPr>
          <w:rFonts w:ascii="標楷體" w:eastAsia="標楷體" w:hAnsi="標楷體"/>
          <w:color w:val="000000"/>
          <w:szCs w:val="24"/>
        </w:rPr>
        <w:t>：範圍</w:t>
      </w:r>
      <w:proofErr w:type="gramStart"/>
      <w:r>
        <w:rPr>
          <w:rFonts w:ascii="標楷體" w:eastAsia="標楷體" w:hAnsi="標楷體"/>
          <w:color w:val="000000"/>
          <w:szCs w:val="24"/>
        </w:rPr>
        <w:t>≧</w:t>
      </w:r>
      <w:proofErr w:type="gramEnd"/>
      <w:r>
        <w:rPr>
          <w:rFonts w:ascii="標楷體" w:eastAsia="標楷體" w:hAnsi="標楷體"/>
          <w:color w:val="000000"/>
          <w:szCs w:val="24"/>
        </w:rPr>
        <w:t>75%體表面積，病史超過1年，以cyclosporin足量（5mg/kg/d，除非有明顯不良反應）治療6個月以上，停藥未滿3個月即復發到PASI＞10或體表面積＞30%（需經皮膚科醫師評估），可不經照光治療，只需methotrexate及acitretin治療無效後直接申請。（101/12/1）</w:t>
      </w:r>
    </w:p>
    <w:p w14:paraId="756913C3" w14:textId="77777777" w:rsidR="009111AF" w:rsidRDefault="009111AF" w:rsidP="000337EA">
      <w:pPr>
        <w:spacing w:line="300" w:lineRule="exact"/>
        <w:ind w:left="1443" w:hanging="353"/>
      </w:pPr>
      <w:r>
        <w:rPr>
          <w:rFonts w:ascii="標楷體" w:eastAsia="標楷體" w:hAnsi="標楷體"/>
          <w:color w:val="000000"/>
          <w:szCs w:val="24"/>
        </w:rPr>
        <w:t>Ⅳ.所稱治療無效，指治療後嚴重度仍符合</w:t>
      </w:r>
      <w:proofErr w:type="gramStart"/>
      <w:r>
        <w:rPr>
          <w:rFonts w:ascii="標楷體" w:eastAsia="標楷體" w:hAnsi="標楷體"/>
          <w:color w:val="000000"/>
          <w:szCs w:val="24"/>
        </w:rPr>
        <w:t>上列第</w:t>
      </w:r>
      <w:proofErr w:type="gramEnd"/>
      <w:r>
        <w:rPr>
          <w:rFonts w:ascii="標楷體" w:eastAsia="標楷體" w:hAnsi="標楷體"/>
          <w:color w:val="000000"/>
          <w:szCs w:val="24"/>
        </w:rPr>
        <w:t>(Ⅰ)及第(Ⅱ)點情況，或PASI或體表面積改善＜50%。（101/5/1）</w:t>
      </w:r>
    </w:p>
    <w:p w14:paraId="5B280F55" w14:textId="77777777" w:rsidR="009111AF" w:rsidRDefault="009111AF" w:rsidP="009111AF">
      <w:pPr>
        <w:spacing w:line="300" w:lineRule="exact"/>
        <w:ind w:left="1654" w:hanging="336"/>
      </w:pPr>
      <w:proofErr w:type="spellStart"/>
      <w:r>
        <w:rPr>
          <w:rFonts w:ascii="標楷體" w:eastAsia="標楷體" w:hAnsi="標楷體"/>
          <w:bCs/>
          <w:color w:val="000000"/>
          <w:szCs w:val="24"/>
        </w:rPr>
        <w:t>i</w:t>
      </w:r>
      <w:proofErr w:type="spellEnd"/>
      <w:r>
        <w:rPr>
          <w:rFonts w:ascii="標楷體" w:eastAsia="標楷體" w:hAnsi="標楷體"/>
          <w:bCs/>
          <w:color w:val="000000"/>
          <w:szCs w:val="24"/>
        </w:rPr>
        <w:t>.</w:t>
      </w:r>
      <w:r>
        <w:rPr>
          <w:rFonts w:ascii="標楷體" w:eastAsia="標楷體" w:hAnsi="標楷體"/>
          <w:color w:val="000000"/>
          <w:szCs w:val="24"/>
        </w:rPr>
        <w:t>治療必須包括足量之照光治療及包括以下兩種系統性治療之至少兩種</w:t>
      </w:r>
      <w:r>
        <w:rPr>
          <w:rFonts w:ascii="標楷體" w:eastAsia="標楷體" w:hAnsi="標楷體"/>
          <w:bCs/>
          <w:color w:val="000000"/>
          <w:szCs w:val="24"/>
        </w:rPr>
        <w:t xml:space="preserve">，包括methotrexate、acitretin、cyclosporin、apremilast、 </w:t>
      </w:r>
      <w:proofErr w:type="spellStart"/>
      <w:r>
        <w:rPr>
          <w:rFonts w:ascii="標楷體" w:eastAsia="標楷體" w:hAnsi="標楷體"/>
          <w:bCs/>
          <w:color w:val="000000"/>
          <w:szCs w:val="24"/>
        </w:rPr>
        <w:t>deucravacitinib</w:t>
      </w:r>
      <w:proofErr w:type="spellEnd"/>
      <w:r>
        <w:rPr>
          <w:rFonts w:ascii="標楷體" w:eastAsia="標楷體" w:hAnsi="標楷體"/>
          <w:bCs/>
          <w:color w:val="000000"/>
          <w:szCs w:val="24"/>
        </w:rPr>
        <w:t>。（101/12/1、113/3/1、114/6/1）</w:t>
      </w:r>
    </w:p>
    <w:p w14:paraId="2AE11482" w14:textId="77777777" w:rsidR="009111AF" w:rsidRDefault="009111AF" w:rsidP="009111AF">
      <w:pPr>
        <w:spacing w:line="300" w:lineRule="exact"/>
        <w:ind w:left="1654" w:hanging="336"/>
        <w:rPr>
          <w:rFonts w:ascii="標楷體" w:eastAsia="標楷體" w:hAnsi="標楷體"/>
          <w:bCs/>
          <w:color w:val="000000"/>
          <w:szCs w:val="24"/>
        </w:rPr>
      </w:pPr>
      <w:r>
        <w:rPr>
          <w:rFonts w:ascii="標楷體" w:eastAsia="標楷體" w:hAnsi="標楷體"/>
          <w:bCs/>
          <w:color w:val="000000"/>
          <w:szCs w:val="24"/>
        </w:rPr>
        <w:t>ii.治療需至少使用3個月，但育齡女性，得不經acitretin使用。</w:t>
      </w:r>
    </w:p>
    <w:p w14:paraId="17DC96E5" w14:textId="77777777" w:rsidR="009111AF" w:rsidRDefault="009111AF" w:rsidP="009111AF">
      <w:pPr>
        <w:spacing w:line="300" w:lineRule="exact"/>
        <w:ind w:left="1654" w:hanging="336"/>
        <w:rPr>
          <w:rFonts w:ascii="標楷體" w:eastAsia="標楷體" w:hAnsi="標楷體"/>
          <w:bCs/>
          <w:color w:val="000000"/>
          <w:szCs w:val="24"/>
        </w:rPr>
      </w:pPr>
      <w:r>
        <w:rPr>
          <w:rFonts w:ascii="標楷體" w:eastAsia="標楷體" w:hAnsi="標楷體"/>
          <w:bCs/>
          <w:color w:val="000000"/>
          <w:szCs w:val="24"/>
        </w:rPr>
        <w:t>iii.照光治療應依學理，如光化療法(PUVA)及窄頻UVB(</w:t>
      </w:r>
      <w:proofErr w:type="spellStart"/>
      <w:r>
        <w:rPr>
          <w:rFonts w:ascii="標楷體" w:eastAsia="標楷體" w:hAnsi="標楷體"/>
          <w:bCs/>
          <w:color w:val="000000"/>
          <w:szCs w:val="24"/>
        </w:rPr>
        <w:t>nb</w:t>
      </w:r>
      <w:proofErr w:type="spellEnd"/>
      <w:r>
        <w:rPr>
          <w:rFonts w:ascii="標楷體" w:eastAsia="標楷體" w:hAnsi="標楷體"/>
          <w:bCs/>
          <w:color w:val="000000"/>
          <w:szCs w:val="24"/>
        </w:rPr>
        <w:t>-UVB)必須每週至少2次，寬頻UVB</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用焦油每週至少3次，並依學理逐漸增加至有效可忍受劑量。申請時必須附病歷影印及詳細照光劑量紀錄。</w:t>
      </w:r>
    </w:p>
    <w:p w14:paraId="0495969A" w14:textId="77777777" w:rsidR="009111AF" w:rsidRDefault="009111AF" w:rsidP="009111AF">
      <w:pPr>
        <w:spacing w:line="300" w:lineRule="exact"/>
        <w:ind w:left="1654" w:hanging="336"/>
      </w:pPr>
      <w:proofErr w:type="spellStart"/>
      <w:r>
        <w:rPr>
          <w:rFonts w:ascii="標楷體" w:eastAsia="標楷體" w:hAnsi="標楷體"/>
          <w:bCs/>
          <w:color w:val="000000"/>
          <w:szCs w:val="24"/>
        </w:rPr>
        <w:t>iv.Methotrexate</w:t>
      </w:r>
      <w:proofErr w:type="spellEnd"/>
      <w:r>
        <w:rPr>
          <w:rFonts w:ascii="標楷體" w:eastAsia="標楷體" w:hAnsi="標楷體"/>
          <w:bCs/>
          <w:color w:val="000000"/>
          <w:szCs w:val="24"/>
        </w:rPr>
        <w:t>合理劑量需達每週15mg, cyclosporin為2.5-5 mg/kg/d, acitretin為0.3-1 mg/kg/d。但若因為藥物毒性無法耐受，使用劑量可酌情降低。</w:t>
      </w:r>
    </w:p>
    <w:p w14:paraId="79BF4964" w14:textId="77777777" w:rsidR="009111AF" w:rsidRDefault="009111AF" w:rsidP="000337EA">
      <w:pPr>
        <w:spacing w:line="300" w:lineRule="exact"/>
        <w:ind w:left="1443" w:hanging="353"/>
        <w:rPr>
          <w:rFonts w:ascii="標楷體" w:eastAsia="標楷體" w:hAnsi="標楷體"/>
          <w:bCs/>
          <w:color w:val="000000"/>
          <w:szCs w:val="24"/>
        </w:rPr>
      </w:pPr>
      <w:r>
        <w:rPr>
          <w:rFonts w:ascii="標楷體" w:eastAsia="標楷體" w:hAnsi="標楷體"/>
          <w:bCs/>
          <w:color w:val="000000"/>
          <w:szCs w:val="24"/>
        </w:rPr>
        <w:t>Ⅴ.所稱</w:t>
      </w:r>
      <w:r w:rsidRPr="000337EA">
        <w:rPr>
          <w:rFonts w:ascii="標楷體" w:eastAsia="標楷體" w:hAnsi="標楷體"/>
          <w:color w:val="000000"/>
          <w:szCs w:val="24"/>
        </w:rPr>
        <w:t>無法</w:t>
      </w:r>
      <w:r>
        <w:rPr>
          <w:rFonts w:ascii="標楷體" w:eastAsia="標楷體" w:hAnsi="標楷體"/>
          <w:bCs/>
          <w:color w:val="000000"/>
          <w:szCs w:val="24"/>
        </w:rPr>
        <w:t>接受治療：</w:t>
      </w:r>
    </w:p>
    <w:p w14:paraId="3A6F6B0D" w14:textId="77777777" w:rsidR="009111AF" w:rsidRDefault="009111AF" w:rsidP="009111AF">
      <w:pPr>
        <w:spacing w:line="300" w:lineRule="exact"/>
        <w:ind w:left="1654" w:hanging="336"/>
        <w:rPr>
          <w:rFonts w:ascii="標楷體" w:eastAsia="標楷體" w:hAnsi="標楷體"/>
          <w:bCs/>
          <w:color w:val="000000"/>
          <w:szCs w:val="24"/>
        </w:rPr>
      </w:pPr>
      <w:proofErr w:type="spellStart"/>
      <w:r>
        <w:rPr>
          <w:rFonts w:ascii="標楷體" w:eastAsia="標楷體" w:hAnsi="標楷體"/>
          <w:bCs/>
          <w:color w:val="000000"/>
          <w:szCs w:val="24"/>
        </w:rPr>
        <w:t>i.Methotrexate</w:t>
      </w:r>
      <w:proofErr w:type="spellEnd"/>
      <w:r>
        <w:rPr>
          <w:rFonts w:ascii="標楷體" w:eastAsia="標楷體" w:hAnsi="標楷體"/>
          <w:bCs/>
          <w:color w:val="000000"/>
          <w:szCs w:val="24"/>
        </w:rPr>
        <w:t>：指因肝功能異常或切片第三期a異常，經6個月後切片仍無改善，或第三期b以上之肝切片異常，病毒性肝炎</w:t>
      </w:r>
      <w:proofErr w:type="gramStart"/>
      <w:r>
        <w:rPr>
          <w:rFonts w:ascii="標楷體" w:eastAsia="標楷體" w:hAnsi="標楷體"/>
          <w:bCs/>
          <w:color w:val="000000"/>
          <w:szCs w:val="24"/>
        </w:rPr>
        <w:t>帶原或腎</w:t>
      </w:r>
      <w:proofErr w:type="gramEnd"/>
      <w:r>
        <w:rPr>
          <w:rFonts w:ascii="標楷體" w:eastAsia="標楷體" w:hAnsi="標楷體"/>
          <w:bCs/>
          <w:color w:val="000000"/>
          <w:szCs w:val="24"/>
        </w:rPr>
        <w:t>功能異常而無法使用methotrexate治療者。</w:t>
      </w:r>
    </w:p>
    <w:p w14:paraId="5F6AB6F3" w14:textId="77777777" w:rsidR="009111AF" w:rsidRDefault="009111AF" w:rsidP="009111AF">
      <w:pPr>
        <w:spacing w:line="300" w:lineRule="exact"/>
        <w:ind w:left="1654" w:hanging="336"/>
        <w:rPr>
          <w:rFonts w:ascii="標楷體" w:eastAsia="標楷體" w:hAnsi="標楷體"/>
          <w:bCs/>
          <w:color w:val="000000"/>
          <w:szCs w:val="24"/>
        </w:rPr>
      </w:pPr>
      <w:proofErr w:type="spellStart"/>
      <w:r>
        <w:rPr>
          <w:rFonts w:ascii="標楷體" w:eastAsia="標楷體" w:hAnsi="標楷體"/>
          <w:bCs/>
          <w:color w:val="000000"/>
          <w:szCs w:val="24"/>
        </w:rPr>
        <w:t>ii.Acitretin</w:t>
      </w:r>
      <w:proofErr w:type="spellEnd"/>
      <w:r>
        <w:rPr>
          <w:rFonts w:ascii="標楷體" w:eastAsia="標楷體" w:hAnsi="標楷體"/>
          <w:bCs/>
          <w:color w:val="000000"/>
          <w:szCs w:val="24"/>
        </w:rPr>
        <w:t>：指有明顯肝功能異常、高血脂無法有效控制，或cyclosporin有效但停藥後迅速復發，已持續</w:t>
      </w:r>
      <w:proofErr w:type="gramStart"/>
      <w:r>
        <w:rPr>
          <w:rFonts w:ascii="標楷體" w:eastAsia="標楷體" w:hAnsi="標楷體"/>
          <w:bCs/>
          <w:color w:val="000000"/>
          <w:szCs w:val="24"/>
        </w:rPr>
        <w:t>使用超用1年</w:t>
      </w:r>
      <w:proofErr w:type="gramEnd"/>
      <w:r>
        <w:rPr>
          <w:rFonts w:ascii="標楷體" w:eastAsia="標楷體" w:hAnsi="標楷體"/>
          <w:bCs/>
          <w:color w:val="000000"/>
          <w:szCs w:val="24"/>
        </w:rPr>
        <w:t>，或已產生腎毒性經減量後無法有效控制者。</w:t>
      </w:r>
    </w:p>
    <w:p w14:paraId="1BF97154" w14:textId="77777777" w:rsidR="009111AF" w:rsidRDefault="009111AF" w:rsidP="000337EA">
      <w:pPr>
        <w:ind w:left="1560" w:hanging="426"/>
        <w:rPr>
          <w:rFonts w:ascii="標楷體" w:eastAsia="標楷體" w:hAnsi="標楷體"/>
          <w:color w:val="000000"/>
          <w:szCs w:val="24"/>
        </w:rPr>
      </w:pPr>
      <w:r>
        <w:rPr>
          <w:rFonts w:ascii="標楷體" w:eastAsia="標楷體" w:hAnsi="標楷體"/>
          <w:color w:val="000000"/>
          <w:szCs w:val="24"/>
        </w:rPr>
        <w:lastRenderedPageBreak/>
        <w:t>(2)</w:t>
      </w:r>
      <w:r w:rsidRPr="000337EA">
        <w:rPr>
          <w:rFonts w:ascii="標楷體" w:eastAsia="標楷體" w:hAnsi="標楷體"/>
          <w:color w:val="000000"/>
        </w:rPr>
        <w:t>用於</w:t>
      </w:r>
      <w:r>
        <w:rPr>
          <w:rFonts w:ascii="標楷體" w:eastAsia="標楷體" w:hAnsi="標楷體"/>
          <w:color w:val="000000"/>
          <w:szCs w:val="24"/>
        </w:rPr>
        <w:t>全身型急性膿疱性乾癬(限經衛生主管機關核准許可證登載此適應症之藥品)：</w:t>
      </w:r>
      <w:proofErr w:type="gramStart"/>
      <w:r>
        <w:rPr>
          <w:rFonts w:ascii="標楷體" w:eastAsia="標楷體" w:hAnsi="標楷體"/>
          <w:color w:val="000000"/>
          <w:szCs w:val="24"/>
        </w:rPr>
        <w:t>經確診</w:t>
      </w:r>
      <w:proofErr w:type="gramEnd"/>
      <w:r>
        <w:rPr>
          <w:rFonts w:ascii="標楷體" w:eastAsia="標楷體" w:hAnsi="標楷體"/>
          <w:color w:val="000000"/>
          <w:szCs w:val="24"/>
        </w:rPr>
        <w:t>為全身型急性膿疱性乾癬，且符合以下所有條件者，即可申請有全身型膿疱性乾癬適應症之生物製劑，每次申請以4週為原則，供當次或下次發作使用，之後申請得依前次病情需要(經生物製劑治療後膿疱仍持續超過4週)可申請延長至最長8週用藥。下次申請使用，</w:t>
      </w:r>
      <w:proofErr w:type="gramStart"/>
      <w:r>
        <w:rPr>
          <w:rFonts w:ascii="標楷體" w:eastAsia="標楷體" w:hAnsi="標楷體"/>
          <w:color w:val="000000"/>
          <w:szCs w:val="24"/>
        </w:rPr>
        <w:t>需相隔至少</w:t>
      </w:r>
      <w:proofErr w:type="gramEnd"/>
      <w:r>
        <w:rPr>
          <w:rFonts w:ascii="標楷體" w:eastAsia="標楷體" w:hAnsi="標楷體"/>
          <w:color w:val="000000"/>
          <w:szCs w:val="24"/>
        </w:rPr>
        <w:t>12</w:t>
      </w:r>
      <w:proofErr w:type="gramStart"/>
      <w:r>
        <w:rPr>
          <w:rFonts w:ascii="標楷體" w:eastAsia="標楷體" w:hAnsi="標楷體"/>
          <w:color w:val="000000"/>
          <w:szCs w:val="24"/>
        </w:rPr>
        <w:t>週</w:t>
      </w:r>
      <w:proofErr w:type="gramEnd"/>
      <w:r>
        <w:rPr>
          <w:rFonts w:ascii="標楷體" w:eastAsia="標楷體" w:hAnsi="標楷體"/>
          <w:color w:val="000000"/>
          <w:szCs w:val="24"/>
        </w:rPr>
        <w:t>。（110/5/1）</w:t>
      </w:r>
    </w:p>
    <w:p w14:paraId="4B7D7051" w14:textId="77777777" w:rsidR="009111AF" w:rsidRDefault="009111AF" w:rsidP="009111AF">
      <w:pPr>
        <w:spacing w:line="300" w:lineRule="exact"/>
        <w:ind w:left="1443" w:hanging="353"/>
        <w:rPr>
          <w:rFonts w:ascii="標楷體" w:eastAsia="標楷體" w:hAnsi="標楷體"/>
          <w:color w:val="000000"/>
          <w:szCs w:val="24"/>
        </w:rPr>
      </w:pPr>
      <w:r>
        <w:rPr>
          <w:rFonts w:ascii="標楷體" w:eastAsia="標楷體" w:hAnsi="標楷體"/>
          <w:color w:val="000000"/>
          <w:szCs w:val="24"/>
        </w:rPr>
        <w:t>Ⅰ.18歲以上且有懷孕可能之患者。</w:t>
      </w:r>
    </w:p>
    <w:p w14:paraId="264AB43C" w14:textId="77777777" w:rsidR="009111AF" w:rsidRDefault="009111AF" w:rsidP="009111AF">
      <w:pPr>
        <w:spacing w:line="300" w:lineRule="exact"/>
        <w:ind w:left="1443" w:hanging="353"/>
        <w:rPr>
          <w:rFonts w:ascii="標楷體" w:eastAsia="標楷體" w:hAnsi="標楷體"/>
          <w:color w:val="000000"/>
          <w:szCs w:val="24"/>
        </w:rPr>
      </w:pPr>
      <w:r>
        <w:rPr>
          <w:rFonts w:ascii="標楷體" w:eastAsia="標楷體" w:hAnsi="標楷體"/>
          <w:color w:val="000000"/>
          <w:szCs w:val="24"/>
        </w:rPr>
        <w:t>Ⅱ.伴有膿疱之紅腫部位侵犯體表面積&gt;10%且伴隨系統性症狀包括發燒及白血球增多症等。</w:t>
      </w:r>
    </w:p>
    <w:p w14:paraId="1AF12F5A" w14:textId="77777777" w:rsidR="009111AF" w:rsidRDefault="009111AF" w:rsidP="000337EA">
      <w:pPr>
        <w:ind w:left="1134" w:hanging="283"/>
        <w:rPr>
          <w:rFonts w:ascii="標楷體" w:eastAsia="標楷體" w:hAnsi="標楷體"/>
          <w:bCs/>
          <w:color w:val="000000"/>
          <w:szCs w:val="24"/>
        </w:rPr>
      </w:pPr>
      <w:r>
        <w:rPr>
          <w:rFonts w:ascii="標楷體" w:eastAsia="標楷體" w:hAnsi="標楷體"/>
          <w:bCs/>
          <w:color w:val="000000"/>
          <w:szCs w:val="24"/>
        </w:rPr>
        <w:t>2.需經事前審查核准後使用：</w:t>
      </w:r>
    </w:p>
    <w:p w14:paraId="31B24319"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 xml:space="preserve">(1)初次申請時，以6個月為1個療程，肝腎功能不佳者，必須先經照光及使用apremilast或 </w:t>
      </w:r>
      <w:proofErr w:type="spellStart"/>
      <w:r w:rsidRPr="000337EA">
        <w:rPr>
          <w:rFonts w:ascii="標楷體" w:eastAsia="標楷體" w:hAnsi="標楷體"/>
          <w:color w:val="000000"/>
        </w:rPr>
        <w:t>deucravacitinib</w:t>
      </w:r>
      <w:proofErr w:type="spellEnd"/>
      <w:r w:rsidRPr="000337EA">
        <w:rPr>
          <w:rFonts w:ascii="標楷體" w:eastAsia="標楷體" w:hAnsi="標楷體"/>
          <w:color w:val="000000"/>
        </w:rPr>
        <w:t>無效後，始得申請使用，持續使用時每6個月需再申報一次，且應於期滿前1個月提出。（101/12/1、113/3/1、114/6/1）</w:t>
      </w:r>
    </w:p>
    <w:p w14:paraId="1EC4E0CA"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(2)紅</w:t>
      </w:r>
      <w:proofErr w:type="gramStart"/>
      <w:r w:rsidRPr="000337EA">
        <w:rPr>
          <w:rFonts w:ascii="標楷體" w:eastAsia="標楷體" w:hAnsi="標楷體"/>
          <w:color w:val="000000"/>
        </w:rPr>
        <w:t>皮症乾癬</w:t>
      </w:r>
      <w:proofErr w:type="gramEnd"/>
      <w:r w:rsidRPr="000337EA">
        <w:rPr>
          <w:rFonts w:ascii="標楷體" w:eastAsia="標楷體" w:hAnsi="標楷體"/>
          <w:color w:val="000000"/>
        </w:rPr>
        <w:t>病患以6個月為限，於6個月療程結束後，應回復使用cyclosporin，除非產生腎功能異常(Creatinine基礎值上升</w:t>
      </w:r>
      <w:proofErr w:type="gramStart"/>
      <w:r w:rsidRPr="000337EA">
        <w:rPr>
          <w:rFonts w:ascii="標楷體" w:eastAsia="標楷體" w:hAnsi="標楷體"/>
          <w:color w:val="000000"/>
        </w:rPr>
        <w:t>≧</w:t>
      </w:r>
      <w:proofErr w:type="gramEnd"/>
      <w:r w:rsidRPr="000337EA">
        <w:rPr>
          <w:rFonts w:ascii="標楷體" w:eastAsia="標楷體" w:hAnsi="標楷體"/>
          <w:color w:val="000000"/>
        </w:rPr>
        <w:t>30%)，或其他無法有效控制之副作用，減藥後</w:t>
      </w:r>
      <w:proofErr w:type="gramStart"/>
      <w:r w:rsidRPr="000337EA">
        <w:rPr>
          <w:rFonts w:ascii="標楷體" w:eastAsia="標楷體" w:hAnsi="標楷體"/>
          <w:color w:val="000000"/>
        </w:rPr>
        <w:t>乾癬仍無法</w:t>
      </w:r>
      <w:proofErr w:type="gramEnd"/>
      <w:r w:rsidRPr="000337EA">
        <w:rPr>
          <w:rFonts w:ascii="標楷體" w:eastAsia="標楷體" w:hAnsi="標楷體"/>
          <w:color w:val="000000"/>
        </w:rPr>
        <w:t>有效控制。（101/12/1）</w:t>
      </w:r>
    </w:p>
    <w:p w14:paraId="01F05C89"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 xml:space="preserve">(3)Etanercept初期3個月可使用50mg </w:t>
      </w:r>
      <w:proofErr w:type="spellStart"/>
      <w:r w:rsidRPr="000337EA">
        <w:rPr>
          <w:rFonts w:ascii="標楷體" w:eastAsia="標楷體" w:hAnsi="標楷體"/>
          <w:color w:val="000000"/>
        </w:rPr>
        <w:t>biw</w:t>
      </w:r>
      <w:proofErr w:type="spellEnd"/>
      <w:r w:rsidRPr="000337EA">
        <w:rPr>
          <w:rFonts w:ascii="標楷體" w:eastAsia="標楷體" w:hAnsi="標楷體"/>
          <w:color w:val="000000"/>
        </w:rPr>
        <w:t xml:space="preserve">，之後則為25mg </w:t>
      </w:r>
      <w:proofErr w:type="spellStart"/>
      <w:r w:rsidRPr="000337EA">
        <w:rPr>
          <w:rFonts w:ascii="標楷體" w:eastAsia="標楷體" w:hAnsi="標楷體"/>
          <w:color w:val="000000"/>
        </w:rPr>
        <w:t>biw</w:t>
      </w:r>
      <w:proofErr w:type="spellEnd"/>
      <w:r w:rsidRPr="000337EA">
        <w:rPr>
          <w:rFonts w:ascii="標楷體" w:eastAsia="標楷體" w:hAnsi="標楷體"/>
          <w:color w:val="000000"/>
        </w:rPr>
        <w:t>，且於12</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時，需先行評估，至少有PASI25療效。</w:t>
      </w:r>
    </w:p>
    <w:p w14:paraId="7D1A9B41"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(4)Adalimumab初次</w:t>
      </w:r>
      <w:proofErr w:type="gramStart"/>
      <w:r w:rsidRPr="000337EA">
        <w:rPr>
          <w:rFonts w:ascii="標楷體" w:eastAsia="標楷體" w:hAnsi="標楷體"/>
          <w:color w:val="000000"/>
        </w:rPr>
        <w:t>投予為</w:t>
      </w:r>
      <w:proofErr w:type="gramEnd"/>
      <w:r w:rsidRPr="000337EA">
        <w:rPr>
          <w:rFonts w:ascii="標楷體" w:eastAsia="標楷體" w:hAnsi="標楷體"/>
          <w:color w:val="000000"/>
        </w:rPr>
        <w:t xml:space="preserve">80mg，之後則為40mg </w:t>
      </w:r>
      <w:proofErr w:type="spellStart"/>
      <w:r w:rsidRPr="000337EA">
        <w:rPr>
          <w:rFonts w:ascii="標楷體" w:eastAsia="標楷體" w:hAnsi="標楷體"/>
          <w:color w:val="000000"/>
        </w:rPr>
        <w:t>qow</w:t>
      </w:r>
      <w:proofErr w:type="spellEnd"/>
      <w:r w:rsidRPr="000337EA">
        <w:rPr>
          <w:rFonts w:ascii="標楷體" w:eastAsia="標楷體" w:hAnsi="標楷體"/>
          <w:color w:val="000000"/>
        </w:rPr>
        <w:t>，且於12</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時，須先行評估，至少有PASI25療效。(100/7/1)</w:t>
      </w:r>
    </w:p>
    <w:p w14:paraId="00C30242"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(5)Ustekinumab：</w:t>
      </w:r>
    </w:p>
    <w:p w14:paraId="543A48E9" w14:textId="77777777" w:rsidR="009111AF" w:rsidRPr="000337EA" w:rsidRDefault="009111AF" w:rsidP="000337EA">
      <w:pPr>
        <w:ind w:left="1843" w:hanging="426"/>
        <w:rPr>
          <w:rFonts w:ascii="標楷體" w:eastAsia="標楷體" w:hAnsi="標楷體"/>
          <w:color w:val="000000"/>
        </w:rPr>
      </w:pPr>
      <w:proofErr w:type="spellStart"/>
      <w:r w:rsidRPr="000337EA">
        <w:rPr>
          <w:rFonts w:ascii="標楷體" w:eastAsia="標楷體" w:hAnsi="標楷體"/>
          <w:color w:val="000000"/>
        </w:rPr>
        <w:t>i</w:t>
      </w:r>
      <w:proofErr w:type="spellEnd"/>
      <w:r w:rsidRPr="000337EA">
        <w:rPr>
          <w:rFonts w:ascii="標楷體" w:eastAsia="標楷體" w:hAnsi="標楷體"/>
          <w:color w:val="000000"/>
        </w:rPr>
        <w:t>.初次及4</w:t>
      </w:r>
      <w:proofErr w:type="gramStart"/>
      <w:r w:rsidRPr="000337EA">
        <w:rPr>
          <w:rFonts w:ascii="標楷體" w:eastAsia="標楷體" w:hAnsi="標楷體"/>
          <w:color w:val="000000"/>
        </w:rPr>
        <w:t>週後投予</w:t>
      </w:r>
      <w:proofErr w:type="gramEnd"/>
      <w:r w:rsidRPr="000337EA">
        <w:rPr>
          <w:rFonts w:ascii="標楷體" w:eastAsia="標楷體" w:hAnsi="標楷體"/>
          <w:color w:val="000000"/>
        </w:rPr>
        <w:t>45mg，之後則為45mg q12w（對於初次使用45mg反應不完全*，或體重大於100公斤病患，得初次及4</w:t>
      </w:r>
      <w:proofErr w:type="gramStart"/>
      <w:r w:rsidRPr="000337EA">
        <w:rPr>
          <w:rFonts w:ascii="標楷體" w:eastAsia="標楷體" w:hAnsi="標楷體"/>
          <w:color w:val="000000"/>
        </w:rPr>
        <w:t>週後投予</w:t>
      </w:r>
      <w:proofErr w:type="gramEnd"/>
      <w:r w:rsidRPr="000337EA">
        <w:rPr>
          <w:rFonts w:ascii="標楷體" w:eastAsia="標楷體" w:hAnsi="標楷體"/>
          <w:color w:val="000000"/>
        </w:rPr>
        <w:t>90mg，之後則為90mg q12w），且於16</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時，需先行評估，至少有PASI25療效。(101/5/1、109/9/1)</w:t>
      </w:r>
    </w:p>
    <w:p w14:paraId="5B0BEF8E" w14:textId="77777777" w:rsidR="009111AF" w:rsidRPr="000337EA" w:rsidRDefault="009111AF" w:rsidP="000337EA">
      <w:pPr>
        <w:ind w:left="1843" w:hanging="426"/>
        <w:rPr>
          <w:rFonts w:ascii="標楷體" w:eastAsia="標楷體" w:hAnsi="標楷體"/>
          <w:color w:val="000000"/>
        </w:rPr>
      </w:pPr>
      <w:proofErr w:type="gramStart"/>
      <w:r w:rsidRPr="000337EA">
        <w:rPr>
          <w:rFonts w:ascii="標楷體" w:eastAsia="標楷體" w:hAnsi="標楷體"/>
          <w:color w:val="000000"/>
        </w:rPr>
        <w:t>註</w:t>
      </w:r>
      <w:proofErr w:type="gramEnd"/>
      <w:r w:rsidRPr="000337EA">
        <w:rPr>
          <w:rFonts w:ascii="標楷體" w:eastAsia="標楷體" w:hAnsi="標楷體"/>
          <w:color w:val="000000"/>
        </w:rPr>
        <w:t>*：治療後雖然有達成PASI50療效，但仍有PASI&gt;1，體表面積&gt;3，或是病灶存在外露明顯部位(臉部、指甲、手部)者。</w:t>
      </w:r>
    </w:p>
    <w:p w14:paraId="73F208E1" w14:textId="77777777" w:rsidR="009111AF" w:rsidRPr="000337EA" w:rsidRDefault="009111AF" w:rsidP="000337EA">
      <w:pPr>
        <w:ind w:left="1843" w:hanging="426"/>
        <w:rPr>
          <w:rFonts w:ascii="標楷體" w:eastAsia="標楷體" w:hAnsi="標楷體"/>
          <w:color w:val="000000"/>
        </w:rPr>
      </w:pPr>
      <w:r w:rsidRPr="000337EA">
        <w:rPr>
          <w:rFonts w:ascii="標楷體" w:eastAsia="標楷體" w:hAnsi="標楷體"/>
          <w:color w:val="000000"/>
        </w:rPr>
        <w:t>ii.若使用劑量為90mg（含）以上，限使用90mg(1mL)規格量。(109/9/1)</w:t>
      </w:r>
    </w:p>
    <w:p w14:paraId="274B87F7"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(6)</w:t>
      </w:r>
      <w:proofErr w:type="spellStart"/>
      <w:r w:rsidRPr="000337EA">
        <w:rPr>
          <w:rFonts w:ascii="標楷體" w:eastAsia="標楷體" w:hAnsi="標楷體"/>
          <w:color w:val="000000"/>
        </w:rPr>
        <w:t>Secukinumab</w:t>
      </w:r>
      <w:proofErr w:type="spellEnd"/>
      <w:r w:rsidRPr="000337EA">
        <w:rPr>
          <w:rFonts w:ascii="標楷體" w:eastAsia="標楷體" w:hAnsi="標楷體"/>
          <w:color w:val="000000"/>
        </w:rPr>
        <w:t>起始於第0,1,2,3,4</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300mg，接著於第4</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開始於每4</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300mg (體重</w:t>
      </w:r>
      <w:r w:rsidRPr="000337EA">
        <w:rPr>
          <w:rFonts w:ascii="Times New Roman" w:eastAsia="標楷體" w:hAnsi="Times New Roman"/>
          <w:color w:val="000000"/>
        </w:rPr>
        <w:t>≤</w:t>
      </w:r>
      <w:r w:rsidRPr="000337EA">
        <w:rPr>
          <w:rFonts w:ascii="標楷體" w:eastAsia="標楷體" w:hAnsi="標楷體"/>
          <w:color w:val="000000"/>
        </w:rPr>
        <w:t>60kg，投予150 mg的劑量)，且於12週時，須先行評估，至少有PASI25療效。</w:t>
      </w:r>
    </w:p>
    <w:p w14:paraId="17ABDBAF"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(7)</w:t>
      </w:r>
      <w:proofErr w:type="spellStart"/>
      <w:r w:rsidRPr="000337EA">
        <w:rPr>
          <w:rFonts w:ascii="標楷體" w:eastAsia="標楷體" w:hAnsi="標楷體"/>
          <w:color w:val="000000"/>
        </w:rPr>
        <w:t>Ixekizumab</w:t>
      </w:r>
      <w:proofErr w:type="spellEnd"/>
      <w:r w:rsidRPr="000337EA">
        <w:rPr>
          <w:rFonts w:ascii="標楷體" w:eastAsia="標楷體" w:hAnsi="標楷體"/>
          <w:color w:val="000000"/>
        </w:rPr>
        <w:t>起始於第0</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160 mg，接著於第2,4,6,8,10,12</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80mg，之後每4</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80mg，且於12</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時，須先行評估，至少有PASI25療效。(107/8/1)</w:t>
      </w:r>
    </w:p>
    <w:p w14:paraId="371790F5"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(8)</w:t>
      </w:r>
      <w:proofErr w:type="spellStart"/>
      <w:r w:rsidRPr="000337EA">
        <w:rPr>
          <w:rFonts w:ascii="標楷體" w:eastAsia="標楷體" w:hAnsi="標楷體"/>
          <w:color w:val="000000"/>
        </w:rPr>
        <w:t>Guselkumab</w:t>
      </w:r>
      <w:proofErr w:type="spellEnd"/>
      <w:r w:rsidRPr="000337EA">
        <w:rPr>
          <w:rFonts w:ascii="標楷體" w:eastAsia="標楷體" w:hAnsi="標楷體"/>
          <w:color w:val="000000"/>
        </w:rPr>
        <w:t>起始於第0</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100 mg，接著於第4</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100mg，之後每8</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100mg，且於12</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時，須先行評估，至少有PASI25療效。(108/3/1)</w:t>
      </w:r>
    </w:p>
    <w:p w14:paraId="1E20CC51"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(9)</w:t>
      </w:r>
      <w:proofErr w:type="spellStart"/>
      <w:r w:rsidRPr="000337EA">
        <w:rPr>
          <w:rFonts w:ascii="標楷體" w:eastAsia="標楷體" w:hAnsi="標楷體"/>
          <w:color w:val="000000"/>
        </w:rPr>
        <w:t>Brodalumab</w:t>
      </w:r>
      <w:proofErr w:type="spellEnd"/>
      <w:r w:rsidRPr="000337EA">
        <w:rPr>
          <w:rFonts w:ascii="標楷體" w:eastAsia="標楷體" w:hAnsi="標楷體"/>
          <w:color w:val="000000"/>
        </w:rPr>
        <w:t>起始於第0</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210 mg，接著於第1</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及第2</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210mg，之後每2</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210mg，且於12</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時，須先行評估，至少有PASI25療效。(108/4/1)</w:t>
      </w:r>
    </w:p>
    <w:p w14:paraId="6B4AF393"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(10)Risankizumab起始於第0</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150mg，接著於第4</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150mg，之後每12</w:t>
      </w:r>
      <w:proofErr w:type="gramStart"/>
      <w:r w:rsidRPr="000337EA">
        <w:rPr>
          <w:rFonts w:ascii="標楷體" w:eastAsia="標楷體" w:hAnsi="標楷體"/>
          <w:color w:val="000000"/>
        </w:rPr>
        <w:t>週投予</w:t>
      </w:r>
      <w:proofErr w:type="gramEnd"/>
      <w:r w:rsidRPr="000337EA">
        <w:rPr>
          <w:rFonts w:ascii="標楷體" w:eastAsia="標楷體" w:hAnsi="標楷體"/>
          <w:color w:val="000000"/>
        </w:rPr>
        <w:t>150mg。且於16</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時，須先行評估至少有PASI 75療效。(109/12/1)</w:t>
      </w:r>
    </w:p>
    <w:p w14:paraId="356F386D"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 xml:space="preserve">(11)Certolizumab起始建議劑量為第0 </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、第2</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及第4</w:t>
      </w:r>
      <w:proofErr w:type="gramStart"/>
      <w:r w:rsidRPr="000337EA">
        <w:rPr>
          <w:rFonts w:ascii="標楷體" w:eastAsia="標楷體" w:hAnsi="標楷體"/>
          <w:color w:val="000000"/>
        </w:rPr>
        <w:t>週各投予</w:t>
      </w:r>
      <w:proofErr w:type="gramEnd"/>
      <w:r w:rsidRPr="000337EA">
        <w:rPr>
          <w:rFonts w:ascii="標楷體" w:eastAsia="標楷體" w:hAnsi="標楷體"/>
          <w:color w:val="000000"/>
        </w:rPr>
        <w:t>400mg，之後每2</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200 mg。於懷孕哺乳期間若已接受其他生物製劑治療者，得改申請certolizumab。若症狀嚴重程度已符合生物製劑申請條件但尚未接受生物製劑治療者，不</w:t>
      </w:r>
      <w:proofErr w:type="gramStart"/>
      <w:r w:rsidRPr="000337EA">
        <w:rPr>
          <w:rFonts w:ascii="標楷體" w:eastAsia="標楷體" w:hAnsi="標楷體"/>
          <w:color w:val="000000"/>
        </w:rPr>
        <w:t>須受照光</w:t>
      </w:r>
      <w:proofErr w:type="gramEnd"/>
      <w:r w:rsidRPr="000337EA">
        <w:rPr>
          <w:rFonts w:ascii="標楷體" w:eastAsia="標楷體" w:hAnsi="標楷體"/>
          <w:color w:val="000000"/>
        </w:rPr>
        <w:t>治療及其他系統性治療無效才得申請之限制，得於懷</w:t>
      </w:r>
      <w:r w:rsidRPr="000337EA">
        <w:rPr>
          <w:rFonts w:ascii="標楷體" w:eastAsia="標楷體" w:hAnsi="標楷體"/>
          <w:color w:val="000000"/>
        </w:rPr>
        <w:lastRenderedPageBreak/>
        <w:t xml:space="preserve">孕哺乳期申請certolizumab。 (110/7/1) </w:t>
      </w:r>
    </w:p>
    <w:p w14:paraId="06D48857"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hint="eastAsia"/>
          <w:color w:val="000000"/>
        </w:rPr>
        <w:t>(12)</w:t>
      </w:r>
      <w:proofErr w:type="spellStart"/>
      <w:r w:rsidRPr="000337EA">
        <w:rPr>
          <w:rFonts w:ascii="標楷體" w:eastAsia="標楷體" w:hAnsi="標楷體" w:hint="eastAsia"/>
          <w:color w:val="000000"/>
        </w:rPr>
        <w:t>Bimekizumab</w:t>
      </w:r>
      <w:proofErr w:type="spellEnd"/>
      <w:r w:rsidRPr="000337EA">
        <w:rPr>
          <w:rFonts w:ascii="標楷體" w:eastAsia="標楷體" w:hAnsi="標楷體" w:hint="eastAsia"/>
          <w:color w:val="000000"/>
        </w:rPr>
        <w:t>起始於第0,4,8,12,16</w:t>
      </w:r>
      <w:proofErr w:type="gramStart"/>
      <w:r w:rsidRPr="000337EA">
        <w:rPr>
          <w:rFonts w:ascii="標楷體" w:eastAsia="標楷體" w:hAnsi="標楷體" w:hint="eastAsia"/>
          <w:color w:val="000000"/>
        </w:rPr>
        <w:t>週投予</w:t>
      </w:r>
      <w:proofErr w:type="gramEnd"/>
      <w:r w:rsidRPr="000337EA">
        <w:rPr>
          <w:rFonts w:ascii="標楷體" w:eastAsia="標楷體" w:hAnsi="標楷體" w:hint="eastAsia"/>
          <w:color w:val="000000"/>
        </w:rPr>
        <w:t>320mg，之後每8</w:t>
      </w:r>
      <w:proofErr w:type="gramStart"/>
      <w:r w:rsidRPr="000337EA">
        <w:rPr>
          <w:rFonts w:ascii="標楷體" w:eastAsia="標楷體" w:hAnsi="標楷體" w:hint="eastAsia"/>
          <w:color w:val="000000"/>
        </w:rPr>
        <w:t>週投予</w:t>
      </w:r>
      <w:proofErr w:type="gramEnd"/>
      <w:r w:rsidRPr="000337EA">
        <w:rPr>
          <w:rFonts w:ascii="標楷體" w:eastAsia="標楷體" w:hAnsi="標楷體" w:hint="eastAsia"/>
          <w:color w:val="000000"/>
        </w:rPr>
        <w:t>320mg，且於16</w:t>
      </w:r>
      <w:proofErr w:type="gramStart"/>
      <w:r w:rsidRPr="000337EA">
        <w:rPr>
          <w:rFonts w:ascii="標楷體" w:eastAsia="標楷體" w:hAnsi="標楷體" w:hint="eastAsia"/>
          <w:color w:val="000000"/>
        </w:rPr>
        <w:t>週</w:t>
      </w:r>
      <w:proofErr w:type="gramEnd"/>
      <w:r w:rsidRPr="000337EA">
        <w:rPr>
          <w:rFonts w:ascii="標楷體" w:eastAsia="標楷體" w:hAnsi="標楷體" w:hint="eastAsia"/>
          <w:color w:val="000000"/>
        </w:rPr>
        <w:t>時，須先行評估，至少有 PASI25療效。(115/5/1)</w:t>
      </w:r>
    </w:p>
    <w:p w14:paraId="227F23CF"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(1</w:t>
      </w:r>
      <w:r w:rsidRPr="000337EA">
        <w:rPr>
          <w:rFonts w:ascii="標楷體" w:eastAsia="標楷體" w:hAnsi="標楷體" w:hint="eastAsia"/>
          <w:color w:val="000000"/>
        </w:rPr>
        <w:t>3</w:t>
      </w:r>
      <w:r w:rsidRPr="000337EA">
        <w:rPr>
          <w:rFonts w:ascii="標楷體" w:eastAsia="標楷體" w:hAnsi="標楷體"/>
          <w:color w:val="000000"/>
        </w:rPr>
        <w:t>)原先使用cyclosporin控制</w:t>
      </w:r>
      <w:proofErr w:type="gramStart"/>
      <w:r w:rsidRPr="000337EA">
        <w:rPr>
          <w:rFonts w:ascii="標楷體" w:eastAsia="標楷體" w:hAnsi="標楷體"/>
          <w:color w:val="000000"/>
        </w:rPr>
        <w:t>有效且腎功能</w:t>
      </w:r>
      <w:proofErr w:type="gramEnd"/>
      <w:r w:rsidRPr="000337EA">
        <w:rPr>
          <w:rFonts w:ascii="標楷體" w:eastAsia="標楷體" w:hAnsi="標楷體"/>
          <w:color w:val="000000"/>
        </w:rPr>
        <w:t>異常(Creatinine基礎值上升</w:t>
      </w:r>
      <w:proofErr w:type="gramStart"/>
      <w:r w:rsidRPr="000337EA">
        <w:rPr>
          <w:rFonts w:ascii="標楷體" w:eastAsia="標楷體" w:hAnsi="標楷體"/>
          <w:color w:val="000000"/>
        </w:rPr>
        <w:t>≧</w:t>
      </w:r>
      <w:proofErr w:type="gramEnd"/>
      <w:r w:rsidRPr="000337EA">
        <w:rPr>
          <w:rFonts w:ascii="標楷體" w:eastAsia="標楷體" w:hAnsi="標楷體"/>
          <w:color w:val="000000"/>
        </w:rPr>
        <w:t>30%)者，於6個月療程結束後，應回復使用cyclosporin，除非產生腎功能異常，或其他無法有效控制之副作用，減藥後</w:t>
      </w:r>
      <w:proofErr w:type="gramStart"/>
      <w:r w:rsidRPr="000337EA">
        <w:rPr>
          <w:rFonts w:ascii="標楷體" w:eastAsia="標楷體" w:hAnsi="標楷體"/>
          <w:color w:val="000000"/>
        </w:rPr>
        <w:t>乾癬仍無法</w:t>
      </w:r>
      <w:proofErr w:type="gramEnd"/>
      <w:r w:rsidRPr="000337EA">
        <w:rPr>
          <w:rFonts w:ascii="標楷體" w:eastAsia="標楷體" w:hAnsi="標楷體"/>
          <w:color w:val="000000"/>
        </w:rPr>
        <w:t>有效控制，否則下次申請應於1年後。</w:t>
      </w:r>
    </w:p>
    <w:p w14:paraId="028D8A81"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(1</w:t>
      </w:r>
      <w:r w:rsidRPr="000337EA">
        <w:rPr>
          <w:rFonts w:ascii="標楷體" w:eastAsia="標楷體" w:hAnsi="標楷體" w:hint="eastAsia"/>
          <w:color w:val="000000"/>
        </w:rPr>
        <w:t>4</w:t>
      </w:r>
      <w:r w:rsidRPr="000337EA">
        <w:rPr>
          <w:rFonts w:ascii="標楷體" w:eastAsia="標楷體" w:hAnsi="標楷體"/>
          <w:color w:val="000000"/>
        </w:rPr>
        <w:t>)初次申請後每6個月須再次申請續用，續用時，與初次治療前之療效達PASI50方可使用；其中</w:t>
      </w:r>
      <w:proofErr w:type="spellStart"/>
      <w:r w:rsidRPr="000337EA">
        <w:rPr>
          <w:rFonts w:ascii="標楷體" w:eastAsia="標楷體" w:hAnsi="標楷體"/>
          <w:color w:val="000000"/>
        </w:rPr>
        <w:t>risankizumab</w:t>
      </w:r>
      <w:proofErr w:type="spellEnd"/>
      <w:r w:rsidRPr="000337EA">
        <w:rPr>
          <w:rFonts w:ascii="標楷體" w:eastAsia="標楷體" w:hAnsi="標楷體"/>
          <w:color w:val="000000"/>
        </w:rPr>
        <w:t xml:space="preserve">續用時，與初次治療前之療效達PASI 75方可使用續用；且etanercept再次申請時僅限使用25mg </w:t>
      </w:r>
      <w:proofErr w:type="spellStart"/>
      <w:r w:rsidRPr="000337EA">
        <w:rPr>
          <w:rFonts w:ascii="標楷體" w:eastAsia="標楷體" w:hAnsi="標楷體"/>
          <w:color w:val="000000"/>
        </w:rPr>
        <w:t>biw</w:t>
      </w:r>
      <w:proofErr w:type="spellEnd"/>
      <w:r w:rsidRPr="000337EA">
        <w:rPr>
          <w:rFonts w:ascii="標楷體" w:eastAsia="標楷體" w:hAnsi="標楷體"/>
          <w:color w:val="000000"/>
        </w:rPr>
        <w:t>之劑量。停藥超過3個月再申請者，視同新申請案件，否則視為續用案件。（101/12/1、104/4/1、109/12/1）</w:t>
      </w:r>
    </w:p>
    <w:p w14:paraId="0B072339" w14:textId="77777777" w:rsidR="009111AF" w:rsidRPr="000337EA" w:rsidRDefault="009111AF" w:rsidP="000337EA">
      <w:pPr>
        <w:ind w:left="1134" w:hanging="283"/>
        <w:rPr>
          <w:rFonts w:ascii="標楷體" w:eastAsia="標楷體" w:hAnsi="標楷體"/>
          <w:color w:val="000000"/>
        </w:rPr>
      </w:pPr>
      <w:r w:rsidRPr="000337EA">
        <w:rPr>
          <w:rFonts w:ascii="標楷體" w:eastAsia="標楷體" w:hAnsi="標楷體"/>
          <w:color w:val="000000"/>
        </w:rPr>
        <w:t>3.使用生物</w:t>
      </w:r>
      <w:proofErr w:type="gramStart"/>
      <w:r w:rsidRPr="000337EA">
        <w:rPr>
          <w:rFonts w:ascii="標楷體" w:eastAsia="標楷體" w:hAnsi="標楷體"/>
          <w:color w:val="000000"/>
        </w:rPr>
        <w:t>製劑時</w:t>
      </w:r>
      <w:proofErr w:type="gramEnd"/>
      <w:r w:rsidRPr="000337EA">
        <w:rPr>
          <w:rFonts w:ascii="標楷體" w:eastAsia="標楷體" w:hAnsi="標楷體"/>
          <w:color w:val="000000"/>
        </w:rPr>
        <w:t>，考慮</w:t>
      </w:r>
      <w:proofErr w:type="gramStart"/>
      <w:r w:rsidRPr="000337EA">
        <w:rPr>
          <w:rFonts w:ascii="標楷體" w:eastAsia="標楷體" w:hAnsi="標楷體"/>
          <w:color w:val="000000"/>
        </w:rPr>
        <w:t>其於乾癬</w:t>
      </w:r>
      <w:proofErr w:type="gramEnd"/>
      <w:r w:rsidRPr="000337EA">
        <w:rPr>
          <w:rFonts w:ascii="標楷體" w:eastAsia="標楷體" w:hAnsi="標楷體"/>
          <w:color w:val="000000"/>
        </w:rPr>
        <w:t>療效可能較慢，及立即停藥之可能反彈現象，治療前兩</w:t>
      </w:r>
      <w:proofErr w:type="gramStart"/>
      <w:r w:rsidRPr="000337EA">
        <w:rPr>
          <w:rFonts w:ascii="標楷體" w:eastAsia="標楷體" w:hAnsi="標楷體"/>
          <w:color w:val="000000"/>
        </w:rPr>
        <w:t>個</w:t>
      </w:r>
      <w:proofErr w:type="gramEnd"/>
      <w:r w:rsidRPr="000337EA">
        <w:rPr>
          <w:rFonts w:ascii="標楷體" w:eastAsia="標楷體" w:hAnsi="標楷體"/>
          <w:color w:val="000000"/>
        </w:rPr>
        <w:t>月得合併使用cyclosporine及照光治療，但生物製劑療效出現時即應逐漸停用。 (101/5/1、105/9/1、107/8/1)</w:t>
      </w:r>
    </w:p>
    <w:p w14:paraId="2BDF0991" w14:textId="77777777" w:rsidR="009111AF" w:rsidRPr="000337EA" w:rsidRDefault="009111AF" w:rsidP="000337EA">
      <w:pPr>
        <w:ind w:left="1134" w:hanging="283"/>
        <w:rPr>
          <w:rFonts w:ascii="標楷體" w:eastAsia="標楷體" w:hAnsi="標楷體"/>
          <w:color w:val="000000"/>
        </w:rPr>
      </w:pPr>
      <w:r w:rsidRPr="000337EA">
        <w:rPr>
          <w:rFonts w:ascii="標楷體" w:eastAsia="標楷體" w:hAnsi="標楷體"/>
          <w:color w:val="000000"/>
        </w:rPr>
        <w:t>4.需排除使用的情形應參照藥物仿單，重要之排除使用狀況包括：</w:t>
      </w:r>
    </w:p>
    <w:p w14:paraId="267ED191"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(1)懐孕或正在授乳的婦女(certolizumab除外) (110/7/1)。</w:t>
      </w:r>
    </w:p>
    <w:p w14:paraId="6A3A605B"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(2)</w:t>
      </w:r>
      <w:proofErr w:type="gramStart"/>
      <w:r w:rsidRPr="000337EA">
        <w:rPr>
          <w:rFonts w:ascii="標楷體" w:eastAsia="標楷體" w:hAnsi="標楷體"/>
          <w:color w:val="000000"/>
        </w:rPr>
        <w:t>罹</w:t>
      </w:r>
      <w:proofErr w:type="gramEnd"/>
      <w:r w:rsidRPr="000337EA">
        <w:rPr>
          <w:rFonts w:ascii="標楷體" w:eastAsia="標楷體" w:hAnsi="標楷體"/>
          <w:color w:val="000000"/>
        </w:rPr>
        <w:t>患活動性的感染症的病患。</w:t>
      </w:r>
    </w:p>
    <w:p w14:paraId="5C8F7FDA"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(3)未經完整治療之結核病的病患（包括潛伏結核感染治療未達四</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者，申請時應檢附潛伏結核感染篩檢紀錄及治療紀錄供審查）。(102/1/1)</w:t>
      </w:r>
    </w:p>
    <w:p w14:paraId="0828A8DD"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(4)身上帶有人工關節者，</w:t>
      </w:r>
      <w:proofErr w:type="gramStart"/>
      <w:r w:rsidRPr="000337EA">
        <w:rPr>
          <w:rFonts w:ascii="標楷體" w:eastAsia="標楷體" w:hAnsi="標楷體"/>
          <w:color w:val="000000"/>
        </w:rPr>
        <w:t>罹</w:t>
      </w:r>
      <w:proofErr w:type="gramEnd"/>
      <w:r w:rsidRPr="000337EA">
        <w:rPr>
          <w:rFonts w:ascii="標楷體" w:eastAsia="標楷體" w:hAnsi="標楷體"/>
          <w:color w:val="000000"/>
        </w:rPr>
        <w:t>患或先前曾</w:t>
      </w:r>
      <w:proofErr w:type="gramStart"/>
      <w:r w:rsidRPr="000337EA">
        <w:rPr>
          <w:rFonts w:ascii="標楷體" w:eastAsia="標楷體" w:hAnsi="標楷體"/>
          <w:color w:val="000000"/>
        </w:rPr>
        <w:t>罹</w:t>
      </w:r>
      <w:proofErr w:type="gramEnd"/>
      <w:r w:rsidRPr="000337EA">
        <w:rPr>
          <w:rFonts w:ascii="標楷體" w:eastAsia="標楷體" w:hAnsi="標楷體"/>
          <w:color w:val="000000"/>
        </w:rPr>
        <w:t>患過嚴重的敗血病(sepsis)者。</w:t>
      </w:r>
    </w:p>
    <w:p w14:paraId="1AE2D185"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(5)惡性腫瘤或具有癌症前兆(pre-malignancy)的病患。</w:t>
      </w:r>
    </w:p>
    <w:p w14:paraId="0A8CADBE"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(6)免疫功能不全者(immunodeficiency) 。</w:t>
      </w:r>
    </w:p>
    <w:p w14:paraId="51F1FE01" w14:textId="77777777" w:rsidR="009111AF" w:rsidRPr="000337EA" w:rsidRDefault="009111AF" w:rsidP="000337EA">
      <w:pPr>
        <w:ind w:left="1134" w:hanging="283"/>
        <w:rPr>
          <w:rFonts w:ascii="標楷體" w:eastAsia="標楷體" w:hAnsi="標楷體"/>
          <w:color w:val="000000"/>
        </w:rPr>
      </w:pPr>
      <w:r w:rsidRPr="000337EA">
        <w:rPr>
          <w:rFonts w:ascii="標楷體" w:eastAsia="標楷體" w:hAnsi="標楷體"/>
          <w:color w:val="000000"/>
        </w:rPr>
        <w:t>5.需停止治療情形，如果發生下列現象應停止治療：</w:t>
      </w:r>
    </w:p>
    <w:p w14:paraId="4BAA5E1B"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(1)不良事件，包括：</w:t>
      </w:r>
    </w:p>
    <w:p w14:paraId="61E9014E" w14:textId="77777777" w:rsidR="009111AF" w:rsidRDefault="009111AF" w:rsidP="000337EA">
      <w:pPr>
        <w:spacing w:line="300" w:lineRule="exact"/>
        <w:ind w:left="1560" w:hanging="336"/>
        <w:rPr>
          <w:rFonts w:ascii="標楷體" w:eastAsia="標楷體" w:hAnsi="標楷體"/>
          <w:color w:val="000000"/>
          <w:szCs w:val="24"/>
        </w:rPr>
      </w:pPr>
      <w:proofErr w:type="spellStart"/>
      <w:r>
        <w:rPr>
          <w:rFonts w:ascii="標楷體" w:eastAsia="標楷體" w:hAnsi="標楷體"/>
          <w:color w:val="000000"/>
          <w:szCs w:val="24"/>
        </w:rPr>
        <w:t>i</w:t>
      </w:r>
      <w:proofErr w:type="spellEnd"/>
      <w:r>
        <w:rPr>
          <w:rFonts w:ascii="標楷體" w:eastAsia="標楷體" w:hAnsi="標楷體"/>
          <w:color w:val="000000"/>
          <w:szCs w:val="24"/>
        </w:rPr>
        <w:t>.惡性腫瘤。</w:t>
      </w:r>
    </w:p>
    <w:p w14:paraId="42E402D3" w14:textId="77777777" w:rsidR="009111AF" w:rsidRDefault="009111AF" w:rsidP="000337EA">
      <w:pPr>
        <w:spacing w:line="300" w:lineRule="exact"/>
        <w:ind w:left="1560" w:hanging="336"/>
        <w:rPr>
          <w:rFonts w:ascii="標楷體" w:eastAsia="標楷體" w:hAnsi="標楷體"/>
          <w:color w:val="000000"/>
          <w:szCs w:val="24"/>
        </w:rPr>
      </w:pPr>
      <w:r>
        <w:rPr>
          <w:rFonts w:ascii="標楷體" w:eastAsia="標楷體" w:hAnsi="標楷體"/>
          <w:color w:val="000000"/>
          <w:szCs w:val="24"/>
        </w:rPr>
        <w:t>ii.該藥物引起的嚴重性毒性。</w:t>
      </w:r>
    </w:p>
    <w:p w14:paraId="404D2B4C" w14:textId="77777777" w:rsidR="009111AF" w:rsidRPr="000337EA" w:rsidRDefault="009111AF" w:rsidP="000337EA">
      <w:pPr>
        <w:spacing w:line="300" w:lineRule="exact"/>
        <w:ind w:left="1560" w:hanging="336"/>
        <w:rPr>
          <w:rFonts w:ascii="標楷體" w:eastAsia="標楷體" w:hAnsi="標楷體"/>
          <w:color w:val="000000"/>
          <w:szCs w:val="24"/>
        </w:rPr>
      </w:pPr>
      <w:r>
        <w:rPr>
          <w:rFonts w:ascii="標楷體" w:eastAsia="標楷體" w:hAnsi="標楷體"/>
          <w:color w:val="000000"/>
          <w:szCs w:val="24"/>
        </w:rPr>
        <w:t>iii.懷孕</w:t>
      </w:r>
      <w:r w:rsidRPr="000337EA">
        <w:rPr>
          <w:rFonts w:ascii="標楷體" w:eastAsia="標楷體" w:hAnsi="標楷體"/>
          <w:color w:val="000000"/>
          <w:szCs w:val="24"/>
        </w:rPr>
        <w:t>（certolizumab除外，其他暫時停藥即可）。(110/7/1)</w:t>
      </w:r>
      <w:r>
        <w:rPr>
          <w:rFonts w:ascii="標楷體" w:eastAsia="標楷體" w:hAnsi="標楷體"/>
          <w:color w:val="000000"/>
          <w:szCs w:val="24"/>
        </w:rPr>
        <w:t>。</w:t>
      </w:r>
    </w:p>
    <w:p w14:paraId="6B82E9DC" w14:textId="77777777" w:rsidR="009111AF" w:rsidRDefault="009111AF" w:rsidP="000337EA">
      <w:pPr>
        <w:spacing w:line="300" w:lineRule="exact"/>
        <w:ind w:left="1560" w:hanging="336"/>
        <w:rPr>
          <w:rFonts w:ascii="標楷體" w:eastAsia="標楷體" w:hAnsi="標楷體"/>
          <w:color w:val="000000"/>
          <w:szCs w:val="24"/>
        </w:rPr>
      </w:pPr>
      <w:r>
        <w:rPr>
          <w:rFonts w:ascii="標楷體" w:eastAsia="標楷體" w:hAnsi="標楷體"/>
          <w:color w:val="000000"/>
          <w:szCs w:val="24"/>
        </w:rPr>
        <w:t>iv.嚴重</w:t>
      </w:r>
      <w:proofErr w:type="gramStart"/>
      <w:r>
        <w:rPr>
          <w:rFonts w:ascii="標楷體" w:eastAsia="標楷體" w:hAnsi="標楷體"/>
          <w:color w:val="000000"/>
          <w:szCs w:val="24"/>
        </w:rPr>
        <w:t>的間發性</w:t>
      </w:r>
      <w:proofErr w:type="gramEnd"/>
      <w:r>
        <w:rPr>
          <w:rFonts w:ascii="標楷體" w:eastAsia="標楷體" w:hAnsi="標楷體"/>
          <w:color w:val="000000"/>
          <w:szCs w:val="24"/>
        </w:rPr>
        <w:t>感染症（intercurrent infection）（暫時停藥即可）。</w:t>
      </w:r>
    </w:p>
    <w:p w14:paraId="1852824D"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(2)療效</w:t>
      </w:r>
      <w:proofErr w:type="gramStart"/>
      <w:r w:rsidRPr="000337EA">
        <w:rPr>
          <w:rFonts w:ascii="標楷體" w:eastAsia="標楷體" w:hAnsi="標楷體"/>
          <w:color w:val="000000"/>
        </w:rPr>
        <w:t>不</w:t>
      </w:r>
      <w:proofErr w:type="gramEnd"/>
      <w:r w:rsidRPr="000337EA">
        <w:rPr>
          <w:rFonts w:ascii="標楷體" w:eastAsia="標楷體" w:hAnsi="標楷體"/>
          <w:color w:val="000000"/>
        </w:rPr>
        <w:t>彰：患者經過6個月治療（初次療程）後未達療效者，療效定義指PASI或體表面積改善未達50%。</w:t>
      </w:r>
    </w:p>
    <w:p w14:paraId="305D94AC" w14:textId="77777777" w:rsidR="009111AF" w:rsidRPr="000337EA" w:rsidRDefault="009111AF" w:rsidP="000337EA">
      <w:pPr>
        <w:ind w:left="1134" w:hanging="283"/>
        <w:rPr>
          <w:rFonts w:ascii="標楷體" w:eastAsia="標楷體" w:hAnsi="標楷體"/>
          <w:color w:val="000000"/>
        </w:rPr>
      </w:pPr>
      <w:r w:rsidRPr="000337EA">
        <w:rPr>
          <w:rFonts w:ascii="標楷體" w:eastAsia="標楷體" w:hAnsi="標楷體"/>
          <w:color w:val="000000"/>
        </w:rPr>
        <w:t>6.暫緩續用之相關規定：(104/4/1、110/5/1</w:t>
      </w:r>
      <w:proofErr w:type="gramStart"/>
      <w:r w:rsidRPr="000337EA">
        <w:rPr>
          <w:rFonts w:ascii="標楷體" w:eastAsia="標楷體" w:hAnsi="標楷體"/>
          <w:color w:val="000000"/>
        </w:rPr>
        <w:t>）</w:t>
      </w:r>
      <w:proofErr w:type="gramEnd"/>
    </w:p>
    <w:p w14:paraId="111D5604"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(1)暫緩續用時機：使用生物製劑治療2年後符合PASI</w:t>
      </w:r>
      <w:proofErr w:type="gramStart"/>
      <w:r w:rsidRPr="000337EA">
        <w:rPr>
          <w:rFonts w:ascii="標楷體" w:eastAsia="標楷體" w:hAnsi="標楷體"/>
          <w:color w:val="000000"/>
        </w:rPr>
        <w:t>≦</w:t>
      </w:r>
      <w:proofErr w:type="gramEnd"/>
      <w:r w:rsidRPr="000337EA">
        <w:rPr>
          <w:rFonts w:ascii="標楷體" w:eastAsia="標楷體" w:hAnsi="標楷體"/>
          <w:color w:val="000000"/>
        </w:rPr>
        <w:t xml:space="preserve">10者，但有連續兩次暫緩用藥後復發病史者（停藥後6個月內PASI&gt;10或50%復發）不在此限。(110/5/1) </w:t>
      </w:r>
    </w:p>
    <w:p w14:paraId="2D798E87"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(2)因使用一種生物製劑治療後療效</w:t>
      </w:r>
      <w:proofErr w:type="gramStart"/>
      <w:r w:rsidRPr="000337EA">
        <w:rPr>
          <w:rFonts w:ascii="標楷體" w:eastAsia="標楷體" w:hAnsi="標楷體"/>
          <w:color w:val="000000"/>
        </w:rPr>
        <w:t>不</w:t>
      </w:r>
      <w:proofErr w:type="gramEnd"/>
      <w:r w:rsidRPr="000337EA">
        <w:rPr>
          <w:rFonts w:ascii="標楷體" w:eastAsia="標楷體" w:hAnsi="標楷體"/>
          <w:color w:val="000000"/>
        </w:rPr>
        <w:t>彰(PASI&gt;10)，而轉用另一種不同藥理機轉之生物製劑，以轉用後者之起始日重新計算2年後開始減量之時機。但因無法忍受副作用而轉用相同藥理機轉之生物製劑，轉用前後所使用生物製劑之</w:t>
      </w:r>
      <w:proofErr w:type="gramStart"/>
      <w:r w:rsidRPr="000337EA">
        <w:rPr>
          <w:rFonts w:ascii="標楷體" w:eastAsia="標楷體" w:hAnsi="標楷體"/>
          <w:color w:val="000000"/>
        </w:rPr>
        <w:t>期間均應計</w:t>
      </w:r>
      <w:proofErr w:type="gramEnd"/>
      <w:r w:rsidRPr="000337EA">
        <w:rPr>
          <w:rFonts w:ascii="標楷體" w:eastAsia="標楷體" w:hAnsi="標楷體"/>
          <w:color w:val="000000"/>
        </w:rPr>
        <w:t xml:space="preserve">入。(110/5/1) </w:t>
      </w:r>
    </w:p>
    <w:p w14:paraId="2B5D97ED" w14:textId="77777777" w:rsidR="009111AF" w:rsidRPr="000337EA" w:rsidRDefault="009111AF" w:rsidP="000337EA">
      <w:pPr>
        <w:ind w:left="1134" w:hanging="283"/>
        <w:rPr>
          <w:rFonts w:ascii="標楷體" w:eastAsia="標楷體" w:hAnsi="標楷體"/>
          <w:color w:val="000000"/>
        </w:rPr>
      </w:pPr>
      <w:r w:rsidRPr="000337EA">
        <w:rPr>
          <w:rFonts w:ascii="標楷體" w:eastAsia="標楷體" w:hAnsi="標楷體"/>
          <w:color w:val="000000"/>
        </w:rPr>
        <w:t>7.暫緩續用後若疾病再復發，可重新申請使用，須符合至少有50%復發(需附上次療程治療前、後，及本次照片，計算方式係以最近一次新療程開始時的PASI嚴重度，減去療程結束時的PASI嚴重度，有50%復發)。(104/4/1、110/5/1</w:t>
      </w:r>
      <w:proofErr w:type="gramStart"/>
      <w:r w:rsidRPr="000337EA">
        <w:rPr>
          <w:rFonts w:ascii="標楷體" w:eastAsia="標楷體" w:hAnsi="標楷體"/>
          <w:color w:val="000000"/>
        </w:rPr>
        <w:t>）</w:t>
      </w:r>
      <w:proofErr w:type="gramEnd"/>
    </w:p>
    <w:p w14:paraId="409A327E" w14:textId="77777777" w:rsidR="009111AF" w:rsidRPr="000337EA" w:rsidRDefault="009111AF" w:rsidP="000337EA">
      <w:pPr>
        <w:ind w:left="811" w:firstLine="40"/>
        <w:rPr>
          <w:rFonts w:ascii="標楷體" w:eastAsia="標楷體" w:hAnsi="標楷體"/>
          <w:color w:val="000000"/>
        </w:rPr>
      </w:pPr>
      <w:r w:rsidRPr="000337EA">
        <w:rPr>
          <w:rFonts w:ascii="標楷體" w:eastAsia="標楷體" w:hAnsi="標楷體"/>
          <w:color w:val="000000"/>
        </w:rPr>
        <w:t>8.平行轉換時機：(110/5/1)</w:t>
      </w:r>
    </w:p>
    <w:p w14:paraId="768FEBFA"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(1)使用一種生物製劑治療後，雖PASI&lt;10且有PASI 50療效，但治療後仍有PASI&gt;1、體表面積&gt;3% 或是病灶存在外露明顯部位(如頭皮、臉部、手指甲、手部)且明顯影響生活品質者，得於每半年續用申請時，平行轉用另一種生物</w:t>
      </w:r>
      <w:r w:rsidRPr="000337EA">
        <w:rPr>
          <w:rFonts w:ascii="標楷體" w:eastAsia="標楷體" w:hAnsi="標楷體"/>
          <w:color w:val="000000"/>
        </w:rPr>
        <w:lastRenderedPageBreak/>
        <w:t>製劑(用法用量依照仿單)，但前後所使用生物製劑之</w:t>
      </w:r>
      <w:proofErr w:type="gramStart"/>
      <w:r w:rsidRPr="000337EA">
        <w:rPr>
          <w:rFonts w:ascii="標楷體" w:eastAsia="標楷體" w:hAnsi="標楷體"/>
          <w:color w:val="000000"/>
        </w:rPr>
        <w:t>期間均應計</w:t>
      </w:r>
      <w:proofErr w:type="gramEnd"/>
      <w:r w:rsidRPr="000337EA">
        <w:rPr>
          <w:rFonts w:ascii="標楷體" w:eastAsia="標楷體" w:hAnsi="標楷體"/>
          <w:color w:val="000000"/>
        </w:rPr>
        <w:t>入2年給付時間合併計算。</w:t>
      </w:r>
    </w:p>
    <w:p w14:paraId="0A5CDEB8" w14:textId="77777777" w:rsidR="009111AF" w:rsidRPr="000337EA" w:rsidRDefault="009111AF" w:rsidP="000337EA">
      <w:pPr>
        <w:ind w:left="1560" w:hanging="426"/>
        <w:rPr>
          <w:rFonts w:ascii="標楷體" w:eastAsia="標楷體" w:hAnsi="標楷體"/>
          <w:color w:val="000000"/>
        </w:rPr>
      </w:pPr>
      <w:r w:rsidRPr="000337EA">
        <w:rPr>
          <w:rFonts w:ascii="標楷體" w:eastAsia="標楷體" w:hAnsi="標楷體"/>
          <w:color w:val="000000"/>
        </w:rPr>
        <w:t>(2)申請此項平行轉換者，申請續用時，有效性比較基準點為此2年療程起始時之嚴重度。</w:t>
      </w:r>
    </w:p>
    <w:p w14:paraId="27D8E6ED" w14:textId="77777777" w:rsidR="009111AF"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w:t>
      </w:r>
      <w:proofErr w:type="gramStart"/>
      <w:r>
        <w:rPr>
          <w:rFonts w:ascii="標楷體" w:eastAsia="標楷體" w:hAnsi="標楷體"/>
          <w:bCs/>
          <w:color w:val="000000"/>
          <w:szCs w:val="24"/>
        </w:rPr>
        <w:t>一</w:t>
      </w:r>
      <w:proofErr w:type="gramEnd"/>
      <w:r>
        <w:rPr>
          <w:rFonts w:ascii="標楷體" w:eastAsia="標楷體" w:hAnsi="標楷體"/>
          <w:bCs/>
          <w:color w:val="000000"/>
          <w:szCs w:val="24"/>
        </w:rPr>
        <w:t>：全民健康保險乾癬使用生物製劑申請表(105/9/1、107/8/1、110/5/1、114/6/1)</w:t>
      </w:r>
    </w:p>
    <w:p w14:paraId="471FE0C6" w14:textId="77777777" w:rsidR="009111AF"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◎附表二十四之二：全民健康保險乾癬（慢性紅皮症乾癬部分）使用生物製劑申請表(105/9/1、107/8/1)</w:t>
      </w:r>
    </w:p>
    <w:p w14:paraId="2CFEDB21" w14:textId="77777777" w:rsidR="009111AF"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w:t>
      </w:r>
      <w:proofErr w:type="gramStart"/>
      <w:r>
        <w:rPr>
          <w:rFonts w:ascii="標楷體" w:eastAsia="標楷體" w:hAnsi="標楷體"/>
          <w:bCs/>
          <w:color w:val="000000"/>
          <w:szCs w:val="24"/>
        </w:rPr>
        <w:t>三</w:t>
      </w:r>
      <w:proofErr w:type="gramEnd"/>
      <w:r>
        <w:rPr>
          <w:rFonts w:ascii="標楷體" w:eastAsia="標楷體" w:hAnsi="標楷體"/>
          <w:bCs/>
          <w:color w:val="000000"/>
          <w:szCs w:val="24"/>
        </w:rPr>
        <w:t>：乾癬面積暨嚴重度指數【Psoriasis Area Severity Index (PASI)】</w:t>
      </w:r>
    </w:p>
    <w:p w14:paraId="0AF69D8D" w14:textId="48295A9A" w:rsidR="00401786"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◎附表二十四之四：全民健康保險乾癬(全身型急性膿疱性乾癬部分)使用生物製劑申請表(110/5/1)</w:t>
      </w:r>
    </w:p>
    <w:p w14:paraId="3206DB14" w14:textId="77777777" w:rsidR="00401786" w:rsidRDefault="00C64FB3" w:rsidP="00204B75">
      <w:pPr>
        <w:ind w:left="811" w:hanging="245"/>
        <w:rPr>
          <w:rFonts w:ascii="標楷體" w:eastAsia="標楷體" w:hAnsi="標楷體"/>
          <w:color w:val="000000"/>
        </w:rPr>
      </w:pPr>
      <w:r>
        <w:rPr>
          <w:rFonts w:ascii="標楷體" w:eastAsia="標楷體" w:hAnsi="標楷體"/>
          <w:color w:val="000000"/>
        </w:rPr>
        <w:t xml:space="preserve">8.2.4.6.2.Spesolimab (如 </w:t>
      </w:r>
      <w:proofErr w:type="spellStart"/>
      <w:r>
        <w:rPr>
          <w:rFonts w:ascii="標楷體" w:eastAsia="標楷體" w:hAnsi="標楷體"/>
          <w:color w:val="000000"/>
        </w:rPr>
        <w:t>Spevigo</w:t>
      </w:r>
      <w:proofErr w:type="spellEnd"/>
      <w:r>
        <w:rPr>
          <w:rFonts w:ascii="標楷體" w:eastAsia="標楷體" w:hAnsi="標楷體"/>
          <w:color w:val="000000"/>
        </w:rPr>
        <w:t>) (113/7/1)：用於全身型急性發作膿疱性乾癬治療部分</w:t>
      </w:r>
    </w:p>
    <w:p w14:paraId="4C0F523A" w14:textId="77777777" w:rsidR="00401786" w:rsidRPr="000337EA" w:rsidRDefault="00C64FB3" w:rsidP="000337EA">
      <w:pPr>
        <w:ind w:left="811" w:firstLine="40"/>
        <w:rPr>
          <w:rFonts w:ascii="標楷體" w:eastAsia="標楷體" w:hAnsi="標楷體"/>
          <w:color w:val="000000"/>
        </w:rPr>
      </w:pPr>
      <w:r w:rsidRPr="000337EA">
        <w:rPr>
          <w:rFonts w:ascii="標楷體" w:eastAsia="標楷體" w:hAnsi="標楷體"/>
          <w:color w:val="000000"/>
        </w:rPr>
        <w:t>1.限皮膚科專科醫師及風濕免疫科專科醫師使用。</w:t>
      </w:r>
    </w:p>
    <w:p w14:paraId="02D24B3F" w14:textId="77777777" w:rsidR="00401786" w:rsidRPr="000337EA" w:rsidRDefault="00C64FB3" w:rsidP="000337EA">
      <w:pPr>
        <w:ind w:left="811" w:firstLine="40"/>
        <w:rPr>
          <w:rFonts w:ascii="標楷體" w:eastAsia="標楷體" w:hAnsi="標楷體"/>
          <w:color w:val="000000"/>
        </w:rPr>
      </w:pPr>
      <w:r w:rsidRPr="000337EA">
        <w:rPr>
          <w:rFonts w:ascii="標楷體" w:eastAsia="標楷體" w:hAnsi="標楷體"/>
          <w:color w:val="000000"/>
        </w:rPr>
        <w:t>2.</w:t>
      </w:r>
      <w:proofErr w:type="gramStart"/>
      <w:r w:rsidRPr="000337EA">
        <w:rPr>
          <w:rFonts w:ascii="標楷體" w:eastAsia="標楷體" w:hAnsi="標楷體"/>
          <w:color w:val="000000"/>
        </w:rPr>
        <w:t>經確診</w:t>
      </w:r>
      <w:proofErr w:type="gramEnd"/>
      <w:r w:rsidRPr="000337EA">
        <w:rPr>
          <w:rFonts w:ascii="標楷體" w:eastAsia="標楷體" w:hAnsi="標楷體"/>
          <w:color w:val="000000"/>
        </w:rPr>
        <w:t>為具有IL36RN突變之全身型急性膿疱性乾癬，且符合以下所有條件者：</w:t>
      </w:r>
    </w:p>
    <w:p w14:paraId="589D7100" w14:textId="77777777" w:rsidR="00401786" w:rsidRPr="000337EA" w:rsidRDefault="00C64FB3" w:rsidP="000337EA">
      <w:pPr>
        <w:ind w:left="1560" w:hanging="426"/>
        <w:rPr>
          <w:rFonts w:ascii="標楷體" w:eastAsia="標楷體" w:hAnsi="標楷體"/>
          <w:color w:val="000000"/>
        </w:rPr>
      </w:pPr>
      <w:r w:rsidRPr="000337EA">
        <w:rPr>
          <w:rFonts w:ascii="標楷體" w:eastAsia="標楷體" w:hAnsi="標楷體"/>
          <w:color w:val="000000"/>
        </w:rPr>
        <w:t>(1)中重度之GPP(GPPGA 總分</w:t>
      </w:r>
      <w:r w:rsidRPr="000337EA">
        <w:rPr>
          <w:rFonts w:ascii="Times New Roman" w:eastAsia="標楷體" w:hAnsi="Times New Roman"/>
          <w:color w:val="000000"/>
        </w:rPr>
        <w:t>≥</w:t>
      </w:r>
      <w:r w:rsidRPr="000337EA">
        <w:rPr>
          <w:rFonts w:ascii="標楷體" w:eastAsia="標楷體" w:hAnsi="標楷體"/>
          <w:color w:val="000000"/>
        </w:rPr>
        <w:t xml:space="preserve"> 3且GPPGA膿疱項目分數</w:t>
      </w:r>
      <w:r w:rsidRPr="000337EA">
        <w:rPr>
          <w:rFonts w:ascii="Times New Roman" w:eastAsia="標楷體" w:hAnsi="Times New Roman"/>
          <w:color w:val="000000"/>
        </w:rPr>
        <w:t>≥</w:t>
      </w:r>
      <w:r w:rsidRPr="000337EA">
        <w:rPr>
          <w:rFonts w:ascii="標楷體" w:eastAsia="標楷體" w:hAnsi="標楷體"/>
          <w:color w:val="000000"/>
        </w:rPr>
        <w:t xml:space="preserve"> 2)。</w:t>
      </w:r>
    </w:p>
    <w:p w14:paraId="2B04E0EC" w14:textId="77777777" w:rsidR="00401786" w:rsidRPr="000337EA" w:rsidRDefault="00C64FB3" w:rsidP="000337EA">
      <w:pPr>
        <w:ind w:left="1560" w:hanging="426"/>
        <w:rPr>
          <w:rFonts w:ascii="標楷體" w:eastAsia="標楷體" w:hAnsi="標楷體"/>
          <w:color w:val="000000"/>
        </w:rPr>
      </w:pPr>
      <w:r w:rsidRPr="000337EA">
        <w:rPr>
          <w:rFonts w:ascii="標楷體" w:eastAsia="標楷體" w:hAnsi="標楷體"/>
          <w:color w:val="000000"/>
        </w:rPr>
        <w:t>(2)伴有膿疱之紅腫部位侵犯體表面積&gt;10%。</w:t>
      </w:r>
    </w:p>
    <w:p w14:paraId="753598FE" w14:textId="77777777" w:rsidR="00401786" w:rsidRPr="000337EA" w:rsidRDefault="00C64FB3" w:rsidP="000337EA">
      <w:pPr>
        <w:ind w:left="1134" w:hanging="283"/>
        <w:rPr>
          <w:rFonts w:ascii="標楷體" w:eastAsia="標楷體" w:hAnsi="標楷體"/>
          <w:color w:val="000000"/>
        </w:rPr>
      </w:pPr>
      <w:r w:rsidRPr="000337EA">
        <w:rPr>
          <w:rFonts w:ascii="標楷體" w:eastAsia="標楷體" w:hAnsi="標楷體"/>
          <w:color w:val="000000"/>
        </w:rPr>
        <w:t>3.需經事前審查核准後使用，申請時需檢附所有病灶照片及IL36RN檢測報告，每次申請參考仿單建議劑量，以一次給予900毫克為原則。</w:t>
      </w:r>
    </w:p>
    <w:p w14:paraId="243B519E" w14:textId="77777777" w:rsidR="00401786" w:rsidRPr="000337EA" w:rsidRDefault="00C64FB3" w:rsidP="000337EA">
      <w:pPr>
        <w:ind w:left="1134" w:hanging="283"/>
        <w:rPr>
          <w:rFonts w:ascii="標楷體" w:eastAsia="標楷體" w:hAnsi="標楷體"/>
          <w:color w:val="000000"/>
        </w:rPr>
      </w:pPr>
      <w:r w:rsidRPr="000337EA">
        <w:rPr>
          <w:rFonts w:ascii="標楷體" w:eastAsia="標楷體" w:hAnsi="標楷體"/>
          <w:color w:val="000000"/>
        </w:rPr>
        <w:t>4.若於給予初始劑量的1</w:t>
      </w:r>
      <w:proofErr w:type="gramStart"/>
      <w:r w:rsidRPr="000337EA">
        <w:rPr>
          <w:rFonts w:ascii="標楷體" w:eastAsia="標楷體" w:hAnsi="標楷體"/>
          <w:color w:val="000000"/>
        </w:rPr>
        <w:t>週</w:t>
      </w:r>
      <w:proofErr w:type="gramEnd"/>
      <w:r w:rsidRPr="000337EA">
        <w:rPr>
          <w:rFonts w:ascii="標楷體" w:eastAsia="標楷體" w:hAnsi="標楷體"/>
          <w:color w:val="000000"/>
        </w:rPr>
        <w:t>後急性發作症狀持續</w:t>
      </w:r>
      <w:proofErr w:type="gramStart"/>
      <w:r w:rsidRPr="000337EA">
        <w:rPr>
          <w:rFonts w:ascii="標楷體" w:eastAsia="標楷體" w:hAnsi="標楷體"/>
          <w:color w:val="000000"/>
        </w:rPr>
        <w:t>（</w:t>
      </w:r>
      <w:proofErr w:type="gramEnd"/>
      <w:r w:rsidRPr="000337EA">
        <w:rPr>
          <w:rFonts w:ascii="標楷體" w:eastAsia="標楷體" w:hAnsi="標楷體"/>
          <w:color w:val="000000"/>
        </w:rPr>
        <w:t>GPPGA 總分</w:t>
      </w:r>
      <w:r w:rsidRPr="000337EA">
        <w:rPr>
          <w:rFonts w:ascii="Times New Roman" w:eastAsia="標楷體" w:hAnsi="Times New Roman"/>
          <w:color w:val="000000"/>
        </w:rPr>
        <w:t>≥</w:t>
      </w:r>
      <w:r w:rsidRPr="000337EA">
        <w:rPr>
          <w:rFonts w:ascii="標楷體" w:eastAsia="標楷體" w:hAnsi="標楷體"/>
          <w:color w:val="000000"/>
        </w:rPr>
        <w:t>2 且 GPPGA 單項膿疱評分</w:t>
      </w:r>
      <w:r w:rsidRPr="000337EA">
        <w:rPr>
          <w:rFonts w:ascii="Times New Roman" w:eastAsia="標楷體" w:hAnsi="Times New Roman"/>
          <w:color w:val="000000"/>
        </w:rPr>
        <w:t>≥</w:t>
      </w:r>
      <w:r w:rsidRPr="000337EA">
        <w:rPr>
          <w:rFonts w:ascii="標楷體" w:eastAsia="標楷體" w:hAnsi="標楷體"/>
          <w:color w:val="000000"/>
        </w:rPr>
        <w:t>2），可再給予額外一劑900毫克。</w:t>
      </w:r>
    </w:p>
    <w:p w14:paraId="12B6F24B" w14:textId="77777777" w:rsidR="00401786" w:rsidRPr="000337EA" w:rsidRDefault="00C64FB3" w:rsidP="000337EA">
      <w:pPr>
        <w:ind w:left="811" w:firstLine="40"/>
        <w:rPr>
          <w:rFonts w:ascii="標楷體" w:eastAsia="標楷體" w:hAnsi="標楷體"/>
          <w:color w:val="000000"/>
        </w:rPr>
      </w:pPr>
      <w:r w:rsidRPr="000337EA">
        <w:rPr>
          <w:rFonts w:ascii="標楷體" w:eastAsia="標楷體" w:hAnsi="標楷體"/>
          <w:color w:val="000000"/>
        </w:rPr>
        <w:t>5.需檢附IL36RN突變檢測報告，且需符合全民健康保險藥品給付規定之通則十二。</w:t>
      </w:r>
    </w:p>
    <w:p w14:paraId="0F79DD33" w14:textId="77777777" w:rsidR="00401786" w:rsidRPr="00204B75" w:rsidRDefault="003B6F03" w:rsidP="00204B75">
      <w:pPr>
        <w:ind w:left="811" w:hanging="245"/>
        <w:rPr>
          <w:rFonts w:ascii="標楷體" w:eastAsia="標楷體" w:hAnsi="標楷體"/>
          <w:color w:val="000000"/>
        </w:rPr>
      </w:pPr>
      <w:r w:rsidRPr="0017247C">
        <w:rPr>
          <w:rFonts w:ascii="標楷體" w:eastAsia="標楷體" w:hAnsi="標楷體" w:hint="eastAsia"/>
          <w:color w:val="000000"/>
        </w:rPr>
        <w:t>8.2.4.7.</w:t>
      </w:r>
      <w:r w:rsidR="00400A9B" w:rsidRPr="00400A9B">
        <w:rPr>
          <w:rFonts w:ascii="標楷體" w:eastAsia="標楷體" w:hAnsi="標楷體"/>
          <w:color w:val="000000"/>
        </w:rPr>
        <w:t xml:space="preserve"> </w:t>
      </w:r>
      <w:r w:rsidR="00400A9B">
        <w:rPr>
          <w:rFonts w:ascii="標楷體" w:eastAsia="標楷體" w:hAnsi="標楷體"/>
          <w:color w:val="000000"/>
        </w:rPr>
        <w:t>Adalimumab（如Humira）、infliximab（如Remicade）、vedolizumab(如Entyvio)、</w:t>
      </w:r>
      <w:proofErr w:type="spellStart"/>
      <w:r w:rsidR="00400A9B">
        <w:rPr>
          <w:rFonts w:ascii="標楷體" w:eastAsia="標楷體" w:hAnsi="標楷體"/>
          <w:color w:val="000000"/>
        </w:rPr>
        <w:t>ustekinumab</w:t>
      </w:r>
      <w:proofErr w:type="spellEnd"/>
      <w:r w:rsidR="00400A9B">
        <w:rPr>
          <w:rFonts w:ascii="標楷體" w:eastAsia="標楷體" w:hAnsi="標楷體"/>
          <w:color w:val="000000"/>
        </w:rPr>
        <w:t>（如Stelara）、</w:t>
      </w:r>
      <w:proofErr w:type="spellStart"/>
      <w:r w:rsidR="00400A9B">
        <w:rPr>
          <w:rFonts w:ascii="標楷體" w:eastAsia="標楷體" w:hAnsi="標楷體"/>
          <w:color w:val="000000"/>
        </w:rPr>
        <w:t>risankizumab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Skyrizi</w:t>
      </w:r>
      <w:proofErr w:type="spellEnd"/>
      <w:r w:rsidR="00400A9B">
        <w:rPr>
          <w:rFonts w:ascii="標楷體" w:eastAsia="標楷體" w:hAnsi="標楷體"/>
          <w:color w:val="000000"/>
        </w:rPr>
        <w:t>）、</w:t>
      </w:r>
      <w:proofErr w:type="spellStart"/>
      <w:r w:rsidR="00400A9B">
        <w:rPr>
          <w:rFonts w:ascii="標楷體" w:eastAsia="標楷體" w:hAnsi="標楷體"/>
          <w:color w:val="000000"/>
        </w:rPr>
        <w:t>upadacitinib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Rinvoq</w:t>
      </w:r>
      <w:proofErr w:type="spellEnd"/>
      <w:r w:rsidR="00400A9B">
        <w:rPr>
          <w:rFonts w:ascii="標楷體" w:eastAsia="標楷體" w:hAnsi="標楷體"/>
          <w:color w:val="000000"/>
        </w:rPr>
        <w:t>) (100/7/1、102/1/1、105/10/1、106/5/1、106/10/1、108/10/1、109/9/1、112/8/1、113/7/1、113/9/1、113/11/1、114/8/1、114/</w:t>
      </w:r>
      <w:r w:rsidR="00400A9B">
        <w:rPr>
          <w:rFonts w:ascii="標楷體" w:eastAsia="標楷體" w:hAnsi="標楷體" w:hint="eastAsia"/>
          <w:color w:val="000000"/>
        </w:rPr>
        <w:t>9</w:t>
      </w:r>
      <w:r w:rsidR="00400A9B">
        <w:rPr>
          <w:rFonts w:ascii="標楷體" w:eastAsia="標楷體" w:hAnsi="標楷體"/>
          <w:color w:val="000000"/>
        </w:rPr>
        <w:t>/1)：用於克隆氏症治療部分</w:t>
      </w:r>
    </w:p>
    <w:p w14:paraId="5127989C" w14:textId="77777777" w:rsidR="00400A9B" w:rsidRDefault="003B6F03" w:rsidP="00400A9B">
      <w:pPr>
        <w:ind w:left="811" w:hanging="245"/>
        <w:rPr>
          <w:rFonts w:ascii="標楷體" w:eastAsia="標楷體" w:hAnsi="標楷體"/>
          <w:color w:val="000000"/>
        </w:rPr>
      </w:pPr>
      <w:r w:rsidRPr="003B6F03">
        <w:rPr>
          <w:rFonts w:ascii="標楷體" w:eastAsia="標楷體" w:hAnsi="標楷體"/>
          <w:color w:val="000000"/>
        </w:rPr>
        <w:t>8.2.4.7.1.</w:t>
      </w:r>
      <w:r w:rsidR="00400A9B" w:rsidRPr="00400A9B">
        <w:rPr>
          <w:rFonts w:ascii="標楷體" w:eastAsia="標楷體" w:hAnsi="標楷體"/>
          <w:color w:val="000000"/>
        </w:rPr>
        <w:t xml:space="preserve"> </w:t>
      </w:r>
      <w:r w:rsidR="00400A9B">
        <w:rPr>
          <w:rFonts w:ascii="標楷體" w:eastAsia="標楷體" w:hAnsi="標楷體"/>
          <w:color w:val="000000"/>
        </w:rPr>
        <w:t>Adalimumab（如Humira）、infliximab（如Remicade）、vedolizumab(如Entyvio)、</w:t>
      </w:r>
      <w:proofErr w:type="spellStart"/>
      <w:r w:rsidR="00400A9B">
        <w:rPr>
          <w:rFonts w:ascii="標楷體" w:eastAsia="標楷體" w:hAnsi="標楷體"/>
          <w:color w:val="000000"/>
        </w:rPr>
        <w:t>ustekinumab</w:t>
      </w:r>
      <w:proofErr w:type="spellEnd"/>
      <w:r w:rsidR="00400A9B">
        <w:rPr>
          <w:rFonts w:ascii="標楷體" w:eastAsia="標楷體" w:hAnsi="標楷體"/>
          <w:color w:val="000000"/>
        </w:rPr>
        <w:t>（如Stelara）、</w:t>
      </w:r>
      <w:proofErr w:type="spellStart"/>
      <w:r w:rsidR="00400A9B">
        <w:rPr>
          <w:rFonts w:ascii="標楷體" w:eastAsia="標楷體" w:hAnsi="標楷體"/>
          <w:color w:val="000000"/>
        </w:rPr>
        <w:t>risankizumab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Skyrizi</w:t>
      </w:r>
      <w:proofErr w:type="spellEnd"/>
      <w:r w:rsidR="00400A9B">
        <w:rPr>
          <w:rFonts w:ascii="標楷體" w:eastAsia="標楷體" w:hAnsi="標楷體"/>
          <w:color w:val="000000"/>
        </w:rPr>
        <w:t>）、</w:t>
      </w:r>
      <w:proofErr w:type="spellStart"/>
      <w:r w:rsidR="00400A9B">
        <w:rPr>
          <w:rFonts w:ascii="標楷體" w:eastAsia="標楷體" w:hAnsi="標楷體"/>
          <w:color w:val="000000"/>
        </w:rPr>
        <w:t>upadacitinib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Rinvoq</w:t>
      </w:r>
      <w:proofErr w:type="spellEnd"/>
      <w:proofErr w:type="gramStart"/>
      <w:r w:rsidR="00400A9B">
        <w:rPr>
          <w:rFonts w:ascii="標楷體" w:eastAsia="標楷體" w:hAnsi="標楷體"/>
          <w:color w:val="000000"/>
        </w:rPr>
        <w:t>）</w:t>
      </w:r>
      <w:proofErr w:type="gramEnd"/>
      <w:r w:rsidR="00400A9B">
        <w:rPr>
          <w:rFonts w:ascii="標楷體" w:eastAsia="標楷體" w:hAnsi="標楷體"/>
          <w:color w:val="000000"/>
        </w:rPr>
        <w:t>(105/10/1、106/5/1、106/10/1、108/10/1、109/9/1、112/8/1、113/7/1、113/9/1、113/11/1、114/8/1</w:t>
      </w:r>
      <w:r w:rsidR="00400A9B" w:rsidRPr="00D03640">
        <w:rPr>
          <w:rFonts w:ascii="標楷體" w:eastAsia="標楷體" w:hAnsi="標楷體" w:hint="eastAsia"/>
          <w:color w:val="000000"/>
        </w:rPr>
        <w:t>、114/9/1</w:t>
      </w:r>
      <w:r w:rsidR="00400A9B">
        <w:rPr>
          <w:rFonts w:ascii="標楷體" w:eastAsia="標楷體" w:hAnsi="標楷體"/>
          <w:color w:val="000000"/>
        </w:rPr>
        <w:t>)：成人治療部分</w:t>
      </w:r>
    </w:p>
    <w:p w14:paraId="77168384"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1.限具有消化系專科證書者處方。</w:t>
      </w:r>
    </w:p>
    <w:p w14:paraId="35C05FE8"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2.須經事前審查核准後使用。</w:t>
      </w:r>
    </w:p>
    <w:p w14:paraId="302C11FC" w14:textId="77777777" w:rsidR="00400A9B" w:rsidRDefault="00400A9B" w:rsidP="00400A9B">
      <w:pPr>
        <w:ind w:left="1134" w:hanging="283"/>
        <w:rPr>
          <w:rFonts w:ascii="標楷體" w:eastAsia="標楷體" w:hAnsi="標楷體"/>
          <w:color w:val="000000"/>
        </w:rPr>
      </w:pPr>
      <w:r>
        <w:rPr>
          <w:rFonts w:ascii="標楷體" w:eastAsia="標楷體" w:hAnsi="標楷體"/>
          <w:color w:val="000000"/>
        </w:rPr>
        <w:t>3.須經診斷為成人克隆氏症，領有克隆氏症重大傷病卡，並符合下列條件之</w:t>
      </w:r>
      <w:proofErr w:type="gramStart"/>
      <w:r>
        <w:rPr>
          <w:rFonts w:ascii="標楷體" w:eastAsia="標楷體" w:hAnsi="標楷體"/>
          <w:color w:val="000000"/>
        </w:rPr>
        <w:t>一</w:t>
      </w:r>
      <w:proofErr w:type="gramEnd"/>
      <w:r>
        <w:rPr>
          <w:rFonts w:ascii="標楷體" w:eastAsia="標楷體" w:hAnsi="標楷體"/>
          <w:color w:val="000000"/>
        </w:rPr>
        <w:t>；且申請時應附上影像診斷評估報告。</w:t>
      </w:r>
    </w:p>
    <w:p w14:paraId="25BACE0F"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 xml:space="preserve">(1)克隆氏症病情發作，經5-aminosalicylic acid藥物 (sulfasalazine,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)、類固醇、及/或免疫抑制劑(azathioprine, 6-mercaptopurine, methotrexate)充分治療超過六個月，仍然無法控制病情(CDAI</w:t>
      </w:r>
      <w:proofErr w:type="gramStart"/>
      <w:r>
        <w:rPr>
          <w:rFonts w:ascii="標楷體" w:eastAsia="標楷體" w:hAnsi="標楷體"/>
          <w:color w:val="000000"/>
        </w:rPr>
        <w:t>≧</w:t>
      </w:r>
      <w:proofErr w:type="gramEnd"/>
      <w:r>
        <w:rPr>
          <w:rFonts w:ascii="標楷體" w:eastAsia="標楷體" w:hAnsi="標楷體"/>
          <w:color w:val="000000"/>
        </w:rPr>
        <w:t>300)或產生嚴重藥物副作用時，且病況不適合手術者。</w:t>
      </w:r>
    </w:p>
    <w:p w14:paraId="0A7FE34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(2)克隆</w:t>
      </w:r>
      <w:proofErr w:type="gramStart"/>
      <w:r>
        <w:rPr>
          <w:rFonts w:ascii="標楷體" w:eastAsia="標楷體" w:hAnsi="標楷體"/>
          <w:color w:val="000000"/>
        </w:rPr>
        <w:t>氏症經</w:t>
      </w:r>
      <w:proofErr w:type="gramEnd"/>
      <w:r>
        <w:rPr>
          <w:rFonts w:ascii="標楷體" w:eastAsia="標楷體" w:hAnsi="標楷體"/>
          <w:color w:val="000000"/>
        </w:rPr>
        <w:t xml:space="preserve">5-aminosalicylic acid 藥物如(sulfasalazine,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)、類固醇、及免疫抑制劑(azathioprine, 6-mercaptopurine, methotrexate)充分治療超過六個月，或外科手術治療，肛門周圍</w:t>
      </w:r>
      <w:proofErr w:type="gramStart"/>
      <w:r>
        <w:rPr>
          <w:rFonts w:ascii="標楷體" w:eastAsia="標楷體" w:hAnsi="標楷體"/>
          <w:color w:val="000000"/>
        </w:rPr>
        <w:t>廔</w:t>
      </w:r>
      <w:proofErr w:type="gramEnd"/>
      <w:r>
        <w:rPr>
          <w:rFonts w:ascii="標楷體" w:eastAsia="標楷體" w:hAnsi="標楷體"/>
          <w:color w:val="000000"/>
        </w:rPr>
        <w:t>管或腹壁</w:t>
      </w:r>
      <w:proofErr w:type="gramStart"/>
      <w:r>
        <w:rPr>
          <w:rFonts w:ascii="標楷體" w:eastAsia="標楷體" w:hAnsi="標楷體"/>
          <w:color w:val="000000"/>
        </w:rPr>
        <w:t>廔</w:t>
      </w:r>
      <w:proofErr w:type="gramEnd"/>
      <w:r>
        <w:rPr>
          <w:rFonts w:ascii="標楷體" w:eastAsia="標楷體" w:hAnsi="標楷體"/>
          <w:color w:val="000000"/>
        </w:rPr>
        <w:t>管仍無法癒合且CDAI</w:t>
      </w:r>
      <w:proofErr w:type="gramStart"/>
      <w:r>
        <w:rPr>
          <w:rFonts w:ascii="標楷體" w:eastAsia="標楷體" w:hAnsi="標楷體"/>
          <w:color w:val="000000"/>
        </w:rPr>
        <w:t>≧</w:t>
      </w:r>
      <w:proofErr w:type="gramEnd"/>
      <w:r>
        <w:rPr>
          <w:rFonts w:ascii="標楷體" w:eastAsia="標楷體" w:hAnsi="標楷體"/>
          <w:color w:val="000000"/>
        </w:rPr>
        <w:t>100者。</w:t>
      </w:r>
    </w:p>
    <w:p w14:paraId="673FD03F"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(3)克隆</w:t>
      </w:r>
      <w:proofErr w:type="gramStart"/>
      <w:r>
        <w:rPr>
          <w:rFonts w:ascii="標楷體" w:eastAsia="標楷體" w:hAnsi="標楷體"/>
          <w:color w:val="000000"/>
        </w:rPr>
        <w:t>氏症經</w:t>
      </w:r>
      <w:proofErr w:type="gramEnd"/>
      <w:r>
        <w:rPr>
          <w:rFonts w:ascii="標楷體" w:eastAsia="標楷體" w:hAnsi="標楷體"/>
          <w:color w:val="000000"/>
        </w:rPr>
        <w:t xml:space="preserve">5-aminosalicylic acid 藥物如(sulfasalazine,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 xml:space="preserve">)、類固醇、及免疫抑制劑(azathioprine, 6-mercaptopurine, </w:t>
      </w:r>
      <w:r>
        <w:rPr>
          <w:rFonts w:ascii="標楷體" w:eastAsia="標楷體" w:hAnsi="標楷體"/>
          <w:color w:val="000000"/>
        </w:rPr>
        <w:lastRenderedPageBreak/>
        <w:t>methotrexate)充分治療，仍於一年內因克隆氏症之併發症接受二次(含)以上之手術治療且CDAI</w:t>
      </w:r>
      <w:proofErr w:type="gramStart"/>
      <w:r>
        <w:rPr>
          <w:rFonts w:ascii="標楷體" w:eastAsia="標楷體" w:hAnsi="標楷體"/>
          <w:color w:val="000000"/>
        </w:rPr>
        <w:t>≧</w:t>
      </w:r>
      <w:proofErr w:type="gramEnd"/>
      <w:r>
        <w:rPr>
          <w:rFonts w:ascii="標楷體" w:eastAsia="標楷體" w:hAnsi="標楷體"/>
          <w:color w:val="000000"/>
        </w:rPr>
        <w:t xml:space="preserve">100者。 </w:t>
      </w:r>
    </w:p>
    <w:p w14:paraId="1624E179"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4.療效評估與繼續使用：</w:t>
      </w:r>
    </w:p>
    <w:p w14:paraId="1FEA979B"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(1)初次申請：adalimumab以6</w:t>
      </w:r>
      <w:proofErr w:type="gramStart"/>
      <w:r>
        <w:rPr>
          <w:rFonts w:ascii="標楷體" w:eastAsia="標楷體" w:hAnsi="標楷體"/>
          <w:color w:val="000000"/>
        </w:rPr>
        <w:t>週</w:t>
      </w:r>
      <w:proofErr w:type="gramEnd"/>
      <w:r>
        <w:rPr>
          <w:rFonts w:ascii="標楷體" w:eastAsia="標楷體" w:hAnsi="標楷體"/>
          <w:color w:val="000000"/>
        </w:rPr>
        <w:t>(使用4劑為限)；infliximab</w:t>
      </w:r>
      <w:r w:rsidRPr="002B7C8C">
        <w:rPr>
          <w:rFonts w:ascii="標楷體" w:eastAsia="標楷體" w:hAnsi="標楷體" w:hint="eastAsia"/>
          <w:color w:val="000000"/>
        </w:rPr>
        <w:t>靜脈注射以6</w:t>
      </w:r>
      <w:proofErr w:type="gramStart"/>
      <w:r w:rsidRPr="002B7C8C">
        <w:rPr>
          <w:rFonts w:ascii="標楷體" w:eastAsia="標楷體" w:hAnsi="標楷體" w:hint="eastAsia"/>
          <w:color w:val="000000"/>
        </w:rPr>
        <w:t>週</w:t>
      </w:r>
      <w:proofErr w:type="gramEnd"/>
      <w:r w:rsidRPr="002B7C8C">
        <w:rPr>
          <w:rFonts w:ascii="標楷體" w:eastAsia="標楷體" w:hAnsi="標楷體" w:hint="eastAsia"/>
          <w:color w:val="000000"/>
        </w:rPr>
        <w:t>(使用3劑為限) ，或以2</w:t>
      </w:r>
      <w:proofErr w:type="gramStart"/>
      <w:r w:rsidRPr="002B7C8C">
        <w:rPr>
          <w:rFonts w:ascii="標楷體" w:eastAsia="標楷體" w:hAnsi="標楷體" w:hint="eastAsia"/>
          <w:color w:val="000000"/>
        </w:rPr>
        <w:t>週</w:t>
      </w:r>
      <w:proofErr w:type="gramEnd"/>
      <w:r w:rsidRPr="002B7C8C">
        <w:rPr>
          <w:rFonts w:ascii="標楷體" w:eastAsia="標楷體" w:hAnsi="標楷體" w:hint="eastAsia"/>
          <w:color w:val="000000"/>
        </w:rPr>
        <w:t>(使用靜脈注射2劑為限)</w:t>
      </w:r>
      <w:r>
        <w:rPr>
          <w:rFonts w:ascii="標楷體" w:eastAsia="標楷體" w:hAnsi="標楷體"/>
          <w:color w:val="000000"/>
        </w:rPr>
        <w:t>；vedolizumab以6</w:t>
      </w:r>
      <w:proofErr w:type="gramStart"/>
      <w:r>
        <w:rPr>
          <w:rFonts w:ascii="標楷體" w:eastAsia="標楷體" w:hAnsi="標楷體"/>
          <w:color w:val="000000"/>
        </w:rPr>
        <w:t>週</w:t>
      </w:r>
      <w:proofErr w:type="gramEnd"/>
      <w:r>
        <w:rPr>
          <w:rFonts w:ascii="標楷體" w:eastAsia="標楷體" w:hAnsi="標楷體"/>
          <w:color w:val="000000"/>
        </w:rPr>
        <w:t>(使用靜脈注射3劑為限)，或以2</w:t>
      </w:r>
      <w:proofErr w:type="gramStart"/>
      <w:r>
        <w:rPr>
          <w:rFonts w:ascii="標楷體" w:eastAsia="標楷體" w:hAnsi="標楷體"/>
          <w:color w:val="000000"/>
        </w:rPr>
        <w:t>週</w:t>
      </w:r>
      <w:proofErr w:type="gramEnd"/>
      <w:r>
        <w:rPr>
          <w:rFonts w:ascii="標楷體" w:eastAsia="標楷體" w:hAnsi="標楷體"/>
          <w:color w:val="000000"/>
        </w:rPr>
        <w:t>(使用靜脈注射2劑為限)；</w:t>
      </w:r>
      <w:proofErr w:type="spellStart"/>
      <w:r>
        <w:rPr>
          <w:rFonts w:ascii="標楷體" w:eastAsia="標楷體" w:hAnsi="標楷體"/>
          <w:color w:val="000000"/>
        </w:rPr>
        <w:t>ustekinumab</w:t>
      </w:r>
      <w:proofErr w:type="spellEnd"/>
      <w:r>
        <w:rPr>
          <w:rFonts w:ascii="標楷體" w:eastAsia="標楷體" w:hAnsi="標楷體"/>
          <w:color w:val="000000"/>
        </w:rPr>
        <w:t>以8</w:t>
      </w:r>
      <w:proofErr w:type="gramStart"/>
      <w:r>
        <w:rPr>
          <w:rFonts w:ascii="標楷體" w:eastAsia="標楷體" w:hAnsi="標楷體"/>
          <w:color w:val="000000"/>
        </w:rPr>
        <w:t>週</w:t>
      </w:r>
      <w:proofErr w:type="gramEnd"/>
      <w:r>
        <w:rPr>
          <w:rFonts w:ascii="標楷體" w:eastAsia="標楷體" w:hAnsi="標楷體"/>
          <w:color w:val="000000"/>
        </w:rPr>
        <w:t>(使用靜脈注射1劑為限)，</w:t>
      </w:r>
      <w:proofErr w:type="spellStart"/>
      <w:r>
        <w:rPr>
          <w:rFonts w:ascii="標楷體" w:eastAsia="標楷體" w:hAnsi="標楷體"/>
          <w:color w:val="000000"/>
        </w:rPr>
        <w:t>risankizumab</w:t>
      </w:r>
      <w:proofErr w:type="spellEnd"/>
      <w:r>
        <w:rPr>
          <w:rFonts w:ascii="標楷體" w:eastAsia="標楷體" w:hAnsi="標楷體"/>
          <w:color w:val="000000"/>
        </w:rPr>
        <w:t>以8</w:t>
      </w:r>
      <w:proofErr w:type="gramStart"/>
      <w:r>
        <w:rPr>
          <w:rFonts w:ascii="標楷體" w:eastAsia="標楷體" w:hAnsi="標楷體"/>
          <w:color w:val="000000"/>
        </w:rPr>
        <w:t>週</w:t>
      </w:r>
      <w:proofErr w:type="gramEnd"/>
      <w:r>
        <w:rPr>
          <w:rFonts w:ascii="標楷體" w:eastAsia="標楷體" w:hAnsi="標楷體"/>
          <w:color w:val="000000"/>
        </w:rPr>
        <w:t>(使用靜脈注射3劑為限)；</w:t>
      </w:r>
      <w:proofErr w:type="spellStart"/>
      <w:r>
        <w:rPr>
          <w:rFonts w:ascii="標楷體" w:eastAsia="標楷體" w:hAnsi="標楷體"/>
          <w:color w:val="000000"/>
        </w:rPr>
        <w:t>upadacitinib</w:t>
      </w:r>
      <w:proofErr w:type="spellEnd"/>
      <w:r>
        <w:rPr>
          <w:rFonts w:ascii="標楷體" w:eastAsia="標楷體" w:hAnsi="標楷體"/>
          <w:color w:val="000000"/>
        </w:rPr>
        <w:t>以12</w:t>
      </w:r>
      <w:proofErr w:type="gramStart"/>
      <w:r>
        <w:rPr>
          <w:rFonts w:ascii="標楷體" w:eastAsia="標楷體" w:hAnsi="標楷體"/>
          <w:color w:val="000000"/>
        </w:rPr>
        <w:t>週</w:t>
      </w:r>
      <w:proofErr w:type="gramEnd"/>
      <w:r>
        <w:rPr>
          <w:rFonts w:ascii="標楷體" w:eastAsia="標楷體" w:hAnsi="標楷體"/>
          <w:color w:val="000000"/>
        </w:rPr>
        <w:t>為限(限用於其他生物製劑治療失敗或無法耐受之中至重度克隆氏症病人，另使用前應排除有血栓風險之病患，且不建議與azathioprine合併使用)完成誘導治療後，達到</w:t>
      </w:r>
      <w:proofErr w:type="gramStart"/>
      <w:r>
        <w:rPr>
          <w:rFonts w:ascii="標楷體" w:eastAsia="標楷體" w:hAnsi="標楷體"/>
          <w:color w:val="000000"/>
        </w:rPr>
        <w:t>有效緩</w:t>
      </w:r>
      <w:proofErr w:type="gramEnd"/>
      <w:r>
        <w:rPr>
          <w:rFonts w:ascii="標楷體" w:eastAsia="標楷體" w:hAnsi="標楷體"/>
          <w:color w:val="000000"/>
        </w:rPr>
        <w:t>解之誘導或部份</w:t>
      </w:r>
      <w:proofErr w:type="gramStart"/>
      <w:r>
        <w:rPr>
          <w:rFonts w:ascii="標楷體" w:eastAsia="標楷體" w:hAnsi="標楷體"/>
          <w:color w:val="000000"/>
        </w:rPr>
        <w:t>有效緩</w:t>
      </w:r>
      <w:proofErr w:type="gramEnd"/>
      <w:r>
        <w:rPr>
          <w:rFonts w:ascii="標楷體" w:eastAsia="標楷體" w:hAnsi="標楷體"/>
          <w:color w:val="000000"/>
        </w:rPr>
        <w:t>解之誘導，方得申請繼續使用。誘導緩解失敗者，得提出申請</w:t>
      </w:r>
      <w:proofErr w:type="gramStart"/>
      <w:r>
        <w:rPr>
          <w:rFonts w:ascii="標楷體" w:eastAsia="標楷體" w:hAnsi="標楷體"/>
          <w:color w:val="000000"/>
        </w:rPr>
        <w:t>轉換他類生物</w:t>
      </w:r>
      <w:proofErr w:type="gramEnd"/>
      <w:r>
        <w:rPr>
          <w:rFonts w:ascii="標楷體" w:eastAsia="標楷體" w:hAnsi="標楷體"/>
          <w:color w:val="000000"/>
        </w:rPr>
        <w:t>製劑，然同一療程不得合併使用。(106/5/1、106/10/1、109/9/1、112/8/1、113/9/1、114/8/1</w:t>
      </w:r>
      <w:r w:rsidR="007A4AB4" w:rsidRPr="007414B4">
        <w:rPr>
          <w:rFonts w:ascii="標楷體" w:eastAsia="標楷體" w:hAnsi="標楷體"/>
          <w:color w:val="000000"/>
        </w:rPr>
        <w:t>、114/</w:t>
      </w:r>
      <w:r w:rsidR="007A4AB4" w:rsidRPr="007414B4">
        <w:rPr>
          <w:rFonts w:ascii="標楷體" w:eastAsia="標楷體" w:hAnsi="標楷體" w:hint="eastAsia"/>
          <w:color w:val="000000"/>
        </w:rPr>
        <w:t>9</w:t>
      </w:r>
      <w:r w:rsidR="007A4AB4" w:rsidRPr="007414B4">
        <w:rPr>
          <w:rFonts w:ascii="標楷體" w:eastAsia="標楷體" w:hAnsi="標楷體"/>
          <w:color w:val="000000"/>
        </w:rPr>
        <w:t>/1</w:t>
      </w:r>
      <w:r>
        <w:rPr>
          <w:rFonts w:ascii="標楷體" w:eastAsia="標楷體" w:hAnsi="標楷體"/>
          <w:color w:val="000000"/>
        </w:rPr>
        <w:t>)</w:t>
      </w:r>
    </w:p>
    <w:p w14:paraId="05C6D514" w14:textId="77777777" w:rsidR="00400A9B" w:rsidRDefault="00400A9B" w:rsidP="00400A9B">
      <w:pPr>
        <w:ind w:left="1985" w:hanging="426"/>
        <w:rPr>
          <w:rFonts w:ascii="標楷體" w:eastAsia="標楷體" w:hAnsi="標楷體"/>
          <w:color w:val="000000"/>
        </w:rPr>
      </w:pPr>
      <w:proofErr w:type="spellStart"/>
      <w:r>
        <w:rPr>
          <w:rFonts w:ascii="標楷體" w:eastAsia="標楷體" w:hAnsi="標楷體"/>
          <w:color w:val="000000"/>
        </w:rPr>
        <w:t>i</w:t>
      </w:r>
      <w:proofErr w:type="spellEnd"/>
      <w:proofErr w:type="gramStart"/>
      <w:r>
        <w:rPr>
          <w:rFonts w:ascii="標楷體" w:eastAsia="標楷體" w:hAnsi="標楷體"/>
          <w:color w:val="000000"/>
        </w:rPr>
        <w:t>有效緩</w:t>
      </w:r>
      <w:proofErr w:type="gramEnd"/>
      <w:r>
        <w:rPr>
          <w:rFonts w:ascii="標楷體" w:eastAsia="標楷體" w:hAnsi="標楷體"/>
          <w:color w:val="000000"/>
        </w:rPr>
        <w:t>解之誘導：CDAI</w:t>
      </w:r>
      <w:proofErr w:type="gramStart"/>
      <w:r>
        <w:rPr>
          <w:rFonts w:ascii="標楷體" w:eastAsia="標楷體" w:hAnsi="標楷體"/>
          <w:color w:val="000000"/>
        </w:rPr>
        <w:t>≦</w:t>
      </w:r>
      <w:proofErr w:type="gramEnd"/>
      <w:r>
        <w:rPr>
          <w:rFonts w:ascii="標楷體" w:eastAsia="標楷體" w:hAnsi="標楷體"/>
          <w:color w:val="000000"/>
        </w:rPr>
        <w:t>150或</w:t>
      </w:r>
      <w:proofErr w:type="gramStart"/>
      <w:r>
        <w:rPr>
          <w:rFonts w:ascii="標楷體" w:eastAsia="標楷體" w:hAnsi="標楷體"/>
          <w:color w:val="000000"/>
        </w:rPr>
        <w:t>廔</w:t>
      </w:r>
      <w:proofErr w:type="gramEnd"/>
      <w:r>
        <w:rPr>
          <w:rFonts w:ascii="標楷體" w:eastAsia="標楷體" w:hAnsi="標楷體"/>
          <w:color w:val="000000"/>
        </w:rPr>
        <w:t>管痊癒。</w:t>
      </w:r>
    </w:p>
    <w:p w14:paraId="37E9037C" w14:textId="77777777" w:rsidR="00400A9B" w:rsidRDefault="00400A9B" w:rsidP="00400A9B">
      <w:pPr>
        <w:ind w:left="1985" w:hanging="426"/>
        <w:rPr>
          <w:rFonts w:ascii="標楷體" w:eastAsia="標楷體" w:hAnsi="標楷體"/>
          <w:color w:val="000000"/>
        </w:rPr>
      </w:pPr>
      <w:r>
        <w:rPr>
          <w:rFonts w:ascii="標楷體" w:eastAsia="標楷體" w:hAnsi="標楷體"/>
          <w:color w:val="000000"/>
        </w:rPr>
        <w:t>ii部份</w:t>
      </w:r>
      <w:proofErr w:type="gramStart"/>
      <w:r>
        <w:rPr>
          <w:rFonts w:ascii="標楷體" w:eastAsia="標楷體" w:hAnsi="標楷體"/>
          <w:color w:val="000000"/>
        </w:rPr>
        <w:t>有效緩</w:t>
      </w:r>
      <w:proofErr w:type="gramEnd"/>
      <w:r>
        <w:rPr>
          <w:rFonts w:ascii="標楷體" w:eastAsia="標楷體" w:hAnsi="標楷體"/>
          <w:color w:val="000000"/>
        </w:rPr>
        <w:t>解之誘導：CDAI分數下降</w:t>
      </w:r>
      <w:proofErr w:type="gramStart"/>
      <w:r>
        <w:rPr>
          <w:rFonts w:ascii="標楷體" w:eastAsia="標楷體" w:hAnsi="標楷體"/>
          <w:color w:val="000000"/>
        </w:rPr>
        <w:t>≧</w:t>
      </w:r>
      <w:proofErr w:type="gramEnd"/>
      <w:r>
        <w:rPr>
          <w:rFonts w:ascii="標楷體" w:eastAsia="標楷體" w:hAnsi="標楷體"/>
          <w:color w:val="000000"/>
        </w:rPr>
        <w:t>100或</w:t>
      </w:r>
      <w:proofErr w:type="gramStart"/>
      <w:r>
        <w:rPr>
          <w:rFonts w:ascii="標楷體" w:eastAsia="標楷體" w:hAnsi="標楷體"/>
          <w:color w:val="000000"/>
        </w:rPr>
        <w:t>廔</w:t>
      </w:r>
      <w:proofErr w:type="gramEnd"/>
      <w:r>
        <w:rPr>
          <w:rFonts w:ascii="標楷體" w:eastAsia="標楷體" w:hAnsi="標楷體"/>
          <w:color w:val="000000"/>
        </w:rPr>
        <w:t>管數量減少。</w:t>
      </w:r>
    </w:p>
    <w:p w14:paraId="01376DC3"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(2)繼續使用者:adalimumab</w:t>
      </w:r>
      <w:proofErr w:type="gramStart"/>
      <w:r>
        <w:rPr>
          <w:rFonts w:ascii="標楷體" w:eastAsia="標楷體" w:hAnsi="標楷體"/>
          <w:color w:val="000000"/>
        </w:rPr>
        <w:t>需每24週</w:t>
      </w:r>
      <w:proofErr w:type="gramEnd"/>
      <w:r>
        <w:rPr>
          <w:rFonts w:ascii="標楷體" w:eastAsia="標楷體" w:hAnsi="標楷體"/>
          <w:color w:val="000000"/>
        </w:rPr>
        <w:t>(使用12劑)；infliximab</w:t>
      </w:r>
      <w:r w:rsidRPr="005206CA">
        <w:rPr>
          <w:rFonts w:ascii="標楷體" w:eastAsia="標楷體" w:hAnsi="標楷體" w:hint="eastAsia"/>
          <w:color w:val="000000"/>
        </w:rPr>
        <w:t>靜脈注射需16</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(使用2劑)或24</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(使用3劑)，或第6</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起，每24</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(使用皮下注射12劑)；</w:t>
      </w:r>
      <w:r>
        <w:rPr>
          <w:rFonts w:ascii="標楷體" w:eastAsia="標楷體" w:hAnsi="標楷體"/>
          <w:color w:val="000000"/>
        </w:rPr>
        <w:t>vedolizumab需16</w:t>
      </w:r>
      <w:proofErr w:type="gramStart"/>
      <w:r>
        <w:rPr>
          <w:rFonts w:ascii="標楷體" w:eastAsia="標楷體" w:hAnsi="標楷體"/>
          <w:color w:val="000000"/>
        </w:rPr>
        <w:t>週</w:t>
      </w:r>
      <w:proofErr w:type="gramEnd"/>
      <w:r>
        <w:rPr>
          <w:rFonts w:ascii="標楷體" w:eastAsia="標楷體" w:hAnsi="標楷體"/>
          <w:color w:val="000000"/>
        </w:rPr>
        <w:t>(使用靜脈注射2劑)或24</w:t>
      </w:r>
      <w:proofErr w:type="gramStart"/>
      <w:r>
        <w:rPr>
          <w:rFonts w:ascii="標楷體" w:eastAsia="標楷體" w:hAnsi="標楷體"/>
          <w:color w:val="000000"/>
        </w:rPr>
        <w:t>週</w:t>
      </w:r>
      <w:proofErr w:type="gramEnd"/>
      <w:r>
        <w:rPr>
          <w:rFonts w:ascii="標楷體" w:eastAsia="標楷體" w:hAnsi="標楷體"/>
          <w:color w:val="000000"/>
        </w:rPr>
        <w:t>(使用靜脈注射3劑)，或第6</w:t>
      </w:r>
      <w:proofErr w:type="gramStart"/>
      <w:r>
        <w:rPr>
          <w:rFonts w:ascii="標楷體" w:eastAsia="標楷體" w:hAnsi="標楷體"/>
          <w:color w:val="000000"/>
        </w:rPr>
        <w:t>週</w:t>
      </w:r>
      <w:proofErr w:type="gramEnd"/>
      <w:r>
        <w:rPr>
          <w:rFonts w:ascii="標楷體" w:eastAsia="標楷體" w:hAnsi="標楷體"/>
          <w:color w:val="000000"/>
        </w:rPr>
        <w:t>起，每24</w:t>
      </w:r>
      <w:proofErr w:type="gramStart"/>
      <w:r>
        <w:rPr>
          <w:rFonts w:ascii="標楷體" w:eastAsia="標楷體" w:hAnsi="標楷體"/>
          <w:color w:val="000000"/>
        </w:rPr>
        <w:t>週</w:t>
      </w:r>
      <w:proofErr w:type="gramEnd"/>
      <w:r>
        <w:rPr>
          <w:rFonts w:ascii="標楷體" w:eastAsia="標楷體" w:hAnsi="標楷體"/>
          <w:color w:val="000000"/>
        </w:rPr>
        <w:t>(使用皮下注射12劑)；</w:t>
      </w:r>
      <w:proofErr w:type="spellStart"/>
      <w:r>
        <w:rPr>
          <w:rFonts w:ascii="標楷體" w:eastAsia="標楷體" w:hAnsi="標楷體"/>
          <w:color w:val="000000"/>
        </w:rPr>
        <w:t>ustekinumab</w:t>
      </w:r>
      <w:proofErr w:type="spellEnd"/>
      <w:proofErr w:type="gramStart"/>
      <w:r>
        <w:rPr>
          <w:rFonts w:ascii="標楷體" w:eastAsia="標楷體" w:hAnsi="標楷體"/>
          <w:color w:val="000000"/>
        </w:rPr>
        <w:t>需每24週</w:t>
      </w:r>
      <w:proofErr w:type="gramEnd"/>
      <w:r>
        <w:rPr>
          <w:rFonts w:ascii="標楷體" w:eastAsia="標楷體" w:hAnsi="標楷體"/>
          <w:color w:val="000000"/>
        </w:rPr>
        <w:t>(使用2劑或3劑)；</w:t>
      </w:r>
      <w:proofErr w:type="spellStart"/>
      <w:r>
        <w:rPr>
          <w:rFonts w:ascii="標楷體" w:eastAsia="標楷體" w:hAnsi="標楷體"/>
          <w:color w:val="000000"/>
        </w:rPr>
        <w:t>risankizumab</w:t>
      </w:r>
      <w:proofErr w:type="spellEnd"/>
      <w:proofErr w:type="gramStart"/>
      <w:r>
        <w:rPr>
          <w:rFonts w:ascii="標楷體" w:eastAsia="標楷體" w:hAnsi="標楷體"/>
          <w:color w:val="000000"/>
        </w:rPr>
        <w:t>需每16週</w:t>
      </w:r>
      <w:proofErr w:type="gramEnd"/>
      <w:r>
        <w:rPr>
          <w:rFonts w:ascii="標楷體" w:eastAsia="標楷體" w:hAnsi="標楷體"/>
          <w:color w:val="000000"/>
        </w:rPr>
        <w:t>(使用皮下注射2劑)或24</w:t>
      </w:r>
      <w:proofErr w:type="gramStart"/>
      <w:r>
        <w:rPr>
          <w:rFonts w:ascii="標楷體" w:eastAsia="標楷體" w:hAnsi="標楷體"/>
          <w:color w:val="000000"/>
        </w:rPr>
        <w:t>週</w:t>
      </w:r>
      <w:proofErr w:type="gramEnd"/>
      <w:r>
        <w:rPr>
          <w:rFonts w:ascii="標楷體" w:eastAsia="標楷體" w:hAnsi="標楷體"/>
          <w:color w:val="000000"/>
        </w:rPr>
        <w:t>(使用皮下注射3劑)；</w:t>
      </w:r>
      <w:proofErr w:type="spellStart"/>
      <w:r>
        <w:rPr>
          <w:rFonts w:ascii="標楷體" w:eastAsia="標楷體" w:hAnsi="標楷體"/>
          <w:color w:val="000000"/>
        </w:rPr>
        <w:t>upadacitinib</w:t>
      </w:r>
      <w:proofErr w:type="spellEnd"/>
      <w:proofErr w:type="gramStart"/>
      <w:r>
        <w:rPr>
          <w:rFonts w:ascii="標楷體" w:eastAsia="標楷體" w:hAnsi="標楷體"/>
          <w:color w:val="000000"/>
        </w:rPr>
        <w:t>需每24週</w:t>
      </w:r>
      <w:proofErr w:type="gramEnd"/>
      <w:r>
        <w:rPr>
          <w:rFonts w:ascii="標楷體" w:eastAsia="標楷體" w:hAnsi="標楷體"/>
          <w:color w:val="000000"/>
        </w:rPr>
        <w:t>評估一次。評估仍維持前一次療程有效或部份</w:t>
      </w:r>
      <w:proofErr w:type="gramStart"/>
      <w:r>
        <w:rPr>
          <w:rFonts w:ascii="標楷體" w:eastAsia="標楷體" w:hAnsi="標楷體"/>
          <w:color w:val="000000"/>
        </w:rPr>
        <w:t>有效緩解時</w:t>
      </w:r>
      <w:proofErr w:type="gramEnd"/>
      <w:r>
        <w:rPr>
          <w:rFonts w:ascii="標楷體" w:eastAsia="標楷體" w:hAnsi="標楷體"/>
          <w:color w:val="000000"/>
        </w:rPr>
        <w:t>之CDAI分數者，方得提出申請續用。Ustekinumab治療達到部分</w:t>
      </w:r>
      <w:proofErr w:type="gramStart"/>
      <w:r>
        <w:rPr>
          <w:rFonts w:ascii="標楷體" w:eastAsia="標楷體" w:hAnsi="標楷體"/>
          <w:color w:val="000000"/>
        </w:rPr>
        <w:t>有效緩解者</w:t>
      </w:r>
      <w:proofErr w:type="gramEnd"/>
      <w:r>
        <w:rPr>
          <w:rFonts w:ascii="標楷體" w:eastAsia="標楷體" w:hAnsi="標楷體"/>
          <w:color w:val="000000"/>
        </w:rPr>
        <w:t>，經消化系專科醫師評估後，得申請繼續使用，以每隔8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給予皮下注射維持劑量90mg。每次申請adalimumab以24</w:t>
      </w:r>
      <w:proofErr w:type="gramStart"/>
      <w:r>
        <w:rPr>
          <w:rFonts w:ascii="標楷體" w:eastAsia="標楷體" w:hAnsi="標楷體"/>
          <w:color w:val="000000"/>
        </w:rPr>
        <w:t>週</w:t>
      </w:r>
      <w:proofErr w:type="gramEnd"/>
      <w:r>
        <w:rPr>
          <w:rFonts w:ascii="標楷體" w:eastAsia="標楷體" w:hAnsi="標楷體"/>
          <w:color w:val="000000"/>
        </w:rPr>
        <w:t>(使用12劑)；infliximab以16</w:t>
      </w:r>
      <w:proofErr w:type="gramStart"/>
      <w:r>
        <w:rPr>
          <w:rFonts w:ascii="標楷體" w:eastAsia="標楷體" w:hAnsi="標楷體"/>
          <w:color w:val="000000"/>
        </w:rPr>
        <w:t>週</w:t>
      </w:r>
      <w:proofErr w:type="gramEnd"/>
      <w:r>
        <w:rPr>
          <w:rFonts w:ascii="標楷體" w:eastAsia="標楷體" w:hAnsi="標楷體"/>
          <w:color w:val="000000"/>
        </w:rPr>
        <w:t>(使用2劑)或24</w:t>
      </w:r>
      <w:proofErr w:type="gramStart"/>
      <w:r>
        <w:rPr>
          <w:rFonts w:ascii="標楷體" w:eastAsia="標楷體" w:hAnsi="標楷體"/>
          <w:color w:val="000000"/>
        </w:rPr>
        <w:t>週</w:t>
      </w:r>
      <w:proofErr w:type="gramEnd"/>
      <w:r>
        <w:rPr>
          <w:rFonts w:ascii="標楷體" w:eastAsia="標楷體" w:hAnsi="標楷體"/>
          <w:color w:val="000000"/>
        </w:rPr>
        <w:t>(使用3劑)；vedolizumab以16</w:t>
      </w:r>
      <w:proofErr w:type="gramStart"/>
      <w:r>
        <w:rPr>
          <w:rFonts w:ascii="標楷體" w:eastAsia="標楷體" w:hAnsi="標楷體"/>
          <w:color w:val="000000"/>
        </w:rPr>
        <w:t>週</w:t>
      </w:r>
      <w:proofErr w:type="gramEnd"/>
      <w:r>
        <w:rPr>
          <w:rFonts w:ascii="標楷體" w:eastAsia="標楷體" w:hAnsi="標楷體"/>
          <w:color w:val="000000"/>
        </w:rPr>
        <w:t>(使用靜脈注射2劑)或24</w:t>
      </w:r>
      <w:proofErr w:type="gramStart"/>
      <w:r>
        <w:rPr>
          <w:rFonts w:ascii="標楷體" w:eastAsia="標楷體" w:hAnsi="標楷體"/>
          <w:color w:val="000000"/>
        </w:rPr>
        <w:t>週</w:t>
      </w:r>
      <w:proofErr w:type="gramEnd"/>
      <w:r>
        <w:rPr>
          <w:rFonts w:ascii="標楷體" w:eastAsia="標楷體" w:hAnsi="標楷體"/>
          <w:color w:val="000000"/>
        </w:rPr>
        <w:t>(使用靜脈注射3劑)，或每24</w:t>
      </w:r>
      <w:proofErr w:type="gramStart"/>
      <w:r>
        <w:rPr>
          <w:rFonts w:ascii="標楷體" w:eastAsia="標楷體" w:hAnsi="標楷體"/>
          <w:color w:val="000000"/>
        </w:rPr>
        <w:t>週</w:t>
      </w:r>
      <w:proofErr w:type="gramEnd"/>
      <w:r>
        <w:rPr>
          <w:rFonts w:ascii="標楷體" w:eastAsia="標楷體" w:hAnsi="標楷體"/>
          <w:color w:val="000000"/>
        </w:rPr>
        <w:t>(使用皮下注射12劑)；</w:t>
      </w:r>
      <w:proofErr w:type="spellStart"/>
      <w:r>
        <w:rPr>
          <w:rFonts w:ascii="標楷體" w:eastAsia="標楷體" w:hAnsi="標楷體"/>
          <w:color w:val="000000"/>
        </w:rPr>
        <w:t>ustekinumab</w:t>
      </w:r>
      <w:proofErr w:type="spellEnd"/>
      <w:r>
        <w:rPr>
          <w:rFonts w:ascii="標楷體" w:eastAsia="標楷體" w:hAnsi="標楷體"/>
          <w:color w:val="000000"/>
        </w:rPr>
        <w:t>以24</w:t>
      </w:r>
      <w:proofErr w:type="gramStart"/>
      <w:r>
        <w:rPr>
          <w:rFonts w:ascii="標楷體" w:eastAsia="標楷體" w:hAnsi="標楷體"/>
          <w:color w:val="000000"/>
        </w:rPr>
        <w:t>週</w:t>
      </w:r>
      <w:proofErr w:type="gramEnd"/>
      <w:r>
        <w:rPr>
          <w:rFonts w:ascii="標楷體" w:eastAsia="標楷體" w:hAnsi="標楷體"/>
          <w:color w:val="000000"/>
        </w:rPr>
        <w:t>(使用2劑或3劑)；</w:t>
      </w:r>
      <w:proofErr w:type="spellStart"/>
      <w:r>
        <w:rPr>
          <w:rFonts w:ascii="標楷體" w:eastAsia="標楷體" w:hAnsi="標楷體"/>
          <w:color w:val="000000"/>
        </w:rPr>
        <w:t>risankizumab</w:t>
      </w:r>
      <w:proofErr w:type="spellEnd"/>
      <w:r>
        <w:rPr>
          <w:rFonts w:ascii="標楷體" w:eastAsia="標楷體" w:hAnsi="標楷體"/>
          <w:color w:val="000000"/>
        </w:rPr>
        <w:t>以每16</w:t>
      </w:r>
      <w:proofErr w:type="gramStart"/>
      <w:r>
        <w:rPr>
          <w:rFonts w:ascii="標楷體" w:eastAsia="標楷體" w:hAnsi="標楷體"/>
          <w:color w:val="000000"/>
        </w:rPr>
        <w:t>週</w:t>
      </w:r>
      <w:proofErr w:type="gramEnd"/>
      <w:r>
        <w:rPr>
          <w:rFonts w:ascii="標楷體" w:eastAsia="標楷體" w:hAnsi="標楷體"/>
          <w:color w:val="000000"/>
        </w:rPr>
        <w:t>(使用皮下注射2劑)或24</w:t>
      </w:r>
      <w:proofErr w:type="gramStart"/>
      <w:r>
        <w:rPr>
          <w:rFonts w:ascii="標楷體" w:eastAsia="標楷體" w:hAnsi="標楷體"/>
          <w:color w:val="000000"/>
        </w:rPr>
        <w:t>週</w:t>
      </w:r>
      <w:proofErr w:type="gramEnd"/>
      <w:r>
        <w:rPr>
          <w:rFonts w:ascii="標楷體" w:eastAsia="標楷體" w:hAnsi="標楷體"/>
          <w:color w:val="000000"/>
        </w:rPr>
        <w:t>(使用皮下注射3劑)為限；</w:t>
      </w:r>
      <w:proofErr w:type="spellStart"/>
      <w:r>
        <w:rPr>
          <w:rFonts w:ascii="標楷體" w:eastAsia="標楷體" w:hAnsi="標楷體"/>
          <w:color w:val="000000"/>
        </w:rPr>
        <w:t>upadacitinib</w:t>
      </w:r>
      <w:proofErr w:type="spellEnd"/>
      <w:r>
        <w:rPr>
          <w:rFonts w:ascii="標楷體" w:eastAsia="標楷體" w:hAnsi="標楷體"/>
          <w:color w:val="000000"/>
        </w:rPr>
        <w:t>以24</w:t>
      </w:r>
      <w:proofErr w:type="gramStart"/>
      <w:r>
        <w:rPr>
          <w:rFonts w:ascii="標楷體" w:eastAsia="標楷體" w:hAnsi="標楷體"/>
          <w:color w:val="000000"/>
        </w:rPr>
        <w:t>週</w:t>
      </w:r>
      <w:proofErr w:type="gramEnd"/>
      <w:r>
        <w:rPr>
          <w:rFonts w:ascii="標楷體" w:eastAsia="標楷體" w:hAnsi="標楷體"/>
          <w:color w:val="000000"/>
        </w:rPr>
        <w:t>為限。(106/5/1、106/10/1、108/10/1、109/9/1、112/8/1、113/9/1、113/11/1、114/8/1</w:t>
      </w:r>
      <w:r w:rsidRPr="00360523">
        <w:rPr>
          <w:rFonts w:ascii="標楷體" w:eastAsia="標楷體" w:hAnsi="標楷體" w:hint="eastAsia"/>
          <w:color w:val="000000"/>
        </w:rPr>
        <w:t>、114/9/1</w:t>
      </w:r>
      <w:r>
        <w:rPr>
          <w:rFonts w:ascii="標楷體" w:eastAsia="標楷體" w:hAnsi="標楷體"/>
          <w:color w:val="000000"/>
        </w:rPr>
        <w:t>)</w:t>
      </w:r>
    </w:p>
    <w:p w14:paraId="467A90C8"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(3)總療程:adalimumab治療54</w:t>
      </w:r>
      <w:proofErr w:type="gramStart"/>
      <w:r>
        <w:rPr>
          <w:rFonts w:ascii="標楷體" w:eastAsia="標楷體" w:hAnsi="標楷體"/>
          <w:color w:val="000000"/>
        </w:rPr>
        <w:t>週</w:t>
      </w:r>
      <w:proofErr w:type="gramEnd"/>
      <w:r>
        <w:rPr>
          <w:rFonts w:ascii="標楷體" w:eastAsia="標楷體" w:hAnsi="標楷體"/>
          <w:color w:val="000000"/>
        </w:rPr>
        <w:t>使用28劑；infliximab</w:t>
      </w:r>
      <w:r w:rsidRPr="007F740F">
        <w:rPr>
          <w:rFonts w:ascii="標楷體" w:eastAsia="標楷體" w:hAnsi="標楷體" w:hint="eastAsia"/>
          <w:color w:val="000000"/>
        </w:rPr>
        <w:t>靜脈注射治療46</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使用8劑(療效持續至54</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)；infliximab靜脈注射搭配皮下注射共治療52</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，使用靜脈注射2劑，皮下注射24劑(療效持續至54</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w:t>
      </w:r>
      <w:r>
        <w:rPr>
          <w:rFonts w:ascii="標楷體" w:eastAsia="標楷體" w:hAnsi="標楷體"/>
          <w:color w:val="000000"/>
        </w:rPr>
        <w:t>；vedolizumab靜脈注射治療46</w:t>
      </w:r>
      <w:proofErr w:type="gramStart"/>
      <w:r>
        <w:rPr>
          <w:rFonts w:ascii="標楷體" w:eastAsia="標楷體" w:hAnsi="標楷體"/>
          <w:color w:val="000000"/>
        </w:rPr>
        <w:t>週</w:t>
      </w:r>
      <w:proofErr w:type="gramEnd"/>
      <w:r>
        <w:rPr>
          <w:rFonts w:ascii="標楷體" w:eastAsia="標楷體" w:hAnsi="標楷體"/>
          <w:color w:val="000000"/>
        </w:rPr>
        <w:t>，使用靜脈注射8劑(療效持續至54</w:t>
      </w:r>
      <w:proofErr w:type="gramStart"/>
      <w:r>
        <w:rPr>
          <w:rFonts w:ascii="標楷體" w:eastAsia="標楷體" w:hAnsi="標楷體"/>
          <w:color w:val="000000"/>
        </w:rPr>
        <w:t>週</w:t>
      </w:r>
      <w:proofErr w:type="gramEnd"/>
      <w:r>
        <w:rPr>
          <w:rFonts w:ascii="標楷體" w:eastAsia="標楷體" w:hAnsi="標楷體"/>
          <w:color w:val="000000"/>
        </w:rPr>
        <w:t>)，或vedolizumab靜脈注射搭配皮下注射共治療52</w:t>
      </w:r>
      <w:proofErr w:type="gramStart"/>
      <w:r>
        <w:rPr>
          <w:rFonts w:ascii="標楷體" w:eastAsia="標楷體" w:hAnsi="標楷體"/>
          <w:color w:val="000000"/>
        </w:rPr>
        <w:t>週</w:t>
      </w:r>
      <w:proofErr w:type="gramEnd"/>
      <w:r>
        <w:rPr>
          <w:rFonts w:ascii="標楷體" w:eastAsia="標楷體" w:hAnsi="標楷體"/>
          <w:color w:val="000000"/>
        </w:rPr>
        <w:t>，使用靜脈注射2劑，皮下注射24劑(療效持續至54</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治療44</w:t>
      </w:r>
      <w:proofErr w:type="gramStart"/>
      <w:r>
        <w:rPr>
          <w:rFonts w:ascii="標楷體" w:eastAsia="標楷體" w:hAnsi="標楷體"/>
          <w:color w:val="000000"/>
        </w:rPr>
        <w:t>週</w:t>
      </w:r>
      <w:proofErr w:type="gramEnd"/>
      <w:r>
        <w:rPr>
          <w:rFonts w:ascii="標楷體" w:eastAsia="標楷體" w:hAnsi="標楷體"/>
          <w:color w:val="000000"/>
        </w:rPr>
        <w:t>使用5劑或 48</w:t>
      </w:r>
      <w:proofErr w:type="gramStart"/>
      <w:r>
        <w:rPr>
          <w:rFonts w:ascii="標楷體" w:eastAsia="標楷體" w:hAnsi="標楷體"/>
          <w:color w:val="000000"/>
        </w:rPr>
        <w:t>週</w:t>
      </w:r>
      <w:proofErr w:type="gramEnd"/>
      <w:r>
        <w:rPr>
          <w:rFonts w:ascii="標楷體" w:eastAsia="標楷體" w:hAnsi="標楷體"/>
          <w:color w:val="000000"/>
        </w:rPr>
        <w:t>使用7劑；</w:t>
      </w:r>
      <w:proofErr w:type="spellStart"/>
      <w:r>
        <w:rPr>
          <w:rFonts w:ascii="標楷體" w:eastAsia="標楷體" w:hAnsi="標楷體"/>
          <w:color w:val="000000"/>
        </w:rPr>
        <w:t>risankizumab</w:t>
      </w:r>
      <w:proofErr w:type="spellEnd"/>
      <w:r>
        <w:rPr>
          <w:rFonts w:ascii="標楷體" w:eastAsia="標楷體" w:hAnsi="標楷體"/>
          <w:color w:val="000000"/>
        </w:rPr>
        <w:t>靜脈注射搭配皮下注射共治療44</w:t>
      </w:r>
      <w:proofErr w:type="gramStart"/>
      <w:r>
        <w:rPr>
          <w:rFonts w:ascii="標楷體" w:eastAsia="標楷體" w:hAnsi="標楷體"/>
          <w:color w:val="000000"/>
        </w:rPr>
        <w:t>週</w:t>
      </w:r>
      <w:proofErr w:type="gramEnd"/>
      <w:r>
        <w:rPr>
          <w:rFonts w:ascii="標楷體" w:eastAsia="標楷體" w:hAnsi="標楷體"/>
          <w:color w:val="000000"/>
        </w:rPr>
        <w:t>，使用靜脈注射3劑，皮下注射5劑(療效持續至52</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upadacitinib</w:t>
      </w:r>
      <w:proofErr w:type="spellEnd"/>
      <w:r>
        <w:rPr>
          <w:rFonts w:ascii="標楷體" w:eastAsia="標楷體" w:hAnsi="標楷體"/>
          <w:color w:val="000000"/>
        </w:rPr>
        <w:t>治療60</w:t>
      </w:r>
      <w:proofErr w:type="gramStart"/>
      <w:r>
        <w:rPr>
          <w:rFonts w:ascii="標楷體" w:eastAsia="標楷體" w:hAnsi="標楷體"/>
          <w:color w:val="000000"/>
        </w:rPr>
        <w:t>週</w:t>
      </w:r>
      <w:proofErr w:type="gramEnd"/>
      <w:r>
        <w:rPr>
          <w:rFonts w:ascii="標楷體" w:eastAsia="標楷體" w:hAnsi="標楷體"/>
          <w:color w:val="000000"/>
        </w:rPr>
        <w:t>。總療程結束後，必須至少再間隔超過3個月後，因病情復發或以其他治療難以控制達上述3.之(1)(2)(3)之標準(惟其中經5-aminosalicylic acid藥物、類固醇、及/或免疫抑制劑充分治療，連續超過3個月)才能再次提出申請使用。（105/10/1、106/5/1、106/10/1、108/10/1、109/9/1、112/8/1、113/9/1、113/11/1、114/8/1</w:t>
      </w:r>
      <w:r w:rsidRPr="0077509F">
        <w:rPr>
          <w:rFonts w:ascii="標楷體" w:eastAsia="標楷體" w:hAnsi="標楷體" w:hint="eastAsia"/>
          <w:color w:val="000000"/>
        </w:rPr>
        <w:t>、114/9/1</w:t>
      </w:r>
      <w:r>
        <w:rPr>
          <w:rFonts w:ascii="標楷體" w:eastAsia="標楷體" w:hAnsi="標楷體"/>
          <w:color w:val="000000"/>
        </w:rPr>
        <w:t>）</w:t>
      </w:r>
    </w:p>
    <w:p w14:paraId="6711124F" w14:textId="77777777" w:rsidR="00400A9B" w:rsidRDefault="00400A9B" w:rsidP="00400A9B">
      <w:pPr>
        <w:ind w:left="1560" w:hanging="426"/>
      </w:pPr>
      <w:r>
        <w:rPr>
          <w:rFonts w:ascii="標楷體" w:eastAsia="標楷體" w:hAnsi="標楷體"/>
          <w:color w:val="000000"/>
        </w:rPr>
        <w:t>(4)連續2次於總療程結束後復發(CDAI</w:t>
      </w:r>
      <w:r>
        <w:rPr>
          <w:rFonts w:ascii="Times New Roman" w:eastAsia="標楷體" w:hAnsi="Times New Roman"/>
          <w:color w:val="000000"/>
        </w:rPr>
        <w:t>≥</w:t>
      </w:r>
      <w:r>
        <w:rPr>
          <w:rFonts w:ascii="標楷體" w:eastAsia="標楷體" w:hAnsi="標楷體"/>
          <w:color w:val="000000"/>
        </w:rPr>
        <w:t>300) 者，且第2次復發於藥效終止後3個月內發生，則可持續使用，惟需每24週提出續用事前審查。仍維持前一療程有效或部分</w:t>
      </w:r>
      <w:proofErr w:type="gramStart"/>
      <w:r>
        <w:rPr>
          <w:rFonts w:ascii="標楷體" w:eastAsia="標楷體" w:hAnsi="標楷體"/>
          <w:color w:val="000000"/>
        </w:rPr>
        <w:t>有效緩</w:t>
      </w:r>
      <w:proofErr w:type="gramEnd"/>
      <w:r>
        <w:rPr>
          <w:rFonts w:ascii="標楷體" w:eastAsia="標楷體" w:hAnsi="標楷體"/>
          <w:color w:val="000000"/>
        </w:rPr>
        <w:t>解之CDAI分數，才可繼續申請事前審查。連續2年(4次評估)達到CDAI&lt;150，則應考慮停藥。（113/7/1）</w:t>
      </w:r>
    </w:p>
    <w:p w14:paraId="14F85B36"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 xml:space="preserve">(5) Upadacitinib：最初12 </w:t>
      </w:r>
      <w:proofErr w:type="gramStart"/>
      <w:r>
        <w:rPr>
          <w:rFonts w:ascii="標楷體" w:eastAsia="標楷體" w:hAnsi="標楷體"/>
          <w:color w:val="000000"/>
        </w:rPr>
        <w:t>週</w:t>
      </w:r>
      <w:proofErr w:type="gramEnd"/>
      <w:r>
        <w:rPr>
          <w:rFonts w:ascii="標楷體" w:eastAsia="標楷體" w:hAnsi="標楷體"/>
          <w:color w:val="000000"/>
        </w:rPr>
        <w:t>每日45mg，限用45mg</w:t>
      </w:r>
      <w:proofErr w:type="gramStart"/>
      <w:r>
        <w:rPr>
          <w:rFonts w:ascii="標楷體" w:eastAsia="標楷體" w:hAnsi="標楷體"/>
          <w:color w:val="000000"/>
        </w:rPr>
        <w:t>規格量品項</w:t>
      </w:r>
      <w:proofErr w:type="gramEnd"/>
      <w:r>
        <w:rPr>
          <w:rFonts w:ascii="標楷體" w:eastAsia="標楷體" w:hAnsi="標楷體"/>
          <w:color w:val="000000"/>
        </w:rPr>
        <w:t>，作為緩解之誘</w:t>
      </w:r>
      <w:r>
        <w:rPr>
          <w:rFonts w:ascii="標楷體" w:eastAsia="標楷體" w:hAnsi="標楷體"/>
          <w:color w:val="000000"/>
        </w:rPr>
        <w:lastRenderedPageBreak/>
        <w:t>導；之後調整劑量為每日15mg，可持續治療至60</w:t>
      </w:r>
      <w:proofErr w:type="gramStart"/>
      <w:r>
        <w:rPr>
          <w:rFonts w:ascii="標楷體" w:eastAsia="標楷體" w:hAnsi="標楷體"/>
          <w:color w:val="000000"/>
        </w:rPr>
        <w:t>週</w:t>
      </w:r>
      <w:proofErr w:type="gramEnd"/>
      <w:r>
        <w:rPr>
          <w:rFonts w:ascii="標楷體" w:eastAsia="標楷體" w:hAnsi="標楷體"/>
          <w:color w:val="000000"/>
        </w:rPr>
        <w:t>，作為緩解之維持。(114/8/1</w:t>
      </w:r>
      <w:proofErr w:type="gramStart"/>
      <w:r>
        <w:rPr>
          <w:rFonts w:ascii="標楷體" w:eastAsia="標楷體" w:hAnsi="標楷體"/>
          <w:color w:val="000000"/>
        </w:rPr>
        <w:t>）</w:t>
      </w:r>
      <w:proofErr w:type="gramEnd"/>
    </w:p>
    <w:p w14:paraId="16CFD96C"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5.使用劑量：</w:t>
      </w:r>
    </w:p>
    <w:p w14:paraId="3ED4BD8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(1)Adalimumab：原則上，最初第一劑160mg，兩</w:t>
      </w:r>
      <w:proofErr w:type="gramStart"/>
      <w:r>
        <w:rPr>
          <w:rFonts w:ascii="標楷體" w:eastAsia="標楷體" w:hAnsi="標楷體"/>
          <w:color w:val="000000"/>
        </w:rPr>
        <w:t>週</w:t>
      </w:r>
      <w:proofErr w:type="gramEnd"/>
      <w:r>
        <w:rPr>
          <w:rFonts w:ascii="標楷體" w:eastAsia="標楷體" w:hAnsi="標楷體"/>
          <w:color w:val="000000"/>
        </w:rPr>
        <w:t>後第二劑80mg，第四</w:t>
      </w:r>
      <w:proofErr w:type="gramStart"/>
      <w:r>
        <w:rPr>
          <w:rFonts w:ascii="標楷體" w:eastAsia="標楷體" w:hAnsi="標楷體"/>
          <w:color w:val="000000"/>
        </w:rPr>
        <w:t>週</w:t>
      </w:r>
      <w:proofErr w:type="gramEnd"/>
      <w:r>
        <w:rPr>
          <w:rFonts w:ascii="標楷體" w:eastAsia="標楷體" w:hAnsi="標楷體"/>
          <w:color w:val="000000"/>
        </w:rPr>
        <w:t>之第三劑40mg，作為緩解之誘導；之後每隔兩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給予維持劑量40mg，可持續治療至54</w:t>
      </w:r>
      <w:proofErr w:type="gramStart"/>
      <w:r>
        <w:rPr>
          <w:rFonts w:ascii="標楷體" w:eastAsia="標楷體" w:hAnsi="標楷體"/>
          <w:color w:val="000000"/>
        </w:rPr>
        <w:t>週</w:t>
      </w:r>
      <w:proofErr w:type="gramEnd"/>
      <w:r>
        <w:rPr>
          <w:rFonts w:ascii="標楷體" w:eastAsia="標楷體" w:hAnsi="標楷體"/>
          <w:color w:val="000000"/>
        </w:rPr>
        <w:t>(總共使用28劑)，作為緩解之維持。（105/10/1、106/5/1）</w:t>
      </w:r>
    </w:p>
    <w:p w14:paraId="0278C8B5"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(2)Infliximab：</w:t>
      </w:r>
      <w:r w:rsidRPr="00541044">
        <w:rPr>
          <w:rFonts w:ascii="標楷體" w:eastAsia="標楷體" w:hAnsi="標楷體" w:hint="eastAsia"/>
          <w:color w:val="000000"/>
        </w:rPr>
        <w:t>原則上，第0、2、6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w:t>
      </w:r>
      <w:proofErr w:type="gramStart"/>
      <w:r w:rsidRPr="00541044">
        <w:rPr>
          <w:rFonts w:ascii="標楷體" w:eastAsia="標楷體" w:hAnsi="標楷體" w:hint="eastAsia"/>
          <w:color w:val="000000"/>
        </w:rPr>
        <w:t>靜脈輸注</w:t>
      </w:r>
      <w:proofErr w:type="gramEnd"/>
      <w:r w:rsidRPr="00541044">
        <w:rPr>
          <w:rFonts w:ascii="標楷體" w:eastAsia="標楷體" w:hAnsi="標楷體" w:hint="eastAsia"/>
          <w:color w:val="000000"/>
        </w:rPr>
        <w:t>5mg/kg作為緩解之誘導；之後每隔8</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給予維持劑量5mg/kg，可持續治療至第46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 xml:space="preserve"> (總共使用8劑，療效持續至54</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)，作為緩解之維持。或第0、2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給予靜脈注射5mg/kg作為緩解之誘導；第6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開始給予皮下注射維持劑量120mg，之後每隔2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給予皮下注射維持劑量120 mg，可持續治療至第52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(總共使用靜脈注射2劑，皮下注射24劑，療效持續至54</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)，作為緩解之維持。（106/5/1、114/9/1）</w:t>
      </w:r>
    </w:p>
    <w:p w14:paraId="6EB86C3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 Vedolizumab：原則上，第0、2、6</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300mg作為緩解之誘導；之後每隔8</w:t>
      </w:r>
      <w:proofErr w:type="gramStart"/>
      <w:r>
        <w:rPr>
          <w:rFonts w:ascii="標楷體" w:eastAsia="標楷體" w:hAnsi="標楷體"/>
          <w:color w:val="000000"/>
        </w:rPr>
        <w:t>週</w:t>
      </w:r>
      <w:proofErr w:type="gramEnd"/>
      <w:r>
        <w:rPr>
          <w:rFonts w:ascii="標楷體" w:eastAsia="標楷體" w:hAnsi="標楷體"/>
          <w:color w:val="000000"/>
        </w:rPr>
        <w:t>給予維持劑量300mg，可持續治療至第46</w:t>
      </w:r>
      <w:proofErr w:type="gramStart"/>
      <w:r>
        <w:rPr>
          <w:rFonts w:ascii="標楷體" w:eastAsia="標楷體" w:hAnsi="標楷體"/>
          <w:color w:val="000000"/>
        </w:rPr>
        <w:t>週</w:t>
      </w:r>
      <w:proofErr w:type="gramEnd"/>
      <w:r>
        <w:rPr>
          <w:rFonts w:ascii="標楷體" w:eastAsia="標楷體" w:hAnsi="標楷體"/>
          <w:color w:val="000000"/>
        </w:rPr>
        <w:t>(總共使用</w:t>
      </w:r>
      <w:proofErr w:type="gramStart"/>
      <w:r>
        <w:rPr>
          <w:rFonts w:ascii="標楷體" w:eastAsia="標楷體" w:hAnsi="標楷體"/>
          <w:color w:val="000000"/>
        </w:rPr>
        <w:t>靜脈輸注8劑</w:t>
      </w:r>
      <w:proofErr w:type="gramEnd"/>
      <w:r>
        <w:rPr>
          <w:rFonts w:ascii="標楷體" w:eastAsia="標楷體" w:hAnsi="標楷體"/>
          <w:color w:val="000000"/>
        </w:rPr>
        <w:t>，療效持續至54</w:t>
      </w:r>
      <w:proofErr w:type="gramStart"/>
      <w:r>
        <w:rPr>
          <w:rFonts w:ascii="標楷體" w:eastAsia="標楷體" w:hAnsi="標楷體"/>
          <w:color w:val="000000"/>
        </w:rPr>
        <w:t>週</w:t>
      </w:r>
      <w:proofErr w:type="gramEnd"/>
      <w:r>
        <w:rPr>
          <w:rFonts w:ascii="標楷體" w:eastAsia="標楷體" w:hAnsi="標楷體"/>
          <w:color w:val="000000"/>
        </w:rPr>
        <w:t>)，作為緩解之維持。或第0、2</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300mg作為緩解之誘導；第6</w:t>
      </w:r>
      <w:proofErr w:type="gramStart"/>
      <w:r>
        <w:rPr>
          <w:rFonts w:ascii="標楷體" w:eastAsia="標楷體" w:hAnsi="標楷體"/>
          <w:color w:val="000000"/>
        </w:rPr>
        <w:t>週</w:t>
      </w:r>
      <w:proofErr w:type="gramEnd"/>
      <w:r>
        <w:rPr>
          <w:rFonts w:ascii="標楷體" w:eastAsia="標楷體" w:hAnsi="標楷體"/>
          <w:color w:val="000000"/>
        </w:rPr>
        <w:t>開始給予皮下注射維持劑量108mg，之後每隔2</w:t>
      </w:r>
      <w:proofErr w:type="gramStart"/>
      <w:r>
        <w:rPr>
          <w:rFonts w:ascii="標楷體" w:eastAsia="標楷體" w:hAnsi="標楷體"/>
          <w:color w:val="000000"/>
        </w:rPr>
        <w:t>週</w:t>
      </w:r>
      <w:proofErr w:type="gramEnd"/>
      <w:r>
        <w:rPr>
          <w:rFonts w:ascii="標楷體" w:eastAsia="標楷體" w:hAnsi="標楷體"/>
          <w:color w:val="000000"/>
        </w:rPr>
        <w:t>給予皮下注射維持劑量108mg，可持續治療至第52</w:t>
      </w:r>
      <w:proofErr w:type="gramStart"/>
      <w:r>
        <w:rPr>
          <w:rFonts w:ascii="標楷體" w:eastAsia="標楷體" w:hAnsi="標楷體"/>
          <w:color w:val="000000"/>
        </w:rPr>
        <w:t>週</w:t>
      </w:r>
      <w:proofErr w:type="gramEnd"/>
      <w:r>
        <w:rPr>
          <w:rFonts w:ascii="標楷體" w:eastAsia="標楷體" w:hAnsi="標楷體"/>
          <w:color w:val="000000"/>
        </w:rPr>
        <w:t xml:space="preserve"> (總共使用靜脈注射2劑，皮下注射24劑，療效持續至54</w:t>
      </w:r>
      <w:proofErr w:type="gramStart"/>
      <w:r>
        <w:rPr>
          <w:rFonts w:ascii="標楷體" w:eastAsia="標楷體" w:hAnsi="標楷體"/>
          <w:color w:val="000000"/>
        </w:rPr>
        <w:t>週</w:t>
      </w:r>
      <w:proofErr w:type="gramEnd"/>
      <w:r>
        <w:rPr>
          <w:rFonts w:ascii="標楷體" w:eastAsia="標楷體" w:hAnsi="標楷體"/>
          <w:color w:val="000000"/>
        </w:rPr>
        <w:t>)，作為緩解之維持。（106/10/1、112/8/1）</w:t>
      </w:r>
    </w:p>
    <w:p w14:paraId="341D71F9" w14:textId="77777777" w:rsidR="00400A9B" w:rsidRDefault="00400A9B" w:rsidP="00400A9B">
      <w:pPr>
        <w:ind w:left="1560" w:hanging="426"/>
      </w:pPr>
      <w:r>
        <w:rPr>
          <w:rFonts w:ascii="標楷體" w:eastAsia="標楷體" w:hAnsi="標楷體"/>
          <w:color w:val="000000"/>
        </w:rPr>
        <w:t>(4)Ustekinumab：原則上，第0</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靜脈輸注作為</w:t>
      </w:r>
      <w:proofErr w:type="gramEnd"/>
      <w:r>
        <w:rPr>
          <w:rFonts w:ascii="標楷體" w:eastAsia="標楷體" w:hAnsi="標楷體"/>
          <w:color w:val="000000"/>
        </w:rPr>
        <w:t>緩解之誘導</w:t>
      </w:r>
      <w:proofErr w:type="gramStart"/>
      <w:r>
        <w:rPr>
          <w:rFonts w:ascii="標楷體" w:eastAsia="標楷體" w:hAnsi="標楷體"/>
          <w:color w:val="000000"/>
        </w:rPr>
        <w:t>（</w:t>
      </w:r>
      <w:proofErr w:type="gramEnd"/>
      <w:r>
        <w:rPr>
          <w:rFonts w:ascii="標楷體" w:eastAsia="標楷體" w:hAnsi="標楷體"/>
          <w:color w:val="000000"/>
        </w:rPr>
        <w:t>體重</w:t>
      </w:r>
      <w:r>
        <w:rPr>
          <w:rFonts w:ascii="Times New Roman" w:eastAsia="標楷體" w:hAnsi="Times New Roman"/>
          <w:color w:val="000000"/>
        </w:rPr>
        <w:t>≤</w:t>
      </w:r>
      <w:r>
        <w:rPr>
          <w:rFonts w:ascii="標楷體" w:eastAsia="標楷體" w:hAnsi="標楷體"/>
          <w:color w:val="000000"/>
        </w:rPr>
        <w:t>55kg使用260 mg;大於55kg至85kg使用390mg;&gt;85kg者使用520mg</w:t>
      </w:r>
      <w:proofErr w:type="gramStart"/>
      <w:r>
        <w:rPr>
          <w:rFonts w:ascii="標楷體" w:eastAsia="標楷體" w:hAnsi="標楷體"/>
          <w:color w:val="000000"/>
        </w:rPr>
        <w:t>）</w:t>
      </w:r>
      <w:proofErr w:type="gramEnd"/>
      <w:r>
        <w:rPr>
          <w:rFonts w:ascii="標楷體" w:eastAsia="標楷體" w:hAnsi="標楷體"/>
          <w:color w:val="000000"/>
        </w:rPr>
        <w:t>；之後每隔12</w:t>
      </w:r>
      <w:proofErr w:type="gramStart"/>
      <w:r>
        <w:rPr>
          <w:rFonts w:ascii="標楷體" w:eastAsia="標楷體" w:hAnsi="標楷體"/>
          <w:color w:val="000000"/>
        </w:rPr>
        <w:t>週</w:t>
      </w:r>
      <w:proofErr w:type="gramEnd"/>
      <w:r>
        <w:rPr>
          <w:rFonts w:ascii="標楷體" w:eastAsia="標楷體" w:hAnsi="標楷體"/>
          <w:color w:val="000000"/>
        </w:rPr>
        <w:t>或每隔8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給予皮下注射維持劑量90mg，可持續治療至第44</w:t>
      </w:r>
      <w:proofErr w:type="gramStart"/>
      <w:r>
        <w:rPr>
          <w:rFonts w:ascii="標楷體" w:eastAsia="標楷體" w:hAnsi="標楷體"/>
          <w:color w:val="000000"/>
        </w:rPr>
        <w:t>週</w:t>
      </w:r>
      <w:proofErr w:type="gramEnd"/>
      <w:r>
        <w:rPr>
          <w:rFonts w:ascii="標楷體" w:eastAsia="標楷體" w:hAnsi="標楷體"/>
          <w:color w:val="000000"/>
        </w:rPr>
        <w:t>或第48</w:t>
      </w:r>
      <w:proofErr w:type="gramStart"/>
      <w:r>
        <w:rPr>
          <w:rFonts w:ascii="標楷體" w:eastAsia="標楷體" w:hAnsi="標楷體"/>
          <w:color w:val="000000"/>
        </w:rPr>
        <w:t>週</w:t>
      </w:r>
      <w:proofErr w:type="gramEnd"/>
      <w:r>
        <w:rPr>
          <w:rFonts w:ascii="標楷體" w:eastAsia="標楷體" w:hAnsi="標楷體"/>
          <w:color w:val="000000"/>
        </w:rPr>
        <w:t>(總共使用5劑或7劑，療效持續至56</w:t>
      </w:r>
      <w:proofErr w:type="gramStart"/>
      <w:r>
        <w:rPr>
          <w:rFonts w:ascii="標楷體" w:eastAsia="標楷體" w:hAnsi="標楷體"/>
          <w:color w:val="000000"/>
        </w:rPr>
        <w:t>週</w:t>
      </w:r>
      <w:proofErr w:type="gramEnd"/>
      <w:r>
        <w:rPr>
          <w:rFonts w:ascii="標楷體" w:eastAsia="標楷體" w:hAnsi="標楷體"/>
          <w:color w:val="000000"/>
        </w:rPr>
        <w:t>)，作為緩解之維持。(109/9/1、113/11/1)</w:t>
      </w:r>
    </w:p>
    <w:p w14:paraId="68AA3A24"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(5)Risankizumab：原則上，第0、4、8</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600mg作為緩解之誘導；之後每隔8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給予皮下注射維持劑量360mg，可持續治療至第44</w:t>
      </w:r>
      <w:proofErr w:type="gramStart"/>
      <w:r>
        <w:rPr>
          <w:rFonts w:ascii="標楷體" w:eastAsia="標楷體" w:hAnsi="標楷體"/>
          <w:color w:val="000000"/>
        </w:rPr>
        <w:t>週</w:t>
      </w:r>
      <w:proofErr w:type="gramEnd"/>
      <w:r>
        <w:rPr>
          <w:rFonts w:ascii="標楷體" w:eastAsia="標楷體" w:hAnsi="標楷體"/>
          <w:color w:val="000000"/>
        </w:rPr>
        <w:t>(總共8劑，使用靜脈注射3劑，皮下注射5劑，療效持續至52</w:t>
      </w:r>
      <w:proofErr w:type="gramStart"/>
      <w:r>
        <w:rPr>
          <w:rFonts w:ascii="標楷體" w:eastAsia="標楷體" w:hAnsi="標楷體"/>
          <w:color w:val="000000"/>
        </w:rPr>
        <w:t>週</w:t>
      </w:r>
      <w:proofErr w:type="gramEnd"/>
      <w:r>
        <w:rPr>
          <w:rFonts w:ascii="標楷體" w:eastAsia="標楷體" w:hAnsi="標楷體"/>
          <w:color w:val="000000"/>
        </w:rPr>
        <w:t>)，作為緩解之維持。(113/9/1)</w:t>
      </w:r>
    </w:p>
    <w:p w14:paraId="65856B5D" w14:textId="77777777" w:rsidR="00400A9B" w:rsidRDefault="00400A9B" w:rsidP="00400A9B">
      <w:pPr>
        <w:ind w:left="811" w:hanging="245"/>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若使用維持劑量為90mg（含）以上，限使用90mg(1mL)規格量。(109/9/1)</w:t>
      </w:r>
    </w:p>
    <w:p w14:paraId="4A74CB64"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6.須排除使用之情形</w:t>
      </w:r>
    </w:p>
    <w:p w14:paraId="7DAB97C9" w14:textId="77777777" w:rsidR="00400A9B" w:rsidRDefault="00400A9B" w:rsidP="00400A9B">
      <w:pPr>
        <w:ind w:left="1134" w:hanging="283"/>
        <w:rPr>
          <w:rFonts w:ascii="標楷體" w:eastAsia="標楷體" w:hAnsi="標楷體"/>
          <w:color w:val="000000"/>
        </w:rPr>
      </w:pPr>
      <w:r>
        <w:rPr>
          <w:rFonts w:ascii="標楷體" w:eastAsia="標楷體" w:hAnsi="標楷體"/>
          <w:color w:val="000000"/>
        </w:rPr>
        <w:t>應參照藥物仿單，重要之排除使用狀況包括：</w:t>
      </w:r>
    </w:p>
    <w:p w14:paraId="3AEAFFC4"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6462E4E2"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患活動性感染症(active infection)之病患。</w:t>
      </w:r>
    </w:p>
    <w:p w14:paraId="40F39468"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5B913F9C"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(4)惡性腫瘤或具有癌症前兆(pre-malignancy)之病患(但不包括已經接受過充分治療達10年以上的惡性腫瘤)。</w:t>
      </w:r>
    </w:p>
    <w:p w14:paraId="6E4217BD"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(5)具高度感染機會之病患：</w:t>
      </w:r>
      <w:proofErr w:type="gramStart"/>
      <w:r>
        <w:rPr>
          <w:rFonts w:ascii="標楷體" w:eastAsia="標楷體" w:hAnsi="標楷體"/>
          <w:color w:val="000000"/>
        </w:rPr>
        <w:t>慢性腿部</w:t>
      </w:r>
      <w:proofErr w:type="gramEnd"/>
      <w:r>
        <w:rPr>
          <w:rFonts w:ascii="標楷體" w:eastAsia="標楷體" w:hAnsi="標楷體"/>
          <w:color w:val="000000"/>
        </w:rPr>
        <w:t>潰瘍、導尿管置留、身上有引流管、人工關節感染，該人工關節尚未摘除者、頑固性或復發性之胸腔感染症病患。</w:t>
      </w:r>
    </w:p>
    <w:p w14:paraId="7895A637"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(6)多發性硬化症(multiple sclerosis)。</w:t>
      </w:r>
    </w:p>
    <w:p w14:paraId="2016963A"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7.須停止治療的情形</w:t>
      </w:r>
    </w:p>
    <w:p w14:paraId="1D8DE77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67F69DF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(2)其他事項：包括</w:t>
      </w:r>
    </w:p>
    <w:p w14:paraId="7B181594" w14:textId="77777777" w:rsidR="00400A9B" w:rsidRDefault="00400A9B" w:rsidP="00400A9B">
      <w:pPr>
        <w:ind w:left="1985" w:hanging="42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6600B5B7" w14:textId="77777777" w:rsidR="00400A9B" w:rsidRDefault="00400A9B" w:rsidP="00400A9B">
      <w:pPr>
        <w:ind w:left="1985" w:hanging="426"/>
        <w:rPr>
          <w:rFonts w:ascii="標楷體" w:eastAsia="標楷體" w:hAnsi="標楷體"/>
          <w:color w:val="000000"/>
        </w:rPr>
      </w:pPr>
      <w:r>
        <w:rPr>
          <w:rFonts w:ascii="標楷體" w:eastAsia="標楷體" w:hAnsi="標楷體"/>
          <w:color w:val="000000"/>
        </w:rPr>
        <w:t xml:space="preserve">ii該藥物引起之嚴重毒性 (白血球過低、嚴重過敏) </w:t>
      </w:r>
    </w:p>
    <w:p w14:paraId="44481D80" w14:textId="77777777" w:rsidR="00400A9B" w:rsidRDefault="00400A9B" w:rsidP="00400A9B">
      <w:pPr>
        <w:ind w:left="1985" w:hanging="426"/>
        <w:rPr>
          <w:rFonts w:ascii="標楷體" w:eastAsia="標楷體" w:hAnsi="標楷體"/>
          <w:color w:val="000000"/>
        </w:rPr>
      </w:pPr>
      <w:r>
        <w:rPr>
          <w:rFonts w:ascii="標楷體" w:eastAsia="標楷體" w:hAnsi="標楷體"/>
          <w:color w:val="000000"/>
        </w:rPr>
        <w:t xml:space="preserve">iii懷孕(暫時停藥即可) </w:t>
      </w:r>
    </w:p>
    <w:p w14:paraId="1DA0802F" w14:textId="77777777" w:rsidR="00400A9B" w:rsidRPr="000740A7" w:rsidRDefault="00400A9B" w:rsidP="00400A9B">
      <w:pPr>
        <w:ind w:left="1985" w:hanging="426"/>
        <w:rPr>
          <w:rFonts w:ascii="標楷體" w:eastAsia="標楷體" w:hAnsi="標楷體"/>
          <w:color w:val="000000"/>
        </w:rPr>
      </w:pPr>
      <w:r>
        <w:rPr>
          <w:rFonts w:ascii="標楷體" w:eastAsia="標楷體" w:hAnsi="標楷體"/>
          <w:color w:val="000000"/>
        </w:rPr>
        <w:t>iv</w:t>
      </w:r>
      <w:proofErr w:type="gramStart"/>
      <w:r>
        <w:rPr>
          <w:rFonts w:ascii="標楷體" w:eastAsia="標楷體" w:hAnsi="標楷體"/>
          <w:color w:val="000000"/>
        </w:rPr>
        <w:t>嚴重間發性</w:t>
      </w:r>
      <w:proofErr w:type="gramEnd"/>
      <w:r>
        <w:rPr>
          <w:rFonts w:ascii="標楷體" w:eastAsia="標楷體" w:hAnsi="標楷體"/>
          <w:color w:val="000000"/>
        </w:rPr>
        <w:t>感染(暫時停藥即可)。</w:t>
      </w:r>
    </w:p>
    <w:p w14:paraId="316245E5" w14:textId="77777777" w:rsidR="00400A9B" w:rsidRDefault="00400A9B" w:rsidP="00400A9B">
      <w:pPr>
        <w:ind w:left="811" w:hanging="245"/>
        <w:rPr>
          <w:rFonts w:ascii="標楷體" w:eastAsia="標楷體" w:hAnsi="標楷體"/>
          <w:bCs/>
          <w:color w:val="000000"/>
        </w:rPr>
      </w:pPr>
      <w:r>
        <w:rPr>
          <w:rFonts w:ascii="標楷體" w:eastAsia="標楷體" w:hAnsi="標楷體"/>
          <w:bCs/>
          <w:color w:val="000000"/>
        </w:rPr>
        <w:lastRenderedPageBreak/>
        <w:t>◎附表二十六之</w:t>
      </w:r>
      <w:proofErr w:type="gramStart"/>
      <w:r>
        <w:rPr>
          <w:rFonts w:ascii="標楷體" w:eastAsia="標楷體" w:hAnsi="標楷體"/>
          <w:bCs/>
          <w:color w:val="000000"/>
        </w:rPr>
        <w:t>一</w:t>
      </w:r>
      <w:proofErr w:type="gramEnd"/>
      <w:r>
        <w:rPr>
          <w:rFonts w:ascii="標楷體" w:eastAsia="標楷體" w:hAnsi="標楷體"/>
          <w:bCs/>
          <w:color w:val="000000"/>
        </w:rPr>
        <w:t>：全民健康保險克隆氏症使用生物製劑申請表(106/5/1、106/10/1、108/10/1、109/9/1、112/8/1、113/7/1、113/9/1、113/10/1、113/11/1、114/8/1、</w:t>
      </w:r>
      <w:r w:rsidRPr="00DC2E35">
        <w:rPr>
          <w:rFonts w:ascii="標楷體" w:eastAsia="標楷體" w:hAnsi="標楷體"/>
          <w:bCs/>
          <w:color w:val="000000"/>
        </w:rPr>
        <w:t>114/9/1</w:t>
      </w:r>
      <w:r>
        <w:rPr>
          <w:rFonts w:ascii="標楷體" w:eastAsia="標楷體" w:hAnsi="標楷體"/>
          <w:bCs/>
          <w:color w:val="000000"/>
        </w:rPr>
        <w:t>)</w:t>
      </w:r>
    </w:p>
    <w:p w14:paraId="22202C39" w14:textId="77777777" w:rsidR="00401786" w:rsidRDefault="00400A9B" w:rsidP="00400A9B">
      <w:pPr>
        <w:spacing w:line="300" w:lineRule="exact"/>
        <w:ind w:left="811" w:hanging="245"/>
        <w:rPr>
          <w:rFonts w:ascii="標楷體" w:eastAsia="標楷體" w:hAnsi="標楷體"/>
          <w:bCs/>
          <w:color w:val="000000"/>
        </w:rPr>
      </w:pPr>
      <w:r>
        <w:rPr>
          <w:rFonts w:ascii="標楷體" w:eastAsia="標楷體" w:hAnsi="標楷體"/>
          <w:bCs/>
          <w:color w:val="000000"/>
        </w:rPr>
        <w:t>◎附表二十六之二：CDAI（Crohn’s disease activity index）</w:t>
      </w:r>
    </w:p>
    <w:p w14:paraId="474D4BDE" w14:textId="77777777" w:rsidR="00414B60" w:rsidRPr="00204B75" w:rsidRDefault="00C64FB3" w:rsidP="00204B75">
      <w:pPr>
        <w:ind w:left="811" w:hanging="245"/>
        <w:rPr>
          <w:rFonts w:ascii="標楷體" w:eastAsia="標楷體" w:hAnsi="標楷體"/>
          <w:color w:val="000000"/>
        </w:rPr>
      </w:pPr>
      <w:r w:rsidRPr="00204B75">
        <w:rPr>
          <w:rFonts w:ascii="標楷體" w:eastAsia="標楷體" w:hAnsi="標楷體"/>
          <w:color w:val="000000"/>
        </w:rPr>
        <w:t>8.2.4.7.2.</w:t>
      </w:r>
      <w:r w:rsidR="00414B60" w:rsidRPr="00204B75">
        <w:rPr>
          <w:rFonts w:ascii="標楷體" w:eastAsia="標楷體" w:hAnsi="標楷體"/>
          <w:color w:val="000000"/>
        </w:rPr>
        <w:t xml:space="preserve"> Adalimumab（如Humira）、infliximab （如Remicade</w:t>
      </w:r>
      <w:r w:rsidR="00414B60" w:rsidRPr="00204B75">
        <w:rPr>
          <w:rFonts w:ascii="標楷體" w:eastAsia="標楷體" w:hAnsi="標楷體" w:hint="eastAsia"/>
          <w:color w:val="000000"/>
        </w:rPr>
        <w:t>靜脈注射</w:t>
      </w:r>
      <w:r w:rsidR="00414B60" w:rsidRPr="00204B75">
        <w:rPr>
          <w:rFonts w:ascii="標楷體" w:eastAsia="標楷體" w:hAnsi="標楷體"/>
          <w:color w:val="000000"/>
        </w:rPr>
        <w:t>）、</w:t>
      </w:r>
      <w:proofErr w:type="spellStart"/>
      <w:r w:rsidR="00414B60" w:rsidRPr="00204B75">
        <w:rPr>
          <w:rFonts w:ascii="標楷體" w:eastAsia="標楷體" w:hAnsi="標楷體"/>
          <w:color w:val="000000"/>
        </w:rPr>
        <w:t>risankizumab</w:t>
      </w:r>
      <w:proofErr w:type="spellEnd"/>
      <w:r w:rsidR="00414B60" w:rsidRPr="00204B75">
        <w:rPr>
          <w:rFonts w:ascii="標楷體" w:eastAsia="標楷體" w:hAnsi="標楷體"/>
          <w:color w:val="000000"/>
        </w:rPr>
        <w:t>（如</w:t>
      </w:r>
      <w:proofErr w:type="spellStart"/>
      <w:r w:rsidR="00414B60" w:rsidRPr="00204B75">
        <w:rPr>
          <w:rFonts w:ascii="標楷體" w:eastAsia="標楷體" w:hAnsi="標楷體"/>
          <w:color w:val="000000"/>
        </w:rPr>
        <w:t>Skyrizi</w:t>
      </w:r>
      <w:proofErr w:type="spellEnd"/>
      <w:r w:rsidR="00414B60" w:rsidRPr="00204B75">
        <w:rPr>
          <w:rFonts w:ascii="標楷體" w:eastAsia="標楷體" w:hAnsi="標楷體"/>
          <w:color w:val="000000"/>
        </w:rPr>
        <w:t>）(105/10/1、106/5/1、108/10/1、111/2/1、113/7/1、113/9/1、114/9/1)：兒童治療部分</w:t>
      </w:r>
    </w:p>
    <w:p w14:paraId="7B645039" w14:textId="77777777" w:rsidR="00414B60" w:rsidRPr="00204B75" w:rsidRDefault="00414B60" w:rsidP="00204B75">
      <w:pPr>
        <w:spacing w:line="300" w:lineRule="exact"/>
        <w:ind w:left="847" w:hanging="197"/>
        <w:rPr>
          <w:rFonts w:ascii="標楷體" w:eastAsia="標楷體" w:hAnsi="標楷體"/>
          <w:color w:val="000000"/>
          <w:szCs w:val="24"/>
        </w:rPr>
      </w:pPr>
      <w:r w:rsidRPr="00204B75">
        <w:rPr>
          <w:rFonts w:ascii="標楷體" w:eastAsia="標楷體" w:hAnsi="標楷體"/>
          <w:color w:val="000000"/>
          <w:szCs w:val="24"/>
        </w:rPr>
        <w:t>1.</w:t>
      </w:r>
      <w:proofErr w:type="gramStart"/>
      <w:r w:rsidRPr="00204B75">
        <w:rPr>
          <w:rFonts w:ascii="標楷體" w:eastAsia="標楷體" w:hAnsi="標楷體"/>
          <w:color w:val="000000"/>
          <w:szCs w:val="24"/>
        </w:rPr>
        <w:t>限具消化</w:t>
      </w:r>
      <w:proofErr w:type="gramEnd"/>
      <w:r w:rsidRPr="00204B75">
        <w:rPr>
          <w:rFonts w:ascii="標楷體" w:eastAsia="標楷體" w:hAnsi="標楷體"/>
          <w:color w:val="000000"/>
          <w:szCs w:val="24"/>
        </w:rPr>
        <w:t>系專科證書之內科、兒科專科醫師處方使用。(108/10/1)</w:t>
      </w:r>
    </w:p>
    <w:p w14:paraId="52668CF9" w14:textId="77777777" w:rsidR="00414B60" w:rsidRPr="00204B75" w:rsidRDefault="00414B60" w:rsidP="00204B75">
      <w:pPr>
        <w:spacing w:line="300" w:lineRule="exact"/>
        <w:ind w:left="847" w:hanging="197"/>
        <w:rPr>
          <w:rFonts w:ascii="標楷體" w:eastAsia="標楷體" w:hAnsi="標楷體"/>
          <w:color w:val="000000"/>
          <w:szCs w:val="24"/>
        </w:rPr>
      </w:pPr>
      <w:r w:rsidRPr="00204B75">
        <w:rPr>
          <w:rFonts w:ascii="標楷體" w:eastAsia="標楷體" w:hAnsi="標楷體"/>
          <w:color w:val="000000"/>
          <w:szCs w:val="24"/>
        </w:rPr>
        <w:t>2.須經事前審查核准後使用。</w:t>
      </w:r>
    </w:p>
    <w:p w14:paraId="433B0672" w14:textId="77777777" w:rsidR="00414B60" w:rsidRPr="00204B75" w:rsidRDefault="00414B60" w:rsidP="00204B75">
      <w:pPr>
        <w:spacing w:line="300" w:lineRule="exact"/>
        <w:ind w:left="847" w:hanging="197"/>
        <w:rPr>
          <w:rFonts w:ascii="標楷體" w:eastAsia="標楷體" w:hAnsi="標楷體"/>
          <w:color w:val="000000"/>
          <w:szCs w:val="24"/>
        </w:rPr>
      </w:pPr>
      <w:r w:rsidRPr="00204B75">
        <w:rPr>
          <w:rFonts w:ascii="標楷體" w:eastAsia="標楷體" w:hAnsi="標楷體"/>
          <w:color w:val="000000"/>
          <w:szCs w:val="24"/>
        </w:rPr>
        <w:t>3.6歲以上(</w:t>
      </w:r>
      <w:proofErr w:type="spellStart"/>
      <w:r w:rsidRPr="00204B75">
        <w:rPr>
          <w:rFonts w:ascii="標楷體" w:eastAsia="標楷體" w:hAnsi="標楷體"/>
          <w:color w:val="000000"/>
          <w:szCs w:val="24"/>
        </w:rPr>
        <w:t>risankizumab</w:t>
      </w:r>
      <w:proofErr w:type="spellEnd"/>
      <w:r w:rsidRPr="00204B75">
        <w:rPr>
          <w:rFonts w:ascii="標楷體" w:eastAsia="標楷體" w:hAnsi="標楷體"/>
          <w:color w:val="000000"/>
          <w:szCs w:val="24"/>
        </w:rPr>
        <w:t>限使用於16歲以上未滿18歲)，經診斷為小兒克隆</w:t>
      </w:r>
      <w:proofErr w:type="gramStart"/>
      <w:r w:rsidRPr="00204B75">
        <w:rPr>
          <w:rFonts w:ascii="標楷體" w:eastAsia="標楷體" w:hAnsi="標楷體"/>
          <w:color w:val="000000"/>
          <w:szCs w:val="24"/>
        </w:rPr>
        <w:t>氏症且領有</w:t>
      </w:r>
      <w:proofErr w:type="gramEnd"/>
      <w:r w:rsidRPr="00204B75">
        <w:rPr>
          <w:rFonts w:ascii="標楷體" w:eastAsia="標楷體" w:hAnsi="標楷體"/>
          <w:color w:val="000000"/>
          <w:szCs w:val="24"/>
        </w:rPr>
        <w:t>重大傷病證明，並排除第6項之情形及符合下列條件之</w:t>
      </w:r>
      <w:proofErr w:type="gramStart"/>
      <w:r w:rsidRPr="00204B75">
        <w:rPr>
          <w:rFonts w:ascii="標楷體" w:eastAsia="標楷體" w:hAnsi="標楷體"/>
          <w:color w:val="000000"/>
          <w:szCs w:val="24"/>
        </w:rPr>
        <w:t>一</w:t>
      </w:r>
      <w:proofErr w:type="gramEnd"/>
      <w:r w:rsidRPr="00204B75">
        <w:rPr>
          <w:rFonts w:ascii="標楷體" w:eastAsia="標楷體" w:hAnsi="標楷體"/>
          <w:color w:val="000000"/>
          <w:szCs w:val="24"/>
        </w:rPr>
        <w:t>；且申請時應附上影像診斷評估報告；(111/2/1、113/9/1)。</w:t>
      </w:r>
    </w:p>
    <w:p w14:paraId="4A732306"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(1)克隆氏症病情發作，經皮質類固醇及免疫抑制劑(azathioprine, 6-mercaptopurine, methotrexate)充分治療超過三個月，仍然無法控制病情(PCDAI&gt;30)或產生過敏或其他嚴重副作用者。</w:t>
      </w:r>
    </w:p>
    <w:p w14:paraId="3E136E54"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(2)小兒克隆氏症病童腹部或肛門</w:t>
      </w:r>
      <w:proofErr w:type="gramStart"/>
      <w:r>
        <w:rPr>
          <w:rFonts w:ascii="標楷體" w:eastAsia="標楷體" w:hAnsi="標楷體"/>
          <w:bCs/>
          <w:color w:val="000000"/>
        </w:rPr>
        <w:t>廔</w:t>
      </w:r>
      <w:proofErr w:type="gramEnd"/>
      <w:r>
        <w:rPr>
          <w:rFonts w:ascii="標楷體" w:eastAsia="標楷體" w:hAnsi="標楷體"/>
          <w:bCs/>
          <w:color w:val="000000"/>
        </w:rPr>
        <w:t>管合併生長遲緩者(height velocity Z Score -1 to -2.5)。</w:t>
      </w:r>
    </w:p>
    <w:p w14:paraId="0A7C5B7E"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(3)小兒克隆氏症病情發作且生長遲緩(height velocity Z Score -1 to -2.5)病童，經營養治療與免疫抑制劑治療失敗者。</w:t>
      </w:r>
    </w:p>
    <w:p w14:paraId="5FCEB57B" w14:textId="77777777" w:rsidR="00414B60" w:rsidRPr="00204B75" w:rsidRDefault="00414B60" w:rsidP="00204B75">
      <w:pPr>
        <w:spacing w:line="300" w:lineRule="exact"/>
        <w:ind w:left="847" w:hanging="197"/>
        <w:rPr>
          <w:rFonts w:ascii="標楷體" w:eastAsia="標楷體" w:hAnsi="標楷體"/>
          <w:color w:val="000000"/>
          <w:szCs w:val="24"/>
        </w:rPr>
      </w:pPr>
      <w:r w:rsidRPr="00204B75">
        <w:rPr>
          <w:rFonts w:ascii="標楷體" w:eastAsia="標楷體" w:hAnsi="標楷體"/>
          <w:color w:val="000000"/>
          <w:szCs w:val="24"/>
        </w:rPr>
        <w:t>4.療效評估與繼續使用：</w:t>
      </w:r>
    </w:p>
    <w:p w14:paraId="18151F2E"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(1)初次申請adalimumab以6</w:t>
      </w:r>
      <w:proofErr w:type="gramStart"/>
      <w:r>
        <w:rPr>
          <w:rFonts w:ascii="標楷體" w:eastAsia="標楷體" w:hAnsi="標楷體"/>
          <w:bCs/>
          <w:color w:val="000000"/>
        </w:rPr>
        <w:t>週</w:t>
      </w:r>
      <w:proofErr w:type="gramEnd"/>
      <w:r>
        <w:rPr>
          <w:rFonts w:ascii="標楷體" w:eastAsia="標楷體" w:hAnsi="標楷體"/>
          <w:bCs/>
          <w:color w:val="000000"/>
        </w:rPr>
        <w:t>(使用4劑為限)；infliximab以6</w:t>
      </w:r>
      <w:proofErr w:type="gramStart"/>
      <w:r>
        <w:rPr>
          <w:rFonts w:ascii="標楷體" w:eastAsia="標楷體" w:hAnsi="標楷體"/>
          <w:bCs/>
          <w:color w:val="000000"/>
        </w:rPr>
        <w:t>週</w:t>
      </w:r>
      <w:proofErr w:type="gramEnd"/>
      <w:r>
        <w:rPr>
          <w:rFonts w:ascii="標楷體" w:eastAsia="標楷體" w:hAnsi="標楷體"/>
          <w:bCs/>
          <w:color w:val="000000"/>
        </w:rPr>
        <w:t>(使用3劑為限)；</w:t>
      </w:r>
      <w:proofErr w:type="spellStart"/>
      <w:r>
        <w:rPr>
          <w:rFonts w:ascii="標楷體" w:eastAsia="標楷體" w:hAnsi="標楷體"/>
          <w:bCs/>
          <w:color w:val="000000"/>
        </w:rPr>
        <w:t>risankizumab</w:t>
      </w:r>
      <w:proofErr w:type="spellEnd"/>
      <w:r>
        <w:rPr>
          <w:rFonts w:ascii="標楷體" w:eastAsia="標楷體" w:hAnsi="標楷體"/>
          <w:bCs/>
          <w:color w:val="000000"/>
        </w:rPr>
        <w:t>以8</w:t>
      </w:r>
      <w:proofErr w:type="gramStart"/>
      <w:r>
        <w:rPr>
          <w:rFonts w:ascii="標楷體" w:eastAsia="標楷體" w:hAnsi="標楷體"/>
          <w:bCs/>
          <w:color w:val="000000"/>
        </w:rPr>
        <w:t>週</w:t>
      </w:r>
      <w:proofErr w:type="gramEnd"/>
      <w:r>
        <w:rPr>
          <w:rFonts w:ascii="標楷體" w:eastAsia="標楷體" w:hAnsi="標楷體"/>
          <w:bCs/>
          <w:color w:val="000000"/>
        </w:rPr>
        <w:t>(使用靜脈注射3劑為限)，治療第3劑後，達到臨床反應(PCDAI降低&gt;=15)者，方得申請繼續使用。誘導緩解失敗者，得提出申請</w:t>
      </w:r>
      <w:proofErr w:type="gramStart"/>
      <w:r>
        <w:rPr>
          <w:rFonts w:ascii="標楷體" w:eastAsia="標楷體" w:hAnsi="標楷體"/>
          <w:bCs/>
          <w:color w:val="000000"/>
        </w:rPr>
        <w:t>轉換他類生物</w:t>
      </w:r>
      <w:proofErr w:type="gramEnd"/>
      <w:r>
        <w:rPr>
          <w:rFonts w:ascii="標楷體" w:eastAsia="標楷體" w:hAnsi="標楷體"/>
          <w:bCs/>
          <w:color w:val="000000"/>
        </w:rPr>
        <w:t>製劑，然同一療程不得合併使用。（106/5/1、113/9/1）</w:t>
      </w:r>
    </w:p>
    <w:p w14:paraId="7D59E5F9"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(2)繼續使用者: adalimumab</w:t>
      </w:r>
      <w:proofErr w:type="gramStart"/>
      <w:r>
        <w:rPr>
          <w:rFonts w:ascii="標楷體" w:eastAsia="標楷體" w:hAnsi="標楷體"/>
          <w:bCs/>
          <w:color w:val="000000"/>
        </w:rPr>
        <w:t>需每24週</w:t>
      </w:r>
      <w:proofErr w:type="gramEnd"/>
      <w:r>
        <w:rPr>
          <w:rFonts w:ascii="標楷體" w:eastAsia="標楷體" w:hAnsi="標楷體"/>
          <w:bCs/>
          <w:color w:val="000000"/>
        </w:rPr>
        <w:t>(使用12劑)；infliximab</w:t>
      </w:r>
      <w:proofErr w:type="gramStart"/>
      <w:r>
        <w:rPr>
          <w:rFonts w:ascii="標楷體" w:eastAsia="標楷體" w:hAnsi="標楷體"/>
          <w:bCs/>
          <w:color w:val="000000"/>
        </w:rPr>
        <w:t>需每16週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w:t>
      </w:r>
      <w:proofErr w:type="spellStart"/>
      <w:r>
        <w:rPr>
          <w:rFonts w:ascii="標楷體" w:eastAsia="標楷體" w:hAnsi="標楷體"/>
          <w:bCs/>
          <w:color w:val="000000"/>
        </w:rPr>
        <w:t>risankizumab</w:t>
      </w:r>
      <w:proofErr w:type="spellEnd"/>
      <w:proofErr w:type="gramStart"/>
      <w:r>
        <w:rPr>
          <w:rFonts w:ascii="標楷體" w:eastAsia="標楷體" w:hAnsi="標楷體"/>
          <w:bCs/>
          <w:color w:val="000000"/>
        </w:rPr>
        <w:t>需每16週</w:t>
      </w:r>
      <w:proofErr w:type="gramEnd"/>
      <w:r>
        <w:rPr>
          <w:rFonts w:ascii="標楷體" w:eastAsia="標楷體" w:hAnsi="標楷體"/>
          <w:bCs/>
          <w:color w:val="000000"/>
        </w:rPr>
        <w:t>(使用皮下注射2劑)或每24</w:t>
      </w:r>
      <w:proofErr w:type="gramStart"/>
      <w:r>
        <w:rPr>
          <w:rFonts w:ascii="標楷體" w:eastAsia="標楷體" w:hAnsi="標楷體"/>
          <w:bCs/>
          <w:color w:val="000000"/>
        </w:rPr>
        <w:t>週</w:t>
      </w:r>
      <w:proofErr w:type="gramEnd"/>
      <w:r>
        <w:rPr>
          <w:rFonts w:ascii="標楷體" w:eastAsia="標楷體" w:hAnsi="標楷體"/>
          <w:bCs/>
          <w:color w:val="000000"/>
        </w:rPr>
        <w:t>(使用皮下注射3劑)評估一次。評估仍維持前一次療程有效或部份</w:t>
      </w:r>
      <w:proofErr w:type="gramStart"/>
      <w:r>
        <w:rPr>
          <w:rFonts w:ascii="標楷體" w:eastAsia="標楷體" w:hAnsi="標楷體"/>
          <w:bCs/>
          <w:color w:val="000000"/>
        </w:rPr>
        <w:t>有效緩解時</w:t>
      </w:r>
      <w:proofErr w:type="gramEnd"/>
      <w:r>
        <w:rPr>
          <w:rFonts w:ascii="標楷體" w:eastAsia="標楷體" w:hAnsi="標楷體"/>
          <w:bCs/>
          <w:color w:val="000000"/>
        </w:rPr>
        <w:t>之PCDAI分數者，方得提出申請續用。每次申請adalimumab以16</w:t>
      </w:r>
      <w:proofErr w:type="gramStart"/>
      <w:r>
        <w:rPr>
          <w:rFonts w:ascii="標楷體" w:eastAsia="標楷體" w:hAnsi="標楷體"/>
          <w:bCs/>
          <w:color w:val="000000"/>
        </w:rPr>
        <w:t>週</w:t>
      </w:r>
      <w:proofErr w:type="gramEnd"/>
      <w:r>
        <w:rPr>
          <w:rFonts w:ascii="標楷體" w:eastAsia="標楷體" w:hAnsi="標楷體"/>
          <w:bCs/>
          <w:color w:val="000000"/>
        </w:rPr>
        <w:t>(使用8劑)；infliximab以每16</w:t>
      </w:r>
      <w:proofErr w:type="gramStart"/>
      <w:r>
        <w:rPr>
          <w:rFonts w:ascii="標楷體" w:eastAsia="標楷體" w:hAnsi="標楷體"/>
          <w:bCs/>
          <w:color w:val="000000"/>
        </w:rPr>
        <w:t>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w:t>
      </w:r>
      <w:proofErr w:type="spellStart"/>
      <w:r>
        <w:rPr>
          <w:rFonts w:ascii="標楷體" w:eastAsia="標楷體" w:hAnsi="標楷體"/>
          <w:bCs/>
          <w:color w:val="000000"/>
        </w:rPr>
        <w:t>risankizumab</w:t>
      </w:r>
      <w:proofErr w:type="spellEnd"/>
      <w:r>
        <w:rPr>
          <w:rFonts w:ascii="標楷體" w:eastAsia="標楷體" w:hAnsi="標楷體"/>
          <w:bCs/>
          <w:color w:val="000000"/>
        </w:rPr>
        <w:t>以每16</w:t>
      </w:r>
      <w:proofErr w:type="gramStart"/>
      <w:r>
        <w:rPr>
          <w:rFonts w:ascii="標楷體" w:eastAsia="標楷體" w:hAnsi="標楷體"/>
          <w:bCs/>
          <w:color w:val="000000"/>
        </w:rPr>
        <w:t>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(使用3劑)為限。（106/5/1、108/10/1、113/9/1）</w:t>
      </w:r>
    </w:p>
    <w:p w14:paraId="7CD87F7C"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(3)總療程:adalimumab治療54</w:t>
      </w:r>
      <w:proofErr w:type="gramStart"/>
      <w:r>
        <w:rPr>
          <w:rFonts w:ascii="標楷體" w:eastAsia="標楷體" w:hAnsi="標楷體"/>
          <w:bCs/>
          <w:color w:val="000000"/>
        </w:rPr>
        <w:t>週</w:t>
      </w:r>
      <w:proofErr w:type="gramEnd"/>
      <w:r>
        <w:rPr>
          <w:rFonts w:ascii="標楷體" w:eastAsia="標楷體" w:hAnsi="標楷體"/>
          <w:bCs/>
          <w:color w:val="000000"/>
        </w:rPr>
        <w:t>使用28劑；infliximab治療46</w:t>
      </w:r>
      <w:proofErr w:type="gramStart"/>
      <w:r>
        <w:rPr>
          <w:rFonts w:ascii="標楷體" w:eastAsia="標楷體" w:hAnsi="標楷體"/>
          <w:bCs/>
          <w:color w:val="000000"/>
        </w:rPr>
        <w:t>週</w:t>
      </w:r>
      <w:proofErr w:type="gramEnd"/>
      <w:r>
        <w:rPr>
          <w:rFonts w:ascii="標楷體" w:eastAsia="標楷體" w:hAnsi="標楷體"/>
          <w:bCs/>
          <w:color w:val="000000"/>
        </w:rPr>
        <w:t>使用8劑 (療效持續至54</w:t>
      </w:r>
      <w:proofErr w:type="gramStart"/>
      <w:r>
        <w:rPr>
          <w:rFonts w:ascii="標楷體" w:eastAsia="標楷體" w:hAnsi="標楷體"/>
          <w:bCs/>
          <w:color w:val="000000"/>
        </w:rPr>
        <w:t>週</w:t>
      </w:r>
      <w:proofErr w:type="gramEnd"/>
      <w:r>
        <w:rPr>
          <w:rFonts w:ascii="標楷體" w:eastAsia="標楷體" w:hAnsi="標楷體"/>
          <w:bCs/>
          <w:color w:val="000000"/>
        </w:rPr>
        <w:t>)；</w:t>
      </w:r>
      <w:proofErr w:type="spellStart"/>
      <w:r>
        <w:rPr>
          <w:rFonts w:ascii="標楷體" w:eastAsia="標楷體" w:hAnsi="標楷體"/>
          <w:bCs/>
          <w:color w:val="000000"/>
        </w:rPr>
        <w:t>risankizumab</w:t>
      </w:r>
      <w:proofErr w:type="spellEnd"/>
      <w:r>
        <w:rPr>
          <w:rFonts w:ascii="標楷體" w:eastAsia="標楷體" w:hAnsi="標楷體"/>
          <w:bCs/>
          <w:color w:val="000000"/>
        </w:rPr>
        <w:t>治療44</w:t>
      </w:r>
      <w:proofErr w:type="gramStart"/>
      <w:r>
        <w:rPr>
          <w:rFonts w:ascii="標楷體" w:eastAsia="標楷體" w:hAnsi="標楷體"/>
          <w:bCs/>
          <w:color w:val="000000"/>
        </w:rPr>
        <w:t>週</w:t>
      </w:r>
      <w:proofErr w:type="gramEnd"/>
      <w:r>
        <w:rPr>
          <w:rFonts w:ascii="標楷體" w:eastAsia="標楷體" w:hAnsi="標楷體"/>
          <w:bCs/>
          <w:color w:val="000000"/>
        </w:rPr>
        <w:t>使用8劑，靜脈注射3劑，皮下注射5劑(療效持續至52</w:t>
      </w:r>
      <w:proofErr w:type="gramStart"/>
      <w:r>
        <w:rPr>
          <w:rFonts w:ascii="標楷體" w:eastAsia="標楷體" w:hAnsi="標楷體"/>
          <w:bCs/>
          <w:color w:val="000000"/>
        </w:rPr>
        <w:t>週</w:t>
      </w:r>
      <w:proofErr w:type="gramEnd"/>
      <w:r>
        <w:rPr>
          <w:rFonts w:ascii="標楷體" w:eastAsia="標楷體" w:hAnsi="標楷體"/>
          <w:bCs/>
          <w:color w:val="000000"/>
        </w:rPr>
        <w:t>)。必須至少再間隔超過3個月後，因病情復發或以其他治療難以控制達上述3.之(1)(2)(3)之標準才能再次提出申請使用。（106/5/1、108/10/1、113/9/1）</w:t>
      </w:r>
    </w:p>
    <w:p w14:paraId="189FA5F8"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(4)連續2次於總療程結束後復發者，且第2次復發於藥效終止後3個月內發生，則可持續使用，惟</w:t>
      </w:r>
      <w:proofErr w:type="gramStart"/>
      <w:r>
        <w:rPr>
          <w:rFonts w:ascii="標楷體" w:eastAsia="標楷體" w:hAnsi="標楷體"/>
          <w:bCs/>
          <w:color w:val="000000"/>
        </w:rPr>
        <w:t>需每24週</w:t>
      </w:r>
      <w:proofErr w:type="gramEnd"/>
      <w:r>
        <w:rPr>
          <w:rFonts w:ascii="標楷體" w:eastAsia="標楷體" w:hAnsi="標楷體"/>
          <w:bCs/>
          <w:color w:val="000000"/>
        </w:rPr>
        <w:t>提出續用事前審查。連續2年(4次評估)達到PCDAI&lt;10分則應考慮停藥。（113/7/1）</w:t>
      </w:r>
    </w:p>
    <w:p w14:paraId="3FAEE08D" w14:textId="77777777" w:rsidR="00414B60" w:rsidRPr="00204B75" w:rsidRDefault="00414B60" w:rsidP="00204B75">
      <w:pPr>
        <w:spacing w:line="300" w:lineRule="exact"/>
        <w:ind w:left="847" w:hanging="197"/>
        <w:rPr>
          <w:rFonts w:ascii="標楷體" w:eastAsia="標楷體" w:hAnsi="標楷體"/>
          <w:color w:val="000000"/>
          <w:szCs w:val="24"/>
        </w:rPr>
      </w:pPr>
      <w:r w:rsidRPr="00204B75">
        <w:rPr>
          <w:rFonts w:ascii="標楷體" w:eastAsia="標楷體" w:hAnsi="標楷體"/>
          <w:color w:val="000000"/>
          <w:szCs w:val="24"/>
        </w:rPr>
        <w:t>5.使用劑量：</w:t>
      </w:r>
    </w:p>
    <w:p w14:paraId="32E969AC"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(1)adalimumab：體重&gt;=40公斤者，最初第一劑160mg，兩</w:t>
      </w:r>
      <w:proofErr w:type="gramStart"/>
      <w:r>
        <w:rPr>
          <w:rFonts w:ascii="標楷體" w:eastAsia="標楷體" w:hAnsi="標楷體"/>
          <w:bCs/>
          <w:color w:val="000000"/>
        </w:rPr>
        <w:t>週</w:t>
      </w:r>
      <w:proofErr w:type="gramEnd"/>
      <w:r>
        <w:rPr>
          <w:rFonts w:ascii="標楷體" w:eastAsia="標楷體" w:hAnsi="標楷體"/>
          <w:bCs/>
          <w:color w:val="000000"/>
        </w:rPr>
        <w:t>後第二劑 80mg，第四</w:t>
      </w:r>
      <w:proofErr w:type="gramStart"/>
      <w:r>
        <w:rPr>
          <w:rFonts w:ascii="標楷體" w:eastAsia="標楷體" w:hAnsi="標楷體"/>
          <w:bCs/>
          <w:color w:val="000000"/>
        </w:rPr>
        <w:t>週</w:t>
      </w:r>
      <w:proofErr w:type="gramEnd"/>
      <w:r>
        <w:rPr>
          <w:rFonts w:ascii="標楷體" w:eastAsia="標楷體" w:hAnsi="標楷體"/>
          <w:bCs/>
          <w:color w:val="000000"/>
        </w:rPr>
        <w:t>給予第三劑40mg，之後每隔兩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給予維持劑量40mg；體重&lt;40公斤者，最初第一劑80mg，兩</w:t>
      </w:r>
      <w:proofErr w:type="gramStart"/>
      <w:r>
        <w:rPr>
          <w:rFonts w:ascii="標楷體" w:eastAsia="標楷體" w:hAnsi="標楷體"/>
          <w:bCs/>
          <w:color w:val="000000"/>
        </w:rPr>
        <w:t>週</w:t>
      </w:r>
      <w:proofErr w:type="gramEnd"/>
      <w:r>
        <w:rPr>
          <w:rFonts w:ascii="標楷體" w:eastAsia="標楷體" w:hAnsi="標楷體"/>
          <w:bCs/>
          <w:color w:val="000000"/>
        </w:rPr>
        <w:t>後第二劑40mg，第四</w:t>
      </w:r>
      <w:proofErr w:type="gramStart"/>
      <w:r>
        <w:rPr>
          <w:rFonts w:ascii="標楷體" w:eastAsia="標楷體" w:hAnsi="標楷體"/>
          <w:bCs/>
          <w:color w:val="000000"/>
        </w:rPr>
        <w:t>週</w:t>
      </w:r>
      <w:proofErr w:type="gramEnd"/>
      <w:r>
        <w:rPr>
          <w:rFonts w:ascii="標楷體" w:eastAsia="標楷體" w:hAnsi="標楷體"/>
          <w:bCs/>
          <w:color w:val="000000"/>
        </w:rPr>
        <w:t>給予第三劑20mg，之後每隔兩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給予維持劑量20mg。</w:t>
      </w:r>
    </w:p>
    <w:p w14:paraId="3F87CD44"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(2)Infliximab：第0.2.6</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5mg/kg作為緩解之誘導，之後每8</w:t>
      </w:r>
      <w:proofErr w:type="gramStart"/>
      <w:r>
        <w:rPr>
          <w:rFonts w:ascii="標楷體" w:eastAsia="標楷體" w:hAnsi="標楷體"/>
          <w:bCs/>
          <w:color w:val="000000"/>
        </w:rPr>
        <w:t>週</w:t>
      </w:r>
      <w:proofErr w:type="gramEnd"/>
      <w:r>
        <w:rPr>
          <w:rFonts w:ascii="標楷體" w:eastAsia="標楷體" w:hAnsi="標楷體"/>
          <w:bCs/>
          <w:color w:val="000000"/>
        </w:rPr>
        <w:t>給予5mg/kg。可持續治療至第46</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(總共使用8劑，療效持續至54</w:t>
      </w:r>
      <w:proofErr w:type="gramStart"/>
      <w:r>
        <w:rPr>
          <w:rFonts w:ascii="標楷體" w:eastAsia="標楷體" w:hAnsi="標楷體"/>
          <w:bCs/>
          <w:color w:val="000000"/>
        </w:rPr>
        <w:t>週</w:t>
      </w:r>
      <w:proofErr w:type="gramEnd"/>
      <w:r>
        <w:rPr>
          <w:rFonts w:ascii="標楷體" w:eastAsia="標楷體" w:hAnsi="標楷體"/>
          <w:bCs/>
          <w:color w:val="000000"/>
        </w:rPr>
        <w:t>)，作為緩解之維持。（106/5/1）</w:t>
      </w:r>
    </w:p>
    <w:p w14:paraId="57DA851D"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lastRenderedPageBreak/>
        <w:t>(3)Risankizumab：第0、4、8</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600mg作為緩解之誘導，之後每8</w:t>
      </w:r>
      <w:proofErr w:type="gramStart"/>
      <w:r>
        <w:rPr>
          <w:rFonts w:ascii="標楷體" w:eastAsia="標楷體" w:hAnsi="標楷體"/>
          <w:bCs/>
          <w:color w:val="000000"/>
        </w:rPr>
        <w:t>週</w:t>
      </w:r>
      <w:proofErr w:type="gramEnd"/>
      <w:r>
        <w:rPr>
          <w:rFonts w:ascii="標楷體" w:eastAsia="標楷體" w:hAnsi="標楷體"/>
          <w:bCs/>
          <w:color w:val="000000"/>
        </w:rPr>
        <w:t>給予皮下注射360mg，可持續治療至第44</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(總共8劑，使用靜脈注射3劑，皮下注射5劑，療效持續至52</w:t>
      </w:r>
      <w:proofErr w:type="gramStart"/>
      <w:r>
        <w:rPr>
          <w:rFonts w:ascii="標楷體" w:eastAsia="標楷體" w:hAnsi="標楷體"/>
          <w:bCs/>
          <w:color w:val="000000"/>
        </w:rPr>
        <w:t>週</w:t>
      </w:r>
      <w:proofErr w:type="gramEnd"/>
      <w:r>
        <w:rPr>
          <w:rFonts w:ascii="標楷體" w:eastAsia="標楷體" w:hAnsi="標楷體"/>
          <w:bCs/>
          <w:color w:val="000000"/>
        </w:rPr>
        <w:t>)，作為緩解之維持。（113/9/1）</w:t>
      </w:r>
    </w:p>
    <w:p w14:paraId="75319A73" w14:textId="77777777" w:rsidR="00414B60" w:rsidRPr="00204B75" w:rsidRDefault="00414B60" w:rsidP="00204B75">
      <w:pPr>
        <w:spacing w:line="300" w:lineRule="exact"/>
        <w:ind w:left="847" w:hanging="197"/>
        <w:rPr>
          <w:rFonts w:ascii="標楷體" w:eastAsia="標楷體" w:hAnsi="標楷體"/>
          <w:color w:val="000000"/>
          <w:szCs w:val="24"/>
        </w:rPr>
      </w:pPr>
      <w:r w:rsidRPr="00204B75">
        <w:rPr>
          <w:rFonts w:ascii="標楷體" w:eastAsia="標楷體" w:hAnsi="標楷體"/>
          <w:color w:val="000000"/>
          <w:szCs w:val="24"/>
        </w:rPr>
        <w:t>6.須排除使用之情形</w:t>
      </w:r>
    </w:p>
    <w:p w14:paraId="0AFF23B8" w14:textId="77777777" w:rsidR="00414B60" w:rsidRDefault="00414B60" w:rsidP="00414B60">
      <w:pPr>
        <w:ind w:left="847"/>
        <w:rPr>
          <w:rFonts w:ascii="標楷體" w:eastAsia="標楷體" w:hAnsi="標楷體"/>
          <w:bCs/>
          <w:color w:val="000000"/>
        </w:rPr>
      </w:pPr>
      <w:r>
        <w:rPr>
          <w:rFonts w:ascii="標楷體" w:eastAsia="標楷體" w:hAnsi="標楷體"/>
          <w:bCs/>
          <w:color w:val="000000"/>
        </w:rPr>
        <w:t>應參照藥物仿單，重要之排除使用狀況包括：</w:t>
      </w:r>
    </w:p>
    <w:p w14:paraId="7909F9B8"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(1)</w:t>
      </w:r>
      <w:proofErr w:type="gramStart"/>
      <w:r>
        <w:rPr>
          <w:rFonts w:ascii="標楷體" w:eastAsia="標楷體" w:hAnsi="標楷體"/>
          <w:bCs/>
          <w:color w:val="000000"/>
        </w:rPr>
        <w:t>罹</w:t>
      </w:r>
      <w:proofErr w:type="gramEnd"/>
      <w:r>
        <w:rPr>
          <w:rFonts w:ascii="標楷體" w:eastAsia="標楷體" w:hAnsi="標楷體"/>
          <w:bCs/>
          <w:color w:val="000000"/>
        </w:rPr>
        <w:t>患活動性感染症(active infection)之病患。</w:t>
      </w:r>
    </w:p>
    <w:p w14:paraId="0EBE0AAC"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(2)未經完整治療之結核病的病患（包括潛伏結核感染治療未達四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w:t>
      </w:r>
    </w:p>
    <w:p w14:paraId="2BAC21A8"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(3)惡性腫瘤或具有癌症前兆(pre-malignancy)之病患。</w:t>
      </w:r>
    </w:p>
    <w:p w14:paraId="0593F437"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(4)具高度感染機會之病患：</w:t>
      </w:r>
      <w:proofErr w:type="gramStart"/>
      <w:r>
        <w:rPr>
          <w:rFonts w:ascii="標楷體" w:eastAsia="標楷體" w:hAnsi="標楷體"/>
          <w:bCs/>
          <w:color w:val="000000"/>
        </w:rPr>
        <w:t>慢性腿部</w:t>
      </w:r>
      <w:proofErr w:type="gramEnd"/>
      <w:r>
        <w:rPr>
          <w:rFonts w:ascii="標楷體" w:eastAsia="標楷體" w:hAnsi="標楷體"/>
          <w:bCs/>
          <w:color w:val="000000"/>
        </w:rPr>
        <w:t>潰瘍、導尿管置留、身上有引流管、頑固性或復發性之胸腔感染症病患。</w:t>
      </w:r>
    </w:p>
    <w:p w14:paraId="180C8EB7"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(5)多發性硬化症(multiple sclerosis)。</w:t>
      </w:r>
    </w:p>
    <w:p w14:paraId="34CBC6D1" w14:textId="77777777" w:rsidR="00414B60" w:rsidRPr="00204B75" w:rsidRDefault="00414B60" w:rsidP="00204B75">
      <w:pPr>
        <w:spacing w:line="300" w:lineRule="exact"/>
        <w:ind w:left="847" w:hanging="197"/>
        <w:rPr>
          <w:rFonts w:ascii="標楷體" w:eastAsia="標楷體" w:hAnsi="標楷體"/>
          <w:color w:val="000000"/>
          <w:szCs w:val="24"/>
        </w:rPr>
      </w:pPr>
      <w:r w:rsidRPr="00204B75">
        <w:rPr>
          <w:rFonts w:ascii="標楷體" w:eastAsia="標楷體" w:hAnsi="標楷體"/>
          <w:color w:val="000000"/>
          <w:szCs w:val="24"/>
        </w:rPr>
        <w:t>7.須停止治療的情形</w:t>
      </w:r>
    </w:p>
    <w:p w14:paraId="08970C95"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(1)療效</w:t>
      </w:r>
      <w:proofErr w:type="gramStart"/>
      <w:r>
        <w:rPr>
          <w:rFonts w:ascii="標楷體" w:eastAsia="標楷體" w:hAnsi="標楷體"/>
          <w:bCs/>
          <w:color w:val="000000"/>
        </w:rPr>
        <w:t>不</w:t>
      </w:r>
      <w:proofErr w:type="gramEnd"/>
      <w:r>
        <w:rPr>
          <w:rFonts w:ascii="標楷體" w:eastAsia="標楷體" w:hAnsi="標楷體"/>
          <w:bCs/>
          <w:color w:val="000000"/>
        </w:rPr>
        <w:t>彰：療效評估未達繼續使用標準者。</w:t>
      </w:r>
    </w:p>
    <w:p w14:paraId="25CA5CA3" w14:textId="77777777" w:rsidR="00414B60" w:rsidRDefault="00414B60" w:rsidP="00204B75">
      <w:pPr>
        <w:ind w:left="1276" w:hanging="425"/>
        <w:rPr>
          <w:rFonts w:ascii="標楷體" w:eastAsia="標楷體" w:hAnsi="標楷體"/>
          <w:bCs/>
          <w:color w:val="000000"/>
        </w:rPr>
      </w:pPr>
      <w:r>
        <w:rPr>
          <w:rFonts w:ascii="標楷體" w:eastAsia="標楷體" w:hAnsi="標楷體"/>
          <w:bCs/>
          <w:color w:val="000000"/>
        </w:rPr>
        <w:t>(2)其他事項：包括</w:t>
      </w:r>
    </w:p>
    <w:p w14:paraId="5F50AF02" w14:textId="77777777" w:rsidR="00414B60" w:rsidRDefault="00414B60" w:rsidP="00414B60">
      <w:pPr>
        <w:ind w:left="1269" w:hanging="139"/>
        <w:rPr>
          <w:rFonts w:ascii="標楷體" w:eastAsia="標楷體" w:hAnsi="標楷體"/>
          <w:bCs/>
          <w:color w:val="000000"/>
        </w:rPr>
      </w:pPr>
      <w:proofErr w:type="spellStart"/>
      <w:r>
        <w:rPr>
          <w:rFonts w:ascii="標楷體" w:eastAsia="標楷體" w:hAnsi="標楷體"/>
          <w:bCs/>
          <w:color w:val="000000"/>
        </w:rPr>
        <w:t>i</w:t>
      </w:r>
      <w:proofErr w:type="spellEnd"/>
      <w:r>
        <w:rPr>
          <w:rFonts w:ascii="標楷體" w:eastAsia="標楷體" w:hAnsi="標楷體"/>
          <w:bCs/>
          <w:color w:val="000000"/>
        </w:rPr>
        <w:t>惡性腫瘤</w:t>
      </w:r>
    </w:p>
    <w:p w14:paraId="3556B8BE" w14:textId="77777777" w:rsidR="00414B60" w:rsidRDefault="00414B60" w:rsidP="00414B60">
      <w:pPr>
        <w:ind w:left="1269" w:hanging="139"/>
        <w:rPr>
          <w:rFonts w:ascii="標楷體" w:eastAsia="標楷體" w:hAnsi="標楷體"/>
          <w:bCs/>
          <w:color w:val="000000"/>
        </w:rPr>
      </w:pPr>
      <w:r>
        <w:rPr>
          <w:rFonts w:ascii="標楷體" w:eastAsia="標楷體" w:hAnsi="標楷體"/>
          <w:bCs/>
          <w:color w:val="000000"/>
        </w:rPr>
        <w:t>ii該藥物引起之嚴重毒性 (白血球過低、嚴重過敏)</w:t>
      </w:r>
    </w:p>
    <w:p w14:paraId="5AFA22C5" w14:textId="77777777" w:rsidR="00414B60" w:rsidRDefault="00414B60" w:rsidP="00414B60">
      <w:pPr>
        <w:ind w:left="2127" w:hanging="989"/>
        <w:rPr>
          <w:rFonts w:ascii="標楷體" w:eastAsia="標楷體" w:hAnsi="標楷體"/>
          <w:bCs/>
          <w:color w:val="000000"/>
        </w:rPr>
      </w:pPr>
      <w:r>
        <w:rPr>
          <w:rFonts w:ascii="標楷體" w:eastAsia="標楷體" w:hAnsi="標楷體"/>
          <w:bCs/>
          <w:color w:val="000000"/>
        </w:rPr>
        <w:t>iii嚴重感染(暫時停藥即可)。</w:t>
      </w:r>
    </w:p>
    <w:p w14:paraId="4914BFED" w14:textId="77777777" w:rsidR="00414B60" w:rsidRDefault="00414B60" w:rsidP="00414B60">
      <w:pPr>
        <w:ind w:left="828" w:hanging="261"/>
        <w:rPr>
          <w:rFonts w:ascii="標楷體" w:eastAsia="標楷體" w:hAnsi="標楷體"/>
          <w:bCs/>
          <w:color w:val="000000"/>
        </w:rPr>
      </w:pPr>
      <w:r>
        <w:rPr>
          <w:rFonts w:ascii="標楷體" w:eastAsia="標楷體" w:hAnsi="標楷體"/>
          <w:bCs/>
          <w:color w:val="000000"/>
        </w:rPr>
        <w:t>◎附表二十六之</w:t>
      </w:r>
      <w:proofErr w:type="gramStart"/>
      <w:r>
        <w:rPr>
          <w:rFonts w:ascii="標楷體" w:eastAsia="標楷體" w:hAnsi="標楷體"/>
          <w:bCs/>
          <w:color w:val="000000"/>
        </w:rPr>
        <w:t>三</w:t>
      </w:r>
      <w:proofErr w:type="gramEnd"/>
      <w:r>
        <w:rPr>
          <w:rFonts w:ascii="標楷體" w:eastAsia="標楷體" w:hAnsi="標楷體"/>
          <w:bCs/>
          <w:color w:val="000000"/>
        </w:rPr>
        <w:t>：全民健康保險小兒克隆氏症使用adalimumab、infliximab、</w:t>
      </w:r>
      <w:proofErr w:type="spellStart"/>
      <w:r>
        <w:rPr>
          <w:rFonts w:ascii="標楷體" w:eastAsia="標楷體" w:hAnsi="標楷體"/>
          <w:bCs/>
          <w:color w:val="000000"/>
        </w:rPr>
        <w:t>risankizumab</w:t>
      </w:r>
      <w:proofErr w:type="spellEnd"/>
      <w:r>
        <w:rPr>
          <w:rFonts w:ascii="標楷體" w:eastAsia="標楷體" w:hAnsi="標楷體"/>
          <w:bCs/>
          <w:color w:val="000000"/>
        </w:rPr>
        <w:t>申請表(106/5/1、108/10/1、113/7/1、113/9/1)</w:t>
      </w:r>
    </w:p>
    <w:p w14:paraId="3C13B134" w14:textId="77777777" w:rsidR="00401786" w:rsidRDefault="00414B60" w:rsidP="00414B60">
      <w:pPr>
        <w:spacing w:line="300" w:lineRule="exact"/>
        <w:ind w:left="1560" w:hanging="989"/>
        <w:rPr>
          <w:rFonts w:ascii="標楷體" w:eastAsia="標楷體" w:hAnsi="標楷體"/>
          <w:bCs/>
          <w:color w:val="000000"/>
        </w:rPr>
      </w:pPr>
      <w:r>
        <w:rPr>
          <w:rFonts w:ascii="標楷體" w:eastAsia="標楷體" w:hAnsi="標楷體"/>
          <w:bCs/>
          <w:color w:val="000000"/>
        </w:rPr>
        <w:t>◎附表二十六之四：PCDAI（Pediatric Crohn’s disease activity index）</w:t>
      </w:r>
    </w:p>
    <w:p w14:paraId="5A81E404" w14:textId="77777777" w:rsidR="00401786" w:rsidRPr="00204B75" w:rsidRDefault="00C64FB3" w:rsidP="00204B75">
      <w:pPr>
        <w:spacing w:line="300" w:lineRule="exact"/>
        <w:ind w:left="709" w:hanging="423"/>
        <w:rPr>
          <w:rFonts w:ascii="標楷體" w:eastAsia="標楷體" w:hAnsi="標楷體"/>
          <w:color w:val="000000"/>
        </w:rPr>
      </w:pPr>
      <w:r w:rsidRPr="00204B75">
        <w:rPr>
          <w:rFonts w:ascii="標楷體" w:eastAsia="標楷體" w:hAnsi="標楷體"/>
          <w:color w:val="000000"/>
        </w:rPr>
        <w:t>8.2.4.8.</w:t>
      </w:r>
      <w:r>
        <w:rPr>
          <w:rFonts w:ascii="標楷體" w:eastAsia="標楷體" w:hAnsi="標楷體"/>
          <w:color w:val="000000"/>
        </w:rPr>
        <w:t>Abatacept靜脈注射劑（如Orencia IV）（101/10/1、102/1/1、104/8/1、108/1/1、111/2/1）：用於幼年型慢性關節炎治療部分</w:t>
      </w:r>
    </w:p>
    <w:p w14:paraId="44155C46"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1.給付條件：</w:t>
      </w:r>
    </w:p>
    <w:p w14:paraId="0281B5B6"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(1)限用於曾經接受抗腫瘤壞死因子</w:t>
      </w:r>
      <w:proofErr w:type="gramStart"/>
      <w:r>
        <w:rPr>
          <w:rFonts w:ascii="標楷體" w:eastAsia="標楷體" w:hAnsi="標楷體"/>
          <w:bCs/>
          <w:color w:val="000000"/>
        </w:rPr>
        <w:t>拮抗劑</w:t>
      </w:r>
      <w:proofErr w:type="gramEnd"/>
      <w:r>
        <w:rPr>
          <w:rFonts w:ascii="標楷體" w:eastAsia="標楷體" w:hAnsi="標楷體"/>
          <w:bCs/>
          <w:color w:val="000000"/>
        </w:rPr>
        <w:t>(如etanercept)治療，但未達療效或無法耐受之6歲以上有幼年型慢性關節炎之患者。（108/1/1、111/2/1）</w:t>
      </w:r>
    </w:p>
    <w:p w14:paraId="4524B725" w14:textId="77777777" w:rsidR="00401786" w:rsidRDefault="00C64FB3" w:rsidP="0009639E">
      <w:pPr>
        <w:spacing w:line="300" w:lineRule="exact"/>
        <w:ind w:left="1414" w:hanging="336"/>
      </w:pPr>
      <w:proofErr w:type="spellStart"/>
      <w:r>
        <w:rPr>
          <w:rFonts w:ascii="標楷體" w:eastAsia="標楷體" w:hAnsi="標楷體"/>
          <w:bCs/>
          <w:color w:val="000000"/>
        </w:rPr>
        <w:t>I.</w:t>
      </w:r>
      <w:r>
        <w:rPr>
          <w:rFonts w:ascii="標楷體" w:eastAsia="標楷體" w:hAnsi="標楷體"/>
          <w:color w:val="000000"/>
        </w:rPr>
        <w:t>Etanercept</w:t>
      </w:r>
      <w:proofErr w:type="spellEnd"/>
      <w:r>
        <w:rPr>
          <w:rFonts w:ascii="標楷體" w:eastAsia="標楷體" w:hAnsi="標楷體"/>
          <w:bCs/>
          <w:color w:val="000000"/>
        </w:rPr>
        <w:t>的療效：</w:t>
      </w:r>
    </w:p>
    <w:p w14:paraId="2C92F0D8" w14:textId="77777777" w:rsidR="00401786" w:rsidRDefault="00C64FB3" w:rsidP="0009639E">
      <w:pPr>
        <w:spacing w:line="300" w:lineRule="exact"/>
        <w:ind w:left="1414" w:hanging="336"/>
      </w:pPr>
      <w:proofErr w:type="spellStart"/>
      <w:r>
        <w:rPr>
          <w:rFonts w:ascii="標楷體" w:eastAsia="標楷體" w:hAnsi="標楷體"/>
          <w:bCs/>
          <w:color w:val="000000"/>
        </w:rPr>
        <w:t>i</w:t>
      </w:r>
      <w:proofErr w:type="spellEnd"/>
      <w:r>
        <w:rPr>
          <w:rFonts w:ascii="標楷體" w:eastAsia="標楷體" w:hAnsi="標楷體"/>
          <w:bCs/>
          <w:color w:val="000000"/>
        </w:rPr>
        <w:t>.紅血球</w:t>
      </w:r>
      <w:proofErr w:type="gramStart"/>
      <w:r>
        <w:rPr>
          <w:rFonts w:ascii="標楷體" w:eastAsia="標楷體" w:hAnsi="標楷體"/>
          <w:bCs/>
          <w:color w:val="000000"/>
        </w:rPr>
        <w:t>沉</w:t>
      </w:r>
      <w:proofErr w:type="gramEnd"/>
      <w:r>
        <w:rPr>
          <w:rFonts w:ascii="標楷體" w:eastAsia="標楷體" w:hAnsi="標楷體"/>
          <w:bCs/>
          <w:color w:val="000000"/>
        </w:rPr>
        <w:t>降速率 (ESR) 或CRP及下列三項中至少有二項達到較基礎值改善30%</w:t>
      </w:r>
      <w:r>
        <w:rPr>
          <w:rFonts w:ascii="標楷體" w:eastAsia="標楷體" w:hAnsi="標楷體"/>
          <w:color w:val="000000"/>
        </w:rPr>
        <w:t>以上效果者</w:t>
      </w:r>
      <w:r>
        <w:rPr>
          <w:rFonts w:ascii="標楷體" w:eastAsia="標楷體" w:hAnsi="標楷體"/>
          <w:bCs/>
          <w:color w:val="000000"/>
        </w:rPr>
        <w:t>。</w:t>
      </w:r>
    </w:p>
    <w:p w14:paraId="1C2E5641" w14:textId="77777777" w:rsidR="00401786" w:rsidRDefault="00C64FB3" w:rsidP="0009639E">
      <w:pPr>
        <w:spacing w:line="300" w:lineRule="exact"/>
        <w:ind w:left="1469" w:hanging="264"/>
        <w:rPr>
          <w:rFonts w:ascii="標楷體" w:eastAsia="標楷體" w:hAnsi="標楷體"/>
          <w:bCs/>
          <w:color w:val="000000"/>
        </w:rPr>
      </w:pPr>
      <w:r>
        <w:rPr>
          <w:rFonts w:ascii="標楷體" w:eastAsia="標楷體" w:hAnsi="標楷體"/>
          <w:bCs/>
          <w:color w:val="000000"/>
        </w:rPr>
        <w:t>a.活動性關節炎的總數。</w:t>
      </w:r>
    </w:p>
    <w:p w14:paraId="38AFAF8A" w14:textId="77777777" w:rsidR="00401786" w:rsidRDefault="00C64FB3" w:rsidP="0009639E">
      <w:pPr>
        <w:spacing w:line="300" w:lineRule="exact"/>
        <w:ind w:left="1469" w:hanging="264"/>
        <w:rPr>
          <w:rFonts w:ascii="標楷體" w:eastAsia="標楷體" w:hAnsi="標楷體"/>
          <w:bCs/>
          <w:color w:val="000000"/>
        </w:rPr>
      </w:pPr>
      <w:r>
        <w:rPr>
          <w:rFonts w:ascii="標楷體" w:eastAsia="標楷體" w:hAnsi="標楷體"/>
          <w:bCs/>
          <w:color w:val="000000"/>
        </w:rPr>
        <w:t>b.關節活動範圍受到限制的關節總數。</w:t>
      </w:r>
    </w:p>
    <w:p w14:paraId="46EE1640" w14:textId="77777777" w:rsidR="00401786" w:rsidRDefault="00C64FB3" w:rsidP="0009639E">
      <w:pPr>
        <w:spacing w:line="300" w:lineRule="exact"/>
        <w:ind w:left="1469" w:hanging="264"/>
        <w:rPr>
          <w:rFonts w:ascii="標楷體" w:eastAsia="標楷體" w:hAnsi="標楷體"/>
          <w:bCs/>
          <w:color w:val="000000"/>
        </w:rPr>
      </w:pPr>
      <w:r>
        <w:rPr>
          <w:rFonts w:ascii="標楷體" w:eastAsia="標楷體" w:hAnsi="標楷體"/>
          <w:bCs/>
          <w:color w:val="000000"/>
        </w:rPr>
        <w:t>c.醫師的整體評估。</w:t>
      </w:r>
    </w:p>
    <w:p w14:paraId="36D87C47"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 上述各種指標惡化程度達30%以上者不得超過一項</w:t>
      </w:r>
    </w:p>
    <w:p w14:paraId="2A248045"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II.無法耐受的定義：無法忍受etanercept治療的副作用。</w:t>
      </w:r>
    </w:p>
    <w:p w14:paraId="55598DB0"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(2)需與methotrexate</w:t>
      </w:r>
      <w:proofErr w:type="gramStart"/>
      <w:r>
        <w:rPr>
          <w:rFonts w:ascii="標楷體" w:eastAsia="標楷體" w:hAnsi="標楷體"/>
          <w:bCs/>
          <w:color w:val="000000"/>
        </w:rPr>
        <w:t>併</w:t>
      </w:r>
      <w:proofErr w:type="gramEnd"/>
      <w:r>
        <w:rPr>
          <w:rFonts w:ascii="標楷體" w:eastAsia="標楷體" w:hAnsi="標楷體"/>
          <w:bCs/>
          <w:color w:val="000000"/>
        </w:rPr>
        <w:t>用（但對methotrexate過敏，或methotrexate引起嚴重血球低下、肝毒性及其它嚴重副作用者除外）。</w:t>
      </w:r>
    </w:p>
    <w:p w14:paraId="679D82BC"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2.限具有風濕病專科醫師證書之內科、小兒科專科醫師或具有小兒過敏免疫專科醫師證書之小兒科專科醫師處方。</w:t>
      </w:r>
    </w:p>
    <w:p w14:paraId="20AD526C"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3.年齡大於18歲的病患應由具有風濕病專科醫師證書之內科專科醫師或具有小兒過敏免疫專科醫師證書之小兒科專科醫師重新評估病情，改依成人治療（8.2.4.2）規定申請。（108/1/1）</w:t>
      </w:r>
    </w:p>
    <w:p w14:paraId="343FB0D5"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4.需經事前審查核准後使用：</w:t>
      </w:r>
    </w:p>
    <w:p w14:paraId="0A6FACAE"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(1)申請初次治療時，應檢附曾經使用抗腫瘤壞死因子</w:t>
      </w:r>
      <w:proofErr w:type="gramStart"/>
      <w:r>
        <w:rPr>
          <w:rFonts w:ascii="標楷體" w:eastAsia="標楷體" w:hAnsi="標楷體"/>
          <w:bCs/>
          <w:color w:val="000000"/>
        </w:rPr>
        <w:t>拮抗劑</w:t>
      </w:r>
      <w:proofErr w:type="gramEnd"/>
      <w:r>
        <w:rPr>
          <w:rFonts w:ascii="標楷體" w:eastAsia="標楷體" w:hAnsi="標楷體"/>
          <w:bCs/>
          <w:color w:val="000000"/>
        </w:rPr>
        <w:t>之用藥結果，包括種類、劑量、關節腫脹治療前後的相關照片或關節X光檢查報告、及副作用報告等資料。</w:t>
      </w:r>
    </w:p>
    <w:p w14:paraId="794045C1"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(2)使用abatacept之後，每6個月需再申請一次；需描述使用藥物後的療效、副作用或併發症。</w:t>
      </w:r>
    </w:p>
    <w:p w14:paraId="31C1064F" w14:textId="77777777" w:rsidR="00401786" w:rsidRPr="00204B75" w:rsidRDefault="00C64FB3" w:rsidP="00204B75">
      <w:pPr>
        <w:spacing w:line="300" w:lineRule="exact"/>
        <w:ind w:left="811" w:hanging="245"/>
        <w:rPr>
          <w:rFonts w:ascii="標楷體" w:eastAsia="標楷體" w:hAnsi="標楷體"/>
          <w:bCs/>
          <w:color w:val="000000"/>
        </w:rPr>
      </w:pPr>
      <w:r>
        <w:rPr>
          <w:rFonts w:ascii="標楷體" w:eastAsia="標楷體" w:hAnsi="標楷體"/>
          <w:bCs/>
          <w:color w:val="000000"/>
        </w:rPr>
        <w:lastRenderedPageBreak/>
        <w:t>5.需排除abatacept使用的情形</w:t>
      </w:r>
      <w:r w:rsidRPr="00204B75">
        <w:rPr>
          <w:rFonts w:ascii="標楷體" w:eastAsia="標楷體" w:hAnsi="標楷體"/>
          <w:bCs/>
          <w:color w:val="000000"/>
        </w:rPr>
        <w:t>應參照藥物仿單</w:t>
      </w:r>
      <w:r>
        <w:rPr>
          <w:rFonts w:ascii="標楷體" w:eastAsia="標楷體" w:hAnsi="標楷體"/>
          <w:bCs/>
          <w:color w:val="000000"/>
        </w:rPr>
        <w:t>，重要之排除使用狀況包括：</w:t>
      </w:r>
    </w:p>
    <w:p w14:paraId="551BCEA7"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(1)懷孕或</w:t>
      </w:r>
      <w:proofErr w:type="gramStart"/>
      <w:r>
        <w:rPr>
          <w:rFonts w:ascii="標楷體" w:eastAsia="標楷體" w:hAnsi="標楷體"/>
          <w:bCs/>
          <w:color w:val="000000"/>
        </w:rPr>
        <w:t>正在授乳的</w:t>
      </w:r>
      <w:proofErr w:type="gramEnd"/>
      <w:r>
        <w:rPr>
          <w:rFonts w:ascii="標楷體" w:eastAsia="標楷體" w:hAnsi="標楷體"/>
          <w:bCs/>
          <w:color w:val="000000"/>
        </w:rPr>
        <w:t>婦女。</w:t>
      </w:r>
    </w:p>
    <w:p w14:paraId="26D3C139"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(2)</w:t>
      </w:r>
      <w:proofErr w:type="gramStart"/>
      <w:r>
        <w:rPr>
          <w:rFonts w:ascii="標楷體" w:eastAsia="標楷體" w:hAnsi="標楷體"/>
          <w:bCs/>
          <w:color w:val="000000"/>
        </w:rPr>
        <w:t>罹</w:t>
      </w:r>
      <w:proofErr w:type="gramEnd"/>
      <w:r>
        <w:rPr>
          <w:rFonts w:ascii="標楷體" w:eastAsia="標楷體" w:hAnsi="標楷體"/>
          <w:bCs/>
          <w:color w:val="000000"/>
        </w:rPr>
        <w:t>患活動性的感染症的病患。</w:t>
      </w:r>
    </w:p>
    <w:p w14:paraId="24A87868"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(3)未經完整治療之結核病的患者（包括潛伏結核感染治療未達四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者，申請時應檢附潛伏結核感染篩檢紀錄及治療紀錄供審查）。(102/1/1)</w:t>
      </w:r>
    </w:p>
    <w:p w14:paraId="6E1FF94E"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(4)身上帶有人工關節者，</w:t>
      </w:r>
      <w:proofErr w:type="gramStart"/>
      <w:r>
        <w:rPr>
          <w:rFonts w:ascii="標楷體" w:eastAsia="標楷體" w:hAnsi="標楷體"/>
          <w:bCs/>
          <w:color w:val="000000"/>
        </w:rPr>
        <w:t>罹</w:t>
      </w:r>
      <w:proofErr w:type="gramEnd"/>
      <w:r>
        <w:rPr>
          <w:rFonts w:ascii="標楷體" w:eastAsia="標楷體" w:hAnsi="標楷體"/>
          <w:bCs/>
          <w:color w:val="000000"/>
        </w:rPr>
        <w:t>患或先前曾</w:t>
      </w:r>
      <w:proofErr w:type="gramStart"/>
      <w:r>
        <w:rPr>
          <w:rFonts w:ascii="標楷體" w:eastAsia="標楷體" w:hAnsi="標楷體"/>
          <w:bCs/>
          <w:color w:val="000000"/>
        </w:rPr>
        <w:t>罹</w:t>
      </w:r>
      <w:proofErr w:type="gramEnd"/>
      <w:r>
        <w:rPr>
          <w:rFonts w:ascii="標楷體" w:eastAsia="標楷體" w:hAnsi="標楷體"/>
          <w:bCs/>
          <w:color w:val="000000"/>
        </w:rPr>
        <w:t>患過嚴重的敗血症(sepsis)者。</w:t>
      </w:r>
    </w:p>
    <w:p w14:paraId="5BAC2922"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(5)惡性腫瘤或具有癌症前兆 (pre-malignancy) 的病患。</w:t>
      </w:r>
    </w:p>
    <w:p w14:paraId="76B2EAAB"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(6)免疫功能不全者 (Immunodeficiency)。</w:t>
      </w:r>
    </w:p>
    <w:p w14:paraId="48E1A2D9" w14:textId="77777777" w:rsidR="00401786" w:rsidRPr="00204B75"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6.需停止abatacept治療的情形</w:t>
      </w:r>
      <w:r w:rsidRPr="00204B75">
        <w:rPr>
          <w:rFonts w:ascii="標楷體" w:eastAsia="標楷體" w:hAnsi="標楷體"/>
          <w:bCs/>
          <w:color w:val="000000"/>
        </w:rPr>
        <w:t>如果發生下列現象應停止治療</w:t>
      </w:r>
      <w:r>
        <w:rPr>
          <w:rFonts w:ascii="標楷體" w:eastAsia="標楷體" w:hAnsi="標楷體"/>
          <w:bCs/>
          <w:color w:val="000000"/>
        </w:rPr>
        <w:t>：</w:t>
      </w:r>
    </w:p>
    <w:p w14:paraId="13313B12"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(1)不良事件，包括：</w:t>
      </w:r>
    </w:p>
    <w:p w14:paraId="62B3EC04"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Ⅰ.惡性腫瘤。</w:t>
      </w:r>
    </w:p>
    <w:p w14:paraId="2B72446C"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Ⅱ.該藥物引起的嚴重毒性。</w:t>
      </w:r>
    </w:p>
    <w:p w14:paraId="59B7BD72"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Ⅲ.懷孕 (暫時停藥即可)。</w:t>
      </w:r>
    </w:p>
    <w:p w14:paraId="78EBB2ED"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Ⅳ.嚴重</w:t>
      </w:r>
      <w:proofErr w:type="gramStart"/>
      <w:r>
        <w:rPr>
          <w:rFonts w:ascii="標楷體" w:eastAsia="標楷體" w:hAnsi="標楷體"/>
          <w:bCs/>
          <w:color w:val="000000"/>
        </w:rPr>
        <w:t>的間發性</w:t>
      </w:r>
      <w:proofErr w:type="gramEnd"/>
      <w:r>
        <w:rPr>
          <w:rFonts w:ascii="標楷體" w:eastAsia="標楷體" w:hAnsi="標楷體"/>
          <w:bCs/>
          <w:color w:val="000000"/>
        </w:rPr>
        <w:t>感染症 (intercurrent infection)(暫時停藥即可)。</w:t>
      </w:r>
    </w:p>
    <w:p w14:paraId="053C1940" w14:textId="77777777" w:rsidR="00401786" w:rsidRDefault="00C64FB3" w:rsidP="00204B75">
      <w:pPr>
        <w:ind w:left="1276" w:hanging="425"/>
        <w:rPr>
          <w:rFonts w:ascii="標楷體" w:eastAsia="標楷體" w:hAnsi="標楷體"/>
          <w:bCs/>
          <w:color w:val="000000"/>
        </w:rPr>
      </w:pPr>
      <w:r>
        <w:rPr>
          <w:rFonts w:ascii="標楷體" w:eastAsia="標楷體" w:hAnsi="標楷體"/>
          <w:bCs/>
          <w:color w:val="000000"/>
        </w:rPr>
        <w:t>(2)療效</w:t>
      </w:r>
      <w:proofErr w:type="gramStart"/>
      <w:r>
        <w:rPr>
          <w:rFonts w:ascii="標楷體" w:eastAsia="標楷體" w:hAnsi="標楷體"/>
          <w:bCs/>
          <w:color w:val="000000"/>
        </w:rPr>
        <w:t>不</w:t>
      </w:r>
      <w:proofErr w:type="gramEnd"/>
      <w:r>
        <w:rPr>
          <w:rFonts w:ascii="標楷體" w:eastAsia="標楷體" w:hAnsi="標楷體"/>
          <w:bCs/>
          <w:color w:val="000000"/>
        </w:rPr>
        <w:t>彰：患者的core set data經過6個月治療後未達療效者。</w:t>
      </w:r>
    </w:p>
    <w:p w14:paraId="6DA15622" w14:textId="77777777" w:rsidR="00401786" w:rsidRDefault="00C64FB3" w:rsidP="000337EA">
      <w:pPr>
        <w:ind w:left="1418" w:hanging="425"/>
        <w:rPr>
          <w:rFonts w:ascii="標楷體" w:eastAsia="標楷體" w:hAnsi="標楷體"/>
          <w:bCs/>
          <w:color w:val="000000"/>
        </w:rPr>
      </w:pPr>
      <w:r>
        <w:rPr>
          <w:rFonts w:ascii="標楷體" w:eastAsia="標楷體" w:hAnsi="標楷體"/>
          <w:bCs/>
          <w:color w:val="000000"/>
        </w:rPr>
        <w:t>療效定義：</w:t>
      </w:r>
    </w:p>
    <w:p w14:paraId="617244CB"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Ⅰ.紅血球</w:t>
      </w:r>
      <w:proofErr w:type="gramStart"/>
      <w:r>
        <w:rPr>
          <w:rFonts w:ascii="標楷體" w:eastAsia="標楷體" w:hAnsi="標楷體"/>
          <w:bCs/>
          <w:color w:val="000000"/>
        </w:rPr>
        <w:t>沉</w:t>
      </w:r>
      <w:proofErr w:type="gramEnd"/>
      <w:r>
        <w:rPr>
          <w:rFonts w:ascii="標楷體" w:eastAsia="標楷體" w:hAnsi="標楷體"/>
          <w:bCs/>
          <w:color w:val="000000"/>
        </w:rPr>
        <w:t>降速率 (ESR) 或CRP及下列三項中至少有二項達到較基礎值改善30%以上效果者。</w:t>
      </w:r>
    </w:p>
    <w:p w14:paraId="77C6160E" w14:textId="77777777" w:rsidR="00401786" w:rsidRDefault="00C64FB3" w:rsidP="0009639E">
      <w:pPr>
        <w:spacing w:line="300" w:lineRule="exact"/>
        <w:ind w:left="1414" w:hanging="336"/>
        <w:rPr>
          <w:rFonts w:ascii="標楷體" w:eastAsia="標楷體" w:hAnsi="標楷體"/>
          <w:bCs/>
          <w:color w:val="000000"/>
        </w:rPr>
      </w:pPr>
      <w:proofErr w:type="spellStart"/>
      <w:r>
        <w:rPr>
          <w:rFonts w:ascii="標楷體" w:eastAsia="標楷體" w:hAnsi="標楷體"/>
          <w:bCs/>
          <w:color w:val="000000"/>
        </w:rPr>
        <w:t>i</w:t>
      </w:r>
      <w:proofErr w:type="spellEnd"/>
      <w:r>
        <w:rPr>
          <w:rFonts w:ascii="標楷體" w:eastAsia="標楷體" w:hAnsi="標楷體"/>
          <w:bCs/>
          <w:color w:val="000000"/>
        </w:rPr>
        <w:t>.活動性關節炎的總數</w:t>
      </w:r>
    </w:p>
    <w:p w14:paraId="05491006"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ii.關節活動範圍受到限制的關節總數</w:t>
      </w:r>
    </w:p>
    <w:p w14:paraId="5EF8703F"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iii.醫師的整體評估</w:t>
      </w:r>
    </w:p>
    <w:p w14:paraId="7BF71852"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Ⅱ.上述各種指標惡化程度達30%以上者不得超過一項。</w:t>
      </w:r>
    </w:p>
    <w:p w14:paraId="516CF028"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◎附表三十一：全民健康保險使用abatacept申請表(六歲以上兒童)</w:t>
      </w:r>
    </w:p>
    <w:p w14:paraId="5B461DCC" w14:textId="77777777" w:rsidR="00401786" w:rsidRDefault="00BD554D" w:rsidP="0009639E">
      <w:pPr>
        <w:spacing w:line="300" w:lineRule="exact"/>
        <w:ind w:left="571" w:hanging="245"/>
      </w:pPr>
      <w:r w:rsidRPr="006439D3">
        <w:rPr>
          <w:rFonts w:ascii="標楷體" w:eastAsia="標楷體" w:hAnsi="標楷體"/>
          <w:color w:val="000000"/>
        </w:rPr>
        <w:t>8</w:t>
      </w:r>
      <w:r w:rsidRPr="006439D3">
        <w:rPr>
          <w:rFonts w:ascii="標楷體" w:eastAsia="標楷體" w:hAnsi="標楷體"/>
          <w:bCs/>
          <w:color w:val="000000"/>
        </w:rPr>
        <w:t xml:space="preserve">.2.4.9. </w:t>
      </w:r>
      <w:r w:rsidR="009D02BD">
        <w:rPr>
          <w:rFonts w:ascii="標楷體" w:eastAsia="標楷體" w:hAnsi="標楷體"/>
          <w:bCs/>
          <w:color w:val="000000"/>
        </w:rPr>
        <w:t>Golimumab(如Simponi)、Adalimumab（如Humira）、Vedolizumab（如Entyvio）、infliximab（如Remicade）、tofacitinib(如Xeljanz)、</w:t>
      </w:r>
      <w:proofErr w:type="spellStart"/>
      <w:r w:rsidR="009D02BD">
        <w:rPr>
          <w:rFonts w:ascii="標楷體" w:eastAsia="標楷體" w:hAnsi="標楷體"/>
          <w:bCs/>
          <w:color w:val="000000"/>
        </w:rPr>
        <w:t>ustekinumab</w:t>
      </w:r>
      <w:proofErr w:type="spellEnd"/>
      <w:r w:rsidR="009D02BD">
        <w:rPr>
          <w:rFonts w:ascii="標楷體" w:eastAsia="標楷體" w:hAnsi="標楷體"/>
          <w:bCs/>
          <w:color w:val="000000"/>
        </w:rPr>
        <w:t>(如Stelara)、</w:t>
      </w:r>
      <w:proofErr w:type="spellStart"/>
      <w:r w:rsidR="009D02BD">
        <w:rPr>
          <w:rFonts w:ascii="標楷體" w:eastAsia="標楷體" w:hAnsi="標楷體"/>
          <w:bCs/>
          <w:color w:val="000000"/>
        </w:rPr>
        <w:t>upadacitinib</w:t>
      </w:r>
      <w:proofErr w:type="spellEnd"/>
      <w:r w:rsidR="009D02BD">
        <w:rPr>
          <w:rFonts w:ascii="標楷體" w:eastAsia="標楷體" w:hAnsi="標楷體"/>
          <w:bCs/>
          <w:color w:val="000000"/>
        </w:rPr>
        <w:t>(如</w:t>
      </w:r>
      <w:proofErr w:type="spellStart"/>
      <w:r w:rsidR="009D02BD">
        <w:rPr>
          <w:rFonts w:ascii="標楷體" w:eastAsia="標楷體" w:hAnsi="標楷體"/>
          <w:bCs/>
          <w:color w:val="000000"/>
        </w:rPr>
        <w:t>Rinvoq</w:t>
      </w:r>
      <w:proofErr w:type="spellEnd"/>
      <w:r w:rsidR="009D02BD">
        <w:rPr>
          <w:rFonts w:ascii="標楷體" w:eastAsia="標楷體" w:hAnsi="標楷體"/>
          <w:bCs/>
          <w:color w:val="000000"/>
        </w:rPr>
        <w:t>) (105/9/1、105/10/1、106/10/1、107/8/1、108/10/1、111/3/1、111/6/1、112/8/1、113/7/1、113/11/1、114/8/1、114/9/1)：用於潰瘍性結腸炎治療部分</w:t>
      </w:r>
    </w:p>
    <w:p w14:paraId="2BF21133" w14:textId="77777777" w:rsidR="009D02BD" w:rsidRDefault="00BD554D" w:rsidP="009D02BD">
      <w:pPr>
        <w:ind w:left="571" w:hanging="245"/>
        <w:rPr>
          <w:rFonts w:ascii="標楷體" w:eastAsia="標楷體" w:hAnsi="標楷體"/>
          <w:bCs/>
          <w:color w:val="000000"/>
        </w:rPr>
      </w:pPr>
      <w:r>
        <w:rPr>
          <w:rFonts w:ascii="標楷體" w:eastAsia="標楷體" w:hAnsi="標楷體"/>
          <w:bCs/>
          <w:color w:val="000000"/>
        </w:rPr>
        <w:t>8.2.4.9.1.</w:t>
      </w:r>
      <w:r w:rsidR="009D02BD" w:rsidRPr="009D02BD">
        <w:rPr>
          <w:rFonts w:ascii="標楷體" w:eastAsia="標楷體" w:hAnsi="標楷體"/>
          <w:bCs/>
          <w:color w:val="000000"/>
        </w:rPr>
        <w:t xml:space="preserve"> </w:t>
      </w:r>
      <w:r w:rsidR="009D02BD">
        <w:rPr>
          <w:rFonts w:ascii="標楷體" w:eastAsia="標楷體" w:hAnsi="標楷體"/>
          <w:bCs/>
          <w:color w:val="000000"/>
        </w:rPr>
        <w:t xml:space="preserve">Golimumab(如Simponi)、Adalimumab（如Humira）、Vedolizumab（如Entyvio）、infliximab（如Remicade）、tofacitinib(如Xeljanz) </w:t>
      </w:r>
      <w:proofErr w:type="spellStart"/>
      <w:r w:rsidR="009D02BD">
        <w:rPr>
          <w:rFonts w:ascii="標楷體" w:eastAsia="標楷體" w:hAnsi="標楷體"/>
          <w:bCs/>
          <w:color w:val="000000"/>
        </w:rPr>
        <w:t>ustekinumab</w:t>
      </w:r>
      <w:proofErr w:type="spellEnd"/>
      <w:r w:rsidR="009D02BD">
        <w:rPr>
          <w:rFonts w:ascii="標楷體" w:eastAsia="標楷體" w:hAnsi="標楷體"/>
          <w:bCs/>
          <w:color w:val="000000"/>
        </w:rPr>
        <w:t>(如Stelara)、</w:t>
      </w:r>
      <w:proofErr w:type="spellStart"/>
      <w:r w:rsidR="009D02BD">
        <w:rPr>
          <w:rFonts w:ascii="標楷體" w:eastAsia="標楷體" w:hAnsi="標楷體"/>
          <w:bCs/>
          <w:color w:val="000000"/>
        </w:rPr>
        <w:t>upadacitinib</w:t>
      </w:r>
      <w:proofErr w:type="spellEnd"/>
      <w:r w:rsidR="009D02BD">
        <w:rPr>
          <w:rFonts w:ascii="標楷體" w:eastAsia="標楷體" w:hAnsi="標楷體"/>
          <w:bCs/>
          <w:color w:val="000000"/>
        </w:rPr>
        <w:t>(如</w:t>
      </w:r>
      <w:proofErr w:type="spellStart"/>
      <w:r w:rsidR="009D02BD">
        <w:rPr>
          <w:rFonts w:ascii="標楷體" w:eastAsia="標楷體" w:hAnsi="標楷體"/>
          <w:bCs/>
          <w:color w:val="000000"/>
        </w:rPr>
        <w:t>Rinvoq</w:t>
      </w:r>
      <w:proofErr w:type="spellEnd"/>
      <w:r w:rsidR="009D02BD">
        <w:rPr>
          <w:rFonts w:ascii="標楷體" w:eastAsia="標楷體" w:hAnsi="標楷體"/>
          <w:bCs/>
          <w:color w:val="000000"/>
        </w:rPr>
        <w:t>)(105/9/1、105/10/1、106/10/1、107/8/1、108/10/1、111/3/1、111/6/1、112/8/1、113/7/1、113/11/1、114/8/</w:t>
      </w:r>
      <w:r w:rsidR="009D02BD" w:rsidRPr="00803EE0">
        <w:rPr>
          <w:rFonts w:ascii="標楷體" w:eastAsia="標楷體" w:hAnsi="標楷體"/>
          <w:bCs/>
          <w:color w:val="000000"/>
        </w:rPr>
        <w:t>1</w:t>
      </w:r>
      <w:r w:rsidR="0071587C" w:rsidRPr="00803EE0">
        <w:rPr>
          <w:rFonts w:ascii="標楷體" w:eastAsia="標楷體" w:hAnsi="標楷體"/>
          <w:bCs/>
          <w:color w:val="000000"/>
        </w:rPr>
        <w:t>、114/</w:t>
      </w:r>
      <w:r w:rsidR="0071587C" w:rsidRPr="00803EE0">
        <w:rPr>
          <w:rFonts w:ascii="標楷體" w:eastAsia="標楷體" w:hAnsi="標楷體" w:hint="eastAsia"/>
          <w:bCs/>
          <w:color w:val="000000"/>
        </w:rPr>
        <w:t>9</w:t>
      </w:r>
      <w:r w:rsidR="0071587C" w:rsidRPr="00803EE0">
        <w:rPr>
          <w:rFonts w:ascii="標楷體" w:eastAsia="標楷體" w:hAnsi="標楷體"/>
          <w:bCs/>
          <w:color w:val="000000"/>
        </w:rPr>
        <w:t>/1</w:t>
      </w:r>
      <w:r w:rsidR="009D02BD">
        <w:rPr>
          <w:rFonts w:ascii="標楷體" w:eastAsia="標楷體" w:hAnsi="標楷體"/>
          <w:bCs/>
          <w:color w:val="000000"/>
        </w:rPr>
        <w:t>)：成人治療部分</w:t>
      </w:r>
    </w:p>
    <w:p w14:paraId="008A8F33"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1.限具有消化系專科證書者處方。</w:t>
      </w:r>
    </w:p>
    <w:p w14:paraId="5EA43772"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2.須經事前審查核准後使用。</w:t>
      </w:r>
    </w:p>
    <w:p w14:paraId="5CEFF8C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3.須經診斷為成人潰瘍性結腸炎，並符合下列條件之</w:t>
      </w:r>
      <w:proofErr w:type="gramStart"/>
      <w:r>
        <w:rPr>
          <w:rFonts w:ascii="標楷體" w:eastAsia="標楷體" w:hAnsi="標楷體"/>
          <w:bCs/>
          <w:color w:val="000000"/>
        </w:rPr>
        <w:t>一</w:t>
      </w:r>
      <w:proofErr w:type="gramEnd"/>
      <w:r>
        <w:rPr>
          <w:rFonts w:ascii="標楷體" w:eastAsia="標楷體" w:hAnsi="標楷體"/>
          <w:bCs/>
          <w:color w:val="000000"/>
        </w:rPr>
        <w:t>：</w:t>
      </w:r>
    </w:p>
    <w:p w14:paraId="7D2843A8" w14:textId="77777777" w:rsidR="009D02BD" w:rsidRDefault="009D02BD" w:rsidP="009D02BD">
      <w:pPr>
        <w:ind w:left="1090" w:hanging="245"/>
        <w:rPr>
          <w:rFonts w:ascii="標楷體" w:eastAsia="標楷體" w:hAnsi="標楷體"/>
          <w:bCs/>
          <w:color w:val="000000"/>
        </w:rPr>
      </w:pPr>
      <w:r>
        <w:rPr>
          <w:rFonts w:ascii="標楷體" w:eastAsia="標楷體" w:hAnsi="標楷體"/>
          <w:bCs/>
          <w:color w:val="000000"/>
        </w:rPr>
        <w:t>(1)同時符合下列條件：</w:t>
      </w:r>
    </w:p>
    <w:p w14:paraId="0CB881EA"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Ⅰ.領有潰瘍性結腸炎重大傷病卡（直腸型排除）。</w:t>
      </w:r>
    </w:p>
    <w:p w14:paraId="1D5CA77B"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Ⅱ.經5-aminosalicylic acid藥物(如sulfasalazine、mesalamine或</w:t>
      </w:r>
      <w:proofErr w:type="spellStart"/>
      <w:r>
        <w:rPr>
          <w:rFonts w:ascii="標楷體" w:eastAsia="標楷體" w:hAnsi="標楷體"/>
          <w:bCs/>
          <w:color w:val="000000"/>
        </w:rPr>
        <w:t>balsalazide</w:t>
      </w:r>
      <w:proofErr w:type="spellEnd"/>
      <w:r>
        <w:rPr>
          <w:rFonts w:ascii="標楷體" w:eastAsia="標楷體" w:hAnsi="標楷體"/>
          <w:bCs/>
          <w:color w:val="000000"/>
        </w:rPr>
        <w:t>)、類固醇、及免疫調節劑(如azathioprine或6-mercaptopurine)充分治療無效(須有病歷完整記載用藥史，連續治療達6個月以上)，或對5-aminosalicylic acid藥物、免疫調節劑產生嚴重藥物副作用。</w:t>
      </w:r>
    </w:p>
    <w:p w14:paraId="0691D960" w14:textId="77777777" w:rsidR="009D02BD" w:rsidRDefault="009D02BD" w:rsidP="009D02BD">
      <w:pPr>
        <w:ind w:left="1515" w:hanging="245"/>
        <w:rPr>
          <w:rFonts w:ascii="標楷體" w:eastAsia="標楷體" w:hAnsi="標楷體"/>
          <w:bCs/>
          <w:color w:val="000000"/>
        </w:rPr>
      </w:pPr>
      <w:proofErr w:type="spellStart"/>
      <w:r>
        <w:rPr>
          <w:rFonts w:ascii="標楷體" w:eastAsia="標楷體" w:hAnsi="標楷體"/>
          <w:bCs/>
          <w:color w:val="000000"/>
        </w:rPr>
        <w:t>Ⅲ.Mayo</w:t>
      </w:r>
      <w:proofErr w:type="spellEnd"/>
      <w:r>
        <w:rPr>
          <w:rFonts w:ascii="標楷體" w:eastAsia="標楷體" w:hAnsi="標楷體"/>
          <w:bCs/>
          <w:color w:val="000000"/>
        </w:rPr>
        <w:t xml:space="preserve"> score </w:t>
      </w:r>
      <w:proofErr w:type="gramStart"/>
      <w:r>
        <w:rPr>
          <w:rFonts w:ascii="標楷體" w:eastAsia="標楷體" w:hAnsi="標楷體"/>
          <w:bCs/>
          <w:color w:val="000000"/>
        </w:rPr>
        <w:t>≧</w:t>
      </w:r>
      <w:proofErr w:type="gramEnd"/>
      <w:r>
        <w:rPr>
          <w:rFonts w:ascii="標楷體" w:eastAsia="標楷體" w:hAnsi="標楷體"/>
          <w:bCs/>
          <w:color w:val="000000"/>
        </w:rPr>
        <w:t xml:space="preserve">9分且Mayo Endoscopic </w:t>
      </w:r>
      <w:proofErr w:type="spellStart"/>
      <w:r>
        <w:rPr>
          <w:rFonts w:ascii="標楷體" w:eastAsia="標楷體" w:hAnsi="標楷體"/>
          <w:bCs/>
          <w:color w:val="000000"/>
        </w:rPr>
        <w:t>subscore</w:t>
      </w:r>
      <w:proofErr w:type="spellEnd"/>
      <w:r>
        <w:rPr>
          <w:rFonts w:ascii="標楷體" w:eastAsia="標楷體" w:hAnsi="標楷體"/>
          <w:bCs/>
          <w:color w:val="000000"/>
        </w:rPr>
        <w:t xml:space="preserve"> </w:t>
      </w:r>
      <w:proofErr w:type="gramStart"/>
      <w:r>
        <w:rPr>
          <w:rFonts w:ascii="標楷體" w:eastAsia="標楷體" w:hAnsi="標楷體"/>
          <w:bCs/>
          <w:color w:val="000000"/>
        </w:rPr>
        <w:t>≧</w:t>
      </w:r>
      <w:proofErr w:type="gramEnd"/>
      <w:r>
        <w:rPr>
          <w:rFonts w:ascii="標楷體" w:eastAsia="標楷體" w:hAnsi="標楷體"/>
          <w:bCs/>
          <w:color w:val="000000"/>
        </w:rPr>
        <w:t>2分(需檢附兩個月內之大腸鏡報告，內含可供辨識之彩色照片)。</w:t>
      </w:r>
    </w:p>
    <w:p w14:paraId="244CFA7D" w14:textId="77777777" w:rsidR="009D02BD" w:rsidRDefault="009D02BD" w:rsidP="009D02BD">
      <w:pPr>
        <w:ind w:left="1090" w:hanging="245"/>
        <w:rPr>
          <w:rFonts w:ascii="標楷體" w:eastAsia="標楷體" w:hAnsi="標楷體"/>
          <w:bCs/>
          <w:color w:val="000000"/>
        </w:rPr>
      </w:pPr>
      <w:r>
        <w:rPr>
          <w:rFonts w:ascii="標楷體" w:eastAsia="標楷體" w:hAnsi="標楷體"/>
          <w:bCs/>
          <w:color w:val="000000"/>
        </w:rPr>
        <w:t>(2)急性嚴重的潰瘍性結腸炎，同時符合下列四要件:</w:t>
      </w:r>
    </w:p>
    <w:p w14:paraId="3832533E"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Ⅰ.內視鏡下符合潰瘍性結腸炎。</w:t>
      </w:r>
    </w:p>
    <w:p w14:paraId="7DB05673"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lastRenderedPageBreak/>
        <w:t>Ⅱ.病理切片排除巨細胞病毒腸炎、阿米巴結腸炎、淋巴癌。</w:t>
      </w:r>
    </w:p>
    <w:p w14:paraId="70F16D50"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Ⅲ.糞便檢測排除</w:t>
      </w:r>
      <w:proofErr w:type="gramStart"/>
      <w:r>
        <w:rPr>
          <w:rFonts w:ascii="標楷體" w:eastAsia="標楷體" w:hAnsi="標楷體"/>
          <w:bCs/>
          <w:color w:val="000000"/>
        </w:rPr>
        <w:t>困難梭狀</w:t>
      </w:r>
      <w:proofErr w:type="gramEnd"/>
      <w:r>
        <w:rPr>
          <w:rFonts w:ascii="標楷體" w:eastAsia="標楷體" w:hAnsi="標楷體"/>
          <w:bCs/>
          <w:color w:val="000000"/>
        </w:rPr>
        <w:t>桿菌感染。</w:t>
      </w:r>
    </w:p>
    <w:p w14:paraId="78FB99DC" w14:textId="77777777" w:rsidR="009D02BD" w:rsidRDefault="009D02BD" w:rsidP="009D02BD">
      <w:pPr>
        <w:ind w:left="1515" w:hanging="245"/>
        <w:rPr>
          <w:rFonts w:ascii="標楷體" w:eastAsia="標楷體" w:hAnsi="標楷體"/>
          <w:bCs/>
          <w:color w:val="000000"/>
        </w:rPr>
      </w:pPr>
      <w:proofErr w:type="spellStart"/>
      <w:r>
        <w:rPr>
          <w:rFonts w:ascii="標楷體" w:eastAsia="標楷體" w:hAnsi="標楷體"/>
          <w:bCs/>
          <w:color w:val="000000"/>
        </w:rPr>
        <w:t>Ⅳ.Mayo</w:t>
      </w:r>
      <w:proofErr w:type="spellEnd"/>
      <w:r>
        <w:rPr>
          <w:rFonts w:ascii="標楷體" w:eastAsia="標楷體" w:hAnsi="標楷體"/>
          <w:bCs/>
          <w:color w:val="000000"/>
        </w:rPr>
        <w:t xml:space="preserve"> Score為12分，經類固醇全劑量靜脈注射(如methylprednisolone 40-60mg/day等)連續治療5天無效。</w:t>
      </w:r>
    </w:p>
    <w:p w14:paraId="674A7A3D" w14:textId="77777777" w:rsidR="009D02BD" w:rsidRDefault="009D02BD" w:rsidP="00204B75">
      <w:pPr>
        <w:ind w:left="811" w:hanging="245"/>
        <w:rPr>
          <w:rFonts w:ascii="標楷體" w:eastAsia="標楷體" w:hAnsi="標楷體"/>
          <w:bCs/>
          <w:color w:val="000000"/>
        </w:rPr>
      </w:pPr>
      <w:r>
        <w:rPr>
          <w:rFonts w:ascii="標楷體" w:eastAsia="標楷體" w:hAnsi="標楷體"/>
          <w:bCs/>
          <w:color w:val="000000"/>
        </w:rPr>
        <w:t>4.療效評估與繼續使用：</w:t>
      </w:r>
    </w:p>
    <w:p w14:paraId="2F4076F7" w14:textId="77777777" w:rsidR="009D02BD" w:rsidRDefault="009D02BD" w:rsidP="009D02BD">
      <w:pPr>
        <w:ind w:left="991" w:hanging="386"/>
        <w:rPr>
          <w:rFonts w:ascii="標楷體" w:eastAsia="標楷體" w:hAnsi="標楷體"/>
          <w:bCs/>
          <w:color w:val="000000"/>
        </w:rPr>
      </w:pPr>
      <w:r>
        <w:rPr>
          <w:rFonts w:ascii="標楷體" w:eastAsia="標楷體" w:hAnsi="標楷體"/>
          <w:bCs/>
          <w:color w:val="000000"/>
        </w:rPr>
        <w:t>(1)初次申請：golimumab以2</w:t>
      </w:r>
      <w:proofErr w:type="gramStart"/>
      <w:r>
        <w:rPr>
          <w:rFonts w:ascii="標楷體" w:eastAsia="標楷體" w:hAnsi="標楷體"/>
          <w:bCs/>
          <w:color w:val="000000"/>
        </w:rPr>
        <w:t>週</w:t>
      </w:r>
      <w:proofErr w:type="gramEnd"/>
      <w:r>
        <w:rPr>
          <w:rFonts w:ascii="標楷體" w:eastAsia="標楷體" w:hAnsi="標楷體"/>
          <w:bCs/>
          <w:color w:val="000000"/>
        </w:rPr>
        <w:t>(使用2劑)、adalimumab以6</w:t>
      </w:r>
      <w:proofErr w:type="gramStart"/>
      <w:r>
        <w:rPr>
          <w:rFonts w:ascii="標楷體" w:eastAsia="標楷體" w:hAnsi="標楷體"/>
          <w:bCs/>
          <w:color w:val="000000"/>
        </w:rPr>
        <w:t>週</w:t>
      </w:r>
      <w:proofErr w:type="gramEnd"/>
      <w:r>
        <w:rPr>
          <w:rFonts w:ascii="標楷體" w:eastAsia="標楷體" w:hAnsi="標楷體"/>
          <w:bCs/>
          <w:color w:val="000000"/>
        </w:rPr>
        <w:t>(使用4劑)、vedolizumab 6</w:t>
      </w:r>
      <w:proofErr w:type="gramStart"/>
      <w:r>
        <w:rPr>
          <w:rFonts w:ascii="標楷體" w:eastAsia="標楷體" w:hAnsi="標楷體"/>
          <w:bCs/>
          <w:color w:val="000000"/>
        </w:rPr>
        <w:t>週</w:t>
      </w:r>
      <w:proofErr w:type="gramEnd"/>
      <w:r>
        <w:rPr>
          <w:rFonts w:ascii="標楷體" w:eastAsia="標楷體" w:hAnsi="標楷體"/>
          <w:bCs/>
          <w:color w:val="000000"/>
        </w:rPr>
        <w:t>(使用靜脈注射3劑為限)，或以2</w:t>
      </w:r>
      <w:proofErr w:type="gramStart"/>
      <w:r>
        <w:rPr>
          <w:rFonts w:ascii="標楷體" w:eastAsia="標楷體" w:hAnsi="標楷體"/>
          <w:bCs/>
          <w:color w:val="000000"/>
        </w:rPr>
        <w:t>週</w:t>
      </w:r>
      <w:proofErr w:type="gramEnd"/>
      <w:r>
        <w:rPr>
          <w:rFonts w:ascii="標楷體" w:eastAsia="標楷體" w:hAnsi="標楷體"/>
          <w:bCs/>
          <w:color w:val="000000"/>
        </w:rPr>
        <w:t>(使用靜脈注射2劑為限)、infliximab</w:t>
      </w:r>
      <w:r w:rsidRPr="004275B8">
        <w:rPr>
          <w:rFonts w:ascii="標楷體" w:eastAsia="標楷體" w:hAnsi="標楷體" w:hint="eastAsia"/>
          <w:bCs/>
          <w:color w:val="000000"/>
        </w:rPr>
        <w:t>以6</w:t>
      </w:r>
      <w:proofErr w:type="gramStart"/>
      <w:r w:rsidRPr="004275B8">
        <w:rPr>
          <w:rFonts w:ascii="標楷體" w:eastAsia="標楷體" w:hAnsi="標楷體" w:hint="eastAsia"/>
          <w:bCs/>
          <w:color w:val="000000"/>
        </w:rPr>
        <w:t>週</w:t>
      </w:r>
      <w:proofErr w:type="gramEnd"/>
      <w:r w:rsidRPr="004275B8">
        <w:rPr>
          <w:rFonts w:ascii="標楷體" w:eastAsia="標楷體" w:hAnsi="標楷體" w:hint="eastAsia"/>
          <w:bCs/>
          <w:color w:val="000000"/>
        </w:rPr>
        <w:t>(使用靜脈注射3劑為限) ，或以2</w:t>
      </w:r>
      <w:proofErr w:type="gramStart"/>
      <w:r w:rsidRPr="004275B8">
        <w:rPr>
          <w:rFonts w:ascii="標楷體" w:eastAsia="標楷體" w:hAnsi="標楷體" w:hint="eastAsia"/>
          <w:bCs/>
          <w:color w:val="000000"/>
        </w:rPr>
        <w:t>週</w:t>
      </w:r>
      <w:proofErr w:type="gramEnd"/>
      <w:r w:rsidRPr="004275B8">
        <w:rPr>
          <w:rFonts w:ascii="標楷體" w:eastAsia="標楷體" w:hAnsi="標楷體" w:hint="eastAsia"/>
          <w:bCs/>
          <w:color w:val="000000"/>
        </w:rPr>
        <w:t>(使用靜脈注射2劑為限)</w:t>
      </w:r>
      <w:r>
        <w:rPr>
          <w:rFonts w:ascii="標楷體" w:eastAsia="標楷體" w:hAnsi="標楷體"/>
          <w:bCs/>
          <w:color w:val="000000"/>
        </w:rPr>
        <w:t>、tofacitinib以8</w:t>
      </w:r>
      <w:proofErr w:type="gramStart"/>
      <w:r>
        <w:rPr>
          <w:rFonts w:ascii="標楷體" w:eastAsia="標楷體" w:hAnsi="標楷體"/>
          <w:bCs/>
          <w:color w:val="000000"/>
        </w:rPr>
        <w:t>週</w:t>
      </w:r>
      <w:proofErr w:type="gramEnd"/>
      <w:r>
        <w:rPr>
          <w:rFonts w:ascii="標楷體" w:eastAsia="標楷體" w:hAnsi="標楷體"/>
          <w:bCs/>
          <w:color w:val="000000"/>
        </w:rPr>
        <w:t>為限、</w:t>
      </w:r>
      <w:proofErr w:type="spellStart"/>
      <w:r>
        <w:rPr>
          <w:rFonts w:ascii="標楷體" w:eastAsia="標楷體" w:hAnsi="標楷體"/>
          <w:bCs/>
          <w:color w:val="000000"/>
        </w:rPr>
        <w:t>upadacitinib</w:t>
      </w:r>
      <w:proofErr w:type="spellEnd"/>
      <w:r>
        <w:rPr>
          <w:rFonts w:ascii="標楷體" w:eastAsia="標楷體" w:hAnsi="標楷體"/>
          <w:bCs/>
          <w:color w:val="000000"/>
        </w:rPr>
        <w:t>以8</w:t>
      </w:r>
      <w:proofErr w:type="gramStart"/>
      <w:r>
        <w:rPr>
          <w:rFonts w:ascii="標楷體" w:eastAsia="標楷體" w:hAnsi="標楷體"/>
          <w:bCs/>
          <w:color w:val="000000"/>
        </w:rPr>
        <w:t>週</w:t>
      </w:r>
      <w:proofErr w:type="gramEnd"/>
      <w:r>
        <w:rPr>
          <w:rFonts w:ascii="標楷體" w:eastAsia="標楷體" w:hAnsi="標楷體"/>
          <w:bCs/>
          <w:color w:val="000000"/>
        </w:rPr>
        <w:t>為限(且tofacitinib及</w:t>
      </w:r>
      <w:proofErr w:type="spellStart"/>
      <w:r>
        <w:rPr>
          <w:rFonts w:ascii="標楷體" w:eastAsia="標楷體" w:hAnsi="標楷體"/>
          <w:bCs/>
          <w:color w:val="000000"/>
        </w:rPr>
        <w:t>upadacitinib</w:t>
      </w:r>
      <w:proofErr w:type="spellEnd"/>
      <w:r>
        <w:rPr>
          <w:rFonts w:ascii="標楷體" w:eastAsia="標楷體" w:hAnsi="標楷體"/>
          <w:bCs/>
          <w:color w:val="000000"/>
        </w:rPr>
        <w:t>限用於其他生物製劑治療失敗或無法耐受之中至重度活動性潰瘍性結腸炎病人，另使用前應排除有血栓風險之病患，且不建議與azathioprine與cyclosporine合併使用) 、</w:t>
      </w:r>
      <w:proofErr w:type="spellStart"/>
      <w:r>
        <w:rPr>
          <w:rFonts w:ascii="標楷體" w:eastAsia="標楷體" w:hAnsi="標楷體"/>
          <w:bCs/>
          <w:color w:val="000000"/>
        </w:rPr>
        <w:t>ustekinumab</w:t>
      </w:r>
      <w:proofErr w:type="spellEnd"/>
      <w:r>
        <w:rPr>
          <w:rFonts w:ascii="標楷體" w:eastAsia="標楷體" w:hAnsi="標楷體"/>
          <w:bCs/>
          <w:color w:val="000000"/>
        </w:rPr>
        <w:t>以使用靜脈注射1劑為限，治療後達到臨床反應評估者(第一次續用評估採用partial Mayo score評估，相較於初次申請，partial Mayo score減少</w:t>
      </w:r>
      <w:proofErr w:type="gramStart"/>
      <w:r>
        <w:rPr>
          <w:rFonts w:ascii="標楷體" w:eastAsia="標楷體" w:hAnsi="標楷體"/>
          <w:bCs/>
          <w:color w:val="000000"/>
        </w:rPr>
        <w:t>≧</w:t>
      </w:r>
      <w:proofErr w:type="gramEnd"/>
      <w:r>
        <w:rPr>
          <w:rFonts w:ascii="標楷體" w:eastAsia="標楷體" w:hAnsi="標楷體"/>
          <w:bCs/>
          <w:color w:val="000000"/>
        </w:rPr>
        <w:t>2分且血便項</w:t>
      </w:r>
      <w:proofErr w:type="gramStart"/>
      <w:r>
        <w:rPr>
          <w:rFonts w:ascii="標楷體" w:eastAsia="標楷體" w:hAnsi="標楷體"/>
          <w:bCs/>
          <w:color w:val="000000"/>
        </w:rPr>
        <w:t>”</w:t>
      </w:r>
      <w:proofErr w:type="gramEnd"/>
      <w:r>
        <w:rPr>
          <w:rFonts w:ascii="標楷體" w:eastAsia="標楷體" w:hAnsi="標楷體"/>
          <w:bCs/>
          <w:color w:val="000000"/>
        </w:rPr>
        <w:t>rectal bleeding</w:t>
      </w:r>
      <w:proofErr w:type="gramStart"/>
      <w:r>
        <w:rPr>
          <w:rFonts w:ascii="標楷體" w:eastAsia="標楷體" w:hAnsi="標楷體"/>
          <w:bCs/>
          <w:color w:val="000000"/>
        </w:rPr>
        <w:t>”</w:t>
      </w:r>
      <w:proofErr w:type="gramEnd"/>
      <w:r>
        <w:rPr>
          <w:rFonts w:ascii="標楷體" w:eastAsia="標楷體" w:hAnsi="標楷體"/>
          <w:bCs/>
          <w:color w:val="000000"/>
        </w:rPr>
        <w:t>減少</w:t>
      </w:r>
      <w:proofErr w:type="gramStart"/>
      <w:r>
        <w:rPr>
          <w:rFonts w:ascii="標楷體" w:eastAsia="標楷體" w:hAnsi="標楷體"/>
          <w:bCs/>
          <w:color w:val="000000"/>
        </w:rPr>
        <w:t>≧</w:t>
      </w:r>
      <w:proofErr w:type="gramEnd"/>
      <w:r>
        <w:rPr>
          <w:rFonts w:ascii="標楷體" w:eastAsia="標楷體" w:hAnsi="標楷體"/>
          <w:bCs/>
          <w:color w:val="000000"/>
        </w:rPr>
        <w:t>1分以上。</w:t>
      </w:r>
      <w:proofErr w:type="gramStart"/>
      <w:r>
        <w:rPr>
          <w:rFonts w:ascii="標楷體" w:eastAsia="標楷體" w:hAnsi="標楷體"/>
          <w:bCs/>
          <w:color w:val="000000"/>
        </w:rPr>
        <w:t>)，</w:t>
      </w:r>
      <w:proofErr w:type="gramEnd"/>
      <w:r>
        <w:rPr>
          <w:rFonts w:ascii="標楷體" w:eastAsia="標楷體" w:hAnsi="標楷體"/>
          <w:bCs/>
          <w:color w:val="000000"/>
        </w:rPr>
        <w:t>方得申請第一次繼續使用。誘導緩解失敗者，得提出申請轉換他類生物製劑，然同一療程不得合併使用。(105/10/1、106/10/1、107/8/1、108/10/1、111/3/1、111/6/1、112/8/1、114/8/1、114/</w:t>
      </w:r>
      <w:r>
        <w:rPr>
          <w:rFonts w:ascii="標楷體" w:eastAsia="標楷體" w:hAnsi="標楷體" w:hint="eastAsia"/>
          <w:bCs/>
          <w:color w:val="000000"/>
        </w:rPr>
        <w:t>9</w:t>
      </w:r>
      <w:r>
        <w:rPr>
          <w:rFonts w:ascii="標楷體" w:eastAsia="標楷體" w:hAnsi="標楷體"/>
          <w:bCs/>
          <w:color w:val="000000"/>
        </w:rPr>
        <w:t>/1)</w:t>
      </w:r>
    </w:p>
    <w:p w14:paraId="57209E6C" w14:textId="77777777" w:rsidR="009D02BD" w:rsidRDefault="009D02BD" w:rsidP="009D02BD">
      <w:pPr>
        <w:ind w:left="991" w:hanging="386"/>
        <w:rPr>
          <w:rFonts w:ascii="標楷體" w:eastAsia="標楷體" w:hAnsi="標楷體"/>
          <w:bCs/>
          <w:color w:val="000000"/>
        </w:rPr>
      </w:pPr>
      <w:r>
        <w:rPr>
          <w:rFonts w:ascii="標楷體" w:eastAsia="標楷體" w:hAnsi="標楷體"/>
          <w:bCs/>
          <w:color w:val="000000"/>
        </w:rPr>
        <w:t>(2)繼續使用者：第一次續用評估</w:t>
      </w:r>
      <w:proofErr w:type="gramStart"/>
      <w:r>
        <w:rPr>
          <w:rFonts w:ascii="標楷體" w:eastAsia="標楷體" w:hAnsi="標楷體"/>
          <w:bCs/>
          <w:color w:val="000000"/>
        </w:rPr>
        <w:t>採</w:t>
      </w:r>
      <w:proofErr w:type="gramEnd"/>
      <w:r>
        <w:rPr>
          <w:rFonts w:ascii="標楷體" w:eastAsia="標楷體" w:hAnsi="標楷體"/>
          <w:bCs/>
          <w:color w:val="000000"/>
        </w:rPr>
        <w:t>Partial Mayo Score評估，最長24</w:t>
      </w:r>
      <w:proofErr w:type="gramStart"/>
      <w:r>
        <w:rPr>
          <w:rFonts w:ascii="標楷體" w:eastAsia="標楷體" w:hAnsi="標楷體"/>
          <w:bCs/>
          <w:color w:val="000000"/>
        </w:rPr>
        <w:t>週</w:t>
      </w:r>
      <w:proofErr w:type="gramEnd"/>
      <w:r>
        <w:rPr>
          <w:rFonts w:ascii="標楷體" w:eastAsia="標楷體" w:hAnsi="標楷體"/>
          <w:bCs/>
          <w:color w:val="000000"/>
        </w:rPr>
        <w:t>需再續用評估一次。第二次續用評估，必須Mayo Score</w:t>
      </w:r>
      <w:proofErr w:type="gramStart"/>
      <w:r>
        <w:rPr>
          <w:rFonts w:ascii="標楷體" w:eastAsia="標楷體" w:hAnsi="標楷體"/>
          <w:bCs/>
          <w:color w:val="000000"/>
        </w:rPr>
        <w:t>≦</w:t>
      </w:r>
      <w:proofErr w:type="gramEnd"/>
      <w:r>
        <w:rPr>
          <w:rFonts w:ascii="標楷體" w:eastAsia="標楷體" w:hAnsi="標楷體"/>
          <w:bCs/>
          <w:color w:val="000000"/>
        </w:rPr>
        <w:t xml:space="preserve"> 6分，且Mayo Endoscopic </w:t>
      </w:r>
      <w:proofErr w:type="spellStart"/>
      <w:r>
        <w:rPr>
          <w:rFonts w:ascii="標楷體" w:eastAsia="標楷體" w:hAnsi="標楷體"/>
          <w:bCs/>
          <w:color w:val="000000"/>
        </w:rPr>
        <w:t>subscore</w:t>
      </w:r>
      <w:proofErr w:type="spellEnd"/>
      <w:proofErr w:type="gramStart"/>
      <w:r>
        <w:rPr>
          <w:rFonts w:ascii="標楷體" w:eastAsia="標楷體" w:hAnsi="標楷體"/>
          <w:bCs/>
          <w:color w:val="000000"/>
        </w:rPr>
        <w:t>≦</w:t>
      </w:r>
      <w:proofErr w:type="gramEnd"/>
      <w:r>
        <w:rPr>
          <w:rFonts w:ascii="標楷體" w:eastAsia="標楷體" w:hAnsi="標楷體"/>
          <w:bCs/>
          <w:color w:val="000000"/>
        </w:rPr>
        <w:t xml:space="preserve"> 1分方可再申請繼續使用。</w:t>
      </w:r>
      <w:proofErr w:type="spellStart"/>
      <w:r>
        <w:rPr>
          <w:rFonts w:ascii="標楷體" w:eastAsia="標楷體" w:hAnsi="標楷體"/>
          <w:bCs/>
          <w:color w:val="000000"/>
        </w:rPr>
        <w:t>ustekinumab</w:t>
      </w:r>
      <w:proofErr w:type="spellEnd"/>
      <w:r>
        <w:rPr>
          <w:rFonts w:ascii="標楷體" w:eastAsia="標楷體" w:hAnsi="標楷體"/>
          <w:bCs/>
          <w:color w:val="000000"/>
        </w:rPr>
        <w:t>治療達到部分</w:t>
      </w:r>
      <w:proofErr w:type="gramStart"/>
      <w:r>
        <w:rPr>
          <w:rFonts w:ascii="標楷體" w:eastAsia="標楷體" w:hAnsi="標楷體"/>
          <w:bCs/>
          <w:color w:val="000000"/>
        </w:rPr>
        <w:t>有效緩解者</w:t>
      </w:r>
      <w:proofErr w:type="gramEnd"/>
      <w:r>
        <w:rPr>
          <w:rFonts w:ascii="標楷體" w:eastAsia="標楷體" w:hAnsi="標楷體"/>
          <w:bCs/>
          <w:color w:val="000000"/>
        </w:rPr>
        <w:t>，經消化系專科醫師評估後，得申請繼續使用，以每隔8</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給予皮下注射維持劑量90mg。Golimumab、adalimumab及tofacitinib繼續使用以24</w:t>
      </w:r>
      <w:proofErr w:type="gramStart"/>
      <w:r>
        <w:rPr>
          <w:rFonts w:ascii="標楷體" w:eastAsia="標楷體" w:hAnsi="標楷體"/>
          <w:bCs/>
          <w:color w:val="000000"/>
        </w:rPr>
        <w:t>週</w:t>
      </w:r>
      <w:proofErr w:type="gramEnd"/>
      <w:r>
        <w:rPr>
          <w:rFonts w:ascii="標楷體" w:eastAsia="標楷體" w:hAnsi="標楷體"/>
          <w:bCs/>
          <w:color w:val="000000"/>
        </w:rPr>
        <w:t>2次為限。Ustekinumab繼續使用以24</w:t>
      </w:r>
      <w:proofErr w:type="gramStart"/>
      <w:r>
        <w:rPr>
          <w:rFonts w:ascii="標楷體" w:eastAsia="標楷體" w:hAnsi="標楷體"/>
          <w:bCs/>
          <w:color w:val="000000"/>
        </w:rPr>
        <w:t>週</w:t>
      </w:r>
      <w:proofErr w:type="gramEnd"/>
      <w:r>
        <w:rPr>
          <w:rFonts w:ascii="標楷體" w:eastAsia="標楷體" w:hAnsi="標楷體"/>
          <w:bCs/>
          <w:color w:val="000000"/>
        </w:rPr>
        <w:t>2次或3次為限。Vedolizumab以24</w:t>
      </w:r>
      <w:proofErr w:type="gramStart"/>
      <w:r>
        <w:rPr>
          <w:rFonts w:ascii="標楷體" w:eastAsia="標楷體" w:hAnsi="標楷體"/>
          <w:bCs/>
          <w:color w:val="000000"/>
        </w:rPr>
        <w:t>週</w:t>
      </w:r>
      <w:proofErr w:type="gramEnd"/>
      <w:r>
        <w:rPr>
          <w:rFonts w:ascii="標楷體" w:eastAsia="標楷體" w:hAnsi="標楷體"/>
          <w:bCs/>
          <w:color w:val="000000"/>
        </w:rPr>
        <w:t>(使用靜脈注射3劑)或16</w:t>
      </w:r>
      <w:proofErr w:type="gramStart"/>
      <w:r>
        <w:rPr>
          <w:rFonts w:ascii="標楷體" w:eastAsia="標楷體" w:hAnsi="標楷體"/>
          <w:bCs/>
          <w:color w:val="000000"/>
        </w:rPr>
        <w:t>週</w:t>
      </w:r>
      <w:proofErr w:type="gramEnd"/>
      <w:r>
        <w:rPr>
          <w:rFonts w:ascii="標楷體" w:eastAsia="標楷體" w:hAnsi="標楷體"/>
          <w:bCs/>
          <w:color w:val="000000"/>
        </w:rPr>
        <w:t>(使用靜脈注射2劑) ，或第6</w:t>
      </w:r>
      <w:proofErr w:type="gramStart"/>
      <w:r>
        <w:rPr>
          <w:rFonts w:ascii="標楷體" w:eastAsia="標楷體" w:hAnsi="標楷體"/>
          <w:bCs/>
          <w:color w:val="000000"/>
        </w:rPr>
        <w:t>週</w:t>
      </w:r>
      <w:proofErr w:type="gramEnd"/>
      <w:r>
        <w:rPr>
          <w:rFonts w:ascii="標楷體" w:eastAsia="標楷體" w:hAnsi="標楷體"/>
          <w:bCs/>
          <w:color w:val="000000"/>
        </w:rPr>
        <w:t>起，每24</w:t>
      </w:r>
      <w:proofErr w:type="gramStart"/>
      <w:r>
        <w:rPr>
          <w:rFonts w:ascii="標楷體" w:eastAsia="標楷體" w:hAnsi="標楷體"/>
          <w:bCs/>
          <w:color w:val="000000"/>
        </w:rPr>
        <w:t>週</w:t>
      </w:r>
      <w:proofErr w:type="gramEnd"/>
      <w:r>
        <w:rPr>
          <w:rFonts w:ascii="標楷體" w:eastAsia="標楷體" w:hAnsi="標楷體"/>
          <w:bCs/>
          <w:color w:val="000000"/>
        </w:rPr>
        <w:t>(使用皮下注射12劑)。infliximab</w:t>
      </w:r>
      <w:r w:rsidRPr="00240CE8">
        <w:rPr>
          <w:rFonts w:ascii="標楷體" w:eastAsia="標楷體" w:hAnsi="標楷體" w:hint="eastAsia"/>
          <w:bCs/>
          <w:color w:val="000000"/>
        </w:rPr>
        <w:t>繼續使用以24</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(使用靜脈注射3劑)或 16</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(使用靜脈注射2劑)為限，或第6</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起，每24</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(使用皮下注射12劑)。</w:t>
      </w:r>
      <w:r>
        <w:rPr>
          <w:rFonts w:ascii="標楷體" w:eastAsia="標楷體" w:hAnsi="標楷體"/>
          <w:bCs/>
          <w:color w:val="000000"/>
        </w:rPr>
        <w:t>Upadacitinib繼續使用以24</w:t>
      </w:r>
      <w:proofErr w:type="gramStart"/>
      <w:r>
        <w:rPr>
          <w:rFonts w:ascii="標楷體" w:eastAsia="標楷體" w:hAnsi="標楷體"/>
          <w:bCs/>
          <w:color w:val="000000"/>
        </w:rPr>
        <w:t>週</w:t>
      </w:r>
      <w:proofErr w:type="gramEnd"/>
      <w:r>
        <w:rPr>
          <w:rFonts w:ascii="標楷體" w:eastAsia="標楷體" w:hAnsi="標楷體"/>
          <w:bCs/>
          <w:color w:val="000000"/>
        </w:rPr>
        <w:t>為限。（106/10/1、107/8/1、108/10/1、111/3/1、111/6/1、112/8/1、113/11/1、114/8/1、114/</w:t>
      </w:r>
      <w:r>
        <w:rPr>
          <w:rFonts w:ascii="標楷體" w:eastAsia="標楷體" w:hAnsi="標楷體" w:hint="eastAsia"/>
          <w:bCs/>
          <w:color w:val="000000"/>
        </w:rPr>
        <w:t>9</w:t>
      </w:r>
      <w:r>
        <w:rPr>
          <w:rFonts w:ascii="標楷體" w:eastAsia="標楷體" w:hAnsi="標楷體"/>
          <w:bCs/>
          <w:color w:val="000000"/>
        </w:rPr>
        <w:t>/1）</w:t>
      </w:r>
    </w:p>
    <w:p w14:paraId="196A7405" w14:textId="77777777" w:rsidR="009D02BD" w:rsidRDefault="009D02BD" w:rsidP="00204B75">
      <w:pPr>
        <w:ind w:left="811" w:hanging="245"/>
        <w:rPr>
          <w:rFonts w:ascii="標楷體" w:eastAsia="標楷體" w:hAnsi="標楷體"/>
          <w:bCs/>
          <w:color w:val="000000"/>
        </w:rPr>
      </w:pPr>
      <w:r>
        <w:rPr>
          <w:rFonts w:ascii="標楷體" w:eastAsia="標楷體" w:hAnsi="標楷體"/>
          <w:bCs/>
          <w:color w:val="000000"/>
        </w:rPr>
        <w:t>5.劑量給予方式及總療程：</w:t>
      </w:r>
    </w:p>
    <w:p w14:paraId="23F1B50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(1) Golimumab：</w:t>
      </w:r>
    </w:p>
    <w:p w14:paraId="0ABB1694" w14:textId="77777777" w:rsidR="009D02BD" w:rsidRDefault="009D02BD" w:rsidP="009D02BD">
      <w:pPr>
        <w:ind w:left="1416" w:hanging="386"/>
        <w:rPr>
          <w:rFonts w:ascii="標楷體" w:eastAsia="標楷體" w:hAnsi="標楷體"/>
          <w:bCs/>
          <w:color w:val="000000"/>
        </w:rPr>
      </w:pPr>
      <w:r>
        <w:rPr>
          <w:rFonts w:ascii="標楷體" w:eastAsia="標楷體" w:hAnsi="標楷體"/>
          <w:bCs/>
          <w:color w:val="000000"/>
        </w:rPr>
        <w:t>Ⅰ.最初第一劑200mg，兩</w:t>
      </w:r>
      <w:proofErr w:type="gramStart"/>
      <w:r>
        <w:rPr>
          <w:rFonts w:ascii="標楷體" w:eastAsia="標楷體" w:hAnsi="標楷體"/>
          <w:bCs/>
          <w:color w:val="000000"/>
        </w:rPr>
        <w:t>週</w:t>
      </w:r>
      <w:proofErr w:type="gramEnd"/>
      <w:r>
        <w:rPr>
          <w:rFonts w:ascii="標楷體" w:eastAsia="標楷體" w:hAnsi="標楷體"/>
          <w:bCs/>
          <w:color w:val="000000"/>
        </w:rPr>
        <w:t>後第二劑100mg，作為緩解之誘導；有效患者之後每隔4</w:t>
      </w:r>
      <w:proofErr w:type="gramStart"/>
      <w:r>
        <w:rPr>
          <w:rFonts w:ascii="標楷體" w:eastAsia="標楷體" w:hAnsi="標楷體"/>
          <w:bCs/>
          <w:color w:val="000000"/>
        </w:rPr>
        <w:t>週</w:t>
      </w:r>
      <w:proofErr w:type="gramEnd"/>
      <w:r>
        <w:rPr>
          <w:rFonts w:ascii="標楷體" w:eastAsia="標楷體" w:hAnsi="標楷體"/>
          <w:bCs/>
          <w:color w:val="000000"/>
        </w:rPr>
        <w:t>給予維持劑量50mg(體重大於80公斤病患，每隔4</w:t>
      </w:r>
      <w:proofErr w:type="gramStart"/>
      <w:r>
        <w:rPr>
          <w:rFonts w:ascii="標楷體" w:eastAsia="標楷體" w:hAnsi="標楷體"/>
          <w:bCs/>
          <w:color w:val="000000"/>
        </w:rPr>
        <w:t>週</w:t>
      </w:r>
      <w:proofErr w:type="gramEnd"/>
      <w:r>
        <w:rPr>
          <w:rFonts w:ascii="標楷體" w:eastAsia="標楷體" w:hAnsi="標楷體"/>
          <w:bCs/>
          <w:color w:val="000000"/>
        </w:rPr>
        <w:t>100mg)，至多持續至50</w:t>
      </w:r>
      <w:proofErr w:type="gramStart"/>
      <w:r>
        <w:rPr>
          <w:rFonts w:ascii="標楷體" w:eastAsia="標楷體" w:hAnsi="標楷體"/>
          <w:bCs/>
          <w:color w:val="000000"/>
        </w:rPr>
        <w:t>週</w:t>
      </w:r>
      <w:proofErr w:type="gramEnd"/>
      <w:r>
        <w:rPr>
          <w:rFonts w:ascii="標楷體" w:eastAsia="標楷體" w:hAnsi="標楷體"/>
          <w:bCs/>
          <w:color w:val="000000"/>
        </w:rPr>
        <w:t>(使用14劑)，作為緩解之維持。(106/10/1、108/10/1)</w:t>
      </w:r>
    </w:p>
    <w:p w14:paraId="465DEC5B" w14:textId="77777777" w:rsidR="009D02BD" w:rsidRDefault="009D02BD" w:rsidP="009D02BD">
      <w:pPr>
        <w:ind w:left="1275" w:hanging="245"/>
        <w:rPr>
          <w:rFonts w:ascii="標楷體" w:eastAsia="標楷體" w:hAnsi="標楷體"/>
          <w:bCs/>
          <w:color w:val="000000"/>
        </w:rPr>
      </w:pPr>
      <w:r>
        <w:rPr>
          <w:rFonts w:ascii="標楷體" w:eastAsia="標楷體" w:hAnsi="標楷體"/>
          <w:bCs/>
          <w:color w:val="000000"/>
        </w:rPr>
        <w:t>Ⅱ.若使用劑量為100mg（含）以上，限使用100mg(1mL)規格量。</w:t>
      </w:r>
    </w:p>
    <w:p w14:paraId="1C412891" w14:textId="77777777" w:rsidR="009D02BD" w:rsidRDefault="009D02BD" w:rsidP="009D02BD">
      <w:pPr>
        <w:ind w:left="991" w:hanging="425"/>
        <w:rPr>
          <w:rFonts w:ascii="標楷體" w:eastAsia="標楷體" w:hAnsi="標楷體"/>
          <w:bCs/>
          <w:color w:val="000000"/>
        </w:rPr>
      </w:pPr>
      <w:r>
        <w:rPr>
          <w:rFonts w:ascii="標楷體" w:eastAsia="標楷體" w:hAnsi="標楷體"/>
          <w:bCs/>
          <w:color w:val="000000"/>
        </w:rPr>
        <w:t>(2) Adalimumab：最初第一劑160mg，兩</w:t>
      </w:r>
      <w:proofErr w:type="gramStart"/>
      <w:r>
        <w:rPr>
          <w:rFonts w:ascii="標楷體" w:eastAsia="標楷體" w:hAnsi="標楷體"/>
          <w:bCs/>
          <w:color w:val="000000"/>
        </w:rPr>
        <w:t>週</w:t>
      </w:r>
      <w:proofErr w:type="gramEnd"/>
      <w:r>
        <w:rPr>
          <w:rFonts w:ascii="標楷體" w:eastAsia="標楷體" w:hAnsi="標楷體"/>
          <w:bCs/>
          <w:color w:val="000000"/>
        </w:rPr>
        <w:t>後第二劑80mg，第四</w:t>
      </w:r>
      <w:proofErr w:type="gramStart"/>
      <w:r>
        <w:rPr>
          <w:rFonts w:ascii="標楷體" w:eastAsia="標楷體" w:hAnsi="標楷體"/>
          <w:bCs/>
          <w:color w:val="000000"/>
        </w:rPr>
        <w:t>週</w:t>
      </w:r>
      <w:proofErr w:type="gramEnd"/>
      <w:r>
        <w:rPr>
          <w:rFonts w:ascii="標楷體" w:eastAsia="標楷體" w:hAnsi="標楷體"/>
          <w:bCs/>
          <w:color w:val="000000"/>
        </w:rPr>
        <w:t>之第三劑及第六</w:t>
      </w:r>
      <w:proofErr w:type="gramStart"/>
      <w:r>
        <w:rPr>
          <w:rFonts w:ascii="標楷體" w:eastAsia="標楷體" w:hAnsi="標楷體"/>
          <w:bCs/>
          <w:color w:val="000000"/>
        </w:rPr>
        <w:t>週</w:t>
      </w:r>
      <w:proofErr w:type="gramEnd"/>
      <w:r>
        <w:rPr>
          <w:rFonts w:ascii="標楷體" w:eastAsia="標楷體" w:hAnsi="標楷體"/>
          <w:bCs/>
          <w:color w:val="000000"/>
        </w:rPr>
        <w:t>之第四劑40mg，作為緩解之誘導；之後每隔兩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給予維持劑量40mg，至多持續至54</w:t>
      </w:r>
      <w:proofErr w:type="gramStart"/>
      <w:r>
        <w:rPr>
          <w:rFonts w:ascii="標楷體" w:eastAsia="標楷體" w:hAnsi="標楷體"/>
          <w:bCs/>
          <w:color w:val="000000"/>
        </w:rPr>
        <w:t>週</w:t>
      </w:r>
      <w:proofErr w:type="gramEnd"/>
      <w:r>
        <w:rPr>
          <w:rFonts w:ascii="標楷體" w:eastAsia="標楷體" w:hAnsi="標楷體"/>
          <w:bCs/>
          <w:color w:val="000000"/>
        </w:rPr>
        <w:t>(使用28劑)，作為緩解之維持。(105/10/1、106/10/1、108/10/1)</w:t>
      </w:r>
    </w:p>
    <w:p w14:paraId="0ABDFD6C" w14:textId="77777777" w:rsidR="009D02BD" w:rsidRDefault="009D02BD" w:rsidP="009D02BD">
      <w:pPr>
        <w:ind w:left="811" w:hanging="245"/>
      </w:pPr>
      <w:r>
        <w:rPr>
          <w:rFonts w:ascii="標楷體" w:eastAsia="標楷體" w:hAnsi="標楷體"/>
          <w:bCs/>
          <w:color w:val="000000"/>
        </w:rPr>
        <w:t>(3)</w:t>
      </w:r>
      <w:r>
        <w:t xml:space="preserve"> </w:t>
      </w:r>
      <w:r>
        <w:rPr>
          <w:rFonts w:ascii="標楷體" w:eastAsia="標楷體" w:hAnsi="標楷體"/>
          <w:bCs/>
          <w:color w:val="000000"/>
        </w:rPr>
        <w:t>Vedolizumab：靜脈注射最初第一劑300mg，兩</w:t>
      </w:r>
      <w:proofErr w:type="gramStart"/>
      <w:r>
        <w:rPr>
          <w:rFonts w:ascii="標楷體" w:eastAsia="標楷體" w:hAnsi="標楷體"/>
          <w:bCs/>
          <w:color w:val="000000"/>
        </w:rPr>
        <w:t>週</w:t>
      </w:r>
      <w:proofErr w:type="gramEnd"/>
      <w:r>
        <w:rPr>
          <w:rFonts w:ascii="標楷體" w:eastAsia="標楷體" w:hAnsi="標楷體"/>
          <w:bCs/>
          <w:color w:val="000000"/>
        </w:rPr>
        <w:t>後第二劑300mg，第六</w:t>
      </w:r>
      <w:proofErr w:type="gramStart"/>
      <w:r>
        <w:rPr>
          <w:rFonts w:ascii="標楷體" w:eastAsia="標楷體" w:hAnsi="標楷體"/>
          <w:bCs/>
          <w:color w:val="000000"/>
        </w:rPr>
        <w:t>週</w:t>
      </w:r>
      <w:proofErr w:type="gramEnd"/>
      <w:r>
        <w:rPr>
          <w:rFonts w:ascii="標楷體" w:eastAsia="標楷體" w:hAnsi="標楷體"/>
          <w:bCs/>
          <w:color w:val="000000"/>
        </w:rPr>
        <w:t>之第三劑300mg，作為緩解之誘導；之後每隔八</w:t>
      </w:r>
      <w:proofErr w:type="gramStart"/>
      <w:r>
        <w:rPr>
          <w:rFonts w:ascii="標楷體" w:eastAsia="標楷體" w:hAnsi="標楷體"/>
          <w:bCs/>
          <w:color w:val="000000"/>
        </w:rPr>
        <w:t>週</w:t>
      </w:r>
      <w:proofErr w:type="gramEnd"/>
      <w:r>
        <w:rPr>
          <w:rFonts w:ascii="標楷體" w:eastAsia="標楷體" w:hAnsi="標楷體"/>
          <w:bCs/>
          <w:color w:val="000000"/>
        </w:rPr>
        <w:t>給予維持劑量300mg，至多持續至46</w:t>
      </w:r>
      <w:proofErr w:type="gramStart"/>
      <w:r>
        <w:rPr>
          <w:rFonts w:ascii="標楷體" w:eastAsia="標楷體" w:hAnsi="標楷體"/>
          <w:bCs/>
          <w:color w:val="000000"/>
        </w:rPr>
        <w:t>週</w:t>
      </w:r>
      <w:proofErr w:type="gramEnd"/>
      <w:r>
        <w:rPr>
          <w:rFonts w:ascii="標楷體" w:eastAsia="標楷體" w:hAnsi="標楷體"/>
          <w:bCs/>
          <w:color w:val="000000"/>
        </w:rPr>
        <w:t>(使用靜脈注射8劑)，或靜脈注射搭配皮下注射共治療52</w:t>
      </w:r>
      <w:proofErr w:type="gramStart"/>
      <w:r>
        <w:rPr>
          <w:rFonts w:ascii="標楷體" w:eastAsia="標楷體" w:hAnsi="標楷體"/>
          <w:bCs/>
          <w:color w:val="000000"/>
        </w:rPr>
        <w:t>週</w:t>
      </w:r>
      <w:proofErr w:type="gramEnd"/>
      <w:r>
        <w:rPr>
          <w:rFonts w:ascii="標楷體" w:eastAsia="標楷體" w:hAnsi="標楷體"/>
          <w:bCs/>
          <w:color w:val="000000"/>
        </w:rPr>
        <w:t>，使用靜脈注射2劑誘導緩解，皮下注射24劑，作為緩解之維持。(106/10/1、108/10/1、112/8/1)</w:t>
      </w:r>
    </w:p>
    <w:p w14:paraId="35AFDB4C"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(4)</w:t>
      </w:r>
      <w:r>
        <w:rPr>
          <w:rFonts w:ascii="標楷體" w:eastAsia="標楷體" w:hAnsi="標楷體"/>
          <w:bCs/>
          <w:color w:val="000000"/>
        </w:rPr>
        <w:tab/>
        <w:t>Infliximab：</w:t>
      </w:r>
      <w:r w:rsidRPr="000D49C2">
        <w:rPr>
          <w:rFonts w:ascii="標楷體" w:eastAsia="標楷體" w:hAnsi="標楷體" w:hint="eastAsia"/>
          <w:bCs/>
          <w:color w:val="000000"/>
        </w:rPr>
        <w:t>靜脈注射最初第一劑、兩</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後之第二劑、第六</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之第三劑給予5mg/kg，作為緩解之誘導；之後每隔八</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給予維持劑量5mg/kg，至多持續至46</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(使用8劑)，或靜脈注射搭配皮下注射共治療52</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，使用靜脈注射2劑誘導緩解，皮下注射24劑，作為緩解之維持。</w:t>
      </w:r>
      <w:r>
        <w:rPr>
          <w:rFonts w:ascii="標楷體" w:eastAsia="標楷體" w:hAnsi="標楷體"/>
          <w:bCs/>
          <w:color w:val="000000"/>
        </w:rPr>
        <w:t>(107/8/1、108/10/1、1</w:t>
      </w:r>
      <w:r>
        <w:rPr>
          <w:rFonts w:ascii="標楷體" w:eastAsia="標楷體" w:hAnsi="標楷體" w:hint="eastAsia"/>
          <w:bCs/>
          <w:color w:val="000000"/>
        </w:rPr>
        <w:t>14</w:t>
      </w:r>
      <w:r>
        <w:rPr>
          <w:rFonts w:ascii="標楷體" w:eastAsia="標楷體" w:hAnsi="標楷體"/>
          <w:bCs/>
          <w:color w:val="000000"/>
        </w:rPr>
        <w:t>/</w:t>
      </w:r>
      <w:r>
        <w:rPr>
          <w:rFonts w:ascii="標楷體" w:eastAsia="標楷體" w:hAnsi="標楷體" w:hint="eastAsia"/>
          <w:bCs/>
          <w:color w:val="000000"/>
        </w:rPr>
        <w:t>9</w:t>
      </w:r>
      <w:r>
        <w:rPr>
          <w:rFonts w:ascii="標楷體" w:eastAsia="標楷體" w:hAnsi="標楷體"/>
          <w:bCs/>
          <w:color w:val="000000"/>
        </w:rPr>
        <w:t>/1)</w:t>
      </w:r>
    </w:p>
    <w:p w14:paraId="367CBBE4"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(5)Tofacitinib：口服使用每日兩次，最初8</w:t>
      </w:r>
      <w:proofErr w:type="gramStart"/>
      <w:r>
        <w:rPr>
          <w:rFonts w:ascii="標楷體" w:eastAsia="標楷體" w:hAnsi="標楷體"/>
          <w:bCs/>
          <w:color w:val="000000"/>
        </w:rPr>
        <w:t>週</w:t>
      </w:r>
      <w:proofErr w:type="gramEnd"/>
      <w:r>
        <w:rPr>
          <w:rFonts w:ascii="標楷體" w:eastAsia="標楷體" w:hAnsi="標楷體"/>
          <w:bCs/>
          <w:color w:val="000000"/>
        </w:rPr>
        <w:t>每次10 mg，第9</w:t>
      </w:r>
      <w:proofErr w:type="gramStart"/>
      <w:r>
        <w:rPr>
          <w:rFonts w:ascii="標楷體" w:eastAsia="標楷體" w:hAnsi="標楷體"/>
          <w:bCs/>
          <w:color w:val="000000"/>
        </w:rPr>
        <w:t>週</w:t>
      </w:r>
      <w:proofErr w:type="gramEnd"/>
      <w:r>
        <w:rPr>
          <w:rFonts w:ascii="標楷體" w:eastAsia="標楷體" w:hAnsi="標楷體"/>
          <w:bCs/>
          <w:color w:val="000000"/>
        </w:rPr>
        <w:t>開始可調整劑量為每</w:t>
      </w:r>
      <w:r>
        <w:rPr>
          <w:rFonts w:ascii="標楷體" w:eastAsia="標楷體" w:hAnsi="標楷體"/>
          <w:bCs/>
          <w:color w:val="000000"/>
        </w:rPr>
        <w:lastRenderedPageBreak/>
        <w:t>日2次5 mg或每日1次11 mg (Tofacitinib XR)，至多持續至56</w:t>
      </w:r>
      <w:proofErr w:type="gramStart"/>
      <w:r>
        <w:rPr>
          <w:rFonts w:ascii="標楷體" w:eastAsia="標楷體" w:hAnsi="標楷體"/>
          <w:bCs/>
          <w:color w:val="000000"/>
        </w:rPr>
        <w:t>週</w:t>
      </w:r>
      <w:proofErr w:type="gramEnd"/>
      <w:r>
        <w:rPr>
          <w:rFonts w:ascii="標楷體" w:eastAsia="標楷體" w:hAnsi="標楷體"/>
          <w:bCs/>
          <w:color w:val="000000"/>
        </w:rPr>
        <w:t>，作為緩解之維持。(使用前應排除有血栓風險之病患，且不建議與azathioprine與cyclosporine合併使用)。(111/3/1</w:t>
      </w:r>
      <w:proofErr w:type="gramStart"/>
      <w:r>
        <w:rPr>
          <w:rFonts w:ascii="標楷體" w:eastAsia="標楷體" w:hAnsi="標楷體"/>
          <w:bCs/>
          <w:color w:val="000000"/>
        </w:rPr>
        <w:t>）</w:t>
      </w:r>
      <w:proofErr w:type="gramEnd"/>
    </w:p>
    <w:p w14:paraId="6A40E607" w14:textId="77777777" w:rsidR="009D02BD" w:rsidRDefault="009D02BD" w:rsidP="009D02BD">
      <w:pPr>
        <w:ind w:left="811" w:hanging="245"/>
      </w:pPr>
      <w:r>
        <w:rPr>
          <w:rFonts w:ascii="標楷體" w:eastAsia="標楷體" w:hAnsi="標楷體"/>
          <w:bCs/>
          <w:color w:val="000000"/>
        </w:rPr>
        <w:t>(6)Ustekinumab：第0</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靜脈輸注作為</w:t>
      </w:r>
      <w:proofErr w:type="gramEnd"/>
      <w:r>
        <w:rPr>
          <w:rFonts w:ascii="標楷體" w:eastAsia="標楷體" w:hAnsi="標楷體"/>
          <w:bCs/>
          <w:color w:val="000000"/>
        </w:rPr>
        <w:t>緩解之誘導</w:t>
      </w:r>
      <w:proofErr w:type="gramStart"/>
      <w:r>
        <w:rPr>
          <w:rFonts w:ascii="標楷體" w:eastAsia="標楷體" w:hAnsi="標楷體"/>
          <w:bCs/>
          <w:color w:val="000000"/>
        </w:rPr>
        <w:t>（</w:t>
      </w:r>
      <w:proofErr w:type="gramEnd"/>
      <w:r>
        <w:rPr>
          <w:rFonts w:ascii="標楷體" w:eastAsia="標楷體" w:hAnsi="標楷體"/>
          <w:bCs/>
          <w:color w:val="000000"/>
        </w:rPr>
        <w:t>體重</w:t>
      </w:r>
      <w:r>
        <w:rPr>
          <w:rFonts w:ascii="Times New Roman" w:eastAsia="標楷體" w:hAnsi="Times New Roman"/>
          <w:bCs/>
          <w:color w:val="000000"/>
        </w:rPr>
        <w:t>≤</w:t>
      </w:r>
      <w:r>
        <w:rPr>
          <w:rFonts w:ascii="標楷體" w:eastAsia="標楷體" w:hAnsi="標楷體"/>
          <w:bCs/>
          <w:color w:val="000000"/>
        </w:rPr>
        <w:t>55kg使用260 mg;大於55kg至85kg使用390mg;&gt;85kg者使用520mg</w:t>
      </w:r>
      <w:proofErr w:type="gramStart"/>
      <w:r>
        <w:rPr>
          <w:rFonts w:ascii="標楷體" w:eastAsia="標楷體" w:hAnsi="標楷體"/>
          <w:bCs/>
          <w:color w:val="000000"/>
        </w:rPr>
        <w:t>）</w:t>
      </w:r>
      <w:proofErr w:type="gramEnd"/>
      <w:r>
        <w:rPr>
          <w:rFonts w:ascii="標楷體" w:eastAsia="標楷體" w:hAnsi="標楷體"/>
          <w:bCs/>
          <w:color w:val="000000"/>
        </w:rPr>
        <w:t>；於靜脈注射後的第8</w:t>
      </w:r>
      <w:proofErr w:type="gramStart"/>
      <w:r>
        <w:rPr>
          <w:rFonts w:ascii="標楷體" w:eastAsia="標楷體" w:hAnsi="標楷體"/>
          <w:bCs/>
          <w:color w:val="000000"/>
        </w:rPr>
        <w:t>週</w:t>
      </w:r>
      <w:proofErr w:type="gramEnd"/>
      <w:r>
        <w:rPr>
          <w:rFonts w:ascii="標楷體" w:eastAsia="標楷體" w:hAnsi="標楷體"/>
          <w:bCs/>
          <w:color w:val="000000"/>
        </w:rPr>
        <w:t>開始給予第1劑皮下注射劑，之後每隔12</w:t>
      </w:r>
      <w:proofErr w:type="gramStart"/>
      <w:r>
        <w:rPr>
          <w:rFonts w:ascii="標楷體" w:eastAsia="標楷體" w:hAnsi="標楷體"/>
          <w:bCs/>
          <w:color w:val="000000"/>
        </w:rPr>
        <w:t>週</w:t>
      </w:r>
      <w:proofErr w:type="gramEnd"/>
      <w:r>
        <w:rPr>
          <w:rFonts w:ascii="標楷體" w:eastAsia="標楷體" w:hAnsi="標楷體"/>
          <w:bCs/>
          <w:color w:val="000000"/>
        </w:rPr>
        <w:t>或8</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給予皮下注射維持劑量90mg，至多持續治療至第44</w:t>
      </w:r>
      <w:proofErr w:type="gramStart"/>
      <w:r>
        <w:rPr>
          <w:rFonts w:ascii="標楷體" w:eastAsia="標楷體" w:hAnsi="標楷體"/>
          <w:bCs/>
          <w:color w:val="000000"/>
        </w:rPr>
        <w:t>週</w:t>
      </w:r>
      <w:proofErr w:type="gramEnd"/>
      <w:r>
        <w:rPr>
          <w:rFonts w:ascii="標楷體" w:eastAsia="標楷體" w:hAnsi="標楷體"/>
          <w:bCs/>
          <w:color w:val="000000"/>
        </w:rPr>
        <w:t>或第48</w:t>
      </w:r>
      <w:proofErr w:type="gramStart"/>
      <w:r>
        <w:rPr>
          <w:rFonts w:ascii="標楷體" w:eastAsia="標楷體" w:hAnsi="標楷體"/>
          <w:bCs/>
          <w:color w:val="000000"/>
        </w:rPr>
        <w:t>週</w:t>
      </w:r>
      <w:proofErr w:type="gramEnd"/>
      <w:r>
        <w:rPr>
          <w:rFonts w:ascii="標楷體" w:eastAsia="標楷體" w:hAnsi="標楷體"/>
          <w:bCs/>
          <w:color w:val="000000"/>
        </w:rPr>
        <w:t>(使用5劑或7劑)，作為緩解之維持。(111/6/1、113/11/1)</w:t>
      </w:r>
    </w:p>
    <w:p w14:paraId="56C59054"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 xml:space="preserve">  </w:t>
      </w:r>
      <w:proofErr w:type="gramStart"/>
      <w:r>
        <w:rPr>
          <w:rFonts w:ascii="標楷體" w:eastAsia="標楷體" w:hAnsi="標楷體"/>
          <w:bCs/>
          <w:color w:val="000000"/>
        </w:rPr>
        <w:t>註</w:t>
      </w:r>
      <w:proofErr w:type="gramEnd"/>
      <w:r>
        <w:rPr>
          <w:rFonts w:ascii="標楷體" w:eastAsia="標楷體" w:hAnsi="標楷體"/>
          <w:bCs/>
          <w:color w:val="000000"/>
        </w:rPr>
        <w:t>：若</w:t>
      </w:r>
      <w:proofErr w:type="spellStart"/>
      <w:r>
        <w:rPr>
          <w:rFonts w:ascii="標楷體" w:eastAsia="標楷體" w:hAnsi="標楷體"/>
          <w:bCs/>
          <w:color w:val="000000"/>
        </w:rPr>
        <w:t>ustekinumab</w:t>
      </w:r>
      <w:proofErr w:type="spellEnd"/>
      <w:r>
        <w:rPr>
          <w:rFonts w:ascii="標楷體" w:eastAsia="標楷體" w:hAnsi="標楷體"/>
          <w:bCs/>
          <w:color w:val="000000"/>
        </w:rPr>
        <w:t>使用維持劑量為90mg（含）以上，則限使用90mg(1mL)規格量。(111/6/1)</w:t>
      </w:r>
    </w:p>
    <w:p w14:paraId="743ED508" w14:textId="77777777" w:rsidR="009D02BD" w:rsidRDefault="009D02BD" w:rsidP="009D02BD">
      <w:pPr>
        <w:ind w:left="811" w:hanging="245"/>
      </w:pPr>
      <w:r>
        <w:rPr>
          <w:rFonts w:ascii="標楷體" w:eastAsia="標楷體" w:hAnsi="標楷體"/>
          <w:bCs/>
          <w:color w:val="000000"/>
        </w:rPr>
        <w:t>(7)</w:t>
      </w:r>
      <w:r>
        <w:t xml:space="preserve"> </w:t>
      </w:r>
      <w:r>
        <w:rPr>
          <w:rFonts w:ascii="標楷體" w:eastAsia="標楷體" w:hAnsi="標楷體"/>
          <w:bCs/>
          <w:color w:val="000000"/>
        </w:rPr>
        <w:t>Upadacitinib：口服使用每日1次，最初8</w:t>
      </w:r>
      <w:proofErr w:type="gramStart"/>
      <w:r>
        <w:rPr>
          <w:rFonts w:ascii="標楷體" w:eastAsia="標楷體" w:hAnsi="標楷體"/>
          <w:bCs/>
          <w:color w:val="000000"/>
        </w:rPr>
        <w:t>週</w:t>
      </w:r>
      <w:proofErr w:type="gramEnd"/>
      <w:r>
        <w:rPr>
          <w:rFonts w:ascii="標楷體" w:eastAsia="標楷體" w:hAnsi="標楷體"/>
          <w:bCs/>
          <w:color w:val="000000"/>
        </w:rPr>
        <w:t>每日45mg，限用45mg</w:t>
      </w:r>
      <w:proofErr w:type="gramStart"/>
      <w:r>
        <w:rPr>
          <w:rFonts w:ascii="標楷體" w:eastAsia="標楷體" w:hAnsi="標楷體"/>
          <w:bCs/>
          <w:color w:val="000000"/>
        </w:rPr>
        <w:t>規格量品項</w:t>
      </w:r>
      <w:proofErr w:type="gramEnd"/>
      <w:r>
        <w:rPr>
          <w:rFonts w:ascii="標楷體" w:eastAsia="標楷體" w:hAnsi="標楷體"/>
          <w:bCs/>
          <w:color w:val="000000"/>
        </w:rPr>
        <w:t>，第9</w:t>
      </w:r>
      <w:proofErr w:type="gramStart"/>
      <w:r>
        <w:rPr>
          <w:rFonts w:ascii="標楷體" w:eastAsia="標楷體" w:hAnsi="標楷體"/>
          <w:bCs/>
          <w:color w:val="000000"/>
        </w:rPr>
        <w:t>週</w:t>
      </w:r>
      <w:proofErr w:type="gramEnd"/>
      <w:r>
        <w:rPr>
          <w:rFonts w:ascii="標楷體" w:eastAsia="標楷體" w:hAnsi="標楷體"/>
          <w:bCs/>
          <w:color w:val="000000"/>
        </w:rPr>
        <w:t>開始可調整劑量為每日15 mg，至多持續至56</w:t>
      </w:r>
      <w:proofErr w:type="gramStart"/>
      <w:r>
        <w:rPr>
          <w:rFonts w:ascii="標楷體" w:eastAsia="標楷體" w:hAnsi="標楷體"/>
          <w:bCs/>
          <w:color w:val="000000"/>
        </w:rPr>
        <w:t>週</w:t>
      </w:r>
      <w:proofErr w:type="gramEnd"/>
      <w:r>
        <w:rPr>
          <w:rFonts w:ascii="標楷體" w:eastAsia="標楷體" w:hAnsi="標楷體"/>
          <w:bCs/>
          <w:color w:val="000000"/>
        </w:rPr>
        <w:t>，作為緩解之維持。(114/8/1)</w:t>
      </w:r>
    </w:p>
    <w:p w14:paraId="297F910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6.Golimumab治療50</w:t>
      </w:r>
      <w:proofErr w:type="gramStart"/>
      <w:r>
        <w:rPr>
          <w:rFonts w:ascii="標楷體" w:eastAsia="標楷體" w:hAnsi="標楷體"/>
          <w:bCs/>
          <w:color w:val="000000"/>
        </w:rPr>
        <w:t>週</w:t>
      </w:r>
      <w:proofErr w:type="gramEnd"/>
      <w:r>
        <w:rPr>
          <w:rFonts w:ascii="標楷體" w:eastAsia="標楷體" w:hAnsi="標楷體"/>
          <w:bCs/>
          <w:color w:val="000000"/>
        </w:rPr>
        <w:t>(使用14劑)；adalimumab治療54</w:t>
      </w:r>
      <w:proofErr w:type="gramStart"/>
      <w:r>
        <w:rPr>
          <w:rFonts w:ascii="標楷體" w:eastAsia="標楷體" w:hAnsi="標楷體"/>
          <w:bCs/>
          <w:color w:val="000000"/>
        </w:rPr>
        <w:t>週</w:t>
      </w:r>
      <w:proofErr w:type="gramEnd"/>
      <w:r>
        <w:rPr>
          <w:rFonts w:ascii="標楷體" w:eastAsia="標楷體" w:hAnsi="標楷體"/>
          <w:bCs/>
          <w:color w:val="000000"/>
        </w:rPr>
        <w:t>(使用28劑)；vedolizumab治療46</w:t>
      </w:r>
      <w:proofErr w:type="gramStart"/>
      <w:r>
        <w:rPr>
          <w:rFonts w:ascii="標楷體" w:eastAsia="標楷體" w:hAnsi="標楷體"/>
          <w:bCs/>
          <w:color w:val="000000"/>
        </w:rPr>
        <w:t>週</w:t>
      </w:r>
      <w:proofErr w:type="gramEnd"/>
      <w:r>
        <w:rPr>
          <w:rFonts w:ascii="標楷體" w:eastAsia="標楷體" w:hAnsi="標楷體"/>
          <w:bCs/>
          <w:color w:val="000000"/>
        </w:rPr>
        <w:t>(使用靜脈注射8劑)，或第0、2</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300mg作為緩解之誘導；第6</w:t>
      </w:r>
      <w:proofErr w:type="gramStart"/>
      <w:r>
        <w:rPr>
          <w:rFonts w:ascii="標楷體" w:eastAsia="標楷體" w:hAnsi="標楷體"/>
          <w:bCs/>
          <w:color w:val="000000"/>
        </w:rPr>
        <w:t>週</w:t>
      </w:r>
      <w:proofErr w:type="gramEnd"/>
      <w:r>
        <w:rPr>
          <w:rFonts w:ascii="標楷體" w:eastAsia="標楷體" w:hAnsi="標楷體"/>
          <w:bCs/>
          <w:color w:val="000000"/>
        </w:rPr>
        <w:t>開始給予皮下注射維持劑量108mg，之後每隔2</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給予皮下注射維持劑量108mg，可持續治療至第52</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(總共使用靜脈注射2劑，皮下注射24劑，療效持續至54</w:t>
      </w:r>
      <w:proofErr w:type="gramStart"/>
      <w:r>
        <w:rPr>
          <w:rFonts w:ascii="標楷體" w:eastAsia="標楷體" w:hAnsi="標楷體"/>
          <w:bCs/>
          <w:color w:val="000000"/>
        </w:rPr>
        <w:t>週</w:t>
      </w:r>
      <w:proofErr w:type="gramEnd"/>
      <w:r>
        <w:rPr>
          <w:rFonts w:ascii="標楷體" w:eastAsia="標楷體" w:hAnsi="標楷體"/>
          <w:bCs/>
          <w:color w:val="000000"/>
        </w:rPr>
        <w:t>)或infliximab</w:t>
      </w:r>
      <w:r w:rsidRPr="007643B1">
        <w:rPr>
          <w:rFonts w:ascii="標楷體" w:eastAsia="標楷體" w:hAnsi="標楷體" w:hint="eastAsia"/>
          <w:bCs/>
          <w:color w:val="000000"/>
        </w:rPr>
        <w:t>治療46</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(使用靜脈注射8劑)，或第0、2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給予</w:t>
      </w:r>
      <w:proofErr w:type="gramStart"/>
      <w:r w:rsidRPr="007643B1">
        <w:rPr>
          <w:rFonts w:ascii="標楷體" w:eastAsia="標楷體" w:hAnsi="標楷體" w:hint="eastAsia"/>
          <w:bCs/>
          <w:color w:val="000000"/>
        </w:rPr>
        <w:t>靜脈輸注2劑</w:t>
      </w:r>
      <w:proofErr w:type="gramEnd"/>
      <w:r w:rsidRPr="007643B1">
        <w:rPr>
          <w:rFonts w:ascii="標楷體" w:eastAsia="標楷體" w:hAnsi="標楷體" w:hint="eastAsia"/>
          <w:bCs/>
          <w:color w:val="000000"/>
        </w:rPr>
        <w:t>作為緩解之誘導；第6</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開始給予皮下注射維持劑量120mg，之後每隔2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給予皮下注射維持劑量120mg，可持續治療至第52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(總共使用靜脈注射2劑，皮下注射24劑，療效持續至54</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w:t>
      </w:r>
      <w:r>
        <w:rPr>
          <w:rFonts w:ascii="標楷體" w:eastAsia="標楷體" w:hAnsi="標楷體"/>
          <w:bCs/>
          <w:color w:val="000000"/>
        </w:rPr>
        <w:t>tofacitinib治療56</w:t>
      </w:r>
      <w:proofErr w:type="gramStart"/>
      <w:r>
        <w:rPr>
          <w:rFonts w:ascii="標楷體" w:eastAsia="標楷體" w:hAnsi="標楷體"/>
          <w:bCs/>
          <w:color w:val="000000"/>
        </w:rPr>
        <w:t>週</w:t>
      </w:r>
      <w:proofErr w:type="gramEnd"/>
      <w:r>
        <w:rPr>
          <w:rFonts w:ascii="標楷體" w:eastAsia="標楷體" w:hAnsi="標楷體"/>
          <w:bCs/>
          <w:color w:val="000000"/>
        </w:rPr>
        <w:t xml:space="preserve">後; </w:t>
      </w:r>
      <w:proofErr w:type="spellStart"/>
      <w:r>
        <w:rPr>
          <w:rFonts w:ascii="標楷體" w:eastAsia="標楷體" w:hAnsi="標楷體"/>
          <w:bCs/>
          <w:color w:val="000000"/>
        </w:rPr>
        <w:t>ustekinumab</w:t>
      </w:r>
      <w:proofErr w:type="spellEnd"/>
      <w:r>
        <w:rPr>
          <w:rFonts w:ascii="標楷體" w:eastAsia="標楷體" w:hAnsi="標楷體"/>
          <w:bCs/>
          <w:color w:val="000000"/>
        </w:rPr>
        <w:t>治療44</w:t>
      </w:r>
      <w:proofErr w:type="gramStart"/>
      <w:r>
        <w:rPr>
          <w:rFonts w:ascii="標楷體" w:eastAsia="標楷體" w:hAnsi="標楷體"/>
          <w:bCs/>
          <w:color w:val="000000"/>
        </w:rPr>
        <w:t>週</w:t>
      </w:r>
      <w:proofErr w:type="gramEnd"/>
      <w:r>
        <w:rPr>
          <w:rFonts w:ascii="標楷體" w:eastAsia="標楷體" w:hAnsi="標楷體"/>
          <w:bCs/>
          <w:color w:val="000000"/>
        </w:rPr>
        <w:t>使用5劑(共使用1劑靜脈注射及4劑皮下注射)或48</w:t>
      </w:r>
      <w:proofErr w:type="gramStart"/>
      <w:r>
        <w:rPr>
          <w:rFonts w:ascii="標楷體" w:eastAsia="標楷體" w:hAnsi="標楷體"/>
          <w:bCs/>
          <w:color w:val="000000"/>
        </w:rPr>
        <w:t>週</w:t>
      </w:r>
      <w:proofErr w:type="gramEnd"/>
      <w:r>
        <w:rPr>
          <w:rFonts w:ascii="標楷體" w:eastAsia="標楷體" w:hAnsi="標楷體"/>
          <w:bCs/>
          <w:color w:val="000000"/>
        </w:rPr>
        <w:t>使用7劑(共使用1劑靜脈注射及6劑皮下注射)後；</w:t>
      </w:r>
      <w:proofErr w:type="spellStart"/>
      <w:r>
        <w:rPr>
          <w:rFonts w:ascii="標楷體" w:eastAsia="標楷體" w:hAnsi="標楷體"/>
          <w:bCs/>
          <w:color w:val="000000"/>
        </w:rPr>
        <w:t>upadacitinib</w:t>
      </w:r>
      <w:proofErr w:type="spellEnd"/>
      <w:r>
        <w:rPr>
          <w:rFonts w:ascii="標楷體" w:eastAsia="標楷體" w:hAnsi="標楷體"/>
          <w:bCs/>
          <w:color w:val="000000"/>
        </w:rPr>
        <w:t>治療56</w:t>
      </w:r>
      <w:proofErr w:type="gramStart"/>
      <w:r>
        <w:rPr>
          <w:rFonts w:ascii="標楷體" w:eastAsia="標楷體" w:hAnsi="標楷體"/>
          <w:bCs/>
          <w:color w:val="000000"/>
        </w:rPr>
        <w:t>週</w:t>
      </w:r>
      <w:proofErr w:type="gramEnd"/>
      <w:r>
        <w:rPr>
          <w:rFonts w:ascii="標楷體" w:eastAsia="標楷體" w:hAnsi="標楷體"/>
          <w:bCs/>
          <w:color w:val="000000"/>
        </w:rPr>
        <w:t>後，必須至少再間隔超過3個月後，若病情復發，依初次使用標準(其中經5-aminosalicylic acid藥物、類固醇、及/或免疫抑制劑充分治療，連續超過3個月)再次提出事前審查。連續2次於總療程結束後復發，且第2次復發於藥效終止後3個月內發生，則可持續使用；惟</w:t>
      </w:r>
      <w:proofErr w:type="gramStart"/>
      <w:r>
        <w:rPr>
          <w:rFonts w:ascii="標楷體" w:eastAsia="標楷體" w:hAnsi="標楷體"/>
          <w:bCs/>
          <w:color w:val="000000"/>
        </w:rPr>
        <w:t>需每24週</w:t>
      </w:r>
      <w:proofErr w:type="gramEnd"/>
      <w:r>
        <w:rPr>
          <w:rFonts w:ascii="標楷體" w:eastAsia="標楷體" w:hAnsi="標楷體"/>
          <w:bCs/>
          <w:color w:val="000000"/>
        </w:rPr>
        <w:t>提出續用事前審查。必須Mayo score</w:t>
      </w:r>
      <w:proofErr w:type="gramStart"/>
      <w:r>
        <w:rPr>
          <w:rFonts w:ascii="標楷體" w:eastAsia="標楷體" w:hAnsi="標楷體"/>
          <w:bCs/>
          <w:color w:val="000000"/>
        </w:rPr>
        <w:t>≦</w:t>
      </w:r>
      <w:proofErr w:type="gramEnd"/>
      <w:r>
        <w:rPr>
          <w:rFonts w:ascii="標楷體" w:eastAsia="標楷體" w:hAnsi="標楷體"/>
          <w:bCs/>
          <w:color w:val="000000"/>
        </w:rPr>
        <w:t>6分且Mayo endoscopic subscore</w:t>
      </w:r>
      <w:proofErr w:type="gramStart"/>
      <w:r>
        <w:rPr>
          <w:rFonts w:ascii="標楷體" w:eastAsia="標楷體" w:hAnsi="標楷體"/>
          <w:bCs/>
          <w:color w:val="000000"/>
        </w:rPr>
        <w:t>≦</w:t>
      </w:r>
      <w:proofErr w:type="gramEnd"/>
      <w:r>
        <w:rPr>
          <w:rFonts w:ascii="標楷體" w:eastAsia="標楷體" w:hAnsi="標楷體"/>
          <w:bCs/>
          <w:color w:val="000000"/>
        </w:rPr>
        <w:t>1分，才可繼續使用。連續2年（4次評估）達到Mayo score</w:t>
      </w:r>
      <w:proofErr w:type="gramStart"/>
      <w:r>
        <w:rPr>
          <w:rFonts w:ascii="標楷體" w:eastAsia="標楷體" w:hAnsi="標楷體"/>
          <w:bCs/>
          <w:color w:val="000000"/>
        </w:rPr>
        <w:t>≦</w:t>
      </w:r>
      <w:proofErr w:type="gramEnd"/>
      <w:r>
        <w:rPr>
          <w:rFonts w:ascii="標楷體" w:eastAsia="標楷體" w:hAnsi="標楷體"/>
          <w:bCs/>
          <w:color w:val="000000"/>
        </w:rPr>
        <w:t xml:space="preserve">2分，且Mayo endoscopic </w:t>
      </w:r>
      <w:proofErr w:type="spellStart"/>
      <w:r>
        <w:rPr>
          <w:rFonts w:ascii="標楷體" w:eastAsia="標楷體" w:hAnsi="標楷體"/>
          <w:bCs/>
          <w:color w:val="000000"/>
        </w:rPr>
        <w:t>subscore</w:t>
      </w:r>
      <w:proofErr w:type="spellEnd"/>
      <w:r>
        <w:rPr>
          <w:rFonts w:ascii="標楷體" w:eastAsia="標楷體" w:hAnsi="標楷體"/>
          <w:bCs/>
          <w:color w:val="000000"/>
        </w:rPr>
        <w:t xml:space="preserve"> </w:t>
      </w:r>
      <w:proofErr w:type="gramStart"/>
      <w:r>
        <w:rPr>
          <w:rFonts w:ascii="標楷體" w:eastAsia="標楷體" w:hAnsi="標楷體"/>
          <w:bCs/>
          <w:color w:val="000000"/>
        </w:rPr>
        <w:t>≦</w:t>
      </w:r>
      <w:proofErr w:type="gramEnd"/>
      <w:r>
        <w:rPr>
          <w:rFonts w:ascii="標楷體" w:eastAsia="標楷體" w:hAnsi="標楷體"/>
          <w:bCs/>
          <w:color w:val="000000"/>
        </w:rPr>
        <w:t>1，則應考慮停藥。(105/10/1、106/10/1、107/8/1、108/10/1、111/3/1、111/6/1、112/8/1、113/7/1、113/11/1、114/8/1、114/</w:t>
      </w:r>
      <w:r>
        <w:rPr>
          <w:rFonts w:ascii="標楷體" w:eastAsia="標楷體" w:hAnsi="標楷體" w:hint="eastAsia"/>
          <w:bCs/>
          <w:color w:val="000000"/>
        </w:rPr>
        <w:t>9</w:t>
      </w:r>
      <w:r>
        <w:rPr>
          <w:rFonts w:ascii="標楷體" w:eastAsia="標楷體" w:hAnsi="標楷體"/>
          <w:bCs/>
          <w:color w:val="000000"/>
        </w:rPr>
        <w:t>/1)</w:t>
      </w:r>
    </w:p>
    <w:p w14:paraId="1DEBED4C"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7.須排除使用之情形：</w:t>
      </w:r>
    </w:p>
    <w:p w14:paraId="7EFB4D14"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應參照藥物仿單，重要之排除使用狀況包括：</w:t>
      </w:r>
    </w:p>
    <w:p w14:paraId="09C8FB9E"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(1)懷孕或</w:t>
      </w:r>
      <w:proofErr w:type="gramStart"/>
      <w:r>
        <w:rPr>
          <w:rFonts w:ascii="標楷體" w:eastAsia="標楷體" w:hAnsi="標楷體"/>
          <w:bCs/>
          <w:color w:val="000000"/>
        </w:rPr>
        <w:t>正在授乳的</w:t>
      </w:r>
      <w:proofErr w:type="gramEnd"/>
      <w:r>
        <w:rPr>
          <w:rFonts w:ascii="標楷體" w:eastAsia="標楷體" w:hAnsi="標楷體"/>
          <w:bCs/>
          <w:color w:val="000000"/>
        </w:rPr>
        <w:t>婦女。</w:t>
      </w:r>
    </w:p>
    <w:p w14:paraId="7E699FE8"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(2)</w:t>
      </w:r>
      <w:proofErr w:type="gramStart"/>
      <w:r>
        <w:rPr>
          <w:rFonts w:ascii="標楷體" w:eastAsia="標楷體" w:hAnsi="標楷體"/>
          <w:bCs/>
          <w:color w:val="000000"/>
        </w:rPr>
        <w:t>罹</w:t>
      </w:r>
      <w:proofErr w:type="gramEnd"/>
      <w:r>
        <w:rPr>
          <w:rFonts w:ascii="標楷體" w:eastAsia="標楷體" w:hAnsi="標楷體"/>
          <w:bCs/>
          <w:color w:val="000000"/>
        </w:rPr>
        <w:t>患活動性感染症(active infection)之病患。</w:t>
      </w:r>
    </w:p>
    <w:p w14:paraId="35287A5F"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(3)未經完整治療之結核病病患（包括潛伏結核感染治療未達四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w:t>
      </w:r>
    </w:p>
    <w:p w14:paraId="6CEB6859"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(4)惡性腫瘤或具有癌症前兆(pre-malignancy)之病患(但不包括已經接受過充分治療達10年以上的惡性腫瘤)。</w:t>
      </w:r>
    </w:p>
    <w:p w14:paraId="1E0F165F"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(5)具高度感染機會之病患：</w:t>
      </w:r>
      <w:proofErr w:type="gramStart"/>
      <w:r>
        <w:rPr>
          <w:rFonts w:ascii="標楷體" w:eastAsia="標楷體" w:hAnsi="標楷體"/>
          <w:bCs/>
          <w:color w:val="000000"/>
        </w:rPr>
        <w:t>慢性腿部</w:t>
      </w:r>
      <w:proofErr w:type="gramEnd"/>
      <w:r>
        <w:rPr>
          <w:rFonts w:ascii="標楷體" w:eastAsia="標楷體" w:hAnsi="標楷體"/>
          <w:bCs/>
          <w:color w:val="000000"/>
        </w:rPr>
        <w:t>潰瘍、導尿管置留、身上有引流管、人工關節感染，該人工關節尚未摘除者、頑固性或復發性之胸腔感染症病患。</w:t>
      </w:r>
    </w:p>
    <w:p w14:paraId="43D9EDB0"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(6)多發性硬化症(multiple sclerosis)。</w:t>
      </w:r>
    </w:p>
    <w:p w14:paraId="1A80551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8.須停止治療的情形：</w:t>
      </w:r>
    </w:p>
    <w:p w14:paraId="484D89F5"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(1)療效</w:t>
      </w:r>
      <w:proofErr w:type="gramStart"/>
      <w:r>
        <w:rPr>
          <w:rFonts w:ascii="標楷體" w:eastAsia="標楷體" w:hAnsi="標楷體"/>
          <w:bCs/>
          <w:color w:val="000000"/>
        </w:rPr>
        <w:t>不</w:t>
      </w:r>
      <w:proofErr w:type="gramEnd"/>
      <w:r>
        <w:rPr>
          <w:rFonts w:ascii="標楷體" w:eastAsia="標楷體" w:hAnsi="標楷體"/>
          <w:bCs/>
          <w:color w:val="000000"/>
        </w:rPr>
        <w:t>彰：療效評估未達繼續使用標準者。</w:t>
      </w:r>
    </w:p>
    <w:p w14:paraId="61B248BB"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(2)其他事項包括：</w:t>
      </w:r>
    </w:p>
    <w:p w14:paraId="0F9D07C7" w14:textId="77777777" w:rsidR="009D02BD" w:rsidRDefault="009D02BD" w:rsidP="009D02BD">
      <w:pPr>
        <w:ind w:left="1373" w:hanging="245"/>
        <w:rPr>
          <w:rFonts w:ascii="標楷體" w:eastAsia="標楷體" w:hAnsi="標楷體"/>
          <w:bCs/>
          <w:color w:val="000000"/>
        </w:rPr>
      </w:pPr>
      <w:r>
        <w:rPr>
          <w:rFonts w:ascii="標楷體" w:eastAsia="標楷體" w:hAnsi="標楷體"/>
          <w:bCs/>
          <w:color w:val="000000"/>
        </w:rPr>
        <w:t>Ⅰ.惡性腫瘤。</w:t>
      </w:r>
    </w:p>
    <w:p w14:paraId="1640089B" w14:textId="77777777" w:rsidR="009D02BD" w:rsidRDefault="009D02BD" w:rsidP="009D02BD">
      <w:pPr>
        <w:ind w:left="1373" w:hanging="245"/>
        <w:rPr>
          <w:rFonts w:ascii="標楷體" w:eastAsia="標楷體" w:hAnsi="標楷體"/>
          <w:bCs/>
          <w:color w:val="000000"/>
        </w:rPr>
      </w:pPr>
      <w:r>
        <w:rPr>
          <w:rFonts w:ascii="標楷體" w:eastAsia="標楷體" w:hAnsi="標楷體"/>
          <w:bCs/>
          <w:color w:val="000000"/>
        </w:rPr>
        <w:t>Ⅱ.該藥物引起之嚴重毒性(白血球過低、嚴重過敏)。</w:t>
      </w:r>
    </w:p>
    <w:p w14:paraId="3196D556" w14:textId="77777777" w:rsidR="009D02BD" w:rsidRDefault="009D02BD" w:rsidP="009D02BD">
      <w:pPr>
        <w:ind w:left="1373" w:hanging="245"/>
        <w:rPr>
          <w:rFonts w:ascii="標楷體" w:eastAsia="標楷體" w:hAnsi="標楷體"/>
          <w:bCs/>
          <w:color w:val="000000"/>
        </w:rPr>
      </w:pPr>
      <w:r>
        <w:rPr>
          <w:rFonts w:ascii="標楷體" w:eastAsia="標楷體" w:hAnsi="標楷體"/>
          <w:bCs/>
          <w:color w:val="000000"/>
        </w:rPr>
        <w:t>Ⅲ.懷孕(暫時停藥即可)。</w:t>
      </w:r>
    </w:p>
    <w:p w14:paraId="02831279" w14:textId="77777777" w:rsidR="009D02BD" w:rsidRDefault="009D02BD" w:rsidP="009D02BD">
      <w:pPr>
        <w:spacing w:line="300" w:lineRule="exact"/>
        <w:ind w:left="1276" w:hanging="245"/>
        <w:rPr>
          <w:rFonts w:ascii="標楷體" w:eastAsia="標楷體" w:hAnsi="標楷體"/>
        </w:rPr>
      </w:pPr>
      <w:r>
        <w:rPr>
          <w:rFonts w:ascii="標楷體" w:eastAsia="標楷體" w:hAnsi="標楷體"/>
        </w:rPr>
        <w:t xml:space="preserve"> Ⅳ.</w:t>
      </w:r>
      <w:proofErr w:type="gramStart"/>
      <w:r>
        <w:rPr>
          <w:rFonts w:ascii="標楷體" w:eastAsia="標楷體" w:hAnsi="標楷體"/>
        </w:rPr>
        <w:t>嚴重間發性</w:t>
      </w:r>
      <w:proofErr w:type="gramEnd"/>
      <w:r>
        <w:rPr>
          <w:rFonts w:ascii="標楷體" w:eastAsia="標楷體" w:hAnsi="標楷體"/>
        </w:rPr>
        <w:t>感染(暫時停藥即可)。</w:t>
      </w:r>
    </w:p>
    <w:p w14:paraId="79685158" w14:textId="77777777" w:rsidR="009D02BD" w:rsidRDefault="009D02BD" w:rsidP="009D02BD">
      <w:pPr>
        <w:ind w:left="1291" w:hanging="724"/>
      </w:pPr>
      <w:r>
        <w:rPr>
          <w:rFonts w:ascii="標楷體" w:eastAsia="標楷體" w:hAnsi="標楷體"/>
        </w:rPr>
        <w:lastRenderedPageBreak/>
        <w:t>◎附</w:t>
      </w:r>
      <w:r>
        <w:rPr>
          <w:rFonts w:ascii="標楷體" w:eastAsia="標楷體" w:hAnsi="標楷體"/>
          <w:bCs/>
          <w:color w:val="000000"/>
        </w:rPr>
        <w:t>表二</w:t>
      </w:r>
      <w:r>
        <w:rPr>
          <w:rFonts w:ascii="標楷體" w:eastAsia="標楷體" w:hAnsi="標楷體"/>
        </w:rPr>
        <w:t>十六之五：全民健康保險潰瘍性結腸炎使用生物製劑申請表(113/7/1、114/8/1</w:t>
      </w:r>
      <w:r>
        <w:rPr>
          <w:rFonts w:ascii="標楷體" w:eastAsia="標楷體" w:hAnsi="標楷體"/>
          <w:bCs/>
          <w:color w:val="000000"/>
        </w:rPr>
        <w:t>、114/</w:t>
      </w:r>
      <w:r>
        <w:rPr>
          <w:rFonts w:ascii="標楷體" w:eastAsia="標楷體" w:hAnsi="標楷體" w:hint="eastAsia"/>
          <w:bCs/>
          <w:color w:val="000000"/>
        </w:rPr>
        <w:t>9</w:t>
      </w:r>
      <w:r>
        <w:rPr>
          <w:rFonts w:ascii="標楷體" w:eastAsia="標楷體" w:hAnsi="標楷體"/>
          <w:bCs/>
          <w:color w:val="000000"/>
        </w:rPr>
        <w:t>/1</w:t>
      </w:r>
      <w:r>
        <w:rPr>
          <w:rFonts w:ascii="標楷體" w:eastAsia="標楷體" w:hAnsi="標楷體"/>
        </w:rPr>
        <w:t>)</w:t>
      </w:r>
    </w:p>
    <w:p w14:paraId="32058F50" w14:textId="77777777" w:rsidR="00401786" w:rsidRDefault="009D02BD" w:rsidP="009D02BD">
      <w:pPr>
        <w:spacing w:line="300" w:lineRule="exact"/>
        <w:ind w:left="851" w:hanging="284"/>
        <w:rPr>
          <w:rFonts w:ascii="標楷體" w:eastAsia="標楷體" w:hAnsi="標楷體"/>
        </w:rPr>
      </w:pPr>
      <w:r>
        <w:rPr>
          <w:rFonts w:ascii="標楷體" w:eastAsia="標楷體" w:hAnsi="標楷體"/>
        </w:rPr>
        <w:t xml:space="preserve">◎附表二十六之六：Mayo </w:t>
      </w:r>
      <w:proofErr w:type="gramStart"/>
      <w:r>
        <w:rPr>
          <w:rFonts w:ascii="標楷體" w:eastAsia="標楷體" w:hAnsi="標楷體"/>
        </w:rPr>
        <w:t>Score(</w:t>
      </w:r>
      <w:proofErr w:type="gramEnd"/>
      <w:r>
        <w:rPr>
          <w:rFonts w:ascii="標楷體" w:eastAsia="標楷體" w:hAnsi="標楷體"/>
        </w:rPr>
        <w:t>113/7/1)</w:t>
      </w:r>
    </w:p>
    <w:p w14:paraId="1A57C1A9" w14:textId="77777777" w:rsidR="009D02BD" w:rsidRDefault="00C64FB3" w:rsidP="00204B75">
      <w:pPr>
        <w:widowControl/>
        <w:suppressAutoHyphens w:val="0"/>
        <w:spacing w:line="300" w:lineRule="exact"/>
        <w:ind w:leftChars="118" w:left="425" w:hangingChars="59" w:hanging="142"/>
        <w:rPr>
          <w:rFonts w:ascii="標楷體" w:eastAsia="標楷體" w:hAnsi="標楷體"/>
          <w:color w:val="000000"/>
        </w:rPr>
      </w:pPr>
      <w:r>
        <w:rPr>
          <w:rFonts w:ascii="標楷體" w:eastAsia="標楷體" w:hAnsi="標楷體"/>
          <w:color w:val="000000"/>
        </w:rPr>
        <w:t>8.2.4.9.2.</w:t>
      </w:r>
      <w:r w:rsidR="009D02BD" w:rsidRPr="009D02BD">
        <w:rPr>
          <w:rFonts w:ascii="標楷體" w:eastAsia="標楷體" w:hAnsi="標楷體"/>
          <w:color w:val="000000"/>
        </w:rPr>
        <w:t xml:space="preserve"> </w:t>
      </w:r>
      <w:r w:rsidR="009D02BD">
        <w:rPr>
          <w:rFonts w:ascii="標楷體" w:eastAsia="標楷體" w:hAnsi="標楷體"/>
          <w:color w:val="000000"/>
        </w:rPr>
        <w:t>Infliximab（如Remicade</w:t>
      </w:r>
      <w:r w:rsidR="009D02BD" w:rsidRPr="00FA377A">
        <w:rPr>
          <w:rFonts w:ascii="標楷體" w:eastAsia="標楷體" w:hAnsi="標楷體" w:hint="eastAsia"/>
          <w:color w:val="000000"/>
        </w:rPr>
        <w:t>靜脈注射</w:t>
      </w:r>
      <w:r w:rsidR="009D02BD">
        <w:rPr>
          <w:rFonts w:ascii="標楷體" w:eastAsia="標楷體" w:hAnsi="標楷體"/>
          <w:color w:val="000000"/>
        </w:rPr>
        <w:t>）、adalimumab（如Humira） (107/8/1、108/10/1、111/2/1、111/5/1、113/7/1、114/9/1</w:t>
      </w:r>
      <w:proofErr w:type="gramStart"/>
      <w:r w:rsidR="009D02BD">
        <w:rPr>
          <w:rFonts w:ascii="標楷體" w:eastAsia="標楷體" w:hAnsi="標楷體"/>
          <w:color w:val="000000"/>
        </w:rPr>
        <w:t>）</w:t>
      </w:r>
      <w:proofErr w:type="gramEnd"/>
      <w:r w:rsidR="009D02BD">
        <w:rPr>
          <w:rFonts w:ascii="標楷體" w:eastAsia="標楷體" w:hAnsi="標楷體"/>
          <w:color w:val="000000"/>
        </w:rPr>
        <w:t>：兒童治療部分</w:t>
      </w:r>
    </w:p>
    <w:p w14:paraId="33AD42D1"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1.限具有消化系專科醫師證書之內科、兒科專科醫師處方使用。</w:t>
      </w:r>
    </w:p>
    <w:p w14:paraId="18E91E46"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2.須經事前審查核准後使用。</w:t>
      </w:r>
    </w:p>
    <w:p w14:paraId="423B2ECF"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3.Adalimumab限使用於5歲以上未滿6歲之經診斷為小兒潰瘍性結腸炎患者，infliximab使用於6歲以上經診斷為小兒潰瘍性結腸炎患者，並符合下列條件之</w:t>
      </w:r>
      <w:proofErr w:type="gramStart"/>
      <w:r>
        <w:rPr>
          <w:rFonts w:ascii="標楷體" w:eastAsia="標楷體" w:hAnsi="標楷體"/>
          <w:color w:val="000000"/>
        </w:rPr>
        <w:t>一</w:t>
      </w:r>
      <w:proofErr w:type="gramEnd"/>
      <w:r>
        <w:rPr>
          <w:rFonts w:ascii="標楷體" w:eastAsia="標楷體" w:hAnsi="標楷體"/>
          <w:color w:val="000000"/>
        </w:rPr>
        <w:t>：(111/5/1)</w:t>
      </w:r>
    </w:p>
    <w:p w14:paraId="737F8AB2"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 同時符合下列條件：</w:t>
      </w:r>
    </w:p>
    <w:p w14:paraId="7EF8C426"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Ⅰ.領有潰瘍性結腸炎重大傷病卡（直腸型排除）。</w:t>
      </w:r>
    </w:p>
    <w:p w14:paraId="2889DED1"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Ⅱ.經5-aminosalicylic acid藥物(如sulfasalazine、mesalamine或</w:t>
      </w:r>
      <w:proofErr w:type="spellStart"/>
      <w:r>
        <w:rPr>
          <w:rFonts w:ascii="標楷體" w:eastAsia="標楷體" w:hAnsi="標楷體"/>
          <w:color w:val="000000"/>
        </w:rPr>
        <w:t>balsalazide</w:t>
      </w:r>
      <w:proofErr w:type="spellEnd"/>
      <w:r>
        <w:rPr>
          <w:rFonts w:ascii="標楷體" w:eastAsia="標楷體" w:hAnsi="標楷體"/>
          <w:color w:val="000000"/>
        </w:rPr>
        <w:t>)、類固醇、及免疫調節劑(如azathioprine或6-mercaptopurine)充分治療無效(須有病歷完整記載用藥史，連續治療達3個月以上)，或對5-aminosalicylic acid藥物、免疫調節劑產生嚴重藥物副作用。</w:t>
      </w:r>
    </w:p>
    <w:p w14:paraId="4C35B8E3"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Ⅲ.PUCAI</w:t>
      </w:r>
      <w:proofErr w:type="gramStart"/>
      <w:r>
        <w:rPr>
          <w:rFonts w:ascii="標楷體" w:eastAsia="標楷體" w:hAnsi="標楷體"/>
          <w:color w:val="000000"/>
        </w:rPr>
        <w:t>≧</w:t>
      </w:r>
      <w:proofErr w:type="gramEnd"/>
      <w:r>
        <w:rPr>
          <w:rFonts w:ascii="標楷體" w:eastAsia="標楷體" w:hAnsi="標楷體"/>
          <w:color w:val="000000"/>
        </w:rPr>
        <w:t>35分 (需檢附兩個月內報告)，或合併生長遲緩(height velocity Z score -1 to 2.5)孩童經營養治療與免疫抑制劑治療失敗者。</w:t>
      </w:r>
    </w:p>
    <w:p w14:paraId="4402C8D0"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(2)急性嚴重的潰瘍性結腸炎，同時符合下列四要件：</w:t>
      </w:r>
    </w:p>
    <w:p w14:paraId="39DEA011"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Ⅰ.內視鏡下符合潰瘍性結腸炎。</w:t>
      </w:r>
    </w:p>
    <w:p w14:paraId="2CAF711C"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Ⅱ.病理切片排除巨細胞病毒腸炎、阿米巴結腸炎、淋巴癌。</w:t>
      </w:r>
    </w:p>
    <w:p w14:paraId="61931D35"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Ⅲ.糞便檢測排除</w:t>
      </w:r>
      <w:proofErr w:type="gramStart"/>
      <w:r>
        <w:rPr>
          <w:rFonts w:ascii="標楷體" w:eastAsia="標楷體" w:hAnsi="標楷體"/>
          <w:color w:val="000000"/>
        </w:rPr>
        <w:t>困難梭狀</w:t>
      </w:r>
      <w:proofErr w:type="gramEnd"/>
      <w:r>
        <w:rPr>
          <w:rFonts w:ascii="標楷體" w:eastAsia="標楷體" w:hAnsi="標楷體"/>
          <w:color w:val="000000"/>
        </w:rPr>
        <w:t>桿菌感染。</w:t>
      </w:r>
    </w:p>
    <w:p w14:paraId="63D45284" w14:textId="77777777" w:rsidR="009D02BD" w:rsidRDefault="009D02BD" w:rsidP="009D02BD">
      <w:pPr>
        <w:ind w:left="1798" w:hanging="425"/>
        <w:rPr>
          <w:rFonts w:ascii="標楷體" w:eastAsia="標楷體" w:hAnsi="標楷體"/>
          <w:color w:val="000000"/>
        </w:rPr>
      </w:pPr>
      <w:proofErr w:type="spellStart"/>
      <w:r>
        <w:rPr>
          <w:rFonts w:ascii="標楷體" w:eastAsia="標楷體" w:hAnsi="標楷體"/>
          <w:color w:val="000000"/>
        </w:rPr>
        <w:t>Ⅳ.PUCAI</w:t>
      </w:r>
      <w:proofErr w:type="spellEnd"/>
      <w:r>
        <w:rPr>
          <w:rFonts w:ascii="標楷體" w:eastAsia="標楷體" w:hAnsi="標楷體"/>
          <w:color w:val="000000"/>
        </w:rPr>
        <w:t>為50分，經類固醇全劑量靜脈注射[如prednisolone 1-2 mg/kg/day(最大劑量每日 40-60 mg)、methylprednisolone 0.8-1.6 mg/kg/day(最大劑量每日32-48 mg)等]連續治療5天無效。</w:t>
      </w:r>
    </w:p>
    <w:p w14:paraId="636E911B"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4.療效評估與繼續使用：</w:t>
      </w:r>
    </w:p>
    <w:p w14:paraId="23C19C04"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(1)初次申請：infliximab以6</w:t>
      </w:r>
      <w:proofErr w:type="gramStart"/>
      <w:r>
        <w:rPr>
          <w:rFonts w:ascii="標楷體" w:eastAsia="標楷體" w:hAnsi="標楷體"/>
          <w:color w:val="000000"/>
        </w:rPr>
        <w:t>週</w:t>
      </w:r>
      <w:proofErr w:type="gramEnd"/>
      <w:r>
        <w:rPr>
          <w:rFonts w:ascii="標楷體" w:eastAsia="標楷體" w:hAnsi="標楷體"/>
          <w:color w:val="000000"/>
        </w:rPr>
        <w:t>(使用3劑)、adalimumab以6</w:t>
      </w:r>
      <w:proofErr w:type="gramStart"/>
      <w:r>
        <w:rPr>
          <w:rFonts w:ascii="標楷體" w:eastAsia="標楷體" w:hAnsi="標楷體"/>
          <w:color w:val="000000"/>
        </w:rPr>
        <w:t>週</w:t>
      </w:r>
      <w:proofErr w:type="gramEnd"/>
      <w:r>
        <w:rPr>
          <w:rFonts w:ascii="標楷體" w:eastAsia="標楷體" w:hAnsi="標楷體"/>
          <w:color w:val="000000"/>
        </w:rPr>
        <w:t>(使用4劑)為限，治療後達到臨床反應評估者(PUCAI減少20分或PUCAI＜10分)，方得申請繼續使用。(111/5/1)</w:t>
      </w:r>
    </w:p>
    <w:p w14:paraId="558B0BCF"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(2)繼續使用者：續用評估必須PUCAI較初次申請減少20分或PUCAI＜10分，方得申請繼續使用。infliximab以24</w:t>
      </w:r>
      <w:proofErr w:type="gramStart"/>
      <w:r>
        <w:rPr>
          <w:rFonts w:ascii="標楷體" w:eastAsia="標楷體" w:hAnsi="標楷體"/>
          <w:color w:val="000000"/>
        </w:rPr>
        <w:t>週</w:t>
      </w:r>
      <w:proofErr w:type="gramEnd"/>
      <w:r>
        <w:rPr>
          <w:rFonts w:ascii="標楷體" w:eastAsia="標楷體" w:hAnsi="標楷體"/>
          <w:color w:val="000000"/>
        </w:rPr>
        <w:t xml:space="preserve"> (使用3劑)及16</w:t>
      </w:r>
      <w:proofErr w:type="gramStart"/>
      <w:r>
        <w:rPr>
          <w:rFonts w:ascii="標楷體" w:eastAsia="標楷體" w:hAnsi="標楷體"/>
          <w:color w:val="000000"/>
        </w:rPr>
        <w:t>週</w:t>
      </w:r>
      <w:proofErr w:type="gramEnd"/>
      <w:r>
        <w:rPr>
          <w:rFonts w:ascii="標楷體" w:eastAsia="標楷體" w:hAnsi="標楷體"/>
          <w:color w:val="000000"/>
        </w:rPr>
        <w:t>(使用2劑)各1次為限。adalimumab繼續使用以24</w:t>
      </w:r>
      <w:proofErr w:type="gramStart"/>
      <w:r>
        <w:rPr>
          <w:rFonts w:ascii="標楷體" w:eastAsia="標楷體" w:hAnsi="標楷體"/>
          <w:color w:val="000000"/>
        </w:rPr>
        <w:t>週</w:t>
      </w:r>
      <w:proofErr w:type="gramEnd"/>
      <w:r>
        <w:rPr>
          <w:rFonts w:ascii="標楷體" w:eastAsia="標楷體" w:hAnsi="標楷體"/>
          <w:color w:val="000000"/>
        </w:rPr>
        <w:t>(使用12劑)2次為限。(108/10/1、111/5/1)</w:t>
      </w:r>
    </w:p>
    <w:p w14:paraId="5250F38B"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5.劑量給予方式及總療程：</w:t>
      </w:r>
    </w:p>
    <w:p w14:paraId="069BF231"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(1)Infliximab最初第一劑、兩</w:t>
      </w:r>
      <w:proofErr w:type="gramStart"/>
      <w:r>
        <w:rPr>
          <w:rFonts w:ascii="標楷體" w:eastAsia="標楷體" w:hAnsi="標楷體"/>
          <w:color w:val="000000"/>
        </w:rPr>
        <w:t>週</w:t>
      </w:r>
      <w:proofErr w:type="gramEnd"/>
      <w:r>
        <w:rPr>
          <w:rFonts w:ascii="標楷體" w:eastAsia="標楷體" w:hAnsi="標楷體"/>
          <w:color w:val="000000"/>
        </w:rPr>
        <w:t>後之第二劑、第六</w:t>
      </w:r>
      <w:proofErr w:type="gramStart"/>
      <w:r>
        <w:rPr>
          <w:rFonts w:ascii="標楷體" w:eastAsia="標楷體" w:hAnsi="標楷體"/>
          <w:color w:val="000000"/>
        </w:rPr>
        <w:t>週</w:t>
      </w:r>
      <w:proofErr w:type="gramEnd"/>
      <w:r>
        <w:rPr>
          <w:rFonts w:ascii="標楷體" w:eastAsia="標楷體" w:hAnsi="標楷體"/>
          <w:color w:val="000000"/>
        </w:rPr>
        <w:t>之第三劑給予5mg/kg，作為緩解之誘導；之後每隔八</w:t>
      </w:r>
      <w:proofErr w:type="gramStart"/>
      <w:r>
        <w:rPr>
          <w:rFonts w:ascii="標楷體" w:eastAsia="標楷體" w:hAnsi="標楷體"/>
          <w:color w:val="000000"/>
        </w:rPr>
        <w:t>週</w:t>
      </w:r>
      <w:proofErr w:type="gramEnd"/>
      <w:r>
        <w:rPr>
          <w:rFonts w:ascii="標楷體" w:eastAsia="標楷體" w:hAnsi="標楷體"/>
          <w:color w:val="000000"/>
        </w:rPr>
        <w:t>給予維持劑量5mg/kg，至多持續至46</w:t>
      </w:r>
      <w:proofErr w:type="gramStart"/>
      <w:r>
        <w:rPr>
          <w:rFonts w:ascii="標楷體" w:eastAsia="標楷體" w:hAnsi="標楷體"/>
          <w:color w:val="000000"/>
        </w:rPr>
        <w:t>週</w:t>
      </w:r>
      <w:proofErr w:type="gramEnd"/>
      <w:r>
        <w:rPr>
          <w:rFonts w:ascii="標楷體" w:eastAsia="標楷體" w:hAnsi="標楷體"/>
          <w:color w:val="000000"/>
        </w:rPr>
        <w:t>(使用8劑)，作為緩解之維持。 (108/10/1)</w:t>
      </w:r>
    </w:p>
    <w:p w14:paraId="27A6FB59"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(2)Adalimumab：(111/5/1)</w:t>
      </w:r>
    </w:p>
    <w:p w14:paraId="4C054BFD"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Ⅰ.20公斤至未滿40公斤: 最初第一劑80 mg，兩</w:t>
      </w:r>
      <w:proofErr w:type="gramStart"/>
      <w:r>
        <w:rPr>
          <w:rFonts w:ascii="標楷體" w:eastAsia="標楷體" w:hAnsi="標楷體"/>
          <w:color w:val="000000"/>
        </w:rPr>
        <w:t>週</w:t>
      </w:r>
      <w:proofErr w:type="gramEnd"/>
      <w:r>
        <w:rPr>
          <w:rFonts w:ascii="標楷體" w:eastAsia="標楷體" w:hAnsi="標楷體"/>
          <w:color w:val="000000"/>
        </w:rPr>
        <w:t>後第二劑40 mg，之後每隔兩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給予維持劑量40 mg。</w:t>
      </w:r>
    </w:p>
    <w:p w14:paraId="02410DC5"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Ⅱ.40公斤(含)以上:最初第一劑160 mg，兩</w:t>
      </w:r>
      <w:proofErr w:type="gramStart"/>
      <w:r>
        <w:rPr>
          <w:rFonts w:ascii="標楷體" w:eastAsia="標楷體" w:hAnsi="標楷體"/>
          <w:color w:val="000000"/>
        </w:rPr>
        <w:t>週</w:t>
      </w:r>
      <w:proofErr w:type="gramEnd"/>
      <w:r>
        <w:rPr>
          <w:rFonts w:ascii="標楷體" w:eastAsia="標楷體" w:hAnsi="標楷體"/>
          <w:color w:val="000000"/>
        </w:rPr>
        <w:t>後第二劑80mg，之後每隔兩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給予維持劑量80mg。</w:t>
      </w:r>
    </w:p>
    <w:p w14:paraId="14B9DE6A"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Ⅲ.治療至多持續至54</w:t>
      </w:r>
      <w:proofErr w:type="gramStart"/>
      <w:r>
        <w:rPr>
          <w:rFonts w:ascii="標楷體" w:eastAsia="標楷體" w:hAnsi="標楷體"/>
          <w:color w:val="000000"/>
        </w:rPr>
        <w:t>週</w:t>
      </w:r>
      <w:proofErr w:type="gramEnd"/>
      <w:r>
        <w:rPr>
          <w:rFonts w:ascii="標楷體" w:eastAsia="標楷體" w:hAnsi="標楷體"/>
          <w:color w:val="000000"/>
        </w:rPr>
        <w:t>(使用28劑)，作為緩解之維持。</w:t>
      </w:r>
    </w:p>
    <w:p w14:paraId="3996438E"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6.Infliximab治療46</w:t>
      </w:r>
      <w:proofErr w:type="gramStart"/>
      <w:r>
        <w:rPr>
          <w:rFonts w:ascii="標楷體" w:eastAsia="標楷體" w:hAnsi="標楷體"/>
          <w:color w:val="000000"/>
        </w:rPr>
        <w:t>週</w:t>
      </w:r>
      <w:proofErr w:type="gramEnd"/>
      <w:r>
        <w:rPr>
          <w:rFonts w:ascii="標楷體" w:eastAsia="標楷體" w:hAnsi="標楷體"/>
          <w:color w:val="000000"/>
        </w:rPr>
        <w:t>(使用8劑)、adalimumab治療54</w:t>
      </w:r>
      <w:proofErr w:type="gramStart"/>
      <w:r>
        <w:rPr>
          <w:rFonts w:ascii="標楷體" w:eastAsia="標楷體" w:hAnsi="標楷體"/>
          <w:color w:val="000000"/>
        </w:rPr>
        <w:t>週</w:t>
      </w:r>
      <w:proofErr w:type="gramEnd"/>
      <w:r>
        <w:rPr>
          <w:rFonts w:ascii="標楷體" w:eastAsia="標楷體" w:hAnsi="標楷體"/>
          <w:color w:val="000000"/>
        </w:rPr>
        <w:t>(使用28劑)後，必須至少再間隔超過3個月後，若病情復發，依初次使用標準再次提出事前審查，連續2次因療程結束而暫緩用藥疾病復發，且第2次復發於藥效終止後3個月內發生，則可持續使</w:t>
      </w:r>
      <w:r>
        <w:rPr>
          <w:rFonts w:ascii="標楷體" w:eastAsia="標楷體" w:hAnsi="標楷體"/>
          <w:color w:val="000000"/>
        </w:rPr>
        <w:lastRenderedPageBreak/>
        <w:t>用，惟</w:t>
      </w:r>
      <w:proofErr w:type="gramStart"/>
      <w:r>
        <w:rPr>
          <w:rFonts w:ascii="標楷體" w:eastAsia="標楷體" w:hAnsi="標楷體"/>
          <w:color w:val="000000"/>
        </w:rPr>
        <w:t>需每24週</w:t>
      </w:r>
      <w:proofErr w:type="gramEnd"/>
      <w:r>
        <w:rPr>
          <w:rFonts w:ascii="標楷體" w:eastAsia="標楷體" w:hAnsi="標楷體"/>
          <w:color w:val="000000"/>
        </w:rPr>
        <w:t>提出續用事前審查。連續2年(4次評估)達到PUCAI &lt; 5分，則應考慮停藥。(108/10/1、111/5/1、113/7/1)</w:t>
      </w:r>
    </w:p>
    <w:p w14:paraId="54AA6E29"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7.須排除使用之情形：</w:t>
      </w:r>
    </w:p>
    <w:p w14:paraId="2950F0FD"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 xml:space="preserve">  應參照藥物仿單，重要之排除使用狀況包括：</w:t>
      </w:r>
    </w:p>
    <w:p w14:paraId="2139E870"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4596D1F3"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患活動性感染症(active infection)之病患。</w:t>
      </w:r>
    </w:p>
    <w:p w14:paraId="46013922"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(3)未經完整治療之結核病病患（包括潛伏結核感染治療未達四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37F9AFBC"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(4)惡性腫瘤或具有癌症前兆(pre-malignancy)之病患(但不包括已經接受過充分治療達10年以上的惡性腫瘤)。</w:t>
      </w:r>
    </w:p>
    <w:p w14:paraId="00D785BC"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(5)具高度感染機會之病患：</w:t>
      </w:r>
      <w:proofErr w:type="gramStart"/>
      <w:r>
        <w:rPr>
          <w:rFonts w:ascii="標楷體" w:eastAsia="標楷體" w:hAnsi="標楷體"/>
          <w:color w:val="000000"/>
        </w:rPr>
        <w:t>慢性腿部</w:t>
      </w:r>
      <w:proofErr w:type="gramEnd"/>
      <w:r>
        <w:rPr>
          <w:rFonts w:ascii="標楷體" w:eastAsia="標楷體" w:hAnsi="標楷體"/>
          <w:color w:val="000000"/>
        </w:rPr>
        <w:t>潰瘍、導尿管置留、身上有引流管、人工關節感染，該人工關節尚未摘除者、頑固性或復發性之胸腔感染症病患。</w:t>
      </w:r>
    </w:p>
    <w:p w14:paraId="673226E1"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(6)多發性硬化症(multiple sclerosis)。</w:t>
      </w:r>
    </w:p>
    <w:p w14:paraId="0A0A7EAD"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8.須停止治療的情形：</w:t>
      </w:r>
    </w:p>
    <w:p w14:paraId="4FAA783B"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59D350EA"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(2)其他事項包括：</w:t>
      </w:r>
    </w:p>
    <w:p w14:paraId="1AD406EA"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Ⅰ.惡性腫瘤。</w:t>
      </w:r>
    </w:p>
    <w:p w14:paraId="5319F3AE"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Ⅱ.該藥物引起之嚴重毒性(白血球過低、嚴重過敏)。</w:t>
      </w:r>
    </w:p>
    <w:p w14:paraId="25A64EA7"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Ⅲ.懷孕(暫時停藥即可)。</w:t>
      </w:r>
    </w:p>
    <w:p w14:paraId="78241A7B" w14:textId="77777777" w:rsidR="009D02BD" w:rsidRDefault="009D02BD" w:rsidP="009D02BD">
      <w:pPr>
        <w:ind w:left="1985" w:hanging="567"/>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嚴重間發性</w:t>
      </w:r>
      <w:proofErr w:type="gramEnd"/>
      <w:r>
        <w:rPr>
          <w:rFonts w:ascii="標楷體" w:eastAsia="標楷體" w:hAnsi="標楷體"/>
          <w:color w:val="000000"/>
        </w:rPr>
        <w:t>感染(暫時停藥即可)。</w:t>
      </w:r>
    </w:p>
    <w:p w14:paraId="1C18DB45" w14:textId="77777777" w:rsidR="009D02BD" w:rsidRDefault="009D02BD" w:rsidP="009D02BD">
      <w:pPr>
        <w:ind w:left="851" w:hanging="284"/>
        <w:rPr>
          <w:rFonts w:ascii="標楷體" w:eastAsia="標楷體" w:hAnsi="標楷體"/>
          <w:color w:val="000000"/>
        </w:rPr>
      </w:pPr>
      <w:r>
        <w:rPr>
          <w:rFonts w:ascii="標楷體" w:eastAsia="標楷體" w:hAnsi="標楷體"/>
          <w:color w:val="000000"/>
        </w:rPr>
        <w:t>◎附表二十六之七：全民健康保險小兒潰瘍性結腸炎使用adalimumab、infliximab申請表(113/7/1)</w:t>
      </w:r>
    </w:p>
    <w:p w14:paraId="00A09FD7" w14:textId="77777777" w:rsidR="00401786" w:rsidRDefault="009D02BD" w:rsidP="009D02BD">
      <w:pPr>
        <w:spacing w:line="300" w:lineRule="exact"/>
        <w:ind w:left="851" w:hanging="245"/>
        <w:rPr>
          <w:rFonts w:ascii="標楷體" w:eastAsia="標楷體" w:hAnsi="標楷體"/>
          <w:color w:val="000000"/>
        </w:rPr>
      </w:pPr>
      <w:r>
        <w:rPr>
          <w:rFonts w:ascii="標楷體" w:eastAsia="標楷體" w:hAnsi="標楷體"/>
          <w:color w:val="000000"/>
        </w:rPr>
        <w:t>◎附表二十六之八小兒潰瘍性結腸炎PUCAI Score</w:t>
      </w:r>
    </w:p>
    <w:p w14:paraId="2D20B04E" w14:textId="77777777" w:rsidR="00401786" w:rsidRDefault="00C64FB3" w:rsidP="00FA02FE">
      <w:pPr>
        <w:widowControl/>
        <w:suppressAutoHyphens w:val="0"/>
        <w:spacing w:line="300" w:lineRule="exact"/>
        <w:ind w:leftChars="118" w:left="283"/>
        <w:rPr>
          <w:rFonts w:ascii="標楷體" w:eastAsia="標楷體" w:hAnsi="標楷體"/>
          <w:color w:val="000000"/>
        </w:rPr>
      </w:pPr>
      <w:r>
        <w:rPr>
          <w:rFonts w:ascii="標楷體" w:eastAsia="標楷體" w:hAnsi="標楷體"/>
          <w:color w:val="000000"/>
        </w:rPr>
        <w:t>8.2.4.10.Adalimumab（如Humira）(109/9/1) 用於小兒</w:t>
      </w:r>
      <w:proofErr w:type="gramStart"/>
      <w:r>
        <w:rPr>
          <w:rFonts w:ascii="標楷體" w:eastAsia="標楷體" w:hAnsi="標楷體"/>
          <w:color w:val="000000"/>
        </w:rPr>
        <w:t>葡萄膜炎治療</w:t>
      </w:r>
      <w:proofErr w:type="gramEnd"/>
      <w:r>
        <w:rPr>
          <w:rFonts w:ascii="標楷體" w:eastAsia="標楷體" w:hAnsi="標楷體"/>
          <w:color w:val="000000"/>
        </w:rPr>
        <w:t>部分</w:t>
      </w:r>
    </w:p>
    <w:p w14:paraId="5A1878D3"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1.限使用於2-17歲小兒非感染性</w:t>
      </w:r>
      <w:proofErr w:type="gramStart"/>
      <w:r>
        <w:rPr>
          <w:rFonts w:ascii="標楷體" w:eastAsia="標楷體" w:hAnsi="標楷體"/>
          <w:color w:val="000000"/>
        </w:rPr>
        <w:t>葡萄膜炎患者</w:t>
      </w:r>
      <w:proofErr w:type="gramEnd"/>
      <w:r>
        <w:rPr>
          <w:rFonts w:ascii="標楷體" w:eastAsia="標楷體" w:hAnsi="標楷體"/>
          <w:color w:val="000000"/>
        </w:rPr>
        <w:t>。</w:t>
      </w:r>
    </w:p>
    <w:p w14:paraId="77E02FD9" w14:textId="77777777" w:rsidR="00401786" w:rsidRDefault="00C64FB3" w:rsidP="0009639E">
      <w:pPr>
        <w:spacing w:line="300" w:lineRule="exact"/>
        <w:ind w:left="806" w:hanging="240"/>
        <w:rPr>
          <w:rFonts w:ascii="標楷體" w:eastAsia="標楷體" w:hAnsi="標楷體"/>
          <w:color w:val="000000"/>
        </w:rPr>
      </w:pPr>
      <w:r>
        <w:rPr>
          <w:rFonts w:ascii="標楷體" w:eastAsia="標楷體" w:hAnsi="標楷體"/>
          <w:color w:val="000000"/>
        </w:rPr>
        <w:t>2.限具有眼科專科、風濕病專科醫師證書之內科、或具有小兒過敏免疫專科醫師證書之醫師處方。</w:t>
      </w:r>
    </w:p>
    <w:p w14:paraId="6E987D48"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3.需事前審查核准後使用。</w:t>
      </w:r>
    </w:p>
    <w:p w14:paraId="6B0B314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(1)申報時需檢附methotrexate使用的劑量、治療時間、副作用、及前房發炎細胞的病情描述。</w:t>
      </w:r>
    </w:p>
    <w:p w14:paraId="276DA5C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(2)每24</w:t>
      </w:r>
      <w:proofErr w:type="gramStart"/>
      <w:r>
        <w:rPr>
          <w:rFonts w:ascii="標楷體" w:eastAsia="標楷體" w:hAnsi="標楷體"/>
          <w:color w:val="000000"/>
        </w:rPr>
        <w:t>週</w:t>
      </w:r>
      <w:proofErr w:type="gramEnd"/>
      <w:r>
        <w:rPr>
          <w:rFonts w:ascii="標楷體" w:eastAsia="標楷體" w:hAnsi="標楷體"/>
          <w:color w:val="000000"/>
        </w:rPr>
        <w:t>需再申請一次；需描述使用adalimumab後的療效、副作用或併發症。</w:t>
      </w:r>
    </w:p>
    <w:p w14:paraId="347E171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4.需同時符合下述(1)(2)兩項條件者方可使用。</w:t>
      </w:r>
    </w:p>
    <w:p w14:paraId="6449A07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(1)最近3個月</w:t>
      </w:r>
      <w:proofErr w:type="gramStart"/>
      <w:r>
        <w:rPr>
          <w:rFonts w:ascii="標楷體" w:eastAsia="標楷體" w:hAnsi="標楷體"/>
          <w:color w:val="000000"/>
        </w:rPr>
        <w:t>葡萄膜炎處於</w:t>
      </w:r>
      <w:proofErr w:type="gramEnd"/>
      <w:r>
        <w:rPr>
          <w:rFonts w:ascii="標楷體" w:eastAsia="標楷體" w:hAnsi="標楷體"/>
          <w:color w:val="000000"/>
        </w:rPr>
        <w:t>活動期 (定義為前房發炎細胞大於等於+1價)。</w:t>
      </w:r>
    </w:p>
    <w:p w14:paraId="779E6C9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(2)標準療法失敗，定義為methotrexate 10毫克/身體表面積平方米/</w:t>
      </w:r>
      <w:proofErr w:type="gramStart"/>
      <w:r>
        <w:rPr>
          <w:rFonts w:ascii="標楷體" w:eastAsia="標楷體" w:hAnsi="標楷體"/>
          <w:color w:val="000000"/>
        </w:rPr>
        <w:t>週</w:t>
      </w:r>
      <w:proofErr w:type="gramEnd"/>
      <w:r>
        <w:rPr>
          <w:rFonts w:ascii="標楷體" w:eastAsia="標楷體" w:hAnsi="標楷體"/>
          <w:color w:val="000000"/>
        </w:rPr>
        <w:t>的口服或注射治療達3個月以上，前房發炎細胞仍大於等於+1價。若因藥物毒性無法忍受，以致於無法達到上項要求時，劑量可以酌情降低。</w:t>
      </w:r>
    </w:p>
    <w:p w14:paraId="13B7E75F"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5.療效評估與繼續使用:</w:t>
      </w:r>
    </w:p>
    <w:p w14:paraId="1133E22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(1)初次申請adalimumab以24</w:t>
      </w:r>
      <w:proofErr w:type="gramStart"/>
      <w:r>
        <w:rPr>
          <w:rFonts w:ascii="標楷體" w:eastAsia="標楷體" w:hAnsi="標楷體"/>
          <w:color w:val="000000"/>
        </w:rPr>
        <w:t>週</w:t>
      </w:r>
      <w:proofErr w:type="gramEnd"/>
      <w:r>
        <w:rPr>
          <w:rFonts w:ascii="標楷體" w:eastAsia="標楷體" w:hAnsi="標楷體"/>
          <w:color w:val="000000"/>
        </w:rPr>
        <w:t>為限。起始劑量(loading dose)和維持劑量如下:</w:t>
      </w:r>
    </w:p>
    <w:p w14:paraId="0E78E12C" w14:textId="77777777" w:rsidR="00401786" w:rsidRDefault="00C64FB3" w:rsidP="0009639E">
      <w:pPr>
        <w:spacing w:line="300" w:lineRule="exact"/>
        <w:ind w:left="1560" w:hanging="425"/>
        <w:rPr>
          <w:rFonts w:ascii="標楷體" w:eastAsia="標楷體" w:hAnsi="標楷體"/>
          <w:color w:val="000000"/>
        </w:rPr>
      </w:pPr>
      <w:proofErr w:type="gramStart"/>
      <w:r>
        <w:rPr>
          <w:rFonts w:ascii="標楷體" w:eastAsia="標楷體" w:hAnsi="標楷體"/>
          <w:color w:val="000000"/>
        </w:rPr>
        <w:t>Ⅰ.&lt;</w:t>
      </w:r>
      <w:proofErr w:type="gramEnd"/>
      <w:r>
        <w:rPr>
          <w:rFonts w:ascii="標楷體" w:eastAsia="標楷體" w:hAnsi="標楷體"/>
          <w:color w:val="000000"/>
        </w:rPr>
        <w:t>30公斤:起始劑量為40 mg，隔週給予維持劑量，維持劑量為每隔一週給予20 mg。</w:t>
      </w:r>
    </w:p>
    <w:p w14:paraId="4E62FC05" w14:textId="77777777" w:rsidR="00401786" w:rsidRDefault="00C64FB3" w:rsidP="0009639E">
      <w:pPr>
        <w:spacing w:line="300" w:lineRule="exact"/>
        <w:ind w:left="1560" w:hanging="425"/>
      </w:pPr>
      <w:r>
        <w:rPr>
          <w:rFonts w:ascii="標楷體" w:eastAsia="標楷體" w:hAnsi="標楷體"/>
          <w:color w:val="000000"/>
        </w:rPr>
        <w:t>Ⅱ.</w:t>
      </w:r>
      <w:r>
        <w:t xml:space="preserve"> </w:t>
      </w:r>
      <w:r>
        <w:rPr>
          <w:rFonts w:ascii="Times New Roman" w:eastAsia="標楷體" w:hAnsi="Times New Roman"/>
          <w:color w:val="000000"/>
        </w:rPr>
        <w:t>≥</w:t>
      </w:r>
      <w:r>
        <w:rPr>
          <w:rFonts w:ascii="標楷體" w:eastAsia="標楷體" w:hAnsi="標楷體"/>
          <w:color w:val="000000"/>
        </w:rPr>
        <w:t>30公斤:起始劑量為80 mg，隔</w:t>
      </w:r>
      <w:proofErr w:type="gramStart"/>
      <w:r>
        <w:rPr>
          <w:rFonts w:ascii="標楷體" w:eastAsia="標楷體" w:hAnsi="標楷體"/>
          <w:color w:val="000000"/>
        </w:rPr>
        <w:t>週</w:t>
      </w:r>
      <w:proofErr w:type="gramEnd"/>
      <w:r>
        <w:rPr>
          <w:rFonts w:ascii="標楷體" w:eastAsia="標楷體" w:hAnsi="標楷體"/>
          <w:color w:val="000000"/>
        </w:rPr>
        <w:t>給予維持劑量，維持劑量為每隔</w:t>
      </w:r>
      <w:proofErr w:type="gramStart"/>
      <w:r>
        <w:rPr>
          <w:rFonts w:ascii="標楷體" w:eastAsia="標楷體" w:hAnsi="標楷體"/>
          <w:color w:val="000000"/>
        </w:rPr>
        <w:t>一週</w:t>
      </w:r>
      <w:proofErr w:type="gramEnd"/>
      <w:r>
        <w:rPr>
          <w:rFonts w:ascii="標楷體" w:eastAsia="標楷體" w:hAnsi="標楷體"/>
          <w:color w:val="000000"/>
        </w:rPr>
        <w:t>給予40 mg。</w:t>
      </w:r>
    </w:p>
    <w:p w14:paraId="466B3E0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  (2)繼續使用adalimumab者，每24</w:t>
      </w:r>
      <w:proofErr w:type="gramStart"/>
      <w:r>
        <w:rPr>
          <w:rFonts w:ascii="標楷體" w:eastAsia="標楷體" w:hAnsi="標楷體"/>
          <w:color w:val="000000"/>
        </w:rPr>
        <w:t>週</w:t>
      </w:r>
      <w:proofErr w:type="gramEnd"/>
      <w:r>
        <w:rPr>
          <w:rFonts w:ascii="標楷體" w:eastAsia="標楷體" w:hAnsi="標楷體"/>
          <w:color w:val="000000"/>
        </w:rPr>
        <w:t>評估療效一次。</w:t>
      </w:r>
    </w:p>
    <w:p w14:paraId="1B36A5AD"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6.須停止使用adalimumab的情形：</w:t>
      </w:r>
    </w:p>
    <w:p w14:paraId="1A7E944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彰：定義為24</w:t>
      </w:r>
      <w:proofErr w:type="gramStart"/>
      <w:r>
        <w:rPr>
          <w:rFonts w:ascii="標楷體" w:eastAsia="標楷體" w:hAnsi="標楷體"/>
          <w:color w:val="000000"/>
        </w:rPr>
        <w:t>週</w:t>
      </w:r>
      <w:proofErr w:type="gramEnd"/>
      <w:r>
        <w:rPr>
          <w:rFonts w:ascii="標楷體" w:eastAsia="標楷體" w:hAnsi="標楷體"/>
          <w:color w:val="000000"/>
        </w:rPr>
        <w:t>adalimumab治療後，出現以下任</w:t>
      </w:r>
      <w:proofErr w:type="gramStart"/>
      <w:r>
        <w:rPr>
          <w:rFonts w:ascii="標楷體" w:eastAsia="標楷體" w:hAnsi="標楷體"/>
          <w:color w:val="000000"/>
        </w:rPr>
        <w:t>一</w:t>
      </w:r>
      <w:proofErr w:type="gramEnd"/>
      <w:r>
        <w:rPr>
          <w:rFonts w:ascii="標楷體" w:eastAsia="標楷體" w:hAnsi="標楷體"/>
          <w:color w:val="000000"/>
        </w:rPr>
        <w:t>情形：</w:t>
      </w:r>
    </w:p>
    <w:p w14:paraId="050A09C9"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Ⅰ.前房發炎細胞比基礎值未改善或惡化。</w:t>
      </w:r>
    </w:p>
    <w:p w14:paraId="6D260FC6"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Ⅱ.有</w:t>
      </w:r>
      <w:proofErr w:type="gramStart"/>
      <w:r>
        <w:rPr>
          <w:rFonts w:ascii="標楷體" w:eastAsia="標楷體" w:hAnsi="標楷體"/>
          <w:color w:val="000000"/>
        </w:rPr>
        <w:t>眼球共病惡化</w:t>
      </w:r>
      <w:proofErr w:type="gramEnd"/>
      <w:r>
        <w:rPr>
          <w:rFonts w:ascii="標楷體" w:eastAsia="標楷體" w:hAnsi="標楷體"/>
          <w:color w:val="000000"/>
        </w:rPr>
        <w:t>(如視神經水腫、</w:t>
      </w:r>
      <w:proofErr w:type="gramStart"/>
      <w:r>
        <w:rPr>
          <w:rFonts w:ascii="標楷體" w:eastAsia="標楷體" w:hAnsi="標楷體"/>
          <w:color w:val="000000"/>
        </w:rPr>
        <w:t>黃斑囊樣水腫</w:t>
      </w:r>
      <w:proofErr w:type="gramEnd"/>
      <w:r>
        <w:rPr>
          <w:rFonts w:ascii="標楷體" w:eastAsia="標楷體" w:hAnsi="標楷體"/>
          <w:color w:val="000000"/>
        </w:rPr>
        <w:t>或視力衰退)或治療期間發展</w:t>
      </w:r>
      <w:r>
        <w:rPr>
          <w:rFonts w:ascii="標楷體" w:eastAsia="標楷體" w:hAnsi="標楷體"/>
          <w:color w:val="000000"/>
        </w:rPr>
        <w:lastRenderedPageBreak/>
        <w:t>出新的</w:t>
      </w:r>
      <w:proofErr w:type="gramStart"/>
      <w:r>
        <w:rPr>
          <w:rFonts w:ascii="標楷體" w:eastAsia="標楷體" w:hAnsi="標楷體"/>
          <w:color w:val="000000"/>
        </w:rPr>
        <w:t>眼球共病</w:t>
      </w:r>
      <w:proofErr w:type="gramEnd"/>
      <w:r>
        <w:rPr>
          <w:rFonts w:ascii="標楷體" w:eastAsia="標楷體" w:hAnsi="標楷體"/>
          <w:color w:val="000000"/>
        </w:rPr>
        <w:t>。</w:t>
      </w:r>
    </w:p>
    <w:p w14:paraId="6838222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(2)不良事件，包括：</w:t>
      </w:r>
    </w:p>
    <w:p w14:paraId="4C8227ED"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Ⅰ.惡性腫瘤。</w:t>
      </w:r>
    </w:p>
    <w:p w14:paraId="38428411"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Ⅱ.該藥物引起的嚴重毒性。</w:t>
      </w:r>
    </w:p>
    <w:p w14:paraId="6AD15943"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Ⅲ.嚴重</w:t>
      </w:r>
      <w:proofErr w:type="gramStart"/>
      <w:r>
        <w:rPr>
          <w:rFonts w:ascii="標楷體" w:eastAsia="標楷體" w:hAnsi="標楷體"/>
          <w:color w:val="000000"/>
        </w:rPr>
        <w:t>的間發性</w:t>
      </w:r>
      <w:proofErr w:type="gramEnd"/>
      <w:r>
        <w:rPr>
          <w:rFonts w:ascii="標楷體" w:eastAsia="標楷體" w:hAnsi="標楷體"/>
          <w:color w:val="000000"/>
        </w:rPr>
        <w:t>感染症 (intercurrent infection)(暫時停藥即可)。</w:t>
      </w:r>
    </w:p>
    <w:p w14:paraId="7C5A5E6A"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7.需排除使用的情形</w:t>
      </w:r>
    </w:p>
    <w:p w14:paraId="31E50B1C"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應參照藥物仿單，重要之排除使用狀況包括 (以下未列者參照仿單所載)：</w:t>
      </w:r>
    </w:p>
    <w:p w14:paraId="3AE7FBBA"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罹</w:t>
      </w:r>
      <w:proofErr w:type="gramEnd"/>
      <w:r>
        <w:rPr>
          <w:rFonts w:ascii="標楷體" w:eastAsia="標楷體" w:hAnsi="標楷體"/>
          <w:color w:val="000000"/>
        </w:rPr>
        <w:t>患活動性的感染症的病患。</w:t>
      </w:r>
    </w:p>
    <w:p w14:paraId="70B0DE24"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(2)未經完整治療之結核病的病患（包括潛伏結核感染治療未達四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4C470789"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(3)身上帶有人工關節者，</w:t>
      </w:r>
      <w:proofErr w:type="gramStart"/>
      <w:r>
        <w:rPr>
          <w:rFonts w:ascii="標楷體" w:eastAsia="標楷體" w:hAnsi="標楷體"/>
          <w:color w:val="000000"/>
        </w:rPr>
        <w:t>罹</w:t>
      </w:r>
      <w:proofErr w:type="gramEnd"/>
      <w:r>
        <w:rPr>
          <w:rFonts w:ascii="標楷體" w:eastAsia="標楷體" w:hAnsi="標楷體"/>
          <w:color w:val="000000"/>
        </w:rPr>
        <w:t>患或先前曾</w:t>
      </w:r>
      <w:proofErr w:type="gramStart"/>
      <w:r>
        <w:rPr>
          <w:rFonts w:ascii="標楷體" w:eastAsia="標楷體" w:hAnsi="標楷體"/>
          <w:color w:val="000000"/>
        </w:rPr>
        <w:t>罹</w:t>
      </w:r>
      <w:proofErr w:type="gramEnd"/>
      <w:r>
        <w:rPr>
          <w:rFonts w:ascii="標楷體" w:eastAsia="標楷體" w:hAnsi="標楷體"/>
          <w:color w:val="000000"/>
        </w:rPr>
        <w:t>患過嚴重的敗血症(Sepsis)者。</w:t>
      </w:r>
    </w:p>
    <w:p w14:paraId="5BF8E15E"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(4)惡性腫瘤或具有癌症前兆(pre-malignancy)的患者。</w:t>
      </w:r>
    </w:p>
    <w:p w14:paraId="75EAC1BD" w14:textId="77777777" w:rsidR="00401786" w:rsidRDefault="00C64FB3" w:rsidP="0009639E">
      <w:pPr>
        <w:spacing w:line="300" w:lineRule="exact"/>
        <w:ind w:left="566" w:hanging="240"/>
        <w:rPr>
          <w:rFonts w:ascii="標楷體" w:eastAsia="標楷體" w:hAnsi="標楷體"/>
          <w:color w:val="000000"/>
        </w:rPr>
      </w:pPr>
      <w:r>
        <w:rPr>
          <w:rFonts w:ascii="標楷體" w:eastAsia="標楷體" w:hAnsi="標楷體"/>
          <w:color w:val="000000"/>
        </w:rPr>
        <w:t>8.2.4.11.Guselkumab (如Tremfya) (111/9/1)：用於掌</w:t>
      </w:r>
      <w:proofErr w:type="gramStart"/>
      <w:r>
        <w:rPr>
          <w:rFonts w:ascii="標楷體" w:eastAsia="標楷體" w:hAnsi="標楷體"/>
          <w:color w:val="000000"/>
        </w:rPr>
        <w:t>蹠膿皰症治療</w:t>
      </w:r>
      <w:proofErr w:type="gramEnd"/>
      <w:r>
        <w:rPr>
          <w:rFonts w:ascii="標楷體" w:eastAsia="標楷體" w:hAnsi="標楷體"/>
          <w:color w:val="000000"/>
        </w:rPr>
        <w:t>部分</w:t>
      </w:r>
    </w:p>
    <w:p w14:paraId="4A1773C2" w14:textId="77777777" w:rsidR="00401786" w:rsidRDefault="00C64FB3" w:rsidP="0009639E">
      <w:pPr>
        <w:spacing w:line="300" w:lineRule="exact"/>
        <w:ind w:left="850" w:hanging="240"/>
      </w:pPr>
      <w:r>
        <w:rPr>
          <w:rFonts w:ascii="標楷體" w:eastAsia="標楷體" w:hAnsi="標楷體"/>
          <w:color w:val="000000"/>
        </w:rPr>
        <w:t>1.</w:t>
      </w:r>
      <w:r>
        <w:rPr>
          <w:rFonts w:ascii="標楷體" w:eastAsia="標楷體" w:hAnsi="標楷體"/>
          <w:color w:val="000000"/>
          <w:kern w:val="0"/>
        </w:rPr>
        <w:t>限內科專科醫師且具有風濕或免疫專科醫師證書者，或皮膚科專科醫師處方。</w:t>
      </w:r>
    </w:p>
    <w:p w14:paraId="00C0BC50" w14:textId="77777777" w:rsidR="00401786" w:rsidRDefault="00C64FB3" w:rsidP="0009639E">
      <w:pPr>
        <w:spacing w:line="300" w:lineRule="exact"/>
        <w:ind w:left="850" w:hanging="240"/>
        <w:rPr>
          <w:rFonts w:ascii="標楷體" w:eastAsia="標楷體" w:hAnsi="標楷體"/>
          <w:color w:val="000000"/>
        </w:rPr>
      </w:pPr>
      <w:r>
        <w:rPr>
          <w:rFonts w:ascii="標楷體" w:eastAsia="標楷體" w:hAnsi="標楷體"/>
          <w:color w:val="000000"/>
        </w:rPr>
        <w:t xml:space="preserve">2.給付條件: </w:t>
      </w:r>
      <w:bookmarkStart w:id="21" w:name="_Hlk51664278"/>
      <w:r>
        <w:rPr>
          <w:rFonts w:ascii="標楷體" w:eastAsia="標楷體" w:hAnsi="標楷體"/>
          <w:color w:val="000000"/>
        </w:rPr>
        <w:t>限用於經照光治療及其他全身性治療無效，或因醫療因素而無法接受其他全身性治療之中、重度掌</w:t>
      </w:r>
      <w:proofErr w:type="gramStart"/>
      <w:r>
        <w:rPr>
          <w:rFonts w:ascii="標楷體" w:eastAsia="標楷體" w:hAnsi="標楷體"/>
          <w:color w:val="000000"/>
        </w:rPr>
        <w:t>蹠膿皰症</w:t>
      </w:r>
      <w:proofErr w:type="gramEnd"/>
      <w:r>
        <w:rPr>
          <w:rFonts w:ascii="標楷體" w:eastAsia="標楷體" w:hAnsi="標楷體"/>
          <w:color w:val="000000"/>
        </w:rPr>
        <w:t>，且影響功能之患者</w:t>
      </w:r>
      <w:bookmarkEnd w:id="21"/>
      <w:r>
        <w:rPr>
          <w:rFonts w:ascii="標楷體" w:eastAsia="標楷體" w:hAnsi="標楷體"/>
          <w:color w:val="000000"/>
        </w:rPr>
        <w:t>。</w:t>
      </w:r>
    </w:p>
    <w:p w14:paraId="7D04EC93" w14:textId="77777777" w:rsidR="00401786" w:rsidRDefault="00C64FB3" w:rsidP="0009639E">
      <w:pPr>
        <w:spacing w:line="300" w:lineRule="exact"/>
        <w:ind w:left="1133" w:hanging="384"/>
        <w:rPr>
          <w:rFonts w:ascii="標楷體" w:eastAsia="標楷體" w:hAnsi="標楷體"/>
          <w:color w:val="000000"/>
        </w:rPr>
      </w:pPr>
      <w:r>
        <w:rPr>
          <w:rFonts w:ascii="標楷體" w:eastAsia="標楷體" w:hAnsi="標楷體"/>
          <w:color w:val="000000"/>
        </w:rPr>
        <w:t>(1)中重度掌</w:t>
      </w:r>
      <w:proofErr w:type="gramStart"/>
      <w:r>
        <w:rPr>
          <w:rFonts w:ascii="標楷體" w:eastAsia="標楷體" w:hAnsi="標楷體"/>
          <w:color w:val="000000"/>
        </w:rPr>
        <w:t>蹠膿皰症</w:t>
      </w:r>
      <w:proofErr w:type="gramEnd"/>
      <w:r>
        <w:rPr>
          <w:rFonts w:ascii="標楷體" w:eastAsia="標楷體" w:hAnsi="標楷體"/>
          <w:color w:val="000000"/>
        </w:rPr>
        <w:t xml:space="preserve">：PPPASI(Palmoplantar Pustulosis  Area and Severity Index ) </w:t>
      </w:r>
      <w:proofErr w:type="gramStart"/>
      <w:r>
        <w:rPr>
          <w:rFonts w:ascii="標楷體" w:eastAsia="標楷體" w:hAnsi="標楷體"/>
          <w:color w:val="000000"/>
        </w:rPr>
        <w:t>≧</w:t>
      </w:r>
      <w:proofErr w:type="gramEnd"/>
      <w:r>
        <w:rPr>
          <w:rFonts w:ascii="標楷體" w:eastAsia="標楷體" w:hAnsi="標楷體"/>
          <w:color w:val="000000"/>
        </w:rPr>
        <w:t>12。</w:t>
      </w:r>
    </w:p>
    <w:p w14:paraId="40F4C75A" w14:textId="77777777" w:rsidR="00401786" w:rsidRDefault="00C64FB3" w:rsidP="0009639E">
      <w:pPr>
        <w:spacing w:line="300" w:lineRule="exact"/>
        <w:ind w:left="994" w:hanging="245"/>
        <w:rPr>
          <w:rFonts w:ascii="標楷體" w:eastAsia="標楷體" w:hAnsi="標楷體"/>
          <w:color w:val="000000"/>
        </w:rPr>
      </w:pPr>
      <w:r>
        <w:rPr>
          <w:rFonts w:ascii="標楷體" w:eastAsia="標楷體" w:hAnsi="標楷體"/>
          <w:color w:val="000000"/>
        </w:rPr>
        <w:t>(2)所稱治療無效，指治療後嚴重度仍符合</w:t>
      </w:r>
      <w:proofErr w:type="gramStart"/>
      <w:r>
        <w:rPr>
          <w:rFonts w:ascii="標楷體" w:eastAsia="標楷體" w:hAnsi="標楷體"/>
          <w:color w:val="000000"/>
        </w:rPr>
        <w:t>上列第</w:t>
      </w:r>
      <w:proofErr w:type="gramEnd"/>
      <w:r>
        <w:rPr>
          <w:rFonts w:ascii="標楷體" w:eastAsia="標楷體" w:hAnsi="標楷體"/>
          <w:color w:val="000000"/>
        </w:rPr>
        <w:t>(1)點情況。</w:t>
      </w:r>
    </w:p>
    <w:p w14:paraId="0990A822" w14:textId="77777777" w:rsidR="00401786" w:rsidRDefault="00C64FB3" w:rsidP="0009639E">
      <w:pPr>
        <w:spacing w:line="300" w:lineRule="exact"/>
        <w:ind w:left="1275"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.治療必須包括以下三種全身性治療之至少兩種，包括methotrexate、acitretin、cyclosporin。</w:t>
      </w:r>
    </w:p>
    <w:p w14:paraId="0D8ECB10"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ii.治療需至少使用3個月，但育齡女性，得不經acitretin使用。</w:t>
      </w:r>
    </w:p>
    <w:p w14:paraId="3A10ECD2" w14:textId="77777777" w:rsidR="00401786" w:rsidRDefault="00C64FB3" w:rsidP="0009639E">
      <w:pPr>
        <w:spacing w:line="300" w:lineRule="exact"/>
        <w:ind w:left="1390" w:hanging="360"/>
        <w:rPr>
          <w:rFonts w:ascii="標楷體" w:eastAsia="標楷體" w:hAnsi="標楷體"/>
          <w:color w:val="000000"/>
        </w:rPr>
      </w:pPr>
      <w:r>
        <w:rPr>
          <w:rFonts w:ascii="標楷體" w:eastAsia="標楷體" w:hAnsi="標楷體"/>
          <w:color w:val="000000"/>
        </w:rPr>
        <w:t>iii.照光治療應依學理，如光化療法(PUVA)及窄頻UVB(</w:t>
      </w:r>
      <w:proofErr w:type="spellStart"/>
      <w:r>
        <w:rPr>
          <w:rFonts w:ascii="標楷體" w:eastAsia="標楷體" w:hAnsi="標楷體"/>
          <w:color w:val="000000"/>
        </w:rPr>
        <w:t>nb</w:t>
      </w:r>
      <w:proofErr w:type="spellEnd"/>
      <w:r>
        <w:rPr>
          <w:rFonts w:ascii="標楷體" w:eastAsia="標楷體" w:hAnsi="標楷體"/>
          <w:color w:val="000000"/>
        </w:rPr>
        <w:t>-UVB)必須每週至少2次，寬頻UVB</w:t>
      </w:r>
      <w:proofErr w:type="gramStart"/>
      <w:r>
        <w:rPr>
          <w:rFonts w:ascii="標楷體" w:eastAsia="標楷體" w:hAnsi="標楷體"/>
          <w:color w:val="000000"/>
        </w:rPr>
        <w:t>併</w:t>
      </w:r>
      <w:proofErr w:type="gramEnd"/>
      <w:r>
        <w:rPr>
          <w:rFonts w:ascii="標楷體" w:eastAsia="標楷體" w:hAnsi="標楷體"/>
          <w:color w:val="000000"/>
        </w:rPr>
        <w:t>用焦油每週至少3次，並依學理逐漸增加至有效可忍受劑量。申請時必須附病歷影印及詳細照光劑量紀錄。</w:t>
      </w:r>
    </w:p>
    <w:p w14:paraId="3659FD1F" w14:textId="77777777" w:rsidR="00401786" w:rsidRDefault="00C64FB3" w:rsidP="0009639E">
      <w:pPr>
        <w:spacing w:line="300" w:lineRule="exact"/>
        <w:ind w:left="1390" w:hanging="360"/>
        <w:rPr>
          <w:rFonts w:ascii="標楷體" w:eastAsia="標楷體" w:hAnsi="標楷體"/>
          <w:color w:val="000000"/>
        </w:rPr>
      </w:pPr>
      <w:proofErr w:type="spellStart"/>
      <w:r>
        <w:rPr>
          <w:rFonts w:ascii="標楷體" w:eastAsia="標楷體" w:hAnsi="標楷體"/>
          <w:color w:val="000000"/>
        </w:rPr>
        <w:t>iv.Methotrexate</w:t>
      </w:r>
      <w:proofErr w:type="spellEnd"/>
      <w:r>
        <w:rPr>
          <w:rFonts w:ascii="標楷體" w:eastAsia="標楷體" w:hAnsi="標楷體"/>
          <w:color w:val="000000"/>
        </w:rPr>
        <w:t>合理劑量需達每週15mg, cyclosporin合理劑量需達2.5-5 mg/kg/d, acitretin為0.3-1 mg/kg/d。但若因為藥物毒性無法耐受，使用劑量可酌情降低。</w:t>
      </w:r>
    </w:p>
    <w:p w14:paraId="35505705"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 xml:space="preserve"> (3)所稱無法接受治療：</w:t>
      </w:r>
    </w:p>
    <w:p w14:paraId="66271C9A" w14:textId="77777777" w:rsidR="00401786" w:rsidRDefault="00C64FB3" w:rsidP="0009639E">
      <w:pPr>
        <w:spacing w:line="300" w:lineRule="exact"/>
        <w:ind w:left="1416" w:hanging="245"/>
        <w:rPr>
          <w:rFonts w:ascii="標楷體" w:eastAsia="標楷體" w:hAnsi="標楷體"/>
          <w:color w:val="000000"/>
        </w:rPr>
      </w:pPr>
      <w:proofErr w:type="spellStart"/>
      <w:r>
        <w:rPr>
          <w:rFonts w:ascii="標楷體" w:eastAsia="標楷體" w:hAnsi="標楷體"/>
          <w:color w:val="000000"/>
        </w:rPr>
        <w:t>i.Methotrexate</w:t>
      </w:r>
      <w:proofErr w:type="spellEnd"/>
      <w:r>
        <w:rPr>
          <w:rFonts w:ascii="標楷體" w:eastAsia="標楷體" w:hAnsi="標楷體"/>
          <w:color w:val="000000"/>
        </w:rPr>
        <w:t>：指因肝功能異常或切片第三期a異常，經6個月後切片仍無改善，或第三期b以上之肝切片異常，病毒性肝炎</w:t>
      </w:r>
      <w:proofErr w:type="gramStart"/>
      <w:r>
        <w:rPr>
          <w:rFonts w:ascii="標楷體" w:eastAsia="標楷體" w:hAnsi="標楷體"/>
          <w:color w:val="000000"/>
        </w:rPr>
        <w:t>帶原或腎</w:t>
      </w:r>
      <w:proofErr w:type="gramEnd"/>
      <w:r>
        <w:rPr>
          <w:rFonts w:ascii="標楷體" w:eastAsia="標楷體" w:hAnsi="標楷體"/>
          <w:color w:val="000000"/>
        </w:rPr>
        <w:t>功能異常而無法使用methotrexate治療者。</w:t>
      </w:r>
    </w:p>
    <w:p w14:paraId="05812C38" w14:textId="77777777" w:rsidR="00401786" w:rsidRDefault="00C64FB3" w:rsidP="0009639E">
      <w:pPr>
        <w:spacing w:line="300" w:lineRule="exact"/>
        <w:ind w:left="1416" w:hanging="245"/>
        <w:rPr>
          <w:rFonts w:ascii="標楷體" w:eastAsia="標楷體" w:hAnsi="標楷體"/>
          <w:color w:val="000000"/>
        </w:rPr>
      </w:pPr>
      <w:proofErr w:type="spellStart"/>
      <w:r>
        <w:rPr>
          <w:rFonts w:ascii="標楷體" w:eastAsia="標楷體" w:hAnsi="標楷體"/>
          <w:color w:val="000000"/>
        </w:rPr>
        <w:t>ii.Acitretin</w:t>
      </w:r>
      <w:proofErr w:type="spellEnd"/>
      <w:r>
        <w:rPr>
          <w:rFonts w:ascii="標楷體" w:eastAsia="標楷體" w:hAnsi="標楷體"/>
          <w:color w:val="000000"/>
        </w:rPr>
        <w:t>：指有明顯肝功能異常、高血脂無法有效控制，或cyclosporin有效但停藥後迅速復發，已持續</w:t>
      </w:r>
      <w:proofErr w:type="gramStart"/>
      <w:r>
        <w:rPr>
          <w:rFonts w:ascii="標楷體" w:eastAsia="標楷體" w:hAnsi="標楷體"/>
          <w:color w:val="000000"/>
        </w:rPr>
        <w:t>使用超用1年</w:t>
      </w:r>
      <w:proofErr w:type="gramEnd"/>
      <w:r>
        <w:rPr>
          <w:rFonts w:ascii="標楷體" w:eastAsia="標楷體" w:hAnsi="標楷體"/>
          <w:color w:val="000000"/>
        </w:rPr>
        <w:t>，或已產生腎毒性經減量後無法有效控制者。</w:t>
      </w:r>
    </w:p>
    <w:p w14:paraId="478A25E1"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3.需經事前審查核准後使用：</w:t>
      </w:r>
    </w:p>
    <w:p w14:paraId="19DBF1CC"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(1)初次申請時，以6個月為1個療程，持續使用時每6個月需再申報一次，且應於期滿前1個月提出。</w:t>
      </w:r>
    </w:p>
    <w:p w14:paraId="25D7D669" w14:textId="77777777" w:rsidR="00401786" w:rsidRDefault="00C64FB3" w:rsidP="0009639E">
      <w:pPr>
        <w:spacing w:line="300" w:lineRule="exact"/>
        <w:ind w:left="1132" w:hanging="386"/>
      </w:pPr>
      <w:r>
        <w:rPr>
          <w:rFonts w:ascii="標楷體" w:eastAsia="標楷體" w:hAnsi="標楷體"/>
          <w:color w:val="000000"/>
        </w:rPr>
        <w:t>(2)</w:t>
      </w:r>
      <w:proofErr w:type="spellStart"/>
      <w:r>
        <w:rPr>
          <w:rFonts w:ascii="標楷體" w:eastAsia="標楷體" w:hAnsi="標楷體"/>
          <w:color w:val="000000"/>
        </w:rPr>
        <w:t>Guselkumab</w:t>
      </w:r>
      <w:proofErr w:type="spellEnd"/>
      <w:r>
        <w:rPr>
          <w:rFonts w:ascii="標楷體" w:eastAsia="標楷體" w:hAnsi="標楷體"/>
          <w:color w:val="000000"/>
        </w:rPr>
        <w:t>起始於第0</w:t>
      </w:r>
      <w:proofErr w:type="gramStart"/>
      <w:r>
        <w:rPr>
          <w:rFonts w:ascii="標楷體" w:eastAsia="標楷體" w:hAnsi="標楷體"/>
          <w:color w:val="000000"/>
        </w:rPr>
        <w:t>週投予</w:t>
      </w:r>
      <w:proofErr w:type="gramEnd"/>
      <w:r>
        <w:rPr>
          <w:rFonts w:ascii="標楷體" w:eastAsia="標楷體" w:hAnsi="標楷體"/>
          <w:color w:val="000000"/>
        </w:rPr>
        <w:t>100 mg，接著於第4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週投予</w:t>
      </w:r>
      <w:proofErr w:type="gramEnd"/>
      <w:r>
        <w:rPr>
          <w:rFonts w:ascii="標楷體" w:eastAsia="標楷體" w:hAnsi="標楷體"/>
          <w:color w:val="000000"/>
        </w:rPr>
        <w:t>100mg，且於16</w:t>
      </w:r>
      <w:proofErr w:type="gramStart"/>
      <w:r>
        <w:rPr>
          <w:rFonts w:ascii="標楷體" w:eastAsia="標楷體" w:hAnsi="標楷體"/>
          <w:color w:val="000000"/>
        </w:rPr>
        <w:t>週</w:t>
      </w:r>
      <w:proofErr w:type="gramEnd"/>
      <w:r>
        <w:rPr>
          <w:rFonts w:ascii="標楷體" w:eastAsia="標楷體" w:hAnsi="標楷體"/>
          <w:color w:val="000000"/>
        </w:rPr>
        <w:t>時，須先行評估，至少有PPPASI 25療效。</w:t>
      </w:r>
      <w:r>
        <w:rPr>
          <w:rFonts w:ascii="標楷體" w:eastAsia="標楷體" w:hAnsi="標楷體"/>
          <w:color w:val="000000"/>
          <w:kern w:val="0"/>
        </w:rPr>
        <w:t>不得同時</w:t>
      </w:r>
      <w:proofErr w:type="gramStart"/>
      <w:r>
        <w:rPr>
          <w:rFonts w:ascii="標楷體" w:eastAsia="標楷體" w:hAnsi="標楷體"/>
          <w:color w:val="000000"/>
          <w:kern w:val="0"/>
        </w:rPr>
        <w:t>併</w:t>
      </w:r>
      <w:proofErr w:type="gramEnd"/>
      <w:r>
        <w:rPr>
          <w:rFonts w:ascii="標楷體" w:eastAsia="標楷體" w:hAnsi="標楷體"/>
          <w:color w:val="000000"/>
          <w:kern w:val="0"/>
        </w:rPr>
        <w:t>用其他生物製劑。</w:t>
      </w:r>
    </w:p>
    <w:p w14:paraId="64492F91"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(3)初次申請後每6個月須再次申請續用，續用時，與初次治療前之療效達PPPASI 50方可使用。停藥超過3個月再申請者，視同新申請案件，否則視為續用案件。</w:t>
      </w:r>
    </w:p>
    <w:p w14:paraId="66B2BB12"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4.</w:t>
      </w:r>
      <w:bookmarkStart w:id="22" w:name="_Hlk63066893"/>
      <w:r>
        <w:rPr>
          <w:rFonts w:ascii="標楷體" w:eastAsia="標楷體" w:hAnsi="標楷體"/>
          <w:color w:val="000000"/>
        </w:rPr>
        <w:t>使用生物</w:t>
      </w:r>
      <w:proofErr w:type="gramStart"/>
      <w:r>
        <w:rPr>
          <w:rFonts w:ascii="標楷體" w:eastAsia="標楷體" w:hAnsi="標楷體"/>
          <w:color w:val="000000"/>
        </w:rPr>
        <w:t>製劑時</w:t>
      </w:r>
      <w:proofErr w:type="gramEnd"/>
      <w:r>
        <w:rPr>
          <w:rFonts w:ascii="標楷體" w:eastAsia="標楷體" w:hAnsi="標楷體"/>
          <w:color w:val="000000"/>
        </w:rPr>
        <w:t>，考慮其於掌</w:t>
      </w:r>
      <w:proofErr w:type="gramStart"/>
      <w:r>
        <w:rPr>
          <w:rFonts w:ascii="標楷體" w:eastAsia="標楷體" w:hAnsi="標楷體"/>
          <w:color w:val="000000"/>
        </w:rPr>
        <w:t>蹠膿皰症療效</w:t>
      </w:r>
      <w:proofErr w:type="gramEnd"/>
      <w:r>
        <w:rPr>
          <w:rFonts w:ascii="標楷體" w:eastAsia="標楷體" w:hAnsi="標楷體"/>
          <w:color w:val="000000"/>
        </w:rPr>
        <w:t>可能較慢，及立即停藥之可能反彈現象，治療前兩</w:t>
      </w:r>
      <w:proofErr w:type="gramStart"/>
      <w:r>
        <w:rPr>
          <w:rFonts w:ascii="標楷體" w:eastAsia="標楷體" w:hAnsi="標楷體"/>
          <w:color w:val="000000"/>
        </w:rPr>
        <w:t>個</w:t>
      </w:r>
      <w:proofErr w:type="gramEnd"/>
      <w:r>
        <w:rPr>
          <w:rFonts w:ascii="標楷體" w:eastAsia="標楷體" w:hAnsi="標楷體"/>
          <w:color w:val="000000"/>
        </w:rPr>
        <w:t>月得合併使用照光治療，但生物製劑療效出現時即應逐漸停用。</w:t>
      </w:r>
      <w:bookmarkEnd w:id="22"/>
      <w:r>
        <w:rPr>
          <w:rFonts w:ascii="標楷體" w:eastAsia="標楷體" w:hAnsi="標楷體"/>
          <w:color w:val="000000"/>
        </w:rPr>
        <w:t xml:space="preserve"> </w:t>
      </w:r>
    </w:p>
    <w:p w14:paraId="71BF82DE"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5.需排除使用的情形應參照藥物仿單，重要之排除使用狀況包括：</w:t>
      </w:r>
    </w:p>
    <w:p w14:paraId="5B0C7CFA"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09236641"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患活動性的感染症的病患。</w:t>
      </w:r>
    </w:p>
    <w:p w14:paraId="2E168084"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lastRenderedPageBreak/>
        <w:t>(3)未經完整治療之結核病的病患（包括潛伏結核感染治療未達四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304D0492"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(4)身上帶有人工關節者，</w:t>
      </w:r>
      <w:proofErr w:type="gramStart"/>
      <w:r>
        <w:rPr>
          <w:rFonts w:ascii="標楷體" w:eastAsia="標楷體" w:hAnsi="標楷體"/>
          <w:color w:val="000000"/>
        </w:rPr>
        <w:t>罹</w:t>
      </w:r>
      <w:proofErr w:type="gramEnd"/>
      <w:r>
        <w:rPr>
          <w:rFonts w:ascii="標楷體" w:eastAsia="標楷體" w:hAnsi="標楷體"/>
          <w:color w:val="000000"/>
        </w:rPr>
        <w:t>患或先前曾</w:t>
      </w:r>
      <w:proofErr w:type="gramStart"/>
      <w:r>
        <w:rPr>
          <w:rFonts w:ascii="標楷體" w:eastAsia="標楷體" w:hAnsi="標楷體"/>
          <w:color w:val="000000"/>
        </w:rPr>
        <w:t>罹</w:t>
      </w:r>
      <w:proofErr w:type="gramEnd"/>
      <w:r>
        <w:rPr>
          <w:rFonts w:ascii="標楷體" w:eastAsia="標楷體" w:hAnsi="標楷體"/>
          <w:color w:val="000000"/>
        </w:rPr>
        <w:t>患過嚴重的敗血病(sepsis)者。</w:t>
      </w:r>
    </w:p>
    <w:p w14:paraId="15B52CDC"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(5)惡性腫瘤或具有癌症前兆(pre-malignancy)的病患。</w:t>
      </w:r>
    </w:p>
    <w:p w14:paraId="6286A2E6"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(6)免疫功能不全者(immunodeficiency) 。</w:t>
      </w:r>
    </w:p>
    <w:p w14:paraId="62244D7C"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6.需停止治療情形，如果發生下列現象應停止治療：</w:t>
      </w:r>
    </w:p>
    <w:p w14:paraId="25BD7886"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(1)不良事件，包括：</w:t>
      </w:r>
    </w:p>
    <w:p w14:paraId="70C5646C" w14:textId="77777777" w:rsidR="00401786" w:rsidRDefault="00C64FB3" w:rsidP="0009639E">
      <w:pPr>
        <w:spacing w:line="300" w:lineRule="exact"/>
        <w:ind w:left="1133"/>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5FAA88D4" w14:textId="77777777" w:rsidR="00401786" w:rsidRDefault="00C64FB3" w:rsidP="0009639E">
      <w:pPr>
        <w:spacing w:line="300" w:lineRule="exact"/>
        <w:ind w:left="1133"/>
        <w:rPr>
          <w:rFonts w:ascii="標楷體" w:eastAsia="標楷體" w:hAnsi="標楷體"/>
          <w:color w:val="000000"/>
        </w:rPr>
      </w:pPr>
      <w:r>
        <w:rPr>
          <w:rFonts w:ascii="標楷體" w:eastAsia="標楷體" w:hAnsi="標楷體"/>
          <w:color w:val="000000"/>
        </w:rPr>
        <w:t>ii.該藥物引起的嚴重性毒性。</w:t>
      </w:r>
    </w:p>
    <w:p w14:paraId="2C502820" w14:textId="77777777" w:rsidR="00401786" w:rsidRDefault="00C64FB3" w:rsidP="0009639E">
      <w:pPr>
        <w:spacing w:line="300" w:lineRule="exact"/>
        <w:ind w:left="1133"/>
        <w:rPr>
          <w:rFonts w:ascii="標楷體" w:eastAsia="標楷體" w:hAnsi="標楷體"/>
          <w:color w:val="000000"/>
        </w:rPr>
      </w:pPr>
      <w:r>
        <w:rPr>
          <w:rFonts w:ascii="標楷體" w:eastAsia="標楷體" w:hAnsi="標楷體"/>
          <w:color w:val="000000"/>
        </w:rPr>
        <w:t>iii.懷孕（暫時停藥即可）。</w:t>
      </w:r>
    </w:p>
    <w:p w14:paraId="1A2017D0" w14:textId="77777777" w:rsidR="00401786" w:rsidRDefault="00C64FB3" w:rsidP="0009639E">
      <w:pPr>
        <w:spacing w:line="300" w:lineRule="exact"/>
        <w:ind w:left="1133"/>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感染症（intercurrent infection）（暫時停藥即可）。</w:t>
      </w:r>
    </w:p>
    <w:p w14:paraId="5C3E4547"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(2)療效</w:t>
      </w:r>
      <w:proofErr w:type="gramStart"/>
      <w:r>
        <w:rPr>
          <w:rFonts w:ascii="標楷體" w:eastAsia="標楷體" w:hAnsi="標楷體"/>
          <w:color w:val="000000"/>
        </w:rPr>
        <w:t>不</w:t>
      </w:r>
      <w:proofErr w:type="gramEnd"/>
      <w:r>
        <w:rPr>
          <w:rFonts w:ascii="標楷體" w:eastAsia="標楷體" w:hAnsi="標楷體"/>
          <w:color w:val="000000"/>
        </w:rPr>
        <w:t>彰：患者經過6個月治療（初次療程）後未達療效者，療效定義指PPPASI改善未達50%。</w:t>
      </w:r>
    </w:p>
    <w:p w14:paraId="5BF48FE8"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7.暫緩續用之相關規定：</w:t>
      </w:r>
    </w:p>
    <w:p w14:paraId="50418C53"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(1)暫緩續用時機：使用生物製劑治療2年後符合PPPASI&lt;12者。</w:t>
      </w:r>
    </w:p>
    <w:p w14:paraId="7DB12C35"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(2)因使用一種生物製劑治療後療效</w:t>
      </w:r>
      <w:proofErr w:type="gramStart"/>
      <w:r>
        <w:rPr>
          <w:rFonts w:ascii="標楷體" w:eastAsia="標楷體" w:hAnsi="標楷體"/>
          <w:color w:val="000000"/>
        </w:rPr>
        <w:t>不</w:t>
      </w:r>
      <w:proofErr w:type="gramEnd"/>
      <w:r>
        <w:rPr>
          <w:rFonts w:ascii="標楷體" w:eastAsia="標楷體" w:hAnsi="標楷體"/>
          <w:color w:val="000000"/>
        </w:rPr>
        <w:t>彰，而轉用另一種不同藥理機轉之生物製劑，以轉用後者之起始日重新計算2年後開始減量之時機。但因無法忍受副作用而轉用相同藥理機轉之生物製劑，轉用前後所使用生物製劑之</w:t>
      </w:r>
      <w:proofErr w:type="gramStart"/>
      <w:r>
        <w:rPr>
          <w:rFonts w:ascii="標楷體" w:eastAsia="標楷體" w:hAnsi="標楷體"/>
          <w:color w:val="000000"/>
        </w:rPr>
        <w:t>期間均應計</w:t>
      </w:r>
      <w:proofErr w:type="gramEnd"/>
      <w:r>
        <w:rPr>
          <w:rFonts w:ascii="標楷體" w:eastAsia="標楷體" w:hAnsi="標楷體"/>
          <w:color w:val="000000"/>
        </w:rPr>
        <w:t>入。</w:t>
      </w:r>
    </w:p>
    <w:p w14:paraId="10F9E837"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8.暫緩續用後若疾病再復發，可重新申請使用，須符合至少有50%復發(需附上次療程治療前、後，及本次照片)。</w:t>
      </w:r>
    </w:p>
    <w:p w14:paraId="5E4E3C4D"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◎附表二十四之六：全民健康保險掌</w:t>
      </w:r>
      <w:proofErr w:type="gramStart"/>
      <w:r>
        <w:rPr>
          <w:rFonts w:ascii="標楷體" w:eastAsia="標楷體" w:hAnsi="標楷體"/>
          <w:color w:val="000000"/>
        </w:rPr>
        <w:t>蹠膿皰症使用</w:t>
      </w:r>
      <w:proofErr w:type="gramEnd"/>
      <w:r>
        <w:rPr>
          <w:rFonts w:ascii="標楷體" w:eastAsia="標楷體" w:hAnsi="標楷體"/>
          <w:color w:val="000000"/>
        </w:rPr>
        <w:t>生物製劑申請表</w:t>
      </w:r>
    </w:p>
    <w:p w14:paraId="7A6C4A42" w14:textId="77777777" w:rsidR="00401786" w:rsidRDefault="00C64FB3" w:rsidP="0009639E">
      <w:pPr>
        <w:spacing w:line="300" w:lineRule="exact"/>
        <w:ind w:left="850" w:hanging="240"/>
        <w:rPr>
          <w:rFonts w:ascii="標楷體" w:eastAsia="標楷體" w:hAnsi="標楷體"/>
          <w:color w:val="000000"/>
        </w:rPr>
      </w:pPr>
      <w:r>
        <w:rPr>
          <w:rFonts w:ascii="標楷體" w:eastAsia="標楷體" w:hAnsi="標楷體"/>
          <w:color w:val="000000"/>
        </w:rPr>
        <w:t>◎附表二十四之五：掌</w:t>
      </w:r>
      <w:proofErr w:type="gramStart"/>
      <w:r>
        <w:rPr>
          <w:rFonts w:ascii="標楷體" w:eastAsia="標楷體" w:hAnsi="標楷體"/>
          <w:color w:val="000000"/>
        </w:rPr>
        <w:t>蹠膿皰症面積</w:t>
      </w:r>
      <w:proofErr w:type="gramEnd"/>
      <w:r>
        <w:rPr>
          <w:rFonts w:ascii="標楷體" w:eastAsia="標楷體" w:hAnsi="標楷體"/>
          <w:color w:val="000000"/>
        </w:rPr>
        <w:t>暨嚴重度指數【</w:t>
      </w:r>
      <w:bookmarkStart w:id="23" w:name="_Hlk51776985"/>
      <w:r>
        <w:rPr>
          <w:rFonts w:ascii="標楷體" w:eastAsia="標楷體" w:hAnsi="標楷體"/>
          <w:color w:val="000000"/>
        </w:rPr>
        <w:t>Palmoplantar Pustulosis</w:t>
      </w:r>
      <w:bookmarkEnd w:id="23"/>
      <w:r>
        <w:rPr>
          <w:rFonts w:ascii="標楷體" w:eastAsia="標楷體" w:hAnsi="標楷體"/>
          <w:color w:val="000000"/>
        </w:rPr>
        <w:t xml:space="preserve"> Area Severity Index (PPPASI)】</w:t>
      </w:r>
    </w:p>
    <w:p w14:paraId="2769C296" w14:textId="77777777" w:rsidR="00401786" w:rsidRDefault="00C64FB3" w:rsidP="0009639E">
      <w:pPr>
        <w:spacing w:line="300" w:lineRule="exact"/>
        <w:ind w:left="737" w:hanging="451"/>
        <w:rPr>
          <w:rFonts w:ascii="標楷體" w:eastAsia="標楷體" w:hAnsi="標楷體"/>
          <w:color w:val="000000"/>
          <w:szCs w:val="24"/>
        </w:rPr>
      </w:pPr>
      <w:r>
        <w:rPr>
          <w:rFonts w:ascii="標楷體" w:eastAsia="標楷體" w:hAnsi="標楷體"/>
          <w:color w:val="000000"/>
          <w:szCs w:val="24"/>
        </w:rPr>
        <w:t>8.2.4.12.Tocilizumab(如Actemra)：(113/1/1)</w:t>
      </w:r>
    </w:p>
    <w:p w14:paraId="1F5AAAAB"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1.用於</w:t>
      </w:r>
      <w:proofErr w:type="gramStart"/>
      <w:r>
        <w:rPr>
          <w:rFonts w:ascii="標楷體" w:eastAsia="標楷體" w:hAnsi="標楷體"/>
          <w:color w:val="000000"/>
          <w:szCs w:val="24"/>
        </w:rPr>
        <w:t>新型冠</w:t>
      </w:r>
      <w:proofErr w:type="gramEnd"/>
      <w:r>
        <w:rPr>
          <w:rFonts w:ascii="標楷體" w:eastAsia="標楷體" w:hAnsi="標楷體"/>
          <w:color w:val="000000"/>
          <w:szCs w:val="24"/>
        </w:rPr>
        <w:t>狀病毒疾病，需同時符合下述所有條件：</w:t>
      </w:r>
    </w:p>
    <w:p w14:paraId="7452221B" w14:textId="77777777" w:rsidR="00401786" w:rsidRDefault="00C64FB3" w:rsidP="0009639E">
      <w:pPr>
        <w:spacing w:line="300" w:lineRule="exact"/>
        <w:ind w:left="240"/>
      </w:pPr>
      <w:r>
        <w:rPr>
          <w:rFonts w:ascii="標楷體" w:eastAsia="標楷體" w:hAnsi="標楷體"/>
          <w:color w:val="000000"/>
        </w:rPr>
        <w:tab/>
        <w:t xml:space="preserve">   (1)</w:t>
      </w:r>
      <w:r>
        <w:rPr>
          <w:rFonts w:ascii="標楷體" w:eastAsia="標楷體" w:hAnsi="標楷體"/>
        </w:rPr>
        <w:t>住院成年病人。</w:t>
      </w:r>
    </w:p>
    <w:p w14:paraId="0DF36AA9" w14:textId="77777777" w:rsidR="00401786" w:rsidRDefault="00C64FB3" w:rsidP="0009639E">
      <w:pPr>
        <w:spacing w:line="300" w:lineRule="exact"/>
        <w:ind w:left="1200" w:hanging="960"/>
      </w:pPr>
      <w:r>
        <w:rPr>
          <w:rFonts w:ascii="標楷體" w:eastAsia="標楷體" w:hAnsi="標楷體"/>
          <w:color w:val="000000"/>
        </w:rPr>
        <w:t xml:space="preserve">     (2)</w:t>
      </w:r>
      <w:r>
        <w:rPr>
          <w:rFonts w:ascii="標楷體" w:eastAsia="標楷體" w:hAnsi="標楷體"/>
        </w:rPr>
        <w:t>與dexamethasone合併使用於嚴重肺炎以上(未</w:t>
      </w:r>
      <w:proofErr w:type="gramStart"/>
      <w:r>
        <w:rPr>
          <w:rFonts w:ascii="標楷體" w:eastAsia="標楷體" w:hAnsi="標楷體"/>
        </w:rPr>
        <w:t>使用吸氧治療</w:t>
      </w:r>
      <w:proofErr w:type="gramEnd"/>
      <w:r>
        <w:rPr>
          <w:rFonts w:ascii="標楷體" w:eastAsia="標楷體" w:hAnsi="標楷體"/>
        </w:rPr>
        <w:t xml:space="preserve">下SpO2 </w:t>
      </w:r>
      <w:proofErr w:type="gramStart"/>
      <w:r>
        <w:rPr>
          <w:rFonts w:ascii="標楷體" w:eastAsia="標楷體" w:hAnsi="標楷體"/>
        </w:rPr>
        <w:t>≦</w:t>
      </w:r>
      <w:proofErr w:type="gramEnd"/>
      <w:r>
        <w:rPr>
          <w:rFonts w:ascii="標楷體" w:eastAsia="標楷體" w:hAnsi="標楷體"/>
        </w:rPr>
        <w:t>94%；需</w:t>
      </w:r>
      <w:proofErr w:type="gramStart"/>
      <w:r>
        <w:rPr>
          <w:rFonts w:ascii="標楷體" w:eastAsia="標楷體" w:hAnsi="標楷體"/>
        </w:rPr>
        <w:t>使用吸氧治療</w:t>
      </w:r>
      <w:proofErr w:type="gramEnd"/>
      <w:r>
        <w:rPr>
          <w:rFonts w:ascii="標楷體" w:eastAsia="標楷體" w:hAnsi="標楷體"/>
        </w:rPr>
        <w:t>、高流量氧氣或非侵襲性呼吸器、使用機械式呼吸器或使用體外</w:t>
      </w:r>
      <w:proofErr w:type="gramStart"/>
      <w:r>
        <w:rPr>
          <w:rFonts w:ascii="標楷體" w:eastAsia="標楷體" w:hAnsi="標楷體"/>
        </w:rPr>
        <w:t>膜氧合器葉</w:t>
      </w:r>
      <w:proofErr w:type="gramEnd"/>
      <w:r>
        <w:rPr>
          <w:rFonts w:ascii="標楷體" w:eastAsia="標楷體" w:hAnsi="標楷體"/>
        </w:rPr>
        <w:t>克膜/ECMO)之患者。或與dexamethasone及remdesivir合併用於未</w:t>
      </w:r>
      <w:proofErr w:type="gramStart"/>
      <w:r>
        <w:rPr>
          <w:rFonts w:ascii="標楷體" w:eastAsia="標楷體" w:hAnsi="標楷體"/>
        </w:rPr>
        <w:t>使用吸氧治療</w:t>
      </w:r>
      <w:proofErr w:type="gramEnd"/>
      <w:r>
        <w:rPr>
          <w:rFonts w:ascii="標楷體" w:eastAsia="標楷體" w:hAnsi="標楷體"/>
        </w:rPr>
        <w:t>下SpO2</w:t>
      </w:r>
      <w:proofErr w:type="gramStart"/>
      <w:r>
        <w:rPr>
          <w:rFonts w:ascii="標楷體" w:eastAsia="標楷體" w:hAnsi="標楷體"/>
        </w:rPr>
        <w:t>≦</w:t>
      </w:r>
      <w:proofErr w:type="gramEnd"/>
      <w:r>
        <w:rPr>
          <w:rFonts w:ascii="標楷體" w:eastAsia="標楷體" w:hAnsi="標楷體"/>
        </w:rPr>
        <w:t xml:space="preserve"> 94%、需</w:t>
      </w:r>
      <w:proofErr w:type="gramStart"/>
      <w:r>
        <w:rPr>
          <w:rFonts w:ascii="標楷體" w:eastAsia="標楷體" w:hAnsi="標楷體"/>
        </w:rPr>
        <w:t>使用吸氧治療</w:t>
      </w:r>
      <w:proofErr w:type="gramEnd"/>
      <w:r>
        <w:rPr>
          <w:rFonts w:ascii="標楷體" w:eastAsia="標楷體" w:hAnsi="標楷體"/>
        </w:rPr>
        <w:t>、高流量氧氣或非侵襲性呼吸器之患者。</w:t>
      </w:r>
    </w:p>
    <w:p w14:paraId="4E4F8AD1" w14:textId="77777777" w:rsidR="00401786" w:rsidRDefault="00C64FB3" w:rsidP="0009639E">
      <w:pPr>
        <w:pStyle w:val="af"/>
        <w:widowControl/>
        <w:spacing w:line="300" w:lineRule="exact"/>
        <w:ind w:left="645"/>
      </w:pPr>
      <w:r>
        <w:rPr>
          <w:rFonts w:ascii="標楷體" w:eastAsia="標楷體" w:hAnsi="標楷體"/>
        </w:rPr>
        <w:t>2.</w:t>
      </w:r>
      <w:r>
        <w:rPr>
          <w:rFonts w:ascii="標楷體" w:eastAsia="標楷體" w:hAnsi="標楷體"/>
          <w:szCs w:val="24"/>
        </w:rPr>
        <w:t>劑量8mg/kg，單次靜脈注射，最大劑量800mg。</w:t>
      </w:r>
    </w:p>
    <w:p w14:paraId="5C8D6152" w14:textId="77777777" w:rsidR="00401786" w:rsidRDefault="00C64FB3" w:rsidP="0009639E">
      <w:pPr>
        <w:spacing w:line="300" w:lineRule="exact"/>
        <w:ind w:left="737" w:hanging="451"/>
        <w:rPr>
          <w:rFonts w:ascii="標楷體" w:eastAsia="標楷體" w:hAnsi="標楷體"/>
          <w:color w:val="000000"/>
          <w:szCs w:val="24"/>
        </w:rPr>
      </w:pPr>
      <w:r>
        <w:rPr>
          <w:rFonts w:ascii="標楷體" w:eastAsia="標楷體" w:hAnsi="標楷體"/>
          <w:color w:val="000000"/>
          <w:szCs w:val="24"/>
        </w:rPr>
        <w:t>8.2.4.13.Baricitinib (Olumiant)：(113/1/1)</w:t>
      </w:r>
    </w:p>
    <w:p w14:paraId="36DB681F"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1.用於</w:t>
      </w:r>
      <w:proofErr w:type="gramStart"/>
      <w:r>
        <w:rPr>
          <w:rFonts w:ascii="標楷體" w:eastAsia="標楷體" w:hAnsi="標楷體"/>
          <w:color w:val="000000"/>
          <w:szCs w:val="24"/>
        </w:rPr>
        <w:t>新型冠</w:t>
      </w:r>
      <w:proofErr w:type="gramEnd"/>
      <w:r>
        <w:rPr>
          <w:rFonts w:ascii="標楷體" w:eastAsia="標楷體" w:hAnsi="標楷體"/>
          <w:color w:val="000000"/>
          <w:szCs w:val="24"/>
        </w:rPr>
        <w:t>狀病毒疾病，需同時符合下述所有條件：</w:t>
      </w:r>
    </w:p>
    <w:p w14:paraId="1A36453B" w14:textId="77777777" w:rsidR="00401786" w:rsidRDefault="00C64FB3" w:rsidP="0009639E">
      <w:pPr>
        <w:pStyle w:val="af"/>
        <w:spacing w:line="300" w:lineRule="exact"/>
        <w:ind w:left="806"/>
      </w:pPr>
      <w:r>
        <w:rPr>
          <w:rFonts w:ascii="標楷體" w:eastAsia="標楷體" w:hAnsi="標楷體"/>
          <w:color w:val="000000"/>
        </w:rPr>
        <w:t>(1)</w:t>
      </w:r>
      <w:r>
        <w:rPr>
          <w:rFonts w:ascii="標楷體" w:eastAsia="標楷體" w:hAnsi="標楷體"/>
          <w:szCs w:val="24"/>
        </w:rPr>
        <w:t>住院成年病人。</w:t>
      </w:r>
    </w:p>
    <w:p w14:paraId="2F0AA55A" w14:textId="77777777" w:rsidR="00401786" w:rsidRDefault="00C64FB3" w:rsidP="0009639E">
      <w:pPr>
        <w:pStyle w:val="af"/>
        <w:spacing w:line="300" w:lineRule="exact"/>
        <w:ind w:left="1166" w:hanging="360"/>
      </w:pPr>
      <w:r>
        <w:rPr>
          <w:rFonts w:ascii="標楷體" w:eastAsia="標楷體" w:hAnsi="標楷體"/>
          <w:color w:val="000000"/>
        </w:rPr>
        <w:t>(2)</w:t>
      </w:r>
      <w:r>
        <w:rPr>
          <w:rFonts w:ascii="標楷體" w:eastAsia="標楷體" w:hAnsi="標楷體"/>
          <w:szCs w:val="24"/>
        </w:rPr>
        <w:t>與dexamethasone及remdesivir合併用於未</w:t>
      </w:r>
      <w:proofErr w:type="gramStart"/>
      <w:r>
        <w:rPr>
          <w:rFonts w:ascii="標楷體" w:eastAsia="標楷體" w:hAnsi="標楷體"/>
          <w:szCs w:val="24"/>
        </w:rPr>
        <w:t>使用吸氧治療</w:t>
      </w:r>
      <w:proofErr w:type="gramEnd"/>
      <w:r>
        <w:rPr>
          <w:rFonts w:ascii="標楷體" w:eastAsia="標楷體" w:hAnsi="標楷體"/>
          <w:szCs w:val="24"/>
        </w:rPr>
        <w:t xml:space="preserve">下SpO2 </w:t>
      </w:r>
      <w:proofErr w:type="gramStart"/>
      <w:r>
        <w:rPr>
          <w:rFonts w:ascii="標楷體" w:eastAsia="標楷體" w:hAnsi="標楷體"/>
          <w:szCs w:val="24"/>
        </w:rPr>
        <w:t>≦</w:t>
      </w:r>
      <w:proofErr w:type="gramEnd"/>
      <w:r>
        <w:rPr>
          <w:rFonts w:ascii="標楷體" w:eastAsia="標楷體" w:hAnsi="標楷體"/>
          <w:szCs w:val="24"/>
        </w:rPr>
        <w:t>94%、需</w:t>
      </w:r>
      <w:proofErr w:type="gramStart"/>
      <w:r>
        <w:rPr>
          <w:rFonts w:ascii="標楷體" w:eastAsia="標楷體" w:hAnsi="標楷體"/>
          <w:szCs w:val="24"/>
        </w:rPr>
        <w:t>使用吸氧治療</w:t>
      </w:r>
      <w:proofErr w:type="gramEnd"/>
      <w:r>
        <w:rPr>
          <w:rFonts w:ascii="標楷體" w:eastAsia="標楷體" w:hAnsi="標楷體"/>
          <w:szCs w:val="24"/>
        </w:rPr>
        <w:t>、高流量氧氣或非侵襲性呼吸器之患者。</w:t>
      </w:r>
    </w:p>
    <w:p w14:paraId="46763B05"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2.每日劑量口服4mg，使用14天或至出院。</w:t>
      </w:r>
    </w:p>
    <w:p w14:paraId="40C31A0A"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3.排除懷孕婦女。</w:t>
      </w:r>
    </w:p>
    <w:p w14:paraId="17CAC8B4" w14:textId="77777777" w:rsidR="002F29C8" w:rsidRPr="00857373" w:rsidRDefault="002F29C8" w:rsidP="002F29C8">
      <w:pPr>
        <w:ind w:leftChars="145" w:left="708" w:hangingChars="150" w:hanging="360"/>
        <w:rPr>
          <w:rFonts w:ascii="標楷體" w:eastAsia="標楷體" w:hAnsi="標楷體"/>
          <w:color w:val="000000"/>
          <w:szCs w:val="24"/>
        </w:rPr>
      </w:pPr>
      <w:bookmarkStart w:id="24" w:name="_Hlk157697178"/>
      <w:r w:rsidRPr="00857373">
        <w:rPr>
          <w:rFonts w:ascii="標楷體" w:eastAsia="標楷體" w:hAnsi="標楷體"/>
          <w:color w:val="000000"/>
          <w:szCs w:val="24"/>
        </w:rPr>
        <w:t>8.2.4.14.Secukinumab（如Cosentyx）：用於化膿性汗腺炎</w:t>
      </w:r>
      <w:bookmarkEnd w:id="24"/>
      <w:r w:rsidRPr="00857373">
        <w:rPr>
          <w:rFonts w:ascii="標楷體" w:eastAsia="標楷體" w:hAnsi="標楷體"/>
          <w:color w:val="000000"/>
          <w:szCs w:val="24"/>
        </w:rPr>
        <w:t>（114/7/1）</w:t>
      </w:r>
    </w:p>
    <w:p w14:paraId="5982576A" w14:textId="77777777" w:rsidR="002F29C8" w:rsidRPr="00857373" w:rsidRDefault="002F29C8" w:rsidP="002144EC">
      <w:pPr>
        <w:numPr>
          <w:ilvl w:val="0"/>
          <w:numId w:val="122"/>
        </w:numPr>
        <w:ind w:left="993"/>
        <w:rPr>
          <w:rFonts w:ascii="標楷體" w:eastAsia="標楷體" w:hAnsi="標楷體"/>
          <w:color w:val="000000"/>
          <w:szCs w:val="24"/>
        </w:rPr>
      </w:pPr>
      <w:r w:rsidRPr="00857373">
        <w:rPr>
          <w:rFonts w:ascii="標楷體" w:eastAsia="標楷體" w:hAnsi="標楷體"/>
          <w:color w:val="000000"/>
          <w:szCs w:val="24"/>
        </w:rPr>
        <w:t>用於中重度化膿性</w:t>
      </w:r>
      <w:proofErr w:type="gramStart"/>
      <w:r w:rsidRPr="00857373">
        <w:rPr>
          <w:rFonts w:ascii="標楷體" w:eastAsia="標楷體" w:hAnsi="標楷體"/>
          <w:color w:val="000000"/>
          <w:szCs w:val="24"/>
        </w:rPr>
        <w:t>汗腺炎且對</w:t>
      </w:r>
      <w:proofErr w:type="gramEnd"/>
      <w:r w:rsidRPr="00857373">
        <w:rPr>
          <w:rFonts w:ascii="標楷體" w:eastAsia="標楷體" w:hAnsi="標楷體"/>
          <w:color w:val="000000"/>
          <w:szCs w:val="24"/>
        </w:rPr>
        <w:t>傳統全身性療法反應不佳或無法耐受之成人病人：</w:t>
      </w:r>
    </w:p>
    <w:p w14:paraId="786055EC" w14:textId="77777777" w:rsidR="002F29C8" w:rsidRPr="00857373" w:rsidRDefault="002F29C8" w:rsidP="002144EC">
      <w:pPr>
        <w:numPr>
          <w:ilvl w:val="1"/>
          <w:numId w:val="122"/>
        </w:numPr>
        <w:ind w:left="1418"/>
        <w:rPr>
          <w:rFonts w:ascii="標楷體" w:eastAsia="標楷體" w:hAnsi="標楷體"/>
          <w:color w:val="000000"/>
          <w:szCs w:val="24"/>
        </w:rPr>
      </w:pPr>
      <w:r w:rsidRPr="00857373">
        <w:rPr>
          <w:rFonts w:ascii="標楷體" w:eastAsia="標楷體" w:hAnsi="標楷體"/>
          <w:color w:val="000000"/>
          <w:szCs w:val="24"/>
        </w:rPr>
        <w:t>所稱中</w:t>
      </w:r>
      <w:proofErr w:type="gramStart"/>
      <w:r w:rsidRPr="00857373">
        <w:rPr>
          <w:rFonts w:ascii="標楷體" w:eastAsia="標楷體" w:hAnsi="標楷體"/>
          <w:color w:val="000000"/>
          <w:szCs w:val="24"/>
        </w:rPr>
        <w:t>重度指</w:t>
      </w:r>
      <w:proofErr w:type="gramEnd"/>
      <w:r w:rsidRPr="00857373">
        <w:rPr>
          <w:rFonts w:ascii="標楷體" w:eastAsia="標楷體" w:hAnsi="標楷體"/>
          <w:color w:val="000000"/>
          <w:szCs w:val="24"/>
        </w:rPr>
        <w:t>Hurley staging判定為2-3，至少有5處發炎病灶且影響至少2個解剖區域。</w:t>
      </w:r>
    </w:p>
    <w:p w14:paraId="22CD2577" w14:textId="77777777" w:rsidR="002F29C8" w:rsidRPr="00857373" w:rsidRDefault="002F29C8" w:rsidP="002144EC">
      <w:pPr>
        <w:numPr>
          <w:ilvl w:val="1"/>
          <w:numId w:val="122"/>
        </w:numPr>
        <w:ind w:left="1418"/>
        <w:rPr>
          <w:rFonts w:ascii="標楷體" w:eastAsia="標楷體" w:hAnsi="標楷體"/>
          <w:color w:val="000000"/>
          <w:szCs w:val="24"/>
        </w:rPr>
      </w:pPr>
      <w:r w:rsidRPr="00857373">
        <w:rPr>
          <w:rFonts w:ascii="標楷體" w:eastAsia="標楷體" w:hAnsi="標楷體"/>
          <w:color w:val="000000"/>
          <w:szCs w:val="24"/>
        </w:rPr>
        <w:t>所稱傳統全身性療法反應不佳或無法耐受，指治療至少3個月後，仍未達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50，或已達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50但仍為Hurley 2 stage者。</w:t>
      </w:r>
    </w:p>
    <w:p w14:paraId="3322FAE8" w14:textId="77777777" w:rsidR="002F29C8" w:rsidRPr="00857373" w:rsidRDefault="002F29C8" w:rsidP="002144EC">
      <w:pPr>
        <w:numPr>
          <w:ilvl w:val="1"/>
          <w:numId w:val="122"/>
        </w:numPr>
        <w:ind w:left="1418" w:hanging="425"/>
        <w:rPr>
          <w:rFonts w:ascii="標楷體" w:eastAsia="標楷體" w:hAnsi="標楷體"/>
          <w:color w:val="000000"/>
          <w:szCs w:val="24"/>
        </w:rPr>
      </w:pPr>
      <w:r w:rsidRPr="00857373">
        <w:rPr>
          <w:rFonts w:ascii="標楷體" w:eastAsia="標楷體" w:hAnsi="標楷體"/>
          <w:color w:val="000000"/>
          <w:szCs w:val="24"/>
        </w:rPr>
        <w:t>所稱傳統全身性療法，指至少使用以下兩種或兩種以上藥物治療：</w:t>
      </w:r>
    </w:p>
    <w:p w14:paraId="6000645B" w14:textId="77777777" w:rsidR="002F29C8" w:rsidRPr="00857373" w:rsidRDefault="002F29C8" w:rsidP="002F29C8">
      <w:pPr>
        <w:ind w:left="1418"/>
        <w:rPr>
          <w:rFonts w:ascii="標楷體" w:eastAsia="標楷體" w:hAnsi="標楷體"/>
          <w:color w:val="000000"/>
          <w:szCs w:val="24"/>
        </w:rPr>
      </w:pPr>
      <w:proofErr w:type="spellStart"/>
      <w:r w:rsidRPr="00857373">
        <w:rPr>
          <w:rFonts w:ascii="標楷體" w:eastAsia="標楷體" w:hAnsi="標楷體"/>
          <w:color w:val="000000"/>
          <w:szCs w:val="24"/>
        </w:rPr>
        <w:t>ⅠTetracycline</w:t>
      </w:r>
      <w:proofErr w:type="spellEnd"/>
      <w:r w:rsidRPr="00857373">
        <w:rPr>
          <w:rFonts w:ascii="標楷體" w:eastAsia="標楷體" w:hAnsi="標楷體"/>
          <w:color w:val="000000"/>
          <w:szCs w:val="24"/>
        </w:rPr>
        <w:t>（500mg每日2次）或 doxycycline（50mg 至100mg每日2次）或minocycline（100mg每日1次或每日2次）</w:t>
      </w:r>
    </w:p>
    <w:p w14:paraId="0A16DB3E" w14:textId="77777777" w:rsidR="002F29C8" w:rsidRPr="00857373" w:rsidRDefault="002F29C8" w:rsidP="002F29C8">
      <w:pPr>
        <w:ind w:left="1418"/>
        <w:rPr>
          <w:rFonts w:ascii="標楷體" w:eastAsia="標楷體" w:hAnsi="標楷體"/>
          <w:color w:val="000000"/>
          <w:szCs w:val="24"/>
        </w:rPr>
      </w:pPr>
      <w:proofErr w:type="spellStart"/>
      <w:r w:rsidRPr="00857373">
        <w:rPr>
          <w:rFonts w:ascii="標楷體" w:eastAsia="標楷體" w:hAnsi="標楷體"/>
          <w:color w:val="000000"/>
          <w:szCs w:val="24"/>
        </w:rPr>
        <w:lastRenderedPageBreak/>
        <w:t>ⅡAcitretin</w:t>
      </w:r>
      <w:proofErr w:type="spellEnd"/>
      <w:r w:rsidRPr="00857373">
        <w:rPr>
          <w:rFonts w:ascii="標楷體" w:eastAsia="標楷體" w:hAnsi="標楷體"/>
          <w:color w:val="000000"/>
          <w:szCs w:val="24"/>
        </w:rPr>
        <w:t>（0.5-0.9 mg/kg/day）（育齡女性除外）</w:t>
      </w:r>
    </w:p>
    <w:p w14:paraId="29E58762" w14:textId="77777777" w:rsidR="002F29C8" w:rsidRPr="00857373" w:rsidRDefault="002F29C8" w:rsidP="002F29C8">
      <w:pPr>
        <w:ind w:left="1418"/>
        <w:rPr>
          <w:rFonts w:ascii="標楷體" w:eastAsia="標楷體" w:hAnsi="標楷體"/>
          <w:color w:val="000000"/>
          <w:szCs w:val="24"/>
        </w:rPr>
      </w:pPr>
      <w:proofErr w:type="spellStart"/>
      <w:r w:rsidRPr="00857373">
        <w:rPr>
          <w:rFonts w:ascii="標楷體" w:eastAsia="標楷體" w:hAnsi="標楷體"/>
          <w:color w:val="000000"/>
          <w:szCs w:val="24"/>
        </w:rPr>
        <w:t>ⅢClindamycin</w:t>
      </w:r>
      <w:proofErr w:type="spellEnd"/>
      <w:r w:rsidRPr="00857373">
        <w:rPr>
          <w:rFonts w:ascii="標楷體" w:eastAsia="標楷體" w:hAnsi="標楷體"/>
          <w:color w:val="000000"/>
          <w:szCs w:val="24"/>
        </w:rPr>
        <w:t>（300mg每日2次）合併rifampicin（300mg  每日2次或600mg每日1次）治療。</w:t>
      </w:r>
    </w:p>
    <w:p w14:paraId="6587745F" w14:textId="77777777" w:rsidR="002F29C8" w:rsidRPr="00857373" w:rsidRDefault="002F29C8" w:rsidP="002144EC">
      <w:pPr>
        <w:numPr>
          <w:ilvl w:val="0"/>
          <w:numId w:val="122"/>
        </w:numPr>
        <w:ind w:left="993"/>
        <w:rPr>
          <w:rFonts w:ascii="標楷體" w:eastAsia="標楷體" w:hAnsi="標楷體"/>
          <w:color w:val="000000"/>
          <w:szCs w:val="24"/>
        </w:rPr>
      </w:pPr>
      <w:r w:rsidRPr="00857373">
        <w:rPr>
          <w:rFonts w:ascii="標楷體" w:eastAsia="標楷體" w:hAnsi="標楷體"/>
          <w:color w:val="000000"/>
          <w:szCs w:val="24"/>
        </w:rPr>
        <w:t>需排除使用的情形應參照藥物仿單，重要之排除使用狀況包括：</w:t>
      </w:r>
    </w:p>
    <w:p w14:paraId="18883C14" w14:textId="77777777" w:rsidR="002F29C8" w:rsidRDefault="002F29C8" w:rsidP="002144EC">
      <w:pPr>
        <w:numPr>
          <w:ilvl w:val="1"/>
          <w:numId w:val="122"/>
        </w:numPr>
        <w:ind w:left="1418"/>
        <w:rPr>
          <w:rFonts w:ascii="標楷體" w:eastAsia="標楷體" w:hAnsi="標楷體"/>
          <w:color w:val="000000"/>
          <w:szCs w:val="24"/>
        </w:rPr>
      </w:pPr>
      <w:r w:rsidRPr="00857373">
        <w:rPr>
          <w:rFonts w:ascii="標楷體" w:eastAsia="標楷體" w:hAnsi="標楷體"/>
          <w:color w:val="000000"/>
          <w:szCs w:val="24"/>
        </w:rPr>
        <w:t>懷孕或</w:t>
      </w:r>
      <w:proofErr w:type="gramStart"/>
      <w:r w:rsidRPr="00857373">
        <w:rPr>
          <w:rFonts w:ascii="標楷體" w:eastAsia="標楷體" w:hAnsi="標楷體"/>
          <w:color w:val="000000"/>
          <w:szCs w:val="24"/>
        </w:rPr>
        <w:t>正在授乳的</w:t>
      </w:r>
      <w:proofErr w:type="gramEnd"/>
      <w:r w:rsidRPr="00857373">
        <w:rPr>
          <w:rFonts w:ascii="標楷體" w:eastAsia="標楷體" w:hAnsi="標楷體"/>
          <w:color w:val="000000"/>
          <w:szCs w:val="24"/>
        </w:rPr>
        <w:t>婦女。</w:t>
      </w:r>
    </w:p>
    <w:p w14:paraId="3D757D65" w14:textId="77777777" w:rsidR="002F29C8" w:rsidRDefault="002F29C8" w:rsidP="002144EC">
      <w:pPr>
        <w:numPr>
          <w:ilvl w:val="1"/>
          <w:numId w:val="122"/>
        </w:numPr>
        <w:ind w:left="1418"/>
        <w:rPr>
          <w:rFonts w:ascii="標楷體" w:eastAsia="標楷體" w:hAnsi="標楷體"/>
          <w:color w:val="000000"/>
          <w:szCs w:val="24"/>
        </w:rPr>
      </w:pP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患活動性的感染症者。</w:t>
      </w:r>
    </w:p>
    <w:p w14:paraId="5F585306" w14:textId="77777777" w:rsidR="002F29C8" w:rsidRDefault="002F29C8" w:rsidP="002144EC">
      <w:pPr>
        <w:numPr>
          <w:ilvl w:val="1"/>
          <w:numId w:val="122"/>
        </w:numPr>
        <w:ind w:left="1418"/>
        <w:rPr>
          <w:rFonts w:ascii="標楷體" w:eastAsia="標楷體" w:hAnsi="標楷體"/>
          <w:color w:val="000000"/>
          <w:szCs w:val="24"/>
        </w:rPr>
      </w:pPr>
      <w:r w:rsidRPr="001B7743">
        <w:rPr>
          <w:rFonts w:ascii="標楷體" w:eastAsia="標楷體" w:hAnsi="標楷體"/>
          <w:color w:val="000000"/>
          <w:szCs w:val="24"/>
        </w:rPr>
        <w:t>未經完整治療之結核病病人（包括潛伏結核感染治療未達4</w:t>
      </w:r>
      <w:proofErr w:type="gramStart"/>
      <w:r w:rsidRPr="001B7743">
        <w:rPr>
          <w:rFonts w:ascii="標楷體" w:eastAsia="標楷體" w:hAnsi="標楷體"/>
          <w:color w:val="000000"/>
          <w:szCs w:val="24"/>
        </w:rPr>
        <w:t>週</w:t>
      </w:r>
      <w:proofErr w:type="gramEnd"/>
      <w:r w:rsidRPr="001B7743">
        <w:rPr>
          <w:rFonts w:ascii="標楷體" w:eastAsia="標楷體" w:hAnsi="標楷體"/>
          <w:color w:val="000000"/>
          <w:szCs w:val="24"/>
        </w:rPr>
        <w:t>者，申請時應檢附潛伏結核感染篩檢紀錄及治療紀錄供審查）。</w:t>
      </w:r>
    </w:p>
    <w:p w14:paraId="5A75E405" w14:textId="77777777" w:rsidR="002F29C8" w:rsidRDefault="002F29C8" w:rsidP="002144EC">
      <w:pPr>
        <w:numPr>
          <w:ilvl w:val="1"/>
          <w:numId w:val="122"/>
        </w:numPr>
        <w:ind w:left="1418"/>
        <w:rPr>
          <w:rFonts w:ascii="標楷體" w:eastAsia="標楷體" w:hAnsi="標楷體"/>
          <w:color w:val="000000"/>
          <w:szCs w:val="24"/>
        </w:rPr>
      </w:pPr>
      <w:r w:rsidRPr="001B7743">
        <w:rPr>
          <w:rFonts w:ascii="標楷體" w:eastAsia="標楷體" w:hAnsi="標楷體"/>
          <w:color w:val="000000"/>
          <w:szCs w:val="24"/>
        </w:rPr>
        <w:t>身上帶有人工關節，</w:t>
      </w: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患或先前曾</w:t>
      </w: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患過嚴重的敗血病者。</w:t>
      </w:r>
    </w:p>
    <w:p w14:paraId="77B981A9" w14:textId="77777777" w:rsidR="002F29C8" w:rsidRDefault="002F29C8" w:rsidP="002144EC">
      <w:pPr>
        <w:numPr>
          <w:ilvl w:val="1"/>
          <w:numId w:val="122"/>
        </w:numPr>
        <w:ind w:left="1418"/>
        <w:rPr>
          <w:rFonts w:ascii="標楷體" w:eastAsia="標楷體" w:hAnsi="標楷體"/>
          <w:color w:val="000000"/>
          <w:szCs w:val="24"/>
        </w:rPr>
      </w:pPr>
      <w:r w:rsidRPr="001B7743">
        <w:rPr>
          <w:rFonts w:ascii="標楷體" w:eastAsia="標楷體" w:hAnsi="標楷體"/>
          <w:color w:val="000000"/>
          <w:szCs w:val="24"/>
        </w:rPr>
        <w:t>惡性腫瘤或具有癌症前兆（pre-malignancy）者。</w:t>
      </w:r>
    </w:p>
    <w:p w14:paraId="22B0152D" w14:textId="77777777" w:rsidR="002F29C8" w:rsidRPr="001B7743" w:rsidRDefault="002F29C8" w:rsidP="002144EC">
      <w:pPr>
        <w:numPr>
          <w:ilvl w:val="1"/>
          <w:numId w:val="122"/>
        </w:numPr>
        <w:ind w:left="1418"/>
        <w:rPr>
          <w:rFonts w:ascii="標楷體" w:eastAsia="標楷體" w:hAnsi="標楷體"/>
          <w:color w:val="000000"/>
          <w:szCs w:val="24"/>
        </w:rPr>
      </w:pPr>
      <w:r w:rsidRPr="001B7743">
        <w:rPr>
          <w:rFonts w:ascii="標楷體" w:eastAsia="標楷體" w:hAnsi="標楷體"/>
          <w:color w:val="000000"/>
          <w:szCs w:val="24"/>
        </w:rPr>
        <w:t>免疫功能不全者（immunodeficiency）。</w:t>
      </w:r>
    </w:p>
    <w:p w14:paraId="58291EA9" w14:textId="77777777" w:rsidR="002F29C8" w:rsidRPr="00857373" w:rsidRDefault="002F29C8" w:rsidP="002144EC">
      <w:pPr>
        <w:numPr>
          <w:ilvl w:val="0"/>
          <w:numId w:val="122"/>
        </w:numPr>
        <w:ind w:left="993"/>
        <w:rPr>
          <w:rFonts w:ascii="標楷體" w:eastAsia="標楷體" w:hAnsi="標楷體"/>
          <w:color w:val="000000"/>
          <w:szCs w:val="24"/>
        </w:rPr>
      </w:pPr>
      <w:r w:rsidRPr="00857373">
        <w:rPr>
          <w:rFonts w:ascii="標楷體" w:eastAsia="標楷體" w:hAnsi="標楷體"/>
          <w:color w:val="000000"/>
          <w:szCs w:val="24"/>
        </w:rPr>
        <w:t>需停止治療條件：</w:t>
      </w:r>
    </w:p>
    <w:p w14:paraId="3C8A25E4" w14:textId="77777777" w:rsidR="002F29C8" w:rsidRPr="00857373" w:rsidRDefault="002F29C8" w:rsidP="002144EC">
      <w:pPr>
        <w:numPr>
          <w:ilvl w:val="1"/>
          <w:numId w:val="122"/>
        </w:numPr>
        <w:ind w:left="1560"/>
        <w:rPr>
          <w:rFonts w:ascii="標楷體" w:eastAsia="標楷體" w:hAnsi="標楷體"/>
          <w:color w:val="000000"/>
          <w:szCs w:val="24"/>
        </w:rPr>
      </w:pPr>
      <w:r w:rsidRPr="00857373">
        <w:rPr>
          <w:rFonts w:ascii="標楷體" w:eastAsia="標楷體" w:hAnsi="標楷體"/>
          <w:color w:val="000000"/>
          <w:szCs w:val="24"/>
        </w:rPr>
        <w:t>不良事件，包括：</w:t>
      </w:r>
    </w:p>
    <w:p w14:paraId="1ADC7645" w14:textId="77777777" w:rsidR="002F29C8" w:rsidRPr="00857373" w:rsidRDefault="002F29C8" w:rsidP="002F29C8">
      <w:pPr>
        <w:ind w:left="1418"/>
        <w:rPr>
          <w:rFonts w:ascii="標楷體" w:eastAsia="標楷體" w:hAnsi="標楷體"/>
          <w:color w:val="000000"/>
          <w:szCs w:val="24"/>
        </w:rPr>
      </w:pPr>
      <w:r w:rsidRPr="00857373">
        <w:rPr>
          <w:rFonts w:ascii="標楷體" w:eastAsia="標楷體" w:hAnsi="標楷體" w:hint="eastAsia"/>
          <w:color w:val="000000"/>
          <w:szCs w:val="24"/>
        </w:rPr>
        <w:t>Ⅰ</w:t>
      </w:r>
      <w:r w:rsidRPr="00857373">
        <w:rPr>
          <w:rFonts w:ascii="標楷體" w:eastAsia="標楷體" w:hAnsi="標楷體"/>
          <w:color w:val="000000"/>
          <w:szCs w:val="24"/>
        </w:rPr>
        <w:t>惡性腫瘤。</w:t>
      </w:r>
    </w:p>
    <w:p w14:paraId="16B1F1C3" w14:textId="77777777" w:rsidR="002F29C8" w:rsidRPr="00857373" w:rsidRDefault="002F29C8" w:rsidP="002F29C8">
      <w:pPr>
        <w:ind w:left="1418"/>
        <w:rPr>
          <w:rFonts w:ascii="標楷體" w:eastAsia="標楷體" w:hAnsi="標楷體"/>
          <w:color w:val="000000"/>
          <w:szCs w:val="24"/>
        </w:rPr>
      </w:pPr>
      <w:proofErr w:type="gramStart"/>
      <w:r w:rsidRPr="00857373">
        <w:rPr>
          <w:rFonts w:ascii="標楷體" w:eastAsia="標楷體" w:hAnsi="標楷體"/>
          <w:color w:val="000000"/>
          <w:szCs w:val="24"/>
        </w:rPr>
        <w:t>Ⅱ該藥物</w:t>
      </w:r>
      <w:proofErr w:type="gramEnd"/>
      <w:r w:rsidRPr="00857373">
        <w:rPr>
          <w:rFonts w:ascii="標楷體" w:eastAsia="標楷體" w:hAnsi="標楷體"/>
          <w:color w:val="000000"/>
          <w:szCs w:val="24"/>
        </w:rPr>
        <w:t>引起的嚴重性毒性。</w:t>
      </w:r>
    </w:p>
    <w:p w14:paraId="43947E43" w14:textId="77777777" w:rsidR="002F29C8" w:rsidRPr="00857373" w:rsidRDefault="002F29C8" w:rsidP="002F29C8">
      <w:pPr>
        <w:ind w:left="1418"/>
        <w:rPr>
          <w:rFonts w:ascii="標楷體" w:eastAsia="標楷體" w:hAnsi="標楷體"/>
          <w:color w:val="000000"/>
          <w:szCs w:val="24"/>
        </w:rPr>
      </w:pPr>
      <w:r w:rsidRPr="00857373">
        <w:rPr>
          <w:rFonts w:ascii="標楷體" w:eastAsia="標楷體" w:hAnsi="標楷體"/>
          <w:color w:val="000000"/>
          <w:szCs w:val="24"/>
        </w:rPr>
        <w:t>Ⅲ懷孕（暫時停藥即可）。</w:t>
      </w:r>
    </w:p>
    <w:p w14:paraId="32BCA190" w14:textId="77777777" w:rsidR="002F29C8" w:rsidRPr="00857373" w:rsidRDefault="002F29C8" w:rsidP="002F29C8">
      <w:pPr>
        <w:ind w:left="1418"/>
        <w:rPr>
          <w:rFonts w:ascii="標楷體" w:eastAsia="標楷體" w:hAnsi="標楷體"/>
          <w:color w:val="000000"/>
          <w:szCs w:val="24"/>
        </w:rPr>
      </w:pPr>
      <w:r w:rsidRPr="00857373">
        <w:rPr>
          <w:rFonts w:ascii="標楷體" w:eastAsia="標楷體" w:hAnsi="標楷體"/>
          <w:color w:val="000000"/>
          <w:szCs w:val="24"/>
        </w:rPr>
        <w:t>IV嚴重</w:t>
      </w:r>
      <w:proofErr w:type="gramStart"/>
      <w:r w:rsidRPr="00857373">
        <w:rPr>
          <w:rFonts w:ascii="標楷體" w:eastAsia="標楷體" w:hAnsi="標楷體"/>
          <w:color w:val="000000"/>
          <w:szCs w:val="24"/>
        </w:rPr>
        <w:t>的間發性</w:t>
      </w:r>
      <w:proofErr w:type="gramEnd"/>
      <w:r w:rsidRPr="00857373">
        <w:rPr>
          <w:rFonts w:ascii="標楷體" w:eastAsia="標楷體" w:hAnsi="標楷體"/>
          <w:color w:val="000000"/>
          <w:szCs w:val="24"/>
        </w:rPr>
        <w:t>感染症（intercurrent infection）（暫時停藥即可）。</w:t>
      </w:r>
    </w:p>
    <w:p w14:paraId="098EE742" w14:textId="77777777" w:rsidR="002F29C8" w:rsidRPr="00857373" w:rsidRDefault="002F29C8" w:rsidP="002144EC">
      <w:pPr>
        <w:numPr>
          <w:ilvl w:val="1"/>
          <w:numId w:val="122"/>
        </w:numPr>
        <w:tabs>
          <w:tab w:val="left" w:pos="1418"/>
        </w:tabs>
        <w:ind w:left="1560" w:hanging="427"/>
        <w:rPr>
          <w:rFonts w:ascii="標楷體" w:eastAsia="標楷體" w:hAnsi="標楷體"/>
          <w:color w:val="000000"/>
          <w:szCs w:val="24"/>
        </w:rPr>
      </w:pPr>
      <w:r w:rsidRPr="00857373">
        <w:rPr>
          <w:rFonts w:ascii="標楷體" w:eastAsia="標楷體" w:hAnsi="標楷體"/>
          <w:color w:val="000000"/>
          <w:szCs w:val="24"/>
        </w:rPr>
        <w:t>療效</w:t>
      </w:r>
      <w:proofErr w:type="gramStart"/>
      <w:r w:rsidRPr="00857373">
        <w:rPr>
          <w:rFonts w:ascii="標楷體" w:eastAsia="標楷體" w:hAnsi="標楷體"/>
          <w:color w:val="000000"/>
          <w:szCs w:val="24"/>
        </w:rPr>
        <w:t>不</w:t>
      </w:r>
      <w:proofErr w:type="gramEnd"/>
      <w:r w:rsidRPr="00857373">
        <w:rPr>
          <w:rFonts w:ascii="標楷體" w:eastAsia="標楷體" w:hAnsi="標楷體"/>
          <w:color w:val="000000"/>
          <w:szCs w:val="24"/>
        </w:rPr>
        <w:t>彰：病人經過6個月治療後未達療效者，療效定義指與初次治療前療效未達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w:t>
      </w:r>
    </w:p>
    <w:p w14:paraId="4A4A8F90" w14:textId="77777777" w:rsidR="002F29C8" w:rsidRPr="00857373" w:rsidRDefault="002F29C8" w:rsidP="002144EC">
      <w:pPr>
        <w:numPr>
          <w:ilvl w:val="0"/>
          <w:numId w:val="122"/>
        </w:numPr>
        <w:ind w:left="993"/>
        <w:rPr>
          <w:rFonts w:ascii="標楷體" w:eastAsia="標楷體" w:hAnsi="標楷體"/>
          <w:color w:val="000000"/>
          <w:szCs w:val="24"/>
        </w:rPr>
      </w:pPr>
      <w:r w:rsidRPr="00857373">
        <w:rPr>
          <w:rFonts w:ascii="標楷體" w:eastAsia="標楷體" w:hAnsi="標楷體"/>
          <w:color w:val="000000"/>
          <w:szCs w:val="24"/>
        </w:rPr>
        <w:t>限內科專科醫師且具有風濕或免疫專科醫師證書者，或皮膚科專科醫師處方。</w:t>
      </w:r>
    </w:p>
    <w:p w14:paraId="2972772F" w14:textId="77777777" w:rsidR="002F29C8" w:rsidRPr="00857373" w:rsidRDefault="002F29C8" w:rsidP="002144EC">
      <w:pPr>
        <w:numPr>
          <w:ilvl w:val="0"/>
          <w:numId w:val="122"/>
        </w:numPr>
        <w:ind w:left="993"/>
        <w:rPr>
          <w:rFonts w:ascii="標楷體" w:eastAsia="標楷體" w:hAnsi="標楷體"/>
          <w:color w:val="000000"/>
          <w:szCs w:val="24"/>
        </w:rPr>
      </w:pPr>
      <w:r w:rsidRPr="00857373">
        <w:rPr>
          <w:rFonts w:ascii="標楷體" w:eastAsia="標楷體" w:hAnsi="標楷體"/>
          <w:color w:val="000000"/>
          <w:szCs w:val="24"/>
        </w:rPr>
        <w:t>需經事前審查核准後使用：每次使用劑量為300mg，起始於第0，1，2，3和4</w:t>
      </w:r>
      <w:proofErr w:type="gramStart"/>
      <w:r w:rsidRPr="00857373">
        <w:rPr>
          <w:rFonts w:ascii="標楷體" w:eastAsia="標楷體" w:hAnsi="標楷體"/>
          <w:color w:val="000000"/>
          <w:szCs w:val="24"/>
        </w:rPr>
        <w:t>週</w:t>
      </w:r>
      <w:proofErr w:type="gramEnd"/>
      <w:r w:rsidRPr="00857373">
        <w:rPr>
          <w:rFonts w:ascii="標楷體" w:eastAsia="標楷體" w:hAnsi="標楷體"/>
          <w:color w:val="000000"/>
          <w:szCs w:val="24"/>
        </w:rPr>
        <w:t>，之後每2</w:t>
      </w:r>
      <w:proofErr w:type="gramStart"/>
      <w:r w:rsidRPr="00857373">
        <w:rPr>
          <w:rFonts w:ascii="標楷體" w:eastAsia="標楷體" w:hAnsi="標楷體"/>
          <w:color w:val="000000"/>
          <w:szCs w:val="24"/>
        </w:rPr>
        <w:t>週</w:t>
      </w:r>
      <w:proofErr w:type="gramEnd"/>
      <w:r w:rsidRPr="00857373">
        <w:rPr>
          <w:rFonts w:ascii="標楷體" w:eastAsia="標楷體" w:hAnsi="標楷體"/>
          <w:color w:val="000000"/>
          <w:szCs w:val="24"/>
        </w:rPr>
        <w:t>給予維持劑量300mg。每次申請給付單次療程30支。</w:t>
      </w:r>
    </w:p>
    <w:p w14:paraId="275300D2" w14:textId="77777777" w:rsidR="002F29C8" w:rsidRPr="00857373" w:rsidRDefault="002F29C8" w:rsidP="002144EC">
      <w:pPr>
        <w:numPr>
          <w:ilvl w:val="0"/>
          <w:numId w:val="122"/>
        </w:numPr>
        <w:ind w:left="993"/>
        <w:rPr>
          <w:rFonts w:ascii="標楷體" w:eastAsia="標楷體" w:hAnsi="標楷體"/>
          <w:color w:val="000000"/>
          <w:szCs w:val="24"/>
        </w:rPr>
      </w:pPr>
      <w:r w:rsidRPr="00857373">
        <w:rPr>
          <w:rFonts w:ascii="標楷體" w:eastAsia="標楷體" w:hAnsi="標楷體"/>
          <w:color w:val="000000"/>
          <w:szCs w:val="24"/>
        </w:rPr>
        <w:t>續用規定：單次療程結束後，若再次申請時須同時符合下列條件：</w:t>
      </w:r>
    </w:p>
    <w:p w14:paraId="36533B5A" w14:textId="77777777" w:rsidR="002F29C8" w:rsidRPr="00857373" w:rsidRDefault="002F29C8" w:rsidP="002144EC">
      <w:pPr>
        <w:numPr>
          <w:ilvl w:val="1"/>
          <w:numId w:val="122"/>
        </w:numPr>
        <w:ind w:left="1276"/>
        <w:rPr>
          <w:rFonts w:ascii="標楷體" w:eastAsia="標楷體" w:hAnsi="標楷體"/>
          <w:color w:val="000000"/>
          <w:szCs w:val="24"/>
        </w:rPr>
      </w:pPr>
      <w:r w:rsidRPr="00857373">
        <w:rPr>
          <w:rFonts w:ascii="標楷體" w:eastAsia="標楷體" w:hAnsi="標楷體"/>
          <w:color w:val="000000"/>
          <w:szCs w:val="24"/>
        </w:rPr>
        <w:t>依初次使用標準再次提出申請。</w:t>
      </w:r>
    </w:p>
    <w:p w14:paraId="3218B4FA" w14:textId="77777777" w:rsidR="002F29C8" w:rsidRPr="00857373" w:rsidRDefault="002F29C8" w:rsidP="002144EC">
      <w:pPr>
        <w:numPr>
          <w:ilvl w:val="1"/>
          <w:numId w:val="122"/>
        </w:numPr>
        <w:ind w:left="1276"/>
        <w:rPr>
          <w:rFonts w:ascii="標楷體" w:eastAsia="標楷體" w:hAnsi="標楷體"/>
          <w:color w:val="000000"/>
          <w:szCs w:val="24"/>
        </w:rPr>
      </w:pPr>
      <w:r w:rsidRPr="00857373">
        <w:rPr>
          <w:rFonts w:ascii="標楷體" w:eastAsia="標楷體" w:hAnsi="標楷體"/>
          <w:color w:val="000000"/>
          <w:szCs w:val="24"/>
        </w:rPr>
        <w:t>復發者傳統全身性療法反應不佳或無法耐受，指使用1.（3）所列兩種或兩種以上藥物治療，且至少3個月後，仍未達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 方可重新申請治療。</w:t>
      </w:r>
    </w:p>
    <w:p w14:paraId="78E3A705" w14:textId="77777777" w:rsidR="002F29C8" w:rsidRDefault="002F29C8" w:rsidP="002F29C8">
      <w:pPr>
        <w:spacing w:line="300" w:lineRule="exact"/>
        <w:ind w:left="645"/>
        <w:rPr>
          <w:rFonts w:ascii="標楷體" w:eastAsia="標楷體" w:hAnsi="標楷體"/>
          <w:color w:val="000000"/>
          <w:szCs w:val="24"/>
        </w:rPr>
      </w:pPr>
      <w:r w:rsidRPr="00857373">
        <w:rPr>
          <w:rFonts w:ascii="標楷體" w:eastAsia="標楷體" w:hAnsi="標楷體"/>
          <w:color w:val="000000"/>
          <w:szCs w:val="24"/>
        </w:rPr>
        <w:t>上一個療程或療程結束後，至少接受一處或一處以上的</w:t>
      </w:r>
      <w:proofErr w:type="gramStart"/>
      <w:r w:rsidRPr="00857373">
        <w:rPr>
          <w:rFonts w:ascii="標楷體" w:eastAsia="標楷體" w:hAnsi="標楷體"/>
          <w:color w:val="000000"/>
          <w:szCs w:val="24"/>
        </w:rPr>
        <w:t>廔</w:t>
      </w:r>
      <w:proofErr w:type="gramEnd"/>
      <w:r w:rsidRPr="00857373">
        <w:rPr>
          <w:rFonts w:ascii="標楷體" w:eastAsia="標楷體" w:hAnsi="標楷體"/>
          <w:color w:val="000000"/>
          <w:szCs w:val="24"/>
        </w:rPr>
        <w:t>管（fistula/tunnel）切除手術（excision）</w:t>
      </w:r>
      <w:proofErr w:type="gramStart"/>
      <w:r w:rsidRPr="00857373">
        <w:rPr>
          <w:rFonts w:ascii="標楷體" w:eastAsia="標楷體" w:hAnsi="標楷體"/>
          <w:color w:val="000000"/>
          <w:szCs w:val="24"/>
        </w:rPr>
        <w:t>或除頂術</w:t>
      </w:r>
      <w:proofErr w:type="gramEnd"/>
      <w:r w:rsidRPr="00857373">
        <w:rPr>
          <w:rFonts w:ascii="標楷體" w:eastAsia="標楷體" w:hAnsi="標楷體"/>
          <w:color w:val="000000"/>
          <w:szCs w:val="24"/>
        </w:rPr>
        <w:t>（deroofing），並檢附相關病理報告。</w:t>
      </w:r>
    </w:p>
    <w:p w14:paraId="508B609A" w14:textId="77777777" w:rsidR="00401786" w:rsidRPr="00773A8B" w:rsidRDefault="00C64FB3" w:rsidP="00773A8B">
      <w:pPr>
        <w:spacing w:line="300" w:lineRule="exact"/>
        <w:ind w:left="672" w:hanging="386"/>
        <w:rPr>
          <w:rFonts w:ascii="標楷體" w:eastAsia="標楷體" w:hAnsi="標楷體"/>
        </w:rPr>
      </w:pPr>
      <w:r w:rsidRPr="00773A8B">
        <w:rPr>
          <w:rFonts w:ascii="標楷體" w:eastAsia="標楷體" w:hAnsi="標楷體"/>
        </w:rPr>
        <w:t>8.2.5.Leflunomide (如Arava、</w:t>
      </w:r>
      <w:proofErr w:type="spellStart"/>
      <w:r w:rsidRPr="00773A8B">
        <w:rPr>
          <w:rFonts w:ascii="標楷體" w:eastAsia="標楷體" w:hAnsi="標楷體"/>
        </w:rPr>
        <w:t>Arheuma</w:t>
      </w:r>
      <w:proofErr w:type="spellEnd"/>
      <w:r w:rsidRPr="00773A8B">
        <w:rPr>
          <w:rFonts w:ascii="標楷體" w:eastAsia="標楷體" w:hAnsi="標楷體"/>
        </w:rPr>
        <w:t xml:space="preserve"> )：(92/9/1、93/5/1、97/9/1)</w:t>
      </w:r>
    </w:p>
    <w:p w14:paraId="0E05E27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1.限治療成人類風濕性關節炎，且用於methotrexate治療無效，或無法忍受methotrexate副作用時使用。</w:t>
      </w:r>
    </w:p>
    <w:p w14:paraId="12CDC60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2.限治療具活動性的成人</w:t>
      </w:r>
      <w:proofErr w:type="gramStart"/>
      <w:r>
        <w:rPr>
          <w:rFonts w:ascii="標楷體" w:eastAsia="標楷體" w:hAnsi="標楷體"/>
          <w:color w:val="000000"/>
        </w:rPr>
        <w:t>乾癬性關節炎</w:t>
      </w:r>
      <w:proofErr w:type="gramEnd"/>
      <w:r>
        <w:rPr>
          <w:rFonts w:ascii="標楷體" w:eastAsia="標楷體" w:hAnsi="標楷體"/>
          <w:color w:val="000000"/>
        </w:rPr>
        <w:t>，且於DMARDs（疾病修飾抗風濕病藥物）治療無效後使用。（97/9/1）</w:t>
      </w:r>
    </w:p>
    <w:p w14:paraId="7B31AE83" w14:textId="77777777" w:rsidR="00401786" w:rsidRPr="00773A8B" w:rsidRDefault="00C64FB3" w:rsidP="00773A8B">
      <w:pPr>
        <w:spacing w:line="300" w:lineRule="exact"/>
        <w:ind w:left="672" w:hanging="386"/>
        <w:rPr>
          <w:rFonts w:ascii="標楷體" w:eastAsia="標楷體" w:hAnsi="標楷體"/>
        </w:rPr>
      </w:pPr>
      <w:r w:rsidRPr="00773A8B">
        <w:rPr>
          <w:rFonts w:ascii="標楷體" w:eastAsia="標楷體" w:hAnsi="標楷體"/>
        </w:rPr>
        <w:t>8.2.6.短效干擾素、長效干擾素：</w:t>
      </w:r>
    </w:p>
    <w:p w14:paraId="3C00C07D" w14:textId="77777777" w:rsidR="00401786" w:rsidRDefault="00C64FB3" w:rsidP="0009639E">
      <w:pPr>
        <w:spacing w:line="300" w:lineRule="exact"/>
        <w:ind w:left="672" w:hanging="386"/>
      </w:pPr>
      <w:r>
        <w:rPr>
          <w:rFonts w:ascii="標楷體" w:eastAsia="標楷體" w:hAnsi="標楷體"/>
        </w:rPr>
        <w:t>8.2.6.1.Interferon alpha-2a （如</w:t>
      </w:r>
      <w:proofErr w:type="spellStart"/>
      <w:r>
        <w:rPr>
          <w:rFonts w:ascii="標楷體" w:eastAsia="標楷體" w:hAnsi="標楷體"/>
        </w:rPr>
        <w:t>Roferon</w:t>
      </w:r>
      <w:proofErr w:type="spellEnd"/>
      <w:r>
        <w:rPr>
          <w:rFonts w:ascii="標楷體" w:eastAsia="標楷體" w:hAnsi="標楷體"/>
        </w:rPr>
        <w:t>-A）及interferon alpha-2b（如Intron A）（92/10/1、109/7/1）; peginterferon alfa-2a（如</w:t>
      </w:r>
      <w:proofErr w:type="spellStart"/>
      <w:r>
        <w:rPr>
          <w:rFonts w:ascii="標楷體" w:eastAsia="標楷體" w:hAnsi="標楷體"/>
        </w:rPr>
        <w:t>Pegasys</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92/11/1-C肝、94/11/1-B肝、96/10/1、98/11/1、99/5/1-B肝、100/6/1-B肝、102/2/1、105/10/1、106/1/1、106/4/1、109/7/1、110/3/1、111/2/1、111/3/1)：</w:t>
      </w:r>
    </w:p>
    <w:p w14:paraId="03E560A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1.用於慢性病毒性B型或慢性病毒性C型肝炎患者之條件如下：</w:t>
      </w:r>
    </w:p>
    <w:p w14:paraId="11B9364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(1)用於慢性病毒性B型肝炎患者</w:t>
      </w:r>
    </w:p>
    <w:p w14:paraId="09639B82" w14:textId="77777777" w:rsidR="00401786" w:rsidRDefault="00C64FB3" w:rsidP="0009639E">
      <w:pPr>
        <w:spacing w:line="300" w:lineRule="exact"/>
        <w:ind w:left="1414" w:hanging="336"/>
        <w:rPr>
          <w:rFonts w:ascii="標楷體" w:eastAsia="標楷體" w:hAnsi="標楷體"/>
          <w:color w:val="000000"/>
        </w:rPr>
      </w:pPr>
      <w:proofErr w:type="spellStart"/>
      <w:r>
        <w:rPr>
          <w:rFonts w:ascii="標楷體" w:eastAsia="標楷體" w:hAnsi="標楷體"/>
          <w:color w:val="000000"/>
        </w:rPr>
        <w:t>Ⅰ.HBsAg</w:t>
      </w:r>
      <w:proofErr w:type="spellEnd"/>
      <w:r>
        <w:rPr>
          <w:rFonts w:ascii="標楷體" w:eastAsia="標楷體" w:hAnsi="標楷體"/>
          <w:color w:val="000000"/>
        </w:rPr>
        <w:t xml:space="preserve">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超過三個月，且ALT值大於 (或等於) 正常值上限五倍以上 (ALT</w:t>
      </w:r>
      <w:proofErr w:type="gramStart"/>
      <w:r>
        <w:rPr>
          <w:rFonts w:ascii="標楷體" w:eastAsia="標楷體" w:hAnsi="標楷體"/>
          <w:color w:val="000000"/>
        </w:rPr>
        <w:t>≧</w:t>
      </w:r>
      <w:proofErr w:type="gramEnd"/>
      <w:r>
        <w:rPr>
          <w:rFonts w:ascii="標楷體" w:eastAsia="標楷體" w:hAnsi="標楷體"/>
          <w:color w:val="000000"/>
        </w:rPr>
        <w:t>5X)，且無肝功能代償不全者。療程為12個月。（98/11/1、105/10/1）</w:t>
      </w:r>
    </w:p>
    <w:p w14:paraId="4D5184AC" w14:textId="77777777" w:rsidR="00401786" w:rsidRDefault="00C64FB3" w:rsidP="0009639E">
      <w:pPr>
        <w:spacing w:line="300" w:lineRule="exact"/>
        <w:ind w:left="1904" w:hanging="464"/>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：肝代償不全條件為prothrombin time延長</w:t>
      </w:r>
      <w:proofErr w:type="gramStart"/>
      <w:r>
        <w:rPr>
          <w:rFonts w:ascii="標楷體" w:eastAsia="標楷體" w:hAnsi="標楷體"/>
          <w:color w:val="000000"/>
        </w:rPr>
        <w:t>≧</w:t>
      </w:r>
      <w:proofErr w:type="gramEnd"/>
      <w:r>
        <w:rPr>
          <w:rFonts w:ascii="標楷體" w:eastAsia="標楷體" w:hAnsi="標楷體"/>
          <w:color w:val="000000"/>
        </w:rPr>
        <w:t>3秒或bilirubin (total)</w:t>
      </w:r>
      <w:proofErr w:type="gramStart"/>
      <w:r>
        <w:rPr>
          <w:rFonts w:ascii="標楷體" w:eastAsia="標楷體" w:hAnsi="標楷體"/>
          <w:color w:val="000000"/>
        </w:rPr>
        <w:t>≧</w:t>
      </w:r>
      <w:proofErr w:type="gramEnd"/>
      <w:r>
        <w:rPr>
          <w:rFonts w:ascii="標楷體" w:eastAsia="標楷體" w:hAnsi="標楷體"/>
          <w:color w:val="000000"/>
        </w:rPr>
        <w:t>2.0mg/dL，prothrombin time延長係以該次檢驗control值為</w:t>
      </w:r>
      <w:proofErr w:type="gramStart"/>
      <w:r>
        <w:rPr>
          <w:rFonts w:ascii="標楷體" w:eastAsia="標楷體" w:hAnsi="標楷體"/>
          <w:color w:val="000000"/>
        </w:rPr>
        <w:t>準</w:t>
      </w:r>
      <w:proofErr w:type="gramEnd"/>
      <w:r>
        <w:rPr>
          <w:rFonts w:ascii="標楷體" w:eastAsia="標楷體" w:hAnsi="標楷體"/>
          <w:color w:val="000000"/>
        </w:rPr>
        <w:t>。</w:t>
      </w:r>
    </w:p>
    <w:p w14:paraId="4B5B8809"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HBsAg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超過三個月，其ALT值介於正常值上限</w:t>
      </w:r>
      <w:r>
        <w:rPr>
          <w:rFonts w:ascii="標楷體" w:eastAsia="標楷體" w:hAnsi="標楷體"/>
          <w:color w:val="000000"/>
        </w:rPr>
        <w:lastRenderedPageBreak/>
        <w:t>二至五倍之間 (2X</w:t>
      </w:r>
      <w:proofErr w:type="gramStart"/>
      <w:r>
        <w:rPr>
          <w:rFonts w:ascii="標楷體" w:eastAsia="標楷體" w:hAnsi="標楷體"/>
          <w:color w:val="000000"/>
        </w:rPr>
        <w:t>≦</w:t>
      </w:r>
      <w:proofErr w:type="gramEnd"/>
      <w:r>
        <w:rPr>
          <w:rFonts w:ascii="標楷體" w:eastAsia="標楷體" w:hAnsi="標楷體"/>
          <w:color w:val="000000"/>
        </w:rPr>
        <w:t>ALT&lt;5X)，且血清HBV DNA</w:t>
      </w:r>
      <w:proofErr w:type="gramStart"/>
      <w:r>
        <w:rPr>
          <w:rFonts w:ascii="標楷體" w:eastAsia="標楷體" w:hAnsi="標楷體"/>
          <w:color w:val="000000"/>
        </w:rPr>
        <w:t>≧</w:t>
      </w:r>
      <w:proofErr w:type="gramEnd"/>
      <w:r>
        <w:rPr>
          <w:rFonts w:ascii="標楷體" w:eastAsia="標楷體" w:hAnsi="標楷體"/>
          <w:color w:val="000000"/>
        </w:rPr>
        <w:t>20,000 IU/mL或經由肝組織切片（血友病患及類血友病患經照會消化系專科醫師同意後，得不作切片）證實</w:t>
      </w:r>
      <w:proofErr w:type="spellStart"/>
      <w:r>
        <w:rPr>
          <w:rFonts w:ascii="標楷體" w:eastAsia="標楷體" w:hAnsi="標楷體"/>
          <w:color w:val="000000"/>
        </w:rPr>
        <w:t>HBcAg</w:t>
      </w:r>
      <w:proofErr w:type="spellEnd"/>
      <w:r>
        <w:rPr>
          <w:rFonts w:ascii="標楷體" w:eastAsia="標楷體" w:hAnsi="標楷體"/>
          <w:color w:val="000000"/>
        </w:rPr>
        <w:t>陽性並有慢性肝炎變化，無D型或C型肝炎合併感染，且無肝功能代償不全者，可接受藥物治療，療程為12個月。（98/11/1、105/10/1）</w:t>
      </w:r>
    </w:p>
    <w:p w14:paraId="117E9B09"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HBsAg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超過三個月，且ALT</w:t>
      </w:r>
      <w:proofErr w:type="gramStart"/>
      <w:r>
        <w:rPr>
          <w:rFonts w:ascii="標楷體" w:eastAsia="標楷體" w:hAnsi="標楷體"/>
          <w:color w:val="000000"/>
        </w:rPr>
        <w:t>值半年</w:t>
      </w:r>
      <w:proofErr w:type="gramEnd"/>
      <w:r>
        <w:rPr>
          <w:rFonts w:ascii="標楷體" w:eastAsia="標楷體" w:hAnsi="標楷體"/>
          <w:color w:val="000000"/>
        </w:rPr>
        <w:t>有兩次以上 (每次間隔三個月) 大於或等於正常值上限二倍以上 (ALT</w:t>
      </w:r>
      <w:proofErr w:type="gramStart"/>
      <w:r>
        <w:rPr>
          <w:rFonts w:ascii="標楷體" w:eastAsia="標楷體" w:hAnsi="標楷體"/>
          <w:color w:val="000000"/>
        </w:rPr>
        <w:t>≧</w:t>
      </w:r>
      <w:proofErr w:type="gramEnd"/>
      <w:r>
        <w:rPr>
          <w:rFonts w:ascii="標楷體" w:eastAsia="標楷體" w:hAnsi="標楷體"/>
          <w:color w:val="000000"/>
        </w:rPr>
        <w:t>2X)，且血清HBV DNA</w:t>
      </w:r>
      <w:proofErr w:type="gramStart"/>
      <w:r>
        <w:rPr>
          <w:rFonts w:ascii="標楷體" w:eastAsia="標楷體" w:hAnsi="標楷體"/>
          <w:color w:val="000000"/>
        </w:rPr>
        <w:t>≧</w:t>
      </w:r>
      <w:proofErr w:type="gramEnd"/>
      <w:r>
        <w:rPr>
          <w:rFonts w:ascii="標楷體" w:eastAsia="標楷體" w:hAnsi="標楷體"/>
          <w:color w:val="000000"/>
        </w:rPr>
        <w:t>2,000 IU/mL或經由肝組織切片（血友病患及類血友病患經照會消化系專科醫師同意後，得不作切片）證實</w:t>
      </w:r>
      <w:proofErr w:type="spellStart"/>
      <w:r>
        <w:rPr>
          <w:rFonts w:ascii="標楷體" w:eastAsia="標楷體" w:hAnsi="標楷體"/>
          <w:color w:val="000000"/>
        </w:rPr>
        <w:t>HBcAg</w:t>
      </w:r>
      <w:proofErr w:type="spellEnd"/>
      <w:r>
        <w:rPr>
          <w:rFonts w:ascii="標楷體" w:eastAsia="標楷體" w:hAnsi="標楷體"/>
          <w:color w:val="000000"/>
        </w:rPr>
        <w:t>陽性，無D型或C型肝炎合併感染，且無肝功能代償不全之患者。療程為12個月。（98/11/1）</w:t>
      </w:r>
    </w:p>
    <w:p w14:paraId="410E72F9" w14:textId="77777777" w:rsidR="00401786" w:rsidRDefault="00C64FB3" w:rsidP="0009639E">
      <w:pPr>
        <w:spacing w:line="300" w:lineRule="exact"/>
        <w:ind w:left="1457" w:hanging="360"/>
        <w:rPr>
          <w:rFonts w:ascii="標楷體" w:eastAsia="標楷體" w:hAnsi="標楷體"/>
        </w:rPr>
      </w:pPr>
      <w:r>
        <w:rPr>
          <w:rFonts w:ascii="標楷體" w:eastAsia="標楷體" w:hAnsi="標楷體"/>
        </w:rPr>
        <w:t>IV.符合上述Ⅰ、Ⅱ、Ⅲ條件納入治療計畫且經完成治療後</w:t>
      </w:r>
      <w:proofErr w:type="gramStart"/>
      <w:r>
        <w:rPr>
          <w:rFonts w:ascii="標楷體" w:eastAsia="標楷體" w:hAnsi="標楷體"/>
        </w:rPr>
        <w:t>停藥者</w:t>
      </w:r>
      <w:proofErr w:type="gramEnd"/>
      <w:r>
        <w:rPr>
          <w:rFonts w:ascii="標楷體" w:eastAsia="標楷體" w:hAnsi="標楷體"/>
        </w:rPr>
        <w:t>：經6個月觀察期，復發且符合上述Ⅰ、Ⅱ、Ⅲ條件者，</w:t>
      </w:r>
      <w:proofErr w:type="gramStart"/>
      <w:r>
        <w:rPr>
          <w:rFonts w:ascii="標楷體" w:eastAsia="標楷體" w:hAnsi="標楷體"/>
        </w:rPr>
        <w:t>無肝代償</w:t>
      </w:r>
      <w:proofErr w:type="gramEnd"/>
      <w:r>
        <w:rPr>
          <w:rFonts w:ascii="標楷體" w:eastAsia="標楷體" w:hAnsi="標楷體"/>
        </w:rPr>
        <w:t>不全者，可使用interferon alpha-2a、interferon alpha-2b、peginterferon alfa-2a再治療（一個療程）；或以lamivudine 100mg、entecavir 0.5mg、telbivudine 600mg、tenofovir disoproxil或tenofovir alafenamide再治療。惟若有肝代償不全者則應儘速使用lamivudine 100mg、entecavir 1.0mg(每日限使用1粒)、telbivudine 600mg、tenofovir disoproxil或tenofovir alafenamide再治療。（98/11/1、99/5/1、100/6/1、102/2/1、106/1/1、110/3/1、111/3/1）</w:t>
      </w:r>
    </w:p>
    <w:p w14:paraId="625D97F7"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V.符合10.7.3之1及3至4項條件納入治療計畫經完成治療後</w:t>
      </w:r>
      <w:proofErr w:type="gramStart"/>
      <w:r>
        <w:rPr>
          <w:rFonts w:ascii="標楷體" w:eastAsia="標楷體" w:hAnsi="標楷體"/>
        </w:rPr>
        <w:t>停藥者</w:t>
      </w:r>
      <w:proofErr w:type="gramEnd"/>
      <w:r>
        <w:rPr>
          <w:rFonts w:ascii="標楷體" w:eastAsia="標楷體" w:hAnsi="標楷體"/>
        </w:rPr>
        <w:t>：經觀察3至6個月，復發且符合上述Ⅰ、Ⅱ、Ⅲ條件</w:t>
      </w:r>
      <w:proofErr w:type="gramStart"/>
      <w:r>
        <w:rPr>
          <w:rFonts w:ascii="標楷體" w:eastAsia="標楷體" w:hAnsi="標楷體"/>
        </w:rPr>
        <w:t>且無肝代償</w:t>
      </w:r>
      <w:proofErr w:type="gramEnd"/>
      <w:r>
        <w:rPr>
          <w:rFonts w:ascii="標楷體" w:eastAsia="標楷體" w:hAnsi="標楷體"/>
        </w:rPr>
        <w:t>不全者，可使用interferon alpha-2a、interferon alpha-2b或peginterferon alfa-2a再治療（一個療程），或以lamivudine 100mg、entecavir 0.5mg、telbivudine 600mg、tenofovir disoproxil或tenofovir alafenamide再治療。惟若有肝代償不全者，則應儘速使用lamivudine 100mg、entecavir 1.0mg(每日限使用1粒)、telbivudine 600mg、tenofovir disoproxil或tenofovir alafenamide再治療。（98/11/1、100/6/1、102/2/1、106/1/1、110/3/1、111/3/1）</w:t>
      </w:r>
    </w:p>
    <w:p w14:paraId="3B9BD2F2" w14:textId="77777777" w:rsidR="00401786" w:rsidRDefault="00C64FB3" w:rsidP="0009639E">
      <w:pPr>
        <w:spacing w:line="300" w:lineRule="exact"/>
        <w:ind w:left="1484" w:hanging="406"/>
        <w:rPr>
          <w:rFonts w:ascii="標楷體" w:eastAsia="標楷體" w:hAnsi="標楷體"/>
          <w:color w:val="000000"/>
        </w:rPr>
      </w:pPr>
      <w:r>
        <w:rPr>
          <w:rFonts w:ascii="標楷體" w:eastAsia="標楷體" w:hAnsi="標楷體"/>
          <w:color w:val="000000"/>
        </w:rPr>
        <w:t>Ⅵ.上述Ⅳ</w:t>
      </w:r>
      <w:proofErr w:type="gramStart"/>
      <w:r>
        <w:rPr>
          <w:rFonts w:ascii="標楷體" w:eastAsia="標楷體" w:hAnsi="標楷體"/>
          <w:color w:val="000000"/>
        </w:rPr>
        <w:t>及Ⅴ停藥</w:t>
      </w:r>
      <w:proofErr w:type="gramEnd"/>
      <w:r>
        <w:rPr>
          <w:rFonts w:ascii="標楷體" w:eastAsia="標楷體" w:hAnsi="標楷體"/>
          <w:color w:val="000000"/>
        </w:rPr>
        <w:t>復發者再以口服抗病毒藥物治療之給付療程依</w:t>
      </w:r>
      <w:proofErr w:type="spellStart"/>
      <w:r>
        <w:rPr>
          <w:rFonts w:ascii="標楷體" w:eastAsia="標楷體" w:hAnsi="標楷體"/>
          <w:color w:val="000000"/>
        </w:rPr>
        <w:t>HBeAg</w:t>
      </w:r>
      <w:proofErr w:type="spellEnd"/>
      <w:r>
        <w:rPr>
          <w:rFonts w:ascii="標楷體" w:eastAsia="標楷體" w:hAnsi="標楷體"/>
          <w:color w:val="000000"/>
        </w:rPr>
        <w:t>(+)或</w:t>
      </w:r>
      <w:proofErr w:type="spellStart"/>
      <w:r>
        <w:rPr>
          <w:rFonts w:ascii="標楷體" w:eastAsia="標楷體" w:hAnsi="標楷體"/>
          <w:color w:val="000000"/>
        </w:rPr>
        <w:t>HBeAg</w:t>
      </w:r>
      <w:proofErr w:type="spellEnd"/>
      <w:r>
        <w:rPr>
          <w:rFonts w:ascii="標楷體" w:eastAsia="標楷體" w:hAnsi="標楷體"/>
          <w:color w:val="000000"/>
        </w:rPr>
        <w:t>(-)而定：</w:t>
      </w:r>
      <w:proofErr w:type="spellStart"/>
      <w:r>
        <w:rPr>
          <w:rFonts w:ascii="標楷體" w:eastAsia="標楷體" w:hAnsi="標楷體"/>
          <w:color w:val="000000"/>
        </w:rPr>
        <w:t>HBeAg</w:t>
      </w:r>
      <w:proofErr w:type="spellEnd"/>
      <w:r>
        <w:rPr>
          <w:rFonts w:ascii="標楷體" w:eastAsia="標楷體" w:hAnsi="標楷體"/>
          <w:color w:val="000000"/>
        </w:rPr>
        <w:t>(+)病患治療至e抗原</w:t>
      </w:r>
      <w:proofErr w:type="gramStart"/>
      <w:r>
        <w:rPr>
          <w:rFonts w:ascii="標楷體" w:eastAsia="標楷體" w:hAnsi="標楷體"/>
          <w:color w:val="000000"/>
        </w:rPr>
        <w:t>轉陰並</w:t>
      </w:r>
      <w:proofErr w:type="gramEnd"/>
      <w:r>
        <w:rPr>
          <w:rFonts w:ascii="標楷體" w:eastAsia="標楷體" w:hAnsi="標楷體"/>
          <w:color w:val="000000"/>
        </w:rPr>
        <w:t>再給付最多12個月；</w:t>
      </w:r>
      <w:proofErr w:type="spellStart"/>
      <w:r>
        <w:rPr>
          <w:rFonts w:ascii="標楷體" w:eastAsia="標楷體" w:hAnsi="標楷體"/>
          <w:color w:val="000000"/>
        </w:rPr>
        <w:t>HBeAg</w:t>
      </w:r>
      <w:proofErr w:type="spellEnd"/>
      <w:r>
        <w:rPr>
          <w:rFonts w:ascii="標楷體" w:eastAsia="標楷體" w:hAnsi="標楷體"/>
          <w:color w:val="000000"/>
        </w:rPr>
        <w:t>(-)病患治療至少二年，治療期間需檢驗血清HBV DNA，並於檢驗血清HBV DNA連續三次，每次間隔6個月，均檢驗不出HBV DNA時停藥，每次療程至多給付36個月。再次復發時得再接受治療，不限治療次數。（106/1/1、106/4/1）</w:t>
      </w:r>
    </w:p>
    <w:p w14:paraId="63F85D3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(2)用於慢性病毒性C型肝炎治療時:</w:t>
      </w:r>
    </w:p>
    <w:p w14:paraId="4A1BDB05"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Ⅰ.應與Ribavirin</w:t>
      </w:r>
      <w:proofErr w:type="gramStart"/>
      <w:r>
        <w:rPr>
          <w:rFonts w:ascii="標楷體" w:eastAsia="標楷體" w:hAnsi="標楷體"/>
          <w:color w:val="000000"/>
        </w:rPr>
        <w:t>併</w:t>
      </w:r>
      <w:proofErr w:type="gramEnd"/>
      <w:r>
        <w:rPr>
          <w:rFonts w:ascii="標楷體" w:eastAsia="標楷體" w:hAnsi="標楷體"/>
          <w:color w:val="000000"/>
        </w:rPr>
        <w:t>用</w:t>
      </w:r>
    </w:p>
    <w:p w14:paraId="29AE2DD4"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Ⅱ.限ALT值異常者，且Anti-HCV 與HCV RNA</w:t>
      </w:r>
      <w:proofErr w:type="gramStart"/>
      <w:r>
        <w:rPr>
          <w:rFonts w:ascii="標楷體" w:eastAsia="標楷體" w:hAnsi="標楷體"/>
          <w:color w:val="000000"/>
        </w:rPr>
        <w:t>均為陽性</w:t>
      </w:r>
      <w:proofErr w:type="gramEnd"/>
      <w:r>
        <w:rPr>
          <w:rFonts w:ascii="標楷體" w:eastAsia="標楷體" w:hAnsi="標楷體"/>
          <w:color w:val="000000"/>
        </w:rPr>
        <w:t>，或經由肝組織切片（血友病患及類血友病患經照會消化系專科醫師同意後，得不作切片）以METAVIR system證實輕度纖維化大於或等於F1及肝炎變化，且無肝功能代償不全者。（98/11/1）</w:t>
      </w:r>
    </w:p>
    <w:p w14:paraId="1A20DDC8"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Ⅲ.療程依Viral Kinetics區分如下: （98/11/1）</w:t>
      </w:r>
    </w:p>
    <w:p w14:paraId="79E90B3C"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a、有RVR (rapid virological response, 快速病毒反應)者，給付治療不超過24</w:t>
      </w:r>
      <w:proofErr w:type="gramStart"/>
      <w:r>
        <w:rPr>
          <w:rFonts w:ascii="標楷體" w:eastAsia="標楷體" w:hAnsi="標楷體"/>
          <w:color w:val="000000"/>
        </w:rPr>
        <w:t>週</w:t>
      </w:r>
      <w:proofErr w:type="gramEnd"/>
      <w:r>
        <w:rPr>
          <w:rFonts w:ascii="標楷體" w:eastAsia="標楷體" w:hAnsi="標楷體"/>
          <w:color w:val="000000"/>
        </w:rPr>
        <w:t>。</w:t>
      </w:r>
    </w:p>
    <w:p w14:paraId="7C60E4DE"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b、無RVR，但有EVR (early virologic response)者，給付治療48</w:t>
      </w:r>
      <w:proofErr w:type="gramStart"/>
      <w:r>
        <w:rPr>
          <w:rFonts w:ascii="標楷體" w:eastAsia="標楷體" w:hAnsi="標楷體"/>
          <w:color w:val="000000"/>
        </w:rPr>
        <w:t>週</w:t>
      </w:r>
      <w:proofErr w:type="gramEnd"/>
      <w:r>
        <w:rPr>
          <w:rFonts w:ascii="標楷體" w:eastAsia="標楷體" w:hAnsi="標楷體"/>
          <w:color w:val="000000"/>
        </w:rPr>
        <w:t>。</w:t>
      </w:r>
    </w:p>
    <w:p w14:paraId="2C392464"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c、到第12</w:t>
      </w:r>
      <w:proofErr w:type="gramStart"/>
      <w:r>
        <w:rPr>
          <w:rFonts w:ascii="標楷體" w:eastAsia="標楷體" w:hAnsi="標楷體"/>
          <w:color w:val="000000"/>
        </w:rPr>
        <w:t>週</w:t>
      </w:r>
      <w:proofErr w:type="gramEnd"/>
      <w:r>
        <w:rPr>
          <w:rFonts w:ascii="標楷體" w:eastAsia="標楷體" w:hAnsi="標楷體"/>
          <w:color w:val="000000"/>
        </w:rPr>
        <w:t>未到EVR者，應中止治療，治療期間不超過16</w:t>
      </w:r>
      <w:proofErr w:type="gramStart"/>
      <w:r>
        <w:rPr>
          <w:rFonts w:ascii="標楷體" w:eastAsia="標楷體" w:hAnsi="標楷體"/>
          <w:color w:val="000000"/>
        </w:rPr>
        <w:t>週</w:t>
      </w:r>
      <w:proofErr w:type="gramEnd"/>
      <w:r>
        <w:rPr>
          <w:rFonts w:ascii="標楷體" w:eastAsia="標楷體" w:hAnsi="標楷體"/>
          <w:color w:val="000000"/>
        </w:rPr>
        <w:t>。</w:t>
      </w:r>
    </w:p>
    <w:p w14:paraId="2735E107"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d、第一次藥物治療24</w:t>
      </w:r>
      <w:proofErr w:type="gramStart"/>
      <w:r>
        <w:rPr>
          <w:rFonts w:ascii="標楷體" w:eastAsia="標楷體" w:hAnsi="標楷體"/>
          <w:color w:val="000000"/>
        </w:rPr>
        <w:t>週</w:t>
      </w:r>
      <w:proofErr w:type="gramEnd"/>
      <w:r>
        <w:rPr>
          <w:rFonts w:ascii="標楷體" w:eastAsia="標楷體" w:hAnsi="標楷體"/>
          <w:color w:val="000000"/>
        </w:rPr>
        <w:t>後復發者，可以給予第二次治療，不超過48</w:t>
      </w:r>
      <w:proofErr w:type="gramStart"/>
      <w:r>
        <w:rPr>
          <w:rFonts w:ascii="標楷體" w:eastAsia="標楷體" w:hAnsi="標楷體"/>
          <w:color w:val="000000"/>
        </w:rPr>
        <w:t>週</w:t>
      </w:r>
      <w:proofErr w:type="gramEnd"/>
      <w:r>
        <w:rPr>
          <w:rFonts w:ascii="標楷體" w:eastAsia="標楷體" w:hAnsi="標楷體"/>
          <w:color w:val="000000"/>
        </w:rPr>
        <w:t>。</w:t>
      </w:r>
    </w:p>
    <w:p w14:paraId="59069512" w14:textId="77777777" w:rsidR="00401786" w:rsidRDefault="00C64FB3" w:rsidP="0009639E">
      <w:pPr>
        <w:spacing w:line="300" w:lineRule="exact"/>
        <w:ind w:left="1080"/>
        <w:rPr>
          <w:rFonts w:ascii="標楷體" w:eastAsia="標楷體" w:hAnsi="標楷體"/>
          <w:color w:val="000000"/>
        </w:rPr>
      </w:pPr>
      <w:r>
        <w:rPr>
          <w:rFonts w:ascii="標楷體" w:eastAsia="標楷體" w:hAnsi="標楷體"/>
          <w:color w:val="000000"/>
        </w:rPr>
        <w:t>※復發的定義:</w:t>
      </w:r>
    </w:p>
    <w:p w14:paraId="6C91B0F9" w14:textId="77777777" w:rsidR="00401786" w:rsidRDefault="00C64FB3" w:rsidP="0009639E">
      <w:pPr>
        <w:spacing w:line="300" w:lineRule="exact"/>
        <w:ind w:left="1301" w:firstLine="1"/>
        <w:rPr>
          <w:rFonts w:ascii="標楷體" w:eastAsia="標楷體" w:hAnsi="標楷體"/>
          <w:color w:val="000000"/>
        </w:rPr>
      </w:pPr>
      <w:r>
        <w:rPr>
          <w:rFonts w:ascii="標楷體" w:eastAsia="標楷體" w:hAnsi="標楷體"/>
          <w:color w:val="000000"/>
        </w:rPr>
        <w:t>治療完成時，血中偵測不到病毒，停</w:t>
      </w:r>
      <w:proofErr w:type="gramStart"/>
      <w:r>
        <w:rPr>
          <w:rFonts w:ascii="標楷體" w:eastAsia="標楷體" w:hAnsi="標楷體"/>
          <w:color w:val="000000"/>
        </w:rPr>
        <w:t>藥後血中</w:t>
      </w:r>
      <w:proofErr w:type="gramEnd"/>
      <w:r>
        <w:rPr>
          <w:rFonts w:ascii="標楷體" w:eastAsia="標楷體" w:hAnsi="標楷體"/>
          <w:color w:val="000000"/>
        </w:rPr>
        <w:t>病毒又再次偵測到。（98/11/1）</w:t>
      </w:r>
    </w:p>
    <w:p w14:paraId="2C3F2DB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醫</w:t>
      </w:r>
      <w:proofErr w:type="gramEnd"/>
      <w:r>
        <w:rPr>
          <w:rFonts w:ascii="標楷體" w:eastAsia="標楷體" w:hAnsi="標楷體"/>
          <w:color w:val="000000"/>
        </w:rPr>
        <w:t>事服務機構及醫師資格：(109/7/1)</w:t>
      </w:r>
    </w:p>
    <w:p w14:paraId="0EC925F0"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Ⅰ.醫院：</w:t>
      </w:r>
    </w:p>
    <w:p w14:paraId="55C12FF8" w14:textId="77777777" w:rsidR="00401786" w:rsidRDefault="00C64FB3" w:rsidP="0009639E">
      <w:pPr>
        <w:spacing w:line="300" w:lineRule="exact"/>
        <w:ind w:left="1781" w:hanging="341"/>
        <w:rPr>
          <w:rFonts w:ascii="標楷體" w:eastAsia="標楷體" w:hAnsi="標楷體"/>
          <w:color w:val="000000"/>
        </w:rPr>
      </w:pPr>
      <w:proofErr w:type="spellStart"/>
      <w:r>
        <w:rPr>
          <w:rFonts w:ascii="標楷體" w:eastAsia="標楷體" w:hAnsi="標楷體"/>
          <w:color w:val="000000"/>
        </w:rPr>
        <w:lastRenderedPageBreak/>
        <w:t>i</w:t>
      </w:r>
      <w:proofErr w:type="spellEnd"/>
      <w:r>
        <w:rPr>
          <w:rFonts w:ascii="標楷體" w:eastAsia="標楷體" w:hAnsi="標楷體"/>
          <w:color w:val="000000"/>
        </w:rPr>
        <w:t>.有消化系內科或消化系兒科專科醫師之醫院。</w:t>
      </w:r>
    </w:p>
    <w:p w14:paraId="6F5A1761" w14:textId="77777777" w:rsidR="00401786" w:rsidRDefault="00C64FB3" w:rsidP="0009639E">
      <w:pPr>
        <w:spacing w:line="300" w:lineRule="exact"/>
        <w:ind w:left="1788" w:hanging="350"/>
        <w:rPr>
          <w:rFonts w:ascii="標楷體" w:eastAsia="標楷體" w:hAnsi="標楷體"/>
          <w:color w:val="000000"/>
        </w:rPr>
      </w:pPr>
      <w:r>
        <w:rPr>
          <w:rFonts w:ascii="標楷體" w:eastAsia="標楷體" w:hAnsi="標楷體"/>
          <w:color w:val="000000"/>
        </w:rPr>
        <w:t>ii.醫師資格為前開醫院之消化系內科專科醫師、消化系兒科專科醫師、血液病專科醫師、腫瘤內科專科醫師、癌症相關科醫師及符合器官移植手術資格之專任或兼任專科醫師。</w:t>
      </w:r>
    </w:p>
    <w:p w14:paraId="6E3FDFB8" w14:textId="77777777" w:rsidR="00401786" w:rsidRDefault="00C64FB3" w:rsidP="0009639E">
      <w:pPr>
        <w:spacing w:line="300" w:lineRule="exact"/>
        <w:ind w:left="1908" w:hanging="468"/>
        <w:rPr>
          <w:rFonts w:ascii="標楷體" w:eastAsia="標楷體" w:hAnsi="標楷體"/>
          <w:color w:val="000000"/>
        </w:rPr>
      </w:pPr>
      <w:r>
        <w:rPr>
          <w:rFonts w:ascii="標楷體" w:eastAsia="標楷體" w:hAnsi="標楷體"/>
          <w:color w:val="000000"/>
        </w:rPr>
        <w:t>iii.</w:t>
      </w:r>
      <w:proofErr w:type="gramStart"/>
      <w:r>
        <w:rPr>
          <w:rFonts w:ascii="標楷體" w:eastAsia="標楷體" w:hAnsi="標楷體"/>
          <w:color w:val="000000"/>
        </w:rPr>
        <w:t>前開非消化</w:t>
      </w:r>
      <w:proofErr w:type="gramEnd"/>
      <w:r>
        <w:rPr>
          <w:rFonts w:ascii="標楷體" w:eastAsia="標楷體" w:hAnsi="標楷體"/>
          <w:color w:val="000000"/>
        </w:rPr>
        <w:t>系專科醫師，需先照會消化系專科醫師，惟愛滋病毒感染患者</w:t>
      </w:r>
      <w:proofErr w:type="gramStart"/>
      <w:r>
        <w:rPr>
          <w:rFonts w:ascii="標楷體" w:eastAsia="標楷體" w:hAnsi="標楷體"/>
          <w:color w:val="000000"/>
        </w:rPr>
        <w:t>併</w:t>
      </w:r>
      <w:proofErr w:type="gramEnd"/>
      <w:r>
        <w:rPr>
          <w:rFonts w:ascii="標楷體" w:eastAsia="標楷體" w:hAnsi="標楷體"/>
          <w:color w:val="000000"/>
        </w:rPr>
        <w:t>有B型或C肝炎感染者，得</w:t>
      </w:r>
      <w:proofErr w:type="gramStart"/>
      <w:r>
        <w:rPr>
          <w:rFonts w:ascii="標楷體" w:eastAsia="標楷體" w:hAnsi="標楷體"/>
          <w:color w:val="000000"/>
        </w:rPr>
        <w:t>由其照護</w:t>
      </w:r>
      <w:proofErr w:type="gramEnd"/>
      <w:r>
        <w:rPr>
          <w:rFonts w:ascii="標楷體" w:eastAsia="標楷體" w:hAnsi="標楷體"/>
          <w:color w:val="000000"/>
        </w:rPr>
        <w:t>之感染症內科專科醫師開立處方。</w:t>
      </w:r>
    </w:p>
    <w:p w14:paraId="23767CDF"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Ⅱ.基層院所：</w:t>
      </w:r>
    </w:p>
    <w:p w14:paraId="13A14790" w14:textId="77777777" w:rsidR="00401786" w:rsidRDefault="00C64FB3" w:rsidP="0009639E">
      <w:pPr>
        <w:spacing w:line="300" w:lineRule="exact"/>
        <w:ind w:left="1781" w:hanging="34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.須具有消化系內科或消化系兒科專任專科醫師之基層院所。</w:t>
      </w:r>
    </w:p>
    <w:p w14:paraId="2D431CE8" w14:textId="77777777" w:rsidR="00401786" w:rsidRDefault="00C64FB3" w:rsidP="0009639E">
      <w:pPr>
        <w:spacing w:line="300" w:lineRule="exact"/>
        <w:ind w:left="1788" w:hanging="350"/>
        <w:rPr>
          <w:rFonts w:ascii="標楷體" w:eastAsia="標楷體" w:hAnsi="標楷體"/>
        </w:rPr>
      </w:pPr>
      <w:r>
        <w:rPr>
          <w:rFonts w:ascii="標楷體" w:eastAsia="標楷體" w:hAnsi="標楷體"/>
        </w:rPr>
        <w:t>ii.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02B8AF9A"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◎附表三十四：肝炎治療醫療資源不足地區及山地離島地區一覽表</w:t>
      </w:r>
    </w:p>
    <w:p w14:paraId="023546B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2.限用於</w:t>
      </w:r>
      <w:proofErr w:type="gramStart"/>
      <w:r>
        <w:rPr>
          <w:rFonts w:ascii="標楷體" w:eastAsia="標楷體" w:hAnsi="標楷體"/>
        </w:rPr>
        <w:t>下列癌</w:t>
      </w:r>
      <w:proofErr w:type="gramEnd"/>
      <w:r>
        <w:rPr>
          <w:rFonts w:ascii="標楷體" w:eastAsia="標楷體" w:hAnsi="標楷體"/>
        </w:rPr>
        <w:t>瘤病患「限interferon alpha-2a（如</w:t>
      </w:r>
      <w:proofErr w:type="spellStart"/>
      <w:r>
        <w:rPr>
          <w:rFonts w:ascii="標楷體" w:eastAsia="標楷體" w:hAnsi="標楷體"/>
        </w:rPr>
        <w:t>Roferon</w:t>
      </w:r>
      <w:proofErr w:type="spellEnd"/>
      <w:r>
        <w:rPr>
          <w:rFonts w:ascii="標楷體" w:eastAsia="標楷體" w:hAnsi="標楷體"/>
        </w:rPr>
        <w:t>-A）及interferon alpha-2b（如Intron A）」（93/4/1、97/8/1、111/2/1）:</w:t>
      </w:r>
    </w:p>
    <w:p w14:paraId="50E6B4E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w:t>
      </w:r>
      <w:proofErr w:type="gramStart"/>
      <w:r>
        <w:rPr>
          <w:rFonts w:ascii="標楷體" w:eastAsia="標楷體" w:hAnsi="標楷體"/>
        </w:rPr>
        <w:t>1)Chronic</w:t>
      </w:r>
      <w:proofErr w:type="gramEnd"/>
      <w:r>
        <w:rPr>
          <w:rFonts w:ascii="標楷體" w:eastAsia="標楷體" w:hAnsi="標楷體"/>
        </w:rPr>
        <w:t xml:space="preserve"> myelogenous leukemia</w:t>
      </w:r>
    </w:p>
    <w:p w14:paraId="3DB7956D"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w:t>
      </w:r>
      <w:proofErr w:type="gramStart"/>
      <w:r>
        <w:rPr>
          <w:rFonts w:ascii="標楷體" w:eastAsia="標楷體" w:hAnsi="標楷體"/>
        </w:rPr>
        <w:t>2)Multiple</w:t>
      </w:r>
      <w:proofErr w:type="gramEnd"/>
      <w:r>
        <w:rPr>
          <w:rFonts w:ascii="標楷體" w:eastAsia="標楷體" w:hAnsi="標楷體"/>
        </w:rPr>
        <w:t xml:space="preserve"> myeloma</w:t>
      </w:r>
    </w:p>
    <w:p w14:paraId="46EC44A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w:t>
      </w:r>
      <w:proofErr w:type="gramStart"/>
      <w:r>
        <w:rPr>
          <w:rFonts w:ascii="標楷體" w:eastAsia="標楷體" w:hAnsi="標楷體"/>
        </w:rPr>
        <w:t>3)Hairy</w:t>
      </w:r>
      <w:proofErr w:type="gramEnd"/>
      <w:r>
        <w:rPr>
          <w:rFonts w:ascii="標楷體" w:eastAsia="標楷體" w:hAnsi="標楷體"/>
        </w:rPr>
        <w:t xml:space="preserve"> cell leukemia</w:t>
      </w:r>
    </w:p>
    <w:p w14:paraId="71135EA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w:t>
      </w:r>
      <w:proofErr w:type="gramStart"/>
      <w:r>
        <w:rPr>
          <w:rFonts w:ascii="標楷體" w:eastAsia="標楷體" w:hAnsi="標楷體"/>
        </w:rPr>
        <w:t>Ｔ</w:t>
      </w:r>
      <w:proofErr w:type="gramEnd"/>
      <w:r>
        <w:rPr>
          <w:rFonts w:ascii="標楷體" w:eastAsia="標楷體" w:hAnsi="標楷體"/>
        </w:rPr>
        <w:t>細胞淋巴瘤病例(限a-2A、2B type) (87/4/1)。</w:t>
      </w:r>
    </w:p>
    <w:p w14:paraId="0F2373F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(5)卡</w:t>
      </w:r>
      <w:proofErr w:type="gramStart"/>
      <w:r>
        <w:rPr>
          <w:rFonts w:ascii="標楷體" w:eastAsia="標楷體" w:hAnsi="標楷體"/>
        </w:rPr>
        <w:t>波西氏肉瘤</w:t>
      </w:r>
      <w:proofErr w:type="gramEnd"/>
      <w:r>
        <w:rPr>
          <w:rFonts w:ascii="標楷體" w:eastAsia="標楷體" w:hAnsi="標楷體"/>
        </w:rPr>
        <w:t>（Kaposi’s sarcoma）病例使用（87/4/1）。</w:t>
      </w:r>
    </w:p>
    <w:p w14:paraId="5E251DF4" w14:textId="77777777" w:rsidR="00401786" w:rsidRDefault="00C64FB3" w:rsidP="0009639E">
      <w:pPr>
        <w:spacing w:line="300" w:lineRule="exact"/>
        <w:ind w:left="1049" w:hanging="341"/>
      </w:pPr>
      <w:r>
        <w:rPr>
          <w:rFonts w:ascii="標楷體" w:eastAsia="標楷體" w:hAnsi="標楷體"/>
        </w:rPr>
        <w:t>(6)</w:t>
      </w:r>
      <w:r>
        <w:t xml:space="preserve"> </w:t>
      </w:r>
      <w:r>
        <w:rPr>
          <w:rFonts w:ascii="標楷體" w:eastAsia="標楷體" w:hAnsi="標楷體"/>
        </w:rPr>
        <w:t>70歲以下，</w:t>
      </w:r>
      <w:proofErr w:type="gramStart"/>
      <w:r>
        <w:rPr>
          <w:rFonts w:ascii="標楷體" w:eastAsia="標楷體" w:hAnsi="標楷體"/>
        </w:rPr>
        <w:t>罹</w:t>
      </w:r>
      <w:proofErr w:type="gramEnd"/>
      <w:r>
        <w:rPr>
          <w:rFonts w:ascii="標楷體" w:eastAsia="標楷體" w:hAnsi="標楷體"/>
        </w:rPr>
        <w:t>患中、晚期之低</w:t>
      </w:r>
      <w:proofErr w:type="gramStart"/>
      <w:r>
        <w:rPr>
          <w:rFonts w:ascii="標楷體" w:eastAsia="標楷體" w:hAnsi="標楷體"/>
        </w:rPr>
        <w:t>度非何杰</w:t>
      </w:r>
      <w:proofErr w:type="gramEnd"/>
      <w:r>
        <w:rPr>
          <w:rFonts w:ascii="標楷體" w:eastAsia="標楷體" w:hAnsi="標楷體"/>
        </w:rPr>
        <w:t>金氏淋巴瘤(low grade non-Hodgkin</w:t>
      </w:r>
      <w:proofErr w:type="gramStart"/>
      <w:r>
        <w:rPr>
          <w:rFonts w:ascii="標楷體" w:eastAsia="標楷體" w:hAnsi="標楷體"/>
        </w:rPr>
        <w:t>’</w:t>
      </w:r>
      <w:proofErr w:type="gramEnd"/>
      <w:r>
        <w:rPr>
          <w:rFonts w:ascii="標楷體" w:eastAsia="標楷體" w:hAnsi="標楷體"/>
        </w:rPr>
        <w:t>s lymphoma)，且具有高腫瘤負荷(high tumor burden)之病患。(89/1/1、111/2/1)</w:t>
      </w:r>
    </w:p>
    <w:p w14:paraId="50FAF534" w14:textId="77777777" w:rsidR="00401786" w:rsidRDefault="00C64FB3" w:rsidP="0009639E">
      <w:pPr>
        <w:spacing w:line="300" w:lineRule="exact"/>
        <w:ind w:left="1020"/>
        <w:rPr>
          <w:rFonts w:ascii="標楷體" w:eastAsia="標楷體" w:hAnsi="標楷體"/>
        </w:rPr>
      </w:pPr>
      <w:r>
        <w:rPr>
          <w:rFonts w:ascii="標楷體" w:eastAsia="標楷體" w:hAnsi="標楷體"/>
        </w:rPr>
        <w:t>(「高腫瘤負荷」定義：第三或第四期病患；或血清LDH &gt; 350 IU/L；或腫塊大於十公分以上。)</w:t>
      </w:r>
    </w:p>
    <w:p w14:paraId="469DA462"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(7)限使用於晚期不能手術切除或</w:t>
      </w:r>
      <w:proofErr w:type="gramStart"/>
      <w:r>
        <w:rPr>
          <w:rFonts w:ascii="標楷體" w:eastAsia="標楷體" w:hAnsi="標楷體"/>
        </w:rPr>
        <w:t>轉移性腎細胞</w:t>
      </w:r>
      <w:proofErr w:type="gramEnd"/>
      <w:r>
        <w:rPr>
          <w:rFonts w:ascii="標楷體" w:eastAsia="標楷體" w:hAnsi="標楷體"/>
        </w:rPr>
        <w:t>癌之病患(限a-2A type)（89/1/1）</w:t>
      </w:r>
    </w:p>
    <w:p w14:paraId="28B80AEF"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(8)</w:t>
      </w:r>
      <w:proofErr w:type="spellStart"/>
      <w:r>
        <w:rPr>
          <w:rFonts w:ascii="標楷體" w:eastAsia="標楷體" w:hAnsi="標楷體"/>
        </w:rPr>
        <w:t>kasabach</w:t>
      </w:r>
      <w:proofErr w:type="spellEnd"/>
      <w:r>
        <w:rPr>
          <w:rFonts w:ascii="標楷體" w:eastAsia="標楷體" w:hAnsi="標楷體"/>
        </w:rPr>
        <w:t>-Merritt症候群。（93/4/1）</w:t>
      </w:r>
    </w:p>
    <w:p w14:paraId="378849A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(9)用於一般療法無法治療的Lymphangioma。（93/4/1、97/8/1）</w:t>
      </w:r>
    </w:p>
    <w:p w14:paraId="027EEC9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8.2.6.2.Peginterferon alpha-2b（如Peg-Intron）（92/10/1、94/10/1、109/7/1）；interferon alfacon-1（如</w:t>
      </w:r>
      <w:proofErr w:type="spellStart"/>
      <w:r>
        <w:rPr>
          <w:rFonts w:ascii="標楷體" w:eastAsia="標楷體" w:hAnsi="標楷體"/>
        </w:rPr>
        <w:t>Infergen</w:t>
      </w:r>
      <w:proofErr w:type="spellEnd"/>
      <w:r>
        <w:rPr>
          <w:rFonts w:ascii="標楷體" w:eastAsia="標楷體" w:hAnsi="標楷體"/>
        </w:rPr>
        <w:t>）（93/7/1、94/10/1、98/11/1、109/7/1）</w:t>
      </w:r>
    </w:p>
    <w:p w14:paraId="5A47B4B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1.限用於下列慢性病毒性C型肝炎患者，且應與ribavirin</w:t>
      </w:r>
      <w:proofErr w:type="gramStart"/>
      <w:r>
        <w:rPr>
          <w:rFonts w:ascii="標楷體" w:eastAsia="標楷體" w:hAnsi="標楷體"/>
        </w:rPr>
        <w:t>併</w:t>
      </w:r>
      <w:proofErr w:type="gramEnd"/>
      <w:r>
        <w:rPr>
          <w:rFonts w:ascii="標楷體" w:eastAsia="標楷體" w:hAnsi="標楷體"/>
        </w:rPr>
        <w:t>用:</w:t>
      </w:r>
    </w:p>
    <w:p w14:paraId="0BED02D1"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t xml:space="preserve">(1)限ALT值異常者，且Anti-HCV 與HCV RNA </w:t>
      </w:r>
      <w:proofErr w:type="gramStart"/>
      <w:r>
        <w:rPr>
          <w:rFonts w:ascii="標楷體" w:eastAsia="標楷體" w:hAnsi="標楷體"/>
        </w:rPr>
        <w:t>均為陽性</w:t>
      </w:r>
      <w:proofErr w:type="gramEnd"/>
      <w:r>
        <w:rPr>
          <w:rFonts w:ascii="標楷體" w:eastAsia="標楷體" w:hAnsi="標楷體"/>
        </w:rPr>
        <w:t>，或經由肝組織切片（血友病患及類血友病患經照會消化系專科醫師同意後，得不作切片），以METAVIR system證實輕度纖維化大於或等於F1及肝炎變化，且無肝功能代償不全者。（98/11/1）</w:t>
      </w:r>
    </w:p>
    <w:p w14:paraId="1E91BBBB"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t>(2)療程依Viral kinetics區分如下: （98/11/1）</w:t>
      </w:r>
    </w:p>
    <w:p w14:paraId="57DBCA6D"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Ⅰ.有RVR (rapid virological response, 快速病毒反應)者，給付治療不超過24</w:t>
      </w:r>
      <w:proofErr w:type="gramStart"/>
      <w:r>
        <w:rPr>
          <w:rFonts w:ascii="標楷體" w:eastAsia="標楷體" w:hAnsi="標楷體"/>
        </w:rPr>
        <w:t>週</w:t>
      </w:r>
      <w:proofErr w:type="gramEnd"/>
      <w:r>
        <w:rPr>
          <w:rFonts w:ascii="標楷體" w:eastAsia="標楷體" w:hAnsi="標楷體"/>
        </w:rPr>
        <w:t>。</w:t>
      </w:r>
    </w:p>
    <w:p w14:paraId="25F19B1B"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Ⅱ.無RVR，但有EVR (early virologic response)者，給付治療48</w:t>
      </w:r>
      <w:proofErr w:type="gramStart"/>
      <w:r>
        <w:rPr>
          <w:rFonts w:ascii="標楷體" w:eastAsia="標楷體" w:hAnsi="標楷體"/>
        </w:rPr>
        <w:t>週</w:t>
      </w:r>
      <w:proofErr w:type="gramEnd"/>
      <w:r>
        <w:rPr>
          <w:rFonts w:ascii="標楷體" w:eastAsia="標楷體" w:hAnsi="標楷體"/>
        </w:rPr>
        <w:t>。</w:t>
      </w:r>
    </w:p>
    <w:p w14:paraId="40D816AD"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Ⅲ.到第12</w:t>
      </w:r>
      <w:proofErr w:type="gramStart"/>
      <w:r>
        <w:rPr>
          <w:rFonts w:ascii="標楷體" w:eastAsia="標楷體" w:hAnsi="標楷體"/>
        </w:rPr>
        <w:t>週</w:t>
      </w:r>
      <w:proofErr w:type="gramEnd"/>
      <w:r>
        <w:rPr>
          <w:rFonts w:ascii="標楷體" w:eastAsia="標楷體" w:hAnsi="標楷體"/>
        </w:rPr>
        <w:t>未到EVR者，應中止治療，治療期間不超過16</w:t>
      </w:r>
      <w:proofErr w:type="gramStart"/>
      <w:r>
        <w:rPr>
          <w:rFonts w:ascii="標楷體" w:eastAsia="標楷體" w:hAnsi="標楷體"/>
        </w:rPr>
        <w:t>週</w:t>
      </w:r>
      <w:proofErr w:type="gramEnd"/>
      <w:r>
        <w:rPr>
          <w:rFonts w:ascii="標楷體" w:eastAsia="標楷體" w:hAnsi="標楷體"/>
        </w:rPr>
        <w:t>。</w:t>
      </w:r>
    </w:p>
    <w:p w14:paraId="3CEAC9B5"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Ⅳ.第一次治療24</w:t>
      </w:r>
      <w:proofErr w:type="gramStart"/>
      <w:r>
        <w:rPr>
          <w:rFonts w:ascii="標楷體" w:eastAsia="標楷體" w:hAnsi="標楷體"/>
        </w:rPr>
        <w:t>週</w:t>
      </w:r>
      <w:proofErr w:type="gramEnd"/>
      <w:r>
        <w:rPr>
          <w:rFonts w:ascii="標楷體" w:eastAsia="標楷體" w:hAnsi="標楷體"/>
        </w:rPr>
        <w:t>後復發者，可以給予第二次治療，給付不超過48</w:t>
      </w:r>
      <w:proofErr w:type="gramStart"/>
      <w:r>
        <w:rPr>
          <w:rFonts w:ascii="標楷體" w:eastAsia="標楷體" w:hAnsi="標楷體"/>
        </w:rPr>
        <w:t>週</w:t>
      </w:r>
      <w:proofErr w:type="gramEnd"/>
      <w:r>
        <w:rPr>
          <w:rFonts w:ascii="標楷體" w:eastAsia="標楷體" w:hAnsi="標楷體"/>
        </w:rPr>
        <w:t>。</w:t>
      </w:r>
    </w:p>
    <w:p w14:paraId="1648FCF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proofErr w:type="gramStart"/>
      <w:r>
        <w:rPr>
          <w:rFonts w:ascii="標楷體" w:eastAsia="標楷體" w:hAnsi="標楷體"/>
        </w:rPr>
        <w:t>醫</w:t>
      </w:r>
      <w:proofErr w:type="gramEnd"/>
      <w:r>
        <w:rPr>
          <w:rFonts w:ascii="標楷體" w:eastAsia="標楷體" w:hAnsi="標楷體"/>
        </w:rPr>
        <w:t>事服務機構及醫師資格：(109/7/1)</w:t>
      </w:r>
    </w:p>
    <w:p w14:paraId="091CA1BD"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t>(1)醫院：</w:t>
      </w:r>
    </w:p>
    <w:p w14:paraId="2A7590A0"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Ⅰ.有消化系內科或消化系兒科專科醫師之醫院。</w:t>
      </w:r>
    </w:p>
    <w:p w14:paraId="7B3A101B"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Ⅱ.醫師資格為前開醫院之消化系內科專科醫師、消化系兒科專科醫師、血液病專科醫師、腫瘤內科專科醫師、癌症相關科醫師及符合器官移植手術資格之專任或兼任專科醫師。</w:t>
      </w:r>
    </w:p>
    <w:p w14:paraId="7D88CEAC"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之感染症內科專科醫師開立處方。</w:t>
      </w:r>
    </w:p>
    <w:p w14:paraId="046D87DC"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lastRenderedPageBreak/>
        <w:t>(2)基層院所：</w:t>
      </w:r>
    </w:p>
    <w:p w14:paraId="7901C1A2"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Ⅰ.須具有消化系內科或消化系兒科專任專科醫師之基層院所。</w:t>
      </w:r>
    </w:p>
    <w:p w14:paraId="536E6554"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Ⅱ.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4D321C8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◎附表三十四：肝炎治療醫療資源不足地區及山地離島地區一覽表</w:t>
      </w:r>
    </w:p>
    <w:p w14:paraId="167E7A03" w14:textId="77777777" w:rsidR="00401786" w:rsidRPr="00773A8B" w:rsidRDefault="00C64FB3" w:rsidP="00773A8B">
      <w:pPr>
        <w:spacing w:line="300" w:lineRule="exact"/>
        <w:ind w:left="672" w:hanging="386"/>
        <w:rPr>
          <w:rFonts w:ascii="標楷體" w:eastAsia="標楷體" w:hAnsi="標楷體"/>
        </w:rPr>
      </w:pPr>
      <w:r>
        <w:rPr>
          <w:rFonts w:ascii="標楷體" w:eastAsia="標楷體" w:hAnsi="標楷體"/>
        </w:rPr>
        <w:t>8.2.7.Rituximab注射劑</w:t>
      </w:r>
      <w:proofErr w:type="gramStart"/>
      <w:r>
        <w:rPr>
          <w:rFonts w:ascii="標楷體" w:eastAsia="標楷體" w:hAnsi="標楷體"/>
        </w:rPr>
        <w:t>（</w:t>
      </w:r>
      <w:proofErr w:type="gramEnd"/>
      <w:r>
        <w:rPr>
          <w:rFonts w:ascii="標楷體" w:eastAsia="標楷體" w:hAnsi="標楷體"/>
        </w:rPr>
        <w:t>如</w:t>
      </w:r>
      <w:proofErr w:type="spellStart"/>
      <w:r>
        <w:rPr>
          <w:rFonts w:ascii="標楷體" w:eastAsia="標楷體" w:hAnsi="標楷體"/>
        </w:rPr>
        <w:t>Mabthera</w:t>
      </w:r>
      <w:proofErr w:type="spellEnd"/>
      <w:r>
        <w:rPr>
          <w:rFonts w:ascii="標楷體" w:eastAsia="標楷體" w:hAnsi="標楷體"/>
        </w:rPr>
        <w:t>，不同劑型之適用範圍需符合藥品許可證登載之適應症)：用於類風濕性關節炎之成人治療部分（97/11/1、99/2/1、101/7/1、102/1/1、102/4/1、106/9/1、109/11/1）</w:t>
      </w:r>
    </w:p>
    <w:p w14:paraId="0D1B7353" w14:textId="77777777" w:rsidR="00401786" w:rsidRDefault="00C64FB3" w:rsidP="0009639E">
      <w:pPr>
        <w:spacing w:line="300" w:lineRule="exact"/>
        <w:ind w:left="811" w:hanging="245"/>
      </w:pPr>
      <w:r>
        <w:rPr>
          <w:rFonts w:ascii="標楷體" w:eastAsia="標楷體" w:hAnsi="標楷體"/>
          <w:color w:val="000000"/>
        </w:rPr>
        <w:t>1.用於類風濕性關節炎之成人治療部分：(109/11/1</w:t>
      </w:r>
      <w:proofErr w:type="gramStart"/>
      <w:r>
        <w:rPr>
          <w:rFonts w:ascii="標楷體" w:eastAsia="標楷體" w:hAnsi="標楷體"/>
          <w:color w:val="000000"/>
        </w:rPr>
        <w:t>）</w:t>
      </w:r>
      <w:proofErr w:type="gramEnd"/>
    </w:p>
    <w:p w14:paraId="7123ED66"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(1)給付條件：</w:t>
      </w:r>
    </w:p>
    <w:p w14:paraId="0A574F61"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Ⅰ.限用於曾經接受抗腫瘤壞死因子 (如etanercept、adalimumab或golimumab等) 治療，但未達療效，或無法耐受的成人活動性類風濕性關節炎患者。（101/7/1）</w:t>
      </w:r>
    </w:p>
    <w:p w14:paraId="528CF050" w14:textId="77777777" w:rsidR="00401786" w:rsidRDefault="00C64FB3" w:rsidP="0009639E">
      <w:pPr>
        <w:spacing w:line="300" w:lineRule="exact"/>
        <w:ind w:left="1699" w:hanging="245"/>
        <w:rPr>
          <w:rFonts w:ascii="標楷體" w:eastAsia="標楷體" w:hAnsi="標楷體"/>
          <w:color w:val="000000"/>
        </w:rPr>
      </w:pPr>
      <w:proofErr w:type="spellStart"/>
      <w:r>
        <w:rPr>
          <w:rFonts w:ascii="標楷體" w:eastAsia="標楷體" w:hAnsi="標楷體"/>
          <w:color w:val="000000"/>
        </w:rPr>
        <w:t>i.Etanercept</w:t>
      </w:r>
      <w:proofErr w:type="spellEnd"/>
      <w:r>
        <w:rPr>
          <w:rFonts w:ascii="標楷體" w:eastAsia="標楷體" w:hAnsi="標楷體"/>
          <w:color w:val="000000"/>
        </w:rPr>
        <w:t>、adalimumab或golimumab的療效：經治療後評估DAS28總積分下降程度大於等於(</w:t>
      </w:r>
      <w:proofErr w:type="gramStart"/>
      <w:r>
        <w:rPr>
          <w:rFonts w:ascii="標楷體" w:eastAsia="標楷體" w:hAnsi="標楷體"/>
          <w:color w:val="000000"/>
        </w:rPr>
        <w:t>≧</w:t>
      </w:r>
      <w:proofErr w:type="gramEnd"/>
      <w:r>
        <w:rPr>
          <w:rFonts w:ascii="標楷體" w:eastAsia="標楷體" w:hAnsi="標楷體"/>
          <w:color w:val="000000"/>
        </w:rPr>
        <w:t>)1.2，或DAS28總積分小於3.2者。（101/7/1）</w:t>
      </w:r>
    </w:p>
    <w:p w14:paraId="03EC101F" w14:textId="77777777" w:rsidR="00401786" w:rsidRDefault="00C64FB3" w:rsidP="0009639E">
      <w:pPr>
        <w:spacing w:line="300" w:lineRule="exact"/>
        <w:ind w:left="1699" w:hanging="386"/>
        <w:rPr>
          <w:rFonts w:ascii="標楷體" w:eastAsia="標楷體" w:hAnsi="標楷體"/>
          <w:color w:val="000000"/>
        </w:rPr>
      </w:pPr>
      <w:r>
        <w:rPr>
          <w:rFonts w:ascii="標楷體" w:eastAsia="標楷體" w:hAnsi="標楷體"/>
          <w:color w:val="000000"/>
        </w:rPr>
        <w:t>ii.無法耐受的定義：無法忍受etanercept、adalimumab或golimumab治療的副作用。（101/7/1）</w:t>
      </w:r>
    </w:p>
    <w:p w14:paraId="12332DB0"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Ⅱ.需與methotrexate</w:t>
      </w:r>
      <w:proofErr w:type="gramStart"/>
      <w:r>
        <w:rPr>
          <w:rFonts w:ascii="標楷體" w:eastAsia="標楷體" w:hAnsi="標楷體"/>
          <w:color w:val="000000"/>
        </w:rPr>
        <w:t>併</w:t>
      </w:r>
      <w:proofErr w:type="gramEnd"/>
      <w:r>
        <w:rPr>
          <w:rFonts w:ascii="標楷體" w:eastAsia="標楷體" w:hAnsi="標楷體"/>
          <w:color w:val="000000"/>
        </w:rPr>
        <w:t>用（但對methotrexate過敏，或methotrexate引起嚴重血球低下、肝毒性及其它嚴重副作用者除外）。</w:t>
      </w:r>
    </w:p>
    <w:p w14:paraId="506C63CC"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Ⅲ.給予重複療程之時機：</w:t>
      </w:r>
    </w:p>
    <w:p w14:paraId="693D5F0D" w14:textId="77777777" w:rsidR="00401786" w:rsidRDefault="00C64FB3" w:rsidP="0009639E">
      <w:pPr>
        <w:spacing w:line="300" w:lineRule="exact"/>
        <w:ind w:left="1699"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.與前次治療</w:t>
      </w:r>
      <w:proofErr w:type="gramStart"/>
      <w:r>
        <w:rPr>
          <w:rFonts w:ascii="標楷體" w:eastAsia="標楷體" w:hAnsi="標楷體"/>
          <w:color w:val="000000"/>
        </w:rPr>
        <w:t>相隔24週</w:t>
      </w:r>
      <w:proofErr w:type="gramEnd"/>
      <w:r>
        <w:rPr>
          <w:rFonts w:ascii="標楷體" w:eastAsia="標楷體" w:hAnsi="標楷體"/>
          <w:color w:val="000000"/>
        </w:rPr>
        <w:t>或以上，且</w:t>
      </w:r>
    </w:p>
    <w:p w14:paraId="72745CAC" w14:textId="77777777" w:rsidR="00401786" w:rsidRDefault="00C64FB3" w:rsidP="0009639E">
      <w:pPr>
        <w:spacing w:line="300" w:lineRule="exact"/>
        <w:ind w:left="1699" w:hanging="386"/>
        <w:rPr>
          <w:rFonts w:ascii="標楷體" w:eastAsia="標楷體" w:hAnsi="標楷體"/>
          <w:color w:val="000000"/>
        </w:rPr>
      </w:pPr>
      <w:r>
        <w:rPr>
          <w:rFonts w:ascii="標楷體" w:eastAsia="標楷體" w:hAnsi="標楷體"/>
          <w:color w:val="000000"/>
        </w:rPr>
        <w:t xml:space="preserve">ii.符合下列給藥時機規定： DAS28總積分 </w:t>
      </w:r>
      <w:proofErr w:type="gramStart"/>
      <w:r>
        <w:rPr>
          <w:rFonts w:ascii="標楷體" w:eastAsia="標楷體" w:hAnsi="標楷體"/>
          <w:color w:val="000000"/>
        </w:rPr>
        <w:t>≧</w:t>
      </w:r>
      <w:proofErr w:type="gramEnd"/>
      <w:r>
        <w:rPr>
          <w:rFonts w:ascii="標楷體" w:eastAsia="標楷體" w:hAnsi="標楷體"/>
          <w:color w:val="000000"/>
        </w:rPr>
        <w:t xml:space="preserve"> 3.2，或與前次接受rituximab治療後第21</w:t>
      </w:r>
      <w:proofErr w:type="gramStart"/>
      <w:r>
        <w:rPr>
          <w:rFonts w:ascii="標楷體" w:eastAsia="標楷體" w:hAnsi="標楷體"/>
          <w:color w:val="000000"/>
        </w:rPr>
        <w:t>週</w:t>
      </w:r>
      <w:proofErr w:type="gramEnd"/>
      <w:r>
        <w:rPr>
          <w:rFonts w:ascii="標楷體" w:eastAsia="標楷體" w:hAnsi="標楷體"/>
          <w:color w:val="000000"/>
        </w:rPr>
        <w:t xml:space="preserve">比較，DAS28總積分上升 </w:t>
      </w:r>
      <w:proofErr w:type="gramStart"/>
      <w:r>
        <w:rPr>
          <w:rFonts w:ascii="標楷體" w:eastAsia="標楷體" w:hAnsi="標楷體"/>
          <w:color w:val="000000"/>
        </w:rPr>
        <w:t>≧</w:t>
      </w:r>
      <w:proofErr w:type="gramEnd"/>
      <w:r>
        <w:rPr>
          <w:rFonts w:ascii="標楷體" w:eastAsia="標楷體" w:hAnsi="標楷體"/>
          <w:color w:val="000000"/>
        </w:rPr>
        <w:t xml:space="preserve"> 0.6。</w:t>
      </w:r>
    </w:p>
    <w:p w14:paraId="75142259" w14:textId="77777777" w:rsidR="00401786" w:rsidRDefault="00C64FB3" w:rsidP="0009639E">
      <w:pPr>
        <w:spacing w:line="300" w:lineRule="exact"/>
        <w:ind w:left="1416" w:hanging="389"/>
        <w:rPr>
          <w:rFonts w:ascii="標楷體" w:eastAsia="標楷體" w:hAnsi="標楷體"/>
          <w:color w:val="000000"/>
        </w:rPr>
      </w:pPr>
      <w:r>
        <w:rPr>
          <w:rFonts w:ascii="標楷體" w:eastAsia="標楷體" w:hAnsi="標楷體"/>
          <w:color w:val="000000"/>
        </w:rPr>
        <w:t>Ⅳ.每次療程為靜脈注射500毫克～1,000毫克，兩</w:t>
      </w:r>
      <w:proofErr w:type="gramStart"/>
      <w:r>
        <w:rPr>
          <w:rFonts w:ascii="標楷體" w:eastAsia="標楷體" w:hAnsi="標楷體"/>
          <w:color w:val="000000"/>
        </w:rPr>
        <w:t>週</w:t>
      </w:r>
      <w:proofErr w:type="gramEnd"/>
      <w:r>
        <w:rPr>
          <w:rFonts w:ascii="標楷體" w:eastAsia="標楷體" w:hAnsi="標楷體"/>
          <w:color w:val="000000"/>
        </w:rPr>
        <w:t>後相同劑量再注射一次，共注射兩次。</w:t>
      </w:r>
    </w:p>
    <w:p w14:paraId="2076B7E1"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(2)限內科專科醫師且具有風濕或免疫專科醫師證書者處方。</w:t>
      </w:r>
    </w:p>
    <w:p w14:paraId="0578FCD9"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(3)需經事前審查核准後使用：</w:t>
      </w:r>
    </w:p>
    <w:p w14:paraId="0D88B699"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Ⅰ.申請初次治療：應檢附曾經使用抗腫瘤壞死因子之用藥結果，包括種類、劑量、治療前後DAS28積分及副作用報告等資料。並宜記錄患者HBsAg及Anti-HCV資料(若HBsAg檢驗為陽性，宜加作HBV DNA)。</w:t>
      </w:r>
    </w:p>
    <w:p w14:paraId="50D1D409"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Ⅱ.申請給予重複療程：符合下列條件者，得再提出申請。</w:t>
      </w:r>
    </w:p>
    <w:p w14:paraId="1CC04FEA" w14:textId="77777777" w:rsidR="00401786" w:rsidRDefault="00C64FB3" w:rsidP="0009639E">
      <w:pPr>
        <w:spacing w:line="300" w:lineRule="exact"/>
        <w:ind w:left="1558"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.接受rituximab初次治療後第21</w:t>
      </w:r>
      <w:proofErr w:type="gramStart"/>
      <w:r>
        <w:rPr>
          <w:rFonts w:ascii="標楷體" w:eastAsia="標楷體" w:hAnsi="標楷體"/>
          <w:color w:val="000000"/>
        </w:rPr>
        <w:t>週</w:t>
      </w:r>
      <w:proofErr w:type="gramEnd"/>
      <w:r>
        <w:rPr>
          <w:rFonts w:ascii="標楷體" w:eastAsia="標楷體" w:hAnsi="標楷體"/>
          <w:color w:val="000000"/>
        </w:rPr>
        <w:t>評估DAS28總積分，必須下降程度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 3.2 者，方可給予重複療程。</w:t>
      </w:r>
    </w:p>
    <w:p w14:paraId="18C6740A" w14:textId="77777777" w:rsidR="00401786" w:rsidRDefault="00C64FB3" w:rsidP="0009639E">
      <w:pPr>
        <w:spacing w:line="300" w:lineRule="exact"/>
        <w:ind w:left="1558" w:hanging="389"/>
        <w:rPr>
          <w:rFonts w:ascii="標楷體" w:eastAsia="標楷體" w:hAnsi="標楷體"/>
          <w:color w:val="000000"/>
        </w:rPr>
      </w:pPr>
      <w:r>
        <w:rPr>
          <w:rFonts w:ascii="標楷體" w:eastAsia="標楷體" w:hAnsi="標楷體"/>
          <w:color w:val="000000"/>
        </w:rPr>
        <w:t>ii.重複療程之申請可於治療後第21</w:t>
      </w:r>
      <w:proofErr w:type="gramStart"/>
      <w:r>
        <w:rPr>
          <w:rFonts w:ascii="標楷體" w:eastAsia="標楷體" w:hAnsi="標楷體"/>
          <w:color w:val="000000"/>
        </w:rPr>
        <w:t>週</w:t>
      </w:r>
      <w:proofErr w:type="gramEnd"/>
      <w:r>
        <w:rPr>
          <w:rFonts w:ascii="標楷體" w:eastAsia="標楷體" w:hAnsi="標楷體"/>
          <w:color w:val="000000"/>
        </w:rPr>
        <w:t>提出。申請第1次重複療程者，應先填寫初次療效;申請第2次以上重複療程者，必須填寫前兩次療效。並宜記錄患者發生之重大感染等副作用。</w:t>
      </w:r>
    </w:p>
    <w:p w14:paraId="105E67AC"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Ⅲ.每次申請時應檢附治療前後之相關照片。（99/2/1）</w:t>
      </w:r>
    </w:p>
    <w:p w14:paraId="10BBE244"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(4)需排除或停止使用rituximab治療之情形如下：</w:t>
      </w:r>
    </w:p>
    <w:p w14:paraId="12E407B3"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對rituximab過敏</w:t>
      </w:r>
    </w:p>
    <w:p w14:paraId="51080BF5"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重度活動性感染症</w:t>
      </w:r>
    </w:p>
    <w:p w14:paraId="3CBF9D1B"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1DFAEC41"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心衰竭病患（New York Heart Association class IV）</w:t>
      </w:r>
    </w:p>
    <w:p w14:paraId="3E462C1E"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懷孕</w:t>
      </w:r>
      <w:proofErr w:type="gramStart"/>
      <w:r>
        <w:rPr>
          <w:rFonts w:ascii="標楷體" w:eastAsia="標楷體" w:hAnsi="標楷體"/>
          <w:color w:val="000000"/>
        </w:rPr>
        <w:t>或授乳</w:t>
      </w:r>
      <w:proofErr w:type="gramEnd"/>
      <w:r>
        <w:rPr>
          <w:rFonts w:ascii="標楷體" w:eastAsia="標楷體" w:hAnsi="標楷體"/>
          <w:color w:val="000000"/>
        </w:rPr>
        <w:t>婦女</w:t>
      </w:r>
    </w:p>
    <w:p w14:paraId="25173EB6"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未達療效</w:t>
      </w:r>
    </w:p>
    <w:p w14:paraId="07CD8E5C"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藥物引起嚴重毒性</w:t>
      </w:r>
    </w:p>
    <w:p w14:paraId="73DB026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◎附表二十三：全民健康保險使用rituximab用於類風濕性關節炎申請表</w:t>
      </w:r>
    </w:p>
    <w:p w14:paraId="33F86FA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lastRenderedPageBreak/>
        <w:t>2.Rituximab注射劑與葡萄糖皮質素(glucocorticoids)</w:t>
      </w:r>
      <w:proofErr w:type="gramStart"/>
      <w:r>
        <w:rPr>
          <w:rFonts w:ascii="標楷體" w:eastAsia="標楷體" w:hAnsi="標楷體"/>
          <w:color w:val="000000"/>
        </w:rPr>
        <w:t>併</w:t>
      </w:r>
      <w:proofErr w:type="gramEnd"/>
      <w:r>
        <w:rPr>
          <w:rFonts w:ascii="標楷體" w:eastAsia="標楷體" w:hAnsi="標楷體"/>
          <w:color w:val="000000"/>
        </w:rPr>
        <w:t>用，用於治療中度至重度</w:t>
      </w:r>
      <w:proofErr w:type="gramStart"/>
      <w:r>
        <w:rPr>
          <w:rFonts w:ascii="標楷體" w:eastAsia="標楷體" w:hAnsi="標楷體"/>
          <w:color w:val="000000"/>
        </w:rPr>
        <w:t>尋常性天</w:t>
      </w:r>
      <w:proofErr w:type="gramEnd"/>
      <w:r>
        <w:rPr>
          <w:rFonts w:ascii="標楷體" w:eastAsia="標楷體" w:hAnsi="標楷體"/>
          <w:color w:val="000000"/>
        </w:rPr>
        <w:t>疱瘡(PV)的成人病人部分(限符合藥品許可證登載適應症之藥品)：(109/11/1)</w:t>
      </w:r>
    </w:p>
    <w:p w14:paraId="5CE131AA"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(1)限皮膚科、或內科專科醫師且具有風濕或免疫專科醫師證書者處方。</w:t>
      </w:r>
    </w:p>
    <w:p w14:paraId="463B1D3A"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(2)限成人申請，且需經事前審查核准後使用。又申報時應檢附相關病例資料。</w:t>
      </w:r>
    </w:p>
    <w:p w14:paraId="64DD0512"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 xml:space="preserve">(3)給付條件： </w:t>
      </w:r>
    </w:p>
    <w:p w14:paraId="0E187CED"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併</w:t>
      </w:r>
      <w:proofErr w:type="gramEnd"/>
      <w:r>
        <w:rPr>
          <w:rFonts w:ascii="標楷體" w:eastAsia="標楷體" w:hAnsi="標楷體"/>
          <w:color w:val="000000"/>
        </w:rPr>
        <w:t>用葡萄糖皮質素(glucocorticoids)給付於中度至重度</w:t>
      </w:r>
      <w:proofErr w:type="gramStart"/>
      <w:r>
        <w:rPr>
          <w:rFonts w:ascii="標楷體" w:eastAsia="標楷體" w:hAnsi="標楷體"/>
          <w:color w:val="000000"/>
        </w:rPr>
        <w:t>尋常性天</w:t>
      </w:r>
      <w:proofErr w:type="gramEnd"/>
      <w:r>
        <w:rPr>
          <w:rFonts w:ascii="標楷體" w:eastAsia="標楷體" w:hAnsi="標楷體"/>
          <w:color w:val="000000"/>
        </w:rPr>
        <w:t>疱瘡成人患者，且符合下列條件:</w:t>
      </w:r>
    </w:p>
    <w:p w14:paraId="5C7D4D76"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Ⅰ.中度至重度</w:t>
      </w:r>
      <w:proofErr w:type="gramStart"/>
      <w:r>
        <w:rPr>
          <w:rFonts w:ascii="標楷體" w:eastAsia="標楷體" w:hAnsi="標楷體"/>
          <w:color w:val="000000"/>
        </w:rPr>
        <w:t>尋常性天</w:t>
      </w:r>
      <w:proofErr w:type="gramEnd"/>
      <w:r>
        <w:rPr>
          <w:rFonts w:ascii="標楷體" w:eastAsia="標楷體" w:hAnsi="標楷體"/>
          <w:color w:val="000000"/>
        </w:rPr>
        <w:t xml:space="preserve">疱瘡：PDAI評估指数為15分以上病人，且以1.0 mg/kg/day(含)以上劑量的口服prednisolone (或等劑量之類固醇)連續治療達6週仍未能控制疾病者，並檢具病理切片報告，及直接免疫螢光染色(DIF)報告，得給予起始劑量。  </w:t>
      </w:r>
    </w:p>
    <w:p w14:paraId="4E119F01"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Ⅱ.類固醇依賴型</w:t>
      </w:r>
      <w:proofErr w:type="gramStart"/>
      <w:r>
        <w:rPr>
          <w:rFonts w:ascii="標楷體" w:eastAsia="標楷體" w:hAnsi="標楷體"/>
          <w:color w:val="000000"/>
        </w:rPr>
        <w:t>尋常性天</w:t>
      </w:r>
      <w:proofErr w:type="gramEnd"/>
      <w:r>
        <w:rPr>
          <w:rFonts w:ascii="標楷體" w:eastAsia="標楷體" w:hAnsi="標楷體"/>
          <w:color w:val="000000"/>
        </w:rPr>
        <w:t>疱瘡：指非新診斷</w:t>
      </w:r>
      <w:proofErr w:type="gramStart"/>
      <w:r>
        <w:rPr>
          <w:rFonts w:ascii="標楷體" w:eastAsia="標楷體" w:hAnsi="標楷體"/>
          <w:color w:val="000000"/>
        </w:rPr>
        <w:t>尋常性天</w:t>
      </w:r>
      <w:proofErr w:type="gramEnd"/>
      <w:r>
        <w:rPr>
          <w:rFonts w:ascii="標楷體" w:eastAsia="標楷體" w:hAnsi="標楷體"/>
          <w:color w:val="000000"/>
        </w:rPr>
        <w:t>疱瘡病人，且以10mg/day口服prednisolone(或等劑量之類固醇)治療仍未能控制疾病者。此類病人須提供照相證明、病理切片報告，及直接免疫螢光染色(DIF)報告，證實曾符合上述「Ⅰ中度至重度</w:t>
      </w:r>
      <w:proofErr w:type="gramStart"/>
      <w:r>
        <w:rPr>
          <w:rFonts w:ascii="標楷體" w:eastAsia="標楷體" w:hAnsi="標楷體"/>
          <w:color w:val="000000"/>
        </w:rPr>
        <w:t>尋常性天</w:t>
      </w:r>
      <w:proofErr w:type="gramEnd"/>
      <w:r>
        <w:rPr>
          <w:rFonts w:ascii="標楷體" w:eastAsia="標楷體" w:hAnsi="標楷體"/>
          <w:color w:val="000000"/>
        </w:rPr>
        <w:t xml:space="preserve">疱瘡」所述之條件，得給予起始劑量。 </w:t>
      </w:r>
    </w:p>
    <w:p w14:paraId="150DBBDD"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Ⅲ.經rituximab自費</w:t>
      </w:r>
      <w:proofErr w:type="gramStart"/>
      <w:r>
        <w:rPr>
          <w:rFonts w:ascii="標楷體" w:eastAsia="標楷體" w:hAnsi="標楷體"/>
          <w:color w:val="000000"/>
        </w:rPr>
        <w:t>治療後非類固醇</w:t>
      </w:r>
      <w:proofErr w:type="gramEnd"/>
      <w:r>
        <w:rPr>
          <w:rFonts w:ascii="標楷體" w:eastAsia="標楷體" w:hAnsi="標楷體"/>
          <w:color w:val="000000"/>
        </w:rPr>
        <w:t xml:space="preserve">依賴型天疱瘡，此類病人須提供照相證明、病理切片報告及直接免疫螢光染色(DIF)報告，證實曾符合上述Ⅰ及Ⅱ中度至重度尋常性天疱瘡」所述之條件，得給予維持性治療。 </w:t>
      </w:r>
    </w:p>
    <w:p w14:paraId="4AECC03C" w14:textId="77777777" w:rsidR="00401786" w:rsidRDefault="00C64FB3" w:rsidP="0009639E">
      <w:pPr>
        <w:spacing w:line="300" w:lineRule="exact"/>
        <w:ind w:left="1416" w:hanging="386"/>
      </w:pPr>
      <w:r>
        <w:rPr>
          <w:rFonts w:ascii="標楷體" w:eastAsia="標楷體" w:hAnsi="標楷體"/>
          <w:color w:val="000000"/>
        </w:rPr>
        <w:t>Ⅳ.前開Ⅰ及Ⅱ所稱「未能控制疾病」者，指使用I或Ⅱ所列藥物治療後，1個月內仍有新的水疱</w:t>
      </w:r>
      <w:r>
        <w:rPr>
          <w:rFonts w:ascii="Times New Roman" w:eastAsia="標楷體" w:hAnsi="Times New Roman"/>
          <w:color w:val="000000"/>
        </w:rPr>
        <w:t>≥</w:t>
      </w:r>
      <w:r>
        <w:rPr>
          <w:rFonts w:ascii="標楷體" w:eastAsia="標楷體" w:hAnsi="標楷體"/>
          <w:color w:val="000000"/>
        </w:rPr>
        <w:t>3個產生且大於一週仍無法癒合或是舊有水疱病灶仍持續擴大。</w:t>
      </w:r>
      <w:proofErr w:type="gramStart"/>
      <w:r>
        <w:rPr>
          <w:rFonts w:ascii="標楷體" w:eastAsia="標楷體" w:hAnsi="標楷體"/>
          <w:color w:val="000000"/>
        </w:rPr>
        <w:t>（</w:t>
      </w:r>
      <w:proofErr w:type="gramEnd"/>
      <w:r>
        <w:rPr>
          <w:rFonts w:ascii="標楷體" w:eastAsia="標楷體" w:hAnsi="標楷體"/>
          <w:color w:val="000000"/>
        </w:rPr>
        <w:t>需附照片佐證)。</w:t>
      </w:r>
    </w:p>
    <w:p w14:paraId="7797AB6A"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 xml:space="preserve">Ⅴ.若無前開Ⅰ、Ⅱ及Ⅲ所稱之直接免疫螢光染色(DIF)報告，得改以出具採用本國核准之 DSG1/DSG3體外診斷用試劑檢測陽性，醫院或符合CAP或ISO15189認證實驗室之正式報告。在目前尚無本國核准試劑前，可以採用歐盟、日本、美國核准之試劑。 </w:t>
      </w:r>
    </w:p>
    <w:p w14:paraId="1097F7BF"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(4)起始治療:1000mg rituximab以靜脈</w:t>
      </w:r>
      <w:proofErr w:type="gramStart"/>
      <w:r>
        <w:rPr>
          <w:rFonts w:ascii="標楷體" w:eastAsia="標楷體" w:hAnsi="標楷體"/>
          <w:color w:val="000000"/>
        </w:rPr>
        <w:t>輸注投予</w:t>
      </w:r>
      <w:proofErr w:type="gramEnd"/>
      <w:r>
        <w:rPr>
          <w:rFonts w:ascii="標楷體" w:eastAsia="標楷體" w:hAnsi="標楷體"/>
          <w:color w:val="000000"/>
        </w:rPr>
        <w:t>，兩</w:t>
      </w:r>
      <w:proofErr w:type="gramStart"/>
      <w:r>
        <w:rPr>
          <w:rFonts w:ascii="標楷體" w:eastAsia="標楷體" w:hAnsi="標楷體"/>
          <w:color w:val="000000"/>
        </w:rPr>
        <w:t>週後投予</w:t>
      </w:r>
      <w:proofErr w:type="gramEnd"/>
      <w:r>
        <w:rPr>
          <w:rFonts w:ascii="標楷體" w:eastAsia="標楷體" w:hAnsi="標楷體"/>
          <w:color w:val="000000"/>
        </w:rPr>
        <w:t>第二劑1000 mg rituximab</w:t>
      </w:r>
      <w:proofErr w:type="gramStart"/>
      <w:r>
        <w:rPr>
          <w:rFonts w:ascii="標楷體" w:eastAsia="標楷體" w:hAnsi="標楷體"/>
          <w:color w:val="000000"/>
        </w:rPr>
        <w:t>靜脈輸注</w:t>
      </w:r>
      <w:proofErr w:type="gramEnd"/>
      <w:r>
        <w:rPr>
          <w:rFonts w:ascii="標楷體" w:eastAsia="標楷體" w:hAnsi="標楷體"/>
          <w:color w:val="000000"/>
        </w:rPr>
        <w:t>，同時依據病人嚴重度</w:t>
      </w:r>
      <w:proofErr w:type="gramStart"/>
      <w:r>
        <w:rPr>
          <w:rFonts w:ascii="標楷體" w:eastAsia="標楷體" w:hAnsi="標楷體"/>
          <w:color w:val="000000"/>
        </w:rPr>
        <w:t>併</w:t>
      </w:r>
      <w:proofErr w:type="gramEnd"/>
      <w:r>
        <w:rPr>
          <w:rFonts w:ascii="標楷體" w:eastAsia="標楷體" w:hAnsi="標楷體"/>
          <w:color w:val="000000"/>
        </w:rPr>
        <w:t xml:space="preserve">用逐漸減量之葡萄糖皮質素(glucocorticoids)療程。 </w:t>
      </w:r>
    </w:p>
    <w:p w14:paraId="31082624"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(5)維持治療應於第12個月時靜脈</w:t>
      </w:r>
      <w:proofErr w:type="gramStart"/>
      <w:r>
        <w:rPr>
          <w:rFonts w:ascii="標楷體" w:eastAsia="標楷體" w:hAnsi="標楷體"/>
          <w:color w:val="000000"/>
        </w:rPr>
        <w:t>輸注投予</w:t>
      </w:r>
      <w:proofErr w:type="gramEnd"/>
      <w:r>
        <w:rPr>
          <w:rFonts w:ascii="標楷體" w:eastAsia="標楷體" w:hAnsi="標楷體"/>
          <w:color w:val="000000"/>
        </w:rPr>
        <w:t>500mg的維持治療，之後每6個月根據臨床評估投</w:t>
      </w:r>
      <w:proofErr w:type="gramStart"/>
      <w:r>
        <w:rPr>
          <w:rFonts w:ascii="標楷體" w:eastAsia="標楷體" w:hAnsi="標楷體"/>
          <w:color w:val="000000"/>
        </w:rPr>
        <w:t>予</w:t>
      </w:r>
      <w:proofErr w:type="gramEnd"/>
      <w:r>
        <w:rPr>
          <w:rFonts w:ascii="標楷體" w:eastAsia="標楷體" w:hAnsi="標楷體"/>
          <w:color w:val="000000"/>
        </w:rPr>
        <w:t>。</w:t>
      </w:r>
    </w:p>
    <w:p w14:paraId="20ABFF0F"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(6)若於rituximab療療程中復發，病人可接受一劑1000mg rituximab</w:t>
      </w:r>
      <w:proofErr w:type="gramStart"/>
      <w:r>
        <w:rPr>
          <w:rFonts w:ascii="標楷體" w:eastAsia="標楷體" w:hAnsi="標楷體"/>
          <w:color w:val="000000"/>
        </w:rPr>
        <w:t>靜脈輸注</w:t>
      </w:r>
      <w:proofErr w:type="gramEnd"/>
      <w:r>
        <w:rPr>
          <w:rFonts w:ascii="標楷體" w:eastAsia="標楷體" w:hAnsi="標楷體"/>
          <w:color w:val="000000"/>
        </w:rPr>
        <w:t>。醫療專業人員也應根據臨床評估，考慮重新開始或增加病人的葡萄糖皮質素(glucocorticoids)劑量。</w:t>
      </w:r>
    </w:p>
    <w:p w14:paraId="01649CF9" w14:textId="77777777" w:rsidR="00401786" w:rsidRDefault="00C64FB3" w:rsidP="0009639E">
      <w:pPr>
        <w:spacing w:line="300" w:lineRule="exact"/>
        <w:ind w:left="672" w:hanging="386"/>
      </w:pPr>
      <w:r>
        <w:rPr>
          <w:rFonts w:ascii="標楷體" w:eastAsia="標楷體" w:hAnsi="標楷體"/>
        </w:rPr>
        <w:t>8.2.8.Palivizumab (如</w:t>
      </w:r>
      <w:proofErr w:type="spellStart"/>
      <w:r>
        <w:rPr>
          <w:rFonts w:ascii="標楷體" w:eastAsia="標楷體" w:hAnsi="標楷體"/>
        </w:rPr>
        <w:t>Synagis</w:t>
      </w:r>
      <w:proofErr w:type="spellEnd"/>
      <w:r>
        <w:rPr>
          <w:rFonts w:ascii="標楷體" w:eastAsia="標楷體" w:hAnsi="標楷體"/>
        </w:rPr>
        <w:t>)(99/12/1、102/7/1、106/4/1、111/2/1、111/4/1、114/6/1)</w:t>
      </w:r>
    </w:p>
    <w:p w14:paraId="0BE6AA9E" w14:textId="77777777" w:rsidR="00401786" w:rsidRDefault="00C64FB3" w:rsidP="0009639E">
      <w:pPr>
        <w:spacing w:line="300" w:lineRule="exact"/>
        <w:ind w:left="672" w:hanging="386"/>
      </w:pPr>
      <w:r>
        <w:rPr>
          <w:rFonts w:ascii="標楷體" w:eastAsia="標楷體" w:hAnsi="標楷體"/>
        </w:rPr>
        <w:t xml:space="preserve">  限符合下列條件之</w:t>
      </w:r>
      <w:proofErr w:type="gramStart"/>
      <w:r>
        <w:rPr>
          <w:rFonts w:ascii="標楷體" w:eastAsia="標楷體" w:hAnsi="標楷體"/>
        </w:rPr>
        <w:t>一</w:t>
      </w:r>
      <w:proofErr w:type="gramEnd"/>
      <w:r>
        <w:rPr>
          <w:rFonts w:ascii="標楷體" w:eastAsia="標楷體" w:hAnsi="標楷體"/>
        </w:rPr>
        <w:t>：</w:t>
      </w:r>
    </w:p>
    <w:p w14:paraId="2B2C1EAE" w14:textId="77777777" w:rsidR="00401786" w:rsidRDefault="00C64FB3" w:rsidP="0009639E">
      <w:pPr>
        <w:tabs>
          <w:tab w:val="left" w:pos="709"/>
          <w:tab w:val="left" w:pos="851"/>
        </w:tabs>
        <w:suppressAutoHyphens w:val="0"/>
        <w:spacing w:line="300" w:lineRule="exact"/>
        <w:ind w:left="806" w:hanging="240"/>
        <w:textAlignment w:val="auto"/>
        <w:rPr>
          <w:rFonts w:ascii="標楷體" w:eastAsia="標楷體" w:hAnsi="標楷體"/>
        </w:rPr>
      </w:pPr>
      <w:r>
        <w:rPr>
          <w:rFonts w:ascii="標楷體" w:eastAsia="標楷體" w:hAnsi="標楷體"/>
        </w:rPr>
        <w:t>1.出生時，懷孕週數未滿33</w:t>
      </w:r>
      <w:proofErr w:type="gramStart"/>
      <w:r>
        <w:rPr>
          <w:rFonts w:ascii="標楷體" w:eastAsia="標楷體" w:hAnsi="標楷體"/>
        </w:rPr>
        <w:t>週</w:t>
      </w:r>
      <w:proofErr w:type="gramEnd"/>
      <w:r>
        <w:rPr>
          <w:rFonts w:ascii="標楷體" w:eastAsia="標楷體" w:hAnsi="標楷體"/>
        </w:rPr>
        <w:t>之早產兒，最多施打六劑。懷孕週數滿33</w:t>
      </w:r>
      <w:proofErr w:type="gramStart"/>
      <w:r>
        <w:rPr>
          <w:rFonts w:ascii="標楷體" w:eastAsia="標楷體" w:hAnsi="標楷體"/>
        </w:rPr>
        <w:t>週</w:t>
      </w:r>
      <w:proofErr w:type="gramEnd"/>
      <w:r>
        <w:rPr>
          <w:rFonts w:ascii="標楷體" w:eastAsia="標楷體" w:hAnsi="標楷體"/>
        </w:rPr>
        <w:t>但未滿36</w:t>
      </w:r>
      <w:proofErr w:type="gramStart"/>
      <w:r>
        <w:rPr>
          <w:rFonts w:ascii="標楷體" w:eastAsia="標楷體" w:hAnsi="標楷體"/>
        </w:rPr>
        <w:t>週</w:t>
      </w:r>
      <w:proofErr w:type="gramEnd"/>
      <w:r>
        <w:rPr>
          <w:rFonts w:ascii="標楷體" w:eastAsia="標楷體" w:hAnsi="標楷體"/>
        </w:rPr>
        <w:t>之早產兒，最多施打三劑。(106/4/1、111/2/1、111/4/1、114/6/1)</w:t>
      </w:r>
    </w:p>
    <w:p w14:paraId="56A1CFCA" w14:textId="77777777" w:rsidR="00401786" w:rsidRDefault="00C64FB3" w:rsidP="0009639E">
      <w:pPr>
        <w:suppressAutoHyphens w:val="0"/>
        <w:spacing w:line="300" w:lineRule="exact"/>
        <w:ind w:left="991" w:hanging="425"/>
        <w:textAlignment w:val="auto"/>
        <w:rPr>
          <w:rFonts w:ascii="標楷體" w:eastAsia="標楷體" w:hAnsi="標楷體"/>
        </w:rPr>
      </w:pPr>
      <w:r>
        <w:rPr>
          <w:rFonts w:ascii="標楷體" w:eastAsia="標楷體" w:hAnsi="標楷體"/>
        </w:rPr>
        <w:t>2.</w:t>
      </w:r>
      <w:proofErr w:type="gramStart"/>
      <w:r>
        <w:rPr>
          <w:rFonts w:ascii="標楷體" w:eastAsia="標楷體" w:hAnsi="標楷體"/>
        </w:rPr>
        <w:t>併</w:t>
      </w:r>
      <w:proofErr w:type="gramEnd"/>
      <w:r>
        <w:rPr>
          <w:rFonts w:ascii="標楷體" w:eastAsia="標楷體" w:hAnsi="標楷體"/>
        </w:rPr>
        <w:t>有慢性肺疾病(Chronic Lung Disease；CLD)之早產兒(35</w:t>
      </w:r>
      <w:proofErr w:type="gramStart"/>
      <w:r>
        <w:rPr>
          <w:rFonts w:ascii="標楷體" w:eastAsia="標楷體" w:hAnsi="標楷體"/>
        </w:rPr>
        <w:t>週</w:t>
      </w:r>
      <w:proofErr w:type="gramEnd"/>
      <w:r>
        <w:rPr>
          <w:rFonts w:ascii="標楷體" w:eastAsia="標楷體" w:hAnsi="標楷體"/>
        </w:rPr>
        <w:t>以下)(111/2/1)。</w:t>
      </w:r>
    </w:p>
    <w:p w14:paraId="18AD6106" w14:textId="77777777" w:rsidR="00401786" w:rsidRDefault="00C64FB3" w:rsidP="0009639E">
      <w:pPr>
        <w:suppressAutoHyphens w:val="0"/>
        <w:spacing w:line="300" w:lineRule="exact"/>
        <w:ind w:left="991" w:hanging="425"/>
        <w:textAlignment w:val="auto"/>
        <w:rPr>
          <w:rFonts w:ascii="標楷體" w:eastAsia="標楷體" w:hAnsi="標楷體"/>
        </w:rPr>
      </w:pPr>
      <w:r>
        <w:rPr>
          <w:rFonts w:ascii="標楷體" w:eastAsia="標楷體" w:hAnsi="標楷體"/>
        </w:rPr>
        <w:t>3.1歲以下患有血液動力學上顯著異常之先天性心臟病童。需符合以下條件(111/2/1)：</w:t>
      </w:r>
    </w:p>
    <w:p w14:paraId="4E6FDCE0" w14:textId="77777777" w:rsidR="00401786" w:rsidRDefault="00C64FB3" w:rsidP="0009639E">
      <w:pPr>
        <w:suppressAutoHyphens w:val="0"/>
        <w:spacing w:line="300" w:lineRule="exact"/>
        <w:ind w:left="989" w:hanging="281"/>
        <w:textAlignment w:val="auto"/>
        <w:rPr>
          <w:rFonts w:ascii="標楷體" w:eastAsia="標楷體" w:hAnsi="標楷體"/>
        </w:rPr>
      </w:pPr>
      <w:r>
        <w:rPr>
          <w:rFonts w:ascii="標楷體" w:eastAsia="標楷體" w:hAnsi="標楷體"/>
        </w:rPr>
        <w:t>(1)納入條件：符合下列條件之</w:t>
      </w:r>
      <w:proofErr w:type="gramStart"/>
      <w:r>
        <w:rPr>
          <w:rFonts w:ascii="標楷體" w:eastAsia="標楷體" w:hAnsi="標楷體"/>
        </w:rPr>
        <w:t>一</w:t>
      </w:r>
      <w:proofErr w:type="gramEnd"/>
    </w:p>
    <w:p w14:paraId="347951F8" w14:textId="77777777" w:rsidR="00401786" w:rsidRDefault="00C64FB3" w:rsidP="0009639E">
      <w:pPr>
        <w:suppressAutoHyphens w:val="0"/>
        <w:spacing w:line="300" w:lineRule="exact"/>
        <w:ind w:left="1315" w:hanging="252"/>
        <w:textAlignment w:val="auto"/>
        <w:rPr>
          <w:rFonts w:ascii="標楷體" w:eastAsia="標楷體" w:hAnsi="標楷體"/>
        </w:rPr>
      </w:pPr>
      <w:proofErr w:type="gramStart"/>
      <w:r>
        <w:rPr>
          <w:rFonts w:ascii="標楷體" w:eastAsia="標楷體" w:hAnsi="標楷體"/>
        </w:rPr>
        <w:t>Ⅰ非發紺</w:t>
      </w:r>
      <w:proofErr w:type="gramEnd"/>
      <w:r>
        <w:rPr>
          <w:rFonts w:ascii="標楷體" w:eastAsia="標楷體" w:hAnsi="標楷體"/>
        </w:rPr>
        <w:t>性先天性心臟病合併心臟衰竭：符合下列三項中至少兩項：(1)生長</w:t>
      </w:r>
      <w:proofErr w:type="gramStart"/>
      <w:r>
        <w:rPr>
          <w:rFonts w:ascii="標楷體" w:eastAsia="標楷體" w:hAnsi="標楷體"/>
        </w:rPr>
        <w:t>遲滯，</w:t>
      </w:r>
      <w:proofErr w:type="gramEnd"/>
      <w:r>
        <w:rPr>
          <w:rFonts w:ascii="標楷體" w:eastAsia="標楷體" w:hAnsi="標楷體"/>
        </w:rPr>
        <w:t>體重小於第三百分位；(2)有明顯心臟擴大現象；(3)需兩種</w:t>
      </w:r>
      <w:proofErr w:type="gramStart"/>
      <w:r>
        <w:rPr>
          <w:rFonts w:ascii="標楷體" w:eastAsia="標楷體" w:hAnsi="標楷體"/>
        </w:rPr>
        <w:t>以上抗</w:t>
      </w:r>
      <w:proofErr w:type="gramEnd"/>
      <w:r>
        <w:rPr>
          <w:rFonts w:ascii="標楷體" w:eastAsia="標楷體" w:hAnsi="標楷體"/>
        </w:rPr>
        <w:t>心臟衰竭藥物控制症狀。</w:t>
      </w:r>
    </w:p>
    <w:p w14:paraId="2D4A73B5" w14:textId="77777777" w:rsidR="00401786" w:rsidRDefault="00C64FB3" w:rsidP="0009639E">
      <w:pPr>
        <w:suppressAutoHyphens w:val="0"/>
        <w:spacing w:line="300" w:lineRule="exact"/>
        <w:ind w:left="1344" w:hanging="264"/>
        <w:textAlignment w:val="auto"/>
        <w:rPr>
          <w:rFonts w:ascii="標楷體" w:eastAsia="標楷體" w:hAnsi="標楷體"/>
        </w:rPr>
      </w:pPr>
      <w:r>
        <w:rPr>
          <w:rFonts w:ascii="標楷體" w:eastAsia="標楷體" w:hAnsi="標楷體"/>
        </w:rPr>
        <w:t>Ⅱ發</w:t>
      </w:r>
      <w:proofErr w:type="gramStart"/>
      <w:r>
        <w:rPr>
          <w:rFonts w:ascii="標楷體" w:eastAsia="標楷體" w:hAnsi="標楷體"/>
        </w:rPr>
        <w:t>紺</w:t>
      </w:r>
      <w:proofErr w:type="gramEnd"/>
      <w:r>
        <w:rPr>
          <w:rFonts w:ascii="標楷體" w:eastAsia="標楷體" w:hAnsi="標楷體"/>
        </w:rPr>
        <w:t>性先天性心臟病：完全矯正手術（含心導管或是外科手術矯正）前或是矯正手術後仍有發</w:t>
      </w:r>
      <w:proofErr w:type="gramStart"/>
      <w:r>
        <w:rPr>
          <w:rFonts w:ascii="標楷體" w:eastAsia="標楷體" w:hAnsi="標楷體"/>
        </w:rPr>
        <w:t>紺</w:t>
      </w:r>
      <w:proofErr w:type="gramEnd"/>
      <w:r>
        <w:rPr>
          <w:rFonts w:ascii="標楷體" w:eastAsia="標楷體" w:hAnsi="標楷體"/>
        </w:rPr>
        <w:t>或是心臟衰竭症狀者。</w:t>
      </w:r>
    </w:p>
    <w:p w14:paraId="1C45ADB7" w14:textId="77777777" w:rsidR="00401786" w:rsidRDefault="00C64FB3" w:rsidP="0009639E">
      <w:pPr>
        <w:suppressAutoHyphens w:val="0"/>
        <w:spacing w:line="300" w:lineRule="exact"/>
        <w:ind w:left="989" w:hanging="281"/>
        <w:textAlignment w:val="auto"/>
        <w:rPr>
          <w:rFonts w:ascii="標楷體" w:eastAsia="標楷體" w:hAnsi="標楷體"/>
        </w:rPr>
      </w:pPr>
      <w:r>
        <w:rPr>
          <w:rFonts w:ascii="標楷體" w:eastAsia="標楷體" w:hAnsi="標楷體"/>
        </w:rPr>
        <w:lastRenderedPageBreak/>
        <w:t>(2)排除條件：</w:t>
      </w:r>
    </w:p>
    <w:p w14:paraId="3825F97B" w14:textId="77777777" w:rsidR="00401786" w:rsidRDefault="00C64FB3" w:rsidP="0009639E">
      <w:pPr>
        <w:suppressAutoHyphens w:val="0"/>
        <w:spacing w:line="300" w:lineRule="exact"/>
        <w:ind w:left="1341" w:hanging="266"/>
        <w:textAlignment w:val="auto"/>
        <w:rPr>
          <w:rFonts w:ascii="標楷體" w:eastAsia="標楷體" w:hAnsi="標楷體"/>
        </w:rPr>
      </w:pPr>
      <w:proofErr w:type="gramStart"/>
      <w:r>
        <w:rPr>
          <w:rFonts w:ascii="標楷體" w:eastAsia="標楷體" w:hAnsi="標楷體"/>
        </w:rPr>
        <w:t>Ⅰ非嚴重性</w:t>
      </w:r>
      <w:proofErr w:type="gramEnd"/>
      <w:r>
        <w:rPr>
          <w:rFonts w:ascii="標楷體" w:eastAsia="標楷體" w:hAnsi="標楷體"/>
        </w:rPr>
        <w:t>先天性心臟病：不需藥物控制心臟衰竭，如心房中隔缺損，單純動脈瓣膜輕微狹窄等。</w:t>
      </w:r>
    </w:p>
    <w:p w14:paraId="23E0BFC6" w14:textId="77777777" w:rsidR="00401786" w:rsidRDefault="00C64FB3" w:rsidP="0009639E">
      <w:pPr>
        <w:suppressAutoHyphens w:val="0"/>
        <w:spacing w:line="300" w:lineRule="exact"/>
        <w:ind w:left="1316" w:hanging="238"/>
        <w:textAlignment w:val="auto"/>
        <w:rPr>
          <w:rFonts w:ascii="標楷體" w:eastAsia="標楷體" w:hAnsi="標楷體"/>
        </w:rPr>
      </w:pPr>
      <w:r>
        <w:rPr>
          <w:rFonts w:ascii="標楷體" w:eastAsia="標楷體" w:hAnsi="標楷體"/>
        </w:rPr>
        <w:t>Ⅱ嚴重性先天性心臟病，但經心導管或外科手術治療，目前僅殘存輕微血行動力學異常，且無發</w:t>
      </w:r>
      <w:proofErr w:type="gramStart"/>
      <w:r>
        <w:rPr>
          <w:rFonts w:ascii="標楷體" w:eastAsia="標楷體" w:hAnsi="標楷體"/>
        </w:rPr>
        <w:t>紺</w:t>
      </w:r>
      <w:proofErr w:type="gramEnd"/>
      <w:r>
        <w:rPr>
          <w:rFonts w:ascii="標楷體" w:eastAsia="標楷體" w:hAnsi="標楷體"/>
        </w:rPr>
        <w:t>症狀。</w:t>
      </w:r>
    </w:p>
    <w:p w14:paraId="0029CB7A" w14:textId="77777777" w:rsidR="00401786" w:rsidRDefault="00C64FB3" w:rsidP="0009639E">
      <w:pPr>
        <w:suppressAutoHyphens w:val="0"/>
        <w:spacing w:line="300" w:lineRule="exact"/>
        <w:ind w:left="989" w:hanging="281"/>
        <w:textAlignment w:val="auto"/>
        <w:rPr>
          <w:rFonts w:ascii="標楷體" w:eastAsia="標楷體" w:hAnsi="標楷體"/>
        </w:rPr>
      </w:pPr>
      <w:r>
        <w:rPr>
          <w:rFonts w:ascii="標楷體" w:eastAsia="標楷體" w:hAnsi="標楷體"/>
        </w:rPr>
        <w:t>(3)施打方式：</w:t>
      </w:r>
    </w:p>
    <w:p w14:paraId="5E6FB1CE" w14:textId="77777777" w:rsidR="00401786" w:rsidRDefault="00C64FB3" w:rsidP="0009639E">
      <w:pPr>
        <w:suppressAutoHyphens w:val="0"/>
        <w:spacing w:line="300" w:lineRule="exact"/>
        <w:ind w:left="1315" w:hanging="223"/>
        <w:textAlignment w:val="auto"/>
        <w:rPr>
          <w:rFonts w:ascii="標楷體" w:eastAsia="標楷體" w:hAnsi="標楷體"/>
        </w:rPr>
      </w:pPr>
      <w:r>
        <w:rPr>
          <w:rFonts w:ascii="標楷體" w:eastAsia="標楷體" w:hAnsi="標楷體"/>
        </w:rPr>
        <w:t>Ⅰ一歲之內每</w:t>
      </w:r>
      <w:proofErr w:type="gramStart"/>
      <w:r>
        <w:rPr>
          <w:rFonts w:ascii="標楷體" w:eastAsia="標楷體" w:hAnsi="標楷體"/>
        </w:rPr>
        <w:t>個</w:t>
      </w:r>
      <w:proofErr w:type="gramEnd"/>
      <w:r>
        <w:rPr>
          <w:rFonts w:ascii="標楷體" w:eastAsia="標楷體" w:hAnsi="標楷體"/>
        </w:rPr>
        <w:t>月給予15mg/kg palivizumab肌肉注射一次，直到年齡滿一歲或直到矯正手術(包括開心及心導管手術)為止。</w:t>
      </w:r>
    </w:p>
    <w:p w14:paraId="7E05054C" w14:textId="77777777" w:rsidR="00401786" w:rsidRDefault="00C64FB3" w:rsidP="0009639E">
      <w:pPr>
        <w:suppressAutoHyphens w:val="0"/>
        <w:spacing w:line="300" w:lineRule="exact"/>
        <w:ind w:left="1315" w:hanging="223"/>
        <w:textAlignment w:val="auto"/>
        <w:rPr>
          <w:rFonts w:ascii="標楷體" w:eastAsia="標楷體" w:hAnsi="標楷體"/>
        </w:rPr>
      </w:pPr>
      <w:r>
        <w:rPr>
          <w:rFonts w:ascii="標楷體" w:eastAsia="標楷體" w:hAnsi="標楷體"/>
        </w:rPr>
        <w:t>Ⅱ一歲之內接受體外循環開心矯正手術者，術後出院前再給一劑。</w:t>
      </w:r>
    </w:p>
    <w:p w14:paraId="21A93E8E" w14:textId="77777777" w:rsidR="00401786" w:rsidRDefault="00C64FB3" w:rsidP="0009639E">
      <w:pPr>
        <w:spacing w:line="300" w:lineRule="exact"/>
        <w:ind w:left="1315" w:hanging="223"/>
      </w:pPr>
      <w:r>
        <w:rPr>
          <w:rFonts w:ascii="標楷體" w:eastAsia="標楷體" w:hAnsi="標楷體"/>
        </w:rPr>
        <w:t>Ⅲ最多施打六劑。</w:t>
      </w:r>
    </w:p>
    <w:p w14:paraId="74D1907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8.2.9.Thalidomide（如Thado）(100/2/1)</w:t>
      </w:r>
    </w:p>
    <w:p w14:paraId="26A139D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1.用於中度至重度痲瘋性結節性紅斑(ERYTHEMA NODOSUM LEPROSUM, ENL)出現皮膚徵兆之急性期治療。</w:t>
      </w:r>
    </w:p>
    <w:p w14:paraId="1234E7E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2.可持續用於預防及抑制ENL皮膚徵兆復發。</w:t>
      </w:r>
    </w:p>
    <w:p w14:paraId="12B1CAB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3.不可單獨用於治療發生中度至重度神經炎之ENL。</w:t>
      </w:r>
    </w:p>
    <w:p w14:paraId="49B96AC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4.需事前審查核准後使用。</w:t>
      </w:r>
    </w:p>
    <w:p w14:paraId="6942078B" w14:textId="77777777" w:rsidR="00C75D31" w:rsidRDefault="00C75D31" w:rsidP="00C75D31">
      <w:pPr>
        <w:spacing w:line="300" w:lineRule="exact"/>
        <w:ind w:left="708" w:hanging="386"/>
      </w:pPr>
      <w:r>
        <w:rPr>
          <w:rFonts w:ascii="標楷體" w:eastAsia="標楷體" w:hAnsi="標楷體"/>
        </w:rPr>
        <w:t>8.2.10.Eculizumab（如Soliris）、</w:t>
      </w:r>
      <w:proofErr w:type="spellStart"/>
      <w:r>
        <w:rPr>
          <w:rFonts w:ascii="標楷體" w:eastAsia="標楷體" w:hAnsi="標楷體"/>
        </w:rPr>
        <w:t>ravulizumab</w:t>
      </w:r>
      <w:proofErr w:type="spellEnd"/>
      <w:r>
        <w:rPr>
          <w:rFonts w:ascii="標楷體" w:eastAsia="標楷體" w:hAnsi="標楷體"/>
        </w:rPr>
        <w:t xml:space="preserve"> (如</w:t>
      </w:r>
      <w:proofErr w:type="spellStart"/>
      <w:r>
        <w:rPr>
          <w:rFonts w:ascii="標楷體" w:eastAsia="標楷體" w:hAnsi="標楷體"/>
        </w:rPr>
        <w:t>Ultomiris</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(如</w:t>
      </w:r>
      <w:proofErr w:type="spellStart"/>
      <w:r>
        <w:rPr>
          <w:rFonts w:ascii="標楷體" w:eastAsia="標楷體" w:hAnsi="標楷體"/>
        </w:rPr>
        <w:t>Piasky</w:t>
      </w:r>
      <w:proofErr w:type="spellEnd"/>
      <w:r>
        <w:rPr>
          <w:rFonts w:ascii="標楷體" w:eastAsia="標楷體" w:hAnsi="標楷體"/>
        </w:rPr>
        <w:t>) ：</w:t>
      </w:r>
      <w:proofErr w:type="gramStart"/>
      <w:r>
        <w:rPr>
          <w:rFonts w:ascii="標楷體" w:eastAsia="標楷體" w:hAnsi="標楷體"/>
        </w:rPr>
        <w:t>（</w:t>
      </w:r>
      <w:proofErr w:type="gramEnd"/>
      <w:r>
        <w:rPr>
          <w:rFonts w:ascii="標楷體" w:eastAsia="標楷體" w:hAnsi="標楷體"/>
        </w:rPr>
        <w:t>101/4/1、102/10/1、108/6/1、108/9/1、114/2/1、114</w:t>
      </w:r>
      <w:r>
        <w:rPr>
          <w:rFonts w:ascii="標楷體" w:eastAsia="標楷體" w:hAnsi="標楷體"/>
          <w:szCs w:val="28"/>
        </w:rPr>
        <w:t>/10/1</w:t>
      </w:r>
      <w:r w:rsidR="000E3146">
        <w:rPr>
          <w:rFonts w:ascii="標楷體" w:eastAsia="標楷體" w:hAnsi="標楷體" w:hint="eastAsia"/>
          <w:szCs w:val="28"/>
        </w:rPr>
        <w:t>、115/3/1</w:t>
      </w:r>
      <w:r>
        <w:rPr>
          <w:rFonts w:ascii="標楷體" w:eastAsia="標楷體" w:hAnsi="標楷體"/>
          <w:szCs w:val="28"/>
        </w:rPr>
        <w:t>)</w:t>
      </w:r>
    </w:p>
    <w:p w14:paraId="252842A1" w14:textId="77777777" w:rsidR="00C75D31" w:rsidRDefault="00C75D31" w:rsidP="002144EC">
      <w:pPr>
        <w:pStyle w:val="af"/>
        <w:numPr>
          <w:ilvl w:val="0"/>
          <w:numId w:val="161"/>
        </w:numPr>
        <w:spacing w:line="300" w:lineRule="exact"/>
        <w:ind w:left="851"/>
      </w:pPr>
      <w:r>
        <w:rPr>
          <w:rFonts w:ascii="標楷體" w:eastAsia="標楷體" w:hAnsi="標楷體"/>
        </w:rPr>
        <w:t>用於經衛生福利部國民</w:t>
      </w:r>
      <w:proofErr w:type="gramStart"/>
      <w:r>
        <w:rPr>
          <w:rFonts w:ascii="標楷體" w:eastAsia="標楷體" w:hAnsi="標楷體"/>
        </w:rPr>
        <w:t>健康署</w:t>
      </w:r>
      <w:proofErr w:type="gramEnd"/>
      <w:r>
        <w:rPr>
          <w:rFonts w:ascii="標楷體" w:eastAsia="標楷體" w:hAnsi="標楷體"/>
        </w:rPr>
        <w:t>認定之陣發性夜間血紅素尿症患者(</w:t>
      </w:r>
      <w:proofErr w:type="spellStart"/>
      <w:r>
        <w:rPr>
          <w:rFonts w:ascii="標楷體" w:eastAsia="標楷體" w:hAnsi="標楷體"/>
        </w:rPr>
        <w:t>crovalimab</w:t>
      </w:r>
      <w:proofErr w:type="spellEnd"/>
      <w:r>
        <w:rPr>
          <w:rFonts w:ascii="標楷體" w:eastAsia="標楷體" w:hAnsi="標楷體"/>
        </w:rPr>
        <w:t>限用於13歲以上且體重40公斤以上之陣發性夜間血紅素尿症患者)：(108/6/1、114/2/1</w:t>
      </w:r>
      <w:r>
        <w:rPr>
          <w:rFonts w:ascii="標楷體" w:eastAsia="標楷體" w:hAnsi="標楷體"/>
          <w:szCs w:val="28"/>
        </w:rPr>
        <w:t>、114/10/1</w:t>
      </w:r>
      <w:r>
        <w:rPr>
          <w:rFonts w:ascii="標楷體" w:eastAsia="標楷體" w:hAnsi="標楷體"/>
        </w:rPr>
        <w:t>)</w:t>
      </w:r>
    </w:p>
    <w:p w14:paraId="1490D9E1" w14:textId="77777777" w:rsidR="00C75D31" w:rsidRDefault="00C75D31" w:rsidP="002144EC">
      <w:pPr>
        <w:pStyle w:val="af"/>
        <w:numPr>
          <w:ilvl w:val="0"/>
          <w:numId w:val="162"/>
        </w:numPr>
        <w:spacing w:line="300" w:lineRule="exact"/>
        <w:ind w:left="1134" w:hanging="510"/>
        <w:rPr>
          <w:rFonts w:ascii="標楷體" w:eastAsia="標楷體" w:hAnsi="標楷體"/>
        </w:rPr>
      </w:pPr>
      <w:r>
        <w:rPr>
          <w:rFonts w:ascii="標楷體" w:eastAsia="標楷體" w:hAnsi="標楷體"/>
        </w:rPr>
        <w:t>陣發性夜間血紅素尿症患者且PNH granulocyte clone size經兩種抗體確認大於50%，並符合下列條件之</w:t>
      </w:r>
      <w:proofErr w:type="gramStart"/>
      <w:r>
        <w:rPr>
          <w:rFonts w:ascii="標楷體" w:eastAsia="標楷體" w:hAnsi="標楷體"/>
        </w:rPr>
        <w:t>一</w:t>
      </w:r>
      <w:proofErr w:type="gramEnd"/>
      <w:r>
        <w:rPr>
          <w:rFonts w:ascii="標楷體" w:eastAsia="標楷體" w:hAnsi="標楷體"/>
        </w:rPr>
        <w:t>者使用：</w:t>
      </w:r>
    </w:p>
    <w:p w14:paraId="140359D8" w14:textId="77777777" w:rsidR="00C75D31" w:rsidRDefault="00C75D31" w:rsidP="002144EC">
      <w:pPr>
        <w:pStyle w:val="af"/>
        <w:numPr>
          <w:ilvl w:val="1"/>
          <w:numId w:val="163"/>
        </w:numPr>
        <w:spacing w:line="300" w:lineRule="exact"/>
        <w:ind w:left="1418"/>
        <w:rPr>
          <w:rFonts w:ascii="標楷體" w:eastAsia="標楷體" w:hAnsi="標楷體"/>
        </w:rPr>
      </w:pPr>
      <w:r>
        <w:rPr>
          <w:rFonts w:ascii="標楷體" w:eastAsia="標楷體" w:hAnsi="標楷體"/>
        </w:rPr>
        <w:t>有溶血性貧血，血紅素濃度至少有兩次檢測數值低於7g/dL或有心肺功能不全症狀（New York Heart Association Class III或IV）且血紅素濃度低於9g/dL，並須長期大量輸血（3個月內至少輸血6個單位以上）。須排除其他原因引起之貧血，包括缺鐵性貧血或出血等。</w:t>
      </w:r>
    </w:p>
    <w:p w14:paraId="5F9A636C" w14:textId="77777777" w:rsidR="00C75D31" w:rsidRDefault="00C75D31" w:rsidP="002144EC">
      <w:pPr>
        <w:pStyle w:val="af"/>
        <w:numPr>
          <w:ilvl w:val="1"/>
          <w:numId w:val="163"/>
        </w:numPr>
        <w:spacing w:line="300" w:lineRule="exact"/>
        <w:ind w:left="1418"/>
        <w:rPr>
          <w:rFonts w:ascii="標楷體" w:eastAsia="標楷體" w:hAnsi="標楷體"/>
        </w:rPr>
      </w:pPr>
      <w:r>
        <w:rPr>
          <w:rFonts w:ascii="標楷體" w:eastAsia="標楷體" w:hAnsi="標楷體"/>
        </w:rPr>
        <w:t>有發生危及生命之虞之血栓並導致明顯器官功能受損者，但須排除其他已知原因引起之血栓。</w:t>
      </w:r>
    </w:p>
    <w:p w14:paraId="40E509AA" w14:textId="77777777" w:rsidR="00C75D31" w:rsidRDefault="00C75D31" w:rsidP="002144EC">
      <w:pPr>
        <w:pStyle w:val="af"/>
        <w:numPr>
          <w:ilvl w:val="2"/>
          <w:numId w:val="163"/>
        </w:numPr>
        <w:spacing w:line="300" w:lineRule="exact"/>
        <w:ind w:left="1701" w:hanging="340"/>
        <w:rPr>
          <w:rFonts w:ascii="標楷體" w:eastAsia="標楷體" w:hAnsi="標楷體"/>
        </w:rPr>
      </w:pPr>
      <w:r>
        <w:rPr>
          <w:rFonts w:ascii="標楷體" w:eastAsia="標楷體" w:hAnsi="標楷體"/>
        </w:rPr>
        <w:t>任何位置之動脈血栓。</w:t>
      </w:r>
    </w:p>
    <w:p w14:paraId="2DB09A06" w14:textId="77777777" w:rsidR="00C75D31" w:rsidRDefault="00C75D31" w:rsidP="002144EC">
      <w:pPr>
        <w:pStyle w:val="af"/>
        <w:numPr>
          <w:ilvl w:val="2"/>
          <w:numId w:val="163"/>
        </w:numPr>
        <w:spacing w:line="300" w:lineRule="exact"/>
        <w:ind w:left="1701" w:hanging="425"/>
        <w:rPr>
          <w:rFonts w:ascii="標楷體" w:eastAsia="標楷體" w:hAnsi="標楷體"/>
        </w:rPr>
      </w:pPr>
      <w:r>
        <w:rPr>
          <w:rFonts w:ascii="標楷體" w:eastAsia="標楷體" w:hAnsi="標楷體"/>
        </w:rPr>
        <w:t>重要部位之靜脈性血栓，包括腦部靜脈、靜脈竇、上下</w:t>
      </w:r>
      <w:proofErr w:type="gramStart"/>
      <w:r>
        <w:rPr>
          <w:rFonts w:ascii="標楷體" w:eastAsia="標楷體" w:hAnsi="標楷體"/>
        </w:rPr>
        <w:t>腔</w:t>
      </w:r>
      <w:proofErr w:type="gramEnd"/>
      <w:r>
        <w:rPr>
          <w:rFonts w:ascii="標楷體" w:eastAsia="標楷體" w:hAnsi="標楷體"/>
        </w:rPr>
        <w:t>靜脈、近</w:t>
      </w:r>
      <w:proofErr w:type="gramStart"/>
      <w:r>
        <w:rPr>
          <w:rFonts w:ascii="標楷體" w:eastAsia="標楷體" w:hAnsi="標楷體"/>
        </w:rPr>
        <w:t>端深部</w:t>
      </w:r>
      <w:proofErr w:type="gramEnd"/>
      <w:r>
        <w:rPr>
          <w:rFonts w:ascii="標楷體" w:eastAsia="標楷體" w:hAnsi="標楷體"/>
        </w:rPr>
        <w:t>靜脈、肝</w:t>
      </w:r>
      <w:proofErr w:type="gramStart"/>
      <w:r>
        <w:rPr>
          <w:rFonts w:ascii="標楷體" w:eastAsia="標楷體" w:hAnsi="標楷體"/>
        </w:rPr>
        <w:t>靜脈或肝門靜脈</w:t>
      </w:r>
      <w:proofErr w:type="gramEnd"/>
      <w:r>
        <w:rPr>
          <w:rFonts w:ascii="標楷體" w:eastAsia="標楷體" w:hAnsi="標楷體"/>
        </w:rPr>
        <w:t>血栓等。</w:t>
      </w:r>
    </w:p>
    <w:p w14:paraId="6B1194CB" w14:textId="77777777" w:rsidR="00C75D31" w:rsidRDefault="00C75D31" w:rsidP="002144EC">
      <w:pPr>
        <w:pStyle w:val="af"/>
        <w:numPr>
          <w:ilvl w:val="2"/>
          <w:numId w:val="163"/>
        </w:numPr>
        <w:spacing w:line="300" w:lineRule="exact"/>
        <w:ind w:left="1701" w:hanging="567"/>
        <w:rPr>
          <w:rFonts w:ascii="標楷體" w:eastAsia="標楷體" w:hAnsi="標楷體"/>
        </w:rPr>
      </w:pPr>
      <w:r>
        <w:rPr>
          <w:rFonts w:ascii="標楷體" w:eastAsia="標楷體" w:hAnsi="標楷體"/>
        </w:rPr>
        <w:t>發生因血管內溶血導致的</w:t>
      </w:r>
      <w:proofErr w:type="gramStart"/>
      <w:r>
        <w:rPr>
          <w:rFonts w:ascii="標楷體" w:eastAsia="標楷體" w:hAnsi="標楷體"/>
        </w:rPr>
        <w:t>進行性腎功能</w:t>
      </w:r>
      <w:proofErr w:type="gramEnd"/>
      <w:r>
        <w:rPr>
          <w:rFonts w:ascii="標楷體" w:eastAsia="標楷體" w:hAnsi="標楷體"/>
        </w:rPr>
        <w:t>衰竭（serum creatinine大於2.0 mg/dL），且無法以其他原因解釋者。</w:t>
      </w:r>
    </w:p>
    <w:p w14:paraId="1C862DEE" w14:textId="77777777" w:rsidR="00C75D31" w:rsidRDefault="00C75D31" w:rsidP="002144EC">
      <w:pPr>
        <w:pStyle w:val="af"/>
        <w:numPr>
          <w:ilvl w:val="0"/>
          <w:numId w:val="162"/>
        </w:numPr>
        <w:spacing w:line="300" w:lineRule="exact"/>
        <w:ind w:left="1134" w:hanging="510"/>
        <w:rPr>
          <w:rFonts w:ascii="標楷體" w:eastAsia="標楷體" w:hAnsi="標楷體"/>
        </w:rPr>
      </w:pPr>
      <w:r>
        <w:rPr>
          <w:rFonts w:ascii="標楷體" w:eastAsia="標楷體" w:hAnsi="標楷體"/>
        </w:rPr>
        <w:t>排除有高危險之骨髓化生不良症候群（RAEB-1或RAEB-2）的病患。</w:t>
      </w:r>
    </w:p>
    <w:p w14:paraId="629CB270" w14:textId="77777777" w:rsidR="00C75D31" w:rsidRDefault="00C75D31" w:rsidP="002144EC">
      <w:pPr>
        <w:pStyle w:val="af"/>
        <w:numPr>
          <w:ilvl w:val="0"/>
          <w:numId w:val="162"/>
        </w:numPr>
        <w:spacing w:line="300" w:lineRule="exact"/>
        <w:ind w:left="1134" w:hanging="510"/>
        <w:rPr>
          <w:rFonts w:ascii="標楷體" w:eastAsia="標楷體" w:hAnsi="標楷體"/>
        </w:rPr>
      </w:pPr>
      <w:r w:rsidRPr="00405A03">
        <w:rPr>
          <w:rFonts w:ascii="標楷體" w:eastAsia="標楷體" w:hAnsi="標楷體" w:hint="eastAsia"/>
        </w:rPr>
        <w:t>需經特殊專案審查核准後使用，每次申請期限為6個月</w:t>
      </w:r>
      <w:r>
        <w:rPr>
          <w:rFonts w:ascii="標楷體" w:eastAsia="標楷體" w:hAnsi="標楷體"/>
        </w:rPr>
        <w:t>。</w:t>
      </w:r>
      <w:r w:rsidR="000E3146" w:rsidRPr="003138BA">
        <w:rPr>
          <w:rFonts w:ascii="標楷體" w:eastAsia="標楷體" w:hAnsi="標楷體" w:hint="eastAsia"/>
          <w:szCs w:val="24"/>
        </w:rPr>
        <w:t>(101/4/1、115</w:t>
      </w:r>
      <w:r w:rsidR="000E3146" w:rsidRPr="003138BA">
        <w:rPr>
          <w:rFonts w:ascii="標楷體" w:eastAsia="標楷體" w:hAnsi="標楷體"/>
          <w:szCs w:val="24"/>
        </w:rPr>
        <w:t>/</w:t>
      </w:r>
      <w:r w:rsidR="000E3146" w:rsidRPr="003138BA">
        <w:rPr>
          <w:rFonts w:ascii="標楷體" w:eastAsia="標楷體" w:hAnsi="標楷體" w:hint="eastAsia"/>
          <w:szCs w:val="24"/>
        </w:rPr>
        <w:t>3</w:t>
      </w:r>
      <w:r w:rsidR="000E3146" w:rsidRPr="003138BA">
        <w:rPr>
          <w:rFonts w:ascii="標楷體" w:eastAsia="標楷體" w:hAnsi="標楷體"/>
          <w:szCs w:val="24"/>
        </w:rPr>
        <w:t>/1</w:t>
      </w:r>
      <w:r w:rsidR="000E3146" w:rsidRPr="003138BA">
        <w:rPr>
          <w:rFonts w:ascii="標楷體" w:eastAsia="標楷體" w:hAnsi="標楷體" w:hint="eastAsia"/>
          <w:szCs w:val="24"/>
        </w:rPr>
        <w:t>)</w:t>
      </w:r>
    </w:p>
    <w:p w14:paraId="30766E9F" w14:textId="77777777" w:rsidR="00C75D31" w:rsidRDefault="00C75D31" w:rsidP="002144EC">
      <w:pPr>
        <w:pStyle w:val="af"/>
        <w:numPr>
          <w:ilvl w:val="0"/>
          <w:numId w:val="162"/>
        </w:numPr>
        <w:spacing w:line="300" w:lineRule="exact"/>
        <w:ind w:left="1134" w:hanging="510"/>
        <w:rPr>
          <w:rFonts w:ascii="標楷體" w:eastAsia="標楷體" w:hAnsi="標楷體"/>
        </w:rPr>
      </w:pPr>
      <w:r>
        <w:rPr>
          <w:rFonts w:ascii="標楷體" w:eastAsia="標楷體" w:hAnsi="標楷體"/>
        </w:rPr>
        <w:t>每6個月須重新評估治療結果。若符合下列條件之一，則不予同意使用。</w:t>
      </w:r>
    </w:p>
    <w:p w14:paraId="4A7E8DDF" w14:textId="77777777" w:rsidR="00C75D31" w:rsidRDefault="00C75D31" w:rsidP="002144EC">
      <w:pPr>
        <w:pStyle w:val="af"/>
        <w:numPr>
          <w:ilvl w:val="1"/>
          <w:numId w:val="164"/>
        </w:numPr>
        <w:spacing w:line="300" w:lineRule="exact"/>
        <w:ind w:left="1560"/>
        <w:rPr>
          <w:rFonts w:ascii="標楷體" w:eastAsia="標楷體" w:hAnsi="標楷體"/>
        </w:rPr>
      </w:pPr>
      <w:r>
        <w:rPr>
          <w:rFonts w:ascii="標楷體" w:eastAsia="標楷體" w:hAnsi="標楷體"/>
        </w:rPr>
        <w:t>接受治療的患者用藥後病情沒有改善者（LDH超過正常值上限的1.5倍或最近3個月內輸血多於2個單位）</w:t>
      </w:r>
    </w:p>
    <w:p w14:paraId="7415821E" w14:textId="77777777" w:rsidR="00C75D31" w:rsidRDefault="00C75D31" w:rsidP="002144EC">
      <w:pPr>
        <w:pStyle w:val="af"/>
        <w:numPr>
          <w:ilvl w:val="1"/>
          <w:numId w:val="164"/>
        </w:numPr>
        <w:spacing w:line="300" w:lineRule="exact"/>
        <w:ind w:left="1560"/>
      </w:pPr>
      <w:r>
        <w:rPr>
          <w:rFonts w:ascii="標楷體" w:eastAsia="標楷體" w:hAnsi="標楷體"/>
        </w:rPr>
        <w:t xml:space="preserve">PNH granulocyte clone size </w:t>
      </w:r>
      <w:proofErr w:type="gramStart"/>
      <w:r>
        <w:rPr>
          <w:rFonts w:ascii="標楷體" w:eastAsia="標楷體" w:hAnsi="標楷體" w:cs="新細明體"/>
        </w:rPr>
        <w:t>≦</w:t>
      </w:r>
      <w:proofErr w:type="gramEnd"/>
      <w:r>
        <w:rPr>
          <w:rFonts w:ascii="標楷體" w:eastAsia="標楷體" w:hAnsi="標楷體"/>
        </w:rPr>
        <w:t>50%。</w:t>
      </w:r>
    </w:p>
    <w:p w14:paraId="782DBE7E" w14:textId="77777777" w:rsidR="00C75D31" w:rsidRDefault="00C75D31" w:rsidP="002144EC">
      <w:pPr>
        <w:pStyle w:val="af"/>
        <w:numPr>
          <w:ilvl w:val="1"/>
          <w:numId w:val="164"/>
        </w:numPr>
        <w:spacing w:line="300" w:lineRule="exact"/>
        <w:ind w:left="1560"/>
        <w:rPr>
          <w:rFonts w:ascii="標楷體" w:eastAsia="標楷體" w:hAnsi="標楷體"/>
        </w:rPr>
      </w:pPr>
      <w:r>
        <w:rPr>
          <w:rFonts w:ascii="標楷體" w:eastAsia="標楷體" w:hAnsi="標楷體"/>
        </w:rPr>
        <w:t>發生嚴重再生不良性貧血者，其檢查結果符合下列兩項或兩項以上者：（102/10/1、114/2/1）</w:t>
      </w:r>
    </w:p>
    <w:p w14:paraId="0DF1E2E2" w14:textId="77777777" w:rsidR="00C75D31" w:rsidRDefault="00C75D31" w:rsidP="002144EC">
      <w:pPr>
        <w:pStyle w:val="af"/>
        <w:numPr>
          <w:ilvl w:val="2"/>
          <w:numId w:val="164"/>
        </w:numPr>
        <w:spacing w:line="300" w:lineRule="exact"/>
        <w:ind w:left="1701" w:hanging="340"/>
      </w:pPr>
      <w:r>
        <w:rPr>
          <w:rFonts w:ascii="標楷體" w:eastAsia="標楷體" w:hAnsi="標楷體"/>
        </w:rPr>
        <w:t>中性白血球數目(neutrophil count) &lt;0.5x10</w:t>
      </w:r>
      <w:r>
        <w:rPr>
          <w:rFonts w:ascii="標楷體" w:eastAsia="標楷體" w:hAnsi="標楷體"/>
          <w:vertAlign w:val="superscript"/>
        </w:rPr>
        <w:t>9</w:t>
      </w:r>
      <w:r>
        <w:rPr>
          <w:rFonts w:ascii="標楷體" w:eastAsia="標楷體" w:hAnsi="標楷體"/>
        </w:rPr>
        <w:t>/L。</w:t>
      </w:r>
    </w:p>
    <w:p w14:paraId="1399BC5D" w14:textId="77777777" w:rsidR="00C75D31" w:rsidRDefault="00C75D31" w:rsidP="002144EC">
      <w:pPr>
        <w:pStyle w:val="af"/>
        <w:numPr>
          <w:ilvl w:val="2"/>
          <w:numId w:val="164"/>
        </w:numPr>
        <w:spacing w:line="300" w:lineRule="exact"/>
        <w:ind w:left="1701" w:hanging="425"/>
        <w:rPr>
          <w:rFonts w:ascii="標楷體" w:eastAsia="標楷體" w:hAnsi="標楷體"/>
        </w:rPr>
      </w:pPr>
      <w:r>
        <w:rPr>
          <w:rFonts w:ascii="標楷體" w:eastAsia="標楷體" w:hAnsi="標楷體"/>
        </w:rPr>
        <w:t>血小板數目( platelet count) &lt;20x109/L。</w:t>
      </w:r>
    </w:p>
    <w:p w14:paraId="0BDC0179" w14:textId="77777777" w:rsidR="00C75D31" w:rsidRDefault="00C75D31" w:rsidP="002144EC">
      <w:pPr>
        <w:pStyle w:val="af"/>
        <w:numPr>
          <w:ilvl w:val="2"/>
          <w:numId w:val="164"/>
        </w:numPr>
        <w:spacing w:line="300" w:lineRule="exact"/>
        <w:ind w:left="1701" w:hanging="567"/>
      </w:pPr>
      <w:r>
        <w:rPr>
          <w:rFonts w:ascii="標楷體" w:eastAsia="標楷體" w:hAnsi="標楷體"/>
        </w:rPr>
        <w:t>網狀細胞(reticulocytes) &lt;25x10</w:t>
      </w:r>
      <w:r>
        <w:rPr>
          <w:rFonts w:ascii="標楷體" w:eastAsia="標楷體" w:hAnsi="標楷體"/>
          <w:vertAlign w:val="superscript"/>
        </w:rPr>
        <w:t>9</w:t>
      </w:r>
      <w:r>
        <w:rPr>
          <w:rFonts w:ascii="標楷體" w:eastAsia="標楷體" w:hAnsi="標楷體"/>
        </w:rPr>
        <w:t>/L。</w:t>
      </w:r>
    </w:p>
    <w:p w14:paraId="12312F97" w14:textId="77777777" w:rsidR="00C75D31" w:rsidRDefault="00C75D31" w:rsidP="002144EC">
      <w:pPr>
        <w:pStyle w:val="af"/>
        <w:numPr>
          <w:ilvl w:val="2"/>
          <w:numId w:val="164"/>
        </w:numPr>
        <w:spacing w:line="300" w:lineRule="exact"/>
        <w:ind w:left="1701" w:hanging="425"/>
        <w:rPr>
          <w:rFonts w:ascii="標楷體" w:eastAsia="標楷體" w:hAnsi="標楷體"/>
        </w:rPr>
      </w:pPr>
      <w:r>
        <w:rPr>
          <w:rFonts w:ascii="標楷體" w:eastAsia="標楷體" w:hAnsi="標楷體"/>
        </w:rPr>
        <w:t>骨髓內造血細胞密度&lt;30%。</w:t>
      </w:r>
    </w:p>
    <w:p w14:paraId="03FB62EA" w14:textId="77777777" w:rsidR="00C75D31" w:rsidRDefault="00C75D31" w:rsidP="00C75D31">
      <w:pPr>
        <w:spacing w:line="300" w:lineRule="exact"/>
        <w:ind w:left="245" w:hanging="245"/>
      </w:pPr>
      <w:r>
        <w:rPr>
          <w:rFonts w:ascii="標楷體" w:eastAsia="標楷體" w:hAnsi="標楷體" w:cs="Cambria Math"/>
        </w:rPr>
        <w:t>◎</w:t>
      </w:r>
      <w:r>
        <w:rPr>
          <w:rFonts w:ascii="標楷體" w:eastAsia="標楷體" w:hAnsi="標楷體"/>
        </w:rPr>
        <w:t>附表三十之</w:t>
      </w:r>
      <w:proofErr w:type="gramStart"/>
      <w:r>
        <w:rPr>
          <w:rFonts w:ascii="標楷體" w:eastAsia="標楷體" w:hAnsi="標楷體"/>
        </w:rPr>
        <w:t>一</w:t>
      </w:r>
      <w:proofErr w:type="gramEnd"/>
      <w:r>
        <w:rPr>
          <w:rFonts w:ascii="標楷體" w:eastAsia="標楷體" w:hAnsi="標楷體"/>
        </w:rPr>
        <w:t>：全民健康保險使用陣發性夜間血紅素尿症治療藥品eculizumab、</w:t>
      </w:r>
      <w:proofErr w:type="spellStart"/>
      <w:r>
        <w:rPr>
          <w:rFonts w:ascii="標楷體" w:eastAsia="標楷體" w:hAnsi="標楷體"/>
        </w:rPr>
        <w:lastRenderedPageBreak/>
        <w:t>ravulizumab</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特殊專案審查申請表</w:t>
      </w:r>
    </w:p>
    <w:p w14:paraId="5E0E612E" w14:textId="77777777" w:rsidR="00C75D31" w:rsidRDefault="00C75D31" w:rsidP="00C75D31">
      <w:pPr>
        <w:spacing w:line="300" w:lineRule="exact"/>
        <w:ind w:left="245" w:hanging="245"/>
      </w:pPr>
      <w:r>
        <w:rPr>
          <w:rFonts w:ascii="標楷體" w:eastAsia="標楷體" w:hAnsi="標楷體" w:cs="Cambria Math"/>
        </w:rPr>
        <w:t>◎</w:t>
      </w:r>
      <w:r>
        <w:rPr>
          <w:rFonts w:ascii="標楷體" w:eastAsia="標楷體" w:hAnsi="標楷體"/>
        </w:rPr>
        <w:t>附表三十之二：陣發性夜間血紅素尿症患者特殊專案審查申請Soliris (eculizumab)、</w:t>
      </w:r>
      <w:proofErr w:type="spellStart"/>
      <w:r>
        <w:rPr>
          <w:rFonts w:ascii="標楷體" w:eastAsia="標楷體" w:hAnsi="標楷體"/>
        </w:rPr>
        <w:t>Ultomiris</w:t>
      </w:r>
      <w:proofErr w:type="spellEnd"/>
      <w:r>
        <w:rPr>
          <w:rFonts w:ascii="標楷體" w:eastAsia="標楷體" w:hAnsi="標楷體"/>
        </w:rPr>
        <w:t xml:space="preserve"> (</w:t>
      </w:r>
      <w:proofErr w:type="spellStart"/>
      <w:r>
        <w:rPr>
          <w:rFonts w:ascii="標楷體" w:eastAsia="標楷體" w:hAnsi="標楷體"/>
        </w:rPr>
        <w:t>ravulizumab</w:t>
      </w:r>
      <w:proofErr w:type="spellEnd"/>
      <w:r>
        <w:rPr>
          <w:rFonts w:ascii="標楷體" w:eastAsia="標楷體" w:hAnsi="標楷體"/>
        </w:rPr>
        <w:t>)、</w:t>
      </w:r>
      <w:proofErr w:type="spellStart"/>
      <w:r>
        <w:rPr>
          <w:rFonts w:ascii="標楷體" w:eastAsia="標楷體" w:hAnsi="標楷體"/>
        </w:rPr>
        <w:t>Piasky</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)用藥檢附資料查檢表</w:t>
      </w:r>
    </w:p>
    <w:p w14:paraId="68B30810" w14:textId="77777777" w:rsidR="00C75D31" w:rsidRDefault="00C75D31" w:rsidP="002144EC">
      <w:pPr>
        <w:pStyle w:val="af"/>
        <w:numPr>
          <w:ilvl w:val="0"/>
          <w:numId w:val="161"/>
        </w:numPr>
        <w:spacing w:line="300" w:lineRule="exact"/>
        <w:ind w:left="851"/>
      </w:pPr>
      <w:r>
        <w:rPr>
          <w:rFonts w:ascii="標楷體" w:eastAsia="標楷體" w:hAnsi="標楷體"/>
        </w:rPr>
        <w:t>用於經衛生福利部國民</w:t>
      </w:r>
      <w:proofErr w:type="gramStart"/>
      <w:r>
        <w:rPr>
          <w:rFonts w:ascii="標楷體" w:eastAsia="標楷體" w:hAnsi="標楷體"/>
        </w:rPr>
        <w:t>健康署</w:t>
      </w:r>
      <w:proofErr w:type="gramEnd"/>
      <w:r>
        <w:rPr>
          <w:rFonts w:ascii="標楷體" w:eastAsia="標楷體" w:hAnsi="標楷體"/>
        </w:rPr>
        <w:t xml:space="preserve">認定之非典型性尿毒溶血症候群(Atypical Hemolytic Uremic Syndrome, </w:t>
      </w:r>
      <w:proofErr w:type="spellStart"/>
      <w:r>
        <w:rPr>
          <w:rFonts w:ascii="標楷體" w:eastAsia="標楷體" w:hAnsi="標楷體"/>
        </w:rPr>
        <w:t>aHUS</w:t>
      </w:r>
      <w:proofErr w:type="spellEnd"/>
      <w:r>
        <w:rPr>
          <w:rFonts w:ascii="標楷體" w:eastAsia="標楷體" w:hAnsi="標楷體"/>
        </w:rPr>
        <w:t>)病人：(108/6/1、108/9/1)</w:t>
      </w:r>
    </w:p>
    <w:p w14:paraId="37492C4C" w14:textId="77777777" w:rsidR="00C75D31" w:rsidRDefault="00C75D31" w:rsidP="00C75D31">
      <w:pPr>
        <w:spacing w:line="300" w:lineRule="exact"/>
        <w:ind w:left="989" w:hanging="281"/>
      </w:pPr>
      <w:r>
        <w:rPr>
          <w:rFonts w:ascii="標楷體" w:eastAsia="標楷體" w:hAnsi="標楷體"/>
          <w:color w:val="000000"/>
        </w:rPr>
        <w:t>(1)</w:t>
      </w:r>
      <w:r>
        <w:rPr>
          <w:rFonts w:ascii="標楷體" w:eastAsia="標楷體" w:hAnsi="標楷體"/>
        </w:rPr>
        <w:t>定義</w:t>
      </w:r>
      <w:r>
        <w:rPr>
          <w:rFonts w:ascii="標楷體" w:eastAsia="標楷體" w:hAnsi="標楷體"/>
          <w:color w:val="000000"/>
        </w:rPr>
        <w:t>：</w:t>
      </w:r>
    </w:p>
    <w:p w14:paraId="0D353B53" w14:textId="77777777" w:rsidR="00C75D31" w:rsidRDefault="00C75D31" w:rsidP="00C75D31">
      <w:pPr>
        <w:spacing w:line="300" w:lineRule="exact"/>
        <w:ind w:left="1051" w:hanging="5"/>
        <w:rPr>
          <w:rFonts w:ascii="標楷體" w:eastAsia="標楷體" w:hAnsi="標楷體"/>
          <w:color w:val="000000"/>
        </w:rPr>
      </w:pPr>
      <w:r>
        <w:rPr>
          <w:rFonts w:ascii="標楷體" w:eastAsia="標楷體" w:hAnsi="標楷體"/>
          <w:color w:val="000000"/>
        </w:rPr>
        <w:t>非典型性尿毒溶血症候群為突然發生急性腎衰竭、急性溶血性貧血及低血小板(&lt;150,000/</w:t>
      </w:r>
      <w:proofErr w:type="spellStart"/>
      <w:r>
        <w:rPr>
          <w:rFonts w:ascii="標楷體" w:eastAsia="標楷體" w:hAnsi="標楷體"/>
          <w:color w:val="000000"/>
        </w:rPr>
        <w:t>μL</w:t>
      </w:r>
      <w:proofErr w:type="spellEnd"/>
      <w:r>
        <w:rPr>
          <w:rFonts w:ascii="標楷體" w:eastAsia="標楷體" w:hAnsi="標楷體"/>
          <w:color w:val="000000"/>
        </w:rPr>
        <w:t>)符合尿毒溶血症候群診斷，且不合併嚴重ADAMTS13</w:t>
      </w:r>
      <w:proofErr w:type="gramStart"/>
      <w:r>
        <w:rPr>
          <w:rFonts w:ascii="標楷體" w:eastAsia="標楷體" w:hAnsi="標楷體"/>
          <w:color w:val="000000"/>
        </w:rPr>
        <w:t>功能欠損</w:t>
      </w:r>
      <w:proofErr w:type="gramEnd"/>
      <w:r>
        <w:rPr>
          <w:rFonts w:ascii="標楷體" w:eastAsia="標楷體" w:hAnsi="標楷體"/>
          <w:color w:val="000000"/>
        </w:rPr>
        <w:t>、</w:t>
      </w:r>
      <w:proofErr w:type="gramStart"/>
      <w:r>
        <w:rPr>
          <w:rFonts w:ascii="標楷體" w:eastAsia="標楷體" w:hAnsi="標楷體"/>
          <w:color w:val="000000"/>
        </w:rPr>
        <w:t>分泌類志賀氏</w:t>
      </w:r>
      <w:proofErr w:type="gramEnd"/>
      <w:r>
        <w:rPr>
          <w:rFonts w:ascii="標楷體" w:eastAsia="標楷體" w:hAnsi="標楷體"/>
          <w:color w:val="000000"/>
        </w:rPr>
        <w:t>毒素大腸桿菌(</w:t>
      </w:r>
      <w:proofErr w:type="spellStart"/>
      <w:r>
        <w:rPr>
          <w:rFonts w:ascii="標楷體" w:eastAsia="標楷體" w:hAnsi="標楷體"/>
          <w:color w:val="000000"/>
        </w:rPr>
        <w:t>shiga</w:t>
      </w:r>
      <w:proofErr w:type="spellEnd"/>
      <w:r>
        <w:rPr>
          <w:rFonts w:ascii="標楷體" w:eastAsia="標楷體" w:hAnsi="標楷體"/>
          <w:color w:val="000000"/>
        </w:rPr>
        <w:t>-like toxin-producing E. coli, STEC)感染、肺炎鏈球菌感染，且未具有相關</w:t>
      </w:r>
      <w:proofErr w:type="gramStart"/>
      <w:r>
        <w:rPr>
          <w:rFonts w:ascii="標楷體" w:eastAsia="標楷體" w:hAnsi="標楷體"/>
          <w:color w:val="000000"/>
        </w:rPr>
        <w:t>併</w:t>
      </w:r>
      <w:proofErr w:type="gramEnd"/>
      <w:r>
        <w:rPr>
          <w:rFonts w:ascii="標楷體" w:eastAsia="標楷體" w:hAnsi="標楷體"/>
          <w:color w:val="000000"/>
        </w:rPr>
        <w:t>存疾病、藥物相關或其他等條件(coexisting diseases/conditions)者。少數也有可能</w:t>
      </w:r>
      <w:proofErr w:type="gramStart"/>
      <w:r>
        <w:rPr>
          <w:rFonts w:ascii="標楷體" w:eastAsia="標楷體" w:hAnsi="標楷體"/>
          <w:color w:val="000000"/>
        </w:rPr>
        <w:t>因補體調節</w:t>
      </w:r>
      <w:proofErr w:type="gramEnd"/>
      <w:r>
        <w:rPr>
          <w:rFonts w:ascii="標楷體" w:eastAsia="標楷體" w:hAnsi="標楷體"/>
          <w:color w:val="000000"/>
        </w:rPr>
        <w:t>異常而產生非典型性尿毒溶血症候群，得視病患各別的情況由專家會議仔細評估及排除典型性尿毒溶血症候群的可能。</w:t>
      </w:r>
    </w:p>
    <w:p w14:paraId="4E319F37" w14:textId="77777777" w:rsidR="00C75D31" w:rsidRDefault="00C75D31" w:rsidP="00C75D31">
      <w:pPr>
        <w:spacing w:line="300" w:lineRule="exact"/>
        <w:ind w:left="989" w:hanging="281"/>
      </w:pPr>
      <w:r>
        <w:rPr>
          <w:rFonts w:ascii="標楷體" w:eastAsia="標楷體" w:hAnsi="標楷體"/>
          <w:color w:val="000000"/>
        </w:rPr>
        <w:t>(2)</w:t>
      </w:r>
      <w:r>
        <w:rPr>
          <w:rFonts w:ascii="標楷體" w:eastAsia="標楷體" w:hAnsi="標楷體"/>
        </w:rPr>
        <w:t>治療</w:t>
      </w:r>
      <w:r>
        <w:rPr>
          <w:rFonts w:ascii="標楷體" w:eastAsia="標楷體" w:hAnsi="標楷體"/>
          <w:color w:val="000000"/>
        </w:rPr>
        <w:t>對血漿治療反應不佳之非典型溶血性尿毒症候群(</w:t>
      </w:r>
      <w:proofErr w:type="spellStart"/>
      <w:r>
        <w:rPr>
          <w:rFonts w:ascii="標楷體" w:eastAsia="標楷體" w:hAnsi="標楷體"/>
          <w:color w:val="000000"/>
        </w:rPr>
        <w:t>aHUS</w:t>
      </w:r>
      <w:proofErr w:type="spellEnd"/>
      <w:r>
        <w:rPr>
          <w:rFonts w:ascii="標楷體" w:eastAsia="標楷體" w:hAnsi="標楷體"/>
          <w:color w:val="000000"/>
        </w:rPr>
        <w:t>)病人，且同時符合下列</w:t>
      </w:r>
      <w:proofErr w:type="spellStart"/>
      <w:r>
        <w:rPr>
          <w:rFonts w:ascii="標楷體" w:eastAsia="標楷體" w:hAnsi="標楷體"/>
          <w:color w:val="000000"/>
        </w:rPr>
        <w:t>Ⅰ~Ⅲ</w:t>
      </w:r>
      <w:proofErr w:type="spellEnd"/>
      <w:r>
        <w:rPr>
          <w:rFonts w:ascii="標楷體" w:eastAsia="標楷體" w:hAnsi="標楷體"/>
          <w:color w:val="000000"/>
        </w:rPr>
        <w:t>之全部條件。</w:t>
      </w:r>
    </w:p>
    <w:p w14:paraId="60B5E66F" w14:textId="77777777" w:rsidR="00C75D31" w:rsidRDefault="00C75D31" w:rsidP="00C75D31">
      <w:pPr>
        <w:spacing w:line="300" w:lineRule="exact"/>
        <w:ind w:left="1315" w:hanging="252"/>
      </w:pPr>
      <w:r>
        <w:rPr>
          <w:rFonts w:ascii="標楷體" w:eastAsia="標楷體" w:hAnsi="標楷體"/>
          <w:color w:val="000000"/>
        </w:rPr>
        <w:t>I.病人最近</w:t>
      </w:r>
      <w:proofErr w:type="gramStart"/>
      <w:r>
        <w:rPr>
          <w:rFonts w:ascii="標楷體" w:eastAsia="標楷體" w:hAnsi="標楷體"/>
          <w:color w:val="000000"/>
        </w:rPr>
        <w:t>一週</w:t>
      </w:r>
      <w:proofErr w:type="gramEnd"/>
      <w:r>
        <w:rPr>
          <w:rFonts w:ascii="標楷體" w:eastAsia="標楷體" w:hAnsi="標楷體"/>
          <w:color w:val="000000"/>
        </w:rPr>
        <w:t>已進行至少4次的血漿置換或血漿輸液治療，仍出現血小板數&lt; 150,000/</w:t>
      </w:r>
      <w:proofErr w:type="spellStart"/>
      <w:r>
        <w:rPr>
          <w:rFonts w:ascii="標楷體" w:eastAsia="標楷體" w:hAnsi="標楷體"/>
          <w:color w:val="000000"/>
        </w:rPr>
        <w:t>μL</w:t>
      </w:r>
      <w:proofErr w:type="spellEnd"/>
      <w:r>
        <w:rPr>
          <w:rFonts w:ascii="標楷體" w:eastAsia="標楷體" w:hAnsi="標楷體"/>
          <w:color w:val="000000"/>
        </w:rPr>
        <w:t>，且比最近一次(須至少一個月前)TMA之前之3次血小板數平均值低至少25%；若無法取得之過去之血小板檢驗數值，則最進一次發病時之血小板數值須</w:t>
      </w:r>
      <w:r>
        <w:rPr>
          <w:rFonts w:ascii="Times New Roman" w:eastAsia="標楷體" w:hAnsi="Times New Roman"/>
          <w:color w:val="000000"/>
        </w:rPr>
        <w:t>≤</w:t>
      </w:r>
      <w:r>
        <w:rPr>
          <w:rFonts w:ascii="標楷體" w:eastAsia="標楷體" w:hAnsi="標楷體"/>
          <w:color w:val="000000"/>
        </w:rPr>
        <w:t xml:space="preserve"> 75,000/</w:t>
      </w:r>
      <w:proofErr w:type="spellStart"/>
      <w:r>
        <w:rPr>
          <w:rFonts w:ascii="標楷體" w:eastAsia="標楷體" w:hAnsi="標楷體"/>
          <w:color w:val="000000"/>
        </w:rPr>
        <w:t>μL</w:t>
      </w:r>
      <w:proofErr w:type="spellEnd"/>
      <w:r>
        <w:rPr>
          <w:rFonts w:ascii="標楷體" w:eastAsia="標楷體" w:hAnsi="標楷體"/>
          <w:color w:val="000000"/>
        </w:rPr>
        <w:t>，且病患最近一週已進行至少4次的血漿置換或血漿輸液治療，仍出現血小板數</w:t>
      </w:r>
      <w:r>
        <w:rPr>
          <w:rFonts w:ascii="Times New Roman" w:eastAsia="標楷體" w:hAnsi="Times New Roman"/>
          <w:color w:val="000000"/>
        </w:rPr>
        <w:t>≤</w:t>
      </w:r>
      <w:r>
        <w:rPr>
          <w:rFonts w:ascii="標楷體" w:eastAsia="標楷體" w:hAnsi="標楷體"/>
          <w:color w:val="000000"/>
        </w:rPr>
        <w:t xml:space="preserve"> 100,000/</w:t>
      </w:r>
      <w:proofErr w:type="spellStart"/>
      <w:r>
        <w:rPr>
          <w:rFonts w:ascii="標楷體" w:eastAsia="標楷體" w:hAnsi="標楷體"/>
          <w:color w:val="000000"/>
        </w:rPr>
        <w:t>μL</w:t>
      </w:r>
      <w:proofErr w:type="spellEnd"/>
      <w:r>
        <w:rPr>
          <w:rFonts w:ascii="標楷體" w:eastAsia="標楷體" w:hAnsi="標楷體"/>
          <w:color w:val="000000"/>
        </w:rPr>
        <w:t>。</w:t>
      </w:r>
    </w:p>
    <w:p w14:paraId="3D5607EA"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II.LDH大於正常上限值(＞ upper limit of normal (ULN))，或病人持續接受血漿置換治療，而LDH於最近一次發病時至少超過正常上限值。</w:t>
      </w:r>
    </w:p>
    <w:p w14:paraId="287A82D0" w14:textId="77777777" w:rsidR="00C75D31" w:rsidRDefault="00C75D31" w:rsidP="00C75D31">
      <w:pPr>
        <w:spacing w:line="300" w:lineRule="exact"/>
        <w:ind w:left="1315" w:hanging="252"/>
      </w:pPr>
      <w:r>
        <w:rPr>
          <w:rFonts w:ascii="標楷體" w:eastAsia="標楷體" w:hAnsi="標楷體"/>
          <w:color w:val="000000"/>
        </w:rPr>
        <w:t>III.血清</w:t>
      </w:r>
      <w:proofErr w:type="gramStart"/>
      <w:r>
        <w:rPr>
          <w:rFonts w:ascii="標楷體" w:eastAsia="標楷體" w:hAnsi="標楷體"/>
          <w:color w:val="000000"/>
        </w:rPr>
        <w:t>肌</w:t>
      </w:r>
      <w:proofErr w:type="gramEnd"/>
      <w:r>
        <w:rPr>
          <w:rFonts w:ascii="標楷體" w:eastAsia="標楷體" w:hAnsi="標楷體"/>
          <w:color w:val="000000"/>
        </w:rPr>
        <w:t>酸酐 (creatinine)大於或等於年齡之正常上限值(</w:t>
      </w:r>
      <w:r>
        <w:rPr>
          <w:rFonts w:ascii="Times New Roman" w:eastAsia="標楷體" w:hAnsi="Times New Roman"/>
          <w:color w:val="000000"/>
        </w:rPr>
        <w:t>≥</w:t>
      </w:r>
      <w:r>
        <w:rPr>
          <w:rFonts w:ascii="標楷體" w:eastAsia="標楷體" w:hAnsi="標楷體"/>
          <w:color w:val="000000"/>
        </w:rPr>
        <w:t xml:space="preserve"> ULN for age)，或因急性腎衰竭須要緊急透析治療之病人。</w:t>
      </w:r>
    </w:p>
    <w:p w14:paraId="7EF92121" w14:textId="77777777" w:rsidR="00C75D31" w:rsidRDefault="00C75D31" w:rsidP="00C75D31">
      <w:pPr>
        <w:spacing w:line="300" w:lineRule="exact"/>
        <w:ind w:left="989" w:hanging="281"/>
      </w:pPr>
      <w:r>
        <w:rPr>
          <w:rFonts w:ascii="標楷體" w:eastAsia="標楷體" w:hAnsi="標楷體"/>
          <w:color w:val="000000"/>
        </w:rPr>
        <w:t>(3)</w:t>
      </w:r>
      <w:r>
        <w:rPr>
          <w:rFonts w:ascii="標楷體" w:eastAsia="標楷體" w:hAnsi="標楷體"/>
        </w:rPr>
        <w:t>符合</w:t>
      </w:r>
      <w:r>
        <w:rPr>
          <w:rFonts w:ascii="標楷體" w:eastAsia="標楷體" w:hAnsi="標楷體"/>
          <w:color w:val="000000"/>
        </w:rPr>
        <w:t>尿毒溶血症候群診斷且排除以下情況：</w:t>
      </w:r>
    </w:p>
    <w:p w14:paraId="3678D857"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I.「典型性尿毒溶血症候群」</w:t>
      </w:r>
    </w:p>
    <w:p w14:paraId="55104411"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II.「次發性非典型性尿毒溶血症候群」，與下列情形相關者：</w:t>
      </w:r>
    </w:p>
    <w:p w14:paraId="6C101E6F" w14:textId="77777777" w:rsidR="00C75D31" w:rsidRDefault="00C75D31" w:rsidP="00C75D31">
      <w:pPr>
        <w:spacing w:line="3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.流</w:t>
      </w:r>
      <w:r>
        <w:rPr>
          <w:rFonts w:ascii="標楷體" w:eastAsia="標楷體" w:hAnsi="標楷體"/>
        </w:rPr>
        <w:t>感</w:t>
      </w:r>
    </w:p>
    <w:p w14:paraId="416C757F"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ii.肺炎鏈球菌感染</w:t>
      </w:r>
    </w:p>
    <w:p w14:paraId="78E455A3"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iii.</w:t>
      </w:r>
      <w:proofErr w:type="gramStart"/>
      <w:r>
        <w:rPr>
          <w:rFonts w:ascii="標楷體" w:eastAsia="標楷體" w:hAnsi="標楷體"/>
        </w:rPr>
        <w:t>分泌類志賀氏</w:t>
      </w:r>
      <w:proofErr w:type="gramEnd"/>
      <w:r>
        <w:rPr>
          <w:rFonts w:ascii="標楷體" w:eastAsia="標楷體" w:hAnsi="標楷體"/>
        </w:rPr>
        <w:t>毒素大腸桿菌(</w:t>
      </w:r>
      <w:proofErr w:type="spellStart"/>
      <w:r>
        <w:rPr>
          <w:rFonts w:ascii="標楷體" w:eastAsia="標楷體" w:hAnsi="標楷體"/>
        </w:rPr>
        <w:t>shiga</w:t>
      </w:r>
      <w:proofErr w:type="spellEnd"/>
      <w:r>
        <w:rPr>
          <w:rFonts w:ascii="標楷體" w:eastAsia="標楷體" w:hAnsi="標楷體"/>
        </w:rPr>
        <w:t>-like toxin-producing Escherichia coli)感染</w:t>
      </w:r>
    </w:p>
    <w:p w14:paraId="6AB63983" w14:textId="77777777" w:rsidR="00C75D31" w:rsidRDefault="00C75D31" w:rsidP="00C75D31">
      <w:pPr>
        <w:spacing w:line="300" w:lineRule="exact"/>
        <w:ind w:left="1558" w:hanging="245"/>
        <w:rPr>
          <w:rFonts w:ascii="標楷體" w:eastAsia="標楷體" w:hAnsi="標楷體"/>
        </w:rPr>
      </w:pPr>
      <w:proofErr w:type="spellStart"/>
      <w:r>
        <w:rPr>
          <w:rFonts w:ascii="標楷體" w:eastAsia="標楷體" w:hAnsi="標楷體"/>
        </w:rPr>
        <w:t>iv.thrombotic</w:t>
      </w:r>
      <w:proofErr w:type="spellEnd"/>
      <w:r>
        <w:rPr>
          <w:rFonts w:ascii="標楷體" w:eastAsia="標楷體" w:hAnsi="標楷體"/>
        </w:rPr>
        <w:t xml:space="preserve"> thrombocytopenic purpura (TTP) </w:t>
      </w:r>
    </w:p>
    <w:p w14:paraId="6BC9349F"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v.合併HELLP (hemolytic anemia, elevated liver enzymes and low platelets) syndrome</w:t>
      </w:r>
    </w:p>
    <w:p w14:paraId="20F4B665"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vi.使用中藥物，如calcineurin inhibitors、化學治療、血小板抑制劑、口服避孕藥等</w:t>
      </w:r>
    </w:p>
    <w:p w14:paraId="6705F344"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vii.其他血栓性微血管病 (thrombotic microangiopathy)，包括惡性高血壓 (malignant hypertension)、抗磷脂質症候群 (antiphospholipid syndrome)、瀰漫性</w:t>
      </w:r>
      <w:proofErr w:type="gramStart"/>
      <w:r>
        <w:rPr>
          <w:rFonts w:ascii="標楷體" w:eastAsia="標楷體" w:hAnsi="標楷體"/>
        </w:rPr>
        <w:t>血管內凝血</w:t>
      </w:r>
      <w:proofErr w:type="gramEnd"/>
      <w:r>
        <w:rPr>
          <w:rFonts w:ascii="標楷體" w:eastAsia="標楷體" w:hAnsi="標楷體"/>
        </w:rPr>
        <w:t xml:space="preserve"> (disseminated intravascular coagulation)</w:t>
      </w:r>
    </w:p>
    <w:p w14:paraId="6A5268D8" w14:textId="77777777" w:rsidR="00C75D31" w:rsidRDefault="00C75D31" w:rsidP="00C75D31">
      <w:pPr>
        <w:spacing w:line="300" w:lineRule="exact"/>
        <w:ind w:left="1558" w:hanging="245"/>
      </w:pPr>
      <w:proofErr w:type="spellStart"/>
      <w:r>
        <w:rPr>
          <w:rFonts w:ascii="標楷體" w:eastAsia="標楷體" w:hAnsi="標楷體"/>
        </w:rPr>
        <w:t>viii.Cob</w:t>
      </w:r>
      <w:r>
        <w:rPr>
          <w:rFonts w:ascii="標楷體" w:eastAsia="標楷體" w:hAnsi="標楷體"/>
          <w:color w:val="000000"/>
        </w:rPr>
        <w:t>alamin</w:t>
      </w:r>
      <w:proofErr w:type="spellEnd"/>
      <w:r>
        <w:rPr>
          <w:rFonts w:ascii="標楷體" w:eastAsia="標楷體" w:hAnsi="標楷體"/>
          <w:color w:val="000000"/>
        </w:rPr>
        <w:t xml:space="preserve"> C</w:t>
      </w:r>
      <w:proofErr w:type="gramStart"/>
      <w:r>
        <w:rPr>
          <w:rFonts w:ascii="標楷體" w:eastAsia="標楷體" w:hAnsi="標楷體"/>
          <w:color w:val="000000"/>
        </w:rPr>
        <w:t>欠損相關</w:t>
      </w:r>
      <w:proofErr w:type="gramEnd"/>
      <w:r>
        <w:rPr>
          <w:rFonts w:ascii="標楷體" w:eastAsia="標楷體" w:hAnsi="標楷體"/>
          <w:color w:val="000000"/>
        </w:rPr>
        <w:t>之尿毒溶血症候群</w:t>
      </w:r>
    </w:p>
    <w:p w14:paraId="768D0AF2" w14:textId="77777777" w:rsidR="00C75D31" w:rsidRDefault="00C75D31" w:rsidP="00C75D31">
      <w:pPr>
        <w:spacing w:line="300" w:lineRule="exact"/>
        <w:ind w:left="989" w:hanging="281"/>
      </w:pPr>
      <w:r>
        <w:rPr>
          <w:rFonts w:ascii="標楷體" w:eastAsia="標楷體" w:hAnsi="標楷體"/>
          <w:color w:val="000000"/>
        </w:rPr>
        <w:t>(4)</w:t>
      </w:r>
      <w:r>
        <w:rPr>
          <w:rFonts w:ascii="標楷體" w:eastAsia="標楷體" w:hAnsi="標楷體"/>
        </w:rPr>
        <w:t>病人</w:t>
      </w:r>
      <w:r>
        <w:rPr>
          <w:rFonts w:ascii="標楷體" w:eastAsia="標楷體" w:hAnsi="標楷體"/>
          <w:color w:val="000000"/>
        </w:rPr>
        <w:t>同時符合下列條件Ⅰ、Ⅱ、Ⅲ及Ⅳ-Ⅷ至少一個器官侵犯時，屬於重症。只有</w:t>
      </w:r>
      <w:proofErr w:type="gramStart"/>
      <w:r>
        <w:rPr>
          <w:rFonts w:ascii="標楷體" w:eastAsia="標楷體" w:hAnsi="標楷體"/>
          <w:color w:val="000000"/>
        </w:rPr>
        <w:t>重症才需要</w:t>
      </w:r>
      <w:proofErr w:type="gramEnd"/>
      <w:r>
        <w:rPr>
          <w:rFonts w:ascii="標楷體" w:eastAsia="標楷體" w:hAnsi="標楷體"/>
          <w:color w:val="000000"/>
        </w:rPr>
        <w:t>使用血漿置換術或eculizumab治療 (但使用eculizumab之前，仍需符合前述最近</w:t>
      </w:r>
      <w:proofErr w:type="gramStart"/>
      <w:r>
        <w:rPr>
          <w:rFonts w:ascii="標楷體" w:eastAsia="標楷體" w:hAnsi="標楷體"/>
          <w:color w:val="000000"/>
        </w:rPr>
        <w:t>一週</w:t>
      </w:r>
      <w:proofErr w:type="gramEnd"/>
      <w:r>
        <w:rPr>
          <w:rFonts w:ascii="標楷體" w:eastAsia="標楷體" w:hAnsi="標楷體"/>
          <w:color w:val="000000"/>
        </w:rPr>
        <w:t>已進行至少4次的血漿置換或血漿輸液治療反應不佳等條件)：</w:t>
      </w:r>
    </w:p>
    <w:p w14:paraId="1BE9D602"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w:t>
      </w:r>
      <w:r>
        <w:rPr>
          <w:rFonts w:ascii="標楷體" w:eastAsia="標楷體" w:hAnsi="標楷體"/>
          <w:color w:val="000000"/>
        </w:rPr>
        <w:tab/>
      </w:r>
      <w:proofErr w:type="gramStart"/>
      <w:r>
        <w:rPr>
          <w:rFonts w:ascii="標楷體" w:eastAsia="標楷體" w:hAnsi="標楷體"/>
          <w:color w:val="000000"/>
        </w:rPr>
        <w:t>溶血性貧血(</w:t>
      </w:r>
      <w:proofErr w:type="gramEnd"/>
      <w:r>
        <w:rPr>
          <w:rFonts w:ascii="標楷體" w:eastAsia="標楷體" w:hAnsi="標楷體"/>
          <w:color w:val="000000"/>
        </w:rPr>
        <w:t>Hb低於10.0g/dl)</w:t>
      </w:r>
    </w:p>
    <w:p w14:paraId="74C3DA5F"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II.血小板減少(血小板低於150,000/</w:t>
      </w:r>
      <w:proofErr w:type="spellStart"/>
      <w:r>
        <w:rPr>
          <w:rFonts w:ascii="標楷體" w:eastAsia="標楷體" w:hAnsi="標楷體"/>
          <w:color w:val="000000"/>
        </w:rPr>
        <w:t>μL</w:t>
      </w:r>
      <w:proofErr w:type="spellEnd"/>
      <w:r>
        <w:rPr>
          <w:rFonts w:ascii="標楷體" w:eastAsia="標楷體" w:hAnsi="標楷體"/>
          <w:color w:val="000000"/>
        </w:rPr>
        <w:t>)</w:t>
      </w:r>
    </w:p>
    <w:p w14:paraId="189D71F0"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III.血清LDH升高(高於各醫院檢驗室之正常值)</w:t>
      </w:r>
    </w:p>
    <w:p w14:paraId="6B28CEBD"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IV.急性腎衰竭(成人AKI第2期以上，兒童請參考表1)</w:t>
      </w:r>
    </w:p>
    <w:p w14:paraId="17901E9A"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lastRenderedPageBreak/>
        <w:t>V.</w:t>
      </w:r>
      <w:r>
        <w:rPr>
          <w:rFonts w:ascii="標楷體" w:eastAsia="標楷體" w:hAnsi="標楷體"/>
          <w:color w:val="000000"/>
        </w:rPr>
        <w:tab/>
        <w:t>腦血管病變(例如腦中風等)</w:t>
      </w:r>
    </w:p>
    <w:p w14:paraId="0EF2A9D4"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VI.心臟障礙(例如缺血性心臟病、心衰竭)</w:t>
      </w:r>
    </w:p>
    <w:p w14:paraId="0E69E01E" w14:textId="77777777" w:rsidR="00C75D31" w:rsidRDefault="00C75D31" w:rsidP="00C75D31">
      <w:pPr>
        <w:spacing w:line="300" w:lineRule="exact"/>
        <w:ind w:left="1315" w:hanging="252"/>
      </w:pPr>
      <w:r>
        <w:rPr>
          <w:rFonts w:ascii="標楷體" w:eastAsia="標楷體" w:hAnsi="標楷體"/>
          <w:color w:val="000000"/>
        </w:rPr>
        <w:t>VII.呼吸障礙</w:t>
      </w:r>
      <w:proofErr w:type="gramStart"/>
      <w:r>
        <w:rPr>
          <w:rFonts w:ascii="標楷體" w:eastAsia="標楷體" w:hAnsi="標楷體"/>
          <w:color w:val="000000"/>
        </w:rPr>
        <w:t>(氧合</w:t>
      </w:r>
      <w:proofErr w:type="gramEnd"/>
      <w:r>
        <w:rPr>
          <w:rFonts w:ascii="標楷體" w:eastAsia="標楷體" w:hAnsi="標楷體"/>
          <w:color w:val="000000"/>
        </w:rPr>
        <w:t xml:space="preserve">能力200mmHg &lt; PaO2/FiO2 </w:t>
      </w:r>
      <w:proofErr w:type="gramStart"/>
      <w:r>
        <w:rPr>
          <w:rFonts w:ascii="標楷體" w:eastAsia="標楷體" w:hAnsi="標楷體" w:cs="新細明體"/>
          <w:color w:val="000000"/>
        </w:rPr>
        <w:t>≦</w:t>
      </w:r>
      <w:proofErr w:type="gramEnd"/>
      <w:r>
        <w:rPr>
          <w:rFonts w:ascii="標楷體" w:eastAsia="標楷體" w:hAnsi="標楷體"/>
          <w:color w:val="000000"/>
        </w:rPr>
        <w:t xml:space="preserve"> 300mmHg + PEEP或CPAP</w:t>
      </w:r>
      <w:proofErr w:type="gramStart"/>
      <w:r>
        <w:rPr>
          <w:rFonts w:ascii="標楷體" w:eastAsia="標楷體" w:hAnsi="標楷體" w:cs="新細明體"/>
          <w:color w:val="000000"/>
        </w:rPr>
        <w:t>≧</w:t>
      </w:r>
      <w:proofErr w:type="gramEnd"/>
      <w:r>
        <w:rPr>
          <w:rFonts w:ascii="標楷體" w:eastAsia="標楷體" w:hAnsi="標楷體"/>
          <w:color w:val="000000"/>
        </w:rPr>
        <w:t xml:space="preserve"> 5cmH2O)</w:t>
      </w:r>
    </w:p>
    <w:p w14:paraId="0EC797EC"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VIII.缺血性腸炎、小腸破裂</w:t>
      </w:r>
    </w:p>
    <w:p w14:paraId="1A1BF4FB" w14:textId="77777777" w:rsidR="00C75D31" w:rsidRDefault="00C75D31" w:rsidP="00C75D31">
      <w:pPr>
        <w:spacing w:line="300" w:lineRule="exact"/>
        <w:ind w:left="34" w:firstLine="250"/>
        <w:rPr>
          <w:rFonts w:ascii="標楷體" w:eastAsia="標楷體" w:hAnsi="標楷體"/>
        </w:rPr>
      </w:pPr>
      <w:r>
        <w:rPr>
          <w:rFonts w:ascii="標楷體" w:eastAsia="標楷體" w:hAnsi="標楷體"/>
        </w:rPr>
        <w:t>表1急性腎衰竭定義</w:t>
      </w:r>
    </w:p>
    <w:tbl>
      <w:tblPr>
        <w:tblW w:w="4750" w:type="pct"/>
        <w:tblInd w:w="250" w:type="dxa"/>
        <w:tblLayout w:type="fixed"/>
        <w:tblCellMar>
          <w:left w:w="10" w:type="dxa"/>
          <w:right w:w="10" w:type="dxa"/>
        </w:tblCellMar>
        <w:tblLook w:val="04A0" w:firstRow="1" w:lastRow="0" w:firstColumn="1" w:lastColumn="0" w:noHBand="0" w:noVBand="1"/>
      </w:tblPr>
      <w:tblGrid>
        <w:gridCol w:w="848"/>
        <w:gridCol w:w="4387"/>
        <w:gridCol w:w="3912"/>
      </w:tblGrid>
      <w:tr w:rsidR="00C75D31" w14:paraId="666C4EF4"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91F629" w14:textId="77777777" w:rsidR="00C75D31" w:rsidRDefault="00C75D31" w:rsidP="00C75D31">
            <w:pPr>
              <w:spacing w:line="300" w:lineRule="exact"/>
              <w:rPr>
                <w:rFonts w:ascii="標楷體" w:eastAsia="標楷體" w:hAnsi="標楷體"/>
                <w:sz w:val="20"/>
                <w:szCs w:val="20"/>
              </w:rPr>
            </w:pP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9D467B"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血清</w:t>
            </w:r>
            <w:proofErr w:type="gramStart"/>
            <w:r>
              <w:rPr>
                <w:rFonts w:ascii="標楷體" w:eastAsia="標楷體" w:hAnsi="標楷體"/>
                <w:sz w:val="20"/>
                <w:szCs w:val="20"/>
              </w:rPr>
              <w:t>肌</w:t>
            </w:r>
            <w:proofErr w:type="gramEnd"/>
            <w:r>
              <w:rPr>
                <w:rFonts w:ascii="標楷體" w:eastAsia="標楷體" w:hAnsi="標楷體"/>
                <w:sz w:val="20"/>
                <w:szCs w:val="20"/>
              </w:rPr>
              <w:t>酸酐(Cr)</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A5B060"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尿量</w:t>
            </w:r>
          </w:p>
        </w:tc>
      </w:tr>
      <w:tr w:rsidR="00C75D31" w14:paraId="3A472EAB" w14:textId="77777777" w:rsidTr="006D18A7">
        <w:trPr>
          <w:trHeight w:val="914"/>
        </w:trPr>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1DDF0C"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病期1</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02CB97"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基準值之1.5-1.9倍</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493FD7"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6-12小時量低於</w:t>
            </w:r>
          </w:p>
          <w:p w14:paraId="3422E8BB"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0.5ml/公斤體重/小時</w:t>
            </w:r>
          </w:p>
        </w:tc>
      </w:tr>
      <w:tr w:rsidR="00C75D31" w14:paraId="65C53AB3"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D61CB4"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病期2</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80346"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基準值之2.0-2.9倍</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2851F"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12小時以上低於</w:t>
            </w:r>
          </w:p>
          <w:p w14:paraId="22F9D74C"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0.5ml/公斤體重/小時</w:t>
            </w:r>
          </w:p>
        </w:tc>
      </w:tr>
      <w:tr w:rsidR="00C75D31" w14:paraId="2C871E28"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69D8CA"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病期3</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AEAF93" w14:textId="77777777" w:rsidR="00C75D31" w:rsidRDefault="00C75D31" w:rsidP="00C75D31">
            <w:pPr>
              <w:spacing w:line="300" w:lineRule="exact"/>
            </w:pPr>
            <w:r>
              <w:rPr>
                <w:rFonts w:ascii="標楷體" w:eastAsia="標楷體" w:hAnsi="標楷體"/>
                <w:sz w:val="20"/>
                <w:szCs w:val="20"/>
              </w:rPr>
              <w:t>基準值之3倍以上且血清</w:t>
            </w:r>
            <w:proofErr w:type="gramStart"/>
            <w:r>
              <w:rPr>
                <w:rFonts w:ascii="標楷體" w:eastAsia="標楷體" w:hAnsi="標楷體"/>
                <w:sz w:val="20"/>
                <w:szCs w:val="20"/>
              </w:rPr>
              <w:t>肌</w:t>
            </w:r>
            <w:proofErr w:type="gramEnd"/>
            <w:r>
              <w:rPr>
                <w:rFonts w:ascii="標楷體" w:eastAsia="標楷體" w:hAnsi="標楷體"/>
                <w:sz w:val="20"/>
                <w:szCs w:val="20"/>
              </w:rPr>
              <w:t>酸酐</w:t>
            </w:r>
            <w:proofErr w:type="gramStart"/>
            <w:r>
              <w:rPr>
                <w:rFonts w:ascii="標楷體" w:eastAsia="標楷體" w:hAnsi="標楷體" w:cs="新細明體"/>
                <w:sz w:val="20"/>
                <w:szCs w:val="20"/>
              </w:rPr>
              <w:t>≧</w:t>
            </w:r>
            <w:proofErr w:type="gramEnd"/>
            <w:r>
              <w:rPr>
                <w:rFonts w:ascii="標楷體" w:eastAsia="標楷體" w:hAnsi="標楷體"/>
                <w:sz w:val="20"/>
                <w:szCs w:val="20"/>
              </w:rPr>
              <w:t>4.0mg/dl，且開始腎臟替代療法，在18歲以下則eGFR&lt;35ml/min/1.73m</w:t>
            </w:r>
            <w:r>
              <w:rPr>
                <w:rFonts w:ascii="標楷體" w:eastAsia="標楷體" w:hAnsi="標楷體"/>
                <w:sz w:val="20"/>
                <w:szCs w:val="20"/>
                <w:vertAlign w:val="superscript"/>
              </w:rPr>
              <w:t>2</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926D59"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24小時以上</w:t>
            </w:r>
          </w:p>
          <w:p w14:paraId="6579CC17"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&lt;0.3ml/公斤體重/小時</w:t>
            </w:r>
          </w:p>
          <w:p w14:paraId="0C97899E"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或12小時</w:t>
            </w:r>
            <w:proofErr w:type="gramStart"/>
            <w:r>
              <w:rPr>
                <w:rFonts w:ascii="標楷體" w:eastAsia="標楷體" w:hAnsi="標楷體"/>
                <w:sz w:val="20"/>
                <w:szCs w:val="20"/>
              </w:rPr>
              <w:t>以上無尿</w:t>
            </w:r>
            <w:proofErr w:type="gramEnd"/>
          </w:p>
        </w:tc>
      </w:tr>
    </w:tbl>
    <w:p w14:paraId="569CC15E" w14:textId="77777777" w:rsidR="00C75D31" w:rsidRDefault="00C75D31" w:rsidP="00C75D31">
      <w:pPr>
        <w:spacing w:line="300" w:lineRule="exact"/>
        <w:ind w:left="993" w:hanging="1031"/>
        <w:rPr>
          <w:rFonts w:ascii="標楷體" w:eastAsia="標楷體" w:hAnsi="標楷體"/>
        </w:rPr>
      </w:pPr>
      <w:r>
        <w:rPr>
          <w:rFonts w:ascii="標楷體" w:eastAsia="標楷體" w:hAnsi="標楷體"/>
        </w:rPr>
        <w:t>*KDIGO Clinical Practice Guideline for Acute Kidney Injury. Kidney Int Suppl 2012:2:1-138</w:t>
      </w:r>
    </w:p>
    <w:p w14:paraId="56B30F02" w14:textId="77777777" w:rsidR="00C75D31" w:rsidRDefault="00C75D31" w:rsidP="00C75D31">
      <w:pPr>
        <w:spacing w:line="300" w:lineRule="exact"/>
        <w:ind w:left="989" w:hanging="281"/>
      </w:pPr>
      <w:r>
        <w:rPr>
          <w:rFonts w:ascii="標楷體" w:eastAsia="標楷體" w:hAnsi="標楷體"/>
          <w:color w:val="000000"/>
        </w:rPr>
        <w:t>(5)</w:t>
      </w:r>
      <w:r>
        <w:rPr>
          <w:rFonts w:ascii="標楷體" w:eastAsia="標楷體" w:hAnsi="標楷體"/>
        </w:rPr>
        <w:t>用藥</w:t>
      </w:r>
      <w:r>
        <w:rPr>
          <w:rFonts w:ascii="標楷體" w:eastAsia="標楷體" w:hAnsi="標楷體"/>
          <w:color w:val="000000"/>
        </w:rPr>
        <w:t>禁忌</w:t>
      </w:r>
    </w:p>
    <w:p w14:paraId="2E53B417"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I.病人有嚴重之腦膜炎球菌 (Neisseria meningitis)感染</w:t>
      </w:r>
    </w:p>
    <w:p w14:paraId="5C30B391"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II.病人未施打過腦膜炎球菌疫苗，除非目前病情之權重高於腦膜炎感染之風險</w:t>
      </w:r>
    </w:p>
    <w:p w14:paraId="53659A04" w14:textId="77777777" w:rsidR="00C75D31" w:rsidRDefault="00C75D31" w:rsidP="00C75D31">
      <w:pPr>
        <w:spacing w:line="300" w:lineRule="exact"/>
        <w:ind w:left="989" w:hanging="281"/>
      </w:pPr>
      <w:r>
        <w:rPr>
          <w:rFonts w:ascii="標楷體" w:eastAsia="標楷體" w:hAnsi="標楷體"/>
          <w:color w:val="000000"/>
        </w:rPr>
        <w:t>(6)需</w:t>
      </w:r>
      <w:r>
        <w:rPr>
          <w:rFonts w:ascii="標楷體" w:eastAsia="標楷體" w:hAnsi="標楷體"/>
        </w:rPr>
        <w:t>檢送基因檢測報告經專家小組特殊專案審查核准後使用，每24</w:t>
      </w:r>
      <w:proofErr w:type="gramStart"/>
      <w:r>
        <w:rPr>
          <w:rFonts w:ascii="標楷體" w:eastAsia="標楷體" w:hAnsi="標楷體"/>
        </w:rPr>
        <w:t>週</w:t>
      </w:r>
      <w:proofErr w:type="gramEnd"/>
      <w:r>
        <w:rPr>
          <w:rFonts w:ascii="標楷體" w:eastAsia="標楷體" w:hAnsi="標楷體"/>
        </w:rPr>
        <w:t>須重新申請，必要時得請照護病人之醫師專案報告。(108/9/1)</w:t>
      </w:r>
    </w:p>
    <w:p w14:paraId="7BD26B35" w14:textId="77777777" w:rsidR="00C75D31" w:rsidRDefault="00C75D31" w:rsidP="00C75D31">
      <w:pPr>
        <w:spacing w:line="300" w:lineRule="exact"/>
        <w:ind w:left="989" w:hanging="281"/>
      </w:pPr>
      <w:r>
        <w:rPr>
          <w:rFonts w:ascii="標楷體" w:eastAsia="標楷體" w:hAnsi="標楷體"/>
        </w:rPr>
        <w:t>(7)使</w:t>
      </w:r>
      <w:r>
        <w:rPr>
          <w:rFonts w:ascii="標楷體" w:eastAsia="標楷體" w:hAnsi="標楷體"/>
          <w:color w:val="000000"/>
        </w:rPr>
        <w:t>用eculizumab治療</w:t>
      </w:r>
      <w:proofErr w:type="spellStart"/>
      <w:r>
        <w:rPr>
          <w:rFonts w:ascii="標楷體" w:eastAsia="標楷體" w:hAnsi="標楷體"/>
          <w:color w:val="000000"/>
        </w:rPr>
        <w:t>aHUS</w:t>
      </w:r>
      <w:proofErr w:type="spellEnd"/>
      <w:r>
        <w:rPr>
          <w:rFonts w:ascii="標楷體" w:eastAsia="標楷體" w:hAnsi="標楷體"/>
          <w:color w:val="000000"/>
        </w:rPr>
        <w:t>之退場機制：</w:t>
      </w:r>
    </w:p>
    <w:p w14:paraId="5267D5B3" w14:textId="77777777" w:rsidR="00C75D31" w:rsidRDefault="00C75D31" w:rsidP="00C75D31">
      <w:pPr>
        <w:spacing w:line="300" w:lineRule="exact"/>
        <w:ind w:left="1315" w:hanging="252"/>
        <w:rPr>
          <w:rFonts w:ascii="標楷體" w:eastAsia="標楷體" w:hAnsi="標楷體"/>
          <w:color w:val="000000"/>
        </w:rPr>
      </w:pPr>
      <w:proofErr w:type="spellStart"/>
      <w:r>
        <w:rPr>
          <w:rFonts w:ascii="標楷體" w:eastAsia="標楷體" w:hAnsi="標楷體"/>
          <w:color w:val="000000"/>
        </w:rPr>
        <w:t>I.Eculizumab</w:t>
      </w:r>
      <w:proofErr w:type="spellEnd"/>
      <w:r>
        <w:rPr>
          <w:rFonts w:ascii="標楷體" w:eastAsia="標楷體" w:hAnsi="標楷體"/>
          <w:color w:val="000000"/>
        </w:rPr>
        <w:t>治療有效及無效定義，如下：</w:t>
      </w:r>
    </w:p>
    <w:p w14:paraId="747E2132" w14:textId="77777777" w:rsidR="00C75D31" w:rsidRDefault="00C75D31" w:rsidP="00C75D31">
      <w:pPr>
        <w:spacing w:line="3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rPr>
        <w:t>治療有效定義：病人經使用eculizumab 6個月，其血栓性微血管病變獲得控制(指控制的定義為至少兩次檢驗，間隔超過一個月，血小板回復正常</w:t>
      </w:r>
      <w:proofErr w:type="gramStart"/>
      <w:r>
        <w:rPr>
          <w:rFonts w:ascii="標楷體" w:eastAsia="標楷體" w:hAnsi="標楷體" w:cs="新細明體"/>
        </w:rPr>
        <w:t>≧</w:t>
      </w:r>
      <w:proofErr w:type="gramEnd"/>
      <w:r>
        <w:rPr>
          <w:rFonts w:ascii="標楷體" w:eastAsia="標楷體" w:hAnsi="標楷體"/>
        </w:rPr>
        <w:t>150,000/mm3，血紅素回復正常，LDH下降至正常值下限，持續呈現器官血栓性微血管病變)。</w:t>
      </w:r>
    </w:p>
    <w:p w14:paraId="25CC6DF5" w14:textId="77777777" w:rsidR="00C75D31" w:rsidRDefault="00C75D31" w:rsidP="00C75D31">
      <w:pPr>
        <w:spacing w:line="300" w:lineRule="exact"/>
        <w:ind w:left="1558" w:hanging="245"/>
      </w:pPr>
      <w:r>
        <w:rPr>
          <w:rFonts w:ascii="標楷體" w:eastAsia="標楷體" w:hAnsi="標楷體"/>
        </w:rPr>
        <w:t>ii.治</w:t>
      </w:r>
      <w:r>
        <w:rPr>
          <w:rFonts w:ascii="標楷體" w:eastAsia="標楷體" w:hAnsi="標楷體"/>
          <w:color w:val="000000"/>
        </w:rPr>
        <w:t>療無效定義：病人經使用eculizumab 6個月，無法使血栓性微血管病變獲得控制(控制的定義如上)；但須排除劑量不足或藥物經由尿液流失特別是併發腎病症候群患者。</w:t>
      </w:r>
    </w:p>
    <w:p w14:paraId="2EA30DF9"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II.若治療反應無法達到有效，建議由其他專家再作劑量評估或排除非典型性尿毒溶血症候群之可能。</w:t>
      </w:r>
    </w:p>
    <w:p w14:paraId="405BC540"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III.退場機制建議如下：</w:t>
      </w:r>
    </w:p>
    <w:p w14:paraId="1BAB0025" w14:textId="77777777" w:rsidR="00C75D31" w:rsidRDefault="00C75D31" w:rsidP="00C75D31">
      <w:pPr>
        <w:spacing w:line="3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rPr>
        <w:t>治療無效</w:t>
      </w:r>
    </w:p>
    <w:p w14:paraId="0A314165"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ii.慢性腎臟病第五期</w:t>
      </w:r>
    </w:p>
    <w:p w14:paraId="1EA66AC7"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iii.嚴重腦傷害導致神經性異常重度殘障</w:t>
      </w:r>
    </w:p>
    <w:p w14:paraId="715B18C6" w14:textId="77777777" w:rsidR="00C75D31" w:rsidRDefault="00C75D31" w:rsidP="00C75D31">
      <w:pPr>
        <w:spacing w:line="300" w:lineRule="exact"/>
        <w:ind w:left="1558" w:hanging="245"/>
      </w:pPr>
      <w:r>
        <w:rPr>
          <w:rFonts w:ascii="標楷體" w:eastAsia="標楷體" w:hAnsi="標楷體"/>
        </w:rPr>
        <w:t>iv.若</w:t>
      </w:r>
      <w:r>
        <w:rPr>
          <w:rFonts w:ascii="標楷體" w:eastAsia="標楷體" w:hAnsi="標楷體"/>
          <w:color w:val="000000"/>
        </w:rPr>
        <w:t>病患疾病是由於帶MCP、CD46、CFI基因異常導致，且超過易感染病毒年紀(5歲以上)，或者在延長給藥時間或減少劑量下仍然無復發且CH50&lt;10%，可考慮停藥。</w:t>
      </w:r>
    </w:p>
    <w:p w14:paraId="4ED264E1" w14:textId="77777777" w:rsidR="00C75D31" w:rsidRDefault="00C75D31" w:rsidP="002144EC">
      <w:pPr>
        <w:pStyle w:val="af"/>
        <w:numPr>
          <w:ilvl w:val="0"/>
          <w:numId w:val="161"/>
        </w:numPr>
        <w:spacing w:line="300" w:lineRule="exact"/>
        <w:ind w:left="851"/>
      </w:pPr>
      <w:r>
        <w:rPr>
          <w:rFonts w:ascii="標楷體" w:eastAsia="標楷體" w:hAnsi="標楷體"/>
        </w:rPr>
        <w:t>另於114/2/1前已使用eculizumab之病人，符合續用申請條件者，得轉換至</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，惟使用</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無效後，不得再申請eculizumab。(114/2/1、114</w:t>
      </w:r>
      <w:r>
        <w:rPr>
          <w:rFonts w:ascii="標楷體" w:eastAsia="標楷體" w:hAnsi="標楷體"/>
          <w:szCs w:val="28"/>
        </w:rPr>
        <w:t>/10/</w:t>
      </w:r>
      <w:r>
        <w:rPr>
          <w:rFonts w:ascii="標楷體" w:eastAsia="標楷體" w:hAnsi="標楷體"/>
        </w:rPr>
        <w:t>1)</w:t>
      </w:r>
    </w:p>
    <w:p w14:paraId="7874FCCD" w14:textId="77777777" w:rsidR="00C75D31" w:rsidRPr="00405A03" w:rsidRDefault="00C75D31" w:rsidP="002144EC">
      <w:pPr>
        <w:pStyle w:val="af"/>
        <w:numPr>
          <w:ilvl w:val="0"/>
          <w:numId w:val="161"/>
        </w:numPr>
        <w:spacing w:line="300" w:lineRule="exact"/>
        <w:ind w:left="851"/>
        <w:rPr>
          <w:rFonts w:ascii="標楷體" w:eastAsia="標楷體" w:hAnsi="標楷體"/>
        </w:rPr>
      </w:pPr>
      <w:r>
        <w:rPr>
          <w:rFonts w:ascii="標楷體" w:eastAsia="標楷體" w:hAnsi="標楷體"/>
        </w:rPr>
        <w:t>新病人限</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擇</w:t>
      </w:r>
      <w:proofErr w:type="gramStart"/>
      <w:r>
        <w:rPr>
          <w:rFonts w:ascii="標楷體" w:eastAsia="標楷體" w:hAnsi="標楷體"/>
        </w:rPr>
        <w:t>一</w:t>
      </w:r>
      <w:proofErr w:type="gramEnd"/>
      <w:r>
        <w:rPr>
          <w:rFonts w:ascii="標楷體" w:eastAsia="標楷體" w:hAnsi="標楷體"/>
        </w:rPr>
        <w:t>使用。(114</w:t>
      </w:r>
      <w:r w:rsidRPr="00405A03">
        <w:rPr>
          <w:rFonts w:ascii="標楷體" w:eastAsia="標楷體" w:hAnsi="標楷體"/>
        </w:rPr>
        <w:t>/</w:t>
      </w:r>
      <w:r>
        <w:rPr>
          <w:rFonts w:ascii="標楷體" w:eastAsia="標楷體" w:hAnsi="標楷體"/>
        </w:rPr>
        <w:t>10</w:t>
      </w:r>
      <w:r w:rsidRPr="00405A03">
        <w:rPr>
          <w:rFonts w:ascii="標楷體" w:eastAsia="標楷體" w:hAnsi="標楷體"/>
        </w:rPr>
        <w:t>/</w:t>
      </w:r>
      <w:r>
        <w:rPr>
          <w:rFonts w:ascii="標楷體" w:eastAsia="標楷體" w:hAnsi="標楷體"/>
        </w:rPr>
        <w:t>1)</w:t>
      </w:r>
    </w:p>
    <w:p w14:paraId="3B134859" w14:textId="77777777" w:rsidR="00401786" w:rsidRDefault="00C75D31" w:rsidP="002144EC">
      <w:pPr>
        <w:pStyle w:val="af"/>
        <w:numPr>
          <w:ilvl w:val="0"/>
          <w:numId w:val="141"/>
        </w:numPr>
        <w:spacing w:line="300" w:lineRule="exact"/>
        <w:ind w:left="851"/>
      </w:pP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惟在有耐受不良時方可轉換使用，且限轉換一次。(114</w:t>
      </w:r>
      <w:r w:rsidRPr="00405A03">
        <w:rPr>
          <w:rFonts w:ascii="標楷體" w:eastAsia="標楷體" w:hAnsi="標楷體"/>
        </w:rPr>
        <w:t>/</w:t>
      </w:r>
      <w:r>
        <w:rPr>
          <w:rFonts w:ascii="標楷體" w:eastAsia="標楷體" w:hAnsi="標楷體"/>
        </w:rPr>
        <w:t>10/</w:t>
      </w:r>
      <w:r w:rsidRPr="00405A03">
        <w:rPr>
          <w:rFonts w:ascii="標楷體" w:eastAsia="標楷體" w:hAnsi="標楷體"/>
        </w:rPr>
        <w:t>1</w:t>
      </w:r>
      <w:r>
        <w:rPr>
          <w:rFonts w:ascii="標楷體" w:eastAsia="標楷體" w:hAnsi="標楷體"/>
        </w:rPr>
        <w:t>)</w:t>
      </w:r>
    </w:p>
    <w:p w14:paraId="6DCB4C2E" w14:textId="77777777" w:rsidR="00401786" w:rsidRDefault="00C64FB3" w:rsidP="0009639E">
      <w:pPr>
        <w:spacing w:line="300" w:lineRule="exact"/>
        <w:ind w:left="240"/>
        <w:rPr>
          <w:rFonts w:ascii="標楷體" w:eastAsia="標楷體" w:hAnsi="標楷體"/>
          <w:color w:val="000000"/>
        </w:rPr>
      </w:pPr>
      <w:r>
        <w:rPr>
          <w:rFonts w:ascii="標楷體" w:eastAsia="標楷體" w:hAnsi="標楷體"/>
          <w:color w:val="000000"/>
        </w:rPr>
        <w:t>8.2.11.Plerixafor (如</w:t>
      </w:r>
      <w:proofErr w:type="spellStart"/>
      <w:r>
        <w:rPr>
          <w:rFonts w:ascii="標楷體" w:eastAsia="標楷體" w:hAnsi="標楷體"/>
          <w:color w:val="000000"/>
        </w:rPr>
        <w:t>Mozobil</w:t>
      </w:r>
      <w:proofErr w:type="spellEnd"/>
      <w:r>
        <w:rPr>
          <w:rFonts w:ascii="標楷體" w:eastAsia="標楷體" w:hAnsi="標楷體"/>
          <w:color w:val="000000"/>
        </w:rPr>
        <w:t>)：(102/12/1、106/10/1)</w:t>
      </w:r>
    </w:p>
    <w:p w14:paraId="2B36765A"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1.限用於須施行自體移植之非何</w:t>
      </w:r>
      <w:proofErr w:type="gramStart"/>
      <w:r>
        <w:rPr>
          <w:rFonts w:ascii="標楷體" w:eastAsia="標楷體" w:hAnsi="標楷體"/>
          <w:color w:val="000000"/>
        </w:rPr>
        <w:t>杰</w:t>
      </w:r>
      <w:proofErr w:type="gramEnd"/>
      <w:r>
        <w:rPr>
          <w:rFonts w:ascii="標楷體" w:eastAsia="標楷體" w:hAnsi="標楷體"/>
          <w:color w:val="000000"/>
        </w:rPr>
        <w:t>金氏淋巴瘤或多發性骨髓瘤的病患，但驅動不佳</w:t>
      </w:r>
      <w:r>
        <w:rPr>
          <w:rFonts w:ascii="標楷體" w:eastAsia="標楷體" w:hAnsi="標楷體"/>
          <w:color w:val="000000"/>
        </w:rPr>
        <w:lastRenderedPageBreak/>
        <w:t>者。為至少使用</w:t>
      </w:r>
      <w:proofErr w:type="gramStart"/>
      <w:r>
        <w:rPr>
          <w:rFonts w:ascii="標楷體" w:eastAsia="標楷體" w:hAnsi="標楷體"/>
          <w:color w:val="000000"/>
        </w:rPr>
        <w:t>一</w:t>
      </w:r>
      <w:proofErr w:type="gramEnd"/>
      <w:r>
        <w:rPr>
          <w:rFonts w:ascii="標楷體" w:eastAsia="標楷體" w:hAnsi="標楷體"/>
          <w:color w:val="000000"/>
        </w:rPr>
        <w:t>療程之G-CSF合併化學治療的幹細胞驅動治療，收集數量每公斤體重CD34+細胞少於2</w:t>
      </w:r>
      <w:proofErr w:type="gramStart"/>
      <w:r>
        <w:rPr>
          <w:rFonts w:ascii="標楷體" w:eastAsia="標楷體" w:hAnsi="標楷體"/>
          <w:color w:val="000000"/>
        </w:rPr>
        <w:t>百萬個</w:t>
      </w:r>
      <w:proofErr w:type="gramEnd"/>
      <w:r>
        <w:rPr>
          <w:rFonts w:ascii="標楷體" w:eastAsia="標楷體" w:hAnsi="標楷體"/>
          <w:color w:val="000000"/>
        </w:rPr>
        <w:t>才可申請使用。</w:t>
      </w:r>
    </w:p>
    <w:p w14:paraId="63671510"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2.原則上使用不超過2天(106/10/1)。</w:t>
      </w:r>
    </w:p>
    <w:p w14:paraId="049FF3C3"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3.使用第2天應確實計算療程中已收集之CD34+細胞總數，若仍未達每公斤體重2</w:t>
      </w:r>
      <w:proofErr w:type="gramStart"/>
      <w:r>
        <w:rPr>
          <w:rFonts w:ascii="標楷體" w:eastAsia="標楷體" w:hAnsi="標楷體"/>
          <w:color w:val="000000"/>
        </w:rPr>
        <w:t>百萬個</w:t>
      </w:r>
      <w:proofErr w:type="gramEnd"/>
      <w:r>
        <w:rPr>
          <w:rFonts w:ascii="標楷體" w:eastAsia="標楷體" w:hAnsi="標楷體"/>
          <w:color w:val="000000"/>
        </w:rPr>
        <w:t>CD34+細胞，方得再使用1天。</w:t>
      </w:r>
    </w:p>
    <w:p w14:paraId="0757375E"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8.2.12.Canakinumab（如</w:t>
      </w:r>
      <w:proofErr w:type="spellStart"/>
      <w:r>
        <w:rPr>
          <w:rFonts w:ascii="標楷體" w:eastAsia="標楷體" w:hAnsi="標楷體"/>
          <w:color w:val="000000"/>
        </w:rPr>
        <w:t>Ilaris</w:t>
      </w:r>
      <w:proofErr w:type="spellEnd"/>
      <w:r>
        <w:rPr>
          <w:rFonts w:ascii="標楷體" w:eastAsia="標楷體" w:hAnsi="標楷體"/>
          <w:color w:val="000000"/>
        </w:rPr>
        <w:t xml:space="preserve">）：(104/8/1) </w:t>
      </w:r>
    </w:p>
    <w:p w14:paraId="37F3B51D"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1.限具有風濕或免疫專長之醫師處方。</w:t>
      </w:r>
    </w:p>
    <w:p w14:paraId="1B77FA92"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2.臨床診斷為Cryopyrin相關週期性症候群(CAPS)，包括：嚴重型的家族</w:t>
      </w:r>
      <w:proofErr w:type="gramStart"/>
      <w:r>
        <w:rPr>
          <w:rFonts w:ascii="標楷體" w:eastAsia="標楷體" w:hAnsi="標楷體"/>
          <w:color w:val="000000"/>
        </w:rPr>
        <w:t>性冷因性</w:t>
      </w:r>
      <w:proofErr w:type="gramEnd"/>
      <w:r>
        <w:rPr>
          <w:rFonts w:ascii="標楷體" w:eastAsia="標楷體" w:hAnsi="標楷體"/>
          <w:color w:val="000000"/>
        </w:rPr>
        <w:t>自體發炎症候群(FCAS)/家族性</w:t>
      </w:r>
      <w:proofErr w:type="gramStart"/>
      <w:r>
        <w:rPr>
          <w:rFonts w:ascii="標楷體" w:eastAsia="標楷體" w:hAnsi="標楷體"/>
          <w:color w:val="000000"/>
        </w:rPr>
        <w:t>寒冷蕁麻疹</w:t>
      </w:r>
      <w:proofErr w:type="gramEnd"/>
      <w:r>
        <w:rPr>
          <w:rFonts w:ascii="標楷體" w:eastAsia="標楷體" w:hAnsi="標楷體"/>
          <w:color w:val="000000"/>
        </w:rPr>
        <w:t>(FCU)、Muckle-Wells症候群(MWS)、新生兒多重系統發炎疾病(NOMID)/慢性嬰兒神經學、皮膚、關節症候群(CINCA)，並符合下列所有條件：</w:t>
      </w:r>
    </w:p>
    <w:p w14:paraId="64D46F21"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(1)具有NLRP3基因突變。</w:t>
      </w:r>
    </w:p>
    <w:p w14:paraId="44B838C1" w14:textId="77777777" w:rsidR="00401786" w:rsidRDefault="00C64FB3" w:rsidP="0009639E">
      <w:pPr>
        <w:spacing w:line="300" w:lineRule="exact"/>
        <w:ind w:left="1088" w:hanging="382"/>
        <w:rPr>
          <w:rFonts w:ascii="標楷體" w:eastAsia="標楷體" w:hAnsi="標楷體"/>
          <w:color w:val="000000"/>
        </w:rPr>
      </w:pPr>
      <w:r>
        <w:rPr>
          <w:rFonts w:ascii="標楷體" w:eastAsia="標楷體" w:hAnsi="標楷體"/>
          <w:color w:val="000000"/>
        </w:rPr>
        <w:t>(2)有下列兩個以上之併發症：</w:t>
      </w:r>
    </w:p>
    <w:p w14:paraId="6A660FF0"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Ⅰ.中樞神經系統併發症。</w:t>
      </w:r>
    </w:p>
    <w:p w14:paraId="687E637F"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Ⅱ.</w:t>
      </w:r>
      <w:proofErr w:type="gramStart"/>
      <w:r>
        <w:rPr>
          <w:rFonts w:ascii="標楷體" w:eastAsia="標楷體" w:hAnsi="標楷體"/>
          <w:color w:val="000000"/>
        </w:rPr>
        <w:t>葡萄膜炎</w:t>
      </w:r>
      <w:proofErr w:type="gramEnd"/>
      <w:r>
        <w:rPr>
          <w:rFonts w:ascii="標楷體" w:eastAsia="標楷體" w:hAnsi="標楷體"/>
          <w:color w:val="000000"/>
        </w:rPr>
        <w:t>。</w:t>
      </w:r>
    </w:p>
    <w:p w14:paraId="53BBDBE6"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Ⅲ.感覺</w:t>
      </w:r>
      <w:proofErr w:type="gramStart"/>
      <w:r>
        <w:rPr>
          <w:rFonts w:ascii="標楷體" w:eastAsia="標楷體" w:hAnsi="標楷體"/>
          <w:color w:val="000000"/>
        </w:rPr>
        <w:t>神經性聽損</w:t>
      </w:r>
      <w:proofErr w:type="gramEnd"/>
      <w:r>
        <w:rPr>
          <w:rFonts w:ascii="標楷體" w:eastAsia="標楷體" w:hAnsi="標楷體"/>
          <w:color w:val="000000"/>
        </w:rPr>
        <w:t>。</w:t>
      </w:r>
    </w:p>
    <w:p w14:paraId="68EFDB72"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Ⅳ.腎臟類澱粉</w:t>
      </w:r>
      <w:proofErr w:type="gramStart"/>
      <w:r>
        <w:rPr>
          <w:rFonts w:ascii="標楷體" w:eastAsia="標楷體" w:hAnsi="標楷體"/>
          <w:color w:val="000000"/>
        </w:rPr>
        <w:t>沉積症</w:t>
      </w:r>
      <w:proofErr w:type="gramEnd"/>
      <w:r>
        <w:rPr>
          <w:rFonts w:ascii="標楷體" w:eastAsia="標楷體" w:hAnsi="標楷體"/>
          <w:color w:val="000000"/>
        </w:rPr>
        <w:t>。</w:t>
      </w:r>
    </w:p>
    <w:p w14:paraId="54C29CE6"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hsCRP</w:t>
      </w:r>
      <w:proofErr w:type="spellEnd"/>
      <w:r>
        <w:rPr>
          <w:rFonts w:ascii="標楷體" w:eastAsia="標楷體" w:hAnsi="標楷體"/>
          <w:color w:val="000000"/>
        </w:rPr>
        <w:t>（high sensitivity CRP）＞ 1mg/dL及ESR＞ 25mm/h。</w:t>
      </w:r>
    </w:p>
    <w:p w14:paraId="490A0064"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(4)經一般藥物及類固醇治療3個月以上無效。</w:t>
      </w:r>
    </w:p>
    <w:p w14:paraId="1FBDD831"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3.需經事前審查核准後使用：</w:t>
      </w:r>
    </w:p>
    <w:p w14:paraId="511B9DCD" w14:textId="77777777" w:rsidR="00401786" w:rsidRDefault="00C64FB3" w:rsidP="0009639E">
      <w:pPr>
        <w:spacing w:line="300" w:lineRule="exact"/>
        <w:ind w:left="1063" w:hanging="353"/>
        <w:rPr>
          <w:rFonts w:ascii="標楷體" w:eastAsia="標楷體" w:hAnsi="標楷體"/>
          <w:color w:val="000000"/>
        </w:rPr>
      </w:pPr>
      <w:r>
        <w:rPr>
          <w:rFonts w:ascii="標楷體" w:eastAsia="標楷體" w:hAnsi="標楷體"/>
          <w:color w:val="000000"/>
        </w:rPr>
        <w:t>(1)初次申請需於給藥兩</w:t>
      </w:r>
      <w:proofErr w:type="gramStart"/>
      <w:r>
        <w:rPr>
          <w:rFonts w:ascii="標楷體" w:eastAsia="標楷體" w:hAnsi="標楷體"/>
          <w:color w:val="000000"/>
        </w:rPr>
        <w:t>週</w:t>
      </w:r>
      <w:proofErr w:type="gramEnd"/>
      <w:r>
        <w:rPr>
          <w:rFonts w:ascii="標楷體" w:eastAsia="標楷體" w:hAnsi="標楷體"/>
          <w:color w:val="000000"/>
        </w:rPr>
        <w:t>後進行療效評估，達療效者方可繼續使用，自</w:t>
      </w:r>
      <w:proofErr w:type="gramStart"/>
      <w:r>
        <w:rPr>
          <w:rFonts w:ascii="標楷體" w:eastAsia="標楷體" w:hAnsi="標楷體"/>
          <w:color w:val="000000"/>
        </w:rPr>
        <w:t>初次起計使用</w:t>
      </w:r>
      <w:proofErr w:type="gramEnd"/>
      <w:r>
        <w:rPr>
          <w:rFonts w:ascii="標楷體" w:eastAsia="標楷體" w:hAnsi="標楷體"/>
          <w:color w:val="000000"/>
        </w:rPr>
        <w:t>期間為1年，療效之定義為符合下列條件之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2B819EAF" w14:textId="77777777" w:rsidR="00401786" w:rsidRDefault="00C64FB3" w:rsidP="0009639E">
      <w:pPr>
        <w:spacing w:line="300" w:lineRule="exact"/>
        <w:ind w:left="1428" w:hanging="336"/>
        <w:rPr>
          <w:rFonts w:ascii="標楷體" w:eastAsia="標楷體" w:hAnsi="標楷體"/>
          <w:color w:val="000000"/>
        </w:rPr>
      </w:pPr>
      <w:r>
        <w:rPr>
          <w:rFonts w:ascii="標楷體" w:eastAsia="標楷體" w:hAnsi="標楷體"/>
          <w:color w:val="000000"/>
        </w:rPr>
        <w:t>Ⅰ.治療後</w:t>
      </w:r>
      <w:proofErr w:type="spellStart"/>
      <w:r>
        <w:rPr>
          <w:rFonts w:ascii="標楷體" w:eastAsia="標楷體" w:hAnsi="標楷體"/>
          <w:color w:val="000000"/>
        </w:rPr>
        <w:t>hsCRP</w:t>
      </w:r>
      <w:proofErr w:type="spellEnd"/>
      <w:proofErr w:type="gramStart"/>
      <w:r>
        <w:rPr>
          <w:rFonts w:ascii="標楷體" w:eastAsia="標楷體" w:hAnsi="標楷體"/>
          <w:color w:val="000000"/>
        </w:rPr>
        <w:t>≦</w:t>
      </w:r>
      <w:proofErr w:type="gramEnd"/>
      <w:r>
        <w:rPr>
          <w:rFonts w:ascii="標楷體" w:eastAsia="標楷體" w:hAnsi="標楷體"/>
          <w:color w:val="000000"/>
        </w:rPr>
        <w:t xml:space="preserve"> 1mg/dL及ESR</w:t>
      </w:r>
      <w:proofErr w:type="gramStart"/>
      <w:r>
        <w:rPr>
          <w:rFonts w:ascii="標楷體" w:eastAsia="標楷體" w:hAnsi="標楷體"/>
          <w:color w:val="000000"/>
        </w:rPr>
        <w:t>≦</w:t>
      </w:r>
      <w:proofErr w:type="gramEnd"/>
      <w:r>
        <w:rPr>
          <w:rFonts w:ascii="標楷體" w:eastAsia="標楷體" w:hAnsi="標楷體"/>
          <w:color w:val="000000"/>
        </w:rPr>
        <w:t xml:space="preserve"> 25mm/h。</w:t>
      </w:r>
    </w:p>
    <w:p w14:paraId="26B177EB" w14:textId="77777777" w:rsidR="00401786" w:rsidRDefault="00C64FB3" w:rsidP="0009639E">
      <w:pPr>
        <w:spacing w:line="300" w:lineRule="exact"/>
        <w:ind w:left="1428" w:hanging="336"/>
        <w:rPr>
          <w:rFonts w:ascii="標楷體" w:eastAsia="標楷體" w:hAnsi="標楷體"/>
          <w:color w:val="000000"/>
        </w:rPr>
      </w:pPr>
      <w:r>
        <w:rPr>
          <w:rFonts w:ascii="標楷體" w:eastAsia="標楷體" w:hAnsi="標楷體"/>
          <w:color w:val="000000"/>
        </w:rPr>
        <w:t>Ⅱ.治療後</w:t>
      </w:r>
      <w:proofErr w:type="spellStart"/>
      <w:r>
        <w:rPr>
          <w:rFonts w:ascii="標楷體" w:eastAsia="標楷體" w:hAnsi="標楷體"/>
          <w:color w:val="000000"/>
        </w:rPr>
        <w:t>hsCRP</w:t>
      </w:r>
      <w:proofErr w:type="spellEnd"/>
      <w:r>
        <w:rPr>
          <w:rFonts w:ascii="標楷體" w:eastAsia="標楷體" w:hAnsi="標楷體"/>
          <w:color w:val="000000"/>
        </w:rPr>
        <w:t>及ESR改善程度</w:t>
      </w:r>
      <w:proofErr w:type="gramStart"/>
      <w:r>
        <w:rPr>
          <w:rFonts w:ascii="標楷體" w:eastAsia="標楷體" w:hAnsi="標楷體"/>
          <w:color w:val="000000"/>
        </w:rPr>
        <w:t>≧</w:t>
      </w:r>
      <w:proofErr w:type="gramEnd"/>
      <w:r>
        <w:rPr>
          <w:rFonts w:ascii="標楷體" w:eastAsia="標楷體" w:hAnsi="標楷體"/>
          <w:color w:val="000000"/>
        </w:rPr>
        <w:t>50%。</w:t>
      </w:r>
    </w:p>
    <w:p w14:paraId="01522BC5" w14:textId="77777777" w:rsidR="00401786" w:rsidRDefault="00C64FB3" w:rsidP="0009639E">
      <w:pPr>
        <w:spacing w:line="300" w:lineRule="exact"/>
        <w:ind w:left="1063" w:right="-710" w:hanging="353"/>
        <w:rPr>
          <w:rFonts w:ascii="標楷體" w:eastAsia="標楷體" w:hAnsi="標楷體"/>
          <w:color w:val="000000"/>
        </w:rPr>
      </w:pPr>
      <w:r>
        <w:rPr>
          <w:rFonts w:ascii="標楷體" w:eastAsia="標楷體" w:hAnsi="標楷體"/>
          <w:color w:val="000000"/>
        </w:rPr>
        <w:t>(2)使用1年期間後須暫緩續用，倘</w:t>
      </w:r>
      <w:proofErr w:type="spellStart"/>
      <w:r>
        <w:rPr>
          <w:rFonts w:ascii="標楷體" w:eastAsia="標楷體" w:hAnsi="標楷體"/>
          <w:color w:val="000000"/>
        </w:rPr>
        <w:t>hsCRP</w:t>
      </w:r>
      <w:proofErr w:type="spellEnd"/>
      <w:r>
        <w:rPr>
          <w:rFonts w:ascii="標楷體" w:eastAsia="標楷體" w:hAnsi="標楷體"/>
          <w:color w:val="000000"/>
        </w:rPr>
        <w:t>及ESR較暫緩續用前上升程度</w:t>
      </w:r>
      <w:proofErr w:type="gramStart"/>
      <w:r>
        <w:rPr>
          <w:rFonts w:ascii="標楷體" w:eastAsia="標楷體" w:hAnsi="標楷體"/>
          <w:color w:val="000000"/>
        </w:rPr>
        <w:t>≧</w:t>
      </w:r>
      <w:proofErr w:type="gramEnd"/>
      <w:r>
        <w:rPr>
          <w:rFonts w:ascii="標楷體" w:eastAsia="標楷體" w:hAnsi="標楷體"/>
          <w:color w:val="000000"/>
        </w:rPr>
        <w:t>50%，則可申請續用，續用期間為1年。</w:t>
      </w:r>
      <w:proofErr w:type="spellStart"/>
      <w:r>
        <w:rPr>
          <w:rFonts w:ascii="標楷體" w:eastAsia="標楷體" w:hAnsi="標楷體"/>
          <w:color w:val="000000"/>
        </w:rPr>
        <w:t>hsCRP</w:t>
      </w:r>
      <w:proofErr w:type="spellEnd"/>
      <w:r>
        <w:rPr>
          <w:rFonts w:ascii="標楷體" w:eastAsia="標楷體" w:hAnsi="標楷體"/>
          <w:color w:val="000000"/>
        </w:rPr>
        <w:t>檢驗結果上升應排除其他非CAPS之情況所引起。</w:t>
      </w:r>
    </w:p>
    <w:p w14:paraId="4865DD49" w14:textId="77777777" w:rsidR="00401786" w:rsidRDefault="00C64FB3" w:rsidP="0009639E">
      <w:pPr>
        <w:suppressAutoHyphens w:val="0"/>
        <w:spacing w:line="300" w:lineRule="exact"/>
        <w:ind w:left="283"/>
        <w:textAlignment w:val="auto"/>
        <w:rPr>
          <w:rFonts w:ascii="標楷體" w:eastAsia="標楷體" w:hAnsi="標楷體"/>
          <w:szCs w:val="28"/>
        </w:rPr>
      </w:pPr>
      <w:r>
        <w:rPr>
          <w:rFonts w:ascii="標楷體" w:eastAsia="標楷體" w:hAnsi="標楷體"/>
          <w:szCs w:val="28"/>
        </w:rPr>
        <w:t>8.2.13.Belimumab(如Benlysta)：(111/10/1、114/2/1)</w:t>
      </w:r>
    </w:p>
    <w:p w14:paraId="06E7269F" w14:textId="77777777" w:rsidR="00401786" w:rsidRDefault="00C64FB3" w:rsidP="0009639E">
      <w:pPr>
        <w:suppressAutoHyphens w:val="0"/>
        <w:spacing w:line="300" w:lineRule="exact"/>
        <w:ind w:left="783" w:hanging="257"/>
        <w:textAlignment w:val="auto"/>
        <w:rPr>
          <w:rFonts w:ascii="標楷體" w:eastAsia="標楷體" w:hAnsi="標楷體"/>
          <w:szCs w:val="28"/>
        </w:rPr>
      </w:pPr>
      <w:r>
        <w:rPr>
          <w:rFonts w:ascii="標楷體" w:eastAsia="標楷體" w:hAnsi="標楷體"/>
          <w:szCs w:val="28"/>
        </w:rPr>
        <w:t>1.用於接受標準治療至少6個月但仍然無法有效控制疾病的第Ⅲ、IV或V型狼瘡腎炎成人病人。</w:t>
      </w:r>
    </w:p>
    <w:p w14:paraId="6CC14C52" w14:textId="77777777" w:rsidR="00401786" w:rsidRDefault="00C64FB3" w:rsidP="0009639E">
      <w:pPr>
        <w:suppressAutoHyphens w:val="0"/>
        <w:spacing w:line="300" w:lineRule="exact"/>
        <w:ind w:left="1063" w:hanging="353"/>
        <w:textAlignment w:val="auto"/>
      </w:pPr>
      <w:r>
        <w:rPr>
          <w:rFonts w:ascii="標楷體" w:eastAsia="標楷體" w:hAnsi="標楷體"/>
          <w:szCs w:val="28"/>
        </w:rPr>
        <w:t>(1)</w:t>
      </w:r>
      <w:r>
        <w:rPr>
          <w:rFonts w:ascii="標楷體" w:eastAsia="標楷體" w:hAnsi="標楷體"/>
          <w:color w:val="000000"/>
        </w:rPr>
        <w:t>需經事前審查核准後使用。</w:t>
      </w:r>
    </w:p>
    <w:p w14:paraId="4E99C639" w14:textId="77777777" w:rsidR="00401786" w:rsidRDefault="00C64FB3" w:rsidP="0009639E">
      <w:pPr>
        <w:suppressAutoHyphens w:val="0"/>
        <w:spacing w:line="300" w:lineRule="exact"/>
        <w:ind w:left="1063" w:hanging="353"/>
        <w:textAlignment w:val="auto"/>
      </w:pPr>
      <w:r>
        <w:rPr>
          <w:rFonts w:ascii="標楷體" w:eastAsia="標楷體" w:hAnsi="標楷體"/>
          <w:color w:val="000000"/>
        </w:rPr>
        <w:t>(2)</w:t>
      </w:r>
      <w:r>
        <w:rPr>
          <w:rFonts w:ascii="標楷體" w:eastAsia="標楷體" w:hAnsi="標楷體"/>
          <w:szCs w:val="28"/>
        </w:rPr>
        <w:t>標準治療係指同時使用以下藥物</w:t>
      </w:r>
    </w:p>
    <w:p w14:paraId="7C5649DA" w14:textId="77777777" w:rsidR="00401786" w:rsidRDefault="00C64FB3" w:rsidP="0009639E">
      <w:pPr>
        <w:suppressAutoHyphens w:val="0"/>
        <w:spacing w:line="300" w:lineRule="exact"/>
        <w:ind w:left="1423" w:hanging="360"/>
        <w:textAlignment w:val="auto"/>
      </w:pPr>
      <w:r>
        <w:rPr>
          <w:rFonts w:ascii="標楷體" w:eastAsia="標楷體" w:hAnsi="標楷體"/>
          <w:szCs w:val="28"/>
        </w:rPr>
        <w:t>Ⅰ.</w:t>
      </w:r>
      <w:r>
        <w:rPr>
          <w:rFonts w:ascii="標楷體" w:eastAsia="標楷體" w:hAnsi="標楷體"/>
          <w:color w:val="000000"/>
        </w:rPr>
        <w:t xml:space="preserve">類固醇治療6個月，其中至少有2個月之月平均達標準目標劑量(如口服Prednisolone </w:t>
      </w:r>
      <w:r>
        <w:rPr>
          <w:rFonts w:ascii="Times New Roman" w:eastAsia="標楷體" w:hAnsi="Times New Roman"/>
          <w:color w:val="000000"/>
        </w:rPr>
        <w:t>≥</w:t>
      </w:r>
      <w:r>
        <w:rPr>
          <w:rFonts w:ascii="標楷體" w:eastAsia="標楷體" w:hAnsi="標楷體"/>
          <w:color w:val="000000"/>
        </w:rPr>
        <w:t xml:space="preserve"> 每日劑量每公斤0.5mg或等劑量之類固醇藥物)。(114/2/1)</w:t>
      </w:r>
    </w:p>
    <w:p w14:paraId="155C2589"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t>Ⅱ.使用足量前導治療(induction phase)免疫抑制劑，含6個月的mycophenolate mofetil(每日劑量2gm)或mycophenolic acid(每日劑量1,440mg)、或注射型的cyclophosphamide(注射量12</w:t>
      </w:r>
      <w:proofErr w:type="gramStart"/>
      <w:r>
        <w:rPr>
          <w:rFonts w:ascii="標楷體" w:eastAsia="標楷體" w:hAnsi="標楷體"/>
          <w:color w:val="000000"/>
        </w:rPr>
        <w:t>週</w:t>
      </w:r>
      <w:proofErr w:type="gramEnd"/>
      <w:r>
        <w:rPr>
          <w:rFonts w:ascii="標楷體" w:eastAsia="標楷體" w:hAnsi="標楷體"/>
          <w:color w:val="000000"/>
        </w:rPr>
        <w:t>內總劑量需達3gm)接續3個月的mycophenolate mofetil(每日劑量2gm)或mycophenolic acid(每日劑量1,440mg)或azathioprine (每日劑量每公斤2mg)。</w:t>
      </w:r>
    </w:p>
    <w:p w14:paraId="0B18BDA2" w14:textId="77777777" w:rsidR="00401786" w:rsidRDefault="00C64FB3" w:rsidP="0009639E">
      <w:pPr>
        <w:suppressAutoHyphens w:val="0"/>
        <w:spacing w:line="300" w:lineRule="exact"/>
        <w:ind w:left="1423" w:hanging="360"/>
        <w:textAlignment w:val="auto"/>
      </w:pPr>
      <w:r>
        <w:rPr>
          <w:rFonts w:ascii="標楷體" w:eastAsia="標楷體" w:hAnsi="標楷體"/>
          <w:color w:val="000000"/>
        </w:rPr>
        <w:t>Ⅲ.若因</w:t>
      </w:r>
      <w:r>
        <w:rPr>
          <w:rFonts w:ascii="標楷體" w:eastAsia="標楷體" w:hAnsi="標楷體"/>
          <w:szCs w:val="28"/>
        </w:rPr>
        <w:t>藥物毒性無法忍受，以致於無法達到前述要求時，劑量可以酌情降低，但需說明藥物之何種毒性或副作用。(114/2/1)</w:t>
      </w:r>
    </w:p>
    <w:p w14:paraId="4F2FA08E"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(3)無法有效控制疾病的定義為經標準治療至少6個月後仍有以下情形:</w:t>
      </w:r>
    </w:p>
    <w:p w14:paraId="712F43F8" w14:textId="77777777" w:rsidR="00401786" w:rsidRDefault="00C64FB3" w:rsidP="0009639E">
      <w:pPr>
        <w:suppressAutoHyphens w:val="0"/>
        <w:spacing w:line="300" w:lineRule="exact"/>
        <w:ind w:left="1423" w:hanging="360"/>
        <w:textAlignment w:val="auto"/>
      </w:pPr>
      <w:r>
        <w:rPr>
          <w:rFonts w:ascii="標楷體" w:eastAsia="標楷體" w:hAnsi="標楷體"/>
          <w:szCs w:val="28"/>
        </w:rPr>
        <w:t>Ⅰ.蛋白</w:t>
      </w:r>
      <w:r>
        <w:rPr>
          <w:rFonts w:ascii="標楷體" w:eastAsia="標楷體" w:hAnsi="標楷體"/>
          <w:color w:val="000000"/>
        </w:rPr>
        <w:t>尿</w:t>
      </w:r>
      <w:proofErr w:type="gramStart"/>
      <w:r>
        <w:rPr>
          <w:rFonts w:ascii="標楷體" w:eastAsia="標楷體" w:hAnsi="標楷體"/>
          <w:color w:val="000000"/>
        </w:rPr>
        <w:t>相較基期</w:t>
      </w:r>
      <w:proofErr w:type="gramEnd"/>
      <w:r>
        <w:rPr>
          <w:rFonts w:ascii="標楷體" w:eastAsia="標楷體" w:hAnsi="標楷體"/>
          <w:color w:val="000000"/>
        </w:rPr>
        <w:t>下降比例&lt;50%，且</w:t>
      </w:r>
      <w:proofErr w:type="spellStart"/>
      <w:r>
        <w:rPr>
          <w:rFonts w:ascii="標楷體" w:eastAsia="標楷體" w:hAnsi="標楷體"/>
          <w:color w:val="000000"/>
        </w:rPr>
        <w:t>uPCR</w:t>
      </w:r>
      <w:proofErr w:type="spellEnd"/>
      <w:r>
        <w:rPr>
          <w:rFonts w:ascii="標楷體" w:eastAsia="標楷體" w:hAnsi="標楷體"/>
          <w:color w:val="000000"/>
        </w:rPr>
        <w:t xml:space="preserve">或24小時蛋白尿 </w:t>
      </w:r>
      <w:r>
        <w:rPr>
          <w:rFonts w:ascii="Times New Roman" w:eastAsia="標楷體" w:hAnsi="Times New Roman"/>
          <w:color w:val="000000"/>
        </w:rPr>
        <w:t>≥</w:t>
      </w:r>
      <w:r>
        <w:rPr>
          <w:rFonts w:ascii="標楷體" w:eastAsia="標楷體" w:hAnsi="標楷體"/>
          <w:color w:val="000000"/>
        </w:rPr>
        <w:t xml:space="preserve"> 1.0。</w:t>
      </w:r>
    </w:p>
    <w:p w14:paraId="3D4F7FDF" w14:textId="77777777" w:rsidR="00401786" w:rsidRDefault="00C64FB3" w:rsidP="0009639E">
      <w:pPr>
        <w:suppressAutoHyphens w:val="0"/>
        <w:spacing w:line="300" w:lineRule="exact"/>
        <w:ind w:left="1423" w:hanging="360"/>
        <w:textAlignment w:val="auto"/>
      </w:pPr>
      <w:r>
        <w:rPr>
          <w:rFonts w:ascii="標楷體" w:eastAsia="標楷體" w:hAnsi="標楷體"/>
          <w:color w:val="000000"/>
        </w:rPr>
        <w:t>Ⅱ.腎絲</w:t>
      </w:r>
      <w:r>
        <w:rPr>
          <w:rFonts w:ascii="標楷體" w:eastAsia="標楷體" w:hAnsi="標楷體"/>
          <w:szCs w:val="28"/>
        </w:rPr>
        <w:t>球過濾率(glomerular filtration rate, GFR)下降超過20%以上且伴隨</w:t>
      </w:r>
      <w:proofErr w:type="spellStart"/>
      <w:r>
        <w:rPr>
          <w:rFonts w:ascii="標楷體" w:eastAsia="標楷體" w:hAnsi="標楷體"/>
          <w:szCs w:val="28"/>
        </w:rPr>
        <w:t>uPCR</w:t>
      </w:r>
      <w:proofErr w:type="spellEnd"/>
      <w:r>
        <w:rPr>
          <w:rFonts w:ascii="標楷體" w:eastAsia="標楷體" w:hAnsi="標楷體"/>
          <w:szCs w:val="28"/>
        </w:rPr>
        <w:t>或24小時蛋白尿</w:t>
      </w:r>
      <w:r>
        <w:rPr>
          <w:rFonts w:ascii="Times New Roman" w:eastAsia="標楷體" w:hAnsi="Times New Roman"/>
          <w:szCs w:val="28"/>
        </w:rPr>
        <w:t>≥</w:t>
      </w:r>
      <w:r>
        <w:rPr>
          <w:rFonts w:ascii="標楷體" w:eastAsia="標楷體" w:hAnsi="標楷體"/>
          <w:szCs w:val="28"/>
        </w:rPr>
        <w:t xml:space="preserve"> 1.0或是出現尿沉渣。</w:t>
      </w:r>
    </w:p>
    <w:p w14:paraId="2DE974BD"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(4)療效評估與繼續使用:每治療12個月需評估病人在使用期間內是否達充分改善腎臟指標，必須達到以下標準才可以繼續使用:</w:t>
      </w:r>
    </w:p>
    <w:p w14:paraId="7030519F" w14:textId="77777777" w:rsidR="00401786" w:rsidRDefault="00C64FB3" w:rsidP="0009639E">
      <w:pPr>
        <w:suppressAutoHyphens w:val="0"/>
        <w:spacing w:line="300" w:lineRule="exact"/>
        <w:ind w:left="1423" w:hanging="360"/>
        <w:textAlignment w:val="auto"/>
      </w:pPr>
      <w:r>
        <w:rPr>
          <w:rFonts w:ascii="標楷體" w:eastAsia="標楷體" w:hAnsi="標楷體"/>
          <w:szCs w:val="28"/>
        </w:rPr>
        <w:t xml:space="preserve">Ⅰ. </w:t>
      </w:r>
      <w:proofErr w:type="spellStart"/>
      <w:r>
        <w:rPr>
          <w:rFonts w:ascii="標楷體" w:eastAsia="標楷體" w:hAnsi="標楷體"/>
          <w:szCs w:val="28"/>
        </w:rPr>
        <w:t>uP</w:t>
      </w:r>
      <w:r>
        <w:rPr>
          <w:rFonts w:ascii="標楷體" w:eastAsia="標楷體" w:hAnsi="標楷體"/>
          <w:color w:val="000000"/>
        </w:rPr>
        <w:t>CR</w:t>
      </w:r>
      <w:proofErr w:type="spellEnd"/>
      <w:r>
        <w:rPr>
          <w:rFonts w:ascii="標楷體" w:eastAsia="標楷體" w:hAnsi="標楷體"/>
          <w:color w:val="000000"/>
        </w:rPr>
        <w:t>或24小時蛋白尿</w:t>
      </w:r>
      <w:r>
        <w:rPr>
          <w:rFonts w:ascii="Times New Roman" w:eastAsia="標楷體" w:hAnsi="Times New Roman"/>
          <w:color w:val="000000"/>
        </w:rPr>
        <w:t>≤</w:t>
      </w:r>
      <w:r>
        <w:rPr>
          <w:rFonts w:ascii="標楷體" w:eastAsia="標楷體" w:hAnsi="標楷體"/>
          <w:color w:val="000000"/>
        </w:rPr>
        <w:t xml:space="preserve"> 0.7gm/天或相較於基期下降一半以上。(111/10/1、114/2/1)</w:t>
      </w:r>
    </w:p>
    <w:p w14:paraId="08B82E3C"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lastRenderedPageBreak/>
        <w:t>Ⅱ.腎絲球過濾率 (glomerular filtration rate, GFR)沒有下降超過 20%以上。</w:t>
      </w:r>
    </w:p>
    <w:p w14:paraId="1CD275D0"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t>Ⅲ.沒有末期腎臟病。</w:t>
      </w:r>
    </w:p>
    <w:p w14:paraId="50FE6103"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相較基期</w:t>
      </w:r>
      <w:proofErr w:type="gramEnd"/>
      <w:r>
        <w:rPr>
          <w:rFonts w:ascii="標楷體" w:eastAsia="標楷體" w:hAnsi="標楷體"/>
          <w:color w:val="000000"/>
        </w:rPr>
        <w:t>，血清</w:t>
      </w:r>
      <w:proofErr w:type="gramStart"/>
      <w:r>
        <w:rPr>
          <w:rFonts w:ascii="標楷體" w:eastAsia="標楷體" w:hAnsi="標楷體"/>
          <w:color w:val="000000"/>
        </w:rPr>
        <w:t>肌</w:t>
      </w:r>
      <w:proofErr w:type="gramEnd"/>
      <w:r>
        <w:rPr>
          <w:rFonts w:ascii="標楷體" w:eastAsia="標楷體" w:hAnsi="標楷體"/>
          <w:color w:val="000000"/>
        </w:rPr>
        <w:t>酸酐沒有增加超過1倍。</w:t>
      </w:r>
    </w:p>
    <w:p w14:paraId="49DC8FA0" w14:textId="77777777" w:rsidR="00401786" w:rsidRDefault="00C64FB3" w:rsidP="0009639E">
      <w:pPr>
        <w:suppressAutoHyphens w:val="0"/>
        <w:spacing w:line="300" w:lineRule="exact"/>
        <w:ind w:left="1423" w:hanging="360"/>
        <w:textAlignment w:val="auto"/>
      </w:pPr>
      <w:r>
        <w:rPr>
          <w:rFonts w:ascii="標楷體" w:eastAsia="標楷體" w:hAnsi="標楷體"/>
          <w:color w:val="000000"/>
        </w:rPr>
        <w:t>Ⅴ.治療2年</w:t>
      </w:r>
      <w:r>
        <w:rPr>
          <w:rFonts w:ascii="標楷體" w:eastAsia="標楷體" w:hAnsi="標楷體"/>
          <w:szCs w:val="28"/>
        </w:rPr>
        <w:t>後，若腎炎已達</w:t>
      </w:r>
      <w:proofErr w:type="gramStart"/>
      <w:r>
        <w:rPr>
          <w:rFonts w:ascii="標楷體" w:eastAsia="標楷體" w:hAnsi="標楷體"/>
          <w:szCs w:val="28"/>
        </w:rPr>
        <w:t>完全緩解者</w:t>
      </w:r>
      <w:proofErr w:type="gramEnd"/>
      <w:r>
        <w:rPr>
          <w:rFonts w:ascii="標楷體" w:eastAsia="標楷體" w:hAnsi="標楷體"/>
          <w:szCs w:val="28"/>
        </w:rPr>
        <w:t>(complete renal response, CRR)，應停止使用belimumab。CRR指病人</w:t>
      </w:r>
      <w:proofErr w:type="spellStart"/>
      <w:r>
        <w:rPr>
          <w:rFonts w:ascii="標楷體" w:eastAsia="標楷體" w:hAnsi="標楷體"/>
          <w:szCs w:val="28"/>
        </w:rPr>
        <w:t>uPCR</w:t>
      </w:r>
      <w:proofErr w:type="spellEnd"/>
      <w:r>
        <w:rPr>
          <w:rFonts w:ascii="標楷體" w:eastAsia="標楷體" w:hAnsi="標楷體"/>
          <w:szCs w:val="28"/>
        </w:rPr>
        <w:t>&lt;0.5且eGFR下降與基期相比&lt;10%或持續</w:t>
      </w:r>
      <w:r>
        <w:rPr>
          <w:rFonts w:ascii="Times New Roman" w:eastAsia="標楷體" w:hAnsi="Times New Roman"/>
          <w:szCs w:val="28"/>
        </w:rPr>
        <w:t>≥</w:t>
      </w:r>
      <w:r>
        <w:rPr>
          <w:rFonts w:ascii="標楷體" w:eastAsia="標楷體" w:hAnsi="標楷體"/>
          <w:szCs w:val="28"/>
        </w:rPr>
        <w:t>90 ml/min/1.73m</w:t>
      </w:r>
      <w:r>
        <w:rPr>
          <w:rFonts w:ascii="標楷體" w:eastAsia="標楷體" w:hAnsi="標楷體"/>
          <w:szCs w:val="28"/>
          <w:vertAlign w:val="superscript"/>
        </w:rPr>
        <w:t>2</w:t>
      </w:r>
      <w:r>
        <w:rPr>
          <w:rFonts w:ascii="標楷體" w:eastAsia="標楷體" w:hAnsi="標楷體"/>
          <w:szCs w:val="28"/>
        </w:rPr>
        <w:t>。</w:t>
      </w:r>
    </w:p>
    <w:p w14:paraId="2D7EB74E"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◎附表三十六：全民健康保險狼瘡腎炎使用belimumab申請表</w:t>
      </w:r>
    </w:p>
    <w:p w14:paraId="714AFE6E" w14:textId="77777777" w:rsidR="00401786" w:rsidRDefault="00C64FB3" w:rsidP="0009639E">
      <w:pPr>
        <w:suppressAutoHyphens w:val="0"/>
        <w:spacing w:line="300" w:lineRule="exact"/>
        <w:ind w:left="783" w:hanging="257"/>
        <w:textAlignment w:val="auto"/>
        <w:rPr>
          <w:rFonts w:ascii="標楷體" w:eastAsia="標楷體" w:hAnsi="標楷體"/>
          <w:szCs w:val="28"/>
        </w:rPr>
      </w:pPr>
      <w:r>
        <w:rPr>
          <w:rFonts w:ascii="標楷體" w:eastAsia="標楷體" w:hAnsi="標楷體"/>
          <w:szCs w:val="28"/>
        </w:rPr>
        <w:t>2.限使用於18歲以上具有活動性之全身性紅斑性狼瘡治療病人。(114/2/1)</w:t>
      </w:r>
    </w:p>
    <w:p w14:paraId="650FACA8"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(1)限內科專科醫師且具有風濕或免疫專科醫師證書者處方。</w:t>
      </w:r>
    </w:p>
    <w:p w14:paraId="255F9C0C"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(2)需經事前審查核准後使用。</w:t>
      </w:r>
    </w:p>
    <w:p w14:paraId="5FF24B3A"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(3)申報時須檢附使用標準治療藥物滿5個月及6個月後之2次SLEDAI-2K積分，各種藥物之種類、劑量、治療時間、副作用與所計分病徵之相關佐證等資料(包含ESR與CRP)。</w:t>
      </w:r>
    </w:p>
    <w:p w14:paraId="6D3CEC39"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(4)病人須同時符合下述所有條件，方可使用。</w:t>
      </w:r>
    </w:p>
    <w:p w14:paraId="553F4616"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I.有高疾病活性，需同時符合</w:t>
      </w:r>
    </w:p>
    <w:p w14:paraId="77708BBC" w14:textId="77777777" w:rsidR="00401786" w:rsidRDefault="00C64FB3" w:rsidP="0009639E">
      <w:pPr>
        <w:suppressAutoHyphens w:val="0"/>
        <w:spacing w:line="300" w:lineRule="exact"/>
        <w:ind w:left="1558" w:hanging="245"/>
        <w:textAlignment w:val="auto"/>
      </w:pPr>
      <w:proofErr w:type="spellStart"/>
      <w:r>
        <w:rPr>
          <w:rFonts w:ascii="標楷體" w:eastAsia="標楷體" w:hAnsi="標楷體"/>
          <w:szCs w:val="28"/>
        </w:rPr>
        <w:t>i.anti</w:t>
      </w:r>
      <w:proofErr w:type="spellEnd"/>
      <w:r>
        <w:rPr>
          <w:rFonts w:ascii="標楷體" w:eastAsia="標楷體" w:hAnsi="標楷體"/>
          <w:szCs w:val="28"/>
        </w:rPr>
        <w:t>-</w:t>
      </w:r>
      <w:r>
        <w:rPr>
          <w:rFonts w:ascii="標楷體" w:eastAsia="標楷體" w:hAnsi="標楷體" w:cs="Calibri"/>
          <w:szCs w:val="24"/>
        </w:rPr>
        <w:t>dsDNA</w:t>
      </w:r>
      <w:r>
        <w:rPr>
          <w:rFonts w:ascii="標楷體" w:eastAsia="標楷體" w:hAnsi="標楷體"/>
          <w:szCs w:val="28"/>
        </w:rPr>
        <w:t>陽性</w:t>
      </w:r>
    </w:p>
    <w:p w14:paraId="33ADB20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w:t>
      </w:r>
      <w:proofErr w:type="gramStart"/>
      <w:r>
        <w:rPr>
          <w:rFonts w:ascii="標楷體" w:eastAsia="標楷體" w:hAnsi="標楷體"/>
          <w:szCs w:val="28"/>
        </w:rPr>
        <w:t>低補體</w:t>
      </w:r>
      <w:proofErr w:type="gramEnd"/>
      <w:r>
        <w:rPr>
          <w:rFonts w:ascii="標楷體" w:eastAsia="標楷體" w:hAnsi="標楷體"/>
          <w:szCs w:val="28"/>
        </w:rPr>
        <w:t>(C3或C4)下降</w:t>
      </w:r>
    </w:p>
    <w:p w14:paraId="29933412"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II.用於接受標準治療後，仍無法有效控制病情之全身性紅斑性狼瘡，其療效</w:t>
      </w:r>
      <w:proofErr w:type="gramStart"/>
      <w:r>
        <w:rPr>
          <w:rFonts w:ascii="標楷體" w:eastAsia="標楷體" w:hAnsi="標楷體"/>
          <w:szCs w:val="28"/>
        </w:rPr>
        <w:t>不</w:t>
      </w:r>
      <w:proofErr w:type="gramEnd"/>
      <w:r>
        <w:rPr>
          <w:rFonts w:ascii="標楷體" w:eastAsia="標楷體" w:hAnsi="標楷體"/>
          <w:szCs w:val="28"/>
        </w:rPr>
        <w:t>彰之定義為：</w:t>
      </w:r>
    </w:p>
    <w:p w14:paraId="0F41709B" w14:textId="77777777" w:rsidR="00401786" w:rsidRDefault="00C64FB3" w:rsidP="0009639E">
      <w:pPr>
        <w:suppressAutoHyphens w:val="0"/>
        <w:spacing w:line="300" w:lineRule="exact"/>
        <w:ind w:left="1558" w:hanging="245"/>
        <w:textAlignment w:val="auto"/>
      </w:pPr>
      <w:proofErr w:type="spellStart"/>
      <w:r>
        <w:rPr>
          <w:rFonts w:ascii="標楷體" w:eastAsia="標楷體" w:hAnsi="標楷體"/>
          <w:szCs w:val="28"/>
        </w:rPr>
        <w:t>i</w:t>
      </w:r>
      <w:proofErr w:type="spellEnd"/>
      <w:r>
        <w:rPr>
          <w:rFonts w:ascii="標楷體" w:eastAsia="標楷體" w:hAnsi="標楷體"/>
          <w:szCs w:val="28"/>
        </w:rPr>
        <w:t>.標準治療藥物滿5個月及6個月後，2次評估SLEDAI-2K分數均</w:t>
      </w:r>
      <w:r>
        <w:rPr>
          <w:rFonts w:ascii="Times New Roman" w:eastAsia="標楷體" w:hAnsi="Times New Roman"/>
          <w:szCs w:val="28"/>
        </w:rPr>
        <w:t>≥</w:t>
      </w:r>
      <w:r>
        <w:rPr>
          <w:rFonts w:ascii="標楷體" w:eastAsia="標楷體" w:hAnsi="標楷體"/>
          <w:szCs w:val="28"/>
        </w:rPr>
        <w:t>8。</w:t>
      </w:r>
    </w:p>
    <w:p w14:paraId="5C89AA8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ii.以下分數不可計入SLEDAI-2K計分: 癲癇、精神疾病、器質性腦部症候群、腦神經、狼瘡性頭痛、掉</w:t>
      </w:r>
      <w:proofErr w:type="gramStart"/>
      <w:r>
        <w:rPr>
          <w:rFonts w:ascii="標楷體" w:eastAsia="標楷體" w:hAnsi="標楷體"/>
          <w:szCs w:val="28"/>
        </w:rPr>
        <w:t>髮</w:t>
      </w:r>
      <w:proofErr w:type="gramEnd"/>
      <w:r>
        <w:rPr>
          <w:rFonts w:ascii="標楷體" w:eastAsia="標楷體" w:hAnsi="標楷體"/>
          <w:szCs w:val="28"/>
        </w:rPr>
        <w:t>、口腔潰瘍、狼瘡腎臟分數(尿圓柱體、血尿、蛋白尿、</w:t>
      </w:r>
      <w:proofErr w:type="gramStart"/>
      <w:r>
        <w:rPr>
          <w:rFonts w:ascii="標楷體" w:eastAsia="標楷體" w:hAnsi="標楷體"/>
          <w:szCs w:val="28"/>
        </w:rPr>
        <w:t>膿尿</w:t>
      </w:r>
      <w:proofErr w:type="gramEnd"/>
      <w:r>
        <w:rPr>
          <w:rFonts w:ascii="標楷體" w:eastAsia="標楷體" w:hAnsi="標楷體"/>
          <w:szCs w:val="28"/>
        </w:rPr>
        <w:t>)。</w:t>
      </w:r>
    </w:p>
    <w:p w14:paraId="285FA3B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iii.血管炎計分需臨床有潰瘍、壞疽、栓塞等病變，需檢附照片或組織病理或影像學檢查，且需ESR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7818261A"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iv.關節炎計分需有4個或是以上的疼痛關節及4個或是以上的腫脹關節(需附關節腫脹相關X-光片或照片輔證)，且需ESR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517A9AFF"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v.</w:t>
      </w:r>
      <w:proofErr w:type="gramStart"/>
      <w:r>
        <w:rPr>
          <w:rFonts w:ascii="標楷體" w:eastAsia="標楷體" w:hAnsi="標楷體"/>
          <w:szCs w:val="28"/>
        </w:rPr>
        <w:t>肌炎計分</w:t>
      </w:r>
      <w:proofErr w:type="gramEnd"/>
      <w:r>
        <w:rPr>
          <w:rFonts w:ascii="標楷體" w:eastAsia="標楷體" w:hAnsi="標楷體"/>
          <w:szCs w:val="28"/>
        </w:rPr>
        <w:t>需有血清中肌肉酵素如CPK、LDH、GOT上升大於正常值2倍</w:t>
      </w:r>
      <w:proofErr w:type="gramStart"/>
      <w:r>
        <w:rPr>
          <w:rFonts w:ascii="標楷體" w:eastAsia="標楷體" w:hAnsi="標楷體"/>
          <w:szCs w:val="28"/>
        </w:rPr>
        <w:t>以上且肌電</w:t>
      </w:r>
      <w:proofErr w:type="gramEnd"/>
      <w:r>
        <w:rPr>
          <w:rFonts w:ascii="標楷體" w:eastAsia="標楷體" w:hAnsi="標楷體"/>
          <w:szCs w:val="28"/>
        </w:rPr>
        <w:t>圖異常、或肌肉切片有發炎性疾病、或放射線影像檢查，3項中至少有1項檢查結果確認。</w:t>
      </w:r>
    </w:p>
    <w:p w14:paraId="679903AC"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vi.皮疹計分需排除掉</w:t>
      </w:r>
      <w:proofErr w:type="gramStart"/>
      <w:r>
        <w:rPr>
          <w:rFonts w:ascii="標楷體" w:eastAsia="標楷體" w:hAnsi="標楷體"/>
          <w:szCs w:val="28"/>
        </w:rPr>
        <w:t>髮</w:t>
      </w:r>
      <w:proofErr w:type="gramEnd"/>
      <w:r>
        <w:rPr>
          <w:rFonts w:ascii="標楷體" w:eastAsia="標楷體" w:hAnsi="標楷體"/>
          <w:szCs w:val="28"/>
        </w:rPr>
        <w:t xml:space="preserve">與口腔潰瘍後，皮膚紅斑性狼瘡面積和嚴重程度指數(Cutaneous Lupus Erythematosus Disease Area and Severity </w:t>
      </w:r>
      <w:proofErr w:type="spellStart"/>
      <w:r>
        <w:rPr>
          <w:rFonts w:ascii="標楷體" w:eastAsia="標楷體" w:hAnsi="標楷體"/>
          <w:szCs w:val="28"/>
        </w:rPr>
        <w:t>Index,CLASI</w:t>
      </w:r>
      <w:proofErr w:type="spellEnd"/>
      <w:r>
        <w:rPr>
          <w:rFonts w:ascii="標楷體" w:eastAsia="標楷體" w:hAnsi="標楷體"/>
          <w:szCs w:val="28"/>
        </w:rPr>
        <w:t>)達8分以上，</w:t>
      </w:r>
      <w:proofErr w:type="gramStart"/>
      <w:r>
        <w:rPr>
          <w:rFonts w:ascii="標楷體" w:eastAsia="標楷體" w:hAnsi="標楷體"/>
          <w:szCs w:val="28"/>
        </w:rPr>
        <w:t>且體表面積</w:t>
      </w:r>
      <w:proofErr w:type="gramEnd"/>
      <w:r>
        <w:rPr>
          <w:rFonts w:ascii="標楷體" w:eastAsia="標楷體" w:hAnsi="標楷體"/>
          <w:szCs w:val="28"/>
        </w:rPr>
        <w:t>受影響達9%以上(附皮膚照片佐證)。</w:t>
      </w:r>
    </w:p>
    <w:p w14:paraId="742ED1EC"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vii.肋膜炎或心</w:t>
      </w:r>
      <w:proofErr w:type="gramStart"/>
      <w:r>
        <w:rPr>
          <w:rFonts w:ascii="標楷體" w:eastAsia="標楷體" w:hAnsi="標楷體"/>
          <w:szCs w:val="28"/>
        </w:rPr>
        <w:t>包膜炎計分</w:t>
      </w:r>
      <w:proofErr w:type="gramEnd"/>
      <w:r>
        <w:rPr>
          <w:rFonts w:ascii="標楷體" w:eastAsia="標楷體" w:hAnsi="標楷體"/>
          <w:szCs w:val="28"/>
        </w:rPr>
        <w:t>，除理學檢查外需附影像學或心電圖等證明，且需ESR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43382EEA"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Ⅲ.標準治療療法為病患曾經接受下列3種標準治療藥物合併治療：</w:t>
      </w:r>
    </w:p>
    <w:p w14:paraId="5D6C9B4D" w14:textId="77777777" w:rsidR="00401786" w:rsidRDefault="00C64FB3" w:rsidP="0009639E">
      <w:pPr>
        <w:suppressAutoHyphens w:val="0"/>
        <w:spacing w:line="300" w:lineRule="exact"/>
        <w:ind w:left="1558" w:hanging="245"/>
        <w:textAlignment w:val="auto"/>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.類固醇：治療至少6個月，其中至少有2個月之月平均達標準目標劑量(如口服Prednisolone</w:t>
      </w:r>
      <w:proofErr w:type="gramStart"/>
      <w:r>
        <w:rPr>
          <w:rFonts w:ascii="標楷體" w:eastAsia="標楷體" w:hAnsi="標楷體"/>
          <w:szCs w:val="28"/>
        </w:rPr>
        <w:t>≧</w:t>
      </w:r>
      <w:proofErr w:type="gramEnd"/>
      <w:r>
        <w:rPr>
          <w:rFonts w:ascii="標楷體" w:eastAsia="標楷體" w:hAnsi="標楷體"/>
          <w:szCs w:val="28"/>
        </w:rPr>
        <w:t>每日劑量每公斤0.5mg或相等強度劑量之類固醇類藥物)或過去3個月內曾使用Pulse IV methylprednisolone (連續3天每公斤10mg以上)。</w:t>
      </w:r>
    </w:p>
    <w:p w14:paraId="2A8EC013"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ii.奎寧類藥物：連續使用至少6個月標準劑量的hydroxychloroquine (每天200mg或以上)</w:t>
      </w:r>
    </w:p>
    <w:p w14:paraId="416B7058"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iii.使用足量免疫抑制劑至少擇</w:t>
      </w:r>
      <w:proofErr w:type="gramStart"/>
      <w:r>
        <w:rPr>
          <w:rFonts w:ascii="標楷體" w:eastAsia="標楷體" w:hAnsi="標楷體"/>
          <w:szCs w:val="28"/>
        </w:rPr>
        <w:t>一</w:t>
      </w:r>
      <w:proofErr w:type="gramEnd"/>
      <w:r>
        <w:rPr>
          <w:rFonts w:ascii="標楷體" w:eastAsia="標楷體" w:hAnsi="標楷體"/>
          <w:szCs w:val="28"/>
        </w:rPr>
        <w:t>連續使用至少6個月：azathioprine (每天每公斤2mg)或methotrexate (每週15mg)或cyclosporin (每天每公斤3mg)或mycophenolate mofetil (每天2gm)或mycophenolic acid (每天1,440mg)</w:t>
      </w:r>
    </w:p>
    <w:p w14:paraId="51C1B8D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iv.如藥物劑量無法耐受，可視臨床情況調整類固醇、奎寧及免疫抑制劑之劑量。</w:t>
      </w:r>
    </w:p>
    <w:p w14:paraId="0FDCAD8E"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IV.續用處方條件：</w:t>
      </w:r>
    </w:p>
    <w:p w14:paraId="1FFAE2D3" w14:textId="77777777" w:rsidR="00401786" w:rsidRDefault="00C64FB3" w:rsidP="0009639E">
      <w:pPr>
        <w:suppressAutoHyphens w:val="0"/>
        <w:spacing w:line="300" w:lineRule="exact"/>
        <w:ind w:left="1416" w:hanging="2"/>
        <w:textAlignment w:val="auto"/>
        <w:rPr>
          <w:rFonts w:ascii="標楷體" w:eastAsia="標楷體" w:hAnsi="標楷體"/>
          <w:szCs w:val="28"/>
        </w:rPr>
      </w:pPr>
      <w:r>
        <w:rPr>
          <w:rFonts w:ascii="標楷體" w:eastAsia="標楷體" w:hAnsi="標楷體"/>
          <w:szCs w:val="28"/>
        </w:rPr>
        <w:lastRenderedPageBreak/>
        <w:t>首次申請治療6個月後評估SLEDAI-2K疾病活動指標，符合下列所有條件，可以持續使用，之後每3個月再次申請續用：</w:t>
      </w:r>
    </w:p>
    <w:p w14:paraId="76DC8201" w14:textId="77777777" w:rsidR="00401786" w:rsidRDefault="00C64FB3" w:rsidP="0009639E">
      <w:pPr>
        <w:suppressAutoHyphens w:val="0"/>
        <w:spacing w:line="300" w:lineRule="exact"/>
        <w:ind w:left="1558" w:hanging="245"/>
        <w:textAlignment w:val="auto"/>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.口服類固醇每日劑量下降至每天7.5mg以下或接受Benlysta治療前相較每日劑量下降50%以上。</w:t>
      </w:r>
    </w:p>
    <w:p w14:paraId="047459E7"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ii.疾病活動度改善，以下列指標評估：SLEDAI-2K下降至4分以下或與接受Benlysta治療前SLEDAI-2K改善3分以上。</w:t>
      </w:r>
    </w:p>
    <w:p w14:paraId="7EA99801"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iii.不得有新增器官侵犯或原有病徵惡化，原有計分之項目，續用申請時需附相關佐證資料(包含ESR與CRP)</w:t>
      </w:r>
    </w:p>
    <w:p w14:paraId="4B395B32"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w:t>
      </w:r>
      <w:proofErr w:type="spellStart"/>
      <w:r>
        <w:rPr>
          <w:rFonts w:ascii="標楷體" w:eastAsia="標楷體" w:hAnsi="標楷體"/>
          <w:szCs w:val="28"/>
        </w:rPr>
        <w:t>i</w:t>
      </w:r>
      <w:proofErr w:type="spellEnd"/>
      <w:r>
        <w:rPr>
          <w:rFonts w:ascii="標楷體" w:eastAsia="標楷體" w:hAnsi="標楷體"/>
          <w:szCs w:val="28"/>
        </w:rPr>
        <w:t>)血管炎計分者，續用申請時需檢附原病灶位置之照片。</w:t>
      </w:r>
    </w:p>
    <w:p w14:paraId="726C5850"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(ii)關節炎計分者，續用申請時需檢附腫脹關節數目及照片。</w:t>
      </w:r>
    </w:p>
    <w:p w14:paraId="4184FC62"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(iii)</w:t>
      </w:r>
      <w:proofErr w:type="gramStart"/>
      <w:r>
        <w:rPr>
          <w:rFonts w:ascii="標楷體" w:eastAsia="標楷體" w:hAnsi="標楷體"/>
          <w:szCs w:val="28"/>
        </w:rPr>
        <w:t>肌炎計分</w:t>
      </w:r>
      <w:proofErr w:type="gramEnd"/>
      <w:r>
        <w:rPr>
          <w:rFonts w:ascii="標楷體" w:eastAsia="標楷體" w:hAnsi="標楷體"/>
          <w:szCs w:val="28"/>
        </w:rPr>
        <w:t>者，續用申請時需檢附CPK、LDH、GOT數值。</w:t>
      </w:r>
    </w:p>
    <w:p w14:paraId="25D3173E"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(iv)皮疹計分者，續用申請時需檢附CLASI評分及皮膚照片。</w:t>
      </w:r>
    </w:p>
    <w:p w14:paraId="2E2F5E9F"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V.減量或停用條件：若使用滿2年，</w:t>
      </w:r>
      <w:proofErr w:type="gramStart"/>
      <w:r>
        <w:rPr>
          <w:rFonts w:ascii="標楷體" w:eastAsia="標楷體" w:hAnsi="標楷體"/>
          <w:szCs w:val="28"/>
        </w:rPr>
        <w:t>達緩解</w:t>
      </w:r>
      <w:proofErr w:type="gramEnd"/>
      <w:r>
        <w:rPr>
          <w:rFonts w:ascii="標楷體" w:eastAsia="標楷體" w:hAnsi="標楷體"/>
          <w:szCs w:val="28"/>
        </w:rPr>
        <w:t>或低疾病活動度SLEDAI-2K</w:t>
      </w:r>
      <w:proofErr w:type="gramStart"/>
      <w:r>
        <w:rPr>
          <w:rFonts w:ascii="標楷體" w:eastAsia="標楷體" w:hAnsi="標楷體"/>
          <w:szCs w:val="28"/>
        </w:rPr>
        <w:t>≦</w:t>
      </w:r>
      <w:proofErr w:type="gramEnd"/>
      <w:r>
        <w:rPr>
          <w:rFonts w:ascii="標楷體" w:eastAsia="標楷體" w:hAnsi="標楷體"/>
          <w:szCs w:val="28"/>
        </w:rPr>
        <w:t>4滿一年以上，可以減量。減量後，若持續維持緩解或低疾病活動度SLEDAI-2K</w:t>
      </w:r>
      <w:proofErr w:type="gramStart"/>
      <w:r>
        <w:rPr>
          <w:rFonts w:ascii="標楷體" w:eastAsia="標楷體" w:hAnsi="標楷體"/>
          <w:szCs w:val="28"/>
        </w:rPr>
        <w:t>≦</w:t>
      </w:r>
      <w:proofErr w:type="gramEnd"/>
      <w:r>
        <w:rPr>
          <w:rFonts w:ascii="標楷體" w:eastAsia="標楷體" w:hAnsi="標楷體"/>
          <w:szCs w:val="28"/>
        </w:rPr>
        <w:t>4滿一年以上停用，</w:t>
      </w:r>
      <w:proofErr w:type="gramStart"/>
      <w:r>
        <w:rPr>
          <w:rFonts w:ascii="標楷體" w:eastAsia="標楷體" w:hAnsi="標楷體"/>
          <w:szCs w:val="28"/>
        </w:rPr>
        <w:t>若減量</w:t>
      </w:r>
      <w:proofErr w:type="gramEnd"/>
      <w:r>
        <w:rPr>
          <w:rFonts w:ascii="標楷體" w:eastAsia="標楷體" w:hAnsi="標楷體"/>
          <w:szCs w:val="28"/>
        </w:rPr>
        <w:t>或停用後病情復發，可以申請恢復治療，後續依續用條件申請。</w:t>
      </w:r>
    </w:p>
    <w:p w14:paraId="6A4DBCF8"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Ⅵ.</w:t>
      </w:r>
      <w:proofErr w:type="gramStart"/>
      <w:r>
        <w:rPr>
          <w:rFonts w:ascii="標楷體" w:eastAsia="標楷體" w:hAnsi="標楷體"/>
          <w:szCs w:val="28"/>
        </w:rPr>
        <w:t>不</w:t>
      </w:r>
      <w:proofErr w:type="gramEnd"/>
      <w:r>
        <w:rPr>
          <w:rFonts w:ascii="標楷體" w:eastAsia="標楷體" w:hAnsi="標楷體"/>
          <w:szCs w:val="28"/>
        </w:rPr>
        <w:t>給付於神經精神性狼瘡病人。</w:t>
      </w:r>
    </w:p>
    <w:p w14:paraId="435773AC" w14:textId="77777777" w:rsidR="00401786" w:rsidRDefault="00C64FB3" w:rsidP="0009639E">
      <w:pPr>
        <w:suppressAutoHyphens w:val="0"/>
        <w:spacing w:line="300" w:lineRule="exact"/>
        <w:ind w:left="1423" w:hanging="360"/>
        <w:textAlignment w:val="auto"/>
        <w:rPr>
          <w:rFonts w:ascii="標楷體" w:eastAsia="標楷體" w:hAnsi="標楷體"/>
          <w:szCs w:val="28"/>
        </w:rPr>
      </w:pPr>
      <w:proofErr w:type="spellStart"/>
      <w:r>
        <w:rPr>
          <w:rFonts w:ascii="標楷體" w:eastAsia="標楷體" w:hAnsi="標楷體"/>
          <w:szCs w:val="28"/>
        </w:rPr>
        <w:t>Ⅶ.Belimumab</w:t>
      </w:r>
      <w:proofErr w:type="spellEnd"/>
      <w:r>
        <w:rPr>
          <w:rFonts w:ascii="標楷體" w:eastAsia="標楷體" w:hAnsi="標楷體"/>
          <w:szCs w:val="28"/>
        </w:rPr>
        <w:t>不應與其他生物製劑同時給付。</w:t>
      </w:r>
    </w:p>
    <w:p w14:paraId="0CFD77D0" w14:textId="77777777" w:rsidR="00401786" w:rsidRDefault="00C64FB3" w:rsidP="0009639E">
      <w:pPr>
        <w:tabs>
          <w:tab w:val="left" w:pos="720"/>
        </w:tabs>
        <w:suppressAutoHyphens w:val="0"/>
        <w:spacing w:line="300" w:lineRule="exact"/>
        <w:ind w:left="783" w:hanging="257"/>
        <w:textAlignment w:val="auto"/>
        <w:rPr>
          <w:rFonts w:ascii="標楷體" w:eastAsia="標楷體" w:hAnsi="標楷體"/>
          <w:szCs w:val="28"/>
        </w:rPr>
      </w:pPr>
      <w:r>
        <w:rPr>
          <w:rFonts w:ascii="標楷體" w:eastAsia="標楷體" w:hAnsi="標楷體"/>
          <w:szCs w:val="28"/>
        </w:rPr>
        <w:t>3.限用於Anti-ds DNA抗體陽性之報告及</w:t>
      </w:r>
      <w:proofErr w:type="gramStart"/>
      <w:r>
        <w:rPr>
          <w:rFonts w:ascii="標楷體" w:eastAsia="標楷體" w:hAnsi="標楷體"/>
          <w:szCs w:val="28"/>
        </w:rPr>
        <w:t>低補體</w:t>
      </w:r>
      <w:proofErr w:type="gramEnd"/>
      <w:r>
        <w:rPr>
          <w:rFonts w:ascii="標楷體" w:eastAsia="標楷體" w:hAnsi="標楷體"/>
          <w:szCs w:val="28"/>
        </w:rPr>
        <w:t>，且正在接受標準治療至少3個月但仍無法達到有效控制疾病的全身性紅斑性狼瘡5-17歲病人。(114/2/1)</w:t>
      </w:r>
    </w:p>
    <w:p w14:paraId="72EA105F"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(1)需經事前審查核准後使用。</w:t>
      </w:r>
    </w:p>
    <w:p w14:paraId="1882F3FE"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(2)申請前3個月內同時接受下列三項標準治療之至少兩項，且達到以下建議劑量：</w:t>
      </w:r>
    </w:p>
    <w:p w14:paraId="72D704E7" w14:textId="77777777" w:rsidR="00401786" w:rsidRDefault="00C64FB3" w:rsidP="0009639E">
      <w:pPr>
        <w:suppressAutoHyphens w:val="0"/>
        <w:spacing w:line="300" w:lineRule="exact"/>
        <w:ind w:left="1423" w:hanging="360"/>
        <w:textAlignment w:val="auto"/>
      </w:pPr>
      <w:r>
        <w:rPr>
          <w:rFonts w:ascii="標楷體" w:eastAsia="標楷體" w:hAnsi="標楷體"/>
          <w:szCs w:val="28"/>
        </w:rPr>
        <w:t xml:space="preserve">I.類固醇平均劑量(如口服prednisolone </w:t>
      </w:r>
      <w:r>
        <w:rPr>
          <w:rFonts w:ascii="Times New Roman" w:eastAsia="標楷體" w:hAnsi="Times New Roman"/>
          <w:szCs w:val="28"/>
        </w:rPr>
        <w:t>≥</w:t>
      </w:r>
      <w:r>
        <w:rPr>
          <w:rFonts w:ascii="標楷體" w:eastAsia="標楷體" w:hAnsi="標楷體"/>
          <w:szCs w:val="28"/>
        </w:rPr>
        <w:t>每日劑量每公斤0.25mg或等劑量之類固醇藥物）。</w:t>
      </w:r>
    </w:p>
    <w:p w14:paraId="3DE40382" w14:textId="77777777" w:rsidR="00401786" w:rsidRDefault="00C64FB3" w:rsidP="0009639E">
      <w:pPr>
        <w:suppressAutoHyphens w:val="0"/>
        <w:spacing w:line="300" w:lineRule="exact"/>
        <w:ind w:left="1423" w:hanging="360"/>
        <w:textAlignment w:val="auto"/>
        <w:rPr>
          <w:rFonts w:ascii="標楷體" w:eastAsia="標楷體" w:hAnsi="標楷體"/>
          <w:szCs w:val="28"/>
        </w:rPr>
      </w:pPr>
      <w:proofErr w:type="spellStart"/>
      <w:r>
        <w:rPr>
          <w:rFonts w:ascii="標楷體" w:eastAsia="標楷體" w:hAnsi="標楷體"/>
          <w:szCs w:val="28"/>
        </w:rPr>
        <w:t>Ⅱ.Hydroxychloroquine</w:t>
      </w:r>
      <w:proofErr w:type="spellEnd"/>
      <w:r>
        <w:rPr>
          <w:rFonts w:ascii="標楷體" w:eastAsia="標楷體" w:hAnsi="標楷體"/>
          <w:szCs w:val="28"/>
        </w:rPr>
        <w:t>（每日劑量每公斤3-5mg，最大劑量400 mg）。</w:t>
      </w:r>
    </w:p>
    <w:p w14:paraId="6F677A26" w14:textId="77777777" w:rsidR="00401786" w:rsidRDefault="00C64FB3" w:rsidP="0009639E">
      <w:pPr>
        <w:suppressAutoHyphens w:val="0"/>
        <w:spacing w:line="300" w:lineRule="exact"/>
        <w:ind w:left="1423" w:hanging="360"/>
        <w:textAlignment w:val="auto"/>
      </w:pPr>
      <w:r>
        <w:rPr>
          <w:rFonts w:ascii="標楷體" w:eastAsia="標楷體" w:hAnsi="標楷體"/>
          <w:szCs w:val="28"/>
        </w:rPr>
        <w:t>Ⅲ.至少一種（含）免疫抑制劑，如azathioprine（每日劑量每公斤1mg）、注射型cyclophosphamide（500mg/m</w:t>
      </w:r>
      <w:r>
        <w:rPr>
          <w:rFonts w:ascii="標楷體" w:eastAsia="標楷體" w:hAnsi="標楷體"/>
          <w:szCs w:val="28"/>
          <w:vertAlign w:val="superscript"/>
        </w:rPr>
        <w:t>2</w:t>
      </w:r>
      <w:r>
        <w:rPr>
          <w:rFonts w:ascii="標楷體" w:eastAsia="標楷體" w:hAnsi="標楷體"/>
          <w:szCs w:val="28"/>
        </w:rPr>
        <w:t>/month）、cyclosporin（每日劑量每公斤2.5mg）、mycophenolic acid（720mg/m</w:t>
      </w:r>
      <w:r>
        <w:rPr>
          <w:rFonts w:ascii="標楷體" w:eastAsia="標楷體" w:hAnsi="標楷體"/>
          <w:szCs w:val="28"/>
          <w:vertAlign w:val="superscript"/>
        </w:rPr>
        <w:t>2</w:t>
      </w:r>
      <w:r>
        <w:rPr>
          <w:rFonts w:ascii="標楷體" w:eastAsia="標楷體" w:hAnsi="標楷體"/>
          <w:szCs w:val="28"/>
        </w:rPr>
        <w:t>/day）、mycophenolate mofetil（1gm/m</w:t>
      </w:r>
      <w:r>
        <w:rPr>
          <w:rFonts w:ascii="標楷體" w:eastAsia="標楷體" w:hAnsi="標楷體"/>
          <w:szCs w:val="28"/>
          <w:vertAlign w:val="superscript"/>
        </w:rPr>
        <w:t>2</w:t>
      </w:r>
      <w:r>
        <w:rPr>
          <w:rFonts w:ascii="標楷體" w:eastAsia="標楷體" w:hAnsi="標楷體"/>
          <w:szCs w:val="28"/>
        </w:rPr>
        <w:t>/day）或methotrexate（10mg/m</w:t>
      </w:r>
      <w:r>
        <w:rPr>
          <w:rFonts w:ascii="標楷體" w:eastAsia="標楷體" w:hAnsi="標楷體"/>
          <w:szCs w:val="28"/>
          <w:vertAlign w:val="superscript"/>
        </w:rPr>
        <w:t>2</w:t>
      </w:r>
      <w:r>
        <w:rPr>
          <w:rFonts w:ascii="標楷體" w:eastAsia="標楷體" w:hAnsi="標楷體"/>
          <w:szCs w:val="28"/>
        </w:rPr>
        <w:t>/week）等（但無法接受副作用除外）。</w:t>
      </w:r>
    </w:p>
    <w:p w14:paraId="6FC60188" w14:textId="77777777" w:rsidR="00401786" w:rsidRDefault="00C64FB3" w:rsidP="0009639E">
      <w:pPr>
        <w:suppressAutoHyphens w:val="0"/>
        <w:spacing w:line="300" w:lineRule="exact"/>
        <w:ind w:left="1063" w:hanging="353"/>
        <w:textAlignment w:val="auto"/>
      </w:pPr>
      <w:r>
        <w:rPr>
          <w:rFonts w:ascii="標楷體" w:eastAsia="標楷體" w:hAnsi="標楷體"/>
          <w:szCs w:val="28"/>
        </w:rPr>
        <w:t>(3)無法達到有效控制的定義為經標準治療至少3個月後仍有疾病活動性SELENA SLEDAI</w:t>
      </w:r>
      <w:r>
        <w:rPr>
          <w:rFonts w:ascii="Times New Roman" w:eastAsia="標楷體" w:hAnsi="Times New Roman"/>
          <w:szCs w:val="28"/>
        </w:rPr>
        <w:t>≥</w:t>
      </w:r>
      <w:r>
        <w:rPr>
          <w:rFonts w:ascii="標楷體" w:eastAsia="標楷體" w:hAnsi="標楷體"/>
          <w:szCs w:val="28"/>
        </w:rPr>
        <w:t>8（神經精神分數不可計入計分: 癲癇發作、精神疾病、器質性腦部症候群、腦神經疾患、狼瘡性頭痛、腦血管事件。腎臟分數計分最多只能</w:t>
      </w:r>
      <w:proofErr w:type="gramStart"/>
      <w:r>
        <w:rPr>
          <w:rFonts w:ascii="標楷體" w:eastAsia="標楷體" w:hAnsi="標楷體"/>
          <w:szCs w:val="28"/>
        </w:rPr>
        <w:t>佔</w:t>
      </w:r>
      <w:proofErr w:type="gramEnd"/>
      <w:r>
        <w:rPr>
          <w:rFonts w:ascii="標楷體" w:eastAsia="標楷體" w:hAnsi="標楷體"/>
          <w:szCs w:val="28"/>
        </w:rPr>
        <w:t>4分:尿圓柱體、血尿、蛋白尿、</w:t>
      </w:r>
      <w:proofErr w:type="gramStart"/>
      <w:r>
        <w:rPr>
          <w:rFonts w:ascii="標楷體" w:eastAsia="標楷體" w:hAnsi="標楷體"/>
          <w:szCs w:val="28"/>
        </w:rPr>
        <w:t>膿尿</w:t>
      </w:r>
      <w:proofErr w:type="gramEnd"/>
      <w:r>
        <w:rPr>
          <w:rFonts w:ascii="標楷體" w:eastAsia="標楷體" w:hAnsi="標楷體"/>
          <w:szCs w:val="28"/>
        </w:rPr>
        <w:t>。皮膚、黏膜與關節相關分數需附照片證明，相關檢驗與檢查須附報告</w:t>
      </w:r>
      <w:proofErr w:type="gramStart"/>
      <w:r>
        <w:rPr>
          <w:rFonts w:ascii="標楷體" w:eastAsia="標楷體" w:hAnsi="標楷體"/>
          <w:szCs w:val="28"/>
        </w:rPr>
        <w:t>）</w:t>
      </w:r>
      <w:proofErr w:type="gramEnd"/>
      <w:r>
        <w:rPr>
          <w:rFonts w:ascii="標楷體" w:eastAsia="標楷體" w:hAnsi="標楷體"/>
          <w:szCs w:val="28"/>
        </w:rPr>
        <w:t>。</w:t>
      </w:r>
    </w:p>
    <w:p w14:paraId="1A35B6D2" w14:textId="77777777" w:rsidR="00401786" w:rsidRDefault="00C64FB3" w:rsidP="0009639E">
      <w:pPr>
        <w:suppressAutoHyphens w:val="0"/>
        <w:spacing w:line="300" w:lineRule="exact"/>
        <w:ind w:left="1063" w:hanging="353"/>
        <w:textAlignment w:val="auto"/>
      </w:pPr>
      <w:r>
        <w:rPr>
          <w:rFonts w:ascii="標楷體" w:eastAsia="標楷體" w:hAnsi="標楷體"/>
          <w:szCs w:val="28"/>
        </w:rPr>
        <w:t xml:space="preserve">(4)療效評估與繼續使用：每治療12 </w:t>
      </w:r>
      <w:proofErr w:type="gramStart"/>
      <w:r>
        <w:rPr>
          <w:rFonts w:ascii="標楷體" w:eastAsia="標楷體" w:hAnsi="標楷體"/>
          <w:szCs w:val="28"/>
        </w:rPr>
        <w:t>個</w:t>
      </w:r>
      <w:proofErr w:type="gramEnd"/>
      <w:r>
        <w:rPr>
          <w:rFonts w:ascii="標楷體" w:eastAsia="標楷體" w:hAnsi="標楷體"/>
          <w:szCs w:val="28"/>
        </w:rPr>
        <w:t xml:space="preserve">月後評估SELENA SLEDAI </w:t>
      </w:r>
      <w:r>
        <w:rPr>
          <w:rFonts w:ascii="Times New Roman" w:eastAsia="標楷體" w:hAnsi="Times New Roman"/>
          <w:szCs w:val="28"/>
        </w:rPr>
        <w:t>≥</w:t>
      </w:r>
      <w:r>
        <w:rPr>
          <w:rFonts w:ascii="標楷體" w:eastAsia="標楷體" w:hAnsi="標楷體"/>
          <w:szCs w:val="28"/>
        </w:rPr>
        <w:t>8積分：與初次申請之積分比較，減少</w:t>
      </w:r>
      <w:r>
        <w:rPr>
          <w:rFonts w:ascii="Times New Roman" w:eastAsia="標楷體" w:hAnsi="Times New Roman"/>
          <w:szCs w:val="28"/>
        </w:rPr>
        <w:t>≥</w:t>
      </w:r>
      <w:r>
        <w:rPr>
          <w:rFonts w:ascii="標楷體" w:eastAsia="標楷體" w:hAnsi="標楷體"/>
          <w:szCs w:val="28"/>
        </w:rPr>
        <w:t>4 分方得繼續使用。若需繼續使用，需重新提出申請。</w:t>
      </w:r>
    </w:p>
    <w:p w14:paraId="19B345DF"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◎附表三十六之</w:t>
      </w:r>
      <w:proofErr w:type="gramStart"/>
      <w:r>
        <w:rPr>
          <w:rFonts w:ascii="標楷體" w:eastAsia="標楷體" w:hAnsi="標楷體"/>
          <w:szCs w:val="28"/>
        </w:rPr>
        <w:t>一</w:t>
      </w:r>
      <w:proofErr w:type="gramEnd"/>
      <w:r>
        <w:rPr>
          <w:rFonts w:ascii="標楷體" w:eastAsia="標楷體" w:hAnsi="標楷體"/>
          <w:szCs w:val="28"/>
        </w:rPr>
        <w:t>：全民健康保險全身性紅斑性狼瘡5-17 歲病人使用belimumab生物製劑申請表</w:t>
      </w:r>
    </w:p>
    <w:p w14:paraId="0D8C3C9A" w14:textId="77777777" w:rsidR="00401786" w:rsidRDefault="00C64FB3" w:rsidP="0009639E">
      <w:pPr>
        <w:spacing w:line="300" w:lineRule="exact"/>
        <w:ind w:left="1063" w:right="-710" w:hanging="353"/>
      </w:pPr>
      <w:r>
        <w:rPr>
          <w:rFonts w:ascii="標楷體" w:eastAsia="標楷體" w:hAnsi="標楷體"/>
          <w:szCs w:val="28"/>
        </w:rPr>
        <w:t>◎附表三十六之二：SELENA SLEDAI積分表</w:t>
      </w:r>
    </w:p>
    <w:p w14:paraId="57FDA973" w14:textId="77777777" w:rsidR="00B9015E" w:rsidRPr="005717C9" w:rsidRDefault="00C64FB3" w:rsidP="00B9015E">
      <w:pPr>
        <w:spacing w:line="300" w:lineRule="exact"/>
        <w:ind w:left="560" w:hanging="276"/>
        <w:rPr>
          <w:rFonts w:ascii="標楷體" w:eastAsia="標楷體" w:hAnsi="標楷體"/>
          <w:szCs w:val="24"/>
        </w:rPr>
      </w:pPr>
      <w:r>
        <w:rPr>
          <w:rFonts w:ascii="標楷體" w:eastAsia="標楷體" w:hAnsi="標楷體"/>
          <w:color w:val="000000"/>
          <w:szCs w:val="24"/>
        </w:rPr>
        <w:t xml:space="preserve"> </w:t>
      </w:r>
      <w:r w:rsidR="00FA6A1E" w:rsidRPr="00EB227F">
        <w:rPr>
          <w:rFonts w:ascii="標楷體" w:eastAsia="標楷體" w:hAnsi="標楷體" w:hint="eastAsia"/>
        </w:rPr>
        <w:t>8.2.14.Satralizumab(如</w:t>
      </w:r>
      <w:proofErr w:type="spellStart"/>
      <w:r w:rsidR="00FA6A1E" w:rsidRPr="00EB227F">
        <w:rPr>
          <w:rFonts w:ascii="標楷體" w:eastAsia="標楷體" w:hAnsi="標楷體" w:hint="eastAsia"/>
        </w:rPr>
        <w:t>Enspryng</w:t>
      </w:r>
      <w:proofErr w:type="spellEnd"/>
      <w:r w:rsidR="00FA6A1E" w:rsidRPr="00EB227F">
        <w:rPr>
          <w:rFonts w:ascii="標楷體" w:eastAsia="標楷體" w:hAnsi="標楷體" w:hint="eastAsia"/>
        </w:rPr>
        <w:t>)、</w:t>
      </w:r>
      <w:proofErr w:type="spellStart"/>
      <w:r w:rsidR="00FA6A1E" w:rsidRPr="00EB227F">
        <w:rPr>
          <w:rFonts w:ascii="標楷體" w:eastAsia="標楷體" w:hAnsi="標楷體" w:hint="eastAsia"/>
        </w:rPr>
        <w:t>inebilizumab</w:t>
      </w:r>
      <w:proofErr w:type="spellEnd"/>
      <w:r w:rsidR="00FA6A1E" w:rsidRPr="00EB227F">
        <w:rPr>
          <w:rFonts w:ascii="標楷體" w:eastAsia="標楷體" w:hAnsi="標楷體" w:hint="eastAsia"/>
        </w:rPr>
        <w:t>(如</w:t>
      </w:r>
      <w:proofErr w:type="spellStart"/>
      <w:r w:rsidR="00FA6A1E" w:rsidRPr="00EB227F">
        <w:rPr>
          <w:rFonts w:ascii="標楷體" w:eastAsia="標楷體" w:hAnsi="標楷體" w:hint="eastAsia"/>
        </w:rPr>
        <w:t>Uplizna</w:t>
      </w:r>
      <w:proofErr w:type="spellEnd"/>
      <w:r w:rsidR="00FA6A1E" w:rsidRPr="00EB227F">
        <w:rPr>
          <w:rFonts w:ascii="標楷體" w:eastAsia="標楷體" w:hAnsi="標楷體" w:hint="eastAsia"/>
        </w:rPr>
        <w:t>)：(112/10/1、1</w:t>
      </w:r>
      <w:r w:rsidR="00FA6A1E" w:rsidRPr="00EB227F">
        <w:rPr>
          <w:rFonts w:ascii="標楷體" w:eastAsia="標楷體" w:hAnsi="標楷體"/>
        </w:rPr>
        <w:t>15</w:t>
      </w:r>
      <w:r w:rsidR="00FA6A1E" w:rsidRPr="00EB227F">
        <w:rPr>
          <w:rFonts w:ascii="標楷體" w:eastAsia="標楷體" w:hAnsi="標楷體" w:hint="eastAsia"/>
        </w:rPr>
        <w:t>/1/1、115/2/1)</w:t>
      </w:r>
    </w:p>
    <w:p w14:paraId="395A81E3" w14:textId="77777777" w:rsidR="00FA6A1E" w:rsidRPr="005A73DF" w:rsidRDefault="00FA6A1E" w:rsidP="002144EC">
      <w:pPr>
        <w:pStyle w:val="af"/>
        <w:numPr>
          <w:ilvl w:val="0"/>
          <w:numId w:val="150"/>
        </w:numPr>
        <w:suppressAutoHyphens w:val="0"/>
        <w:autoSpaceDN/>
        <w:snapToGrid w:val="0"/>
        <w:spacing w:line="300" w:lineRule="exact"/>
        <w:ind w:left="851" w:hanging="284"/>
        <w:jc w:val="both"/>
        <w:textAlignment w:val="auto"/>
        <w:rPr>
          <w:rFonts w:ascii="標楷體" w:eastAsia="標楷體" w:hAnsi="標楷體"/>
        </w:rPr>
      </w:pPr>
      <w:bookmarkStart w:id="25" w:name="_Hlk219898265"/>
      <w:proofErr w:type="spellStart"/>
      <w:r w:rsidRPr="005A73DF">
        <w:rPr>
          <w:rFonts w:ascii="標楷體" w:eastAsia="標楷體" w:hAnsi="標楷體" w:hint="eastAsia"/>
          <w:color w:val="000000"/>
        </w:rPr>
        <w:t>Satralizumab</w:t>
      </w:r>
      <w:proofErr w:type="spellEnd"/>
      <w:r w:rsidRPr="005A73DF">
        <w:rPr>
          <w:rFonts w:ascii="標楷體" w:eastAsia="標楷體" w:hAnsi="標楷體" w:hint="eastAsia"/>
          <w:color w:val="000000"/>
        </w:rPr>
        <w:t xml:space="preserve">限用於治療泛視神經脊髓炎(neuromyelitis </w:t>
      </w:r>
      <w:proofErr w:type="spellStart"/>
      <w:r w:rsidRPr="005A73DF">
        <w:rPr>
          <w:rFonts w:ascii="標楷體" w:eastAsia="標楷體" w:hAnsi="標楷體" w:hint="eastAsia"/>
          <w:color w:val="000000"/>
        </w:rPr>
        <w:t>optica</w:t>
      </w:r>
      <w:proofErr w:type="spellEnd"/>
      <w:r w:rsidRPr="005A73DF">
        <w:rPr>
          <w:rFonts w:ascii="標楷體" w:eastAsia="標楷體" w:hAnsi="標楷體" w:hint="eastAsia"/>
          <w:color w:val="000000"/>
        </w:rPr>
        <w:t xml:space="preserve"> spectrum </w:t>
      </w:r>
      <w:proofErr w:type="spellStart"/>
      <w:r w:rsidRPr="005A73DF">
        <w:rPr>
          <w:rFonts w:ascii="標楷體" w:eastAsia="標楷體" w:hAnsi="標楷體" w:hint="eastAsia"/>
          <w:color w:val="000000"/>
        </w:rPr>
        <w:t>disorder,NMOSD</w:t>
      </w:r>
      <w:proofErr w:type="spellEnd"/>
      <w:r w:rsidRPr="005A73DF">
        <w:rPr>
          <w:rFonts w:ascii="標楷體" w:eastAsia="標楷體" w:hAnsi="標楷體" w:hint="eastAsia"/>
          <w:color w:val="000000"/>
        </w:rPr>
        <w:t>)之12歲以上患者，另</w:t>
      </w:r>
      <w:proofErr w:type="spellStart"/>
      <w:r w:rsidRPr="005A73DF">
        <w:rPr>
          <w:rFonts w:ascii="標楷體" w:eastAsia="標楷體" w:hAnsi="標楷體" w:hint="eastAsia"/>
          <w:color w:val="000000"/>
        </w:rPr>
        <w:t>inebilizumab</w:t>
      </w:r>
      <w:proofErr w:type="spellEnd"/>
      <w:r w:rsidRPr="005A73DF">
        <w:rPr>
          <w:rFonts w:ascii="標楷體" w:eastAsia="標楷體" w:hAnsi="標楷體" w:hint="eastAsia"/>
          <w:color w:val="000000"/>
        </w:rPr>
        <w:t>限用於成人，且需同時符合下列條件</w:t>
      </w:r>
      <w:r w:rsidRPr="005A73DF">
        <w:rPr>
          <w:rFonts w:ascii="標楷體" w:eastAsia="標楷體" w:hAnsi="標楷體" w:hint="eastAsia"/>
        </w:rPr>
        <w:t>：</w:t>
      </w:r>
    </w:p>
    <w:p w14:paraId="6035A486" w14:textId="77777777" w:rsidR="00FA6A1E" w:rsidRPr="005A73DF" w:rsidRDefault="00FA6A1E" w:rsidP="002144EC">
      <w:pPr>
        <w:pStyle w:val="af"/>
        <w:numPr>
          <w:ilvl w:val="0"/>
          <w:numId w:val="151"/>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經檢測為水通道蛋白4自體抗體陽性(anti-aquaporin-4[AQP4] antibody positive)。</w:t>
      </w:r>
    </w:p>
    <w:p w14:paraId="04F59854" w14:textId="77777777" w:rsidR="00FA6A1E" w:rsidRPr="005A73DF" w:rsidRDefault="00FA6A1E" w:rsidP="002144EC">
      <w:pPr>
        <w:pStyle w:val="af"/>
        <w:numPr>
          <w:ilvl w:val="0"/>
          <w:numId w:val="151"/>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使用至少3個月免疫抑制療法後，如口服皮質類固醇、azathioprine或</w:t>
      </w:r>
      <w:r w:rsidRPr="005A73DF">
        <w:rPr>
          <w:rFonts w:ascii="標楷體" w:eastAsia="標楷體" w:hAnsi="標楷體" w:hint="eastAsia"/>
        </w:rPr>
        <w:lastRenderedPageBreak/>
        <w:t>mycophenolate mofetil，仍有疾病復發。</w:t>
      </w:r>
    </w:p>
    <w:p w14:paraId="5CE1745A" w14:textId="77777777" w:rsidR="00FA6A1E" w:rsidRPr="005A73DF" w:rsidRDefault="00FA6A1E" w:rsidP="002144EC">
      <w:pPr>
        <w:pStyle w:val="af"/>
        <w:numPr>
          <w:ilvl w:val="0"/>
          <w:numId w:val="151"/>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二年內曾發生二次以上需要救援治療的復發患者，且須符合以下條件(Ⅰ+Ⅱ+Ⅲ或Ⅰ+Ⅱ+Ⅳ)(112/10/1、1</w:t>
      </w:r>
      <w:r w:rsidRPr="005A73DF">
        <w:rPr>
          <w:rFonts w:ascii="標楷體" w:eastAsia="標楷體" w:hAnsi="標楷體"/>
        </w:rPr>
        <w:t>15</w:t>
      </w:r>
      <w:r w:rsidRPr="005A73DF">
        <w:rPr>
          <w:rFonts w:ascii="標楷體" w:eastAsia="標楷體" w:hAnsi="標楷體" w:hint="eastAsia"/>
        </w:rPr>
        <w:t>/1/1、115/2/1)</w:t>
      </w:r>
    </w:p>
    <w:p w14:paraId="5039967B"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I.有神經影像學(</w:t>
      </w:r>
      <w:proofErr w:type="gramStart"/>
      <w:r w:rsidRPr="005A73DF">
        <w:rPr>
          <w:rFonts w:ascii="標楷體" w:eastAsia="標楷體" w:hAnsi="標楷體" w:hint="eastAsia"/>
        </w:rPr>
        <w:t>磁振造影</w:t>
      </w:r>
      <w:proofErr w:type="gramEnd"/>
      <w:r w:rsidRPr="005A73DF">
        <w:rPr>
          <w:rFonts w:ascii="標楷體" w:eastAsia="標楷體" w:hAnsi="標楷體" w:hint="eastAsia"/>
        </w:rPr>
        <w:t>)報告佐證其發作</w:t>
      </w:r>
    </w:p>
    <w:p w14:paraId="4C4EDB34"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II.發作時住院接受急性期治療</w:t>
      </w:r>
    </w:p>
    <w:p w14:paraId="083C30A9"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III.發作時EDSS(Expanded Disability Status Scale)分數增加，其定義為原先EDSS為0者須增加2分以上，原先EDSS大於0者須增加1分以上。</w:t>
      </w:r>
    </w:p>
    <w:p w14:paraId="082383E9" w14:textId="77777777" w:rsidR="00FA6A1E" w:rsidRPr="005A73DF" w:rsidRDefault="00FA6A1E" w:rsidP="00FA6A1E">
      <w:pPr>
        <w:pStyle w:val="af"/>
        <w:snapToGrid w:val="0"/>
        <w:spacing w:line="300" w:lineRule="exact"/>
        <w:ind w:leftChars="367" w:left="999" w:hangingChars="49" w:hanging="118"/>
        <w:jc w:val="both"/>
        <w:rPr>
          <w:rFonts w:ascii="標楷體" w:eastAsia="標楷體" w:hAnsi="標楷體"/>
        </w:rPr>
      </w:pPr>
      <w:proofErr w:type="gramStart"/>
      <w:r w:rsidRPr="005A73DF">
        <w:rPr>
          <w:rFonts w:ascii="標楷體" w:eastAsia="標楷體" w:hAnsi="標楷體" w:hint="eastAsia"/>
        </w:rPr>
        <w:t>【</w:t>
      </w:r>
      <w:proofErr w:type="gramEnd"/>
      <w:r w:rsidRPr="005A73DF">
        <w:rPr>
          <w:rFonts w:ascii="標楷體" w:eastAsia="標楷體" w:hAnsi="標楷體" w:hint="eastAsia"/>
        </w:rPr>
        <w:t>EDSS：Expanded Disability Status Scale。擴展失能狀態量表，針對神經功能的表現評估。分數介於0至10分，0分代表健康無失能狀態，10分代表死亡。】</w:t>
      </w:r>
    </w:p>
    <w:p w14:paraId="5588442E"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IV.發作時最佳矯正視力、辨色力與視野檢查呈現與視神經炎相關視覺損害加上視網膜斷層掃描儀(Optical Coherence Tomography)結構損傷之證據。</w:t>
      </w:r>
    </w:p>
    <w:p w14:paraId="67AC7DF0" w14:textId="77777777" w:rsidR="00FA6A1E" w:rsidRPr="005A73DF" w:rsidRDefault="00FA6A1E" w:rsidP="002144EC">
      <w:pPr>
        <w:pStyle w:val="af"/>
        <w:numPr>
          <w:ilvl w:val="0"/>
          <w:numId w:val="151"/>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治療前之疾病嚴重度(EDSS)須小於等於6.5分。</w:t>
      </w:r>
    </w:p>
    <w:p w14:paraId="5F68493C" w14:textId="77777777" w:rsidR="00FA6A1E" w:rsidRPr="005A73DF" w:rsidRDefault="00FA6A1E" w:rsidP="002144EC">
      <w:pPr>
        <w:pStyle w:val="af"/>
        <w:numPr>
          <w:ilvl w:val="0"/>
          <w:numId w:val="150"/>
        </w:numPr>
        <w:suppressAutoHyphens w:val="0"/>
        <w:autoSpaceDN/>
        <w:snapToGrid w:val="0"/>
        <w:spacing w:line="300" w:lineRule="exact"/>
        <w:ind w:left="851" w:hanging="284"/>
        <w:jc w:val="both"/>
        <w:textAlignment w:val="auto"/>
        <w:rPr>
          <w:rFonts w:ascii="標楷體" w:eastAsia="標楷體" w:hAnsi="標楷體"/>
        </w:rPr>
      </w:pPr>
      <w:r w:rsidRPr="005A73DF">
        <w:rPr>
          <w:rFonts w:ascii="標楷體" w:eastAsia="標楷體" w:hAnsi="標楷體" w:hint="eastAsia"/>
        </w:rPr>
        <w:t>須經事前審查核准後使用：</w:t>
      </w:r>
    </w:p>
    <w:p w14:paraId="3ECE75F6" w14:textId="77777777" w:rsidR="00FA6A1E" w:rsidRPr="005A73DF" w:rsidRDefault="00FA6A1E" w:rsidP="002144EC">
      <w:pPr>
        <w:pStyle w:val="af"/>
        <w:numPr>
          <w:ilvl w:val="0"/>
          <w:numId w:val="152"/>
        </w:numPr>
        <w:suppressAutoHyphens w:val="0"/>
        <w:autoSpaceDN/>
        <w:snapToGrid w:val="0"/>
        <w:spacing w:line="300" w:lineRule="exact"/>
        <w:ind w:left="1276" w:hanging="425"/>
        <w:jc w:val="both"/>
        <w:textAlignment w:val="auto"/>
        <w:rPr>
          <w:rFonts w:ascii="標楷體" w:eastAsia="標楷體" w:hAnsi="標楷體"/>
        </w:rPr>
      </w:pPr>
      <w:r w:rsidRPr="005A73DF">
        <w:rPr>
          <w:rFonts w:ascii="標楷體" w:eastAsia="標楷體" w:hAnsi="標楷體" w:hint="eastAsia"/>
        </w:rPr>
        <w:t>限由神經科、小兒神經科及眼科醫師開立處方。(112/10/1、1</w:t>
      </w:r>
      <w:r w:rsidRPr="005A73DF">
        <w:rPr>
          <w:rFonts w:ascii="標楷體" w:eastAsia="標楷體" w:hAnsi="標楷體"/>
        </w:rPr>
        <w:t>15</w:t>
      </w:r>
      <w:r w:rsidRPr="005A73DF">
        <w:rPr>
          <w:rFonts w:ascii="標楷體" w:eastAsia="標楷體" w:hAnsi="標楷體" w:hint="eastAsia"/>
        </w:rPr>
        <w:t>/1/1)</w:t>
      </w:r>
    </w:p>
    <w:p w14:paraId="11903F2D" w14:textId="77777777" w:rsidR="00FA6A1E" w:rsidRPr="005A73DF" w:rsidRDefault="00FA6A1E" w:rsidP="002144EC">
      <w:pPr>
        <w:pStyle w:val="af"/>
        <w:numPr>
          <w:ilvl w:val="0"/>
          <w:numId w:val="152"/>
        </w:numPr>
        <w:suppressAutoHyphens w:val="0"/>
        <w:autoSpaceDN/>
        <w:snapToGrid w:val="0"/>
        <w:spacing w:line="300" w:lineRule="exact"/>
        <w:ind w:left="1276" w:hanging="425"/>
        <w:jc w:val="both"/>
        <w:textAlignment w:val="auto"/>
        <w:rPr>
          <w:rFonts w:ascii="標楷體" w:eastAsia="標楷體" w:hAnsi="標楷體"/>
        </w:rPr>
      </w:pPr>
      <w:r w:rsidRPr="005A73DF">
        <w:rPr>
          <w:rFonts w:ascii="標楷體" w:eastAsia="標楷體" w:hAnsi="標楷體" w:hint="eastAsia"/>
        </w:rPr>
        <w:t>應</w:t>
      </w:r>
      <w:proofErr w:type="gramStart"/>
      <w:r w:rsidRPr="005A73DF">
        <w:rPr>
          <w:rFonts w:ascii="標楷體" w:eastAsia="標楷體" w:hAnsi="標楷體" w:hint="eastAsia"/>
        </w:rPr>
        <w:t>併</w:t>
      </w:r>
      <w:proofErr w:type="gramEnd"/>
      <w:r w:rsidRPr="005A73DF">
        <w:rPr>
          <w:rFonts w:ascii="標楷體" w:eastAsia="標楷體" w:hAnsi="標楷體" w:hint="eastAsia"/>
        </w:rPr>
        <w:t>檢附病人完整視力、視野、MRI、整個用藥期間復發情形之相關完整病歷等資料。</w:t>
      </w:r>
    </w:p>
    <w:p w14:paraId="65D46EE5" w14:textId="77777777" w:rsidR="00FA6A1E" w:rsidRPr="005A73DF" w:rsidRDefault="00FA6A1E" w:rsidP="002144EC">
      <w:pPr>
        <w:pStyle w:val="af"/>
        <w:numPr>
          <w:ilvl w:val="0"/>
          <w:numId w:val="152"/>
        </w:numPr>
        <w:suppressAutoHyphens w:val="0"/>
        <w:autoSpaceDN/>
        <w:snapToGrid w:val="0"/>
        <w:spacing w:line="300" w:lineRule="exact"/>
        <w:ind w:left="1418" w:hanging="425"/>
        <w:jc w:val="both"/>
        <w:textAlignment w:val="auto"/>
        <w:rPr>
          <w:rFonts w:ascii="標楷體" w:eastAsia="標楷體" w:hAnsi="標楷體"/>
        </w:rPr>
      </w:pPr>
      <w:r w:rsidRPr="005A73DF">
        <w:rPr>
          <w:rFonts w:ascii="標楷體" w:eastAsia="標楷體" w:hAnsi="標楷體" w:hint="eastAsia"/>
        </w:rPr>
        <w:t>初始給付期間以12個月為限。</w:t>
      </w:r>
    </w:p>
    <w:p w14:paraId="21AF4752" w14:textId="77777777" w:rsidR="00FA6A1E" w:rsidRPr="005A73DF" w:rsidRDefault="00FA6A1E" w:rsidP="002144EC">
      <w:pPr>
        <w:pStyle w:val="af"/>
        <w:numPr>
          <w:ilvl w:val="0"/>
          <w:numId w:val="150"/>
        </w:numPr>
        <w:suppressAutoHyphens w:val="0"/>
        <w:autoSpaceDN/>
        <w:snapToGrid w:val="0"/>
        <w:spacing w:line="300" w:lineRule="exact"/>
        <w:ind w:left="851" w:hanging="284"/>
        <w:jc w:val="both"/>
        <w:textAlignment w:val="auto"/>
        <w:rPr>
          <w:rFonts w:ascii="標楷體" w:eastAsia="標楷體" w:hAnsi="標楷體"/>
        </w:rPr>
      </w:pPr>
      <w:r w:rsidRPr="005A73DF">
        <w:rPr>
          <w:rFonts w:ascii="標楷體" w:eastAsia="標楷體" w:hAnsi="標楷體" w:hint="eastAsia"/>
          <w:color w:val="000000"/>
        </w:rPr>
        <w:t>續用標準：初始</w:t>
      </w:r>
      <w:r w:rsidRPr="00C069BF">
        <w:rPr>
          <w:rFonts w:ascii="標楷體" w:eastAsia="標楷體" w:hAnsi="標楷體" w:hint="eastAsia"/>
        </w:rPr>
        <w:t>給付</w:t>
      </w:r>
      <w:r w:rsidRPr="005A73DF">
        <w:rPr>
          <w:rFonts w:ascii="標楷體" w:eastAsia="標楷體" w:hAnsi="標楷體" w:hint="eastAsia"/>
          <w:color w:val="000000"/>
        </w:rPr>
        <w:t>12個月後，應每6個月測量病人之EDSS分數，且EDSS值</w:t>
      </w:r>
      <w:proofErr w:type="gramStart"/>
      <w:r w:rsidRPr="005A73DF">
        <w:rPr>
          <w:rFonts w:ascii="標楷體" w:eastAsia="標楷體" w:hAnsi="標楷體" w:hint="eastAsia"/>
          <w:color w:val="000000"/>
        </w:rPr>
        <w:t>≦</w:t>
      </w:r>
      <w:proofErr w:type="gramEnd"/>
      <w:r w:rsidRPr="005A73DF">
        <w:rPr>
          <w:rFonts w:ascii="標楷體" w:eastAsia="標楷體" w:hAnsi="標楷體" w:hint="eastAsia"/>
          <w:color w:val="000000"/>
        </w:rPr>
        <w:t>6.5分，始得續用，每次</w:t>
      </w:r>
      <w:proofErr w:type="gramStart"/>
      <w:r w:rsidRPr="005A73DF">
        <w:rPr>
          <w:rFonts w:ascii="標楷體" w:eastAsia="標楷體" w:hAnsi="標楷體" w:hint="eastAsia"/>
          <w:color w:val="000000"/>
        </w:rPr>
        <w:t>續用限6個月</w:t>
      </w:r>
      <w:proofErr w:type="gramEnd"/>
      <w:r w:rsidRPr="005A73DF">
        <w:rPr>
          <w:rFonts w:ascii="標楷體" w:eastAsia="標楷體" w:hAnsi="標楷體" w:hint="eastAsia"/>
          <w:color w:val="000000"/>
        </w:rPr>
        <w:t>。</w:t>
      </w:r>
    </w:p>
    <w:p w14:paraId="5C4FDF7E" w14:textId="77777777" w:rsidR="00FA6A1E" w:rsidRPr="00C069BF" w:rsidRDefault="00FA6A1E" w:rsidP="002144EC">
      <w:pPr>
        <w:pStyle w:val="af"/>
        <w:numPr>
          <w:ilvl w:val="0"/>
          <w:numId w:val="150"/>
        </w:numPr>
        <w:suppressAutoHyphens w:val="0"/>
        <w:autoSpaceDN/>
        <w:snapToGrid w:val="0"/>
        <w:spacing w:line="300" w:lineRule="exact"/>
        <w:ind w:left="851" w:hanging="284"/>
        <w:jc w:val="both"/>
        <w:textAlignment w:val="auto"/>
        <w:rPr>
          <w:rFonts w:ascii="標楷體" w:eastAsia="標楷體" w:hAnsi="標楷體"/>
        </w:rPr>
      </w:pPr>
      <w:r w:rsidRPr="005A73DF">
        <w:rPr>
          <w:rFonts w:ascii="標楷體" w:eastAsia="標楷體" w:hAnsi="標楷體" w:hint="eastAsia"/>
          <w:color w:val="000000"/>
        </w:rPr>
        <w:t>停用標準：使用</w:t>
      </w:r>
      <w:proofErr w:type="spellStart"/>
      <w:r w:rsidRPr="005A73DF">
        <w:rPr>
          <w:rFonts w:ascii="標楷體" w:eastAsia="標楷體" w:hAnsi="標楷體" w:hint="eastAsia"/>
          <w:color w:val="000000"/>
        </w:rPr>
        <w:t>satr</w:t>
      </w:r>
      <w:r w:rsidRPr="00C069BF">
        <w:rPr>
          <w:rFonts w:ascii="標楷體" w:eastAsia="標楷體" w:hAnsi="標楷體" w:hint="eastAsia"/>
        </w:rPr>
        <w:t>alizumab</w:t>
      </w:r>
      <w:proofErr w:type="spellEnd"/>
      <w:r w:rsidRPr="00C069BF">
        <w:rPr>
          <w:rFonts w:ascii="標楷體" w:eastAsia="標楷體" w:hAnsi="標楷體" w:hint="eastAsia"/>
        </w:rPr>
        <w:t>或</w:t>
      </w:r>
      <w:proofErr w:type="spellStart"/>
      <w:r w:rsidRPr="00C069BF">
        <w:rPr>
          <w:rFonts w:ascii="標楷體" w:eastAsia="標楷體" w:hAnsi="標楷體" w:hint="eastAsia"/>
        </w:rPr>
        <w:t>inebilizumab</w:t>
      </w:r>
      <w:proofErr w:type="spellEnd"/>
      <w:r w:rsidRPr="00C069BF">
        <w:rPr>
          <w:rFonts w:ascii="標楷體" w:eastAsia="標楷體" w:hAnsi="標楷體" w:hint="eastAsia"/>
        </w:rPr>
        <w:t>後，病人疾病惡化，且EDSS</w:t>
      </w:r>
      <w:proofErr w:type="gramStart"/>
      <w:r w:rsidRPr="00C069BF">
        <w:rPr>
          <w:rFonts w:ascii="標楷體" w:eastAsia="標楷體" w:hAnsi="標楷體" w:hint="eastAsia"/>
        </w:rPr>
        <w:t>≧</w:t>
      </w:r>
      <w:proofErr w:type="gramEnd"/>
      <w:r w:rsidRPr="00C069BF">
        <w:rPr>
          <w:rFonts w:ascii="標楷體" w:eastAsia="標楷體" w:hAnsi="標楷體" w:hint="eastAsia"/>
        </w:rPr>
        <w:t>8分，或疾病年度發作頻率增加者，應停止使用。</w:t>
      </w:r>
    </w:p>
    <w:p w14:paraId="7F3DC248" w14:textId="77777777" w:rsidR="00401786" w:rsidRDefault="00FA6A1E" w:rsidP="002144EC">
      <w:pPr>
        <w:pStyle w:val="af"/>
        <w:numPr>
          <w:ilvl w:val="0"/>
          <w:numId w:val="150"/>
        </w:numPr>
        <w:suppressAutoHyphens w:val="0"/>
        <w:autoSpaceDN/>
        <w:snapToGrid w:val="0"/>
        <w:spacing w:line="300" w:lineRule="exact"/>
        <w:ind w:left="851" w:hanging="284"/>
        <w:jc w:val="both"/>
        <w:textAlignment w:val="auto"/>
        <w:rPr>
          <w:rFonts w:ascii="標楷體" w:eastAsia="標楷體" w:hAnsi="標楷體"/>
          <w:color w:val="000000"/>
          <w:szCs w:val="24"/>
        </w:rPr>
      </w:pPr>
      <w:proofErr w:type="spellStart"/>
      <w:r w:rsidRPr="00FA6A1E">
        <w:rPr>
          <w:rFonts w:ascii="標楷體" w:eastAsia="標楷體" w:hAnsi="標楷體" w:hint="eastAsia"/>
          <w:color w:val="000000"/>
        </w:rPr>
        <w:t>Satralizumab</w:t>
      </w:r>
      <w:proofErr w:type="spellEnd"/>
      <w:r w:rsidRPr="00C069BF">
        <w:rPr>
          <w:rFonts w:ascii="標楷體" w:eastAsia="標楷體" w:hAnsi="標楷體" w:hint="eastAsia"/>
        </w:rPr>
        <w:t>或</w:t>
      </w:r>
      <w:proofErr w:type="spellStart"/>
      <w:r w:rsidRPr="00C069BF">
        <w:rPr>
          <w:rFonts w:ascii="標楷體" w:eastAsia="標楷體" w:hAnsi="標楷體" w:hint="eastAsia"/>
        </w:rPr>
        <w:t>inebi</w:t>
      </w:r>
      <w:r w:rsidRPr="005A73DF">
        <w:rPr>
          <w:rFonts w:ascii="標楷體" w:eastAsia="標楷體" w:hAnsi="標楷體" w:hint="eastAsia"/>
          <w:color w:val="000000"/>
        </w:rPr>
        <w:t>lizumab</w:t>
      </w:r>
      <w:proofErr w:type="spellEnd"/>
      <w:r w:rsidRPr="005A73DF">
        <w:rPr>
          <w:rFonts w:ascii="標楷體" w:eastAsia="標楷體" w:hAnsi="標楷體" w:hint="eastAsia"/>
          <w:color w:val="000000"/>
        </w:rPr>
        <w:t>僅得擇</w:t>
      </w:r>
      <w:proofErr w:type="gramStart"/>
      <w:r w:rsidRPr="005A73DF">
        <w:rPr>
          <w:rFonts w:ascii="標楷體" w:eastAsia="標楷體" w:hAnsi="標楷體" w:hint="eastAsia"/>
          <w:color w:val="000000"/>
        </w:rPr>
        <w:t>一</w:t>
      </w:r>
      <w:proofErr w:type="gramEnd"/>
      <w:r w:rsidRPr="005A73DF">
        <w:rPr>
          <w:rFonts w:ascii="標楷體" w:eastAsia="標楷體" w:hAnsi="標楷體" w:hint="eastAsia"/>
          <w:color w:val="000000"/>
        </w:rPr>
        <w:t>使用，惟在有耐受不良時方可轉換使用。</w:t>
      </w:r>
      <w:bookmarkEnd w:id="25"/>
    </w:p>
    <w:p w14:paraId="7F53385E" w14:textId="77777777" w:rsidR="00401786" w:rsidRDefault="00C64FB3" w:rsidP="0009639E">
      <w:pPr>
        <w:spacing w:line="300" w:lineRule="exact"/>
        <w:ind w:left="560" w:hanging="276"/>
        <w:rPr>
          <w:rFonts w:ascii="標楷體" w:eastAsia="標楷體" w:hAnsi="標楷體"/>
          <w:szCs w:val="24"/>
        </w:rPr>
      </w:pPr>
      <w:r>
        <w:rPr>
          <w:rFonts w:ascii="標楷體" w:eastAsia="標楷體" w:hAnsi="標楷體"/>
          <w:szCs w:val="24"/>
        </w:rPr>
        <w:t>8.2.15.Siltuximab (如</w:t>
      </w:r>
      <w:proofErr w:type="spellStart"/>
      <w:r>
        <w:rPr>
          <w:rFonts w:ascii="標楷體" w:eastAsia="標楷體" w:hAnsi="標楷體"/>
          <w:szCs w:val="24"/>
        </w:rPr>
        <w:t>Sylvant</w:t>
      </w:r>
      <w:proofErr w:type="spellEnd"/>
      <w:r>
        <w:rPr>
          <w:rFonts w:ascii="標楷體" w:eastAsia="標楷體" w:hAnsi="標楷體"/>
          <w:szCs w:val="24"/>
        </w:rPr>
        <w:t xml:space="preserve">):(113/2/1) </w:t>
      </w:r>
    </w:p>
    <w:p w14:paraId="36A663DD"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限免疫過敏或血液腫瘤專科醫師處方。</w:t>
      </w:r>
    </w:p>
    <w:p w14:paraId="2851D68D"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限用於治療人類免疫不全病毒(HIV)陰性及人類皰疹病毒-8 (HHV-8)陰性的多發性Castleman氏病(Multicentric Castleman's Disease(MCD))患者，ECOG</w:t>
      </w:r>
      <w:proofErr w:type="gramStart"/>
      <w:r>
        <w:rPr>
          <w:rFonts w:ascii="標楷體" w:eastAsia="標楷體" w:hAnsi="標楷體"/>
          <w:szCs w:val="24"/>
        </w:rPr>
        <w:t>≦</w:t>
      </w:r>
      <w:proofErr w:type="gramEnd"/>
      <w:r>
        <w:rPr>
          <w:rFonts w:ascii="標楷體" w:eastAsia="標楷體" w:hAnsi="標楷體"/>
          <w:szCs w:val="24"/>
        </w:rPr>
        <w:t>2。</w:t>
      </w:r>
    </w:p>
    <w:p w14:paraId="66A09AB7" w14:textId="77777777" w:rsidR="00401786" w:rsidRDefault="00C64FB3">
      <w:pPr>
        <w:numPr>
          <w:ilvl w:val="0"/>
          <w:numId w:val="26"/>
        </w:numPr>
        <w:spacing w:line="300" w:lineRule="exact"/>
        <w:ind w:left="803" w:hanging="280"/>
        <w:rPr>
          <w:rFonts w:ascii="標楷體" w:eastAsia="標楷體" w:hAnsi="標楷體"/>
          <w:szCs w:val="24"/>
        </w:rPr>
      </w:pPr>
      <w:r>
        <w:rPr>
          <w:rFonts w:ascii="標楷體" w:eastAsia="標楷體" w:hAnsi="標楷體"/>
          <w:szCs w:val="24"/>
        </w:rPr>
        <w:t>需經事前審查核准後使用。初次申請時，以6個月為限，之後每3個月再次申請，再次申請時應檢附前次治療結果評估資料，如血液學或影像學檢查報告。</w:t>
      </w:r>
    </w:p>
    <w:p w14:paraId="3A5C40DD"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病人需符合與</w:t>
      </w:r>
      <w:proofErr w:type="spellStart"/>
      <w:r>
        <w:rPr>
          <w:rFonts w:ascii="標楷體" w:eastAsia="標楷體" w:hAnsi="標楷體"/>
          <w:szCs w:val="24"/>
        </w:rPr>
        <w:t>iMCD</w:t>
      </w:r>
      <w:proofErr w:type="spellEnd"/>
      <w:r>
        <w:rPr>
          <w:rFonts w:ascii="標楷體" w:eastAsia="標楷體" w:hAnsi="標楷體"/>
          <w:szCs w:val="24"/>
        </w:rPr>
        <w:t xml:space="preserve"> 譜系(</w:t>
      </w:r>
      <w:proofErr w:type="spellStart"/>
      <w:r>
        <w:rPr>
          <w:rFonts w:ascii="標楷體" w:eastAsia="標楷體" w:hAnsi="標楷體"/>
          <w:szCs w:val="24"/>
        </w:rPr>
        <w:t>iMCD</w:t>
      </w:r>
      <w:proofErr w:type="spellEnd"/>
      <w:r>
        <w:rPr>
          <w:rFonts w:ascii="標楷體" w:eastAsia="標楷體" w:hAnsi="標楷體"/>
          <w:szCs w:val="24"/>
        </w:rPr>
        <w:t xml:space="preserve"> spectrum)一致的組織病理學淋巴結特徵。</w:t>
      </w:r>
    </w:p>
    <w:p w14:paraId="003124B9"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病人需至少在2個淋巴結分區(lymph node stations)有淋巴結腫大(短軸直徑至少1 cm)。</w:t>
      </w:r>
    </w:p>
    <w:p w14:paraId="785A76CA"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申請時須註明，病人至少符合2項以上</w:t>
      </w:r>
      <w:proofErr w:type="spellStart"/>
      <w:r>
        <w:rPr>
          <w:rFonts w:ascii="標楷體" w:eastAsia="標楷體" w:hAnsi="標楷體"/>
          <w:szCs w:val="24"/>
        </w:rPr>
        <w:t>iMCD</w:t>
      </w:r>
      <w:proofErr w:type="spellEnd"/>
      <w:r>
        <w:rPr>
          <w:rFonts w:ascii="標楷體" w:eastAsia="標楷體" w:hAnsi="標楷體"/>
          <w:szCs w:val="24"/>
        </w:rPr>
        <w:t>診斷標準(</w:t>
      </w:r>
      <w:proofErr w:type="spellStart"/>
      <w:r>
        <w:rPr>
          <w:rFonts w:ascii="標楷體" w:eastAsia="標楷體" w:hAnsi="標楷體"/>
          <w:szCs w:val="24"/>
        </w:rPr>
        <w:t>iMCD</w:t>
      </w:r>
      <w:proofErr w:type="spellEnd"/>
      <w:r>
        <w:rPr>
          <w:rFonts w:ascii="標楷體" w:eastAsia="標楷體" w:hAnsi="標楷體"/>
          <w:szCs w:val="24"/>
        </w:rPr>
        <w:t xml:space="preserve"> 實驗室診斷標準(laboratory </w:t>
      </w:r>
      <w:proofErr w:type="spellStart"/>
      <w:r>
        <w:rPr>
          <w:rFonts w:ascii="標楷體" w:eastAsia="標楷體" w:hAnsi="標楷體"/>
          <w:szCs w:val="24"/>
        </w:rPr>
        <w:t>iMCD</w:t>
      </w:r>
      <w:proofErr w:type="spellEnd"/>
      <w:r>
        <w:rPr>
          <w:rFonts w:ascii="標楷體" w:eastAsia="標楷體" w:hAnsi="標楷體"/>
          <w:szCs w:val="24"/>
        </w:rPr>
        <w:t xml:space="preserve"> diagnostic criteria)或</w:t>
      </w:r>
      <w:proofErr w:type="spellStart"/>
      <w:r>
        <w:rPr>
          <w:rFonts w:ascii="標楷體" w:eastAsia="標楷體" w:hAnsi="標楷體"/>
          <w:szCs w:val="24"/>
        </w:rPr>
        <w:t>iMCD</w:t>
      </w:r>
      <w:proofErr w:type="spellEnd"/>
      <w:r>
        <w:rPr>
          <w:rFonts w:ascii="標楷體" w:eastAsia="標楷體" w:hAnsi="標楷體"/>
          <w:szCs w:val="24"/>
        </w:rPr>
        <w:t xml:space="preserve">臨床診斷標準(clinical </w:t>
      </w:r>
      <w:proofErr w:type="spellStart"/>
      <w:r>
        <w:rPr>
          <w:rFonts w:ascii="標楷體" w:eastAsia="標楷體" w:hAnsi="標楷體"/>
          <w:szCs w:val="24"/>
        </w:rPr>
        <w:t>iMCD</w:t>
      </w:r>
      <w:proofErr w:type="spellEnd"/>
      <w:r>
        <w:rPr>
          <w:rFonts w:ascii="標楷體" w:eastAsia="標楷體" w:hAnsi="標楷體"/>
          <w:szCs w:val="24"/>
        </w:rPr>
        <w:t xml:space="preserve"> diagnostic criteria))，且至少1項須為實驗室診斷標準。</w:t>
      </w:r>
    </w:p>
    <w:p w14:paraId="418C1C52"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排除其他疾病因素：</w:t>
      </w:r>
    </w:p>
    <w:p w14:paraId="37273E19"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人類皰疹病毒-8感染。</w:t>
      </w:r>
    </w:p>
    <w:p w14:paraId="7786036B"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Epstein-Barr病毒淋巴增生性疾病。</w:t>
      </w:r>
    </w:p>
    <w:p w14:paraId="6B3E24DE"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急性/不受控制的感染(如巨細胞病毒、弓形蟲病、人類免疫缺陷病毒、肺結核)所導致的炎症並伴有淋巴結腫大。</w:t>
      </w:r>
    </w:p>
    <w:p w14:paraId="4A19425F"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自身免疫/自體發炎性疾病。</w:t>
      </w:r>
    </w:p>
    <w:p w14:paraId="46141BBD"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惡性/淋巴增生性疾病。</w:t>
      </w:r>
    </w:p>
    <w:p w14:paraId="0C790AB7"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停用時機：</w:t>
      </w:r>
    </w:p>
    <w:p w14:paraId="1A9CB4EC"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初次治療前6個月未符合治療改善之定義，停止使用。</w:t>
      </w:r>
    </w:p>
    <w:p w14:paraId="08D57C2F"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維持治療：每3個月評估直到疾病進展(Progression Disease)則停止治療。</w:t>
      </w:r>
    </w:p>
    <w:p w14:paraId="0109BE44"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若疾病進展或無法耐受藥物副作用，則必須停止使用。</w:t>
      </w:r>
    </w:p>
    <w:p w14:paraId="6DD4EA1A" w14:textId="77777777" w:rsidR="00401786" w:rsidRDefault="00C64FB3">
      <w:pPr>
        <w:numPr>
          <w:ilvl w:val="0"/>
          <w:numId w:val="26"/>
        </w:numPr>
        <w:spacing w:line="300" w:lineRule="exact"/>
        <w:ind w:left="971" w:hanging="448"/>
        <w:rPr>
          <w:rFonts w:ascii="標楷體" w:eastAsia="標楷體" w:hAnsi="標楷體"/>
          <w:szCs w:val="24"/>
        </w:rPr>
      </w:pPr>
      <w:r>
        <w:rPr>
          <w:rFonts w:ascii="標楷體" w:eastAsia="標楷體" w:hAnsi="標楷體"/>
          <w:szCs w:val="24"/>
        </w:rPr>
        <w:t xml:space="preserve">最長使用2年，復發時依初次使用標準審查。 </w:t>
      </w:r>
    </w:p>
    <w:p w14:paraId="1C25D884" w14:textId="77777777" w:rsidR="00401786" w:rsidRDefault="00C64FB3" w:rsidP="0009639E">
      <w:pPr>
        <w:spacing w:line="300" w:lineRule="exact"/>
        <w:ind w:left="482" w:hanging="2"/>
        <w:rPr>
          <w:rFonts w:ascii="標楷體" w:eastAsia="標楷體" w:hAnsi="標楷體"/>
          <w:szCs w:val="24"/>
        </w:rPr>
      </w:pPr>
      <w:r>
        <w:rPr>
          <w:rFonts w:ascii="標楷體" w:eastAsia="標楷體" w:hAnsi="標楷體"/>
          <w:szCs w:val="24"/>
        </w:rPr>
        <w:t>備註：</w:t>
      </w:r>
    </w:p>
    <w:p w14:paraId="72F002B6" w14:textId="77777777" w:rsidR="00401786" w:rsidRDefault="00C64FB3">
      <w:pPr>
        <w:numPr>
          <w:ilvl w:val="0"/>
          <w:numId w:val="27"/>
        </w:numPr>
        <w:spacing w:line="300" w:lineRule="exact"/>
        <w:ind w:left="764" w:hanging="284"/>
        <w:rPr>
          <w:rFonts w:ascii="標楷體" w:eastAsia="標楷體" w:hAnsi="標楷體"/>
          <w:szCs w:val="24"/>
        </w:rPr>
      </w:pPr>
      <w:proofErr w:type="spellStart"/>
      <w:r>
        <w:rPr>
          <w:rFonts w:ascii="標楷體" w:eastAsia="標楷體" w:hAnsi="標楷體"/>
          <w:szCs w:val="24"/>
        </w:rPr>
        <w:t>iMCD</w:t>
      </w:r>
      <w:proofErr w:type="spellEnd"/>
      <w:r>
        <w:rPr>
          <w:rFonts w:ascii="標楷體" w:eastAsia="標楷體" w:hAnsi="標楷體"/>
          <w:szCs w:val="24"/>
        </w:rPr>
        <w:t xml:space="preserve">實驗室診斷標準(laboratory </w:t>
      </w:r>
      <w:proofErr w:type="spellStart"/>
      <w:r>
        <w:rPr>
          <w:rFonts w:ascii="標楷體" w:eastAsia="標楷體" w:hAnsi="標楷體"/>
          <w:szCs w:val="24"/>
        </w:rPr>
        <w:t>iMCD</w:t>
      </w:r>
      <w:proofErr w:type="spellEnd"/>
      <w:r>
        <w:rPr>
          <w:rFonts w:ascii="標楷體" w:eastAsia="標楷體" w:hAnsi="標楷體"/>
          <w:szCs w:val="24"/>
        </w:rPr>
        <w:t xml:space="preserve"> diagnostic criteria)：</w:t>
      </w:r>
    </w:p>
    <w:p w14:paraId="7CA4FA3F"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lastRenderedPageBreak/>
        <w:t>CRP升高(＞10mg/L)或紅血球</w:t>
      </w:r>
      <w:proofErr w:type="gramStart"/>
      <w:r>
        <w:rPr>
          <w:rFonts w:ascii="標楷體" w:eastAsia="標楷體" w:hAnsi="標楷體"/>
          <w:szCs w:val="24"/>
        </w:rPr>
        <w:t>沉</w:t>
      </w:r>
      <w:proofErr w:type="gramEnd"/>
      <w:r>
        <w:rPr>
          <w:rFonts w:ascii="標楷體" w:eastAsia="標楷體" w:hAnsi="標楷體"/>
          <w:szCs w:val="24"/>
        </w:rPr>
        <w:t xml:space="preserve">降速率(erythrocyte sedimentation </w:t>
      </w:r>
      <w:proofErr w:type="spellStart"/>
      <w:r>
        <w:rPr>
          <w:rFonts w:ascii="標楷體" w:eastAsia="標楷體" w:hAnsi="標楷體"/>
          <w:szCs w:val="24"/>
        </w:rPr>
        <w:t>rate,ESR</w:t>
      </w:r>
      <w:proofErr w:type="spellEnd"/>
      <w:r>
        <w:rPr>
          <w:rFonts w:ascii="標楷體" w:eastAsia="標楷體" w:hAnsi="標楷體"/>
          <w:szCs w:val="24"/>
        </w:rPr>
        <w:t>)升高（＞15mm/h）。</w:t>
      </w:r>
    </w:p>
    <w:p w14:paraId="60214616"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貧血</w:t>
      </w:r>
      <w:proofErr w:type="gramStart"/>
      <w:r>
        <w:rPr>
          <w:rFonts w:ascii="標楷體" w:eastAsia="標楷體" w:hAnsi="標楷體"/>
          <w:szCs w:val="24"/>
        </w:rPr>
        <w:t>（</w:t>
      </w:r>
      <w:proofErr w:type="gramEnd"/>
      <w:r>
        <w:rPr>
          <w:rFonts w:ascii="標楷體" w:eastAsia="標楷體" w:hAnsi="標楷體"/>
          <w:szCs w:val="24"/>
        </w:rPr>
        <w:t>男性血紅蛋白＜12.5g/dL；女性血紅蛋白＜11.5g/dL</w:t>
      </w:r>
      <w:proofErr w:type="gramStart"/>
      <w:r>
        <w:rPr>
          <w:rFonts w:ascii="標楷體" w:eastAsia="標楷體" w:hAnsi="標楷體"/>
          <w:szCs w:val="24"/>
        </w:rPr>
        <w:t>）</w:t>
      </w:r>
      <w:proofErr w:type="gramEnd"/>
      <w:r>
        <w:rPr>
          <w:rFonts w:ascii="標楷體" w:eastAsia="標楷體" w:hAnsi="標楷體"/>
          <w:szCs w:val="24"/>
        </w:rPr>
        <w:t>。</w:t>
      </w:r>
    </w:p>
    <w:p w14:paraId="778A95ED"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血小板減少症(血小板數＜150k/mL)或血小板增多症(血小板數＞400k/mL)。</w:t>
      </w:r>
    </w:p>
    <w:p w14:paraId="1AA6A06F"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低白蛋白血症(白蛋白＜3.5g/dL)。</w:t>
      </w:r>
    </w:p>
    <w:p w14:paraId="05657534" w14:textId="77777777" w:rsidR="00401786" w:rsidRDefault="00C64FB3">
      <w:pPr>
        <w:numPr>
          <w:ilvl w:val="1"/>
          <w:numId w:val="27"/>
        </w:numPr>
        <w:spacing w:line="300" w:lineRule="exact"/>
        <w:ind w:left="1188" w:hanging="425"/>
      </w:pPr>
      <w:r>
        <w:rPr>
          <w:rFonts w:ascii="標楷體" w:eastAsia="標楷體" w:hAnsi="標楷體"/>
          <w:szCs w:val="24"/>
        </w:rPr>
        <w:t>腎功能異常（eGFR＜60mL/min/1.73m</w:t>
      </w:r>
      <w:r>
        <w:rPr>
          <w:rFonts w:ascii="標楷體" w:eastAsia="標楷體" w:hAnsi="標楷體"/>
          <w:szCs w:val="24"/>
          <w:vertAlign w:val="superscript"/>
        </w:rPr>
        <w:t>2</w:t>
      </w:r>
      <w:r>
        <w:rPr>
          <w:rFonts w:ascii="標楷體" w:eastAsia="標楷體" w:hAnsi="標楷體"/>
          <w:szCs w:val="24"/>
        </w:rPr>
        <w:t>）或蛋白尿（總蛋白質150mg/24h或10mg/100mL）。</w:t>
      </w:r>
    </w:p>
    <w:p w14:paraId="204E0C2E" w14:textId="77777777" w:rsidR="00401786" w:rsidRDefault="00C64FB3">
      <w:pPr>
        <w:numPr>
          <w:ilvl w:val="1"/>
          <w:numId w:val="27"/>
        </w:numPr>
        <w:spacing w:line="300" w:lineRule="exact"/>
        <w:ind w:left="1188" w:hanging="425"/>
        <w:rPr>
          <w:rFonts w:ascii="標楷體" w:eastAsia="標楷體" w:hAnsi="標楷體"/>
          <w:szCs w:val="24"/>
        </w:rPr>
      </w:pPr>
      <w:proofErr w:type="gramStart"/>
      <w:r>
        <w:rPr>
          <w:rFonts w:ascii="標楷體" w:eastAsia="標楷體" w:hAnsi="標楷體"/>
          <w:szCs w:val="24"/>
        </w:rPr>
        <w:t>多株高丙型</w:t>
      </w:r>
      <w:proofErr w:type="gramEnd"/>
      <w:r>
        <w:rPr>
          <w:rFonts w:ascii="標楷體" w:eastAsia="標楷體" w:hAnsi="標楷體"/>
          <w:szCs w:val="24"/>
        </w:rPr>
        <w:t>球蛋白血症（polyclonal hypergammaglobulinemia）（總g球蛋白或免疫球蛋白G＞1700mg/dL）。</w:t>
      </w:r>
    </w:p>
    <w:p w14:paraId="6D3614B4" w14:textId="77777777" w:rsidR="00401786" w:rsidRDefault="00C64FB3">
      <w:pPr>
        <w:numPr>
          <w:ilvl w:val="0"/>
          <w:numId w:val="27"/>
        </w:numPr>
        <w:spacing w:line="300" w:lineRule="exact"/>
        <w:ind w:left="764" w:hanging="284"/>
        <w:rPr>
          <w:rFonts w:ascii="標楷體" w:eastAsia="標楷體" w:hAnsi="標楷體"/>
          <w:szCs w:val="24"/>
        </w:rPr>
      </w:pPr>
      <w:proofErr w:type="spellStart"/>
      <w:r>
        <w:rPr>
          <w:rFonts w:ascii="標楷體" w:eastAsia="標楷體" w:hAnsi="標楷體"/>
          <w:szCs w:val="24"/>
        </w:rPr>
        <w:t>iMCD</w:t>
      </w:r>
      <w:proofErr w:type="spellEnd"/>
      <w:r>
        <w:rPr>
          <w:rFonts w:ascii="標楷體" w:eastAsia="標楷體" w:hAnsi="標楷體"/>
          <w:szCs w:val="24"/>
        </w:rPr>
        <w:t xml:space="preserve">臨床診斷標準(clinical </w:t>
      </w:r>
      <w:proofErr w:type="spellStart"/>
      <w:r>
        <w:rPr>
          <w:rFonts w:ascii="標楷體" w:eastAsia="標楷體" w:hAnsi="標楷體"/>
          <w:szCs w:val="24"/>
        </w:rPr>
        <w:t>iMCD</w:t>
      </w:r>
      <w:proofErr w:type="spellEnd"/>
      <w:r>
        <w:rPr>
          <w:rFonts w:ascii="標楷體" w:eastAsia="標楷體" w:hAnsi="標楷體"/>
          <w:szCs w:val="24"/>
        </w:rPr>
        <w:t xml:space="preserve"> diagnostic criteria)：</w:t>
      </w:r>
    </w:p>
    <w:p w14:paraId="4EC52EFB" w14:textId="77777777" w:rsidR="00401786" w:rsidRDefault="00C64FB3">
      <w:pPr>
        <w:numPr>
          <w:ilvl w:val="1"/>
          <w:numId w:val="27"/>
        </w:numPr>
        <w:spacing w:line="300" w:lineRule="exact"/>
        <w:ind w:left="1188" w:hanging="425"/>
      </w:pPr>
      <w:r>
        <w:rPr>
          <w:rFonts w:ascii="標楷體" w:eastAsia="標楷體" w:hAnsi="標楷體"/>
          <w:szCs w:val="24"/>
        </w:rPr>
        <w:t>全身症狀：盜汗、發燒(＞38</w:t>
      </w:r>
      <w:r>
        <w:rPr>
          <w:rFonts w:ascii="標楷體" w:eastAsia="標楷體" w:hAnsi="標楷體"/>
          <w:szCs w:val="24"/>
          <w:vertAlign w:val="superscript"/>
        </w:rPr>
        <w:t>0</w:t>
      </w:r>
      <w:r>
        <w:rPr>
          <w:rFonts w:ascii="標楷體" w:eastAsia="標楷體" w:hAnsi="標楷體"/>
          <w:szCs w:val="24"/>
        </w:rPr>
        <w:t>C)、體重減輕或疲勞</w:t>
      </w:r>
      <w:proofErr w:type="gramStart"/>
      <w:r>
        <w:rPr>
          <w:rFonts w:ascii="標楷體" w:eastAsia="標楷體" w:hAnsi="標楷體"/>
          <w:szCs w:val="24"/>
        </w:rPr>
        <w:t>（</w:t>
      </w:r>
      <w:proofErr w:type="gramEnd"/>
      <w:r>
        <w:rPr>
          <w:rFonts w:ascii="標楷體" w:eastAsia="標楷體" w:hAnsi="標楷體"/>
          <w:szCs w:val="24"/>
        </w:rPr>
        <w:t>使用不良事件通用術語標準，該症狀至少2分</w:t>
      </w:r>
      <w:proofErr w:type="gramStart"/>
      <w:r>
        <w:rPr>
          <w:rFonts w:ascii="標楷體" w:eastAsia="標楷體" w:hAnsi="標楷體"/>
          <w:szCs w:val="24"/>
        </w:rPr>
        <w:t>（</w:t>
      </w:r>
      <w:proofErr w:type="gramEnd"/>
      <w:r>
        <w:rPr>
          <w:rFonts w:ascii="標楷體" w:eastAsia="標楷體" w:hAnsi="標楷體"/>
          <w:szCs w:val="24"/>
        </w:rPr>
        <w:t xml:space="preserve">CTCAE </w:t>
      </w:r>
      <w:proofErr w:type="spellStart"/>
      <w:r>
        <w:rPr>
          <w:rFonts w:ascii="標楷體" w:eastAsia="標楷體" w:hAnsi="標楷體"/>
          <w:szCs w:val="24"/>
        </w:rPr>
        <w:t>gradeⅡ</w:t>
      </w:r>
      <w:proofErr w:type="spellEnd"/>
      <w:r>
        <w:rPr>
          <w:rFonts w:ascii="標楷體" w:eastAsia="標楷體" w:hAnsi="標楷體"/>
          <w:szCs w:val="24"/>
        </w:rPr>
        <w:t>以上</w:t>
      </w:r>
      <w:proofErr w:type="gramStart"/>
      <w:r>
        <w:rPr>
          <w:rFonts w:ascii="標楷體" w:eastAsia="標楷體" w:hAnsi="標楷體"/>
          <w:szCs w:val="24"/>
        </w:rPr>
        <w:t>））</w:t>
      </w:r>
      <w:proofErr w:type="gramEnd"/>
      <w:r>
        <w:rPr>
          <w:rFonts w:ascii="標楷體" w:eastAsia="標楷體" w:hAnsi="標楷體"/>
          <w:szCs w:val="24"/>
        </w:rPr>
        <w:t>。</w:t>
      </w:r>
    </w:p>
    <w:p w14:paraId="7DA83B1B"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肝和/或脾臟增大。</w:t>
      </w:r>
    </w:p>
    <w:p w14:paraId="39F0788A"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積水：水腫、全身水腫、腹水或胸腔積水。</w:t>
      </w:r>
    </w:p>
    <w:p w14:paraId="594D182E"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爆發性櫻桃狀血管瘤或紫羅蘭色丘疹。</w:t>
      </w:r>
    </w:p>
    <w:p w14:paraId="7DA57293"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淋巴</w:t>
      </w:r>
      <w:proofErr w:type="gramStart"/>
      <w:r>
        <w:rPr>
          <w:rFonts w:ascii="標楷體" w:eastAsia="標楷體" w:hAnsi="標楷體"/>
          <w:szCs w:val="24"/>
        </w:rPr>
        <w:t>細胞間質性</w:t>
      </w:r>
      <w:proofErr w:type="gramEnd"/>
      <w:r>
        <w:rPr>
          <w:rFonts w:ascii="標楷體" w:eastAsia="標楷體" w:hAnsi="標楷體"/>
          <w:szCs w:val="24"/>
        </w:rPr>
        <w:t>肺炎。</w:t>
      </w:r>
    </w:p>
    <w:p w14:paraId="4F2977C0" w14:textId="77777777" w:rsidR="00401786" w:rsidRDefault="00C64FB3">
      <w:pPr>
        <w:numPr>
          <w:ilvl w:val="0"/>
          <w:numId w:val="27"/>
        </w:numPr>
        <w:spacing w:line="300" w:lineRule="exact"/>
        <w:ind w:left="764" w:hanging="284"/>
        <w:rPr>
          <w:rFonts w:ascii="標楷體" w:eastAsia="標楷體" w:hAnsi="標楷體"/>
          <w:szCs w:val="24"/>
        </w:rPr>
      </w:pPr>
      <w:r>
        <w:rPr>
          <w:rFonts w:ascii="標楷體" w:eastAsia="標楷體" w:hAnsi="標楷體"/>
          <w:szCs w:val="24"/>
        </w:rPr>
        <w:t>治療改善狀況根據（CDCN response criteria）；需同時滿足下列（1）〜（2）條件；每3個月評估：</w:t>
      </w:r>
    </w:p>
    <w:p w14:paraId="04E3CE74"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至少與基礎比較改善，發炎反應的客觀指標，以下4個數值有2個符合：</w:t>
      </w:r>
    </w:p>
    <w:p w14:paraId="3273F97B" w14:textId="77777777" w:rsidR="00401786" w:rsidRDefault="00C64FB3" w:rsidP="0009639E">
      <w:pPr>
        <w:spacing w:line="300" w:lineRule="exact"/>
        <w:ind w:left="1092"/>
        <w:rPr>
          <w:rFonts w:ascii="標楷體" w:eastAsia="標楷體" w:hAnsi="標楷體"/>
          <w:szCs w:val="24"/>
        </w:rPr>
      </w:pPr>
      <w:proofErr w:type="spellStart"/>
      <w:r>
        <w:rPr>
          <w:rFonts w:ascii="標楷體" w:eastAsia="標楷體" w:hAnsi="標楷體"/>
          <w:szCs w:val="24"/>
        </w:rPr>
        <w:t>Ⅰ.C</w:t>
      </w:r>
      <w:proofErr w:type="spellEnd"/>
      <w:r>
        <w:rPr>
          <w:rFonts w:ascii="標楷體" w:eastAsia="標楷體" w:hAnsi="標楷體"/>
          <w:szCs w:val="24"/>
        </w:rPr>
        <w:t>-反應蛋白(CRP)下降50%。</w:t>
      </w:r>
    </w:p>
    <w:p w14:paraId="2636A626" w14:textId="77777777" w:rsidR="00401786" w:rsidRDefault="00C64FB3" w:rsidP="0009639E">
      <w:pPr>
        <w:spacing w:line="300" w:lineRule="exact"/>
        <w:ind w:left="1568" w:hanging="423"/>
        <w:rPr>
          <w:rFonts w:ascii="標楷體" w:eastAsia="標楷體" w:hAnsi="標楷體"/>
          <w:szCs w:val="24"/>
        </w:rPr>
      </w:pPr>
      <w:r>
        <w:rPr>
          <w:rFonts w:ascii="標楷體" w:eastAsia="標楷體" w:hAnsi="標楷體"/>
          <w:szCs w:val="24"/>
        </w:rPr>
        <w:t>Ⅱ.血紅蛋白(Hemoglobin)上升2g/dL或</w:t>
      </w:r>
      <w:proofErr w:type="gramStart"/>
      <w:r>
        <w:rPr>
          <w:rFonts w:ascii="標楷體" w:eastAsia="標楷體" w:hAnsi="標楷體"/>
          <w:szCs w:val="24"/>
        </w:rPr>
        <w:t>≧</w:t>
      </w:r>
      <w:proofErr w:type="gramEnd"/>
      <w:r>
        <w:rPr>
          <w:rFonts w:ascii="標楷體" w:eastAsia="標楷體" w:hAnsi="標楷體"/>
          <w:szCs w:val="24"/>
        </w:rPr>
        <w:t>10g/dL。</w:t>
      </w:r>
    </w:p>
    <w:p w14:paraId="1990B7B4" w14:textId="77777777" w:rsidR="00401786" w:rsidRDefault="00C64FB3" w:rsidP="0009639E">
      <w:pPr>
        <w:spacing w:line="300" w:lineRule="exact"/>
        <w:ind w:left="1287" w:hanging="106"/>
        <w:rPr>
          <w:rFonts w:ascii="標楷體" w:eastAsia="標楷體" w:hAnsi="標楷體"/>
          <w:szCs w:val="24"/>
        </w:rPr>
      </w:pPr>
      <w:r>
        <w:rPr>
          <w:rFonts w:ascii="標楷體" w:eastAsia="標楷體" w:hAnsi="標楷體"/>
          <w:szCs w:val="24"/>
        </w:rPr>
        <w:t>Ⅲ.白蛋白(Albumin)</w:t>
      </w:r>
      <w:proofErr w:type="gramStart"/>
      <w:r>
        <w:rPr>
          <w:rFonts w:ascii="標楷體" w:eastAsia="標楷體" w:hAnsi="標楷體"/>
          <w:szCs w:val="24"/>
        </w:rPr>
        <w:t>≧</w:t>
      </w:r>
      <w:proofErr w:type="gramEnd"/>
      <w:r>
        <w:rPr>
          <w:rFonts w:ascii="標楷體" w:eastAsia="標楷體" w:hAnsi="標楷體"/>
          <w:szCs w:val="24"/>
        </w:rPr>
        <w:t>3.5/dL。</w:t>
      </w:r>
    </w:p>
    <w:p w14:paraId="5FE43B32" w14:textId="77777777" w:rsidR="00401786" w:rsidRDefault="00C64FB3" w:rsidP="0009639E">
      <w:pPr>
        <w:spacing w:line="300" w:lineRule="exact"/>
        <w:ind w:left="1570" w:hanging="389"/>
      </w:pPr>
      <w:r>
        <w:rPr>
          <w:rFonts w:ascii="標楷體" w:eastAsia="標楷體" w:hAnsi="標楷體"/>
          <w:szCs w:val="24"/>
        </w:rPr>
        <w:t>Ⅳ.腎絲球過濾率GFR上升20%或GFR</w:t>
      </w:r>
      <w:proofErr w:type="gramStart"/>
      <w:r>
        <w:rPr>
          <w:rFonts w:ascii="標楷體" w:eastAsia="標楷體" w:hAnsi="標楷體"/>
          <w:szCs w:val="24"/>
        </w:rPr>
        <w:t>≧</w:t>
      </w:r>
      <w:proofErr w:type="gramEnd"/>
      <w:r>
        <w:rPr>
          <w:rFonts w:ascii="標楷體" w:eastAsia="標楷體" w:hAnsi="標楷體"/>
          <w:szCs w:val="24"/>
        </w:rPr>
        <w:t>60mL/min/1.73m</w:t>
      </w:r>
      <w:r>
        <w:rPr>
          <w:rFonts w:ascii="標楷體" w:eastAsia="標楷體" w:hAnsi="標楷體"/>
          <w:szCs w:val="24"/>
          <w:vertAlign w:val="superscript"/>
        </w:rPr>
        <w:t>2</w:t>
      </w:r>
      <w:r>
        <w:rPr>
          <w:rFonts w:ascii="標楷體" w:eastAsia="標楷體" w:hAnsi="標楷體"/>
          <w:szCs w:val="24"/>
        </w:rPr>
        <w:t>。</w:t>
      </w:r>
    </w:p>
    <w:p w14:paraId="51BFDFF4"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淋巴結較基礎值可測量縮小50%或無新發生淋巴結節腫大(每半年執行檢測一次)。</w:t>
      </w:r>
    </w:p>
    <w:p w14:paraId="48FF77F8" w14:textId="77777777" w:rsidR="00401786" w:rsidRDefault="00C64FB3" w:rsidP="0009639E">
      <w:pPr>
        <w:spacing w:line="300" w:lineRule="exact"/>
        <w:ind w:left="397" w:hanging="140"/>
      </w:pPr>
      <w:r>
        <w:rPr>
          <w:rFonts w:ascii="標楷體" w:eastAsia="標楷體" w:hAnsi="標楷體"/>
        </w:rPr>
        <w:t>8.2.16.</w:t>
      </w:r>
      <w:r>
        <w:t xml:space="preserve"> </w:t>
      </w:r>
      <w:r>
        <w:rPr>
          <w:rFonts w:ascii="標楷體" w:eastAsia="標楷體" w:hAnsi="標楷體"/>
        </w:rPr>
        <w:t>Apremilast（如Otezla）、</w:t>
      </w:r>
      <w:proofErr w:type="spellStart"/>
      <w:r>
        <w:rPr>
          <w:rFonts w:ascii="標楷體" w:eastAsia="標楷體" w:hAnsi="標楷體"/>
        </w:rPr>
        <w:t>deucravacitinib</w:t>
      </w:r>
      <w:proofErr w:type="spellEnd"/>
      <w:r>
        <w:rPr>
          <w:rFonts w:ascii="標楷體" w:eastAsia="標楷體" w:hAnsi="標楷體"/>
        </w:rPr>
        <w:t>（如</w:t>
      </w:r>
      <w:proofErr w:type="spellStart"/>
      <w:r>
        <w:rPr>
          <w:rFonts w:ascii="標楷體" w:eastAsia="標楷體" w:hAnsi="標楷體"/>
        </w:rPr>
        <w:t>Sotyktu</w:t>
      </w:r>
      <w:proofErr w:type="spellEnd"/>
      <w:r>
        <w:rPr>
          <w:rFonts w:ascii="標楷體" w:eastAsia="標楷體" w:hAnsi="標楷體"/>
        </w:rPr>
        <w:t>）：（113/3/1、113/10/1、114/6/1）</w:t>
      </w:r>
    </w:p>
    <w:p w14:paraId="0BAA4741" w14:textId="77777777" w:rsidR="00401786" w:rsidRDefault="00C64FB3" w:rsidP="0009639E">
      <w:pPr>
        <w:spacing w:line="300" w:lineRule="exact"/>
        <w:ind w:left="807" w:hanging="286"/>
        <w:jc w:val="both"/>
        <w:rPr>
          <w:rFonts w:ascii="標楷體" w:eastAsia="標楷體" w:hAnsi="標楷體"/>
          <w:szCs w:val="24"/>
        </w:rPr>
      </w:pPr>
      <w:r>
        <w:rPr>
          <w:rFonts w:ascii="標楷體" w:eastAsia="標楷體" w:hAnsi="標楷體"/>
          <w:szCs w:val="24"/>
        </w:rPr>
        <w:t>1.限用於對傳統全身性治療療效反應不佳、無法耐受或具有禁忌症的中度至</w:t>
      </w:r>
      <w:proofErr w:type="gramStart"/>
      <w:r>
        <w:rPr>
          <w:rFonts w:ascii="標楷體" w:eastAsia="標楷體" w:hAnsi="標楷體"/>
          <w:szCs w:val="24"/>
        </w:rPr>
        <w:t>重度斑塊</w:t>
      </w:r>
      <w:proofErr w:type="gramEnd"/>
      <w:r>
        <w:rPr>
          <w:rFonts w:ascii="標楷體" w:eastAsia="標楷體" w:hAnsi="標楷體"/>
          <w:szCs w:val="24"/>
        </w:rPr>
        <w:t>乾癬之成年病人。</w:t>
      </w:r>
    </w:p>
    <w:p w14:paraId="1E7C3A25" w14:textId="77777777" w:rsidR="00401786" w:rsidRDefault="00C64FB3" w:rsidP="0009639E">
      <w:pPr>
        <w:spacing w:line="300" w:lineRule="exact"/>
        <w:ind w:left="1090" w:hanging="425"/>
        <w:jc w:val="both"/>
        <w:rPr>
          <w:rFonts w:ascii="標楷體" w:eastAsia="標楷體" w:hAnsi="標楷體"/>
          <w:szCs w:val="24"/>
        </w:rPr>
      </w:pPr>
      <w:r>
        <w:rPr>
          <w:rFonts w:ascii="標楷體" w:eastAsia="標楷體" w:hAnsi="標楷體"/>
          <w:szCs w:val="24"/>
        </w:rPr>
        <w:t>(1)傳統全身性治療必須包括足量之照光治療及methotrexate或cyclosporine至少一種治療藥物。</w:t>
      </w:r>
    </w:p>
    <w:p w14:paraId="1ECF5364" w14:textId="77777777" w:rsidR="00401786" w:rsidRDefault="00C64FB3" w:rsidP="0009639E">
      <w:pPr>
        <w:spacing w:line="300" w:lineRule="exact"/>
        <w:ind w:left="1090" w:hanging="425"/>
        <w:jc w:val="both"/>
        <w:rPr>
          <w:rFonts w:ascii="標楷體" w:eastAsia="標楷體" w:hAnsi="標楷體"/>
          <w:szCs w:val="24"/>
        </w:rPr>
      </w:pPr>
      <w:r>
        <w:rPr>
          <w:rFonts w:ascii="標楷體" w:eastAsia="標楷體" w:hAnsi="標楷體"/>
          <w:szCs w:val="24"/>
        </w:rPr>
        <w:t>(2)Methotrexate合理劑量需達每週15mg，cyclosporine為2.5-5mg/kg/day。但若因為藥物毒性無法耐受，使用劑量可酌情降低。</w:t>
      </w:r>
    </w:p>
    <w:p w14:paraId="12BEF4C7" w14:textId="77777777" w:rsidR="00401786" w:rsidRDefault="00C64FB3" w:rsidP="0009639E">
      <w:pPr>
        <w:spacing w:line="300" w:lineRule="exact"/>
        <w:ind w:left="1090" w:hanging="425"/>
        <w:jc w:val="both"/>
        <w:rPr>
          <w:rFonts w:ascii="標楷體" w:eastAsia="標楷體" w:hAnsi="標楷體"/>
          <w:szCs w:val="24"/>
        </w:rPr>
      </w:pPr>
      <w:r>
        <w:rPr>
          <w:rFonts w:ascii="標楷體" w:eastAsia="標楷體" w:hAnsi="標楷體"/>
          <w:szCs w:val="24"/>
        </w:rPr>
        <w:t>(3)照光治療應依學理，如光化療法(PUVA)及窄頻UVB(</w:t>
      </w:r>
      <w:proofErr w:type="spellStart"/>
      <w:r>
        <w:rPr>
          <w:rFonts w:ascii="標楷體" w:eastAsia="標楷體" w:hAnsi="標楷體"/>
          <w:szCs w:val="24"/>
        </w:rPr>
        <w:t>nb</w:t>
      </w:r>
      <w:proofErr w:type="spellEnd"/>
      <w:r>
        <w:rPr>
          <w:rFonts w:ascii="標楷體" w:eastAsia="標楷體" w:hAnsi="標楷體"/>
          <w:szCs w:val="24"/>
        </w:rPr>
        <w:t xml:space="preserve">-UVB)必須每週至少2次，寬頻UVB </w:t>
      </w:r>
      <w:proofErr w:type="gramStart"/>
      <w:r>
        <w:rPr>
          <w:rFonts w:ascii="標楷體" w:eastAsia="標楷體" w:hAnsi="標楷體"/>
          <w:szCs w:val="24"/>
        </w:rPr>
        <w:t>併</w:t>
      </w:r>
      <w:proofErr w:type="gramEnd"/>
      <w:r>
        <w:rPr>
          <w:rFonts w:ascii="標楷體" w:eastAsia="標楷體" w:hAnsi="標楷體"/>
          <w:szCs w:val="24"/>
        </w:rPr>
        <w:t>用焦油每週至少3次，並依學理逐漸增加至有效可忍受劑量。申請時必須附病歷影印及詳細照光劑量紀錄。</w:t>
      </w:r>
    </w:p>
    <w:p w14:paraId="42C13AC7" w14:textId="77777777" w:rsidR="00401786" w:rsidRDefault="00C64FB3" w:rsidP="0009639E">
      <w:pPr>
        <w:spacing w:line="300" w:lineRule="exact"/>
        <w:ind w:left="779" w:hanging="114"/>
        <w:jc w:val="both"/>
        <w:rPr>
          <w:rFonts w:ascii="標楷體" w:eastAsia="標楷體" w:hAnsi="標楷體"/>
          <w:szCs w:val="24"/>
        </w:rPr>
      </w:pPr>
      <w:r>
        <w:rPr>
          <w:rFonts w:ascii="標楷體" w:eastAsia="標楷體" w:hAnsi="標楷體"/>
          <w:szCs w:val="24"/>
        </w:rPr>
        <w:t>(4)所稱禁忌症或不適用情況指有下列任</w:t>
      </w:r>
      <w:proofErr w:type="gramStart"/>
      <w:r>
        <w:rPr>
          <w:rFonts w:ascii="標楷體" w:eastAsia="標楷體" w:hAnsi="標楷體"/>
          <w:szCs w:val="24"/>
        </w:rPr>
        <w:t>一</w:t>
      </w:r>
      <w:proofErr w:type="gramEnd"/>
      <w:r>
        <w:rPr>
          <w:rFonts w:ascii="標楷體" w:eastAsia="標楷體" w:hAnsi="標楷體"/>
          <w:szCs w:val="24"/>
        </w:rPr>
        <w:t>情形：</w:t>
      </w:r>
    </w:p>
    <w:p w14:paraId="09F8BEE3" w14:textId="77777777" w:rsidR="00401786" w:rsidRDefault="00C64FB3" w:rsidP="0009639E">
      <w:pPr>
        <w:spacing w:line="300" w:lineRule="exact"/>
        <w:ind w:left="1375" w:hanging="350"/>
        <w:jc w:val="both"/>
      </w:pPr>
      <w:r>
        <w:rPr>
          <w:rFonts w:ascii="新細明體" w:hAnsi="新細明體" w:cs="新細明體"/>
          <w:szCs w:val="24"/>
        </w:rPr>
        <w:t>ⅰ</w:t>
      </w:r>
      <w:r>
        <w:rPr>
          <w:rFonts w:ascii="標楷體" w:eastAsia="標楷體" w:hAnsi="標楷體"/>
          <w:szCs w:val="24"/>
        </w:rPr>
        <w:t>.因肝功能異常或切片第三期a異常，經6個月後切片仍無改善，或第三期b以上之肝切片異常，病毒性肝炎</w:t>
      </w:r>
      <w:proofErr w:type="gramStart"/>
      <w:r>
        <w:rPr>
          <w:rFonts w:ascii="標楷體" w:eastAsia="標楷體" w:hAnsi="標楷體"/>
          <w:szCs w:val="24"/>
        </w:rPr>
        <w:t>帶原或腎</w:t>
      </w:r>
      <w:proofErr w:type="gramEnd"/>
      <w:r>
        <w:rPr>
          <w:rFonts w:ascii="標楷體" w:eastAsia="標楷體" w:hAnsi="標楷體"/>
          <w:szCs w:val="24"/>
        </w:rPr>
        <w:t>功能異常或癌症所引起嚴重或重複感染而無法使用methotrexate治療者。</w:t>
      </w:r>
    </w:p>
    <w:p w14:paraId="26BFAEBB" w14:textId="77777777" w:rsidR="00401786" w:rsidRDefault="00C64FB3" w:rsidP="0009639E">
      <w:pPr>
        <w:spacing w:line="300" w:lineRule="exact"/>
        <w:ind w:left="1375" w:hanging="350"/>
        <w:jc w:val="both"/>
      </w:pPr>
      <w:r>
        <w:rPr>
          <w:rFonts w:ascii="新細明體" w:hAnsi="新細明體" w:cs="新細明體"/>
          <w:szCs w:val="24"/>
        </w:rPr>
        <w:t>ⅱ</w:t>
      </w:r>
      <w:r>
        <w:rPr>
          <w:rFonts w:ascii="標楷體" w:eastAsia="標楷體" w:hAnsi="標楷體" w:cs="新細明體"/>
          <w:szCs w:val="24"/>
        </w:rPr>
        <w:t>.腎功能異常或癌症無法使用</w:t>
      </w:r>
      <w:proofErr w:type="spellStart"/>
      <w:r>
        <w:rPr>
          <w:rFonts w:ascii="標楷體" w:eastAsia="標楷體" w:hAnsi="標楷體" w:cs="新細明體"/>
          <w:szCs w:val="24"/>
        </w:rPr>
        <w:t>cylcosporine</w:t>
      </w:r>
      <w:proofErr w:type="spellEnd"/>
      <w:r>
        <w:rPr>
          <w:rFonts w:ascii="標楷體" w:eastAsia="標楷體" w:hAnsi="標楷體" w:cs="新細明體"/>
          <w:szCs w:val="24"/>
        </w:rPr>
        <w:t>者。</w:t>
      </w:r>
    </w:p>
    <w:p w14:paraId="229F127A" w14:textId="77777777" w:rsidR="00401786" w:rsidRDefault="00C64FB3" w:rsidP="0009639E">
      <w:pPr>
        <w:spacing w:line="300" w:lineRule="exact"/>
        <w:ind w:left="1375" w:hanging="350"/>
        <w:jc w:val="both"/>
      </w:pPr>
      <w:r>
        <w:rPr>
          <w:rFonts w:ascii="新細明體" w:hAnsi="新細明體" w:cs="新細明體"/>
          <w:szCs w:val="24"/>
        </w:rPr>
        <w:t>ⅲ</w:t>
      </w:r>
      <w:r>
        <w:rPr>
          <w:rFonts w:ascii="標楷體" w:eastAsia="標楷體" w:hAnsi="標楷體" w:cs="新細明體"/>
          <w:szCs w:val="24"/>
        </w:rPr>
        <w:t>.具有光敏感性疾病，不適合照光。</w:t>
      </w:r>
    </w:p>
    <w:p w14:paraId="4B94A44B" w14:textId="77777777" w:rsidR="00401786" w:rsidRDefault="00C64FB3" w:rsidP="0009639E">
      <w:pPr>
        <w:spacing w:line="300" w:lineRule="exact"/>
        <w:ind w:left="1375" w:hanging="350"/>
        <w:jc w:val="both"/>
      </w:pPr>
      <w:r>
        <w:rPr>
          <w:rFonts w:ascii="新細明體" w:hAnsi="新細明體" w:cs="新細明體"/>
          <w:szCs w:val="24"/>
        </w:rPr>
        <w:t>ⅳ</w:t>
      </w:r>
      <w:r>
        <w:rPr>
          <w:rFonts w:ascii="標楷體" w:eastAsia="標楷體" w:hAnsi="標楷體" w:cs="新細明體"/>
          <w:szCs w:val="24"/>
        </w:rPr>
        <w:t>.多</w:t>
      </w:r>
      <w:proofErr w:type="gramStart"/>
      <w:r>
        <w:rPr>
          <w:rFonts w:ascii="標楷體" w:eastAsia="標楷體" w:hAnsi="標楷體" w:cs="新細明體"/>
          <w:szCs w:val="24"/>
        </w:rPr>
        <w:t>發性非原位</w:t>
      </w:r>
      <w:proofErr w:type="gramEnd"/>
      <w:r>
        <w:rPr>
          <w:rFonts w:ascii="標楷體" w:eastAsia="標楷體" w:hAnsi="標楷體" w:cs="新細明體"/>
          <w:szCs w:val="24"/>
        </w:rPr>
        <w:t>皮膚</w:t>
      </w:r>
      <w:proofErr w:type="gramStart"/>
      <w:r>
        <w:rPr>
          <w:rFonts w:ascii="標楷體" w:eastAsia="標楷體" w:hAnsi="標楷體" w:cs="新細明體"/>
          <w:szCs w:val="24"/>
        </w:rPr>
        <w:t>上皮癌</w:t>
      </w:r>
      <w:proofErr w:type="gramEnd"/>
      <w:r>
        <w:rPr>
          <w:rFonts w:ascii="標楷體" w:eastAsia="標楷體" w:hAnsi="標楷體" w:cs="新細明體"/>
          <w:szCs w:val="24"/>
        </w:rPr>
        <w:t>，不適合照光。</w:t>
      </w:r>
    </w:p>
    <w:p w14:paraId="206FA026" w14:textId="77777777" w:rsidR="00401786" w:rsidRDefault="00C64FB3" w:rsidP="0009639E">
      <w:pPr>
        <w:spacing w:line="300" w:lineRule="exact"/>
        <w:ind w:left="1375" w:hanging="350"/>
        <w:jc w:val="both"/>
      </w:pPr>
      <w:r>
        <w:rPr>
          <w:rFonts w:ascii="新細明體" w:hAnsi="新細明體" w:cs="新細明體"/>
          <w:szCs w:val="24"/>
        </w:rPr>
        <w:t>ⅴ</w:t>
      </w:r>
      <w:r>
        <w:rPr>
          <w:rFonts w:ascii="標楷體" w:eastAsia="標楷體" w:hAnsi="標楷體" w:cs="新細明體"/>
          <w:szCs w:val="24"/>
        </w:rPr>
        <w:t>.頭皮侵犯(&gt;50%，應檢附照片備查)照光無效或無法耐受。</w:t>
      </w:r>
    </w:p>
    <w:p w14:paraId="755F8F8B" w14:textId="77777777" w:rsidR="00401786" w:rsidRDefault="00C64FB3" w:rsidP="0009639E">
      <w:pPr>
        <w:spacing w:line="300" w:lineRule="exact"/>
        <w:ind w:left="806" w:hanging="283"/>
        <w:jc w:val="both"/>
      </w:pPr>
      <w:r>
        <w:rPr>
          <w:rFonts w:ascii="標楷體" w:eastAsia="標楷體" w:hAnsi="標楷體"/>
          <w:szCs w:val="24"/>
        </w:rPr>
        <w:t>2.需經事前審查核准後使用(</w:t>
      </w:r>
      <w:r>
        <w:rPr>
          <w:rFonts w:ascii="標楷體" w:eastAsia="標楷體" w:hAnsi="標楷體" w:cs="+mn-cs"/>
          <w:bCs/>
          <w:szCs w:val="24"/>
        </w:rPr>
        <w:t>肝腎功能不佳者除外，惟需經照光、methotrexate治療無效者使用</w:t>
      </w:r>
      <w:r>
        <w:rPr>
          <w:rFonts w:ascii="標楷體" w:eastAsia="標楷體" w:hAnsi="標楷體"/>
          <w:szCs w:val="24"/>
        </w:rPr>
        <w:t>)，初次申請時應檢附資料如申請表。</w:t>
      </w:r>
    </w:p>
    <w:p w14:paraId="6E12BB1C" w14:textId="77777777" w:rsidR="00401786" w:rsidRDefault="00C64FB3" w:rsidP="0009639E">
      <w:pPr>
        <w:spacing w:line="300" w:lineRule="exact"/>
        <w:ind w:left="806" w:hanging="283"/>
        <w:jc w:val="both"/>
        <w:rPr>
          <w:rFonts w:ascii="標楷體" w:eastAsia="標楷體" w:hAnsi="標楷體"/>
          <w:szCs w:val="24"/>
        </w:rPr>
      </w:pPr>
      <w:r>
        <w:rPr>
          <w:rFonts w:ascii="標楷體" w:eastAsia="標楷體" w:hAnsi="標楷體"/>
          <w:szCs w:val="24"/>
        </w:rPr>
        <w:t>3.需排除使用及停止治療的情形應參照藥物仿單。</w:t>
      </w:r>
    </w:p>
    <w:p w14:paraId="5FA10580" w14:textId="77777777" w:rsidR="00401786" w:rsidRDefault="00C64FB3" w:rsidP="0009639E">
      <w:pPr>
        <w:spacing w:line="300" w:lineRule="exact"/>
        <w:ind w:left="806" w:hanging="283"/>
        <w:jc w:val="both"/>
        <w:rPr>
          <w:rFonts w:ascii="標楷體" w:eastAsia="標楷體" w:hAnsi="標楷體"/>
          <w:szCs w:val="24"/>
        </w:rPr>
      </w:pPr>
      <w:r>
        <w:rPr>
          <w:rFonts w:ascii="標楷體" w:eastAsia="標楷體" w:hAnsi="標楷體"/>
          <w:szCs w:val="24"/>
        </w:rPr>
        <w:t>4.不得合併申請生物製劑、tofacitinib及cyclosporine使用。</w:t>
      </w:r>
    </w:p>
    <w:p w14:paraId="3F5CE1BB" w14:textId="77777777" w:rsidR="00401786" w:rsidRDefault="00C64FB3" w:rsidP="0009639E">
      <w:pPr>
        <w:suppressAutoHyphens w:val="0"/>
        <w:spacing w:line="300" w:lineRule="exact"/>
        <w:ind w:left="397" w:hanging="140"/>
        <w:textAlignment w:val="auto"/>
        <w:rPr>
          <w:rFonts w:ascii="標楷體" w:eastAsia="標楷體" w:hAnsi="標楷體"/>
          <w:szCs w:val="24"/>
        </w:rPr>
      </w:pPr>
      <w:r>
        <w:rPr>
          <w:rFonts w:ascii="標楷體" w:eastAsia="標楷體" w:hAnsi="標楷體"/>
          <w:szCs w:val="24"/>
        </w:rPr>
        <w:lastRenderedPageBreak/>
        <w:t>備註:</w:t>
      </w:r>
    </w:p>
    <w:p w14:paraId="694CA1CA" w14:textId="77777777" w:rsidR="00401786" w:rsidRDefault="00C64FB3" w:rsidP="0009639E">
      <w:pPr>
        <w:suppressAutoHyphens w:val="0"/>
        <w:spacing w:line="300" w:lineRule="exact"/>
        <w:ind w:left="807" w:hanging="286"/>
        <w:jc w:val="both"/>
        <w:textAlignment w:val="auto"/>
        <w:rPr>
          <w:rFonts w:ascii="標楷體" w:eastAsia="標楷體" w:hAnsi="標楷體"/>
          <w:szCs w:val="24"/>
        </w:rPr>
      </w:pPr>
      <w:r>
        <w:rPr>
          <w:rFonts w:ascii="標楷體" w:eastAsia="標楷體" w:hAnsi="標楷體"/>
          <w:szCs w:val="24"/>
        </w:rPr>
        <w:t>1.肝功能不佳之定義為: (113/10/1)</w:t>
      </w:r>
    </w:p>
    <w:p w14:paraId="3BE7C0F0"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(1)</w:t>
      </w:r>
      <w:r>
        <w:rPr>
          <w:rFonts w:ascii="標楷體" w:eastAsia="標楷體" w:hAnsi="標楷體"/>
          <w:szCs w:val="24"/>
        </w:rPr>
        <w:tab/>
        <w:t>肝硬化等級Child-Pugh score A</w:t>
      </w:r>
      <w:proofErr w:type="gramStart"/>
      <w:r>
        <w:rPr>
          <w:rFonts w:ascii="標楷體" w:eastAsia="標楷體" w:hAnsi="標楷體"/>
          <w:szCs w:val="24"/>
        </w:rPr>
        <w:t>級且經</w:t>
      </w:r>
      <w:proofErr w:type="gramEnd"/>
      <w:r>
        <w:rPr>
          <w:rFonts w:ascii="標楷體" w:eastAsia="標楷體" w:hAnsi="標楷體"/>
          <w:szCs w:val="24"/>
        </w:rPr>
        <w:t>6個月追蹤治療仍無改善或是Child-Pugh B級以上。</w:t>
      </w:r>
    </w:p>
    <w:p w14:paraId="44E18902"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(2)</w:t>
      </w:r>
      <w:r>
        <w:rPr>
          <w:rFonts w:ascii="標楷體" w:eastAsia="標楷體" w:hAnsi="標楷體"/>
          <w:szCs w:val="24"/>
        </w:rPr>
        <w:tab/>
        <w:t>因肝功能異常具肝臟切片結果：第三期以上異常。</w:t>
      </w:r>
    </w:p>
    <w:p w14:paraId="1B51F90E"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(3)</w:t>
      </w:r>
      <w:r>
        <w:rPr>
          <w:rFonts w:ascii="標楷體" w:eastAsia="標楷體" w:hAnsi="標楷體"/>
          <w:szCs w:val="24"/>
        </w:rPr>
        <w:tab/>
        <w:t>C肝病毒陽性。</w:t>
      </w:r>
    </w:p>
    <w:p w14:paraId="32CC5412"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(4)</w:t>
      </w:r>
      <w:r>
        <w:rPr>
          <w:rFonts w:ascii="標楷體" w:eastAsia="標楷體" w:hAnsi="標楷體"/>
          <w:szCs w:val="24"/>
        </w:rPr>
        <w:tab/>
        <w:t>HBsAg陽性。</w:t>
      </w:r>
    </w:p>
    <w:p w14:paraId="63C2030A"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(5)</w:t>
      </w:r>
      <w:r>
        <w:rPr>
          <w:rFonts w:ascii="標楷體" w:eastAsia="標楷體" w:hAnsi="標楷體"/>
          <w:szCs w:val="24"/>
        </w:rPr>
        <w:tab/>
        <w:t xml:space="preserve">AST/ALT </w:t>
      </w:r>
      <w:proofErr w:type="gramStart"/>
      <w:r>
        <w:rPr>
          <w:rFonts w:ascii="標楷體" w:eastAsia="標楷體" w:hAnsi="標楷體"/>
          <w:szCs w:val="24"/>
        </w:rPr>
        <w:t>≧</w:t>
      </w:r>
      <w:proofErr w:type="gramEnd"/>
      <w:r>
        <w:rPr>
          <w:rFonts w:ascii="標楷體" w:eastAsia="標楷體" w:hAnsi="標楷體"/>
          <w:szCs w:val="24"/>
        </w:rPr>
        <w:t>2.5UNL(100)。</w:t>
      </w:r>
    </w:p>
    <w:p w14:paraId="24FB81EF" w14:textId="77777777" w:rsidR="00401786" w:rsidRDefault="00C64FB3" w:rsidP="0009639E">
      <w:pPr>
        <w:suppressAutoHyphens w:val="0"/>
        <w:spacing w:line="300" w:lineRule="exact"/>
        <w:ind w:left="807" w:hanging="286"/>
        <w:jc w:val="both"/>
        <w:textAlignment w:val="auto"/>
        <w:rPr>
          <w:rFonts w:ascii="標楷體" w:eastAsia="標楷體" w:hAnsi="標楷體"/>
          <w:szCs w:val="24"/>
        </w:rPr>
      </w:pPr>
      <w:r>
        <w:rPr>
          <w:rFonts w:ascii="標楷體" w:eastAsia="標楷體" w:hAnsi="標楷體"/>
          <w:szCs w:val="24"/>
        </w:rPr>
        <w:t>2.腎功能不佳之定義為：(113/10/1)</w:t>
      </w:r>
    </w:p>
    <w:p w14:paraId="5FB4657F" w14:textId="77777777" w:rsidR="00401786" w:rsidRDefault="00C64FB3" w:rsidP="0009639E">
      <w:pPr>
        <w:suppressAutoHyphens w:val="0"/>
        <w:spacing w:line="300" w:lineRule="exact"/>
        <w:ind w:left="1090" w:hanging="381"/>
        <w:jc w:val="both"/>
        <w:textAlignment w:val="auto"/>
      </w:pPr>
      <w:r>
        <w:rPr>
          <w:rFonts w:ascii="標楷體" w:eastAsia="標楷體" w:hAnsi="標楷體"/>
          <w:szCs w:val="24"/>
        </w:rPr>
        <w:t>(1)</w:t>
      </w:r>
      <w:r>
        <w:rPr>
          <w:rFonts w:ascii="標楷體" w:eastAsia="標楷體" w:hAnsi="標楷體"/>
          <w:szCs w:val="24"/>
        </w:rPr>
        <w:tab/>
      </w:r>
      <w:proofErr w:type="spellStart"/>
      <w:r>
        <w:rPr>
          <w:rFonts w:ascii="標楷體" w:eastAsia="標楷體" w:hAnsi="標楷體"/>
          <w:szCs w:val="24"/>
        </w:rPr>
        <w:t>CCr</w:t>
      </w:r>
      <w:proofErr w:type="spellEnd"/>
      <w:r>
        <w:rPr>
          <w:rFonts w:ascii="標楷體" w:eastAsia="標楷體" w:hAnsi="標楷體"/>
          <w:szCs w:val="24"/>
        </w:rPr>
        <w:t>&lt;50mL/min或eGFR&lt;60mL/min/1.73m</w:t>
      </w:r>
      <w:r>
        <w:rPr>
          <w:rFonts w:ascii="標楷體" w:eastAsia="標楷體" w:hAnsi="標楷體"/>
          <w:szCs w:val="24"/>
          <w:vertAlign w:val="superscript"/>
        </w:rPr>
        <w:t>2</w:t>
      </w:r>
      <w:r>
        <w:rPr>
          <w:rFonts w:ascii="標楷體" w:eastAsia="標楷體" w:hAnsi="標楷體"/>
          <w:szCs w:val="24"/>
        </w:rPr>
        <w:t>或洗腎。</w:t>
      </w:r>
    </w:p>
    <w:p w14:paraId="26A69167" w14:textId="77777777" w:rsidR="00401786" w:rsidRDefault="00C64FB3" w:rsidP="0009639E">
      <w:pPr>
        <w:tabs>
          <w:tab w:val="left" w:pos="1134"/>
        </w:tabs>
        <w:spacing w:line="300" w:lineRule="exact"/>
        <w:ind w:left="850" w:hanging="140"/>
        <w:jc w:val="both"/>
      </w:pPr>
      <w:r>
        <w:rPr>
          <w:rFonts w:ascii="標楷體" w:eastAsia="標楷體" w:hAnsi="標楷體"/>
          <w:szCs w:val="24"/>
        </w:rPr>
        <w:t>(2)Creatinine增加超過使用前30%。</w:t>
      </w:r>
    </w:p>
    <w:p w14:paraId="5F24F535" w14:textId="77777777" w:rsidR="00401786" w:rsidRDefault="00C64FB3" w:rsidP="0009639E">
      <w:pPr>
        <w:spacing w:line="300" w:lineRule="exact"/>
        <w:ind w:left="425" w:hanging="425"/>
      </w:pPr>
      <w:r>
        <w:rPr>
          <w:rFonts w:ascii="標楷體" w:eastAsia="標楷體" w:hAnsi="標楷體"/>
          <w:szCs w:val="24"/>
        </w:rPr>
        <w:t xml:space="preserve">  ◎附表二十四之七：全民健康保險乾癬使用apremilast、</w:t>
      </w:r>
      <w:proofErr w:type="spellStart"/>
      <w:r>
        <w:rPr>
          <w:rFonts w:ascii="標楷體" w:eastAsia="標楷體" w:hAnsi="標楷體"/>
          <w:szCs w:val="24"/>
        </w:rPr>
        <w:t>deucravacitinib</w:t>
      </w:r>
      <w:proofErr w:type="spellEnd"/>
      <w:r>
        <w:rPr>
          <w:rFonts w:ascii="標楷體" w:eastAsia="標楷體" w:hAnsi="標楷體"/>
          <w:szCs w:val="24"/>
        </w:rPr>
        <w:t>申請表（113/3/1、114/6/1）</w:t>
      </w:r>
    </w:p>
    <w:p w14:paraId="27DFD576" w14:textId="77777777" w:rsidR="00AB17EF" w:rsidRDefault="00AB17EF" w:rsidP="00AB17EF">
      <w:pPr>
        <w:suppressAutoHyphens w:val="0"/>
        <w:spacing w:line="300" w:lineRule="exact"/>
        <w:ind w:left="993" w:hanging="992"/>
        <w:textAlignment w:val="auto"/>
      </w:pPr>
      <w:r>
        <w:rPr>
          <w:rFonts w:ascii="標楷體" w:eastAsia="標楷體" w:hAnsi="標楷體"/>
          <w:color w:val="000000"/>
          <w:kern w:val="0"/>
          <w:szCs w:val="24"/>
        </w:rPr>
        <w:t xml:space="preserve">8.2.17. </w:t>
      </w:r>
      <w:r w:rsidRPr="00FE715E">
        <w:rPr>
          <w:rFonts w:ascii="標楷體" w:eastAsia="標楷體" w:hAnsi="標楷體" w:hint="eastAsia"/>
          <w:color w:val="000000"/>
          <w:kern w:val="0"/>
          <w:szCs w:val="24"/>
        </w:rPr>
        <w:t>Mepolizumab (如Nucala)、</w:t>
      </w:r>
      <w:proofErr w:type="spellStart"/>
      <w:r w:rsidRPr="00FE715E">
        <w:rPr>
          <w:rFonts w:ascii="標楷體" w:eastAsia="標楷體" w:hAnsi="標楷體" w:hint="eastAsia"/>
          <w:color w:val="000000"/>
          <w:kern w:val="0"/>
          <w:szCs w:val="24"/>
        </w:rPr>
        <w:t>Benralizumab</w:t>
      </w:r>
      <w:proofErr w:type="spellEnd"/>
      <w:r w:rsidRPr="00FE715E">
        <w:rPr>
          <w:rFonts w:ascii="標楷體" w:eastAsia="標楷體" w:hAnsi="標楷體" w:hint="eastAsia"/>
          <w:color w:val="000000"/>
          <w:kern w:val="0"/>
          <w:szCs w:val="24"/>
        </w:rPr>
        <w:t xml:space="preserve"> (如Fasenra)：(113/4/1、115/4/1)</w:t>
      </w:r>
    </w:p>
    <w:p w14:paraId="510CD639" w14:textId="77777777" w:rsidR="00AB17EF" w:rsidRDefault="00AB17EF" w:rsidP="00AB17EF">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1.用於經診斷</w:t>
      </w:r>
      <w:proofErr w:type="gramStart"/>
      <w:r>
        <w:rPr>
          <w:rFonts w:ascii="標楷體" w:eastAsia="標楷體" w:hAnsi="標楷體"/>
          <w:color w:val="000000"/>
          <w:kern w:val="0"/>
          <w:szCs w:val="24"/>
        </w:rPr>
        <w:t>為嗜伊紅性肉芽腫併</w:t>
      </w:r>
      <w:proofErr w:type="gramEnd"/>
      <w:r>
        <w:rPr>
          <w:rFonts w:ascii="標楷體" w:eastAsia="標楷體" w:hAnsi="標楷體"/>
          <w:color w:val="000000"/>
          <w:kern w:val="0"/>
          <w:szCs w:val="24"/>
        </w:rPr>
        <w:t>多發性血管炎(eosinophilic granulomatosis with polyangiitis, EGPA)之18歲以上成人病人，且需符合下列條件之</w:t>
      </w:r>
      <w:proofErr w:type="gramStart"/>
      <w:r>
        <w:rPr>
          <w:rFonts w:ascii="標楷體" w:eastAsia="標楷體" w:hAnsi="標楷體"/>
          <w:color w:val="000000"/>
          <w:kern w:val="0"/>
          <w:szCs w:val="24"/>
        </w:rPr>
        <w:t>一</w:t>
      </w:r>
      <w:proofErr w:type="gramEnd"/>
      <w:r>
        <w:rPr>
          <w:rFonts w:ascii="標楷體" w:eastAsia="標楷體" w:hAnsi="標楷體"/>
          <w:color w:val="000000"/>
          <w:kern w:val="0"/>
          <w:szCs w:val="24"/>
        </w:rPr>
        <w:t>：</w:t>
      </w:r>
    </w:p>
    <w:p w14:paraId="7483380C" w14:textId="77777777" w:rsidR="00AB17EF"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(1)復發</w:t>
      </w:r>
      <w:proofErr w:type="gramStart"/>
      <w:r>
        <w:rPr>
          <w:rFonts w:ascii="標楷體" w:eastAsia="標楷體" w:hAnsi="標楷體"/>
          <w:color w:val="000000"/>
          <w:kern w:val="0"/>
          <w:szCs w:val="24"/>
        </w:rPr>
        <w:t>型嗜伊紅性肉芽腫併</w:t>
      </w:r>
      <w:proofErr w:type="gramEnd"/>
      <w:r>
        <w:rPr>
          <w:rFonts w:ascii="標楷體" w:eastAsia="標楷體" w:hAnsi="標楷體"/>
          <w:color w:val="000000"/>
          <w:kern w:val="0"/>
          <w:szCs w:val="24"/>
        </w:rPr>
        <w:t>多發性血管炎：過去2年內，曾經於使用口服類固醇prednisolone至少每天7.5mg或等價當量（equivalent）之情況下復發</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如：增加口服類固醇劑量、或開始/增加免疫抑制劑治療、或住院等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690A216A" w14:textId="77777777" w:rsidR="00AB17EF"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(2)難</w:t>
      </w:r>
      <w:proofErr w:type="gramStart"/>
      <w:r>
        <w:rPr>
          <w:rFonts w:ascii="標楷體" w:eastAsia="標楷體" w:hAnsi="標楷體"/>
          <w:color w:val="000000"/>
          <w:kern w:val="0"/>
          <w:szCs w:val="24"/>
        </w:rPr>
        <w:t>治型嗜伊紅性肉芽腫併</w:t>
      </w:r>
      <w:proofErr w:type="gramEnd"/>
      <w:r>
        <w:rPr>
          <w:rFonts w:ascii="標楷體" w:eastAsia="標楷體" w:hAnsi="標楷體"/>
          <w:color w:val="000000"/>
          <w:kern w:val="0"/>
          <w:szCs w:val="24"/>
        </w:rPr>
        <w:t>多發血管炎：過去6個月經傳統誘導治療</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如：cyclophosphamide、或azathioprine、或methotrexate、或mycophenolate mofetil、或口服類固醇prednisolone每天15mg以上等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至少3個月，仍未達疾病緩解</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未達緩解定義：口服類固醇prednisolone無法降至每天7.5mg以下或等價當量</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44B0BF7E" w14:textId="77777777" w:rsidR="00AB17EF" w:rsidRDefault="00AB17EF" w:rsidP="00AB17EF">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2.需經事前審查核准後使用，使用52</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後評估符合下列任</w:t>
      </w:r>
      <w:proofErr w:type="gramStart"/>
      <w:r>
        <w:rPr>
          <w:rFonts w:ascii="標楷體" w:eastAsia="標楷體" w:hAnsi="標楷體"/>
          <w:color w:val="000000"/>
          <w:kern w:val="0"/>
          <w:szCs w:val="24"/>
        </w:rPr>
        <w:t>一</w:t>
      </w:r>
      <w:proofErr w:type="gramEnd"/>
      <w:r>
        <w:rPr>
          <w:rFonts w:ascii="標楷體" w:eastAsia="標楷體" w:hAnsi="標楷體"/>
          <w:color w:val="000000"/>
          <w:kern w:val="0"/>
          <w:szCs w:val="24"/>
        </w:rPr>
        <w:t>條件可續用：</w:t>
      </w:r>
      <w:r w:rsidRPr="00FE715E">
        <w:rPr>
          <w:rFonts w:ascii="標楷體" w:eastAsia="標楷體" w:hAnsi="標楷體" w:hint="eastAsia"/>
          <w:kern w:val="0"/>
          <w:bdr w:val="nil"/>
        </w:rPr>
        <w:t>(113/4/1、</w:t>
      </w:r>
      <w:r w:rsidRPr="00AB17EF">
        <w:rPr>
          <w:rFonts w:ascii="標楷體" w:eastAsia="標楷體" w:hAnsi="標楷體" w:hint="eastAsia"/>
          <w:szCs w:val="28"/>
        </w:rPr>
        <w:t>115/4/1</w:t>
      </w:r>
      <w:proofErr w:type="gramStart"/>
      <w:r w:rsidRPr="00FE715E">
        <w:rPr>
          <w:rFonts w:ascii="標楷體" w:eastAsia="標楷體" w:hAnsi="標楷體"/>
          <w:szCs w:val="28"/>
        </w:rPr>
        <w:t>）</w:t>
      </w:r>
      <w:proofErr w:type="gramEnd"/>
    </w:p>
    <w:p w14:paraId="4BAF1266" w14:textId="77777777" w:rsidR="00AB17EF"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(1)以mepolizumab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治療52</w:t>
      </w:r>
      <w:proofErr w:type="gramStart"/>
      <w:r>
        <w:rPr>
          <w:rFonts w:ascii="標楷體" w:eastAsia="標楷體" w:hAnsi="標楷體"/>
          <w:color w:val="000000"/>
          <w:kern w:val="0"/>
          <w:szCs w:val="24"/>
        </w:rPr>
        <w:t>週期間，</w:t>
      </w:r>
      <w:proofErr w:type="gramEnd"/>
      <w:r>
        <w:rPr>
          <w:rFonts w:ascii="標楷體" w:eastAsia="標楷體" w:hAnsi="標楷體"/>
          <w:color w:val="000000"/>
          <w:kern w:val="0"/>
          <w:szCs w:val="24"/>
        </w:rPr>
        <w:t>曾經達成疾病緩解</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緩解定義：無EGPA病徵，且口服類固醇prednisolone可降至每天5mg以下</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，或</w:t>
      </w:r>
    </w:p>
    <w:p w14:paraId="1661B3CA" w14:textId="77777777" w:rsidR="00AB17EF" w:rsidRDefault="00AB17EF" w:rsidP="00AB17EF">
      <w:pPr>
        <w:suppressAutoHyphens w:val="0"/>
        <w:spacing w:line="300" w:lineRule="exact"/>
        <w:ind w:left="1090" w:hanging="425"/>
        <w:jc w:val="both"/>
        <w:textAlignment w:val="auto"/>
        <w:rPr>
          <w:rFonts w:ascii="標楷體" w:eastAsia="標楷體" w:hAnsi="標楷體"/>
          <w:color w:val="000000"/>
          <w:kern w:val="0"/>
          <w:szCs w:val="24"/>
        </w:rPr>
      </w:pPr>
      <w:r>
        <w:rPr>
          <w:rFonts w:ascii="標楷體" w:eastAsia="標楷體" w:hAnsi="標楷體"/>
          <w:color w:val="000000"/>
          <w:kern w:val="0"/>
          <w:szCs w:val="24"/>
        </w:rPr>
        <w:t>(2)於52</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評估時，口服類固醇劑量相較於mepolizumab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治療前劑量降低50%以上，或</w:t>
      </w:r>
    </w:p>
    <w:p w14:paraId="3D3B12F7" w14:textId="77777777" w:rsidR="00AB17EF" w:rsidRDefault="00AB17EF" w:rsidP="00AB17EF">
      <w:pPr>
        <w:suppressAutoHyphens w:val="0"/>
        <w:spacing w:line="300" w:lineRule="exact"/>
        <w:ind w:left="1090" w:hanging="425"/>
        <w:jc w:val="both"/>
        <w:textAlignment w:val="auto"/>
        <w:rPr>
          <w:rFonts w:ascii="標楷體" w:eastAsia="標楷體" w:hAnsi="標楷體"/>
          <w:color w:val="000000"/>
          <w:kern w:val="0"/>
          <w:szCs w:val="24"/>
        </w:rPr>
      </w:pPr>
      <w:r>
        <w:rPr>
          <w:rFonts w:ascii="標楷體" w:eastAsia="標楷體" w:hAnsi="標楷體"/>
          <w:color w:val="000000"/>
          <w:kern w:val="0"/>
          <w:szCs w:val="24"/>
        </w:rPr>
        <w:t>(3)以mepolizumab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治療52</w:t>
      </w:r>
      <w:proofErr w:type="gramStart"/>
      <w:r>
        <w:rPr>
          <w:rFonts w:ascii="標楷體" w:eastAsia="標楷體" w:hAnsi="標楷體"/>
          <w:color w:val="000000"/>
          <w:kern w:val="0"/>
          <w:szCs w:val="24"/>
        </w:rPr>
        <w:t>週期間，</w:t>
      </w:r>
      <w:proofErr w:type="gramEnd"/>
      <w:r>
        <w:rPr>
          <w:rFonts w:ascii="標楷體" w:eastAsia="標楷體" w:hAnsi="標楷體"/>
          <w:color w:val="000000"/>
          <w:kern w:val="0"/>
          <w:szCs w:val="24"/>
        </w:rPr>
        <w:t>EGPA未復發</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如：增加口服類固醇劑量、或開始/增加免疫抑制劑治療、或住院等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1E536B9E" w14:textId="77777777" w:rsidR="00AB17EF" w:rsidRPr="00FE715E" w:rsidRDefault="00AB17EF" w:rsidP="00AB17EF">
      <w:pPr>
        <w:suppressAutoHyphens w:val="0"/>
        <w:spacing w:line="300" w:lineRule="exact"/>
        <w:ind w:left="1090" w:hanging="425"/>
        <w:jc w:val="both"/>
        <w:textAlignment w:val="auto"/>
        <w:rPr>
          <w:rFonts w:ascii="標楷體" w:eastAsia="標楷體" w:hAnsi="標楷體"/>
        </w:rPr>
      </w:pPr>
      <w:r w:rsidRPr="00FE715E">
        <w:rPr>
          <w:rFonts w:ascii="標楷體" w:eastAsia="標楷體" w:hAnsi="標楷體" w:hint="eastAsia"/>
        </w:rPr>
        <w:t>3.</w:t>
      </w:r>
      <w:r w:rsidRPr="00FE715E">
        <w:rPr>
          <w:rFonts w:hint="eastAsia"/>
        </w:rPr>
        <w:t xml:space="preserve"> </w:t>
      </w:r>
      <w:r w:rsidRPr="00FE715E">
        <w:rPr>
          <w:rFonts w:ascii="標楷體" w:eastAsia="標楷體" w:hAnsi="標楷體" w:hint="eastAsia"/>
        </w:rPr>
        <w:t>Mepolizumab或</w:t>
      </w:r>
      <w:proofErr w:type="spellStart"/>
      <w:r w:rsidRPr="00FE715E">
        <w:rPr>
          <w:rFonts w:ascii="標楷體" w:eastAsia="標楷體" w:hAnsi="標楷體" w:hint="eastAsia"/>
        </w:rPr>
        <w:t>benralizumab</w:t>
      </w:r>
      <w:proofErr w:type="spellEnd"/>
      <w:r w:rsidRPr="00FE715E">
        <w:rPr>
          <w:rFonts w:ascii="標楷體" w:eastAsia="標楷體" w:hAnsi="標楷體" w:hint="eastAsia"/>
        </w:rPr>
        <w:t>僅得擇</w:t>
      </w:r>
      <w:proofErr w:type="gramStart"/>
      <w:r w:rsidRPr="00FE715E">
        <w:rPr>
          <w:rFonts w:ascii="標楷體" w:eastAsia="標楷體" w:hAnsi="標楷體" w:hint="eastAsia"/>
        </w:rPr>
        <w:t>一</w:t>
      </w:r>
      <w:proofErr w:type="gramEnd"/>
      <w:r w:rsidRPr="00FE715E">
        <w:rPr>
          <w:rFonts w:ascii="標楷體" w:eastAsia="標楷體" w:hAnsi="標楷體" w:hint="eastAsia"/>
        </w:rPr>
        <w:t>使用，惟在有耐受不良時方可轉換使用。(115/4/1</w:t>
      </w:r>
      <w:proofErr w:type="gramStart"/>
      <w:r w:rsidRPr="00FE715E">
        <w:rPr>
          <w:rFonts w:ascii="標楷體" w:eastAsia="標楷體" w:hAnsi="標楷體" w:hint="eastAsia"/>
        </w:rPr>
        <w:t>）</w:t>
      </w:r>
      <w:proofErr w:type="gramEnd"/>
    </w:p>
    <w:p w14:paraId="015456BB" w14:textId="77777777" w:rsidR="00401786"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備註：診斷</w:t>
      </w:r>
      <w:proofErr w:type="gramStart"/>
      <w:r>
        <w:rPr>
          <w:rFonts w:ascii="標楷體" w:eastAsia="標楷體" w:hAnsi="標楷體"/>
          <w:color w:val="000000"/>
          <w:kern w:val="0"/>
          <w:szCs w:val="24"/>
        </w:rPr>
        <w:t>為嗜伊紅性肉芽腫併</w:t>
      </w:r>
      <w:proofErr w:type="gramEnd"/>
      <w:r>
        <w:rPr>
          <w:rFonts w:ascii="標楷體" w:eastAsia="標楷體" w:hAnsi="標楷體"/>
          <w:color w:val="000000"/>
          <w:kern w:val="0"/>
          <w:szCs w:val="24"/>
        </w:rPr>
        <w:t>多發血管炎之定義：曾經發生氣喘伴隨</w:t>
      </w:r>
      <w:proofErr w:type="gramStart"/>
      <w:r>
        <w:rPr>
          <w:rFonts w:ascii="標楷體" w:eastAsia="標楷體" w:hAnsi="標楷體"/>
          <w:color w:val="000000"/>
          <w:kern w:val="0"/>
          <w:szCs w:val="24"/>
        </w:rPr>
        <w:t>嗜伊紅性</w:t>
      </w:r>
      <w:proofErr w:type="gramEnd"/>
      <w:r>
        <w:rPr>
          <w:rFonts w:ascii="標楷體" w:eastAsia="標楷體" w:hAnsi="標楷體"/>
          <w:color w:val="000000"/>
          <w:kern w:val="0"/>
          <w:szCs w:val="24"/>
        </w:rPr>
        <w:t>白血球增多，且診斷報告須附上組織切片檢查報告，確認出現EGPA病徵。</w:t>
      </w:r>
    </w:p>
    <w:p w14:paraId="1B8FFE9B" w14:textId="77777777" w:rsidR="00401786" w:rsidRDefault="00C64FB3" w:rsidP="0009639E">
      <w:pPr>
        <w:suppressAutoHyphens w:val="0"/>
        <w:spacing w:line="300" w:lineRule="exact"/>
        <w:ind w:left="397" w:hanging="140"/>
        <w:textAlignment w:val="auto"/>
      </w:pPr>
      <w:r>
        <w:rPr>
          <w:rFonts w:ascii="標楷體" w:eastAsia="標楷體" w:hAnsi="標楷體"/>
          <w:color w:val="000000"/>
        </w:rPr>
        <w:t>8.2.18.Anifrolumab（如</w:t>
      </w:r>
      <w:proofErr w:type="spellStart"/>
      <w:r>
        <w:rPr>
          <w:rFonts w:ascii="標楷體" w:eastAsia="標楷體" w:hAnsi="標楷體"/>
          <w:color w:val="000000"/>
        </w:rPr>
        <w:t>Saphnelo</w:t>
      </w:r>
      <w:proofErr w:type="spellEnd"/>
      <w:r>
        <w:rPr>
          <w:rFonts w:ascii="標楷體" w:eastAsia="標楷體" w:hAnsi="標楷體"/>
          <w:color w:val="000000"/>
        </w:rPr>
        <w:t>）：(113</w:t>
      </w:r>
      <w:r>
        <w:rPr>
          <w:rFonts w:ascii="標楷體" w:eastAsia="標楷體" w:hAnsi="標楷體"/>
        </w:rPr>
        <w:t>/10/1)</w:t>
      </w:r>
      <w:r>
        <w:rPr>
          <w:rFonts w:ascii="標楷體" w:eastAsia="標楷體" w:hAnsi="標楷體"/>
          <w:color w:val="000000"/>
        </w:rPr>
        <w:t>：</w:t>
      </w:r>
    </w:p>
    <w:p w14:paraId="7E273C66" w14:textId="77777777" w:rsidR="00401786" w:rsidRDefault="00C64FB3" w:rsidP="0009639E">
      <w:pPr>
        <w:suppressAutoHyphens w:val="0"/>
        <w:spacing w:line="300" w:lineRule="exact"/>
        <w:ind w:left="807" w:hanging="286"/>
        <w:jc w:val="both"/>
        <w:textAlignment w:val="auto"/>
      </w:pPr>
      <w:r>
        <w:rPr>
          <w:rFonts w:ascii="標楷體" w:eastAsia="標楷體" w:hAnsi="標楷體"/>
          <w:color w:val="000000"/>
          <w:kern w:val="0"/>
        </w:rPr>
        <w:t>1.</w:t>
      </w:r>
      <w:r>
        <w:rPr>
          <w:rFonts w:ascii="標楷體" w:eastAsia="標楷體" w:hAnsi="標楷體"/>
          <w:color w:val="000000"/>
          <w:kern w:val="0"/>
          <w:szCs w:val="24"/>
        </w:rPr>
        <w:t>限使用於18歲以上具有活動性之全身性紅斑性狼瘡病人。</w:t>
      </w:r>
    </w:p>
    <w:p w14:paraId="42451452"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2.限內科專科醫師且具有風濕或免疫專科醫師證書之處方。</w:t>
      </w:r>
    </w:p>
    <w:p w14:paraId="6F296860"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3.需經事前審查核准後使用。</w:t>
      </w:r>
    </w:p>
    <w:p w14:paraId="22961BDE" w14:textId="77777777" w:rsidR="00401786" w:rsidRDefault="00C64FB3" w:rsidP="0009639E">
      <w:pPr>
        <w:suppressAutoHyphens w:val="0"/>
        <w:spacing w:line="300" w:lineRule="exact"/>
        <w:ind w:left="807" w:hanging="286"/>
        <w:jc w:val="both"/>
        <w:textAlignment w:val="auto"/>
      </w:pPr>
      <w:r>
        <w:rPr>
          <w:rFonts w:ascii="標楷體" w:eastAsia="標楷體" w:hAnsi="標楷體"/>
          <w:color w:val="000000"/>
          <w:kern w:val="0"/>
          <w:szCs w:val="24"/>
        </w:rPr>
        <w:t>4.申報</w:t>
      </w:r>
      <w:r>
        <w:rPr>
          <w:rFonts w:ascii="標楷體" w:eastAsia="標楷體" w:hAnsi="標楷體"/>
          <w:color w:val="000000"/>
          <w:kern w:val="0"/>
        </w:rPr>
        <w:t>時須檢附使用標準治療藥物滿5個月及6個月後之2次SLEDAI-2K積分，各種藥物之種類、劑量、治療時間、副作用與所計分病徵之相關佐證等資料(包含ESR與CRP)。</w:t>
      </w:r>
    </w:p>
    <w:p w14:paraId="73B7EA30" w14:textId="77777777" w:rsidR="00401786" w:rsidRDefault="00C64FB3" w:rsidP="0009639E">
      <w:pPr>
        <w:suppressAutoHyphens w:val="0"/>
        <w:spacing w:line="300" w:lineRule="exact"/>
        <w:ind w:left="807" w:hanging="286"/>
        <w:jc w:val="both"/>
        <w:textAlignment w:val="auto"/>
      </w:pPr>
      <w:r>
        <w:rPr>
          <w:rFonts w:ascii="標楷體" w:eastAsia="標楷體" w:hAnsi="標楷體"/>
          <w:color w:val="000000"/>
          <w:kern w:val="0"/>
        </w:rPr>
        <w:t>5.</w:t>
      </w:r>
      <w:r>
        <w:rPr>
          <w:rFonts w:ascii="標楷體" w:eastAsia="標楷體" w:hAnsi="標楷體"/>
          <w:color w:val="000000"/>
          <w:kern w:val="0"/>
          <w:szCs w:val="24"/>
        </w:rPr>
        <w:t>病人</w:t>
      </w:r>
      <w:r>
        <w:rPr>
          <w:rFonts w:ascii="標楷體" w:eastAsia="標楷體" w:hAnsi="標楷體"/>
          <w:color w:val="000000"/>
          <w:kern w:val="0"/>
        </w:rPr>
        <w:t>須同時符合下述所有條件，方可使用。</w:t>
      </w:r>
    </w:p>
    <w:p w14:paraId="71A02BC5" w14:textId="77777777" w:rsidR="00401786" w:rsidRDefault="00C64FB3" w:rsidP="0009639E">
      <w:pPr>
        <w:suppressAutoHyphens w:val="0"/>
        <w:spacing w:line="300" w:lineRule="exact"/>
        <w:ind w:left="1090" w:hanging="425"/>
        <w:jc w:val="both"/>
        <w:textAlignment w:val="auto"/>
      </w:pPr>
      <w:r>
        <w:rPr>
          <w:rFonts w:ascii="標楷體" w:eastAsia="標楷體" w:hAnsi="標楷體"/>
          <w:color w:val="000000"/>
          <w:kern w:val="0"/>
        </w:rPr>
        <w:t>(1)</w:t>
      </w:r>
      <w:r>
        <w:rPr>
          <w:rFonts w:ascii="標楷體" w:eastAsia="標楷體" w:hAnsi="標楷體"/>
          <w:color w:val="000000"/>
          <w:kern w:val="0"/>
          <w:szCs w:val="24"/>
        </w:rPr>
        <w:t>自體免疫抗體陽性。</w:t>
      </w:r>
    </w:p>
    <w:p w14:paraId="28BC19FB" w14:textId="77777777" w:rsidR="00401786" w:rsidRDefault="00C64FB3" w:rsidP="0009639E">
      <w:pPr>
        <w:suppressAutoHyphens w:val="0"/>
        <w:spacing w:line="300" w:lineRule="exact"/>
        <w:ind w:left="1090" w:hanging="425"/>
        <w:jc w:val="both"/>
        <w:textAlignment w:val="auto"/>
      </w:pPr>
      <w:r>
        <w:rPr>
          <w:rFonts w:ascii="標楷體" w:eastAsia="標楷體" w:hAnsi="標楷體"/>
          <w:color w:val="000000"/>
          <w:kern w:val="0"/>
          <w:szCs w:val="24"/>
        </w:rPr>
        <w:t>(2)接</w:t>
      </w:r>
      <w:r>
        <w:rPr>
          <w:rFonts w:ascii="標楷體" w:eastAsia="標楷體" w:hAnsi="標楷體"/>
          <w:color w:val="000000"/>
          <w:kern w:val="0"/>
        </w:rPr>
        <w:t>受標準治療後，仍無法有效控制病情之全身性紅斑性狼瘡，其療效</w:t>
      </w:r>
      <w:proofErr w:type="gramStart"/>
      <w:r>
        <w:rPr>
          <w:rFonts w:ascii="標楷體" w:eastAsia="標楷體" w:hAnsi="標楷體"/>
          <w:color w:val="000000"/>
          <w:kern w:val="0"/>
        </w:rPr>
        <w:t>不</w:t>
      </w:r>
      <w:proofErr w:type="gramEnd"/>
      <w:r>
        <w:rPr>
          <w:rFonts w:ascii="標楷體" w:eastAsia="標楷體" w:hAnsi="標楷體"/>
          <w:color w:val="000000"/>
          <w:kern w:val="0"/>
        </w:rPr>
        <w:t>彰之定義為：標準治療藥物滿5個月及6個月後，2次評估SLEDAI-2K分數均</w:t>
      </w:r>
      <w:r>
        <w:rPr>
          <w:rFonts w:ascii="Times New Roman" w:eastAsia="標楷體" w:hAnsi="Times New Roman"/>
          <w:color w:val="000000"/>
          <w:kern w:val="0"/>
        </w:rPr>
        <w:t>≥</w:t>
      </w:r>
      <w:r>
        <w:rPr>
          <w:rFonts w:ascii="標楷體" w:eastAsia="標楷體" w:hAnsi="標楷體"/>
          <w:color w:val="000000"/>
          <w:kern w:val="0"/>
        </w:rPr>
        <w:t>6。</w:t>
      </w:r>
    </w:p>
    <w:p w14:paraId="533D7DEF"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Ⅰ.以下分數不可計入SLEDAI-2K 計分: 癲癇、精神疾病、器質性腦部症候群、腦神經疾病、狼瘡性頭痛、腦血管意外、狼瘡性腎炎、發燒、掉</w:t>
      </w:r>
      <w:proofErr w:type="gramStart"/>
      <w:r>
        <w:rPr>
          <w:rFonts w:ascii="標楷體" w:eastAsia="標楷體" w:hAnsi="標楷體"/>
          <w:color w:val="000000"/>
          <w:kern w:val="0"/>
        </w:rPr>
        <w:t>髮</w:t>
      </w:r>
      <w:proofErr w:type="gramEnd"/>
      <w:r>
        <w:rPr>
          <w:rFonts w:ascii="標楷體" w:eastAsia="標楷體" w:hAnsi="標楷體"/>
          <w:color w:val="000000"/>
          <w:kern w:val="0"/>
        </w:rPr>
        <w:t>、口腔潰瘍。</w:t>
      </w:r>
    </w:p>
    <w:p w14:paraId="79152C29"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lastRenderedPageBreak/>
        <w:t>Ⅱ.血管炎計分需臨床有潰瘍、壞疽、栓塞等病變，需檢附照片或組織病理或影像學檢查，且需ESR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1mg/dL。</w:t>
      </w:r>
    </w:p>
    <w:p w14:paraId="3C4C2824"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Ⅲ.關節炎計分需有4個或是以上的疼痛關節及4個或是以上的腫脹關節(需附關節腫脹相關X-光片或照片輔證)，且需ESR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1mg/dL。</w:t>
      </w:r>
    </w:p>
    <w:p w14:paraId="50ACC1AC"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Ⅳ.</w:t>
      </w:r>
      <w:proofErr w:type="gramStart"/>
      <w:r>
        <w:rPr>
          <w:rFonts w:ascii="標楷體" w:eastAsia="標楷體" w:hAnsi="標楷體"/>
          <w:color w:val="000000"/>
          <w:kern w:val="0"/>
        </w:rPr>
        <w:t>肌炎計分</w:t>
      </w:r>
      <w:proofErr w:type="gramEnd"/>
      <w:r>
        <w:rPr>
          <w:rFonts w:ascii="標楷體" w:eastAsia="標楷體" w:hAnsi="標楷體"/>
          <w:color w:val="000000"/>
          <w:kern w:val="0"/>
        </w:rPr>
        <w:t>需有血清中肌肉酵素如CPK、LDH、GOT上升大於正常值2倍</w:t>
      </w:r>
      <w:proofErr w:type="gramStart"/>
      <w:r>
        <w:rPr>
          <w:rFonts w:ascii="標楷體" w:eastAsia="標楷體" w:hAnsi="標楷體"/>
          <w:color w:val="000000"/>
          <w:kern w:val="0"/>
        </w:rPr>
        <w:t>以上且肌電</w:t>
      </w:r>
      <w:proofErr w:type="gramEnd"/>
      <w:r>
        <w:rPr>
          <w:rFonts w:ascii="標楷體" w:eastAsia="標楷體" w:hAnsi="標楷體"/>
          <w:color w:val="000000"/>
          <w:kern w:val="0"/>
        </w:rPr>
        <w:t>圖異常、或肌肉切片有發炎性疾病、或放射線影像檢查，3項中至少有1項檢查結果確認。</w:t>
      </w:r>
    </w:p>
    <w:p w14:paraId="0E8EC019"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Ⅴ.皮疹計分需排除掉</w:t>
      </w:r>
      <w:proofErr w:type="gramStart"/>
      <w:r>
        <w:rPr>
          <w:rFonts w:ascii="標楷體" w:eastAsia="標楷體" w:hAnsi="標楷體"/>
          <w:color w:val="000000"/>
          <w:kern w:val="0"/>
        </w:rPr>
        <w:t>髮</w:t>
      </w:r>
      <w:proofErr w:type="gramEnd"/>
      <w:r>
        <w:rPr>
          <w:rFonts w:ascii="標楷體" w:eastAsia="標楷體" w:hAnsi="標楷體"/>
          <w:color w:val="000000"/>
          <w:kern w:val="0"/>
        </w:rPr>
        <w:t xml:space="preserve">與口腔潰瘍後，皮膚紅斑性狼瘡面積和嚴重程度指數(Cutaneous Lupus Erythematosus Disease Area and Severity </w:t>
      </w:r>
      <w:proofErr w:type="spellStart"/>
      <w:r>
        <w:rPr>
          <w:rFonts w:ascii="標楷體" w:eastAsia="標楷體" w:hAnsi="標楷體"/>
          <w:color w:val="000000"/>
          <w:kern w:val="0"/>
        </w:rPr>
        <w:t>Index,CLASI</w:t>
      </w:r>
      <w:proofErr w:type="spellEnd"/>
      <w:r>
        <w:rPr>
          <w:rFonts w:ascii="標楷體" w:eastAsia="標楷體" w:hAnsi="標楷體"/>
          <w:color w:val="000000"/>
          <w:kern w:val="0"/>
        </w:rPr>
        <w:t>)達8分以上，</w:t>
      </w:r>
      <w:proofErr w:type="gramStart"/>
      <w:r>
        <w:rPr>
          <w:rFonts w:ascii="標楷體" w:eastAsia="標楷體" w:hAnsi="標楷體"/>
          <w:color w:val="000000"/>
          <w:kern w:val="0"/>
        </w:rPr>
        <w:t>且體表面積</w:t>
      </w:r>
      <w:proofErr w:type="gramEnd"/>
      <w:r>
        <w:rPr>
          <w:rFonts w:ascii="標楷體" w:eastAsia="標楷體" w:hAnsi="標楷體"/>
          <w:color w:val="000000"/>
          <w:kern w:val="0"/>
        </w:rPr>
        <w:t>受影響達9%以上(附皮膚照片佐證)。</w:t>
      </w:r>
    </w:p>
    <w:p w14:paraId="156C460B"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Ⅵ.肋膜炎或心</w:t>
      </w:r>
      <w:proofErr w:type="gramStart"/>
      <w:r>
        <w:rPr>
          <w:rFonts w:ascii="標楷體" w:eastAsia="標楷體" w:hAnsi="標楷體"/>
          <w:color w:val="000000"/>
          <w:kern w:val="0"/>
        </w:rPr>
        <w:t>包膜炎計分</w:t>
      </w:r>
      <w:proofErr w:type="gramEnd"/>
      <w:r>
        <w:rPr>
          <w:rFonts w:ascii="標楷體" w:eastAsia="標楷體" w:hAnsi="標楷體"/>
          <w:color w:val="000000"/>
          <w:kern w:val="0"/>
        </w:rPr>
        <w:t>，除理學檢查外需附影像學或心電圖等證明，且需ESR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 xml:space="preserve">1mg/dL。 </w:t>
      </w:r>
    </w:p>
    <w:p w14:paraId="75C7C7FE"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(3)標準治療療法為病人曾經接受下列3種標準治療藥物合併治療：</w:t>
      </w:r>
    </w:p>
    <w:p w14:paraId="0C505DBA"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I.類固醇：治療至少6個月，其中至少有2個月平均劑量達標準目標劑量(prednisolone</w:t>
      </w:r>
      <w:proofErr w:type="gramStart"/>
      <w:r>
        <w:rPr>
          <w:rFonts w:ascii="標楷體" w:eastAsia="標楷體" w:hAnsi="標楷體"/>
          <w:color w:val="000000"/>
          <w:kern w:val="0"/>
        </w:rPr>
        <w:t>≧</w:t>
      </w:r>
      <w:proofErr w:type="gramEnd"/>
      <w:r>
        <w:rPr>
          <w:rFonts w:ascii="標楷體" w:eastAsia="標楷體" w:hAnsi="標楷體"/>
          <w:color w:val="000000"/>
          <w:kern w:val="0"/>
        </w:rPr>
        <w:t>0.5mg/kg/day或相等強度劑量之類固醇類藥物)或過去3個月內曾使用Pulse IV methylprednisolone (連續3天每公斤10mg以上)。</w:t>
      </w:r>
    </w:p>
    <w:p w14:paraId="02286531"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Ⅱ.奎寧類藥物：連續使用至少6個月標準劑量的hydroxychloroquine  (每天200mg或以上)。</w:t>
      </w:r>
    </w:p>
    <w:p w14:paraId="62BEBA40"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Ⅲ.使用足量免疫抑制劑至少擇</w:t>
      </w:r>
      <w:proofErr w:type="gramStart"/>
      <w:r>
        <w:rPr>
          <w:rFonts w:ascii="標楷體" w:eastAsia="標楷體" w:hAnsi="標楷體"/>
          <w:color w:val="000000"/>
          <w:kern w:val="0"/>
        </w:rPr>
        <w:t>一</w:t>
      </w:r>
      <w:proofErr w:type="gramEnd"/>
      <w:r>
        <w:rPr>
          <w:rFonts w:ascii="標楷體" w:eastAsia="標楷體" w:hAnsi="標楷體"/>
          <w:color w:val="000000"/>
          <w:kern w:val="0"/>
        </w:rPr>
        <w:t>連續使用至少6個月：azathioprine (每天每公斤2mg)或methotrexate (每週15mg)或cyclosporin (每天每公斤3mg)或mycophenolate mofetil (每天2g)或mycophenolic acid(每天1,440mg)。</w:t>
      </w:r>
    </w:p>
    <w:p w14:paraId="49FC24F5"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Ⅳ.如藥物劑量無法耐受，可視臨床情況調整類固醇、奎寧及免疫抑制劑之劑量。</w:t>
      </w:r>
    </w:p>
    <w:p w14:paraId="6922B793"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6.續用處方條件：</w:t>
      </w:r>
    </w:p>
    <w:p w14:paraId="73E963CE" w14:textId="77777777" w:rsidR="00401786" w:rsidRDefault="00C64FB3" w:rsidP="0009639E">
      <w:pPr>
        <w:widowControl/>
        <w:suppressAutoHyphens w:val="0"/>
        <w:spacing w:line="300" w:lineRule="exact"/>
        <w:ind w:left="751" w:hanging="23"/>
        <w:textAlignment w:val="auto"/>
        <w:rPr>
          <w:rFonts w:ascii="標楷體" w:eastAsia="標楷體" w:hAnsi="標楷體"/>
          <w:color w:val="000000"/>
          <w:kern w:val="0"/>
        </w:rPr>
      </w:pPr>
      <w:r>
        <w:rPr>
          <w:rFonts w:ascii="標楷體" w:eastAsia="標楷體" w:hAnsi="標楷體"/>
          <w:color w:val="000000"/>
          <w:kern w:val="0"/>
        </w:rPr>
        <w:t>首次申請治療6個月後評估SLEDAI-2K疾病活動指標，符合下列所有條件，可以持續使用，之後每3個月再次申請續用：</w:t>
      </w:r>
    </w:p>
    <w:p w14:paraId="5BA6DB22"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(1)口服類固醇每日劑量下降至每天7.5mg以下或接受</w:t>
      </w:r>
      <w:proofErr w:type="spellStart"/>
      <w:r>
        <w:rPr>
          <w:rFonts w:ascii="標楷體" w:eastAsia="標楷體" w:hAnsi="標楷體"/>
          <w:color w:val="000000"/>
          <w:kern w:val="0"/>
        </w:rPr>
        <w:t>Saphnelo</w:t>
      </w:r>
      <w:proofErr w:type="spellEnd"/>
      <w:r>
        <w:rPr>
          <w:rFonts w:ascii="標楷體" w:eastAsia="標楷體" w:hAnsi="標楷體"/>
          <w:color w:val="000000"/>
          <w:kern w:val="0"/>
        </w:rPr>
        <w:t>治療前相較每日劑量下降50%以上。</w:t>
      </w:r>
    </w:p>
    <w:p w14:paraId="2B318696"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(2)疾病活動度改善，以下列指標評估：SLEDAI-2K下降至4分以下或與接受</w:t>
      </w:r>
      <w:proofErr w:type="spellStart"/>
      <w:r>
        <w:rPr>
          <w:rFonts w:ascii="標楷體" w:eastAsia="標楷體" w:hAnsi="標楷體"/>
          <w:color w:val="000000"/>
          <w:kern w:val="0"/>
        </w:rPr>
        <w:t>Saphnelo</w:t>
      </w:r>
      <w:proofErr w:type="spellEnd"/>
      <w:r>
        <w:rPr>
          <w:rFonts w:ascii="標楷體" w:eastAsia="標楷體" w:hAnsi="標楷體"/>
          <w:color w:val="000000"/>
          <w:kern w:val="0"/>
        </w:rPr>
        <w:t>治療前SLEDAI-2K改善3分以上。</w:t>
      </w:r>
    </w:p>
    <w:p w14:paraId="2604FD2A"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(3)不得有新增器官侵犯或原有病徵惡化，原有計分之項目，續用申請時需附相關佐證資料(包含ESR與CRP)。</w:t>
      </w:r>
    </w:p>
    <w:p w14:paraId="2870F17A"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Ⅰ.血管炎計分者，續用申請時需檢附原病灶位置之照片。</w:t>
      </w:r>
    </w:p>
    <w:p w14:paraId="0FEC9829"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Ⅱ.關節炎計分者，續用申請時需檢附腫脹關節數目及照片。</w:t>
      </w:r>
    </w:p>
    <w:p w14:paraId="02961146"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Ⅲ.</w:t>
      </w:r>
      <w:proofErr w:type="gramStart"/>
      <w:r>
        <w:rPr>
          <w:rFonts w:ascii="標楷體" w:eastAsia="標楷體" w:hAnsi="標楷體"/>
          <w:color w:val="000000"/>
          <w:kern w:val="0"/>
        </w:rPr>
        <w:t>肌炎計分</w:t>
      </w:r>
      <w:proofErr w:type="gramEnd"/>
      <w:r>
        <w:rPr>
          <w:rFonts w:ascii="標楷體" w:eastAsia="標楷體" w:hAnsi="標楷體"/>
          <w:color w:val="000000"/>
          <w:kern w:val="0"/>
        </w:rPr>
        <w:t>者，續用申請時需檢附CPK、LDH、GOT數值。</w:t>
      </w:r>
    </w:p>
    <w:p w14:paraId="52215CA2"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Ⅳ.皮疹計分者，續用申請時需檢附CLASI評分及皮膚照片。</w:t>
      </w:r>
    </w:p>
    <w:p w14:paraId="64EB8127"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7.減量或停用條件：若使用滿2年，</w:t>
      </w:r>
      <w:proofErr w:type="gramStart"/>
      <w:r>
        <w:rPr>
          <w:rFonts w:ascii="標楷體" w:eastAsia="標楷體" w:hAnsi="標楷體"/>
          <w:color w:val="000000"/>
          <w:kern w:val="0"/>
        </w:rPr>
        <w:t>達緩解</w:t>
      </w:r>
      <w:proofErr w:type="gramEnd"/>
      <w:r>
        <w:rPr>
          <w:rFonts w:ascii="標楷體" w:eastAsia="標楷體" w:hAnsi="標楷體"/>
          <w:color w:val="000000"/>
          <w:kern w:val="0"/>
        </w:rPr>
        <w:t>或低疾病活動度SLEDAI-2K</w:t>
      </w:r>
      <w:proofErr w:type="gramStart"/>
      <w:r>
        <w:rPr>
          <w:rFonts w:ascii="標楷體" w:eastAsia="標楷體" w:hAnsi="標楷體"/>
          <w:color w:val="000000"/>
          <w:kern w:val="0"/>
        </w:rPr>
        <w:t>≦</w:t>
      </w:r>
      <w:proofErr w:type="gramEnd"/>
      <w:r>
        <w:rPr>
          <w:rFonts w:ascii="標楷體" w:eastAsia="標楷體" w:hAnsi="標楷體"/>
          <w:color w:val="000000"/>
          <w:kern w:val="0"/>
        </w:rPr>
        <w:t>4滿一年以上，可以減量。減量後，若持續維持緩解或低疾病活動度SLEDAI-2K</w:t>
      </w:r>
      <w:proofErr w:type="gramStart"/>
      <w:r>
        <w:rPr>
          <w:rFonts w:ascii="標楷體" w:eastAsia="標楷體" w:hAnsi="標楷體"/>
          <w:color w:val="000000"/>
          <w:kern w:val="0"/>
        </w:rPr>
        <w:t>≦</w:t>
      </w:r>
      <w:proofErr w:type="gramEnd"/>
      <w:r>
        <w:rPr>
          <w:rFonts w:ascii="標楷體" w:eastAsia="標楷體" w:hAnsi="標楷體"/>
          <w:color w:val="000000"/>
          <w:kern w:val="0"/>
        </w:rPr>
        <w:t>4滿一年以上停用，</w:t>
      </w:r>
      <w:proofErr w:type="gramStart"/>
      <w:r>
        <w:rPr>
          <w:rFonts w:ascii="標楷體" w:eastAsia="標楷體" w:hAnsi="標楷體"/>
          <w:color w:val="000000"/>
          <w:kern w:val="0"/>
        </w:rPr>
        <w:t>若減量</w:t>
      </w:r>
      <w:proofErr w:type="gramEnd"/>
      <w:r>
        <w:rPr>
          <w:rFonts w:ascii="標楷體" w:eastAsia="標楷體" w:hAnsi="標楷體"/>
          <w:color w:val="000000"/>
          <w:kern w:val="0"/>
        </w:rPr>
        <w:t>或停用後病情復發，得申請恢復治療，後續依續用條件申請。</w:t>
      </w:r>
    </w:p>
    <w:p w14:paraId="39C69EE4"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8.</w:t>
      </w:r>
      <w:proofErr w:type="gramStart"/>
      <w:r>
        <w:rPr>
          <w:rFonts w:ascii="標楷體" w:eastAsia="標楷體" w:hAnsi="標楷體"/>
          <w:color w:val="000000"/>
          <w:kern w:val="0"/>
        </w:rPr>
        <w:t>不</w:t>
      </w:r>
      <w:proofErr w:type="gramEnd"/>
      <w:r>
        <w:rPr>
          <w:rFonts w:ascii="標楷體" w:eastAsia="標楷體" w:hAnsi="標楷體"/>
          <w:color w:val="000000"/>
          <w:kern w:val="0"/>
        </w:rPr>
        <w:t>給付於神經精神性狼瘡，或是狼瘡腎炎病人。</w:t>
      </w:r>
    </w:p>
    <w:p w14:paraId="13CA75FC" w14:textId="77777777" w:rsidR="00401786" w:rsidRDefault="00C64FB3" w:rsidP="00A214C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9.</w:t>
      </w:r>
      <w:r>
        <w:rPr>
          <w:rFonts w:ascii="標楷體" w:eastAsia="標楷體" w:hAnsi="標楷體"/>
          <w:color w:val="000000"/>
          <w:kern w:val="0"/>
        </w:rPr>
        <w:tab/>
      </w:r>
      <w:proofErr w:type="spellStart"/>
      <w:r>
        <w:rPr>
          <w:rFonts w:ascii="標楷體" w:eastAsia="標楷體" w:hAnsi="標楷體"/>
          <w:color w:val="000000"/>
          <w:kern w:val="0"/>
        </w:rPr>
        <w:t>Anifrolumab</w:t>
      </w:r>
      <w:proofErr w:type="spellEnd"/>
      <w:r>
        <w:rPr>
          <w:rFonts w:ascii="標楷體" w:eastAsia="標楷體" w:hAnsi="標楷體"/>
          <w:color w:val="000000"/>
          <w:kern w:val="0"/>
        </w:rPr>
        <w:t>不得與其他生物製劑</w:t>
      </w:r>
      <w:proofErr w:type="gramStart"/>
      <w:r>
        <w:rPr>
          <w:rFonts w:ascii="標楷體" w:eastAsia="標楷體" w:hAnsi="標楷體"/>
          <w:color w:val="000000"/>
          <w:kern w:val="0"/>
        </w:rPr>
        <w:t>併</w:t>
      </w:r>
      <w:proofErr w:type="gramEnd"/>
      <w:r>
        <w:rPr>
          <w:rFonts w:ascii="標楷體" w:eastAsia="標楷體" w:hAnsi="標楷體"/>
          <w:color w:val="000000"/>
          <w:kern w:val="0"/>
        </w:rPr>
        <w:t>用為原則。</w:t>
      </w:r>
    </w:p>
    <w:p w14:paraId="7A0EB90F" w14:textId="77777777" w:rsidR="003D2079" w:rsidRPr="003D2079" w:rsidRDefault="003D2079" w:rsidP="003D2079">
      <w:pPr>
        <w:suppressAutoHyphens w:val="0"/>
        <w:spacing w:line="300" w:lineRule="exact"/>
        <w:ind w:left="397" w:hanging="140"/>
        <w:textAlignment w:val="auto"/>
        <w:rPr>
          <w:rFonts w:ascii="標楷體" w:eastAsia="標楷體" w:hAnsi="標楷體"/>
          <w:kern w:val="0"/>
          <w:szCs w:val="24"/>
        </w:rPr>
      </w:pPr>
      <w:bookmarkStart w:id="26" w:name="_Hlk237617176"/>
      <w:r w:rsidRPr="003D2079">
        <w:rPr>
          <w:rFonts w:ascii="標楷體" w:eastAsia="標楷體" w:hAnsi="標楷體" w:hint="eastAsia"/>
          <w:kern w:val="0"/>
          <w:szCs w:val="24"/>
        </w:rPr>
        <w:t>8.2.19.Danicopan (如</w:t>
      </w:r>
      <w:proofErr w:type="spellStart"/>
      <w:r w:rsidRPr="003D2079">
        <w:rPr>
          <w:rFonts w:ascii="標楷體" w:eastAsia="標楷體" w:hAnsi="標楷體" w:hint="eastAsia"/>
          <w:kern w:val="0"/>
          <w:szCs w:val="24"/>
        </w:rPr>
        <w:t>Voydeya</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iptacopan</w:t>
      </w:r>
      <w:proofErr w:type="spellEnd"/>
      <w:r w:rsidRPr="003D2079">
        <w:rPr>
          <w:rFonts w:ascii="標楷體" w:eastAsia="標楷體" w:hAnsi="標楷體" w:hint="eastAsia"/>
          <w:kern w:val="0"/>
          <w:szCs w:val="24"/>
        </w:rPr>
        <w:t xml:space="preserve"> (如</w:t>
      </w:r>
      <w:proofErr w:type="spellStart"/>
      <w:r w:rsidRPr="003D2079">
        <w:rPr>
          <w:rFonts w:ascii="標楷體" w:eastAsia="標楷體" w:hAnsi="標楷體" w:hint="eastAsia"/>
          <w:kern w:val="0"/>
          <w:szCs w:val="24"/>
        </w:rPr>
        <w:t>Fabhalta</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pegcetacoplan</w:t>
      </w:r>
      <w:proofErr w:type="spellEnd"/>
      <w:r w:rsidRPr="003D2079">
        <w:rPr>
          <w:rFonts w:ascii="標楷體" w:eastAsia="標楷體" w:hAnsi="標楷體" w:hint="eastAsia"/>
          <w:kern w:val="0"/>
          <w:szCs w:val="24"/>
        </w:rPr>
        <w:t>(如</w:t>
      </w:r>
      <w:proofErr w:type="spellStart"/>
      <w:r w:rsidRPr="003D2079">
        <w:rPr>
          <w:rFonts w:ascii="標楷體" w:eastAsia="標楷體" w:hAnsi="標楷體" w:hint="eastAsia"/>
          <w:kern w:val="0"/>
          <w:szCs w:val="24"/>
        </w:rPr>
        <w:t>Aspaveli</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Empaveli</w:t>
      </w:r>
      <w:proofErr w:type="spellEnd"/>
      <w:r w:rsidRPr="003D2079">
        <w:rPr>
          <w:rFonts w:ascii="標楷體" w:eastAsia="標楷體" w:hAnsi="標楷體" w:hint="eastAsia"/>
          <w:kern w:val="0"/>
          <w:szCs w:val="24"/>
        </w:rPr>
        <w:t>): (115/3/1、115/9/1、115/10/1)</w:t>
      </w:r>
    </w:p>
    <w:p w14:paraId="21DE8058" w14:textId="77777777" w:rsidR="003D2079" w:rsidRPr="003D2079" w:rsidRDefault="003D2079" w:rsidP="002144EC">
      <w:pPr>
        <w:widowControl/>
        <w:numPr>
          <w:ilvl w:val="0"/>
          <w:numId w:val="223"/>
        </w:numPr>
        <w:suppressAutoHyphens w:val="0"/>
        <w:autoSpaceDN/>
        <w:spacing w:line="300" w:lineRule="exact"/>
        <w:ind w:leftChars="195" w:left="708" w:hangingChars="100" w:hanging="240"/>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限用於經衛生福利部國民</w:t>
      </w:r>
      <w:proofErr w:type="gramStart"/>
      <w:r w:rsidRPr="003D2079">
        <w:rPr>
          <w:rFonts w:ascii="標楷體" w:eastAsia="標楷體" w:hAnsi="標楷體" w:hint="eastAsia"/>
          <w:kern w:val="0"/>
          <w:szCs w:val="24"/>
        </w:rPr>
        <w:t>健康署</w:t>
      </w:r>
      <w:proofErr w:type="gramEnd"/>
      <w:r w:rsidRPr="003D2079">
        <w:rPr>
          <w:rFonts w:ascii="標楷體" w:eastAsia="標楷體" w:hAnsi="標楷體" w:hint="eastAsia"/>
          <w:kern w:val="0"/>
          <w:szCs w:val="24"/>
        </w:rPr>
        <w:t>認定之陣發性夜間血紅素尿症病人，並經特殊專案審查核准後使用，且符合下列條件：(115/3/1、115/9/1、115/10/1)</w:t>
      </w:r>
    </w:p>
    <w:p w14:paraId="6FEE683D"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(1)</w:t>
      </w:r>
      <w:proofErr w:type="spellStart"/>
      <w:r w:rsidRPr="003D2079">
        <w:rPr>
          <w:rFonts w:ascii="標楷體" w:eastAsia="標楷體" w:hAnsi="標楷體" w:hint="eastAsia"/>
          <w:kern w:val="0"/>
          <w:szCs w:val="24"/>
        </w:rPr>
        <w:t>Danicopan</w:t>
      </w:r>
      <w:proofErr w:type="spellEnd"/>
      <w:r w:rsidRPr="003D2079">
        <w:rPr>
          <w:rFonts w:ascii="標楷體" w:eastAsia="標楷體" w:hAnsi="標楷體" w:hint="eastAsia"/>
          <w:kern w:val="0"/>
          <w:szCs w:val="24"/>
        </w:rPr>
        <w:t>限與eculizumab或</w:t>
      </w:r>
      <w:proofErr w:type="spellStart"/>
      <w:r w:rsidRPr="003D2079">
        <w:rPr>
          <w:rFonts w:ascii="標楷體" w:eastAsia="標楷體" w:hAnsi="標楷體" w:hint="eastAsia"/>
          <w:kern w:val="0"/>
          <w:szCs w:val="24"/>
        </w:rPr>
        <w:t>ravulizumab</w:t>
      </w:r>
      <w:proofErr w:type="spellEnd"/>
      <w:proofErr w:type="gramStart"/>
      <w:r w:rsidRPr="003D2079">
        <w:rPr>
          <w:rFonts w:ascii="標楷體" w:eastAsia="標楷體" w:hAnsi="標楷體" w:hint="eastAsia"/>
          <w:kern w:val="0"/>
          <w:szCs w:val="24"/>
        </w:rPr>
        <w:t>併</w:t>
      </w:r>
      <w:proofErr w:type="gramEnd"/>
      <w:r w:rsidRPr="003D2079">
        <w:rPr>
          <w:rFonts w:ascii="標楷體" w:eastAsia="標楷體" w:hAnsi="標楷體" w:hint="eastAsia"/>
          <w:kern w:val="0"/>
          <w:szCs w:val="24"/>
        </w:rPr>
        <w:t>用；</w:t>
      </w:r>
      <w:proofErr w:type="spellStart"/>
      <w:r w:rsidRPr="003D2079">
        <w:rPr>
          <w:rFonts w:ascii="標楷體" w:eastAsia="標楷體" w:hAnsi="標楷體" w:hint="eastAsia"/>
          <w:kern w:val="0"/>
          <w:szCs w:val="24"/>
        </w:rPr>
        <w:t>iptacopan</w:t>
      </w:r>
      <w:proofErr w:type="spellEnd"/>
      <w:r w:rsidRPr="003D2079">
        <w:rPr>
          <w:rFonts w:ascii="標楷體" w:eastAsia="標楷體" w:hAnsi="標楷體" w:hint="eastAsia"/>
          <w:kern w:val="0"/>
          <w:szCs w:val="24"/>
        </w:rPr>
        <w:t>及</w:t>
      </w:r>
      <w:proofErr w:type="spellStart"/>
      <w:r w:rsidRPr="003D2079">
        <w:rPr>
          <w:rFonts w:ascii="標楷體" w:eastAsia="標楷體" w:hAnsi="標楷體" w:hint="eastAsia"/>
          <w:kern w:val="0"/>
          <w:szCs w:val="24"/>
        </w:rPr>
        <w:t>pegcetacoplan</w:t>
      </w:r>
      <w:proofErr w:type="spellEnd"/>
      <w:proofErr w:type="gramStart"/>
      <w:r w:rsidRPr="003D2079">
        <w:rPr>
          <w:rFonts w:ascii="標楷體" w:eastAsia="標楷體" w:hAnsi="標楷體" w:hint="eastAsia"/>
          <w:kern w:val="0"/>
          <w:szCs w:val="24"/>
        </w:rPr>
        <w:t>限單用</w:t>
      </w:r>
      <w:proofErr w:type="gramEnd"/>
      <w:r w:rsidRPr="003D2079">
        <w:rPr>
          <w:rFonts w:ascii="標楷體" w:eastAsia="標楷體" w:hAnsi="標楷體" w:hint="eastAsia"/>
          <w:kern w:val="0"/>
          <w:szCs w:val="24"/>
        </w:rPr>
        <w:t>。(115/3/1、115/9/1、115/10/1)</w:t>
      </w:r>
    </w:p>
    <w:p w14:paraId="2821D5D0"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(2)年齡18歲以上。</w:t>
      </w:r>
    </w:p>
    <w:p w14:paraId="35144489"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lastRenderedPageBreak/>
        <w:t>(3)經C5</w:t>
      </w:r>
      <w:proofErr w:type="gramStart"/>
      <w:r w:rsidRPr="003D2079">
        <w:rPr>
          <w:rFonts w:ascii="標楷體" w:eastAsia="標楷體" w:hAnsi="標楷體" w:hint="eastAsia"/>
          <w:kern w:val="0"/>
          <w:szCs w:val="24"/>
        </w:rPr>
        <w:t>補體抑制劑</w:t>
      </w:r>
      <w:proofErr w:type="gramEnd"/>
      <w:r w:rsidRPr="003D2079">
        <w:rPr>
          <w:rFonts w:ascii="標楷體" w:eastAsia="標楷體" w:hAnsi="標楷體" w:hint="eastAsia"/>
          <w:kern w:val="0"/>
          <w:szCs w:val="24"/>
        </w:rPr>
        <w:t>(如eculizumab或</w:t>
      </w:r>
      <w:proofErr w:type="spellStart"/>
      <w:r w:rsidRPr="003D2079">
        <w:rPr>
          <w:rFonts w:ascii="標楷體" w:eastAsia="標楷體" w:hAnsi="標楷體" w:hint="eastAsia"/>
          <w:kern w:val="0"/>
          <w:szCs w:val="24"/>
        </w:rPr>
        <w:t>ravulizumab</w:t>
      </w:r>
      <w:proofErr w:type="spellEnd"/>
      <w:r w:rsidRPr="003D2079">
        <w:rPr>
          <w:rFonts w:ascii="標楷體" w:eastAsia="標楷體" w:hAnsi="標楷體" w:hint="eastAsia"/>
          <w:kern w:val="0"/>
          <w:szCs w:val="24"/>
        </w:rPr>
        <w:t>)治療後，仍出現血管外溶血(clinically significant extravascular hemolysis)。</w:t>
      </w:r>
    </w:p>
    <w:p w14:paraId="6596098B"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(4)使用C5抑制劑下血紅素仍小於或等於9.5g/dL。</w:t>
      </w:r>
    </w:p>
    <w:p w14:paraId="47F9082A"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(5)絕對網狀紅血球計數大於或等於120×10</w:t>
      </w:r>
      <w:r w:rsidRPr="003D2079">
        <w:rPr>
          <w:rFonts w:ascii="標楷體" w:eastAsia="標楷體" w:hAnsi="標楷體" w:hint="eastAsia"/>
          <w:kern w:val="0"/>
          <w:szCs w:val="24"/>
          <w:vertAlign w:val="superscript"/>
        </w:rPr>
        <w:t>9</w:t>
      </w:r>
      <w:r w:rsidRPr="003D2079">
        <w:rPr>
          <w:rFonts w:ascii="標楷體" w:eastAsia="標楷體" w:hAnsi="標楷體" w:hint="eastAsia"/>
          <w:kern w:val="0"/>
          <w:szCs w:val="24"/>
        </w:rPr>
        <w:t>/L，或網狀紅血球比例大於或等於3%。</w:t>
      </w:r>
    </w:p>
    <w:p w14:paraId="37BB17F6" w14:textId="77777777" w:rsidR="003D2079" w:rsidRPr="003D2079" w:rsidRDefault="003D2079" w:rsidP="003D2079">
      <w:pPr>
        <w:widowControl/>
        <w:suppressAutoHyphens w:val="0"/>
        <w:autoSpaceDN/>
        <w:spacing w:line="300" w:lineRule="exact"/>
        <w:ind w:leftChars="195" w:left="708" w:hangingChars="100" w:hanging="240"/>
        <w:jc w:val="both"/>
        <w:textAlignment w:val="auto"/>
        <w:rPr>
          <w:rFonts w:ascii="標楷體" w:eastAsia="標楷體" w:hAnsi="標楷體"/>
          <w:kern w:val="0"/>
          <w:szCs w:val="24"/>
        </w:rPr>
      </w:pPr>
      <w:r w:rsidRPr="003D2079">
        <w:rPr>
          <w:rFonts w:ascii="標楷體" w:eastAsia="標楷體" w:hAnsi="標楷體" w:hint="eastAsia"/>
          <w:kern w:val="0"/>
          <w:szCs w:val="24"/>
        </w:rPr>
        <w:t>2.排除有高危險之骨髓化生不良症候群（RAEB-1或RAEB-2）。</w:t>
      </w:r>
    </w:p>
    <w:p w14:paraId="1F931701" w14:textId="77777777" w:rsidR="003D2079" w:rsidRPr="003D2079" w:rsidRDefault="003D2079" w:rsidP="003D2079">
      <w:pPr>
        <w:widowControl/>
        <w:suppressAutoHyphens w:val="0"/>
        <w:autoSpaceDN/>
        <w:spacing w:line="300" w:lineRule="exact"/>
        <w:ind w:leftChars="195" w:left="708" w:hangingChars="100" w:hanging="240"/>
        <w:jc w:val="both"/>
        <w:textAlignment w:val="auto"/>
        <w:rPr>
          <w:rFonts w:ascii="標楷體" w:eastAsia="標楷體" w:hAnsi="標楷體"/>
          <w:kern w:val="0"/>
          <w:szCs w:val="24"/>
        </w:rPr>
      </w:pPr>
      <w:r w:rsidRPr="003D2079">
        <w:rPr>
          <w:rFonts w:ascii="標楷體" w:eastAsia="標楷體" w:hAnsi="標楷體" w:hint="eastAsia"/>
          <w:kern w:val="0"/>
          <w:szCs w:val="24"/>
        </w:rPr>
        <w:t>3.每6個月須經特殊專案審查重新評估治療結果。若符合下列條件之一，則不予同意使用。</w:t>
      </w:r>
    </w:p>
    <w:p w14:paraId="68E644A6"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(1)接受治療的患者用藥後病情沒有改善者（LDH超過正常值上限的1.5倍或最近3個月內輸血多於2個單位）。</w:t>
      </w:r>
    </w:p>
    <w:p w14:paraId="64E4727D"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 xml:space="preserve">(2)PNH granulocyte clone size </w:t>
      </w:r>
      <w:proofErr w:type="gramStart"/>
      <w:r w:rsidRPr="003D2079">
        <w:rPr>
          <w:rFonts w:ascii="標楷體" w:eastAsia="標楷體" w:hAnsi="標楷體" w:hint="eastAsia"/>
          <w:kern w:val="0"/>
          <w:szCs w:val="24"/>
        </w:rPr>
        <w:t>≦</w:t>
      </w:r>
      <w:proofErr w:type="gramEnd"/>
      <w:r w:rsidRPr="003D2079">
        <w:rPr>
          <w:rFonts w:ascii="標楷體" w:eastAsia="標楷體" w:hAnsi="標楷體" w:hint="eastAsia"/>
          <w:kern w:val="0"/>
          <w:szCs w:val="24"/>
        </w:rPr>
        <w:t>50%。</w:t>
      </w:r>
    </w:p>
    <w:p w14:paraId="2B090B9D" w14:textId="77777777" w:rsidR="003D2079" w:rsidRPr="003D2079" w:rsidRDefault="003D2079" w:rsidP="003D2079">
      <w:pPr>
        <w:widowControl/>
        <w:suppressAutoHyphens w:val="0"/>
        <w:autoSpaceDN/>
        <w:spacing w:line="300" w:lineRule="exact"/>
        <w:ind w:leftChars="262" w:left="991" w:hangingChars="151" w:hanging="362"/>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(3)發生嚴重再生不良性貧血者，其檢查結果符合下列兩項或兩項以上者：</w:t>
      </w:r>
    </w:p>
    <w:p w14:paraId="150F5696" w14:textId="77777777" w:rsidR="003D2079" w:rsidRPr="003D2079" w:rsidRDefault="003D2079" w:rsidP="003D2079">
      <w:pPr>
        <w:widowControl/>
        <w:suppressAutoHyphens w:val="0"/>
        <w:autoSpaceDN/>
        <w:spacing w:line="300" w:lineRule="exact"/>
        <w:ind w:leftChars="372" w:left="1133" w:hangingChars="100" w:hanging="240"/>
        <w:contextualSpacing/>
        <w:jc w:val="both"/>
        <w:textAlignment w:val="auto"/>
        <w:rPr>
          <w:rFonts w:ascii="標楷體" w:eastAsia="標楷體" w:hAnsi="標楷體"/>
          <w:kern w:val="0"/>
          <w:szCs w:val="24"/>
        </w:rPr>
      </w:pPr>
      <w:proofErr w:type="spellStart"/>
      <w:r w:rsidRPr="003D2079">
        <w:rPr>
          <w:rFonts w:ascii="標楷體" w:eastAsia="標楷體" w:hAnsi="標楷體" w:hint="eastAsia"/>
          <w:kern w:val="0"/>
          <w:szCs w:val="24"/>
        </w:rPr>
        <w:t>i</w:t>
      </w:r>
      <w:proofErr w:type="spellEnd"/>
      <w:r w:rsidRPr="003D2079">
        <w:rPr>
          <w:rFonts w:ascii="標楷體" w:eastAsia="標楷體" w:hAnsi="標楷體" w:hint="eastAsia"/>
          <w:kern w:val="0"/>
          <w:szCs w:val="24"/>
        </w:rPr>
        <w:t>.中性白血球數目(neutrophil count) &lt;0.5x10</w:t>
      </w:r>
      <w:r w:rsidRPr="003D2079">
        <w:rPr>
          <w:rFonts w:ascii="標楷體" w:eastAsia="標楷體" w:hAnsi="標楷體" w:hint="eastAsia"/>
          <w:kern w:val="0"/>
          <w:szCs w:val="24"/>
          <w:vertAlign w:val="superscript"/>
        </w:rPr>
        <w:t>9</w:t>
      </w:r>
      <w:r w:rsidRPr="003D2079">
        <w:rPr>
          <w:rFonts w:ascii="標楷體" w:eastAsia="標楷體" w:hAnsi="標楷體" w:hint="eastAsia"/>
          <w:kern w:val="0"/>
          <w:szCs w:val="24"/>
        </w:rPr>
        <w:t>/L。</w:t>
      </w:r>
    </w:p>
    <w:p w14:paraId="08797616" w14:textId="77777777" w:rsidR="003D2079" w:rsidRPr="003D2079" w:rsidRDefault="003D2079" w:rsidP="003D2079">
      <w:pPr>
        <w:widowControl/>
        <w:suppressAutoHyphens w:val="0"/>
        <w:autoSpaceDN/>
        <w:spacing w:line="300" w:lineRule="exact"/>
        <w:ind w:leftChars="372" w:left="1133" w:hangingChars="100" w:hanging="240"/>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ii.血小板數目( platelet count) &lt;20x109/L。</w:t>
      </w:r>
    </w:p>
    <w:p w14:paraId="36B3E94F" w14:textId="77777777" w:rsidR="003D2079" w:rsidRPr="003D2079" w:rsidRDefault="003D2079" w:rsidP="003D2079">
      <w:pPr>
        <w:widowControl/>
        <w:suppressAutoHyphens w:val="0"/>
        <w:autoSpaceDN/>
        <w:spacing w:line="300" w:lineRule="exact"/>
        <w:ind w:leftChars="372" w:left="1133" w:hangingChars="100" w:hanging="240"/>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iii.網狀細胞(reticulocytes) &lt;25x109/L。</w:t>
      </w:r>
    </w:p>
    <w:p w14:paraId="2F0A41D5" w14:textId="77777777" w:rsidR="003D2079" w:rsidRPr="003D2079" w:rsidRDefault="003D2079" w:rsidP="003D2079">
      <w:pPr>
        <w:widowControl/>
        <w:suppressAutoHyphens w:val="0"/>
        <w:autoSpaceDN/>
        <w:spacing w:line="300" w:lineRule="exact"/>
        <w:ind w:leftChars="372" w:left="1133" w:hangingChars="100" w:hanging="240"/>
        <w:contextualSpacing/>
        <w:jc w:val="both"/>
        <w:textAlignment w:val="auto"/>
        <w:rPr>
          <w:rFonts w:ascii="標楷體" w:eastAsia="標楷體" w:hAnsi="標楷體"/>
          <w:kern w:val="0"/>
          <w:szCs w:val="24"/>
        </w:rPr>
      </w:pPr>
      <w:r w:rsidRPr="003D2079">
        <w:rPr>
          <w:rFonts w:ascii="標楷體" w:eastAsia="標楷體" w:hAnsi="標楷體" w:hint="eastAsia"/>
          <w:kern w:val="0"/>
          <w:szCs w:val="24"/>
        </w:rPr>
        <w:t>iv.骨髓內造血細胞密度&lt;30%。</w:t>
      </w:r>
    </w:p>
    <w:p w14:paraId="378C62D1" w14:textId="77777777" w:rsidR="003D2079" w:rsidRPr="003D2079" w:rsidRDefault="003D2079" w:rsidP="003D2079">
      <w:pPr>
        <w:widowControl/>
        <w:suppressAutoHyphens w:val="0"/>
        <w:autoSpaceDN/>
        <w:spacing w:line="300" w:lineRule="exact"/>
        <w:ind w:leftChars="195" w:left="708" w:hangingChars="100" w:hanging="240"/>
        <w:jc w:val="both"/>
        <w:textAlignment w:val="auto"/>
        <w:rPr>
          <w:rFonts w:ascii="標楷體" w:eastAsia="標楷體" w:hAnsi="標楷體"/>
          <w:kern w:val="0"/>
          <w:szCs w:val="24"/>
        </w:rPr>
      </w:pPr>
      <w:r w:rsidRPr="003D2079">
        <w:rPr>
          <w:rFonts w:ascii="標楷體" w:eastAsia="標楷體" w:hAnsi="標楷體" w:hint="eastAsia"/>
          <w:kern w:val="0"/>
          <w:szCs w:val="24"/>
        </w:rPr>
        <w:t>4.Danicopan、</w:t>
      </w:r>
      <w:proofErr w:type="spellStart"/>
      <w:r w:rsidRPr="003D2079">
        <w:rPr>
          <w:rFonts w:ascii="標楷體" w:eastAsia="標楷體" w:hAnsi="標楷體" w:hint="eastAsia"/>
          <w:kern w:val="0"/>
          <w:szCs w:val="24"/>
        </w:rPr>
        <w:t>iptacopan</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pegcetacoplan</w:t>
      </w:r>
      <w:proofErr w:type="spellEnd"/>
      <w:r w:rsidRPr="003D2079">
        <w:rPr>
          <w:rFonts w:ascii="標楷體" w:eastAsia="標楷體" w:hAnsi="標楷體" w:hint="eastAsia"/>
          <w:kern w:val="0"/>
          <w:szCs w:val="24"/>
        </w:rPr>
        <w:t>三者僅得擇</w:t>
      </w:r>
      <w:proofErr w:type="gramStart"/>
      <w:r w:rsidRPr="003D2079">
        <w:rPr>
          <w:rFonts w:ascii="標楷體" w:eastAsia="標楷體" w:hAnsi="標楷體" w:hint="eastAsia"/>
          <w:kern w:val="0"/>
          <w:szCs w:val="24"/>
        </w:rPr>
        <w:t>一</w:t>
      </w:r>
      <w:proofErr w:type="gramEnd"/>
      <w:r w:rsidRPr="003D2079">
        <w:rPr>
          <w:rFonts w:ascii="標楷體" w:eastAsia="標楷體" w:hAnsi="標楷體" w:hint="eastAsia"/>
          <w:kern w:val="0"/>
          <w:szCs w:val="24"/>
        </w:rPr>
        <w:t>使用，惟病人出現耐受不良反應時方可轉換使用，且限轉換一次。(115/9/1、115/10/1)</w:t>
      </w:r>
    </w:p>
    <w:p w14:paraId="1FB7CEFC" w14:textId="77777777" w:rsidR="003D2079" w:rsidRPr="003D2079" w:rsidRDefault="003D2079" w:rsidP="003D2079">
      <w:pPr>
        <w:widowControl/>
        <w:suppressAutoHyphens w:val="0"/>
        <w:autoSpaceDN/>
        <w:spacing w:line="300" w:lineRule="exact"/>
        <w:ind w:leftChars="195" w:left="708" w:hangingChars="100" w:hanging="240"/>
        <w:jc w:val="both"/>
        <w:textAlignment w:val="auto"/>
        <w:rPr>
          <w:rFonts w:ascii="標楷體" w:eastAsia="標楷體" w:hAnsi="標楷體"/>
          <w:kern w:val="0"/>
          <w:szCs w:val="24"/>
        </w:rPr>
      </w:pPr>
      <w:r w:rsidRPr="003D2079">
        <w:rPr>
          <w:rFonts w:ascii="標楷體" w:eastAsia="標楷體" w:hAnsi="標楷體" w:cs="新細明體" w:hint="eastAsia"/>
          <w:kern w:val="0"/>
          <w:szCs w:val="24"/>
        </w:rPr>
        <w:t>◎</w:t>
      </w:r>
      <w:r w:rsidRPr="003D2079">
        <w:rPr>
          <w:rFonts w:ascii="標楷體" w:eastAsia="標楷體" w:hAnsi="標楷體" w:hint="eastAsia"/>
          <w:kern w:val="0"/>
          <w:szCs w:val="24"/>
        </w:rPr>
        <w:t>附表三十之</w:t>
      </w:r>
      <w:proofErr w:type="gramStart"/>
      <w:r w:rsidRPr="003D2079">
        <w:rPr>
          <w:rFonts w:ascii="標楷體" w:eastAsia="標楷體" w:hAnsi="標楷體" w:hint="eastAsia"/>
          <w:kern w:val="0"/>
          <w:szCs w:val="24"/>
        </w:rPr>
        <w:t>三</w:t>
      </w:r>
      <w:proofErr w:type="gramEnd"/>
      <w:r w:rsidRPr="003D2079">
        <w:rPr>
          <w:rFonts w:ascii="標楷體" w:eastAsia="標楷體" w:hAnsi="標楷體" w:hint="eastAsia"/>
          <w:kern w:val="0"/>
          <w:szCs w:val="24"/>
        </w:rPr>
        <w:t>：全民健康保險使用陣發性夜間血紅素</w:t>
      </w:r>
      <w:proofErr w:type="gramStart"/>
      <w:r w:rsidRPr="003D2079">
        <w:rPr>
          <w:rFonts w:ascii="標楷體" w:eastAsia="標楷體" w:hAnsi="標楷體" w:hint="eastAsia"/>
          <w:kern w:val="0"/>
          <w:szCs w:val="24"/>
        </w:rPr>
        <w:t>尿症第二線</w:t>
      </w:r>
      <w:proofErr w:type="gramEnd"/>
      <w:r w:rsidRPr="003D2079">
        <w:rPr>
          <w:rFonts w:ascii="標楷體" w:eastAsia="標楷體" w:hAnsi="標楷體" w:hint="eastAsia"/>
          <w:kern w:val="0"/>
          <w:szCs w:val="24"/>
        </w:rPr>
        <w:t>治療藥品</w:t>
      </w:r>
      <w:proofErr w:type="spellStart"/>
      <w:r w:rsidRPr="003D2079">
        <w:rPr>
          <w:rFonts w:ascii="標楷體" w:eastAsia="標楷體" w:hAnsi="標楷體" w:hint="eastAsia"/>
          <w:kern w:val="0"/>
          <w:szCs w:val="24"/>
        </w:rPr>
        <w:t>danicopan+eculizumab</w:t>
      </w:r>
      <w:proofErr w:type="spellEnd"/>
      <w:r w:rsidRPr="003D2079">
        <w:rPr>
          <w:rFonts w:ascii="標楷體" w:eastAsia="標楷體" w:hAnsi="標楷體" w:hint="eastAsia"/>
          <w:kern w:val="0"/>
          <w:szCs w:val="24"/>
        </w:rPr>
        <w:t xml:space="preserve"> /</w:t>
      </w:r>
      <w:proofErr w:type="spellStart"/>
      <w:r w:rsidRPr="003D2079">
        <w:rPr>
          <w:rFonts w:ascii="標楷體" w:eastAsia="標楷體" w:hAnsi="標楷體" w:hint="eastAsia"/>
          <w:kern w:val="0"/>
          <w:szCs w:val="24"/>
        </w:rPr>
        <w:t>ravulizumab</w:t>
      </w:r>
      <w:proofErr w:type="spellEnd"/>
      <w:r w:rsidRPr="003D2079">
        <w:rPr>
          <w:rFonts w:ascii="標楷體" w:eastAsia="標楷體" w:hAnsi="標楷體" w:hint="eastAsia"/>
          <w:kern w:val="0"/>
          <w:szCs w:val="24"/>
        </w:rPr>
        <w:t>或</w:t>
      </w:r>
      <w:proofErr w:type="spellStart"/>
      <w:r w:rsidRPr="003D2079">
        <w:rPr>
          <w:rFonts w:ascii="標楷體" w:eastAsia="標楷體" w:hAnsi="標楷體" w:hint="eastAsia"/>
          <w:kern w:val="0"/>
          <w:szCs w:val="24"/>
        </w:rPr>
        <w:t>iptacopan</w:t>
      </w:r>
      <w:proofErr w:type="spellEnd"/>
      <w:r w:rsidRPr="003D2079">
        <w:rPr>
          <w:rFonts w:ascii="標楷體" w:eastAsia="標楷體" w:hAnsi="標楷體" w:hint="eastAsia"/>
          <w:kern w:val="0"/>
          <w:szCs w:val="24"/>
        </w:rPr>
        <w:t>或</w:t>
      </w:r>
      <w:proofErr w:type="spellStart"/>
      <w:r w:rsidRPr="003D2079">
        <w:rPr>
          <w:rFonts w:ascii="標楷體" w:eastAsia="標楷體" w:hAnsi="標楷體" w:hint="eastAsia"/>
          <w:kern w:val="0"/>
          <w:szCs w:val="24"/>
        </w:rPr>
        <w:t>pegcetacoplan</w:t>
      </w:r>
      <w:proofErr w:type="spellEnd"/>
      <w:r w:rsidRPr="003D2079">
        <w:rPr>
          <w:rFonts w:ascii="標楷體" w:eastAsia="標楷體" w:hAnsi="標楷體" w:hint="eastAsia"/>
          <w:kern w:val="0"/>
          <w:szCs w:val="24"/>
        </w:rPr>
        <w:t>特殊專案審查申請表(115/3/1、115/9/1、115/10/1)</w:t>
      </w:r>
    </w:p>
    <w:p w14:paraId="698C51F7" w14:textId="77777777" w:rsidR="003D2079" w:rsidRPr="003D2079" w:rsidRDefault="003D2079" w:rsidP="003D2079">
      <w:pPr>
        <w:widowControl/>
        <w:suppressAutoHyphens w:val="0"/>
        <w:autoSpaceDN/>
        <w:spacing w:line="300" w:lineRule="exact"/>
        <w:ind w:leftChars="195" w:left="708" w:hangingChars="100" w:hanging="240"/>
        <w:jc w:val="both"/>
        <w:textAlignment w:val="auto"/>
        <w:rPr>
          <w:rFonts w:ascii="標楷體" w:eastAsia="標楷體" w:hAnsi="標楷體"/>
          <w:kern w:val="0"/>
          <w:szCs w:val="24"/>
        </w:rPr>
      </w:pPr>
      <w:r w:rsidRPr="003D2079">
        <w:rPr>
          <w:rFonts w:ascii="標楷體" w:eastAsia="標楷體" w:hAnsi="標楷體" w:hint="eastAsia"/>
          <w:kern w:val="0"/>
          <w:szCs w:val="24"/>
        </w:rPr>
        <w:t>◎附表三十之四：陣發性夜間血紅素尿症患者第二線治療藥品特殊專案審查申請</w:t>
      </w:r>
      <w:proofErr w:type="spellStart"/>
      <w:r w:rsidRPr="003D2079">
        <w:rPr>
          <w:rFonts w:ascii="標楷體" w:eastAsia="標楷體" w:hAnsi="標楷體" w:hint="eastAsia"/>
          <w:kern w:val="0"/>
          <w:szCs w:val="24"/>
        </w:rPr>
        <w:t>Voydeya</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danicopan</w:t>
      </w:r>
      <w:proofErr w:type="spellEnd"/>
      <w:r w:rsidRPr="003D2079">
        <w:rPr>
          <w:rFonts w:ascii="標楷體" w:eastAsia="標楷體" w:hAnsi="標楷體" w:hint="eastAsia"/>
          <w:kern w:val="0"/>
          <w:szCs w:val="24"/>
        </w:rPr>
        <w:t>)+Soliris(eculizumab)/</w:t>
      </w:r>
      <w:proofErr w:type="spellStart"/>
      <w:r w:rsidRPr="003D2079">
        <w:rPr>
          <w:rFonts w:ascii="標楷體" w:eastAsia="標楷體" w:hAnsi="標楷體" w:hint="eastAsia"/>
          <w:kern w:val="0"/>
          <w:szCs w:val="24"/>
        </w:rPr>
        <w:t>Ultomiris</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ravulizumab</w:t>
      </w:r>
      <w:proofErr w:type="spellEnd"/>
      <w:r w:rsidRPr="003D2079">
        <w:rPr>
          <w:rFonts w:ascii="標楷體" w:eastAsia="標楷體" w:hAnsi="標楷體" w:hint="eastAsia"/>
          <w:kern w:val="0"/>
          <w:szCs w:val="24"/>
        </w:rPr>
        <w:t>)或</w:t>
      </w:r>
      <w:proofErr w:type="spellStart"/>
      <w:r w:rsidRPr="003D2079">
        <w:rPr>
          <w:rFonts w:ascii="標楷體" w:eastAsia="標楷體" w:hAnsi="標楷體" w:hint="eastAsia"/>
          <w:kern w:val="0"/>
          <w:szCs w:val="24"/>
        </w:rPr>
        <w:t>Fabhalta</w:t>
      </w:r>
      <w:proofErr w:type="spellEnd"/>
      <w:r w:rsidRPr="003D2079">
        <w:rPr>
          <w:rFonts w:ascii="標楷體" w:eastAsia="標楷體" w:hAnsi="標楷體" w:hint="eastAsia"/>
          <w:kern w:val="0"/>
          <w:szCs w:val="24"/>
        </w:rPr>
        <w:t xml:space="preserve"> (</w:t>
      </w:r>
      <w:proofErr w:type="spellStart"/>
      <w:r w:rsidRPr="003D2079">
        <w:rPr>
          <w:rFonts w:ascii="標楷體" w:eastAsia="標楷體" w:hAnsi="標楷體" w:hint="eastAsia"/>
          <w:kern w:val="0"/>
          <w:szCs w:val="24"/>
        </w:rPr>
        <w:t>iptacopan</w:t>
      </w:r>
      <w:proofErr w:type="spellEnd"/>
      <w:r w:rsidRPr="003D2079">
        <w:rPr>
          <w:rFonts w:ascii="標楷體" w:eastAsia="標楷體" w:hAnsi="標楷體" w:hint="eastAsia"/>
          <w:kern w:val="0"/>
          <w:szCs w:val="24"/>
        </w:rPr>
        <w:t>)或</w:t>
      </w:r>
      <w:proofErr w:type="spellStart"/>
      <w:r w:rsidRPr="003D2079">
        <w:rPr>
          <w:rFonts w:ascii="標楷體" w:eastAsia="標楷體" w:hAnsi="標楷體" w:hint="eastAsia"/>
          <w:kern w:val="0"/>
          <w:szCs w:val="24"/>
        </w:rPr>
        <w:t>Aspaveli</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Empaveli</w:t>
      </w:r>
      <w:proofErr w:type="spellEnd"/>
      <w:r w:rsidRPr="003D2079">
        <w:rPr>
          <w:rFonts w:ascii="標楷體" w:eastAsia="標楷體" w:hAnsi="標楷體" w:hint="eastAsia"/>
          <w:kern w:val="0"/>
          <w:szCs w:val="24"/>
        </w:rPr>
        <w:t>(</w:t>
      </w:r>
      <w:proofErr w:type="spellStart"/>
      <w:r w:rsidRPr="003D2079">
        <w:rPr>
          <w:rFonts w:ascii="標楷體" w:eastAsia="標楷體" w:hAnsi="標楷體" w:hint="eastAsia"/>
          <w:kern w:val="0"/>
          <w:szCs w:val="24"/>
        </w:rPr>
        <w:t>pegcetacoplan</w:t>
      </w:r>
      <w:proofErr w:type="spellEnd"/>
      <w:r w:rsidRPr="003D2079">
        <w:rPr>
          <w:rFonts w:ascii="標楷體" w:eastAsia="標楷體" w:hAnsi="標楷體" w:hint="eastAsia"/>
          <w:kern w:val="0"/>
          <w:szCs w:val="24"/>
        </w:rPr>
        <w:t>)用藥檢附資料</w:t>
      </w:r>
      <w:proofErr w:type="gramStart"/>
      <w:r w:rsidRPr="003D2079">
        <w:rPr>
          <w:rFonts w:ascii="標楷體" w:eastAsia="標楷體" w:hAnsi="標楷體" w:hint="eastAsia"/>
          <w:kern w:val="0"/>
          <w:szCs w:val="24"/>
        </w:rPr>
        <w:t>查檢表</w:t>
      </w:r>
      <w:proofErr w:type="gramEnd"/>
      <w:r w:rsidRPr="003D2079">
        <w:rPr>
          <w:rFonts w:ascii="標楷體" w:eastAsia="標楷體" w:hAnsi="標楷體" w:hint="eastAsia"/>
          <w:kern w:val="0"/>
          <w:szCs w:val="24"/>
        </w:rPr>
        <w:t>(115/3/1、115/9/1、115/10/1)</w:t>
      </w:r>
    </w:p>
    <w:p w14:paraId="1A4CB15C" w14:textId="79D84CFF" w:rsidR="00A214CE" w:rsidRPr="003D2079" w:rsidRDefault="00A214CE" w:rsidP="00A214CE">
      <w:pPr>
        <w:widowControl/>
        <w:suppressAutoHyphens w:val="0"/>
        <w:autoSpaceDN/>
        <w:spacing w:line="300" w:lineRule="exact"/>
        <w:textAlignment w:val="auto"/>
        <w:rPr>
          <w:rFonts w:ascii="標楷體" w:eastAsia="標楷體" w:hAnsi="標楷體" w:cs="新細明體"/>
          <w:kern w:val="0"/>
          <w:szCs w:val="24"/>
        </w:rPr>
      </w:pPr>
    </w:p>
    <w:p w14:paraId="4A629163" w14:textId="5F1ED814" w:rsidR="00A214CE" w:rsidRPr="00A214CE" w:rsidRDefault="00A214CE" w:rsidP="00A214CE">
      <w:pPr>
        <w:widowControl/>
        <w:suppressAutoHyphens w:val="0"/>
        <w:autoSpaceDN/>
        <w:spacing w:line="300" w:lineRule="exact"/>
        <w:textAlignment w:val="auto"/>
        <w:rPr>
          <w:rFonts w:ascii="標楷體" w:eastAsia="標楷體" w:hAnsi="標楷體" w:cs="新細明體"/>
          <w:kern w:val="0"/>
          <w:szCs w:val="24"/>
        </w:rPr>
      </w:pPr>
    </w:p>
    <w:bookmarkEnd w:id="26"/>
    <w:p w14:paraId="42031692" w14:textId="77777777" w:rsidR="00CC252C" w:rsidRDefault="00CC252C" w:rsidP="00A214CE">
      <w:pPr>
        <w:widowControl/>
        <w:suppressAutoHyphens w:val="0"/>
        <w:spacing w:line="300" w:lineRule="exact"/>
        <w:rPr>
          <w:rFonts w:ascii="標楷體" w:eastAsia="標楷體" w:hAnsi="標楷體"/>
          <w:b/>
          <w:sz w:val="32"/>
          <w:szCs w:val="32"/>
        </w:rPr>
      </w:pPr>
      <w:r>
        <w:br w:type="page"/>
      </w:r>
    </w:p>
    <w:p w14:paraId="0B85AA1F" w14:textId="77777777" w:rsidR="00401786" w:rsidRDefault="00C64FB3" w:rsidP="004C172D">
      <w:pPr>
        <w:pStyle w:val="2"/>
        <w:spacing w:line="300" w:lineRule="exact"/>
      </w:pPr>
      <w:r>
        <w:lastRenderedPageBreak/>
        <w:t>第9節抗癌瘤藥物Antineoplastics drugs</w:t>
      </w:r>
    </w:p>
    <w:p w14:paraId="21DC1AE4" w14:textId="77777777" w:rsidR="00401786" w:rsidRDefault="00401786" w:rsidP="004C172D">
      <w:pPr>
        <w:snapToGrid w:val="0"/>
        <w:spacing w:line="300" w:lineRule="exact"/>
        <w:jc w:val="center"/>
        <w:rPr>
          <w:rFonts w:ascii="標楷體" w:eastAsia="標楷體" w:hAnsi="標楷體"/>
          <w:b/>
          <w:bCs/>
          <w:color w:val="000000"/>
          <w:sz w:val="32"/>
          <w:szCs w:val="32"/>
        </w:rPr>
      </w:pPr>
    </w:p>
    <w:p w14:paraId="58A38819"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szCs w:val="24"/>
        </w:rPr>
        <w:t>9</w:t>
      </w:r>
      <w:r w:rsidRPr="007576F0">
        <w:rPr>
          <w:rFonts w:ascii="標楷體" w:eastAsia="標楷體" w:hAnsi="標楷體"/>
          <w:color w:val="000000"/>
        </w:rPr>
        <w:t>.</w:t>
      </w:r>
      <w:proofErr w:type="gramStart"/>
      <w:r w:rsidRPr="007576F0">
        <w:rPr>
          <w:rFonts w:ascii="標楷體" w:eastAsia="標楷體" w:hAnsi="標楷體"/>
          <w:color w:val="000000"/>
        </w:rPr>
        <w:t>1.Aromatase</w:t>
      </w:r>
      <w:proofErr w:type="gramEnd"/>
      <w:r w:rsidRPr="007576F0">
        <w:rPr>
          <w:rFonts w:ascii="標楷體" w:eastAsia="標楷體" w:hAnsi="標楷體"/>
          <w:color w:val="000000"/>
        </w:rPr>
        <w:t xml:space="preserve"> Inhibitors</w:t>
      </w:r>
    </w:p>
    <w:p w14:paraId="14A90785" w14:textId="77777777" w:rsidR="007576F0" w:rsidRPr="007576F0" w:rsidRDefault="007576F0" w:rsidP="007576F0">
      <w:pPr>
        <w:spacing w:line="300" w:lineRule="exact"/>
        <w:ind w:left="672" w:hanging="386"/>
        <w:rPr>
          <w:rFonts w:ascii="標楷體" w:eastAsia="標楷體" w:hAnsi="標楷體"/>
          <w:szCs w:val="24"/>
        </w:rPr>
      </w:pPr>
      <w:r w:rsidRPr="007576F0">
        <w:rPr>
          <w:rFonts w:ascii="標楷體" w:eastAsia="標楷體" w:hAnsi="標楷體"/>
          <w:color w:val="000000"/>
        </w:rPr>
        <w:t>9.1.1.Exemestane(如</w:t>
      </w:r>
      <w:proofErr w:type="spellStart"/>
      <w:r w:rsidRPr="007576F0">
        <w:rPr>
          <w:rFonts w:ascii="標楷體" w:eastAsia="標楷體" w:hAnsi="標楷體"/>
          <w:color w:val="000000"/>
        </w:rPr>
        <w:t>Aromasin</w:t>
      </w:r>
      <w:proofErr w:type="spellEnd"/>
      <w:r w:rsidRPr="007576F0">
        <w:rPr>
          <w:rFonts w:ascii="標楷體" w:eastAsia="標楷體" w:hAnsi="標楷體"/>
          <w:color w:val="000000"/>
        </w:rPr>
        <w:t xml:space="preserve"> Sugar Coated Tablets)：</w:t>
      </w:r>
      <w:proofErr w:type="gramStart"/>
      <w:r w:rsidRPr="007576F0">
        <w:rPr>
          <w:rFonts w:ascii="標楷體" w:eastAsia="標楷體" w:hAnsi="標楷體"/>
          <w:color w:val="000000"/>
        </w:rPr>
        <w:t>（</w:t>
      </w:r>
      <w:proofErr w:type="gramEnd"/>
      <w:r w:rsidRPr="007576F0">
        <w:rPr>
          <w:rFonts w:ascii="標楷體" w:eastAsia="標楷體" w:hAnsi="標楷體"/>
          <w:color w:val="000000"/>
        </w:rPr>
        <w:t>88/11/1、90/10/1、99/6/1、105/8/1</w:t>
      </w:r>
      <w:r w:rsidRPr="007576F0">
        <w:rPr>
          <w:rFonts w:ascii="標楷體" w:eastAsia="標楷體" w:hAnsi="標楷體"/>
          <w:szCs w:val="24"/>
        </w:rPr>
        <w:t>)</w:t>
      </w:r>
    </w:p>
    <w:p w14:paraId="33922407"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1.限停經後或卵巢切除後，且女性荷爾蒙受體(estrogen receptor)陽性之晚期乳癌病患，經使用tamoxifen無效後，方可使用。</w:t>
      </w:r>
    </w:p>
    <w:p w14:paraId="087CE88E"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2.具有雌激素受體陽性之停經婦女，使用tamoxifen至少兩年之高危險早期侵犯性乳癌的輔助治療，且不得與tamoxifen或其他aromatase inhibitor</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用。使用時需同時符合下列規定：(105/8/1)</w:t>
      </w:r>
    </w:p>
    <w:p w14:paraId="3AF2320E"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(1)病歷上應詳細記載手術資料、病理報告(應包含ER、PR之檢測結果且無復發現象)。</w:t>
      </w:r>
    </w:p>
    <w:p w14:paraId="78770BD7"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(2)本案藥品使用不得超過三年。</w:t>
      </w:r>
    </w:p>
    <w:p w14:paraId="0A0E1F42"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9.1.2.Anastrozole(如Arimidex)：（88/6/1、92/3/1、93/6/1）</w:t>
      </w:r>
    </w:p>
    <w:p w14:paraId="5AD1ED0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1.停經後雌激素接受器為陽性或不清楚之局部晚期或轉移性乳癌第一線治療。(92/3/1)</w:t>
      </w:r>
    </w:p>
    <w:p w14:paraId="427F45BD"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2.停經後婦女晚期乳癌，雌激素接受器為陰性，但曾對tamoxifen有陽性反應者。(92/3/1)</w:t>
      </w:r>
    </w:p>
    <w:p w14:paraId="27A34AD7"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3.停經後婦女</w:t>
      </w:r>
      <w:proofErr w:type="gramStart"/>
      <w:r w:rsidRPr="007576F0">
        <w:rPr>
          <w:rFonts w:ascii="標楷體" w:eastAsia="標楷體" w:hAnsi="標楷體"/>
          <w:color w:val="000000"/>
        </w:rPr>
        <w:t>罹</w:t>
      </w:r>
      <w:proofErr w:type="gramEnd"/>
      <w:r w:rsidRPr="007576F0">
        <w:rPr>
          <w:rFonts w:ascii="標楷體" w:eastAsia="標楷體" w:hAnsi="標楷體"/>
          <w:color w:val="000000"/>
        </w:rPr>
        <w:t>患早期侵犯性乳癌，經外科</w:t>
      </w:r>
      <w:proofErr w:type="gramStart"/>
      <w:r w:rsidRPr="007576F0">
        <w:rPr>
          <w:rFonts w:ascii="標楷體" w:eastAsia="標楷體" w:hAnsi="標楷體"/>
          <w:color w:val="000000"/>
        </w:rPr>
        <w:t>手術切除後且雌激素</w:t>
      </w:r>
      <w:proofErr w:type="gramEnd"/>
      <w:r w:rsidRPr="007576F0">
        <w:rPr>
          <w:rFonts w:ascii="標楷體" w:eastAsia="標楷體" w:hAnsi="標楷體"/>
          <w:color w:val="000000"/>
        </w:rPr>
        <w:t>接受器為陽性，且有血栓栓塞症或子宮內膜異常增生的高危險群，而無法使用tamoxifen治療者。(93/6/1)</w:t>
      </w:r>
    </w:p>
    <w:p w14:paraId="3E7AD227" w14:textId="77777777" w:rsidR="007576F0" w:rsidRPr="007576F0" w:rsidRDefault="007576F0" w:rsidP="007576F0">
      <w:pPr>
        <w:spacing w:line="300" w:lineRule="exact"/>
        <w:ind w:left="1231" w:hanging="698"/>
        <w:rPr>
          <w:rFonts w:ascii="標楷體" w:eastAsia="標楷體" w:hAnsi="標楷體"/>
          <w:color w:val="000000"/>
        </w:rPr>
      </w:pPr>
      <w:r w:rsidRPr="007576F0">
        <w:rPr>
          <w:rFonts w:ascii="標楷體" w:eastAsia="標楷體" w:hAnsi="標楷體"/>
          <w:color w:val="000000"/>
        </w:rPr>
        <w:t>備註：療程期間以不超過五年為原則。血栓栓塞症或子宮內膜異常增生的高</w:t>
      </w:r>
      <w:proofErr w:type="gramStart"/>
      <w:r w:rsidRPr="007576F0">
        <w:rPr>
          <w:rFonts w:ascii="標楷體" w:eastAsia="標楷體" w:hAnsi="標楷體"/>
          <w:color w:val="000000"/>
        </w:rPr>
        <w:t>危險群需符合</w:t>
      </w:r>
      <w:proofErr w:type="gramEnd"/>
      <w:r w:rsidRPr="007576F0">
        <w:rPr>
          <w:rFonts w:ascii="標楷體" w:eastAsia="標楷體" w:hAnsi="標楷體"/>
          <w:color w:val="000000"/>
        </w:rPr>
        <w:t>下列情形之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w:t>
      </w:r>
    </w:p>
    <w:p w14:paraId="08DCF6EA"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(1)有腦血管梗塞病史者。</w:t>
      </w:r>
    </w:p>
    <w:p w14:paraId="1FF93332"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(2)有靜脈血栓栓塞症病史者。</w:t>
      </w:r>
    </w:p>
    <w:p w14:paraId="362DC3E1"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(3)有子宮異常出血病史，且「經陰道超音波檢查」判定為子宮內膜異常增生的高危險群。</w:t>
      </w:r>
    </w:p>
    <w:p w14:paraId="14C069DB" w14:textId="77777777" w:rsidR="007576F0" w:rsidRPr="007576F0" w:rsidRDefault="007576F0" w:rsidP="007576F0">
      <w:pPr>
        <w:spacing w:line="300" w:lineRule="exact"/>
        <w:ind w:left="672" w:hanging="386"/>
        <w:rPr>
          <w:rFonts w:ascii="標楷體" w:eastAsia="標楷體" w:hAnsi="標楷體"/>
          <w:szCs w:val="24"/>
        </w:rPr>
      </w:pPr>
      <w:r w:rsidRPr="007576F0">
        <w:rPr>
          <w:rFonts w:ascii="標楷體" w:eastAsia="標楷體" w:hAnsi="標楷體"/>
          <w:szCs w:val="24"/>
        </w:rPr>
        <w:t>9.1.3.Letrozole：</w:t>
      </w:r>
      <w:proofErr w:type="gramStart"/>
      <w:r w:rsidRPr="007576F0">
        <w:rPr>
          <w:rFonts w:ascii="標楷體" w:eastAsia="標楷體" w:hAnsi="標楷體"/>
          <w:szCs w:val="24"/>
        </w:rPr>
        <w:t>（</w:t>
      </w:r>
      <w:proofErr w:type="gramEnd"/>
      <w:r w:rsidRPr="007576F0">
        <w:rPr>
          <w:rFonts w:ascii="標楷體" w:eastAsia="標楷體" w:hAnsi="標楷體"/>
          <w:szCs w:val="24"/>
        </w:rPr>
        <w:t>88/11/1、90/10/1、92/3/1、97/11/1、98/11/1、99/9/1、102/8/1)</w:t>
      </w:r>
    </w:p>
    <w:p w14:paraId="34A9A53D"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1.接受抗動情激素治療失敗的自然或人工停經後之末期乳癌病人之治療、停經後之局部晚期或轉移性乳癌婦女患者之第一線治療用藥。</w:t>
      </w:r>
    </w:p>
    <w:p w14:paraId="6B34F537"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w:t>
      </w:r>
      <w:proofErr w:type="gramStart"/>
      <w:r w:rsidRPr="007576F0">
        <w:rPr>
          <w:rFonts w:ascii="標楷體" w:eastAsia="標楷體" w:hAnsi="標楷體"/>
          <w:color w:val="000000"/>
        </w:rPr>
        <w:t>停經後且荷爾蒙接受體呈陽性</w:t>
      </w:r>
      <w:proofErr w:type="gramEnd"/>
      <w:r w:rsidRPr="007576F0">
        <w:rPr>
          <w:rFonts w:ascii="標楷體" w:eastAsia="標楷體" w:hAnsi="標楷體"/>
          <w:color w:val="000000"/>
        </w:rPr>
        <w:t>，有淋巴結轉移之乳癌病人，作為tamoxifen治療五年後的延伸治療，且不得與其他aromatase inhibitor</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用。使用時需同時符合下列規定：（97/11/1）</w:t>
      </w:r>
    </w:p>
    <w:p w14:paraId="69B039F0"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(1)手術後大於等於11年且無復發者不得使用。</w:t>
      </w:r>
    </w:p>
    <w:p w14:paraId="28AB88E0"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(2)每日最大劑量2.5mg，使用不得超過四年。</w:t>
      </w:r>
    </w:p>
    <w:p w14:paraId="57AEC74D"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w:t>
      </w:r>
      <w:proofErr w:type="gramStart"/>
      <w:r w:rsidRPr="007576F0">
        <w:rPr>
          <w:rFonts w:ascii="標楷體" w:eastAsia="標楷體" w:hAnsi="標楷體"/>
          <w:color w:val="000000"/>
        </w:rPr>
        <w:t>停經後且荷爾蒙接受體呈陽性</w:t>
      </w:r>
      <w:proofErr w:type="gramEnd"/>
      <w:r w:rsidRPr="007576F0">
        <w:rPr>
          <w:rFonts w:ascii="標楷體" w:eastAsia="標楷體" w:hAnsi="標楷體"/>
          <w:color w:val="000000"/>
        </w:rPr>
        <w:t>之早期乳癌病人，經外科手術切除後之輔助治療，且不得與tamoxifen或其他aromatase inhibitor</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用。使用時需同時符合下列規定：(98/11/1、99/9/1、102/8/1)</w:t>
      </w:r>
    </w:p>
    <w:p w14:paraId="6720AB37"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(1)每日最大劑量2.5mg，使用不得超過五年；</w:t>
      </w:r>
    </w:p>
    <w:p w14:paraId="6B553971"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(2)若由tamoxifen轉換</w:t>
      </w:r>
      <w:proofErr w:type="gramStart"/>
      <w:r w:rsidRPr="007576F0">
        <w:rPr>
          <w:rFonts w:ascii="標楷體" w:eastAsia="標楷體" w:hAnsi="標楷體"/>
          <w:color w:val="000000"/>
        </w:rPr>
        <w:t>使用本品</w:t>
      </w:r>
      <w:proofErr w:type="gramEnd"/>
      <w:r w:rsidRPr="007576F0">
        <w:rPr>
          <w:rFonts w:ascii="標楷體" w:eastAsia="標楷體" w:hAnsi="標楷體"/>
          <w:color w:val="000000"/>
        </w:rPr>
        <w:t>，則使用期限合計不得超過5年。</w:t>
      </w:r>
    </w:p>
    <w:p w14:paraId="3F89836F" w14:textId="77777777" w:rsidR="007576F0" w:rsidRPr="007576F0" w:rsidRDefault="007576F0" w:rsidP="007576F0">
      <w:pPr>
        <w:spacing w:line="300" w:lineRule="exact"/>
        <w:ind w:left="847" w:hanging="281"/>
        <w:rPr>
          <w:rFonts w:ascii="標楷體" w:eastAsia="標楷體" w:hAnsi="標楷體"/>
          <w:color w:val="000000"/>
        </w:rPr>
      </w:pPr>
      <w:r w:rsidRPr="007576F0">
        <w:rPr>
          <w:rFonts w:ascii="標楷體" w:eastAsia="標楷體" w:hAnsi="標楷體"/>
          <w:color w:val="000000"/>
        </w:rPr>
        <w:t>4.病歷上應詳細記載手術資料、病理報告(應包含ER、PR之檢測結果且無復發現象)及用藥紀錄(如tamoxifen使用五年證明)。</w:t>
      </w:r>
    </w:p>
    <w:p w14:paraId="19841C02" w14:textId="77777777" w:rsidR="007576F0" w:rsidRPr="007576F0" w:rsidRDefault="007576F0" w:rsidP="007576F0">
      <w:pPr>
        <w:spacing w:line="300" w:lineRule="exact"/>
        <w:ind w:left="426" w:hanging="224"/>
        <w:rPr>
          <w:rFonts w:ascii="標楷體" w:eastAsia="標楷體" w:hAnsi="標楷體"/>
          <w:szCs w:val="24"/>
        </w:rPr>
      </w:pPr>
      <w:bookmarkStart w:id="27" w:name="_Hlk230360516"/>
      <w:r w:rsidRPr="007576F0">
        <w:rPr>
          <w:rFonts w:ascii="標楷體" w:eastAsia="標楷體" w:hAnsi="標楷體"/>
          <w:szCs w:val="24"/>
        </w:rPr>
        <w:t>9.</w:t>
      </w:r>
      <w:bookmarkEnd w:id="27"/>
      <w:r w:rsidRPr="007576F0">
        <w:rPr>
          <w:rFonts w:ascii="標楷體" w:eastAsia="標楷體" w:hAnsi="標楷體"/>
          <w:szCs w:val="24"/>
        </w:rPr>
        <w:t>2.Carboplatin(如</w:t>
      </w:r>
      <w:proofErr w:type="spellStart"/>
      <w:r w:rsidRPr="007576F0">
        <w:rPr>
          <w:rFonts w:ascii="標楷體" w:eastAsia="標楷體" w:hAnsi="標楷體"/>
          <w:szCs w:val="24"/>
        </w:rPr>
        <w:t>Paraplatin</w:t>
      </w:r>
      <w:proofErr w:type="spellEnd"/>
      <w:r w:rsidRPr="007576F0">
        <w:rPr>
          <w:rFonts w:ascii="標楷體" w:eastAsia="標楷體" w:hAnsi="標楷體"/>
          <w:szCs w:val="24"/>
        </w:rPr>
        <w:t xml:space="preserve">；Carboplatin </w:t>
      </w:r>
      <w:proofErr w:type="spellStart"/>
      <w:r w:rsidRPr="007576F0">
        <w:rPr>
          <w:rFonts w:ascii="標楷體" w:eastAsia="標楷體" w:hAnsi="標楷體"/>
          <w:szCs w:val="24"/>
        </w:rPr>
        <w:t>inj</w:t>
      </w:r>
      <w:proofErr w:type="spellEnd"/>
      <w:r w:rsidRPr="007576F0">
        <w:rPr>
          <w:rFonts w:ascii="標楷體" w:eastAsia="標楷體" w:hAnsi="標楷體"/>
          <w:szCs w:val="24"/>
        </w:rPr>
        <w:t>)：(112/12/1、114/2/1、114/6/1、114/8/1、114/10/1</w:t>
      </w:r>
      <w:r w:rsidRPr="007576F0">
        <w:rPr>
          <w:rFonts w:ascii="標楷體" w:eastAsia="標楷體" w:hAnsi="標楷體" w:hint="eastAsia"/>
          <w:szCs w:val="24"/>
        </w:rPr>
        <w:t>、115/6/1、115/8/1、115/10/1</w:t>
      </w:r>
      <w:r w:rsidRPr="007576F0">
        <w:rPr>
          <w:rFonts w:ascii="標楷體" w:eastAsia="標楷體" w:hAnsi="標楷體"/>
          <w:szCs w:val="24"/>
        </w:rPr>
        <w:t>)</w:t>
      </w:r>
    </w:p>
    <w:p w14:paraId="7C3334AA" w14:textId="77777777" w:rsidR="007576F0" w:rsidRPr="007576F0" w:rsidRDefault="007576F0" w:rsidP="007576F0">
      <w:pPr>
        <w:spacing w:line="300" w:lineRule="exact"/>
        <w:ind w:firstLine="174"/>
        <w:jc w:val="both"/>
        <w:rPr>
          <w:szCs w:val="24"/>
        </w:rPr>
      </w:pPr>
      <w:r w:rsidRPr="007576F0">
        <w:rPr>
          <w:rFonts w:ascii="標楷體" w:eastAsia="標楷體" w:hAnsi="標楷體"/>
          <w:szCs w:val="24"/>
        </w:rPr>
        <w:t xml:space="preserve">   限</w:t>
      </w:r>
    </w:p>
    <w:p w14:paraId="537869F3" w14:textId="77777777" w:rsidR="007576F0" w:rsidRPr="007576F0" w:rsidRDefault="007576F0" w:rsidP="007576F0">
      <w:pPr>
        <w:spacing w:line="300" w:lineRule="exact"/>
        <w:ind w:left="847" w:hanging="281"/>
        <w:rPr>
          <w:rFonts w:ascii="標楷體" w:eastAsia="標楷體" w:hAnsi="標楷體"/>
          <w:color w:val="000000"/>
        </w:rPr>
      </w:pPr>
      <w:r w:rsidRPr="007576F0">
        <w:rPr>
          <w:rFonts w:ascii="標楷體" w:eastAsia="標楷體" w:hAnsi="標楷體"/>
          <w:szCs w:val="24"/>
        </w:rPr>
        <w:t>1.卵巢</w:t>
      </w:r>
      <w:r w:rsidRPr="007576F0">
        <w:rPr>
          <w:rFonts w:ascii="標楷體" w:eastAsia="標楷體" w:hAnsi="標楷體"/>
          <w:color w:val="000000"/>
        </w:rPr>
        <w:t>癌患者。</w:t>
      </w:r>
    </w:p>
    <w:p w14:paraId="4D85636C" w14:textId="77777777" w:rsidR="007576F0" w:rsidRPr="007576F0" w:rsidRDefault="007576F0" w:rsidP="007576F0">
      <w:pPr>
        <w:spacing w:line="300" w:lineRule="exact"/>
        <w:ind w:left="847" w:hanging="281"/>
        <w:rPr>
          <w:rFonts w:ascii="標楷體" w:eastAsia="標楷體" w:hAnsi="標楷體"/>
          <w:color w:val="000000"/>
        </w:rPr>
      </w:pPr>
      <w:r w:rsidRPr="007576F0">
        <w:rPr>
          <w:rFonts w:ascii="標楷體" w:eastAsia="標楷體" w:hAnsi="標楷體"/>
          <w:color w:val="000000"/>
        </w:rPr>
        <w:t>2.腎功能不佳(</w:t>
      </w:r>
      <w:proofErr w:type="spellStart"/>
      <w:r w:rsidRPr="007576F0">
        <w:rPr>
          <w:rFonts w:ascii="標楷體" w:eastAsia="標楷體" w:hAnsi="標楷體"/>
          <w:color w:val="000000"/>
        </w:rPr>
        <w:t>CCr</w:t>
      </w:r>
      <w:proofErr w:type="spellEnd"/>
      <w:r w:rsidRPr="007576F0">
        <w:rPr>
          <w:rFonts w:ascii="標楷體" w:eastAsia="標楷體" w:hAnsi="標楷體"/>
          <w:color w:val="000000"/>
        </w:rPr>
        <w:t>&lt;60)或曾作單</w:t>
      </w:r>
      <w:proofErr w:type="gramStart"/>
      <w:r w:rsidRPr="007576F0">
        <w:rPr>
          <w:rFonts w:ascii="標楷體" w:eastAsia="標楷體" w:hAnsi="標楷體"/>
          <w:color w:val="000000"/>
        </w:rPr>
        <w:t>側或以上腎</w:t>
      </w:r>
      <w:proofErr w:type="gramEnd"/>
      <w:r w:rsidRPr="007576F0">
        <w:rPr>
          <w:rFonts w:ascii="標楷體" w:eastAsia="標楷體" w:hAnsi="標楷體"/>
          <w:color w:val="000000"/>
        </w:rPr>
        <w:t>切除之惡性腫瘤患者使用。</w:t>
      </w:r>
    </w:p>
    <w:p w14:paraId="1143FF67" w14:textId="77777777" w:rsidR="007576F0" w:rsidRPr="007576F0" w:rsidRDefault="007576F0" w:rsidP="007576F0">
      <w:pPr>
        <w:spacing w:line="300" w:lineRule="exact"/>
        <w:ind w:left="847" w:hanging="281"/>
        <w:rPr>
          <w:rFonts w:ascii="標楷體" w:eastAsia="標楷體" w:hAnsi="標楷體"/>
          <w:szCs w:val="24"/>
        </w:rPr>
      </w:pPr>
      <w:r w:rsidRPr="007576F0">
        <w:rPr>
          <w:rFonts w:ascii="標楷體" w:eastAsia="標楷體" w:hAnsi="標楷體"/>
          <w:color w:val="000000"/>
        </w:rPr>
        <w:lastRenderedPageBreak/>
        <w:t>3.與pembrolizumab及paclitaxel</w:t>
      </w:r>
      <w:r w:rsidRPr="007576F0">
        <w:rPr>
          <w:rFonts w:ascii="標楷體" w:eastAsia="標楷體" w:hAnsi="標楷體" w:hint="eastAsia"/>
          <w:color w:val="000000"/>
        </w:rPr>
        <w:t>，或與</w:t>
      </w:r>
      <w:r w:rsidRPr="007576F0">
        <w:rPr>
          <w:rFonts w:ascii="標楷體" w:eastAsia="標楷體" w:hAnsi="標楷體"/>
          <w:color w:val="000000"/>
        </w:rPr>
        <w:t>tislelizumab</w:t>
      </w:r>
      <w:r w:rsidRPr="007576F0">
        <w:rPr>
          <w:rFonts w:ascii="標楷體" w:eastAsia="標楷體" w:hAnsi="標楷體" w:hint="eastAsia"/>
          <w:color w:val="000000"/>
        </w:rPr>
        <w:t>及paclitaxel</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用於轉移</w:t>
      </w:r>
      <w:proofErr w:type="gramStart"/>
      <w:r w:rsidRPr="007576F0">
        <w:rPr>
          <w:rFonts w:ascii="標楷體" w:eastAsia="標楷體" w:hAnsi="標楷體"/>
          <w:color w:val="000000"/>
        </w:rPr>
        <w:t>性鱗狀非</w:t>
      </w:r>
      <w:proofErr w:type="gramEnd"/>
      <w:r w:rsidRPr="007576F0">
        <w:rPr>
          <w:rFonts w:ascii="標楷體" w:eastAsia="標楷體" w:hAnsi="標楷體"/>
          <w:szCs w:val="24"/>
        </w:rPr>
        <w:t>小細胞肺癌的第一線治療，患者需符合免疫檢查點抑制劑之藥品給付規定。(112/12/1</w:t>
      </w:r>
      <w:r w:rsidRPr="007576F0">
        <w:rPr>
          <w:rFonts w:ascii="標楷體" w:eastAsia="標楷體" w:hAnsi="標楷體" w:hint="eastAsia"/>
          <w:szCs w:val="24"/>
        </w:rPr>
        <w:t>、115/10/1</w:t>
      </w:r>
      <w:r w:rsidRPr="007576F0">
        <w:rPr>
          <w:rFonts w:ascii="標楷體" w:eastAsia="標楷體" w:hAnsi="標楷體"/>
          <w:szCs w:val="24"/>
        </w:rPr>
        <w:t>)</w:t>
      </w:r>
    </w:p>
    <w:p w14:paraId="78A9CBBC" w14:textId="77777777" w:rsidR="007576F0" w:rsidRPr="007576F0" w:rsidRDefault="007576F0" w:rsidP="007576F0">
      <w:pPr>
        <w:spacing w:line="300" w:lineRule="exact"/>
        <w:ind w:left="851" w:hanging="282"/>
        <w:jc w:val="both"/>
        <w:rPr>
          <w:rFonts w:ascii="標楷體" w:eastAsia="標楷體" w:hAnsi="標楷體"/>
          <w:szCs w:val="24"/>
        </w:rPr>
      </w:pPr>
      <w:r w:rsidRPr="007576F0">
        <w:rPr>
          <w:rFonts w:ascii="標楷體" w:eastAsia="標楷體" w:hAnsi="標楷體"/>
          <w:szCs w:val="24"/>
        </w:rPr>
        <w:t>4.與atezolizumab及etoposide</w:t>
      </w:r>
      <w:proofErr w:type="gramStart"/>
      <w:r w:rsidRPr="007576F0">
        <w:rPr>
          <w:rFonts w:ascii="標楷體" w:eastAsia="標楷體" w:hAnsi="標楷體"/>
          <w:szCs w:val="24"/>
        </w:rPr>
        <w:t>併</w:t>
      </w:r>
      <w:proofErr w:type="gramEnd"/>
      <w:r w:rsidRPr="007576F0">
        <w:rPr>
          <w:rFonts w:ascii="標楷體" w:eastAsia="標楷體" w:hAnsi="標楷體"/>
          <w:szCs w:val="24"/>
        </w:rPr>
        <w:t>用，或與durvalumab及etoposide</w:t>
      </w:r>
      <w:proofErr w:type="gramStart"/>
      <w:r w:rsidRPr="007576F0">
        <w:rPr>
          <w:rFonts w:ascii="標楷體" w:eastAsia="標楷體" w:hAnsi="標楷體"/>
          <w:szCs w:val="24"/>
        </w:rPr>
        <w:t>併</w:t>
      </w:r>
      <w:proofErr w:type="gramEnd"/>
      <w:r w:rsidRPr="007576F0">
        <w:rPr>
          <w:rFonts w:ascii="標楷體" w:eastAsia="標楷體" w:hAnsi="標楷體"/>
          <w:szCs w:val="24"/>
        </w:rPr>
        <w:t>用於擴散期(extensive stage)小細胞肺癌成人患者時，患者需符合免疫檢查點抑制劑之藥品給付規定。(112/12/1、114/2/1)</w:t>
      </w:r>
    </w:p>
    <w:p w14:paraId="24F9E9C7" w14:textId="77777777" w:rsidR="007576F0" w:rsidRPr="007576F0" w:rsidRDefault="007576F0" w:rsidP="007576F0">
      <w:pPr>
        <w:spacing w:line="300" w:lineRule="exact"/>
        <w:ind w:left="851" w:hanging="282"/>
        <w:jc w:val="both"/>
        <w:rPr>
          <w:rFonts w:ascii="標楷體" w:eastAsia="標楷體" w:hAnsi="標楷體"/>
          <w:szCs w:val="24"/>
        </w:rPr>
      </w:pPr>
      <w:r w:rsidRPr="007576F0">
        <w:rPr>
          <w:rFonts w:ascii="標楷體" w:eastAsia="標楷體" w:hAnsi="標楷體"/>
          <w:szCs w:val="24"/>
        </w:rPr>
        <w:t>5.</w:t>
      </w:r>
      <w:r w:rsidRPr="007576F0">
        <w:rPr>
          <w:rFonts w:ascii="標楷體" w:eastAsia="標楷體" w:hAnsi="標楷體" w:hint="eastAsia"/>
          <w:szCs w:val="24"/>
        </w:rPr>
        <w:t>與pembrolizumab及pemetrexed(限使用</w:t>
      </w:r>
      <w:proofErr w:type="spellStart"/>
      <w:r w:rsidRPr="007576F0">
        <w:rPr>
          <w:rFonts w:ascii="標楷體" w:eastAsia="標楷體" w:hAnsi="標楷體" w:hint="eastAsia"/>
          <w:szCs w:val="24"/>
        </w:rPr>
        <w:t>Pexeda</w:t>
      </w:r>
      <w:proofErr w:type="spellEnd"/>
      <w:r w:rsidRPr="007576F0">
        <w:rPr>
          <w:rFonts w:ascii="標楷體" w:eastAsia="標楷體" w:hAnsi="標楷體" w:hint="eastAsia"/>
          <w:szCs w:val="24"/>
        </w:rPr>
        <w:t>、</w:t>
      </w:r>
      <w:proofErr w:type="spellStart"/>
      <w:r w:rsidRPr="007576F0">
        <w:rPr>
          <w:rFonts w:ascii="標楷體" w:eastAsia="標楷體" w:hAnsi="標楷體" w:hint="eastAsia"/>
          <w:szCs w:val="24"/>
        </w:rPr>
        <w:t>Apeta</w:t>
      </w:r>
      <w:proofErr w:type="spellEnd"/>
      <w:r w:rsidRPr="007576F0">
        <w:rPr>
          <w:rFonts w:ascii="標楷體" w:eastAsia="標楷體" w:hAnsi="標楷體" w:hint="eastAsia"/>
          <w:szCs w:val="24"/>
        </w:rPr>
        <w:t xml:space="preserve">、Pemetrexed Sandoz或Alimta </w:t>
      </w:r>
      <w:proofErr w:type="spellStart"/>
      <w:r w:rsidRPr="007576F0">
        <w:rPr>
          <w:rFonts w:ascii="標楷體" w:eastAsia="標楷體" w:hAnsi="標楷體" w:hint="eastAsia"/>
          <w:szCs w:val="24"/>
        </w:rPr>
        <w:t>Avos</w:t>
      </w:r>
      <w:proofErr w:type="spellEnd"/>
      <w:r w:rsidRPr="007576F0">
        <w:rPr>
          <w:rFonts w:ascii="標楷體" w:eastAsia="標楷體" w:hAnsi="標楷體" w:hint="eastAsia"/>
          <w:szCs w:val="24"/>
        </w:rPr>
        <w:t>)</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用，或與atezolizumab及bevacizumab(限使用</w:t>
      </w:r>
      <w:proofErr w:type="spellStart"/>
      <w:r w:rsidRPr="007576F0">
        <w:rPr>
          <w:rFonts w:ascii="標楷體" w:eastAsia="標楷體" w:hAnsi="標楷體" w:hint="eastAsia"/>
          <w:szCs w:val="24"/>
        </w:rPr>
        <w:t>Alymsys</w:t>
      </w:r>
      <w:proofErr w:type="spellEnd"/>
      <w:r w:rsidRPr="007576F0">
        <w:rPr>
          <w:rFonts w:ascii="標楷體" w:eastAsia="標楷體" w:hAnsi="標楷體" w:hint="eastAsia"/>
          <w:szCs w:val="24"/>
        </w:rPr>
        <w:t>、Avastin、</w:t>
      </w:r>
      <w:proofErr w:type="spellStart"/>
      <w:r w:rsidRPr="007576F0">
        <w:rPr>
          <w:rFonts w:ascii="標楷體" w:eastAsia="標楷體" w:hAnsi="標楷體" w:hint="eastAsia"/>
          <w:szCs w:val="24"/>
        </w:rPr>
        <w:t>Abevmy</w:t>
      </w:r>
      <w:proofErr w:type="spellEnd"/>
      <w:r w:rsidRPr="007576F0">
        <w:rPr>
          <w:rFonts w:ascii="標楷體" w:eastAsia="標楷體" w:hAnsi="標楷體" w:hint="eastAsia"/>
          <w:szCs w:val="24"/>
        </w:rPr>
        <w:t>、</w:t>
      </w:r>
      <w:proofErr w:type="spellStart"/>
      <w:r w:rsidRPr="007576F0">
        <w:rPr>
          <w:rFonts w:ascii="標楷體" w:eastAsia="標楷體" w:hAnsi="標楷體" w:hint="eastAsia"/>
          <w:szCs w:val="24"/>
        </w:rPr>
        <w:t>Vegzelma</w:t>
      </w:r>
      <w:proofErr w:type="spellEnd"/>
      <w:r w:rsidRPr="007576F0">
        <w:rPr>
          <w:rFonts w:ascii="標楷體" w:eastAsia="標楷體" w:hAnsi="標楷體" w:hint="eastAsia"/>
          <w:szCs w:val="24"/>
        </w:rPr>
        <w:t>或</w:t>
      </w:r>
      <w:proofErr w:type="spellStart"/>
      <w:r w:rsidRPr="007576F0">
        <w:rPr>
          <w:rFonts w:ascii="標楷體" w:eastAsia="標楷體" w:hAnsi="標楷體" w:hint="eastAsia"/>
          <w:szCs w:val="24"/>
        </w:rPr>
        <w:t>Mvasi</w:t>
      </w:r>
      <w:proofErr w:type="spellEnd"/>
      <w:r w:rsidRPr="007576F0">
        <w:rPr>
          <w:rFonts w:ascii="標楷體" w:eastAsia="標楷體" w:hAnsi="標楷體" w:hint="eastAsia"/>
          <w:szCs w:val="24"/>
        </w:rPr>
        <w:t>)、paclitaxel</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用，做為轉移性且不具有EGFR/ALK/ROS-1腫瘤基因異常的</w:t>
      </w:r>
      <w:proofErr w:type="gramStart"/>
      <w:r w:rsidRPr="007576F0">
        <w:rPr>
          <w:rFonts w:ascii="標楷體" w:eastAsia="標楷體" w:hAnsi="標楷體" w:hint="eastAsia"/>
          <w:szCs w:val="24"/>
        </w:rPr>
        <w:t>非鱗狀非</w:t>
      </w:r>
      <w:proofErr w:type="gramEnd"/>
      <w:r w:rsidRPr="007576F0">
        <w:rPr>
          <w:rFonts w:ascii="標楷體" w:eastAsia="標楷體" w:hAnsi="標楷體" w:hint="eastAsia"/>
          <w:szCs w:val="24"/>
        </w:rPr>
        <w:t>小細胞肺癌的第一線治療，患者需符合免疫檢查點抑制劑之藥品給付規定。(114/6/1、114/8/1、115/8/1)</w:t>
      </w:r>
    </w:p>
    <w:p w14:paraId="228A4226" w14:textId="77777777" w:rsidR="007576F0" w:rsidRPr="007576F0" w:rsidRDefault="007576F0" w:rsidP="007576F0">
      <w:pPr>
        <w:spacing w:line="300" w:lineRule="exact"/>
        <w:ind w:left="851" w:hanging="282"/>
        <w:jc w:val="both"/>
        <w:rPr>
          <w:rFonts w:ascii="標楷體" w:eastAsia="標楷體" w:hAnsi="標楷體"/>
          <w:szCs w:val="24"/>
        </w:rPr>
      </w:pPr>
      <w:r w:rsidRPr="007576F0">
        <w:rPr>
          <w:rFonts w:ascii="標楷體" w:eastAsia="標楷體" w:hAnsi="標楷體"/>
          <w:szCs w:val="24"/>
        </w:rPr>
        <w:t>6.與pembrolizumab及paclitaxel</w:t>
      </w:r>
      <w:proofErr w:type="gramStart"/>
      <w:r w:rsidRPr="007576F0">
        <w:rPr>
          <w:rFonts w:ascii="標楷體" w:eastAsia="標楷體" w:hAnsi="標楷體"/>
          <w:szCs w:val="24"/>
        </w:rPr>
        <w:t>併</w:t>
      </w:r>
      <w:proofErr w:type="gramEnd"/>
      <w:r w:rsidRPr="007576F0">
        <w:rPr>
          <w:rFonts w:ascii="標楷體" w:eastAsia="標楷體" w:hAnsi="標楷體"/>
          <w:szCs w:val="24"/>
        </w:rPr>
        <w:t>用於早期</w:t>
      </w:r>
      <w:proofErr w:type="gramStart"/>
      <w:r w:rsidRPr="007576F0">
        <w:rPr>
          <w:rFonts w:ascii="標楷體" w:eastAsia="標楷體" w:hAnsi="標楷體"/>
          <w:szCs w:val="24"/>
        </w:rPr>
        <w:t>三</w:t>
      </w:r>
      <w:proofErr w:type="gramEnd"/>
      <w:r w:rsidRPr="007576F0">
        <w:rPr>
          <w:rFonts w:ascii="標楷體" w:eastAsia="標楷體" w:hAnsi="標楷體"/>
          <w:szCs w:val="24"/>
        </w:rPr>
        <w:t>陰性乳癌(第II期至第</w:t>
      </w:r>
      <w:proofErr w:type="spellStart"/>
      <w:r w:rsidRPr="007576F0">
        <w:rPr>
          <w:rFonts w:ascii="標楷體" w:eastAsia="標楷體" w:hAnsi="標楷體"/>
          <w:szCs w:val="24"/>
        </w:rPr>
        <w:t>IIIb</w:t>
      </w:r>
      <w:proofErr w:type="spellEnd"/>
      <w:r w:rsidRPr="007576F0">
        <w:rPr>
          <w:rFonts w:ascii="標楷體" w:eastAsia="標楷體" w:hAnsi="標楷體"/>
          <w:szCs w:val="24"/>
        </w:rPr>
        <w:t>期，cT1c N1-2或T2-4 N0-2)病人的術前前導性治療用藥，病人需符合免疫檢查點抑制劑之藥品給付規定。(114/6/1)</w:t>
      </w:r>
    </w:p>
    <w:p w14:paraId="2D1870E4" w14:textId="77777777" w:rsidR="007576F0" w:rsidRPr="007576F0" w:rsidRDefault="007576F0" w:rsidP="007576F0">
      <w:pPr>
        <w:spacing w:line="300" w:lineRule="exact"/>
        <w:ind w:left="851" w:hanging="282"/>
        <w:jc w:val="both"/>
        <w:rPr>
          <w:rFonts w:ascii="標楷體" w:eastAsia="標楷體" w:hAnsi="標楷體"/>
          <w:szCs w:val="24"/>
        </w:rPr>
      </w:pPr>
      <w:r w:rsidRPr="007576F0">
        <w:rPr>
          <w:rFonts w:ascii="標楷體" w:eastAsia="標楷體" w:hAnsi="標楷體"/>
          <w:szCs w:val="24"/>
        </w:rPr>
        <w:t>7.與</w:t>
      </w:r>
      <w:proofErr w:type="spellStart"/>
      <w:r w:rsidRPr="007576F0">
        <w:rPr>
          <w:rFonts w:ascii="標楷體" w:eastAsia="標楷體" w:hAnsi="標楷體"/>
          <w:szCs w:val="24"/>
        </w:rPr>
        <w:t>amivantamab</w:t>
      </w:r>
      <w:proofErr w:type="spellEnd"/>
      <w:r w:rsidRPr="007576F0">
        <w:rPr>
          <w:rFonts w:ascii="標楷體" w:eastAsia="標楷體" w:hAnsi="標楷體"/>
          <w:szCs w:val="24"/>
        </w:rPr>
        <w:t xml:space="preserve"> 及pemetrexed </w:t>
      </w:r>
      <w:proofErr w:type="gramStart"/>
      <w:r w:rsidRPr="007576F0">
        <w:rPr>
          <w:rFonts w:ascii="標楷體" w:eastAsia="標楷體" w:hAnsi="標楷體"/>
          <w:szCs w:val="24"/>
        </w:rPr>
        <w:t>併</w:t>
      </w:r>
      <w:proofErr w:type="gramEnd"/>
      <w:r w:rsidRPr="007576F0">
        <w:rPr>
          <w:rFonts w:ascii="標楷體" w:eastAsia="標楷體" w:hAnsi="標楷體"/>
          <w:szCs w:val="24"/>
        </w:rPr>
        <w:t>用於</w:t>
      </w:r>
      <w:proofErr w:type="gramStart"/>
      <w:r w:rsidRPr="007576F0">
        <w:rPr>
          <w:rFonts w:ascii="標楷體" w:eastAsia="標楷體" w:hAnsi="標楷體"/>
          <w:szCs w:val="24"/>
        </w:rPr>
        <w:t>罹</w:t>
      </w:r>
      <w:proofErr w:type="gramEnd"/>
      <w:r w:rsidRPr="007576F0">
        <w:rPr>
          <w:rFonts w:ascii="標楷體" w:eastAsia="標楷體" w:hAnsi="標楷體"/>
          <w:szCs w:val="24"/>
        </w:rPr>
        <w:t>患帶有表皮生長因子受體(EGFR) exon 20 插入突變之局部晚期或</w:t>
      </w:r>
      <w:proofErr w:type="gramStart"/>
      <w:r w:rsidRPr="007576F0">
        <w:rPr>
          <w:rFonts w:ascii="標楷體" w:eastAsia="標楷體" w:hAnsi="標楷體"/>
          <w:szCs w:val="24"/>
        </w:rPr>
        <w:t>轉移性非小</w:t>
      </w:r>
      <w:proofErr w:type="gramEnd"/>
      <w:r w:rsidRPr="007576F0">
        <w:rPr>
          <w:rFonts w:ascii="標楷體" w:eastAsia="標楷體" w:hAnsi="標楷體"/>
          <w:szCs w:val="24"/>
        </w:rPr>
        <w:t>細胞肺癌(NSCLC)的成人病人，作為第一線治療。(114/10/1)</w:t>
      </w:r>
    </w:p>
    <w:p w14:paraId="1DAFA070" w14:textId="77777777" w:rsidR="007576F0" w:rsidRPr="007576F0" w:rsidRDefault="007576F0" w:rsidP="007576F0">
      <w:pPr>
        <w:spacing w:line="300" w:lineRule="exact"/>
        <w:ind w:left="851" w:hanging="282"/>
        <w:jc w:val="both"/>
        <w:rPr>
          <w:rFonts w:ascii="標楷體" w:eastAsia="標楷體" w:hAnsi="標楷體"/>
          <w:szCs w:val="24"/>
        </w:rPr>
      </w:pPr>
      <w:r w:rsidRPr="007576F0">
        <w:rPr>
          <w:rFonts w:ascii="標楷體" w:eastAsia="標楷體" w:hAnsi="標楷體"/>
          <w:szCs w:val="24"/>
        </w:rPr>
        <w:t>8.與nivolumab</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用於</w:t>
      </w:r>
      <w:r w:rsidRPr="007576F0">
        <w:rPr>
          <w:rFonts w:ascii="標楷體" w:eastAsia="標楷體" w:hAnsi="標楷體"/>
          <w:szCs w:val="24"/>
        </w:rPr>
        <w:t>可切除（腫瘤</w:t>
      </w:r>
      <w:proofErr w:type="gramStart"/>
      <w:r w:rsidRPr="007576F0">
        <w:rPr>
          <w:rFonts w:ascii="標楷體" w:eastAsia="標楷體" w:hAnsi="標楷體"/>
          <w:szCs w:val="24"/>
        </w:rPr>
        <w:t>≧</w:t>
      </w:r>
      <w:proofErr w:type="gramEnd"/>
      <w:r w:rsidRPr="007576F0">
        <w:rPr>
          <w:rFonts w:ascii="標楷體" w:eastAsia="標楷體" w:hAnsi="標楷體"/>
          <w:szCs w:val="24"/>
        </w:rPr>
        <w:t>4公分或淋巴結陽性</w:t>
      </w:r>
      <w:r w:rsidRPr="007576F0">
        <w:rPr>
          <w:rFonts w:ascii="標楷體" w:eastAsia="標楷體" w:hAnsi="標楷體" w:hint="eastAsia"/>
          <w:szCs w:val="24"/>
        </w:rPr>
        <w:t>N1/N2(排除N3)，且無疾病轉移</w:t>
      </w:r>
      <w:r w:rsidRPr="007576F0">
        <w:rPr>
          <w:rFonts w:ascii="標楷體" w:eastAsia="標楷體" w:hAnsi="標楷體"/>
          <w:szCs w:val="24"/>
        </w:rPr>
        <w:t>M0）</w:t>
      </w:r>
      <w:r w:rsidRPr="007576F0">
        <w:rPr>
          <w:rFonts w:ascii="標楷體" w:eastAsia="標楷體" w:hAnsi="標楷體" w:hint="eastAsia"/>
          <w:szCs w:val="24"/>
        </w:rPr>
        <w:t>之</w:t>
      </w:r>
      <w:r w:rsidRPr="007576F0">
        <w:rPr>
          <w:rFonts w:ascii="標楷體" w:eastAsia="標楷體" w:hAnsi="標楷體"/>
          <w:szCs w:val="24"/>
        </w:rPr>
        <w:t>不具EGFR</w:t>
      </w:r>
      <w:r w:rsidRPr="007576F0">
        <w:rPr>
          <w:rFonts w:ascii="標楷體" w:eastAsia="標楷體" w:hAnsi="標楷體" w:hint="eastAsia"/>
          <w:szCs w:val="24"/>
        </w:rPr>
        <w:t>或</w:t>
      </w:r>
      <w:r w:rsidRPr="007576F0">
        <w:rPr>
          <w:rFonts w:ascii="標楷體" w:eastAsia="標楷體" w:hAnsi="標楷體"/>
          <w:szCs w:val="24"/>
        </w:rPr>
        <w:t>ALK</w:t>
      </w:r>
      <w:r w:rsidRPr="007576F0">
        <w:rPr>
          <w:rFonts w:ascii="標楷體" w:eastAsia="標楷體" w:hAnsi="標楷體" w:hint="eastAsia"/>
          <w:szCs w:val="24"/>
        </w:rPr>
        <w:t>腫瘤基因異常之非小細胞肺癌術前輔助治療成人病人，至多3個療程，且病人需符合免疫檢查點抑制劑之藥品給付規定。</w:t>
      </w:r>
      <w:r w:rsidRPr="007576F0">
        <w:rPr>
          <w:rFonts w:ascii="標楷體" w:eastAsia="標楷體" w:hAnsi="標楷體"/>
          <w:szCs w:val="24"/>
        </w:rPr>
        <w:t>(</w:t>
      </w:r>
      <w:r w:rsidRPr="007576F0">
        <w:rPr>
          <w:rFonts w:ascii="標楷體" w:eastAsia="標楷體" w:hAnsi="標楷體" w:hint="eastAsia"/>
          <w:szCs w:val="24"/>
        </w:rPr>
        <w:t>115/6/1</w:t>
      </w:r>
      <w:r w:rsidRPr="007576F0">
        <w:rPr>
          <w:rFonts w:ascii="標楷體" w:eastAsia="標楷體" w:hAnsi="標楷體"/>
          <w:szCs w:val="24"/>
        </w:rPr>
        <w:t>)</w:t>
      </w:r>
    </w:p>
    <w:p w14:paraId="75AAB8B5" w14:textId="77777777" w:rsidR="007576F0" w:rsidRPr="007576F0" w:rsidRDefault="007576F0" w:rsidP="007576F0">
      <w:pPr>
        <w:spacing w:line="300" w:lineRule="exact"/>
        <w:ind w:left="851" w:hanging="282"/>
        <w:jc w:val="both"/>
        <w:rPr>
          <w:rFonts w:ascii="標楷體" w:eastAsia="標楷體" w:hAnsi="標楷體"/>
        </w:rPr>
      </w:pPr>
      <w:r w:rsidRPr="007576F0">
        <w:rPr>
          <w:rFonts w:ascii="標楷體" w:eastAsia="標楷體" w:hAnsi="標楷體" w:hint="eastAsia"/>
          <w:szCs w:val="24"/>
        </w:rPr>
        <w:t>9.與</w:t>
      </w:r>
      <w:proofErr w:type="spellStart"/>
      <w:r w:rsidRPr="007576F0">
        <w:rPr>
          <w:rFonts w:ascii="標楷體" w:eastAsia="標楷體" w:hAnsi="標楷體" w:hint="eastAsia"/>
          <w:szCs w:val="24"/>
        </w:rPr>
        <w:t>dostarlimab</w:t>
      </w:r>
      <w:proofErr w:type="spellEnd"/>
      <w:r w:rsidRPr="007576F0">
        <w:rPr>
          <w:rFonts w:ascii="標楷體" w:eastAsia="標楷體" w:hAnsi="標楷體" w:hint="eastAsia"/>
          <w:szCs w:val="24"/>
        </w:rPr>
        <w:t>及paclitaxel(除GENETAXYL CREM LESS及TAXOL以外)</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用，至多使用6個療程，接續單用</w:t>
      </w:r>
      <w:proofErr w:type="spellStart"/>
      <w:r w:rsidRPr="007576F0">
        <w:rPr>
          <w:rFonts w:ascii="標楷體" w:eastAsia="標楷體" w:hAnsi="標楷體" w:hint="eastAsia"/>
          <w:szCs w:val="24"/>
        </w:rPr>
        <w:t>dostarlimab</w:t>
      </w:r>
      <w:proofErr w:type="spellEnd"/>
      <w:r w:rsidRPr="007576F0">
        <w:rPr>
          <w:rFonts w:ascii="標楷體" w:eastAsia="標楷體" w:hAnsi="標楷體" w:hint="eastAsia"/>
          <w:szCs w:val="24"/>
        </w:rPr>
        <w:t>用於治療患有錯誤配對修復功能不足（</w:t>
      </w:r>
      <w:proofErr w:type="spellStart"/>
      <w:r w:rsidRPr="007576F0">
        <w:rPr>
          <w:rFonts w:ascii="標楷體" w:eastAsia="標楷體" w:hAnsi="標楷體" w:hint="eastAsia"/>
          <w:szCs w:val="24"/>
        </w:rPr>
        <w:t>dMMR</w:t>
      </w:r>
      <w:proofErr w:type="spellEnd"/>
      <w:r w:rsidRPr="007576F0">
        <w:rPr>
          <w:rFonts w:ascii="標楷體" w:eastAsia="標楷體" w:hAnsi="標楷體" w:hint="eastAsia"/>
          <w:szCs w:val="24"/>
        </w:rPr>
        <w:t>）或微衛星高度</w:t>
      </w:r>
      <w:proofErr w:type="gramStart"/>
      <w:r w:rsidRPr="007576F0">
        <w:rPr>
          <w:rFonts w:ascii="標楷體" w:eastAsia="標楷體" w:hAnsi="標楷體" w:hint="eastAsia"/>
          <w:szCs w:val="24"/>
        </w:rPr>
        <w:t>不</w:t>
      </w:r>
      <w:proofErr w:type="gramEnd"/>
      <w:r w:rsidRPr="007576F0">
        <w:rPr>
          <w:rFonts w:ascii="標楷體" w:eastAsia="標楷體" w:hAnsi="標楷體" w:hint="eastAsia"/>
          <w:szCs w:val="24"/>
        </w:rPr>
        <w:t>穩定性（MSI-H）之原發性晚期或首次復發性子宮內膜癌(EC</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成人病人第一線治療，病人需符合免疫檢查點抑制劑之藥品給付規定。(115/8/1</w:t>
      </w:r>
      <w:proofErr w:type="gramStart"/>
      <w:r w:rsidRPr="007576F0">
        <w:rPr>
          <w:rFonts w:ascii="標楷體" w:eastAsia="標楷體" w:hAnsi="標楷體" w:hint="eastAsia"/>
        </w:rPr>
        <w:t>）</w:t>
      </w:r>
      <w:bookmarkStart w:id="28" w:name="_Hlk230359785"/>
      <w:proofErr w:type="gramEnd"/>
    </w:p>
    <w:p w14:paraId="317CF7A8" w14:textId="77777777" w:rsidR="007576F0" w:rsidRPr="007576F0" w:rsidRDefault="007576F0" w:rsidP="007576F0">
      <w:pPr>
        <w:spacing w:line="300" w:lineRule="exact"/>
        <w:ind w:left="672" w:hanging="386"/>
        <w:rPr>
          <w:rFonts w:ascii="標楷體" w:eastAsia="標楷體" w:hAnsi="標楷體"/>
          <w:szCs w:val="24"/>
        </w:rPr>
      </w:pPr>
      <w:r w:rsidRPr="007576F0">
        <w:rPr>
          <w:rFonts w:ascii="標楷體" w:eastAsia="標楷體" w:hAnsi="標楷體"/>
          <w:szCs w:val="24"/>
        </w:rPr>
        <w:t>9.3.Docetaxel：（87/7/1、92/11/1、93/8/1、95/8/1、96/1/1、99/6/1、100/1/1、101/9/1、108/1/1、113/5/1、115/6/1</w:t>
      </w:r>
      <w:r w:rsidRPr="007576F0">
        <w:rPr>
          <w:rFonts w:ascii="標楷體" w:eastAsia="標楷體" w:hAnsi="標楷體" w:hint="eastAsia"/>
          <w:szCs w:val="24"/>
        </w:rPr>
        <w:t>、115/8/1</w:t>
      </w:r>
      <w:r w:rsidRPr="007576F0">
        <w:rPr>
          <w:rFonts w:ascii="標楷體" w:eastAsia="標楷體" w:hAnsi="標楷體"/>
          <w:szCs w:val="24"/>
        </w:rPr>
        <w:t>）</w:t>
      </w:r>
    </w:p>
    <w:p w14:paraId="2235C445" w14:textId="77777777" w:rsidR="007576F0" w:rsidRPr="007576F0" w:rsidRDefault="007576F0" w:rsidP="007576F0">
      <w:pPr>
        <w:spacing w:line="300" w:lineRule="exact"/>
        <w:ind w:left="851" w:hanging="284"/>
        <w:jc w:val="both"/>
        <w:rPr>
          <w:rFonts w:ascii="標楷體" w:eastAsia="標楷體" w:hAnsi="標楷體"/>
          <w:szCs w:val="24"/>
        </w:rPr>
      </w:pPr>
      <w:r w:rsidRPr="007576F0">
        <w:rPr>
          <w:rFonts w:ascii="標楷體" w:eastAsia="標楷體" w:hAnsi="標楷體"/>
          <w:color w:val="000000"/>
          <w:szCs w:val="24"/>
        </w:rPr>
        <w:t>1.</w:t>
      </w:r>
      <w:proofErr w:type="gramStart"/>
      <w:r w:rsidRPr="007576F0">
        <w:rPr>
          <w:rFonts w:ascii="標楷體" w:eastAsia="標楷體" w:hAnsi="標楷體"/>
          <w:color w:val="000000"/>
          <w:szCs w:val="24"/>
        </w:rPr>
        <w:t>本</w:t>
      </w:r>
      <w:r w:rsidRPr="007576F0">
        <w:rPr>
          <w:rFonts w:ascii="標楷體" w:eastAsia="標楷體" w:hAnsi="標楷體" w:hint="eastAsia"/>
          <w:szCs w:val="24"/>
        </w:rPr>
        <w:t>類藥品</w:t>
      </w:r>
      <w:proofErr w:type="gramEnd"/>
      <w:r w:rsidRPr="007576F0">
        <w:rPr>
          <w:rFonts w:ascii="標楷體" w:eastAsia="標楷體" w:hAnsi="標楷體" w:hint="eastAsia"/>
          <w:szCs w:val="24"/>
        </w:rPr>
        <w:t>(除</w:t>
      </w:r>
      <w:proofErr w:type="spellStart"/>
      <w:r w:rsidRPr="007576F0">
        <w:rPr>
          <w:rFonts w:ascii="標楷體" w:eastAsia="標楷體" w:hAnsi="標楷體" w:hint="eastAsia"/>
          <w:szCs w:val="24"/>
        </w:rPr>
        <w:t>Doce</w:t>
      </w:r>
      <w:proofErr w:type="spellEnd"/>
      <w:r w:rsidRPr="007576F0">
        <w:rPr>
          <w:rFonts w:ascii="標楷體" w:eastAsia="標楷體" w:hAnsi="標楷體" w:hint="eastAsia"/>
          <w:szCs w:val="24"/>
        </w:rPr>
        <w:t>之外)依藥品許可證登載之適應症範圍內給付於乳癌、非小細胞肺癌、前列腺癌、頭頸癌及胃腺癌之病例；倘</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用其他標靶治療、免疫檢查點抑制劑等藥品時，病人須符合該</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用藥品之藥品給付規定。(115/6/1、115/8/1</w:t>
      </w:r>
      <w:proofErr w:type="gramStart"/>
      <w:r w:rsidRPr="007576F0">
        <w:rPr>
          <w:rFonts w:ascii="標楷體" w:eastAsia="標楷體" w:hAnsi="標楷體"/>
          <w:szCs w:val="24"/>
        </w:rPr>
        <w:t>）</w:t>
      </w:r>
      <w:proofErr w:type="gramEnd"/>
    </w:p>
    <w:p w14:paraId="03B7558D" w14:textId="77777777" w:rsidR="007576F0" w:rsidRPr="007576F0" w:rsidRDefault="007576F0" w:rsidP="007576F0">
      <w:pPr>
        <w:spacing w:line="300" w:lineRule="exact"/>
        <w:ind w:left="426" w:firstLine="142"/>
        <w:jc w:val="both"/>
        <w:rPr>
          <w:rFonts w:ascii="標楷體" w:eastAsia="標楷體" w:hAnsi="標楷體"/>
          <w:color w:val="000000"/>
          <w:szCs w:val="24"/>
        </w:rPr>
      </w:pPr>
      <w:r w:rsidRPr="007576F0">
        <w:rPr>
          <w:rFonts w:ascii="標楷體" w:eastAsia="標楷體" w:hAnsi="標楷體"/>
          <w:szCs w:val="24"/>
        </w:rPr>
        <w:t>2.Doce及</w:t>
      </w:r>
      <w:proofErr w:type="spellStart"/>
      <w:r w:rsidRPr="007576F0">
        <w:rPr>
          <w:rFonts w:ascii="標楷體" w:eastAsia="標楷體" w:hAnsi="標楷體"/>
          <w:szCs w:val="24"/>
        </w:rPr>
        <w:t>P</w:t>
      </w:r>
      <w:r w:rsidRPr="007576F0">
        <w:rPr>
          <w:rFonts w:ascii="標楷體" w:eastAsia="標楷體" w:hAnsi="標楷體"/>
          <w:color w:val="000000"/>
          <w:szCs w:val="24"/>
        </w:rPr>
        <w:t>hyxotere</w:t>
      </w:r>
      <w:proofErr w:type="spellEnd"/>
      <w:r w:rsidRPr="007576F0">
        <w:rPr>
          <w:rFonts w:ascii="標楷體" w:eastAsia="標楷體" w:hAnsi="標楷體"/>
          <w:color w:val="000000"/>
          <w:szCs w:val="24"/>
        </w:rPr>
        <w:t>限給付於下列情形：(115/6/1</w:t>
      </w:r>
      <w:r w:rsidRPr="007576F0">
        <w:rPr>
          <w:rFonts w:ascii="標楷體" w:eastAsia="標楷體" w:hAnsi="標楷體" w:hint="eastAsia"/>
          <w:color w:val="000000"/>
          <w:szCs w:val="24"/>
        </w:rPr>
        <w:t>、115/8/1</w:t>
      </w:r>
      <w:proofErr w:type="gramStart"/>
      <w:r w:rsidRPr="007576F0">
        <w:rPr>
          <w:rFonts w:ascii="標楷體" w:eastAsia="標楷體" w:hAnsi="標楷體"/>
          <w:color w:val="000000"/>
          <w:szCs w:val="24"/>
        </w:rPr>
        <w:t>）</w:t>
      </w:r>
      <w:proofErr w:type="gramEnd"/>
    </w:p>
    <w:p w14:paraId="2B59A477" w14:textId="77777777" w:rsidR="007576F0" w:rsidRPr="007576F0" w:rsidRDefault="007576F0" w:rsidP="007576F0">
      <w:pPr>
        <w:spacing w:line="300" w:lineRule="exact"/>
        <w:ind w:left="1418" w:hanging="560"/>
        <w:rPr>
          <w:szCs w:val="24"/>
        </w:rPr>
      </w:pPr>
      <w:r w:rsidRPr="007576F0">
        <w:rPr>
          <w:rFonts w:ascii="標楷體" w:eastAsia="標楷體" w:hAnsi="標楷體"/>
          <w:color w:val="000000"/>
          <w:szCs w:val="24"/>
        </w:rPr>
        <w:t>(1)乳癌：</w:t>
      </w:r>
    </w:p>
    <w:p w14:paraId="29074372" w14:textId="77777777" w:rsidR="007576F0" w:rsidRPr="007576F0" w:rsidRDefault="007576F0" w:rsidP="007576F0">
      <w:pPr>
        <w:spacing w:line="300" w:lineRule="exact"/>
        <w:ind w:left="1560" w:hanging="425"/>
        <w:rPr>
          <w:szCs w:val="24"/>
        </w:rPr>
      </w:pPr>
      <w:r w:rsidRPr="007576F0">
        <w:rPr>
          <w:rFonts w:ascii="新細明體" w:hAnsi="新細明體" w:cs="新細明體" w:hint="eastAsia"/>
          <w:color w:val="000000"/>
          <w:szCs w:val="24"/>
        </w:rPr>
        <w:t>Ⅰ</w:t>
      </w:r>
      <w:r w:rsidRPr="007576F0">
        <w:rPr>
          <w:rFonts w:ascii="標楷體" w:eastAsia="標楷體" w:hAnsi="標楷體"/>
          <w:color w:val="000000"/>
          <w:szCs w:val="24"/>
        </w:rPr>
        <w:t>.局部晚期或轉移性乳癌。</w:t>
      </w:r>
    </w:p>
    <w:p w14:paraId="16B33A91" w14:textId="77777777" w:rsidR="007576F0" w:rsidRPr="007576F0" w:rsidRDefault="007576F0" w:rsidP="007576F0">
      <w:pPr>
        <w:spacing w:line="300" w:lineRule="exact"/>
        <w:ind w:left="1560" w:hanging="425"/>
        <w:rPr>
          <w:szCs w:val="24"/>
        </w:rPr>
      </w:pPr>
      <w:r w:rsidRPr="007576F0">
        <w:rPr>
          <w:rFonts w:ascii="標楷體" w:eastAsia="標楷體" w:hAnsi="標楷體"/>
          <w:color w:val="000000"/>
          <w:szCs w:val="24"/>
        </w:rPr>
        <w:t>Ⅱ.與anthracycline合併使用於腋下淋巴結轉移之早期乳癌之術後輔助性化學治療。(99/6/1)</w:t>
      </w:r>
    </w:p>
    <w:p w14:paraId="74DA9175" w14:textId="77777777" w:rsidR="007576F0" w:rsidRPr="007576F0" w:rsidRDefault="007576F0" w:rsidP="007576F0">
      <w:pPr>
        <w:spacing w:line="300" w:lineRule="exact"/>
        <w:ind w:left="1560" w:hanging="425"/>
        <w:rPr>
          <w:szCs w:val="24"/>
        </w:rPr>
      </w:pPr>
      <w:r w:rsidRPr="007576F0">
        <w:rPr>
          <w:rFonts w:ascii="標楷體" w:eastAsia="標楷體" w:hAnsi="標楷體"/>
          <w:color w:val="000000"/>
          <w:szCs w:val="24"/>
        </w:rPr>
        <w:t>Ⅲ.早期乳癌手術後，經診斷為三陰性反應且無淋巴轉移的病人，得作為與cyclophosphamide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用doxorubicin的化學輔助療法。(101/9/1</w:t>
      </w:r>
      <w:proofErr w:type="gramStart"/>
      <w:r w:rsidRPr="007576F0">
        <w:rPr>
          <w:rFonts w:ascii="標楷體" w:eastAsia="標楷體" w:hAnsi="標楷體"/>
          <w:color w:val="000000"/>
          <w:szCs w:val="24"/>
        </w:rPr>
        <w:t>）</w:t>
      </w:r>
      <w:proofErr w:type="gramEnd"/>
    </w:p>
    <w:p w14:paraId="000B2BF8" w14:textId="77777777" w:rsidR="007576F0" w:rsidRPr="007576F0" w:rsidRDefault="007576F0" w:rsidP="007576F0">
      <w:pPr>
        <w:spacing w:line="300" w:lineRule="exact"/>
        <w:ind w:left="1418" w:hanging="560"/>
        <w:rPr>
          <w:rFonts w:ascii="標楷體" w:eastAsia="標楷體" w:hAnsi="標楷體"/>
          <w:color w:val="000000"/>
          <w:szCs w:val="24"/>
        </w:rPr>
      </w:pPr>
      <w:r w:rsidRPr="007576F0">
        <w:rPr>
          <w:rFonts w:ascii="標楷體" w:eastAsia="標楷體" w:hAnsi="標楷體"/>
          <w:color w:val="000000"/>
          <w:szCs w:val="24"/>
        </w:rPr>
        <w:t>(2)非小細胞肺癌：局部晚期或</w:t>
      </w:r>
      <w:proofErr w:type="gramStart"/>
      <w:r w:rsidRPr="007576F0">
        <w:rPr>
          <w:rFonts w:ascii="標楷體" w:eastAsia="標楷體" w:hAnsi="標楷體"/>
          <w:color w:val="000000"/>
          <w:szCs w:val="24"/>
        </w:rPr>
        <w:t>轉移性非小</w:t>
      </w:r>
      <w:proofErr w:type="gramEnd"/>
      <w:r w:rsidRPr="007576F0">
        <w:rPr>
          <w:rFonts w:ascii="標楷體" w:eastAsia="標楷體" w:hAnsi="標楷體"/>
          <w:color w:val="000000"/>
          <w:szCs w:val="24"/>
        </w:rPr>
        <w:t>細胞肺癌。</w:t>
      </w:r>
    </w:p>
    <w:p w14:paraId="47A28350" w14:textId="77777777" w:rsidR="007576F0" w:rsidRPr="007576F0" w:rsidRDefault="007576F0" w:rsidP="007576F0">
      <w:pPr>
        <w:spacing w:line="300" w:lineRule="exact"/>
        <w:ind w:left="1418" w:hanging="560"/>
        <w:rPr>
          <w:szCs w:val="24"/>
        </w:rPr>
      </w:pPr>
      <w:r w:rsidRPr="007576F0">
        <w:rPr>
          <w:rFonts w:ascii="標楷體" w:eastAsia="標楷體" w:hAnsi="標楷體"/>
          <w:color w:val="000000"/>
          <w:szCs w:val="24"/>
        </w:rPr>
        <w:t>(3)前列腺癌：</w:t>
      </w:r>
    </w:p>
    <w:p w14:paraId="40947313" w14:textId="77777777" w:rsidR="007576F0" w:rsidRPr="007576F0" w:rsidRDefault="007576F0" w:rsidP="007576F0">
      <w:pPr>
        <w:spacing w:line="300" w:lineRule="exact"/>
        <w:ind w:left="1560" w:hanging="425"/>
        <w:rPr>
          <w:rFonts w:ascii="標楷體" w:eastAsia="標楷體" w:hAnsi="標楷體"/>
          <w:color w:val="000000"/>
          <w:szCs w:val="24"/>
        </w:rPr>
      </w:pPr>
      <w:r w:rsidRPr="007576F0">
        <w:rPr>
          <w:rFonts w:ascii="新細明體" w:hAnsi="新細明體" w:cs="新細明體" w:hint="eastAsia"/>
          <w:color w:val="000000"/>
          <w:szCs w:val="24"/>
        </w:rPr>
        <w:t>Ⅰ</w:t>
      </w:r>
      <w:r w:rsidRPr="007576F0">
        <w:rPr>
          <w:rFonts w:ascii="標楷體" w:eastAsia="標楷體" w:hAnsi="標楷體"/>
          <w:color w:val="000000"/>
          <w:szCs w:val="24"/>
        </w:rPr>
        <w:t>.於荷爾蒙治療失敗之轉移性前列腺癌。</w:t>
      </w:r>
    </w:p>
    <w:p w14:paraId="1A0F6D4E" w14:textId="77777777" w:rsidR="007576F0" w:rsidRPr="007576F0" w:rsidRDefault="007576F0" w:rsidP="007576F0">
      <w:pPr>
        <w:spacing w:line="300" w:lineRule="exact"/>
        <w:ind w:left="1560" w:hanging="425"/>
        <w:rPr>
          <w:rFonts w:ascii="標楷體" w:eastAsia="標楷體" w:hAnsi="標楷體"/>
          <w:color w:val="000000"/>
          <w:szCs w:val="24"/>
        </w:rPr>
      </w:pPr>
      <w:r w:rsidRPr="007576F0">
        <w:rPr>
          <w:rFonts w:ascii="標楷體" w:eastAsia="標楷體" w:hAnsi="標楷體"/>
          <w:color w:val="000000"/>
          <w:szCs w:val="24"/>
        </w:rPr>
        <w:t>Ⅱ.與</w:t>
      </w:r>
      <w:proofErr w:type="spellStart"/>
      <w:r w:rsidRPr="007576F0">
        <w:rPr>
          <w:rFonts w:ascii="標楷體" w:eastAsia="標楷體" w:hAnsi="標楷體"/>
          <w:color w:val="000000"/>
          <w:szCs w:val="24"/>
        </w:rPr>
        <w:t>darolutamide</w:t>
      </w:r>
      <w:proofErr w:type="spellEnd"/>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用於治療高風險轉移性的去勢敏感性前列腺癌(</w:t>
      </w:r>
      <w:proofErr w:type="spellStart"/>
      <w:r w:rsidRPr="007576F0">
        <w:rPr>
          <w:rFonts w:ascii="標楷體" w:eastAsia="標楷體" w:hAnsi="標楷體"/>
          <w:color w:val="000000"/>
          <w:szCs w:val="24"/>
        </w:rPr>
        <w:t>mCSPC</w:t>
      </w:r>
      <w:proofErr w:type="spellEnd"/>
      <w:r w:rsidRPr="007576F0">
        <w:rPr>
          <w:rFonts w:ascii="標楷體" w:eastAsia="標楷體" w:hAnsi="標楷體"/>
          <w:color w:val="000000"/>
          <w:szCs w:val="24"/>
        </w:rPr>
        <w:t>)，患者需符合</w:t>
      </w:r>
      <w:proofErr w:type="spellStart"/>
      <w:r w:rsidRPr="007576F0">
        <w:rPr>
          <w:rFonts w:ascii="標楷體" w:eastAsia="標楷體" w:hAnsi="標楷體"/>
          <w:color w:val="000000"/>
          <w:szCs w:val="24"/>
        </w:rPr>
        <w:t>darolutamide</w:t>
      </w:r>
      <w:proofErr w:type="spellEnd"/>
      <w:r w:rsidRPr="007576F0">
        <w:rPr>
          <w:rFonts w:ascii="標楷體" w:eastAsia="標楷體" w:hAnsi="標楷體"/>
          <w:color w:val="000000"/>
          <w:szCs w:val="24"/>
        </w:rPr>
        <w:t>之藥品給付規定。(113/5/1)</w:t>
      </w:r>
    </w:p>
    <w:p w14:paraId="5CE11529" w14:textId="77777777" w:rsidR="007576F0" w:rsidRPr="007576F0" w:rsidRDefault="007576F0" w:rsidP="007576F0">
      <w:pPr>
        <w:spacing w:line="300" w:lineRule="exact"/>
        <w:ind w:left="1418" w:hanging="560"/>
        <w:rPr>
          <w:rFonts w:ascii="標楷體" w:eastAsia="標楷體" w:hAnsi="標楷體"/>
          <w:color w:val="000000"/>
          <w:szCs w:val="24"/>
        </w:rPr>
      </w:pPr>
      <w:r w:rsidRPr="007576F0">
        <w:rPr>
          <w:rFonts w:ascii="標楷體" w:eastAsia="標楷體" w:hAnsi="標楷體"/>
          <w:color w:val="000000"/>
          <w:szCs w:val="24"/>
        </w:rPr>
        <w:t>(4)頭頸癌：限局部晚期且無遠端轉移之頭頸部</w:t>
      </w:r>
      <w:proofErr w:type="gramStart"/>
      <w:r w:rsidRPr="007576F0">
        <w:rPr>
          <w:rFonts w:ascii="標楷體" w:eastAsia="標楷體" w:hAnsi="標楷體"/>
          <w:color w:val="000000"/>
          <w:szCs w:val="24"/>
        </w:rPr>
        <w:t>鱗狀細胞癌且</w:t>
      </w:r>
      <w:proofErr w:type="gramEnd"/>
      <w:r w:rsidRPr="007576F0">
        <w:rPr>
          <w:rFonts w:ascii="標楷體" w:eastAsia="標楷體" w:hAnsi="標楷體"/>
          <w:color w:val="000000"/>
          <w:szCs w:val="24"/>
        </w:rPr>
        <w:t>無法手術切除者，與cisplatin及5-fluorouracil</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用，作為放射治療前的引導治療，限使用4個療程。(100/1/1)</w:t>
      </w:r>
    </w:p>
    <w:p w14:paraId="41F5BF34" w14:textId="77777777" w:rsidR="007576F0" w:rsidRPr="007576F0" w:rsidRDefault="007576F0" w:rsidP="007576F0">
      <w:pPr>
        <w:spacing w:line="300" w:lineRule="exact"/>
        <w:ind w:left="1418" w:hanging="560"/>
        <w:rPr>
          <w:rFonts w:ascii="標楷體" w:eastAsia="標楷體" w:hAnsi="標楷體"/>
          <w:color w:val="000000"/>
          <w:szCs w:val="24"/>
        </w:rPr>
      </w:pPr>
      <w:r w:rsidRPr="007576F0">
        <w:rPr>
          <w:rFonts w:ascii="標楷體" w:eastAsia="標楷體" w:hAnsi="標楷體"/>
          <w:color w:val="000000"/>
          <w:szCs w:val="24"/>
        </w:rPr>
        <w:t>(5)胃腺癌：晚期胃腺癌患者，包括胃食道接合</w:t>
      </w:r>
      <w:proofErr w:type="gramStart"/>
      <w:r w:rsidRPr="007576F0">
        <w:rPr>
          <w:rFonts w:ascii="標楷體" w:eastAsia="標楷體" w:hAnsi="標楷體"/>
          <w:color w:val="000000"/>
          <w:szCs w:val="24"/>
        </w:rPr>
        <w:t>處之腺癌</w:t>
      </w:r>
      <w:proofErr w:type="gramEnd"/>
      <w:r w:rsidRPr="007576F0">
        <w:rPr>
          <w:rFonts w:ascii="標楷體" w:eastAsia="標楷體" w:hAnsi="標楷體"/>
          <w:color w:val="000000"/>
          <w:szCs w:val="24"/>
        </w:rPr>
        <w:t>。(108/1/1)</w:t>
      </w:r>
      <w:bookmarkEnd w:id="28"/>
    </w:p>
    <w:p w14:paraId="0BB50AA8" w14:textId="77777777" w:rsidR="007576F0" w:rsidRPr="007576F0" w:rsidRDefault="007576F0" w:rsidP="007576F0">
      <w:pPr>
        <w:spacing w:line="300" w:lineRule="exact"/>
        <w:ind w:left="672" w:hanging="386"/>
        <w:rPr>
          <w:rFonts w:ascii="標楷體" w:eastAsia="標楷體" w:hAnsi="標楷體"/>
          <w:szCs w:val="24"/>
        </w:rPr>
      </w:pPr>
      <w:bookmarkStart w:id="29" w:name="_Hlk230359815"/>
      <w:bookmarkStart w:id="30" w:name="_Hlk204090575"/>
      <w:r w:rsidRPr="007576F0">
        <w:rPr>
          <w:rFonts w:ascii="標楷體" w:eastAsia="標楷體" w:hAnsi="標楷體"/>
          <w:szCs w:val="24"/>
        </w:rPr>
        <w:t>9.4.Gemcitabine（如</w:t>
      </w:r>
      <w:proofErr w:type="spellStart"/>
      <w:r w:rsidRPr="007576F0">
        <w:rPr>
          <w:rFonts w:ascii="標楷體" w:eastAsia="標楷體" w:hAnsi="標楷體"/>
          <w:szCs w:val="24"/>
        </w:rPr>
        <w:t>Gemzar</w:t>
      </w:r>
      <w:proofErr w:type="spellEnd"/>
      <w:r w:rsidRPr="007576F0">
        <w:rPr>
          <w:rFonts w:ascii="標楷體" w:eastAsia="標楷體" w:hAnsi="標楷體"/>
          <w:szCs w:val="24"/>
        </w:rPr>
        <w:t>）：（92/12/1、93/8/1、94/10/1、96/5/1、99/10/1、105/2/1、114/2/1、115/2/1、115/6/1、115/9/1）</w:t>
      </w:r>
    </w:p>
    <w:p w14:paraId="3B667D90" w14:textId="77777777" w:rsidR="007576F0" w:rsidRPr="007576F0" w:rsidRDefault="007576F0" w:rsidP="007576F0">
      <w:pPr>
        <w:spacing w:line="300" w:lineRule="exact"/>
        <w:ind w:left="851" w:hanging="284"/>
        <w:jc w:val="both"/>
        <w:rPr>
          <w:rFonts w:ascii="標楷體" w:eastAsia="標楷體" w:hAnsi="標楷體"/>
          <w:color w:val="000000"/>
          <w:szCs w:val="24"/>
        </w:rPr>
      </w:pPr>
      <w:r w:rsidRPr="007576F0">
        <w:rPr>
          <w:rFonts w:ascii="標楷體" w:eastAsia="標楷體" w:hAnsi="標楷體" w:hint="eastAsia"/>
          <w:color w:val="000000"/>
          <w:szCs w:val="24"/>
        </w:rPr>
        <w:t>1.</w:t>
      </w:r>
      <w:proofErr w:type="gramStart"/>
      <w:r w:rsidRPr="007576F0">
        <w:rPr>
          <w:rFonts w:ascii="標楷體" w:eastAsia="標楷體" w:hAnsi="標楷體"/>
          <w:color w:val="000000"/>
          <w:szCs w:val="24"/>
        </w:rPr>
        <w:t>本類藥品</w:t>
      </w:r>
      <w:proofErr w:type="gramEnd"/>
      <w:r w:rsidRPr="007576F0">
        <w:rPr>
          <w:rFonts w:ascii="標楷體" w:eastAsia="標楷體" w:hAnsi="標楷體"/>
          <w:color w:val="000000"/>
          <w:szCs w:val="24"/>
        </w:rPr>
        <w:t>依藥品許可證登載之適應症範圍內給付於非小細胞肺癌、胰臟癌、膀胱癌、</w:t>
      </w:r>
      <w:r w:rsidRPr="007576F0">
        <w:rPr>
          <w:rFonts w:ascii="標楷體" w:eastAsia="標楷體" w:hAnsi="標楷體"/>
          <w:color w:val="000000"/>
          <w:szCs w:val="24"/>
        </w:rPr>
        <w:lastRenderedPageBreak/>
        <w:t>乳癌、卵巢癌及</w:t>
      </w:r>
      <w:proofErr w:type="gramStart"/>
      <w:r w:rsidRPr="007576F0">
        <w:rPr>
          <w:rFonts w:ascii="標楷體" w:eastAsia="標楷體" w:hAnsi="標楷體"/>
          <w:color w:val="000000"/>
          <w:szCs w:val="24"/>
        </w:rPr>
        <w:t>膽道癌之</w:t>
      </w:r>
      <w:proofErr w:type="gramEnd"/>
      <w:r w:rsidRPr="007576F0">
        <w:rPr>
          <w:rFonts w:ascii="標楷體" w:eastAsia="標楷體" w:hAnsi="標楷體"/>
          <w:color w:val="000000"/>
          <w:szCs w:val="24"/>
        </w:rPr>
        <w:t>病例；倘</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用其他標靶治療、免疫檢查點抑制劑等藥品時，病人須符合該</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用藥品之藥品給付規定。(115/6/1、115/9/1</w:t>
      </w:r>
      <w:proofErr w:type="gramStart"/>
      <w:r w:rsidRPr="007576F0">
        <w:rPr>
          <w:rFonts w:ascii="標楷體" w:eastAsia="標楷體" w:hAnsi="標楷體"/>
          <w:color w:val="000000"/>
          <w:szCs w:val="24"/>
        </w:rPr>
        <w:t>）</w:t>
      </w:r>
      <w:proofErr w:type="gramEnd"/>
    </w:p>
    <w:p w14:paraId="65EBCF6F" w14:textId="77777777" w:rsidR="007576F0" w:rsidRPr="007576F0" w:rsidRDefault="007576F0" w:rsidP="007576F0">
      <w:pPr>
        <w:spacing w:line="300" w:lineRule="exact"/>
        <w:ind w:left="431" w:hanging="227"/>
        <w:rPr>
          <w:szCs w:val="24"/>
        </w:rPr>
      </w:pPr>
      <w:bookmarkStart w:id="31" w:name="_Hlk230342633"/>
      <w:bookmarkStart w:id="32" w:name="_Hlk230359830"/>
      <w:bookmarkEnd w:id="29"/>
      <w:r w:rsidRPr="007576F0">
        <w:rPr>
          <w:rFonts w:ascii="標楷體" w:eastAsia="標楷體" w:hAnsi="標楷體"/>
          <w:szCs w:val="24"/>
        </w:rPr>
        <w:t>9.5.Paclitaxel成分劑：（</w:t>
      </w:r>
      <w:r w:rsidRPr="007576F0">
        <w:rPr>
          <w:rFonts w:ascii="標楷體" w:eastAsia="標楷體" w:hAnsi="標楷體" w:hint="eastAsia"/>
          <w:szCs w:val="24"/>
        </w:rPr>
        <w:t>88/8/1、88/11/1、89/6/1、89/10/1、91/4/1、91/8/1、93/8/1、94/1/1、98/8/1、108/11/1、112/12/1、114/6/1、114/8/1、115/6/1、115/8/1、115/10/1</w:t>
      </w:r>
      <w:r w:rsidRPr="007576F0">
        <w:rPr>
          <w:rFonts w:ascii="標楷體" w:eastAsia="標楷體" w:hAnsi="標楷體"/>
          <w:szCs w:val="24"/>
        </w:rPr>
        <w:t>）</w:t>
      </w:r>
    </w:p>
    <w:p w14:paraId="2281B22A" w14:textId="77777777" w:rsidR="007576F0" w:rsidRPr="007576F0" w:rsidRDefault="007576F0" w:rsidP="007576F0">
      <w:pPr>
        <w:spacing w:line="300" w:lineRule="exact"/>
        <w:ind w:left="426" w:hanging="224"/>
        <w:rPr>
          <w:rFonts w:ascii="標楷體" w:eastAsia="標楷體" w:hAnsi="標楷體"/>
          <w:szCs w:val="24"/>
        </w:rPr>
      </w:pPr>
      <w:r w:rsidRPr="007576F0">
        <w:rPr>
          <w:rFonts w:ascii="標楷體" w:eastAsia="標楷體" w:hAnsi="標楷體"/>
          <w:szCs w:val="24"/>
        </w:rPr>
        <w:t>9.</w:t>
      </w:r>
      <w:bookmarkEnd w:id="30"/>
      <w:bookmarkEnd w:id="31"/>
      <w:bookmarkEnd w:id="32"/>
      <w:r w:rsidRPr="007576F0">
        <w:rPr>
          <w:rFonts w:ascii="標楷體" w:eastAsia="標楷體" w:hAnsi="標楷體"/>
          <w:szCs w:val="24"/>
        </w:rPr>
        <w:t>5.1.Paclitaxel成分注射劑：(</w:t>
      </w:r>
      <w:r w:rsidRPr="007576F0">
        <w:rPr>
          <w:rFonts w:ascii="標楷體" w:eastAsia="標楷體" w:hAnsi="標楷體" w:hint="eastAsia"/>
          <w:szCs w:val="24"/>
        </w:rPr>
        <w:t>108/11/1、112/12/1、114/6/1、114/8/1、115/6/1、115/8/1、115/10/1</w:t>
      </w:r>
      <w:r w:rsidRPr="007576F0">
        <w:rPr>
          <w:rFonts w:ascii="標楷體" w:eastAsia="標楷體" w:hAnsi="標楷體"/>
          <w:szCs w:val="24"/>
        </w:rPr>
        <w:t>)</w:t>
      </w:r>
    </w:p>
    <w:p w14:paraId="649CAAC1" w14:textId="77777777" w:rsidR="007576F0" w:rsidRPr="007576F0" w:rsidRDefault="007576F0" w:rsidP="007576F0">
      <w:pPr>
        <w:spacing w:line="300" w:lineRule="exact"/>
        <w:ind w:left="851" w:hanging="284"/>
        <w:jc w:val="both"/>
        <w:rPr>
          <w:rFonts w:ascii="標楷體" w:eastAsia="標楷體" w:hAnsi="標楷體"/>
          <w:color w:val="000000"/>
          <w:szCs w:val="24"/>
        </w:rPr>
      </w:pPr>
      <w:r w:rsidRPr="007576F0">
        <w:rPr>
          <w:rFonts w:ascii="標楷體" w:eastAsia="標楷體" w:hAnsi="標楷體"/>
          <w:color w:val="000000"/>
          <w:szCs w:val="24"/>
        </w:rPr>
        <w:t>1.</w:t>
      </w:r>
      <w:proofErr w:type="gramStart"/>
      <w:r w:rsidRPr="007576F0">
        <w:rPr>
          <w:rFonts w:ascii="標楷體" w:eastAsia="標楷體" w:hAnsi="標楷體"/>
          <w:color w:val="000000"/>
          <w:szCs w:val="24"/>
        </w:rPr>
        <w:t>本類藥品</w:t>
      </w:r>
      <w:proofErr w:type="gramEnd"/>
      <w:r w:rsidRPr="007576F0">
        <w:rPr>
          <w:rFonts w:ascii="標楷體" w:eastAsia="標楷體" w:hAnsi="標楷體" w:hint="eastAsia"/>
          <w:color w:val="000000"/>
          <w:szCs w:val="24"/>
        </w:rPr>
        <w:t>(除GENETAXYL CREM LESS及TAXOL</w:t>
      </w:r>
      <w:proofErr w:type="gramStart"/>
      <w:r w:rsidRPr="007576F0">
        <w:rPr>
          <w:rFonts w:ascii="標楷體" w:eastAsia="標楷體" w:hAnsi="標楷體" w:hint="eastAsia"/>
          <w:color w:val="000000"/>
          <w:szCs w:val="24"/>
        </w:rPr>
        <w:t>以外)</w:t>
      </w:r>
      <w:proofErr w:type="gramEnd"/>
      <w:r w:rsidRPr="007576F0">
        <w:rPr>
          <w:rFonts w:ascii="標楷體" w:eastAsia="標楷體" w:hAnsi="標楷體" w:hint="eastAsia"/>
          <w:color w:val="000000"/>
          <w:szCs w:val="24"/>
        </w:rPr>
        <w:t>依藥品許可證登載之適應症範圍內給付於卵巢癌、非小細胞肺癌、乳癌及卡</w:t>
      </w:r>
      <w:proofErr w:type="gramStart"/>
      <w:r w:rsidRPr="007576F0">
        <w:rPr>
          <w:rFonts w:ascii="標楷體" w:eastAsia="標楷體" w:hAnsi="標楷體" w:hint="eastAsia"/>
          <w:color w:val="000000"/>
          <w:szCs w:val="24"/>
        </w:rPr>
        <w:t>波西氏肉瘤</w:t>
      </w:r>
      <w:proofErr w:type="gramEnd"/>
      <w:r w:rsidRPr="007576F0">
        <w:rPr>
          <w:rFonts w:ascii="標楷體" w:eastAsia="標楷體" w:hAnsi="標楷體" w:hint="eastAsia"/>
          <w:color w:val="000000"/>
          <w:szCs w:val="24"/>
        </w:rPr>
        <w:t>之病例。(115/6/1、115/8/1</w:t>
      </w:r>
      <w:proofErr w:type="gramStart"/>
      <w:r w:rsidRPr="007576F0">
        <w:rPr>
          <w:rFonts w:ascii="標楷體" w:eastAsia="標楷體" w:hAnsi="標楷體"/>
          <w:color w:val="000000"/>
          <w:szCs w:val="24"/>
        </w:rPr>
        <w:t>）</w:t>
      </w:r>
      <w:proofErr w:type="gramEnd"/>
    </w:p>
    <w:p w14:paraId="694FA27A" w14:textId="77777777" w:rsidR="007576F0" w:rsidRPr="007576F0" w:rsidRDefault="007576F0" w:rsidP="007576F0">
      <w:pPr>
        <w:spacing w:line="300" w:lineRule="exact"/>
        <w:ind w:left="851" w:hanging="284"/>
        <w:jc w:val="both"/>
        <w:rPr>
          <w:rFonts w:ascii="標楷體" w:eastAsia="標楷體" w:hAnsi="標楷體"/>
          <w:color w:val="000000"/>
          <w:szCs w:val="24"/>
        </w:rPr>
      </w:pPr>
      <w:r w:rsidRPr="007576F0">
        <w:rPr>
          <w:rFonts w:ascii="標楷體" w:eastAsia="標楷體" w:hAnsi="標楷體"/>
          <w:color w:val="000000"/>
          <w:szCs w:val="24"/>
        </w:rPr>
        <w:t>2.</w:t>
      </w:r>
      <w:r w:rsidRPr="007576F0">
        <w:rPr>
          <w:rFonts w:ascii="標楷體" w:eastAsia="標楷體" w:hAnsi="標楷體" w:hint="eastAsia"/>
          <w:color w:val="000000"/>
          <w:szCs w:val="24"/>
        </w:rPr>
        <w:t>GENETAXYL CREM LESS及TAXOL限給付於下列情形：(115/6/1、115/8/1</w:t>
      </w:r>
      <w:proofErr w:type="gramStart"/>
      <w:r w:rsidRPr="007576F0">
        <w:rPr>
          <w:rFonts w:ascii="標楷體" w:eastAsia="標楷體" w:hAnsi="標楷體"/>
          <w:color w:val="000000"/>
          <w:szCs w:val="24"/>
        </w:rPr>
        <w:t>）</w:t>
      </w:r>
      <w:proofErr w:type="gramEnd"/>
    </w:p>
    <w:p w14:paraId="2F18FF88" w14:textId="77777777" w:rsidR="007576F0" w:rsidRPr="007576F0" w:rsidRDefault="007576F0" w:rsidP="007576F0">
      <w:pPr>
        <w:spacing w:line="300" w:lineRule="exact"/>
        <w:ind w:left="1276" w:hanging="420"/>
        <w:rPr>
          <w:szCs w:val="24"/>
        </w:rPr>
      </w:pPr>
      <w:r w:rsidRPr="007576F0">
        <w:rPr>
          <w:rFonts w:ascii="標楷體" w:eastAsia="標楷體" w:hAnsi="標楷體"/>
          <w:color w:val="000000"/>
          <w:szCs w:val="24"/>
        </w:rPr>
        <w:t>(1)晚期卵巢癌，作為第一線治療時需與cisplatin</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用。(94/1/1)</w:t>
      </w:r>
    </w:p>
    <w:p w14:paraId="6D0FDCBF"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color w:val="000000"/>
          <w:szCs w:val="24"/>
        </w:rPr>
        <w:t>(2)非小細胞肺癌，作為第一線用藥時需與cisplatin</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用。(94/1/1)</w:t>
      </w:r>
    </w:p>
    <w:p w14:paraId="14946B26"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color w:val="000000"/>
          <w:szCs w:val="24"/>
        </w:rPr>
        <w:t>(3)</w:t>
      </w:r>
      <w:r w:rsidRPr="007576F0">
        <w:rPr>
          <w:rFonts w:ascii="標楷體" w:eastAsia="標楷體" w:hAnsi="標楷體" w:hint="eastAsia"/>
          <w:color w:val="000000"/>
          <w:szCs w:val="24"/>
        </w:rPr>
        <w:t>已使用合併療法(除非有禁忌症、至少應包括使用anthracycline)失敗的轉移性乳癌患者。</w:t>
      </w:r>
      <w:proofErr w:type="gramStart"/>
      <w:r w:rsidRPr="007576F0">
        <w:rPr>
          <w:rFonts w:ascii="標楷體" w:eastAsia="標楷體" w:hAnsi="標楷體" w:hint="eastAsia"/>
          <w:color w:val="000000"/>
          <w:szCs w:val="24"/>
        </w:rPr>
        <w:t>（</w:t>
      </w:r>
      <w:proofErr w:type="gramEnd"/>
      <w:r w:rsidRPr="007576F0">
        <w:rPr>
          <w:rFonts w:ascii="標楷體" w:eastAsia="標楷體" w:hAnsi="標楷體" w:hint="eastAsia"/>
          <w:color w:val="000000"/>
          <w:szCs w:val="24"/>
        </w:rPr>
        <w:t>91/4/1、94/1/1</w:t>
      </w:r>
      <w:r w:rsidRPr="007576F0">
        <w:rPr>
          <w:rFonts w:ascii="標楷體" w:eastAsia="標楷體" w:hAnsi="標楷體"/>
          <w:color w:val="000000"/>
          <w:szCs w:val="24"/>
        </w:rPr>
        <w:t>)</w:t>
      </w:r>
    </w:p>
    <w:p w14:paraId="1CDF49AE"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color w:val="000000"/>
          <w:szCs w:val="24"/>
        </w:rPr>
        <w:t>(4)</w:t>
      </w:r>
      <w:r w:rsidRPr="007576F0">
        <w:rPr>
          <w:rFonts w:ascii="標楷體" w:eastAsia="標楷體" w:hAnsi="標楷體" w:hint="eastAsia"/>
          <w:color w:val="000000"/>
          <w:szCs w:val="24"/>
        </w:rPr>
        <w:t>腋下淋巴轉移之乳癌且動情素受體為陰性之患者，paclitaxel可作為接續含doxorubicin在內之輔助化學治療。</w:t>
      </w:r>
      <w:proofErr w:type="gramStart"/>
      <w:r w:rsidRPr="007576F0">
        <w:rPr>
          <w:rFonts w:ascii="標楷體" w:eastAsia="標楷體" w:hAnsi="標楷體" w:hint="eastAsia"/>
          <w:color w:val="000000"/>
          <w:szCs w:val="24"/>
        </w:rPr>
        <w:t>（</w:t>
      </w:r>
      <w:proofErr w:type="gramEnd"/>
      <w:r w:rsidRPr="007576F0">
        <w:rPr>
          <w:rFonts w:ascii="標楷體" w:eastAsia="標楷體" w:hAnsi="標楷體" w:hint="eastAsia"/>
          <w:color w:val="000000"/>
          <w:szCs w:val="24"/>
        </w:rPr>
        <w:t>91/4/1、94/1/1、98/8/1</w:t>
      </w:r>
      <w:r w:rsidRPr="007576F0">
        <w:rPr>
          <w:rFonts w:ascii="標楷體" w:eastAsia="標楷體" w:hAnsi="標楷體"/>
          <w:color w:val="000000"/>
          <w:szCs w:val="24"/>
        </w:rPr>
        <w:t>)</w:t>
      </w:r>
    </w:p>
    <w:p w14:paraId="3D1A4684"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color w:val="000000"/>
          <w:szCs w:val="24"/>
        </w:rPr>
        <w:t>(5)</w:t>
      </w:r>
      <w:r w:rsidRPr="007576F0">
        <w:rPr>
          <w:rFonts w:hint="eastAsia"/>
          <w:szCs w:val="24"/>
        </w:rPr>
        <w:t xml:space="preserve"> </w:t>
      </w:r>
      <w:r w:rsidRPr="007576F0">
        <w:rPr>
          <w:rFonts w:ascii="標楷體" w:eastAsia="標楷體" w:hAnsi="標楷體" w:hint="eastAsia"/>
          <w:color w:val="000000"/>
          <w:szCs w:val="24"/>
        </w:rPr>
        <w:t>卡</w:t>
      </w:r>
      <w:proofErr w:type="gramStart"/>
      <w:r w:rsidRPr="007576F0">
        <w:rPr>
          <w:rFonts w:ascii="標楷體" w:eastAsia="標楷體" w:hAnsi="標楷體" w:hint="eastAsia"/>
          <w:color w:val="000000"/>
          <w:szCs w:val="24"/>
        </w:rPr>
        <w:t>波西氏肉瘤</w:t>
      </w:r>
      <w:proofErr w:type="gramEnd"/>
      <w:r w:rsidRPr="007576F0">
        <w:rPr>
          <w:rFonts w:ascii="標楷體" w:eastAsia="標楷體" w:hAnsi="標楷體" w:hint="eastAsia"/>
          <w:color w:val="000000"/>
          <w:szCs w:val="24"/>
        </w:rPr>
        <w:t>第二線用藥。</w:t>
      </w:r>
      <w:proofErr w:type="gramStart"/>
      <w:r w:rsidRPr="007576F0">
        <w:rPr>
          <w:rFonts w:ascii="標楷體" w:eastAsia="標楷體" w:hAnsi="標楷體" w:hint="eastAsia"/>
          <w:color w:val="000000"/>
          <w:szCs w:val="24"/>
        </w:rPr>
        <w:t>（</w:t>
      </w:r>
      <w:proofErr w:type="gramEnd"/>
      <w:r w:rsidRPr="007576F0">
        <w:rPr>
          <w:rFonts w:ascii="標楷體" w:eastAsia="標楷體" w:hAnsi="標楷體" w:hint="eastAsia"/>
          <w:color w:val="000000"/>
          <w:szCs w:val="24"/>
        </w:rPr>
        <w:t>88/11/1</w:t>
      </w:r>
      <w:r w:rsidRPr="007576F0">
        <w:rPr>
          <w:rFonts w:ascii="標楷體" w:eastAsia="標楷體" w:hAnsi="標楷體"/>
          <w:color w:val="000000"/>
          <w:szCs w:val="24"/>
        </w:rPr>
        <w:t>)</w:t>
      </w:r>
    </w:p>
    <w:p w14:paraId="34101989" w14:textId="77777777" w:rsidR="007576F0" w:rsidRPr="007576F0" w:rsidRDefault="007576F0" w:rsidP="007576F0">
      <w:pPr>
        <w:spacing w:line="300" w:lineRule="exact"/>
        <w:ind w:left="851" w:hanging="284"/>
        <w:jc w:val="both"/>
        <w:rPr>
          <w:rFonts w:ascii="標楷體" w:eastAsia="標楷體" w:hAnsi="標楷體"/>
          <w:color w:val="000000"/>
          <w:szCs w:val="24"/>
        </w:rPr>
      </w:pPr>
      <w:r w:rsidRPr="007576F0">
        <w:rPr>
          <w:rFonts w:ascii="標楷體" w:eastAsia="標楷體" w:hAnsi="標楷體" w:hint="eastAsia"/>
          <w:color w:val="000000"/>
          <w:szCs w:val="24"/>
        </w:rPr>
        <w:t>3.</w:t>
      </w:r>
      <w:proofErr w:type="gramStart"/>
      <w:r w:rsidRPr="007576F0">
        <w:rPr>
          <w:rFonts w:ascii="標楷體" w:eastAsia="標楷體" w:hAnsi="標楷體" w:hint="eastAsia"/>
          <w:color w:val="000000"/>
          <w:szCs w:val="24"/>
        </w:rPr>
        <w:t>本類藥品併</w:t>
      </w:r>
      <w:proofErr w:type="gramEnd"/>
      <w:r w:rsidRPr="007576F0">
        <w:rPr>
          <w:rFonts w:ascii="標楷體" w:eastAsia="標楷體" w:hAnsi="標楷體" w:hint="eastAsia"/>
          <w:color w:val="000000"/>
          <w:szCs w:val="24"/>
        </w:rPr>
        <w:t>用其他標靶治療、免疫檢查點抑制劑等藥品時，病人須符合該</w:t>
      </w:r>
      <w:proofErr w:type="gramStart"/>
      <w:r w:rsidRPr="007576F0">
        <w:rPr>
          <w:rFonts w:ascii="標楷體" w:eastAsia="標楷體" w:hAnsi="標楷體" w:hint="eastAsia"/>
          <w:color w:val="000000"/>
          <w:szCs w:val="24"/>
        </w:rPr>
        <w:t>併</w:t>
      </w:r>
      <w:proofErr w:type="gramEnd"/>
      <w:r w:rsidRPr="007576F0">
        <w:rPr>
          <w:rFonts w:ascii="標楷體" w:eastAsia="標楷體" w:hAnsi="標楷體" w:hint="eastAsia"/>
          <w:color w:val="000000"/>
          <w:szCs w:val="24"/>
        </w:rPr>
        <w:t>用藥品之藥品給付規定，並依下列情形使用：(115/8/1</w:t>
      </w:r>
      <w:r w:rsidRPr="007576F0">
        <w:rPr>
          <w:rFonts w:ascii="標楷體" w:eastAsia="標楷體" w:hAnsi="標楷體" w:hint="eastAsia"/>
          <w:szCs w:val="24"/>
        </w:rPr>
        <w:t>、115/10/1</w:t>
      </w:r>
      <w:proofErr w:type="gramStart"/>
      <w:r w:rsidRPr="007576F0">
        <w:rPr>
          <w:rFonts w:ascii="標楷體" w:eastAsia="標楷體" w:hAnsi="標楷體" w:hint="eastAsia"/>
          <w:color w:val="000000"/>
          <w:szCs w:val="24"/>
        </w:rPr>
        <w:t>）</w:t>
      </w:r>
      <w:proofErr w:type="gramEnd"/>
    </w:p>
    <w:p w14:paraId="68B05F9A"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hint="eastAsia"/>
          <w:color w:val="000000"/>
          <w:szCs w:val="24"/>
        </w:rPr>
        <w:t>(1)</w:t>
      </w:r>
      <w:proofErr w:type="gramStart"/>
      <w:r w:rsidRPr="007576F0">
        <w:rPr>
          <w:rFonts w:ascii="標楷體" w:eastAsia="標楷體" w:hAnsi="標楷體" w:hint="eastAsia"/>
          <w:color w:val="000000"/>
          <w:szCs w:val="24"/>
        </w:rPr>
        <w:t>本類藥品</w:t>
      </w:r>
      <w:proofErr w:type="gramEnd"/>
      <w:r w:rsidRPr="007576F0">
        <w:rPr>
          <w:rFonts w:ascii="標楷體" w:eastAsia="標楷體" w:hAnsi="標楷體" w:hint="eastAsia"/>
          <w:color w:val="000000"/>
          <w:szCs w:val="24"/>
        </w:rPr>
        <w:t>與pembrolizumab及carboplatin，或與tislelizumab</w:t>
      </w:r>
      <w:r w:rsidRPr="007576F0">
        <w:rPr>
          <w:rFonts w:ascii="標楷體" w:eastAsia="標楷體" w:hAnsi="標楷體"/>
          <w:color w:val="000000"/>
          <w:szCs w:val="24"/>
        </w:rPr>
        <w:t>及carboplatin</w:t>
      </w:r>
      <w:proofErr w:type="gramStart"/>
      <w:r w:rsidRPr="007576F0">
        <w:rPr>
          <w:rFonts w:ascii="標楷體" w:eastAsia="標楷體" w:hAnsi="標楷體" w:hint="eastAsia"/>
          <w:color w:val="000000"/>
          <w:szCs w:val="24"/>
        </w:rPr>
        <w:t>併</w:t>
      </w:r>
      <w:proofErr w:type="gramEnd"/>
      <w:r w:rsidRPr="007576F0">
        <w:rPr>
          <w:rFonts w:ascii="標楷體" w:eastAsia="標楷體" w:hAnsi="標楷體" w:hint="eastAsia"/>
          <w:color w:val="000000"/>
          <w:szCs w:val="24"/>
        </w:rPr>
        <w:t>用於轉移</w:t>
      </w:r>
      <w:proofErr w:type="gramStart"/>
      <w:r w:rsidRPr="007576F0">
        <w:rPr>
          <w:rFonts w:ascii="標楷體" w:eastAsia="標楷體" w:hAnsi="標楷體" w:hint="eastAsia"/>
          <w:color w:val="000000"/>
          <w:szCs w:val="24"/>
        </w:rPr>
        <w:t>性鱗狀非</w:t>
      </w:r>
      <w:proofErr w:type="gramEnd"/>
      <w:r w:rsidRPr="007576F0">
        <w:rPr>
          <w:rFonts w:ascii="標楷體" w:eastAsia="標楷體" w:hAnsi="標楷體" w:hint="eastAsia"/>
          <w:color w:val="000000"/>
          <w:szCs w:val="24"/>
        </w:rPr>
        <w:t>小細胞肺癌的第一線治療，患者需符合免疫檢查點抑制劑之藥品給付規定。(112/12/1、115/10/1)</w:t>
      </w:r>
    </w:p>
    <w:p w14:paraId="5150980C"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hint="eastAsia"/>
          <w:color w:val="000000"/>
          <w:szCs w:val="24"/>
        </w:rPr>
        <w:t>(2)</w:t>
      </w:r>
      <w:proofErr w:type="gramStart"/>
      <w:r w:rsidRPr="007576F0">
        <w:rPr>
          <w:rFonts w:ascii="標楷體" w:eastAsia="標楷體" w:hAnsi="標楷體" w:hint="eastAsia"/>
          <w:color w:val="000000"/>
          <w:szCs w:val="24"/>
        </w:rPr>
        <w:t>本類藥品</w:t>
      </w:r>
      <w:proofErr w:type="gramEnd"/>
      <w:r w:rsidRPr="007576F0">
        <w:rPr>
          <w:rFonts w:ascii="標楷體" w:eastAsia="標楷體" w:hAnsi="標楷體" w:hint="eastAsia"/>
          <w:color w:val="000000"/>
          <w:szCs w:val="24"/>
        </w:rPr>
        <w:t>與pembrolizumab及carboplatin</w:t>
      </w:r>
      <w:proofErr w:type="gramStart"/>
      <w:r w:rsidRPr="007576F0">
        <w:rPr>
          <w:rFonts w:ascii="標楷體" w:eastAsia="標楷體" w:hAnsi="標楷體" w:hint="eastAsia"/>
          <w:color w:val="000000"/>
          <w:szCs w:val="24"/>
        </w:rPr>
        <w:t>併</w:t>
      </w:r>
      <w:proofErr w:type="gramEnd"/>
      <w:r w:rsidRPr="007576F0">
        <w:rPr>
          <w:rFonts w:ascii="標楷體" w:eastAsia="標楷體" w:hAnsi="標楷體" w:hint="eastAsia"/>
          <w:color w:val="000000"/>
          <w:szCs w:val="24"/>
        </w:rPr>
        <w:t>用於早期</w:t>
      </w:r>
      <w:proofErr w:type="gramStart"/>
      <w:r w:rsidRPr="007576F0">
        <w:rPr>
          <w:rFonts w:ascii="標楷體" w:eastAsia="標楷體" w:hAnsi="標楷體" w:hint="eastAsia"/>
          <w:color w:val="000000"/>
          <w:szCs w:val="24"/>
        </w:rPr>
        <w:t>三</w:t>
      </w:r>
      <w:proofErr w:type="gramEnd"/>
      <w:r w:rsidRPr="007576F0">
        <w:rPr>
          <w:rFonts w:ascii="標楷體" w:eastAsia="標楷體" w:hAnsi="標楷體" w:hint="eastAsia"/>
          <w:color w:val="000000"/>
          <w:szCs w:val="24"/>
        </w:rPr>
        <w:t>陰性乳癌(第II期至第</w:t>
      </w:r>
      <w:proofErr w:type="spellStart"/>
      <w:r w:rsidRPr="007576F0">
        <w:rPr>
          <w:rFonts w:ascii="標楷體" w:eastAsia="標楷體" w:hAnsi="標楷體" w:hint="eastAsia"/>
          <w:color w:val="000000"/>
          <w:szCs w:val="24"/>
        </w:rPr>
        <w:t>IIIb</w:t>
      </w:r>
      <w:proofErr w:type="spellEnd"/>
      <w:r w:rsidRPr="007576F0">
        <w:rPr>
          <w:rFonts w:ascii="標楷體" w:eastAsia="標楷體" w:hAnsi="標楷體" w:hint="eastAsia"/>
          <w:color w:val="000000"/>
          <w:szCs w:val="24"/>
        </w:rPr>
        <w:t>期，cT1c N1-2 或 T2-4 N0-2)病人的術前前導性治療用藥，病人需符合免疫檢查點抑制劑之藥品給付規定。(114/6/1)</w:t>
      </w:r>
    </w:p>
    <w:p w14:paraId="1BE5DCED"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hint="eastAsia"/>
          <w:color w:val="000000"/>
          <w:szCs w:val="24"/>
        </w:rPr>
        <w:t>(3)</w:t>
      </w:r>
      <w:proofErr w:type="gramStart"/>
      <w:r w:rsidRPr="007576F0">
        <w:rPr>
          <w:rFonts w:ascii="標楷體" w:eastAsia="標楷體" w:hAnsi="標楷體" w:hint="eastAsia"/>
          <w:color w:val="000000"/>
          <w:szCs w:val="24"/>
        </w:rPr>
        <w:t>本類藥品</w:t>
      </w:r>
      <w:proofErr w:type="gramEnd"/>
      <w:r w:rsidRPr="007576F0">
        <w:rPr>
          <w:rFonts w:ascii="標楷體" w:eastAsia="標楷體" w:hAnsi="標楷體" w:hint="eastAsia"/>
          <w:color w:val="000000"/>
          <w:szCs w:val="24"/>
        </w:rPr>
        <w:t>與atezolizumab及bevacizumab(限使用</w:t>
      </w:r>
      <w:proofErr w:type="spellStart"/>
      <w:r w:rsidRPr="007576F0">
        <w:rPr>
          <w:rFonts w:ascii="標楷體" w:eastAsia="標楷體" w:hAnsi="標楷體" w:hint="eastAsia"/>
          <w:color w:val="000000"/>
          <w:szCs w:val="24"/>
        </w:rPr>
        <w:t>Alymsys</w:t>
      </w:r>
      <w:proofErr w:type="spellEnd"/>
      <w:r w:rsidRPr="007576F0">
        <w:rPr>
          <w:rFonts w:ascii="標楷體" w:eastAsia="標楷體" w:hAnsi="標楷體" w:hint="eastAsia"/>
          <w:color w:val="000000"/>
          <w:szCs w:val="24"/>
        </w:rPr>
        <w:t>、Avastin、</w:t>
      </w:r>
      <w:proofErr w:type="spellStart"/>
      <w:r w:rsidRPr="007576F0">
        <w:rPr>
          <w:rFonts w:ascii="標楷體" w:eastAsia="標楷體" w:hAnsi="標楷體" w:hint="eastAsia"/>
          <w:color w:val="000000"/>
          <w:szCs w:val="24"/>
        </w:rPr>
        <w:t>Abevmy</w:t>
      </w:r>
      <w:proofErr w:type="spellEnd"/>
      <w:r w:rsidRPr="007576F0">
        <w:rPr>
          <w:rFonts w:ascii="標楷體" w:eastAsia="標楷體" w:hAnsi="標楷體" w:hint="eastAsia"/>
          <w:color w:val="000000"/>
          <w:szCs w:val="24"/>
        </w:rPr>
        <w:t>、</w:t>
      </w:r>
      <w:proofErr w:type="spellStart"/>
      <w:r w:rsidRPr="007576F0">
        <w:rPr>
          <w:rFonts w:ascii="標楷體" w:eastAsia="標楷體" w:hAnsi="標楷體" w:hint="eastAsia"/>
          <w:color w:val="000000"/>
          <w:szCs w:val="24"/>
        </w:rPr>
        <w:t>Vegzelma</w:t>
      </w:r>
      <w:proofErr w:type="spellEnd"/>
      <w:r w:rsidRPr="007576F0">
        <w:rPr>
          <w:rFonts w:ascii="標楷體" w:eastAsia="標楷體" w:hAnsi="標楷體" w:hint="eastAsia"/>
          <w:color w:val="000000"/>
          <w:szCs w:val="24"/>
        </w:rPr>
        <w:t>或</w:t>
      </w:r>
      <w:proofErr w:type="spellStart"/>
      <w:r w:rsidRPr="007576F0">
        <w:rPr>
          <w:rFonts w:ascii="標楷體" w:eastAsia="標楷體" w:hAnsi="標楷體" w:hint="eastAsia"/>
          <w:color w:val="000000"/>
          <w:szCs w:val="24"/>
        </w:rPr>
        <w:t>Mvasi</w:t>
      </w:r>
      <w:proofErr w:type="spellEnd"/>
      <w:r w:rsidRPr="007576F0">
        <w:rPr>
          <w:rFonts w:ascii="標楷體" w:eastAsia="標楷體" w:hAnsi="標楷體" w:hint="eastAsia"/>
          <w:color w:val="000000"/>
          <w:szCs w:val="24"/>
        </w:rPr>
        <w:t>)、carboplatin</w:t>
      </w:r>
      <w:proofErr w:type="gramStart"/>
      <w:r w:rsidRPr="007576F0">
        <w:rPr>
          <w:rFonts w:ascii="標楷體" w:eastAsia="標楷體" w:hAnsi="標楷體" w:hint="eastAsia"/>
          <w:color w:val="000000"/>
          <w:szCs w:val="24"/>
        </w:rPr>
        <w:t>併</w:t>
      </w:r>
      <w:proofErr w:type="gramEnd"/>
      <w:r w:rsidRPr="007576F0">
        <w:rPr>
          <w:rFonts w:ascii="標楷體" w:eastAsia="標楷體" w:hAnsi="標楷體" w:hint="eastAsia"/>
          <w:color w:val="000000"/>
          <w:szCs w:val="24"/>
        </w:rPr>
        <w:t>用於轉移</w:t>
      </w:r>
      <w:proofErr w:type="gramStart"/>
      <w:r w:rsidRPr="007576F0">
        <w:rPr>
          <w:rFonts w:ascii="標楷體" w:eastAsia="標楷體" w:hAnsi="標楷體" w:hint="eastAsia"/>
          <w:color w:val="000000"/>
          <w:szCs w:val="24"/>
        </w:rPr>
        <w:t>性非鱗狀</w:t>
      </w:r>
      <w:proofErr w:type="gramEnd"/>
      <w:r w:rsidRPr="007576F0">
        <w:rPr>
          <w:rFonts w:ascii="標楷體" w:eastAsia="標楷體" w:hAnsi="標楷體" w:hint="eastAsia"/>
          <w:color w:val="000000"/>
          <w:szCs w:val="24"/>
        </w:rPr>
        <w:t>非小細胞肺癌第一線治療，患者需符合免疫檢查點抑制劑之藥品給付規定。(114/6/1、114/8/1)</w:t>
      </w:r>
    </w:p>
    <w:p w14:paraId="5C593E65" w14:textId="77777777" w:rsidR="007576F0" w:rsidRPr="007576F0" w:rsidRDefault="007576F0" w:rsidP="007576F0">
      <w:pPr>
        <w:spacing w:line="300" w:lineRule="exact"/>
        <w:ind w:left="1276" w:hanging="420"/>
        <w:rPr>
          <w:rFonts w:ascii="標楷體" w:eastAsia="標楷體" w:hAnsi="標楷體"/>
          <w:color w:val="000000"/>
          <w:szCs w:val="24"/>
        </w:rPr>
      </w:pPr>
      <w:r w:rsidRPr="007576F0">
        <w:rPr>
          <w:rFonts w:ascii="標楷體" w:eastAsia="標楷體" w:hAnsi="標楷體" w:hint="eastAsia"/>
          <w:color w:val="000000"/>
          <w:szCs w:val="24"/>
        </w:rPr>
        <w:t>(4)</w:t>
      </w:r>
      <w:proofErr w:type="gramStart"/>
      <w:r w:rsidRPr="007576F0">
        <w:rPr>
          <w:rFonts w:ascii="標楷體" w:eastAsia="標楷體" w:hAnsi="標楷體" w:hint="eastAsia"/>
          <w:color w:val="000000"/>
          <w:szCs w:val="24"/>
        </w:rPr>
        <w:t>本類藥品</w:t>
      </w:r>
      <w:proofErr w:type="gramEnd"/>
      <w:r w:rsidRPr="007576F0">
        <w:rPr>
          <w:rFonts w:ascii="標楷體" w:eastAsia="標楷體" w:hAnsi="標楷體" w:hint="eastAsia"/>
          <w:color w:val="000000"/>
          <w:szCs w:val="24"/>
        </w:rPr>
        <w:t xml:space="preserve"> (除GENETAXYL CREM LESS及TAXOL</w:t>
      </w:r>
      <w:proofErr w:type="gramStart"/>
      <w:r w:rsidRPr="007576F0">
        <w:rPr>
          <w:rFonts w:ascii="標楷體" w:eastAsia="標楷體" w:hAnsi="標楷體" w:hint="eastAsia"/>
          <w:color w:val="000000"/>
          <w:szCs w:val="24"/>
        </w:rPr>
        <w:t>以外)</w:t>
      </w:r>
      <w:proofErr w:type="gramEnd"/>
      <w:r w:rsidRPr="007576F0">
        <w:rPr>
          <w:rFonts w:ascii="標楷體" w:eastAsia="標楷體" w:hAnsi="標楷體" w:hint="eastAsia"/>
          <w:color w:val="000000"/>
          <w:szCs w:val="24"/>
        </w:rPr>
        <w:t>與</w:t>
      </w:r>
      <w:proofErr w:type="spellStart"/>
      <w:r w:rsidRPr="007576F0">
        <w:rPr>
          <w:rFonts w:ascii="標楷體" w:eastAsia="標楷體" w:hAnsi="標楷體" w:hint="eastAsia"/>
          <w:color w:val="000000"/>
          <w:szCs w:val="24"/>
        </w:rPr>
        <w:t>dostarlimab</w:t>
      </w:r>
      <w:proofErr w:type="spellEnd"/>
      <w:r w:rsidRPr="007576F0">
        <w:rPr>
          <w:rFonts w:ascii="標楷體" w:eastAsia="標楷體" w:hAnsi="標楷體" w:hint="eastAsia"/>
          <w:color w:val="000000"/>
          <w:szCs w:val="24"/>
        </w:rPr>
        <w:t>及carboplatin</w:t>
      </w:r>
      <w:proofErr w:type="gramStart"/>
      <w:r w:rsidRPr="007576F0">
        <w:rPr>
          <w:rFonts w:ascii="標楷體" w:eastAsia="標楷體" w:hAnsi="標楷體" w:hint="eastAsia"/>
          <w:color w:val="000000"/>
          <w:szCs w:val="24"/>
        </w:rPr>
        <w:t>併</w:t>
      </w:r>
      <w:proofErr w:type="gramEnd"/>
      <w:r w:rsidRPr="007576F0">
        <w:rPr>
          <w:rFonts w:ascii="標楷體" w:eastAsia="標楷體" w:hAnsi="標楷體" w:hint="eastAsia"/>
          <w:color w:val="000000"/>
          <w:szCs w:val="24"/>
        </w:rPr>
        <w:t>用，至多使用6個療程，接續單用</w:t>
      </w:r>
      <w:proofErr w:type="spellStart"/>
      <w:r w:rsidRPr="007576F0">
        <w:rPr>
          <w:rFonts w:ascii="標楷體" w:eastAsia="標楷體" w:hAnsi="標楷體" w:hint="eastAsia"/>
          <w:color w:val="000000"/>
          <w:szCs w:val="24"/>
        </w:rPr>
        <w:t>dostarlimab</w:t>
      </w:r>
      <w:proofErr w:type="spellEnd"/>
      <w:r w:rsidRPr="007576F0">
        <w:rPr>
          <w:rFonts w:ascii="標楷體" w:eastAsia="標楷體" w:hAnsi="標楷體" w:hint="eastAsia"/>
          <w:color w:val="000000"/>
          <w:szCs w:val="24"/>
        </w:rPr>
        <w:t>用於治療患有錯誤配對修復功能不足（</w:t>
      </w:r>
      <w:proofErr w:type="spellStart"/>
      <w:r w:rsidRPr="007576F0">
        <w:rPr>
          <w:rFonts w:ascii="標楷體" w:eastAsia="標楷體" w:hAnsi="標楷體" w:hint="eastAsia"/>
          <w:color w:val="000000"/>
          <w:szCs w:val="24"/>
        </w:rPr>
        <w:t>dMMR</w:t>
      </w:r>
      <w:proofErr w:type="spellEnd"/>
      <w:r w:rsidRPr="007576F0">
        <w:rPr>
          <w:rFonts w:ascii="標楷體" w:eastAsia="標楷體" w:hAnsi="標楷體" w:hint="eastAsia"/>
          <w:color w:val="000000"/>
          <w:szCs w:val="24"/>
        </w:rPr>
        <w:t>）或微衛星高度</w:t>
      </w:r>
      <w:proofErr w:type="gramStart"/>
      <w:r w:rsidRPr="007576F0">
        <w:rPr>
          <w:rFonts w:ascii="標楷體" w:eastAsia="標楷體" w:hAnsi="標楷體" w:hint="eastAsia"/>
          <w:color w:val="000000"/>
          <w:szCs w:val="24"/>
        </w:rPr>
        <w:t>不</w:t>
      </w:r>
      <w:proofErr w:type="gramEnd"/>
      <w:r w:rsidRPr="007576F0">
        <w:rPr>
          <w:rFonts w:ascii="標楷體" w:eastAsia="標楷體" w:hAnsi="標楷體" w:hint="eastAsia"/>
          <w:color w:val="000000"/>
          <w:szCs w:val="24"/>
        </w:rPr>
        <w:t>穩定性（MSI-H）之原發性晚期或首次復發性子宮內膜癌(EC</w:t>
      </w:r>
      <w:proofErr w:type="gramStart"/>
      <w:r w:rsidRPr="007576F0">
        <w:rPr>
          <w:rFonts w:ascii="標楷體" w:eastAsia="標楷體" w:hAnsi="標楷體" w:hint="eastAsia"/>
          <w:color w:val="000000"/>
          <w:szCs w:val="24"/>
        </w:rPr>
        <w:t>）</w:t>
      </w:r>
      <w:proofErr w:type="gramEnd"/>
      <w:r w:rsidRPr="007576F0">
        <w:rPr>
          <w:rFonts w:ascii="標楷體" w:eastAsia="標楷體" w:hAnsi="標楷體" w:hint="eastAsia"/>
          <w:color w:val="000000"/>
          <w:szCs w:val="24"/>
        </w:rPr>
        <w:t>成人病人第一線治療，病人需符合免疫檢查點抑制劑之藥品給付規定。(115/8/1</w:t>
      </w:r>
      <w:proofErr w:type="gramStart"/>
      <w:r w:rsidRPr="007576F0">
        <w:rPr>
          <w:rFonts w:ascii="標楷體" w:eastAsia="標楷體" w:hAnsi="標楷體" w:hint="eastAsia"/>
          <w:color w:val="000000"/>
          <w:szCs w:val="24"/>
        </w:rPr>
        <w:t>）</w:t>
      </w:r>
      <w:proofErr w:type="gramEnd"/>
    </w:p>
    <w:p w14:paraId="66BBA1C6" w14:textId="77777777" w:rsidR="007576F0" w:rsidRPr="007576F0" w:rsidRDefault="007576F0" w:rsidP="007576F0">
      <w:pPr>
        <w:spacing w:line="300" w:lineRule="exact"/>
        <w:ind w:left="284" w:hanging="1"/>
        <w:rPr>
          <w:rFonts w:ascii="標楷體" w:eastAsia="標楷體" w:hAnsi="標楷體"/>
          <w:color w:val="000000"/>
        </w:rPr>
      </w:pPr>
      <w:r w:rsidRPr="007576F0">
        <w:rPr>
          <w:rFonts w:ascii="標楷體" w:eastAsia="標楷體" w:hAnsi="標楷體"/>
          <w:color w:val="000000"/>
        </w:rPr>
        <w:t>9.5.2.Albumin-based paclitaxel（如Abraxane）：(108/11/1)</w:t>
      </w:r>
    </w:p>
    <w:p w14:paraId="473A1726" w14:textId="77777777" w:rsidR="007576F0" w:rsidRPr="007576F0" w:rsidRDefault="007576F0" w:rsidP="007576F0">
      <w:pPr>
        <w:spacing w:line="300" w:lineRule="exact"/>
        <w:ind w:left="565" w:hanging="1"/>
        <w:rPr>
          <w:rFonts w:ascii="標楷體" w:eastAsia="標楷體" w:hAnsi="標楷體"/>
          <w:color w:val="000000"/>
        </w:rPr>
      </w:pPr>
      <w:r w:rsidRPr="007576F0">
        <w:rPr>
          <w:rFonts w:ascii="標楷體" w:eastAsia="標楷體" w:hAnsi="標楷體"/>
          <w:color w:val="000000"/>
        </w:rPr>
        <w:tab/>
        <w:t>限</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用gemcitabine，做為轉移性胰腺癌患者之第一線治療。</w:t>
      </w:r>
    </w:p>
    <w:p w14:paraId="1A96EE10"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 xml:space="preserve">9.6.Streptococcus </w:t>
      </w:r>
      <w:proofErr w:type="spellStart"/>
      <w:r w:rsidRPr="007576F0">
        <w:rPr>
          <w:rFonts w:ascii="標楷體" w:eastAsia="標楷體" w:hAnsi="標楷體"/>
          <w:color w:val="000000"/>
        </w:rPr>
        <w:t>pyrogene</w:t>
      </w:r>
      <w:proofErr w:type="spellEnd"/>
      <w:r w:rsidRPr="007576F0">
        <w:rPr>
          <w:rFonts w:ascii="標楷體" w:eastAsia="標楷體" w:hAnsi="標楷體"/>
          <w:color w:val="000000"/>
        </w:rPr>
        <w:t>(如</w:t>
      </w:r>
      <w:proofErr w:type="spellStart"/>
      <w:r w:rsidRPr="007576F0">
        <w:rPr>
          <w:rFonts w:ascii="標楷體" w:eastAsia="標楷體" w:hAnsi="標楷體"/>
          <w:color w:val="000000"/>
        </w:rPr>
        <w:t>Picibanil</w:t>
      </w:r>
      <w:proofErr w:type="spellEnd"/>
      <w:r w:rsidRPr="007576F0">
        <w:rPr>
          <w:rFonts w:ascii="標楷體" w:eastAsia="標楷體" w:hAnsi="標楷體"/>
          <w:color w:val="000000"/>
        </w:rPr>
        <w:t>)：</w:t>
      </w:r>
    </w:p>
    <w:p w14:paraId="2B37ACD0"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限惡性腫瘤患者患有惡性腹水，肋膜積水或心包膜積水時使用，需檢附病歷摘要。</w:t>
      </w:r>
    </w:p>
    <w:p w14:paraId="11ED689A"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9.7.（刪除）（87/7/1、94/1/1、109/10/1）</w:t>
      </w:r>
    </w:p>
    <w:p w14:paraId="5BD2A8E5" w14:textId="77777777" w:rsidR="007576F0" w:rsidRPr="007576F0" w:rsidRDefault="007576F0" w:rsidP="007576F0">
      <w:pPr>
        <w:spacing w:line="300" w:lineRule="exact"/>
        <w:ind w:left="672" w:hanging="386"/>
      </w:pPr>
      <w:r w:rsidRPr="007576F0">
        <w:rPr>
          <w:rFonts w:ascii="標楷體" w:eastAsia="標楷體" w:hAnsi="標楷體"/>
          <w:color w:val="000000"/>
        </w:rPr>
        <w:t>9.8.Toremifene（如</w:t>
      </w:r>
      <w:proofErr w:type="spellStart"/>
      <w:r w:rsidRPr="007576F0">
        <w:rPr>
          <w:rFonts w:ascii="標楷體" w:eastAsia="標楷體" w:hAnsi="標楷體"/>
          <w:color w:val="000000"/>
        </w:rPr>
        <w:t>Fareston</w:t>
      </w:r>
      <w:proofErr w:type="spellEnd"/>
      <w:r w:rsidRPr="007576F0">
        <w:rPr>
          <w:rFonts w:ascii="標楷體" w:eastAsia="標楷體" w:hAnsi="標楷體"/>
          <w:color w:val="000000"/>
        </w:rPr>
        <w:t>）：（88/6/1）</w:t>
      </w:r>
    </w:p>
    <w:p w14:paraId="3BA647F0"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限用於停經後，且女性荷爾蒙接受體(estrogen receptor)為陽性之轉移性乳癌病患。</w:t>
      </w:r>
    </w:p>
    <w:p w14:paraId="7522877E" w14:textId="77777777" w:rsidR="007576F0" w:rsidRPr="007576F0" w:rsidRDefault="007576F0" w:rsidP="007576F0">
      <w:pPr>
        <w:spacing w:line="300" w:lineRule="exact"/>
        <w:ind w:left="672" w:hanging="386"/>
      </w:pPr>
      <w:r w:rsidRPr="007576F0">
        <w:rPr>
          <w:rFonts w:ascii="標楷體" w:eastAsia="標楷體" w:hAnsi="標楷體"/>
          <w:color w:val="000000"/>
        </w:rPr>
        <w:t>9.9.Vinorelbine：(91/1/1、95/6/1、96/9/1、101/3/1</w:t>
      </w:r>
      <w:r w:rsidRPr="007576F0">
        <w:rPr>
          <w:rFonts w:ascii="新細明體" w:hAnsi="新細明體"/>
          <w:kern w:val="0"/>
          <w:szCs w:val="24"/>
        </w:rPr>
        <w:t>、</w:t>
      </w:r>
      <w:r w:rsidRPr="007576F0">
        <w:rPr>
          <w:rFonts w:ascii="標楷體" w:eastAsia="標楷體" w:hAnsi="標楷體"/>
          <w:kern w:val="0"/>
          <w:szCs w:val="24"/>
        </w:rPr>
        <w:t>106/11/1</w:t>
      </w:r>
      <w:r w:rsidRPr="007576F0">
        <w:rPr>
          <w:rFonts w:ascii="標楷體" w:eastAsia="標楷體" w:hAnsi="標楷體"/>
          <w:color w:val="000000"/>
        </w:rPr>
        <w:t>)</w:t>
      </w:r>
    </w:p>
    <w:p w14:paraId="48B4EDA6"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1.限用於：</w:t>
      </w:r>
    </w:p>
    <w:p w14:paraId="600DE354"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(1)晚期或無法手術切除之非小細胞肺癌及轉移性乳癌病患。</w:t>
      </w:r>
    </w:p>
    <w:p w14:paraId="0FD6E82F" w14:textId="77777777" w:rsidR="007576F0" w:rsidRPr="007576F0" w:rsidRDefault="007576F0" w:rsidP="007576F0">
      <w:pPr>
        <w:spacing w:line="300" w:lineRule="exact"/>
        <w:ind w:left="1049" w:hanging="341"/>
      </w:pPr>
      <w:r w:rsidRPr="007576F0">
        <w:rPr>
          <w:rFonts w:ascii="標楷體" w:eastAsia="標楷體" w:hAnsi="標楷體"/>
          <w:color w:val="000000"/>
        </w:rPr>
        <w:t>(2)病理分期第二期及第三期前半(</w:t>
      </w:r>
      <w:proofErr w:type="spellStart"/>
      <w:r w:rsidRPr="007576F0">
        <w:rPr>
          <w:rFonts w:ascii="標楷體" w:eastAsia="標楷體" w:hAnsi="標楷體"/>
          <w:color w:val="000000"/>
        </w:rPr>
        <w:t>stageII</w:t>
      </w:r>
      <w:proofErr w:type="spellEnd"/>
      <w:r w:rsidRPr="007576F0">
        <w:rPr>
          <w:rFonts w:ascii="標楷體" w:eastAsia="標楷體" w:hAnsi="標楷體"/>
          <w:color w:val="000000"/>
        </w:rPr>
        <w:t xml:space="preserve"> &amp; </w:t>
      </w:r>
      <w:proofErr w:type="spellStart"/>
      <w:r w:rsidRPr="007576F0">
        <w:rPr>
          <w:rFonts w:ascii="標楷體" w:eastAsia="標楷體" w:hAnsi="標楷體"/>
          <w:color w:val="000000"/>
        </w:rPr>
        <w:t>stageIIIA</w:t>
      </w:r>
      <w:proofErr w:type="spellEnd"/>
      <w:r w:rsidRPr="007576F0">
        <w:rPr>
          <w:rFonts w:ascii="標楷體" w:eastAsia="標楷體" w:hAnsi="標楷體"/>
          <w:color w:val="000000"/>
        </w:rPr>
        <w:t>)非小細胞肺癌於接受根治性手術後與</w:t>
      </w:r>
      <w:proofErr w:type="gramStart"/>
      <w:r w:rsidRPr="007576F0">
        <w:rPr>
          <w:rFonts w:ascii="標楷體" w:eastAsia="標楷體" w:hAnsi="標楷體"/>
          <w:color w:val="000000"/>
        </w:rPr>
        <w:t>鉑金類藥品併</w:t>
      </w:r>
      <w:proofErr w:type="gramEnd"/>
      <w:r w:rsidRPr="007576F0">
        <w:rPr>
          <w:rFonts w:ascii="標楷體" w:eastAsia="標楷體" w:hAnsi="標楷體"/>
          <w:color w:val="000000"/>
        </w:rPr>
        <w:t>用之輔助治療，</w:t>
      </w:r>
      <w:r w:rsidRPr="007576F0">
        <w:rPr>
          <w:rFonts w:ascii="標楷體" w:eastAsia="標楷體" w:hAnsi="標楷體"/>
          <w:kern w:val="0"/>
          <w:szCs w:val="24"/>
        </w:rPr>
        <w:t>最多可使用4療程(106/11/1)。</w:t>
      </w:r>
    </w:p>
    <w:p w14:paraId="4295FE4F"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2.本成分之口服劑型與注射劑型不得</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0F49EF20" w14:textId="77777777" w:rsidR="007576F0" w:rsidRPr="007576F0" w:rsidRDefault="007576F0" w:rsidP="007576F0">
      <w:pPr>
        <w:spacing w:line="300" w:lineRule="exact"/>
        <w:ind w:left="672" w:hanging="386"/>
        <w:rPr>
          <w:rFonts w:ascii="標楷體" w:eastAsia="標楷體" w:hAnsi="標楷體"/>
          <w:color w:val="000000"/>
        </w:rPr>
      </w:pPr>
      <w:bookmarkStart w:id="33" w:name="_Hlk75364262"/>
      <w:r w:rsidRPr="007576F0">
        <w:rPr>
          <w:rFonts w:ascii="標楷體" w:eastAsia="標楷體" w:hAnsi="標楷體"/>
          <w:color w:val="000000"/>
          <w:szCs w:val="24"/>
        </w:rPr>
        <w:t>9.10.</w:t>
      </w:r>
      <w:r w:rsidRPr="007576F0">
        <w:rPr>
          <w:rFonts w:ascii="標楷體" w:eastAsia="標楷體" w:hAnsi="標楷體"/>
          <w:color w:val="000000"/>
        </w:rPr>
        <w:t>Oxaliplatin</w:t>
      </w:r>
      <w:r w:rsidRPr="007576F0">
        <w:rPr>
          <w:rFonts w:ascii="標楷體" w:eastAsia="標楷體" w:hAnsi="標楷體"/>
          <w:color w:val="000000"/>
          <w:szCs w:val="24"/>
        </w:rPr>
        <w:t>：（需符合藥品許可證登載之適應症）</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89/7/1、91/10/1、93/8/1、</w:t>
      </w:r>
      <w:r w:rsidRPr="007576F0">
        <w:rPr>
          <w:rFonts w:ascii="標楷體" w:eastAsia="標楷體" w:hAnsi="標楷體"/>
          <w:color w:val="000000"/>
          <w:szCs w:val="24"/>
        </w:rPr>
        <w:lastRenderedPageBreak/>
        <w:t>98/2/1、98/3/1、98/7/1、102/9/1、102/12/1、109/12/1、110/5/1、110/6/1、110/7/1、111/11/1、113/4/1、113/6/1</w:t>
      </w:r>
      <w:r w:rsidRPr="007576F0">
        <w:rPr>
          <w:rFonts w:ascii="標楷體" w:eastAsia="標楷體" w:hAnsi="標楷體" w:hint="eastAsia"/>
          <w:szCs w:val="24"/>
        </w:rPr>
        <w:t>、115/2/1</w:t>
      </w:r>
      <w:r w:rsidRPr="007576F0">
        <w:rPr>
          <w:rFonts w:ascii="標楷體" w:eastAsia="標楷體" w:hAnsi="標楷體"/>
          <w:color w:val="000000"/>
          <w:szCs w:val="24"/>
        </w:rPr>
        <w:t>)</w:t>
      </w:r>
    </w:p>
    <w:p w14:paraId="22674A9C" w14:textId="77777777" w:rsidR="007576F0" w:rsidRPr="007576F0" w:rsidRDefault="007576F0" w:rsidP="007576F0">
      <w:pPr>
        <w:autoSpaceDE w:val="0"/>
        <w:spacing w:line="300" w:lineRule="exact"/>
        <w:ind w:left="850" w:hanging="284"/>
        <w:rPr>
          <w:rFonts w:ascii="標楷體" w:eastAsia="標楷體" w:hAnsi="標楷體"/>
          <w:color w:val="000000"/>
        </w:rPr>
      </w:pPr>
      <w:bookmarkStart w:id="34" w:name="_Hlk219901421"/>
      <w:r w:rsidRPr="007576F0">
        <w:rPr>
          <w:rFonts w:ascii="標楷體" w:eastAsia="標楷體" w:hAnsi="標楷體"/>
          <w:color w:val="000000"/>
        </w:rPr>
        <w:t>1.和5-FU和folinic acid</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6FA60E0C" w14:textId="77777777" w:rsidR="007576F0" w:rsidRPr="007576F0" w:rsidRDefault="007576F0" w:rsidP="007576F0">
      <w:pPr>
        <w:autoSpaceDE w:val="0"/>
        <w:spacing w:line="300" w:lineRule="exact"/>
        <w:ind w:left="993" w:hanging="284"/>
        <w:rPr>
          <w:rFonts w:ascii="標楷體" w:eastAsia="標楷體" w:hAnsi="標楷體"/>
          <w:color w:val="000000"/>
        </w:rPr>
      </w:pPr>
      <w:r w:rsidRPr="007576F0">
        <w:rPr>
          <w:rFonts w:ascii="標楷體" w:eastAsia="標楷體" w:hAnsi="標楷體"/>
          <w:color w:val="000000"/>
        </w:rPr>
        <w:t>(1)治療轉移性結腸直腸癌，惟若再加用irinotecan (如</w:t>
      </w:r>
      <w:proofErr w:type="spellStart"/>
      <w:r w:rsidRPr="007576F0">
        <w:rPr>
          <w:rFonts w:ascii="標楷體" w:eastAsia="標楷體" w:hAnsi="標楷體"/>
          <w:color w:val="000000"/>
        </w:rPr>
        <w:t>Campto</w:t>
      </w:r>
      <w:proofErr w:type="spellEnd"/>
      <w:r w:rsidRPr="007576F0">
        <w:rPr>
          <w:rFonts w:ascii="標楷體" w:eastAsia="標楷體" w:hAnsi="標楷體"/>
          <w:color w:val="000000"/>
        </w:rPr>
        <w:t>)則不予給付。(91/10/1)</w:t>
      </w:r>
    </w:p>
    <w:p w14:paraId="5075D839" w14:textId="77777777" w:rsidR="007576F0" w:rsidRPr="007576F0" w:rsidRDefault="007576F0" w:rsidP="007576F0">
      <w:pPr>
        <w:autoSpaceDE w:val="0"/>
        <w:spacing w:line="300" w:lineRule="exact"/>
        <w:ind w:left="993" w:hanging="284"/>
        <w:rPr>
          <w:rFonts w:ascii="標楷體" w:eastAsia="標楷體" w:hAnsi="標楷體"/>
          <w:color w:val="000000"/>
        </w:rPr>
      </w:pPr>
      <w:r w:rsidRPr="007576F0">
        <w:rPr>
          <w:rFonts w:ascii="標楷體" w:eastAsia="標楷體" w:hAnsi="標楷體"/>
          <w:color w:val="000000"/>
        </w:rPr>
        <w:t>(2)作為第三期結腸癌(Duke`s C) 原發腫瘤完全切除手術後的輔助療法。(98/2/1)</w:t>
      </w:r>
    </w:p>
    <w:p w14:paraId="53F4D1E8" w14:textId="77777777" w:rsidR="007576F0" w:rsidRPr="007576F0" w:rsidRDefault="007576F0" w:rsidP="007576F0">
      <w:pPr>
        <w:autoSpaceDE w:val="0"/>
        <w:spacing w:line="300" w:lineRule="exact"/>
        <w:ind w:left="850" w:hanging="284"/>
        <w:rPr>
          <w:rFonts w:ascii="標楷體" w:eastAsia="標楷體" w:hAnsi="標楷體"/>
          <w:color w:val="000000"/>
        </w:rPr>
      </w:pPr>
      <w:r w:rsidRPr="007576F0">
        <w:rPr>
          <w:rFonts w:ascii="標楷體" w:eastAsia="標楷體" w:hAnsi="標楷體"/>
          <w:color w:val="000000"/>
        </w:rPr>
        <w:t>2.與fluoropyrimidine類藥物(如capecitabine、5-FU、UFUR，但不包含TS-1)</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用，可用於局部晚期及復發/轉移性胃癌之治療。(須依藥品許可證登載之適應症使用)。(98/2/1、98/3/1、98/7/1、102/9/1、102/12/1、109/12/1</w:t>
      </w:r>
      <w:proofErr w:type="gramStart"/>
      <w:r w:rsidRPr="007576F0">
        <w:rPr>
          <w:rFonts w:ascii="標楷體" w:eastAsia="標楷體" w:hAnsi="標楷體"/>
          <w:color w:val="000000"/>
        </w:rPr>
        <w:t>）</w:t>
      </w:r>
      <w:proofErr w:type="gramEnd"/>
    </w:p>
    <w:p w14:paraId="72258AE5" w14:textId="77777777" w:rsidR="007576F0" w:rsidRPr="007576F0" w:rsidRDefault="007576F0" w:rsidP="007576F0">
      <w:pPr>
        <w:autoSpaceDE w:val="0"/>
        <w:spacing w:line="300" w:lineRule="exact"/>
        <w:ind w:left="850" w:hanging="284"/>
        <w:rPr>
          <w:rFonts w:ascii="標楷體" w:eastAsia="標楷體" w:hAnsi="標楷體"/>
          <w:color w:val="000000"/>
        </w:rPr>
      </w:pPr>
      <w:r w:rsidRPr="007576F0">
        <w:rPr>
          <w:rFonts w:ascii="標楷體" w:eastAsia="標楷體" w:hAnsi="標楷體"/>
          <w:color w:val="000000"/>
        </w:rPr>
        <w:t>3.與5-fluorouracil、leucovorin及irinotecan</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用(FOLFIRINOX)，作為轉移性胰臟癌之第一線治療。(110/5/1、110/6/1、110/7/1、111/11/1)</w:t>
      </w:r>
    </w:p>
    <w:p w14:paraId="254E5653" w14:textId="77777777" w:rsidR="007576F0" w:rsidRPr="007576F0" w:rsidRDefault="007576F0" w:rsidP="007576F0">
      <w:pPr>
        <w:autoSpaceDE w:val="0"/>
        <w:spacing w:line="300" w:lineRule="exact"/>
        <w:ind w:left="850" w:hanging="284"/>
        <w:rPr>
          <w:rFonts w:ascii="標楷體" w:eastAsia="標楷體" w:hAnsi="標楷體"/>
          <w:color w:val="000000"/>
        </w:rPr>
      </w:pPr>
      <w:r w:rsidRPr="007576F0">
        <w:rPr>
          <w:rFonts w:ascii="標楷體" w:eastAsia="標楷體" w:hAnsi="標楷體"/>
          <w:color w:val="000000"/>
        </w:rPr>
        <w:t>4.與nivolumab及fluoropyrimidine（5-FU或capecitabine）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用於第一線治療晚期或轉移性且不具有HER2過度表現的胃癌病人，病人需符合免疫檢查點抑制劑之藥品給付規定。(113/4/1、113/6/1</w:t>
      </w:r>
      <w:r w:rsidRPr="007576F0">
        <w:rPr>
          <w:rFonts w:ascii="標楷體" w:eastAsia="標楷體" w:hAnsi="標楷體" w:hint="eastAsia"/>
          <w:color w:val="000000"/>
        </w:rPr>
        <w:t>、115/2/1</w:t>
      </w:r>
      <w:r w:rsidRPr="007576F0">
        <w:rPr>
          <w:rFonts w:ascii="標楷體" w:eastAsia="標楷體" w:hAnsi="標楷體"/>
          <w:color w:val="000000"/>
        </w:rPr>
        <w:t>)</w:t>
      </w:r>
    </w:p>
    <w:p w14:paraId="49526D9E" w14:textId="77777777" w:rsidR="007576F0" w:rsidRPr="007576F0" w:rsidRDefault="007576F0" w:rsidP="007576F0">
      <w:pPr>
        <w:autoSpaceDE w:val="0"/>
        <w:spacing w:line="300" w:lineRule="exact"/>
        <w:ind w:left="850" w:hanging="284"/>
        <w:rPr>
          <w:rFonts w:ascii="標楷體" w:eastAsia="標楷體" w:hAnsi="標楷體"/>
          <w:color w:val="000000"/>
        </w:rPr>
      </w:pPr>
      <w:r w:rsidRPr="007576F0">
        <w:rPr>
          <w:rFonts w:ascii="標楷體" w:eastAsia="標楷體" w:hAnsi="標楷體" w:hint="eastAsia"/>
          <w:color w:val="000000"/>
        </w:rPr>
        <w:t>5.</w:t>
      </w:r>
      <w:r w:rsidRPr="007576F0">
        <w:rPr>
          <w:rFonts w:ascii="標楷體" w:eastAsia="標楷體" w:hAnsi="標楷體"/>
          <w:color w:val="000000"/>
        </w:rPr>
        <w:t>與nivolumab及fluoropyrimidine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w:t>
      </w:r>
      <w:r w:rsidRPr="007576F0">
        <w:rPr>
          <w:rFonts w:ascii="標楷體" w:eastAsia="標楷體" w:hAnsi="標楷體" w:hint="eastAsia"/>
          <w:color w:val="000000"/>
        </w:rPr>
        <w:t>無法接受化學放射性治療或手術切除等治癒性治療之晚期或轉移性</w:t>
      </w:r>
      <w:proofErr w:type="gramStart"/>
      <w:r w:rsidRPr="007576F0">
        <w:rPr>
          <w:rFonts w:ascii="標楷體" w:eastAsia="標楷體" w:hAnsi="標楷體" w:hint="eastAsia"/>
          <w:color w:val="000000"/>
        </w:rPr>
        <w:t>食道鱗狀細胞</w:t>
      </w:r>
      <w:proofErr w:type="gramEnd"/>
      <w:r w:rsidRPr="007576F0">
        <w:rPr>
          <w:rFonts w:ascii="標楷體" w:eastAsia="標楷體" w:hAnsi="標楷體" w:hint="eastAsia"/>
          <w:color w:val="000000"/>
        </w:rPr>
        <w:t>癌成人病人的第一線治療</w:t>
      </w:r>
      <w:r w:rsidRPr="007576F0">
        <w:rPr>
          <w:rFonts w:ascii="標楷體" w:eastAsia="標楷體" w:hAnsi="標楷體"/>
          <w:color w:val="000000"/>
        </w:rPr>
        <w:t>，病人需符合免疫檢查點抑制劑之藥品給付規定。(</w:t>
      </w:r>
      <w:r w:rsidRPr="007576F0">
        <w:rPr>
          <w:rFonts w:ascii="標楷體" w:eastAsia="標楷體" w:hAnsi="標楷體" w:hint="eastAsia"/>
          <w:color w:val="000000"/>
        </w:rPr>
        <w:t>115/2/1</w:t>
      </w:r>
      <w:r w:rsidRPr="007576F0">
        <w:rPr>
          <w:rFonts w:ascii="標楷體" w:eastAsia="標楷體" w:hAnsi="標楷體"/>
          <w:color w:val="000000"/>
        </w:rPr>
        <w:t>)</w:t>
      </w:r>
      <w:bookmarkEnd w:id="34"/>
    </w:p>
    <w:bookmarkEnd w:id="33"/>
    <w:p w14:paraId="7A441A77" w14:textId="77777777" w:rsidR="007576F0" w:rsidRPr="007576F0" w:rsidRDefault="007576F0" w:rsidP="007576F0">
      <w:pPr>
        <w:spacing w:line="300" w:lineRule="exact"/>
        <w:ind w:left="567" w:hanging="244"/>
        <w:rPr>
          <w:rFonts w:ascii="標楷體" w:eastAsia="標楷體" w:hAnsi="標楷體"/>
          <w:color w:val="000000"/>
        </w:rPr>
      </w:pPr>
      <w:r w:rsidRPr="007576F0">
        <w:rPr>
          <w:rFonts w:ascii="標楷體" w:eastAsia="標楷體" w:hAnsi="標楷體"/>
          <w:color w:val="000000"/>
        </w:rPr>
        <w:t>9.11.Uracil-Tegafur：(如</w:t>
      </w:r>
      <w:proofErr w:type="spellStart"/>
      <w:r w:rsidRPr="007576F0">
        <w:rPr>
          <w:rFonts w:ascii="標楷體" w:eastAsia="標楷體" w:hAnsi="標楷體"/>
          <w:color w:val="000000"/>
        </w:rPr>
        <w:t>Ufur</w:t>
      </w:r>
      <w:proofErr w:type="spellEnd"/>
      <w:r w:rsidRPr="007576F0">
        <w:rPr>
          <w:rFonts w:ascii="標楷體" w:eastAsia="標楷體" w:hAnsi="標楷體"/>
          <w:color w:val="000000"/>
        </w:rPr>
        <w:t>)(100/1/1)</w:t>
      </w:r>
    </w:p>
    <w:p w14:paraId="21B83FCB"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1.限轉移性胃癌、轉移性直腸癌、轉移性結腸癌、轉移性乳癌之病患使用（89/10/1、97/12/1）。</w:t>
      </w:r>
    </w:p>
    <w:p w14:paraId="34740C43"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2.頭頸部</w:t>
      </w:r>
      <w:proofErr w:type="gramStart"/>
      <w:r w:rsidRPr="007576F0">
        <w:rPr>
          <w:rFonts w:ascii="標楷體" w:eastAsia="標楷體" w:hAnsi="標楷體"/>
          <w:color w:val="000000"/>
        </w:rPr>
        <w:t>鱗狀上皮癌</w:t>
      </w:r>
      <w:proofErr w:type="gramEnd"/>
      <w:r w:rsidRPr="007576F0">
        <w:rPr>
          <w:rFonts w:ascii="標楷體" w:eastAsia="標楷體" w:hAnsi="標楷體"/>
          <w:color w:val="000000"/>
        </w:rPr>
        <w:t>(93/4/1、98/3/1、99/10/1)。</w:t>
      </w:r>
    </w:p>
    <w:p w14:paraId="6307450C"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3.與cisplatin</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用治療轉移及末期肺癌。</w:t>
      </w:r>
    </w:p>
    <w:p w14:paraId="28F0CDFA"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4.直腸癌、結腸</w:t>
      </w:r>
      <w:proofErr w:type="gramStart"/>
      <w:r w:rsidRPr="007576F0">
        <w:rPr>
          <w:rFonts w:ascii="標楷體" w:eastAsia="標楷體" w:hAnsi="標楷體"/>
          <w:color w:val="000000"/>
        </w:rPr>
        <w:t>癌第Ⅱ、Ⅲ期</w:t>
      </w:r>
      <w:proofErr w:type="gramEnd"/>
      <w:r w:rsidRPr="007576F0">
        <w:rPr>
          <w:rFonts w:ascii="標楷體" w:eastAsia="標楷體" w:hAnsi="標楷體"/>
          <w:color w:val="000000"/>
        </w:rPr>
        <w:t>患者之術後輔助性治療，且使用期限不得超過2年(94/10/1、97/12/1)</w:t>
      </w:r>
    </w:p>
    <w:p w14:paraId="391AC9E3"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5.用於病理分期為T2且腫瘤</w:t>
      </w:r>
      <w:proofErr w:type="gramStart"/>
      <w:r w:rsidRPr="007576F0">
        <w:rPr>
          <w:rFonts w:ascii="標楷體" w:eastAsia="標楷體" w:hAnsi="標楷體"/>
          <w:color w:val="000000"/>
        </w:rPr>
        <w:t>≧</w:t>
      </w:r>
      <w:proofErr w:type="gramEnd"/>
      <w:r w:rsidRPr="007576F0">
        <w:rPr>
          <w:rFonts w:ascii="標楷體" w:eastAsia="標楷體" w:hAnsi="標楷體"/>
          <w:color w:val="000000"/>
        </w:rPr>
        <w:t>3cm之肺腺癌病人，作為手術後輔助治療，使用期限以二年為限。(100/1/1)</w:t>
      </w:r>
    </w:p>
    <w:p w14:paraId="53BFC9AD" w14:textId="77777777" w:rsidR="007576F0" w:rsidRPr="007576F0" w:rsidRDefault="007576F0" w:rsidP="007576F0">
      <w:pPr>
        <w:spacing w:line="300" w:lineRule="exact"/>
        <w:ind w:left="567" w:hanging="245"/>
        <w:rPr>
          <w:rFonts w:ascii="標楷體" w:eastAsia="標楷體" w:hAnsi="標楷體"/>
          <w:color w:val="000000"/>
        </w:rPr>
      </w:pPr>
      <w:bookmarkStart w:id="35" w:name="_Hlk77950822"/>
      <w:bookmarkStart w:id="36" w:name="_Hlk70079694"/>
      <w:r w:rsidRPr="007576F0">
        <w:rPr>
          <w:rFonts w:ascii="標楷體" w:eastAsia="標楷體" w:hAnsi="標楷體"/>
          <w:color w:val="000000"/>
        </w:rPr>
        <w:t>9.12.Irinotecan(90/10/1、107/8/1、110/5/1、110/7/1、110/8/1、112/2/1</w:t>
      </w:r>
      <w:r w:rsidRPr="007576F0">
        <w:rPr>
          <w:rFonts w:ascii="標楷體" w:eastAsia="標楷體" w:hAnsi="標楷體" w:hint="eastAsia"/>
          <w:color w:val="000000"/>
        </w:rPr>
        <w:t>、114/12/1</w:t>
      </w:r>
      <w:r w:rsidRPr="007576F0">
        <w:rPr>
          <w:rFonts w:ascii="標楷體" w:eastAsia="標楷體" w:hAnsi="標楷體"/>
          <w:color w:val="000000"/>
        </w:rPr>
        <w:t>)</w:t>
      </w:r>
    </w:p>
    <w:p w14:paraId="7FA8E53C" w14:textId="77777777" w:rsidR="007576F0" w:rsidRPr="007576F0" w:rsidRDefault="007576F0" w:rsidP="007576F0">
      <w:pPr>
        <w:spacing w:line="300" w:lineRule="exact"/>
        <w:ind w:left="567" w:hanging="245"/>
      </w:pPr>
      <w:r w:rsidRPr="007576F0">
        <w:rPr>
          <w:rFonts w:ascii="標楷體" w:eastAsia="標楷體" w:hAnsi="標楷體"/>
          <w:color w:val="000000"/>
        </w:rPr>
        <w:t>9.12.1.Irinotecan(如</w:t>
      </w:r>
      <w:proofErr w:type="spellStart"/>
      <w:r w:rsidRPr="007576F0">
        <w:rPr>
          <w:rFonts w:ascii="標楷體" w:eastAsia="標楷體" w:hAnsi="標楷體"/>
          <w:color w:val="000000"/>
        </w:rPr>
        <w:t>Campto</w:t>
      </w:r>
      <w:proofErr w:type="spellEnd"/>
      <w:r w:rsidRPr="007576F0">
        <w:rPr>
          <w:rFonts w:ascii="標楷體" w:eastAsia="標楷體" w:hAnsi="標楷體"/>
          <w:color w:val="000000"/>
        </w:rPr>
        <w:t xml:space="preserve"> injection)：（需符合藥品許可證登載之適應症）(90/10/1、93/8/1、110/5/1、110/7/1、110/8/1、112/2/1)</w:t>
      </w:r>
    </w:p>
    <w:p w14:paraId="0D6F2483" w14:textId="77777777" w:rsidR="007576F0" w:rsidRPr="007576F0" w:rsidRDefault="007576F0" w:rsidP="007576F0">
      <w:pPr>
        <w:spacing w:line="300" w:lineRule="exact"/>
        <w:ind w:left="238" w:hanging="245"/>
        <w:rPr>
          <w:rFonts w:ascii="標楷體" w:eastAsia="標楷體" w:hAnsi="標楷體"/>
          <w:color w:val="000000"/>
        </w:rPr>
      </w:pPr>
      <w:r w:rsidRPr="007576F0">
        <w:rPr>
          <w:rFonts w:ascii="標楷體" w:eastAsia="標楷體" w:hAnsi="標楷體"/>
          <w:color w:val="000000"/>
        </w:rPr>
        <w:t>     1.限轉移性大腸直腸癌之第一線治療藥物:</w:t>
      </w:r>
    </w:p>
    <w:p w14:paraId="7BD876D9" w14:textId="77777777" w:rsidR="007576F0" w:rsidRPr="007576F0" w:rsidRDefault="007576F0" w:rsidP="007576F0">
      <w:pPr>
        <w:spacing w:line="300" w:lineRule="exact"/>
        <w:ind w:left="851" w:hanging="245"/>
      </w:pPr>
      <w:r w:rsidRPr="007576F0">
        <w:rPr>
          <w:rFonts w:ascii="標楷體" w:eastAsia="標楷體" w:hAnsi="標楷體"/>
          <w:color w:val="000000"/>
        </w:rPr>
        <w:t>(1)與5-FU及</w:t>
      </w:r>
      <w:r w:rsidRPr="007576F0">
        <w:rPr>
          <w:rFonts w:ascii="標楷體" w:eastAsia="標楷體" w:hAnsi="標楷體"/>
        </w:rPr>
        <w:t>folinic acid合併，使</w:t>
      </w:r>
      <w:r w:rsidRPr="007576F0">
        <w:rPr>
          <w:rFonts w:ascii="標楷體" w:eastAsia="標楷體" w:hAnsi="標楷體"/>
          <w:color w:val="000000"/>
        </w:rPr>
        <w:t>用於未曾接受過化學治療之患者。</w:t>
      </w:r>
    </w:p>
    <w:p w14:paraId="3A546B0D" w14:textId="77777777" w:rsidR="007576F0" w:rsidRPr="007576F0" w:rsidRDefault="007576F0" w:rsidP="007576F0">
      <w:pPr>
        <w:spacing w:line="300" w:lineRule="exact"/>
        <w:ind w:left="851" w:hanging="245"/>
        <w:rPr>
          <w:rFonts w:ascii="標楷體" w:eastAsia="標楷體" w:hAnsi="標楷體"/>
          <w:color w:val="000000"/>
        </w:rPr>
      </w:pPr>
      <w:r w:rsidRPr="007576F0">
        <w:rPr>
          <w:rFonts w:ascii="標楷體" w:eastAsia="標楷體" w:hAnsi="標楷體"/>
          <w:color w:val="000000"/>
        </w:rPr>
        <w:t>(2)單獨使用於曾接受5-FU療程治療無效之患者。</w:t>
      </w:r>
    </w:p>
    <w:p w14:paraId="539BB441" w14:textId="77777777" w:rsidR="007576F0" w:rsidRPr="007576F0" w:rsidRDefault="007576F0" w:rsidP="007576F0">
      <w:pPr>
        <w:spacing w:line="300" w:lineRule="exact"/>
        <w:ind w:left="812" w:hanging="245"/>
        <w:rPr>
          <w:rFonts w:ascii="標楷體" w:eastAsia="標楷體" w:hAnsi="標楷體"/>
          <w:color w:val="000000"/>
        </w:rPr>
      </w:pPr>
      <w:r w:rsidRPr="007576F0">
        <w:rPr>
          <w:rFonts w:ascii="標楷體" w:eastAsia="標楷體" w:hAnsi="標楷體"/>
          <w:color w:val="000000"/>
        </w:rPr>
        <w:t>2.與5-fluorouracil、leucovorin及oxaliplatin</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用(FOLFIRINOX)，做為轉移性胰臟癌之第一線治療(限用</w:t>
      </w:r>
      <w:proofErr w:type="spellStart"/>
      <w:r w:rsidRPr="007576F0">
        <w:rPr>
          <w:rFonts w:ascii="標楷體" w:eastAsia="標楷體" w:hAnsi="標楷體"/>
          <w:color w:val="000000"/>
        </w:rPr>
        <w:t>Irino</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Irinotel</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Campto</w:t>
      </w:r>
      <w:proofErr w:type="spellEnd"/>
      <w:r w:rsidRPr="007576F0">
        <w:rPr>
          <w:rFonts w:ascii="標楷體" w:eastAsia="標楷體" w:hAnsi="標楷體"/>
          <w:color w:val="000000"/>
        </w:rPr>
        <w:t>、Irinotecan Injection Concentrate、</w:t>
      </w:r>
      <w:proofErr w:type="spellStart"/>
      <w:r w:rsidRPr="007576F0">
        <w:rPr>
          <w:rFonts w:ascii="標楷體" w:eastAsia="標楷體" w:hAnsi="標楷體"/>
          <w:color w:val="000000"/>
        </w:rPr>
        <w:t>Irican</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Innocan</w:t>
      </w:r>
      <w:proofErr w:type="spellEnd"/>
      <w:r w:rsidRPr="007576F0">
        <w:rPr>
          <w:rFonts w:ascii="標楷體" w:eastAsia="標楷體" w:hAnsi="標楷體"/>
          <w:color w:val="000000"/>
        </w:rPr>
        <w:t>、Irinotecan Injection)。(110/5/1、110/7/1、110/8/1、112/2/1)</w:t>
      </w:r>
    </w:p>
    <w:p w14:paraId="175EF5FC" w14:textId="77777777" w:rsidR="007576F0" w:rsidRPr="007576F0" w:rsidRDefault="007576F0" w:rsidP="007576F0">
      <w:pPr>
        <w:spacing w:line="300" w:lineRule="exact"/>
        <w:ind w:left="567" w:hanging="244"/>
        <w:rPr>
          <w:rFonts w:ascii="標楷體" w:eastAsia="標楷體" w:hAnsi="標楷體"/>
          <w:color w:val="000000"/>
        </w:rPr>
      </w:pPr>
      <w:r w:rsidRPr="007576F0">
        <w:rPr>
          <w:rFonts w:ascii="標楷體" w:eastAsia="標楷體" w:hAnsi="標楷體"/>
          <w:color w:val="000000"/>
        </w:rPr>
        <w:t>9.12.2.</w:t>
      </w:r>
      <w:bookmarkEnd w:id="35"/>
      <w:r w:rsidRPr="007576F0">
        <w:rPr>
          <w:rFonts w:ascii="標楷體" w:eastAsia="標楷體" w:hAnsi="標楷體"/>
          <w:color w:val="000000"/>
        </w:rPr>
        <w:t>Irinotecan微脂體注射劑(如</w:t>
      </w:r>
      <w:proofErr w:type="spellStart"/>
      <w:r w:rsidRPr="007576F0">
        <w:rPr>
          <w:rFonts w:ascii="標楷體" w:eastAsia="標楷體" w:hAnsi="標楷體"/>
          <w:color w:val="000000"/>
        </w:rPr>
        <w:t>Onivyde</w:t>
      </w:r>
      <w:proofErr w:type="spellEnd"/>
      <w:r w:rsidRPr="007576F0">
        <w:rPr>
          <w:rFonts w:ascii="標楷體" w:eastAsia="標楷體" w:hAnsi="標楷體"/>
          <w:color w:val="000000"/>
        </w:rPr>
        <w:t>)：(107/8/1</w:t>
      </w:r>
      <w:r w:rsidRPr="007576F0">
        <w:rPr>
          <w:rFonts w:ascii="標楷體" w:eastAsia="標楷體" w:hAnsi="標楷體" w:hint="eastAsia"/>
          <w:color w:val="000000"/>
        </w:rPr>
        <w:t>、114/12/1</w:t>
      </w:r>
      <w:r w:rsidRPr="007576F0">
        <w:rPr>
          <w:rFonts w:ascii="標楷體" w:eastAsia="標楷體" w:hAnsi="標楷體"/>
          <w:color w:val="000000"/>
        </w:rPr>
        <w:t>)</w:t>
      </w:r>
    </w:p>
    <w:p w14:paraId="310F8C41" w14:textId="77777777" w:rsidR="007576F0" w:rsidRPr="007576F0" w:rsidRDefault="007576F0" w:rsidP="007576F0">
      <w:pPr>
        <w:spacing w:line="300" w:lineRule="exact"/>
        <w:ind w:left="851" w:hanging="244"/>
        <w:rPr>
          <w:rFonts w:ascii="標楷體" w:eastAsia="標楷體" w:hAnsi="標楷體"/>
          <w:color w:val="000000"/>
        </w:rPr>
      </w:pPr>
      <w:r w:rsidRPr="007576F0">
        <w:rPr>
          <w:rFonts w:ascii="標楷體" w:eastAsia="標楷體" w:hAnsi="標楷體"/>
          <w:color w:val="000000"/>
        </w:rPr>
        <w:t>1.與5-FU及leucovorin合併使用於曾接受過gemcitabine治療後復發或惡化之轉移性胰腺癌。(107/8/1)</w:t>
      </w:r>
    </w:p>
    <w:p w14:paraId="3C846CEF" w14:textId="77777777" w:rsidR="007576F0" w:rsidRPr="007576F0" w:rsidRDefault="007576F0" w:rsidP="007576F0">
      <w:pPr>
        <w:spacing w:line="300" w:lineRule="exact"/>
        <w:ind w:left="851" w:hanging="244"/>
        <w:rPr>
          <w:rFonts w:ascii="標楷體" w:eastAsia="標楷體" w:hAnsi="標楷體"/>
          <w:color w:val="000000"/>
        </w:rPr>
      </w:pPr>
      <w:r w:rsidRPr="007576F0">
        <w:rPr>
          <w:rFonts w:ascii="標楷體" w:eastAsia="標楷體" w:hAnsi="標楷體" w:hint="eastAsia"/>
          <w:color w:val="000000"/>
        </w:rPr>
        <w:t>2.與o</w:t>
      </w:r>
      <w:r w:rsidRPr="007576F0">
        <w:rPr>
          <w:rFonts w:ascii="標楷體" w:eastAsia="標楷體" w:hAnsi="標楷體"/>
          <w:color w:val="000000"/>
        </w:rPr>
        <w:t>xaliplatin</w:t>
      </w:r>
      <w:r w:rsidRPr="007576F0">
        <w:rPr>
          <w:rFonts w:ascii="標楷體" w:eastAsia="標楷體" w:hAnsi="標楷體" w:hint="eastAsia"/>
          <w:color w:val="000000"/>
        </w:rPr>
        <w:t>、5</w:t>
      </w:r>
      <w:r w:rsidRPr="007576F0">
        <w:rPr>
          <w:rFonts w:ascii="標楷體" w:eastAsia="標楷體" w:hAnsi="標楷體"/>
          <w:color w:val="000000"/>
        </w:rPr>
        <w:t>-FU</w:t>
      </w:r>
      <w:r w:rsidRPr="007576F0">
        <w:rPr>
          <w:rFonts w:ascii="標楷體" w:eastAsia="標楷體" w:hAnsi="標楷體" w:hint="eastAsia"/>
          <w:color w:val="000000"/>
        </w:rPr>
        <w:t>和l</w:t>
      </w:r>
      <w:r w:rsidRPr="007576F0">
        <w:rPr>
          <w:rFonts w:ascii="標楷體" w:eastAsia="標楷體" w:hAnsi="標楷體"/>
          <w:color w:val="000000"/>
        </w:rPr>
        <w:t>eucovorin</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用，作為轉移性胰腺癌成人病人第一線治療。</w:t>
      </w:r>
      <w:r w:rsidRPr="007576F0">
        <w:rPr>
          <w:rFonts w:ascii="標楷體" w:eastAsia="標楷體" w:hAnsi="標楷體"/>
          <w:color w:val="000000"/>
        </w:rPr>
        <w:t>(</w:t>
      </w:r>
      <w:r w:rsidRPr="007576F0">
        <w:rPr>
          <w:rFonts w:ascii="標楷體" w:eastAsia="標楷體" w:hAnsi="標楷體" w:hint="eastAsia"/>
          <w:color w:val="000000"/>
        </w:rPr>
        <w:t>114/12/1</w:t>
      </w:r>
      <w:r w:rsidRPr="007576F0">
        <w:rPr>
          <w:rFonts w:ascii="標楷體" w:eastAsia="標楷體" w:hAnsi="標楷體"/>
          <w:color w:val="000000"/>
        </w:rPr>
        <w:t>)</w:t>
      </w:r>
    </w:p>
    <w:p w14:paraId="3F53E610" w14:textId="77777777" w:rsidR="007576F0" w:rsidRPr="007576F0" w:rsidRDefault="007576F0" w:rsidP="007576F0">
      <w:pPr>
        <w:spacing w:line="300" w:lineRule="exact"/>
        <w:ind w:left="851" w:hanging="245"/>
        <w:rPr>
          <w:rFonts w:ascii="標楷體" w:eastAsia="標楷體" w:hAnsi="標楷體"/>
          <w:color w:val="000000"/>
        </w:rPr>
      </w:pPr>
      <w:r w:rsidRPr="007576F0">
        <w:rPr>
          <w:rFonts w:ascii="標楷體" w:eastAsia="標楷體" w:hAnsi="標楷體" w:hint="eastAsia"/>
          <w:color w:val="000000"/>
        </w:rPr>
        <w:t>3</w:t>
      </w:r>
      <w:r w:rsidRPr="007576F0">
        <w:rPr>
          <w:rFonts w:ascii="標楷體" w:eastAsia="標楷體" w:hAnsi="標楷體"/>
          <w:color w:val="000000"/>
        </w:rPr>
        <w:t>.需經事前審查核准後使用。</w:t>
      </w:r>
    </w:p>
    <w:bookmarkEnd w:id="36"/>
    <w:p w14:paraId="10ADDA78"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9.13.Aldesleukin(如</w:t>
      </w:r>
      <w:proofErr w:type="spellStart"/>
      <w:r w:rsidRPr="007576F0">
        <w:rPr>
          <w:rFonts w:ascii="標楷體" w:eastAsia="標楷體" w:hAnsi="標楷體"/>
          <w:color w:val="000000"/>
        </w:rPr>
        <w:t>Proleukin</w:t>
      </w:r>
      <w:proofErr w:type="spellEnd"/>
      <w:r w:rsidRPr="007576F0">
        <w:rPr>
          <w:rFonts w:ascii="標楷體" w:eastAsia="標楷體" w:hAnsi="標楷體"/>
          <w:color w:val="000000"/>
        </w:rPr>
        <w:t xml:space="preserve"> for Injection)：(90/10/1、93/8/1)</w:t>
      </w:r>
    </w:p>
    <w:p w14:paraId="78A2DB39"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w:t>
      </w:r>
      <w:proofErr w:type="gramStart"/>
      <w:r w:rsidRPr="007576F0">
        <w:rPr>
          <w:rFonts w:ascii="標楷體" w:eastAsia="標楷體" w:hAnsi="標楷體"/>
          <w:color w:val="000000"/>
        </w:rPr>
        <w:t>轉移性腎細胞</w:t>
      </w:r>
      <w:proofErr w:type="gramEnd"/>
      <w:r w:rsidRPr="007576F0">
        <w:rPr>
          <w:rFonts w:ascii="標楷體" w:eastAsia="標楷體" w:hAnsi="標楷體"/>
          <w:color w:val="000000"/>
        </w:rPr>
        <w:t>癌及惡性黑色素癌病患使用。</w:t>
      </w:r>
    </w:p>
    <w:p w14:paraId="1AC10B4D"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9.14.Doxorubicin hydrochloride liposome injection(如Lipo-Dox、</w:t>
      </w:r>
      <w:proofErr w:type="spellStart"/>
      <w:r w:rsidRPr="007576F0">
        <w:rPr>
          <w:rFonts w:ascii="標楷體" w:eastAsia="標楷體" w:hAnsi="標楷體"/>
          <w:color w:val="000000"/>
        </w:rPr>
        <w:t>Caelyx</w:t>
      </w:r>
      <w:proofErr w:type="spellEnd"/>
      <w:r w:rsidRPr="007576F0">
        <w:rPr>
          <w:rFonts w:ascii="標楷體" w:eastAsia="標楷體" w:hAnsi="標楷體"/>
          <w:color w:val="000000"/>
        </w:rPr>
        <w:t>)：(91/3/1、93/8/1、93/11/1、99/10/1)</w:t>
      </w:r>
    </w:p>
    <w:p w14:paraId="7ADB4A88"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限用於下列適應症:(99/10/1)</w:t>
      </w:r>
    </w:p>
    <w:p w14:paraId="49C74123"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lastRenderedPageBreak/>
        <w:t>1.用於治療曾接受第一線含platinum及paclitaxel化學治療而失敗者或再復發之進行性或轉移性卵巢癌病人。(91/3/1)</w:t>
      </w:r>
    </w:p>
    <w:p w14:paraId="7C1AADC2" w14:textId="77777777" w:rsidR="007576F0" w:rsidRPr="007576F0" w:rsidRDefault="007576F0" w:rsidP="007576F0">
      <w:pPr>
        <w:spacing w:line="300" w:lineRule="exact"/>
        <w:ind w:left="811" w:hanging="245"/>
      </w:pPr>
      <w:r w:rsidRPr="007576F0">
        <w:rPr>
          <w:rFonts w:ascii="標楷體" w:eastAsia="標楷體" w:hAnsi="標楷體"/>
          <w:color w:val="000000"/>
        </w:rPr>
        <w:t>2.用於治療CD4數量低下（&lt;200 CD4 lymphocyte/mm</w:t>
      </w:r>
      <w:r w:rsidRPr="007576F0">
        <w:rPr>
          <w:rFonts w:ascii="標楷體" w:eastAsia="標楷體" w:hAnsi="標楷體"/>
          <w:color w:val="000000"/>
          <w:vertAlign w:val="superscript"/>
        </w:rPr>
        <w:t>3</w:t>
      </w:r>
      <w:r w:rsidRPr="007576F0">
        <w:rPr>
          <w:rFonts w:ascii="標楷體" w:eastAsia="標楷體" w:hAnsi="標楷體"/>
          <w:color w:val="000000"/>
        </w:rPr>
        <w:t>）和粘膜、皮膚或內臟有病變的AIDS related Kaposi</w:t>
      </w:r>
      <w:proofErr w:type="gramStart"/>
      <w:r w:rsidRPr="007576F0">
        <w:rPr>
          <w:rFonts w:ascii="標楷體" w:eastAsia="標楷體" w:hAnsi="標楷體"/>
          <w:color w:val="000000"/>
        </w:rPr>
        <w:t>’</w:t>
      </w:r>
      <w:proofErr w:type="gramEnd"/>
      <w:r w:rsidRPr="007576F0">
        <w:rPr>
          <w:rFonts w:ascii="標楷體" w:eastAsia="標楷體" w:hAnsi="標楷體"/>
          <w:color w:val="000000"/>
        </w:rPr>
        <w:t>s Sarcoma的病人。(91/3/1)</w:t>
      </w:r>
    </w:p>
    <w:p w14:paraId="2688E7B6"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3.用於單一治療有心臟疾病風險考量之轉移性乳癌患者。(93/11/1)</w:t>
      </w:r>
    </w:p>
    <w:p w14:paraId="6D2DEAE2"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9.15.Tretinoin（如</w:t>
      </w:r>
      <w:proofErr w:type="spellStart"/>
      <w:r w:rsidRPr="007576F0">
        <w:rPr>
          <w:rFonts w:ascii="標楷體" w:eastAsia="標楷體" w:hAnsi="標楷體"/>
          <w:color w:val="000000"/>
        </w:rPr>
        <w:t>Vesanoid</w:t>
      </w:r>
      <w:proofErr w:type="spellEnd"/>
      <w:r w:rsidRPr="007576F0">
        <w:rPr>
          <w:rFonts w:ascii="標楷體" w:eastAsia="標楷體" w:hAnsi="標楷體"/>
          <w:color w:val="000000"/>
        </w:rPr>
        <w:t xml:space="preserve"> Soft Gelatin）：（88/10/1）</w:t>
      </w:r>
    </w:p>
    <w:p w14:paraId="1598E208"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限急性</w:t>
      </w:r>
      <w:proofErr w:type="gramStart"/>
      <w:r w:rsidRPr="007576F0">
        <w:rPr>
          <w:rFonts w:ascii="標楷體" w:eastAsia="標楷體" w:hAnsi="標楷體"/>
          <w:color w:val="000000"/>
        </w:rPr>
        <w:t>前髓性</w:t>
      </w:r>
      <w:proofErr w:type="gramEnd"/>
      <w:r w:rsidRPr="007576F0">
        <w:rPr>
          <w:rFonts w:ascii="標楷體" w:eastAsia="標楷體" w:hAnsi="標楷體"/>
          <w:color w:val="000000"/>
        </w:rPr>
        <w:t>白血病使用。</w:t>
      </w:r>
    </w:p>
    <w:p w14:paraId="2523FF2F"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9.16.Topotecan（如</w:t>
      </w:r>
      <w:proofErr w:type="spellStart"/>
      <w:r w:rsidRPr="007576F0">
        <w:rPr>
          <w:rFonts w:ascii="標楷體" w:eastAsia="標楷體" w:hAnsi="標楷體"/>
          <w:color w:val="000000"/>
        </w:rPr>
        <w:t>Hycamtin</w:t>
      </w:r>
      <w:proofErr w:type="spellEnd"/>
      <w:r w:rsidRPr="007576F0">
        <w:rPr>
          <w:rFonts w:ascii="標楷體" w:eastAsia="標楷體" w:hAnsi="標楷體"/>
          <w:color w:val="000000"/>
        </w:rPr>
        <w:t>）：（88/10/1、93/8/1、98/11/1、100/6/1）</w:t>
      </w:r>
    </w:p>
    <w:p w14:paraId="71018357"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9.16.1.Topotecan注射劑（88/10/1、93/8/1、98/11/1）</w:t>
      </w:r>
    </w:p>
    <w:p w14:paraId="62189591"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1.限卵巢癌及小細胞肺癌之第二線化學治療（第一線治療應包括白金化合物）。</w:t>
      </w:r>
    </w:p>
    <w:p w14:paraId="642ECA5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2.與cisplatin</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用適用於治療經組織學檢查確定患有第IV-B期復發性或持續性子宮頸癌，且不適合以外科手術及（或）放射療法進行治療的患者。（98/11/1）</w:t>
      </w:r>
    </w:p>
    <w:p w14:paraId="721576AB"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9.16.2.Topotecan口服劑型（100/6/1）</w:t>
      </w:r>
    </w:p>
    <w:p w14:paraId="3C76831F"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限用於小細胞肺癌之第二線化學治療（第一線治療應包括白金化合物）。</w:t>
      </w:r>
    </w:p>
    <w:p w14:paraId="2990FFA0" w14:textId="77777777" w:rsidR="007576F0" w:rsidRPr="007576F0" w:rsidRDefault="007576F0" w:rsidP="007576F0">
      <w:pPr>
        <w:spacing w:line="300" w:lineRule="exact"/>
        <w:ind w:left="567" w:hanging="283"/>
        <w:rPr>
          <w:rFonts w:ascii="標楷體" w:eastAsia="標楷體" w:hAnsi="標楷體"/>
          <w:color w:val="000000"/>
        </w:rPr>
      </w:pPr>
      <w:r w:rsidRPr="007576F0">
        <w:rPr>
          <w:rFonts w:ascii="標楷體" w:eastAsia="標楷體" w:hAnsi="標楷體"/>
          <w:color w:val="000000"/>
          <w:szCs w:val="24"/>
        </w:rPr>
        <w:t>9.17.Capecitabine（如Xeloda）：（88/10/1、91/4/1、92/6/1、93/8/1、96/9/1、97/12/1、110/2/1、113/4/1、113/6/1</w:t>
      </w:r>
      <w:r w:rsidRPr="007576F0">
        <w:rPr>
          <w:rFonts w:ascii="標楷體" w:eastAsia="標楷體" w:hAnsi="標楷體" w:hint="eastAsia"/>
          <w:szCs w:val="24"/>
        </w:rPr>
        <w:t>、115/2/1</w:t>
      </w:r>
      <w:r w:rsidRPr="007576F0">
        <w:rPr>
          <w:rFonts w:ascii="標楷體" w:eastAsia="標楷體" w:hAnsi="標楷體"/>
          <w:color w:val="000000"/>
          <w:szCs w:val="24"/>
        </w:rPr>
        <w:t>）</w:t>
      </w:r>
    </w:p>
    <w:p w14:paraId="3AAB5BEA" w14:textId="77777777" w:rsidR="007576F0" w:rsidRPr="007576F0" w:rsidRDefault="007576F0" w:rsidP="007576F0">
      <w:pPr>
        <w:spacing w:line="300" w:lineRule="exact"/>
        <w:ind w:left="811" w:hanging="245"/>
        <w:rPr>
          <w:rFonts w:ascii="標楷體" w:eastAsia="標楷體" w:hAnsi="標楷體"/>
          <w:color w:val="000000"/>
        </w:rPr>
      </w:pPr>
      <w:bookmarkStart w:id="37" w:name="_Hlk219901609"/>
      <w:r w:rsidRPr="007576F0">
        <w:rPr>
          <w:rFonts w:ascii="標楷體" w:eastAsia="標楷體" w:hAnsi="標楷體"/>
          <w:color w:val="000000"/>
        </w:rPr>
        <w:t>1.Capecitabine與docetaxel</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用於治療對anthracycline化學治療無效之局部晚期或轉移性乳癌病患。</w:t>
      </w:r>
    </w:p>
    <w:p w14:paraId="5AF20216"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2.用於局部晚期或轉移性乳癌，需符合下列條件之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：(110/2/1)</w:t>
      </w:r>
    </w:p>
    <w:p w14:paraId="1146FD4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(1)Capecitabine單獨用於無法接受anthracycline治療者。</w:t>
      </w:r>
    </w:p>
    <w:p w14:paraId="6B6F6D3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(2)Capecitabine合併ixabepilone用於對</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有抗藥性且無法接受anthracycline治療者。</w:t>
      </w:r>
    </w:p>
    <w:p w14:paraId="2CBE1B25"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(3)Capecitabine單獨或合併ixabepilone用於對</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及anthracycline治療無效者。</w:t>
      </w:r>
    </w:p>
    <w:p w14:paraId="1424229A"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3.治療轉移性結腸直腸癌的第一線用藥。(92/6/1)</w:t>
      </w:r>
    </w:p>
    <w:p w14:paraId="49501E5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4.第三期結腸癌患者手術後的輔助性療法，以八個療程為限。（96/9/1）</w:t>
      </w:r>
    </w:p>
    <w:p w14:paraId="21A92336"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5.Capecitabine合併platinum可使用於晚期胃癌之第一線治療。(97/12/1)</w:t>
      </w:r>
    </w:p>
    <w:p w14:paraId="70B89127" w14:textId="77777777" w:rsidR="007576F0" w:rsidRPr="007576F0" w:rsidRDefault="007576F0" w:rsidP="007576F0">
      <w:pPr>
        <w:spacing w:line="300" w:lineRule="exact"/>
        <w:ind w:left="811" w:hanging="245"/>
      </w:pPr>
      <w:r w:rsidRPr="007576F0">
        <w:rPr>
          <w:rFonts w:ascii="標楷體" w:eastAsia="標楷體" w:hAnsi="標楷體"/>
          <w:color w:val="000000"/>
        </w:rPr>
        <w:t>6.與nivolumab及oxaliplatin</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用於第一線治療晚期或轉移性且不具有HER2過度表現的胃癌病人，病人需符合免疫檢查點抑制劑之藥品給付規定。(113/4/1、113/6/1</w:t>
      </w:r>
      <w:r w:rsidRPr="007576F0">
        <w:rPr>
          <w:rFonts w:ascii="標楷體" w:eastAsia="標楷體" w:hAnsi="標楷體" w:hint="eastAsia"/>
          <w:color w:val="000000"/>
        </w:rPr>
        <w:t>、115/2/1</w:t>
      </w:r>
      <w:r w:rsidRPr="007576F0">
        <w:rPr>
          <w:rFonts w:ascii="標楷體" w:eastAsia="標楷體" w:hAnsi="標楷體"/>
          <w:color w:val="000000"/>
        </w:rPr>
        <w:t>)</w:t>
      </w:r>
      <w:bookmarkEnd w:id="37"/>
    </w:p>
    <w:p w14:paraId="73A56A65" w14:textId="77777777" w:rsidR="007576F0" w:rsidRPr="007576F0" w:rsidRDefault="007576F0" w:rsidP="007576F0">
      <w:pPr>
        <w:spacing w:line="300" w:lineRule="exact"/>
        <w:ind w:left="672" w:hanging="386"/>
        <w:rPr>
          <w:rFonts w:ascii="標楷體" w:eastAsia="標楷體" w:hAnsi="標楷體"/>
          <w:szCs w:val="24"/>
        </w:rPr>
      </w:pPr>
      <w:r w:rsidRPr="007576F0">
        <w:rPr>
          <w:rFonts w:ascii="標楷體" w:eastAsia="標楷體" w:hAnsi="標楷體"/>
          <w:color w:val="000000"/>
          <w:szCs w:val="24"/>
        </w:rPr>
        <w:t>9.18. T</w:t>
      </w:r>
      <w:bookmarkStart w:id="38" w:name="_Hlk235554164"/>
      <w:r w:rsidRPr="007576F0">
        <w:rPr>
          <w:rFonts w:ascii="標楷體" w:eastAsia="標楷體" w:hAnsi="標楷體"/>
          <w:color w:val="000000"/>
          <w:szCs w:val="24"/>
        </w:rPr>
        <w:t>rastuzumab (如Herceptin)：(91/4/1、93/8/1、95/2/1、99/1/1、99/8/1、99/10/1、101/1/1、105/11/1、108/5/1、109/2/1、1</w:t>
      </w:r>
      <w:r w:rsidRPr="007576F0">
        <w:rPr>
          <w:rFonts w:ascii="標楷體" w:eastAsia="標楷體" w:hAnsi="標楷體"/>
          <w:szCs w:val="24"/>
        </w:rPr>
        <w:t>11/12/1、112/10/1、113/8/1、113/12/1、114/1/1、114/5/1、114/12/1</w:t>
      </w:r>
      <w:r w:rsidRPr="007576F0">
        <w:rPr>
          <w:rFonts w:ascii="標楷體" w:eastAsia="標楷體" w:hAnsi="標楷體" w:hint="eastAsia"/>
          <w:szCs w:val="24"/>
        </w:rPr>
        <w:t>、115/7/1、115/8/1</w:t>
      </w:r>
      <w:r w:rsidRPr="007576F0">
        <w:rPr>
          <w:rFonts w:ascii="標楷體" w:eastAsia="標楷體" w:hAnsi="標楷體"/>
          <w:szCs w:val="24"/>
        </w:rPr>
        <w:t>)</w:t>
      </w:r>
    </w:p>
    <w:p w14:paraId="2BEF8DD1" w14:textId="77777777" w:rsidR="007576F0" w:rsidRPr="007576F0" w:rsidRDefault="007576F0" w:rsidP="007576F0">
      <w:pPr>
        <w:spacing w:line="300" w:lineRule="exact"/>
        <w:ind w:left="811" w:hanging="245"/>
        <w:rPr>
          <w:rFonts w:ascii="標楷體" w:eastAsia="標楷體" w:hAnsi="標楷體"/>
          <w:szCs w:val="24"/>
        </w:rPr>
      </w:pPr>
      <w:r w:rsidRPr="007576F0">
        <w:rPr>
          <w:rFonts w:ascii="標楷體" w:eastAsia="標楷體" w:hAnsi="標楷體"/>
          <w:szCs w:val="24"/>
        </w:rPr>
        <w:t>1.早期乳癌(99/1/1、99/8/1、99/10/1、101/1/1、111/12/1、112/10/1、113/8/1、113/12/1、114/1/1、114/12/1</w:t>
      </w:r>
      <w:r w:rsidRPr="007576F0">
        <w:rPr>
          <w:rFonts w:ascii="標楷體" w:eastAsia="標楷體" w:hAnsi="標楷體" w:hint="eastAsia"/>
          <w:szCs w:val="24"/>
        </w:rPr>
        <w:t>、115/7/1</w:t>
      </w:r>
      <w:bookmarkEnd w:id="38"/>
      <w:r w:rsidRPr="007576F0">
        <w:rPr>
          <w:rFonts w:ascii="標楷體" w:eastAsia="標楷體" w:hAnsi="標楷體"/>
          <w:szCs w:val="24"/>
        </w:rPr>
        <w:t>)</w:t>
      </w:r>
    </w:p>
    <w:p w14:paraId="20205EC6" w14:textId="77777777" w:rsidR="007576F0" w:rsidRPr="007576F0" w:rsidRDefault="007576F0" w:rsidP="007576F0">
      <w:pPr>
        <w:spacing w:line="300" w:lineRule="exact"/>
        <w:ind w:left="1049" w:hanging="341"/>
        <w:rPr>
          <w:rFonts w:ascii="標楷體" w:eastAsia="標楷體" w:hAnsi="標楷體"/>
          <w:szCs w:val="24"/>
        </w:rPr>
      </w:pPr>
      <w:r w:rsidRPr="007576F0">
        <w:rPr>
          <w:rFonts w:ascii="標楷體" w:eastAsia="標楷體" w:hAnsi="標楷體"/>
          <w:szCs w:val="24"/>
        </w:rPr>
        <w:t>(1)具HER2過度表現(IHC3+或FISH+)，且具腋下淋巴結轉移但無遠處臟器轉移之早期乳癌患者，作為輔助性治療用藥</w:t>
      </w:r>
      <w:r w:rsidRPr="007576F0">
        <w:rPr>
          <w:rFonts w:ascii="標楷體" w:eastAsia="標楷體" w:hAnsi="標楷體" w:hint="eastAsia"/>
          <w:szCs w:val="24"/>
        </w:rPr>
        <w:t>(</w:t>
      </w:r>
      <w:proofErr w:type="gramStart"/>
      <w:r w:rsidRPr="007576F0">
        <w:rPr>
          <w:rFonts w:ascii="標楷體" w:eastAsia="標楷體" w:hAnsi="標楷體" w:hint="eastAsia"/>
          <w:szCs w:val="24"/>
        </w:rPr>
        <w:t>事審代碼</w:t>
      </w:r>
      <w:proofErr w:type="gramEnd"/>
      <w:r w:rsidRPr="007576F0">
        <w:rPr>
          <w:rFonts w:ascii="標楷體" w:eastAsia="標楷體" w:hAnsi="標楷體" w:hint="eastAsia"/>
          <w:szCs w:val="24"/>
        </w:rPr>
        <w:t>：C50P2)</w:t>
      </w:r>
      <w:r w:rsidRPr="007576F0">
        <w:rPr>
          <w:rFonts w:ascii="標楷體" w:eastAsia="標楷體" w:hAnsi="標楷體"/>
          <w:szCs w:val="24"/>
        </w:rPr>
        <w:t>：(99/8/1、99/10/1、101/1/1、111/12/1、112/10/1、113/8/1、113/12/1、114/1/1、114/12/1</w:t>
      </w:r>
      <w:r w:rsidRPr="007576F0">
        <w:rPr>
          <w:rFonts w:ascii="標楷體" w:eastAsia="標楷體" w:hAnsi="標楷體" w:hint="eastAsia"/>
          <w:szCs w:val="24"/>
        </w:rPr>
        <w:t>、115/7/1</w:t>
      </w:r>
      <w:r w:rsidRPr="007576F0">
        <w:rPr>
          <w:rFonts w:ascii="標楷體" w:eastAsia="標楷體" w:hAnsi="標楷體"/>
          <w:szCs w:val="24"/>
        </w:rPr>
        <w:t>)。</w:t>
      </w:r>
    </w:p>
    <w:p w14:paraId="14E08F39" w14:textId="77777777" w:rsidR="007576F0" w:rsidRPr="007576F0" w:rsidRDefault="007576F0" w:rsidP="007576F0">
      <w:pPr>
        <w:spacing w:line="300" w:lineRule="exact"/>
        <w:ind w:left="1191" w:hanging="340"/>
        <w:rPr>
          <w:rFonts w:ascii="標楷體" w:eastAsia="標楷體" w:hAnsi="標楷體"/>
          <w:color w:val="000000"/>
          <w:szCs w:val="24"/>
        </w:rPr>
      </w:pPr>
      <w:r w:rsidRPr="007576F0">
        <w:rPr>
          <w:rFonts w:ascii="標楷體" w:eastAsia="標楷體" w:hAnsi="標楷體"/>
          <w:szCs w:val="24"/>
        </w:rPr>
        <w:t>Ⅰ.</w:t>
      </w:r>
      <w:r w:rsidRPr="007576F0">
        <w:rPr>
          <w:rFonts w:ascii="標楷體" w:eastAsia="標楷體" w:hAnsi="標楷體" w:hint="eastAsia"/>
          <w:szCs w:val="24"/>
        </w:rPr>
        <w:t>若本藥品使用於手術前之輔助治療，依</w:t>
      </w:r>
      <w:proofErr w:type="gramStart"/>
      <w:r w:rsidRPr="007576F0">
        <w:rPr>
          <w:rFonts w:ascii="標楷體" w:eastAsia="標楷體" w:hAnsi="標楷體" w:hint="eastAsia"/>
          <w:szCs w:val="24"/>
        </w:rPr>
        <w:t>下列術</w:t>
      </w:r>
      <w:proofErr w:type="gramEnd"/>
      <w:r w:rsidRPr="007576F0">
        <w:rPr>
          <w:rFonts w:ascii="標楷體" w:eastAsia="標楷體" w:hAnsi="標楷體" w:hint="eastAsia"/>
          <w:szCs w:val="24"/>
        </w:rPr>
        <w:t>後情形使用：(113/8/1、113/12/1、114/1/1、114/12/1、115/7/1</w:t>
      </w:r>
      <w:r w:rsidRPr="007576F0">
        <w:rPr>
          <w:rFonts w:ascii="標楷體" w:eastAsia="標楷體" w:hAnsi="標楷體"/>
          <w:color w:val="000000"/>
          <w:szCs w:val="24"/>
        </w:rPr>
        <w:t>)</w:t>
      </w:r>
    </w:p>
    <w:p w14:paraId="05E34784" w14:textId="77777777" w:rsidR="007576F0" w:rsidRPr="007576F0" w:rsidRDefault="007576F0" w:rsidP="007576F0">
      <w:pPr>
        <w:spacing w:line="300" w:lineRule="exact"/>
        <w:ind w:leftChars="490" w:left="1418" w:hangingChars="101" w:hanging="242"/>
        <w:jc w:val="both"/>
        <w:rPr>
          <w:rFonts w:ascii="標楷體" w:eastAsia="標楷體" w:hAnsi="標楷體"/>
          <w:szCs w:val="24"/>
        </w:rPr>
      </w:pPr>
      <w:proofErr w:type="spellStart"/>
      <w:r w:rsidRPr="007576F0">
        <w:rPr>
          <w:rFonts w:ascii="標楷體" w:eastAsia="標楷體" w:hAnsi="標楷體" w:hint="eastAsia"/>
          <w:szCs w:val="24"/>
        </w:rPr>
        <w:t>i</w:t>
      </w:r>
      <w:proofErr w:type="spellEnd"/>
      <w:r w:rsidRPr="007576F0">
        <w:rPr>
          <w:rFonts w:ascii="標楷體" w:eastAsia="標楷體" w:hAnsi="標楷體" w:hint="eastAsia"/>
          <w:szCs w:val="24"/>
        </w:rPr>
        <w:t>.外科手術後達病理上緩解（</w:t>
      </w:r>
      <w:proofErr w:type="spellStart"/>
      <w:r w:rsidRPr="007576F0">
        <w:rPr>
          <w:rFonts w:ascii="標楷體" w:eastAsia="標楷體" w:hAnsi="標楷體" w:hint="eastAsia"/>
          <w:szCs w:val="24"/>
        </w:rPr>
        <w:t>pCR</w:t>
      </w:r>
      <w:proofErr w:type="spellEnd"/>
      <w:r w:rsidRPr="007576F0">
        <w:rPr>
          <w:rFonts w:ascii="標楷體" w:eastAsia="標楷體" w:hAnsi="標楷體" w:hint="eastAsia"/>
          <w:szCs w:val="24"/>
        </w:rPr>
        <w:t>）：本藥品、</w:t>
      </w:r>
      <w:proofErr w:type="spellStart"/>
      <w:r w:rsidRPr="007576F0">
        <w:rPr>
          <w:rFonts w:ascii="標楷體" w:eastAsia="標楷體" w:hAnsi="標楷體" w:hint="eastAsia"/>
          <w:szCs w:val="24"/>
        </w:rPr>
        <w:t>pertuzumab</w:t>
      </w:r>
      <w:proofErr w:type="spellEnd"/>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用本藥品或</w:t>
      </w:r>
      <w:proofErr w:type="spellStart"/>
      <w:r w:rsidRPr="007576F0">
        <w:rPr>
          <w:rFonts w:ascii="標楷體" w:eastAsia="標楷體" w:hAnsi="標楷體" w:hint="eastAsia"/>
          <w:szCs w:val="24"/>
        </w:rPr>
        <w:t>pertuzumab</w:t>
      </w:r>
      <w:proofErr w:type="spellEnd"/>
      <w:r w:rsidRPr="007576F0">
        <w:rPr>
          <w:rFonts w:ascii="標楷體" w:eastAsia="標楷體" w:hAnsi="標楷體" w:hint="eastAsia"/>
          <w:szCs w:val="24"/>
        </w:rPr>
        <w:t>與trastuzumab皮下注射複方製劑(如</w:t>
      </w:r>
      <w:proofErr w:type="spellStart"/>
      <w:r w:rsidRPr="007576F0">
        <w:rPr>
          <w:rFonts w:ascii="標楷體" w:eastAsia="標楷體" w:hAnsi="標楷體" w:hint="eastAsia"/>
          <w:szCs w:val="24"/>
        </w:rPr>
        <w:t>Phesgo</w:t>
      </w:r>
      <w:proofErr w:type="spellEnd"/>
      <w:r w:rsidRPr="007576F0">
        <w:rPr>
          <w:rFonts w:ascii="標楷體" w:eastAsia="標楷體" w:hAnsi="標楷體" w:hint="eastAsia"/>
          <w:szCs w:val="24"/>
        </w:rPr>
        <w:t>)，三者使用於外科手術前後的總療程合併計算，依藥品仿單記載以全部18個療程為上限。(113/8/1、113/12/1、114/1/1、114/12/1、115/7/1)</w:t>
      </w:r>
    </w:p>
    <w:p w14:paraId="7B3B4334" w14:textId="77777777" w:rsidR="007576F0" w:rsidRPr="007576F0" w:rsidRDefault="007576F0" w:rsidP="007576F0">
      <w:pPr>
        <w:spacing w:line="300" w:lineRule="exact"/>
        <w:ind w:left="1441" w:hanging="420"/>
        <w:rPr>
          <w:rFonts w:ascii="標楷體" w:eastAsia="標楷體" w:hAnsi="標楷體"/>
          <w:color w:val="000000"/>
          <w:szCs w:val="24"/>
        </w:rPr>
      </w:pPr>
      <w:r w:rsidRPr="007576F0">
        <w:rPr>
          <w:rFonts w:ascii="標楷體" w:eastAsia="標楷體" w:hAnsi="標楷體" w:hint="eastAsia"/>
          <w:szCs w:val="24"/>
        </w:rPr>
        <w:t>ii.若外科手術後無法達病理上緩解（non-</w:t>
      </w:r>
      <w:proofErr w:type="spellStart"/>
      <w:r w:rsidRPr="007576F0">
        <w:rPr>
          <w:rFonts w:ascii="標楷體" w:eastAsia="標楷體" w:hAnsi="標楷體" w:hint="eastAsia"/>
          <w:szCs w:val="24"/>
        </w:rPr>
        <w:t>pCR</w:t>
      </w:r>
      <w:proofErr w:type="spellEnd"/>
      <w:r w:rsidRPr="007576F0">
        <w:rPr>
          <w:rFonts w:ascii="標楷體" w:eastAsia="標楷體" w:hAnsi="標楷體" w:hint="eastAsia"/>
          <w:szCs w:val="24"/>
        </w:rPr>
        <w:t>），本藥品與trastuzumab emtansine使用於外科手術前後的總療程合併計算，以全部18個療程為上限，其中trastuzumab emtansine以14個療程為上限。(113/8/1、113/12/1</w:t>
      </w:r>
      <w:r w:rsidRPr="007576F0">
        <w:rPr>
          <w:rFonts w:ascii="標楷體" w:eastAsia="標楷體" w:hAnsi="標楷體"/>
          <w:color w:val="000000"/>
          <w:szCs w:val="24"/>
        </w:rPr>
        <w:t>)</w:t>
      </w:r>
    </w:p>
    <w:p w14:paraId="2B8E2132" w14:textId="77777777" w:rsidR="007576F0" w:rsidRPr="007576F0" w:rsidRDefault="007576F0" w:rsidP="007576F0">
      <w:pPr>
        <w:spacing w:line="300" w:lineRule="exact"/>
        <w:ind w:left="1276" w:hanging="425"/>
        <w:rPr>
          <w:rFonts w:ascii="標楷體" w:eastAsia="標楷體" w:hAnsi="標楷體"/>
          <w:szCs w:val="24"/>
        </w:rPr>
      </w:pPr>
      <w:r w:rsidRPr="007576F0">
        <w:rPr>
          <w:rFonts w:ascii="標楷體" w:eastAsia="標楷體" w:hAnsi="標楷體"/>
          <w:szCs w:val="24"/>
        </w:rPr>
        <w:lastRenderedPageBreak/>
        <w:t>Ⅱ.</w:t>
      </w:r>
      <w:r w:rsidRPr="007576F0">
        <w:rPr>
          <w:rFonts w:ascii="標楷體" w:eastAsia="標楷體" w:hAnsi="標楷體" w:hint="eastAsia"/>
          <w:szCs w:val="24"/>
        </w:rPr>
        <w:t>若未接受術前輔助治療先行手術者，給予本藥品作為術後輔助治療，須接受至少4個療程的化學治療(本藥品合併</w:t>
      </w:r>
      <w:proofErr w:type="gramStart"/>
      <w:r w:rsidRPr="007576F0">
        <w:rPr>
          <w:rFonts w:ascii="標楷體" w:eastAsia="標楷體" w:hAnsi="標楷體" w:hint="eastAsia"/>
          <w:szCs w:val="24"/>
        </w:rPr>
        <w:t>化療或接續</w:t>
      </w:r>
      <w:proofErr w:type="gramEnd"/>
      <w:r w:rsidRPr="007576F0">
        <w:rPr>
          <w:rFonts w:ascii="標楷體" w:eastAsia="標楷體" w:hAnsi="標楷體" w:hint="eastAsia"/>
          <w:szCs w:val="24"/>
        </w:rPr>
        <w:t>化療之後使用本藥品)，本藥品以全部18個療程為上限。(115/7/1)</w:t>
      </w:r>
    </w:p>
    <w:p w14:paraId="069C4605" w14:textId="77777777" w:rsidR="007576F0" w:rsidRPr="007576F0" w:rsidRDefault="007576F0" w:rsidP="007576F0">
      <w:pPr>
        <w:spacing w:line="300" w:lineRule="exact"/>
        <w:ind w:left="1049" w:hanging="341"/>
        <w:rPr>
          <w:rFonts w:ascii="標楷體" w:eastAsia="標楷體" w:hAnsi="標楷體"/>
          <w:color w:val="000000"/>
          <w:szCs w:val="24"/>
        </w:rPr>
      </w:pPr>
      <w:r w:rsidRPr="007576F0">
        <w:rPr>
          <w:rFonts w:ascii="標楷體" w:eastAsia="標楷體" w:hAnsi="標楷體"/>
          <w:color w:val="000000"/>
          <w:szCs w:val="24"/>
        </w:rPr>
        <w:t>(2)</w:t>
      </w:r>
      <w:r w:rsidRPr="007576F0">
        <w:rPr>
          <w:rFonts w:ascii="標楷體" w:eastAsia="標楷體" w:hAnsi="標楷體" w:hint="eastAsia"/>
          <w:szCs w:val="24"/>
        </w:rPr>
        <w:t>具HER2過度表現(IHC3+或FISH+)，且無腋下淋巴結轉移之早期乳癌患者，作為輔助性治療用藥：(111/12/1、112/10/1、113/8/1、113/12/1、114/1/1、114/12/1、115/7/1、115/8/1)</w:t>
      </w:r>
    </w:p>
    <w:p w14:paraId="3436F2E7" w14:textId="77777777" w:rsidR="007576F0" w:rsidRPr="007576F0" w:rsidRDefault="007576F0" w:rsidP="007576F0">
      <w:pPr>
        <w:spacing w:line="300" w:lineRule="exact"/>
        <w:ind w:left="1191" w:hanging="340"/>
        <w:rPr>
          <w:rFonts w:ascii="標楷體" w:eastAsia="標楷體" w:hAnsi="標楷體"/>
          <w:color w:val="000000"/>
          <w:szCs w:val="24"/>
        </w:rPr>
      </w:pPr>
      <w:r w:rsidRPr="007576F0">
        <w:rPr>
          <w:rFonts w:ascii="標楷體" w:eastAsia="標楷體" w:hAnsi="標楷體"/>
          <w:color w:val="000000"/>
          <w:szCs w:val="24"/>
        </w:rPr>
        <w:t>Ⅰ.</w:t>
      </w:r>
      <w:r w:rsidRPr="007576F0">
        <w:rPr>
          <w:rFonts w:ascii="標楷體" w:eastAsia="標楷體" w:hAnsi="標楷體" w:hint="eastAsia"/>
          <w:szCs w:val="24"/>
        </w:rPr>
        <w:t>若本藥品使用於手術前之輔助治療，須經影像檢查(乳房超音波或乳房X光攝影或核磁共振)顯示腫瘤大於2公分，並依</w:t>
      </w:r>
      <w:proofErr w:type="gramStart"/>
      <w:r w:rsidRPr="007576F0">
        <w:rPr>
          <w:rFonts w:ascii="標楷體" w:eastAsia="標楷體" w:hAnsi="標楷體" w:hint="eastAsia"/>
          <w:szCs w:val="24"/>
        </w:rPr>
        <w:t>下列術</w:t>
      </w:r>
      <w:proofErr w:type="gramEnd"/>
      <w:r w:rsidRPr="007576F0">
        <w:rPr>
          <w:rFonts w:ascii="標楷體" w:eastAsia="標楷體" w:hAnsi="標楷體" w:hint="eastAsia"/>
          <w:szCs w:val="24"/>
        </w:rPr>
        <w:t>後情形使用</w:t>
      </w:r>
      <w:r w:rsidRPr="007576F0">
        <w:rPr>
          <w:rFonts w:ascii="標楷體" w:eastAsia="標楷體" w:hAnsi="標楷體" w:hint="eastAsia"/>
          <w:color w:val="000000"/>
          <w:szCs w:val="24"/>
        </w:rPr>
        <w:t>：</w:t>
      </w:r>
    </w:p>
    <w:p w14:paraId="3B114D87" w14:textId="77777777" w:rsidR="007576F0" w:rsidRPr="007576F0" w:rsidRDefault="007576F0" w:rsidP="002144EC">
      <w:pPr>
        <w:numPr>
          <w:ilvl w:val="0"/>
          <w:numId w:val="192"/>
        </w:numPr>
        <w:suppressAutoHyphens w:val="0"/>
        <w:autoSpaceDN/>
        <w:spacing w:line="300" w:lineRule="exact"/>
        <w:ind w:left="1418" w:hanging="284"/>
        <w:contextualSpacing/>
        <w:jc w:val="both"/>
        <w:textAlignment w:val="auto"/>
        <w:rPr>
          <w:rFonts w:ascii="標楷體" w:eastAsia="標楷體" w:hAnsi="標楷體"/>
          <w:color w:val="000000"/>
          <w:szCs w:val="24"/>
        </w:rPr>
      </w:pPr>
      <w:r w:rsidRPr="007576F0">
        <w:rPr>
          <w:rFonts w:ascii="標楷體" w:eastAsia="標楷體" w:hAnsi="標楷體" w:hint="eastAsia"/>
          <w:szCs w:val="24"/>
        </w:rPr>
        <w:t>病理檢驗雌激素受體為陰性ER(-)(</w:t>
      </w:r>
      <w:proofErr w:type="gramStart"/>
      <w:r w:rsidRPr="007576F0">
        <w:rPr>
          <w:rFonts w:ascii="標楷體" w:eastAsia="標楷體" w:hAnsi="標楷體" w:hint="eastAsia"/>
          <w:szCs w:val="24"/>
        </w:rPr>
        <w:t>事審代碼</w:t>
      </w:r>
      <w:proofErr w:type="gramEnd"/>
      <w:r w:rsidRPr="007576F0">
        <w:rPr>
          <w:rFonts w:ascii="標楷體" w:eastAsia="標楷體" w:hAnsi="標楷體" w:hint="eastAsia"/>
          <w:szCs w:val="24"/>
        </w:rPr>
        <w:t>：C50P1)且外科手術後達病理上緩解（</w:t>
      </w:r>
      <w:proofErr w:type="spellStart"/>
      <w:r w:rsidRPr="007576F0">
        <w:rPr>
          <w:rFonts w:ascii="標楷體" w:eastAsia="標楷體" w:hAnsi="標楷體" w:hint="eastAsia"/>
          <w:szCs w:val="24"/>
        </w:rPr>
        <w:t>pCR</w:t>
      </w:r>
      <w:proofErr w:type="spellEnd"/>
      <w:r w:rsidRPr="007576F0">
        <w:rPr>
          <w:rFonts w:ascii="標楷體" w:eastAsia="標楷體" w:hAnsi="標楷體" w:hint="eastAsia"/>
          <w:szCs w:val="24"/>
        </w:rPr>
        <w:t>）者：使用於外科手術前後的總療程合併計算，以全部9個療程為上限；使用</w:t>
      </w:r>
      <w:proofErr w:type="spellStart"/>
      <w:r w:rsidRPr="007576F0">
        <w:rPr>
          <w:rFonts w:ascii="標楷體" w:eastAsia="標楷體" w:hAnsi="標楷體" w:hint="eastAsia"/>
          <w:szCs w:val="24"/>
        </w:rPr>
        <w:t>Eirgasun</w:t>
      </w:r>
      <w:proofErr w:type="spellEnd"/>
      <w:r w:rsidRPr="007576F0">
        <w:rPr>
          <w:rFonts w:ascii="標楷體" w:eastAsia="標楷體" w:hAnsi="標楷體" w:hint="eastAsia"/>
          <w:szCs w:val="24"/>
        </w:rPr>
        <w:t xml:space="preserve"> vial 420 mg、</w:t>
      </w:r>
      <w:proofErr w:type="spellStart"/>
      <w:r w:rsidRPr="007576F0">
        <w:rPr>
          <w:rFonts w:ascii="標楷體" w:eastAsia="標楷體" w:hAnsi="標楷體" w:hint="eastAsia"/>
          <w:szCs w:val="24"/>
        </w:rPr>
        <w:t>Herzuma</w:t>
      </w:r>
      <w:proofErr w:type="spellEnd"/>
      <w:r w:rsidRPr="007576F0">
        <w:rPr>
          <w:rFonts w:ascii="標楷體" w:eastAsia="標楷體" w:hAnsi="標楷體" w:hint="eastAsia"/>
          <w:szCs w:val="24"/>
        </w:rPr>
        <w:t>及</w:t>
      </w:r>
      <w:proofErr w:type="spellStart"/>
      <w:r w:rsidRPr="007576F0">
        <w:rPr>
          <w:rFonts w:ascii="標楷體" w:eastAsia="標楷體" w:hAnsi="標楷體" w:hint="eastAsia"/>
          <w:szCs w:val="24"/>
        </w:rPr>
        <w:t>Ogivri</w:t>
      </w:r>
      <w:proofErr w:type="spellEnd"/>
      <w:r w:rsidRPr="007576F0">
        <w:rPr>
          <w:rFonts w:ascii="標楷體" w:eastAsia="標楷體" w:hAnsi="標楷體" w:hint="eastAsia"/>
          <w:szCs w:val="24"/>
        </w:rPr>
        <w:t>以全部18個療程為上限。(113/8/1、115/7/1、115/8/1</w:t>
      </w:r>
      <w:r w:rsidRPr="007576F0">
        <w:rPr>
          <w:rFonts w:ascii="標楷體" w:eastAsia="標楷體" w:hAnsi="標楷體" w:hint="eastAsia"/>
          <w:color w:val="000000"/>
          <w:szCs w:val="24"/>
        </w:rPr>
        <w:t>)</w:t>
      </w:r>
    </w:p>
    <w:p w14:paraId="21D80412" w14:textId="77777777" w:rsidR="007576F0" w:rsidRPr="007576F0" w:rsidRDefault="007576F0" w:rsidP="002144EC">
      <w:pPr>
        <w:numPr>
          <w:ilvl w:val="0"/>
          <w:numId w:val="192"/>
        </w:numPr>
        <w:suppressAutoHyphens w:val="0"/>
        <w:autoSpaceDN/>
        <w:spacing w:line="300" w:lineRule="exact"/>
        <w:ind w:left="1418" w:hanging="425"/>
        <w:contextualSpacing/>
        <w:jc w:val="both"/>
        <w:textAlignment w:val="auto"/>
        <w:rPr>
          <w:rFonts w:ascii="標楷體" w:eastAsia="標楷體" w:hAnsi="標楷體"/>
          <w:color w:val="000000"/>
          <w:szCs w:val="24"/>
        </w:rPr>
      </w:pPr>
      <w:r w:rsidRPr="007576F0">
        <w:rPr>
          <w:rFonts w:ascii="標楷體" w:eastAsia="標楷體" w:hAnsi="標楷體" w:hint="eastAsia"/>
          <w:szCs w:val="24"/>
        </w:rPr>
        <w:t>病理檢驗</w:t>
      </w:r>
      <w:r w:rsidRPr="007576F0">
        <w:rPr>
          <w:rFonts w:ascii="標楷體" w:eastAsia="標楷體" w:hAnsi="標楷體" w:hint="eastAsia"/>
          <w:color w:val="000000"/>
          <w:szCs w:val="24"/>
        </w:rPr>
        <w:t>ER(-)</w:t>
      </w:r>
      <w:r w:rsidRPr="007576F0">
        <w:rPr>
          <w:rFonts w:ascii="標楷體" w:eastAsia="標楷體" w:hAnsi="標楷體" w:hint="eastAsia"/>
          <w:szCs w:val="24"/>
        </w:rPr>
        <w:t>(</w:t>
      </w:r>
      <w:proofErr w:type="gramStart"/>
      <w:r w:rsidRPr="007576F0">
        <w:rPr>
          <w:rFonts w:ascii="標楷體" w:eastAsia="標楷體" w:hAnsi="標楷體" w:hint="eastAsia"/>
          <w:szCs w:val="24"/>
        </w:rPr>
        <w:t>事審代碼</w:t>
      </w:r>
      <w:proofErr w:type="gramEnd"/>
      <w:r w:rsidRPr="007576F0">
        <w:rPr>
          <w:rFonts w:ascii="標楷體" w:eastAsia="標楷體" w:hAnsi="標楷體" w:hint="eastAsia"/>
          <w:szCs w:val="24"/>
        </w:rPr>
        <w:t>：C50P1)</w:t>
      </w:r>
      <w:r w:rsidRPr="007576F0">
        <w:rPr>
          <w:rFonts w:ascii="標楷體" w:eastAsia="標楷體" w:hAnsi="標楷體" w:hint="eastAsia"/>
          <w:color w:val="000000"/>
          <w:szCs w:val="24"/>
        </w:rPr>
        <w:t>且外科手術後無法達病理上緩解（non-</w:t>
      </w:r>
      <w:proofErr w:type="spellStart"/>
      <w:r w:rsidRPr="007576F0">
        <w:rPr>
          <w:rFonts w:ascii="標楷體" w:eastAsia="標楷體" w:hAnsi="標楷體" w:hint="eastAsia"/>
          <w:color w:val="000000"/>
          <w:szCs w:val="24"/>
        </w:rPr>
        <w:t>pCR</w:t>
      </w:r>
      <w:proofErr w:type="spellEnd"/>
      <w:r w:rsidRPr="007576F0">
        <w:rPr>
          <w:rFonts w:ascii="標楷體" w:eastAsia="標楷體" w:hAnsi="標楷體" w:hint="eastAsia"/>
          <w:color w:val="000000"/>
          <w:szCs w:val="24"/>
        </w:rPr>
        <w:t>）者：本藥品與trastuzumab emtansine使用於外科手術前後的總療程合併計算，以全部18個療程為上限，其中trastuzumab emtansine以14個療程為上限。(113/8/1、</w:t>
      </w:r>
      <w:r w:rsidRPr="007576F0">
        <w:rPr>
          <w:rFonts w:ascii="標楷體" w:eastAsia="標楷體" w:hAnsi="標楷體" w:hint="eastAsia"/>
          <w:szCs w:val="24"/>
        </w:rPr>
        <w:t>115/7/1</w:t>
      </w:r>
      <w:r w:rsidRPr="007576F0">
        <w:rPr>
          <w:rFonts w:ascii="標楷體" w:eastAsia="標楷體" w:hAnsi="標楷體" w:hint="eastAsia"/>
          <w:color w:val="000000"/>
          <w:szCs w:val="24"/>
        </w:rPr>
        <w:t>)</w:t>
      </w:r>
    </w:p>
    <w:p w14:paraId="7720D9B6" w14:textId="77777777" w:rsidR="007576F0" w:rsidRPr="007576F0" w:rsidRDefault="007576F0" w:rsidP="002144EC">
      <w:pPr>
        <w:numPr>
          <w:ilvl w:val="0"/>
          <w:numId w:val="192"/>
        </w:numPr>
        <w:suppressAutoHyphens w:val="0"/>
        <w:autoSpaceDN/>
        <w:spacing w:line="300" w:lineRule="exact"/>
        <w:ind w:left="1418" w:hanging="567"/>
        <w:contextualSpacing/>
        <w:jc w:val="both"/>
        <w:textAlignment w:val="auto"/>
        <w:rPr>
          <w:rFonts w:ascii="標楷體" w:eastAsia="標楷體" w:hAnsi="標楷體"/>
          <w:color w:val="000000"/>
          <w:szCs w:val="24"/>
        </w:rPr>
      </w:pPr>
      <w:r w:rsidRPr="007576F0">
        <w:rPr>
          <w:rFonts w:ascii="標楷體" w:eastAsia="標楷體" w:hAnsi="標楷體" w:hint="eastAsia"/>
          <w:szCs w:val="24"/>
        </w:rPr>
        <w:t>病理檢驗陽性ER(+)(</w:t>
      </w:r>
      <w:proofErr w:type="gramStart"/>
      <w:r w:rsidRPr="007576F0">
        <w:rPr>
          <w:rFonts w:ascii="標楷體" w:eastAsia="標楷體" w:hAnsi="標楷體" w:hint="eastAsia"/>
          <w:szCs w:val="24"/>
        </w:rPr>
        <w:t>事審代碼</w:t>
      </w:r>
      <w:proofErr w:type="gramEnd"/>
      <w:r w:rsidRPr="007576F0">
        <w:rPr>
          <w:rFonts w:ascii="標楷體" w:eastAsia="標楷體" w:hAnsi="標楷體" w:hint="eastAsia"/>
          <w:szCs w:val="24"/>
        </w:rPr>
        <w:t>：C50P3)：限使用</w:t>
      </w:r>
      <w:proofErr w:type="spellStart"/>
      <w:r w:rsidRPr="007576F0">
        <w:rPr>
          <w:rFonts w:ascii="標楷體" w:eastAsia="標楷體" w:hAnsi="標楷體" w:hint="eastAsia"/>
          <w:szCs w:val="24"/>
        </w:rPr>
        <w:t>Eirgasun</w:t>
      </w:r>
      <w:proofErr w:type="spellEnd"/>
      <w:r w:rsidRPr="007576F0">
        <w:rPr>
          <w:rFonts w:ascii="標楷體" w:eastAsia="標楷體" w:hAnsi="標楷體" w:hint="eastAsia"/>
          <w:szCs w:val="24"/>
        </w:rPr>
        <w:t xml:space="preserve"> vial 420 mg、</w:t>
      </w:r>
      <w:proofErr w:type="spellStart"/>
      <w:r w:rsidRPr="007576F0">
        <w:rPr>
          <w:rFonts w:ascii="標楷體" w:eastAsia="標楷體" w:hAnsi="標楷體" w:hint="eastAsia"/>
          <w:szCs w:val="24"/>
        </w:rPr>
        <w:t>Herzuma</w:t>
      </w:r>
      <w:proofErr w:type="spellEnd"/>
      <w:r w:rsidRPr="007576F0">
        <w:rPr>
          <w:rFonts w:ascii="標楷體" w:eastAsia="標楷體" w:hAnsi="標楷體" w:hint="eastAsia"/>
          <w:szCs w:val="24"/>
        </w:rPr>
        <w:t>及</w:t>
      </w:r>
      <w:proofErr w:type="spellStart"/>
      <w:r w:rsidRPr="007576F0">
        <w:rPr>
          <w:rFonts w:ascii="標楷體" w:eastAsia="標楷體" w:hAnsi="標楷體" w:hint="eastAsia"/>
          <w:szCs w:val="24"/>
        </w:rPr>
        <w:t>Ogivri</w:t>
      </w:r>
      <w:proofErr w:type="spellEnd"/>
      <w:r w:rsidRPr="007576F0">
        <w:rPr>
          <w:rFonts w:ascii="標楷體" w:eastAsia="標楷體" w:hAnsi="標楷體" w:hint="eastAsia"/>
          <w:szCs w:val="24"/>
        </w:rPr>
        <w:t>於外科手術前後的總療程合併計算，以全部18個療程為上限。(115/7/1、115/8/1)</w:t>
      </w:r>
    </w:p>
    <w:p w14:paraId="424D1DA4" w14:textId="77777777" w:rsidR="007576F0" w:rsidRPr="007576F0" w:rsidRDefault="007576F0" w:rsidP="002144EC">
      <w:pPr>
        <w:numPr>
          <w:ilvl w:val="0"/>
          <w:numId w:val="192"/>
        </w:numPr>
        <w:suppressAutoHyphens w:val="0"/>
        <w:autoSpaceDN/>
        <w:spacing w:line="300" w:lineRule="exact"/>
        <w:ind w:left="1418" w:hanging="425"/>
        <w:contextualSpacing/>
        <w:jc w:val="both"/>
        <w:textAlignment w:val="auto"/>
        <w:rPr>
          <w:rFonts w:ascii="標楷體" w:eastAsia="標楷體" w:hAnsi="標楷體"/>
          <w:color w:val="000000"/>
          <w:szCs w:val="24"/>
        </w:rPr>
      </w:pPr>
      <w:r w:rsidRPr="007576F0">
        <w:rPr>
          <w:rFonts w:ascii="標楷體" w:eastAsia="標楷體" w:hAnsi="標楷體"/>
          <w:color w:val="000000"/>
          <w:szCs w:val="24"/>
        </w:rPr>
        <w:t>1</w:t>
      </w:r>
      <w:r w:rsidRPr="007576F0">
        <w:rPr>
          <w:rFonts w:ascii="標楷體" w:eastAsia="標楷體" w:hAnsi="標楷體" w:hint="eastAsia"/>
          <w:color w:val="000000"/>
          <w:szCs w:val="24"/>
        </w:rPr>
        <w:t>15年6月30日以前已核定使用trastuzumab之病人，得經事前審查核准後，使用</w:t>
      </w:r>
      <w:proofErr w:type="spellStart"/>
      <w:r w:rsidRPr="007576F0">
        <w:rPr>
          <w:rFonts w:ascii="標楷體" w:eastAsia="標楷體" w:hAnsi="標楷體" w:hint="eastAsia"/>
          <w:color w:val="000000"/>
          <w:szCs w:val="24"/>
        </w:rPr>
        <w:t>Eirgasun</w:t>
      </w:r>
      <w:proofErr w:type="spellEnd"/>
      <w:r w:rsidRPr="007576F0">
        <w:rPr>
          <w:rFonts w:ascii="標楷體" w:eastAsia="標楷體" w:hAnsi="標楷體" w:hint="eastAsia"/>
          <w:color w:val="000000"/>
          <w:szCs w:val="24"/>
        </w:rPr>
        <w:t xml:space="preserve"> vial 420 mg、</w:t>
      </w:r>
      <w:proofErr w:type="spellStart"/>
      <w:r w:rsidRPr="007576F0">
        <w:rPr>
          <w:rFonts w:ascii="標楷體" w:eastAsia="標楷體" w:hAnsi="標楷體" w:hint="eastAsia"/>
          <w:color w:val="000000"/>
          <w:szCs w:val="24"/>
        </w:rPr>
        <w:t>Herzuma</w:t>
      </w:r>
      <w:proofErr w:type="spellEnd"/>
      <w:r w:rsidRPr="007576F0">
        <w:rPr>
          <w:rFonts w:ascii="標楷體" w:eastAsia="標楷體" w:hAnsi="標楷體" w:hint="eastAsia"/>
          <w:color w:val="000000"/>
          <w:szCs w:val="24"/>
        </w:rPr>
        <w:t>及</w:t>
      </w:r>
      <w:proofErr w:type="spellStart"/>
      <w:r w:rsidRPr="007576F0">
        <w:rPr>
          <w:rFonts w:ascii="標楷體" w:eastAsia="標楷體" w:hAnsi="標楷體" w:hint="eastAsia"/>
          <w:color w:val="000000"/>
          <w:szCs w:val="24"/>
        </w:rPr>
        <w:t>Ogivri</w:t>
      </w:r>
      <w:proofErr w:type="spellEnd"/>
      <w:r w:rsidRPr="007576F0">
        <w:rPr>
          <w:rFonts w:ascii="標楷體" w:eastAsia="標楷體" w:hAnsi="標楷體" w:hint="eastAsia"/>
          <w:color w:val="000000"/>
          <w:szCs w:val="24"/>
        </w:rPr>
        <w:t>至總療程上限(即18個療程)或使用期間發生疾病惡化為止(115/7/1、115/8/1)。</w:t>
      </w:r>
    </w:p>
    <w:p w14:paraId="2377069B" w14:textId="77777777" w:rsidR="007576F0" w:rsidRPr="007576F0" w:rsidRDefault="007576F0" w:rsidP="007576F0">
      <w:pPr>
        <w:spacing w:line="300" w:lineRule="exact"/>
        <w:ind w:leftChars="355" w:left="1334" w:hangingChars="201" w:hanging="482"/>
        <w:jc w:val="both"/>
        <w:rPr>
          <w:rFonts w:ascii="標楷體" w:eastAsia="標楷體" w:hAnsi="標楷體"/>
          <w:szCs w:val="24"/>
        </w:rPr>
      </w:pPr>
      <w:r w:rsidRPr="007576F0">
        <w:rPr>
          <w:rFonts w:ascii="標楷體" w:eastAsia="標楷體" w:hAnsi="標楷體" w:cs="新細明體" w:hint="eastAsia"/>
          <w:szCs w:val="24"/>
        </w:rPr>
        <w:t>Ⅱ</w:t>
      </w:r>
      <w:r w:rsidRPr="007576F0">
        <w:rPr>
          <w:rFonts w:ascii="標楷體" w:eastAsia="標楷體" w:hAnsi="標楷體"/>
          <w:szCs w:val="24"/>
        </w:rPr>
        <w:t>.</w:t>
      </w:r>
      <w:r w:rsidRPr="007576F0">
        <w:rPr>
          <w:rFonts w:ascii="標楷體" w:eastAsia="標楷體" w:hAnsi="標楷體" w:hint="eastAsia"/>
          <w:szCs w:val="24"/>
        </w:rPr>
        <w:t>若未接受術前輔助治療先行手術者，給予本藥品(限使用</w:t>
      </w:r>
      <w:proofErr w:type="spellStart"/>
      <w:r w:rsidRPr="007576F0">
        <w:rPr>
          <w:rFonts w:ascii="標楷體" w:eastAsia="標楷體" w:hAnsi="標楷體" w:hint="eastAsia"/>
          <w:szCs w:val="24"/>
        </w:rPr>
        <w:t>Eirgasun</w:t>
      </w:r>
      <w:proofErr w:type="spellEnd"/>
      <w:r w:rsidRPr="007576F0">
        <w:rPr>
          <w:rFonts w:ascii="標楷體" w:eastAsia="標楷體" w:hAnsi="標楷體" w:hint="eastAsia"/>
          <w:szCs w:val="24"/>
        </w:rPr>
        <w:t xml:space="preserve"> vial 420 mg、</w:t>
      </w:r>
      <w:proofErr w:type="spellStart"/>
      <w:r w:rsidRPr="007576F0">
        <w:rPr>
          <w:rFonts w:ascii="標楷體" w:eastAsia="標楷體" w:hAnsi="標楷體" w:hint="eastAsia"/>
          <w:szCs w:val="24"/>
        </w:rPr>
        <w:t>Herzuma</w:t>
      </w:r>
      <w:proofErr w:type="spellEnd"/>
      <w:r w:rsidRPr="007576F0">
        <w:rPr>
          <w:rFonts w:ascii="標楷體" w:eastAsia="標楷體" w:hAnsi="標楷體" w:hint="eastAsia"/>
          <w:szCs w:val="24"/>
        </w:rPr>
        <w:t>及</w:t>
      </w:r>
      <w:proofErr w:type="spellStart"/>
      <w:r w:rsidRPr="007576F0">
        <w:rPr>
          <w:rFonts w:ascii="標楷體" w:eastAsia="標楷體" w:hAnsi="標楷體" w:hint="eastAsia"/>
          <w:szCs w:val="24"/>
        </w:rPr>
        <w:t>Ogivri</w:t>
      </w:r>
      <w:proofErr w:type="spellEnd"/>
      <w:r w:rsidRPr="007576F0">
        <w:rPr>
          <w:rFonts w:ascii="標楷體" w:eastAsia="標楷體" w:hAnsi="標楷體" w:hint="eastAsia"/>
          <w:szCs w:val="24"/>
        </w:rPr>
        <w:t>)作為術後輔助治療，以全部18個療程為上限，須接受至少4個療程的化學治療(合併</w:t>
      </w:r>
      <w:proofErr w:type="gramStart"/>
      <w:r w:rsidRPr="007576F0">
        <w:rPr>
          <w:rFonts w:ascii="標楷體" w:eastAsia="標楷體" w:hAnsi="標楷體" w:hint="eastAsia"/>
          <w:szCs w:val="24"/>
        </w:rPr>
        <w:t>化療或接續</w:t>
      </w:r>
      <w:proofErr w:type="gramEnd"/>
      <w:r w:rsidRPr="007576F0">
        <w:rPr>
          <w:rFonts w:ascii="標楷體" w:eastAsia="標楷體" w:hAnsi="標楷體" w:hint="eastAsia"/>
          <w:szCs w:val="24"/>
        </w:rPr>
        <w:t>化療之後使用本藥品)，並須符合下列條件之</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：(115/7/1、115/8/1)</w:t>
      </w:r>
    </w:p>
    <w:p w14:paraId="28451C9C" w14:textId="77777777" w:rsidR="007576F0" w:rsidRPr="007576F0" w:rsidRDefault="007576F0" w:rsidP="007576F0">
      <w:pPr>
        <w:spacing w:line="300" w:lineRule="exact"/>
        <w:ind w:left="1441" w:hanging="420"/>
        <w:rPr>
          <w:rFonts w:ascii="標楷體" w:eastAsia="標楷體" w:hAnsi="標楷體"/>
          <w:color w:val="000000"/>
          <w:szCs w:val="24"/>
        </w:rPr>
      </w:pPr>
      <w:proofErr w:type="spellStart"/>
      <w:r w:rsidRPr="007576F0">
        <w:rPr>
          <w:rFonts w:ascii="標楷體" w:eastAsia="標楷體" w:hAnsi="標楷體"/>
          <w:color w:val="000000"/>
          <w:szCs w:val="24"/>
        </w:rPr>
        <w:t>i</w:t>
      </w:r>
      <w:proofErr w:type="spellEnd"/>
      <w:r w:rsidRPr="007576F0">
        <w:rPr>
          <w:rFonts w:ascii="標楷體" w:eastAsia="標楷體" w:hAnsi="標楷體"/>
          <w:color w:val="000000"/>
          <w:szCs w:val="24"/>
        </w:rPr>
        <w:t>.</w:t>
      </w:r>
      <w:r w:rsidRPr="007576F0">
        <w:rPr>
          <w:rFonts w:ascii="標楷體" w:eastAsia="標楷體" w:hAnsi="標楷體" w:hint="eastAsia"/>
          <w:szCs w:val="24"/>
        </w:rPr>
        <w:t xml:space="preserve"> ER(</w:t>
      </w:r>
      <w:proofErr w:type="gramStart"/>
      <w:r w:rsidRPr="007576F0">
        <w:rPr>
          <w:rFonts w:ascii="標楷體" w:eastAsia="標楷體" w:hAnsi="標楷體" w:hint="eastAsia"/>
          <w:szCs w:val="24"/>
        </w:rPr>
        <w:t>-)且腫瘤大於</w:t>
      </w:r>
      <w:proofErr w:type="gramEnd"/>
      <w:r w:rsidRPr="007576F0">
        <w:rPr>
          <w:rFonts w:ascii="標楷體" w:eastAsia="標楷體" w:hAnsi="標楷體" w:hint="eastAsia"/>
          <w:szCs w:val="24"/>
        </w:rPr>
        <w:t>0.5公分(事審代碼：C50P4)。</w:t>
      </w:r>
    </w:p>
    <w:p w14:paraId="7E675E44" w14:textId="77777777" w:rsidR="007576F0" w:rsidRPr="007576F0" w:rsidRDefault="007576F0" w:rsidP="007576F0">
      <w:pPr>
        <w:spacing w:line="300" w:lineRule="exact"/>
        <w:ind w:left="1441" w:hanging="420"/>
        <w:rPr>
          <w:rFonts w:ascii="標楷體" w:eastAsia="標楷體" w:hAnsi="標楷體"/>
          <w:color w:val="000000"/>
          <w:szCs w:val="24"/>
        </w:rPr>
      </w:pPr>
      <w:r w:rsidRPr="007576F0">
        <w:rPr>
          <w:rFonts w:ascii="標楷體" w:eastAsia="標楷體" w:hAnsi="標楷體"/>
          <w:color w:val="000000"/>
          <w:szCs w:val="24"/>
        </w:rPr>
        <w:t>ii.</w:t>
      </w:r>
      <w:r w:rsidRPr="007576F0">
        <w:rPr>
          <w:rFonts w:ascii="標楷體" w:eastAsia="標楷體" w:hAnsi="標楷體" w:hint="eastAsia"/>
          <w:szCs w:val="24"/>
        </w:rPr>
        <w:t xml:space="preserve"> ER(</w:t>
      </w:r>
      <w:proofErr w:type="gramStart"/>
      <w:r w:rsidRPr="007576F0">
        <w:rPr>
          <w:rFonts w:ascii="標楷體" w:eastAsia="標楷體" w:hAnsi="標楷體" w:hint="eastAsia"/>
          <w:szCs w:val="24"/>
        </w:rPr>
        <w:t>+)且腫瘤大於</w:t>
      </w:r>
      <w:proofErr w:type="gramEnd"/>
      <w:r w:rsidRPr="007576F0">
        <w:rPr>
          <w:rFonts w:ascii="標楷體" w:eastAsia="標楷體" w:hAnsi="標楷體" w:hint="eastAsia"/>
          <w:szCs w:val="24"/>
        </w:rPr>
        <w:t>1公分(事審代碼：C50P5)。</w:t>
      </w:r>
    </w:p>
    <w:p w14:paraId="5E984F7C" w14:textId="77777777" w:rsidR="007576F0" w:rsidRPr="007576F0" w:rsidRDefault="007576F0" w:rsidP="007576F0">
      <w:pPr>
        <w:spacing w:line="300" w:lineRule="exact"/>
        <w:ind w:left="811" w:hanging="245"/>
        <w:rPr>
          <w:rFonts w:ascii="標楷體" w:eastAsia="標楷體" w:hAnsi="標楷體"/>
          <w:color w:val="000000"/>
          <w:szCs w:val="24"/>
        </w:rPr>
      </w:pPr>
      <w:r w:rsidRPr="007576F0">
        <w:rPr>
          <w:rFonts w:ascii="標楷體" w:eastAsia="標楷體" w:hAnsi="標楷體"/>
          <w:color w:val="000000"/>
          <w:szCs w:val="24"/>
        </w:rPr>
        <w:t>2.轉移性乳癌</w:t>
      </w:r>
      <w:r w:rsidRPr="007576F0">
        <w:rPr>
          <w:rFonts w:ascii="標楷體" w:eastAsia="標楷體" w:hAnsi="標楷體" w:hint="eastAsia"/>
          <w:szCs w:val="24"/>
        </w:rPr>
        <w:t>(</w:t>
      </w:r>
      <w:proofErr w:type="gramStart"/>
      <w:r w:rsidRPr="007576F0">
        <w:rPr>
          <w:rFonts w:ascii="標楷體" w:eastAsia="標楷體" w:hAnsi="標楷體" w:hint="eastAsia"/>
          <w:szCs w:val="24"/>
        </w:rPr>
        <w:t>事審代碼</w:t>
      </w:r>
      <w:proofErr w:type="gramEnd"/>
      <w:r w:rsidRPr="007576F0">
        <w:rPr>
          <w:rFonts w:ascii="標楷體" w:eastAsia="標楷體" w:hAnsi="標楷體" w:hint="eastAsia"/>
          <w:szCs w:val="24"/>
        </w:rPr>
        <w:t>：C50R1)</w:t>
      </w:r>
    </w:p>
    <w:p w14:paraId="142E40C2" w14:textId="77777777" w:rsidR="007576F0" w:rsidRPr="007576F0" w:rsidRDefault="007576F0" w:rsidP="007576F0">
      <w:pPr>
        <w:spacing w:line="300" w:lineRule="exact"/>
        <w:ind w:left="1049" w:hanging="341"/>
        <w:rPr>
          <w:rFonts w:ascii="標楷體" w:eastAsia="標楷體" w:hAnsi="標楷體"/>
          <w:color w:val="000000"/>
          <w:szCs w:val="24"/>
        </w:rPr>
      </w:pPr>
      <w:r w:rsidRPr="007576F0">
        <w:rPr>
          <w:rFonts w:ascii="標楷體" w:eastAsia="標楷體" w:hAnsi="標楷體"/>
          <w:color w:val="000000"/>
          <w:szCs w:val="24"/>
        </w:rPr>
        <w:t>(1)單獨使用於治療腫瘤細胞上有HER2過度表現(IHC3+或FISH+)，曾接受過一次以上化學治療之轉移性乳癌病人。(91/4/1、99/1/1)</w:t>
      </w:r>
    </w:p>
    <w:p w14:paraId="4D771DDB" w14:textId="77777777" w:rsidR="007576F0" w:rsidRPr="007576F0" w:rsidRDefault="007576F0" w:rsidP="007576F0">
      <w:pPr>
        <w:spacing w:line="300" w:lineRule="exact"/>
        <w:ind w:left="1049" w:hanging="341"/>
        <w:rPr>
          <w:rFonts w:ascii="標楷體" w:eastAsia="標楷體" w:hAnsi="標楷體"/>
          <w:color w:val="000000"/>
          <w:szCs w:val="24"/>
        </w:rPr>
      </w:pPr>
      <w:r w:rsidRPr="007576F0">
        <w:rPr>
          <w:rFonts w:ascii="標楷體" w:eastAsia="標楷體" w:hAnsi="標楷體"/>
          <w:color w:val="000000"/>
          <w:szCs w:val="24"/>
        </w:rPr>
        <w:t>(2)與paclitaxel或docetaxel</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用，使用於未曾接受過化學治療之轉移性乳癌病患，且為HER2過度表現(IHC3+或FISH+)者。(93/8/1、95/2/1、99/1/1)</w:t>
      </w:r>
    </w:p>
    <w:p w14:paraId="6DC12A0E" w14:textId="77777777" w:rsidR="007576F0" w:rsidRPr="007576F0" w:rsidRDefault="007576F0" w:rsidP="007576F0">
      <w:pPr>
        <w:spacing w:line="300" w:lineRule="exact"/>
        <w:ind w:left="1049" w:hanging="341"/>
        <w:rPr>
          <w:rFonts w:ascii="標楷體" w:eastAsia="標楷體" w:hAnsi="標楷體"/>
          <w:color w:val="000000"/>
          <w:szCs w:val="24"/>
        </w:rPr>
      </w:pPr>
      <w:r w:rsidRPr="007576F0">
        <w:rPr>
          <w:rFonts w:ascii="標楷體" w:eastAsia="標楷體" w:hAnsi="標楷體"/>
          <w:color w:val="000000"/>
          <w:szCs w:val="24"/>
        </w:rPr>
        <w:t>(3)轉移性乳癌且HER2過度表現之病人，僅限先前未使用過本藥品者方可使用。(99/1/1、108/5/1、113/12/1)</w:t>
      </w:r>
    </w:p>
    <w:p w14:paraId="26775093" w14:textId="77777777" w:rsidR="007576F0" w:rsidRPr="007576F0" w:rsidRDefault="007576F0" w:rsidP="007576F0">
      <w:pPr>
        <w:spacing w:line="300" w:lineRule="exact"/>
        <w:ind w:left="1049" w:hanging="341"/>
        <w:rPr>
          <w:rFonts w:ascii="標楷體" w:eastAsia="標楷體" w:hAnsi="標楷體"/>
          <w:color w:val="000000"/>
          <w:szCs w:val="24"/>
        </w:rPr>
      </w:pPr>
      <w:r w:rsidRPr="007576F0">
        <w:rPr>
          <w:rFonts w:ascii="標楷體" w:eastAsia="標楷體" w:hAnsi="標楷體"/>
          <w:color w:val="000000"/>
          <w:szCs w:val="24"/>
        </w:rPr>
        <w:t>(4)若先前使用過docetaxel及</w:t>
      </w:r>
      <w:proofErr w:type="spellStart"/>
      <w:r w:rsidRPr="007576F0">
        <w:rPr>
          <w:rFonts w:ascii="標楷體" w:eastAsia="標楷體" w:hAnsi="標楷體"/>
          <w:color w:val="000000"/>
          <w:szCs w:val="24"/>
        </w:rPr>
        <w:t>pertuzumab</w:t>
      </w:r>
      <w:proofErr w:type="spellEnd"/>
      <w:r w:rsidRPr="007576F0">
        <w:rPr>
          <w:rFonts w:ascii="標楷體" w:eastAsia="標楷體" w:hAnsi="標楷體"/>
          <w:color w:val="000000"/>
          <w:szCs w:val="24"/>
        </w:rPr>
        <w:t>與trastuzumab</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用或docetaxel及</w:t>
      </w:r>
      <w:proofErr w:type="spellStart"/>
      <w:r w:rsidRPr="007576F0">
        <w:rPr>
          <w:rFonts w:ascii="標楷體" w:eastAsia="標楷體" w:hAnsi="標楷體"/>
          <w:color w:val="000000"/>
          <w:szCs w:val="24"/>
        </w:rPr>
        <w:t>pertuzumab</w:t>
      </w:r>
      <w:proofErr w:type="spellEnd"/>
      <w:r w:rsidRPr="007576F0">
        <w:rPr>
          <w:rFonts w:ascii="標楷體" w:eastAsia="標楷體" w:hAnsi="標楷體"/>
          <w:color w:val="000000"/>
          <w:szCs w:val="24"/>
        </w:rPr>
        <w:t>與trastuzumab皮下注射複方製劑(如</w:t>
      </w:r>
      <w:proofErr w:type="spellStart"/>
      <w:r w:rsidRPr="007576F0">
        <w:rPr>
          <w:rFonts w:ascii="標楷體" w:eastAsia="標楷體" w:hAnsi="標楷體"/>
          <w:color w:val="000000"/>
          <w:szCs w:val="24"/>
        </w:rPr>
        <w:t>Phesgo</w:t>
      </w:r>
      <w:proofErr w:type="spellEnd"/>
      <w:r w:rsidRPr="007576F0">
        <w:rPr>
          <w:rFonts w:ascii="標楷體" w:eastAsia="標楷體" w:hAnsi="標楷體"/>
          <w:color w:val="000000"/>
          <w:szCs w:val="24"/>
        </w:rPr>
        <w:t>)</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用達18個月上限仍未惡化者，得再次申請本藥品。(108/5/1、113/12/1)</w:t>
      </w:r>
    </w:p>
    <w:p w14:paraId="4A5AEA0C" w14:textId="77777777" w:rsidR="007576F0" w:rsidRPr="007576F0" w:rsidRDefault="007576F0" w:rsidP="007576F0">
      <w:pPr>
        <w:spacing w:line="300" w:lineRule="exact"/>
        <w:ind w:left="811" w:hanging="245"/>
        <w:rPr>
          <w:rFonts w:ascii="標楷體" w:eastAsia="標楷體" w:hAnsi="標楷體"/>
          <w:color w:val="000000"/>
          <w:szCs w:val="24"/>
        </w:rPr>
      </w:pPr>
      <w:r w:rsidRPr="007576F0">
        <w:rPr>
          <w:rFonts w:ascii="標楷體" w:eastAsia="標楷體" w:hAnsi="標楷體"/>
          <w:color w:val="000000"/>
          <w:szCs w:val="24"/>
        </w:rPr>
        <w:t>3.轉移性胃癌(限IV 劑型)</w:t>
      </w:r>
      <w:r w:rsidRPr="007576F0">
        <w:rPr>
          <w:rFonts w:ascii="標楷體" w:eastAsia="標楷體" w:hAnsi="標楷體" w:hint="eastAsia"/>
          <w:szCs w:val="24"/>
        </w:rPr>
        <w:t xml:space="preserve"> (</w:t>
      </w:r>
      <w:proofErr w:type="gramStart"/>
      <w:r w:rsidRPr="007576F0">
        <w:rPr>
          <w:rFonts w:ascii="標楷體" w:eastAsia="標楷體" w:hAnsi="標楷體" w:hint="eastAsia"/>
          <w:szCs w:val="24"/>
        </w:rPr>
        <w:t>事審代碼</w:t>
      </w:r>
      <w:proofErr w:type="gramEnd"/>
      <w:r w:rsidRPr="007576F0">
        <w:rPr>
          <w:rFonts w:ascii="標楷體" w:eastAsia="標楷體" w:hAnsi="標楷體" w:hint="eastAsia"/>
          <w:szCs w:val="24"/>
        </w:rPr>
        <w:t>：C16R1)</w:t>
      </w:r>
    </w:p>
    <w:p w14:paraId="1CD1B59D" w14:textId="77777777" w:rsidR="007576F0" w:rsidRPr="007576F0" w:rsidRDefault="007576F0" w:rsidP="007576F0">
      <w:pPr>
        <w:spacing w:line="300" w:lineRule="exact"/>
        <w:ind w:left="811" w:hanging="245"/>
        <w:rPr>
          <w:rFonts w:ascii="標楷體" w:eastAsia="標楷體" w:hAnsi="標楷體"/>
          <w:color w:val="000000"/>
          <w:szCs w:val="24"/>
        </w:rPr>
      </w:pPr>
      <w:r w:rsidRPr="007576F0">
        <w:rPr>
          <w:rFonts w:ascii="標楷體" w:eastAsia="標楷體" w:hAnsi="標楷體"/>
          <w:color w:val="000000"/>
          <w:szCs w:val="24"/>
        </w:rPr>
        <w:t>  Trastuzumab合併capecitabine (或5-fluorouracil)及cisplatin適用於未曾接受過化學治療之HER2過度表現(IHC3+或FISH+)轉移性胃腺癌(或胃食道</w:t>
      </w:r>
      <w:proofErr w:type="gramStart"/>
      <w:r w:rsidRPr="007576F0">
        <w:rPr>
          <w:rFonts w:ascii="標楷體" w:eastAsia="標楷體" w:hAnsi="標楷體"/>
          <w:color w:val="000000"/>
          <w:szCs w:val="24"/>
        </w:rPr>
        <w:t>接合處腺癌</w:t>
      </w:r>
      <w:proofErr w:type="gramEnd"/>
      <w:r w:rsidRPr="007576F0">
        <w:rPr>
          <w:rFonts w:ascii="標楷體" w:eastAsia="標楷體" w:hAnsi="標楷體"/>
          <w:color w:val="000000"/>
          <w:szCs w:val="24"/>
        </w:rPr>
        <w:t>)的治療。(109/2/1)</w:t>
      </w:r>
    </w:p>
    <w:p w14:paraId="3431070D" w14:textId="77777777" w:rsidR="007576F0" w:rsidRPr="007576F0" w:rsidRDefault="007576F0" w:rsidP="007576F0">
      <w:pPr>
        <w:spacing w:line="300" w:lineRule="exact"/>
        <w:ind w:left="993" w:hanging="386"/>
        <w:rPr>
          <w:rFonts w:ascii="標楷體" w:eastAsia="標楷體" w:hAnsi="標楷體"/>
          <w:color w:val="000000"/>
        </w:rPr>
      </w:pPr>
      <w:r w:rsidRPr="007576F0">
        <w:rPr>
          <w:rFonts w:ascii="標楷體" w:eastAsia="標楷體" w:hAnsi="標楷體"/>
          <w:color w:val="000000"/>
          <w:szCs w:val="24"/>
        </w:rPr>
        <w:t>4.經事前審查核准後使用，核准後早期乳癌及轉移性胃癌每24</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、晚期乳癌每18</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須檢附療效評估資料再次申請，若疾病有惡化情形即不應再行申請。（105/11/1、114/5/1）</w:t>
      </w:r>
    </w:p>
    <w:p w14:paraId="57E84E58"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w:t>
      </w:r>
      <w:proofErr w:type="gramStart"/>
      <w:r w:rsidRPr="007576F0">
        <w:rPr>
          <w:rFonts w:ascii="標楷體" w:eastAsia="標楷體" w:hAnsi="標楷體"/>
          <w:color w:val="000000"/>
        </w:rPr>
        <w:t>19.Estramustine</w:t>
      </w:r>
      <w:proofErr w:type="gramEnd"/>
      <w:r w:rsidRPr="007576F0">
        <w:rPr>
          <w:rFonts w:ascii="標楷體" w:eastAsia="標楷體" w:hAnsi="標楷體"/>
          <w:color w:val="000000"/>
        </w:rPr>
        <w:t xml:space="preserve"> sod. phosphate monohydrate(如</w:t>
      </w:r>
      <w:proofErr w:type="spellStart"/>
      <w:r w:rsidRPr="007576F0">
        <w:rPr>
          <w:rFonts w:ascii="標楷體" w:eastAsia="標楷體" w:hAnsi="標楷體"/>
          <w:color w:val="000000"/>
        </w:rPr>
        <w:t>Estracyt</w:t>
      </w:r>
      <w:proofErr w:type="spellEnd"/>
      <w:r w:rsidRPr="007576F0">
        <w:rPr>
          <w:rFonts w:ascii="標楷體" w:eastAsia="標楷體" w:hAnsi="標楷體"/>
          <w:color w:val="000000"/>
        </w:rPr>
        <w:t>)：(91/4/1)</w:t>
      </w:r>
    </w:p>
    <w:p w14:paraId="061270E5"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限晚期前列腺癌病患且符合下列條件之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者使用：</w:t>
      </w:r>
    </w:p>
    <w:p w14:paraId="0C81BC63"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1.經荷爾蒙治療無效。</w:t>
      </w:r>
    </w:p>
    <w:p w14:paraId="6824E87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lastRenderedPageBreak/>
        <w:t>2.經診斷對單獨使用荷爾蒙治療，具有預後療效不佳因素的初次治療病患。</w:t>
      </w:r>
    </w:p>
    <w:p w14:paraId="6AF740DF" w14:textId="77777777" w:rsidR="007576F0" w:rsidRPr="007576F0" w:rsidRDefault="007576F0" w:rsidP="007576F0">
      <w:pPr>
        <w:spacing w:line="300" w:lineRule="exact"/>
        <w:ind w:left="672" w:hanging="386"/>
        <w:rPr>
          <w:rFonts w:ascii="標楷體" w:eastAsia="標楷體" w:hAnsi="標楷體"/>
          <w:color w:val="000000"/>
        </w:rPr>
      </w:pPr>
      <w:bookmarkStart w:id="39" w:name="_Hlk230360559"/>
      <w:r w:rsidRPr="007576F0">
        <w:rPr>
          <w:rFonts w:ascii="標楷體" w:eastAsia="標楷體" w:hAnsi="標楷體"/>
          <w:color w:val="000000"/>
        </w:rPr>
        <w:t>9.</w:t>
      </w:r>
      <w:bookmarkEnd w:id="39"/>
      <w:r w:rsidRPr="007576F0">
        <w:rPr>
          <w:rFonts w:ascii="標楷體" w:eastAsia="標楷體" w:hAnsi="標楷體" w:hint="eastAsia"/>
          <w:color w:val="000000"/>
        </w:rPr>
        <w:t>20.Rituximab注射劑(如</w:t>
      </w:r>
      <w:proofErr w:type="spellStart"/>
      <w:r w:rsidRPr="007576F0">
        <w:rPr>
          <w:rFonts w:ascii="標楷體" w:eastAsia="標楷體" w:hAnsi="標楷體" w:hint="eastAsia"/>
          <w:color w:val="000000"/>
        </w:rPr>
        <w:t>Mabthera</w:t>
      </w:r>
      <w:proofErr w:type="spellEnd"/>
      <w:r w:rsidRPr="007576F0">
        <w:rPr>
          <w:rFonts w:ascii="標楷體" w:eastAsia="標楷體" w:hAnsi="標楷體" w:hint="eastAsia"/>
          <w:color w:val="000000"/>
        </w:rPr>
        <w:t>，不同劑型之適用範圍需符合藥品許可證登載之適應症)：用於抗癌瘤部分(91/4/1、93/1/1、95/3/1、97/2/1、102/1/1、103/2/1、103/9/1、104/6/1、106/9/1、111/6/1、113/2/1、113/12/1、115/5/1、115/6/1、115/8/1、115/9/1)</w:t>
      </w:r>
    </w:p>
    <w:p w14:paraId="2A809FD4" w14:textId="77777777" w:rsidR="007576F0" w:rsidRPr="007576F0" w:rsidRDefault="007576F0" w:rsidP="007576F0">
      <w:pPr>
        <w:spacing w:line="300" w:lineRule="exact"/>
        <w:ind w:left="991" w:hanging="386"/>
        <w:textAlignment w:val="auto"/>
        <w:rPr>
          <w:rFonts w:ascii="標楷體" w:eastAsia="標楷體" w:hAnsi="標楷體"/>
          <w:color w:val="000000"/>
        </w:rPr>
      </w:pPr>
      <w:r w:rsidRPr="007576F0">
        <w:rPr>
          <w:rFonts w:ascii="標楷體" w:eastAsia="標楷體" w:hAnsi="標楷體" w:hint="eastAsia"/>
          <w:color w:val="000000"/>
        </w:rPr>
        <w:t>1.復發或對化學療效有抗性之</w:t>
      </w:r>
      <w:proofErr w:type="gramStart"/>
      <w:r w:rsidRPr="007576F0">
        <w:rPr>
          <w:rFonts w:ascii="標楷體" w:eastAsia="標楷體" w:hAnsi="標楷體" w:hint="eastAsia"/>
          <w:color w:val="000000"/>
        </w:rPr>
        <w:t>低惡度</w:t>
      </w:r>
      <w:proofErr w:type="gramEnd"/>
      <w:r w:rsidRPr="007576F0">
        <w:rPr>
          <w:rFonts w:ascii="標楷體" w:eastAsia="標楷體" w:hAnsi="標楷體" w:hint="eastAsia"/>
          <w:color w:val="000000"/>
        </w:rPr>
        <w:t>B細胞非何</w:t>
      </w:r>
      <w:proofErr w:type="gramStart"/>
      <w:r w:rsidRPr="007576F0">
        <w:rPr>
          <w:rFonts w:ascii="標楷體" w:eastAsia="標楷體" w:hAnsi="標楷體" w:hint="eastAsia"/>
          <w:color w:val="000000"/>
        </w:rPr>
        <w:t>杰</w:t>
      </w:r>
      <w:proofErr w:type="gramEnd"/>
      <w:r w:rsidRPr="007576F0">
        <w:rPr>
          <w:rFonts w:ascii="標楷體" w:eastAsia="標楷體" w:hAnsi="標楷體" w:hint="eastAsia"/>
          <w:color w:val="000000"/>
        </w:rPr>
        <w:t>金氏淋巴瘤。（91/4/1）</w:t>
      </w:r>
    </w:p>
    <w:p w14:paraId="23804263" w14:textId="77777777" w:rsidR="007576F0" w:rsidRPr="007576F0" w:rsidRDefault="007576F0" w:rsidP="007576F0">
      <w:pPr>
        <w:spacing w:line="300" w:lineRule="exact"/>
        <w:ind w:left="991" w:hanging="386"/>
        <w:textAlignment w:val="auto"/>
      </w:pPr>
      <w:r w:rsidRPr="007576F0">
        <w:rPr>
          <w:rFonts w:ascii="標楷體" w:eastAsia="標楷體" w:hAnsi="標楷體" w:hint="eastAsia"/>
          <w:color w:val="000000"/>
        </w:rPr>
        <w:t>2.</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w:t>
      </w:r>
      <w:proofErr w:type="spellStart"/>
      <w:r w:rsidRPr="007576F0">
        <w:rPr>
          <w:rFonts w:ascii="標楷體" w:eastAsia="標楷體" w:hAnsi="標楷體" w:hint="eastAsia"/>
          <w:szCs w:val="24"/>
        </w:rPr>
        <w:t>polatuzumab</w:t>
      </w:r>
      <w:proofErr w:type="spellEnd"/>
      <w:r w:rsidRPr="007576F0">
        <w:rPr>
          <w:rFonts w:ascii="標楷體" w:eastAsia="標楷體" w:hAnsi="標楷體" w:hint="eastAsia"/>
          <w:szCs w:val="24"/>
        </w:rPr>
        <w:t xml:space="preserve"> </w:t>
      </w:r>
      <w:proofErr w:type="spellStart"/>
      <w:r w:rsidRPr="007576F0">
        <w:rPr>
          <w:rFonts w:ascii="標楷體" w:eastAsia="標楷體" w:hAnsi="標楷體" w:hint="eastAsia"/>
          <w:szCs w:val="24"/>
        </w:rPr>
        <w:t>vedotin</w:t>
      </w:r>
      <w:proofErr w:type="spellEnd"/>
      <w:r w:rsidRPr="007576F0">
        <w:rPr>
          <w:rFonts w:ascii="標楷體" w:eastAsia="標楷體" w:hAnsi="標楷體" w:hint="eastAsia"/>
          <w:szCs w:val="24"/>
        </w:rPr>
        <w:t>或</w:t>
      </w:r>
      <w:r w:rsidRPr="007576F0">
        <w:rPr>
          <w:rFonts w:ascii="標楷體" w:eastAsia="標楷體" w:hAnsi="標楷體" w:hint="eastAsia"/>
          <w:color w:val="000000"/>
        </w:rPr>
        <w:t>CHOP或其他化學療法，用於CD20抗原陽性之B瀰漫性大細胞非何</w:t>
      </w:r>
      <w:proofErr w:type="gramStart"/>
      <w:r w:rsidRPr="007576F0">
        <w:rPr>
          <w:rFonts w:ascii="標楷體" w:eastAsia="標楷體" w:hAnsi="標楷體" w:hint="eastAsia"/>
          <w:color w:val="000000"/>
        </w:rPr>
        <w:t>杰</w:t>
      </w:r>
      <w:proofErr w:type="gramEnd"/>
      <w:r w:rsidRPr="007576F0">
        <w:rPr>
          <w:rFonts w:ascii="標楷體" w:eastAsia="標楷體" w:hAnsi="標楷體" w:hint="eastAsia"/>
          <w:color w:val="000000"/>
        </w:rPr>
        <w:t>金氏淋巴瘤之病患。(93/1/1、95/3/1、113/2/1)</w:t>
      </w:r>
    </w:p>
    <w:p w14:paraId="0A7F968D" w14:textId="77777777" w:rsidR="007576F0" w:rsidRPr="007576F0" w:rsidRDefault="007576F0" w:rsidP="007576F0">
      <w:pPr>
        <w:spacing w:line="300" w:lineRule="exact"/>
        <w:ind w:left="991" w:hanging="386"/>
        <w:textAlignment w:val="auto"/>
        <w:rPr>
          <w:rFonts w:ascii="標楷體" w:eastAsia="標楷體" w:hAnsi="標楷體"/>
          <w:color w:val="000000"/>
        </w:rPr>
      </w:pPr>
      <w:r w:rsidRPr="007576F0">
        <w:rPr>
          <w:rFonts w:ascii="標楷體" w:eastAsia="標楷體" w:hAnsi="標楷體" w:hint="eastAsia"/>
          <w:color w:val="000000"/>
        </w:rPr>
        <w:t>3.</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用CVP化學療法，用於未經治療之和緩性（組織型態為濾泡型）B細胞非何</w:t>
      </w:r>
      <w:proofErr w:type="gramStart"/>
      <w:r w:rsidRPr="007576F0">
        <w:rPr>
          <w:rFonts w:ascii="標楷體" w:eastAsia="標楷體" w:hAnsi="標楷體" w:hint="eastAsia"/>
          <w:color w:val="000000"/>
        </w:rPr>
        <w:t>杰</w:t>
      </w:r>
      <w:proofErr w:type="gramEnd"/>
      <w:r w:rsidRPr="007576F0">
        <w:rPr>
          <w:rFonts w:ascii="標楷體" w:eastAsia="標楷體" w:hAnsi="標楷體" w:hint="eastAsia"/>
          <w:color w:val="000000"/>
        </w:rPr>
        <w:t>金氏淋巴瘤的病人。(95/3/1)</w:t>
      </w:r>
    </w:p>
    <w:p w14:paraId="5BBF56BE" w14:textId="77777777" w:rsidR="007576F0" w:rsidRPr="007576F0" w:rsidRDefault="007576F0" w:rsidP="007576F0">
      <w:pPr>
        <w:spacing w:line="300" w:lineRule="exact"/>
        <w:ind w:left="991" w:hanging="386"/>
        <w:textAlignment w:val="auto"/>
        <w:rPr>
          <w:rFonts w:ascii="標楷體" w:eastAsia="標楷體" w:hAnsi="標楷體"/>
          <w:color w:val="000000"/>
        </w:rPr>
      </w:pPr>
      <w:r w:rsidRPr="007576F0">
        <w:rPr>
          <w:rFonts w:ascii="標楷體" w:eastAsia="標楷體" w:hAnsi="標楷體" w:hint="eastAsia"/>
          <w:color w:val="000000"/>
        </w:rPr>
        <w:t>4.作為</w:t>
      </w:r>
      <w:proofErr w:type="gramStart"/>
      <w:r w:rsidRPr="007576F0">
        <w:rPr>
          <w:rFonts w:ascii="標楷體" w:eastAsia="標楷體" w:hAnsi="標楷體" w:hint="eastAsia"/>
          <w:color w:val="000000"/>
        </w:rPr>
        <w:t>濾泡性淋巴</w:t>
      </w:r>
      <w:proofErr w:type="gramEnd"/>
      <w:r w:rsidRPr="007576F0">
        <w:rPr>
          <w:rFonts w:ascii="標楷體" w:eastAsia="標楷體" w:hAnsi="標楷體" w:hint="eastAsia"/>
          <w:color w:val="000000"/>
        </w:rPr>
        <w:t>瘤患者於接受含rituximab誘導化學治療後產生反應(達partial remission或complete remission)之病患，若在接受含rituximab誘導化學治療前有下列情形之</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者，得接受rituximab維持治療，限用八劑，每三</w:t>
      </w:r>
      <w:proofErr w:type="gramStart"/>
      <w:r w:rsidRPr="007576F0">
        <w:rPr>
          <w:rFonts w:ascii="標楷體" w:eastAsia="標楷體" w:hAnsi="標楷體" w:hint="eastAsia"/>
          <w:color w:val="000000"/>
        </w:rPr>
        <w:t>個</w:t>
      </w:r>
      <w:proofErr w:type="gramEnd"/>
      <w:r w:rsidRPr="007576F0">
        <w:rPr>
          <w:rFonts w:ascii="標楷體" w:eastAsia="標楷體" w:hAnsi="標楷體" w:hint="eastAsia"/>
          <w:color w:val="000000"/>
        </w:rPr>
        <w:t>月使用一劑，最多不超過二年。(97/2/1、104/6/1)</w:t>
      </w:r>
    </w:p>
    <w:p w14:paraId="566FA7B7"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(1)有單一腫瘤直徑超過7公分者；</w:t>
      </w:r>
    </w:p>
    <w:p w14:paraId="1481F884"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(2)有超過三顆腫瘤直徑超過3公分者；</w:t>
      </w:r>
    </w:p>
    <w:p w14:paraId="59279C0B"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(3)脾臟腫大，其長度超過16公分者；</w:t>
      </w:r>
    </w:p>
    <w:p w14:paraId="5F9A45C2"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(4)對</w:t>
      </w:r>
      <w:proofErr w:type="spellStart"/>
      <w:r w:rsidRPr="007576F0">
        <w:rPr>
          <w:rFonts w:ascii="標楷體" w:eastAsia="標楷體" w:hAnsi="標楷體" w:hint="eastAsia"/>
          <w:color w:val="000000"/>
        </w:rPr>
        <w:t>vitalorgans</w:t>
      </w:r>
      <w:proofErr w:type="spellEnd"/>
      <w:r w:rsidRPr="007576F0">
        <w:rPr>
          <w:rFonts w:ascii="標楷體" w:eastAsia="標楷體" w:hAnsi="標楷體" w:hint="eastAsia"/>
          <w:color w:val="000000"/>
        </w:rPr>
        <w:t>造成擠壓者；</w:t>
      </w:r>
    </w:p>
    <w:p w14:paraId="3C7315AB"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(5)周邊血中出現淋巴球增生超過5000/mm3者；</w:t>
      </w:r>
    </w:p>
    <w:p w14:paraId="26131412"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(6)出現任一系列血球低下者(platelet&lt;100,000/mm3，或Hb&lt;10gm/dL，或absolute neutrophil count&lt;1500/mm3)。</w:t>
      </w:r>
    </w:p>
    <w:p w14:paraId="44F5ACF0" w14:textId="77777777" w:rsidR="007576F0" w:rsidRPr="007576F0" w:rsidRDefault="007576F0" w:rsidP="007576F0">
      <w:pPr>
        <w:spacing w:line="300" w:lineRule="exact"/>
        <w:ind w:left="991" w:hanging="386"/>
        <w:textAlignment w:val="auto"/>
        <w:rPr>
          <w:rFonts w:ascii="標楷體" w:eastAsia="標楷體" w:hAnsi="標楷體"/>
          <w:color w:val="000000"/>
        </w:rPr>
      </w:pPr>
      <w:r w:rsidRPr="007576F0">
        <w:rPr>
          <w:rFonts w:ascii="標楷體" w:eastAsia="標楷體" w:hAnsi="標楷體" w:hint="eastAsia"/>
          <w:color w:val="000000"/>
        </w:rPr>
        <w:t>5.慢性淋巴球性白血病：(103/2/1、111/6/1</w:t>
      </w:r>
      <w:r w:rsidRPr="007576F0">
        <w:rPr>
          <w:rFonts w:ascii="標楷體" w:eastAsia="標楷體" w:hAnsi="標楷體" w:cs="Arial" w:hint="eastAsia"/>
          <w:szCs w:val="24"/>
        </w:rPr>
        <w:t>、</w:t>
      </w:r>
      <w:r w:rsidRPr="007576F0">
        <w:rPr>
          <w:rFonts w:ascii="標楷體" w:eastAsia="標楷體" w:hAnsi="標楷體" w:cs="新細明體" w:hint="eastAsia"/>
          <w:szCs w:val="24"/>
        </w:rPr>
        <w:t>115/8/1</w:t>
      </w:r>
      <w:r w:rsidRPr="007576F0">
        <w:rPr>
          <w:rFonts w:ascii="標楷體" w:eastAsia="標楷體" w:hAnsi="標楷體" w:hint="eastAsia"/>
          <w:color w:val="000000"/>
        </w:rPr>
        <w:t>)</w:t>
      </w:r>
    </w:p>
    <w:p w14:paraId="1FF84815"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(1)Rai Stage Ⅲ/Ⅳ(或Binet C級)之CLL病人。若用於Rai StageⅠ/Ⅱ(或Binet A/B級)</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有疾病相關免疫性症候(如自體免疫性溶血、免疫性血小板低下紫</w:t>
      </w:r>
      <w:proofErr w:type="gramStart"/>
      <w:r w:rsidRPr="007576F0">
        <w:rPr>
          <w:rFonts w:ascii="標楷體" w:eastAsia="標楷體" w:hAnsi="標楷體" w:hint="eastAsia"/>
          <w:color w:val="000000"/>
        </w:rPr>
        <w:t>瘢</w:t>
      </w:r>
      <w:proofErr w:type="gramEnd"/>
      <w:r w:rsidRPr="007576F0">
        <w:rPr>
          <w:rFonts w:ascii="標楷體" w:eastAsia="標楷體" w:hAnsi="標楷體" w:hint="eastAsia"/>
          <w:color w:val="000000"/>
        </w:rPr>
        <w:t>症等)的病人時，需經過至少一種標準的</w:t>
      </w:r>
      <w:proofErr w:type="gramStart"/>
      <w:r w:rsidRPr="007576F0">
        <w:rPr>
          <w:rFonts w:ascii="標楷體" w:eastAsia="標楷體" w:hAnsi="標楷體" w:hint="eastAsia"/>
          <w:color w:val="000000"/>
        </w:rPr>
        <w:t>烷化基劑</w:t>
      </w:r>
      <w:proofErr w:type="gramEnd"/>
      <w:r w:rsidRPr="007576F0">
        <w:rPr>
          <w:rFonts w:ascii="標楷體" w:eastAsia="標楷體" w:hAnsi="標楷體" w:hint="eastAsia"/>
          <w:color w:val="000000"/>
        </w:rPr>
        <w:t>治療無效或病情惡化者，且CD20陽性細胞須大於50%。（除</w:t>
      </w:r>
      <w:proofErr w:type="spellStart"/>
      <w:r w:rsidRPr="007576F0">
        <w:rPr>
          <w:rFonts w:ascii="標楷體" w:eastAsia="標楷體" w:hAnsi="標楷體" w:hint="eastAsia"/>
          <w:color w:val="000000"/>
        </w:rPr>
        <w:t>Mabthera</w:t>
      </w:r>
      <w:proofErr w:type="spellEnd"/>
      <w:r w:rsidRPr="007576F0">
        <w:rPr>
          <w:rFonts w:ascii="標楷體" w:eastAsia="標楷體" w:hAnsi="標楷體" w:hint="eastAsia"/>
          <w:color w:val="000000"/>
        </w:rPr>
        <w:t>以外，不受「需經過一種標準的烷化基劑治療無效或病情惡化，且CD20陽性細胞須大於50%」限制，僅須符合具CD20陽性細胞即可使用，做為第一線用藥需與fludarabine及cyclophosphamide</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用）(111/6/1、115/8/1)</w:t>
      </w:r>
    </w:p>
    <w:p w14:paraId="12F21FC1"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(2)與化學療法</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用，做為復發或頑固性的CD20陽性慢性淋巴球性白血病病患的治療用藥，且CD20陽性細胞須大於50%。（除</w:t>
      </w:r>
      <w:proofErr w:type="spellStart"/>
      <w:r w:rsidRPr="007576F0">
        <w:rPr>
          <w:rFonts w:ascii="標楷體" w:eastAsia="標楷體" w:hAnsi="標楷體" w:hint="eastAsia"/>
          <w:color w:val="000000"/>
        </w:rPr>
        <w:t>Mabthera</w:t>
      </w:r>
      <w:proofErr w:type="spellEnd"/>
      <w:r w:rsidRPr="007576F0">
        <w:rPr>
          <w:rFonts w:ascii="標楷體" w:eastAsia="標楷體" w:hAnsi="標楷體" w:hint="eastAsia"/>
          <w:color w:val="000000"/>
        </w:rPr>
        <w:t>以外，不受「CD20陽性細胞須大於50%」限制，僅須符合具CD20陽性細胞即可使用）(111/6/1、115/8/1)</w:t>
      </w:r>
    </w:p>
    <w:p w14:paraId="6DB8E595"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(3)初次申請最多六個（月）療程，再次申請以三個療程為限。</w:t>
      </w:r>
    </w:p>
    <w:p w14:paraId="694C875A" w14:textId="77777777" w:rsidR="007576F0" w:rsidRPr="007576F0" w:rsidRDefault="007576F0" w:rsidP="007576F0">
      <w:pPr>
        <w:spacing w:line="300" w:lineRule="exact"/>
        <w:ind w:left="991" w:hanging="386"/>
        <w:textAlignment w:val="auto"/>
        <w:rPr>
          <w:rFonts w:ascii="標楷體" w:eastAsia="標楷體" w:hAnsi="標楷體"/>
          <w:color w:val="000000"/>
        </w:rPr>
      </w:pPr>
      <w:r w:rsidRPr="007576F0">
        <w:rPr>
          <w:rFonts w:ascii="標楷體" w:eastAsia="標楷體" w:hAnsi="標楷體" w:hint="eastAsia"/>
          <w:color w:val="000000"/>
        </w:rPr>
        <w:t>6.與類固醇</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用，治療</w:t>
      </w:r>
      <w:proofErr w:type="gramStart"/>
      <w:r w:rsidRPr="007576F0">
        <w:rPr>
          <w:rFonts w:ascii="標楷體" w:eastAsia="標楷體" w:hAnsi="標楷體" w:hint="eastAsia"/>
          <w:color w:val="000000"/>
        </w:rPr>
        <w:t>嗜</w:t>
      </w:r>
      <w:proofErr w:type="gramEnd"/>
      <w:r w:rsidRPr="007576F0">
        <w:rPr>
          <w:rFonts w:ascii="標楷體" w:eastAsia="標楷體" w:hAnsi="標楷體" w:hint="eastAsia"/>
          <w:color w:val="000000"/>
        </w:rPr>
        <w:t>中性白血球細胞質抗體(ANCA)陽性之</w:t>
      </w:r>
      <w:proofErr w:type="gramStart"/>
      <w:r w:rsidRPr="007576F0">
        <w:rPr>
          <w:rFonts w:ascii="標楷體" w:eastAsia="標楷體" w:hAnsi="標楷體" w:hint="eastAsia"/>
          <w:color w:val="000000"/>
        </w:rPr>
        <w:t>肉芽腫性</w:t>
      </w:r>
      <w:proofErr w:type="gramEnd"/>
      <w:r w:rsidRPr="007576F0">
        <w:rPr>
          <w:rFonts w:ascii="標楷體" w:eastAsia="標楷體" w:hAnsi="標楷體" w:hint="eastAsia"/>
          <w:color w:val="000000"/>
        </w:rPr>
        <w:t>血管炎</w:t>
      </w:r>
      <w:proofErr w:type="gramStart"/>
      <w:r w:rsidRPr="007576F0">
        <w:rPr>
          <w:rFonts w:ascii="標楷體" w:eastAsia="標楷體" w:hAnsi="標楷體" w:hint="eastAsia"/>
          <w:color w:val="000000"/>
        </w:rPr>
        <w:t>及顯微多</w:t>
      </w:r>
      <w:proofErr w:type="gramEnd"/>
      <w:r w:rsidRPr="007576F0">
        <w:rPr>
          <w:rFonts w:ascii="標楷體" w:eastAsia="標楷體" w:hAnsi="標楷體" w:hint="eastAsia"/>
          <w:color w:val="000000"/>
        </w:rPr>
        <w:t>發性血管炎病人：(103/9/1)</w:t>
      </w:r>
    </w:p>
    <w:p w14:paraId="37F17C36"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(1)需經事前審查核准後使用，診斷需有病理報告確定及血清學檢驗結果。</w:t>
      </w:r>
    </w:p>
    <w:p w14:paraId="4636E867"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(2)初次發作之</w:t>
      </w:r>
      <w:proofErr w:type="gramStart"/>
      <w:r w:rsidRPr="007576F0">
        <w:rPr>
          <w:rFonts w:ascii="標楷體" w:eastAsia="標楷體" w:hAnsi="標楷體" w:hint="eastAsia"/>
          <w:color w:val="000000"/>
        </w:rPr>
        <w:t>肉芽腫性</w:t>
      </w:r>
      <w:proofErr w:type="gramEnd"/>
      <w:r w:rsidRPr="007576F0">
        <w:rPr>
          <w:rFonts w:ascii="標楷體" w:eastAsia="標楷體" w:hAnsi="標楷體" w:hint="eastAsia"/>
          <w:color w:val="000000"/>
        </w:rPr>
        <w:t>血管炎</w:t>
      </w:r>
      <w:proofErr w:type="gramStart"/>
      <w:r w:rsidRPr="007576F0">
        <w:rPr>
          <w:rFonts w:ascii="標楷體" w:eastAsia="標楷體" w:hAnsi="標楷體" w:hint="eastAsia"/>
          <w:color w:val="000000"/>
        </w:rPr>
        <w:t>及顯微多</w:t>
      </w:r>
      <w:proofErr w:type="gramEnd"/>
      <w:r w:rsidRPr="007576F0">
        <w:rPr>
          <w:rFonts w:ascii="標楷體" w:eastAsia="標楷體" w:hAnsi="標楷體" w:hint="eastAsia"/>
          <w:color w:val="000000"/>
        </w:rPr>
        <w:t>發性血管炎，經cyclophosphamide治療4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以上但療效不佳者。</w:t>
      </w:r>
    </w:p>
    <w:p w14:paraId="437E8784"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(3)復發之</w:t>
      </w:r>
      <w:proofErr w:type="gramStart"/>
      <w:r w:rsidRPr="007576F0">
        <w:rPr>
          <w:rFonts w:ascii="標楷體" w:eastAsia="標楷體" w:hAnsi="標楷體" w:hint="eastAsia"/>
          <w:color w:val="000000"/>
        </w:rPr>
        <w:t>肉芽腫性</w:t>
      </w:r>
      <w:proofErr w:type="gramEnd"/>
      <w:r w:rsidRPr="007576F0">
        <w:rPr>
          <w:rFonts w:ascii="標楷體" w:eastAsia="標楷體" w:hAnsi="標楷體" w:hint="eastAsia"/>
          <w:color w:val="000000"/>
        </w:rPr>
        <w:t>血管炎(GPA，或稱為韋格</w:t>
      </w:r>
      <w:proofErr w:type="gramStart"/>
      <w:r w:rsidRPr="007576F0">
        <w:rPr>
          <w:rFonts w:ascii="標楷體" w:eastAsia="標楷體" w:hAnsi="標楷體" w:hint="eastAsia"/>
          <w:color w:val="000000"/>
        </w:rPr>
        <w:t>納肉芽腫症</w:t>
      </w:r>
      <w:proofErr w:type="gramEnd"/>
      <w:r w:rsidRPr="007576F0">
        <w:rPr>
          <w:rFonts w:ascii="標楷體" w:eastAsia="標楷體" w:hAnsi="標楷體" w:hint="eastAsia"/>
          <w:color w:val="000000"/>
        </w:rPr>
        <w:t>Wegener</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s granulomatosis)</w:t>
      </w:r>
      <w:proofErr w:type="gramStart"/>
      <w:r w:rsidRPr="007576F0">
        <w:rPr>
          <w:rFonts w:ascii="標楷體" w:eastAsia="標楷體" w:hAnsi="標楷體" w:hint="eastAsia"/>
          <w:color w:val="000000"/>
        </w:rPr>
        <w:t>及顯微多</w:t>
      </w:r>
      <w:proofErr w:type="gramEnd"/>
      <w:r w:rsidRPr="007576F0">
        <w:rPr>
          <w:rFonts w:ascii="標楷體" w:eastAsia="標楷體" w:hAnsi="標楷體" w:hint="eastAsia"/>
          <w:color w:val="000000"/>
        </w:rPr>
        <w:t>發性血管炎(MPA)，先前曾接受過cyclophosphamide治療者。</w:t>
      </w:r>
    </w:p>
    <w:p w14:paraId="6821B375"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(4)對cyclophosphamide治療無法</w:t>
      </w:r>
      <w:proofErr w:type="gramStart"/>
      <w:r w:rsidRPr="007576F0">
        <w:rPr>
          <w:rFonts w:ascii="標楷體" w:eastAsia="標楷體" w:hAnsi="標楷體" w:hint="eastAsia"/>
          <w:color w:val="000000"/>
        </w:rPr>
        <w:t>耐受且有</w:t>
      </w:r>
      <w:proofErr w:type="gramEnd"/>
      <w:r w:rsidRPr="007576F0">
        <w:rPr>
          <w:rFonts w:ascii="標楷體" w:eastAsia="標楷體" w:hAnsi="標楷體" w:hint="eastAsia"/>
          <w:color w:val="000000"/>
        </w:rPr>
        <w:t>具體事證，或具使用禁忌之</w:t>
      </w:r>
      <w:proofErr w:type="gramStart"/>
      <w:r w:rsidRPr="007576F0">
        <w:rPr>
          <w:rFonts w:ascii="標楷體" w:eastAsia="標楷體" w:hAnsi="標楷體" w:hint="eastAsia"/>
          <w:color w:val="000000"/>
        </w:rPr>
        <w:t>肉芽腫性</w:t>
      </w:r>
      <w:proofErr w:type="gramEnd"/>
      <w:r w:rsidRPr="007576F0">
        <w:rPr>
          <w:rFonts w:ascii="標楷體" w:eastAsia="標楷體" w:hAnsi="標楷體" w:hint="eastAsia"/>
          <w:color w:val="000000"/>
        </w:rPr>
        <w:t>血管炎</w:t>
      </w:r>
      <w:proofErr w:type="gramStart"/>
      <w:r w:rsidRPr="007576F0">
        <w:rPr>
          <w:rFonts w:ascii="標楷體" w:eastAsia="標楷體" w:hAnsi="標楷體" w:hint="eastAsia"/>
          <w:color w:val="000000"/>
        </w:rPr>
        <w:t>及顯微多</w:t>
      </w:r>
      <w:proofErr w:type="gramEnd"/>
      <w:r w:rsidRPr="007576F0">
        <w:rPr>
          <w:rFonts w:ascii="標楷體" w:eastAsia="標楷體" w:hAnsi="標楷體" w:hint="eastAsia"/>
          <w:color w:val="000000"/>
        </w:rPr>
        <w:t>發性血管炎。</w:t>
      </w:r>
    </w:p>
    <w:p w14:paraId="6FEE8DE8" w14:textId="77777777" w:rsidR="007576F0" w:rsidRPr="007576F0" w:rsidRDefault="007576F0" w:rsidP="007576F0">
      <w:pPr>
        <w:spacing w:line="300" w:lineRule="exact"/>
        <w:ind w:left="1132" w:hanging="386"/>
        <w:textAlignment w:val="auto"/>
        <w:rPr>
          <w:rFonts w:ascii="標楷體" w:eastAsia="標楷體" w:hAnsi="標楷體"/>
          <w:color w:val="000000"/>
        </w:rPr>
      </w:pPr>
      <w:r w:rsidRPr="007576F0">
        <w:rPr>
          <w:rFonts w:ascii="標楷體" w:eastAsia="標楷體" w:hAnsi="標楷體" w:hint="eastAsia"/>
          <w:color w:val="000000"/>
        </w:rPr>
        <w:t>(5)每次申請，以治療4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之療程為限。復發時可再次申請。</w:t>
      </w:r>
    </w:p>
    <w:p w14:paraId="2DC6E788" w14:textId="77777777" w:rsidR="007576F0" w:rsidRPr="007576F0" w:rsidRDefault="007576F0" w:rsidP="007576F0">
      <w:pPr>
        <w:spacing w:line="300" w:lineRule="exact"/>
        <w:ind w:left="1132" w:hanging="386"/>
        <w:textAlignment w:val="auto"/>
        <w:rPr>
          <w:rFonts w:ascii="標楷體" w:eastAsia="標楷體" w:hAnsi="標楷體"/>
          <w:color w:val="000000"/>
        </w:rPr>
      </w:pPr>
      <w:proofErr w:type="gramStart"/>
      <w:r w:rsidRPr="007576F0">
        <w:rPr>
          <w:rFonts w:ascii="標楷體" w:eastAsia="標楷體" w:hAnsi="標楷體" w:hint="eastAsia"/>
          <w:color w:val="000000"/>
        </w:rPr>
        <w:t>註</w:t>
      </w:r>
      <w:proofErr w:type="gramEnd"/>
      <w:r w:rsidRPr="007576F0">
        <w:rPr>
          <w:rFonts w:ascii="標楷體" w:eastAsia="標楷體" w:hAnsi="標楷體" w:hint="eastAsia"/>
          <w:color w:val="000000"/>
        </w:rPr>
        <w:t>：原發(初次發作)之</w:t>
      </w:r>
      <w:proofErr w:type="gramStart"/>
      <w:r w:rsidRPr="007576F0">
        <w:rPr>
          <w:rFonts w:ascii="標楷體" w:eastAsia="標楷體" w:hAnsi="標楷體" w:hint="eastAsia"/>
          <w:color w:val="000000"/>
        </w:rPr>
        <w:t>肉芽腫性</w:t>
      </w:r>
      <w:proofErr w:type="gramEnd"/>
      <w:r w:rsidRPr="007576F0">
        <w:rPr>
          <w:rFonts w:ascii="標楷體" w:eastAsia="標楷體" w:hAnsi="標楷體" w:hint="eastAsia"/>
          <w:color w:val="000000"/>
        </w:rPr>
        <w:t>血管炎</w:t>
      </w:r>
      <w:proofErr w:type="gramStart"/>
      <w:r w:rsidRPr="007576F0">
        <w:rPr>
          <w:rFonts w:ascii="標楷體" w:eastAsia="標楷體" w:hAnsi="標楷體" w:hint="eastAsia"/>
          <w:color w:val="000000"/>
        </w:rPr>
        <w:t>及顯微多</w:t>
      </w:r>
      <w:proofErr w:type="gramEnd"/>
      <w:r w:rsidRPr="007576F0">
        <w:rPr>
          <w:rFonts w:ascii="標楷體" w:eastAsia="標楷體" w:hAnsi="標楷體" w:hint="eastAsia"/>
          <w:color w:val="000000"/>
        </w:rPr>
        <w:t>發性血管炎，經cyclophosphamide治療4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以上但療效不佳者之定義為：</w:t>
      </w:r>
    </w:p>
    <w:p w14:paraId="42AD15C3" w14:textId="77777777" w:rsidR="007576F0" w:rsidRPr="007576F0" w:rsidRDefault="007576F0" w:rsidP="007576F0">
      <w:pPr>
        <w:spacing w:line="300" w:lineRule="exact"/>
        <w:ind w:left="1130" w:hanging="7"/>
        <w:textAlignment w:val="auto"/>
        <w:rPr>
          <w:rFonts w:ascii="標楷體" w:eastAsia="標楷體" w:hAnsi="標楷體"/>
          <w:color w:val="000000"/>
        </w:rPr>
      </w:pPr>
      <w:r w:rsidRPr="007576F0">
        <w:rPr>
          <w:rFonts w:ascii="標楷體" w:eastAsia="標楷體" w:hAnsi="標楷體" w:hint="eastAsia"/>
          <w:color w:val="000000"/>
        </w:rPr>
        <w:t>經cyclophosphamide治療4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以上，但至少有一項受侵犯的主要器官症狀未能改善，包括:</w:t>
      </w:r>
    </w:p>
    <w:p w14:paraId="0528AD04" w14:textId="77777777" w:rsidR="007576F0" w:rsidRPr="007576F0" w:rsidRDefault="007576F0" w:rsidP="007576F0">
      <w:pPr>
        <w:spacing w:line="300" w:lineRule="exact"/>
        <w:ind w:left="1188" w:hanging="14"/>
        <w:textAlignment w:val="auto"/>
        <w:rPr>
          <w:rFonts w:ascii="標楷體" w:eastAsia="標楷體" w:hAnsi="標楷體"/>
          <w:color w:val="000000"/>
        </w:rPr>
      </w:pPr>
      <w:r w:rsidRPr="007576F0">
        <w:rPr>
          <w:rFonts w:ascii="標楷體" w:eastAsia="標楷體" w:hAnsi="標楷體" w:hint="eastAsia"/>
          <w:color w:val="000000"/>
        </w:rPr>
        <w:lastRenderedPageBreak/>
        <w:t>A肺部</w:t>
      </w:r>
    </w:p>
    <w:p w14:paraId="04821766" w14:textId="77777777" w:rsidR="007576F0" w:rsidRPr="007576F0" w:rsidRDefault="007576F0" w:rsidP="007576F0">
      <w:pPr>
        <w:spacing w:line="300" w:lineRule="exact"/>
        <w:ind w:left="1188" w:hanging="14"/>
        <w:textAlignment w:val="auto"/>
        <w:rPr>
          <w:rFonts w:ascii="標楷體" w:eastAsia="標楷體" w:hAnsi="標楷體"/>
          <w:color w:val="000000"/>
        </w:rPr>
      </w:pPr>
      <w:r w:rsidRPr="007576F0">
        <w:rPr>
          <w:rFonts w:ascii="標楷體" w:eastAsia="標楷體" w:hAnsi="標楷體" w:hint="eastAsia"/>
          <w:color w:val="000000"/>
        </w:rPr>
        <w:t>B腎臟</w:t>
      </w:r>
    </w:p>
    <w:p w14:paraId="0DC8463A" w14:textId="77777777" w:rsidR="007576F0" w:rsidRPr="007576F0" w:rsidRDefault="007576F0" w:rsidP="007576F0">
      <w:pPr>
        <w:spacing w:line="300" w:lineRule="exact"/>
        <w:ind w:left="1188" w:hanging="14"/>
        <w:textAlignment w:val="auto"/>
        <w:rPr>
          <w:rFonts w:ascii="標楷體" w:eastAsia="標楷體" w:hAnsi="標楷體"/>
          <w:color w:val="000000"/>
        </w:rPr>
      </w:pPr>
      <w:r w:rsidRPr="007576F0">
        <w:rPr>
          <w:rFonts w:ascii="標楷體" w:eastAsia="標楷體" w:hAnsi="標楷體" w:hint="eastAsia"/>
          <w:color w:val="000000"/>
        </w:rPr>
        <w:t>C神經系統</w:t>
      </w:r>
    </w:p>
    <w:p w14:paraId="573ACBF4" w14:textId="77777777" w:rsidR="007576F0" w:rsidRPr="007576F0" w:rsidRDefault="007576F0" w:rsidP="007576F0">
      <w:pPr>
        <w:spacing w:line="300" w:lineRule="exact"/>
        <w:ind w:left="1188" w:hanging="14"/>
        <w:textAlignment w:val="auto"/>
        <w:rPr>
          <w:rFonts w:ascii="標楷體" w:eastAsia="標楷體" w:hAnsi="標楷體"/>
          <w:color w:val="000000"/>
        </w:rPr>
      </w:pPr>
      <w:r w:rsidRPr="007576F0">
        <w:rPr>
          <w:rFonts w:ascii="標楷體" w:eastAsia="標楷體" w:hAnsi="標楷體" w:hint="eastAsia"/>
          <w:color w:val="000000"/>
        </w:rPr>
        <w:t>D腸胃道系統</w:t>
      </w:r>
    </w:p>
    <w:p w14:paraId="05AF21EA" w14:textId="77777777" w:rsidR="007576F0" w:rsidRPr="007576F0" w:rsidRDefault="007576F0" w:rsidP="007576F0">
      <w:pPr>
        <w:spacing w:line="300" w:lineRule="exact"/>
        <w:ind w:left="1188" w:hanging="14"/>
        <w:textAlignment w:val="auto"/>
        <w:rPr>
          <w:rFonts w:ascii="標楷體" w:eastAsia="標楷體" w:hAnsi="標楷體"/>
          <w:color w:val="000000"/>
        </w:rPr>
      </w:pPr>
      <w:r w:rsidRPr="007576F0">
        <w:rPr>
          <w:rFonts w:ascii="標楷體" w:eastAsia="標楷體" w:hAnsi="標楷體" w:hint="eastAsia"/>
          <w:color w:val="000000"/>
        </w:rPr>
        <w:t>申請時需檢附病歷及病理及影像資料等，經專科醫師事前審查同意後使用。</w:t>
      </w:r>
    </w:p>
    <w:p w14:paraId="2AB4D26B" w14:textId="77777777" w:rsidR="007576F0" w:rsidRPr="007576F0" w:rsidRDefault="007576F0" w:rsidP="007576F0">
      <w:pPr>
        <w:spacing w:line="300" w:lineRule="exact"/>
        <w:ind w:left="891" w:hanging="284"/>
        <w:textAlignment w:val="auto"/>
        <w:rPr>
          <w:rFonts w:ascii="標楷體" w:eastAsia="標楷體" w:hAnsi="標楷體"/>
          <w:color w:val="000000"/>
        </w:rPr>
      </w:pPr>
      <w:r w:rsidRPr="007576F0">
        <w:rPr>
          <w:rFonts w:ascii="標楷體" w:eastAsia="標楷體" w:hAnsi="標楷體" w:hint="eastAsia"/>
          <w:color w:val="000000"/>
        </w:rPr>
        <w:t>7.合併</w:t>
      </w:r>
      <w:proofErr w:type="spellStart"/>
      <w:r w:rsidRPr="007576F0">
        <w:rPr>
          <w:rFonts w:ascii="標楷體" w:eastAsia="標楷體" w:hAnsi="標楷體" w:hint="eastAsia"/>
          <w:color w:val="000000"/>
        </w:rPr>
        <w:t>bendamustine</w:t>
      </w:r>
      <w:proofErr w:type="spellEnd"/>
      <w:r w:rsidRPr="007576F0">
        <w:rPr>
          <w:rFonts w:ascii="標楷體" w:eastAsia="標楷體" w:hAnsi="標楷體" w:hint="eastAsia"/>
          <w:color w:val="000000"/>
        </w:rPr>
        <w:t>適用於先前未曾接受治療的CD20陽性、第III/IV期和緩</w:t>
      </w:r>
      <w:proofErr w:type="gramStart"/>
      <w:r w:rsidRPr="007576F0">
        <w:rPr>
          <w:rFonts w:ascii="標楷體" w:eastAsia="標楷體" w:hAnsi="標楷體" w:hint="eastAsia"/>
          <w:color w:val="000000"/>
        </w:rPr>
        <w:t>性非何杰</w:t>
      </w:r>
      <w:proofErr w:type="gramEnd"/>
      <w:r w:rsidRPr="007576F0">
        <w:rPr>
          <w:rFonts w:ascii="標楷體" w:eastAsia="標楷體" w:hAnsi="標楷體" w:hint="eastAsia"/>
          <w:color w:val="000000"/>
        </w:rPr>
        <w:t>金氏淋巴瘤。(113/12/1)</w:t>
      </w:r>
    </w:p>
    <w:p w14:paraId="75F9267D" w14:textId="77777777" w:rsidR="007576F0" w:rsidRPr="007576F0" w:rsidRDefault="007576F0" w:rsidP="007576F0">
      <w:pPr>
        <w:spacing w:line="300" w:lineRule="exact"/>
        <w:ind w:left="891" w:hanging="284"/>
        <w:textAlignment w:val="auto"/>
        <w:rPr>
          <w:rFonts w:ascii="標楷體" w:eastAsia="標楷體" w:hAnsi="標楷體"/>
          <w:color w:val="000000"/>
        </w:rPr>
      </w:pPr>
      <w:r w:rsidRPr="007576F0">
        <w:rPr>
          <w:rFonts w:ascii="標楷體" w:eastAsia="標楷體" w:hAnsi="標楷體" w:hint="eastAsia"/>
          <w:color w:val="000000"/>
        </w:rPr>
        <w:t>8.合併</w:t>
      </w:r>
      <w:proofErr w:type="spellStart"/>
      <w:r w:rsidRPr="007576F0">
        <w:rPr>
          <w:rFonts w:ascii="標楷體" w:eastAsia="標楷體" w:hAnsi="標楷體" w:hint="eastAsia"/>
          <w:color w:val="000000"/>
        </w:rPr>
        <w:t>bendamustine</w:t>
      </w:r>
      <w:proofErr w:type="spellEnd"/>
      <w:r w:rsidRPr="007576F0">
        <w:rPr>
          <w:rFonts w:ascii="標楷體" w:eastAsia="標楷體" w:hAnsi="標楷體" w:hint="eastAsia"/>
          <w:color w:val="000000"/>
        </w:rPr>
        <w:t>用於先前未曾接受治療且不適合自體幹細胞移植的第III/IV期被套細胞淋巴瘤。(113/12/1)</w:t>
      </w:r>
    </w:p>
    <w:p w14:paraId="72467E85" w14:textId="77777777" w:rsidR="007576F0" w:rsidRPr="007576F0" w:rsidRDefault="007576F0" w:rsidP="007576F0">
      <w:pPr>
        <w:spacing w:line="300" w:lineRule="exact"/>
        <w:ind w:left="891" w:hanging="284"/>
        <w:textAlignment w:val="auto"/>
        <w:rPr>
          <w:rFonts w:ascii="標楷體" w:eastAsia="標楷體" w:hAnsi="標楷體"/>
          <w:color w:val="000000"/>
        </w:rPr>
      </w:pPr>
      <w:r w:rsidRPr="007576F0">
        <w:rPr>
          <w:rFonts w:ascii="標楷體" w:eastAsia="標楷體" w:hAnsi="標楷體" w:hint="eastAsia"/>
          <w:color w:val="000000"/>
        </w:rPr>
        <w:t>9.Rituximab(除</w:t>
      </w:r>
      <w:proofErr w:type="spellStart"/>
      <w:r w:rsidRPr="007576F0">
        <w:rPr>
          <w:rFonts w:ascii="標楷體" w:eastAsia="標楷體" w:hAnsi="標楷體" w:hint="eastAsia"/>
          <w:color w:val="000000"/>
        </w:rPr>
        <w:t>Mabthera</w:t>
      </w:r>
      <w:proofErr w:type="spellEnd"/>
      <w:proofErr w:type="gramStart"/>
      <w:r w:rsidRPr="007576F0">
        <w:rPr>
          <w:rFonts w:ascii="標楷體" w:eastAsia="標楷體" w:hAnsi="標楷體" w:hint="eastAsia"/>
          <w:color w:val="000000"/>
        </w:rPr>
        <w:t>以外)</w:t>
      </w:r>
      <w:proofErr w:type="gramEnd"/>
      <w:r w:rsidRPr="007576F0">
        <w:rPr>
          <w:rFonts w:ascii="標楷體" w:eastAsia="標楷體" w:hAnsi="標楷體" w:hint="eastAsia"/>
          <w:color w:val="000000"/>
        </w:rPr>
        <w:t>合併lenalidomide(限使用Revlimid及</w:t>
      </w:r>
      <w:proofErr w:type="spellStart"/>
      <w:r w:rsidRPr="007576F0">
        <w:rPr>
          <w:rFonts w:ascii="標楷體" w:eastAsia="標楷體" w:hAnsi="標楷體" w:hint="eastAsia"/>
          <w:color w:val="000000"/>
        </w:rPr>
        <w:t>Leavdo</w:t>
      </w:r>
      <w:proofErr w:type="spellEnd"/>
      <w:r w:rsidRPr="007576F0">
        <w:rPr>
          <w:rFonts w:ascii="標楷體" w:eastAsia="標楷體" w:hAnsi="標楷體" w:hint="eastAsia"/>
          <w:color w:val="000000"/>
        </w:rPr>
        <w:t>)用於先前曾接受至少一線全身性治療之復發性</w:t>
      </w:r>
      <w:proofErr w:type="gramStart"/>
      <w:r w:rsidRPr="007576F0">
        <w:rPr>
          <w:rFonts w:ascii="標楷體" w:eastAsia="標楷體" w:hAnsi="標楷體" w:hint="eastAsia"/>
          <w:color w:val="000000"/>
        </w:rPr>
        <w:t>或難治性濾泡性</w:t>
      </w:r>
      <w:proofErr w:type="gramEnd"/>
      <w:r w:rsidRPr="007576F0">
        <w:rPr>
          <w:rFonts w:ascii="標楷體" w:eastAsia="標楷體" w:hAnsi="標楷體" w:hint="eastAsia"/>
          <w:color w:val="000000"/>
        </w:rPr>
        <w:t>淋巴瘤成人病人，需符合lenalidomide之藥品給付規定。（115/5/1、115/8/1、115/9/1）</w:t>
      </w:r>
    </w:p>
    <w:p w14:paraId="1570B0ED" w14:textId="77777777" w:rsidR="007576F0" w:rsidRPr="007576F0" w:rsidRDefault="007576F0" w:rsidP="007576F0">
      <w:pPr>
        <w:spacing w:line="300" w:lineRule="exact"/>
        <w:ind w:left="891" w:hanging="284"/>
        <w:textAlignment w:val="auto"/>
        <w:rPr>
          <w:rFonts w:ascii="標楷體" w:eastAsia="標楷體" w:hAnsi="標楷體"/>
          <w:color w:val="000000"/>
        </w:rPr>
      </w:pPr>
      <w:r w:rsidRPr="007576F0">
        <w:rPr>
          <w:rFonts w:ascii="標楷體" w:eastAsia="標楷體" w:hAnsi="標楷體" w:hint="eastAsia"/>
          <w:color w:val="000000"/>
        </w:rPr>
        <w:t>10.Rituximab用於6、7、8、9及</w:t>
      </w:r>
      <w:proofErr w:type="spellStart"/>
      <w:r w:rsidRPr="007576F0">
        <w:rPr>
          <w:rFonts w:ascii="標楷體" w:eastAsia="標楷體" w:hAnsi="標楷體" w:hint="eastAsia"/>
          <w:color w:val="000000"/>
        </w:rPr>
        <w:t>Mabthera</w:t>
      </w:r>
      <w:proofErr w:type="spellEnd"/>
      <w:r w:rsidRPr="007576F0">
        <w:rPr>
          <w:rFonts w:ascii="標楷體" w:eastAsia="標楷體" w:hAnsi="標楷體" w:hint="eastAsia"/>
          <w:color w:val="000000"/>
        </w:rPr>
        <w:t>用於1、4、5，需經事前審查核准後使用。(102/1/1、103/2/1、103/9/1、113/12/1、115/5/1、115/6/1、115/8/1)</w:t>
      </w:r>
    </w:p>
    <w:p w14:paraId="1F402A46"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9.21.Fludarabine(如</w:t>
      </w:r>
      <w:proofErr w:type="spellStart"/>
      <w:r w:rsidRPr="007576F0">
        <w:rPr>
          <w:rFonts w:ascii="標楷體" w:eastAsia="標楷體" w:hAnsi="標楷體"/>
          <w:color w:val="000000"/>
        </w:rPr>
        <w:t>Fludara</w:t>
      </w:r>
      <w:proofErr w:type="spellEnd"/>
      <w:r w:rsidRPr="007576F0">
        <w:rPr>
          <w:rFonts w:ascii="標楷體" w:eastAsia="標楷體" w:hAnsi="標楷體"/>
          <w:color w:val="000000"/>
        </w:rPr>
        <w:t xml:space="preserve"> Oral, Film-Coated Tablet及</w:t>
      </w:r>
      <w:proofErr w:type="spellStart"/>
      <w:r w:rsidRPr="007576F0">
        <w:rPr>
          <w:rFonts w:ascii="標楷體" w:eastAsia="標楷體" w:hAnsi="標楷體"/>
          <w:color w:val="000000"/>
        </w:rPr>
        <w:t>Fludara</w:t>
      </w:r>
      <w:proofErr w:type="spellEnd"/>
      <w:r w:rsidRPr="007576F0">
        <w:rPr>
          <w:rFonts w:ascii="標楷體" w:eastAsia="標楷體" w:hAnsi="標楷體"/>
          <w:color w:val="000000"/>
        </w:rPr>
        <w:t xml:space="preserve"> Lyophilized IV Injection)：(92/12/1、93/3/1、94/10/1、99/10/1、106/11/1)</w:t>
      </w:r>
    </w:p>
    <w:p w14:paraId="7BA27F6A"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1.用於B-細胞慢性淋巴性白血病（CLL）病患的起始治療及CLL與低惡性度B細胞非何</w:t>
      </w:r>
      <w:proofErr w:type="gramStart"/>
      <w:r w:rsidRPr="007576F0">
        <w:rPr>
          <w:rFonts w:ascii="標楷體" w:eastAsia="標楷體" w:hAnsi="標楷體"/>
          <w:color w:val="000000"/>
        </w:rPr>
        <w:t>杰</w:t>
      </w:r>
      <w:proofErr w:type="gramEnd"/>
      <w:r w:rsidRPr="007576F0">
        <w:rPr>
          <w:rFonts w:ascii="標楷體" w:eastAsia="標楷體" w:hAnsi="標楷體"/>
          <w:color w:val="000000"/>
        </w:rPr>
        <w:t>金氏淋巴瘤(Indolent B-Cell NHL)病患，歷經至少一種標準內容</w:t>
      </w:r>
      <w:proofErr w:type="gramStart"/>
      <w:r w:rsidRPr="007576F0">
        <w:rPr>
          <w:rFonts w:ascii="標楷體" w:eastAsia="標楷體" w:hAnsi="標楷體"/>
          <w:color w:val="000000"/>
        </w:rPr>
        <w:t>的烷化基</w:t>
      </w:r>
      <w:proofErr w:type="gramEnd"/>
      <w:r w:rsidRPr="007576F0">
        <w:rPr>
          <w:rFonts w:ascii="標楷體" w:eastAsia="標楷體" w:hAnsi="標楷體"/>
          <w:color w:val="000000"/>
        </w:rPr>
        <w:t>藥劑（alkylating agent）的治療方法都無效，或治療後雖有效但隨後疾病又繼續惡化的病人。</w:t>
      </w:r>
    </w:p>
    <w:p w14:paraId="23FF0A5C"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w:t>
      </w:r>
      <w:proofErr w:type="gramStart"/>
      <w:r w:rsidRPr="007576F0">
        <w:rPr>
          <w:rFonts w:ascii="標楷體" w:eastAsia="標楷體" w:hAnsi="標楷體"/>
          <w:color w:val="000000"/>
        </w:rPr>
        <w:t>以本品作為</w:t>
      </w:r>
      <w:proofErr w:type="gramEnd"/>
      <w:r w:rsidRPr="007576F0">
        <w:rPr>
          <w:rFonts w:ascii="標楷體" w:eastAsia="標楷體" w:hAnsi="標楷體"/>
          <w:color w:val="000000"/>
        </w:rPr>
        <w:t>第一線治療，限用於(94/10/1)。</w:t>
      </w:r>
    </w:p>
    <w:p w14:paraId="0A3D20D9"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(1)Rai Stage Ⅲ/IV(或Binet C級)之CLL病人。若用於Rai Stage I/II(或Binet A/B級)</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有疾病相關免疫性症候(如自體免疫性溶血、免疫性血小板低下紫</w:t>
      </w:r>
      <w:proofErr w:type="gramStart"/>
      <w:r w:rsidRPr="007576F0">
        <w:rPr>
          <w:rFonts w:ascii="標楷體" w:eastAsia="標楷體" w:hAnsi="標楷體"/>
          <w:color w:val="000000"/>
        </w:rPr>
        <w:t>瘢</w:t>
      </w:r>
      <w:proofErr w:type="gramEnd"/>
      <w:r w:rsidRPr="007576F0">
        <w:rPr>
          <w:rFonts w:ascii="標楷體" w:eastAsia="標楷體" w:hAnsi="標楷體"/>
          <w:color w:val="000000"/>
        </w:rPr>
        <w:t>症等)的病人時，需經過至少一種標準的</w:t>
      </w:r>
      <w:proofErr w:type="gramStart"/>
      <w:r w:rsidRPr="007576F0">
        <w:rPr>
          <w:rFonts w:ascii="標楷體" w:eastAsia="標楷體" w:hAnsi="標楷體"/>
          <w:color w:val="000000"/>
        </w:rPr>
        <w:t>烷化基劑</w:t>
      </w:r>
      <w:proofErr w:type="gramEnd"/>
      <w:r w:rsidRPr="007576F0">
        <w:rPr>
          <w:rFonts w:ascii="標楷體" w:eastAsia="標楷體" w:hAnsi="標楷體"/>
          <w:color w:val="000000"/>
        </w:rPr>
        <w:t>治療無效或病情惡化者。</w:t>
      </w:r>
    </w:p>
    <w:p w14:paraId="6621EBDD"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(2)每3個療程需進行療效評估，病歷應留存評估紀錄，無疾病惡化方可繼續使用。(106/11/1)</w:t>
      </w:r>
    </w:p>
    <w:p w14:paraId="3E625E9E" w14:textId="77777777" w:rsidR="007576F0" w:rsidRPr="007576F0" w:rsidRDefault="007576F0" w:rsidP="007576F0">
      <w:pPr>
        <w:spacing w:line="300" w:lineRule="exact"/>
        <w:ind w:left="672" w:hanging="386"/>
      </w:pPr>
      <w:r w:rsidRPr="007576F0">
        <w:rPr>
          <w:rFonts w:ascii="標楷體" w:eastAsia="標楷體" w:hAnsi="標楷體"/>
          <w:color w:val="000000"/>
        </w:rPr>
        <w:t>9.22.Imatinib(如</w:t>
      </w:r>
      <w:proofErr w:type="spellStart"/>
      <w:r w:rsidRPr="007576F0">
        <w:rPr>
          <w:rFonts w:ascii="標楷體" w:eastAsia="標楷體" w:hAnsi="標楷體"/>
          <w:color w:val="000000"/>
        </w:rPr>
        <w:t>Glivec</w:t>
      </w:r>
      <w:proofErr w:type="spellEnd"/>
      <w:r w:rsidRPr="007576F0">
        <w:rPr>
          <w:rFonts w:ascii="標楷體" w:eastAsia="標楷體" w:hAnsi="標楷體"/>
          <w:color w:val="000000"/>
        </w:rPr>
        <w:t>)：</w:t>
      </w:r>
      <w:r w:rsidRPr="007576F0">
        <w:rPr>
          <w:rFonts w:ascii="標楷體" w:hAnsi="標楷體"/>
          <w:color w:val="000000"/>
        </w:rPr>
        <w:t>(91/5/1</w:t>
      </w:r>
      <w:r w:rsidRPr="007576F0">
        <w:rPr>
          <w:rFonts w:ascii="標楷體" w:hAnsi="標楷體"/>
          <w:color w:val="000000"/>
        </w:rPr>
        <w:t>、</w:t>
      </w:r>
      <w:r w:rsidRPr="007576F0">
        <w:rPr>
          <w:rFonts w:ascii="標楷體" w:hAnsi="標楷體"/>
          <w:color w:val="000000"/>
        </w:rPr>
        <w:t>93/7/1</w:t>
      </w:r>
      <w:r w:rsidRPr="007576F0">
        <w:rPr>
          <w:rFonts w:ascii="標楷體" w:hAnsi="標楷體"/>
          <w:color w:val="000000"/>
        </w:rPr>
        <w:t>、</w:t>
      </w:r>
      <w:r w:rsidRPr="007576F0">
        <w:rPr>
          <w:rFonts w:ascii="標楷體" w:hAnsi="標楷體"/>
          <w:color w:val="000000"/>
        </w:rPr>
        <w:t>97/8/1</w:t>
      </w:r>
      <w:r w:rsidRPr="007576F0">
        <w:rPr>
          <w:rFonts w:ascii="標楷體" w:hAnsi="標楷體"/>
          <w:color w:val="000000"/>
        </w:rPr>
        <w:t>、</w:t>
      </w:r>
      <w:r w:rsidRPr="007576F0">
        <w:rPr>
          <w:rFonts w:ascii="標楷體" w:hAnsi="標楷體"/>
          <w:color w:val="000000"/>
        </w:rPr>
        <w:t>99/6/1</w:t>
      </w:r>
      <w:r w:rsidRPr="007576F0">
        <w:rPr>
          <w:rFonts w:ascii="標楷體" w:hAnsi="標楷體"/>
          <w:color w:val="000000"/>
        </w:rPr>
        <w:t>、</w:t>
      </w:r>
      <w:r w:rsidRPr="007576F0">
        <w:rPr>
          <w:rFonts w:ascii="標楷體" w:hAnsi="標楷體"/>
          <w:color w:val="000000"/>
        </w:rPr>
        <w:t>100/2/1</w:t>
      </w:r>
      <w:r w:rsidRPr="007576F0">
        <w:rPr>
          <w:rFonts w:ascii="標楷體" w:hAnsi="標楷體"/>
          <w:color w:val="000000"/>
        </w:rPr>
        <w:t>、</w:t>
      </w:r>
      <w:r w:rsidRPr="007576F0">
        <w:rPr>
          <w:rFonts w:ascii="標楷體" w:hAnsi="標楷體"/>
          <w:color w:val="000000"/>
        </w:rPr>
        <w:t>102/9/1</w:t>
      </w:r>
      <w:r w:rsidRPr="007576F0">
        <w:rPr>
          <w:rFonts w:ascii="標楷體" w:hAnsi="標楷體"/>
          <w:color w:val="000000"/>
        </w:rPr>
        <w:t>、</w:t>
      </w:r>
      <w:r w:rsidRPr="007576F0">
        <w:rPr>
          <w:rFonts w:ascii="標楷體" w:hAnsi="標楷體"/>
          <w:color w:val="000000"/>
        </w:rPr>
        <w:t>113/6/1)</w:t>
      </w:r>
      <w:r w:rsidRPr="007576F0">
        <w:rPr>
          <w:rFonts w:ascii="標楷體" w:eastAsia="標楷體" w:hAnsi="標楷體"/>
          <w:color w:val="000000"/>
        </w:rPr>
        <w:t>附表九之八</w:t>
      </w:r>
    </w:p>
    <w:p w14:paraId="5ED4AB5D"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限用於</w:t>
      </w:r>
    </w:p>
    <w:p w14:paraId="1FBEF211"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1.治療正值急性轉化期(blast crisis)、加速期或經ALPHA-干擾素治療無效之慢性期的慢性骨髓性白血病(CML)患者使用。</w:t>
      </w:r>
    </w:p>
    <w:p w14:paraId="7B594380"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2.用於治療初期診斷為慢性骨髓性白血病（CML）的病人。</w:t>
      </w:r>
    </w:p>
    <w:p w14:paraId="2A7F70B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3.惡性胃腸</w:t>
      </w:r>
      <w:proofErr w:type="gramStart"/>
      <w:r w:rsidRPr="007576F0">
        <w:rPr>
          <w:rFonts w:ascii="標楷體" w:eastAsia="標楷體" w:hAnsi="標楷體"/>
          <w:color w:val="000000"/>
        </w:rPr>
        <w:t>道基質瘤</w:t>
      </w:r>
      <w:proofErr w:type="gramEnd"/>
      <w:r w:rsidRPr="007576F0">
        <w:rPr>
          <w:rFonts w:ascii="標楷體" w:eastAsia="標楷體" w:hAnsi="標楷體"/>
          <w:color w:val="000000"/>
        </w:rPr>
        <w:t>(GIST)：</w:t>
      </w:r>
    </w:p>
    <w:p w14:paraId="76144058"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(1)治療成年人無法手術切除或轉移的惡性胃腸</w:t>
      </w:r>
      <w:proofErr w:type="gramStart"/>
      <w:r w:rsidRPr="007576F0">
        <w:rPr>
          <w:rFonts w:ascii="標楷體" w:eastAsia="標楷體" w:hAnsi="標楷體"/>
          <w:color w:val="000000"/>
        </w:rPr>
        <w:t>道基質瘤</w:t>
      </w:r>
      <w:proofErr w:type="gramEnd"/>
      <w:r w:rsidRPr="007576F0">
        <w:rPr>
          <w:rFonts w:ascii="標楷體" w:eastAsia="標楷體" w:hAnsi="標楷體"/>
          <w:color w:val="000000"/>
        </w:rPr>
        <w:t>。</w:t>
      </w:r>
    </w:p>
    <w:p w14:paraId="01F579B1" w14:textId="77777777" w:rsidR="007576F0" w:rsidRPr="007576F0" w:rsidRDefault="007576F0" w:rsidP="007576F0">
      <w:pPr>
        <w:spacing w:line="300" w:lineRule="exact"/>
        <w:ind w:left="1049" w:hanging="341"/>
      </w:pPr>
      <w:r w:rsidRPr="007576F0">
        <w:rPr>
          <w:rFonts w:ascii="標楷體" w:eastAsia="標楷體" w:hAnsi="標楷體"/>
          <w:color w:val="000000"/>
        </w:rPr>
        <w:t>(2)作為成人胃腸</w:t>
      </w:r>
      <w:proofErr w:type="gramStart"/>
      <w:r w:rsidRPr="007576F0">
        <w:rPr>
          <w:rFonts w:ascii="標楷體" w:eastAsia="標楷體" w:hAnsi="標楷體"/>
          <w:color w:val="000000"/>
        </w:rPr>
        <w:t>道基質瘤完全</w:t>
      </w:r>
      <w:proofErr w:type="gramEnd"/>
      <w:r w:rsidRPr="007576F0">
        <w:rPr>
          <w:rFonts w:ascii="標楷體" w:eastAsia="標楷體" w:hAnsi="標楷體"/>
          <w:color w:val="000000"/>
        </w:rPr>
        <w:t>切除後之術後輔助治療，符合下列一項條件可使用3年，須事前審查核准後使用。(100/2/1</w:t>
      </w:r>
      <w:r w:rsidRPr="007576F0">
        <w:rPr>
          <w:rFonts w:ascii="標楷體" w:hAnsi="標楷體"/>
          <w:color w:val="000000"/>
        </w:rPr>
        <w:t>、</w:t>
      </w:r>
      <w:r w:rsidRPr="007576F0">
        <w:rPr>
          <w:rFonts w:ascii="標楷體" w:hAnsi="標楷體"/>
          <w:color w:val="000000"/>
        </w:rPr>
        <w:t>102/9/1</w:t>
      </w:r>
      <w:r w:rsidRPr="007576F0">
        <w:rPr>
          <w:rFonts w:ascii="標楷體" w:eastAsia="標楷體" w:hAnsi="標楷體"/>
          <w:color w:val="000000"/>
        </w:rPr>
        <w:t>)</w:t>
      </w:r>
    </w:p>
    <w:p w14:paraId="414A2962" w14:textId="77777777" w:rsidR="007576F0" w:rsidRPr="007576F0" w:rsidRDefault="007576F0" w:rsidP="007576F0">
      <w:pPr>
        <w:spacing w:line="300" w:lineRule="exact"/>
        <w:ind w:left="1049" w:firstLine="84"/>
        <w:rPr>
          <w:rFonts w:ascii="標楷體" w:eastAsia="標楷體" w:hAnsi="標楷體"/>
          <w:color w:val="000000"/>
        </w:rPr>
      </w:pPr>
      <w:r w:rsidRPr="007576F0">
        <w:rPr>
          <w:rFonts w:ascii="標楷體" w:eastAsia="標楷體" w:hAnsi="標楷體"/>
          <w:color w:val="000000"/>
        </w:rPr>
        <w:t>A.腫瘤大於10公分。</w:t>
      </w:r>
    </w:p>
    <w:p w14:paraId="55226347" w14:textId="77777777" w:rsidR="007576F0" w:rsidRPr="007576F0" w:rsidRDefault="007576F0" w:rsidP="007576F0">
      <w:pPr>
        <w:spacing w:line="300" w:lineRule="exact"/>
        <w:ind w:left="1049" w:firstLine="84"/>
        <w:rPr>
          <w:rFonts w:ascii="標楷體" w:eastAsia="標楷體" w:hAnsi="標楷體"/>
          <w:color w:val="000000"/>
        </w:rPr>
      </w:pPr>
      <w:r w:rsidRPr="007576F0">
        <w:rPr>
          <w:rFonts w:ascii="標楷體" w:eastAsia="標楷體" w:hAnsi="標楷體"/>
          <w:color w:val="000000"/>
        </w:rPr>
        <w:t>B.有絲分裂指數&gt;10/50 HPF(high power field)。</w:t>
      </w:r>
    </w:p>
    <w:p w14:paraId="234780FF" w14:textId="77777777" w:rsidR="007576F0" w:rsidRPr="007576F0" w:rsidRDefault="007576F0" w:rsidP="007576F0">
      <w:pPr>
        <w:spacing w:line="300" w:lineRule="exact"/>
        <w:ind w:left="1049" w:firstLine="84"/>
        <w:rPr>
          <w:rFonts w:ascii="標楷體" w:eastAsia="標楷體" w:hAnsi="標楷體"/>
          <w:color w:val="000000"/>
        </w:rPr>
      </w:pPr>
      <w:r w:rsidRPr="007576F0">
        <w:rPr>
          <w:rFonts w:ascii="標楷體" w:eastAsia="標楷體" w:hAnsi="標楷體"/>
          <w:color w:val="000000"/>
        </w:rPr>
        <w:t>C.腫瘤大於5公分且有絲分裂指數&gt;5/50 HPF(high power field)。</w:t>
      </w:r>
    </w:p>
    <w:p w14:paraId="092C8730" w14:textId="77777777" w:rsidR="007576F0" w:rsidRPr="007576F0" w:rsidRDefault="007576F0" w:rsidP="007576F0">
      <w:pPr>
        <w:spacing w:line="300" w:lineRule="exact"/>
        <w:ind w:left="1049" w:firstLine="84"/>
        <w:rPr>
          <w:rFonts w:ascii="標楷體" w:eastAsia="標楷體" w:hAnsi="標楷體"/>
          <w:color w:val="000000"/>
        </w:rPr>
      </w:pPr>
      <w:r w:rsidRPr="007576F0">
        <w:rPr>
          <w:rFonts w:ascii="標楷體" w:eastAsia="標楷體" w:hAnsi="標楷體"/>
          <w:color w:val="000000"/>
        </w:rPr>
        <w:t>D.腫瘤破裂。</w:t>
      </w:r>
    </w:p>
    <w:p w14:paraId="0C4AFA0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4.治療初診斷為費城染色體陽性急性淋巴性白血病</w:t>
      </w:r>
      <w:proofErr w:type="gramStart"/>
      <w:r w:rsidRPr="007576F0">
        <w:rPr>
          <w:rFonts w:ascii="標楷體" w:eastAsia="標楷體" w:hAnsi="標楷體"/>
          <w:color w:val="000000"/>
        </w:rPr>
        <w:t>（</w:t>
      </w:r>
      <w:proofErr w:type="spellStart"/>
      <w:proofErr w:type="gramEnd"/>
      <w:r w:rsidRPr="007576F0">
        <w:rPr>
          <w:rFonts w:ascii="標楷體" w:eastAsia="標楷體" w:hAnsi="標楷體"/>
          <w:color w:val="000000"/>
        </w:rPr>
        <w:t>Ph+ALL</w:t>
      </w:r>
      <w:proofErr w:type="spellEnd"/>
      <w:r w:rsidRPr="007576F0">
        <w:rPr>
          <w:rFonts w:ascii="標楷體" w:eastAsia="標楷體" w:hAnsi="標楷體"/>
          <w:color w:val="000000"/>
        </w:rPr>
        <w:t>)且</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用化療之成年人。(99/6/1)</w:t>
      </w:r>
    </w:p>
    <w:p w14:paraId="3366C43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5.未曾使用imatinib治療之成人復發</w:t>
      </w:r>
      <w:proofErr w:type="gramStart"/>
      <w:r w:rsidRPr="007576F0">
        <w:rPr>
          <w:rFonts w:ascii="標楷體" w:eastAsia="標楷體" w:hAnsi="標楷體"/>
          <w:color w:val="000000"/>
        </w:rPr>
        <w:t>性或難治</w:t>
      </w:r>
      <w:proofErr w:type="gramEnd"/>
      <w:r w:rsidRPr="007576F0">
        <w:rPr>
          <w:rFonts w:ascii="標楷體" w:eastAsia="標楷體" w:hAnsi="標楷體"/>
          <w:color w:val="000000"/>
        </w:rPr>
        <w:t>性費城染色體陽性急性淋巴性白血病(</w:t>
      </w:r>
      <w:proofErr w:type="spellStart"/>
      <w:r w:rsidRPr="007576F0">
        <w:rPr>
          <w:rFonts w:ascii="標楷體" w:eastAsia="標楷體" w:hAnsi="標楷體"/>
          <w:color w:val="000000"/>
        </w:rPr>
        <w:t>Ph+ALL</w:t>
      </w:r>
      <w:proofErr w:type="spellEnd"/>
      <w:r w:rsidRPr="007576F0">
        <w:rPr>
          <w:rFonts w:ascii="標楷體" w:eastAsia="標楷體" w:hAnsi="標楷體"/>
          <w:color w:val="000000"/>
        </w:rPr>
        <w:t>)之單一療法。(99/6/1)</w:t>
      </w:r>
    </w:p>
    <w:p w14:paraId="088284D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6.下列適應症患者必須在第一線的藥物如hydroxyurea; corticosteroid等無效後，經事前審查核准才可使用，且每6個月需重新申請審查。(99/6/1)</w:t>
      </w:r>
    </w:p>
    <w:p w14:paraId="122F068C"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(1)治療患有與血小板衍生生長因子受體</w:t>
      </w:r>
      <w:proofErr w:type="gramStart"/>
      <w:r w:rsidRPr="007576F0">
        <w:rPr>
          <w:rFonts w:ascii="標楷體" w:eastAsia="標楷體" w:hAnsi="標楷體"/>
          <w:color w:val="000000"/>
        </w:rPr>
        <w:t>（</w:t>
      </w:r>
      <w:proofErr w:type="gramEnd"/>
      <w:r w:rsidRPr="007576F0">
        <w:rPr>
          <w:rFonts w:ascii="標楷體" w:eastAsia="標楷體" w:hAnsi="標楷體"/>
          <w:color w:val="000000"/>
        </w:rPr>
        <w:t>PDGFR)基因重組相關之骨髓發育不全症候群(MDS)/骨髓增生性疾病(MPD)之成人。</w:t>
      </w:r>
    </w:p>
    <w:p w14:paraId="311AE58D"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lastRenderedPageBreak/>
        <w:t>(2)治療</w:t>
      </w:r>
      <w:proofErr w:type="gramStart"/>
      <w:r w:rsidRPr="007576F0">
        <w:rPr>
          <w:rFonts w:ascii="標楷體" w:eastAsia="標楷體" w:hAnsi="標楷體"/>
          <w:color w:val="000000"/>
        </w:rPr>
        <w:t>嗜伊紅性</w:t>
      </w:r>
      <w:proofErr w:type="gramEnd"/>
      <w:r w:rsidRPr="007576F0">
        <w:rPr>
          <w:rFonts w:ascii="標楷體" w:eastAsia="標楷體" w:hAnsi="標楷體"/>
          <w:color w:val="000000"/>
        </w:rPr>
        <w:t>白血球增加症候群(HES)與/或慢性</w:t>
      </w:r>
      <w:proofErr w:type="gramStart"/>
      <w:r w:rsidRPr="007576F0">
        <w:rPr>
          <w:rFonts w:ascii="標楷體" w:eastAsia="標楷體" w:hAnsi="標楷體"/>
          <w:color w:val="000000"/>
        </w:rPr>
        <w:t>嗜伊紅性</w:t>
      </w:r>
      <w:proofErr w:type="gramEnd"/>
      <w:r w:rsidRPr="007576F0">
        <w:rPr>
          <w:rFonts w:ascii="標楷體" w:eastAsia="標楷體" w:hAnsi="標楷體"/>
          <w:color w:val="000000"/>
        </w:rPr>
        <w:t>白血病(CEL)且有血小板衍生生長因子受體(PDGFR)基因重組之成人患者，且存在器官侵犯</w:t>
      </w:r>
      <w:proofErr w:type="gramStart"/>
      <w:r w:rsidRPr="007576F0">
        <w:rPr>
          <w:rFonts w:ascii="標楷體" w:eastAsia="標楷體" w:hAnsi="標楷體"/>
          <w:color w:val="000000"/>
        </w:rPr>
        <w:t>証據者</w:t>
      </w:r>
      <w:proofErr w:type="gramEnd"/>
      <w:r w:rsidRPr="007576F0">
        <w:rPr>
          <w:rFonts w:ascii="標楷體" w:eastAsia="標楷體" w:hAnsi="標楷體"/>
          <w:color w:val="000000"/>
        </w:rPr>
        <w:t>。</w:t>
      </w:r>
    </w:p>
    <w:p w14:paraId="6FE53101"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7.治療患有無法手術切除、復發性或轉移性且有血小板衍生生長因子受體(PDGFR)基因重組</w:t>
      </w:r>
      <w:proofErr w:type="gramStart"/>
      <w:r w:rsidRPr="007576F0">
        <w:rPr>
          <w:rFonts w:ascii="標楷體" w:eastAsia="標楷體" w:hAnsi="標楷體"/>
          <w:color w:val="000000"/>
        </w:rPr>
        <w:t>之隆突性</w:t>
      </w:r>
      <w:proofErr w:type="gramEnd"/>
      <w:r w:rsidRPr="007576F0">
        <w:rPr>
          <w:rFonts w:ascii="標楷體" w:eastAsia="標楷體" w:hAnsi="標楷體"/>
          <w:color w:val="000000"/>
        </w:rPr>
        <w:t>皮膚纖維肉瘤(DFSP)之成人患者。(99/6/1)</w:t>
      </w:r>
    </w:p>
    <w:p w14:paraId="4695EAF3"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8.1~7項規定內之疾病診斷或追蹤若需依據基因檢測報告，則需符合全民健康保險藥品給付規定之通則十二。(113/6/1)</w:t>
      </w:r>
    </w:p>
    <w:p w14:paraId="00634239"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9.23.Arsenic trioxide(如</w:t>
      </w:r>
      <w:proofErr w:type="spellStart"/>
      <w:r w:rsidRPr="007576F0">
        <w:rPr>
          <w:rFonts w:ascii="標楷體" w:eastAsia="標楷體" w:hAnsi="標楷體"/>
          <w:color w:val="000000"/>
        </w:rPr>
        <w:t>Asadin</w:t>
      </w:r>
      <w:proofErr w:type="spellEnd"/>
      <w:r w:rsidRPr="007576F0">
        <w:rPr>
          <w:rFonts w:ascii="標楷體" w:eastAsia="標楷體" w:hAnsi="標楷體"/>
          <w:color w:val="000000"/>
        </w:rPr>
        <w:t xml:space="preserve"> Inj.</w:t>
      </w:r>
      <w:proofErr w:type="gramStart"/>
      <w:r w:rsidRPr="007576F0">
        <w:rPr>
          <w:rFonts w:ascii="標楷體" w:eastAsia="標楷體" w:hAnsi="標楷體"/>
          <w:color w:val="000000"/>
        </w:rPr>
        <w:t>)：</w:t>
      </w:r>
      <w:proofErr w:type="gramEnd"/>
      <w:r w:rsidRPr="007576F0">
        <w:rPr>
          <w:rFonts w:ascii="標楷體" w:eastAsia="標楷體" w:hAnsi="標楷體"/>
          <w:color w:val="000000"/>
        </w:rPr>
        <w:t>(91/8/1、92/9/1)</w:t>
      </w:r>
    </w:p>
    <w:p w14:paraId="7AF0454B"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限用於急性前骨髓細胞白血病患者。</w:t>
      </w:r>
    </w:p>
    <w:p w14:paraId="6E9F3E1D"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w:t>
      </w:r>
      <w:bookmarkStart w:id="40" w:name="_Hlk113894926"/>
      <w:r w:rsidRPr="007576F0">
        <w:rPr>
          <w:rFonts w:ascii="標楷體" w:eastAsia="標楷體" w:hAnsi="標楷體" w:hint="eastAsia"/>
          <w:color w:val="000000"/>
        </w:rPr>
        <w:t>.24.Gefitinib(如</w:t>
      </w:r>
      <w:proofErr w:type="spellStart"/>
      <w:r w:rsidRPr="007576F0">
        <w:rPr>
          <w:rFonts w:ascii="標楷體" w:eastAsia="標楷體" w:hAnsi="標楷體" w:hint="eastAsia"/>
          <w:color w:val="000000"/>
        </w:rPr>
        <w:t>Iressa</w:t>
      </w:r>
      <w:proofErr w:type="spellEnd"/>
      <w:r w:rsidRPr="007576F0">
        <w:rPr>
          <w:rFonts w:ascii="標楷體" w:eastAsia="標楷體" w:hAnsi="標楷體" w:hint="eastAsia"/>
          <w:color w:val="000000"/>
        </w:rPr>
        <w:t>):(93/11/1、96/8/1、96/11/1、100/6/1、101/5/1、101/10/1、103/5/1、106/11/1、 108/6/1、108/11/1、109/4/1、109/6/1、109/10/1、111/2/1、111/4/1、113/3/1、113/6/1、113/10/1、115/8/1)</w:t>
      </w:r>
    </w:p>
    <w:p w14:paraId="6E1ECE1A" w14:textId="77777777" w:rsidR="007576F0" w:rsidRPr="007576F0" w:rsidRDefault="007576F0" w:rsidP="007576F0">
      <w:pPr>
        <w:spacing w:line="300" w:lineRule="exact"/>
        <w:ind w:left="1051" w:hanging="245"/>
        <w:textAlignment w:val="auto"/>
        <w:rPr>
          <w:rFonts w:ascii="標楷體" w:eastAsia="標楷體" w:hAnsi="標楷體"/>
          <w:color w:val="000000"/>
        </w:rPr>
      </w:pPr>
      <w:r w:rsidRPr="007576F0">
        <w:rPr>
          <w:rFonts w:ascii="標楷體" w:eastAsia="標楷體" w:hAnsi="標楷體" w:hint="eastAsia"/>
          <w:color w:val="000000"/>
        </w:rPr>
        <w:t>1.限單獨使用於</w:t>
      </w:r>
    </w:p>
    <w:p w14:paraId="2ED5A71E" w14:textId="77777777" w:rsidR="007576F0" w:rsidRPr="007576F0" w:rsidRDefault="007576F0" w:rsidP="007576F0">
      <w:pPr>
        <w:spacing w:line="300" w:lineRule="exact"/>
        <w:ind w:left="1289" w:hanging="341"/>
        <w:textAlignment w:val="auto"/>
        <w:rPr>
          <w:rFonts w:ascii="標楷體" w:eastAsia="標楷體" w:hAnsi="標楷體"/>
          <w:color w:val="000000"/>
        </w:rPr>
      </w:pPr>
      <w:r w:rsidRPr="007576F0">
        <w:rPr>
          <w:rFonts w:ascii="標楷體" w:eastAsia="標楷體" w:hAnsi="標楷體" w:hint="eastAsia"/>
          <w:color w:val="000000"/>
        </w:rPr>
        <w:t>(1)具有EGFR-TK基因突變之局部侵犯性或轉移性(即第ⅢB、ⅢC或</w:t>
      </w:r>
      <w:proofErr w:type="gramStart"/>
      <w:r w:rsidRPr="007576F0">
        <w:rPr>
          <w:rFonts w:ascii="標楷體" w:eastAsia="標楷體" w:hAnsi="標楷體" w:hint="eastAsia"/>
          <w:color w:val="000000"/>
        </w:rPr>
        <w:t>第Ⅳ期</w:t>
      </w:r>
      <w:proofErr w:type="gramEnd"/>
      <w:r w:rsidRPr="007576F0">
        <w:rPr>
          <w:rFonts w:ascii="標楷體" w:eastAsia="標楷體" w:hAnsi="標楷體" w:hint="eastAsia"/>
          <w:color w:val="000000"/>
        </w:rPr>
        <w:t>)之肺腺癌病患之第一線治療，需檢附EGFR基因檢測結果報告，且需符合全民健康保險藥品給付規定之通則十二。(100/6/1、108/6/1、108/11/1、113/6/1)</w:t>
      </w:r>
    </w:p>
    <w:p w14:paraId="5579047C" w14:textId="77777777" w:rsidR="007576F0" w:rsidRPr="007576F0" w:rsidRDefault="007576F0" w:rsidP="007576F0">
      <w:pPr>
        <w:spacing w:line="300" w:lineRule="exact"/>
        <w:ind w:left="1289" w:hanging="341"/>
        <w:textAlignment w:val="auto"/>
        <w:rPr>
          <w:rFonts w:ascii="標楷體" w:eastAsia="標楷體" w:hAnsi="標楷體"/>
          <w:color w:val="000000"/>
        </w:rPr>
      </w:pPr>
      <w:r w:rsidRPr="007576F0">
        <w:rPr>
          <w:rFonts w:ascii="標楷體" w:eastAsia="標楷體" w:hAnsi="標楷體" w:hint="eastAsia"/>
          <w:color w:val="000000"/>
        </w:rPr>
        <w:t>(2)先前已使用過第一線含鉑化學治療，或70歲以上接受過第一線化學治療，但仍局部惡化或轉移之肺腺癌。(96/11/1、100/6/1、111/2/1)</w:t>
      </w:r>
    </w:p>
    <w:p w14:paraId="1EADFA0B" w14:textId="77777777" w:rsidR="007576F0" w:rsidRPr="007576F0" w:rsidRDefault="007576F0" w:rsidP="007576F0">
      <w:pPr>
        <w:spacing w:line="300" w:lineRule="exact"/>
        <w:ind w:left="1051" w:hanging="245"/>
        <w:textAlignment w:val="auto"/>
        <w:rPr>
          <w:rFonts w:ascii="標楷體" w:eastAsia="標楷體" w:hAnsi="標楷體"/>
          <w:color w:val="000000"/>
        </w:rPr>
      </w:pPr>
      <w:r w:rsidRPr="007576F0">
        <w:rPr>
          <w:rFonts w:ascii="標楷體" w:eastAsia="標楷體" w:hAnsi="標楷體" w:hint="eastAsia"/>
          <w:color w:val="000000"/>
        </w:rPr>
        <w:t>2.使用注意事項(106/11/1、109/4/1、109/10/1、111/4/1、113/3/1、115/8/1</w:t>
      </w:r>
      <w:proofErr w:type="gramStart"/>
      <w:r w:rsidRPr="007576F0">
        <w:rPr>
          <w:rFonts w:ascii="標楷體" w:eastAsia="標楷體" w:hAnsi="標楷體" w:hint="eastAsia"/>
          <w:color w:val="000000"/>
        </w:rPr>
        <w:t>）</w:t>
      </w:r>
      <w:proofErr w:type="gramEnd"/>
    </w:p>
    <w:p w14:paraId="135E282E" w14:textId="77777777" w:rsidR="007576F0" w:rsidRPr="007576F0" w:rsidRDefault="007576F0" w:rsidP="007576F0">
      <w:pPr>
        <w:spacing w:line="300" w:lineRule="exact"/>
        <w:ind w:left="1289" w:hanging="341"/>
        <w:textAlignment w:val="auto"/>
        <w:rPr>
          <w:rFonts w:ascii="標楷體" w:eastAsia="標楷體" w:hAnsi="標楷體"/>
          <w:color w:val="000000"/>
        </w:rPr>
      </w:pPr>
      <w:r w:rsidRPr="007576F0">
        <w:rPr>
          <w:rFonts w:ascii="標楷體" w:eastAsia="標楷體" w:hAnsi="標楷體" w:hint="eastAsia"/>
          <w:color w:val="000000"/>
        </w:rPr>
        <w:t>(1)用於第一線用藥：病歷應留存確實患有肺腺癌之病理或細胞檢查報告，及EGFR-TK基因突變檢測報告。(100/6/1、106/11/1)</w:t>
      </w:r>
    </w:p>
    <w:p w14:paraId="1E381852" w14:textId="77777777" w:rsidR="007576F0" w:rsidRPr="007576F0" w:rsidRDefault="007576F0" w:rsidP="007576F0">
      <w:pPr>
        <w:spacing w:line="300" w:lineRule="exact"/>
        <w:ind w:left="1289" w:hanging="341"/>
        <w:textAlignment w:val="auto"/>
      </w:pPr>
      <w:r w:rsidRPr="007576F0">
        <w:rPr>
          <w:rFonts w:ascii="標楷體" w:eastAsia="標楷體" w:hAnsi="標楷體" w:hint="eastAsia"/>
          <w:color w:val="000000"/>
        </w:rPr>
        <w:t>(2)</w:t>
      </w:r>
      <w:r w:rsidRPr="007576F0">
        <w:rPr>
          <w:rFonts w:ascii="標楷體" w:eastAsia="標楷體" w:hAnsi="標楷體" w:hint="eastAsia"/>
          <w:kern w:val="0"/>
          <w:szCs w:val="24"/>
        </w:rPr>
        <w:t>用於第二線以上用藥：病歷應留存確實患有肺腺癌之病理或細胞檢查報告，並附曾經接受第一線含鉑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(96/11/1、100/6/1、101/10/1、106/11/1)</w:t>
      </w:r>
    </w:p>
    <w:p w14:paraId="6909D0B0" w14:textId="77777777" w:rsidR="007576F0" w:rsidRPr="007576F0" w:rsidRDefault="007576F0" w:rsidP="007576F0">
      <w:pPr>
        <w:spacing w:line="300" w:lineRule="exact"/>
        <w:ind w:left="1289" w:hanging="341"/>
        <w:textAlignment w:val="auto"/>
      </w:pPr>
      <w:r w:rsidRPr="007576F0">
        <w:rPr>
          <w:rFonts w:ascii="標楷體" w:eastAsia="標楷體" w:hAnsi="標楷體" w:hint="eastAsia"/>
          <w:color w:val="000000"/>
        </w:rPr>
        <w:t>(3)</w:t>
      </w:r>
      <w:r w:rsidRPr="007576F0">
        <w:rPr>
          <w:rFonts w:ascii="標楷體" w:eastAsia="標楷體" w:hAnsi="標楷體" w:hint="eastAsia"/>
          <w:kern w:val="0"/>
          <w:szCs w:val="24"/>
        </w:rPr>
        <w:t>每次處方以4</w:t>
      </w:r>
      <w:proofErr w:type="gramStart"/>
      <w:r w:rsidRPr="007576F0">
        <w:rPr>
          <w:rFonts w:ascii="標楷體" w:eastAsia="標楷體" w:hAnsi="標楷體" w:hint="eastAsia"/>
          <w:kern w:val="0"/>
          <w:szCs w:val="24"/>
        </w:rPr>
        <w:t>週</w:t>
      </w:r>
      <w:proofErr w:type="gramEnd"/>
      <w:r w:rsidRPr="007576F0">
        <w:rPr>
          <w:rFonts w:ascii="標楷體" w:eastAsia="標楷體" w:hAnsi="標楷體" w:hint="eastAsia"/>
          <w:kern w:val="0"/>
          <w:szCs w:val="24"/>
        </w:rPr>
        <w:t>為限，再次處方時需於病歷記錄治療後相關臨床資料，如每4</w:t>
      </w:r>
      <w:proofErr w:type="gramStart"/>
      <w:r w:rsidRPr="007576F0">
        <w:rPr>
          <w:rFonts w:ascii="標楷體" w:eastAsia="標楷體" w:hAnsi="標楷體" w:hint="eastAsia"/>
          <w:kern w:val="0"/>
          <w:szCs w:val="24"/>
        </w:rPr>
        <w:t>週</w:t>
      </w:r>
      <w:proofErr w:type="gramEnd"/>
      <w:r w:rsidRPr="007576F0">
        <w:rPr>
          <w:rFonts w:ascii="標楷體" w:eastAsia="標楷體" w:hAnsi="標楷體" w:hint="eastAsia"/>
          <w:kern w:val="0"/>
          <w:szCs w:val="24"/>
        </w:rPr>
        <w:t>需追蹤胸部X光或電腦斷層等影像檢查</w:t>
      </w:r>
      <w:r w:rsidRPr="007576F0">
        <w:rPr>
          <w:rFonts w:ascii="新細明體" w:hAnsi="新細明體" w:hint="eastAsia"/>
          <w:kern w:val="0"/>
          <w:szCs w:val="24"/>
        </w:rPr>
        <w:t>，</w:t>
      </w:r>
      <w:r w:rsidRPr="007576F0">
        <w:rPr>
          <w:rFonts w:ascii="標楷體" w:eastAsia="標楷體" w:hAnsi="標楷體" w:hint="eastAsia"/>
          <w:kern w:val="0"/>
          <w:szCs w:val="24"/>
        </w:rPr>
        <w:t>每8至12</w:t>
      </w:r>
      <w:proofErr w:type="gramStart"/>
      <w:r w:rsidRPr="007576F0">
        <w:rPr>
          <w:rFonts w:ascii="標楷體" w:eastAsia="標楷體" w:hAnsi="標楷體" w:hint="eastAsia"/>
          <w:kern w:val="0"/>
          <w:szCs w:val="24"/>
        </w:rPr>
        <w:t>週</w:t>
      </w:r>
      <w:proofErr w:type="gramEnd"/>
      <w:r w:rsidRPr="007576F0">
        <w:rPr>
          <w:rFonts w:ascii="標楷體" w:eastAsia="標楷體" w:hAnsi="標楷體" w:hint="eastAsia"/>
          <w:kern w:val="0"/>
          <w:szCs w:val="24"/>
        </w:rPr>
        <w:t>需進行完整療效評估（如胸部X光或電腦斷層）。(101/5/1、106/11/1)</w:t>
      </w:r>
    </w:p>
    <w:p w14:paraId="3897D40B" w14:textId="77777777" w:rsidR="007576F0" w:rsidRPr="007576F0" w:rsidRDefault="007576F0" w:rsidP="007576F0">
      <w:pPr>
        <w:spacing w:line="300" w:lineRule="exact"/>
        <w:ind w:left="1289" w:hanging="341"/>
        <w:textAlignment w:val="auto"/>
      </w:pPr>
      <w:r w:rsidRPr="007576F0">
        <w:rPr>
          <w:rFonts w:ascii="標楷體" w:eastAsia="標楷體" w:hAnsi="標楷體" w:hint="eastAsia"/>
          <w:kern w:val="0"/>
        </w:rPr>
        <w:t>(4)本藥品與erlotinib及afatinib不得</w:t>
      </w:r>
      <w:proofErr w:type="gramStart"/>
      <w:r w:rsidRPr="007576F0">
        <w:rPr>
          <w:rFonts w:ascii="標楷體" w:eastAsia="標楷體" w:hAnsi="標楷體" w:hint="eastAsia"/>
          <w:kern w:val="0"/>
        </w:rPr>
        <w:t>併</w:t>
      </w:r>
      <w:proofErr w:type="gramEnd"/>
      <w:r w:rsidRPr="007576F0">
        <w:rPr>
          <w:rFonts w:ascii="標楷體" w:eastAsia="標楷體" w:hAnsi="標楷體" w:hint="eastAsia"/>
          <w:kern w:val="0"/>
        </w:rPr>
        <w:t>用。(96/8/1、103/5/1</w:t>
      </w:r>
      <w:r w:rsidRPr="007576F0">
        <w:rPr>
          <w:rFonts w:ascii="標楷體" w:eastAsia="標楷體" w:hAnsi="標楷體" w:hint="eastAsia"/>
        </w:rPr>
        <w:t>、109/4/1</w:t>
      </w:r>
      <w:r w:rsidRPr="007576F0">
        <w:rPr>
          <w:rFonts w:ascii="標楷體" w:eastAsia="標楷體" w:hAnsi="標楷體" w:hint="eastAsia"/>
          <w:kern w:val="0"/>
        </w:rPr>
        <w:t>)</w:t>
      </w:r>
    </w:p>
    <w:p w14:paraId="33AE7740" w14:textId="77777777" w:rsidR="007576F0" w:rsidRPr="007576F0" w:rsidRDefault="007576F0" w:rsidP="007576F0">
      <w:pPr>
        <w:spacing w:line="300" w:lineRule="exact"/>
        <w:ind w:left="1289" w:hanging="341"/>
        <w:textAlignment w:val="auto"/>
        <w:rPr>
          <w:rFonts w:ascii="標楷體" w:eastAsia="標楷體" w:hAnsi="標楷體"/>
          <w:kern w:val="0"/>
        </w:rPr>
      </w:pPr>
      <w:r w:rsidRPr="007576F0">
        <w:rPr>
          <w:rFonts w:ascii="標楷體" w:eastAsia="標楷體" w:hAnsi="標楷體" w:hint="eastAsia"/>
          <w:kern w:val="0"/>
        </w:rPr>
        <w:t>(5)本藥品於第一線使用時，與</w:t>
      </w:r>
      <w:proofErr w:type="spellStart"/>
      <w:r w:rsidRPr="007576F0">
        <w:rPr>
          <w:rFonts w:ascii="標楷體" w:eastAsia="標楷體" w:hAnsi="標楷體" w:hint="eastAsia"/>
          <w:kern w:val="0"/>
        </w:rPr>
        <w:t>osimertinib</w:t>
      </w:r>
      <w:proofErr w:type="spellEnd"/>
      <w:r w:rsidRPr="007576F0">
        <w:rPr>
          <w:rFonts w:ascii="標楷體" w:eastAsia="標楷體" w:hAnsi="標楷體" w:hint="eastAsia"/>
          <w:kern w:val="0"/>
        </w:rPr>
        <w:t>、dacomitinib、bevacizumab</w:t>
      </w:r>
      <w:proofErr w:type="gramStart"/>
      <w:r w:rsidRPr="007576F0">
        <w:rPr>
          <w:rFonts w:ascii="標楷體" w:eastAsia="標楷體" w:hAnsi="標楷體" w:hint="eastAsia"/>
          <w:kern w:val="0"/>
        </w:rPr>
        <w:t>併</w:t>
      </w:r>
      <w:proofErr w:type="gramEnd"/>
      <w:r w:rsidRPr="007576F0">
        <w:rPr>
          <w:rFonts w:ascii="標楷體" w:eastAsia="標楷體" w:hAnsi="標楷體" w:hint="eastAsia"/>
          <w:kern w:val="0"/>
        </w:rPr>
        <w:t>用erlotinib之治療組合及</w:t>
      </w:r>
      <w:proofErr w:type="spellStart"/>
      <w:r w:rsidRPr="007576F0">
        <w:rPr>
          <w:rFonts w:ascii="標楷體" w:eastAsia="標楷體" w:hAnsi="標楷體" w:hint="eastAsia"/>
          <w:kern w:val="0"/>
        </w:rPr>
        <w:t>aumolertinib</w:t>
      </w:r>
      <w:proofErr w:type="spellEnd"/>
      <w:r w:rsidRPr="007576F0">
        <w:rPr>
          <w:rFonts w:ascii="標楷體" w:eastAsia="標楷體" w:hAnsi="標楷體" w:hint="eastAsia"/>
          <w:kern w:val="0"/>
        </w:rPr>
        <w:t>僅得擇</w:t>
      </w:r>
      <w:proofErr w:type="gramStart"/>
      <w:r w:rsidRPr="007576F0">
        <w:rPr>
          <w:rFonts w:ascii="標楷體" w:eastAsia="標楷體" w:hAnsi="標楷體" w:hint="eastAsia"/>
          <w:kern w:val="0"/>
        </w:rPr>
        <w:t>一</w:t>
      </w:r>
      <w:proofErr w:type="gramEnd"/>
      <w:r w:rsidRPr="007576F0">
        <w:rPr>
          <w:rFonts w:ascii="標楷體" w:eastAsia="標楷體" w:hAnsi="標楷體" w:hint="eastAsia"/>
          <w:kern w:val="0"/>
        </w:rPr>
        <w:t>使用，</w:t>
      </w:r>
      <w:proofErr w:type="gramStart"/>
      <w:r w:rsidRPr="007576F0">
        <w:rPr>
          <w:rFonts w:ascii="標楷體" w:eastAsia="標楷體" w:hAnsi="標楷體" w:hint="eastAsia"/>
          <w:kern w:val="0"/>
        </w:rPr>
        <w:t>除因耐受</w:t>
      </w:r>
      <w:proofErr w:type="gramEnd"/>
      <w:r w:rsidRPr="007576F0">
        <w:rPr>
          <w:rFonts w:ascii="標楷體" w:eastAsia="標楷體" w:hAnsi="標楷體" w:hint="eastAsia"/>
          <w:kern w:val="0"/>
        </w:rPr>
        <w:t>性不良，不得互換。(109/6/1、109/10/1、111/4/1、113/3/1、113/10/1、115/8/1)</w:t>
      </w:r>
    </w:p>
    <w:p w14:paraId="47219024" w14:textId="77777777" w:rsidR="007576F0" w:rsidRPr="007576F0" w:rsidRDefault="007576F0" w:rsidP="007576F0">
      <w:pPr>
        <w:spacing w:line="300" w:lineRule="exact"/>
        <w:ind w:left="1654" w:hanging="336"/>
        <w:textAlignment w:val="auto"/>
      </w:pPr>
      <w:r w:rsidRPr="007576F0">
        <w:rPr>
          <w:rFonts w:ascii="標楷體" w:eastAsia="標楷體" w:hAnsi="標楷體" w:hint="eastAsia"/>
        </w:rPr>
        <w:t>Ⅰ.如需更換使用</w:t>
      </w:r>
      <w:proofErr w:type="spellStart"/>
      <w:r w:rsidRPr="007576F0">
        <w:rPr>
          <w:rFonts w:ascii="標楷體" w:eastAsia="標楷體" w:hAnsi="標楷體" w:hint="eastAsia"/>
        </w:rPr>
        <w:t>osimertinib</w:t>
      </w:r>
      <w:proofErr w:type="spellEnd"/>
      <w:r w:rsidRPr="007576F0">
        <w:rPr>
          <w:rFonts w:ascii="標楷體" w:eastAsia="標楷體" w:hAnsi="標楷體" w:hint="eastAsia"/>
        </w:rPr>
        <w:t>或</w:t>
      </w:r>
      <w:proofErr w:type="spellStart"/>
      <w:r w:rsidRPr="007576F0">
        <w:rPr>
          <w:rFonts w:ascii="標楷體" w:eastAsia="標楷體" w:hAnsi="標楷體" w:hint="eastAsia"/>
        </w:rPr>
        <w:t>aumolertinib</w:t>
      </w:r>
      <w:proofErr w:type="spellEnd"/>
      <w:r w:rsidRPr="007576F0">
        <w:rPr>
          <w:rFonts w:ascii="標楷體" w:eastAsia="標楷體" w:hAnsi="標楷體" w:hint="eastAsia"/>
        </w:rPr>
        <w:t>，必須符合</w:t>
      </w:r>
      <w:proofErr w:type="spellStart"/>
      <w:r w:rsidRPr="007576F0">
        <w:rPr>
          <w:rFonts w:ascii="標楷體" w:eastAsia="標楷體" w:hAnsi="標楷體" w:hint="eastAsia"/>
        </w:rPr>
        <w:t>osimertinib</w:t>
      </w:r>
      <w:proofErr w:type="spellEnd"/>
      <w:r w:rsidRPr="007576F0">
        <w:rPr>
          <w:rFonts w:ascii="標楷體" w:eastAsia="標楷體" w:hAnsi="標楷體" w:hint="eastAsia"/>
        </w:rPr>
        <w:t>或</w:t>
      </w:r>
      <w:proofErr w:type="spellStart"/>
      <w:r w:rsidRPr="007576F0">
        <w:rPr>
          <w:rFonts w:ascii="標楷體" w:eastAsia="標楷體" w:hAnsi="標楷體" w:hint="eastAsia"/>
        </w:rPr>
        <w:t>aumolertinib</w:t>
      </w:r>
      <w:proofErr w:type="spellEnd"/>
      <w:r w:rsidRPr="007576F0">
        <w:rPr>
          <w:rFonts w:ascii="標楷體" w:eastAsia="標楷體" w:hAnsi="標楷體" w:hint="eastAsia"/>
        </w:rPr>
        <w:t>第一線使用於具有EGFR Exon 19 Del或Exon 21 L858R基因突變之局部侵犯性或轉移性（即為IIIB、IIIC期或第Ⅳ期）肺腺癌病患之限制。(109/6/1、111/4/1、113/10/1、115/8/1)</w:t>
      </w:r>
    </w:p>
    <w:p w14:paraId="6DA39043" w14:textId="77777777" w:rsidR="007576F0" w:rsidRPr="007576F0" w:rsidRDefault="007576F0" w:rsidP="007576F0">
      <w:pPr>
        <w:spacing w:line="300" w:lineRule="exact"/>
        <w:ind w:left="1654" w:hanging="336"/>
        <w:textAlignment w:val="auto"/>
        <w:rPr>
          <w:rFonts w:ascii="標楷體" w:eastAsia="標楷體" w:hAnsi="標楷體"/>
        </w:rPr>
      </w:pPr>
      <w:r w:rsidRPr="007576F0">
        <w:rPr>
          <w:rFonts w:ascii="標楷體" w:eastAsia="標楷體" w:hAnsi="標楷體" w:hint="eastAsia"/>
        </w:rPr>
        <w:t>Ⅱ.如需更換使用dacomitinib，必須符合dacomitinib第一線使用於具有EGFR-TK Exon 19 Del或Exon 21 L858R點突變，且無腦轉移(non-CNS)之局部侵犯性或轉移性肺腺癌之限制。(109/10/1</w:t>
      </w:r>
      <w:proofErr w:type="gramStart"/>
      <w:r w:rsidRPr="007576F0">
        <w:rPr>
          <w:rFonts w:ascii="標楷體" w:eastAsia="標楷體" w:hAnsi="標楷體" w:hint="eastAsia"/>
        </w:rPr>
        <w:t>）</w:t>
      </w:r>
      <w:proofErr w:type="gramEnd"/>
    </w:p>
    <w:p w14:paraId="36E25CB7" w14:textId="77777777" w:rsidR="007576F0" w:rsidRPr="007576F0" w:rsidRDefault="007576F0" w:rsidP="007576F0">
      <w:pPr>
        <w:spacing w:line="300" w:lineRule="exact"/>
        <w:ind w:left="1654" w:hanging="336"/>
        <w:textAlignment w:val="auto"/>
        <w:rPr>
          <w:rFonts w:ascii="標楷體" w:eastAsia="標楷體" w:hAnsi="標楷體"/>
        </w:rPr>
      </w:pPr>
      <w:r w:rsidRPr="007576F0">
        <w:rPr>
          <w:rFonts w:ascii="標楷體" w:eastAsia="標楷體" w:hAnsi="標楷體" w:hint="eastAsia"/>
        </w:rPr>
        <w:t>Ⅲ.如需更換使用bevacizumab</w:t>
      </w:r>
      <w:proofErr w:type="gramStart"/>
      <w:r w:rsidRPr="007576F0">
        <w:rPr>
          <w:rFonts w:ascii="標楷體" w:eastAsia="標楷體" w:hAnsi="標楷體" w:hint="eastAsia"/>
        </w:rPr>
        <w:t>併</w:t>
      </w:r>
      <w:proofErr w:type="gramEnd"/>
      <w:r w:rsidRPr="007576F0">
        <w:rPr>
          <w:rFonts w:ascii="標楷體" w:eastAsia="標楷體" w:hAnsi="標楷體" w:hint="eastAsia"/>
        </w:rPr>
        <w:t>用erlotinib之治療組合，必須符合bevacizumab第一線使用於具有EGFR Exon 21 L858R突變且腦轉移之無法手術切除的轉移性（第Ⅳ期）</w:t>
      </w:r>
      <w:proofErr w:type="gramStart"/>
      <w:r w:rsidRPr="007576F0">
        <w:rPr>
          <w:rFonts w:ascii="標楷體" w:eastAsia="標楷體" w:hAnsi="標楷體" w:hint="eastAsia"/>
        </w:rPr>
        <w:t>非鱗狀非</w:t>
      </w:r>
      <w:proofErr w:type="gramEnd"/>
      <w:r w:rsidRPr="007576F0">
        <w:rPr>
          <w:rFonts w:ascii="標楷體" w:eastAsia="標楷體" w:hAnsi="標楷體" w:hint="eastAsia"/>
        </w:rPr>
        <w:t>小細胞肺癌肺腺癌之限制。(113/3/1)</w:t>
      </w:r>
    </w:p>
    <w:p w14:paraId="250BB46B"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9.25.Temozolomide(如</w:t>
      </w:r>
      <w:proofErr w:type="spellStart"/>
      <w:r w:rsidRPr="007576F0">
        <w:rPr>
          <w:rFonts w:ascii="標楷體" w:eastAsia="標楷體" w:hAnsi="標楷體"/>
          <w:color w:val="000000"/>
        </w:rPr>
        <w:t>Temodal</w:t>
      </w:r>
      <w:proofErr w:type="spellEnd"/>
      <w:r w:rsidRPr="007576F0">
        <w:rPr>
          <w:rFonts w:ascii="標楷體" w:eastAsia="標楷體" w:hAnsi="標楷體"/>
          <w:color w:val="000000"/>
        </w:rPr>
        <w:t>)：(94/3/1、97/1/1、98/9/1、111/9/1)附表八之二</w:t>
      </w:r>
    </w:p>
    <w:p w14:paraId="4D1541D7" w14:textId="77777777" w:rsidR="007576F0" w:rsidRPr="007576F0" w:rsidRDefault="007576F0" w:rsidP="007576F0">
      <w:pPr>
        <w:spacing w:line="300" w:lineRule="exact"/>
        <w:ind w:left="851" w:hanging="284"/>
        <w:rPr>
          <w:rFonts w:ascii="標楷體" w:eastAsia="標楷體" w:hAnsi="標楷體"/>
          <w:color w:val="000000"/>
        </w:rPr>
      </w:pPr>
      <w:r w:rsidRPr="007576F0">
        <w:rPr>
          <w:rFonts w:ascii="標楷體" w:eastAsia="標楷體" w:hAnsi="標楷體"/>
          <w:color w:val="000000"/>
        </w:rPr>
        <w:t>限用於</w:t>
      </w:r>
    </w:p>
    <w:p w14:paraId="438BAE32"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1.經手術或放射線治療後復發之下列病人：</w:t>
      </w:r>
    </w:p>
    <w:p w14:paraId="60A68CE1"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(1)退</w:t>
      </w:r>
      <w:proofErr w:type="gramStart"/>
      <w:r w:rsidRPr="007576F0">
        <w:rPr>
          <w:rFonts w:ascii="標楷體" w:eastAsia="標楷體" w:hAnsi="標楷體"/>
          <w:color w:val="000000"/>
        </w:rPr>
        <w:t>行性星狀</w:t>
      </w:r>
      <w:proofErr w:type="gramEnd"/>
      <w:r w:rsidRPr="007576F0">
        <w:rPr>
          <w:rFonts w:ascii="標楷體" w:eastAsia="標楷體" w:hAnsi="標楷體"/>
          <w:color w:val="000000"/>
        </w:rPr>
        <w:t>細胞瘤(AA-anaplastic astrocytoma)</w:t>
      </w:r>
    </w:p>
    <w:p w14:paraId="70776FF9"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(2)多形</w:t>
      </w:r>
      <w:proofErr w:type="gramStart"/>
      <w:r w:rsidRPr="007576F0">
        <w:rPr>
          <w:rFonts w:ascii="標楷體" w:eastAsia="標楷體" w:hAnsi="標楷體"/>
          <w:color w:val="000000"/>
        </w:rPr>
        <w:t>神經膠母細胞</w:t>
      </w:r>
      <w:proofErr w:type="gramEnd"/>
      <w:r w:rsidRPr="007576F0">
        <w:rPr>
          <w:rFonts w:ascii="標楷體" w:eastAsia="標楷體" w:hAnsi="標楷體"/>
          <w:color w:val="000000"/>
        </w:rPr>
        <w:t>瘤(GBM-Glioblastoma multiforme)</w:t>
      </w:r>
    </w:p>
    <w:p w14:paraId="310F944D"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lastRenderedPageBreak/>
        <w:t>(3)退行性</w:t>
      </w:r>
      <w:proofErr w:type="gramStart"/>
      <w:r w:rsidRPr="007576F0">
        <w:rPr>
          <w:rFonts w:ascii="標楷體" w:eastAsia="標楷體" w:hAnsi="標楷體"/>
          <w:color w:val="000000"/>
        </w:rPr>
        <w:t>寡</w:t>
      </w:r>
      <w:proofErr w:type="gramEnd"/>
      <w:r w:rsidRPr="007576F0">
        <w:rPr>
          <w:rFonts w:ascii="標楷體" w:eastAsia="標楷體" w:hAnsi="標楷體"/>
          <w:color w:val="000000"/>
        </w:rPr>
        <w:t>樹突膠質細胞瘤(anaplastic oligodendroglioma)(98/9/1)</w:t>
      </w:r>
    </w:p>
    <w:p w14:paraId="3DB916BA"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2.新診斷的多形</w:t>
      </w:r>
      <w:proofErr w:type="gramStart"/>
      <w:r w:rsidRPr="007576F0">
        <w:rPr>
          <w:rFonts w:ascii="標楷體" w:eastAsia="標楷體" w:hAnsi="標楷體"/>
          <w:color w:val="000000"/>
        </w:rPr>
        <w:t>神經膠母細胞</w:t>
      </w:r>
      <w:proofErr w:type="gramEnd"/>
      <w:r w:rsidRPr="007576F0">
        <w:rPr>
          <w:rFonts w:ascii="標楷體" w:eastAsia="標楷體" w:hAnsi="標楷體"/>
          <w:color w:val="000000"/>
        </w:rPr>
        <w:t>瘤，與放射線治療同步進行，然後作為輔助性治療。（97/1/1）</w:t>
      </w:r>
    </w:p>
    <w:p w14:paraId="00A9C5BA" w14:textId="77777777" w:rsidR="007576F0" w:rsidRPr="007576F0" w:rsidRDefault="007576F0" w:rsidP="007576F0">
      <w:pPr>
        <w:spacing w:line="300" w:lineRule="exact"/>
        <w:ind w:left="811" w:hanging="245"/>
      </w:pPr>
      <w:r w:rsidRPr="007576F0">
        <w:rPr>
          <w:rFonts w:ascii="標楷體" w:eastAsia="標楷體" w:hAnsi="標楷體"/>
          <w:color w:val="000000"/>
        </w:rPr>
        <w:t>3.需經事前審查核准後使用，每日最大劑量200mg/m</w:t>
      </w:r>
      <w:r w:rsidRPr="007576F0">
        <w:rPr>
          <w:rFonts w:ascii="標楷體" w:eastAsia="標楷體" w:hAnsi="標楷體"/>
          <w:color w:val="000000"/>
          <w:vertAlign w:val="superscript"/>
        </w:rPr>
        <w:t>2</w:t>
      </w:r>
      <w:r w:rsidRPr="007576F0">
        <w:rPr>
          <w:rFonts w:ascii="標楷體" w:eastAsia="標楷體" w:hAnsi="標楷體"/>
          <w:color w:val="000000"/>
        </w:rPr>
        <w:t>。每次申請事前審查之療程以三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月為限，再次申請必須提出客觀證據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如：影像學</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證實無惡化，才可繼續使用。(98/9/1、111/9/1)</w:t>
      </w:r>
      <w:bookmarkEnd w:id="40"/>
    </w:p>
    <w:p w14:paraId="0C13101E" w14:textId="77777777" w:rsidR="007576F0" w:rsidRPr="007576F0" w:rsidRDefault="007576F0" w:rsidP="007576F0">
      <w:pPr>
        <w:spacing w:line="300" w:lineRule="exact"/>
        <w:ind w:left="672" w:hanging="386"/>
        <w:rPr>
          <w:rFonts w:ascii="標楷體" w:eastAsia="標楷體" w:hAnsi="標楷體"/>
          <w:color w:val="000000"/>
          <w:szCs w:val="24"/>
        </w:rPr>
      </w:pPr>
      <w:r w:rsidRPr="007576F0">
        <w:rPr>
          <w:rFonts w:ascii="標楷體" w:eastAsia="標楷體" w:hAnsi="標楷體" w:hint="eastAsia"/>
          <w:color w:val="000000"/>
        </w:rPr>
        <w:t>9.</w:t>
      </w:r>
      <w:r w:rsidRPr="007576F0">
        <w:rPr>
          <w:rFonts w:ascii="標楷體" w:eastAsia="標楷體" w:hAnsi="標楷體" w:hint="eastAsia"/>
          <w:color w:val="000000"/>
          <w:szCs w:val="24"/>
        </w:rPr>
        <w:t>26.Pemetrexed(如Alimta)：(95/3/1、95/7/1、97/11/1、98/9/1、103/4/1、103/9/1、106/11/1、111/2/1、114/6/1、114/8/1、114/10/1、115/8/1</w:t>
      </w:r>
      <w:r w:rsidRPr="007576F0">
        <w:rPr>
          <w:rFonts w:ascii="標楷體" w:eastAsia="標楷體" w:hAnsi="標楷體" w:hint="eastAsia"/>
          <w:szCs w:val="24"/>
        </w:rPr>
        <w:t>、115/10/1</w:t>
      </w:r>
      <w:r w:rsidRPr="007576F0">
        <w:rPr>
          <w:rFonts w:ascii="標楷體" w:eastAsia="標楷體" w:hAnsi="標楷體" w:hint="eastAsia"/>
          <w:color w:val="000000"/>
          <w:szCs w:val="24"/>
        </w:rPr>
        <w:t>)</w:t>
      </w:r>
    </w:p>
    <w:p w14:paraId="525E146F" w14:textId="77777777" w:rsidR="007576F0" w:rsidRPr="007576F0" w:rsidRDefault="007576F0" w:rsidP="007576F0">
      <w:pPr>
        <w:spacing w:line="300" w:lineRule="exact"/>
        <w:ind w:left="811" w:hanging="245"/>
        <w:rPr>
          <w:rFonts w:ascii="標楷體" w:eastAsia="標楷體" w:hAnsi="標楷體"/>
          <w:szCs w:val="24"/>
        </w:rPr>
      </w:pPr>
      <w:r w:rsidRPr="007576F0">
        <w:rPr>
          <w:rFonts w:ascii="標楷體" w:eastAsia="標楷體" w:hAnsi="標楷體" w:hint="eastAsia"/>
          <w:szCs w:val="24"/>
        </w:rPr>
        <w:t>1.限用於</w:t>
      </w:r>
    </w:p>
    <w:p w14:paraId="7E42BAE1"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hint="eastAsia"/>
          <w:color w:val="000000"/>
        </w:rPr>
        <w:t>(1)與cisplatin</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用於惡性</w:t>
      </w:r>
      <w:proofErr w:type="gramStart"/>
      <w:r w:rsidRPr="007576F0">
        <w:rPr>
          <w:rFonts w:ascii="標楷體" w:eastAsia="標楷體" w:hAnsi="標楷體" w:hint="eastAsia"/>
          <w:color w:val="000000"/>
        </w:rPr>
        <w:t>肋膜間質細胞</w:t>
      </w:r>
      <w:proofErr w:type="gramEnd"/>
      <w:r w:rsidRPr="007576F0">
        <w:rPr>
          <w:rFonts w:ascii="標楷體" w:eastAsia="標楷體" w:hAnsi="標楷體" w:hint="eastAsia"/>
          <w:color w:val="000000"/>
        </w:rPr>
        <w:t>瘤。</w:t>
      </w:r>
    </w:p>
    <w:p w14:paraId="61083615"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hint="eastAsia"/>
          <w:color w:val="000000"/>
        </w:rPr>
        <w:t>(2)以含鉑之化學療法治療或70歲以上接受過第一線化學治療，但仍失敗之局部晚期或</w:t>
      </w:r>
      <w:proofErr w:type="gramStart"/>
      <w:r w:rsidRPr="007576F0">
        <w:rPr>
          <w:rFonts w:ascii="標楷體" w:eastAsia="標楷體" w:hAnsi="標楷體" w:hint="eastAsia"/>
          <w:color w:val="000000"/>
        </w:rPr>
        <w:t>轉移性非小</w:t>
      </w:r>
      <w:proofErr w:type="gramEnd"/>
      <w:r w:rsidRPr="007576F0">
        <w:rPr>
          <w:rFonts w:ascii="標楷體" w:eastAsia="標楷體" w:hAnsi="標楷體" w:hint="eastAsia"/>
          <w:color w:val="000000"/>
        </w:rPr>
        <w:t>細胞肺癌病患(</w:t>
      </w:r>
      <w:proofErr w:type="gramStart"/>
      <w:r w:rsidRPr="007576F0">
        <w:rPr>
          <w:rFonts w:ascii="標楷體" w:eastAsia="標楷體" w:hAnsi="標楷體" w:hint="eastAsia"/>
          <w:color w:val="000000"/>
        </w:rPr>
        <w:t>顯著鱗狀細胞</w:t>
      </w:r>
      <w:proofErr w:type="gramEnd"/>
      <w:r w:rsidRPr="007576F0">
        <w:rPr>
          <w:rFonts w:ascii="標楷體" w:eastAsia="標楷體" w:hAnsi="標楷體" w:hint="eastAsia"/>
          <w:color w:val="000000"/>
        </w:rPr>
        <w:t>組織型除外)之單一藥物治療。(95/7/1、97/11/1、98/9/1、111/2/1)</w:t>
      </w:r>
    </w:p>
    <w:p w14:paraId="130FB6A6"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hint="eastAsia"/>
          <w:color w:val="000000"/>
        </w:rPr>
        <w:t>(3)與</w:t>
      </w:r>
      <w:proofErr w:type="gramStart"/>
      <w:r w:rsidRPr="007576F0">
        <w:rPr>
          <w:rFonts w:ascii="標楷體" w:eastAsia="標楷體" w:hAnsi="標楷體" w:hint="eastAsia"/>
          <w:color w:val="000000"/>
        </w:rPr>
        <w:t>含鉑類之</w:t>
      </w:r>
      <w:proofErr w:type="gramEnd"/>
      <w:r w:rsidRPr="007576F0">
        <w:rPr>
          <w:rFonts w:ascii="標楷體" w:eastAsia="標楷體" w:hAnsi="標楷體" w:hint="eastAsia"/>
          <w:color w:val="000000"/>
        </w:rPr>
        <w:t>化學療法</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用，作為治療局部晚期或</w:t>
      </w:r>
      <w:proofErr w:type="gramStart"/>
      <w:r w:rsidRPr="007576F0">
        <w:rPr>
          <w:rFonts w:ascii="標楷體" w:eastAsia="標楷體" w:hAnsi="標楷體" w:hint="eastAsia"/>
          <w:color w:val="000000"/>
        </w:rPr>
        <w:t>轉移性非小</w:t>
      </w:r>
      <w:proofErr w:type="gramEnd"/>
      <w:r w:rsidRPr="007576F0">
        <w:rPr>
          <w:rFonts w:ascii="標楷體" w:eastAsia="標楷體" w:hAnsi="標楷體" w:hint="eastAsia"/>
          <w:color w:val="000000"/>
        </w:rPr>
        <w:t>細胞肺癌(</w:t>
      </w:r>
      <w:proofErr w:type="gramStart"/>
      <w:r w:rsidRPr="007576F0">
        <w:rPr>
          <w:rFonts w:ascii="標楷體" w:eastAsia="標楷體" w:hAnsi="標楷體" w:hint="eastAsia"/>
          <w:color w:val="000000"/>
        </w:rPr>
        <w:t>顯著鱗狀細胞</w:t>
      </w:r>
      <w:proofErr w:type="gramEnd"/>
      <w:r w:rsidRPr="007576F0">
        <w:rPr>
          <w:rFonts w:ascii="標楷體" w:eastAsia="標楷體" w:hAnsi="標楷體" w:hint="eastAsia"/>
          <w:color w:val="000000"/>
        </w:rPr>
        <w:t>組織型除外)之第一線化療用藥，且限用於ECOG為0~1之病患。(98/9/1)</w:t>
      </w:r>
    </w:p>
    <w:p w14:paraId="5CDEAAD0"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hint="eastAsia"/>
          <w:color w:val="000000"/>
        </w:rPr>
        <w:t>(4)pemetrexed(限使用</w:t>
      </w:r>
      <w:proofErr w:type="spellStart"/>
      <w:r w:rsidRPr="007576F0">
        <w:rPr>
          <w:rFonts w:ascii="標楷體" w:eastAsia="標楷體" w:hAnsi="標楷體" w:hint="eastAsia"/>
          <w:color w:val="000000"/>
        </w:rPr>
        <w:t>Pexeda</w:t>
      </w:r>
      <w:proofErr w:type="spellEnd"/>
      <w:r w:rsidRPr="007576F0">
        <w:rPr>
          <w:rFonts w:ascii="標楷體" w:eastAsia="標楷體" w:hAnsi="標楷體" w:hint="eastAsia"/>
          <w:color w:val="000000"/>
        </w:rPr>
        <w:t>、</w:t>
      </w:r>
      <w:proofErr w:type="spellStart"/>
      <w:r w:rsidRPr="007576F0">
        <w:rPr>
          <w:rFonts w:ascii="標楷體" w:eastAsia="標楷體" w:hAnsi="標楷體" w:hint="eastAsia"/>
          <w:color w:val="000000"/>
        </w:rPr>
        <w:t>Apeta</w:t>
      </w:r>
      <w:proofErr w:type="spellEnd"/>
      <w:r w:rsidRPr="007576F0">
        <w:rPr>
          <w:rFonts w:ascii="標楷體" w:eastAsia="標楷體" w:hAnsi="標楷體" w:hint="eastAsia"/>
          <w:color w:val="000000"/>
        </w:rPr>
        <w:t xml:space="preserve">、Pemetrexed Sandoz或Alimta </w:t>
      </w:r>
      <w:proofErr w:type="spellStart"/>
      <w:r w:rsidRPr="007576F0">
        <w:rPr>
          <w:rFonts w:ascii="標楷體" w:eastAsia="標楷體" w:hAnsi="標楷體" w:hint="eastAsia"/>
          <w:color w:val="000000"/>
        </w:rPr>
        <w:t>Avos</w:t>
      </w:r>
      <w:proofErr w:type="spellEnd"/>
      <w:r w:rsidRPr="007576F0">
        <w:rPr>
          <w:rFonts w:ascii="標楷體" w:eastAsia="標楷體" w:hAnsi="標楷體" w:hint="eastAsia"/>
          <w:color w:val="000000"/>
        </w:rPr>
        <w:t>)與pembrolizumab及</w:t>
      </w:r>
      <w:proofErr w:type="gramStart"/>
      <w:r w:rsidRPr="007576F0">
        <w:rPr>
          <w:rFonts w:ascii="標楷體" w:eastAsia="標楷體" w:hAnsi="標楷體" w:hint="eastAsia"/>
          <w:color w:val="000000"/>
        </w:rPr>
        <w:t>含鉑類之</w:t>
      </w:r>
      <w:proofErr w:type="gramEnd"/>
      <w:r w:rsidRPr="007576F0">
        <w:rPr>
          <w:rFonts w:ascii="標楷體" w:eastAsia="標楷體" w:hAnsi="標楷體" w:hint="eastAsia"/>
          <w:color w:val="000000"/>
        </w:rPr>
        <w:t>化學療法，或</w:t>
      </w:r>
      <w:r w:rsidRPr="007576F0">
        <w:rPr>
          <w:rFonts w:ascii="標楷體" w:eastAsia="標楷體" w:hAnsi="標楷體"/>
          <w:color w:val="000000"/>
        </w:rPr>
        <w:t>pemetrexed(限使用</w:t>
      </w:r>
      <w:proofErr w:type="spellStart"/>
      <w:r w:rsidRPr="007576F0">
        <w:rPr>
          <w:rFonts w:ascii="標楷體" w:eastAsia="標楷體" w:hAnsi="標楷體" w:hint="eastAsia"/>
          <w:color w:val="000000"/>
        </w:rPr>
        <w:t>Pexeda</w:t>
      </w:r>
      <w:proofErr w:type="spellEnd"/>
      <w:r w:rsidRPr="007576F0">
        <w:rPr>
          <w:rFonts w:ascii="標楷體" w:eastAsia="標楷體" w:hAnsi="標楷體" w:hint="eastAsia"/>
          <w:color w:val="000000"/>
        </w:rPr>
        <w:t>、</w:t>
      </w:r>
      <w:proofErr w:type="spellStart"/>
      <w:r w:rsidRPr="007576F0">
        <w:rPr>
          <w:rFonts w:ascii="標楷體" w:eastAsia="標楷體" w:hAnsi="標楷體" w:hint="eastAsia"/>
          <w:color w:val="000000"/>
        </w:rPr>
        <w:t>Apeta</w:t>
      </w:r>
      <w:proofErr w:type="spellEnd"/>
      <w:r w:rsidRPr="007576F0">
        <w:rPr>
          <w:rFonts w:ascii="標楷體" w:eastAsia="標楷體" w:hAnsi="標楷體" w:hint="eastAsia"/>
          <w:color w:val="000000"/>
        </w:rPr>
        <w:t xml:space="preserve">、Pemetrexed Sandoz或Alimta </w:t>
      </w:r>
      <w:proofErr w:type="spellStart"/>
      <w:r w:rsidRPr="007576F0">
        <w:rPr>
          <w:rFonts w:ascii="標楷體" w:eastAsia="標楷體" w:hAnsi="標楷體" w:hint="eastAsia"/>
          <w:color w:val="000000"/>
        </w:rPr>
        <w:t>Avos</w:t>
      </w:r>
      <w:proofErr w:type="spellEnd"/>
      <w:r w:rsidRPr="007576F0">
        <w:rPr>
          <w:rFonts w:ascii="標楷體" w:eastAsia="標楷體" w:hAnsi="標楷體"/>
          <w:color w:val="000000"/>
        </w:rPr>
        <w:t>)與tislelizumab</w:t>
      </w:r>
      <w:r w:rsidRPr="007576F0">
        <w:rPr>
          <w:rFonts w:ascii="標楷體" w:eastAsia="標楷體" w:hAnsi="標楷體" w:hint="eastAsia"/>
          <w:color w:val="000000"/>
        </w:rPr>
        <w:t>及</w:t>
      </w:r>
      <w:proofErr w:type="gramStart"/>
      <w:r w:rsidRPr="007576F0">
        <w:rPr>
          <w:rFonts w:ascii="標楷體" w:eastAsia="標楷體" w:hAnsi="標楷體"/>
          <w:color w:val="000000"/>
        </w:rPr>
        <w:t>含鉑類之</w:t>
      </w:r>
      <w:proofErr w:type="gramEnd"/>
      <w:r w:rsidRPr="007576F0">
        <w:rPr>
          <w:rFonts w:ascii="標楷體" w:eastAsia="標楷體" w:hAnsi="標楷體"/>
          <w:color w:val="000000"/>
        </w:rPr>
        <w:t>化學療法</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用於轉移性，不具有EGFR/ALK/ROS-1腫瘤基因異常的</w:t>
      </w:r>
      <w:proofErr w:type="gramStart"/>
      <w:r w:rsidRPr="007576F0">
        <w:rPr>
          <w:rFonts w:ascii="標楷體" w:eastAsia="標楷體" w:hAnsi="標楷體" w:hint="eastAsia"/>
          <w:color w:val="000000"/>
        </w:rPr>
        <w:t>非鱗狀非</w:t>
      </w:r>
      <w:proofErr w:type="gramEnd"/>
      <w:r w:rsidRPr="007576F0">
        <w:rPr>
          <w:rFonts w:ascii="標楷體" w:eastAsia="標楷體" w:hAnsi="標楷體" w:hint="eastAsia"/>
          <w:color w:val="000000"/>
        </w:rPr>
        <w:t>小細胞肺癌的第一線治療，患者需符合免疫檢查點抑制劑之藥品給付規定。(114/6/1、114/8/1、115/8/1、115/10/1)</w:t>
      </w:r>
    </w:p>
    <w:p w14:paraId="654BC35A"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hint="eastAsia"/>
          <w:color w:val="000000"/>
        </w:rPr>
        <w:t>(5)與</w:t>
      </w:r>
      <w:proofErr w:type="spellStart"/>
      <w:r w:rsidRPr="007576F0">
        <w:rPr>
          <w:rFonts w:ascii="標楷體" w:eastAsia="標楷體" w:hAnsi="標楷體" w:hint="eastAsia"/>
          <w:color w:val="000000"/>
        </w:rPr>
        <w:t>amivantamab</w:t>
      </w:r>
      <w:proofErr w:type="spellEnd"/>
      <w:r w:rsidRPr="007576F0">
        <w:rPr>
          <w:rFonts w:ascii="標楷體" w:eastAsia="標楷體" w:hAnsi="標楷體" w:hint="eastAsia"/>
          <w:color w:val="000000"/>
        </w:rPr>
        <w:t>及carboplatin</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用於</w:t>
      </w:r>
      <w:proofErr w:type="gramStart"/>
      <w:r w:rsidRPr="007576F0">
        <w:rPr>
          <w:rFonts w:ascii="標楷體" w:eastAsia="標楷體" w:hAnsi="標楷體" w:hint="eastAsia"/>
          <w:color w:val="000000"/>
        </w:rPr>
        <w:t>罹</w:t>
      </w:r>
      <w:proofErr w:type="gramEnd"/>
      <w:r w:rsidRPr="007576F0">
        <w:rPr>
          <w:rFonts w:ascii="標楷體" w:eastAsia="標楷體" w:hAnsi="標楷體" w:hint="eastAsia"/>
          <w:color w:val="000000"/>
        </w:rPr>
        <w:t>患帶有表皮生長因子受體(EGFR) exon 20插入突變之局部晚期或</w:t>
      </w:r>
      <w:proofErr w:type="gramStart"/>
      <w:r w:rsidRPr="007576F0">
        <w:rPr>
          <w:rFonts w:ascii="標楷體" w:eastAsia="標楷體" w:hAnsi="標楷體" w:hint="eastAsia"/>
          <w:color w:val="000000"/>
        </w:rPr>
        <w:t>轉移性非小</w:t>
      </w:r>
      <w:proofErr w:type="gramEnd"/>
      <w:r w:rsidRPr="007576F0">
        <w:rPr>
          <w:rFonts w:ascii="標楷體" w:eastAsia="標楷體" w:hAnsi="標楷體" w:hint="eastAsia"/>
          <w:color w:val="000000"/>
        </w:rPr>
        <w:t>細胞肺癌(NSCLC)的成人病人，作為第一線治療。(114/10/1)</w:t>
      </w:r>
    </w:p>
    <w:p w14:paraId="26925313" w14:textId="77777777" w:rsidR="007576F0" w:rsidRPr="007576F0" w:rsidRDefault="007576F0" w:rsidP="007576F0">
      <w:pPr>
        <w:spacing w:line="300" w:lineRule="exact"/>
        <w:ind w:left="1049" w:hanging="341"/>
        <w:rPr>
          <w:rFonts w:ascii="標楷體" w:eastAsia="標楷體" w:hAnsi="標楷體"/>
          <w:szCs w:val="24"/>
        </w:rPr>
      </w:pPr>
      <w:r w:rsidRPr="007576F0">
        <w:rPr>
          <w:rFonts w:ascii="標楷體" w:eastAsia="標楷體" w:hAnsi="標楷體" w:hint="eastAsia"/>
          <w:color w:val="000000"/>
        </w:rPr>
        <w:t>(6)pemetrexed(限</w:t>
      </w:r>
      <w:r w:rsidRPr="007576F0">
        <w:rPr>
          <w:rFonts w:ascii="標楷體" w:eastAsia="標楷體" w:hAnsi="標楷體" w:hint="eastAsia"/>
          <w:szCs w:val="24"/>
        </w:rPr>
        <w:t>使用</w:t>
      </w:r>
      <w:proofErr w:type="spellStart"/>
      <w:r w:rsidRPr="007576F0">
        <w:rPr>
          <w:rFonts w:ascii="標楷體" w:eastAsia="標楷體" w:hAnsi="標楷體" w:hint="eastAsia"/>
          <w:szCs w:val="24"/>
        </w:rPr>
        <w:t>Pexeda</w:t>
      </w:r>
      <w:proofErr w:type="spellEnd"/>
      <w:r w:rsidRPr="007576F0">
        <w:rPr>
          <w:rFonts w:ascii="標楷體" w:eastAsia="標楷體" w:hAnsi="標楷體" w:hint="eastAsia"/>
          <w:szCs w:val="24"/>
        </w:rPr>
        <w:t>、</w:t>
      </w:r>
      <w:proofErr w:type="spellStart"/>
      <w:r w:rsidRPr="007576F0">
        <w:rPr>
          <w:rFonts w:ascii="標楷體" w:eastAsia="標楷體" w:hAnsi="標楷體" w:hint="eastAsia"/>
          <w:szCs w:val="24"/>
        </w:rPr>
        <w:t>Apeta</w:t>
      </w:r>
      <w:proofErr w:type="spellEnd"/>
      <w:r w:rsidRPr="007576F0">
        <w:rPr>
          <w:rFonts w:ascii="標楷體" w:eastAsia="標楷體" w:hAnsi="標楷體" w:hint="eastAsia"/>
          <w:szCs w:val="24"/>
        </w:rPr>
        <w:t xml:space="preserve">、Pemetrexed Sandoz或Alimta </w:t>
      </w:r>
      <w:proofErr w:type="spellStart"/>
      <w:r w:rsidRPr="007576F0">
        <w:rPr>
          <w:rFonts w:ascii="標楷體" w:eastAsia="標楷體" w:hAnsi="標楷體" w:hint="eastAsia"/>
          <w:szCs w:val="24"/>
        </w:rPr>
        <w:t>Avos</w:t>
      </w:r>
      <w:proofErr w:type="spellEnd"/>
      <w:r w:rsidRPr="007576F0">
        <w:rPr>
          <w:rFonts w:ascii="標楷體" w:eastAsia="標楷體" w:hAnsi="標楷體" w:hint="eastAsia"/>
          <w:szCs w:val="24"/>
        </w:rPr>
        <w:t>) 與nivolumab及含</w:t>
      </w:r>
      <w:proofErr w:type="gramStart"/>
      <w:r w:rsidRPr="007576F0">
        <w:rPr>
          <w:rFonts w:ascii="標楷體" w:eastAsia="標楷體" w:hAnsi="標楷體" w:hint="eastAsia"/>
          <w:szCs w:val="24"/>
        </w:rPr>
        <w:t>鉑化療併</w:t>
      </w:r>
      <w:proofErr w:type="gramEnd"/>
      <w:r w:rsidRPr="007576F0">
        <w:rPr>
          <w:rFonts w:ascii="標楷體" w:eastAsia="標楷體" w:hAnsi="標楷體" w:hint="eastAsia"/>
          <w:szCs w:val="24"/>
        </w:rPr>
        <w:t>用於</w:t>
      </w:r>
      <w:proofErr w:type="gramStart"/>
      <w:r w:rsidRPr="007576F0">
        <w:rPr>
          <w:rFonts w:ascii="標楷體" w:eastAsia="標楷體" w:hAnsi="標楷體" w:hint="eastAsia"/>
          <w:szCs w:val="24"/>
        </w:rPr>
        <w:t>非鱗狀非</w:t>
      </w:r>
      <w:proofErr w:type="gramEnd"/>
      <w:r w:rsidRPr="007576F0">
        <w:rPr>
          <w:rFonts w:ascii="標楷體" w:eastAsia="標楷體" w:hAnsi="標楷體" w:hint="eastAsia"/>
          <w:szCs w:val="24"/>
        </w:rPr>
        <w:t>小細胞肺癌術前輔助治療，患者需符合免疫檢查點抑制劑之藥品給付規定。(115/6/1、115/8/1)</w:t>
      </w:r>
    </w:p>
    <w:p w14:paraId="5689D1A6" w14:textId="77777777" w:rsidR="007576F0" w:rsidRPr="007576F0" w:rsidRDefault="007576F0" w:rsidP="007576F0">
      <w:pPr>
        <w:spacing w:line="300" w:lineRule="exact"/>
        <w:ind w:left="811" w:hanging="245"/>
      </w:pPr>
      <w:r w:rsidRPr="007576F0">
        <w:rPr>
          <w:rFonts w:ascii="標楷體" w:eastAsia="標楷體" w:hAnsi="標楷體" w:hint="eastAsia"/>
          <w:szCs w:val="24"/>
        </w:rPr>
        <w:t>2.每4個療程需進行療效評估，病歷應留存評估紀錄，無疾病惡化方可繼續使用。(103/4/1、103/9/1、106/11/1</w:t>
      </w:r>
      <w:r w:rsidRPr="007576F0">
        <w:rPr>
          <w:rFonts w:ascii="標楷體" w:eastAsia="標楷體" w:hAnsi="標楷體" w:hint="eastAsia"/>
        </w:rPr>
        <w:t>)</w:t>
      </w:r>
    </w:p>
    <w:p w14:paraId="003CADAB" w14:textId="77777777" w:rsidR="007576F0" w:rsidRPr="007576F0" w:rsidRDefault="007576F0" w:rsidP="007576F0">
      <w:pPr>
        <w:spacing w:line="300" w:lineRule="exact"/>
        <w:ind w:left="523" w:hanging="240"/>
        <w:rPr>
          <w:rFonts w:ascii="標楷體" w:eastAsia="標楷體" w:hAnsi="標楷體"/>
          <w:szCs w:val="24"/>
        </w:rPr>
      </w:pPr>
      <w:bookmarkStart w:id="41" w:name="_Hlk91258567"/>
      <w:r w:rsidRPr="007576F0">
        <w:rPr>
          <w:rFonts w:ascii="標楷體" w:eastAsia="標楷體" w:hAnsi="標楷體"/>
          <w:szCs w:val="24"/>
        </w:rPr>
        <w:t>9.27.Cetuximab(如Erbitux)：(96/3/1、98/7/1、98/8/1、99/10/1、101/12/1、104/11/1、106/1/1、106/4/1、107/6/1、110/6/1、111/2/1、112/12/1、113/6/1、115/2/1</w:t>
      </w:r>
      <w:r w:rsidRPr="007576F0">
        <w:rPr>
          <w:rFonts w:ascii="標楷體" w:eastAsia="標楷體" w:hAnsi="標楷體" w:hint="eastAsia"/>
          <w:szCs w:val="24"/>
        </w:rPr>
        <w:t>、115/5/1</w:t>
      </w:r>
      <w:r w:rsidRPr="007576F0">
        <w:rPr>
          <w:rFonts w:ascii="標楷體" w:eastAsia="標楷體" w:hAnsi="標楷體"/>
          <w:szCs w:val="24"/>
        </w:rPr>
        <w:t>)</w:t>
      </w:r>
    </w:p>
    <w:p w14:paraId="32DF1CDD" w14:textId="77777777" w:rsidR="007576F0" w:rsidRPr="007576F0" w:rsidRDefault="007576F0" w:rsidP="007576F0">
      <w:pPr>
        <w:spacing w:line="300" w:lineRule="exact"/>
        <w:ind w:left="1049" w:hanging="341"/>
        <w:rPr>
          <w:rFonts w:ascii="標楷體" w:eastAsia="標楷體" w:hAnsi="標楷體"/>
          <w:szCs w:val="24"/>
        </w:rPr>
      </w:pPr>
      <w:r w:rsidRPr="007576F0">
        <w:rPr>
          <w:rFonts w:ascii="標楷體" w:eastAsia="標楷體" w:hAnsi="標楷體"/>
          <w:szCs w:val="24"/>
        </w:rPr>
        <w:t>1.直腸結腸癌治療部分：</w:t>
      </w:r>
    </w:p>
    <w:p w14:paraId="3463166A" w14:textId="77777777" w:rsidR="007576F0" w:rsidRPr="007576F0" w:rsidRDefault="007576F0" w:rsidP="007576F0">
      <w:pPr>
        <w:spacing w:line="300" w:lineRule="exact"/>
        <w:ind w:left="1049" w:hanging="341"/>
        <w:rPr>
          <w:rFonts w:ascii="標楷體" w:eastAsia="標楷體" w:hAnsi="標楷體"/>
          <w:szCs w:val="24"/>
        </w:rPr>
      </w:pPr>
      <w:r w:rsidRPr="007576F0">
        <w:rPr>
          <w:rFonts w:ascii="標楷體" w:eastAsia="標楷體" w:hAnsi="標楷體"/>
          <w:szCs w:val="24"/>
        </w:rPr>
        <w:t>(1)與FOLFIRI（Folinic acid/ 5-fluorouracil/irinotecan）或FOLFOX（Folinic acid/ 5-fluorouracil/oxaliplatin）合併使用於治療RAS</w:t>
      </w:r>
      <w:proofErr w:type="gramStart"/>
      <w:r w:rsidRPr="007576F0">
        <w:rPr>
          <w:rFonts w:ascii="標楷體" w:eastAsia="標楷體" w:hAnsi="標楷體"/>
          <w:szCs w:val="24"/>
        </w:rPr>
        <w:t>原生型</w:t>
      </w:r>
      <w:proofErr w:type="gramEnd"/>
      <w:r w:rsidRPr="007576F0">
        <w:rPr>
          <w:rFonts w:ascii="標楷體" w:eastAsia="標楷體" w:hAnsi="標楷體"/>
          <w:szCs w:val="24"/>
        </w:rPr>
        <w:t>(wild-type)之轉移性直腸結腸癌病人之第一線治療。需檢附All-RAS基因突變分析檢測報告，且需符合全民健康保險藥品給付規定之通則十二。(101/12/1、104/11/1、106/1/1、110/6/1、113/6/1、115/2/1)</w:t>
      </w:r>
    </w:p>
    <w:p w14:paraId="585FB759"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Ⅰ.本藥品須經事前審查核准後使用，每次申請之療程以18</w:t>
      </w:r>
      <w:proofErr w:type="gramStart"/>
      <w:r w:rsidRPr="007576F0">
        <w:rPr>
          <w:rFonts w:ascii="標楷體" w:eastAsia="標楷體" w:hAnsi="標楷體"/>
          <w:szCs w:val="24"/>
        </w:rPr>
        <w:t>週</w:t>
      </w:r>
      <w:proofErr w:type="gramEnd"/>
      <w:r w:rsidRPr="007576F0">
        <w:rPr>
          <w:rFonts w:ascii="標楷體" w:eastAsia="標楷體" w:hAnsi="標楷體"/>
          <w:szCs w:val="24"/>
        </w:rPr>
        <w:t>為限，再次申請必須提出客觀證據(如：影像學)證實無惡化，才可繼續使用。</w:t>
      </w:r>
    </w:p>
    <w:p w14:paraId="6B09BF2D" w14:textId="77777777" w:rsidR="007576F0" w:rsidRPr="007576F0" w:rsidRDefault="007576F0" w:rsidP="007576F0">
      <w:pPr>
        <w:spacing w:line="300" w:lineRule="exact"/>
        <w:ind w:left="1474" w:hanging="340"/>
        <w:rPr>
          <w:rFonts w:ascii="標楷體" w:eastAsia="標楷體" w:hAnsi="標楷體"/>
          <w:szCs w:val="24"/>
        </w:rPr>
      </w:pPr>
      <w:proofErr w:type="spellStart"/>
      <w:r w:rsidRPr="007576F0">
        <w:rPr>
          <w:rFonts w:ascii="標楷體" w:eastAsia="標楷體" w:hAnsi="標楷體"/>
          <w:szCs w:val="24"/>
        </w:rPr>
        <w:t>Ⅱ.Cetuximab</w:t>
      </w:r>
      <w:proofErr w:type="spellEnd"/>
      <w:r w:rsidRPr="007576F0">
        <w:rPr>
          <w:rFonts w:ascii="標楷體" w:eastAsia="標楷體" w:hAnsi="標楷體"/>
          <w:szCs w:val="24"/>
        </w:rPr>
        <w:t>與panitumumab二者僅能擇</w:t>
      </w:r>
      <w:proofErr w:type="gramStart"/>
      <w:r w:rsidRPr="007576F0">
        <w:rPr>
          <w:rFonts w:ascii="標楷體" w:eastAsia="標楷體" w:hAnsi="標楷體"/>
          <w:szCs w:val="24"/>
        </w:rPr>
        <w:t>一</w:t>
      </w:r>
      <w:proofErr w:type="gramEnd"/>
      <w:r w:rsidRPr="007576F0">
        <w:rPr>
          <w:rFonts w:ascii="標楷體" w:eastAsia="標楷體" w:hAnsi="標楷體"/>
          <w:szCs w:val="24"/>
        </w:rPr>
        <w:t>使用。 (101/12/1、106/1/1、107/6/1、115/2/1)</w:t>
      </w:r>
    </w:p>
    <w:p w14:paraId="6FF80620"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Ⅲ.本藥品不得與bevacizumab</w:t>
      </w:r>
      <w:proofErr w:type="gramStart"/>
      <w:r w:rsidRPr="007576F0">
        <w:rPr>
          <w:rFonts w:ascii="標楷體" w:eastAsia="標楷體" w:hAnsi="標楷體"/>
          <w:szCs w:val="24"/>
        </w:rPr>
        <w:t>併</w:t>
      </w:r>
      <w:proofErr w:type="gramEnd"/>
      <w:r w:rsidRPr="007576F0">
        <w:rPr>
          <w:rFonts w:ascii="標楷體" w:eastAsia="標楷體" w:hAnsi="標楷體"/>
          <w:szCs w:val="24"/>
        </w:rPr>
        <w:t>用。</w:t>
      </w:r>
    </w:p>
    <w:p w14:paraId="190FDF4E"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Ⅳ.經手術完全切除(R0切除)且查無轉移病灶者不得申請給付。(115/2/1)</w:t>
      </w:r>
    </w:p>
    <w:p w14:paraId="10F6798C" w14:textId="77777777" w:rsidR="007576F0" w:rsidRPr="007576F0" w:rsidRDefault="007576F0" w:rsidP="007576F0">
      <w:pPr>
        <w:spacing w:line="300" w:lineRule="exact"/>
        <w:ind w:left="1219" w:hanging="510"/>
        <w:rPr>
          <w:rFonts w:ascii="標楷體" w:eastAsia="標楷體" w:hAnsi="標楷體"/>
          <w:szCs w:val="24"/>
        </w:rPr>
      </w:pPr>
      <w:r w:rsidRPr="007576F0">
        <w:rPr>
          <w:rFonts w:ascii="標楷體" w:eastAsia="標楷體" w:hAnsi="標楷體"/>
          <w:szCs w:val="24"/>
        </w:rPr>
        <w:t xml:space="preserve"> </w:t>
      </w:r>
      <w:r w:rsidRPr="007576F0">
        <w:rPr>
          <w:rFonts w:ascii="標楷體" w:eastAsia="標楷體" w:hAnsi="標楷體" w:hint="eastAsia"/>
          <w:szCs w:val="24"/>
        </w:rPr>
        <w:t>(2)與</w:t>
      </w:r>
      <w:proofErr w:type="spellStart"/>
      <w:r w:rsidRPr="007576F0">
        <w:rPr>
          <w:rFonts w:ascii="標楷體" w:eastAsia="標楷體" w:hAnsi="標楷體" w:hint="eastAsia"/>
          <w:szCs w:val="24"/>
        </w:rPr>
        <w:t>encorafenib</w:t>
      </w:r>
      <w:proofErr w:type="spellEnd"/>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用，作為具有BRAF V600E突變且RAS基因沒有突變的轉移性結腸直腸癌成人病人之第二線治療：(115/5/1)</w:t>
      </w:r>
    </w:p>
    <w:p w14:paraId="5AA1AAE7"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hint="eastAsia"/>
          <w:szCs w:val="24"/>
        </w:rPr>
        <w:t>Ⅰ.病人須符合</w:t>
      </w:r>
      <w:proofErr w:type="spellStart"/>
      <w:r w:rsidRPr="007576F0">
        <w:rPr>
          <w:rFonts w:ascii="標楷體" w:eastAsia="標楷體" w:hAnsi="標楷體" w:hint="eastAsia"/>
          <w:szCs w:val="24"/>
        </w:rPr>
        <w:t>encorafenib</w:t>
      </w:r>
      <w:proofErr w:type="spellEnd"/>
      <w:r w:rsidRPr="007576F0">
        <w:rPr>
          <w:rFonts w:ascii="標楷體" w:eastAsia="標楷體" w:hAnsi="標楷體" w:hint="eastAsia"/>
          <w:szCs w:val="24"/>
        </w:rPr>
        <w:t>之藥品給付規定，且未曾申報抗表皮生長因子受體(anti-EGFR)藥品之病人使用。</w:t>
      </w:r>
    </w:p>
    <w:p w14:paraId="07263EDB"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hint="eastAsia"/>
          <w:szCs w:val="24"/>
        </w:rPr>
        <w:lastRenderedPageBreak/>
        <w:t>Ⅱ.須經事前審查核准後使用，初次申請之療程以12</w:t>
      </w:r>
      <w:proofErr w:type="gramStart"/>
      <w:r w:rsidRPr="007576F0">
        <w:rPr>
          <w:rFonts w:ascii="標楷體" w:eastAsia="標楷體" w:hAnsi="標楷體" w:hint="eastAsia"/>
          <w:szCs w:val="24"/>
        </w:rPr>
        <w:t>週</w:t>
      </w:r>
      <w:proofErr w:type="gramEnd"/>
      <w:r w:rsidRPr="007576F0">
        <w:rPr>
          <w:rFonts w:ascii="標楷體" w:eastAsia="標楷體" w:hAnsi="標楷體" w:hint="eastAsia"/>
          <w:szCs w:val="24"/>
        </w:rPr>
        <w:t>為限，之後每12</w:t>
      </w:r>
      <w:proofErr w:type="gramStart"/>
      <w:r w:rsidRPr="007576F0">
        <w:rPr>
          <w:rFonts w:ascii="標楷體" w:eastAsia="標楷體" w:hAnsi="標楷體" w:hint="eastAsia"/>
          <w:szCs w:val="24"/>
        </w:rPr>
        <w:t>週</w:t>
      </w:r>
      <w:proofErr w:type="gramEnd"/>
      <w:r w:rsidRPr="007576F0">
        <w:rPr>
          <w:rFonts w:ascii="標楷體" w:eastAsia="標楷體" w:hAnsi="標楷體" w:hint="eastAsia"/>
          <w:szCs w:val="24"/>
        </w:rPr>
        <w:t>申請一次，再次申請時必須提出客觀證據</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如：影像學</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證實無惡化，才可繼續使用。</w:t>
      </w:r>
    </w:p>
    <w:p w14:paraId="6146105A"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hint="eastAsia"/>
          <w:szCs w:val="24"/>
        </w:rPr>
        <w:t>Ⅲ.使用總療程以24</w:t>
      </w:r>
      <w:proofErr w:type="gramStart"/>
      <w:r w:rsidRPr="007576F0">
        <w:rPr>
          <w:rFonts w:ascii="標楷體" w:eastAsia="標楷體" w:hAnsi="標楷體" w:hint="eastAsia"/>
          <w:szCs w:val="24"/>
        </w:rPr>
        <w:t>週</w:t>
      </w:r>
      <w:proofErr w:type="gramEnd"/>
      <w:r w:rsidRPr="007576F0">
        <w:rPr>
          <w:rFonts w:ascii="標楷體" w:eastAsia="標楷體" w:hAnsi="標楷體" w:hint="eastAsia"/>
          <w:szCs w:val="24"/>
        </w:rPr>
        <w:t>為上限。</w:t>
      </w:r>
    </w:p>
    <w:p w14:paraId="57EE40C2"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hint="eastAsia"/>
          <w:szCs w:val="24"/>
        </w:rPr>
        <w:t>Ⅳ.使用本品</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w:t>
      </w:r>
      <w:proofErr w:type="spellStart"/>
      <w:r w:rsidRPr="007576F0">
        <w:rPr>
          <w:rFonts w:ascii="標楷體" w:eastAsia="標楷體" w:hAnsi="標楷體" w:hint="eastAsia"/>
          <w:szCs w:val="24"/>
        </w:rPr>
        <w:t>encorafenib</w:t>
      </w:r>
      <w:proofErr w:type="spellEnd"/>
      <w:r w:rsidRPr="007576F0">
        <w:rPr>
          <w:rFonts w:ascii="標楷體" w:eastAsia="標楷體" w:hAnsi="標楷體" w:hint="eastAsia"/>
          <w:szCs w:val="24"/>
        </w:rPr>
        <w:t>作為第二線治療，不得再申請抗表皮生長因子受體(anti-EGFR)藥品作為後續治療。</w:t>
      </w:r>
    </w:p>
    <w:p w14:paraId="6A373A2D" w14:textId="77777777" w:rsidR="007576F0" w:rsidRPr="007576F0" w:rsidRDefault="007576F0" w:rsidP="007576F0">
      <w:pPr>
        <w:spacing w:line="300" w:lineRule="exact"/>
        <w:ind w:left="1106" w:hanging="397"/>
        <w:rPr>
          <w:rFonts w:ascii="標楷體" w:eastAsia="標楷體" w:hAnsi="標楷體"/>
          <w:szCs w:val="24"/>
        </w:rPr>
      </w:pPr>
      <w:r w:rsidRPr="007576F0">
        <w:rPr>
          <w:rFonts w:ascii="標楷體" w:eastAsia="標楷體" w:hAnsi="標楷體"/>
          <w:szCs w:val="24"/>
        </w:rPr>
        <w:t>(</w:t>
      </w:r>
      <w:r w:rsidRPr="007576F0">
        <w:rPr>
          <w:rFonts w:ascii="標楷體" w:eastAsia="標楷體" w:hAnsi="標楷體" w:hint="eastAsia"/>
          <w:szCs w:val="24"/>
        </w:rPr>
        <w:t>3</w:t>
      </w:r>
      <w:r w:rsidRPr="007576F0">
        <w:rPr>
          <w:rFonts w:ascii="標楷體" w:eastAsia="標楷體" w:hAnsi="標楷體"/>
          <w:szCs w:val="24"/>
        </w:rPr>
        <w:t>)與irinotecan合併使用，治療已</w:t>
      </w:r>
      <w:proofErr w:type="gramStart"/>
      <w:r w:rsidRPr="007576F0">
        <w:rPr>
          <w:rFonts w:ascii="標楷體" w:eastAsia="標楷體" w:hAnsi="標楷體"/>
          <w:szCs w:val="24"/>
        </w:rPr>
        <w:t>接受過含</w:t>
      </w:r>
      <w:proofErr w:type="gramEnd"/>
      <w:r w:rsidRPr="007576F0">
        <w:rPr>
          <w:rFonts w:ascii="標楷體" w:eastAsia="標楷體" w:hAnsi="標楷體"/>
          <w:szCs w:val="24"/>
        </w:rPr>
        <w:t>5-fluorouracil、irinotecan及oxaliplatin二線以上之細胞毒性治療失敗、具有表皮生長因子受體(EGFR)</w:t>
      </w:r>
      <w:proofErr w:type="gramStart"/>
      <w:r w:rsidRPr="007576F0">
        <w:rPr>
          <w:rFonts w:ascii="標楷體" w:eastAsia="標楷體" w:hAnsi="標楷體"/>
          <w:szCs w:val="24"/>
        </w:rPr>
        <w:t>表現型且</w:t>
      </w:r>
      <w:proofErr w:type="gramEnd"/>
      <w:r w:rsidRPr="007576F0">
        <w:rPr>
          <w:rFonts w:ascii="標楷體" w:eastAsia="標楷體" w:hAnsi="標楷體"/>
          <w:szCs w:val="24"/>
        </w:rPr>
        <w:t>K-RAS基因沒有突變的轉移性直腸結腸癌的病人，且於115年1月31日前經審核同意用藥，後續評估符合續用申請條件者。需檢附All-RAS基因突變分析檢測報告，且需符合全民健康保險藥品給付規定之通則十二。(98/8/1、110/6/1、113/6/1、115/2/1)</w:t>
      </w:r>
    </w:p>
    <w:p w14:paraId="63BFB92C"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Ⅰ.本藥品須經事前審查核准後使用，每次申請之療程以9</w:t>
      </w:r>
      <w:proofErr w:type="gramStart"/>
      <w:r w:rsidRPr="007576F0">
        <w:rPr>
          <w:rFonts w:ascii="標楷體" w:eastAsia="標楷體" w:hAnsi="標楷體"/>
          <w:szCs w:val="24"/>
        </w:rPr>
        <w:t>週</w:t>
      </w:r>
      <w:proofErr w:type="gramEnd"/>
      <w:r w:rsidRPr="007576F0">
        <w:rPr>
          <w:rFonts w:ascii="標楷體" w:eastAsia="標楷體" w:hAnsi="標楷體"/>
          <w:szCs w:val="24"/>
        </w:rPr>
        <w:t>為限，再次申請必須提出客觀證據</w:t>
      </w:r>
      <w:proofErr w:type="gramStart"/>
      <w:r w:rsidRPr="007576F0">
        <w:rPr>
          <w:rFonts w:ascii="標楷體" w:eastAsia="標楷體" w:hAnsi="標楷體"/>
          <w:szCs w:val="24"/>
        </w:rPr>
        <w:t>（</w:t>
      </w:r>
      <w:proofErr w:type="gramEnd"/>
      <w:r w:rsidRPr="007576F0">
        <w:rPr>
          <w:rFonts w:ascii="標楷體" w:eastAsia="標楷體" w:hAnsi="標楷體"/>
          <w:szCs w:val="24"/>
        </w:rPr>
        <w:t>如：影像學</w:t>
      </w:r>
      <w:proofErr w:type="gramStart"/>
      <w:r w:rsidRPr="007576F0">
        <w:rPr>
          <w:rFonts w:ascii="標楷體" w:eastAsia="標楷體" w:hAnsi="標楷體"/>
          <w:szCs w:val="24"/>
        </w:rPr>
        <w:t>）</w:t>
      </w:r>
      <w:proofErr w:type="gramEnd"/>
      <w:r w:rsidRPr="007576F0">
        <w:rPr>
          <w:rFonts w:ascii="標楷體" w:eastAsia="標楷體" w:hAnsi="標楷體"/>
          <w:szCs w:val="24"/>
        </w:rPr>
        <w:t>證實無惡化，才可繼續使用。</w:t>
      </w:r>
    </w:p>
    <w:p w14:paraId="4D2FAB3E"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Ⅱ.使用總療程18</w:t>
      </w:r>
      <w:proofErr w:type="gramStart"/>
      <w:r w:rsidRPr="007576F0">
        <w:rPr>
          <w:rFonts w:ascii="標楷體" w:eastAsia="標楷體" w:hAnsi="標楷體"/>
          <w:szCs w:val="24"/>
        </w:rPr>
        <w:t>週</w:t>
      </w:r>
      <w:proofErr w:type="gramEnd"/>
      <w:r w:rsidRPr="007576F0">
        <w:rPr>
          <w:rFonts w:ascii="標楷體" w:eastAsia="標楷體" w:hAnsi="標楷體"/>
          <w:szCs w:val="24"/>
        </w:rPr>
        <w:t>為上限。</w:t>
      </w:r>
    </w:p>
    <w:p w14:paraId="38C956B2" w14:textId="77777777" w:rsidR="007576F0" w:rsidRPr="007576F0" w:rsidRDefault="007576F0" w:rsidP="007576F0">
      <w:pPr>
        <w:spacing w:line="300" w:lineRule="exact"/>
        <w:ind w:left="1049" w:hanging="341"/>
        <w:rPr>
          <w:rFonts w:ascii="標楷體" w:eastAsia="標楷體" w:hAnsi="標楷體"/>
          <w:szCs w:val="24"/>
        </w:rPr>
      </w:pPr>
      <w:r w:rsidRPr="007576F0">
        <w:rPr>
          <w:rFonts w:ascii="標楷體" w:eastAsia="標楷體" w:hAnsi="標楷體"/>
          <w:szCs w:val="24"/>
        </w:rPr>
        <w:t>2.</w:t>
      </w:r>
      <w:proofErr w:type="gramStart"/>
      <w:r w:rsidRPr="007576F0">
        <w:rPr>
          <w:rFonts w:ascii="標楷體" w:eastAsia="標楷體" w:hAnsi="標楷體"/>
          <w:szCs w:val="24"/>
        </w:rPr>
        <w:t>口咽癌</w:t>
      </w:r>
      <w:proofErr w:type="gramEnd"/>
      <w:r w:rsidRPr="007576F0">
        <w:rPr>
          <w:rFonts w:ascii="標楷體" w:eastAsia="標楷體" w:hAnsi="標楷體"/>
          <w:szCs w:val="24"/>
        </w:rPr>
        <w:t>、</w:t>
      </w:r>
      <w:proofErr w:type="gramStart"/>
      <w:r w:rsidRPr="007576F0">
        <w:rPr>
          <w:rFonts w:ascii="標楷體" w:eastAsia="標楷體" w:hAnsi="標楷體"/>
          <w:szCs w:val="24"/>
        </w:rPr>
        <w:t>下咽癌及</w:t>
      </w:r>
      <w:proofErr w:type="gramEnd"/>
      <w:r w:rsidRPr="007576F0">
        <w:rPr>
          <w:rFonts w:ascii="標楷體" w:eastAsia="標楷體" w:hAnsi="標楷體"/>
          <w:szCs w:val="24"/>
        </w:rPr>
        <w:t>喉癌治療部分：(98/7/1、99/10/1、111/2/1、115/2/1)</w:t>
      </w:r>
    </w:p>
    <w:p w14:paraId="1F0FB718" w14:textId="77777777" w:rsidR="007576F0" w:rsidRPr="007576F0" w:rsidRDefault="007576F0" w:rsidP="007576F0">
      <w:pPr>
        <w:spacing w:line="300" w:lineRule="exact"/>
        <w:ind w:left="1276" w:hanging="397"/>
        <w:rPr>
          <w:rFonts w:ascii="標楷體" w:eastAsia="標楷體" w:hAnsi="標楷體"/>
          <w:szCs w:val="24"/>
        </w:rPr>
      </w:pPr>
      <w:r w:rsidRPr="007576F0">
        <w:rPr>
          <w:rFonts w:ascii="標楷體" w:eastAsia="標楷體" w:hAnsi="標楷體"/>
          <w:szCs w:val="24"/>
        </w:rPr>
        <w:t>(1)限與放射線療法合併使用於局部晚期之</w:t>
      </w:r>
      <w:proofErr w:type="gramStart"/>
      <w:r w:rsidRPr="007576F0">
        <w:rPr>
          <w:rFonts w:ascii="標楷體" w:eastAsia="標楷體" w:hAnsi="標楷體"/>
          <w:szCs w:val="24"/>
        </w:rPr>
        <w:t>口咽癌</w:t>
      </w:r>
      <w:proofErr w:type="gramEnd"/>
      <w:r w:rsidRPr="007576F0">
        <w:rPr>
          <w:rFonts w:ascii="標楷體" w:eastAsia="標楷體" w:hAnsi="標楷體"/>
          <w:szCs w:val="24"/>
        </w:rPr>
        <w:t>、</w:t>
      </w:r>
      <w:proofErr w:type="gramStart"/>
      <w:r w:rsidRPr="007576F0">
        <w:rPr>
          <w:rFonts w:ascii="標楷體" w:eastAsia="標楷體" w:hAnsi="標楷體"/>
          <w:szCs w:val="24"/>
        </w:rPr>
        <w:t>下咽癌及</w:t>
      </w:r>
      <w:proofErr w:type="gramEnd"/>
      <w:r w:rsidRPr="007576F0">
        <w:rPr>
          <w:rFonts w:ascii="標楷體" w:eastAsia="標楷體" w:hAnsi="標楷體"/>
          <w:szCs w:val="24"/>
        </w:rPr>
        <w:t>喉癌病人，且符合下列條件之</w:t>
      </w:r>
      <w:proofErr w:type="gramStart"/>
      <w:r w:rsidRPr="007576F0">
        <w:rPr>
          <w:rFonts w:ascii="標楷體" w:eastAsia="標楷體" w:hAnsi="標楷體"/>
          <w:szCs w:val="24"/>
        </w:rPr>
        <w:t>一</w:t>
      </w:r>
      <w:proofErr w:type="gramEnd"/>
      <w:r w:rsidRPr="007576F0">
        <w:rPr>
          <w:rFonts w:ascii="標楷體" w:eastAsia="標楷體" w:hAnsi="標楷體"/>
          <w:szCs w:val="24"/>
        </w:rPr>
        <w:t>：</w:t>
      </w:r>
    </w:p>
    <w:p w14:paraId="38EFD1AF"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Ⅰ.70歲以上(111/2/1)；</w:t>
      </w:r>
    </w:p>
    <w:p w14:paraId="634C08BA" w14:textId="77777777" w:rsidR="007576F0" w:rsidRPr="007576F0" w:rsidRDefault="007576F0" w:rsidP="007576F0">
      <w:pPr>
        <w:spacing w:line="300" w:lineRule="exact"/>
        <w:ind w:left="1474" w:hanging="340"/>
        <w:rPr>
          <w:rFonts w:ascii="標楷體" w:eastAsia="標楷體" w:hAnsi="標楷體"/>
          <w:szCs w:val="24"/>
        </w:rPr>
      </w:pPr>
      <w:proofErr w:type="spellStart"/>
      <w:r w:rsidRPr="007576F0">
        <w:rPr>
          <w:rFonts w:ascii="標楷體" w:eastAsia="標楷體" w:hAnsi="標楷體"/>
          <w:szCs w:val="24"/>
        </w:rPr>
        <w:t>Ⅱ.Ccr</w:t>
      </w:r>
      <w:proofErr w:type="spellEnd"/>
      <w:r w:rsidRPr="007576F0">
        <w:rPr>
          <w:rFonts w:ascii="標楷體" w:eastAsia="標楷體" w:hAnsi="標楷體"/>
          <w:szCs w:val="24"/>
        </w:rPr>
        <w:t>＜50mL/min；</w:t>
      </w:r>
    </w:p>
    <w:p w14:paraId="76F7C5D2"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Ⅲ.聽力障礙者(聽力障礙定義為500Hz、1000Hz、2000Hz平均聽力損失大於25分貝)；</w:t>
      </w:r>
    </w:p>
    <w:p w14:paraId="1A6D0BF7" w14:textId="77777777" w:rsidR="007576F0" w:rsidRPr="007576F0" w:rsidRDefault="007576F0" w:rsidP="007576F0">
      <w:pPr>
        <w:spacing w:line="300" w:lineRule="exact"/>
        <w:ind w:left="1474" w:hanging="340"/>
        <w:rPr>
          <w:rFonts w:ascii="標楷體" w:eastAsia="標楷體" w:hAnsi="標楷體"/>
          <w:szCs w:val="24"/>
        </w:rPr>
      </w:pPr>
      <w:r w:rsidRPr="007576F0">
        <w:rPr>
          <w:rFonts w:ascii="標楷體" w:eastAsia="標楷體" w:hAnsi="標楷體"/>
          <w:szCs w:val="24"/>
        </w:rPr>
        <w:t>Ⅳ.無法耐受platinum-based化學治療。</w:t>
      </w:r>
    </w:p>
    <w:p w14:paraId="6470D42D" w14:textId="77777777" w:rsidR="007576F0" w:rsidRPr="007576F0" w:rsidRDefault="007576F0" w:rsidP="007576F0">
      <w:pPr>
        <w:spacing w:line="300" w:lineRule="exact"/>
        <w:ind w:left="1276" w:hanging="397"/>
        <w:rPr>
          <w:rFonts w:ascii="標楷體" w:eastAsia="標楷體" w:hAnsi="標楷體"/>
          <w:szCs w:val="24"/>
        </w:rPr>
      </w:pPr>
      <w:r w:rsidRPr="007576F0">
        <w:rPr>
          <w:rFonts w:ascii="標楷體" w:eastAsia="標楷體" w:hAnsi="標楷體"/>
          <w:szCs w:val="24"/>
        </w:rPr>
        <w:t>(2)須經事前審查核准後使用，每位病人每12</w:t>
      </w:r>
      <w:proofErr w:type="gramStart"/>
      <w:r w:rsidRPr="007576F0">
        <w:rPr>
          <w:rFonts w:ascii="標楷體" w:eastAsia="標楷體" w:hAnsi="標楷體"/>
          <w:szCs w:val="24"/>
        </w:rPr>
        <w:t>週</w:t>
      </w:r>
      <w:proofErr w:type="gramEnd"/>
      <w:r w:rsidRPr="007576F0">
        <w:rPr>
          <w:rFonts w:ascii="標楷體" w:eastAsia="標楷體" w:hAnsi="標楷體"/>
          <w:szCs w:val="24"/>
        </w:rPr>
        <w:t>申請一次，需無疾病惡化情形方得繼續使用。(98/7/1、115/2/1)</w:t>
      </w:r>
    </w:p>
    <w:p w14:paraId="5788AD32" w14:textId="77777777" w:rsidR="007576F0" w:rsidRPr="007576F0" w:rsidRDefault="007576F0" w:rsidP="007576F0">
      <w:pPr>
        <w:spacing w:line="300" w:lineRule="exact"/>
        <w:ind w:left="1049" w:hanging="341"/>
        <w:rPr>
          <w:rFonts w:ascii="標楷體" w:eastAsia="標楷體" w:hAnsi="標楷體"/>
          <w:szCs w:val="24"/>
        </w:rPr>
      </w:pPr>
      <w:r w:rsidRPr="007576F0">
        <w:rPr>
          <w:rFonts w:ascii="標楷體" w:eastAsia="標楷體" w:hAnsi="標楷體"/>
          <w:szCs w:val="24"/>
        </w:rPr>
        <w:t>3.頭頸癌部分(106/1/1、106/4/1、112/12/1、115/2/1)：</w:t>
      </w:r>
    </w:p>
    <w:p w14:paraId="316931C1" w14:textId="77777777" w:rsidR="007576F0" w:rsidRPr="007576F0" w:rsidRDefault="007576F0" w:rsidP="007576F0">
      <w:pPr>
        <w:spacing w:line="300" w:lineRule="exact"/>
        <w:ind w:left="993"/>
        <w:rPr>
          <w:rFonts w:ascii="標楷體" w:eastAsia="標楷體" w:hAnsi="標楷體"/>
          <w:szCs w:val="24"/>
        </w:rPr>
      </w:pPr>
      <w:r w:rsidRPr="007576F0">
        <w:rPr>
          <w:rFonts w:ascii="標楷體" w:eastAsia="標楷體" w:hAnsi="標楷體"/>
          <w:szCs w:val="24"/>
        </w:rPr>
        <w:t>(1)限無法接受局部治療之復發及/或轉移</w:t>
      </w:r>
      <w:proofErr w:type="gramStart"/>
      <w:r w:rsidRPr="007576F0">
        <w:rPr>
          <w:rFonts w:ascii="標楷體" w:eastAsia="標楷體" w:hAnsi="標楷體"/>
          <w:szCs w:val="24"/>
        </w:rPr>
        <w:t>性頭頸部鱗狀</w:t>
      </w:r>
      <w:proofErr w:type="gramEnd"/>
      <w:r w:rsidRPr="007576F0">
        <w:rPr>
          <w:rFonts w:ascii="標楷體" w:eastAsia="標楷體" w:hAnsi="標楷體"/>
          <w:szCs w:val="24"/>
        </w:rPr>
        <w:t>細胞癌，且未曾申報cetuximab之病人使用。</w:t>
      </w:r>
    </w:p>
    <w:p w14:paraId="2BA683BE" w14:textId="77777777" w:rsidR="007576F0" w:rsidRPr="007576F0" w:rsidRDefault="007576F0" w:rsidP="007576F0">
      <w:pPr>
        <w:spacing w:line="300" w:lineRule="exact"/>
        <w:ind w:left="1276" w:hanging="255"/>
        <w:rPr>
          <w:rFonts w:ascii="標楷體" w:eastAsia="標楷體" w:hAnsi="標楷體"/>
          <w:szCs w:val="24"/>
        </w:rPr>
      </w:pPr>
      <w:r w:rsidRPr="007576F0">
        <w:rPr>
          <w:rFonts w:ascii="標楷體" w:eastAsia="標楷體" w:hAnsi="標楷體"/>
          <w:szCs w:val="24"/>
        </w:rPr>
        <w:t>(2)須經事前審查核准後使用，每位病人每12</w:t>
      </w:r>
      <w:proofErr w:type="gramStart"/>
      <w:r w:rsidRPr="007576F0">
        <w:rPr>
          <w:rFonts w:ascii="標楷體" w:eastAsia="標楷體" w:hAnsi="標楷體"/>
          <w:szCs w:val="24"/>
        </w:rPr>
        <w:t>週</w:t>
      </w:r>
      <w:proofErr w:type="gramEnd"/>
      <w:r w:rsidRPr="007576F0">
        <w:rPr>
          <w:rFonts w:ascii="標楷體" w:eastAsia="標楷體" w:hAnsi="標楷體"/>
          <w:szCs w:val="24"/>
        </w:rPr>
        <w:t>申請一次，需無疾病惡化情形方得繼續使用。(106/4/1、115/2/1)</w:t>
      </w:r>
    </w:p>
    <w:p w14:paraId="2E18E691" w14:textId="77777777" w:rsidR="007576F0" w:rsidRPr="007576F0" w:rsidRDefault="007576F0" w:rsidP="007576F0">
      <w:pPr>
        <w:spacing w:line="300" w:lineRule="exact"/>
        <w:ind w:left="523" w:hanging="240"/>
        <w:rPr>
          <w:rFonts w:ascii="標楷體" w:eastAsia="標楷體" w:hAnsi="標楷體"/>
          <w:szCs w:val="24"/>
        </w:rPr>
      </w:pPr>
      <w:r w:rsidRPr="007576F0">
        <w:rPr>
          <w:rFonts w:ascii="標楷體" w:eastAsia="標楷體" w:hAnsi="標楷體"/>
          <w:szCs w:val="24"/>
        </w:rPr>
        <w:t>9.28.Bortezomib（如</w:t>
      </w:r>
      <w:proofErr w:type="spellStart"/>
      <w:r w:rsidRPr="007576F0">
        <w:rPr>
          <w:rFonts w:ascii="標楷體" w:eastAsia="標楷體" w:hAnsi="標楷體"/>
          <w:szCs w:val="24"/>
        </w:rPr>
        <w:t>Velcade</w:t>
      </w:r>
      <w:proofErr w:type="spellEnd"/>
      <w:r w:rsidRPr="007576F0">
        <w:rPr>
          <w:rFonts w:ascii="標楷體" w:eastAsia="標楷體" w:hAnsi="標楷體"/>
          <w:szCs w:val="24"/>
        </w:rPr>
        <w:t>）：（96/6/1、98/2/1、99/3/1、99/9/1、100/10/1、101/6/1、105/5/1、109/4/1、109/6/1、111/1/1、112/4/1）附表九之三</w:t>
      </w:r>
    </w:p>
    <w:p w14:paraId="0C521AA7"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限用於</w:t>
      </w:r>
    </w:p>
    <w:p w14:paraId="44D52134"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1.合併其他癌症治療藥品使用於多發性骨髓瘤病人：(99/3/1、100/10/1、101/6/1、109/4/1、109/6/1、111/1/1、112/4/1)</w:t>
      </w:r>
    </w:p>
    <w:p w14:paraId="3F67ABFF" w14:textId="77777777" w:rsidR="007576F0" w:rsidRPr="007576F0" w:rsidRDefault="007576F0" w:rsidP="007576F0">
      <w:pPr>
        <w:spacing w:line="300" w:lineRule="exact"/>
        <w:ind w:left="1134" w:hanging="341"/>
      </w:pPr>
      <w:r w:rsidRPr="007576F0">
        <w:rPr>
          <w:rFonts w:ascii="標楷體" w:eastAsia="標楷體" w:hAnsi="標楷體"/>
          <w:color w:val="000000"/>
        </w:rPr>
        <w:t>(1)</w:t>
      </w:r>
      <w:r w:rsidRPr="007576F0">
        <w:t xml:space="preserve"> </w:t>
      </w:r>
      <w:r w:rsidRPr="007576F0">
        <w:rPr>
          <w:rFonts w:ascii="標楷體" w:eastAsia="標楷體" w:hAnsi="標楷體"/>
          <w:color w:val="000000"/>
        </w:rPr>
        <w:t>每人終生以16個療程為上限。(99/9/1、109/4/1、109/6/1、111/1/1、112/4/1</w:t>
      </w:r>
      <w:proofErr w:type="gramStart"/>
      <w:r w:rsidRPr="007576F0">
        <w:rPr>
          <w:rFonts w:ascii="標楷體" w:eastAsia="標楷體" w:hAnsi="標楷體"/>
          <w:color w:val="000000"/>
        </w:rPr>
        <w:t>）</w:t>
      </w:r>
      <w:proofErr w:type="gramEnd"/>
    </w:p>
    <w:p w14:paraId="073E22E4" w14:textId="77777777" w:rsidR="007576F0" w:rsidRPr="007576F0" w:rsidRDefault="007576F0" w:rsidP="007576F0">
      <w:pPr>
        <w:spacing w:line="300" w:lineRule="exact"/>
        <w:ind w:left="1134" w:hanging="341"/>
        <w:rPr>
          <w:rFonts w:ascii="標楷體" w:eastAsia="標楷體" w:hAnsi="標楷體"/>
          <w:color w:val="000000"/>
        </w:rPr>
      </w:pPr>
      <w:r w:rsidRPr="007576F0">
        <w:rPr>
          <w:rFonts w:ascii="標楷體" w:eastAsia="標楷體" w:hAnsi="標楷體"/>
          <w:color w:val="000000"/>
        </w:rPr>
        <w:t>(2)需經事前申請後使用，每次申請4個療程。（101/6/1）</w:t>
      </w:r>
    </w:p>
    <w:p w14:paraId="75CD42B7" w14:textId="77777777" w:rsidR="007576F0" w:rsidRPr="007576F0" w:rsidRDefault="007576F0" w:rsidP="007576F0">
      <w:pPr>
        <w:spacing w:line="300" w:lineRule="exact"/>
        <w:ind w:left="1134" w:hanging="341"/>
      </w:pPr>
      <w:r w:rsidRPr="007576F0">
        <w:rPr>
          <w:rFonts w:ascii="標楷體" w:eastAsia="標楷體" w:hAnsi="標楷體"/>
          <w:color w:val="000000"/>
        </w:rPr>
        <w:t>(3)</w:t>
      </w:r>
      <w:r w:rsidRPr="007576F0">
        <w:t xml:space="preserve"> </w:t>
      </w:r>
      <w:r w:rsidRPr="007576F0">
        <w:rPr>
          <w:rFonts w:ascii="標楷體" w:eastAsia="標楷體" w:hAnsi="標楷體"/>
          <w:color w:val="000000"/>
        </w:rPr>
        <w:t>開始治療時病患須同時符合下列Ⅰ.與Ⅱ.的條件：（112/4/1）</w:t>
      </w:r>
    </w:p>
    <w:p w14:paraId="5E856808" w14:textId="77777777" w:rsidR="007576F0" w:rsidRPr="007576F0" w:rsidRDefault="007576F0" w:rsidP="007576F0">
      <w:pPr>
        <w:spacing w:line="300" w:lineRule="exact"/>
        <w:ind w:left="1373" w:hanging="341"/>
        <w:rPr>
          <w:rFonts w:ascii="標楷體" w:eastAsia="標楷體" w:hAnsi="標楷體"/>
          <w:color w:val="000000"/>
        </w:rPr>
      </w:pPr>
      <w:r w:rsidRPr="007576F0">
        <w:rPr>
          <w:rFonts w:ascii="標楷體" w:eastAsia="標楷體" w:hAnsi="標楷體"/>
          <w:color w:val="000000"/>
        </w:rPr>
        <w:t>Ⅰ.骨髓</w:t>
      </w:r>
      <w:proofErr w:type="gramStart"/>
      <w:r w:rsidRPr="007576F0">
        <w:rPr>
          <w:rFonts w:ascii="標楷體" w:eastAsia="標楷體" w:hAnsi="標楷體"/>
          <w:color w:val="000000"/>
        </w:rPr>
        <w:t>漿</w:t>
      </w:r>
      <w:proofErr w:type="gramEnd"/>
      <w:r w:rsidRPr="007576F0">
        <w:rPr>
          <w:rFonts w:ascii="標楷體" w:eastAsia="標楷體" w:hAnsi="標楷體"/>
          <w:color w:val="000000"/>
        </w:rPr>
        <w:t>細胞(plasma cells)比例</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10%，或是經切片確認且有</w:t>
      </w:r>
      <w:proofErr w:type="gramStart"/>
      <w:r w:rsidRPr="007576F0">
        <w:rPr>
          <w:rFonts w:ascii="標楷體" w:eastAsia="標楷體" w:hAnsi="標楷體"/>
          <w:color w:val="000000"/>
        </w:rPr>
        <w:t>≧</w:t>
      </w:r>
      <w:proofErr w:type="gramEnd"/>
      <w:r w:rsidRPr="007576F0">
        <w:rPr>
          <w:rFonts w:ascii="標楷體" w:eastAsia="標楷體" w:hAnsi="標楷體"/>
          <w:color w:val="000000"/>
        </w:rPr>
        <w:t>1顆的plasmacytoma。</w:t>
      </w:r>
    </w:p>
    <w:p w14:paraId="3EF4D6FE" w14:textId="77777777" w:rsidR="007576F0" w:rsidRPr="007576F0" w:rsidRDefault="007576F0" w:rsidP="007576F0">
      <w:pPr>
        <w:spacing w:line="300" w:lineRule="exact"/>
        <w:ind w:left="1373" w:hanging="341"/>
        <w:rPr>
          <w:rFonts w:ascii="標楷體" w:eastAsia="標楷體" w:hAnsi="標楷體"/>
          <w:color w:val="000000"/>
        </w:rPr>
      </w:pPr>
      <w:r w:rsidRPr="007576F0">
        <w:rPr>
          <w:rFonts w:ascii="標楷體" w:eastAsia="標楷體" w:hAnsi="標楷體"/>
          <w:color w:val="000000"/>
        </w:rPr>
        <w:t>Ⅱ.出現下列任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臨床症狀：</w:t>
      </w:r>
    </w:p>
    <w:p w14:paraId="51E8B12E" w14:textId="77777777" w:rsidR="007576F0" w:rsidRPr="007576F0" w:rsidRDefault="007576F0" w:rsidP="007576F0">
      <w:pPr>
        <w:spacing w:line="300" w:lineRule="exact"/>
        <w:ind w:left="1373" w:hanging="341"/>
      </w:pPr>
      <w:r w:rsidRPr="007576F0">
        <w:rPr>
          <w:rFonts w:ascii="新細明體" w:hAnsi="新細明體" w:cs="新細明體"/>
          <w:color w:val="000000"/>
        </w:rPr>
        <w:t>ⅰ</w:t>
      </w:r>
      <w:r w:rsidRPr="007576F0">
        <w:rPr>
          <w:rFonts w:ascii="標楷體" w:eastAsia="標楷體" w:hAnsi="標楷體"/>
          <w:color w:val="000000"/>
        </w:rPr>
        <w:t>.腎功能不全：serum creatinine＞2.0mg/dL或estimated GFR (eGFR)＜40 ml/min，且無其他原因可以解釋。</w:t>
      </w:r>
    </w:p>
    <w:p w14:paraId="66E2028E" w14:textId="77777777" w:rsidR="007576F0" w:rsidRPr="007576F0" w:rsidRDefault="007576F0" w:rsidP="007576F0">
      <w:pPr>
        <w:spacing w:line="300" w:lineRule="exact"/>
        <w:ind w:left="1373" w:hanging="341"/>
      </w:pPr>
      <w:r w:rsidRPr="007576F0">
        <w:rPr>
          <w:rFonts w:ascii="新細明體" w:hAnsi="新細明體" w:cs="新細明體"/>
          <w:color w:val="000000"/>
        </w:rPr>
        <w:t>ⅱ</w:t>
      </w:r>
      <w:r w:rsidRPr="007576F0">
        <w:rPr>
          <w:rFonts w:ascii="標楷體" w:eastAsia="標楷體" w:hAnsi="標楷體"/>
          <w:color w:val="000000"/>
        </w:rPr>
        <w:t>.高血鈣(corrected serum calcium＞11.0 mg/dL 或 2.75 mmol/L)。</w:t>
      </w:r>
    </w:p>
    <w:p w14:paraId="0789016B" w14:textId="77777777" w:rsidR="007576F0" w:rsidRPr="007576F0" w:rsidRDefault="007576F0" w:rsidP="007576F0">
      <w:pPr>
        <w:spacing w:line="300" w:lineRule="exact"/>
        <w:ind w:left="1373" w:hanging="341"/>
        <w:rPr>
          <w:rFonts w:ascii="標楷體" w:eastAsia="標楷體" w:hAnsi="標楷體"/>
          <w:color w:val="000000"/>
        </w:rPr>
      </w:pPr>
      <w:r w:rsidRPr="007576F0">
        <w:rPr>
          <w:rFonts w:ascii="標楷體" w:eastAsia="標楷體" w:hAnsi="標楷體"/>
          <w:color w:val="000000"/>
        </w:rPr>
        <w:t>iii.貧血(Hemoglobin＜10 gm/dL且無其他原因可以解釋)。</w:t>
      </w:r>
    </w:p>
    <w:p w14:paraId="2E0814B4" w14:textId="77777777" w:rsidR="007576F0" w:rsidRPr="007576F0" w:rsidRDefault="007576F0" w:rsidP="007576F0">
      <w:pPr>
        <w:spacing w:line="300" w:lineRule="exact"/>
        <w:ind w:left="1373" w:hanging="341"/>
        <w:rPr>
          <w:rFonts w:ascii="標楷體" w:eastAsia="標楷體" w:hAnsi="標楷體"/>
          <w:color w:val="000000"/>
        </w:rPr>
      </w:pPr>
      <w:r w:rsidRPr="007576F0">
        <w:rPr>
          <w:rFonts w:ascii="標楷體" w:eastAsia="標楷體" w:hAnsi="標楷體"/>
          <w:color w:val="000000"/>
        </w:rPr>
        <w:t>iv.影像檢查確認之osteolytic bone lesion(s)。</w:t>
      </w:r>
    </w:p>
    <w:p w14:paraId="070F0507" w14:textId="77777777" w:rsidR="007576F0" w:rsidRPr="007576F0" w:rsidRDefault="007576F0" w:rsidP="007576F0">
      <w:pPr>
        <w:spacing w:line="300" w:lineRule="exact"/>
        <w:ind w:left="1373" w:hanging="341"/>
        <w:rPr>
          <w:rFonts w:ascii="標楷體" w:eastAsia="標楷體" w:hAnsi="標楷體"/>
          <w:color w:val="000000"/>
        </w:rPr>
      </w:pPr>
      <w:r w:rsidRPr="007576F0">
        <w:rPr>
          <w:rFonts w:ascii="標楷體" w:eastAsia="標楷體" w:hAnsi="標楷體"/>
          <w:color w:val="000000"/>
        </w:rPr>
        <w:t>v.骨髓</w:t>
      </w:r>
      <w:proofErr w:type="gramStart"/>
      <w:r w:rsidRPr="007576F0">
        <w:rPr>
          <w:rFonts w:ascii="標楷體" w:eastAsia="標楷體" w:hAnsi="標楷體"/>
          <w:color w:val="000000"/>
        </w:rPr>
        <w:t>漿</w:t>
      </w:r>
      <w:proofErr w:type="gramEnd"/>
      <w:r w:rsidRPr="007576F0">
        <w:rPr>
          <w:rFonts w:ascii="標楷體" w:eastAsia="標楷體" w:hAnsi="標楷體"/>
          <w:color w:val="000000"/>
        </w:rPr>
        <w:t>細胞(plasma cells)比例</w:t>
      </w:r>
      <w:proofErr w:type="gramStart"/>
      <w:r w:rsidRPr="007576F0">
        <w:rPr>
          <w:rFonts w:ascii="標楷體" w:eastAsia="標楷體" w:hAnsi="標楷體"/>
          <w:color w:val="000000"/>
        </w:rPr>
        <w:t>≧</w:t>
      </w:r>
      <w:proofErr w:type="gramEnd"/>
      <w:r w:rsidRPr="007576F0">
        <w:rPr>
          <w:rFonts w:ascii="標楷體" w:eastAsia="標楷體" w:hAnsi="標楷體"/>
          <w:color w:val="000000"/>
        </w:rPr>
        <w:t>60%。</w:t>
      </w:r>
    </w:p>
    <w:p w14:paraId="66408388" w14:textId="77777777" w:rsidR="007576F0" w:rsidRPr="007576F0" w:rsidRDefault="007576F0" w:rsidP="007576F0">
      <w:pPr>
        <w:spacing w:line="300" w:lineRule="exact"/>
        <w:ind w:left="1373" w:hanging="341"/>
        <w:rPr>
          <w:rFonts w:ascii="標楷體" w:eastAsia="標楷體" w:hAnsi="標楷體"/>
          <w:color w:val="000000"/>
        </w:rPr>
      </w:pPr>
      <w:proofErr w:type="spellStart"/>
      <w:r w:rsidRPr="007576F0">
        <w:rPr>
          <w:rFonts w:ascii="標楷體" w:eastAsia="標楷體" w:hAnsi="標楷體"/>
          <w:color w:val="000000"/>
        </w:rPr>
        <w:lastRenderedPageBreak/>
        <w:t>vi.Serum</w:t>
      </w:r>
      <w:proofErr w:type="spellEnd"/>
      <w:r w:rsidRPr="007576F0">
        <w:rPr>
          <w:rFonts w:ascii="標楷體" w:eastAsia="標楷體" w:hAnsi="標楷體"/>
          <w:color w:val="000000"/>
        </w:rPr>
        <w:t xml:space="preserve"> free light-chain ratio</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100。</w:t>
      </w:r>
    </w:p>
    <w:p w14:paraId="5402D5C4" w14:textId="77777777" w:rsidR="007576F0" w:rsidRPr="007576F0" w:rsidRDefault="007576F0" w:rsidP="007576F0">
      <w:pPr>
        <w:spacing w:line="300" w:lineRule="exact"/>
        <w:ind w:left="1134" w:hanging="341"/>
        <w:rPr>
          <w:rFonts w:ascii="標楷體" w:eastAsia="標楷體" w:hAnsi="標楷體"/>
          <w:color w:val="000000"/>
        </w:rPr>
      </w:pPr>
      <w:r w:rsidRPr="007576F0">
        <w:rPr>
          <w:rFonts w:ascii="標楷體" w:eastAsia="標楷體" w:hAnsi="標楷體"/>
          <w:color w:val="000000"/>
        </w:rPr>
        <w:t>(4)使用4個療程後，必須確定藥物使用後paraprotein (M-protein)未上升 (即表示為response或stable status)，或對部分non-secretory type MM病人以骨髓檢查plasma cell之比率為療效依據，方可繼續使用。（101/6/1、109/4/1）</w:t>
      </w:r>
    </w:p>
    <w:p w14:paraId="0BCFA67C" w14:textId="77777777" w:rsidR="007576F0" w:rsidRPr="007576F0" w:rsidRDefault="007576F0" w:rsidP="007576F0">
      <w:pPr>
        <w:spacing w:line="300" w:lineRule="exact"/>
        <w:ind w:left="1134" w:hanging="341"/>
        <w:rPr>
          <w:rFonts w:ascii="標楷體" w:eastAsia="標楷體" w:hAnsi="標楷體"/>
          <w:color w:val="000000"/>
        </w:rPr>
      </w:pPr>
      <w:r w:rsidRPr="007576F0">
        <w:rPr>
          <w:rFonts w:ascii="標楷體" w:eastAsia="標楷體" w:hAnsi="標楷體"/>
          <w:color w:val="000000"/>
        </w:rPr>
        <w:t>(5)若病患於前線療程符合前項規定(4)之療效而醫師決定可暫時停藥，則後續療程可保留，於疾病復發時，再行申請使用。（101/6/1、109/4/1）</w:t>
      </w:r>
    </w:p>
    <w:p w14:paraId="38329433" w14:textId="77777777" w:rsidR="007576F0" w:rsidRPr="007576F0" w:rsidRDefault="007576F0" w:rsidP="007576F0">
      <w:pPr>
        <w:spacing w:line="300" w:lineRule="exact"/>
        <w:ind w:left="1134" w:hanging="341"/>
      </w:pPr>
      <w:r w:rsidRPr="007576F0">
        <w:rPr>
          <w:rFonts w:ascii="標楷體" w:eastAsia="標楷體" w:hAnsi="標楷體"/>
          <w:color w:val="000000"/>
        </w:rPr>
        <w:t>(6)</w:t>
      </w:r>
      <w:r w:rsidRPr="007576F0">
        <w:t xml:space="preserve"> </w:t>
      </w:r>
      <w:r w:rsidRPr="007576F0">
        <w:rPr>
          <w:rFonts w:ascii="標楷體" w:eastAsia="標楷體" w:hAnsi="標楷體"/>
          <w:color w:val="000000"/>
        </w:rPr>
        <w:t>112年3月31日以前已核定用藥之病人，得經事前審查核准後，使用至總療程上限（即終生16個療程）或使用期間發生疾病惡化為止。（112/4/1）</w:t>
      </w:r>
    </w:p>
    <w:p w14:paraId="076C485D"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2.被套細胞淋巴瘤（Mantle Cell Lymphoma, MCL）病人：(98/2/1、105/5/1)</w:t>
      </w:r>
    </w:p>
    <w:p w14:paraId="6020D779" w14:textId="77777777" w:rsidR="007576F0" w:rsidRPr="007576F0" w:rsidRDefault="007576F0" w:rsidP="007576F0">
      <w:pPr>
        <w:spacing w:line="300" w:lineRule="exact"/>
        <w:ind w:left="1134" w:hanging="341"/>
        <w:rPr>
          <w:rFonts w:ascii="標楷體" w:eastAsia="標楷體" w:hAnsi="標楷體"/>
          <w:color w:val="000000"/>
        </w:rPr>
      </w:pPr>
      <w:r w:rsidRPr="007576F0">
        <w:rPr>
          <w:rFonts w:ascii="標楷體" w:eastAsia="標楷體" w:hAnsi="標楷體"/>
          <w:color w:val="000000"/>
        </w:rPr>
        <w:t>(1)每人以8個療程為上限。(99/9/1)</w:t>
      </w:r>
    </w:p>
    <w:p w14:paraId="66F725EE" w14:textId="77777777" w:rsidR="007576F0" w:rsidRPr="007576F0" w:rsidRDefault="007576F0" w:rsidP="007576F0">
      <w:pPr>
        <w:spacing w:line="300" w:lineRule="exact"/>
        <w:ind w:left="1134" w:hanging="341"/>
        <w:rPr>
          <w:rFonts w:ascii="標楷體" w:eastAsia="標楷體" w:hAnsi="標楷體"/>
          <w:color w:val="000000"/>
        </w:rPr>
      </w:pPr>
      <w:r w:rsidRPr="007576F0">
        <w:rPr>
          <w:rFonts w:ascii="標楷體" w:eastAsia="標楷體" w:hAnsi="標楷體"/>
          <w:color w:val="000000"/>
        </w:rPr>
        <w:t>(2)每日最大劑量1.5mg/m2/day；每</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療程第1,4,8,11日給藥。</w:t>
      </w:r>
    </w:p>
    <w:p w14:paraId="327707A9" w14:textId="77777777" w:rsidR="007576F0" w:rsidRPr="007576F0" w:rsidRDefault="007576F0" w:rsidP="007576F0">
      <w:pPr>
        <w:spacing w:line="300" w:lineRule="exact"/>
        <w:ind w:left="1134" w:hanging="341"/>
        <w:rPr>
          <w:rFonts w:ascii="標楷體" w:eastAsia="標楷體" w:hAnsi="標楷體"/>
          <w:color w:val="000000"/>
        </w:rPr>
      </w:pPr>
      <w:r w:rsidRPr="007576F0">
        <w:rPr>
          <w:rFonts w:ascii="標楷體" w:eastAsia="標楷體" w:hAnsi="標楷體"/>
          <w:color w:val="000000"/>
        </w:rPr>
        <w:t>(3)第一線使用過復發者，不得申請再次使用。(105/5/1)</w:t>
      </w:r>
    </w:p>
    <w:p w14:paraId="1B6D9CF6" w14:textId="77777777" w:rsidR="007576F0" w:rsidRPr="007576F0" w:rsidRDefault="007576F0" w:rsidP="007576F0">
      <w:pPr>
        <w:spacing w:line="300" w:lineRule="exact"/>
        <w:ind w:left="1134" w:hanging="341"/>
        <w:rPr>
          <w:rFonts w:ascii="標楷體" w:eastAsia="標楷體" w:hAnsi="標楷體"/>
          <w:color w:val="000000"/>
        </w:rPr>
      </w:pPr>
      <w:r w:rsidRPr="007576F0">
        <w:rPr>
          <w:rFonts w:ascii="標楷體" w:eastAsia="標楷體" w:hAnsi="標楷體"/>
          <w:color w:val="000000"/>
        </w:rPr>
        <w:t>(4)需經事前審查核准後使用。</w:t>
      </w:r>
      <w:bookmarkEnd w:id="41"/>
    </w:p>
    <w:p w14:paraId="572B568B" w14:textId="77777777" w:rsidR="007576F0" w:rsidRPr="007576F0" w:rsidRDefault="007576F0" w:rsidP="007576F0">
      <w:pPr>
        <w:spacing w:line="300" w:lineRule="exact"/>
        <w:ind w:left="523" w:hanging="240"/>
        <w:rPr>
          <w:rFonts w:ascii="標楷體" w:eastAsia="標楷體" w:hAnsi="標楷體"/>
          <w:szCs w:val="24"/>
        </w:rPr>
      </w:pPr>
      <w:r w:rsidRPr="007576F0">
        <w:rPr>
          <w:rFonts w:ascii="標楷體" w:eastAsia="標楷體" w:hAnsi="標楷體"/>
          <w:szCs w:val="24"/>
        </w:rPr>
        <w:t>9.</w:t>
      </w:r>
      <w:r w:rsidRPr="007576F0">
        <w:rPr>
          <w:rFonts w:ascii="標楷體" w:eastAsia="標楷體" w:hAnsi="標楷體" w:hint="eastAsia"/>
          <w:szCs w:val="24"/>
        </w:rPr>
        <w:t>29.</w:t>
      </w:r>
      <w:r w:rsidRPr="007576F0">
        <w:rPr>
          <w:rFonts w:ascii="標楷體" w:eastAsia="標楷體" w:hAnsi="標楷體"/>
          <w:szCs w:val="24"/>
        </w:rPr>
        <w:t xml:space="preserve"> </w:t>
      </w:r>
      <w:r w:rsidRPr="007576F0">
        <w:rPr>
          <w:rFonts w:ascii="標楷體" w:eastAsia="標楷體" w:hAnsi="標楷體" w:hint="eastAsia"/>
          <w:szCs w:val="24"/>
        </w:rPr>
        <w:t>Erlotinib（如</w:t>
      </w:r>
      <w:proofErr w:type="spellStart"/>
      <w:r w:rsidRPr="007576F0">
        <w:rPr>
          <w:rFonts w:ascii="標楷體" w:eastAsia="標楷體" w:hAnsi="標楷體" w:hint="eastAsia"/>
          <w:szCs w:val="24"/>
        </w:rPr>
        <w:t>Tarceva</w:t>
      </w:r>
      <w:proofErr w:type="spellEnd"/>
      <w:r w:rsidRPr="007576F0">
        <w:rPr>
          <w:rFonts w:ascii="標楷體" w:eastAsia="標楷體" w:hAnsi="標楷體" w:hint="eastAsia"/>
          <w:szCs w:val="24"/>
        </w:rPr>
        <w:t>）：（96/6/1、96/8/1、97/6/1、101/5/1、101/10/1、102/4/1、102/11/1、103/5/1、106/11/1、108/6/1、108/11/1、109/4/1、109/6/1、109/10/1、111/2/1、111/4/1、113/3/1、113/6/1、113/9/1、113/10/1、114/3/1、114/4/1、115/8/1）</w:t>
      </w:r>
    </w:p>
    <w:p w14:paraId="34A3EFC8" w14:textId="77777777" w:rsidR="007576F0" w:rsidRPr="007576F0" w:rsidRDefault="007576F0" w:rsidP="007576F0">
      <w:pPr>
        <w:spacing w:line="300" w:lineRule="exact"/>
        <w:ind w:left="811" w:hanging="245"/>
        <w:textAlignment w:val="auto"/>
        <w:rPr>
          <w:rFonts w:ascii="標楷體" w:eastAsia="標楷體" w:hAnsi="標楷體"/>
          <w:color w:val="000000"/>
        </w:rPr>
      </w:pPr>
      <w:r w:rsidRPr="007576F0">
        <w:rPr>
          <w:rFonts w:ascii="標楷體" w:eastAsia="標楷體" w:hAnsi="標楷體" w:hint="eastAsia"/>
          <w:color w:val="000000"/>
        </w:rPr>
        <w:t>1.限單獨使用於</w:t>
      </w:r>
    </w:p>
    <w:p w14:paraId="1032AAF8" w14:textId="77777777" w:rsidR="007576F0" w:rsidRPr="007576F0" w:rsidRDefault="007576F0" w:rsidP="007576F0">
      <w:pPr>
        <w:spacing w:line="300" w:lineRule="exact"/>
        <w:ind w:left="1049" w:hanging="341"/>
        <w:textAlignment w:val="auto"/>
        <w:rPr>
          <w:rFonts w:ascii="標楷體" w:eastAsia="標楷體" w:hAnsi="標楷體"/>
          <w:color w:val="000000"/>
        </w:rPr>
      </w:pPr>
      <w:r w:rsidRPr="007576F0">
        <w:rPr>
          <w:rFonts w:ascii="標楷體" w:eastAsia="標楷體" w:hAnsi="標楷體" w:hint="eastAsia"/>
          <w:color w:val="000000"/>
        </w:rPr>
        <w:t>(1)適用於具有EGFR-TK突變之局部侵犯性或轉移性(即第ⅢB、ⅢC或</w:t>
      </w:r>
      <w:proofErr w:type="gramStart"/>
      <w:r w:rsidRPr="007576F0">
        <w:rPr>
          <w:rFonts w:ascii="標楷體" w:eastAsia="標楷體" w:hAnsi="標楷體" w:hint="eastAsia"/>
          <w:color w:val="000000"/>
        </w:rPr>
        <w:t>第Ⅳ期</w:t>
      </w:r>
      <w:proofErr w:type="gramEnd"/>
      <w:r w:rsidRPr="007576F0">
        <w:rPr>
          <w:rFonts w:ascii="標楷體" w:eastAsia="標楷體" w:hAnsi="標楷體" w:hint="eastAsia"/>
          <w:color w:val="000000"/>
        </w:rPr>
        <w:t>)之肺腺癌病患之第一線治療，需檢附EGFR基因檢測結果報告，且需符合全民健康保險藥品給付規定之通則十二。(102/11/1、108/6/1、108/11/1、113/6/1</w:t>
      </w:r>
      <w:proofErr w:type="gramStart"/>
      <w:r w:rsidRPr="007576F0">
        <w:rPr>
          <w:rFonts w:ascii="標楷體" w:eastAsia="標楷體" w:hAnsi="標楷體" w:hint="eastAsia"/>
          <w:color w:val="000000"/>
        </w:rPr>
        <w:t>）</w:t>
      </w:r>
      <w:proofErr w:type="gramEnd"/>
    </w:p>
    <w:p w14:paraId="02D5A15F" w14:textId="77777777" w:rsidR="007576F0" w:rsidRPr="007576F0" w:rsidRDefault="007576F0" w:rsidP="007576F0">
      <w:pPr>
        <w:spacing w:line="300" w:lineRule="exact"/>
        <w:ind w:left="1049" w:hanging="341"/>
        <w:textAlignment w:val="auto"/>
        <w:rPr>
          <w:rFonts w:ascii="標楷體" w:eastAsia="標楷體" w:hAnsi="標楷體"/>
          <w:color w:val="000000"/>
        </w:rPr>
      </w:pPr>
      <w:r w:rsidRPr="007576F0">
        <w:rPr>
          <w:rFonts w:ascii="標楷體" w:eastAsia="標楷體" w:hAnsi="標楷體" w:hint="eastAsia"/>
          <w:color w:val="000000"/>
        </w:rPr>
        <w:t>(2)已接受4個週期platinum類第一線化學療法後，腫瘤範圍穩定(stable disease，不含partial response或complete response)之局部晚期或轉移性肺腺癌的維持療法。(102/4/1)</w:t>
      </w:r>
    </w:p>
    <w:p w14:paraId="589C729B" w14:textId="77777777" w:rsidR="007576F0" w:rsidRPr="007576F0" w:rsidRDefault="007576F0" w:rsidP="007576F0">
      <w:pPr>
        <w:spacing w:line="300" w:lineRule="exact"/>
        <w:ind w:left="1049" w:hanging="341"/>
        <w:textAlignment w:val="auto"/>
        <w:rPr>
          <w:rFonts w:ascii="標楷體" w:eastAsia="標楷體" w:hAnsi="標楷體"/>
          <w:color w:val="000000"/>
        </w:rPr>
      </w:pPr>
      <w:r w:rsidRPr="007576F0">
        <w:rPr>
          <w:rFonts w:ascii="標楷體" w:eastAsia="標楷體" w:hAnsi="標楷體" w:hint="eastAsia"/>
          <w:color w:val="000000"/>
        </w:rPr>
        <w:t>(3)先前已使用過platinum類第一線化學治療，或70歲以上接受過第一線化學治療，但仍局部惡化或轉移</w:t>
      </w:r>
      <w:proofErr w:type="gramStart"/>
      <w:r w:rsidRPr="007576F0">
        <w:rPr>
          <w:rFonts w:ascii="標楷體" w:eastAsia="標楷體" w:hAnsi="標楷體" w:hint="eastAsia"/>
          <w:color w:val="000000"/>
        </w:rPr>
        <w:t>之腺性非</w:t>
      </w:r>
      <w:proofErr w:type="gramEnd"/>
      <w:r w:rsidRPr="007576F0">
        <w:rPr>
          <w:rFonts w:ascii="標楷體" w:eastAsia="標楷體" w:hAnsi="標楷體" w:hint="eastAsia"/>
          <w:color w:val="000000"/>
        </w:rPr>
        <w:t>小細胞肺癌之第二線用藥。（97/6/1、111/2/1）</w:t>
      </w:r>
    </w:p>
    <w:p w14:paraId="04E58DE4" w14:textId="77777777" w:rsidR="007576F0" w:rsidRPr="007576F0" w:rsidRDefault="007576F0" w:rsidP="007576F0">
      <w:pPr>
        <w:spacing w:line="300" w:lineRule="exact"/>
        <w:ind w:left="1049" w:hanging="341"/>
        <w:textAlignment w:val="auto"/>
        <w:rPr>
          <w:rFonts w:ascii="標楷體" w:eastAsia="標楷體" w:hAnsi="標楷體"/>
          <w:color w:val="000000"/>
        </w:rPr>
      </w:pPr>
      <w:r w:rsidRPr="007576F0">
        <w:rPr>
          <w:rFonts w:ascii="標楷體" w:eastAsia="標楷體" w:hAnsi="標楷體" w:hint="eastAsia"/>
          <w:color w:val="000000"/>
        </w:rPr>
        <w:t>(4)先前已使用過platinum類及docetaxel或paclitaxel化學治療後，但仍局部惡化或轉移之非小細胞肺癌之第三線用藥。</w:t>
      </w:r>
    </w:p>
    <w:p w14:paraId="75810551" w14:textId="77777777" w:rsidR="007576F0" w:rsidRPr="007576F0" w:rsidRDefault="007576F0" w:rsidP="007576F0">
      <w:pPr>
        <w:spacing w:line="300" w:lineRule="exact"/>
        <w:ind w:left="811" w:hanging="245"/>
        <w:textAlignment w:val="auto"/>
        <w:rPr>
          <w:rFonts w:ascii="標楷體" w:eastAsia="標楷體" w:hAnsi="標楷體"/>
          <w:color w:val="000000"/>
        </w:rPr>
      </w:pPr>
      <w:r w:rsidRPr="007576F0">
        <w:rPr>
          <w:rFonts w:ascii="標楷體" w:eastAsia="標楷體" w:hAnsi="標楷體" w:hint="eastAsia"/>
          <w:color w:val="000000"/>
        </w:rPr>
        <w:t>2.Erlotinib與bevacizumab(除</w:t>
      </w:r>
      <w:proofErr w:type="spellStart"/>
      <w:r w:rsidRPr="007576F0">
        <w:rPr>
          <w:rFonts w:ascii="標楷體" w:eastAsia="標楷體" w:hAnsi="標楷體" w:hint="eastAsia"/>
          <w:color w:val="000000"/>
        </w:rPr>
        <w:t>Zirabev</w:t>
      </w:r>
      <w:proofErr w:type="spellEnd"/>
      <w:r w:rsidRPr="007576F0">
        <w:rPr>
          <w:rFonts w:ascii="標楷體" w:eastAsia="標楷體" w:hAnsi="標楷體" w:hint="eastAsia"/>
          <w:color w:val="000000"/>
        </w:rPr>
        <w:t>以外)</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用，作為無法手術切除的轉移性（第Ⅳ期）且帶有表皮生長因子受體(EGFR) Exon 21 L858R活性化突變之腦轉移</w:t>
      </w:r>
      <w:proofErr w:type="gramStart"/>
      <w:r w:rsidRPr="007576F0">
        <w:rPr>
          <w:rFonts w:ascii="標楷體" w:eastAsia="標楷體" w:hAnsi="標楷體" w:hint="eastAsia"/>
          <w:color w:val="000000"/>
        </w:rPr>
        <w:t>非鱗狀非</w:t>
      </w:r>
      <w:proofErr w:type="gramEnd"/>
      <w:r w:rsidRPr="007576F0">
        <w:rPr>
          <w:rFonts w:ascii="標楷體" w:eastAsia="標楷體" w:hAnsi="標楷體" w:hint="eastAsia"/>
          <w:color w:val="000000"/>
        </w:rPr>
        <w:t>小細胞肺癌病患的第一線治療。(113/3/1、113/9/1、114/3/1、114/4/1</w:t>
      </w:r>
      <w:proofErr w:type="gramStart"/>
      <w:r w:rsidRPr="007576F0">
        <w:rPr>
          <w:rFonts w:ascii="標楷體" w:eastAsia="標楷體" w:hAnsi="標楷體" w:hint="eastAsia"/>
          <w:color w:val="000000"/>
        </w:rPr>
        <w:t>）</w:t>
      </w:r>
      <w:proofErr w:type="gramEnd"/>
    </w:p>
    <w:p w14:paraId="71B5FC0B" w14:textId="77777777" w:rsidR="007576F0" w:rsidRPr="007576F0" w:rsidRDefault="007576F0" w:rsidP="007576F0">
      <w:pPr>
        <w:spacing w:line="300" w:lineRule="exact"/>
        <w:ind w:left="811" w:hanging="245"/>
        <w:textAlignment w:val="auto"/>
      </w:pPr>
      <w:r w:rsidRPr="007576F0">
        <w:rPr>
          <w:rFonts w:ascii="標楷體" w:eastAsia="標楷體" w:hAnsi="標楷體" w:hint="eastAsia"/>
          <w:color w:val="000000"/>
        </w:rPr>
        <w:t>3.使用注意事項(106/11/1</w:t>
      </w:r>
      <w:r w:rsidRPr="007576F0">
        <w:rPr>
          <w:rFonts w:ascii="標楷體" w:eastAsia="標楷體" w:hAnsi="標楷體" w:hint="eastAsia"/>
        </w:rPr>
        <w:t>、109/4/1、109/10/1</w:t>
      </w:r>
      <w:r w:rsidRPr="007576F0">
        <w:rPr>
          <w:rFonts w:ascii="新細明體" w:hAnsi="新細明體" w:hint="eastAsia"/>
        </w:rPr>
        <w:t>、</w:t>
      </w:r>
      <w:r w:rsidRPr="007576F0">
        <w:rPr>
          <w:rFonts w:ascii="標楷體" w:eastAsia="標楷體" w:hAnsi="標楷體" w:hint="eastAsia"/>
        </w:rPr>
        <w:t>111/4/1、115/8/1</w:t>
      </w:r>
      <w:proofErr w:type="gramStart"/>
      <w:r w:rsidRPr="007576F0">
        <w:rPr>
          <w:rFonts w:ascii="標楷體" w:eastAsia="標楷體" w:hAnsi="標楷體" w:hint="eastAsia"/>
          <w:color w:val="000000"/>
        </w:rPr>
        <w:t>）</w:t>
      </w:r>
      <w:proofErr w:type="gramEnd"/>
    </w:p>
    <w:p w14:paraId="6D932981" w14:textId="77777777" w:rsidR="007576F0" w:rsidRPr="007576F0" w:rsidRDefault="007576F0" w:rsidP="007576F0">
      <w:pPr>
        <w:spacing w:line="300" w:lineRule="exact"/>
        <w:ind w:left="1049" w:hanging="341"/>
        <w:textAlignment w:val="auto"/>
      </w:pPr>
      <w:r w:rsidRPr="007576F0">
        <w:rPr>
          <w:rFonts w:ascii="標楷體" w:eastAsia="標楷體" w:hAnsi="標楷體" w:hint="eastAsia"/>
          <w:kern w:val="0"/>
          <w:szCs w:val="24"/>
        </w:rPr>
        <w:t>(1)用於已接受platinum類第一線化學療法後，病情穩定之維持療法：病歷應留存確實患有肺腺癌之病理或細胞檢查報告，並附已接受4個週期platinum類第一線化學療法後，腫瘤範圍穩定(stable disease，不含partial response或complete response)之影像診斷證明（如胸部X光、電腦斷層或其他可作為評估的影像）。(102/4/1、106/11/1)</w:t>
      </w:r>
    </w:p>
    <w:p w14:paraId="41AC2F47" w14:textId="77777777" w:rsidR="007576F0" w:rsidRPr="007576F0" w:rsidRDefault="007576F0" w:rsidP="007576F0">
      <w:pPr>
        <w:spacing w:line="300" w:lineRule="exact"/>
        <w:ind w:left="1049" w:hanging="341"/>
        <w:textAlignment w:val="auto"/>
      </w:pPr>
      <w:r w:rsidRPr="007576F0">
        <w:rPr>
          <w:rFonts w:ascii="標楷體" w:eastAsia="標楷體" w:hAnsi="標楷體" w:hint="eastAsia"/>
          <w:color w:val="000000"/>
        </w:rPr>
        <w:t>(2)</w:t>
      </w:r>
      <w:r w:rsidRPr="007576F0">
        <w:rPr>
          <w:rFonts w:ascii="標楷體" w:eastAsia="標楷體" w:hAnsi="標楷體" w:hint="eastAsia"/>
          <w:kern w:val="0"/>
          <w:szCs w:val="24"/>
        </w:rPr>
        <w:t>用於第二線用藥：病歷應留存確實患有非小細胞肺癌之病理或細胞檢查報告，並附曾經接受platinum類第一線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97/6/1、106/11/1）</w:t>
      </w:r>
    </w:p>
    <w:p w14:paraId="059E828D" w14:textId="77777777" w:rsidR="007576F0" w:rsidRPr="007576F0" w:rsidRDefault="007576F0" w:rsidP="007576F0">
      <w:pPr>
        <w:spacing w:line="300" w:lineRule="exact"/>
        <w:ind w:left="1049" w:hanging="341"/>
        <w:textAlignment w:val="auto"/>
        <w:rPr>
          <w:rFonts w:ascii="標楷體" w:eastAsia="標楷體" w:hAnsi="標楷體"/>
          <w:color w:val="000000"/>
        </w:rPr>
      </w:pPr>
      <w:r w:rsidRPr="007576F0">
        <w:rPr>
          <w:rFonts w:ascii="標楷體" w:eastAsia="標楷體" w:hAnsi="標楷體" w:hint="eastAsia"/>
          <w:color w:val="000000"/>
        </w:rPr>
        <w:t>(3)用於第三線用藥：病歷應留存確實患有非小細胞肺癌之病理或細胞檢查報告，並附曾經接受第一線及第二線化學藥物如platinum(cisplatin或carboplatin)與</w:t>
      </w:r>
      <w:proofErr w:type="spellStart"/>
      <w:r w:rsidRPr="007576F0">
        <w:rPr>
          <w:rFonts w:ascii="標楷體" w:eastAsia="標楷體" w:hAnsi="標楷體" w:hint="eastAsia"/>
          <w:color w:val="000000"/>
        </w:rPr>
        <w:t>taxane</w:t>
      </w:r>
      <w:proofErr w:type="spellEnd"/>
      <w:r w:rsidRPr="007576F0">
        <w:rPr>
          <w:rFonts w:ascii="標楷體" w:eastAsia="標楷體" w:hAnsi="標楷體" w:hint="eastAsia"/>
          <w:color w:val="000000"/>
        </w:rPr>
        <w:t>(paclitaxel或docetaxel)治療之證明，及目前又有疾病惡化之影像診斷證明（如胸部X光、電腦斷層或其他可作為評估的影像），此影像證明以可測量（measurable）的病灶為優先，如沒有可以測量的病灶，則可評估（evaluable）</w:t>
      </w:r>
      <w:r w:rsidRPr="007576F0">
        <w:rPr>
          <w:rFonts w:ascii="標楷體" w:eastAsia="標楷體" w:hAnsi="標楷體" w:hint="eastAsia"/>
          <w:color w:val="000000"/>
        </w:rPr>
        <w:lastRenderedPageBreak/>
        <w:t>的病灶亦可採用。（97/6/1、106/11/1）</w:t>
      </w:r>
    </w:p>
    <w:p w14:paraId="2D0300D7" w14:textId="77777777" w:rsidR="007576F0" w:rsidRPr="007576F0" w:rsidRDefault="007576F0" w:rsidP="007576F0">
      <w:pPr>
        <w:spacing w:line="300" w:lineRule="exact"/>
        <w:ind w:left="1049" w:hanging="341"/>
        <w:textAlignment w:val="auto"/>
        <w:rPr>
          <w:rFonts w:ascii="標楷體" w:eastAsia="標楷體" w:hAnsi="標楷體"/>
          <w:color w:val="000000"/>
        </w:rPr>
      </w:pPr>
      <w:r w:rsidRPr="007576F0">
        <w:rPr>
          <w:rFonts w:ascii="標楷體" w:eastAsia="標楷體" w:hAnsi="標楷體" w:hint="eastAsia"/>
          <w:color w:val="000000"/>
        </w:rPr>
        <w:t>(4)每次處方以4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為限，再次處方時需於病歷記錄治療後相關臨床資料，如每4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需追蹤胸部X光或電腦斷層等影像檢查，每8至12</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需進行完整療效評估（如胸部X光或電腦斷層）。(101/5/1、106/11/1)</w:t>
      </w:r>
    </w:p>
    <w:p w14:paraId="6743F29F" w14:textId="77777777" w:rsidR="007576F0" w:rsidRPr="007576F0" w:rsidRDefault="007576F0" w:rsidP="007576F0">
      <w:pPr>
        <w:spacing w:line="300" w:lineRule="exact"/>
        <w:ind w:left="1049" w:hanging="341"/>
        <w:textAlignment w:val="auto"/>
      </w:pPr>
      <w:r w:rsidRPr="007576F0">
        <w:rPr>
          <w:rFonts w:ascii="標楷體" w:eastAsia="標楷體" w:hAnsi="標楷體" w:hint="eastAsia"/>
          <w:color w:val="000000"/>
        </w:rPr>
        <w:t>(5)本藥品與gefitinib及afatinib不得</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用。(103/5/1</w:t>
      </w:r>
      <w:r w:rsidRPr="007576F0">
        <w:rPr>
          <w:rFonts w:ascii="標楷體" w:eastAsia="標楷體" w:hAnsi="標楷體" w:hint="eastAsia"/>
        </w:rPr>
        <w:t>、109/4/1</w:t>
      </w:r>
      <w:r w:rsidRPr="007576F0">
        <w:rPr>
          <w:rFonts w:ascii="標楷體" w:eastAsia="標楷體" w:hAnsi="標楷體" w:hint="eastAsia"/>
          <w:color w:val="000000"/>
        </w:rPr>
        <w:t>)</w:t>
      </w:r>
    </w:p>
    <w:p w14:paraId="34BFB8A5" w14:textId="77777777" w:rsidR="007576F0" w:rsidRPr="007576F0" w:rsidRDefault="007576F0" w:rsidP="007576F0">
      <w:pPr>
        <w:spacing w:line="300" w:lineRule="exact"/>
        <w:ind w:left="1049" w:hanging="341"/>
        <w:textAlignment w:val="auto"/>
      </w:pPr>
      <w:r w:rsidRPr="007576F0">
        <w:rPr>
          <w:rFonts w:ascii="標楷體" w:eastAsia="標楷體" w:hAnsi="標楷體" w:hint="eastAsia"/>
        </w:rPr>
        <w:t>(6)本藥品於第一線使用時，與</w:t>
      </w:r>
      <w:proofErr w:type="spellStart"/>
      <w:r w:rsidRPr="007576F0">
        <w:rPr>
          <w:rFonts w:ascii="標楷體" w:eastAsia="標楷體" w:hAnsi="標楷體" w:hint="eastAsia"/>
        </w:rPr>
        <w:t>osimertinib</w:t>
      </w:r>
      <w:proofErr w:type="spellEnd"/>
      <w:r w:rsidRPr="007576F0">
        <w:rPr>
          <w:rFonts w:ascii="標楷體" w:eastAsia="標楷體" w:hAnsi="標楷體" w:hint="eastAsia"/>
        </w:rPr>
        <w:t>、dacomitinib及</w:t>
      </w:r>
      <w:proofErr w:type="spellStart"/>
      <w:r w:rsidRPr="007576F0">
        <w:rPr>
          <w:rFonts w:ascii="標楷體" w:eastAsia="標楷體" w:hAnsi="標楷體" w:hint="eastAsia"/>
        </w:rPr>
        <w:t>aumolertinib</w:t>
      </w:r>
      <w:proofErr w:type="spellEnd"/>
      <w:r w:rsidRPr="007576F0">
        <w:rPr>
          <w:rFonts w:ascii="標楷體" w:eastAsia="標楷體" w:hAnsi="標楷體" w:hint="eastAsia"/>
        </w:rPr>
        <w:t>僅得擇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w:t>
      </w:r>
      <w:proofErr w:type="gramStart"/>
      <w:r w:rsidRPr="007576F0">
        <w:rPr>
          <w:rFonts w:ascii="標楷體" w:eastAsia="標楷體" w:hAnsi="標楷體" w:hint="eastAsia"/>
        </w:rPr>
        <w:t>除因耐受</w:t>
      </w:r>
      <w:proofErr w:type="gramEnd"/>
      <w:r w:rsidRPr="007576F0">
        <w:rPr>
          <w:rFonts w:ascii="標楷體" w:eastAsia="標楷體" w:hAnsi="標楷體" w:hint="eastAsia"/>
        </w:rPr>
        <w:t>性不良，不得互換。(109/6/1、109/10/1、111/4/1、113/10/1、115/8/1)</w:t>
      </w:r>
    </w:p>
    <w:p w14:paraId="3A1B6796" w14:textId="77777777" w:rsidR="007576F0" w:rsidRPr="007576F0" w:rsidRDefault="007576F0" w:rsidP="007576F0">
      <w:pPr>
        <w:spacing w:line="300" w:lineRule="exact"/>
        <w:ind w:left="1414" w:hanging="336"/>
        <w:textAlignment w:val="auto"/>
      </w:pPr>
      <w:r w:rsidRPr="007576F0">
        <w:rPr>
          <w:rFonts w:ascii="標楷體" w:eastAsia="標楷體" w:hAnsi="標楷體" w:hint="eastAsia"/>
          <w:color w:val="000000"/>
        </w:rPr>
        <w:t>Ⅰ.如需更換使用</w:t>
      </w:r>
      <w:proofErr w:type="spellStart"/>
      <w:r w:rsidRPr="007576F0">
        <w:rPr>
          <w:rFonts w:ascii="標楷體" w:eastAsia="標楷體" w:hAnsi="標楷體" w:hint="eastAsia"/>
          <w:color w:val="000000"/>
        </w:rPr>
        <w:t>osimertinib</w:t>
      </w:r>
      <w:proofErr w:type="spellEnd"/>
      <w:r w:rsidRPr="007576F0">
        <w:rPr>
          <w:rFonts w:ascii="標楷體" w:eastAsia="標楷體" w:hAnsi="標楷體" w:hint="eastAsia"/>
          <w:color w:val="000000"/>
        </w:rPr>
        <w:t>或</w:t>
      </w:r>
      <w:proofErr w:type="spellStart"/>
      <w:r w:rsidRPr="007576F0">
        <w:rPr>
          <w:rFonts w:ascii="標楷體" w:eastAsia="標楷體" w:hAnsi="標楷體" w:hint="eastAsia"/>
          <w:color w:val="000000"/>
        </w:rPr>
        <w:t>aumolertinib</w:t>
      </w:r>
      <w:proofErr w:type="spellEnd"/>
      <w:r w:rsidRPr="007576F0">
        <w:rPr>
          <w:rFonts w:ascii="標楷體" w:eastAsia="標楷體" w:hAnsi="標楷體" w:hint="eastAsia"/>
          <w:color w:val="000000"/>
        </w:rPr>
        <w:t>，必須符合</w:t>
      </w:r>
      <w:proofErr w:type="spellStart"/>
      <w:r w:rsidRPr="007576F0">
        <w:rPr>
          <w:rFonts w:ascii="標楷體" w:eastAsia="標楷體" w:hAnsi="標楷體" w:hint="eastAsia"/>
          <w:color w:val="000000"/>
        </w:rPr>
        <w:t>osimertinib</w:t>
      </w:r>
      <w:proofErr w:type="spellEnd"/>
      <w:r w:rsidRPr="007576F0">
        <w:rPr>
          <w:rFonts w:ascii="標楷體" w:eastAsia="標楷體" w:hAnsi="標楷體" w:hint="eastAsia"/>
          <w:color w:val="000000"/>
        </w:rPr>
        <w:t>或</w:t>
      </w:r>
      <w:proofErr w:type="spellStart"/>
      <w:r w:rsidRPr="007576F0">
        <w:rPr>
          <w:rFonts w:ascii="標楷體" w:eastAsia="標楷體" w:hAnsi="標楷體" w:hint="eastAsia"/>
          <w:color w:val="000000"/>
        </w:rPr>
        <w:t>aumolertinib</w:t>
      </w:r>
      <w:proofErr w:type="spellEnd"/>
      <w:r w:rsidRPr="007576F0">
        <w:rPr>
          <w:rFonts w:ascii="標楷體" w:eastAsia="標楷體" w:hAnsi="標楷體" w:hint="eastAsia"/>
          <w:color w:val="000000"/>
        </w:rPr>
        <w:t>第一線使用於具有EGFR Exon 19 Del或Exon 21 L858R基因突變之局部侵犯性或轉移性（即為IIIB、IIIC期或第Ⅳ期）肺腺癌病患之限制。(109/6/1、111/4/1、113/10/1、115/8/1)</w:t>
      </w:r>
    </w:p>
    <w:p w14:paraId="4861B092" w14:textId="77777777" w:rsidR="007576F0" w:rsidRPr="007576F0" w:rsidRDefault="007576F0" w:rsidP="007576F0">
      <w:pPr>
        <w:spacing w:line="300" w:lineRule="exact"/>
        <w:ind w:left="1414" w:hanging="336"/>
        <w:textAlignment w:val="auto"/>
        <w:rPr>
          <w:rFonts w:ascii="標楷體" w:eastAsia="標楷體" w:hAnsi="標楷體"/>
          <w:color w:val="000000"/>
        </w:rPr>
      </w:pPr>
      <w:r w:rsidRPr="007576F0">
        <w:rPr>
          <w:rFonts w:ascii="標楷體" w:eastAsia="標楷體" w:hAnsi="標楷體" w:hint="eastAsia"/>
          <w:color w:val="000000"/>
        </w:rPr>
        <w:t>Ⅱ.如需更換使用dacomitinib，必須符合dacomitinib第一線使用於具有EGFR-TK Exon 19 Del或Exon 21 L858R點突變，且無腦轉移(non-CNS)之局部侵犯性或轉移性肺腺癌之限制。(109/10/1</w:t>
      </w:r>
      <w:proofErr w:type="gramStart"/>
      <w:r w:rsidRPr="007576F0">
        <w:rPr>
          <w:rFonts w:ascii="標楷體" w:eastAsia="標楷體" w:hAnsi="標楷體" w:hint="eastAsia"/>
          <w:color w:val="000000"/>
        </w:rPr>
        <w:t>）</w:t>
      </w:r>
      <w:proofErr w:type="gramEnd"/>
    </w:p>
    <w:p w14:paraId="66BFAB07" w14:textId="77777777" w:rsidR="007576F0" w:rsidRPr="007576F0" w:rsidRDefault="007576F0" w:rsidP="007576F0">
      <w:pPr>
        <w:spacing w:line="300" w:lineRule="exact"/>
        <w:ind w:left="1416" w:hanging="816"/>
        <w:textAlignment w:val="auto"/>
        <w:rPr>
          <w:rFonts w:ascii="標楷體" w:eastAsia="標楷體" w:hAnsi="標楷體"/>
          <w:color w:val="000000"/>
        </w:rPr>
      </w:pPr>
      <w:r w:rsidRPr="007576F0">
        <w:rPr>
          <w:rFonts w:ascii="標楷體" w:eastAsia="標楷體" w:hAnsi="標楷體" w:hint="eastAsia"/>
          <w:color w:val="000000"/>
        </w:rPr>
        <w:t>備註1：非小細胞肺癌病患的第二線治療用藥之定義為：病患需先經第一線含鉑化學治療，或70歲(含)以上接受過第一線化學治療後，因疾病惡化，此時所給予之治療即為第二線用藥。（97/6/1）</w:t>
      </w:r>
    </w:p>
    <w:p w14:paraId="62110B26" w14:textId="77777777" w:rsidR="007576F0" w:rsidRPr="007576F0" w:rsidRDefault="007576F0" w:rsidP="007576F0">
      <w:pPr>
        <w:spacing w:line="300" w:lineRule="exact"/>
        <w:ind w:left="1416" w:hanging="816"/>
        <w:textAlignment w:val="auto"/>
        <w:rPr>
          <w:rFonts w:ascii="標楷體" w:eastAsia="標楷體" w:hAnsi="標楷體"/>
          <w:color w:val="000000"/>
        </w:rPr>
      </w:pPr>
      <w:r w:rsidRPr="007576F0">
        <w:rPr>
          <w:rFonts w:ascii="標楷體" w:eastAsia="標楷體" w:hAnsi="標楷體" w:hint="eastAsia"/>
          <w:color w:val="000000"/>
        </w:rPr>
        <w:t>備註2：非小細胞肺癌病患的第三線治療用藥之定義為：病患需先經第一線化學藥物治療後，因疾病惡化，</w:t>
      </w:r>
      <w:proofErr w:type="gramStart"/>
      <w:r w:rsidRPr="007576F0">
        <w:rPr>
          <w:rFonts w:ascii="標楷體" w:eastAsia="標楷體" w:hAnsi="標楷體" w:hint="eastAsia"/>
          <w:color w:val="000000"/>
        </w:rPr>
        <w:t>再經第二線</w:t>
      </w:r>
      <w:proofErr w:type="gramEnd"/>
      <w:r w:rsidRPr="007576F0">
        <w:rPr>
          <w:rFonts w:ascii="標楷體" w:eastAsia="標楷體" w:hAnsi="標楷體" w:hint="eastAsia"/>
          <w:color w:val="000000"/>
        </w:rPr>
        <w:t>不同的化學藥物治療之後，若疾病再度惡化，此時所給予之治療即為第三線用藥。</w:t>
      </w:r>
    </w:p>
    <w:p w14:paraId="42E5A851" w14:textId="77777777" w:rsidR="007576F0" w:rsidRPr="007576F0" w:rsidRDefault="007576F0" w:rsidP="007576F0">
      <w:pPr>
        <w:spacing w:line="300" w:lineRule="exact"/>
        <w:ind w:left="709" w:hanging="353"/>
        <w:rPr>
          <w:rFonts w:ascii="標楷體" w:eastAsia="標楷體" w:hAnsi="標楷體"/>
          <w:color w:val="000000"/>
        </w:rPr>
      </w:pPr>
      <w:r w:rsidRPr="007576F0">
        <w:rPr>
          <w:rFonts w:ascii="標楷體" w:eastAsia="標楷體" w:hAnsi="標楷體"/>
          <w:color w:val="000000"/>
        </w:rPr>
        <w:t>9.30.Dasatinib(如</w:t>
      </w:r>
      <w:proofErr w:type="spellStart"/>
      <w:r w:rsidRPr="007576F0">
        <w:rPr>
          <w:rFonts w:ascii="標楷體" w:eastAsia="標楷體" w:hAnsi="標楷體"/>
          <w:color w:val="000000"/>
        </w:rPr>
        <w:t>Sprycel</w:t>
      </w:r>
      <w:proofErr w:type="spellEnd"/>
      <w:r w:rsidRPr="007576F0">
        <w:rPr>
          <w:rFonts w:ascii="標楷體" w:eastAsia="標楷體" w:hAnsi="標楷體"/>
          <w:color w:val="000000"/>
        </w:rPr>
        <w:t>)：(98/1/1、102/4/1、104/12/1、110/5/1、113/6/1</w:t>
      </w:r>
      <w:r w:rsidRPr="007576F0">
        <w:rPr>
          <w:rFonts w:ascii="標楷體" w:eastAsia="標楷體" w:hAnsi="標楷體" w:hint="eastAsia"/>
          <w:color w:val="000000"/>
        </w:rPr>
        <w:t>、115/2/1</w:t>
      </w:r>
      <w:r w:rsidRPr="007576F0">
        <w:rPr>
          <w:rFonts w:ascii="標楷體" w:eastAsia="標楷體" w:hAnsi="標楷體"/>
          <w:color w:val="000000"/>
        </w:rPr>
        <w:t>)</w:t>
      </w:r>
    </w:p>
    <w:p w14:paraId="7F76FA66" w14:textId="77777777" w:rsidR="007576F0" w:rsidRPr="007576F0" w:rsidRDefault="007576F0" w:rsidP="007576F0">
      <w:pPr>
        <w:spacing w:line="300" w:lineRule="exact"/>
        <w:ind w:left="1063" w:hanging="353"/>
        <w:rPr>
          <w:rFonts w:ascii="標楷體" w:eastAsia="標楷體" w:hAnsi="標楷體"/>
          <w:color w:val="000000"/>
        </w:rPr>
      </w:pPr>
      <w:r w:rsidRPr="007576F0">
        <w:rPr>
          <w:rFonts w:ascii="標楷體" w:eastAsia="標楷體" w:hAnsi="標楷體"/>
          <w:color w:val="000000"/>
        </w:rPr>
        <w:t>限用於</w:t>
      </w:r>
    </w:p>
    <w:p w14:paraId="12710621" w14:textId="77777777" w:rsidR="007576F0" w:rsidRPr="007576F0" w:rsidRDefault="007576F0" w:rsidP="007576F0">
      <w:pPr>
        <w:spacing w:line="300" w:lineRule="exact"/>
        <w:ind w:left="993" w:hanging="353"/>
        <w:rPr>
          <w:rFonts w:ascii="標楷體" w:eastAsia="標楷體" w:hAnsi="標楷體"/>
          <w:color w:val="000000"/>
        </w:rPr>
      </w:pPr>
      <w:r w:rsidRPr="007576F0">
        <w:rPr>
          <w:rFonts w:ascii="標楷體" w:eastAsia="標楷體" w:hAnsi="標楷體"/>
          <w:color w:val="000000"/>
        </w:rPr>
        <w:t>1.第一線使用(102/4/1、104/12/1、110/5/1)：</w:t>
      </w:r>
    </w:p>
    <w:p w14:paraId="1504E932" w14:textId="77777777" w:rsidR="007576F0" w:rsidRPr="007576F0" w:rsidRDefault="007576F0" w:rsidP="007576F0">
      <w:pPr>
        <w:spacing w:line="300" w:lineRule="exact"/>
        <w:ind w:left="1063" w:hanging="353"/>
        <w:rPr>
          <w:rFonts w:ascii="標楷體" w:eastAsia="標楷體" w:hAnsi="標楷體"/>
          <w:color w:val="000000"/>
        </w:rPr>
      </w:pPr>
      <w:r w:rsidRPr="007576F0">
        <w:rPr>
          <w:rFonts w:ascii="標楷體" w:eastAsia="標楷體" w:hAnsi="標楷體"/>
          <w:color w:val="000000"/>
        </w:rPr>
        <w:t>(1)治療新診斷的費城染色體陽性之慢性期慢性骨髓性白血病的成人。</w:t>
      </w:r>
    </w:p>
    <w:p w14:paraId="7872E865" w14:textId="77777777" w:rsidR="007576F0" w:rsidRPr="007576F0" w:rsidRDefault="007576F0" w:rsidP="007576F0">
      <w:pPr>
        <w:spacing w:line="300" w:lineRule="exact"/>
        <w:ind w:left="1063" w:hanging="353"/>
        <w:rPr>
          <w:rFonts w:ascii="標楷體" w:eastAsia="標楷體" w:hAnsi="標楷體"/>
          <w:color w:val="000000"/>
        </w:rPr>
      </w:pPr>
      <w:r w:rsidRPr="007576F0">
        <w:rPr>
          <w:rFonts w:ascii="標楷體" w:eastAsia="標楷體" w:hAnsi="標楷體"/>
          <w:color w:val="000000"/>
        </w:rPr>
        <w:t>(2)</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用化療適用於新診斷費城染色體陽性急性淋巴性白血病(Ph+ ALL)之1歲以上兒童病人，無疾病惡化時的維持治療限使用2年。(110/5/1)</w:t>
      </w:r>
    </w:p>
    <w:p w14:paraId="6B4A6499" w14:textId="77777777" w:rsidR="007576F0" w:rsidRPr="007576F0" w:rsidRDefault="007576F0" w:rsidP="007576F0">
      <w:pPr>
        <w:spacing w:line="300" w:lineRule="exact"/>
        <w:ind w:left="993" w:hanging="353"/>
        <w:rPr>
          <w:rFonts w:ascii="標楷體" w:eastAsia="標楷體" w:hAnsi="標楷體"/>
          <w:color w:val="000000"/>
        </w:rPr>
      </w:pPr>
      <w:r w:rsidRPr="007576F0">
        <w:rPr>
          <w:rFonts w:ascii="標楷體" w:eastAsia="標楷體" w:hAnsi="標楷體"/>
          <w:color w:val="000000"/>
        </w:rPr>
        <w:t>2.第二線使用(104/12/1)：</w:t>
      </w:r>
    </w:p>
    <w:p w14:paraId="20022FCE" w14:textId="77777777" w:rsidR="007576F0" w:rsidRPr="007576F0" w:rsidRDefault="007576F0" w:rsidP="007576F0">
      <w:pPr>
        <w:spacing w:line="300" w:lineRule="exact"/>
        <w:ind w:left="1063" w:hanging="353"/>
        <w:rPr>
          <w:rFonts w:ascii="標楷體" w:eastAsia="標楷體" w:hAnsi="標楷體"/>
          <w:color w:val="000000"/>
        </w:rPr>
      </w:pPr>
      <w:r w:rsidRPr="007576F0">
        <w:rPr>
          <w:rFonts w:ascii="標楷體" w:eastAsia="標楷體" w:hAnsi="標楷體"/>
          <w:color w:val="000000"/>
        </w:rPr>
        <w:t>(1)治療患有慢性、加速或急性期慢性骨髓性白血病，對先前經imatinib 400mg(含)以上治療後有抗藥性或無耐受性的成人。</w:t>
      </w:r>
    </w:p>
    <w:p w14:paraId="0EF0ACCF" w14:textId="77777777" w:rsidR="007576F0" w:rsidRPr="007576F0" w:rsidRDefault="007576F0" w:rsidP="007576F0">
      <w:pPr>
        <w:spacing w:line="300" w:lineRule="exact"/>
        <w:ind w:left="1063" w:hanging="353"/>
        <w:rPr>
          <w:rFonts w:ascii="標楷體" w:eastAsia="標楷體" w:hAnsi="標楷體"/>
          <w:color w:val="000000"/>
        </w:rPr>
      </w:pPr>
      <w:r w:rsidRPr="007576F0">
        <w:rPr>
          <w:rFonts w:ascii="標楷體" w:eastAsia="標楷體" w:hAnsi="標楷體"/>
          <w:color w:val="000000"/>
        </w:rPr>
        <w:t>(2)治療患有費城染色體陽性急性淋巴性白血病，且對先前經imatinib 400mg(含)以上治療後有抗藥性或無耐受性的成人。</w:t>
      </w:r>
    </w:p>
    <w:p w14:paraId="422232CD" w14:textId="77777777" w:rsidR="007576F0" w:rsidRPr="007576F0" w:rsidRDefault="007576F0" w:rsidP="007576F0">
      <w:pPr>
        <w:spacing w:line="300" w:lineRule="exact"/>
        <w:ind w:left="1063" w:hanging="353"/>
        <w:rPr>
          <w:rFonts w:ascii="標楷體" w:eastAsia="標楷體" w:hAnsi="標楷體"/>
          <w:color w:val="000000"/>
        </w:rPr>
      </w:pPr>
      <w:r w:rsidRPr="007576F0">
        <w:rPr>
          <w:rFonts w:ascii="標楷體" w:eastAsia="標楷體" w:hAnsi="標楷體"/>
          <w:color w:val="000000"/>
        </w:rPr>
        <w:t>(3)需檢送病歷及對imatinib耐受性不良或無效的證明(104/12/1)。</w:t>
      </w:r>
    </w:p>
    <w:p w14:paraId="3503C5C1" w14:textId="77777777" w:rsidR="007576F0" w:rsidRPr="007576F0" w:rsidRDefault="007576F0" w:rsidP="007576F0">
      <w:pPr>
        <w:spacing w:line="300" w:lineRule="exact"/>
        <w:ind w:left="851" w:hanging="211"/>
        <w:rPr>
          <w:rFonts w:ascii="標楷體" w:eastAsia="標楷體" w:hAnsi="標楷體"/>
          <w:color w:val="000000"/>
        </w:rPr>
      </w:pPr>
      <w:r w:rsidRPr="007576F0">
        <w:rPr>
          <w:rFonts w:ascii="標楷體" w:eastAsia="標楷體" w:hAnsi="標楷體"/>
          <w:color w:val="000000"/>
        </w:rPr>
        <w:t>3.治療患有慢性期費城染色體陽性慢性骨髓性白血病(Ph+ CML) 之1歲以上的兒童病人。(110/5/1)</w:t>
      </w:r>
    </w:p>
    <w:p w14:paraId="6CC64A70" w14:textId="77777777" w:rsidR="007576F0" w:rsidRPr="007576F0" w:rsidRDefault="007576F0" w:rsidP="007576F0">
      <w:pPr>
        <w:spacing w:line="300" w:lineRule="exact"/>
        <w:ind w:left="851" w:hanging="211"/>
        <w:rPr>
          <w:rFonts w:ascii="標楷體" w:eastAsia="標楷體" w:hAnsi="標楷體"/>
          <w:color w:val="000000"/>
        </w:rPr>
      </w:pPr>
      <w:r w:rsidRPr="007576F0">
        <w:rPr>
          <w:rFonts w:ascii="標楷體" w:eastAsia="標楷體" w:hAnsi="標楷體"/>
          <w:color w:val="000000"/>
        </w:rPr>
        <w:t>4.1~3項規定內之疾病診斷或追蹤若需依據基因檢測報告，則需符合全民健康保險藥品給付規定之通則十二。(113/6/1)</w:t>
      </w:r>
    </w:p>
    <w:p w14:paraId="0E2295EA" w14:textId="77777777" w:rsidR="007576F0" w:rsidRPr="007576F0" w:rsidRDefault="007576F0" w:rsidP="007576F0">
      <w:pPr>
        <w:spacing w:line="300" w:lineRule="exact"/>
        <w:ind w:left="851" w:hanging="211"/>
        <w:rPr>
          <w:rFonts w:ascii="標楷體" w:eastAsia="標楷體" w:hAnsi="標楷體"/>
          <w:color w:val="000000"/>
        </w:rPr>
      </w:pPr>
      <w:r w:rsidRPr="007576F0">
        <w:rPr>
          <w:rFonts w:ascii="標楷體" w:eastAsia="標楷體" w:hAnsi="標楷體" w:hint="eastAsia"/>
          <w:color w:val="000000"/>
        </w:rPr>
        <w:t>5.Dasatinib、nilotinib與bosutinib不得合併使用。(115/2/1)</w:t>
      </w:r>
    </w:p>
    <w:p w14:paraId="5FDDE2C9" w14:textId="77777777" w:rsidR="007576F0" w:rsidRPr="007576F0" w:rsidRDefault="007576F0" w:rsidP="007576F0">
      <w:pPr>
        <w:spacing w:line="300" w:lineRule="exact"/>
        <w:ind w:left="709" w:hanging="341"/>
      </w:pPr>
      <w:r w:rsidRPr="007576F0">
        <w:rPr>
          <w:rFonts w:ascii="標楷體" w:eastAsia="標楷體" w:hAnsi="標楷體"/>
        </w:rPr>
        <w:t>9.31.</w:t>
      </w:r>
      <w:r w:rsidRPr="007576F0">
        <w:t xml:space="preserve"> </w:t>
      </w:r>
      <w:r w:rsidRPr="007576F0">
        <w:rPr>
          <w:rFonts w:ascii="標楷體" w:eastAsia="標楷體" w:hAnsi="標楷體"/>
        </w:rPr>
        <w:t>Sunitinib（如</w:t>
      </w:r>
      <w:proofErr w:type="spellStart"/>
      <w:r w:rsidRPr="007576F0">
        <w:rPr>
          <w:rFonts w:ascii="標楷體" w:eastAsia="標楷體" w:hAnsi="標楷體"/>
        </w:rPr>
        <w:t>Sutent</w:t>
      </w:r>
      <w:proofErr w:type="spellEnd"/>
      <w:r w:rsidRPr="007576F0">
        <w:rPr>
          <w:rFonts w:ascii="標楷體" w:eastAsia="標楷體" w:hAnsi="標楷體"/>
        </w:rPr>
        <w:t>）：（98/2/1、98/5/1、99/1/1、99/2/1、101/5/1、102/1/1、104/12/1、110/12/1、112/3/1）</w:t>
      </w:r>
    </w:p>
    <w:p w14:paraId="5E521C5F" w14:textId="77777777" w:rsidR="007576F0" w:rsidRPr="007576F0" w:rsidRDefault="007576F0" w:rsidP="007576F0">
      <w:pPr>
        <w:spacing w:line="300" w:lineRule="exact"/>
        <w:ind w:left="993" w:hanging="341"/>
        <w:rPr>
          <w:rFonts w:ascii="標楷體" w:eastAsia="標楷體" w:hAnsi="標楷體"/>
        </w:rPr>
      </w:pPr>
      <w:r w:rsidRPr="007576F0">
        <w:rPr>
          <w:rFonts w:ascii="標楷體" w:eastAsia="標楷體" w:hAnsi="標楷體"/>
        </w:rPr>
        <w:t>1.</w:t>
      </w:r>
      <w:proofErr w:type="gramStart"/>
      <w:r w:rsidRPr="007576F0">
        <w:rPr>
          <w:rFonts w:ascii="標楷體" w:eastAsia="標楷體" w:hAnsi="標楷體"/>
        </w:rPr>
        <w:t>腸胃道間質腫瘤</w:t>
      </w:r>
      <w:proofErr w:type="gramEnd"/>
      <w:r w:rsidRPr="007576F0">
        <w:rPr>
          <w:rFonts w:ascii="標楷體" w:eastAsia="標楷體" w:hAnsi="標楷體"/>
        </w:rPr>
        <w:t>：</w:t>
      </w:r>
    </w:p>
    <w:p w14:paraId="0F17632C"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(1)限用於以imatinib治療期間出現疾病惡化或對該藥出現不能忍受之</w:t>
      </w:r>
      <w:proofErr w:type="gramStart"/>
      <w:r w:rsidRPr="007576F0">
        <w:rPr>
          <w:rFonts w:ascii="標楷體" w:eastAsia="標楷體" w:hAnsi="標楷體"/>
        </w:rPr>
        <w:t>腸胃道間質腫瘤</w:t>
      </w:r>
      <w:proofErr w:type="gramEnd"/>
      <w:r w:rsidRPr="007576F0">
        <w:rPr>
          <w:rFonts w:ascii="標楷體" w:eastAsia="標楷體" w:hAnsi="標楷體"/>
        </w:rPr>
        <w:t>(99/2/1)。</w:t>
      </w:r>
    </w:p>
    <w:p w14:paraId="0F444FBA"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(2)若使用本藥品出現疾病惡化或無法忍受其副作用，不得替換使用imatinib治療(99/2/1)。</w:t>
      </w:r>
    </w:p>
    <w:p w14:paraId="4AB343A6"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(3)需經事前審查核准後使用，送審時須檢送病歷及對imatinib耐受性不良或無效之證明。（98/5/1）(99/2/1)</w:t>
      </w:r>
    </w:p>
    <w:p w14:paraId="5A37102B" w14:textId="77777777" w:rsidR="007576F0" w:rsidRPr="007576F0" w:rsidRDefault="007576F0" w:rsidP="007576F0">
      <w:pPr>
        <w:spacing w:line="300" w:lineRule="exact"/>
        <w:ind w:left="1049" w:hanging="341"/>
      </w:pPr>
      <w:r w:rsidRPr="007576F0">
        <w:rPr>
          <w:rFonts w:ascii="標楷體" w:eastAsia="標楷體" w:hAnsi="標楷體"/>
        </w:rPr>
        <w:lastRenderedPageBreak/>
        <w:t>2.</w:t>
      </w:r>
      <w:r w:rsidRPr="007576F0">
        <w:t xml:space="preserve"> </w:t>
      </w:r>
      <w:proofErr w:type="gramStart"/>
      <w:r w:rsidRPr="007576F0">
        <w:rPr>
          <w:rFonts w:ascii="標楷體" w:eastAsia="標楷體" w:hAnsi="標楷體"/>
        </w:rPr>
        <w:t>晚期腎</w:t>
      </w:r>
      <w:proofErr w:type="gramEnd"/>
      <w:r w:rsidRPr="007576F0">
        <w:rPr>
          <w:rFonts w:ascii="標楷體" w:eastAsia="標楷體" w:hAnsi="標楷體"/>
        </w:rPr>
        <w:t>細胞癌：（99/1/1、110/12/1、112/3/1）</w:t>
      </w:r>
    </w:p>
    <w:p w14:paraId="0D742BCC" w14:textId="77777777" w:rsidR="007576F0" w:rsidRPr="007576F0" w:rsidRDefault="007576F0" w:rsidP="007576F0">
      <w:pPr>
        <w:spacing w:line="300" w:lineRule="exact"/>
        <w:ind w:left="1049" w:hanging="341"/>
      </w:pPr>
      <w:r w:rsidRPr="007576F0">
        <w:rPr>
          <w:rFonts w:ascii="標楷體" w:eastAsia="標楷體" w:hAnsi="標楷體"/>
        </w:rPr>
        <w:t>(1)</w:t>
      </w:r>
      <w:r w:rsidRPr="007576F0">
        <w:t xml:space="preserve"> </w:t>
      </w:r>
      <w:r w:rsidRPr="007576F0">
        <w:rPr>
          <w:rFonts w:ascii="標楷體" w:eastAsia="標楷體" w:hAnsi="標楷體"/>
        </w:rPr>
        <w:t>可用於第一線治療晚期或</w:t>
      </w:r>
      <w:proofErr w:type="gramStart"/>
      <w:r w:rsidRPr="007576F0">
        <w:rPr>
          <w:rFonts w:ascii="標楷體" w:eastAsia="標楷體" w:hAnsi="標楷體"/>
        </w:rPr>
        <w:t>轉移性腎細胞</w:t>
      </w:r>
      <w:proofErr w:type="gramEnd"/>
      <w:r w:rsidRPr="007576F0">
        <w:rPr>
          <w:rFonts w:ascii="標楷體" w:eastAsia="標楷體" w:hAnsi="標楷體"/>
        </w:rPr>
        <w:t>癌。（112/3/1）</w:t>
      </w:r>
    </w:p>
    <w:p w14:paraId="3CC0F359"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(2)無效後則</w:t>
      </w:r>
      <w:proofErr w:type="gramStart"/>
      <w:r w:rsidRPr="007576F0">
        <w:rPr>
          <w:rFonts w:ascii="標楷體" w:eastAsia="標楷體" w:hAnsi="標楷體"/>
        </w:rPr>
        <w:t>不</w:t>
      </w:r>
      <w:proofErr w:type="gramEnd"/>
      <w:r w:rsidRPr="007576F0">
        <w:rPr>
          <w:rFonts w:ascii="標楷體" w:eastAsia="標楷體" w:hAnsi="標楷體"/>
        </w:rPr>
        <w:t>給付</w:t>
      </w:r>
      <w:proofErr w:type="spellStart"/>
      <w:r w:rsidRPr="007576F0">
        <w:rPr>
          <w:rFonts w:ascii="標楷體" w:eastAsia="標楷體" w:hAnsi="標楷體"/>
        </w:rPr>
        <w:t>temsirolimus</w:t>
      </w:r>
      <w:proofErr w:type="spellEnd"/>
      <w:r w:rsidRPr="007576F0">
        <w:rPr>
          <w:rFonts w:ascii="標楷體" w:eastAsia="標楷體" w:hAnsi="標楷體"/>
        </w:rPr>
        <w:t>。（110/12/1）</w:t>
      </w:r>
    </w:p>
    <w:p w14:paraId="514466B0"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(3)需檢送影像資料，每三</w:t>
      </w:r>
      <w:proofErr w:type="gramStart"/>
      <w:r w:rsidRPr="007576F0">
        <w:rPr>
          <w:rFonts w:ascii="標楷體" w:eastAsia="標楷體" w:hAnsi="標楷體"/>
        </w:rPr>
        <w:t>個</w:t>
      </w:r>
      <w:proofErr w:type="gramEnd"/>
      <w:r w:rsidRPr="007576F0">
        <w:rPr>
          <w:rFonts w:ascii="標楷體" w:eastAsia="標楷體" w:hAnsi="標楷體"/>
        </w:rPr>
        <w:t>月評估一次。(104/12/1)</w:t>
      </w:r>
    </w:p>
    <w:p w14:paraId="4824411C"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(4)病人若對藥物產生耐受性不佳（intolerance），則以原來藥物減量為原則，若嚴重耐受性不佳，可以換其他TKI。</w:t>
      </w:r>
    </w:p>
    <w:p w14:paraId="31E29A7A"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3.進展性，無法切除或轉移性分化良好之胰臟神經內分泌腫瘤的成人病患，須同時符合下列條件：(101/5/1</w:t>
      </w:r>
      <w:proofErr w:type="gramStart"/>
      <w:r w:rsidRPr="007576F0">
        <w:rPr>
          <w:rFonts w:ascii="標楷體" w:eastAsia="標楷體" w:hAnsi="標楷體"/>
        </w:rPr>
        <w:t>）</w:t>
      </w:r>
      <w:proofErr w:type="gramEnd"/>
    </w:p>
    <w:p w14:paraId="5D4D02D9"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(1)符合WHO 2010分類方式之G1 or G2胰臟神經內分泌瘤。</w:t>
      </w:r>
    </w:p>
    <w:p w14:paraId="6E733870"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(2)於</w:t>
      </w:r>
      <w:proofErr w:type="gramStart"/>
      <w:r w:rsidRPr="007576F0">
        <w:rPr>
          <w:rFonts w:ascii="標楷體" w:eastAsia="標楷體" w:hAnsi="標楷體"/>
        </w:rPr>
        <w:t>一</w:t>
      </w:r>
      <w:proofErr w:type="gramEnd"/>
      <w:r w:rsidRPr="007576F0">
        <w:rPr>
          <w:rFonts w:ascii="標楷體" w:eastAsia="標楷體" w:hAnsi="標楷體"/>
        </w:rPr>
        <w:t>年內影像檢查證實有明顯惡化者。</w:t>
      </w:r>
    </w:p>
    <w:p w14:paraId="55491952" w14:textId="77777777" w:rsidR="007576F0" w:rsidRPr="007576F0" w:rsidRDefault="007576F0" w:rsidP="007576F0">
      <w:pPr>
        <w:spacing w:line="300" w:lineRule="exact"/>
        <w:ind w:left="1049" w:hanging="341"/>
        <w:rPr>
          <w:rFonts w:ascii="標楷體" w:eastAsia="標楷體" w:hAnsi="標楷體"/>
        </w:rPr>
      </w:pPr>
      <w:r w:rsidRPr="007576F0">
        <w:rPr>
          <w:rFonts w:ascii="標楷體" w:eastAsia="標楷體" w:hAnsi="標楷體"/>
        </w:rPr>
        <w:t>(3)不可合併使用化學治療或相關標靶藥物。（102/1/1）</w:t>
      </w:r>
    </w:p>
    <w:p w14:paraId="705D49B6" w14:textId="77777777" w:rsidR="007576F0" w:rsidRPr="007576F0" w:rsidRDefault="007576F0" w:rsidP="007576F0">
      <w:pPr>
        <w:spacing w:line="300" w:lineRule="exact"/>
        <w:ind w:left="1049" w:hanging="341"/>
      </w:pPr>
      <w:r w:rsidRPr="007576F0">
        <w:rPr>
          <w:rFonts w:ascii="標楷體" w:eastAsia="標楷體" w:hAnsi="標楷體"/>
        </w:rPr>
        <w:t>(4)經事前專案審查核准後使用，且需每3個月評估一次。</w:t>
      </w:r>
    </w:p>
    <w:p w14:paraId="45E1ACAC"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9.32. Nilotinib：（98/6/1、99/1/1、101/7/1、113/6/1</w:t>
      </w:r>
      <w:r w:rsidRPr="007576F0">
        <w:rPr>
          <w:rFonts w:ascii="標楷體" w:eastAsia="標楷體" w:hAnsi="標楷體" w:hint="eastAsia"/>
          <w:color w:val="000000"/>
        </w:rPr>
        <w:t>、1</w:t>
      </w:r>
      <w:r w:rsidRPr="007576F0">
        <w:rPr>
          <w:rFonts w:ascii="標楷體" w:eastAsia="標楷體" w:hAnsi="標楷體"/>
          <w:color w:val="000000"/>
        </w:rPr>
        <w:t>15/2/1）附表九之六</w:t>
      </w:r>
    </w:p>
    <w:p w14:paraId="7DAA2F80"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9.32.1.Nilotinib 200mg(如</w:t>
      </w:r>
      <w:proofErr w:type="spellStart"/>
      <w:r w:rsidRPr="007576F0">
        <w:rPr>
          <w:rFonts w:ascii="標楷體" w:eastAsia="標楷體" w:hAnsi="標楷體"/>
          <w:color w:val="000000"/>
        </w:rPr>
        <w:t>Tasigna</w:t>
      </w:r>
      <w:proofErr w:type="spellEnd"/>
      <w:r w:rsidRPr="007576F0">
        <w:rPr>
          <w:rFonts w:ascii="標楷體" w:eastAsia="標楷體" w:hAnsi="標楷體"/>
          <w:color w:val="000000"/>
        </w:rPr>
        <w:t xml:space="preserve"> 200mg)（98/6/1、99/1/1、104/12/1、113/6/1</w:t>
      </w:r>
      <w:r w:rsidRPr="007576F0">
        <w:rPr>
          <w:rFonts w:ascii="標楷體" w:eastAsia="標楷體" w:hAnsi="標楷體" w:hint="eastAsia"/>
          <w:color w:val="000000"/>
        </w:rPr>
        <w:t>、1</w:t>
      </w:r>
      <w:r w:rsidRPr="007576F0">
        <w:rPr>
          <w:rFonts w:ascii="標楷體" w:eastAsia="標楷體" w:hAnsi="標楷體"/>
          <w:color w:val="000000"/>
        </w:rPr>
        <w:t>15/2/1）</w:t>
      </w:r>
    </w:p>
    <w:p w14:paraId="04ED4CB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 限用於治療對imatinib 400MG(含)</w:t>
      </w:r>
      <w:proofErr w:type="gramStart"/>
      <w:r w:rsidRPr="007576F0">
        <w:rPr>
          <w:rFonts w:ascii="標楷體" w:eastAsia="標楷體" w:hAnsi="標楷體"/>
          <w:color w:val="000000"/>
        </w:rPr>
        <w:t>以上耐</w:t>
      </w:r>
      <w:proofErr w:type="gramEnd"/>
      <w:r w:rsidRPr="007576F0">
        <w:rPr>
          <w:rFonts w:ascii="標楷體" w:eastAsia="標楷體" w:hAnsi="標楷體"/>
          <w:color w:val="000000"/>
        </w:rPr>
        <w:t>受性不良或治療無效的「慢性期或加速期費城染色體(Philadelphia chromosome)陽性的慢性骨髓性白血病(CML)成年患者」。</w:t>
      </w:r>
    </w:p>
    <w:p w14:paraId="1EA4F534"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2.必須</w:t>
      </w:r>
      <w:proofErr w:type="gramStart"/>
      <w:r w:rsidRPr="007576F0">
        <w:rPr>
          <w:rFonts w:ascii="標楷體" w:eastAsia="標楷體" w:hAnsi="標楷體"/>
          <w:color w:val="000000"/>
        </w:rPr>
        <w:t>檢附耐受</w:t>
      </w:r>
      <w:proofErr w:type="gramEnd"/>
      <w:r w:rsidRPr="007576F0">
        <w:rPr>
          <w:rFonts w:ascii="標楷體" w:eastAsia="標楷體" w:hAnsi="標楷體"/>
          <w:color w:val="000000"/>
        </w:rPr>
        <w:t>性不良或治療無效的證明。(104/12/1)</w:t>
      </w:r>
    </w:p>
    <w:p w14:paraId="395F94DF"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3.Nilotinib</w:t>
      </w:r>
      <w:r w:rsidRPr="007576F0">
        <w:rPr>
          <w:rFonts w:ascii="標楷體" w:eastAsia="標楷體" w:hAnsi="標楷體" w:hint="eastAsia"/>
          <w:color w:val="000000"/>
        </w:rPr>
        <w:t>、</w:t>
      </w:r>
      <w:proofErr w:type="spellStart"/>
      <w:r w:rsidRPr="007576F0">
        <w:rPr>
          <w:rFonts w:ascii="標楷體" w:eastAsia="標楷體" w:hAnsi="標楷體"/>
          <w:color w:val="000000"/>
        </w:rPr>
        <w:t>dasatini</w:t>
      </w:r>
      <w:r w:rsidRPr="007576F0">
        <w:rPr>
          <w:rFonts w:ascii="標楷體" w:eastAsia="標楷體" w:hAnsi="標楷體" w:hint="eastAsia"/>
          <w:color w:val="000000"/>
        </w:rPr>
        <w:t>b</w:t>
      </w:r>
      <w:proofErr w:type="spellEnd"/>
      <w:r w:rsidRPr="007576F0">
        <w:rPr>
          <w:rFonts w:ascii="標楷體" w:eastAsia="標楷體" w:hAnsi="標楷體" w:hint="eastAsia"/>
          <w:color w:val="000000"/>
        </w:rPr>
        <w:t>與bosutinib不得合併使用。</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98/6/1、99/1/1、104/12/1、115/2/1)</w:t>
      </w:r>
    </w:p>
    <w:p w14:paraId="22DF05B5"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4.1~2項規定內之疾病診斷或追蹤若需依據基因檢測報告，則需符合全民健康保險藥品給付規定之通則十二。(113/6/1)</w:t>
      </w:r>
    </w:p>
    <w:p w14:paraId="60EAAA4C"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9.32.2.Nilotinib 150mg(如</w:t>
      </w:r>
      <w:proofErr w:type="spellStart"/>
      <w:r w:rsidRPr="007576F0">
        <w:rPr>
          <w:rFonts w:ascii="標楷體" w:eastAsia="標楷體" w:hAnsi="標楷體"/>
          <w:color w:val="000000"/>
        </w:rPr>
        <w:t>Tasigna</w:t>
      </w:r>
      <w:proofErr w:type="spellEnd"/>
      <w:r w:rsidRPr="007576F0">
        <w:rPr>
          <w:rFonts w:ascii="標楷體" w:eastAsia="標楷體" w:hAnsi="標楷體"/>
          <w:color w:val="000000"/>
        </w:rPr>
        <w:t xml:space="preserve"> 150mg)：(101/7/1、104/12/1、113/6/1)</w:t>
      </w:r>
    </w:p>
    <w:p w14:paraId="259412A2"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1.限</w:t>
      </w:r>
      <w:proofErr w:type="gramStart"/>
      <w:r w:rsidRPr="007576F0">
        <w:rPr>
          <w:rFonts w:ascii="標楷體" w:eastAsia="標楷體" w:hAnsi="標楷體"/>
          <w:color w:val="000000"/>
        </w:rPr>
        <w:t>用於新確診</w:t>
      </w:r>
      <w:proofErr w:type="gramEnd"/>
      <w:r w:rsidRPr="007576F0">
        <w:rPr>
          <w:rFonts w:ascii="標楷體" w:eastAsia="標楷體" w:hAnsi="標楷體"/>
          <w:color w:val="000000"/>
        </w:rPr>
        <w:t>之慢性期費城染色體陽性的慢性骨髓性白血病。(104/12/1)</w:t>
      </w:r>
    </w:p>
    <w:p w14:paraId="3C9B8F5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2.疾病診斷或追蹤若需依據基因檢測報告，則需符合全民健康保險藥品給付規定之通則十二。(113/6/1)</w:t>
      </w:r>
    </w:p>
    <w:p w14:paraId="36D6E92D"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9.33.Thalidomide（如Thado）：(98/7/1)</w:t>
      </w:r>
    </w:p>
    <w:p w14:paraId="6DBC44C1"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治療新診斷多發性骨髓瘤。使用時須和prednisolone及oral melphalan</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用，或和骨髓移植</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用，或和</w:t>
      </w:r>
      <w:proofErr w:type="spellStart"/>
      <w:r w:rsidRPr="007576F0">
        <w:rPr>
          <w:rFonts w:ascii="標楷體" w:eastAsia="標楷體" w:hAnsi="標楷體"/>
          <w:color w:val="000000"/>
        </w:rPr>
        <w:t>palmidronate</w:t>
      </w:r>
      <w:proofErr w:type="spellEnd"/>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用於骨髓移植後之治療。</w:t>
      </w:r>
    </w:p>
    <w:p w14:paraId="6AA67F0C"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9.34.Sorafenib(如</w:t>
      </w:r>
      <w:proofErr w:type="spellStart"/>
      <w:r w:rsidRPr="007576F0">
        <w:rPr>
          <w:rFonts w:ascii="標楷體" w:eastAsia="標楷體" w:hAnsi="標楷體"/>
          <w:color w:val="000000"/>
        </w:rPr>
        <w:t>Nexavar</w:t>
      </w:r>
      <w:proofErr w:type="spellEnd"/>
      <w:r w:rsidRPr="007576F0">
        <w:rPr>
          <w:rFonts w:ascii="標楷體" w:eastAsia="標楷體" w:hAnsi="標楷體"/>
          <w:color w:val="000000"/>
        </w:rPr>
        <w:t>)：(98/10/1、100/6/1、101/8/1、104/12/1、105/11/1、106/1/1、107/7/1、108/6/1、108/12/1、109/1/1、112/8/1、114/2/1、114/6/1)</w:t>
      </w:r>
    </w:p>
    <w:p w14:paraId="1064CE99" w14:textId="77777777" w:rsidR="007576F0" w:rsidRPr="007576F0" w:rsidRDefault="007576F0" w:rsidP="007576F0">
      <w:pPr>
        <w:spacing w:line="300" w:lineRule="exact"/>
        <w:ind w:left="811" w:hanging="245"/>
      </w:pPr>
      <w:r w:rsidRPr="007576F0">
        <w:rPr>
          <w:rFonts w:ascii="標楷體" w:eastAsia="標楷體" w:hAnsi="標楷體"/>
          <w:color w:val="000000"/>
          <w:lang w:val="it-IT"/>
        </w:rPr>
        <w:t>1.</w:t>
      </w:r>
      <w:proofErr w:type="gramStart"/>
      <w:r w:rsidRPr="007576F0">
        <w:rPr>
          <w:rFonts w:ascii="標楷體" w:eastAsia="標楷體" w:hAnsi="標楷體"/>
          <w:color w:val="000000"/>
        </w:rPr>
        <w:t>晚期腎</w:t>
      </w:r>
      <w:proofErr w:type="gramEnd"/>
      <w:r w:rsidRPr="007576F0">
        <w:rPr>
          <w:rFonts w:ascii="標楷體" w:eastAsia="標楷體" w:hAnsi="標楷體"/>
          <w:color w:val="000000"/>
        </w:rPr>
        <w:t>細胞癌部分</w:t>
      </w:r>
      <w:r w:rsidRPr="007576F0">
        <w:rPr>
          <w:rFonts w:ascii="標楷體" w:eastAsia="標楷體" w:hAnsi="標楷體"/>
          <w:color w:val="000000"/>
          <w:lang w:val="it-IT"/>
        </w:rPr>
        <w:t>：</w:t>
      </w:r>
    </w:p>
    <w:p w14:paraId="065671E4" w14:textId="77777777" w:rsidR="007576F0" w:rsidRPr="007576F0" w:rsidRDefault="007576F0" w:rsidP="007576F0">
      <w:pPr>
        <w:spacing w:line="300" w:lineRule="exact"/>
        <w:ind w:left="1049" w:hanging="341"/>
      </w:pPr>
      <w:r w:rsidRPr="007576F0">
        <w:rPr>
          <w:rFonts w:ascii="標楷體" w:eastAsia="標楷體" w:hAnsi="標楷體"/>
          <w:color w:val="000000"/>
          <w:lang w:val="it-IT"/>
        </w:rPr>
        <w:t>(1)</w:t>
      </w:r>
      <w:proofErr w:type="gramStart"/>
      <w:r w:rsidRPr="007576F0">
        <w:rPr>
          <w:rFonts w:ascii="標楷體" w:eastAsia="標楷體" w:hAnsi="標楷體"/>
          <w:color w:val="000000"/>
        </w:rPr>
        <w:t>晚期腎細胞癌且</w:t>
      </w:r>
      <w:proofErr w:type="gramEnd"/>
      <w:r w:rsidRPr="007576F0">
        <w:rPr>
          <w:rFonts w:ascii="標楷體" w:eastAsia="標楷體" w:hAnsi="標楷體"/>
          <w:color w:val="000000"/>
        </w:rPr>
        <w:t>已接受</w:t>
      </w:r>
      <w:r w:rsidRPr="007576F0">
        <w:rPr>
          <w:rFonts w:ascii="標楷體" w:eastAsia="標楷體" w:hAnsi="標楷體"/>
          <w:color w:val="000000"/>
          <w:lang w:val="it-IT"/>
        </w:rPr>
        <w:t>interferon-alpha</w:t>
      </w:r>
      <w:r w:rsidRPr="007576F0">
        <w:rPr>
          <w:rFonts w:ascii="標楷體" w:eastAsia="標楷體" w:hAnsi="標楷體"/>
          <w:color w:val="000000"/>
        </w:rPr>
        <w:t>或</w:t>
      </w:r>
      <w:r w:rsidRPr="007576F0">
        <w:rPr>
          <w:rFonts w:ascii="標楷體" w:eastAsia="標楷體" w:hAnsi="標楷體"/>
          <w:color w:val="000000"/>
          <w:lang w:val="it-IT"/>
        </w:rPr>
        <w:t>interleukin-2</w:t>
      </w:r>
      <w:r w:rsidRPr="007576F0">
        <w:rPr>
          <w:rFonts w:ascii="標楷體" w:eastAsia="標楷體" w:hAnsi="標楷體"/>
          <w:color w:val="000000"/>
        </w:rPr>
        <w:t>治療失敗</w:t>
      </w:r>
      <w:r w:rsidRPr="007576F0">
        <w:rPr>
          <w:rFonts w:ascii="標楷體" w:eastAsia="標楷體" w:hAnsi="標楷體"/>
          <w:color w:val="000000"/>
          <w:lang w:val="it-IT"/>
        </w:rPr>
        <w:t>，</w:t>
      </w:r>
      <w:r w:rsidRPr="007576F0">
        <w:rPr>
          <w:rFonts w:ascii="標楷體" w:eastAsia="標楷體" w:hAnsi="標楷體"/>
          <w:color w:val="000000"/>
        </w:rPr>
        <w:t>或不適合以上兩種藥物治療之病患。不適合以上兩種藥物治療之病患，須符合cytokine禁忌症者得直接使用sorafenib。但須列舉出所符合之禁忌症及檢附相關證明。(100/6/1)</w:t>
      </w:r>
    </w:p>
    <w:p w14:paraId="3D5BF50C"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(2)無效後則</w:t>
      </w:r>
      <w:proofErr w:type="gramStart"/>
      <w:r w:rsidRPr="007576F0">
        <w:rPr>
          <w:rFonts w:ascii="標楷體" w:eastAsia="標楷體" w:hAnsi="標楷體"/>
          <w:color w:val="000000"/>
        </w:rPr>
        <w:t>不</w:t>
      </w:r>
      <w:proofErr w:type="gramEnd"/>
      <w:r w:rsidRPr="007576F0">
        <w:rPr>
          <w:rFonts w:ascii="標楷體" w:eastAsia="標楷體" w:hAnsi="標楷體"/>
          <w:color w:val="000000"/>
        </w:rPr>
        <w:t>給付</w:t>
      </w:r>
      <w:proofErr w:type="spellStart"/>
      <w:r w:rsidRPr="007576F0">
        <w:rPr>
          <w:rFonts w:ascii="標楷體" w:eastAsia="標楷體" w:hAnsi="標楷體"/>
          <w:color w:val="000000"/>
        </w:rPr>
        <w:t>temsirolimus</w:t>
      </w:r>
      <w:proofErr w:type="spellEnd"/>
      <w:r w:rsidRPr="007576F0">
        <w:rPr>
          <w:rFonts w:ascii="標楷體" w:eastAsia="標楷體" w:hAnsi="標楷體"/>
          <w:color w:val="000000"/>
        </w:rPr>
        <w:t>。(108/12/1)</w:t>
      </w:r>
    </w:p>
    <w:p w14:paraId="0BD49033"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(3)需檢送影像資料，每3個月評估一次。(104/12/1)</w:t>
      </w:r>
    </w:p>
    <w:p w14:paraId="74ACA8E6"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w:t>
      </w:r>
      <w:proofErr w:type="gramStart"/>
      <w:r w:rsidRPr="007576F0">
        <w:rPr>
          <w:rFonts w:ascii="標楷體" w:eastAsia="標楷體" w:hAnsi="標楷體"/>
          <w:color w:val="000000"/>
        </w:rPr>
        <w:t>晚期肝</w:t>
      </w:r>
      <w:proofErr w:type="gramEnd"/>
      <w:r w:rsidRPr="007576F0">
        <w:rPr>
          <w:rFonts w:ascii="標楷體" w:eastAsia="標楷體" w:hAnsi="標楷體"/>
          <w:color w:val="000000"/>
        </w:rPr>
        <w:t>細胞癌部分：(101/8/1、105/11/1、108/6/1、109/1/1、112/8/1、114/2/1、114/6/1)</w:t>
      </w:r>
    </w:p>
    <w:p w14:paraId="1ED87E7C"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(1)轉移性或無法手術切除且不適合局部治療或局部治療失敗之Child-Pugh A class</w:t>
      </w:r>
      <w:proofErr w:type="gramStart"/>
      <w:r w:rsidRPr="007576F0">
        <w:rPr>
          <w:rFonts w:ascii="標楷體" w:eastAsia="標楷體" w:hAnsi="標楷體"/>
          <w:color w:val="000000"/>
        </w:rPr>
        <w:t>晚期肝</w:t>
      </w:r>
      <w:proofErr w:type="gramEnd"/>
      <w:r w:rsidRPr="007576F0">
        <w:rPr>
          <w:rFonts w:ascii="標楷體" w:eastAsia="標楷體" w:hAnsi="標楷體"/>
          <w:color w:val="000000"/>
        </w:rPr>
        <w:t>細胞癌成人患者，並符合下列條件之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w:t>
      </w:r>
    </w:p>
    <w:p w14:paraId="7279297E"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Ⅰ.</w:t>
      </w:r>
      <w:proofErr w:type="gramStart"/>
      <w:r w:rsidRPr="007576F0">
        <w:rPr>
          <w:rFonts w:ascii="標楷體" w:eastAsia="標楷體" w:hAnsi="標楷體"/>
          <w:color w:val="000000"/>
        </w:rPr>
        <w:t>肝外轉移</w:t>
      </w:r>
      <w:proofErr w:type="gramEnd"/>
      <w:r w:rsidRPr="007576F0">
        <w:rPr>
          <w:rFonts w:ascii="標楷體" w:eastAsia="標楷體" w:hAnsi="標楷體"/>
          <w:color w:val="000000"/>
        </w:rPr>
        <w:t>（遠端轉移或肝外淋巴結侵犯）。</w:t>
      </w:r>
    </w:p>
    <w:p w14:paraId="2D39CDCC"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Ⅱ.大血管侵犯（腫瘤侵犯主門靜脈或侵犯左/右靜脈第一或第二分支）</w:t>
      </w:r>
    </w:p>
    <w:p w14:paraId="1D98CAE0"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III.經導管動脈化學藥物栓塞治療</w:t>
      </w:r>
      <w:proofErr w:type="gramStart"/>
      <w:r w:rsidRPr="007576F0">
        <w:rPr>
          <w:rFonts w:ascii="標楷體" w:eastAsia="標楷體" w:hAnsi="標楷體"/>
          <w:color w:val="000000"/>
        </w:rPr>
        <w:t>（</w:t>
      </w:r>
      <w:proofErr w:type="gramEnd"/>
      <w:r w:rsidRPr="007576F0">
        <w:rPr>
          <w:rFonts w:ascii="標楷體" w:eastAsia="標楷體" w:hAnsi="標楷體"/>
          <w:color w:val="000000"/>
        </w:rPr>
        <w:t xml:space="preserve">Transcatheter arterial chemo </w:t>
      </w:r>
      <w:proofErr w:type="spellStart"/>
      <w:r w:rsidRPr="007576F0">
        <w:rPr>
          <w:rFonts w:ascii="標楷體" w:eastAsia="標楷體" w:hAnsi="標楷體"/>
          <w:color w:val="000000"/>
        </w:rPr>
        <w:t>embolization,T.A.C.E</w:t>
      </w:r>
      <w:proofErr w:type="spellEnd"/>
      <w:r w:rsidRPr="007576F0">
        <w:rPr>
          <w:rFonts w:ascii="標楷體" w:eastAsia="標楷體" w:hAnsi="標楷體"/>
          <w:color w:val="000000"/>
        </w:rPr>
        <w:t>.）失敗者，需提供患者於12個月內&gt;=3次局部治療之記錄。</w:t>
      </w:r>
    </w:p>
    <w:p w14:paraId="09ABBCF5"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(2)需經事前審查核准後使用，初次申請之療程以3個月為限，之後每3個月評估一</w:t>
      </w:r>
      <w:r w:rsidRPr="007576F0">
        <w:rPr>
          <w:rFonts w:ascii="標楷體" w:eastAsia="標楷體" w:hAnsi="標楷體"/>
          <w:color w:val="000000"/>
        </w:rPr>
        <w:lastRenderedPageBreak/>
        <w:t>次。送審時需檢送影像資料，無疾病惡化方可繼續使用。(101/8/1、114/6/1)</w:t>
      </w:r>
    </w:p>
    <w:p w14:paraId="1C7CC4B8"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(3)每日至多處方4粒。</w:t>
      </w:r>
    </w:p>
    <w:p w14:paraId="799385C8"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(4)Sorafenib、</w:t>
      </w:r>
      <w:proofErr w:type="spellStart"/>
      <w:r w:rsidRPr="007576F0">
        <w:rPr>
          <w:rFonts w:ascii="標楷體" w:eastAsia="標楷體" w:hAnsi="標楷體"/>
          <w:color w:val="000000"/>
        </w:rPr>
        <w:t>lenvatinib</w:t>
      </w:r>
      <w:proofErr w:type="spellEnd"/>
      <w:r w:rsidRPr="007576F0">
        <w:rPr>
          <w:rFonts w:ascii="標楷體" w:eastAsia="標楷體" w:hAnsi="標楷體"/>
          <w:color w:val="000000"/>
        </w:rPr>
        <w:t>、atezolizumab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用bevacizumab、</w:t>
      </w:r>
      <w:proofErr w:type="spellStart"/>
      <w:r w:rsidRPr="007576F0">
        <w:rPr>
          <w:rFonts w:ascii="標楷體" w:eastAsia="標楷體" w:hAnsi="標楷體"/>
          <w:color w:val="000000"/>
        </w:rPr>
        <w:t>tremelimumab</w:t>
      </w:r>
      <w:proofErr w:type="spellEnd"/>
      <w:proofErr w:type="gramStart"/>
      <w:r w:rsidRPr="007576F0">
        <w:rPr>
          <w:rFonts w:ascii="標楷體" w:eastAsia="標楷體" w:hAnsi="標楷體"/>
          <w:color w:val="000000"/>
        </w:rPr>
        <w:t>併</w:t>
      </w:r>
      <w:proofErr w:type="gramEnd"/>
      <w:r w:rsidRPr="007576F0">
        <w:rPr>
          <w:rFonts w:ascii="標楷體" w:eastAsia="標楷體" w:hAnsi="標楷體"/>
          <w:color w:val="000000"/>
        </w:rPr>
        <w:t>用durvalumab僅得擇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給付，不得互換。(109/1/1、112/8/1、114/2/1)</w:t>
      </w:r>
    </w:p>
    <w:p w14:paraId="2B8039AD"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3.用於放射性碘治療無效之局部晚期或轉移性的進行性(progressive)分化型甲狀腺癌(RAI-RDTC)：(106/1/1)</w:t>
      </w:r>
    </w:p>
    <w:p w14:paraId="71316A9A"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(1)放射性碘治療無效之局部晚期或轉移性的進行性(progressive)分化型甲狀腺癌。</w:t>
      </w:r>
    </w:p>
    <w:p w14:paraId="0FD37E19" w14:textId="77777777" w:rsidR="007576F0" w:rsidRPr="007576F0" w:rsidRDefault="007576F0" w:rsidP="007576F0">
      <w:pPr>
        <w:spacing w:line="300" w:lineRule="exact"/>
        <w:ind w:left="1090" w:hanging="384"/>
        <w:rPr>
          <w:rFonts w:ascii="標楷體" w:eastAsia="標楷體" w:hAnsi="標楷體"/>
          <w:color w:val="000000"/>
        </w:rPr>
      </w:pPr>
      <w:r w:rsidRPr="007576F0">
        <w:rPr>
          <w:rFonts w:ascii="標楷體" w:eastAsia="標楷體" w:hAnsi="標楷體"/>
          <w:color w:val="000000"/>
        </w:rPr>
        <w:t>(2)需經事前審查核准後使用，每次申請之療程以3個月為限，送審時需檢送影像資料，每3個月評估一次。</w:t>
      </w:r>
    </w:p>
    <w:p w14:paraId="3F994B24" w14:textId="77777777" w:rsidR="007576F0" w:rsidRPr="007576F0" w:rsidRDefault="007576F0" w:rsidP="007576F0">
      <w:pPr>
        <w:spacing w:line="300" w:lineRule="exact"/>
        <w:ind w:left="1090" w:hanging="384"/>
        <w:rPr>
          <w:rFonts w:ascii="標楷體" w:eastAsia="標楷體" w:hAnsi="標楷體"/>
          <w:color w:val="000000"/>
        </w:rPr>
      </w:pPr>
      <w:r w:rsidRPr="007576F0">
        <w:rPr>
          <w:rFonts w:ascii="標楷體" w:eastAsia="標楷體" w:hAnsi="標楷體"/>
          <w:color w:val="000000"/>
        </w:rPr>
        <w:t>(3)Sorafenib與</w:t>
      </w:r>
      <w:proofErr w:type="spellStart"/>
      <w:r w:rsidRPr="007576F0">
        <w:rPr>
          <w:rFonts w:ascii="標楷體" w:eastAsia="標楷體" w:hAnsi="標楷體"/>
          <w:color w:val="000000"/>
        </w:rPr>
        <w:t>lenvatinib</w:t>
      </w:r>
      <w:proofErr w:type="spellEnd"/>
      <w:r w:rsidRPr="007576F0">
        <w:rPr>
          <w:rFonts w:ascii="標楷體" w:eastAsia="標楷體" w:hAnsi="標楷體"/>
          <w:color w:val="000000"/>
        </w:rPr>
        <w:t>不得合併使用。(107/7/1)</w:t>
      </w:r>
    </w:p>
    <w:p w14:paraId="76E4778C"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9.35.carmustine</w:t>
      </w:r>
      <w:proofErr w:type="gramStart"/>
      <w:r w:rsidRPr="007576F0">
        <w:rPr>
          <w:rFonts w:ascii="標楷體" w:eastAsia="標楷體" w:hAnsi="標楷體"/>
          <w:color w:val="000000"/>
        </w:rPr>
        <w:t>植入劑</w:t>
      </w:r>
      <w:proofErr w:type="gramEnd"/>
      <w:r w:rsidRPr="007576F0">
        <w:rPr>
          <w:rFonts w:ascii="標楷體" w:eastAsia="標楷體" w:hAnsi="標楷體"/>
          <w:color w:val="000000"/>
        </w:rPr>
        <w:t>(如</w:t>
      </w:r>
      <w:proofErr w:type="spellStart"/>
      <w:r w:rsidRPr="007576F0">
        <w:rPr>
          <w:rFonts w:ascii="標楷體" w:eastAsia="標楷體" w:hAnsi="標楷體"/>
          <w:color w:val="000000"/>
        </w:rPr>
        <w:t>Gliadel</w:t>
      </w:r>
      <w:proofErr w:type="spellEnd"/>
      <w:r w:rsidRPr="007576F0">
        <w:rPr>
          <w:rFonts w:ascii="標楷體" w:eastAsia="標楷體" w:hAnsi="標楷體"/>
          <w:color w:val="000000"/>
        </w:rPr>
        <w:t xml:space="preserve"> Wafer)：(100/2/1)附表八之四</w:t>
      </w:r>
    </w:p>
    <w:p w14:paraId="35CB1D0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1.作為復發性多形</w:t>
      </w:r>
      <w:proofErr w:type="gramStart"/>
      <w:r w:rsidRPr="007576F0">
        <w:rPr>
          <w:rFonts w:ascii="標楷體" w:eastAsia="標楷體" w:hAnsi="標楷體"/>
          <w:color w:val="000000"/>
        </w:rPr>
        <w:t>神經膠母細胞</w:t>
      </w:r>
      <w:proofErr w:type="gramEnd"/>
      <w:r w:rsidRPr="007576F0">
        <w:rPr>
          <w:rFonts w:ascii="標楷體" w:eastAsia="標楷體" w:hAnsi="標楷體"/>
          <w:color w:val="000000"/>
        </w:rPr>
        <w:t>瘤病人的手術輔助，且不得與temozolomide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4C25C0C1"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2.需經事前審查核准後使用。</w:t>
      </w:r>
    </w:p>
    <w:p w14:paraId="5F6087D3" w14:textId="77777777" w:rsidR="007576F0" w:rsidRPr="007576F0" w:rsidRDefault="007576F0" w:rsidP="007576F0">
      <w:pPr>
        <w:spacing w:line="300" w:lineRule="exact"/>
        <w:ind w:left="672" w:hanging="386"/>
        <w:rPr>
          <w:rFonts w:ascii="標楷體" w:eastAsia="標楷體" w:hAnsi="標楷體"/>
          <w:szCs w:val="24"/>
        </w:rPr>
      </w:pPr>
      <w:r w:rsidRPr="007576F0">
        <w:rPr>
          <w:rFonts w:ascii="標楷體" w:eastAsia="標楷體" w:hAnsi="標楷體"/>
          <w:szCs w:val="24"/>
        </w:rPr>
        <w:t>9.36.Everolimus：（100/2/1、102/1/1）附表九之九</w:t>
      </w:r>
    </w:p>
    <w:p w14:paraId="15479015" w14:textId="77777777" w:rsidR="007576F0" w:rsidRPr="007576F0" w:rsidRDefault="007576F0" w:rsidP="007576F0">
      <w:pPr>
        <w:spacing w:line="300" w:lineRule="exact"/>
        <w:ind w:leftChars="118" w:left="1133" w:hangingChars="354" w:hanging="850"/>
        <w:rPr>
          <w:rFonts w:ascii="標楷體" w:eastAsia="標楷體" w:hAnsi="標楷體"/>
          <w:szCs w:val="24"/>
        </w:rPr>
      </w:pPr>
      <w:r w:rsidRPr="007576F0">
        <w:rPr>
          <w:rFonts w:ascii="標楷體" w:eastAsia="標楷體" w:hAnsi="標楷體"/>
          <w:szCs w:val="24"/>
        </w:rPr>
        <w:t>9.36.1.Everolimus 5mg及10mg(如</w:t>
      </w:r>
      <w:proofErr w:type="spellStart"/>
      <w:r w:rsidRPr="007576F0">
        <w:rPr>
          <w:rFonts w:ascii="標楷體" w:eastAsia="標楷體" w:hAnsi="標楷體"/>
          <w:szCs w:val="24"/>
        </w:rPr>
        <w:t>Afinitor</w:t>
      </w:r>
      <w:proofErr w:type="spellEnd"/>
      <w:r w:rsidRPr="007576F0">
        <w:rPr>
          <w:rFonts w:ascii="標楷體" w:eastAsia="標楷體" w:hAnsi="標楷體"/>
          <w:szCs w:val="24"/>
        </w:rPr>
        <w:t xml:space="preserve"> 5mg及10mg)：（100/2/1、102/1/1、104/9/1、104/12/1、106/3/1、108/10/1、109/4/1</w:t>
      </w:r>
      <w:r w:rsidRPr="007576F0">
        <w:rPr>
          <w:rFonts w:ascii="標楷體" w:eastAsia="標楷體" w:hAnsi="標楷體" w:hint="eastAsia"/>
          <w:szCs w:val="24"/>
        </w:rPr>
        <w:t>、114/12/1</w:t>
      </w:r>
      <w:r w:rsidRPr="007576F0">
        <w:rPr>
          <w:rFonts w:ascii="標楷體" w:eastAsia="標楷體" w:hAnsi="標楷體"/>
          <w:szCs w:val="24"/>
        </w:rPr>
        <w:t>）</w:t>
      </w:r>
    </w:p>
    <w:p w14:paraId="756F34B7" w14:textId="77777777" w:rsidR="007576F0" w:rsidRPr="007576F0" w:rsidRDefault="007576F0" w:rsidP="007576F0">
      <w:pPr>
        <w:spacing w:line="300" w:lineRule="exact"/>
        <w:ind w:left="811" w:hanging="245"/>
        <w:rPr>
          <w:rFonts w:ascii="標楷體" w:eastAsia="標楷體" w:hAnsi="標楷體"/>
          <w:szCs w:val="24"/>
        </w:rPr>
      </w:pPr>
      <w:r w:rsidRPr="007576F0">
        <w:rPr>
          <w:rFonts w:ascii="標楷體" w:eastAsia="標楷體" w:hAnsi="標楷體"/>
          <w:szCs w:val="24"/>
        </w:rPr>
        <w:t>1.治療經VEGF-targeted療法無效後之</w:t>
      </w:r>
      <w:proofErr w:type="gramStart"/>
      <w:r w:rsidRPr="007576F0">
        <w:rPr>
          <w:rFonts w:ascii="標楷體" w:eastAsia="標楷體" w:hAnsi="標楷體"/>
          <w:szCs w:val="24"/>
        </w:rPr>
        <w:t>晚期腎</w:t>
      </w:r>
      <w:proofErr w:type="gramEnd"/>
      <w:r w:rsidRPr="007576F0">
        <w:rPr>
          <w:rFonts w:ascii="標楷體" w:eastAsia="標楷體" w:hAnsi="標楷體"/>
          <w:szCs w:val="24"/>
        </w:rPr>
        <w:t>細胞癌患者。</w:t>
      </w:r>
    </w:p>
    <w:p w14:paraId="46464E6F" w14:textId="77777777" w:rsidR="007576F0" w:rsidRPr="007576F0" w:rsidRDefault="007576F0" w:rsidP="007576F0">
      <w:pPr>
        <w:spacing w:line="300" w:lineRule="exact"/>
        <w:ind w:left="811" w:hanging="245"/>
        <w:rPr>
          <w:rFonts w:ascii="標楷體" w:eastAsia="標楷體" w:hAnsi="標楷體"/>
          <w:szCs w:val="24"/>
        </w:rPr>
      </w:pPr>
      <w:r w:rsidRPr="007576F0">
        <w:rPr>
          <w:rFonts w:ascii="標楷體" w:eastAsia="標楷體" w:hAnsi="標楷體"/>
          <w:szCs w:val="24"/>
        </w:rPr>
        <w:t>2.使用於胰臟神經內分泌腫瘤成人病患，需同時符合下列條件：（102/1/1）</w:t>
      </w:r>
    </w:p>
    <w:p w14:paraId="123BDF34" w14:textId="77777777" w:rsidR="007576F0" w:rsidRPr="007576F0" w:rsidRDefault="007576F0" w:rsidP="007576F0">
      <w:pPr>
        <w:spacing w:line="300" w:lineRule="exact"/>
        <w:ind w:left="1116" w:hanging="396"/>
        <w:rPr>
          <w:rFonts w:ascii="標楷體" w:eastAsia="標楷體" w:hAnsi="標楷體"/>
          <w:szCs w:val="24"/>
        </w:rPr>
      </w:pPr>
      <w:r w:rsidRPr="007576F0">
        <w:rPr>
          <w:rFonts w:ascii="標楷體" w:eastAsia="標楷體" w:hAnsi="標楷體"/>
          <w:szCs w:val="24"/>
        </w:rPr>
        <w:t>(1)無法切除或轉移的成人胰臟內分泌腫瘤，其分化程度為良好或中度，或WHO 2010年分類為G1、G2者。</w:t>
      </w:r>
    </w:p>
    <w:p w14:paraId="1DEE906E" w14:textId="77777777" w:rsidR="007576F0" w:rsidRPr="007576F0" w:rsidRDefault="007576F0" w:rsidP="007576F0">
      <w:pPr>
        <w:spacing w:line="300" w:lineRule="exact"/>
        <w:ind w:left="1116" w:hanging="396"/>
        <w:rPr>
          <w:rFonts w:ascii="標楷體" w:eastAsia="標楷體" w:hAnsi="標楷體"/>
          <w:szCs w:val="24"/>
        </w:rPr>
      </w:pPr>
      <w:r w:rsidRPr="007576F0">
        <w:rPr>
          <w:rFonts w:ascii="標楷體" w:eastAsia="標楷體" w:hAnsi="標楷體"/>
          <w:szCs w:val="24"/>
        </w:rPr>
        <w:t>(2)為進展性腫瘤，即過去12個月影像檢查為持續惡化者（RECIST定義為疾病惡化者）。</w:t>
      </w:r>
    </w:p>
    <w:p w14:paraId="64278AD3" w14:textId="77777777" w:rsidR="007576F0" w:rsidRPr="007576F0" w:rsidRDefault="007576F0" w:rsidP="007576F0">
      <w:pPr>
        <w:spacing w:line="300" w:lineRule="exact"/>
        <w:ind w:left="1116" w:hanging="396"/>
        <w:rPr>
          <w:rFonts w:ascii="標楷體" w:eastAsia="標楷體" w:hAnsi="標楷體"/>
          <w:szCs w:val="24"/>
        </w:rPr>
      </w:pPr>
      <w:r w:rsidRPr="007576F0">
        <w:rPr>
          <w:rFonts w:ascii="標楷體" w:eastAsia="標楷體" w:hAnsi="標楷體"/>
          <w:szCs w:val="24"/>
        </w:rPr>
        <w:t>(3)不可合併使用化學藥物或其他標靶藥物。</w:t>
      </w:r>
    </w:p>
    <w:p w14:paraId="5C05A9B3" w14:textId="77777777" w:rsidR="007576F0" w:rsidRPr="007576F0" w:rsidRDefault="007576F0" w:rsidP="007576F0">
      <w:pPr>
        <w:spacing w:line="300" w:lineRule="exact"/>
        <w:ind w:left="1116" w:hanging="396"/>
        <w:rPr>
          <w:rFonts w:ascii="標楷體" w:eastAsia="標楷體" w:hAnsi="標楷體"/>
          <w:szCs w:val="24"/>
        </w:rPr>
      </w:pPr>
      <w:r w:rsidRPr="007576F0">
        <w:rPr>
          <w:rFonts w:ascii="標楷體" w:eastAsia="標楷體" w:hAnsi="標楷體"/>
          <w:szCs w:val="24"/>
        </w:rPr>
        <w:t>(4)除因病人</w:t>
      </w:r>
      <w:proofErr w:type="gramStart"/>
      <w:r w:rsidRPr="007576F0">
        <w:rPr>
          <w:rFonts w:ascii="標楷體" w:eastAsia="標楷體" w:hAnsi="標楷體"/>
          <w:szCs w:val="24"/>
        </w:rPr>
        <w:t>使用本品後</w:t>
      </w:r>
      <w:proofErr w:type="gramEnd"/>
      <w:r w:rsidRPr="007576F0">
        <w:rPr>
          <w:rFonts w:ascii="標楷體" w:eastAsia="標楷體" w:hAnsi="標楷體"/>
          <w:szCs w:val="24"/>
        </w:rPr>
        <w:t>，發生嚴重不良反應或耐受不良之情形外，</w:t>
      </w:r>
      <w:proofErr w:type="gramStart"/>
      <w:r w:rsidRPr="007576F0">
        <w:rPr>
          <w:rFonts w:ascii="標楷體" w:eastAsia="標楷體" w:hAnsi="標楷體"/>
          <w:szCs w:val="24"/>
        </w:rPr>
        <w:t>本品與</w:t>
      </w:r>
      <w:proofErr w:type="gramEnd"/>
      <w:r w:rsidRPr="007576F0">
        <w:rPr>
          <w:rFonts w:ascii="標楷體" w:eastAsia="標楷體" w:hAnsi="標楷體"/>
          <w:szCs w:val="24"/>
        </w:rPr>
        <w:t>sunitinib不得轉換使用。</w:t>
      </w:r>
    </w:p>
    <w:p w14:paraId="604C2B31" w14:textId="77777777" w:rsidR="007576F0" w:rsidRPr="007576F0" w:rsidRDefault="007576F0" w:rsidP="007576F0">
      <w:pPr>
        <w:spacing w:line="300" w:lineRule="exact"/>
        <w:ind w:left="991" w:hanging="425"/>
        <w:rPr>
          <w:szCs w:val="24"/>
        </w:rPr>
      </w:pPr>
      <w:r w:rsidRPr="007576F0">
        <w:rPr>
          <w:rFonts w:ascii="標楷體" w:eastAsia="標楷體" w:hAnsi="標楷體"/>
          <w:szCs w:val="24"/>
        </w:rPr>
        <w:t>3.使用於無法切除、局部晚期或轉移之胃腸道或肺部來源之非功能性神經內分泌腫瘤成人病患，需同時符合下列條件：（108/10/1）</w:t>
      </w:r>
    </w:p>
    <w:p w14:paraId="6521D79B" w14:textId="77777777" w:rsidR="007576F0" w:rsidRPr="007576F0" w:rsidRDefault="007576F0" w:rsidP="007576F0">
      <w:pPr>
        <w:spacing w:line="300" w:lineRule="exact"/>
        <w:ind w:left="708"/>
        <w:rPr>
          <w:rFonts w:ascii="標楷體" w:eastAsia="標楷體" w:hAnsi="標楷體"/>
          <w:szCs w:val="24"/>
        </w:rPr>
      </w:pPr>
      <w:r w:rsidRPr="007576F0">
        <w:rPr>
          <w:rFonts w:ascii="標楷體" w:eastAsia="標楷體" w:hAnsi="標楷體"/>
          <w:szCs w:val="24"/>
        </w:rPr>
        <w:t>(1)腫瘤分化程度為良好者。</w:t>
      </w:r>
    </w:p>
    <w:p w14:paraId="5E594939" w14:textId="77777777" w:rsidR="007576F0" w:rsidRPr="007576F0" w:rsidRDefault="007576F0" w:rsidP="007576F0">
      <w:pPr>
        <w:spacing w:line="300" w:lineRule="exact"/>
        <w:ind w:left="1134" w:hanging="426"/>
        <w:rPr>
          <w:rFonts w:ascii="標楷體" w:eastAsia="標楷體" w:hAnsi="標楷體"/>
          <w:szCs w:val="24"/>
        </w:rPr>
      </w:pPr>
      <w:r w:rsidRPr="007576F0">
        <w:rPr>
          <w:rFonts w:ascii="標楷體" w:eastAsia="標楷體" w:hAnsi="標楷體"/>
          <w:szCs w:val="24"/>
        </w:rPr>
        <w:t>(2)為進展性腫瘤，即過去12個月影像檢查為持續惡化者（RECIST定義為疾病惡化者）。</w:t>
      </w:r>
    </w:p>
    <w:p w14:paraId="225AE979" w14:textId="77777777" w:rsidR="007576F0" w:rsidRPr="007576F0" w:rsidRDefault="007576F0" w:rsidP="007576F0">
      <w:pPr>
        <w:spacing w:line="300" w:lineRule="exact"/>
        <w:ind w:left="708"/>
        <w:rPr>
          <w:rFonts w:ascii="標楷體" w:eastAsia="標楷體" w:hAnsi="標楷體"/>
          <w:szCs w:val="24"/>
        </w:rPr>
      </w:pPr>
      <w:r w:rsidRPr="007576F0">
        <w:rPr>
          <w:rFonts w:ascii="標楷體" w:eastAsia="標楷體" w:hAnsi="標楷體"/>
          <w:szCs w:val="24"/>
        </w:rPr>
        <w:t>(3)不可合併使用化學藥物或其他標靶藥物。</w:t>
      </w:r>
    </w:p>
    <w:p w14:paraId="14BB91AA" w14:textId="77777777" w:rsidR="007576F0" w:rsidRPr="007576F0" w:rsidRDefault="007576F0" w:rsidP="007576F0">
      <w:pPr>
        <w:spacing w:line="300" w:lineRule="exact"/>
        <w:ind w:leftChars="235" w:left="850" w:hangingChars="119" w:hanging="286"/>
        <w:rPr>
          <w:rFonts w:ascii="標楷體" w:eastAsia="標楷體" w:hAnsi="標楷體"/>
          <w:szCs w:val="24"/>
        </w:rPr>
      </w:pPr>
      <w:r w:rsidRPr="007576F0">
        <w:rPr>
          <w:rFonts w:ascii="標楷體" w:eastAsia="標楷體" w:hAnsi="標楷體" w:hint="eastAsia"/>
          <w:szCs w:val="24"/>
        </w:rPr>
        <w:t>4.與</w:t>
      </w:r>
      <w:r w:rsidRPr="007576F0">
        <w:rPr>
          <w:rFonts w:ascii="標楷體" w:eastAsia="標楷體" w:hAnsi="標楷體"/>
          <w:szCs w:val="24"/>
        </w:rPr>
        <w:t>exemestane</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用，作為先前已使用過非類固醇類之芳香環酶抑制劑治療無效，而未曾使用</w:t>
      </w:r>
      <w:r w:rsidRPr="007576F0">
        <w:rPr>
          <w:rFonts w:ascii="標楷體" w:eastAsia="標楷體" w:hAnsi="標楷體"/>
          <w:szCs w:val="24"/>
        </w:rPr>
        <w:t>exemestane</w:t>
      </w:r>
      <w:r w:rsidRPr="007576F0">
        <w:rPr>
          <w:rFonts w:ascii="標楷體" w:eastAsia="標楷體" w:hAnsi="標楷體" w:hint="eastAsia"/>
          <w:szCs w:val="24"/>
        </w:rPr>
        <w:t>之荷爾蒙接受體陽性、</w:t>
      </w:r>
      <w:r w:rsidRPr="007576F0">
        <w:rPr>
          <w:rFonts w:ascii="標楷體" w:eastAsia="標楷體" w:hAnsi="標楷體"/>
          <w:szCs w:val="24"/>
        </w:rPr>
        <w:t>HER2</w:t>
      </w:r>
      <w:r w:rsidRPr="007576F0">
        <w:rPr>
          <w:rFonts w:ascii="標楷體" w:eastAsia="標楷體" w:hAnsi="標楷體" w:hint="eastAsia"/>
          <w:szCs w:val="24"/>
        </w:rPr>
        <w:t>受體陰性且尚未出現器官轉移危急症狀</w:t>
      </w:r>
      <w:r w:rsidRPr="007576F0">
        <w:rPr>
          <w:rFonts w:ascii="標楷體" w:eastAsia="標楷體" w:hAnsi="標楷體"/>
          <w:szCs w:val="24"/>
        </w:rPr>
        <w:t xml:space="preserve"> (visceral crisis)</w:t>
      </w:r>
      <w:r w:rsidRPr="007576F0">
        <w:rPr>
          <w:rFonts w:ascii="標楷體" w:eastAsia="標楷體" w:hAnsi="標楷體" w:hint="eastAsia"/>
          <w:szCs w:val="24"/>
        </w:rPr>
        <w:t>之轉移性乳癌病人的治療。</w:t>
      </w:r>
      <w:proofErr w:type="gramStart"/>
      <w:r w:rsidRPr="007576F0">
        <w:rPr>
          <w:rFonts w:ascii="標楷體" w:eastAsia="標楷體" w:hAnsi="標楷體" w:hint="eastAsia"/>
          <w:szCs w:val="24"/>
        </w:rPr>
        <w:t>本品與</w:t>
      </w:r>
      <w:proofErr w:type="spellStart"/>
      <w:proofErr w:type="gramEnd"/>
      <w:r w:rsidRPr="007576F0">
        <w:rPr>
          <w:rFonts w:ascii="標楷體" w:eastAsia="標楷體" w:hAnsi="標楷體"/>
          <w:szCs w:val="24"/>
        </w:rPr>
        <w:t>tucidinostat</w:t>
      </w:r>
      <w:proofErr w:type="spellEnd"/>
      <w:r w:rsidRPr="007576F0">
        <w:rPr>
          <w:rFonts w:ascii="標楷體" w:eastAsia="標楷體" w:hAnsi="標楷體" w:hint="eastAsia"/>
          <w:szCs w:val="24"/>
        </w:rPr>
        <w:t>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使用，</w:t>
      </w:r>
      <w:proofErr w:type="gramStart"/>
      <w:r w:rsidRPr="007576F0">
        <w:rPr>
          <w:rFonts w:ascii="標楷體" w:eastAsia="標楷體" w:hAnsi="標楷體" w:hint="eastAsia"/>
          <w:szCs w:val="24"/>
        </w:rPr>
        <w:t>除因耐受</w:t>
      </w:r>
      <w:proofErr w:type="gramEnd"/>
      <w:r w:rsidRPr="007576F0">
        <w:rPr>
          <w:rFonts w:ascii="標楷體" w:eastAsia="標楷體" w:hAnsi="標楷體" w:hint="eastAsia"/>
          <w:szCs w:val="24"/>
        </w:rPr>
        <w:t>性不良，不得互換；且</w:t>
      </w:r>
      <w:proofErr w:type="gramStart"/>
      <w:r w:rsidRPr="007576F0">
        <w:rPr>
          <w:rFonts w:ascii="標楷體" w:eastAsia="標楷體" w:hAnsi="標楷體" w:hint="eastAsia"/>
          <w:szCs w:val="24"/>
        </w:rPr>
        <w:t>使用本品無效</w:t>
      </w:r>
      <w:proofErr w:type="gramEnd"/>
      <w:r w:rsidRPr="007576F0">
        <w:rPr>
          <w:rFonts w:ascii="標楷體" w:eastAsia="標楷體" w:hAnsi="標楷體" w:hint="eastAsia"/>
          <w:szCs w:val="24"/>
        </w:rPr>
        <w:t>後，不得申請</w:t>
      </w:r>
      <w:r w:rsidRPr="007576F0">
        <w:rPr>
          <w:rFonts w:ascii="標楷體" w:eastAsia="標楷體" w:hAnsi="標楷體"/>
          <w:szCs w:val="24"/>
        </w:rPr>
        <w:t xml:space="preserve"> CDK4/6 </w:t>
      </w:r>
      <w:r w:rsidRPr="007576F0">
        <w:rPr>
          <w:rFonts w:ascii="標楷體" w:eastAsia="標楷體" w:hAnsi="標楷體" w:hint="eastAsia"/>
          <w:szCs w:val="24"/>
        </w:rPr>
        <w:t>抑制劑藥品（</w:t>
      </w:r>
      <w:r w:rsidRPr="007576F0">
        <w:rPr>
          <w:rFonts w:ascii="標楷體" w:eastAsia="標楷體" w:hAnsi="標楷體"/>
          <w:szCs w:val="24"/>
        </w:rPr>
        <w:t>104/9/1</w:t>
      </w:r>
      <w:r w:rsidRPr="007576F0">
        <w:rPr>
          <w:rFonts w:ascii="標楷體" w:eastAsia="標楷體" w:hAnsi="標楷體" w:hint="eastAsia"/>
          <w:szCs w:val="24"/>
        </w:rPr>
        <w:t>、</w:t>
      </w:r>
      <w:r w:rsidRPr="007576F0">
        <w:rPr>
          <w:rFonts w:ascii="標楷體" w:eastAsia="標楷體" w:hAnsi="標楷體"/>
          <w:szCs w:val="24"/>
        </w:rPr>
        <w:t>109/4/1</w:t>
      </w:r>
      <w:r w:rsidRPr="007576F0">
        <w:rPr>
          <w:rFonts w:ascii="標楷體" w:eastAsia="標楷體" w:hAnsi="標楷體" w:hint="eastAsia"/>
          <w:szCs w:val="24"/>
        </w:rPr>
        <w:t>、114/12/1</w:t>
      </w:r>
      <w:r w:rsidRPr="007576F0">
        <w:rPr>
          <w:rFonts w:ascii="標楷體" w:eastAsia="標楷體" w:hAnsi="標楷體"/>
          <w:szCs w:val="24"/>
        </w:rPr>
        <w:t>）</w:t>
      </w:r>
    </w:p>
    <w:p w14:paraId="7ACFDDE7" w14:textId="77777777" w:rsidR="007576F0" w:rsidRPr="007576F0" w:rsidRDefault="007576F0" w:rsidP="007576F0">
      <w:pPr>
        <w:spacing w:line="300" w:lineRule="exact"/>
        <w:ind w:leftChars="235" w:left="850" w:hangingChars="119" w:hanging="286"/>
        <w:rPr>
          <w:rFonts w:ascii="標楷體" w:eastAsia="標楷體" w:hAnsi="標楷體"/>
          <w:szCs w:val="24"/>
        </w:rPr>
      </w:pPr>
      <w:r w:rsidRPr="007576F0">
        <w:rPr>
          <w:rFonts w:ascii="標楷體" w:eastAsia="標楷體" w:hAnsi="標楷體" w:hint="eastAsia"/>
          <w:szCs w:val="24"/>
        </w:rPr>
        <w:t>5.除</w:t>
      </w:r>
      <w:proofErr w:type="gramStart"/>
      <w:r w:rsidRPr="007576F0">
        <w:rPr>
          <w:rFonts w:ascii="標楷體" w:eastAsia="標楷體" w:hAnsi="標楷體" w:hint="eastAsia"/>
          <w:szCs w:val="24"/>
        </w:rPr>
        <w:t>晚期腎</w:t>
      </w:r>
      <w:proofErr w:type="gramEnd"/>
      <w:r w:rsidRPr="007576F0">
        <w:rPr>
          <w:rFonts w:ascii="標楷體" w:eastAsia="標楷體" w:hAnsi="標楷體" w:hint="eastAsia"/>
          <w:szCs w:val="24"/>
        </w:rPr>
        <w:t>細胞癌之外，其他疾病需經事前審查核准後使用，每次申請之療程以3個月為限。初次申請時需檢送病理報告及影像報告，之後每3個月申請一次，再次申請時需檢附影像資料及前次治療結果評估資料證實無惡化，才可繼續使用。(104/12/1、108/10/1)</w:t>
      </w:r>
    </w:p>
    <w:p w14:paraId="1380DB23" w14:textId="77777777" w:rsidR="007576F0" w:rsidRPr="007576F0" w:rsidRDefault="007576F0" w:rsidP="007576F0">
      <w:pPr>
        <w:spacing w:line="300" w:lineRule="exact"/>
        <w:ind w:left="811" w:hanging="245"/>
      </w:pPr>
      <w:r w:rsidRPr="007576F0">
        <w:rPr>
          <w:rFonts w:ascii="標楷體" w:eastAsia="標楷體" w:hAnsi="標楷體" w:hint="eastAsia"/>
          <w:szCs w:val="24"/>
        </w:rPr>
        <w:t>6.限每日最大劑量為10mg。（108/10/1）</w:t>
      </w:r>
    </w:p>
    <w:p w14:paraId="516376B3" w14:textId="77777777" w:rsidR="007576F0" w:rsidRPr="007576F0" w:rsidRDefault="007576F0" w:rsidP="007576F0">
      <w:pPr>
        <w:spacing w:line="300" w:lineRule="exact"/>
        <w:ind w:left="672" w:hanging="386"/>
        <w:rPr>
          <w:rFonts w:ascii="標楷體" w:eastAsia="標楷體" w:hAnsi="標楷體"/>
          <w:szCs w:val="24"/>
        </w:rPr>
      </w:pPr>
      <w:r w:rsidRPr="007576F0">
        <w:rPr>
          <w:rFonts w:ascii="標楷體" w:eastAsia="標楷體" w:hAnsi="標楷體"/>
          <w:szCs w:val="24"/>
        </w:rPr>
        <w:t>9.36.2.Everolimus 2.5mg及5mg(如</w:t>
      </w:r>
      <w:proofErr w:type="spellStart"/>
      <w:r w:rsidRPr="007576F0">
        <w:rPr>
          <w:rFonts w:ascii="標楷體" w:eastAsia="標楷體" w:hAnsi="標楷體"/>
          <w:szCs w:val="24"/>
        </w:rPr>
        <w:t>Votubia</w:t>
      </w:r>
      <w:proofErr w:type="spellEnd"/>
      <w:r w:rsidRPr="007576F0">
        <w:rPr>
          <w:rFonts w:ascii="標楷體" w:eastAsia="標楷體" w:hAnsi="標楷體"/>
          <w:szCs w:val="24"/>
        </w:rPr>
        <w:t>)：（102/1/1、106/4/1、111/2/1）</w:t>
      </w:r>
    </w:p>
    <w:p w14:paraId="6FCD9893" w14:textId="77777777" w:rsidR="007576F0" w:rsidRPr="007576F0" w:rsidRDefault="007576F0" w:rsidP="007576F0">
      <w:pPr>
        <w:spacing w:line="300" w:lineRule="exact"/>
        <w:ind w:left="811" w:hanging="245"/>
        <w:rPr>
          <w:rFonts w:ascii="標楷體" w:eastAsia="標楷體" w:hAnsi="標楷體"/>
          <w:szCs w:val="24"/>
        </w:rPr>
      </w:pPr>
      <w:r w:rsidRPr="007576F0">
        <w:rPr>
          <w:rFonts w:ascii="標楷體" w:eastAsia="標楷體" w:hAnsi="標楷體"/>
          <w:szCs w:val="24"/>
        </w:rPr>
        <w:t>1.治療患有結節性硬化症(tuberous sclerosis)之腦</w:t>
      </w:r>
      <w:proofErr w:type="gramStart"/>
      <w:r w:rsidRPr="007576F0">
        <w:rPr>
          <w:rFonts w:ascii="標楷體" w:eastAsia="標楷體" w:hAnsi="標楷體"/>
          <w:szCs w:val="24"/>
        </w:rPr>
        <w:t>室管膜下巨</w:t>
      </w:r>
      <w:proofErr w:type="gramEnd"/>
      <w:r w:rsidRPr="007576F0">
        <w:rPr>
          <w:rFonts w:ascii="標楷體" w:eastAsia="標楷體" w:hAnsi="標楷體"/>
          <w:szCs w:val="24"/>
        </w:rPr>
        <w:t>細胞星狀瘤(SEGA: subependymal giant cell astrocytoma)：</w:t>
      </w:r>
    </w:p>
    <w:p w14:paraId="3D6340A7" w14:textId="77777777" w:rsidR="007576F0" w:rsidRPr="007576F0" w:rsidRDefault="007576F0" w:rsidP="007576F0">
      <w:pPr>
        <w:spacing w:line="300" w:lineRule="exact"/>
        <w:ind w:left="1133" w:hanging="425"/>
        <w:rPr>
          <w:rFonts w:ascii="標楷體" w:eastAsia="標楷體" w:hAnsi="標楷體"/>
          <w:szCs w:val="24"/>
        </w:rPr>
      </w:pPr>
      <w:r w:rsidRPr="007576F0">
        <w:rPr>
          <w:rFonts w:ascii="標楷體" w:eastAsia="標楷體" w:hAnsi="標楷體"/>
          <w:szCs w:val="24"/>
        </w:rPr>
        <w:t>(1)限</w:t>
      </w:r>
      <w:proofErr w:type="gramStart"/>
      <w:r w:rsidRPr="007576F0">
        <w:rPr>
          <w:rFonts w:ascii="標楷體" w:eastAsia="標楷體" w:hAnsi="標楷體"/>
          <w:szCs w:val="24"/>
        </w:rPr>
        <w:t>併</w:t>
      </w:r>
      <w:proofErr w:type="gramEnd"/>
      <w:r w:rsidRPr="007576F0">
        <w:rPr>
          <w:rFonts w:ascii="標楷體" w:eastAsia="標楷體" w:hAnsi="標楷體"/>
          <w:szCs w:val="24"/>
        </w:rPr>
        <w:t>有水腦症狀或其他顯著神經學症狀，且經神經外科專科醫師評估不適合接受或無法以外科切除手術的患者使用。</w:t>
      </w:r>
    </w:p>
    <w:p w14:paraId="23B42D3F" w14:textId="77777777" w:rsidR="007576F0" w:rsidRPr="007576F0" w:rsidRDefault="007576F0" w:rsidP="007576F0">
      <w:pPr>
        <w:spacing w:line="300" w:lineRule="exact"/>
        <w:ind w:left="1133" w:hanging="425"/>
        <w:rPr>
          <w:rFonts w:ascii="標楷體" w:eastAsia="標楷體" w:hAnsi="標楷體"/>
          <w:szCs w:val="24"/>
        </w:rPr>
      </w:pPr>
      <w:r w:rsidRPr="007576F0">
        <w:rPr>
          <w:rFonts w:ascii="標楷體" w:eastAsia="標楷體" w:hAnsi="標楷體"/>
          <w:szCs w:val="24"/>
        </w:rPr>
        <w:t>(2)需經事前審查核准後使用，每次申請之療程以6個月為限，申請時需檢送影像檢查資料。</w:t>
      </w:r>
    </w:p>
    <w:p w14:paraId="523896EA" w14:textId="77777777" w:rsidR="007576F0" w:rsidRPr="007576F0" w:rsidRDefault="007576F0" w:rsidP="007576F0">
      <w:pPr>
        <w:spacing w:line="300" w:lineRule="exact"/>
        <w:ind w:left="1133" w:hanging="425"/>
        <w:rPr>
          <w:rFonts w:ascii="標楷體" w:eastAsia="標楷體" w:hAnsi="標楷體"/>
          <w:szCs w:val="24"/>
        </w:rPr>
      </w:pPr>
      <w:r w:rsidRPr="007576F0">
        <w:rPr>
          <w:rFonts w:ascii="標楷體" w:eastAsia="標楷體" w:hAnsi="標楷體"/>
          <w:szCs w:val="24"/>
        </w:rPr>
        <w:lastRenderedPageBreak/>
        <w:t>(3)申請續用時，除需檢送治療前後之影像資料，且再經神經外科專科醫師評估，其仍不適合接受或無法以外科切除手術者，始得續用。</w:t>
      </w:r>
    </w:p>
    <w:p w14:paraId="60025E5B" w14:textId="77777777" w:rsidR="007576F0" w:rsidRPr="007576F0" w:rsidRDefault="007576F0" w:rsidP="007576F0">
      <w:pPr>
        <w:spacing w:line="300" w:lineRule="exact"/>
        <w:ind w:left="1133" w:hanging="425"/>
        <w:rPr>
          <w:rFonts w:ascii="標楷體" w:eastAsia="標楷體" w:hAnsi="標楷體"/>
          <w:szCs w:val="24"/>
        </w:rPr>
      </w:pPr>
      <w:r w:rsidRPr="007576F0">
        <w:rPr>
          <w:rFonts w:ascii="標楷體" w:eastAsia="標楷體" w:hAnsi="標楷體"/>
          <w:szCs w:val="24"/>
        </w:rPr>
        <w:t>(4)用藥後，若病情無法持續改善或疾病已惡化，則不予同意使用。</w:t>
      </w:r>
    </w:p>
    <w:p w14:paraId="55EAB09C" w14:textId="77777777" w:rsidR="007576F0" w:rsidRPr="007576F0" w:rsidRDefault="007576F0" w:rsidP="007576F0">
      <w:pPr>
        <w:spacing w:line="300" w:lineRule="exact"/>
        <w:ind w:left="809" w:hanging="245"/>
        <w:rPr>
          <w:rFonts w:ascii="標楷體" w:eastAsia="標楷體" w:hAnsi="標楷體"/>
          <w:szCs w:val="24"/>
        </w:rPr>
      </w:pPr>
      <w:r w:rsidRPr="007576F0">
        <w:rPr>
          <w:rFonts w:ascii="標楷體" w:eastAsia="標楷體" w:hAnsi="標楷體"/>
          <w:szCs w:val="24"/>
        </w:rPr>
        <w:t>2.結節性硬化症</w:t>
      </w:r>
      <w:proofErr w:type="gramStart"/>
      <w:r w:rsidRPr="007576F0">
        <w:rPr>
          <w:rFonts w:ascii="標楷體" w:eastAsia="標楷體" w:hAnsi="標楷體"/>
          <w:szCs w:val="24"/>
        </w:rPr>
        <w:t>併</w:t>
      </w:r>
      <w:proofErr w:type="gramEnd"/>
      <w:r w:rsidRPr="007576F0">
        <w:rPr>
          <w:rFonts w:ascii="標楷體" w:eastAsia="標楷體" w:hAnsi="標楷體"/>
          <w:szCs w:val="24"/>
        </w:rPr>
        <w:t>有腎血管</w:t>
      </w:r>
      <w:proofErr w:type="gramStart"/>
      <w:r w:rsidRPr="007576F0">
        <w:rPr>
          <w:rFonts w:ascii="標楷體" w:eastAsia="標楷體" w:hAnsi="標楷體"/>
          <w:szCs w:val="24"/>
        </w:rPr>
        <w:t>肌</w:t>
      </w:r>
      <w:proofErr w:type="gramEnd"/>
      <w:r w:rsidRPr="007576F0">
        <w:rPr>
          <w:rFonts w:ascii="標楷體" w:eastAsia="標楷體" w:hAnsi="標楷體"/>
          <w:szCs w:val="24"/>
        </w:rPr>
        <w:t>脂肪瘤之成年病患，且需符合以下條件(106/4/1、111/2/1)：</w:t>
      </w:r>
    </w:p>
    <w:p w14:paraId="27862B90" w14:textId="77777777" w:rsidR="007576F0" w:rsidRPr="007576F0" w:rsidRDefault="007576F0" w:rsidP="007576F0">
      <w:pPr>
        <w:spacing w:line="300" w:lineRule="exact"/>
        <w:ind w:left="1133" w:hanging="425"/>
      </w:pPr>
      <w:r w:rsidRPr="007576F0">
        <w:rPr>
          <w:rFonts w:ascii="標楷體" w:eastAsia="標楷體" w:hAnsi="標楷體"/>
          <w:szCs w:val="24"/>
        </w:rPr>
        <w:t>(1)</w:t>
      </w:r>
      <w:r w:rsidRPr="007576F0">
        <w:t xml:space="preserve"> </w:t>
      </w:r>
      <w:r w:rsidRPr="007576F0">
        <w:rPr>
          <w:rFonts w:ascii="標楷體" w:eastAsia="標楷體" w:hAnsi="標楷體"/>
          <w:szCs w:val="24"/>
        </w:rPr>
        <w:t>限18歲以上病人，</w:t>
      </w:r>
      <w:proofErr w:type="gramStart"/>
      <w:r w:rsidRPr="007576F0">
        <w:rPr>
          <w:rFonts w:ascii="標楷體" w:eastAsia="標楷體" w:hAnsi="標楷體"/>
          <w:szCs w:val="24"/>
        </w:rPr>
        <w:t>其腎血管肌脂肪瘤最</w:t>
      </w:r>
      <w:proofErr w:type="gramEnd"/>
      <w:r w:rsidRPr="007576F0">
        <w:rPr>
          <w:rFonts w:ascii="標楷體" w:eastAsia="標楷體" w:hAnsi="標楷體"/>
          <w:szCs w:val="24"/>
        </w:rPr>
        <w:t>長直徑已達4cm(含)以上且仍有持續進展之證據，且曾有發生臨床上有意義之出血或確認病灶有血管瘤(aneurysm)直徑</w:t>
      </w:r>
      <w:r w:rsidRPr="007576F0">
        <w:rPr>
          <w:rFonts w:ascii="Times New Roman" w:eastAsia="標楷體" w:hAnsi="Times New Roman"/>
          <w:szCs w:val="24"/>
        </w:rPr>
        <w:t>≥</w:t>
      </w:r>
      <w:r w:rsidRPr="007576F0">
        <w:rPr>
          <w:rFonts w:ascii="標楷體" w:eastAsia="標楷體" w:hAnsi="標楷體"/>
          <w:szCs w:val="24"/>
        </w:rPr>
        <w:t>5mm者，病灶不只一處，且經腎臟或泌尿專科醫師評估無法以外科手術或動脈栓塞治療，或經動脈栓塞治療或外科手術後無效或復發者(111/2/1)。</w:t>
      </w:r>
    </w:p>
    <w:p w14:paraId="6141F373" w14:textId="77777777" w:rsidR="007576F0" w:rsidRPr="007576F0" w:rsidRDefault="007576F0" w:rsidP="007576F0">
      <w:pPr>
        <w:spacing w:line="300" w:lineRule="exact"/>
        <w:ind w:left="1133" w:hanging="425"/>
        <w:rPr>
          <w:rFonts w:ascii="標楷體" w:eastAsia="標楷體" w:hAnsi="標楷體"/>
          <w:szCs w:val="24"/>
        </w:rPr>
      </w:pPr>
      <w:r w:rsidRPr="007576F0">
        <w:rPr>
          <w:rFonts w:ascii="標楷體" w:eastAsia="標楷體" w:hAnsi="標楷體"/>
          <w:szCs w:val="24"/>
        </w:rPr>
        <w:t>(2)需經事前審查核准後使用，每次申請之療程以6個月為限，申請時需檢送影像檢查(CT或MRI)資料。</w:t>
      </w:r>
    </w:p>
    <w:p w14:paraId="3A256F33" w14:textId="77777777" w:rsidR="007576F0" w:rsidRPr="007576F0" w:rsidRDefault="007576F0" w:rsidP="007576F0">
      <w:pPr>
        <w:spacing w:line="300" w:lineRule="exact"/>
        <w:ind w:left="1133" w:hanging="425"/>
        <w:rPr>
          <w:rFonts w:ascii="標楷體" w:eastAsia="標楷體" w:hAnsi="標楷體"/>
          <w:szCs w:val="24"/>
        </w:rPr>
      </w:pPr>
      <w:r w:rsidRPr="007576F0">
        <w:rPr>
          <w:rFonts w:ascii="標楷體" w:eastAsia="標楷體" w:hAnsi="標楷體"/>
          <w:szCs w:val="24"/>
        </w:rPr>
        <w:t>(3)使用後</w:t>
      </w:r>
      <w:proofErr w:type="gramStart"/>
      <w:r w:rsidRPr="007576F0">
        <w:rPr>
          <w:rFonts w:ascii="標楷體" w:eastAsia="標楷體" w:hAnsi="標楷體"/>
          <w:szCs w:val="24"/>
        </w:rPr>
        <w:t>需每24週</w:t>
      </w:r>
      <w:proofErr w:type="gramEnd"/>
      <w:r w:rsidRPr="007576F0">
        <w:rPr>
          <w:rFonts w:ascii="標楷體" w:eastAsia="標楷體" w:hAnsi="標楷體"/>
          <w:szCs w:val="24"/>
        </w:rPr>
        <w:t>評估一次，申請續用時，除檢送治療前之影像資料，需檢送治療後(第24</w:t>
      </w:r>
      <w:proofErr w:type="gramStart"/>
      <w:r w:rsidRPr="007576F0">
        <w:rPr>
          <w:rFonts w:ascii="標楷體" w:eastAsia="標楷體" w:hAnsi="標楷體"/>
          <w:szCs w:val="24"/>
        </w:rPr>
        <w:t>週</w:t>
      </w:r>
      <w:proofErr w:type="gramEnd"/>
      <w:r w:rsidRPr="007576F0">
        <w:rPr>
          <w:rFonts w:ascii="標楷體" w:eastAsia="標楷體" w:hAnsi="標楷體"/>
          <w:szCs w:val="24"/>
        </w:rPr>
        <w:t>、48</w:t>
      </w:r>
      <w:proofErr w:type="gramStart"/>
      <w:r w:rsidRPr="007576F0">
        <w:rPr>
          <w:rFonts w:ascii="標楷體" w:eastAsia="標楷體" w:hAnsi="標楷體"/>
          <w:szCs w:val="24"/>
        </w:rPr>
        <w:t>週</w:t>
      </w:r>
      <w:proofErr w:type="gramEnd"/>
      <w:r w:rsidRPr="007576F0">
        <w:rPr>
          <w:rFonts w:ascii="標楷體" w:eastAsia="標楷體" w:hAnsi="標楷體"/>
          <w:szCs w:val="24"/>
        </w:rPr>
        <w:t>、72</w:t>
      </w:r>
      <w:proofErr w:type="gramStart"/>
      <w:r w:rsidRPr="007576F0">
        <w:rPr>
          <w:rFonts w:ascii="標楷體" w:eastAsia="標楷體" w:hAnsi="標楷體"/>
          <w:szCs w:val="24"/>
        </w:rPr>
        <w:t>週</w:t>
      </w:r>
      <w:proofErr w:type="gramEnd"/>
      <w:r w:rsidRPr="007576F0">
        <w:rPr>
          <w:rFonts w:ascii="標楷體" w:eastAsia="標楷體" w:hAnsi="標楷體"/>
          <w:szCs w:val="24"/>
        </w:rPr>
        <w:t>…等)之影像檢查資料，若腫瘤總體積較治療前降低30%(含)以上，且無新增直徑1公分以上的腫瘤或grade2(含)以上腫瘤出血併發症，始得申請續用。(</w:t>
      </w:r>
      <w:proofErr w:type="gramStart"/>
      <w:r w:rsidRPr="007576F0">
        <w:rPr>
          <w:rFonts w:ascii="標楷體" w:eastAsia="標楷體" w:hAnsi="標楷體"/>
          <w:szCs w:val="24"/>
        </w:rPr>
        <w:t>註</w:t>
      </w:r>
      <w:proofErr w:type="gramEnd"/>
      <w:r w:rsidRPr="007576F0">
        <w:rPr>
          <w:rFonts w:ascii="標楷體" w:eastAsia="標楷體" w:hAnsi="標楷體"/>
          <w:szCs w:val="24"/>
        </w:rPr>
        <w:t>：腫瘤出血併發症分級(grading)定義依Common Terminology Criteria for Adverse Events(CTCAE), version4.0.)</w:t>
      </w:r>
    </w:p>
    <w:p w14:paraId="4927CAFF" w14:textId="77777777" w:rsidR="007576F0" w:rsidRPr="007576F0" w:rsidRDefault="007576F0" w:rsidP="007576F0">
      <w:pPr>
        <w:spacing w:line="300" w:lineRule="exact"/>
        <w:ind w:left="1133" w:hanging="425"/>
      </w:pPr>
      <w:r w:rsidRPr="007576F0">
        <w:rPr>
          <w:rFonts w:ascii="標楷體" w:eastAsia="標楷體" w:hAnsi="標楷體"/>
          <w:szCs w:val="24"/>
        </w:rPr>
        <w:t>(4)限每日最大劑量為10mg。</w:t>
      </w:r>
    </w:p>
    <w:p w14:paraId="16A37FD1" w14:textId="77777777" w:rsidR="007576F0" w:rsidRPr="007576F0" w:rsidRDefault="007576F0" w:rsidP="007576F0">
      <w:pPr>
        <w:spacing w:line="300" w:lineRule="exact"/>
        <w:ind w:left="709" w:hanging="353"/>
        <w:rPr>
          <w:rFonts w:ascii="標楷體" w:eastAsia="標楷體" w:hAnsi="標楷體"/>
          <w:color w:val="000000"/>
        </w:rPr>
      </w:pPr>
      <w:bookmarkStart w:id="42" w:name="_Hlk209192660"/>
      <w:r w:rsidRPr="007576F0">
        <w:rPr>
          <w:rFonts w:ascii="標楷體" w:eastAsia="標楷體" w:hAnsi="標楷體"/>
          <w:color w:val="000000"/>
        </w:rPr>
        <w:t>9.37.Bevacizumab(如Avastin)：</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100/6/1、101/05/1、106/4/1、108/3/1、109/6/1、112/8/1、113/3/1、113/6/1、113/9/1、114/3/1、114/6/1</w:t>
      </w:r>
      <w:r w:rsidRPr="007576F0">
        <w:rPr>
          <w:rFonts w:ascii="標楷體" w:eastAsia="標楷體" w:hAnsi="標楷體" w:hint="eastAsia"/>
          <w:color w:val="000000"/>
        </w:rPr>
        <w:t>、114/8/1、114/10/1</w:t>
      </w:r>
      <w:r w:rsidRPr="007576F0">
        <w:rPr>
          <w:rFonts w:ascii="標楷體" w:eastAsia="標楷體" w:hAnsi="標楷體"/>
          <w:color w:val="000000"/>
        </w:rPr>
        <w:t>)</w:t>
      </w:r>
    </w:p>
    <w:p w14:paraId="196B2CFA" w14:textId="77777777" w:rsidR="007576F0" w:rsidRPr="007576F0" w:rsidRDefault="007576F0" w:rsidP="007576F0">
      <w:pPr>
        <w:spacing w:line="300" w:lineRule="exact"/>
        <w:ind w:left="709" w:hanging="245"/>
        <w:rPr>
          <w:rFonts w:ascii="標楷體" w:eastAsia="標楷體" w:hAnsi="標楷體"/>
          <w:color w:val="000000"/>
        </w:rPr>
      </w:pPr>
      <w:r w:rsidRPr="007576F0">
        <w:rPr>
          <w:rFonts w:ascii="標楷體" w:eastAsia="標楷體" w:hAnsi="標楷體"/>
          <w:color w:val="000000"/>
        </w:rPr>
        <w:t>1.轉移性大腸或直腸癌：</w:t>
      </w:r>
    </w:p>
    <w:p w14:paraId="3FA92134"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color w:val="000000"/>
        </w:rPr>
        <w:t>(1)Bevacizumab與FOLFIRI（</w:t>
      </w:r>
      <w:proofErr w:type="spellStart"/>
      <w:r w:rsidRPr="007576F0">
        <w:rPr>
          <w:rFonts w:ascii="標楷體" w:eastAsia="標楷體" w:hAnsi="標楷體"/>
          <w:color w:val="000000"/>
        </w:rPr>
        <w:t>Folinicacid</w:t>
      </w:r>
      <w:proofErr w:type="spellEnd"/>
      <w:r w:rsidRPr="007576F0">
        <w:rPr>
          <w:rFonts w:ascii="標楷體" w:eastAsia="標楷體" w:hAnsi="標楷體"/>
          <w:color w:val="000000"/>
        </w:rPr>
        <w:t>/5-fluorouracil/irinotecan）或FOLFOX（</w:t>
      </w:r>
      <w:proofErr w:type="spellStart"/>
      <w:r w:rsidRPr="007576F0">
        <w:rPr>
          <w:rFonts w:ascii="標楷體" w:eastAsia="標楷體" w:hAnsi="標楷體"/>
          <w:color w:val="000000"/>
        </w:rPr>
        <w:t>Folinicacid</w:t>
      </w:r>
      <w:proofErr w:type="spellEnd"/>
      <w:r w:rsidRPr="007576F0">
        <w:rPr>
          <w:rFonts w:ascii="標楷體" w:eastAsia="標楷體" w:hAnsi="標楷體"/>
          <w:color w:val="000000"/>
        </w:rPr>
        <w:t>/5-fluorouracil/oxaliplatin）或5-fluorouracil/leucovorin的化學療法合併使用，作為轉移性大腸或直腸癌患者的第一線治療。(108/3/1)</w:t>
      </w:r>
    </w:p>
    <w:p w14:paraId="566B8C13" w14:textId="77777777" w:rsidR="007576F0" w:rsidRPr="007576F0" w:rsidRDefault="007576F0" w:rsidP="007576F0">
      <w:pPr>
        <w:spacing w:line="300" w:lineRule="exact"/>
        <w:ind w:left="1654" w:hanging="336"/>
        <w:rPr>
          <w:rFonts w:ascii="標楷體" w:eastAsia="標楷體" w:hAnsi="標楷體"/>
          <w:color w:val="000000"/>
        </w:rPr>
      </w:pPr>
      <w:r w:rsidRPr="007576F0">
        <w:rPr>
          <w:rFonts w:ascii="標楷體" w:eastAsia="標楷體" w:hAnsi="標楷體"/>
          <w:color w:val="000000"/>
        </w:rPr>
        <w:t>Ⅰ.使用總療程以36</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為上限(106/4/1)。</w:t>
      </w:r>
    </w:p>
    <w:p w14:paraId="76E999FA" w14:textId="77777777" w:rsidR="007576F0" w:rsidRPr="007576F0" w:rsidRDefault="007576F0" w:rsidP="007576F0">
      <w:pPr>
        <w:spacing w:line="300" w:lineRule="exact"/>
        <w:ind w:left="1654" w:hanging="336"/>
        <w:rPr>
          <w:rFonts w:ascii="標楷體" w:eastAsia="標楷體" w:hAnsi="標楷體"/>
          <w:color w:val="000000"/>
        </w:rPr>
      </w:pPr>
      <w:r w:rsidRPr="007576F0">
        <w:rPr>
          <w:rFonts w:ascii="標楷體" w:eastAsia="標楷體" w:hAnsi="標楷體"/>
          <w:color w:val="000000"/>
        </w:rPr>
        <w:t>Ⅱ.須經事前審查核准後使用，每次申請事前審查之療程以18</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如：影像學</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證實無惡化，才可繼續使用。(106/4/1)</w:t>
      </w:r>
    </w:p>
    <w:p w14:paraId="7AC50D4B" w14:textId="77777777" w:rsidR="007576F0" w:rsidRPr="007576F0" w:rsidRDefault="007576F0" w:rsidP="007576F0">
      <w:pPr>
        <w:spacing w:line="300" w:lineRule="exact"/>
        <w:ind w:left="1654" w:hanging="336"/>
        <w:rPr>
          <w:rFonts w:ascii="標楷體" w:eastAsia="標楷體" w:hAnsi="標楷體"/>
          <w:color w:val="000000"/>
        </w:rPr>
      </w:pPr>
      <w:r w:rsidRPr="007576F0">
        <w:rPr>
          <w:rFonts w:ascii="標楷體" w:eastAsia="標楷體" w:hAnsi="標楷體"/>
          <w:color w:val="000000"/>
        </w:rPr>
        <w:t>Ⅲ.本藥品不得與cetuximab、panitumumab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用。(108/3/1、113/3/1)</w:t>
      </w:r>
    </w:p>
    <w:p w14:paraId="749BF1A6"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(2)Bevacizumab(除</w:t>
      </w:r>
      <w:proofErr w:type="spellStart"/>
      <w:r w:rsidRPr="007576F0">
        <w:rPr>
          <w:rFonts w:ascii="標楷體" w:eastAsia="標楷體" w:hAnsi="標楷體"/>
          <w:color w:val="000000"/>
        </w:rPr>
        <w:t>Zirabev</w:t>
      </w:r>
      <w:proofErr w:type="spellEnd"/>
      <w:r w:rsidRPr="007576F0">
        <w:rPr>
          <w:rFonts w:ascii="標楷體" w:eastAsia="標楷體" w:hAnsi="標楷體"/>
          <w:color w:val="000000"/>
        </w:rPr>
        <w:t>及</w:t>
      </w:r>
      <w:proofErr w:type="spellStart"/>
      <w:r w:rsidRPr="007576F0">
        <w:rPr>
          <w:rFonts w:ascii="標楷體" w:eastAsia="標楷體" w:hAnsi="標楷體"/>
          <w:color w:val="000000"/>
        </w:rPr>
        <w:t>Abevmy</w:t>
      </w:r>
      <w:proofErr w:type="spellEnd"/>
      <w:proofErr w:type="gramStart"/>
      <w:r w:rsidRPr="007576F0">
        <w:rPr>
          <w:rFonts w:ascii="標楷體" w:eastAsia="標楷體" w:hAnsi="標楷體"/>
          <w:color w:val="000000"/>
        </w:rPr>
        <w:t>以外)</w:t>
      </w:r>
      <w:proofErr w:type="gramEnd"/>
      <w:r w:rsidRPr="007576F0">
        <w:rPr>
          <w:rFonts w:ascii="標楷體" w:eastAsia="標楷體" w:hAnsi="標楷體"/>
          <w:color w:val="000000"/>
        </w:rPr>
        <w:t>與含有5-fluorouracil/leucovorin/oxaliplatin的化學療法合併使用，作為先前接受過以 fluoropyrimidine為基礎的化學療法</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用cetuximab或panitumumab無效且未曾接受過bevacizumab治療，RAS基因沒有突變的轉移性大腸或直腸癌病人的第二線治療。(114/3/1)</w:t>
      </w:r>
    </w:p>
    <w:p w14:paraId="1D9273CE" w14:textId="77777777" w:rsidR="007576F0" w:rsidRPr="007576F0" w:rsidRDefault="007576F0" w:rsidP="007576F0">
      <w:pPr>
        <w:spacing w:line="300" w:lineRule="exact"/>
        <w:ind w:left="1654" w:hanging="336"/>
        <w:rPr>
          <w:rFonts w:ascii="標楷體" w:eastAsia="標楷體" w:hAnsi="標楷體"/>
          <w:color w:val="000000"/>
        </w:rPr>
      </w:pPr>
      <w:r w:rsidRPr="007576F0">
        <w:rPr>
          <w:rFonts w:ascii="標楷體" w:eastAsia="標楷體" w:hAnsi="標楷體"/>
          <w:color w:val="000000"/>
        </w:rPr>
        <w:t>Ⅰ.需</w:t>
      </w:r>
      <w:proofErr w:type="gramStart"/>
      <w:r w:rsidRPr="007576F0">
        <w:rPr>
          <w:rFonts w:ascii="標楷體" w:eastAsia="標楷體" w:hAnsi="標楷體"/>
          <w:color w:val="000000"/>
        </w:rPr>
        <w:t>檢附依全民</w:t>
      </w:r>
      <w:proofErr w:type="gramEnd"/>
      <w:r w:rsidRPr="007576F0">
        <w:rPr>
          <w:rFonts w:ascii="標楷體" w:eastAsia="標楷體" w:hAnsi="標楷體"/>
          <w:color w:val="000000"/>
        </w:rPr>
        <w:t>健康保險醫療服務給付項目及支付標準伴隨式診斷編號30104B規定之認證實驗室檢驗之All-RAS基因突變分析檢測報告。</w:t>
      </w:r>
    </w:p>
    <w:p w14:paraId="16715B1D" w14:textId="77777777" w:rsidR="007576F0" w:rsidRPr="007576F0" w:rsidRDefault="007576F0" w:rsidP="007576F0">
      <w:pPr>
        <w:spacing w:line="300" w:lineRule="exact"/>
        <w:ind w:left="1654" w:hanging="336"/>
        <w:rPr>
          <w:rFonts w:ascii="標楷體" w:eastAsia="標楷體" w:hAnsi="標楷體"/>
          <w:color w:val="000000"/>
        </w:rPr>
      </w:pPr>
      <w:r w:rsidRPr="007576F0">
        <w:rPr>
          <w:rFonts w:ascii="標楷體" w:eastAsia="標楷體" w:hAnsi="標楷體"/>
          <w:color w:val="000000"/>
        </w:rPr>
        <w:t>Ⅱ.使用總療程以24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為上限。</w:t>
      </w:r>
    </w:p>
    <w:p w14:paraId="15C120A2" w14:textId="77777777" w:rsidR="007576F0" w:rsidRPr="007576F0" w:rsidRDefault="007576F0" w:rsidP="007576F0">
      <w:pPr>
        <w:spacing w:line="300" w:lineRule="exact"/>
        <w:ind w:left="1843" w:hanging="499"/>
        <w:rPr>
          <w:rFonts w:ascii="標楷體" w:eastAsia="標楷體" w:hAnsi="標楷體"/>
          <w:color w:val="000000"/>
        </w:rPr>
      </w:pPr>
      <w:r w:rsidRPr="007576F0">
        <w:rPr>
          <w:rFonts w:ascii="標楷體" w:eastAsia="標楷體" w:hAnsi="標楷體"/>
          <w:color w:val="000000"/>
        </w:rPr>
        <w:t>Ⅲ.須經事前審查核准後使用，每次申請事前審查之療程以12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如：RECIST criteria</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w:t>
      </w:r>
    </w:p>
    <w:p w14:paraId="2D0DAA10"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Ⅳ.使用劑量：限5mg/kg，每兩週一次。</w:t>
      </w:r>
    </w:p>
    <w:p w14:paraId="0041FF09" w14:textId="77777777" w:rsidR="007576F0" w:rsidRPr="007576F0" w:rsidRDefault="007576F0" w:rsidP="007576F0">
      <w:pPr>
        <w:spacing w:line="300" w:lineRule="exact"/>
        <w:ind w:left="709" w:hanging="245"/>
        <w:rPr>
          <w:rFonts w:ascii="標楷體" w:eastAsia="標楷體" w:hAnsi="標楷體"/>
          <w:color w:val="000000"/>
        </w:rPr>
      </w:pPr>
      <w:r w:rsidRPr="007576F0">
        <w:rPr>
          <w:rFonts w:ascii="標楷體" w:eastAsia="標楷體" w:hAnsi="標楷體"/>
          <w:color w:val="000000"/>
        </w:rPr>
        <w:t>2.惡性神經膠質瘤(WHO第4級)-</w:t>
      </w:r>
      <w:proofErr w:type="gramStart"/>
      <w:r w:rsidRPr="007576F0">
        <w:rPr>
          <w:rFonts w:ascii="標楷體" w:eastAsia="標楷體" w:hAnsi="標楷體"/>
          <w:color w:val="000000"/>
        </w:rPr>
        <w:t>神經膠母細胞</w:t>
      </w:r>
      <w:proofErr w:type="gramEnd"/>
      <w:r w:rsidRPr="007576F0">
        <w:rPr>
          <w:rFonts w:ascii="標楷體" w:eastAsia="標楷體" w:hAnsi="標楷體"/>
          <w:color w:val="000000"/>
        </w:rPr>
        <w:t>瘤：</w:t>
      </w:r>
    </w:p>
    <w:p w14:paraId="7EE199DD"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(1)單獨使用可用於治療曾接受標準放射線治療且含temozolomide在內之化學藥物治療失敗之多</w:t>
      </w:r>
      <w:proofErr w:type="gramStart"/>
      <w:r w:rsidRPr="007576F0">
        <w:rPr>
          <w:rFonts w:ascii="標楷體" w:eastAsia="標楷體" w:hAnsi="標楷體"/>
          <w:color w:val="000000"/>
        </w:rPr>
        <w:t>型性神經膠母</w:t>
      </w:r>
      <w:proofErr w:type="gramEnd"/>
      <w:r w:rsidRPr="007576F0">
        <w:rPr>
          <w:rFonts w:ascii="標楷體" w:eastAsia="標楷體" w:hAnsi="標楷體"/>
          <w:color w:val="000000"/>
        </w:rPr>
        <w:t>細胞瘤(Glioblastoma multiforme)復發之成人患者。(101/05/1)</w:t>
      </w:r>
    </w:p>
    <w:p w14:paraId="2FD8A9D3"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(2)須經事前審查核准後使用，每次申請事前審查之療程以12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如：影像學</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w:t>
      </w:r>
    </w:p>
    <w:p w14:paraId="25F7D327" w14:textId="77777777" w:rsidR="007576F0" w:rsidRPr="007576F0" w:rsidRDefault="007576F0" w:rsidP="007576F0">
      <w:pPr>
        <w:spacing w:line="300" w:lineRule="exact"/>
        <w:ind w:left="709" w:hanging="245"/>
        <w:rPr>
          <w:rFonts w:ascii="標楷體" w:eastAsia="標楷體" w:hAnsi="標楷體"/>
          <w:color w:val="000000"/>
        </w:rPr>
      </w:pPr>
      <w:r w:rsidRPr="007576F0">
        <w:rPr>
          <w:rFonts w:ascii="標楷體" w:eastAsia="標楷體" w:hAnsi="標楷體"/>
          <w:color w:val="000000"/>
        </w:rPr>
        <w:t>3.卵巢上皮細胞、輸卵管或原發性腹膜癌：(109/6/1、113/3/1、113/9/1、114/3/1、114/6/1</w:t>
      </w:r>
      <w:r w:rsidRPr="007576F0">
        <w:rPr>
          <w:rFonts w:ascii="標楷體" w:eastAsia="標楷體" w:hAnsi="標楷體" w:hint="eastAsia"/>
          <w:color w:val="000000"/>
        </w:rPr>
        <w:t>、114/8/1、114/10/1</w:t>
      </w:r>
      <w:r w:rsidRPr="007576F0">
        <w:rPr>
          <w:rFonts w:ascii="標楷體" w:eastAsia="標楷體" w:hAnsi="標楷體"/>
          <w:color w:val="000000"/>
        </w:rPr>
        <w:t>)</w:t>
      </w:r>
    </w:p>
    <w:p w14:paraId="2F6C4E4B" w14:textId="77777777" w:rsidR="007576F0" w:rsidRPr="007576F0" w:rsidRDefault="007576F0" w:rsidP="007576F0">
      <w:pPr>
        <w:spacing w:line="300" w:lineRule="exact"/>
        <w:ind w:left="1133" w:hanging="425"/>
        <w:rPr>
          <w:rFonts w:ascii="標楷體" w:eastAsia="標楷體" w:hAnsi="標楷體"/>
        </w:rPr>
      </w:pPr>
      <w:r w:rsidRPr="007576F0">
        <w:rPr>
          <w:rFonts w:ascii="標楷體" w:eastAsia="標楷體" w:hAnsi="標楷體"/>
          <w:color w:val="000000"/>
        </w:rPr>
        <w:t>(1)</w:t>
      </w:r>
      <w:r w:rsidRPr="007576F0">
        <w:rPr>
          <w:rFonts w:ascii="標楷體" w:eastAsia="標楷體" w:hAnsi="標楷體"/>
        </w:rPr>
        <w:t xml:space="preserve"> </w:t>
      </w:r>
      <w:r w:rsidRPr="007576F0">
        <w:rPr>
          <w:rFonts w:ascii="標楷體" w:eastAsia="標楷體" w:hAnsi="標楷體"/>
          <w:color w:val="000000"/>
        </w:rPr>
        <w:t>Bevacizumab（除</w:t>
      </w:r>
      <w:proofErr w:type="spellStart"/>
      <w:r w:rsidRPr="007576F0">
        <w:rPr>
          <w:rFonts w:ascii="標楷體" w:eastAsia="標楷體" w:hAnsi="標楷體"/>
          <w:color w:val="000000"/>
        </w:rPr>
        <w:t>Zirabev</w:t>
      </w:r>
      <w:proofErr w:type="spellEnd"/>
      <w:r w:rsidRPr="007576F0">
        <w:rPr>
          <w:rFonts w:ascii="標楷體" w:eastAsia="標楷體" w:hAnsi="標楷體"/>
          <w:color w:val="000000"/>
        </w:rPr>
        <w:t>以外）與carboplatin 及paclitaxel合併使用，接</w:t>
      </w:r>
      <w:r w:rsidRPr="007576F0">
        <w:rPr>
          <w:rFonts w:ascii="標楷體" w:eastAsia="標楷體" w:hAnsi="標楷體"/>
          <w:color w:val="000000"/>
        </w:rPr>
        <w:lastRenderedPageBreak/>
        <w:t>著單獨使用bevacizumab（除</w:t>
      </w:r>
      <w:proofErr w:type="spellStart"/>
      <w:r w:rsidRPr="007576F0">
        <w:rPr>
          <w:rFonts w:ascii="標楷體" w:eastAsia="標楷體" w:hAnsi="標楷體"/>
          <w:color w:val="000000"/>
        </w:rPr>
        <w:t>Zirabev</w:t>
      </w:r>
      <w:proofErr w:type="spellEnd"/>
      <w:r w:rsidRPr="007576F0">
        <w:rPr>
          <w:rFonts w:ascii="標楷體" w:eastAsia="標楷體" w:hAnsi="標楷體"/>
          <w:color w:val="000000"/>
        </w:rPr>
        <w:t>以外）治療，作為第四期卵巢上皮細胞、輸卵管或原發性腹膜癌病人接受初次手術切除後之第一線治療之維持治療。(113/3/1、113/9/1、114/3/1、114/4/1、114/6/1</w:t>
      </w:r>
      <w:r w:rsidRPr="007576F0">
        <w:rPr>
          <w:rFonts w:ascii="標楷體" w:eastAsia="標楷體" w:hAnsi="標楷體" w:hint="eastAsia"/>
          <w:color w:val="000000"/>
        </w:rPr>
        <w:t>、114/10/1</w:t>
      </w:r>
      <w:r w:rsidRPr="007576F0">
        <w:rPr>
          <w:rFonts w:ascii="標楷體" w:eastAsia="標楷體" w:hAnsi="標楷體"/>
          <w:color w:val="000000"/>
        </w:rPr>
        <w:t>)</w:t>
      </w:r>
    </w:p>
    <w:p w14:paraId="690465E4"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Ⅰ.初次申請為手術後一個月後起與化學治療</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用5個療程。</w:t>
      </w:r>
    </w:p>
    <w:p w14:paraId="68C5C314"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Ⅱ.第二次申請時為接續單獨使用bevacizumab維持性治療9個療程。</w:t>
      </w:r>
    </w:p>
    <w:p w14:paraId="05D9BBA6"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Ⅲ.第三次申請時為接續單獨使用bevacizumab維持性治療8個療程。</w:t>
      </w:r>
    </w:p>
    <w:p w14:paraId="0D007991"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Ⅳ.每人以總共給付22個療程為上限。若病情惡化或停藥後再復發即不得再次申請。</w:t>
      </w:r>
    </w:p>
    <w:p w14:paraId="6644743C"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(2)Bevacizumab與carboplatin 及paclitaxel合併使用，作為曾接受過第一線</w:t>
      </w:r>
      <w:proofErr w:type="gramStart"/>
      <w:r w:rsidRPr="007576F0">
        <w:rPr>
          <w:rFonts w:ascii="標楷體" w:eastAsia="標楷體" w:hAnsi="標楷體"/>
          <w:color w:val="000000"/>
        </w:rPr>
        <w:t>含鉑類藥物</w:t>
      </w:r>
      <w:proofErr w:type="gramEnd"/>
      <w:r w:rsidRPr="007576F0">
        <w:rPr>
          <w:rFonts w:ascii="標楷體" w:eastAsia="標楷體" w:hAnsi="標楷體"/>
          <w:color w:val="000000"/>
        </w:rPr>
        <w:t>(Platinum-based)化學治療間隔6-12個月內再復發之治療。接著單獨使用bevacizumab治療，作為含鉑藥物具感受性之治療。</w:t>
      </w:r>
    </w:p>
    <w:p w14:paraId="6B2C035A"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Ⅰ.若前曾申請bevacizumab 使用於卵巢上皮細胞、輸卵管或原發性腹膜癌作為第一線治療者不可再次使用。(113/3/1)</w:t>
      </w:r>
    </w:p>
    <w:p w14:paraId="12898092"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Ⅱ.初次申請為5個療程，後續每次申請為5個療程，總申請療程以15個療程為上限。(113/3/1)</w:t>
      </w:r>
    </w:p>
    <w:p w14:paraId="401611AB"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(3)Bevacizumab(限使用</w:t>
      </w:r>
      <w:proofErr w:type="spellStart"/>
      <w:r w:rsidRPr="007576F0">
        <w:rPr>
          <w:rFonts w:ascii="標楷體" w:eastAsia="標楷體" w:hAnsi="標楷體"/>
          <w:color w:val="000000"/>
        </w:rPr>
        <w:t>Alymsys</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Abevmy</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Vegzelma</w:t>
      </w:r>
      <w:proofErr w:type="spellEnd"/>
      <w:r w:rsidRPr="007576F0">
        <w:rPr>
          <w:rFonts w:ascii="標楷體" w:eastAsia="標楷體" w:hAnsi="標楷體"/>
          <w:color w:val="000000"/>
        </w:rPr>
        <w:t>或</w:t>
      </w:r>
      <w:proofErr w:type="spellStart"/>
      <w:r w:rsidRPr="007576F0">
        <w:rPr>
          <w:rFonts w:ascii="標楷體" w:eastAsia="標楷體" w:hAnsi="標楷體"/>
          <w:color w:val="000000"/>
        </w:rPr>
        <w:t>Mvasi</w:t>
      </w:r>
      <w:proofErr w:type="spellEnd"/>
      <w:r w:rsidRPr="007576F0">
        <w:rPr>
          <w:rFonts w:ascii="標楷體" w:eastAsia="標楷體" w:hAnsi="標楷體"/>
          <w:color w:val="000000"/>
        </w:rPr>
        <w:t>)與</w:t>
      </w:r>
      <w:proofErr w:type="spellStart"/>
      <w:r w:rsidRPr="007576F0">
        <w:rPr>
          <w:rFonts w:ascii="標楷體" w:eastAsia="標楷體" w:hAnsi="標楷體"/>
          <w:color w:val="000000"/>
        </w:rPr>
        <w:t>olaparib</w:t>
      </w:r>
      <w:proofErr w:type="spellEnd"/>
      <w:proofErr w:type="gramStart"/>
      <w:r w:rsidRPr="007576F0">
        <w:rPr>
          <w:rFonts w:ascii="標楷體" w:eastAsia="標楷體" w:hAnsi="標楷體"/>
          <w:color w:val="000000"/>
        </w:rPr>
        <w:t>併</w:t>
      </w:r>
      <w:proofErr w:type="gramEnd"/>
      <w:r w:rsidRPr="007576F0">
        <w:rPr>
          <w:rFonts w:ascii="標楷體" w:eastAsia="標楷體" w:hAnsi="標楷體"/>
          <w:color w:val="000000"/>
        </w:rPr>
        <w:t>用適用於晚期高度惡性上皮卵巢癌、輸卵管腫瘤或原發性腹膜癌，且對第一線</w:t>
      </w:r>
      <w:proofErr w:type="gramStart"/>
      <w:r w:rsidRPr="007576F0">
        <w:rPr>
          <w:rFonts w:ascii="標楷體" w:eastAsia="標楷體" w:hAnsi="標楷體"/>
          <w:color w:val="000000"/>
        </w:rPr>
        <w:t>含鉑化療</w:t>
      </w:r>
      <w:proofErr w:type="gramEnd"/>
      <w:r w:rsidRPr="007576F0">
        <w:rPr>
          <w:rFonts w:ascii="標楷體" w:eastAsia="標楷體" w:hAnsi="標楷體"/>
          <w:color w:val="000000"/>
        </w:rPr>
        <w:t>合併bevacizumab有反應（完全反應或部分反應）之成年病人做為維持治療，患者需符合</w:t>
      </w:r>
      <w:proofErr w:type="spellStart"/>
      <w:r w:rsidRPr="007576F0">
        <w:rPr>
          <w:rFonts w:ascii="標楷體" w:eastAsia="標楷體" w:hAnsi="標楷體"/>
          <w:color w:val="000000"/>
        </w:rPr>
        <w:t>olaparib</w:t>
      </w:r>
      <w:proofErr w:type="spellEnd"/>
      <w:r w:rsidRPr="007576F0">
        <w:rPr>
          <w:rFonts w:ascii="標楷體" w:eastAsia="標楷體" w:hAnsi="標楷體"/>
          <w:color w:val="000000"/>
        </w:rPr>
        <w:t>給付規定，限用兩年。bevacizumab以15個月的療程為上限。(114/6/1、114/8/1)</w:t>
      </w:r>
    </w:p>
    <w:p w14:paraId="29B0A28B"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(4)須經事前審查核准後使用，再次申請必須提出客觀證據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如：影像學</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w:t>
      </w:r>
    </w:p>
    <w:p w14:paraId="785864AB"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(5)FIGO Stage IV disease具germline or somatic BRCA 1/2致病性或疑似致病性突變者，若已經申請niraparib用於第一線化學治療後維持性治療時不得另外申請bevacizumab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用，除因niraparib耐受性不良，在維持性治療可再換成bevacizumab（除</w:t>
      </w:r>
      <w:proofErr w:type="spellStart"/>
      <w:r w:rsidRPr="007576F0">
        <w:rPr>
          <w:rFonts w:ascii="標楷體" w:eastAsia="標楷體" w:hAnsi="標楷體"/>
          <w:color w:val="000000"/>
        </w:rPr>
        <w:t>Zirabev</w:t>
      </w:r>
      <w:proofErr w:type="spellEnd"/>
      <w:r w:rsidRPr="007576F0">
        <w:rPr>
          <w:rFonts w:ascii="標楷體" w:eastAsia="標楷體" w:hAnsi="標楷體"/>
          <w:color w:val="000000"/>
        </w:rPr>
        <w:t>以外）單獨使用，總申請療程以17個療程為上限。(113/3/1、113/9/1、114/3/1、114/6/1</w:t>
      </w:r>
      <w:r w:rsidRPr="007576F0">
        <w:rPr>
          <w:rFonts w:ascii="標楷體" w:eastAsia="標楷體" w:hAnsi="標楷體" w:hint="eastAsia"/>
          <w:color w:val="000000"/>
        </w:rPr>
        <w:t>、114/10/1</w:t>
      </w:r>
      <w:r w:rsidRPr="007576F0">
        <w:rPr>
          <w:rFonts w:ascii="標楷體" w:eastAsia="標楷體" w:hAnsi="標楷體"/>
          <w:color w:val="000000"/>
        </w:rPr>
        <w:t>)</w:t>
      </w:r>
    </w:p>
    <w:p w14:paraId="721ADA78" w14:textId="77777777" w:rsidR="007576F0" w:rsidRPr="007576F0" w:rsidRDefault="007576F0" w:rsidP="007576F0">
      <w:pPr>
        <w:spacing w:line="300" w:lineRule="exact"/>
        <w:ind w:left="709" w:hanging="245"/>
        <w:rPr>
          <w:rFonts w:ascii="標楷體" w:eastAsia="標楷體" w:hAnsi="標楷體"/>
          <w:color w:val="000000"/>
        </w:rPr>
      </w:pPr>
      <w:r w:rsidRPr="007576F0">
        <w:rPr>
          <w:rFonts w:ascii="標楷體" w:eastAsia="標楷體" w:hAnsi="標楷體"/>
          <w:color w:val="000000"/>
        </w:rPr>
        <w:t>4.持續性、復發性或轉移性之子宮頸癌：(109/6/1、113/3/1)</w:t>
      </w:r>
    </w:p>
    <w:p w14:paraId="0B3C3298"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(1)Bevacizumab與cisplatin及paclitaxel合併使用，可用於持續性、復發性或轉移性之子宮頸癌。</w:t>
      </w:r>
    </w:p>
    <w:p w14:paraId="1F6DB495"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(2)Bevacizumab與paclitaxel及topotecan合併使用，作為無法接受</w:t>
      </w:r>
      <w:proofErr w:type="gramStart"/>
      <w:r w:rsidRPr="007576F0">
        <w:rPr>
          <w:rFonts w:ascii="標楷體" w:eastAsia="標楷體" w:hAnsi="標楷體"/>
          <w:color w:val="000000"/>
        </w:rPr>
        <w:t>含鉑類藥物</w:t>
      </w:r>
      <w:proofErr w:type="gramEnd"/>
      <w:r w:rsidRPr="007576F0">
        <w:rPr>
          <w:rFonts w:ascii="標楷體" w:eastAsia="標楷體" w:hAnsi="標楷體"/>
          <w:color w:val="000000"/>
        </w:rPr>
        <w:t>治療患者之持續性、復發性或轉移性之子宮頸癌。</w:t>
      </w:r>
    </w:p>
    <w:p w14:paraId="4EB576EB"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(3)須經事前審查核准後使用，每次申請事前審查之療程以15</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如：影像學</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證實無惡化，才可繼續使用。(113/3/1)</w:t>
      </w:r>
    </w:p>
    <w:p w14:paraId="229FF774" w14:textId="77777777" w:rsidR="007576F0" w:rsidRPr="007576F0" w:rsidRDefault="007576F0" w:rsidP="007576F0">
      <w:pPr>
        <w:spacing w:line="300" w:lineRule="exact"/>
        <w:ind w:left="851" w:hanging="245"/>
        <w:rPr>
          <w:rFonts w:ascii="標楷體" w:eastAsia="標楷體" w:hAnsi="標楷體"/>
          <w:color w:val="000000"/>
        </w:rPr>
      </w:pPr>
      <w:r w:rsidRPr="007576F0">
        <w:rPr>
          <w:rFonts w:ascii="標楷體" w:eastAsia="標楷體" w:hAnsi="標楷體"/>
          <w:color w:val="000000"/>
        </w:rPr>
        <w:t>5.晚期、轉移性或復發</w:t>
      </w:r>
      <w:proofErr w:type="gramStart"/>
      <w:r w:rsidRPr="007576F0">
        <w:rPr>
          <w:rFonts w:ascii="標楷體" w:eastAsia="標楷體" w:hAnsi="標楷體"/>
          <w:color w:val="000000"/>
        </w:rPr>
        <w:t>性非鱗狀</w:t>
      </w:r>
      <w:proofErr w:type="gramEnd"/>
      <w:r w:rsidRPr="007576F0">
        <w:rPr>
          <w:rFonts w:ascii="標楷體" w:eastAsia="標楷體" w:hAnsi="標楷體"/>
          <w:color w:val="000000"/>
        </w:rPr>
        <w:t>非小細胞肺癌(除</w:t>
      </w:r>
      <w:proofErr w:type="spellStart"/>
      <w:r w:rsidRPr="007576F0">
        <w:rPr>
          <w:rFonts w:ascii="標楷體" w:eastAsia="標楷體" w:hAnsi="標楷體"/>
          <w:color w:val="000000"/>
        </w:rPr>
        <w:t>Zirabev</w:t>
      </w:r>
      <w:proofErr w:type="spellEnd"/>
      <w:r w:rsidRPr="007576F0">
        <w:rPr>
          <w:rFonts w:ascii="標楷體" w:eastAsia="標楷體" w:hAnsi="標楷體"/>
          <w:color w:val="000000"/>
        </w:rPr>
        <w:t>及</w:t>
      </w:r>
      <w:proofErr w:type="spellStart"/>
      <w:r w:rsidRPr="007576F0">
        <w:rPr>
          <w:rFonts w:ascii="標楷體" w:eastAsia="標楷體" w:hAnsi="標楷體"/>
          <w:color w:val="000000"/>
        </w:rPr>
        <w:t>Abevmy</w:t>
      </w:r>
      <w:proofErr w:type="spellEnd"/>
      <w:proofErr w:type="gramStart"/>
      <w:r w:rsidRPr="007576F0">
        <w:rPr>
          <w:rFonts w:ascii="標楷體" w:eastAsia="標楷體" w:hAnsi="標楷體"/>
          <w:color w:val="000000"/>
        </w:rPr>
        <w:t>以外)</w:t>
      </w:r>
      <w:proofErr w:type="gramEnd"/>
      <w:r w:rsidRPr="007576F0">
        <w:rPr>
          <w:rFonts w:ascii="標楷體" w:eastAsia="標楷體" w:hAnsi="標楷體"/>
          <w:color w:val="000000"/>
        </w:rPr>
        <w:t>：(113/3/1、113/6/1、113/9/1、114/3/1)</w:t>
      </w:r>
    </w:p>
    <w:p w14:paraId="6DE4EE10"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(1)Bevacizumab與 erlotinib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用，作為無法手術切除的轉移性(</w:t>
      </w:r>
      <w:proofErr w:type="gramStart"/>
      <w:r w:rsidRPr="007576F0">
        <w:rPr>
          <w:rFonts w:ascii="標楷體" w:eastAsia="標楷體" w:hAnsi="標楷體"/>
          <w:color w:val="000000"/>
        </w:rPr>
        <w:t>第Ⅳ期</w:t>
      </w:r>
      <w:proofErr w:type="gramEnd"/>
      <w:r w:rsidRPr="007576F0">
        <w:rPr>
          <w:rFonts w:ascii="標楷體" w:eastAsia="標楷體" w:hAnsi="標楷體"/>
          <w:color w:val="000000"/>
        </w:rPr>
        <w:t>)且帶有表皮生長因子受體(EGFR) Exon 21 L858R 活化性突變之腦轉移</w:t>
      </w:r>
      <w:proofErr w:type="gramStart"/>
      <w:r w:rsidRPr="007576F0">
        <w:rPr>
          <w:rFonts w:ascii="標楷體" w:eastAsia="標楷體" w:hAnsi="標楷體"/>
          <w:color w:val="000000"/>
        </w:rPr>
        <w:t>非鱗狀非</w:t>
      </w:r>
      <w:proofErr w:type="gramEnd"/>
      <w:r w:rsidRPr="007576F0">
        <w:rPr>
          <w:rFonts w:ascii="標楷體" w:eastAsia="標楷體" w:hAnsi="標楷體"/>
          <w:color w:val="000000"/>
        </w:rPr>
        <w:t>小細胞肺癌病患的第一線治療。</w:t>
      </w:r>
    </w:p>
    <w:p w14:paraId="028DBC40"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(2)須經事前審查核准後使用：</w:t>
      </w:r>
    </w:p>
    <w:p w14:paraId="127B8E0A" w14:textId="77777777" w:rsidR="007576F0" w:rsidRPr="007576F0" w:rsidRDefault="007576F0" w:rsidP="007576F0">
      <w:pPr>
        <w:spacing w:line="300" w:lineRule="exact"/>
        <w:ind w:left="1654" w:hanging="336"/>
        <w:rPr>
          <w:rFonts w:ascii="標楷體" w:eastAsia="標楷體" w:hAnsi="標楷體"/>
          <w:color w:val="000000"/>
        </w:rPr>
      </w:pPr>
      <w:r w:rsidRPr="007576F0">
        <w:rPr>
          <w:rFonts w:ascii="標楷體" w:eastAsia="標楷體" w:hAnsi="標楷體"/>
          <w:color w:val="000000"/>
        </w:rPr>
        <w:t xml:space="preserve">Ⅰ.每次申請之療程以 12 </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w:t>
      </w:r>
    </w:p>
    <w:p w14:paraId="2904BE3F" w14:textId="77777777" w:rsidR="007576F0" w:rsidRPr="007576F0" w:rsidRDefault="007576F0" w:rsidP="007576F0">
      <w:pPr>
        <w:spacing w:line="300" w:lineRule="exact"/>
        <w:ind w:left="1654" w:hanging="336"/>
        <w:rPr>
          <w:rFonts w:ascii="標楷體" w:eastAsia="標楷體" w:hAnsi="標楷體"/>
        </w:rPr>
      </w:pPr>
      <w:r w:rsidRPr="007576F0">
        <w:rPr>
          <w:rFonts w:ascii="標楷體" w:eastAsia="標楷體" w:hAnsi="標楷體"/>
          <w:color w:val="000000"/>
        </w:rPr>
        <w:t>Ⅱ.初次申請時需檢附表皮生長因子受體(EGFR) Exon 21 L858R 活化性突變檢測報告，且需符合全民健康保險藥品給付規定之通則十二。</w:t>
      </w:r>
    </w:p>
    <w:p w14:paraId="3603529A" w14:textId="77777777" w:rsidR="007576F0" w:rsidRPr="007576F0" w:rsidRDefault="007576F0" w:rsidP="007576F0">
      <w:pPr>
        <w:spacing w:line="300" w:lineRule="exact"/>
        <w:ind w:left="1654" w:hanging="336"/>
        <w:rPr>
          <w:rFonts w:ascii="標楷體" w:eastAsia="標楷體" w:hAnsi="標楷體"/>
          <w:color w:val="000000"/>
        </w:rPr>
      </w:pPr>
      <w:r w:rsidRPr="007576F0">
        <w:rPr>
          <w:rFonts w:ascii="標楷體" w:eastAsia="標楷體" w:hAnsi="標楷體"/>
          <w:color w:val="000000"/>
        </w:rPr>
        <w:t>Ⅲ.再次申請必須提出客觀證據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如：影像學</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w:t>
      </w:r>
    </w:p>
    <w:p w14:paraId="38849E03"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(3)Bevacizumab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用erlotinib於第一線治療時，該治療組合與gefitinib、afatinib 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w:t>
      </w:r>
      <w:proofErr w:type="gramStart"/>
      <w:r w:rsidRPr="007576F0">
        <w:rPr>
          <w:rFonts w:ascii="標楷體" w:eastAsia="標楷體" w:hAnsi="標楷體"/>
          <w:color w:val="000000"/>
        </w:rPr>
        <w:t>除因耐受</w:t>
      </w:r>
      <w:proofErr w:type="gramEnd"/>
      <w:r w:rsidRPr="007576F0">
        <w:rPr>
          <w:rFonts w:ascii="標楷體" w:eastAsia="標楷體" w:hAnsi="標楷體"/>
          <w:color w:val="000000"/>
        </w:rPr>
        <w:t>性不良，不得互換。</w:t>
      </w:r>
    </w:p>
    <w:p w14:paraId="52AE982E" w14:textId="77777777" w:rsidR="007576F0" w:rsidRPr="007576F0" w:rsidRDefault="007576F0" w:rsidP="007576F0">
      <w:pPr>
        <w:spacing w:line="300" w:lineRule="exact"/>
        <w:ind w:left="1133" w:hanging="425"/>
        <w:rPr>
          <w:rFonts w:ascii="標楷體" w:eastAsia="標楷體" w:hAnsi="標楷體"/>
          <w:color w:val="000000"/>
        </w:rPr>
      </w:pPr>
      <w:r w:rsidRPr="007576F0">
        <w:rPr>
          <w:rFonts w:ascii="標楷體" w:eastAsia="標楷體" w:hAnsi="標楷體"/>
          <w:color w:val="000000"/>
        </w:rPr>
        <w:t>(4)使用劑量：限7.5mg/kg，每三</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1次。</w:t>
      </w:r>
    </w:p>
    <w:p w14:paraId="0F10F44E" w14:textId="77777777" w:rsidR="007576F0" w:rsidRPr="007576F0" w:rsidRDefault="007576F0" w:rsidP="007576F0">
      <w:pPr>
        <w:spacing w:line="300" w:lineRule="exact"/>
        <w:ind w:left="851" w:hanging="245"/>
        <w:rPr>
          <w:rFonts w:ascii="標楷體" w:eastAsia="標楷體" w:hAnsi="標楷體"/>
          <w:color w:val="000000"/>
        </w:rPr>
      </w:pPr>
      <w:r w:rsidRPr="007576F0">
        <w:rPr>
          <w:rFonts w:ascii="標楷體" w:eastAsia="標楷體" w:hAnsi="標楷體"/>
          <w:color w:val="000000"/>
        </w:rPr>
        <w:t>6.與atezolizumab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用適用於未曾使用過全身性治療用藥之轉移性或無法手術切除且</w:t>
      </w:r>
      <w:r w:rsidRPr="007576F0">
        <w:rPr>
          <w:rFonts w:ascii="標楷體" w:eastAsia="標楷體" w:hAnsi="標楷體"/>
          <w:color w:val="000000"/>
        </w:rPr>
        <w:lastRenderedPageBreak/>
        <w:t>不適合局部治療或局部治療失敗之Child-Pugh A class</w:t>
      </w:r>
      <w:proofErr w:type="gramStart"/>
      <w:r w:rsidRPr="007576F0">
        <w:rPr>
          <w:rFonts w:ascii="標楷體" w:eastAsia="標楷體" w:hAnsi="標楷體"/>
          <w:color w:val="000000"/>
        </w:rPr>
        <w:t>晚期肝</w:t>
      </w:r>
      <w:proofErr w:type="gramEnd"/>
      <w:r w:rsidRPr="007576F0">
        <w:rPr>
          <w:rFonts w:ascii="標楷體" w:eastAsia="標楷體" w:hAnsi="標楷體"/>
          <w:color w:val="000000"/>
        </w:rPr>
        <w:t>細胞癌，患者需符合atezolizumab之藥品給付規定。(112/8/1)</w:t>
      </w:r>
    </w:p>
    <w:p w14:paraId="187914C7" w14:textId="77777777" w:rsidR="007576F0" w:rsidRPr="007576F0" w:rsidRDefault="007576F0" w:rsidP="007576F0">
      <w:pPr>
        <w:spacing w:line="300" w:lineRule="exact"/>
        <w:ind w:left="851" w:hanging="245"/>
      </w:pPr>
      <w:r w:rsidRPr="007576F0">
        <w:rPr>
          <w:rFonts w:ascii="標楷體" w:eastAsia="標楷體" w:hAnsi="標楷體"/>
          <w:color w:val="000000"/>
        </w:rPr>
        <w:t>7. Bevacizumab(限使用</w:t>
      </w:r>
      <w:proofErr w:type="spellStart"/>
      <w:r w:rsidRPr="007576F0">
        <w:rPr>
          <w:rFonts w:ascii="標楷體" w:eastAsia="標楷體" w:hAnsi="標楷體"/>
          <w:color w:val="000000"/>
        </w:rPr>
        <w:t>Alymsys</w:t>
      </w:r>
      <w:proofErr w:type="spellEnd"/>
      <w:r w:rsidRPr="007576F0">
        <w:rPr>
          <w:rFonts w:ascii="標楷體" w:eastAsia="標楷體" w:hAnsi="標楷體"/>
          <w:color w:val="000000"/>
        </w:rPr>
        <w:t>、Avastin、</w:t>
      </w:r>
      <w:proofErr w:type="spellStart"/>
      <w:r w:rsidRPr="007576F0">
        <w:rPr>
          <w:rFonts w:ascii="標楷體" w:eastAsia="標楷體" w:hAnsi="標楷體"/>
          <w:color w:val="000000"/>
        </w:rPr>
        <w:t>Abevmy</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Vegzelma</w:t>
      </w:r>
      <w:proofErr w:type="spellEnd"/>
      <w:r w:rsidRPr="007576F0">
        <w:rPr>
          <w:rFonts w:ascii="標楷體" w:eastAsia="標楷體" w:hAnsi="標楷體"/>
          <w:color w:val="000000"/>
        </w:rPr>
        <w:t>或</w:t>
      </w:r>
      <w:proofErr w:type="spellStart"/>
      <w:r w:rsidRPr="007576F0">
        <w:rPr>
          <w:rFonts w:ascii="標楷體" w:eastAsia="標楷體" w:hAnsi="標楷體"/>
          <w:color w:val="000000"/>
        </w:rPr>
        <w:t>Mvasi</w:t>
      </w:r>
      <w:proofErr w:type="spellEnd"/>
      <w:r w:rsidRPr="007576F0">
        <w:rPr>
          <w:rFonts w:ascii="標楷體" w:eastAsia="標楷體" w:hAnsi="標楷體"/>
          <w:color w:val="000000"/>
        </w:rPr>
        <w:t>)與atezolizumab及carboplatin、paclitaxel</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用於轉移</w:t>
      </w:r>
      <w:proofErr w:type="gramStart"/>
      <w:r w:rsidRPr="007576F0">
        <w:rPr>
          <w:rFonts w:ascii="標楷體" w:eastAsia="標楷體" w:hAnsi="標楷體"/>
          <w:color w:val="000000"/>
        </w:rPr>
        <w:t>性非鱗狀</w:t>
      </w:r>
      <w:proofErr w:type="gramEnd"/>
      <w:r w:rsidRPr="007576F0">
        <w:rPr>
          <w:rFonts w:ascii="標楷體" w:eastAsia="標楷體" w:hAnsi="標楷體"/>
          <w:color w:val="000000"/>
        </w:rPr>
        <w:t>非小細胞肺癌第一線治療，患者需符合免疫檢查點抑制劑之藥品給付規定。(114/6/1、114/8/1)</w:t>
      </w:r>
      <w:bookmarkEnd w:id="42"/>
    </w:p>
    <w:p w14:paraId="781ED1DC"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9.38.Temsirolimus(如</w:t>
      </w:r>
      <w:proofErr w:type="spellStart"/>
      <w:r w:rsidRPr="007576F0">
        <w:rPr>
          <w:rFonts w:ascii="標楷體" w:eastAsia="標楷體" w:hAnsi="標楷體"/>
          <w:color w:val="000000"/>
        </w:rPr>
        <w:t>Torisel</w:t>
      </w:r>
      <w:proofErr w:type="spellEnd"/>
      <w:r w:rsidRPr="007576F0">
        <w:rPr>
          <w:rFonts w:ascii="標楷體" w:eastAsia="標楷體" w:hAnsi="標楷體"/>
          <w:color w:val="000000"/>
        </w:rPr>
        <w:t>)：（101/1/1）附表九之十一</w:t>
      </w:r>
    </w:p>
    <w:p w14:paraId="5165CE45"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1.需經事前審查核准後使用，每次給付3個月藥量，送審時需檢送影像資料，每3個月評估一次。</w:t>
      </w:r>
    </w:p>
    <w:p w14:paraId="49A715E4"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(1)治療不限細胞型的高風險</w:t>
      </w:r>
      <w:proofErr w:type="gramStart"/>
      <w:r w:rsidRPr="007576F0">
        <w:rPr>
          <w:rFonts w:ascii="標楷體" w:eastAsia="標楷體" w:hAnsi="標楷體"/>
          <w:color w:val="000000"/>
        </w:rPr>
        <w:t>晚期腎</w:t>
      </w:r>
      <w:proofErr w:type="gramEnd"/>
      <w:r w:rsidRPr="007576F0">
        <w:rPr>
          <w:rFonts w:ascii="標楷體" w:eastAsia="標楷體" w:hAnsi="標楷體"/>
          <w:color w:val="000000"/>
        </w:rPr>
        <w:t>細胞癌。</w:t>
      </w:r>
    </w:p>
    <w:p w14:paraId="29FFAA17"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(2)需具有下列六個風險因子中至少3個以上因子：</w:t>
      </w:r>
    </w:p>
    <w:p w14:paraId="502CFB29" w14:textId="77777777" w:rsidR="007576F0" w:rsidRPr="007576F0" w:rsidRDefault="007576F0" w:rsidP="007576F0">
      <w:pPr>
        <w:spacing w:line="300" w:lineRule="exact"/>
        <w:ind w:left="1414" w:hanging="336"/>
        <w:rPr>
          <w:rFonts w:ascii="標楷體" w:eastAsia="標楷體" w:hAnsi="標楷體"/>
          <w:color w:val="000000"/>
        </w:rPr>
      </w:pPr>
      <w:r w:rsidRPr="007576F0">
        <w:rPr>
          <w:rFonts w:ascii="標楷體" w:eastAsia="標楷體" w:hAnsi="標楷體"/>
          <w:color w:val="000000"/>
        </w:rPr>
        <w:t>I.距離初次</w:t>
      </w:r>
      <w:proofErr w:type="gramStart"/>
      <w:r w:rsidRPr="007576F0">
        <w:rPr>
          <w:rFonts w:ascii="標楷體" w:eastAsia="標楷體" w:hAnsi="標楷體"/>
          <w:color w:val="000000"/>
        </w:rPr>
        <w:t>診斷出腎細胞</w:t>
      </w:r>
      <w:proofErr w:type="gramEnd"/>
      <w:r w:rsidRPr="007576F0">
        <w:rPr>
          <w:rFonts w:ascii="標楷體" w:eastAsia="標楷體" w:hAnsi="標楷體"/>
          <w:color w:val="000000"/>
        </w:rPr>
        <w:t>癌之時間未達一年</w:t>
      </w:r>
    </w:p>
    <w:p w14:paraId="68AC46AF" w14:textId="77777777" w:rsidR="007576F0" w:rsidRPr="007576F0" w:rsidRDefault="007576F0" w:rsidP="007576F0">
      <w:pPr>
        <w:spacing w:line="300" w:lineRule="exact"/>
        <w:ind w:left="1414" w:hanging="336"/>
        <w:rPr>
          <w:rFonts w:ascii="標楷體" w:eastAsia="標楷體" w:hAnsi="標楷體"/>
          <w:color w:val="000000"/>
        </w:rPr>
      </w:pPr>
      <w:r w:rsidRPr="007576F0">
        <w:rPr>
          <w:rFonts w:ascii="標楷體" w:eastAsia="標楷體" w:hAnsi="標楷體"/>
          <w:color w:val="000000"/>
        </w:rPr>
        <w:t>II.</w:t>
      </w:r>
      <w:r w:rsidRPr="007576F0">
        <w:rPr>
          <w:rFonts w:ascii="標楷體" w:eastAsia="標楷體" w:hAnsi="標楷體"/>
          <w:color w:val="000000"/>
        </w:rPr>
        <w:tab/>
      </w:r>
      <w:proofErr w:type="spellStart"/>
      <w:r w:rsidRPr="007576F0">
        <w:rPr>
          <w:rFonts w:ascii="標楷體" w:eastAsia="標楷體" w:hAnsi="標楷體"/>
          <w:color w:val="000000"/>
        </w:rPr>
        <w:t>Karnofsky</w:t>
      </w:r>
      <w:proofErr w:type="spellEnd"/>
      <w:r w:rsidRPr="007576F0">
        <w:rPr>
          <w:rFonts w:ascii="標楷體" w:eastAsia="標楷體" w:hAnsi="標楷體"/>
          <w:color w:val="000000"/>
        </w:rPr>
        <w:t xml:space="preserve"> Performance scale介於60至70之間</w:t>
      </w:r>
    </w:p>
    <w:p w14:paraId="34208BE7" w14:textId="77777777" w:rsidR="007576F0" w:rsidRPr="007576F0" w:rsidRDefault="007576F0" w:rsidP="007576F0">
      <w:pPr>
        <w:spacing w:line="300" w:lineRule="exact"/>
        <w:ind w:left="1414" w:hanging="336"/>
        <w:rPr>
          <w:rFonts w:ascii="標楷體" w:eastAsia="標楷體" w:hAnsi="標楷體"/>
          <w:color w:val="000000"/>
        </w:rPr>
      </w:pPr>
      <w:r w:rsidRPr="007576F0">
        <w:rPr>
          <w:rFonts w:ascii="標楷體" w:eastAsia="標楷體" w:hAnsi="標楷體"/>
          <w:color w:val="000000"/>
        </w:rPr>
        <w:t>III.血色素低於正常值12gm/dL</w:t>
      </w:r>
    </w:p>
    <w:p w14:paraId="5FA3FF13" w14:textId="77777777" w:rsidR="007576F0" w:rsidRPr="007576F0" w:rsidRDefault="007576F0" w:rsidP="007576F0">
      <w:pPr>
        <w:spacing w:line="300" w:lineRule="exact"/>
        <w:ind w:left="1414" w:hanging="336"/>
        <w:rPr>
          <w:rFonts w:ascii="標楷體" w:eastAsia="標楷體" w:hAnsi="標楷體"/>
          <w:color w:val="000000"/>
        </w:rPr>
      </w:pPr>
      <w:r w:rsidRPr="007576F0">
        <w:rPr>
          <w:rFonts w:ascii="標楷體" w:eastAsia="標楷體" w:hAnsi="標楷體"/>
          <w:color w:val="000000"/>
        </w:rPr>
        <w:t>IV.矯正</w:t>
      </w:r>
      <w:proofErr w:type="gramStart"/>
      <w:r w:rsidRPr="007576F0">
        <w:rPr>
          <w:rFonts w:ascii="標楷體" w:eastAsia="標楷體" w:hAnsi="標楷體"/>
          <w:color w:val="000000"/>
        </w:rPr>
        <w:t>後血鈣值</w:t>
      </w:r>
      <w:proofErr w:type="gramEnd"/>
      <w:r w:rsidRPr="007576F0">
        <w:rPr>
          <w:rFonts w:ascii="標楷體" w:eastAsia="標楷體" w:hAnsi="標楷體"/>
          <w:color w:val="000000"/>
        </w:rPr>
        <w:t>超過10mg/dL</w:t>
      </w:r>
    </w:p>
    <w:p w14:paraId="317D53CB" w14:textId="77777777" w:rsidR="007576F0" w:rsidRPr="007576F0" w:rsidRDefault="007576F0" w:rsidP="007576F0">
      <w:pPr>
        <w:spacing w:line="300" w:lineRule="exact"/>
        <w:ind w:left="1414" w:hanging="336"/>
        <w:rPr>
          <w:rFonts w:ascii="標楷體" w:eastAsia="標楷體" w:hAnsi="標楷體"/>
          <w:color w:val="000000"/>
        </w:rPr>
      </w:pPr>
      <w:r w:rsidRPr="007576F0">
        <w:rPr>
          <w:rFonts w:ascii="標楷體" w:eastAsia="標楷體" w:hAnsi="標楷體"/>
          <w:color w:val="000000"/>
        </w:rPr>
        <w:t>V.</w:t>
      </w:r>
      <w:r w:rsidRPr="007576F0">
        <w:rPr>
          <w:rFonts w:ascii="標楷體" w:eastAsia="標楷體" w:hAnsi="標楷體"/>
          <w:color w:val="000000"/>
        </w:rPr>
        <w:tab/>
      </w:r>
      <w:proofErr w:type="gramStart"/>
      <w:r w:rsidRPr="007576F0">
        <w:rPr>
          <w:rFonts w:ascii="標楷體" w:eastAsia="標楷體" w:hAnsi="標楷體"/>
          <w:color w:val="000000"/>
        </w:rPr>
        <w:t>乳酸脫氫酶(</w:t>
      </w:r>
      <w:proofErr w:type="gramEnd"/>
      <w:r w:rsidRPr="007576F0">
        <w:rPr>
          <w:rFonts w:ascii="標楷體" w:eastAsia="標楷體" w:hAnsi="標楷體"/>
          <w:color w:val="000000"/>
        </w:rPr>
        <w:t>lactate dehydrogenase)超過1.5倍正常值上限</w:t>
      </w:r>
    </w:p>
    <w:p w14:paraId="30046F0F" w14:textId="77777777" w:rsidR="007576F0" w:rsidRPr="007576F0" w:rsidRDefault="007576F0" w:rsidP="007576F0">
      <w:pPr>
        <w:spacing w:line="300" w:lineRule="exact"/>
        <w:ind w:left="1414" w:hanging="336"/>
        <w:rPr>
          <w:rFonts w:ascii="標楷體" w:eastAsia="標楷體" w:hAnsi="標楷體"/>
          <w:color w:val="000000"/>
        </w:rPr>
      </w:pPr>
      <w:r w:rsidRPr="007576F0">
        <w:rPr>
          <w:rFonts w:ascii="標楷體" w:eastAsia="標楷體" w:hAnsi="標楷體"/>
          <w:color w:val="000000"/>
        </w:rPr>
        <w:t>VI.超過一個以上的器官有轉移病灶。</w:t>
      </w:r>
    </w:p>
    <w:p w14:paraId="352563E6" w14:textId="77777777" w:rsidR="007576F0" w:rsidRPr="007576F0" w:rsidRDefault="007576F0" w:rsidP="007576F0">
      <w:pPr>
        <w:spacing w:line="300" w:lineRule="exact"/>
        <w:ind w:left="1049" w:hanging="341"/>
        <w:rPr>
          <w:rFonts w:ascii="標楷體" w:eastAsia="標楷體" w:hAnsi="標楷體"/>
          <w:color w:val="000000"/>
        </w:rPr>
      </w:pPr>
      <w:r w:rsidRPr="007576F0">
        <w:rPr>
          <w:rFonts w:ascii="標楷體" w:eastAsia="標楷體" w:hAnsi="標楷體"/>
          <w:color w:val="000000"/>
        </w:rPr>
        <w:t>(3)無效後則</w:t>
      </w:r>
      <w:proofErr w:type="gramStart"/>
      <w:r w:rsidRPr="007576F0">
        <w:rPr>
          <w:rFonts w:ascii="標楷體" w:eastAsia="標楷體" w:hAnsi="標楷體"/>
          <w:color w:val="000000"/>
        </w:rPr>
        <w:t>不</w:t>
      </w:r>
      <w:proofErr w:type="gramEnd"/>
      <w:r w:rsidRPr="007576F0">
        <w:rPr>
          <w:rFonts w:ascii="標楷體" w:eastAsia="標楷體" w:hAnsi="標楷體"/>
          <w:color w:val="000000"/>
        </w:rPr>
        <w:t>給付</w:t>
      </w:r>
      <w:proofErr w:type="gramStart"/>
      <w:r w:rsidRPr="007576F0">
        <w:rPr>
          <w:rFonts w:ascii="標楷體" w:eastAsia="標楷體" w:hAnsi="標楷體"/>
          <w:color w:val="000000"/>
        </w:rPr>
        <w:t>其他酪胺酸激酶</w:t>
      </w:r>
      <w:proofErr w:type="gramEnd"/>
      <w:r w:rsidRPr="007576F0">
        <w:rPr>
          <w:rFonts w:ascii="標楷體" w:eastAsia="標楷體" w:hAnsi="標楷體"/>
          <w:color w:val="000000"/>
        </w:rPr>
        <w:t>阻斷劑TKI。</w:t>
      </w:r>
    </w:p>
    <w:p w14:paraId="7676330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2.病人若對藥物產生耐受性不佳（intolerance），則以原來藥物減量為原則，若嚴重耐受性不佳，可以換</w:t>
      </w:r>
      <w:proofErr w:type="gramStart"/>
      <w:r w:rsidRPr="007576F0">
        <w:rPr>
          <w:rFonts w:ascii="標楷體" w:eastAsia="標楷體" w:hAnsi="標楷體"/>
          <w:color w:val="000000"/>
        </w:rPr>
        <w:t>其他酪胺酸激酶</w:t>
      </w:r>
      <w:proofErr w:type="gramEnd"/>
      <w:r w:rsidRPr="007576F0">
        <w:rPr>
          <w:rFonts w:ascii="標楷體" w:eastAsia="標楷體" w:hAnsi="標楷體"/>
          <w:color w:val="000000"/>
        </w:rPr>
        <w:t>阻斷劑（tyrosine kinase inhibitor, TKI）。</w:t>
      </w:r>
    </w:p>
    <w:p w14:paraId="2F90E139"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9.39.Flutamide；</w:t>
      </w:r>
      <w:proofErr w:type="spellStart"/>
      <w:r w:rsidRPr="007576F0">
        <w:rPr>
          <w:rFonts w:ascii="標楷體" w:eastAsia="標楷體" w:hAnsi="標楷體"/>
          <w:color w:val="000000"/>
        </w:rPr>
        <w:t>buserelin</w:t>
      </w:r>
      <w:proofErr w:type="spellEnd"/>
      <w:r w:rsidRPr="007576F0">
        <w:rPr>
          <w:rFonts w:ascii="標楷體" w:eastAsia="標楷體" w:hAnsi="標楷體"/>
          <w:color w:val="000000"/>
        </w:rPr>
        <w:t>：（90/8/1、101/7/1）</w:t>
      </w:r>
    </w:p>
    <w:p w14:paraId="641D126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1.晚期（包括T3、淋巴腺轉移、器官轉移）之腫瘤。</w:t>
      </w:r>
    </w:p>
    <w:p w14:paraId="4A5823A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2.攝護腺癌病人接受根除性攝護腺切除手術治療後，PSA逐漸升高有局部復發或遠處轉移之情況。</w:t>
      </w:r>
    </w:p>
    <w:p w14:paraId="325CB1E2"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3.癌症臨床期別為T2、T3，準備接受根除性攝護腺切除手術治療或</w:t>
      </w:r>
      <w:proofErr w:type="gramStart"/>
      <w:r w:rsidRPr="007576F0">
        <w:rPr>
          <w:rFonts w:ascii="標楷體" w:eastAsia="標楷體" w:hAnsi="標楷體"/>
          <w:color w:val="000000"/>
        </w:rPr>
        <w:t>其他定效治療</w:t>
      </w:r>
      <w:proofErr w:type="gramEnd"/>
      <w:r w:rsidRPr="007576F0">
        <w:rPr>
          <w:rFonts w:ascii="標楷體" w:eastAsia="標楷體" w:hAnsi="標楷體"/>
          <w:color w:val="000000"/>
        </w:rPr>
        <w:t>，包括irradiation之前為求tumor volume reduction，作為neoadjuvant治療之目的。</w:t>
      </w:r>
    </w:p>
    <w:p w14:paraId="2920FA61" w14:textId="77777777" w:rsidR="007576F0" w:rsidRPr="007576F0" w:rsidRDefault="007576F0" w:rsidP="007576F0">
      <w:pPr>
        <w:spacing w:line="300" w:lineRule="exact"/>
        <w:ind w:left="672" w:hanging="386"/>
        <w:rPr>
          <w:rFonts w:ascii="標楷體" w:eastAsia="標楷體" w:hAnsi="標楷體"/>
          <w:color w:val="000000"/>
        </w:rPr>
      </w:pPr>
      <w:r w:rsidRPr="007576F0">
        <w:rPr>
          <w:rFonts w:ascii="標楷體" w:eastAsia="標楷體" w:hAnsi="標楷體"/>
          <w:color w:val="000000"/>
        </w:rPr>
        <w:t>9.40.Bicalutamide：（89/10/1、101/7/1）</w:t>
      </w:r>
    </w:p>
    <w:p w14:paraId="71321574" w14:textId="77777777" w:rsidR="007576F0" w:rsidRPr="007576F0" w:rsidRDefault="007576F0" w:rsidP="007576F0">
      <w:pPr>
        <w:spacing w:line="300" w:lineRule="exact"/>
        <w:ind w:left="798" w:hanging="1"/>
        <w:rPr>
          <w:rFonts w:ascii="標楷體" w:eastAsia="標楷體" w:hAnsi="標楷體"/>
          <w:color w:val="000000"/>
        </w:rPr>
      </w:pPr>
      <w:r w:rsidRPr="007576F0">
        <w:rPr>
          <w:rFonts w:ascii="標楷體" w:eastAsia="標楷體" w:hAnsi="標楷體"/>
          <w:color w:val="000000"/>
        </w:rPr>
        <w:t>限用於與LHRH</w:t>
      </w:r>
      <w:proofErr w:type="gramStart"/>
      <w:r w:rsidRPr="007576F0">
        <w:rPr>
          <w:rFonts w:ascii="標楷體" w:eastAsia="標楷體" w:hAnsi="標楷體"/>
          <w:color w:val="000000"/>
        </w:rPr>
        <w:t>類似劑</w:t>
      </w:r>
      <w:proofErr w:type="gramEnd"/>
      <w:r w:rsidRPr="007576F0">
        <w:rPr>
          <w:rFonts w:ascii="標楷體" w:eastAsia="標楷體" w:hAnsi="標楷體"/>
          <w:color w:val="000000"/>
        </w:rPr>
        <w:t>療法或手術去勢療法</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用於進展性攝護腺癌。</w:t>
      </w:r>
    </w:p>
    <w:p w14:paraId="296E0884" w14:textId="77777777" w:rsidR="007576F0" w:rsidRPr="007576F0" w:rsidRDefault="007576F0" w:rsidP="007576F0">
      <w:pPr>
        <w:spacing w:line="300" w:lineRule="exact"/>
        <w:ind w:left="851" w:hanging="598"/>
        <w:rPr>
          <w:rFonts w:ascii="標楷體" w:eastAsia="標楷體" w:hAnsi="標楷體"/>
          <w:color w:val="000000"/>
        </w:rPr>
      </w:pPr>
      <w:r w:rsidRPr="007576F0">
        <w:rPr>
          <w:rFonts w:ascii="標楷體" w:eastAsia="標楷體" w:hAnsi="標楷體"/>
          <w:color w:val="000000"/>
        </w:rPr>
        <w:t>9.41.Pazopanib（如</w:t>
      </w:r>
      <w:proofErr w:type="spellStart"/>
      <w:r w:rsidRPr="007576F0">
        <w:rPr>
          <w:rFonts w:ascii="標楷體" w:eastAsia="標楷體" w:hAnsi="標楷體"/>
          <w:color w:val="000000"/>
        </w:rPr>
        <w:t>Votrient</w:t>
      </w:r>
      <w:proofErr w:type="spellEnd"/>
      <w:r w:rsidRPr="007576F0">
        <w:rPr>
          <w:rFonts w:ascii="標楷體" w:eastAsia="標楷體" w:hAnsi="標楷體"/>
          <w:color w:val="000000"/>
        </w:rPr>
        <w:t>）：（101/8/1、104/4/1、106/3/1、110/12/1、112/10/1）附表九之十三</w:t>
      </w:r>
    </w:p>
    <w:p w14:paraId="7D496FB7"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1.腎細胞癌：（106/3/1、110/12/1）</w:t>
      </w:r>
    </w:p>
    <w:p w14:paraId="054FAF6D"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(1)可用於第一線治療晚期或</w:t>
      </w:r>
      <w:proofErr w:type="gramStart"/>
      <w:r w:rsidRPr="007576F0">
        <w:rPr>
          <w:rFonts w:ascii="標楷體" w:eastAsia="標楷體" w:hAnsi="標楷體"/>
          <w:color w:val="000000"/>
        </w:rPr>
        <w:t>轉移性腎細胞</w:t>
      </w:r>
      <w:proofErr w:type="gramEnd"/>
      <w:r w:rsidRPr="007576F0">
        <w:rPr>
          <w:rFonts w:ascii="標楷體" w:eastAsia="標楷體" w:hAnsi="標楷體"/>
          <w:color w:val="000000"/>
        </w:rPr>
        <w:t>癌，其病理</w:t>
      </w:r>
      <w:proofErr w:type="gramStart"/>
      <w:r w:rsidRPr="007576F0">
        <w:rPr>
          <w:rFonts w:ascii="標楷體" w:eastAsia="標楷體" w:hAnsi="標楷體"/>
          <w:color w:val="000000"/>
        </w:rPr>
        <w:t>上為亮細胞</w:t>
      </w:r>
      <w:proofErr w:type="gramEnd"/>
      <w:r w:rsidRPr="007576F0">
        <w:rPr>
          <w:rFonts w:ascii="標楷體" w:eastAsia="標楷體" w:hAnsi="標楷體"/>
          <w:color w:val="000000"/>
        </w:rPr>
        <w:t>癌(clear cell renal carcinoma)。</w:t>
      </w:r>
    </w:p>
    <w:p w14:paraId="5D09AA75"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(2)</w:t>
      </w:r>
      <w:proofErr w:type="gramStart"/>
      <w:r w:rsidRPr="007576F0">
        <w:rPr>
          <w:rFonts w:ascii="標楷體" w:eastAsia="標楷體" w:hAnsi="標楷體"/>
          <w:color w:val="000000"/>
        </w:rPr>
        <w:t>本品使用</w:t>
      </w:r>
      <w:proofErr w:type="gramEnd"/>
      <w:r w:rsidRPr="007576F0">
        <w:rPr>
          <w:rFonts w:ascii="標楷體" w:eastAsia="標楷體" w:hAnsi="標楷體"/>
          <w:color w:val="000000"/>
        </w:rPr>
        <w:t>無效後，不得申請使用</w:t>
      </w:r>
      <w:proofErr w:type="spellStart"/>
      <w:r w:rsidRPr="007576F0">
        <w:rPr>
          <w:rFonts w:ascii="標楷體" w:eastAsia="標楷體" w:hAnsi="標楷體"/>
          <w:color w:val="000000"/>
        </w:rPr>
        <w:t>temsirolimus</w:t>
      </w:r>
      <w:proofErr w:type="spellEnd"/>
      <w:r w:rsidRPr="007576F0">
        <w:rPr>
          <w:rFonts w:ascii="標楷體" w:eastAsia="標楷體" w:hAnsi="標楷體"/>
          <w:color w:val="000000"/>
        </w:rPr>
        <w:t>。（110/12/1）</w:t>
      </w:r>
    </w:p>
    <w:p w14:paraId="56DD3DBE"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(3)需檢送影像資料，每三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月評估一次。(106/3/1)</w:t>
      </w:r>
    </w:p>
    <w:p w14:paraId="009689CE"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(4)病人若對藥物產生耐受性不佳（intolerance），則以原來藥物減量為原則，若嚴重耐受性不佳，可以換其他TKI。</w:t>
      </w:r>
    </w:p>
    <w:p w14:paraId="2A3146E7"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2.軟組織肉瘤：（104/4/1、112/10/1）</w:t>
      </w:r>
    </w:p>
    <w:p w14:paraId="3F79E60F"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(1)用於治療先前曾接受化療失敗的晚期軟組織肉瘤(STS)患者。其病情若能接受手術治療者，須先經手術治療。</w:t>
      </w:r>
    </w:p>
    <w:p w14:paraId="427BA022" w14:textId="77777777" w:rsidR="007576F0" w:rsidRPr="007576F0" w:rsidRDefault="007576F0" w:rsidP="007576F0">
      <w:pPr>
        <w:spacing w:line="300" w:lineRule="exact"/>
        <w:ind w:left="993" w:hanging="367"/>
      </w:pPr>
      <w:r w:rsidRPr="007576F0">
        <w:rPr>
          <w:rFonts w:ascii="標楷體" w:eastAsia="標楷體" w:hAnsi="標楷體"/>
          <w:color w:val="000000"/>
        </w:rPr>
        <w:t>(2)須排除胃腸</w:t>
      </w:r>
      <w:proofErr w:type="gramStart"/>
      <w:r w:rsidRPr="007576F0">
        <w:rPr>
          <w:rFonts w:ascii="標楷體" w:eastAsia="標楷體" w:hAnsi="標楷體"/>
          <w:color w:val="000000"/>
        </w:rPr>
        <w:t>道基質瘤</w:t>
      </w:r>
      <w:proofErr w:type="gramEnd"/>
      <w:r w:rsidRPr="007576F0">
        <w:rPr>
          <w:rFonts w:ascii="標楷體" w:eastAsia="標楷體" w:hAnsi="標楷體"/>
          <w:color w:val="000000"/>
        </w:rPr>
        <w:t>、脂肪惡性肉瘤、橫紋肌惡性肉瘤、軟骨惡性肉瘤、</w:t>
      </w:r>
      <w:proofErr w:type="gramStart"/>
      <w:r w:rsidRPr="007576F0">
        <w:rPr>
          <w:rFonts w:ascii="標楷體" w:eastAsia="標楷體" w:hAnsi="標楷體"/>
          <w:color w:val="000000"/>
        </w:rPr>
        <w:t>骨性惡性</w:t>
      </w:r>
      <w:proofErr w:type="gramEnd"/>
      <w:r w:rsidRPr="007576F0">
        <w:rPr>
          <w:rFonts w:ascii="標楷體" w:eastAsia="標楷體" w:hAnsi="標楷體"/>
          <w:color w:val="000000"/>
        </w:rPr>
        <w:t>肉瘤、</w:t>
      </w:r>
      <w:proofErr w:type="gramStart"/>
      <w:r w:rsidRPr="007576F0">
        <w:rPr>
          <w:rFonts w:ascii="標楷體" w:eastAsia="標楷體" w:hAnsi="標楷體"/>
          <w:color w:val="000000"/>
        </w:rPr>
        <w:t>依文氏</w:t>
      </w:r>
      <w:proofErr w:type="gramEnd"/>
      <w:r w:rsidRPr="007576F0">
        <w:rPr>
          <w:rFonts w:ascii="標楷體" w:eastAsia="標楷體" w:hAnsi="標楷體"/>
          <w:color w:val="000000"/>
        </w:rPr>
        <w:t>(Ewing</w:t>
      </w:r>
      <w:proofErr w:type="gramStart"/>
      <w:r w:rsidRPr="007576F0">
        <w:rPr>
          <w:rFonts w:eastAsia="標楷體" w:cs="Calibri"/>
          <w:color w:val="000000"/>
        </w:rPr>
        <w:t>’</w:t>
      </w:r>
      <w:proofErr w:type="gramEnd"/>
      <w:r w:rsidRPr="007576F0">
        <w:rPr>
          <w:rFonts w:ascii="標楷體" w:eastAsia="標楷體" w:hAnsi="標楷體"/>
          <w:color w:val="000000"/>
        </w:rPr>
        <w:t>s sarcoma)惡性肉瘤、原發性神經外胚層腫瘤(primitive neuroectodermal tumor)或突起性表皮纖維惡性腫瘤(dermatofibrosarcoma protuberance)的患者。（104/4/1、112/10/1）</w:t>
      </w:r>
    </w:p>
    <w:p w14:paraId="1BBB0FDF" w14:textId="77777777" w:rsidR="007576F0" w:rsidRPr="007576F0" w:rsidRDefault="007576F0" w:rsidP="007576F0">
      <w:pPr>
        <w:spacing w:line="300" w:lineRule="exact"/>
        <w:ind w:left="993" w:hanging="367"/>
        <w:rPr>
          <w:rFonts w:ascii="標楷體" w:eastAsia="標楷體" w:hAnsi="標楷體"/>
          <w:color w:val="000000"/>
        </w:rPr>
      </w:pPr>
      <w:r w:rsidRPr="007576F0">
        <w:rPr>
          <w:rFonts w:ascii="標楷體" w:eastAsia="標楷體" w:hAnsi="標楷體"/>
          <w:color w:val="000000"/>
        </w:rPr>
        <w:t>(3)須經事前審查核准後使用，每次申請</w:t>
      </w:r>
      <w:proofErr w:type="gramStart"/>
      <w:r w:rsidRPr="007576F0">
        <w:rPr>
          <w:rFonts w:ascii="標楷體" w:eastAsia="標楷體" w:hAnsi="標楷體"/>
          <w:color w:val="000000"/>
        </w:rPr>
        <w:t>療</w:t>
      </w:r>
      <w:proofErr w:type="gramEnd"/>
      <w:r w:rsidRPr="007576F0">
        <w:rPr>
          <w:rFonts w:ascii="標楷體" w:eastAsia="標楷體" w:hAnsi="標楷體"/>
          <w:color w:val="000000"/>
        </w:rPr>
        <w:t>程以三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月為限，每三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月需再次申請。(須檢附影像學報告)</w:t>
      </w:r>
    </w:p>
    <w:p w14:paraId="725C977B" w14:textId="77777777" w:rsidR="007576F0" w:rsidRPr="007576F0" w:rsidRDefault="007576F0" w:rsidP="007576F0">
      <w:pPr>
        <w:spacing w:line="300" w:lineRule="exact"/>
        <w:ind w:left="672" w:hanging="386"/>
      </w:pPr>
      <w:r w:rsidRPr="007576F0">
        <w:rPr>
          <w:rFonts w:ascii="標楷體" w:eastAsia="標楷體" w:hAnsi="標楷體"/>
          <w:bCs/>
          <w:color w:val="000000"/>
        </w:rPr>
        <w:t>9.42.Bendamustine（如</w:t>
      </w:r>
      <w:proofErr w:type="spellStart"/>
      <w:r w:rsidRPr="007576F0">
        <w:rPr>
          <w:rFonts w:ascii="標楷體" w:eastAsia="標楷體" w:hAnsi="標楷體"/>
          <w:bCs/>
          <w:color w:val="000000"/>
        </w:rPr>
        <w:t>Innomustine</w:t>
      </w:r>
      <w:proofErr w:type="spellEnd"/>
      <w:r w:rsidRPr="007576F0">
        <w:rPr>
          <w:rFonts w:ascii="標楷體" w:eastAsia="標楷體" w:hAnsi="標楷體"/>
          <w:bCs/>
          <w:color w:val="000000"/>
        </w:rPr>
        <w:t>）</w:t>
      </w:r>
      <w:r w:rsidRPr="007576F0">
        <w:rPr>
          <w:rFonts w:ascii="新細明體" w:hAnsi="新細明體"/>
          <w:bCs/>
          <w:color w:val="000000"/>
        </w:rPr>
        <w:t>：</w:t>
      </w:r>
      <w:r w:rsidRPr="007576F0">
        <w:rPr>
          <w:rFonts w:ascii="標楷體" w:eastAsia="標楷體" w:hAnsi="標楷體"/>
          <w:bCs/>
          <w:color w:val="000000"/>
        </w:rPr>
        <w:t>(101/10/1、103/2/1、108/10/1、113/2/1)</w:t>
      </w:r>
    </w:p>
    <w:p w14:paraId="652C2FBC" w14:textId="77777777" w:rsidR="007576F0" w:rsidRPr="007576F0" w:rsidRDefault="007576F0" w:rsidP="007576F0">
      <w:pPr>
        <w:spacing w:line="300" w:lineRule="exact"/>
        <w:ind w:left="811" w:hanging="245"/>
        <w:rPr>
          <w:rFonts w:ascii="標楷體" w:eastAsia="標楷體" w:hAnsi="標楷體"/>
          <w:bCs/>
          <w:color w:val="000000"/>
        </w:rPr>
      </w:pPr>
      <w:r w:rsidRPr="007576F0">
        <w:rPr>
          <w:rFonts w:ascii="標楷體" w:eastAsia="標楷體" w:hAnsi="標楷體"/>
          <w:bCs/>
          <w:color w:val="000000"/>
        </w:rPr>
        <w:t>1.</w:t>
      </w:r>
      <w:proofErr w:type="gramStart"/>
      <w:r w:rsidRPr="007576F0">
        <w:rPr>
          <w:rFonts w:ascii="標楷體" w:eastAsia="標楷體" w:hAnsi="標楷體"/>
          <w:bCs/>
          <w:color w:val="000000"/>
        </w:rPr>
        <w:t>以本品作為</w:t>
      </w:r>
      <w:proofErr w:type="gramEnd"/>
      <w:r w:rsidRPr="007576F0">
        <w:rPr>
          <w:rFonts w:ascii="標楷體" w:eastAsia="標楷體" w:hAnsi="標楷體"/>
          <w:bCs/>
          <w:color w:val="000000"/>
        </w:rPr>
        <w:t xml:space="preserve">第一線治療，限用於Binet C級之慢性淋巴性白血病病人(CLL)或Binet </w:t>
      </w:r>
      <w:r w:rsidRPr="007576F0">
        <w:rPr>
          <w:rFonts w:ascii="標楷體" w:eastAsia="標楷體" w:hAnsi="標楷體"/>
          <w:bCs/>
          <w:color w:val="000000"/>
        </w:rPr>
        <w:lastRenderedPageBreak/>
        <w:t>B級</w:t>
      </w:r>
      <w:proofErr w:type="gramStart"/>
      <w:r w:rsidRPr="007576F0">
        <w:rPr>
          <w:rFonts w:ascii="標楷體" w:eastAsia="標楷體" w:hAnsi="標楷體"/>
          <w:bCs/>
          <w:color w:val="000000"/>
        </w:rPr>
        <w:t>併</w:t>
      </w:r>
      <w:proofErr w:type="gramEnd"/>
      <w:r w:rsidRPr="007576F0">
        <w:rPr>
          <w:rFonts w:ascii="標楷體" w:eastAsia="標楷體" w:hAnsi="標楷體"/>
          <w:bCs/>
          <w:color w:val="000000"/>
        </w:rPr>
        <w:t>有免疫性症候(如自體免疫性溶血、免疫性血小板低下紫</w:t>
      </w:r>
      <w:proofErr w:type="gramStart"/>
      <w:r w:rsidRPr="007576F0">
        <w:rPr>
          <w:rFonts w:ascii="標楷體" w:eastAsia="標楷體" w:hAnsi="標楷體"/>
          <w:bCs/>
          <w:color w:val="000000"/>
        </w:rPr>
        <w:t>瘢</w:t>
      </w:r>
      <w:proofErr w:type="gramEnd"/>
      <w:r w:rsidRPr="007576F0">
        <w:rPr>
          <w:rFonts w:ascii="標楷體" w:eastAsia="標楷體" w:hAnsi="標楷體"/>
          <w:bCs/>
          <w:color w:val="000000"/>
        </w:rPr>
        <w:t>症等)相關疾病之CLL病人。</w:t>
      </w:r>
    </w:p>
    <w:p w14:paraId="6B30286B" w14:textId="77777777" w:rsidR="007576F0" w:rsidRPr="007576F0" w:rsidRDefault="007576F0" w:rsidP="007576F0">
      <w:pPr>
        <w:spacing w:line="300" w:lineRule="exact"/>
        <w:ind w:left="811" w:hanging="245"/>
        <w:rPr>
          <w:rFonts w:ascii="標楷體" w:eastAsia="標楷體" w:hAnsi="標楷體"/>
          <w:bCs/>
          <w:color w:val="000000"/>
        </w:rPr>
      </w:pPr>
      <w:r w:rsidRPr="007576F0">
        <w:rPr>
          <w:rFonts w:ascii="標楷體" w:eastAsia="標楷體" w:hAnsi="標楷體"/>
          <w:bCs/>
          <w:color w:val="000000"/>
        </w:rPr>
        <w:t>2.用於B-細胞慢性淋巴性白血病（CLL）病患Binet B及C之第二線治療，在經歷至少一種標準內容</w:t>
      </w:r>
      <w:proofErr w:type="gramStart"/>
      <w:r w:rsidRPr="007576F0">
        <w:rPr>
          <w:rFonts w:ascii="標楷體" w:eastAsia="標楷體" w:hAnsi="標楷體"/>
          <w:bCs/>
          <w:color w:val="000000"/>
        </w:rPr>
        <w:t>的烷化基</w:t>
      </w:r>
      <w:proofErr w:type="gramEnd"/>
      <w:r w:rsidRPr="007576F0">
        <w:rPr>
          <w:rFonts w:ascii="標楷體" w:eastAsia="標楷體" w:hAnsi="標楷體"/>
          <w:bCs/>
          <w:color w:val="000000"/>
        </w:rPr>
        <w:t>藥劑（alkylating agent）治療方法無效，或治療後雖有效但隨後疾病又繼續惡化進展的病人。</w:t>
      </w:r>
    </w:p>
    <w:p w14:paraId="318B8B01" w14:textId="77777777" w:rsidR="007576F0" w:rsidRPr="007576F0" w:rsidRDefault="007576F0" w:rsidP="007576F0">
      <w:pPr>
        <w:spacing w:line="300" w:lineRule="exact"/>
        <w:ind w:left="811" w:hanging="245"/>
        <w:rPr>
          <w:rFonts w:ascii="標楷體" w:eastAsia="標楷體" w:hAnsi="標楷體"/>
          <w:bCs/>
          <w:color w:val="000000"/>
        </w:rPr>
      </w:pPr>
      <w:r w:rsidRPr="007576F0">
        <w:rPr>
          <w:rFonts w:ascii="標楷體" w:eastAsia="標楷體" w:hAnsi="標楷體"/>
          <w:bCs/>
          <w:color w:val="000000"/>
        </w:rPr>
        <w:t>3.曾接受至少一種化療之和緩</w:t>
      </w:r>
      <w:proofErr w:type="gramStart"/>
      <w:r w:rsidRPr="007576F0">
        <w:rPr>
          <w:rFonts w:ascii="標楷體" w:eastAsia="標楷體" w:hAnsi="標楷體"/>
          <w:bCs/>
          <w:color w:val="000000"/>
        </w:rPr>
        <w:t>性非何杰</w:t>
      </w:r>
      <w:proofErr w:type="gramEnd"/>
      <w:r w:rsidRPr="007576F0">
        <w:rPr>
          <w:rFonts w:ascii="標楷體" w:eastAsia="標楷體" w:hAnsi="標楷體"/>
          <w:bCs/>
          <w:color w:val="000000"/>
        </w:rPr>
        <w:t>金氏淋巴瘤，六個月內曾以rituximab治療失敗之單一治療。(103/2/1)</w:t>
      </w:r>
    </w:p>
    <w:p w14:paraId="51608233" w14:textId="77777777" w:rsidR="007576F0" w:rsidRPr="007576F0" w:rsidRDefault="007576F0" w:rsidP="007576F0">
      <w:pPr>
        <w:spacing w:line="300" w:lineRule="exact"/>
        <w:ind w:left="811" w:hanging="245"/>
      </w:pPr>
      <w:r w:rsidRPr="007576F0">
        <w:rPr>
          <w:rFonts w:ascii="標楷體" w:eastAsia="標楷體" w:hAnsi="標楷體"/>
          <w:bCs/>
          <w:color w:val="000000"/>
        </w:rPr>
        <w:t>4.</w:t>
      </w:r>
      <w:r w:rsidRPr="007576F0">
        <w:t xml:space="preserve"> </w:t>
      </w:r>
      <w:r w:rsidRPr="007576F0">
        <w:rPr>
          <w:rFonts w:ascii="標楷體" w:eastAsia="標楷體" w:hAnsi="標楷體"/>
          <w:bCs/>
          <w:color w:val="000000"/>
        </w:rPr>
        <w:t>合併rituximab適用於先前未曾接受治療的CD20陽性、第III/IV期和緩</w:t>
      </w:r>
      <w:proofErr w:type="gramStart"/>
      <w:r w:rsidRPr="007576F0">
        <w:rPr>
          <w:rFonts w:ascii="標楷體" w:eastAsia="標楷體" w:hAnsi="標楷體"/>
          <w:bCs/>
          <w:color w:val="000000"/>
        </w:rPr>
        <w:t>性非何杰</w:t>
      </w:r>
      <w:proofErr w:type="gramEnd"/>
      <w:r w:rsidRPr="007576F0">
        <w:rPr>
          <w:rFonts w:ascii="標楷體" w:eastAsia="標楷體" w:hAnsi="標楷體"/>
          <w:bCs/>
          <w:color w:val="000000"/>
        </w:rPr>
        <w:t>金氏淋巴瘤。(108/10/1)</w:t>
      </w:r>
    </w:p>
    <w:p w14:paraId="7E6FBA63" w14:textId="77777777" w:rsidR="007576F0" w:rsidRPr="007576F0" w:rsidRDefault="007576F0" w:rsidP="007576F0">
      <w:pPr>
        <w:spacing w:line="300" w:lineRule="exact"/>
        <w:ind w:left="811" w:hanging="245"/>
      </w:pPr>
      <w:r w:rsidRPr="007576F0">
        <w:rPr>
          <w:rFonts w:ascii="標楷體" w:eastAsia="標楷體" w:hAnsi="標楷體"/>
          <w:bCs/>
          <w:color w:val="000000"/>
        </w:rPr>
        <w:t>5.</w:t>
      </w:r>
      <w:r w:rsidRPr="007576F0">
        <w:t xml:space="preserve"> </w:t>
      </w:r>
      <w:r w:rsidRPr="007576F0">
        <w:rPr>
          <w:rFonts w:ascii="標楷體" w:eastAsia="標楷體" w:hAnsi="標楷體"/>
          <w:bCs/>
          <w:color w:val="000000"/>
        </w:rPr>
        <w:t>合併rituximab用於先前未曾接受治療且不適合自體幹細胞移植的第III/IV期被套細胞淋巴瘤。(108/10/1)</w:t>
      </w:r>
    </w:p>
    <w:p w14:paraId="1F4E5C55" w14:textId="77777777" w:rsidR="007576F0" w:rsidRPr="007576F0" w:rsidRDefault="007576F0" w:rsidP="007576F0">
      <w:pPr>
        <w:spacing w:line="300" w:lineRule="exact"/>
        <w:ind w:left="811" w:hanging="245"/>
      </w:pPr>
      <w:r w:rsidRPr="007576F0">
        <w:rPr>
          <w:rFonts w:ascii="標楷體" w:eastAsia="標楷體" w:hAnsi="標楷體"/>
          <w:bCs/>
          <w:color w:val="000000"/>
        </w:rPr>
        <w:t>6.</w:t>
      </w:r>
      <w:r w:rsidRPr="007576F0">
        <w:rPr>
          <w:rFonts w:ascii="標楷體" w:eastAsia="標楷體" w:hAnsi="標楷體"/>
          <w:szCs w:val="24"/>
        </w:rPr>
        <w:t>可與</w:t>
      </w:r>
      <w:proofErr w:type="spellStart"/>
      <w:r w:rsidRPr="007576F0">
        <w:rPr>
          <w:rFonts w:ascii="標楷體" w:eastAsia="標楷體" w:hAnsi="標楷體"/>
          <w:szCs w:val="24"/>
        </w:rPr>
        <w:t>polatuzumab</w:t>
      </w:r>
      <w:proofErr w:type="spellEnd"/>
      <w:r w:rsidRPr="007576F0">
        <w:rPr>
          <w:rFonts w:ascii="標楷體" w:eastAsia="標楷體" w:hAnsi="標楷體"/>
          <w:szCs w:val="24"/>
        </w:rPr>
        <w:t xml:space="preserve"> </w:t>
      </w:r>
      <w:proofErr w:type="spellStart"/>
      <w:r w:rsidRPr="007576F0">
        <w:rPr>
          <w:rFonts w:ascii="標楷體" w:eastAsia="標楷體" w:hAnsi="標楷體"/>
          <w:szCs w:val="24"/>
        </w:rPr>
        <w:t>vedotin</w:t>
      </w:r>
      <w:proofErr w:type="spellEnd"/>
      <w:r w:rsidRPr="007576F0">
        <w:rPr>
          <w:rFonts w:ascii="標楷體" w:eastAsia="標楷體" w:hAnsi="標楷體"/>
          <w:szCs w:val="24"/>
        </w:rPr>
        <w:t>和rituximab</w:t>
      </w:r>
      <w:proofErr w:type="gramStart"/>
      <w:r w:rsidRPr="007576F0">
        <w:rPr>
          <w:rFonts w:ascii="標楷體" w:eastAsia="標楷體" w:hAnsi="標楷體"/>
          <w:szCs w:val="24"/>
        </w:rPr>
        <w:t>併</w:t>
      </w:r>
      <w:proofErr w:type="gramEnd"/>
      <w:r w:rsidRPr="007576F0">
        <w:rPr>
          <w:rFonts w:ascii="標楷體" w:eastAsia="標楷體" w:hAnsi="標楷體"/>
          <w:szCs w:val="24"/>
        </w:rPr>
        <w:t>用，適用於第三線治療復發型(relapsed)</w:t>
      </w:r>
      <w:proofErr w:type="gramStart"/>
      <w:r w:rsidRPr="007576F0">
        <w:rPr>
          <w:rFonts w:ascii="標楷體" w:eastAsia="標楷體" w:hAnsi="標楷體"/>
          <w:szCs w:val="24"/>
        </w:rPr>
        <w:t>或難治型</w:t>
      </w:r>
      <w:proofErr w:type="gramEnd"/>
      <w:r w:rsidRPr="007576F0">
        <w:rPr>
          <w:rFonts w:ascii="標楷體" w:eastAsia="標楷體" w:hAnsi="標楷體"/>
          <w:szCs w:val="24"/>
        </w:rPr>
        <w:t>(refractory)且未曾接受及不適合接受造血幹細胞移植的瀰漫性大型B細胞淋巴瘤（DLBCL）成年病人，患者需符合</w:t>
      </w:r>
      <w:proofErr w:type="spellStart"/>
      <w:r w:rsidRPr="007576F0">
        <w:rPr>
          <w:rFonts w:ascii="標楷體" w:eastAsia="標楷體" w:hAnsi="標楷體"/>
          <w:szCs w:val="24"/>
        </w:rPr>
        <w:t>polatuzumab</w:t>
      </w:r>
      <w:proofErr w:type="spellEnd"/>
      <w:r w:rsidRPr="007576F0">
        <w:rPr>
          <w:rFonts w:ascii="標楷體" w:eastAsia="標楷體" w:hAnsi="標楷體"/>
          <w:szCs w:val="24"/>
        </w:rPr>
        <w:t xml:space="preserve"> </w:t>
      </w:r>
      <w:proofErr w:type="spellStart"/>
      <w:r w:rsidRPr="007576F0">
        <w:rPr>
          <w:rFonts w:ascii="標楷體" w:eastAsia="標楷體" w:hAnsi="標楷體"/>
          <w:szCs w:val="24"/>
        </w:rPr>
        <w:t>vedotin</w:t>
      </w:r>
      <w:proofErr w:type="spellEnd"/>
      <w:r w:rsidRPr="007576F0">
        <w:rPr>
          <w:rFonts w:ascii="標楷體" w:eastAsia="標楷體" w:hAnsi="標楷體"/>
          <w:szCs w:val="24"/>
        </w:rPr>
        <w:t>之藥品給付規定。(113/2/1)</w:t>
      </w:r>
    </w:p>
    <w:p w14:paraId="1C38DFCE" w14:textId="77777777" w:rsidR="007576F0" w:rsidRPr="007576F0" w:rsidRDefault="007576F0" w:rsidP="007576F0">
      <w:pPr>
        <w:spacing w:line="300" w:lineRule="exact"/>
        <w:ind w:left="811" w:hanging="245"/>
        <w:rPr>
          <w:rFonts w:ascii="標楷體" w:eastAsia="標楷體" w:hAnsi="標楷體"/>
          <w:bCs/>
          <w:color w:val="000000"/>
        </w:rPr>
      </w:pPr>
      <w:r w:rsidRPr="007576F0">
        <w:rPr>
          <w:rFonts w:ascii="標楷體" w:eastAsia="標楷體" w:hAnsi="標楷體"/>
          <w:bCs/>
          <w:color w:val="000000"/>
        </w:rPr>
        <w:t>7.不得與fludarabine合併使用。(103/2/1)</w:t>
      </w:r>
    </w:p>
    <w:p w14:paraId="4CEE9AC8" w14:textId="77777777" w:rsidR="007576F0" w:rsidRPr="007576F0" w:rsidRDefault="007576F0" w:rsidP="007576F0">
      <w:pPr>
        <w:spacing w:line="300" w:lineRule="exact"/>
        <w:ind w:left="811" w:hanging="245"/>
      </w:pPr>
      <w:r w:rsidRPr="007576F0">
        <w:rPr>
          <w:rFonts w:ascii="標楷體" w:eastAsia="標楷體" w:hAnsi="標楷體"/>
          <w:bCs/>
          <w:color w:val="000000"/>
        </w:rPr>
        <w:t>8.須經事前審查核准後使用，每次申請最多六個（月）療程</w:t>
      </w:r>
      <w:r w:rsidRPr="007576F0">
        <w:rPr>
          <w:rFonts w:ascii="標楷體" w:eastAsia="標楷體" w:hAnsi="標楷體"/>
          <w:szCs w:val="24"/>
        </w:rPr>
        <w:t>；若為依前述第6項與</w:t>
      </w:r>
      <w:proofErr w:type="spellStart"/>
      <w:r w:rsidRPr="007576F0">
        <w:rPr>
          <w:rFonts w:ascii="標楷體" w:eastAsia="標楷體" w:hAnsi="標楷體"/>
          <w:szCs w:val="24"/>
        </w:rPr>
        <w:t>polatuzumab</w:t>
      </w:r>
      <w:proofErr w:type="spellEnd"/>
      <w:r w:rsidRPr="007576F0">
        <w:rPr>
          <w:rFonts w:ascii="標楷體" w:eastAsia="標楷體" w:hAnsi="標楷體"/>
          <w:szCs w:val="24"/>
        </w:rPr>
        <w:t xml:space="preserve"> </w:t>
      </w:r>
      <w:proofErr w:type="spellStart"/>
      <w:r w:rsidRPr="007576F0">
        <w:rPr>
          <w:rFonts w:ascii="標楷體" w:eastAsia="標楷體" w:hAnsi="標楷體"/>
          <w:szCs w:val="24"/>
        </w:rPr>
        <w:t>vedotin</w:t>
      </w:r>
      <w:proofErr w:type="spellEnd"/>
      <w:r w:rsidRPr="007576F0">
        <w:rPr>
          <w:rFonts w:ascii="標楷體" w:eastAsia="標楷體" w:hAnsi="標楷體"/>
          <w:szCs w:val="24"/>
        </w:rPr>
        <w:t>和rituximab</w:t>
      </w:r>
      <w:proofErr w:type="gramStart"/>
      <w:r w:rsidRPr="007576F0">
        <w:rPr>
          <w:rFonts w:ascii="標楷體" w:eastAsia="標楷體" w:hAnsi="標楷體"/>
          <w:szCs w:val="24"/>
        </w:rPr>
        <w:t>併</w:t>
      </w:r>
      <w:proofErr w:type="gramEnd"/>
      <w:r w:rsidRPr="007576F0">
        <w:rPr>
          <w:rFonts w:ascii="標楷體" w:eastAsia="標楷體" w:hAnsi="標楷體"/>
          <w:szCs w:val="24"/>
        </w:rPr>
        <w:t>用時</w:t>
      </w:r>
      <w:r w:rsidRPr="007576F0">
        <w:rPr>
          <w:rFonts w:ascii="新細明體" w:hAnsi="新細明體"/>
          <w:szCs w:val="24"/>
        </w:rPr>
        <w:t>，</w:t>
      </w:r>
      <w:r w:rsidRPr="007576F0">
        <w:rPr>
          <w:rFonts w:ascii="標楷體" w:eastAsia="標楷體" w:hAnsi="標楷體"/>
          <w:szCs w:val="24"/>
        </w:rPr>
        <w:t>每次申請最多3個療程</w:t>
      </w:r>
      <w:r w:rsidRPr="007576F0">
        <w:rPr>
          <w:rFonts w:ascii="新細明體" w:hAnsi="新細明體"/>
          <w:szCs w:val="24"/>
        </w:rPr>
        <w:t>，</w:t>
      </w:r>
      <w:r w:rsidRPr="007576F0">
        <w:rPr>
          <w:rFonts w:ascii="標楷體" w:eastAsia="標楷體" w:hAnsi="標楷體"/>
          <w:szCs w:val="24"/>
        </w:rPr>
        <w:t>且最多給付6個療程</w:t>
      </w:r>
      <w:r w:rsidRPr="007576F0">
        <w:rPr>
          <w:rFonts w:ascii="新細明體" w:hAnsi="新細明體"/>
          <w:szCs w:val="24"/>
        </w:rPr>
        <w:t>。</w:t>
      </w:r>
      <w:r w:rsidRPr="007576F0">
        <w:rPr>
          <w:rFonts w:ascii="標楷體" w:eastAsia="標楷體" w:hAnsi="標楷體"/>
          <w:szCs w:val="24"/>
        </w:rPr>
        <w:t>(101/10/1、113/2/1)</w:t>
      </w:r>
      <w:r w:rsidRPr="007576F0">
        <w:rPr>
          <w:rFonts w:ascii="標楷體" w:eastAsia="標楷體" w:hAnsi="標楷體"/>
          <w:bCs/>
          <w:color w:val="000000"/>
          <w:szCs w:val="24"/>
        </w:rPr>
        <w:t>。</w:t>
      </w:r>
    </w:p>
    <w:p w14:paraId="78B4C64A" w14:textId="77777777" w:rsidR="007576F0" w:rsidRPr="007576F0" w:rsidRDefault="007576F0" w:rsidP="007576F0">
      <w:pPr>
        <w:spacing w:line="300" w:lineRule="exact"/>
        <w:ind w:left="709" w:hanging="353"/>
        <w:rPr>
          <w:rFonts w:ascii="標楷體" w:eastAsia="標楷體" w:hAnsi="標楷體"/>
          <w:color w:val="000000"/>
        </w:rPr>
      </w:pPr>
      <w:r w:rsidRPr="007576F0">
        <w:rPr>
          <w:rFonts w:ascii="標楷體" w:eastAsia="標楷體" w:hAnsi="標楷體" w:hint="eastAsia"/>
          <w:color w:val="000000"/>
        </w:rPr>
        <w:t>9.43.Lenalidomide(如Revlimid)：（101/12/1、106/10/1、109/2/1、109/8/1、112/4/1、114/10/1、115/3/1、115/4/1、115/5/1、115/8/1、115/9/1）</w:t>
      </w:r>
    </w:p>
    <w:p w14:paraId="4A280AB4" w14:textId="77777777" w:rsidR="007576F0" w:rsidRPr="007576F0" w:rsidRDefault="007576F0" w:rsidP="007576F0">
      <w:pPr>
        <w:spacing w:line="300" w:lineRule="exact"/>
        <w:ind w:left="567"/>
        <w:rPr>
          <w:rFonts w:ascii="標楷體" w:eastAsia="標楷體" w:hAnsi="標楷體"/>
          <w:color w:val="000000"/>
          <w:szCs w:val="24"/>
        </w:rPr>
      </w:pPr>
      <w:r w:rsidRPr="007576F0">
        <w:rPr>
          <w:rFonts w:ascii="標楷體" w:eastAsia="標楷體" w:hAnsi="標楷體" w:hint="eastAsia"/>
          <w:color w:val="000000"/>
          <w:szCs w:val="24"/>
        </w:rPr>
        <w:t>1.多發性骨髓瘤：</w:t>
      </w:r>
    </w:p>
    <w:p w14:paraId="7D2F851C"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(1)先前尚未接受過任何治療且不適用造血幹細胞移植的多發性骨髓瘤患者可使用lenalidomide</w:t>
      </w:r>
      <w:proofErr w:type="gramStart"/>
      <w:r w:rsidRPr="007576F0">
        <w:rPr>
          <w:rFonts w:ascii="標楷體" w:eastAsia="標楷體" w:hAnsi="標楷體" w:hint="eastAsia"/>
          <w:color w:val="000000"/>
          <w:szCs w:val="24"/>
        </w:rPr>
        <w:t>併</w:t>
      </w:r>
      <w:proofErr w:type="gramEnd"/>
      <w:r w:rsidRPr="007576F0">
        <w:rPr>
          <w:rFonts w:ascii="標楷體" w:eastAsia="標楷體" w:hAnsi="標楷體" w:hint="eastAsia"/>
          <w:color w:val="000000"/>
          <w:szCs w:val="24"/>
        </w:rPr>
        <w:t>用dexamethasone作為第一線治療。開始治療時病患須同時符合下列I與Ⅱ的條件：（109/2/1、109/8/1、112/4/1）</w:t>
      </w:r>
    </w:p>
    <w:p w14:paraId="23128EB1" w14:textId="77777777" w:rsidR="007576F0" w:rsidRPr="007576F0" w:rsidRDefault="007576F0" w:rsidP="007576F0">
      <w:pPr>
        <w:spacing w:line="300" w:lineRule="exact"/>
        <w:ind w:left="991" w:hanging="282"/>
      </w:pPr>
      <w:r w:rsidRPr="007576F0">
        <w:rPr>
          <w:rFonts w:ascii="標楷體" w:eastAsia="標楷體" w:hAnsi="標楷體" w:hint="eastAsia"/>
          <w:color w:val="000000"/>
          <w:szCs w:val="24"/>
        </w:rPr>
        <w:t>Ⅰ.</w:t>
      </w:r>
      <w:r w:rsidRPr="007576F0">
        <w:rPr>
          <w:rFonts w:ascii="標楷體" w:eastAsia="標楷體" w:hAnsi="標楷體" w:hint="eastAsia"/>
          <w:szCs w:val="24"/>
        </w:rPr>
        <w:t>骨髓</w:t>
      </w:r>
      <w:proofErr w:type="gramStart"/>
      <w:r w:rsidRPr="007576F0">
        <w:rPr>
          <w:rFonts w:ascii="標楷體" w:eastAsia="標楷體" w:hAnsi="標楷體" w:hint="eastAsia"/>
          <w:szCs w:val="24"/>
        </w:rPr>
        <w:t>漿</w:t>
      </w:r>
      <w:proofErr w:type="gramEnd"/>
      <w:r w:rsidRPr="007576F0">
        <w:rPr>
          <w:rFonts w:ascii="標楷體" w:eastAsia="標楷體" w:hAnsi="標楷體" w:hint="eastAsia"/>
          <w:szCs w:val="24"/>
        </w:rPr>
        <w:t>細胞(plasma cells)比例</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10%，或是經切片確認且有</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1顆的plasmacytoma。（112/4/1）</w:t>
      </w:r>
    </w:p>
    <w:p w14:paraId="19F8D82C" w14:textId="77777777" w:rsidR="007576F0" w:rsidRPr="007576F0" w:rsidRDefault="007576F0" w:rsidP="007576F0">
      <w:pPr>
        <w:spacing w:line="300" w:lineRule="exact"/>
        <w:ind w:left="991" w:hanging="282"/>
      </w:pPr>
      <w:r w:rsidRPr="007576F0">
        <w:rPr>
          <w:rFonts w:ascii="標楷體" w:eastAsia="標楷體" w:hAnsi="標楷體" w:hint="eastAsia"/>
          <w:color w:val="000000"/>
          <w:szCs w:val="24"/>
        </w:rPr>
        <w:t>Ⅱ.</w:t>
      </w:r>
      <w:r w:rsidRPr="007576F0">
        <w:rPr>
          <w:rFonts w:ascii="標楷體" w:eastAsia="標楷體" w:hAnsi="標楷體" w:hint="eastAsia"/>
          <w:szCs w:val="24"/>
        </w:rPr>
        <w:t>出現下列任</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臨床症狀：（112/4/1）</w:t>
      </w:r>
    </w:p>
    <w:p w14:paraId="7A89C87A" w14:textId="77777777" w:rsidR="007576F0" w:rsidRPr="007576F0" w:rsidRDefault="007576F0" w:rsidP="007576F0">
      <w:pPr>
        <w:spacing w:line="300" w:lineRule="exact"/>
        <w:ind w:left="1080" w:hanging="229"/>
      </w:pPr>
      <w:r w:rsidRPr="007576F0">
        <w:rPr>
          <w:rFonts w:ascii="新細明體" w:hAnsi="新細明體" w:hint="eastAsia"/>
          <w:color w:val="000000"/>
          <w:szCs w:val="24"/>
        </w:rPr>
        <w:t>ⅰ</w:t>
      </w:r>
      <w:r w:rsidRPr="007576F0">
        <w:rPr>
          <w:rFonts w:ascii="標楷體" w:eastAsia="標楷體" w:hAnsi="標楷體" w:hint="eastAsia"/>
          <w:color w:val="000000"/>
          <w:szCs w:val="24"/>
        </w:rPr>
        <w:t>.</w:t>
      </w:r>
      <w:r w:rsidRPr="007576F0">
        <w:rPr>
          <w:rFonts w:ascii="標楷體" w:eastAsia="標楷體" w:hAnsi="標楷體" w:hint="eastAsia"/>
          <w:szCs w:val="24"/>
        </w:rPr>
        <w:t>腎功能不全：serum creatinine＞2.0mg/dL或estimated GFR (eGFR)＜40 ml/min，且無其他原因可以解釋。</w:t>
      </w:r>
    </w:p>
    <w:p w14:paraId="12DCEEE1" w14:textId="77777777" w:rsidR="007576F0" w:rsidRPr="007576F0" w:rsidRDefault="007576F0" w:rsidP="007576F0">
      <w:pPr>
        <w:spacing w:line="300" w:lineRule="exact"/>
        <w:ind w:left="1080" w:hanging="229"/>
      </w:pPr>
      <w:r w:rsidRPr="007576F0">
        <w:rPr>
          <w:rFonts w:ascii="新細明體" w:hAnsi="新細明體" w:hint="eastAsia"/>
          <w:color w:val="000000"/>
          <w:szCs w:val="24"/>
        </w:rPr>
        <w:t>ⅱ.</w:t>
      </w:r>
      <w:r w:rsidRPr="007576F0">
        <w:rPr>
          <w:rFonts w:ascii="標楷體" w:eastAsia="標楷體" w:hAnsi="標楷體" w:hint="eastAsia"/>
          <w:szCs w:val="24"/>
        </w:rPr>
        <w:t>高血鈣(corrected serum calcium＞11.0 mg/dL或2.75 mmol/L)。</w:t>
      </w:r>
    </w:p>
    <w:p w14:paraId="40C4D946" w14:textId="77777777" w:rsidR="007576F0" w:rsidRPr="007576F0" w:rsidRDefault="007576F0" w:rsidP="007576F0">
      <w:pPr>
        <w:spacing w:line="300" w:lineRule="exact"/>
        <w:ind w:left="1080" w:hanging="229"/>
      </w:pPr>
      <w:r w:rsidRPr="007576F0">
        <w:rPr>
          <w:rFonts w:ascii="新細明體" w:hAnsi="新細明體" w:hint="eastAsia"/>
          <w:color w:val="000000"/>
          <w:szCs w:val="24"/>
        </w:rPr>
        <w:t>ⅲ.</w:t>
      </w:r>
      <w:r w:rsidRPr="007576F0">
        <w:rPr>
          <w:rFonts w:ascii="標楷體" w:eastAsia="標楷體" w:hAnsi="標楷體" w:hint="eastAsia"/>
          <w:szCs w:val="24"/>
        </w:rPr>
        <w:t>貧血(Hemoglobin＜10 gm/dL 且無其他原因可以解釋)。</w:t>
      </w:r>
    </w:p>
    <w:p w14:paraId="5AD01A5C" w14:textId="77777777" w:rsidR="007576F0" w:rsidRPr="007576F0" w:rsidRDefault="007576F0" w:rsidP="007576F0">
      <w:pPr>
        <w:spacing w:line="300" w:lineRule="exact"/>
        <w:ind w:left="1080" w:hanging="229"/>
      </w:pPr>
      <w:r w:rsidRPr="007576F0">
        <w:rPr>
          <w:rFonts w:ascii="新細明體" w:hAnsi="新細明體" w:hint="eastAsia"/>
          <w:color w:val="000000"/>
          <w:szCs w:val="24"/>
        </w:rPr>
        <w:t>ⅳ.</w:t>
      </w:r>
      <w:r w:rsidRPr="007576F0">
        <w:rPr>
          <w:rFonts w:ascii="標楷體" w:eastAsia="標楷體" w:hAnsi="標楷體" w:hint="eastAsia"/>
          <w:szCs w:val="24"/>
        </w:rPr>
        <w:t>影像檢查確認之osteolytic bone lesion(s)。</w:t>
      </w:r>
    </w:p>
    <w:p w14:paraId="7C9023A5" w14:textId="77777777" w:rsidR="007576F0" w:rsidRPr="007576F0" w:rsidRDefault="007576F0" w:rsidP="007576F0">
      <w:pPr>
        <w:spacing w:line="300" w:lineRule="exact"/>
        <w:ind w:left="1080" w:hanging="229"/>
      </w:pPr>
      <w:r w:rsidRPr="007576F0">
        <w:rPr>
          <w:rFonts w:ascii="新細明體" w:hAnsi="新細明體" w:hint="eastAsia"/>
          <w:szCs w:val="24"/>
        </w:rPr>
        <w:t>ⅴ</w:t>
      </w:r>
      <w:r w:rsidRPr="007576F0">
        <w:rPr>
          <w:rFonts w:ascii="標楷體" w:eastAsia="標楷體" w:hAnsi="標楷體" w:hint="eastAsia"/>
          <w:szCs w:val="24"/>
        </w:rPr>
        <w:t>.骨髓</w:t>
      </w:r>
      <w:proofErr w:type="gramStart"/>
      <w:r w:rsidRPr="007576F0">
        <w:rPr>
          <w:rFonts w:ascii="標楷體" w:eastAsia="標楷體" w:hAnsi="標楷體" w:hint="eastAsia"/>
          <w:szCs w:val="24"/>
        </w:rPr>
        <w:t>漿</w:t>
      </w:r>
      <w:proofErr w:type="gramEnd"/>
      <w:r w:rsidRPr="007576F0">
        <w:rPr>
          <w:rFonts w:ascii="標楷體" w:eastAsia="標楷體" w:hAnsi="標楷體" w:hint="eastAsia"/>
          <w:szCs w:val="24"/>
        </w:rPr>
        <w:t>細胞(plasma cells)比例</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60%</w:t>
      </w:r>
    </w:p>
    <w:p w14:paraId="40B4642E" w14:textId="77777777" w:rsidR="007576F0" w:rsidRPr="007576F0" w:rsidRDefault="007576F0" w:rsidP="007576F0">
      <w:pPr>
        <w:spacing w:line="300" w:lineRule="exact"/>
        <w:ind w:left="1080" w:hanging="229"/>
      </w:pPr>
      <w:r w:rsidRPr="007576F0">
        <w:rPr>
          <w:rFonts w:ascii="新細明體" w:hAnsi="新細明體" w:hint="eastAsia"/>
          <w:szCs w:val="24"/>
        </w:rPr>
        <w:t>ⅵ.</w:t>
      </w:r>
      <w:r w:rsidRPr="007576F0">
        <w:rPr>
          <w:rFonts w:ascii="標楷體" w:eastAsia="標楷體" w:hAnsi="標楷體" w:hint="eastAsia"/>
          <w:szCs w:val="24"/>
        </w:rPr>
        <w:t>Serum free light-chain ratio</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100。</w:t>
      </w:r>
    </w:p>
    <w:p w14:paraId="637420A2" w14:textId="77777777" w:rsidR="007576F0" w:rsidRPr="007576F0" w:rsidRDefault="007576F0" w:rsidP="007576F0">
      <w:pPr>
        <w:spacing w:line="300" w:lineRule="exact"/>
        <w:ind w:left="991" w:hanging="282"/>
        <w:rPr>
          <w:rFonts w:ascii="標楷體" w:eastAsia="標楷體" w:hAnsi="標楷體"/>
          <w:color w:val="000000"/>
          <w:szCs w:val="24"/>
        </w:rPr>
      </w:pPr>
      <w:r w:rsidRPr="007576F0">
        <w:rPr>
          <w:rFonts w:ascii="標楷體" w:eastAsia="標楷體" w:hAnsi="標楷體" w:hint="eastAsia"/>
          <w:color w:val="000000"/>
          <w:szCs w:val="24"/>
        </w:rPr>
        <w:t>Ⅲ.每4個療程重新申請時，須重新評估是否適合接受造血幹細胞移植。若經重新評估為已適合接受造血幹細胞移植者，即須停止Rd之治療。（112/4/1）</w:t>
      </w:r>
    </w:p>
    <w:p w14:paraId="7914E494"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(2)與dexamethasone合併使用於先前已接受至少一種治療失敗之多發性骨髓瘤患者，且需同時符合下列I與Ⅱ的條件：（101/12/1、112/4/1）</w:t>
      </w:r>
    </w:p>
    <w:p w14:paraId="3191FA07" w14:textId="77777777" w:rsidR="007576F0" w:rsidRPr="007576F0" w:rsidRDefault="007576F0" w:rsidP="007576F0">
      <w:pPr>
        <w:spacing w:line="300" w:lineRule="exact"/>
        <w:ind w:left="1134" w:hanging="360"/>
        <w:rPr>
          <w:rFonts w:ascii="標楷體" w:eastAsia="標楷體" w:hAnsi="標楷體"/>
          <w:color w:val="000000"/>
          <w:szCs w:val="24"/>
        </w:rPr>
      </w:pPr>
      <w:r w:rsidRPr="007576F0">
        <w:rPr>
          <w:rFonts w:ascii="標楷體" w:eastAsia="標楷體" w:hAnsi="標楷體" w:hint="eastAsia"/>
          <w:color w:val="000000"/>
          <w:szCs w:val="24"/>
        </w:rPr>
        <w:t>Ⅰ.具有下列任</w:t>
      </w:r>
      <w:proofErr w:type="gramStart"/>
      <w:r w:rsidRPr="007576F0">
        <w:rPr>
          <w:rFonts w:ascii="標楷體" w:eastAsia="標楷體" w:hAnsi="標楷體" w:hint="eastAsia"/>
          <w:color w:val="000000"/>
          <w:szCs w:val="24"/>
        </w:rPr>
        <w:t>一</w:t>
      </w:r>
      <w:proofErr w:type="gramEnd"/>
      <w:r w:rsidRPr="007576F0">
        <w:rPr>
          <w:rFonts w:ascii="標楷體" w:eastAsia="標楷體" w:hAnsi="標楷體" w:hint="eastAsia"/>
          <w:color w:val="000000"/>
          <w:szCs w:val="24"/>
        </w:rPr>
        <w:t>疾病惡化的指標： 病患開始治療前須在連續2次評估中均符合同一指標 (但若為</w:t>
      </w:r>
      <w:proofErr w:type="spellStart"/>
      <w:r w:rsidRPr="007576F0">
        <w:rPr>
          <w:rFonts w:ascii="標楷體" w:eastAsia="標楷體" w:hAnsi="標楷體" w:hint="eastAsia"/>
          <w:color w:val="000000"/>
          <w:szCs w:val="24"/>
        </w:rPr>
        <w:t>plamacytoma</w:t>
      </w:r>
      <w:proofErr w:type="spellEnd"/>
      <w:r w:rsidRPr="007576F0">
        <w:rPr>
          <w:rFonts w:ascii="標楷體" w:eastAsia="標楷體" w:hAnsi="標楷體" w:hint="eastAsia"/>
          <w:color w:val="000000"/>
          <w:szCs w:val="24"/>
        </w:rPr>
        <w:t xml:space="preserve"> 體積增加，或是新產生的bone lesion(s)或新plasmacytoma，則僅需1次評估)：（112/4/1）</w:t>
      </w:r>
    </w:p>
    <w:p w14:paraId="4831A68D" w14:textId="77777777" w:rsidR="007576F0" w:rsidRPr="007576F0" w:rsidRDefault="007576F0" w:rsidP="007576F0">
      <w:pPr>
        <w:spacing w:line="300" w:lineRule="exact"/>
        <w:ind w:left="1274" w:hanging="360"/>
      </w:pPr>
      <w:r w:rsidRPr="007576F0">
        <w:rPr>
          <w:rFonts w:ascii="新細明體" w:hAnsi="新細明體" w:hint="eastAsia"/>
          <w:szCs w:val="24"/>
        </w:rPr>
        <w:t>ⅰ</w:t>
      </w:r>
      <w:r w:rsidRPr="007576F0">
        <w:rPr>
          <w:rFonts w:ascii="標楷體" w:eastAsia="標楷體" w:hAnsi="標楷體" w:hint="eastAsia"/>
          <w:szCs w:val="24"/>
        </w:rPr>
        <w:t>.若前一線治療中M component 最低值</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5 g/dL，血清M蛋白需增加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 g/dL；若前一線治療中M component最低值＜5 g/dL，血清M蛋白需增加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0.5g/dL。</w:t>
      </w:r>
    </w:p>
    <w:p w14:paraId="33CF380E" w14:textId="77777777" w:rsidR="007576F0" w:rsidRPr="007576F0" w:rsidRDefault="007576F0" w:rsidP="007576F0">
      <w:pPr>
        <w:spacing w:line="300" w:lineRule="exact"/>
        <w:ind w:left="1274" w:hanging="360"/>
      </w:pPr>
      <w:r w:rsidRPr="007576F0">
        <w:rPr>
          <w:rFonts w:ascii="新細明體" w:hAnsi="新細明體" w:hint="eastAsia"/>
          <w:szCs w:val="24"/>
        </w:rPr>
        <w:t>ⅱ.</w:t>
      </w:r>
      <w:r w:rsidRPr="007576F0">
        <w:rPr>
          <w:rFonts w:ascii="標楷體" w:eastAsia="標楷體" w:hAnsi="標楷體" w:hint="eastAsia"/>
          <w:szCs w:val="24"/>
        </w:rPr>
        <w:t>Urine M-protein需增加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0.2 gm/24Hr，且需較前一線治療中的最低值增加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25%。</w:t>
      </w:r>
    </w:p>
    <w:p w14:paraId="2FA639D8" w14:textId="77777777" w:rsidR="007576F0" w:rsidRPr="007576F0" w:rsidRDefault="007576F0" w:rsidP="007576F0">
      <w:pPr>
        <w:spacing w:line="300" w:lineRule="exact"/>
        <w:ind w:left="1274" w:hanging="360"/>
      </w:pPr>
      <w:r w:rsidRPr="007576F0">
        <w:rPr>
          <w:rFonts w:ascii="新細明體" w:hAnsi="新細明體" w:hint="eastAsia"/>
          <w:szCs w:val="24"/>
        </w:rPr>
        <w:t>ⅲ</w:t>
      </w:r>
      <w:r w:rsidRPr="007576F0">
        <w:rPr>
          <w:rFonts w:ascii="標楷體" w:eastAsia="標楷體" w:hAnsi="標楷體" w:hint="eastAsia"/>
          <w:szCs w:val="24"/>
        </w:rPr>
        <w:t>.在non-secretary myeloma 病患，骨髓</w:t>
      </w:r>
      <w:proofErr w:type="gramStart"/>
      <w:r w:rsidRPr="007576F0">
        <w:rPr>
          <w:rFonts w:ascii="標楷體" w:eastAsia="標楷體" w:hAnsi="標楷體" w:hint="eastAsia"/>
          <w:szCs w:val="24"/>
        </w:rPr>
        <w:t>漿</w:t>
      </w:r>
      <w:proofErr w:type="gramEnd"/>
      <w:r w:rsidRPr="007576F0">
        <w:rPr>
          <w:rFonts w:ascii="標楷體" w:eastAsia="標楷體" w:hAnsi="標楷體" w:hint="eastAsia"/>
          <w:szCs w:val="24"/>
        </w:rPr>
        <w:t>細胞 (plasma cells)之比例絕對值增加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10%，且需較前一線治療中的最低值增加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25%。</w:t>
      </w:r>
    </w:p>
    <w:p w14:paraId="1705D542" w14:textId="77777777" w:rsidR="007576F0" w:rsidRPr="007576F0" w:rsidRDefault="007576F0" w:rsidP="007576F0">
      <w:pPr>
        <w:spacing w:line="300" w:lineRule="exact"/>
        <w:ind w:left="1274" w:hanging="360"/>
      </w:pPr>
      <w:r w:rsidRPr="007576F0">
        <w:rPr>
          <w:rFonts w:ascii="新細明體" w:hAnsi="新細明體" w:hint="eastAsia"/>
          <w:szCs w:val="24"/>
        </w:rPr>
        <w:lastRenderedPageBreak/>
        <w:t>ⅳ</w:t>
      </w:r>
      <w:r w:rsidRPr="007576F0">
        <w:rPr>
          <w:rFonts w:ascii="標楷體" w:eastAsia="標楷體" w:hAnsi="標楷體" w:hint="eastAsia"/>
          <w:szCs w:val="24"/>
        </w:rPr>
        <w:t>.新產生的bone lesion(s)或plasmacytoma；且須經病理切片證實。</w:t>
      </w:r>
    </w:p>
    <w:p w14:paraId="55D30AE2" w14:textId="77777777" w:rsidR="007576F0" w:rsidRPr="007576F0" w:rsidRDefault="007576F0" w:rsidP="007576F0">
      <w:pPr>
        <w:spacing w:line="300" w:lineRule="exact"/>
        <w:ind w:left="1274" w:hanging="360"/>
      </w:pPr>
      <w:r w:rsidRPr="007576F0">
        <w:rPr>
          <w:rFonts w:ascii="新細明體" w:hAnsi="新細明體" w:hint="eastAsia"/>
          <w:szCs w:val="24"/>
        </w:rPr>
        <w:t>ⅴ</w:t>
      </w:r>
      <w:r w:rsidRPr="007576F0">
        <w:rPr>
          <w:rFonts w:ascii="標楷體" w:eastAsia="標楷體" w:hAnsi="標楷體" w:hint="eastAsia"/>
          <w:szCs w:val="24"/>
        </w:rPr>
        <w:t>.Plasmacytoma體積增加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50%。</w:t>
      </w:r>
    </w:p>
    <w:p w14:paraId="1C556C00" w14:textId="77777777" w:rsidR="007576F0" w:rsidRPr="007576F0" w:rsidRDefault="007576F0" w:rsidP="007576F0">
      <w:pPr>
        <w:spacing w:line="300" w:lineRule="exact"/>
        <w:ind w:left="1274" w:hanging="360"/>
      </w:pPr>
      <w:r w:rsidRPr="007576F0">
        <w:rPr>
          <w:rFonts w:ascii="新細明體" w:hAnsi="新細明體" w:hint="eastAsia"/>
          <w:szCs w:val="24"/>
        </w:rPr>
        <w:t>ⅵ</w:t>
      </w:r>
      <w:r w:rsidRPr="007576F0">
        <w:rPr>
          <w:rFonts w:ascii="標楷體" w:eastAsia="標楷體" w:hAnsi="標楷體" w:hint="eastAsia"/>
          <w:szCs w:val="24"/>
        </w:rPr>
        <w:t>.周邊</w:t>
      </w:r>
      <w:proofErr w:type="gramStart"/>
      <w:r w:rsidRPr="007576F0">
        <w:rPr>
          <w:rFonts w:ascii="標楷體" w:eastAsia="標楷體" w:hAnsi="標楷體" w:hint="eastAsia"/>
          <w:szCs w:val="24"/>
        </w:rPr>
        <w:t>血液中漿細胞</w:t>
      </w:r>
      <w:proofErr w:type="gramEnd"/>
      <w:r w:rsidRPr="007576F0">
        <w:rPr>
          <w:rFonts w:ascii="標楷體" w:eastAsia="標楷體" w:hAnsi="標楷體" w:hint="eastAsia"/>
          <w:szCs w:val="24"/>
        </w:rPr>
        <w:t>比例</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20%</w:t>
      </w:r>
      <w:proofErr w:type="gramStart"/>
      <w:r w:rsidRPr="007576F0">
        <w:rPr>
          <w:rFonts w:ascii="標楷體" w:eastAsia="標楷體" w:hAnsi="標楷體" w:hint="eastAsia"/>
          <w:szCs w:val="24"/>
        </w:rPr>
        <w:t>或漿細胞</w:t>
      </w:r>
      <w:proofErr w:type="gramEnd"/>
      <w:r w:rsidRPr="007576F0">
        <w:rPr>
          <w:rFonts w:ascii="標楷體" w:eastAsia="標楷體" w:hAnsi="標楷體" w:hint="eastAsia"/>
          <w:szCs w:val="24"/>
        </w:rPr>
        <w:t>絕對值</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2000 cells/μL。</w:t>
      </w:r>
    </w:p>
    <w:p w14:paraId="141D050F" w14:textId="77777777" w:rsidR="007576F0" w:rsidRPr="007576F0" w:rsidRDefault="007576F0" w:rsidP="007576F0">
      <w:pPr>
        <w:spacing w:line="300" w:lineRule="exact"/>
        <w:ind w:left="1134" w:hanging="360"/>
        <w:rPr>
          <w:rFonts w:ascii="標楷體" w:eastAsia="標楷體" w:hAnsi="標楷體"/>
          <w:color w:val="000000"/>
          <w:szCs w:val="24"/>
        </w:rPr>
      </w:pPr>
      <w:r w:rsidRPr="007576F0">
        <w:rPr>
          <w:rFonts w:ascii="標楷體" w:eastAsia="標楷體" w:hAnsi="標楷體" w:hint="eastAsia"/>
          <w:color w:val="000000"/>
          <w:szCs w:val="24"/>
        </w:rPr>
        <w:t>Ⅱ.出現下列任</w:t>
      </w:r>
      <w:proofErr w:type="gramStart"/>
      <w:r w:rsidRPr="007576F0">
        <w:rPr>
          <w:rFonts w:ascii="標楷體" w:eastAsia="標楷體" w:hAnsi="標楷體" w:hint="eastAsia"/>
          <w:color w:val="000000"/>
          <w:szCs w:val="24"/>
        </w:rPr>
        <w:t>一</w:t>
      </w:r>
      <w:proofErr w:type="gramEnd"/>
      <w:r w:rsidRPr="007576F0">
        <w:rPr>
          <w:rFonts w:ascii="標楷體" w:eastAsia="標楷體" w:hAnsi="標楷體" w:hint="eastAsia"/>
          <w:color w:val="000000"/>
          <w:szCs w:val="24"/>
        </w:rPr>
        <w:t>臨床症狀：（112/4/1）</w:t>
      </w:r>
    </w:p>
    <w:p w14:paraId="3857C7BF" w14:textId="77777777" w:rsidR="007576F0" w:rsidRPr="007576F0" w:rsidRDefault="007576F0" w:rsidP="007576F0">
      <w:pPr>
        <w:spacing w:line="300" w:lineRule="exact"/>
        <w:ind w:left="1274" w:hanging="360"/>
      </w:pPr>
      <w:r w:rsidRPr="007576F0">
        <w:rPr>
          <w:rFonts w:ascii="新細明體" w:hAnsi="新細明體" w:hint="eastAsia"/>
          <w:szCs w:val="24"/>
        </w:rPr>
        <w:t>ⅰ</w:t>
      </w:r>
      <w:r w:rsidRPr="007576F0">
        <w:rPr>
          <w:rFonts w:ascii="標楷體" w:eastAsia="標楷體" w:hAnsi="標楷體" w:hint="eastAsia"/>
          <w:szCs w:val="24"/>
        </w:rPr>
        <w:t>.新產生的bone lesion(s)或plasmacytoma；且須經病理切片證實。</w:t>
      </w:r>
    </w:p>
    <w:p w14:paraId="1A96C62D" w14:textId="77777777" w:rsidR="007576F0" w:rsidRPr="007576F0" w:rsidRDefault="007576F0" w:rsidP="007576F0">
      <w:pPr>
        <w:spacing w:line="300" w:lineRule="exact"/>
        <w:ind w:left="1274" w:hanging="360"/>
      </w:pPr>
      <w:r w:rsidRPr="007576F0">
        <w:rPr>
          <w:rFonts w:ascii="新細明體" w:hAnsi="新細明體" w:hint="eastAsia"/>
          <w:szCs w:val="24"/>
        </w:rPr>
        <w:t>ⅱ.</w:t>
      </w:r>
      <w:r w:rsidRPr="007576F0">
        <w:rPr>
          <w:rFonts w:ascii="標楷體" w:eastAsia="標楷體" w:hAnsi="標楷體" w:hint="eastAsia"/>
          <w:szCs w:val="24"/>
        </w:rPr>
        <w:t>Plasmacytoma 體積增加</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50%。</w:t>
      </w:r>
    </w:p>
    <w:p w14:paraId="253D7362" w14:textId="77777777" w:rsidR="007576F0" w:rsidRPr="007576F0" w:rsidRDefault="007576F0" w:rsidP="007576F0">
      <w:pPr>
        <w:spacing w:line="300" w:lineRule="exact"/>
        <w:ind w:left="1274" w:hanging="360"/>
      </w:pPr>
      <w:r w:rsidRPr="007576F0">
        <w:rPr>
          <w:rFonts w:ascii="新細明體" w:hAnsi="新細明體" w:cs="新細明體" w:hint="eastAsia"/>
          <w:szCs w:val="24"/>
        </w:rPr>
        <w:t>ⅲ</w:t>
      </w:r>
      <w:r w:rsidRPr="007576F0">
        <w:rPr>
          <w:rFonts w:ascii="標楷體" w:eastAsia="標楷體" w:hAnsi="標楷體" w:hint="eastAsia"/>
          <w:szCs w:val="24"/>
        </w:rPr>
        <w:t>.高血鈣(corrected serum calcium＞11.0 mg/dL 或 2.75 mmol/L)。</w:t>
      </w:r>
    </w:p>
    <w:p w14:paraId="41803192" w14:textId="77777777" w:rsidR="007576F0" w:rsidRPr="007576F0" w:rsidRDefault="007576F0" w:rsidP="007576F0">
      <w:pPr>
        <w:spacing w:line="300" w:lineRule="exact"/>
        <w:ind w:left="1274" w:hanging="360"/>
      </w:pPr>
      <w:r w:rsidRPr="007576F0">
        <w:rPr>
          <w:rFonts w:ascii="新細明體" w:hAnsi="新細明體" w:cs="新細明體" w:hint="eastAsia"/>
          <w:szCs w:val="24"/>
        </w:rPr>
        <w:t>ⅳ</w:t>
      </w:r>
      <w:r w:rsidRPr="007576F0">
        <w:rPr>
          <w:rFonts w:ascii="標楷體" w:eastAsia="標楷體" w:hAnsi="標楷體" w:hint="eastAsia"/>
          <w:szCs w:val="24"/>
        </w:rPr>
        <w:t>.貧血(Hemoglobin 下降幅度</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 xml:space="preserve"> 2gm/dL且無其他原因可以解釋)。</w:t>
      </w:r>
    </w:p>
    <w:p w14:paraId="6DFA8601" w14:textId="77777777" w:rsidR="007576F0" w:rsidRPr="007576F0" w:rsidRDefault="007576F0" w:rsidP="007576F0">
      <w:pPr>
        <w:spacing w:line="300" w:lineRule="exact"/>
        <w:ind w:left="1274" w:hanging="360"/>
      </w:pPr>
      <w:r w:rsidRPr="007576F0">
        <w:rPr>
          <w:rFonts w:ascii="新細明體" w:hAnsi="新細明體" w:cs="新細明體" w:hint="eastAsia"/>
          <w:szCs w:val="24"/>
        </w:rPr>
        <w:t>ⅴ</w:t>
      </w:r>
      <w:r w:rsidRPr="007576F0">
        <w:rPr>
          <w:rFonts w:ascii="標楷體" w:eastAsia="標楷體" w:hAnsi="標楷體" w:hint="eastAsia"/>
          <w:szCs w:val="24"/>
        </w:rPr>
        <w:t>.腎功能惡化(eGFR需下降幅度</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25%)，且無其他原因可以解釋。</w:t>
      </w:r>
    </w:p>
    <w:p w14:paraId="3EF3B7A5" w14:textId="77777777" w:rsidR="007576F0" w:rsidRPr="007576F0" w:rsidRDefault="007576F0" w:rsidP="007576F0">
      <w:pPr>
        <w:spacing w:line="300" w:lineRule="exact"/>
        <w:ind w:left="1274" w:hanging="360"/>
      </w:pPr>
      <w:r w:rsidRPr="007576F0">
        <w:rPr>
          <w:rFonts w:ascii="新細明體" w:hAnsi="新細明體" w:cs="新細明體" w:hint="eastAsia"/>
          <w:szCs w:val="24"/>
        </w:rPr>
        <w:t>ⅵ</w:t>
      </w:r>
      <w:r w:rsidRPr="007576F0">
        <w:rPr>
          <w:rFonts w:ascii="標楷體" w:eastAsia="標楷體" w:hAnsi="標楷體" w:hint="eastAsia"/>
          <w:szCs w:val="24"/>
        </w:rPr>
        <w:t>.出現其他 end-organ dysfunctions。</w:t>
      </w:r>
    </w:p>
    <w:p w14:paraId="26D90258" w14:textId="77777777" w:rsidR="007576F0" w:rsidRPr="007576F0" w:rsidRDefault="007576F0" w:rsidP="007576F0">
      <w:pPr>
        <w:spacing w:line="300" w:lineRule="exact"/>
        <w:ind w:left="993" w:hanging="360"/>
      </w:pPr>
      <w:r w:rsidRPr="007576F0">
        <w:rPr>
          <w:rFonts w:ascii="標楷體" w:eastAsia="標楷體" w:hAnsi="標楷體" w:hint="eastAsia"/>
          <w:color w:val="000000"/>
          <w:szCs w:val="24"/>
        </w:rPr>
        <w:t>(3)須經事前審查核准後使用，每次申請事前審查之療程以4個療程為限，每4個療程須再次申請。</w:t>
      </w:r>
    </w:p>
    <w:p w14:paraId="6E3BB5CB" w14:textId="77777777" w:rsidR="007576F0" w:rsidRPr="007576F0" w:rsidRDefault="007576F0" w:rsidP="007576F0">
      <w:pPr>
        <w:spacing w:line="300" w:lineRule="exact"/>
        <w:ind w:left="840" w:hanging="273"/>
        <w:rPr>
          <w:rFonts w:ascii="標楷體" w:eastAsia="標楷體" w:hAnsi="標楷體"/>
          <w:szCs w:val="24"/>
        </w:rPr>
      </w:pPr>
      <w:r w:rsidRPr="007576F0">
        <w:rPr>
          <w:rFonts w:ascii="標楷體" w:eastAsia="標楷體" w:hAnsi="標楷體" w:hint="eastAsia"/>
          <w:szCs w:val="24"/>
        </w:rPr>
        <w:t>Ⅰ.每天限給付1粒。</w:t>
      </w:r>
    </w:p>
    <w:p w14:paraId="03BA260F" w14:textId="77777777" w:rsidR="007576F0" w:rsidRPr="007576F0" w:rsidRDefault="007576F0" w:rsidP="007576F0">
      <w:pPr>
        <w:spacing w:line="300" w:lineRule="exact"/>
        <w:ind w:left="840" w:hanging="273"/>
        <w:rPr>
          <w:rFonts w:ascii="標楷體" w:eastAsia="標楷體" w:hAnsi="標楷體"/>
          <w:szCs w:val="24"/>
        </w:rPr>
      </w:pPr>
      <w:r w:rsidRPr="007576F0">
        <w:rPr>
          <w:rFonts w:ascii="標楷體" w:eastAsia="標楷體" w:hAnsi="標楷體" w:hint="eastAsia"/>
          <w:szCs w:val="24"/>
        </w:rPr>
        <w:t>Ⅱ.使用4個療程後，必須確定paraprotein(M-protein)未上升(即表示對藥物有反應或為穩定狀態)或對部分non-secretory type MM病人以骨髓檢查plasma cell為療效依據，方可繼續使用。</w:t>
      </w:r>
    </w:p>
    <w:p w14:paraId="1752C3ED"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(4)每人終生至多給付24個療程為限（每療程為4</w:t>
      </w:r>
      <w:proofErr w:type="gramStart"/>
      <w:r w:rsidRPr="007576F0">
        <w:rPr>
          <w:rFonts w:ascii="標楷體" w:eastAsia="標楷體" w:hAnsi="標楷體" w:hint="eastAsia"/>
          <w:color w:val="000000"/>
          <w:szCs w:val="24"/>
        </w:rPr>
        <w:t>週</w:t>
      </w:r>
      <w:proofErr w:type="gramEnd"/>
      <w:r w:rsidRPr="007576F0">
        <w:rPr>
          <w:rFonts w:ascii="標楷體" w:eastAsia="標楷體" w:hAnsi="標楷體" w:hint="eastAsia"/>
          <w:color w:val="000000"/>
          <w:szCs w:val="24"/>
        </w:rPr>
        <w:t>）。使用</w:t>
      </w:r>
      <w:proofErr w:type="spellStart"/>
      <w:r w:rsidRPr="007576F0">
        <w:rPr>
          <w:rFonts w:ascii="標楷體" w:eastAsia="標楷體" w:hAnsi="標楷體" w:hint="eastAsia"/>
          <w:color w:val="000000"/>
          <w:szCs w:val="24"/>
        </w:rPr>
        <w:t>Leavdo</w:t>
      </w:r>
      <w:proofErr w:type="spellEnd"/>
      <w:r w:rsidRPr="007576F0">
        <w:rPr>
          <w:rFonts w:ascii="標楷體" w:eastAsia="標楷體" w:hAnsi="標楷體" w:hint="eastAsia"/>
          <w:color w:val="000000"/>
          <w:szCs w:val="24"/>
        </w:rPr>
        <w:t>、</w:t>
      </w:r>
      <w:proofErr w:type="spellStart"/>
      <w:r w:rsidRPr="007576F0">
        <w:rPr>
          <w:rFonts w:ascii="標楷體" w:eastAsia="標楷體" w:hAnsi="標楷體" w:hint="eastAsia"/>
          <w:color w:val="000000"/>
          <w:szCs w:val="24"/>
        </w:rPr>
        <w:t>Lelimide</w:t>
      </w:r>
      <w:proofErr w:type="spellEnd"/>
      <w:r w:rsidRPr="007576F0">
        <w:rPr>
          <w:rFonts w:ascii="標楷體" w:eastAsia="標楷體" w:hAnsi="標楷體" w:hint="eastAsia"/>
          <w:color w:val="000000"/>
          <w:szCs w:val="24"/>
        </w:rPr>
        <w:t>及Revlimid終生至多給付36個療程為限。（106/10/1、109/2/1、109/8/1、112/4/1、115/3/1、115/4/1）</w:t>
      </w:r>
    </w:p>
    <w:p w14:paraId="5D331098"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(5)115年2月28日以前已核定使用</w:t>
      </w:r>
      <w:proofErr w:type="spellStart"/>
      <w:r w:rsidRPr="007576F0">
        <w:rPr>
          <w:rFonts w:ascii="標楷體" w:eastAsia="標楷體" w:hAnsi="標楷體" w:hint="eastAsia"/>
          <w:color w:val="000000"/>
          <w:szCs w:val="24"/>
        </w:rPr>
        <w:t>Leavdo</w:t>
      </w:r>
      <w:proofErr w:type="spellEnd"/>
      <w:r w:rsidRPr="007576F0">
        <w:rPr>
          <w:rFonts w:ascii="標楷體" w:eastAsia="標楷體" w:hAnsi="標楷體" w:hint="eastAsia"/>
          <w:color w:val="000000"/>
          <w:szCs w:val="24"/>
        </w:rPr>
        <w:t>或</w:t>
      </w:r>
      <w:proofErr w:type="spellStart"/>
      <w:r w:rsidRPr="007576F0">
        <w:rPr>
          <w:rFonts w:ascii="標楷體" w:eastAsia="標楷體" w:hAnsi="標楷體" w:hint="eastAsia"/>
          <w:color w:val="000000"/>
          <w:szCs w:val="24"/>
        </w:rPr>
        <w:t>Lelimide</w:t>
      </w:r>
      <w:proofErr w:type="spellEnd"/>
      <w:r w:rsidRPr="007576F0">
        <w:rPr>
          <w:rFonts w:ascii="標楷體" w:eastAsia="標楷體" w:hAnsi="標楷體" w:hint="eastAsia"/>
          <w:color w:val="000000"/>
          <w:szCs w:val="24"/>
        </w:rPr>
        <w:t>，及115年3月31日以前已核定使用Revlimid之病人，得經事前審查核准後，使用至總療程上限（即終生36個療程）或使用期間發生疾病惡化為止。（112/4/1、115/3/1、115/4/1）</w:t>
      </w:r>
    </w:p>
    <w:p w14:paraId="0B108B96" w14:textId="77777777" w:rsidR="007576F0" w:rsidRPr="007576F0" w:rsidRDefault="007576F0" w:rsidP="007576F0">
      <w:pPr>
        <w:spacing w:line="300" w:lineRule="exact"/>
        <w:ind w:left="567"/>
      </w:pPr>
      <w:r w:rsidRPr="007576F0">
        <w:rPr>
          <w:rFonts w:ascii="標楷體" w:eastAsia="標楷體" w:hAnsi="標楷體" w:hint="eastAsia"/>
          <w:szCs w:val="24"/>
        </w:rPr>
        <w:t>2.瀰漫性大型B細胞淋巴瘤：(114/10/1</w:t>
      </w:r>
      <w:r w:rsidRPr="007576F0">
        <w:rPr>
          <w:rFonts w:ascii="標楷體" w:eastAsia="標楷體" w:hAnsi="標楷體" w:hint="eastAsia"/>
          <w:color w:val="000000"/>
          <w:szCs w:val="24"/>
        </w:rPr>
        <w:t>、115/3/1</w:t>
      </w:r>
      <w:r w:rsidRPr="007576F0">
        <w:rPr>
          <w:rFonts w:ascii="標楷體" w:eastAsia="標楷體" w:hAnsi="標楷體" w:hint="eastAsia"/>
          <w:szCs w:val="24"/>
        </w:rPr>
        <w:t>、115/4/1)</w:t>
      </w:r>
    </w:p>
    <w:p w14:paraId="14C7B058"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(1)Lenalidomide(限使用</w:t>
      </w:r>
      <w:proofErr w:type="spellStart"/>
      <w:r w:rsidRPr="007576F0">
        <w:rPr>
          <w:rFonts w:ascii="標楷體" w:eastAsia="標楷體" w:hAnsi="標楷體" w:hint="eastAsia"/>
          <w:color w:val="000000"/>
          <w:szCs w:val="24"/>
        </w:rPr>
        <w:t>Leavdo</w:t>
      </w:r>
      <w:proofErr w:type="spellEnd"/>
      <w:r w:rsidRPr="007576F0">
        <w:rPr>
          <w:rFonts w:ascii="標楷體" w:eastAsia="標楷體" w:hAnsi="標楷體" w:hint="eastAsia"/>
          <w:color w:val="000000"/>
          <w:szCs w:val="24"/>
        </w:rPr>
        <w:t>、</w:t>
      </w:r>
      <w:proofErr w:type="spellStart"/>
      <w:r w:rsidRPr="007576F0">
        <w:rPr>
          <w:rFonts w:ascii="標楷體" w:eastAsia="標楷體" w:hAnsi="標楷體" w:hint="eastAsia"/>
          <w:color w:val="000000"/>
          <w:szCs w:val="24"/>
        </w:rPr>
        <w:t>Lelimide</w:t>
      </w:r>
      <w:proofErr w:type="spellEnd"/>
      <w:r w:rsidRPr="007576F0">
        <w:rPr>
          <w:rFonts w:ascii="標楷體" w:eastAsia="標楷體" w:hAnsi="標楷體" w:hint="eastAsia"/>
          <w:color w:val="000000"/>
          <w:szCs w:val="24"/>
        </w:rPr>
        <w:t xml:space="preserve">及Revlimid)與 </w:t>
      </w:r>
      <w:proofErr w:type="spellStart"/>
      <w:r w:rsidRPr="007576F0">
        <w:rPr>
          <w:rFonts w:ascii="標楷體" w:eastAsia="標楷體" w:hAnsi="標楷體" w:hint="eastAsia"/>
          <w:color w:val="000000"/>
          <w:szCs w:val="24"/>
        </w:rPr>
        <w:t>tafasitamab</w:t>
      </w:r>
      <w:proofErr w:type="spellEnd"/>
      <w:r w:rsidRPr="007576F0">
        <w:rPr>
          <w:rFonts w:ascii="標楷體" w:eastAsia="標楷體" w:hAnsi="標楷體" w:hint="eastAsia"/>
          <w:color w:val="000000"/>
          <w:szCs w:val="24"/>
        </w:rPr>
        <w:t>合併使用於經一線全身治療含rituximab治療復發型，不適合接受造血幹細胞移植瀰漫性大型B細胞淋巴瘤(DLBCL)成人病人，病人須符合</w:t>
      </w:r>
      <w:proofErr w:type="spellStart"/>
      <w:r w:rsidRPr="007576F0">
        <w:rPr>
          <w:rFonts w:ascii="標楷體" w:eastAsia="標楷體" w:hAnsi="標楷體" w:hint="eastAsia"/>
          <w:color w:val="000000"/>
          <w:szCs w:val="24"/>
        </w:rPr>
        <w:t>tafasitamab</w:t>
      </w:r>
      <w:proofErr w:type="spellEnd"/>
      <w:r w:rsidRPr="007576F0">
        <w:rPr>
          <w:rFonts w:ascii="標楷體" w:eastAsia="標楷體" w:hAnsi="標楷體" w:hint="eastAsia"/>
          <w:color w:val="000000"/>
          <w:szCs w:val="24"/>
        </w:rPr>
        <w:t>之藥品給付規定(114/10/1、115/3/1、115/4/1</w:t>
      </w:r>
      <w:proofErr w:type="gramStart"/>
      <w:r w:rsidRPr="007576F0">
        <w:rPr>
          <w:rFonts w:ascii="標楷體" w:eastAsia="標楷體" w:hAnsi="標楷體" w:hint="eastAsia"/>
          <w:color w:val="000000"/>
          <w:szCs w:val="24"/>
        </w:rPr>
        <w:t>）</w:t>
      </w:r>
      <w:proofErr w:type="gramEnd"/>
      <w:r w:rsidRPr="007576F0">
        <w:rPr>
          <w:rFonts w:ascii="標楷體" w:eastAsia="標楷體" w:hAnsi="標楷體" w:hint="eastAsia"/>
          <w:color w:val="000000"/>
          <w:szCs w:val="24"/>
        </w:rPr>
        <w:t>。</w:t>
      </w:r>
    </w:p>
    <w:p w14:paraId="4BC4D1F2"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(2)須經事前審查核准後使用。</w:t>
      </w:r>
    </w:p>
    <w:p w14:paraId="58B710AC" w14:textId="77777777" w:rsidR="007576F0" w:rsidRPr="007576F0" w:rsidRDefault="007576F0" w:rsidP="007576F0">
      <w:pPr>
        <w:spacing w:line="300" w:lineRule="exact"/>
        <w:ind w:left="1134" w:hanging="360"/>
        <w:rPr>
          <w:rFonts w:ascii="標楷體" w:eastAsia="標楷體" w:hAnsi="標楷體"/>
          <w:color w:val="000000"/>
          <w:szCs w:val="24"/>
        </w:rPr>
      </w:pPr>
      <w:r w:rsidRPr="007576F0">
        <w:rPr>
          <w:rFonts w:ascii="標楷體" w:eastAsia="標楷體" w:hAnsi="標楷體" w:hint="eastAsia"/>
          <w:color w:val="000000"/>
          <w:szCs w:val="24"/>
        </w:rPr>
        <w:t>Ⅰ.每人至多給付12個療程。</w:t>
      </w:r>
    </w:p>
    <w:p w14:paraId="02077593" w14:textId="77777777" w:rsidR="007576F0" w:rsidRPr="007576F0" w:rsidRDefault="007576F0" w:rsidP="007576F0">
      <w:pPr>
        <w:spacing w:line="300" w:lineRule="exact"/>
        <w:ind w:left="1134" w:hanging="360"/>
      </w:pPr>
      <w:r w:rsidRPr="007576F0">
        <w:rPr>
          <w:rFonts w:ascii="標楷體" w:eastAsia="標楷體" w:hAnsi="標楷體" w:hint="eastAsia"/>
          <w:color w:val="000000"/>
          <w:szCs w:val="24"/>
        </w:rPr>
        <w:t>Ⅱ.</w:t>
      </w:r>
      <w:r w:rsidRPr="007576F0">
        <w:rPr>
          <w:rFonts w:ascii="標楷體" w:eastAsia="標楷體" w:hAnsi="標楷體" w:hint="eastAsia"/>
          <w:szCs w:val="24"/>
        </w:rPr>
        <w:t>每天限給付1粒。</w:t>
      </w:r>
    </w:p>
    <w:p w14:paraId="733628C5" w14:textId="4692D9C6" w:rsidR="007576F0" w:rsidRPr="007576F0" w:rsidRDefault="007576F0" w:rsidP="007770B8">
      <w:pPr>
        <w:spacing w:line="300" w:lineRule="exact"/>
        <w:ind w:left="811" w:hanging="245"/>
        <w:rPr>
          <w:rFonts w:ascii="標楷體" w:eastAsia="標楷體" w:hAnsi="標楷體"/>
          <w:szCs w:val="24"/>
        </w:rPr>
      </w:pPr>
      <w:r w:rsidRPr="007576F0">
        <w:rPr>
          <w:rFonts w:ascii="標楷體" w:eastAsia="標楷體" w:hAnsi="標楷體" w:hint="eastAsia"/>
          <w:szCs w:val="24"/>
        </w:rPr>
        <w:t>3.</w:t>
      </w:r>
      <w:r w:rsidRPr="007770B8">
        <w:rPr>
          <w:rFonts w:ascii="標楷體" w:eastAsia="標楷體" w:hAnsi="標楷體" w:hint="eastAsia"/>
          <w:bCs/>
          <w:color w:val="000000"/>
        </w:rPr>
        <w:t>Lenalidomide</w:t>
      </w:r>
      <w:r w:rsidRPr="007576F0">
        <w:rPr>
          <w:rFonts w:ascii="標楷體" w:eastAsia="標楷體" w:hAnsi="標楷體" w:hint="eastAsia"/>
          <w:color w:val="000000"/>
        </w:rPr>
        <w:t>(限使用Revlimid及</w:t>
      </w:r>
      <w:proofErr w:type="spellStart"/>
      <w:r w:rsidRPr="007576F0">
        <w:rPr>
          <w:rFonts w:ascii="標楷體" w:eastAsia="標楷體" w:hAnsi="標楷體" w:hint="eastAsia"/>
          <w:color w:val="000000"/>
        </w:rPr>
        <w:t>Leavdo</w:t>
      </w:r>
      <w:proofErr w:type="spellEnd"/>
      <w:r w:rsidRPr="007576F0">
        <w:rPr>
          <w:rFonts w:ascii="標楷體" w:eastAsia="標楷體" w:hAnsi="標楷體" w:hint="eastAsia"/>
          <w:color w:val="000000"/>
        </w:rPr>
        <w:t>)與rituximab(除</w:t>
      </w:r>
      <w:proofErr w:type="spellStart"/>
      <w:r w:rsidRPr="007576F0">
        <w:rPr>
          <w:rFonts w:ascii="標楷體" w:eastAsia="標楷體" w:hAnsi="標楷體" w:hint="eastAsia"/>
          <w:color w:val="000000"/>
        </w:rPr>
        <w:t>Mabthera</w:t>
      </w:r>
      <w:proofErr w:type="spellEnd"/>
      <w:r w:rsidRPr="007576F0">
        <w:rPr>
          <w:rFonts w:ascii="標楷體" w:eastAsia="標楷體" w:hAnsi="標楷體" w:hint="eastAsia"/>
          <w:color w:val="000000"/>
        </w:rPr>
        <w:t>以外)</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用，治療先前曾接受至少一線全身性治療之復發性</w:t>
      </w:r>
      <w:proofErr w:type="gramStart"/>
      <w:r w:rsidRPr="007576F0">
        <w:rPr>
          <w:rFonts w:ascii="標楷體" w:eastAsia="標楷體" w:hAnsi="標楷體" w:hint="eastAsia"/>
          <w:color w:val="000000"/>
        </w:rPr>
        <w:t>或難治性濾泡性</w:t>
      </w:r>
      <w:proofErr w:type="gramEnd"/>
      <w:r w:rsidRPr="007576F0">
        <w:rPr>
          <w:rFonts w:ascii="標楷體" w:eastAsia="標楷體" w:hAnsi="標楷體" w:hint="eastAsia"/>
          <w:color w:val="000000"/>
        </w:rPr>
        <w:t>淋巴瘤成人病人：（115/5/1、115/8/1、115/9/1）</w:t>
      </w:r>
    </w:p>
    <w:p w14:paraId="7FC6F963"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(1)具CD20抗原陽性。</w:t>
      </w:r>
    </w:p>
    <w:p w14:paraId="0F5A4A6C"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(2)需符合WHO 淋巴瘤分類為I、II或IIIa期的診斷。</w:t>
      </w:r>
    </w:p>
    <w:p w14:paraId="15E5C3AA"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(3)開始使用前之疾病狀態需出現下列任</w:t>
      </w:r>
      <w:proofErr w:type="gramStart"/>
      <w:r w:rsidRPr="007576F0">
        <w:rPr>
          <w:rFonts w:ascii="標楷體" w:eastAsia="標楷體" w:hAnsi="標楷體" w:hint="eastAsia"/>
          <w:color w:val="000000"/>
          <w:szCs w:val="24"/>
        </w:rPr>
        <w:t>一</w:t>
      </w:r>
      <w:proofErr w:type="gramEnd"/>
      <w:r w:rsidRPr="007576F0">
        <w:rPr>
          <w:rFonts w:ascii="標楷體" w:eastAsia="標楷體" w:hAnsi="標楷體" w:hint="eastAsia"/>
          <w:color w:val="000000"/>
          <w:szCs w:val="24"/>
        </w:rPr>
        <w:t>情形：</w:t>
      </w:r>
    </w:p>
    <w:p w14:paraId="2A900D9A" w14:textId="77777777" w:rsidR="007576F0" w:rsidRPr="007576F0" w:rsidRDefault="007576F0" w:rsidP="002144EC">
      <w:pPr>
        <w:numPr>
          <w:ilvl w:val="1"/>
          <w:numId w:val="220"/>
        </w:numPr>
        <w:spacing w:line="300" w:lineRule="exact"/>
        <w:ind w:left="1200" w:hanging="349"/>
        <w:textAlignment w:val="auto"/>
        <w:rPr>
          <w:rFonts w:ascii="標楷體" w:eastAsia="標楷體" w:hAnsi="標楷體"/>
          <w:szCs w:val="24"/>
        </w:rPr>
      </w:pPr>
      <w:r w:rsidRPr="007576F0">
        <w:rPr>
          <w:rFonts w:ascii="標楷體" w:eastAsia="標楷體" w:hAnsi="標楷體" w:hint="eastAsia"/>
          <w:szCs w:val="24"/>
        </w:rPr>
        <w:t>有單一腫瘤直徑7公分以上者；</w:t>
      </w:r>
    </w:p>
    <w:p w14:paraId="7366934D" w14:textId="77777777" w:rsidR="007576F0" w:rsidRPr="007576F0" w:rsidRDefault="007576F0" w:rsidP="002144EC">
      <w:pPr>
        <w:numPr>
          <w:ilvl w:val="1"/>
          <w:numId w:val="220"/>
        </w:numPr>
        <w:spacing w:line="300" w:lineRule="exact"/>
        <w:ind w:left="1200" w:hanging="349"/>
        <w:textAlignment w:val="auto"/>
        <w:rPr>
          <w:rFonts w:ascii="標楷體" w:eastAsia="標楷體" w:hAnsi="標楷體"/>
          <w:szCs w:val="24"/>
        </w:rPr>
      </w:pPr>
      <w:r w:rsidRPr="007576F0">
        <w:rPr>
          <w:rFonts w:ascii="標楷體" w:eastAsia="標楷體" w:hAnsi="標楷體" w:hint="eastAsia"/>
          <w:szCs w:val="24"/>
        </w:rPr>
        <w:t>有三顆以上之腫瘤其直徑大於3公分以上者；</w:t>
      </w:r>
    </w:p>
    <w:p w14:paraId="412DE051" w14:textId="77777777" w:rsidR="007576F0" w:rsidRPr="007576F0" w:rsidRDefault="007576F0" w:rsidP="002144EC">
      <w:pPr>
        <w:numPr>
          <w:ilvl w:val="1"/>
          <w:numId w:val="220"/>
        </w:numPr>
        <w:spacing w:line="300" w:lineRule="exact"/>
        <w:ind w:left="1200" w:hanging="349"/>
        <w:textAlignment w:val="auto"/>
        <w:rPr>
          <w:rFonts w:ascii="標楷體" w:eastAsia="標楷體" w:hAnsi="標楷體"/>
          <w:szCs w:val="24"/>
        </w:rPr>
      </w:pPr>
      <w:r w:rsidRPr="007576F0">
        <w:rPr>
          <w:rFonts w:ascii="標楷體" w:eastAsia="標楷體" w:hAnsi="標楷體" w:hint="eastAsia"/>
          <w:szCs w:val="24"/>
        </w:rPr>
        <w:t>脾臟腫大，其長度16公分以上者；</w:t>
      </w:r>
    </w:p>
    <w:p w14:paraId="18035A45" w14:textId="77777777" w:rsidR="007576F0" w:rsidRPr="007576F0" w:rsidRDefault="007576F0" w:rsidP="002144EC">
      <w:pPr>
        <w:numPr>
          <w:ilvl w:val="1"/>
          <w:numId w:val="220"/>
        </w:numPr>
        <w:spacing w:line="300" w:lineRule="exact"/>
        <w:ind w:left="1200" w:hanging="349"/>
        <w:textAlignment w:val="auto"/>
        <w:rPr>
          <w:rFonts w:ascii="標楷體" w:eastAsia="標楷體" w:hAnsi="標楷體"/>
          <w:szCs w:val="24"/>
        </w:rPr>
      </w:pPr>
      <w:r w:rsidRPr="007576F0">
        <w:rPr>
          <w:rFonts w:ascii="標楷體" w:eastAsia="標楷體" w:hAnsi="標楷體" w:hint="eastAsia"/>
          <w:szCs w:val="24"/>
        </w:rPr>
        <w:t>對vital organs造成擠壓者；</w:t>
      </w:r>
    </w:p>
    <w:p w14:paraId="53AAD08C" w14:textId="77777777" w:rsidR="007576F0" w:rsidRPr="007576F0" w:rsidRDefault="007576F0" w:rsidP="002144EC">
      <w:pPr>
        <w:numPr>
          <w:ilvl w:val="1"/>
          <w:numId w:val="220"/>
        </w:numPr>
        <w:spacing w:line="300" w:lineRule="exact"/>
        <w:ind w:left="1200" w:hanging="349"/>
        <w:textAlignment w:val="auto"/>
        <w:rPr>
          <w:rFonts w:ascii="標楷體" w:eastAsia="標楷體" w:hAnsi="標楷體"/>
          <w:szCs w:val="24"/>
        </w:rPr>
      </w:pPr>
      <w:r w:rsidRPr="007576F0">
        <w:rPr>
          <w:rFonts w:ascii="標楷體" w:eastAsia="標楷體" w:hAnsi="標楷體" w:hint="eastAsia"/>
          <w:szCs w:val="24"/>
        </w:rPr>
        <w:t>周邊血中出現淋巴球增生超過5000/ mm3者；</w:t>
      </w:r>
    </w:p>
    <w:p w14:paraId="5B0F6FA3" w14:textId="77777777" w:rsidR="007576F0" w:rsidRPr="007576F0" w:rsidRDefault="007576F0" w:rsidP="002144EC">
      <w:pPr>
        <w:numPr>
          <w:ilvl w:val="1"/>
          <w:numId w:val="220"/>
        </w:numPr>
        <w:spacing w:line="300" w:lineRule="exact"/>
        <w:ind w:left="1200" w:hanging="349"/>
        <w:textAlignment w:val="auto"/>
        <w:rPr>
          <w:rFonts w:ascii="標楷體" w:eastAsia="標楷體" w:hAnsi="標楷體"/>
          <w:szCs w:val="24"/>
        </w:rPr>
      </w:pPr>
      <w:r w:rsidRPr="007576F0">
        <w:rPr>
          <w:rFonts w:ascii="標楷體" w:eastAsia="標楷體" w:hAnsi="標楷體" w:hint="eastAsia"/>
          <w:szCs w:val="24"/>
        </w:rPr>
        <w:t>出現任一系列血球低下者</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platelet&lt;100,000/ mm3，或 Hb&lt;10gm/dL，或absolute neutrophil count&lt;1500/mm3)。</w:t>
      </w:r>
    </w:p>
    <w:p w14:paraId="7A3AA5D0" w14:textId="77777777" w:rsidR="007576F0" w:rsidRPr="007576F0" w:rsidRDefault="007576F0" w:rsidP="002144EC">
      <w:pPr>
        <w:numPr>
          <w:ilvl w:val="1"/>
          <w:numId w:val="220"/>
        </w:numPr>
        <w:spacing w:line="300" w:lineRule="exact"/>
        <w:ind w:left="1200" w:hanging="349"/>
        <w:textAlignment w:val="auto"/>
        <w:rPr>
          <w:rFonts w:ascii="標楷體" w:eastAsia="標楷體" w:hAnsi="標楷體"/>
          <w:szCs w:val="24"/>
        </w:rPr>
      </w:pPr>
      <w:r w:rsidRPr="007576F0">
        <w:rPr>
          <w:rFonts w:ascii="標楷體" w:eastAsia="標楷體" w:hAnsi="標楷體" w:hint="eastAsia"/>
          <w:szCs w:val="24"/>
        </w:rPr>
        <w:t>B symptoms。</w:t>
      </w:r>
    </w:p>
    <w:p w14:paraId="36F82874"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(4)需經事前審查核准後使用，每3個月需再次申請，再次申請時需檢附影像資料（CT或MRI），若未達partial remission或 complete remission，則不予給付。</w:t>
      </w:r>
    </w:p>
    <w:p w14:paraId="6934C8C6"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(5)每位病人最多給付12個療程，若病情惡化應即停止使用。</w:t>
      </w:r>
    </w:p>
    <w:p w14:paraId="29073D95" w14:textId="77777777" w:rsidR="007576F0" w:rsidRPr="007576F0" w:rsidRDefault="007576F0" w:rsidP="007576F0">
      <w:pPr>
        <w:spacing w:line="300" w:lineRule="exact"/>
        <w:ind w:left="993" w:hanging="360"/>
        <w:rPr>
          <w:rFonts w:ascii="標楷體" w:eastAsia="標楷體" w:hAnsi="標楷體"/>
          <w:color w:val="000000"/>
          <w:szCs w:val="24"/>
        </w:rPr>
      </w:pPr>
      <w:r w:rsidRPr="007576F0">
        <w:rPr>
          <w:rFonts w:ascii="標楷體" w:eastAsia="標楷體" w:hAnsi="標楷體" w:hint="eastAsia"/>
          <w:color w:val="000000"/>
          <w:szCs w:val="24"/>
        </w:rPr>
        <w:t>(6)每日限處方1粒。</w:t>
      </w:r>
    </w:p>
    <w:p w14:paraId="15D234F4" w14:textId="77777777" w:rsidR="007576F0" w:rsidRPr="007576F0" w:rsidRDefault="007576F0" w:rsidP="007576F0">
      <w:pPr>
        <w:spacing w:line="300" w:lineRule="exact"/>
        <w:ind w:left="709" w:hanging="353"/>
        <w:rPr>
          <w:rFonts w:ascii="標楷體" w:eastAsia="標楷體" w:hAnsi="標楷體"/>
          <w:color w:val="000000"/>
        </w:rPr>
      </w:pPr>
      <w:r w:rsidRPr="007576F0">
        <w:rPr>
          <w:rFonts w:ascii="標楷體" w:eastAsia="標楷體" w:hAnsi="標楷體"/>
          <w:color w:val="000000"/>
        </w:rPr>
        <w:lastRenderedPageBreak/>
        <w:t>9.44.Azacitidine：（102/1/1、111/5/1、111/8/1、112/2/1、112/8/1、114/3/1、114/5/1、114/8/1、114/10/1</w:t>
      </w:r>
      <w:r w:rsidRPr="007576F0">
        <w:rPr>
          <w:rFonts w:ascii="標楷體" w:eastAsia="標楷體" w:hAnsi="標楷體" w:hint="eastAsia"/>
          <w:color w:val="000000"/>
        </w:rPr>
        <w:t>、114/12/1</w:t>
      </w:r>
      <w:r w:rsidRPr="007576F0">
        <w:rPr>
          <w:rFonts w:ascii="標楷體" w:eastAsia="標楷體" w:hAnsi="標楷體"/>
          <w:color w:val="000000"/>
        </w:rPr>
        <w:t>）</w:t>
      </w:r>
    </w:p>
    <w:p w14:paraId="3C46347B" w14:textId="77777777" w:rsidR="007576F0" w:rsidRPr="007576F0" w:rsidRDefault="007576F0" w:rsidP="007576F0">
      <w:pPr>
        <w:spacing w:line="300" w:lineRule="exact"/>
        <w:ind w:left="709" w:hanging="353"/>
        <w:rPr>
          <w:rFonts w:ascii="標楷體" w:eastAsia="標楷體" w:hAnsi="標楷體"/>
          <w:color w:val="000000"/>
        </w:rPr>
      </w:pPr>
      <w:r w:rsidRPr="007576F0">
        <w:rPr>
          <w:rFonts w:ascii="標楷體" w:eastAsia="標楷體" w:hAnsi="標楷體"/>
          <w:color w:val="000000"/>
        </w:rPr>
        <w:t>9.44.1.Azacitidine 注射劑（如</w:t>
      </w:r>
      <w:proofErr w:type="spellStart"/>
      <w:r w:rsidRPr="007576F0">
        <w:rPr>
          <w:rFonts w:ascii="標楷體" w:eastAsia="標楷體" w:hAnsi="標楷體"/>
          <w:color w:val="000000"/>
        </w:rPr>
        <w:t>Vidaza</w:t>
      </w:r>
      <w:proofErr w:type="spellEnd"/>
      <w:r w:rsidRPr="007576F0">
        <w:rPr>
          <w:rFonts w:ascii="標楷體" w:eastAsia="標楷體" w:hAnsi="標楷體"/>
          <w:color w:val="000000"/>
        </w:rPr>
        <w:t>）：（102/1/1、111/5/1、111/8/1、112/2/1、112/8/1、114/3/1、114/8/1</w:t>
      </w:r>
      <w:r w:rsidRPr="007576F0">
        <w:rPr>
          <w:rFonts w:ascii="標楷體" w:eastAsia="標楷體" w:hAnsi="標楷體" w:hint="eastAsia"/>
          <w:color w:val="000000"/>
        </w:rPr>
        <w:t>、114/12/1</w:t>
      </w:r>
      <w:r w:rsidRPr="007576F0">
        <w:rPr>
          <w:rFonts w:ascii="標楷體" w:eastAsia="標楷體" w:hAnsi="標楷體"/>
          <w:color w:val="000000"/>
        </w:rPr>
        <w:t>）</w:t>
      </w:r>
    </w:p>
    <w:p w14:paraId="6C58233B" w14:textId="77777777"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rPr>
        <w:t>1.骨髓增生不良症候群高危險性病患：頑固性貧血</w:t>
      </w:r>
      <w:proofErr w:type="gramStart"/>
      <w:r w:rsidRPr="007576F0">
        <w:rPr>
          <w:rFonts w:ascii="標楷體" w:eastAsia="標楷體" w:hAnsi="標楷體"/>
        </w:rPr>
        <w:t>併</w:t>
      </w:r>
      <w:proofErr w:type="gramEnd"/>
      <w:r w:rsidRPr="007576F0">
        <w:rPr>
          <w:rFonts w:ascii="標楷體" w:eastAsia="標楷體" w:hAnsi="標楷體"/>
        </w:rPr>
        <w:t>有過量</w:t>
      </w:r>
      <w:proofErr w:type="gramStart"/>
      <w:r w:rsidRPr="007576F0">
        <w:rPr>
          <w:rFonts w:ascii="標楷體" w:eastAsia="標楷體" w:hAnsi="標楷體"/>
        </w:rPr>
        <w:t>芽</w:t>
      </w:r>
      <w:proofErr w:type="gramEnd"/>
      <w:r w:rsidRPr="007576F0">
        <w:rPr>
          <w:rFonts w:ascii="標楷體" w:eastAsia="標楷體" w:hAnsi="標楷體"/>
        </w:rPr>
        <w:t>細胞（RA with excess blasts, RAEB）、轉變中的頑固性貧血</w:t>
      </w:r>
      <w:proofErr w:type="gramStart"/>
      <w:r w:rsidRPr="007576F0">
        <w:rPr>
          <w:rFonts w:ascii="標楷體" w:eastAsia="標楷體" w:hAnsi="標楷體"/>
        </w:rPr>
        <w:t>併</w:t>
      </w:r>
      <w:proofErr w:type="gramEnd"/>
      <w:r w:rsidRPr="007576F0">
        <w:rPr>
          <w:rFonts w:ascii="標楷體" w:eastAsia="標楷體" w:hAnsi="標楷體"/>
        </w:rPr>
        <w:t>有過量</w:t>
      </w:r>
      <w:proofErr w:type="gramStart"/>
      <w:r w:rsidRPr="007576F0">
        <w:rPr>
          <w:rFonts w:ascii="標楷體" w:eastAsia="標楷體" w:hAnsi="標楷體"/>
        </w:rPr>
        <w:t>芽</w:t>
      </w:r>
      <w:proofErr w:type="gramEnd"/>
      <w:r w:rsidRPr="007576F0">
        <w:rPr>
          <w:rFonts w:ascii="標楷體" w:eastAsia="標楷體" w:hAnsi="標楷體"/>
        </w:rPr>
        <w:t xml:space="preserve">細胞（RAEB in transformation, RAEB-T）、及慢性骨髓單核細胞性白血病（chronic myelomonocytic leukemia, </w:t>
      </w:r>
      <w:proofErr w:type="spellStart"/>
      <w:r w:rsidRPr="007576F0">
        <w:rPr>
          <w:rFonts w:ascii="標楷體" w:eastAsia="標楷體" w:hAnsi="標楷體"/>
        </w:rPr>
        <w:t>CMMoL</w:t>
      </w:r>
      <w:proofErr w:type="spellEnd"/>
      <w:r w:rsidRPr="007576F0">
        <w:rPr>
          <w:rFonts w:ascii="標楷體" w:eastAsia="標楷體" w:hAnsi="標楷體"/>
        </w:rPr>
        <w:t>）。</w:t>
      </w:r>
    </w:p>
    <w:p w14:paraId="0C4C7264" w14:textId="77777777" w:rsidR="007576F0" w:rsidRPr="007576F0" w:rsidRDefault="007576F0" w:rsidP="007576F0">
      <w:pPr>
        <w:spacing w:line="300" w:lineRule="exact"/>
        <w:ind w:left="1134" w:hanging="284"/>
        <w:rPr>
          <w:rFonts w:ascii="標楷體" w:eastAsia="標楷體" w:hAnsi="標楷體"/>
        </w:rPr>
      </w:pPr>
      <w:r w:rsidRPr="007576F0">
        <w:rPr>
          <w:rFonts w:ascii="標楷體" w:eastAsia="標楷體" w:hAnsi="標楷體"/>
        </w:rPr>
        <w:t>(</w:t>
      </w:r>
      <w:r w:rsidRPr="007576F0">
        <w:rPr>
          <w:rFonts w:ascii="標楷體" w:eastAsia="標楷體" w:hAnsi="標楷體" w:hint="eastAsia"/>
        </w:rPr>
        <w:t>1</w:t>
      </w:r>
      <w:r w:rsidRPr="007576F0">
        <w:rPr>
          <w:rFonts w:ascii="標楷體" w:eastAsia="標楷體" w:hAnsi="標楷體"/>
        </w:rPr>
        <w:t>)初次申請時需經事前審查核准後使用，續用不需再事前審查，惟病歷應留存確診之病理或影像診斷證明等報告</w:t>
      </w:r>
      <w:r w:rsidRPr="007576F0">
        <w:rPr>
          <w:rFonts w:ascii="標楷體" w:eastAsia="標楷體" w:hAnsi="標楷體" w:hint="eastAsia"/>
        </w:rPr>
        <w:t>(包括每4個月一次骨髓檢查報告以及CBC/DC報告)</w:t>
      </w:r>
      <w:r w:rsidRPr="007576F0">
        <w:rPr>
          <w:rFonts w:ascii="標楷體" w:eastAsia="標楷體" w:hAnsi="標楷體"/>
        </w:rPr>
        <w:t>，並記錄治療相關臨床資料</w:t>
      </w:r>
      <w:r w:rsidRPr="007576F0">
        <w:rPr>
          <w:rFonts w:ascii="標楷體" w:eastAsia="標楷體" w:hAnsi="標楷體" w:hint="eastAsia"/>
        </w:rPr>
        <w:t>(如每4個月一次臨床療效評估摘要)</w:t>
      </w:r>
      <w:r w:rsidRPr="007576F0">
        <w:rPr>
          <w:rFonts w:ascii="標楷體" w:eastAsia="標楷體" w:hAnsi="標楷體"/>
        </w:rPr>
        <w:t>。（111/8/1、112/2/1、112/8/1、114/3/1、114/8/1</w:t>
      </w:r>
      <w:r w:rsidRPr="007576F0">
        <w:rPr>
          <w:rFonts w:ascii="標楷體" w:eastAsia="標楷體" w:hAnsi="標楷體" w:hint="eastAsia"/>
        </w:rPr>
        <w:t>、114/12/1</w:t>
      </w:r>
      <w:r w:rsidRPr="007576F0">
        <w:rPr>
          <w:rFonts w:ascii="標楷體" w:eastAsia="標楷體" w:hAnsi="標楷體"/>
        </w:rPr>
        <w:t>）</w:t>
      </w:r>
    </w:p>
    <w:p w14:paraId="6BCD25CA" w14:textId="77777777" w:rsidR="007576F0" w:rsidRPr="007576F0" w:rsidRDefault="007576F0" w:rsidP="007576F0">
      <w:pPr>
        <w:spacing w:line="300" w:lineRule="exact"/>
        <w:ind w:left="1134" w:hanging="284"/>
        <w:rPr>
          <w:rFonts w:ascii="標楷體" w:eastAsia="標楷體" w:hAnsi="標楷體"/>
        </w:rPr>
      </w:pPr>
      <w:r w:rsidRPr="007576F0">
        <w:rPr>
          <w:rFonts w:ascii="標楷體" w:eastAsia="標楷體" w:hAnsi="標楷體"/>
        </w:rPr>
        <w:t>(</w:t>
      </w:r>
      <w:r w:rsidRPr="007576F0">
        <w:rPr>
          <w:rFonts w:ascii="標楷體" w:eastAsia="標楷體" w:hAnsi="標楷體" w:hint="eastAsia"/>
        </w:rPr>
        <w:t>2</w:t>
      </w:r>
      <w:r w:rsidRPr="007576F0">
        <w:rPr>
          <w:rFonts w:ascii="標楷體" w:eastAsia="標楷體" w:hAnsi="標楷體"/>
        </w:rPr>
        <w:t>)</w:t>
      </w:r>
      <w:r w:rsidRPr="007576F0">
        <w:rPr>
          <w:rFonts w:ascii="標楷體" w:eastAsia="標楷體" w:hAnsi="標楷體" w:hint="eastAsia"/>
        </w:rPr>
        <w:t>使用本藥品之病患，倘疾病惡化至骨髓</w:t>
      </w:r>
      <w:proofErr w:type="gramStart"/>
      <w:r w:rsidRPr="007576F0">
        <w:rPr>
          <w:rFonts w:ascii="標楷體" w:eastAsia="標楷體" w:hAnsi="標楷體" w:hint="eastAsia"/>
        </w:rPr>
        <w:t>芽</w:t>
      </w:r>
      <w:proofErr w:type="gramEnd"/>
      <w:r w:rsidRPr="007576F0">
        <w:rPr>
          <w:rFonts w:ascii="標楷體" w:eastAsia="標楷體" w:hAnsi="標楷體" w:hint="eastAsia"/>
        </w:rPr>
        <w:t>細胞</w:t>
      </w:r>
      <w:r w:rsidRPr="007576F0">
        <w:rPr>
          <w:rFonts w:ascii="標楷體" w:eastAsia="標楷體" w:hAnsi="標楷體"/>
        </w:rPr>
        <w:t>（myeloblast）大於30%</w:t>
      </w:r>
      <w:r w:rsidRPr="007576F0">
        <w:rPr>
          <w:rFonts w:ascii="標楷體" w:eastAsia="標楷體" w:hAnsi="標楷體" w:hint="eastAsia"/>
        </w:rPr>
        <w:t>即停藥</w:t>
      </w:r>
      <w:r w:rsidRPr="007576F0">
        <w:rPr>
          <w:rFonts w:ascii="標楷體" w:eastAsia="標楷體" w:hAnsi="標楷體"/>
        </w:rPr>
        <w:t>。（</w:t>
      </w:r>
      <w:r w:rsidRPr="007576F0">
        <w:rPr>
          <w:rFonts w:ascii="標楷體" w:eastAsia="標楷體" w:hAnsi="標楷體" w:hint="eastAsia"/>
        </w:rPr>
        <w:t>102/12/1、114/12/1</w:t>
      </w:r>
      <w:r w:rsidRPr="007576F0">
        <w:rPr>
          <w:rFonts w:ascii="標楷體" w:eastAsia="標楷體" w:hAnsi="標楷體"/>
        </w:rPr>
        <w:t>）</w:t>
      </w:r>
    </w:p>
    <w:p w14:paraId="382FB0D1" w14:textId="77777777" w:rsidR="007576F0" w:rsidRPr="007576F0" w:rsidRDefault="007576F0" w:rsidP="007576F0">
      <w:pPr>
        <w:spacing w:line="300" w:lineRule="exact"/>
        <w:ind w:left="1134" w:hanging="284"/>
        <w:rPr>
          <w:rFonts w:ascii="標楷體" w:eastAsia="標楷體" w:hAnsi="標楷體"/>
        </w:rPr>
      </w:pPr>
      <w:r w:rsidRPr="007576F0">
        <w:rPr>
          <w:rFonts w:ascii="標楷體" w:eastAsia="標楷體" w:hAnsi="標楷體"/>
        </w:rPr>
        <w:t>(</w:t>
      </w:r>
      <w:r w:rsidRPr="007576F0">
        <w:rPr>
          <w:rFonts w:ascii="標楷體" w:eastAsia="標楷體" w:hAnsi="標楷體" w:hint="eastAsia"/>
        </w:rPr>
        <w:t>3</w:t>
      </w:r>
      <w:r w:rsidRPr="007576F0">
        <w:rPr>
          <w:rFonts w:ascii="標楷體" w:eastAsia="標楷體" w:hAnsi="標楷體"/>
        </w:rPr>
        <w:t>)</w:t>
      </w:r>
      <w:r w:rsidRPr="007576F0">
        <w:rPr>
          <w:rFonts w:ascii="標楷體" w:eastAsia="標楷體" w:hAnsi="標楷體" w:hint="eastAsia"/>
        </w:rPr>
        <w:t>不得</w:t>
      </w:r>
      <w:proofErr w:type="gramStart"/>
      <w:r w:rsidRPr="007576F0">
        <w:rPr>
          <w:rFonts w:ascii="標楷體" w:eastAsia="標楷體" w:hAnsi="標楷體" w:hint="eastAsia"/>
        </w:rPr>
        <w:t>併</w:t>
      </w:r>
      <w:proofErr w:type="gramEnd"/>
      <w:r w:rsidRPr="007576F0">
        <w:rPr>
          <w:rFonts w:ascii="標楷體" w:eastAsia="標楷體" w:hAnsi="標楷體" w:hint="eastAsia"/>
        </w:rPr>
        <w:t>用</w:t>
      </w:r>
      <w:proofErr w:type="spellStart"/>
      <w:r w:rsidRPr="007576F0">
        <w:rPr>
          <w:rFonts w:ascii="標楷體" w:eastAsia="標楷體" w:hAnsi="標楷體" w:hint="eastAsia"/>
        </w:rPr>
        <w:t>v</w:t>
      </w:r>
      <w:r w:rsidRPr="007576F0">
        <w:rPr>
          <w:rFonts w:ascii="標楷體" w:eastAsia="標楷體" w:hAnsi="標楷體"/>
        </w:rPr>
        <w:t>enetoclax</w:t>
      </w:r>
      <w:proofErr w:type="spellEnd"/>
      <w:r w:rsidRPr="007576F0">
        <w:rPr>
          <w:rFonts w:ascii="標楷體" w:eastAsia="標楷體" w:hAnsi="標楷體" w:hint="eastAsia"/>
        </w:rPr>
        <w:t>或轉換為口服劑型之a</w:t>
      </w:r>
      <w:r w:rsidRPr="007576F0">
        <w:rPr>
          <w:rFonts w:ascii="標楷體" w:eastAsia="標楷體" w:hAnsi="標楷體"/>
        </w:rPr>
        <w:t>zacitidine</w:t>
      </w:r>
      <w:r w:rsidRPr="007576F0">
        <w:rPr>
          <w:rFonts w:ascii="標楷體" w:eastAsia="標楷體" w:hAnsi="標楷體" w:hint="eastAsia"/>
        </w:rPr>
        <w:t>成分藥品。</w:t>
      </w:r>
      <w:r w:rsidRPr="007576F0">
        <w:rPr>
          <w:rFonts w:ascii="標楷體" w:eastAsia="標楷體" w:hAnsi="標楷體"/>
        </w:rPr>
        <w:t>（</w:t>
      </w:r>
      <w:r w:rsidRPr="007576F0">
        <w:rPr>
          <w:rFonts w:ascii="標楷體" w:eastAsia="標楷體" w:hAnsi="標楷體" w:hint="eastAsia"/>
        </w:rPr>
        <w:t>114/12/1</w:t>
      </w:r>
      <w:r w:rsidRPr="007576F0">
        <w:rPr>
          <w:rFonts w:ascii="標楷體" w:eastAsia="標楷體" w:hAnsi="標楷體"/>
        </w:rPr>
        <w:t>）</w:t>
      </w:r>
    </w:p>
    <w:p w14:paraId="189F1446" w14:textId="77777777" w:rsidR="007576F0" w:rsidRPr="007576F0" w:rsidRDefault="007576F0" w:rsidP="007576F0">
      <w:pPr>
        <w:spacing w:line="300" w:lineRule="exact"/>
        <w:ind w:left="1134" w:hanging="284"/>
        <w:rPr>
          <w:rFonts w:ascii="標楷體" w:eastAsia="標楷體" w:hAnsi="標楷體"/>
        </w:rPr>
      </w:pPr>
      <w:r w:rsidRPr="007576F0">
        <w:rPr>
          <w:rFonts w:ascii="標楷體" w:eastAsia="標楷體" w:hAnsi="標楷體"/>
        </w:rPr>
        <w:t>(4)本藥品與decitabine僅能擇</w:t>
      </w:r>
      <w:proofErr w:type="gramStart"/>
      <w:r w:rsidRPr="007576F0">
        <w:rPr>
          <w:rFonts w:ascii="標楷體" w:eastAsia="標楷體" w:hAnsi="標楷體"/>
        </w:rPr>
        <w:t>一</w:t>
      </w:r>
      <w:proofErr w:type="gramEnd"/>
      <w:r w:rsidRPr="007576F0">
        <w:rPr>
          <w:rFonts w:ascii="標楷體" w:eastAsia="標楷體" w:hAnsi="標楷體"/>
        </w:rPr>
        <w:t>使用，</w:t>
      </w:r>
      <w:proofErr w:type="gramStart"/>
      <w:r w:rsidRPr="007576F0">
        <w:rPr>
          <w:rFonts w:ascii="標楷體" w:eastAsia="標楷體" w:hAnsi="標楷體"/>
        </w:rPr>
        <w:t>除因耐受</w:t>
      </w:r>
      <w:proofErr w:type="gramEnd"/>
      <w:r w:rsidRPr="007576F0">
        <w:rPr>
          <w:rFonts w:ascii="標楷體" w:eastAsia="標楷體" w:hAnsi="標楷體"/>
        </w:rPr>
        <w:t>性不良，不得互換。若因無法耐受 decitabine而轉換至本藥品時需事前申請。使用本藥品無效後，不得再申請decitabine。（111/5/1）</w:t>
      </w:r>
    </w:p>
    <w:p w14:paraId="29D98CCF" w14:textId="77777777"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rPr>
        <w:t>2.Azacitidine(除</w:t>
      </w:r>
      <w:proofErr w:type="spellStart"/>
      <w:r w:rsidRPr="007576F0">
        <w:rPr>
          <w:rFonts w:ascii="標楷體" w:eastAsia="標楷體" w:hAnsi="標楷體"/>
        </w:rPr>
        <w:t>Winduza</w:t>
      </w:r>
      <w:proofErr w:type="spellEnd"/>
      <w:r w:rsidRPr="007576F0">
        <w:rPr>
          <w:rFonts w:ascii="標楷體" w:eastAsia="標楷體" w:hAnsi="標楷體"/>
        </w:rPr>
        <w:t xml:space="preserve">及Azacitidine Lyophilized </w:t>
      </w:r>
      <w:proofErr w:type="spellStart"/>
      <w:r w:rsidRPr="007576F0">
        <w:rPr>
          <w:rFonts w:ascii="標楷體" w:eastAsia="標楷體" w:hAnsi="標楷體"/>
        </w:rPr>
        <w:t>Inj</w:t>
      </w:r>
      <w:proofErr w:type="spellEnd"/>
      <w:r w:rsidRPr="007576F0">
        <w:rPr>
          <w:rFonts w:ascii="標楷體" w:eastAsia="標楷體" w:hAnsi="標楷體"/>
        </w:rPr>
        <w:t xml:space="preserve"> 100mg"GBC"以外)</w:t>
      </w:r>
      <w:proofErr w:type="gramStart"/>
      <w:r w:rsidRPr="007576F0">
        <w:rPr>
          <w:rFonts w:ascii="標楷體" w:eastAsia="標楷體" w:hAnsi="標楷體"/>
        </w:rPr>
        <w:t>併</w:t>
      </w:r>
      <w:proofErr w:type="gramEnd"/>
      <w:r w:rsidRPr="007576F0">
        <w:rPr>
          <w:rFonts w:ascii="標楷體" w:eastAsia="標楷體" w:hAnsi="標楷體"/>
        </w:rPr>
        <w:t>用</w:t>
      </w:r>
      <w:proofErr w:type="spellStart"/>
      <w:r w:rsidRPr="007576F0">
        <w:rPr>
          <w:rFonts w:ascii="標楷體" w:eastAsia="標楷體" w:hAnsi="標楷體"/>
        </w:rPr>
        <w:t>venetoclax</w:t>
      </w:r>
      <w:proofErr w:type="spellEnd"/>
      <w:r w:rsidRPr="007576F0">
        <w:rPr>
          <w:rFonts w:ascii="標楷體" w:eastAsia="標楷體" w:hAnsi="標楷體"/>
        </w:rPr>
        <w:t>，使用於無法接受高強度化學治療之初診斷急性骨髓性白血病(AML)病人。(114/8/1)</w:t>
      </w:r>
    </w:p>
    <w:p w14:paraId="19FBB0B3" w14:textId="77777777" w:rsidR="007576F0" w:rsidRPr="007576F0" w:rsidRDefault="007576F0" w:rsidP="007576F0">
      <w:pPr>
        <w:spacing w:line="300" w:lineRule="exact"/>
        <w:ind w:left="1418" w:hanging="397"/>
        <w:rPr>
          <w:rFonts w:ascii="標楷體" w:eastAsia="標楷體" w:hAnsi="標楷體"/>
        </w:rPr>
      </w:pPr>
      <w:r w:rsidRPr="007576F0">
        <w:rPr>
          <w:rFonts w:ascii="標楷體" w:eastAsia="標楷體" w:hAnsi="標楷體"/>
        </w:rPr>
        <w:t>(1)需具有下列I.或Ⅱ.的條件之</w:t>
      </w:r>
      <w:proofErr w:type="gramStart"/>
      <w:r w:rsidRPr="007576F0">
        <w:rPr>
          <w:rFonts w:ascii="標楷體" w:eastAsia="標楷體" w:hAnsi="標楷體"/>
        </w:rPr>
        <w:t>一</w:t>
      </w:r>
      <w:proofErr w:type="gramEnd"/>
      <w:r w:rsidRPr="007576F0">
        <w:rPr>
          <w:rFonts w:ascii="標楷體" w:eastAsia="標楷體" w:hAnsi="標楷體"/>
        </w:rPr>
        <w:t>：</w:t>
      </w:r>
    </w:p>
    <w:p w14:paraId="67B69226" w14:textId="77777777" w:rsidR="007576F0" w:rsidRPr="007576F0" w:rsidRDefault="007576F0" w:rsidP="007576F0">
      <w:pPr>
        <w:spacing w:line="300" w:lineRule="exact"/>
        <w:ind w:left="1560" w:hanging="244"/>
        <w:rPr>
          <w:rFonts w:ascii="標楷體" w:eastAsia="標楷體" w:hAnsi="標楷體"/>
        </w:rPr>
      </w:pPr>
      <w:r w:rsidRPr="007576F0">
        <w:rPr>
          <w:rFonts w:ascii="標楷體" w:eastAsia="標楷體" w:hAnsi="標楷體"/>
        </w:rPr>
        <w:t>I.75歲以上。</w:t>
      </w:r>
    </w:p>
    <w:p w14:paraId="6211B4D0" w14:textId="77777777" w:rsidR="007576F0" w:rsidRPr="007576F0" w:rsidRDefault="007576F0" w:rsidP="007576F0">
      <w:pPr>
        <w:spacing w:line="300" w:lineRule="exact"/>
        <w:ind w:left="1560" w:hanging="244"/>
        <w:rPr>
          <w:rFonts w:ascii="標楷體" w:eastAsia="標楷體" w:hAnsi="標楷體"/>
        </w:rPr>
      </w:pPr>
      <w:r w:rsidRPr="007576F0">
        <w:rPr>
          <w:rFonts w:ascii="標楷體" w:eastAsia="標楷體" w:hAnsi="標楷體"/>
        </w:rPr>
        <w:t>Ⅱ.18歲以上但未滿75歲時，需ECOG performance status為 2 或 3，且符合下列任</w:t>
      </w:r>
      <w:proofErr w:type="gramStart"/>
      <w:r w:rsidRPr="007576F0">
        <w:rPr>
          <w:rFonts w:ascii="標楷體" w:eastAsia="標楷體" w:hAnsi="標楷體"/>
        </w:rPr>
        <w:t>一</w:t>
      </w:r>
      <w:proofErr w:type="gramEnd"/>
      <w:r w:rsidRPr="007576F0">
        <w:rPr>
          <w:rFonts w:ascii="標楷體" w:eastAsia="標楷體" w:hAnsi="標楷體"/>
        </w:rPr>
        <w:t>條件者：</w:t>
      </w:r>
    </w:p>
    <w:p w14:paraId="5C5276D0" w14:textId="77777777" w:rsidR="007576F0" w:rsidRPr="007576F0" w:rsidRDefault="007576F0" w:rsidP="007576F0">
      <w:pPr>
        <w:spacing w:line="300" w:lineRule="exact"/>
        <w:ind w:left="1985" w:hanging="244"/>
      </w:pPr>
      <w:r w:rsidRPr="007576F0">
        <w:rPr>
          <w:rFonts w:ascii="新細明體" w:hAnsi="新細明體" w:cs="新細明體"/>
        </w:rPr>
        <w:t>ⅰ</w:t>
      </w:r>
      <w:r w:rsidRPr="007576F0">
        <w:rPr>
          <w:rFonts w:ascii="標楷體" w:eastAsia="標楷體" w:hAnsi="標楷體"/>
        </w:rPr>
        <w:t>.具有心臟衰竭治療病史，且left ventricle ejection fraction (LVEF)＜50%。</w:t>
      </w:r>
    </w:p>
    <w:p w14:paraId="62A4EEF0" w14:textId="77777777" w:rsidR="007576F0" w:rsidRPr="007576F0" w:rsidRDefault="007576F0" w:rsidP="007576F0">
      <w:pPr>
        <w:spacing w:line="300" w:lineRule="exact"/>
        <w:ind w:left="1985" w:hanging="244"/>
      </w:pPr>
      <w:r w:rsidRPr="007576F0">
        <w:rPr>
          <w:rFonts w:ascii="新細明體" w:hAnsi="新細明體" w:cs="新細明體"/>
        </w:rPr>
        <w:t>ⅱ</w:t>
      </w:r>
      <w:r w:rsidRPr="007576F0">
        <w:rPr>
          <w:rFonts w:ascii="標楷體" w:eastAsia="標楷體" w:hAnsi="標楷體"/>
        </w:rPr>
        <w:t>.</w:t>
      </w:r>
      <w:r w:rsidRPr="007576F0">
        <w:rPr>
          <w:rFonts w:ascii="標楷體" w:eastAsia="標楷體" w:hAnsi="標楷體" w:cs="新細明體"/>
        </w:rPr>
        <w:t>具慢性肺部疾病史，且 DLCO＜65%。</w:t>
      </w:r>
    </w:p>
    <w:p w14:paraId="6C6F642C" w14:textId="77777777" w:rsidR="007576F0" w:rsidRPr="007576F0" w:rsidRDefault="007576F0" w:rsidP="007576F0">
      <w:pPr>
        <w:spacing w:line="300" w:lineRule="exact"/>
        <w:ind w:left="1985" w:hanging="244"/>
      </w:pPr>
      <w:r w:rsidRPr="007576F0">
        <w:rPr>
          <w:rFonts w:ascii="新細明體" w:hAnsi="新細明體" w:cs="新細明體"/>
        </w:rPr>
        <w:t>ⅲ</w:t>
      </w:r>
      <w:r w:rsidRPr="007576F0">
        <w:rPr>
          <w:rFonts w:ascii="標楷體" w:eastAsia="標楷體" w:hAnsi="標楷體" w:cs="新細明體"/>
        </w:rPr>
        <w:t>.具</w:t>
      </w:r>
      <w:r w:rsidRPr="007576F0">
        <w:rPr>
          <w:rFonts w:ascii="標楷體" w:eastAsia="標楷體" w:hAnsi="標楷體" w:cs="新細明體"/>
          <w:kern w:val="0"/>
          <w:szCs w:val="24"/>
        </w:rPr>
        <w:t>肝功能異常：Bilirubin level 在1.5-3.0倍正常值間。</w:t>
      </w:r>
    </w:p>
    <w:p w14:paraId="0862D6E9" w14:textId="77777777" w:rsidR="007576F0" w:rsidRPr="007576F0" w:rsidRDefault="007576F0" w:rsidP="007576F0">
      <w:pPr>
        <w:spacing w:line="300" w:lineRule="exact"/>
        <w:ind w:left="1418" w:hanging="397"/>
        <w:rPr>
          <w:rFonts w:ascii="標楷體" w:eastAsia="標楷體" w:hAnsi="標楷體"/>
        </w:rPr>
      </w:pPr>
      <w:r w:rsidRPr="007576F0">
        <w:rPr>
          <w:rFonts w:ascii="標楷體" w:eastAsia="標楷體" w:hAnsi="標楷體"/>
        </w:rPr>
        <w:t>(2)需未曾因骨髓化生不良症候群(myelodysplastic syndrome, MDS)接受過azacitidine或decitabine治療者。</w:t>
      </w:r>
    </w:p>
    <w:p w14:paraId="52DB63E9" w14:textId="77777777" w:rsidR="007576F0" w:rsidRPr="007576F0" w:rsidRDefault="007576F0" w:rsidP="007576F0">
      <w:pPr>
        <w:spacing w:line="300" w:lineRule="exact"/>
        <w:ind w:left="1418" w:hanging="397"/>
        <w:rPr>
          <w:rFonts w:ascii="標楷體" w:eastAsia="標楷體" w:hAnsi="標楷體"/>
        </w:rPr>
      </w:pPr>
      <w:r w:rsidRPr="007576F0">
        <w:rPr>
          <w:rFonts w:ascii="標楷體" w:eastAsia="標楷體" w:hAnsi="標楷體"/>
        </w:rPr>
        <w:t>(3)需經事前審查核准後使用，每2個療程需再次申請；再次申請時需檢附療效評估資料，若病情惡化應即停止使用。</w:t>
      </w:r>
    </w:p>
    <w:p w14:paraId="4594D57C" w14:textId="77777777" w:rsidR="007576F0" w:rsidRPr="007576F0" w:rsidRDefault="007576F0" w:rsidP="007576F0">
      <w:pPr>
        <w:spacing w:line="300" w:lineRule="exact"/>
        <w:ind w:left="1418" w:hanging="397"/>
        <w:rPr>
          <w:rFonts w:ascii="標楷體" w:eastAsia="標楷體" w:hAnsi="標楷體"/>
        </w:rPr>
      </w:pPr>
      <w:r w:rsidRPr="007576F0">
        <w:rPr>
          <w:rFonts w:ascii="標楷體" w:eastAsia="標楷體" w:hAnsi="標楷體"/>
        </w:rPr>
        <w:t>(4)最多給付6個療程。</w:t>
      </w:r>
    </w:p>
    <w:p w14:paraId="79CEC8D7" w14:textId="77777777" w:rsidR="007576F0" w:rsidRPr="007576F0" w:rsidRDefault="007576F0" w:rsidP="007576F0">
      <w:pPr>
        <w:spacing w:line="300" w:lineRule="exact"/>
        <w:ind w:firstLineChars="59" w:firstLine="142"/>
        <w:rPr>
          <w:rFonts w:ascii="標楷體" w:eastAsia="標楷體" w:hAnsi="標楷體"/>
          <w:color w:val="000000"/>
        </w:rPr>
      </w:pPr>
      <w:r w:rsidRPr="007576F0">
        <w:rPr>
          <w:rFonts w:ascii="標楷體" w:eastAsia="標楷體" w:hAnsi="標楷體" w:hint="eastAsia"/>
          <w:color w:val="000000"/>
        </w:rPr>
        <w:t xml:space="preserve">  9.44.2.Azacitidine 口服製劑（如</w:t>
      </w:r>
      <w:proofErr w:type="spellStart"/>
      <w:r w:rsidRPr="007576F0">
        <w:rPr>
          <w:rFonts w:ascii="標楷體" w:eastAsia="標楷體" w:hAnsi="標楷體" w:hint="eastAsia"/>
          <w:color w:val="000000"/>
        </w:rPr>
        <w:t>Onureg</w:t>
      </w:r>
      <w:proofErr w:type="spellEnd"/>
      <w:r w:rsidRPr="007576F0">
        <w:rPr>
          <w:rFonts w:ascii="標楷體" w:eastAsia="標楷體" w:hAnsi="標楷體" w:hint="eastAsia"/>
          <w:color w:val="000000"/>
        </w:rPr>
        <w:t>）：(114/5/1、114/10/1</w:t>
      </w:r>
      <w:proofErr w:type="gramStart"/>
      <w:r w:rsidRPr="007576F0">
        <w:rPr>
          <w:rFonts w:ascii="標楷體" w:eastAsia="標楷體" w:hAnsi="標楷體" w:hint="eastAsia"/>
          <w:color w:val="000000"/>
        </w:rPr>
        <w:t>）</w:t>
      </w:r>
      <w:proofErr w:type="gramEnd"/>
    </w:p>
    <w:p w14:paraId="0CFBD54C" w14:textId="7F04312D"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hint="eastAsia"/>
        </w:rPr>
        <w:t>1.用於不適合接受造血幹細胞移植(HSCT)之急性骨髓性白血病 (AML)成人病人，作為維持治療，且須同時符合下列條件：</w:t>
      </w:r>
    </w:p>
    <w:p w14:paraId="34327B62" w14:textId="77777777" w:rsidR="007576F0" w:rsidRPr="007576F0" w:rsidRDefault="007576F0" w:rsidP="007576F0">
      <w:pPr>
        <w:spacing w:line="300" w:lineRule="exact"/>
        <w:ind w:left="1134" w:hanging="397"/>
        <w:rPr>
          <w:rFonts w:ascii="標楷體" w:eastAsia="標楷體" w:hAnsi="標楷體"/>
        </w:rPr>
      </w:pPr>
      <w:r w:rsidRPr="007576F0">
        <w:rPr>
          <w:rFonts w:ascii="標楷體" w:eastAsia="標楷體" w:hAnsi="標楷體" w:hint="eastAsia"/>
        </w:rPr>
        <w:t>(1)55歲以上具中度或高度不良風險</w:t>
      </w:r>
      <w:proofErr w:type="gramStart"/>
      <w:r w:rsidRPr="007576F0">
        <w:rPr>
          <w:rFonts w:ascii="標楷體" w:eastAsia="標楷體" w:hAnsi="標楷體" w:hint="eastAsia"/>
        </w:rPr>
        <w:t>染色體核型變化</w:t>
      </w:r>
      <w:proofErr w:type="gramEnd"/>
      <w:r w:rsidRPr="007576F0">
        <w:rPr>
          <w:rFonts w:ascii="標楷體" w:eastAsia="標楷體" w:hAnsi="標楷體" w:hint="eastAsia"/>
        </w:rPr>
        <w:t>(intermediate-risk or poor-risk cytogenetics)之急性骨髓性白血病 (AML)病人。</w:t>
      </w:r>
    </w:p>
    <w:p w14:paraId="0FB42FFA" w14:textId="77777777" w:rsidR="007576F0" w:rsidRPr="007576F0" w:rsidRDefault="007576F0" w:rsidP="007576F0">
      <w:pPr>
        <w:spacing w:line="300" w:lineRule="exact"/>
        <w:ind w:left="1134" w:hanging="397"/>
        <w:rPr>
          <w:rFonts w:ascii="標楷體" w:eastAsia="標楷體" w:hAnsi="標楷體"/>
        </w:rPr>
      </w:pPr>
      <w:r w:rsidRPr="007576F0">
        <w:rPr>
          <w:rFonts w:ascii="標楷體" w:eastAsia="標楷體" w:hAnsi="標楷體" w:hint="eastAsia"/>
        </w:rPr>
        <w:t>(2)在誘導治療後(不論是否接受鞏固治療)，首次達到</w:t>
      </w:r>
      <w:proofErr w:type="gramStart"/>
      <w:r w:rsidRPr="007576F0">
        <w:rPr>
          <w:rFonts w:ascii="標楷體" w:eastAsia="標楷體" w:hAnsi="標楷體" w:hint="eastAsia"/>
        </w:rPr>
        <w:t>完全緩</w:t>
      </w:r>
      <w:proofErr w:type="gramEnd"/>
      <w:r w:rsidRPr="007576F0">
        <w:rPr>
          <w:rFonts w:ascii="標楷體" w:eastAsia="標楷體" w:hAnsi="標楷體" w:hint="eastAsia"/>
        </w:rPr>
        <w:t>解(CR)或</w:t>
      </w:r>
      <w:proofErr w:type="gramStart"/>
      <w:r w:rsidRPr="007576F0">
        <w:rPr>
          <w:rFonts w:ascii="標楷體" w:eastAsia="標楷體" w:hAnsi="標楷體" w:hint="eastAsia"/>
        </w:rPr>
        <w:t>完全緩解但</w:t>
      </w:r>
      <w:proofErr w:type="gramEnd"/>
      <w:r w:rsidRPr="007576F0">
        <w:rPr>
          <w:rFonts w:ascii="標楷體" w:eastAsia="標楷體" w:hAnsi="標楷體" w:hint="eastAsia"/>
        </w:rPr>
        <w:t>血球計數未完全恢復正常 (</w:t>
      </w:r>
      <w:proofErr w:type="spellStart"/>
      <w:r w:rsidRPr="007576F0">
        <w:rPr>
          <w:rFonts w:ascii="標楷體" w:eastAsia="標楷體" w:hAnsi="標楷體" w:hint="eastAsia"/>
        </w:rPr>
        <w:t>CRi</w:t>
      </w:r>
      <w:proofErr w:type="spellEnd"/>
      <w:r w:rsidRPr="007576F0">
        <w:rPr>
          <w:rFonts w:ascii="標楷體" w:eastAsia="標楷體" w:hAnsi="標楷體" w:hint="eastAsia"/>
        </w:rPr>
        <w:t>)。</w:t>
      </w:r>
    </w:p>
    <w:p w14:paraId="0EA14757" w14:textId="77777777" w:rsidR="007576F0" w:rsidRPr="007576F0" w:rsidRDefault="007576F0" w:rsidP="007576F0">
      <w:pPr>
        <w:spacing w:line="300" w:lineRule="exact"/>
        <w:ind w:left="1134" w:hanging="397"/>
        <w:rPr>
          <w:rFonts w:ascii="標楷體" w:eastAsia="標楷體" w:hAnsi="標楷體"/>
        </w:rPr>
      </w:pPr>
      <w:r w:rsidRPr="007576F0">
        <w:rPr>
          <w:rFonts w:ascii="標楷體" w:eastAsia="標楷體" w:hAnsi="標楷體" w:hint="eastAsia"/>
        </w:rPr>
        <w:t>(3)之前未曾接受azacitidine或decitabine藥物治療。</w:t>
      </w:r>
    </w:p>
    <w:p w14:paraId="5C3A8CF3" w14:textId="33A3F028"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hint="eastAsia"/>
        </w:rPr>
        <w:t>2.需經事前審查核准後使用，初次申請為3個療程，需檢附染色體檢測結果報告；每3個療程需再次申請，可治療至疾病復發 (定義為周邊血或骨髓觀察到的芽細胞超過5%或新</w:t>
      </w:r>
      <w:proofErr w:type="gramStart"/>
      <w:r w:rsidRPr="007576F0">
        <w:rPr>
          <w:rFonts w:ascii="標楷體" w:eastAsia="標楷體" w:hAnsi="標楷體" w:hint="eastAsia"/>
        </w:rPr>
        <w:t>出現髓外</w:t>
      </w:r>
      <w:proofErr w:type="gramEnd"/>
      <w:r w:rsidRPr="007576F0">
        <w:rPr>
          <w:rFonts w:ascii="標楷體" w:eastAsia="標楷體" w:hAnsi="標楷體" w:hint="eastAsia"/>
        </w:rPr>
        <w:t>侵犯)或無法耐受藥物毒性為止。</w:t>
      </w:r>
    </w:p>
    <w:p w14:paraId="4D3E36E5" w14:textId="7B311835"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hint="eastAsia"/>
        </w:rPr>
        <w:t>3.每人以24個療程為上限。</w:t>
      </w:r>
    </w:p>
    <w:p w14:paraId="66CCC941" w14:textId="257A9035"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hint="eastAsia"/>
        </w:rPr>
        <w:t>4.不得與</w:t>
      </w:r>
      <w:proofErr w:type="spellStart"/>
      <w:r w:rsidRPr="007576F0">
        <w:rPr>
          <w:rFonts w:ascii="標楷體" w:eastAsia="標楷體" w:hAnsi="標楷體" w:hint="eastAsia"/>
        </w:rPr>
        <w:t>midostaurin</w:t>
      </w:r>
      <w:proofErr w:type="spellEnd"/>
      <w:r w:rsidRPr="007576F0">
        <w:rPr>
          <w:rFonts w:ascii="標楷體" w:eastAsia="標楷體" w:hAnsi="標楷體" w:hint="eastAsia"/>
        </w:rPr>
        <w:t>、</w:t>
      </w:r>
      <w:proofErr w:type="spellStart"/>
      <w:r w:rsidRPr="007576F0">
        <w:rPr>
          <w:rFonts w:ascii="標楷體" w:eastAsia="標楷體" w:hAnsi="標楷體" w:hint="eastAsia"/>
        </w:rPr>
        <w:t>venetoclax</w:t>
      </w:r>
      <w:proofErr w:type="spellEnd"/>
      <w:r w:rsidRPr="007576F0">
        <w:rPr>
          <w:rFonts w:ascii="標楷體" w:eastAsia="標楷體" w:hAnsi="標楷體" w:hint="eastAsia"/>
        </w:rPr>
        <w:t>及</w:t>
      </w:r>
      <w:proofErr w:type="spellStart"/>
      <w:r w:rsidRPr="007576F0">
        <w:rPr>
          <w:rFonts w:ascii="標楷體" w:eastAsia="標楷體" w:hAnsi="標楷體" w:hint="eastAsia"/>
        </w:rPr>
        <w:t>gilteritinib</w:t>
      </w:r>
      <w:proofErr w:type="spellEnd"/>
      <w:r w:rsidRPr="007576F0">
        <w:rPr>
          <w:rFonts w:ascii="標楷體" w:eastAsia="標楷體" w:hAnsi="標楷體" w:hint="eastAsia"/>
        </w:rPr>
        <w:t>等標靶藥品</w:t>
      </w:r>
      <w:proofErr w:type="gramStart"/>
      <w:r w:rsidRPr="007576F0">
        <w:rPr>
          <w:rFonts w:ascii="標楷體" w:eastAsia="標楷體" w:hAnsi="標楷體" w:hint="eastAsia"/>
        </w:rPr>
        <w:t>併</w:t>
      </w:r>
      <w:proofErr w:type="gramEnd"/>
      <w:r w:rsidRPr="007576F0">
        <w:rPr>
          <w:rFonts w:ascii="標楷體" w:eastAsia="標楷體" w:hAnsi="標楷體" w:hint="eastAsia"/>
        </w:rPr>
        <w:t>用。</w:t>
      </w:r>
    </w:p>
    <w:p w14:paraId="5951A930" w14:textId="69FB0AE8"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hint="eastAsia"/>
        </w:rPr>
        <w:t>5.病人接受本藥物治療後，不再給付造血幹細胞移植。</w:t>
      </w:r>
    </w:p>
    <w:p w14:paraId="2CD489D4" w14:textId="77777777"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hint="eastAsia"/>
        </w:rPr>
        <w:lastRenderedPageBreak/>
        <w:t>6.本藥品與</w:t>
      </w:r>
      <w:proofErr w:type="spellStart"/>
      <w:r w:rsidRPr="007576F0">
        <w:rPr>
          <w:rFonts w:ascii="標楷體" w:eastAsia="標楷體" w:hAnsi="標楷體" w:hint="eastAsia"/>
        </w:rPr>
        <w:t>quizartinib</w:t>
      </w:r>
      <w:proofErr w:type="spellEnd"/>
      <w:r w:rsidRPr="007576F0">
        <w:rPr>
          <w:rFonts w:ascii="標楷體" w:eastAsia="標楷體" w:hAnsi="標楷體" w:hint="eastAsia"/>
        </w:rPr>
        <w:t>僅得擇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w:t>
      </w:r>
      <w:proofErr w:type="gramStart"/>
      <w:r w:rsidRPr="007576F0">
        <w:rPr>
          <w:rFonts w:ascii="標楷體" w:eastAsia="標楷體" w:hAnsi="標楷體" w:hint="eastAsia"/>
        </w:rPr>
        <w:t>除因耐受</w:t>
      </w:r>
      <w:proofErr w:type="gramEnd"/>
      <w:r w:rsidRPr="007576F0">
        <w:rPr>
          <w:rFonts w:ascii="標楷體" w:eastAsia="標楷體" w:hAnsi="標楷體" w:hint="eastAsia"/>
        </w:rPr>
        <w:t>性不良，不得互換。(114/10/1)</w:t>
      </w:r>
    </w:p>
    <w:p w14:paraId="70B8595D" w14:textId="77777777" w:rsidR="007576F0" w:rsidRPr="007576F0" w:rsidRDefault="007576F0" w:rsidP="007576F0">
      <w:pPr>
        <w:spacing w:line="300" w:lineRule="exact"/>
        <w:ind w:left="566" w:hanging="283"/>
        <w:rPr>
          <w:rFonts w:ascii="標楷體" w:eastAsia="標楷體" w:hAnsi="標楷體"/>
          <w:color w:val="000000"/>
        </w:rPr>
      </w:pPr>
      <w:r w:rsidRPr="007576F0">
        <w:rPr>
          <w:rFonts w:ascii="標楷體" w:eastAsia="標楷體" w:hAnsi="標楷體"/>
          <w:color w:val="000000"/>
        </w:rPr>
        <w:t>9.45.Afatinib（如</w:t>
      </w:r>
      <w:proofErr w:type="spellStart"/>
      <w:r w:rsidRPr="007576F0">
        <w:rPr>
          <w:rFonts w:ascii="標楷體" w:eastAsia="標楷體" w:hAnsi="標楷體"/>
          <w:color w:val="000000"/>
        </w:rPr>
        <w:t>Giotrif</w:t>
      </w:r>
      <w:proofErr w:type="spellEnd"/>
      <w:r w:rsidRPr="007576F0">
        <w:rPr>
          <w:rFonts w:ascii="標楷體" w:eastAsia="標楷體" w:hAnsi="標楷體"/>
          <w:color w:val="000000"/>
        </w:rPr>
        <w:t>）：(103/5/1、106/11/1、108/6/1、108/11/1、109/4/1、109/6/1、109/10/1、111/4/1、113/3/1、113/6/1、113/10/1</w:t>
      </w:r>
      <w:r w:rsidRPr="007576F0">
        <w:rPr>
          <w:rFonts w:ascii="標楷體" w:eastAsia="標楷體" w:hAnsi="標楷體" w:hint="eastAsia"/>
          <w:color w:val="000000"/>
        </w:rPr>
        <w:t>、115/8/1</w:t>
      </w:r>
      <w:r w:rsidRPr="007576F0">
        <w:rPr>
          <w:rFonts w:ascii="標楷體" w:eastAsia="標楷體" w:hAnsi="標楷體"/>
          <w:color w:val="000000"/>
        </w:rPr>
        <w:t>)</w:t>
      </w:r>
    </w:p>
    <w:p w14:paraId="6B492C55" w14:textId="77777777" w:rsidR="007576F0" w:rsidRPr="007576F0" w:rsidRDefault="007576F0" w:rsidP="007576F0">
      <w:pPr>
        <w:spacing w:line="300" w:lineRule="exact"/>
        <w:ind w:left="796" w:hanging="230"/>
      </w:pPr>
      <w:r w:rsidRPr="007576F0">
        <w:rPr>
          <w:rFonts w:ascii="標楷體" w:eastAsia="標楷體" w:hAnsi="標楷體"/>
          <w:color w:val="000000"/>
        </w:rPr>
        <w:t>1.</w:t>
      </w:r>
      <w:r w:rsidRPr="007576F0">
        <w:t xml:space="preserve"> </w:t>
      </w:r>
      <w:r w:rsidRPr="007576F0">
        <w:rPr>
          <w:rFonts w:ascii="標楷體" w:eastAsia="標楷體" w:hAnsi="標楷體"/>
          <w:color w:val="000000"/>
        </w:rPr>
        <w:t>限單獨使用於：</w:t>
      </w:r>
    </w:p>
    <w:p w14:paraId="7136BA47" w14:textId="77777777" w:rsidR="007576F0" w:rsidRPr="007576F0" w:rsidRDefault="007576F0" w:rsidP="007576F0">
      <w:pPr>
        <w:spacing w:line="300" w:lineRule="exact"/>
        <w:ind w:left="1046" w:hanging="348"/>
        <w:rPr>
          <w:rFonts w:ascii="標楷體" w:eastAsia="標楷體" w:hAnsi="標楷體"/>
          <w:kern w:val="0"/>
          <w:szCs w:val="24"/>
        </w:rPr>
      </w:pPr>
      <w:r w:rsidRPr="007576F0">
        <w:rPr>
          <w:rFonts w:ascii="標楷體" w:eastAsia="標楷體" w:hAnsi="標楷體"/>
          <w:kern w:val="0"/>
          <w:szCs w:val="24"/>
        </w:rPr>
        <w:t>(1)具有EGFR-TK基因突變之局部晚期或轉移性(即第</w:t>
      </w:r>
      <w:proofErr w:type="spellStart"/>
      <w:r w:rsidRPr="007576F0">
        <w:rPr>
          <w:rFonts w:ascii="標楷體" w:eastAsia="標楷體" w:hAnsi="標楷體"/>
          <w:kern w:val="0"/>
          <w:szCs w:val="24"/>
        </w:rPr>
        <w:t>ⅢB</w:t>
      </w:r>
      <w:proofErr w:type="spellEnd"/>
      <w:r w:rsidRPr="007576F0">
        <w:rPr>
          <w:rFonts w:ascii="標楷體" w:eastAsia="標楷體" w:hAnsi="標楷體"/>
          <w:kern w:val="0"/>
          <w:szCs w:val="24"/>
        </w:rPr>
        <w:t>、</w:t>
      </w:r>
      <w:proofErr w:type="spellStart"/>
      <w:r w:rsidRPr="007576F0">
        <w:rPr>
          <w:rFonts w:ascii="標楷體" w:eastAsia="標楷體" w:hAnsi="標楷體"/>
          <w:kern w:val="0"/>
          <w:szCs w:val="24"/>
        </w:rPr>
        <w:t>ⅢC</w:t>
      </w:r>
      <w:proofErr w:type="spellEnd"/>
      <w:r w:rsidRPr="007576F0">
        <w:rPr>
          <w:rFonts w:ascii="標楷體" w:eastAsia="標楷體" w:hAnsi="標楷體"/>
          <w:kern w:val="0"/>
          <w:szCs w:val="24"/>
        </w:rPr>
        <w:t>期或</w:t>
      </w:r>
      <w:proofErr w:type="gramStart"/>
      <w:r w:rsidRPr="007576F0">
        <w:rPr>
          <w:rFonts w:ascii="標楷體" w:eastAsia="標楷體" w:hAnsi="標楷體"/>
          <w:kern w:val="0"/>
          <w:szCs w:val="24"/>
        </w:rPr>
        <w:t>第Ⅳ期</w:t>
      </w:r>
      <w:proofErr w:type="gramEnd"/>
      <w:r w:rsidRPr="007576F0">
        <w:rPr>
          <w:rFonts w:ascii="標楷體" w:eastAsia="標楷體" w:hAnsi="標楷體"/>
          <w:kern w:val="0"/>
          <w:szCs w:val="24"/>
        </w:rPr>
        <w:t>)之肺腺癌病患之第一線治療，需檢附EGFR基因檢測結果報告，且需符合全民健康保險藥品給付規定之通則十二。(108/6/1、108/11/1、113/6/1)</w:t>
      </w:r>
    </w:p>
    <w:p w14:paraId="5B952A4E" w14:textId="77777777" w:rsidR="007576F0" w:rsidRPr="007576F0" w:rsidRDefault="007576F0" w:rsidP="007576F0">
      <w:pPr>
        <w:spacing w:line="300" w:lineRule="exact"/>
        <w:ind w:left="1046" w:hanging="348"/>
        <w:rPr>
          <w:rFonts w:ascii="標楷體" w:eastAsia="標楷體" w:hAnsi="標楷體"/>
          <w:kern w:val="0"/>
          <w:szCs w:val="24"/>
        </w:rPr>
      </w:pPr>
      <w:r w:rsidRPr="007576F0">
        <w:rPr>
          <w:rFonts w:ascii="標楷體" w:eastAsia="標楷體" w:hAnsi="標楷體"/>
          <w:kern w:val="0"/>
          <w:szCs w:val="24"/>
        </w:rPr>
        <w:t>(2)先前已使用過第一線含鉑化學治療，但仍惡化的局部晚期或轉移性</w:t>
      </w:r>
      <w:proofErr w:type="gramStart"/>
      <w:r w:rsidRPr="007576F0">
        <w:rPr>
          <w:rFonts w:ascii="標楷體" w:eastAsia="標楷體" w:hAnsi="標楷體"/>
          <w:kern w:val="0"/>
          <w:szCs w:val="24"/>
        </w:rPr>
        <w:t>之鱗狀組織</w:t>
      </w:r>
      <w:proofErr w:type="gramEnd"/>
      <w:r w:rsidRPr="007576F0">
        <w:rPr>
          <w:rFonts w:ascii="標楷體" w:eastAsia="標楷體" w:hAnsi="標楷體"/>
          <w:kern w:val="0"/>
          <w:szCs w:val="24"/>
        </w:rPr>
        <w:t>非小細胞肺癌之第二線治療。(108/6/1)</w:t>
      </w:r>
    </w:p>
    <w:p w14:paraId="0484DD90" w14:textId="77777777" w:rsidR="007576F0" w:rsidRPr="007576F0" w:rsidRDefault="007576F0" w:rsidP="007576F0">
      <w:pPr>
        <w:spacing w:line="300" w:lineRule="exact"/>
        <w:ind w:left="796" w:hanging="230"/>
      </w:pPr>
      <w:r w:rsidRPr="007576F0">
        <w:rPr>
          <w:rFonts w:ascii="標楷體" w:eastAsia="標楷體" w:hAnsi="標楷體"/>
          <w:color w:val="000000"/>
        </w:rPr>
        <w:t>2.使</w:t>
      </w:r>
      <w:r w:rsidRPr="007576F0">
        <w:rPr>
          <w:rFonts w:ascii="標楷體" w:eastAsia="標楷體" w:hAnsi="標楷體" w:hint="eastAsia"/>
          <w:color w:val="000000"/>
        </w:rPr>
        <w:t>用注意事項(106/11/1、108/6/1</w:t>
      </w:r>
      <w:r w:rsidRPr="007576F0">
        <w:rPr>
          <w:rFonts w:ascii="標楷體" w:eastAsia="標楷體" w:hAnsi="標楷體" w:hint="eastAsia"/>
          <w:kern w:val="0"/>
          <w:szCs w:val="24"/>
        </w:rPr>
        <w:t>、</w:t>
      </w:r>
      <w:r w:rsidRPr="007576F0">
        <w:rPr>
          <w:rFonts w:ascii="標楷體" w:eastAsia="標楷體" w:hAnsi="標楷體" w:hint="eastAsia"/>
          <w:kern w:val="0"/>
        </w:rPr>
        <w:t>109/4/1、109/10/1</w:t>
      </w:r>
      <w:r w:rsidRPr="007576F0">
        <w:rPr>
          <w:rFonts w:ascii="新細明體" w:hAnsi="新細明體" w:hint="eastAsia"/>
          <w:kern w:val="0"/>
        </w:rPr>
        <w:t>、</w:t>
      </w:r>
      <w:r w:rsidRPr="007576F0">
        <w:rPr>
          <w:rFonts w:ascii="標楷體" w:eastAsia="標楷體" w:hAnsi="標楷體" w:hint="eastAsia"/>
          <w:kern w:val="0"/>
        </w:rPr>
        <w:t>111/4/1</w:t>
      </w:r>
      <w:r w:rsidRPr="007576F0">
        <w:rPr>
          <w:rFonts w:ascii="新細明體" w:hAnsi="新細明體" w:hint="eastAsia"/>
          <w:kern w:val="0"/>
        </w:rPr>
        <w:t>、</w:t>
      </w:r>
      <w:r w:rsidRPr="007576F0">
        <w:rPr>
          <w:rFonts w:ascii="標楷體" w:eastAsia="標楷體" w:hAnsi="標楷體" w:hint="eastAsia"/>
          <w:color w:val="000000"/>
        </w:rPr>
        <w:t>113/3/1、115/8/1</w:t>
      </w:r>
      <w:proofErr w:type="gramStart"/>
      <w:r w:rsidRPr="007576F0">
        <w:rPr>
          <w:rFonts w:ascii="標楷體" w:eastAsia="標楷體" w:hAnsi="標楷體" w:hint="eastAsia"/>
          <w:color w:val="000000"/>
        </w:rPr>
        <w:t>）</w:t>
      </w:r>
      <w:proofErr w:type="gramEnd"/>
    </w:p>
    <w:p w14:paraId="78348E03" w14:textId="77777777" w:rsidR="007576F0" w:rsidRPr="007576F0" w:rsidRDefault="007576F0" w:rsidP="007576F0">
      <w:pPr>
        <w:spacing w:line="300" w:lineRule="exact"/>
        <w:ind w:left="1046" w:hanging="348"/>
        <w:rPr>
          <w:rFonts w:ascii="標楷體" w:eastAsia="標楷體" w:hAnsi="標楷體"/>
          <w:kern w:val="0"/>
          <w:szCs w:val="24"/>
        </w:rPr>
      </w:pPr>
      <w:r w:rsidRPr="007576F0">
        <w:rPr>
          <w:rFonts w:ascii="標楷體" w:eastAsia="標楷體" w:hAnsi="標楷體" w:hint="eastAsia"/>
          <w:kern w:val="0"/>
          <w:szCs w:val="24"/>
        </w:rPr>
        <w:t>(1)用於具有EGFR-TK基因突變之局部晚期或轉移性肺腺癌之第一線治療：病歷應留存確實患有肺腺癌之病理或細胞檢查報告，及EGFR-TK基因突變檢測報告。</w:t>
      </w:r>
    </w:p>
    <w:p w14:paraId="13390BD8" w14:textId="77777777" w:rsidR="007576F0" w:rsidRPr="007576F0" w:rsidRDefault="007576F0" w:rsidP="007576F0">
      <w:pPr>
        <w:spacing w:line="300" w:lineRule="exact"/>
        <w:ind w:left="1046" w:hanging="348"/>
      </w:pPr>
      <w:r w:rsidRPr="007576F0">
        <w:rPr>
          <w:rFonts w:ascii="標楷體" w:eastAsia="標楷體" w:hAnsi="標楷體" w:hint="eastAsia"/>
          <w:kern w:val="0"/>
          <w:szCs w:val="24"/>
        </w:rPr>
        <w:t>(2)用於局部晚期或轉移性</w:t>
      </w:r>
      <w:proofErr w:type="gramStart"/>
      <w:r w:rsidRPr="007576F0">
        <w:rPr>
          <w:rFonts w:ascii="標楷體" w:eastAsia="標楷體" w:hAnsi="標楷體" w:hint="eastAsia"/>
          <w:kern w:val="0"/>
          <w:szCs w:val="24"/>
        </w:rPr>
        <w:t>之鱗狀組織</w:t>
      </w:r>
      <w:proofErr w:type="gramEnd"/>
      <w:r w:rsidRPr="007576F0">
        <w:rPr>
          <w:rFonts w:ascii="標楷體" w:eastAsia="標楷體" w:hAnsi="標楷體" w:hint="eastAsia"/>
          <w:kern w:val="0"/>
          <w:szCs w:val="24"/>
        </w:rPr>
        <w:t>非小細胞肺癌之第二線治療：病歷應留存曾經接受</w:t>
      </w:r>
      <w:proofErr w:type="gramStart"/>
      <w:r w:rsidRPr="007576F0">
        <w:rPr>
          <w:rFonts w:ascii="標楷體" w:eastAsia="標楷體" w:hAnsi="標楷體" w:hint="eastAsia"/>
          <w:kern w:val="0"/>
          <w:szCs w:val="24"/>
        </w:rPr>
        <w:t>含鉑類化學治療</w:t>
      </w:r>
      <w:proofErr w:type="gramEnd"/>
      <w:r w:rsidRPr="007576F0">
        <w:rPr>
          <w:rFonts w:ascii="標楷體" w:eastAsia="標楷體" w:hAnsi="標楷體" w:hint="eastAsia"/>
          <w:kern w:val="0"/>
          <w:szCs w:val="24"/>
        </w:rPr>
        <w:t xml:space="preserve">之證明，及目前又有疾病惡化之影像診斷證明(如胸部X光、電腦斷層或其他可作為評估的影像)，此影像證明以可測量(measurable)的病灶為優先，如沒有可以測量的病灶，則可評估(evaluable)的病灶亦可採用。(108/6/1) </w:t>
      </w:r>
      <w:r w:rsidRPr="007576F0">
        <w:rPr>
          <w:rFonts w:ascii="標楷體" w:eastAsia="標楷體" w:hAnsi="標楷體" w:hint="eastAsia"/>
          <w:color w:val="000000"/>
        </w:rPr>
        <w:t xml:space="preserve"> </w:t>
      </w:r>
    </w:p>
    <w:p w14:paraId="0E880F99" w14:textId="77777777" w:rsidR="007576F0" w:rsidRPr="007576F0" w:rsidRDefault="007576F0" w:rsidP="007576F0">
      <w:pPr>
        <w:spacing w:line="300" w:lineRule="exact"/>
        <w:ind w:left="1046" w:hanging="348"/>
        <w:rPr>
          <w:rFonts w:ascii="標楷體" w:eastAsia="標楷體" w:hAnsi="標楷體"/>
          <w:color w:val="000000"/>
        </w:rPr>
      </w:pPr>
      <w:r w:rsidRPr="007576F0">
        <w:rPr>
          <w:rFonts w:ascii="標楷體" w:eastAsia="標楷體" w:hAnsi="標楷體" w:hint="eastAsia"/>
          <w:color w:val="000000"/>
        </w:rPr>
        <w:t>(3)每次處方以4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為限，再次處方時需於病歷記錄治療後相關臨床資料，如每4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需追蹤胸部X光或電腦斷層等影像檢查，每8至12</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需進行完整療效評估（如胸部X光或電腦斷層）。(106/11/1</w:t>
      </w:r>
      <w:proofErr w:type="gramStart"/>
      <w:r w:rsidRPr="007576F0">
        <w:rPr>
          <w:rFonts w:ascii="標楷體" w:eastAsia="標楷體" w:hAnsi="標楷體" w:hint="eastAsia"/>
          <w:color w:val="000000"/>
        </w:rPr>
        <w:t>）</w:t>
      </w:r>
      <w:proofErr w:type="gramEnd"/>
    </w:p>
    <w:p w14:paraId="14CB27EB" w14:textId="77777777" w:rsidR="007576F0" w:rsidRPr="007576F0" w:rsidRDefault="007576F0" w:rsidP="007576F0">
      <w:pPr>
        <w:spacing w:line="300" w:lineRule="exact"/>
        <w:ind w:left="1046" w:hanging="348"/>
        <w:rPr>
          <w:rFonts w:ascii="標楷體" w:eastAsia="標楷體" w:hAnsi="標楷體"/>
          <w:color w:val="000000"/>
        </w:rPr>
      </w:pPr>
      <w:r w:rsidRPr="007576F0">
        <w:rPr>
          <w:rFonts w:ascii="標楷體" w:eastAsia="標楷體" w:hAnsi="標楷體" w:hint="eastAsia"/>
          <w:color w:val="000000"/>
        </w:rPr>
        <w:t>(4)使用本藥品後，</w:t>
      </w:r>
      <w:proofErr w:type="gramStart"/>
      <w:r w:rsidRPr="007576F0">
        <w:rPr>
          <w:rFonts w:ascii="標楷體" w:eastAsia="標楷體" w:hAnsi="標楷體" w:hint="eastAsia"/>
          <w:color w:val="000000"/>
        </w:rPr>
        <w:t>除因耐受</w:t>
      </w:r>
      <w:proofErr w:type="gramEnd"/>
      <w:r w:rsidRPr="007576F0">
        <w:rPr>
          <w:rFonts w:ascii="標楷體" w:eastAsia="標楷體" w:hAnsi="標楷體" w:hint="eastAsia"/>
          <w:color w:val="000000"/>
        </w:rPr>
        <w:t>性不良，否則不得轉換類似藥理機轉之</w:t>
      </w:r>
      <w:proofErr w:type="gramStart"/>
      <w:r w:rsidRPr="007576F0">
        <w:rPr>
          <w:rFonts w:ascii="標楷體" w:eastAsia="標楷體" w:hAnsi="標楷體" w:hint="eastAsia"/>
          <w:color w:val="000000"/>
        </w:rPr>
        <w:t>其他酪胺酸激酶</w:t>
      </w:r>
      <w:proofErr w:type="gramEnd"/>
      <w:r w:rsidRPr="007576F0">
        <w:rPr>
          <w:rFonts w:ascii="標楷體" w:eastAsia="標楷體" w:hAnsi="標楷體" w:hint="eastAsia"/>
          <w:color w:val="000000"/>
        </w:rPr>
        <w:t>阻斷劑（tyrosine kinase inhibitor, TKI）。</w:t>
      </w:r>
    </w:p>
    <w:p w14:paraId="50C712D9" w14:textId="77777777" w:rsidR="007576F0" w:rsidRPr="007576F0" w:rsidRDefault="007576F0" w:rsidP="007576F0">
      <w:pPr>
        <w:spacing w:line="300" w:lineRule="exact"/>
        <w:ind w:left="1046" w:hanging="348"/>
      </w:pPr>
      <w:r w:rsidRPr="007576F0">
        <w:rPr>
          <w:rFonts w:ascii="標楷體" w:eastAsia="標楷體" w:hAnsi="標楷體" w:hint="eastAsia"/>
          <w:color w:val="000000"/>
        </w:rPr>
        <w:t>(5)本藥品與gefitinib及erlotinib不得</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w:t>
      </w:r>
      <w:r w:rsidRPr="007576F0">
        <w:rPr>
          <w:rFonts w:ascii="標楷體" w:eastAsia="標楷體" w:hAnsi="標楷體" w:hint="eastAsia"/>
          <w:kern w:val="0"/>
          <w:szCs w:val="24"/>
        </w:rPr>
        <w:t>(</w:t>
      </w:r>
      <w:r w:rsidRPr="007576F0">
        <w:rPr>
          <w:rFonts w:ascii="標楷體" w:eastAsia="標楷體" w:hAnsi="標楷體" w:hint="eastAsia"/>
          <w:kern w:val="0"/>
        </w:rPr>
        <w:t>109/4/1</w:t>
      </w:r>
      <w:r w:rsidRPr="007576F0">
        <w:rPr>
          <w:rFonts w:ascii="標楷體" w:eastAsia="標楷體" w:hAnsi="標楷體" w:hint="eastAsia"/>
          <w:kern w:val="0"/>
          <w:szCs w:val="24"/>
        </w:rPr>
        <w:t>)</w:t>
      </w:r>
    </w:p>
    <w:p w14:paraId="002AFCAE" w14:textId="77777777" w:rsidR="007576F0" w:rsidRPr="007576F0" w:rsidRDefault="007576F0" w:rsidP="007576F0">
      <w:pPr>
        <w:spacing w:line="300" w:lineRule="exact"/>
        <w:ind w:left="1046" w:hanging="348"/>
      </w:pPr>
      <w:r w:rsidRPr="007576F0">
        <w:rPr>
          <w:rFonts w:ascii="標楷體" w:eastAsia="標楷體" w:hAnsi="標楷體" w:hint="eastAsia"/>
        </w:rPr>
        <w:t>(6)本</w:t>
      </w:r>
      <w:bookmarkStart w:id="43" w:name="_Hlk235554912"/>
      <w:r w:rsidRPr="007576F0">
        <w:rPr>
          <w:rFonts w:ascii="標楷體" w:eastAsia="標楷體" w:hAnsi="標楷體" w:hint="eastAsia"/>
        </w:rPr>
        <w:t>藥品於第一線使用時，與</w:t>
      </w:r>
      <w:proofErr w:type="spellStart"/>
      <w:r w:rsidRPr="007576F0">
        <w:rPr>
          <w:rFonts w:ascii="標楷體" w:eastAsia="標楷體" w:hAnsi="標楷體" w:hint="eastAsia"/>
        </w:rPr>
        <w:t>osimertinib</w:t>
      </w:r>
      <w:proofErr w:type="spellEnd"/>
      <w:r w:rsidRPr="007576F0">
        <w:rPr>
          <w:rFonts w:ascii="標楷體" w:eastAsia="標楷體" w:hAnsi="標楷體" w:hint="eastAsia"/>
        </w:rPr>
        <w:t>、dacomitinib、bevacizumab</w:t>
      </w:r>
      <w:proofErr w:type="gramStart"/>
      <w:r w:rsidRPr="007576F0">
        <w:rPr>
          <w:rFonts w:ascii="標楷體" w:eastAsia="標楷體" w:hAnsi="標楷體" w:hint="eastAsia"/>
        </w:rPr>
        <w:t>併</w:t>
      </w:r>
      <w:proofErr w:type="gramEnd"/>
      <w:r w:rsidRPr="007576F0">
        <w:rPr>
          <w:rFonts w:ascii="標楷體" w:eastAsia="標楷體" w:hAnsi="標楷體" w:hint="eastAsia"/>
        </w:rPr>
        <w:t>用erlotinib之治療組合及</w:t>
      </w:r>
      <w:proofErr w:type="spellStart"/>
      <w:r w:rsidRPr="007576F0">
        <w:rPr>
          <w:rFonts w:ascii="標楷體" w:eastAsia="標楷體" w:hAnsi="標楷體" w:hint="eastAsia"/>
        </w:rPr>
        <w:t>aumolertinib</w:t>
      </w:r>
      <w:proofErr w:type="spellEnd"/>
      <w:r w:rsidRPr="007576F0">
        <w:rPr>
          <w:rFonts w:ascii="標楷體" w:eastAsia="標楷體" w:hAnsi="標楷體" w:hint="eastAsia"/>
        </w:rPr>
        <w:t>僅得擇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w:t>
      </w:r>
      <w:proofErr w:type="gramStart"/>
      <w:r w:rsidRPr="007576F0">
        <w:rPr>
          <w:rFonts w:ascii="標楷體" w:eastAsia="標楷體" w:hAnsi="標楷體" w:hint="eastAsia"/>
        </w:rPr>
        <w:t>除因耐受</w:t>
      </w:r>
      <w:proofErr w:type="gramEnd"/>
      <w:r w:rsidRPr="007576F0">
        <w:rPr>
          <w:rFonts w:ascii="標楷體" w:eastAsia="標楷體" w:hAnsi="標楷體" w:hint="eastAsia"/>
        </w:rPr>
        <w:t>性不良，不得互換。(109/6/1、109/10/1、111/4/1、113/3/1、113/10/1、115/8/1</w:t>
      </w:r>
      <w:bookmarkEnd w:id="43"/>
      <w:r w:rsidRPr="007576F0">
        <w:rPr>
          <w:rFonts w:ascii="標楷體" w:eastAsia="標楷體" w:hAnsi="標楷體" w:hint="eastAsia"/>
        </w:rPr>
        <w:t>)</w:t>
      </w:r>
    </w:p>
    <w:p w14:paraId="0C2C5DA1" w14:textId="77777777" w:rsidR="007576F0" w:rsidRPr="007576F0" w:rsidRDefault="007576F0" w:rsidP="007576F0">
      <w:pPr>
        <w:spacing w:line="300" w:lineRule="exact"/>
        <w:ind w:left="1414" w:hanging="336"/>
      </w:pPr>
      <w:r w:rsidRPr="007576F0">
        <w:rPr>
          <w:rFonts w:ascii="標楷體" w:eastAsia="標楷體" w:hAnsi="標楷體" w:hint="eastAsia"/>
          <w:color w:val="000000"/>
        </w:rPr>
        <w:t>Ⅰ.如</w:t>
      </w:r>
      <w:bookmarkStart w:id="44" w:name="_Hlk235554927"/>
      <w:r w:rsidRPr="007576F0">
        <w:rPr>
          <w:rFonts w:ascii="標楷體" w:eastAsia="標楷體" w:hAnsi="標楷體" w:hint="eastAsia"/>
          <w:color w:val="000000"/>
        </w:rPr>
        <w:t>需更換使用</w:t>
      </w:r>
      <w:proofErr w:type="spellStart"/>
      <w:r w:rsidRPr="007576F0">
        <w:rPr>
          <w:rFonts w:ascii="標楷體" w:eastAsia="標楷體" w:hAnsi="標楷體" w:hint="eastAsia"/>
          <w:color w:val="000000"/>
        </w:rPr>
        <w:t>osimertinib</w:t>
      </w:r>
      <w:proofErr w:type="spellEnd"/>
      <w:r w:rsidRPr="007576F0">
        <w:rPr>
          <w:rFonts w:ascii="標楷體" w:eastAsia="標楷體" w:hAnsi="標楷體" w:hint="eastAsia"/>
          <w:color w:val="000000"/>
        </w:rPr>
        <w:t>或</w:t>
      </w:r>
      <w:proofErr w:type="spellStart"/>
      <w:r w:rsidRPr="007576F0">
        <w:rPr>
          <w:rFonts w:ascii="標楷體" w:eastAsia="標楷體" w:hAnsi="標楷體" w:hint="eastAsia"/>
          <w:color w:val="000000"/>
        </w:rPr>
        <w:t>aumolertinib</w:t>
      </w:r>
      <w:proofErr w:type="spellEnd"/>
      <w:r w:rsidRPr="007576F0">
        <w:rPr>
          <w:rFonts w:ascii="標楷體" w:eastAsia="標楷體" w:hAnsi="標楷體" w:hint="eastAsia"/>
          <w:color w:val="000000"/>
        </w:rPr>
        <w:t>，必須符合</w:t>
      </w:r>
      <w:proofErr w:type="spellStart"/>
      <w:r w:rsidRPr="007576F0">
        <w:rPr>
          <w:rFonts w:ascii="標楷體" w:eastAsia="標楷體" w:hAnsi="標楷體" w:hint="eastAsia"/>
          <w:color w:val="000000"/>
        </w:rPr>
        <w:t>osimertinib</w:t>
      </w:r>
      <w:proofErr w:type="spellEnd"/>
      <w:r w:rsidRPr="007576F0">
        <w:rPr>
          <w:rFonts w:ascii="標楷體" w:eastAsia="標楷體" w:hAnsi="標楷體" w:hint="eastAsia"/>
          <w:color w:val="000000"/>
        </w:rPr>
        <w:t>或</w:t>
      </w:r>
      <w:proofErr w:type="spellStart"/>
      <w:r w:rsidRPr="007576F0">
        <w:rPr>
          <w:rFonts w:ascii="標楷體" w:eastAsia="標楷體" w:hAnsi="標楷體" w:hint="eastAsia"/>
          <w:color w:val="000000"/>
        </w:rPr>
        <w:t>aumolertinib</w:t>
      </w:r>
      <w:proofErr w:type="spellEnd"/>
      <w:r w:rsidRPr="007576F0">
        <w:rPr>
          <w:rFonts w:ascii="標楷體" w:eastAsia="標楷體" w:hAnsi="標楷體" w:hint="eastAsia"/>
          <w:color w:val="000000"/>
        </w:rPr>
        <w:t>第一線使用於具有EGFR Exon 19 Del或Exon 21 L858R基因突變之局部侵犯性或轉移性（即為IIIB、IIIC期或第Ⅳ期）肺腺癌病患之限制。(109/6/1、111/4/1、113/10/1、115/8/1</w:t>
      </w:r>
      <w:bookmarkEnd w:id="44"/>
      <w:r w:rsidRPr="007576F0">
        <w:rPr>
          <w:rFonts w:ascii="標楷體" w:eastAsia="標楷體" w:hAnsi="標楷體" w:hint="eastAsia"/>
          <w:color w:val="000000"/>
        </w:rPr>
        <w:t>)</w:t>
      </w:r>
    </w:p>
    <w:p w14:paraId="1D10A8BB" w14:textId="77777777" w:rsidR="007576F0" w:rsidRPr="007576F0" w:rsidRDefault="007576F0" w:rsidP="007576F0">
      <w:pPr>
        <w:spacing w:line="300" w:lineRule="exact"/>
        <w:ind w:left="1414" w:hanging="336"/>
        <w:rPr>
          <w:rFonts w:ascii="標楷體" w:eastAsia="標楷體" w:hAnsi="標楷體"/>
          <w:color w:val="000000"/>
        </w:rPr>
      </w:pPr>
      <w:r w:rsidRPr="007576F0">
        <w:rPr>
          <w:rFonts w:ascii="標楷體" w:eastAsia="標楷體" w:hAnsi="標楷體" w:hint="eastAsia"/>
          <w:color w:val="000000"/>
        </w:rPr>
        <w:t>Ⅱ.如需更換使用dacomitinib，必須符合dacomitinib第一線使用於具有EGFR-TK Exon 19 Del或Exon 21 L858R點突變，且無腦轉移(non-CNS)之局部侵犯性或轉移性肺腺癌之限制。(109/10/1</w:t>
      </w:r>
      <w:proofErr w:type="gramStart"/>
      <w:r w:rsidRPr="007576F0">
        <w:rPr>
          <w:rFonts w:ascii="標楷體" w:eastAsia="標楷體" w:hAnsi="標楷體" w:hint="eastAsia"/>
          <w:color w:val="000000"/>
        </w:rPr>
        <w:t>）</w:t>
      </w:r>
      <w:proofErr w:type="gramEnd"/>
    </w:p>
    <w:p w14:paraId="2325DB7A" w14:textId="77777777" w:rsidR="007576F0" w:rsidRPr="007576F0" w:rsidRDefault="007576F0" w:rsidP="007576F0">
      <w:pPr>
        <w:spacing w:line="300" w:lineRule="exact"/>
        <w:ind w:left="1418" w:hanging="371"/>
        <w:rPr>
          <w:rFonts w:ascii="標楷體" w:eastAsia="標楷體" w:hAnsi="標楷體"/>
          <w:color w:val="000000"/>
        </w:rPr>
      </w:pPr>
      <w:r w:rsidRPr="007576F0">
        <w:rPr>
          <w:rFonts w:ascii="標楷體" w:eastAsia="標楷體" w:hAnsi="標楷體" w:hint="eastAsia"/>
          <w:color w:val="000000"/>
        </w:rPr>
        <w:t>Ⅲ.如需更換使用bevacizumab</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用erlotinib之治療組合，必須符合bevacizumab第一線使用於具有EGFR Exon 21 L858R突變且腦轉移之無法手術切除的轉移性（第Ⅳ期）</w:t>
      </w:r>
      <w:proofErr w:type="gramStart"/>
      <w:r w:rsidRPr="007576F0">
        <w:rPr>
          <w:rFonts w:ascii="標楷體" w:eastAsia="標楷體" w:hAnsi="標楷體" w:hint="eastAsia"/>
          <w:color w:val="000000"/>
        </w:rPr>
        <w:t>非鱗狀非</w:t>
      </w:r>
      <w:proofErr w:type="gramEnd"/>
      <w:r w:rsidRPr="007576F0">
        <w:rPr>
          <w:rFonts w:ascii="標楷體" w:eastAsia="標楷體" w:hAnsi="標楷體" w:hint="eastAsia"/>
          <w:color w:val="000000"/>
        </w:rPr>
        <w:t>小細胞肺癌肺腺癌之限制。(113/3/1</w:t>
      </w:r>
      <w:r w:rsidRPr="007576F0">
        <w:rPr>
          <w:rFonts w:ascii="標楷體" w:eastAsia="標楷體" w:hAnsi="標楷體"/>
          <w:color w:val="000000"/>
        </w:rPr>
        <w:t>)</w:t>
      </w:r>
    </w:p>
    <w:p w14:paraId="7E61A1D5" w14:textId="77777777" w:rsidR="007576F0" w:rsidRPr="007576F0" w:rsidRDefault="007576F0" w:rsidP="007576F0">
      <w:pPr>
        <w:spacing w:line="300" w:lineRule="exact"/>
        <w:ind w:left="566" w:hanging="283"/>
      </w:pPr>
      <w:r w:rsidRPr="007576F0">
        <w:rPr>
          <w:rFonts w:ascii="標楷體" w:eastAsia="標楷體" w:hAnsi="標楷體"/>
          <w:color w:val="000000"/>
        </w:rPr>
        <w:t>9.46.Tegafur/</w:t>
      </w:r>
      <w:proofErr w:type="spellStart"/>
      <w:r w:rsidRPr="007576F0">
        <w:rPr>
          <w:rFonts w:ascii="標楷體" w:eastAsia="標楷體" w:hAnsi="標楷體"/>
          <w:color w:val="000000"/>
        </w:rPr>
        <w:t>gimeracil</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oteracil</w:t>
      </w:r>
      <w:proofErr w:type="spellEnd"/>
      <w:r w:rsidRPr="007576F0">
        <w:rPr>
          <w:rFonts w:ascii="標楷體" w:eastAsia="標楷體" w:hAnsi="標楷體"/>
          <w:color w:val="000000"/>
        </w:rPr>
        <w:t>複方製劑(如TS-1</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：(103/6/1、105/12/1、109/2/1</w:t>
      </w:r>
      <w:r w:rsidRPr="007576F0">
        <w:rPr>
          <w:rFonts w:ascii="標楷體" w:eastAsia="標楷體" w:hAnsi="標楷體"/>
        </w:rPr>
        <w:t>、113/2/1</w:t>
      </w:r>
      <w:r w:rsidRPr="007576F0">
        <w:rPr>
          <w:rFonts w:ascii="標楷體" w:eastAsia="標楷體" w:hAnsi="標楷體"/>
          <w:color w:val="000000"/>
        </w:rPr>
        <w:t xml:space="preserve">) </w:t>
      </w:r>
    </w:p>
    <w:p w14:paraId="028A6E05"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color w:val="000000"/>
        </w:rPr>
        <w:t>1.治療局部晚期無法手術切除或轉移性胰臟癌病人。</w:t>
      </w:r>
    </w:p>
    <w:p w14:paraId="13AB5477"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color w:val="000000"/>
        </w:rPr>
        <w:t>2.胃癌(105/12/1)</w:t>
      </w:r>
    </w:p>
    <w:p w14:paraId="2ED417E0" w14:textId="77777777" w:rsidR="007576F0" w:rsidRPr="007576F0" w:rsidRDefault="007576F0" w:rsidP="007576F0">
      <w:pPr>
        <w:spacing w:line="300" w:lineRule="exact"/>
        <w:ind w:left="1092" w:hanging="382"/>
        <w:rPr>
          <w:rFonts w:ascii="標楷體" w:eastAsia="標楷體" w:hAnsi="標楷體"/>
          <w:color w:val="000000"/>
        </w:rPr>
      </w:pPr>
      <w:r w:rsidRPr="007576F0">
        <w:rPr>
          <w:rFonts w:ascii="標楷體" w:eastAsia="標楷體" w:hAnsi="標楷體"/>
          <w:color w:val="000000"/>
        </w:rPr>
        <w:t>(1)胃癌術後輔助性化療，用於</w:t>
      </w:r>
      <w:proofErr w:type="gramStart"/>
      <w:r w:rsidRPr="007576F0">
        <w:rPr>
          <w:rFonts w:ascii="標楷體" w:eastAsia="標楷體" w:hAnsi="標楷體"/>
          <w:color w:val="000000"/>
        </w:rPr>
        <w:t>罹</w:t>
      </w:r>
      <w:proofErr w:type="gramEnd"/>
      <w:r w:rsidRPr="007576F0">
        <w:rPr>
          <w:rFonts w:ascii="標楷體" w:eastAsia="標楷體" w:hAnsi="標楷體"/>
          <w:color w:val="000000"/>
        </w:rPr>
        <w:t xml:space="preserve">患TNMS </w:t>
      </w:r>
      <w:proofErr w:type="spellStart"/>
      <w:r w:rsidRPr="007576F0">
        <w:rPr>
          <w:rFonts w:ascii="標楷體" w:eastAsia="標楷體" w:hAnsi="標楷體"/>
          <w:color w:val="000000"/>
        </w:rPr>
        <w:t>tageⅡ</w:t>
      </w:r>
      <w:proofErr w:type="spellEnd"/>
      <w:r w:rsidRPr="007576F0">
        <w:rPr>
          <w:rFonts w:ascii="標楷體" w:eastAsia="標楷體" w:hAnsi="標楷體"/>
          <w:color w:val="000000"/>
        </w:rPr>
        <w:t>(排除T1)、</w:t>
      </w:r>
      <w:proofErr w:type="spellStart"/>
      <w:r w:rsidRPr="007576F0">
        <w:rPr>
          <w:rFonts w:ascii="標楷體" w:eastAsia="標楷體" w:hAnsi="標楷體"/>
          <w:color w:val="000000"/>
        </w:rPr>
        <w:t>ⅢA</w:t>
      </w:r>
      <w:proofErr w:type="spellEnd"/>
      <w:r w:rsidRPr="007576F0">
        <w:rPr>
          <w:rFonts w:ascii="標楷體" w:eastAsia="標楷體" w:hAnsi="標楷體"/>
          <w:color w:val="000000"/>
        </w:rPr>
        <w:t>或</w:t>
      </w:r>
      <w:proofErr w:type="spellStart"/>
      <w:r w:rsidRPr="007576F0">
        <w:rPr>
          <w:rFonts w:ascii="標楷體" w:eastAsia="標楷體" w:hAnsi="標楷體"/>
          <w:color w:val="000000"/>
        </w:rPr>
        <w:t>ⅢB</w:t>
      </w:r>
      <w:proofErr w:type="spellEnd"/>
      <w:r w:rsidRPr="007576F0">
        <w:rPr>
          <w:rFonts w:ascii="標楷體" w:eastAsia="標楷體" w:hAnsi="標楷體"/>
          <w:color w:val="000000"/>
        </w:rPr>
        <w:t>胃癌且接受過胃癌根除性手術的成年患者，限用1年。</w:t>
      </w:r>
    </w:p>
    <w:p w14:paraId="19A4B129" w14:textId="77777777" w:rsidR="007576F0" w:rsidRPr="007576F0" w:rsidRDefault="007576F0" w:rsidP="007576F0">
      <w:pPr>
        <w:spacing w:line="300" w:lineRule="exact"/>
        <w:ind w:left="1092" w:hanging="382"/>
        <w:rPr>
          <w:rFonts w:ascii="標楷體" w:eastAsia="標楷體" w:hAnsi="標楷體"/>
          <w:color w:val="000000"/>
        </w:rPr>
      </w:pPr>
      <w:r w:rsidRPr="007576F0">
        <w:rPr>
          <w:rFonts w:ascii="標楷體" w:eastAsia="標楷體" w:hAnsi="標楷體"/>
          <w:color w:val="000000"/>
        </w:rPr>
        <w:t>(2)需經事前審查核准後使用。</w:t>
      </w:r>
    </w:p>
    <w:p w14:paraId="5E2D41FE"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color w:val="000000"/>
        </w:rPr>
        <w:t>3.非小細胞肺癌(109/2/1)</w:t>
      </w:r>
    </w:p>
    <w:p w14:paraId="09498DC9" w14:textId="77777777" w:rsidR="007576F0" w:rsidRPr="007576F0" w:rsidRDefault="007576F0" w:rsidP="007576F0">
      <w:pPr>
        <w:spacing w:line="300" w:lineRule="exact"/>
        <w:ind w:left="1092" w:hanging="382"/>
        <w:rPr>
          <w:rFonts w:ascii="標楷體" w:eastAsia="標楷體" w:hAnsi="標楷體"/>
          <w:color w:val="000000"/>
        </w:rPr>
      </w:pPr>
      <w:r w:rsidRPr="007576F0">
        <w:rPr>
          <w:rFonts w:ascii="標楷體" w:eastAsia="標楷體" w:hAnsi="標楷體"/>
          <w:color w:val="000000"/>
        </w:rPr>
        <w:t>(1)曾使用含鉑之化學藥物治療失敗的局部晚期或轉移性之非小細胞肺癌。</w:t>
      </w:r>
    </w:p>
    <w:p w14:paraId="65D109B2" w14:textId="77777777" w:rsidR="007576F0" w:rsidRPr="007576F0" w:rsidRDefault="007576F0" w:rsidP="007576F0">
      <w:pPr>
        <w:spacing w:line="300" w:lineRule="exact"/>
        <w:ind w:left="1092" w:hanging="382"/>
        <w:rPr>
          <w:rFonts w:ascii="標楷體" w:eastAsia="標楷體" w:hAnsi="標楷體"/>
          <w:color w:val="000000"/>
        </w:rPr>
      </w:pPr>
      <w:r w:rsidRPr="007576F0">
        <w:rPr>
          <w:rFonts w:ascii="標楷體" w:eastAsia="標楷體" w:hAnsi="標楷體"/>
          <w:color w:val="000000"/>
        </w:rPr>
        <w:t>(2)不得與標靶治療、其他</w:t>
      </w:r>
      <w:proofErr w:type="gramStart"/>
      <w:r w:rsidRPr="007576F0">
        <w:rPr>
          <w:rFonts w:ascii="標楷體" w:eastAsia="標楷體" w:hAnsi="標楷體"/>
          <w:color w:val="000000"/>
        </w:rPr>
        <w:t>化療或免疫</w:t>
      </w:r>
      <w:proofErr w:type="gramEnd"/>
      <w:r w:rsidRPr="007576F0">
        <w:rPr>
          <w:rFonts w:ascii="標楷體" w:eastAsia="標楷體" w:hAnsi="標楷體"/>
          <w:color w:val="000000"/>
        </w:rPr>
        <w:t>檢查點抑制劑</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1F6DDBEA" w14:textId="77777777" w:rsidR="007576F0" w:rsidRPr="007576F0" w:rsidRDefault="007576F0" w:rsidP="007576F0">
      <w:pPr>
        <w:spacing w:line="300" w:lineRule="exact"/>
        <w:ind w:left="1092" w:hanging="525"/>
      </w:pPr>
      <w:r w:rsidRPr="007576F0">
        <w:rPr>
          <w:rFonts w:ascii="標楷體" w:eastAsia="標楷體" w:hAnsi="標楷體"/>
          <w:color w:val="000000"/>
          <w:szCs w:val="24"/>
        </w:rPr>
        <w:t>4.與gemcitabine合併使用作為晚期或復發</w:t>
      </w:r>
      <w:proofErr w:type="gramStart"/>
      <w:r w:rsidRPr="007576F0">
        <w:rPr>
          <w:rFonts w:ascii="標楷體" w:eastAsia="標楷體" w:hAnsi="標楷體"/>
          <w:color w:val="000000"/>
          <w:szCs w:val="24"/>
        </w:rPr>
        <w:t>之膽道癌</w:t>
      </w:r>
      <w:proofErr w:type="gramEnd"/>
      <w:r w:rsidRPr="007576F0">
        <w:rPr>
          <w:rFonts w:ascii="標楷體" w:eastAsia="標楷體" w:hAnsi="標楷體"/>
          <w:color w:val="000000"/>
          <w:szCs w:val="24"/>
        </w:rPr>
        <w:t>第一線治療。(</w:t>
      </w:r>
      <w:r w:rsidRPr="007576F0">
        <w:rPr>
          <w:rFonts w:ascii="標楷體" w:eastAsia="標楷體" w:hAnsi="標楷體"/>
          <w:szCs w:val="24"/>
        </w:rPr>
        <w:t>113/2/1</w:t>
      </w:r>
      <w:r w:rsidRPr="007576F0">
        <w:rPr>
          <w:rFonts w:ascii="標楷體" w:eastAsia="標楷體" w:hAnsi="標楷體"/>
          <w:color w:val="000000"/>
          <w:szCs w:val="24"/>
        </w:rPr>
        <w:t>)</w:t>
      </w:r>
    </w:p>
    <w:p w14:paraId="549A6936" w14:textId="77777777" w:rsidR="007576F0" w:rsidRPr="007576F0" w:rsidRDefault="007576F0" w:rsidP="007576F0">
      <w:pPr>
        <w:spacing w:line="300" w:lineRule="exact"/>
        <w:ind w:left="566" w:hanging="230"/>
        <w:rPr>
          <w:rFonts w:ascii="標楷體" w:eastAsia="標楷體" w:hAnsi="標楷體"/>
          <w:color w:val="000000"/>
        </w:rPr>
      </w:pPr>
      <w:r w:rsidRPr="007576F0">
        <w:rPr>
          <w:rFonts w:ascii="標楷體" w:eastAsia="標楷體" w:hAnsi="標楷體"/>
          <w:color w:val="000000"/>
        </w:rPr>
        <w:lastRenderedPageBreak/>
        <w:t>9.47.Lapatinib（如</w:t>
      </w:r>
      <w:proofErr w:type="spellStart"/>
      <w:r w:rsidRPr="007576F0">
        <w:rPr>
          <w:rFonts w:ascii="標楷體" w:eastAsia="標楷體" w:hAnsi="標楷體"/>
          <w:color w:val="000000"/>
        </w:rPr>
        <w:t>Tykerb</w:t>
      </w:r>
      <w:proofErr w:type="spellEnd"/>
      <w:r w:rsidRPr="007576F0">
        <w:rPr>
          <w:rFonts w:ascii="標楷體" w:eastAsia="標楷體" w:hAnsi="標楷體"/>
          <w:color w:val="000000"/>
        </w:rPr>
        <w:t>）：（103/9/1、106/11/1、110/2/1、114/2/1）</w:t>
      </w:r>
    </w:p>
    <w:p w14:paraId="42C32837" w14:textId="77777777" w:rsidR="007576F0" w:rsidRPr="007576F0" w:rsidRDefault="007576F0" w:rsidP="007576F0">
      <w:pPr>
        <w:spacing w:line="300" w:lineRule="exact"/>
        <w:ind w:left="796" w:hanging="230"/>
        <w:rPr>
          <w:rFonts w:ascii="標楷體" w:eastAsia="標楷體" w:hAnsi="標楷體"/>
          <w:color w:val="000000"/>
        </w:rPr>
      </w:pPr>
      <w:r w:rsidRPr="007576F0">
        <w:rPr>
          <w:rFonts w:ascii="標楷體" w:eastAsia="標楷體" w:hAnsi="標楷體"/>
          <w:color w:val="000000"/>
        </w:rPr>
        <w:t>1.與capecitabine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 xml:space="preserve">用，使用於曾接受anthracycline, </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以及trastuzumab治療後病況惡化之轉移性乳癌</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有腦部轉移，且為HER2過度表現(IHC3+或FISH+)病人。</w:t>
      </w:r>
    </w:p>
    <w:p w14:paraId="53EA9986" w14:textId="77777777" w:rsidR="007576F0" w:rsidRPr="007576F0" w:rsidRDefault="007576F0" w:rsidP="007576F0">
      <w:pPr>
        <w:spacing w:line="300" w:lineRule="exact"/>
        <w:ind w:left="796" w:hanging="230"/>
        <w:rPr>
          <w:rFonts w:ascii="標楷體" w:eastAsia="標楷體" w:hAnsi="標楷體"/>
          <w:color w:val="000000"/>
        </w:rPr>
      </w:pPr>
      <w:r w:rsidRPr="007576F0">
        <w:rPr>
          <w:rFonts w:ascii="標楷體" w:eastAsia="標楷體" w:hAnsi="標楷體"/>
          <w:color w:val="000000"/>
        </w:rPr>
        <w:t>2.每3個月需進行療效評估，病歷應留存評估紀錄，無疾病惡化方可繼續使用。(106/11/1)</w:t>
      </w:r>
    </w:p>
    <w:p w14:paraId="6A1097D2" w14:textId="77777777" w:rsidR="007576F0" w:rsidRPr="007576F0" w:rsidRDefault="007576F0" w:rsidP="007576F0">
      <w:pPr>
        <w:spacing w:line="300" w:lineRule="exact"/>
        <w:ind w:left="796" w:hanging="230"/>
      </w:pPr>
      <w:r w:rsidRPr="007576F0">
        <w:rPr>
          <w:rFonts w:ascii="標楷體" w:eastAsia="標楷體" w:hAnsi="標楷體"/>
          <w:color w:val="000000"/>
        </w:rPr>
        <w:t>3.</w:t>
      </w:r>
      <w:r w:rsidRPr="007576F0">
        <w:t xml:space="preserve"> </w:t>
      </w:r>
      <w:r w:rsidRPr="007576F0">
        <w:rPr>
          <w:rFonts w:ascii="標楷體" w:eastAsia="標楷體" w:hAnsi="標楷體"/>
          <w:color w:val="000000"/>
        </w:rPr>
        <w:t xml:space="preserve">Lapatinib、trastuzumab emtansine和trastuzumab </w:t>
      </w:r>
      <w:proofErr w:type="spellStart"/>
      <w:r w:rsidRPr="007576F0">
        <w:rPr>
          <w:rFonts w:ascii="標楷體" w:eastAsia="標楷體" w:hAnsi="標楷體"/>
          <w:color w:val="000000"/>
        </w:rPr>
        <w:t>deruxtecan</w:t>
      </w:r>
      <w:proofErr w:type="spellEnd"/>
      <w:r w:rsidRPr="007576F0">
        <w:rPr>
          <w:rFonts w:ascii="標楷體" w:eastAsia="標楷體" w:hAnsi="標楷體"/>
          <w:color w:val="000000"/>
        </w:rPr>
        <w:t>僅能擇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給付，不得互換。(110/2/1、114/2/1)</w:t>
      </w:r>
    </w:p>
    <w:p w14:paraId="199D53F2" w14:textId="77777777" w:rsidR="007576F0" w:rsidRPr="007576F0" w:rsidRDefault="007576F0" w:rsidP="007576F0">
      <w:pPr>
        <w:spacing w:line="300" w:lineRule="exact"/>
        <w:ind w:left="708" w:hanging="338"/>
        <w:rPr>
          <w:rFonts w:ascii="標楷體" w:eastAsia="標楷體" w:hAnsi="標楷體"/>
          <w:color w:val="000000"/>
        </w:rPr>
      </w:pPr>
      <w:r w:rsidRPr="007576F0">
        <w:rPr>
          <w:rFonts w:ascii="標楷體" w:eastAsia="標楷體" w:hAnsi="標楷體"/>
          <w:color w:val="000000"/>
        </w:rPr>
        <w:t>9.48.Eribulin（如</w:t>
      </w:r>
      <w:proofErr w:type="spellStart"/>
      <w:r w:rsidRPr="007576F0">
        <w:rPr>
          <w:rFonts w:ascii="標楷體" w:eastAsia="標楷體" w:hAnsi="標楷體"/>
          <w:color w:val="000000"/>
        </w:rPr>
        <w:t>Halaven</w:t>
      </w:r>
      <w:proofErr w:type="spellEnd"/>
      <w:r w:rsidRPr="007576F0">
        <w:rPr>
          <w:rFonts w:ascii="標楷體" w:eastAsia="標楷體" w:hAnsi="標楷體"/>
          <w:color w:val="000000"/>
        </w:rPr>
        <w:t>）：（103/12/1、106/11/1、108/12/1、110/2/1）</w:t>
      </w:r>
    </w:p>
    <w:p w14:paraId="43AA19AB" w14:textId="77777777" w:rsidR="007576F0" w:rsidRPr="007576F0" w:rsidRDefault="007576F0" w:rsidP="007576F0">
      <w:pPr>
        <w:spacing w:line="300" w:lineRule="exact"/>
        <w:ind w:left="849" w:hanging="338"/>
        <w:rPr>
          <w:rFonts w:ascii="標楷體" w:eastAsia="標楷體" w:hAnsi="標楷體"/>
          <w:color w:val="000000"/>
        </w:rPr>
      </w:pPr>
      <w:r w:rsidRPr="007576F0">
        <w:rPr>
          <w:rFonts w:ascii="標楷體" w:eastAsia="標楷體" w:hAnsi="標楷體"/>
          <w:color w:val="000000"/>
        </w:rPr>
        <w:t>1.轉移性乳癌：</w:t>
      </w:r>
    </w:p>
    <w:p w14:paraId="6FA79C25" w14:textId="77777777" w:rsidR="007576F0" w:rsidRPr="007576F0" w:rsidRDefault="007576F0" w:rsidP="007576F0">
      <w:pPr>
        <w:spacing w:line="300" w:lineRule="exact"/>
        <w:ind w:left="1232" w:hanging="382"/>
        <w:rPr>
          <w:rFonts w:ascii="標楷體" w:eastAsia="標楷體" w:hAnsi="標楷體"/>
          <w:color w:val="000000"/>
        </w:rPr>
      </w:pPr>
      <w:r w:rsidRPr="007576F0">
        <w:rPr>
          <w:rFonts w:ascii="標楷體" w:eastAsia="標楷體" w:hAnsi="標楷體"/>
          <w:color w:val="000000"/>
        </w:rPr>
        <w:t>(1)用於治療轉移性乳癌患者且先前曾接受過anthracycline和</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兩種針對轉移性乳癌之化學治療輔助性治療。</w:t>
      </w:r>
    </w:p>
    <w:p w14:paraId="0C1E2E48" w14:textId="77777777" w:rsidR="007576F0" w:rsidRPr="007576F0" w:rsidRDefault="007576F0" w:rsidP="007576F0">
      <w:pPr>
        <w:spacing w:line="300" w:lineRule="exact"/>
        <w:ind w:left="1232" w:hanging="382"/>
        <w:rPr>
          <w:rFonts w:ascii="標楷體" w:eastAsia="標楷體" w:hAnsi="標楷體"/>
          <w:color w:val="000000"/>
        </w:rPr>
      </w:pPr>
      <w:r w:rsidRPr="007576F0">
        <w:rPr>
          <w:rFonts w:ascii="標楷體" w:eastAsia="標楷體" w:hAnsi="標楷體"/>
          <w:color w:val="000000"/>
        </w:rPr>
        <w:t>(2)每3個療程需進行療效評估，病歷應留存評估紀錄，無疾病惡化方可繼續使用。(106/11/1)</w:t>
      </w:r>
    </w:p>
    <w:p w14:paraId="7CE236ED" w14:textId="77777777" w:rsidR="007576F0" w:rsidRPr="007576F0" w:rsidRDefault="007576F0" w:rsidP="007576F0">
      <w:pPr>
        <w:spacing w:line="300" w:lineRule="exact"/>
        <w:ind w:left="1200" w:hanging="353"/>
        <w:rPr>
          <w:rFonts w:ascii="標楷體" w:eastAsia="標楷體" w:hAnsi="標楷體"/>
          <w:color w:val="000000"/>
        </w:rPr>
      </w:pPr>
      <w:r w:rsidRPr="007576F0">
        <w:rPr>
          <w:rFonts w:ascii="標楷體" w:eastAsia="標楷體" w:hAnsi="標楷體"/>
          <w:color w:val="000000"/>
        </w:rPr>
        <w:t>(3)</w:t>
      </w:r>
      <w:proofErr w:type="spellStart"/>
      <w:r w:rsidRPr="007576F0">
        <w:rPr>
          <w:rFonts w:ascii="標楷體" w:eastAsia="標楷體" w:hAnsi="標楷體"/>
          <w:color w:val="000000"/>
        </w:rPr>
        <w:t>Eribulin</w:t>
      </w:r>
      <w:proofErr w:type="spellEnd"/>
      <w:r w:rsidRPr="007576F0">
        <w:rPr>
          <w:rFonts w:ascii="標楷體" w:eastAsia="標楷體" w:hAnsi="標楷體"/>
          <w:color w:val="000000"/>
        </w:rPr>
        <w:t>與ixabepilone用於治療上述之轉移性乳癌患者時，僅得擇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使用，且不得互換（</w:t>
      </w:r>
      <w:proofErr w:type="spellStart"/>
      <w:r w:rsidRPr="007576F0">
        <w:rPr>
          <w:rFonts w:ascii="標楷體" w:eastAsia="標楷體" w:hAnsi="標楷體"/>
          <w:color w:val="000000"/>
        </w:rPr>
        <w:t>eribulin</w:t>
      </w:r>
      <w:proofErr w:type="spellEnd"/>
      <w:r w:rsidRPr="007576F0">
        <w:rPr>
          <w:rFonts w:ascii="標楷體" w:eastAsia="標楷體" w:hAnsi="標楷體"/>
          <w:color w:val="000000"/>
        </w:rPr>
        <w:t>限用於未曾使用過ixabepilone之病患）。(110/2/1)</w:t>
      </w:r>
    </w:p>
    <w:p w14:paraId="0D6219D6" w14:textId="77777777" w:rsidR="007576F0" w:rsidRPr="007576F0" w:rsidRDefault="007576F0" w:rsidP="007576F0">
      <w:pPr>
        <w:spacing w:line="300" w:lineRule="exact"/>
        <w:ind w:left="849" w:hanging="338"/>
        <w:rPr>
          <w:rFonts w:ascii="標楷體" w:eastAsia="標楷體" w:hAnsi="標楷體"/>
          <w:color w:val="000000"/>
        </w:rPr>
      </w:pPr>
      <w:r w:rsidRPr="007576F0">
        <w:rPr>
          <w:rFonts w:ascii="標楷體" w:eastAsia="標楷體" w:hAnsi="標楷體"/>
          <w:color w:val="000000"/>
        </w:rPr>
        <w:t>2.脂肪肉瘤：(108/12/1)</w:t>
      </w:r>
    </w:p>
    <w:p w14:paraId="0785E469" w14:textId="77777777" w:rsidR="007576F0" w:rsidRPr="007576F0" w:rsidRDefault="007576F0" w:rsidP="007576F0">
      <w:pPr>
        <w:spacing w:line="300" w:lineRule="exact"/>
        <w:ind w:left="1188" w:hanging="338"/>
        <w:rPr>
          <w:rFonts w:ascii="標楷體" w:eastAsia="標楷體" w:hAnsi="標楷體"/>
          <w:color w:val="000000"/>
        </w:rPr>
      </w:pPr>
      <w:r w:rsidRPr="007576F0">
        <w:rPr>
          <w:rFonts w:ascii="標楷體" w:eastAsia="標楷體" w:hAnsi="標楷體"/>
          <w:color w:val="000000"/>
        </w:rPr>
        <w:t>(1)限單獨使用於治療無法手術切除或轉移性脂肪肉瘤成人患者，且先前應至少接受一次含anthracycline之全身化療。</w:t>
      </w:r>
    </w:p>
    <w:p w14:paraId="3698566E" w14:textId="77777777" w:rsidR="007576F0" w:rsidRPr="007576F0" w:rsidRDefault="007576F0" w:rsidP="007576F0">
      <w:pPr>
        <w:spacing w:line="300" w:lineRule="exact"/>
        <w:ind w:left="1188" w:hanging="338"/>
        <w:rPr>
          <w:rFonts w:ascii="標楷體" w:eastAsia="標楷體" w:hAnsi="標楷體"/>
          <w:color w:val="000000"/>
        </w:rPr>
      </w:pPr>
      <w:r w:rsidRPr="007576F0">
        <w:rPr>
          <w:rFonts w:ascii="標楷體" w:eastAsia="標楷體" w:hAnsi="標楷體"/>
          <w:color w:val="000000"/>
        </w:rPr>
        <w:t>(2)須經事前審查核准後使用，每次申請以3個療程為限，再次申請時應檢附前次治療結果評估資料證實無惡化，才可繼續使用。</w:t>
      </w:r>
    </w:p>
    <w:p w14:paraId="0D387BFA" w14:textId="77777777" w:rsidR="007576F0" w:rsidRPr="007576F0" w:rsidRDefault="007576F0" w:rsidP="007576F0">
      <w:pPr>
        <w:spacing w:line="300" w:lineRule="exact"/>
        <w:ind w:left="708" w:hanging="338"/>
        <w:rPr>
          <w:rFonts w:ascii="標楷體" w:eastAsia="標楷體" w:hAnsi="標楷體"/>
          <w:color w:val="000000"/>
        </w:rPr>
      </w:pPr>
      <w:bookmarkStart w:id="45" w:name="_Hlk96441645"/>
      <w:r w:rsidRPr="007576F0">
        <w:rPr>
          <w:rFonts w:ascii="標楷體" w:eastAsia="標楷體" w:hAnsi="標楷體"/>
          <w:color w:val="000000"/>
        </w:rPr>
        <w:t>9.49. Abiraterone(如Zytiga</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：（103/12/1、105/9/1、106/9/1、108/3/1、109/5/1、109/10/1、110/2/1、110/3/1、110/11/1、111/3/1、112/9/1、113/8/1、113/9/1、114/6/1）</w:t>
      </w:r>
    </w:p>
    <w:bookmarkEnd w:id="45"/>
    <w:p w14:paraId="4AF8DA45" w14:textId="77777777" w:rsidR="007576F0" w:rsidRPr="007576F0" w:rsidRDefault="007576F0" w:rsidP="007576F0">
      <w:pPr>
        <w:snapToGrid w:val="0"/>
        <w:spacing w:line="300" w:lineRule="exact"/>
        <w:ind w:left="851" w:hanging="280"/>
      </w:pPr>
      <w:r w:rsidRPr="007576F0">
        <w:rPr>
          <w:rFonts w:ascii="標楷體" w:eastAsia="標楷體" w:hAnsi="標楷體"/>
          <w:color w:val="000000"/>
          <w:szCs w:val="24"/>
        </w:rPr>
        <w:t>1.與雄性素去除療法及prednisone或prednisolone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用，治療新診斷高風險轉移性的去勢敏感性前列腺癌(</w:t>
      </w:r>
      <w:proofErr w:type="spellStart"/>
      <w:r w:rsidRPr="007576F0">
        <w:rPr>
          <w:rFonts w:ascii="標楷體" w:eastAsia="標楷體" w:hAnsi="標楷體"/>
          <w:color w:val="000000"/>
          <w:szCs w:val="24"/>
        </w:rPr>
        <w:t>mCSPC</w:t>
      </w:r>
      <w:proofErr w:type="spellEnd"/>
      <w:r w:rsidRPr="007576F0">
        <w:rPr>
          <w:rFonts w:ascii="標楷體" w:eastAsia="標楷體" w:hAnsi="標楷體"/>
          <w:color w:val="000000"/>
          <w:szCs w:val="24"/>
        </w:rPr>
        <w:t>)的成年男性(ECOG分數須</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1)。高風險需符合下列三項條件中至少兩項：(109/5/1</w:t>
      </w:r>
      <w:r w:rsidRPr="007576F0">
        <w:rPr>
          <w:rFonts w:ascii="標楷體" w:eastAsia="標楷體" w:hAnsi="標楷體"/>
          <w:szCs w:val="24"/>
        </w:rPr>
        <w:t>、110/2/1、113/8/1</w:t>
      </w:r>
      <w:proofErr w:type="gramStart"/>
      <w:r w:rsidRPr="007576F0">
        <w:rPr>
          <w:rFonts w:ascii="標楷體" w:eastAsia="標楷體" w:hAnsi="標楷體"/>
          <w:szCs w:val="24"/>
        </w:rPr>
        <w:t>）</w:t>
      </w:r>
      <w:proofErr w:type="gramEnd"/>
    </w:p>
    <w:p w14:paraId="47DA689A" w14:textId="77777777" w:rsidR="007576F0" w:rsidRPr="007576F0" w:rsidRDefault="007576F0" w:rsidP="007576F0">
      <w:pPr>
        <w:snapToGrid w:val="0"/>
        <w:spacing w:line="300" w:lineRule="exact"/>
        <w:ind w:left="851"/>
      </w:pPr>
      <w:r w:rsidRPr="007576F0">
        <w:rPr>
          <w:rFonts w:ascii="標楷體" w:eastAsia="標楷體" w:hAnsi="標楷體"/>
          <w:color w:val="000000"/>
          <w:szCs w:val="24"/>
        </w:rPr>
        <w:t>(1)葛里森分數(Gleason score)</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8；</w:t>
      </w:r>
    </w:p>
    <w:p w14:paraId="20EBA620" w14:textId="77777777" w:rsidR="007576F0" w:rsidRPr="007576F0" w:rsidRDefault="007576F0" w:rsidP="007576F0">
      <w:pPr>
        <w:snapToGrid w:val="0"/>
        <w:spacing w:line="300" w:lineRule="exact"/>
        <w:ind w:left="851"/>
        <w:rPr>
          <w:rFonts w:ascii="標楷體" w:eastAsia="標楷體" w:hAnsi="標楷體"/>
          <w:color w:val="000000"/>
          <w:szCs w:val="24"/>
        </w:rPr>
      </w:pPr>
      <w:r w:rsidRPr="007576F0">
        <w:rPr>
          <w:rFonts w:ascii="標楷體" w:eastAsia="標楷體" w:hAnsi="標楷體"/>
          <w:color w:val="000000"/>
          <w:szCs w:val="24"/>
        </w:rPr>
        <w:t>(2)骨骼掃描出現三個(含)以上病灶且至少其中一處以上為非脊柱</w:t>
      </w:r>
      <w:proofErr w:type="gramStart"/>
      <w:r w:rsidRPr="007576F0">
        <w:rPr>
          <w:rFonts w:ascii="標楷體" w:eastAsia="標楷體" w:hAnsi="標楷體"/>
          <w:color w:val="000000"/>
          <w:szCs w:val="24"/>
        </w:rPr>
        <w:t>及非骨盆腔</w:t>
      </w:r>
      <w:proofErr w:type="gramEnd"/>
      <w:r w:rsidRPr="007576F0">
        <w:rPr>
          <w:rFonts w:ascii="標楷體" w:eastAsia="標楷體" w:hAnsi="標楷體"/>
          <w:color w:val="000000"/>
          <w:szCs w:val="24"/>
        </w:rPr>
        <w:t>轉移；(109/5/1、113/8/1</w:t>
      </w:r>
      <w:proofErr w:type="gramStart"/>
      <w:r w:rsidRPr="007576F0">
        <w:rPr>
          <w:rFonts w:ascii="標楷體" w:eastAsia="標楷體" w:hAnsi="標楷體"/>
          <w:color w:val="000000"/>
          <w:szCs w:val="24"/>
        </w:rPr>
        <w:t>）</w:t>
      </w:r>
      <w:proofErr w:type="gramEnd"/>
    </w:p>
    <w:p w14:paraId="0B50ECB9" w14:textId="77777777" w:rsidR="007576F0" w:rsidRPr="007576F0" w:rsidRDefault="007576F0" w:rsidP="007576F0">
      <w:pPr>
        <w:snapToGrid w:val="0"/>
        <w:spacing w:line="300" w:lineRule="exact"/>
        <w:ind w:left="851"/>
        <w:rPr>
          <w:rFonts w:ascii="標楷體" w:eastAsia="標楷體" w:hAnsi="標楷體"/>
          <w:color w:val="000000"/>
          <w:szCs w:val="24"/>
        </w:rPr>
      </w:pPr>
      <w:r w:rsidRPr="007576F0">
        <w:rPr>
          <w:rFonts w:ascii="標楷體" w:eastAsia="標楷體" w:hAnsi="標楷體"/>
          <w:color w:val="000000"/>
          <w:szCs w:val="24"/>
        </w:rPr>
        <w:t>(3)出現內臟轉移。</w:t>
      </w:r>
    </w:p>
    <w:p w14:paraId="3A96398B" w14:textId="77777777" w:rsidR="007576F0" w:rsidRPr="007576F0" w:rsidRDefault="007576F0" w:rsidP="007576F0">
      <w:pPr>
        <w:snapToGrid w:val="0"/>
        <w:spacing w:line="300" w:lineRule="exact"/>
        <w:ind w:left="851" w:hanging="280"/>
        <w:rPr>
          <w:rFonts w:ascii="標楷體" w:eastAsia="標楷體" w:hAnsi="標楷體"/>
          <w:color w:val="000000"/>
          <w:szCs w:val="24"/>
        </w:rPr>
      </w:pPr>
      <w:r w:rsidRPr="007576F0">
        <w:rPr>
          <w:rFonts w:ascii="標楷體" w:eastAsia="標楷體" w:hAnsi="標楷體"/>
          <w:color w:val="000000"/>
          <w:szCs w:val="24"/>
        </w:rPr>
        <w:t>2.與prednisone或prednisolone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用，治療藥物或手術去勢抗性的轉移性前列腺癌(</w:t>
      </w:r>
      <w:proofErr w:type="spellStart"/>
      <w:r w:rsidRPr="007576F0">
        <w:rPr>
          <w:rFonts w:ascii="標楷體" w:eastAsia="標楷體" w:hAnsi="標楷體"/>
          <w:color w:val="000000"/>
          <w:szCs w:val="24"/>
        </w:rPr>
        <w:t>mCRPC</w:t>
      </w:r>
      <w:proofErr w:type="spellEnd"/>
      <w:r w:rsidRPr="007576F0">
        <w:rPr>
          <w:rFonts w:ascii="標楷體" w:eastAsia="標楷體" w:hAnsi="標楷體"/>
          <w:color w:val="000000"/>
          <w:szCs w:val="24"/>
        </w:rPr>
        <w:t>)，且在雄性素去除療法</w:t>
      </w:r>
      <w:proofErr w:type="gramStart"/>
      <w:r w:rsidRPr="007576F0">
        <w:rPr>
          <w:rFonts w:ascii="標楷體" w:eastAsia="標楷體" w:hAnsi="標楷體"/>
          <w:color w:val="000000"/>
          <w:szCs w:val="24"/>
        </w:rPr>
        <w:t>失敗後屬無</w:t>
      </w:r>
      <w:proofErr w:type="gramEnd"/>
      <w:r w:rsidRPr="007576F0">
        <w:rPr>
          <w:rFonts w:ascii="標楷體" w:eastAsia="標楷體" w:hAnsi="標楷體"/>
          <w:color w:val="000000"/>
          <w:szCs w:val="24"/>
        </w:rPr>
        <w:t>症狀或輕度症狀(ECOG分數0或1)，未曾接受化學治療者：（106/9/1）</w:t>
      </w:r>
    </w:p>
    <w:p w14:paraId="302A5626" w14:textId="77777777" w:rsidR="007576F0" w:rsidRPr="007576F0" w:rsidRDefault="007576F0" w:rsidP="007576F0">
      <w:pPr>
        <w:snapToGrid w:val="0"/>
        <w:spacing w:line="300" w:lineRule="exact"/>
        <w:ind w:left="1276" w:hanging="420"/>
      </w:pPr>
      <w:r w:rsidRPr="007576F0">
        <w:rPr>
          <w:rFonts w:ascii="標楷體" w:eastAsia="標楷體" w:hAnsi="標楷體"/>
          <w:color w:val="000000"/>
          <w:szCs w:val="24"/>
        </w:rPr>
        <w:t>(1)若病患先前接受雄性素去除療法時，在小於12個月的時間內</w:t>
      </w:r>
      <w:proofErr w:type="gramStart"/>
      <w:r w:rsidRPr="007576F0">
        <w:rPr>
          <w:rFonts w:ascii="標楷體" w:eastAsia="標楷體" w:hAnsi="標楷體"/>
          <w:color w:val="000000"/>
          <w:szCs w:val="24"/>
        </w:rPr>
        <w:t>演化成去勢</w:t>
      </w:r>
      <w:proofErr w:type="gramEnd"/>
      <w:r w:rsidRPr="007576F0">
        <w:rPr>
          <w:rFonts w:ascii="標楷體" w:eastAsia="標楷體" w:hAnsi="標楷體"/>
          <w:color w:val="000000"/>
          <w:szCs w:val="24"/>
        </w:rPr>
        <w:t>抗性前列腺癌(CRPC)，且葛里森分數(Gleason score)</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8時，不得於使用化學治療前使用abiraterone。（106/9/1）</w:t>
      </w:r>
    </w:p>
    <w:p w14:paraId="6337C2AC" w14:textId="77777777" w:rsidR="007576F0" w:rsidRPr="007576F0" w:rsidRDefault="007576F0" w:rsidP="007576F0">
      <w:pPr>
        <w:snapToGrid w:val="0"/>
        <w:spacing w:line="300" w:lineRule="exact"/>
        <w:ind w:left="851"/>
        <w:rPr>
          <w:rFonts w:ascii="標楷體" w:eastAsia="標楷體" w:hAnsi="標楷體"/>
          <w:color w:val="000000"/>
          <w:szCs w:val="24"/>
        </w:rPr>
      </w:pPr>
      <w:r w:rsidRPr="007576F0">
        <w:rPr>
          <w:rFonts w:ascii="標楷體" w:eastAsia="標楷體" w:hAnsi="標楷體"/>
          <w:color w:val="000000"/>
          <w:szCs w:val="24"/>
        </w:rPr>
        <w:t>(2)申請時需另檢</w:t>
      </w:r>
      <w:proofErr w:type="gramStart"/>
      <w:r w:rsidRPr="007576F0">
        <w:rPr>
          <w:rFonts w:ascii="標楷體" w:eastAsia="標楷體" w:hAnsi="標楷體"/>
          <w:color w:val="000000"/>
          <w:szCs w:val="24"/>
        </w:rPr>
        <w:t>附</w:t>
      </w:r>
      <w:proofErr w:type="gramEnd"/>
      <w:r w:rsidRPr="007576F0">
        <w:rPr>
          <w:rFonts w:ascii="標楷體" w:eastAsia="標楷體" w:hAnsi="標楷體"/>
          <w:color w:val="000000"/>
          <w:szCs w:val="24"/>
        </w:rPr>
        <w:t>：</w:t>
      </w:r>
    </w:p>
    <w:p w14:paraId="6D343CA3" w14:textId="77777777" w:rsidR="007576F0" w:rsidRPr="007576F0" w:rsidRDefault="007576F0" w:rsidP="007576F0">
      <w:pPr>
        <w:tabs>
          <w:tab w:val="left" w:pos="1701"/>
        </w:tabs>
        <w:snapToGrid w:val="0"/>
        <w:spacing w:line="300" w:lineRule="exact"/>
        <w:ind w:left="1560" w:hanging="280"/>
        <w:rPr>
          <w:rFonts w:ascii="標楷體" w:eastAsia="標楷體" w:hAnsi="標楷體"/>
          <w:color w:val="000000"/>
          <w:szCs w:val="24"/>
        </w:rPr>
      </w:pPr>
      <w:r w:rsidRPr="007576F0">
        <w:rPr>
          <w:rFonts w:ascii="標楷體" w:eastAsia="標楷體" w:hAnsi="標楷體"/>
          <w:color w:val="000000"/>
          <w:szCs w:val="24"/>
        </w:rPr>
        <w:t>I.用藥紀錄(證明未常規使用止痛藥物，屬無症狀或輕度症狀)。</w:t>
      </w:r>
    </w:p>
    <w:p w14:paraId="08073899" w14:textId="77777777" w:rsidR="007576F0" w:rsidRPr="007576F0" w:rsidRDefault="007576F0" w:rsidP="007576F0">
      <w:pPr>
        <w:tabs>
          <w:tab w:val="left" w:pos="1701"/>
        </w:tabs>
        <w:snapToGrid w:val="0"/>
        <w:spacing w:line="300" w:lineRule="exact"/>
        <w:ind w:left="1560" w:hanging="420"/>
        <w:rPr>
          <w:rFonts w:ascii="標楷體" w:eastAsia="標楷體" w:hAnsi="標楷體"/>
          <w:color w:val="000000"/>
          <w:szCs w:val="24"/>
        </w:rPr>
      </w:pPr>
      <w:r w:rsidRPr="007576F0">
        <w:rPr>
          <w:rFonts w:ascii="標楷體" w:eastAsia="標楷體" w:hAnsi="標楷體"/>
          <w:color w:val="000000"/>
          <w:szCs w:val="24"/>
        </w:rPr>
        <w:t>II.三個月內影像報告證明無臟器轉移。（106/9/1）</w:t>
      </w:r>
    </w:p>
    <w:p w14:paraId="1812F0F8" w14:textId="77777777" w:rsidR="007576F0" w:rsidRPr="007576F0" w:rsidRDefault="007576F0" w:rsidP="007576F0">
      <w:pPr>
        <w:tabs>
          <w:tab w:val="left" w:pos="851"/>
        </w:tabs>
        <w:snapToGrid w:val="0"/>
        <w:spacing w:line="300" w:lineRule="exact"/>
        <w:ind w:left="851" w:hanging="280"/>
      </w:pPr>
      <w:r w:rsidRPr="007576F0">
        <w:rPr>
          <w:rFonts w:ascii="標楷體" w:eastAsia="標楷體" w:hAnsi="標楷體"/>
          <w:color w:val="000000"/>
          <w:szCs w:val="24"/>
        </w:rPr>
        <w:t>3.與prednisone或prednisolone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用，治療藥物或手術去勢抗性的轉移性前列腺癌(ECOG分數須</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2)且已使用過docetaxel 2個療程以上治療無效者。</w:t>
      </w:r>
    </w:p>
    <w:p w14:paraId="29B31417" w14:textId="77777777" w:rsidR="007576F0" w:rsidRPr="007576F0" w:rsidRDefault="007576F0" w:rsidP="007576F0">
      <w:pPr>
        <w:tabs>
          <w:tab w:val="left" w:pos="851"/>
        </w:tabs>
        <w:snapToGrid w:val="0"/>
        <w:spacing w:line="300" w:lineRule="exact"/>
        <w:ind w:left="851" w:hanging="280"/>
        <w:rPr>
          <w:rFonts w:ascii="標楷體" w:eastAsia="標楷體" w:hAnsi="標楷體"/>
          <w:color w:val="000000"/>
          <w:szCs w:val="24"/>
        </w:rPr>
      </w:pPr>
      <w:r w:rsidRPr="007576F0">
        <w:rPr>
          <w:rFonts w:ascii="標楷體" w:eastAsia="標楷體" w:hAnsi="標楷體"/>
          <w:color w:val="000000"/>
          <w:szCs w:val="24"/>
        </w:rPr>
        <w:t>4.與</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及prednisone或prednisolone，用於具germline或 somatic BRCA 1/2致病性或疑似致病性突變之成人病人，患者需符合</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藥品給付規定。(114/6/1)</w:t>
      </w:r>
    </w:p>
    <w:p w14:paraId="56168075" w14:textId="77777777" w:rsidR="007576F0" w:rsidRPr="007576F0" w:rsidRDefault="007576F0" w:rsidP="007576F0">
      <w:pPr>
        <w:tabs>
          <w:tab w:val="left" w:pos="851"/>
        </w:tabs>
        <w:snapToGrid w:val="0"/>
        <w:spacing w:line="300" w:lineRule="exact"/>
        <w:ind w:left="851" w:hanging="280"/>
      </w:pPr>
      <w:r w:rsidRPr="007576F0">
        <w:rPr>
          <w:rFonts w:ascii="標楷體" w:eastAsia="標楷體" w:hAnsi="標楷體"/>
          <w:color w:val="000000"/>
          <w:szCs w:val="24"/>
        </w:rPr>
        <w:t>5.前述1、2、3項須經事前審查核准後使用，每3個月需再次申請。（111/3/1）</w:t>
      </w:r>
    </w:p>
    <w:p w14:paraId="384AFAFF" w14:textId="77777777" w:rsidR="007576F0" w:rsidRPr="007576F0" w:rsidRDefault="007576F0" w:rsidP="007576F0">
      <w:pPr>
        <w:tabs>
          <w:tab w:val="left" w:pos="851"/>
        </w:tabs>
        <w:snapToGrid w:val="0"/>
        <w:spacing w:line="300" w:lineRule="exact"/>
        <w:ind w:left="1276" w:hanging="420"/>
        <w:rPr>
          <w:rFonts w:ascii="標楷體" w:eastAsia="標楷體" w:hAnsi="標楷體"/>
          <w:color w:val="000000"/>
          <w:szCs w:val="24"/>
        </w:rPr>
      </w:pPr>
      <w:r w:rsidRPr="007576F0">
        <w:rPr>
          <w:rFonts w:ascii="標楷體" w:eastAsia="標楷體" w:hAnsi="標楷體"/>
          <w:color w:val="000000"/>
          <w:szCs w:val="24"/>
        </w:rPr>
        <w:t>(1)申請時需檢附病理報告、使用雄性素去除療法紀錄及系列PSA和</w:t>
      </w:r>
      <w:proofErr w:type="gramStart"/>
      <w:r w:rsidRPr="007576F0">
        <w:rPr>
          <w:rFonts w:ascii="標楷體" w:eastAsia="標楷體" w:hAnsi="標楷體"/>
          <w:color w:val="000000"/>
          <w:szCs w:val="24"/>
        </w:rPr>
        <w:t>睪固酮</w:t>
      </w:r>
      <w:proofErr w:type="gramEnd"/>
      <w:r w:rsidRPr="007576F0">
        <w:rPr>
          <w:rFonts w:ascii="標楷體" w:eastAsia="標楷體" w:hAnsi="標楷體"/>
          <w:color w:val="000000"/>
          <w:szCs w:val="24"/>
        </w:rPr>
        <w:t>數據。（106/9/1）</w:t>
      </w:r>
    </w:p>
    <w:p w14:paraId="2F8BD118" w14:textId="77777777" w:rsidR="007576F0" w:rsidRPr="007576F0" w:rsidRDefault="007576F0" w:rsidP="007576F0">
      <w:pPr>
        <w:tabs>
          <w:tab w:val="left" w:pos="851"/>
        </w:tabs>
        <w:snapToGrid w:val="0"/>
        <w:spacing w:line="300" w:lineRule="exact"/>
        <w:ind w:left="1276" w:hanging="420"/>
        <w:rPr>
          <w:rFonts w:ascii="標楷體" w:eastAsia="標楷體" w:hAnsi="標楷體"/>
          <w:color w:val="000000"/>
          <w:szCs w:val="24"/>
        </w:rPr>
      </w:pPr>
      <w:r w:rsidRPr="007576F0">
        <w:rPr>
          <w:rFonts w:ascii="標楷體" w:eastAsia="標楷體" w:hAnsi="標楷體"/>
          <w:color w:val="000000"/>
          <w:szCs w:val="24"/>
        </w:rPr>
        <w:lastRenderedPageBreak/>
        <w:t>(2)再申請時若PSA值下降未超過治療前的50%以上，則需停藥。(106/9/1、109/10/1)</w:t>
      </w:r>
    </w:p>
    <w:p w14:paraId="21E151FF" w14:textId="77777777" w:rsidR="007576F0" w:rsidRPr="007576F0" w:rsidRDefault="007576F0" w:rsidP="007576F0">
      <w:pPr>
        <w:tabs>
          <w:tab w:val="left" w:pos="851"/>
        </w:tabs>
        <w:snapToGrid w:val="0"/>
        <w:spacing w:line="300" w:lineRule="exact"/>
        <w:ind w:left="1276" w:hanging="420"/>
      </w:pPr>
      <w:r w:rsidRPr="007576F0">
        <w:rPr>
          <w:rFonts w:ascii="標楷體" w:eastAsia="標楷體" w:hAnsi="標楷體"/>
          <w:color w:val="000000"/>
          <w:szCs w:val="24"/>
        </w:rPr>
        <w:t>(3)下降達</w:t>
      </w:r>
      <w:proofErr w:type="gramStart"/>
      <w:r w:rsidRPr="007576F0">
        <w:rPr>
          <w:rFonts w:ascii="標楷體" w:eastAsia="標楷體" w:hAnsi="標楷體"/>
          <w:color w:val="000000"/>
          <w:szCs w:val="24"/>
        </w:rPr>
        <w:t>最低值後之</w:t>
      </w:r>
      <w:proofErr w:type="gramEnd"/>
      <w:r w:rsidRPr="007576F0">
        <w:rPr>
          <w:rFonts w:ascii="標楷體" w:eastAsia="標楷體" w:hAnsi="標楷體"/>
          <w:color w:val="000000"/>
          <w:szCs w:val="24"/>
        </w:rPr>
        <w:t>持續追蹤出現PSA較最低值上升50%以上且PSA</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2ng/ml，則需停藥，但影像學證據尚無疾病進展者，可以繼續使用。（106/9/1、109/10/1）</w:t>
      </w:r>
    </w:p>
    <w:p w14:paraId="5C137A07" w14:textId="77777777" w:rsidR="007576F0" w:rsidRPr="007576F0" w:rsidRDefault="007576F0" w:rsidP="007576F0">
      <w:pPr>
        <w:tabs>
          <w:tab w:val="left" w:pos="851"/>
        </w:tabs>
        <w:snapToGrid w:val="0"/>
        <w:spacing w:line="300" w:lineRule="exact"/>
        <w:ind w:left="1276" w:hanging="420"/>
      </w:pPr>
      <w:r w:rsidRPr="007576F0">
        <w:rPr>
          <w:rFonts w:ascii="標楷體" w:eastAsia="標楷體" w:hAnsi="標楷體"/>
          <w:color w:val="000000"/>
          <w:szCs w:val="24"/>
        </w:rPr>
        <w:t>(4)用於治療新診斷高風險轉移性的去勢敏感性前列腺癌(</w:t>
      </w:r>
      <w:proofErr w:type="spellStart"/>
      <w:r w:rsidRPr="007576F0">
        <w:rPr>
          <w:rFonts w:ascii="標楷體" w:eastAsia="標楷體" w:hAnsi="標楷體"/>
          <w:color w:val="000000"/>
          <w:szCs w:val="24"/>
        </w:rPr>
        <w:t>mCSPC</w:t>
      </w:r>
      <w:proofErr w:type="spellEnd"/>
      <w:r w:rsidRPr="007576F0">
        <w:rPr>
          <w:rFonts w:ascii="標楷體" w:eastAsia="標楷體" w:hAnsi="標楷體"/>
          <w:color w:val="000000"/>
          <w:szCs w:val="24"/>
        </w:rPr>
        <w:t>)的成年男性，總療程以36個月為上限（惟</w:t>
      </w:r>
      <w:proofErr w:type="spellStart"/>
      <w:r w:rsidRPr="007576F0">
        <w:rPr>
          <w:rFonts w:ascii="標楷體" w:eastAsia="標楷體" w:hAnsi="標楷體"/>
          <w:color w:val="000000"/>
          <w:szCs w:val="24"/>
        </w:rPr>
        <w:t>Ateron</w:t>
      </w:r>
      <w:proofErr w:type="spellEnd"/>
      <w:r w:rsidRPr="007576F0">
        <w:rPr>
          <w:rFonts w:ascii="標楷體" w:eastAsia="標楷體" w:hAnsi="標楷體"/>
          <w:color w:val="000000"/>
          <w:szCs w:val="24"/>
        </w:rPr>
        <w:t>總療程以24個月為上限）。(109/5/1、110/2/1、113/8/1、113/9/1</w:t>
      </w:r>
      <w:proofErr w:type="gramStart"/>
      <w:r w:rsidRPr="007576F0">
        <w:rPr>
          <w:rFonts w:ascii="標楷體" w:eastAsia="標楷體" w:hAnsi="標楷體"/>
          <w:color w:val="000000"/>
          <w:szCs w:val="24"/>
        </w:rPr>
        <w:t>）</w:t>
      </w:r>
      <w:proofErr w:type="gramEnd"/>
    </w:p>
    <w:p w14:paraId="723D48F0" w14:textId="77777777" w:rsidR="007576F0" w:rsidRPr="007576F0" w:rsidRDefault="007576F0" w:rsidP="007576F0">
      <w:pPr>
        <w:tabs>
          <w:tab w:val="left" w:pos="851"/>
        </w:tabs>
        <w:snapToGrid w:val="0"/>
        <w:spacing w:line="300" w:lineRule="exact"/>
        <w:ind w:left="1276" w:hanging="420"/>
        <w:rPr>
          <w:rFonts w:ascii="標楷體" w:eastAsia="標楷體" w:hAnsi="標楷體"/>
          <w:color w:val="000000"/>
          <w:szCs w:val="24"/>
        </w:rPr>
      </w:pPr>
      <w:r w:rsidRPr="007576F0">
        <w:rPr>
          <w:rFonts w:ascii="標楷體" w:eastAsia="標楷體" w:hAnsi="標楷體"/>
          <w:color w:val="000000"/>
          <w:szCs w:val="24"/>
        </w:rPr>
        <w:t>(5)去勢抗性前列腺癌(CRPC)病患若於化學治療前先使用過abiraterone，當化學治療失敗後不得再申請使用abiraterone。（106/9/1）</w:t>
      </w:r>
    </w:p>
    <w:p w14:paraId="34241CB2" w14:textId="77777777" w:rsidR="007576F0" w:rsidRPr="007576F0" w:rsidRDefault="007576F0" w:rsidP="007576F0">
      <w:pPr>
        <w:tabs>
          <w:tab w:val="left" w:pos="851"/>
        </w:tabs>
        <w:snapToGrid w:val="0"/>
        <w:spacing w:line="300" w:lineRule="exact"/>
        <w:ind w:left="851" w:hanging="280"/>
      </w:pPr>
      <w:r w:rsidRPr="007576F0">
        <w:rPr>
          <w:rFonts w:ascii="標楷體" w:eastAsia="標楷體" w:hAnsi="標楷體"/>
          <w:color w:val="000000"/>
          <w:szCs w:val="24"/>
        </w:rPr>
        <w:t>6.不論病人處於轉移或非轉移的狀態下，新型荷爾蒙藥品(abiraterone、apalutamide、</w:t>
      </w:r>
      <w:proofErr w:type="spellStart"/>
      <w:r w:rsidRPr="007576F0">
        <w:rPr>
          <w:rFonts w:ascii="標楷體" w:eastAsia="標楷體" w:hAnsi="標楷體"/>
          <w:color w:val="000000"/>
          <w:szCs w:val="24"/>
        </w:rPr>
        <w:t>darolutamide</w:t>
      </w:r>
      <w:proofErr w:type="spellEnd"/>
      <w:r w:rsidRPr="007576F0">
        <w:rPr>
          <w:rFonts w:ascii="標楷體" w:eastAsia="標楷體" w:hAnsi="標楷體"/>
          <w:color w:val="000000"/>
          <w:szCs w:val="24"/>
        </w:rPr>
        <w:t>和enzalutamide) 及</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 xml:space="preserve"> 與 abiraterone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用，終生僅給付一種治療，且除非出現嚴重不耐受反應導致必須永久停止治療，不得互換。(112/9/1、114/6/1)</w:t>
      </w:r>
    </w:p>
    <w:p w14:paraId="686D95BA" w14:textId="77777777" w:rsidR="007576F0" w:rsidRPr="007576F0" w:rsidRDefault="007576F0" w:rsidP="007576F0">
      <w:pPr>
        <w:tabs>
          <w:tab w:val="left" w:pos="851"/>
        </w:tabs>
        <w:snapToGrid w:val="0"/>
        <w:spacing w:line="300" w:lineRule="exact"/>
        <w:ind w:left="851" w:hanging="280"/>
      </w:pPr>
      <w:r w:rsidRPr="007576F0">
        <w:rPr>
          <w:rFonts w:ascii="標楷體" w:eastAsia="標楷體" w:hAnsi="標楷體"/>
          <w:color w:val="000000"/>
          <w:szCs w:val="24"/>
        </w:rPr>
        <w:t>7.</w:t>
      </w:r>
      <w:proofErr w:type="gramStart"/>
      <w:r w:rsidRPr="007576F0">
        <w:rPr>
          <w:rFonts w:ascii="標楷體" w:eastAsia="標楷體" w:hAnsi="標楷體"/>
          <w:color w:val="000000"/>
          <w:szCs w:val="24"/>
        </w:rPr>
        <w:t>本品與</w:t>
      </w:r>
      <w:proofErr w:type="gramEnd"/>
      <w:r w:rsidRPr="007576F0">
        <w:rPr>
          <w:rFonts w:ascii="標楷體" w:eastAsia="標楷體" w:hAnsi="標楷體"/>
          <w:color w:val="000000"/>
          <w:szCs w:val="24"/>
        </w:rPr>
        <w:t>radium-223 dichloride不得合併使用。(108/3/1)</w:t>
      </w:r>
    </w:p>
    <w:p w14:paraId="4F160232" w14:textId="77777777" w:rsidR="007576F0" w:rsidRPr="007576F0" w:rsidRDefault="007576F0" w:rsidP="007576F0">
      <w:pPr>
        <w:spacing w:line="300" w:lineRule="exact"/>
        <w:ind w:left="708" w:hanging="338"/>
        <w:rPr>
          <w:rFonts w:ascii="標楷體" w:eastAsia="標楷體" w:hAnsi="標楷體"/>
          <w:color w:val="000000"/>
        </w:rPr>
      </w:pPr>
      <w:r w:rsidRPr="007576F0">
        <w:rPr>
          <w:rFonts w:ascii="標楷體" w:eastAsia="標楷體" w:hAnsi="標楷體"/>
          <w:color w:val="000000"/>
        </w:rPr>
        <w:t>9.50.Crizotinib (如</w:t>
      </w:r>
      <w:proofErr w:type="spellStart"/>
      <w:r w:rsidRPr="007576F0">
        <w:rPr>
          <w:rFonts w:ascii="標楷體" w:eastAsia="標楷體" w:hAnsi="標楷體"/>
          <w:color w:val="000000"/>
        </w:rPr>
        <w:t>Xalkori</w:t>
      </w:r>
      <w:proofErr w:type="spellEnd"/>
      <w:r w:rsidRPr="007576F0">
        <w:rPr>
          <w:rFonts w:ascii="標楷體" w:eastAsia="標楷體" w:hAnsi="標楷體"/>
          <w:color w:val="000000"/>
        </w:rPr>
        <w:t>)：(104/9/1、106/11/1、107/5/1、108/7/1、108/9/1、108/12/1、110/7/1、111/2/1、111/8/1、112/11/1、113/6/1、113/9/1)</w:t>
      </w:r>
    </w:p>
    <w:p w14:paraId="1A5F1B26" w14:textId="77777777" w:rsidR="007576F0" w:rsidRPr="007576F0" w:rsidRDefault="007576F0" w:rsidP="002144EC">
      <w:pPr>
        <w:numPr>
          <w:ilvl w:val="0"/>
          <w:numId w:val="198"/>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適用於ALK陽性之晚期非小細胞肺癌第一線治療，且於113年9月1日前經審核同意用藥，後續評估符合續用申請條件者。(106/11/1、111/8/1、113/9/1)</w:t>
      </w:r>
    </w:p>
    <w:p w14:paraId="4DA13242" w14:textId="77777777" w:rsidR="007576F0" w:rsidRPr="007576F0" w:rsidRDefault="007576F0" w:rsidP="002144EC">
      <w:pPr>
        <w:numPr>
          <w:ilvl w:val="0"/>
          <w:numId w:val="198"/>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單獨使用於ROS-1陽性之晚期非小細胞肺癌患者。(108/9/1)</w:t>
      </w:r>
    </w:p>
    <w:p w14:paraId="3C11E352" w14:textId="77777777" w:rsidR="007576F0" w:rsidRPr="007576F0" w:rsidRDefault="007576F0" w:rsidP="002144EC">
      <w:pPr>
        <w:numPr>
          <w:ilvl w:val="0"/>
          <w:numId w:val="198"/>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須經事前審查核准後使用:</w:t>
      </w:r>
    </w:p>
    <w:p w14:paraId="154A965C" w14:textId="77777777" w:rsidR="007576F0" w:rsidRPr="007576F0" w:rsidRDefault="007576F0" w:rsidP="002144EC">
      <w:pPr>
        <w:numPr>
          <w:ilvl w:val="1"/>
          <w:numId w:val="198"/>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每次申請事前審查之療程以三</w:t>
      </w:r>
      <w:proofErr w:type="gramStart"/>
      <w:r w:rsidRPr="007576F0">
        <w:rPr>
          <w:rFonts w:ascii="標楷體" w:eastAsia="標楷體" w:hAnsi="標楷體"/>
          <w:szCs w:val="24"/>
        </w:rPr>
        <w:t>個</w:t>
      </w:r>
      <w:proofErr w:type="gramEnd"/>
      <w:r w:rsidRPr="007576F0">
        <w:rPr>
          <w:rFonts w:ascii="標楷體" w:eastAsia="標楷體" w:hAnsi="標楷體"/>
          <w:szCs w:val="24"/>
        </w:rPr>
        <w:t>月為限，每三</w:t>
      </w:r>
      <w:proofErr w:type="gramStart"/>
      <w:r w:rsidRPr="007576F0">
        <w:rPr>
          <w:rFonts w:ascii="標楷體" w:eastAsia="標楷體" w:hAnsi="標楷體"/>
          <w:szCs w:val="24"/>
        </w:rPr>
        <w:t>個</w:t>
      </w:r>
      <w:proofErr w:type="gramEnd"/>
      <w:r w:rsidRPr="007576F0">
        <w:rPr>
          <w:rFonts w:ascii="標楷體" w:eastAsia="標楷體" w:hAnsi="標楷體"/>
          <w:szCs w:val="24"/>
        </w:rPr>
        <w:t>月需再次申請。</w:t>
      </w:r>
    </w:p>
    <w:p w14:paraId="69770B88" w14:textId="77777777" w:rsidR="007576F0" w:rsidRPr="007576F0" w:rsidRDefault="007576F0" w:rsidP="002144EC">
      <w:pPr>
        <w:numPr>
          <w:ilvl w:val="1"/>
          <w:numId w:val="198"/>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初次申請時需檢具確實患有非小細胞肺癌之病理或細胞檢查報告，及ALK突變檢測報告，或ROS-1突變檢測報告，且需符合全民健康保險藥品給付規定之通則十二。(107/5/1、108/9/1、111/2/1、113/6/1)</w:t>
      </w:r>
    </w:p>
    <w:p w14:paraId="17023E85" w14:textId="77777777" w:rsidR="007576F0" w:rsidRPr="007576F0" w:rsidRDefault="007576F0" w:rsidP="002144EC">
      <w:pPr>
        <w:numPr>
          <w:ilvl w:val="1"/>
          <w:numId w:val="198"/>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再次申請時需附上治療後相關臨床資料，如給藥4</w:t>
      </w:r>
      <w:proofErr w:type="gramStart"/>
      <w:r w:rsidRPr="007576F0">
        <w:rPr>
          <w:rFonts w:ascii="標楷體" w:eastAsia="標楷體" w:hAnsi="標楷體"/>
          <w:szCs w:val="24"/>
        </w:rPr>
        <w:t>週</w:t>
      </w:r>
      <w:proofErr w:type="gramEnd"/>
      <w:r w:rsidRPr="007576F0">
        <w:rPr>
          <w:rFonts w:ascii="標楷體" w:eastAsia="標楷體" w:hAnsi="標楷體"/>
          <w:szCs w:val="24"/>
        </w:rPr>
        <w:t>後，需追蹤胸部X光或電腦斷層等影像檢查評估療效，往後每4</w:t>
      </w:r>
      <w:proofErr w:type="gramStart"/>
      <w:r w:rsidRPr="007576F0">
        <w:rPr>
          <w:rFonts w:ascii="標楷體" w:eastAsia="標楷體" w:hAnsi="標楷體"/>
          <w:szCs w:val="24"/>
        </w:rPr>
        <w:t>週</w:t>
      </w:r>
      <w:proofErr w:type="gramEnd"/>
      <w:r w:rsidRPr="007576F0">
        <w:rPr>
          <w:rFonts w:ascii="標楷體" w:eastAsia="標楷體" w:hAnsi="標楷體"/>
          <w:szCs w:val="24"/>
        </w:rPr>
        <w:t>做胸部X光檢查，每3個月需追蹤其作為評估藥效的影像(如胸部X光或電腦斷層)，若病情惡化即不得再次申請。(108/12/1、112/11/1)</w:t>
      </w:r>
    </w:p>
    <w:p w14:paraId="4C252D30" w14:textId="77777777" w:rsidR="007576F0" w:rsidRPr="007576F0" w:rsidRDefault="007576F0" w:rsidP="002144EC">
      <w:pPr>
        <w:numPr>
          <w:ilvl w:val="0"/>
          <w:numId w:val="198"/>
        </w:numPr>
        <w:suppressAutoHyphens w:val="0"/>
        <w:spacing w:line="300" w:lineRule="exact"/>
        <w:ind w:left="991"/>
        <w:textAlignment w:val="auto"/>
        <w:rPr>
          <w:rFonts w:ascii="標楷體" w:eastAsia="標楷體" w:hAnsi="標楷體"/>
          <w:szCs w:val="24"/>
        </w:rPr>
      </w:pPr>
      <w:proofErr w:type="spellStart"/>
      <w:r w:rsidRPr="007576F0">
        <w:rPr>
          <w:rFonts w:ascii="標楷體" w:eastAsia="標楷體" w:hAnsi="標楷體"/>
          <w:szCs w:val="24"/>
        </w:rPr>
        <w:t>Crizotinib</w:t>
      </w:r>
      <w:proofErr w:type="spellEnd"/>
      <w:r w:rsidRPr="007576F0">
        <w:rPr>
          <w:rFonts w:ascii="標楷體" w:eastAsia="標楷體" w:hAnsi="標楷體"/>
          <w:szCs w:val="24"/>
        </w:rPr>
        <w:t>與</w:t>
      </w:r>
      <w:proofErr w:type="spellStart"/>
      <w:r w:rsidRPr="007576F0">
        <w:rPr>
          <w:rFonts w:ascii="標楷體" w:eastAsia="標楷體" w:hAnsi="標楷體"/>
          <w:szCs w:val="24"/>
        </w:rPr>
        <w:t>ceritinib</w:t>
      </w:r>
      <w:proofErr w:type="spellEnd"/>
      <w:r w:rsidRPr="007576F0">
        <w:rPr>
          <w:rFonts w:ascii="標楷體" w:eastAsia="標楷體" w:hAnsi="標楷體"/>
          <w:szCs w:val="24"/>
        </w:rPr>
        <w:t>、</w:t>
      </w:r>
      <w:proofErr w:type="spellStart"/>
      <w:r w:rsidRPr="007576F0">
        <w:rPr>
          <w:rFonts w:ascii="標楷體" w:eastAsia="標楷體" w:hAnsi="標楷體"/>
          <w:szCs w:val="24"/>
        </w:rPr>
        <w:t>alectinib</w:t>
      </w:r>
      <w:proofErr w:type="spellEnd"/>
      <w:r w:rsidRPr="007576F0">
        <w:rPr>
          <w:rFonts w:ascii="標楷體" w:eastAsia="標楷體" w:hAnsi="標楷體"/>
          <w:szCs w:val="24"/>
        </w:rPr>
        <w:t>、</w:t>
      </w:r>
      <w:proofErr w:type="spellStart"/>
      <w:r w:rsidRPr="007576F0">
        <w:rPr>
          <w:rFonts w:ascii="標楷體" w:eastAsia="標楷體" w:hAnsi="標楷體"/>
          <w:szCs w:val="24"/>
        </w:rPr>
        <w:t>brigatinib</w:t>
      </w:r>
      <w:proofErr w:type="spellEnd"/>
      <w:r w:rsidRPr="007576F0">
        <w:rPr>
          <w:rFonts w:ascii="標楷體" w:eastAsia="標楷體" w:hAnsi="標楷體"/>
          <w:szCs w:val="24"/>
        </w:rPr>
        <w:t>、</w:t>
      </w:r>
      <w:proofErr w:type="spellStart"/>
      <w:r w:rsidRPr="007576F0">
        <w:rPr>
          <w:rFonts w:ascii="標楷體" w:eastAsia="標楷體" w:hAnsi="標楷體"/>
          <w:szCs w:val="24"/>
        </w:rPr>
        <w:t>lorlatinib</w:t>
      </w:r>
      <w:proofErr w:type="spellEnd"/>
      <w:r w:rsidRPr="007576F0">
        <w:rPr>
          <w:rFonts w:ascii="標楷體" w:eastAsia="標楷體" w:hAnsi="標楷體"/>
          <w:szCs w:val="24"/>
        </w:rPr>
        <w:t>用於ALK陽性之晚期非小細胞肺癌第一線治療時，僅得擇</w:t>
      </w:r>
      <w:proofErr w:type="gramStart"/>
      <w:r w:rsidRPr="007576F0">
        <w:rPr>
          <w:rFonts w:ascii="標楷體" w:eastAsia="標楷體" w:hAnsi="標楷體"/>
          <w:szCs w:val="24"/>
        </w:rPr>
        <w:t>一</w:t>
      </w:r>
      <w:proofErr w:type="gramEnd"/>
      <w:r w:rsidRPr="007576F0">
        <w:rPr>
          <w:rFonts w:ascii="標楷體" w:eastAsia="標楷體" w:hAnsi="標楷體"/>
          <w:szCs w:val="24"/>
        </w:rPr>
        <w:t>使用，除因病人使用後，發生嚴重不良反應或耐受不良之情形外，不得互換。(108/7/1、108/12/1、111/8/1、112/11/1)</w:t>
      </w:r>
    </w:p>
    <w:p w14:paraId="49435F1B" w14:textId="77777777" w:rsidR="007576F0" w:rsidRPr="007576F0" w:rsidRDefault="007576F0" w:rsidP="002144EC">
      <w:pPr>
        <w:numPr>
          <w:ilvl w:val="0"/>
          <w:numId w:val="198"/>
        </w:numPr>
        <w:suppressAutoHyphens w:val="0"/>
        <w:spacing w:line="300" w:lineRule="exact"/>
        <w:ind w:left="991"/>
        <w:textAlignment w:val="auto"/>
        <w:rPr>
          <w:rFonts w:ascii="標楷體" w:eastAsia="標楷體" w:hAnsi="標楷體"/>
          <w:szCs w:val="24"/>
        </w:rPr>
      </w:pPr>
      <w:proofErr w:type="spellStart"/>
      <w:r w:rsidRPr="007576F0">
        <w:rPr>
          <w:rFonts w:ascii="標楷體" w:eastAsia="標楷體" w:hAnsi="標楷體"/>
          <w:szCs w:val="24"/>
        </w:rPr>
        <w:t>Crizotinib</w:t>
      </w:r>
      <w:proofErr w:type="spellEnd"/>
      <w:r w:rsidRPr="007576F0">
        <w:rPr>
          <w:rFonts w:ascii="標楷體" w:eastAsia="標楷體" w:hAnsi="標楷體"/>
          <w:szCs w:val="24"/>
        </w:rPr>
        <w:t>與</w:t>
      </w:r>
      <w:proofErr w:type="spellStart"/>
      <w:r w:rsidRPr="007576F0">
        <w:rPr>
          <w:rFonts w:ascii="標楷體" w:eastAsia="標楷體" w:hAnsi="標楷體"/>
          <w:szCs w:val="24"/>
        </w:rPr>
        <w:t>entrectinib</w:t>
      </w:r>
      <w:proofErr w:type="spellEnd"/>
      <w:r w:rsidRPr="007576F0">
        <w:rPr>
          <w:rFonts w:ascii="標楷體" w:eastAsia="標楷體" w:hAnsi="標楷體"/>
          <w:szCs w:val="24"/>
        </w:rPr>
        <w:t>用於ROS-1陽性之晚期非小細胞肺癌時，僅得擇</w:t>
      </w:r>
      <w:proofErr w:type="gramStart"/>
      <w:r w:rsidRPr="007576F0">
        <w:rPr>
          <w:rFonts w:ascii="標楷體" w:eastAsia="標楷體" w:hAnsi="標楷體"/>
          <w:szCs w:val="24"/>
        </w:rPr>
        <w:t>一</w:t>
      </w:r>
      <w:proofErr w:type="gramEnd"/>
      <w:r w:rsidRPr="007576F0">
        <w:rPr>
          <w:rFonts w:ascii="標楷體" w:eastAsia="標楷體" w:hAnsi="標楷體"/>
          <w:szCs w:val="24"/>
        </w:rPr>
        <w:t>使用，除因病人使用後，發生嚴重不良反應或耐受不良之情形外，不得互換。(110/7/1)</w:t>
      </w:r>
    </w:p>
    <w:p w14:paraId="38A47264" w14:textId="77777777" w:rsidR="007576F0" w:rsidRPr="007576F0" w:rsidRDefault="007576F0" w:rsidP="002144EC">
      <w:pPr>
        <w:numPr>
          <w:ilvl w:val="0"/>
          <w:numId w:val="198"/>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每日最大劑量限500mg。(108/9/1)</w:t>
      </w:r>
    </w:p>
    <w:p w14:paraId="17C5292B" w14:textId="77777777" w:rsidR="007576F0" w:rsidRPr="007576F0" w:rsidRDefault="007576F0" w:rsidP="007576F0">
      <w:pPr>
        <w:spacing w:line="300" w:lineRule="exact"/>
        <w:ind w:left="566" w:hanging="283"/>
        <w:rPr>
          <w:rFonts w:ascii="標楷體" w:eastAsia="標楷體" w:hAnsi="標楷體"/>
          <w:color w:val="000000"/>
        </w:rPr>
      </w:pPr>
      <w:bookmarkStart w:id="46" w:name="_Hlk230358315"/>
      <w:r w:rsidRPr="007576F0">
        <w:rPr>
          <w:rFonts w:ascii="標楷體" w:eastAsia="標楷體" w:hAnsi="標楷體"/>
          <w:color w:val="000000"/>
        </w:rPr>
        <w:t>9.51.Regorafenib</w:t>
      </w:r>
      <w:r w:rsidRPr="007576F0">
        <w:rPr>
          <w:rFonts w:ascii="標楷體" w:eastAsia="標楷體" w:hAnsi="標楷體" w:hint="eastAsia"/>
          <w:color w:val="000000"/>
        </w:rPr>
        <w:t>（如</w:t>
      </w:r>
      <w:proofErr w:type="spellStart"/>
      <w:r w:rsidRPr="007576F0">
        <w:rPr>
          <w:rFonts w:ascii="標楷體" w:eastAsia="標楷體" w:hAnsi="標楷體"/>
          <w:color w:val="000000"/>
        </w:rPr>
        <w:t>Stivarga</w:t>
      </w:r>
      <w:proofErr w:type="spellEnd"/>
      <w:r w:rsidRPr="007576F0">
        <w:rPr>
          <w:rFonts w:ascii="標楷體" w:eastAsia="標楷體" w:hAnsi="標楷體" w:hint="eastAsia"/>
          <w:color w:val="000000"/>
        </w:rPr>
        <w:t>）：（</w:t>
      </w:r>
      <w:r w:rsidRPr="007576F0">
        <w:rPr>
          <w:rFonts w:ascii="標楷體" w:eastAsia="標楷體" w:hAnsi="標楷體"/>
          <w:color w:val="000000"/>
        </w:rPr>
        <w:t>104/9/1</w:t>
      </w:r>
      <w:r w:rsidRPr="007576F0">
        <w:rPr>
          <w:rFonts w:ascii="標楷體" w:eastAsia="標楷體" w:hAnsi="標楷體" w:hint="eastAsia"/>
          <w:color w:val="000000"/>
        </w:rPr>
        <w:t>、</w:t>
      </w:r>
      <w:r w:rsidRPr="007576F0">
        <w:rPr>
          <w:rFonts w:ascii="標楷體" w:eastAsia="標楷體" w:hAnsi="標楷體"/>
          <w:color w:val="000000"/>
        </w:rPr>
        <w:t>105/8/1</w:t>
      </w:r>
      <w:r w:rsidRPr="007576F0">
        <w:rPr>
          <w:rFonts w:ascii="標楷體" w:eastAsia="標楷體" w:hAnsi="標楷體" w:hint="eastAsia"/>
          <w:color w:val="000000"/>
        </w:rPr>
        <w:t>、</w:t>
      </w:r>
      <w:r w:rsidRPr="007576F0">
        <w:rPr>
          <w:rFonts w:ascii="標楷體" w:eastAsia="標楷體" w:hAnsi="標楷體"/>
          <w:color w:val="000000"/>
        </w:rPr>
        <w:t>107/12/1</w:t>
      </w:r>
      <w:r w:rsidRPr="007576F0">
        <w:rPr>
          <w:rFonts w:ascii="標楷體" w:eastAsia="標楷體" w:hAnsi="標楷體" w:hint="eastAsia"/>
          <w:color w:val="000000"/>
        </w:rPr>
        <w:t>、</w:t>
      </w:r>
      <w:r w:rsidRPr="007576F0">
        <w:rPr>
          <w:rFonts w:ascii="標楷體" w:eastAsia="標楷體" w:hAnsi="標楷體"/>
          <w:color w:val="000000"/>
        </w:rPr>
        <w:t>108/6/1</w:t>
      </w:r>
      <w:r w:rsidRPr="007576F0">
        <w:rPr>
          <w:rFonts w:ascii="標楷體" w:eastAsia="標楷體" w:hAnsi="標楷體" w:hint="eastAsia"/>
          <w:color w:val="000000"/>
        </w:rPr>
        <w:t>、</w:t>
      </w:r>
      <w:r w:rsidRPr="007576F0">
        <w:rPr>
          <w:rFonts w:ascii="標楷體" w:eastAsia="標楷體" w:hAnsi="標楷體"/>
          <w:color w:val="000000"/>
        </w:rPr>
        <w:t>110/5/1</w:t>
      </w:r>
      <w:r w:rsidRPr="007576F0">
        <w:rPr>
          <w:rFonts w:ascii="標楷體" w:eastAsia="標楷體" w:hAnsi="標楷體" w:hint="eastAsia"/>
          <w:color w:val="000000"/>
        </w:rPr>
        <w:t>、</w:t>
      </w:r>
      <w:r w:rsidRPr="007576F0">
        <w:rPr>
          <w:rFonts w:ascii="標楷體" w:eastAsia="標楷體" w:hAnsi="標楷體"/>
          <w:color w:val="000000"/>
        </w:rPr>
        <w:t>110/6/1</w:t>
      </w:r>
      <w:r w:rsidRPr="007576F0">
        <w:rPr>
          <w:rFonts w:ascii="標楷體" w:eastAsia="標楷體" w:hAnsi="標楷體" w:hint="eastAsia"/>
          <w:color w:val="000000"/>
        </w:rPr>
        <w:t>、</w:t>
      </w:r>
      <w:r w:rsidRPr="007576F0">
        <w:rPr>
          <w:rFonts w:ascii="標楷體" w:eastAsia="標楷體" w:hAnsi="標楷體"/>
          <w:color w:val="000000"/>
        </w:rPr>
        <w:t>113/6/1</w:t>
      </w:r>
      <w:r w:rsidRPr="007576F0">
        <w:rPr>
          <w:rFonts w:ascii="標楷體" w:eastAsia="標楷體" w:hAnsi="標楷體" w:hint="eastAsia"/>
          <w:color w:val="000000"/>
        </w:rPr>
        <w:t>）</w:t>
      </w:r>
    </w:p>
    <w:p w14:paraId="01C90B00" w14:textId="77777777" w:rsidR="007576F0" w:rsidRPr="007576F0" w:rsidRDefault="007576F0" w:rsidP="007576F0">
      <w:pPr>
        <w:autoSpaceDE w:val="0"/>
        <w:spacing w:line="300" w:lineRule="exact"/>
        <w:ind w:leftChars="59" w:left="142" w:firstLineChars="177" w:firstLine="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1.</w:t>
      </w:r>
      <w:r w:rsidRPr="007576F0">
        <w:rPr>
          <w:rFonts w:ascii="標楷體" w:eastAsia="標楷體" w:hAnsi="標楷體" w:cs="標楷體.鬁..." w:hint="eastAsia"/>
          <w:color w:val="000000"/>
          <w:kern w:val="0"/>
          <w:szCs w:val="24"/>
        </w:rPr>
        <w:t>轉移性大腸直腸癌</w:t>
      </w:r>
      <w:r w:rsidRPr="007576F0">
        <w:rPr>
          <w:rFonts w:ascii="標楷體" w:eastAsia="標楷體" w:hAnsi="標楷體" w:cs="標楷體.鬁..."/>
          <w:color w:val="000000"/>
          <w:kern w:val="0"/>
          <w:szCs w:val="24"/>
        </w:rPr>
        <w:t>(mCRC)</w:t>
      </w:r>
      <w:r w:rsidRPr="007576F0">
        <w:rPr>
          <w:rFonts w:ascii="標楷體" w:eastAsia="標楷體" w:hAnsi="標楷體" w:cs="標楷體.鬁..." w:hint="eastAsia"/>
          <w:color w:val="000000"/>
          <w:kern w:val="0"/>
          <w:szCs w:val="24"/>
        </w:rPr>
        <w:t>：</w:t>
      </w:r>
    </w:p>
    <w:p w14:paraId="18B7B134" w14:textId="77777777" w:rsidR="007576F0" w:rsidRPr="007576F0" w:rsidRDefault="007576F0" w:rsidP="007576F0">
      <w:pPr>
        <w:autoSpaceDE w:val="0"/>
        <w:spacing w:line="300" w:lineRule="exact"/>
        <w:ind w:leftChars="295" w:left="1133" w:hangingChars="177" w:hanging="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(1)</w:t>
      </w:r>
      <w:r w:rsidRPr="007576F0">
        <w:rPr>
          <w:rFonts w:ascii="標楷體" w:eastAsia="標楷體" w:hAnsi="標楷體" w:cs="標楷體.鬁..." w:hint="eastAsia"/>
          <w:color w:val="000000"/>
          <w:kern w:val="0"/>
          <w:szCs w:val="24"/>
        </w:rPr>
        <w:t>用於治療先前曾接受下列療法的轉移性大腸直腸癌</w:t>
      </w:r>
      <w:r w:rsidRPr="007576F0">
        <w:rPr>
          <w:rFonts w:ascii="標楷體" w:eastAsia="標楷體" w:hAnsi="標楷體" w:cs="標楷體.鬁..."/>
          <w:color w:val="000000"/>
          <w:kern w:val="0"/>
          <w:szCs w:val="24"/>
        </w:rPr>
        <w:t>(mCRC)</w:t>
      </w:r>
      <w:r w:rsidRPr="007576F0">
        <w:rPr>
          <w:rFonts w:ascii="標楷體" w:eastAsia="標楷體" w:hAnsi="標楷體" w:cs="標楷體.鬁..." w:hint="eastAsia"/>
          <w:color w:val="000000"/>
          <w:kern w:val="0"/>
          <w:szCs w:val="24"/>
        </w:rPr>
        <w:t>患者，療法包括</w:t>
      </w:r>
      <w:r w:rsidRPr="007576F0">
        <w:rPr>
          <w:rFonts w:ascii="標楷體" w:eastAsia="標楷體" w:hAnsi="標楷體" w:cs="標楷體.鬁..."/>
          <w:color w:val="000000"/>
          <w:kern w:val="0"/>
          <w:szCs w:val="24"/>
        </w:rPr>
        <w:t>fluoropyrimidine</w:t>
      </w:r>
      <w:r w:rsidRPr="007576F0">
        <w:rPr>
          <w:rFonts w:ascii="標楷體" w:eastAsia="標楷體" w:hAnsi="標楷體" w:cs="標楷體.鬁..." w:hint="eastAsia"/>
          <w:color w:val="000000"/>
          <w:kern w:val="0"/>
          <w:szCs w:val="24"/>
        </w:rPr>
        <w:t>、</w:t>
      </w:r>
      <w:r w:rsidRPr="007576F0">
        <w:rPr>
          <w:rFonts w:ascii="標楷體" w:eastAsia="標楷體" w:hAnsi="標楷體" w:cs="標楷體.鬁..."/>
          <w:color w:val="000000"/>
          <w:kern w:val="0"/>
          <w:szCs w:val="24"/>
        </w:rPr>
        <w:t>oxaliplatin</w:t>
      </w:r>
      <w:r w:rsidRPr="007576F0">
        <w:rPr>
          <w:rFonts w:ascii="標楷體" w:eastAsia="標楷體" w:hAnsi="標楷體" w:cs="標楷體.鬁..." w:hint="eastAsia"/>
          <w:color w:val="000000"/>
          <w:kern w:val="0"/>
          <w:szCs w:val="24"/>
        </w:rPr>
        <w:t>、</w:t>
      </w:r>
      <w:r w:rsidRPr="007576F0">
        <w:rPr>
          <w:rFonts w:ascii="標楷體" w:eastAsia="標楷體" w:hAnsi="標楷體" w:cs="標楷體.鬁..."/>
          <w:color w:val="000000"/>
          <w:kern w:val="0"/>
          <w:szCs w:val="24"/>
        </w:rPr>
        <w:t>irinotecan</w:t>
      </w:r>
      <w:r w:rsidRPr="007576F0">
        <w:rPr>
          <w:rFonts w:ascii="標楷體" w:eastAsia="標楷體" w:hAnsi="標楷體" w:cs="標楷體.鬁..." w:hint="eastAsia"/>
          <w:color w:val="000000"/>
          <w:kern w:val="0"/>
          <w:szCs w:val="24"/>
        </w:rPr>
        <w:t>為基礎的化療，和抗血管內皮生長因子</w:t>
      </w:r>
      <w:r w:rsidRPr="007576F0">
        <w:rPr>
          <w:rFonts w:ascii="標楷體" w:eastAsia="標楷體" w:hAnsi="標楷體" w:cs="標楷體.鬁..."/>
          <w:color w:val="000000"/>
          <w:kern w:val="0"/>
          <w:szCs w:val="24"/>
        </w:rPr>
        <w:t>(anti-VEGF)</w:t>
      </w:r>
      <w:r w:rsidRPr="007576F0">
        <w:rPr>
          <w:rFonts w:ascii="標楷體" w:eastAsia="標楷體" w:hAnsi="標楷體" w:cs="標楷體.鬁..." w:hint="eastAsia"/>
          <w:color w:val="000000"/>
          <w:kern w:val="0"/>
          <w:szCs w:val="24"/>
        </w:rPr>
        <w:t>等療法；若</w:t>
      </w:r>
      <w:r w:rsidRPr="007576F0">
        <w:rPr>
          <w:rFonts w:ascii="標楷體" w:eastAsia="標楷體" w:hAnsi="標楷體" w:cs="標楷體.鬁..."/>
          <w:color w:val="000000"/>
          <w:kern w:val="0"/>
          <w:szCs w:val="24"/>
        </w:rPr>
        <w:t>K-</w:t>
      </w:r>
      <w:proofErr w:type="spellStart"/>
      <w:r w:rsidRPr="007576F0">
        <w:rPr>
          <w:rFonts w:ascii="標楷體" w:eastAsia="標楷體" w:hAnsi="標楷體" w:cs="標楷體.鬁..."/>
          <w:color w:val="000000"/>
          <w:kern w:val="0"/>
          <w:szCs w:val="24"/>
        </w:rPr>
        <w:t>ras</w:t>
      </w:r>
      <w:proofErr w:type="spellEnd"/>
      <w:r w:rsidRPr="007576F0">
        <w:rPr>
          <w:rFonts w:ascii="標楷體" w:eastAsia="標楷體" w:hAnsi="標楷體" w:cs="標楷體.鬁..." w:hint="eastAsia"/>
          <w:color w:val="000000"/>
          <w:kern w:val="0"/>
          <w:szCs w:val="24"/>
        </w:rPr>
        <w:t>為</w:t>
      </w:r>
      <w:proofErr w:type="gramStart"/>
      <w:r w:rsidRPr="007576F0">
        <w:rPr>
          <w:rFonts w:ascii="標楷體" w:eastAsia="標楷體" w:hAnsi="標楷體" w:cs="標楷體.鬁..." w:hint="eastAsia"/>
          <w:color w:val="000000"/>
          <w:kern w:val="0"/>
          <w:szCs w:val="24"/>
        </w:rPr>
        <w:t>原生型</w:t>
      </w:r>
      <w:proofErr w:type="gramEnd"/>
      <w:r w:rsidRPr="007576F0">
        <w:rPr>
          <w:rFonts w:ascii="標楷體" w:eastAsia="標楷體" w:hAnsi="標楷體" w:cs="標楷體.鬁..."/>
          <w:color w:val="000000"/>
          <w:kern w:val="0"/>
          <w:szCs w:val="24"/>
        </w:rPr>
        <w:t>(wild type)</w:t>
      </w:r>
      <w:r w:rsidRPr="007576F0">
        <w:rPr>
          <w:rFonts w:ascii="標楷體" w:eastAsia="標楷體" w:hAnsi="標楷體" w:cs="標楷體.鬁..." w:hint="eastAsia"/>
          <w:color w:val="000000"/>
          <w:kern w:val="0"/>
          <w:szCs w:val="24"/>
        </w:rPr>
        <w:t>，則需再加上</w:t>
      </w:r>
      <w:proofErr w:type="gramStart"/>
      <w:r w:rsidRPr="007576F0">
        <w:rPr>
          <w:rFonts w:ascii="標楷體" w:eastAsia="標楷體" w:hAnsi="標楷體" w:cs="標楷體.鬁..." w:hint="eastAsia"/>
          <w:color w:val="000000"/>
          <w:kern w:val="0"/>
          <w:szCs w:val="24"/>
        </w:rPr>
        <w:t>接受過抗表皮</w:t>
      </w:r>
      <w:proofErr w:type="gramEnd"/>
      <w:r w:rsidRPr="007576F0">
        <w:rPr>
          <w:rFonts w:ascii="標楷體" w:eastAsia="標楷體" w:hAnsi="標楷體" w:cs="標楷體.鬁..." w:hint="eastAsia"/>
          <w:color w:val="000000"/>
          <w:kern w:val="0"/>
          <w:szCs w:val="24"/>
        </w:rPr>
        <w:t>生長因子受體</w:t>
      </w:r>
      <w:r w:rsidRPr="007576F0">
        <w:rPr>
          <w:rFonts w:ascii="標楷體" w:eastAsia="標楷體" w:hAnsi="標楷體" w:cs="標楷體.鬁..."/>
          <w:color w:val="000000"/>
          <w:kern w:val="0"/>
          <w:szCs w:val="24"/>
        </w:rPr>
        <w:t>(anti-EGFR)</w:t>
      </w:r>
      <w:r w:rsidRPr="007576F0">
        <w:rPr>
          <w:rFonts w:ascii="標楷體" w:eastAsia="標楷體" w:hAnsi="標楷體" w:cs="標楷體.鬁..." w:hint="eastAsia"/>
          <w:color w:val="000000"/>
          <w:kern w:val="0"/>
          <w:szCs w:val="24"/>
        </w:rPr>
        <w:t>療法。需檢附</w:t>
      </w:r>
      <w:r w:rsidRPr="007576F0">
        <w:rPr>
          <w:rFonts w:ascii="標楷體" w:eastAsia="標楷體" w:hAnsi="標楷體" w:cs="標楷體.鬁..."/>
          <w:color w:val="000000"/>
          <w:kern w:val="0"/>
          <w:szCs w:val="24"/>
        </w:rPr>
        <w:t>All-RAS</w:t>
      </w:r>
      <w:r w:rsidRPr="007576F0">
        <w:rPr>
          <w:rFonts w:ascii="標楷體" w:eastAsia="標楷體" w:hAnsi="標楷體" w:cs="標楷體.鬁..." w:hint="eastAsia"/>
          <w:color w:val="000000"/>
          <w:kern w:val="0"/>
          <w:szCs w:val="24"/>
        </w:rPr>
        <w:t>基因突變分析檢測結果報告，且需符合全民健康保險藥品給付規定之通則十二。（</w:t>
      </w:r>
      <w:r w:rsidRPr="007576F0">
        <w:rPr>
          <w:rFonts w:ascii="標楷體" w:eastAsia="標楷體" w:hAnsi="標楷體" w:cs="標楷體.鬁..."/>
          <w:color w:val="000000"/>
          <w:kern w:val="0"/>
          <w:szCs w:val="24"/>
        </w:rPr>
        <w:t>110/6/1</w:t>
      </w:r>
      <w:r w:rsidRPr="007576F0">
        <w:rPr>
          <w:rFonts w:ascii="標楷體" w:eastAsia="標楷體" w:hAnsi="標楷體" w:cs="標楷體.鬁..." w:hint="eastAsia"/>
          <w:color w:val="000000"/>
          <w:kern w:val="0"/>
          <w:szCs w:val="24"/>
        </w:rPr>
        <w:t>、</w:t>
      </w:r>
      <w:r w:rsidRPr="007576F0">
        <w:rPr>
          <w:rFonts w:ascii="標楷體" w:eastAsia="標楷體" w:hAnsi="標楷體" w:cs="標楷體.鬁..."/>
          <w:color w:val="000000"/>
          <w:kern w:val="0"/>
          <w:szCs w:val="24"/>
        </w:rPr>
        <w:t>113/6/1</w:t>
      </w:r>
      <w:r w:rsidRPr="007576F0">
        <w:rPr>
          <w:rFonts w:ascii="標楷體" w:eastAsia="標楷體" w:hAnsi="標楷體" w:cs="標楷體.鬁..." w:hint="eastAsia"/>
          <w:color w:val="000000"/>
          <w:kern w:val="0"/>
          <w:szCs w:val="24"/>
        </w:rPr>
        <w:t>）</w:t>
      </w:r>
    </w:p>
    <w:p w14:paraId="5A15E631" w14:textId="77777777" w:rsidR="007576F0" w:rsidRPr="007576F0" w:rsidRDefault="007576F0" w:rsidP="007576F0">
      <w:pPr>
        <w:autoSpaceDE w:val="0"/>
        <w:spacing w:line="300" w:lineRule="exact"/>
        <w:ind w:leftChars="295" w:left="1133" w:hangingChars="177" w:hanging="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(2)</w:t>
      </w:r>
      <w:r w:rsidRPr="007576F0">
        <w:rPr>
          <w:rFonts w:ascii="標楷體" w:eastAsia="標楷體" w:hAnsi="標楷體" w:cs="標楷體.鬁..." w:hint="eastAsia"/>
          <w:color w:val="000000"/>
          <w:kern w:val="0"/>
          <w:szCs w:val="24"/>
        </w:rPr>
        <w:t>須經事前審查核准後使用，每次申請事前審查之療程以</w:t>
      </w:r>
      <w:r w:rsidRPr="007576F0">
        <w:rPr>
          <w:rFonts w:ascii="標楷體" w:eastAsia="標楷體" w:hAnsi="標楷體" w:cs="標楷體.鬁..."/>
          <w:color w:val="000000"/>
          <w:kern w:val="0"/>
          <w:szCs w:val="24"/>
        </w:rPr>
        <w:t>8</w:t>
      </w:r>
      <w:proofErr w:type="gramStart"/>
      <w:r w:rsidRPr="007576F0">
        <w:rPr>
          <w:rFonts w:ascii="標楷體" w:eastAsia="標楷體" w:hAnsi="標楷體" w:cs="標楷體.鬁..." w:hint="eastAsia"/>
          <w:color w:val="000000"/>
          <w:kern w:val="0"/>
          <w:szCs w:val="24"/>
        </w:rPr>
        <w:t>週</w:t>
      </w:r>
      <w:proofErr w:type="gramEnd"/>
      <w:r w:rsidRPr="007576F0">
        <w:rPr>
          <w:rFonts w:ascii="標楷體" w:eastAsia="標楷體" w:hAnsi="標楷體" w:cs="標楷體.鬁..." w:hint="eastAsia"/>
          <w:color w:val="000000"/>
          <w:kern w:val="0"/>
          <w:szCs w:val="24"/>
        </w:rPr>
        <w:t>為限，再次申請必須提出客觀證據</w:t>
      </w:r>
      <w:proofErr w:type="gramStart"/>
      <w:r w:rsidRPr="007576F0">
        <w:rPr>
          <w:rFonts w:ascii="標楷體" w:eastAsia="標楷體" w:hAnsi="標楷體" w:cs="標楷體.鬁..." w:hint="eastAsia"/>
          <w:color w:val="000000"/>
          <w:kern w:val="0"/>
          <w:szCs w:val="24"/>
        </w:rPr>
        <w:t>（</w:t>
      </w:r>
      <w:proofErr w:type="gramEnd"/>
      <w:r w:rsidRPr="007576F0">
        <w:rPr>
          <w:rFonts w:ascii="標楷體" w:eastAsia="標楷體" w:hAnsi="標楷體" w:cs="標楷體.鬁..." w:hint="eastAsia"/>
          <w:color w:val="000000"/>
          <w:kern w:val="0"/>
          <w:szCs w:val="24"/>
        </w:rPr>
        <w:t>如：影像學</w:t>
      </w:r>
      <w:proofErr w:type="gramStart"/>
      <w:r w:rsidRPr="007576F0">
        <w:rPr>
          <w:rFonts w:ascii="標楷體" w:eastAsia="標楷體" w:hAnsi="標楷體" w:cs="標楷體.鬁..." w:hint="eastAsia"/>
          <w:color w:val="000000"/>
          <w:kern w:val="0"/>
          <w:szCs w:val="24"/>
        </w:rPr>
        <w:t>）</w:t>
      </w:r>
      <w:proofErr w:type="gramEnd"/>
      <w:r w:rsidRPr="007576F0">
        <w:rPr>
          <w:rFonts w:ascii="標楷體" w:eastAsia="標楷體" w:hAnsi="標楷體" w:cs="標楷體.鬁..." w:hint="eastAsia"/>
          <w:color w:val="000000"/>
          <w:kern w:val="0"/>
          <w:szCs w:val="24"/>
        </w:rPr>
        <w:t>證實無惡化，才可繼續使用。</w:t>
      </w:r>
    </w:p>
    <w:p w14:paraId="152CCF87" w14:textId="77777777" w:rsidR="007576F0" w:rsidRPr="007576F0" w:rsidRDefault="007576F0" w:rsidP="007576F0">
      <w:pPr>
        <w:autoSpaceDE w:val="0"/>
        <w:spacing w:line="300" w:lineRule="exact"/>
        <w:ind w:leftChars="59" w:left="142" w:firstLineChars="177" w:firstLine="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2.</w:t>
      </w:r>
      <w:r w:rsidRPr="007576F0">
        <w:rPr>
          <w:rFonts w:ascii="標楷體" w:eastAsia="標楷體" w:hAnsi="標楷體" w:cs="標楷體.鬁..." w:hint="eastAsia"/>
          <w:color w:val="000000"/>
          <w:kern w:val="0"/>
          <w:szCs w:val="24"/>
        </w:rPr>
        <w:t>胃腸道</w:t>
      </w:r>
      <w:proofErr w:type="gramStart"/>
      <w:r w:rsidRPr="007576F0">
        <w:rPr>
          <w:rFonts w:ascii="標楷體" w:eastAsia="標楷體" w:hAnsi="標楷體" w:cs="標楷體.鬁..." w:hint="eastAsia"/>
          <w:color w:val="000000"/>
          <w:kern w:val="0"/>
          <w:szCs w:val="24"/>
        </w:rPr>
        <w:t>間質瘤</w:t>
      </w:r>
      <w:proofErr w:type="gramEnd"/>
      <w:r w:rsidRPr="007576F0">
        <w:rPr>
          <w:rFonts w:ascii="標楷體" w:eastAsia="標楷體" w:hAnsi="標楷體" w:cs="標楷體.鬁..."/>
          <w:color w:val="000000"/>
          <w:kern w:val="0"/>
          <w:szCs w:val="24"/>
        </w:rPr>
        <w:t>(GIST) (105/8/1</w:t>
      </w:r>
      <w:proofErr w:type="gramStart"/>
      <w:r w:rsidRPr="007576F0">
        <w:rPr>
          <w:rFonts w:ascii="標楷體" w:eastAsia="標楷體" w:hAnsi="標楷體" w:cs="標楷體.鬁..." w:hint="eastAsia"/>
          <w:color w:val="000000"/>
          <w:kern w:val="0"/>
          <w:szCs w:val="24"/>
        </w:rPr>
        <w:t>）</w:t>
      </w:r>
      <w:proofErr w:type="gramEnd"/>
    </w:p>
    <w:p w14:paraId="73222CD5" w14:textId="77777777" w:rsidR="007576F0" w:rsidRPr="007576F0" w:rsidRDefault="007576F0" w:rsidP="007576F0">
      <w:pPr>
        <w:autoSpaceDE w:val="0"/>
        <w:spacing w:line="300" w:lineRule="exact"/>
        <w:ind w:leftChars="295" w:left="1133" w:hangingChars="177" w:hanging="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(1)</w:t>
      </w:r>
      <w:r w:rsidRPr="007576F0">
        <w:rPr>
          <w:rFonts w:ascii="標楷體" w:eastAsia="標楷體" w:hAnsi="標楷體" w:cs="標楷體.鬁..." w:hint="eastAsia"/>
          <w:color w:val="000000"/>
          <w:kern w:val="0"/>
          <w:szCs w:val="24"/>
        </w:rPr>
        <w:t>先前曾接受</w:t>
      </w:r>
      <w:r w:rsidRPr="007576F0">
        <w:rPr>
          <w:rFonts w:ascii="標楷體" w:eastAsia="標楷體" w:hAnsi="標楷體" w:cs="標楷體.鬁..."/>
          <w:color w:val="000000"/>
          <w:kern w:val="0"/>
          <w:szCs w:val="24"/>
        </w:rPr>
        <w:t>imatinib</w:t>
      </w:r>
      <w:r w:rsidRPr="007576F0">
        <w:rPr>
          <w:rFonts w:ascii="標楷體" w:eastAsia="標楷體" w:hAnsi="標楷體" w:cs="標楷體.鬁..." w:hint="eastAsia"/>
          <w:color w:val="000000"/>
          <w:kern w:val="0"/>
          <w:szCs w:val="24"/>
        </w:rPr>
        <w:t>與</w:t>
      </w:r>
      <w:r w:rsidRPr="007576F0">
        <w:rPr>
          <w:rFonts w:ascii="標楷體" w:eastAsia="標楷體" w:hAnsi="標楷體" w:cs="標楷體.鬁..."/>
          <w:color w:val="000000"/>
          <w:kern w:val="0"/>
          <w:szCs w:val="24"/>
        </w:rPr>
        <w:t>sunitinib</w:t>
      </w:r>
      <w:r w:rsidRPr="007576F0">
        <w:rPr>
          <w:rFonts w:ascii="標楷體" w:eastAsia="標楷體" w:hAnsi="標楷體" w:cs="標楷體.鬁..." w:hint="eastAsia"/>
          <w:color w:val="000000"/>
          <w:kern w:val="0"/>
          <w:szCs w:val="24"/>
        </w:rPr>
        <w:t>治療的局部晚期、無法切除或轉移性的胃腸道</w:t>
      </w:r>
      <w:proofErr w:type="gramStart"/>
      <w:r w:rsidRPr="007576F0">
        <w:rPr>
          <w:rFonts w:ascii="標楷體" w:eastAsia="標楷體" w:hAnsi="標楷體" w:cs="標楷體.鬁..." w:hint="eastAsia"/>
          <w:color w:val="000000"/>
          <w:kern w:val="0"/>
          <w:szCs w:val="24"/>
        </w:rPr>
        <w:t>間</w:t>
      </w:r>
      <w:r w:rsidRPr="007576F0">
        <w:rPr>
          <w:rFonts w:ascii="標楷體" w:eastAsia="標楷體" w:hAnsi="標楷體" w:cs="標楷體.鬁..." w:hint="eastAsia"/>
          <w:color w:val="000000"/>
          <w:kern w:val="0"/>
          <w:szCs w:val="24"/>
        </w:rPr>
        <w:lastRenderedPageBreak/>
        <w:t>質瘤</w:t>
      </w:r>
      <w:proofErr w:type="gramEnd"/>
      <w:r w:rsidRPr="007576F0">
        <w:rPr>
          <w:rFonts w:ascii="標楷體" w:eastAsia="標楷體" w:hAnsi="標楷體" w:cs="標楷體.鬁..." w:hint="eastAsia"/>
          <w:color w:val="000000"/>
          <w:kern w:val="0"/>
          <w:szCs w:val="24"/>
        </w:rPr>
        <w:t>患者。</w:t>
      </w:r>
    </w:p>
    <w:p w14:paraId="011EC977" w14:textId="77777777" w:rsidR="007576F0" w:rsidRPr="007576F0" w:rsidRDefault="007576F0" w:rsidP="007576F0">
      <w:pPr>
        <w:autoSpaceDE w:val="0"/>
        <w:spacing w:line="300" w:lineRule="exact"/>
        <w:ind w:leftChars="295" w:left="1133" w:hangingChars="177" w:hanging="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(2)</w:t>
      </w:r>
      <w:r w:rsidRPr="007576F0">
        <w:rPr>
          <w:rFonts w:ascii="標楷體" w:eastAsia="標楷體" w:hAnsi="標楷體" w:cs="標楷體.鬁..." w:hint="eastAsia"/>
          <w:color w:val="000000"/>
          <w:kern w:val="0"/>
          <w:szCs w:val="24"/>
        </w:rPr>
        <w:t>需經事前審查核准後使用，每次申請之療程以</w:t>
      </w:r>
      <w:r w:rsidRPr="007576F0">
        <w:rPr>
          <w:rFonts w:ascii="標楷體" w:eastAsia="標楷體" w:hAnsi="標楷體" w:cs="標楷體.鬁..."/>
          <w:color w:val="000000"/>
          <w:kern w:val="0"/>
          <w:szCs w:val="24"/>
        </w:rPr>
        <w:t>3</w:t>
      </w:r>
      <w:r w:rsidRPr="007576F0">
        <w:rPr>
          <w:rFonts w:ascii="標楷體" w:eastAsia="標楷體" w:hAnsi="標楷體" w:cs="標楷體.鬁..." w:hint="eastAsia"/>
          <w:color w:val="000000"/>
          <w:kern w:val="0"/>
          <w:szCs w:val="24"/>
        </w:rPr>
        <w:t>個月為限，送審時需檢送影像資料，每</w:t>
      </w:r>
      <w:r w:rsidRPr="007576F0">
        <w:rPr>
          <w:rFonts w:ascii="標楷體" w:eastAsia="標楷體" w:hAnsi="標楷體" w:cs="標楷體.鬁..."/>
          <w:color w:val="000000"/>
          <w:kern w:val="0"/>
          <w:szCs w:val="24"/>
        </w:rPr>
        <w:t>3</w:t>
      </w:r>
      <w:r w:rsidRPr="007576F0">
        <w:rPr>
          <w:rFonts w:ascii="標楷體" w:eastAsia="標楷體" w:hAnsi="標楷體" w:cs="標楷體.鬁..." w:hint="eastAsia"/>
          <w:color w:val="000000"/>
          <w:kern w:val="0"/>
          <w:szCs w:val="24"/>
        </w:rPr>
        <w:t>個月評估一次。</w:t>
      </w:r>
    </w:p>
    <w:p w14:paraId="152384DE" w14:textId="77777777" w:rsidR="007576F0" w:rsidRPr="007576F0" w:rsidRDefault="007576F0" w:rsidP="007576F0">
      <w:pPr>
        <w:autoSpaceDE w:val="0"/>
        <w:spacing w:line="300" w:lineRule="exact"/>
        <w:ind w:leftChars="59" w:left="142" w:firstLineChars="177" w:firstLine="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3.</w:t>
      </w:r>
      <w:r w:rsidRPr="007576F0">
        <w:rPr>
          <w:rFonts w:ascii="標楷體" w:eastAsia="標楷體" w:hAnsi="標楷體" w:cs="標楷體.鬁..." w:hint="eastAsia"/>
          <w:color w:val="000000"/>
          <w:kern w:val="0"/>
          <w:szCs w:val="24"/>
        </w:rPr>
        <w:t>肝細胞癌</w:t>
      </w:r>
      <w:r w:rsidRPr="007576F0">
        <w:rPr>
          <w:rFonts w:ascii="標楷體" w:eastAsia="標楷體" w:hAnsi="標楷體" w:cs="標楷體.鬁..."/>
          <w:color w:val="000000"/>
          <w:kern w:val="0"/>
          <w:szCs w:val="24"/>
        </w:rPr>
        <w:t>(HCC)</w:t>
      </w:r>
      <w:r w:rsidRPr="007576F0">
        <w:rPr>
          <w:rFonts w:ascii="標楷體" w:eastAsia="標楷體" w:hAnsi="標楷體" w:cs="標楷體.鬁..." w:hint="eastAsia"/>
          <w:color w:val="000000"/>
          <w:kern w:val="0"/>
          <w:szCs w:val="24"/>
        </w:rPr>
        <w:t>：</w:t>
      </w:r>
      <w:r w:rsidRPr="007576F0">
        <w:rPr>
          <w:rFonts w:ascii="標楷體" w:eastAsia="標楷體" w:hAnsi="標楷體" w:cs="標楷體.鬁..."/>
          <w:color w:val="000000"/>
          <w:kern w:val="0"/>
          <w:szCs w:val="24"/>
        </w:rPr>
        <w:t>(108/6/1</w:t>
      </w:r>
      <w:r w:rsidRPr="007576F0">
        <w:rPr>
          <w:rFonts w:ascii="標楷體" w:eastAsia="標楷體" w:hAnsi="標楷體" w:cs="標楷體.鬁..." w:hint="eastAsia"/>
          <w:color w:val="000000"/>
          <w:kern w:val="0"/>
          <w:szCs w:val="24"/>
        </w:rPr>
        <w:t>、</w:t>
      </w:r>
      <w:r w:rsidRPr="007576F0">
        <w:rPr>
          <w:rFonts w:ascii="標楷體" w:eastAsia="標楷體" w:hAnsi="標楷體" w:cs="標楷體.鬁..."/>
          <w:color w:val="000000"/>
          <w:kern w:val="0"/>
          <w:szCs w:val="24"/>
        </w:rPr>
        <w:t>110/5/1)</w:t>
      </w:r>
    </w:p>
    <w:p w14:paraId="0EACF9B1" w14:textId="77777777" w:rsidR="007576F0" w:rsidRPr="007576F0" w:rsidRDefault="007576F0" w:rsidP="007576F0">
      <w:pPr>
        <w:autoSpaceDE w:val="0"/>
        <w:spacing w:line="300" w:lineRule="exact"/>
        <w:ind w:leftChars="295" w:left="1133" w:hangingChars="177" w:hanging="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(1)</w:t>
      </w:r>
      <w:r w:rsidRPr="007576F0">
        <w:rPr>
          <w:rFonts w:ascii="標楷體" w:eastAsia="標楷體" w:hAnsi="標楷體" w:cs="標楷體.鬁..." w:hint="eastAsia"/>
          <w:color w:val="000000"/>
          <w:kern w:val="0"/>
          <w:szCs w:val="24"/>
        </w:rPr>
        <w:t>適用於曾接受</w:t>
      </w:r>
      <w:r w:rsidRPr="007576F0">
        <w:rPr>
          <w:rFonts w:ascii="標楷體" w:eastAsia="標楷體" w:hAnsi="標楷體" w:cs="標楷體.鬁..."/>
          <w:color w:val="000000"/>
          <w:kern w:val="0"/>
          <w:szCs w:val="24"/>
        </w:rPr>
        <w:t>sorafenib</w:t>
      </w:r>
      <w:r w:rsidRPr="007576F0">
        <w:rPr>
          <w:rFonts w:ascii="標楷體" w:eastAsia="標楷體" w:hAnsi="標楷體" w:cs="標楷體.鬁..." w:hint="eastAsia"/>
          <w:color w:val="000000"/>
          <w:kern w:val="0"/>
          <w:szCs w:val="24"/>
        </w:rPr>
        <w:t>治療失敗後之轉移性或無法手術切除且不適合局部治療或局部治療失敗之</w:t>
      </w:r>
      <w:r w:rsidRPr="007576F0">
        <w:rPr>
          <w:rFonts w:ascii="標楷體" w:eastAsia="標楷體" w:hAnsi="標楷體" w:cs="標楷體.鬁..."/>
          <w:color w:val="000000"/>
          <w:kern w:val="0"/>
          <w:szCs w:val="24"/>
        </w:rPr>
        <w:t>Child-Pugh A class</w:t>
      </w:r>
      <w:proofErr w:type="gramStart"/>
      <w:r w:rsidRPr="007576F0">
        <w:rPr>
          <w:rFonts w:ascii="標楷體" w:eastAsia="標楷體" w:hAnsi="標楷體" w:cs="標楷體.鬁..." w:hint="eastAsia"/>
          <w:color w:val="000000"/>
          <w:kern w:val="0"/>
          <w:szCs w:val="24"/>
        </w:rPr>
        <w:t>晚期肝</w:t>
      </w:r>
      <w:proofErr w:type="gramEnd"/>
      <w:r w:rsidRPr="007576F0">
        <w:rPr>
          <w:rFonts w:ascii="標楷體" w:eastAsia="標楷體" w:hAnsi="標楷體" w:cs="標楷體.鬁..." w:hint="eastAsia"/>
          <w:color w:val="000000"/>
          <w:kern w:val="0"/>
          <w:szCs w:val="24"/>
        </w:rPr>
        <w:t>細胞癌成人患者。</w:t>
      </w:r>
    </w:p>
    <w:p w14:paraId="1CF3AD65" w14:textId="77777777" w:rsidR="007576F0" w:rsidRPr="007576F0" w:rsidRDefault="007576F0" w:rsidP="007576F0">
      <w:pPr>
        <w:autoSpaceDE w:val="0"/>
        <w:spacing w:line="300" w:lineRule="exact"/>
        <w:ind w:leftChars="295" w:left="1133" w:hangingChars="177" w:hanging="425"/>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(2)</w:t>
      </w:r>
      <w:r w:rsidRPr="007576F0">
        <w:rPr>
          <w:rFonts w:ascii="標楷體" w:eastAsia="標楷體" w:hAnsi="標楷體" w:cs="標楷體.鬁..." w:hint="eastAsia"/>
          <w:color w:val="000000"/>
          <w:kern w:val="0"/>
          <w:szCs w:val="24"/>
        </w:rPr>
        <w:t>需經事前審查核准後使用，初次申請之療程以</w:t>
      </w:r>
      <w:r w:rsidRPr="007576F0">
        <w:rPr>
          <w:rFonts w:ascii="標楷體" w:eastAsia="標楷體" w:hAnsi="標楷體" w:cs="標楷體.鬁..."/>
          <w:color w:val="000000"/>
          <w:kern w:val="0"/>
          <w:szCs w:val="24"/>
        </w:rPr>
        <w:t>12</w:t>
      </w:r>
      <w:proofErr w:type="gramStart"/>
      <w:r w:rsidRPr="007576F0">
        <w:rPr>
          <w:rFonts w:ascii="標楷體" w:eastAsia="標楷體" w:hAnsi="標楷體" w:cs="標楷體.鬁..." w:hint="eastAsia"/>
          <w:color w:val="000000"/>
          <w:kern w:val="0"/>
          <w:szCs w:val="24"/>
        </w:rPr>
        <w:t>週</w:t>
      </w:r>
      <w:proofErr w:type="gramEnd"/>
      <w:r w:rsidRPr="007576F0">
        <w:rPr>
          <w:rFonts w:ascii="標楷體" w:eastAsia="標楷體" w:hAnsi="標楷體" w:cs="標楷體.鬁..." w:hint="eastAsia"/>
          <w:color w:val="000000"/>
          <w:kern w:val="0"/>
          <w:szCs w:val="24"/>
        </w:rPr>
        <w:t>為限，之後每</w:t>
      </w:r>
      <w:r w:rsidRPr="007576F0">
        <w:rPr>
          <w:rFonts w:ascii="標楷體" w:eastAsia="標楷體" w:hAnsi="標楷體" w:cs="標楷體.鬁..."/>
          <w:color w:val="000000"/>
          <w:kern w:val="0"/>
          <w:szCs w:val="24"/>
        </w:rPr>
        <w:t>8</w:t>
      </w:r>
      <w:proofErr w:type="gramStart"/>
      <w:r w:rsidRPr="007576F0">
        <w:rPr>
          <w:rFonts w:ascii="標楷體" w:eastAsia="標楷體" w:hAnsi="標楷體" w:cs="標楷體.鬁..." w:hint="eastAsia"/>
          <w:color w:val="000000"/>
          <w:kern w:val="0"/>
          <w:szCs w:val="24"/>
        </w:rPr>
        <w:t>週</w:t>
      </w:r>
      <w:proofErr w:type="gramEnd"/>
      <w:r w:rsidRPr="007576F0">
        <w:rPr>
          <w:rFonts w:ascii="標楷體" w:eastAsia="標楷體" w:hAnsi="標楷體" w:cs="標楷體.鬁..." w:hint="eastAsia"/>
          <w:color w:val="000000"/>
          <w:kern w:val="0"/>
          <w:szCs w:val="24"/>
        </w:rPr>
        <w:t>評估一次。送審時需檢送影像資料，無疾病惡化方可繼續使用。</w:t>
      </w:r>
    </w:p>
    <w:p w14:paraId="4B4FAC5B" w14:textId="77777777" w:rsidR="007576F0" w:rsidRPr="007576F0" w:rsidRDefault="007576F0" w:rsidP="007576F0">
      <w:pPr>
        <w:autoSpaceDE w:val="0"/>
        <w:spacing w:line="300" w:lineRule="exact"/>
        <w:ind w:leftChars="295" w:left="708"/>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(3)</w:t>
      </w:r>
      <w:r w:rsidRPr="007576F0">
        <w:rPr>
          <w:rFonts w:ascii="標楷體" w:eastAsia="標楷體" w:hAnsi="標楷體" w:cs="標楷體.鬁..." w:hint="eastAsia"/>
          <w:color w:val="000000"/>
          <w:kern w:val="0"/>
          <w:szCs w:val="24"/>
        </w:rPr>
        <w:t>每日至多處方</w:t>
      </w:r>
      <w:r w:rsidRPr="007576F0">
        <w:rPr>
          <w:rFonts w:ascii="標楷體" w:eastAsia="標楷體" w:hAnsi="標楷體" w:cs="標楷體.鬁..."/>
          <w:color w:val="000000"/>
          <w:kern w:val="0"/>
          <w:szCs w:val="24"/>
        </w:rPr>
        <w:t>4</w:t>
      </w:r>
      <w:r w:rsidRPr="007576F0">
        <w:rPr>
          <w:rFonts w:ascii="標楷體" w:eastAsia="標楷體" w:hAnsi="標楷體" w:cs="標楷體.鬁..." w:hint="eastAsia"/>
          <w:color w:val="000000"/>
          <w:kern w:val="0"/>
          <w:szCs w:val="24"/>
        </w:rPr>
        <w:t>粒。</w:t>
      </w:r>
    </w:p>
    <w:p w14:paraId="4A940B24" w14:textId="77777777" w:rsidR="007576F0" w:rsidRPr="007576F0" w:rsidRDefault="007576F0" w:rsidP="007576F0">
      <w:pPr>
        <w:autoSpaceDE w:val="0"/>
        <w:spacing w:line="300" w:lineRule="exact"/>
        <w:ind w:leftChars="295" w:left="991" w:hangingChars="118" w:hanging="283"/>
        <w:rPr>
          <w:rFonts w:ascii="標楷體" w:eastAsia="標楷體" w:hAnsi="標楷體" w:cs="標楷體.鬁..."/>
          <w:color w:val="000000"/>
          <w:kern w:val="0"/>
          <w:szCs w:val="24"/>
        </w:rPr>
      </w:pPr>
      <w:r w:rsidRPr="007576F0">
        <w:rPr>
          <w:rFonts w:ascii="標楷體" w:eastAsia="標楷體" w:hAnsi="標楷體" w:cs="標楷體.鬁..."/>
          <w:color w:val="000000"/>
          <w:kern w:val="0"/>
          <w:szCs w:val="24"/>
        </w:rPr>
        <w:t>(4)Regorafenib</w:t>
      </w:r>
      <w:r w:rsidRPr="007576F0">
        <w:rPr>
          <w:rFonts w:ascii="標楷體" w:eastAsia="標楷體" w:hAnsi="標楷體" w:cs="標楷體.鬁..." w:hint="eastAsia"/>
          <w:color w:val="000000"/>
          <w:kern w:val="0"/>
          <w:szCs w:val="24"/>
        </w:rPr>
        <w:t>與</w:t>
      </w:r>
      <w:r w:rsidRPr="007576F0">
        <w:rPr>
          <w:rFonts w:ascii="標楷體" w:eastAsia="標楷體" w:hAnsi="標楷體" w:cs="標楷體.鬁..."/>
          <w:color w:val="000000"/>
          <w:kern w:val="0"/>
          <w:szCs w:val="24"/>
        </w:rPr>
        <w:t>ramucirumab</w:t>
      </w:r>
      <w:r w:rsidRPr="007576F0">
        <w:rPr>
          <w:rFonts w:ascii="標楷體" w:eastAsia="標楷體" w:hAnsi="標楷體" w:cs="標楷體.鬁..." w:hint="eastAsia"/>
          <w:color w:val="000000"/>
          <w:kern w:val="0"/>
          <w:szCs w:val="24"/>
        </w:rPr>
        <w:t>、</w:t>
      </w:r>
      <w:r w:rsidRPr="007576F0">
        <w:rPr>
          <w:rFonts w:ascii="標楷體" w:eastAsia="標楷體" w:hAnsi="標楷體" w:cs="標楷體.鬁..."/>
          <w:color w:val="000000"/>
          <w:kern w:val="0"/>
          <w:szCs w:val="24"/>
        </w:rPr>
        <w:t>nivolumab</w:t>
      </w:r>
      <w:r w:rsidRPr="007576F0">
        <w:rPr>
          <w:rFonts w:ascii="標楷體" w:eastAsia="標楷體" w:hAnsi="標楷體" w:cs="標楷體.鬁..." w:hint="eastAsia"/>
          <w:color w:val="000000"/>
          <w:kern w:val="0"/>
          <w:szCs w:val="24"/>
        </w:rPr>
        <w:t>僅能擇</w:t>
      </w:r>
      <w:proofErr w:type="gramStart"/>
      <w:r w:rsidRPr="007576F0">
        <w:rPr>
          <w:rFonts w:ascii="標楷體" w:eastAsia="標楷體" w:hAnsi="標楷體" w:cs="標楷體.鬁..." w:hint="eastAsia"/>
          <w:color w:val="000000"/>
          <w:kern w:val="0"/>
          <w:szCs w:val="24"/>
        </w:rPr>
        <w:t>一</w:t>
      </w:r>
      <w:proofErr w:type="gramEnd"/>
      <w:r w:rsidRPr="007576F0">
        <w:rPr>
          <w:rFonts w:ascii="標楷體" w:eastAsia="標楷體" w:hAnsi="標楷體" w:cs="標楷體.鬁..." w:hint="eastAsia"/>
          <w:color w:val="000000"/>
          <w:kern w:val="0"/>
          <w:szCs w:val="24"/>
        </w:rPr>
        <w:t>使用，不得互換。</w:t>
      </w:r>
      <w:r w:rsidRPr="007576F0">
        <w:rPr>
          <w:rFonts w:ascii="標楷體" w:eastAsia="標楷體" w:hAnsi="標楷體" w:cs="標楷體.鬁..."/>
          <w:color w:val="000000"/>
          <w:kern w:val="0"/>
          <w:szCs w:val="24"/>
        </w:rPr>
        <w:t>(110/5/1)</w:t>
      </w:r>
    </w:p>
    <w:p w14:paraId="2C7C51C6" w14:textId="77777777" w:rsidR="007576F0" w:rsidRPr="007576F0" w:rsidRDefault="007576F0" w:rsidP="007576F0">
      <w:pPr>
        <w:autoSpaceDE w:val="0"/>
        <w:spacing w:line="300" w:lineRule="exact"/>
        <w:ind w:leftChars="235" w:left="848" w:hanging="284"/>
        <w:rPr>
          <w:rFonts w:ascii="標楷體" w:eastAsia="標楷體" w:hAnsi="標楷體" w:cs="標楷體.鬁..."/>
          <w:color w:val="000000"/>
          <w:kern w:val="0"/>
          <w:szCs w:val="24"/>
        </w:rPr>
      </w:pPr>
      <w:r w:rsidRPr="007576F0">
        <w:rPr>
          <w:rFonts w:ascii="標楷體" w:eastAsia="標楷體" w:hAnsi="標楷體" w:cs="標楷體.鬁..." w:hint="eastAsia"/>
          <w:color w:val="000000"/>
          <w:kern w:val="0"/>
          <w:szCs w:val="24"/>
        </w:rPr>
        <w:t>4.本藥品不得與</w:t>
      </w:r>
      <w:r w:rsidRPr="007576F0">
        <w:rPr>
          <w:rFonts w:ascii="標楷體" w:eastAsia="標楷體" w:hAnsi="標楷體" w:cs="標楷體.鬁..."/>
          <w:color w:val="000000"/>
          <w:kern w:val="0"/>
          <w:szCs w:val="24"/>
        </w:rPr>
        <w:t>trifluridine/</w:t>
      </w:r>
      <w:proofErr w:type="spellStart"/>
      <w:r w:rsidRPr="007576F0">
        <w:rPr>
          <w:rFonts w:ascii="標楷體" w:eastAsia="標楷體" w:hAnsi="標楷體" w:cs="標楷體.鬁..."/>
          <w:color w:val="000000"/>
          <w:kern w:val="0"/>
          <w:szCs w:val="24"/>
        </w:rPr>
        <w:t>tipiracil</w:t>
      </w:r>
      <w:proofErr w:type="spellEnd"/>
      <w:proofErr w:type="gramStart"/>
      <w:r w:rsidRPr="007576F0">
        <w:rPr>
          <w:rFonts w:ascii="標楷體" w:eastAsia="標楷體" w:hAnsi="標楷體" w:cs="標楷體.鬁..." w:hint="eastAsia"/>
          <w:color w:val="000000"/>
          <w:kern w:val="0"/>
          <w:szCs w:val="24"/>
        </w:rPr>
        <w:t>併</w:t>
      </w:r>
      <w:proofErr w:type="gramEnd"/>
      <w:r w:rsidRPr="007576F0">
        <w:rPr>
          <w:rFonts w:ascii="標楷體" w:eastAsia="標楷體" w:hAnsi="標楷體" w:cs="標楷體.鬁..." w:hint="eastAsia"/>
          <w:color w:val="000000"/>
          <w:kern w:val="0"/>
          <w:szCs w:val="24"/>
        </w:rPr>
        <w:t>用。</w:t>
      </w:r>
      <w:r w:rsidRPr="007576F0">
        <w:rPr>
          <w:rFonts w:ascii="標楷體" w:eastAsia="標楷體" w:hAnsi="標楷體" w:cs="標楷體.鬁..."/>
          <w:color w:val="000000"/>
          <w:kern w:val="0"/>
          <w:szCs w:val="24"/>
        </w:rPr>
        <w:t>(107/12/1)</w:t>
      </w:r>
      <w:bookmarkEnd w:id="46"/>
    </w:p>
    <w:p w14:paraId="3859EFC6" w14:textId="77777777" w:rsidR="007576F0" w:rsidRPr="007576F0" w:rsidRDefault="007576F0" w:rsidP="007576F0">
      <w:pPr>
        <w:tabs>
          <w:tab w:val="left" w:pos="1418"/>
        </w:tabs>
        <w:spacing w:line="300" w:lineRule="exact"/>
        <w:ind w:left="849" w:hanging="566"/>
        <w:rPr>
          <w:rFonts w:ascii="標楷體" w:eastAsia="標楷體" w:hAnsi="標楷體"/>
          <w:color w:val="000000"/>
        </w:rPr>
      </w:pPr>
      <w:r w:rsidRPr="007576F0">
        <w:rPr>
          <w:rFonts w:ascii="標楷體" w:eastAsia="標楷體" w:hAnsi="標楷體"/>
          <w:color w:val="000000"/>
        </w:rPr>
        <w:t>9.52.Vemurafenib(如</w:t>
      </w:r>
      <w:proofErr w:type="spellStart"/>
      <w:r w:rsidRPr="007576F0">
        <w:rPr>
          <w:rFonts w:ascii="標楷體" w:eastAsia="標楷體" w:hAnsi="標楷體"/>
          <w:color w:val="000000"/>
        </w:rPr>
        <w:t>Zelboraf</w:t>
      </w:r>
      <w:proofErr w:type="spellEnd"/>
      <w:r w:rsidRPr="007576F0">
        <w:rPr>
          <w:rFonts w:ascii="標楷體" w:eastAsia="標楷體" w:hAnsi="標楷體"/>
          <w:color w:val="000000"/>
        </w:rPr>
        <w:t>)：(104/11/1、110/3/1、113/6/1</w:t>
      </w:r>
      <w:proofErr w:type="gramStart"/>
      <w:r w:rsidRPr="007576F0">
        <w:rPr>
          <w:rFonts w:ascii="標楷體" w:eastAsia="標楷體" w:hAnsi="標楷體"/>
          <w:color w:val="000000"/>
        </w:rPr>
        <w:t>）</w:t>
      </w:r>
      <w:proofErr w:type="gramEnd"/>
    </w:p>
    <w:p w14:paraId="6D504669" w14:textId="77777777" w:rsidR="007576F0" w:rsidRPr="007576F0" w:rsidRDefault="007576F0" w:rsidP="007576F0">
      <w:pPr>
        <w:spacing w:line="300" w:lineRule="exact"/>
        <w:ind w:left="849" w:hanging="283"/>
      </w:pPr>
      <w:r w:rsidRPr="007576F0">
        <w:rPr>
          <w:rFonts w:ascii="標楷體" w:eastAsia="標楷體" w:hAnsi="標楷體"/>
          <w:color w:val="000000"/>
        </w:rPr>
        <w:t>1.</w:t>
      </w:r>
      <w:r w:rsidRPr="007576F0">
        <w:t xml:space="preserve"> </w:t>
      </w:r>
      <w:r w:rsidRPr="007576F0">
        <w:rPr>
          <w:rFonts w:ascii="標楷體" w:eastAsia="標楷體" w:hAnsi="標楷體"/>
          <w:color w:val="000000"/>
        </w:rPr>
        <w:t>用於治療BRAF V600突變陽性ECOG</w:t>
      </w:r>
      <w:r w:rsidRPr="007576F0">
        <w:rPr>
          <w:rFonts w:ascii="Times New Roman" w:eastAsia="標楷體" w:hAnsi="Times New Roman"/>
          <w:color w:val="000000"/>
        </w:rPr>
        <w:t>≤</w:t>
      </w:r>
      <w:r w:rsidRPr="007576F0">
        <w:rPr>
          <w:rFonts w:ascii="標楷體" w:eastAsia="標楷體" w:hAnsi="標楷體"/>
          <w:color w:val="000000"/>
        </w:rPr>
        <w:t>2且罹患無法切除(第</w:t>
      </w:r>
      <w:proofErr w:type="spellStart"/>
      <w:r w:rsidRPr="007576F0">
        <w:rPr>
          <w:rFonts w:ascii="標楷體" w:eastAsia="標楷體" w:hAnsi="標楷體"/>
          <w:color w:val="000000"/>
        </w:rPr>
        <w:t>ⅢC</w:t>
      </w:r>
      <w:proofErr w:type="spellEnd"/>
      <w:r w:rsidRPr="007576F0">
        <w:rPr>
          <w:rFonts w:ascii="標楷體" w:eastAsia="標楷體" w:hAnsi="標楷體"/>
          <w:color w:val="000000"/>
        </w:rPr>
        <w:t>期)或轉移性(第Ⅳ期)黑色素瘤之病人。需檢附BRAF V600基因突變分析檢測報告，且需符合全民健康保險藥品給付規定之通則十二。(113/6/1)</w:t>
      </w:r>
    </w:p>
    <w:p w14:paraId="3BAA0EEC" w14:textId="77777777" w:rsidR="007576F0" w:rsidRPr="007576F0" w:rsidRDefault="007576F0" w:rsidP="007576F0">
      <w:pPr>
        <w:tabs>
          <w:tab w:val="left" w:pos="1418"/>
        </w:tabs>
        <w:spacing w:line="300" w:lineRule="exact"/>
        <w:ind w:left="849" w:hanging="283"/>
        <w:rPr>
          <w:rFonts w:ascii="標楷體" w:eastAsia="標楷體" w:hAnsi="標楷體"/>
          <w:color w:val="000000"/>
        </w:rPr>
      </w:pPr>
      <w:r w:rsidRPr="007576F0">
        <w:rPr>
          <w:rFonts w:ascii="標楷體" w:eastAsia="標楷體" w:hAnsi="標楷體"/>
          <w:color w:val="000000"/>
        </w:rPr>
        <w:t>2.需經事前審查核准後使用，每次申請</w:t>
      </w:r>
      <w:proofErr w:type="gramStart"/>
      <w:r w:rsidRPr="007576F0">
        <w:rPr>
          <w:rFonts w:ascii="標楷體" w:eastAsia="標楷體" w:hAnsi="標楷體"/>
          <w:color w:val="000000"/>
        </w:rPr>
        <w:t>療</w:t>
      </w:r>
      <w:proofErr w:type="gramEnd"/>
      <w:r w:rsidRPr="007576F0">
        <w:rPr>
          <w:rFonts w:ascii="標楷體" w:eastAsia="標楷體" w:hAnsi="標楷體"/>
          <w:color w:val="000000"/>
        </w:rPr>
        <w:t>程以三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月為限，如發現病情惡化應停止使用。再申請應檢附前次治療結果評估資料。</w:t>
      </w:r>
    </w:p>
    <w:p w14:paraId="060B596A" w14:textId="77777777" w:rsidR="007576F0" w:rsidRPr="007576F0" w:rsidRDefault="007576F0" w:rsidP="007576F0">
      <w:pPr>
        <w:tabs>
          <w:tab w:val="left" w:pos="1418"/>
        </w:tabs>
        <w:spacing w:line="300" w:lineRule="exact"/>
        <w:ind w:left="849" w:hanging="283"/>
        <w:rPr>
          <w:rFonts w:ascii="標楷體" w:eastAsia="標楷體" w:hAnsi="標楷體"/>
          <w:color w:val="000000"/>
        </w:rPr>
      </w:pPr>
      <w:r w:rsidRPr="007576F0">
        <w:rPr>
          <w:rFonts w:ascii="標楷體" w:eastAsia="標楷體" w:hAnsi="標楷體"/>
          <w:color w:val="000000"/>
        </w:rPr>
        <w:t>3.</w:t>
      </w:r>
      <w:proofErr w:type="gramStart"/>
      <w:r w:rsidRPr="007576F0">
        <w:rPr>
          <w:rFonts w:ascii="標楷體" w:eastAsia="標楷體" w:hAnsi="標楷體"/>
          <w:color w:val="000000"/>
        </w:rPr>
        <w:t>本品與</w:t>
      </w:r>
      <w:proofErr w:type="gramEnd"/>
      <w:r w:rsidRPr="007576F0">
        <w:rPr>
          <w:rFonts w:ascii="標楷體" w:eastAsia="標楷體" w:hAnsi="標楷體"/>
          <w:color w:val="000000"/>
        </w:rPr>
        <w:t>dabrafenib (</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用trametinib) 僅能擇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w:t>
      </w:r>
      <w:proofErr w:type="gramStart"/>
      <w:r w:rsidRPr="007576F0">
        <w:rPr>
          <w:rFonts w:ascii="標楷體" w:eastAsia="標楷體" w:hAnsi="標楷體"/>
          <w:color w:val="000000"/>
        </w:rPr>
        <w:t>除因耐受</w:t>
      </w:r>
      <w:proofErr w:type="gramEnd"/>
      <w:r w:rsidRPr="007576F0">
        <w:rPr>
          <w:rFonts w:ascii="標楷體" w:eastAsia="標楷體" w:hAnsi="標楷體"/>
          <w:color w:val="000000"/>
        </w:rPr>
        <w:t>性不良，不得互換。(110/3/1</w:t>
      </w:r>
      <w:proofErr w:type="gramStart"/>
      <w:r w:rsidRPr="007576F0">
        <w:rPr>
          <w:rFonts w:ascii="標楷體" w:eastAsia="標楷體" w:hAnsi="標楷體"/>
          <w:color w:val="000000"/>
        </w:rPr>
        <w:t>）</w:t>
      </w:r>
      <w:proofErr w:type="gramEnd"/>
    </w:p>
    <w:p w14:paraId="7C71FDA3" w14:textId="77777777" w:rsidR="007576F0" w:rsidRPr="007576F0" w:rsidRDefault="007576F0" w:rsidP="007576F0">
      <w:pPr>
        <w:spacing w:line="300" w:lineRule="exact"/>
        <w:ind w:left="283"/>
        <w:rPr>
          <w:rFonts w:ascii="標楷體" w:eastAsia="標楷體" w:hAnsi="標楷體"/>
          <w:color w:val="000000"/>
        </w:rPr>
      </w:pPr>
      <w:bookmarkStart w:id="47" w:name="_Hlk70328576"/>
      <w:r w:rsidRPr="007576F0">
        <w:rPr>
          <w:rFonts w:ascii="標楷體" w:eastAsia="標楷體" w:hAnsi="標楷體" w:hint="eastAsia"/>
          <w:color w:val="000000"/>
        </w:rPr>
        <w:t>9.53.Panitumumab（如</w:t>
      </w:r>
      <w:proofErr w:type="spellStart"/>
      <w:r w:rsidRPr="007576F0">
        <w:rPr>
          <w:rFonts w:ascii="標楷體" w:eastAsia="標楷體" w:hAnsi="標楷體" w:hint="eastAsia"/>
          <w:color w:val="000000"/>
        </w:rPr>
        <w:t>Vectibix</w:t>
      </w:r>
      <w:proofErr w:type="spellEnd"/>
      <w:r w:rsidRPr="007576F0">
        <w:rPr>
          <w:rFonts w:ascii="標楷體" w:eastAsia="標楷體" w:hAnsi="標楷體" w:hint="eastAsia"/>
          <w:color w:val="000000"/>
        </w:rPr>
        <w:t>）：(105/4/1、107/6/1、110/6/1、113/6/1、115/2/1)</w:t>
      </w:r>
    </w:p>
    <w:p w14:paraId="3C1C5704" w14:textId="77777777" w:rsidR="007576F0" w:rsidRPr="007576F0" w:rsidRDefault="007576F0" w:rsidP="007576F0">
      <w:pPr>
        <w:tabs>
          <w:tab w:val="left" w:pos="1418"/>
        </w:tabs>
        <w:spacing w:line="300" w:lineRule="exact"/>
        <w:ind w:left="849" w:hanging="283"/>
        <w:rPr>
          <w:rFonts w:ascii="標楷體" w:eastAsia="標楷體" w:hAnsi="標楷體"/>
          <w:color w:val="000000"/>
        </w:rPr>
      </w:pPr>
      <w:r w:rsidRPr="007576F0">
        <w:rPr>
          <w:rFonts w:ascii="標楷體" w:eastAsia="標楷體" w:hAnsi="標楷體"/>
          <w:color w:val="000000"/>
        </w:rPr>
        <w:t>1.</w:t>
      </w:r>
      <w:bookmarkEnd w:id="47"/>
      <w:r w:rsidRPr="007576F0">
        <w:rPr>
          <w:rFonts w:ascii="標楷體" w:eastAsia="標楷體" w:hAnsi="標楷體" w:hint="eastAsia"/>
          <w:color w:val="000000"/>
          <w:kern w:val="2"/>
          <w:szCs w:val="24"/>
        </w:rPr>
        <w:t xml:space="preserve"> </w:t>
      </w:r>
      <w:r w:rsidRPr="007576F0">
        <w:rPr>
          <w:rFonts w:ascii="標楷體" w:eastAsia="標楷體" w:hAnsi="標楷體" w:hint="eastAsia"/>
          <w:color w:val="000000"/>
        </w:rPr>
        <w:t>與FOLFOX（</w:t>
      </w:r>
      <w:proofErr w:type="spellStart"/>
      <w:r w:rsidRPr="007576F0">
        <w:rPr>
          <w:rFonts w:ascii="標楷體" w:eastAsia="標楷體" w:hAnsi="標楷體" w:hint="eastAsia"/>
          <w:color w:val="000000"/>
        </w:rPr>
        <w:t>folinicacid</w:t>
      </w:r>
      <w:proofErr w:type="spellEnd"/>
      <w:r w:rsidRPr="007576F0">
        <w:rPr>
          <w:rFonts w:ascii="標楷體" w:eastAsia="標楷體" w:hAnsi="標楷體" w:hint="eastAsia"/>
          <w:color w:val="000000"/>
        </w:rPr>
        <w:t>/ 5-fluorouracil/oxaliplatin）或FOLFIRI（folinic acid/ 5-fluorouracil/irinotecan）合併使用於治療RAS</w:t>
      </w:r>
      <w:proofErr w:type="gramStart"/>
      <w:r w:rsidRPr="007576F0">
        <w:rPr>
          <w:rFonts w:ascii="標楷體" w:eastAsia="標楷體" w:hAnsi="標楷體" w:hint="eastAsia"/>
          <w:color w:val="000000"/>
        </w:rPr>
        <w:t>原生型</w:t>
      </w:r>
      <w:proofErr w:type="gramEnd"/>
      <w:r w:rsidRPr="007576F0">
        <w:rPr>
          <w:rFonts w:ascii="標楷體" w:eastAsia="標楷體" w:hAnsi="標楷體" w:hint="eastAsia"/>
          <w:color w:val="000000"/>
        </w:rPr>
        <w:t>(wild-type)之轉移性直腸結腸癌病人之第一線治療。需檢附All-RAS基因突變分析檢測報告，且需符合全民健康保險藥品給付規定之通則十二。(98/8/1、110/6/1、113/6/1、115/2/1)</w:t>
      </w:r>
    </w:p>
    <w:p w14:paraId="26431796" w14:textId="77777777" w:rsidR="007576F0" w:rsidRPr="007576F0" w:rsidRDefault="007576F0" w:rsidP="007576F0">
      <w:pPr>
        <w:tabs>
          <w:tab w:val="left" w:pos="1418"/>
        </w:tabs>
        <w:spacing w:line="300" w:lineRule="exact"/>
        <w:ind w:left="1134" w:hanging="283"/>
        <w:rPr>
          <w:rFonts w:ascii="標楷體" w:eastAsia="標楷體" w:hAnsi="標楷體"/>
          <w:color w:val="000000"/>
        </w:rPr>
      </w:pPr>
      <w:r w:rsidRPr="007576F0">
        <w:rPr>
          <w:rFonts w:ascii="標楷體" w:eastAsia="標楷體" w:hAnsi="標楷體" w:hint="eastAsia"/>
          <w:color w:val="000000"/>
        </w:rPr>
        <w:t>(1)本藥品須經事前審查核准後使用，每次申請之療程以18</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為限，再次申請必須提出客觀證據(如：影像學)證實無惡化，才可繼續使用。</w:t>
      </w:r>
    </w:p>
    <w:p w14:paraId="76EC94E1" w14:textId="77777777" w:rsidR="007576F0" w:rsidRPr="007576F0" w:rsidRDefault="007576F0" w:rsidP="007576F0">
      <w:pPr>
        <w:tabs>
          <w:tab w:val="left" w:pos="1418"/>
        </w:tabs>
        <w:spacing w:line="300" w:lineRule="exact"/>
        <w:ind w:left="1134" w:hanging="283"/>
        <w:rPr>
          <w:rFonts w:ascii="標楷體" w:eastAsia="標楷體" w:hAnsi="標楷體"/>
          <w:color w:val="000000"/>
        </w:rPr>
      </w:pPr>
      <w:r w:rsidRPr="007576F0">
        <w:rPr>
          <w:rFonts w:ascii="標楷體" w:eastAsia="標楷體" w:hAnsi="標楷體" w:hint="eastAsia"/>
          <w:color w:val="000000"/>
        </w:rPr>
        <w:t>(2)Panitumumab與cetuximab二者僅能擇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 (107/6/1、115/2/1)</w:t>
      </w:r>
    </w:p>
    <w:p w14:paraId="6D186F33" w14:textId="77777777" w:rsidR="007576F0" w:rsidRPr="007576F0" w:rsidRDefault="007576F0" w:rsidP="007576F0">
      <w:pPr>
        <w:tabs>
          <w:tab w:val="left" w:pos="1418"/>
        </w:tabs>
        <w:spacing w:line="300" w:lineRule="exact"/>
        <w:ind w:left="1134" w:hanging="283"/>
        <w:rPr>
          <w:rFonts w:ascii="標楷體" w:eastAsia="標楷體" w:hAnsi="標楷體"/>
          <w:color w:val="000000"/>
        </w:rPr>
      </w:pPr>
      <w:r w:rsidRPr="007576F0">
        <w:rPr>
          <w:rFonts w:ascii="標楷體" w:eastAsia="標楷體" w:hAnsi="標楷體" w:hint="eastAsia"/>
          <w:color w:val="000000"/>
        </w:rPr>
        <w:t>(3)本藥品不得與bevacizumab</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用。(107/6/1)</w:t>
      </w:r>
    </w:p>
    <w:p w14:paraId="5D6EF448" w14:textId="77777777" w:rsidR="007576F0" w:rsidRPr="007576F0" w:rsidRDefault="007576F0" w:rsidP="007576F0">
      <w:pPr>
        <w:tabs>
          <w:tab w:val="left" w:pos="1418"/>
        </w:tabs>
        <w:spacing w:line="300" w:lineRule="exact"/>
        <w:ind w:left="1134" w:hanging="283"/>
        <w:rPr>
          <w:rFonts w:ascii="標楷體" w:eastAsia="標楷體" w:hAnsi="標楷體"/>
          <w:color w:val="000000"/>
        </w:rPr>
      </w:pPr>
      <w:r w:rsidRPr="007576F0">
        <w:rPr>
          <w:rFonts w:ascii="標楷體" w:eastAsia="標楷體" w:hAnsi="標楷體" w:hint="eastAsia"/>
          <w:color w:val="000000"/>
        </w:rPr>
        <w:t>(4)經手術完全切除(R</w:t>
      </w:r>
      <w:r w:rsidRPr="007576F0">
        <w:rPr>
          <w:rFonts w:ascii="標楷體" w:eastAsia="標楷體" w:hAnsi="標楷體"/>
          <w:color w:val="000000"/>
        </w:rPr>
        <w:t>0</w:t>
      </w:r>
      <w:r w:rsidRPr="007576F0">
        <w:rPr>
          <w:rFonts w:ascii="標楷體" w:eastAsia="標楷體" w:hAnsi="標楷體" w:hint="eastAsia"/>
          <w:color w:val="000000"/>
        </w:rPr>
        <w:t>切除)且查無轉移病灶者不得申請給付。(115/2/1)</w:t>
      </w:r>
    </w:p>
    <w:p w14:paraId="049E58A2" w14:textId="77777777" w:rsidR="007576F0" w:rsidRPr="007576F0" w:rsidRDefault="007576F0" w:rsidP="007576F0">
      <w:pPr>
        <w:tabs>
          <w:tab w:val="left" w:pos="1418"/>
        </w:tabs>
        <w:spacing w:line="300" w:lineRule="exact"/>
        <w:ind w:left="849" w:hanging="283"/>
        <w:rPr>
          <w:rFonts w:ascii="標楷體" w:eastAsia="標楷體" w:hAnsi="標楷體"/>
          <w:color w:val="000000"/>
        </w:rPr>
      </w:pPr>
      <w:r w:rsidRPr="007576F0">
        <w:rPr>
          <w:rFonts w:ascii="標楷體" w:eastAsia="標楷體" w:hAnsi="標楷體" w:hint="eastAsia"/>
          <w:color w:val="000000"/>
        </w:rPr>
        <w:t>2.治療已</w:t>
      </w:r>
      <w:proofErr w:type="gramStart"/>
      <w:r w:rsidRPr="007576F0">
        <w:rPr>
          <w:rFonts w:ascii="標楷體" w:eastAsia="標楷體" w:hAnsi="標楷體" w:hint="eastAsia"/>
          <w:color w:val="000000"/>
        </w:rPr>
        <w:t>接受過含</w:t>
      </w:r>
      <w:proofErr w:type="gramEnd"/>
      <w:r w:rsidRPr="007576F0">
        <w:rPr>
          <w:rFonts w:ascii="標楷體" w:eastAsia="標楷體" w:hAnsi="標楷體" w:hint="eastAsia"/>
          <w:color w:val="000000"/>
        </w:rPr>
        <w:t xml:space="preserve"> 5 fluorouracil 、 irinotecan 及oxaliplatin二線以上之細胞毒性治療失敗、RAS</w:t>
      </w:r>
      <w:proofErr w:type="gramStart"/>
      <w:r w:rsidRPr="007576F0">
        <w:rPr>
          <w:rFonts w:ascii="標楷體" w:eastAsia="標楷體" w:hAnsi="標楷體" w:hint="eastAsia"/>
          <w:color w:val="000000"/>
        </w:rPr>
        <w:t>原生型</w:t>
      </w:r>
      <w:proofErr w:type="gramEnd"/>
      <w:r w:rsidRPr="007576F0">
        <w:rPr>
          <w:rFonts w:ascii="標楷體" w:eastAsia="標楷體" w:hAnsi="標楷體" w:hint="eastAsia"/>
          <w:color w:val="000000"/>
        </w:rPr>
        <w:t>(wild-type)的轉移性直腸結腸癌的病人。需檢附All-RAS基因突變分析檢測報告，且需符合全民健康保險藥品給付規定之通則十二。 (115/2/1)</w:t>
      </w:r>
    </w:p>
    <w:p w14:paraId="49BAF699" w14:textId="77777777" w:rsidR="007576F0" w:rsidRPr="007576F0" w:rsidRDefault="007576F0" w:rsidP="007576F0">
      <w:pPr>
        <w:tabs>
          <w:tab w:val="left" w:pos="1418"/>
        </w:tabs>
        <w:spacing w:line="300" w:lineRule="exact"/>
        <w:ind w:left="1134" w:hanging="283"/>
        <w:rPr>
          <w:rFonts w:ascii="標楷體" w:eastAsia="標楷體" w:hAnsi="標楷體"/>
          <w:color w:val="000000"/>
        </w:rPr>
      </w:pPr>
      <w:r w:rsidRPr="007576F0">
        <w:rPr>
          <w:rFonts w:ascii="標楷體" w:eastAsia="標楷體" w:hAnsi="標楷體" w:hint="eastAsia"/>
          <w:color w:val="000000"/>
        </w:rPr>
        <w:t>(1)病人先前未曾</w:t>
      </w:r>
      <w:proofErr w:type="gramStart"/>
      <w:r w:rsidRPr="007576F0">
        <w:rPr>
          <w:rFonts w:ascii="標楷體" w:eastAsia="標楷體" w:hAnsi="標楷體" w:hint="eastAsia"/>
          <w:color w:val="000000"/>
        </w:rPr>
        <w:t>接受過抗表皮</w:t>
      </w:r>
      <w:proofErr w:type="gramEnd"/>
      <w:r w:rsidRPr="007576F0">
        <w:rPr>
          <w:rFonts w:ascii="標楷體" w:eastAsia="標楷體" w:hAnsi="標楷體" w:hint="eastAsia"/>
          <w:color w:val="000000"/>
        </w:rPr>
        <w:t>生長因子受體(anti-EGFR)藥品治療。</w:t>
      </w:r>
    </w:p>
    <w:p w14:paraId="24932AD1" w14:textId="77777777" w:rsidR="007576F0" w:rsidRPr="007576F0" w:rsidRDefault="007576F0" w:rsidP="007576F0">
      <w:pPr>
        <w:tabs>
          <w:tab w:val="left" w:pos="1418"/>
        </w:tabs>
        <w:spacing w:line="300" w:lineRule="exact"/>
        <w:ind w:left="1134" w:hanging="283"/>
        <w:rPr>
          <w:rFonts w:ascii="標楷體" w:eastAsia="標楷體" w:hAnsi="標楷體"/>
          <w:color w:val="000000"/>
        </w:rPr>
      </w:pPr>
      <w:r w:rsidRPr="007576F0">
        <w:rPr>
          <w:rFonts w:ascii="標楷體" w:eastAsia="標楷體" w:hAnsi="標楷體" w:hint="eastAsia"/>
          <w:color w:val="000000"/>
        </w:rPr>
        <w:t>(2)本藥品須經事前審查核准後使用，每次申請之療程以9</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為限，再次申請必須提出客觀證據(如：影像學)證實無惡化，才可繼續使用。</w:t>
      </w:r>
    </w:p>
    <w:p w14:paraId="3CDE6898" w14:textId="77777777" w:rsidR="007576F0" w:rsidRPr="007576F0" w:rsidRDefault="007576F0" w:rsidP="007576F0">
      <w:pPr>
        <w:tabs>
          <w:tab w:val="left" w:pos="1418"/>
        </w:tabs>
        <w:spacing w:line="300" w:lineRule="exact"/>
        <w:ind w:left="1134" w:hanging="283"/>
        <w:rPr>
          <w:rFonts w:ascii="標楷體" w:eastAsia="標楷體" w:hAnsi="標楷體"/>
          <w:color w:val="000000"/>
        </w:rPr>
      </w:pPr>
      <w:r w:rsidRPr="007576F0">
        <w:rPr>
          <w:rFonts w:ascii="標楷體" w:eastAsia="標楷體" w:hAnsi="標楷體" w:hint="eastAsia"/>
          <w:color w:val="000000"/>
        </w:rPr>
        <w:t xml:space="preserve">(3)使用總療程以 18 </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為上限。</w:t>
      </w:r>
    </w:p>
    <w:p w14:paraId="3B5F72CD" w14:textId="77777777" w:rsidR="007576F0" w:rsidRPr="007576F0" w:rsidRDefault="007576F0" w:rsidP="007576F0">
      <w:pPr>
        <w:tabs>
          <w:tab w:val="left" w:pos="1418"/>
        </w:tabs>
        <w:snapToGrid w:val="0"/>
        <w:spacing w:line="300" w:lineRule="exact"/>
        <w:ind w:left="763" w:hanging="480"/>
      </w:pPr>
      <w:bookmarkStart w:id="48" w:name="_Hlk209192279"/>
      <w:r w:rsidRPr="007576F0">
        <w:rPr>
          <w:rFonts w:ascii="標楷體" w:eastAsia="標楷體" w:hAnsi="標楷體"/>
          <w:color w:val="000000"/>
          <w:szCs w:val="24"/>
        </w:rPr>
        <w:t>9.54.</w:t>
      </w:r>
      <w:r w:rsidRPr="007576F0">
        <w:t xml:space="preserve"> </w:t>
      </w:r>
      <w:r w:rsidRPr="007576F0">
        <w:rPr>
          <w:rFonts w:ascii="標楷體" w:eastAsia="標楷體" w:hAnsi="標楷體"/>
          <w:color w:val="000000"/>
          <w:szCs w:val="24"/>
        </w:rPr>
        <w:t>Enzalutamide（如Xtandi）：（105/9/1、106/9/1、108/3/1、109/10/1、110/3/1、110/11/1、111/3/1、112/9/1、113/8/1、114/6/1</w:t>
      </w:r>
      <w:r w:rsidRPr="007576F0">
        <w:rPr>
          <w:rFonts w:ascii="標楷體" w:eastAsia="標楷體" w:hAnsi="標楷體" w:hint="eastAsia"/>
          <w:color w:val="000000"/>
          <w:szCs w:val="24"/>
        </w:rPr>
        <w:t>、114/10/1</w:t>
      </w:r>
      <w:r w:rsidRPr="007576F0">
        <w:rPr>
          <w:rFonts w:ascii="標楷體" w:eastAsia="標楷體" w:hAnsi="標楷體"/>
          <w:color w:val="000000"/>
          <w:szCs w:val="24"/>
        </w:rPr>
        <w:t>）</w:t>
      </w:r>
    </w:p>
    <w:p w14:paraId="57C3E54F" w14:textId="77777777" w:rsidR="007576F0" w:rsidRPr="007576F0" w:rsidRDefault="007576F0" w:rsidP="007576F0">
      <w:pPr>
        <w:snapToGrid w:val="0"/>
        <w:spacing w:line="300" w:lineRule="exact"/>
        <w:ind w:left="851" w:hanging="278"/>
        <w:rPr>
          <w:rFonts w:ascii="標楷體" w:eastAsia="標楷體" w:hAnsi="標楷體"/>
          <w:color w:val="000000"/>
          <w:szCs w:val="24"/>
        </w:rPr>
      </w:pPr>
      <w:r w:rsidRPr="007576F0">
        <w:rPr>
          <w:rFonts w:ascii="標楷體" w:eastAsia="標楷體" w:hAnsi="標楷體"/>
          <w:color w:val="000000"/>
          <w:szCs w:val="24"/>
        </w:rPr>
        <w:t>1.治療高風險非</w:t>
      </w:r>
      <w:proofErr w:type="gramStart"/>
      <w:r w:rsidRPr="007576F0">
        <w:rPr>
          <w:rFonts w:ascii="標楷體" w:eastAsia="標楷體" w:hAnsi="標楷體"/>
          <w:color w:val="000000"/>
          <w:szCs w:val="24"/>
        </w:rPr>
        <w:t>轉移性去勢</w:t>
      </w:r>
      <w:proofErr w:type="gramEnd"/>
      <w:r w:rsidRPr="007576F0">
        <w:rPr>
          <w:rFonts w:ascii="標楷體" w:eastAsia="標楷體" w:hAnsi="標楷體"/>
          <w:color w:val="000000"/>
          <w:szCs w:val="24"/>
        </w:rPr>
        <w:t xml:space="preserve">抗性前列腺癌(high risk </w:t>
      </w:r>
      <w:proofErr w:type="spellStart"/>
      <w:r w:rsidRPr="007576F0">
        <w:rPr>
          <w:rFonts w:ascii="標楷體" w:eastAsia="標楷體" w:hAnsi="標楷體"/>
          <w:color w:val="000000"/>
          <w:szCs w:val="24"/>
        </w:rPr>
        <w:t>nmCRPC</w:t>
      </w:r>
      <w:proofErr w:type="spellEnd"/>
      <w:r w:rsidRPr="007576F0">
        <w:rPr>
          <w:rFonts w:ascii="標楷體" w:eastAsia="標楷體" w:hAnsi="標楷體"/>
          <w:color w:val="000000"/>
          <w:szCs w:val="24"/>
        </w:rPr>
        <w:t>)的成年男性。(112/9/1)</w:t>
      </w:r>
    </w:p>
    <w:p w14:paraId="1140E271" w14:textId="77777777" w:rsidR="007576F0" w:rsidRPr="007576F0" w:rsidRDefault="007576F0" w:rsidP="007576F0">
      <w:pPr>
        <w:snapToGrid w:val="0"/>
        <w:spacing w:line="300" w:lineRule="exact"/>
        <w:ind w:left="851"/>
        <w:rPr>
          <w:rFonts w:ascii="標楷體" w:eastAsia="標楷體" w:hAnsi="標楷體"/>
          <w:color w:val="000000"/>
          <w:szCs w:val="24"/>
        </w:rPr>
      </w:pPr>
      <w:r w:rsidRPr="007576F0">
        <w:rPr>
          <w:rFonts w:ascii="標楷體" w:eastAsia="標楷體" w:hAnsi="標楷體"/>
          <w:color w:val="000000"/>
          <w:szCs w:val="24"/>
        </w:rPr>
        <w:t>(1)須經事前審查核准後使用。</w:t>
      </w:r>
    </w:p>
    <w:p w14:paraId="013BBB42" w14:textId="77777777" w:rsidR="007576F0" w:rsidRPr="007576F0" w:rsidRDefault="007576F0" w:rsidP="007576F0">
      <w:pPr>
        <w:snapToGrid w:val="0"/>
        <w:spacing w:line="300" w:lineRule="exact"/>
        <w:ind w:left="1320" w:hanging="480"/>
        <w:rPr>
          <w:rFonts w:ascii="標楷體" w:eastAsia="標楷體" w:hAnsi="標楷體"/>
          <w:color w:val="000000"/>
          <w:szCs w:val="24"/>
        </w:rPr>
      </w:pPr>
      <w:r w:rsidRPr="007576F0">
        <w:rPr>
          <w:rFonts w:ascii="標楷體" w:eastAsia="標楷體" w:hAnsi="標楷體"/>
          <w:color w:val="000000"/>
          <w:szCs w:val="24"/>
        </w:rPr>
        <w:t>(2)初次申請時需檢附病理報告、使用雄性素去除療法紀錄，系列PSA和</w:t>
      </w:r>
      <w:proofErr w:type="gramStart"/>
      <w:r w:rsidRPr="007576F0">
        <w:rPr>
          <w:rFonts w:ascii="標楷體" w:eastAsia="標楷體" w:hAnsi="標楷體"/>
          <w:color w:val="000000"/>
          <w:szCs w:val="24"/>
        </w:rPr>
        <w:t>睪固酮</w:t>
      </w:r>
      <w:proofErr w:type="gramEnd"/>
      <w:r w:rsidRPr="007576F0">
        <w:rPr>
          <w:rFonts w:ascii="標楷體" w:eastAsia="標楷體" w:hAnsi="標楷體"/>
          <w:color w:val="000000"/>
          <w:szCs w:val="24"/>
        </w:rPr>
        <w:t>數據，三個月內影像報告證明無遠端轉移。</w:t>
      </w:r>
    </w:p>
    <w:p w14:paraId="6B8B7AE9" w14:textId="77777777" w:rsidR="007576F0" w:rsidRPr="007576F0" w:rsidRDefault="007576F0" w:rsidP="007576F0">
      <w:pPr>
        <w:snapToGrid w:val="0"/>
        <w:spacing w:line="300" w:lineRule="exact"/>
        <w:ind w:left="851"/>
        <w:rPr>
          <w:rFonts w:ascii="標楷體" w:eastAsia="標楷體" w:hAnsi="標楷體"/>
          <w:color w:val="000000"/>
          <w:szCs w:val="24"/>
        </w:rPr>
      </w:pPr>
      <w:r w:rsidRPr="007576F0">
        <w:rPr>
          <w:rFonts w:ascii="標楷體" w:eastAsia="標楷體" w:hAnsi="標楷體"/>
          <w:color w:val="000000"/>
          <w:szCs w:val="24"/>
        </w:rPr>
        <w:t>(3)ECOG分數須</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1。</w:t>
      </w:r>
    </w:p>
    <w:p w14:paraId="60F735BA" w14:textId="77777777" w:rsidR="007576F0" w:rsidRPr="007576F0" w:rsidRDefault="007576F0" w:rsidP="007576F0">
      <w:pPr>
        <w:snapToGrid w:val="0"/>
        <w:spacing w:line="300" w:lineRule="exact"/>
        <w:ind w:left="1200" w:hanging="360"/>
        <w:rPr>
          <w:rFonts w:ascii="標楷體" w:eastAsia="標楷體" w:hAnsi="標楷體"/>
          <w:color w:val="000000"/>
          <w:szCs w:val="24"/>
        </w:rPr>
      </w:pPr>
      <w:r w:rsidRPr="007576F0">
        <w:rPr>
          <w:rFonts w:ascii="標楷體" w:eastAsia="標楷體" w:hAnsi="標楷體"/>
          <w:color w:val="000000"/>
          <w:szCs w:val="24"/>
        </w:rPr>
        <w:t>(4)PSA doubling time</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10個月，PSA倍增之時間，應依線性回歸模型計算，且其參數取得需基於下列原則：</w:t>
      </w:r>
    </w:p>
    <w:p w14:paraId="06D51A55" w14:textId="77777777" w:rsidR="007576F0" w:rsidRPr="007576F0" w:rsidRDefault="007576F0" w:rsidP="007576F0">
      <w:pPr>
        <w:tabs>
          <w:tab w:val="left" w:pos="1701"/>
        </w:tabs>
        <w:snapToGrid w:val="0"/>
        <w:spacing w:line="300" w:lineRule="exact"/>
        <w:ind w:left="1560" w:hanging="280"/>
        <w:rPr>
          <w:rFonts w:ascii="標楷體" w:eastAsia="標楷體" w:hAnsi="標楷體"/>
          <w:color w:val="000000"/>
          <w:szCs w:val="24"/>
        </w:rPr>
      </w:pPr>
      <w:r w:rsidRPr="007576F0">
        <w:rPr>
          <w:rFonts w:ascii="標楷體" w:eastAsia="標楷體" w:hAnsi="標楷體"/>
          <w:color w:val="000000"/>
          <w:szCs w:val="24"/>
        </w:rPr>
        <w:t>Ⅰ.至少三個連續PSA測量值，且各測量值皆</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0.2 ng/mL（最高的PSA值必須</w:t>
      </w:r>
      <w:r w:rsidRPr="007576F0">
        <w:rPr>
          <w:rFonts w:ascii="標楷體" w:eastAsia="標楷體" w:hAnsi="標楷體"/>
          <w:color w:val="000000"/>
          <w:szCs w:val="24"/>
        </w:rPr>
        <w:lastRenderedPageBreak/>
        <w:t>&gt;1.0ng/ml）。</w:t>
      </w:r>
    </w:p>
    <w:p w14:paraId="385FE8B9" w14:textId="77777777" w:rsidR="007576F0" w:rsidRPr="007576F0" w:rsidRDefault="007576F0" w:rsidP="007576F0">
      <w:pPr>
        <w:tabs>
          <w:tab w:val="left" w:pos="1701"/>
        </w:tabs>
        <w:snapToGrid w:val="0"/>
        <w:spacing w:line="300" w:lineRule="exact"/>
        <w:ind w:left="1560" w:hanging="280"/>
        <w:rPr>
          <w:rFonts w:ascii="標楷體" w:eastAsia="標楷體" w:hAnsi="標楷體"/>
          <w:color w:val="000000"/>
          <w:szCs w:val="24"/>
        </w:rPr>
      </w:pPr>
      <w:r w:rsidRPr="007576F0">
        <w:rPr>
          <w:rFonts w:ascii="標楷體" w:eastAsia="標楷體" w:hAnsi="標楷體"/>
          <w:color w:val="000000"/>
          <w:szCs w:val="24"/>
        </w:rPr>
        <w:t>Ⅱ.應包含先前ADT治療期間的測量值，且最少</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測量值為最近3個月內測得之PSA數值。</w:t>
      </w:r>
    </w:p>
    <w:p w14:paraId="526FE3BD" w14:textId="77777777" w:rsidR="007576F0" w:rsidRPr="007576F0" w:rsidRDefault="007576F0" w:rsidP="007576F0">
      <w:pPr>
        <w:tabs>
          <w:tab w:val="left" w:pos="1701"/>
        </w:tabs>
        <w:snapToGrid w:val="0"/>
        <w:spacing w:line="300" w:lineRule="exact"/>
        <w:ind w:left="1560" w:hanging="280"/>
        <w:rPr>
          <w:rFonts w:ascii="標楷體" w:eastAsia="標楷體" w:hAnsi="標楷體"/>
          <w:color w:val="000000"/>
          <w:szCs w:val="24"/>
        </w:rPr>
      </w:pPr>
      <w:r w:rsidRPr="007576F0">
        <w:rPr>
          <w:rFonts w:ascii="標楷體" w:eastAsia="標楷體" w:hAnsi="標楷體"/>
          <w:color w:val="000000"/>
          <w:szCs w:val="24"/>
        </w:rPr>
        <w:t>Ⅲ.第一個和最後一個PSA測量值間隔需</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8</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，但</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12個月。</w:t>
      </w:r>
    </w:p>
    <w:p w14:paraId="29809E08" w14:textId="77777777" w:rsidR="007576F0" w:rsidRPr="007576F0" w:rsidRDefault="007576F0" w:rsidP="007576F0">
      <w:pPr>
        <w:snapToGrid w:val="0"/>
        <w:spacing w:line="300" w:lineRule="exact"/>
        <w:ind w:left="1200" w:hanging="360"/>
        <w:rPr>
          <w:rFonts w:ascii="標楷體" w:eastAsia="標楷體" w:hAnsi="標楷體"/>
          <w:color w:val="000000"/>
          <w:szCs w:val="24"/>
        </w:rPr>
      </w:pPr>
      <w:r w:rsidRPr="007576F0">
        <w:rPr>
          <w:rFonts w:ascii="標楷體" w:eastAsia="標楷體" w:hAnsi="標楷體"/>
          <w:color w:val="000000"/>
          <w:szCs w:val="24"/>
        </w:rPr>
        <w:t>(5)每3個月需再次申請，申請之療程以3個月為限。再次申請時，有 PSA progression 者，需檢附影像學報告，若影像學報告證實轉移，則需停藥;無PSA progression 者，則每6個月需檢附影像學報告，若影像學報告證實轉移，則需停藥。</w:t>
      </w:r>
    </w:p>
    <w:p w14:paraId="463B609D" w14:textId="77777777" w:rsidR="007576F0" w:rsidRPr="007576F0" w:rsidRDefault="007576F0" w:rsidP="007576F0">
      <w:pPr>
        <w:tabs>
          <w:tab w:val="left" w:leader="underscore" w:pos="567"/>
        </w:tabs>
        <w:snapToGrid w:val="0"/>
        <w:spacing w:line="300" w:lineRule="exact"/>
        <w:ind w:left="960"/>
        <w:rPr>
          <w:rFonts w:ascii="標楷體" w:eastAsia="標楷體" w:hAnsi="標楷體"/>
          <w:szCs w:val="24"/>
        </w:rPr>
      </w:pPr>
      <w:proofErr w:type="gramStart"/>
      <w:r w:rsidRPr="007576F0">
        <w:rPr>
          <w:rFonts w:ascii="標楷體" w:eastAsia="標楷體" w:hAnsi="標楷體"/>
          <w:szCs w:val="24"/>
        </w:rPr>
        <w:t>註</w:t>
      </w:r>
      <w:proofErr w:type="gramEnd"/>
      <w:r w:rsidRPr="007576F0">
        <w:rPr>
          <w:rFonts w:ascii="標楷體" w:eastAsia="標楷體" w:hAnsi="標楷體"/>
          <w:szCs w:val="24"/>
        </w:rPr>
        <w:t>：</w:t>
      </w:r>
    </w:p>
    <w:p w14:paraId="6EF63A5A" w14:textId="77777777" w:rsidR="007576F0" w:rsidRPr="007576F0" w:rsidRDefault="007576F0" w:rsidP="007576F0">
      <w:pPr>
        <w:tabs>
          <w:tab w:val="left" w:leader="underscore" w:pos="567"/>
        </w:tabs>
        <w:snapToGrid w:val="0"/>
        <w:spacing w:line="300" w:lineRule="exact"/>
        <w:ind w:left="960"/>
        <w:rPr>
          <w:rFonts w:ascii="標楷體" w:eastAsia="標楷體" w:hAnsi="標楷體"/>
          <w:szCs w:val="24"/>
        </w:rPr>
      </w:pPr>
      <w:r w:rsidRPr="007576F0">
        <w:rPr>
          <w:rFonts w:ascii="標楷體" w:eastAsia="標楷體" w:hAnsi="標楷體"/>
          <w:szCs w:val="24"/>
        </w:rPr>
        <w:t>PSA progression 定義為:PSA下降達最低值(nadir)後，出現 PSA 值上升較 nadir</w:t>
      </w:r>
      <w:proofErr w:type="gramStart"/>
      <w:r w:rsidRPr="007576F0">
        <w:rPr>
          <w:rFonts w:ascii="標楷體" w:eastAsia="標楷體" w:hAnsi="標楷體"/>
          <w:szCs w:val="24"/>
        </w:rPr>
        <w:t>≧</w:t>
      </w:r>
      <w:proofErr w:type="gramEnd"/>
      <w:r w:rsidRPr="007576F0">
        <w:rPr>
          <w:rFonts w:ascii="標楷體" w:eastAsia="標楷體" w:hAnsi="標楷體"/>
          <w:szCs w:val="24"/>
        </w:rPr>
        <w:t>25%，且PSA</w:t>
      </w:r>
      <w:proofErr w:type="gramStart"/>
      <w:r w:rsidRPr="007576F0">
        <w:rPr>
          <w:rFonts w:ascii="標楷體" w:eastAsia="標楷體" w:hAnsi="標楷體"/>
          <w:szCs w:val="24"/>
        </w:rPr>
        <w:t>≧</w:t>
      </w:r>
      <w:proofErr w:type="gramEnd"/>
      <w:r w:rsidRPr="007576F0">
        <w:rPr>
          <w:rFonts w:ascii="標楷體" w:eastAsia="標楷體" w:hAnsi="標楷體"/>
          <w:szCs w:val="24"/>
        </w:rPr>
        <w:t>2 ng/mL，並於至少3</w:t>
      </w:r>
      <w:proofErr w:type="gramStart"/>
      <w:r w:rsidRPr="007576F0">
        <w:rPr>
          <w:rFonts w:ascii="標楷體" w:eastAsia="標楷體" w:hAnsi="標楷體"/>
          <w:szCs w:val="24"/>
        </w:rPr>
        <w:t>週</w:t>
      </w:r>
      <w:proofErr w:type="gramEnd"/>
      <w:r w:rsidRPr="007576F0">
        <w:rPr>
          <w:rFonts w:ascii="標楷體" w:eastAsia="標楷體" w:hAnsi="標楷體"/>
          <w:szCs w:val="24"/>
        </w:rPr>
        <w:t>後，再次抽血確認PSA值有上升趨勢。</w:t>
      </w:r>
    </w:p>
    <w:p w14:paraId="77298E4C" w14:textId="77777777" w:rsidR="007576F0" w:rsidRPr="007576F0" w:rsidRDefault="007576F0" w:rsidP="007576F0">
      <w:pPr>
        <w:tabs>
          <w:tab w:val="left" w:pos="851"/>
        </w:tabs>
        <w:snapToGrid w:val="0"/>
        <w:spacing w:line="300" w:lineRule="exact"/>
        <w:ind w:left="846" w:hanging="280"/>
      </w:pPr>
      <w:r w:rsidRPr="007576F0">
        <w:rPr>
          <w:rFonts w:ascii="標楷體" w:eastAsia="標楷體" w:hAnsi="標楷體"/>
          <w:color w:val="000000"/>
          <w:szCs w:val="24"/>
        </w:rPr>
        <w:t>2.治療高風險轉移性的去勢敏感性前列腺癌(</w:t>
      </w:r>
      <w:proofErr w:type="spellStart"/>
      <w:r w:rsidRPr="007576F0">
        <w:rPr>
          <w:rFonts w:ascii="標楷體" w:eastAsia="標楷體" w:hAnsi="標楷體"/>
          <w:color w:val="000000"/>
          <w:szCs w:val="24"/>
        </w:rPr>
        <w:t>mCSPC</w:t>
      </w:r>
      <w:proofErr w:type="spellEnd"/>
      <w:r w:rsidRPr="007576F0">
        <w:rPr>
          <w:rFonts w:ascii="標楷體" w:eastAsia="標楷體" w:hAnsi="標楷體"/>
          <w:color w:val="000000"/>
          <w:szCs w:val="24"/>
        </w:rPr>
        <w:t>)，且與雄性素去除療法</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用，總療程以36個月為上限。高</w:t>
      </w:r>
      <w:r w:rsidRPr="007576F0">
        <w:rPr>
          <w:rFonts w:ascii="標楷體" w:eastAsia="標楷體" w:hAnsi="標楷體"/>
          <w:szCs w:val="24"/>
        </w:rPr>
        <w:t>風險需符合下列三項條件中至少兩項：（111/3/1、113/8/1</w:t>
      </w:r>
      <w:r w:rsidRPr="007576F0">
        <w:rPr>
          <w:rFonts w:ascii="標楷體" w:eastAsia="標楷體" w:hAnsi="標楷體" w:hint="eastAsia"/>
          <w:color w:val="000000"/>
          <w:szCs w:val="24"/>
        </w:rPr>
        <w:t>、114/10/1</w:t>
      </w:r>
      <w:r w:rsidRPr="007576F0">
        <w:rPr>
          <w:rFonts w:ascii="標楷體" w:eastAsia="標楷體" w:hAnsi="標楷體"/>
          <w:szCs w:val="24"/>
        </w:rPr>
        <w:t>）</w:t>
      </w:r>
    </w:p>
    <w:p w14:paraId="1044E057" w14:textId="77777777" w:rsidR="007576F0" w:rsidRPr="007576F0" w:rsidRDefault="007576F0" w:rsidP="007576F0">
      <w:pPr>
        <w:tabs>
          <w:tab w:val="left" w:pos="567"/>
        </w:tabs>
        <w:snapToGrid w:val="0"/>
        <w:spacing w:line="300" w:lineRule="exact"/>
        <w:ind w:left="1274" w:hanging="420"/>
      </w:pPr>
      <w:r w:rsidRPr="007576F0">
        <w:rPr>
          <w:rFonts w:ascii="標楷體" w:eastAsia="標楷體" w:hAnsi="標楷體"/>
          <w:szCs w:val="24"/>
        </w:rPr>
        <w:t>(1)葛里森分數(Gleason score)</w:t>
      </w:r>
      <w:proofErr w:type="gramStart"/>
      <w:r w:rsidRPr="007576F0">
        <w:rPr>
          <w:rFonts w:ascii="標楷體" w:eastAsia="標楷體" w:hAnsi="標楷體" w:cs="新細明體"/>
          <w:szCs w:val="24"/>
        </w:rPr>
        <w:t>≧</w:t>
      </w:r>
      <w:proofErr w:type="gramEnd"/>
      <w:r w:rsidRPr="007576F0">
        <w:rPr>
          <w:rFonts w:ascii="標楷體" w:eastAsia="標楷體" w:hAnsi="標楷體"/>
          <w:szCs w:val="24"/>
        </w:rPr>
        <w:t>8。</w:t>
      </w:r>
    </w:p>
    <w:p w14:paraId="3D5F1E48" w14:textId="77777777" w:rsidR="007576F0" w:rsidRPr="007576F0" w:rsidRDefault="007576F0" w:rsidP="007576F0">
      <w:pPr>
        <w:tabs>
          <w:tab w:val="left" w:pos="567"/>
        </w:tabs>
        <w:snapToGrid w:val="0"/>
        <w:spacing w:line="300" w:lineRule="exact"/>
        <w:ind w:left="1274" w:hanging="420"/>
      </w:pPr>
      <w:r w:rsidRPr="007576F0">
        <w:rPr>
          <w:rFonts w:ascii="標楷體" w:eastAsia="標楷體" w:hAnsi="標楷體"/>
          <w:szCs w:val="24"/>
        </w:rPr>
        <w:t>(2)骨骼掃描出現三個(含)以上病灶且至少其中一處以上為非脊柱</w:t>
      </w:r>
      <w:proofErr w:type="gramStart"/>
      <w:r w:rsidRPr="007576F0">
        <w:rPr>
          <w:rFonts w:ascii="標楷體" w:eastAsia="標楷體" w:hAnsi="標楷體"/>
          <w:szCs w:val="24"/>
        </w:rPr>
        <w:t>及非骨盆腔</w:t>
      </w:r>
      <w:proofErr w:type="gramEnd"/>
      <w:r w:rsidRPr="007576F0">
        <w:rPr>
          <w:rFonts w:ascii="標楷體" w:eastAsia="標楷體" w:hAnsi="標楷體"/>
          <w:szCs w:val="24"/>
        </w:rPr>
        <w:t>轉移。（111/3/1、113/8/1）</w:t>
      </w:r>
    </w:p>
    <w:p w14:paraId="05197E3C" w14:textId="77777777" w:rsidR="007576F0" w:rsidRPr="007576F0" w:rsidRDefault="007576F0" w:rsidP="007576F0">
      <w:pPr>
        <w:tabs>
          <w:tab w:val="left" w:pos="567"/>
        </w:tabs>
        <w:snapToGrid w:val="0"/>
        <w:spacing w:line="300" w:lineRule="exact"/>
        <w:ind w:left="1274" w:hanging="420"/>
      </w:pPr>
      <w:r w:rsidRPr="007576F0">
        <w:rPr>
          <w:rFonts w:ascii="標楷體" w:eastAsia="標楷體" w:hAnsi="標楷體"/>
          <w:color w:val="000000"/>
          <w:szCs w:val="24"/>
        </w:rPr>
        <w:t>(3)出現內臟轉移。</w:t>
      </w:r>
    </w:p>
    <w:p w14:paraId="3E0C819D" w14:textId="77777777" w:rsidR="007576F0" w:rsidRPr="007576F0" w:rsidRDefault="007576F0" w:rsidP="007576F0">
      <w:pPr>
        <w:tabs>
          <w:tab w:val="left" w:pos="851"/>
        </w:tabs>
        <w:snapToGrid w:val="0"/>
        <w:spacing w:line="300" w:lineRule="exact"/>
        <w:ind w:left="846" w:hanging="280"/>
      </w:pPr>
      <w:r w:rsidRPr="007576F0">
        <w:rPr>
          <w:rFonts w:ascii="標楷體" w:eastAsia="標楷體" w:hAnsi="標楷體"/>
          <w:color w:val="000000"/>
          <w:szCs w:val="24"/>
        </w:rPr>
        <w:t>3.治療藥物或手術去勢抗性的轉移性前列腺癌(</w:t>
      </w:r>
      <w:proofErr w:type="spellStart"/>
      <w:r w:rsidRPr="007576F0">
        <w:rPr>
          <w:rFonts w:ascii="標楷體" w:eastAsia="標楷體" w:hAnsi="標楷體"/>
          <w:color w:val="000000"/>
          <w:szCs w:val="24"/>
        </w:rPr>
        <w:t>mCRPC</w:t>
      </w:r>
      <w:proofErr w:type="spellEnd"/>
      <w:r w:rsidRPr="007576F0">
        <w:rPr>
          <w:rFonts w:ascii="標楷體" w:eastAsia="標楷體" w:hAnsi="標楷體"/>
          <w:color w:val="000000"/>
          <w:szCs w:val="24"/>
        </w:rPr>
        <w:t>)，且在雄性素去除療法</w:t>
      </w:r>
      <w:proofErr w:type="gramStart"/>
      <w:r w:rsidRPr="007576F0">
        <w:rPr>
          <w:rFonts w:ascii="標楷體" w:eastAsia="標楷體" w:hAnsi="標楷體"/>
          <w:color w:val="000000"/>
          <w:szCs w:val="24"/>
        </w:rPr>
        <w:t>失敗後屬無</w:t>
      </w:r>
      <w:proofErr w:type="gramEnd"/>
      <w:r w:rsidRPr="007576F0">
        <w:rPr>
          <w:rFonts w:ascii="標楷體" w:eastAsia="標楷體" w:hAnsi="標楷體"/>
          <w:color w:val="000000"/>
          <w:szCs w:val="24"/>
        </w:rPr>
        <w:t>症狀或輕度症狀(ECOG分數0或1)，未曾接受化學治療者：(106/9/1)</w:t>
      </w:r>
    </w:p>
    <w:p w14:paraId="00D53842" w14:textId="77777777" w:rsidR="007576F0" w:rsidRPr="007576F0" w:rsidRDefault="007576F0" w:rsidP="007576F0">
      <w:pPr>
        <w:tabs>
          <w:tab w:val="left" w:pos="567"/>
        </w:tabs>
        <w:snapToGrid w:val="0"/>
        <w:spacing w:line="300" w:lineRule="exact"/>
        <w:ind w:left="1274" w:hanging="420"/>
      </w:pPr>
      <w:r w:rsidRPr="007576F0">
        <w:rPr>
          <w:rFonts w:ascii="標楷體" w:eastAsia="標楷體" w:hAnsi="標楷體"/>
          <w:color w:val="000000"/>
          <w:szCs w:val="24"/>
        </w:rPr>
        <w:t>(1)若病患先前接受雄性素去除療法時，在小於12個月的時間內</w:t>
      </w:r>
      <w:proofErr w:type="gramStart"/>
      <w:r w:rsidRPr="007576F0">
        <w:rPr>
          <w:rFonts w:ascii="標楷體" w:eastAsia="標楷體" w:hAnsi="標楷體"/>
          <w:color w:val="000000"/>
          <w:szCs w:val="24"/>
        </w:rPr>
        <w:t>演化成去勢</w:t>
      </w:r>
      <w:proofErr w:type="gramEnd"/>
      <w:r w:rsidRPr="007576F0">
        <w:rPr>
          <w:rFonts w:ascii="標楷體" w:eastAsia="標楷體" w:hAnsi="標楷體"/>
          <w:color w:val="000000"/>
          <w:szCs w:val="24"/>
        </w:rPr>
        <w:t>抗性前列腺癌(CRPC)，且葛里森分數(Gleason score)</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8時，不得於使用化學治療前使用enzalutamide。(106/9/1)</w:t>
      </w:r>
    </w:p>
    <w:p w14:paraId="0EDBF5C0" w14:textId="77777777" w:rsidR="007576F0" w:rsidRPr="007576F0" w:rsidRDefault="007576F0" w:rsidP="007576F0">
      <w:pPr>
        <w:tabs>
          <w:tab w:val="left" w:pos="567"/>
        </w:tabs>
        <w:snapToGrid w:val="0"/>
        <w:spacing w:line="300" w:lineRule="exact"/>
        <w:ind w:left="1274" w:hanging="420"/>
        <w:rPr>
          <w:rFonts w:ascii="標楷體" w:eastAsia="標楷體" w:hAnsi="標楷體"/>
          <w:color w:val="000000"/>
          <w:szCs w:val="24"/>
        </w:rPr>
      </w:pPr>
      <w:r w:rsidRPr="007576F0">
        <w:rPr>
          <w:rFonts w:ascii="標楷體" w:eastAsia="標楷體" w:hAnsi="標楷體"/>
          <w:color w:val="000000"/>
          <w:szCs w:val="24"/>
        </w:rPr>
        <w:t>(2)申請時需另檢</w:t>
      </w:r>
      <w:proofErr w:type="gramStart"/>
      <w:r w:rsidRPr="007576F0">
        <w:rPr>
          <w:rFonts w:ascii="標楷體" w:eastAsia="標楷體" w:hAnsi="標楷體"/>
          <w:color w:val="000000"/>
          <w:szCs w:val="24"/>
        </w:rPr>
        <w:t>附</w:t>
      </w:r>
      <w:proofErr w:type="gramEnd"/>
      <w:r w:rsidRPr="007576F0">
        <w:rPr>
          <w:rFonts w:ascii="標楷體" w:eastAsia="標楷體" w:hAnsi="標楷體"/>
          <w:color w:val="000000"/>
          <w:szCs w:val="24"/>
        </w:rPr>
        <w:t>：(106/9/1)</w:t>
      </w:r>
    </w:p>
    <w:p w14:paraId="276F7BF4" w14:textId="77777777" w:rsidR="007576F0" w:rsidRPr="007576F0" w:rsidRDefault="007576F0" w:rsidP="007576F0">
      <w:pPr>
        <w:tabs>
          <w:tab w:val="left" w:pos="567"/>
        </w:tabs>
        <w:snapToGrid w:val="0"/>
        <w:spacing w:line="300" w:lineRule="exact"/>
        <w:ind w:left="1559" w:hanging="280"/>
        <w:rPr>
          <w:rFonts w:ascii="標楷體" w:eastAsia="標楷體" w:hAnsi="標楷體"/>
          <w:color w:val="000000"/>
          <w:szCs w:val="24"/>
        </w:rPr>
      </w:pPr>
      <w:r w:rsidRPr="007576F0">
        <w:rPr>
          <w:rFonts w:ascii="標楷體" w:eastAsia="標楷體" w:hAnsi="標楷體"/>
          <w:color w:val="000000"/>
          <w:szCs w:val="24"/>
        </w:rPr>
        <w:t>I.用藥紀錄(證明未常規使用止痛藥物，屬無症狀或輕度症狀)。</w:t>
      </w:r>
    </w:p>
    <w:p w14:paraId="7AF2FD44" w14:textId="77777777" w:rsidR="007576F0" w:rsidRPr="007576F0" w:rsidRDefault="007576F0" w:rsidP="007576F0">
      <w:pPr>
        <w:tabs>
          <w:tab w:val="left" w:pos="567"/>
        </w:tabs>
        <w:snapToGrid w:val="0"/>
        <w:spacing w:line="300" w:lineRule="exact"/>
        <w:ind w:left="1559" w:hanging="280"/>
        <w:rPr>
          <w:rFonts w:ascii="標楷體" w:eastAsia="標楷體" w:hAnsi="標楷體"/>
          <w:color w:val="000000"/>
          <w:szCs w:val="24"/>
        </w:rPr>
      </w:pPr>
      <w:r w:rsidRPr="007576F0">
        <w:rPr>
          <w:rFonts w:ascii="標楷體" w:eastAsia="標楷體" w:hAnsi="標楷體"/>
          <w:color w:val="000000"/>
          <w:szCs w:val="24"/>
        </w:rPr>
        <w:t>II.三個月內影像報告證明無臟器轉移。</w:t>
      </w:r>
    </w:p>
    <w:p w14:paraId="56EB160C" w14:textId="77777777" w:rsidR="007576F0" w:rsidRPr="007576F0" w:rsidRDefault="007576F0" w:rsidP="007576F0">
      <w:pPr>
        <w:tabs>
          <w:tab w:val="left" w:pos="851"/>
        </w:tabs>
        <w:snapToGrid w:val="0"/>
        <w:spacing w:line="300" w:lineRule="exact"/>
        <w:ind w:left="846" w:hanging="280"/>
      </w:pPr>
      <w:r w:rsidRPr="007576F0">
        <w:rPr>
          <w:rFonts w:ascii="標楷體" w:eastAsia="標楷體" w:hAnsi="標楷體"/>
          <w:color w:val="000000"/>
          <w:szCs w:val="24"/>
        </w:rPr>
        <w:t>4.治療藥物或手術去勢抗性的轉移性前列腺癌(ECOG分數須</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2)且已使用過docetaxel 2個療程以上治療無效者。</w:t>
      </w:r>
    </w:p>
    <w:p w14:paraId="13B9A1A7" w14:textId="77777777" w:rsidR="007576F0" w:rsidRPr="007576F0" w:rsidRDefault="007576F0" w:rsidP="007576F0">
      <w:pPr>
        <w:tabs>
          <w:tab w:val="left" w:pos="851"/>
        </w:tabs>
        <w:snapToGrid w:val="0"/>
        <w:spacing w:line="300" w:lineRule="exact"/>
        <w:ind w:left="846" w:hanging="280"/>
      </w:pPr>
      <w:r w:rsidRPr="007576F0">
        <w:rPr>
          <w:rFonts w:ascii="標楷體" w:eastAsia="標楷體" w:hAnsi="標楷體"/>
          <w:color w:val="000000"/>
          <w:szCs w:val="24"/>
        </w:rPr>
        <w:t>5.前述2、3</w:t>
      </w:r>
      <w:r w:rsidRPr="007576F0">
        <w:rPr>
          <w:rFonts w:ascii="標楷體" w:eastAsia="標楷體" w:hAnsi="標楷體"/>
          <w:szCs w:val="24"/>
        </w:rPr>
        <w:t>、4</w:t>
      </w:r>
      <w:r w:rsidRPr="007576F0">
        <w:rPr>
          <w:rFonts w:ascii="標楷體" w:eastAsia="標楷體" w:hAnsi="標楷體"/>
          <w:color w:val="000000"/>
          <w:szCs w:val="24"/>
        </w:rPr>
        <w:t>項須經事前審查核准後使用，每3個月需再次申請。（111/3/1、112/9/1）</w:t>
      </w:r>
    </w:p>
    <w:p w14:paraId="537B4E98" w14:textId="77777777" w:rsidR="007576F0" w:rsidRPr="007576F0" w:rsidRDefault="007576F0" w:rsidP="007576F0">
      <w:pPr>
        <w:tabs>
          <w:tab w:val="left" w:pos="567"/>
        </w:tabs>
        <w:snapToGrid w:val="0"/>
        <w:spacing w:line="300" w:lineRule="exact"/>
        <w:ind w:left="1274" w:hanging="420"/>
        <w:rPr>
          <w:rFonts w:ascii="標楷體" w:eastAsia="標楷體" w:hAnsi="標楷體"/>
          <w:color w:val="000000"/>
          <w:szCs w:val="24"/>
        </w:rPr>
      </w:pPr>
      <w:r w:rsidRPr="007576F0">
        <w:rPr>
          <w:rFonts w:ascii="標楷體" w:eastAsia="標楷體" w:hAnsi="標楷體"/>
          <w:color w:val="000000"/>
          <w:szCs w:val="24"/>
        </w:rPr>
        <w:t>(1)申請時需檢附病理報告、使用雄性素去除療法紀錄及系列PSA和</w:t>
      </w:r>
      <w:proofErr w:type="gramStart"/>
      <w:r w:rsidRPr="007576F0">
        <w:rPr>
          <w:rFonts w:ascii="標楷體" w:eastAsia="標楷體" w:hAnsi="標楷體"/>
          <w:color w:val="000000"/>
          <w:szCs w:val="24"/>
        </w:rPr>
        <w:t>睪固酮</w:t>
      </w:r>
      <w:proofErr w:type="gramEnd"/>
      <w:r w:rsidRPr="007576F0">
        <w:rPr>
          <w:rFonts w:ascii="標楷體" w:eastAsia="標楷體" w:hAnsi="標楷體"/>
          <w:color w:val="000000"/>
          <w:szCs w:val="24"/>
        </w:rPr>
        <w:t>數據。(106/9/1)</w:t>
      </w:r>
    </w:p>
    <w:p w14:paraId="3C830FA3" w14:textId="77777777" w:rsidR="007576F0" w:rsidRPr="007576F0" w:rsidRDefault="007576F0" w:rsidP="007576F0">
      <w:pPr>
        <w:tabs>
          <w:tab w:val="left" w:pos="567"/>
        </w:tabs>
        <w:snapToGrid w:val="0"/>
        <w:spacing w:line="300" w:lineRule="exact"/>
        <w:ind w:left="1274" w:hanging="420"/>
        <w:rPr>
          <w:rFonts w:ascii="標楷體" w:eastAsia="標楷體" w:hAnsi="標楷體"/>
          <w:color w:val="000000"/>
          <w:szCs w:val="24"/>
        </w:rPr>
      </w:pPr>
      <w:r w:rsidRPr="007576F0">
        <w:rPr>
          <w:rFonts w:ascii="標楷體" w:eastAsia="標楷體" w:hAnsi="標楷體"/>
          <w:color w:val="000000"/>
          <w:szCs w:val="24"/>
        </w:rPr>
        <w:t>(2)再申請時若PSA值下降未超過治療前的50%以上，則需停藥。(106/9/1、109/10/1)</w:t>
      </w:r>
    </w:p>
    <w:p w14:paraId="0AFBA1B5" w14:textId="77777777" w:rsidR="007576F0" w:rsidRPr="007576F0" w:rsidRDefault="007576F0" w:rsidP="007576F0">
      <w:pPr>
        <w:tabs>
          <w:tab w:val="left" w:pos="567"/>
        </w:tabs>
        <w:snapToGrid w:val="0"/>
        <w:spacing w:line="300" w:lineRule="exact"/>
        <w:ind w:left="1274" w:hanging="420"/>
      </w:pPr>
      <w:r w:rsidRPr="007576F0">
        <w:rPr>
          <w:rFonts w:ascii="標楷體" w:eastAsia="標楷體" w:hAnsi="標楷體"/>
          <w:color w:val="000000"/>
          <w:szCs w:val="24"/>
        </w:rPr>
        <w:t>(3)下降達</w:t>
      </w:r>
      <w:proofErr w:type="gramStart"/>
      <w:r w:rsidRPr="007576F0">
        <w:rPr>
          <w:rFonts w:ascii="標楷體" w:eastAsia="標楷體" w:hAnsi="標楷體"/>
          <w:color w:val="000000"/>
          <w:szCs w:val="24"/>
        </w:rPr>
        <w:t>最低值後之</w:t>
      </w:r>
      <w:proofErr w:type="gramEnd"/>
      <w:r w:rsidRPr="007576F0">
        <w:rPr>
          <w:rFonts w:ascii="標楷體" w:eastAsia="標楷體" w:hAnsi="標楷體"/>
          <w:color w:val="000000"/>
          <w:szCs w:val="24"/>
        </w:rPr>
        <w:t>持續追蹤出現PSA較最低值上升50%以上且PSA</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2ng/ml，則需停藥，但影像學證據尚無疾病進展者，可以繼續使用。(106/9/1、109/10/1)</w:t>
      </w:r>
    </w:p>
    <w:p w14:paraId="727746C9" w14:textId="77777777" w:rsidR="007576F0" w:rsidRPr="007576F0" w:rsidRDefault="007576F0" w:rsidP="007576F0">
      <w:pPr>
        <w:tabs>
          <w:tab w:val="left" w:pos="851"/>
        </w:tabs>
        <w:snapToGrid w:val="0"/>
        <w:spacing w:line="300" w:lineRule="exact"/>
        <w:ind w:left="846" w:hanging="280"/>
      </w:pPr>
      <w:r w:rsidRPr="007576F0">
        <w:rPr>
          <w:rFonts w:ascii="標楷體" w:eastAsia="標楷體" w:hAnsi="標楷體"/>
          <w:color w:val="000000"/>
          <w:szCs w:val="24"/>
        </w:rPr>
        <w:t>6.去勢抗性前列腺癌(CRPC)病患若於化學治療前先使用過enzalutamide，當化學治療失敗後不得再申請使用enzalutamide。(106/9/1)</w:t>
      </w:r>
    </w:p>
    <w:p w14:paraId="64E38966" w14:textId="77777777" w:rsidR="007576F0" w:rsidRPr="007576F0" w:rsidRDefault="007576F0" w:rsidP="007576F0">
      <w:pPr>
        <w:tabs>
          <w:tab w:val="left" w:pos="851"/>
        </w:tabs>
        <w:snapToGrid w:val="0"/>
        <w:spacing w:line="300" w:lineRule="exact"/>
        <w:ind w:left="846" w:hanging="280"/>
      </w:pPr>
      <w:r w:rsidRPr="007576F0">
        <w:rPr>
          <w:rFonts w:ascii="標楷體" w:eastAsia="標楷體" w:hAnsi="標楷體"/>
          <w:color w:val="000000"/>
          <w:szCs w:val="24"/>
        </w:rPr>
        <w:t>7.不論病人處於轉移或非轉移的狀態下，新型荷爾蒙藥品(abiraterone、apalutamide、</w:t>
      </w:r>
      <w:proofErr w:type="spellStart"/>
      <w:r w:rsidRPr="007576F0">
        <w:rPr>
          <w:rFonts w:ascii="標楷體" w:eastAsia="標楷體" w:hAnsi="標楷體"/>
          <w:color w:val="000000"/>
          <w:szCs w:val="24"/>
        </w:rPr>
        <w:t>darolutamide</w:t>
      </w:r>
      <w:proofErr w:type="spellEnd"/>
      <w:r w:rsidRPr="007576F0">
        <w:rPr>
          <w:rFonts w:ascii="標楷體" w:eastAsia="標楷體" w:hAnsi="標楷體"/>
          <w:color w:val="000000"/>
          <w:szCs w:val="24"/>
        </w:rPr>
        <w:t>和enzalutamide) 及</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 xml:space="preserve"> 與 abiraterone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用，終生僅給付一種治療，且除非出現嚴重不耐受反應導致必須永久停止治療，不得互換。(112/9/1、114/6/1)</w:t>
      </w:r>
    </w:p>
    <w:p w14:paraId="081AFBFA" w14:textId="77777777" w:rsidR="007576F0" w:rsidRPr="007576F0" w:rsidRDefault="007576F0" w:rsidP="007576F0">
      <w:pPr>
        <w:tabs>
          <w:tab w:val="left" w:pos="851"/>
        </w:tabs>
        <w:snapToGrid w:val="0"/>
        <w:spacing w:line="300" w:lineRule="exact"/>
        <w:ind w:left="846" w:hanging="280"/>
      </w:pPr>
      <w:r w:rsidRPr="007576F0">
        <w:rPr>
          <w:rFonts w:ascii="標楷體" w:eastAsia="標楷體" w:hAnsi="標楷體"/>
          <w:color w:val="000000"/>
          <w:szCs w:val="24"/>
        </w:rPr>
        <w:t>8.</w:t>
      </w:r>
      <w:proofErr w:type="gramStart"/>
      <w:r w:rsidRPr="007576F0">
        <w:rPr>
          <w:rFonts w:ascii="標楷體" w:eastAsia="標楷體" w:hAnsi="標楷體"/>
          <w:color w:val="000000"/>
          <w:szCs w:val="24"/>
        </w:rPr>
        <w:t>本品與</w:t>
      </w:r>
      <w:proofErr w:type="gramEnd"/>
      <w:r w:rsidRPr="007576F0">
        <w:rPr>
          <w:rFonts w:ascii="標楷體" w:eastAsia="標楷體" w:hAnsi="標楷體"/>
          <w:color w:val="000000"/>
          <w:szCs w:val="24"/>
        </w:rPr>
        <w:t>radium-223 dichloride不得合併使用。(108/3/1)</w:t>
      </w:r>
      <w:bookmarkEnd w:id="48"/>
    </w:p>
    <w:p w14:paraId="0E416B35" w14:textId="77777777" w:rsidR="007576F0" w:rsidRPr="007576F0" w:rsidRDefault="007576F0" w:rsidP="007576F0">
      <w:pPr>
        <w:spacing w:line="300" w:lineRule="exact"/>
        <w:ind w:left="708" w:hanging="338"/>
        <w:rPr>
          <w:rFonts w:ascii="標楷體" w:eastAsia="標楷體" w:hAnsi="標楷體"/>
          <w:color w:val="000000"/>
          <w:szCs w:val="24"/>
        </w:rPr>
      </w:pPr>
      <w:bookmarkStart w:id="49" w:name="_Hlk209192352"/>
      <w:r w:rsidRPr="007576F0">
        <w:rPr>
          <w:rFonts w:ascii="標楷體" w:eastAsia="標楷體" w:hAnsi="標楷體"/>
          <w:color w:val="000000"/>
          <w:szCs w:val="24"/>
        </w:rPr>
        <w:t>9.55.</w:t>
      </w:r>
      <w:r w:rsidRPr="007576F0">
        <w:rPr>
          <w:rFonts w:ascii="標楷體" w:eastAsia="標楷體" w:hAnsi="標楷體"/>
          <w:color w:val="000000"/>
        </w:rPr>
        <w:t>Ruxolitinib</w:t>
      </w:r>
      <w:r w:rsidRPr="007576F0">
        <w:rPr>
          <w:rFonts w:ascii="標楷體" w:eastAsia="標楷體" w:hAnsi="標楷體"/>
          <w:color w:val="000000"/>
          <w:szCs w:val="24"/>
        </w:rPr>
        <w:t>(</w:t>
      </w:r>
      <w:r w:rsidRPr="007576F0">
        <w:rPr>
          <w:rFonts w:ascii="標楷體" w:eastAsia="標楷體" w:hAnsi="標楷體" w:hint="eastAsia"/>
          <w:color w:val="000000"/>
          <w:szCs w:val="24"/>
        </w:rPr>
        <w:t>如</w:t>
      </w:r>
      <w:proofErr w:type="spellStart"/>
      <w:r w:rsidRPr="007576F0">
        <w:rPr>
          <w:rFonts w:ascii="標楷體" w:eastAsia="標楷體" w:hAnsi="標楷體"/>
          <w:color w:val="000000"/>
          <w:szCs w:val="24"/>
        </w:rPr>
        <w:t>Jakavi</w:t>
      </w:r>
      <w:proofErr w:type="spellEnd"/>
      <w:r w:rsidRPr="007576F0">
        <w:rPr>
          <w:rFonts w:ascii="標楷體" w:eastAsia="標楷體" w:hAnsi="標楷體"/>
          <w:color w:val="000000"/>
          <w:szCs w:val="24"/>
        </w:rPr>
        <w:t>)</w:t>
      </w:r>
      <w:r w:rsidRPr="007576F0">
        <w:rPr>
          <w:rFonts w:ascii="標楷體" w:eastAsia="標楷體" w:hAnsi="標楷體" w:hint="eastAsia"/>
          <w:color w:val="000000"/>
          <w:szCs w:val="24"/>
        </w:rPr>
        <w:t>：</w:t>
      </w:r>
      <w:r w:rsidRPr="007576F0">
        <w:rPr>
          <w:rFonts w:ascii="標楷體" w:eastAsia="標楷體" w:hAnsi="標楷體"/>
          <w:color w:val="000000"/>
          <w:szCs w:val="24"/>
        </w:rPr>
        <w:t>(105/10/1</w:t>
      </w:r>
      <w:r w:rsidRPr="007576F0">
        <w:rPr>
          <w:rFonts w:ascii="標楷體" w:eastAsia="標楷體" w:hAnsi="標楷體" w:hint="eastAsia"/>
          <w:color w:val="000000"/>
          <w:szCs w:val="24"/>
        </w:rPr>
        <w:t>、</w:t>
      </w:r>
      <w:r w:rsidRPr="007576F0">
        <w:rPr>
          <w:rFonts w:ascii="標楷體" w:eastAsia="標楷體" w:hAnsi="標楷體"/>
          <w:color w:val="000000"/>
          <w:szCs w:val="24"/>
        </w:rPr>
        <w:t>113/3/1</w:t>
      </w:r>
      <w:r w:rsidRPr="007576F0">
        <w:rPr>
          <w:rFonts w:ascii="標楷體" w:eastAsia="標楷體" w:hAnsi="標楷體" w:hint="eastAsia"/>
          <w:color w:val="000000"/>
          <w:szCs w:val="24"/>
        </w:rPr>
        <w:t>、</w:t>
      </w:r>
      <w:r w:rsidRPr="007576F0">
        <w:rPr>
          <w:rFonts w:ascii="標楷體" w:eastAsia="標楷體" w:hAnsi="標楷體"/>
          <w:color w:val="000000"/>
          <w:szCs w:val="24"/>
        </w:rPr>
        <w:t>113/6/1</w:t>
      </w:r>
      <w:r w:rsidRPr="007576F0">
        <w:rPr>
          <w:rFonts w:ascii="標楷體" w:eastAsia="標楷體" w:hAnsi="標楷體" w:hint="eastAsia"/>
          <w:color w:val="000000"/>
          <w:szCs w:val="24"/>
        </w:rPr>
        <w:t>、</w:t>
      </w:r>
      <w:r w:rsidRPr="007576F0">
        <w:rPr>
          <w:rFonts w:ascii="標楷體" w:eastAsia="標楷體" w:hAnsi="標楷體"/>
          <w:color w:val="000000"/>
          <w:szCs w:val="24"/>
        </w:rPr>
        <w:t>114/1/1</w:t>
      </w:r>
      <w:r w:rsidRPr="007576F0">
        <w:rPr>
          <w:rFonts w:ascii="標楷體" w:eastAsia="標楷體" w:hAnsi="標楷體" w:hint="eastAsia"/>
          <w:color w:val="000000"/>
          <w:szCs w:val="24"/>
        </w:rPr>
        <w:t>、114</w:t>
      </w:r>
      <w:r w:rsidRPr="007576F0">
        <w:rPr>
          <w:rFonts w:ascii="標楷體" w:eastAsia="標楷體" w:hAnsi="標楷體"/>
          <w:color w:val="000000"/>
          <w:szCs w:val="24"/>
        </w:rPr>
        <w:t>/</w:t>
      </w:r>
      <w:r w:rsidRPr="007576F0">
        <w:rPr>
          <w:rFonts w:ascii="標楷體" w:eastAsia="標楷體" w:hAnsi="標楷體" w:hint="eastAsia"/>
          <w:color w:val="000000"/>
          <w:szCs w:val="24"/>
        </w:rPr>
        <w:t>10</w:t>
      </w:r>
      <w:r w:rsidRPr="007576F0">
        <w:rPr>
          <w:rFonts w:ascii="標楷體" w:eastAsia="標楷體" w:hAnsi="標楷體"/>
          <w:color w:val="000000"/>
          <w:szCs w:val="24"/>
        </w:rPr>
        <w:t>/1)</w:t>
      </w:r>
    </w:p>
    <w:p w14:paraId="7EBA8B5E" w14:textId="77777777" w:rsidR="007576F0" w:rsidRPr="007576F0" w:rsidRDefault="007576F0" w:rsidP="007576F0">
      <w:pPr>
        <w:tabs>
          <w:tab w:val="left" w:pos="851"/>
        </w:tabs>
        <w:snapToGrid w:val="0"/>
        <w:spacing w:line="300" w:lineRule="exact"/>
        <w:ind w:left="846" w:hanging="280"/>
        <w:rPr>
          <w:rFonts w:ascii="標楷體" w:eastAsia="標楷體" w:hAnsi="標楷體"/>
          <w:kern w:val="0"/>
          <w:szCs w:val="24"/>
        </w:rPr>
      </w:pPr>
      <w:r w:rsidRPr="007576F0">
        <w:rPr>
          <w:rFonts w:ascii="標楷體" w:eastAsia="標楷體" w:hAnsi="標楷體"/>
          <w:kern w:val="0"/>
          <w:szCs w:val="24"/>
        </w:rPr>
        <w:t>1.</w:t>
      </w:r>
      <w:r w:rsidRPr="007576F0">
        <w:rPr>
          <w:rFonts w:ascii="標楷體" w:eastAsia="標楷體" w:hAnsi="標楷體" w:hint="eastAsia"/>
          <w:kern w:val="0"/>
          <w:szCs w:val="24"/>
        </w:rPr>
        <w:t>用於治療</w:t>
      </w:r>
      <w:r w:rsidRPr="007576F0">
        <w:rPr>
          <w:rFonts w:ascii="標楷體" w:eastAsia="標楷體" w:hAnsi="標楷體"/>
          <w:color w:val="000000"/>
          <w:szCs w:val="24"/>
        </w:rPr>
        <w:t>International</w:t>
      </w:r>
      <w:r w:rsidRPr="007576F0">
        <w:rPr>
          <w:rFonts w:ascii="標楷體" w:eastAsia="標楷體" w:hAnsi="標楷體"/>
          <w:kern w:val="0"/>
          <w:szCs w:val="24"/>
        </w:rPr>
        <w:t xml:space="preserve"> Working </w:t>
      </w:r>
      <w:r w:rsidRPr="007576F0">
        <w:rPr>
          <w:rFonts w:ascii="標楷體" w:eastAsia="標楷體" w:hAnsi="標楷體" w:hint="eastAsia"/>
          <w:kern w:val="0"/>
          <w:szCs w:val="24"/>
        </w:rPr>
        <w:t xml:space="preserve"> </w:t>
      </w:r>
      <w:r w:rsidRPr="007576F0">
        <w:rPr>
          <w:rFonts w:ascii="標楷體" w:eastAsia="標楷體" w:hAnsi="標楷體"/>
          <w:kern w:val="0"/>
          <w:szCs w:val="24"/>
        </w:rPr>
        <w:t>Group(IWG) Consensus Criteria</w:t>
      </w:r>
      <w:r w:rsidRPr="007576F0">
        <w:rPr>
          <w:rFonts w:ascii="標楷體" w:eastAsia="標楷體" w:hAnsi="標楷體" w:hint="eastAsia"/>
          <w:kern w:val="0"/>
          <w:szCs w:val="24"/>
        </w:rPr>
        <w:t>中度風險</w:t>
      </w:r>
      <w:r w:rsidRPr="007576F0">
        <w:rPr>
          <w:rFonts w:ascii="標楷體" w:eastAsia="標楷體" w:hAnsi="標楷體"/>
          <w:kern w:val="0"/>
          <w:szCs w:val="24"/>
        </w:rPr>
        <w:t>-2</w:t>
      </w:r>
      <w:r w:rsidRPr="007576F0">
        <w:rPr>
          <w:rFonts w:ascii="標楷體" w:eastAsia="標楷體" w:hAnsi="標楷體" w:hint="eastAsia"/>
          <w:kern w:val="0"/>
          <w:szCs w:val="24"/>
        </w:rPr>
        <w:t>或高風險之骨髓纖維化，包括原發性骨髓纖維化、真性紅血球增多症後骨髓纖維化、或血小板增多症後骨髓纖維化等疾病所造成脾臟腫大</w:t>
      </w:r>
      <w:r w:rsidRPr="007576F0">
        <w:rPr>
          <w:rFonts w:ascii="標楷體" w:eastAsia="標楷體" w:hAnsi="標楷體"/>
          <w:kern w:val="0"/>
          <w:szCs w:val="24"/>
        </w:rPr>
        <w:t>(symptomatic splenomegaly)</w:t>
      </w:r>
      <w:r w:rsidRPr="007576F0">
        <w:rPr>
          <w:rFonts w:ascii="標楷體" w:eastAsia="標楷體" w:hAnsi="標楷體" w:hint="eastAsia"/>
          <w:kern w:val="0"/>
          <w:szCs w:val="24"/>
        </w:rPr>
        <w:lastRenderedPageBreak/>
        <w:t>及</w:t>
      </w:r>
      <w:r w:rsidRPr="007576F0">
        <w:rPr>
          <w:rFonts w:ascii="標楷體" w:eastAsia="標楷體" w:hAnsi="標楷體"/>
          <w:kern w:val="0"/>
          <w:szCs w:val="24"/>
        </w:rPr>
        <w:t>/</w:t>
      </w:r>
      <w:r w:rsidRPr="007576F0">
        <w:rPr>
          <w:rFonts w:ascii="標楷體" w:eastAsia="標楷體" w:hAnsi="標楷體" w:hint="eastAsia"/>
          <w:kern w:val="0"/>
          <w:szCs w:val="24"/>
        </w:rPr>
        <w:t>或其他相關全身症狀且不適於接受幹細胞移植</w:t>
      </w:r>
      <w:r w:rsidRPr="007576F0">
        <w:rPr>
          <w:rFonts w:ascii="標楷體" w:eastAsia="標楷體" w:hAnsi="標楷體" w:hint="eastAsia"/>
          <w:color w:val="000000"/>
          <w:kern w:val="0"/>
          <w:szCs w:val="24"/>
        </w:rPr>
        <w:t>的病人</w:t>
      </w:r>
      <w:r w:rsidRPr="007576F0">
        <w:rPr>
          <w:rFonts w:ascii="標楷體" w:eastAsia="標楷體" w:hAnsi="標楷體"/>
          <w:kern w:val="0"/>
          <w:szCs w:val="24"/>
        </w:rPr>
        <w:t>(stem cell transplantation)</w:t>
      </w:r>
      <w:r w:rsidRPr="007576F0">
        <w:rPr>
          <w:rFonts w:ascii="標楷體" w:eastAsia="標楷體" w:hAnsi="標楷體" w:hint="eastAsia"/>
          <w:kern w:val="0"/>
          <w:szCs w:val="24"/>
        </w:rPr>
        <w:t>。</w:t>
      </w:r>
    </w:p>
    <w:p w14:paraId="5581A16A" w14:textId="77777777" w:rsidR="007576F0" w:rsidRPr="007576F0" w:rsidRDefault="007576F0" w:rsidP="007576F0">
      <w:pPr>
        <w:tabs>
          <w:tab w:val="left" w:pos="567"/>
        </w:tabs>
        <w:snapToGrid w:val="0"/>
        <w:spacing w:line="300" w:lineRule="exact"/>
        <w:ind w:left="1274" w:hanging="420"/>
        <w:rPr>
          <w:rFonts w:ascii="標楷體" w:eastAsia="標楷體" w:hAnsi="標楷體"/>
          <w:color w:val="000000"/>
          <w:szCs w:val="24"/>
        </w:rPr>
      </w:pPr>
      <w:r w:rsidRPr="007576F0">
        <w:rPr>
          <w:rFonts w:ascii="標楷體" w:eastAsia="標楷體" w:hAnsi="標楷體"/>
          <w:color w:val="000000"/>
          <w:szCs w:val="24"/>
        </w:rPr>
        <w:t>(1)</w:t>
      </w:r>
      <w:r w:rsidRPr="007576F0">
        <w:rPr>
          <w:rFonts w:ascii="標楷體" w:eastAsia="標楷體" w:hAnsi="標楷體" w:hint="eastAsia"/>
          <w:color w:val="000000"/>
          <w:szCs w:val="24"/>
        </w:rPr>
        <w:t>需經事前審查核准後使用，每次申請之療程以</w:t>
      </w:r>
      <w:r w:rsidRPr="007576F0">
        <w:rPr>
          <w:rFonts w:ascii="標楷體" w:eastAsia="標楷體" w:hAnsi="標楷體"/>
          <w:color w:val="000000"/>
          <w:szCs w:val="24"/>
        </w:rPr>
        <w:t>6</w:t>
      </w:r>
      <w:r w:rsidRPr="007576F0">
        <w:rPr>
          <w:rFonts w:ascii="標楷體" w:eastAsia="標楷體" w:hAnsi="標楷體" w:hint="eastAsia"/>
          <w:color w:val="000000"/>
          <w:szCs w:val="24"/>
        </w:rPr>
        <w:t>個月為限，送審時需檢送影像資料及症狀改善之病歷紀錄，每</w:t>
      </w:r>
      <w:r w:rsidRPr="007576F0">
        <w:rPr>
          <w:rFonts w:ascii="標楷體" w:eastAsia="標楷體" w:hAnsi="標楷體"/>
          <w:color w:val="000000"/>
          <w:szCs w:val="24"/>
        </w:rPr>
        <w:t>6</w:t>
      </w:r>
      <w:r w:rsidRPr="007576F0">
        <w:rPr>
          <w:rFonts w:ascii="標楷體" w:eastAsia="標楷體" w:hAnsi="標楷體" w:hint="eastAsia"/>
          <w:color w:val="000000"/>
          <w:szCs w:val="24"/>
        </w:rPr>
        <w:t>個月評估一次。</w:t>
      </w:r>
    </w:p>
    <w:p w14:paraId="691A3A8B" w14:textId="77777777" w:rsidR="007576F0" w:rsidRPr="007576F0" w:rsidRDefault="007576F0" w:rsidP="007576F0">
      <w:pPr>
        <w:tabs>
          <w:tab w:val="left" w:pos="567"/>
        </w:tabs>
        <w:snapToGrid w:val="0"/>
        <w:spacing w:line="300" w:lineRule="exact"/>
        <w:ind w:left="1274" w:hanging="420"/>
        <w:rPr>
          <w:rFonts w:ascii="標楷體" w:eastAsia="標楷體" w:hAnsi="標楷體"/>
          <w:color w:val="000000"/>
          <w:kern w:val="0"/>
          <w:szCs w:val="24"/>
        </w:rPr>
      </w:pPr>
      <w:r w:rsidRPr="007576F0">
        <w:rPr>
          <w:rFonts w:ascii="標楷體" w:eastAsia="標楷體" w:hAnsi="標楷體"/>
          <w:color w:val="000000"/>
          <w:szCs w:val="24"/>
        </w:rPr>
        <w:t>(2)</w:t>
      </w:r>
      <w:r w:rsidRPr="007576F0">
        <w:rPr>
          <w:rFonts w:ascii="標楷體" w:eastAsia="標楷體" w:hAnsi="標楷體" w:hint="eastAsia"/>
          <w:color w:val="000000"/>
          <w:szCs w:val="24"/>
        </w:rPr>
        <w:t>用藥後第一次評估時，需達到症狀反應</w:t>
      </w:r>
      <w:r w:rsidRPr="007576F0">
        <w:rPr>
          <w:rFonts w:ascii="標楷體" w:eastAsia="標楷體" w:hAnsi="標楷體"/>
          <w:color w:val="000000"/>
          <w:szCs w:val="24"/>
        </w:rPr>
        <w:t>(symptom response)</w:t>
      </w:r>
      <w:r w:rsidRPr="007576F0">
        <w:rPr>
          <w:rFonts w:ascii="標楷體" w:eastAsia="標楷體" w:hAnsi="標楷體" w:hint="eastAsia"/>
          <w:color w:val="000000"/>
          <w:szCs w:val="24"/>
        </w:rPr>
        <w:t>或脾臟體積無惡化兩者之一，且同時</w:t>
      </w:r>
      <w:r w:rsidRPr="007576F0">
        <w:rPr>
          <w:rFonts w:ascii="標楷體" w:eastAsia="標楷體" w:hAnsi="標楷體" w:hint="eastAsia"/>
          <w:color w:val="000000"/>
          <w:kern w:val="0"/>
          <w:szCs w:val="24"/>
        </w:rPr>
        <w:t>無</w:t>
      </w:r>
      <w:r w:rsidRPr="007576F0">
        <w:rPr>
          <w:rFonts w:ascii="標楷體" w:eastAsia="標楷體" w:hAnsi="標楷體"/>
          <w:color w:val="000000"/>
          <w:kern w:val="0"/>
          <w:szCs w:val="24"/>
        </w:rPr>
        <w:t xml:space="preserve">AML </w:t>
      </w:r>
      <w:proofErr w:type="spellStart"/>
      <w:r w:rsidRPr="007576F0">
        <w:rPr>
          <w:rFonts w:ascii="標楷體" w:eastAsia="標楷體" w:hAnsi="標楷體"/>
          <w:color w:val="000000"/>
          <w:kern w:val="0"/>
          <w:szCs w:val="24"/>
        </w:rPr>
        <w:t>tranformation</w:t>
      </w:r>
      <w:proofErr w:type="spellEnd"/>
      <w:r w:rsidRPr="007576F0">
        <w:rPr>
          <w:rFonts w:ascii="標楷體" w:eastAsia="標楷體" w:hAnsi="標楷體" w:hint="eastAsia"/>
          <w:color w:val="000000"/>
          <w:kern w:val="0"/>
          <w:szCs w:val="24"/>
        </w:rPr>
        <w:t>，方得以繼續使用。分別定義如下：</w:t>
      </w:r>
      <w:r w:rsidRPr="007576F0">
        <w:rPr>
          <w:rFonts w:ascii="標楷體" w:eastAsia="標楷體" w:hAnsi="標楷體"/>
          <w:color w:val="000000"/>
          <w:kern w:val="0"/>
          <w:szCs w:val="24"/>
        </w:rPr>
        <w:t>(113/6/1)</w:t>
      </w:r>
    </w:p>
    <w:p w14:paraId="2E44DAF0" w14:textId="77777777" w:rsidR="007576F0" w:rsidRPr="007576F0" w:rsidRDefault="007576F0" w:rsidP="007576F0">
      <w:pPr>
        <w:autoSpaceDE w:val="0"/>
        <w:adjustRightInd w:val="0"/>
        <w:spacing w:line="300" w:lineRule="exact"/>
        <w:ind w:leftChars="445" w:left="1416" w:hangingChars="145" w:hanging="348"/>
        <w:rPr>
          <w:rFonts w:ascii="標楷體" w:eastAsia="標楷體" w:hAnsi="標楷體"/>
          <w:color w:val="000000"/>
          <w:kern w:val="0"/>
          <w:szCs w:val="24"/>
        </w:rPr>
      </w:pPr>
      <w:r w:rsidRPr="007576F0">
        <w:rPr>
          <w:rFonts w:ascii="標楷體" w:eastAsia="標楷體" w:hAnsi="標楷體" w:hint="eastAsia"/>
          <w:color w:val="000000"/>
          <w:kern w:val="0"/>
          <w:szCs w:val="24"/>
        </w:rPr>
        <w:t>Ⅰ</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症狀反應：</w:t>
      </w:r>
      <w:r w:rsidRPr="007576F0">
        <w:rPr>
          <w:rFonts w:ascii="標楷體" w:eastAsia="標楷體" w:hAnsi="標楷體"/>
          <w:color w:val="000000"/>
          <w:kern w:val="0"/>
          <w:szCs w:val="24"/>
        </w:rPr>
        <w:t>MPN-SAF-TSS</w:t>
      </w:r>
      <w:r w:rsidRPr="007576F0">
        <w:rPr>
          <w:rFonts w:ascii="標楷體" w:eastAsia="標楷體" w:hAnsi="標楷體" w:hint="eastAsia"/>
          <w:color w:val="000000"/>
          <w:kern w:val="0"/>
          <w:szCs w:val="24"/>
        </w:rPr>
        <w:t>分數或</w:t>
      </w:r>
      <w:r w:rsidRPr="007576F0">
        <w:rPr>
          <w:rFonts w:ascii="標楷體" w:eastAsia="標楷體" w:hAnsi="標楷體"/>
          <w:color w:val="000000"/>
          <w:kern w:val="0"/>
          <w:szCs w:val="24"/>
        </w:rPr>
        <w:t>MPN-10</w:t>
      </w:r>
      <w:r w:rsidRPr="007576F0">
        <w:rPr>
          <w:rFonts w:ascii="標楷體" w:eastAsia="標楷體" w:hAnsi="標楷體" w:hint="eastAsia"/>
          <w:color w:val="000000"/>
          <w:kern w:val="0"/>
          <w:szCs w:val="24"/>
        </w:rPr>
        <w:t>與治療前基準值相比，需下降超過</w:t>
      </w:r>
      <w:r w:rsidRPr="007576F0">
        <w:rPr>
          <w:rFonts w:ascii="標楷體" w:eastAsia="標楷體" w:hAnsi="標楷體"/>
          <w:color w:val="000000"/>
          <w:kern w:val="0"/>
          <w:szCs w:val="24"/>
        </w:rPr>
        <w:t>50%</w:t>
      </w:r>
      <w:r w:rsidRPr="007576F0">
        <w:rPr>
          <w:rFonts w:ascii="標楷體" w:eastAsia="標楷體" w:hAnsi="標楷體" w:hint="eastAsia"/>
          <w:color w:val="000000"/>
          <w:kern w:val="0"/>
          <w:szCs w:val="24"/>
        </w:rPr>
        <w:t>。</w:t>
      </w:r>
    </w:p>
    <w:p w14:paraId="228FE701" w14:textId="77777777" w:rsidR="007576F0" w:rsidRPr="007576F0" w:rsidRDefault="007576F0" w:rsidP="007576F0">
      <w:pPr>
        <w:autoSpaceDE w:val="0"/>
        <w:adjustRightInd w:val="0"/>
        <w:spacing w:line="300" w:lineRule="exact"/>
        <w:ind w:leftChars="445" w:left="1416" w:hangingChars="145" w:hanging="348"/>
        <w:rPr>
          <w:rFonts w:ascii="標楷體" w:eastAsia="標楷體" w:hAnsi="標楷體"/>
          <w:color w:val="000000"/>
          <w:kern w:val="0"/>
          <w:szCs w:val="24"/>
        </w:rPr>
      </w:pPr>
      <w:r w:rsidRPr="007576F0">
        <w:rPr>
          <w:rFonts w:ascii="標楷體" w:eastAsia="標楷體" w:hAnsi="標楷體" w:hint="eastAsia"/>
          <w:color w:val="000000"/>
          <w:kern w:val="0"/>
          <w:szCs w:val="24"/>
        </w:rPr>
        <w:t>Ⅱ</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脾臟體積無惡化：使用電腦斷層評估，脾臟長度未增加超過治療前基準值之</w:t>
      </w:r>
      <w:r w:rsidRPr="007576F0">
        <w:rPr>
          <w:rFonts w:ascii="標楷體" w:eastAsia="標楷體" w:hAnsi="標楷體"/>
          <w:color w:val="000000"/>
          <w:kern w:val="0"/>
          <w:szCs w:val="24"/>
        </w:rPr>
        <w:t>40%</w:t>
      </w:r>
      <w:r w:rsidRPr="007576F0">
        <w:rPr>
          <w:rFonts w:ascii="標楷體" w:eastAsia="標楷體" w:hAnsi="標楷體" w:hint="eastAsia"/>
          <w:color w:val="000000"/>
          <w:kern w:val="0"/>
          <w:szCs w:val="24"/>
        </w:rPr>
        <w:t>以上</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或體積增加未達</w:t>
      </w:r>
      <w:r w:rsidRPr="007576F0">
        <w:rPr>
          <w:rFonts w:ascii="標楷體" w:eastAsia="標楷體" w:hAnsi="標楷體"/>
          <w:color w:val="000000"/>
          <w:kern w:val="0"/>
          <w:szCs w:val="24"/>
        </w:rPr>
        <w:t>25%</w:t>
      </w:r>
      <w:r w:rsidRPr="007576F0">
        <w:rPr>
          <w:rFonts w:ascii="標楷體" w:eastAsia="標楷體" w:hAnsi="標楷體" w:hint="eastAsia"/>
          <w:color w:val="000000"/>
          <w:kern w:val="0"/>
          <w:szCs w:val="24"/>
        </w:rPr>
        <w:t>以上</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w:t>
      </w:r>
    </w:p>
    <w:p w14:paraId="059DE596" w14:textId="77777777" w:rsidR="007576F0" w:rsidRPr="007576F0" w:rsidRDefault="007576F0" w:rsidP="007576F0">
      <w:pPr>
        <w:autoSpaceDE w:val="0"/>
        <w:adjustRightInd w:val="0"/>
        <w:spacing w:line="300" w:lineRule="exact"/>
        <w:ind w:leftChars="445" w:left="1416" w:hangingChars="145" w:hanging="348"/>
        <w:rPr>
          <w:rFonts w:ascii="標楷體" w:eastAsia="標楷體" w:hAnsi="標楷體"/>
          <w:color w:val="000000"/>
          <w:kern w:val="0"/>
          <w:szCs w:val="24"/>
        </w:rPr>
      </w:pPr>
      <w:r w:rsidRPr="007576F0">
        <w:rPr>
          <w:rFonts w:ascii="標楷體" w:eastAsia="標楷體" w:hAnsi="標楷體" w:hint="eastAsia"/>
          <w:color w:val="000000"/>
          <w:kern w:val="0"/>
          <w:szCs w:val="24"/>
        </w:rPr>
        <w:t>Ⅲ</w:t>
      </w:r>
      <w:r w:rsidRPr="007576F0">
        <w:rPr>
          <w:rFonts w:ascii="標楷體" w:eastAsia="標楷體" w:hAnsi="標楷體"/>
          <w:color w:val="000000"/>
          <w:kern w:val="0"/>
          <w:szCs w:val="24"/>
        </w:rPr>
        <w:t>.AML transformation</w:t>
      </w:r>
      <w:r w:rsidRPr="007576F0">
        <w:rPr>
          <w:rFonts w:ascii="標楷體" w:eastAsia="標楷體" w:hAnsi="標楷體" w:hint="eastAsia"/>
          <w:color w:val="000000"/>
          <w:kern w:val="0"/>
          <w:szCs w:val="24"/>
        </w:rPr>
        <w:t>：骨髓中之芽細胞</w:t>
      </w:r>
      <w:r w:rsidRPr="007576F0">
        <w:rPr>
          <w:rFonts w:ascii="Times New Roman" w:eastAsia="標楷體" w:hAnsi="Times New Roman"/>
          <w:color w:val="000000"/>
          <w:kern w:val="0"/>
          <w:szCs w:val="24"/>
        </w:rPr>
        <w:t>≥</w:t>
      </w:r>
      <w:r w:rsidRPr="007576F0">
        <w:rPr>
          <w:rFonts w:ascii="標楷體" w:eastAsia="標楷體" w:hAnsi="標楷體"/>
          <w:color w:val="000000"/>
          <w:kern w:val="0"/>
          <w:szCs w:val="24"/>
        </w:rPr>
        <w:t>20%</w:t>
      </w:r>
      <w:r w:rsidRPr="007576F0">
        <w:rPr>
          <w:rFonts w:ascii="標楷體" w:eastAsia="標楷體" w:hAnsi="標楷體" w:hint="eastAsia"/>
          <w:color w:val="000000"/>
          <w:kern w:val="0"/>
          <w:szCs w:val="24"/>
        </w:rPr>
        <w:t>或血液中之芽細胞</w:t>
      </w:r>
      <w:r w:rsidRPr="007576F0">
        <w:rPr>
          <w:rFonts w:ascii="Times New Roman" w:eastAsia="標楷體" w:hAnsi="Times New Roman"/>
          <w:color w:val="000000"/>
          <w:kern w:val="0"/>
          <w:szCs w:val="24"/>
        </w:rPr>
        <w:t>≥</w:t>
      </w:r>
      <w:r w:rsidRPr="007576F0">
        <w:rPr>
          <w:rFonts w:ascii="標楷體" w:eastAsia="標楷體" w:hAnsi="標楷體"/>
          <w:color w:val="000000"/>
          <w:kern w:val="0"/>
          <w:szCs w:val="24"/>
        </w:rPr>
        <w:t>20%</w:t>
      </w:r>
      <w:r w:rsidRPr="007576F0">
        <w:rPr>
          <w:rFonts w:ascii="標楷體" w:eastAsia="標楷體" w:hAnsi="標楷體" w:hint="eastAsia"/>
          <w:color w:val="000000"/>
          <w:kern w:val="0"/>
          <w:szCs w:val="24"/>
        </w:rPr>
        <w:t>合併芽細胞數值</w:t>
      </w:r>
      <w:r w:rsidRPr="007576F0">
        <w:rPr>
          <w:rFonts w:ascii="Times New Roman" w:eastAsia="標楷體" w:hAnsi="Times New Roman"/>
          <w:color w:val="000000"/>
          <w:kern w:val="0"/>
          <w:szCs w:val="24"/>
        </w:rPr>
        <w:t>≥</w:t>
      </w:r>
      <w:r w:rsidRPr="007576F0">
        <w:rPr>
          <w:rFonts w:ascii="標楷體" w:eastAsia="標楷體" w:hAnsi="標楷體"/>
          <w:color w:val="000000"/>
          <w:kern w:val="0"/>
          <w:szCs w:val="24"/>
        </w:rPr>
        <w:t>1×10</w:t>
      </w:r>
      <w:r w:rsidRPr="007576F0">
        <w:rPr>
          <w:rFonts w:ascii="標楷體" w:eastAsia="標楷體" w:hAnsi="標楷體"/>
          <w:color w:val="000000"/>
          <w:kern w:val="0"/>
          <w:szCs w:val="24"/>
          <w:vertAlign w:val="superscript"/>
        </w:rPr>
        <w:t>9</w:t>
      </w:r>
      <w:r w:rsidRPr="007576F0">
        <w:rPr>
          <w:rFonts w:ascii="標楷體" w:eastAsia="標楷體" w:hAnsi="標楷體"/>
          <w:color w:val="000000"/>
          <w:kern w:val="0"/>
          <w:szCs w:val="24"/>
        </w:rPr>
        <w:t>/L</w:t>
      </w:r>
      <w:r w:rsidRPr="007576F0">
        <w:rPr>
          <w:rFonts w:ascii="標楷體" w:eastAsia="標楷體" w:hAnsi="標楷體" w:hint="eastAsia"/>
          <w:color w:val="000000"/>
          <w:kern w:val="0"/>
          <w:szCs w:val="24"/>
        </w:rPr>
        <w:t>。</w:t>
      </w:r>
    </w:p>
    <w:p w14:paraId="157D6544" w14:textId="77777777" w:rsidR="007576F0" w:rsidRPr="007576F0" w:rsidRDefault="007576F0" w:rsidP="007576F0">
      <w:pPr>
        <w:tabs>
          <w:tab w:val="left" w:pos="567"/>
        </w:tabs>
        <w:snapToGrid w:val="0"/>
        <w:spacing w:line="300" w:lineRule="exact"/>
        <w:ind w:left="1274" w:hanging="420"/>
        <w:rPr>
          <w:rFonts w:ascii="標楷體" w:eastAsia="標楷體" w:hAnsi="標楷體"/>
        </w:rPr>
      </w:pPr>
      <w:r w:rsidRPr="007576F0">
        <w:rPr>
          <w:rFonts w:ascii="標楷體" w:eastAsia="標楷體" w:hAnsi="標楷體"/>
        </w:rPr>
        <w:t>(3)</w:t>
      </w:r>
      <w:r w:rsidRPr="007576F0">
        <w:rPr>
          <w:rFonts w:ascii="標楷體" w:eastAsia="標楷體" w:hAnsi="標楷體" w:hint="eastAsia"/>
        </w:rPr>
        <w:t>用藥後第二次及其後的評估，必須顯示無疾病惡化（無症狀惡化且脾臟體積無惡化，並同時無</w:t>
      </w:r>
      <w:r w:rsidRPr="007576F0">
        <w:rPr>
          <w:rFonts w:ascii="標楷體" w:eastAsia="標楷體" w:hAnsi="標楷體"/>
        </w:rPr>
        <w:t>AML transformation</w:t>
      </w:r>
      <w:r w:rsidRPr="007576F0">
        <w:rPr>
          <w:rFonts w:ascii="標楷體" w:eastAsia="標楷體" w:hAnsi="標楷體" w:hint="eastAsia"/>
        </w:rPr>
        <w:t>），方得以繼續使用。分別定義如下：</w:t>
      </w:r>
      <w:r w:rsidRPr="007576F0">
        <w:rPr>
          <w:rFonts w:ascii="標楷體" w:eastAsia="標楷體" w:hAnsi="標楷體"/>
        </w:rPr>
        <w:t>(113/6/1)</w:t>
      </w:r>
    </w:p>
    <w:p w14:paraId="06A296E8" w14:textId="77777777" w:rsidR="007576F0" w:rsidRPr="007576F0" w:rsidRDefault="007576F0" w:rsidP="007576F0">
      <w:pPr>
        <w:autoSpaceDE w:val="0"/>
        <w:adjustRightInd w:val="0"/>
        <w:spacing w:line="300" w:lineRule="exact"/>
        <w:ind w:leftChars="445" w:left="1416" w:hangingChars="145" w:hanging="348"/>
        <w:rPr>
          <w:rFonts w:ascii="標楷體" w:eastAsia="標楷體" w:hAnsi="標楷體"/>
          <w:color w:val="000000"/>
          <w:kern w:val="0"/>
          <w:szCs w:val="24"/>
        </w:rPr>
      </w:pPr>
      <w:r w:rsidRPr="007576F0">
        <w:rPr>
          <w:rFonts w:ascii="標楷體" w:eastAsia="標楷體" w:hAnsi="標楷體" w:hint="eastAsia"/>
          <w:color w:val="000000"/>
          <w:kern w:val="0"/>
          <w:szCs w:val="24"/>
        </w:rPr>
        <w:t>Ⅰ</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無症狀惡化：未出現新症狀，且</w:t>
      </w:r>
      <w:r w:rsidRPr="007576F0">
        <w:rPr>
          <w:rFonts w:ascii="標楷體" w:eastAsia="標楷體" w:hAnsi="標楷體"/>
          <w:color w:val="000000"/>
          <w:kern w:val="0"/>
          <w:szCs w:val="24"/>
        </w:rPr>
        <w:t>MPN-SAF-TSS</w:t>
      </w:r>
      <w:r w:rsidRPr="007576F0">
        <w:rPr>
          <w:rFonts w:ascii="標楷體" w:eastAsia="標楷體" w:hAnsi="標楷體" w:hint="eastAsia"/>
          <w:color w:val="000000"/>
          <w:kern w:val="0"/>
          <w:szCs w:val="24"/>
        </w:rPr>
        <w:t>分數或</w:t>
      </w:r>
      <w:r w:rsidRPr="007576F0">
        <w:rPr>
          <w:rFonts w:ascii="標楷體" w:eastAsia="標楷體" w:hAnsi="標楷體"/>
          <w:color w:val="000000"/>
          <w:kern w:val="0"/>
          <w:szCs w:val="24"/>
        </w:rPr>
        <w:t>MPN-10</w:t>
      </w:r>
      <w:r w:rsidRPr="007576F0">
        <w:rPr>
          <w:rFonts w:ascii="標楷體" w:eastAsia="標楷體" w:hAnsi="標楷體" w:hint="eastAsia"/>
          <w:color w:val="000000"/>
          <w:kern w:val="0"/>
          <w:szCs w:val="24"/>
        </w:rPr>
        <w:t>未超過治療前的基準值。</w:t>
      </w:r>
    </w:p>
    <w:p w14:paraId="2683F469" w14:textId="77777777" w:rsidR="007576F0" w:rsidRPr="007576F0" w:rsidRDefault="007576F0" w:rsidP="007576F0">
      <w:pPr>
        <w:autoSpaceDE w:val="0"/>
        <w:adjustRightInd w:val="0"/>
        <w:spacing w:line="300" w:lineRule="exact"/>
        <w:ind w:leftChars="445" w:left="1416" w:hangingChars="145" w:hanging="348"/>
        <w:rPr>
          <w:rFonts w:ascii="標楷體" w:eastAsia="標楷體" w:hAnsi="標楷體"/>
          <w:color w:val="000000"/>
          <w:kern w:val="0"/>
          <w:szCs w:val="24"/>
        </w:rPr>
      </w:pPr>
      <w:r w:rsidRPr="007576F0">
        <w:rPr>
          <w:rFonts w:ascii="標楷體" w:eastAsia="標楷體" w:hAnsi="標楷體" w:hint="eastAsia"/>
          <w:color w:val="000000"/>
          <w:kern w:val="0"/>
          <w:szCs w:val="24"/>
        </w:rPr>
        <w:t>Ⅱ</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脾臟體積無惡化：使用電腦斷層評估，脾臟長度未增加超過最佳反應</w:t>
      </w:r>
      <w:r w:rsidRPr="007576F0">
        <w:rPr>
          <w:rFonts w:ascii="標楷體" w:eastAsia="標楷體" w:hAnsi="標楷體"/>
          <w:color w:val="000000"/>
          <w:kern w:val="0"/>
          <w:szCs w:val="24"/>
        </w:rPr>
        <w:t>(best response)</w:t>
      </w:r>
      <w:r w:rsidRPr="007576F0">
        <w:rPr>
          <w:rFonts w:ascii="標楷體" w:eastAsia="標楷體" w:hAnsi="標楷體" w:hint="eastAsia"/>
          <w:color w:val="000000"/>
          <w:kern w:val="0"/>
          <w:szCs w:val="24"/>
        </w:rPr>
        <w:t>時之脾臟長度</w:t>
      </w:r>
      <w:r w:rsidRPr="007576F0">
        <w:rPr>
          <w:rFonts w:ascii="標楷體" w:eastAsia="標楷體" w:hAnsi="標楷體"/>
          <w:color w:val="000000"/>
          <w:kern w:val="0"/>
          <w:szCs w:val="24"/>
        </w:rPr>
        <w:t>40%</w:t>
      </w:r>
      <w:r w:rsidRPr="007576F0">
        <w:rPr>
          <w:rFonts w:ascii="標楷體" w:eastAsia="標楷體" w:hAnsi="標楷體" w:hint="eastAsia"/>
          <w:color w:val="000000"/>
          <w:kern w:val="0"/>
          <w:szCs w:val="24"/>
        </w:rPr>
        <w:t>以上</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或體積增加未達</w:t>
      </w:r>
      <w:r w:rsidRPr="007576F0">
        <w:rPr>
          <w:rFonts w:ascii="標楷體" w:eastAsia="標楷體" w:hAnsi="標楷體"/>
          <w:color w:val="000000"/>
          <w:kern w:val="0"/>
          <w:szCs w:val="24"/>
        </w:rPr>
        <w:t>25%</w:t>
      </w:r>
      <w:r w:rsidRPr="007576F0">
        <w:rPr>
          <w:rFonts w:ascii="標楷體" w:eastAsia="標楷體" w:hAnsi="標楷體" w:hint="eastAsia"/>
          <w:color w:val="000000"/>
          <w:kern w:val="0"/>
          <w:szCs w:val="24"/>
        </w:rPr>
        <w:t>以上</w:t>
      </w:r>
      <w:r w:rsidRPr="007576F0">
        <w:rPr>
          <w:rFonts w:ascii="標楷體" w:eastAsia="標楷體" w:hAnsi="標楷體"/>
          <w:color w:val="000000"/>
          <w:kern w:val="0"/>
          <w:szCs w:val="24"/>
        </w:rPr>
        <w:t>)</w:t>
      </w:r>
      <w:r w:rsidRPr="007576F0">
        <w:rPr>
          <w:rFonts w:ascii="標楷體" w:eastAsia="標楷體" w:hAnsi="標楷體" w:hint="eastAsia"/>
          <w:color w:val="000000"/>
          <w:kern w:val="0"/>
          <w:szCs w:val="24"/>
        </w:rPr>
        <w:t>。</w:t>
      </w:r>
    </w:p>
    <w:p w14:paraId="2F44277A" w14:textId="77777777" w:rsidR="007576F0" w:rsidRPr="007576F0" w:rsidRDefault="007576F0" w:rsidP="007576F0">
      <w:pPr>
        <w:autoSpaceDE w:val="0"/>
        <w:adjustRightInd w:val="0"/>
        <w:spacing w:line="300" w:lineRule="exact"/>
        <w:ind w:leftChars="445" w:left="1416" w:hangingChars="145" w:hanging="348"/>
        <w:rPr>
          <w:rFonts w:ascii="標楷體" w:eastAsia="標楷體" w:hAnsi="標楷體"/>
          <w:color w:val="000000"/>
          <w:kern w:val="0"/>
          <w:szCs w:val="24"/>
        </w:rPr>
      </w:pPr>
      <w:r w:rsidRPr="007576F0">
        <w:rPr>
          <w:rFonts w:ascii="標楷體" w:eastAsia="標楷體" w:hAnsi="標楷體" w:hint="eastAsia"/>
          <w:color w:val="000000"/>
          <w:kern w:val="0"/>
          <w:szCs w:val="24"/>
        </w:rPr>
        <w:t>Ⅲ</w:t>
      </w:r>
      <w:r w:rsidRPr="007576F0">
        <w:rPr>
          <w:rFonts w:ascii="標楷體" w:eastAsia="標楷體" w:hAnsi="標楷體"/>
          <w:color w:val="000000"/>
          <w:kern w:val="0"/>
          <w:szCs w:val="24"/>
        </w:rPr>
        <w:t>.AML transformation</w:t>
      </w:r>
      <w:r w:rsidRPr="007576F0">
        <w:rPr>
          <w:rFonts w:ascii="標楷體" w:eastAsia="標楷體" w:hAnsi="標楷體" w:hint="eastAsia"/>
          <w:color w:val="000000"/>
          <w:kern w:val="0"/>
          <w:szCs w:val="24"/>
        </w:rPr>
        <w:t>：骨髓中之芽細胞</w:t>
      </w:r>
      <w:r w:rsidRPr="007576F0">
        <w:rPr>
          <w:rFonts w:eastAsia="標楷體"/>
          <w:color w:val="000000"/>
          <w:kern w:val="0"/>
          <w:szCs w:val="24"/>
        </w:rPr>
        <w:t>≥</w:t>
      </w:r>
      <w:r w:rsidRPr="007576F0">
        <w:rPr>
          <w:rFonts w:ascii="標楷體" w:eastAsia="標楷體" w:hAnsi="標楷體"/>
          <w:color w:val="000000"/>
          <w:kern w:val="0"/>
          <w:szCs w:val="24"/>
        </w:rPr>
        <w:t>20%</w:t>
      </w:r>
      <w:r w:rsidRPr="007576F0">
        <w:rPr>
          <w:rFonts w:ascii="標楷體" w:eastAsia="標楷體" w:hAnsi="標楷體" w:hint="eastAsia"/>
          <w:color w:val="000000"/>
          <w:kern w:val="0"/>
          <w:szCs w:val="24"/>
        </w:rPr>
        <w:t>或血液中之芽細胞</w:t>
      </w:r>
      <w:r w:rsidRPr="007576F0">
        <w:rPr>
          <w:rFonts w:eastAsia="標楷體"/>
          <w:color w:val="000000"/>
          <w:kern w:val="0"/>
          <w:szCs w:val="24"/>
        </w:rPr>
        <w:t>≥</w:t>
      </w:r>
      <w:r w:rsidRPr="007576F0">
        <w:rPr>
          <w:rFonts w:ascii="標楷體" w:eastAsia="標楷體" w:hAnsi="標楷體"/>
          <w:color w:val="000000"/>
          <w:kern w:val="0"/>
          <w:szCs w:val="24"/>
        </w:rPr>
        <w:t>20%</w:t>
      </w:r>
      <w:r w:rsidRPr="007576F0">
        <w:rPr>
          <w:rFonts w:ascii="標楷體" w:eastAsia="標楷體" w:hAnsi="標楷體" w:hint="eastAsia"/>
          <w:color w:val="000000"/>
          <w:kern w:val="0"/>
          <w:szCs w:val="24"/>
        </w:rPr>
        <w:t>合併芽細胞數值</w:t>
      </w:r>
      <w:r w:rsidRPr="007576F0">
        <w:rPr>
          <w:rFonts w:eastAsia="標楷體"/>
          <w:color w:val="000000"/>
          <w:kern w:val="0"/>
          <w:szCs w:val="24"/>
        </w:rPr>
        <w:t>≥</w:t>
      </w:r>
      <w:r w:rsidRPr="007576F0">
        <w:rPr>
          <w:rFonts w:ascii="標楷體" w:eastAsia="標楷體" w:hAnsi="標楷體"/>
          <w:color w:val="000000"/>
          <w:kern w:val="0"/>
          <w:szCs w:val="24"/>
        </w:rPr>
        <w:t>1</w:t>
      </w:r>
      <w:r w:rsidRPr="007576F0">
        <w:rPr>
          <w:rFonts w:ascii="標楷體" w:eastAsia="標楷體" w:hAnsi="標楷體" w:cs="標楷體"/>
          <w:color w:val="000000"/>
          <w:kern w:val="0"/>
          <w:szCs w:val="24"/>
        </w:rPr>
        <w:t>×</w:t>
      </w:r>
      <w:r w:rsidRPr="007576F0">
        <w:rPr>
          <w:rFonts w:ascii="標楷體" w:eastAsia="標楷體" w:hAnsi="標楷體"/>
          <w:color w:val="000000"/>
          <w:kern w:val="0"/>
          <w:szCs w:val="24"/>
        </w:rPr>
        <w:t>10</w:t>
      </w:r>
      <w:r w:rsidRPr="007576F0">
        <w:rPr>
          <w:rFonts w:ascii="標楷體" w:eastAsia="標楷體" w:hAnsi="標楷體"/>
          <w:color w:val="000000"/>
          <w:kern w:val="0"/>
          <w:szCs w:val="24"/>
          <w:vertAlign w:val="superscript"/>
        </w:rPr>
        <w:t>9</w:t>
      </w:r>
      <w:r w:rsidRPr="007576F0">
        <w:rPr>
          <w:rFonts w:ascii="標楷體" w:eastAsia="標楷體" w:hAnsi="標楷體"/>
          <w:color w:val="000000"/>
          <w:kern w:val="0"/>
          <w:szCs w:val="24"/>
        </w:rPr>
        <w:t>/L</w:t>
      </w:r>
      <w:r w:rsidRPr="007576F0">
        <w:rPr>
          <w:rFonts w:ascii="標楷體" w:eastAsia="標楷體" w:hAnsi="標楷體" w:hint="eastAsia"/>
          <w:color w:val="000000"/>
          <w:kern w:val="0"/>
          <w:szCs w:val="24"/>
        </w:rPr>
        <w:t>。</w:t>
      </w:r>
    </w:p>
    <w:p w14:paraId="64AB4A29" w14:textId="77777777" w:rsidR="007576F0" w:rsidRPr="007576F0" w:rsidRDefault="007576F0" w:rsidP="007576F0">
      <w:pPr>
        <w:tabs>
          <w:tab w:val="left" w:pos="567"/>
        </w:tabs>
        <w:snapToGrid w:val="0"/>
        <w:spacing w:line="300" w:lineRule="exact"/>
        <w:ind w:left="1274" w:hanging="420"/>
        <w:rPr>
          <w:rFonts w:ascii="標楷體" w:eastAsia="標楷體" w:hAnsi="標楷體"/>
        </w:rPr>
      </w:pPr>
      <w:r w:rsidRPr="007576F0">
        <w:rPr>
          <w:rFonts w:ascii="標楷體" w:eastAsia="標楷體" w:hAnsi="標楷體"/>
        </w:rPr>
        <w:t>(4)</w:t>
      </w:r>
      <w:proofErr w:type="spellStart"/>
      <w:r w:rsidRPr="007576F0">
        <w:rPr>
          <w:rFonts w:ascii="標楷體" w:eastAsia="標楷體" w:hAnsi="標楷體"/>
        </w:rPr>
        <w:t>Jakavi</w:t>
      </w:r>
      <w:proofErr w:type="spellEnd"/>
      <w:r w:rsidRPr="007576F0">
        <w:rPr>
          <w:rFonts w:ascii="標楷體" w:eastAsia="標楷體" w:hAnsi="標楷體"/>
        </w:rPr>
        <w:t xml:space="preserve"> 5mg</w:t>
      </w:r>
      <w:r w:rsidRPr="007576F0">
        <w:rPr>
          <w:rFonts w:ascii="標楷體" w:eastAsia="標楷體" w:hAnsi="標楷體" w:hint="eastAsia"/>
        </w:rPr>
        <w:t>每日限最多使用</w:t>
      </w:r>
      <w:r w:rsidRPr="007576F0">
        <w:rPr>
          <w:rFonts w:ascii="標楷體" w:eastAsia="標楷體" w:hAnsi="標楷體"/>
        </w:rPr>
        <w:t>4</w:t>
      </w:r>
      <w:r w:rsidRPr="007576F0">
        <w:rPr>
          <w:rFonts w:ascii="標楷體" w:eastAsia="標楷體" w:hAnsi="標楷體" w:hint="eastAsia"/>
        </w:rPr>
        <w:t>粒，</w:t>
      </w:r>
      <w:proofErr w:type="spellStart"/>
      <w:r w:rsidRPr="007576F0">
        <w:rPr>
          <w:rFonts w:ascii="標楷體" w:eastAsia="標楷體" w:hAnsi="標楷體"/>
        </w:rPr>
        <w:t>Jakavi</w:t>
      </w:r>
      <w:proofErr w:type="spellEnd"/>
      <w:r w:rsidRPr="007576F0">
        <w:rPr>
          <w:rFonts w:ascii="標楷體" w:eastAsia="標楷體" w:hAnsi="標楷體"/>
        </w:rPr>
        <w:t xml:space="preserve"> 15mg</w:t>
      </w:r>
      <w:r w:rsidRPr="007576F0">
        <w:rPr>
          <w:rFonts w:ascii="標楷體" w:eastAsia="標楷體" w:hAnsi="標楷體" w:hint="eastAsia"/>
        </w:rPr>
        <w:t>或</w:t>
      </w:r>
      <w:r w:rsidRPr="007576F0">
        <w:rPr>
          <w:rFonts w:ascii="標楷體" w:eastAsia="標楷體" w:hAnsi="標楷體"/>
        </w:rPr>
        <w:t>20mg</w:t>
      </w:r>
      <w:r w:rsidRPr="007576F0">
        <w:rPr>
          <w:rFonts w:ascii="標楷體" w:eastAsia="標楷體" w:hAnsi="標楷體" w:hint="eastAsia"/>
        </w:rPr>
        <w:t>每日限最多使用</w:t>
      </w:r>
      <w:r w:rsidRPr="007576F0">
        <w:rPr>
          <w:rFonts w:ascii="標楷體" w:eastAsia="標楷體" w:hAnsi="標楷體"/>
        </w:rPr>
        <w:t>2</w:t>
      </w:r>
      <w:r w:rsidRPr="007576F0">
        <w:rPr>
          <w:rFonts w:ascii="標楷體" w:eastAsia="標楷體" w:hAnsi="標楷體" w:hint="eastAsia"/>
        </w:rPr>
        <w:t>粒，且其</w:t>
      </w:r>
      <w:r w:rsidRPr="007576F0">
        <w:rPr>
          <w:rFonts w:ascii="標楷體" w:eastAsia="標楷體" w:hAnsi="標楷體"/>
        </w:rPr>
        <w:t>5mg</w:t>
      </w:r>
      <w:r w:rsidRPr="007576F0">
        <w:rPr>
          <w:rFonts w:ascii="標楷體" w:eastAsia="標楷體" w:hAnsi="標楷體" w:hint="eastAsia"/>
        </w:rPr>
        <w:t>不得與</w:t>
      </w:r>
      <w:r w:rsidRPr="007576F0">
        <w:rPr>
          <w:rFonts w:ascii="標楷體" w:eastAsia="標楷體" w:hAnsi="標楷體"/>
        </w:rPr>
        <w:t>15mg</w:t>
      </w:r>
      <w:r w:rsidRPr="007576F0">
        <w:rPr>
          <w:rFonts w:ascii="標楷體" w:eastAsia="標楷體" w:hAnsi="標楷體" w:hint="eastAsia"/>
        </w:rPr>
        <w:t>或</w:t>
      </w:r>
      <w:r w:rsidRPr="007576F0">
        <w:rPr>
          <w:rFonts w:ascii="標楷體" w:eastAsia="標楷體" w:hAnsi="標楷體"/>
        </w:rPr>
        <w:t>20mg</w:t>
      </w:r>
      <w:proofErr w:type="gramStart"/>
      <w:r w:rsidRPr="007576F0">
        <w:rPr>
          <w:rFonts w:ascii="標楷體" w:eastAsia="標楷體" w:hAnsi="標楷體" w:hint="eastAsia"/>
        </w:rPr>
        <w:t>併</w:t>
      </w:r>
      <w:proofErr w:type="gramEnd"/>
      <w:r w:rsidRPr="007576F0">
        <w:rPr>
          <w:rFonts w:ascii="標楷體" w:eastAsia="標楷體" w:hAnsi="標楷體" w:hint="eastAsia"/>
        </w:rPr>
        <w:t>用。</w:t>
      </w:r>
    </w:p>
    <w:p w14:paraId="1A48F4BE" w14:textId="77777777" w:rsidR="007576F0" w:rsidRPr="007576F0" w:rsidRDefault="007576F0" w:rsidP="007576F0">
      <w:pPr>
        <w:tabs>
          <w:tab w:val="left" w:pos="567"/>
        </w:tabs>
        <w:snapToGrid w:val="0"/>
        <w:spacing w:line="300" w:lineRule="exact"/>
        <w:ind w:left="1274" w:hanging="420"/>
        <w:rPr>
          <w:rFonts w:ascii="標楷體" w:eastAsia="標楷體" w:hAnsi="標楷體"/>
        </w:rPr>
      </w:pPr>
      <w:r w:rsidRPr="007576F0">
        <w:rPr>
          <w:rFonts w:ascii="標楷體" w:eastAsia="標楷體" w:hAnsi="標楷體"/>
        </w:rPr>
        <w:t>(5)</w:t>
      </w:r>
      <w:r w:rsidRPr="007576F0">
        <w:rPr>
          <w:rFonts w:ascii="標楷體" w:eastAsia="標楷體" w:hAnsi="標楷體" w:hint="eastAsia"/>
        </w:rPr>
        <w:t>本藥品與</w:t>
      </w:r>
      <w:proofErr w:type="spellStart"/>
      <w:r w:rsidRPr="007576F0">
        <w:rPr>
          <w:rFonts w:ascii="標楷體" w:eastAsia="標楷體" w:hAnsi="標楷體"/>
        </w:rPr>
        <w:t>fedratinib</w:t>
      </w:r>
      <w:proofErr w:type="spellEnd"/>
      <w:r w:rsidRPr="007576F0">
        <w:rPr>
          <w:rFonts w:ascii="標楷體" w:eastAsia="標楷體" w:hAnsi="標楷體" w:hint="eastAsia"/>
        </w:rPr>
        <w:t>、</w:t>
      </w:r>
      <w:proofErr w:type="spellStart"/>
      <w:r w:rsidRPr="007576F0">
        <w:rPr>
          <w:rFonts w:ascii="標楷體" w:eastAsia="標楷體" w:hAnsi="標楷體"/>
        </w:rPr>
        <w:t>momelotinib</w:t>
      </w:r>
      <w:proofErr w:type="spellEnd"/>
      <w:r w:rsidRPr="007576F0">
        <w:rPr>
          <w:rFonts w:ascii="標楷體" w:eastAsia="標楷體" w:hAnsi="標楷體" w:hint="eastAsia"/>
        </w:rPr>
        <w:t>用於中度風險或高風險之骨髓纖維化治療時，僅得擇</w:t>
      </w:r>
      <w:proofErr w:type="gramStart"/>
      <w:r w:rsidRPr="007576F0">
        <w:rPr>
          <w:rFonts w:ascii="標楷體" w:eastAsia="標楷體" w:hAnsi="標楷體" w:hint="eastAsia"/>
        </w:rPr>
        <w:t>一</w:t>
      </w:r>
      <w:proofErr w:type="gramEnd"/>
      <w:r w:rsidRPr="007576F0">
        <w:rPr>
          <w:rFonts w:ascii="標楷體" w:eastAsia="標楷體" w:hAnsi="標楷體" w:hint="eastAsia"/>
        </w:rPr>
        <w:t>給付。</w:t>
      </w:r>
      <w:proofErr w:type="spellStart"/>
      <w:r w:rsidRPr="007576F0">
        <w:rPr>
          <w:rFonts w:ascii="標楷體" w:eastAsia="標楷體" w:hAnsi="標楷體" w:hint="eastAsia"/>
        </w:rPr>
        <w:t>f</w:t>
      </w:r>
      <w:r w:rsidRPr="007576F0">
        <w:rPr>
          <w:rFonts w:ascii="標楷體" w:eastAsia="標楷體" w:hAnsi="標楷體"/>
        </w:rPr>
        <w:t>edratinib</w:t>
      </w:r>
      <w:proofErr w:type="spellEnd"/>
      <w:r w:rsidRPr="007576F0">
        <w:rPr>
          <w:rFonts w:ascii="標楷體" w:eastAsia="標楷體" w:hAnsi="標楷體" w:hint="eastAsia"/>
        </w:rPr>
        <w:t>、</w:t>
      </w:r>
      <w:proofErr w:type="spellStart"/>
      <w:r w:rsidRPr="007576F0">
        <w:rPr>
          <w:rFonts w:ascii="標楷體" w:eastAsia="標楷體" w:hAnsi="標楷體"/>
        </w:rPr>
        <w:t>momelotinib</w:t>
      </w:r>
      <w:proofErr w:type="spellEnd"/>
      <w:r w:rsidRPr="007576F0">
        <w:rPr>
          <w:rFonts w:ascii="標楷體" w:eastAsia="標楷體" w:hAnsi="標楷體" w:hint="eastAsia"/>
        </w:rPr>
        <w:t>治療後如疾病惡化不得換用本藥品。</w:t>
      </w:r>
      <w:r w:rsidRPr="007576F0">
        <w:rPr>
          <w:rFonts w:ascii="標楷體" w:eastAsia="標楷體" w:hAnsi="標楷體"/>
        </w:rPr>
        <w:t>(114/1/1</w:t>
      </w:r>
      <w:r w:rsidRPr="007576F0">
        <w:rPr>
          <w:rFonts w:ascii="標楷體" w:eastAsia="標楷體" w:hAnsi="標楷體" w:hint="eastAsia"/>
        </w:rPr>
        <w:t>、114</w:t>
      </w:r>
      <w:r w:rsidRPr="007576F0">
        <w:rPr>
          <w:rFonts w:ascii="標楷體" w:eastAsia="標楷體" w:hAnsi="標楷體"/>
        </w:rPr>
        <w:t>/</w:t>
      </w:r>
      <w:r w:rsidRPr="007576F0">
        <w:rPr>
          <w:rFonts w:ascii="標楷體" w:eastAsia="標楷體" w:hAnsi="標楷體" w:hint="eastAsia"/>
        </w:rPr>
        <w:t>10</w:t>
      </w:r>
      <w:r w:rsidRPr="007576F0">
        <w:rPr>
          <w:rFonts w:ascii="標楷體" w:eastAsia="標楷體" w:hAnsi="標楷體"/>
        </w:rPr>
        <w:t>/1)</w:t>
      </w:r>
    </w:p>
    <w:p w14:paraId="7BE1DB6F" w14:textId="77777777" w:rsidR="007576F0" w:rsidRPr="007576F0" w:rsidRDefault="007576F0" w:rsidP="007576F0">
      <w:pPr>
        <w:tabs>
          <w:tab w:val="left" w:pos="851"/>
        </w:tabs>
        <w:snapToGrid w:val="0"/>
        <w:spacing w:line="300" w:lineRule="exact"/>
        <w:ind w:left="846" w:hanging="280"/>
        <w:rPr>
          <w:rFonts w:ascii="標楷體" w:eastAsia="標楷體" w:hAnsi="標楷體"/>
          <w:kern w:val="0"/>
          <w:szCs w:val="24"/>
        </w:rPr>
      </w:pPr>
      <w:r w:rsidRPr="007576F0">
        <w:rPr>
          <w:rFonts w:ascii="標楷體" w:eastAsia="標楷體" w:hAnsi="標楷體"/>
          <w:kern w:val="0"/>
          <w:szCs w:val="24"/>
        </w:rPr>
        <w:t>2.</w:t>
      </w:r>
      <w:proofErr w:type="gramStart"/>
      <w:r w:rsidRPr="007576F0">
        <w:rPr>
          <w:rFonts w:ascii="標楷體" w:eastAsia="標楷體" w:hAnsi="標楷體"/>
          <w:kern w:val="0"/>
          <w:szCs w:val="24"/>
        </w:rPr>
        <w:t>移植物抗宿主</w:t>
      </w:r>
      <w:proofErr w:type="gramEnd"/>
      <w:r w:rsidRPr="007576F0">
        <w:rPr>
          <w:rFonts w:ascii="標楷體" w:eastAsia="標楷體" w:hAnsi="標楷體"/>
          <w:kern w:val="0"/>
          <w:szCs w:val="24"/>
        </w:rPr>
        <w:t>疾病，限用</w:t>
      </w:r>
      <w:proofErr w:type="spellStart"/>
      <w:r w:rsidRPr="007576F0">
        <w:rPr>
          <w:rFonts w:ascii="標楷體" w:eastAsia="標楷體" w:hAnsi="標楷體"/>
          <w:kern w:val="0"/>
          <w:szCs w:val="24"/>
        </w:rPr>
        <w:t>Jakavi</w:t>
      </w:r>
      <w:proofErr w:type="spellEnd"/>
      <w:r w:rsidRPr="007576F0">
        <w:rPr>
          <w:rFonts w:ascii="標楷體" w:eastAsia="標楷體" w:hAnsi="標楷體"/>
          <w:kern w:val="0"/>
          <w:szCs w:val="24"/>
        </w:rPr>
        <w:t xml:space="preserve"> 5mg，每日最多使用4 粒。(113/3/1)</w:t>
      </w:r>
    </w:p>
    <w:p w14:paraId="22AC3D4B" w14:textId="77777777" w:rsidR="007576F0" w:rsidRPr="007576F0" w:rsidRDefault="007576F0" w:rsidP="007576F0">
      <w:pPr>
        <w:tabs>
          <w:tab w:val="left" w:pos="567"/>
        </w:tabs>
        <w:snapToGrid w:val="0"/>
        <w:spacing w:line="300" w:lineRule="exact"/>
        <w:ind w:left="1274" w:hanging="420"/>
        <w:rPr>
          <w:rFonts w:ascii="標楷體" w:eastAsia="標楷體" w:hAnsi="標楷體"/>
        </w:rPr>
      </w:pPr>
      <w:r w:rsidRPr="007576F0">
        <w:rPr>
          <w:rFonts w:ascii="標楷體" w:eastAsia="標楷體" w:hAnsi="標楷體"/>
        </w:rPr>
        <w:t>(1)用於治療12歲以上之青少年及成人，且先前曾接受皮質類固醇(corticosteroids)後反應不佳的第2級(含)以上急性</w:t>
      </w:r>
      <w:proofErr w:type="gramStart"/>
      <w:r w:rsidRPr="007576F0">
        <w:rPr>
          <w:rFonts w:ascii="標楷體" w:eastAsia="標楷體" w:hAnsi="標楷體"/>
        </w:rPr>
        <w:t>移植物抗宿主</w:t>
      </w:r>
      <w:proofErr w:type="gramEnd"/>
      <w:r w:rsidRPr="007576F0">
        <w:rPr>
          <w:rFonts w:ascii="標楷體" w:eastAsia="標楷體" w:hAnsi="標楷體"/>
        </w:rPr>
        <w:t xml:space="preserve">疾病(acute graft-versus-host </w:t>
      </w:r>
      <w:proofErr w:type="spellStart"/>
      <w:r w:rsidRPr="007576F0">
        <w:rPr>
          <w:rFonts w:ascii="標楷體" w:eastAsia="標楷體" w:hAnsi="標楷體"/>
        </w:rPr>
        <w:t>disease,GvHD</w:t>
      </w:r>
      <w:proofErr w:type="spellEnd"/>
      <w:r w:rsidRPr="007576F0">
        <w:rPr>
          <w:rFonts w:ascii="標楷體" w:eastAsia="標楷體" w:hAnsi="標楷體"/>
        </w:rPr>
        <w:t>)病人。</w:t>
      </w:r>
    </w:p>
    <w:p w14:paraId="44B82569" w14:textId="77777777" w:rsidR="007576F0" w:rsidRPr="007576F0" w:rsidRDefault="007576F0" w:rsidP="007576F0">
      <w:pPr>
        <w:spacing w:line="300" w:lineRule="exact"/>
        <w:ind w:left="1418" w:hanging="425"/>
        <w:rPr>
          <w:rFonts w:ascii="標楷體" w:eastAsia="標楷體" w:hAnsi="標楷體"/>
          <w:color w:val="000000"/>
          <w:szCs w:val="24"/>
        </w:rPr>
      </w:pPr>
      <w:r w:rsidRPr="007576F0">
        <w:rPr>
          <w:rFonts w:ascii="標楷體" w:eastAsia="標楷體" w:hAnsi="標楷體"/>
          <w:color w:val="000000"/>
          <w:szCs w:val="24"/>
        </w:rPr>
        <w:t>Ⅰ.首次治療，可免事前審查，以28天為限，但須於病歷記載診斷、嚴重度評估以及先前藥物治療反應評估。若使用後疾病持續進展，即不得再使用。</w:t>
      </w:r>
    </w:p>
    <w:p w14:paraId="67800BB4" w14:textId="77777777" w:rsidR="007576F0" w:rsidRPr="007576F0" w:rsidRDefault="007576F0" w:rsidP="007576F0">
      <w:pPr>
        <w:spacing w:line="300" w:lineRule="exact"/>
        <w:ind w:left="1418" w:hanging="425"/>
        <w:rPr>
          <w:rFonts w:ascii="標楷體" w:eastAsia="標楷體" w:hAnsi="標楷體"/>
          <w:color w:val="000000"/>
          <w:szCs w:val="24"/>
        </w:rPr>
      </w:pPr>
      <w:r w:rsidRPr="007576F0">
        <w:rPr>
          <w:rFonts w:ascii="標楷體" w:eastAsia="標楷體" w:hAnsi="標楷體"/>
          <w:color w:val="000000"/>
          <w:szCs w:val="24"/>
        </w:rPr>
        <w:t>Ⅱ.續用時需經事前審查核准後使用，</w:t>
      </w:r>
      <w:proofErr w:type="gramStart"/>
      <w:r w:rsidRPr="007576F0">
        <w:rPr>
          <w:rFonts w:ascii="標楷體" w:eastAsia="標楷體" w:hAnsi="標楷體"/>
          <w:color w:val="000000"/>
          <w:szCs w:val="24"/>
        </w:rPr>
        <w:t>限續申請</w:t>
      </w:r>
      <w:proofErr w:type="gramEnd"/>
      <w:r w:rsidRPr="007576F0">
        <w:rPr>
          <w:rFonts w:ascii="標楷體" w:eastAsia="標楷體" w:hAnsi="標楷體"/>
          <w:color w:val="000000"/>
          <w:szCs w:val="24"/>
        </w:rPr>
        <w:t>一次並以2個月為限，申請時須檢附先前治療處方紀錄及療效評估。用藥後，若有疾病持續進展，則應停藥。</w:t>
      </w:r>
    </w:p>
    <w:p w14:paraId="364DDB12" w14:textId="77777777" w:rsidR="007576F0" w:rsidRPr="007576F0" w:rsidRDefault="007576F0" w:rsidP="007576F0">
      <w:pPr>
        <w:spacing w:line="300" w:lineRule="exact"/>
        <w:ind w:left="1418" w:hanging="425"/>
        <w:rPr>
          <w:rFonts w:ascii="標楷體" w:eastAsia="標楷體" w:hAnsi="標楷體"/>
          <w:color w:val="000000"/>
          <w:szCs w:val="24"/>
        </w:rPr>
      </w:pPr>
      <w:r w:rsidRPr="007576F0">
        <w:rPr>
          <w:rFonts w:ascii="標楷體" w:eastAsia="標楷體" w:hAnsi="標楷體"/>
          <w:color w:val="000000"/>
          <w:szCs w:val="24"/>
        </w:rPr>
        <w:t>Ⅲ.使用總療程以3個月為上限。</w:t>
      </w:r>
    </w:p>
    <w:p w14:paraId="63DA23D8" w14:textId="77777777" w:rsidR="007576F0" w:rsidRPr="007576F0" w:rsidRDefault="007576F0" w:rsidP="007576F0">
      <w:pPr>
        <w:spacing w:line="300" w:lineRule="exact"/>
        <w:ind w:left="1418" w:hanging="425"/>
        <w:rPr>
          <w:rFonts w:ascii="標楷體" w:eastAsia="標楷體" w:hAnsi="標楷體"/>
          <w:color w:val="000000"/>
          <w:szCs w:val="24"/>
        </w:rPr>
      </w:pPr>
      <w:r w:rsidRPr="007576F0">
        <w:rPr>
          <w:rFonts w:ascii="標楷體" w:eastAsia="標楷體" w:hAnsi="標楷體"/>
          <w:color w:val="000000"/>
          <w:szCs w:val="24"/>
        </w:rPr>
        <w:t>Ⅳ.若後續轉變為慢性</w:t>
      </w:r>
      <w:proofErr w:type="gramStart"/>
      <w:r w:rsidRPr="007576F0">
        <w:rPr>
          <w:rFonts w:ascii="標楷體" w:eastAsia="標楷體" w:hAnsi="標楷體"/>
          <w:color w:val="000000"/>
          <w:szCs w:val="24"/>
        </w:rPr>
        <w:t>移植物抗宿主</w:t>
      </w:r>
      <w:proofErr w:type="gramEnd"/>
      <w:r w:rsidRPr="007576F0">
        <w:rPr>
          <w:rFonts w:ascii="標楷體" w:eastAsia="標楷體" w:hAnsi="標楷體"/>
          <w:color w:val="000000"/>
          <w:szCs w:val="24"/>
        </w:rPr>
        <w:t>疾病（chronic GvHD）時，需依慢性</w:t>
      </w:r>
      <w:proofErr w:type="gramStart"/>
      <w:r w:rsidRPr="007576F0">
        <w:rPr>
          <w:rFonts w:ascii="標楷體" w:eastAsia="標楷體" w:hAnsi="標楷體"/>
          <w:color w:val="000000"/>
          <w:szCs w:val="24"/>
        </w:rPr>
        <w:t>移植物抗宿主</w:t>
      </w:r>
      <w:proofErr w:type="gramEnd"/>
      <w:r w:rsidRPr="007576F0">
        <w:rPr>
          <w:rFonts w:ascii="標楷體" w:eastAsia="標楷體" w:hAnsi="標楷體"/>
          <w:color w:val="000000"/>
          <w:szCs w:val="24"/>
        </w:rPr>
        <w:t>疾病之給付規定申請。</w:t>
      </w:r>
    </w:p>
    <w:p w14:paraId="429DFB4C" w14:textId="77777777" w:rsidR="007576F0" w:rsidRPr="007576F0" w:rsidRDefault="007576F0" w:rsidP="007576F0">
      <w:pPr>
        <w:spacing w:line="300" w:lineRule="exact"/>
        <w:ind w:left="1418" w:hanging="425"/>
        <w:rPr>
          <w:rFonts w:ascii="標楷體" w:eastAsia="標楷體" w:hAnsi="標楷體"/>
          <w:color w:val="000000"/>
          <w:szCs w:val="24"/>
        </w:rPr>
      </w:pPr>
      <w:r w:rsidRPr="007576F0">
        <w:rPr>
          <w:rFonts w:ascii="標楷體" w:eastAsia="標楷體" w:hAnsi="標楷體"/>
          <w:color w:val="000000"/>
          <w:szCs w:val="24"/>
        </w:rPr>
        <w:t>Ⅴ.先前曾接受皮質類固醇（corticosteroids）後反應</w:t>
      </w:r>
      <w:proofErr w:type="gramStart"/>
      <w:r w:rsidRPr="007576F0">
        <w:rPr>
          <w:rFonts w:ascii="標楷體" w:eastAsia="標楷體" w:hAnsi="標楷體"/>
          <w:color w:val="000000"/>
          <w:szCs w:val="24"/>
        </w:rPr>
        <w:t>不佳需符合</w:t>
      </w:r>
      <w:proofErr w:type="gramEnd"/>
      <w:r w:rsidRPr="007576F0">
        <w:rPr>
          <w:rFonts w:ascii="標楷體" w:eastAsia="標楷體" w:hAnsi="標楷體"/>
          <w:color w:val="000000"/>
          <w:szCs w:val="24"/>
        </w:rPr>
        <w:t>以下任</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條件：</w:t>
      </w:r>
    </w:p>
    <w:p w14:paraId="41BE66AE" w14:textId="77777777" w:rsidR="007576F0" w:rsidRPr="007576F0" w:rsidRDefault="007576F0" w:rsidP="007576F0">
      <w:pPr>
        <w:spacing w:line="300" w:lineRule="exact"/>
        <w:ind w:left="1701" w:hanging="425"/>
        <w:rPr>
          <w:szCs w:val="24"/>
        </w:rPr>
      </w:pPr>
      <w:proofErr w:type="gramStart"/>
      <w:r w:rsidRPr="007576F0">
        <w:rPr>
          <w:rFonts w:ascii="新細明體" w:hAnsi="新細明體" w:cs="新細明體"/>
          <w:color w:val="000000"/>
          <w:szCs w:val="24"/>
        </w:rPr>
        <w:t>ⅰ</w:t>
      </w:r>
      <w:r w:rsidRPr="007576F0">
        <w:rPr>
          <w:rFonts w:ascii="標楷體" w:eastAsia="標楷體" w:hAnsi="標楷體"/>
          <w:color w:val="000000"/>
          <w:szCs w:val="24"/>
        </w:rPr>
        <w:t>.≧</w:t>
      </w:r>
      <w:proofErr w:type="gramEnd"/>
      <w:r w:rsidRPr="007576F0">
        <w:rPr>
          <w:rFonts w:ascii="標楷體" w:eastAsia="標楷體" w:hAnsi="標楷體"/>
          <w:color w:val="000000"/>
          <w:szCs w:val="24"/>
        </w:rPr>
        <w:t>1mg/kg/day methylprednisolone (or equivalent prednisone dose) 3天後，疾病仍持續進展。</w:t>
      </w:r>
    </w:p>
    <w:p w14:paraId="4075F368" w14:textId="77777777" w:rsidR="007576F0" w:rsidRPr="007576F0" w:rsidRDefault="007576F0" w:rsidP="007576F0">
      <w:pPr>
        <w:spacing w:line="300" w:lineRule="exact"/>
        <w:ind w:left="1701" w:hanging="425"/>
        <w:rPr>
          <w:szCs w:val="24"/>
        </w:rPr>
      </w:pPr>
      <w:proofErr w:type="gramStart"/>
      <w:r w:rsidRPr="007576F0">
        <w:rPr>
          <w:rFonts w:ascii="新細明體" w:hAnsi="新細明體" w:cs="新細明體"/>
          <w:color w:val="000000"/>
          <w:szCs w:val="24"/>
        </w:rPr>
        <w:t>ⅱ</w:t>
      </w:r>
      <w:r w:rsidRPr="007576F0">
        <w:rPr>
          <w:rFonts w:ascii="標楷體" w:eastAsia="標楷體" w:hAnsi="標楷體"/>
          <w:color w:val="000000"/>
          <w:szCs w:val="24"/>
        </w:rPr>
        <w:t>.≧</w:t>
      </w:r>
      <w:proofErr w:type="gramEnd"/>
      <w:r w:rsidRPr="007576F0">
        <w:rPr>
          <w:rFonts w:ascii="標楷體" w:eastAsia="標楷體" w:hAnsi="標楷體"/>
          <w:color w:val="000000"/>
          <w:szCs w:val="24"/>
        </w:rPr>
        <w:t>1mg/kg/day methylprednisolone (or equivalent prednisone dose) 開始的5天後未見改善。</w:t>
      </w:r>
    </w:p>
    <w:p w14:paraId="0807C097" w14:textId="77777777" w:rsidR="007576F0" w:rsidRPr="007576F0" w:rsidRDefault="007576F0" w:rsidP="007576F0">
      <w:pPr>
        <w:spacing w:line="300" w:lineRule="exact"/>
        <w:ind w:left="1701" w:hanging="425"/>
        <w:rPr>
          <w:szCs w:val="24"/>
        </w:rPr>
      </w:pPr>
      <w:r w:rsidRPr="007576F0">
        <w:rPr>
          <w:rFonts w:ascii="新細明體" w:hAnsi="新細明體" w:cs="新細明體"/>
          <w:color w:val="000000"/>
          <w:szCs w:val="24"/>
        </w:rPr>
        <w:t>ⅲ</w:t>
      </w:r>
      <w:r w:rsidRPr="007576F0">
        <w:rPr>
          <w:rFonts w:ascii="標楷體" w:eastAsia="標楷體" w:hAnsi="標楷體"/>
          <w:color w:val="000000"/>
          <w:szCs w:val="24"/>
        </w:rPr>
        <w:t>.發生皮質類固醇依賴性：在逐漸調降皮質類固醇</w:t>
      </w:r>
      <w:proofErr w:type="gramStart"/>
      <w:r w:rsidRPr="007576F0">
        <w:rPr>
          <w:rFonts w:ascii="標楷體" w:eastAsia="標楷體" w:hAnsi="標楷體"/>
          <w:color w:val="000000"/>
          <w:szCs w:val="24"/>
        </w:rPr>
        <w:t>期間，</w:t>
      </w:r>
      <w:proofErr w:type="gramEnd"/>
      <w:r w:rsidRPr="007576F0">
        <w:rPr>
          <w:rFonts w:ascii="標楷體" w:eastAsia="標楷體" w:hAnsi="標楷體"/>
          <w:color w:val="000000"/>
          <w:szCs w:val="24"/>
        </w:rPr>
        <w:t>無法將methylprednisolone (or equivalent prednisone dose)劑量調降&lt;0.5mg/kg/day維持至少7天。</w:t>
      </w:r>
    </w:p>
    <w:p w14:paraId="2C74123C" w14:textId="77777777" w:rsidR="007576F0" w:rsidRPr="007576F0" w:rsidRDefault="007576F0" w:rsidP="007576F0">
      <w:pPr>
        <w:spacing w:line="300" w:lineRule="exact"/>
        <w:ind w:left="1701" w:hanging="425"/>
        <w:rPr>
          <w:szCs w:val="24"/>
        </w:rPr>
      </w:pPr>
      <w:r w:rsidRPr="007576F0">
        <w:rPr>
          <w:rFonts w:ascii="新細明體" w:hAnsi="新細明體" w:cs="新細明體"/>
          <w:color w:val="000000"/>
          <w:szCs w:val="24"/>
        </w:rPr>
        <w:t>ⅳ</w:t>
      </w:r>
      <w:r w:rsidRPr="007576F0">
        <w:rPr>
          <w:rFonts w:ascii="標楷體" w:eastAsia="標楷體" w:hAnsi="標楷體"/>
          <w:color w:val="000000"/>
          <w:szCs w:val="24"/>
        </w:rPr>
        <w:t>.發生皮質類固醇不耐受性：初始治療後，發生CTCAE G3之嚴重不良反應情形。</w:t>
      </w:r>
    </w:p>
    <w:p w14:paraId="7BEC562B" w14:textId="77777777" w:rsidR="007576F0" w:rsidRPr="007576F0" w:rsidRDefault="007576F0" w:rsidP="007576F0">
      <w:pPr>
        <w:tabs>
          <w:tab w:val="left" w:pos="567"/>
        </w:tabs>
        <w:snapToGrid w:val="0"/>
        <w:spacing w:line="300" w:lineRule="exact"/>
        <w:ind w:left="1274" w:hanging="420"/>
        <w:rPr>
          <w:rFonts w:ascii="標楷體" w:eastAsia="標楷體" w:hAnsi="標楷體"/>
        </w:rPr>
      </w:pPr>
      <w:r w:rsidRPr="007576F0">
        <w:rPr>
          <w:rFonts w:ascii="標楷體" w:eastAsia="標楷體" w:hAnsi="標楷體"/>
        </w:rPr>
        <w:t>(2)用於治療12歲以上之青少年及成人，且先前曾接受皮質類固醇</w:t>
      </w:r>
      <w:r w:rsidRPr="007576F0">
        <w:rPr>
          <w:rFonts w:ascii="標楷體" w:eastAsia="標楷體" w:hAnsi="標楷體"/>
        </w:rPr>
        <w:lastRenderedPageBreak/>
        <w:t>(corticosteroids)後反應不佳的慢性</w:t>
      </w:r>
      <w:proofErr w:type="gramStart"/>
      <w:r w:rsidRPr="007576F0">
        <w:rPr>
          <w:rFonts w:ascii="標楷體" w:eastAsia="標楷體" w:hAnsi="標楷體"/>
        </w:rPr>
        <w:t>移植物抗宿主</w:t>
      </w:r>
      <w:proofErr w:type="gramEnd"/>
      <w:r w:rsidRPr="007576F0">
        <w:rPr>
          <w:rFonts w:ascii="標楷體" w:eastAsia="標楷體" w:hAnsi="標楷體"/>
        </w:rPr>
        <w:t xml:space="preserve">疾病(chronic graft-versus-host </w:t>
      </w:r>
      <w:proofErr w:type="spellStart"/>
      <w:r w:rsidRPr="007576F0">
        <w:rPr>
          <w:rFonts w:ascii="標楷體" w:eastAsia="標楷體" w:hAnsi="標楷體"/>
        </w:rPr>
        <w:t>disease,GvHD</w:t>
      </w:r>
      <w:proofErr w:type="spellEnd"/>
      <w:r w:rsidRPr="007576F0">
        <w:rPr>
          <w:rFonts w:ascii="標楷體" w:eastAsia="標楷體" w:hAnsi="標楷體"/>
        </w:rPr>
        <w:t>)病人。</w:t>
      </w:r>
    </w:p>
    <w:p w14:paraId="34B2AFAD" w14:textId="77777777" w:rsidR="007576F0" w:rsidRPr="007576F0" w:rsidRDefault="007576F0" w:rsidP="007576F0">
      <w:pPr>
        <w:spacing w:line="300" w:lineRule="exact"/>
        <w:ind w:left="1418" w:hanging="284"/>
        <w:rPr>
          <w:rFonts w:ascii="標楷體" w:eastAsia="標楷體" w:hAnsi="標楷體"/>
          <w:color w:val="000000"/>
          <w:szCs w:val="24"/>
        </w:rPr>
      </w:pPr>
      <w:r w:rsidRPr="007576F0">
        <w:rPr>
          <w:rFonts w:ascii="標楷體" w:eastAsia="標楷體" w:hAnsi="標楷體"/>
          <w:color w:val="000000"/>
          <w:szCs w:val="24"/>
        </w:rPr>
        <w:t>Ⅰ.限用於發生肺部之慢性</w:t>
      </w:r>
      <w:proofErr w:type="gramStart"/>
      <w:r w:rsidRPr="007576F0">
        <w:rPr>
          <w:rFonts w:ascii="標楷體" w:eastAsia="標楷體" w:hAnsi="標楷體"/>
          <w:color w:val="000000"/>
          <w:szCs w:val="24"/>
        </w:rPr>
        <w:t>移植物抗宿主</w:t>
      </w:r>
      <w:proofErr w:type="gramEnd"/>
      <w:r w:rsidRPr="007576F0">
        <w:rPr>
          <w:rFonts w:ascii="標楷體" w:eastAsia="標楷體" w:hAnsi="標楷體"/>
          <w:color w:val="000000"/>
          <w:szCs w:val="24"/>
        </w:rPr>
        <w:t>疾病，須同時符合下列條件:</w:t>
      </w:r>
    </w:p>
    <w:p w14:paraId="460A43A8" w14:textId="77777777" w:rsidR="007576F0" w:rsidRPr="007576F0" w:rsidRDefault="007576F0" w:rsidP="007576F0">
      <w:pPr>
        <w:spacing w:line="300" w:lineRule="exact"/>
        <w:ind w:left="1900" w:hanging="340"/>
        <w:rPr>
          <w:szCs w:val="24"/>
        </w:rPr>
      </w:pPr>
      <w:r w:rsidRPr="007576F0">
        <w:rPr>
          <w:rFonts w:ascii="新細明體" w:hAnsi="新細明體" w:cs="新細明體"/>
          <w:color w:val="000000"/>
          <w:szCs w:val="24"/>
        </w:rPr>
        <w:t>ⅰ</w:t>
      </w:r>
      <w:r w:rsidRPr="007576F0">
        <w:rPr>
          <w:rFonts w:ascii="標楷體" w:eastAsia="標楷體" w:hAnsi="標楷體" w:cs="新細明體"/>
          <w:color w:val="000000"/>
          <w:szCs w:val="24"/>
        </w:rPr>
        <w:t>.肺功能檢查之FEV1&lt;80%。</w:t>
      </w:r>
    </w:p>
    <w:p w14:paraId="12D26CA2" w14:textId="77777777" w:rsidR="007576F0" w:rsidRPr="007576F0" w:rsidRDefault="007576F0" w:rsidP="007576F0">
      <w:pPr>
        <w:spacing w:line="300" w:lineRule="exact"/>
        <w:ind w:left="1900" w:hanging="340"/>
        <w:rPr>
          <w:szCs w:val="24"/>
        </w:rPr>
      </w:pPr>
      <w:r w:rsidRPr="007576F0">
        <w:rPr>
          <w:rFonts w:ascii="新細明體" w:hAnsi="新細明體" w:cs="新細明體"/>
          <w:color w:val="000000"/>
          <w:szCs w:val="24"/>
        </w:rPr>
        <w:t>ⅱ</w:t>
      </w:r>
      <w:r w:rsidRPr="007576F0">
        <w:rPr>
          <w:rFonts w:ascii="標楷體" w:eastAsia="標楷體" w:hAnsi="標楷體" w:cs="新細明體"/>
          <w:color w:val="000000"/>
          <w:szCs w:val="24"/>
        </w:rPr>
        <w:t>.檢附CT報告帶有 air trapping, small airway thickening或bronchiectasis 等肺部侵犯的表徵。</w:t>
      </w:r>
    </w:p>
    <w:p w14:paraId="2D9E4C35" w14:textId="77777777" w:rsidR="007576F0" w:rsidRPr="007576F0" w:rsidRDefault="007576F0" w:rsidP="007576F0">
      <w:pPr>
        <w:spacing w:line="300" w:lineRule="exact"/>
        <w:ind w:left="1540" w:hanging="340"/>
        <w:rPr>
          <w:rFonts w:ascii="標楷體" w:eastAsia="標楷體" w:hAnsi="標楷體"/>
          <w:color w:val="000000"/>
          <w:szCs w:val="24"/>
        </w:rPr>
      </w:pPr>
      <w:r w:rsidRPr="007576F0">
        <w:rPr>
          <w:rFonts w:ascii="標楷體" w:eastAsia="標楷體" w:hAnsi="標楷體"/>
          <w:color w:val="000000"/>
          <w:szCs w:val="24"/>
        </w:rPr>
        <w:t>Ⅱ.需經事前審查核准後使用。</w:t>
      </w:r>
    </w:p>
    <w:p w14:paraId="2CDE606D" w14:textId="77777777" w:rsidR="007576F0" w:rsidRPr="007576F0" w:rsidRDefault="007576F0" w:rsidP="007576F0">
      <w:pPr>
        <w:spacing w:line="300" w:lineRule="exact"/>
        <w:ind w:left="1540" w:hanging="340"/>
        <w:rPr>
          <w:rFonts w:ascii="標楷體" w:eastAsia="標楷體" w:hAnsi="標楷體"/>
          <w:color w:val="000000"/>
          <w:szCs w:val="24"/>
        </w:rPr>
      </w:pPr>
      <w:r w:rsidRPr="007576F0">
        <w:rPr>
          <w:rFonts w:ascii="標楷體" w:eastAsia="標楷體" w:hAnsi="標楷體"/>
          <w:color w:val="000000"/>
          <w:szCs w:val="24"/>
        </w:rPr>
        <w:t>Ⅲ.第一次療程為3個月，續用申請之療程以3個月為限，送審時需檢送療效評估，每3個月評估一次。用藥後，若有疾病持續進展，則不予同意使用。</w:t>
      </w:r>
    </w:p>
    <w:p w14:paraId="6A2600E6" w14:textId="77777777" w:rsidR="007576F0" w:rsidRPr="007576F0" w:rsidRDefault="007576F0" w:rsidP="007576F0">
      <w:pPr>
        <w:spacing w:line="300" w:lineRule="exact"/>
        <w:ind w:left="1540" w:hanging="340"/>
        <w:rPr>
          <w:rFonts w:ascii="標楷體" w:eastAsia="標楷體" w:hAnsi="標楷體"/>
          <w:color w:val="000000"/>
          <w:szCs w:val="24"/>
        </w:rPr>
      </w:pPr>
      <w:r w:rsidRPr="007576F0">
        <w:rPr>
          <w:rFonts w:ascii="標楷體" w:eastAsia="標楷體" w:hAnsi="標楷體"/>
          <w:color w:val="000000"/>
          <w:szCs w:val="24"/>
        </w:rPr>
        <w:t>Ⅳ.使用總療程以24個月為上限。</w:t>
      </w:r>
    </w:p>
    <w:p w14:paraId="4EFD6673" w14:textId="77777777" w:rsidR="007576F0" w:rsidRPr="007576F0" w:rsidRDefault="007576F0" w:rsidP="007576F0">
      <w:pPr>
        <w:spacing w:line="300" w:lineRule="exact"/>
        <w:ind w:left="1540" w:hanging="340"/>
        <w:rPr>
          <w:rFonts w:ascii="標楷體" w:eastAsia="標楷體" w:hAnsi="標楷體"/>
          <w:color w:val="000000"/>
          <w:szCs w:val="24"/>
        </w:rPr>
      </w:pPr>
      <w:r w:rsidRPr="007576F0">
        <w:rPr>
          <w:rFonts w:ascii="標楷體" w:eastAsia="標楷體" w:hAnsi="標楷體"/>
          <w:color w:val="000000"/>
          <w:szCs w:val="24"/>
        </w:rPr>
        <w:t>Ⅴ.先前曾接受皮質類固醇（corticosteroids）後反應</w:t>
      </w:r>
      <w:proofErr w:type="gramStart"/>
      <w:r w:rsidRPr="007576F0">
        <w:rPr>
          <w:rFonts w:ascii="標楷體" w:eastAsia="標楷體" w:hAnsi="標楷體"/>
          <w:color w:val="000000"/>
          <w:szCs w:val="24"/>
        </w:rPr>
        <w:t>不佳需符合</w:t>
      </w:r>
      <w:proofErr w:type="gramEnd"/>
      <w:r w:rsidRPr="007576F0">
        <w:rPr>
          <w:rFonts w:ascii="標楷體" w:eastAsia="標楷體" w:hAnsi="標楷體"/>
          <w:color w:val="000000"/>
          <w:szCs w:val="24"/>
        </w:rPr>
        <w:t>以下任</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條件：</w:t>
      </w:r>
    </w:p>
    <w:p w14:paraId="6A501D05" w14:textId="77777777" w:rsidR="007576F0" w:rsidRPr="007576F0" w:rsidRDefault="007576F0" w:rsidP="007576F0">
      <w:pPr>
        <w:spacing w:line="300" w:lineRule="exact"/>
        <w:ind w:left="1900" w:hanging="340"/>
        <w:rPr>
          <w:szCs w:val="24"/>
        </w:rPr>
      </w:pPr>
      <w:r w:rsidRPr="007576F0">
        <w:rPr>
          <w:rFonts w:ascii="新細明體" w:hAnsi="新細明體" w:cs="新細明體"/>
          <w:color w:val="000000"/>
          <w:szCs w:val="24"/>
        </w:rPr>
        <w:t>ⅰ</w:t>
      </w:r>
      <w:r w:rsidRPr="007576F0">
        <w:rPr>
          <w:rFonts w:ascii="標楷體" w:eastAsia="標楷體" w:hAnsi="標楷體" w:cs="新細明體"/>
          <w:color w:val="000000"/>
          <w:szCs w:val="24"/>
        </w:rPr>
        <w:t xml:space="preserve">.每日施用 </w:t>
      </w:r>
      <w:r w:rsidRPr="007576F0">
        <w:rPr>
          <w:rFonts w:eastAsia="標楷體"/>
          <w:color w:val="000000"/>
          <w:szCs w:val="24"/>
        </w:rPr>
        <w:t>≥</w:t>
      </w:r>
      <w:r w:rsidRPr="007576F0">
        <w:rPr>
          <w:rFonts w:ascii="標楷體" w:eastAsia="標楷體" w:hAnsi="標楷體" w:cs="新細明體"/>
          <w:color w:val="000000"/>
          <w:szCs w:val="24"/>
        </w:rPr>
        <w:t xml:space="preserve"> 0.5 mg/kg/day prednisone 治療至少7天後，疾病仍持續進展。</w:t>
      </w:r>
    </w:p>
    <w:p w14:paraId="1E764174" w14:textId="77777777" w:rsidR="007576F0" w:rsidRPr="007576F0" w:rsidRDefault="007576F0" w:rsidP="007576F0">
      <w:pPr>
        <w:spacing w:line="300" w:lineRule="exact"/>
        <w:ind w:left="1900" w:hanging="340"/>
        <w:rPr>
          <w:szCs w:val="24"/>
        </w:rPr>
      </w:pPr>
      <w:r w:rsidRPr="007576F0">
        <w:rPr>
          <w:rFonts w:ascii="新細明體" w:hAnsi="新細明體" w:cs="新細明體"/>
          <w:color w:val="000000"/>
          <w:szCs w:val="24"/>
        </w:rPr>
        <w:t>ⅱ</w:t>
      </w:r>
      <w:r w:rsidRPr="007576F0">
        <w:rPr>
          <w:rFonts w:ascii="標楷體" w:eastAsia="標楷體" w:hAnsi="標楷體" w:cs="新細明體"/>
          <w:color w:val="000000"/>
          <w:szCs w:val="24"/>
        </w:rPr>
        <w:t xml:space="preserve">.每日平均施用 </w:t>
      </w:r>
      <w:r w:rsidRPr="007576F0">
        <w:rPr>
          <w:rFonts w:eastAsia="標楷體"/>
          <w:color w:val="000000"/>
          <w:szCs w:val="24"/>
        </w:rPr>
        <w:t>≥</w:t>
      </w:r>
      <w:r w:rsidRPr="007576F0">
        <w:rPr>
          <w:rFonts w:ascii="標楷體" w:eastAsia="標楷體" w:hAnsi="標楷體" w:cs="新細明體"/>
          <w:color w:val="000000"/>
          <w:szCs w:val="24"/>
        </w:rPr>
        <w:t xml:space="preserve"> 0.5 mg/kg/day prednisone (或隔日</w:t>
      </w:r>
      <w:r w:rsidRPr="007576F0">
        <w:rPr>
          <w:rFonts w:eastAsia="標楷體"/>
          <w:color w:val="000000"/>
          <w:szCs w:val="24"/>
        </w:rPr>
        <w:t>≥</w:t>
      </w:r>
      <w:r w:rsidRPr="007576F0">
        <w:rPr>
          <w:rFonts w:ascii="標楷體" w:eastAsia="標楷體" w:hAnsi="標楷體" w:cs="新細明體"/>
          <w:color w:val="000000"/>
          <w:szCs w:val="24"/>
        </w:rPr>
        <w:t>1 mg/kg) ，治療至少1個月後，疾病仍未改善。</w:t>
      </w:r>
    </w:p>
    <w:p w14:paraId="39B9C38D" w14:textId="77777777" w:rsidR="007576F0" w:rsidRPr="007576F0" w:rsidRDefault="007576F0" w:rsidP="007576F0">
      <w:pPr>
        <w:spacing w:line="300" w:lineRule="exact"/>
        <w:ind w:left="1900" w:hanging="340"/>
        <w:rPr>
          <w:rFonts w:ascii="標楷體" w:eastAsia="標楷體" w:hAnsi="標楷體" w:cs="新細明體"/>
          <w:color w:val="000000"/>
          <w:szCs w:val="24"/>
        </w:rPr>
      </w:pPr>
      <w:r w:rsidRPr="007576F0">
        <w:rPr>
          <w:rFonts w:ascii="新細明體" w:hAnsi="新細明體" w:cs="新細明體"/>
          <w:color w:val="000000"/>
          <w:szCs w:val="24"/>
        </w:rPr>
        <w:t>ⅲ</w:t>
      </w:r>
      <w:r w:rsidRPr="007576F0">
        <w:rPr>
          <w:rFonts w:ascii="標楷體" w:eastAsia="標楷體" w:hAnsi="標楷體" w:cs="新細明體"/>
          <w:color w:val="000000"/>
          <w:szCs w:val="24"/>
        </w:rPr>
        <w:t>.發生皮質類固醇依賴性：在逐漸調降皮質類固醇</w:t>
      </w:r>
      <w:proofErr w:type="gramStart"/>
      <w:r w:rsidRPr="007576F0">
        <w:rPr>
          <w:rFonts w:ascii="標楷體" w:eastAsia="標楷體" w:hAnsi="標楷體" w:cs="新細明體"/>
          <w:color w:val="000000"/>
          <w:szCs w:val="24"/>
        </w:rPr>
        <w:t>期間，</w:t>
      </w:r>
      <w:proofErr w:type="gramEnd"/>
      <w:r w:rsidRPr="007576F0">
        <w:rPr>
          <w:rFonts w:ascii="標楷體" w:eastAsia="標楷體" w:hAnsi="標楷體" w:cs="新細明體"/>
          <w:color w:val="000000"/>
          <w:szCs w:val="24"/>
        </w:rPr>
        <w:t>無法將劑量調降至每日0.25 mg/kg 以下維持至少7 天。</w:t>
      </w:r>
    </w:p>
    <w:p w14:paraId="268FCBD8" w14:textId="77777777" w:rsidR="007576F0" w:rsidRPr="007576F0" w:rsidRDefault="007576F0" w:rsidP="007576F0">
      <w:pPr>
        <w:spacing w:line="300" w:lineRule="exact"/>
        <w:ind w:left="1900" w:hanging="340"/>
      </w:pPr>
      <w:r w:rsidRPr="007576F0">
        <w:rPr>
          <w:rFonts w:ascii="新細明體" w:hAnsi="新細明體" w:cs="新細明體"/>
          <w:szCs w:val="24"/>
        </w:rPr>
        <w:t>ⅳ</w:t>
      </w:r>
      <w:r w:rsidRPr="007576F0">
        <w:rPr>
          <w:rFonts w:ascii="標楷體" w:eastAsia="標楷體" w:hAnsi="標楷體" w:cs="新細明體"/>
          <w:szCs w:val="24"/>
        </w:rPr>
        <w:t>.發生皮質類固醇不耐受性:初始治療後，發生 CTCAE G3 嚴重不良反應之情形。</w:t>
      </w:r>
      <w:bookmarkEnd w:id="49"/>
    </w:p>
    <w:p w14:paraId="758BEC37"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w:t>
      </w:r>
      <w:r w:rsidRPr="007576F0">
        <w:rPr>
          <w:rFonts w:ascii="標楷體" w:eastAsia="標楷體" w:hAnsi="標楷體" w:hint="eastAsia"/>
          <w:color w:val="000000"/>
        </w:rPr>
        <w:t xml:space="preserve">.56.Brentuximab </w:t>
      </w:r>
      <w:proofErr w:type="spellStart"/>
      <w:r w:rsidRPr="007576F0">
        <w:rPr>
          <w:rFonts w:ascii="標楷體" w:eastAsia="標楷體" w:hAnsi="標楷體" w:hint="eastAsia"/>
          <w:color w:val="000000"/>
        </w:rPr>
        <w:t>vedotin</w:t>
      </w:r>
      <w:proofErr w:type="spellEnd"/>
      <w:r w:rsidRPr="007576F0">
        <w:rPr>
          <w:rFonts w:ascii="標楷體" w:eastAsia="標楷體" w:hAnsi="標楷體" w:hint="eastAsia"/>
          <w:color w:val="000000"/>
        </w:rPr>
        <w:t>(如</w:t>
      </w:r>
      <w:proofErr w:type="spellStart"/>
      <w:r w:rsidRPr="007576F0">
        <w:rPr>
          <w:rFonts w:ascii="標楷體" w:eastAsia="標楷體" w:hAnsi="標楷體" w:hint="eastAsia"/>
          <w:color w:val="000000"/>
        </w:rPr>
        <w:t>Adcetris</w:t>
      </w:r>
      <w:proofErr w:type="spellEnd"/>
      <w:r w:rsidRPr="007576F0">
        <w:rPr>
          <w:rFonts w:ascii="標楷體" w:eastAsia="標楷體" w:hAnsi="標楷體" w:hint="eastAsia"/>
          <w:color w:val="000000"/>
        </w:rPr>
        <w:t xml:space="preserve">)：(105/10/1、106/4/1、109/2/1、111/2/1、114/12/1、115/10/1) </w:t>
      </w:r>
    </w:p>
    <w:p w14:paraId="13F1F684" w14:textId="77777777" w:rsidR="007576F0" w:rsidRPr="007576F0" w:rsidRDefault="007576F0" w:rsidP="007576F0">
      <w:pPr>
        <w:tabs>
          <w:tab w:val="left" w:pos="1418"/>
        </w:tabs>
        <w:spacing w:line="300" w:lineRule="exact"/>
        <w:ind w:left="1133" w:hanging="228"/>
        <w:rPr>
          <w:rFonts w:ascii="標楷體" w:eastAsia="標楷體" w:hAnsi="標楷體"/>
          <w:color w:val="000000"/>
        </w:rPr>
      </w:pPr>
      <w:r w:rsidRPr="007576F0">
        <w:rPr>
          <w:rFonts w:ascii="標楷體" w:eastAsia="標楷體" w:hAnsi="標楷體" w:hint="eastAsia"/>
          <w:color w:val="000000"/>
        </w:rPr>
        <w:t>限用於成人病人：</w:t>
      </w:r>
    </w:p>
    <w:p w14:paraId="448AD53C" w14:textId="77777777" w:rsidR="007576F0" w:rsidRPr="007576F0" w:rsidRDefault="007576F0" w:rsidP="007576F0">
      <w:pPr>
        <w:spacing w:line="300" w:lineRule="exact"/>
        <w:ind w:left="993" w:hanging="370"/>
        <w:rPr>
          <w:rFonts w:ascii="標楷體" w:eastAsia="標楷體" w:hAnsi="標楷體"/>
          <w:color w:val="000000"/>
        </w:rPr>
      </w:pPr>
      <w:r w:rsidRPr="007576F0">
        <w:rPr>
          <w:rFonts w:ascii="標楷體" w:eastAsia="標楷體" w:hAnsi="標楷體" w:hint="eastAsia"/>
          <w:color w:val="000000"/>
        </w:rPr>
        <w:t>1.何</w:t>
      </w:r>
      <w:proofErr w:type="gramStart"/>
      <w:r w:rsidRPr="007576F0">
        <w:rPr>
          <w:rFonts w:ascii="標楷體" w:eastAsia="標楷體" w:hAnsi="標楷體" w:hint="eastAsia"/>
          <w:color w:val="000000"/>
        </w:rPr>
        <w:t>杰</w:t>
      </w:r>
      <w:proofErr w:type="gramEnd"/>
      <w:r w:rsidRPr="007576F0">
        <w:rPr>
          <w:rFonts w:ascii="標楷體" w:eastAsia="標楷體" w:hAnsi="標楷體" w:hint="eastAsia"/>
          <w:color w:val="000000"/>
        </w:rPr>
        <w:t>金氏淋巴瘤(HL)：</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111/2/1)</w:t>
      </w:r>
    </w:p>
    <w:p w14:paraId="1D2329E1" w14:textId="77777777" w:rsidR="007576F0" w:rsidRPr="007576F0" w:rsidRDefault="007576F0" w:rsidP="007576F0">
      <w:pPr>
        <w:tabs>
          <w:tab w:val="left" w:pos="1418"/>
        </w:tabs>
        <w:spacing w:line="300" w:lineRule="exact"/>
        <w:ind w:left="1276" w:hanging="370"/>
        <w:rPr>
          <w:rFonts w:ascii="標楷體" w:eastAsia="標楷體" w:hAnsi="標楷體"/>
          <w:color w:val="000000"/>
        </w:rPr>
      </w:pPr>
      <w:r w:rsidRPr="007576F0">
        <w:rPr>
          <w:rFonts w:ascii="標楷體" w:eastAsia="標楷體" w:hAnsi="標楷體" w:hint="eastAsia"/>
          <w:color w:val="000000"/>
        </w:rPr>
        <w:t>(1)與doxorubicin、vinblastine和dacarbazine</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用適用於先前未曾接受治療，且IPS (International Prognostic Score)為4-7 分的CD30+第IV期何</w:t>
      </w:r>
      <w:proofErr w:type="gramStart"/>
      <w:r w:rsidRPr="007576F0">
        <w:rPr>
          <w:rFonts w:ascii="標楷體" w:eastAsia="標楷體" w:hAnsi="標楷體" w:hint="eastAsia"/>
          <w:color w:val="000000"/>
        </w:rPr>
        <w:t>杰</w:t>
      </w:r>
      <w:proofErr w:type="gramEnd"/>
      <w:r w:rsidRPr="007576F0">
        <w:rPr>
          <w:rFonts w:ascii="標楷體" w:eastAsia="標楷體" w:hAnsi="標楷體" w:hint="eastAsia"/>
          <w:color w:val="000000"/>
        </w:rPr>
        <w:t>金氏淋巴瘤(HL)成人病人。（111/2/1）</w:t>
      </w:r>
    </w:p>
    <w:p w14:paraId="690A505D" w14:textId="77777777" w:rsidR="007576F0" w:rsidRPr="007576F0" w:rsidRDefault="007576F0" w:rsidP="007576F0">
      <w:pPr>
        <w:tabs>
          <w:tab w:val="left" w:pos="1418"/>
        </w:tabs>
        <w:spacing w:line="300" w:lineRule="exact"/>
        <w:ind w:left="1276" w:hanging="370"/>
        <w:rPr>
          <w:rFonts w:ascii="標楷體" w:eastAsia="標楷體" w:hAnsi="標楷體"/>
          <w:color w:val="000000"/>
        </w:rPr>
      </w:pPr>
      <w:r w:rsidRPr="007576F0">
        <w:rPr>
          <w:rFonts w:ascii="標楷體" w:eastAsia="標楷體" w:hAnsi="標楷體" w:hint="eastAsia"/>
          <w:color w:val="000000"/>
        </w:rPr>
        <w:t>(2)CD30+何</w:t>
      </w:r>
      <w:proofErr w:type="gramStart"/>
      <w:r w:rsidRPr="007576F0">
        <w:rPr>
          <w:rFonts w:ascii="標楷體" w:eastAsia="標楷體" w:hAnsi="標楷體" w:hint="eastAsia"/>
          <w:color w:val="000000"/>
        </w:rPr>
        <w:t>杰</w:t>
      </w:r>
      <w:proofErr w:type="gramEnd"/>
      <w:r w:rsidRPr="007576F0">
        <w:rPr>
          <w:rFonts w:ascii="標楷體" w:eastAsia="標楷體" w:hAnsi="標楷體" w:hint="eastAsia"/>
          <w:color w:val="000000"/>
        </w:rPr>
        <w:t>金氏淋巴瘤(HL)病患接受ASCT後仍具有高復發風險之病患：需先前未曾使用</w:t>
      </w:r>
      <w:proofErr w:type="gramStart"/>
      <w:r w:rsidRPr="007576F0">
        <w:rPr>
          <w:rFonts w:ascii="標楷體" w:eastAsia="標楷體" w:hAnsi="標楷體" w:hint="eastAsia"/>
          <w:color w:val="000000"/>
        </w:rPr>
        <w:t>過本品</w:t>
      </w:r>
      <w:proofErr w:type="gramEnd"/>
      <w:r w:rsidRPr="007576F0">
        <w:rPr>
          <w:rFonts w:ascii="標楷體" w:eastAsia="標楷體" w:hAnsi="標楷體" w:hint="eastAsia"/>
          <w:color w:val="000000"/>
        </w:rPr>
        <w:t>，並於ASCT前具有下列任</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危險因子者：(109/2/1)</w:t>
      </w:r>
    </w:p>
    <w:p w14:paraId="4BB9DF65" w14:textId="77777777" w:rsidR="007576F0" w:rsidRPr="007576F0" w:rsidRDefault="007576F0" w:rsidP="007576F0">
      <w:pPr>
        <w:tabs>
          <w:tab w:val="left" w:pos="1418"/>
        </w:tabs>
        <w:spacing w:line="300" w:lineRule="exact"/>
        <w:ind w:left="1701" w:hanging="370"/>
        <w:rPr>
          <w:rFonts w:ascii="標楷體" w:eastAsia="標楷體" w:hAnsi="標楷體"/>
          <w:color w:val="000000"/>
        </w:rPr>
      </w:pPr>
      <w:r w:rsidRPr="007576F0">
        <w:rPr>
          <w:rFonts w:ascii="標楷體" w:eastAsia="標楷體" w:hAnsi="標楷體" w:hint="eastAsia"/>
          <w:color w:val="000000"/>
        </w:rPr>
        <w:t>Ⅰ.對於第1線治療未達</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w:t>
      </w:r>
    </w:p>
    <w:p w14:paraId="34BBF6D7" w14:textId="77777777" w:rsidR="007576F0" w:rsidRPr="007576F0" w:rsidRDefault="007576F0" w:rsidP="007576F0">
      <w:pPr>
        <w:tabs>
          <w:tab w:val="left" w:pos="1418"/>
        </w:tabs>
        <w:spacing w:line="300" w:lineRule="exact"/>
        <w:ind w:left="1701" w:hanging="370"/>
        <w:rPr>
          <w:rFonts w:ascii="標楷體" w:eastAsia="標楷體" w:hAnsi="標楷體"/>
          <w:color w:val="000000"/>
        </w:rPr>
      </w:pPr>
      <w:r w:rsidRPr="007576F0">
        <w:rPr>
          <w:rFonts w:ascii="標楷體" w:eastAsia="標楷體" w:hAnsi="標楷體" w:hint="eastAsia"/>
          <w:color w:val="000000"/>
        </w:rPr>
        <w:t>Ⅱ.第1線治療結束後12個月內復發或惡化。</w:t>
      </w:r>
    </w:p>
    <w:p w14:paraId="29F96515" w14:textId="77777777" w:rsidR="007576F0" w:rsidRPr="007576F0" w:rsidRDefault="007576F0" w:rsidP="007576F0">
      <w:pPr>
        <w:tabs>
          <w:tab w:val="left" w:pos="1418"/>
        </w:tabs>
        <w:spacing w:line="300" w:lineRule="exact"/>
        <w:ind w:left="1701" w:hanging="370"/>
        <w:rPr>
          <w:rFonts w:ascii="標楷體" w:eastAsia="標楷體" w:hAnsi="標楷體"/>
          <w:color w:val="000000"/>
        </w:rPr>
      </w:pPr>
      <w:r w:rsidRPr="007576F0">
        <w:rPr>
          <w:rFonts w:ascii="標楷體" w:eastAsia="標楷體" w:hAnsi="標楷體" w:hint="eastAsia"/>
          <w:color w:val="000000"/>
        </w:rPr>
        <w:t>Ⅲ.ASCT前出現的復發具有淋巴結外侵犯。</w:t>
      </w:r>
    </w:p>
    <w:p w14:paraId="5FA79B56" w14:textId="77777777" w:rsidR="007576F0" w:rsidRPr="007576F0" w:rsidRDefault="007576F0" w:rsidP="007576F0">
      <w:pPr>
        <w:tabs>
          <w:tab w:val="left" w:pos="1418"/>
        </w:tabs>
        <w:spacing w:line="300" w:lineRule="exact"/>
        <w:ind w:left="993"/>
        <w:rPr>
          <w:rFonts w:ascii="標楷體" w:eastAsia="標楷體" w:hAnsi="標楷體"/>
          <w:color w:val="000000"/>
        </w:rPr>
      </w:pPr>
      <w:r w:rsidRPr="007576F0">
        <w:rPr>
          <w:rFonts w:ascii="標楷體" w:eastAsia="標楷體" w:hAnsi="標楷體" w:hint="eastAsia"/>
          <w:color w:val="000000"/>
        </w:rPr>
        <w:t>(3)治療復發或頑固型CD30+何</w:t>
      </w:r>
      <w:proofErr w:type="gramStart"/>
      <w:r w:rsidRPr="007576F0">
        <w:rPr>
          <w:rFonts w:ascii="標楷體" w:eastAsia="標楷體" w:hAnsi="標楷體" w:hint="eastAsia"/>
          <w:color w:val="000000"/>
        </w:rPr>
        <w:t>杰</w:t>
      </w:r>
      <w:proofErr w:type="gramEnd"/>
      <w:r w:rsidRPr="007576F0">
        <w:rPr>
          <w:rFonts w:ascii="標楷體" w:eastAsia="標楷體" w:hAnsi="標楷體" w:hint="eastAsia"/>
          <w:color w:val="000000"/>
        </w:rPr>
        <w:t xml:space="preserve">金氏淋巴瘤(HL)： </w:t>
      </w:r>
    </w:p>
    <w:p w14:paraId="3BFF21BC" w14:textId="77777777" w:rsidR="007576F0" w:rsidRPr="007576F0" w:rsidRDefault="007576F0" w:rsidP="007576F0">
      <w:pPr>
        <w:tabs>
          <w:tab w:val="left" w:pos="1418"/>
        </w:tabs>
        <w:spacing w:line="300" w:lineRule="exact"/>
        <w:ind w:left="1843" w:hanging="567"/>
        <w:rPr>
          <w:rFonts w:ascii="標楷體" w:eastAsia="標楷體" w:hAnsi="標楷體"/>
          <w:color w:val="000000"/>
        </w:rPr>
      </w:pPr>
      <w:r w:rsidRPr="007576F0">
        <w:rPr>
          <w:rFonts w:ascii="標楷體" w:eastAsia="標楷體" w:hAnsi="標楷體" w:hint="eastAsia"/>
          <w:color w:val="000000"/>
        </w:rPr>
        <w:t>Ⅰ.已接受自體幹細胞移植(ASCT)，或</w:t>
      </w:r>
    </w:p>
    <w:p w14:paraId="45BE0DED" w14:textId="77777777" w:rsidR="007576F0" w:rsidRPr="007576F0" w:rsidRDefault="007576F0" w:rsidP="007576F0">
      <w:pPr>
        <w:tabs>
          <w:tab w:val="left" w:pos="1418"/>
        </w:tabs>
        <w:spacing w:line="300" w:lineRule="exact"/>
        <w:ind w:left="1843" w:hanging="567"/>
        <w:rPr>
          <w:rFonts w:ascii="標楷體" w:eastAsia="標楷體" w:hAnsi="標楷體"/>
          <w:color w:val="000000"/>
        </w:rPr>
      </w:pPr>
      <w:r w:rsidRPr="007576F0">
        <w:rPr>
          <w:rFonts w:ascii="標楷體" w:eastAsia="標楷體" w:hAnsi="標楷體" w:hint="eastAsia"/>
          <w:color w:val="000000"/>
        </w:rPr>
        <w:t>Ⅱ.無法使用ASCT或多重藥物化療，且先前至少已接受兩種治療。</w:t>
      </w:r>
    </w:p>
    <w:p w14:paraId="272914C4" w14:textId="77777777" w:rsidR="007576F0" w:rsidRPr="007576F0" w:rsidRDefault="007576F0" w:rsidP="007576F0">
      <w:pPr>
        <w:tabs>
          <w:tab w:val="left" w:pos="1418"/>
        </w:tabs>
        <w:spacing w:line="300" w:lineRule="exact"/>
        <w:ind w:left="993"/>
        <w:rPr>
          <w:rFonts w:ascii="標楷體" w:eastAsia="標楷體" w:hAnsi="標楷體"/>
          <w:color w:val="000000"/>
        </w:rPr>
      </w:pPr>
      <w:r w:rsidRPr="007576F0">
        <w:rPr>
          <w:rFonts w:ascii="標楷體" w:eastAsia="標楷體" w:hAnsi="標楷體" w:hint="eastAsia"/>
          <w:color w:val="000000"/>
        </w:rPr>
        <w:t>(4)須經事前審查核准後使用：</w:t>
      </w:r>
    </w:p>
    <w:p w14:paraId="6E0E6A9B" w14:textId="77777777" w:rsidR="007576F0" w:rsidRPr="007576F0" w:rsidRDefault="007576F0" w:rsidP="007576F0">
      <w:pPr>
        <w:tabs>
          <w:tab w:val="left" w:pos="1418"/>
        </w:tabs>
        <w:spacing w:line="300" w:lineRule="exact"/>
        <w:ind w:left="1701" w:hanging="370"/>
        <w:rPr>
          <w:rFonts w:ascii="標楷體" w:eastAsia="標楷體" w:hAnsi="標楷體"/>
          <w:color w:val="000000"/>
        </w:rPr>
      </w:pPr>
      <w:r w:rsidRPr="007576F0">
        <w:rPr>
          <w:rFonts w:ascii="標楷體" w:eastAsia="標楷體" w:hAnsi="標楷體" w:hint="eastAsia"/>
          <w:color w:val="000000"/>
        </w:rPr>
        <w:t>Ⅰ.前述(1)之病患：首次申請療程以4個療程為限，再申請應檢附前次治療結果評估資料。若病人病情已達</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解，得再給付2個療程；若病情惡化即須停止使用。健保給付以6個療程為上限。(111/2/1)</w:t>
      </w:r>
    </w:p>
    <w:p w14:paraId="3A1CC07C" w14:textId="77777777" w:rsidR="007576F0" w:rsidRPr="007576F0" w:rsidRDefault="007576F0" w:rsidP="007576F0">
      <w:pPr>
        <w:tabs>
          <w:tab w:val="left" w:pos="1418"/>
        </w:tabs>
        <w:spacing w:line="300" w:lineRule="exact"/>
        <w:ind w:left="1701" w:hanging="370"/>
        <w:rPr>
          <w:rFonts w:ascii="標楷體" w:eastAsia="標楷體" w:hAnsi="標楷體"/>
          <w:color w:val="000000"/>
        </w:rPr>
      </w:pPr>
      <w:r w:rsidRPr="007576F0">
        <w:rPr>
          <w:rFonts w:ascii="標楷體" w:eastAsia="標楷體" w:hAnsi="標楷體" w:hint="eastAsia"/>
          <w:color w:val="000000"/>
        </w:rPr>
        <w:t>Ⅱ.前述(2)之病患：每次申請療程以4個療程為限，再申請應檢附疾病無惡化之評估資料，若病情惡化即須停止使用。曾依本項核准使用之病患，若之後疾病惡化或復發後將不再給付本藥品。(109/2/1、111/2/1)</w:t>
      </w:r>
    </w:p>
    <w:p w14:paraId="7C111867" w14:textId="77777777" w:rsidR="007576F0" w:rsidRPr="007576F0" w:rsidRDefault="007576F0" w:rsidP="007576F0">
      <w:pPr>
        <w:tabs>
          <w:tab w:val="left" w:pos="1418"/>
        </w:tabs>
        <w:spacing w:line="300" w:lineRule="exact"/>
        <w:ind w:left="1701" w:hanging="370"/>
        <w:rPr>
          <w:rFonts w:ascii="標楷體" w:eastAsia="標楷體" w:hAnsi="標楷體"/>
          <w:color w:val="000000"/>
        </w:rPr>
      </w:pPr>
      <w:r w:rsidRPr="007576F0">
        <w:rPr>
          <w:rFonts w:ascii="標楷體" w:eastAsia="標楷體" w:hAnsi="標楷體" w:hint="eastAsia"/>
          <w:color w:val="000000"/>
        </w:rPr>
        <w:t>Ⅲ.前述(3)之病患：每次申請療程以4個療程為限，再申請應檢附前次治療結果評估資料。若病人病情已達</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解，得再給付4個療程;若病情惡化即須停止使用。(106/4/1、109/2/1、111/2/1)</w:t>
      </w:r>
    </w:p>
    <w:p w14:paraId="36E232EF" w14:textId="77777777" w:rsidR="007576F0" w:rsidRPr="007576F0" w:rsidRDefault="007576F0" w:rsidP="007576F0">
      <w:pPr>
        <w:tabs>
          <w:tab w:val="left" w:pos="1418"/>
        </w:tabs>
        <w:spacing w:line="300" w:lineRule="exact"/>
        <w:ind w:left="1701" w:hanging="370"/>
        <w:rPr>
          <w:rFonts w:ascii="標楷體" w:eastAsia="標楷體" w:hAnsi="標楷體"/>
          <w:color w:val="000000"/>
        </w:rPr>
      </w:pPr>
      <w:r w:rsidRPr="007576F0">
        <w:rPr>
          <w:rFonts w:ascii="標楷體" w:eastAsia="標楷體" w:hAnsi="標楷體" w:hint="eastAsia"/>
          <w:color w:val="000000"/>
        </w:rPr>
        <w:t>Ⅳ.同一病患於前述（1）、（2）及（3）之終身給付療程數以總共16個療程為上限。(111/2/1)</w:t>
      </w:r>
    </w:p>
    <w:p w14:paraId="1EC8DD0F" w14:textId="77777777" w:rsidR="007576F0" w:rsidRPr="007576F0" w:rsidRDefault="007576F0" w:rsidP="007576F0">
      <w:pPr>
        <w:tabs>
          <w:tab w:val="left" w:pos="851"/>
        </w:tabs>
        <w:spacing w:line="300" w:lineRule="exact"/>
        <w:ind w:left="993" w:hanging="370"/>
        <w:rPr>
          <w:rFonts w:ascii="標楷體" w:eastAsia="標楷體" w:hAnsi="標楷體"/>
          <w:color w:val="000000"/>
        </w:rPr>
      </w:pPr>
      <w:r w:rsidRPr="007576F0">
        <w:rPr>
          <w:rFonts w:ascii="標楷體" w:eastAsia="標楷體" w:hAnsi="標楷體" w:hint="eastAsia"/>
          <w:color w:val="000000"/>
        </w:rPr>
        <w:t>2.</w:t>
      </w:r>
      <w:proofErr w:type="gramStart"/>
      <w:r w:rsidRPr="007576F0">
        <w:rPr>
          <w:rFonts w:ascii="標楷體" w:eastAsia="標楷體" w:hAnsi="標楷體" w:hint="eastAsia"/>
          <w:color w:val="000000"/>
        </w:rPr>
        <w:t>全身性退行</w:t>
      </w:r>
      <w:proofErr w:type="gramEnd"/>
      <w:r w:rsidRPr="007576F0">
        <w:rPr>
          <w:rFonts w:ascii="標楷體" w:eastAsia="標楷體" w:hAnsi="標楷體" w:hint="eastAsia"/>
          <w:color w:val="000000"/>
        </w:rPr>
        <w:t>分化型大細胞淋巴瘤(systemic anaplastic large cell lymphoma；</w:t>
      </w:r>
      <w:proofErr w:type="spellStart"/>
      <w:r w:rsidRPr="007576F0">
        <w:rPr>
          <w:rFonts w:ascii="標楷體" w:eastAsia="標楷體" w:hAnsi="標楷體" w:hint="eastAsia"/>
          <w:color w:val="000000"/>
        </w:rPr>
        <w:lastRenderedPageBreak/>
        <w:t>sALCL</w:t>
      </w:r>
      <w:proofErr w:type="spellEnd"/>
      <w:r w:rsidRPr="007576F0">
        <w:rPr>
          <w:rFonts w:ascii="標楷體" w:eastAsia="標楷體" w:hAnsi="標楷體" w:hint="eastAsia"/>
          <w:color w:val="000000"/>
        </w:rPr>
        <w:t>)：</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111/2/1)</w:t>
      </w:r>
    </w:p>
    <w:p w14:paraId="1AD540F3" w14:textId="77777777" w:rsidR="007576F0" w:rsidRPr="007576F0" w:rsidRDefault="007576F0" w:rsidP="007576F0">
      <w:pPr>
        <w:tabs>
          <w:tab w:val="left" w:pos="1418"/>
        </w:tabs>
        <w:spacing w:line="300" w:lineRule="exact"/>
        <w:ind w:left="1418" w:hanging="370"/>
        <w:rPr>
          <w:rFonts w:ascii="標楷體" w:eastAsia="標楷體" w:hAnsi="標楷體"/>
          <w:color w:val="000000"/>
        </w:rPr>
      </w:pPr>
      <w:r w:rsidRPr="007576F0">
        <w:rPr>
          <w:rFonts w:ascii="標楷體" w:eastAsia="標楷體" w:hAnsi="標楷體" w:hint="eastAsia"/>
          <w:color w:val="000000"/>
        </w:rPr>
        <w:t>(1)與cyclophosphamide、doxorubicin和prednisone</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用適用於先前未曾接受治療且為ALK陰性的</w:t>
      </w:r>
      <w:proofErr w:type="gramStart"/>
      <w:r w:rsidRPr="007576F0">
        <w:rPr>
          <w:rFonts w:ascii="標楷體" w:eastAsia="標楷體" w:hAnsi="標楷體" w:hint="eastAsia"/>
          <w:color w:val="000000"/>
        </w:rPr>
        <w:t>全身性退行</w:t>
      </w:r>
      <w:proofErr w:type="gramEnd"/>
      <w:r w:rsidRPr="007576F0">
        <w:rPr>
          <w:rFonts w:ascii="標楷體" w:eastAsia="標楷體" w:hAnsi="標楷體" w:hint="eastAsia"/>
          <w:color w:val="000000"/>
        </w:rPr>
        <w:t>分化型大細胞淋巴瘤(systemic anaplastic large cell lymphoma；</w:t>
      </w:r>
      <w:proofErr w:type="spellStart"/>
      <w:r w:rsidRPr="007576F0">
        <w:rPr>
          <w:rFonts w:ascii="標楷體" w:eastAsia="標楷體" w:hAnsi="標楷體" w:hint="eastAsia"/>
          <w:color w:val="000000"/>
        </w:rPr>
        <w:t>sALCL</w:t>
      </w:r>
      <w:proofErr w:type="spellEnd"/>
      <w:r w:rsidRPr="007576F0">
        <w:rPr>
          <w:rFonts w:ascii="標楷體" w:eastAsia="標楷體" w:hAnsi="標楷體" w:hint="eastAsia"/>
          <w:color w:val="000000"/>
        </w:rPr>
        <w:t>)成人病人。（111/2/1）</w:t>
      </w:r>
    </w:p>
    <w:p w14:paraId="02295C1C" w14:textId="77777777" w:rsidR="007576F0" w:rsidRPr="007576F0" w:rsidRDefault="007576F0" w:rsidP="007576F0">
      <w:pPr>
        <w:tabs>
          <w:tab w:val="left" w:pos="1418"/>
        </w:tabs>
        <w:spacing w:line="300" w:lineRule="exact"/>
        <w:ind w:left="1418" w:hanging="370"/>
        <w:rPr>
          <w:rFonts w:ascii="標楷體" w:eastAsia="標楷體" w:hAnsi="標楷體"/>
          <w:color w:val="000000"/>
        </w:rPr>
      </w:pPr>
      <w:r w:rsidRPr="007576F0">
        <w:rPr>
          <w:rFonts w:ascii="標楷體" w:eastAsia="標楷體" w:hAnsi="標楷體" w:hint="eastAsia"/>
          <w:color w:val="000000"/>
        </w:rPr>
        <w:t>(2)治療復發或頑固型</w:t>
      </w:r>
      <w:proofErr w:type="gramStart"/>
      <w:r w:rsidRPr="007576F0">
        <w:rPr>
          <w:rFonts w:ascii="標楷體" w:eastAsia="標楷體" w:hAnsi="標楷體" w:hint="eastAsia"/>
          <w:color w:val="000000"/>
        </w:rPr>
        <w:t>全身性退行</w:t>
      </w:r>
      <w:proofErr w:type="gramEnd"/>
      <w:r w:rsidRPr="007576F0">
        <w:rPr>
          <w:rFonts w:ascii="標楷體" w:eastAsia="標楷體" w:hAnsi="標楷體" w:hint="eastAsia"/>
          <w:color w:val="000000"/>
        </w:rPr>
        <w:t>分化型大細胞淋巴瘤(systemic anaplastic large cell lymphoma；</w:t>
      </w:r>
      <w:proofErr w:type="spellStart"/>
      <w:r w:rsidRPr="007576F0">
        <w:rPr>
          <w:rFonts w:ascii="標楷體" w:eastAsia="標楷體" w:hAnsi="標楷體" w:hint="eastAsia"/>
          <w:color w:val="000000"/>
        </w:rPr>
        <w:t>sALCL</w:t>
      </w:r>
      <w:proofErr w:type="spellEnd"/>
      <w:r w:rsidRPr="007576F0">
        <w:rPr>
          <w:rFonts w:ascii="標楷體" w:eastAsia="標楷體" w:hAnsi="標楷體" w:hint="eastAsia"/>
          <w:color w:val="000000"/>
        </w:rPr>
        <w:t>)。</w:t>
      </w:r>
    </w:p>
    <w:p w14:paraId="07BF49A2" w14:textId="77777777" w:rsidR="007576F0" w:rsidRPr="007576F0" w:rsidRDefault="007576F0" w:rsidP="007576F0">
      <w:pPr>
        <w:tabs>
          <w:tab w:val="left" w:pos="1418"/>
        </w:tabs>
        <w:spacing w:line="300" w:lineRule="exact"/>
        <w:ind w:left="1418" w:hanging="370"/>
        <w:rPr>
          <w:rFonts w:ascii="標楷體" w:eastAsia="標楷體" w:hAnsi="標楷體"/>
          <w:color w:val="000000"/>
        </w:rPr>
      </w:pPr>
      <w:r w:rsidRPr="007576F0">
        <w:rPr>
          <w:rFonts w:ascii="標楷體" w:eastAsia="標楷體" w:hAnsi="標楷體" w:hint="eastAsia"/>
          <w:color w:val="000000"/>
        </w:rPr>
        <w:t>(3)須經事前審查核准後使用：</w:t>
      </w:r>
    </w:p>
    <w:p w14:paraId="50788CD1" w14:textId="77777777" w:rsidR="007576F0" w:rsidRPr="007576F0" w:rsidRDefault="007576F0" w:rsidP="007576F0">
      <w:pPr>
        <w:tabs>
          <w:tab w:val="left" w:pos="1418"/>
        </w:tabs>
        <w:spacing w:line="300" w:lineRule="exact"/>
        <w:ind w:left="1560" w:hanging="370"/>
        <w:rPr>
          <w:rFonts w:ascii="標楷體" w:eastAsia="標楷體" w:hAnsi="標楷體"/>
          <w:color w:val="000000"/>
        </w:rPr>
      </w:pPr>
      <w:r w:rsidRPr="007576F0">
        <w:rPr>
          <w:rFonts w:ascii="標楷體" w:eastAsia="標楷體" w:hAnsi="標楷體" w:hint="eastAsia"/>
          <w:color w:val="000000"/>
        </w:rPr>
        <w:t>Ⅰ.前述(1)之病患：首次申請療程以4個療程為限，再申請應檢附前次治療結果評估資料。若病人病情已達</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解，得再給付2個療程；若病情惡化即須停止使用。健保給付以6個療程為上限。(111/2/1)</w:t>
      </w:r>
    </w:p>
    <w:p w14:paraId="3BBF0AE7" w14:textId="77777777" w:rsidR="007576F0" w:rsidRPr="007576F0" w:rsidRDefault="007576F0" w:rsidP="007576F0">
      <w:pPr>
        <w:tabs>
          <w:tab w:val="left" w:pos="1418"/>
        </w:tabs>
        <w:spacing w:line="300" w:lineRule="exact"/>
        <w:ind w:left="1560" w:hanging="370"/>
        <w:rPr>
          <w:rFonts w:ascii="標楷體" w:eastAsia="標楷體" w:hAnsi="標楷體"/>
          <w:color w:val="000000"/>
        </w:rPr>
      </w:pPr>
      <w:r w:rsidRPr="007576F0">
        <w:rPr>
          <w:rFonts w:ascii="標楷體" w:eastAsia="標楷體" w:hAnsi="標楷體" w:hint="eastAsia"/>
          <w:color w:val="000000"/>
        </w:rPr>
        <w:t>Ⅱ.前述(2)之病患：每次申請療程以4個療程為限，再申請應檢附前次治療結果評估資料。若病人病情已達</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解，得再給付4個療程;若病情惡化即須停止使用。(106/4/1、109/2/1、111/2/1)</w:t>
      </w:r>
    </w:p>
    <w:p w14:paraId="2B121A6F" w14:textId="77777777" w:rsidR="007576F0" w:rsidRPr="007576F0" w:rsidRDefault="007576F0" w:rsidP="007576F0">
      <w:pPr>
        <w:tabs>
          <w:tab w:val="left" w:pos="1418"/>
        </w:tabs>
        <w:spacing w:line="300" w:lineRule="exact"/>
        <w:ind w:left="1560" w:hanging="370"/>
        <w:rPr>
          <w:rFonts w:ascii="標楷體" w:eastAsia="標楷體" w:hAnsi="標楷體"/>
          <w:color w:val="000000"/>
        </w:rPr>
      </w:pPr>
      <w:r w:rsidRPr="007576F0">
        <w:rPr>
          <w:rFonts w:ascii="標楷體" w:eastAsia="標楷體" w:hAnsi="標楷體" w:hint="eastAsia"/>
          <w:color w:val="000000"/>
        </w:rPr>
        <w:t>Ⅲ.同一病患於前述(1)及(2)之終身給付療程數以總共16個療程為上限。(111/2/1)</w:t>
      </w:r>
    </w:p>
    <w:p w14:paraId="708CD7FB" w14:textId="77777777" w:rsidR="007576F0" w:rsidRPr="007576F0" w:rsidRDefault="007576F0" w:rsidP="007576F0">
      <w:pPr>
        <w:spacing w:line="300" w:lineRule="exact"/>
        <w:ind w:left="993" w:hanging="370"/>
        <w:rPr>
          <w:rFonts w:ascii="標楷體" w:eastAsia="標楷體" w:hAnsi="標楷體"/>
          <w:color w:val="000000"/>
        </w:rPr>
      </w:pPr>
      <w:r w:rsidRPr="007576F0">
        <w:rPr>
          <w:rFonts w:ascii="標楷體" w:eastAsia="標楷體" w:hAnsi="標楷體" w:hint="eastAsia"/>
          <w:color w:val="000000"/>
        </w:rPr>
        <w:t>3.CD30+皮膚T細胞淋巴瘤(CTCL)：（111/2/1、114/12/1、115/10/1）</w:t>
      </w:r>
    </w:p>
    <w:p w14:paraId="6646B935" w14:textId="77777777" w:rsidR="007576F0" w:rsidRPr="007576F0" w:rsidRDefault="007576F0" w:rsidP="007576F0">
      <w:pPr>
        <w:tabs>
          <w:tab w:val="left" w:pos="1418"/>
        </w:tabs>
        <w:spacing w:line="300" w:lineRule="exact"/>
        <w:ind w:left="1276" w:hanging="369"/>
        <w:rPr>
          <w:rFonts w:ascii="標楷體" w:eastAsia="標楷體" w:hAnsi="標楷體"/>
          <w:color w:val="000000"/>
        </w:rPr>
      </w:pPr>
      <w:r w:rsidRPr="007576F0">
        <w:rPr>
          <w:rFonts w:ascii="標楷體" w:eastAsia="標楷體" w:hAnsi="標楷體" w:hint="eastAsia"/>
          <w:color w:val="000000"/>
        </w:rPr>
        <w:t>(1)單獨用於先前已接受照光療法與至少一種注射型(含血管內注射、肌肉內注射、皮下注射等)之全身性化學藥物治療的CD30+皮膚T細胞淋巴瘤(CTCL)成人病人，病人須診斷</w:t>
      </w:r>
      <w:proofErr w:type="gramStart"/>
      <w:r w:rsidRPr="007576F0">
        <w:rPr>
          <w:rFonts w:ascii="標楷體" w:eastAsia="標楷體" w:hAnsi="標楷體" w:hint="eastAsia"/>
          <w:color w:val="000000"/>
        </w:rPr>
        <w:t>為蕈狀肉芽腫</w:t>
      </w:r>
      <w:proofErr w:type="gramEnd"/>
      <w:r w:rsidRPr="007576F0">
        <w:rPr>
          <w:rFonts w:ascii="標楷體" w:eastAsia="標楷體" w:hAnsi="標楷體" w:hint="eastAsia"/>
          <w:color w:val="000000"/>
        </w:rPr>
        <w:t xml:space="preserve"> (MF，第ⅡB期或以上)、Sezary症候群(SS)或原發性皮膚退行分化型大細胞淋巴瘤（</w:t>
      </w:r>
      <w:proofErr w:type="spellStart"/>
      <w:r w:rsidRPr="007576F0">
        <w:rPr>
          <w:rFonts w:ascii="標楷體" w:eastAsia="標楷體" w:hAnsi="標楷體" w:hint="eastAsia"/>
          <w:color w:val="000000"/>
        </w:rPr>
        <w:t>pcALCL</w:t>
      </w:r>
      <w:proofErr w:type="spellEnd"/>
      <w:r w:rsidRPr="007576F0">
        <w:rPr>
          <w:rFonts w:ascii="標楷體" w:eastAsia="標楷體" w:hAnsi="標楷體" w:hint="eastAsia"/>
          <w:color w:val="000000"/>
        </w:rPr>
        <w:t>），且CD30需於超過10%的腫瘤細胞呈現陽性。（111/2/1、114/12/1）</w:t>
      </w:r>
    </w:p>
    <w:p w14:paraId="423C1E5D" w14:textId="77777777" w:rsidR="007576F0" w:rsidRPr="007576F0" w:rsidRDefault="007576F0" w:rsidP="007576F0">
      <w:pPr>
        <w:tabs>
          <w:tab w:val="left" w:pos="1418"/>
        </w:tabs>
        <w:spacing w:line="300" w:lineRule="exact"/>
        <w:ind w:left="1276" w:hanging="369"/>
        <w:rPr>
          <w:rFonts w:ascii="標楷體" w:eastAsia="標楷體" w:hAnsi="標楷體"/>
          <w:color w:val="000000"/>
        </w:rPr>
      </w:pPr>
      <w:r w:rsidRPr="007576F0">
        <w:rPr>
          <w:rFonts w:ascii="標楷體" w:eastAsia="標楷體" w:hAnsi="標楷體" w:hint="eastAsia"/>
          <w:color w:val="000000"/>
        </w:rPr>
        <w:t>(2)須經事前審查核准後使用，首次申請療程以4個療程為限，再申請應檢附前次治療結果評估資料。若病人病情已達</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解、部份緩解或穩定，得再給付2個療程；若病情惡化即須停止使用。健保給付以6個療程為上限。(111/2/1、115/10/1</w:t>
      </w:r>
      <w:proofErr w:type="gramStart"/>
      <w:r w:rsidRPr="007576F0">
        <w:rPr>
          <w:rFonts w:ascii="標楷體" w:eastAsia="標楷體" w:hAnsi="標楷體" w:hint="eastAsia"/>
          <w:color w:val="000000"/>
        </w:rPr>
        <w:t>）</w:t>
      </w:r>
      <w:proofErr w:type="gramEnd"/>
    </w:p>
    <w:p w14:paraId="1765B625" w14:textId="77777777" w:rsidR="007576F0" w:rsidRPr="007576F0" w:rsidRDefault="007576F0" w:rsidP="007576F0">
      <w:pPr>
        <w:tabs>
          <w:tab w:val="left" w:pos="1418"/>
        </w:tabs>
        <w:spacing w:line="300" w:lineRule="exact"/>
        <w:ind w:left="1276" w:hanging="369"/>
        <w:rPr>
          <w:rFonts w:ascii="標楷體" w:eastAsia="標楷體" w:hAnsi="標楷體"/>
          <w:color w:val="000000"/>
        </w:rPr>
      </w:pPr>
      <w:r w:rsidRPr="007576F0">
        <w:rPr>
          <w:rFonts w:ascii="標楷體" w:eastAsia="標楷體" w:hAnsi="標楷體" w:hint="eastAsia"/>
          <w:color w:val="000000"/>
        </w:rPr>
        <w:t>(3)本藥品與 mogamulizumab僅得擇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roofErr w:type="gramStart"/>
      <w:r w:rsidRPr="007576F0">
        <w:rPr>
          <w:rFonts w:ascii="標楷體" w:eastAsia="標楷體" w:hAnsi="標楷體" w:hint="eastAsia"/>
          <w:color w:val="000000"/>
        </w:rPr>
        <w:t>惟有在耐受</w:t>
      </w:r>
      <w:proofErr w:type="gramEnd"/>
      <w:r w:rsidRPr="007576F0">
        <w:rPr>
          <w:rFonts w:ascii="標楷體" w:eastAsia="標楷體" w:hAnsi="標楷體" w:hint="eastAsia"/>
          <w:color w:val="000000"/>
        </w:rPr>
        <w:t>不良時方可轉換使用，二者使用總療程合併計算，以全部6個療程為上限。(115/10/1)</w:t>
      </w:r>
    </w:p>
    <w:p w14:paraId="3409738C" w14:textId="77777777" w:rsidR="007576F0" w:rsidRPr="007576F0" w:rsidRDefault="007576F0" w:rsidP="007576F0">
      <w:pPr>
        <w:spacing w:line="300" w:lineRule="exact"/>
        <w:ind w:left="708" w:hanging="338"/>
        <w:rPr>
          <w:rFonts w:ascii="標楷體" w:eastAsia="標楷體" w:hAnsi="標楷體"/>
          <w:color w:val="000000"/>
        </w:rPr>
      </w:pPr>
      <w:r w:rsidRPr="007576F0">
        <w:rPr>
          <w:rFonts w:ascii="標楷體" w:eastAsia="標楷體" w:hAnsi="標楷體"/>
          <w:color w:val="000000"/>
        </w:rPr>
        <w:t>9.57.Clofarabine（如</w:t>
      </w:r>
      <w:proofErr w:type="spellStart"/>
      <w:r w:rsidRPr="007576F0">
        <w:rPr>
          <w:rFonts w:ascii="標楷體" w:eastAsia="標楷體" w:hAnsi="標楷體"/>
          <w:color w:val="000000"/>
        </w:rPr>
        <w:t>Evoltra</w:t>
      </w:r>
      <w:proofErr w:type="spellEnd"/>
      <w:r w:rsidRPr="007576F0">
        <w:rPr>
          <w:rFonts w:ascii="標楷體" w:eastAsia="標楷體" w:hAnsi="標楷體"/>
          <w:color w:val="000000"/>
        </w:rPr>
        <w:t>）：（106/1/1、109/12/1）</w:t>
      </w:r>
    </w:p>
    <w:p w14:paraId="69A28DFC" w14:textId="77777777" w:rsidR="007576F0" w:rsidRPr="007576F0" w:rsidRDefault="007576F0" w:rsidP="007576F0">
      <w:pPr>
        <w:tabs>
          <w:tab w:val="left" w:pos="1418"/>
        </w:tabs>
        <w:spacing w:line="300" w:lineRule="exact"/>
        <w:ind w:left="849" w:hanging="283"/>
        <w:rPr>
          <w:rFonts w:ascii="標楷體" w:eastAsia="標楷體" w:hAnsi="標楷體"/>
          <w:color w:val="000000"/>
        </w:rPr>
      </w:pPr>
      <w:r w:rsidRPr="007576F0">
        <w:rPr>
          <w:rFonts w:ascii="標楷體" w:eastAsia="標楷體" w:hAnsi="標楷體"/>
          <w:color w:val="000000"/>
        </w:rPr>
        <w:t>1.使用於先前接受至少兩種化</w:t>
      </w:r>
      <w:proofErr w:type="gramStart"/>
      <w:r w:rsidRPr="007576F0">
        <w:rPr>
          <w:rFonts w:ascii="標楷體" w:eastAsia="標楷體" w:hAnsi="標楷體"/>
          <w:color w:val="000000"/>
        </w:rPr>
        <w:t>療</w:t>
      </w:r>
      <w:proofErr w:type="gramEnd"/>
      <w:r w:rsidRPr="007576F0">
        <w:rPr>
          <w:rFonts w:ascii="標楷體" w:eastAsia="標楷體" w:hAnsi="標楷體"/>
          <w:color w:val="000000"/>
        </w:rPr>
        <w:t>療程(如TPOG之療程表)治療無效或已復發第二次或以上之急性淋巴母細胞白血病(acute lymphoblastic leukemia)病，且計畫進行造血幹細胞移植的病人(限21歲以下)，每位病人限給付</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療程。</w:t>
      </w:r>
    </w:p>
    <w:p w14:paraId="1C2DEB5E" w14:textId="77777777" w:rsidR="007576F0" w:rsidRPr="007576F0" w:rsidRDefault="007576F0" w:rsidP="007576F0">
      <w:pPr>
        <w:tabs>
          <w:tab w:val="left" w:pos="1418"/>
        </w:tabs>
        <w:spacing w:line="300" w:lineRule="exact"/>
        <w:ind w:left="849" w:hanging="283"/>
        <w:rPr>
          <w:rFonts w:ascii="標楷體" w:eastAsia="標楷體" w:hAnsi="標楷體"/>
          <w:color w:val="000000"/>
        </w:rPr>
      </w:pPr>
      <w:r w:rsidRPr="007576F0">
        <w:rPr>
          <w:rFonts w:ascii="標楷體" w:eastAsia="標楷體" w:hAnsi="標楷體"/>
          <w:color w:val="000000"/>
        </w:rPr>
        <w:t>2.須事前審查核准後使用，申請時須檢附完整之造血幹細胞移植計畫，並詳細記載確認捐贈者名單、確認移植之執行醫院及移植前調適治療等資料。</w:t>
      </w:r>
    </w:p>
    <w:p w14:paraId="28AB416D" w14:textId="77777777" w:rsidR="007576F0" w:rsidRPr="007576F0" w:rsidRDefault="007576F0" w:rsidP="007576F0">
      <w:pPr>
        <w:tabs>
          <w:tab w:val="left" w:pos="1418"/>
        </w:tabs>
        <w:spacing w:line="300" w:lineRule="exact"/>
        <w:ind w:left="849" w:hanging="283"/>
        <w:rPr>
          <w:rFonts w:ascii="標楷體" w:eastAsia="標楷體" w:hAnsi="標楷體"/>
          <w:color w:val="000000"/>
        </w:rPr>
      </w:pPr>
      <w:r w:rsidRPr="007576F0">
        <w:rPr>
          <w:rFonts w:ascii="標楷體" w:eastAsia="標楷體" w:hAnsi="標楷體"/>
          <w:color w:val="000000"/>
        </w:rPr>
        <w:t>3.不得與blinatumomab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用。（109/12/1）</w:t>
      </w:r>
    </w:p>
    <w:p w14:paraId="4CF9C8FD" w14:textId="77777777" w:rsidR="007576F0" w:rsidRPr="007576F0" w:rsidRDefault="007576F0" w:rsidP="007576F0">
      <w:pPr>
        <w:spacing w:line="300" w:lineRule="exact"/>
        <w:ind w:left="708" w:hanging="338"/>
      </w:pPr>
      <w:r w:rsidRPr="007576F0">
        <w:rPr>
          <w:rFonts w:ascii="標楷體" w:eastAsia="標楷體" w:hAnsi="標楷體"/>
          <w:color w:val="000000"/>
        </w:rPr>
        <w:t>9.58.Axitinib(如Inlyta)</w:t>
      </w:r>
      <w:r w:rsidRPr="007576F0">
        <w:rPr>
          <w:rFonts w:ascii="新細明體" w:hAnsi="新細明體"/>
          <w:color w:val="000000"/>
        </w:rPr>
        <w:t>：</w:t>
      </w:r>
      <w:r w:rsidRPr="007576F0">
        <w:rPr>
          <w:rFonts w:ascii="標楷體" w:eastAsia="標楷體" w:hAnsi="標楷體"/>
          <w:color w:val="000000"/>
        </w:rPr>
        <w:t>（106/1/1、108/12/1）</w:t>
      </w:r>
    </w:p>
    <w:p w14:paraId="25A07C4F"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1.治療已接受過sunitinib或cytokine治療失敗的</w:t>
      </w:r>
      <w:proofErr w:type="gramStart"/>
      <w:r w:rsidRPr="007576F0">
        <w:rPr>
          <w:rFonts w:ascii="標楷體" w:eastAsia="標楷體" w:hAnsi="標楷體"/>
          <w:color w:val="000000"/>
        </w:rPr>
        <w:t>晚期腎</w:t>
      </w:r>
      <w:proofErr w:type="gramEnd"/>
      <w:r w:rsidRPr="007576F0">
        <w:rPr>
          <w:rFonts w:ascii="標楷體" w:eastAsia="標楷體" w:hAnsi="標楷體"/>
          <w:color w:val="000000"/>
        </w:rPr>
        <w:t>細胞癌病患。</w:t>
      </w:r>
    </w:p>
    <w:p w14:paraId="18CDB9D8"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2.無效後則</w:t>
      </w:r>
      <w:proofErr w:type="gramStart"/>
      <w:r w:rsidRPr="007576F0">
        <w:rPr>
          <w:rFonts w:ascii="標楷體" w:eastAsia="標楷體" w:hAnsi="標楷體"/>
          <w:color w:val="000000"/>
        </w:rPr>
        <w:t>不</w:t>
      </w:r>
      <w:proofErr w:type="gramEnd"/>
      <w:r w:rsidRPr="007576F0">
        <w:rPr>
          <w:rFonts w:ascii="標楷體" w:eastAsia="標楷體" w:hAnsi="標楷體"/>
          <w:color w:val="000000"/>
        </w:rPr>
        <w:t>給付</w:t>
      </w:r>
      <w:proofErr w:type="spellStart"/>
      <w:r w:rsidRPr="007576F0">
        <w:rPr>
          <w:rFonts w:ascii="標楷體" w:eastAsia="標楷體" w:hAnsi="標楷體"/>
          <w:color w:val="000000"/>
        </w:rPr>
        <w:t>temsirolimus</w:t>
      </w:r>
      <w:proofErr w:type="spellEnd"/>
      <w:r w:rsidRPr="007576F0">
        <w:rPr>
          <w:rFonts w:ascii="標楷體" w:eastAsia="標楷體" w:hAnsi="標楷體"/>
          <w:color w:val="000000"/>
        </w:rPr>
        <w:t>。(108/12/1)</w:t>
      </w:r>
    </w:p>
    <w:p w14:paraId="275F5076" w14:textId="77777777" w:rsidR="007576F0" w:rsidRPr="007576F0" w:rsidRDefault="007576F0" w:rsidP="007576F0">
      <w:pPr>
        <w:tabs>
          <w:tab w:val="left" w:pos="1418"/>
        </w:tabs>
        <w:spacing w:line="300" w:lineRule="exact"/>
        <w:ind w:left="851" w:hanging="245"/>
        <w:rPr>
          <w:rFonts w:ascii="標楷體" w:eastAsia="標楷體" w:hAnsi="標楷體"/>
          <w:color w:val="000000"/>
        </w:rPr>
      </w:pPr>
      <w:r w:rsidRPr="007576F0">
        <w:rPr>
          <w:rFonts w:ascii="標楷體" w:eastAsia="標楷體" w:hAnsi="標楷體"/>
          <w:color w:val="000000"/>
        </w:rPr>
        <w:t>3.需經事前審查核准後使用，每次申請之療程以3個月為限，送審時需檢送影像資料，每3個月評估一次。</w:t>
      </w:r>
    </w:p>
    <w:p w14:paraId="0E9E932A" w14:textId="77777777" w:rsidR="007576F0" w:rsidRPr="007576F0" w:rsidRDefault="007576F0" w:rsidP="007576F0">
      <w:pPr>
        <w:spacing w:line="300" w:lineRule="exact"/>
        <w:ind w:left="708" w:hanging="338"/>
      </w:pPr>
      <w:r w:rsidRPr="007576F0">
        <w:rPr>
          <w:rFonts w:ascii="標楷體" w:eastAsia="標楷體" w:hAnsi="標楷體"/>
        </w:rPr>
        <w:t>9.59.Ceritinib(如</w:t>
      </w:r>
      <w:proofErr w:type="spellStart"/>
      <w:r w:rsidRPr="007576F0">
        <w:rPr>
          <w:rFonts w:ascii="標楷體" w:eastAsia="標楷體" w:hAnsi="標楷體"/>
        </w:rPr>
        <w:t>Zykadia</w:t>
      </w:r>
      <w:proofErr w:type="spellEnd"/>
      <w:r w:rsidRPr="007576F0">
        <w:rPr>
          <w:rFonts w:ascii="標楷體" w:eastAsia="標楷體" w:hAnsi="標楷體"/>
        </w:rPr>
        <w:t>)：(106/9/1、106/11/1、108/7/1、108/12/1、111/2/1、111/8/1、112/11/1、113/6/1)</w:t>
      </w:r>
    </w:p>
    <w:p w14:paraId="748072FE" w14:textId="77777777" w:rsidR="007576F0" w:rsidRPr="007576F0" w:rsidRDefault="007576F0" w:rsidP="002144EC">
      <w:pPr>
        <w:numPr>
          <w:ilvl w:val="0"/>
          <w:numId w:val="199"/>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適用於ALK陽性之晚期非小細胞肺癌第一線治療。(108/7/1、111/8/1)</w:t>
      </w:r>
    </w:p>
    <w:p w14:paraId="7EC87813" w14:textId="77777777" w:rsidR="007576F0" w:rsidRPr="007576F0" w:rsidRDefault="007576F0" w:rsidP="002144EC">
      <w:pPr>
        <w:numPr>
          <w:ilvl w:val="0"/>
          <w:numId w:val="199"/>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須經事前審查核准後使用：</w:t>
      </w:r>
    </w:p>
    <w:p w14:paraId="6BB37034" w14:textId="77777777" w:rsidR="007576F0" w:rsidRPr="007576F0" w:rsidRDefault="007576F0" w:rsidP="002144EC">
      <w:pPr>
        <w:numPr>
          <w:ilvl w:val="1"/>
          <w:numId w:val="199"/>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每次申請事前審查之療程以三</w:t>
      </w:r>
      <w:proofErr w:type="gramStart"/>
      <w:r w:rsidRPr="007576F0">
        <w:rPr>
          <w:rFonts w:ascii="標楷體" w:eastAsia="標楷體" w:hAnsi="標楷體"/>
          <w:szCs w:val="24"/>
        </w:rPr>
        <w:t>個</w:t>
      </w:r>
      <w:proofErr w:type="gramEnd"/>
      <w:r w:rsidRPr="007576F0">
        <w:rPr>
          <w:rFonts w:ascii="標楷體" w:eastAsia="標楷體" w:hAnsi="標楷體"/>
          <w:szCs w:val="24"/>
        </w:rPr>
        <w:t>月為限，每三</w:t>
      </w:r>
      <w:proofErr w:type="gramStart"/>
      <w:r w:rsidRPr="007576F0">
        <w:rPr>
          <w:rFonts w:ascii="標楷體" w:eastAsia="標楷體" w:hAnsi="標楷體"/>
          <w:szCs w:val="24"/>
        </w:rPr>
        <w:t>個</w:t>
      </w:r>
      <w:proofErr w:type="gramEnd"/>
      <w:r w:rsidRPr="007576F0">
        <w:rPr>
          <w:rFonts w:ascii="標楷體" w:eastAsia="標楷體" w:hAnsi="標楷體"/>
          <w:szCs w:val="24"/>
        </w:rPr>
        <w:t>月需再次申請。</w:t>
      </w:r>
    </w:p>
    <w:p w14:paraId="5DE46C1B" w14:textId="77777777" w:rsidR="007576F0" w:rsidRPr="007576F0" w:rsidRDefault="007576F0" w:rsidP="002144EC">
      <w:pPr>
        <w:numPr>
          <w:ilvl w:val="1"/>
          <w:numId w:val="199"/>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初次申請時需檢具確實患有非小細胞肺癌之病理或細胞檢查報告及ALK突變檢測報告，且需符合全民健康保險藥品給付規定之通則十二。(108/12/1、111/2/1、113/6/1)</w:t>
      </w:r>
    </w:p>
    <w:p w14:paraId="1F143355" w14:textId="77777777" w:rsidR="007576F0" w:rsidRPr="007576F0" w:rsidRDefault="007576F0" w:rsidP="002144EC">
      <w:pPr>
        <w:numPr>
          <w:ilvl w:val="1"/>
          <w:numId w:val="199"/>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再次申請時並需附上治療後相關臨床資料，如給藥4</w:t>
      </w:r>
      <w:proofErr w:type="gramStart"/>
      <w:r w:rsidRPr="007576F0">
        <w:rPr>
          <w:rFonts w:ascii="標楷體" w:eastAsia="標楷體" w:hAnsi="標楷體"/>
          <w:szCs w:val="24"/>
        </w:rPr>
        <w:t>週</w:t>
      </w:r>
      <w:proofErr w:type="gramEnd"/>
      <w:r w:rsidRPr="007576F0">
        <w:rPr>
          <w:rFonts w:ascii="標楷體" w:eastAsia="標楷體" w:hAnsi="標楷體"/>
          <w:szCs w:val="24"/>
        </w:rPr>
        <w:t>後，需追蹤胸部X光或電腦</w:t>
      </w:r>
      <w:r w:rsidRPr="007576F0">
        <w:rPr>
          <w:rFonts w:ascii="標楷體" w:eastAsia="標楷體" w:hAnsi="標楷體"/>
          <w:szCs w:val="24"/>
        </w:rPr>
        <w:lastRenderedPageBreak/>
        <w:t>斷層等影像檢查評估療效，往後每4</w:t>
      </w:r>
      <w:proofErr w:type="gramStart"/>
      <w:r w:rsidRPr="007576F0">
        <w:rPr>
          <w:rFonts w:ascii="標楷體" w:eastAsia="標楷體" w:hAnsi="標楷體"/>
          <w:szCs w:val="24"/>
        </w:rPr>
        <w:t>週</w:t>
      </w:r>
      <w:proofErr w:type="gramEnd"/>
      <w:r w:rsidRPr="007576F0">
        <w:rPr>
          <w:rFonts w:ascii="標楷體" w:eastAsia="標楷體" w:hAnsi="標楷體"/>
          <w:szCs w:val="24"/>
        </w:rPr>
        <w:t>做胸部X光檢查，每3個月需追蹤其作為評估藥效的影像（如胸部X光或電腦斷層），若病情惡化即不得再次申請。(108/12/1、112/11/1)</w:t>
      </w:r>
    </w:p>
    <w:p w14:paraId="65021074" w14:textId="77777777" w:rsidR="007576F0" w:rsidRPr="007576F0" w:rsidRDefault="007576F0" w:rsidP="002144EC">
      <w:pPr>
        <w:numPr>
          <w:ilvl w:val="0"/>
          <w:numId w:val="199"/>
        </w:numPr>
        <w:suppressAutoHyphens w:val="0"/>
        <w:spacing w:line="300" w:lineRule="exact"/>
        <w:ind w:left="991"/>
        <w:textAlignment w:val="auto"/>
        <w:rPr>
          <w:rFonts w:ascii="標楷體" w:eastAsia="標楷體" w:hAnsi="標楷體"/>
          <w:szCs w:val="24"/>
        </w:rPr>
      </w:pPr>
      <w:proofErr w:type="spellStart"/>
      <w:r w:rsidRPr="007576F0">
        <w:rPr>
          <w:rFonts w:ascii="標楷體" w:eastAsia="標楷體" w:hAnsi="標楷體"/>
          <w:szCs w:val="24"/>
        </w:rPr>
        <w:t>Ceritinib</w:t>
      </w:r>
      <w:proofErr w:type="spellEnd"/>
      <w:r w:rsidRPr="007576F0">
        <w:rPr>
          <w:rFonts w:ascii="標楷體" w:eastAsia="標楷體" w:hAnsi="標楷體"/>
          <w:szCs w:val="24"/>
        </w:rPr>
        <w:t>與</w:t>
      </w:r>
      <w:proofErr w:type="spellStart"/>
      <w:r w:rsidRPr="007576F0">
        <w:rPr>
          <w:rFonts w:ascii="標楷體" w:eastAsia="標楷體" w:hAnsi="標楷體"/>
          <w:szCs w:val="24"/>
        </w:rPr>
        <w:t>crizotinib</w:t>
      </w:r>
      <w:proofErr w:type="spellEnd"/>
      <w:r w:rsidRPr="007576F0">
        <w:rPr>
          <w:rFonts w:ascii="標楷體" w:eastAsia="標楷體" w:hAnsi="標楷體"/>
          <w:szCs w:val="24"/>
        </w:rPr>
        <w:t>、</w:t>
      </w:r>
      <w:proofErr w:type="spellStart"/>
      <w:r w:rsidRPr="007576F0">
        <w:rPr>
          <w:rFonts w:ascii="標楷體" w:eastAsia="標楷體" w:hAnsi="標楷體"/>
          <w:szCs w:val="24"/>
        </w:rPr>
        <w:t>alectinib</w:t>
      </w:r>
      <w:proofErr w:type="spellEnd"/>
      <w:r w:rsidRPr="007576F0">
        <w:rPr>
          <w:rFonts w:ascii="標楷體" w:eastAsia="標楷體" w:hAnsi="標楷體"/>
          <w:szCs w:val="24"/>
        </w:rPr>
        <w:t>、</w:t>
      </w:r>
      <w:proofErr w:type="spellStart"/>
      <w:r w:rsidRPr="007576F0">
        <w:rPr>
          <w:rFonts w:ascii="標楷體" w:eastAsia="標楷體" w:hAnsi="標楷體"/>
          <w:szCs w:val="24"/>
        </w:rPr>
        <w:t>brigatinib</w:t>
      </w:r>
      <w:proofErr w:type="spellEnd"/>
      <w:r w:rsidRPr="007576F0">
        <w:rPr>
          <w:rFonts w:ascii="標楷體" w:eastAsia="標楷體" w:hAnsi="標楷體"/>
          <w:szCs w:val="24"/>
        </w:rPr>
        <w:t>、</w:t>
      </w:r>
      <w:proofErr w:type="spellStart"/>
      <w:r w:rsidRPr="007576F0">
        <w:rPr>
          <w:rFonts w:ascii="標楷體" w:eastAsia="標楷體" w:hAnsi="標楷體"/>
          <w:szCs w:val="24"/>
        </w:rPr>
        <w:t>lorlatinib</w:t>
      </w:r>
      <w:proofErr w:type="spellEnd"/>
      <w:r w:rsidRPr="007576F0">
        <w:rPr>
          <w:rFonts w:ascii="標楷體" w:eastAsia="標楷體" w:hAnsi="標楷體"/>
          <w:szCs w:val="24"/>
        </w:rPr>
        <w:t>用於ALK陽性之晚期非小細胞肺癌第一線治療時，僅得擇</w:t>
      </w:r>
      <w:proofErr w:type="gramStart"/>
      <w:r w:rsidRPr="007576F0">
        <w:rPr>
          <w:rFonts w:ascii="標楷體" w:eastAsia="標楷體" w:hAnsi="標楷體"/>
          <w:szCs w:val="24"/>
        </w:rPr>
        <w:t>一</w:t>
      </w:r>
      <w:proofErr w:type="gramEnd"/>
      <w:r w:rsidRPr="007576F0">
        <w:rPr>
          <w:rFonts w:ascii="標楷體" w:eastAsia="標楷體" w:hAnsi="標楷體"/>
          <w:szCs w:val="24"/>
        </w:rPr>
        <w:t>使用，除因病人使用後，發生嚴重不良反應或耐受不良之情形外，不得互換。(108/7/1、108/12/1、111/8/1、112/11/1)</w:t>
      </w:r>
    </w:p>
    <w:p w14:paraId="1B3E2469" w14:textId="77777777" w:rsidR="007576F0" w:rsidRPr="007576F0" w:rsidRDefault="007576F0" w:rsidP="002144EC">
      <w:pPr>
        <w:numPr>
          <w:ilvl w:val="0"/>
          <w:numId w:val="199"/>
        </w:numPr>
        <w:suppressAutoHyphens w:val="0"/>
        <w:spacing w:line="300" w:lineRule="exact"/>
        <w:ind w:left="991"/>
        <w:textAlignment w:val="auto"/>
        <w:rPr>
          <w:rFonts w:ascii="標楷體" w:eastAsia="標楷體" w:hAnsi="標楷體"/>
          <w:szCs w:val="24"/>
        </w:rPr>
      </w:pPr>
      <w:r w:rsidRPr="007576F0">
        <w:rPr>
          <w:rFonts w:ascii="標楷體" w:eastAsia="標楷體" w:hAnsi="標楷體"/>
          <w:szCs w:val="24"/>
        </w:rPr>
        <w:t>每日最大劑量限450mg。(108/7/1)</w:t>
      </w:r>
    </w:p>
    <w:p w14:paraId="3A0783B2" w14:textId="77777777" w:rsidR="007576F0" w:rsidRPr="007576F0" w:rsidRDefault="007576F0" w:rsidP="007576F0">
      <w:pPr>
        <w:spacing w:line="300" w:lineRule="exact"/>
        <w:ind w:left="566" w:hanging="283"/>
        <w:rPr>
          <w:rFonts w:ascii="標楷體" w:eastAsia="標楷體" w:hAnsi="標楷體"/>
          <w:color w:val="000000"/>
        </w:rPr>
      </w:pPr>
      <w:r w:rsidRPr="007576F0">
        <w:rPr>
          <w:rFonts w:ascii="標楷體" w:eastAsia="標楷體" w:hAnsi="標楷體"/>
          <w:color w:val="000000"/>
        </w:rPr>
        <w:t>9.60.Alectinib(如</w:t>
      </w:r>
      <w:proofErr w:type="spellStart"/>
      <w:r w:rsidRPr="007576F0">
        <w:rPr>
          <w:rFonts w:ascii="標楷體" w:eastAsia="標楷體" w:hAnsi="標楷體"/>
          <w:color w:val="000000"/>
        </w:rPr>
        <w:t>Alecensa</w:t>
      </w:r>
      <w:proofErr w:type="spellEnd"/>
      <w:r w:rsidRPr="007576F0">
        <w:rPr>
          <w:rFonts w:ascii="標楷體" w:eastAsia="標楷體" w:hAnsi="標楷體"/>
          <w:color w:val="000000"/>
        </w:rPr>
        <w:t>)：(106/11/1、108/12/1、111/2/1、111/8/1、112/11/1、113/6/1)</w:t>
      </w:r>
    </w:p>
    <w:p w14:paraId="4D541C4E" w14:textId="77777777" w:rsidR="007576F0" w:rsidRPr="007576F0" w:rsidRDefault="007576F0" w:rsidP="002144EC">
      <w:pPr>
        <w:numPr>
          <w:ilvl w:val="0"/>
          <w:numId w:val="200"/>
        </w:numPr>
        <w:suppressAutoHyphens w:val="0"/>
        <w:spacing w:line="300" w:lineRule="exact"/>
        <w:ind w:left="884" w:hanging="284"/>
        <w:textAlignment w:val="auto"/>
        <w:rPr>
          <w:rFonts w:ascii="標楷體" w:eastAsia="標楷體" w:hAnsi="標楷體"/>
          <w:szCs w:val="24"/>
        </w:rPr>
      </w:pPr>
      <w:r w:rsidRPr="007576F0">
        <w:rPr>
          <w:rFonts w:ascii="標楷體" w:eastAsia="標楷體" w:hAnsi="標楷體"/>
          <w:szCs w:val="24"/>
        </w:rPr>
        <w:t>適用於ALK陽性之晚期非小細胞肺癌第一線治療。(108/12/1、111/8/1)</w:t>
      </w:r>
    </w:p>
    <w:p w14:paraId="2ECEB19B" w14:textId="77777777" w:rsidR="007576F0" w:rsidRPr="007576F0" w:rsidRDefault="007576F0" w:rsidP="002144EC">
      <w:pPr>
        <w:numPr>
          <w:ilvl w:val="0"/>
          <w:numId w:val="200"/>
        </w:numPr>
        <w:suppressAutoHyphens w:val="0"/>
        <w:spacing w:line="300" w:lineRule="exact"/>
        <w:ind w:left="884" w:hanging="284"/>
        <w:textAlignment w:val="auto"/>
        <w:rPr>
          <w:rFonts w:ascii="標楷體" w:eastAsia="標楷體" w:hAnsi="標楷體"/>
          <w:szCs w:val="24"/>
        </w:rPr>
      </w:pPr>
      <w:r w:rsidRPr="007576F0">
        <w:rPr>
          <w:rFonts w:ascii="標楷體" w:eastAsia="標楷體" w:hAnsi="標楷體"/>
          <w:szCs w:val="24"/>
        </w:rPr>
        <w:t>須經事前審查核准後使用:</w:t>
      </w:r>
    </w:p>
    <w:p w14:paraId="4A8055E8" w14:textId="77777777" w:rsidR="007576F0" w:rsidRPr="007576F0" w:rsidRDefault="007576F0" w:rsidP="002144EC">
      <w:pPr>
        <w:numPr>
          <w:ilvl w:val="1"/>
          <w:numId w:val="200"/>
        </w:numPr>
        <w:suppressAutoHyphens w:val="0"/>
        <w:spacing w:line="300" w:lineRule="exact"/>
        <w:ind w:left="1068"/>
        <w:textAlignment w:val="auto"/>
        <w:rPr>
          <w:rFonts w:ascii="標楷體" w:eastAsia="標楷體" w:hAnsi="標楷體"/>
          <w:szCs w:val="24"/>
        </w:rPr>
      </w:pPr>
      <w:r w:rsidRPr="007576F0">
        <w:rPr>
          <w:rFonts w:ascii="標楷體" w:eastAsia="標楷體" w:hAnsi="標楷體"/>
          <w:szCs w:val="24"/>
        </w:rPr>
        <w:t>每次申請事前審查之療程以三</w:t>
      </w:r>
      <w:proofErr w:type="gramStart"/>
      <w:r w:rsidRPr="007576F0">
        <w:rPr>
          <w:rFonts w:ascii="標楷體" w:eastAsia="標楷體" w:hAnsi="標楷體"/>
          <w:szCs w:val="24"/>
        </w:rPr>
        <w:t>個</w:t>
      </w:r>
      <w:proofErr w:type="gramEnd"/>
      <w:r w:rsidRPr="007576F0">
        <w:rPr>
          <w:rFonts w:ascii="標楷體" w:eastAsia="標楷體" w:hAnsi="標楷體"/>
          <w:szCs w:val="24"/>
        </w:rPr>
        <w:t>月為限，每三</w:t>
      </w:r>
      <w:proofErr w:type="gramStart"/>
      <w:r w:rsidRPr="007576F0">
        <w:rPr>
          <w:rFonts w:ascii="標楷體" w:eastAsia="標楷體" w:hAnsi="標楷體"/>
          <w:szCs w:val="24"/>
        </w:rPr>
        <w:t>個</w:t>
      </w:r>
      <w:proofErr w:type="gramEnd"/>
      <w:r w:rsidRPr="007576F0">
        <w:rPr>
          <w:rFonts w:ascii="標楷體" w:eastAsia="標楷體" w:hAnsi="標楷體"/>
          <w:szCs w:val="24"/>
        </w:rPr>
        <w:t>月需再次申請。</w:t>
      </w:r>
    </w:p>
    <w:p w14:paraId="386C93E0" w14:textId="77777777" w:rsidR="007576F0" w:rsidRPr="007576F0" w:rsidRDefault="007576F0" w:rsidP="002144EC">
      <w:pPr>
        <w:numPr>
          <w:ilvl w:val="1"/>
          <w:numId w:val="200"/>
        </w:numPr>
        <w:suppressAutoHyphens w:val="0"/>
        <w:spacing w:line="300" w:lineRule="exact"/>
        <w:ind w:left="1068"/>
        <w:textAlignment w:val="auto"/>
        <w:rPr>
          <w:rFonts w:ascii="標楷體" w:eastAsia="標楷體" w:hAnsi="標楷體"/>
          <w:szCs w:val="24"/>
        </w:rPr>
      </w:pPr>
      <w:r w:rsidRPr="007576F0">
        <w:rPr>
          <w:rFonts w:ascii="標楷體" w:eastAsia="標楷體" w:hAnsi="標楷體"/>
          <w:szCs w:val="24"/>
        </w:rPr>
        <w:t>初次申請時需檢具確實患有非小細胞肺癌之病理或細胞檢查報告及ALK突變檢測報告，且需符合全民健康保險藥品給付規定之通則十二。(108/12/1、111/2/1、113/6/1)</w:t>
      </w:r>
    </w:p>
    <w:p w14:paraId="3871D61C" w14:textId="77777777" w:rsidR="007576F0" w:rsidRPr="007576F0" w:rsidRDefault="007576F0" w:rsidP="002144EC">
      <w:pPr>
        <w:numPr>
          <w:ilvl w:val="1"/>
          <w:numId w:val="200"/>
        </w:numPr>
        <w:suppressAutoHyphens w:val="0"/>
        <w:spacing w:line="300" w:lineRule="exact"/>
        <w:ind w:left="1068"/>
        <w:textAlignment w:val="auto"/>
        <w:rPr>
          <w:rFonts w:ascii="標楷體" w:eastAsia="標楷體" w:hAnsi="標楷體"/>
          <w:szCs w:val="24"/>
        </w:rPr>
      </w:pPr>
      <w:r w:rsidRPr="007576F0">
        <w:rPr>
          <w:rFonts w:ascii="標楷體" w:eastAsia="標楷體" w:hAnsi="標楷體"/>
          <w:szCs w:val="24"/>
        </w:rPr>
        <w:t>再次申請時並需附上治療後相關臨床資料，如給藥4</w:t>
      </w:r>
      <w:proofErr w:type="gramStart"/>
      <w:r w:rsidRPr="007576F0">
        <w:rPr>
          <w:rFonts w:ascii="標楷體" w:eastAsia="標楷體" w:hAnsi="標楷體"/>
          <w:szCs w:val="24"/>
        </w:rPr>
        <w:t>週</w:t>
      </w:r>
      <w:proofErr w:type="gramEnd"/>
      <w:r w:rsidRPr="007576F0">
        <w:rPr>
          <w:rFonts w:ascii="標楷體" w:eastAsia="標楷體" w:hAnsi="標楷體"/>
          <w:szCs w:val="24"/>
        </w:rPr>
        <w:t>後，需追蹤胸部X光或電腦斷層等影像檢查評估療效，往後每4</w:t>
      </w:r>
      <w:proofErr w:type="gramStart"/>
      <w:r w:rsidRPr="007576F0">
        <w:rPr>
          <w:rFonts w:ascii="標楷體" w:eastAsia="標楷體" w:hAnsi="標楷體"/>
          <w:szCs w:val="24"/>
        </w:rPr>
        <w:t>週</w:t>
      </w:r>
      <w:proofErr w:type="gramEnd"/>
      <w:r w:rsidRPr="007576F0">
        <w:rPr>
          <w:rFonts w:ascii="標楷體" w:eastAsia="標楷體" w:hAnsi="標楷體"/>
          <w:szCs w:val="24"/>
        </w:rPr>
        <w:t>做胸部X光檢查，每3個月需追蹤其作為評估藥效的影像（如胸部X光或電腦斷層），若病情惡化即不得再次申請。(112/11/1)</w:t>
      </w:r>
    </w:p>
    <w:p w14:paraId="022FD2EE" w14:textId="77777777" w:rsidR="007576F0" w:rsidRPr="007576F0" w:rsidRDefault="007576F0" w:rsidP="002144EC">
      <w:pPr>
        <w:numPr>
          <w:ilvl w:val="0"/>
          <w:numId w:val="200"/>
        </w:numPr>
        <w:suppressAutoHyphens w:val="0"/>
        <w:spacing w:line="300" w:lineRule="exact"/>
        <w:ind w:left="884" w:hanging="284"/>
        <w:textAlignment w:val="auto"/>
        <w:rPr>
          <w:rFonts w:ascii="標楷體" w:eastAsia="標楷體" w:hAnsi="標楷體"/>
          <w:szCs w:val="24"/>
        </w:rPr>
      </w:pPr>
      <w:proofErr w:type="spellStart"/>
      <w:r w:rsidRPr="007576F0">
        <w:rPr>
          <w:rFonts w:ascii="標楷體" w:eastAsia="標楷體" w:hAnsi="標楷體"/>
          <w:szCs w:val="24"/>
        </w:rPr>
        <w:t>Alectinib</w:t>
      </w:r>
      <w:proofErr w:type="spellEnd"/>
      <w:r w:rsidRPr="007576F0">
        <w:rPr>
          <w:rFonts w:ascii="標楷體" w:eastAsia="標楷體" w:hAnsi="標楷體"/>
          <w:szCs w:val="24"/>
        </w:rPr>
        <w:t>與</w:t>
      </w:r>
      <w:proofErr w:type="spellStart"/>
      <w:r w:rsidRPr="007576F0">
        <w:rPr>
          <w:rFonts w:ascii="標楷體" w:eastAsia="標楷體" w:hAnsi="標楷體"/>
          <w:szCs w:val="24"/>
        </w:rPr>
        <w:t>ceritinib</w:t>
      </w:r>
      <w:proofErr w:type="spellEnd"/>
      <w:r w:rsidRPr="007576F0">
        <w:rPr>
          <w:rFonts w:ascii="標楷體" w:eastAsia="標楷體" w:hAnsi="標楷體"/>
          <w:szCs w:val="24"/>
        </w:rPr>
        <w:t>、</w:t>
      </w:r>
      <w:proofErr w:type="spellStart"/>
      <w:r w:rsidRPr="007576F0">
        <w:rPr>
          <w:rFonts w:ascii="標楷體" w:eastAsia="標楷體" w:hAnsi="標楷體"/>
          <w:szCs w:val="24"/>
        </w:rPr>
        <w:t>crizotinib</w:t>
      </w:r>
      <w:proofErr w:type="spellEnd"/>
      <w:r w:rsidRPr="007576F0">
        <w:rPr>
          <w:rFonts w:ascii="標楷體" w:eastAsia="標楷體" w:hAnsi="標楷體"/>
          <w:szCs w:val="24"/>
        </w:rPr>
        <w:t>、</w:t>
      </w:r>
      <w:proofErr w:type="spellStart"/>
      <w:r w:rsidRPr="007576F0">
        <w:rPr>
          <w:rFonts w:ascii="標楷體" w:eastAsia="標楷體" w:hAnsi="標楷體"/>
          <w:szCs w:val="24"/>
        </w:rPr>
        <w:t>brigatinib</w:t>
      </w:r>
      <w:proofErr w:type="spellEnd"/>
      <w:r w:rsidRPr="007576F0">
        <w:rPr>
          <w:rFonts w:ascii="標楷體" w:eastAsia="標楷體" w:hAnsi="標楷體"/>
          <w:szCs w:val="24"/>
        </w:rPr>
        <w:t>、</w:t>
      </w:r>
      <w:proofErr w:type="spellStart"/>
      <w:r w:rsidRPr="007576F0">
        <w:rPr>
          <w:rFonts w:ascii="標楷體" w:eastAsia="標楷體" w:hAnsi="標楷體"/>
          <w:szCs w:val="24"/>
        </w:rPr>
        <w:t>lorlatinib</w:t>
      </w:r>
      <w:proofErr w:type="spellEnd"/>
      <w:r w:rsidRPr="007576F0">
        <w:rPr>
          <w:rFonts w:ascii="標楷體" w:eastAsia="標楷體" w:hAnsi="標楷體"/>
          <w:szCs w:val="24"/>
        </w:rPr>
        <w:t>用於ALK陽性之晚期非小細胞肺癌第一線治療時，僅得擇</w:t>
      </w:r>
      <w:proofErr w:type="gramStart"/>
      <w:r w:rsidRPr="007576F0">
        <w:rPr>
          <w:rFonts w:ascii="標楷體" w:eastAsia="標楷體" w:hAnsi="標楷體"/>
          <w:szCs w:val="24"/>
        </w:rPr>
        <w:t>一</w:t>
      </w:r>
      <w:proofErr w:type="gramEnd"/>
      <w:r w:rsidRPr="007576F0">
        <w:rPr>
          <w:rFonts w:ascii="標楷體" w:eastAsia="標楷體" w:hAnsi="標楷體"/>
          <w:szCs w:val="24"/>
        </w:rPr>
        <w:t>使用，除因病人使用後，發生嚴重不良反應或耐受不良之情形外，不得互換。(108/12/1、111/8/1、112/11/1)</w:t>
      </w:r>
    </w:p>
    <w:p w14:paraId="7FBBB75E" w14:textId="77777777" w:rsidR="007576F0" w:rsidRPr="007576F0" w:rsidRDefault="007576F0" w:rsidP="002144EC">
      <w:pPr>
        <w:numPr>
          <w:ilvl w:val="0"/>
          <w:numId w:val="200"/>
        </w:numPr>
        <w:suppressAutoHyphens w:val="0"/>
        <w:spacing w:line="300" w:lineRule="exact"/>
        <w:ind w:left="884" w:hanging="284"/>
        <w:textAlignment w:val="auto"/>
        <w:rPr>
          <w:rFonts w:ascii="標楷體" w:eastAsia="標楷體" w:hAnsi="標楷體"/>
          <w:szCs w:val="24"/>
        </w:rPr>
      </w:pPr>
      <w:r w:rsidRPr="007576F0">
        <w:rPr>
          <w:rFonts w:ascii="標楷體" w:eastAsia="標楷體" w:hAnsi="標楷體"/>
          <w:szCs w:val="24"/>
        </w:rPr>
        <w:t>每日最大劑量限1200mg。(108/12/1)</w:t>
      </w:r>
    </w:p>
    <w:p w14:paraId="5F769938" w14:textId="77777777" w:rsidR="007576F0" w:rsidRPr="007576F0" w:rsidRDefault="007576F0" w:rsidP="007576F0">
      <w:pPr>
        <w:tabs>
          <w:tab w:val="left" w:pos="1418"/>
        </w:tabs>
        <w:spacing w:line="300" w:lineRule="exact"/>
        <w:ind w:left="709" w:hanging="339"/>
        <w:rPr>
          <w:rFonts w:ascii="標楷體" w:eastAsia="標楷體" w:hAnsi="標楷體"/>
          <w:color w:val="000000"/>
        </w:rPr>
      </w:pPr>
      <w:bookmarkStart w:id="50" w:name="_Hlk209189883"/>
      <w:r w:rsidRPr="007576F0">
        <w:rPr>
          <w:rFonts w:ascii="標楷體" w:eastAsia="標楷體" w:hAnsi="標楷體" w:hint="eastAsia"/>
          <w:color w:val="000000"/>
        </w:rPr>
        <w:t>9.61.Ibrutinib (如Imbruvica)：(106/11/1、108/9/1、111/1/1、112/7/1、112/12/1、113/2/1、114/10/1、115/5/1)</w:t>
      </w:r>
    </w:p>
    <w:p w14:paraId="63E0E4DD" w14:textId="77777777" w:rsidR="007576F0" w:rsidRPr="007576F0" w:rsidRDefault="007576F0" w:rsidP="007576F0">
      <w:pPr>
        <w:tabs>
          <w:tab w:val="left" w:pos="1418"/>
        </w:tabs>
        <w:spacing w:line="300" w:lineRule="exact"/>
        <w:ind w:left="993" w:hanging="339"/>
        <w:rPr>
          <w:rFonts w:ascii="標楷體" w:eastAsia="標楷體" w:hAnsi="標楷體"/>
          <w:color w:val="000000"/>
        </w:rPr>
      </w:pPr>
      <w:r w:rsidRPr="007576F0">
        <w:rPr>
          <w:rFonts w:ascii="標楷體" w:eastAsia="標楷體" w:hAnsi="標楷體" w:hint="eastAsia"/>
          <w:color w:val="000000"/>
        </w:rPr>
        <w:t>1.單獨使用於先前接受過至少一種化學或標靶治療方式無效或復發的被套細胞淋巴瘤成年病人。</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106/11/1、112/7/1、112/12/1、115/5/1)</w:t>
      </w:r>
    </w:p>
    <w:p w14:paraId="45B8E53A"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(1)需經事前審查核准後使用。首次申請事前審查之療程以4個月為限，之後每3個月需再次申請，再次申請時應檢附前次治療結果評估資料，如影像學檢查報告。</w:t>
      </w:r>
    </w:p>
    <w:p w14:paraId="613EADF9"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(2)若疾病進展，則必須停止使用。</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 xml:space="preserve">106/11/1、112/7/1) </w:t>
      </w:r>
    </w:p>
    <w:p w14:paraId="3CA5035F"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(3)每日至多處方4粒。(108/9/1)</w:t>
      </w:r>
    </w:p>
    <w:p w14:paraId="217F2C27"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(4)</w:t>
      </w:r>
      <w:proofErr w:type="spellStart"/>
      <w:r w:rsidRPr="007576F0">
        <w:rPr>
          <w:rFonts w:ascii="標楷體" w:eastAsia="標楷體" w:hAnsi="標楷體" w:hint="eastAsia"/>
          <w:color w:val="000000"/>
        </w:rPr>
        <w:t>zanubrutinib</w:t>
      </w:r>
      <w:proofErr w:type="spellEnd"/>
      <w:r w:rsidRPr="007576F0">
        <w:rPr>
          <w:rFonts w:ascii="標楷體" w:eastAsia="標楷體" w:hAnsi="標楷體" w:hint="eastAsia"/>
          <w:color w:val="000000"/>
        </w:rPr>
        <w:t>、ibrutinib和acalabrutinib僅能擇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使用，唯有在出現無法忍受其副作用時方可互換。與acalabrutinib互換時二者使用總療程合併計算，以全部20個月為上限。（112/7/1、112/12/1、115/5/1）</w:t>
      </w:r>
    </w:p>
    <w:p w14:paraId="26CDA970"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2.單獨使用於慢性淋巴球性白血病(CLL)成年病人。</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108/9/1、112/7/1、113/2/1、115/5/1)</w:t>
      </w:r>
    </w:p>
    <w:p w14:paraId="3AE9FC4A"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(1)ECOG 分數須</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2。(115/5/1)</w:t>
      </w:r>
    </w:p>
    <w:p w14:paraId="3D806B1D"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(2)需符合下列任</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情況：</w:t>
      </w:r>
    </w:p>
    <w:p w14:paraId="029A1546"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Ⅰ.具有17p缺失。</w:t>
      </w:r>
    </w:p>
    <w:p w14:paraId="6C2EDAD2"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Ⅱ.非IGHV突變且曾接受至少1種包括alkylating agent與anti-CD20(如R-CVP、RCHOP、rituximab加</w:t>
      </w:r>
      <w:proofErr w:type="spellStart"/>
      <w:r w:rsidRPr="007576F0">
        <w:rPr>
          <w:rFonts w:ascii="標楷體" w:eastAsia="標楷體" w:hAnsi="標楷體" w:hint="eastAsia"/>
          <w:color w:val="000000"/>
        </w:rPr>
        <w:t>bendamustine</w:t>
      </w:r>
      <w:proofErr w:type="spellEnd"/>
      <w:r w:rsidRPr="007576F0">
        <w:rPr>
          <w:rFonts w:ascii="標楷體" w:eastAsia="標楷體" w:hAnsi="標楷體" w:hint="eastAsia"/>
          <w:color w:val="000000"/>
        </w:rPr>
        <w:t>等)的治療2個療程以上仍惡化或復發者。(115/5/1)</w:t>
      </w:r>
    </w:p>
    <w:p w14:paraId="5C8D9390"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Ⅲ.CLL病人需先前曾接受至少2線治療(排除僅有口服藥物之療程)，治療中須包括alkylating agent與anti-CD20(如R-CVP、RCHOP、rituximab加</w:t>
      </w:r>
      <w:proofErr w:type="spellStart"/>
      <w:r w:rsidRPr="007576F0">
        <w:rPr>
          <w:rFonts w:ascii="標楷體" w:eastAsia="標楷體" w:hAnsi="標楷體" w:hint="eastAsia"/>
          <w:color w:val="000000"/>
        </w:rPr>
        <w:t>bendamustine</w:t>
      </w:r>
      <w:proofErr w:type="spellEnd"/>
      <w:r w:rsidRPr="007576F0">
        <w:rPr>
          <w:rFonts w:ascii="標楷體" w:eastAsia="標楷體" w:hAnsi="標楷體" w:hint="eastAsia"/>
          <w:color w:val="000000"/>
        </w:rPr>
        <w:t>等)的治療，</w:t>
      </w:r>
      <w:proofErr w:type="gramStart"/>
      <w:r w:rsidRPr="007576F0">
        <w:rPr>
          <w:rFonts w:ascii="標楷體" w:eastAsia="標楷體" w:hAnsi="標楷體" w:hint="eastAsia"/>
          <w:color w:val="000000"/>
        </w:rPr>
        <w:t>每線治療</w:t>
      </w:r>
      <w:proofErr w:type="gramEnd"/>
      <w:r w:rsidRPr="007576F0">
        <w:rPr>
          <w:rFonts w:ascii="標楷體" w:eastAsia="標楷體" w:hAnsi="標楷體" w:hint="eastAsia"/>
          <w:color w:val="000000"/>
        </w:rPr>
        <w:t>至少2個療程以上後，仍惡化或復發者。(115/5/1)</w:t>
      </w:r>
    </w:p>
    <w:p w14:paraId="3E62F406"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(3)開始使用前之疾病狀態需出現下列任</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情形：</w:t>
      </w:r>
    </w:p>
    <w:p w14:paraId="7538558E"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Ⅰ.進行性的血液相惡化至Hb &lt; 10.0 gm/dL或PLT &lt; 100 K/</w:t>
      </w:r>
      <w:proofErr w:type="spellStart"/>
      <w:r w:rsidRPr="007576F0">
        <w:rPr>
          <w:rFonts w:ascii="標楷體" w:eastAsia="標楷體" w:hAnsi="標楷體" w:hint="eastAsia"/>
          <w:color w:val="000000"/>
        </w:rPr>
        <w:t>uL</w:t>
      </w:r>
      <w:proofErr w:type="spellEnd"/>
      <w:r w:rsidRPr="007576F0">
        <w:rPr>
          <w:rFonts w:ascii="標楷體" w:eastAsia="標楷體" w:hAnsi="標楷體" w:hint="eastAsia"/>
          <w:color w:val="000000"/>
        </w:rPr>
        <w:t>，且無其他原因可以解釋。</w:t>
      </w:r>
    </w:p>
    <w:p w14:paraId="0D371E74"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lastRenderedPageBreak/>
        <w:t>Ⅱ.脾臟腫大超過左肋骨下緣6cm。</w:t>
      </w:r>
    </w:p>
    <w:p w14:paraId="1697F0FB"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Ⅲ.淋巴結腫大，最長徑超過10cm。</w:t>
      </w:r>
    </w:p>
    <w:p w14:paraId="5E04806F"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Ⅳ.周邊血液淋巴球在2個月內增加50%以上，或倍增時間(doubling time)小於6個月。</w:t>
      </w:r>
    </w:p>
    <w:p w14:paraId="6DC00574"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Ⅴ.出現自體免疫併發症，且經類固醇治療無效。</w:t>
      </w:r>
    </w:p>
    <w:p w14:paraId="7A9E18E4"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Ⅵ.出現具症狀的淋巴結外病灶。</w:t>
      </w:r>
    </w:p>
    <w:p w14:paraId="1E2DD672"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(4)需經事前審查核准後使用，每3個月需再次申請。再次申請時需檢附療效評估資料，若未達</w:t>
      </w:r>
      <w:proofErr w:type="spellStart"/>
      <w:r w:rsidRPr="007576F0">
        <w:rPr>
          <w:rFonts w:ascii="標楷體" w:eastAsia="標楷體" w:hAnsi="標楷體" w:hint="eastAsia"/>
          <w:color w:val="000000"/>
        </w:rPr>
        <w:t>iwCLL</w:t>
      </w:r>
      <w:proofErr w:type="spellEnd"/>
      <w:r w:rsidRPr="007576F0">
        <w:rPr>
          <w:rFonts w:ascii="標楷體" w:eastAsia="標楷體" w:hAnsi="標楷體" w:hint="eastAsia"/>
          <w:color w:val="000000"/>
        </w:rPr>
        <w:t xml:space="preserve"> (International Workshop on CLL)最新定義之partial remission或complete remission，則不予給付。</w:t>
      </w:r>
    </w:p>
    <w:p w14:paraId="5F889161"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(5)在具有17p缺失病人，ibrutinib、acalabrutinib、</w:t>
      </w:r>
      <w:proofErr w:type="spellStart"/>
      <w:r w:rsidRPr="007576F0">
        <w:rPr>
          <w:rFonts w:ascii="標楷體" w:eastAsia="標楷體" w:hAnsi="標楷體" w:hint="eastAsia"/>
          <w:color w:val="000000"/>
        </w:rPr>
        <w:t>venetoclax</w:t>
      </w:r>
      <w:proofErr w:type="spellEnd"/>
      <w:r w:rsidRPr="007576F0">
        <w:rPr>
          <w:rFonts w:ascii="標楷體" w:eastAsia="標楷體" w:hAnsi="標楷體" w:hint="eastAsia"/>
          <w:color w:val="000000"/>
        </w:rPr>
        <w:t>與</w:t>
      </w:r>
      <w:proofErr w:type="spellStart"/>
      <w:r w:rsidRPr="007576F0">
        <w:rPr>
          <w:rFonts w:ascii="標楷體" w:eastAsia="標楷體" w:hAnsi="標楷體" w:hint="eastAsia"/>
          <w:color w:val="000000"/>
        </w:rPr>
        <w:t>zanubrutinib</w:t>
      </w:r>
      <w:proofErr w:type="spellEnd"/>
      <w:r w:rsidRPr="007576F0">
        <w:rPr>
          <w:rFonts w:ascii="標楷體" w:eastAsia="標楷體" w:hAnsi="標楷體" w:hint="eastAsia"/>
          <w:color w:val="000000"/>
        </w:rPr>
        <w:t>四者僅能擇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使用，唯有在出現無法忍受其副作用時方可互換。四者使用總療程合併計算，以全部24個月為上限。（108/9/1、112/7/1、114/10/1）</w:t>
      </w:r>
    </w:p>
    <w:p w14:paraId="153E1866"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(6)在非IGHV突變二線以上病人及CLL三線以上病人，ibrutinib、acalabrutinib與</w:t>
      </w:r>
      <w:proofErr w:type="spellStart"/>
      <w:r w:rsidRPr="007576F0">
        <w:rPr>
          <w:rFonts w:ascii="標楷體" w:eastAsia="標楷體" w:hAnsi="標楷體" w:hint="eastAsia"/>
          <w:color w:val="000000"/>
        </w:rPr>
        <w:t>zanubrutinib</w:t>
      </w:r>
      <w:proofErr w:type="spellEnd"/>
      <w:r w:rsidRPr="007576F0">
        <w:rPr>
          <w:rFonts w:ascii="標楷體" w:eastAsia="標楷體" w:hAnsi="標楷體" w:hint="eastAsia"/>
          <w:color w:val="000000"/>
        </w:rPr>
        <w:t>三者僅能擇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使用，唯有在出現無法忍受其副作用時方可互換。三者使用總療程合併計算，以全部24個月為上限。</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115/5/1)</w:t>
      </w:r>
    </w:p>
    <w:p w14:paraId="0A3AB296" w14:textId="77777777" w:rsidR="007576F0" w:rsidRPr="007576F0" w:rsidRDefault="007576F0" w:rsidP="007576F0">
      <w:pPr>
        <w:tabs>
          <w:tab w:val="left" w:pos="1418"/>
        </w:tabs>
        <w:spacing w:line="300" w:lineRule="exact"/>
        <w:ind w:left="1190" w:hanging="339"/>
        <w:rPr>
          <w:rFonts w:ascii="標楷體" w:eastAsia="標楷體" w:hAnsi="標楷體"/>
          <w:color w:val="000000"/>
        </w:rPr>
      </w:pPr>
      <w:r w:rsidRPr="007576F0">
        <w:rPr>
          <w:rFonts w:ascii="標楷體" w:eastAsia="標楷體" w:hAnsi="標楷體" w:hint="eastAsia"/>
          <w:color w:val="000000"/>
        </w:rPr>
        <w:t>(7)每日至多處方3粒。</w:t>
      </w:r>
      <w:bookmarkEnd w:id="50"/>
    </w:p>
    <w:p w14:paraId="08E1DA72" w14:textId="77777777" w:rsidR="007576F0" w:rsidRPr="007576F0" w:rsidRDefault="007576F0" w:rsidP="007576F0">
      <w:pPr>
        <w:tabs>
          <w:tab w:val="left" w:pos="1418"/>
        </w:tabs>
        <w:spacing w:line="300" w:lineRule="exact"/>
        <w:ind w:left="895" w:hanging="612"/>
      </w:pPr>
      <w:r w:rsidRPr="007576F0">
        <w:rPr>
          <w:rFonts w:ascii="標楷體" w:eastAsia="標楷體" w:hAnsi="標楷體"/>
          <w:color w:val="000000"/>
        </w:rPr>
        <w:t>9.62.</w:t>
      </w:r>
      <w:r w:rsidRPr="007576F0">
        <w:t xml:space="preserve"> </w:t>
      </w:r>
      <w:r w:rsidRPr="007576F0">
        <w:rPr>
          <w:rFonts w:ascii="標楷體" w:eastAsia="標楷體" w:hAnsi="標楷體"/>
          <w:color w:val="000000"/>
        </w:rPr>
        <w:t>Pomalidomide(如</w:t>
      </w:r>
      <w:proofErr w:type="spellStart"/>
      <w:r w:rsidRPr="007576F0">
        <w:rPr>
          <w:rFonts w:ascii="標楷體" w:eastAsia="標楷體" w:hAnsi="標楷體"/>
          <w:color w:val="000000"/>
        </w:rPr>
        <w:t>Pomalyst</w:t>
      </w:r>
      <w:proofErr w:type="spellEnd"/>
      <w:r w:rsidRPr="007576F0">
        <w:rPr>
          <w:rFonts w:ascii="標楷體" w:eastAsia="標楷體" w:hAnsi="標楷體"/>
          <w:color w:val="000000"/>
        </w:rPr>
        <w:t>):(107/1/1、109/2/1、112/4/1、113/9/1)</w:t>
      </w:r>
    </w:p>
    <w:p w14:paraId="5B85F27F"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1.與dexamethasone合併使用，核准用於多發性骨髓瘤病人，且先前</w:t>
      </w:r>
      <w:proofErr w:type="gramStart"/>
      <w:r w:rsidRPr="007576F0">
        <w:rPr>
          <w:rFonts w:ascii="標楷體" w:eastAsia="標楷體" w:hAnsi="標楷體"/>
          <w:color w:val="000000"/>
        </w:rPr>
        <w:t>接受過含</w:t>
      </w:r>
      <w:proofErr w:type="gramEnd"/>
      <w:r w:rsidRPr="007576F0">
        <w:rPr>
          <w:rFonts w:ascii="標楷體" w:eastAsia="標楷體" w:hAnsi="標楷體"/>
          <w:color w:val="000000"/>
        </w:rPr>
        <w:t>lenalidomide和bortezomib在內的至少兩種療法，且確認完成前次治療時或結束治療後六十天內發生疾病惡化(disease progression)。</w:t>
      </w:r>
    </w:p>
    <w:p w14:paraId="3CB4DCFC"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2.限與</w:t>
      </w:r>
      <w:proofErr w:type="spellStart"/>
      <w:r w:rsidRPr="007576F0">
        <w:rPr>
          <w:rFonts w:ascii="標楷體" w:eastAsia="標楷體" w:hAnsi="標楷體"/>
          <w:color w:val="000000"/>
        </w:rPr>
        <w:t>elotuzumab</w:t>
      </w:r>
      <w:proofErr w:type="spellEnd"/>
      <w:r w:rsidRPr="007576F0">
        <w:rPr>
          <w:rFonts w:ascii="標楷體" w:eastAsia="標楷體" w:hAnsi="標楷體"/>
          <w:color w:val="000000"/>
        </w:rPr>
        <w:t>及dexamethasone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用，治療之前曾接受過至少兩種療法</w:t>
      </w:r>
      <w:proofErr w:type="gramStart"/>
      <w:r w:rsidRPr="007576F0">
        <w:rPr>
          <w:rFonts w:ascii="標楷體" w:eastAsia="標楷體" w:hAnsi="標楷體"/>
          <w:color w:val="000000"/>
        </w:rPr>
        <w:t>（</w:t>
      </w:r>
      <w:proofErr w:type="gramEnd"/>
      <w:r w:rsidRPr="007576F0">
        <w:rPr>
          <w:rFonts w:ascii="標楷體" w:eastAsia="標楷體" w:hAnsi="標楷體"/>
          <w:color w:val="000000"/>
        </w:rPr>
        <w:t>包括lenalidomide和蛋白酶體抑制劑）的多發性骨髓瘤成年病人。（113/9/1）</w:t>
      </w:r>
    </w:p>
    <w:p w14:paraId="018E8A24"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3.需經事前審查核准後使用：（107/1/1、112/4/1）</w:t>
      </w:r>
    </w:p>
    <w:p w14:paraId="54562B58"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(1)初次申請以3個療程為限，且需同時符合下列Ⅰ.與Ⅱ.的條件：（112/4/1）</w:t>
      </w:r>
    </w:p>
    <w:p w14:paraId="08C9A584"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Ⅰ.具有下列任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疾病惡化的指標： 病人開始治療前須在連續2次評估中均符合同一指標 (但若為</w:t>
      </w:r>
      <w:proofErr w:type="spellStart"/>
      <w:r w:rsidRPr="007576F0">
        <w:rPr>
          <w:rFonts w:ascii="標楷體" w:eastAsia="標楷體" w:hAnsi="標楷體"/>
          <w:color w:val="000000"/>
        </w:rPr>
        <w:t>plamacytoma</w:t>
      </w:r>
      <w:proofErr w:type="spellEnd"/>
      <w:r w:rsidRPr="007576F0">
        <w:rPr>
          <w:rFonts w:ascii="標楷體" w:eastAsia="標楷體" w:hAnsi="標楷體"/>
          <w:color w:val="000000"/>
        </w:rPr>
        <w:t xml:space="preserve"> 體積增加，或是新產生的bone lesion(s)或新plasmacytoma，則僅需1次評估)：（112/4/1）</w:t>
      </w:r>
    </w:p>
    <w:p w14:paraId="3ADF7007" w14:textId="77777777" w:rsidR="007576F0" w:rsidRPr="007576F0" w:rsidRDefault="007576F0" w:rsidP="007576F0">
      <w:pPr>
        <w:tabs>
          <w:tab w:val="left" w:pos="1418"/>
        </w:tabs>
        <w:spacing w:line="300" w:lineRule="exact"/>
        <w:ind w:left="1291" w:hanging="245"/>
      </w:pPr>
      <w:r w:rsidRPr="007576F0">
        <w:rPr>
          <w:rFonts w:ascii="新細明體" w:hAnsi="新細明體" w:cs="新細明體"/>
          <w:color w:val="000000"/>
        </w:rPr>
        <w:t>ⅰ</w:t>
      </w:r>
      <w:r w:rsidRPr="007576F0">
        <w:rPr>
          <w:rFonts w:ascii="標楷體" w:eastAsia="標楷體" w:hAnsi="標楷體"/>
          <w:color w:val="000000"/>
        </w:rPr>
        <w:t>.若前一線治療中M component 最低值</w:t>
      </w:r>
      <w:proofErr w:type="gramStart"/>
      <w:r w:rsidRPr="007576F0">
        <w:rPr>
          <w:rFonts w:ascii="標楷體" w:eastAsia="標楷體" w:hAnsi="標楷體"/>
          <w:color w:val="000000"/>
        </w:rPr>
        <w:t>≧</w:t>
      </w:r>
      <w:proofErr w:type="gramEnd"/>
      <w:r w:rsidRPr="007576F0">
        <w:rPr>
          <w:rFonts w:ascii="標楷體" w:eastAsia="標楷體" w:hAnsi="標楷體"/>
          <w:color w:val="000000"/>
        </w:rPr>
        <w:t>5 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1 g/dL；若前一線治療中M component最低值＜5 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0.5g/dL。</w:t>
      </w:r>
    </w:p>
    <w:p w14:paraId="28D9836D" w14:textId="77777777" w:rsidR="007576F0" w:rsidRPr="007576F0" w:rsidRDefault="007576F0" w:rsidP="007576F0">
      <w:pPr>
        <w:tabs>
          <w:tab w:val="left" w:pos="1418"/>
        </w:tabs>
        <w:spacing w:line="300" w:lineRule="exact"/>
        <w:ind w:left="1291" w:hanging="245"/>
      </w:pPr>
      <w:proofErr w:type="spellStart"/>
      <w:r w:rsidRPr="007576F0">
        <w:rPr>
          <w:rFonts w:ascii="新細明體" w:hAnsi="新細明體" w:cs="新細明體"/>
          <w:color w:val="000000"/>
        </w:rPr>
        <w:t>ⅱ</w:t>
      </w:r>
      <w:r w:rsidRPr="007576F0">
        <w:rPr>
          <w:rFonts w:ascii="標楷體" w:eastAsia="標楷體" w:hAnsi="標楷體"/>
          <w:color w:val="000000"/>
        </w:rPr>
        <w:t>.Urine</w:t>
      </w:r>
      <w:proofErr w:type="spellEnd"/>
      <w:r w:rsidRPr="007576F0">
        <w:rPr>
          <w:rFonts w:ascii="標楷體" w:eastAsia="標楷體" w:hAnsi="標楷體"/>
          <w:color w:val="000000"/>
        </w:rPr>
        <w:t xml:space="preserve"> M-protein需增加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0.2 gm/24Hr，且需較前一線治療中的最低值增加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w:t>
      </w:r>
    </w:p>
    <w:p w14:paraId="3B93BFFE"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iii.在non-secretary myeloma 病人，骨髓</w:t>
      </w:r>
      <w:proofErr w:type="gramStart"/>
      <w:r w:rsidRPr="007576F0">
        <w:rPr>
          <w:rFonts w:ascii="標楷體" w:eastAsia="標楷體" w:hAnsi="標楷體"/>
          <w:color w:val="000000"/>
        </w:rPr>
        <w:t>漿</w:t>
      </w:r>
      <w:proofErr w:type="gramEnd"/>
      <w:r w:rsidRPr="007576F0">
        <w:rPr>
          <w:rFonts w:ascii="標楷體" w:eastAsia="標楷體" w:hAnsi="標楷體"/>
          <w:color w:val="000000"/>
        </w:rPr>
        <w:t>細胞 (plasma cells)之比例絕對值增加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10%，且需較前一線治療中的最低值增加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w:t>
      </w:r>
    </w:p>
    <w:p w14:paraId="2E39537C"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iv.新產生的bone lesion(s)或plasmacytoma；且須經病理切片證實。</w:t>
      </w:r>
    </w:p>
    <w:p w14:paraId="68447836"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proofErr w:type="spellStart"/>
      <w:r w:rsidRPr="007576F0">
        <w:rPr>
          <w:rFonts w:ascii="標楷體" w:eastAsia="標楷體" w:hAnsi="標楷體"/>
          <w:color w:val="000000"/>
        </w:rPr>
        <w:t>v.Plasmacytoma</w:t>
      </w:r>
      <w:proofErr w:type="spellEnd"/>
      <w:r w:rsidRPr="007576F0">
        <w:rPr>
          <w:rFonts w:ascii="標楷體" w:eastAsia="標楷體" w:hAnsi="標楷體"/>
          <w:color w:val="000000"/>
        </w:rPr>
        <w:t>體積增加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50%。</w:t>
      </w:r>
    </w:p>
    <w:p w14:paraId="25C4AA5A"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vi.周邊</w:t>
      </w:r>
      <w:proofErr w:type="gramStart"/>
      <w:r w:rsidRPr="007576F0">
        <w:rPr>
          <w:rFonts w:ascii="標楷體" w:eastAsia="標楷體" w:hAnsi="標楷體"/>
          <w:color w:val="000000"/>
        </w:rPr>
        <w:t>血液中漿細胞</w:t>
      </w:r>
      <w:proofErr w:type="gramEnd"/>
      <w:r w:rsidRPr="007576F0">
        <w:rPr>
          <w:rFonts w:ascii="標楷體" w:eastAsia="標楷體" w:hAnsi="標楷體"/>
          <w:color w:val="000000"/>
        </w:rPr>
        <w:t>比例</w:t>
      </w:r>
      <w:proofErr w:type="gramStart"/>
      <w:r w:rsidRPr="007576F0">
        <w:rPr>
          <w:rFonts w:ascii="標楷體" w:eastAsia="標楷體" w:hAnsi="標楷體"/>
          <w:color w:val="000000"/>
        </w:rPr>
        <w:t>≧</w:t>
      </w:r>
      <w:proofErr w:type="gramEnd"/>
      <w:r w:rsidRPr="007576F0">
        <w:rPr>
          <w:rFonts w:ascii="標楷體" w:eastAsia="標楷體" w:hAnsi="標楷體"/>
          <w:color w:val="000000"/>
        </w:rPr>
        <w:t>20%</w:t>
      </w:r>
      <w:proofErr w:type="gramStart"/>
      <w:r w:rsidRPr="007576F0">
        <w:rPr>
          <w:rFonts w:ascii="標楷體" w:eastAsia="標楷體" w:hAnsi="標楷體"/>
          <w:color w:val="000000"/>
        </w:rPr>
        <w:t>或漿細胞</w:t>
      </w:r>
      <w:proofErr w:type="gramEnd"/>
      <w:r w:rsidRPr="007576F0">
        <w:rPr>
          <w:rFonts w:ascii="標楷體" w:eastAsia="標楷體" w:hAnsi="標楷體"/>
          <w:color w:val="000000"/>
        </w:rPr>
        <w:t>絕對值</w:t>
      </w:r>
      <w:proofErr w:type="gramStart"/>
      <w:r w:rsidRPr="007576F0">
        <w:rPr>
          <w:rFonts w:ascii="標楷體" w:eastAsia="標楷體" w:hAnsi="標楷體"/>
          <w:color w:val="000000"/>
        </w:rPr>
        <w:t>≧</w:t>
      </w:r>
      <w:proofErr w:type="gramEnd"/>
      <w:r w:rsidRPr="007576F0">
        <w:rPr>
          <w:rFonts w:ascii="標楷體" w:eastAsia="標楷體" w:hAnsi="標楷體"/>
          <w:color w:val="000000"/>
        </w:rPr>
        <w:t>2000 cells/</w:t>
      </w:r>
      <w:proofErr w:type="spellStart"/>
      <w:r w:rsidRPr="007576F0">
        <w:rPr>
          <w:rFonts w:ascii="標楷體" w:eastAsia="標楷體" w:hAnsi="標楷體"/>
          <w:color w:val="000000"/>
        </w:rPr>
        <w:t>μL</w:t>
      </w:r>
      <w:proofErr w:type="spellEnd"/>
      <w:r w:rsidRPr="007576F0">
        <w:rPr>
          <w:rFonts w:ascii="標楷體" w:eastAsia="標楷體" w:hAnsi="標楷體"/>
          <w:color w:val="000000"/>
        </w:rPr>
        <w:t>。</w:t>
      </w:r>
    </w:p>
    <w:p w14:paraId="04C80668"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Ⅱ.出現下列任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臨床症狀：（112/4/1）</w:t>
      </w:r>
    </w:p>
    <w:p w14:paraId="08AA70BE" w14:textId="77777777" w:rsidR="007576F0" w:rsidRPr="007576F0" w:rsidRDefault="007576F0" w:rsidP="007576F0">
      <w:pPr>
        <w:tabs>
          <w:tab w:val="left" w:pos="1418"/>
        </w:tabs>
        <w:spacing w:line="300" w:lineRule="exact"/>
        <w:ind w:left="1291" w:hanging="245"/>
      </w:pPr>
      <w:r w:rsidRPr="007576F0">
        <w:rPr>
          <w:rFonts w:ascii="新細明體" w:hAnsi="新細明體" w:cs="新細明體"/>
          <w:color w:val="000000"/>
        </w:rPr>
        <w:t>ⅰ</w:t>
      </w:r>
      <w:r w:rsidRPr="007576F0">
        <w:rPr>
          <w:rFonts w:ascii="標楷體" w:eastAsia="標楷體" w:hAnsi="標楷體"/>
          <w:color w:val="000000"/>
        </w:rPr>
        <w:t>.新產生的bone lesion(s)或plasmacytoma；且須經病理切片證實。</w:t>
      </w:r>
    </w:p>
    <w:p w14:paraId="0DB3DBE7" w14:textId="77777777" w:rsidR="007576F0" w:rsidRPr="007576F0" w:rsidRDefault="007576F0" w:rsidP="007576F0">
      <w:pPr>
        <w:tabs>
          <w:tab w:val="left" w:pos="1418"/>
        </w:tabs>
        <w:spacing w:line="300" w:lineRule="exact"/>
        <w:ind w:left="1291" w:hanging="245"/>
      </w:pPr>
      <w:proofErr w:type="spellStart"/>
      <w:r w:rsidRPr="007576F0">
        <w:rPr>
          <w:rFonts w:ascii="新細明體" w:hAnsi="新細明體" w:cs="新細明體"/>
          <w:color w:val="000000"/>
        </w:rPr>
        <w:t>ⅱ</w:t>
      </w:r>
      <w:r w:rsidRPr="007576F0">
        <w:rPr>
          <w:rFonts w:ascii="標楷體" w:eastAsia="標楷體" w:hAnsi="標楷體"/>
          <w:color w:val="000000"/>
        </w:rPr>
        <w:t>.Plasmacytoma</w:t>
      </w:r>
      <w:proofErr w:type="spellEnd"/>
      <w:r w:rsidRPr="007576F0">
        <w:rPr>
          <w:rFonts w:ascii="標楷體" w:eastAsia="標楷體" w:hAnsi="標楷體"/>
          <w:color w:val="000000"/>
        </w:rPr>
        <w:t xml:space="preserve"> 體積增加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50%。</w:t>
      </w:r>
    </w:p>
    <w:p w14:paraId="4807ED35"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iii.高血鈣(corrected serum calcium＞11.0 mg/dL 或 2.75 mmol/L)。</w:t>
      </w:r>
    </w:p>
    <w:p w14:paraId="7323DE3F"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iv.貧血(Hemoglobin 下降幅度</w:t>
      </w:r>
      <w:proofErr w:type="gramStart"/>
      <w:r w:rsidRPr="007576F0">
        <w:rPr>
          <w:rFonts w:ascii="標楷體" w:eastAsia="標楷體" w:hAnsi="標楷體"/>
          <w:color w:val="000000"/>
        </w:rPr>
        <w:t>≧</w:t>
      </w:r>
      <w:proofErr w:type="gramEnd"/>
      <w:r w:rsidRPr="007576F0">
        <w:rPr>
          <w:rFonts w:ascii="標楷體" w:eastAsia="標楷體" w:hAnsi="標楷體"/>
          <w:color w:val="000000"/>
        </w:rPr>
        <w:t xml:space="preserve"> 2gm/dL且無其他原因可以解釋)。</w:t>
      </w:r>
    </w:p>
    <w:p w14:paraId="4212087A"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v.腎功能惡化(eGFR需下降幅度</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25%)，且無其他原因可以解釋。</w:t>
      </w:r>
    </w:p>
    <w:p w14:paraId="48DC183F"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vi.出現其他end-organ dysfunctions。</w:t>
      </w:r>
    </w:p>
    <w:p w14:paraId="3E9B0041"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cell為療效依據，證明為對藥物有反應或為穩定狀態，方可繼續使用。續用時的申請以3個療程為限。疾病若發生惡化情形應即停止使用。（107/1/1、112/4/1）</w:t>
      </w:r>
    </w:p>
    <w:p w14:paraId="5B658F82"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lastRenderedPageBreak/>
        <w:t>4.每人終生以10個療程為上限，</w:t>
      </w:r>
      <w:proofErr w:type="spellStart"/>
      <w:r w:rsidRPr="007576F0">
        <w:rPr>
          <w:rFonts w:ascii="標楷體" w:eastAsia="標楷體" w:hAnsi="標楷體"/>
          <w:color w:val="000000"/>
        </w:rPr>
        <w:t>Pomado</w:t>
      </w:r>
      <w:proofErr w:type="spellEnd"/>
      <w:r w:rsidRPr="007576F0">
        <w:rPr>
          <w:rFonts w:ascii="標楷體" w:eastAsia="標楷體" w:hAnsi="標楷體"/>
          <w:color w:val="000000"/>
        </w:rPr>
        <w:t>則每人以6個療程為上限。（107/1/1、112/4/1、113/9/1）</w:t>
      </w:r>
    </w:p>
    <w:p w14:paraId="623F5C85"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5.不得與其他蛋白酶體抑制劑(proteasome inhibitor)或免疫調節劑(immunomodulatory drugs)併用。 (109/2/1、112/4/1)</w:t>
      </w:r>
    </w:p>
    <w:p w14:paraId="33CD428B"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6.112年3月31日以前已核定用藥之病人，得經事前審查核准後，使用至總療程上限（即終生10個療程，</w:t>
      </w:r>
      <w:proofErr w:type="spellStart"/>
      <w:r w:rsidRPr="007576F0">
        <w:rPr>
          <w:rFonts w:ascii="標楷體" w:eastAsia="標楷體" w:hAnsi="標楷體"/>
          <w:color w:val="000000"/>
        </w:rPr>
        <w:t>Pomado</w:t>
      </w:r>
      <w:proofErr w:type="spellEnd"/>
      <w:r w:rsidRPr="007576F0">
        <w:rPr>
          <w:rFonts w:ascii="標楷體" w:eastAsia="標楷體" w:hAnsi="標楷體"/>
          <w:color w:val="000000"/>
        </w:rPr>
        <w:t>則每人6個療程）或使用期間發生疾病惡化為止。（112/4/1、113/9/1）</w:t>
      </w:r>
    </w:p>
    <w:p w14:paraId="647E9B5F"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7.每日最多處方1粒(113/9/1)</w:t>
      </w:r>
    </w:p>
    <w:p w14:paraId="681B7349" w14:textId="77777777" w:rsidR="007576F0" w:rsidRPr="007576F0" w:rsidRDefault="007576F0" w:rsidP="007576F0">
      <w:pPr>
        <w:tabs>
          <w:tab w:val="left" w:pos="1418"/>
        </w:tabs>
        <w:spacing w:line="300" w:lineRule="exact"/>
        <w:ind w:left="567" w:hanging="283"/>
      </w:pPr>
      <w:r w:rsidRPr="007576F0">
        <w:rPr>
          <w:rFonts w:ascii="標楷體" w:eastAsia="標楷體" w:hAnsi="標楷體"/>
          <w:color w:val="000000"/>
        </w:rPr>
        <w:t>9.63.</w:t>
      </w:r>
      <w:r w:rsidRPr="007576F0">
        <w:t xml:space="preserve"> </w:t>
      </w:r>
      <w:r w:rsidRPr="007576F0">
        <w:rPr>
          <w:rFonts w:ascii="標楷體" w:eastAsia="標楷體" w:hAnsi="標楷體"/>
          <w:color w:val="000000"/>
        </w:rPr>
        <w:t>Lenvatinib(如</w:t>
      </w:r>
      <w:proofErr w:type="spellStart"/>
      <w:r w:rsidRPr="007576F0">
        <w:rPr>
          <w:rFonts w:ascii="標楷體" w:eastAsia="標楷體" w:hAnsi="標楷體"/>
          <w:color w:val="000000"/>
        </w:rPr>
        <w:t>Lenvima</w:t>
      </w:r>
      <w:proofErr w:type="spellEnd"/>
      <w:r w:rsidRPr="007576F0">
        <w:rPr>
          <w:rFonts w:ascii="標楷體" w:eastAsia="標楷體" w:hAnsi="標楷體"/>
          <w:color w:val="000000"/>
        </w:rPr>
        <w:t>)：(107/7/1、109/1/1、109/8/1、112/8/1、114/2/1、114/6/1)</w:t>
      </w:r>
      <w:r w:rsidRPr="007576F0">
        <w:rPr>
          <w:rFonts w:ascii="標楷體" w:eastAsia="標楷體" w:hAnsi="標楷體"/>
          <w:color w:val="000000"/>
        </w:rPr>
        <w:br/>
        <w:t>1.用於放射性碘治療無效之局部晚期或轉移性的進行性(progressive)分化型甲狀腺癌(RAI-RDTC)：</w:t>
      </w:r>
    </w:p>
    <w:p w14:paraId="0022A751" w14:textId="77777777" w:rsidR="007576F0" w:rsidRPr="007576F0" w:rsidRDefault="007576F0" w:rsidP="007576F0">
      <w:pPr>
        <w:tabs>
          <w:tab w:val="left" w:pos="1418"/>
        </w:tabs>
        <w:spacing w:line="300" w:lineRule="exact"/>
        <w:ind w:left="850"/>
        <w:rPr>
          <w:rFonts w:ascii="標楷體" w:eastAsia="標楷體" w:hAnsi="標楷體"/>
          <w:color w:val="000000"/>
        </w:rPr>
      </w:pPr>
      <w:r w:rsidRPr="007576F0">
        <w:rPr>
          <w:rFonts w:ascii="標楷體" w:eastAsia="標楷體" w:hAnsi="標楷體"/>
          <w:color w:val="000000"/>
        </w:rPr>
        <w:t>(1)需經事前審查核准後使用，每次申請之療程以3個月為限，送審時需檢送影像資料，每3個月評估一次。</w:t>
      </w:r>
    </w:p>
    <w:p w14:paraId="4C798233" w14:textId="77777777" w:rsidR="007576F0" w:rsidRPr="007576F0" w:rsidRDefault="007576F0" w:rsidP="007576F0">
      <w:pPr>
        <w:tabs>
          <w:tab w:val="left" w:pos="1418"/>
        </w:tabs>
        <w:spacing w:line="300" w:lineRule="exact"/>
        <w:ind w:left="850"/>
        <w:rPr>
          <w:rFonts w:ascii="標楷體" w:eastAsia="標楷體" w:hAnsi="標楷體"/>
          <w:color w:val="000000"/>
        </w:rPr>
      </w:pPr>
      <w:r w:rsidRPr="007576F0">
        <w:rPr>
          <w:rFonts w:ascii="標楷體" w:eastAsia="標楷體" w:hAnsi="標楷體"/>
          <w:color w:val="000000"/>
        </w:rPr>
        <w:t>(2)Lenvatinib與sorafenib不得合併使用。(109/8/1)</w:t>
      </w:r>
    </w:p>
    <w:p w14:paraId="6C84CC12" w14:textId="77777777" w:rsidR="007576F0" w:rsidRPr="007576F0" w:rsidRDefault="007576F0" w:rsidP="007576F0">
      <w:pPr>
        <w:tabs>
          <w:tab w:val="left" w:pos="1418"/>
        </w:tabs>
        <w:spacing w:line="300" w:lineRule="exact"/>
        <w:ind w:left="610"/>
        <w:rPr>
          <w:rFonts w:ascii="標楷體" w:eastAsia="標楷體" w:hAnsi="標楷體"/>
          <w:color w:val="000000"/>
        </w:rPr>
      </w:pPr>
      <w:r w:rsidRPr="007576F0">
        <w:rPr>
          <w:rFonts w:ascii="標楷體" w:eastAsia="標楷體" w:hAnsi="標楷體"/>
          <w:color w:val="000000"/>
        </w:rPr>
        <w:t>2.</w:t>
      </w:r>
      <w:proofErr w:type="gramStart"/>
      <w:r w:rsidRPr="007576F0">
        <w:rPr>
          <w:rFonts w:ascii="標楷體" w:eastAsia="標楷體" w:hAnsi="標楷體"/>
          <w:color w:val="000000"/>
        </w:rPr>
        <w:t>晚期肝</w:t>
      </w:r>
      <w:proofErr w:type="gramEnd"/>
      <w:r w:rsidRPr="007576F0">
        <w:rPr>
          <w:rFonts w:ascii="標楷體" w:eastAsia="標楷體" w:hAnsi="標楷體"/>
          <w:color w:val="000000"/>
        </w:rPr>
        <w:t>細胞癌部分：(109/1/1、109/8/1、112/8/1、114/2/1、114/6/1)</w:t>
      </w:r>
    </w:p>
    <w:p w14:paraId="3D95CC32" w14:textId="77777777" w:rsidR="007576F0" w:rsidRPr="007576F0" w:rsidRDefault="007576F0" w:rsidP="007576F0">
      <w:pPr>
        <w:tabs>
          <w:tab w:val="left" w:pos="1418"/>
        </w:tabs>
        <w:spacing w:line="300" w:lineRule="exact"/>
        <w:ind w:left="1416" w:hanging="425"/>
        <w:rPr>
          <w:rFonts w:ascii="標楷體" w:eastAsia="標楷體" w:hAnsi="標楷體"/>
          <w:color w:val="000000"/>
        </w:rPr>
      </w:pPr>
      <w:r w:rsidRPr="007576F0">
        <w:rPr>
          <w:rFonts w:ascii="標楷體" w:eastAsia="標楷體" w:hAnsi="標楷體"/>
          <w:color w:val="000000"/>
        </w:rPr>
        <w:t>(1)轉移性或無法手術切除且不適合局部治療或局部治療失敗之Child-Pugh A class</w:t>
      </w:r>
      <w:proofErr w:type="gramStart"/>
      <w:r w:rsidRPr="007576F0">
        <w:rPr>
          <w:rFonts w:ascii="標楷體" w:eastAsia="標楷體" w:hAnsi="標楷體"/>
          <w:color w:val="000000"/>
        </w:rPr>
        <w:t>晚期肝</w:t>
      </w:r>
      <w:proofErr w:type="gramEnd"/>
      <w:r w:rsidRPr="007576F0">
        <w:rPr>
          <w:rFonts w:ascii="標楷體" w:eastAsia="標楷體" w:hAnsi="標楷體"/>
          <w:color w:val="000000"/>
        </w:rPr>
        <w:t>細胞癌成人患者，並符合下列條件之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w:t>
      </w:r>
    </w:p>
    <w:p w14:paraId="36C7652B" w14:textId="77777777" w:rsidR="007576F0" w:rsidRPr="007576F0" w:rsidRDefault="007576F0" w:rsidP="007576F0">
      <w:pPr>
        <w:tabs>
          <w:tab w:val="left" w:pos="1418"/>
        </w:tabs>
        <w:spacing w:line="300" w:lineRule="exact"/>
        <w:ind w:left="1560" w:hanging="468"/>
        <w:rPr>
          <w:rFonts w:ascii="標楷體" w:eastAsia="標楷體" w:hAnsi="標楷體"/>
          <w:color w:val="000000"/>
        </w:rPr>
      </w:pPr>
      <w:r w:rsidRPr="007576F0">
        <w:rPr>
          <w:rFonts w:ascii="標楷體" w:eastAsia="標楷體" w:hAnsi="標楷體"/>
          <w:color w:val="000000"/>
        </w:rPr>
        <w:t>I.</w:t>
      </w:r>
      <w:proofErr w:type="gramStart"/>
      <w:r w:rsidRPr="007576F0">
        <w:rPr>
          <w:rFonts w:ascii="標楷體" w:eastAsia="標楷體" w:hAnsi="標楷體"/>
          <w:color w:val="000000"/>
        </w:rPr>
        <w:t>肝外轉移</w:t>
      </w:r>
      <w:proofErr w:type="gramEnd"/>
      <w:r w:rsidRPr="007576F0">
        <w:rPr>
          <w:rFonts w:ascii="標楷體" w:eastAsia="標楷體" w:hAnsi="標楷體"/>
          <w:color w:val="000000"/>
        </w:rPr>
        <w:t>（遠端轉移或肝外淋巴結侵犯）。</w:t>
      </w:r>
    </w:p>
    <w:p w14:paraId="1A80F5A5" w14:textId="77777777" w:rsidR="007576F0" w:rsidRPr="007576F0" w:rsidRDefault="007576F0" w:rsidP="007576F0">
      <w:pPr>
        <w:tabs>
          <w:tab w:val="left" w:pos="1418"/>
        </w:tabs>
        <w:spacing w:line="300" w:lineRule="exact"/>
        <w:ind w:left="1560" w:hanging="468"/>
        <w:rPr>
          <w:rFonts w:ascii="標楷體" w:eastAsia="標楷體" w:hAnsi="標楷體"/>
          <w:color w:val="000000"/>
        </w:rPr>
      </w:pPr>
      <w:r w:rsidRPr="007576F0">
        <w:rPr>
          <w:rFonts w:ascii="標楷體" w:eastAsia="標楷體" w:hAnsi="標楷體"/>
          <w:color w:val="000000"/>
        </w:rPr>
        <w:t>II.大血管侵犯（腫瘤侵犯主門靜脈或侵犯左/右靜脈第一或第二分支）。</w:t>
      </w:r>
    </w:p>
    <w:p w14:paraId="605C784E" w14:textId="77777777" w:rsidR="007576F0" w:rsidRPr="007576F0" w:rsidRDefault="007576F0" w:rsidP="007576F0">
      <w:pPr>
        <w:tabs>
          <w:tab w:val="left" w:pos="1418"/>
        </w:tabs>
        <w:spacing w:line="300" w:lineRule="exact"/>
        <w:ind w:left="1560" w:hanging="468"/>
        <w:rPr>
          <w:rFonts w:ascii="標楷體" w:eastAsia="標楷體" w:hAnsi="標楷體"/>
          <w:color w:val="000000"/>
        </w:rPr>
      </w:pPr>
      <w:r w:rsidRPr="007576F0">
        <w:rPr>
          <w:rFonts w:ascii="標楷體" w:eastAsia="標楷體" w:hAnsi="標楷體"/>
          <w:color w:val="000000"/>
        </w:rPr>
        <w:t>III.經導管動脈化學藥物栓塞治療</w:t>
      </w:r>
      <w:proofErr w:type="gramStart"/>
      <w:r w:rsidRPr="007576F0">
        <w:rPr>
          <w:rFonts w:ascii="標楷體" w:eastAsia="標楷體" w:hAnsi="標楷體"/>
          <w:color w:val="000000"/>
        </w:rPr>
        <w:t>（</w:t>
      </w:r>
      <w:proofErr w:type="gramEnd"/>
      <w:r w:rsidRPr="007576F0">
        <w:rPr>
          <w:rFonts w:ascii="標楷體" w:eastAsia="標楷體" w:hAnsi="標楷體"/>
          <w:color w:val="000000"/>
        </w:rPr>
        <w:t>Transcatheter arterial chemo embolization, T.A.C.E.）失敗者，需提供患者於12個月內&gt;=3次局部治療之記錄。</w:t>
      </w:r>
    </w:p>
    <w:p w14:paraId="56803F79" w14:textId="77777777" w:rsidR="007576F0" w:rsidRPr="007576F0" w:rsidRDefault="007576F0" w:rsidP="007576F0">
      <w:pPr>
        <w:tabs>
          <w:tab w:val="left" w:pos="1418"/>
        </w:tabs>
        <w:spacing w:line="300" w:lineRule="exact"/>
        <w:ind w:left="1416" w:hanging="425"/>
        <w:rPr>
          <w:rFonts w:ascii="標楷體" w:eastAsia="標楷體" w:hAnsi="標楷體"/>
          <w:color w:val="000000"/>
        </w:rPr>
      </w:pPr>
      <w:r w:rsidRPr="007576F0">
        <w:rPr>
          <w:rFonts w:ascii="標楷體" w:eastAsia="標楷體" w:hAnsi="標楷體"/>
          <w:color w:val="000000"/>
        </w:rPr>
        <w:t>(2)需經事前審查核准後使用，初次申請之療程以3個月為限，之後每3個月評估一次。送審時需檢送影像資料，無疾病惡化方可繼續使用。(109/1/1、114/6/1)</w:t>
      </w:r>
    </w:p>
    <w:p w14:paraId="110FD775" w14:textId="77777777" w:rsidR="007576F0" w:rsidRPr="007576F0" w:rsidRDefault="007576F0" w:rsidP="007576F0">
      <w:pPr>
        <w:tabs>
          <w:tab w:val="left" w:pos="1418"/>
        </w:tabs>
        <w:spacing w:line="300" w:lineRule="exact"/>
        <w:ind w:left="1276" w:hanging="283"/>
        <w:rPr>
          <w:rFonts w:ascii="標楷體" w:eastAsia="標楷體" w:hAnsi="標楷體"/>
          <w:color w:val="000000"/>
        </w:rPr>
      </w:pPr>
      <w:r w:rsidRPr="007576F0">
        <w:rPr>
          <w:rFonts w:ascii="標楷體" w:eastAsia="標楷體" w:hAnsi="標楷體"/>
          <w:color w:val="000000"/>
        </w:rPr>
        <w:t>(3)Lenvatinib、sorafenib、atezolizumab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用bevacizumab、</w:t>
      </w:r>
      <w:proofErr w:type="spellStart"/>
      <w:r w:rsidRPr="007576F0">
        <w:rPr>
          <w:rFonts w:ascii="標楷體" w:eastAsia="標楷體" w:hAnsi="標楷體"/>
          <w:color w:val="000000"/>
        </w:rPr>
        <w:t>tremelimumab</w:t>
      </w:r>
      <w:proofErr w:type="spellEnd"/>
      <w:proofErr w:type="gramStart"/>
      <w:r w:rsidRPr="007576F0">
        <w:rPr>
          <w:rFonts w:ascii="標楷體" w:eastAsia="標楷體" w:hAnsi="標楷體"/>
          <w:color w:val="000000"/>
        </w:rPr>
        <w:t>併</w:t>
      </w:r>
      <w:proofErr w:type="gramEnd"/>
      <w:r w:rsidRPr="007576F0">
        <w:rPr>
          <w:rFonts w:ascii="標楷體" w:eastAsia="標楷體" w:hAnsi="標楷體"/>
          <w:color w:val="000000"/>
        </w:rPr>
        <w:t>用durvalumab僅得擇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給付，不得互換；且</w:t>
      </w:r>
      <w:proofErr w:type="spellStart"/>
      <w:r w:rsidRPr="007576F0">
        <w:rPr>
          <w:rFonts w:ascii="標楷體" w:eastAsia="標楷體" w:hAnsi="標楷體"/>
          <w:color w:val="000000"/>
        </w:rPr>
        <w:t>lenvatinib</w:t>
      </w:r>
      <w:proofErr w:type="spellEnd"/>
      <w:r w:rsidRPr="007576F0">
        <w:rPr>
          <w:rFonts w:ascii="標楷體" w:eastAsia="標楷體" w:hAnsi="標楷體"/>
          <w:color w:val="000000"/>
        </w:rPr>
        <w:t>治療失敗後，不得申請使用regorafenib或ramucirumab。(109/1/1、109/8/1、112/8/1、114/2/1)</w:t>
      </w:r>
    </w:p>
    <w:p w14:paraId="27C95675" w14:textId="77777777" w:rsidR="007576F0" w:rsidRPr="007576F0" w:rsidRDefault="007576F0" w:rsidP="007576F0">
      <w:pPr>
        <w:spacing w:line="300" w:lineRule="exact"/>
        <w:ind w:left="708" w:hanging="338"/>
        <w:rPr>
          <w:rFonts w:ascii="標楷體" w:eastAsia="標楷體" w:hAnsi="標楷體"/>
          <w:color w:val="000000"/>
        </w:rPr>
      </w:pPr>
      <w:r w:rsidRPr="007576F0">
        <w:rPr>
          <w:rFonts w:ascii="標楷體" w:eastAsia="標楷體" w:hAnsi="標楷體"/>
          <w:color w:val="000000"/>
        </w:rPr>
        <w:t>9.64.</w:t>
      </w:r>
      <w:r w:rsidRPr="007576F0">
        <w:rPr>
          <w:rFonts w:ascii="標楷體" w:eastAsia="標楷體" w:hAnsi="標楷體"/>
        </w:rPr>
        <w:t>Blinatumomab</w:t>
      </w:r>
      <w:r w:rsidRPr="007576F0">
        <w:rPr>
          <w:rFonts w:ascii="標楷體" w:eastAsia="標楷體" w:hAnsi="標楷體"/>
          <w:color w:val="000000"/>
        </w:rPr>
        <w:t>(如</w:t>
      </w:r>
      <w:proofErr w:type="spellStart"/>
      <w:r w:rsidRPr="007576F0">
        <w:rPr>
          <w:rFonts w:ascii="標楷體" w:eastAsia="標楷體" w:hAnsi="標楷體"/>
          <w:color w:val="000000"/>
        </w:rPr>
        <w:t>Blincyto</w:t>
      </w:r>
      <w:proofErr w:type="spellEnd"/>
      <w:r w:rsidRPr="007576F0">
        <w:rPr>
          <w:rFonts w:ascii="標楷體" w:eastAsia="標楷體" w:hAnsi="標楷體"/>
          <w:color w:val="000000"/>
        </w:rPr>
        <w:t>)：(107/9/1、109/12/1、112/12/1)</w:t>
      </w:r>
    </w:p>
    <w:p w14:paraId="72068DC2"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color w:val="000000"/>
        </w:rPr>
        <w:tab/>
        <w:t>適用於治療先前接受至少兩種化</w:t>
      </w:r>
      <w:proofErr w:type="gramStart"/>
      <w:r w:rsidRPr="007576F0">
        <w:rPr>
          <w:rFonts w:ascii="標楷體" w:eastAsia="標楷體" w:hAnsi="標楷體"/>
          <w:color w:val="000000"/>
        </w:rPr>
        <w:t>療</w:t>
      </w:r>
      <w:proofErr w:type="gramEnd"/>
      <w:r w:rsidRPr="007576F0">
        <w:rPr>
          <w:rFonts w:ascii="標楷體" w:eastAsia="標楷體" w:hAnsi="標楷體"/>
          <w:color w:val="000000"/>
        </w:rPr>
        <w:t>療程(如TPOG之療程表)治療無效或已復發第二次或以上費城染色體陰性復發型或頑固型B細胞前驅因子之急性淋巴</w:t>
      </w:r>
      <w:proofErr w:type="gramStart"/>
      <w:r w:rsidRPr="007576F0">
        <w:rPr>
          <w:rFonts w:ascii="標楷體" w:eastAsia="標楷體" w:hAnsi="標楷體"/>
          <w:color w:val="000000"/>
        </w:rPr>
        <w:t>芽</w:t>
      </w:r>
      <w:proofErr w:type="gramEnd"/>
      <w:r w:rsidRPr="007576F0">
        <w:rPr>
          <w:rFonts w:ascii="標楷體" w:eastAsia="標楷體" w:hAnsi="標楷體"/>
          <w:color w:val="000000"/>
        </w:rPr>
        <w:t>細胞白血病之(Ph(-) Relapse/Refractory B-cell precursor Acute Lymphoblastic Leukemia；Ph(-) B-cell precursor R/R ALL)成人病人，且計畫進行造血幹細胞移植的病人，每位病人限給付2療程。</w:t>
      </w:r>
    </w:p>
    <w:p w14:paraId="007941B8"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2.用於復發型或頑固型B細胞前驅細胞之急性淋巴</w:t>
      </w:r>
      <w:proofErr w:type="gramStart"/>
      <w:r w:rsidRPr="007576F0">
        <w:rPr>
          <w:rFonts w:ascii="標楷體" w:eastAsia="標楷體" w:hAnsi="標楷體"/>
          <w:color w:val="000000"/>
        </w:rPr>
        <w:t>芽</w:t>
      </w:r>
      <w:proofErr w:type="gramEnd"/>
      <w:r w:rsidRPr="007576F0">
        <w:rPr>
          <w:rFonts w:ascii="標楷體" w:eastAsia="標楷體" w:hAnsi="標楷體"/>
          <w:color w:val="000000"/>
        </w:rPr>
        <w:t>細胞白血病之未滿18歲兒童病人，且計畫進行造血幹細胞移植的病人，每位病人限給付2療程，不得與clofarabine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用。（109/12/1）</w:t>
      </w:r>
    </w:p>
    <w:p w14:paraId="46DAD53C" w14:textId="77777777" w:rsidR="007576F0" w:rsidRPr="007576F0" w:rsidRDefault="007576F0" w:rsidP="007576F0">
      <w:pPr>
        <w:spacing w:line="300" w:lineRule="exact"/>
        <w:ind w:left="720" w:hanging="480"/>
      </w:pPr>
      <w:r w:rsidRPr="007576F0">
        <w:rPr>
          <w:rFonts w:ascii="標楷體" w:eastAsia="標楷體" w:hAnsi="標楷體"/>
          <w:szCs w:val="24"/>
        </w:rPr>
        <w:t xml:space="preserve">   3.用於治療</w:t>
      </w:r>
      <w:r w:rsidRPr="007576F0">
        <w:rPr>
          <w:rFonts w:ascii="標楷體" w:eastAsia="標楷體" w:hAnsi="標楷體"/>
          <w:bCs/>
          <w:szCs w:val="24"/>
        </w:rPr>
        <w:t>微量殘留病灶(MRD)陽性B細胞前驅細胞之急性淋巴</w:t>
      </w:r>
      <w:proofErr w:type="gramStart"/>
      <w:r w:rsidRPr="007576F0">
        <w:rPr>
          <w:rFonts w:ascii="標楷體" w:eastAsia="標楷體" w:hAnsi="標楷體"/>
          <w:bCs/>
          <w:szCs w:val="24"/>
        </w:rPr>
        <w:t>芽</w:t>
      </w:r>
      <w:proofErr w:type="gramEnd"/>
      <w:r w:rsidRPr="007576F0">
        <w:rPr>
          <w:rFonts w:ascii="標楷體" w:eastAsia="標楷體" w:hAnsi="標楷體"/>
          <w:bCs/>
          <w:szCs w:val="24"/>
        </w:rPr>
        <w:t>細胞白血病：(112/12/1)</w:t>
      </w:r>
    </w:p>
    <w:p w14:paraId="54332AC6" w14:textId="77777777" w:rsidR="007576F0" w:rsidRPr="007576F0" w:rsidRDefault="007576F0" w:rsidP="007576F0">
      <w:pPr>
        <w:spacing w:line="300" w:lineRule="exact"/>
        <w:ind w:left="950" w:hanging="230"/>
        <w:rPr>
          <w:rFonts w:ascii="標楷體" w:eastAsia="標楷體" w:hAnsi="標楷體"/>
          <w:szCs w:val="24"/>
        </w:rPr>
      </w:pPr>
      <w:r w:rsidRPr="007576F0">
        <w:rPr>
          <w:rFonts w:ascii="標楷體" w:eastAsia="標楷體" w:hAnsi="標楷體"/>
          <w:szCs w:val="24"/>
        </w:rPr>
        <w:t>(1)符合以下任</w:t>
      </w:r>
      <w:proofErr w:type="gramStart"/>
      <w:r w:rsidRPr="007576F0">
        <w:rPr>
          <w:rFonts w:ascii="標楷體" w:eastAsia="標楷體" w:hAnsi="標楷體"/>
          <w:szCs w:val="24"/>
        </w:rPr>
        <w:t>一</w:t>
      </w:r>
      <w:proofErr w:type="gramEnd"/>
      <w:r w:rsidRPr="007576F0">
        <w:rPr>
          <w:rFonts w:ascii="標楷體" w:eastAsia="標楷體" w:hAnsi="標楷體"/>
          <w:szCs w:val="24"/>
        </w:rPr>
        <w:t>條件：</w:t>
      </w:r>
    </w:p>
    <w:p w14:paraId="49FCDA47" w14:textId="77777777" w:rsidR="007576F0" w:rsidRPr="007576F0" w:rsidRDefault="007576F0" w:rsidP="007576F0">
      <w:pPr>
        <w:spacing w:line="300" w:lineRule="exact"/>
        <w:ind w:left="1190" w:hanging="230"/>
      </w:pPr>
      <w:r w:rsidRPr="007576F0">
        <w:rPr>
          <w:rFonts w:ascii="標楷體" w:eastAsia="標楷體" w:hAnsi="標楷體"/>
          <w:szCs w:val="24"/>
        </w:rPr>
        <w:t>I.初次治療B細胞前驅細胞之急性淋巴</w:t>
      </w:r>
      <w:proofErr w:type="gramStart"/>
      <w:r w:rsidRPr="007576F0">
        <w:rPr>
          <w:rFonts w:ascii="標楷體" w:eastAsia="標楷體" w:hAnsi="標楷體"/>
          <w:szCs w:val="24"/>
        </w:rPr>
        <w:t>芽</w:t>
      </w:r>
      <w:proofErr w:type="gramEnd"/>
      <w:r w:rsidRPr="007576F0">
        <w:rPr>
          <w:rFonts w:ascii="標楷體" w:eastAsia="標楷體" w:hAnsi="標楷體"/>
          <w:szCs w:val="24"/>
        </w:rPr>
        <w:t>細胞白血病成人病人，接受過至少三次高強度化學治療療程後，達第一次</w:t>
      </w:r>
      <w:proofErr w:type="gramStart"/>
      <w:r w:rsidRPr="007576F0">
        <w:rPr>
          <w:rFonts w:ascii="標楷體" w:eastAsia="標楷體" w:hAnsi="標楷體"/>
          <w:szCs w:val="24"/>
        </w:rPr>
        <w:t>完全緩</w:t>
      </w:r>
      <w:proofErr w:type="gramEnd"/>
      <w:r w:rsidRPr="007576F0">
        <w:rPr>
          <w:rFonts w:ascii="標楷體" w:eastAsia="標楷體" w:hAnsi="標楷體"/>
          <w:szCs w:val="24"/>
        </w:rPr>
        <w:t>解，但仍有大於或等於0.1%微量殘留病灶，且計畫進行造血幹細胞移植，需附上至少三次微量殘留病灶檢驗報告。</w:t>
      </w:r>
    </w:p>
    <w:p w14:paraId="044EA24C" w14:textId="77777777" w:rsidR="007576F0" w:rsidRPr="007576F0" w:rsidRDefault="007576F0" w:rsidP="007576F0">
      <w:pPr>
        <w:spacing w:line="300" w:lineRule="exact"/>
        <w:ind w:left="1337" w:hanging="377"/>
      </w:pPr>
      <w:r w:rsidRPr="007576F0">
        <w:rPr>
          <w:rFonts w:ascii="標楷體" w:eastAsia="標楷體" w:hAnsi="標楷體"/>
          <w:szCs w:val="24"/>
        </w:rPr>
        <w:t>II.第一線治療無效，</w:t>
      </w:r>
      <w:proofErr w:type="gramStart"/>
      <w:r w:rsidRPr="007576F0">
        <w:rPr>
          <w:rFonts w:ascii="標楷體" w:eastAsia="標楷體" w:hAnsi="標楷體"/>
          <w:szCs w:val="24"/>
        </w:rPr>
        <w:t>經第二線</w:t>
      </w:r>
      <w:proofErr w:type="gramEnd"/>
      <w:r w:rsidRPr="007576F0">
        <w:rPr>
          <w:rFonts w:ascii="標楷體" w:eastAsia="標楷體" w:hAnsi="標楷體"/>
          <w:szCs w:val="24"/>
        </w:rPr>
        <w:t>治療達到第一次</w:t>
      </w:r>
      <w:proofErr w:type="gramStart"/>
      <w:r w:rsidRPr="007576F0">
        <w:rPr>
          <w:rFonts w:ascii="標楷體" w:eastAsia="標楷體" w:hAnsi="標楷體"/>
          <w:szCs w:val="24"/>
        </w:rPr>
        <w:t>完全緩</w:t>
      </w:r>
      <w:proofErr w:type="gramEnd"/>
      <w:r w:rsidRPr="007576F0">
        <w:rPr>
          <w:rFonts w:ascii="標楷體" w:eastAsia="標楷體" w:hAnsi="標楷體"/>
          <w:szCs w:val="24"/>
        </w:rPr>
        <w:t>解之成人病人，但仍有大於或等於0.1%微量殘留病灶，且計劃進行造血幹細胞移植。需附上一次治療無效(骨髓或</w:t>
      </w:r>
      <w:proofErr w:type="gramStart"/>
      <w:r w:rsidRPr="007576F0">
        <w:rPr>
          <w:rFonts w:ascii="標楷體" w:eastAsia="標楷體" w:hAnsi="標楷體"/>
          <w:szCs w:val="24"/>
        </w:rPr>
        <w:t>周邊血芽細胞</w:t>
      </w:r>
      <w:proofErr w:type="gramEnd"/>
      <w:r w:rsidRPr="007576F0">
        <w:rPr>
          <w:rFonts w:ascii="標楷體" w:eastAsia="標楷體" w:hAnsi="標楷體"/>
          <w:szCs w:val="24"/>
        </w:rPr>
        <w:t>大於5%)之檢驗報告，及一次經化學治療後微量殘留病灶檢驗報告。</w:t>
      </w:r>
    </w:p>
    <w:p w14:paraId="57B5028B" w14:textId="77777777" w:rsidR="007576F0" w:rsidRPr="007576F0" w:rsidRDefault="007576F0" w:rsidP="007576F0">
      <w:pPr>
        <w:spacing w:line="300" w:lineRule="exact"/>
        <w:ind w:left="1073" w:hanging="353"/>
      </w:pPr>
      <w:r w:rsidRPr="007576F0">
        <w:rPr>
          <w:rFonts w:ascii="標楷體" w:eastAsia="標楷體" w:hAnsi="標楷體"/>
          <w:szCs w:val="24"/>
        </w:rPr>
        <w:t>(2)需為</w:t>
      </w:r>
      <w:r w:rsidRPr="007576F0">
        <w:rPr>
          <w:rFonts w:ascii="標楷體" w:eastAsia="標楷體" w:hAnsi="標楷體"/>
          <w:bCs/>
          <w:szCs w:val="24"/>
        </w:rPr>
        <w:t>計畫進行造血幹細胞移植者</w:t>
      </w:r>
      <w:r w:rsidRPr="007576F0">
        <w:rPr>
          <w:rFonts w:ascii="標楷體" w:eastAsia="標楷體" w:hAnsi="標楷體"/>
          <w:szCs w:val="24"/>
        </w:rPr>
        <w:t>。</w:t>
      </w:r>
    </w:p>
    <w:p w14:paraId="562F6C88" w14:textId="77777777" w:rsidR="007576F0" w:rsidRPr="007576F0" w:rsidRDefault="007576F0" w:rsidP="007576F0">
      <w:pPr>
        <w:spacing w:line="300" w:lineRule="exact"/>
        <w:ind w:left="1073" w:hanging="353"/>
      </w:pPr>
      <w:r w:rsidRPr="007576F0">
        <w:rPr>
          <w:rFonts w:ascii="標楷體" w:eastAsia="標楷體" w:hAnsi="標楷體"/>
          <w:bCs/>
          <w:szCs w:val="24"/>
        </w:rPr>
        <w:lastRenderedPageBreak/>
        <w:t>(3)</w:t>
      </w:r>
      <w:r w:rsidRPr="007576F0">
        <w:rPr>
          <w:rFonts w:ascii="標楷體" w:eastAsia="標楷體" w:hAnsi="標楷體"/>
          <w:szCs w:val="24"/>
        </w:rPr>
        <w:t>偵測微量殘留病灶之檢測，其敏感度需達10</w:t>
      </w:r>
      <w:r w:rsidRPr="007576F0">
        <w:rPr>
          <w:rFonts w:ascii="標楷體" w:eastAsia="標楷體" w:hAnsi="標楷體"/>
          <w:szCs w:val="24"/>
          <w:vertAlign w:val="superscript"/>
        </w:rPr>
        <w:t>-3</w:t>
      </w:r>
      <w:r w:rsidRPr="007576F0">
        <w:rPr>
          <w:rFonts w:ascii="標楷體" w:eastAsia="標楷體" w:hAnsi="標楷體"/>
          <w:szCs w:val="24"/>
        </w:rPr>
        <w:t>(0.1%)，可用qPCR (real-time quantitative polymerase chain reaction)，或八色流式細胞儀（8-color multiparameter flow cytometry）檢查。</w:t>
      </w:r>
    </w:p>
    <w:p w14:paraId="746375AB" w14:textId="77777777" w:rsidR="007576F0" w:rsidRPr="007576F0" w:rsidRDefault="007576F0" w:rsidP="007576F0">
      <w:pPr>
        <w:spacing w:line="300" w:lineRule="exact"/>
        <w:ind w:left="1073" w:hanging="353"/>
        <w:rPr>
          <w:rFonts w:ascii="標楷體" w:eastAsia="標楷體" w:hAnsi="標楷體"/>
          <w:szCs w:val="24"/>
        </w:rPr>
      </w:pPr>
      <w:r w:rsidRPr="007576F0">
        <w:rPr>
          <w:rFonts w:ascii="標楷體" w:eastAsia="標楷體" w:hAnsi="標楷體"/>
          <w:szCs w:val="24"/>
        </w:rPr>
        <w:t>(4)不得與酪胺</w:t>
      </w:r>
      <w:proofErr w:type="gramStart"/>
      <w:r w:rsidRPr="007576F0">
        <w:rPr>
          <w:rFonts w:ascii="標楷體" w:eastAsia="標楷體" w:hAnsi="標楷體"/>
          <w:szCs w:val="24"/>
        </w:rPr>
        <w:t>酸激酶</w:t>
      </w:r>
      <w:proofErr w:type="gramEnd"/>
      <w:r w:rsidRPr="007576F0">
        <w:rPr>
          <w:rFonts w:ascii="標楷體" w:eastAsia="標楷體" w:hAnsi="標楷體"/>
          <w:szCs w:val="24"/>
        </w:rPr>
        <w:t>抑制劑(TKI)（如imatinib、</w:t>
      </w:r>
      <w:proofErr w:type="spellStart"/>
      <w:r w:rsidRPr="007576F0">
        <w:rPr>
          <w:rFonts w:ascii="標楷體" w:eastAsia="標楷體" w:hAnsi="標楷體"/>
          <w:szCs w:val="24"/>
        </w:rPr>
        <w:t>dasatinib</w:t>
      </w:r>
      <w:proofErr w:type="spellEnd"/>
      <w:r w:rsidRPr="007576F0">
        <w:rPr>
          <w:rFonts w:ascii="標楷體" w:eastAsia="標楷體" w:hAnsi="標楷體"/>
          <w:szCs w:val="24"/>
        </w:rPr>
        <w:t>、nilotinib、ponatinib）等併用。</w:t>
      </w:r>
    </w:p>
    <w:p w14:paraId="26A62047" w14:textId="77777777" w:rsidR="007576F0" w:rsidRPr="007576F0" w:rsidRDefault="007576F0" w:rsidP="007576F0">
      <w:pPr>
        <w:spacing w:line="300" w:lineRule="exact"/>
        <w:ind w:left="1073" w:hanging="353"/>
        <w:rPr>
          <w:rFonts w:ascii="標楷體" w:eastAsia="標楷體" w:hAnsi="標楷體"/>
          <w:szCs w:val="24"/>
        </w:rPr>
      </w:pPr>
      <w:r w:rsidRPr="007576F0">
        <w:rPr>
          <w:rFonts w:ascii="標楷體" w:eastAsia="標楷體" w:hAnsi="標楷體"/>
          <w:szCs w:val="24"/>
        </w:rPr>
        <w:t>(5)若使用blinatumomab後，MRD若未消失但疾病仍在</w:t>
      </w:r>
      <w:proofErr w:type="gramStart"/>
      <w:r w:rsidRPr="007576F0">
        <w:rPr>
          <w:rFonts w:ascii="標楷體" w:eastAsia="標楷體" w:hAnsi="標楷體"/>
          <w:szCs w:val="24"/>
        </w:rPr>
        <w:t>完全緩解時</w:t>
      </w:r>
      <w:proofErr w:type="gramEnd"/>
      <w:r w:rsidRPr="007576F0">
        <w:rPr>
          <w:rFonts w:ascii="標楷體" w:eastAsia="標楷體" w:hAnsi="標楷體"/>
          <w:szCs w:val="24"/>
        </w:rPr>
        <w:t>，不得申請給付</w:t>
      </w:r>
      <w:proofErr w:type="spellStart"/>
      <w:r w:rsidRPr="007576F0">
        <w:rPr>
          <w:rFonts w:ascii="標楷體" w:eastAsia="標楷體" w:hAnsi="標楷體"/>
          <w:szCs w:val="24"/>
        </w:rPr>
        <w:t>inotuzumab</w:t>
      </w:r>
      <w:proofErr w:type="spellEnd"/>
      <w:r w:rsidRPr="007576F0">
        <w:rPr>
          <w:rFonts w:ascii="標楷體" w:eastAsia="標楷體" w:hAnsi="標楷體"/>
          <w:szCs w:val="24"/>
        </w:rPr>
        <w:t xml:space="preserve"> </w:t>
      </w:r>
      <w:proofErr w:type="spellStart"/>
      <w:r w:rsidRPr="007576F0">
        <w:rPr>
          <w:rFonts w:ascii="標楷體" w:eastAsia="標楷體" w:hAnsi="標楷體"/>
          <w:szCs w:val="24"/>
        </w:rPr>
        <w:t>ozogamicin</w:t>
      </w:r>
      <w:proofErr w:type="spellEnd"/>
      <w:r w:rsidRPr="007576F0">
        <w:rPr>
          <w:rFonts w:ascii="標楷體" w:eastAsia="標楷體" w:hAnsi="標楷體"/>
          <w:szCs w:val="24"/>
        </w:rPr>
        <w:t>。</w:t>
      </w:r>
    </w:p>
    <w:p w14:paraId="4E3100B6" w14:textId="77777777" w:rsidR="007576F0" w:rsidRPr="007576F0" w:rsidRDefault="007576F0" w:rsidP="007576F0">
      <w:pPr>
        <w:spacing w:line="300" w:lineRule="exact"/>
        <w:ind w:left="1073" w:hanging="353"/>
      </w:pPr>
      <w:r w:rsidRPr="007576F0">
        <w:rPr>
          <w:rFonts w:ascii="標楷體" w:eastAsia="標楷體" w:hAnsi="標楷體"/>
          <w:szCs w:val="24"/>
        </w:rPr>
        <w:t>(6)每位病人限給付2療程</w:t>
      </w:r>
      <w:r w:rsidRPr="007576F0">
        <w:rPr>
          <w:rFonts w:ascii="新細明體" w:hAnsi="新細明體"/>
          <w:szCs w:val="24"/>
        </w:rPr>
        <w:t>（</w:t>
      </w:r>
      <w:r w:rsidRPr="007576F0">
        <w:rPr>
          <w:rFonts w:ascii="標楷體" w:eastAsia="標楷體" w:hAnsi="標楷體"/>
          <w:szCs w:val="24"/>
        </w:rPr>
        <w:t>56支</w:t>
      </w:r>
      <w:r w:rsidRPr="007576F0">
        <w:rPr>
          <w:rFonts w:ascii="新細明體" w:hAnsi="新細明體"/>
          <w:szCs w:val="24"/>
        </w:rPr>
        <w:t>）</w:t>
      </w:r>
      <w:r w:rsidRPr="007576F0">
        <w:rPr>
          <w:rFonts w:ascii="標楷體" w:eastAsia="標楷體" w:hAnsi="標楷體"/>
          <w:szCs w:val="24"/>
        </w:rPr>
        <w:t>。</w:t>
      </w:r>
    </w:p>
    <w:p w14:paraId="48F51371"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4.</w:t>
      </w:r>
      <w:r w:rsidRPr="007576F0">
        <w:rPr>
          <w:rFonts w:ascii="標楷體" w:eastAsia="標楷體" w:hAnsi="標楷體"/>
          <w:color w:val="000000"/>
        </w:rPr>
        <w:tab/>
        <w:t>須事前審查核准後使用，申請時須檢附完整之造血幹細胞移植計畫，並詳細記載確認捐贈者名單、確認移植之執行醫院及移植前調適治療等資料。</w:t>
      </w:r>
    </w:p>
    <w:p w14:paraId="7CF7C145" w14:textId="77777777" w:rsidR="007576F0" w:rsidRPr="007576F0" w:rsidRDefault="007576F0" w:rsidP="007576F0">
      <w:pPr>
        <w:tabs>
          <w:tab w:val="left" w:pos="1418"/>
        </w:tabs>
        <w:spacing w:line="300" w:lineRule="exact"/>
        <w:ind w:left="811" w:hanging="245"/>
      </w:pPr>
      <w:r w:rsidRPr="007576F0">
        <w:rPr>
          <w:rFonts w:ascii="標楷體" w:eastAsia="標楷體" w:hAnsi="標楷體"/>
          <w:szCs w:val="24"/>
        </w:rPr>
        <w:t>5.病人已依前述第3項獲得給付治療者，不得再申請前述之第1、2項給付治療。(112</w:t>
      </w:r>
      <w:r w:rsidRPr="007576F0">
        <w:rPr>
          <w:rFonts w:ascii="標楷體" w:eastAsia="標楷體" w:hAnsi="標楷體"/>
          <w:bCs/>
          <w:szCs w:val="24"/>
        </w:rPr>
        <w:t>/12/1</w:t>
      </w:r>
      <w:r w:rsidRPr="007576F0">
        <w:rPr>
          <w:rFonts w:ascii="標楷體" w:eastAsia="標楷體" w:hAnsi="標楷體"/>
          <w:szCs w:val="24"/>
        </w:rPr>
        <w:t>)</w:t>
      </w:r>
    </w:p>
    <w:p w14:paraId="47BE717F" w14:textId="77777777" w:rsidR="007576F0" w:rsidRPr="007576F0" w:rsidRDefault="007576F0" w:rsidP="007576F0">
      <w:pPr>
        <w:tabs>
          <w:tab w:val="left" w:pos="1418"/>
        </w:tabs>
        <w:spacing w:line="300" w:lineRule="exact"/>
        <w:ind w:left="567" w:hanging="245"/>
        <w:rPr>
          <w:rFonts w:ascii="標楷體" w:eastAsia="標楷體" w:hAnsi="標楷體"/>
          <w:color w:val="000000"/>
        </w:rPr>
      </w:pPr>
      <w:r w:rsidRPr="007576F0">
        <w:rPr>
          <w:rFonts w:ascii="標楷體" w:eastAsia="標楷體" w:hAnsi="標楷體"/>
          <w:color w:val="000000"/>
        </w:rPr>
        <w:t>9.65.Pralatrexate(如</w:t>
      </w:r>
      <w:proofErr w:type="spellStart"/>
      <w:r w:rsidRPr="007576F0">
        <w:rPr>
          <w:rFonts w:ascii="標楷體" w:eastAsia="標楷體" w:hAnsi="標楷體"/>
          <w:color w:val="000000"/>
        </w:rPr>
        <w:t>Folotyn</w:t>
      </w:r>
      <w:proofErr w:type="spellEnd"/>
      <w:r w:rsidRPr="007576F0">
        <w:rPr>
          <w:rFonts w:ascii="標楷體" w:eastAsia="標楷體" w:hAnsi="標楷體"/>
          <w:color w:val="000000"/>
        </w:rPr>
        <w:t>)：(107/10/1、110/5/1)</w:t>
      </w:r>
    </w:p>
    <w:p w14:paraId="7014F1AC"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1.用於接受化學治療失敗後之復發或頑固性周邊T細胞淋巴瘤(PTCL)病患，作為進行骨髓/造血幹細胞移植期間之銜接治療。</w:t>
      </w:r>
    </w:p>
    <w:p w14:paraId="6E8839D5"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2.需經事前審查核准後使用，初次申請時應檢附移植計劃資料。</w:t>
      </w:r>
    </w:p>
    <w:p w14:paraId="7B1FA560"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3.每人至多給付3個療程，第1個療程後需進行疾病評估，若病情仍持續惡化，應即停止使用。（110/5/1）</w:t>
      </w:r>
    </w:p>
    <w:p w14:paraId="08183D9A" w14:textId="77777777" w:rsidR="007576F0" w:rsidRPr="007576F0" w:rsidRDefault="007576F0" w:rsidP="007576F0">
      <w:pPr>
        <w:tabs>
          <w:tab w:val="left" w:pos="1418"/>
        </w:tabs>
        <w:spacing w:line="300" w:lineRule="exact"/>
        <w:ind w:left="567" w:hanging="245"/>
      </w:pPr>
      <w:r w:rsidRPr="007576F0">
        <w:rPr>
          <w:rFonts w:ascii="標楷體" w:eastAsia="標楷體" w:hAnsi="標楷體"/>
        </w:rPr>
        <w:t>9.66.</w:t>
      </w:r>
      <w:r w:rsidRPr="007576F0">
        <w:rPr>
          <w:rFonts w:ascii="標楷體" w:eastAsia="標楷體" w:hAnsi="標楷體"/>
          <w:color w:val="000000"/>
        </w:rPr>
        <w:t>Trifluridine</w:t>
      </w:r>
      <w:r w:rsidRPr="007576F0">
        <w:rPr>
          <w:rFonts w:ascii="標楷體" w:eastAsia="標楷體" w:hAnsi="標楷體"/>
        </w:rPr>
        <w:t>/</w:t>
      </w:r>
      <w:proofErr w:type="spellStart"/>
      <w:r w:rsidRPr="007576F0">
        <w:rPr>
          <w:rFonts w:ascii="標楷體" w:eastAsia="標楷體" w:hAnsi="標楷體"/>
        </w:rPr>
        <w:t>tipiracil</w:t>
      </w:r>
      <w:proofErr w:type="spellEnd"/>
      <w:r w:rsidRPr="007576F0">
        <w:rPr>
          <w:rFonts w:ascii="標楷體" w:eastAsia="標楷體" w:hAnsi="標楷體"/>
        </w:rPr>
        <w:t>(如</w:t>
      </w:r>
      <w:proofErr w:type="spellStart"/>
      <w:r w:rsidRPr="007576F0">
        <w:rPr>
          <w:rFonts w:ascii="標楷體" w:eastAsia="標楷體" w:hAnsi="標楷體"/>
        </w:rPr>
        <w:t>Lonsurf</w:t>
      </w:r>
      <w:proofErr w:type="spellEnd"/>
      <w:r w:rsidRPr="007576F0">
        <w:rPr>
          <w:rFonts w:ascii="標楷體" w:eastAsia="標楷體" w:hAnsi="標楷體"/>
        </w:rPr>
        <w:t>)：(107/12/1、109/12/1、110/6/1、113/6/1、115/2/1、115/6/1)</w:t>
      </w:r>
    </w:p>
    <w:p w14:paraId="24FFFBD0" w14:textId="77777777" w:rsidR="007576F0" w:rsidRPr="007576F0" w:rsidRDefault="007576F0" w:rsidP="007576F0">
      <w:pPr>
        <w:tabs>
          <w:tab w:val="left" w:pos="1418"/>
        </w:tabs>
        <w:spacing w:line="300" w:lineRule="exact"/>
        <w:ind w:left="811" w:hanging="245"/>
      </w:pPr>
      <w:r w:rsidRPr="007576F0">
        <w:rPr>
          <w:rFonts w:ascii="標楷體" w:eastAsia="標楷體" w:hAnsi="標楷體"/>
        </w:rPr>
        <w:t>1.轉移性</w:t>
      </w:r>
      <w:r w:rsidRPr="007576F0">
        <w:rPr>
          <w:rFonts w:ascii="標楷體" w:eastAsia="標楷體" w:hAnsi="標楷體"/>
          <w:color w:val="000000"/>
        </w:rPr>
        <w:t>大腸</w:t>
      </w:r>
      <w:r w:rsidRPr="007576F0">
        <w:rPr>
          <w:rFonts w:ascii="標楷體" w:eastAsia="標楷體" w:hAnsi="標楷體"/>
        </w:rPr>
        <w:t xml:space="preserve">直腸癌：(107/12/1、109/12/1、110/6/1、113/6/1、115/2/1、115/6/1) </w:t>
      </w:r>
    </w:p>
    <w:p w14:paraId="0B6C1D41" w14:textId="77777777" w:rsidR="007576F0" w:rsidRPr="007576F0" w:rsidRDefault="007576F0" w:rsidP="007576F0">
      <w:pPr>
        <w:spacing w:line="300" w:lineRule="exact"/>
        <w:ind w:left="1073" w:hanging="353"/>
        <w:rPr>
          <w:rFonts w:ascii="標楷體" w:eastAsia="標楷體" w:hAnsi="標楷體"/>
          <w:szCs w:val="24"/>
        </w:rPr>
      </w:pPr>
      <w:r w:rsidRPr="007576F0">
        <w:rPr>
          <w:rFonts w:ascii="標楷體" w:eastAsia="標楷體" w:hAnsi="標楷體"/>
        </w:rPr>
        <w:t>(</w:t>
      </w:r>
      <w:r w:rsidRPr="007576F0">
        <w:rPr>
          <w:rFonts w:ascii="標楷體" w:eastAsia="標楷體" w:hAnsi="標楷體"/>
          <w:szCs w:val="24"/>
        </w:rPr>
        <w:t>1)用於治療先前曾接受下列療法的轉移性大腸直腸癌之成人病人，包括fluoropyrimidine, oxaliplatin及irinotecan為基礎的化療，和抗血管內皮生長因子(anti-VEGF)等療法；若RAS為</w:t>
      </w:r>
      <w:proofErr w:type="gramStart"/>
      <w:r w:rsidRPr="007576F0">
        <w:rPr>
          <w:rFonts w:ascii="標楷體" w:eastAsia="標楷體" w:hAnsi="標楷體"/>
          <w:szCs w:val="24"/>
        </w:rPr>
        <w:t>原生型</w:t>
      </w:r>
      <w:proofErr w:type="gramEnd"/>
      <w:r w:rsidRPr="007576F0">
        <w:rPr>
          <w:rFonts w:ascii="標楷體" w:eastAsia="標楷體" w:hAnsi="標楷體"/>
          <w:szCs w:val="24"/>
        </w:rPr>
        <w:t>(wild type)，則需再加上</w:t>
      </w:r>
      <w:proofErr w:type="gramStart"/>
      <w:r w:rsidRPr="007576F0">
        <w:rPr>
          <w:rFonts w:ascii="標楷體" w:eastAsia="標楷體" w:hAnsi="標楷體"/>
          <w:szCs w:val="24"/>
        </w:rPr>
        <w:t>接受過抗表皮</w:t>
      </w:r>
      <w:proofErr w:type="gramEnd"/>
      <w:r w:rsidRPr="007576F0">
        <w:rPr>
          <w:rFonts w:ascii="標楷體" w:eastAsia="標楷體" w:hAnsi="標楷體"/>
          <w:szCs w:val="24"/>
        </w:rPr>
        <w:t>生長因子受體(anti-EGFR)療法。需檢附All-RAS基因突變分析檢測結果報告，且需符合全民健康保險藥品給付規定之通則十二。</w:t>
      </w:r>
      <w:proofErr w:type="gramStart"/>
      <w:r w:rsidRPr="007576F0">
        <w:rPr>
          <w:rFonts w:ascii="標楷體" w:eastAsia="標楷體" w:hAnsi="標楷體"/>
          <w:szCs w:val="24"/>
        </w:rPr>
        <w:t>（</w:t>
      </w:r>
      <w:proofErr w:type="gramEnd"/>
      <w:r w:rsidRPr="007576F0">
        <w:rPr>
          <w:rFonts w:ascii="標楷體" w:eastAsia="標楷體" w:hAnsi="標楷體"/>
          <w:szCs w:val="24"/>
        </w:rPr>
        <w:t>110/6/1、113/6/1)</w:t>
      </w:r>
    </w:p>
    <w:p w14:paraId="4DAAED0D" w14:textId="77777777" w:rsidR="007576F0" w:rsidRPr="007576F0" w:rsidRDefault="007576F0" w:rsidP="007576F0">
      <w:pPr>
        <w:spacing w:line="300" w:lineRule="exact"/>
        <w:ind w:left="1073" w:hanging="353"/>
      </w:pPr>
      <w:r w:rsidRPr="007576F0">
        <w:rPr>
          <w:rFonts w:ascii="標楷體" w:eastAsia="標楷體" w:hAnsi="標楷體"/>
          <w:szCs w:val="24"/>
        </w:rPr>
        <w:t>(2)本藥品不得</w:t>
      </w:r>
      <w:r w:rsidRPr="007576F0">
        <w:rPr>
          <w:rFonts w:ascii="標楷體" w:eastAsia="標楷體" w:hAnsi="標楷體"/>
        </w:rPr>
        <w:t>與regorafenib或</w:t>
      </w:r>
      <w:proofErr w:type="spellStart"/>
      <w:r w:rsidRPr="007576F0">
        <w:rPr>
          <w:rFonts w:ascii="標楷體" w:eastAsia="標楷體" w:hAnsi="標楷體"/>
        </w:rPr>
        <w:t>fruquintinib</w:t>
      </w:r>
      <w:proofErr w:type="spellEnd"/>
      <w:proofErr w:type="gramStart"/>
      <w:r w:rsidRPr="007576F0">
        <w:rPr>
          <w:rFonts w:ascii="標楷體" w:eastAsia="標楷體" w:hAnsi="標楷體"/>
        </w:rPr>
        <w:t>併</w:t>
      </w:r>
      <w:proofErr w:type="gramEnd"/>
      <w:r w:rsidRPr="007576F0">
        <w:rPr>
          <w:rFonts w:ascii="標楷體" w:eastAsia="標楷體" w:hAnsi="標楷體"/>
        </w:rPr>
        <w:t>用。(107/12/1、115/6/1</w:t>
      </w:r>
      <w:proofErr w:type="gramStart"/>
      <w:r w:rsidRPr="007576F0">
        <w:rPr>
          <w:rFonts w:ascii="標楷體" w:eastAsia="標楷體" w:hAnsi="標楷體"/>
        </w:rPr>
        <w:t>）</w:t>
      </w:r>
      <w:proofErr w:type="gramEnd"/>
    </w:p>
    <w:p w14:paraId="3154EC88"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2.轉移性胃癌：(109/12/1、115/2/1)：用於治療先前曾接受兩種(含)以上治療（包括含fluoropyrimidine</w:t>
      </w:r>
      <w:proofErr w:type="gramStart"/>
      <w:r w:rsidRPr="007576F0">
        <w:rPr>
          <w:rFonts w:ascii="標楷體" w:eastAsia="標楷體" w:hAnsi="標楷體"/>
          <w:color w:val="000000"/>
        </w:rPr>
        <w:t>–</w:t>
      </w:r>
      <w:proofErr w:type="gramEnd"/>
      <w:r w:rsidRPr="007576F0">
        <w:rPr>
          <w:rFonts w:ascii="標楷體" w:eastAsia="標楷體" w:hAnsi="標楷體"/>
          <w:color w:val="000000"/>
        </w:rPr>
        <w:t>、platinum</w:t>
      </w:r>
      <w:proofErr w:type="gramStart"/>
      <w:r w:rsidRPr="007576F0">
        <w:rPr>
          <w:rFonts w:ascii="標楷體" w:eastAsia="標楷體" w:hAnsi="標楷體"/>
          <w:color w:val="000000"/>
        </w:rPr>
        <w:t>–</w:t>
      </w:r>
      <w:proofErr w:type="gramEnd"/>
      <w:r w:rsidRPr="007576F0">
        <w:rPr>
          <w:rFonts w:ascii="標楷體" w:eastAsia="標楷體" w:hAnsi="標楷體"/>
          <w:color w:val="000000"/>
        </w:rPr>
        <w:t>、</w:t>
      </w:r>
      <w:proofErr w:type="spellStart"/>
      <w:r w:rsidRPr="007576F0">
        <w:rPr>
          <w:rFonts w:ascii="標楷體" w:eastAsia="標楷體" w:hAnsi="標楷體"/>
          <w:color w:val="000000"/>
        </w:rPr>
        <w:t>taxane</w:t>
      </w:r>
      <w:proofErr w:type="spellEnd"/>
      <w:proofErr w:type="gramStart"/>
      <w:r w:rsidRPr="007576F0">
        <w:rPr>
          <w:rFonts w:ascii="標楷體" w:eastAsia="標楷體" w:hAnsi="標楷體"/>
          <w:color w:val="000000"/>
        </w:rPr>
        <w:t>–</w:t>
      </w:r>
      <w:proofErr w:type="gramEnd"/>
      <w:r w:rsidRPr="007576F0">
        <w:rPr>
          <w:rFonts w:ascii="標楷體" w:eastAsia="標楷體" w:hAnsi="標楷體"/>
          <w:color w:val="000000"/>
        </w:rPr>
        <w:t>或 irinotecan為基礎的化學療法，以及HER2/neu標靶治療[如果適合]）的轉移性</w:t>
      </w:r>
      <w:proofErr w:type="gramStart"/>
      <w:r w:rsidRPr="007576F0">
        <w:rPr>
          <w:rFonts w:ascii="標楷體" w:eastAsia="標楷體" w:hAnsi="標楷體"/>
          <w:color w:val="000000"/>
        </w:rPr>
        <w:t>胃腺癌或胃</w:t>
      </w:r>
      <w:proofErr w:type="gramEnd"/>
      <w:r w:rsidRPr="007576F0">
        <w:rPr>
          <w:rFonts w:ascii="標楷體" w:eastAsia="標楷體" w:hAnsi="標楷體"/>
          <w:color w:val="000000"/>
        </w:rPr>
        <w:t>食道</w:t>
      </w:r>
      <w:proofErr w:type="gramStart"/>
      <w:r w:rsidRPr="007576F0">
        <w:rPr>
          <w:rFonts w:ascii="標楷體" w:eastAsia="標楷體" w:hAnsi="標楷體"/>
          <w:color w:val="000000"/>
        </w:rPr>
        <w:t>接合處腺癌</w:t>
      </w:r>
      <w:proofErr w:type="gramEnd"/>
      <w:r w:rsidRPr="007576F0">
        <w:rPr>
          <w:rFonts w:ascii="標楷體" w:eastAsia="標楷體" w:hAnsi="標楷體"/>
          <w:color w:val="000000"/>
        </w:rPr>
        <w:t>病人。</w:t>
      </w:r>
    </w:p>
    <w:p w14:paraId="2202EAF6" w14:textId="77777777" w:rsidR="007576F0" w:rsidRPr="007576F0" w:rsidRDefault="007576F0" w:rsidP="007576F0">
      <w:pPr>
        <w:tabs>
          <w:tab w:val="left" w:pos="1418"/>
        </w:tabs>
        <w:spacing w:line="300" w:lineRule="exact"/>
        <w:ind w:left="993" w:hanging="388"/>
        <w:rPr>
          <w:rFonts w:ascii="標楷體" w:eastAsia="標楷體" w:hAnsi="標楷體"/>
          <w:color w:val="000000"/>
        </w:rPr>
      </w:pPr>
      <w:r w:rsidRPr="007576F0">
        <w:rPr>
          <w:rFonts w:ascii="標楷體" w:eastAsia="標楷體" w:hAnsi="標楷體" w:hint="eastAsia"/>
          <w:color w:val="000000"/>
        </w:rPr>
        <w:t>3.</w:t>
      </w:r>
      <w:r w:rsidRPr="007576F0">
        <w:rPr>
          <w:rFonts w:ascii="標楷體" w:eastAsia="標楷體" w:hAnsi="標楷體"/>
          <w:color w:val="000000"/>
        </w:rPr>
        <w:t>病歷應留存確診之病理或檢查報告及影像診斷證明等，並紀錄治療相關臨床資料，以備查核。倘病人臨床症狀或影像顯示疾病惡化，則應停藥。(115/2/1)</w:t>
      </w:r>
    </w:p>
    <w:p w14:paraId="64FC92C4" w14:textId="77777777" w:rsidR="007576F0" w:rsidRPr="007576F0" w:rsidRDefault="007576F0" w:rsidP="007576F0">
      <w:pPr>
        <w:tabs>
          <w:tab w:val="left" w:pos="1418"/>
        </w:tabs>
        <w:spacing w:line="300" w:lineRule="exact"/>
        <w:ind w:left="895" w:hanging="612"/>
        <w:rPr>
          <w:rFonts w:ascii="標楷體" w:eastAsia="標楷體" w:hAnsi="標楷體"/>
          <w:color w:val="000000"/>
        </w:rPr>
      </w:pPr>
      <w:r w:rsidRPr="007576F0">
        <w:rPr>
          <w:rFonts w:ascii="標楷體" w:eastAsia="標楷體" w:hAnsi="標楷體"/>
          <w:color w:val="000000"/>
        </w:rPr>
        <w:t>9.67.Ponatinib(如</w:t>
      </w:r>
      <w:proofErr w:type="spellStart"/>
      <w:r w:rsidRPr="007576F0">
        <w:rPr>
          <w:rFonts w:ascii="標楷體" w:eastAsia="標楷體" w:hAnsi="標楷體"/>
          <w:color w:val="000000"/>
        </w:rPr>
        <w:t>Iclusig</w:t>
      </w:r>
      <w:proofErr w:type="spellEnd"/>
      <w:r w:rsidRPr="007576F0">
        <w:rPr>
          <w:rFonts w:ascii="標楷體" w:eastAsia="標楷體" w:hAnsi="標楷體"/>
          <w:color w:val="000000"/>
        </w:rPr>
        <w:t>)：(107/12/1、113/6/1</w:t>
      </w:r>
      <w:r w:rsidRPr="007576F0">
        <w:rPr>
          <w:rFonts w:ascii="標楷體" w:eastAsia="標楷體" w:hAnsi="標楷體" w:hint="eastAsia"/>
          <w:color w:val="000000"/>
        </w:rPr>
        <w:t>、115/2/1</w:t>
      </w:r>
      <w:r w:rsidRPr="007576F0">
        <w:rPr>
          <w:rFonts w:ascii="標楷體" w:eastAsia="標楷體" w:hAnsi="標楷體"/>
          <w:color w:val="000000"/>
        </w:rPr>
        <w:t>)</w:t>
      </w:r>
    </w:p>
    <w:p w14:paraId="48975A45"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1.用於費城染色體陽性或BCR-ABL融合基因陽性之慢性骨髓性白血病(CML)或急性淋巴性白血病(ALL)成人患者，且符合下列條件之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w:t>
      </w:r>
    </w:p>
    <w:p w14:paraId="716EE693"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(1).具有T315I突變者；</w:t>
      </w:r>
    </w:p>
    <w:p w14:paraId="4690899E"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(2).加速期或急性期之慢性骨髓性白血病(CML)患者，先前曾使用imatinib、nilotinib</w:t>
      </w:r>
      <w:r w:rsidRPr="007576F0">
        <w:rPr>
          <w:rFonts w:ascii="標楷體" w:eastAsia="標楷體" w:hAnsi="標楷體" w:hint="eastAsia"/>
          <w:color w:val="000000"/>
        </w:rPr>
        <w:t>、</w:t>
      </w:r>
      <w:proofErr w:type="spellStart"/>
      <w:r w:rsidRPr="007576F0">
        <w:rPr>
          <w:rFonts w:ascii="標楷體" w:eastAsia="標楷體" w:hAnsi="標楷體"/>
          <w:color w:val="000000"/>
        </w:rPr>
        <w:t>dasatinib</w:t>
      </w:r>
      <w:proofErr w:type="spellEnd"/>
      <w:r w:rsidRPr="007576F0">
        <w:rPr>
          <w:rFonts w:ascii="標楷體" w:eastAsia="標楷體" w:hAnsi="標楷體" w:hint="eastAsia"/>
          <w:color w:val="000000"/>
        </w:rPr>
        <w:t>與bosutinib</w:t>
      </w:r>
      <w:r w:rsidRPr="007576F0">
        <w:rPr>
          <w:rFonts w:ascii="標楷體" w:eastAsia="標楷體" w:hAnsi="標楷體"/>
          <w:color w:val="000000"/>
        </w:rPr>
        <w:t>其中兩種(含)以上藥物治療失敗或無法耐受；</w:t>
      </w:r>
      <w:bookmarkStart w:id="51" w:name="_Hlk219965782"/>
      <w:r w:rsidRPr="007576F0">
        <w:rPr>
          <w:rFonts w:ascii="標楷體" w:eastAsia="標楷體" w:hAnsi="標楷體" w:hint="eastAsia"/>
          <w:color w:val="000000"/>
        </w:rPr>
        <w:t>(107/12/1、115/2/1)</w:t>
      </w:r>
      <w:bookmarkEnd w:id="51"/>
    </w:p>
    <w:p w14:paraId="31FC41C0"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(3).急性淋巴性白血病(ALL)患者，先前曾使用imatinib與</w:t>
      </w:r>
      <w:proofErr w:type="spellStart"/>
      <w:r w:rsidRPr="007576F0">
        <w:rPr>
          <w:rFonts w:ascii="標楷體" w:eastAsia="標楷體" w:hAnsi="標楷體"/>
          <w:color w:val="000000"/>
        </w:rPr>
        <w:t>dasatinib</w:t>
      </w:r>
      <w:proofErr w:type="spellEnd"/>
      <w:r w:rsidRPr="007576F0">
        <w:rPr>
          <w:rFonts w:ascii="標楷體" w:eastAsia="標楷體" w:hAnsi="標楷體"/>
          <w:color w:val="000000"/>
        </w:rPr>
        <w:t>兩種藥物治療均失敗或無法耐受。</w:t>
      </w:r>
    </w:p>
    <w:p w14:paraId="357323F0"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2.需經事前審查核准後使用。首次申請事前審查之療程以3個月為限，之後每3個月需再次申請，再次申請時應檢附前次治療結果評估資料，包含BCR-ABL定量RT-PCR報告。</w:t>
      </w:r>
    </w:p>
    <w:p w14:paraId="1D368914"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3.若使用後未出現治療反應、無法耐受藥物副作用或疾病進展，則必須停止使用。</w:t>
      </w:r>
    </w:p>
    <w:p w14:paraId="50358467"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4.1~3項規定內之疾病診斷或追蹤若需依據基因檢測報告，則需符合全民健康保險藥品</w:t>
      </w:r>
      <w:r w:rsidRPr="007576F0">
        <w:rPr>
          <w:rFonts w:ascii="標楷體" w:eastAsia="標楷體" w:hAnsi="標楷體"/>
          <w:color w:val="000000"/>
        </w:rPr>
        <w:lastRenderedPageBreak/>
        <w:t>給付規定之通則十二。(113/6/1)</w:t>
      </w:r>
    </w:p>
    <w:p w14:paraId="30254FD7" w14:textId="77777777" w:rsidR="007576F0" w:rsidRPr="007576F0" w:rsidRDefault="007576F0" w:rsidP="007576F0">
      <w:pPr>
        <w:spacing w:line="300" w:lineRule="exact"/>
        <w:ind w:left="566" w:hanging="283"/>
        <w:rPr>
          <w:rFonts w:ascii="標楷體" w:eastAsia="標楷體" w:hAnsi="標楷體"/>
          <w:color w:val="000000"/>
        </w:rPr>
      </w:pPr>
      <w:r w:rsidRPr="007576F0">
        <w:rPr>
          <w:rFonts w:ascii="標楷體" w:eastAsia="標楷體" w:hAnsi="標楷體"/>
          <w:color w:val="000000"/>
        </w:rPr>
        <w:t>9.68.Radium-223(如</w:t>
      </w:r>
      <w:proofErr w:type="spellStart"/>
      <w:r w:rsidRPr="007576F0">
        <w:rPr>
          <w:rFonts w:ascii="標楷體" w:eastAsia="標楷體" w:hAnsi="標楷體"/>
          <w:color w:val="000000"/>
        </w:rPr>
        <w:t>Xofigo</w:t>
      </w:r>
      <w:proofErr w:type="spellEnd"/>
      <w:r w:rsidRPr="007576F0">
        <w:rPr>
          <w:rFonts w:ascii="標楷體" w:eastAsia="標楷體" w:hAnsi="標楷體"/>
          <w:color w:val="000000"/>
        </w:rPr>
        <w:t>)：(108/3/1)</w:t>
      </w:r>
    </w:p>
    <w:p w14:paraId="2274BE94" w14:textId="77777777" w:rsidR="007576F0" w:rsidRPr="007576F0" w:rsidRDefault="007576F0" w:rsidP="007576F0">
      <w:pPr>
        <w:tabs>
          <w:tab w:val="left" w:pos="1418"/>
        </w:tabs>
        <w:spacing w:line="300" w:lineRule="exact"/>
        <w:ind w:left="426" w:hanging="1"/>
        <w:rPr>
          <w:rFonts w:ascii="標楷體" w:eastAsia="標楷體" w:hAnsi="標楷體"/>
          <w:color w:val="000000"/>
        </w:rPr>
      </w:pPr>
      <w:r w:rsidRPr="007576F0">
        <w:rPr>
          <w:rFonts w:ascii="標楷體" w:eastAsia="標楷體" w:hAnsi="標楷體"/>
          <w:color w:val="000000"/>
        </w:rPr>
        <w:t>限用於治療去勢抗性攝護腺癌(castration-resistant prostate cancer)病患，其合併有症狀的骨轉移且尚未有臟器轉移者，且病人須符合下列三項條件：</w:t>
      </w:r>
    </w:p>
    <w:p w14:paraId="73BFF493"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color w:val="000000"/>
        </w:rPr>
        <w:tab/>
        <w:t>患者須合併有症狀之骨轉移</w:t>
      </w:r>
      <w:proofErr w:type="gramStart"/>
      <w:r w:rsidRPr="007576F0">
        <w:rPr>
          <w:rFonts w:ascii="標楷體" w:eastAsia="標楷體" w:hAnsi="標楷體"/>
          <w:color w:val="000000"/>
        </w:rPr>
        <w:t>且骨轉移≧</w:t>
      </w:r>
      <w:proofErr w:type="gramEnd"/>
      <w:r w:rsidRPr="007576F0">
        <w:rPr>
          <w:rFonts w:ascii="標楷體" w:eastAsia="標楷體" w:hAnsi="標楷體"/>
          <w:color w:val="000000"/>
        </w:rPr>
        <w:t>2處</w:t>
      </w:r>
    </w:p>
    <w:p w14:paraId="2616B02D"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color w:val="000000"/>
        </w:rPr>
        <w:tab/>
        <w:t>每位患者最高使用六個療程</w:t>
      </w:r>
    </w:p>
    <w:p w14:paraId="4F718317"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3.</w:t>
      </w:r>
      <w:r w:rsidRPr="007576F0">
        <w:rPr>
          <w:rFonts w:ascii="標楷體" w:eastAsia="標楷體" w:hAnsi="標楷體"/>
          <w:color w:val="000000"/>
        </w:rPr>
        <w:tab/>
        <w:t>須經事前審查核准後使用，申請時需檢</w:t>
      </w:r>
      <w:proofErr w:type="gramStart"/>
      <w:r w:rsidRPr="007576F0">
        <w:rPr>
          <w:rFonts w:ascii="標楷體" w:eastAsia="標楷體" w:hAnsi="標楷體"/>
          <w:color w:val="000000"/>
        </w:rPr>
        <w:t>附</w:t>
      </w:r>
      <w:proofErr w:type="gramEnd"/>
      <w:r w:rsidRPr="007576F0">
        <w:rPr>
          <w:rFonts w:ascii="標楷體" w:eastAsia="標楷體" w:hAnsi="標楷體"/>
          <w:color w:val="000000"/>
        </w:rPr>
        <w:t>：</w:t>
      </w:r>
    </w:p>
    <w:p w14:paraId="50BEF3E7" w14:textId="77777777" w:rsidR="007576F0" w:rsidRPr="007576F0" w:rsidRDefault="007576F0" w:rsidP="007576F0">
      <w:pPr>
        <w:tabs>
          <w:tab w:val="left" w:pos="1185"/>
        </w:tabs>
        <w:spacing w:line="300" w:lineRule="exact"/>
        <w:ind w:left="1051" w:hanging="24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color w:val="000000"/>
        </w:rPr>
        <w:tab/>
        <w:t>.用藥紀錄(證明為有症狀的骨轉移、需常規使用止痛藥物)</w:t>
      </w:r>
    </w:p>
    <w:p w14:paraId="489FC9FF" w14:textId="77777777" w:rsidR="007576F0" w:rsidRPr="007576F0" w:rsidRDefault="007576F0" w:rsidP="007576F0">
      <w:pPr>
        <w:tabs>
          <w:tab w:val="left" w:pos="1185"/>
        </w:tabs>
        <w:spacing w:line="300" w:lineRule="exact"/>
        <w:ind w:left="1051" w:hanging="245"/>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color w:val="000000"/>
        </w:rPr>
        <w:tab/>
        <w:t>.三個月內影像報告證明骨轉移</w:t>
      </w:r>
      <w:proofErr w:type="gramStart"/>
      <w:r w:rsidRPr="007576F0">
        <w:rPr>
          <w:rFonts w:ascii="標楷體" w:eastAsia="標楷體" w:hAnsi="標楷體"/>
          <w:color w:val="000000"/>
        </w:rPr>
        <w:t>≧</w:t>
      </w:r>
      <w:proofErr w:type="gramEnd"/>
      <w:r w:rsidRPr="007576F0">
        <w:rPr>
          <w:rFonts w:ascii="標楷體" w:eastAsia="標楷體" w:hAnsi="標楷體"/>
          <w:color w:val="000000"/>
        </w:rPr>
        <w:t>2處</w:t>
      </w:r>
    </w:p>
    <w:p w14:paraId="351516C0" w14:textId="77777777" w:rsidR="007576F0" w:rsidRPr="007576F0" w:rsidRDefault="007576F0" w:rsidP="007576F0">
      <w:pPr>
        <w:tabs>
          <w:tab w:val="left" w:pos="1185"/>
        </w:tabs>
        <w:spacing w:line="300" w:lineRule="exact"/>
        <w:ind w:left="1051" w:hanging="245"/>
        <w:rPr>
          <w:rFonts w:ascii="標楷體" w:eastAsia="標楷體" w:hAnsi="標楷體"/>
          <w:color w:val="000000"/>
        </w:rPr>
      </w:pPr>
      <w:r w:rsidRPr="007576F0">
        <w:rPr>
          <w:rFonts w:ascii="標楷體" w:eastAsia="標楷體" w:hAnsi="標楷體"/>
          <w:color w:val="000000"/>
        </w:rPr>
        <w:t>(3)</w:t>
      </w:r>
      <w:r w:rsidRPr="007576F0">
        <w:rPr>
          <w:rFonts w:ascii="標楷體" w:eastAsia="標楷體" w:hAnsi="標楷體"/>
          <w:color w:val="000000"/>
        </w:rPr>
        <w:tab/>
        <w:t>.三個月內影像報告證明無臟器轉移</w:t>
      </w:r>
    </w:p>
    <w:p w14:paraId="051698CC" w14:textId="77777777" w:rsidR="007576F0" w:rsidRPr="007576F0" w:rsidRDefault="007576F0" w:rsidP="007576F0">
      <w:pPr>
        <w:tabs>
          <w:tab w:val="left" w:pos="1418"/>
        </w:tabs>
        <w:spacing w:line="300" w:lineRule="exact"/>
        <w:ind w:left="811" w:hanging="245"/>
        <w:rPr>
          <w:rFonts w:ascii="標楷體" w:eastAsia="標楷體" w:hAnsi="標楷體"/>
          <w:color w:val="000000"/>
        </w:rPr>
      </w:pPr>
      <w:r w:rsidRPr="007576F0">
        <w:rPr>
          <w:rFonts w:ascii="標楷體" w:eastAsia="標楷體" w:hAnsi="標楷體"/>
          <w:color w:val="000000"/>
        </w:rPr>
        <w:t>4.</w:t>
      </w:r>
      <w:r w:rsidRPr="007576F0">
        <w:rPr>
          <w:rFonts w:ascii="標楷體" w:eastAsia="標楷體" w:hAnsi="標楷體"/>
          <w:color w:val="000000"/>
        </w:rPr>
        <w:tab/>
        <w:t>不得合併使用abiraterone、enzalutamide及其他治療因惡性腫瘤伴隨骨骼事件之藥品，如denosumab、bisphosphonates等。</w:t>
      </w:r>
    </w:p>
    <w:p w14:paraId="4EF083CE" w14:textId="77777777" w:rsidR="007576F0" w:rsidRPr="007576F0" w:rsidRDefault="007576F0" w:rsidP="007576F0">
      <w:pPr>
        <w:spacing w:line="300" w:lineRule="exact"/>
        <w:ind w:left="566" w:hanging="283"/>
        <w:rPr>
          <w:rFonts w:ascii="Aptos" w:hAnsi="Aptos" w:hint="eastAsia"/>
          <w:kern w:val="2"/>
          <w:szCs w:val="24"/>
          <w14:ligatures w14:val="standardContextual"/>
        </w:rPr>
      </w:pPr>
      <w:bookmarkStart w:id="52" w:name="_Hlk212113299"/>
      <w:r w:rsidRPr="007576F0">
        <w:rPr>
          <w:rFonts w:ascii="標楷體" w:eastAsia="標楷體" w:hAnsi="標楷體" w:hint="eastAsia"/>
          <w:kern w:val="2"/>
          <w:szCs w:val="24"/>
          <w14:ligatures w14:val="standardContextual"/>
        </w:rPr>
        <w:t>9.69.免疫檢查點抑制劑(如atezolizumab；nivolumab；pembrolizumab；avelumab；ipilimumab；durvalumab；</w:t>
      </w:r>
      <w:proofErr w:type="spellStart"/>
      <w:r w:rsidRPr="007576F0">
        <w:rPr>
          <w:rFonts w:ascii="標楷體" w:eastAsia="標楷體" w:hAnsi="標楷體" w:hint="eastAsia"/>
          <w:kern w:val="2"/>
          <w:szCs w:val="24"/>
          <w14:ligatures w14:val="standardContextual"/>
        </w:rPr>
        <w:t>tremelimumab</w:t>
      </w:r>
      <w:proofErr w:type="spellEnd"/>
      <w:r w:rsidRPr="007576F0">
        <w:rPr>
          <w:rFonts w:ascii="標楷體" w:eastAsia="標楷體" w:hAnsi="標楷體" w:hint="eastAsia"/>
          <w:kern w:val="2"/>
          <w:szCs w:val="24"/>
          <w14:ligatures w14:val="standardContextual"/>
        </w:rPr>
        <w:t>；</w:t>
      </w:r>
      <w:proofErr w:type="spellStart"/>
      <w:r w:rsidRPr="007576F0">
        <w:rPr>
          <w:rFonts w:ascii="標楷體" w:eastAsia="標楷體" w:hAnsi="標楷體" w:hint="eastAsia"/>
          <w:kern w:val="2"/>
          <w:szCs w:val="24"/>
          <w14:ligatures w14:val="standardContextual"/>
        </w:rPr>
        <w:t>cemiplimab</w:t>
      </w:r>
      <w:proofErr w:type="spellEnd"/>
      <w:r w:rsidRPr="007576F0">
        <w:rPr>
          <w:rFonts w:ascii="標楷體" w:eastAsia="標楷體" w:hAnsi="標楷體" w:hint="eastAsia"/>
          <w:kern w:val="2"/>
          <w:szCs w:val="24"/>
          <w14:ligatures w14:val="standardContextual"/>
        </w:rPr>
        <w:t>；</w:t>
      </w:r>
      <w:proofErr w:type="spellStart"/>
      <w:r w:rsidRPr="007576F0">
        <w:rPr>
          <w:rFonts w:ascii="標楷體" w:eastAsia="標楷體" w:hAnsi="標楷體" w:hint="eastAsia"/>
          <w:kern w:val="2"/>
          <w:szCs w:val="24"/>
          <w14:ligatures w14:val="standardContextual"/>
        </w:rPr>
        <w:t>dostarlimab</w:t>
      </w:r>
      <w:proofErr w:type="spellEnd"/>
      <w:r w:rsidRPr="007576F0">
        <w:rPr>
          <w:rFonts w:ascii="標楷體" w:eastAsia="標楷體" w:hAnsi="標楷體" w:hint="eastAsia"/>
          <w:color w:val="000000"/>
          <w:szCs w:val="24"/>
        </w:rPr>
        <w:t>；</w:t>
      </w:r>
      <w:r w:rsidRPr="007576F0">
        <w:rPr>
          <w:rFonts w:ascii="標楷體" w:eastAsia="標楷體" w:hAnsi="標楷體" w:hint="eastAsia"/>
          <w:szCs w:val="24"/>
        </w:rPr>
        <w:t>t</w:t>
      </w:r>
      <w:r w:rsidRPr="007576F0">
        <w:rPr>
          <w:rFonts w:ascii="標楷體" w:eastAsia="標楷體" w:hAnsi="標楷體"/>
          <w:szCs w:val="24"/>
        </w:rPr>
        <w:t>islelizumab</w:t>
      </w:r>
      <w:r w:rsidRPr="007576F0">
        <w:rPr>
          <w:rFonts w:ascii="標楷體" w:eastAsia="標楷體" w:hAnsi="標楷體" w:hint="eastAsia"/>
          <w:kern w:val="2"/>
          <w:szCs w:val="24"/>
          <w14:ligatures w14:val="standardContextual"/>
        </w:rPr>
        <w:t>製劑)：(108/4/1、108/6/1、109/4/1、109/6/1、109/11/1、110/5/1、110/10/1、111/4/1、111/6/1、112/8/1、112/10/1、112/12/1、113/2/1、113/4/1、113/5/1、113/6/1、113/8/1、114/1/1、114/2/1、114/6/1、114/8/1、114/10/1、115/2/1、115/4/1、115/5/1、115/6/1、115/8/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hint="eastAsia"/>
          <w:kern w:val="0"/>
          <w:szCs w:val="24"/>
          <w14:ligatures w14:val="standardContextual"/>
        </w:rPr>
        <w:t>)</w:t>
      </w:r>
    </w:p>
    <w:p w14:paraId="7BFD4A6D" w14:textId="77777777" w:rsidR="007576F0" w:rsidRPr="007576F0" w:rsidRDefault="007576F0" w:rsidP="007576F0">
      <w:pPr>
        <w:tabs>
          <w:tab w:val="left" w:pos="1418"/>
        </w:tabs>
        <w:spacing w:line="300" w:lineRule="exact"/>
        <w:ind w:left="811" w:hanging="245"/>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1.</w:t>
      </w:r>
      <w:proofErr w:type="gramStart"/>
      <w:r w:rsidRPr="007576F0">
        <w:rPr>
          <w:rFonts w:ascii="標楷體" w:eastAsia="標楷體" w:hAnsi="標楷體" w:hint="eastAsia"/>
          <w:kern w:val="2"/>
          <w:szCs w:val="24"/>
          <w14:ligatures w14:val="standardContextual"/>
        </w:rPr>
        <w:t>本類藥品</w:t>
      </w:r>
      <w:proofErr w:type="gramEnd"/>
      <w:r w:rsidRPr="007576F0">
        <w:rPr>
          <w:rFonts w:ascii="標楷體" w:eastAsia="標楷體" w:hAnsi="標楷體" w:hint="eastAsia"/>
          <w:kern w:val="2"/>
          <w:szCs w:val="24"/>
          <w14:ligatures w14:val="standardContextual"/>
        </w:rPr>
        <w:t>得於藥品許可證登載之適應症及藥品仿單內，單獨使用於下列患者：</w:t>
      </w:r>
    </w:p>
    <w:p w14:paraId="3F1D3A93" w14:textId="77777777" w:rsidR="007576F0" w:rsidRPr="007576F0" w:rsidRDefault="007576F0" w:rsidP="001E268F">
      <w:pPr>
        <w:suppressAutoHyphens w:val="0"/>
        <w:autoSpaceDN/>
        <w:spacing w:line="300" w:lineRule="exact"/>
        <w:ind w:left="1134" w:hanging="386"/>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(1)黑色素瘤：腫瘤無法切除或轉移之第三期或第四期黑色素瘤病人，先前曾接受過至少一次全身性治療失敗者。</w:t>
      </w:r>
    </w:p>
    <w:p w14:paraId="5F5CE05C" w14:textId="77777777" w:rsidR="007576F0" w:rsidRPr="007576F0" w:rsidRDefault="007576F0" w:rsidP="001E268F">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(2)非小細胞肺癌：(109/4/1、109/11/1、114/6/1、114/8/1)</w:t>
      </w:r>
    </w:p>
    <w:p w14:paraId="091803CA" w14:textId="77777777" w:rsidR="007576F0" w:rsidRPr="007576F0" w:rsidRDefault="007576F0" w:rsidP="001E268F">
      <w:pPr>
        <w:numPr>
          <w:ilvl w:val="2"/>
          <w:numId w:val="196"/>
        </w:numPr>
        <w:suppressAutoHyphens w:val="0"/>
        <w:autoSpaceDN/>
        <w:spacing w:line="300" w:lineRule="exact"/>
        <w:ind w:left="1418" w:hanging="425"/>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 xml:space="preserve">鞏固治療：限durvalumab用於第三期局部晚期、無法手術切除且腫瘤表現PD-L1 </w:t>
      </w:r>
      <w:r w:rsidRPr="007576F0">
        <w:rPr>
          <w:rFonts w:ascii="Times New Roman" w:eastAsia="標楷體" w:hAnsi="Times New Roman"/>
          <w:kern w:val="2"/>
          <w:szCs w:val="24"/>
          <w14:ligatures w14:val="standardContextual"/>
        </w:rPr>
        <w:t>≥</w:t>
      </w:r>
      <w:r w:rsidRPr="007576F0">
        <w:rPr>
          <w:rFonts w:ascii="標楷體" w:eastAsia="標楷體" w:hAnsi="標楷體" w:hint="eastAsia"/>
          <w:kern w:val="2"/>
          <w:szCs w:val="24"/>
          <w14:ligatures w14:val="standardContextual"/>
        </w:rPr>
        <w:t xml:space="preserve"> 1%之非小細胞肺癌成人病人，非鱗狀癌者需為EGFR/ALK/ROS-1腫瘤基因原生型、鱗狀癌者需為EGFR/ALK腫瘤基因原生型，病人須於接受根治性同步放射治療合併至少2個週期含鉑化療後無惡化(無PD)，且至多使用12個月。(114/8/1)</w:t>
      </w:r>
    </w:p>
    <w:p w14:paraId="7956121A" w14:textId="77777777" w:rsidR="007576F0" w:rsidRPr="007576F0" w:rsidRDefault="007576F0" w:rsidP="001E268F">
      <w:pPr>
        <w:numPr>
          <w:ilvl w:val="2"/>
          <w:numId w:val="196"/>
        </w:numPr>
        <w:suppressAutoHyphens w:val="0"/>
        <w:autoSpaceDN/>
        <w:spacing w:line="300" w:lineRule="exact"/>
        <w:ind w:left="1418" w:hanging="425"/>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非小細胞肺癌第一線用藥：</w:t>
      </w:r>
      <w:proofErr w:type="gramStart"/>
      <w:r w:rsidRPr="007576F0">
        <w:rPr>
          <w:rFonts w:ascii="標楷體" w:eastAsia="標楷體" w:hAnsi="標楷體" w:hint="eastAsia"/>
          <w:kern w:val="2"/>
          <w:szCs w:val="24"/>
          <w14:ligatures w14:val="standardContextual"/>
        </w:rPr>
        <w:t>轉移性非小</w:t>
      </w:r>
      <w:proofErr w:type="gramEnd"/>
      <w:r w:rsidRPr="007576F0">
        <w:rPr>
          <w:rFonts w:ascii="標楷體" w:eastAsia="標楷體" w:hAnsi="標楷體" w:hint="eastAsia"/>
          <w:kern w:val="2"/>
          <w:szCs w:val="24"/>
          <w14:ligatures w14:val="standardContextual"/>
        </w:rPr>
        <w:t>細胞肺癌成人病人，非</w:t>
      </w:r>
      <w:proofErr w:type="gramStart"/>
      <w:r w:rsidRPr="007576F0">
        <w:rPr>
          <w:rFonts w:ascii="標楷體" w:eastAsia="標楷體" w:hAnsi="標楷體" w:hint="eastAsia"/>
          <w:kern w:val="2"/>
          <w:szCs w:val="24"/>
          <w14:ligatures w14:val="standardContextual"/>
        </w:rPr>
        <w:t>鱗狀癌者</w:t>
      </w:r>
      <w:proofErr w:type="gramEnd"/>
      <w:r w:rsidRPr="007576F0">
        <w:rPr>
          <w:rFonts w:ascii="標楷體" w:eastAsia="標楷體" w:hAnsi="標楷體" w:hint="eastAsia"/>
          <w:kern w:val="2"/>
          <w:szCs w:val="24"/>
          <w14:ligatures w14:val="standardContextual"/>
        </w:rPr>
        <w:t>需為EGFR/ALK/ROS-1腫瘤基因原</w:t>
      </w:r>
      <w:proofErr w:type="gramStart"/>
      <w:r w:rsidRPr="007576F0">
        <w:rPr>
          <w:rFonts w:ascii="標楷體" w:eastAsia="標楷體" w:hAnsi="標楷體" w:hint="eastAsia"/>
          <w:kern w:val="2"/>
          <w:szCs w:val="24"/>
          <w14:ligatures w14:val="standardContextual"/>
        </w:rPr>
        <w:t>生型、鱗狀癌者</w:t>
      </w:r>
      <w:proofErr w:type="gramEnd"/>
      <w:r w:rsidRPr="007576F0">
        <w:rPr>
          <w:rFonts w:ascii="標楷體" w:eastAsia="標楷體" w:hAnsi="標楷體" w:hint="eastAsia"/>
          <w:kern w:val="2"/>
          <w:szCs w:val="24"/>
          <w14:ligatures w14:val="standardContextual"/>
        </w:rPr>
        <w:t>需為EGFR/ALK腫瘤基因</w:t>
      </w:r>
      <w:proofErr w:type="gramStart"/>
      <w:r w:rsidRPr="007576F0">
        <w:rPr>
          <w:rFonts w:ascii="標楷體" w:eastAsia="標楷體" w:hAnsi="標楷體" w:hint="eastAsia"/>
          <w:kern w:val="2"/>
          <w:szCs w:val="24"/>
          <w14:ligatures w14:val="standardContextual"/>
        </w:rPr>
        <w:t>原生型</w:t>
      </w:r>
      <w:proofErr w:type="gramEnd"/>
      <w:r w:rsidRPr="007576F0">
        <w:rPr>
          <w:rFonts w:ascii="標楷體" w:eastAsia="標楷體" w:hAnsi="標楷體" w:hint="eastAsia"/>
          <w:kern w:val="2"/>
          <w:szCs w:val="24"/>
          <w14:ligatures w14:val="standardContextual"/>
        </w:rPr>
        <w:t>。(114/6/1)</w:t>
      </w:r>
    </w:p>
    <w:p w14:paraId="760178B6" w14:textId="77777777" w:rsidR="007576F0" w:rsidRPr="007576F0" w:rsidRDefault="007576F0" w:rsidP="001E268F">
      <w:pPr>
        <w:numPr>
          <w:ilvl w:val="2"/>
          <w:numId w:val="196"/>
        </w:numPr>
        <w:suppressAutoHyphens w:val="0"/>
        <w:autoSpaceDN/>
        <w:spacing w:line="300" w:lineRule="exact"/>
        <w:ind w:left="1560" w:hanging="567"/>
        <w:jc w:val="both"/>
        <w:textAlignment w:val="auto"/>
        <w:rPr>
          <w:rFonts w:ascii="Aptos" w:hAnsi="Aptos" w:hint="eastAsia"/>
          <w:kern w:val="2"/>
          <w:szCs w:val="24"/>
          <w14:ligatures w14:val="standardContextual"/>
        </w:rPr>
      </w:pPr>
      <w:proofErr w:type="gramStart"/>
      <w:r w:rsidRPr="007576F0">
        <w:rPr>
          <w:rFonts w:ascii="標楷體" w:eastAsia="標楷體" w:hAnsi="標楷體" w:hint="eastAsia"/>
          <w:kern w:val="2"/>
          <w:szCs w:val="24"/>
          <w14:ligatures w14:val="standardContextual"/>
        </w:rPr>
        <w:t>鱗狀非</w:t>
      </w:r>
      <w:proofErr w:type="gramEnd"/>
      <w:r w:rsidRPr="007576F0">
        <w:rPr>
          <w:rFonts w:ascii="標楷體" w:eastAsia="標楷體" w:hAnsi="標楷體" w:hint="eastAsia"/>
          <w:kern w:val="2"/>
          <w:szCs w:val="24"/>
          <w14:ligatures w14:val="standardContextual"/>
        </w:rPr>
        <w:t>小細胞肺癌第二線用藥：先前已使用過platinum類化學治療失敗後，又有疾病惡化，且EGFR/ALK腫瘤基因為</w:t>
      </w:r>
      <w:proofErr w:type="gramStart"/>
      <w:r w:rsidRPr="007576F0">
        <w:rPr>
          <w:rFonts w:ascii="標楷體" w:eastAsia="標楷體" w:hAnsi="標楷體" w:hint="eastAsia"/>
          <w:kern w:val="2"/>
          <w:szCs w:val="24"/>
          <w14:ligatures w14:val="standardContextual"/>
        </w:rPr>
        <w:t>原生型之晚期鱗狀非</w:t>
      </w:r>
      <w:proofErr w:type="gramEnd"/>
      <w:r w:rsidRPr="007576F0">
        <w:rPr>
          <w:rFonts w:ascii="標楷體" w:eastAsia="標楷體" w:hAnsi="標楷體" w:hint="eastAsia"/>
          <w:kern w:val="2"/>
          <w:szCs w:val="24"/>
          <w14:ligatures w14:val="standardContextual"/>
        </w:rPr>
        <w:t>小細胞肺癌成人病人。</w:t>
      </w:r>
    </w:p>
    <w:p w14:paraId="3180D554" w14:textId="77777777" w:rsidR="007576F0" w:rsidRPr="007576F0" w:rsidRDefault="007576F0" w:rsidP="001E268F">
      <w:pPr>
        <w:numPr>
          <w:ilvl w:val="2"/>
          <w:numId w:val="196"/>
        </w:numPr>
        <w:suppressAutoHyphens w:val="0"/>
        <w:autoSpaceDN/>
        <w:spacing w:line="300" w:lineRule="exact"/>
        <w:ind w:left="1418" w:hanging="425"/>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肺腺癌第三線用藥：先前已使用過platinum類及docetaxel/paclitaxel類二線(含)以上化學治療均失敗，又有疾病惡化，且EGFR/ALK/ROS-1腫瘤基因為</w:t>
      </w:r>
      <w:proofErr w:type="gramStart"/>
      <w:r w:rsidRPr="007576F0">
        <w:rPr>
          <w:rFonts w:ascii="標楷體" w:eastAsia="標楷體" w:hAnsi="標楷體" w:hint="eastAsia"/>
          <w:kern w:val="0"/>
          <w:szCs w:val="24"/>
          <w14:ligatures w14:val="standardContextual"/>
        </w:rPr>
        <w:t>原生型之</w:t>
      </w:r>
      <w:proofErr w:type="gramEnd"/>
      <w:r w:rsidRPr="007576F0">
        <w:rPr>
          <w:rFonts w:ascii="標楷體" w:eastAsia="標楷體" w:hAnsi="標楷體" w:hint="eastAsia"/>
          <w:kern w:val="0"/>
          <w:szCs w:val="24"/>
          <w14:ligatures w14:val="standardContextual"/>
        </w:rPr>
        <w:t>晚期非小細胞肺腺癌成人病人。</w:t>
      </w:r>
    </w:p>
    <w:p w14:paraId="3684D10E" w14:textId="77777777" w:rsidR="007576F0" w:rsidRPr="007576F0" w:rsidRDefault="007576F0" w:rsidP="001E268F">
      <w:pPr>
        <w:suppressAutoHyphens w:val="0"/>
        <w:autoSpaceDN/>
        <w:spacing w:line="300" w:lineRule="exact"/>
        <w:ind w:left="1134" w:hanging="386"/>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(3)典型何</w:t>
      </w:r>
      <w:proofErr w:type="gramStart"/>
      <w:r w:rsidRPr="007576F0">
        <w:rPr>
          <w:rFonts w:ascii="標楷體" w:eastAsia="標楷體" w:hAnsi="標楷體" w:hint="eastAsia"/>
          <w:kern w:val="2"/>
          <w:szCs w:val="24"/>
          <w14:ligatures w14:val="standardContextual"/>
        </w:rPr>
        <w:t>杰</w:t>
      </w:r>
      <w:proofErr w:type="gramEnd"/>
      <w:r w:rsidRPr="007576F0">
        <w:rPr>
          <w:rFonts w:ascii="標楷體" w:eastAsia="標楷體" w:hAnsi="標楷體" w:hint="eastAsia"/>
          <w:kern w:val="2"/>
          <w:szCs w:val="24"/>
          <w14:ligatures w14:val="standardContextual"/>
        </w:rPr>
        <w:t>金氏淋巴瘤：先前已接受</w:t>
      </w:r>
      <w:proofErr w:type="gramStart"/>
      <w:r w:rsidRPr="007576F0">
        <w:rPr>
          <w:rFonts w:ascii="標楷體" w:eastAsia="標楷體" w:hAnsi="標楷體" w:hint="eastAsia"/>
          <w:kern w:val="2"/>
          <w:szCs w:val="24"/>
          <w14:ligatures w14:val="standardContextual"/>
        </w:rPr>
        <w:t>自體造血</w:t>
      </w:r>
      <w:proofErr w:type="gramEnd"/>
      <w:r w:rsidRPr="007576F0">
        <w:rPr>
          <w:rFonts w:ascii="標楷體" w:eastAsia="標楷體" w:hAnsi="標楷體" w:hint="eastAsia"/>
          <w:kern w:val="2"/>
          <w:szCs w:val="24"/>
          <w14:ligatures w14:val="standardContextual"/>
        </w:rPr>
        <w:t xml:space="preserve">幹細胞移植(HSCT)與移植後brentuximab </w:t>
      </w:r>
      <w:proofErr w:type="spellStart"/>
      <w:r w:rsidRPr="007576F0">
        <w:rPr>
          <w:rFonts w:ascii="標楷體" w:eastAsia="標楷體" w:hAnsi="標楷體" w:hint="eastAsia"/>
          <w:kern w:val="2"/>
          <w:szCs w:val="24"/>
          <w14:ligatures w14:val="standardContextual"/>
        </w:rPr>
        <w:t>vedotin</w:t>
      </w:r>
      <w:proofErr w:type="spellEnd"/>
      <w:r w:rsidRPr="007576F0">
        <w:rPr>
          <w:rFonts w:ascii="標楷體" w:eastAsia="標楷體" w:hAnsi="標楷體" w:hint="eastAsia"/>
          <w:kern w:val="2"/>
          <w:szCs w:val="24"/>
          <w14:ligatures w14:val="standardContextual"/>
        </w:rPr>
        <w:t xml:space="preserve"> (BV)治療，但又復發或惡化的典型何</w:t>
      </w:r>
      <w:proofErr w:type="gramStart"/>
      <w:r w:rsidRPr="007576F0">
        <w:rPr>
          <w:rFonts w:ascii="標楷體" w:eastAsia="標楷體" w:hAnsi="標楷體" w:hint="eastAsia"/>
          <w:kern w:val="2"/>
          <w:szCs w:val="24"/>
          <w14:ligatures w14:val="standardContextual"/>
        </w:rPr>
        <w:t>杰</w:t>
      </w:r>
      <w:proofErr w:type="gramEnd"/>
      <w:r w:rsidRPr="007576F0">
        <w:rPr>
          <w:rFonts w:ascii="標楷體" w:eastAsia="標楷體" w:hAnsi="標楷體" w:hint="eastAsia"/>
          <w:kern w:val="2"/>
          <w:szCs w:val="24"/>
          <w14:ligatures w14:val="standardContextual"/>
        </w:rPr>
        <w:t>金氏淋巴瘤成人患者。</w:t>
      </w:r>
    </w:p>
    <w:p w14:paraId="2054E240" w14:textId="77777777" w:rsidR="007576F0" w:rsidRPr="007576F0" w:rsidRDefault="007576F0" w:rsidP="007576F0">
      <w:pPr>
        <w:suppressAutoHyphens w:val="0"/>
        <w:autoSpaceDN/>
        <w:spacing w:line="300" w:lineRule="exact"/>
        <w:ind w:left="1134" w:hanging="386"/>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(4)泌尿</w:t>
      </w:r>
      <w:proofErr w:type="gramStart"/>
      <w:r w:rsidRPr="007576F0">
        <w:rPr>
          <w:rFonts w:ascii="標楷體" w:eastAsia="標楷體" w:hAnsi="標楷體" w:hint="eastAsia"/>
          <w:kern w:val="2"/>
          <w:szCs w:val="24"/>
          <w14:ligatures w14:val="standardContextual"/>
        </w:rPr>
        <w:t>道上皮癌</w:t>
      </w:r>
      <w:proofErr w:type="gramEnd"/>
      <w:r w:rsidRPr="007576F0">
        <w:rPr>
          <w:rFonts w:ascii="標楷體" w:eastAsia="標楷體" w:hAnsi="標楷體" w:hint="eastAsia"/>
          <w:kern w:val="2"/>
          <w:szCs w:val="24"/>
          <w14:ligatures w14:val="standardContextual"/>
        </w:rPr>
        <w:t>：使用含atezolizumab藥品成分須於113年8月1日前審核同意用藥。(109/11/1、112/10/1、113/8/1)</w:t>
      </w:r>
    </w:p>
    <w:p w14:paraId="737874C2" w14:textId="77777777" w:rsidR="007576F0" w:rsidRPr="007576F0" w:rsidRDefault="007576F0" w:rsidP="001E268F">
      <w:pPr>
        <w:suppressAutoHyphens w:val="0"/>
        <w:autoSpaceDN/>
        <w:spacing w:line="300" w:lineRule="exact"/>
        <w:ind w:left="1418" w:hanging="42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I.不適合接受化學治療之轉移性泌尿</w:t>
      </w:r>
      <w:proofErr w:type="gramStart"/>
      <w:r w:rsidRPr="007576F0">
        <w:rPr>
          <w:rFonts w:ascii="標楷體" w:eastAsia="標楷體" w:hAnsi="標楷體" w:hint="eastAsia"/>
          <w:kern w:val="2"/>
          <w:szCs w:val="24"/>
          <w14:ligatures w14:val="standardContextual"/>
        </w:rPr>
        <w:t>道上皮癌成人</w:t>
      </w:r>
      <w:proofErr w:type="gramEnd"/>
      <w:r w:rsidRPr="007576F0">
        <w:rPr>
          <w:rFonts w:ascii="標楷體" w:eastAsia="標楷體" w:hAnsi="標楷體" w:hint="eastAsia"/>
          <w:kern w:val="2"/>
          <w:szCs w:val="24"/>
          <w14:ligatures w14:val="standardContextual"/>
        </w:rPr>
        <w:t>患者，且需符合下列條件之</w:t>
      </w:r>
      <w:proofErr w:type="gramStart"/>
      <w:r w:rsidRPr="007576F0">
        <w:rPr>
          <w:rFonts w:ascii="標楷體" w:eastAsia="標楷體" w:hAnsi="標楷體" w:hint="eastAsia"/>
          <w:kern w:val="2"/>
          <w:szCs w:val="24"/>
          <w14:ligatures w14:val="standardContextual"/>
        </w:rPr>
        <w:t>一</w:t>
      </w:r>
      <w:proofErr w:type="gramEnd"/>
      <w:r w:rsidRPr="007576F0">
        <w:rPr>
          <w:rFonts w:ascii="標楷體" w:eastAsia="標楷體" w:hAnsi="標楷體" w:hint="eastAsia"/>
          <w:kern w:val="2"/>
          <w:szCs w:val="24"/>
          <w14:ligatures w14:val="standardContextual"/>
        </w:rPr>
        <w:t>：</w:t>
      </w:r>
    </w:p>
    <w:p w14:paraId="6F242990" w14:textId="77777777" w:rsidR="007576F0" w:rsidRPr="007576F0" w:rsidRDefault="007576F0" w:rsidP="001E268F">
      <w:pPr>
        <w:tabs>
          <w:tab w:val="left" w:pos="1185"/>
        </w:tabs>
        <w:suppressAutoHyphens w:val="0"/>
        <w:autoSpaceDN/>
        <w:spacing w:line="300" w:lineRule="exact"/>
        <w:ind w:left="1418" w:hanging="284"/>
        <w:jc w:val="both"/>
        <w:textAlignment w:val="auto"/>
        <w:rPr>
          <w:rFonts w:ascii="標楷體" w:eastAsia="標楷體" w:hAnsi="標楷體"/>
          <w:kern w:val="2"/>
          <w:szCs w:val="24"/>
          <w14:ligatures w14:val="standardContextual"/>
        </w:rPr>
      </w:pPr>
      <w:proofErr w:type="spellStart"/>
      <w:r w:rsidRPr="007576F0">
        <w:rPr>
          <w:rFonts w:ascii="標楷體" w:eastAsia="標楷體" w:hAnsi="標楷體" w:hint="eastAsia"/>
          <w:kern w:val="2"/>
          <w:szCs w:val="24"/>
          <w14:ligatures w14:val="standardContextual"/>
        </w:rPr>
        <w:t>i.CTCAE</w:t>
      </w:r>
      <w:proofErr w:type="spellEnd"/>
      <w:r w:rsidRPr="007576F0">
        <w:rPr>
          <w:rFonts w:ascii="標楷體" w:eastAsia="標楷體" w:hAnsi="標楷體" w:hint="eastAsia"/>
          <w:kern w:val="2"/>
          <w:szCs w:val="24"/>
          <w14:ligatures w14:val="standardContextual"/>
        </w:rPr>
        <w:t>(the common terminology criteria for adverse events) v4.0 grade</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2 audiometric hearing loss</w:t>
      </w:r>
    </w:p>
    <w:p w14:paraId="595B7983" w14:textId="77777777" w:rsidR="007576F0" w:rsidRPr="007576F0" w:rsidRDefault="007576F0" w:rsidP="001E268F">
      <w:pPr>
        <w:tabs>
          <w:tab w:val="left" w:pos="1185"/>
        </w:tabs>
        <w:suppressAutoHyphens w:val="0"/>
        <w:autoSpaceDN/>
        <w:spacing w:line="300" w:lineRule="exact"/>
        <w:ind w:left="1418" w:hanging="284"/>
        <w:jc w:val="both"/>
        <w:textAlignment w:val="auto"/>
        <w:rPr>
          <w:rFonts w:ascii="標楷體" w:eastAsia="標楷體" w:hAnsi="標楷體"/>
          <w:kern w:val="2"/>
          <w:szCs w:val="24"/>
          <w14:ligatures w14:val="standardContextual"/>
        </w:rPr>
      </w:pPr>
      <w:proofErr w:type="spellStart"/>
      <w:r w:rsidRPr="007576F0">
        <w:rPr>
          <w:rFonts w:ascii="標楷體" w:eastAsia="標楷體" w:hAnsi="標楷體" w:hint="eastAsia"/>
          <w:kern w:val="2"/>
          <w:szCs w:val="24"/>
          <w14:ligatures w14:val="standardContextual"/>
        </w:rPr>
        <w:t>ii.CTCAE</w:t>
      </w:r>
      <w:proofErr w:type="spellEnd"/>
      <w:r w:rsidRPr="007576F0">
        <w:rPr>
          <w:rFonts w:ascii="標楷體" w:eastAsia="標楷體" w:hAnsi="標楷體" w:hint="eastAsia"/>
          <w:kern w:val="2"/>
          <w:szCs w:val="24"/>
          <w14:ligatures w14:val="standardContextual"/>
        </w:rPr>
        <w:t xml:space="preserve"> v4.0 grade</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2 peripheral neuropathy</w:t>
      </w:r>
    </w:p>
    <w:p w14:paraId="25518EB4" w14:textId="77777777" w:rsidR="007576F0" w:rsidRPr="007576F0" w:rsidRDefault="007576F0" w:rsidP="001E268F">
      <w:pPr>
        <w:tabs>
          <w:tab w:val="left" w:pos="1185"/>
        </w:tabs>
        <w:suppressAutoHyphens w:val="0"/>
        <w:autoSpaceDN/>
        <w:spacing w:line="300" w:lineRule="exact"/>
        <w:ind w:left="1418" w:hanging="284"/>
        <w:jc w:val="both"/>
        <w:textAlignment w:val="auto"/>
        <w:rPr>
          <w:rFonts w:ascii="標楷體" w:eastAsia="標楷體" w:hAnsi="標楷體"/>
          <w:kern w:val="2"/>
          <w:szCs w:val="24"/>
          <w14:ligatures w14:val="standardContextual"/>
        </w:rPr>
      </w:pPr>
      <w:proofErr w:type="spellStart"/>
      <w:r w:rsidRPr="007576F0">
        <w:rPr>
          <w:rFonts w:ascii="標楷體" w:eastAsia="標楷體" w:hAnsi="標楷體" w:hint="eastAsia"/>
          <w:kern w:val="2"/>
          <w:szCs w:val="24"/>
          <w14:ligatures w14:val="standardContextual"/>
        </w:rPr>
        <w:t>iii.</w:t>
      </w:r>
      <w:proofErr w:type="gramStart"/>
      <w:r w:rsidRPr="007576F0">
        <w:rPr>
          <w:rFonts w:ascii="標楷體" w:eastAsia="標楷體" w:hAnsi="標楷體" w:hint="eastAsia"/>
          <w:kern w:val="2"/>
          <w:szCs w:val="24"/>
          <w14:ligatures w14:val="standardContextual"/>
        </w:rPr>
        <w:t>CIRS</w:t>
      </w:r>
      <w:proofErr w:type="spellEnd"/>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the cumulative illness rating scale) score &gt;6</w:t>
      </w:r>
    </w:p>
    <w:p w14:paraId="44DC4963" w14:textId="77777777" w:rsidR="007576F0" w:rsidRPr="007576F0" w:rsidRDefault="007576F0" w:rsidP="001E268F">
      <w:pPr>
        <w:tabs>
          <w:tab w:val="left" w:pos="1185"/>
        </w:tabs>
        <w:suppressAutoHyphens w:val="0"/>
        <w:autoSpaceDN/>
        <w:spacing w:line="300" w:lineRule="exact"/>
        <w:ind w:left="1418" w:hanging="42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II.</w:t>
      </w:r>
      <w:r w:rsidRPr="007576F0">
        <w:rPr>
          <w:rFonts w:ascii="標楷體" w:eastAsia="標楷體" w:hAnsi="標楷體" w:hint="eastAsia"/>
          <w:kern w:val="2"/>
          <w:szCs w:val="24"/>
          <w14:ligatures w14:val="standardContextual"/>
        </w:rPr>
        <w:tab/>
        <w:t>先前已使用過platinum類化學治療失敗後疾病惡化的局部晚期無法切除或轉移性泌尿道上皮癌成人患者。</w:t>
      </w:r>
    </w:p>
    <w:p w14:paraId="51F82511" w14:textId="77777777" w:rsidR="007576F0" w:rsidRPr="007576F0" w:rsidRDefault="007576F0" w:rsidP="001E268F">
      <w:pPr>
        <w:tabs>
          <w:tab w:val="left" w:pos="1185"/>
        </w:tabs>
        <w:suppressAutoHyphens w:val="0"/>
        <w:autoSpaceDN/>
        <w:spacing w:line="300" w:lineRule="exact"/>
        <w:ind w:left="1418" w:hanging="425"/>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lastRenderedPageBreak/>
        <w:t>III.限avelumab用於接受第一線含鉑化學治療4至6個療程後，疾病未惡化，且達部分緩解（PR）或疾病呈穩定狀態者(SD)之無法手術切除局部晚期(stage Ⅲ)或轉移性泌尿</w:t>
      </w:r>
      <w:proofErr w:type="gramStart"/>
      <w:r w:rsidRPr="007576F0">
        <w:rPr>
          <w:rFonts w:ascii="標楷體" w:eastAsia="標楷體" w:hAnsi="標楷體" w:hint="eastAsia"/>
          <w:kern w:val="2"/>
          <w:szCs w:val="24"/>
          <w14:ligatures w14:val="standardContextual"/>
        </w:rPr>
        <w:t>上皮癌</w:t>
      </w:r>
      <w:proofErr w:type="gramEnd"/>
      <w:r w:rsidRPr="007576F0">
        <w:rPr>
          <w:rFonts w:ascii="標楷體" w:eastAsia="標楷體" w:hAnsi="標楷體" w:hint="eastAsia"/>
          <w:kern w:val="2"/>
          <w:szCs w:val="24"/>
          <w14:ligatures w14:val="standardContextual"/>
        </w:rPr>
        <w:t>(stage Ⅳ)成人患者之維持療法。(112/10/1</w:t>
      </w:r>
      <w:proofErr w:type="gramStart"/>
      <w:r w:rsidRPr="007576F0">
        <w:rPr>
          <w:rFonts w:ascii="標楷體" w:eastAsia="標楷體" w:hAnsi="標楷體" w:hint="eastAsia"/>
          <w:kern w:val="2"/>
          <w:szCs w:val="24"/>
          <w14:ligatures w14:val="standardContextual"/>
        </w:rPr>
        <w:t>）</w:t>
      </w:r>
      <w:proofErr w:type="gramEnd"/>
    </w:p>
    <w:p w14:paraId="37B2EFAB" w14:textId="77777777" w:rsidR="007576F0" w:rsidRPr="007576F0" w:rsidRDefault="007576F0" w:rsidP="007576F0">
      <w:pPr>
        <w:suppressAutoHyphens w:val="0"/>
        <w:autoSpaceDN/>
        <w:spacing w:line="300" w:lineRule="exact"/>
        <w:ind w:left="1134" w:hanging="386"/>
        <w:jc w:val="both"/>
        <w:textAlignment w:val="auto"/>
        <w:rPr>
          <w:rFonts w:ascii="標楷體" w:eastAsia="標楷體" w:hAnsi="標楷體"/>
          <w:kern w:val="2"/>
          <w:szCs w:val="24"/>
          <w:lang w:val="zh-TW" w:bidi="zh-TW"/>
          <w14:ligatures w14:val="standardContextual"/>
        </w:rPr>
      </w:pPr>
      <w:r w:rsidRPr="007576F0">
        <w:rPr>
          <w:rFonts w:ascii="標楷體" w:eastAsia="標楷體" w:hAnsi="標楷體" w:hint="eastAsia"/>
          <w:kern w:val="2"/>
          <w:szCs w:val="24"/>
          <w:lang w:val="zh-TW" w:bidi="zh-TW"/>
          <w14:ligatures w14:val="standardContextual"/>
        </w:rPr>
        <w:t>(5)頭</w:t>
      </w:r>
      <w:proofErr w:type="gramStart"/>
      <w:r w:rsidRPr="007576F0">
        <w:rPr>
          <w:rFonts w:ascii="標楷體" w:eastAsia="標楷體" w:hAnsi="標楷體" w:hint="eastAsia"/>
          <w:kern w:val="2"/>
          <w:szCs w:val="24"/>
          <w:lang w:val="zh-TW" w:bidi="zh-TW"/>
          <w14:ligatures w14:val="standardContextual"/>
        </w:rPr>
        <w:t>頸部鱗狀細胞</w:t>
      </w:r>
      <w:proofErr w:type="gramEnd"/>
      <w:r w:rsidRPr="007576F0">
        <w:rPr>
          <w:rFonts w:ascii="標楷體" w:eastAsia="標楷體" w:hAnsi="標楷體" w:hint="eastAsia"/>
          <w:kern w:val="2"/>
          <w:szCs w:val="24"/>
          <w:lang w:val="zh-TW" w:bidi="zh-TW"/>
          <w14:ligatures w14:val="standardContextual"/>
        </w:rPr>
        <w:t>癌(不含鼻咽癌)：(108/4/1、109/11/1、112/12/1、115/2/1)</w:t>
      </w:r>
    </w:p>
    <w:p w14:paraId="66A13B93" w14:textId="77777777" w:rsidR="007576F0" w:rsidRPr="007576F0" w:rsidRDefault="007576F0" w:rsidP="001E268F">
      <w:pPr>
        <w:tabs>
          <w:tab w:val="left" w:pos="1185"/>
        </w:tabs>
        <w:suppressAutoHyphens w:val="0"/>
        <w:autoSpaceDN/>
        <w:spacing w:line="300" w:lineRule="exact"/>
        <w:ind w:left="1418" w:hanging="284"/>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lang w:val="zh-TW" w:bidi="zh-TW"/>
          <w14:ligatures w14:val="standardContextual"/>
        </w:rPr>
        <w:t>I.先前未曾接受全身性治療</w:t>
      </w:r>
      <w:r w:rsidRPr="007576F0">
        <w:rPr>
          <w:rFonts w:ascii="標楷體" w:eastAsia="標楷體" w:hAnsi="標楷體" w:hint="eastAsia"/>
          <w:kern w:val="2"/>
          <w:szCs w:val="24"/>
          <w:lang w:bidi="zh-TW"/>
          <w14:ligatures w14:val="standardContextual"/>
        </w:rPr>
        <w:t>且無法手術切除之復發性或</w:t>
      </w:r>
      <w:r w:rsidRPr="007576F0">
        <w:rPr>
          <w:rFonts w:ascii="標楷體" w:eastAsia="標楷體" w:hAnsi="標楷體" w:hint="eastAsia"/>
          <w:kern w:val="2"/>
          <w:szCs w:val="24"/>
          <w:lang w:val="zh-TW" w:bidi="zh-TW"/>
          <w14:ligatures w14:val="standardContextual"/>
        </w:rPr>
        <w:t>轉移性(第三期或第四期)頭</w:t>
      </w:r>
      <w:proofErr w:type="gramStart"/>
      <w:r w:rsidRPr="007576F0">
        <w:rPr>
          <w:rFonts w:ascii="標楷體" w:eastAsia="標楷體" w:hAnsi="標楷體" w:hint="eastAsia"/>
          <w:kern w:val="2"/>
          <w:szCs w:val="24"/>
          <w:lang w:val="zh-TW" w:bidi="zh-TW"/>
          <w14:ligatures w14:val="standardContextual"/>
        </w:rPr>
        <w:t>頸部鱗狀細胞</w:t>
      </w:r>
      <w:proofErr w:type="gramEnd"/>
      <w:r w:rsidRPr="007576F0">
        <w:rPr>
          <w:rFonts w:ascii="標楷體" w:eastAsia="標楷體" w:hAnsi="標楷體" w:hint="eastAsia"/>
          <w:kern w:val="2"/>
          <w:szCs w:val="24"/>
          <w:lang w:val="zh-TW" w:bidi="zh-TW"/>
          <w14:ligatures w14:val="standardContextual"/>
        </w:rPr>
        <w:t>癌成人患者。</w:t>
      </w:r>
      <w:proofErr w:type="gramStart"/>
      <w:r w:rsidRPr="007576F0">
        <w:rPr>
          <w:rFonts w:ascii="標楷體" w:eastAsia="標楷體" w:hAnsi="標楷體" w:hint="eastAsia"/>
          <w:kern w:val="2"/>
          <w:szCs w:val="24"/>
          <w:lang w:val="zh-TW" w:bidi="zh-TW"/>
          <w14:ligatures w14:val="standardContextual"/>
        </w:rPr>
        <w:t>（</w:t>
      </w:r>
      <w:proofErr w:type="gramEnd"/>
      <w:r w:rsidRPr="007576F0">
        <w:rPr>
          <w:rFonts w:ascii="標楷體" w:eastAsia="標楷體" w:hAnsi="標楷體" w:hint="eastAsia"/>
          <w:kern w:val="2"/>
          <w:szCs w:val="24"/>
          <w:lang w:val="zh-TW" w:bidi="zh-TW"/>
          <w14:ligatures w14:val="standardContextual"/>
        </w:rPr>
        <w:t>112/12/1)</w:t>
      </w:r>
    </w:p>
    <w:p w14:paraId="5277690B" w14:textId="77777777" w:rsidR="007576F0" w:rsidRPr="007576F0" w:rsidRDefault="007576F0" w:rsidP="001E268F">
      <w:pPr>
        <w:tabs>
          <w:tab w:val="left" w:pos="1185"/>
        </w:tabs>
        <w:suppressAutoHyphens w:val="0"/>
        <w:autoSpaceDN/>
        <w:spacing w:line="300" w:lineRule="exact"/>
        <w:ind w:left="1418" w:hanging="284"/>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lang w:val="zh-TW" w:bidi="zh-TW"/>
          <w14:ligatures w14:val="standardContextual"/>
        </w:rPr>
        <w:t>II.先前已使用過platinum類化學治療失敗後，又有疾病惡化的復發</w:t>
      </w:r>
      <w:r w:rsidRPr="007576F0">
        <w:rPr>
          <w:rFonts w:ascii="標楷體" w:eastAsia="標楷體" w:hAnsi="標楷體" w:hint="eastAsia"/>
          <w:kern w:val="2"/>
          <w:szCs w:val="24"/>
          <w:lang w:bidi="zh-TW"/>
          <w14:ligatures w14:val="standardContextual"/>
        </w:rPr>
        <w:t>性或</w:t>
      </w:r>
      <w:r w:rsidRPr="007576F0">
        <w:rPr>
          <w:rFonts w:ascii="標楷體" w:eastAsia="標楷體" w:hAnsi="標楷體" w:hint="eastAsia"/>
          <w:kern w:val="2"/>
          <w:szCs w:val="24"/>
          <w:lang w:val="zh-TW" w:bidi="zh-TW"/>
          <w14:ligatures w14:val="standardContextual"/>
        </w:rPr>
        <w:t>轉移性(第三期或第四期)頭</w:t>
      </w:r>
      <w:proofErr w:type="gramStart"/>
      <w:r w:rsidRPr="007576F0">
        <w:rPr>
          <w:rFonts w:ascii="標楷體" w:eastAsia="標楷體" w:hAnsi="標楷體" w:hint="eastAsia"/>
          <w:kern w:val="2"/>
          <w:szCs w:val="24"/>
          <w:lang w:val="zh-TW" w:bidi="zh-TW"/>
          <w14:ligatures w14:val="standardContextual"/>
        </w:rPr>
        <w:t>頸部鱗狀細胞</w:t>
      </w:r>
      <w:proofErr w:type="gramEnd"/>
      <w:r w:rsidRPr="007576F0">
        <w:rPr>
          <w:rFonts w:ascii="標楷體" w:eastAsia="標楷體" w:hAnsi="標楷體" w:hint="eastAsia"/>
          <w:kern w:val="2"/>
          <w:szCs w:val="24"/>
          <w:lang w:val="zh-TW" w:bidi="zh-TW"/>
          <w14:ligatures w14:val="standardContextual"/>
        </w:rPr>
        <w:t>癌成人患者。(108/4/1、109/11/1、112/12/1</w:t>
      </w:r>
      <w:proofErr w:type="gramStart"/>
      <w:r w:rsidRPr="007576F0">
        <w:rPr>
          <w:rFonts w:ascii="標楷體" w:eastAsia="標楷體" w:hAnsi="標楷體" w:hint="eastAsia"/>
          <w:kern w:val="2"/>
          <w:szCs w:val="24"/>
          <w:lang w:val="zh-TW" w:bidi="zh-TW"/>
          <w14:ligatures w14:val="standardContextual"/>
        </w:rPr>
        <w:t>）</w:t>
      </w:r>
      <w:proofErr w:type="gramEnd"/>
    </w:p>
    <w:p w14:paraId="4A05A163" w14:textId="77777777" w:rsidR="007576F0" w:rsidRPr="007576F0" w:rsidRDefault="007576F0" w:rsidP="007576F0">
      <w:pPr>
        <w:suppressAutoHyphens w:val="0"/>
        <w:autoSpaceDN/>
        <w:spacing w:line="300" w:lineRule="exact"/>
        <w:ind w:left="1134" w:hanging="425"/>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w:t>
      </w:r>
      <w:r w:rsidRPr="007576F0">
        <w:rPr>
          <w:rFonts w:ascii="標楷體" w:eastAsia="標楷體" w:hAnsi="標楷體" w:hint="eastAsia"/>
          <w:kern w:val="2"/>
          <w:szCs w:val="24"/>
          <w:lang w:val="zh-TW" w:bidi="zh-TW"/>
          <w14:ligatures w14:val="standardContextual"/>
        </w:rPr>
        <w:t>6)轉</w:t>
      </w:r>
      <w:r w:rsidRPr="007576F0">
        <w:rPr>
          <w:rFonts w:ascii="標楷體" w:eastAsia="標楷體" w:hAnsi="標楷體" w:hint="eastAsia"/>
          <w:kern w:val="2"/>
          <w:szCs w:val="24"/>
          <w14:ligatures w14:val="standardContextual"/>
        </w:rPr>
        <w:t>移</w:t>
      </w:r>
      <w:r w:rsidRPr="007576F0">
        <w:rPr>
          <w:rFonts w:ascii="標楷體" w:eastAsia="標楷體" w:hAnsi="標楷體" w:hint="eastAsia"/>
          <w:kern w:val="2"/>
          <w:szCs w:val="24"/>
          <w:lang w:val="zh-TW" w:bidi="zh-TW"/>
          <w14:ligatures w14:val="standardContextual"/>
        </w:rPr>
        <w:t>性胃癌：先前已使用過二線(含)以上化學治療均失敗，又有疾病惡化的轉移性胃腺癌成人患者，且於109年4月1日前經審核同意用藥，後續評估符合續用申請條件者。(109/4/1)</w:t>
      </w:r>
    </w:p>
    <w:p w14:paraId="550D3D5D"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lang w:bidi="zh-TW"/>
          <w14:ligatures w14:val="standardContextual"/>
        </w:rPr>
        <w:t>(7)</w:t>
      </w:r>
      <w:proofErr w:type="gramStart"/>
      <w:r w:rsidRPr="007576F0">
        <w:rPr>
          <w:rFonts w:ascii="標楷體" w:eastAsia="標楷體" w:hAnsi="標楷體" w:hint="eastAsia"/>
          <w:kern w:val="2"/>
          <w:szCs w:val="24"/>
          <w:lang w:val="zh-TW" w:bidi="zh-TW"/>
          <w14:ligatures w14:val="standardContextual"/>
        </w:rPr>
        <w:t>晚期腎</w:t>
      </w:r>
      <w:proofErr w:type="gramEnd"/>
      <w:r w:rsidRPr="007576F0">
        <w:rPr>
          <w:rFonts w:ascii="標楷體" w:eastAsia="標楷體" w:hAnsi="標楷體" w:hint="eastAsia"/>
          <w:kern w:val="2"/>
          <w:szCs w:val="24"/>
          <w:lang w:val="zh-TW" w:bidi="zh-TW"/>
          <w14:ligatures w14:val="standardContextual"/>
        </w:rPr>
        <w:t>細胞癌</w:t>
      </w:r>
      <w:r w:rsidRPr="007576F0">
        <w:rPr>
          <w:rFonts w:ascii="標楷體" w:eastAsia="標楷體" w:hAnsi="標楷體" w:hint="eastAsia"/>
          <w:kern w:val="2"/>
          <w:szCs w:val="24"/>
          <w:lang w:bidi="zh-TW"/>
          <w14:ligatures w14:val="standardContextual"/>
        </w:rPr>
        <w:t>：</w:t>
      </w:r>
      <w:r w:rsidRPr="007576F0">
        <w:rPr>
          <w:rFonts w:ascii="標楷體" w:eastAsia="標楷體" w:hAnsi="標楷體" w:hint="eastAsia"/>
          <w:kern w:val="2"/>
          <w:szCs w:val="24"/>
          <w:lang w:val="zh-TW" w:bidi="zh-TW"/>
          <w14:ligatures w14:val="standardContextual"/>
        </w:rPr>
        <w:t>先前已使用過至少二線標靶藥物治療均失敗</w:t>
      </w:r>
      <w:r w:rsidRPr="007576F0">
        <w:rPr>
          <w:rFonts w:ascii="標楷體" w:eastAsia="標楷體" w:hAnsi="標楷體" w:hint="eastAsia"/>
          <w:kern w:val="2"/>
          <w:szCs w:val="24"/>
          <w:lang w:bidi="zh-TW"/>
          <w14:ligatures w14:val="standardContextual"/>
        </w:rPr>
        <w:t>，</w:t>
      </w:r>
      <w:r w:rsidRPr="007576F0">
        <w:rPr>
          <w:rFonts w:ascii="標楷體" w:eastAsia="標楷體" w:hAnsi="標楷體" w:hint="eastAsia"/>
          <w:kern w:val="2"/>
          <w:szCs w:val="24"/>
          <w:lang w:val="zh-TW" w:bidi="zh-TW"/>
          <w14:ligatures w14:val="standardContextual"/>
        </w:rPr>
        <w:t>又有疾病惡化之</w:t>
      </w:r>
      <w:proofErr w:type="gramStart"/>
      <w:r w:rsidRPr="007576F0">
        <w:rPr>
          <w:rFonts w:ascii="標楷體" w:eastAsia="標楷體" w:hAnsi="標楷體" w:hint="eastAsia"/>
          <w:kern w:val="2"/>
          <w:szCs w:val="24"/>
          <w:lang w:val="zh-TW" w:bidi="zh-TW"/>
          <w14:ligatures w14:val="standardContextual"/>
        </w:rPr>
        <w:t>晚期腎</w:t>
      </w:r>
      <w:proofErr w:type="gramEnd"/>
      <w:r w:rsidRPr="007576F0">
        <w:rPr>
          <w:rFonts w:ascii="標楷體" w:eastAsia="標楷體" w:hAnsi="標楷體" w:hint="eastAsia"/>
          <w:kern w:val="2"/>
          <w:szCs w:val="24"/>
          <w:lang w:val="zh-TW" w:bidi="zh-TW"/>
          <w14:ligatures w14:val="standardContextual"/>
        </w:rPr>
        <w:t>細胞癌</w:t>
      </w:r>
      <w:r w:rsidRPr="007576F0">
        <w:rPr>
          <w:rFonts w:ascii="標楷體" w:eastAsia="標楷體" w:hAnsi="標楷體" w:hint="eastAsia"/>
          <w:kern w:val="2"/>
          <w:szCs w:val="24"/>
          <w:lang w:bidi="zh-TW"/>
          <w14:ligatures w14:val="standardContextual"/>
        </w:rPr>
        <w:t>，</w:t>
      </w:r>
      <w:r w:rsidRPr="007576F0">
        <w:rPr>
          <w:rFonts w:ascii="標楷體" w:eastAsia="標楷體" w:hAnsi="標楷體" w:hint="eastAsia"/>
          <w:kern w:val="2"/>
          <w:szCs w:val="24"/>
          <w:lang w:val="zh-TW" w:bidi="zh-TW"/>
          <w14:ligatures w14:val="standardContextual"/>
        </w:rPr>
        <w:t>其病理</w:t>
      </w:r>
      <w:proofErr w:type="gramStart"/>
      <w:r w:rsidRPr="007576F0">
        <w:rPr>
          <w:rFonts w:ascii="標楷體" w:eastAsia="標楷體" w:hAnsi="標楷體" w:hint="eastAsia"/>
          <w:kern w:val="2"/>
          <w:szCs w:val="24"/>
          <w:lang w:val="zh-TW" w:bidi="zh-TW"/>
          <w14:ligatures w14:val="standardContextual"/>
        </w:rPr>
        <w:t>上為亮細胞</w:t>
      </w:r>
      <w:proofErr w:type="gramEnd"/>
      <w:r w:rsidRPr="007576F0">
        <w:rPr>
          <w:rFonts w:ascii="標楷體" w:eastAsia="標楷體" w:hAnsi="標楷體" w:hint="eastAsia"/>
          <w:kern w:val="2"/>
          <w:szCs w:val="24"/>
          <w:lang w:val="zh-TW" w:bidi="zh-TW"/>
          <w14:ligatures w14:val="standardContextual"/>
        </w:rPr>
        <w:t>癌</w:t>
      </w:r>
      <w:r w:rsidRPr="007576F0">
        <w:rPr>
          <w:rFonts w:ascii="標楷體" w:eastAsia="標楷體" w:hAnsi="標楷體" w:hint="eastAsia"/>
          <w:kern w:val="2"/>
          <w:szCs w:val="24"/>
          <w:lang w:bidi="zh-TW"/>
          <w14:ligatures w14:val="standardContextual"/>
        </w:rPr>
        <w:t>(clear cell renal carcinoma)</w:t>
      </w:r>
      <w:r w:rsidRPr="007576F0">
        <w:rPr>
          <w:rFonts w:ascii="標楷體" w:eastAsia="標楷體" w:hAnsi="標楷體" w:hint="eastAsia"/>
          <w:kern w:val="2"/>
          <w:szCs w:val="24"/>
          <w:lang w:val="zh-TW" w:bidi="zh-TW"/>
          <w14:ligatures w14:val="standardContextual"/>
        </w:rPr>
        <w:t>之成人患者。</w:t>
      </w:r>
    </w:p>
    <w:p w14:paraId="77F7EFEC"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lang w:val="zh-TW" w:bidi="zh-TW"/>
          <w14:ligatures w14:val="standardContextual"/>
        </w:rPr>
        <w:t>(8)</w:t>
      </w:r>
      <w:proofErr w:type="gramStart"/>
      <w:r w:rsidRPr="007576F0">
        <w:rPr>
          <w:rFonts w:ascii="標楷體" w:eastAsia="標楷體" w:hAnsi="標楷體" w:hint="eastAsia"/>
          <w:kern w:val="2"/>
          <w:szCs w:val="24"/>
          <w:lang w:val="zh-TW" w:bidi="zh-TW"/>
          <w14:ligatures w14:val="standardContextual"/>
        </w:rPr>
        <w:t>晚期肝</w:t>
      </w:r>
      <w:proofErr w:type="gramEnd"/>
      <w:r w:rsidRPr="007576F0">
        <w:rPr>
          <w:rFonts w:ascii="標楷體" w:eastAsia="標楷體" w:hAnsi="標楷體" w:hint="eastAsia"/>
          <w:kern w:val="2"/>
          <w:szCs w:val="24"/>
          <w14:ligatures w14:val="standardContextual"/>
        </w:rPr>
        <w:t>細胞癌：需同時符合下列所有條件：</w:t>
      </w:r>
    </w:p>
    <w:p w14:paraId="7DBC3A73" w14:textId="77777777" w:rsidR="007576F0" w:rsidRPr="007576F0" w:rsidRDefault="007576F0" w:rsidP="007576F0">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Ⅰ.Child-Pugh A class肝細胞癌成人患者。</w:t>
      </w:r>
    </w:p>
    <w:p w14:paraId="391B4896" w14:textId="77777777" w:rsidR="007576F0" w:rsidRPr="007576F0" w:rsidRDefault="007576F0" w:rsidP="007576F0">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Ⅱ.先前經T.A.C.E.於12個月內&gt;=3次局部治療失敗者。</w:t>
      </w:r>
    </w:p>
    <w:p w14:paraId="66BC713D" w14:textId="77777777" w:rsidR="007576F0" w:rsidRPr="007576F0" w:rsidRDefault="007576F0" w:rsidP="007576F0">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Ⅲ.已使用過至少一線標靶藥物治療失敗，又有疾病惡化者。</w:t>
      </w:r>
      <w:proofErr w:type="gramStart"/>
      <w:r w:rsidRPr="007576F0">
        <w:rPr>
          <w:rFonts w:ascii="標楷體" w:eastAsia="標楷體" w:hAnsi="標楷體" w:hint="eastAsia"/>
          <w:kern w:val="2"/>
          <w:szCs w:val="24"/>
          <w14:ligatures w14:val="standardContextual"/>
        </w:rPr>
        <w:t>本類藥品</w:t>
      </w:r>
      <w:proofErr w:type="gramEnd"/>
      <w:r w:rsidRPr="007576F0">
        <w:rPr>
          <w:rFonts w:ascii="標楷體" w:eastAsia="標楷體" w:hAnsi="標楷體" w:hint="eastAsia"/>
          <w:kern w:val="2"/>
          <w:szCs w:val="24"/>
          <w14:ligatures w14:val="standardContextual"/>
        </w:rPr>
        <w:t>與regorafenib、ramucirumab僅能擇</w:t>
      </w:r>
      <w:proofErr w:type="gramStart"/>
      <w:r w:rsidRPr="007576F0">
        <w:rPr>
          <w:rFonts w:ascii="標楷體" w:eastAsia="標楷體" w:hAnsi="標楷體" w:hint="eastAsia"/>
          <w:kern w:val="2"/>
          <w:szCs w:val="24"/>
          <w14:ligatures w14:val="standardContextual"/>
        </w:rPr>
        <w:t>一</w:t>
      </w:r>
      <w:proofErr w:type="gramEnd"/>
      <w:r w:rsidRPr="007576F0">
        <w:rPr>
          <w:rFonts w:ascii="標楷體" w:eastAsia="標楷體" w:hAnsi="標楷體" w:hint="eastAsia"/>
          <w:kern w:val="2"/>
          <w:szCs w:val="24"/>
          <w14:ligatures w14:val="standardContextual"/>
        </w:rPr>
        <w:t>使用，且治療失敗時不可互換。(108/6/1、110/5/1)</w:t>
      </w:r>
    </w:p>
    <w:p w14:paraId="66512DB0" w14:textId="77777777" w:rsidR="007576F0" w:rsidRPr="007576F0" w:rsidRDefault="007576F0" w:rsidP="007576F0">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Ⅳ.未曾進行肝臟移植。</w:t>
      </w:r>
    </w:p>
    <w:p w14:paraId="5352B4CB" w14:textId="77777777" w:rsidR="007576F0" w:rsidRPr="007576F0" w:rsidRDefault="007576F0" w:rsidP="007576F0">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Ⅴ.於109年4月1日前經審核同意用藥，後續評估符合續用申請條件者。(109/4/1)</w:t>
      </w:r>
    </w:p>
    <w:p w14:paraId="26EEB341"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(9)默克細胞</w:t>
      </w:r>
      <w:r w:rsidRPr="007576F0">
        <w:rPr>
          <w:rFonts w:ascii="標楷體" w:eastAsia="標楷體" w:hAnsi="標楷體" w:hint="eastAsia"/>
          <w:kern w:val="2"/>
          <w:szCs w:val="24"/>
          <w:lang w:val="zh-TW" w:bidi="zh-TW"/>
          <w14:ligatures w14:val="standardContextual"/>
        </w:rPr>
        <w:t>癌</w:t>
      </w:r>
      <w:r w:rsidRPr="007576F0">
        <w:rPr>
          <w:rFonts w:ascii="標楷體" w:eastAsia="標楷體" w:hAnsi="標楷體" w:hint="eastAsia"/>
          <w:kern w:val="2"/>
          <w:szCs w:val="24"/>
          <w:lang w:bidi="zh-TW"/>
          <w14:ligatures w14:val="standardContextual"/>
        </w:rPr>
        <w:t>：</w:t>
      </w:r>
      <w:r w:rsidRPr="007576F0">
        <w:rPr>
          <w:rFonts w:ascii="標楷體" w:eastAsia="標楷體" w:hAnsi="標楷體" w:hint="eastAsia"/>
          <w:kern w:val="2"/>
          <w:szCs w:val="24"/>
          <w:lang w:val="zh-TW" w:bidi="zh-TW"/>
          <w14:ligatures w14:val="standardContextual"/>
        </w:rPr>
        <w:t>限</w:t>
      </w:r>
      <w:r w:rsidRPr="007576F0">
        <w:rPr>
          <w:rFonts w:ascii="標楷體" w:eastAsia="標楷體" w:hAnsi="標楷體" w:hint="eastAsia"/>
          <w:kern w:val="2"/>
          <w:szCs w:val="24"/>
          <w:lang w:bidi="zh-TW"/>
          <w14:ligatures w14:val="standardContextual"/>
        </w:rPr>
        <w:t>avelumab</w:t>
      </w:r>
      <w:r w:rsidRPr="007576F0">
        <w:rPr>
          <w:rFonts w:ascii="標楷體" w:eastAsia="標楷體" w:hAnsi="標楷體" w:hint="eastAsia"/>
          <w:kern w:val="2"/>
          <w:szCs w:val="24"/>
          <w:lang w:val="zh-TW" w:bidi="zh-TW"/>
          <w14:ligatures w14:val="standardContextual"/>
        </w:rPr>
        <w:t>用於先前已使用過</w:t>
      </w:r>
      <w:r w:rsidRPr="007576F0">
        <w:rPr>
          <w:rFonts w:ascii="標楷體" w:eastAsia="標楷體" w:hAnsi="標楷體" w:hint="eastAsia"/>
          <w:kern w:val="2"/>
          <w:szCs w:val="24"/>
          <w:lang w:bidi="zh-TW"/>
          <w14:ligatures w14:val="standardContextual"/>
        </w:rPr>
        <w:t>platinum</w:t>
      </w:r>
      <w:r w:rsidRPr="007576F0">
        <w:rPr>
          <w:rFonts w:ascii="標楷體" w:eastAsia="標楷體" w:hAnsi="標楷體" w:hint="eastAsia"/>
          <w:kern w:val="2"/>
          <w:szCs w:val="24"/>
          <w:lang w:val="zh-TW" w:bidi="zh-TW"/>
          <w14:ligatures w14:val="standardContextual"/>
        </w:rPr>
        <w:t>類化學治療失敗後</w:t>
      </w:r>
      <w:r w:rsidRPr="007576F0">
        <w:rPr>
          <w:rFonts w:ascii="標楷體" w:eastAsia="標楷體" w:hAnsi="標楷體" w:hint="eastAsia"/>
          <w:kern w:val="2"/>
          <w:szCs w:val="24"/>
          <w:lang w:bidi="zh-TW"/>
          <w14:ligatures w14:val="standardContextual"/>
        </w:rPr>
        <w:t>，</w:t>
      </w:r>
      <w:r w:rsidRPr="007576F0">
        <w:rPr>
          <w:rFonts w:ascii="標楷體" w:eastAsia="標楷體" w:hAnsi="標楷體" w:hint="eastAsia"/>
          <w:kern w:val="2"/>
          <w:szCs w:val="24"/>
          <w:lang w:val="zh-TW" w:bidi="zh-TW"/>
          <w14:ligatures w14:val="standardContextual"/>
        </w:rPr>
        <w:t>又有疾病惡化之轉移性</w:t>
      </w:r>
      <w:proofErr w:type="gramStart"/>
      <w:r w:rsidRPr="007576F0">
        <w:rPr>
          <w:rFonts w:ascii="標楷體" w:eastAsia="標楷體" w:hAnsi="標楷體" w:hint="eastAsia"/>
          <w:kern w:val="2"/>
          <w:szCs w:val="24"/>
          <w:lang w:val="zh-TW" w:bidi="zh-TW"/>
          <w14:ligatures w14:val="standardContextual"/>
        </w:rPr>
        <w:t>第四期默克</w:t>
      </w:r>
      <w:proofErr w:type="gramEnd"/>
      <w:r w:rsidRPr="007576F0">
        <w:rPr>
          <w:rFonts w:ascii="標楷體" w:eastAsia="標楷體" w:hAnsi="標楷體" w:hint="eastAsia"/>
          <w:kern w:val="2"/>
          <w:szCs w:val="24"/>
          <w:lang w:val="zh-TW" w:bidi="zh-TW"/>
          <w14:ligatures w14:val="standardContextual"/>
        </w:rPr>
        <w:t>細胞癌</w:t>
      </w:r>
      <w:r w:rsidRPr="007576F0">
        <w:rPr>
          <w:rFonts w:ascii="標楷體" w:eastAsia="標楷體" w:hAnsi="標楷體" w:hint="eastAsia"/>
          <w:kern w:val="2"/>
          <w:szCs w:val="24"/>
          <w:lang w:bidi="zh-TW"/>
          <w14:ligatures w14:val="standardContextual"/>
        </w:rPr>
        <w:t>(Merkel Cell Carcinoma)</w:t>
      </w:r>
      <w:r w:rsidRPr="007576F0">
        <w:rPr>
          <w:rFonts w:ascii="標楷體" w:eastAsia="標楷體" w:hAnsi="標楷體" w:hint="eastAsia"/>
          <w:kern w:val="2"/>
          <w:szCs w:val="24"/>
          <w:lang w:val="zh-TW" w:bidi="zh-TW"/>
          <w14:ligatures w14:val="standardContextual"/>
        </w:rPr>
        <w:t>之成人患者。(109/6/1)</w:t>
      </w:r>
    </w:p>
    <w:p w14:paraId="2E5F807B" w14:textId="77777777" w:rsidR="007576F0" w:rsidRPr="007576F0" w:rsidRDefault="007576F0" w:rsidP="007576F0">
      <w:pPr>
        <w:suppressAutoHyphens w:val="0"/>
        <w:autoSpaceDN/>
        <w:spacing w:line="300" w:lineRule="exact"/>
        <w:ind w:left="1134" w:hanging="386"/>
        <w:jc w:val="both"/>
        <w:textAlignment w:val="auto"/>
        <w:rPr>
          <w:rFonts w:ascii="標楷體" w:eastAsia="標楷體" w:hAnsi="標楷體"/>
          <w:kern w:val="2"/>
          <w:szCs w:val="24"/>
          <w:lang w:val="zh-TW" w:bidi="zh-TW"/>
          <w14:ligatures w14:val="standardContextual"/>
        </w:rPr>
      </w:pPr>
      <w:r w:rsidRPr="007576F0">
        <w:rPr>
          <w:rFonts w:ascii="標楷體" w:eastAsia="標楷體" w:hAnsi="標楷體" w:hint="eastAsia"/>
          <w:kern w:val="2"/>
          <w:szCs w:val="24"/>
          <w:lang w:val="zh-TW" w:bidi="zh-TW"/>
          <w14:ligatures w14:val="standardContextual"/>
        </w:rPr>
        <w:t>(10)</w:t>
      </w:r>
      <w:r w:rsidRPr="007576F0">
        <w:rPr>
          <w:rFonts w:ascii="標楷體" w:eastAsia="標楷體" w:hAnsi="標楷體" w:hint="eastAsia"/>
          <w:kern w:val="2"/>
          <w:szCs w:val="24"/>
          <w:lang w:bidi="zh-TW"/>
          <w14:ligatures w14:val="standardContextual"/>
        </w:rPr>
        <w:t>食道</w:t>
      </w:r>
      <w:proofErr w:type="gramStart"/>
      <w:r w:rsidRPr="007576F0">
        <w:rPr>
          <w:rFonts w:ascii="標楷體" w:eastAsia="標楷體" w:hAnsi="標楷體" w:hint="eastAsia"/>
          <w:kern w:val="2"/>
          <w:szCs w:val="24"/>
          <w:lang w:bidi="zh-TW"/>
          <w14:ligatures w14:val="standardContextual"/>
        </w:rPr>
        <w:t>鱗狀細胞癌第</w:t>
      </w:r>
      <w:proofErr w:type="gramEnd"/>
      <w:r w:rsidRPr="007576F0">
        <w:rPr>
          <w:rFonts w:ascii="標楷體" w:eastAsia="標楷體" w:hAnsi="標楷體" w:hint="eastAsia"/>
          <w:kern w:val="2"/>
          <w:szCs w:val="24"/>
          <w:lang w:bidi="zh-TW"/>
          <w14:ligatures w14:val="standardContextual"/>
        </w:rPr>
        <w:t>二線用藥：限nivolumab用於曾接受合併</w:t>
      </w:r>
      <w:proofErr w:type="gramStart"/>
      <w:r w:rsidRPr="007576F0">
        <w:rPr>
          <w:rFonts w:ascii="標楷體" w:eastAsia="標楷體" w:hAnsi="標楷體" w:hint="eastAsia"/>
          <w:kern w:val="2"/>
          <w:szCs w:val="24"/>
          <w:lang w:bidi="zh-TW"/>
          <w14:ligatures w14:val="standardContextual"/>
        </w:rPr>
        <w:t>含鉑及</w:t>
      </w:r>
      <w:proofErr w:type="gramEnd"/>
      <w:r w:rsidRPr="007576F0">
        <w:rPr>
          <w:rFonts w:ascii="標楷體" w:eastAsia="標楷體" w:hAnsi="標楷體" w:hint="eastAsia"/>
          <w:kern w:val="2"/>
          <w:szCs w:val="24"/>
          <w:lang w:bidi="zh-TW"/>
          <w14:ligatures w14:val="standardContextual"/>
        </w:rPr>
        <w:t>fluoropyrimidine化學治療，或限</w:t>
      </w:r>
      <w:r w:rsidRPr="007576F0">
        <w:rPr>
          <w:rFonts w:ascii="標楷體" w:eastAsia="標楷體" w:hAnsi="標楷體"/>
          <w:kern w:val="2"/>
          <w:szCs w:val="24"/>
          <w:lang w:bidi="zh-TW"/>
          <w14:ligatures w14:val="standardContextual"/>
        </w:rPr>
        <w:t>tislelizumab</w:t>
      </w:r>
      <w:r w:rsidRPr="007576F0">
        <w:rPr>
          <w:rFonts w:ascii="標楷體" w:eastAsia="標楷體" w:hAnsi="標楷體" w:hint="eastAsia"/>
          <w:kern w:val="2"/>
          <w:szCs w:val="24"/>
          <w:lang w:bidi="zh-TW"/>
          <w14:ligatures w14:val="standardContextual"/>
        </w:rPr>
        <w:t>用於曾接受含鉑化學治療，之後惡化的無法手術切除之局部晚期或轉移性</w:t>
      </w:r>
      <w:proofErr w:type="gramStart"/>
      <w:r w:rsidRPr="007576F0">
        <w:rPr>
          <w:rFonts w:ascii="標楷體" w:eastAsia="標楷體" w:hAnsi="標楷體" w:hint="eastAsia"/>
          <w:kern w:val="2"/>
          <w:szCs w:val="24"/>
          <w:lang w:bidi="zh-TW"/>
          <w14:ligatures w14:val="standardContextual"/>
        </w:rPr>
        <w:t>食道鱗狀細胞</w:t>
      </w:r>
      <w:proofErr w:type="gramEnd"/>
      <w:r w:rsidRPr="007576F0">
        <w:rPr>
          <w:rFonts w:ascii="標楷體" w:eastAsia="標楷體" w:hAnsi="標楷體" w:hint="eastAsia"/>
          <w:kern w:val="2"/>
          <w:szCs w:val="24"/>
          <w:lang w:bidi="zh-TW"/>
          <w14:ligatures w14:val="standardContextual"/>
        </w:rPr>
        <w:t>癌之成人病人。</w:t>
      </w:r>
      <w:r w:rsidRPr="007576F0">
        <w:rPr>
          <w:rFonts w:ascii="標楷體" w:eastAsia="標楷體" w:hAnsi="標楷體" w:hint="eastAsia"/>
          <w:kern w:val="2"/>
          <w:szCs w:val="24"/>
          <w:lang w:val="zh-TW" w:bidi="zh-TW"/>
          <w14:ligatures w14:val="standardContextual"/>
        </w:rPr>
        <w:t>(113/4/1、113/6/1、115/2/1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hint="eastAsia"/>
          <w:kern w:val="2"/>
          <w:szCs w:val="24"/>
          <w:lang w:val="zh-TW" w:bidi="zh-TW"/>
          <w14:ligatures w14:val="standardContextual"/>
        </w:rPr>
        <w:t>)</w:t>
      </w:r>
    </w:p>
    <w:p w14:paraId="20D0CD8C"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lang w:val="zh-TW" w:bidi="zh-TW"/>
          <w14:ligatures w14:val="standardContextual"/>
        </w:rPr>
        <w:t>(11)大腸直腸癌</w:t>
      </w:r>
      <w:r w:rsidRPr="007576F0">
        <w:rPr>
          <w:rFonts w:ascii="標楷體" w:eastAsia="標楷體" w:hAnsi="標楷體" w:cs="標楷體.鬁..." w:hint="eastAsia"/>
          <w:kern w:val="0"/>
          <w:szCs w:val="24"/>
          <w14:ligatures w14:val="standardContextual"/>
        </w:rPr>
        <w:t>：限pembrolizumab做為無法切除或轉移</w:t>
      </w:r>
      <w:proofErr w:type="gramStart"/>
      <w:r w:rsidRPr="007576F0">
        <w:rPr>
          <w:rFonts w:ascii="標楷體" w:eastAsia="標楷體" w:hAnsi="標楷體" w:cs="標楷體.鬁..." w:hint="eastAsia"/>
          <w:kern w:val="0"/>
          <w:szCs w:val="24"/>
          <w14:ligatures w14:val="standardContextual"/>
        </w:rPr>
        <w:t>性高微衛星不</w:t>
      </w:r>
      <w:proofErr w:type="gramEnd"/>
      <w:r w:rsidRPr="007576F0">
        <w:rPr>
          <w:rFonts w:ascii="標楷體" w:eastAsia="標楷體" w:hAnsi="標楷體" w:cs="標楷體.鬁..." w:hint="eastAsia"/>
          <w:kern w:val="0"/>
          <w:szCs w:val="24"/>
          <w14:ligatures w14:val="standardContextual"/>
        </w:rPr>
        <w:t>穩定性(MSI-H)或錯誤配對修復功能不足性(</w:t>
      </w:r>
      <w:proofErr w:type="spellStart"/>
      <w:r w:rsidRPr="007576F0">
        <w:rPr>
          <w:rFonts w:ascii="標楷體" w:eastAsia="標楷體" w:hAnsi="標楷體" w:cs="標楷體.鬁..." w:hint="eastAsia"/>
          <w:kern w:val="0"/>
          <w:szCs w:val="24"/>
          <w14:ligatures w14:val="standardContextual"/>
        </w:rPr>
        <w:t>dMMR</w:t>
      </w:r>
      <w:proofErr w:type="spellEnd"/>
      <w:r w:rsidRPr="007576F0">
        <w:rPr>
          <w:rFonts w:ascii="標楷體" w:eastAsia="標楷體" w:hAnsi="標楷體" w:cs="標楷體.鬁..." w:hint="eastAsia"/>
          <w:kern w:val="0"/>
          <w:szCs w:val="24"/>
          <w14:ligatures w14:val="standardContextual"/>
        </w:rPr>
        <w:t>)大腸直腸癌(CRC)之成年病人第一線治療。(114/6/1)</w:t>
      </w:r>
    </w:p>
    <w:p w14:paraId="056A25B1" w14:textId="77777777" w:rsidR="007576F0" w:rsidRPr="007576F0" w:rsidRDefault="007576F0" w:rsidP="007576F0">
      <w:pPr>
        <w:tabs>
          <w:tab w:val="left" w:pos="1418"/>
        </w:tabs>
        <w:spacing w:line="300" w:lineRule="exact"/>
        <w:ind w:left="811" w:hanging="245"/>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2.</w:t>
      </w:r>
      <w:proofErr w:type="gramStart"/>
      <w:r w:rsidRPr="007576F0">
        <w:rPr>
          <w:rFonts w:ascii="標楷體" w:eastAsia="標楷體" w:hAnsi="標楷體" w:hint="eastAsia"/>
          <w:kern w:val="2"/>
          <w:szCs w:val="24"/>
          <w14:ligatures w14:val="standardContextual"/>
        </w:rPr>
        <w:t>本類藥品</w:t>
      </w:r>
      <w:proofErr w:type="gramEnd"/>
      <w:r w:rsidRPr="007576F0">
        <w:rPr>
          <w:rFonts w:ascii="標楷體" w:eastAsia="標楷體" w:hAnsi="標楷體" w:hint="eastAsia"/>
          <w:kern w:val="2"/>
          <w:szCs w:val="24"/>
          <w14:ligatures w14:val="standardContextual"/>
        </w:rPr>
        <w:t>得於藥品許可證登載之適應症及藥品仿單內，</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用其他藥品於下列患者：</w:t>
      </w:r>
    </w:p>
    <w:p w14:paraId="5434A2C2" w14:textId="77777777" w:rsidR="007576F0" w:rsidRPr="007576F0" w:rsidRDefault="007576F0" w:rsidP="007576F0">
      <w:pPr>
        <w:tabs>
          <w:tab w:val="left" w:pos="1418"/>
        </w:tabs>
        <w:spacing w:line="300" w:lineRule="exact"/>
        <w:ind w:left="811" w:hanging="102"/>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(112/12/1、113/4/1、113/6/1、113/8/1、114/2/1、</w:t>
      </w:r>
      <w:r w:rsidRPr="007576F0">
        <w:rPr>
          <w:rFonts w:ascii="標楷體" w:eastAsia="標楷體" w:hAnsi="標楷體" w:cs="標楷體.鬁..." w:hint="eastAsia"/>
          <w:kern w:val="0"/>
          <w:szCs w:val="24"/>
          <w14:ligatures w14:val="standardContextual"/>
        </w:rPr>
        <w:t>114/6/1</w:t>
      </w:r>
      <w:r w:rsidRPr="007576F0">
        <w:rPr>
          <w:rFonts w:ascii="標楷體" w:eastAsia="標楷體" w:hAnsi="標楷體" w:hint="eastAsia"/>
          <w:kern w:val="2"/>
          <w:szCs w:val="24"/>
          <w:lang w:val="zh-TW" w:bidi="zh-TW"/>
          <w14:ligatures w14:val="standardContextual"/>
        </w:rPr>
        <w:t>、</w:t>
      </w:r>
      <w:r w:rsidRPr="007576F0">
        <w:rPr>
          <w:rFonts w:ascii="標楷體" w:eastAsia="標楷體" w:hAnsi="標楷體" w:hint="eastAsia"/>
          <w:kern w:val="2"/>
          <w:szCs w:val="24"/>
          <w:lang w:bidi="zh-TW"/>
          <w14:ligatures w14:val="standardContextual"/>
        </w:rPr>
        <w:t>115/2/1</w:t>
      </w:r>
      <w:r w:rsidRPr="007576F0">
        <w:rPr>
          <w:rFonts w:ascii="標楷體" w:eastAsia="標楷體" w:hAnsi="標楷體" w:hint="eastAsia"/>
          <w:kern w:val="2"/>
          <w:szCs w:val="24"/>
          <w:lang w:val="zh-TW" w:bidi="zh-TW"/>
          <w14:ligatures w14:val="standardContextual"/>
        </w:rPr>
        <w:t>、</w:t>
      </w:r>
      <w:r w:rsidRPr="007576F0">
        <w:rPr>
          <w:rFonts w:ascii="標楷體" w:eastAsia="標楷體" w:hAnsi="標楷體" w:hint="eastAsia"/>
          <w:kern w:val="2"/>
          <w:szCs w:val="24"/>
          <w:lang w:bidi="zh-TW"/>
          <w14:ligatures w14:val="standardContextual"/>
        </w:rPr>
        <w:t>115/4/1</w:t>
      </w:r>
      <w:r w:rsidRPr="007576F0">
        <w:rPr>
          <w:rFonts w:ascii="標楷體" w:eastAsia="標楷體" w:hAnsi="標楷體" w:cs="標楷體.鬁..." w:hint="eastAsia"/>
          <w:kern w:val="0"/>
          <w:szCs w:val="24"/>
          <w14:ligatures w14:val="standardContextual"/>
        </w:rPr>
        <w:t>、</w:t>
      </w:r>
      <w:r w:rsidRPr="007576F0">
        <w:rPr>
          <w:rFonts w:ascii="標楷體" w:eastAsia="標楷體" w:hAnsi="標楷體" w:hint="eastAsia"/>
          <w:kern w:val="0"/>
          <w:szCs w:val="24"/>
          <w14:ligatures w14:val="standardContextual"/>
        </w:rPr>
        <w:t>115/6/1、115/8/1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hint="eastAsia"/>
          <w:kern w:val="0"/>
          <w:szCs w:val="24"/>
          <w14:ligatures w14:val="standardContextual"/>
        </w:rPr>
        <w:t>)</w:t>
      </w:r>
    </w:p>
    <w:p w14:paraId="0254D3CF"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(1)</w:t>
      </w:r>
      <w:proofErr w:type="gramStart"/>
      <w:r w:rsidRPr="007576F0">
        <w:rPr>
          <w:rFonts w:ascii="標楷體" w:eastAsia="標楷體" w:hAnsi="標楷體" w:hint="eastAsia"/>
          <w:kern w:val="2"/>
          <w:szCs w:val="24"/>
          <w:lang w:val="zh-TW" w:bidi="zh-TW"/>
          <w14:ligatures w14:val="standardContextual"/>
        </w:rPr>
        <w:t>晚期</w:t>
      </w:r>
      <w:r w:rsidRPr="007576F0">
        <w:rPr>
          <w:rFonts w:ascii="標楷體" w:eastAsia="標楷體" w:hAnsi="標楷體" w:hint="eastAsia"/>
          <w:kern w:val="2"/>
          <w:szCs w:val="24"/>
          <w14:ligatures w14:val="standardContextual"/>
        </w:rPr>
        <w:t>肝</w:t>
      </w:r>
      <w:proofErr w:type="gramEnd"/>
      <w:r w:rsidRPr="007576F0">
        <w:rPr>
          <w:rFonts w:ascii="標楷體" w:eastAsia="標楷體" w:hAnsi="標楷體" w:hint="eastAsia"/>
          <w:kern w:val="2"/>
          <w:szCs w:val="24"/>
          <w14:ligatures w14:val="standardContextual"/>
        </w:rPr>
        <w:t>細胞癌第一線用藥(112/8/1、112/10/1、114/2/1):</w:t>
      </w:r>
    </w:p>
    <w:p w14:paraId="0B4E4BD3" w14:textId="77777777" w:rsidR="007576F0" w:rsidRPr="007576F0" w:rsidRDefault="007576F0" w:rsidP="007576F0">
      <w:pPr>
        <w:suppressAutoHyphens w:val="0"/>
        <w:autoSpaceDN/>
        <w:spacing w:line="300" w:lineRule="exact"/>
        <w:ind w:left="151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Ⅰ.限atezolizumab與bevacizumab</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用，或限durvalumab與</w:t>
      </w:r>
      <w:proofErr w:type="spellStart"/>
      <w:r w:rsidRPr="007576F0">
        <w:rPr>
          <w:rFonts w:ascii="標楷體" w:eastAsia="標楷體" w:hAnsi="標楷體" w:hint="eastAsia"/>
          <w:kern w:val="2"/>
          <w:szCs w:val="24"/>
          <w14:ligatures w14:val="standardContextual"/>
        </w:rPr>
        <w:t>tremelimumab</w:t>
      </w:r>
      <w:proofErr w:type="spellEnd"/>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用，適用於治療未曾接受全身性療法之轉移性或無法手術切除且不適合局部治療或局部治療失敗之Child-Pugh A class</w:t>
      </w:r>
      <w:proofErr w:type="gramStart"/>
      <w:r w:rsidRPr="007576F0">
        <w:rPr>
          <w:rFonts w:ascii="標楷體" w:eastAsia="標楷體" w:hAnsi="標楷體" w:hint="eastAsia"/>
          <w:kern w:val="2"/>
          <w:szCs w:val="24"/>
          <w14:ligatures w14:val="standardContextual"/>
        </w:rPr>
        <w:t>晚期肝</w:t>
      </w:r>
      <w:proofErr w:type="gramEnd"/>
      <w:r w:rsidRPr="007576F0">
        <w:rPr>
          <w:rFonts w:ascii="標楷體" w:eastAsia="標楷體" w:hAnsi="標楷體" w:hint="eastAsia"/>
          <w:kern w:val="2"/>
          <w:szCs w:val="24"/>
          <w14:ligatures w14:val="standardContextual"/>
        </w:rPr>
        <w:t>細胞癌成人患者，並符合下列條件之</w:t>
      </w:r>
      <w:proofErr w:type="gramStart"/>
      <w:r w:rsidRPr="007576F0">
        <w:rPr>
          <w:rFonts w:ascii="標楷體" w:eastAsia="標楷體" w:hAnsi="標楷體" w:hint="eastAsia"/>
          <w:kern w:val="2"/>
          <w:szCs w:val="24"/>
          <w14:ligatures w14:val="standardContextual"/>
        </w:rPr>
        <w:t>一</w:t>
      </w:r>
      <w:proofErr w:type="gramEnd"/>
      <w:r w:rsidRPr="007576F0">
        <w:rPr>
          <w:rFonts w:ascii="標楷體" w:eastAsia="標楷體" w:hAnsi="標楷體" w:hint="eastAsia"/>
          <w:kern w:val="2"/>
          <w:szCs w:val="24"/>
          <w14:ligatures w14:val="standardContextual"/>
        </w:rPr>
        <w:t>：</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112/8/1、112/10/1、114/2/1)</w:t>
      </w:r>
    </w:p>
    <w:p w14:paraId="55BF83CB" w14:textId="77777777" w:rsidR="007576F0" w:rsidRPr="007576F0" w:rsidRDefault="007576F0" w:rsidP="001E268F">
      <w:pPr>
        <w:tabs>
          <w:tab w:val="left" w:pos="1185"/>
        </w:tabs>
        <w:suppressAutoHyphens w:val="0"/>
        <w:autoSpaceDN/>
        <w:spacing w:line="300" w:lineRule="exact"/>
        <w:ind w:left="1701" w:hanging="425"/>
        <w:jc w:val="both"/>
        <w:textAlignment w:val="auto"/>
        <w:rPr>
          <w:rFonts w:ascii="標楷體" w:eastAsia="標楷體" w:hAnsi="標楷體"/>
          <w:kern w:val="2"/>
          <w:szCs w:val="24"/>
          <w14:ligatures w14:val="standardContextual"/>
        </w:rPr>
      </w:pPr>
      <w:proofErr w:type="spellStart"/>
      <w:r w:rsidRPr="007576F0">
        <w:rPr>
          <w:rFonts w:ascii="標楷體" w:eastAsia="標楷體" w:hAnsi="標楷體" w:hint="eastAsia"/>
          <w:kern w:val="2"/>
          <w:szCs w:val="24"/>
          <w14:ligatures w14:val="standardContextual"/>
        </w:rPr>
        <w:t>i</w:t>
      </w:r>
      <w:proofErr w:type="spellEnd"/>
      <w:r w:rsidRPr="007576F0">
        <w:rPr>
          <w:rFonts w:ascii="標楷體" w:eastAsia="標楷體" w:hAnsi="標楷體" w:hint="eastAsia"/>
          <w:kern w:val="2"/>
          <w:szCs w:val="24"/>
          <w14:ligatures w14:val="standardContextual"/>
        </w:rPr>
        <w:t>.</w:t>
      </w:r>
      <w:proofErr w:type="gramStart"/>
      <w:r w:rsidRPr="007576F0">
        <w:rPr>
          <w:rFonts w:ascii="標楷體" w:eastAsia="標楷體" w:hAnsi="標楷體" w:hint="eastAsia"/>
          <w:kern w:val="2"/>
          <w:szCs w:val="24"/>
          <w14:ligatures w14:val="standardContextual"/>
        </w:rPr>
        <w:t>肝外轉移</w:t>
      </w:r>
      <w:proofErr w:type="gramEnd"/>
      <w:r w:rsidRPr="007576F0">
        <w:rPr>
          <w:rFonts w:ascii="標楷體" w:eastAsia="標楷體" w:hAnsi="標楷體" w:hint="eastAsia"/>
          <w:kern w:val="2"/>
          <w:szCs w:val="24"/>
          <w14:ligatures w14:val="standardContextual"/>
        </w:rPr>
        <w:t>（遠端轉移或肝外淋巴結侵犯）。</w:t>
      </w:r>
    </w:p>
    <w:p w14:paraId="2F2FDEAD" w14:textId="77777777" w:rsidR="007576F0" w:rsidRPr="007576F0" w:rsidRDefault="007576F0" w:rsidP="001E268F">
      <w:pPr>
        <w:tabs>
          <w:tab w:val="left" w:pos="1185"/>
        </w:tabs>
        <w:suppressAutoHyphens w:val="0"/>
        <w:autoSpaceDN/>
        <w:spacing w:line="300" w:lineRule="exact"/>
        <w:ind w:left="1701" w:hanging="42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ii.大血管侵犯（腫瘤侵犯主門靜脈或侵犯左/右靜脈第一或第二分支）。</w:t>
      </w:r>
    </w:p>
    <w:p w14:paraId="5A7E5888" w14:textId="77777777" w:rsidR="007576F0" w:rsidRPr="007576F0" w:rsidRDefault="007576F0" w:rsidP="001E268F">
      <w:pPr>
        <w:tabs>
          <w:tab w:val="left" w:pos="1185"/>
        </w:tabs>
        <w:suppressAutoHyphens w:val="0"/>
        <w:autoSpaceDN/>
        <w:spacing w:line="300" w:lineRule="exact"/>
        <w:ind w:left="1701" w:hanging="425"/>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iii.經導管動脈化學藥物栓塞治療</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Transcatheter arterial chemo embolization, T.A.C.E.）失敗者，需提供患者於12個月內&gt;=3次局部治療之紀錄。</w:t>
      </w:r>
    </w:p>
    <w:p w14:paraId="3C173066" w14:textId="77777777" w:rsidR="007576F0" w:rsidRPr="007576F0" w:rsidRDefault="007576F0" w:rsidP="007576F0">
      <w:pPr>
        <w:suppressAutoHyphens w:val="0"/>
        <w:autoSpaceDN/>
        <w:spacing w:line="300" w:lineRule="exact"/>
        <w:ind w:left="151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II.須排除有以下任</w:t>
      </w:r>
      <w:proofErr w:type="gramStart"/>
      <w:r w:rsidRPr="007576F0">
        <w:rPr>
          <w:rFonts w:ascii="標楷體" w:eastAsia="標楷體" w:hAnsi="標楷體" w:hint="eastAsia"/>
          <w:kern w:val="2"/>
          <w:szCs w:val="24"/>
          <w14:ligatures w14:val="standardContextual"/>
        </w:rPr>
        <w:t>一</w:t>
      </w:r>
      <w:proofErr w:type="gramEnd"/>
      <w:r w:rsidRPr="007576F0">
        <w:rPr>
          <w:rFonts w:ascii="標楷體" w:eastAsia="標楷體" w:hAnsi="標楷體" w:hint="eastAsia"/>
          <w:kern w:val="2"/>
          <w:szCs w:val="24"/>
          <w14:ligatures w14:val="standardContextual"/>
        </w:rPr>
        <w:t>情形：</w:t>
      </w:r>
    </w:p>
    <w:p w14:paraId="60A88E79" w14:textId="77777777" w:rsidR="007576F0" w:rsidRPr="007576F0" w:rsidRDefault="007576F0" w:rsidP="001E268F">
      <w:pPr>
        <w:tabs>
          <w:tab w:val="left" w:pos="1185"/>
        </w:tabs>
        <w:suppressAutoHyphens w:val="0"/>
        <w:autoSpaceDN/>
        <w:spacing w:line="300" w:lineRule="exact"/>
        <w:ind w:left="1798" w:hanging="522"/>
        <w:jc w:val="both"/>
        <w:textAlignment w:val="auto"/>
        <w:rPr>
          <w:rFonts w:ascii="標楷體" w:eastAsia="標楷體" w:hAnsi="標楷體"/>
          <w:kern w:val="2"/>
          <w:szCs w:val="24"/>
          <w14:ligatures w14:val="standardContextual"/>
        </w:rPr>
      </w:pPr>
      <w:proofErr w:type="spellStart"/>
      <w:r w:rsidRPr="007576F0">
        <w:rPr>
          <w:rFonts w:ascii="標楷體" w:eastAsia="標楷體" w:hAnsi="標楷體" w:hint="eastAsia"/>
          <w:kern w:val="2"/>
          <w:szCs w:val="24"/>
          <w14:ligatures w14:val="standardContextual"/>
        </w:rPr>
        <w:t>i</w:t>
      </w:r>
      <w:proofErr w:type="spellEnd"/>
      <w:r w:rsidRPr="007576F0">
        <w:rPr>
          <w:rFonts w:ascii="標楷體" w:eastAsia="標楷體" w:hAnsi="標楷體" w:hint="eastAsia"/>
          <w:kern w:val="2"/>
          <w:szCs w:val="24"/>
          <w14:ligatures w14:val="standardContextual"/>
        </w:rPr>
        <w:t>.曾接受器官移植。</w:t>
      </w:r>
    </w:p>
    <w:p w14:paraId="3D6E947E" w14:textId="77777777" w:rsidR="007576F0" w:rsidRPr="007576F0" w:rsidRDefault="007576F0" w:rsidP="001E268F">
      <w:pPr>
        <w:tabs>
          <w:tab w:val="left" w:pos="1185"/>
        </w:tabs>
        <w:suppressAutoHyphens w:val="0"/>
        <w:autoSpaceDN/>
        <w:spacing w:line="300" w:lineRule="exact"/>
        <w:ind w:left="1798" w:hanging="522"/>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lastRenderedPageBreak/>
        <w:t>ii.正在接受免疫抑制藥物治療。</w:t>
      </w:r>
    </w:p>
    <w:p w14:paraId="56438C20" w14:textId="77777777" w:rsidR="007576F0" w:rsidRPr="007576F0" w:rsidRDefault="007576F0" w:rsidP="001E268F">
      <w:pPr>
        <w:tabs>
          <w:tab w:val="left" w:pos="1185"/>
        </w:tabs>
        <w:suppressAutoHyphens w:val="0"/>
        <w:autoSpaceDN/>
        <w:spacing w:line="300" w:lineRule="exact"/>
        <w:ind w:left="1798" w:hanging="522"/>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iii.有上消化道出血之疑慮且未接受完全治療 (須有半年內之內視鏡評估報告)。</w:t>
      </w:r>
    </w:p>
    <w:p w14:paraId="7863861B" w14:textId="77777777" w:rsidR="007576F0" w:rsidRPr="007576F0" w:rsidRDefault="007576F0" w:rsidP="007576F0">
      <w:pPr>
        <w:suppressAutoHyphens w:val="0"/>
        <w:autoSpaceDN/>
        <w:spacing w:line="300" w:lineRule="exact"/>
        <w:ind w:left="1514" w:hanging="386"/>
        <w:jc w:val="both"/>
        <w:textAlignment w:val="auto"/>
        <w:rPr>
          <w:rFonts w:ascii="Aptos" w:hAnsi="Aptos" w:hint="eastAsia"/>
          <w:kern w:val="2"/>
          <w:szCs w:val="24"/>
          <w14:ligatures w14:val="standardContextual"/>
        </w:rPr>
      </w:pPr>
      <w:proofErr w:type="spellStart"/>
      <w:r w:rsidRPr="007576F0">
        <w:rPr>
          <w:rFonts w:ascii="標楷體" w:eastAsia="標楷體" w:hAnsi="標楷體" w:hint="eastAsia"/>
          <w:kern w:val="2"/>
          <w:szCs w:val="24"/>
          <w14:ligatures w14:val="standardContextual"/>
        </w:rPr>
        <w:t>III.</w:t>
      </w:r>
      <w:r w:rsidRPr="007576F0">
        <w:rPr>
          <w:rFonts w:ascii="標楷體" w:eastAsia="標楷體" w:hAnsi="標楷體" w:cs="Liberation Serif" w:hint="eastAsia"/>
          <w:kern w:val="2"/>
          <w:szCs w:val="24"/>
          <w14:ligatures w14:val="standardContextual"/>
        </w:rPr>
        <w:t>sorafenib</w:t>
      </w:r>
      <w:proofErr w:type="spellEnd"/>
      <w:r w:rsidRPr="007576F0">
        <w:rPr>
          <w:rFonts w:ascii="標楷體" w:eastAsia="標楷體" w:hAnsi="標楷體" w:cs="Liberation Serif" w:hint="eastAsia"/>
          <w:kern w:val="2"/>
          <w:szCs w:val="24"/>
          <w14:ligatures w14:val="standardContextual"/>
        </w:rPr>
        <w:t>、</w:t>
      </w:r>
      <w:proofErr w:type="spellStart"/>
      <w:r w:rsidRPr="007576F0">
        <w:rPr>
          <w:rFonts w:ascii="標楷體" w:eastAsia="標楷體" w:hAnsi="標楷體" w:cs="Liberation Serif" w:hint="eastAsia"/>
          <w:kern w:val="2"/>
          <w:szCs w:val="24"/>
          <w14:ligatures w14:val="standardContextual"/>
        </w:rPr>
        <w:t>lenvatinib</w:t>
      </w:r>
      <w:proofErr w:type="spellEnd"/>
      <w:r w:rsidRPr="007576F0">
        <w:rPr>
          <w:rFonts w:ascii="標楷體" w:eastAsia="標楷體" w:hAnsi="標楷體" w:cs="Liberation Serif" w:hint="eastAsia"/>
          <w:kern w:val="2"/>
          <w:szCs w:val="24"/>
          <w14:ligatures w14:val="standardContextual"/>
        </w:rPr>
        <w:t>、atezolizumab與bevacizumab</w:t>
      </w:r>
      <w:proofErr w:type="gramStart"/>
      <w:r w:rsidRPr="007576F0">
        <w:rPr>
          <w:rFonts w:ascii="標楷體" w:eastAsia="標楷體" w:hAnsi="標楷體" w:cs="Liberation Serif" w:hint="eastAsia"/>
          <w:kern w:val="2"/>
          <w:szCs w:val="24"/>
          <w14:ligatures w14:val="standardContextual"/>
        </w:rPr>
        <w:t>併</w:t>
      </w:r>
      <w:proofErr w:type="gramEnd"/>
      <w:r w:rsidRPr="007576F0">
        <w:rPr>
          <w:rFonts w:ascii="標楷體" w:eastAsia="標楷體" w:hAnsi="標楷體" w:cs="Liberation Serif" w:hint="eastAsia"/>
          <w:kern w:val="2"/>
          <w:szCs w:val="24"/>
          <w14:ligatures w14:val="standardContextual"/>
        </w:rPr>
        <w:t>用、durvalumab與</w:t>
      </w:r>
      <w:proofErr w:type="spellStart"/>
      <w:r w:rsidRPr="007576F0">
        <w:rPr>
          <w:rFonts w:ascii="標楷體" w:eastAsia="標楷體" w:hAnsi="標楷體" w:cs="Liberation Serif" w:hint="eastAsia"/>
          <w:kern w:val="2"/>
          <w:szCs w:val="24"/>
          <w14:ligatures w14:val="standardContextual"/>
        </w:rPr>
        <w:t>tremelimumab</w:t>
      </w:r>
      <w:proofErr w:type="spellEnd"/>
      <w:proofErr w:type="gramStart"/>
      <w:r w:rsidRPr="007576F0">
        <w:rPr>
          <w:rFonts w:ascii="標楷體" w:eastAsia="標楷體" w:hAnsi="標楷體" w:cs="Liberation Serif" w:hint="eastAsia"/>
          <w:kern w:val="2"/>
          <w:szCs w:val="24"/>
          <w14:ligatures w14:val="standardContextual"/>
        </w:rPr>
        <w:t>併用僅</w:t>
      </w:r>
      <w:proofErr w:type="gramEnd"/>
      <w:r w:rsidRPr="007576F0">
        <w:rPr>
          <w:rFonts w:ascii="標楷體" w:eastAsia="標楷體" w:hAnsi="標楷體" w:cs="Liberation Serif" w:hint="eastAsia"/>
          <w:kern w:val="2"/>
          <w:szCs w:val="24"/>
          <w14:ligatures w14:val="standardContextual"/>
        </w:rPr>
        <w:t>得擇</w:t>
      </w:r>
      <w:proofErr w:type="gramStart"/>
      <w:r w:rsidRPr="007576F0">
        <w:rPr>
          <w:rFonts w:ascii="標楷體" w:eastAsia="標楷體" w:hAnsi="標楷體" w:cs="Liberation Serif" w:hint="eastAsia"/>
          <w:kern w:val="2"/>
          <w:szCs w:val="24"/>
          <w14:ligatures w14:val="standardContextual"/>
        </w:rPr>
        <w:t>一</w:t>
      </w:r>
      <w:proofErr w:type="gramEnd"/>
      <w:r w:rsidRPr="007576F0">
        <w:rPr>
          <w:rFonts w:ascii="標楷體" w:eastAsia="標楷體" w:hAnsi="標楷體" w:cs="Liberation Serif" w:hint="eastAsia"/>
          <w:kern w:val="2"/>
          <w:szCs w:val="24"/>
          <w14:ligatures w14:val="standardContextual"/>
        </w:rPr>
        <w:t>給付，不得互換。(114/2/1)</w:t>
      </w:r>
    </w:p>
    <w:p w14:paraId="1D1CBBE3" w14:textId="77777777" w:rsidR="007576F0" w:rsidRPr="007576F0" w:rsidRDefault="007576F0" w:rsidP="007576F0">
      <w:pPr>
        <w:suppressAutoHyphens w:val="0"/>
        <w:autoSpaceDN/>
        <w:spacing w:line="300" w:lineRule="exact"/>
        <w:ind w:left="1514" w:hanging="386"/>
        <w:jc w:val="both"/>
        <w:textAlignment w:val="auto"/>
        <w:rPr>
          <w:rFonts w:ascii="Aptos" w:hAnsi="Aptos" w:hint="eastAsia"/>
          <w:kern w:val="2"/>
          <w:szCs w:val="24"/>
          <w14:ligatures w14:val="standardContextual"/>
        </w:rPr>
      </w:pPr>
      <w:proofErr w:type="spellStart"/>
      <w:r w:rsidRPr="007576F0">
        <w:rPr>
          <w:rFonts w:ascii="標楷體" w:eastAsia="標楷體" w:hAnsi="標楷體" w:hint="eastAsia"/>
          <w:kern w:val="2"/>
          <w:szCs w:val="24"/>
          <w14:ligatures w14:val="standardContextual"/>
        </w:rPr>
        <w:t>IV.atezolizumab</w:t>
      </w:r>
      <w:proofErr w:type="spellEnd"/>
      <w:r w:rsidRPr="007576F0">
        <w:rPr>
          <w:rFonts w:ascii="標楷體" w:eastAsia="標楷體" w:hAnsi="標楷體" w:hint="eastAsia"/>
          <w:kern w:val="2"/>
          <w:szCs w:val="24"/>
          <w14:ligatures w14:val="standardContextual"/>
        </w:rPr>
        <w:t>與bevacizumab</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用或durvalumab與</w:t>
      </w:r>
      <w:proofErr w:type="spellStart"/>
      <w:r w:rsidRPr="007576F0">
        <w:rPr>
          <w:rFonts w:ascii="標楷體" w:eastAsia="標楷體" w:hAnsi="標楷體" w:hint="eastAsia"/>
          <w:kern w:val="2"/>
          <w:szCs w:val="24"/>
          <w14:ligatures w14:val="standardContextual"/>
        </w:rPr>
        <w:t>tremelimumab</w:t>
      </w:r>
      <w:proofErr w:type="spellEnd"/>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用治療失敗後，不得申請使用regorafenib或ramucirumab。(114/2/1)</w:t>
      </w:r>
    </w:p>
    <w:p w14:paraId="7260B387"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0"/>
          <w:szCs w:val="24"/>
          <w14:ligatures w14:val="standardContextual"/>
        </w:rPr>
        <w:t>(2)非小細胞肺癌：(112/12/1、113/4/1、113/8/1、114/6/1、115/6/1、115/8/1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cs="新細明體" w:hint="eastAsia"/>
          <w:kern w:val="0"/>
          <w:szCs w:val="24"/>
          <w14:ligatures w14:val="standardContextual"/>
        </w:rPr>
        <w:t>)</w:t>
      </w:r>
    </w:p>
    <w:p w14:paraId="02D42780" w14:textId="77777777" w:rsidR="007576F0" w:rsidRPr="007576F0" w:rsidRDefault="007576F0" w:rsidP="002144EC">
      <w:pPr>
        <w:numPr>
          <w:ilvl w:val="0"/>
          <w:numId w:val="204"/>
        </w:numPr>
        <w:suppressAutoHyphens w:val="0"/>
        <w:autoSpaceDN/>
        <w:spacing w:after="160" w:line="300" w:lineRule="exact"/>
        <w:ind w:leftChars="413" w:left="1272" w:hangingChars="117" w:hanging="281"/>
        <w:contextualSpacing/>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非小細胞肺癌術前輔助治療：限用於可切除（腫瘤</w:t>
      </w:r>
      <w:proofErr w:type="gramStart"/>
      <w:r w:rsidRPr="007576F0">
        <w:rPr>
          <w:rFonts w:ascii="標楷體" w:eastAsia="標楷體" w:hAnsi="標楷體" w:hint="eastAsia"/>
          <w:kern w:val="0"/>
          <w:szCs w:val="24"/>
          <w14:ligatures w14:val="standardContextual"/>
        </w:rPr>
        <w:t>≧</w:t>
      </w:r>
      <w:proofErr w:type="gramEnd"/>
      <w:r w:rsidRPr="007576F0">
        <w:rPr>
          <w:rFonts w:ascii="標楷體" w:eastAsia="標楷體" w:hAnsi="標楷體" w:hint="eastAsia"/>
          <w:kern w:val="0"/>
          <w:szCs w:val="24"/>
          <w14:ligatures w14:val="standardContextual"/>
        </w:rPr>
        <w:t>4公分或淋巴結陽性N1/N2(排除N3)，且無疾病轉移M0）之不具EGFR或ALK 腫瘤基因異常成人病人，且至多3個療程，並依下列條件使用：(115/6/1、115/8/1)</w:t>
      </w:r>
    </w:p>
    <w:p w14:paraId="1FFC0AE1" w14:textId="77777777" w:rsidR="007576F0" w:rsidRPr="007576F0" w:rsidRDefault="007576F0" w:rsidP="002144EC">
      <w:pPr>
        <w:numPr>
          <w:ilvl w:val="1"/>
          <w:numId w:val="205"/>
        </w:numPr>
        <w:suppressAutoHyphens w:val="0"/>
        <w:autoSpaceDN/>
        <w:spacing w:after="160" w:line="300" w:lineRule="exact"/>
        <w:ind w:leftChars="650" w:left="1560" w:firstLine="0"/>
        <w:contextualSpacing/>
        <w:jc w:val="both"/>
        <w:textAlignment w:val="auto"/>
        <w:rPr>
          <w:rFonts w:ascii="標楷體" w:eastAsia="標楷體" w:hAnsi="標楷體"/>
          <w:kern w:val="0"/>
          <w:szCs w:val="24"/>
          <w14:ligatures w14:val="standardContextual"/>
        </w:rPr>
      </w:pPr>
      <w:proofErr w:type="gramStart"/>
      <w:r w:rsidRPr="007576F0">
        <w:rPr>
          <w:rFonts w:ascii="標楷體" w:eastAsia="標楷體" w:hAnsi="標楷體" w:hint="eastAsia"/>
          <w:kern w:val="0"/>
          <w:szCs w:val="24"/>
          <w14:ligatures w14:val="standardContextual"/>
        </w:rPr>
        <w:t>非鱗狀非</w:t>
      </w:r>
      <w:proofErr w:type="gramEnd"/>
      <w:r w:rsidRPr="007576F0">
        <w:rPr>
          <w:rFonts w:ascii="標楷體" w:eastAsia="標楷體" w:hAnsi="標楷體" w:hint="eastAsia"/>
          <w:kern w:val="0"/>
          <w:szCs w:val="24"/>
          <w14:ligatures w14:val="standardContextual"/>
        </w:rPr>
        <w:t>小細胞肺癌：限nivolumab與pemetrexed(限使用</w:t>
      </w:r>
      <w:proofErr w:type="spellStart"/>
      <w:r w:rsidRPr="007576F0">
        <w:rPr>
          <w:rFonts w:ascii="標楷體" w:eastAsia="標楷體" w:hAnsi="標楷體" w:hint="eastAsia"/>
          <w:kern w:val="0"/>
          <w:szCs w:val="24"/>
          <w14:ligatures w14:val="standardContextual"/>
        </w:rPr>
        <w:t>Pexeda</w:t>
      </w:r>
      <w:proofErr w:type="spellEnd"/>
      <w:r w:rsidRPr="007576F0">
        <w:rPr>
          <w:rFonts w:ascii="標楷體" w:eastAsia="標楷體" w:hAnsi="標楷體" w:hint="eastAsia"/>
          <w:kern w:val="0"/>
          <w:szCs w:val="24"/>
          <w14:ligatures w14:val="standardContextual"/>
        </w:rPr>
        <w:t>、</w:t>
      </w:r>
      <w:proofErr w:type="spellStart"/>
      <w:r w:rsidRPr="007576F0">
        <w:rPr>
          <w:rFonts w:ascii="標楷體" w:eastAsia="標楷體" w:hAnsi="標楷體" w:hint="eastAsia"/>
          <w:kern w:val="0"/>
          <w:szCs w:val="24"/>
          <w14:ligatures w14:val="standardContextual"/>
        </w:rPr>
        <w:t>Apeta</w:t>
      </w:r>
      <w:proofErr w:type="spellEnd"/>
      <w:r w:rsidRPr="007576F0">
        <w:rPr>
          <w:rFonts w:ascii="標楷體" w:eastAsia="標楷體" w:hAnsi="標楷體" w:hint="eastAsia"/>
          <w:kern w:val="0"/>
          <w:szCs w:val="24"/>
          <w14:ligatures w14:val="standardContextual"/>
        </w:rPr>
        <w:t xml:space="preserve">、Pemetrexed Sandoz或Alimta </w:t>
      </w:r>
      <w:proofErr w:type="spellStart"/>
      <w:r w:rsidRPr="007576F0">
        <w:rPr>
          <w:rFonts w:ascii="標楷體" w:eastAsia="標楷體" w:hAnsi="標楷體" w:hint="eastAsia"/>
          <w:kern w:val="0"/>
          <w:szCs w:val="24"/>
          <w14:ligatures w14:val="standardContextual"/>
        </w:rPr>
        <w:t>Avos</w:t>
      </w:r>
      <w:proofErr w:type="spellEnd"/>
      <w:r w:rsidRPr="007576F0">
        <w:rPr>
          <w:rFonts w:ascii="標楷體" w:eastAsia="標楷體" w:hAnsi="標楷體" w:hint="eastAsia"/>
          <w:kern w:val="0"/>
          <w:szCs w:val="24"/>
          <w14:ligatures w14:val="standardContextual"/>
        </w:rPr>
        <w:t>)及含</w:t>
      </w:r>
      <w:proofErr w:type="gramStart"/>
      <w:r w:rsidRPr="007576F0">
        <w:rPr>
          <w:rFonts w:ascii="標楷體" w:eastAsia="標楷體" w:hAnsi="標楷體" w:hint="eastAsia"/>
          <w:kern w:val="0"/>
          <w:szCs w:val="24"/>
          <w14:ligatures w14:val="standardContextual"/>
        </w:rPr>
        <w:t>鉑化療併</w:t>
      </w:r>
      <w:proofErr w:type="gramEnd"/>
      <w:r w:rsidRPr="007576F0">
        <w:rPr>
          <w:rFonts w:ascii="標楷體" w:eastAsia="標楷體" w:hAnsi="標楷體" w:hint="eastAsia"/>
          <w:kern w:val="0"/>
          <w:szCs w:val="24"/>
          <w14:ligatures w14:val="standardContextual"/>
        </w:rPr>
        <w:t>用。</w:t>
      </w:r>
    </w:p>
    <w:p w14:paraId="233A281E" w14:textId="77777777" w:rsidR="007576F0" w:rsidRPr="007576F0" w:rsidRDefault="007576F0" w:rsidP="002144EC">
      <w:pPr>
        <w:numPr>
          <w:ilvl w:val="1"/>
          <w:numId w:val="205"/>
        </w:numPr>
        <w:suppressAutoHyphens w:val="0"/>
        <w:autoSpaceDN/>
        <w:spacing w:after="160" w:line="300" w:lineRule="exact"/>
        <w:ind w:leftChars="650" w:left="1560" w:firstLine="0"/>
        <w:contextualSpacing/>
        <w:jc w:val="both"/>
        <w:textAlignment w:val="auto"/>
        <w:rPr>
          <w:rFonts w:ascii="標楷體" w:eastAsia="標楷體" w:hAnsi="標楷體"/>
          <w:kern w:val="0"/>
          <w:szCs w:val="24"/>
          <w14:ligatures w14:val="standardContextual"/>
        </w:rPr>
      </w:pPr>
      <w:proofErr w:type="gramStart"/>
      <w:r w:rsidRPr="007576F0">
        <w:rPr>
          <w:rFonts w:ascii="標楷體" w:eastAsia="標楷體" w:hAnsi="標楷體" w:hint="eastAsia"/>
          <w:kern w:val="0"/>
          <w:szCs w:val="24"/>
          <w14:ligatures w14:val="standardContextual"/>
        </w:rPr>
        <w:t>鱗狀細胞</w:t>
      </w:r>
      <w:proofErr w:type="gramEnd"/>
      <w:r w:rsidRPr="007576F0">
        <w:rPr>
          <w:rFonts w:ascii="標楷體" w:eastAsia="標楷體" w:hAnsi="標楷體" w:hint="eastAsia"/>
          <w:kern w:val="0"/>
          <w:szCs w:val="24"/>
          <w14:ligatures w14:val="standardContextual"/>
        </w:rPr>
        <w:t>非小細胞肺癌：限nivolumab與含</w:t>
      </w:r>
      <w:proofErr w:type="gramStart"/>
      <w:r w:rsidRPr="007576F0">
        <w:rPr>
          <w:rFonts w:ascii="標楷體" w:eastAsia="標楷體" w:hAnsi="標楷體" w:hint="eastAsia"/>
          <w:kern w:val="0"/>
          <w:szCs w:val="24"/>
          <w14:ligatures w14:val="standardContextual"/>
        </w:rPr>
        <w:t>鉑化療併</w:t>
      </w:r>
      <w:proofErr w:type="gramEnd"/>
      <w:r w:rsidRPr="007576F0">
        <w:rPr>
          <w:rFonts w:ascii="標楷體" w:eastAsia="標楷體" w:hAnsi="標楷體" w:hint="eastAsia"/>
          <w:kern w:val="0"/>
          <w:szCs w:val="24"/>
          <w14:ligatures w14:val="standardContextual"/>
        </w:rPr>
        <w:t>用。</w:t>
      </w:r>
    </w:p>
    <w:p w14:paraId="0921D13B" w14:textId="77777777" w:rsidR="007576F0" w:rsidRPr="007576F0" w:rsidRDefault="007576F0" w:rsidP="002144EC">
      <w:pPr>
        <w:numPr>
          <w:ilvl w:val="0"/>
          <w:numId w:val="204"/>
        </w:numPr>
        <w:tabs>
          <w:tab w:val="left" w:pos="601"/>
        </w:tabs>
        <w:suppressAutoHyphens w:val="0"/>
        <w:autoSpaceDN/>
        <w:spacing w:after="160" w:line="300" w:lineRule="exact"/>
        <w:ind w:leftChars="413" w:left="1416" w:hangingChars="177" w:hanging="425"/>
        <w:contextualSpacing/>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ab/>
        <w:t>轉移</w:t>
      </w:r>
      <w:proofErr w:type="gramStart"/>
      <w:r w:rsidRPr="007576F0">
        <w:rPr>
          <w:rFonts w:ascii="標楷體" w:eastAsia="標楷體" w:hAnsi="標楷體" w:hint="eastAsia"/>
          <w:kern w:val="0"/>
          <w:szCs w:val="24"/>
          <w14:ligatures w14:val="standardContextual"/>
        </w:rPr>
        <w:t>性鱗狀非</w:t>
      </w:r>
      <w:proofErr w:type="gramEnd"/>
      <w:r w:rsidRPr="007576F0">
        <w:rPr>
          <w:rFonts w:ascii="標楷體" w:eastAsia="標楷體" w:hAnsi="標楷體" w:hint="eastAsia"/>
          <w:kern w:val="0"/>
          <w:szCs w:val="24"/>
          <w14:ligatures w14:val="standardContextual"/>
        </w:rPr>
        <w:t>小細胞肺癌第一線用藥：限pembrolizumab與carboplatin及paclitaxel</w:t>
      </w:r>
      <w:proofErr w:type="gramStart"/>
      <w:r w:rsidRPr="007576F0">
        <w:rPr>
          <w:rFonts w:ascii="標楷體" w:eastAsia="標楷體" w:hAnsi="標楷體" w:hint="eastAsia"/>
          <w:kern w:val="0"/>
          <w:szCs w:val="24"/>
          <w14:ligatures w14:val="standardContextual"/>
        </w:rPr>
        <w:t>併</w:t>
      </w:r>
      <w:proofErr w:type="gramEnd"/>
      <w:r w:rsidRPr="007576F0">
        <w:rPr>
          <w:rFonts w:ascii="標楷體" w:eastAsia="標楷體" w:hAnsi="標楷體" w:hint="eastAsia"/>
          <w:kern w:val="0"/>
          <w:szCs w:val="24"/>
          <w14:ligatures w14:val="standardContextual"/>
        </w:rPr>
        <w:t>用至多使用4個療程，接續單用pembrolizumab治療</w:t>
      </w:r>
      <w:r w:rsidRPr="007576F0">
        <w:rPr>
          <w:rFonts w:ascii="標楷體" w:eastAsia="標楷體" w:hAnsi="標楷體" w:hint="eastAsia"/>
          <w:szCs w:val="24"/>
        </w:rPr>
        <w:t>，或限</w:t>
      </w:r>
      <w:r w:rsidRPr="007576F0">
        <w:rPr>
          <w:rFonts w:ascii="標楷體" w:eastAsia="標楷體" w:hAnsi="標楷體"/>
          <w:szCs w:val="24"/>
        </w:rPr>
        <w:t>tislelizumab</w:t>
      </w:r>
      <w:r w:rsidRPr="007576F0">
        <w:rPr>
          <w:rFonts w:ascii="標楷體" w:eastAsia="標楷體" w:hAnsi="標楷體" w:hint="eastAsia"/>
          <w:szCs w:val="24"/>
        </w:rPr>
        <w:t>與</w:t>
      </w:r>
      <w:r w:rsidRPr="007576F0">
        <w:rPr>
          <w:rFonts w:ascii="標楷體" w:eastAsia="標楷體" w:hAnsi="標楷體"/>
          <w:szCs w:val="24"/>
        </w:rPr>
        <w:t>carboplatin</w:t>
      </w:r>
      <w:r w:rsidRPr="007576F0">
        <w:rPr>
          <w:rFonts w:ascii="標楷體" w:eastAsia="標楷體" w:hAnsi="標楷體" w:hint="eastAsia"/>
          <w:szCs w:val="24"/>
        </w:rPr>
        <w:t>及</w:t>
      </w:r>
      <w:r w:rsidRPr="007576F0">
        <w:rPr>
          <w:rFonts w:ascii="標楷體" w:eastAsia="標楷體" w:hAnsi="標楷體"/>
          <w:szCs w:val="24"/>
        </w:rPr>
        <w:t>paclitaxel</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用至多使用</w:t>
      </w:r>
      <w:r w:rsidRPr="007576F0">
        <w:rPr>
          <w:rFonts w:ascii="標楷體" w:eastAsia="標楷體" w:hAnsi="標楷體"/>
          <w:szCs w:val="24"/>
        </w:rPr>
        <w:t>4</w:t>
      </w:r>
      <w:r w:rsidRPr="007576F0">
        <w:rPr>
          <w:rFonts w:ascii="標楷體" w:eastAsia="標楷體" w:hAnsi="標楷體" w:hint="eastAsia"/>
          <w:szCs w:val="24"/>
        </w:rPr>
        <w:t>個療程，接續單用</w:t>
      </w:r>
      <w:r w:rsidRPr="007576F0">
        <w:rPr>
          <w:rFonts w:ascii="標楷體" w:eastAsia="標楷體" w:hAnsi="標楷體"/>
          <w:szCs w:val="24"/>
        </w:rPr>
        <w:t>tislelizumab</w:t>
      </w:r>
      <w:r w:rsidRPr="007576F0">
        <w:rPr>
          <w:rFonts w:ascii="標楷體" w:eastAsia="標楷體" w:hAnsi="標楷體" w:hint="eastAsia"/>
          <w:szCs w:val="24"/>
        </w:rPr>
        <w:t>治療</w:t>
      </w:r>
      <w:r w:rsidRPr="007576F0">
        <w:rPr>
          <w:rFonts w:ascii="標楷體" w:eastAsia="標楷體" w:hAnsi="標楷體" w:hint="eastAsia"/>
          <w:kern w:val="0"/>
          <w:szCs w:val="24"/>
          <w14:ligatures w14:val="standardContextual"/>
        </w:rPr>
        <w:t>。(112/12/1、113/4/1、113/8/1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hint="eastAsia"/>
          <w:kern w:val="0"/>
          <w:szCs w:val="24"/>
          <w14:ligatures w14:val="standardContextual"/>
        </w:rPr>
        <w:t>)</w:t>
      </w:r>
    </w:p>
    <w:p w14:paraId="71647F1A" w14:textId="77777777" w:rsidR="007576F0" w:rsidRPr="007576F0" w:rsidRDefault="007576F0" w:rsidP="002144EC">
      <w:pPr>
        <w:numPr>
          <w:ilvl w:val="0"/>
          <w:numId w:val="204"/>
        </w:numPr>
        <w:suppressAutoHyphens w:val="0"/>
        <w:autoSpaceDN/>
        <w:spacing w:after="160" w:line="300" w:lineRule="exact"/>
        <w:ind w:leftChars="354" w:left="1416" w:hangingChars="236" w:hanging="566"/>
        <w:contextualSpacing/>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轉移</w:t>
      </w:r>
      <w:proofErr w:type="gramStart"/>
      <w:r w:rsidRPr="007576F0">
        <w:rPr>
          <w:rFonts w:ascii="標楷體" w:eastAsia="標楷體" w:hAnsi="標楷體" w:hint="eastAsia"/>
          <w:kern w:val="2"/>
          <w:szCs w:val="24"/>
          <w14:ligatures w14:val="standardContextual"/>
        </w:rPr>
        <w:t>性非鱗狀</w:t>
      </w:r>
      <w:proofErr w:type="gramEnd"/>
      <w:r w:rsidRPr="007576F0">
        <w:rPr>
          <w:rFonts w:ascii="標楷體" w:eastAsia="標楷體" w:hAnsi="標楷體" w:hint="eastAsia"/>
          <w:kern w:val="2"/>
          <w:szCs w:val="24"/>
          <w14:ligatures w14:val="standardContextual"/>
        </w:rPr>
        <w:t>非小細胞肺癌第一線：限pembrolizumab與pemetrexed(限使用</w:t>
      </w:r>
      <w:proofErr w:type="spellStart"/>
      <w:r w:rsidRPr="007576F0">
        <w:rPr>
          <w:rFonts w:ascii="標楷體" w:eastAsia="標楷體" w:hAnsi="標楷體" w:hint="eastAsia"/>
          <w:kern w:val="2"/>
          <w:szCs w:val="24"/>
          <w14:ligatures w14:val="standardContextual"/>
        </w:rPr>
        <w:t>Pexeda</w:t>
      </w:r>
      <w:proofErr w:type="spellEnd"/>
      <w:r w:rsidRPr="007576F0">
        <w:rPr>
          <w:rFonts w:ascii="標楷體" w:eastAsia="標楷體" w:hAnsi="標楷體" w:hint="eastAsia"/>
          <w:kern w:val="2"/>
          <w:szCs w:val="24"/>
          <w14:ligatures w14:val="standardContextual"/>
        </w:rPr>
        <w:t>、</w:t>
      </w:r>
      <w:proofErr w:type="spellStart"/>
      <w:r w:rsidRPr="007576F0">
        <w:rPr>
          <w:rFonts w:ascii="標楷體" w:eastAsia="標楷體" w:hAnsi="標楷體" w:hint="eastAsia"/>
          <w:kern w:val="2"/>
          <w:szCs w:val="24"/>
          <w14:ligatures w14:val="standardContextual"/>
        </w:rPr>
        <w:t>Apeta</w:t>
      </w:r>
      <w:proofErr w:type="spellEnd"/>
      <w:r w:rsidRPr="007576F0">
        <w:rPr>
          <w:rFonts w:ascii="標楷體" w:eastAsia="標楷體" w:hAnsi="標楷體" w:hint="eastAsia"/>
          <w:kern w:val="2"/>
          <w:szCs w:val="24"/>
          <w14:ligatures w14:val="standardContextual"/>
        </w:rPr>
        <w:t xml:space="preserve">、Pemetrexed Sandoz或Alimta </w:t>
      </w:r>
      <w:proofErr w:type="spellStart"/>
      <w:r w:rsidRPr="007576F0">
        <w:rPr>
          <w:rFonts w:ascii="標楷體" w:eastAsia="標楷體" w:hAnsi="標楷體" w:hint="eastAsia"/>
          <w:kern w:val="2"/>
          <w:szCs w:val="24"/>
          <w14:ligatures w14:val="standardContextual"/>
        </w:rPr>
        <w:t>Avos</w:t>
      </w:r>
      <w:proofErr w:type="spellEnd"/>
      <w:r w:rsidRPr="007576F0">
        <w:rPr>
          <w:rFonts w:ascii="標楷體" w:eastAsia="標楷體" w:hAnsi="標楷體" w:hint="eastAsia"/>
          <w:kern w:val="2"/>
          <w:szCs w:val="24"/>
          <w14:ligatures w14:val="standardContextual"/>
        </w:rPr>
        <w:t>)及</w:t>
      </w:r>
      <w:proofErr w:type="gramStart"/>
      <w:r w:rsidRPr="007576F0">
        <w:rPr>
          <w:rFonts w:ascii="標楷體" w:eastAsia="標楷體" w:hAnsi="標楷體" w:hint="eastAsia"/>
          <w:kern w:val="2"/>
          <w:szCs w:val="24"/>
          <w14:ligatures w14:val="standardContextual"/>
        </w:rPr>
        <w:t>含鉑類化學</w:t>
      </w:r>
      <w:proofErr w:type="gramEnd"/>
      <w:r w:rsidRPr="007576F0">
        <w:rPr>
          <w:rFonts w:ascii="標楷體" w:eastAsia="標楷體" w:hAnsi="標楷體" w:hint="eastAsia"/>
          <w:kern w:val="2"/>
          <w:szCs w:val="24"/>
          <w14:ligatures w14:val="standardContextual"/>
        </w:rPr>
        <w:t>療法</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w:t>
      </w:r>
      <w:r w:rsidRPr="007576F0">
        <w:rPr>
          <w:rFonts w:ascii="標楷體" w:eastAsia="標楷體" w:hAnsi="標楷體" w:hint="eastAsia"/>
          <w:color w:val="000000"/>
          <w:szCs w:val="24"/>
        </w:rPr>
        <w:t>或限</w:t>
      </w:r>
      <w:r w:rsidRPr="007576F0">
        <w:rPr>
          <w:rFonts w:ascii="標楷體" w:eastAsia="標楷體" w:hAnsi="標楷體"/>
          <w:szCs w:val="24"/>
        </w:rPr>
        <w:t>tislelizumab</w:t>
      </w:r>
      <w:r w:rsidRPr="007576F0">
        <w:rPr>
          <w:rFonts w:ascii="標楷體" w:eastAsia="標楷體" w:hAnsi="標楷體" w:hint="eastAsia"/>
          <w:color w:val="000000"/>
          <w:szCs w:val="24"/>
        </w:rPr>
        <w:t>與pemetrexed(限使用</w:t>
      </w:r>
      <w:proofErr w:type="spellStart"/>
      <w:r w:rsidRPr="007576F0">
        <w:rPr>
          <w:rFonts w:ascii="標楷體" w:eastAsia="標楷體" w:hAnsi="標楷體" w:hint="eastAsia"/>
          <w:color w:val="000000"/>
          <w:szCs w:val="24"/>
        </w:rPr>
        <w:t>Pexeda</w:t>
      </w:r>
      <w:proofErr w:type="spellEnd"/>
      <w:r w:rsidRPr="007576F0">
        <w:rPr>
          <w:rFonts w:ascii="標楷體" w:eastAsia="標楷體" w:hAnsi="標楷體" w:hint="eastAsia"/>
          <w:color w:val="000000"/>
          <w:szCs w:val="24"/>
        </w:rPr>
        <w:t>、</w:t>
      </w:r>
      <w:proofErr w:type="spellStart"/>
      <w:r w:rsidRPr="007576F0">
        <w:rPr>
          <w:rFonts w:ascii="標楷體" w:eastAsia="標楷體" w:hAnsi="標楷體" w:hint="eastAsia"/>
          <w:color w:val="000000"/>
          <w:szCs w:val="24"/>
        </w:rPr>
        <w:t>Apeta</w:t>
      </w:r>
      <w:proofErr w:type="spellEnd"/>
      <w:r w:rsidRPr="007576F0">
        <w:rPr>
          <w:rFonts w:ascii="標楷體" w:eastAsia="標楷體" w:hAnsi="標楷體" w:hint="eastAsia"/>
          <w:color w:val="000000"/>
          <w:szCs w:val="24"/>
        </w:rPr>
        <w:t xml:space="preserve">、Pemetrexed Sandoz或Alimta </w:t>
      </w:r>
      <w:proofErr w:type="spellStart"/>
      <w:r w:rsidRPr="007576F0">
        <w:rPr>
          <w:rFonts w:ascii="標楷體" w:eastAsia="標楷體" w:hAnsi="標楷體" w:hint="eastAsia"/>
          <w:color w:val="000000"/>
          <w:szCs w:val="24"/>
        </w:rPr>
        <w:t>Avos</w:t>
      </w:r>
      <w:proofErr w:type="spellEnd"/>
      <w:r w:rsidRPr="007576F0">
        <w:rPr>
          <w:rFonts w:ascii="標楷體" w:eastAsia="標楷體" w:hAnsi="標楷體" w:hint="eastAsia"/>
          <w:color w:val="000000"/>
          <w:szCs w:val="24"/>
        </w:rPr>
        <w:t>)及</w:t>
      </w:r>
      <w:proofErr w:type="gramStart"/>
      <w:r w:rsidRPr="007576F0">
        <w:rPr>
          <w:rFonts w:ascii="標楷體" w:eastAsia="標楷體" w:hAnsi="標楷體" w:hint="eastAsia"/>
          <w:color w:val="000000"/>
          <w:szCs w:val="24"/>
        </w:rPr>
        <w:t>含鉑類化學</w:t>
      </w:r>
      <w:proofErr w:type="gramEnd"/>
      <w:r w:rsidRPr="007576F0">
        <w:rPr>
          <w:rFonts w:ascii="標楷體" w:eastAsia="標楷體" w:hAnsi="標楷體" w:hint="eastAsia"/>
          <w:color w:val="000000"/>
          <w:szCs w:val="24"/>
        </w:rPr>
        <w:t>療法</w:t>
      </w:r>
      <w:proofErr w:type="gramStart"/>
      <w:r w:rsidRPr="007576F0">
        <w:rPr>
          <w:rFonts w:ascii="標楷體" w:eastAsia="標楷體" w:hAnsi="標楷體" w:hint="eastAsia"/>
          <w:color w:val="000000"/>
          <w:szCs w:val="24"/>
        </w:rPr>
        <w:t>併</w:t>
      </w:r>
      <w:proofErr w:type="gramEnd"/>
      <w:r w:rsidRPr="007576F0">
        <w:rPr>
          <w:rFonts w:ascii="標楷體" w:eastAsia="標楷體" w:hAnsi="標楷體" w:hint="eastAsia"/>
          <w:color w:val="000000"/>
          <w:szCs w:val="24"/>
        </w:rPr>
        <w:t>用，</w:t>
      </w:r>
      <w:r w:rsidRPr="007576F0">
        <w:rPr>
          <w:rFonts w:ascii="標楷體" w:eastAsia="標楷體" w:hAnsi="標楷體" w:hint="eastAsia"/>
          <w:kern w:val="2"/>
          <w:szCs w:val="24"/>
          <w14:ligatures w14:val="standardContextual"/>
        </w:rPr>
        <w:t>或限atezolizumab與bevacizumab(限使用</w:t>
      </w:r>
      <w:proofErr w:type="spellStart"/>
      <w:r w:rsidRPr="007576F0">
        <w:rPr>
          <w:rFonts w:ascii="標楷體" w:eastAsia="標楷體" w:hAnsi="標楷體" w:hint="eastAsia"/>
          <w:kern w:val="2"/>
          <w:szCs w:val="24"/>
          <w14:ligatures w14:val="standardContextual"/>
        </w:rPr>
        <w:t>Alymsys</w:t>
      </w:r>
      <w:proofErr w:type="spellEnd"/>
      <w:r w:rsidRPr="007576F0">
        <w:rPr>
          <w:rFonts w:ascii="標楷體" w:eastAsia="標楷體" w:hAnsi="標楷體" w:hint="eastAsia"/>
          <w:kern w:val="2"/>
          <w:szCs w:val="24"/>
          <w14:ligatures w14:val="standardContextual"/>
        </w:rPr>
        <w:t>、Avastin、</w:t>
      </w:r>
      <w:proofErr w:type="spellStart"/>
      <w:r w:rsidRPr="007576F0">
        <w:rPr>
          <w:rFonts w:ascii="標楷體" w:eastAsia="標楷體" w:hAnsi="標楷體" w:hint="eastAsia"/>
          <w:kern w:val="2"/>
          <w:szCs w:val="24"/>
          <w14:ligatures w14:val="standardContextual"/>
        </w:rPr>
        <w:t>Abevmy</w:t>
      </w:r>
      <w:proofErr w:type="spellEnd"/>
      <w:r w:rsidRPr="007576F0">
        <w:rPr>
          <w:rFonts w:ascii="標楷體" w:eastAsia="標楷體" w:hAnsi="標楷體" w:hint="eastAsia"/>
          <w:kern w:val="2"/>
          <w:szCs w:val="24"/>
          <w14:ligatures w14:val="standardContextual"/>
        </w:rPr>
        <w:t>、</w:t>
      </w:r>
      <w:proofErr w:type="spellStart"/>
      <w:r w:rsidRPr="007576F0">
        <w:rPr>
          <w:rFonts w:ascii="標楷體" w:eastAsia="標楷體" w:hAnsi="標楷體" w:hint="eastAsia"/>
          <w:kern w:val="2"/>
          <w:szCs w:val="24"/>
          <w14:ligatures w14:val="standardContextual"/>
        </w:rPr>
        <w:t>Vegzelma</w:t>
      </w:r>
      <w:proofErr w:type="spellEnd"/>
      <w:r w:rsidRPr="007576F0">
        <w:rPr>
          <w:rFonts w:ascii="標楷體" w:eastAsia="標楷體" w:hAnsi="標楷體" w:hint="eastAsia"/>
          <w:kern w:val="2"/>
          <w:szCs w:val="24"/>
          <w14:ligatures w14:val="standardContextual"/>
        </w:rPr>
        <w:t>或</w:t>
      </w:r>
      <w:proofErr w:type="spellStart"/>
      <w:r w:rsidRPr="007576F0">
        <w:rPr>
          <w:rFonts w:ascii="標楷體" w:eastAsia="標楷體" w:hAnsi="標楷體" w:hint="eastAsia"/>
          <w:kern w:val="2"/>
          <w:szCs w:val="24"/>
          <w14:ligatures w14:val="standardContextual"/>
        </w:rPr>
        <w:t>Mvasi</w:t>
      </w:r>
      <w:proofErr w:type="spellEnd"/>
      <w:r w:rsidRPr="007576F0">
        <w:rPr>
          <w:rFonts w:ascii="標楷體" w:eastAsia="標楷體" w:hAnsi="標楷體" w:hint="eastAsia"/>
          <w:kern w:val="2"/>
          <w:szCs w:val="24"/>
          <w14:ligatures w14:val="standardContextual"/>
        </w:rPr>
        <w:t>)及carboplatin、paclitaxel</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用，做為轉移性且不具有EGFR/ALK/ROS-1腫瘤基因異常的</w:t>
      </w:r>
      <w:proofErr w:type="gramStart"/>
      <w:r w:rsidRPr="007576F0">
        <w:rPr>
          <w:rFonts w:ascii="標楷體" w:eastAsia="標楷體" w:hAnsi="標楷體" w:hint="eastAsia"/>
          <w:kern w:val="2"/>
          <w:szCs w:val="24"/>
          <w14:ligatures w14:val="standardContextual"/>
        </w:rPr>
        <w:t>非鱗狀非</w:t>
      </w:r>
      <w:proofErr w:type="gramEnd"/>
      <w:r w:rsidRPr="007576F0">
        <w:rPr>
          <w:rFonts w:ascii="標楷體" w:eastAsia="標楷體" w:hAnsi="標楷體" w:hint="eastAsia"/>
          <w:kern w:val="2"/>
          <w:szCs w:val="24"/>
          <w14:ligatures w14:val="standardContextual"/>
        </w:rPr>
        <w:t>小細胞肺癌第一線治療。(114/6/1、114/8/1、115/8/1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hint="eastAsia"/>
          <w:kern w:val="0"/>
          <w:szCs w:val="24"/>
          <w14:ligatures w14:val="standardContextual"/>
        </w:rPr>
        <w:t>)</w:t>
      </w:r>
    </w:p>
    <w:p w14:paraId="376CEAE7"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(3)小細胞肺癌：</w:t>
      </w:r>
      <w:r w:rsidRPr="007576F0">
        <w:rPr>
          <w:rFonts w:ascii="標楷體" w:eastAsia="標楷體" w:hAnsi="標楷體" w:hint="eastAsia"/>
          <w:kern w:val="0"/>
          <w:szCs w:val="24"/>
          <w14:ligatures w14:val="standardContextual"/>
        </w:rPr>
        <w:t>限atezolizumab與carboplatin及etoposide</w:t>
      </w:r>
      <w:proofErr w:type="gramStart"/>
      <w:r w:rsidRPr="007576F0">
        <w:rPr>
          <w:rFonts w:ascii="標楷體" w:eastAsia="標楷體" w:hAnsi="標楷體" w:hint="eastAsia"/>
          <w:kern w:val="0"/>
          <w:szCs w:val="24"/>
          <w14:ligatures w14:val="standardContextual"/>
        </w:rPr>
        <w:t>併</w:t>
      </w:r>
      <w:proofErr w:type="gramEnd"/>
      <w:r w:rsidRPr="007576F0">
        <w:rPr>
          <w:rFonts w:ascii="標楷體" w:eastAsia="標楷體" w:hAnsi="標楷體" w:hint="eastAsia"/>
          <w:kern w:val="0"/>
          <w:szCs w:val="24"/>
          <w14:ligatures w14:val="standardContextual"/>
        </w:rPr>
        <w:t>用，或durvalumab與etoposide及carboplatin或cisplatin兩者之一併用，適用於先前未曾接受化療，且無</w:t>
      </w:r>
      <w:proofErr w:type="gramStart"/>
      <w:r w:rsidRPr="007576F0">
        <w:rPr>
          <w:rFonts w:ascii="標楷體" w:eastAsia="標楷體" w:hAnsi="標楷體" w:hint="eastAsia"/>
          <w:kern w:val="0"/>
          <w:szCs w:val="24"/>
          <w14:ligatures w14:val="standardContextual"/>
        </w:rPr>
        <w:t>腦部或無</w:t>
      </w:r>
      <w:proofErr w:type="gramEnd"/>
      <w:r w:rsidRPr="007576F0">
        <w:rPr>
          <w:rFonts w:ascii="標楷體" w:eastAsia="標楷體" w:hAnsi="標楷體" w:hint="eastAsia"/>
          <w:kern w:val="0"/>
          <w:szCs w:val="24"/>
          <w14:ligatures w14:val="standardContextual"/>
        </w:rPr>
        <w:t>脊髓轉移之擴散期(extensive stage)小細胞肺癌成人患者。(112/12/1、114/2/1)</w:t>
      </w:r>
    </w:p>
    <w:p w14:paraId="687C6D77"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0"/>
          <w:szCs w:val="24"/>
          <w14:ligatures w14:val="standardContextual"/>
        </w:rPr>
        <w:t>(4)惡性肋膜</w:t>
      </w:r>
      <w:proofErr w:type="gramStart"/>
      <w:r w:rsidRPr="007576F0">
        <w:rPr>
          <w:rFonts w:ascii="標楷體" w:eastAsia="標楷體" w:hAnsi="標楷體" w:hint="eastAsia"/>
          <w:kern w:val="0"/>
          <w:szCs w:val="24"/>
          <w14:ligatures w14:val="standardContextual"/>
        </w:rPr>
        <w:t>間皮瘤</w:t>
      </w:r>
      <w:proofErr w:type="gramEnd"/>
      <w:r w:rsidRPr="007576F0">
        <w:rPr>
          <w:rFonts w:ascii="標楷體" w:eastAsia="標楷體" w:hAnsi="標楷體" w:hint="eastAsia"/>
          <w:kern w:val="0"/>
          <w:szCs w:val="24"/>
          <w14:ligatures w14:val="standardContextual"/>
        </w:rPr>
        <w:t>：限ipilimumab與nivolumab</w:t>
      </w:r>
      <w:proofErr w:type="gramStart"/>
      <w:r w:rsidRPr="007576F0">
        <w:rPr>
          <w:rFonts w:ascii="標楷體" w:eastAsia="標楷體" w:hAnsi="標楷體" w:hint="eastAsia"/>
          <w:kern w:val="0"/>
          <w:szCs w:val="24"/>
          <w14:ligatures w14:val="standardContextual"/>
        </w:rPr>
        <w:t>併</w:t>
      </w:r>
      <w:proofErr w:type="gramEnd"/>
      <w:r w:rsidRPr="007576F0">
        <w:rPr>
          <w:rFonts w:ascii="標楷體" w:eastAsia="標楷體" w:hAnsi="標楷體" w:hint="eastAsia"/>
          <w:kern w:val="0"/>
          <w:szCs w:val="24"/>
          <w14:ligatures w14:val="standardContextual"/>
        </w:rPr>
        <w:t>用於無法切除之惡性肋膜</w:t>
      </w:r>
      <w:proofErr w:type="gramStart"/>
      <w:r w:rsidRPr="007576F0">
        <w:rPr>
          <w:rFonts w:ascii="標楷體" w:eastAsia="標楷體" w:hAnsi="標楷體" w:hint="eastAsia"/>
          <w:kern w:val="0"/>
          <w:szCs w:val="24"/>
          <w14:ligatures w14:val="standardContextual"/>
        </w:rPr>
        <w:t>間皮瘤且</w:t>
      </w:r>
      <w:proofErr w:type="gramEnd"/>
      <w:r w:rsidRPr="007576F0">
        <w:rPr>
          <w:rFonts w:ascii="標楷體" w:eastAsia="標楷體" w:hAnsi="標楷體" w:hint="eastAsia"/>
          <w:kern w:val="0"/>
          <w:szCs w:val="24"/>
          <w14:ligatures w14:val="standardContextual"/>
        </w:rPr>
        <w:t>病理組織顯示為非</w:t>
      </w:r>
      <w:proofErr w:type="gramStart"/>
      <w:r w:rsidRPr="007576F0">
        <w:rPr>
          <w:rFonts w:ascii="標楷體" w:eastAsia="標楷體" w:hAnsi="標楷體" w:hint="eastAsia"/>
          <w:kern w:val="0"/>
          <w:szCs w:val="24"/>
          <w14:ligatures w14:val="standardContextual"/>
        </w:rPr>
        <w:t>上皮型</w:t>
      </w:r>
      <w:proofErr w:type="gramEnd"/>
      <w:r w:rsidRPr="007576F0">
        <w:rPr>
          <w:rFonts w:ascii="標楷體" w:eastAsia="標楷體" w:hAnsi="標楷體" w:hint="eastAsia"/>
          <w:kern w:val="0"/>
          <w:szCs w:val="24"/>
          <w14:ligatures w14:val="standardContextual"/>
        </w:rPr>
        <w:t>(Non-epithelioid)成人病人的第一線治療。(113/4/1、113/6/1</w:t>
      </w:r>
      <w:r w:rsidRPr="007576F0">
        <w:rPr>
          <w:rFonts w:ascii="標楷體" w:eastAsia="標楷體" w:hAnsi="標楷體" w:hint="eastAsia"/>
          <w:kern w:val="2"/>
          <w:szCs w:val="24"/>
          <w:lang w:val="zh-TW" w:bidi="zh-TW"/>
          <w14:ligatures w14:val="standardContextual"/>
        </w:rPr>
        <w:t>、115/2/1</w:t>
      </w:r>
      <w:r w:rsidRPr="007576F0">
        <w:rPr>
          <w:rFonts w:ascii="標楷體" w:eastAsia="標楷體" w:hAnsi="標楷體" w:hint="eastAsia"/>
          <w:kern w:val="0"/>
          <w:szCs w:val="24"/>
          <w14:ligatures w14:val="standardContextual"/>
        </w:rPr>
        <w:t>)</w:t>
      </w:r>
    </w:p>
    <w:p w14:paraId="08806E5D"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0"/>
          <w:szCs w:val="24"/>
          <w14:ligatures w14:val="standardContextual"/>
        </w:rPr>
        <w:t>(5)胃癌（不含胃腸基質瘤及神經內分泌腫瘤/癌）：(113/4/1、113/6/1</w:t>
      </w:r>
      <w:r w:rsidRPr="007576F0">
        <w:rPr>
          <w:rFonts w:ascii="標楷體" w:eastAsia="標楷體" w:hAnsi="標楷體" w:hint="eastAsia"/>
          <w:kern w:val="2"/>
          <w:szCs w:val="24"/>
          <w:lang w:val="zh-TW" w:bidi="zh-TW"/>
          <w14:ligatures w14:val="standardContextual"/>
        </w:rPr>
        <w:t>、115/2/1、115/4/1</w:t>
      </w:r>
      <w:r w:rsidRPr="007576F0">
        <w:rPr>
          <w:rFonts w:ascii="標楷體" w:eastAsia="標楷體" w:hAnsi="標楷體" w:hint="eastAsia"/>
          <w:kern w:val="0"/>
          <w:szCs w:val="24"/>
          <w14:ligatures w14:val="standardContextual"/>
        </w:rPr>
        <w:t>)</w:t>
      </w:r>
    </w:p>
    <w:p w14:paraId="42168A20" w14:textId="77777777" w:rsidR="007576F0" w:rsidRPr="007576F0" w:rsidRDefault="007576F0" w:rsidP="002144EC">
      <w:pPr>
        <w:numPr>
          <w:ilvl w:val="0"/>
          <w:numId w:val="219"/>
        </w:numPr>
        <w:suppressAutoHyphens w:val="0"/>
        <w:autoSpaceDN/>
        <w:spacing w:after="160" w:line="300" w:lineRule="exact"/>
        <w:ind w:left="1418" w:hanging="284"/>
        <w:contextualSpacing/>
        <w:jc w:val="both"/>
        <w:textAlignment w:val="auto"/>
        <w:rPr>
          <w:rFonts w:ascii="Aptos" w:hAnsi="Aptos" w:hint="eastAsia"/>
          <w:kern w:val="2"/>
          <w:szCs w:val="24"/>
          <w14:ligatures w14:val="standardContextual"/>
        </w:rPr>
      </w:pPr>
      <w:r w:rsidRPr="007576F0">
        <w:rPr>
          <w:rFonts w:ascii="標楷體" w:eastAsia="標楷體" w:hAnsi="標楷體" w:hint="eastAsia"/>
          <w:kern w:val="0"/>
          <w:szCs w:val="24"/>
          <w14:ligatures w14:val="standardContextual"/>
        </w:rPr>
        <w:t>限nivolumab</w:t>
      </w:r>
      <w:proofErr w:type="gramStart"/>
      <w:r w:rsidRPr="007576F0">
        <w:rPr>
          <w:rFonts w:ascii="標楷體" w:eastAsia="標楷體" w:hAnsi="標楷體" w:hint="eastAsia"/>
          <w:kern w:val="0"/>
          <w:szCs w:val="24"/>
          <w14:ligatures w14:val="standardContextual"/>
        </w:rPr>
        <w:t>併</w:t>
      </w:r>
      <w:proofErr w:type="gramEnd"/>
      <w:r w:rsidRPr="007576F0">
        <w:rPr>
          <w:rFonts w:ascii="標楷體" w:eastAsia="標楷體" w:hAnsi="標楷體" w:hint="eastAsia"/>
          <w:kern w:val="0"/>
          <w:szCs w:val="24"/>
          <w14:ligatures w14:val="standardContextual"/>
        </w:rPr>
        <w:t>用fluoropyrimidine（5-FU或capecitabine）及oxaliplatin，用於第一線治療晚期或轉移性且不具有HER2過度表現的胃癌病人。(113/4/1、113/6/1</w:t>
      </w:r>
      <w:r w:rsidRPr="007576F0">
        <w:rPr>
          <w:rFonts w:ascii="標楷體" w:eastAsia="標楷體" w:hAnsi="標楷體" w:hint="eastAsia"/>
          <w:kern w:val="2"/>
          <w:szCs w:val="24"/>
          <w:lang w:val="zh-TW" w:bidi="zh-TW"/>
          <w14:ligatures w14:val="standardContextual"/>
        </w:rPr>
        <w:t>、115/2/1</w:t>
      </w:r>
      <w:r w:rsidRPr="007576F0">
        <w:rPr>
          <w:rFonts w:ascii="標楷體" w:eastAsia="標楷體" w:hAnsi="標楷體" w:hint="eastAsia"/>
          <w:kern w:val="0"/>
          <w:szCs w:val="24"/>
          <w14:ligatures w14:val="standardContextual"/>
        </w:rPr>
        <w:t>)</w:t>
      </w:r>
    </w:p>
    <w:p w14:paraId="75BDCB22" w14:textId="77777777" w:rsidR="007576F0" w:rsidRPr="007576F0" w:rsidRDefault="007576F0" w:rsidP="002144EC">
      <w:pPr>
        <w:numPr>
          <w:ilvl w:val="0"/>
          <w:numId w:val="219"/>
        </w:numPr>
        <w:suppressAutoHyphens w:val="0"/>
        <w:autoSpaceDN/>
        <w:spacing w:after="160" w:line="300" w:lineRule="exact"/>
        <w:ind w:left="1418" w:hanging="284"/>
        <w:contextualSpacing/>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與</w:t>
      </w:r>
      <w:proofErr w:type="spellStart"/>
      <w:r w:rsidRPr="007576F0">
        <w:rPr>
          <w:rFonts w:ascii="標楷體" w:eastAsia="標楷體" w:hAnsi="標楷體" w:hint="eastAsia"/>
          <w:kern w:val="0"/>
          <w:szCs w:val="24"/>
          <w14:ligatures w14:val="standardContextual"/>
        </w:rPr>
        <w:t>zolbetuximab</w:t>
      </w:r>
      <w:proofErr w:type="spellEnd"/>
      <w:r w:rsidRPr="007576F0">
        <w:rPr>
          <w:rFonts w:ascii="標楷體" w:eastAsia="標楷體" w:hAnsi="標楷體" w:hint="eastAsia"/>
          <w:kern w:val="0"/>
          <w:szCs w:val="24"/>
          <w14:ligatures w14:val="standardContextual"/>
        </w:rPr>
        <w:t>僅得擇</w:t>
      </w:r>
      <w:proofErr w:type="gramStart"/>
      <w:r w:rsidRPr="007576F0">
        <w:rPr>
          <w:rFonts w:ascii="標楷體" w:eastAsia="標楷體" w:hAnsi="標楷體" w:hint="eastAsia"/>
          <w:kern w:val="0"/>
          <w:szCs w:val="24"/>
          <w14:ligatures w14:val="standardContextual"/>
        </w:rPr>
        <w:t>一</w:t>
      </w:r>
      <w:proofErr w:type="gramEnd"/>
      <w:r w:rsidRPr="007576F0">
        <w:rPr>
          <w:rFonts w:ascii="標楷體" w:eastAsia="標楷體" w:hAnsi="標楷體" w:hint="eastAsia"/>
          <w:kern w:val="0"/>
          <w:szCs w:val="24"/>
          <w14:ligatures w14:val="standardContextual"/>
        </w:rPr>
        <w:t>使用，且治療失敗時不可互換。(115/4/1)</w:t>
      </w:r>
    </w:p>
    <w:p w14:paraId="0D26CB92" w14:textId="77777777" w:rsidR="007576F0" w:rsidRPr="007576F0" w:rsidRDefault="007576F0" w:rsidP="007576F0">
      <w:pPr>
        <w:suppressAutoHyphens w:val="0"/>
        <w:autoSpaceDN/>
        <w:spacing w:line="300" w:lineRule="exact"/>
        <w:ind w:left="1134" w:hanging="386"/>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(6)</w:t>
      </w:r>
      <w:proofErr w:type="gramStart"/>
      <w:r w:rsidRPr="007576F0">
        <w:rPr>
          <w:rFonts w:ascii="標楷體" w:eastAsia="標楷體" w:hAnsi="標楷體" w:hint="eastAsia"/>
          <w:kern w:val="0"/>
          <w:szCs w:val="24"/>
          <w14:ligatures w14:val="standardContextual"/>
        </w:rPr>
        <w:t>膽道癌第一線</w:t>
      </w:r>
      <w:proofErr w:type="gramEnd"/>
      <w:r w:rsidRPr="007576F0">
        <w:rPr>
          <w:rFonts w:ascii="標楷體" w:eastAsia="標楷體" w:hAnsi="標楷體" w:hint="eastAsia"/>
          <w:kern w:val="0"/>
          <w:szCs w:val="24"/>
          <w14:ligatures w14:val="standardContextual"/>
        </w:rPr>
        <w:t>用藥：限durvalumab與cisplatin及 gemcitabine</w:t>
      </w:r>
      <w:proofErr w:type="gramStart"/>
      <w:r w:rsidRPr="007576F0">
        <w:rPr>
          <w:rFonts w:ascii="標楷體" w:eastAsia="標楷體" w:hAnsi="標楷體" w:hint="eastAsia"/>
          <w:kern w:val="0"/>
          <w:szCs w:val="24"/>
          <w14:ligatures w14:val="standardContextual"/>
        </w:rPr>
        <w:t>併</w:t>
      </w:r>
      <w:proofErr w:type="gramEnd"/>
      <w:r w:rsidRPr="007576F0">
        <w:rPr>
          <w:rFonts w:ascii="標楷體" w:eastAsia="標楷體" w:hAnsi="標楷體" w:hint="eastAsia"/>
          <w:kern w:val="0"/>
          <w:szCs w:val="24"/>
          <w14:ligatures w14:val="standardContextual"/>
        </w:rPr>
        <w:t>用至多使用8個療程，接續單用durvalumab於先前未接受過治療或不可手術之局部晚期或轉移</w:t>
      </w:r>
      <w:proofErr w:type="gramStart"/>
      <w:r w:rsidRPr="007576F0">
        <w:rPr>
          <w:rFonts w:ascii="標楷體" w:eastAsia="標楷體" w:hAnsi="標楷體" w:hint="eastAsia"/>
          <w:kern w:val="0"/>
          <w:szCs w:val="24"/>
          <w14:ligatures w14:val="standardContextual"/>
        </w:rPr>
        <w:t>性膽道癌</w:t>
      </w:r>
      <w:proofErr w:type="gramEnd"/>
      <w:r w:rsidRPr="007576F0">
        <w:rPr>
          <w:rFonts w:ascii="標楷體" w:eastAsia="標楷體" w:hAnsi="標楷體" w:hint="eastAsia"/>
          <w:kern w:val="0"/>
          <w:szCs w:val="24"/>
          <w14:ligatures w14:val="standardContextual"/>
        </w:rPr>
        <w:t xml:space="preserve"> (biliary tract cancer)，並須排除以下任</w:t>
      </w:r>
      <w:proofErr w:type="gramStart"/>
      <w:r w:rsidRPr="007576F0">
        <w:rPr>
          <w:rFonts w:ascii="標楷體" w:eastAsia="標楷體" w:hAnsi="標楷體" w:hint="eastAsia"/>
          <w:kern w:val="0"/>
          <w:szCs w:val="24"/>
          <w14:ligatures w14:val="standardContextual"/>
        </w:rPr>
        <w:t>一</w:t>
      </w:r>
      <w:proofErr w:type="gramEnd"/>
      <w:r w:rsidRPr="007576F0">
        <w:rPr>
          <w:rFonts w:ascii="標楷體" w:eastAsia="標楷體" w:hAnsi="標楷體" w:hint="eastAsia"/>
          <w:kern w:val="0"/>
          <w:szCs w:val="24"/>
          <w14:ligatures w14:val="standardContextual"/>
        </w:rPr>
        <w:t>情形：(114/2/1)</w:t>
      </w:r>
    </w:p>
    <w:p w14:paraId="245C4907" w14:textId="77777777" w:rsidR="007576F0" w:rsidRPr="007576F0" w:rsidRDefault="007576F0" w:rsidP="007576F0">
      <w:pPr>
        <w:tabs>
          <w:tab w:val="left" w:pos="1418"/>
        </w:tabs>
        <w:suppressAutoHyphens w:val="0"/>
        <w:autoSpaceDN/>
        <w:spacing w:line="300" w:lineRule="exact"/>
        <w:ind w:left="1166" w:firstLine="110"/>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Ⅰ.</w:t>
      </w:r>
      <w:proofErr w:type="gramStart"/>
      <w:r w:rsidRPr="007576F0">
        <w:rPr>
          <w:rFonts w:ascii="標楷體" w:eastAsia="標楷體" w:hAnsi="標楷體" w:hint="eastAsia"/>
          <w:kern w:val="0"/>
          <w:szCs w:val="24"/>
          <w14:ligatures w14:val="standardContextual"/>
        </w:rPr>
        <w:t>壺腹癌</w:t>
      </w:r>
      <w:proofErr w:type="gramEnd"/>
      <w:r w:rsidRPr="007576F0">
        <w:rPr>
          <w:rFonts w:ascii="標楷體" w:eastAsia="標楷體" w:hAnsi="標楷體" w:hint="eastAsia"/>
          <w:kern w:val="0"/>
          <w:szCs w:val="24"/>
          <w14:ligatures w14:val="standardContextual"/>
        </w:rPr>
        <w:t>。</w:t>
      </w:r>
    </w:p>
    <w:p w14:paraId="036A52BC" w14:textId="77777777" w:rsidR="007576F0" w:rsidRPr="007576F0" w:rsidRDefault="007576F0" w:rsidP="007576F0">
      <w:pPr>
        <w:tabs>
          <w:tab w:val="left" w:pos="1418"/>
        </w:tabs>
        <w:suppressAutoHyphens w:val="0"/>
        <w:autoSpaceDN/>
        <w:spacing w:line="300" w:lineRule="exact"/>
        <w:ind w:left="1166" w:firstLine="110"/>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Ⅱ.曾接受異體器官移植。</w:t>
      </w:r>
    </w:p>
    <w:p w14:paraId="20F4AAD3" w14:textId="77777777" w:rsidR="007576F0" w:rsidRPr="007576F0" w:rsidRDefault="007576F0" w:rsidP="007576F0">
      <w:pPr>
        <w:tabs>
          <w:tab w:val="left" w:pos="1418"/>
        </w:tabs>
        <w:suppressAutoHyphens w:val="0"/>
        <w:autoSpaceDN/>
        <w:spacing w:line="300" w:lineRule="exact"/>
        <w:ind w:left="1166" w:firstLine="110"/>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Ⅲ.具有或曾有活動性自體免疫或發炎性疾病。</w:t>
      </w:r>
    </w:p>
    <w:p w14:paraId="654A20CA" w14:textId="77777777" w:rsidR="007576F0" w:rsidRPr="007576F0" w:rsidRDefault="007576F0" w:rsidP="007576F0">
      <w:pPr>
        <w:suppressAutoHyphens w:val="0"/>
        <w:autoSpaceDN/>
        <w:spacing w:line="300" w:lineRule="exact"/>
        <w:ind w:left="1134" w:hanging="386"/>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(7)早期</w:t>
      </w:r>
      <w:proofErr w:type="gramStart"/>
      <w:r w:rsidRPr="007576F0">
        <w:rPr>
          <w:rFonts w:ascii="標楷體" w:eastAsia="標楷體" w:hAnsi="標楷體" w:hint="eastAsia"/>
          <w:kern w:val="0"/>
          <w:szCs w:val="24"/>
          <w14:ligatures w14:val="standardContextual"/>
        </w:rPr>
        <w:t>三</w:t>
      </w:r>
      <w:proofErr w:type="gramEnd"/>
      <w:r w:rsidRPr="007576F0">
        <w:rPr>
          <w:rFonts w:ascii="標楷體" w:eastAsia="標楷體" w:hAnsi="標楷體" w:hint="eastAsia"/>
          <w:kern w:val="0"/>
          <w:szCs w:val="24"/>
          <w14:ligatures w14:val="standardContextual"/>
        </w:rPr>
        <w:t>陰性乳癌：非轉移性、第II期至第</w:t>
      </w:r>
      <w:proofErr w:type="spellStart"/>
      <w:r w:rsidRPr="007576F0">
        <w:rPr>
          <w:rFonts w:ascii="標楷體" w:eastAsia="標楷體" w:hAnsi="標楷體" w:hint="eastAsia"/>
          <w:kern w:val="0"/>
          <w:szCs w:val="24"/>
          <w14:ligatures w14:val="standardContextual"/>
        </w:rPr>
        <w:t>IIIb</w:t>
      </w:r>
      <w:proofErr w:type="spellEnd"/>
      <w:r w:rsidRPr="007576F0">
        <w:rPr>
          <w:rFonts w:ascii="標楷體" w:eastAsia="標楷體" w:hAnsi="標楷體" w:hint="eastAsia"/>
          <w:kern w:val="0"/>
          <w:szCs w:val="24"/>
          <w14:ligatures w14:val="standardContextual"/>
        </w:rPr>
        <w:t>期（cT1c N1-2 或 T2-4 N0-2）成年病人(114/6/1)：</w:t>
      </w:r>
    </w:p>
    <w:p w14:paraId="67D8D1CD" w14:textId="77777777" w:rsidR="007576F0" w:rsidRPr="007576F0" w:rsidRDefault="007576F0" w:rsidP="007576F0">
      <w:pPr>
        <w:tabs>
          <w:tab w:val="left" w:pos="1418"/>
        </w:tabs>
        <w:suppressAutoHyphens w:val="0"/>
        <w:autoSpaceDN/>
        <w:spacing w:line="300" w:lineRule="exact"/>
        <w:ind w:left="1701" w:hanging="425"/>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Ⅰ.術前前導性治療：限pembrolizumab每3</w:t>
      </w:r>
      <w:proofErr w:type="gramStart"/>
      <w:r w:rsidRPr="007576F0">
        <w:rPr>
          <w:rFonts w:ascii="標楷體" w:eastAsia="標楷體" w:hAnsi="標楷體" w:hint="eastAsia"/>
          <w:kern w:val="0"/>
          <w:szCs w:val="24"/>
          <w14:ligatures w14:val="standardContextual"/>
        </w:rPr>
        <w:t>週</w:t>
      </w:r>
      <w:proofErr w:type="gramEnd"/>
      <w:r w:rsidRPr="007576F0">
        <w:rPr>
          <w:rFonts w:ascii="標楷體" w:eastAsia="標楷體" w:hAnsi="標楷體" w:hint="eastAsia"/>
          <w:kern w:val="0"/>
          <w:szCs w:val="24"/>
          <w14:ligatures w14:val="standardContextual"/>
        </w:rPr>
        <w:t>1次與carboplatin和paclitaxel</w:t>
      </w:r>
      <w:proofErr w:type="gramStart"/>
      <w:r w:rsidRPr="007576F0">
        <w:rPr>
          <w:rFonts w:ascii="標楷體" w:eastAsia="標楷體" w:hAnsi="標楷體" w:hint="eastAsia"/>
          <w:kern w:val="0"/>
          <w:szCs w:val="24"/>
          <w14:ligatures w14:val="standardContextual"/>
        </w:rPr>
        <w:lastRenderedPageBreak/>
        <w:t>併</w:t>
      </w:r>
      <w:proofErr w:type="gramEnd"/>
      <w:r w:rsidRPr="007576F0">
        <w:rPr>
          <w:rFonts w:ascii="標楷體" w:eastAsia="標楷體" w:hAnsi="標楷體" w:hint="eastAsia"/>
          <w:kern w:val="0"/>
          <w:szCs w:val="24"/>
          <w14:ligatures w14:val="standardContextual"/>
        </w:rPr>
        <w:t>用至多4個療程，接續限pembrolizumab每3</w:t>
      </w:r>
      <w:proofErr w:type="gramStart"/>
      <w:r w:rsidRPr="007576F0">
        <w:rPr>
          <w:rFonts w:ascii="標楷體" w:eastAsia="標楷體" w:hAnsi="標楷體" w:hint="eastAsia"/>
          <w:kern w:val="0"/>
          <w:szCs w:val="24"/>
          <w14:ligatures w14:val="standardContextual"/>
        </w:rPr>
        <w:t>週</w:t>
      </w:r>
      <w:proofErr w:type="gramEnd"/>
      <w:r w:rsidRPr="007576F0">
        <w:rPr>
          <w:rFonts w:ascii="標楷體" w:eastAsia="標楷體" w:hAnsi="標楷體" w:hint="eastAsia"/>
          <w:kern w:val="0"/>
          <w:szCs w:val="24"/>
          <w14:ligatures w14:val="standardContextual"/>
        </w:rPr>
        <w:t>1次與cyclophosphamide和doxorubicin或</w:t>
      </w:r>
      <w:proofErr w:type="spellStart"/>
      <w:r w:rsidRPr="007576F0">
        <w:rPr>
          <w:rFonts w:ascii="標楷體" w:eastAsia="標楷體" w:hAnsi="標楷體" w:hint="eastAsia"/>
          <w:kern w:val="0"/>
          <w:szCs w:val="24"/>
          <w14:ligatures w14:val="standardContextual"/>
        </w:rPr>
        <w:t>epirubicin</w:t>
      </w:r>
      <w:proofErr w:type="spellEnd"/>
      <w:proofErr w:type="gramStart"/>
      <w:r w:rsidRPr="007576F0">
        <w:rPr>
          <w:rFonts w:ascii="標楷體" w:eastAsia="標楷體" w:hAnsi="標楷體" w:hint="eastAsia"/>
          <w:kern w:val="0"/>
          <w:szCs w:val="24"/>
          <w14:ligatures w14:val="standardContextual"/>
        </w:rPr>
        <w:t>併</w:t>
      </w:r>
      <w:proofErr w:type="gramEnd"/>
      <w:r w:rsidRPr="007576F0">
        <w:rPr>
          <w:rFonts w:ascii="標楷體" w:eastAsia="標楷體" w:hAnsi="標楷體" w:hint="eastAsia"/>
          <w:kern w:val="0"/>
          <w:szCs w:val="24"/>
          <w14:ligatures w14:val="standardContextual"/>
        </w:rPr>
        <w:t>用至多4個療程，做為初診斷病人前導性治療用藥。</w:t>
      </w:r>
    </w:p>
    <w:p w14:paraId="03F59F4F" w14:textId="77777777" w:rsidR="007576F0" w:rsidRPr="007576F0" w:rsidRDefault="007576F0" w:rsidP="007576F0">
      <w:pPr>
        <w:tabs>
          <w:tab w:val="left" w:pos="1418"/>
        </w:tabs>
        <w:suppressAutoHyphens w:val="0"/>
        <w:autoSpaceDN/>
        <w:spacing w:line="300" w:lineRule="exact"/>
        <w:ind w:left="1701" w:hanging="425"/>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Ⅱ.術後輔助治療：上述病人</w:t>
      </w:r>
      <w:proofErr w:type="gramStart"/>
      <w:r w:rsidRPr="007576F0">
        <w:rPr>
          <w:rFonts w:ascii="標楷體" w:eastAsia="標楷體" w:hAnsi="標楷體" w:hint="eastAsia"/>
          <w:kern w:val="0"/>
          <w:szCs w:val="24"/>
          <w14:ligatures w14:val="standardContextual"/>
        </w:rPr>
        <w:t>接受過術前</w:t>
      </w:r>
      <w:proofErr w:type="gramEnd"/>
      <w:r w:rsidRPr="007576F0">
        <w:rPr>
          <w:rFonts w:ascii="標楷體" w:eastAsia="標楷體" w:hAnsi="標楷體" w:hint="eastAsia"/>
          <w:kern w:val="0"/>
          <w:szCs w:val="24"/>
          <w14:ligatures w14:val="standardContextual"/>
        </w:rPr>
        <w:t>前導性治療後，限手術後未達</w:t>
      </w:r>
      <w:proofErr w:type="spellStart"/>
      <w:r w:rsidRPr="007576F0">
        <w:rPr>
          <w:rFonts w:ascii="標楷體" w:eastAsia="標楷體" w:hAnsi="標楷體" w:hint="eastAsia"/>
          <w:kern w:val="0"/>
          <w:szCs w:val="24"/>
          <w14:ligatures w14:val="standardContextual"/>
        </w:rPr>
        <w:t>pCR</w:t>
      </w:r>
      <w:proofErr w:type="spellEnd"/>
      <w:r w:rsidRPr="007576F0">
        <w:rPr>
          <w:rFonts w:ascii="標楷體" w:eastAsia="標楷體" w:hAnsi="標楷體" w:hint="eastAsia"/>
          <w:kern w:val="0"/>
          <w:szCs w:val="24"/>
          <w14:ligatures w14:val="standardContextual"/>
        </w:rPr>
        <w:t>者，單用pembrolizumab每3</w:t>
      </w:r>
      <w:proofErr w:type="gramStart"/>
      <w:r w:rsidRPr="007576F0">
        <w:rPr>
          <w:rFonts w:ascii="標楷體" w:eastAsia="標楷體" w:hAnsi="標楷體" w:hint="eastAsia"/>
          <w:kern w:val="0"/>
          <w:szCs w:val="24"/>
          <w14:ligatures w14:val="standardContextual"/>
        </w:rPr>
        <w:t>週</w:t>
      </w:r>
      <w:proofErr w:type="gramEnd"/>
      <w:r w:rsidRPr="007576F0">
        <w:rPr>
          <w:rFonts w:ascii="標楷體" w:eastAsia="標楷體" w:hAnsi="標楷體" w:hint="eastAsia"/>
          <w:kern w:val="0"/>
          <w:szCs w:val="24"/>
          <w14:ligatures w14:val="standardContextual"/>
        </w:rPr>
        <w:t>1次，做為輔助治療用藥，且至多使用9個療程。</w:t>
      </w:r>
    </w:p>
    <w:p w14:paraId="00ED5A84" w14:textId="77777777" w:rsidR="007576F0" w:rsidRPr="007576F0" w:rsidRDefault="007576F0" w:rsidP="007576F0">
      <w:pPr>
        <w:tabs>
          <w:tab w:val="left" w:pos="1418"/>
        </w:tabs>
        <w:suppressAutoHyphens w:val="0"/>
        <w:autoSpaceDN/>
        <w:spacing w:line="300" w:lineRule="exact"/>
        <w:ind w:left="1701" w:hanging="425"/>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Ⅲ.上述pembrolizumab用於早期</w:t>
      </w:r>
      <w:proofErr w:type="gramStart"/>
      <w:r w:rsidRPr="007576F0">
        <w:rPr>
          <w:rFonts w:ascii="標楷體" w:eastAsia="標楷體" w:hAnsi="標楷體" w:hint="eastAsia"/>
          <w:kern w:val="0"/>
          <w:szCs w:val="24"/>
          <w14:ligatures w14:val="standardContextual"/>
        </w:rPr>
        <w:t>三</w:t>
      </w:r>
      <w:proofErr w:type="gramEnd"/>
      <w:r w:rsidRPr="007576F0">
        <w:rPr>
          <w:rFonts w:ascii="標楷體" w:eastAsia="標楷體" w:hAnsi="標楷體" w:hint="eastAsia"/>
          <w:kern w:val="0"/>
          <w:szCs w:val="24"/>
          <w14:ligatures w14:val="standardContextual"/>
        </w:rPr>
        <w:t>陰性乳癌依前述療程規定至多使用17個療程，且用於術後輔助治療，pembrolizumab與</w:t>
      </w:r>
      <w:proofErr w:type="spellStart"/>
      <w:r w:rsidRPr="007576F0">
        <w:rPr>
          <w:rFonts w:ascii="標楷體" w:eastAsia="標楷體" w:hAnsi="標楷體" w:hint="eastAsia"/>
          <w:kern w:val="0"/>
          <w:szCs w:val="24"/>
          <w14:ligatures w14:val="standardContextual"/>
        </w:rPr>
        <w:t>olaparib</w:t>
      </w:r>
      <w:proofErr w:type="spellEnd"/>
      <w:r w:rsidRPr="007576F0">
        <w:rPr>
          <w:rFonts w:ascii="標楷體" w:eastAsia="標楷體" w:hAnsi="標楷體" w:hint="eastAsia"/>
          <w:kern w:val="0"/>
          <w:szCs w:val="24"/>
          <w14:ligatures w14:val="standardContextual"/>
        </w:rPr>
        <w:t>僅能擇</w:t>
      </w:r>
      <w:proofErr w:type="gramStart"/>
      <w:r w:rsidRPr="007576F0">
        <w:rPr>
          <w:rFonts w:ascii="標楷體" w:eastAsia="標楷體" w:hAnsi="標楷體" w:hint="eastAsia"/>
          <w:kern w:val="0"/>
          <w:szCs w:val="24"/>
          <w14:ligatures w14:val="standardContextual"/>
        </w:rPr>
        <w:t>一</w:t>
      </w:r>
      <w:proofErr w:type="gramEnd"/>
      <w:r w:rsidRPr="007576F0">
        <w:rPr>
          <w:rFonts w:ascii="標楷體" w:eastAsia="標楷體" w:hAnsi="標楷體" w:hint="eastAsia"/>
          <w:kern w:val="0"/>
          <w:szCs w:val="24"/>
          <w14:ligatures w14:val="standardContextual"/>
        </w:rPr>
        <w:t>支付。</w:t>
      </w:r>
    </w:p>
    <w:p w14:paraId="2CB63200" w14:textId="77777777" w:rsidR="007576F0" w:rsidRPr="007576F0" w:rsidRDefault="007576F0" w:rsidP="007576F0">
      <w:pPr>
        <w:suppressAutoHyphens w:val="0"/>
        <w:autoSpaceDN/>
        <w:spacing w:line="300" w:lineRule="exact"/>
        <w:ind w:left="1134" w:hanging="386"/>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0"/>
          <w:szCs w:val="24"/>
          <w14:ligatures w14:val="standardContextual"/>
        </w:rPr>
        <w:t>(8)</w:t>
      </w:r>
      <w:proofErr w:type="gramStart"/>
      <w:r w:rsidRPr="007576F0">
        <w:rPr>
          <w:rFonts w:ascii="標楷體" w:eastAsia="標楷體" w:hAnsi="標楷體" w:hint="eastAsia"/>
          <w:kern w:val="0"/>
          <w:szCs w:val="24"/>
          <w14:ligatures w14:val="standardContextual"/>
        </w:rPr>
        <w:t>食道鱗狀細胞</w:t>
      </w:r>
      <w:proofErr w:type="gramEnd"/>
      <w:r w:rsidRPr="007576F0">
        <w:rPr>
          <w:rFonts w:ascii="標楷體" w:eastAsia="標楷體" w:hAnsi="標楷體" w:hint="eastAsia"/>
          <w:kern w:val="0"/>
          <w:szCs w:val="24"/>
          <w14:ligatures w14:val="standardContextual"/>
        </w:rPr>
        <w:t>癌：限nivolumab與fluoropyrimidine及cisplatin或oxaliplatin</w:t>
      </w:r>
      <w:proofErr w:type="gramStart"/>
      <w:r w:rsidRPr="007576F0">
        <w:rPr>
          <w:rFonts w:ascii="標楷體" w:eastAsia="標楷體" w:hAnsi="標楷體" w:hint="eastAsia"/>
          <w:kern w:val="0"/>
          <w:szCs w:val="24"/>
          <w14:ligatures w14:val="standardContextual"/>
        </w:rPr>
        <w:t>併</w:t>
      </w:r>
      <w:proofErr w:type="gramEnd"/>
      <w:r w:rsidRPr="007576F0">
        <w:rPr>
          <w:rFonts w:ascii="標楷體" w:eastAsia="標楷體" w:hAnsi="標楷體" w:hint="eastAsia"/>
          <w:kern w:val="0"/>
          <w:szCs w:val="24"/>
          <w14:ligatures w14:val="standardContextual"/>
        </w:rPr>
        <w:t>用，用於無法接受化學放射性治療或手術切除等治癒性治療之晚期或轉移性</w:t>
      </w:r>
      <w:proofErr w:type="gramStart"/>
      <w:r w:rsidRPr="007576F0">
        <w:rPr>
          <w:rFonts w:ascii="標楷體" w:eastAsia="標楷體" w:hAnsi="標楷體" w:hint="eastAsia"/>
          <w:kern w:val="0"/>
          <w:szCs w:val="24"/>
          <w14:ligatures w14:val="standardContextual"/>
        </w:rPr>
        <w:t>食道鱗狀細胞</w:t>
      </w:r>
      <w:proofErr w:type="gramEnd"/>
      <w:r w:rsidRPr="007576F0">
        <w:rPr>
          <w:rFonts w:ascii="標楷體" w:eastAsia="標楷體" w:hAnsi="標楷體" w:hint="eastAsia"/>
          <w:kern w:val="0"/>
          <w:szCs w:val="24"/>
          <w14:ligatures w14:val="standardContextual"/>
        </w:rPr>
        <w:t>癌成人病人的第一線治療。(115/2/1)</w:t>
      </w:r>
    </w:p>
    <w:p w14:paraId="64A8FEBE" w14:textId="77777777" w:rsidR="007576F0" w:rsidRPr="007576F0" w:rsidRDefault="007576F0" w:rsidP="007576F0">
      <w:pPr>
        <w:tabs>
          <w:tab w:val="left" w:pos="1418"/>
        </w:tabs>
        <w:suppressAutoHyphens w:val="0"/>
        <w:autoSpaceDN/>
        <w:spacing w:line="300" w:lineRule="exact"/>
        <w:ind w:left="1072" w:hanging="362"/>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(9)泌尿</w:t>
      </w:r>
      <w:proofErr w:type="gramStart"/>
      <w:r w:rsidRPr="007576F0">
        <w:rPr>
          <w:rFonts w:ascii="標楷體" w:eastAsia="標楷體" w:hAnsi="標楷體" w:hint="eastAsia"/>
          <w:kern w:val="2"/>
          <w:szCs w:val="24"/>
          <w14:ligatures w14:val="standardContextual"/>
        </w:rPr>
        <w:t>道上皮癌</w:t>
      </w:r>
      <w:proofErr w:type="gramEnd"/>
      <w:r w:rsidRPr="007576F0">
        <w:rPr>
          <w:rFonts w:ascii="標楷體" w:eastAsia="標楷體" w:hAnsi="標楷體" w:hint="eastAsia"/>
          <w:kern w:val="2"/>
          <w:szCs w:val="24"/>
          <w14:ligatures w14:val="standardContextual"/>
        </w:rPr>
        <w:t>：限nivolumab與cisplatin及gemcitabine</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用至多6個療程，</w:t>
      </w:r>
      <w:proofErr w:type="gramStart"/>
      <w:r w:rsidRPr="007576F0">
        <w:rPr>
          <w:rFonts w:ascii="標楷體" w:eastAsia="標楷體" w:hAnsi="標楷體" w:hint="eastAsia"/>
          <w:kern w:val="2"/>
          <w:szCs w:val="24"/>
          <w14:ligatures w14:val="standardContextual"/>
        </w:rPr>
        <w:t>接續限單用</w:t>
      </w:r>
      <w:proofErr w:type="gramEnd"/>
      <w:r w:rsidRPr="007576F0">
        <w:rPr>
          <w:rFonts w:ascii="標楷體" w:eastAsia="標楷體" w:hAnsi="標楷體" w:hint="eastAsia"/>
          <w:kern w:val="2"/>
          <w:szCs w:val="24"/>
          <w14:ligatures w14:val="standardContextual"/>
        </w:rPr>
        <w:t>nivolumab，做為無法切除或轉移性泌尿</w:t>
      </w:r>
      <w:proofErr w:type="gramStart"/>
      <w:r w:rsidRPr="007576F0">
        <w:rPr>
          <w:rFonts w:ascii="標楷體" w:eastAsia="標楷體" w:hAnsi="標楷體" w:hint="eastAsia"/>
          <w:kern w:val="2"/>
          <w:szCs w:val="24"/>
          <w14:ligatures w14:val="standardContextual"/>
        </w:rPr>
        <w:t>道上皮癌成人</w:t>
      </w:r>
      <w:proofErr w:type="gramEnd"/>
      <w:r w:rsidRPr="007576F0">
        <w:rPr>
          <w:rFonts w:ascii="標楷體" w:eastAsia="標楷體" w:hAnsi="標楷體" w:hint="eastAsia"/>
          <w:kern w:val="2"/>
          <w:szCs w:val="24"/>
          <w14:ligatures w14:val="standardContextual"/>
        </w:rPr>
        <w:t>病人的第一線治療。(115/2/1)</w:t>
      </w:r>
    </w:p>
    <w:p w14:paraId="4241B513" w14:textId="77777777" w:rsidR="007576F0" w:rsidRPr="007576F0" w:rsidRDefault="007576F0" w:rsidP="001E268F">
      <w:pPr>
        <w:tabs>
          <w:tab w:val="left" w:pos="1418"/>
        </w:tabs>
        <w:suppressAutoHyphens w:val="0"/>
        <w:autoSpaceDN/>
        <w:spacing w:line="300" w:lineRule="exact"/>
        <w:ind w:left="1072" w:hanging="362"/>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(10)子宮內膜癌：限</w:t>
      </w:r>
      <w:proofErr w:type="spellStart"/>
      <w:r w:rsidRPr="007576F0">
        <w:rPr>
          <w:rFonts w:ascii="標楷體" w:eastAsia="標楷體" w:hAnsi="標楷體" w:hint="eastAsia"/>
          <w:kern w:val="2"/>
          <w:szCs w:val="24"/>
          <w14:ligatures w14:val="standardContextual"/>
        </w:rPr>
        <w:t>dostarlimab</w:t>
      </w:r>
      <w:proofErr w:type="spellEnd"/>
      <w:r w:rsidRPr="007576F0">
        <w:rPr>
          <w:rFonts w:ascii="標楷體" w:eastAsia="標楷體" w:hAnsi="標楷體" w:hint="eastAsia"/>
          <w:kern w:val="2"/>
          <w:szCs w:val="24"/>
          <w14:ligatures w14:val="standardContextual"/>
        </w:rPr>
        <w:t>與carboplatin及paclitaxel(除GENETAXYL CREM LESS及TAXOL以外)</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用至多使用6個療程，接續單用</w:t>
      </w:r>
      <w:proofErr w:type="spellStart"/>
      <w:r w:rsidRPr="007576F0">
        <w:rPr>
          <w:rFonts w:ascii="標楷體" w:eastAsia="標楷體" w:hAnsi="標楷體" w:hint="eastAsia"/>
          <w:kern w:val="2"/>
          <w:szCs w:val="24"/>
          <w14:ligatures w14:val="standardContextual"/>
        </w:rPr>
        <w:t>dostarlimab</w:t>
      </w:r>
      <w:proofErr w:type="spellEnd"/>
      <w:r w:rsidRPr="007576F0">
        <w:rPr>
          <w:rFonts w:ascii="標楷體" w:eastAsia="標楷體" w:hAnsi="標楷體" w:hint="eastAsia"/>
          <w:kern w:val="2"/>
          <w:szCs w:val="24"/>
          <w14:ligatures w14:val="standardContextual"/>
        </w:rPr>
        <w:t>用於治療患有錯誤配對修復功能不足（</w:t>
      </w:r>
      <w:proofErr w:type="spellStart"/>
      <w:r w:rsidRPr="007576F0">
        <w:rPr>
          <w:rFonts w:ascii="標楷體" w:eastAsia="標楷體" w:hAnsi="標楷體" w:hint="eastAsia"/>
          <w:kern w:val="2"/>
          <w:szCs w:val="24"/>
          <w14:ligatures w14:val="standardContextual"/>
        </w:rPr>
        <w:t>dMMR</w:t>
      </w:r>
      <w:proofErr w:type="spellEnd"/>
      <w:r w:rsidRPr="007576F0">
        <w:rPr>
          <w:rFonts w:ascii="標楷體" w:eastAsia="標楷體" w:hAnsi="標楷體" w:hint="eastAsia"/>
          <w:kern w:val="2"/>
          <w:szCs w:val="24"/>
          <w14:ligatures w14:val="standardContextual"/>
        </w:rPr>
        <w:t>）或微衛星高度</w:t>
      </w:r>
      <w:proofErr w:type="gramStart"/>
      <w:r w:rsidRPr="007576F0">
        <w:rPr>
          <w:rFonts w:ascii="標楷體" w:eastAsia="標楷體" w:hAnsi="標楷體" w:hint="eastAsia"/>
          <w:kern w:val="2"/>
          <w:szCs w:val="24"/>
          <w14:ligatures w14:val="standardContextual"/>
        </w:rPr>
        <w:t>不</w:t>
      </w:r>
      <w:proofErr w:type="gramEnd"/>
      <w:r w:rsidRPr="007576F0">
        <w:rPr>
          <w:rFonts w:ascii="標楷體" w:eastAsia="標楷體" w:hAnsi="標楷體" w:hint="eastAsia"/>
          <w:kern w:val="2"/>
          <w:szCs w:val="24"/>
          <w14:ligatures w14:val="standardContextual"/>
        </w:rPr>
        <w:t>穩定性（MSI-H）之原發性晚期或首次復發性子宮內膜癌(EC</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成人病人第一線治療，並需符合以下任</w:t>
      </w:r>
      <w:proofErr w:type="gramStart"/>
      <w:r w:rsidRPr="007576F0">
        <w:rPr>
          <w:rFonts w:ascii="標楷體" w:eastAsia="標楷體" w:hAnsi="標楷體" w:hint="eastAsia"/>
          <w:kern w:val="2"/>
          <w:szCs w:val="24"/>
          <w14:ligatures w14:val="standardContextual"/>
        </w:rPr>
        <w:t>一</w:t>
      </w:r>
      <w:proofErr w:type="gramEnd"/>
      <w:r w:rsidRPr="007576F0">
        <w:rPr>
          <w:rFonts w:ascii="標楷體" w:eastAsia="標楷體" w:hAnsi="標楷體" w:hint="eastAsia"/>
          <w:kern w:val="2"/>
          <w:szCs w:val="24"/>
          <w14:ligatures w14:val="standardContextual"/>
        </w:rPr>
        <w:t>條件：(115/8/1</w:t>
      </w:r>
      <w:proofErr w:type="gramStart"/>
      <w:r w:rsidRPr="007576F0">
        <w:rPr>
          <w:rFonts w:ascii="標楷體" w:eastAsia="標楷體" w:hAnsi="標楷體" w:hint="eastAsia"/>
          <w:kern w:val="2"/>
          <w:szCs w:val="24"/>
          <w14:ligatures w14:val="standardContextual"/>
        </w:rPr>
        <w:t>）</w:t>
      </w:r>
      <w:proofErr w:type="gramEnd"/>
    </w:p>
    <w:p w14:paraId="6DCC673A" w14:textId="77777777" w:rsidR="007576F0" w:rsidRPr="007576F0" w:rsidRDefault="007576F0" w:rsidP="001E268F">
      <w:pPr>
        <w:numPr>
          <w:ilvl w:val="0"/>
          <w:numId w:val="209"/>
        </w:numPr>
        <w:tabs>
          <w:tab w:val="left" w:pos="430"/>
        </w:tabs>
        <w:suppressAutoHyphens w:val="0"/>
        <w:autoSpaceDN/>
        <w:spacing w:line="300" w:lineRule="exact"/>
        <w:ind w:left="1276" w:hanging="425"/>
        <w:jc w:val="both"/>
        <w:textAlignment w:val="auto"/>
        <w:rPr>
          <w:rFonts w:ascii="標楷體" w:eastAsia="標楷體" w:hAnsi="標楷體"/>
          <w:color w:val="000000"/>
          <w:kern w:val="2"/>
          <w:szCs w:val="24"/>
          <w14:ligatures w14:val="standardContextual"/>
        </w:rPr>
      </w:pPr>
      <w:r w:rsidRPr="007576F0">
        <w:rPr>
          <w:rFonts w:ascii="標楷體" w:eastAsia="標楷體" w:hAnsi="標楷體" w:hint="eastAsia"/>
          <w:color w:val="000000"/>
          <w:kern w:val="2"/>
          <w:szCs w:val="24"/>
          <w14:ligatures w14:val="standardContextual"/>
        </w:rPr>
        <w:t>先前未曾接受全身性治療。</w:t>
      </w:r>
    </w:p>
    <w:p w14:paraId="55A1074B" w14:textId="77777777" w:rsidR="007576F0" w:rsidRPr="007576F0" w:rsidRDefault="007576F0" w:rsidP="001E268F">
      <w:pPr>
        <w:numPr>
          <w:ilvl w:val="0"/>
          <w:numId w:val="209"/>
        </w:numPr>
        <w:tabs>
          <w:tab w:val="left" w:pos="430"/>
        </w:tabs>
        <w:suppressAutoHyphens w:val="0"/>
        <w:autoSpaceDN/>
        <w:spacing w:line="300" w:lineRule="exact"/>
        <w:ind w:left="1276" w:hanging="425"/>
        <w:jc w:val="both"/>
        <w:textAlignment w:val="auto"/>
        <w:rPr>
          <w:rFonts w:ascii="標楷體" w:eastAsia="標楷體" w:hAnsi="標楷體"/>
          <w:color w:val="000000"/>
          <w:kern w:val="2"/>
          <w:szCs w:val="24"/>
          <w14:ligatures w14:val="standardContextual"/>
        </w:rPr>
      </w:pPr>
      <w:r w:rsidRPr="007576F0">
        <w:rPr>
          <w:rFonts w:ascii="標楷體" w:eastAsia="標楷體" w:hAnsi="標楷體" w:hint="eastAsia"/>
          <w:color w:val="000000"/>
          <w:kern w:val="2"/>
          <w:szCs w:val="24"/>
          <w14:ligatures w14:val="standardContextual"/>
        </w:rPr>
        <w:t>先前曾接受術前/術後輔助全身性治療，且於治療結束後至少6個月以後才首次復發。</w:t>
      </w:r>
    </w:p>
    <w:p w14:paraId="1DA19F64" w14:textId="77777777" w:rsidR="007576F0" w:rsidRPr="007576F0" w:rsidRDefault="007576F0" w:rsidP="001E268F">
      <w:pPr>
        <w:tabs>
          <w:tab w:val="left" w:pos="430"/>
        </w:tabs>
        <w:suppressAutoHyphens w:val="0"/>
        <w:autoSpaceDN/>
        <w:spacing w:line="300" w:lineRule="exact"/>
        <w:ind w:leftChars="295" w:left="1070" w:hangingChars="151" w:hanging="362"/>
        <w:jc w:val="both"/>
        <w:textAlignment w:val="auto"/>
        <w:rPr>
          <w:rFonts w:ascii="標楷體" w:eastAsia="標楷體" w:hAnsi="標楷體"/>
          <w:color w:val="000000"/>
          <w:kern w:val="2"/>
          <w:szCs w:val="24"/>
          <w14:ligatures w14:val="standardContextual"/>
        </w:rPr>
      </w:pPr>
      <w:r w:rsidRPr="007576F0">
        <w:rPr>
          <w:rFonts w:ascii="標楷體" w:eastAsia="標楷體" w:hAnsi="標楷體" w:hint="eastAsia"/>
          <w:szCs w:val="24"/>
        </w:rPr>
        <w:t>(11)頭</w:t>
      </w:r>
      <w:proofErr w:type="gramStart"/>
      <w:r w:rsidRPr="007576F0">
        <w:rPr>
          <w:rFonts w:ascii="標楷體" w:eastAsia="標楷體" w:hAnsi="標楷體" w:hint="eastAsia"/>
          <w:szCs w:val="24"/>
        </w:rPr>
        <w:t>頸部鱗狀細胞</w:t>
      </w:r>
      <w:proofErr w:type="gramEnd"/>
      <w:r w:rsidRPr="007576F0">
        <w:rPr>
          <w:rFonts w:ascii="標楷體" w:eastAsia="標楷體" w:hAnsi="標楷體" w:hint="eastAsia"/>
          <w:szCs w:val="24"/>
        </w:rPr>
        <w:t>癌(不含鼻咽癌)：限pembrolizumab與含鉑化學療法及fluorouracil(FU)</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用，做為轉移性或無法切除之復發</w:t>
      </w:r>
      <w:proofErr w:type="gramStart"/>
      <w:r w:rsidRPr="007576F0">
        <w:rPr>
          <w:rFonts w:ascii="標楷體" w:eastAsia="標楷體" w:hAnsi="標楷體" w:hint="eastAsia"/>
          <w:szCs w:val="24"/>
        </w:rPr>
        <w:t>性頭頸部鱗狀</w:t>
      </w:r>
      <w:proofErr w:type="gramEnd"/>
      <w:r w:rsidRPr="007576F0">
        <w:rPr>
          <w:rFonts w:ascii="標楷體" w:eastAsia="標楷體" w:hAnsi="標楷體" w:hint="eastAsia"/>
          <w:szCs w:val="24"/>
        </w:rPr>
        <w:t>細胞癌(HNSCC)病人的第一線治療。(115/10/1)</w:t>
      </w:r>
    </w:p>
    <w:p w14:paraId="5C6C7C51" w14:textId="77777777" w:rsidR="007576F0" w:rsidRPr="007576F0" w:rsidRDefault="007576F0" w:rsidP="001E268F">
      <w:pPr>
        <w:tabs>
          <w:tab w:val="left" w:pos="945"/>
        </w:tabs>
        <w:suppressAutoHyphens w:val="0"/>
        <w:autoSpaceDN/>
        <w:spacing w:line="300" w:lineRule="exact"/>
        <w:ind w:left="-2" w:firstLine="569"/>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3.使用條件：</w:t>
      </w:r>
    </w:p>
    <w:p w14:paraId="48EA2A15" w14:textId="77777777" w:rsidR="007576F0" w:rsidRPr="007576F0" w:rsidRDefault="007576F0" w:rsidP="001E268F">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(1)</w:t>
      </w:r>
      <w:r w:rsidRPr="007576F0">
        <w:rPr>
          <w:rFonts w:ascii="標楷體" w:eastAsia="標楷體" w:hAnsi="標楷體" w:hint="eastAsia"/>
          <w:kern w:val="2"/>
          <w:szCs w:val="24"/>
          <w14:ligatures w14:val="standardContextual"/>
        </w:rPr>
        <w:tab/>
        <w:t>病人</w:t>
      </w:r>
      <w:r w:rsidRPr="007576F0">
        <w:rPr>
          <w:rFonts w:ascii="標楷體" w:eastAsia="標楷體" w:hAnsi="標楷體" w:hint="eastAsia"/>
          <w:kern w:val="0"/>
          <w:szCs w:val="24"/>
          <w14:ligatures w14:val="standardContextual"/>
        </w:rPr>
        <w:t>身體狀況良好(ECOG</w:t>
      </w:r>
      <w:proofErr w:type="gramStart"/>
      <w:r w:rsidRPr="007576F0">
        <w:rPr>
          <w:rFonts w:ascii="標楷體" w:eastAsia="標楷體" w:hAnsi="標楷體" w:hint="eastAsia"/>
          <w:kern w:val="0"/>
          <w:szCs w:val="24"/>
          <w14:ligatures w14:val="standardContextual"/>
        </w:rPr>
        <w:t>≦</w:t>
      </w:r>
      <w:proofErr w:type="gramEnd"/>
      <w:r w:rsidRPr="007576F0">
        <w:rPr>
          <w:rFonts w:ascii="標楷體" w:eastAsia="標楷體" w:hAnsi="標楷體" w:hint="eastAsia"/>
          <w:kern w:val="0"/>
          <w:szCs w:val="24"/>
          <w14:ligatures w14:val="standardContextual"/>
        </w:rPr>
        <w:t>1)。</w:t>
      </w:r>
    </w:p>
    <w:p w14:paraId="5A5D4EBB" w14:textId="77777777" w:rsidR="007576F0" w:rsidRPr="007576F0" w:rsidRDefault="007576F0" w:rsidP="007576F0">
      <w:pPr>
        <w:suppressAutoHyphens w:val="0"/>
        <w:autoSpaceDN/>
        <w:spacing w:line="300" w:lineRule="exact"/>
        <w:ind w:left="1134" w:hanging="386"/>
        <w:jc w:val="both"/>
        <w:textAlignment w:val="auto"/>
        <w:rPr>
          <w:rFonts w:ascii="Aptos" w:hAnsi="Aptos" w:hint="eastAsia"/>
          <w:kern w:val="2"/>
          <w:szCs w:val="24"/>
          <w14:ligatures w14:val="standardContextual"/>
        </w:rPr>
      </w:pPr>
      <w:r w:rsidRPr="007576F0">
        <w:rPr>
          <w:rFonts w:ascii="標楷體" w:eastAsia="標楷體" w:hAnsi="標楷體" w:hint="eastAsia"/>
          <w:kern w:val="0"/>
          <w:szCs w:val="24"/>
          <w14:ligatures w14:val="standardContextual"/>
        </w:rPr>
        <w:t>(2)</w:t>
      </w:r>
      <w:r w:rsidRPr="007576F0">
        <w:rPr>
          <w:rFonts w:ascii="標楷體" w:eastAsia="標楷體" w:hAnsi="標楷體" w:hint="eastAsia"/>
          <w:kern w:val="0"/>
          <w:szCs w:val="24"/>
          <w14:ligatures w14:val="standardContextual"/>
        </w:rPr>
        <w:tab/>
        <w:t>病人之心</w:t>
      </w:r>
      <w:proofErr w:type="gramStart"/>
      <w:r w:rsidRPr="007576F0">
        <w:rPr>
          <w:rFonts w:ascii="標楷體" w:eastAsia="標楷體" w:hAnsi="標楷體" w:hint="eastAsia"/>
          <w:kern w:val="0"/>
          <w:szCs w:val="24"/>
          <w14:ligatures w14:val="standardContextual"/>
        </w:rPr>
        <w:t>肺與肝腎</w:t>
      </w:r>
      <w:proofErr w:type="gramEnd"/>
      <w:r w:rsidRPr="007576F0">
        <w:rPr>
          <w:rFonts w:ascii="標楷體" w:eastAsia="標楷體" w:hAnsi="標楷體" w:hint="eastAsia"/>
          <w:kern w:val="0"/>
          <w:szCs w:val="24"/>
          <w14:ligatures w14:val="standardContextual"/>
        </w:rPr>
        <w:t>功能須符合下列所有條件：</w:t>
      </w:r>
    </w:p>
    <w:p w14:paraId="48A23360" w14:textId="77777777" w:rsidR="007576F0" w:rsidRPr="007576F0" w:rsidRDefault="007576F0" w:rsidP="007576F0">
      <w:pPr>
        <w:tabs>
          <w:tab w:val="left" w:pos="1418"/>
        </w:tabs>
        <w:suppressAutoHyphens w:val="0"/>
        <w:autoSpaceDN/>
        <w:spacing w:line="300" w:lineRule="exact"/>
        <w:ind w:left="1418" w:hanging="284"/>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I.NYHA(the New York Heart Association) Functional Class I或II</w:t>
      </w:r>
    </w:p>
    <w:p w14:paraId="1199C2BE" w14:textId="77777777" w:rsidR="007576F0" w:rsidRPr="007576F0" w:rsidRDefault="007576F0" w:rsidP="007576F0">
      <w:pPr>
        <w:tabs>
          <w:tab w:val="left" w:pos="1418"/>
          <w:tab w:val="left" w:pos="2552"/>
        </w:tabs>
        <w:suppressAutoHyphens w:val="0"/>
        <w:autoSpaceDN/>
        <w:spacing w:line="300" w:lineRule="exact"/>
        <w:ind w:left="1276" w:hanging="284"/>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II.GOT&lt;60U/L及GPT&lt;60U/L，且T-bilirubin&lt;1.5mg/dL (</w:t>
      </w:r>
      <w:proofErr w:type="gramStart"/>
      <w:r w:rsidRPr="007576F0">
        <w:rPr>
          <w:rFonts w:ascii="標楷體" w:eastAsia="標楷體" w:hAnsi="標楷體" w:hint="eastAsia"/>
          <w:kern w:val="2"/>
          <w:szCs w:val="24"/>
          <w14:ligatures w14:val="standardContextual"/>
        </w:rPr>
        <w:t>晚期肝</w:t>
      </w:r>
      <w:proofErr w:type="gramEnd"/>
      <w:r w:rsidRPr="007576F0">
        <w:rPr>
          <w:rFonts w:ascii="標楷體" w:eastAsia="標楷體" w:hAnsi="標楷體" w:hint="eastAsia"/>
          <w:kern w:val="2"/>
          <w:szCs w:val="24"/>
          <w14:ligatures w14:val="standardContextual"/>
        </w:rPr>
        <w:t>細胞癌</w:t>
      </w:r>
      <w:proofErr w:type="gramStart"/>
      <w:r w:rsidRPr="007576F0">
        <w:rPr>
          <w:rFonts w:ascii="標楷體" w:eastAsia="標楷體" w:hAnsi="標楷體" w:hint="eastAsia"/>
          <w:kern w:val="2"/>
          <w:szCs w:val="24"/>
          <w14:ligatures w14:val="standardContextual"/>
        </w:rPr>
        <w:t>以及膽道癌</w:t>
      </w:r>
      <w:proofErr w:type="gramEnd"/>
      <w:r w:rsidRPr="007576F0">
        <w:rPr>
          <w:rFonts w:ascii="標楷體" w:eastAsia="標楷體" w:hAnsi="標楷體" w:hint="eastAsia"/>
          <w:kern w:val="2"/>
          <w:szCs w:val="24"/>
          <w14:ligatures w14:val="standardContextual"/>
        </w:rPr>
        <w:t>病人可免除此條件)(114/2/1)</w:t>
      </w:r>
    </w:p>
    <w:p w14:paraId="52D0B6D5" w14:textId="77777777" w:rsidR="007576F0" w:rsidRPr="007576F0" w:rsidRDefault="007576F0" w:rsidP="007576F0">
      <w:pPr>
        <w:tabs>
          <w:tab w:val="left" w:pos="1418"/>
          <w:tab w:val="left" w:pos="2552"/>
        </w:tabs>
        <w:suppressAutoHyphens w:val="0"/>
        <w:autoSpaceDN/>
        <w:spacing w:line="300" w:lineRule="exact"/>
        <w:ind w:left="1276" w:hanging="284"/>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III.腎功能：(</w:t>
      </w:r>
      <w:proofErr w:type="gramStart"/>
      <w:r w:rsidRPr="007576F0">
        <w:rPr>
          <w:rFonts w:ascii="標楷體" w:eastAsia="標楷體" w:hAnsi="標楷體" w:hint="eastAsia"/>
          <w:kern w:val="2"/>
          <w:szCs w:val="24"/>
          <w14:ligatures w14:val="standardContextual"/>
        </w:rPr>
        <w:t>晚期腎</w:t>
      </w:r>
      <w:proofErr w:type="gramEnd"/>
      <w:r w:rsidRPr="007576F0">
        <w:rPr>
          <w:rFonts w:ascii="標楷體" w:eastAsia="標楷體" w:hAnsi="標楷體" w:hint="eastAsia"/>
          <w:kern w:val="2"/>
          <w:szCs w:val="24"/>
          <w14:ligatures w14:val="standardContextual"/>
        </w:rPr>
        <w:t>細胞癌病人可免除此條件) (109/4/1、112/10/1</w:t>
      </w:r>
      <w:r w:rsidRPr="007576F0">
        <w:rPr>
          <w:rFonts w:ascii="標楷體" w:eastAsia="標楷體" w:hAnsi="標楷體" w:hint="eastAsia"/>
          <w:kern w:val="2"/>
          <w:szCs w:val="24"/>
          <w:lang w:val="zh-TW" w:bidi="zh-TW"/>
          <w14:ligatures w14:val="standardContextual"/>
        </w:rPr>
        <w:t>、115/2/1</w:t>
      </w:r>
      <w:r w:rsidRPr="007576F0">
        <w:rPr>
          <w:rFonts w:ascii="標楷體" w:eastAsia="標楷體" w:hAnsi="標楷體" w:hint="eastAsia"/>
          <w:kern w:val="2"/>
          <w:szCs w:val="24"/>
          <w14:ligatures w14:val="standardContextual"/>
        </w:rPr>
        <w:t>)</w:t>
      </w:r>
    </w:p>
    <w:p w14:paraId="2C02F1FB" w14:textId="77777777" w:rsidR="007576F0" w:rsidRPr="007576F0" w:rsidRDefault="007576F0" w:rsidP="007576F0">
      <w:pPr>
        <w:tabs>
          <w:tab w:val="left" w:pos="1185"/>
          <w:tab w:val="left" w:pos="1418"/>
        </w:tabs>
        <w:suppressAutoHyphens w:val="0"/>
        <w:autoSpaceDN/>
        <w:spacing w:line="300" w:lineRule="exact"/>
        <w:ind w:left="1560" w:hanging="284"/>
        <w:jc w:val="both"/>
        <w:textAlignment w:val="auto"/>
        <w:rPr>
          <w:rFonts w:ascii="Aptos" w:hAnsi="Aptos" w:hint="eastAsia"/>
          <w:kern w:val="2"/>
          <w:szCs w:val="24"/>
          <w14:ligatures w14:val="standardContextual"/>
        </w:rPr>
      </w:pPr>
      <w:proofErr w:type="spellStart"/>
      <w:r w:rsidRPr="007576F0">
        <w:rPr>
          <w:rFonts w:ascii="標楷體" w:eastAsia="標楷體" w:hAnsi="標楷體" w:hint="eastAsia"/>
          <w:kern w:val="2"/>
          <w:szCs w:val="24"/>
          <w14:ligatures w14:val="standardContextual"/>
        </w:rPr>
        <w:t>i</w:t>
      </w:r>
      <w:proofErr w:type="spellEnd"/>
      <w:r w:rsidRPr="007576F0">
        <w:rPr>
          <w:rFonts w:ascii="標楷體" w:eastAsia="標楷體" w:hAnsi="標楷體" w:hint="eastAsia"/>
          <w:kern w:val="2"/>
          <w:szCs w:val="24"/>
          <w14:ligatures w14:val="standardContextual"/>
        </w:rPr>
        <w:t>.泌尿</w:t>
      </w:r>
      <w:proofErr w:type="gramStart"/>
      <w:r w:rsidRPr="007576F0">
        <w:rPr>
          <w:rFonts w:ascii="標楷體" w:eastAsia="標楷體" w:hAnsi="標楷體" w:hint="eastAsia"/>
          <w:kern w:val="2"/>
          <w:szCs w:val="24"/>
          <w14:ligatures w14:val="standardContextual"/>
        </w:rPr>
        <w:t>道上皮癌第一線</w:t>
      </w:r>
      <w:proofErr w:type="gramEnd"/>
      <w:r w:rsidRPr="007576F0">
        <w:rPr>
          <w:rFonts w:ascii="標楷體" w:eastAsia="標楷體" w:hAnsi="標楷體" w:hint="eastAsia"/>
          <w:kern w:val="2"/>
          <w:szCs w:val="24"/>
          <w14:ligatures w14:val="standardContextual"/>
        </w:rPr>
        <w:t>用藥：單獨使用pembrolizumab須符合eGFR&gt;30mL/min/1.73m</w:t>
      </w:r>
      <w:r w:rsidRPr="007576F0">
        <w:rPr>
          <w:rFonts w:ascii="標楷體" w:eastAsia="標楷體" w:hAnsi="標楷體" w:hint="eastAsia"/>
          <w:kern w:val="2"/>
          <w:szCs w:val="24"/>
          <w:vertAlign w:val="superscript"/>
          <w14:ligatures w14:val="standardContextual"/>
        </w:rPr>
        <w:t>2</w:t>
      </w:r>
      <w:r w:rsidRPr="007576F0">
        <w:rPr>
          <w:rFonts w:ascii="標楷體" w:eastAsia="標楷體" w:hAnsi="標楷體" w:hint="eastAsia"/>
          <w:kern w:val="2"/>
          <w:szCs w:val="24"/>
          <w14:ligatures w14:val="standardContextual"/>
        </w:rPr>
        <w:t>且&lt;60mL/min/1.73m</w:t>
      </w:r>
      <w:r w:rsidRPr="007576F0">
        <w:rPr>
          <w:rFonts w:ascii="標楷體" w:eastAsia="標楷體" w:hAnsi="標楷體" w:hint="eastAsia"/>
          <w:kern w:val="2"/>
          <w:szCs w:val="24"/>
          <w:vertAlign w:val="superscript"/>
          <w14:ligatures w14:val="standardContextual"/>
        </w:rPr>
        <w:t>2</w:t>
      </w:r>
      <w:r w:rsidRPr="007576F0">
        <w:rPr>
          <w:rFonts w:ascii="標楷體" w:eastAsia="標楷體" w:hAnsi="標楷體" w:hint="eastAsia"/>
          <w:kern w:val="2"/>
          <w:szCs w:val="24"/>
          <w14:ligatures w14:val="standardContextual"/>
        </w:rPr>
        <w:t>；nivolumab</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w:t>
      </w:r>
      <w:proofErr w:type="gramStart"/>
      <w:r w:rsidRPr="007576F0">
        <w:rPr>
          <w:rFonts w:ascii="標楷體" w:eastAsia="標楷體" w:hAnsi="標楷體" w:hint="eastAsia"/>
          <w:kern w:val="2"/>
          <w:szCs w:val="24"/>
          <w14:ligatures w14:val="standardContextual"/>
        </w:rPr>
        <w:t>化療須符合</w:t>
      </w:r>
      <w:proofErr w:type="gramEnd"/>
      <w:r w:rsidRPr="007576F0">
        <w:rPr>
          <w:rFonts w:ascii="標楷體" w:eastAsia="標楷體" w:hAnsi="標楷體" w:hint="eastAsia"/>
          <w:kern w:val="2"/>
          <w:szCs w:val="24"/>
          <w14:ligatures w14:val="standardContextual"/>
        </w:rPr>
        <w:t xml:space="preserve">eGFR </w:t>
      </w:r>
      <w:r w:rsidRPr="007576F0">
        <w:rPr>
          <w:rFonts w:ascii="Times New Roman" w:eastAsia="標楷體" w:hAnsi="Times New Roman"/>
          <w:kern w:val="2"/>
          <w:szCs w:val="24"/>
          <w14:ligatures w14:val="standardContextual"/>
        </w:rPr>
        <w:t>≥</w:t>
      </w:r>
      <w:r w:rsidRPr="007576F0">
        <w:rPr>
          <w:rFonts w:ascii="標楷體" w:eastAsia="標楷體" w:hAnsi="標楷體" w:hint="eastAsia"/>
          <w:kern w:val="2"/>
          <w:szCs w:val="24"/>
          <w14:ligatures w14:val="standardContextual"/>
        </w:rPr>
        <w:t>60mL/min/1.73m2。</w:t>
      </w:r>
    </w:p>
    <w:p w14:paraId="0809F38B" w14:textId="77777777" w:rsidR="007576F0" w:rsidRPr="007576F0" w:rsidRDefault="007576F0" w:rsidP="007576F0">
      <w:pPr>
        <w:tabs>
          <w:tab w:val="left" w:pos="1185"/>
          <w:tab w:val="left" w:pos="1418"/>
        </w:tabs>
        <w:suppressAutoHyphens w:val="0"/>
        <w:autoSpaceDN/>
        <w:spacing w:line="300" w:lineRule="exact"/>
        <w:ind w:left="1560" w:hanging="284"/>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ii.泌尿道上</w:t>
      </w:r>
      <w:proofErr w:type="gramStart"/>
      <w:r w:rsidRPr="007576F0">
        <w:rPr>
          <w:rFonts w:ascii="標楷體" w:eastAsia="標楷體" w:hAnsi="標楷體" w:hint="eastAsia"/>
          <w:kern w:val="2"/>
          <w:szCs w:val="24"/>
          <w14:ligatures w14:val="standardContextual"/>
        </w:rPr>
        <w:t>皮癌第</w:t>
      </w:r>
      <w:proofErr w:type="gramEnd"/>
      <w:r w:rsidRPr="007576F0">
        <w:rPr>
          <w:rFonts w:ascii="標楷體" w:eastAsia="標楷體" w:hAnsi="標楷體" w:hint="eastAsia"/>
          <w:kern w:val="2"/>
          <w:szCs w:val="24"/>
          <w14:ligatures w14:val="standardContextual"/>
        </w:rPr>
        <w:t>二線用藥：eGFR&gt;30mL/min/1.73m</w:t>
      </w:r>
      <w:r w:rsidRPr="007576F0">
        <w:rPr>
          <w:rFonts w:ascii="標楷體" w:eastAsia="標楷體" w:hAnsi="標楷體" w:hint="eastAsia"/>
          <w:kern w:val="2"/>
          <w:szCs w:val="24"/>
          <w:vertAlign w:val="superscript"/>
          <w14:ligatures w14:val="standardContextual"/>
        </w:rPr>
        <w:t>2</w:t>
      </w:r>
      <w:r w:rsidRPr="007576F0">
        <w:rPr>
          <w:rFonts w:ascii="標楷體" w:eastAsia="標楷體" w:hAnsi="標楷體" w:hint="eastAsia"/>
          <w:kern w:val="2"/>
          <w:szCs w:val="24"/>
          <w14:ligatures w14:val="standardContextual"/>
        </w:rPr>
        <w:t>。</w:t>
      </w:r>
    </w:p>
    <w:p w14:paraId="00D0C84F" w14:textId="77777777" w:rsidR="007576F0" w:rsidRPr="007576F0" w:rsidRDefault="007576F0" w:rsidP="007576F0">
      <w:pPr>
        <w:tabs>
          <w:tab w:val="left" w:pos="1185"/>
          <w:tab w:val="left" w:pos="1418"/>
        </w:tabs>
        <w:suppressAutoHyphens w:val="0"/>
        <w:autoSpaceDN/>
        <w:spacing w:line="300" w:lineRule="exact"/>
        <w:ind w:left="1560" w:hanging="284"/>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iii.泌尿</w:t>
      </w:r>
      <w:proofErr w:type="gramStart"/>
      <w:r w:rsidRPr="007576F0">
        <w:rPr>
          <w:rFonts w:ascii="標楷體" w:eastAsia="標楷體" w:hAnsi="標楷體" w:hint="eastAsia"/>
          <w:kern w:val="2"/>
          <w:szCs w:val="24"/>
          <w14:ligatures w14:val="standardContextual"/>
        </w:rPr>
        <w:t>道上皮癌維持</w:t>
      </w:r>
      <w:proofErr w:type="gramEnd"/>
      <w:r w:rsidRPr="007576F0">
        <w:rPr>
          <w:rFonts w:ascii="標楷體" w:eastAsia="標楷體" w:hAnsi="標楷體" w:hint="eastAsia"/>
          <w:kern w:val="2"/>
          <w:szCs w:val="24"/>
          <w14:ligatures w14:val="standardContextual"/>
        </w:rPr>
        <w:t>治療（112/10/1）：eGFR&gt;30mL/min/1.73m</w:t>
      </w:r>
      <w:r w:rsidRPr="007576F0">
        <w:rPr>
          <w:rFonts w:ascii="標楷體" w:eastAsia="標楷體" w:hAnsi="標楷體" w:hint="eastAsia"/>
          <w:kern w:val="2"/>
          <w:szCs w:val="24"/>
          <w:vertAlign w:val="superscript"/>
          <w14:ligatures w14:val="standardContextual"/>
        </w:rPr>
        <w:t>2</w:t>
      </w:r>
      <w:r w:rsidRPr="007576F0">
        <w:rPr>
          <w:rFonts w:ascii="標楷體" w:eastAsia="標楷體" w:hAnsi="標楷體" w:hint="eastAsia"/>
          <w:kern w:val="2"/>
          <w:szCs w:val="24"/>
          <w14:ligatures w14:val="standardContextual"/>
        </w:rPr>
        <w:t>。</w:t>
      </w:r>
    </w:p>
    <w:p w14:paraId="64A123A3" w14:textId="77777777" w:rsidR="007576F0" w:rsidRPr="007576F0" w:rsidRDefault="007576F0" w:rsidP="007576F0">
      <w:pPr>
        <w:tabs>
          <w:tab w:val="left" w:pos="1185"/>
          <w:tab w:val="left" w:pos="1418"/>
        </w:tabs>
        <w:suppressAutoHyphens w:val="0"/>
        <w:autoSpaceDN/>
        <w:spacing w:line="300" w:lineRule="exact"/>
        <w:ind w:left="1560" w:hanging="284"/>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iv.</w:t>
      </w:r>
      <w:proofErr w:type="gramStart"/>
      <w:r w:rsidRPr="007576F0">
        <w:rPr>
          <w:rFonts w:ascii="標楷體" w:eastAsia="標楷體" w:hAnsi="標楷體" w:hint="eastAsia"/>
          <w:kern w:val="2"/>
          <w:szCs w:val="24"/>
          <w14:ligatures w14:val="standardContextual"/>
        </w:rPr>
        <w:t>其他癌別</w:t>
      </w:r>
      <w:proofErr w:type="gramEnd"/>
      <w:r w:rsidRPr="007576F0">
        <w:rPr>
          <w:rFonts w:ascii="標楷體" w:eastAsia="標楷體" w:hAnsi="標楷體" w:hint="eastAsia"/>
          <w:kern w:val="2"/>
          <w:szCs w:val="24"/>
          <w14:ligatures w14:val="standardContextual"/>
        </w:rPr>
        <w:t>：Creatinine&lt;1.5mg/dL且eGFR&gt;60mL/min/1.73m</w:t>
      </w:r>
      <w:r w:rsidRPr="007576F0">
        <w:rPr>
          <w:rFonts w:ascii="標楷體" w:eastAsia="標楷體" w:hAnsi="標楷體" w:hint="eastAsia"/>
          <w:kern w:val="2"/>
          <w:szCs w:val="24"/>
          <w:vertAlign w:val="superscript"/>
          <w14:ligatures w14:val="standardContextual"/>
        </w:rPr>
        <w:t>2</w:t>
      </w:r>
      <w:r w:rsidRPr="007576F0">
        <w:rPr>
          <w:rFonts w:ascii="標楷體" w:eastAsia="標楷體" w:hAnsi="標楷體" w:hint="eastAsia"/>
          <w:kern w:val="2"/>
          <w:szCs w:val="24"/>
          <w14:ligatures w14:val="standardContextual"/>
        </w:rPr>
        <w:t>。</w:t>
      </w:r>
    </w:p>
    <w:p w14:paraId="14E1131D" w14:textId="77777777" w:rsidR="007576F0" w:rsidRPr="007576F0" w:rsidRDefault="007576F0" w:rsidP="007576F0">
      <w:pPr>
        <w:tabs>
          <w:tab w:val="left" w:pos="2552"/>
        </w:tabs>
        <w:suppressAutoHyphens w:val="0"/>
        <w:autoSpaceDN/>
        <w:spacing w:line="300" w:lineRule="exact"/>
        <w:ind w:left="1133" w:hanging="564"/>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 xml:space="preserve"> (3)病人之生物標記表現：除ipilimumab與nivolumab</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用於惡性肋膜</w:t>
      </w:r>
      <w:proofErr w:type="gramStart"/>
      <w:r w:rsidRPr="007576F0">
        <w:rPr>
          <w:rFonts w:ascii="標楷體" w:eastAsia="標楷體" w:hAnsi="標楷體" w:hint="eastAsia"/>
          <w:kern w:val="2"/>
          <w:szCs w:val="24"/>
          <w14:ligatures w14:val="standardContextual"/>
        </w:rPr>
        <w:t>間皮瘤外</w:t>
      </w:r>
      <w:proofErr w:type="gramEnd"/>
      <w:r w:rsidRPr="007576F0">
        <w:rPr>
          <w:rFonts w:ascii="標楷體" w:eastAsia="標楷體" w:hAnsi="標楷體" w:hint="eastAsia"/>
          <w:kern w:val="2"/>
          <w:szCs w:val="24"/>
          <w14:ligatures w14:val="standardContextual"/>
        </w:rPr>
        <w:t>，依個別藥品使用其對應之第三等級體外診斷醫療器材(class III IVD)所檢測之PD-L1表現量需符合下表：(109/4/1、109/6/1、111/4/1、112/8/1、112/10/1、112/12/1、113/2/1、113/4/1、113/6/1、113/8/1、114/2/1、114/6/1、114/8/1、114/10/1</w:t>
      </w:r>
      <w:r w:rsidRPr="007576F0">
        <w:rPr>
          <w:rFonts w:ascii="標楷體" w:eastAsia="標楷體" w:hAnsi="標楷體" w:hint="eastAsia"/>
          <w:kern w:val="2"/>
          <w:szCs w:val="24"/>
          <w:lang w:val="zh-TW" w:bidi="zh-TW"/>
          <w14:ligatures w14:val="standardContextual"/>
        </w:rPr>
        <w:t>、</w:t>
      </w:r>
      <w:r w:rsidRPr="007576F0">
        <w:rPr>
          <w:rFonts w:ascii="標楷體" w:eastAsia="標楷體" w:hAnsi="標楷體" w:hint="eastAsia"/>
          <w:kern w:val="2"/>
          <w:szCs w:val="24"/>
          <w:lang w:bidi="zh-TW"/>
          <w14:ligatures w14:val="standardContextual"/>
        </w:rPr>
        <w:t>115/2/1</w:t>
      </w:r>
      <w:r w:rsidRPr="007576F0">
        <w:rPr>
          <w:rFonts w:ascii="標楷體" w:eastAsia="標楷體" w:hAnsi="標楷體" w:hint="eastAsia"/>
          <w:kern w:val="2"/>
          <w:szCs w:val="24"/>
          <w14:ligatures w14:val="standardContextual"/>
        </w:rPr>
        <w:t>、115/5/1</w:t>
      </w:r>
      <w:r w:rsidRPr="007576F0">
        <w:rPr>
          <w:rFonts w:ascii="標楷體" w:eastAsia="標楷體" w:hAnsi="標楷體" w:cs="標楷體.鬁..." w:hint="eastAsia"/>
          <w:kern w:val="0"/>
          <w:szCs w:val="24"/>
          <w14:ligatures w14:val="standardContextual"/>
        </w:rPr>
        <w:t>、</w:t>
      </w:r>
      <w:r w:rsidRPr="007576F0">
        <w:rPr>
          <w:rFonts w:ascii="標楷體" w:eastAsia="標楷體" w:hAnsi="標楷體" w:hint="eastAsia"/>
          <w:kern w:val="0"/>
          <w:szCs w:val="24"/>
          <w14:ligatures w14:val="standardContextual"/>
        </w:rPr>
        <w:t>115/6/1</w:t>
      </w:r>
      <w:r w:rsidRPr="007576F0">
        <w:rPr>
          <w:rFonts w:ascii="標楷體" w:eastAsia="標楷體" w:hAnsi="標楷體" w:hint="eastAsia"/>
          <w:color w:val="000000"/>
          <w:kern w:val="2"/>
          <w:szCs w:val="24"/>
          <w14:ligatures w14:val="standardContextual"/>
        </w:rPr>
        <w:t>、</w:t>
      </w:r>
      <w:r w:rsidRPr="007576F0">
        <w:rPr>
          <w:rFonts w:ascii="標楷體" w:eastAsia="標楷體" w:hAnsi="標楷體" w:hint="eastAsia"/>
          <w:kern w:val="2"/>
          <w:szCs w:val="24"/>
          <w14:ligatures w14:val="standardContextual"/>
        </w:rPr>
        <w:t>115/8/1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hint="eastAsia"/>
          <w:kern w:val="2"/>
          <w:szCs w:val="24"/>
          <w14:ligatures w14:val="standardContextual"/>
        </w:rPr>
        <w:t>)</w:t>
      </w:r>
    </w:p>
    <w:tbl>
      <w:tblPr>
        <w:tblW w:w="5379" w:type="pct"/>
        <w:jc w:val="center"/>
        <w:tblCellMar>
          <w:left w:w="10" w:type="dxa"/>
          <w:right w:w="10" w:type="dxa"/>
        </w:tblCellMar>
        <w:tblLook w:val="04A0" w:firstRow="1" w:lastRow="0" w:firstColumn="1" w:lastColumn="0" w:noHBand="0" w:noVBand="1"/>
      </w:tblPr>
      <w:tblGrid>
        <w:gridCol w:w="1051"/>
        <w:gridCol w:w="380"/>
        <w:gridCol w:w="1247"/>
        <w:gridCol w:w="1090"/>
        <w:gridCol w:w="1180"/>
        <w:gridCol w:w="740"/>
        <w:gridCol w:w="1190"/>
        <w:gridCol w:w="1370"/>
        <w:gridCol w:w="1010"/>
        <w:gridCol w:w="1100"/>
      </w:tblGrid>
      <w:tr w:rsidR="007576F0" w:rsidRPr="007576F0" w14:paraId="6A24C72B" w14:textId="77777777" w:rsidTr="00FA2DF6">
        <w:trPr>
          <w:cantSplit/>
          <w:trHeight w:val="360"/>
          <w:tblHeader/>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9A6F7E2" w14:textId="77777777" w:rsidR="007576F0" w:rsidRPr="007576F0" w:rsidRDefault="007576F0" w:rsidP="007576F0">
            <w:pPr>
              <w:widowControl/>
              <w:suppressAutoHyphens w:val="0"/>
              <w:autoSpaceDN/>
              <w:spacing w:line="300" w:lineRule="exact"/>
              <w:jc w:val="center"/>
              <w:textAlignment w:val="auto"/>
              <w:rPr>
                <w:rFonts w:ascii="標楷體" w:eastAsia="標楷體" w:hAnsi="標楷體"/>
                <w:kern w:val="0"/>
                <w:sz w:val="18"/>
                <w:szCs w:val="18"/>
                <w14:ligatures w14:val="standardContextual"/>
              </w:rPr>
            </w:pPr>
            <w:r w:rsidRPr="007576F0">
              <w:rPr>
                <w:rFonts w:ascii="標楷體" w:eastAsia="標楷體" w:hAnsi="標楷體" w:hint="eastAsia"/>
                <w:kern w:val="0"/>
                <w:sz w:val="18"/>
                <w:szCs w:val="18"/>
                <w14:ligatures w14:val="standardContextual"/>
              </w:rPr>
              <w:lastRenderedPageBreak/>
              <w:t>給付範圍</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3580635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事審代碼</w:t>
            </w:r>
            <w:proofErr w:type="gramEnd"/>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970742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pembrolizumab</w:t>
            </w:r>
          </w:p>
          <w:p w14:paraId="0A23AFD8"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w:t>
            </w:r>
            <w:proofErr w:type="spellStart"/>
            <w:r w:rsidRPr="007576F0">
              <w:rPr>
                <w:rFonts w:ascii="標楷體" w:eastAsia="標楷體" w:hAnsi="標楷體" w:hint="eastAsia"/>
                <w:kern w:val="2"/>
                <w:sz w:val="18"/>
                <w:szCs w:val="18"/>
                <w14:ligatures w14:val="standardContextual"/>
              </w:rPr>
              <w:t>Dako</w:t>
            </w:r>
            <w:proofErr w:type="spellEnd"/>
            <w:r w:rsidRPr="007576F0">
              <w:rPr>
                <w:rFonts w:ascii="標楷體" w:eastAsia="標楷體" w:hAnsi="標楷體" w:hint="eastAsia"/>
                <w:kern w:val="2"/>
                <w:sz w:val="18"/>
                <w:szCs w:val="18"/>
                <w14:ligatures w14:val="standardContextual"/>
              </w:rPr>
              <w:t xml:space="preserve"> 22C3或Ventana SP263*)</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61D982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nivolumab</w:t>
            </w:r>
          </w:p>
          <w:p w14:paraId="08621FB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w:t>
            </w:r>
            <w:proofErr w:type="spellStart"/>
            <w:r w:rsidRPr="007576F0">
              <w:rPr>
                <w:rFonts w:ascii="標楷體" w:eastAsia="標楷體" w:hAnsi="標楷體" w:hint="eastAsia"/>
                <w:kern w:val="2"/>
                <w:sz w:val="18"/>
                <w:szCs w:val="18"/>
                <w14:ligatures w14:val="standardContextual"/>
              </w:rPr>
              <w:t>Dako</w:t>
            </w:r>
            <w:proofErr w:type="spellEnd"/>
            <w:r w:rsidRPr="007576F0">
              <w:rPr>
                <w:rFonts w:ascii="標楷體" w:eastAsia="標楷體" w:hAnsi="標楷體" w:hint="eastAsia"/>
                <w:kern w:val="2"/>
                <w:sz w:val="18"/>
                <w:szCs w:val="18"/>
                <w14:ligatures w14:val="standardContextual"/>
              </w:rPr>
              <w:t xml:space="preserve"> 28-8或Ventana SP263*)</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66FD9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atezolizumab</w:t>
            </w:r>
          </w:p>
          <w:p w14:paraId="051AF1A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(Ventana SP142)</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75B57A2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avelumab</w:t>
            </w:r>
          </w:p>
          <w:p w14:paraId="4E1CB00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(Ventana SP263*)</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3D9A698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durvalumab</w:t>
            </w:r>
          </w:p>
          <w:p w14:paraId="67CFC14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(Ventana SP263*)</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28369B1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spellStart"/>
            <w:r w:rsidRPr="007576F0">
              <w:rPr>
                <w:rFonts w:ascii="標楷體" w:eastAsia="標楷體" w:hAnsi="標楷體" w:hint="eastAsia"/>
                <w:kern w:val="2"/>
                <w:sz w:val="18"/>
                <w:szCs w:val="18"/>
                <w14:ligatures w14:val="standardContextual"/>
              </w:rPr>
              <w:t>cemiplimab</w:t>
            </w:r>
            <w:proofErr w:type="spellEnd"/>
            <w:r w:rsidRPr="007576F0">
              <w:rPr>
                <w:rFonts w:ascii="標楷體" w:eastAsia="標楷體" w:hAnsi="標楷體" w:hint="eastAsia"/>
                <w:kern w:val="2"/>
                <w:sz w:val="18"/>
                <w:szCs w:val="18"/>
                <w14:ligatures w14:val="standardContextual"/>
              </w:rPr>
              <w:t>(</w:t>
            </w:r>
            <w:proofErr w:type="spellStart"/>
            <w:r w:rsidRPr="007576F0">
              <w:rPr>
                <w:rFonts w:ascii="標楷體" w:eastAsia="標楷體" w:hAnsi="標楷體" w:hint="eastAsia"/>
                <w:kern w:val="2"/>
                <w:sz w:val="18"/>
                <w:szCs w:val="18"/>
                <w14:ligatures w14:val="standardContextual"/>
              </w:rPr>
              <w:t>Dako</w:t>
            </w:r>
            <w:proofErr w:type="spellEnd"/>
            <w:r w:rsidRPr="007576F0">
              <w:rPr>
                <w:rFonts w:ascii="標楷體" w:eastAsia="標楷體" w:hAnsi="標楷體" w:hint="eastAsia"/>
                <w:kern w:val="2"/>
                <w:sz w:val="18"/>
                <w:szCs w:val="18"/>
                <w14:ligatures w14:val="standardContextual"/>
              </w:rPr>
              <w:t xml:space="preserve"> 22C3或Ventana SP263*)</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1E849B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bookmarkStart w:id="53" w:name="_Hlk230787283"/>
            <w:proofErr w:type="spellStart"/>
            <w:r w:rsidRPr="007576F0">
              <w:rPr>
                <w:rFonts w:ascii="標楷體" w:eastAsia="標楷體" w:hAnsi="標楷體" w:hint="eastAsia"/>
                <w:kern w:val="2"/>
                <w:sz w:val="18"/>
                <w:szCs w:val="18"/>
                <w14:ligatures w14:val="standardContextual"/>
              </w:rPr>
              <w:t>dostarlimab</w:t>
            </w:r>
            <w:bookmarkEnd w:id="53"/>
            <w:proofErr w:type="spellEnd"/>
          </w:p>
        </w:tc>
        <w:tc>
          <w:tcPr>
            <w:tcW w:w="1100" w:type="dxa"/>
            <w:tcBorders>
              <w:top w:val="single" w:sz="4" w:space="0" w:color="000000"/>
              <w:left w:val="single" w:sz="4" w:space="0" w:color="000000"/>
              <w:bottom w:val="single" w:sz="4" w:space="0" w:color="000000"/>
              <w:right w:val="single" w:sz="4" w:space="0" w:color="000000"/>
            </w:tcBorders>
            <w:vAlign w:val="center"/>
          </w:tcPr>
          <w:p w14:paraId="57620B69" w14:textId="77777777" w:rsidR="007576F0" w:rsidRPr="007576F0" w:rsidRDefault="007576F0" w:rsidP="007576F0">
            <w:pPr>
              <w:spacing w:line="300" w:lineRule="exact"/>
              <w:jc w:val="center"/>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t</w:t>
            </w:r>
            <w:r w:rsidRPr="007576F0">
              <w:rPr>
                <w:rFonts w:ascii="標楷體" w:eastAsia="標楷體" w:hAnsi="標楷體"/>
                <w:kern w:val="2"/>
                <w:sz w:val="18"/>
                <w:szCs w:val="18"/>
                <w14:ligatures w14:val="standardContextual"/>
              </w:rPr>
              <w:t>islelizumab</w:t>
            </w:r>
          </w:p>
          <w:p w14:paraId="675CB1F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kern w:val="2"/>
                <w:sz w:val="18"/>
                <w:szCs w:val="18"/>
                <w14:ligatures w14:val="standardContextual"/>
              </w:rPr>
              <w:t>(</w:t>
            </w:r>
            <w:bookmarkStart w:id="54" w:name="_Hlk227683172"/>
            <w:bookmarkStart w:id="55" w:name="_Hlk227683500"/>
            <w:r w:rsidRPr="007576F0">
              <w:rPr>
                <w:rFonts w:ascii="標楷體" w:eastAsia="標楷體" w:hAnsi="標楷體"/>
                <w:kern w:val="2"/>
                <w:sz w:val="18"/>
                <w:szCs w:val="18"/>
                <w14:ligatures w14:val="standardContextual"/>
              </w:rPr>
              <w:t>Ventana SP263</w:t>
            </w:r>
            <w:bookmarkEnd w:id="54"/>
            <w:r w:rsidRPr="007576F0">
              <w:rPr>
                <w:rFonts w:ascii="標楷體" w:eastAsia="標楷體" w:hAnsi="標楷體"/>
                <w:kern w:val="2"/>
                <w:sz w:val="18"/>
                <w:szCs w:val="18"/>
                <w14:ligatures w14:val="standardContextual"/>
              </w:rPr>
              <w:t>*</w:t>
            </w:r>
            <w:bookmarkEnd w:id="55"/>
            <w:r w:rsidRPr="007576F0">
              <w:rPr>
                <w:rFonts w:ascii="標楷體" w:eastAsia="標楷體" w:hAnsi="標楷體"/>
                <w:kern w:val="2"/>
                <w:sz w:val="18"/>
                <w:szCs w:val="18"/>
                <w14:ligatures w14:val="standardContextual"/>
              </w:rPr>
              <w:t>)</w:t>
            </w:r>
          </w:p>
        </w:tc>
      </w:tr>
      <w:tr w:rsidR="007576F0" w:rsidRPr="007576F0" w14:paraId="319D119F"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FF9A66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黑色素瘤</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477242F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P001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580E83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5A171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434D0A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3934935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31047AA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13E2CFB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7F47279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67C5FD8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64FABDB7"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1B9BCD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非小細胞肺癌術前輔助治療(</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7D8EEAF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P016</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ED8AB4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92F500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71F08C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7CA045A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2B9E156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6AA8E21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6BF78BD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12BC830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7B1880EE"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D634480" w14:textId="3659FB8F" w:rsidR="007576F0" w:rsidRPr="007576F0" w:rsidRDefault="007576F0" w:rsidP="001E268F">
            <w:pPr>
              <w:suppressAutoHyphens w:val="0"/>
              <w:autoSpaceDN/>
              <w:spacing w:line="300" w:lineRule="exact"/>
              <w:jc w:val="center"/>
              <w:textAlignment w:val="auto"/>
              <w:rPr>
                <w:rFonts w:ascii="標楷體" w:eastAsia="標楷體" w:hAnsi="標楷體"/>
                <w:kern w:val="0"/>
                <w:sz w:val="18"/>
                <w:szCs w:val="18"/>
                <w14:ligatures w14:val="standardContextual"/>
              </w:rPr>
            </w:pPr>
            <w:r w:rsidRPr="007576F0">
              <w:rPr>
                <w:rFonts w:ascii="標楷體" w:eastAsia="標楷體" w:hAnsi="標楷體" w:hint="eastAsia"/>
                <w:kern w:val="0"/>
                <w:sz w:val="18"/>
                <w:szCs w:val="18"/>
                <w14:ligatures w14:val="standardContextual"/>
              </w:rPr>
              <w:t>非小細胞肺癌鞏固治療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4447D7D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0"/>
                <w:sz w:val="18"/>
                <w:szCs w:val="18"/>
                <w14:ligatures w14:val="standardContextual"/>
              </w:rPr>
            </w:pPr>
            <w:r w:rsidRPr="007576F0">
              <w:rPr>
                <w:rFonts w:ascii="標楷體" w:eastAsia="標楷體" w:hAnsi="標楷體" w:hint="eastAsia"/>
                <w:kern w:val="0"/>
                <w:sz w:val="18"/>
                <w:szCs w:val="18"/>
                <w14:ligatures w14:val="standardContextual"/>
              </w:rPr>
              <w:t>P015</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3302ED2" w14:textId="77777777" w:rsidR="007576F0" w:rsidRPr="007576F0" w:rsidRDefault="007576F0" w:rsidP="007576F0">
            <w:pPr>
              <w:suppressAutoHyphens w:val="0"/>
              <w:autoSpaceDN/>
              <w:snapToGrid w:val="0"/>
              <w:spacing w:line="300" w:lineRule="exact"/>
              <w:jc w:val="center"/>
              <w:textAlignment w:val="auto"/>
              <w:rPr>
                <w:rFonts w:ascii="標楷體" w:eastAsia="標楷體" w:hAnsi="標楷體"/>
                <w:kern w:val="0"/>
                <w:sz w:val="18"/>
                <w:szCs w:val="18"/>
                <w14:ligatures w14:val="standardContextual"/>
              </w:rPr>
            </w:pPr>
            <w:r w:rsidRPr="007576F0">
              <w:rPr>
                <w:rFonts w:ascii="標楷體" w:eastAsia="標楷體" w:hAnsi="標楷體" w:hint="eastAsia"/>
                <w:kern w:val="0"/>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80EE5A" w14:textId="77777777" w:rsidR="007576F0" w:rsidRPr="007576F0" w:rsidRDefault="007576F0" w:rsidP="007576F0">
            <w:pPr>
              <w:suppressAutoHyphens w:val="0"/>
              <w:autoSpaceDN/>
              <w:snapToGrid w:val="0"/>
              <w:spacing w:line="300" w:lineRule="exact"/>
              <w:jc w:val="center"/>
              <w:textAlignment w:val="auto"/>
              <w:rPr>
                <w:rFonts w:ascii="標楷體" w:eastAsia="標楷體" w:hAnsi="標楷體"/>
                <w:kern w:val="0"/>
                <w:sz w:val="18"/>
                <w:szCs w:val="18"/>
                <w14:ligatures w14:val="standardContextual"/>
              </w:rPr>
            </w:pPr>
            <w:r w:rsidRPr="007576F0">
              <w:rPr>
                <w:rFonts w:ascii="標楷體" w:eastAsia="標楷體" w:hAnsi="標楷體" w:hint="eastAsia"/>
                <w:kern w:val="0"/>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F44D825" w14:textId="77777777" w:rsidR="007576F0" w:rsidRPr="007576F0" w:rsidRDefault="007576F0" w:rsidP="007576F0">
            <w:pPr>
              <w:suppressAutoHyphens w:val="0"/>
              <w:autoSpaceDN/>
              <w:snapToGrid w:val="0"/>
              <w:spacing w:line="300" w:lineRule="exact"/>
              <w:jc w:val="center"/>
              <w:textAlignment w:val="auto"/>
              <w:rPr>
                <w:rFonts w:ascii="標楷體" w:eastAsia="標楷體" w:hAnsi="標楷體"/>
                <w:kern w:val="0"/>
                <w:sz w:val="18"/>
                <w:szCs w:val="18"/>
                <w14:ligatures w14:val="standardContextual"/>
              </w:rPr>
            </w:pPr>
            <w:r w:rsidRPr="007576F0">
              <w:rPr>
                <w:rFonts w:ascii="標楷體" w:eastAsia="標楷體" w:hAnsi="標楷體" w:hint="eastAsia"/>
                <w:kern w:val="0"/>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0F250166" w14:textId="77777777" w:rsidR="007576F0" w:rsidRPr="007576F0" w:rsidRDefault="007576F0" w:rsidP="007576F0">
            <w:pPr>
              <w:suppressAutoHyphens w:val="0"/>
              <w:autoSpaceDE w:val="0"/>
              <w:autoSpaceDN/>
              <w:snapToGrid w:val="0"/>
              <w:spacing w:line="300" w:lineRule="exact"/>
              <w:jc w:val="center"/>
              <w:textAlignment w:val="auto"/>
              <w:rPr>
                <w:rFonts w:ascii="標楷體" w:eastAsia="標楷體" w:hAnsi="標楷體"/>
                <w:kern w:val="0"/>
                <w:sz w:val="18"/>
                <w:szCs w:val="18"/>
                <w14:ligatures w14:val="standardContextual"/>
              </w:rPr>
            </w:pPr>
            <w:r w:rsidRPr="007576F0">
              <w:rPr>
                <w:rFonts w:ascii="標楷體" w:eastAsia="標楷體" w:hAnsi="標楷體" w:hint="eastAsia"/>
                <w:kern w:val="0"/>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19B36692" w14:textId="77777777" w:rsidR="007576F0" w:rsidRPr="007576F0" w:rsidRDefault="007576F0" w:rsidP="007576F0">
            <w:pPr>
              <w:suppressAutoHyphens w:val="0"/>
              <w:autoSpaceDE w:val="0"/>
              <w:autoSpaceDN/>
              <w:snapToGrid w:val="0"/>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0"/>
                <w:sz w:val="18"/>
                <w:szCs w:val="18"/>
                <w14:ligatures w14:val="standardContextual"/>
              </w:rPr>
              <w:t>PD-L1</w:t>
            </w:r>
            <w:proofErr w:type="gramStart"/>
            <w:r w:rsidRPr="007576F0">
              <w:rPr>
                <w:rFonts w:ascii="標楷體" w:eastAsia="標楷體" w:hAnsi="標楷體" w:cs="微軟正黑體" w:hint="eastAsia"/>
                <w:kern w:val="0"/>
                <w:sz w:val="18"/>
                <w:szCs w:val="18"/>
                <w14:ligatures w14:val="standardContextual"/>
              </w:rPr>
              <w:t>≧</w:t>
            </w:r>
            <w:proofErr w:type="gramEnd"/>
            <w:r w:rsidRPr="007576F0">
              <w:rPr>
                <w:rFonts w:ascii="標楷體" w:eastAsia="標楷體" w:hAnsi="標楷體" w:hint="eastAsia"/>
                <w:kern w:val="0"/>
                <w:sz w:val="18"/>
                <w:szCs w:val="18"/>
                <w14:ligatures w14:val="standardContextual"/>
              </w:rPr>
              <w:t xml:space="preserve"> 1%</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1272B194" w14:textId="77777777" w:rsidR="007576F0" w:rsidRPr="007576F0" w:rsidRDefault="007576F0" w:rsidP="007576F0">
            <w:pPr>
              <w:suppressAutoHyphens w:val="0"/>
              <w:autoSpaceDE w:val="0"/>
              <w:autoSpaceDN/>
              <w:snapToGrid w:val="0"/>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51339A1" w14:textId="77777777" w:rsidR="007576F0" w:rsidRPr="007576F0" w:rsidRDefault="007576F0" w:rsidP="007576F0">
            <w:pPr>
              <w:suppressAutoHyphens w:val="0"/>
              <w:autoSpaceDE w:val="0"/>
              <w:autoSpaceDN/>
              <w:snapToGrid w:val="0"/>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5D96BE89" w14:textId="77777777" w:rsidR="007576F0" w:rsidRPr="007576F0" w:rsidRDefault="007576F0" w:rsidP="007576F0">
            <w:pPr>
              <w:suppressAutoHyphens w:val="0"/>
              <w:autoSpaceDE w:val="0"/>
              <w:autoSpaceDN/>
              <w:snapToGrid w:val="0"/>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45A710DB"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61731A1"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proofErr w:type="gramStart"/>
            <w:r w:rsidRPr="007576F0">
              <w:rPr>
                <w:rFonts w:ascii="標楷體" w:eastAsia="標楷體" w:hAnsi="標楷體" w:hint="eastAsia"/>
                <w:kern w:val="0"/>
                <w:sz w:val="18"/>
                <w:szCs w:val="18"/>
                <w14:ligatures w14:val="standardContextual"/>
              </w:rPr>
              <w:t>鱗狀</w:t>
            </w:r>
            <w:proofErr w:type="gramEnd"/>
            <w:r w:rsidRPr="007576F0">
              <w:rPr>
                <w:rFonts w:ascii="標楷體" w:eastAsia="標楷體" w:hAnsi="標楷體" w:hint="eastAsia"/>
                <w:kern w:val="0"/>
                <w:sz w:val="18"/>
                <w:szCs w:val="18"/>
                <w14:ligatures w14:val="standardContextual"/>
              </w:rPr>
              <w:t>、</w:t>
            </w:r>
            <w:proofErr w:type="gramStart"/>
            <w:r w:rsidRPr="007576F0">
              <w:rPr>
                <w:rFonts w:ascii="標楷體" w:eastAsia="標楷體" w:hAnsi="標楷體" w:hint="eastAsia"/>
                <w:kern w:val="0"/>
                <w:sz w:val="18"/>
                <w:szCs w:val="18"/>
                <w14:ligatures w14:val="standardContextual"/>
              </w:rPr>
              <w:t>非鱗狀非</w:t>
            </w:r>
            <w:proofErr w:type="gramEnd"/>
            <w:r w:rsidRPr="007576F0">
              <w:rPr>
                <w:rFonts w:ascii="標楷體" w:eastAsia="標楷體" w:hAnsi="標楷體" w:hint="eastAsia"/>
                <w:kern w:val="0"/>
                <w:sz w:val="18"/>
                <w:szCs w:val="18"/>
                <w14:ligatures w14:val="standardContextual"/>
              </w:rPr>
              <w:t>小細胞肺癌第一線用藥(單用)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72D7E16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P013</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EEF0641"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CFE3B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60109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50%或IC</w:t>
            </w:r>
            <w:proofErr w:type="gramStart"/>
            <w:r w:rsidRPr="007576F0">
              <w:rPr>
                <w:rFonts w:ascii="標楷體" w:eastAsia="標楷體" w:hAnsi="標楷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10%</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1C6854C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698948C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52BA0F7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TPS</w:t>
            </w:r>
            <w:proofErr w:type="gramStart"/>
            <w:r w:rsidRPr="007576F0">
              <w:rPr>
                <w:rFonts w:ascii="標楷體" w:eastAsia="標楷體" w:hAnsi="標楷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46F0879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148ECEF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4DCB5B60"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8A94E62" w14:textId="25CFCDD3" w:rsidR="007576F0" w:rsidRPr="007576F0" w:rsidRDefault="007576F0" w:rsidP="001E268F">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非鱗狀非</w:t>
            </w:r>
            <w:proofErr w:type="gramEnd"/>
            <w:r w:rsidRPr="007576F0">
              <w:rPr>
                <w:rFonts w:ascii="標楷體" w:eastAsia="標楷體" w:hAnsi="標楷體" w:hint="eastAsia"/>
                <w:kern w:val="2"/>
                <w:sz w:val="18"/>
                <w:szCs w:val="18"/>
                <w14:ligatures w14:val="standardContextual"/>
              </w:rPr>
              <w:t>小細胞肺癌第一線用藥(</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5230D9E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P013</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7240D4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D1ECDA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C5B1C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3842EFC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7AF6354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5266F2A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27704D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3B01C41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TC≧50%</w:t>
            </w:r>
          </w:p>
        </w:tc>
      </w:tr>
      <w:tr w:rsidR="007576F0" w:rsidRPr="007576F0" w14:paraId="0BEF94C5"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D7D493F"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鱗狀非</w:t>
            </w:r>
            <w:proofErr w:type="gramEnd"/>
            <w:r w:rsidRPr="007576F0">
              <w:rPr>
                <w:rFonts w:ascii="標楷體" w:eastAsia="標楷體" w:hAnsi="標楷體" w:hint="eastAsia"/>
                <w:kern w:val="2"/>
                <w:sz w:val="18"/>
                <w:szCs w:val="18"/>
                <w14:ligatures w14:val="standardContextual"/>
              </w:rPr>
              <w:t>小細胞肺癌第二線用藥</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1A6FA16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P011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790742A"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BC5577D"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B9FCED"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50%或IC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10%</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7628D18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16FA580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1D0F91F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795F2B2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5308995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bookmarkStart w:id="56" w:name="_Hlk227683528"/>
            <w:r w:rsidRPr="007576F0">
              <w:rPr>
                <w:rFonts w:ascii="標楷體" w:eastAsia="標楷體" w:hAnsi="標楷體"/>
                <w:sz w:val="18"/>
                <w:szCs w:val="18"/>
              </w:rPr>
              <w:t>TC≧50%</w:t>
            </w:r>
            <w:bookmarkEnd w:id="56"/>
          </w:p>
        </w:tc>
      </w:tr>
      <w:tr w:rsidR="007576F0" w:rsidRPr="007576F0" w14:paraId="10CB66F8"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12B0E34"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非鱗狀非</w:t>
            </w:r>
            <w:proofErr w:type="gramEnd"/>
            <w:r w:rsidRPr="007576F0">
              <w:rPr>
                <w:rFonts w:ascii="標楷體" w:eastAsia="標楷體" w:hAnsi="標楷體" w:hint="eastAsia"/>
                <w:kern w:val="2"/>
                <w:sz w:val="18"/>
                <w:szCs w:val="18"/>
                <w14:ligatures w14:val="standardContextual"/>
              </w:rPr>
              <w:t>小細胞肺癌第三線用藥</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6BCCA30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P012</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498127A"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098EC9"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EB7A542"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50%或IC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10%</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664BD91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06D390B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7D64462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0AE509F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0FBAEAB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TC≧50%</w:t>
            </w:r>
          </w:p>
        </w:tc>
      </w:tr>
      <w:tr w:rsidR="007576F0" w:rsidRPr="007576F0" w14:paraId="21B67F0C"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639EE9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鱗狀非</w:t>
            </w:r>
            <w:proofErr w:type="gramEnd"/>
            <w:r w:rsidRPr="007576F0">
              <w:rPr>
                <w:rFonts w:ascii="標楷體" w:eastAsia="標楷體" w:hAnsi="標楷體" w:hint="eastAsia"/>
                <w:kern w:val="2"/>
                <w:sz w:val="18"/>
                <w:szCs w:val="18"/>
                <w14:ligatures w14:val="standardContextual"/>
              </w:rPr>
              <w:t>小細胞肺癌第一線用藥（</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57820C8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P014</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327D82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TPS 1~49%</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9B6D9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7C705A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0930B76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2CF9AFA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01D5935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7981032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6562FDF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sz w:val="18"/>
                <w:szCs w:val="18"/>
              </w:rPr>
              <w:t>不需檢附報告</w:t>
            </w:r>
          </w:p>
        </w:tc>
      </w:tr>
      <w:tr w:rsidR="007576F0" w:rsidRPr="007576F0" w14:paraId="1097B18A"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134A24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小細胞肺癌</w:t>
            </w:r>
          </w:p>
          <w:p w14:paraId="0B439E5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3C1D7FB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P021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2BA483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F71DFB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A058F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4882656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4D7A1B6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607A349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4B3FFCC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70D0AD5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210BEE9B"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682AC3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典型何</w:t>
            </w:r>
            <w:proofErr w:type="gramStart"/>
            <w:r w:rsidRPr="007576F0">
              <w:rPr>
                <w:rFonts w:ascii="標楷體" w:eastAsia="標楷體" w:hAnsi="標楷體" w:hint="eastAsia"/>
                <w:kern w:val="2"/>
                <w:sz w:val="18"/>
                <w:szCs w:val="18"/>
                <w14:ligatures w14:val="standardContextual"/>
              </w:rPr>
              <w:t>杰</w:t>
            </w:r>
            <w:proofErr w:type="gramEnd"/>
            <w:r w:rsidRPr="007576F0">
              <w:rPr>
                <w:rFonts w:ascii="標楷體" w:eastAsia="標楷體" w:hAnsi="標楷體" w:hint="eastAsia"/>
                <w:kern w:val="2"/>
                <w:sz w:val="18"/>
                <w:szCs w:val="18"/>
                <w14:ligatures w14:val="standardContextual"/>
              </w:rPr>
              <w:t>金氏淋巴瘤</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7E156C7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P031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6EF94D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02E7E3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AD942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2818385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44352F1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475D0D4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7D2466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38E4152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6E4890AE"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1CD72B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泌尿</w:t>
            </w:r>
            <w:proofErr w:type="gramStart"/>
            <w:r w:rsidRPr="007576F0">
              <w:rPr>
                <w:rFonts w:ascii="標楷體" w:eastAsia="標楷體" w:hAnsi="標楷體" w:hint="eastAsia"/>
                <w:kern w:val="2"/>
                <w:sz w:val="18"/>
                <w:szCs w:val="18"/>
                <w14:ligatures w14:val="standardContextual"/>
              </w:rPr>
              <w:t>道上皮癌維持</w:t>
            </w:r>
            <w:proofErr w:type="gramEnd"/>
            <w:r w:rsidRPr="007576F0">
              <w:rPr>
                <w:rFonts w:ascii="標楷體" w:eastAsia="標楷體" w:hAnsi="標楷體" w:hint="eastAsia"/>
                <w:kern w:val="2"/>
                <w:sz w:val="18"/>
                <w:szCs w:val="18"/>
                <w14:ligatures w14:val="standardContextual"/>
              </w:rPr>
              <w:t>療法</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21B5EDF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P043</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B769AE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0228EE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D00F3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60E4F49E"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4A89356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0CD3833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295EC9E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3474575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38B1A3E8"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C10E65B" w14:textId="3E0D7860" w:rsidR="007576F0" w:rsidRPr="007576F0" w:rsidRDefault="007576F0" w:rsidP="001E268F">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泌尿</w:t>
            </w:r>
            <w:proofErr w:type="gramStart"/>
            <w:r w:rsidRPr="007576F0">
              <w:rPr>
                <w:rFonts w:ascii="標楷體" w:eastAsia="標楷體" w:hAnsi="標楷體" w:hint="eastAsia"/>
                <w:kern w:val="2"/>
                <w:sz w:val="18"/>
                <w:szCs w:val="18"/>
                <w14:ligatures w14:val="standardContextual"/>
              </w:rPr>
              <w:t>道上皮癌第一線</w:t>
            </w:r>
            <w:proofErr w:type="gramEnd"/>
            <w:r w:rsidRPr="007576F0">
              <w:rPr>
                <w:rFonts w:ascii="標楷體" w:eastAsia="標楷體" w:hAnsi="標楷體" w:hint="eastAsia"/>
                <w:kern w:val="2"/>
                <w:sz w:val="18"/>
                <w:szCs w:val="18"/>
                <w14:ligatures w14:val="standardContextual"/>
              </w:rPr>
              <w:t>用藥(單用)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0F6229C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P042</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3E935F2"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CPS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10</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C7546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DFE35A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IC</w:t>
            </w:r>
            <w:proofErr w:type="gramStart"/>
            <w:r w:rsidRPr="007576F0">
              <w:rPr>
                <w:rFonts w:ascii="標楷體" w:eastAsia="標楷體" w:hAnsi="標楷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w:t>
            </w:r>
          </w:p>
          <w:p w14:paraId="2C5C5A8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(113年8月1日前審核同意符合續用申請條件者)</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6E08A16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5C24385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749258A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2D6063A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65DBB4B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0F8D0ECF"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1E9CEA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lastRenderedPageBreak/>
              <w:t>泌尿</w:t>
            </w:r>
            <w:proofErr w:type="gramStart"/>
            <w:r w:rsidRPr="007576F0">
              <w:rPr>
                <w:rFonts w:ascii="標楷體" w:eastAsia="標楷體" w:hAnsi="標楷體" w:hint="eastAsia"/>
                <w:kern w:val="2"/>
                <w:sz w:val="18"/>
                <w:szCs w:val="18"/>
                <w14:ligatures w14:val="standardContextual"/>
              </w:rPr>
              <w:t>道上皮癌第一線</w:t>
            </w:r>
            <w:proofErr w:type="gramEnd"/>
            <w:r w:rsidRPr="007576F0">
              <w:rPr>
                <w:rFonts w:ascii="標楷體" w:eastAsia="標楷體" w:hAnsi="標楷體" w:hint="eastAsia"/>
                <w:kern w:val="2"/>
                <w:sz w:val="18"/>
                <w:szCs w:val="18"/>
                <w14:ligatures w14:val="standardContextual"/>
              </w:rPr>
              <w:t>用藥(</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51AAA30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P044</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A3E329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F28ABC4"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r w:rsidRPr="007576F0">
              <w:rPr>
                <w:rFonts w:ascii="Times New Roman" w:eastAsia="標楷體" w:hAnsi="Times New Roman"/>
                <w:kern w:val="2"/>
                <w:sz w:val="18"/>
                <w:szCs w:val="18"/>
                <w14:ligatures w14:val="standardContextual"/>
              </w:rPr>
              <w:t>≥</w:t>
            </w:r>
            <w:r w:rsidRPr="007576F0">
              <w:rPr>
                <w:rFonts w:ascii="標楷體" w:eastAsia="標楷體" w:hAnsi="標楷體" w:hint="eastAsia"/>
                <w:kern w:val="2"/>
                <w:sz w:val="18"/>
                <w:szCs w:val="18"/>
                <w14:ligatures w14:val="standardContextual"/>
              </w:rPr>
              <w:t>1%</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6526C4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13108CC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7CF47AF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4A1F229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277DC27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1E99DBA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397EC555"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17DCCF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泌尿道上</w:t>
            </w:r>
            <w:proofErr w:type="gramStart"/>
            <w:r w:rsidRPr="007576F0">
              <w:rPr>
                <w:rFonts w:ascii="標楷體" w:eastAsia="標楷體" w:hAnsi="標楷體" w:hint="eastAsia"/>
                <w:kern w:val="2"/>
                <w:sz w:val="18"/>
                <w:szCs w:val="18"/>
                <w14:ligatures w14:val="standardContextual"/>
              </w:rPr>
              <w:t>皮癌第</w:t>
            </w:r>
            <w:proofErr w:type="gramEnd"/>
            <w:r w:rsidRPr="007576F0">
              <w:rPr>
                <w:rFonts w:ascii="標楷體" w:eastAsia="標楷體" w:hAnsi="標楷體" w:hint="eastAsia"/>
                <w:kern w:val="2"/>
                <w:sz w:val="18"/>
                <w:szCs w:val="18"/>
                <w14:ligatures w14:val="standardContextual"/>
              </w:rPr>
              <w:t>二線用藥</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422C777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P041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EF10839"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CPS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10</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FD53851"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1DE4B7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IC</w:t>
            </w:r>
            <w:proofErr w:type="gramStart"/>
            <w:r w:rsidRPr="007576F0">
              <w:rPr>
                <w:rFonts w:ascii="標楷體" w:eastAsia="標楷體" w:hAnsi="標楷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w:t>
            </w:r>
          </w:p>
          <w:p w14:paraId="78015450"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(113年8月1日前審核同意符合續用申請條件者)</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660C83A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0923DB5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3FA15BA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2C45524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7A736F3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5C56ED01"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F652FC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胃腺癌</w:t>
            </w:r>
          </w:p>
          <w:p w14:paraId="77E8018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(109年4月1日前審核同意符合續用申請條件者)</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1A90408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P051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B08982B"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CPS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1</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C27FA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7A77E2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4F9ECA1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19BC029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5CBB343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14CEFD0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63CD76E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1751369D"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DCF39F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胃癌第一線用藥 (</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61EED90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P052</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3097CE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0A423A"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CPS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cs="新細明體" w:hint="eastAsia"/>
                <w:kern w:val="2"/>
                <w:sz w:val="18"/>
                <w:szCs w:val="18"/>
                <w14:ligatures w14:val="standardContextual"/>
              </w:rPr>
              <w:t>5</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9B726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2880B04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6BF6C1D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74767A1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0035C3D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29A76EC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76A32770"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1A8EBF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晚期腎</w:t>
            </w:r>
            <w:proofErr w:type="gramEnd"/>
            <w:r w:rsidRPr="007576F0">
              <w:rPr>
                <w:rFonts w:ascii="標楷體" w:eastAsia="標楷體" w:hAnsi="標楷體" w:hint="eastAsia"/>
                <w:kern w:val="2"/>
                <w:sz w:val="18"/>
                <w:szCs w:val="18"/>
                <w14:ligatures w14:val="standardContextual"/>
              </w:rPr>
              <w:t>細胞癌</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687249A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P061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37FCE4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91A42E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F84829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79928DF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065CC53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3005FD3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70D0BA1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1280EA2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0288E920"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C2CF50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晚期肝</w:t>
            </w:r>
            <w:proofErr w:type="gramEnd"/>
            <w:r w:rsidRPr="007576F0">
              <w:rPr>
                <w:rFonts w:ascii="標楷體" w:eastAsia="標楷體" w:hAnsi="標楷體" w:hint="eastAsia"/>
                <w:kern w:val="2"/>
                <w:sz w:val="18"/>
                <w:szCs w:val="18"/>
                <w14:ligatures w14:val="standardContextual"/>
              </w:rPr>
              <w:t>細胞癌(109年4月1日前審核同意符合續用)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13C061B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P071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671531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48C85B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p w14:paraId="2DF3D0A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(109年4月1日前審核同意符合續用申請條件者)</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D99199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7578B90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335E703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4904F7B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EA0886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4F9E2F4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250F1C8E"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38A36F1" w14:textId="7C7C0D0C" w:rsidR="007576F0" w:rsidRPr="007576F0" w:rsidRDefault="007576F0" w:rsidP="001E268F">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t>晚期肝</w:t>
            </w:r>
            <w:proofErr w:type="gramEnd"/>
            <w:r w:rsidRPr="007576F0">
              <w:rPr>
                <w:rFonts w:ascii="標楷體" w:eastAsia="標楷體" w:hAnsi="標楷體" w:hint="eastAsia"/>
                <w:kern w:val="2"/>
                <w:sz w:val="18"/>
                <w:szCs w:val="18"/>
                <w14:ligatures w14:val="standardContextual"/>
              </w:rPr>
              <w:t>細胞癌第一線用藥（</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186AB53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P072</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0B7980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E5077E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156CB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用bevacizumab）</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30F90D2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5D7AC5D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w:t>
            </w:r>
            <w:proofErr w:type="spellStart"/>
            <w:r w:rsidRPr="007576F0">
              <w:rPr>
                <w:rFonts w:ascii="標楷體" w:eastAsia="標楷體" w:hAnsi="標楷體" w:hint="eastAsia"/>
                <w:kern w:val="2"/>
                <w:sz w:val="18"/>
                <w:szCs w:val="18"/>
                <w14:ligatures w14:val="standardContextual"/>
              </w:rPr>
              <w:t>tremelimumab</w:t>
            </w:r>
            <w:proofErr w:type="spellEnd"/>
            <w:r w:rsidRPr="007576F0">
              <w:rPr>
                <w:rFonts w:ascii="標楷體" w:eastAsia="標楷體" w:hAnsi="標楷體" w:hint="eastAsia"/>
                <w:kern w:val="2"/>
                <w:sz w:val="18"/>
                <w:szCs w:val="18"/>
                <w14:ligatures w14:val="standardContextual"/>
              </w:rPr>
              <w:t>)</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4A03E0A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11CE5EE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351C986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28466DEA"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FC7407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頭</w:t>
            </w:r>
            <w:proofErr w:type="gramStart"/>
            <w:r w:rsidRPr="007576F0">
              <w:rPr>
                <w:rFonts w:ascii="標楷體" w:eastAsia="標楷體" w:hAnsi="標楷體" w:hint="eastAsia"/>
                <w:kern w:val="2"/>
                <w:sz w:val="18"/>
                <w:szCs w:val="18"/>
                <w14:ligatures w14:val="standardContextual"/>
              </w:rPr>
              <w:t>頸部鱗狀細胞</w:t>
            </w:r>
            <w:proofErr w:type="gramEnd"/>
            <w:r w:rsidRPr="007576F0">
              <w:rPr>
                <w:rFonts w:ascii="標楷體" w:eastAsia="標楷體" w:hAnsi="標楷體" w:hint="eastAsia"/>
                <w:kern w:val="2"/>
                <w:sz w:val="18"/>
                <w:szCs w:val="18"/>
                <w14:ligatures w14:val="standardContextual"/>
              </w:rPr>
              <w:t>癌第一線用藥</w:t>
            </w:r>
            <w:r w:rsidRPr="007576F0">
              <w:rPr>
                <w:rFonts w:ascii="標楷體" w:eastAsia="標楷體" w:hAnsi="標楷體" w:hint="eastAsia"/>
                <w:kern w:val="0"/>
                <w:sz w:val="18"/>
                <w:szCs w:val="18"/>
              </w:rPr>
              <w:t>(單用)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2A00D6A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0"/>
                <w:sz w:val="18"/>
                <w:szCs w:val="18"/>
                <w:lang w:val="zh-TW" w:bidi="zh-TW"/>
                <w14:ligatures w14:val="standardContextual"/>
              </w:rPr>
            </w:pPr>
            <w:r w:rsidRPr="007576F0">
              <w:rPr>
                <w:rFonts w:ascii="標楷體" w:eastAsia="標楷體" w:hAnsi="標楷體" w:hint="eastAsia"/>
                <w:kern w:val="0"/>
                <w:sz w:val="18"/>
                <w:szCs w:val="18"/>
                <w:lang w:val="zh-TW" w:bidi="zh-TW"/>
                <w14:ligatures w14:val="standardContextual"/>
              </w:rPr>
              <w:t>P082</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D37415E"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kern w:val="0"/>
                <w:sz w:val="18"/>
                <w:szCs w:val="18"/>
              </w:rPr>
              <w:t>CPS≧</w:t>
            </w:r>
            <w:r w:rsidRPr="007576F0">
              <w:rPr>
                <w:rFonts w:ascii="標楷體" w:eastAsia="標楷體" w:hAnsi="標楷體" w:hint="eastAsia"/>
                <w:kern w:val="0"/>
                <w:sz w:val="18"/>
                <w:szCs w:val="18"/>
              </w:rPr>
              <w:t>1</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D3B3A6"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39FD4E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75B857F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3C13B70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5B629EE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7177DA3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1DFA597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74541EB5"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tcPr>
          <w:p w14:paraId="30F37B6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0"/>
                <w:sz w:val="18"/>
                <w:szCs w:val="18"/>
              </w:rPr>
              <w:t>頭頸</w:t>
            </w:r>
            <w:proofErr w:type="gramStart"/>
            <w:r w:rsidRPr="007576F0">
              <w:rPr>
                <w:rFonts w:ascii="標楷體" w:eastAsia="標楷體" w:hAnsi="標楷體" w:hint="eastAsia"/>
                <w:kern w:val="0"/>
                <w:sz w:val="18"/>
                <w:szCs w:val="18"/>
              </w:rPr>
              <w:t>癌鱗狀細胞</w:t>
            </w:r>
            <w:proofErr w:type="gramEnd"/>
            <w:r w:rsidRPr="007576F0">
              <w:rPr>
                <w:rFonts w:ascii="標楷體" w:eastAsia="標楷體" w:hAnsi="標楷體" w:hint="eastAsia"/>
                <w:kern w:val="0"/>
                <w:sz w:val="18"/>
                <w:szCs w:val="18"/>
              </w:rPr>
              <w:t>癌第一線用藥(</w:t>
            </w:r>
            <w:proofErr w:type="gramStart"/>
            <w:r w:rsidRPr="007576F0">
              <w:rPr>
                <w:rFonts w:ascii="標楷體" w:eastAsia="標楷體" w:hAnsi="標楷體" w:hint="eastAsia"/>
                <w:kern w:val="0"/>
                <w:sz w:val="18"/>
                <w:szCs w:val="18"/>
              </w:rPr>
              <w:t>併</w:t>
            </w:r>
            <w:proofErr w:type="gramEnd"/>
            <w:r w:rsidRPr="007576F0">
              <w:rPr>
                <w:rFonts w:ascii="標楷體" w:eastAsia="標楷體" w:hAnsi="標楷體" w:hint="eastAsia"/>
                <w:kern w:val="0"/>
                <w:sz w:val="18"/>
                <w:szCs w:val="18"/>
              </w:rPr>
              <w:t>用化療)</w:t>
            </w:r>
          </w:p>
        </w:tc>
        <w:tc>
          <w:tcPr>
            <w:tcW w:w="380" w:type="dxa"/>
            <w:tcBorders>
              <w:top w:val="single" w:sz="4" w:space="0" w:color="000000"/>
              <w:left w:val="single" w:sz="4" w:space="0" w:color="000000"/>
              <w:bottom w:val="single" w:sz="4" w:space="0" w:color="000000"/>
              <w:right w:val="single" w:sz="4" w:space="0" w:color="000000"/>
            </w:tcBorders>
            <w:vAlign w:val="center"/>
          </w:tcPr>
          <w:p w14:paraId="07D11C1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0"/>
                <w:sz w:val="18"/>
                <w:szCs w:val="18"/>
                <w:lang w:val="zh-TW" w:bidi="zh-TW"/>
                <w14:ligatures w14:val="standardContextual"/>
              </w:rPr>
            </w:pPr>
            <w:r w:rsidRPr="007576F0">
              <w:rPr>
                <w:rFonts w:ascii="標楷體" w:eastAsia="標楷體" w:hAnsi="標楷體" w:hint="eastAsia"/>
                <w:kern w:val="0"/>
                <w:sz w:val="18"/>
                <w:szCs w:val="18"/>
              </w:rPr>
              <w:t>P082</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tcPr>
          <w:p w14:paraId="7C30899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0"/>
                <w:sz w:val="18"/>
                <w:szCs w:val="18"/>
                <w:lang w:val="zh-TW" w:bidi="zh-TW"/>
                <w14:ligatures w14:val="standardContextual"/>
              </w:rPr>
            </w:pPr>
            <w:r w:rsidRPr="007576F0">
              <w:rPr>
                <w:rFonts w:ascii="標楷體" w:eastAsia="標楷體" w:hAnsi="標楷體" w:hint="eastAsia"/>
                <w:kern w:val="0"/>
                <w:sz w:val="18"/>
                <w:szCs w:val="18"/>
              </w:rPr>
              <w:t>不需檢附報告</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1BEFE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kern w:val="0"/>
                <w:sz w:val="18"/>
                <w:szCs w:val="18"/>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D0313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kern w:val="0"/>
                <w:sz w:val="18"/>
                <w:szCs w:val="18"/>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tcPr>
          <w:p w14:paraId="44FDB86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tcPr>
          <w:p w14:paraId="5498B0B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tcPr>
          <w:p w14:paraId="00C15AF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tcPr>
          <w:p w14:paraId="14CC805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04636631" w14:textId="77777777" w:rsidR="007576F0" w:rsidRPr="007576F0" w:rsidRDefault="007576F0" w:rsidP="007576F0">
            <w:pPr>
              <w:suppressAutoHyphens w:val="0"/>
              <w:autoSpaceDN/>
              <w:spacing w:line="300" w:lineRule="exact"/>
              <w:jc w:val="center"/>
              <w:textAlignment w:val="auto"/>
              <w:rPr>
                <w:rFonts w:ascii="標楷體" w:eastAsia="標楷體" w:hAnsi="標楷體"/>
                <w:sz w:val="18"/>
                <w:szCs w:val="18"/>
              </w:rPr>
            </w:pPr>
            <w:r w:rsidRPr="007576F0">
              <w:rPr>
                <w:rFonts w:ascii="標楷體" w:eastAsia="標楷體" w:hAnsi="標楷體"/>
                <w:sz w:val="18"/>
                <w:szCs w:val="18"/>
              </w:rPr>
              <w:t>本藥品尚未給付於此適應症</w:t>
            </w:r>
          </w:p>
        </w:tc>
      </w:tr>
      <w:tr w:rsidR="007576F0" w:rsidRPr="007576F0" w14:paraId="326E4A3C"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A2AF11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頭頸部</w:t>
            </w:r>
            <w:proofErr w:type="gramStart"/>
            <w:r w:rsidRPr="007576F0">
              <w:rPr>
                <w:rFonts w:ascii="標楷體" w:eastAsia="標楷體" w:hAnsi="標楷體" w:hint="eastAsia"/>
                <w:kern w:val="2"/>
                <w:sz w:val="18"/>
                <w:szCs w:val="18"/>
                <w14:ligatures w14:val="standardContextual"/>
              </w:rPr>
              <w:t>鱗狀細胞癌第</w:t>
            </w:r>
            <w:proofErr w:type="gramEnd"/>
            <w:r w:rsidRPr="007576F0">
              <w:rPr>
                <w:rFonts w:ascii="標楷體" w:eastAsia="標楷體" w:hAnsi="標楷體" w:hint="eastAsia"/>
                <w:kern w:val="2"/>
                <w:sz w:val="18"/>
                <w:szCs w:val="18"/>
                <w14:ligatures w14:val="standardContextual"/>
              </w:rPr>
              <w:t>二線用藥</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3C6FCDC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P081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837387F"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TPS</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50%</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7F1FC0"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hint="eastAsia"/>
                <w:kern w:val="2"/>
                <w:sz w:val="18"/>
                <w:szCs w:val="18"/>
                <w14:ligatures w14:val="standardContextual"/>
              </w:rPr>
              <w:t>10%</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F1EAC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77C7DE6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49AD068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0DDFC6C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CDA7FF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456AEF6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793B4EC2"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C22AC2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默克細胞癌</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69330B2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P091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640308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92CF4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627035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01B879C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1D237D5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758D1E9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41DC8F5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45737423"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55478EFB"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34965D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proofErr w:type="gramStart"/>
            <w:r w:rsidRPr="007576F0">
              <w:rPr>
                <w:rFonts w:ascii="標楷體" w:eastAsia="標楷體" w:hAnsi="標楷體" w:hint="eastAsia"/>
                <w:kern w:val="2"/>
                <w:sz w:val="18"/>
                <w:szCs w:val="18"/>
                <w14:ligatures w14:val="standardContextual"/>
              </w:rPr>
              <w:lastRenderedPageBreak/>
              <w:t>食道鱗狀細胞</w:t>
            </w:r>
            <w:proofErr w:type="gramEnd"/>
            <w:r w:rsidRPr="007576F0">
              <w:rPr>
                <w:rFonts w:ascii="標楷體" w:eastAsia="標楷體" w:hAnsi="標楷體" w:hint="eastAsia"/>
                <w:kern w:val="2"/>
                <w:sz w:val="18"/>
                <w:szCs w:val="18"/>
                <w14:ligatures w14:val="standardContextual"/>
              </w:rPr>
              <w:t>癌第一線用藥(</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61D471DF"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0"/>
                <w:sz w:val="18"/>
                <w:szCs w:val="18"/>
                <w14:ligatures w14:val="standardContextual"/>
              </w:rPr>
              <w:t>P102</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E215B9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0C3990E"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cs="新細明體" w:hint="eastAsia"/>
                <w:kern w:val="2"/>
                <w:sz w:val="18"/>
                <w:szCs w:val="18"/>
                <w14:ligatures w14:val="standardContextual"/>
              </w:rPr>
              <w:t>1</w:t>
            </w:r>
            <w:r w:rsidRPr="007576F0">
              <w:rPr>
                <w:rFonts w:ascii="標楷體" w:eastAsia="標楷體" w:hAnsi="標楷體" w:hint="eastAsia"/>
                <w:kern w:val="2"/>
                <w:sz w:val="18"/>
                <w:szCs w:val="18"/>
                <w14:ligatures w14:val="standardContextual"/>
              </w:rPr>
              <w:t>%</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AD388D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2034DF3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276435C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4A708D6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AED8E6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667C9AB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3AA6162D"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6AC7E5C" w14:textId="3017CE0D" w:rsidR="007576F0" w:rsidRPr="007576F0" w:rsidRDefault="007576F0" w:rsidP="001E268F">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食道</w:t>
            </w:r>
            <w:proofErr w:type="gramStart"/>
            <w:r w:rsidRPr="007576F0">
              <w:rPr>
                <w:rFonts w:ascii="標楷體" w:eastAsia="標楷體" w:hAnsi="標楷體" w:hint="eastAsia"/>
                <w:kern w:val="2"/>
                <w:sz w:val="18"/>
                <w:szCs w:val="18"/>
                <w14:ligatures w14:val="standardContextual"/>
              </w:rPr>
              <w:t>鱗狀細胞癌第</w:t>
            </w:r>
            <w:proofErr w:type="gramEnd"/>
            <w:r w:rsidRPr="007576F0">
              <w:rPr>
                <w:rFonts w:ascii="標楷體" w:eastAsia="標楷體" w:hAnsi="標楷體" w:hint="eastAsia"/>
                <w:kern w:val="2"/>
                <w:sz w:val="18"/>
                <w:szCs w:val="18"/>
                <w14:ligatures w14:val="standardContextual"/>
              </w:rPr>
              <w:t>二線用藥(單用)</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12785AF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P101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E45F9B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D89A85D" w14:textId="77777777" w:rsidR="007576F0" w:rsidRPr="007576F0" w:rsidRDefault="007576F0" w:rsidP="007576F0">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TC</w:t>
            </w:r>
            <w:proofErr w:type="gramStart"/>
            <w:r w:rsidRPr="007576F0">
              <w:rPr>
                <w:rFonts w:ascii="標楷體" w:eastAsia="標楷體" w:hAnsi="標楷體" w:cs="新細明體" w:hint="eastAsia"/>
                <w:kern w:val="2"/>
                <w:sz w:val="18"/>
                <w:szCs w:val="18"/>
                <w14:ligatures w14:val="standardContextual"/>
              </w:rPr>
              <w:t>≧</w:t>
            </w:r>
            <w:proofErr w:type="gramEnd"/>
            <w:r w:rsidRPr="007576F0">
              <w:rPr>
                <w:rFonts w:ascii="標楷體" w:eastAsia="標楷體" w:hAnsi="標楷體" w:cs="新細明體" w:hint="eastAsia"/>
                <w:kern w:val="2"/>
                <w:sz w:val="18"/>
                <w:szCs w:val="18"/>
                <w14:ligatures w14:val="standardContextual"/>
              </w:rPr>
              <w:t>1</w:t>
            </w:r>
            <w:r w:rsidRPr="007576F0">
              <w:rPr>
                <w:rFonts w:ascii="標楷體" w:eastAsia="標楷體" w:hAnsi="標楷體" w:hint="eastAsia"/>
                <w:kern w:val="2"/>
                <w:sz w:val="18"/>
                <w:szCs w:val="18"/>
                <w14:ligatures w14:val="standardContextual"/>
              </w:rPr>
              <w:t>%</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0CCB2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46DB83E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6E60B0E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0E6F624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621A78B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2C96CBEB" w14:textId="77777777" w:rsidR="007576F0" w:rsidRPr="007576F0" w:rsidRDefault="007576F0" w:rsidP="007576F0">
            <w:pPr>
              <w:suppressAutoHyphens w:val="0"/>
              <w:autoSpaceDE w:val="0"/>
              <w:adjustRightInd w:val="0"/>
              <w:snapToGrid w:val="0"/>
              <w:spacing w:line="300" w:lineRule="exact"/>
              <w:ind w:firstLine="30"/>
              <w:jc w:val="center"/>
              <w:textAlignment w:val="auto"/>
              <w:rPr>
                <w:rFonts w:ascii="標楷體" w:eastAsia="標楷體" w:hAnsi="標楷體"/>
                <w:color w:val="000000"/>
                <w:kern w:val="0"/>
                <w:sz w:val="18"/>
                <w:szCs w:val="18"/>
              </w:rPr>
            </w:pPr>
            <w:bookmarkStart w:id="57" w:name="_Hlk227683216"/>
            <w:r w:rsidRPr="007576F0">
              <w:rPr>
                <w:rFonts w:ascii="標楷體" w:eastAsia="標楷體" w:hAnsi="標楷體" w:hint="eastAsia"/>
                <w:color w:val="000000"/>
                <w:kern w:val="0"/>
                <w:sz w:val="18"/>
                <w:szCs w:val="18"/>
              </w:rPr>
              <w:t>TAP</w:t>
            </w:r>
            <w:proofErr w:type="gramStart"/>
            <w:r w:rsidRPr="007576F0">
              <w:rPr>
                <w:rFonts w:ascii="標楷體" w:eastAsia="標楷體" w:hAnsi="標楷體" w:hint="eastAsia"/>
                <w:color w:val="000000"/>
                <w:kern w:val="0"/>
                <w:sz w:val="18"/>
                <w:szCs w:val="18"/>
              </w:rPr>
              <w:t>≧</w:t>
            </w:r>
            <w:proofErr w:type="gramEnd"/>
            <w:r w:rsidRPr="007576F0">
              <w:rPr>
                <w:rFonts w:ascii="標楷體" w:eastAsia="標楷體" w:hAnsi="標楷體" w:hint="eastAsia"/>
                <w:color w:val="000000"/>
                <w:kern w:val="0"/>
                <w:sz w:val="18"/>
                <w:szCs w:val="18"/>
              </w:rPr>
              <w:t>1%</w:t>
            </w:r>
          </w:p>
          <w:p w14:paraId="3019C75F" w14:textId="77777777" w:rsidR="007576F0" w:rsidRPr="007576F0" w:rsidRDefault="007576F0" w:rsidP="007576F0">
            <w:pPr>
              <w:suppressAutoHyphens w:val="0"/>
              <w:autoSpaceDE w:val="0"/>
              <w:adjustRightInd w:val="0"/>
              <w:snapToGrid w:val="0"/>
              <w:spacing w:line="300" w:lineRule="exact"/>
              <w:ind w:firstLine="30"/>
              <w:jc w:val="center"/>
              <w:textAlignment w:val="auto"/>
              <w:rPr>
                <w:rFonts w:ascii="標楷體" w:eastAsia="標楷體" w:hAnsi="標楷體"/>
                <w:color w:val="000000"/>
                <w:kern w:val="0"/>
                <w:sz w:val="18"/>
                <w:szCs w:val="18"/>
              </w:rPr>
            </w:pPr>
            <w:r w:rsidRPr="007576F0">
              <w:rPr>
                <w:rFonts w:ascii="標楷體" w:eastAsia="標楷體" w:hAnsi="標楷體" w:hint="eastAsia"/>
                <w:color w:val="000000"/>
                <w:kern w:val="0"/>
                <w:sz w:val="18"/>
                <w:szCs w:val="18"/>
              </w:rPr>
              <w:t>或</w:t>
            </w:r>
          </w:p>
          <w:p w14:paraId="6802488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sz w:val="18"/>
                <w:szCs w:val="18"/>
              </w:rPr>
              <w:t>CPS</w:t>
            </w:r>
            <w:proofErr w:type="gramStart"/>
            <w:r w:rsidRPr="007576F0">
              <w:rPr>
                <w:rFonts w:ascii="標楷體" w:eastAsia="標楷體" w:hAnsi="標楷體" w:hint="eastAsia"/>
                <w:sz w:val="18"/>
                <w:szCs w:val="18"/>
              </w:rPr>
              <w:t>≧</w:t>
            </w:r>
            <w:proofErr w:type="gramEnd"/>
            <w:r w:rsidRPr="007576F0">
              <w:rPr>
                <w:rFonts w:ascii="標楷體" w:eastAsia="標楷體" w:hAnsi="標楷體" w:hint="eastAsia"/>
                <w:sz w:val="18"/>
                <w:szCs w:val="18"/>
              </w:rPr>
              <w:t>1</w:t>
            </w:r>
            <w:bookmarkEnd w:id="57"/>
          </w:p>
        </w:tc>
      </w:tr>
      <w:tr w:rsidR="007576F0" w:rsidRPr="007576F0" w14:paraId="41711845"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0AD84B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惡性肋膜</w:t>
            </w:r>
            <w:proofErr w:type="gramStart"/>
            <w:r w:rsidRPr="007576F0">
              <w:rPr>
                <w:rFonts w:ascii="標楷體" w:eastAsia="標楷體" w:hAnsi="標楷體" w:hint="eastAsia"/>
                <w:kern w:val="2"/>
                <w:sz w:val="18"/>
                <w:szCs w:val="18"/>
                <w14:ligatures w14:val="standardContextual"/>
              </w:rPr>
              <w:t>間皮瘤</w:t>
            </w:r>
            <w:proofErr w:type="gramEnd"/>
            <w:r w:rsidRPr="007576F0">
              <w:rPr>
                <w:rFonts w:ascii="標楷體" w:eastAsia="標楷體" w:hAnsi="標楷體" w:hint="eastAsia"/>
                <w:kern w:val="2"/>
                <w:sz w:val="18"/>
                <w:szCs w:val="18"/>
                <w14:ligatures w14:val="standardContextual"/>
              </w:rPr>
              <w:t>(ipilimumab</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用nivolumab)</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6BC9BF3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P111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5BA880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1536E8" w14:textId="1C489D9E" w:rsidR="007576F0" w:rsidRPr="007576F0" w:rsidRDefault="007576F0" w:rsidP="001E268F">
            <w:pPr>
              <w:suppressAutoHyphens w:val="0"/>
              <w:autoSpaceDN/>
              <w:spacing w:line="300" w:lineRule="exact"/>
              <w:jc w:val="center"/>
              <w:textAlignment w:val="auto"/>
              <w:rPr>
                <w:rFonts w:ascii="Aptos" w:hAnsi="Aptos" w:hint="eastAsia"/>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r w:rsidRPr="007576F0">
              <w:rPr>
                <w:rFonts w:ascii="標楷體" w:eastAsia="標楷體" w:hAnsi="標楷體" w:hint="eastAsia"/>
                <w:kern w:val="0"/>
                <w:sz w:val="18"/>
                <w:szCs w:val="18"/>
                <w14:ligatures w14:val="standardContextual"/>
              </w:rPr>
              <w:t>病理組織為非</w:t>
            </w:r>
            <w:proofErr w:type="gramStart"/>
            <w:r w:rsidRPr="007576F0">
              <w:rPr>
                <w:rFonts w:ascii="標楷體" w:eastAsia="標楷體" w:hAnsi="標楷體" w:hint="eastAsia"/>
                <w:kern w:val="0"/>
                <w:sz w:val="18"/>
                <w:szCs w:val="18"/>
                <w14:ligatures w14:val="standardContextual"/>
              </w:rPr>
              <w:t>上皮型</w:t>
            </w:r>
            <w:proofErr w:type="gramEnd"/>
            <w:r w:rsidRPr="007576F0">
              <w:rPr>
                <w:rFonts w:ascii="標楷體" w:eastAsia="標楷體" w:hAnsi="標楷體" w:hint="eastAsia"/>
                <w:kern w:val="0"/>
                <w:sz w:val="18"/>
                <w:szCs w:val="18"/>
                <w14:ligatures w14:val="standardContextual"/>
              </w:rPr>
              <w:t>(Non-epithelioid)</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7E85A3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17DACF0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4044CC2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2A57FB9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0C5C5F8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4ECA497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4563019B"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ABCF83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膽道癌</w:t>
            </w:r>
          </w:p>
          <w:p w14:paraId="2E8A439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094F14B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P121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9DAF17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F6F6B6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7744B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4A93666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13CCACC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2E0C1D17"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21C4BEF1"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13DDF74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5761FC40"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241695C"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早期</w:t>
            </w:r>
            <w:proofErr w:type="gramStart"/>
            <w:r w:rsidRPr="007576F0">
              <w:rPr>
                <w:rFonts w:ascii="標楷體" w:eastAsia="標楷體" w:hAnsi="標楷體" w:hint="eastAsia"/>
                <w:kern w:val="2"/>
                <w:sz w:val="18"/>
                <w:szCs w:val="18"/>
                <w14:ligatures w14:val="standardContextual"/>
              </w:rPr>
              <w:t>三</w:t>
            </w:r>
            <w:proofErr w:type="gramEnd"/>
            <w:r w:rsidRPr="007576F0">
              <w:rPr>
                <w:rFonts w:ascii="標楷體" w:eastAsia="標楷體" w:hAnsi="標楷體" w:hint="eastAsia"/>
                <w:kern w:val="2"/>
                <w:sz w:val="18"/>
                <w:szCs w:val="18"/>
                <w14:ligatures w14:val="standardContextual"/>
              </w:rPr>
              <w:t>陰性乳癌(</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22739DE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P131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87E6D1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2BA34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622F2A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65C36B5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14FA132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58BD35C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6DC5DEA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5AFA823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6AE57077"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5170AA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大腸直腸癌</w:t>
            </w:r>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4000759F"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P141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CAD1D2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843D9C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05755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6273553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7D99B556"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0CCE9C95"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6D59A8D0"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00" w:type="dxa"/>
            <w:tcBorders>
              <w:top w:val="single" w:sz="4" w:space="0" w:color="000000"/>
              <w:left w:val="single" w:sz="4" w:space="0" w:color="000000"/>
              <w:bottom w:val="single" w:sz="4" w:space="0" w:color="000000"/>
              <w:right w:val="single" w:sz="4" w:space="0" w:color="000000"/>
            </w:tcBorders>
            <w:vAlign w:val="center"/>
          </w:tcPr>
          <w:p w14:paraId="23AE259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r w:rsidR="007576F0" w:rsidRPr="007576F0" w14:paraId="6C764617" w14:textId="77777777" w:rsidTr="00FA2DF6">
        <w:trPr>
          <w:cantSplit/>
          <w:trHeight w:val="360"/>
          <w:jc w:val="center"/>
        </w:trPr>
        <w:tc>
          <w:tcPr>
            <w:tcW w:w="1050"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F18782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子宮內膜癌第一線</w:t>
            </w:r>
          </w:p>
          <w:p w14:paraId="68C6FC09"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w:t>
            </w:r>
            <w:proofErr w:type="gramStart"/>
            <w:r w:rsidRPr="007576F0">
              <w:rPr>
                <w:rFonts w:ascii="標楷體" w:eastAsia="標楷體" w:hAnsi="標楷體" w:hint="eastAsia"/>
                <w:kern w:val="2"/>
                <w:sz w:val="18"/>
                <w:szCs w:val="18"/>
                <w14:ligatures w14:val="standardContextual"/>
              </w:rPr>
              <w:t>併</w:t>
            </w:r>
            <w:proofErr w:type="gramEnd"/>
            <w:r w:rsidRPr="007576F0">
              <w:rPr>
                <w:rFonts w:ascii="標楷體" w:eastAsia="標楷體" w:hAnsi="標楷體" w:hint="eastAsia"/>
                <w:kern w:val="2"/>
                <w:sz w:val="18"/>
                <w:szCs w:val="18"/>
                <w14:ligatures w14:val="standardContextual"/>
              </w:rPr>
              <w:t>用化療</w:t>
            </w:r>
            <w:proofErr w:type="gramStart"/>
            <w:r w:rsidRPr="007576F0">
              <w:rPr>
                <w:rFonts w:ascii="標楷體" w:eastAsia="標楷體" w:hAnsi="標楷體" w:hint="eastAsia"/>
                <w:kern w:val="2"/>
                <w:sz w:val="18"/>
                <w:szCs w:val="18"/>
                <w14:ligatures w14:val="standardContextual"/>
              </w:rPr>
              <w:t>）</w:t>
            </w:r>
            <w:proofErr w:type="gramEnd"/>
          </w:p>
        </w:tc>
        <w:tc>
          <w:tcPr>
            <w:tcW w:w="380" w:type="dxa"/>
            <w:tcBorders>
              <w:top w:val="single" w:sz="4" w:space="0" w:color="000000"/>
              <w:left w:val="single" w:sz="4" w:space="0" w:color="000000"/>
              <w:bottom w:val="single" w:sz="4" w:space="0" w:color="000000"/>
              <w:right w:val="single" w:sz="4" w:space="0" w:color="000000"/>
            </w:tcBorders>
            <w:vAlign w:val="center"/>
            <w:hideMark/>
          </w:tcPr>
          <w:p w14:paraId="34BFCD3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P151</w:t>
            </w:r>
          </w:p>
        </w:tc>
        <w:tc>
          <w:tcPr>
            <w:tcW w:w="1247"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D2FCE88"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13094D"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58BD4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740" w:type="dxa"/>
            <w:tcBorders>
              <w:top w:val="single" w:sz="4" w:space="0" w:color="000000"/>
              <w:left w:val="single" w:sz="4" w:space="0" w:color="000000"/>
              <w:bottom w:val="single" w:sz="4" w:space="0" w:color="000000"/>
              <w:right w:val="single" w:sz="4" w:space="0" w:color="000000"/>
            </w:tcBorders>
            <w:vAlign w:val="center"/>
            <w:hideMark/>
          </w:tcPr>
          <w:p w14:paraId="4661C1EE"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190" w:type="dxa"/>
            <w:tcBorders>
              <w:top w:val="single" w:sz="4" w:space="0" w:color="000000"/>
              <w:left w:val="single" w:sz="4" w:space="0" w:color="000000"/>
              <w:bottom w:val="single" w:sz="4" w:space="0" w:color="000000"/>
              <w:right w:val="single" w:sz="4" w:space="0" w:color="000000"/>
            </w:tcBorders>
            <w:vAlign w:val="center"/>
            <w:hideMark/>
          </w:tcPr>
          <w:p w14:paraId="2F59946A"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370" w:type="dxa"/>
            <w:tcBorders>
              <w:top w:val="single" w:sz="4" w:space="0" w:color="000000"/>
              <w:left w:val="single" w:sz="4" w:space="0" w:color="000000"/>
              <w:bottom w:val="single" w:sz="4" w:space="0" w:color="000000"/>
              <w:right w:val="single" w:sz="4" w:space="0" w:color="000000"/>
            </w:tcBorders>
            <w:vAlign w:val="center"/>
            <w:hideMark/>
          </w:tcPr>
          <w:p w14:paraId="1A9F6EE4"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本藥品尚未給付於此適應症</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716DE622"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hint="eastAsia"/>
                <w:kern w:val="2"/>
                <w:sz w:val="18"/>
                <w:szCs w:val="18"/>
                <w14:ligatures w14:val="standardContextual"/>
              </w:rPr>
              <w:t>不需檢附報告</w:t>
            </w:r>
          </w:p>
        </w:tc>
        <w:tc>
          <w:tcPr>
            <w:tcW w:w="1100" w:type="dxa"/>
            <w:tcBorders>
              <w:top w:val="single" w:sz="4" w:space="0" w:color="000000"/>
              <w:left w:val="single" w:sz="4" w:space="0" w:color="000000"/>
              <w:bottom w:val="single" w:sz="4" w:space="0" w:color="000000"/>
              <w:right w:val="single" w:sz="4" w:space="0" w:color="000000"/>
            </w:tcBorders>
            <w:vAlign w:val="center"/>
          </w:tcPr>
          <w:p w14:paraId="2022A73B" w14:textId="77777777" w:rsidR="007576F0" w:rsidRPr="007576F0" w:rsidRDefault="007576F0" w:rsidP="007576F0">
            <w:pPr>
              <w:suppressAutoHyphens w:val="0"/>
              <w:autoSpaceDN/>
              <w:spacing w:line="300" w:lineRule="exact"/>
              <w:jc w:val="center"/>
              <w:textAlignment w:val="auto"/>
              <w:rPr>
                <w:rFonts w:ascii="標楷體" w:eastAsia="標楷體" w:hAnsi="標楷體"/>
                <w:kern w:val="2"/>
                <w:sz w:val="18"/>
                <w:szCs w:val="18"/>
                <w14:ligatures w14:val="standardContextual"/>
              </w:rPr>
            </w:pPr>
            <w:r w:rsidRPr="007576F0">
              <w:rPr>
                <w:rFonts w:ascii="標楷體" w:eastAsia="標楷體" w:hAnsi="標楷體"/>
                <w:sz w:val="18"/>
                <w:szCs w:val="18"/>
              </w:rPr>
              <w:t>本藥品尚未給付於此適應症</w:t>
            </w:r>
          </w:p>
        </w:tc>
      </w:tr>
    </w:tbl>
    <w:p w14:paraId="106BE163" w14:textId="77777777" w:rsidR="007576F0" w:rsidRPr="007576F0" w:rsidRDefault="007576F0" w:rsidP="007576F0">
      <w:pPr>
        <w:tabs>
          <w:tab w:val="left" w:pos="1185"/>
        </w:tabs>
        <w:suppressAutoHyphens w:val="0"/>
        <w:autoSpaceDN/>
        <w:spacing w:line="300" w:lineRule="exact"/>
        <w:textAlignment w:val="auto"/>
        <w:rPr>
          <w:rFonts w:ascii="Aptos" w:hAnsi="Aptos" w:hint="eastAsia"/>
          <w:kern w:val="2"/>
          <w:szCs w:val="24"/>
          <w14:ligatures w14:val="standardContextual"/>
        </w:rPr>
      </w:pPr>
      <w:r w:rsidRPr="007576F0">
        <w:rPr>
          <w:rFonts w:ascii="標楷體" w:eastAsia="標楷體" w:hAnsi="標楷體" w:hint="eastAsia"/>
          <w:kern w:val="2"/>
          <w:sz w:val="20"/>
          <w:szCs w:val="20"/>
          <w14:ligatures w14:val="standardContextual"/>
        </w:rPr>
        <w:t>* Ventana SP263僅適用於檢測非小細胞肺癌、泌尿</w:t>
      </w:r>
      <w:proofErr w:type="gramStart"/>
      <w:r w:rsidRPr="007576F0">
        <w:rPr>
          <w:rFonts w:ascii="標楷體" w:eastAsia="標楷體" w:hAnsi="標楷體" w:hint="eastAsia"/>
          <w:kern w:val="2"/>
          <w:sz w:val="20"/>
          <w:szCs w:val="20"/>
          <w14:ligatures w14:val="standardContextual"/>
        </w:rPr>
        <w:t>道上皮癌維持</w:t>
      </w:r>
      <w:proofErr w:type="gramEnd"/>
      <w:r w:rsidRPr="007576F0">
        <w:rPr>
          <w:rFonts w:ascii="標楷體" w:eastAsia="標楷體" w:hAnsi="標楷體" w:hint="eastAsia"/>
          <w:kern w:val="2"/>
          <w:sz w:val="20"/>
          <w:szCs w:val="20"/>
          <w14:ligatures w14:val="standardContextual"/>
        </w:rPr>
        <w:t>療法或</w:t>
      </w:r>
      <w:proofErr w:type="gramStart"/>
      <w:r w:rsidRPr="007576F0">
        <w:rPr>
          <w:rFonts w:ascii="標楷體" w:eastAsia="標楷體" w:hAnsi="標楷體" w:hint="eastAsia"/>
          <w:kern w:val="2"/>
          <w:sz w:val="20"/>
          <w:szCs w:val="20"/>
          <w14:ligatures w14:val="standardContextual"/>
        </w:rPr>
        <w:t>食道鱗狀細胞</w:t>
      </w:r>
      <w:proofErr w:type="gramEnd"/>
      <w:r w:rsidRPr="007576F0">
        <w:rPr>
          <w:rFonts w:ascii="標楷體" w:eastAsia="標楷體" w:hAnsi="標楷體" w:hint="eastAsia"/>
          <w:kern w:val="2"/>
          <w:sz w:val="20"/>
          <w:szCs w:val="20"/>
          <w14:ligatures w14:val="standardContextual"/>
        </w:rPr>
        <w:t>癌</w:t>
      </w:r>
    </w:p>
    <w:p w14:paraId="15B23E5A" w14:textId="77777777" w:rsidR="007576F0" w:rsidRPr="007576F0" w:rsidRDefault="007576F0" w:rsidP="007576F0">
      <w:pPr>
        <w:tabs>
          <w:tab w:val="left" w:pos="1185"/>
        </w:tabs>
        <w:suppressAutoHyphens w:val="0"/>
        <w:autoSpaceDN/>
        <w:spacing w:line="300" w:lineRule="exact"/>
        <w:ind w:left="1291" w:hanging="440"/>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(4)每位病人每</w:t>
      </w:r>
      <w:proofErr w:type="gramStart"/>
      <w:r w:rsidRPr="007576F0">
        <w:rPr>
          <w:rFonts w:ascii="標楷體" w:eastAsia="標楷體" w:hAnsi="標楷體" w:hint="eastAsia"/>
          <w:kern w:val="2"/>
          <w:szCs w:val="24"/>
          <w14:ligatures w14:val="standardContextual"/>
        </w:rPr>
        <w:t>個</w:t>
      </w:r>
      <w:proofErr w:type="gramEnd"/>
      <w:r w:rsidRPr="007576F0">
        <w:rPr>
          <w:rFonts w:ascii="標楷體" w:eastAsia="標楷體" w:hAnsi="標楷體" w:hint="eastAsia"/>
          <w:kern w:val="2"/>
          <w:szCs w:val="24"/>
          <w14:ligatures w14:val="standardContextual"/>
        </w:rPr>
        <w:t>適應症限給付一種免疫檢查點抑制劑且不得互換，治療期間亦不可合併申報該適應症之標靶藥物（atezolizumab與bevacizumab</w:t>
      </w:r>
      <w:proofErr w:type="gramStart"/>
      <w:r w:rsidRPr="007576F0">
        <w:rPr>
          <w:rFonts w:ascii="標楷體" w:eastAsia="標楷體" w:hAnsi="標楷體" w:hint="eastAsia"/>
          <w:kern w:val="2"/>
          <w:szCs w:val="24"/>
          <w14:ligatures w14:val="standardContextual"/>
        </w:rPr>
        <w:t>併</w:t>
      </w:r>
      <w:proofErr w:type="gramEnd"/>
      <w:r w:rsidRPr="007576F0">
        <w:rPr>
          <w:rFonts w:ascii="標楷體" w:eastAsia="標楷體" w:hAnsi="標楷體" w:hint="eastAsia"/>
          <w:kern w:val="2"/>
          <w:szCs w:val="24"/>
          <w14:ligatures w14:val="standardContextual"/>
        </w:rPr>
        <w:t>用於晚期肝細胞癌第一線用藥及非鱗狀非小細胞肺癌第一線用藥除外），無效後或給付時程期滿後則不再給付該適應症相關之標靶藥物。（</w:t>
      </w:r>
      <w:proofErr w:type="spellStart"/>
      <w:r w:rsidRPr="007576F0">
        <w:rPr>
          <w:rFonts w:ascii="標楷體" w:eastAsia="標楷體" w:hAnsi="標楷體" w:hint="eastAsia"/>
          <w:kern w:val="2"/>
          <w:szCs w:val="24"/>
          <w14:ligatures w14:val="standardContextual"/>
        </w:rPr>
        <w:t>enfortumab</w:t>
      </w:r>
      <w:proofErr w:type="spellEnd"/>
      <w:r w:rsidRPr="007576F0">
        <w:rPr>
          <w:rFonts w:ascii="標楷體" w:eastAsia="標楷體" w:hAnsi="標楷體" w:hint="eastAsia"/>
          <w:kern w:val="2"/>
          <w:szCs w:val="24"/>
          <w14:ligatures w14:val="standardContextual"/>
        </w:rPr>
        <w:t xml:space="preserve"> </w:t>
      </w:r>
      <w:proofErr w:type="spellStart"/>
      <w:r w:rsidRPr="007576F0">
        <w:rPr>
          <w:rFonts w:ascii="標楷體" w:eastAsia="標楷體" w:hAnsi="標楷體" w:hint="eastAsia"/>
          <w:kern w:val="2"/>
          <w:szCs w:val="24"/>
          <w14:ligatures w14:val="standardContextual"/>
        </w:rPr>
        <w:t>vedotin</w:t>
      </w:r>
      <w:proofErr w:type="spellEnd"/>
      <w:r w:rsidRPr="007576F0">
        <w:rPr>
          <w:rFonts w:ascii="標楷體" w:eastAsia="標楷體" w:hAnsi="標楷體" w:hint="eastAsia"/>
          <w:kern w:val="2"/>
          <w:szCs w:val="24"/>
          <w14:ligatures w14:val="standardContextual"/>
        </w:rPr>
        <w:t>用於局部晚期或轉移性泌尿道上皮癌第三線用藥及cetuximab用於頭頸部鱗狀細胞癌(不含鼻咽癌) 除外 ）。(108/4/1、111/6/1、112/8/1、113/5/1、115/2/1)</w:t>
      </w:r>
    </w:p>
    <w:p w14:paraId="720EBCB0" w14:textId="77777777" w:rsidR="007576F0" w:rsidRPr="007576F0" w:rsidRDefault="007576F0" w:rsidP="007576F0">
      <w:pPr>
        <w:tabs>
          <w:tab w:val="left" w:pos="1185"/>
        </w:tabs>
        <w:suppressAutoHyphens w:val="0"/>
        <w:autoSpaceDN/>
        <w:spacing w:line="300" w:lineRule="exact"/>
        <w:ind w:left="1291" w:hanging="440"/>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(5)給付時程期限：自初次處方用藥日起算2年（pembrolizumab用於早期</w:t>
      </w:r>
      <w:proofErr w:type="gramStart"/>
      <w:r w:rsidRPr="007576F0">
        <w:rPr>
          <w:rFonts w:ascii="標楷體" w:eastAsia="標楷體" w:hAnsi="標楷體" w:hint="eastAsia"/>
          <w:kern w:val="2"/>
          <w:szCs w:val="24"/>
          <w14:ligatures w14:val="standardContextual"/>
        </w:rPr>
        <w:t>三</w:t>
      </w:r>
      <w:proofErr w:type="gramEnd"/>
      <w:r w:rsidRPr="007576F0">
        <w:rPr>
          <w:rFonts w:ascii="標楷體" w:eastAsia="標楷體" w:hAnsi="標楷體" w:hint="eastAsia"/>
          <w:kern w:val="2"/>
          <w:szCs w:val="24"/>
          <w14:ligatures w14:val="standardContextual"/>
        </w:rPr>
        <w:t>陰性乳癌依前述給付時程期限至多使用17個療程、durvalumab用於鞏固治療自初次處方用藥日起算1年、</w:t>
      </w:r>
      <w:r w:rsidRPr="007576F0">
        <w:rPr>
          <w:rFonts w:ascii="標楷體" w:eastAsia="標楷體" w:hAnsi="標楷體" w:hint="eastAsia"/>
          <w:kern w:val="0"/>
          <w:szCs w:val="24"/>
          <w14:ligatures w14:val="standardContextual"/>
        </w:rPr>
        <w:t>nivolumab用於非小細胞肺癌術前輔助治療至多使用3個療程）。(109/4/1、109/11/1、114/6/1、114/8/1</w:t>
      </w:r>
      <w:r w:rsidRPr="007576F0">
        <w:rPr>
          <w:rFonts w:ascii="標楷體" w:eastAsia="標楷體" w:hAnsi="標楷體" w:cs="標楷體.鬁..." w:hint="eastAsia"/>
          <w:kern w:val="0"/>
          <w:szCs w:val="24"/>
          <w14:ligatures w14:val="standardContextual"/>
        </w:rPr>
        <w:t>、</w:t>
      </w:r>
      <w:r w:rsidRPr="007576F0">
        <w:rPr>
          <w:rFonts w:ascii="標楷體" w:eastAsia="標楷體" w:hAnsi="標楷體" w:hint="eastAsia"/>
          <w:kern w:val="0"/>
          <w:szCs w:val="24"/>
          <w14:ligatures w14:val="standardContextual"/>
        </w:rPr>
        <w:t>115/6/1)</w:t>
      </w:r>
    </w:p>
    <w:p w14:paraId="3A699C68" w14:textId="77777777" w:rsidR="007576F0" w:rsidRPr="007576F0" w:rsidRDefault="007576F0" w:rsidP="007576F0">
      <w:pPr>
        <w:tabs>
          <w:tab w:val="left" w:pos="1185"/>
        </w:tabs>
        <w:suppressAutoHyphens w:val="0"/>
        <w:autoSpaceDN/>
        <w:spacing w:line="300" w:lineRule="exact"/>
        <w:ind w:left="1291" w:hanging="440"/>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(6)需經事前審查核准後使用。(108/4/1、110/10/1、111/6/1</w:t>
      </w:r>
      <w:r w:rsidRPr="007576F0">
        <w:rPr>
          <w:rFonts w:ascii="標楷體" w:eastAsia="標楷體" w:hAnsi="標楷體" w:cs="標楷體.鬁..." w:hint="eastAsia"/>
          <w:kern w:val="0"/>
          <w:szCs w:val="24"/>
          <w14:ligatures w14:val="standardContextual"/>
        </w:rPr>
        <w:t>、</w:t>
      </w:r>
      <w:r w:rsidRPr="007576F0">
        <w:rPr>
          <w:rFonts w:ascii="標楷體" w:eastAsia="標楷體" w:hAnsi="標楷體" w:hint="eastAsia"/>
          <w:kern w:val="0"/>
          <w:szCs w:val="24"/>
          <w14:ligatures w14:val="standardContextual"/>
        </w:rPr>
        <w:t>115/6/1)</w:t>
      </w:r>
    </w:p>
    <w:p w14:paraId="00A20DFD" w14:textId="77777777" w:rsidR="007576F0" w:rsidRPr="007576F0" w:rsidRDefault="007576F0" w:rsidP="007576F0">
      <w:pPr>
        <w:tabs>
          <w:tab w:val="left" w:pos="1185"/>
        </w:tabs>
        <w:suppressAutoHyphens w:val="0"/>
        <w:autoSpaceDN/>
        <w:spacing w:line="300" w:lineRule="exact"/>
        <w:ind w:left="1291" w:hanging="440"/>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(7)每次申請以12</w:t>
      </w:r>
      <w:proofErr w:type="gramStart"/>
      <w:r w:rsidRPr="007576F0">
        <w:rPr>
          <w:rFonts w:ascii="標楷體" w:eastAsia="標楷體" w:hAnsi="標楷體" w:hint="eastAsia"/>
          <w:kern w:val="2"/>
          <w:szCs w:val="24"/>
          <w14:ligatures w14:val="standardContextual"/>
        </w:rPr>
        <w:t>週</w:t>
      </w:r>
      <w:proofErr w:type="gramEnd"/>
      <w:r w:rsidRPr="007576F0">
        <w:rPr>
          <w:rFonts w:ascii="標楷體" w:eastAsia="標楷體" w:hAnsi="標楷體" w:hint="eastAsia"/>
          <w:kern w:val="2"/>
          <w:szCs w:val="24"/>
          <w14:ligatures w14:val="standardContextual"/>
        </w:rPr>
        <w:t>為限，初次申請時需檢附以下資料：(108/6/1、109/11/1、111/6/1、113/6/1、114/6/1、115/2/1)</w:t>
      </w:r>
    </w:p>
    <w:p w14:paraId="63FF4BF8"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確實患有相關癌症之病理或細胞檢查報告，黑色素瘤患者需另檢附BRAF腫瘤基因檢測結果、非小細胞肺癌患者需另檢附符合給付適應症內容規定之腫瘤基因檢測結果報告，上述基因檢測須符合全民健康保險藥品給付規定之通則十二。(113/6/1)</w:t>
      </w:r>
    </w:p>
    <w:p w14:paraId="5412579D"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Ⅱ.生物標記表現量檢測報告：PD-L1表現量檢測結果需符合全民健康保險藥品</w:t>
      </w:r>
      <w:r w:rsidRPr="007576F0">
        <w:rPr>
          <w:rFonts w:ascii="標楷體" w:eastAsia="標楷體" w:hAnsi="標楷體" w:hint="eastAsia"/>
          <w:kern w:val="2"/>
          <w:szCs w:val="24"/>
          <w14:ligatures w14:val="standardContextual"/>
        </w:rPr>
        <w:lastRenderedPageBreak/>
        <w:t>給付規定之通則十二。(111/6/1、113/6/1)</w:t>
      </w:r>
    </w:p>
    <w:p w14:paraId="5EB80444"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Ⅲ.病人身體狀況良好(ECOG</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1)及心</w:t>
      </w:r>
      <w:proofErr w:type="gramStart"/>
      <w:r w:rsidRPr="007576F0">
        <w:rPr>
          <w:rFonts w:ascii="標楷體" w:eastAsia="標楷體" w:hAnsi="標楷體" w:hint="eastAsia"/>
          <w:kern w:val="2"/>
          <w:szCs w:val="24"/>
          <w14:ligatures w14:val="standardContextual"/>
        </w:rPr>
        <w:t>肺與肝腎</w:t>
      </w:r>
      <w:proofErr w:type="gramEnd"/>
      <w:r w:rsidRPr="007576F0">
        <w:rPr>
          <w:rFonts w:ascii="標楷體" w:eastAsia="標楷體" w:hAnsi="標楷體" w:hint="eastAsia"/>
          <w:kern w:val="2"/>
          <w:szCs w:val="24"/>
          <w14:ligatures w14:val="standardContextual"/>
        </w:rPr>
        <w:t>功能之評估資料。</w:t>
      </w:r>
    </w:p>
    <w:p w14:paraId="54888390"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IV.病人12</w:t>
      </w:r>
      <w:proofErr w:type="gramStart"/>
      <w:r w:rsidRPr="007576F0">
        <w:rPr>
          <w:rFonts w:ascii="標楷體" w:eastAsia="標楷體" w:hAnsi="標楷體" w:hint="eastAsia"/>
          <w:kern w:val="2"/>
          <w:szCs w:val="24"/>
          <w14:ligatures w14:val="standardContextual"/>
        </w:rPr>
        <w:t>週</w:t>
      </w:r>
      <w:proofErr w:type="gramEnd"/>
      <w:r w:rsidRPr="007576F0">
        <w:rPr>
          <w:rFonts w:ascii="標楷體" w:eastAsia="標楷體" w:hAnsi="標楷體" w:hint="eastAsia"/>
          <w:kern w:val="2"/>
          <w:szCs w:val="24"/>
          <w14:ligatures w14:val="standardContextual"/>
        </w:rPr>
        <w:t>內之疾病影像檢查及報告(如胸部X光、電腦斷層或其他可作為評估的影像)，此影像證明以可測量(measurable)的病灶為優先，如沒有可以測量的病灶，則可評估(evaluable)的病灶亦可採用。</w:t>
      </w:r>
    </w:p>
    <w:p w14:paraId="142C0382" w14:textId="77777777" w:rsidR="007576F0" w:rsidRPr="007576F0" w:rsidRDefault="007576F0" w:rsidP="007576F0">
      <w:pPr>
        <w:tabs>
          <w:tab w:val="left" w:pos="1418"/>
        </w:tabs>
        <w:suppressAutoHyphens w:val="0"/>
        <w:autoSpaceDN/>
        <w:spacing w:line="300" w:lineRule="exact"/>
        <w:ind w:left="1051" w:hanging="24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備註：上述影像檢查之給付範圍不包括正子造影(PET)。</w:t>
      </w:r>
    </w:p>
    <w:p w14:paraId="778F3DAF"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V.先前已接受過之治療與完整用藥資料(如化學治療、標靶藥物及自費等用藥之劑量及療程)及其治療結果；典型何</w:t>
      </w:r>
      <w:proofErr w:type="gramStart"/>
      <w:r w:rsidRPr="007576F0">
        <w:rPr>
          <w:rFonts w:ascii="標楷體" w:eastAsia="標楷體" w:hAnsi="標楷體" w:hint="eastAsia"/>
          <w:kern w:val="2"/>
          <w:szCs w:val="24"/>
          <w14:ligatures w14:val="standardContextual"/>
        </w:rPr>
        <w:t>杰</w:t>
      </w:r>
      <w:proofErr w:type="gramEnd"/>
      <w:r w:rsidRPr="007576F0">
        <w:rPr>
          <w:rFonts w:ascii="標楷體" w:eastAsia="標楷體" w:hAnsi="標楷體" w:hint="eastAsia"/>
          <w:kern w:val="2"/>
          <w:szCs w:val="24"/>
          <w14:ligatures w14:val="standardContextual"/>
        </w:rPr>
        <w:t>金氏淋巴瘤患者需另檢附</w:t>
      </w:r>
      <w:proofErr w:type="gramStart"/>
      <w:r w:rsidRPr="007576F0">
        <w:rPr>
          <w:rFonts w:ascii="標楷體" w:eastAsia="標楷體" w:hAnsi="標楷體" w:hint="eastAsia"/>
          <w:kern w:val="2"/>
          <w:szCs w:val="24"/>
          <w14:ligatures w14:val="standardContextual"/>
        </w:rPr>
        <w:t>自體造血</w:t>
      </w:r>
      <w:proofErr w:type="gramEnd"/>
      <w:r w:rsidRPr="007576F0">
        <w:rPr>
          <w:rFonts w:ascii="標楷體" w:eastAsia="標楷體" w:hAnsi="標楷體" w:hint="eastAsia"/>
          <w:kern w:val="2"/>
          <w:szCs w:val="24"/>
          <w14:ligatures w14:val="standardContextual"/>
        </w:rPr>
        <w:t>幹細胞移植之病歷紀錄；肝細胞癌患者需另檢附T.A.C.E.治療紀錄。</w:t>
      </w:r>
    </w:p>
    <w:p w14:paraId="4D3E49E6"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VI.使用免疫檢查點抑制劑之治療計畫(treatment protocol)。</w:t>
      </w:r>
    </w:p>
    <w:p w14:paraId="69A5E8F9"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Ⅶ.單獨使用pembrolizumab於泌尿</w:t>
      </w:r>
      <w:proofErr w:type="gramStart"/>
      <w:r w:rsidRPr="007576F0">
        <w:rPr>
          <w:rFonts w:ascii="標楷體" w:eastAsia="標楷體" w:hAnsi="標楷體" w:hint="eastAsia"/>
          <w:kern w:val="2"/>
          <w:szCs w:val="24"/>
          <w14:ligatures w14:val="standardContextual"/>
        </w:rPr>
        <w:t>道上皮癌第一線</w:t>
      </w:r>
      <w:proofErr w:type="gramEnd"/>
      <w:r w:rsidRPr="007576F0">
        <w:rPr>
          <w:rFonts w:ascii="標楷體" w:eastAsia="標楷體" w:hAnsi="標楷體" w:hint="eastAsia"/>
          <w:kern w:val="2"/>
          <w:szCs w:val="24"/>
          <w14:ligatures w14:val="standardContextual"/>
        </w:rPr>
        <w:t>用藥時，須另檢附下列其中一項佐證資料：(111/2/1、114/6/1、115/2/1)</w:t>
      </w:r>
    </w:p>
    <w:p w14:paraId="1CE7924B" w14:textId="77777777" w:rsidR="007576F0" w:rsidRPr="007576F0" w:rsidRDefault="007576F0" w:rsidP="007576F0">
      <w:pPr>
        <w:tabs>
          <w:tab w:val="left" w:pos="1185"/>
        </w:tabs>
        <w:suppressAutoHyphens w:val="0"/>
        <w:autoSpaceDN/>
        <w:spacing w:line="300" w:lineRule="exact"/>
        <w:ind w:left="1985" w:hanging="284"/>
        <w:jc w:val="both"/>
        <w:textAlignment w:val="auto"/>
        <w:rPr>
          <w:rFonts w:ascii="Aptos" w:hAnsi="Aptos" w:hint="eastAsia"/>
          <w:kern w:val="2"/>
          <w:szCs w:val="24"/>
          <w14:ligatures w14:val="standardContextual"/>
        </w:rPr>
      </w:pPr>
      <w:proofErr w:type="spellStart"/>
      <w:r w:rsidRPr="007576F0">
        <w:rPr>
          <w:rFonts w:ascii="標楷體" w:eastAsia="標楷體" w:hAnsi="標楷體" w:hint="eastAsia"/>
          <w:kern w:val="2"/>
          <w:szCs w:val="24"/>
          <w14:ligatures w14:val="standardContextual"/>
        </w:rPr>
        <w:t>i.CTCAE</w:t>
      </w:r>
      <w:proofErr w:type="spellEnd"/>
      <w:r w:rsidRPr="007576F0">
        <w:rPr>
          <w:rFonts w:ascii="標楷體" w:eastAsia="標楷體" w:hAnsi="標楷體" w:hint="eastAsia"/>
          <w:kern w:val="2"/>
          <w:szCs w:val="24"/>
          <w14:ligatures w14:val="standardContextual"/>
        </w:rPr>
        <w:t>(the common terminology criteria for adverse events) v4.0 grade</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2 audiometric hearing loss</w:t>
      </w:r>
    </w:p>
    <w:p w14:paraId="7AE4080E" w14:textId="77777777" w:rsidR="007576F0" w:rsidRPr="007576F0" w:rsidRDefault="007576F0" w:rsidP="007576F0">
      <w:pPr>
        <w:tabs>
          <w:tab w:val="left" w:pos="1185"/>
        </w:tabs>
        <w:suppressAutoHyphens w:val="0"/>
        <w:autoSpaceDN/>
        <w:spacing w:line="300" w:lineRule="exact"/>
        <w:ind w:left="1985" w:hanging="284"/>
        <w:jc w:val="both"/>
        <w:textAlignment w:val="auto"/>
        <w:rPr>
          <w:rFonts w:ascii="Aptos" w:hAnsi="Aptos" w:hint="eastAsia"/>
          <w:kern w:val="2"/>
          <w:szCs w:val="24"/>
          <w14:ligatures w14:val="standardContextual"/>
        </w:rPr>
      </w:pPr>
      <w:r w:rsidRPr="007576F0">
        <w:rPr>
          <w:rFonts w:ascii="新細明體" w:hAnsi="新細明體" w:cs="新細明體" w:hint="eastAsia"/>
          <w:kern w:val="2"/>
          <w:szCs w:val="24"/>
          <w14:ligatures w14:val="standardContextual"/>
        </w:rPr>
        <w:t>ⅱ</w:t>
      </w:r>
      <w:r w:rsidRPr="007576F0">
        <w:rPr>
          <w:rFonts w:ascii="標楷體" w:eastAsia="標楷體" w:hAnsi="標楷體" w:hint="eastAsia"/>
          <w:kern w:val="2"/>
          <w:szCs w:val="24"/>
          <w14:ligatures w14:val="standardContextual"/>
        </w:rPr>
        <w:t>.CTCAE v4.0 grade</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2 peripheral neuropathy</w:t>
      </w:r>
    </w:p>
    <w:p w14:paraId="191605DD" w14:textId="77777777" w:rsidR="007576F0" w:rsidRPr="007576F0" w:rsidRDefault="007576F0" w:rsidP="007576F0">
      <w:pPr>
        <w:tabs>
          <w:tab w:val="left" w:pos="1185"/>
        </w:tabs>
        <w:suppressAutoHyphens w:val="0"/>
        <w:autoSpaceDN/>
        <w:spacing w:line="300" w:lineRule="exact"/>
        <w:ind w:left="1985" w:hanging="284"/>
        <w:jc w:val="both"/>
        <w:textAlignment w:val="auto"/>
        <w:rPr>
          <w:rFonts w:ascii="Aptos" w:hAnsi="Aptos" w:hint="eastAsia"/>
          <w:kern w:val="2"/>
          <w:szCs w:val="24"/>
          <w14:ligatures w14:val="standardContextual"/>
        </w:rPr>
      </w:pPr>
      <w:r w:rsidRPr="007576F0">
        <w:rPr>
          <w:rFonts w:ascii="新細明體" w:hAnsi="新細明體" w:cs="新細明體" w:hint="eastAsia"/>
          <w:kern w:val="2"/>
          <w:szCs w:val="24"/>
          <w14:ligatures w14:val="standardContextual"/>
        </w:rPr>
        <w:t>ⅲ</w:t>
      </w:r>
      <w:r w:rsidRPr="007576F0">
        <w:rPr>
          <w:rFonts w:ascii="標楷體" w:eastAsia="標楷體" w:hAnsi="標楷體" w:hint="eastAsia"/>
          <w:kern w:val="2"/>
          <w:szCs w:val="24"/>
          <w14:ligatures w14:val="standardContextual"/>
        </w:rPr>
        <w:t>.</w:t>
      </w:r>
      <w:proofErr w:type="gramStart"/>
      <w:r w:rsidRPr="007576F0">
        <w:rPr>
          <w:rFonts w:ascii="標楷體" w:eastAsia="標楷體" w:hAnsi="標楷體" w:hint="eastAsia"/>
          <w:kern w:val="2"/>
          <w:szCs w:val="24"/>
          <w14:ligatures w14:val="standardContextual"/>
        </w:rPr>
        <w:t>CIRS(</w:t>
      </w:r>
      <w:proofErr w:type="gramEnd"/>
      <w:r w:rsidRPr="007576F0">
        <w:rPr>
          <w:rFonts w:ascii="標楷體" w:eastAsia="標楷體" w:hAnsi="標楷體" w:hint="eastAsia"/>
          <w:kern w:val="2"/>
          <w:szCs w:val="24"/>
          <w14:ligatures w14:val="standardContextual"/>
        </w:rPr>
        <w:t>the cumulative illness rating scale) score &gt;6</w:t>
      </w:r>
    </w:p>
    <w:p w14:paraId="7CEB9DAA"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Ⅷ.使用於早期</w:t>
      </w:r>
      <w:proofErr w:type="gramStart"/>
      <w:r w:rsidRPr="007576F0">
        <w:rPr>
          <w:rFonts w:ascii="標楷體" w:eastAsia="標楷體" w:hAnsi="標楷體" w:hint="eastAsia"/>
          <w:kern w:val="2"/>
          <w:szCs w:val="24"/>
          <w14:ligatures w14:val="standardContextual"/>
        </w:rPr>
        <w:t>三</w:t>
      </w:r>
      <w:proofErr w:type="gramEnd"/>
      <w:r w:rsidRPr="007576F0">
        <w:rPr>
          <w:rFonts w:ascii="標楷體" w:eastAsia="標楷體" w:hAnsi="標楷體" w:hint="eastAsia"/>
          <w:kern w:val="2"/>
          <w:szCs w:val="24"/>
          <w14:ligatures w14:val="standardContextual"/>
        </w:rPr>
        <w:t>陰性乳癌用藥時，初次申請時需檢附ER、PR及HER2為陰性之</w:t>
      </w:r>
    </w:p>
    <w:p w14:paraId="760C6D4E" w14:textId="77777777" w:rsidR="007576F0" w:rsidRPr="007576F0" w:rsidRDefault="007576F0" w:rsidP="007576F0">
      <w:pPr>
        <w:tabs>
          <w:tab w:val="left" w:pos="1985"/>
        </w:tabs>
        <w:suppressAutoHyphens w:val="0"/>
        <w:autoSpaceDN/>
        <w:spacing w:line="300" w:lineRule="exact"/>
        <w:ind w:left="1701"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檢測報告。(114/6/1)</w:t>
      </w:r>
    </w:p>
    <w:p w14:paraId="55CA2E90" w14:textId="77777777" w:rsidR="007576F0" w:rsidRPr="007576F0" w:rsidRDefault="007576F0" w:rsidP="002144EC">
      <w:pPr>
        <w:numPr>
          <w:ilvl w:val="0"/>
          <w:numId w:val="197"/>
        </w:numPr>
        <w:suppressAutoHyphens w:val="0"/>
        <w:autoSpaceDN/>
        <w:spacing w:after="160" w:line="300" w:lineRule="exact"/>
        <w:ind w:left="1701" w:hanging="422"/>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其他佐證病歷資料。</w:t>
      </w:r>
    </w:p>
    <w:p w14:paraId="48693370" w14:textId="77777777" w:rsidR="007576F0" w:rsidRPr="007576F0" w:rsidRDefault="007576F0" w:rsidP="007576F0">
      <w:pPr>
        <w:tabs>
          <w:tab w:val="left" w:pos="1185"/>
        </w:tabs>
        <w:suppressAutoHyphens w:val="0"/>
        <w:autoSpaceDN/>
        <w:spacing w:line="300" w:lineRule="exact"/>
        <w:ind w:left="1291" w:hanging="440"/>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 xml:space="preserve"> (8)用藥後每12</w:t>
      </w:r>
      <w:proofErr w:type="gramStart"/>
      <w:r w:rsidRPr="007576F0">
        <w:rPr>
          <w:rFonts w:ascii="標楷體" w:eastAsia="標楷體" w:hAnsi="標楷體" w:hint="eastAsia"/>
          <w:kern w:val="2"/>
          <w:szCs w:val="24"/>
          <w14:ligatures w14:val="standardContextual"/>
        </w:rPr>
        <w:t>週</w:t>
      </w:r>
      <w:proofErr w:type="gramEnd"/>
      <w:r w:rsidRPr="007576F0">
        <w:rPr>
          <w:rFonts w:ascii="標楷體" w:eastAsia="標楷體" w:hAnsi="標楷體" w:hint="eastAsia"/>
          <w:kern w:val="2"/>
          <w:szCs w:val="24"/>
          <w14:ligatures w14:val="standardContextual"/>
        </w:rPr>
        <w:t>至少評估一次，以</w:t>
      </w:r>
      <w:proofErr w:type="spellStart"/>
      <w:r w:rsidRPr="007576F0">
        <w:rPr>
          <w:rFonts w:ascii="標楷體" w:eastAsia="標楷體" w:hAnsi="標楷體" w:hint="eastAsia"/>
          <w:kern w:val="2"/>
          <w:szCs w:val="24"/>
          <w14:ligatures w14:val="standardContextual"/>
        </w:rPr>
        <w:t>i</w:t>
      </w:r>
      <w:proofErr w:type="spellEnd"/>
      <w:r w:rsidRPr="007576F0">
        <w:rPr>
          <w:rFonts w:ascii="標楷體" w:eastAsia="標楷體" w:hAnsi="標楷體" w:hint="eastAsia"/>
          <w:kern w:val="2"/>
          <w:szCs w:val="24"/>
          <w14:ligatures w14:val="standardContextual"/>
        </w:rPr>
        <w:t>-RECIST標準(HCC患者以</w:t>
      </w:r>
      <w:proofErr w:type="spellStart"/>
      <w:r w:rsidRPr="007576F0">
        <w:rPr>
          <w:rFonts w:ascii="標楷體" w:eastAsia="標楷體" w:hAnsi="標楷體" w:hint="eastAsia"/>
          <w:kern w:val="2"/>
          <w:szCs w:val="24"/>
          <w14:ligatures w14:val="standardContextual"/>
        </w:rPr>
        <w:t>mRECIST</w:t>
      </w:r>
      <w:proofErr w:type="spellEnd"/>
      <w:r w:rsidRPr="007576F0">
        <w:rPr>
          <w:rFonts w:ascii="標楷體" w:eastAsia="標楷體" w:hAnsi="標楷體" w:hint="eastAsia"/>
          <w:kern w:val="2"/>
          <w:szCs w:val="24"/>
          <w14:ligatures w14:val="standardContextual"/>
        </w:rPr>
        <w:t>標準)評定藥物療效反應，依下列原則申請續用：(109/4/1、109/11/1、114/6/1、114/8/1</w:t>
      </w:r>
      <w:r w:rsidRPr="007576F0">
        <w:rPr>
          <w:rFonts w:ascii="標楷體" w:eastAsia="標楷體" w:hAnsi="標楷體" w:cs="標楷體.鬁..." w:hint="eastAsia"/>
          <w:kern w:val="0"/>
          <w:szCs w:val="24"/>
          <w14:ligatures w14:val="standardContextual"/>
        </w:rPr>
        <w:t>、</w:t>
      </w:r>
      <w:r w:rsidRPr="007576F0">
        <w:rPr>
          <w:rFonts w:ascii="標楷體" w:eastAsia="標楷體" w:hAnsi="標楷體" w:hint="eastAsia"/>
          <w:kern w:val="0"/>
          <w:szCs w:val="24"/>
          <w14:ligatures w14:val="standardContextual"/>
        </w:rPr>
        <w:t>115/6/1</w:t>
      </w:r>
      <w:r w:rsidRPr="007576F0">
        <w:rPr>
          <w:rFonts w:ascii="標楷體" w:eastAsia="標楷體" w:hAnsi="標楷體" w:hint="eastAsia"/>
          <w:color w:val="000000"/>
          <w:szCs w:val="24"/>
        </w:rPr>
        <w:t>、</w:t>
      </w:r>
      <w:r w:rsidRPr="007576F0">
        <w:rPr>
          <w:rFonts w:ascii="標楷體" w:eastAsia="標楷體" w:hAnsi="標楷體" w:hint="eastAsia"/>
          <w:szCs w:val="24"/>
        </w:rPr>
        <w:t>115/10/1</w:t>
      </w:r>
      <w:r w:rsidRPr="007576F0">
        <w:rPr>
          <w:rFonts w:ascii="標楷體" w:eastAsia="標楷體" w:hAnsi="標楷體" w:hint="eastAsia"/>
          <w:kern w:val="0"/>
          <w:szCs w:val="24"/>
          <w14:ligatures w14:val="standardContextual"/>
        </w:rPr>
        <w:t>)</w:t>
      </w:r>
    </w:p>
    <w:p w14:paraId="06E72376" w14:textId="77777777" w:rsidR="007576F0" w:rsidRPr="007576F0" w:rsidRDefault="007576F0" w:rsidP="007576F0">
      <w:pPr>
        <w:suppressAutoHyphens w:val="0"/>
        <w:autoSpaceDN/>
        <w:spacing w:line="300" w:lineRule="exact"/>
        <w:ind w:leftChars="590" w:left="1697" w:hangingChars="117" w:hanging="281"/>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I.有療效反應</w:t>
      </w:r>
      <w:proofErr w:type="spellStart"/>
      <w:r w:rsidRPr="007576F0">
        <w:rPr>
          <w:rFonts w:ascii="標楷體" w:eastAsia="標楷體" w:hAnsi="標楷體" w:hint="eastAsia"/>
          <w:kern w:val="2"/>
          <w:szCs w:val="24"/>
          <w14:ligatures w14:val="standardContextual"/>
        </w:rPr>
        <w:t>iPR</w:t>
      </w:r>
      <w:proofErr w:type="spellEnd"/>
      <w:r w:rsidRPr="007576F0">
        <w:rPr>
          <w:rFonts w:ascii="標楷體" w:eastAsia="標楷體" w:hAnsi="標楷體" w:hint="eastAsia"/>
          <w:kern w:val="2"/>
          <w:szCs w:val="24"/>
          <w14:ligatures w14:val="standardContextual"/>
        </w:rPr>
        <w:t>(PR)、</w:t>
      </w:r>
      <w:proofErr w:type="spellStart"/>
      <w:r w:rsidRPr="007576F0">
        <w:rPr>
          <w:rFonts w:ascii="標楷體" w:eastAsia="標楷體" w:hAnsi="標楷體" w:hint="eastAsia"/>
          <w:kern w:val="2"/>
          <w:szCs w:val="24"/>
          <w14:ligatures w14:val="standardContextual"/>
        </w:rPr>
        <w:t>iCR</w:t>
      </w:r>
      <w:proofErr w:type="spellEnd"/>
      <w:r w:rsidRPr="007576F0">
        <w:rPr>
          <w:rFonts w:ascii="標楷體" w:eastAsia="標楷體" w:hAnsi="標楷體" w:hint="eastAsia"/>
          <w:kern w:val="2"/>
          <w:szCs w:val="24"/>
          <w14:ligatures w14:val="standardContextual"/>
        </w:rPr>
        <w:t>(CR)者，或限使用n</w:t>
      </w:r>
      <w:r w:rsidRPr="007576F0">
        <w:rPr>
          <w:rFonts w:ascii="標楷體" w:eastAsia="標楷體" w:hAnsi="標楷體" w:hint="eastAsia"/>
          <w:kern w:val="0"/>
          <w:szCs w:val="24"/>
          <w14:ligatures w14:val="standardContextual"/>
        </w:rPr>
        <w:t>ivolumab、avelumab、ipilimumab</w:t>
      </w:r>
      <w:r w:rsidRPr="007576F0">
        <w:rPr>
          <w:rFonts w:ascii="標楷體" w:eastAsia="標楷體" w:hAnsi="標楷體" w:hint="eastAsia"/>
          <w:color w:val="000000"/>
          <w:szCs w:val="24"/>
        </w:rPr>
        <w:t>、</w:t>
      </w:r>
      <w:proofErr w:type="spellStart"/>
      <w:r w:rsidRPr="007576F0">
        <w:rPr>
          <w:rFonts w:ascii="標楷體" w:eastAsia="標楷體" w:hAnsi="標楷體" w:hint="eastAsia"/>
          <w:kern w:val="0"/>
          <w:szCs w:val="24"/>
          <w14:ligatures w14:val="standardContextual"/>
        </w:rPr>
        <w:t>cemiplimab</w:t>
      </w:r>
      <w:proofErr w:type="spellEnd"/>
      <w:r w:rsidRPr="007576F0">
        <w:rPr>
          <w:rFonts w:ascii="標楷體" w:eastAsia="標楷體" w:hAnsi="標楷體" w:hint="eastAsia"/>
          <w:color w:val="000000"/>
          <w:szCs w:val="24"/>
        </w:rPr>
        <w:t>、</w:t>
      </w:r>
      <w:proofErr w:type="spellStart"/>
      <w:r w:rsidRPr="007576F0">
        <w:rPr>
          <w:rFonts w:ascii="標楷體" w:eastAsia="標楷體" w:hAnsi="標楷體" w:hint="eastAsia"/>
          <w:color w:val="000000"/>
          <w:szCs w:val="24"/>
        </w:rPr>
        <w:t>dostarlimab</w:t>
      </w:r>
      <w:proofErr w:type="spellEnd"/>
      <w:r w:rsidRPr="007576F0">
        <w:rPr>
          <w:rFonts w:ascii="標楷體" w:eastAsia="標楷體" w:hAnsi="標楷體" w:hint="eastAsia"/>
          <w:color w:val="000000"/>
          <w:szCs w:val="24"/>
        </w:rPr>
        <w:t>、</w:t>
      </w:r>
      <w:r w:rsidRPr="007576F0">
        <w:rPr>
          <w:rFonts w:ascii="標楷體" w:eastAsia="標楷體" w:hAnsi="標楷體" w:hint="eastAsia"/>
          <w:szCs w:val="24"/>
        </w:rPr>
        <w:t>t</w:t>
      </w:r>
      <w:r w:rsidRPr="007576F0">
        <w:rPr>
          <w:rFonts w:ascii="標楷體" w:eastAsia="標楷體" w:hAnsi="標楷體"/>
          <w:szCs w:val="24"/>
        </w:rPr>
        <w:t>islelizumab</w:t>
      </w:r>
      <w:r w:rsidRPr="007576F0">
        <w:rPr>
          <w:rFonts w:ascii="標楷體" w:eastAsia="標楷體" w:hAnsi="標楷體" w:hint="eastAsia"/>
          <w:color w:val="000000"/>
          <w:szCs w:val="24"/>
        </w:rPr>
        <w:t>或</w:t>
      </w:r>
      <w:r w:rsidRPr="007576F0">
        <w:rPr>
          <w:rFonts w:ascii="標楷體" w:eastAsia="標楷體" w:hAnsi="標楷體"/>
          <w:color w:val="000000"/>
          <w:szCs w:val="24"/>
        </w:rPr>
        <w:t>pembrolizumab</w:t>
      </w:r>
      <w:r w:rsidRPr="007576F0">
        <w:rPr>
          <w:rFonts w:ascii="標楷體" w:eastAsia="標楷體" w:hAnsi="標楷體" w:hint="eastAsia"/>
          <w:kern w:val="0"/>
          <w:szCs w:val="24"/>
          <w14:ligatures w14:val="standardContextual"/>
        </w:rPr>
        <w:t>後評估疾病呈穩定狀態</w:t>
      </w:r>
      <w:proofErr w:type="spellStart"/>
      <w:r w:rsidRPr="007576F0">
        <w:rPr>
          <w:rFonts w:ascii="標楷體" w:eastAsia="標楷體" w:hAnsi="標楷體" w:hint="eastAsia"/>
          <w:kern w:val="0"/>
          <w:szCs w:val="24"/>
          <w14:ligatures w14:val="standardContextual"/>
        </w:rPr>
        <w:t>iSD</w:t>
      </w:r>
      <w:proofErr w:type="spellEnd"/>
      <w:r w:rsidRPr="007576F0">
        <w:rPr>
          <w:rFonts w:ascii="標楷體" w:eastAsia="標楷體" w:hAnsi="標楷體" w:hint="eastAsia"/>
          <w:kern w:val="0"/>
          <w:szCs w:val="24"/>
          <w14:ligatures w14:val="standardContextual"/>
        </w:rPr>
        <w:t xml:space="preserve"> (SD)者，得繼續用藥；(109/4/1、115/6/1)</w:t>
      </w:r>
    </w:p>
    <w:p w14:paraId="6C481C30" w14:textId="77777777" w:rsidR="007576F0" w:rsidRPr="007576F0" w:rsidRDefault="007576F0" w:rsidP="007576F0">
      <w:pPr>
        <w:tabs>
          <w:tab w:val="left" w:pos="1418"/>
        </w:tabs>
        <w:suppressAutoHyphens w:val="0"/>
        <w:autoSpaceDN/>
        <w:spacing w:line="300" w:lineRule="exact"/>
        <w:ind w:leftChars="590" w:left="1697" w:hangingChars="117" w:hanging="281"/>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II.初始用藥後，如評估</w:t>
      </w:r>
      <w:proofErr w:type="gramStart"/>
      <w:r w:rsidRPr="007576F0">
        <w:rPr>
          <w:rFonts w:ascii="標楷體" w:eastAsia="標楷體" w:hAnsi="標楷體" w:hint="eastAsia"/>
          <w:kern w:val="2"/>
          <w:szCs w:val="24"/>
          <w14:ligatures w14:val="standardContextual"/>
        </w:rPr>
        <w:t>疾病呈未確認</w:t>
      </w:r>
      <w:proofErr w:type="gramEnd"/>
      <w:r w:rsidRPr="007576F0">
        <w:rPr>
          <w:rFonts w:ascii="標楷體" w:eastAsia="標楷體" w:hAnsi="標楷體" w:hint="eastAsia"/>
          <w:kern w:val="2"/>
          <w:szCs w:val="24"/>
          <w14:ligatures w14:val="standardContextual"/>
        </w:rPr>
        <w:t>疾病惡化者(</w:t>
      </w:r>
      <w:proofErr w:type="spellStart"/>
      <w:r w:rsidRPr="007576F0">
        <w:rPr>
          <w:rFonts w:ascii="標楷體" w:eastAsia="標楷體" w:hAnsi="標楷體" w:hint="eastAsia"/>
          <w:kern w:val="2"/>
          <w:szCs w:val="24"/>
          <w14:ligatures w14:val="standardContextual"/>
        </w:rPr>
        <w:t>iUPD</w:t>
      </w:r>
      <w:proofErr w:type="spellEnd"/>
      <w:r w:rsidRPr="007576F0">
        <w:rPr>
          <w:rFonts w:ascii="標楷體" w:eastAsia="標楷體" w:hAnsi="標楷體" w:hint="eastAsia"/>
          <w:kern w:val="2"/>
          <w:szCs w:val="24"/>
          <w14:ligatures w14:val="standardContextual"/>
        </w:rPr>
        <w:t>)，可持續用藥4-8</w:t>
      </w:r>
      <w:proofErr w:type="gramStart"/>
      <w:r w:rsidRPr="007576F0">
        <w:rPr>
          <w:rFonts w:ascii="標楷體" w:eastAsia="標楷體" w:hAnsi="標楷體" w:hint="eastAsia"/>
          <w:kern w:val="2"/>
          <w:szCs w:val="24"/>
          <w14:ligatures w14:val="standardContextual"/>
        </w:rPr>
        <w:t>週</w:t>
      </w:r>
      <w:proofErr w:type="gramEnd"/>
      <w:r w:rsidRPr="007576F0">
        <w:rPr>
          <w:rFonts w:ascii="標楷體" w:eastAsia="標楷體" w:hAnsi="標楷體" w:hint="eastAsia"/>
          <w:kern w:val="2"/>
          <w:szCs w:val="24"/>
          <w14:ligatures w14:val="standardContextual"/>
        </w:rPr>
        <w:t>後再次評估；如再次評估，結果為疾病惡化</w:t>
      </w:r>
      <w:proofErr w:type="spellStart"/>
      <w:r w:rsidRPr="007576F0">
        <w:rPr>
          <w:rFonts w:ascii="標楷體" w:eastAsia="標楷體" w:hAnsi="標楷體" w:hint="eastAsia"/>
          <w:kern w:val="2"/>
          <w:szCs w:val="24"/>
          <w14:ligatures w14:val="standardContextual"/>
        </w:rPr>
        <w:t>iCPD</w:t>
      </w:r>
      <w:proofErr w:type="spellEnd"/>
      <w:r w:rsidRPr="007576F0">
        <w:rPr>
          <w:rFonts w:ascii="標楷體" w:eastAsia="標楷體" w:hAnsi="標楷體" w:hint="eastAsia"/>
          <w:kern w:val="2"/>
          <w:szCs w:val="24"/>
          <w14:ligatures w14:val="standardContextual"/>
        </w:rPr>
        <w:t xml:space="preserve"> (PD)者，應停止用藥。(</w:t>
      </w:r>
      <w:r w:rsidRPr="007576F0">
        <w:rPr>
          <w:rFonts w:ascii="標楷體" w:eastAsia="標楷體" w:hAnsi="標楷體" w:hint="eastAsia"/>
          <w:kern w:val="0"/>
          <w:szCs w:val="24"/>
          <w14:ligatures w14:val="standardContextual"/>
        </w:rPr>
        <w:t>115/6/1)</w:t>
      </w:r>
    </w:p>
    <w:p w14:paraId="256E51BA" w14:textId="77777777" w:rsidR="007576F0" w:rsidRPr="007576F0" w:rsidRDefault="007576F0" w:rsidP="007576F0">
      <w:pPr>
        <w:tabs>
          <w:tab w:val="left" w:pos="1418"/>
        </w:tabs>
        <w:suppressAutoHyphens w:val="0"/>
        <w:autoSpaceDN/>
        <w:spacing w:line="300" w:lineRule="exact"/>
        <w:ind w:leftChars="590" w:left="1697" w:hangingChars="117" w:hanging="281"/>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Ⅲ.出現疾病惡化</w:t>
      </w:r>
      <w:proofErr w:type="spellStart"/>
      <w:r w:rsidRPr="007576F0">
        <w:rPr>
          <w:rFonts w:ascii="標楷體" w:eastAsia="標楷體" w:hAnsi="標楷體" w:hint="eastAsia"/>
          <w:kern w:val="2"/>
          <w:szCs w:val="24"/>
          <w14:ligatures w14:val="standardContextual"/>
        </w:rPr>
        <w:t>iCPD</w:t>
      </w:r>
      <w:proofErr w:type="spellEnd"/>
      <w:r w:rsidRPr="007576F0">
        <w:rPr>
          <w:rFonts w:ascii="標楷體" w:eastAsia="標楷體" w:hAnsi="標楷體" w:hint="eastAsia"/>
          <w:kern w:val="2"/>
          <w:szCs w:val="24"/>
          <w14:ligatures w14:val="standardContextual"/>
        </w:rPr>
        <w:t xml:space="preserve"> (PD)或出現中、重度或危及生命之藥物不良反應者，應停止用藥；(109/4/1、</w:t>
      </w:r>
      <w:r w:rsidRPr="007576F0">
        <w:rPr>
          <w:rFonts w:ascii="標楷體" w:eastAsia="標楷體" w:hAnsi="標楷體" w:hint="eastAsia"/>
          <w:kern w:val="0"/>
          <w:szCs w:val="24"/>
          <w14:ligatures w14:val="standardContextual"/>
        </w:rPr>
        <w:t>115/6/1)</w:t>
      </w:r>
    </w:p>
    <w:p w14:paraId="144222D1" w14:textId="77777777" w:rsidR="007576F0" w:rsidRPr="007576F0" w:rsidRDefault="007576F0" w:rsidP="007576F0">
      <w:pPr>
        <w:tabs>
          <w:tab w:val="left" w:pos="1701"/>
        </w:tabs>
        <w:suppressAutoHyphens w:val="0"/>
        <w:autoSpaceDN/>
        <w:spacing w:line="300" w:lineRule="exact"/>
        <w:ind w:left="1701" w:hanging="283"/>
        <w:jc w:val="both"/>
        <w:textAlignment w:val="auto"/>
        <w:rPr>
          <w:rFonts w:ascii="標楷體" w:eastAsia="標楷體" w:hAnsi="標楷體" w:cs="新細明體"/>
          <w:kern w:val="0"/>
          <w:szCs w:val="24"/>
          <w14:ligatures w14:val="standardContextual"/>
        </w:rPr>
      </w:pPr>
      <w:r w:rsidRPr="007576F0">
        <w:rPr>
          <w:rFonts w:ascii="標楷體" w:eastAsia="標楷體" w:hAnsi="標楷體" w:cs="新細明體" w:hint="eastAsia"/>
          <w:kern w:val="0"/>
          <w:szCs w:val="24"/>
          <w14:ligatures w14:val="standardContextual"/>
        </w:rPr>
        <w:t>Ⅳ.</w:t>
      </w:r>
      <w:r w:rsidRPr="007576F0">
        <w:rPr>
          <w:rFonts w:ascii="標楷體" w:eastAsia="標楷體" w:hAnsi="標楷體" w:hint="eastAsia"/>
          <w:kern w:val="2"/>
          <w:szCs w:val="24"/>
          <w14:ligatures w14:val="standardContextual"/>
        </w:rPr>
        <w:t>使用</w:t>
      </w:r>
      <w:r w:rsidRPr="007576F0">
        <w:rPr>
          <w:rFonts w:ascii="標楷體" w:eastAsia="標楷體" w:hAnsi="標楷體" w:hint="eastAsia"/>
          <w:kern w:val="0"/>
          <w:szCs w:val="24"/>
          <w14:ligatures w14:val="standardContextual"/>
        </w:rPr>
        <w:t>atezolizumab、durvalumab、</w:t>
      </w:r>
      <w:proofErr w:type="spellStart"/>
      <w:r w:rsidRPr="007576F0">
        <w:rPr>
          <w:rFonts w:ascii="標楷體" w:eastAsia="標楷體" w:hAnsi="標楷體" w:hint="eastAsia"/>
          <w:kern w:val="0"/>
          <w:szCs w:val="24"/>
          <w14:ligatures w14:val="standardContextual"/>
        </w:rPr>
        <w:t>tremelimumab</w:t>
      </w:r>
      <w:proofErr w:type="spellEnd"/>
      <w:r w:rsidRPr="007576F0">
        <w:rPr>
          <w:rFonts w:ascii="標楷體" w:eastAsia="標楷體" w:hAnsi="標楷體" w:hint="eastAsia"/>
          <w:kern w:val="0"/>
          <w:szCs w:val="24"/>
          <w14:ligatures w14:val="standardContextual"/>
        </w:rPr>
        <w:t>後評估疾病呈穩定狀態者(SD)，可持續再用藥12</w:t>
      </w:r>
      <w:proofErr w:type="gramStart"/>
      <w:r w:rsidRPr="007576F0">
        <w:rPr>
          <w:rFonts w:ascii="標楷體" w:eastAsia="標楷體" w:hAnsi="標楷體" w:hint="eastAsia"/>
          <w:kern w:val="0"/>
          <w:szCs w:val="24"/>
          <w14:ligatures w14:val="standardContextual"/>
        </w:rPr>
        <w:t>週</w:t>
      </w:r>
      <w:proofErr w:type="gramEnd"/>
      <w:r w:rsidRPr="007576F0">
        <w:rPr>
          <w:rFonts w:ascii="標楷體" w:eastAsia="標楷體" w:hAnsi="標楷體" w:hint="eastAsia"/>
          <w:kern w:val="0"/>
          <w:szCs w:val="24"/>
          <w14:ligatures w14:val="standardContextual"/>
        </w:rPr>
        <w:t>，並於12</w:t>
      </w:r>
      <w:proofErr w:type="gramStart"/>
      <w:r w:rsidRPr="007576F0">
        <w:rPr>
          <w:rFonts w:ascii="標楷體" w:eastAsia="標楷體" w:hAnsi="標楷體" w:hint="eastAsia"/>
          <w:kern w:val="0"/>
          <w:szCs w:val="24"/>
          <w14:ligatures w14:val="standardContextual"/>
        </w:rPr>
        <w:t>週</w:t>
      </w:r>
      <w:proofErr w:type="gramEnd"/>
      <w:r w:rsidRPr="007576F0">
        <w:rPr>
          <w:rFonts w:ascii="標楷體" w:eastAsia="標楷體" w:hAnsi="標楷體" w:hint="eastAsia"/>
          <w:kern w:val="0"/>
          <w:szCs w:val="24"/>
          <w14:ligatures w14:val="standardContextual"/>
        </w:rPr>
        <w:t>後再次評估；經連續二次評估皆為SD者，不得申請續用。durvalumab用於非小細胞肺癌之鞏固治療不在此限。(114/8/1、115/6/1)</w:t>
      </w:r>
    </w:p>
    <w:p w14:paraId="483E6206"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cs="新細明體"/>
          <w:kern w:val="0"/>
          <w:szCs w:val="24"/>
          <w14:ligatures w14:val="standardContextual"/>
        </w:rPr>
      </w:pPr>
      <w:r w:rsidRPr="007576F0">
        <w:rPr>
          <w:rFonts w:ascii="標楷體" w:eastAsia="標楷體" w:hAnsi="標楷體" w:cs="新細明體" w:hint="eastAsia"/>
          <w:kern w:val="0"/>
          <w:szCs w:val="24"/>
          <w14:ligatures w14:val="standardContextual"/>
        </w:rPr>
        <w:t>Ⅴ使用於早期</w:t>
      </w:r>
      <w:proofErr w:type="gramStart"/>
      <w:r w:rsidRPr="007576F0">
        <w:rPr>
          <w:rFonts w:ascii="標楷體" w:eastAsia="標楷體" w:hAnsi="標楷體" w:cs="新細明體" w:hint="eastAsia"/>
          <w:kern w:val="0"/>
          <w:szCs w:val="24"/>
          <w14:ligatures w14:val="standardContextual"/>
        </w:rPr>
        <w:t>三</w:t>
      </w:r>
      <w:proofErr w:type="gramEnd"/>
      <w:r w:rsidRPr="007576F0">
        <w:rPr>
          <w:rFonts w:ascii="標楷體" w:eastAsia="標楷體" w:hAnsi="標楷體" w:cs="新細明體" w:hint="eastAsia"/>
          <w:kern w:val="0"/>
          <w:szCs w:val="24"/>
          <w14:ligatures w14:val="standardContextual"/>
        </w:rPr>
        <w:t>陰性乳癌，術前前導性治療腫瘤惡化</w:t>
      </w:r>
      <w:proofErr w:type="spellStart"/>
      <w:r w:rsidRPr="007576F0">
        <w:rPr>
          <w:rFonts w:ascii="標楷體" w:eastAsia="標楷體" w:hAnsi="標楷體" w:hint="eastAsia"/>
          <w:kern w:val="2"/>
          <w:szCs w:val="24"/>
          <w14:ligatures w14:val="standardContextual"/>
        </w:rPr>
        <w:t>iCPD</w:t>
      </w:r>
      <w:proofErr w:type="spellEnd"/>
      <w:r w:rsidRPr="007576F0">
        <w:rPr>
          <w:rFonts w:ascii="標楷體" w:eastAsia="標楷體" w:hAnsi="標楷體" w:cs="新細明體" w:hint="eastAsia"/>
          <w:kern w:val="0"/>
          <w:szCs w:val="24"/>
          <w14:ligatures w14:val="standardContextual"/>
        </w:rPr>
        <w:t>者，或術後輔助治療復發者，不得申請續用。(114/6/1</w:t>
      </w:r>
      <w:r w:rsidRPr="007576F0">
        <w:rPr>
          <w:rFonts w:ascii="標楷體" w:eastAsia="標楷體" w:hAnsi="標楷體" w:hint="eastAsia"/>
          <w:kern w:val="2"/>
          <w:szCs w:val="24"/>
          <w14:ligatures w14:val="standardContextual"/>
        </w:rPr>
        <w:t>、</w:t>
      </w:r>
      <w:r w:rsidRPr="007576F0">
        <w:rPr>
          <w:rFonts w:ascii="標楷體" w:eastAsia="標楷體" w:hAnsi="標楷體" w:hint="eastAsia"/>
          <w:kern w:val="0"/>
          <w:szCs w:val="24"/>
          <w14:ligatures w14:val="standardContextual"/>
        </w:rPr>
        <w:t>115/6/1</w:t>
      </w:r>
      <w:r w:rsidRPr="007576F0">
        <w:rPr>
          <w:rFonts w:ascii="標楷體" w:eastAsia="標楷體" w:hAnsi="標楷體" w:cs="新細明體" w:hint="eastAsia"/>
          <w:kern w:val="0"/>
          <w:szCs w:val="24"/>
          <w14:ligatures w14:val="standardContextual"/>
        </w:rPr>
        <w:t>)</w:t>
      </w:r>
    </w:p>
    <w:p w14:paraId="1C435F91" w14:textId="77777777" w:rsidR="007576F0" w:rsidRPr="007576F0" w:rsidRDefault="007576F0" w:rsidP="007576F0">
      <w:pPr>
        <w:tabs>
          <w:tab w:val="left" w:pos="1418"/>
        </w:tabs>
        <w:suppressAutoHyphens w:val="0"/>
        <w:autoSpaceDN/>
        <w:spacing w:line="300" w:lineRule="exact"/>
        <w:ind w:left="1418" w:hanging="440"/>
        <w:jc w:val="both"/>
        <w:textAlignment w:val="auto"/>
        <w:rPr>
          <w:rFonts w:ascii="標楷體" w:eastAsia="標楷體" w:hAnsi="標楷體"/>
          <w:kern w:val="0"/>
          <w:szCs w:val="24"/>
          <w14:ligatures w14:val="standardContextual"/>
        </w:rPr>
      </w:pPr>
      <w:r w:rsidRPr="007576F0">
        <w:rPr>
          <w:rFonts w:ascii="標楷體" w:eastAsia="標楷體" w:hAnsi="標楷體" w:hint="eastAsia"/>
          <w:kern w:val="2"/>
          <w:szCs w:val="24"/>
          <w14:ligatures w14:val="standardContextual"/>
        </w:rPr>
        <w:t>(9)申請續用時，需檢附病人12</w:t>
      </w:r>
      <w:proofErr w:type="gramStart"/>
      <w:r w:rsidRPr="007576F0">
        <w:rPr>
          <w:rFonts w:ascii="標楷體" w:eastAsia="標楷體" w:hAnsi="標楷體" w:hint="eastAsia"/>
          <w:kern w:val="2"/>
          <w:szCs w:val="24"/>
          <w14:ligatures w14:val="standardContextual"/>
        </w:rPr>
        <w:t>週</w:t>
      </w:r>
      <w:proofErr w:type="gramEnd"/>
      <w:r w:rsidRPr="007576F0">
        <w:rPr>
          <w:rFonts w:ascii="標楷體" w:eastAsia="標楷體" w:hAnsi="標楷體" w:hint="eastAsia"/>
          <w:kern w:val="2"/>
          <w:szCs w:val="24"/>
          <w14:ligatures w14:val="standardContextual"/>
        </w:rPr>
        <w:t>內之評估資料如下：(108/6/1、109/11/1、</w:t>
      </w:r>
      <w:r w:rsidRPr="007576F0">
        <w:rPr>
          <w:rFonts w:ascii="標楷體" w:eastAsia="標楷體" w:hAnsi="標楷體" w:hint="eastAsia"/>
          <w:kern w:val="0"/>
          <w:szCs w:val="24"/>
          <w14:ligatures w14:val="standardContextual"/>
        </w:rPr>
        <w:t>115/6/1)</w:t>
      </w:r>
    </w:p>
    <w:p w14:paraId="5FB5F9EB" w14:textId="77777777" w:rsidR="007576F0" w:rsidRPr="007576F0" w:rsidRDefault="007576F0" w:rsidP="007576F0">
      <w:pPr>
        <w:tabs>
          <w:tab w:val="left" w:pos="1560"/>
        </w:tabs>
        <w:suppressAutoHyphens w:val="0"/>
        <w:autoSpaceDN/>
        <w:spacing w:line="300" w:lineRule="exact"/>
        <w:ind w:left="1418"/>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I.病人身體狀況良好(ECOG</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1)及心</w:t>
      </w:r>
      <w:proofErr w:type="gramStart"/>
      <w:r w:rsidRPr="007576F0">
        <w:rPr>
          <w:rFonts w:ascii="標楷體" w:eastAsia="標楷體" w:hAnsi="標楷體" w:hint="eastAsia"/>
          <w:kern w:val="2"/>
          <w:szCs w:val="24"/>
          <w14:ligatures w14:val="standardContextual"/>
        </w:rPr>
        <w:t>肺與肝腎</w:t>
      </w:r>
      <w:proofErr w:type="gramEnd"/>
      <w:r w:rsidRPr="007576F0">
        <w:rPr>
          <w:rFonts w:ascii="標楷體" w:eastAsia="標楷體" w:hAnsi="標楷體" w:hint="eastAsia"/>
          <w:kern w:val="2"/>
          <w:szCs w:val="24"/>
          <w14:ligatures w14:val="standardContextual"/>
        </w:rPr>
        <w:t>功能之評估資料。</w:t>
      </w:r>
    </w:p>
    <w:p w14:paraId="634187B5"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II.以</w:t>
      </w:r>
      <w:proofErr w:type="spellStart"/>
      <w:r w:rsidRPr="007576F0">
        <w:rPr>
          <w:rFonts w:ascii="標楷體" w:eastAsia="標楷體" w:hAnsi="標楷體" w:hint="eastAsia"/>
          <w:kern w:val="2"/>
          <w:szCs w:val="24"/>
          <w14:ligatures w14:val="standardContextual"/>
        </w:rPr>
        <w:t>i</w:t>
      </w:r>
      <w:proofErr w:type="spellEnd"/>
      <w:r w:rsidRPr="007576F0">
        <w:rPr>
          <w:rFonts w:ascii="標楷體" w:eastAsia="標楷體" w:hAnsi="標楷體" w:hint="eastAsia"/>
          <w:kern w:val="2"/>
          <w:szCs w:val="24"/>
          <w14:ligatures w14:val="standardContextual"/>
        </w:rPr>
        <w:t>-RECIST標準(HCC患者以</w:t>
      </w:r>
      <w:proofErr w:type="spellStart"/>
      <w:r w:rsidRPr="007576F0">
        <w:rPr>
          <w:rFonts w:ascii="標楷體" w:eastAsia="標楷體" w:hAnsi="標楷體" w:hint="eastAsia"/>
          <w:kern w:val="2"/>
          <w:szCs w:val="24"/>
          <w14:ligatures w14:val="standardContextual"/>
        </w:rPr>
        <w:t>mRECIST</w:t>
      </w:r>
      <w:proofErr w:type="spellEnd"/>
      <w:r w:rsidRPr="007576F0">
        <w:rPr>
          <w:rFonts w:ascii="標楷體" w:eastAsia="標楷體" w:hAnsi="標楷體" w:hint="eastAsia"/>
          <w:kern w:val="2"/>
          <w:szCs w:val="24"/>
          <w14:ligatures w14:val="standardContextual"/>
        </w:rPr>
        <w:t>標準)評定之藥物療效反應資料、影像檢查及報告(如胸部X光、電腦斷層或其他可作為評估的影像)，此影像證明以可測量(measurable)的病灶為優先，如沒有可以測量的病灶，則可評估(evaluable)的病灶亦可採用。(108/6/1、115/6/1)</w:t>
      </w:r>
    </w:p>
    <w:p w14:paraId="640014B3" w14:textId="77777777" w:rsidR="007576F0" w:rsidRPr="007576F0" w:rsidRDefault="007576F0" w:rsidP="007576F0">
      <w:pPr>
        <w:tabs>
          <w:tab w:val="left" w:pos="1418"/>
        </w:tabs>
        <w:suppressAutoHyphens w:val="0"/>
        <w:autoSpaceDN/>
        <w:spacing w:line="300" w:lineRule="exact"/>
        <w:ind w:left="1051" w:hanging="245"/>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備註：上述影像檢查之給付範圍不包括正子造影(PET)。</w:t>
      </w:r>
    </w:p>
    <w:p w14:paraId="72271115"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Ⅲ.單獨使用pembrolizumab於泌尿</w:t>
      </w:r>
      <w:proofErr w:type="gramStart"/>
      <w:r w:rsidRPr="007576F0">
        <w:rPr>
          <w:rFonts w:ascii="標楷體" w:eastAsia="標楷體" w:hAnsi="標楷體" w:hint="eastAsia"/>
          <w:kern w:val="2"/>
          <w:szCs w:val="24"/>
          <w14:ligatures w14:val="standardContextual"/>
        </w:rPr>
        <w:t>道上皮癌第一線</w:t>
      </w:r>
      <w:proofErr w:type="gramEnd"/>
      <w:r w:rsidRPr="007576F0">
        <w:rPr>
          <w:rFonts w:ascii="標楷體" w:eastAsia="標楷體" w:hAnsi="標楷體" w:hint="eastAsia"/>
          <w:kern w:val="2"/>
          <w:szCs w:val="24"/>
          <w14:ligatures w14:val="standardContextual"/>
        </w:rPr>
        <w:t>用藥時，須另檢附下列其中一項佐證資料：(108/6/1、109/11/1、114/6/1、115/2/1)</w:t>
      </w:r>
    </w:p>
    <w:p w14:paraId="5FC74EB5" w14:textId="77777777" w:rsidR="007576F0" w:rsidRPr="007576F0" w:rsidRDefault="007576F0" w:rsidP="007576F0">
      <w:pPr>
        <w:tabs>
          <w:tab w:val="left" w:pos="1185"/>
        </w:tabs>
        <w:suppressAutoHyphens w:val="0"/>
        <w:autoSpaceDN/>
        <w:spacing w:line="300" w:lineRule="exact"/>
        <w:ind w:left="1985" w:hanging="284"/>
        <w:jc w:val="both"/>
        <w:textAlignment w:val="auto"/>
        <w:rPr>
          <w:rFonts w:ascii="標楷體" w:eastAsia="標楷體" w:hAnsi="標楷體"/>
          <w:kern w:val="2"/>
          <w:szCs w:val="24"/>
          <w14:ligatures w14:val="standardContextual"/>
        </w:rPr>
      </w:pPr>
      <w:proofErr w:type="spellStart"/>
      <w:r w:rsidRPr="007576F0">
        <w:rPr>
          <w:rFonts w:ascii="標楷體" w:eastAsia="標楷體" w:hAnsi="標楷體" w:hint="eastAsia"/>
          <w:kern w:val="2"/>
          <w:szCs w:val="24"/>
          <w14:ligatures w14:val="standardContextual"/>
        </w:rPr>
        <w:t>i.CTCAE</w:t>
      </w:r>
      <w:proofErr w:type="spellEnd"/>
      <w:r w:rsidRPr="007576F0">
        <w:rPr>
          <w:rFonts w:ascii="標楷體" w:eastAsia="標楷體" w:hAnsi="標楷體" w:hint="eastAsia"/>
          <w:kern w:val="2"/>
          <w:szCs w:val="24"/>
          <w14:ligatures w14:val="standardContextual"/>
        </w:rPr>
        <w:t>(the common terminology criteria for adverse events) v4.0 grade</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2 audiometric hearing loss</w:t>
      </w:r>
    </w:p>
    <w:p w14:paraId="7C236E29" w14:textId="77777777" w:rsidR="007576F0" w:rsidRPr="007576F0" w:rsidRDefault="007576F0" w:rsidP="007576F0">
      <w:pPr>
        <w:tabs>
          <w:tab w:val="left" w:pos="1185"/>
        </w:tabs>
        <w:suppressAutoHyphens w:val="0"/>
        <w:autoSpaceDN/>
        <w:spacing w:line="300" w:lineRule="exact"/>
        <w:ind w:left="1985" w:hanging="284"/>
        <w:jc w:val="both"/>
        <w:textAlignment w:val="auto"/>
        <w:rPr>
          <w:rFonts w:ascii="Aptos" w:hAnsi="Aptos" w:hint="eastAsia"/>
          <w:kern w:val="2"/>
          <w:szCs w:val="24"/>
          <w14:ligatures w14:val="standardContextual"/>
        </w:rPr>
      </w:pPr>
      <w:r w:rsidRPr="007576F0">
        <w:rPr>
          <w:rFonts w:ascii="新細明體" w:hAnsi="新細明體" w:cs="新細明體" w:hint="eastAsia"/>
          <w:kern w:val="2"/>
          <w:szCs w:val="24"/>
          <w14:ligatures w14:val="standardContextual"/>
        </w:rPr>
        <w:lastRenderedPageBreak/>
        <w:t>ⅱ</w:t>
      </w:r>
      <w:r w:rsidRPr="007576F0">
        <w:rPr>
          <w:rFonts w:ascii="標楷體" w:eastAsia="標楷體" w:hAnsi="標楷體" w:hint="eastAsia"/>
          <w:kern w:val="2"/>
          <w:szCs w:val="24"/>
          <w14:ligatures w14:val="standardContextual"/>
        </w:rPr>
        <w:t>.CTCAE v4.0 grade</w:t>
      </w:r>
      <w:proofErr w:type="gramStart"/>
      <w:r w:rsidRPr="007576F0">
        <w:rPr>
          <w:rFonts w:ascii="標楷體" w:eastAsia="標楷體" w:hAnsi="標楷體" w:hint="eastAsia"/>
          <w:kern w:val="2"/>
          <w:szCs w:val="24"/>
          <w14:ligatures w14:val="standardContextual"/>
        </w:rPr>
        <w:t>≧</w:t>
      </w:r>
      <w:proofErr w:type="gramEnd"/>
      <w:r w:rsidRPr="007576F0">
        <w:rPr>
          <w:rFonts w:ascii="標楷體" w:eastAsia="標楷體" w:hAnsi="標楷體" w:hint="eastAsia"/>
          <w:kern w:val="2"/>
          <w:szCs w:val="24"/>
          <w14:ligatures w14:val="standardContextual"/>
        </w:rPr>
        <w:t>2 peripheral neuropathy</w:t>
      </w:r>
    </w:p>
    <w:p w14:paraId="7646171F" w14:textId="77777777" w:rsidR="007576F0" w:rsidRPr="007576F0" w:rsidRDefault="007576F0" w:rsidP="007576F0">
      <w:pPr>
        <w:tabs>
          <w:tab w:val="left" w:pos="1185"/>
        </w:tabs>
        <w:suppressAutoHyphens w:val="0"/>
        <w:autoSpaceDN/>
        <w:spacing w:line="300" w:lineRule="exact"/>
        <w:ind w:left="1985" w:hanging="284"/>
        <w:jc w:val="both"/>
        <w:textAlignment w:val="auto"/>
        <w:rPr>
          <w:rFonts w:ascii="Aptos" w:hAnsi="Aptos" w:hint="eastAsia"/>
          <w:kern w:val="2"/>
          <w:szCs w:val="24"/>
          <w14:ligatures w14:val="standardContextual"/>
        </w:rPr>
      </w:pPr>
      <w:r w:rsidRPr="007576F0">
        <w:rPr>
          <w:rFonts w:ascii="新細明體" w:hAnsi="新細明體" w:cs="新細明體" w:hint="eastAsia"/>
          <w:kern w:val="2"/>
          <w:szCs w:val="24"/>
          <w14:ligatures w14:val="standardContextual"/>
        </w:rPr>
        <w:t>ⅲ</w:t>
      </w:r>
      <w:r w:rsidRPr="007576F0">
        <w:rPr>
          <w:rFonts w:ascii="標楷體" w:eastAsia="標楷體" w:hAnsi="標楷體" w:hint="eastAsia"/>
          <w:kern w:val="2"/>
          <w:szCs w:val="24"/>
          <w14:ligatures w14:val="standardContextual"/>
        </w:rPr>
        <w:t>.</w:t>
      </w:r>
      <w:proofErr w:type="gramStart"/>
      <w:r w:rsidRPr="007576F0">
        <w:rPr>
          <w:rFonts w:ascii="標楷體" w:eastAsia="標楷體" w:hAnsi="標楷體" w:hint="eastAsia"/>
          <w:kern w:val="2"/>
          <w:szCs w:val="24"/>
          <w14:ligatures w14:val="standardContextual"/>
        </w:rPr>
        <w:t>CIRS(</w:t>
      </w:r>
      <w:proofErr w:type="gramEnd"/>
      <w:r w:rsidRPr="007576F0">
        <w:rPr>
          <w:rFonts w:ascii="標楷體" w:eastAsia="標楷體" w:hAnsi="標楷體" w:hint="eastAsia"/>
          <w:kern w:val="2"/>
          <w:szCs w:val="24"/>
          <w14:ligatures w14:val="standardContextual"/>
        </w:rPr>
        <w:t>the cumulative illness rating scale) score &gt;6</w:t>
      </w:r>
    </w:p>
    <w:p w14:paraId="79F206C1"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Aptos" w:hAnsi="Aptos" w:hint="eastAsia"/>
          <w:kern w:val="2"/>
          <w:szCs w:val="24"/>
          <w14:ligatures w14:val="standardContextual"/>
        </w:rPr>
      </w:pPr>
      <w:r w:rsidRPr="007576F0">
        <w:rPr>
          <w:rFonts w:ascii="標楷體" w:eastAsia="標楷體" w:hAnsi="標楷體" w:hint="eastAsia"/>
          <w:kern w:val="2"/>
          <w:szCs w:val="24"/>
          <w14:ligatures w14:val="standardContextual"/>
        </w:rPr>
        <w:t>IV.使用於早期</w:t>
      </w:r>
      <w:proofErr w:type="gramStart"/>
      <w:r w:rsidRPr="007576F0">
        <w:rPr>
          <w:rFonts w:ascii="標楷體" w:eastAsia="標楷體" w:hAnsi="標楷體" w:hint="eastAsia"/>
          <w:kern w:val="2"/>
          <w:szCs w:val="24"/>
          <w14:ligatures w14:val="standardContextual"/>
        </w:rPr>
        <w:t>三</w:t>
      </w:r>
      <w:proofErr w:type="gramEnd"/>
      <w:r w:rsidRPr="007576F0">
        <w:rPr>
          <w:rFonts w:ascii="標楷體" w:eastAsia="標楷體" w:hAnsi="標楷體" w:hint="eastAsia"/>
          <w:kern w:val="2"/>
          <w:szCs w:val="24"/>
          <w14:ligatures w14:val="standardContextual"/>
        </w:rPr>
        <w:t>陰性乳癌術後輔助治療時，須檢附於乳房和/或手術切除的淋巴結中發現有殘餘的侵襲性癌症(non-</w:t>
      </w:r>
      <w:proofErr w:type="spellStart"/>
      <w:r w:rsidRPr="007576F0">
        <w:rPr>
          <w:rFonts w:ascii="標楷體" w:eastAsia="標楷體" w:hAnsi="標楷體" w:hint="eastAsia"/>
          <w:kern w:val="2"/>
          <w:szCs w:val="24"/>
          <w14:ligatures w14:val="standardContextual"/>
        </w:rPr>
        <w:t>pCR</w:t>
      </w:r>
      <w:proofErr w:type="spellEnd"/>
      <w:r w:rsidRPr="007576F0">
        <w:rPr>
          <w:rFonts w:ascii="標楷體" w:eastAsia="標楷體" w:hAnsi="標楷體" w:hint="eastAsia"/>
          <w:kern w:val="2"/>
          <w:szCs w:val="24"/>
          <w14:ligatures w14:val="standardContextual"/>
        </w:rPr>
        <w:t>)佐證。(114/6/1)</w:t>
      </w:r>
    </w:p>
    <w:p w14:paraId="54FA1C1D" w14:textId="77777777" w:rsidR="007576F0" w:rsidRPr="007576F0" w:rsidRDefault="007576F0" w:rsidP="007576F0">
      <w:pPr>
        <w:tabs>
          <w:tab w:val="left" w:pos="1418"/>
        </w:tabs>
        <w:suppressAutoHyphens w:val="0"/>
        <w:autoSpaceDN/>
        <w:spacing w:line="300" w:lineRule="exact"/>
        <w:ind w:left="1418" w:hanging="141"/>
        <w:jc w:val="both"/>
        <w:textAlignment w:val="auto"/>
        <w:rPr>
          <w:rFonts w:ascii="Aptos" w:hAnsi="Aptos" w:hint="eastAsia"/>
          <w:kern w:val="2"/>
          <w:szCs w:val="24"/>
          <w14:ligatures w14:val="standardContextual"/>
        </w:rPr>
      </w:pPr>
      <w:r w:rsidRPr="007576F0">
        <w:rPr>
          <w:rFonts w:ascii="標楷體" w:eastAsia="標楷體" w:hAnsi="標楷體" w:cs="新細明體" w:hint="eastAsia"/>
          <w:kern w:val="0"/>
          <w:szCs w:val="24"/>
          <w14:ligatures w14:val="standardContextual"/>
        </w:rPr>
        <w:t>Ⅴ其他佐證病歷資料。</w:t>
      </w:r>
    </w:p>
    <w:p w14:paraId="1A156412" w14:textId="77777777" w:rsidR="007576F0" w:rsidRPr="007576F0" w:rsidRDefault="007576F0" w:rsidP="007576F0">
      <w:pPr>
        <w:tabs>
          <w:tab w:val="left" w:pos="710"/>
        </w:tabs>
        <w:suppressAutoHyphens w:val="0"/>
        <w:autoSpaceDN/>
        <w:spacing w:line="300" w:lineRule="exact"/>
        <w:ind w:left="991" w:hanging="422"/>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4.登錄與結案作業：(109/11/1、114/1/1</w:t>
      </w:r>
      <w:proofErr w:type="gramStart"/>
      <w:r w:rsidRPr="007576F0">
        <w:rPr>
          <w:rFonts w:ascii="標楷體" w:eastAsia="標楷體" w:hAnsi="標楷體" w:hint="eastAsia"/>
          <w:kern w:val="2"/>
          <w:szCs w:val="24"/>
          <w14:ligatures w14:val="standardContextual"/>
        </w:rPr>
        <w:t>）</w:t>
      </w:r>
      <w:proofErr w:type="gramEnd"/>
    </w:p>
    <w:p w14:paraId="41ACD0B8" w14:textId="77777777" w:rsidR="007576F0" w:rsidRPr="007576F0" w:rsidRDefault="007576F0" w:rsidP="007576F0">
      <w:pPr>
        <w:tabs>
          <w:tab w:val="left" w:pos="1185"/>
        </w:tabs>
        <w:suppressAutoHyphens w:val="0"/>
        <w:autoSpaceDN/>
        <w:spacing w:line="300" w:lineRule="exact"/>
        <w:ind w:left="1291" w:hanging="440"/>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(1)醫師處方</w:t>
      </w:r>
      <w:proofErr w:type="gramStart"/>
      <w:r w:rsidRPr="007576F0">
        <w:rPr>
          <w:rFonts w:ascii="標楷體" w:eastAsia="標楷體" w:hAnsi="標楷體" w:hint="eastAsia"/>
          <w:kern w:val="2"/>
          <w:szCs w:val="24"/>
          <w14:ligatures w14:val="standardContextual"/>
        </w:rPr>
        <w:t>使用本類藥品</w:t>
      </w:r>
      <w:proofErr w:type="gramEnd"/>
      <w:r w:rsidRPr="007576F0">
        <w:rPr>
          <w:rFonts w:ascii="標楷體" w:eastAsia="標楷體" w:hAnsi="標楷體" w:hint="eastAsia"/>
          <w:kern w:val="2"/>
          <w:szCs w:val="24"/>
          <w14:ligatures w14:val="standardContextual"/>
        </w:rPr>
        <w:t>，倘病人結束治療、停止用藥、未通過續用申請或達給付時程期限時，</w:t>
      </w:r>
      <w:proofErr w:type="gramStart"/>
      <w:r w:rsidRPr="007576F0">
        <w:rPr>
          <w:rFonts w:ascii="標楷體" w:eastAsia="標楷體" w:hAnsi="標楷體" w:hint="eastAsia"/>
          <w:kern w:val="2"/>
          <w:szCs w:val="24"/>
          <w14:ligatures w14:val="standardContextual"/>
        </w:rPr>
        <w:t>醫</w:t>
      </w:r>
      <w:proofErr w:type="gramEnd"/>
      <w:r w:rsidRPr="007576F0">
        <w:rPr>
          <w:rFonts w:ascii="標楷體" w:eastAsia="標楷體" w:hAnsi="標楷體" w:hint="eastAsia"/>
          <w:kern w:val="2"/>
          <w:szCs w:val="24"/>
          <w14:ligatures w14:val="standardContextual"/>
        </w:rPr>
        <w:t>事機構須在28天內於VPN系統登錄結案。逾期未登錄結案者，系統自動結案，且不予支付該個案自前次事前審查核定日後申報之藥費。(109/11/1、114/1/1)</w:t>
      </w:r>
    </w:p>
    <w:p w14:paraId="1DCFF5F1" w14:textId="77777777" w:rsidR="007576F0" w:rsidRPr="007576F0" w:rsidRDefault="007576F0" w:rsidP="007576F0">
      <w:pPr>
        <w:tabs>
          <w:tab w:val="left" w:pos="1185"/>
        </w:tabs>
        <w:suppressAutoHyphens w:val="0"/>
        <w:autoSpaceDN/>
        <w:spacing w:line="300" w:lineRule="exact"/>
        <w:ind w:left="1291" w:hanging="440"/>
        <w:jc w:val="both"/>
        <w:textAlignment w:val="auto"/>
        <w:rPr>
          <w:rFonts w:ascii="標楷體" w:eastAsia="標楷體" w:hAnsi="標楷體"/>
          <w:kern w:val="2"/>
          <w:szCs w:val="24"/>
          <w14:ligatures w14:val="standardContextual"/>
        </w:rPr>
      </w:pPr>
      <w:r w:rsidRPr="007576F0">
        <w:rPr>
          <w:rFonts w:ascii="標楷體" w:eastAsia="標楷體" w:hAnsi="標楷體" w:hint="eastAsia"/>
          <w:kern w:val="2"/>
          <w:szCs w:val="24"/>
          <w14:ligatures w14:val="standardContextual"/>
        </w:rPr>
        <w:t>(2)已結案者自結案日後不予支付藥費。</w:t>
      </w:r>
    </w:p>
    <w:p w14:paraId="4E1AE2E3"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9.70.</w:t>
      </w:r>
      <w:bookmarkEnd w:id="52"/>
      <w:r w:rsidRPr="007576F0">
        <w:rPr>
          <w:rFonts w:ascii="標楷體" w:eastAsia="標楷體" w:hAnsi="標楷體"/>
          <w:color w:val="000000"/>
        </w:rPr>
        <w:t xml:space="preserve"> </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(如Perjeta)：(108/5/1、108/12/1、112/8/1、113/12/1、114/1/1、114/5/1、114/12/1)</w:t>
      </w:r>
    </w:p>
    <w:p w14:paraId="787EEB1D" w14:textId="77777777" w:rsidR="007576F0" w:rsidRPr="007576F0" w:rsidRDefault="007576F0" w:rsidP="007576F0">
      <w:pPr>
        <w:spacing w:line="300" w:lineRule="exact"/>
        <w:ind w:left="806" w:hanging="240"/>
        <w:rPr>
          <w:rFonts w:ascii="標楷體" w:eastAsia="標楷體" w:hAnsi="標楷體"/>
          <w:color w:val="000000"/>
        </w:rPr>
      </w:pPr>
      <w:r w:rsidRPr="007576F0">
        <w:rPr>
          <w:rFonts w:ascii="標楷體" w:eastAsia="標楷體" w:hAnsi="標楷體"/>
          <w:color w:val="000000"/>
        </w:rPr>
        <w:t>1.本藥品與trastuzumab及化學療法</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用於具HER2過度表現（IHC3+或FISH+），且具腋下淋巴結轉移但無遠處臟器轉移之早期乳癌病人（113/12/1、114/5/1、114/12/1）</w:t>
      </w:r>
    </w:p>
    <w:p w14:paraId="380EB0C5" w14:textId="77777777" w:rsidR="007576F0" w:rsidRPr="007576F0" w:rsidRDefault="007576F0" w:rsidP="007576F0">
      <w:pPr>
        <w:spacing w:line="300" w:lineRule="exact"/>
        <w:ind w:left="1166" w:hanging="600"/>
        <w:rPr>
          <w:rFonts w:ascii="標楷體" w:eastAsia="標楷體" w:hAnsi="標楷體"/>
          <w:color w:val="000000"/>
        </w:rPr>
      </w:pPr>
      <w:r w:rsidRPr="007576F0">
        <w:rPr>
          <w:rFonts w:ascii="標楷體" w:eastAsia="標楷體" w:hAnsi="標楷體"/>
          <w:color w:val="000000"/>
        </w:rPr>
        <w:t xml:space="preserve">  (1)</w:t>
      </w:r>
      <w:proofErr w:type="gramStart"/>
      <w:r w:rsidRPr="007576F0">
        <w:rPr>
          <w:rFonts w:ascii="標楷體" w:eastAsia="標楷體" w:hAnsi="標楷體"/>
          <w:color w:val="000000"/>
        </w:rPr>
        <w:t>使用於術前</w:t>
      </w:r>
      <w:proofErr w:type="gramEnd"/>
      <w:r w:rsidRPr="007576F0">
        <w:rPr>
          <w:rFonts w:ascii="標楷體" w:eastAsia="標楷體" w:hAnsi="標楷體"/>
          <w:color w:val="000000"/>
        </w:rPr>
        <w:t>輔助治療，經外科手術後達病理上</w:t>
      </w:r>
      <w:proofErr w:type="gramStart"/>
      <w:r w:rsidRPr="007576F0">
        <w:rPr>
          <w:rFonts w:ascii="標楷體" w:eastAsia="標楷體" w:hAnsi="標楷體"/>
          <w:color w:val="000000"/>
        </w:rPr>
        <w:t>完全緩解者</w:t>
      </w:r>
      <w:proofErr w:type="gramEnd"/>
      <w:r w:rsidRPr="007576F0">
        <w:rPr>
          <w:rFonts w:ascii="標楷體" w:eastAsia="標楷體" w:hAnsi="標楷體"/>
          <w:color w:val="000000"/>
        </w:rPr>
        <w:t>（</w:t>
      </w:r>
      <w:proofErr w:type="spellStart"/>
      <w:r w:rsidRPr="007576F0">
        <w:rPr>
          <w:rFonts w:ascii="標楷體" w:eastAsia="標楷體" w:hAnsi="標楷體"/>
          <w:color w:val="000000"/>
        </w:rPr>
        <w:t>pCR</w:t>
      </w:r>
      <w:proofErr w:type="spellEnd"/>
      <w:r w:rsidRPr="007576F0">
        <w:rPr>
          <w:rFonts w:ascii="標楷體" w:eastAsia="標楷體" w:hAnsi="標楷體"/>
          <w:color w:val="000000"/>
        </w:rPr>
        <w:t>），得繼續使用至18個療程為上限。</w:t>
      </w:r>
    </w:p>
    <w:p w14:paraId="26A04B83" w14:textId="77777777" w:rsidR="007576F0" w:rsidRPr="007576F0" w:rsidRDefault="007576F0" w:rsidP="007576F0">
      <w:pPr>
        <w:spacing w:line="300" w:lineRule="exact"/>
        <w:ind w:left="1166" w:hanging="600"/>
        <w:rPr>
          <w:rFonts w:ascii="標楷體" w:eastAsia="標楷體" w:hAnsi="標楷體"/>
          <w:color w:val="000000"/>
        </w:rPr>
      </w:pPr>
      <w:r w:rsidRPr="007576F0">
        <w:rPr>
          <w:rFonts w:ascii="標楷體" w:eastAsia="標楷體" w:hAnsi="標楷體"/>
          <w:color w:val="000000"/>
        </w:rPr>
        <w:t xml:space="preserve">  (2)若未接受術前輔助治療，即先行手術者，可給予術後輔助治療，以18個療程為使用上限。</w:t>
      </w:r>
    </w:p>
    <w:p w14:paraId="6E7DA12D" w14:textId="77777777" w:rsidR="007576F0" w:rsidRPr="007576F0" w:rsidRDefault="007576F0" w:rsidP="007576F0">
      <w:pPr>
        <w:spacing w:line="300" w:lineRule="exact"/>
        <w:ind w:left="1260" w:hanging="408"/>
        <w:rPr>
          <w:rFonts w:ascii="標楷體" w:eastAsia="標楷體" w:hAnsi="標楷體"/>
          <w:color w:val="000000"/>
        </w:rPr>
      </w:pPr>
      <w:r w:rsidRPr="007576F0">
        <w:rPr>
          <w:rFonts w:ascii="標楷體" w:eastAsia="標楷體" w:hAnsi="標楷體"/>
          <w:color w:val="000000"/>
        </w:rPr>
        <w:t>(3)下列</w:t>
      </w:r>
      <w:proofErr w:type="gramStart"/>
      <w:r w:rsidRPr="007576F0">
        <w:rPr>
          <w:rFonts w:ascii="標楷體" w:eastAsia="標楷體" w:hAnsi="標楷體"/>
          <w:color w:val="000000"/>
        </w:rPr>
        <w:t>Ｉ</w:t>
      </w:r>
      <w:proofErr w:type="gramEnd"/>
      <w:r w:rsidRPr="007576F0">
        <w:rPr>
          <w:rFonts w:ascii="標楷體" w:eastAsia="標楷體" w:hAnsi="標楷體"/>
          <w:color w:val="000000"/>
        </w:rPr>
        <w:t>~Ⅲ使用於外科手術前後之總療程合併計算，依藥品仿單記載以18個療程為上限：</w:t>
      </w:r>
    </w:p>
    <w:p w14:paraId="649D2B37"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proofErr w:type="gramStart"/>
      <w:r w:rsidRPr="007576F0">
        <w:rPr>
          <w:rFonts w:ascii="標楷體" w:eastAsia="標楷體" w:hAnsi="標楷體"/>
          <w:color w:val="000000"/>
        </w:rPr>
        <w:t>Ｉ</w:t>
      </w:r>
      <w:proofErr w:type="gramEnd"/>
      <w:r w:rsidRPr="007576F0">
        <w:rPr>
          <w:rFonts w:ascii="標楷體" w:eastAsia="標楷體" w:hAnsi="標楷體"/>
          <w:color w:val="000000"/>
        </w:rPr>
        <w:t>：</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7C8FBE29"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Ⅱ：trastuzumab</w:t>
      </w:r>
    </w:p>
    <w:p w14:paraId="317F1B4A"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Ⅲ：</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與trastuzumab皮下注射複方製劑(如</w:t>
      </w:r>
      <w:proofErr w:type="spellStart"/>
      <w:r w:rsidRPr="007576F0">
        <w:rPr>
          <w:rFonts w:ascii="標楷體" w:eastAsia="標楷體" w:hAnsi="標楷體"/>
          <w:color w:val="000000"/>
        </w:rPr>
        <w:t>Phesgo</w:t>
      </w:r>
      <w:proofErr w:type="spellEnd"/>
      <w:r w:rsidRPr="007576F0">
        <w:rPr>
          <w:rFonts w:ascii="標楷體" w:eastAsia="標楷體" w:hAnsi="標楷體"/>
          <w:color w:val="000000"/>
        </w:rPr>
        <w:t>)</w:t>
      </w:r>
    </w:p>
    <w:p w14:paraId="7446AB0A" w14:textId="77777777" w:rsidR="007576F0" w:rsidRPr="007576F0" w:rsidRDefault="007576F0" w:rsidP="007576F0">
      <w:pPr>
        <w:spacing w:line="300" w:lineRule="exact"/>
        <w:ind w:left="1260" w:hanging="408"/>
        <w:rPr>
          <w:rFonts w:ascii="標楷體" w:eastAsia="標楷體" w:hAnsi="標楷體"/>
          <w:color w:val="000000"/>
        </w:rPr>
      </w:pPr>
      <w:r w:rsidRPr="007576F0">
        <w:rPr>
          <w:rFonts w:ascii="標楷體" w:eastAsia="標楷體" w:hAnsi="標楷體"/>
          <w:color w:val="000000"/>
        </w:rPr>
        <w:t>(4)須經事前審查核准後使用，核准後每24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須檢附療效評估資料再次申請，若疾病有惡化情形即不應再行申請。（113/12/1、114/5/1）</w:t>
      </w:r>
    </w:p>
    <w:p w14:paraId="561C9192" w14:textId="77777777" w:rsidR="007576F0" w:rsidRPr="007576F0" w:rsidRDefault="007576F0" w:rsidP="007576F0">
      <w:pPr>
        <w:spacing w:line="300" w:lineRule="exact"/>
        <w:ind w:left="566"/>
        <w:rPr>
          <w:rFonts w:ascii="標楷體" w:eastAsia="標楷體" w:hAnsi="標楷體"/>
          <w:color w:val="000000"/>
        </w:rPr>
      </w:pPr>
      <w:r w:rsidRPr="007576F0">
        <w:rPr>
          <w:rFonts w:ascii="標楷體" w:eastAsia="標楷體" w:hAnsi="標楷體"/>
          <w:color w:val="000000"/>
        </w:rPr>
        <w:t>2.轉移性乳癌(108/5/1、108/12/1、112/8/1、113/12/1)</w:t>
      </w:r>
    </w:p>
    <w:p w14:paraId="21098075" w14:textId="77777777" w:rsidR="007576F0" w:rsidRPr="007576F0" w:rsidRDefault="007576F0" w:rsidP="007576F0">
      <w:pPr>
        <w:spacing w:line="300" w:lineRule="exact"/>
        <w:ind w:left="1260" w:hanging="408"/>
        <w:rPr>
          <w:rFonts w:ascii="標楷體" w:eastAsia="標楷體" w:hAnsi="標楷體"/>
          <w:color w:val="000000"/>
        </w:rPr>
      </w:pPr>
      <w:r w:rsidRPr="007576F0">
        <w:rPr>
          <w:rFonts w:ascii="標楷體" w:eastAsia="標楷體" w:hAnsi="標楷體"/>
          <w:color w:val="000000"/>
        </w:rPr>
        <w:t>(1)</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與trastuzumab及docetaxel</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用於治療轉移後未曾以抗HER2或化學療法治療之HER2過度表現(IHC3+或FISH+)轉移性乳癌病人。(108/12/1、112/8/1)</w:t>
      </w:r>
    </w:p>
    <w:p w14:paraId="0491C9FF" w14:textId="77777777" w:rsidR="007576F0" w:rsidRPr="007576F0" w:rsidRDefault="007576F0" w:rsidP="007576F0">
      <w:pPr>
        <w:spacing w:line="300" w:lineRule="exact"/>
        <w:ind w:left="1260" w:hanging="408"/>
        <w:rPr>
          <w:rFonts w:ascii="標楷體" w:eastAsia="標楷體" w:hAnsi="標楷體"/>
          <w:color w:val="000000"/>
        </w:rPr>
      </w:pPr>
      <w:r w:rsidRPr="007576F0">
        <w:rPr>
          <w:rFonts w:ascii="標楷體" w:eastAsia="標楷體" w:hAnsi="標楷體"/>
          <w:color w:val="000000"/>
        </w:rPr>
        <w:t>(2)須經事前審查核准後使用，核准後每18</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須檢附療效評估資料再次申請，若疾病有惡化情形即不應再行申請，每位病人至多給付18個月為限。(108/5/1)</w:t>
      </w:r>
    </w:p>
    <w:p w14:paraId="67FEE5AB" w14:textId="77777777" w:rsidR="007576F0" w:rsidRPr="007576F0" w:rsidRDefault="007576F0" w:rsidP="007576F0">
      <w:pPr>
        <w:spacing w:line="300" w:lineRule="exact"/>
        <w:ind w:left="1260" w:hanging="408"/>
        <w:rPr>
          <w:rFonts w:ascii="標楷體" w:eastAsia="標楷體" w:hAnsi="標楷體"/>
          <w:color w:val="000000"/>
        </w:rPr>
      </w:pPr>
      <w:r w:rsidRPr="007576F0">
        <w:rPr>
          <w:rFonts w:ascii="標楷體" w:eastAsia="標楷體" w:hAnsi="標楷體"/>
          <w:color w:val="000000"/>
        </w:rPr>
        <w:t>(3)下列</w:t>
      </w:r>
      <w:proofErr w:type="gramStart"/>
      <w:r w:rsidRPr="007576F0">
        <w:rPr>
          <w:rFonts w:ascii="標楷體" w:eastAsia="標楷體" w:hAnsi="標楷體"/>
          <w:color w:val="000000"/>
        </w:rPr>
        <w:t>Ｉ</w:t>
      </w:r>
      <w:proofErr w:type="gramEnd"/>
      <w:r w:rsidRPr="007576F0">
        <w:rPr>
          <w:rFonts w:ascii="標楷體" w:eastAsia="標楷體" w:hAnsi="標楷體"/>
          <w:color w:val="000000"/>
        </w:rPr>
        <w:t>~Ⅱ使用於轉移性乳癌總療程合併計算，以全部18個月為上限(113/12/1)：</w:t>
      </w:r>
    </w:p>
    <w:p w14:paraId="38BDCD81"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proofErr w:type="gramStart"/>
      <w:r w:rsidRPr="007576F0">
        <w:rPr>
          <w:rFonts w:ascii="標楷體" w:eastAsia="標楷體" w:hAnsi="標楷體"/>
          <w:color w:val="000000"/>
        </w:rPr>
        <w:t>Ｉ</w:t>
      </w:r>
      <w:proofErr w:type="gramEnd"/>
      <w:r w:rsidRPr="007576F0">
        <w:rPr>
          <w:rFonts w:ascii="標楷體" w:eastAsia="標楷體" w:hAnsi="標楷體"/>
          <w:color w:val="000000"/>
        </w:rPr>
        <w:t>：</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6481956B" w14:textId="77777777" w:rsidR="007576F0" w:rsidRPr="007576F0" w:rsidRDefault="007576F0" w:rsidP="007576F0">
      <w:pPr>
        <w:tabs>
          <w:tab w:val="left" w:pos="1418"/>
        </w:tabs>
        <w:spacing w:line="300" w:lineRule="exact"/>
        <w:ind w:left="1291" w:hanging="245"/>
        <w:rPr>
          <w:rFonts w:ascii="標楷體" w:eastAsia="標楷體" w:hAnsi="標楷體"/>
          <w:color w:val="000000"/>
        </w:rPr>
      </w:pPr>
      <w:r w:rsidRPr="007576F0">
        <w:rPr>
          <w:rFonts w:ascii="標楷體" w:eastAsia="標楷體" w:hAnsi="標楷體"/>
          <w:color w:val="000000"/>
        </w:rPr>
        <w:t>Ⅱ：</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與trastuzumab皮下注射複方製劑(如</w:t>
      </w:r>
      <w:proofErr w:type="spellStart"/>
      <w:r w:rsidRPr="007576F0">
        <w:rPr>
          <w:rFonts w:ascii="標楷體" w:eastAsia="標楷體" w:hAnsi="標楷體"/>
          <w:color w:val="000000"/>
        </w:rPr>
        <w:t>Phesgo</w:t>
      </w:r>
      <w:proofErr w:type="spellEnd"/>
      <w:r w:rsidRPr="007576F0">
        <w:rPr>
          <w:rFonts w:ascii="標楷體" w:eastAsia="標楷體" w:hAnsi="標楷體"/>
          <w:color w:val="000000"/>
        </w:rPr>
        <w:t>)</w:t>
      </w:r>
    </w:p>
    <w:p w14:paraId="5A4E159E" w14:textId="77777777" w:rsidR="007576F0" w:rsidRPr="007576F0" w:rsidRDefault="007576F0" w:rsidP="007576F0">
      <w:pPr>
        <w:spacing w:line="300" w:lineRule="exact"/>
        <w:ind w:left="851"/>
        <w:rPr>
          <w:rFonts w:ascii="標楷體" w:eastAsia="標楷體" w:hAnsi="標楷體"/>
          <w:color w:val="000000"/>
        </w:rPr>
      </w:pPr>
      <w:r w:rsidRPr="007576F0">
        <w:rPr>
          <w:rFonts w:ascii="標楷體" w:eastAsia="標楷體" w:hAnsi="標楷體"/>
          <w:color w:val="000000"/>
        </w:rPr>
        <w:t>(4)先前於早期乳癌已使用</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用或使用</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與trastuzumab皮下注射複方製劑(如</w:t>
      </w:r>
      <w:proofErr w:type="spellStart"/>
      <w:r w:rsidRPr="007576F0">
        <w:rPr>
          <w:rFonts w:ascii="標楷體" w:eastAsia="標楷體" w:hAnsi="標楷體"/>
          <w:color w:val="000000"/>
        </w:rPr>
        <w:t>Phesgo</w:t>
      </w:r>
      <w:proofErr w:type="spellEnd"/>
      <w:r w:rsidRPr="007576F0">
        <w:rPr>
          <w:rFonts w:ascii="標楷體" w:eastAsia="標楷體" w:hAnsi="標楷體"/>
          <w:color w:val="000000"/>
        </w:rPr>
        <w:t>)者，不得再次申請</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用，惟於早期乳癌治療結束至首次疾病復發轉移時間超過12個月以上者得再次申請。(113/12/1)</w:t>
      </w:r>
    </w:p>
    <w:p w14:paraId="00A02FE2" w14:textId="77777777" w:rsidR="007576F0" w:rsidRPr="007576F0" w:rsidRDefault="007576F0" w:rsidP="007576F0">
      <w:pPr>
        <w:tabs>
          <w:tab w:val="left" w:pos="1418"/>
        </w:tabs>
        <w:spacing w:line="300" w:lineRule="exact"/>
        <w:ind w:left="567" w:hanging="228"/>
      </w:pPr>
      <w:bookmarkStart w:id="58" w:name="_Hlk75424822"/>
      <w:bookmarkStart w:id="59" w:name="_Hlk204092271"/>
      <w:r w:rsidRPr="007576F0">
        <w:rPr>
          <w:rFonts w:ascii="標楷體" w:eastAsia="標楷體" w:hAnsi="標楷體"/>
          <w:color w:val="000000"/>
        </w:rPr>
        <w:t>9.71.</w:t>
      </w:r>
      <w:bookmarkEnd w:id="58"/>
      <w:r w:rsidRPr="007576F0">
        <w:t xml:space="preserve"> </w:t>
      </w:r>
      <w:proofErr w:type="spellStart"/>
      <w:r w:rsidRPr="007576F0">
        <w:rPr>
          <w:rFonts w:ascii="標楷體" w:eastAsia="標楷體" w:hAnsi="標楷體"/>
          <w:color w:val="000000"/>
        </w:rPr>
        <w:t>Venetoclax</w:t>
      </w:r>
      <w:proofErr w:type="spellEnd"/>
      <w:r w:rsidRPr="007576F0">
        <w:rPr>
          <w:rFonts w:ascii="標楷體" w:eastAsia="標楷體" w:hAnsi="標楷體"/>
          <w:color w:val="000000"/>
        </w:rPr>
        <w:t xml:space="preserve"> (如</w:t>
      </w:r>
      <w:proofErr w:type="spellStart"/>
      <w:r w:rsidRPr="007576F0">
        <w:rPr>
          <w:rFonts w:ascii="標楷體" w:eastAsia="標楷體" w:hAnsi="標楷體"/>
          <w:color w:val="000000"/>
        </w:rPr>
        <w:t>Venclexta</w:t>
      </w:r>
      <w:proofErr w:type="spellEnd"/>
      <w:r w:rsidRPr="007576F0">
        <w:rPr>
          <w:rFonts w:ascii="標楷體" w:eastAsia="標楷體" w:hAnsi="標楷體"/>
          <w:color w:val="000000"/>
        </w:rPr>
        <w:t>)：(108/9/1、110/7/1、112/7/1</w:t>
      </w:r>
      <w:r w:rsidRPr="007576F0">
        <w:rPr>
          <w:rFonts w:ascii="標楷體" w:eastAsia="標楷體" w:hAnsi="標楷體" w:hint="eastAsia"/>
          <w:color w:val="000000"/>
        </w:rPr>
        <w:t>、114/8/1、114/10/1</w:t>
      </w:r>
      <w:r w:rsidRPr="007576F0">
        <w:rPr>
          <w:rFonts w:ascii="標楷體" w:eastAsia="標楷體" w:hAnsi="標楷體"/>
          <w:color w:val="000000"/>
        </w:rPr>
        <w:t>)</w:t>
      </w:r>
    </w:p>
    <w:p w14:paraId="1C59B0A5" w14:textId="77777777" w:rsidR="007576F0" w:rsidRPr="007576F0" w:rsidRDefault="007576F0" w:rsidP="007576F0">
      <w:pPr>
        <w:spacing w:line="300" w:lineRule="exact"/>
        <w:ind w:left="993" w:hanging="426"/>
        <w:rPr>
          <w:rFonts w:ascii="標楷體" w:eastAsia="標楷體" w:hAnsi="標楷體"/>
          <w:color w:val="000000"/>
        </w:rPr>
      </w:pPr>
      <w:r w:rsidRPr="007576F0">
        <w:rPr>
          <w:rFonts w:ascii="標楷體" w:eastAsia="標楷體" w:hAnsi="標楷體"/>
          <w:color w:val="000000"/>
        </w:rPr>
        <w:t>1.單獨使用於具有17p 缺失的慢性淋巴球性白血病(CLL) 成年患者。</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108/9/1、112/7/1</w:t>
      </w:r>
      <w:r w:rsidRPr="007576F0">
        <w:rPr>
          <w:rFonts w:ascii="標楷體" w:eastAsia="標楷體" w:hAnsi="標楷體" w:hint="eastAsia"/>
          <w:color w:val="000000"/>
        </w:rPr>
        <w:t>、114/10/1</w:t>
      </w:r>
      <w:r w:rsidRPr="007576F0">
        <w:rPr>
          <w:rFonts w:ascii="標楷體" w:eastAsia="標楷體" w:hAnsi="標楷體"/>
          <w:color w:val="000000"/>
        </w:rPr>
        <w:t>)</w:t>
      </w:r>
    </w:p>
    <w:p w14:paraId="37DA5E9E"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(1)限先前曾接受至少1種包括alkylating agent與anti-CD20 (如R-CVP、R-CHOP、rituximab加</w:t>
      </w:r>
      <w:proofErr w:type="spellStart"/>
      <w:r w:rsidRPr="007576F0">
        <w:rPr>
          <w:rFonts w:ascii="標楷體" w:eastAsia="標楷體" w:hAnsi="標楷體"/>
          <w:color w:val="000000"/>
        </w:rPr>
        <w:t>bendamustine</w:t>
      </w:r>
      <w:proofErr w:type="spellEnd"/>
      <w:r w:rsidRPr="007576F0">
        <w:rPr>
          <w:rFonts w:ascii="標楷體" w:eastAsia="標楷體" w:hAnsi="標楷體"/>
          <w:color w:val="000000"/>
        </w:rPr>
        <w:t>等)的治療2個療程以上仍惡化或復發者。</w:t>
      </w:r>
    </w:p>
    <w:p w14:paraId="4F6CACF9" w14:textId="77777777" w:rsidR="007576F0" w:rsidRPr="007576F0" w:rsidRDefault="007576F0" w:rsidP="007576F0">
      <w:pPr>
        <w:spacing w:line="300" w:lineRule="exact"/>
        <w:ind w:leftChars="381" w:left="914"/>
        <w:rPr>
          <w:rFonts w:ascii="標楷體" w:eastAsia="標楷體" w:hAnsi="標楷體"/>
          <w:color w:val="000000"/>
        </w:rPr>
      </w:pPr>
      <w:r w:rsidRPr="007576F0">
        <w:rPr>
          <w:rFonts w:ascii="標楷體" w:eastAsia="標楷體" w:hAnsi="標楷體"/>
          <w:color w:val="000000"/>
        </w:rPr>
        <w:t>(2)開始使用前之疾病狀態需出現下列任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情形：</w:t>
      </w:r>
    </w:p>
    <w:p w14:paraId="1734BF40" w14:textId="77777777" w:rsidR="007576F0" w:rsidRPr="007576F0" w:rsidRDefault="007576F0" w:rsidP="007576F0">
      <w:pPr>
        <w:spacing w:line="300" w:lineRule="exact"/>
        <w:ind w:leftChars="558" w:left="1699" w:hangingChars="150" w:hanging="360"/>
        <w:rPr>
          <w:rFonts w:ascii="標楷體" w:eastAsia="標楷體" w:hAnsi="標楷體"/>
          <w:color w:val="000000"/>
        </w:rPr>
      </w:pPr>
      <w:r w:rsidRPr="007576F0">
        <w:rPr>
          <w:rFonts w:ascii="標楷體" w:eastAsia="標楷體" w:hAnsi="標楷體"/>
          <w:color w:val="000000"/>
        </w:rPr>
        <w:lastRenderedPageBreak/>
        <w:t>Ⅰ.進行性的血液相惡化至Hb&lt; 10.0gm/dL或PLT&lt;100K/</w:t>
      </w:r>
      <w:proofErr w:type="spellStart"/>
      <w:r w:rsidRPr="007576F0">
        <w:rPr>
          <w:rFonts w:ascii="標楷體" w:eastAsia="標楷體" w:hAnsi="標楷體"/>
          <w:color w:val="000000"/>
        </w:rPr>
        <w:t>uL</w:t>
      </w:r>
      <w:proofErr w:type="spellEnd"/>
      <w:r w:rsidRPr="007576F0">
        <w:rPr>
          <w:rFonts w:ascii="標楷體" w:eastAsia="標楷體" w:hAnsi="標楷體"/>
          <w:color w:val="000000"/>
        </w:rPr>
        <w:t>，且無其他原因可以解釋。</w:t>
      </w:r>
    </w:p>
    <w:p w14:paraId="5D99B837" w14:textId="77777777" w:rsidR="007576F0" w:rsidRPr="007576F0" w:rsidRDefault="007576F0" w:rsidP="007576F0">
      <w:pPr>
        <w:spacing w:line="300" w:lineRule="exact"/>
        <w:ind w:leftChars="558" w:left="1339"/>
        <w:rPr>
          <w:rFonts w:ascii="標楷體" w:eastAsia="標楷體" w:hAnsi="標楷體"/>
          <w:color w:val="000000"/>
        </w:rPr>
      </w:pPr>
      <w:r w:rsidRPr="007576F0">
        <w:rPr>
          <w:rFonts w:ascii="標楷體" w:eastAsia="標楷體" w:hAnsi="標楷體"/>
          <w:color w:val="000000"/>
        </w:rPr>
        <w:t>Ⅱ.脾臟腫大超過左肋骨下緣6cm。</w:t>
      </w:r>
    </w:p>
    <w:p w14:paraId="6D3CF822" w14:textId="77777777" w:rsidR="007576F0" w:rsidRPr="007576F0" w:rsidRDefault="007576F0" w:rsidP="007576F0">
      <w:pPr>
        <w:spacing w:line="300" w:lineRule="exact"/>
        <w:ind w:leftChars="558" w:left="1339"/>
        <w:rPr>
          <w:rFonts w:ascii="標楷體" w:eastAsia="標楷體" w:hAnsi="標楷體"/>
          <w:color w:val="000000"/>
        </w:rPr>
      </w:pPr>
      <w:r w:rsidRPr="007576F0">
        <w:rPr>
          <w:rFonts w:ascii="標楷體" w:eastAsia="標楷體" w:hAnsi="標楷體"/>
          <w:color w:val="000000"/>
        </w:rPr>
        <w:t>Ⅲ.淋巴結腫大，最長徑超過10cm。</w:t>
      </w:r>
    </w:p>
    <w:p w14:paraId="57082E9B" w14:textId="77777777" w:rsidR="007576F0" w:rsidRPr="007576F0" w:rsidRDefault="007576F0" w:rsidP="007576F0">
      <w:pPr>
        <w:spacing w:line="300" w:lineRule="exact"/>
        <w:ind w:leftChars="558" w:left="1699" w:hangingChars="150" w:hanging="360"/>
        <w:rPr>
          <w:rFonts w:ascii="標楷體" w:eastAsia="標楷體" w:hAnsi="標楷體"/>
          <w:color w:val="000000"/>
        </w:rPr>
      </w:pPr>
      <w:r w:rsidRPr="007576F0">
        <w:rPr>
          <w:rFonts w:ascii="標楷體" w:eastAsia="標楷體" w:hAnsi="標楷體"/>
          <w:color w:val="000000"/>
        </w:rPr>
        <w:t>Ⅳ.周邊血液淋巴球在2個月內增加50%以上，或倍增時間(doubling time)小於6個月。</w:t>
      </w:r>
    </w:p>
    <w:p w14:paraId="6FF0CCB1" w14:textId="77777777" w:rsidR="007576F0" w:rsidRPr="007576F0" w:rsidRDefault="007576F0" w:rsidP="007576F0">
      <w:pPr>
        <w:spacing w:line="300" w:lineRule="exact"/>
        <w:ind w:leftChars="558" w:left="1339"/>
        <w:rPr>
          <w:rFonts w:ascii="標楷體" w:eastAsia="標楷體" w:hAnsi="標楷體"/>
          <w:color w:val="000000"/>
        </w:rPr>
      </w:pPr>
      <w:r w:rsidRPr="007576F0">
        <w:rPr>
          <w:rFonts w:ascii="標楷體" w:eastAsia="標楷體" w:hAnsi="標楷體"/>
          <w:color w:val="000000"/>
        </w:rPr>
        <w:t>Ⅴ.出現自體免疫併發症，且經類固醇治療無效。</w:t>
      </w:r>
    </w:p>
    <w:p w14:paraId="03E9A115" w14:textId="77777777" w:rsidR="007576F0" w:rsidRPr="007576F0" w:rsidRDefault="007576F0" w:rsidP="007576F0">
      <w:pPr>
        <w:spacing w:line="300" w:lineRule="exact"/>
        <w:ind w:leftChars="558" w:left="1339"/>
        <w:rPr>
          <w:rFonts w:ascii="標楷體" w:eastAsia="標楷體" w:hAnsi="標楷體"/>
          <w:color w:val="000000"/>
        </w:rPr>
      </w:pPr>
      <w:r w:rsidRPr="007576F0">
        <w:rPr>
          <w:rFonts w:ascii="標楷體" w:eastAsia="標楷體" w:hAnsi="標楷體"/>
          <w:color w:val="000000"/>
        </w:rPr>
        <w:t>Ⅵ.出現具症狀的淋巴結外病灶。</w:t>
      </w:r>
    </w:p>
    <w:p w14:paraId="34D562FE"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(3)需經事前審查核准後使用，每3個月需再次申請。再次申請時需檢附療效評估資料，若未達</w:t>
      </w:r>
      <w:proofErr w:type="spellStart"/>
      <w:r w:rsidRPr="007576F0">
        <w:rPr>
          <w:rFonts w:ascii="標楷體" w:eastAsia="標楷體" w:hAnsi="標楷體"/>
          <w:color w:val="000000"/>
        </w:rPr>
        <w:t>iwCLL</w:t>
      </w:r>
      <w:proofErr w:type="spellEnd"/>
      <w:r w:rsidRPr="007576F0">
        <w:rPr>
          <w:rFonts w:ascii="標楷體" w:eastAsia="標楷體" w:hAnsi="標楷體"/>
          <w:color w:val="000000"/>
        </w:rPr>
        <w:t>(International Workshop on CLL)最新定義之partial remission或complete remission，則不予給付。</w:t>
      </w:r>
    </w:p>
    <w:p w14:paraId="7943853C"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 xml:space="preserve">(4) </w:t>
      </w:r>
      <w:r w:rsidRPr="007576F0">
        <w:rPr>
          <w:rFonts w:ascii="標楷體" w:eastAsia="標楷體" w:hAnsi="標楷體" w:hint="eastAsia"/>
          <w:color w:val="000000"/>
        </w:rPr>
        <w:t>在具有17</w:t>
      </w:r>
      <w:r w:rsidRPr="007576F0">
        <w:rPr>
          <w:rFonts w:ascii="標楷體" w:eastAsia="標楷體" w:hAnsi="標楷體"/>
          <w:color w:val="000000"/>
        </w:rPr>
        <w:t>p</w:t>
      </w:r>
      <w:r w:rsidRPr="007576F0">
        <w:rPr>
          <w:rFonts w:ascii="標楷體" w:eastAsia="標楷體" w:hAnsi="標楷體" w:hint="eastAsia"/>
          <w:color w:val="000000"/>
        </w:rPr>
        <w:t>缺失病人，</w:t>
      </w:r>
      <w:proofErr w:type="spellStart"/>
      <w:r w:rsidRPr="007576F0">
        <w:rPr>
          <w:rFonts w:ascii="標楷體" w:eastAsia="標楷體" w:hAnsi="標楷體" w:hint="eastAsia"/>
          <w:color w:val="000000"/>
        </w:rPr>
        <w:t>v</w:t>
      </w:r>
      <w:r w:rsidRPr="007576F0">
        <w:rPr>
          <w:rFonts w:ascii="標楷體" w:eastAsia="標楷體" w:hAnsi="標楷體"/>
          <w:color w:val="000000"/>
        </w:rPr>
        <w:t>enetoclax</w:t>
      </w:r>
      <w:proofErr w:type="spellEnd"/>
      <w:r w:rsidRPr="007576F0">
        <w:rPr>
          <w:rFonts w:ascii="標楷體" w:eastAsia="標楷體" w:hAnsi="標楷體"/>
          <w:color w:val="000000"/>
        </w:rPr>
        <w:t>、acalabrutinib</w:t>
      </w:r>
      <w:r w:rsidRPr="007576F0">
        <w:rPr>
          <w:rFonts w:ascii="標楷體" w:eastAsia="標楷體" w:hAnsi="標楷體" w:hint="eastAsia"/>
          <w:color w:val="000000"/>
        </w:rPr>
        <w:t>、</w:t>
      </w:r>
      <w:r w:rsidRPr="007576F0">
        <w:rPr>
          <w:rFonts w:ascii="標楷體" w:eastAsia="標楷體" w:hAnsi="標楷體"/>
          <w:color w:val="000000"/>
        </w:rPr>
        <w:t>ibrutinib</w:t>
      </w:r>
      <w:r w:rsidRPr="007576F0">
        <w:rPr>
          <w:rFonts w:ascii="標楷體" w:eastAsia="標楷體" w:hAnsi="標楷體" w:hint="eastAsia"/>
          <w:color w:val="000000"/>
        </w:rPr>
        <w:t>及</w:t>
      </w:r>
      <w:proofErr w:type="spellStart"/>
      <w:r w:rsidRPr="007576F0">
        <w:rPr>
          <w:rFonts w:ascii="標楷體" w:eastAsia="標楷體" w:hAnsi="標楷體" w:hint="eastAsia"/>
          <w:color w:val="000000"/>
        </w:rPr>
        <w:t>z</w:t>
      </w:r>
      <w:r w:rsidRPr="007576F0">
        <w:rPr>
          <w:rFonts w:ascii="標楷體" w:eastAsia="標楷體" w:hAnsi="標楷體"/>
          <w:color w:val="000000"/>
        </w:rPr>
        <w:t>anubrutinib</w:t>
      </w:r>
      <w:proofErr w:type="spellEnd"/>
      <w:r w:rsidRPr="007576F0">
        <w:rPr>
          <w:rFonts w:ascii="標楷體" w:eastAsia="標楷體" w:hAnsi="標楷體" w:hint="eastAsia"/>
          <w:color w:val="000000"/>
        </w:rPr>
        <w:t>四</w:t>
      </w:r>
      <w:r w:rsidRPr="007576F0">
        <w:rPr>
          <w:rFonts w:ascii="標楷體" w:eastAsia="標楷體" w:hAnsi="標楷體"/>
          <w:color w:val="000000"/>
        </w:rPr>
        <w:t>者僅能擇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使用，唯有在出現無法忍受其副作用時方可互換。三者使用總療程合併計算，以全部24個月為上限。</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108/9/1、112/7/1</w:t>
      </w:r>
      <w:r w:rsidRPr="007576F0">
        <w:rPr>
          <w:rFonts w:ascii="標楷體" w:eastAsia="標楷體" w:hAnsi="標楷體" w:hint="eastAsia"/>
          <w:color w:val="000000"/>
        </w:rPr>
        <w:t>、114/10/1</w:t>
      </w:r>
      <w:r w:rsidRPr="007576F0">
        <w:rPr>
          <w:rFonts w:ascii="標楷體" w:eastAsia="標楷體" w:hAnsi="標楷體"/>
          <w:color w:val="000000"/>
        </w:rPr>
        <w:t>)</w:t>
      </w:r>
    </w:p>
    <w:p w14:paraId="2E5B3C45"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(5)每日至多處方4粒。</w:t>
      </w:r>
    </w:p>
    <w:p w14:paraId="7D23E513" w14:textId="77777777" w:rsidR="007576F0" w:rsidRPr="007576F0" w:rsidRDefault="007576F0" w:rsidP="007576F0">
      <w:pPr>
        <w:spacing w:line="300" w:lineRule="exact"/>
        <w:ind w:left="993" w:hanging="240"/>
        <w:rPr>
          <w:rFonts w:ascii="標楷體" w:eastAsia="標楷體" w:hAnsi="標楷體"/>
          <w:color w:val="000000"/>
        </w:rPr>
      </w:pPr>
      <w:r w:rsidRPr="007576F0">
        <w:rPr>
          <w:rFonts w:ascii="標楷體" w:eastAsia="標楷體" w:hAnsi="標楷體"/>
          <w:color w:val="000000"/>
        </w:rPr>
        <w:t>2.</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用低劑量cytarabine或azacitidine(除</w:t>
      </w:r>
      <w:proofErr w:type="spellStart"/>
      <w:r w:rsidRPr="007576F0">
        <w:rPr>
          <w:rFonts w:ascii="標楷體" w:eastAsia="標楷體" w:hAnsi="標楷體" w:hint="eastAsia"/>
          <w:color w:val="000000"/>
        </w:rPr>
        <w:t>Winduza</w:t>
      </w:r>
      <w:proofErr w:type="spellEnd"/>
      <w:r w:rsidRPr="007576F0">
        <w:rPr>
          <w:rFonts w:ascii="標楷體" w:eastAsia="標楷體" w:hAnsi="標楷體" w:hint="eastAsia"/>
          <w:color w:val="000000"/>
        </w:rPr>
        <w:t xml:space="preserve">及Azacitidine Lyophilized </w:t>
      </w:r>
      <w:proofErr w:type="spellStart"/>
      <w:r w:rsidRPr="007576F0">
        <w:rPr>
          <w:rFonts w:ascii="標楷體" w:eastAsia="標楷體" w:hAnsi="標楷體" w:hint="eastAsia"/>
          <w:color w:val="000000"/>
        </w:rPr>
        <w:t>Inj</w:t>
      </w:r>
      <w:proofErr w:type="spellEnd"/>
      <w:r w:rsidRPr="007576F0">
        <w:rPr>
          <w:rFonts w:ascii="標楷體" w:eastAsia="標楷體" w:hAnsi="標楷體" w:hint="eastAsia"/>
          <w:color w:val="000000"/>
        </w:rPr>
        <w:t xml:space="preserve"> 100mg"GBC"</w:t>
      </w:r>
      <w:proofErr w:type="gramStart"/>
      <w:r w:rsidRPr="007576F0">
        <w:rPr>
          <w:rFonts w:ascii="標楷體" w:eastAsia="標楷體" w:hAnsi="標楷體" w:hint="eastAsia"/>
          <w:color w:val="000000"/>
        </w:rPr>
        <w:t>以外)</w:t>
      </w:r>
      <w:proofErr w:type="gramEnd"/>
      <w:r w:rsidRPr="007576F0">
        <w:rPr>
          <w:rFonts w:ascii="標楷體" w:eastAsia="標楷體" w:hAnsi="標楷體" w:hint="eastAsia"/>
          <w:color w:val="000000"/>
        </w:rPr>
        <w:t>，使用於無法接受高強度化學治療之初診斷急性骨髓性白血病(AML)病人：(110/7/1、114/8/1)</w:t>
      </w:r>
    </w:p>
    <w:p w14:paraId="65180B14"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(1)需具有下列I.或Ⅱ.的條件之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w:t>
      </w:r>
    </w:p>
    <w:p w14:paraId="666DDDCC" w14:textId="77777777" w:rsidR="007576F0" w:rsidRPr="007576F0" w:rsidRDefault="007576F0" w:rsidP="007576F0">
      <w:pPr>
        <w:spacing w:line="300" w:lineRule="exact"/>
        <w:ind w:leftChars="558" w:left="1699" w:hangingChars="150" w:hanging="360"/>
        <w:rPr>
          <w:rFonts w:ascii="標楷體" w:eastAsia="標楷體" w:hAnsi="標楷體"/>
          <w:color w:val="000000"/>
        </w:rPr>
      </w:pPr>
      <w:r w:rsidRPr="007576F0">
        <w:rPr>
          <w:rFonts w:ascii="標楷體" w:eastAsia="標楷體" w:hAnsi="標楷體"/>
          <w:color w:val="000000"/>
        </w:rPr>
        <w:t>I.75歲以上。</w:t>
      </w:r>
    </w:p>
    <w:p w14:paraId="1FE2CBA7" w14:textId="77777777" w:rsidR="007576F0" w:rsidRPr="007576F0" w:rsidRDefault="007576F0" w:rsidP="007576F0">
      <w:pPr>
        <w:spacing w:line="300" w:lineRule="exact"/>
        <w:ind w:leftChars="558" w:left="1699" w:hangingChars="150" w:hanging="360"/>
        <w:rPr>
          <w:rFonts w:ascii="標楷體" w:eastAsia="標楷體" w:hAnsi="標楷體"/>
          <w:color w:val="000000"/>
        </w:rPr>
      </w:pPr>
      <w:r w:rsidRPr="007576F0">
        <w:rPr>
          <w:rFonts w:ascii="標楷體" w:eastAsia="標楷體" w:hAnsi="標楷體"/>
          <w:color w:val="000000"/>
        </w:rPr>
        <w:t>Ⅱ.18歲以上但未滿75歲時，需ECOG performance status為2或3，且符合下列任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條件者：</w:t>
      </w:r>
    </w:p>
    <w:p w14:paraId="5AAB98C3" w14:textId="77777777" w:rsidR="007576F0" w:rsidRPr="007576F0" w:rsidRDefault="007576F0" w:rsidP="007576F0">
      <w:pPr>
        <w:spacing w:line="300" w:lineRule="exact"/>
        <w:ind w:left="1701"/>
        <w:rPr>
          <w:rFonts w:ascii="標楷體" w:eastAsia="標楷體" w:hAnsi="標楷體"/>
          <w:color w:val="000000"/>
        </w:rPr>
      </w:pPr>
      <w:r w:rsidRPr="007576F0">
        <w:rPr>
          <w:rFonts w:ascii="標楷體" w:eastAsia="標楷體" w:hAnsi="標楷體"/>
          <w:color w:val="000000"/>
        </w:rPr>
        <w:t>A.具有心臟衰竭治療病史，且left ventricle ejection fraction (LVEF)＜50%。</w:t>
      </w:r>
    </w:p>
    <w:p w14:paraId="04105B8B" w14:textId="77777777" w:rsidR="007576F0" w:rsidRPr="007576F0" w:rsidRDefault="007576F0" w:rsidP="007576F0">
      <w:pPr>
        <w:spacing w:line="300" w:lineRule="exact"/>
        <w:ind w:left="1701"/>
        <w:rPr>
          <w:rFonts w:ascii="標楷體" w:eastAsia="標楷體" w:hAnsi="標楷體"/>
          <w:color w:val="000000"/>
        </w:rPr>
      </w:pPr>
      <w:r w:rsidRPr="007576F0">
        <w:rPr>
          <w:rFonts w:ascii="標楷體" w:eastAsia="標楷體" w:hAnsi="標楷體"/>
          <w:color w:val="000000"/>
        </w:rPr>
        <w:t>B.具慢性肺部疾病史，且 DLCO＜65%。</w:t>
      </w:r>
    </w:p>
    <w:p w14:paraId="029489CA" w14:textId="77777777" w:rsidR="007576F0" w:rsidRPr="007576F0" w:rsidRDefault="007576F0" w:rsidP="007576F0">
      <w:pPr>
        <w:spacing w:line="300" w:lineRule="exact"/>
        <w:ind w:left="1701"/>
        <w:rPr>
          <w:rFonts w:ascii="標楷體" w:eastAsia="標楷體" w:hAnsi="標楷體"/>
          <w:color w:val="000000"/>
        </w:rPr>
      </w:pPr>
      <w:r w:rsidRPr="007576F0">
        <w:rPr>
          <w:rFonts w:ascii="標楷體" w:eastAsia="標楷體" w:hAnsi="標楷體"/>
          <w:color w:val="000000"/>
        </w:rPr>
        <w:t>C.具肝功能異常：Bilirubin level 在1.5-3.0倍正常值間。</w:t>
      </w:r>
    </w:p>
    <w:p w14:paraId="1776B6E5"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(2)需未曾因骨髓化生不良症候群(myelodysplastic syndrome, MDS)接受過azacitidine治療者。</w:t>
      </w:r>
    </w:p>
    <w:p w14:paraId="40531EA0"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(3)需經事前審查核准後使用，每2個療程需再次申請；再次申請時需檢附療效評估資料，若病情惡化應即停止使用。</w:t>
      </w:r>
    </w:p>
    <w:p w14:paraId="4FCAA9C7" w14:textId="77777777" w:rsidR="007576F0" w:rsidRPr="007576F0" w:rsidRDefault="007576F0" w:rsidP="007576F0">
      <w:pPr>
        <w:spacing w:line="300" w:lineRule="exact"/>
        <w:ind w:leftChars="381" w:left="1274" w:hangingChars="150" w:hanging="360"/>
        <w:rPr>
          <w:rFonts w:ascii="標楷體" w:eastAsia="標楷體" w:hAnsi="標楷體"/>
          <w:color w:val="000000"/>
        </w:rPr>
      </w:pPr>
      <w:r w:rsidRPr="007576F0">
        <w:rPr>
          <w:rFonts w:ascii="標楷體" w:eastAsia="標楷體" w:hAnsi="標楷體"/>
          <w:color w:val="000000"/>
        </w:rPr>
        <w:t>(4)</w:t>
      </w:r>
      <w:r w:rsidRPr="007576F0">
        <w:rPr>
          <w:rFonts w:ascii="標楷體" w:eastAsia="標楷體" w:hAnsi="標楷體" w:hint="eastAsia"/>
          <w:color w:val="000000"/>
        </w:rPr>
        <w:t>若</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用低劑</w:t>
      </w:r>
      <w:r w:rsidRPr="007576F0">
        <w:rPr>
          <w:rFonts w:ascii="標楷體" w:eastAsia="標楷體" w:hAnsi="標楷體" w:hint="eastAsia"/>
        </w:rPr>
        <w:t>量cytarabine，每日至多處方6粒，最多給付4個療程。若</w:t>
      </w:r>
      <w:proofErr w:type="gramStart"/>
      <w:r w:rsidRPr="007576F0">
        <w:rPr>
          <w:rFonts w:ascii="標楷體" w:eastAsia="標楷體" w:hAnsi="標楷體" w:hint="eastAsia"/>
        </w:rPr>
        <w:t>併</w:t>
      </w:r>
      <w:proofErr w:type="gramEnd"/>
      <w:r w:rsidRPr="007576F0">
        <w:rPr>
          <w:rFonts w:ascii="標楷體" w:eastAsia="標楷體" w:hAnsi="標楷體" w:hint="eastAsia"/>
        </w:rPr>
        <w:t>用azacitidine治療，每日至多處方4粒，最多給付6個療程。(110/7/1、114/8/1)</w:t>
      </w:r>
      <w:bookmarkEnd w:id="59"/>
    </w:p>
    <w:p w14:paraId="2CE02657"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 xml:space="preserve">9.72.CDK4/6抑制劑 (如 </w:t>
      </w:r>
      <w:proofErr w:type="spellStart"/>
      <w:r w:rsidRPr="007576F0">
        <w:rPr>
          <w:rFonts w:ascii="標楷體" w:eastAsia="標楷體" w:hAnsi="標楷體"/>
          <w:color w:val="000000"/>
        </w:rPr>
        <w:t>ribociclib</w:t>
      </w:r>
      <w:proofErr w:type="spellEnd"/>
      <w:r w:rsidRPr="007576F0">
        <w:rPr>
          <w:rFonts w:ascii="標楷體" w:eastAsia="標楷體" w:hAnsi="標楷體"/>
          <w:color w:val="000000"/>
        </w:rPr>
        <w:t>；palbociclib)：(108/10/1、108/12/1、109/4/1、109/10/1、110/5/1、110/10/1、113/1/1、113/3/1、114/7/1</w:t>
      </w:r>
      <w:r w:rsidRPr="007576F0">
        <w:rPr>
          <w:rFonts w:ascii="標楷體" w:eastAsia="標楷體" w:hAnsi="標楷體" w:hint="eastAsia"/>
          <w:color w:val="000000"/>
        </w:rPr>
        <w:t>、115/1/1</w:t>
      </w:r>
      <w:r w:rsidRPr="007576F0">
        <w:rPr>
          <w:rFonts w:ascii="標楷體" w:eastAsia="標楷體" w:hAnsi="標楷體"/>
          <w:color w:val="000000"/>
        </w:rPr>
        <w:t>)</w:t>
      </w:r>
    </w:p>
    <w:p w14:paraId="2E2B926D" w14:textId="77777777" w:rsidR="007576F0" w:rsidRPr="007576F0" w:rsidRDefault="007576F0" w:rsidP="007576F0">
      <w:pPr>
        <w:spacing w:line="300" w:lineRule="exact"/>
        <w:ind w:left="993" w:hanging="426"/>
        <w:rPr>
          <w:rFonts w:ascii="標楷體" w:eastAsia="標楷體" w:hAnsi="標楷體"/>
          <w:color w:val="000000"/>
        </w:rPr>
      </w:pPr>
      <w:r w:rsidRPr="007576F0">
        <w:rPr>
          <w:rFonts w:ascii="標楷體" w:eastAsia="標楷體" w:hAnsi="標楷體"/>
          <w:color w:val="000000"/>
        </w:rPr>
        <w:t>1.用於停經後乳癌婦女發生遠端轉移後之全身性藥物治療，須完全符合以下條件：(109/10/1、110/5/1、110/10/1、113/1/1)</w:t>
      </w:r>
    </w:p>
    <w:p w14:paraId="589D29A0" w14:textId="77777777" w:rsidR="007576F0" w:rsidRPr="007576F0" w:rsidRDefault="007576F0" w:rsidP="007576F0">
      <w:pPr>
        <w:spacing w:line="300" w:lineRule="exact"/>
        <w:ind w:leftChars="354" w:left="1131" w:hangingChars="117" w:hanging="281"/>
        <w:rPr>
          <w:rFonts w:ascii="標楷體" w:eastAsia="標楷體" w:hAnsi="標楷體"/>
          <w:color w:val="000000"/>
        </w:rPr>
      </w:pPr>
      <w:r w:rsidRPr="007576F0">
        <w:rPr>
          <w:rFonts w:ascii="標楷體" w:eastAsia="標楷體" w:hAnsi="標楷體"/>
          <w:color w:val="000000"/>
        </w:rPr>
        <w:t>(1)荷爾蒙接受體為：ER或PR &gt;30%。</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109/10/1、113/1/1)</w:t>
      </w:r>
    </w:p>
    <w:p w14:paraId="2052CAA6" w14:textId="77777777" w:rsidR="007576F0" w:rsidRPr="007576F0" w:rsidRDefault="007576F0" w:rsidP="007576F0">
      <w:pPr>
        <w:spacing w:line="300" w:lineRule="exact"/>
        <w:ind w:leftChars="354" w:left="1131" w:hangingChars="117" w:hanging="281"/>
        <w:rPr>
          <w:rFonts w:ascii="標楷體" w:eastAsia="標楷體" w:hAnsi="標楷體"/>
          <w:color w:val="000000"/>
        </w:rPr>
      </w:pPr>
      <w:r w:rsidRPr="007576F0">
        <w:rPr>
          <w:rFonts w:ascii="標楷體" w:eastAsia="標楷體" w:hAnsi="標楷體"/>
          <w:color w:val="000000"/>
        </w:rPr>
        <w:t>(2)HER-2 檢測為陰性。</w:t>
      </w:r>
    </w:p>
    <w:p w14:paraId="23350EE2" w14:textId="77777777" w:rsidR="007576F0" w:rsidRPr="007576F0" w:rsidRDefault="007576F0" w:rsidP="007576F0">
      <w:pPr>
        <w:spacing w:line="300" w:lineRule="exact"/>
        <w:ind w:leftChars="354" w:left="1131" w:hangingChars="117" w:hanging="281"/>
        <w:rPr>
          <w:rFonts w:ascii="標楷體" w:eastAsia="標楷體" w:hAnsi="標楷體"/>
          <w:color w:val="000000"/>
        </w:rPr>
      </w:pPr>
      <w:r w:rsidRPr="007576F0">
        <w:rPr>
          <w:rFonts w:ascii="標楷體" w:eastAsia="標楷體" w:hAnsi="標楷體"/>
          <w:color w:val="000000"/>
        </w:rPr>
        <w:t>(3)經完整疾病評估後未出現器官轉移危急症狀 (visceral crisis)且無中樞神經系統(CNS)轉移。（110/10/1）</w:t>
      </w:r>
    </w:p>
    <w:p w14:paraId="4588C001" w14:textId="77777777" w:rsidR="007576F0" w:rsidRPr="007576F0" w:rsidRDefault="007576F0" w:rsidP="007576F0">
      <w:pPr>
        <w:spacing w:line="300" w:lineRule="exact"/>
        <w:ind w:leftChars="354" w:left="1131" w:hangingChars="117" w:hanging="281"/>
        <w:rPr>
          <w:rFonts w:ascii="標楷體" w:eastAsia="標楷體" w:hAnsi="標楷體"/>
          <w:color w:val="000000"/>
        </w:rPr>
      </w:pPr>
      <w:r w:rsidRPr="007576F0">
        <w:rPr>
          <w:rFonts w:ascii="標楷體" w:eastAsia="標楷體" w:hAnsi="標楷體"/>
          <w:color w:val="000000"/>
        </w:rPr>
        <w:t>(4)骨轉移不可為唯一轉移部位。（110/10/1）</w:t>
      </w:r>
    </w:p>
    <w:p w14:paraId="2A3AC047" w14:textId="77777777" w:rsidR="007576F0" w:rsidRPr="007576F0" w:rsidRDefault="007576F0" w:rsidP="007576F0">
      <w:pPr>
        <w:spacing w:line="300" w:lineRule="exact"/>
        <w:ind w:leftChars="354" w:left="1131" w:hangingChars="117" w:hanging="281"/>
        <w:rPr>
          <w:rFonts w:ascii="標楷體" w:eastAsia="標楷體" w:hAnsi="標楷體"/>
          <w:color w:val="000000"/>
        </w:rPr>
      </w:pPr>
      <w:r w:rsidRPr="007576F0">
        <w:rPr>
          <w:rFonts w:ascii="標楷體" w:eastAsia="標楷體" w:hAnsi="標楷體"/>
          <w:color w:val="000000"/>
        </w:rPr>
        <w:t>(5)病患目前未接受卵巢功能抑制治療 (包含GnRH analogue等) 且滿足下列條件之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：（110/5/1）</w:t>
      </w:r>
    </w:p>
    <w:p w14:paraId="2AEF3C6F" w14:textId="77777777" w:rsidR="007576F0" w:rsidRPr="007576F0" w:rsidRDefault="007576F0" w:rsidP="007576F0">
      <w:pPr>
        <w:spacing w:line="300" w:lineRule="exact"/>
        <w:ind w:left="1134" w:hanging="141"/>
        <w:rPr>
          <w:rFonts w:ascii="標楷體" w:eastAsia="標楷體" w:hAnsi="標楷體"/>
          <w:color w:val="000000"/>
        </w:rPr>
      </w:pPr>
      <w:r w:rsidRPr="007576F0">
        <w:rPr>
          <w:rFonts w:ascii="標楷體" w:eastAsia="標楷體" w:hAnsi="標楷體"/>
          <w:color w:val="000000"/>
        </w:rPr>
        <w:t>Ⅰ.年齡滿55歲。</w:t>
      </w:r>
    </w:p>
    <w:p w14:paraId="36EE4398" w14:textId="77777777" w:rsidR="007576F0" w:rsidRPr="007576F0" w:rsidRDefault="007576F0" w:rsidP="007576F0">
      <w:pPr>
        <w:spacing w:line="300" w:lineRule="exact"/>
        <w:ind w:left="1134" w:hanging="141"/>
        <w:rPr>
          <w:rFonts w:ascii="標楷體" w:eastAsia="標楷體" w:hAnsi="標楷體"/>
          <w:color w:val="000000"/>
        </w:rPr>
      </w:pPr>
      <w:r w:rsidRPr="007576F0">
        <w:rPr>
          <w:rFonts w:ascii="標楷體" w:eastAsia="標楷體" w:hAnsi="標楷體"/>
          <w:color w:val="000000"/>
        </w:rPr>
        <w:t>Ⅱ.曾</w:t>
      </w:r>
      <w:proofErr w:type="gramStart"/>
      <w:r w:rsidRPr="007576F0">
        <w:rPr>
          <w:rFonts w:ascii="標楷體" w:eastAsia="標楷體" w:hAnsi="標楷體"/>
          <w:color w:val="000000"/>
        </w:rPr>
        <w:t>接受雙側卵巢</w:t>
      </w:r>
      <w:proofErr w:type="gramEnd"/>
      <w:r w:rsidRPr="007576F0">
        <w:rPr>
          <w:rFonts w:ascii="標楷體" w:eastAsia="標楷體" w:hAnsi="標楷體"/>
          <w:color w:val="000000"/>
        </w:rPr>
        <w:t>切除術。</w:t>
      </w:r>
    </w:p>
    <w:p w14:paraId="6DA3ECD1" w14:textId="77777777" w:rsidR="007576F0" w:rsidRPr="007576F0" w:rsidRDefault="007576F0" w:rsidP="007576F0">
      <w:pPr>
        <w:spacing w:line="300" w:lineRule="exact"/>
        <w:ind w:left="1134" w:hanging="141"/>
        <w:rPr>
          <w:rFonts w:ascii="標楷體" w:eastAsia="標楷體" w:hAnsi="標楷體"/>
          <w:color w:val="000000"/>
        </w:rPr>
      </w:pPr>
      <w:proofErr w:type="spellStart"/>
      <w:r w:rsidRPr="007576F0">
        <w:rPr>
          <w:rFonts w:ascii="標楷體" w:eastAsia="標楷體" w:hAnsi="標楷體"/>
          <w:color w:val="000000"/>
        </w:rPr>
        <w:t>Ⅲ.FSH</w:t>
      </w:r>
      <w:proofErr w:type="spellEnd"/>
      <w:r w:rsidRPr="007576F0">
        <w:rPr>
          <w:rFonts w:ascii="標楷體" w:eastAsia="標楷體" w:hAnsi="標楷體"/>
          <w:color w:val="000000"/>
        </w:rPr>
        <w:t>及estradiol血液檢測值在停經後數值範圍內。</w:t>
      </w:r>
    </w:p>
    <w:p w14:paraId="44C0FC85" w14:textId="77777777" w:rsidR="007576F0" w:rsidRPr="007576F0" w:rsidRDefault="007576F0" w:rsidP="007576F0">
      <w:pPr>
        <w:spacing w:line="300" w:lineRule="exact"/>
        <w:ind w:left="993" w:hanging="426"/>
        <w:rPr>
          <w:rFonts w:ascii="標楷體" w:eastAsia="標楷體" w:hAnsi="標楷體"/>
          <w:color w:val="000000"/>
        </w:rPr>
      </w:pPr>
      <w:r w:rsidRPr="007576F0">
        <w:rPr>
          <w:rFonts w:ascii="標楷體" w:eastAsia="標楷體" w:hAnsi="標楷體"/>
          <w:color w:val="000000"/>
        </w:rPr>
        <w:t>2.用於停經前/正在停經乳癌婦女及男性乳癌發生遠端轉移後之全身性藥物治療，須與</w:t>
      </w:r>
      <w:r w:rsidRPr="007576F0">
        <w:rPr>
          <w:rFonts w:ascii="標楷體" w:eastAsia="標楷體" w:hAnsi="標楷體"/>
          <w:color w:val="000000"/>
        </w:rPr>
        <w:lastRenderedPageBreak/>
        <w:t>芳香環轉化酶抑制劑及GnRH analogue 併用。（113/1/1、114/7/1）</w:t>
      </w:r>
    </w:p>
    <w:p w14:paraId="3AA4580D" w14:textId="77777777" w:rsidR="007576F0" w:rsidRPr="007576F0" w:rsidRDefault="007576F0" w:rsidP="007576F0">
      <w:pPr>
        <w:spacing w:line="300" w:lineRule="exact"/>
        <w:ind w:left="1134" w:hanging="283"/>
        <w:rPr>
          <w:rFonts w:ascii="標楷體" w:eastAsia="標楷體" w:hAnsi="標楷體"/>
          <w:color w:val="000000"/>
        </w:rPr>
      </w:pPr>
      <w:r w:rsidRPr="007576F0">
        <w:rPr>
          <w:rFonts w:ascii="標楷體" w:eastAsia="標楷體" w:hAnsi="標楷體"/>
          <w:color w:val="000000"/>
        </w:rPr>
        <w:t>(1)荷爾蒙接受體為：ER或PR &gt;30%。</w:t>
      </w:r>
    </w:p>
    <w:p w14:paraId="4DD2CD7A" w14:textId="77777777" w:rsidR="007576F0" w:rsidRPr="007576F0" w:rsidRDefault="007576F0" w:rsidP="007576F0">
      <w:pPr>
        <w:spacing w:line="300" w:lineRule="exact"/>
        <w:ind w:left="1134" w:hanging="283"/>
        <w:rPr>
          <w:rFonts w:ascii="標楷體" w:eastAsia="標楷體" w:hAnsi="標楷體"/>
          <w:color w:val="000000"/>
        </w:rPr>
      </w:pPr>
      <w:r w:rsidRPr="007576F0">
        <w:rPr>
          <w:rFonts w:ascii="標楷體" w:eastAsia="標楷體" w:hAnsi="標楷體"/>
          <w:color w:val="000000"/>
        </w:rPr>
        <w:t>(2)HER-2 檢測為陰性。</w:t>
      </w:r>
    </w:p>
    <w:p w14:paraId="2B21AA99" w14:textId="77777777" w:rsidR="007576F0" w:rsidRPr="007576F0" w:rsidRDefault="007576F0" w:rsidP="007576F0">
      <w:pPr>
        <w:spacing w:line="300" w:lineRule="exact"/>
        <w:ind w:left="1134" w:hanging="283"/>
        <w:rPr>
          <w:rFonts w:ascii="標楷體" w:eastAsia="標楷體" w:hAnsi="標楷體"/>
          <w:color w:val="000000"/>
        </w:rPr>
      </w:pPr>
      <w:r w:rsidRPr="007576F0">
        <w:rPr>
          <w:rFonts w:ascii="標楷體" w:eastAsia="標楷體" w:hAnsi="標楷體"/>
          <w:color w:val="000000"/>
        </w:rPr>
        <w:t>(3)經完整疾病評估後未出現器官轉移危急症狀 (visceral crisis)且無中樞神經系統(CNS)轉移。</w:t>
      </w:r>
    </w:p>
    <w:p w14:paraId="459A6AED" w14:textId="77777777" w:rsidR="007576F0" w:rsidRPr="007576F0" w:rsidRDefault="007576F0" w:rsidP="007576F0">
      <w:pPr>
        <w:spacing w:line="300" w:lineRule="exact"/>
        <w:ind w:left="1134" w:hanging="283"/>
        <w:rPr>
          <w:rFonts w:ascii="標楷體" w:eastAsia="標楷體" w:hAnsi="標楷體"/>
          <w:color w:val="000000"/>
        </w:rPr>
      </w:pPr>
      <w:r w:rsidRPr="007576F0">
        <w:rPr>
          <w:rFonts w:ascii="標楷體" w:eastAsia="標楷體" w:hAnsi="標楷體"/>
          <w:color w:val="000000"/>
        </w:rPr>
        <w:t>(4)骨轉移不可為唯一轉移部位。</w:t>
      </w:r>
    </w:p>
    <w:p w14:paraId="5004DA8B" w14:textId="77777777" w:rsidR="007576F0" w:rsidRPr="007576F0" w:rsidRDefault="007576F0" w:rsidP="007576F0">
      <w:pPr>
        <w:spacing w:line="300" w:lineRule="exact"/>
        <w:ind w:left="993" w:hanging="426"/>
        <w:rPr>
          <w:rFonts w:ascii="標楷體" w:eastAsia="標楷體" w:hAnsi="標楷體"/>
          <w:color w:val="000000"/>
        </w:rPr>
      </w:pPr>
      <w:r w:rsidRPr="007576F0">
        <w:rPr>
          <w:rFonts w:ascii="標楷體" w:eastAsia="標楷體" w:hAnsi="標楷體"/>
          <w:color w:val="000000"/>
        </w:rPr>
        <w:t>3.限palbociclib與</w:t>
      </w:r>
      <w:proofErr w:type="spellStart"/>
      <w:r w:rsidRPr="007576F0">
        <w:rPr>
          <w:rFonts w:ascii="標楷體" w:eastAsia="標楷體" w:hAnsi="標楷體"/>
          <w:color w:val="000000"/>
        </w:rPr>
        <w:t>fulvestrant</w:t>
      </w:r>
      <w:proofErr w:type="spellEnd"/>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用於治療曾接受過內分泌療法之局部晚期或轉移性乳癌病人，且須完全符合下列條件：(115/1/1)</w:t>
      </w:r>
    </w:p>
    <w:p w14:paraId="6540D52B" w14:textId="77777777" w:rsidR="007576F0" w:rsidRPr="007576F0" w:rsidRDefault="007576F0" w:rsidP="007576F0">
      <w:pPr>
        <w:snapToGrid w:val="0"/>
        <w:spacing w:line="300" w:lineRule="exact"/>
        <w:ind w:leftChars="353" w:left="1130" w:hangingChars="118" w:hanging="283"/>
        <w:jc w:val="both"/>
        <w:rPr>
          <w:rFonts w:ascii="標楷體" w:eastAsia="標楷體" w:hAnsi="標楷體"/>
          <w:color w:val="000000"/>
        </w:rPr>
      </w:pPr>
      <w:r w:rsidRPr="007576F0">
        <w:rPr>
          <w:rFonts w:ascii="標楷體" w:eastAsia="標楷體" w:hAnsi="標楷體"/>
          <w:color w:val="000000"/>
        </w:rPr>
        <w:t>(1)荷爾蒙接受體為：ER或PR &gt;30%。</w:t>
      </w:r>
    </w:p>
    <w:p w14:paraId="033EC830" w14:textId="77777777" w:rsidR="007576F0" w:rsidRPr="007576F0" w:rsidRDefault="007576F0" w:rsidP="007576F0">
      <w:pPr>
        <w:snapToGrid w:val="0"/>
        <w:spacing w:line="300" w:lineRule="exact"/>
        <w:ind w:leftChars="353" w:left="1130" w:hangingChars="118" w:hanging="283"/>
        <w:jc w:val="both"/>
        <w:rPr>
          <w:rFonts w:ascii="標楷體" w:eastAsia="標楷體" w:hAnsi="標楷體"/>
          <w:color w:val="000000"/>
        </w:rPr>
      </w:pPr>
      <w:r w:rsidRPr="007576F0">
        <w:rPr>
          <w:rFonts w:ascii="標楷體" w:eastAsia="標楷體" w:hAnsi="標楷體"/>
          <w:color w:val="000000"/>
        </w:rPr>
        <w:t>(2)HER-2 檢測為陰性。</w:t>
      </w:r>
    </w:p>
    <w:p w14:paraId="1A928CB1" w14:textId="77777777" w:rsidR="007576F0" w:rsidRPr="007576F0" w:rsidRDefault="007576F0" w:rsidP="007576F0">
      <w:pPr>
        <w:snapToGrid w:val="0"/>
        <w:spacing w:line="300" w:lineRule="exact"/>
        <w:ind w:leftChars="353" w:left="1130" w:hangingChars="118" w:hanging="283"/>
        <w:jc w:val="both"/>
        <w:rPr>
          <w:rFonts w:ascii="標楷體" w:eastAsia="標楷體" w:hAnsi="標楷體"/>
          <w:color w:val="000000"/>
        </w:rPr>
      </w:pPr>
      <w:r w:rsidRPr="007576F0">
        <w:rPr>
          <w:rFonts w:ascii="標楷體" w:eastAsia="標楷體" w:hAnsi="標楷體"/>
          <w:color w:val="000000"/>
        </w:rPr>
        <w:t>(3)經完整疾病評估後未出現器官轉移危急症狀 (visceral crisis)且無中樞神經系統(CNS)轉移。</w:t>
      </w:r>
    </w:p>
    <w:p w14:paraId="032C1F13" w14:textId="77777777" w:rsidR="007576F0" w:rsidRPr="007576F0" w:rsidRDefault="007576F0" w:rsidP="007576F0">
      <w:pPr>
        <w:snapToGrid w:val="0"/>
        <w:spacing w:line="300" w:lineRule="exact"/>
        <w:ind w:leftChars="353" w:left="1130" w:hangingChars="118" w:hanging="283"/>
        <w:jc w:val="both"/>
        <w:rPr>
          <w:rFonts w:ascii="標楷體" w:eastAsia="標楷體" w:hAnsi="標楷體"/>
          <w:color w:val="000000"/>
        </w:rPr>
      </w:pPr>
      <w:r w:rsidRPr="007576F0">
        <w:rPr>
          <w:rFonts w:ascii="標楷體" w:eastAsia="標楷體" w:hAnsi="標楷體"/>
          <w:color w:val="000000"/>
        </w:rPr>
        <w:t>(4)骨轉移不可為唯一轉移部位。</w:t>
      </w:r>
    </w:p>
    <w:p w14:paraId="4EB0CBEE" w14:textId="77777777" w:rsidR="007576F0" w:rsidRPr="007576F0" w:rsidRDefault="007576F0" w:rsidP="007576F0">
      <w:pPr>
        <w:spacing w:line="300" w:lineRule="exact"/>
        <w:ind w:left="993" w:hanging="426"/>
        <w:rPr>
          <w:rFonts w:ascii="標楷體" w:eastAsia="標楷體" w:hAnsi="標楷體"/>
          <w:color w:val="000000"/>
        </w:rPr>
      </w:pPr>
      <w:r w:rsidRPr="007576F0">
        <w:rPr>
          <w:rFonts w:ascii="標楷體" w:eastAsia="標楷體" w:hAnsi="標楷體" w:hint="eastAsia"/>
          <w:color w:val="000000"/>
        </w:rPr>
        <w:t>4.</w:t>
      </w:r>
      <w:r w:rsidRPr="007576F0">
        <w:rPr>
          <w:rFonts w:ascii="標楷體" w:eastAsia="標楷體" w:hAnsi="標楷體"/>
          <w:color w:val="000000"/>
        </w:rPr>
        <w:t>經事前審查核准後使用，核准後每24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須檢附療效評估資料再次申請，若疾病惡化即必須停止使用，且後續不得再申請使用</w:t>
      </w:r>
      <w:proofErr w:type="spellStart"/>
      <w:r w:rsidRPr="007576F0">
        <w:rPr>
          <w:rFonts w:ascii="標楷體" w:eastAsia="標楷體" w:hAnsi="標楷體"/>
          <w:color w:val="000000"/>
        </w:rPr>
        <w:t>ribociclib</w:t>
      </w:r>
      <w:proofErr w:type="spellEnd"/>
      <w:r w:rsidRPr="007576F0">
        <w:rPr>
          <w:rFonts w:ascii="標楷體" w:eastAsia="標楷體" w:hAnsi="標楷體"/>
          <w:color w:val="000000"/>
        </w:rPr>
        <w:t>、palbociclib。（110/10/1）</w:t>
      </w:r>
    </w:p>
    <w:p w14:paraId="6F8C53DC" w14:textId="77777777" w:rsidR="007576F0" w:rsidRPr="007576F0" w:rsidRDefault="007576F0" w:rsidP="007576F0">
      <w:pPr>
        <w:spacing w:line="300" w:lineRule="exact"/>
        <w:ind w:left="993" w:hanging="426"/>
        <w:rPr>
          <w:rFonts w:ascii="標楷體" w:eastAsia="標楷體" w:hAnsi="標楷體"/>
          <w:color w:val="000000"/>
        </w:rPr>
      </w:pPr>
      <w:r w:rsidRPr="007576F0">
        <w:rPr>
          <w:rFonts w:ascii="標楷體" w:eastAsia="標楷體" w:hAnsi="標楷體" w:hint="eastAsia"/>
          <w:color w:val="000000"/>
        </w:rPr>
        <w:t>5</w:t>
      </w:r>
      <w:r w:rsidRPr="007576F0">
        <w:rPr>
          <w:rFonts w:ascii="標楷體" w:eastAsia="標楷體" w:hAnsi="標楷體"/>
          <w:color w:val="000000"/>
        </w:rPr>
        <w:t>.使用限制：</w:t>
      </w:r>
    </w:p>
    <w:p w14:paraId="757A0D10" w14:textId="77777777" w:rsidR="007576F0" w:rsidRPr="007576F0" w:rsidRDefault="007576F0" w:rsidP="007576F0">
      <w:pPr>
        <w:spacing w:line="300" w:lineRule="exact"/>
        <w:ind w:left="1275" w:hanging="424"/>
        <w:rPr>
          <w:rFonts w:ascii="標楷體" w:eastAsia="標楷體" w:hAnsi="標楷體"/>
          <w:color w:val="000000"/>
        </w:rPr>
      </w:pPr>
      <w:r w:rsidRPr="007576F0">
        <w:rPr>
          <w:rFonts w:ascii="標楷體" w:eastAsia="標楷體" w:hAnsi="標楷體"/>
          <w:color w:val="000000"/>
        </w:rPr>
        <w:t>(1)</w:t>
      </w:r>
      <w:proofErr w:type="spellStart"/>
      <w:r w:rsidRPr="007576F0">
        <w:rPr>
          <w:rFonts w:ascii="標楷體" w:eastAsia="標楷體" w:hAnsi="標楷體"/>
          <w:color w:val="000000"/>
        </w:rPr>
        <w:t>ribociclib</w:t>
      </w:r>
      <w:proofErr w:type="spellEnd"/>
      <w:r w:rsidRPr="007576F0">
        <w:rPr>
          <w:rFonts w:ascii="標楷體" w:eastAsia="標楷體" w:hAnsi="標楷體"/>
          <w:color w:val="000000"/>
        </w:rPr>
        <w:t xml:space="preserve"> 每日最多處方3粒。</w:t>
      </w:r>
    </w:p>
    <w:p w14:paraId="66541F9D" w14:textId="77777777" w:rsidR="007576F0" w:rsidRPr="007576F0" w:rsidRDefault="007576F0" w:rsidP="007576F0">
      <w:pPr>
        <w:spacing w:line="300" w:lineRule="exact"/>
        <w:ind w:left="1275" w:hanging="424"/>
        <w:rPr>
          <w:rFonts w:ascii="標楷體" w:eastAsia="標楷體" w:hAnsi="標楷體"/>
          <w:color w:val="000000"/>
        </w:rPr>
      </w:pPr>
      <w:r w:rsidRPr="007576F0">
        <w:rPr>
          <w:rFonts w:ascii="標楷體" w:eastAsia="標楷體" w:hAnsi="標楷體"/>
          <w:color w:val="000000"/>
        </w:rPr>
        <w:t>(2)palbociclib 每日最多處方1粒。</w:t>
      </w:r>
    </w:p>
    <w:p w14:paraId="444DAD2A" w14:textId="77777777" w:rsidR="007576F0" w:rsidRPr="007576F0" w:rsidRDefault="007576F0" w:rsidP="007576F0">
      <w:pPr>
        <w:spacing w:line="300" w:lineRule="exact"/>
        <w:ind w:left="1275" w:hanging="424"/>
        <w:rPr>
          <w:rFonts w:ascii="標楷體" w:eastAsia="標楷體" w:hAnsi="標楷體"/>
          <w:color w:val="000000"/>
        </w:rPr>
      </w:pPr>
      <w:r w:rsidRPr="007576F0">
        <w:rPr>
          <w:rFonts w:ascii="標楷體" w:eastAsia="標楷體" w:hAnsi="標楷體"/>
          <w:color w:val="000000"/>
        </w:rPr>
        <w:t xml:space="preserve">(3) </w:t>
      </w:r>
      <w:proofErr w:type="spellStart"/>
      <w:r w:rsidRPr="007576F0">
        <w:rPr>
          <w:rFonts w:ascii="標楷體" w:eastAsia="標楷體" w:hAnsi="標楷體"/>
          <w:color w:val="000000"/>
        </w:rPr>
        <w:t>ribociclib</w:t>
      </w:r>
      <w:proofErr w:type="spellEnd"/>
      <w:r w:rsidRPr="007576F0">
        <w:rPr>
          <w:rFonts w:ascii="標楷體" w:eastAsia="標楷體" w:hAnsi="標楷體"/>
          <w:color w:val="000000"/>
        </w:rPr>
        <w:t>與palbociclib僅得擇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w:t>
      </w:r>
      <w:proofErr w:type="gramStart"/>
      <w:r w:rsidRPr="007576F0">
        <w:rPr>
          <w:rFonts w:ascii="標楷體" w:eastAsia="標楷體" w:hAnsi="標楷體"/>
          <w:color w:val="000000"/>
        </w:rPr>
        <w:t>唯有在耐受</w:t>
      </w:r>
      <w:proofErr w:type="gramEnd"/>
      <w:r w:rsidRPr="007576F0">
        <w:rPr>
          <w:rFonts w:ascii="標楷體" w:eastAsia="標楷體" w:hAnsi="標楷體"/>
          <w:color w:val="000000"/>
        </w:rPr>
        <w:t>不良時方可轉換使用，使用總療程合併計算，以每人終生給付24個月為上限。(108/12/1)</w:t>
      </w:r>
    </w:p>
    <w:p w14:paraId="72F90A02" w14:textId="77777777" w:rsidR="007576F0" w:rsidRPr="007576F0" w:rsidRDefault="007576F0" w:rsidP="007576F0">
      <w:pPr>
        <w:spacing w:line="300" w:lineRule="exact"/>
        <w:ind w:left="1275" w:hanging="424"/>
        <w:rPr>
          <w:rFonts w:ascii="標楷體" w:eastAsia="標楷體" w:hAnsi="標楷體"/>
          <w:color w:val="000000"/>
        </w:rPr>
      </w:pPr>
      <w:r w:rsidRPr="007576F0">
        <w:rPr>
          <w:rFonts w:ascii="標楷體" w:eastAsia="標楷體" w:hAnsi="標楷體"/>
          <w:color w:val="000000"/>
        </w:rPr>
        <w:t>(4)若先前於早期乳癌使用</w:t>
      </w:r>
      <w:proofErr w:type="spellStart"/>
      <w:r w:rsidRPr="007576F0">
        <w:rPr>
          <w:rFonts w:ascii="標楷體" w:eastAsia="標楷體" w:hAnsi="標楷體"/>
          <w:color w:val="000000"/>
        </w:rPr>
        <w:t>abemaciclib</w:t>
      </w:r>
      <w:proofErr w:type="spellEnd"/>
      <w:r w:rsidRPr="007576F0">
        <w:rPr>
          <w:rFonts w:ascii="標楷體" w:eastAsia="標楷體" w:hAnsi="標楷體"/>
          <w:color w:val="000000"/>
        </w:rPr>
        <w:t>無效後，或於晚期乳癌使用</w:t>
      </w:r>
      <w:proofErr w:type="spellStart"/>
      <w:r w:rsidRPr="007576F0">
        <w:rPr>
          <w:rFonts w:ascii="標楷體" w:eastAsia="標楷體" w:hAnsi="標楷體"/>
          <w:color w:val="000000"/>
        </w:rPr>
        <w:t>ribociclib</w:t>
      </w:r>
      <w:proofErr w:type="spellEnd"/>
      <w:r w:rsidRPr="007576F0">
        <w:rPr>
          <w:rFonts w:ascii="標楷體" w:eastAsia="標楷體" w:hAnsi="標楷體"/>
          <w:color w:val="000000"/>
        </w:rPr>
        <w:t>、palbociclib無效後，不得再申請</w:t>
      </w:r>
      <w:proofErr w:type="spellStart"/>
      <w:r w:rsidRPr="007576F0">
        <w:rPr>
          <w:rFonts w:ascii="標楷體" w:eastAsia="標楷體" w:hAnsi="標楷體"/>
          <w:color w:val="000000"/>
        </w:rPr>
        <w:t>ribociclib</w:t>
      </w:r>
      <w:proofErr w:type="spellEnd"/>
      <w:r w:rsidRPr="007576F0">
        <w:rPr>
          <w:rFonts w:ascii="標楷體" w:eastAsia="標楷體" w:hAnsi="標楷體"/>
          <w:color w:val="000000"/>
        </w:rPr>
        <w:t>、palbociclib。(113/3/1、115/1/1)</w:t>
      </w:r>
    </w:p>
    <w:p w14:paraId="5701E231" w14:textId="77777777" w:rsidR="007576F0" w:rsidRPr="007576F0" w:rsidRDefault="007576F0" w:rsidP="007576F0">
      <w:pPr>
        <w:spacing w:line="300" w:lineRule="exact"/>
        <w:ind w:left="851" w:hanging="283"/>
        <w:rPr>
          <w:rFonts w:ascii="標楷體" w:eastAsia="標楷體" w:hAnsi="標楷體"/>
          <w:color w:val="000000"/>
        </w:rPr>
      </w:pPr>
      <w:r w:rsidRPr="007576F0">
        <w:rPr>
          <w:rFonts w:ascii="標楷體" w:eastAsia="標楷體" w:hAnsi="標楷體" w:hint="eastAsia"/>
          <w:color w:val="000000"/>
        </w:rPr>
        <w:t>6</w:t>
      </w:r>
      <w:r w:rsidRPr="007576F0">
        <w:rPr>
          <w:rFonts w:ascii="標楷體" w:eastAsia="標楷體" w:hAnsi="標楷體"/>
          <w:color w:val="000000"/>
        </w:rPr>
        <w:t>.110年9月30日以前已核定用藥之病人，得經事前審查核准後，使用至總療程(即終生24個月)或總療程期間疾病惡化為止，且後續不得再申請</w:t>
      </w:r>
      <w:proofErr w:type="gramStart"/>
      <w:r w:rsidRPr="007576F0">
        <w:rPr>
          <w:rFonts w:ascii="標楷體" w:eastAsia="標楷體" w:hAnsi="標楷體"/>
          <w:color w:val="000000"/>
        </w:rPr>
        <w:t>使用本類藥品</w:t>
      </w:r>
      <w:proofErr w:type="gramEnd"/>
      <w:r w:rsidRPr="007576F0">
        <w:rPr>
          <w:rFonts w:ascii="標楷體" w:eastAsia="標楷體" w:hAnsi="標楷體"/>
          <w:color w:val="000000"/>
        </w:rPr>
        <w:t>。（110/10/1、113/1/1）</w:t>
      </w:r>
    </w:p>
    <w:p w14:paraId="7E4F4831" w14:textId="77777777" w:rsidR="007576F0" w:rsidRPr="007576F0" w:rsidRDefault="007576F0" w:rsidP="007576F0">
      <w:pPr>
        <w:spacing w:line="300" w:lineRule="exact"/>
        <w:ind w:left="993" w:hanging="426"/>
        <w:rPr>
          <w:rFonts w:ascii="標楷體" w:eastAsia="標楷體" w:hAnsi="標楷體"/>
          <w:color w:val="000000"/>
        </w:rPr>
      </w:pPr>
      <w:r w:rsidRPr="007576F0">
        <w:rPr>
          <w:rFonts w:ascii="標楷體" w:eastAsia="標楷體" w:hAnsi="標楷體" w:hint="eastAsia"/>
          <w:color w:val="000000"/>
        </w:rPr>
        <w:t>7</w:t>
      </w:r>
      <w:r w:rsidRPr="007576F0">
        <w:rPr>
          <w:rFonts w:ascii="標楷體" w:eastAsia="標楷體" w:hAnsi="標楷體"/>
          <w:color w:val="000000"/>
        </w:rPr>
        <w:t xml:space="preserve">.若先前使用 </w:t>
      </w:r>
      <w:proofErr w:type="spellStart"/>
      <w:r w:rsidRPr="007576F0">
        <w:rPr>
          <w:rFonts w:ascii="標楷體" w:eastAsia="標楷體" w:hAnsi="標楷體"/>
          <w:color w:val="000000"/>
        </w:rPr>
        <w:t>everolimus</w:t>
      </w:r>
      <w:proofErr w:type="spellEnd"/>
      <w:r w:rsidRPr="007576F0">
        <w:rPr>
          <w:rFonts w:ascii="標楷體" w:eastAsia="標楷體" w:hAnsi="標楷體"/>
          <w:color w:val="000000"/>
        </w:rPr>
        <w:t xml:space="preserve"> 無效後，不得再</w:t>
      </w:r>
      <w:proofErr w:type="gramStart"/>
      <w:r w:rsidRPr="007576F0">
        <w:rPr>
          <w:rFonts w:ascii="標楷體" w:eastAsia="標楷體" w:hAnsi="標楷體"/>
          <w:color w:val="000000"/>
        </w:rPr>
        <w:t>申請本類藥品</w:t>
      </w:r>
      <w:proofErr w:type="gramEnd"/>
      <w:r w:rsidRPr="007576F0">
        <w:rPr>
          <w:rFonts w:ascii="標楷體" w:eastAsia="標楷體" w:hAnsi="標楷體"/>
          <w:color w:val="000000"/>
        </w:rPr>
        <w:t>。(109/4/1)</w:t>
      </w:r>
    </w:p>
    <w:p w14:paraId="42916A33"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 xml:space="preserve">9.73.Inotuzumab </w:t>
      </w:r>
      <w:proofErr w:type="spellStart"/>
      <w:r w:rsidRPr="007576F0">
        <w:rPr>
          <w:rFonts w:ascii="標楷體" w:eastAsia="標楷體" w:hAnsi="標楷體"/>
          <w:color w:val="000000"/>
        </w:rPr>
        <w:t>ozogamicin</w:t>
      </w:r>
      <w:proofErr w:type="spellEnd"/>
      <w:r w:rsidRPr="007576F0">
        <w:rPr>
          <w:rFonts w:ascii="標楷體" w:eastAsia="標楷體" w:hAnsi="標楷體"/>
          <w:color w:val="000000"/>
        </w:rPr>
        <w:t xml:space="preserve"> (如</w:t>
      </w:r>
      <w:proofErr w:type="spellStart"/>
      <w:r w:rsidRPr="007576F0">
        <w:rPr>
          <w:rFonts w:ascii="標楷體" w:eastAsia="標楷體" w:hAnsi="標楷體"/>
          <w:color w:val="000000"/>
        </w:rPr>
        <w:t>Besponsa</w:t>
      </w:r>
      <w:proofErr w:type="spellEnd"/>
      <w:r w:rsidRPr="007576F0">
        <w:rPr>
          <w:rFonts w:ascii="標楷體" w:eastAsia="標楷體" w:hAnsi="標楷體"/>
          <w:color w:val="000000"/>
        </w:rPr>
        <w:t>)：(108/11/1、112/12/1)</w:t>
      </w:r>
    </w:p>
    <w:p w14:paraId="5FA3FDAB" w14:textId="77777777" w:rsidR="007576F0" w:rsidRPr="007576F0" w:rsidRDefault="007576F0" w:rsidP="007576F0">
      <w:pPr>
        <w:spacing w:line="300" w:lineRule="exact"/>
        <w:ind w:left="960" w:hanging="240"/>
        <w:rPr>
          <w:rFonts w:ascii="標楷體" w:eastAsia="標楷體" w:hAnsi="標楷體"/>
          <w:color w:val="000000"/>
        </w:rPr>
      </w:pPr>
      <w:r w:rsidRPr="007576F0">
        <w:rPr>
          <w:rFonts w:ascii="標楷體" w:eastAsia="標楷體" w:hAnsi="標楷體"/>
          <w:color w:val="000000"/>
        </w:rPr>
        <w:t>1.適用於治療患有復發型或</w:t>
      </w:r>
      <w:proofErr w:type="gramStart"/>
      <w:r w:rsidRPr="007576F0">
        <w:rPr>
          <w:rFonts w:ascii="標楷體" w:eastAsia="標楷體" w:hAnsi="標楷體"/>
          <w:color w:val="000000"/>
        </w:rPr>
        <w:t>頑固型且</w:t>
      </w:r>
      <w:proofErr w:type="gramEnd"/>
      <w:r w:rsidRPr="007576F0">
        <w:rPr>
          <w:rFonts w:ascii="標楷體" w:eastAsia="標楷體" w:hAnsi="標楷體"/>
          <w:color w:val="000000"/>
        </w:rPr>
        <w:t>CD22為陽性之B細胞前驅因子之急性淋巴</w:t>
      </w:r>
      <w:proofErr w:type="gramStart"/>
      <w:r w:rsidRPr="007576F0">
        <w:rPr>
          <w:rFonts w:ascii="標楷體" w:eastAsia="標楷體" w:hAnsi="標楷體"/>
          <w:color w:val="000000"/>
        </w:rPr>
        <w:t>芽</w:t>
      </w:r>
      <w:proofErr w:type="gramEnd"/>
      <w:r w:rsidRPr="007576F0">
        <w:rPr>
          <w:rFonts w:ascii="標楷體" w:eastAsia="標楷體" w:hAnsi="標楷體"/>
          <w:color w:val="000000"/>
        </w:rPr>
        <w:t>細胞白血病(B-ALL)，且計畫進行造血幹細胞移植之成人病患。</w:t>
      </w:r>
    </w:p>
    <w:p w14:paraId="31476C7A" w14:textId="77777777" w:rsidR="007576F0" w:rsidRPr="007576F0" w:rsidRDefault="007576F0" w:rsidP="007576F0">
      <w:pPr>
        <w:spacing w:line="300" w:lineRule="exact"/>
        <w:ind w:left="960" w:hanging="240"/>
        <w:rPr>
          <w:rFonts w:ascii="標楷體" w:eastAsia="標楷體" w:hAnsi="標楷體"/>
          <w:color w:val="000000"/>
        </w:rPr>
      </w:pPr>
      <w:r w:rsidRPr="007576F0">
        <w:rPr>
          <w:rFonts w:ascii="標楷體" w:eastAsia="標楷體" w:hAnsi="標楷體"/>
          <w:color w:val="000000"/>
        </w:rPr>
        <w:t>2.上述成人病患如具費城染色體陽性(Ph+)，應至少使用過兩種酪胺</w:t>
      </w:r>
      <w:proofErr w:type="gramStart"/>
      <w:r w:rsidRPr="007576F0">
        <w:rPr>
          <w:rFonts w:ascii="標楷體" w:eastAsia="標楷體" w:hAnsi="標楷體"/>
          <w:color w:val="000000"/>
        </w:rPr>
        <w:t>酸激酶</w:t>
      </w:r>
      <w:proofErr w:type="gramEnd"/>
      <w:r w:rsidRPr="007576F0">
        <w:rPr>
          <w:rFonts w:ascii="標楷體" w:eastAsia="標楷體" w:hAnsi="標楷體"/>
          <w:color w:val="000000"/>
        </w:rPr>
        <w:t>抑制劑(TKI)藥物治療無效。</w:t>
      </w:r>
    </w:p>
    <w:p w14:paraId="1C19589E" w14:textId="77777777" w:rsidR="007576F0" w:rsidRPr="007576F0" w:rsidRDefault="007576F0" w:rsidP="007576F0">
      <w:pPr>
        <w:spacing w:line="300" w:lineRule="exact"/>
        <w:ind w:left="960" w:hanging="240"/>
        <w:rPr>
          <w:rFonts w:ascii="標楷體" w:eastAsia="標楷體" w:hAnsi="標楷體"/>
          <w:color w:val="000000"/>
        </w:rPr>
      </w:pPr>
      <w:r w:rsidRPr="007576F0">
        <w:rPr>
          <w:rFonts w:ascii="標楷體" w:eastAsia="標楷體" w:hAnsi="標楷體"/>
          <w:color w:val="000000"/>
        </w:rPr>
        <w:t>3.每位病人限給付2療程，需事前審查核准後使用。申請時需檢附完整之造血幹細胞移植計畫，並詳細記載確認移植之執行醫院及移植前調適治療等資料。</w:t>
      </w:r>
    </w:p>
    <w:p w14:paraId="13696624" w14:textId="77777777" w:rsidR="007576F0" w:rsidRPr="007576F0" w:rsidRDefault="007576F0" w:rsidP="007576F0">
      <w:pPr>
        <w:spacing w:line="300" w:lineRule="exact"/>
        <w:ind w:left="960" w:hanging="240"/>
        <w:rPr>
          <w:rFonts w:ascii="標楷體" w:eastAsia="標楷體" w:hAnsi="標楷體"/>
          <w:color w:val="000000"/>
        </w:rPr>
      </w:pPr>
      <w:r w:rsidRPr="007576F0">
        <w:rPr>
          <w:rFonts w:ascii="標楷體" w:eastAsia="標楷體" w:hAnsi="標楷體"/>
          <w:color w:val="000000"/>
        </w:rPr>
        <w:t>4.不得與blinatumomab（如</w:t>
      </w:r>
      <w:proofErr w:type="spellStart"/>
      <w:r w:rsidRPr="007576F0">
        <w:rPr>
          <w:rFonts w:ascii="標楷體" w:eastAsia="標楷體" w:hAnsi="標楷體"/>
          <w:color w:val="000000"/>
        </w:rPr>
        <w:t>Blincyto</w:t>
      </w:r>
      <w:proofErr w:type="spellEnd"/>
      <w:r w:rsidRPr="007576F0">
        <w:rPr>
          <w:rFonts w:ascii="標楷體" w:eastAsia="標楷體" w:hAnsi="標楷體"/>
          <w:color w:val="000000"/>
        </w:rPr>
        <w:t>）</w:t>
      </w:r>
      <w:proofErr w:type="gramStart"/>
      <w:r w:rsidRPr="007576F0">
        <w:rPr>
          <w:rFonts w:ascii="標楷體" w:eastAsia="標楷體" w:hAnsi="標楷體"/>
          <w:color w:val="000000"/>
        </w:rPr>
        <w:t>或酪胺酸激酶</w:t>
      </w:r>
      <w:proofErr w:type="gramEnd"/>
      <w:r w:rsidRPr="007576F0">
        <w:rPr>
          <w:rFonts w:ascii="標楷體" w:eastAsia="標楷體" w:hAnsi="標楷體"/>
          <w:color w:val="000000"/>
        </w:rPr>
        <w:t>抑制劑(TKI)（如imatinib、</w:t>
      </w:r>
      <w:proofErr w:type="spellStart"/>
      <w:r w:rsidRPr="007576F0">
        <w:rPr>
          <w:rFonts w:ascii="標楷體" w:eastAsia="標楷體" w:hAnsi="標楷體"/>
          <w:color w:val="000000"/>
        </w:rPr>
        <w:t>dasatinib</w:t>
      </w:r>
      <w:proofErr w:type="spellEnd"/>
      <w:r w:rsidRPr="007576F0">
        <w:rPr>
          <w:rFonts w:ascii="標楷體" w:eastAsia="標楷體" w:hAnsi="標楷體"/>
          <w:color w:val="000000"/>
        </w:rPr>
        <w:t>、ponatinib）等併用。</w:t>
      </w:r>
    </w:p>
    <w:p w14:paraId="4D802428" w14:textId="77777777" w:rsidR="007576F0" w:rsidRPr="007576F0" w:rsidRDefault="007576F0" w:rsidP="007576F0">
      <w:pPr>
        <w:spacing w:line="300" w:lineRule="exact"/>
        <w:ind w:left="960" w:hanging="240"/>
      </w:pPr>
      <w:r w:rsidRPr="007576F0">
        <w:rPr>
          <w:rFonts w:ascii="標楷體" w:eastAsia="標楷體" w:hAnsi="標楷體"/>
          <w:szCs w:val="24"/>
        </w:rPr>
        <w:t>5.病人若已依達</w:t>
      </w:r>
      <w:proofErr w:type="gramStart"/>
      <w:r w:rsidRPr="007576F0">
        <w:rPr>
          <w:rFonts w:ascii="標楷體" w:eastAsia="標楷體" w:hAnsi="標楷體"/>
          <w:szCs w:val="24"/>
        </w:rPr>
        <w:t>完全緩解但</w:t>
      </w:r>
      <w:proofErr w:type="gramEnd"/>
      <w:r w:rsidRPr="007576F0">
        <w:rPr>
          <w:rFonts w:ascii="標楷體" w:eastAsia="標楷體" w:hAnsi="標楷體"/>
          <w:szCs w:val="24"/>
        </w:rPr>
        <w:t>仍有殘餘疾病(MRD)之條件取得 blinatumomab 給付同意並接受治療後</w:t>
      </w:r>
      <w:r w:rsidRPr="007576F0">
        <w:rPr>
          <w:rFonts w:ascii="新細明體" w:hAnsi="新細明體"/>
          <w:szCs w:val="24"/>
        </w:rPr>
        <w:t>，</w:t>
      </w:r>
      <w:r w:rsidRPr="007576F0">
        <w:rPr>
          <w:rFonts w:ascii="標楷體" w:eastAsia="標楷體" w:hAnsi="標楷體"/>
          <w:szCs w:val="24"/>
        </w:rPr>
        <w:t>MRD若未消失但疾病仍在</w:t>
      </w:r>
      <w:proofErr w:type="gramStart"/>
      <w:r w:rsidRPr="007576F0">
        <w:rPr>
          <w:rFonts w:ascii="標楷體" w:eastAsia="標楷體" w:hAnsi="標楷體"/>
          <w:szCs w:val="24"/>
        </w:rPr>
        <w:t>完全緩解時</w:t>
      </w:r>
      <w:proofErr w:type="gramEnd"/>
      <w:r w:rsidRPr="007576F0">
        <w:rPr>
          <w:rFonts w:ascii="新細明體" w:hAnsi="新細明體"/>
          <w:szCs w:val="24"/>
        </w:rPr>
        <w:t>，</w:t>
      </w:r>
      <w:r w:rsidRPr="007576F0">
        <w:rPr>
          <w:rFonts w:ascii="標楷體" w:eastAsia="標楷體" w:hAnsi="標楷體"/>
          <w:szCs w:val="24"/>
        </w:rPr>
        <w:t>不得申請給付</w:t>
      </w:r>
      <w:proofErr w:type="spellStart"/>
      <w:r w:rsidRPr="007576F0">
        <w:rPr>
          <w:rFonts w:ascii="標楷體" w:eastAsia="標楷體" w:hAnsi="標楷體"/>
          <w:szCs w:val="24"/>
        </w:rPr>
        <w:t>inotuzumab</w:t>
      </w:r>
      <w:proofErr w:type="spellEnd"/>
      <w:r w:rsidRPr="007576F0">
        <w:rPr>
          <w:rFonts w:ascii="標楷體" w:eastAsia="標楷體" w:hAnsi="標楷體"/>
          <w:szCs w:val="24"/>
        </w:rPr>
        <w:t xml:space="preserve"> </w:t>
      </w:r>
      <w:proofErr w:type="spellStart"/>
      <w:r w:rsidRPr="007576F0">
        <w:rPr>
          <w:rFonts w:ascii="標楷體" w:eastAsia="標楷體" w:hAnsi="標楷體"/>
          <w:szCs w:val="24"/>
        </w:rPr>
        <w:t>ozogamicin</w:t>
      </w:r>
      <w:proofErr w:type="spellEnd"/>
      <w:r w:rsidRPr="007576F0">
        <w:rPr>
          <w:rFonts w:ascii="標楷體" w:eastAsia="標楷體" w:hAnsi="標楷體"/>
          <w:szCs w:val="24"/>
        </w:rPr>
        <w:t>。（112</w:t>
      </w:r>
      <w:r w:rsidRPr="007576F0">
        <w:rPr>
          <w:rFonts w:ascii="標楷體" w:eastAsia="標楷體" w:hAnsi="標楷體"/>
          <w:bCs/>
          <w:szCs w:val="24"/>
        </w:rPr>
        <w:t>/12/1）</w:t>
      </w:r>
    </w:p>
    <w:p w14:paraId="47F7EB65"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bookmarkStart w:id="60" w:name="_Hlk204092375"/>
      <w:r w:rsidRPr="007576F0">
        <w:rPr>
          <w:rFonts w:ascii="標楷體" w:eastAsia="標楷體" w:hAnsi="標楷體"/>
          <w:color w:val="000000"/>
        </w:rPr>
        <w:t>9.74.Cabozantinib (如</w:t>
      </w:r>
      <w:proofErr w:type="spellStart"/>
      <w:r w:rsidRPr="007576F0">
        <w:rPr>
          <w:rFonts w:ascii="標楷體" w:eastAsia="標楷體" w:hAnsi="標楷體"/>
          <w:color w:val="000000"/>
        </w:rPr>
        <w:t>Cabometyx</w:t>
      </w:r>
      <w:proofErr w:type="spellEnd"/>
      <w:r w:rsidRPr="007576F0">
        <w:rPr>
          <w:rFonts w:ascii="標楷體" w:eastAsia="標楷體" w:hAnsi="標楷體"/>
          <w:color w:val="000000"/>
        </w:rPr>
        <w:t>)： (108/12/1、110/12/1、</w:t>
      </w:r>
      <w:r w:rsidRPr="007576F0">
        <w:rPr>
          <w:rFonts w:ascii="標楷體" w:eastAsia="標楷體" w:hAnsi="標楷體" w:hint="eastAsia"/>
          <w:color w:val="000000"/>
        </w:rPr>
        <w:t>114/8/1</w:t>
      </w:r>
      <w:r w:rsidRPr="007576F0">
        <w:rPr>
          <w:rFonts w:ascii="標楷體" w:eastAsia="標楷體" w:hAnsi="標楷體"/>
          <w:color w:val="000000"/>
        </w:rPr>
        <w:t>)</w:t>
      </w:r>
    </w:p>
    <w:p w14:paraId="0D0E6BDE" w14:textId="77777777" w:rsidR="007576F0" w:rsidRPr="007576F0" w:rsidRDefault="007576F0" w:rsidP="007576F0">
      <w:pPr>
        <w:spacing w:line="300" w:lineRule="exact"/>
        <w:rPr>
          <w:rFonts w:ascii="標楷體" w:eastAsia="標楷體" w:hAnsi="標楷體"/>
        </w:rPr>
      </w:pPr>
      <w:r w:rsidRPr="007576F0">
        <w:rPr>
          <w:rFonts w:ascii="標楷體" w:eastAsia="標楷體" w:hAnsi="標楷體" w:hint="eastAsia"/>
        </w:rPr>
        <w:t xml:space="preserve">      1.腎細胞癌(108/12/1、110/12/1)</w:t>
      </w:r>
    </w:p>
    <w:p w14:paraId="7D4CE5E2" w14:textId="77777777" w:rsidR="007576F0" w:rsidRPr="007576F0" w:rsidRDefault="007576F0" w:rsidP="007576F0">
      <w:pPr>
        <w:spacing w:line="300" w:lineRule="exact"/>
        <w:ind w:leftChars="100" w:left="960" w:hangingChars="300" w:hanging="720"/>
        <w:rPr>
          <w:rFonts w:ascii="標楷體" w:eastAsia="標楷體" w:hAnsi="標楷體"/>
        </w:rPr>
      </w:pPr>
      <w:r w:rsidRPr="007576F0">
        <w:rPr>
          <w:rFonts w:ascii="標楷體" w:eastAsia="標楷體" w:hAnsi="標楷體" w:hint="eastAsia"/>
        </w:rPr>
        <w:t xml:space="preserve">     (1)適用於未曾接受過治療的中度/重度風險</w:t>
      </w:r>
      <w:proofErr w:type="gramStart"/>
      <w:r w:rsidRPr="007576F0">
        <w:rPr>
          <w:rFonts w:ascii="標楷體" w:eastAsia="標楷體" w:hAnsi="標楷體" w:hint="eastAsia"/>
        </w:rPr>
        <w:t>晚期腎</w:t>
      </w:r>
      <w:proofErr w:type="gramEnd"/>
      <w:r w:rsidRPr="007576F0">
        <w:rPr>
          <w:rFonts w:ascii="標楷體" w:eastAsia="標楷體" w:hAnsi="標楷體" w:hint="eastAsia"/>
        </w:rPr>
        <w:t>細胞癌病人。（110/12/1）</w:t>
      </w:r>
    </w:p>
    <w:p w14:paraId="0A1BFED3" w14:textId="77777777" w:rsidR="007576F0" w:rsidRPr="007576F0" w:rsidRDefault="007576F0" w:rsidP="007576F0">
      <w:pPr>
        <w:spacing w:line="300" w:lineRule="exact"/>
        <w:rPr>
          <w:rFonts w:ascii="標楷體" w:eastAsia="標楷體" w:hAnsi="標楷體"/>
        </w:rPr>
      </w:pPr>
      <w:r w:rsidRPr="007576F0">
        <w:rPr>
          <w:rFonts w:ascii="標楷體" w:eastAsia="標楷體" w:hAnsi="標楷體" w:hint="eastAsia"/>
          <w:color w:val="000000"/>
        </w:rPr>
        <w:t xml:space="preserve">         </w:t>
      </w:r>
      <w:r w:rsidRPr="007576F0">
        <w:rPr>
          <w:rFonts w:ascii="標楷體" w:eastAsia="標楷體" w:hAnsi="標楷體"/>
          <w:color w:val="000000"/>
        </w:rPr>
        <w:t>Ⅰ.</w:t>
      </w:r>
      <w:r w:rsidRPr="007576F0">
        <w:rPr>
          <w:rFonts w:ascii="標楷體" w:eastAsia="標楷體" w:hAnsi="標楷體" w:hint="eastAsia"/>
        </w:rPr>
        <w:t>無效後則</w:t>
      </w:r>
      <w:proofErr w:type="gramStart"/>
      <w:r w:rsidRPr="007576F0">
        <w:rPr>
          <w:rFonts w:ascii="標楷體" w:eastAsia="標楷體" w:hAnsi="標楷體" w:hint="eastAsia"/>
        </w:rPr>
        <w:t>不</w:t>
      </w:r>
      <w:proofErr w:type="gramEnd"/>
      <w:r w:rsidRPr="007576F0">
        <w:rPr>
          <w:rFonts w:ascii="標楷體" w:eastAsia="標楷體" w:hAnsi="標楷體" w:hint="eastAsia"/>
        </w:rPr>
        <w:t>給付</w:t>
      </w:r>
      <w:proofErr w:type="spellStart"/>
      <w:r w:rsidRPr="007576F0">
        <w:rPr>
          <w:rFonts w:ascii="標楷體" w:eastAsia="標楷體" w:hAnsi="標楷體" w:hint="eastAsia"/>
        </w:rPr>
        <w:t>temsirolimus</w:t>
      </w:r>
      <w:proofErr w:type="spellEnd"/>
      <w:r w:rsidRPr="007576F0">
        <w:rPr>
          <w:rFonts w:ascii="標楷體" w:eastAsia="標楷體" w:hAnsi="標楷體" w:hint="eastAsia"/>
        </w:rPr>
        <w:t>。</w:t>
      </w:r>
    </w:p>
    <w:p w14:paraId="6F0B9188" w14:textId="77777777" w:rsidR="007576F0" w:rsidRPr="007576F0" w:rsidRDefault="007576F0" w:rsidP="007576F0">
      <w:pPr>
        <w:spacing w:line="300" w:lineRule="exact"/>
        <w:ind w:leftChars="450" w:left="1440" w:hangingChars="150" w:hanging="360"/>
        <w:rPr>
          <w:rFonts w:ascii="標楷體" w:eastAsia="標楷體" w:hAnsi="標楷體"/>
        </w:rPr>
      </w:pPr>
      <w:r w:rsidRPr="007576F0">
        <w:rPr>
          <w:rFonts w:ascii="標楷體" w:eastAsia="標楷體" w:hAnsi="標楷體"/>
          <w:color w:val="000000"/>
        </w:rPr>
        <w:t>Ⅱ.</w:t>
      </w:r>
      <w:r w:rsidRPr="007576F0">
        <w:rPr>
          <w:rFonts w:ascii="標楷體" w:eastAsia="標楷體" w:hAnsi="標楷體" w:hint="eastAsia"/>
        </w:rPr>
        <w:t>病人若對藥物產生耐受性不佳（intolerance），則以原來藥物減量為原則，若嚴重耐受性不佳，可以換其他TKI。</w:t>
      </w:r>
    </w:p>
    <w:p w14:paraId="29DB070B" w14:textId="77777777" w:rsidR="007576F0" w:rsidRPr="007576F0" w:rsidRDefault="007576F0" w:rsidP="007576F0">
      <w:pPr>
        <w:spacing w:line="300" w:lineRule="exact"/>
        <w:ind w:leftChars="350" w:left="1200" w:hangingChars="150" w:hanging="360"/>
        <w:rPr>
          <w:rFonts w:ascii="標楷體" w:eastAsia="標楷體" w:hAnsi="標楷體"/>
        </w:rPr>
      </w:pPr>
      <w:r w:rsidRPr="007576F0">
        <w:rPr>
          <w:rFonts w:ascii="標楷體" w:eastAsia="標楷體" w:hAnsi="標楷體" w:hint="eastAsia"/>
        </w:rPr>
        <w:t>(2)適用於</w:t>
      </w:r>
      <w:proofErr w:type="gramStart"/>
      <w:r w:rsidRPr="007576F0">
        <w:rPr>
          <w:rFonts w:ascii="標楷體" w:eastAsia="標楷體" w:hAnsi="標楷體" w:hint="eastAsia"/>
        </w:rPr>
        <w:t>先前經抗血管</w:t>
      </w:r>
      <w:proofErr w:type="gramEnd"/>
      <w:r w:rsidRPr="007576F0">
        <w:rPr>
          <w:rFonts w:ascii="標楷體" w:eastAsia="標楷體" w:hAnsi="標楷體" w:hint="eastAsia"/>
        </w:rPr>
        <w:t>新生療法 (anti-angiogenic therapy)治療無效的</w:t>
      </w:r>
      <w:proofErr w:type="gramStart"/>
      <w:r w:rsidRPr="007576F0">
        <w:rPr>
          <w:rFonts w:ascii="標楷體" w:eastAsia="標楷體" w:hAnsi="標楷體" w:hint="eastAsia"/>
        </w:rPr>
        <w:t>晚期腎</w:t>
      </w:r>
      <w:proofErr w:type="gramEnd"/>
      <w:r w:rsidRPr="007576F0">
        <w:rPr>
          <w:rFonts w:ascii="標楷體" w:eastAsia="標楷體" w:hAnsi="標楷體" w:hint="eastAsia"/>
        </w:rPr>
        <w:t>細胞癌病人。</w:t>
      </w:r>
    </w:p>
    <w:p w14:paraId="52A9F58E" w14:textId="77777777" w:rsidR="007576F0" w:rsidRPr="007576F0" w:rsidRDefault="007576F0" w:rsidP="007576F0">
      <w:pPr>
        <w:spacing w:line="300" w:lineRule="exact"/>
        <w:ind w:leftChars="350" w:left="1200" w:hangingChars="150" w:hanging="360"/>
        <w:rPr>
          <w:rFonts w:ascii="標楷體" w:eastAsia="標楷體" w:hAnsi="標楷體"/>
        </w:rPr>
      </w:pPr>
      <w:r w:rsidRPr="007576F0">
        <w:rPr>
          <w:rFonts w:ascii="標楷體" w:eastAsia="標楷體" w:hAnsi="標楷體" w:hint="eastAsia"/>
        </w:rPr>
        <w:lastRenderedPageBreak/>
        <w:t>(3)須經事前審查核准後使用，每次申請療程以3個月為限，送審時需檢送影像資料，每3個月評估一次，無疾病惡化方可繼續使用。（110/12/1）</w:t>
      </w:r>
    </w:p>
    <w:p w14:paraId="5D3E2A24" w14:textId="77777777" w:rsidR="007576F0" w:rsidRPr="007576F0" w:rsidRDefault="007576F0" w:rsidP="007576F0">
      <w:pPr>
        <w:spacing w:line="300" w:lineRule="exact"/>
        <w:ind w:leftChars="350" w:left="1200" w:hangingChars="150" w:hanging="360"/>
        <w:rPr>
          <w:rFonts w:ascii="標楷體" w:eastAsia="標楷體" w:hAnsi="標楷體"/>
        </w:rPr>
      </w:pPr>
      <w:r w:rsidRPr="007576F0">
        <w:rPr>
          <w:rFonts w:ascii="標楷體" w:eastAsia="標楷體" w:hAnsi="標楷體" w:hint="eastAsia"/>
        </w:rPr>
        <w:t>(4)病人於第一線使用本藥物後再復發或惡化時，不得再次申請使用。（110/12/1）</w:t>
      </w:r>
    </w:p>
    <w:p w14:paraId="34E393F3" w14:textId="77777777" w:rsidR="007576F0" w:rsidRPr="007576F0" w:rsidRDefault="007576F0" w:rsidP="007576F0">
      <w:pPr>
        <w:spacing w:line="300" w:lineRule="exact"/>
        <w:rPr>
          <w:rFonts w:ascii="標楷體" w:eastAsia="標楷體" w:hAnsi="標楷體"/>
        </w:rPr>
      </w:pPr>
      <w:r w:rsidRPr="007576F0">
        <w:rPr>
          <w:rFonts w:ascii="標楷體" w:eastAsia="標楷體" w:hAnsi="標楷體" w:hint="eastAsia"/>
        </w:rPr>
        <w:t xml:space="preserve">     2.甲狀腺癌(1</w:t>
      </w:r>
      <w:r w:rsidRPr="007576F0">
        <w:rPr>
          <w:rFonts w:ascii="標楷體" w:eastAsia="標楷體" w:hAnsi="標楷體"/>
        </w:rPr>
        <w:t>14</w:t>
      </w:r>
      <w:r w:rsidRPr="007576F0">
        <w:rPr>
          <w:rFonts w:ascii="標楷體" w:eastAsia="標楷體" w:hAnsi="標楷體" w:hint="eastAsia"/>
        </w:rPr>
        <w:t>/8/1)</w:t>
      </w:r>
    </w:p>
    <w:p w14:paraId="19AFA832" w14:textId="77777777" w:rsidR="007576F0" w:rsidRPr="007576F0" w:rsidRDefault="007576F0" w:rsidP="007576F0">
      <w:pPr>
        <w:spacing w:line="300" w:lineRule="exact"/>
        <w:ind w:leftChars="350" w:left="1200" w:hangingChars="150" w:hanging="360"/>
        <w:rPr>
          <w:rFonts w:ascii="標楷體" w:eastAsia="標楷體" w:hAnsi="標楷體"/>
        </w:rPr>
      </w:pPr>
      <w:r w:rsidRPr="007576F0">
        <w:rPr>
          <w:rFonts w:ascii="標楷體" w:eastAsia="標楷體" w:hAnsi="標楷體" w:hint="eastAsia"/>
        </w:rPr>
        <w:t>(1)適用於治療成人及12歲以上兒童曾接受VEGFR標靶治療後惡化、放射碘治療無效或不適用放射碘治療的局部晚期或轉移性分化型甲狀腺癌病人。</w:t>
      </w:r>
    </w:p>
    <w:p w14:paraId="02D4549E" w14:textId="77777777" w:rsidR="007576F0" w:rsidRPr="007576F0" w:rsidRDefault="007576F0" w:rsidP="007576F0">
      <w:pPr>
        <w:spacing w:line="300" w:lineRule="exact"/>
        <w:ind w:leftChars="350" w:left="1200" w:hangingChars="150" w:hanging="360"/>
        <w:rPr>
          <w:rFonts w:ascii="標楷體" w:eastAsia="標楷體" w:hAnsi="標楷體"/>
        </w:rPr>
      </w:pPr>
      <w:r w:rsidRPr="007576F0">
        <w:rPr>
          <w:rFonts w:ascii="標楷體" w:eastAsia="標楷體" w:hAnsi="標楷體" w:hint="eastAsia"/>
        </w:rPr>
        <w:t>(2)須經事前審查核准後使用，每次申請療程以3個月為限，送審時需檢送影像資料，每3個月評估一次，無疾病惡化方可繼續使用。</w:t>
      </w:r>
    </w:p>
    <w:p w14:paraId="26BEEBB2" w14:textId="77777777" w:rsidR="007576F0" w:rsidRPr="007576F0" w:rsidRDefault="007576F0" w:rsidP="007576F0">
      <w:pPr>
        <w:spacing w:line="300" w:lineRule="exact"/>
        <w:ind w:firstLineChars="200" w:firstLine="480"/>
        <w:rPr>
          <w:rFonts w:ascii="標楷體" w:eastAsia="標楷體" w:hAnsi="標楷體"/>
        </w:rPr>
      </w:pPr>
      <w:r w:rsidRPr="007576F0">
        <w:rPr>
          <w:rFonts w:ascii="標楷體" w:eastAsia="標楷體" w:hAnsi="標楷體" w:hint="eastAsia"/>
        </w:rPr>
        <w:t xml:space="preserve"> 3.每日限用1粒。</w:t>
      </w:r>
      <w:bookmarkEnd w:id="60"/>
    </w:p>
    <w:p w14:paraId="0564CB49"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9.75. Carfilzomib (如</w:t>
      </w:r>
      <w:proofErr w:type="spellStart"/>
      <w:r w:rsidRPr="007576F0">
        <w:rPr>
          <w:rFonts w:ascii="標楷體" w:eastAsia="標楷體" w:hAnsi="標楷體"/>
          <w:color w:val="000000"/>
        </w:rPr>
        <w:t>Kyprolis</w:t>
      </w:r>
      <w:proofErr w:type="spellEnd"/>
      <w:r w:rsidRPr="007576F0">
        <w:rPr>
          <w:rFonts w:ascii="標楷體" w:eastAsia="標楷體" w:hAnsi="標楷體"/>
          <w:color w:val="000000"/>
        </w:rPr>
        <w:t>)：(109/2/1、112/4/1、113/4/1)</w:t>
      </w:r>
    </w:p>
    <w:p w14:paraId="06D75BCE" w14:textId="77777777" w:rsidR="007576F0" w:rsidRPr="007576F0" w:rsidRDefault="007576F0" w:rsidP="007576F0">
      <w:pPr>
        <w:spacing w:line="300" w:lineRule="exact"/>
        <w:ind w:left="991" w:hanging="283"/>
      </w:pPr>
      <w:r w:rsidRPr="007576F0">
        <w:rPr>
          <w:rFonts w:ascii="標楷體" w:eastAsia="標楷體" w:hAnsi="標楷體"/>
          <w:color w:val="000000"/>
        </w:rPr>
        <w:t>1.與dexamethasone合併使用於先前曾接受含bortezomib及lenalidomide兩種治療後無法耐受或惡化之病患，且須具有良好日常體能狀態(ECOG &lt; 2)及足夠腎功能(</w:t>
      </w:r>
      <w:proofErr w:type="spellStart"/>
      <w:r w:rsidRPr="007576F0">
        <w:rPr>
          <w:rFonts w:ascii="標楷體" w:eastAsia="標楷體" w:hAnsi="標楷體"/>
          <w:color w:val="000000"/>
        </w:rPr>
        <w:t>CrCl</w:t>
      </w:r>
      <w:proofErr w:type="spellEnd"/>
      <w:r w:rsidRPr="007576F0">
        <w:rPr>
          <w:rFonts w:ascii="標楷體" w:eastAsia="標楷體" w:hAnsi="標楷體"/>
          <w:color w:val="000000"/>
        </w:rPr>
        <w:t xml:space="preserve"> </w:t>
      </w:r>
      <w:r w:rsidRPr="007576F0">
        <w:rPr>
          <w:rFonts w:ascii="Times New Roman" w:eastAsia="標楷體" w:hAnsi="Times New Roman"/>
          <w:sz w:val="28"/>
          <w:szCs w:val="28"/>
        </w:rPr>
        <w:t>≥</w:t>
      </w:r>
      <w:r w:rsidRPr="007576F0">
        <w:rPr>
          <w:rFonts w:ascii="標楷體" w:eastAsia="標楷體" w:hAnsi="標楷體"/>
          <w:color w:val="000000"/>
        </w:rPr>
        <w:t>50 ml/minute)的多發性骨髓瘤成年患者。</w:t>
      </w:r>
    </w:p>
    <w:p w14:paraId="0EE9AEBA"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2.與</w:t>
      </w:r>
      <w:proofErr w:type="spellStart"/>
      <w:r w:rsidRPr="007576F0">
        <w:rPr>
          <w:rFonts w:ascii="標楷體" w:eastAsia="標楷體" w:hAnsi="標楷體"/>
          <w:color w:val="000000"/>
        </w:rPr>
        <w:t>isatuximab</w:t>
      </w:r>
      <w:proofErr w:type="spellEnd"/>
      <w:r w:rsidRPr="007576F0">
        <w:rPr>
          <w:rFonts w:ascii="標楷體" w:eastAsia="標楷體" w:hAnsi="標楷體"/>
          <w:color w:val="000000"/>
        </w:rPr>
        <w:t>/dexamethasone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用，治療先前曾接受至少一種含bortezomib 或 lenalidomide 之療法治療失敗的多發性骨髓瘤成人患者，且須具有良好日常體能狀態 (ECOG &lt; 2) 者。（113/4/1）</w:t>
      </w:r>
    </w:p>
    <w:p w14:paraId="35E0D496" w14:textId="77777777" w:rsidR="007576F0" w:rsidRPr="007576F0" w:rsidRDefault="007576F0" w:rsidP="007576F0">
      <w:pPr>
        <w:spacing w:line="300" w:lineRule="exact"/>
        <w:ind w:left="708"/>
      </w:pPr>
      <w:r w:rsidRPr="007576F0">
        <w:rPr>
          <w:rFonts w:ascii="標楷體" w:eastAsia="標楷體" w:hAnsi="標楷體"/>
          <w:color w:val="000000"/>
        </w:rPr>
        <w:t>3.</w:t>
      </w:r>
      <w:r w:rsidRPr="007576F0">
        <w:t xml:space="preserve"> </w:t>
      </w:r>
      <w:r w:rsidRPr="007576F0">
        <w:rPr>
          <w:rFonts w:ascii="標楷體" w:eastAsia="標楷體" w:hAnsi="標楷體"/>
          <w:color w:val="000000"/>
        </w:rPr>
        <w:t>需經事前審查核准後使用：（109/2/1、112/4/1）</w:t>
      </w:r>
    </w:p>
    <w:p w14:paraId="0D484F1E" w14:textId="77777777" w:rsidR="007576F0" w:rsidRPr="007576F0" w:rsidRDefault="007576F0" w:rsidP="007576F0">
      <w:pPr>
        <w:spacing w:line="300" w:lineRule="exact"/>
        <w:ind w:left="948"/>
        <w:rPr>
          <w:rFonts w:ascii="標楷體" w:eastAsia="標楷體" w:hAnsi="標楷體"/>
          <w:color w:val="000000"/>
        </w:rPr>
      </w:pPr>
      <w:r w:rsidRPr="007576F0">
        <w:rPr>
          <w:rFonts w:ascii="標楷體" w:eastAsia="標楷體" w:hAnsi="標楷體"/>
          <w:color w:val="000000"/>
        </w:rPr>
        <w:t>(1)初次申請以4個療程(每療程為4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)為限，且需同時符合下列Ⅰ.與Ⅱ.的條件：（109/2/1、112/4/1）</w:t>
      </w:r>
    </w:p>
    <w:p w14:paraId="2A0FF676" w14:textId="77777777" w:rsidR="007576F0" w:rsidRPr="007576F0" w:rsidRDefault="007576F0" w:rsidP="007576F0">
      <w:pPr>
        <w:spacing w:line="300" w:lineRule="exact"/>
        <w:ind w:left="1548" w:hanging="360"/>
        <w:rPr>
          <w:rFonts w:ascii="標楷體" w:eastAsia="標楷體" w:hAnsi="標楷體"/>
          <w:color w:val="000000"/>
        </w:rPr>
      </w:pPr>
      <w:r w:rsidRPr="007576F0">
        <w:rPr>
          <w:rFonts w:ascii="標楷體" w:eastAsia="標楷體" w:hAnsi="標楷體"/>
          <w:color w:val="000000"/>
        </w:rPr>
        <w:t>Ⅰ.具有下列任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疾病惡化的指標： 病患開始治療前須在連續2次評估中均符合同一指標 (但若為</w:t>
      </w:r>
      <w:proofErr w:type="spellStart"/>
      <w:r w:rsidRPr="007576F0">
        <w:rPr>
          <w:rFonts w:ascii="標楷體" w:eastAsia="標楷體" w:hAnsi="標楷體"/>
          <w:color w:val="000000"/>
        </w:rPr>
        <w:t>plamacytoma</w:t>
      </w:r>
      <w:proofErr w:type="spellEnd"/>
      <w:r w:rsidRPr="007576F0">
        <w:rPr>
          <w:rFonts w:ascii="標楷體" w:eastAsia="標楷體" w:hAnsi="標楷體"/>
          <w:color w:val="000000"/>
        </w:rPr>
        <w:t xml:space="preserve"> 體積增加，或是新產生的bone lesion(s)或新plasmacytoma，則僅需1次評估)：（112/4/1）</w:t>
      </w:r>
    </w:p>
    <w:p w14:paraId="416EC810" w14:textId="77777777" w:rsidR="007576F0" w:rsidRPr="007576F0" w:rsidRDefault="007576F0" w:rsidP="007576F0">
      <w:pPr>
        <w:spacing w:line="300" w:lineRule="exact"/>
        <w:ind w:left="1788" w:hanging="360"/>
      </w:pPr>
      <w:r w:rsidRPr="007576F0">
        <w:rPr>
          <w:rFonts w:ascii="新細明體" w:hAnsi="新細明體" w:cs="新細明體"/>
          <w:color w:val="000000"/>
        </w:rPr>
        <w:t>ⅰ</w:t>
      </w:r>
      <w:r w:rsidRPr="007576F0">
        <w:rPr>
          <w:rFonts w:ascii="標楷體" w:eastAsia="標楷體" w:hAnsi="標楷體"/>
          <w:color w:val="000000"/>
        </w:rPr>
        <w:t>.若前一線治療中M component 最低值</w:t>
      </w:r>
      <w:proofErr w:type="gramStart"/>
      <w:r w:rsidRPr="007576F0">
        <w:rPr>
          <w:rFonts w:ascii="標楷體" w:eastAsia="標楷體" w:hAnsi="標楷體"/>
          <w:color w:val="000000"/>
        </w:rPr>
        <w:t>≧</w:t>
      </w:r>
      <w:proofErr w:type="gramEnd"/>
      <w:r w:rsidRPr="007576F0">
        <w:rPr>
          <w:rFonts w:ascii="標楷體" w:eastAsia="標楷體" w:hAnsi="標楷體"/>
          <w:color w:val="000000"/>
        </w:rPr>
        <w:t>5 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1 g/dL；若前一線治療中M component最低值＜5 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0.5g/dL。</w:t>
      </w:r>
    </w:p>
    <w:p w14:paraId="51FDD452" w14:textId="77777777" w:rsidR="007576F0" w:rsidRPr="007576F0" w:rsidRDefault="007576F0" w:rsidP="007576F0">
      <w:pPr>
        <w:spacing w:line="300" w:lineRule="exact"/>
        <w:ind w:left="1788" w:hanging="360"/>
      </w:pPr>
      <w:proofErr w:type="spellStart"/>
      <w:r w:rsidRPr="007576F0">
        <w:rPr>
          <w:rFonts w:ascii="新細明體" w:hAnsi="新細明體" w:cs="新細明體"/>
          <w:color w:val="000000"/>
        </w:rPr>
        <w:t>ⅱ</w:t>
      </w:r>
      <w:r w:rsidRPr="007576F0">
        <w:rPr>
          <w:rFonts w:ascii="標楷體" w:eastAsia="標楷體" w:hAnsi="標楷體"/>
          <w:color w:val="000000"/>
        </w:rPr>
        <w:t>.Urine</w:t>
      </w:r>
      <w:proofErr w:type="spellEnd"/>
      <w:r w:rsidRPr="007576F0">
        <w:rPr>
          <w:rFonts w:ascii="標楷體" w:eastAsia="標楷體" w:hAnsi="標楷體"/>
          <w:color w:val="000000"/>
        </w:rPr>
        <w:t xml:space="preserve"> M-protein需增加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0.2 gm/24Hr，且需較前一線治療中的最低值增加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w:t>
      </w:r>
    </w:p>
    <w:p w14:paraId="11C724B6"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iii.在non-secretary myeloma 病患，骨髓</w:t>
      </w:r>
      <w:proofErr w:type="gramStart"/>
      <w:r w:rsidRPr="007576F0">
        <w:rPr>
          <w:rFonts w:ascii="標楷體" w:eastAsia="標楷體" w:hAnsi="標楷體"/>
          <w:color w:val="000000"/>
        </w:rPr>
        <w:t>漿</w:t>
      </w:r>
      <w:proofErr w:type="gramEnd"/>
      <w:r w:rsidRPr="007576F0">
        <w:rPr>
          <w:rFonts w:ascii="標楷體" w:eastAsia="標楷體" w:hAnsi="標楷體"/>
          <w:color w:val="000000"/>
        </w:rPr>
        <w:t>細胞 (plasma cells)之比例絕對值增加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10%，且需較前一線治療中的最低值增加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w:t>
      </w:r>
    </w:p>
    <w:p w14:paraId="1FD80235"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iv.新產生的bone lesion(s)或plasmacytoma；且須經病理切片證實。</w:t>
      </w:r>
    </w:p>
    <w:p w14:paraId="3CD9658C"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v. Plasmacytoma體積增加≧50%。</w:t>
      </w:r>
    </w:p>
    <w:p w14:paraId="7B1991D5"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vi.周邊</w:t>
      </w:r>
      <w:proofErr w:type="gramStart"/>
      <w:r w:rsidRPr="007576F0">
        <w:rPr>
          <w:rFonts w:ascii="標楷體" w:eastAsia="標楷體" w:hAnsi="標楷體"/>
          <w:color w:val="000000"/>
        </w:rPr>
        <w:t>血液中漿細胞</w:t>
      </w:r>
      <w:proofErr w:type="gramEnd"/>
      <w:r w:rsidRPr="007576F0">
        <w:rPr>
          <w:rFonts w:ascii="標楷體" w:eastAsia="標楷體" w:hAnsi="標楷體"/>
          <w:color w:val="000000"/>
        </w:rPr>
        <w:t>比例</w:t>
      </w:r>
      <w:proofErr w:type="gramStart"/>
      <w:r w:rsidRPr="007576F0">
        <w:rPr>
          <w:rFonts w:ascii="標楷體" w:eastAsia="標楷體" w:hAnsi="標楷體"/>
          <w:color w:val="000000"/>
        </w:rPr>
        <w:t>≧</w:t>
      </w:r>
      <w:proofErr w:type="gramEnd"/>
      <w:r w:rsidRPr="007576F0">
        <w:rPr>
          <w:rFonts w:ascii="標楷體" w:eastAsia="標楷體" w:hAnsi="標楷體"/>
          <w:color w:val="000000"/>
        </w:rPr>
        <w:t>20%</w:t>
      </w:r>
      <w:proofErr w:type="gramStart"/>
      <w:r w:rsidRPr="007576F0">
        <w:rPr>
          <w:rFonts w:ascii="標楷體" w:eastAsia="標楷體" w:hAnsi="標楷體"/>
          <w:color w:val="000000"/>
        </w:rPr>
        <w:t>或漿細胞</w:t>
      </w:r>
      <w:proofErr w:type="gramEnd"/>
      <w:r w:rsidRPr="007576F0">
        <w:rPr>
          <w:rFonts w:ascii="標楷體" w:eastAsia="標楷體" w:hAnsi="標楷體"/>
          <w:color w:val="000000"/>
        </w:rPr>
        <w:t>絕對值</w:t>
      </w:r>
      <w:proofErr w:type="gramStart"/>
      <w:r w:rsidRPr="007576F0">
        <w:rPr>
          <w:rFonts w:ascii="標楷體" w:eastAsia="標楷體" w:hAnsi="標楷體"/>
          <w:color w:val="000000"/>
        </w:rPr>
        <w:t>≧</w:t>
      </w:r>
      <w:proofErr w:type="gramEnd"/>
      <w:r w:rsidRPr="007576F0">
        <w:rPr>
          <w:rFonts w:ascii="標楷體" w:eastAsia="標楷體" w:hAnsi="標楷體"/>
          <w:color w:val="000000"/>
        </w:rPr>
        <w:t>2000 cells/</w:t>
      </w:r>
      <w:proofErr w:type="spellStart"/>
      <w:r w:rsidRPr="007576F0">
        <w:rPr>
          <w:rFonts w:ascii="標楷體" w:eastAsia="標楷體" w:hAnsi="標楷體"/>
          <w:color w:val="000000"/>
        </w:rPr>
        <w:t>μL</w:t>
      </w:r>
      <w:proofErr w:type="spellEnd"/>
      <w:r w:rsidRPr="007576F0">
        <w:rPr>
          <w:rFonts w:ascii="標楷體" w:eastAsia="標楷體" w:hAnsi="標楷體"/>
          <w:color w:val="000000"/>
        </w:rPr>
        <w:t>。</w:t>
      </w:r>
    </w:p>
    <w:p w14:paraId="1EFCA0C0" w14:textId="77777777" w:rsidR="007576F0" w:rsidRPr="007576F0" w:rsidRDefault="007576F0" w:rsidP="007576F0">
      <w:pPr>
        <w:spacing w:line="300" w:lineRule="exact"/>
        <w:ind w:left="1188"/>
        <w:rPr>
          <w:rFonts w:ascii="標楷體" w:eastAsia="標楷體" w:hAnsi="標楷體"/>
          <w:color w:val="000000"/>
        </w:rPr>
      </w:pPr>
      <w:r w:rsidRPr="007576F0">
        <w:rPr>
          <w:rFonts w:ascii="標楷體" w:eastAsia="標楷體" w:hAnsi="標楷體"/>
          <w:color w:val="000000"/>
        </w:rPr>
        <w:t>Ⅱ.出現下列任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臨床症狀：（112/4/1）</w:t>
      </w:r>
    </w:p>
    <w:p w14:paraId="5CAFAFB4" w14:textId="77777777" w:rsidR="007576F0" w:rsidRPr="007576F0" w:rsidRDefault="007576F0" w:rsidP="007576F0">
      <w:pPr>
        <w:spacing w:line="300" w:lineRule="exact"/>
        <w:ind w:left="1788" w:hanging="360"/>
      </w:pPr>
      <w:r w:rsidRPr="007576F0">
        <w:rPr>
          <w:rFonts w:ascii="新細明體" w:hAnsi="新細明體" w:cs="新細明體"/>
          <w:color w:val="000000"/>
        </w:rPr>
        <w:t>ⅰ</w:t>
      </w:r>
      <w:r w:rsidRPr="007576F0">
        <w:rPr>
          <w:rFonts w:ascii="標楷體" w:eastAsia="標楷體" w:hAnsi="標楷體"/>
          <w:color w:val="000000"/>
        </w:rPr>
        <w:t>.新產生的bone lesion(s)或plasmacytoma；且須經病理切片證實。</w:t>
      </w:r>
    </w:p>
    <w:p w14:paraId="5AF470F1" w14:textId="77777777" w:rsidR="007576F0" w:rsidRPr="007576F0" w:rsidRDefault="007576F0" w:rsidP="007576F0">
      <w:pPr>
        <w:spacing w:line="300" w:lineRule="exact"/>
        <w:ind w:left="1788" w:hanging="360"/>
      </w:pPr>
      <w:proofErr w:type="spellStart"/>
      <w:r w:rsidRPr="007576F0">
        <w:rPr>
          <w:rFonts w:ascii="新細明體" w:hAnsi="新細明體" w:cs="新細明體"/>
          <w:color w:val="000000"/>
        </w:rPr>
        <w:t>ⅱ</w:t>
      </w:r>
      <w:r w:rsidRPr="007576F0">
        <w:rPr>
          <w:rFonts w:ascii="標楷體" w:eastAsia="標楷體" w:hAnsi="標楷體"/>
          <w:color w:val="000000"/>
        </w:rPr>
        <w:t>.Plasmacytoma</w:t>
      </w:r>
      <w:proofErr w:type="spellEnd"/>
      <w:r w:rsidRPr="007576F0">
        <w:rPr>
          <w:rFonts w:ascii="標楷體" w:eastAsia="標楷體" w:hAnsi="標楷體"/>
          <w:color w:val="000000"/>
        </w:rPr>
        <w:t xml:space="preserve"> 體積增加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50%。</w:t>
      </w:r>
    </w:p>
    <w:p w14:paraId="6E9DC49C"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iii.高血鈣(corrected serum calcium＞11.0 mg/dL 或 2.75 mmol/L)。</w:t>
      </w:r>
    </w:p>
    <w:p w14:paraId="358C8690"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iv.貧血(Hemoglobin 下降幅度</w:t>
      </w:r>
      <w:proofErr w:type="gramStart"/>
      <w:r w:rsidRPr="007576F0">
        <w:rPr>
          <w:rFonts w:ascii="標楷體" w:eastAsia="標楷體" w:hAnsi="標楷體"/>
          <w:color w:val="000000"/>
        </w:rPr>
        <w:t>≧</w:t>
      </w:r>
      <w:proofErr w:type="gramEnd"/>
      <w:r w:rsidRPr="007576F0">
        <w:rPr>
          <w:rFonts w:ascii="標楷體" w:eastAsia="標楷體" w:hAnsi="標楷體"/>
          <w:color w:val="000000"/>
        </w:rPr>
        <w:t xml:space="preserve"> 2gm/dL且無其他原因可以解釋)。</w:t>
      </w:r>
    </w:p>
    <w:p w14:paraId="6B131FBF"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v.腎功能惡化(eGFR需下降幅度</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25%)，且無其他原因可以解釋。</w:t>
      </w:r>
    </w:p>
    <w:p w14:paraId="57B5CFA2" w14:textId="77777777" w:rsidR="007576F0" w:rsidRPr="007576F0" w:rsidRDefault="007576F0" w:rsidP="007576F0">
      <w:pPr>
        <w:spacing w:line="300" w:lineRule="exact"/>
        <w:ind w:left="1788" w:hanging="360"/>
        <w:rPr>
          <w:rFonts w:ascii="標楷體" w:eastAsia="標楷體" w:hAnsi="標楷體"/>
          <w:color w:val="000000"/>
        </w:rPr>
      </w:pPr>
      <w:r w:rsidRPr="007576F0">
        <w:rPr>
          <w:rFonts w:ascii="標楷體" w:eastAsia="標楷體" w:hAnsi="標楷體"/>
          <w:color w:val="000000"/>
        </w:rPr>
        <w:t>vi.出現其他end-organ dysfunctions。</w:t>
      </w:r>
    </w:p>
    <w:p w14:paraId="74EB4D65" w14:textId="77777777" w:rsidR="007576F0" w:rsidRPr="007576F0" w:rsidRDefault="007576F0" w:rsidP="007576F0">
      <w:pPr>
        <w:spacing w:line="300" w:lineRule="exact"/>
        <w:ind w:left="1428" w:hanging="480"/>
        <w:rPr>
          <w:rFonts w:ascii="標楷體" w:eastAsia="標楷體" w:hAnsi="標楷體"/>
          <w:color w:val="000000"/>
        </w:rPr>
      </w:pPr>
      <w:r w:rsidRPr="007576F0">
        <w:rPr>
          <w:rFonts w:ascii="標楷體" w:eastAsia="標楷體" w:hAnsi="標楷體"/>
          <w:color w:val="000000"/>
        </w:rPr>
        <w:t>(2)再次申請時必須確定paraprotein (M-protein)未上升(即表示對藥物有反應或為穩定狀態);或對部分non-secretory type MM病人以骨髓檢查plasma cell為療效依據，證明為對藥物有反應或為穩定狀態，方可繼續使用。續用時的申請每次以3個療程為限。</w:t>
      </w:r>
    </w:p>
    <w:p w14:paraId="020509D7" w14:textId="77777777" w:rsidR="007576F0" w:rsidRPr="007576F0" w:rsidRDefault="007576F0" w:rsidP="007576F0">
      <w:pPr>
        <w:spacing w:line="300" w:lineRule="exact"/>
        <w:ind w:left="948"/>
        <w:rPr>
          <w:rFonts w:ascii="標楷體" w:eastAsia="標楷體" w:hAnsi="標楷體"/>
          <w:color w:val="000000"/>
        </w:rPr>
      </w:pPr>
      <w:r w:rsidRPr="007576F0">
        <w:rPr>
          <w:rFonts w:ascii="標楷體" w:eastAsia="標楷體" w:hAnsi="標楷體"/>
          <w:color w:val="000000"/>
        </w:rPr>
        <w:t xml:space="preserve">(3)每人終生以10個療程為上限。 （109/2/1、112/4/1） </w:t>
      </w:r>
    </w:p>
    <w:p w14:paraId="1657312F" w14:textId="77777777" w:rsidR="007576F0" w:rsidRPr="007576F0" w:rsidRDefault="007576F0" w:rsidP="007576F0">
      <w:pPr>
        <w:spacing w:line="300" w:lineRule="exact"/>
        <w:ind w:left="991" w:hanging="283"/>
      </w:pPr>
      <w:r w:rsidRPr="007576F0">
        <w:rPr>
          <w:rFonts w:ascii="標楷體" w:eastAsia="標楷體" w:hAnsi="標楷體"/>
          <w:color w:val="000000"/>
        </w:rPr>
        <w:t>4.</w:t>
      </w:r>
      <w:r w:rsidRPr="007576F0">
        <w:t xml:space="preserve"> </w:t>
      </w:r>
      <w:r w:rsidRPr="007576F0">
        <w:rPr>
          <w:rFonts w:ascii="標楷體" w:eastAsia="標楷體" w:hAnsi="標楷體"/>
          <w:color w:val="000000"/>
        </w:rPr>
        <w:t>不得與其他蛋白酶體抑制劑(proteasome inhibitor)或免疫調節劑(immunomodulatory drugs) 或daratumumab併用。（109/2/1、112/4/1、113/4/1）</w:t>
      </w:r>
    </w:p>
    <w:p w14:paraId="2A0694C5" w14:textId="77777777" w:rsidR="007576F0" w:rsidRPr="007576F0" w:rsidRDefault="007576F0" w:rsidP="007576F0">
      <w:pPr>
        <w:spacing w:line="300" w:lineRule="exact"/>
        <w:ind w:left="991" w:hanging="283"/>
      </w:pPr>
      <w:r w:rsidRPr="007576F0">
        <w:rPr>
          <w:rFonts w:ascii="標楷體" w:eastAsia="標楷體" w:hAnsi="標楷體"/>
          <w:color w:val="000000"/>
        </w:rPr>
        <w:t>5.</w:t>
      </w:r>
      <w:r w:rsidRPr="007576F0">
        <w:t xml:space="preserve"> </w:t>
      </w:r>
      <w:r w:rsidRPr="007576F0">
        <w:rPr>
          <w:rFonts w:ascii="標楷體" w:eastAsia="標楷體" w:hAnsi="標楷體"/>
          <w:color w:val="000000"/>
        </w:rPr>
        <w:t>112年3月31日以前已核定用藥之病人，得經事前審查核准後，使用至總療程上限</w:t>
      </w:r>
      <w:r w:rsidRPr="007576F0">
        <w:rPr>
          <w:rFonts w:ascii="標楷體" w:eastAsia="標楷體" w:hAnsi="標楷體"/>
          <w:color w:val="000000"/>
        </w:rPr>
        <w:lastRenderedPageBreak/>
        <w:t>（即終生10個療程）或使用期間發生疾病惡化為止。（112/4/1）</w:t>
      </w:r>
    </w:p>
    <w:p w14:paraId="598618FD"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bookmarkStart w:id="61" w:name="_Hlk209192170"/>
      <w:r w:rsidRPr="007576F0">
        <w:rPr>
          <w:rFonts w:ascii="標楷體" w:eastAsia="標楷體" w:hAnsi="標楷體"/>
          <w:color w:val="000000"/>
        </w:rPr>
        <w:t>9.76.Midostaurin (如</w:t>
      </w:r>
      <w:proofErr w:type="spellStart"/>
      <w:r w:rsidRPr="007576F0">
        <w:rPr>
          <w:rFonts w:ascii="標楷體" w:eastAsia="標楷體" w:hAnsi="標楷體"/>
          <w:color w:val="000000"/>
        </w:rPr>
        <w:t>Rydapt</w:t>
      </w:r>
      <w:proofErr w:type="spellEnd"/>
      <w:r w:rsidRPr="007576F0">
        <w:rPr>
          <w:rFonts w:ascii="標楷體" w:eastAsia="標楷體" w:hAnsi="標楷體"/>
          <w:color w:val="000000"/>
        </w:rPr>
        <w:t>)：(109/2/1、113/6/1、114/10/1)</w:t>
      </w:r>
    </w:p>
    <w:p w14:paraId="0879906F"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color w:val="000000"/>
        </w:rPr>
        <w:tab/>
        <w:t>限</w:t>
      </w:r>
      <w:proofErr w:type="gramStart"/>
      <w:r w:rsidRPr="007576F0">
        <w:rPr>
          <w:rFonts w:ascii="標楷體" w:eastAsia="標楷體" w:hAnsi="標楷體"/>
          <w:color w:val="000000"/>
        </w:rPr>
        <w:t>用於新確診</w:t>
      </w:r>
      <w:proofErr w:type="gramEnd"/>
      <w:r w:rsidRPr="007576F0">
        <w:rPr>
          <w:rFonts w:ascii="標楷體" w:eastAsia="標楷體" w:hAnsi="標楷體"/>
          <w:color w:val="000000"/>
        </w:rPr>
        <w:t xml:space="preserve">為FLT3突變陽性的急性骨髓性白血病(AML)成人病患之標準前導與鞏固性化療時合併使用。 </w:t>
      </w:r>
    </w:p>
    <w:p w14:paraId="3AA6A2BB"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color w:val="000000"/>
        </w:rPr>
        <w:tab/>
        <w:t>需排除急性前骨髓性細胞白血病（acute promyelocytic leukemia，APL）的患者。</w:t>
      </w:r>
    </w:p>
    <w:p w14:paraId="25BDA073"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3.</w:t>
      </w:r>
      <w:r w:rsidRPr="007576F0">
        <w:rPr>
          <w:rFonts w:ascii="標楷體" w:eastAsia="標楷體" w:hAnsi="標楷體"/>
          <w:color w:val="000000"/>
        </w:rPr>
        <w:tab/>
        <w:t>首次用於標準前導期，可免事前審查，以2個療程為限，若2個療程後仍未達</w:t>
      </w:r>
      <w:proofErr w:type="gramStart"/>
      <w:r w:rsidRPr="007576F0">
        <w:rPr>
          <w:rFonts w:ascii="標楷體" w:eastAsia="標楷體" w:hAnsi="標楷體"/>
          <w:color w:val="000000"/>
        </w:rPr>
        <w:t>完全緩</w:t>
      </w:r>
      <w:proofErr w:type="gramEnd"/>
      <w:r w:rsidRPr="007576F0">
        <w:rPr>
          <w:rFonts w:ascii="標楷體" w:eastAsia="標楷體" w:hAnsi="標楷體"/>
          <w:color w:val="000000"/>
        </w:rPr>
        <w:t>解之病患即不得再使用。</w:t>
      </w:r>
    </w:p>
    <w:p w14:paraId="76C11E50"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4.</w:t>
      </w:r>
      <w:r w:rsidRPr="007576F0">
        <w:rPr>
          <w:rFonts w:ascii="標楷體" w:eastAsia="標楷體" w:hAnsi="標楷體"/>
          <w:color w:val="000000"/>
        </w:rPr>
        <w:tab/>
        <w:t>續用時需經事前審查核准後使用，申請時須檢附FLT3突變陽性檢測結果報告，且需符合全民健康保險藥品給付規定之通則十二，及日期、化學治療處方紀錄及療效評估，每次續用申請以2個療程為限，並需檢附前次治療結果評估資料證實無疾病進展，才可繼續使用。每人以總共給付6個療程為上限。(113/6/1)</w:t>
      </w:r>
    </w:p>
    <w:p w14:paraId="69B4C84A"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5.</w:t>
      </w:r>
      <w:r w:rsidRPr="007576F0">
        <w:rPr>
          <w:rFonts w:ascii="標楷體" w:eastAsia="標楷體" w:hAnsi="標楷體"/>
          <w:color w:val="000000"/>
        </w:rPr>
        <w:tab/>
        <w:t>若病患接受造血幹細胞移植後則將不再給付本藥品。</w:t>
      </w:r>
    </w:p>
    <w:p w14:paraId="5774A802"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6.本藥品與</w:t>
      </w:r>
      <w:proofErr w:type="spellStart"/>
      <w:r w:rsidRPr="007576F0">
        <w:rPr>
          <w:rFonts w:ascii="標楷體" w:eastAsia="標楷體" w:hAnsi="標楷體"/>
          <w:color w:val="000000"/>
        </w:rPr>
        <w:t>quizartinib</w:t>
      </w:r>
      <w:proofErr w:type="spellEnd"/>
      <w:r w:rsidRPr="007576F0">
        <w:rPr>
          <w:rFonts w:ascii="標楷體" w:eastAsia="標楷體" w:hAnsi="標楷體"/>
          <w:color w:val="000000"/>
        </w:rPr>
        <w:t>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w:t>
      </w:r>
      <w:proofErr w:type="gramStart"/>
      <w:r w:rsidRPr="007576F0">
        <w:rPr>
          <w:rFonts w:ascii="標楷體" w:eastAsia="標楷體" w:hAnsi="標楷體"/>
          <w:color w:val="000000"/>
        </w:rPr>
        <w:t>除因耐受</w:t>
      </w:r>
      <w:proofErr w:type="gramEnd"/>
      <w:r w:rsidRPr="007576F0">
        <w:rPr>
          <w:rFonts w:ascii="標楷體" w:eastAsia="標楷體" w:hAnsi="標楷體"/>
          <w:color w:val="000000"/>
        </w:rPr>
        <w:t>性不良，不得互換。(114/10/1)</w:t>
      </w:r>
      <w:bookmarkEnd w:id="61"/>
    </w:p>
    <w:p w14:paraId="315E287F"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9.77.Ixazomib (如</w:t>
      </w:r>
      <w:proofErr w:type="spellStart"/>
      <w:r w:rsidRPr="007576F0">
        <w:rPr>
          <w:rFonts w:ascii="標楷體" w:eastAsia="標楷體" w:hAnsi="標楷體"/>
          <w:color w:val="000000"/>
        </w:rPr>
        <w:t>Ninlaro</w:t>
      </w:r>
      <w:proofErr w:type="spellEnd"/>
      <w:r w:rsidRPr="007576F0">
        <w:rPr>
          <w:rFonts w:ascii="標楷體" w:eastAsia="標楷體" w:hAnsi="標楷體"/>
          <w:color w:val="000000"/>
        </w:rPr>
        <w:t>)：(109/3/1、112/4/1)</w:t>
      </w:r>
    </w:p>
    <w:p w14:paraId="04446CD4"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1.與lenalidomide及dexamethasone合併使用於先前已接受至少一種治療失敗之多發性骨髓瘤病患，並符合下列條件之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w:t>
      </w:r>
    </w:p>
    <w:p w14:paraId="500FA894" w14:textId="77777777" w:rsidR="007576F0" w:rsidRPr="007576F0" w:rsidRDefault="007576F0" w:rsidP="007576F0">
      <w:pPr>
        <w:spacing w:line="300" w:lineRule="exact"/>
        <w:ind w:left="1231" w:hanging="283"/>
        <w:rPr>
          <w:rFonts w:ascii="標楷體" w:eastAsia="標楷體" w:hAnsi="標楷體"/>
          <w:color w:val="000000"/>
        </w:rPr>
      </w:pPr>
      <w:r w:rsidRPr="007576F0">
        <w:rPr>
          <w:rFonts w:ascii="標楷體" w:eastAsia="標楷體" w:hAnsi="標楷體"/>
          <w:color w:val="000000"/>
        </w:rPr>
        <w:t>(1)體能不適合(unfit)化療標靶注射治療者。</w:t>
      </w:r>
    </w:p>
    <w:p w14:paraId="03C30C03" w14:textId="77777777" w:rsidR="007576F0" w:rsidRPr="007576F0" w:rsidRDefault="007576F0" w:rsidP="007576F0">
      <w:pPr>
        <w:spacing w:line="300" w:lineRule="exact"/>
        <w:ind w:left="1231" w:hanging="283"/>
      </w:pPr>
      <w:r w:rsidRPr="007576F0">
        <w:rPr>
          <w:rFonts w:ascii="標楷體" w:eastAsia="標楷體" w:hAnsi="標楷體"/>
          <w:color w:val="000000"/>
        </w:rPr>
        <w:t>(2)</w:t>
      </w:r>
      <w:r w:rsidRPr="007576F0">
        <w:t xml:space="preserve"> </w:t>
      </w:r>
      <w:r w:rsidRPr="007576F0">
        <w:rPr>
          <w:rFonts w:ascii="標楷體" w:eastAsia="標楷體" w:hAnsi="標楷體"/>
          <w:color w:val="000000"/>
        </w:rPr>
        <w:t>曾接受bortezomib治療失敗，但有嚴重心</w:t>
      </w:r>
      <w:proofErr w:type="gramStart"/>
      <w:r w:rsidRPr="007576F0">
        <w:rPr>
          <w:rFonts w:ascii="標楷體" w:eastAsia="標楷體" w:hAnsi="標楷體"/>
          <w:color w:val="000000"/>
        </w:rPr>
        <w:t>血管共病無法</w:t>
      </w:r>
      <w:proofErr w:type="gramEnd"/>
      <w:r w:rsidRPr="007576F0">
        <w:rPr>
          <w:rFonts w:ascii="標楷體" w:eastAsia="標楷體" w:hAnsi="標楷體"/>
          <w:color w:val="000000"/>
        </w:rPr>
        <w:t>接受</w:t>
      </w:r>
      <w:proofErr w:type="spellStart"/>
      <w:r w:rsidRPr="007576F0">
        <w:rPr>
          <w:rFonts w:ascii="標楷體" w:eastAsia="標楷體" w:hAnsi="標楷體"/>
          <w:color w:val="000000"/>
        </w:rPr>
        <w:t>carfizomib</w:t>
      </w:r>
      <w:proofErr w:type="spellEnd"/>
      <w:r w:rsidRPr="007576F0">
        <w:rPr>
          <w:rFonts w:ascii="標楷體" w:eastAsia="標楷體" w:hAnsi="標楷體"/>
          <w:color w:val="000000"/>
        </w:rPr>
        <w:t xml:space="preserve"> 治療之病患。（109/3/1、112/4/1）</w:t>
      </w:r>
    </w:p>
    <w:p w14:paraId="6CB08530"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2.前述病患若於第二線治療使用，則需為具高風險細胞遺傳異常的病人群 (包括具del（17p）、t</w:t>
      </w:r>
      <w:proofErr w:type="gramStart"/>
      <w:r w:rsidRPr="007576F0">
        <w:rPr>
          <w:rFonts w:ascii="標楷體" w:eastAsia="標楷體" w:hAnsi="標楷體"/>
          <w:color w:val="000000"/>
        </w:rPr>
        <w:t>（</w:t>
      </w:r>
      <w:proofErr w:type="gramEnd"/>
      <w:r w:rsidRPr="007576F0">
        <w:rPr>
          <w:rFonts w:ascii="標楷體" w:eastAsia="標楷體" w:hAnsi="標楷體"/>
          <w:color w:val="000000"/>
        </w:rPr>
        <w:t>4；14</w:t>
      </w:r>
      <w:proofErr w:type="gramStart"/>
      <w:r w:rsidRPr="007576F0">
        <w:rPr>
          <w:rFonts w:ascii="標楷體" w:eastAsia="標楷體" w:hAnsi="標楷體"/>
          <w:color w:val="000000"/>
        </w:rPr>
        <w:t>）</w:t>
      </w:r>
      <w:proofErr w:type="gramEnd"/>
      <w:r w:rsidRPr="007576F0">
        <w:rPr>
          <w:rFonts w:ascii="標楷體" w:eastAsia="標楷體" w:hAnsi="標楷體"/>
          <w:color w:val="000000"/>
        </w:rPr>
        <w:t>、t(14；16)及1q21 amplification等染色體變化者)；若為第三線以上治療使用，則不需為具高風險遺傳異常者。</w:t>
      </w:r>
    </w:p>
    <w:p w14:paraId="4AF261D2"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3.需經事前審查核准後使用：（109/3/1、112/4/1）</w:t>
      </w:r>
    </w:p>
    <w:p w14:paraId="4F9F97F8" w14:textId="77777777" w:rsidR="007576F0" w:rsidRPr="007576F0" w:rsidRDefault="007576F0" w:rsidP="007576F0">
      <w:pPr>
        <w:spacing w:line="300" w:lineRule="exact"/>
        <w:ind w:left="1231" w:hanging="283"/>
      </w:pPr>
      <w:r w:rsidRPr="007576F0">
        <w:rPr>
          <w:rFonts w:ascii="標楷體" w:eastAsia="標楷體" w:hAnsi="標楷體"/>
          <w:color w:val="000000"/>
        </w:rPr>
        <w:t>(1)</w:t>
      </w:r>
      <w:r w:rsidRPr="007576F0">
        <w:t xml:space="preserve"> </w:t>
      </w:r>
      <w:r w:rsidRPr="007576F0">
        <w:rPr>
          <w:rFonts w:ascii="標楷體" w:eastAsia="標楷體" w:hAnsi="標楷體"/>
          <w:color w:val="000000"/>
        </w:rPr>
        <w:t>初次申請以4個療程為限，且需同時符合下列Ⅰ.與Ⅱ.的條件：（109/3/1、112/4/1）</w:t>
      </w:r>
    </w:p>
    <w:p w14:paraId="3895E767" w14:textId="77777777" w:rsidR="007576F0" w:rsidRPr="007576F0" w:rsidRDefault="007576F0" w:rsidP="007576F0">
      <w:pPr>
        <w:spacing w:line="300" w:lineRule="exact"/>
        <w:ind w:left="1418" w:hanging="283"/>
        <w:rPr>
          <w:rFonts w:ascii="標楷體" w:eastAsia="標楷體" w:hAnsi="標楷體"/>
          <w:color w:val="000000"/>
        </w:rPr>
      </w:pPr>
      <w:r w:rsidRPr="007576F0">
        <w:rPr>
          <w:rFonts w:ascii="標楷體" w:eastAsia="標楷體" w:hAnsi="標楷體"/>
          <w:color w:val="000000"/>
        </w:rPr>
        <w:t>Ⅰ.具有下列任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疾病惡化的指標： 病患開始治療前須在連續2次評估中均符合同一指標 (但若為</w:t>
      </w:r>
      <w:proofErr w:type="spellStart"/>
      <w:r w:rsidRPr="007576F0">
        <w:rPr>
          <w:rFonts w:ascii="標楷體" w:eastAsia="標楷體" w:hAnsi="標楷體"/>
          <w:color w:val="000000"/>
        </w:rPr>
        <w:t>plamacytoma</w:t>
      </w:r>
      <w:proofErr w:type="spellEnd"/>
      <w:r w:rsidRPr="007576F0">
        <w:rPr>
          <w:rFonts w:ascii="標楷體" w:eastAsia="標楷體" w:hAnsi="標楷體"/>
          <w:color w:val="000000"/>
        </w:rPr>
        <w:t xml:space="preserve"> 體積增加，或是新產生的bone lesion(s)或新plasmacytoma，則僅需1次評估)：（112/4/1）</w:t>
      </w:r>
    </w:p>
    <w:p w14:paraId="69DB19E1" w14:textId="77777777" w:rsidR="007576F0" w:rsidRPr="007576F0" w:rsidRDefault="007576F0" w:rsidP="007576F0">
      <w:pPr>
        <w:spacing w:line="300" w:lineRule="exact"/>
        <w:ind w:left="1560" w:hanging="283"/>
      </w:pPr>
      <w:r w:rsidRPr="007576F0">
        <w:rPr>
          <w:rFonts w:ascii="新細明體" w:hAnsi="新細明體" w:cs="新細明體"/>
          <w:color w:val="000000"/>
        </w:rPr>
        <w:t>ⅰ</w:t>
      </w:r>
      <w:r w:rsidRPr="007576F0">
        <w:rPr>
          <w:rFonts w:ascii="標楷體" w:eastAsia="標楷體" w:hAnsi="標楷體"/>
          <w:color w:val="000000"/>
        </w:rPr>
        <w:t>.若前一線治療中M component 最低值</w:t>
      </w:r>
      <w:proofErr w:type="gramStart"/>
      <w:r w:rsidRPr="007576F0">
        <w:rPr>
          <w:rFonts w:ascii="標楷體" w:eastAsia="標楷體" w:hAnsi="標楷體"/>
          <w:color w:val="000000"/>
        </w:rPr>
        <w:t>≧</w:t>
      </w:r>
      <w:proofErr w:type="gramEnd"/>
      <w:r w:rsidRPr="007576F0">
        <w:rPr>
          <w:rFonts w:ascii="標楷體" w:eastAsia="標楷體" w:hAnsi="標楷體"/>
          <w:color w:val="000000"/>
        </w:rPr>
        <w:t>5 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1 g/dL；若前一線治療中M component最低值＜5 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0.5g/dL。</w:t>
      </w:r>
    </w:p>
    <w:p w14:paraId="157CC72D"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新細明體" w:hAnsi="新細明體" w:cs="新細明體" w:hint="eastAsia"/>
          <w:color w:val="000000"/>
        </w:rPr>
        <w:t>ⅱ</w:t>
      </w:r>
      <w:r w:rsidRPr="007576F0">
        <w:rPr>
          <w:rFonts w:ascii="標楷體" w:eastAsia="標楷體" w:hAnsi="標楷體" w:cs="新細明體"/>
          <w:color w:val="000000"/>
        </w:rPr>
        <w:t>.Urine M-protein需增加</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0.2 gm/24Hr，且需較前一線治療中的最低值增加</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 xml:space="preserve">25%。 </w:t>
      </w:r>
    </w:p>
    <w:p w14:paraId="6EF1B52E"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標楷體" w:eastAsia="標楷體" w:hAnsi="標楷體" w:cs="新細明體"/>
          <w:color w:val="000000"/>
        </w:rPr>
        <w:t>iii.在non-secretary myeloma 病患，骨髓</w:t>
      </w:r>
      <w:proofErr w:type="gramStart"/>
      <w:r w:rsidRPr="007576F0">
        <w:rPr>
          <w:rFonts w:ascii="標楷體" w:eastAsia="標楷體" w:hAnsi="標楷體" w:cs="新細明體"/>
          <w:color w:val="000000"/>
        </w:rPr>
        <w:t>漿</w:t>
      </w:r>
      <w:proofErr w:type="gramEnd"/>
      <w:r w:rsidRPr="007576F0">
        <w:rPr>
          <w:rFonts w:ascii="標楷體" w:eastAsia="標楷體" w:hAnsi="標楷體" w:cs="新細明體"/>
          <w:color w:val="000000"/>
        </w:rPr>
        <w:t>細胞 (plasma cells)之比例絕對值增加</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10%，且需較前一線治療中的最低值增加</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25%。</w:t>
      </w:r>
    </w:p>
    <w:p w14:paraId="49C08984"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標楷體" w:eastAsia="標楷體" w:hAnsi="標楷體" w:cs="新細明體"/>
          <w:color w:val="000000"/>
        </w:rPr>
        <w:t>iv.新產生的bone lesion(s)或plasmacytoma；且須經病理切片證實。</w:t>
      </w:r>
    </w:p>
    <w:p w14:paraId="7A6864B1"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標楷體" w:eastAsia="標楷體" w:hAnsi="標楷體" w:cs="新細明體"/>
          <w:color w:val="000000"/>
        </w:rPr>
        <w:t>v. Plasmacytoma體積增加≧50%。</w:t>
      </w:r>
    </w:p>
    <w:p w14:paraId="11EBCF0B"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標楷體" w:eastAsia="標楷體" w:hAnsi="標楷體" w:cs="新細明體"/>
          <w:color w:val="000000"/>
        </w:rPr>
        <w:t>vi.周邊</w:t>
      </w:r>
      <w:proofErr w:type="gramStart"/>
      <w:r w:rsidRPr="007576F0">
        <w:rPr>
          <w:rFonts w:ascii="標楷體" w:eastAsia="標楷體" w:hAnsi="標楷體" w:cs="新細明體"/>
          <w:color w:val="000000"/>
        </w:rPr>
        <w:t>血液中漿細胞</w:t>
      </w:r>
      <w:proofErr w:type="gramEnd"/>
      <w:r w:rsidRPr="007576F0">
        <w:rPr>
          <w:rFonts w:ascii="標楷體" w:eastAsia="標楷體" w:hAnsi="標楷體" w:cs="新細明體"/>
          <w:color w:val="000000"/>
        </w:rPr>
        <w:t>比例</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20%</w:t>
      </w:r>
      <w:proofErr w:type="gramStart"/>
      <w:r w:rsidRPr="007576F0">
        <w:rPr>
          <w:rFonts w:ascii="標楷體" w:eastAsia="標楷體" w:hAnsi="標楷體" w:cs="新細明體"/>
          <w:color w:val="000000"/>
        </w:rPr>
        <w:t>或漿細胞</w:t>
      </w:r>
      <w:proofErr w:type="gramEnd"/>
      <w:r w:rsidRPr="007576F0">
        <w:rPr>
          <w:rFonts w:ascii="標楷體" w:eastAsia="標楷體" w:hAnsi="標楷體" w:cs="新細明體"/>
          <w:color w:val="000000"/>
        </w:rPr>
        <w:t>絕對值</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2000 cells/</w:t>
      </w:r>
      <w:proofErr w:type="spellStart"/>
      <w:r w:rsidRPr="007576F0">
        <w:rPr>
          <w:rFonts w:ascii="標楷體" w:eastAsia="標楷體" w:hAnsi="標楷體" w:cs="新細明體"/>
          <w:color w:val="000000"/>
        </w:rPr>
        <w:t>μL</w:t>
      </w:r>
      <w:proofErr w:type="spellEnd"/>
      <w:r w:rsidRPr="007576F0">
        <w:rPr>
          <w:rFonts w:ascii="標楷體" w:eastAsia="標楷體" w:hAnsi="標楷體" w:cs="新細明體"/>
          <w:color w:val="000000"/>
        </w:rPr>
        <w:t>。</w:t>
      </w:r>
    </w:p>
    <w:p w14:paraId="1E728C79" w14:textId="77777777" w:rsidR="007576F0" w:rsidRPr="007576F0" w:rsidRDefault="007576F0" w:rsidP="007576F0">
      <w:pPr>
        <w:spacing w:line="300" w:lineRule="exact"/>
        <w:ind w:left="1418" w:hanging="283"/>
        <w:rPr>
          <w:rFonts w:ascii="標楷體" w:eastAsia="標楷體" w:hAnsi="標楷體"/>
          <w:color w:val="000000"/>
        </w:rPr>
      </w:pPr>
      <w:r w:rsidRPr="007576F0">
        <w:rPr>
          <w:rFonts w:ascii="標楷體" w:eastAsia="標楷體" w:hAnsi="標楷體"/>
          <w:color w:val="000000"/>
        </w:rPr>
        <w:t>Ⅱ.出現下列任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臨床症狀：（112/4/1）</w:t>
      </w:r>
    </w:p>
    <w:p w14:paraId="2B83CFA1"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新細明體" w:hAnsi="新細明體" w:cs="新細明體" w:hint="eastAsia"/>
          <w:color w:val="000000"/>
        </w:rPr>
        <w:t>ⅰ</w:t>
      </w:r>
      <w:r w:rsidRPr="007576F0">
        <w:rPr>
          <w:rFonts w:ascii="標楷體" w:eastAsia="標楷體" w:hAnsi="標楷體" w:cs="新細明體"/>
          <w:color w:val="000000"/>
        </w:rPr>
        <w:t>.新產生的bone lesion(s)或plasmacytoma；且須經病理切片證實。</w:t>
      </w:r>
    </w:p>
    <w:p w14:paraId="7AC12CE0"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新細明體" w:hAnsi="新細明體" w:cs="新細明體" w:hint="eastAsia"/>
          <w:color w:val="000000"/>
        </w:rPr>
        <w:t>ⅱ</w:t>
      </w:r>
      <w:r w:rsidRPr="007576F0">
        <w:rPr>
          <w:rFonts w:ascii="標楷體" w:eastAsia="標楷體" w:hAnsi="標楷體" w:cs="新細明體"/>
          <w:color w:val="000000"/>
        </w:rPr>
        <w:t>. Plasmacytoma 體積增加</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50%。</w:t>
      </w:r>
    </w:p>
    <w:p w14:paraId="5FE381F6"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標楷體" w:eastAsia="標楷體" w:hAnsi="標楷體" w:cs="新細明體"/>
          <w:color w:val="000000"/>
        </w:rPr>
        <w:t>iii.高血鈣(corrected serum calcium＞11.0 mg/dL 或 2.75 mmol/L)。</w:t>
      </w:r>
    </w:p>
    <w:p w14:paraId="35FDAC7C"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標楷體" w:eastAsia="標楷體" w:hAnsi="標楷體" w:cs="新細明體"/>
          <w:color w:val="000000"/>
        </w:rPr>
        <w:t>iv.貧血(Hemoglobin 下降幅度</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 xml:space="preserve"> 2gm/dL且無其他原因可以解釋)。</w:t>
      </w:r>
    </w:p>
    <w:p w14:paraId="5FCEDD06" w14:textId="77777777" w:rsidR="007576F0" w:rsidRPr="007576F0" w:rsidRDefault="007576F0" w:rsidP="007576F0">
      <w:pPr>
        <w:spacing w:line="300" w:lineRule="exact"/>
        <w:ind w:left="1560" w:hanging="283"/>
        <w:rPr>
          <w:rFonts w:ascii="標楷體" w:eastAsia="標楷體" w:hAnsi="標楷體" w:cs="新細明體"/>
          <w:color w:val="000000"/>
        </w:rPr>
      </w:pPr>
      <w:r w:rsidRPr="007576F0">
        <w:rPr>
          <w:rFonts w:ascii="標楷體" w:eastAsia="標楷體" w:hAnsi="標楷體" w:cs="新細明體"/>
          <w:color w:val="000000"/>
        </w:rPr>
        <w:t>v.腎功能惡化(eGFR需下降幅度</w:t>
      </w:r>
      <w:proofErr w:type="gramStart"/>
      <w:r w:rsidRPr="007576F0">
        <w:rPr>
          <w:rFonts w:ascii="標楷體" w:eastAsia="標楷體" w:hAnsi="標楷體" w:cs="新細明體"/>
          <w:color w:val="000000"/>
        </w:rPr>
        <w:t>≧</w:t>
      </w:r>
      <w:proofErr w:type="gramEnd"/>
      <w:r w:rsidRPr="007576F0">
        <w:rPr>
          <w:rFonts w:ascii="標楷體" w:eastAsia="標楷體" w:hAnsi="標楷體" w:cs="新細明體"/>
          <w:color w:val="000000"/>
        </w:rPr>
        <w:t>25%)，且無其他原因可以解釋。</w:t>
      </w:r>
    </w:p>
    <w:p w14:paraId="1E021010" w14:textId="77777777" w:rsidR="007576F0" w:rsidRPr="007576F0" w:rsidRDefault="007576F0" w:rsidP="007576F0">
      <w:pPr>
        <w:spacing w:line="300" w:lineRule="exact"/>
        <w:ind w:left="1560" w:hanging="283"/>
        <w:rPr>
          <w:rFonts w:ascii="標楷體" w:eastAsia="標楷體" w:hAnsi="標楷體"/>
          <w:color w:val="000000"/>
        </w:rPr>
      </w:pPr>
      <w:r w:rsidRPr="007576F0">
        <w:rPr>
          <w:rFonts w:ascii="標楷體" w:eastAsia="標楷體" w:hAnsi="標楷體" w:cs="新細明體"/>
          <w:color w:val="000000"/>
        </w:rPr>
        <w:t>vi.出現其他end-organ dysf</w:t>
      </w:r>
      <w:r w:rsidRPr="007576F0">
        <w:rPr>
          <w:rFonts w:ascii="標楷體" w:eastAsia="標楷體" w:hAnsi="標楷體"/>
          <w:color w:val="000000"/>
        </w:rPr>
        <w:t>unctions。</w:t>
      </w:r>
    </w:p>
    <w:p w14:paraId="502F0A55" w14:textId="77777777" w:rsidR="007576F0" w:rsidRPr="007576F0" w:rsidRDefault="007576F0" w:rsidP="007576F0">
      <w:pPr>
        <w:spacing w:line="300" w:lineRule="exact"/>
        <w:ind w:left="1231" w:hanging="283"/>
      </w:pPr>
      <w:r w:rsidRPr="007576F0">
        <w:rPr>
          <w:rFonts w:ascii="標楷體" w:eastAsia="標楷體" w:hAnsi="標楷體"/>
          <w:color w:val="000000"/>
        </w:rPr>
        <w:t>(2)</w:t>
      </w:r>
      <w:r w:rsidRPr="007576F0">
        <w:t xml:space="preserve"> </w:t>
      </w:r>
      <w:r w:rsidRPr="007576F0">
        <w:rPr>
          <w:rFonts w:ascii="標楷體" w:eastAsia="標楷體" w:hAnsi="標楷體"/>
          <w:color w:val="000000"/>
        </w:rPr>
        <w:t>後續每次申請以4個療程(每療程為4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)為限，續用申請時必須確定paraprotein (M-protein)未上升(即表示對藥物有反應或為穩定狀態)或對部分</w:t>
      </w:r>
      <w:r w:rsidRPr="007576F0">
        <w:rPr>
          <w:rFonts w:ascii="標楷體" w:eastAsia="標楷體" w:hAnsi="標楷體"/>
          <w:color w:val="000000"/>
        </w:rPr>
        <w:lastRenderedPageBreak/>
        <w:t>non-secretory type MM病人以骨髓檢查plasma cell為療效依據，方可繼續使用。（109/3/1、112/4/1）</w:t>
      </w:r>
    </w:p>
    <w:p w14:paraId="37AC3486" w14:textId="77777777" w:rsidR="007576F0" w:rsidRPr="007576F0" w:rsidRDefault="007576F0" w:rsidP="007576F0">
      <w:pPr>
        <w:spacing w:line="300" w:lineRule="exact"/>
        <w:ind w:left="1231" w:hanging="283"/>
      </w:pPr>
      <w:r w:rsidRPr="007576F0">
        <w:rPr>
          <w:rFonts w:ascii="標楷體" w:eastAsia="標楷體" w:hAnsi="標楷體"/>
          <w:color w:val="000000"/>
        </w:rPr>
        <w:t>(3)</w:t>
      </w:r>
      <w:r w:rsidRPr="007576F0">
        <w:t xml:space="preserve"> </w:t>
      </w:r>
      <w:r w:rsidRPr="007576F0">
        <w:rPr>
          <w:rFonts w:ascii="標楷體" w:eastAsia="標楷體" w:hAnsi="標楷體"/>
          <w:color w:val="000000"/>
        </w:rPr>
        <w:t xml:space="preserve">每人終生以12個療程為上限。（109/3/1、112/4/1） </w:t>
      </w:r>
    </w:p>
    <w:p w14:paraId="6467C3C2"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4. 除lenalidomide外，本案藥品不得與其他蛋白酶體抑制劑(proteasome inhibitor)或免疫調節劑(immunomodulatory drugs)併用。（109/3/1、112/4/1）</w:t>
      </w:r>
    </w:p>
    <w:p w14:paraId="7BCDC376" w14:textId="77777777" w:rsidR="007576F0" w:rsidRPr="007576F0" w:rsidRDefault="007576F0" w:rsidP="007576F0">
      <w:pPr>
        <w:spacing w:line="300" w:lineRule="exact"/>
        <w:ind w:left="991" w:hanging="283"/>
      </w:pPr>
      <w:r w:rsidRPr="007576F0">
        <w:rPr>
          <w:rFonts w:ascii="標楷體" w:eastAsia="標楷體" w:hAnsi="標楷體"/>
          <w:color w:val="000000"/>
        </w:rPr>
        <w:t>5.112年3月31日以前已核定用藥之病人，得經事前審查核准後，使用至總療程上限（即終生12個療程）或使用期間發生疾病惡化為止。（112/4/1）</w:t>
      </w:r>
    </w:p>
    <w:p w14:paraId="1FD08BD7" w14:textId="77777777" w:rsidR="007576F0" w:rsidRPr="007576F0" w:rsidRDefault="007576F0" w:rsidP="007576F0">
      <w:pPr>
        <w:tabs>
          <w:tab w:val="left" w:pos="1418"/>
        </w:tabs>
        <w:spacing w:line="300" w:lineRule="exact"/>
        <w:ind w:left="567" w:hanging="228"/>
        <w:rPr>
          <w:rFonts w:ascii="標楷體" w:eastAsia="標楷體" w:hAnsi="標楷體"/>
          <w:szCs w:val="24"/>
        </w:rPr>
      </w:pPr>
      <w:r w:rsidRPr="007576F0">
        <w:rPr>
          <w:rFonts w:ascii="標楷體" w:eastAsia="標楷體" w:hAnsi="標楷體"/>
          <w:color w:val="000000"/>
        </w:rPr>
        <w:t>9.78.</w:t>
      </w:r>
      <w:r w:rsidRPr="007576F0">
        <w:t xml:space="preserve"> </w:t>
      </w:r>
      <w:bookmarkStart w:id="62" w:name="_Hlk206605233"/>
      <w:r w:rsidRPr="007576F0">
        <w:rPr>
          <w:rFonts w:ascii="標楷體" w:eastAsia="標楷體" w:hAnsi="標楷體"/>
          <w:color w:val="000000"/>
        </w:rPr>
        <w:t>Daratumumab</w:t>
      </w:r>
      <w:r w:rsidRPr="007576F0">
        <w:rPr>
          <w:rFonts w:ascii="標楷體" w:eastAsia="標楷體" w:hAnsi="標楷體"/>
          <w:szCs w:val="24"/>
        </w:rPr>
        <w:t>(</w:t>
      </w:r>
      <w:r w:rsidRPr="007576F0">
        <w:rPr>
          <w:rFonts w:ascii="標楷體" w:eastAsia="標楷體" w:hAnsi="標楷體" w:hint="eastAsia"/>
          <w:szCs w:val="24"/>
        </w:rPr>
        <w:t>如</w:t>
      </w:r>
      <w:proofErr w:type="spellStart"/>
      <w:r w:rsidRPr="007576F0">
        <w:rPr>
          <w:rFonts w:ascii="標楷體" w:eastAsia="標楷體" w:hAnsi="標楷體" w:hint="eastAsia"/>
          <w:szCs w:val="24"/>
        </w:rPr>
        <w:t>Darzalex</w:t>
      </w:r>
      <w:proofErr w:type="spellEnd"/>
      <w:r w:rsidRPr="007576F0">
        <w:rPr>
          <w:rFonts w:ascii="標楷體" w:eastAsia="標楷體" w:hAnsi="標楷體"/>
          <w:kern w:val="0"/>
          <w:szCs w:val="24"/>
        </w:rPr>
        <w:t>靜脈注射劑</w:t>
      </w:r>
      <w:r w:rsidRPr="007576F0">
        <w:rPr>
          <w:rFonts w:ascii="標楷體" w:eastAsia="標楷體" w:hAnsi="標楷體" w:hint="eastAsia"/>
          <w:kern w:val="0"/>
          <w:szCs w:val="24"/>
        </w:rPr>
        <w:t>與皮下</w:t>
      </w:r>
      <w:r w:rsidRPr="007576F0">
        <w:rPr>
          <w:rFonts w:ascii="標楷體" w:eastAsia="標楷體" w:hAnsi="標楷體"/>
          <w:kern w:val="0"/>
          <w:szCs w:val="24"/>
        </w:rPr>
        <w:t>注射劑</w:t>
      </w:r>
      <w:r w:rsidRPr="007576F0">
        <w:rPr>
          <w:rFonts w:ascii="標楷體" w:eastAsia="標楷體" w:hAnsi="標楷體" w:hint="eastAsia"/>
          <w:szCs w:val="24"/>
        </w:rPr>
        <w:t>)</w:t>
      </w:r>
      <w:r w:rsidRPr="007576F0">
        <w:rPr>
          <w:rFonts w:ascii="標楷體" w:eastAsia="標楷體" w:hAnsi="標楷體"/>
          <w:szCs w:val="24"/>
        </w:rPr>
        <w:t>：(109/4/1、112/4/1、113/4/1、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1E918841" w14:textId="77777777" w:rsidR="007576F0" w:rsidRPr="007576F0" w:rsidRDefault="007576F0" w:rsidP="007576F0">
      <w:pPr>
        <w:spacing w:line="300" w:lineRule="exact"/>
        <w:ind w:left="991" w:hanging="283"/>
        <w:rPr>
          <w:rFonts w:ascii="標楷體" w:eastAsia="標楷體" w:hAnsi="標楷體"/>
          <w:szCs w:val="24"/>
        </w:rPr>
      </w:pPr>
      <w:r w:rsidRPr="007576F0">
        <w:rPr>
          <w:rFonts w:ascii="標楷體" w:eastAsia="標楷體" w:hAnsi="標楷體"/>
          <w:szCs w:val="24"/>
        </w:rPr>
        <w:t>1.</w:t>
      </w:r>
      <w:r w:rsidRPr="007576F0">
        <w:rPr>
          <w:rFonts w:ascii="標楷體" w:eastAsia="標楷體" w:hAnsi="標楷體"/>
          <w:color w:val="000000"/>
        </w:rPr>
        <w:t>治療</w:t>
      </w:r>
      <w:r w:rsidRPr="007576F0">
        <w:rPr>
          <w:rFonts w:ascii="標楷體" w:eastAsia="標楷體" w:hAnsi="標楷體"/>
          <w:szCs w:val="24"/>
        </w:rPr>
        <w:t>適合接受自體幹細胞移植的新診斷多發性骨髓瘤成人病人：(</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5024F496" w14:textId="77777777" w:rsidR="007576F0" w:rsidRPr="007576F0" w:rsidRDefault="007576F0" w:rsidP="002144EC">
      <w:pPr>
        <w:numPr>
          <w:ilvl w:val="0"/>
          <w:numId w:val="135"/>
        </w:numPr>
        <w:suppressAutoHyphens w:val="0"/>
        <w:autoSpaceDN/>
        <w:adjustRightInd w:val="0"/>
        <w:snapToGrid w:val="0"/>
        <w:spacing w:line="300" w:lineRule="exact"/>
        <w:ind w:left="1276" w:hanging="429"/>
        <w:textAlignment w:val="auto"/>
        <w:rPr>
          <w:rFonts w:ascii="標楷體" w:eastAsia="標楷體" w:hAnsi="標楷體"/>
          <w:szCs w:val="24"/>
        </w:rPr>
      </w:pPr>
      <w:r w:rsidRPr="007576F0">
        <w:rPr>
          <w:rFonts w:ascii="標楷體" w:eastAsia="標楷體" w:hAnsi="標楷體"/>
          <w:szCs w:val="24"/>
        </w:rPr>
        <w:t>限與bortezomib、thalidomide及dexamethasone</w:t>
      </w:r>
      <w:proofErr w:type="gramStart"/>
      <w:r w:rsidRPr="007576F0">
        <w:rPr>
          <w:rFonts w:ascii="標楷體" w:eastAsia="標楷體" w:hAnsi="標楷體"/>
          <w:szCs w:val="24"/>
        </w:rPr>
        <w:t>併</w:t>
      </w:r>
      <w:proofErr w:type="gramEnd"/>
      <w:r w:rsidRPr="007576F0">
        <w:rPr>
          <w:rFonts w:ascii="標楷體" w:eastAsia="標楷體" w:hAnsi="標楷體"/>
          <w:szCs w:val="24"/>
        </w:rPr>
        <w:t>用。</w:t>
      </w:r>
    </w:p>
    <w:p w14:paraId="34C80991" w14:textId="77777777" w:rsidR="007576F0" w:rsidRPr="007576F0" w:rsidRDefault="007576F0" w:rsidP="002144EC">
      <w:pPr>
        <w:numPr>
          <w:ilvl w:val="0"/>
          <w:numId w:val="135"/>
        </w:numPr>
        <w:suppressAutoHyphens w:val="0"/>
        <w:autoSpaceDN/>
        <w:adjustRightInd w:val="0"/>
        <w:snapToGrid w:val="0"/>
        <w:spacing w:line="300" w:lineRule="exact"/>
        <w:ind w:left="1276" w:hanging="429"/>
        <w:textAlignment w:val="auto"/>
        <w:rPr>
          <w:rFonts w:ascii="標楷體" w:eastAsia="標楷體" w:hAnsi="標楷體"/>
          <w:szCs w:val="24"/>
        </w:rPr>
      </w:pPr>
      <w:r w:rsidRPr="007576F0">
        <w:rPr>
          <w:rFonts w:ascii="標楷體" w:eastAsia="標楷體" w:hAnsi="標楷體"/>
          <w:szCs w:val="24"/>
        </w:rPr>
        <w:t>開始治療時病</w:t>
      </w:r>
      <w:r w:rsidRPr="007576F0">
        <w:rPr>
          <w:rFonts w:ascii="標楷體" w:eastAsia="標楷體" w:hAnsi="標楷體" w:hint="eastAsia"/>
          <w:szCs w:val="24"/>
        </w:rPr>
        <w:t>人</w:t>
      </w:r>
      <w:r w:rsidRPr="007576F0">
        <w:rPr>
          <w:rFonts w:ascii="標楷體" w:eastAsia="標楷體" w:hAnsi="標楷體"/>
          <w:szCs w:val="24"/>
        </w:rPr>
        <w:t>須同時符合下列Ⅰ.與Ⅱ.的條件：</w:t>
      </w:r>
    </w:p>
    <w:p w14:paraId="7923C8CD" w14:textId="77777777" w:rsidR="007576F0" w:rsidRPr="007576F0" w:rsidRDefault="007576F0" w:rsidP="002144EC">
      <w:pPr>
        <w:numPr>
          <w:ilvl w:val="0"/>
          <w:numId w:val="136"/>
        </w:numPr>
        <w:suppressAutoHyphens w:val="0"/>
        <w:autoSpaceDN/>
        <w:adjustRightInd w:val="0"/>
        <w:snapToGrid w:val="0"/>
        <w:spacing w:line="300" w:lineRule="exact"/>
        <w:ind w:left="1276" w:hanging="283"/>
        <w:textAlignment w:val="auto"/>
        <w:rPr>
          <w:rFonts w:ascii="標楷體" w:eastAsia="標楷體" w:hAnsi="標楷體"/>
          <w:szCs w:val="24"/>
        </w:rPr>
      </w:pPr>
      <w:r w:rsidRPr="007576F0">
        <w:rPr>
          <w:rFonts w:ascii="標楷體" w:eastAsia="標楷體" w:hAnsi="標楷體"/>
          <w:szCs w:val="24"/>
        </w:rPr>
        <w:t>骨髓</w:t>
      </w:r>
      <w:proofErr w:type="gramStart"/>
      <w:r w:rsidRPr="007576F0">
        <w:rPr>
          <w:rFonts w:ascii="標楷體" w:eastAsia="標楷體" w:hAnsi="標楷體"/>
          <w:szCs w:val="24"/>
        </w:rPr>
        <w:t>漿</w:t>
      </w:r>
      <w:proofErr w:type="gramEnd"/>
      <w:r w:rsidRPr="007576F0">
        <w:rPr>
          <w:rFonts w:ascii="標楷體" w:eastAsia="標楷體" w:hAnsi="標楷體"/>
          <w:szCs w:val="24"/>
        </w:rPr>
        <w:t>細胞(plasma cells)比例</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10%，或是經切片確認且有</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1顆的plasmacytoma。</w:t>
      </w:r>
    </w:p>
    <w:p w14:paraId="6CDB6B76" w14:textId="77777777" w:rsidR="007576F0" w:rsidRPr="007576F0" w:rsidRDefault="007576F0" w:rsidP="002144EC">
      <w:pPr>
        <w:numPr>
          <w:ilvl w:val="0"/>
          <w:numId w:val="136"/>
        </w:numPr>
        <w:suppressAutoHyphens w:val="0"/>
        <w:autoSpaceDN/>
        <w:adjustRightInd w:val="0"/>
        <w:snapToGrid w:val="0"/>
        <w:spacing w:line="300" w:lineRule="exact"/>
        <w:ind w:left="1276" w:hanging="283"/>
        <w:textAlignment w:val="auto"/>
        <w:rPr>
          <w:rFonts w:ascii="標楷體" w:eastAsia="標楷體" w:hAnsi="標楷體"/>
          <w:szCs w:val="24"/>
        </w:rPr>
      </w:pPr>
      <w:r w:rsidRPr="007576F0">
        <w:rPr>
          <w:rFonts w:ascii="標楷體" w:eastAsia="標楷體" w:hAnsi="標楷體"/>
          <w:szCs w:val="24"/>
        </w:rPr>
        <w:t>出現下列任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臨床症狀：</w:t>
      </w:r>
    </w:p>
    <w:p w14:paraId="38B68BF9" w14:textId="77777777" w:rsidR="007576F0" w:rsidRPr="007576F0" w:rsidRDefault="007576F0" w:rsidP="002144EC">
      <w:pPr>
        <w:numPr>
          <w:ilvl w:val="0"/>
          <w:numId w:val="137"/>
        </w:numPr>
        <w:suppressAutoHyphens w:val="0"/>
        <w:autoSpaceDN/>
        <w:adjustRightInd w:val="0"/>
        <w:snapToGrid w:val="0"/>
        <w:spacing w:line="300" w:lineRule="exact"/>
        <w:ind w:left="1560" w:hanging="284"/>
        <w:textAlignment w:val="auto"/>
        <w:rPr>
          <w:rFonts w:ascii="標楷體" w:eastAsia="標楷體" w:hAnsi="標楷體"/>
          <w:szCs w:val="24"/>
        </w:rPr>
      </w:pPr>
      <w:r w:rsidRPr="007576F0">
        <w:rPr>
          <w:rFonts w:ascii="標楷體" w:eastAsia="標楷體" w:hAnsi="標楷體"/>
          <w:szCs w:val="24"/>
        </w:rPr>
        <w:t>腎功能不全：serum creatinine＞2.0mg/dL或estimated GFR (eGFR)＜40 ml/min，且無其他原因可以解釋。</w:t>
      </w:r>
    </w:p>
    <w:p w14:paraId="4E249DE8" w14:textId="77777777" w:rsidR="007576F0" w:rsidRPr="007576F0" w:rsidRDefault="007576F0" w:rsidP="002144EC">
      <w:pPr>
        <w:numPr>
          <w:ilvl w:val="0"/>
          <w:numId w:val="137"/>
        </w:numPr>
        <w:suppressAutoHyphens w:val="0"/>
        <w:autoSpaceDN/>
        <w:adjustRightInd w:val="0"/>
        <w:snapToGrid w:val="0"/>
        <w:spacing w:line="300" w:lineRule="exact"/>
        <w:ind w:left="1560" w:hanging="284"/>
        <w:textAlignment w:val="auto"/>
        <w:rPr>
          <w:rFonts w:ascii="標楷體" w:eastAsia="標楷體" w:hAnsi="標楷體"/>
          <w:szCs w:val="24"/>
        </w:rPr>
      </w:pPr>
      <w:r w:rsidRPr="007576F0">
        <w:rPr>
          <w:rFonts w:ascii="標楷體" w:eastAsia="標楷體" w:hAnsi="標楷體"/>
          <w:szCs w:val="24"/>
        </w:rPr>
        <w:t>高血鈣(corrected serum calcium＞11.0 mg/dL 或 2.75 mmol/L)。</w:t>
      </w:r>
    </w:p>
    <w:p w14:paraId="6DCAADF0" w14:textId="77777777" w:rsidR="007576F0" w:rsidRPr="007576F0" w:rsidRDefault="007576F0" w:rsidP="002144EC">
      <w:pPr>
        <w:numPr>
          <w:ilvl w:val="0"/>
          <w:numId w:val="137"/>
        </w:numPr>
        <w:suppressAutoHyphens w:val="0"/>
        <w:autoSpaceDN/>
        <w:adjustRightInd w:val="0"/>
        <w:snapToGrid w:val="0"/>
        <w:spacing w:line="300" w:lineRule="exact"/>
        <w:ind w:left="1560" w:hanging="284"/>
        <w:textAlignment w:val="auto"/>
        <w:rPr>
          <w:rFonts w:ascii="標楷體" w:eastAsia="標楷體" w:hAnsi="標楷體"/>
          <w:szCs w:val="24"/>
        </w:rPr>
      </w:pPr>
      <w:r w:rsidRPr="007576F0">
        <w:rPr>
          <w:rFonts w:ascii="標楷體" w:eastAsia="標楷體" w:hAnsi="標楷體"/>
          <w:szCs w:val="24"/>
        </w:rPr>
        <w:t>貧血(Hemoglobin＜10 gm/dL且無其他原因可以解釋)。</w:t>
      </w:r>
    </w:p>
    <w:p w14:paraId="137FB62B" w14:textId="77777777" w:rsidR="007576F0" w:rsidRPr="007576F0" w:rsidRDefault="007576F0" w:rsidP="002144EC">
      <w:pPr>
        <w:numPr>
          <w:ilvl w:val="0"/>
          <w:numId w:val="137"/>
        </w:numPr>
        <w:suppressAutoHyphens w:val="0"/>
        <w:autoSpaceDN/>
        <w:adjustRightInd w:val="0"/>
        <w:snapToGrid w:val="0"/>
        <w:spacing w:line="300" w:lineRule="exact"/>
        <w:ind w:left="1560" w:hanging="284"/>
        <w:textAlignment w:val="auto"/>
        <w:rPr>
          <w:rFonts w:ascii="標楷體" w:eastAsia="標楷體" w:hAnsi="標楷體"/>
          <w:szCs w:val="24"/>
        </w:rPr>
      </w:pPr>
      <w:r w:rsidRPr="007576F0">
        <w:rPr>
          <w:rFonts w:ascii="標楷體" w:eastAsia="標楷體" w:hAnsi="標楷體"/>
          <w:szCs w:val="24"/>
        </w:rPr>
        <w:t>影像檢查確認之osteolytic bone lesion(s)。</w:t>
      </w:r>
    </w:p>
    <w:p w14:paraId="257C4B57" w14:textId="77777777" w:rsidR="007576F0" w:rsidRPr="007576F0" w:rsidRDefault="007576F0" w:rsidP="002144EC">
      <w:pPr>
        <w:numPr>
          <w:ilvl w:val="0"/>
          <w:numId w:val="137"/>
        </w:numPr>
        <w:suppressAutoHyphens w:val="0"/>
        <w:autoSpaceDN/>
        <w:adjustRightInd w:val="0"/>
        <w:snapToGrid w:val="0"/>
        <w:spacing w:line="300" w:lineRule="exact"/>
        <w:ind w:left="1560" w:hanging="284"/>
        <w:textAlignment w:val="auto"/>
        <w:rPr>
          <w:rFonts w:ascii="標楷體" w:eastAsia="標楷體" w:hAnsi="標楷體"/>
          <w:szCs w:val="24"/>
        </w:rPr>
      </w:pPr>
      <w:r w:rsidRPr="007576F0">
        <w:rPr>
          <w:rFonts w:ascii="標楷體" w:eastAsia="標楷體" w:hAnsi="標楷體"/>
          <w:szCs w:val="24"/>
        </w:rPr>
        <w:t>骨髓</w:t>
      </w:r>
      <w:proofErr w:type="gramStart"/>
      <w:r w:rsidRPr="007576F0">
        <w:rPr>
          <w:rFonts w:ascii="標楷體" w:eastAsia="標楷體" w:hAnsi="標楷體"/>
          <w:szCs w:val="24"/>
        </w:rPr>
        <w:t>漿</w:t>
      </w:r>
      <w:proofErr w:type="gramEnd"/>
      <w:r w:rsidRPr="007576F0">
        <w:rPr>
          <w:rFonts w:ascii="標楷體" w:eastAsia="標楷體" w:hAnsi="標楷體"/>
          <w:szCs w:val="24"/>
        </w:rPr>
        <w:t>細胞(plasma cells)比例</w:t>
      </w:r>
      <w:proofErr w:type="gramStart"/>
      <w:r w:rsidRPr="007576F0">
        <w:rPr>
          <w:rFonts w:ascii="標楷體" w:eastAsia="標楷體" w:hAnsi="標楷體" w:hint="eastAsia"/>
          <w:szCs w:val="24"/>
        </w:rPr>
        <w:t>≧</w:t>
      </w:r>
      <w:proofErr w:type="gramEnd"/>
      <w:r w:rsidRPr="007576F0">
        <w:rPr>
          <w:rFonts w:ascii="標楷體" w:eastAsia="標楷體" w:hAnsi="標楷體"/>
          <w:szCs w:val="24"/>
        </w:rPr>
        <w:t>60%。</w:t>
      </w:r>
    </w:p>
    <w:p w14:paraId="2C631988" w14:textId="77777777" w:rsidR="007576F0" w:rsidRPr="007576F0" w:rsidRDefault="007576F0" w:rsidP="002144EC">
      <w:pPr>
        <w:numPr>
          <w:ilvl w:val="0"/>
          <w:numId w:val="137"/>
        </w:numPr>
        <w:suppressAutoHyphens w:val="0"/>
        <w:autoSpaceDN/>
        <w:adjustRightInd w:val="0"/>
        <w:snapToGrid w:val="0"/>
        <w:spacing w:line="300" w:lineRule="exact"/>
        <w:ind w:left="1560" w:hanging="284"/>
        <w:textAlignment w:val="auto"/>
        <w:rPr>
          <w:rFonts w:ascii="標楷體" w:eastAsia="標楷體" w:hAnsi="標楷體"/>
          <w:szCs w:val="24"/>
        </w:rPr>
      </w:pPr>
      <w:r w:rsidRPr="007576F0">
        <w:rPr>
          <w:rFonts w:ascii="標楷體" w:eastAsia="標楷體" w:hAnsi="標楷體"/>
          <w:szCs w:val="24"/>
        </w:rPr>
        <w:t>Serum free light-chain ratio</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100。</w:t>
      </w:r>
    </w:p>
    <w:p w14:paraId="70D73079" w14:textId="77777777" w:rsidR="007576F0" w:rsidRPr="007576F0" w:rsidRDefault="007576F0" w:rsidP="002144EC">
      <w:pPr>
        <w:numPr>
          <w:ilvl w:val="0"/>
          <w:numId w:val="135"/>
        </w:numPr>
        <w:suppressAutoHyphens w:val="0"/>
        <w:autoSpaceDN/>
        <w:adjustRightInd w:val="0"/>
        <w:snapToGrid w:val="0"/>
        <w:spacing w:line="300" w:lineRule="exact"/>
        <w:ind w:left="1276" w:hanging="429"/>
        <w:textAlignment w:val="auto"/>
        <w:rPr>
          <w:rFonts w:ascii="標楷體" w:eastAsia="標楷體" w:hAnsi="標楷體"/>
          <w:szCs w:val="24"/>
        </w:rPr>
      </w:pPr>
      <w:r w:rsidRPr="007576F0">
        <w:rPr>
          <w:rFonts w:ascii="標楷體" w:eastAsia="標楷體" w:hAnsi="標楷體"/>
          <w:szCs w:val="24"/>
        </w:rPr>
        <w:t>首次申請為</w:t>
      </w:r>
      <w:proofErr w:type="gramStart"/>
      <w:r w:rsidRPr="007576F0">
        <w:rPr>
          <w:rFonts w:ascii="標楷體" w:eastAsia="標楷體" w:hAnsi="標楷體"/>
          <w:szCs w:val="24"/>
        </w:rPr>
        <w:t>12次輸注</w:t>
      </w:r>
      <w:proofErr w:type="gramEnd"/>
      <w:r w:rsidRPr="007576F0">
        <w:rPr>
          <w:rFonts w:ascii="標楷體" w:eastAsia="標楷體" w:hAnsi="標楷體"/>
          <w:szCs w:val="24"/>
        </w:rPr>
        <w:t>，須檢附完整之造血幹細胞移植計畫</w:t>
      </w:r>
      <w:r w:rsidRPr="007576F0">
        <w:rPr>
          <w:rFonts w:ascii="標楷體" w:eastAsia="標楷體" w:hAnsi="標楷體" w:hint="eastAsia"/>
          <w:szCs w:val="24"/>
        </w:rPr>
        <w:t>，並詳細記載確認捐贈者名單及移植前調適治療等資料。需由具訓練血液及骨髓移植醫師能力之醫院申請，並由完成血液及骨髓移植訓練之醫師確認移植計畫。</w:t>
      </w:r>
    </w:p>
    <w:p w14:paraId="0A6B8965" w14:textId="77777777" w:rsidR="007576F0" w:rsidRPr="007576F0" w:rsidRDefault="007576F0" w:rsidP="002144EC">
      <w:pPr>
        <w:numPr>
          <w:ilvl w:val="0"/>
          <w:numId w:val="135"/>
        </w:numPr>
        <w:suppressAutoHyphens w:val="0"/>
        <w:autoSpaceDN/>
        <w:adjustRightInd w:val="0"/>
        <w:snapToGrid w:val="0"/>
        <w:spacing w:line="300" w:lineRule="exact"/>
        <w:ind w:left="1276" w:hanging="429"/>
        <w:textAlignment w:val="auto"/>
        <w:rPr>
          <w:rFonts w:ascii="標楷體" w:eastAsia="標楷體" w:hAnsi="標楷體"/>
          <w:szCs w:val="24"/>
        </w:rPr>
      </w:pPr>
      <w:r w:rsidRPr="007576F0">
        <w:rPr>
          <w:rFonts w:ascii="標楷體" w:eastAsia="標楷體" w:hAnsi="標楷體"/>
          <w:szCs w:val="24"/>
        </w:rPr>
        <w:t>再次申請為</w:t>
      </w:r>
      <w:proofErr w:type="gramStart"/>
      <w:r w:rsidRPr="007576F0">
        <w:rPr>
          <w:rFonts w:ascii="標楷體" w:eastAsia="標楷體" w:hAnsi="標楷體"/>
          <w:szCs w:val="24"/>
        </w:rPr>
        <w:t>4次輸注</w:t>
      </w:r>
      <w:proofErr w:type="gramEnd"/>
      <w:r w:rsidRPr="007576F0">
        <w:rPr>
          <w:rFonts w:ascii="標楷體" w:eastAsia="標楷體" w:hAnsi="標楷體"/>
          <w:szCs w:val="24"/>
        </w:rPr>
        <w:t>，應檢附移植相關資料，且第一線治療總共以16次</w:t>
      </w:r>
      <w:proofErr w:type="gramStart"/>
      <w:r w:rsidRPr="007576F0">
        <w:rPr>
          <w:rFonts w:ascii="標楷體" w:eastAsia="標楷體" w:hAnsi="標楷體"/>
          <w:szCs w:val="24"/>
        </w:rPr>
        <w:t>輸注為</w:t>
      </w:r>
      <w:proofErr w:type="gramEnd"/>
      <w:r w:rsidRPr="007576F0">
        <w:rPr>
          <w:rFonts w:ascii="標楷體" w:eastAsia="標楷體" w:hAnsi="標楷體"/>
          <w:szCs w:val="24"/>
        </w:rPr>
        <w:t>上限。</w:t>
      </w:r>
    </w:p>
    <w:p w14:paraId="5A82AFD9" w14:textId="77777777" w:rsidR="007576F0" w:rsidRPr="007576F0" w:rsidRDefault="007576F0" w:rsidP="007576F0">
      <w:pPr>
        <w:spacing w:line="300" w:lineRule="exact"/>
        <w:ind w:left="991" w:hanging="283"/>
        <w:rPr>
          <w:rFonts w:ascii="標楷體" w:eastAsia="標楷體" w:hAnsi="標楷體"/>
          <w:szCs w:val="24"/>
        </w:rPr>
      </w:pPr>
      <w:r w:rsidRPr="007576F0">
        <w:rPr>
          <w:rFonts w:ascii="標楷體" w:eastAsia="標楷體" w:hAnsi="標楷體"/>
          <w:szCs w:val="24"/>
        </w:rPr>
        <w:t>2.限與bortezomib/dexamethasone或lenalidomide/dexamethasone</w:t>
      </w:r>
      <w:proofErr w:type="gramStart"/>
      <w:r w:rsidRPr="007576F0">
        <w:rPr>
          <w:rFonts w:ascii="標楷體" w:eastAsia="標楷體" w:hAnsi="標楷體"/>
          <w:szCs w:val="24"/>
        </w:rPr>
        <w:t>併</w:t>
      </w:r>
      <w:proofErr w:type="gramEnd"/>
      <w:r w:rsidRPr="007576F0">
        <w:rPr>
          <w:rFonts w:ascii="標楷體" w:eastAsia="標楷體" w:hAnsi="標楷體"/>
          <w:szCs w:val="24"/>
        </w:rPr>
        <w:t>用，治療先前曾接受至少</w:t>
      </w:r>
      <w:r w:rsidRPr="007576F0">
        <w:rPr>
          <w:rFonts w:ascii="標楷體" w:eastAsia="標楷體" w:hAnsi="標楷體" w:hint="eastAsia"/>
          <w:szCs w:val="24"/>
        </w:rPr>
        <w:t>1</w:t>
      </w:r>
      <w:r w:rsidRPr="007576F0">
        <w:rPr>
          <w:rFonts w:ascii="標楷體" w:eastAsia="標楷體" w:hAnsi="標楷體"/>
          <w:szCs w:val="24"/>
        </w:rPr>
        <w:t>種含bortezomib 或 lenalidomide 之療法治療失敗的多發性骨髓瘤成人患者，且須具有良好日常體能狀態(ECOG &lt; 2)者，以總共22次</w:t>
      </w:r>
      <w:proofErr w:type="gramStart"/>
      <w:r w:rsidRPr="007576F0">
        <w:rPr>
          <w:rFonts w:ascii="標楷體" w:eastAsia="標楷體" w:hAnsi="標楷體"/>
          <w:szCs w:val="24"/>
        </w:rPr>
        <w:t>輸注為</w:t>
      </w:r>
      <w:proofErr w:type="gramEnd"/>
      <w:r w:rsidRPr="007576F0">
        <w:rPr>
          <w:rFonts w:ascii="標楷體" w:eastAsia="標楷體" w:hAnsi="標楷體"/>
          <w:szCs w:val="24"/>
        </w:rPr>
        <w:t>上限。(109/4/1、112/4/1、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62A0EE99" w14:textId="77777777" w:rsidR="007576F0" w:rsidRPr="007576F0" w:rsidRDefault="007576F0" w:rsidP="007576F0">
      <w:pPr>
        <w:adjustRightInd w:val="0"/>
        <w:snapToGrid w:val="0"/>
        <w:spacing w:line="300" w:lineRule="exact"/>
        <w:ind w:leftChars="354" w:left="1133" w:hangingChars="118" w:hanging="283"/>
        <w:rPr>
          <w:rFonts w:ascii="標楷體" w:eastAsia="標楷體" w:hAnsi="標楷體"/>
          <w:szCs w:val="24"/>
        </w:rPr>
      </w:pPr>
      <w:r w:rsidRPr="007576F0">
        <w:rPr>
          <w:rFonts w:ascii="標楷體" w:eastAsia="標楷體" w:hAnsi="標楷體"/>
          <w:szCs w:val="24"/>
        </w:rPr>
        <w:t>(1)須經事前審查核准後使用：首次申請為</w:t>
      </w:r>
      <w:proofErr w:type="gramStart"/>
      <w:r w:rsidRPr="007576F0">
        <w:rPr>
          <w:rFonts w:ascii="標楷體" w:eastAsia="標楷體" w:hAnsi="標楷體"/>
          <w:szCs w:val="24"/>
        </w:rPr>
        <w:t>10次輸注</w:t>
      </w:r>
      <w:proofErr w:type="gramEnd"/>
      <w:r w:rsidRPr="007576F0">
        <w:rPr>
          <w:rFonts w:ascii="標楷體" w:eastAsia="標楷體" w:hAnsi="標楷體"/>
          <w:szCs w:val="24"/>
        </w:rPr>
        <w:t>，且需同時符合下列Ⅰ.、Ⅱ.與Ⅲ.的條件：(109/4/1、112/4/1、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52EE4A75" w14:textId="77777777" w:rsidR="007576F0" w:rsidRPr="007576F0" w:rsidRDefault="007576F0" w:rsidP="002144EC">
      <w:pPr>
        <w:numPr>
          <w:ilvl w:val="2"/>
          <w:numId w:val="134"/>
        </w:numPr>
        <w:suppressAutoHyphens w:val="0"/>
        <w:autoSpaceDN/>
        <w:adjustRightInd w:val="0"/>
        <w:snapToGrid w:val="0"/>
        <w:spacing w:line="300" w:lineRule="exact"/>
        <w:ind w:leftChars="472" w:left="1133" w:firstLine="1"/>
        <w:textAlignment w:val="auto"/>
        <w:rPr>
          <w:rFonts w:ascii="標楷體" w:eastAsia="標楷體" w:hAnsi="標楷體"/>
          <w:szCs w:val="24"/>
        </w:rPr>
      </w:pPr>
      <w:r w:rsidRPr="007576F0">
        <w:rPr>
          <w:rFonts w:ascii="標楷體" w:eastAsia="標楷體" w:hAnsi="標楷體"/>
          <w:szCs w:val="24"/>
        </w:rPr>
        <w:t>病人先前未曾接受過daratumumab之治療。(</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1AAB5368" w14:textId="77777777" w:rsidR="007576F0" w:rsidRPr="007576F0" w:rsidRDefault="007576F0" w:rsidP="002144EC">
      <w:pPr>
        <w:numPr>
          <w:ilvl w:val="2"/>
          <w:numId w:val="134"/>
        </w:numPr>
        <w:suppressAutoHyphens w:val="0"/>
        <w:autoSpaceDN/>
        <w:adjustRightInd w:val="0"/>
        <w:snapToGrid w:val="0"/>
        <w:spacing w:line="300" w:lineRule="exact"/>
        <w:ind w:leftChars="414" w:left="1417" w:hanging="423"/>
        <w:textAlignment w:val="auto"/>
        <w:rPr>
          <w:rFonts w:ascii="標楷體" w:eastAsia="標楷體" w:hAnsi="標楷體"/>
          <w:szCs w:val="24"/>
        </w:rPr>
      </w:pPr>
      <w:r w:rsidRPr="007576F0">
        <w:rPr>
          <w:rFonts w:ascii="標楷體" w:eastAsia="標楷體" w:hAnsi="標楷體"/>
          <w:szCs w:val="24"/>
        </w:rPr>
        <w:t>具有下列任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疾病惡化的指標：病患開始治療前須在連續2次評估中均符合同一指標(但若為</w:t>
      </w:r>
      <w:proofErr w:type="spellStart"/>
      <w:r w:rsidRPr="007576F0">
        <w:rPr>
          <w:rFonts w:ascii="標楷體" w:eastAsia="標楷體" w:hAnsi="標楷體"/>
          <w:szCs w:val="24"/>
        </w:rPr>
        <w:t>plamacytoma</w:t>
      </w:r>
      <w:proofErr w:type="spellEnd"/>
      <w:r w:rsidRPr="007576F0">
        <w:rPr>
          <w:rFonts w:ascii="標楷體" w:eastAsia="標楷體" w:hAnsi="標楷體"/>
          <w:szCs w:val="24"/>
        </w:rPr>
        <w:t xml:space="preserve"> 體積增加，或是新產生的bone lesion(s)或新plasmacytoma，則僅需1次評估)：（112/4/1）</w:t>
      </w:r>
    </w:p>
    <w:p w14:paraId="39AB7BA6"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若前一線治療中M component 最低值</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5 g/dL，血清M蛋白需增加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1 g/dL；若前一線治療中M component最低值＜5 g/dL，血清M蛋白需增加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0.5g/dL。</w:t>
      </w:r>
    </w:p>
    <w:p w14:paraId="02B351FF"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Urine M-protein需增加</w:t>
      </w:r>
      <w:proofErr w:type="gramStart"/>
      <w:r w:rsidRPr="007576F0">
        <w:rPr>
          <w:rFonts w:ascii="標楷體" w:eastAsia="標楷體" w:hAnsi="標楷體" w:hint="eastAsia"/>
          <w:szCs w:val="24"/>
        </w:rPr>
        <w:t>≧</w:t>
      </w:r>
      <w:proofErr w:type="gramEnd"/>
      <w:r w:rsidRPr="007576F0">
        <w:rPr>
          <w:rFonts w:ascii="標楷體" w:eastAsia="標楷體" w:hAnsi="標楷體"/>
          <w:szCs w:val="24"/>
        </w:rPr>
        <w:t>0.2 gm/24Hr，且需較前一線治療中的最低值增加</w:t>
      </w:r>
      <w:proofErr w:type="gramStart"/>
      <w:r w:rsidRPr="007576F0">
        <w:rPr>
          <w:rFonts w:ascii="標楷體" w:eastAsia="標楷體" w:hAnsi="標楷體" w:hint="eastAsia"/>
          <w:szCs w:val="24"/>
        </w:rPr>
        <w:t>≧</w:t>
      </w:r>
      <w:proofErr w:type="gramEnd"/>
      <w:r w:rsidRPr="007576F0">
        <w:rPr>
          <w:rFonts w:ascii="標楷體" w:eastAsia="標楷體" w:hAnsi="標楷體"/>
          <w:szCs w:val="24"/>
        </w:rPr>
        <w:t>25%。</w:t>
      </w:r>
    </w:p>
    <w:p w14:paraId="345D4A13"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在non-secretary myeloma 病患，骨髓</w:t>
      </w:r>
      <w:proofErr w:type="gramStart"/>
      <w:r w:rsidRPr="007576F0">
        <w:rPr>
          <w:rFonts w:ascii="標楷體" w:eastAsia="標楷體" w:hAnsi="標楷體"/>
          <w:szCs w:val="24"/>
        </w:rPr>
        <w:t>漿</w:t>
      </w:r>
      <w:proofErr w:type="gramEnd"/>
      <w:r w:rsidRPr="007576F0">
        <w:rPr>
          <w:rFonts w:ascii="標楷體" w:eastAsia="標楷體" w:hAnsi="標楷體"/>
          <w:szCs w:val="24"/>
        </w:rPr>
        <w:t>細胞 (plasma cells)之比例絕對值增加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10%，且需較前一線治療中的最低值增加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25%。</w:t>
      </w:r>
    </w:p>
    <w:p w14:paraId="79EF9BB5"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新產生的bone lesion(s)或plasmacytoma；且須經病理切片證實。</w:t>
      </w:r>
    </w:p>
    <w:p w14:paraId="783579AB"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Plasmacytoma體積增加</w:t>
      </w:r>
      <w:proofErr w:type="gramStart"/>
      <w:r w:rsidRPr="007576F0">
        <w:rPr>
          <w:rFonts w:ascii="標楷體" w:eastAsia="標楷體" w:hAnsi="標楷體" w:hint="eastAsia"/>
          <w:szCs w:val="24"/>
        </w:rPr>
        <w:t>≧</w:t>
      </w:r>
      <w:proofErr w:type="gramEnd"/>
      <w:r w:rsidRPr="007576F0">
        <w:rPr>
          <w:rFonts w:ascii="標楷體" w:eastAsia="標楷體" w:hAnsi="標楷體"/>
          <w:szCs w:val="24"/>
        </w:rPr>
        <w:t>50%。</w:t>
      </w:r>
    </w:p>
    <w:p w14:paraId="36898C55"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周邊</w:t>
      </w:r>
      <w:proofErr w:type="gramStart"/>
      <w:r w:rsidRPr="007576F0">
        <w:rPr>
          <w:rFonts w:ascii="標楷體" w:eastAsia="標楷體" w:hAnsi="標楷體"/>
          <w:szCs w:val="24"/>
        </w:rPr>
        <w:t>血液中漿細胞</w:t>
      </w:r>
      <w:proofErr w:type="gramEnd"/>
      <w:r w:rsidRPr="007576F0">
        <w:rPr>
          <w:rFonts w:ascii="標楷體" w:eastAsia="標楷體" w:hAnsi="標楷體"/>
          <w:szCs w:val="24"/>
        </w:rPr>
        <w:t>比例</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20%</w:t>
      </w:r>
      <w:proofErr w:type="gramStart"/>
      <w:r w:rsidRPr="007576F0">
        <w:rPr>
          <w:rFonts w:ascii="標楷體" w:eastAsia="標楷體" w:hAnsi="標楷體"/>
          <w:szCs w:val="24"/>
        </w:rPr>
        <w:t>或漿細胞</w:t>
      </w:r>
      <w:proofErr w:type="gramEnd"/>
      <w:r w:rsidRPr="007576F0">
        <w:rPr>
          <w:rFonts w:ascii="標楷體" w:eastAsia="標楷體" w:hAnsi="標楷體"/>
          <w:szCs w:val="24"/>
        </w:rPr>
        <w:t>絕對值</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2000 cells/</w:t>
      </w:r>
      <w:proofErr w:type="spellStart"/>
      <w:r w:rsidRPr="007576F0">
        <w:rPr>
          <w:rFonts w:ascii="標楷體" w:eastAsia="標楷體" w:hAnsi="標楷體"/>
          <w:szCs w:val="24"/>
        </w:rPr>
        <w:t>μL</w:t>
      </w:r>
      <w:proofErr w:type="spellEnd"/>
      <w:r w:rsidRPr="007576F0">
        <w:rPr>
          <w:rFonts w:ascii="標楷體" w:eastAsia="標楷體" w:hAnsi="標楷體"/>
          <w:szCs w:val="24"/>
        </w:rPr>
        <w:t>。</w:t>
      </w:r>
    </w:p>
    <w:p w14:paraId="55D9726B" w14:textId="77777777" w:rsidR="007576F0" w:rsidRPr="007576F0" w:rsidRDefault="007576F0" w:rsidP="007576F0">
      <w:pPr>
        <w:adjustRightInd w:val="0"/>
        <w:snapToGrid w:val="0"/>
        <w:spacing w:line="300" w:lineRule="exact"/>
        <w:ind w:left="993"/>
        <w:rPr>
          <w:rFonts w:ascii="標楷體" w:eastAsia="標楷體" w:hAnsi="標楷體"/>
          <w:szCs w:val="24"/>
        </w:rPr>
      </w:pPr>
      <w:r w:rsidRPr="007576F0">
        <w:rPr>
          <w:rFonts w:ascii="標楷體" w:eastAsia="標楷體" w:hAnsi="標楷體"/>
          <w:szCs w:val="24"/>
        </w:rPr>
        <w:t>Ⅲ出現下列任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臨床症狀：（112/4/1）</w:t>
      </w:r>
    </w:p>
    <w:p w14:paraId="12074F09"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lastRenderedPageBreak/>
        <w:t>新產生的bone lesion(s)或plasmacytoma；且須經病理切片證實。</w:t>
      </w:r>
    </w:p>
    <w:p w14:paraId="3D6FCFC8"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Plasmacytoma 體積增加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50%。</w:t>
      </w:r>
    </w:p>
    <w:p w14:paraId="0582F863"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高血鈣(corrected serum calcium＞11.0 mg/dL 或 2.75 mmol/L)。</w:t>
      </w:r>
    </w:p>
    <w:p w14:paraId="0C7FA172"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貧血(Hemoglobin 下降幅度</w:t>
      </w:r>
      <w:proofErr w:type="gramStart"/>
      <w:r w:rsidRPr="007576F0">
        <w:rPr>
          <w:rFonts w:ascii="標楷體" w:eastAsia="標楷體" w:hAnsi="標楷體" w:hint="eastAsia"/>
          <w:szCs w:val="24"/>
        </w:rPr>
        <w:t>≧</w:t>
      </w:r>
      <w:proofErr w:type="gramEnd"/>
      <w:r w:rsidRPr="007576F0">
        <w:rPr>
          <w:rFonts w:ascii="標楷體" w:eastAsia="標楷體" w:hAnsi="標楷體"/>
          <w:szCs w:val="24"/>
        </w:rPr>
        <w:t xml:space="preserve"> 2gm/dL且無其他原因可以解釋)。</w:t>
      </w:r>
    </w:p>
    <w:p w14:paraId="17613DBA"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腎功能惡化(eGFR需下降幅度</w:t>
      </w:r>
      <w:proofErr w:type="gramStart"/>
      <w:r w:rsidRPr="007576F0">
        <w:rPr>
          <w:rFonts w:ascii="標楷體" w:eastAsia="標楷體" w:hAnsi="標楷體" w:hint="eastAsia"/>
          <w:szCs w:val="24"/>
        </w:rPr>
        <w:t>≧</w:t>
      </w:r>
      <w:proofErr w:type="gramEnd"/>
      <w:r w:rsidRPr="007576F0">
        <w:rPr>
          <w:rFonts w:ascii="標楷體" w:eastAsia="標楷體" w:hAnsi="標楷體"/>
          <w:szCs w:val="24"/>
        </w:rPr>
        <w:t>25%)，且無其他原因可以解釋。</w:t>
      </w:r>
    </w:p>
    <w:p w14:paraId="0889BB9A" w14:textId="77777777" w:rsidR="007576F0" w:rsidRPr="007576F0" w:rsidRDefault="007576F0" w:rsidP="002144EC">
      <w:pPr>
        <w:numPr>
          <w:ilvl w:val="3"/>
          <w:numId w:val="134"/>
        </w:numPr>
        <w:suppressAutoHyphens w:val="0"/>
        <w:autoSpaceDN/>
        <w:adjustRightInd w:val="0"/>
        <w:snapToGrid w:val="0"/>
        <w:spacing w:line="300" w:lineRule="exact"/>
        <w:ind w:left="1560" w:firstLine="0"/>
        <w:textAlignment w:val="auto"/>
        <w:rPr>
          <w:rFonts w:ascii="標楷體" w:eastAsia="標楷體" w:hAnsi="標楷體"/>
          <w:szCs w:val="24"/>
        </w:rPr>
      </w:pPr>
      <w:r w:rsidRPr="007576F0">
        <w:rPr>
          <w:rFonts w:ascii="標楷體" w:eastAsia="標楷體" w:hAnsi="標楷體"/>
          <w:szCs w:val="24"/>
        </w:rPr>
        <w:t>出現其他end-organ dysfunctions。</w:t>
      </w:r>
    </w:p>
    <w:p w14:paraId="26EEAACF" w14:textId="77777777" w:rsidR="007576F0" w:rsidRPr="007576F0" w:rsidRDefault="007576F0" w:rsidP="007576F0">
      <w:pPr>
        <w:adjustRightInd w:val="0"/>
        <w:snapToGrid w:val="0"/>
        <w:spacing w:line="300" w:lineRule="exact"/>
        <w:ind w:leftChars="354" w:left="1133" w:hangingChars="118" w:hanging="283"/>
        <w:rPr>
          <w:rFonts w:ascii="標楷體" w:eastAsia="標楷體" w:hAnsi="標楷體"/>
          <w:szCs w:val="24"/>
        </w:rPr>
      </w:pPr>
      <w:r w:rsidRPr="007576F0">
        <w:rPr>
          <w:rFonts w:ascii="標楷體" w:eastAsia="標楷體" w:hAnsi="標楷體"/>
          <w:szCs w:val="24"/>
        </w:rPr>
        <w:t>(2)之後申請則為每次</w:t>
      </w:r>
      <w:proofErr w:type="gramStart"/>
      <w:r w:rsidRPr="007576F0">
        <w:rPr>
          <w:rFonts w:ascii="標楷體" w:eastAsia="標楷體" w:hAnsi="標楷體"/>
          <w:szCs w:val="24"/>
        </w:rPr>
        <w:t>4次輸注</w:t>
      </w:r>
      <w:proofErr w:type="gramEnd"/>
      <w:r w:rsidRPr="007576F0">
        <w:rPr>
          <w:rFonts w:ascii="標楷體" w:eastAsia="標楷體" w:hAnsi="標楷體"/>
          <w:szCs w:val="24"/>
        </w:rPr>
        <w:t>，申請時必須確定paraprotein (M-protein)未上升(即表示對藥物有反應或為穩定狀態)，或對部分non-secretory type MM病人以骨髓檢查plasma cell為療效依據，方可繼續使用。(109/4/1、112/4/1)</w:t>
      </w:r>
    </w:p>
    <w:p w14:paraId="2D1B92F4" w14:textId="77777777" w:rsidR="007576F0" w:rsidRPr="007576F0" w:rsidRDefault="007576F0" w:rsidP="007576F0">
      <w:pPr>
        <w:spacing w:line="300" w:lineRule="exact"/>
        <w:ind w:left="991" w:hanging="283"/>
        <w:rPr>
          <w:rFonts w:ascii="標楷體" w:eastAsia="標楷體" w:hAnsi="標楷體"/>
          <w:szCs w:val="24"/>
        </w:rPr>
      </w:pPr>
      <w:r w:rsidRPr="007576F0">
        <w:rPr>
          <w:rFonts w:ascii="標楷體" w:eastAsia="標楷體" w:hAnsi="標楷體"/>
          <w:szCs w:val="24"/>
        </w:rPr>
        <w:t>3.除lenalidomide、thalidomide或bortezomib外，本案藥品不得與其他蛋白酶體抑制劑(proteasome inhibitor)或免疫調節劑(immunomodulatory drugs)併用。(109/4/1、112/4/1、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15E1669F" w14:textId="77777777" w:rsidR="007576F0" w:rsidRPr="007576F0" w:rsidRDefault="007576F0" w:rsidP="007576F0">
      <w:pPr>
        <w:spacing w:line="300" w:lineRule="exact"/>
        <w:ind w:left="991" w:hanging="283"/>
        <w:rPr>
          <w:rFonts w:ascii="標楷體" w:eastAsia="標楷體" w:hAnsi="標楷體"/>
          <w:szCs w:val="24"/>
        </w:rPr>
      </w:pPr>
      <w:r w:rsidRPr="007576F0">
        <w:rPr>
          <w:rFonts w:ascii="標楷體" w:eastAsia="標楷體" w:hAnsi="標楷體"/>
          <w:szCs w:val="24"/>
        </w:rPr>
        <w:t>4.112年3月31日以前已核定用藥之病人，得經事前審查核准後，使用至總療程上限（第一線治療以總共16輸注為上限，第二線以上治療以總共22次輸注為上限，接受第一線治療以後，不再給付第二線以上治療）或使用期間發生疾病惡化為止。（112/4/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032A9C49"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szCs w:val="24"/>
        </w:rPr>
        <w:t>5.Daratumumab與</w:t>
      </w:r>
      <w:proofErr w:type="spellStart"/>
      <w:r w:rsidRPr="007576F0">
        <w:rPr>
          <w:rFonts w:ascii="標楷體" w:eastAsia="標楷體" w:hAnsi="標楷體"/>
          <w:szCs w:val="24"/>
        </w:rPr>
        <w:t>isatuximab</w:t>
      </w:r>
      <w:proofErr w:type="spellEnd"/>
      <w:r w:rsidRPr="007576F0">
        <w:rPr>
          <w:rFonts w:ascii="標楷體" w:eastAsia="標楷體" w:hAnsi="標楷體"/>
          <w:szCs w:val="24"/>
        </w:rPr>
        <w:t>二者</w:t>
      </w:r>
      <w:r w:rsidRPr="007576F0">
        <w:rPr>
          <w:rFonts w:ascii="標楷體" w:eastAsia="標楷體" w:hAnsi="標楷體" w:hint="eastAsia"/>
          <w:szCs w:val="24"/>
        </w:rPr>
        <w:t>僅能擇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使用，除因藥物耐受不良</w:t>
      </w:r>
      <w:proofErr w:type="gramStart"/>
      <w:r w:rsidRPr="007576F0">
        <w:rPr>
          <w:rFonts w:ascii="標楷體" w:eastAsia="標楷體" w:hAnsi="標楷體" w:hint="eastAsia"/>
          <w:szCs w:val="24"/>
        </w:rPr>
        <w:t>以外，</w:t>
      </w:r>
      <w:proofErr w:type="gramEnd"/>
      <w:r w:rsidRPr="007576F0">
        <w:rPr>
          <w:rFonts w:ascii="標楷體" w:eastAsia="標楷體" w:hAnsi="標楷體" w:hint="eastAsia"/>
          <w:szCs w:val="24"/>
        </w:rPr>
        <w:t>不可以其他原因申請互換使用。（113/4/1）</w:t>
      </w:r>
      <w:bookmarkEnd w:id="62"/>
    </w:p>
    <w:p w14:paraId="14BA4AAE"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bookmarkStart w:id="63" w:name="_Hlk204089600"/>
      <w:r w:rsidRPr="007576F0">
        <w:rPr>
          <w:rFonts w:ascii="標楷體" w:eastAsia="標楷體" w:hAnsi="標楷體"/>
          <w:color w:val="000000"/>
        </w:rPr>
        <w:t>9.79.Obinutuzumab(如</w:t>
      </w:r>
      <w:proofErr w:type="spellStart"/>
      <w:r w:rsidRPr="007576F0">
        <w:rPr>
          <w:rFonts w:ascii="標楷體" w:eastAsia="標楷體" w:hAnsi="標楷體"/>
          <w:color w:val="000000"/>
        </w:rPr>
        <w:t>Gazyva</w:t>
      </w:r>
      <w:proofErr w:type="spellEnd"/>
      <w:r w:rsidRPr="007576F0">
        <w:rPr>
          <w:rFonts w:ascii="標楷體" w:eastAsia="標楷體" w:hAnsi="標楷體"/>
          <w:color w:val="000000"/>
        </w:rPr>
        <w:t>)：（109/4/1、113/2/1</w:t>
      </w:r>
      <w:r w:rsidRPr="007576F0">
        <w:rPr>
          <w:rFonts w:ascii="標楷體" w:eastAsia="標楷體" w:hAnsi="標楷體" w:hint="eastAsia"/>
          <w:color w:val="000000"/>
        </w:rPr>
        <w:t>、114/8/1</w:t>
      </w:r>
      <w:r w:rsidRPr="007576F0">
        <w:rPr>
          <w:rFonts w:ascii="標楷體" w:eastAsia="標楷體" w:hAnsi="標楷體"/>
          <w:color w:val="000000"/>
        </w:rPr>
        <w:t>）</w:t>
      </w:r>
    </w:p>
    <w:p w14:paraId="49CFA47E" w14:textId="77777777" w:rsidR="007576F0" w:rsidRPr="007576F0" w:rsidRDefault="007576F0" w:rsidP="007576F0">
      <w:pPr>
        <w:spacing w:line="300" w:lineRule="exact"/>
        <w:ind w:left="851" w:hanging="244"/>
        <w:rPr>
          <w:rFonts w:ascii="標楷體" w:eastAsia="標楷體" w:hAnsi="標楷體"/>
          <w:color w:val="000000"/>
        </w:rPr>
      </w:pPr>
      <w:r w:rsidRPr="007576F0">
        <w:rPr>
          <w:rFonts w:ascii="標楷體" w:eastAsia="標楷體" w:hAnsi="標楷體"/>
          <w:color w:val="000000"/>
        </w:rPr>
        <w:t>1.限用於第一次接受含rituximab治療後治療無效或治療結束後6個月內復發的</w:t>
      </w:r>
      <w:proofErr w:type="gramStart"/>
      <w:r w:rsidRPr="007576F0">
        <w:rPr>
          <w:rFonts w:ascii="標楷體" w:eastAsia="標楷體" w:hAnsi="標楷體"/>
          <w:color w:val="000000"/>
        </w:rPr>
        <w:t>濾泡性淋巴</w:t>
      </w:r>
      <w:proofErr w:type="gramEnd"/>
      <w:r w:rsidRPr="007576F0">
        <w:rPr>
          <w:rFonts w:ascii="標楷體" w:eastAsia="標楷體" w:hAnsi="標楷體"/>
          <w:color w:val="000000"/>
        </w:rPr>
        <w:t>瘤(follicular lymphoma)患者。</w:t>
      </w:r>
    </w:p>
    <w:p w14:paraId="3DE657DB" w14:textId="77777777" w:rsidR="007576F0" w:rsidRPr="007576F0" w:rsidRDefault="007576F0" w:rsidP="007576F0">
      <w:pPr>
        <w:spacing w:line="300" w:lineRule="exact"/>
        <w:ind w:left="993" w:hanging="142"/>
        <w:rPr>
          <w:rFonts w:ascii="標楷體" w:eastAsia="標楷體" w:hAnsi="標楷體"/>
          <w:color w:val="000000"/>
        </w:rPr>
      </w:pPr>
      <w:r w:rsidRPr="007576F0">
        <w:rPr>
          <w:rFonts w:ascii="標楷體" w:eastAsia="標楷體" w:hAnsi="標楷體"/>
          <w:color w:val="000000"/>
        </w:rPr>
        <w:t>(1)需經事前審查核准後使用：</w:t>
      </w:r>
    </w:p>
    <w:p w14:paraId="48C53D7B" w14:textId="77777777" w:rsidR="007576F0" w:rsidRPr="007576F0" w:rsidRDefault="007576F0" w:rsidP="007576F0">
      <w:pPr>
        <w:spacing w:line="300" w:lineRule="exact"/>
        <w:ind w:left="1560" w:hanging="386"/>
        <w:rPr>
          <w:rFonts w:ascii="標楷體" w:eastAsia="標楷體" w:hAnsi="標楷體"/>
          <w:color w:val="000000"/>
        </w:rPr>
      </w:pPr>
      <w:bookmarkStart w:id="64" w:name="_Hlk206605286"/>
      <w:r w:rsidRPr="007576F0">
        <w:rPr>
          <w:rFonts w:ascii="標楷體" w:eastAsia="標楷體" w:hAnsi="標楷體"/>
          <w:color w:val="000000"/>
        </w:rPr>
        <w:t>Ⅰ.</w:t>
      </w:r>
      <w:bookmarkEnd w:id="64"/>
      <w:r w:rsidRPr="007576F0">
        <w:rPr>
          <w:rFonts w:ascii="標楷體" w:eastAsia="標楷體" w:hAnsi="標楷體"/>
          <w:color w:val="000000"/>
        </w:rPr>
        <w:t>首次申請限6個療程(共8次治療)，且需與</w:t>
      </w:r>
      <w:proofErr w:type="spellStart"/>
      <w:r w:rsidRPr="007576F0">
        <w:rPr>
          <w:rFonts w:ascii="標楷體" w:eastAsia="標楷體" w:hAnsi="標楷體"/>
          <w:color w:val="000000"/>
        </w:rPr>
        <w:t>bendamustine</w:t>
      </w:r>
      <w:proofErr w:type="spellEnd"/>
      <w:r w:rsidRPr="007576F0">
        <w:rPr>
          <w:rFonts w:ascii="標楷體" w:eastAsia="標楷體" w:hAnsi="標楷體"/>
          <w:color w:val="000000"/>
        </w:rPr>
        <w:t xml:space="preserve"> </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51D4781E" w14:textId="77777777" w:rsidR="007576F0" w:rsidRPr="007576F0" w:rsidRDefault="007576F0" w:rsidP="007576F0">
      <w:pPr>
        <w:spacing w:line="300" w:lineRule="exact"/>
        <w:ind w:left="1632" w:hanging="386"/>
        <w:rPr>
          <w:rFonts w:ascii="標楷體" w:eastAsia="標楷體" w:hAnsi="標楷體"/>
          <w:color w:val="000000"/>
        </w:rPr>
      </w:pPr>
      <w:r w:rsidRPr="007576F0">
        <w:rPr>
          <w:rFonts w:ascii="標楷體" w:eastAsia="標楷體" w:hAnsi="標楷體"/>
          <w:color w:val="000000"/>
        </w:rPr>
        <w:t>Ⅱ.經治療後達partial remission 或complete remission病患可續申請</w:t>
      </w:r>
      <w:proofErr w:type="spellStart"/>
      <w:r w:rsidRPr="007576F0">
        <w:rPr>
          <w:rFonts w:ascii="標楷體" w:eastAsia="標楷體" w:hAnsi="標楷體"/>
          <w:color w:val="000000"/>
        </w:rPr>
        <w:t>obinutuzumab</w:t>
      </w:r>
      <w:proofErr w:type="spellEnd"/>
      <w:r w:rsidRPr="007576F0">
        <w:rPr>
          <w:rFonts w:ascii="標楷體" w:eastAsia="標楷體" w:hAnsi="標楷體"/>
          <w:color w:val="000000"/>
        </w:rPr>
        <w:t xml:space="preserve"> 單一藥物維持治療，每次申請最多12個月(6個療程)，每12個月須進行疾病評估，若病情惡化應即停止使用。</w:t>
      </w:r>
    </w:p>
    <w:p w14:paraId="5F10E7F8" w14:textId="77777777" w:rsidR="007576F0" w:rsidRPr="007576F0" w:rsidRDefault="007576F0" w:rsidP="007576F0">
      <w:pPr>
        <w:spacing w:line="300" w:lineRule="exact"/>
        <w:ind w:left="1632" w:hanging="386"/>
        <w:rPr>
          <w:rFonts w:ascii="標楷體" w:eastAsia="標楷體" w:hAnsi="標楷體"/>
          <w:color w:val="000000"/>
        </w:rPr>
      </w:pPr>
      <w:r w:rsidRPr="007576F0">
        <w:rPr>
          <w:rFonts w:ascii="標楷體" w:eastAsia="標楷體" w:hAnsi="標楷體"/>
          <w:color w:val="000000"/>
        </w:rPr>
        <w:t>Ⅲ.每位病人最多給付24個月(12個療程)維持治療。</w:t>
      </w:r>
    </w:p>
    <w:p w14:paraId="26A00377" w14:textId="77777777" w:rsidR="007576F0" w:rsidRPr="007576F0" w:rsidRDefault="007576F0" w:rsidP="007576F0">
      <w:pPr>
        <w:spacing w:line="300" w:lineRule="exact"/>
        <w:ind w:left="993" w:hanging="142"/>
        <w:rPr>
          <w:rFonts w:ascii="標楷體" w:eastAsia="標楷體" w:hAnsi="標楷體"/>
          <w:color w:val="000000"/>
        </w:rPr>
      </w:pPr>
      <w:r w:rsidRPr="007576F0">
        <w:rPr>
          <w:rFonts w:ascii="標楷體" w:eastAsia="標楷體" w:hAnsi="標楷體"/>
          <w:color w:val="000000"/>
        </w:rPr>
        <w:t>(2)病患曾使用本藥物後再復發或惡化時，不得再申請使用。</w:t>
      </w:r>
    </w:p>
    <w:p w14:paraId="63B1B50F" w14:textId="77777777" w:rsidR="007576F0" w:rsidRPr="007576F0" w:rsidRDefault="007576F0" w:rsidP="007576F0">
      <w:pPr>
        <w:spacing w:line="300" w:lineRule="exact"/>
        <w:ind w:left="851" w:hanging="244"/>
        <w:rPr>
          <w:rFonts w:ascii="標楷體" w:eastAsia="標楷體" w:hAnsi="標楷體"/>
          <w:color w:val="000000"/>
        </w:rPr>
      </w:pPr>
      <w:r w:rsidRPr="007576F0">
        <w:rPr>
          <w:rFonts w:ascii="標楷體" w:eastAsia="標楷體" w:hAnsi="標楷體"/>
          <w:color w:val="000000"/>
        </w:rPr>
        <w:t>2.限與chlorambucil</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用於治療先前未曾接受過治療，且具有合併症(comorbidities)而不適合接受含 fludarabine治療的CD20陽性慢性淋巴球性白血病（CLL）患者。（113/2/1）</w:t>
      </w:r>
    </w:p>
    <w:p w14:paraId="337BEF92"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color w:val="000000"/>
        </w:rPr>
        <w:t xml:space="preserve">(1)Rai Stage Ⅲ/Ⅳ(或Binet C級)之CLL病人。若用於Rai </w:t>
      </w:r>
      <w:proofErr w:type="spellStart"/>
      <w:r w:rsidRPr="007576F0">
        <w:rPr>
          <w:rFonts w:ascii="標楷體" w:eastAsia="標楷體" w:hAnsi="標楷體"/>
          <w:color w:val="000000"/>
        </w:rPr>
        <w:t>StageⅠ</w:t>
      </w:r>
      <w:proofErr w:type="spellEnd"/>
      <w:r w:rsidRPr="007576F0">
        <w:rPr>
          <w:rFonts w:ascii="標楷體" w:eastAsia="標楷體" w:hAnsi="標楷體"/>
          <w:color w:val="000000"/>
        </w:rPr>
        <w:t>/Ⅱ(或Binet A/B級)</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有疾病相關免疫性症候(如自體免疫性溶血、免疫性血小板低下紫</w:t>
      </w:r>
      <w:proofErr w:type="gramStart"/>
      <w:r w:rsidRPr="007576F0">
        <w:rPr>
          <w:rFonts w:ascii="標楷體" w:eastAsia="標楷體" w:hAnsi="標楷體"/>
          <w:color w:val="000000"/>
        </w:rPr>
        <w:t>瘢</w:t>
      </w:r>
      <w:proofErr w:type="gramEnd"/>
      <w:r w:rsidRPr="007576F0">
        <w:rPr>
          <w:rFonts w:ascii="標楷體" w:eastAsia="標楷體" w:hAnsi="標楷體"/>
          <w:color w:val="000000"/>
        </w:rPr>
        <w:t>症等)的病人時，需符合具有CD20陽性。</w:t>
      </w:r>
    </w:p>
    <w:p w14:paraId="34A275D4" w14:textId="77777777" w:rsidR="007576F0" w:rsidRPr="007576F0" w:rsidRDefault="007576F0" w:rsidP="007576F0">
      <w:pPr>
        <w:spacing w:line="300" w:lineRule="exact"/>
        <w:ind w:left="993" w:hanging="142"/>
        <w:rPr>
          <w:rFonts w:ascii="標楷體" w:eastAsia="標楷體" w:hAnsi="標楷體"/>
          <w:color w:val="000000"/>
        </w:rPr>
      </w:pPr>
      <w:r w:rsidRPr="007576F0">
        <w:rPr>
          <w:rFonts w:ascii="標楷體" w:eastAsia="標楷體" w:hAnsi="標楷體"/>
          <w:color w:val="000000"/>
        </w:rPr>
        <w:t>(2)需經事前審查核准後使用，首次申請限6個療程(共8次治療)。</w:t>
      </w:r>
    </w:p>
    <w:p w14:paraId="578F0BEC" w14:textId="77777777" w:rsidR="007576F0" w:rsidRPr="007576F0" w:rsidRDefault="007576F0" w:rsidP="007576F0">
      <w:pPr>
        <w:spacing w:line="300" w:lineRule="exact"/>
        <w:ind w:left="993" w:hanging="142"/>
        <w:rPr>
          <w:rFonts w:ascii="標楷體" w:eastAsia="標楷體" w:hAnsi="標楷體"/>
          <w:color w:val="000000"/>
        </w:rPr>
      </w:pPr>
      <w:r w:rsidRPr="007576F0">
        <w:rPr>
          <w:rFonts w:ascii="標楷體" w:eastAsia="標楷體" w:hAnsi="標楷體"/>
          <w:color w:val="000000"/>
        </w:rPr>
        <w:t>(3)病患曾使用本藥物後再復發或惡化時，不得再申請使用。</w:t>
      </w:r>
    </w:p>
    <w:p w14:paraId="25C948A2" w14:textId="77777777" w:rsidR="007576F0" w:rsidRPr="007576F0" w:rsidRDefault="007576F0" w:rsidP="007576F0">
      <w:pPr>
        <w:spacing w:line="300" w:lineRule="exact"/>
        <w:ind w:left="851" w:hanging="244"/>
        <w:rPr>
          <w:rFonts w:ascii="標楷體" w:eastAsia="標楷體" w:hAnsi="標楷體"/>
          <w:color w:val="000000"/>
        </w:rPr>
      </w:pPr>
      <w:r w:rsidRPr="007576F0">
        <w:rPr>
          <w:rFonts w:ascii="標楷體" w:eastAsia="標楷體" w:hAnsi="標楷體" w:hint="eastAsia"/>
          <w:color w:val="000000"/>
        </w:rPr>
        <w:t>3.</w:t>
      </w:r>
      <w:r w:rsidRPr="007576F0">
        <w:rPr>
          <w:rFonts w:ascii="標楷體" w:eastAsia="標楷體" w:hAnsi="標楷體"/>
          <w:color w:val="000000"/>
        </w:rPr>
        <w:t>限與</w:t>
      </w:r>
      <w:proofErr w:type="spellStart"/>
      <w:r w:rsidRPr="007576F0">
        <w:rPr>
          <w:rFonts w:ascii="標楷體" w:eastAsia="標楷體" w:hAnsi="標楷體"/>
          <w:color w:val="000000"/>
        </w:rPr>
        <w:t>zanubrutinib</w:t>
      </w:r>
      <w:proofErr w:type="spellEnd"/>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用，治療先前曾接受至少兩線(</w:t>
      </w:r>
      <w:proofErr w:type="gramStart"/>
      <w:r w:rsidRPr="007576F0">
        <w:rPr>
          <w:rFonts w:ascii="標楷體" w:eastAsia="標楷體" w:hAnsi="標楷體"/>
          <w:color w:val="000000"/>
        </w:rPr>
        <w:t>每線至少</w:t>
      </w:r>
      <w:proofErr w:type="gramEnd"/>
      <w:r w:rsidRPr="007576F0">
        <w:rPr>
          <w:rFonts w:ascii="標楷體" w:eastAsia="標楷體" w:hAnsi="標楷體"/>
          <w:color w:val="000000"/>
        </w:rPr>
        <w:t>4個療程)全身性治療無效或復發的</w:t>
      </w:r>
      <w:proofErr w:type="gramStart"/>
      <w:r w:rsidRPr="007576F0">
        <w:rPr>
          <w:rFonts w:ascii="標楷體" w:eastAsia="標楷體" w:hAnsi="標楷體"/>
          <w:color w:val="000000"/>
        </w:rPr>
        <w:t>濾泡性淋巴</w:t>
      </w:r>
      <w:proofErr w:type="gramEnd"/>
      <w:r w:rsidRPr="007576F0">
        <w:rPr>
          <w:rFonts w:ascii="標楷體" w:eastAsia="標楷體" w:hAnsi="標楷體"/>
          <w:color w:val="000000"/>
        </w:rPr>
        <w:t>瘤成人病人。(</w:t>
      </w:r>
      <w:r w:rsidRPr="007576F0">
        <w:rPr>
          <w:rFonts w:ascii="標楷體" w:eastAsia="標楷體" w:hAnsi="標楷體" w:hint="eastAsia"/>
          <w:color w:val="000000"/>
        </w:rPr>
        <w:t>114</w:t>
      </w:r>
      <w:r w:rsidRPr="007576F0">
        <w:rPr>
          <w:rFonts w:ascii="標楷體" w:eastAsia="標楷體" w:hAnsi="標楷體"/>
          <w:color w:val="000000"/>
        </w:rPr>
        <w:t>/</w:t>
      </w:r>
      <w:r w:rsidRPr="007576F0">
        <w:rPr>
          <w:rFonts w:ascii="標楷體" w:eastAsia="標楷體" w:hAnsi="標楷體" w:hint="eastAsia"/>
          <w:color w:val="000000"/>
        </w:rPr>
        <w:t>8</w:t>
      </w:r>
      <w:r w:rsidRPr="007576F0">
        <w:rPr>
          <w:rFonts w:ascii="標楷體" w:eastAsia="標楷體" w:hAnsi="標楷體"/>
          <w:color w:val="000000"/>
        </w:rPr>
        <w:t>/1)</w:t>
      </w:r>
    </w:p>
    <w:p w14:paraId="35F437E8"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hint="eastAsia"/>
          <w:color w:val="000000"/>
        </w:rPr>
        <w:t>(1)</w:t>
      </w:r>
      <w:proofErr w:type="gramStart"/>
      <w:r w:rsidRPr="007576F0">
        <w:rPr>
          <w:rFonts w:ascii="標楷體" w:eastAsia="標楷體" w:hAnsi="標楷體"/>
          <w:color w:val="000000"/>
        </w:rPr>
        <w:t>需曾接受</w:t>
      </w:r>
      <w:proofErr w:type="gramEnd"/>
      <w:r w:rsidRPr="007576F0">
        <w:rPr>
          <w:rFonts w:ascii="標楷體" w:eastAsia="標楷體" w:hAnsi="標楷體"/>
          <w:color w:val="000000"/>
        </w:rPr>
        <w:t>過至少一種anti-CD20 monoclonal antibody及一種靜脈注射型之alkylating agent治療。</w:t>
      </w:r>
    </w:p>
    <w:p w14:paraId="75119CF0"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hint="eastAsia"/>
          <w:color w:val="000000"/>
        </w:rPr>
        <w:t>(2)</w:t>
      </w:r>
      <w:r w:rsidRPr="007576F0">
        <w:rPr>
          <w:rFonts w:ascii="標楷體" w:eastAsia="標楷體" w:hAnsi="標楷體"/>
          <w:color w:val="000000"/>
        </w:rPr>
        <w:t>需符合WHO 淋巴瘤分類為I、II或IIIa期的診斷。</w:t>
      </w:r>
    </w:p>
    <w:p w14:paraId="3FBEA557"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hint="eastAsia"/>
          <w:color w:val="000000"/>
        </w:rPr>
        <w:t>(3)</w:t>
      </w:r>
      <w:r w:rsidRPr="007576F0">
        <w:rPr>
          <w:rFonts w:ascii="標楷體" w:eastAsia="標楷體" w:hAnsi="標楷體"/>
          <w:color w:val="000000"/>
        </w:rPr>
        <w:t>開始使用前之疾病狀態需出現下列任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情形：</w:t>
      </w:r>
    </w:p>
    <w:p w14:paraId="0FD9C1B7" w14:textId="77777777" w:rsidR="007576F0" w:rsidRPr="007576F0" w:rsidRDefault="007576F0" w:rsidP="00982784">
      <w:pPr>
        <w:numPr>
          <w:ilvl w:val="0"/>
          <w:numId w:val="125"/>
        </w:numPr>
        <w:spacing w:line="300" w:lineRule="exact"/>
        <w:rPr>
          <w:rFonts w:ascii="標楷體" w:eastAsia="標楷體" w:hAnsi="標楷體" w:cs="BiauKai"/>
          <w:szCs w:val="24"/>
        </w:rPr>
      </w:pPr>
      <w:r w:rsidRPr="007576F0">
        <w:rPr>
          <w:rFonts w:ascii="標楷體" w:eastAsia="標楷體" w:hAnsi="標楷體" w:cs="BiauKai"/>
          <w:szCs w:val="24"/>
        </w:rPr>
        <w:t>有單一腫瘤直徑7公分以上者；</w:t>
      </w:r>
    </w:p>
    <w:p w14:paraId="2FE94B6B" w14:textId="77777777" w:rsidR="007576F0" w:rsidRPr="007576F0" w:rsidRDefault="007576F0" w:rsidP="00982784">
      <w:pPr>
        <w:numPr>
          <w:ilvl w:val="0"/>
          <w:numId w:val="125"/>
        </w:numPr>
        <w:spacing w:line="300" w:lineRule="exact"/>
        <w:rPr>
          <w:rFonts w:ascii="標楷體" w:eastAsia="標楷體" w:hAnsi="標楷體" w:cs="BiauKai"/>
          <w:szCs w:val="24"/>
        </w:rPr>
      </w:pPr>
      <w:r w:rsidRPr="007576F0">
        <w:rPr>
          <w:rFonts w:ascii="標楷體" w:eastAsia="標楷體" w:hAnsi="標楷體" w:cs="BiauKai"/>
          <w:szCs w:val="24"/>
        </w:rPr>
        <w:t>有三顆以上之腫瘤其直徑大於3公分以上者；</w:t>
      </w:r>
    </w:p>
    <w:p w14:paraId="23FF1BB8" w14:textId="77777777" w:rsidR="007576F0" w:rsidRPr="007576F0" w:rsidRDefault="007576F0" w:rsidP="00982784">
      <w:pPr>
        <w:numPr>
          <w:ilvl w:val="0"/>
          <w:numId w:val="125"/>
        </w:numPr>
        <w:spacing w:line="300" w:lineRule="exact"/>
        <w:rPr>
          <w:rFonts w:ascii="標楷體" w:eastAsia="標楷體" w:hAnsi="標楷體" w:cs="BiauKai"/>
          <w:szCs w:val="24"/>
        </w:rPr>
      </w:pPr>
      <w:r w:rsidRPr="007576F0">
        <w:rPr>
          <w:rFonts w:ascii="標楷體" w:eastAsia="標楷體" w:hAnsi="標楷體" w:cs="BiauKai"/>
          <w:szCs w:val="24"/>
        </w:rPr>
        <w:t>脾臟腫大，其長度16公分以上者；</w:t>
      </w:r>
    </w:p>
    <w:p w14:paraId="0CD71F23" w14:textId="77777777" w:rsidR="007576F0" w:rsidRPr="007576F0" w:rsidRDefault="007576F0" w:rsidP="00982784">
      <w:pPr>
        <w:numPr>
          <w:ilvl w:val="0"/>
          <w:numId w:val="125"/>
        </w:numPr>
        <w:spacing w:line="300" w:lineRule="exact"/>
        <w:rPr>
          <w:rFonts w:ascii="標楷體" w:eastAsia="標楷體" w:hAnsi="標楷體" w:cs="BiauKai"/>
          <w:szCs w:val="24"/>
        </w:rPr>
      </w:pPr>
      <w:r w:rsidRPr="007576F0">
        <w:rPr>
          <w:rFonts w:ascii="標楷體" w:eastAsia="標楷體" w:hAnsi="標楷體" w:cs="BiauKai"/>
          <w:szCs w:val="24"/>
        </w:rPr>
        <w:t>對</w:t>
      </w:r>
      <w:proofErr w:type="spellStart"/>
      <w:r w:rsidRPr="007576F0">
        <w:rPr>
          <w:rFonts w:ascii="標楷體" w:eastAsia="標楷體" w:hAnsi="標楷體" w:cs="BiauKai"/>
          <w:szCs w:val="24"/>
        </w:rPr>
        <w:t>vitalorgans</w:t>
      </w:r>
      <w:proofErr w:type="spellEnd"/>
      <w:r w:rsidRPr="007576F0">
        <w:rPr>
          <w:rFonts w:ascii="標楷體" w:eastAsia="標楷體" w:hAnsi="標楷體" w:cs="BiauKai"/>
          <w:szCs w:val="24"/>
        </w:rPr>
        <w:t>造成擠壓者；</w:t>
      </w:r>
    </w:p>
    <w:p w14:paraId="33D24B85" w14:textId="77777777" w:rsidR="007576F0" w:rsidRPr="007576F0" w:rsidRDefault="007576F0" w:rsidP="00982784">
      <w:pPr>
        <w:numPr>
          <w:ilvl w:val="0"/>
          <w:numId w:val="125"/>
        </w:numPr>
        <w:spacing w:line="300" w:lineRule="exact"/>
        <w:rPr>
          <w:rFonts w:ascii="標楷體" w:eastAsia="標楷體" w:hAnsi="標楷體" w:cs="BiauKai"/>
          <w:szCs w:val="24"/>
        </w:rPr>
      </w:pPr>
      <w:r w:rsidRPr="007576F0">
        <w:rPr>
          <w:rFonts w:ascii="標楷體" w:eastAsia="標楷體" w:hAnsi="標楷體" w:cs="BiauKai"/>
          <w:szCs w:val="24"/>
        </w:rPr>
        <w:t>周邊血中出現淋巴球增生超過5000/mm3者；</w:t>
      </w:r>
    </w:p>
    <w:p w14:paraId="25A803EF" w14:textId="77777777" w:rsidR="007576F0" w:rsidRPr="007576F0" w:rsidRDefault="007576F0" w:rsidP="00982784">
      <w:pPr>
        <w:numPr>
          <w:ilvl w:val="0"/>
          <w:numId w:val="125"/>
        </w:numPr>
        <w:spacing w:line="300" w:lineRule="exact"/>
        <w:rPr>
          <w:rFonts w:ascii="標楷體" w:eastAsia="標楷體" w:hAnsi="標楷體" w:cs="BiauKai"/>
          <w:szCs w:val="24"/>
        </w:rPr>
      </w:pPr>
      <w:r w:rsidRPr="007576F0">
        <w:rPr>
          <w:rFonts w:ascii="標楷體" w:eastAsia="標楷體" w:hAnsi="標楷體" w:cs="BiauKai"/>
          <w:szCs w:val="24"/>
        </w:rPr>
        <w:t>出現任一系列血球低下者</w:t>
      </w:r>
      <w:proofErr w:type="gramStart"/>
      <w:r w:rsidRPr="007576F0">
        <w:rPr>
          <w:rFonts w:ascii="標楷體" w:eastAsia="標楷體" w:hAnsi="標楷體" w:cs="BiauKai"/>
          <w:szCs w:val="24"/>
        </w:rPr>
        <w:t>（</w:t>
      </w:r>
      <w:proofErr w:type="gramEnd"/>
      <w:r w:rsidRPr="007576F0">
        <w:rPr>
          <w:rFonts w:ascii="標楷體" w:eastAsia="標楷體" w:hAnsi="標楷體" w:cs="BiauKai"/>
          <w:szCs w:val="24"/>
        </w:rPr>
        <w:t>platelet&lt;100,000/ mm3，或 Hb&lt;10gm/dL，或</w:t>
      </w:r>
      <w:r w:rsidRPr="007576F0">
        <w:rPr>
          <w:rFonts w:ascii="標楷體" w:eastAsia="標楷體" w:hAnsi="標楷體" w:cs="BiauKai"/>
          <w:szCs w:val="24"/>
        </w:rPr>
        <w:lastRenderedPageBreak/>
        <w:t>absolute neutrophil count&lt;1500/ mm3)。</w:t>
      </w:r>
    </w:p>
    <w:p w14:paraId="39ABC0C4" w14:textId="77777777" w:rsidR="007576F0" w:rsidRPr="007576F0" w:rsidRDefault="007576F0" w:rsidP="00982784">
      <w:pPr>
        <w:numPr>
          <w:ilvl w:val="0"/>
          <w:numId w:val="125"/>
        </w:numPr>
        <w:spacing w:line="300" w:lineRule="exact"/>
        <w:rPr>
          <w:rFonts w:ascii="標楷體" w:eastAsia="標楷體" w:hAnsi="標楷體" w:cs="BiauKai"/>
          <w:szCs w:val="24"/>
        </w:rPr>
      </w:pPr>
      <w:r w:rsidRPr="007576F0">
        <w:rPr>
          <w:rFonts w:ascii="標楷體" w:eastAsia="標楷體" w:hAnsi="標楷體" w:cs="BiauKai"/>
          <w:szCs w:val="24"/>
        </w:rPr>
        <w:t>B symptoms。</w:t>
      </w:r>
    </w:p>
    <w:p w14:paraId="0D0EE9FC"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hint="eastAsia"/>
          <w:color w:val="000000"/>
        </w:rPr>
        <w:t>(4)</w:t>
      </w:r>
      <w:r w:rsidRPr="007576F0">
        <w:rPr>
          <w:rFonts w:ascii="標楷體" w:eastAsia="標楷體" w:hAnsi="標楷體"/>
          <w:color w:val="000000"/>
        </w:rPr>
        <w:t xml:space="preserve">需經事前審查核准後使用，每3 </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月需再次申請，再次申請時需檢附療效評估資料，若未達partial remission或 complete remission，則不予給付。</w:t>
      </w:r>
    </w:p>
    <w:p w14:paraId="103326AA"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hint="eastAsia"/>
          <w:color w:val="000000"/>
        </w:rPr>
        <w:t>(5)</w:t>
      </w:r>
      <w:r w:rsidRPr="007576F0">
        <w:rPr>
          <w:rFonts w:ascii="標楷體" w:eastAsia="標楷體" w:hAnsi="標楷體"/>
          <w:color w:val="000000"/>
        </w:rPr>
        <w:t>總療程以全部24個月為上限。Obinutuzumab總療程以給付18支為限。</w:t>
      </w:r>
    </w:p>
    <w:p w14:paraId="155F117D" w14:textId="77777777" w:rsidR="007576F0" w:rsidRPr="007576F0" w:rsidRDefault="007576F0" w:rsidP="007576F0">
      <w:pPr>
        <w:spacing w:line="300" w:lineRule="exact"/>
        <w:ind w:left="851" w:hanging="244"/>
        <w:rPr>
          <w:rFonts w:ascii="標楷體" w:eastAsia="標楷體" w:hAnsi="標楷體"/>
          <w:color w:val="000000"/>
        </w:rPr>
      </w:pPr>
      <w:r w:rsidRPr="007576F0">
        <w:rPr>
          <w:rFonts w:ascii="標楷體" w:eastAsia="標楷體" w:hAnsi="標楷體" w:hint="eastAsia"/>
          <w:color w:val="000000"/>
        </w:rPr>
        <w:t>4.限以</w:t>
      </w:r>
      <w:proofErr w:type="spellStart"/>
      <w:r w:rsidRPr="007576F0">
        <w:rPr>
          <w:rFonts w:ascii="標楷體" w:eastAsia="標楷體" w:hAnsi="標楷體" w:hint="eastAsia"/>
          <w:color w:val="000000"/>
        </w:rPr>
        <w:t>obinutuzumab</w:t>
      </w:r>
      <w:proofErr w:type="spellEnd"/>
      <w:r w:rsidRPr="007576F0">
        <w:rPr>
          <w:rFonts w:ascii="標楷體" w:eastAsia="標楷體" w:hAnsi="標楷體" w:hint="eastAsia"/>
          <w:color w:val="000000"/>
        </w:rPr>
        <w:t xml:space="preserve"> 1,000mg作為</w:t>
      </w:r>
      <w:proofErr w:type="spellStart"/>
      <w:r w:rsidRPr="007576F0">
        <w:rPr>
          <w:rFonts w:ascii="標楷體" w:eastAsia="標楷體" w:hAnsi="標楷體" w:hint="eastAsia"/>
          <w:color w:val="000000"/>
        </w:rPr>
        <w:t>glofitamab</w:t>
      </w:r>
      <w:proofErr w:type="spellEnd"/>
      <w:r w:rsidRPr="007576F0">
        <w:rPr>
          <w:rFonts w:ascii="標楷體" w:eastAsia="標楷體" w:hAnsi="標楷體" w:hint="eastAsia"/>
          <w:color w:val="000000"/>
        </w:rPr>
        <w:t>用於治療先前曾接受至少兩線全身治療之復發</w:t>
      </w:r>
      <w:proofErr w:type="gramStart"/>
      <w:r w:rsidRPr="007576F0">
        <w:rPr>
          <w:rFonts w:ascii="標楷體" w:eastAsia="標楷體" w:hAnsi="標楷體" w:hint="eastAsia"/>
          <w:color w:val="000000"/>
        </w:rPr>
        <w:t>性或難治</w:t>
      </w:r>
      <w:proofErr w:type="gramEnd"/>
      <w:r w:rsidRPr="007576F0">
        <w:rPr>
          <w:rFonts w:ascii="標楷體" w:eastAsia="標楷體" w:hAnsi="標楷體" w:hint="eastAsia"/>
          <w:color w:val="000000"/>
        </w:rPr>
        <w:t>性瀰漫性大B細胞淋巴瘤 (DLBCL) 的成人病人之前置治療，需與</w:t>
      </w:r>
      <w:proofErr w:type="spellStart"/>
      <w:r w:rsidRPr="007576F0">
        <w:rPr>
          <w:rFonts w:ascii="標楷體" w:eastAsia="標楷體" w:hAnsi="標楷體" w:hint="eastAsia"/>
          <w:color w:val="000000"/>
        </w:rPr>
        <w:t>glofitamab</w:t>
      </w:r>
      <w:proofErr w:type="spellEnd"/>
      <w:r w:rsidRPr="007576F0">
        <w:rPr>
          <w:rFonts w:ascii="標楷體" w:eastAsia="標楷體" w:hAnsi="標楷體" w:hint="eastAsia"/>
          <w:color w:val="000000"/>
        </w:rPr>
        <w:t>首次治療同時申請事前審查並經核准後使用。(114/8/1</w:t>
      </w:r>
      <w:proofErr w:type="gramStart"/>
      <w:r w:rsidRPr="007576F0">
        <w:rPr>
          <w:rFonts w:ascii="標楷體" w:eastAsia="標楷體" w:hAnsi="標楷體" w:hint="eastAsia"/>
          <w:color w:val="000000"/>
        </w:rPr>
        <w:t>）</w:t>
      </w:r>
      <w:bookmarkEnd w:id="63"/>
      <w:proofErr w:type="gramEnd"/>
    </w:p>
    <w:p w14:paraId="7B2EB80E"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9.80.Osimertinib (如</w:t>
      </w:r>
      <w:proofErr w:type="spellStart"/>
      <w:r w:rsidRPr="007576F0">
        <w:rPr>
          <w:rFonts w:ascii="標楷體" w:eastAsia="標楷體" w:hAnsi="標楷體"/>
          <w:color w:val="000000"/>
        </w:rPr>
        <w:t>Tagrisso</w:t>
      </w:r>
      <w:proofErr w:type="spellEnd"/>
      <w:r w:rsidRPr="007576F0">
        <w:rPr>
          <w:rFonts w:ascii="標楷體" w:eastAsia="標楷體" w:hAnsi="標楷體"/>
          <w:color w:val="000000"/>
        </w:rPr>
        <w:t>)：(109/4/1、109/6/1、109/10/1、111/4/1、113/6/1、113/10/1</w:t>
      </w:r>
      <w:r w:rsidRPr="007576F0">
        <w:rPr>
          <w:rFonts w:ascii="標楷體" w:eastAsia="標楷體" w:hAnsi="標楷體" w:hint="eastAsia"/>
          <w:color w:val="000000"/>
        </w:rPr>
        <w:t>、115/8/1</w:t>
      </w:r>
      <w:r w:rsidRPr="007576F0">
        <w:rPr>
          <w:rFonts w:ascii="標楷體" w:eastAsia="標楷體" w:hAnsi="標楷體"/>
          <w:color w:val="000000"/>
        </w:rPr>
        <w:t>)</w:t>
      </w:r>
    </w:p>
    <w:p w14:paraId="4A57F483" w14:textId="77777777" w:rsidR="007576F0" w:rsidRPr="007576F0" w:rsidRDefault="007576F0" w:rsidP="007576F0">
      <w:pPr>
        <w:spacing w:line="300" w:lineRule="exact"/>
        <w:ind w:left="993" w:hanging="280"/>
        <w:rPr>
          <w:rFonts w:ascii="標楷體" w:eastAsia="標楷體" w:hAnsi="標楷體"/>
          <w:color w:val="000000"/>
        </w:rPr>
      </w:pPr>
      <w:r w:rsidRPr="007576F0">
        <w:rPr>
          <w:rFonts w:ascii="標楷體" w:eastAsia="標楷體" w:hAnsi="標楷體"/>
          <w:color w:val="000000"/>
        </w:rPr>
        <w:t>1.限單獨使用於：</w:t>
      </w:r>
    </w:p>
    <w:p w14:paraId="2B4C1025" w14:textId="77777777" w:rsidR="007576F0" w:rsidRPr="007576F0" w:rsidRDefault="007576F0" w:rsidP="007576F0">
      <w:pPr>
        <w:spacing w:line="300" w:lineRule="exact"/>
        <w:ind w:left="1418" w:hanging="423"/>
      </w:pPr>
      <w:r w:rsidRPr="007576F0">
        <w:rPr>
          <w:rFonts w:ascii="標楷體" w:eastAsia="標楷體" w:hAnsi="標楷體"/>
          <w:color w:val="000000"/>
        </w:rPr>
        <w:t>(1)</w:t>
      </w:r>
      <w:r w:rsidRPr="007576F0">
        <w:t xml:space="preserve"> </w:t>
      </w:r>
      <w:r w:rsidRPr="007576F0">
        <w:rPr>
          <w:rFonts w:ascii="標楷體" w:eastAsia="標楷體" w:hAnsi="標楷體"/>
          <w:color w:val="000000"/>
        </w:rPr>
        <w:t>具有EGFR Exon 19 Del或Exon 21 L858R基因突變之局部侵犯性或轉移性（即為IIIB、IIIC期或第Ⅳ期）肺腺癌病患之第一線治療。 (111/4/1、113/10/1)</w:t>
      </w:r>
    </w:p>
    <w:p w14:paraId="20142B04" w14:textId="77777777" w:rsidR="007576F0" w:rsidRPr="007576F0" w:rsidRDefault="007576F0" w:rsidP="007576F0">
      <w:pPr>
        <w:spacing w:line="300" w:lineRule="exact"/>
        <w:ind w:left="1418" w:hanging="426"/>
        <w:rPr>
          <w:rFonts w:ascii="標楷體" w:eastAsia="標楷體" w:hAnsi="標楷體"/>
          <w:color w:val="000000"/>
        </w:rPr>
      </w:pPr>
      <w:r w:rsidRPr="007576F0">
        <w:rPr>
          <w:rFonts w:ascii="標楷體" w:eastAsia="標楷體" w:hAnsi="標楷體"/>
          <w:color w:val="000000"/>
        </w:rPr>
        <w:t>(2)先前已使用過EGFR標靶藥物gefitinib、erlotinib、afatinib或dacomitinib治療失敗，且具有EGFR　T790M基因突變之局部侵犯性或轉移性之非小細胞肺癌之第二線治療。(109/10/1</w:t>
      </w:r>
      <w:proofErr w:type="gramStart"/>
      <w:r w:rsidRPr="007576F0">
        <w:rPr>
          <w:rFonts w:ascii="標楷體" w:eastAsia="標楷體" w:hAnsi="標楷體"/>
          <w:color w:val="000000"/>
        </w:rPr>
        <w:t>）</w:t>
      </w:r>
      <w:proofErr w:type="gramEnd"/>
    </w:p>
    <w:p w14:paraId="40C30E8C" w14:textId="77777777" w:rsidR="007576F0" w:rsidRPr="007576F0" w:rsidRDefault="007576F0" w:rsidP="007576F0">
      <w:pPr>
        <w:spacing w:line="300" w:lineRule="exact"/>
        <w:ind w:left="709"/>
      </w:pPr>
      <w:r w:rsidRPr="007576F0">
        <w:rPr>
          <w:rFonts w:ascii="標楷體" w:eastAsia="標楷體" w:hAnsi="標楷體"/>
          <w:color w:val="000000"/>
        </w:rPr>
        <w:t>2.使</w:t>
      </w:r>
      <w:r w:rsidRPr="007576F0">
        <w:rPr>
          <w:rFonts w:ascii="標楷體" w:eastAsia="標楷體" w:hAnsi="標楷體" w:hint="eastAsia"/>
          <w:color w:val="000000"/>
        </w:rPr>
        <w:t>用注意事項：(109/10/1</w:t>
      </w:r>
      <w:r w:rsidRPr="007576F0">
        <w:rPr>
          <w:rFonts w:ascii="新細明體" w:hAnsi="新細明體" w:hint="eastAsia"/>
          <w:color w:val="000000"/>
        </w:rPr>
        <w:t>、</w:t>
      </w:r>
      <w:r w:rsidRPr="007576F0">
        <w:rPr>
          <w:rFonts w:ascii="標楷體" w:eastAsia="標楷體" w:hAnsi="標楷體" w:hint="eastAsia"/>
          <w:color w:val="000000"/>
        </w:rPr>
        <w:t>111/4/1、113/6/1、113/10/1、115/8/1</w:t>
      </w:r>
      <w:proofErr w:type="gramStart"/>
      <w:r w:rsidRPr="007576F0">
        <w:rPr>
          <w:rFonts w:ascii="標楷體" w:eastAsia="標楷體" w:hAnsi="標楷體" w:hint="eastAsia"/>
          <w:color w:val="000000"/>
        </w:rPr>
        <w:t>）</w:t>
      </w:r>
      <w:proofErr w:type="gramEnd"/>
    </w:p>
    <w:p w14:paraId="1611DF63" w14:textId="77777777" w:rsidR="007576F0" w:rsidRPr="007576F0" w:rsidRDefault="007576F0" w:rsidP="007576F0">
      <w:pPr>
        <w:spacing w:line="300" w:lineRule="exact"/>
        <w:ind w:left="1418" w:hanging="426"/>
        <w:rPr>
          <w:rFonts w:ascii="標楷體" w:eastAsia="標楷體" w:hAnsi="標楷體"/>
          <w:color w:val="000000"/>
        </w:rPr>
      </w:pPr>
      <w:r w:rsidRPr="007576F0">
        <w:rPr>
          <w:rFonts w:ascii="標楷體" w:eastAsia="標楷體" w:hAnsi="標楷體" w:hint="eastAsia"/>
          <w:color w:val="000000"/>
        </w:rPr>
        <w:t>(1)須經事前審查核准後使用：</w:t>
      </w:r>
    </w:p>
    <w:p w14:paraId="46B39A3A" w14:textId="77777777" w:rsidR="007576F0" w:rsidRPr="007576F0" w:rsidRDefault="007576F0" w:rsidP="007576F0">
      <w:pPr>
        <w:tabs>
          <w:tab w:val="left" w:pos="851"/>
        </w:tabs>
        <w:spacing w:line="300" w:lineRule="exact"/>
        <w:ind w:left="1133" w:firstLine="143"/>
        <w:textAlignment w:val="auto"/>
        <w:rPr>
          <w:rFonts w:ascii="標楷體" w:eastAsia="標楷體" w:hAnsi="標楷體"/>
          <w:color w:val="000000"/>
        </w:rPr>
      </w:pPr>
      <w:bookmarkStart w:id="65" w:name="_Hlk235558065"/>
      <w:r w:rsidRPr="007576F0">
        <w:rPr>
          <w:rFonts w:ascii="標楷體" w:eastAsia="標楷體" w:hAnsi="標楷體" w:hint="eastAsia"/>
          <w:color w:val="000000"/>
        </w:rPr>
        <w:t>I.每次申請事前審查之療程以三</w:t>
      </w:r>
      <w:proofErr w:type="gramStart"/>
      <w:r w:rsidRPr="007576F0">
        <w:rPr>
          <w:rFonts w:ascii="標楷體" w:eastAsia="標楷體" w:hAnsi="標楷體" w:hint="eastAsia"/>
          <w:color w:val="000000"/>
        </w:rPr>
        <w:t>個</w:t>
      </w:r>
      <w:proofErr w:type="gramEnd"/>
      <w:r w:rsidRPr="007576F0">
        <w:rPr>
          <w:rFonts w:ascii="標楷體" w:eastAsia="標楷體" w:hAnsi="標楷體" w:hint="eastAsia"/>
          <w:color w:val="000000"/>
        </w:rPr>
        <w:t>月為限，每三</w:t>
      </w:r>
      <w:proofErr w:type="gramStart"/>
      <w:r w:rsidRPr="007576F0">
        <w:rPr>
          <w:rFonts w:ascii="標楷體" w:eastAsia="標楷體" w:hAnsi="標楷體" w:hint="eastAsia"/>
          <w:color w:val="000000"/>
        </w:rPr>
        <w:t>個</w:t>
      </w:r>
      <w:proofErr w:type="gramEnd"/>
      <w:r w:rsidRPr="007576F0">
        <w:rPr>
          <w:rFonts w:ascii="標楷體" w:eastAsia="標楷體" w:hAnsi="標楷體" w:hint="eastAsia"/>
          <w:color w:val="000000"/>
        </w:rPr>
        <w:t>月需再次申請。</w:t>
      </w:r>
    </w:p>
    <w:p w14:paraId="733084ED" w14:textId="77777777" w:rsidR="007576F0" w:rsidRPr="007576F0" w:rsidRDefault="007576F0" w:rsidP="007576F0">
      <w:pPr>
        <w:tabs>
          <w:tab w:val="left" w:pos="1185"/>
        </w:tabs>
        <w:spacing w:line="300" w:lineRule="exact"/>
        <w:ind w:left="1418" w:hanging="284"/>
        <w:textAlignment w:val="auto"/>
        <w:rPr>
          <w:rFonts w:ascii="標楷體" w:eastAsia="標楷體" w:hAnsi="標楷體"/>
          <w:color w:val="000000"/>
        </w:rPr>
      </w:pPr>
      <w:r w:rsidRPr="007576F0">
        <w:rPr>
          <w:rFonts w:ascii="標楷體" w:eastAsia="標楷體" w:hAnsi="標楷體" w:hint="eastAsia"/>
          <w:color w:val="000000"/>
        </w:rPr>
        <w:t>II.初次申請時需檢具確實患有肺</w:t>
      </w:r>
      <w:proofErr w:type="gramStart"/>
      <w:r w:rsidRPr="007576F0">
        <w:rPr>
          <w:rFonts w:ascii="標楷體" w:eastAsia="標楷體" w:hAnsi="標楷體" w:hint="eastAsia"/>
          <w:color w:val="000000"/>
        </w:rPr>
        <w:t>腺癌或非</w:t>
      </w:r>
      <w:proofErr w:type="gramEnd"/>
      <w:r w:rsidRPr="007576F0">
        <w:rPr>
          <w:rFonts w:ascii="標楷體" w:eastAsia="標楷體" w:hAnsi="標楷體" w:hint="eastAsia"/>
          <w:color w:val="000000"/>
        </w:rPr>
        <w:t>小細胞肺癌之病理或細胞檢查報告，及檢附EGFR基因檢測結果報告，且需符合全民健康保險藥品給付規定之通則十二。(113/6/1、113/10/1)</w:t>
      </w:r>
    </w:p>
    <w:p w14:paraId="27685A7B" w14:textId="77777777" w:rsidR="007576F0" w:rsidRPr="007576F0" w:rsidRDefault="007576F0" w:rsidP="007576F0">
      <w:pPr>
        <w:tabs>
          <w:tab w:val="left" w:pos="1185"/>
        </w:tabs>
        <w:spacing w:line="300" w:lineRule="exact"/>
        <w:ind w:left="1418" w:hanging="425"/>
        <w:textAlignment w:val="auto"/>
        <w:rPr>
          <w:rFonts w:ascii="標楷體" w:eastAsia="標楷體" w:hAnsi="標楷體"/>
          <w:color w:val="000000"/>
        </w:rPr>
      </w:pPr>
      <w:r w:rsidRPr="007576F0">
        <w:rPr>
          <w:rFonts w:ascii="標楷體" w:eastAsia="標楷體" w:hAnsi="標楷體" w:hint="eastAsia"/>
          <w:color w:val="000000"/>
        </w:rPr>
        <w:t>III.再次申請時需附上治療後相關臨床資料</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如：影像學</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證實無惡化，才可繼續使用。每次處方以4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為限，如給藥4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後需追蹤胸部X光或電腦斷層等影像檢查評估療效，每8至12</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需進行完整療效評估(如胸部X光或電腦斷層)，若病情惡化、復發或產生不可接受之毒性，即不得再次申請。</w:t>
      </w:r>
    </w:p>
    <w:bookmarkEnd w:id="65"/>
    <w:p w14:paraId="6963E730" w14:textId="77777777" w:rsidR="007576F0" w:rsidRPr="007576F0" w:rsidRDefault="007576F0" w:rsidP="007576F0">
      <w:pPr>
        <w:spacing w:line="300" w:lineRule="exact"/>
        <w:ind w:left="1418" w:hanging="426"/>
        <w:rPr>
          <w:rFonts w:ascii="標楷體" w:eastAsia="標楷體" w:hAnsi="標楷體"/>
          <w:color w:val="000000"/>
        </w:rPr>
      </w:pPr>
      <w:r w:rsidRPr="007576F0">
        <w:rPr>
          <w:rFonts w:ascii="標楷體" w:eastAsia="標楷體" w:hAnsi="標楷體" w:hint="eastAsia"/>
          <w:color w:val="000000"/>
        </w:rPr>
        <w:t>(2)用於第一線治療用藥：與gefitinib、erlotinib、afatinib、dacomitinib及</w:t>
      </w:r>
      <w:proofErr w:type="spellStart"/>
      <w:r w:rsidRPr="007576F0">
        <w:rPr>
          <w:rFonts w:ascii="標楷體" w:eastAsia="標楷體" w:hAnsi="標楷體" w:hint="eastAsia"/>
          <w:color w:val="000000"/>
        </w:rPr>
        <w:t>aumolertinib</w:t>
      </w:r>
      <w:proofErr w:type="spellEnd"/>
      <w:r w:rsidRPr="007576F0">
        <w:rPr>
          <w:rFonts w:ascii="標楷體" w:eastAsia="標楷體" w:hAnsi="標楷體" w:hint="eastAsia"/>
          <w:color w:val="000000"/>
        </w:rPr>
        <w:t>僅得擇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roofErr w:type="gramStart"/>
      <w:r w:rsidRPr="007576F0">
        <w:rPr>
          <w:rFonts w:ascii="標楷體" w:eastAsia="標楷體" w:hAnsi="標楷體" w:hint="eastAsia"/>
          <w:color w:val="000000"/>
        </w:rPr>
        <w:t>除因耐受</w:t>
      </w:r>
      <w:proofErr w:type="gramEnd"/>
      <w:r w:rsidRPr="007576F0">
        <w:rPr>
          <w:rFonts w:ascii="標楷體" w:eastAsia="標楷體" w:hAnsi="標楷體" w:hint="eastAsia"/>
          <w:color w:val="000000"/>
        </w:rPr>
        <w:t>性不良，不得互換。如需更換使用本藥品，必須符合本藥品具有EGFR Exon 19 Del或Exon 21 L858R基因突變之局部侵犯性或轉移性（即為IIIB、IIIC期或第Ⅳ期）肺腺癌病患。(109/6/1、111/4/1、113/10/1、115/8/1)</w:t>
      </w:r>
    </w:p>
    <w:p w14:paraId="38A919B8" w14:textId="77777777" w:rsidR="007576F0" w:rsidRPr="007576F0" w:rsidRDefault="007576F0" w:rsidP="007576F0">
      <w:pPr>
        <w:spacing w:line="300" w:lineRule="exact"/>
        <w:ind w:left="1418" w:hanging="426"/>
        <w:rPr>
          <w:rFonts w:ascii="標楷體" w:eastAsia="標楷體" w:hAnsi="標楷體"/>
          <w:color w:val="000000"/>
        </w:rPr>
      </w:pPr>
      <w:r w:rsidRPr="007576F0">
        <w:rPr>
          <w:rFonts w:ascii="標楷體" w:eastAsia="標楷體" w:hAnsi="標楷體" w:hint="eastAsia"/>
          <w:color w:val="000000"/>
        </w:rPr>
        <w:t>(3)用於第二線治療用藥：須符合本藥品具有EGFR T790M基因突變，及檢附曾經接受gefitinib、erlotinib、afatinib或dacomitinib治療之證明，以及目前又有疾病惡化之影像診斷證明（如胸部X光、電腦斷層或其他可作為評估的影像），此影像證明以可測量（measurable）的病灶為優先，如沒有可以測量的病灶，則可評估（evaluable）的病灶亦可採用。與</w:t>
      </w:r>
      <w:proofErr w:type="spellStart"/>
      <w:r w:rsidRPr="007576F0">
        <w:rPr>
          <w:rFonts w:ascii="標楷體" w:eastAsia="標楷體" w:hAnsi="標楷體" w:hint="eastAsia"/>
          <w:color w:val="000000"/>
        </w:rPr>
        <w:t>aumolertinib</w:t>
      </w:r>
      <w:proofErr w:type="spellEnd"/>
      <w:r w:rsidRPr="007576F0">
        <w:rPr>
          <w:rFonts w:ascii="標楷體" w:eastAsia="標楷體" w:hAnsi="標楷體" w:hint="eastAsia"/>
          <w:color w:val="000000"/>
        </w:rPr>
        <w:t>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roofErr w:type="gramStart"/>
      <w:r w:rsidRPr="007576F0">
        <w:rPr>
          <w:rFonts w:ascii="標楷體" w:eastAsia="標楷體" w:hAnsi="標楷體" w:hint="eastAsia"/>
          <w:color w:val="000000"/>
        </w:rPr>
        <w:t>除因耐受</w:t>
      </w:r>
      <w:proofErr w:type="gramEnd"/>
      <w:r w:rsidRPr="007576F0">
        <w:rPr>
          <w:rFonts w:ascii="標楷體" w:eastAsia="標楷體" w:hAnsi="標楷體" w:hint="eastAsia"/>
          <w:color w:val="000000"/>
        </w:rPr>
        <w:t>不良，不得互換。(109/10/1、113/10/1、115/8/1)</w:t>
      </w:r>
    </w:p>
    <w:p w14:paraId="4A4C764B" w14:textId="77777777" w:rsidR="007576F0" w:rsidRPr="007576F0" w:rsidRDefault="007576F0" w:rsidP="007576F0">
      <w:pPr>
        <w:spacing w:line="300" w:lineRule="exact"/>
        <w:ind w:left="1418" w:hanging="426"/>
        <w:rPr>
          <w:rFonts w:ascii="標楷體" w:eastAsia="標楷體" w:hAnsi="標楷體"/>
          <w:color w:val="000000"/>
        </w:rPr>
      </w:pPr>
      <w:r w:rsidRPr="007576F0">
        <w:rPr>
          <w:rFonts w:ascii="標楷體" w:eastAsia="標楷體" w:hAnsi="標楷體" w:hint="eastAsia"/>
          <w:color w:val="000000"/>
        </w:rPr>
        <w:t>(4)每日限用1粒</w:t>
      </w:r>
      <w:r w:rsidRPr="007576F0">
        <w:rPr>
          <w:rFonts w:ascii="標楷體" w:eastAsia="標楷體" w:hAnsi="標楷體"/>
          <w:color w:val="000000"/>
        </w:rPr>
        <w:t>。</w:t>
      </w:r>
    </w:p>
    <w:p w14:paraId="7262FBE7"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9.81.Lorlatinib (如</w:t>
      </w:r>
      <w:proofErr w:type="spellStart"/>
      <w:r w:rsidRPr="007576F0">
        <w:rPr>
          <w:rFonts w:ascii="標楷體" w:eastAsia="標楷體" w:hAnsi="標楷體"/>
          <w:color w:val="000000"/>
        </w:rPr>
        <w:t>Lorviqua</w:t>
      </w:r>
      <w:proofErr w:type="spellEnd"/>
      <w:r w:rsidRPr="007576F0">
        <w:rPr>
          <w:rFonts w:ascii="標楷體" w:eastAsia="標楷體" w:hAnsi="標楷體"/>
          <w:color w:val="000000"/>
        </w:rPr>
        <w:t>)：(109/6/1、112/11/1、113/4/1、113/6/1)</w:t>
      </w:r>
    </w:p>
    <w:p w14:paraId="5A66B2E5"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1.適用於ALK陽性的晚期非小細胞肺癌第一線治療。(112/11/1)</w:t>
      </w:r>
    </w:p>
    <w:p w14:paraId="30E9DD46" w14:textId="77777777" w:rsidR="007576F0" w:rsidRPr="007576F0" w:rsidRDefault="007576F0" w:rsidP="007576F0">
      <w:pPr>
        <w:spacing w:line="300" w:lineRule="exact"/>
        <w:ind w:left="1231" w:hanging="283"/>
        <w:rPr>
          <w:rFonts w:ascii="標楷體" w:eastAsia="標楷體" w:hAnsi="標楷體"/>
          <w:color w:val="000000"/>
        </w:rPr>
      </w:pPr>
      <w:r w:rsidRPr="007576F0">
        <w:rPr>
          <w:rFonts w:ascii="標楷體" w:eastAsia="標楷體" w:hAnsi="標楷體"/>
          <w:color w:val="000000"/>
        </w:rPr>
        <w:t>(1)須經事前審查核准後使用：</w:t>
      </w:r>
    </w:p>
    <w:p w14:paraId="16DA975B" w14:textId="77777777" w:rsidR="007576F0" w:rsidRPr="007576F0" w:rsidRDefault="007576F0" w:rsidP="007576F0">
      <w:pPr>
        <w:spacing w:line="300" w:lineRule="exact"/>
        <w:ind w:left="1432" w:hanging="340"/>
        <w:rPr>
          <w:rFonts w:ascii="標楷體" w:eastAsia="標楷體" w:hAnsi="標楷體"/>
          <w:color w:val="000000"/>
        </w:rPr>
      </w:pPr>
      <w:r w:rsidRPr="007576F0">
        <w:rPr>
          <w:rFonts w:ascii="標楷體" w:eastAsia="標楷體" w:hAnsi="標楷體"/>
          <w:color w:val="000000"/>
        </w:rPr>
        <w:t>I.每次申請事前審查之療程以三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月為限，每三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月需再次申請。</w:t>
      </w:r>
    </w:p>
    <w:p w14:paraId="5AED3820" w14:textId="77777777" w:rsidR="007576F0" w:rsidRPr="007576F0" w:rsidRDefault="007576F0" w:rsidP="007576F0">
      <w:pPr>
        <w:spacing w:line="300" w:lineRule="exact"/>
        <w:ind w:left="1432" w:hanging="340"/>
        <w:rPr>
          <w:rFonts w:ascii="標楷體" w:eastAsia="標楷體" w:hAnsi="標楷體"/>
          <w:color w:val="000000"/>
        </w:rPr>
      </w:pPr>
      <w:r w:rsidRPr="007576F0">
        <w:rPr>
          <w:rFonts w:ascii="標楷體" w:eastAsia="標楷體" w:hAnsi="標楷體"/>
          <w:color w:val="000000"/>
        </w:rPr>
        <w:t>II.初次申請時需檢具確實患有非小細胞肺癌之病理或細胞檢查報告，及ALK突變檢測報告且需符合全民健康保險藥品給付規定之通則十二。</w:t>
      </w:r>
    </w:p>
    <w:p w14:paraId="598F1B0F" w14:textId="77777777" w:rsidR="007576F0" w:rsidRPr="007576F0" w:rsidRDefault="007576F0" w:rsidP="007576F0">
      <w:pPr>
        <w:spacing w:line="300" w:lineRule="exact"/>
        <w:ind w:left="1432" w:hanging="340"/>
        <w:rPr>
          <w:rFonts w:ascii="標楷體" w:eastAsia="標楷體" w:hAnsi="標楷體"/>
          <w:color w:val="000000"/>
        </w:rPr>
      </w:pPr>
      <w:r w:rsidRPr="007576F0">
        <w:rPr>
          <w:rFonts w:ascii="標楷體" w:eastAsia="標楷體" w:hAnsi="標楷體"/>
          <w:color w:val="000000"/>
        </w:rPr>
        <w:t>III.再次申請時並需附上治療後相關臨床資料，如給藥4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後，需追蹤胸部X光或電腦斷層等影像檢查評估療效，往後每4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做胸部X光檢查，每3個月需追蹤其作為評估藥效的影像（如胸部X光或電腦斷層），若病情惡化即不得再次申</w:t>
      </w:r>
      <w:r w:rsidRPr="007576F0">
        <w:rPr>
          <w:rFonts w:ascii="標楷體" w:eastAsia="標楷體" w:hAnsi="標楷體"/>
          <w:color w:val="000000"/>
        </w:rPr>
        <w:lastRenderedPageBreak/>
        <w:t>請。</w:t>
      </w:r>
    </w:p>
    <w:p w14:paraId="620DFCD1" w14:textId="77777777" w:rsidR="007576F0" w:rsidRPr="007576F0" w:rsidRDefault="007576F0" w:rsidP="007576F0">
      <w:pPr>
        <w:spacing w:line="300" w:lineRule="exact"/>
        <w:ind w:left="1231" w:hanging="283"/>
        <w:rPr>
          <w:rFonts w:ascii="標楷體" w:eastAsia="標楷體" w:hAnsi="標楷體"/>
          <w:color w:val="000000"/>
        </w:rPr>
      </w:pPr>
      <w:r w:rsidRPr="007576F0">
        <w:rPr>
          <w:rFonts w:ascii="標楷體" w:eastAsia="標楷體" w:hAnsi="標楷體"/>
          <w:color w:val="000000"/>
        </w:rPr>
        <w:t>(2)</w:t>
      </w:r>
      <w:proofErr w:type="spellStart"/>
      <w:r w:rsidRPr="007576F0">
        <w:rPr>
          <w:rFonts w:ascii="標楷體" w:eastAsia="標楷體" w:hAnsi="標楷體"/>
          <w:color w:val="000000"/>
        </w:rPr>
        <w:t>Lorlatinib</w:t>
      </w:r>
      <w:proofErr w:type="spellEnd"/>
      <w:r w:rsidRPr="007576F0">
        <w:rPr>
          <w:rFonts w:ascii="標楷體" w:eastAsia="標楷體" w:hAnsi="標楷體"/>
          <w:color w:val="000000"/>
        </w:rPr>
        <w:t>與</w:t>
      </w:r>
      <w:proofErr w:type="spellStart"/>
      <w:r w:rsidRPr="007576F0">
        <w:rPr>
          <w:rFonts w:ascii="標楷體" w:eastAsia="標楷體" w:hAnsi="標楷體"/>
          <w:color w:val="000000"/>
        </w:rPr>
        <w:t>alectinib</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ceritinib</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crizotinib</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brigatinib</w:t>
      </w:r>
      <w:proofErr w:type="spellEnd"/>
      <w:r w:rsidRPr="007576F0">
        <w:rPr>
          <w:rFonts w:ascii="標楷體" w:eastAsia="標楷體" w:hAnsi="標楷體"/>
          <w:color w:val="000000"/>
        </w:rPr>
        <w:t>用於ALK陽性之晚期非小細胞肺癌第一線治療時，僅得擇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使用，除因病人使用後，發生嚴重不良反應或耐受不良之情形外，不得互換。</w:t>
      </w:r>
    </w:p>
    <w:p w14:paraId="4DA8CD1E"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2.適用於在</w:t>
      </w:r>
      <w:proofErr w:type="spellStart"/>
      <w:r w:rsidRPr="007576F0">
        <w:rPr>
          <w:rFonts w:ascii="標楷體" w:eastAsia="標楷體" w:hAnsi="標楷體"/>
          <w:color w:val="000000"/>
        </w:rPr>
        <w:t>ceritinib</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alectinib</w:t>
      </w:r>
      <w:proofErr w:type="spellEnd"/>
      <w:r w:rsidRPr="007576F0">
        <w:rPr>
          <w:rFonts w:ascii="標楷體" w:eastAsia="標楷體" w:hAnsi="標楷體"/>
          <w:color w:val="000000"/>
        </w:rPr>
        <w:t>或</w:t>
      </w:r>
      <w:proofErr w:type="spellStart"/>
      <w:r w:rsidRPr="007576F0">
        <w:rPr>
          <w:rFonts w:ascii="標楷體" w:eastAsia="標楷體" w:hAnsi="標楷體"/>
          <w:color w:val="000000"/>
        </w:rPr>
        <w:t>brigatinib</w:t>
      </w:r>
      <w:proofErr w:type="spellEnd"/>
      <w:r w:rsidRPr="007576F0">
        <w:rPr>
          <w:rFonts w:ascii="標楷體" w:eastAsia="標楷體" w:hAnsi="標楷體"/>
          <w:color w:val="000000"/>
        </w:rPr>
        <w:t>治療中惡化之ALK陽性的晚期非小細胞肺癌患者。(109/6/1、112/11/1、113/4/1)</w:t>
      </w:r>
    </w:p>
    <w:p w14:paraId="5FD1E704" w14:textId="77777777" w:rsidR="007576F0" w:rsidRPr="007576F0" w:rsidRDefault="007576F0" w:rsidP="007576F0">
      <w:pPr>
        <w:spacing w:line="300" w:lineRule="exact"/>
        <w:ind w:left="1231" w:hanging="283"/>
        <w:rPr>
          <w:rFonts w:ascii="標楷體" w:eastAsia="標楷體" w:hAnsi="標楷體"/>
          <w:color w:val="000000"/>
        </w:rPr>
      </w:pPr>
      <w:r w:rsidRPr="007576F0">
        <w:rPr>
          <w:rFonts w:ascii="標楷體" w:eastAsia="標楷體" w:hAnsi="標楷體"/>
          <w:color w:val="000000"/>
        </w:rPr>
        <w:t>(1)須經事前審查核准後使用。</w:t>
      </w:r>
    </w:p>
    <w:p w14:paraId="12986C9B" w14:textId="77777777" w:rsidR="007576F0" w:rsidRPr="007576F0" w:rsidRDefault="007576F0" w:rsidP="007576F0">
      <w:pPr>
        <w:spacing w:line="300" w:lineRule="exact"/>
        <w:ind w:left="1231" w:hanging="283"/>
        <w:rPr>
          <w:rFonts w:ascii="標楷體" w:eastAsia="標楷體" w:hAnsi="標楷體"/>
          <w:color w:val="000000"/>
        </w:rPr>
      </w:pPr>
      <w:r w:rsidRPr="007576F0">
        <w:rPr>
          <w:rFonts w:ascii="標楷體" w:eastAsia="標楷體" w:hAnsi="標楷體"/>
          <w:color w:val="000000"/>
        </w:rPr>
        <w:t>(2)每次申請事前審查之療程以三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月為限，每三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月需再次申請，再次申請時並需附上治療後相關臨床資料，若病情惡化即不得再次申請。</w:t>
      </w:r>
    </w:p>
    <w:p w14:paraId="7C8B3C37"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9.82.Brigatinib (如</w:t>
      </w:r>
      <w:proofErr w:type="spellStart"/>
      <w:r w:rsidRPr="007576F0">
        <w:rPr>
          <w:rFonts w:ascii="標楷體" w:eastAsia="標楷體" w:hAnsi="標楷體"/>
          <w:color w:val="000000"/>
        </w:rPr>
        <w:t>Alunbrig</w:t>
      </w:r>
      <w:proofErr w:type="spellEnd"/>
      <w:r w:rsidRPr="007576F0">
        <w:rPr>
          <w:rFonts w:ascii="標楷體" w:eastAsia="標楷體" w:hAnsi="標楷體"/>
          <w:color w:val="000000"/>
        </w:rPr>
        <w:t>)：(109/8/1、111/8/1、112/11/1、113/6/1)</w:t>
      </w:r>
    </w:p>
    <w:p w14:paraId="0491F5E2" w14:textId="77777777" w:rsidR="007576F0" w:rsidRPr="007576F0" w:rsidRDefault="007576F0" w:rsidP="002144EC">
      <w:pPr>
        <w:numPr>
          <w:ilvl w:val="0"/>
          <w:numId w:val="201"/>
        </w:numPr>
        <w:suppressAutoHyphens w:val="0"/>
        <w:spacing w:line="300" w:lineRule="exact"/>
        <w:ind w:left="992" w:hanging="284"/>
        <w:textAlignment w:val="auto"/>
        <w:rPr>
          <w:rFonts w:ascii="Times New Roman" w:hAnsi="Times New Roman"/>
          <w:szCs w:val="24"/>
        </w:rPr>
      </w:pPr>
      <w:r w:rsidRPr="007576F0">
        <w:rPr>
          <w:rFonts w:ascii="標楷體" w:eastAsia="標楷體" w:hAnsi="標楷體"/>
          <w:szCs w:val="24"/>
        </w:rPr>
        <w:t>適用</w:t>
      </w:r>
      <w:r w:rsidRPr="007576F0">
        <w:rPr>
          <w:rFonts w:ascii="標楷體" w:eastAsia="標楷體" w:hAnsi="標楷體"/>
          <w:color w:val="000000"/>
          <w:szCs w:val="24"/>
        </w:rPr>
        <w:t>於ALK陽性的晚期非小細胞肺癌第一線治療。</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111/8/1、113/6/1)</w:t>
      </w:r>
    </w:p>
    <w:p w14:paraId="6E9281CA" w14:textId="77777777" w:rsidR="007576F0" w:rsidRPr="007576F0" w:rsidRDefault="007576F0" w:rsidP="002144EC">
      <w:pPr>
        <w:numPr>
          <w:ilvl w:val="1"/>
          <w:numId w:val="200"/>
        </w:numPr>
        <w:suppressAutoHyphens w:val="0"/>
        <w:spacing w:line="300" w:lineRule="exact"/>
        <w:ind w:left="1308"/>
        <w:textAlignment w:val="auto"/>
        <w:rPr>
          <w:rFonts w:ascii="Times New Roman" w:hAnsi="Times New Roman"/>
          <w:szCs w:val="24"/>
        </w:rPr>
      </w:pPr>
      <w:r w:rsidRPr="007576F0">
        <w:rPr>
          <w:rFonts w:ascii="標楷體" w:eastAsia="標楷體" w:hAnsi="標楷體"/>
          <w:color w:val="000000"/>
          <w:szCs w:val="24"/>
        </w:rPr>
        <w:t>需經</w:t>
      </w:r>
      <w:r w:rsidRPr="007576F0">
        <w:rPr>
          <w:rFonts w:ascii="標楷體" w:eastAsia="標楷體" w:hAnsi="標楷體"/>
          <w:szCs w:val="24"/>
        </w:rPr>
        <w:t>事前</w:t>
      </w:r>
      <w:r w:rsidRPr="007576F0">
        <w:rPr>
          <w:rFonts w:ascii="標楷體" w:eastAsia="標楷體" w:hAnsi="標楷體"/>
          <w:color w:val="000000"/>
          <w:szCs w:val="24"/>
        </w:rPr>
        <w:t>審查核准後使用：</w:t>
      </w:r>
    </w:p>
    <w:p w14:paraId="058A2669" w14:textId="77777777" w:rsidR="007576F0" w:rsidRPr="007576F0" w:rsidRDefault="007576F0" w:rsidP="002144EC">
      <w:pPr>
        <w:numPr>
          <w:ilvl w:val="2"/>
          <w:numId w:val="201"/>
        </w:numPr>
        <w:suppressAutoHyphens w:val="0"/>
        <w:spacing w:line="300" w:lineRule="exact"/>
        <w:ind w:left="1680" w:hanging="564"/>
        <w:textAlignment w:val="auto"/>
        <w:rPr>
          <w:rFonts w:ascii="標楷體" w:eastAsia="標楷體" w:hAnsi="標楷體"/>
          <w:color w:val="000000"/>
          <w:szCs w:val="24"/>
        </w:rPr>
      </w:pPr>
      <w:r w:rsidRPr="007576F0">
        <w:rPr>
          <w:rFonts w:ascii="標楷體" w:eastAsia="標楷體" w:hAnsi="標楷體"/>
          <w:color w:val="000000"/>
          <w:szCs w:val="24"/>
        </w:rPr>
        <w:t>每次申請事前審查之療程以3個月為限，每3個月需再次申請。</w:t>
      </w:r>
    </w:p>
    <w:p w14:paraId="1FF03FB8" w14:textId="77777777" w:rsidR="007576F0" w:rsidRPr="007576F0" w:rsidRDefault="007576F0" w:rsidP="002144EC">
      <w:pPr>
        <w:numPr>
          <w:ilvl w:val="2"/>
          <w:numId w:val="201"/>
        </w:numPr>
        <w:suppressAutoHyphens w:val="0"/>
        <w:spacing w:line="300" w:lineRule="exact"/>
        <w:ind w:left="1680" w:hanging="564"/>
        <w:textAlignment w:val="auto"/>
        <w:rPr>
          <w:rFonts w:ascii="標楷體" w:eastAsia="標楷體" w:hAnsi="標楷體"/>
          <w:color w:val="000000"/>
          <w:szCs w:val="24"/>
        </w:rPr>
      </w:pPr>
      <w:r w:rsidRPr="007576F0">
        <w:rPr>
          <w:rFonts w:ascii="標楷體" w:eastAsia="標楷體" w:hAnsi="標楷體"/>
          <w:color w:val="000000"/>
          <w:szCs w:val="24"/>
        </w:rPr>
        <w:t>初次申請時需檢具確實患有非小細胞肺癌之病理或細胞檢查報告，及ALK突變檢測報告且需符合全民健康保險藥品給付規定之通則十二。</w:t>
      </w:r>
    </w:p>
    <w:p w14:paraId="5EC94AD0" w14:textId="77777777" w:rsidR="007576F0" w:rsidRPr="007576F0" w:rsidRDefault="007576F0" w:rsidP="002144EC">
      <w:pPr>
        <w:numPr>
          <w:ilvl w:val="2"/>
          <w:numId w:val="201"/>
        </w:numPr>
        <w:suppressAutoHyphens w:val="0"/>
        <w:spacing w:line="300" w:lineRule="exact"/>
        <w:ind w:left="1680" w:hanging="564"/>
        <w:textAlignment w:val="auto"/>
        <w:rPr>
          <w:rFonts w:ascii="標楷體" w:eastAsia="標楷體" w:hAnsi="標楷體"/>
          <w:color w:val="000000"/>
          <w:szCs w:val="24"/>
        </w:rPr>
      </w:pPr>
      <w:r w:rsidRPr="007576F0">
        <w:rPr>
          <w:rFonts w:ascii="標楷體" w:eastAsia="標楷體" w:hAnsi="標楷體"/>
          <w:color w:val="000000"/>
          <w:szCs w:val="24"/>
        </w:rPr>
        <w:t>再次申請時並需附上治療後相關臨床資料，如給藥4</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後，需追蹤胸部X光或電腦斷層等影像檢查評估療效，往後每4</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做胸部X光檢查，每3個月需追蹤其作為評估藥效的影像（如胸部X光或電腦斷層），若病情惡化即不得再次申請。(112/11/1)</w:t>
      </w:r>
    </w:p>
    <w:p w14:paraId="6B47E6A6" w14:textId="77777777" w:rsidR="007576F0" w:rsidRPr="007576F0" w:rsidRDefault="007576F0" w:rsidP="002144EC">
      <w:pPr>
        <w:numPr>
          <w:ilvl w:val="1"/>
          <w:numId w:val="200"/>
        </w:numPr>
        <w:suppressAutoHyphens w:val="0"/>
        <w:spacing w:line="300" w:lineRule="exact"/>
        <w:ind w:left="1308"/>
        <w:textAlignment w:val="auto"/>
        <w:rPr>
          <w:rFonts w:ascii="標楷體" w:eastAsia="標楷體" w:hAnsi="標楷體"/>
          <w:color w:val="000000"/>
          <w:szCs w:val="24"/>
        </w:rPr>
      </w:pPr>
      <w:proofErr w:type="spellStart"/>
      <w:r w:rsidRPr="007576F0">
        <w:rPr>
          <w:rFonts w:ascii="標楷體" w:eastAsia="標楷體" w:hAnsi="標楷體"/>
          <w:color w:val="000000"/>
          <w:szCs w:val="24"/>
        </w:rPr>
        <w:t>Brigatinib</w:t>
      </w:r>
      <w:proofErr w:type="spellEnd"/>
      <w:r w:rsidRPr="007576F0">
        <w:rPr>
          <w:rFonts w:ascii="標楷體" w:eastAsia="標楷體" w:hAnsi="標楷體"/>
          <w:color w:val="000000"/>
          <w:szCs w:val="24"/>
        </w:rPr>
        <w:t>與</w:t>
      </w:r>
      <w:proofErr w:type="spellStart"/>
      <w:r w:rsidRPr="007576F0">
        <w:rPr>
          <w:rFonts w:ascii="標楷體" w:eastAsia="標楷體" w:hAnsi="標楷體"/>
          <w:color w:val="000000"/>
          <w:szCs w:val="24"/>
        </w:rPr>
        <w:t>alectinib</w:t>
      </w:r>
      <w:proofErr w:type="spellEnd"/>
      <w:r w:rsidRPr="007576F0">
        <w:rPr>
          <w:rFonts w:ascii="標楷體" w:eastAsia="標楷體" w:hAnsi="標楷體"/>
          <w:color w:val="000000"/>
          <w:szCs w:val="24"/>
        </w:rPr>
        <w:t>、</w:t>
      </w:r>
      <w:proofErr w:type="spellStart"/>
      <w:r w:rsidRPr="007576F0">
        <w:rPr>
          <w:rFonts w:ascii="標楷體" w:eastAsia="標楷體" w:hAnsi="標楷體"/>
          <w:color w:val="000000"/>
          <w:szCs w:val="24"/>
        </w:rPr>
        <w:t>ceritinib</w:t>
      </w:r>
      <w:proofErr w:type="spellEnd"/>
      <w:r w:rsidRPr="007576F0">
        <w:rPr>
          <w:rFonts w:ascii="標楷體" w:eastAsia="標楷體" w:hAnsi="標楷體"/>
          <w:color w:val="000000"/>
          <w:szCs w:val="24"/>
        </w:rPr>
        <w:t>、</w:t>
      </w:r>
      <w:proofErr w:type="spellStart"/>
      <w:r w:rsidRPr="007576F0">
        <w:rPr>
          <w:rFonts w:ascii="標楷體" w:eastAsia="標楷體" w:hAnsi="標楷體"/>
          <w:color w:val="000000"/>
          <w:szCs w:val="24"/>
        </w:rPr>
        <w:t>crizotinib</w:t>
      </w:r>
      <w:proofErr w:type="spellEnd"/>
      <w:r w:rsidRPr="007576F0">
        <w:rPr>
          <w:rFonts w:ascii="標楷體" w:eastAsia="標楷體" w:hAnsi="標楷體"/>
          <w:color w:val="000000"/>
          <w:szCs w:val="24"/>
        </w:rPr>
        <w:t>、</w:t>
      </w:r>
      <w:proofErr w:type="spellStart"/>
      <w:r w:rsidRPr="007576F0">
        <w:rPr>
          <w:rFonts w:ascii="標楷體" w:eastAsia="標楷體" w:hAnsi="標楷體"/>
          <w:color w:val="000000"/>
          <w:szCs w:val="24"/>
        </w:rPr>
        <w:t>lorlatinib</w:t>
      </w:r>
      <w:proofErr w:type="spellEnd"/>
      <w:r w:rsidRPr="007576F0">
        <w:rPr>
          <w:rFonts w:ascii="標楷體" w:eastAsia="標楷體" w:hAnsi="標楷體"/>
          <w:color w:val="000000"/>
          <w:szCs w:val="24"/>
        </w:rPr>
        <w:t>用於ALK陽性之晚期非小細胞肺癌第一線治療時，僅得擇</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使用，除因病人使用後，發生嚴重不良反應或耐受不良之情形外，不得互換。(112/11/1)</w:t>
      </w:r>
    </w:p>
    <w:p w14:paraId="40686D62" w14:textId="77777777" w:rsidR="007576F0" w:rsidRPr="007576F0" w:rsidRDefault="007576F0" w:rsidP="002144EC">
      <w:pPr>
        <w:numPr>
          <w:ilvl w:val="0"/>
          <w:numId w:val="201"/>
        </w:numPr>
        <w:suppressAutoHyphens w:val="0"/>
        <w:spacing w:line="300" w:lineRule="exact"/>
        <w:ind w:left="992" w:hanging="284"/>
        <w:textAlignment w:val="auto"/>
        <w:rPr>
          <w:rFonts w:ascii="標楷體" w:eastAsia="標楷體" w:hAnsi="標楷體"/>
          <w:color w:val="000000"/>
          <w:szCs w:val="24"/>
        </w:rPr>
      </w:pPr>
      <w:r w:rsidRPr="007576F0">
        <w:rPr>
          <w:rFonts w:ascii="標楷體" w:eastAsia="標楷體" w:hAnsi="標楷體"/>
          <w:color w:val="000000"/>
          <w:szCs w:val="24"/>
        </w:rPr>
        <w:t>適用於在</w:t>
      </w:r>
      <w:proofErr w:type="spellStart"/>
      <w:r w:rsidRPr="007576F0">
        <w:rPr>
          <w:rFonts w:ascii="標楷體" w:eastAsia="標楷體" w:hAnsi="標楷體"/>
          <w:color w:val="000000"/>
          <w:szCs w:val="24"/>
        </w:rPr>
        <w:t>crizotinib</w:t>
      </w:r>
      <w:proofErr w:type="spellEnd"/>
      <w:r w:rsidRPr="007576F0">
        <w:rPr>
          <w:rFonts w:ascii="標楷體" w:eastAsia="標楷體" w:hAnsi="標楷體"/>
          <w:color w:val="000000"/>
          <w:szCs w:val="24"/>
        </w:rPr>
        <w:t>治療中惡化之ALK陽性的晚期非小細胞肺癌患者。</w:t>
      </w:r>
    </w:p>
    <w:p w14:paraId="013924D8" w14:textId="77777777" w:rsidR="007576F0" w:rsidRPr="007576F0" w:rsidRDefault="007576F0" w:rsidP="002144EC">
      <w:pPr>
        <w:numPr>
          <w:ilvl w:val="0"/>
          <w:numId w:val="202"/>
        </w:numPr>
        <w:suppressAutoHyphens w:val="0"/>
        <w:spacing w:line="300" w:lineRule="exact"/>
        <w:ind w:left="1305" w:hanging="357"/>
        <w:textAlignment w:val="auto"/>
        <w:rPr>
          <w:rFonts w:ascii="標楷體" w:eastAsia="標楷體" w:hAnsi="標楷體"/>
          <w:color w:val="000000"/>
          <w:szCs w:val="24"/>
        </w:rPr>
      </w:pPr>
      <w:r w:rsidRPr="007576F0">
        <w:rPr>
          <w:rFonts w:ascii="標楷體" w:eastAsia="標楷體" w:hAnsi="標楷體"/>
          <w:color w:val="000000"/>
          <w:szCs w:val="24"/>
        </w:rPr>
        <w:t>需經事前審查核准後使用。</w:t>
      </w:r>
    </w:p>
    <w:p w14:paraId="08471697" w14:textId="77777777" w:rsidR="007576F0" w:rsidRPr="007576F0" w:rsidRDefault="007576F0" w:rsidP="002144EC">
      <w:pPr>
        <w:numPr>
          <w:ilvl w:val="0"/>
          <w:numId w:val="202"/>
        </w:numPr>
        <w:suppressAutoHyphens w:val="0"/>
        <w:spacing w:line="300" w:lineRule="exact"/>
        <w:ind w:left="1305" w:hanging="357"/>
        <w:textAlignment w:val="auto"/>
        <w:rPr>
          <w:rFonts w:ascii="標楷體" w:eastAsia="標楷體" w:hAnsi="標楷體"/>
          <w:color w:val="000000"/>
          <w:szCs w:val="24"/>
        </w:rPr>
      </w:pPr>
      <w:r w:rsidRPr="007576F0">
        <w:rPr>
          <w:rFonts w:ascii="標楷體" w:eastAsia="標楷體" w:hAnsi="標楷體"/>
          <w:color w:val="000000"/>
          <w:szCs w:val="24"/>
        </w:rPr>
        <w:t>每次申請事前審查之療程以3個月為限，每3個月需再次申請，再次申請時並需附上治療後相關臨床資料，若病情惡化即不得再次申請。</w:t>
      </w:r>
    </w:p>
    <w:p w14:paraId="2A3A411A"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3.每日最大劑量限180mg。(111/8/1)。</w:t>
      </w:r>
    </w:p>
    <w:p w14:paraId="17E041CD" w14:textId="77777777" w:rsidR="007576F0" w:rsidRPr="007576F0" w:rsidRDefault="007576F0" w:rsidP="007576F0">
      <w:pPr>
        <w:tabs>
          <w:tab w:val="left" w:pos="1418"/>
        </w:tabs>
        <w:spacing w:line="300" w:lineRule="exact"/>
        <w:ind w:left="567" w:hanging="228"/>
        <w:rPr>
          <w:rFonts w:ascii="標楷體" w:eastAsia="標楷體" w:hAnsi="標楷體"/>
        </w:rPr>
      </w:pPr>
      <w:r w:rsidRPr="007576F0">
        <w:rPr>
          <w:rFonts w:ascii="標楷體" w:eastAsia="標楷體" w:hAnsi="標楷體"/>
        </w:rPr>
        <w:t>9.83.</w:t>
      </w:r>
      <w:r w:rsidRPr="007576F0">
        <w:rPr>
          <w:rFonts w:ascii="標楷體" w:eastAsia="標楷體" w:hAnsi="標楷體"/>
          <w:color w:val="000000"/>
        </w:rPr>
        <w:t>Dacomitinib</w:t>
      </w:r>
      <w:r w:rsidRPr="007576F0">
        <w:rPr>
          <w:rFonts w:ascii="標楷體" w:eastAsia="標楷體" w:hAnsi="標楷體"/>
        </w:rPr>
        <w:t xml:space="preserve"> (如</w:t>
      </w:r>
      <w:proofErr w:type="spellStart"/>
      <w:r w:rsidRPr="007576F0">
        <w:rPr>
          <w:rFonts w:ascii="標楷體" w:eastAsia="標楷體" w:hAnsi="標楷體"/>
        </w:rPr>
        <w:t>Vizimpro</w:t>
      </w:r>
      <w:proofErr w:type="spellEnd"/>
      <w:r w:rsidRPr="007576F0">
        <w:rPr>
          <w:rFonts w:ascii="標楷體" w:eastAsia="標楷體" w:hAnsi="標楷體"/>
        </w:rPr>
        <w:t>)：(109/10/1、111/9/1、113/6/1</w:t>
      </w:r>
      <w:r w:rsidRPr="007576F0">
        <w:rPr>
          <w:rFonts w:ascii="標楷體" w:eastAsia="標楷體" w:hAnsi="標楷體" w:hint="eastAsia"/>
        </w:rPr>
        <w:t>、115/8/1</w:t>
      </w:r>
      <w:r w:rsidRPr="007576F0">
        <w:rPr>
          <w:rFonts w:ascii="標楷體" w:eastAsia="標楷體" w:hAnsi="標楷體"/>
        </w:rPr>
        <w:t>)</w:t>
      </w:r>
    </w:p>
    <w:p w14:paraId="11490BE9" w14:textId="77777777" w:rsidR="007576F0" w:rsidRPr="007576F0" w:rsidRDefault="007576F0" w:rsidP="007576F0">
      <w:pPr>
        <w:spacing w:line="300" w:lineRule="exact"/>
        <w:ind w:left="991" w:hanging="283"/>
        <w:rPr>
          <w:rFonts w:ascii="標楷體" w:eastAsia="標楷體" w:hAnsi="標楷體"/>
          <w:color w:val="000000"/>
        </w:rPr>
      </w:pPr>
      <w:r w:rsidRPr="007576F0">
        <w:rPr>
          <w:rFonts w:ascii="標楷體" w:eastAsia="標楷體" w:hAnsi="標楷體"/>
          <w:color w:val="000000"/>
        </w:rPr>
        <w:t>1.限單獨使用具有EGFR-TK Exon 19 Del或Exon 21 L858R點突變，且無腦轉移 (non-CNS)之局部侵犯性或轉移性(即第</w:t>
      </w:r>
      <w:proofErr w:type="spellStart"/>
      <w:r w:rsidRPr="007576F0">
        <w:rPr>
          <w:rFonts w:ascii="標楷體" w:eastAsia="標楷體" w:hAnsi="標楷體"/>
          <w:color w:val="000000"/>
        </w:rPr>
        <w:t>ⅢB</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ⅢC</w:t>
      </w:r>
      <w:proofErr w:type="spellEnd"/>
      <w:r w:rsidRPr="007576F0">
        <w:rPr>
          <w:rFonts w:ascii="標楷體" w:eastAsia="標楷體" w:hAnsi="標楷體"/>
          <w:color w:val="000000"/>
        </w:rPr>
        <w:t>或</w:t>
      </w:r>
      <w:proofErr w:type="gramStart"/>
      <w:r w:rsidRPr="007576F0">
        <w:rPr>
          <w:rFonts w:ascii="標楷體" w:eastAsia="標楷體" w:hAnsi="標楷體"/>
          <w:color w:val="000000"/>
        </w:rPr>
        <w:t>第Ⅳ期</w:t>
      </w:r>
      <w:proofErr w:type="gramEnd"/>
      <w:r w:rsidRPr="007576F0">
        <w:rPr>
          <w:rFonts w:ascii="標楷體" w:eastAsia="標楷體" w:hAnsi="標楷體"/>
          <w:color w:val="000000"/>
        </w:rPr>
        <w:t>)之肺腺癌病患之第一線治療，需檢附EGFR基因檢測結果報告，且需符合全民健康保險藥品給付規定之通則十二。</w:t>
      </w:r>
    </w:p>
    <w:p w14:paraId="3A5AAED7" w14:textId="77777777" w:rsidR="007576F0" w:rsidRPr="007576F0" w:rsidRDefault="007576F0" w:rsidP="007576F0">
      <w:pPr>
        <w:spacing w:line="300" w:lineRule="exact"/>
        <w:ind w:left="566" w:firstLine="120"/>
        <w:rPr>
          <w:rFonts w:ascii="標楷體" w:eastAsia="標楷體" w:hAnsi="標楷體"/>
          <w:color w:val="000000"/>
        </w:rPr>
      </w:pPr>
      <w:r w:rsidRPr="007576F0">
        <w:rPr>
          <w:rFonts w:ascii="標楷體" w:eastAsia="標楷體" w:hAnsi="標楷體"/>
          <w:color w:val="000000"/>
        </w:rPr>
        <w:t>2.使用注意事項</w:t>
      </w:r>
    </w:p>
    <w:p w14:paraId="43F25159" w14:textId="77777777" w:rsidR="007576F0" w:rsidRPr="007576F0" w:rsidRDefault="007576F0" w:rsidP="007576F0">
      <w:pPr>
        <w:spacing w:line="300" w:lineRule="exact"/>
        <w:ind w:leftChars="119" w:left="1275" w:hangingChars="412" w:hanging="989"/>
        <w:rPr>
          <w:rFonts w:ascii="標楷體" w:eastAsia="標楷體" w:hAnsi="標楷體"/>
          <w:color w:val="000000"/>
        </w:rPr>
      </w:pPr>
      <w:r w:rsidRPr="007576F0">
        <w:rPr>
          <w:rFonts w:ascii="標楷體" w:eastAsia="標楷體" w:hAnsi="標楷體"/>
          <w:color w:val="000000"/>
        </w:rPr>
        <w:t xml:space="preserve">     (1)病歷應留存確實患有肺腺癌之病理或細胞檢查報告，及EGFR-TK基因突變檢測報告。</w:t>
      </w:r>
    </w:p>
    <w:p w14:paraId="4227A065" w14:textId="77777777" w:rsidR="007576F0" w:rsidRPr="007576F0" w:rsidRDefault="007576F0" w:rsidP="007576F0">
      <w:pPr>
        <w:spacing w:line="300" w:lineRule="exact"/>
        <w:ind w:leftChars="119" w:left="1275" w:hangingChars="412" w:hanging="989"/>
        <w:rPr>
          <w:rFonts w:ascii="標楷體" w:eastAsia="標楷體" w:hAnsi="標楷體"/>
          <w:color w:val="000000"/>
        </w:rPr>
      </w:pPr>
      <w:r w:rsidRPr="007576F0">
        <w:rPr>
          <w:rFonts w:ascii="標楷體" w:eastAsia="標楷體" w:hAnsi="標楷體"/>
          <w:color w:val="000000"/>
        </w:rPr>
        <w:t xml:space="preserve">     (2)每次處方以4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為限，再次處方時需於病歷記錄治療後相關臨床資料，如每4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需追蹤胸部X光或電腦斷層等影像檢查，每8至12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需進行完整療效評估（如胸部X光或電腦斷層）。</w:t>
      </w:r>
    </w:p>
    <w:p w14:paraId="05410D19" w14:textId="77777777" w:rsidR="007576F0" w:rsidRPr="007576F0" w:rsidRDefault="007576F0" w:rsidP="007576F0">
      <w:pPr>
        <w:spacing w:line="300" w:lineRule="exact"/>
        <w:ind w:leftChars="119" w:left="1275" w:hangingChars="412" w:hanging="989"/>
        <w:rPr>
          <w:rFonts w:ascii="標楷體" w:eastAsia="標楷體" w:hAnsi="標楷體"/>
          <w:color w:val="000000"/>
        </w:rPr>
      </w:pPr>
      <w:r w:rsidRPr="007576F0">
        <w:rPr>
          <w:rFonts w:ascii="標楷體" w:eastAsia="標楷體" w:hAnsi="標楷體"/>
          <w:color w:val="000000"/>
        </w:rPr>
        <w:t xml:space="preserve">     (3)本藥品與gefitinib、erlotinib</w:t>
      </w:r>
      <w:r w:rsidRPr="007576F0">
        <w:rPr>
          <w:rFonts w:ascii="標楷體" w:eastAsia="標楷體" w:hAnsi="標楷體" w:hint="eastAsia"/>
          <w:color w:val="000000"/>
        </w:rPr>
        <w:t>、afatinib、</w:t>
      </w:r>
      <w:proofErr w:type="spellStart"/>
      <w:r w:rsidRPr="007576F0">
        <w:rPr>
          <w:rFonts w:ascii="標楷體" w:eastAsia="標楷體" w:hAnsi="標楷體" w:hint="eastAsia"/>
          <w:color w:val="000000"/>
        </w:rPr>
        <w:t>osimertinib</w:t>
      </w:r>
      <w:proofErr w:type="spellEnd"/>
      <w:r w:rsidRPr="007576F0">
        <w:rPr>
          <w:rFonts w:ascii="標楷體" w:eastAsia="標楷體" w:hAnsi="標楷體" w:hint="eastAsia"/>
          <w:color w:val="000000"/>
        </w:rPr>
        <w:t>及</w:t>
      </w:r>
      <w:proofErr w:type="spellStart"/>
      <w:r w:rsidRPr="007576F0">
        <w:rPr>
          <w:rFonts w:ascii="標楷體" w:eastAsia="標楷體" w:hAnsi="標楷體" w:hint="eastAsia"/>
          <w:color w:val="000000"/>
        </w:rPr>
        <w:t>aumolertinib</w:t>
      </w:r>
      <w:proofErr w:type="spellEnd"/>
      <w:r w:rsidRPr="007576F0">
        <w:rPr>
          <w:rFonts w:ascii="標楷體" w:eastAsia="標楷體" w:hAnsi="標楷體" w:hint="eastAsia"/>
          <w:color w:val="000000"/>
        </w:rPr>
        <w:t>，僅得擇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r w:rsidRPr="007576F0">
        <w:rPr>
          <w:rFonts w:ascii="標楷體" w:eastAsia="標楷體" w:hAnsi="標楷體"/>
          <w:color w:val="000000"/>
        </w:rPr>
        <w:t>，</w:t>
      </w:r>
      <w:proofErr w:type="gramStart"/>
      <w:r w:rsidRPr="007576F0">
        <w:rPr>
          <w:rFonts w:ascii="標楷體" w:eastAsia="標楷體" w:hAnsi="標楷體"/>
          <w:color w:val="000000"/>
        </w:rPr>
        <w:t>除因耐受</w:t>
      </w:r>
      <w:proofErr w:type="gramEnd"/>
      <w:r w:rsidRPr="007576F0">
        <w:rPr>
          <w:rFonts w:ascii="標楷體" w:eastAsia="標楷體" w:hAnsi="標楷體"/>
          <w:color w:val="000000"/>
        </w:rPr>
        <w:t>性不良，不得互換。如需更換使用本藥品，必須符合本藥品第一線使用於具有EGFR-TK Exon 19 Del或Exon 21 L858R點突變，且無腦轉移(non-CNS)之局部侵犯性或轉移性(即第</w:t>
      </w:r>
      <w:proofErr w:type="spellStart"/>
      <w:r w:rsidRPr="007576F0">
        <w:rPr>
          <w:rFonts w:ascii="標楷體" w:eastAsia="標楷體" w:hAnsi="標楷體"/>
          <w:color w:val="000000"/>
        </w:rPr>
        <w:t>ⅢB</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ⅢC</w:t>
      </w:r>
      <w:proofErr w:type="spellEnd"/>
      <w:r w:rsidRPr="007576F0">
        <w:rPr>
          <w:rFonts w:ascii="標楷體" w:eastAsia="標楷體" w:hAnsi="標楷體"/>
          <w:color w:val="000000"/>
        </w:rPr>
        <w:t>或</w:t>
      </w:r>
      <w:proofErr w:type="gramStart"/>
      <w:r w:rsidRPr="007576F0">
        <w:rPr>
          <w:rFonts w:ascii="標楷體" w:eastAsia="標楷體" w:hAnsi="標楷體"/>
          <w:color w:val="000000"/>
        </w:rPr>
        <w:t>第Ⅳ期</w:t>
      </w:r>
      <w:proofErr w:type="gramEnd"/>
      <w:r w:rsidRPr="007576F0">
        <w:rPr>
          <w:rFonts w:ascii="標楷體" w:eastAsia="標楷體" w:hAnsi="標楷體"/>
          <w:color w:val="000000"/>
        </w:rPr>
        <w:t>)肺腺癌之限制。(111/9/1</w:t>
      </w:r>
      <w:r w:rsidRPr="007576F0">
        <w:rPr>
          <w:rFonts w:ascii="標楷體" w:eastAsia="標楷體" w:hAnsi="標楷體" w:hint="eastAsia"/>
          <w:color w:val="000000"/>
        </w:rPr>
        <w:t>、115/8/1</w:t>
      </w:r>
      <w:r w:rsidRPr="007576F0">
        <w:rPr>
          <w:rFonts w:ascii="標楷體" w:eastAsia="標楷體" w:hAnsi="標楷體"/>
          <w:color w:val="000000"/>
        </w:rPr>
        <w:t>)</w:t>
      </w:r>
    </w:p>
    <w:p w14:paraId="2BA039B9" w14:textId="77777777" w:rsidR="007576F0" w:rsidRPr="007576F0" w:rsidRDefault="007576F0" w:rsidP="007576F0">
      <w:pPr>
        <w:spacing w:line="300" w:lineRule="exact"/>
        <w:ind w:left="283"/>
        <w:rPr>
          <w:rFonts w:ascii="標楷體" w:eastAsia="標楷體" w:hAnsi="標楷體"/>
          <w:color w:val="000000"/>
        </w:rPr>
      </w:pPr>
      <w:r w:rsidRPr="007576F0">
        <w:rPr>
          <w:rFonts w:ascii="標楷體" w:eastAsia="標楷體" w:hAnsi="標楷體"/>
          <w:color w:val="000000"/>
        </w:rPr>
        <w:t xml:space="preserve">     (4)每日限用1粒。</w:t>
      </w:r>
    </w:p>
    <w:p w14:paraId="3CD3262E" w14:textId="77777777" w:rsidR="007576F0" w:rsidRPr="007576F0" w:rsidRDefault="007576F0" w:rsidP="007576F0">
      <w:pPr>
        <w:tabs>
          <w:tab w:val="left" w:pos="1418"/>
        </w:tabs>
        <w:spacing w:line="300" w:lineRule="exact"/>
        <w:ind w:left="567" w:hanging="228"/>
        <w:rPr>
          <w:rFonts w:ascii="標楷體" w:eastAsia="標楷體" w:hAnsi="標楷體"/>
          <w:color w:val="000000"/>
        </w:rPr>
      </w:pPr>
      <w:r w:rsidRPr="007576F0">
        <w:rPr>
          <w:rFonts w:ascii="標楷體" w:eastAsia="標楷體" w:hAnsi="標楷體"/>
          <w:color w:val="000000"/>
        </w:rPr>
        <w:t>9.</w:t>
      </w:r>
      <w:r w:rsidRPr="00211E48">
        <w:rPr>
          <w:rFonts w:ascii="標楷體" w:eastAsia="標楷體" w:hAnsi="標楷體"/>
        </w:rPr>
        <w:t>84</w:t>
      </w:r>
      <w:r w:rsidRPr="007576F0">
        <w:rPr>
          <w:rFonts w:ascii="標楷體" w:eastAsia="標楷體" w:hAnsi="標楷體"/>
          <w:color w:val="000000"/>
        </w:rPr>
        <w:t>.Copanlisib (如</w:t>
      </w:r>
      <w:proofErr w:type="spellStart"/>
      <w:r w:rsidRPr="007576F0">
        <w:rPr>
          <w:rFonts w:ascii="標楷體" w:eastAsia="標楷體" w:hAnsi="標楷體"/>
          <w:color w:val="000000"/>
        </w:rPr>
        <w:t>Aliqopa</w:t>
      </w:r>
      <w:proofErr w:type="spellEnd"/>
      <w:proofErr w:type="gramStart"/>
      <w:r w:rsidRPr="007576F0">
        <w:rPr>
          <w:rFonts w:ascii="標楷體" w:eastAsia="標楷體" w:hAnsi="標楷體"/>
          <w:color w:val="000000"/>
        </w:rPr>
        <w:t>）</w:t>
      </w:r>
      <w:proofErr w:type="gramEnd"/>
      <w:r w:rsidRPr="007576F0">
        <w:rPr>
          <w:rFonts w:ascii="標楷體" w:eastAsia="標楷體" w:hAnsi="標楷體"/>
          <w:color w:val="000000"/>
        </w:rPr>
        <w:t>(刪除)：(109/11/1、113/6/1)</w:t>
      </w:r>
    </w:p>
    <w:p w14:paraId="0B6C807D" w14:textId="77777777" w:rsidR="007576F0" w:rsidRPr="007576F0" w:rsidRDefault="007576F0" w:rsidP="007576F0">
      <w:pPr>
        <w:tabs>
          <w:tab w:val="left" w:pos="1418"/>
        </w:tabs>
        <w:spacing w:line="300" w:lineRule="exact"/>
        <w:ind w:left="567" w:hanging="228"/>
        <w:rPr>
          <w:rFonts w:ascii="標楷體" w:eastAsia="標楷體" w:hAnsi="標楷體"/>
        </w:rPr>
      </w:pPr>
      <w:bookmarkStart w:id="66" w:name="_Hlk209192735"/>
      <w:r w:rsidRPr="007576F0">
        <w:rPr>
          <w:rFonts w:ascii="標楷體" w:eastAsia="標楷體" w:hAnsi="標楷體"/>
          <w:color w:val="000000"/>
        </w:rPr>
        <w:t>9.85.PARP抑制劑(如</w:t>
      </w:r>
      <w:proofErr w:type="spellStart"/>
      <w:r w:rsidRPr="007576F0">
        <w:rPr>
          <w:rFonts w:ascii="標楷體" w:eastAsia="標楷體" w:hAnsi="標楷體"/>
          <w:color w:val="000000"/>
        </w:rPr>
        <w:t>olaparib</w:t>
      </w:r>
      <w:proofErr w:type="spellEnd"/>
      <w:r w:rsidRPr="007576F0">
        <w:rPr>
          <w:rFonts w:ascii="標楷體" w:eastAsia="標楷體" w:hAnsi="標楷體"/>
          <w:color w:val="000000"/>
        </w:rPr>
        <w:t>、niraparib、</w:t>
      </w:r>
      <w:proofErr w:type="spellStart"/>
      <w:r w:rsidRPr="007576F0">
        <w:rPr>
          <w:rFonts w:ascii="標楷體" w:eastAsia="標楷體" w:hAnsi="標楷體"/>
          <w:color w:val="000000"/>
        </w:rPr>
        <w:t>talazoparib</w:t>
      </w:r>
      <w:proofErr w:type="spellEnd"/>
      <w:r w:rsidRPr="007576F0">
        <w:rPr>
          <w:rFonts w:ascii="標楷體" w:eastAsia="標楷體" w:hAnsi="標楷體"/>
          <w:color w:val="000000"/>
        </w:rPr>
        <w:t>)：(109/11/1、111/6/1、111/</w:t>
      </w:r>
      <w:r w:rsidRPr="007576F0">
        <w:rPr>
          <w:rFonts w:ascii="標楷體" w:eastAsia="標楷體" w:hAnsi="標楷體"/>
          <w:color w:val="000000"/>
          <w:szCs w:val="24"/>
        </w:rPr>
        <w:t>8/1、112/1/1、112/11/1、113/3/1、113/6/1、113/9/1、114/3/1、114/6/1、114/8/1、114/10/1)</w:t>
      </w:r>
    </w:p>
    <w:p w14:paraId="5C8A03B7" w14:textId="77777777"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color w:val="000000"/>
          <w:szCs w:val="24"/>
        </w:rPr>
        <w:lastRenderedPageBreak/>
        <w:t>1.卵巢、輸卵管或原發性腹膜癌(</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、niraparib)：(109/11/1、 111/6/1、111/8/1、112</w:t>
      </w:r>
      <w:r w:rsidRPr="007576F0">
        <w:rPr>
          <w:rFonts w:ascii="標楷體" w:eastAsia="標楷體" w:hAnsi="標楷體" w:cs="BiauKai"/>
          <w:color w:val="000000"/>
          <w:szCs w:val="24"/>
        </w:rPr>
        <w:t>/1/1</w:t>
      </w:r>
      <w:r w:rsidRPr="007576F0">
        <w:rPr>
          <w:rFonts w:ascii="標楷體" w:eastAsia="標楷體" w:hAnsi="標楷體"/>
          <w:color w:val="000000"/>
        </w:rPr>
        <w:t>、113/3/1、113/6/1、113/9/1、114/3/1、114/6/1</w:t>
      </w:r>
      <w:r w:rsidRPr="007576F0">
        <w:rPr>
          <w:rFonts w:ascii="標楷體" w:eastAsia="標楷體" w:hAnsi="標楷體"/>
          <w:color w:val="000000"/>
          <w:szCs w:val="24"/>
        </w:rPr>
        <w:t>、114/8/1)</w:t>
      </w:r>
    </w:p>
    <w:p w14:paraId="35BD682F" w14:textId="77777777" w:rsidR="007576F0" w:rsidRPr="007576F0" w:rsidRDefault="007576F0" w:rsidP="007576F0">
      <w:pPr>
        <w:spacing w:line="300" w:lineRule="exact"/>
        <w:ind w:left="709"/>
        <w:rPr>
          <w:rFonts w:ascii="標楷體" w:eastAsia="標楷體" w:hAnsi="標楷體"/>
          <w:color w:val="000000"/>
        </w:rPr>
      </w:pPr>
      <w:r w:rsidRPr="007576F0">
        <w:rPr>
          <w:rFonts w:ascii="標楷體" w:eastAsia="標楷體" w:hAnsi="標楷體"/>
          <w:color w:val="000000"/>
        </w:rPr>
        <w:t xml:space="preserve"> (1)單獨使用</w:t>
      </w:r>
      <w:proofErr w:type="spellStart"/>
      <w:r w:rsidRPr="007576F0">
        <w:rPr>
          <w:rFonts w:ascii="標楷體" w:eastAsia="標楷體" w:hAnsi="標楷體"/>
          <w:color w:val="000000"/>
        </w:rPr>
        <w:t>olaparib</w:t>
      </w:r>
      <w:proofErr w:type="spellEnd"/>
      <w:r w:rsidRPr="007576F0">
        <w:rPr>
          <w:rFonts w:ascii="標楷體" w:eastAsia="標楷體" w:hAnsi="標楷體"/>
          <w:color w:val="000000"/>
        </w:rPr>
        <w:t>於具下列所有條件的病人做為維持治療，限用兩年：</w:t>
      </w:r>
    </w:p>
    <w:p w14:paraId="3E52B1B6" w14:textId="77777777" w:rsidR="007576F0" w:rsidRPr="007576F0" w:rsidRDefault="007576F0" w:rsidP="007576F0">
      <w:pPr>
        <w:tabs>
          <w:tab w:val="left" w:pos="5245"/>
        </w:tabs>
        <w:spacing w:line="300" w:lineRule="exact"/>
        <w:ind w:left="1276"/>
        <w:rPr>
          <w:rFonts w:ascii="標楷體" w:eastAsia="標楷體" w:hAnsi="標楷體"/>
          <w:color w:val="000000"/>
        </w:rPr>
      </w:pPr>
      <w:r w:rsidRPr="007576F0">
        <w:rPr>
          <w:rFonts w:ascii="標楷體" w:eastAsia="標楷體" w:hAnsi="標楷體"/>
          <w:color w:val="000000"/>
        </w:rPr>
        <w:t>I.對第一線含</w:t>
      </w:r>
      <w:proofErr w:type="gramStart"/>
      <w:r w:rsidRPr="007576F0">
        <w:rPr>
          <w:rFonts w:ascii="標楷體" w:eastAsia="標楷體" w:hAnsi="標楷體"/>
          <w:color w:val="000000"/>
        </w:rPr>
        <w:t>鉑化療有</w:t>
      </w:r>
      <w:proofErr w:type="gramEnd"/>
      <w:r w:rsidRPr="007576F0">
        <w:rPr>
          <w:rFonts w:ascii="標楷體" w:eastAsia="標楷體" w:hAnsi="標楷體"/>
          <w:color w:val="000000"/>
        </w:rPr>
        <w:t>治療反應後使用。</w:t>
      </w:r>
    </w:p>
    <w:p w14:paraId="05785668" w14:textId="77777777" w:rsidR="007576F0" w:rsidRPr="007576F0" w:rsidRDefault="007576F0" w:rsidP="007576F0">
      <w:pPr>
        <w:spacing w:line="300" w:lineRule="exact"/>
        <w:ind w:left="1176"/>
        <w:rPr>
          <w:rFonts w:ascii="標楷體" w:eastAsia="標楷體" w:hAnsi="標楷體"/>
          <w:color w:val="000000"/>
        </w:rPr>
      </w:pPr>
      <w:r w:rsidRPr="007576F0">
        <w:rPr>
          <w:rFonts w:ascii="標楷體" w:eastAsia="標楷體" w:hAnsi="標楷體"/>
          <w:color w:val="000000"/>
        </w:rPr>
        <w:t xml:space="preserve">Ⅱ.具germline or somatic BRCA 1/2致病性或疑似致病性突變。 </w:t>
      </w:r>
    </w:p>
    <w:p w14:paraId="74978B9A" w14:textId="77777777" w:rsidR="007576F0" w:rsidRPr="007576F0" w:rsidRDefault="007576F0" w:rsidP="007576F0">
      <w:pPr>
        <w:spacing w:line="300" w:lineRule="exact"/>
        <w:ind w:left="1176"/>
        <w:rPr>
          <w:rFonts w:ascii="標楷體" w:eastAsia="標楷體" w:hAnsi="標楷體"/>
          <w:color w:val="000000"/>
        </w:rPr>
      </w:pPr>
      <w:r w:rsidRPr="007576F0">
        <w:rPr>
          <w:rFonts w:ascii="標楷體" w:eastAsia="標楷體" w:hAnsi="標楷體"/>
          <w:color w:val="000000"/>
        </w:rPr>
        <w:t xml:space="preserve">   (109/11/1、111/8/1)</w:t>
      </w:r>
    </w:p>
    <w:p w14:paraId="74D37925" w14:textId="77777777" w:rsidR="007576F0" w:rsidRPr="007576F0" w:rsidRDefault="007576F0" w:rsidP="007576F0">
      <w:pPr>
        <w:spacing w:line="300" w:lineRule="exact"/>
        <w:ind w:left="1176"/>
        <w:rPr>
          <w:rFonts w:ascii="標楷體" w:eastAsia="標楷體" w:hAnsi="標楷體"/>
          <w:color w:val="000000"/>
        </w:rPr>
      </w:pPr>
      <w:proofErr w:type="spellStart"/>
      <w:proofErr w:type="gramStart"/>
      <w:r w:rsidRPr="007576F0">
        <w:rPr>
          <w:rFonts w:ascii="標楷體" w:eastAsia="標楷體" w:hAnsi="標楷體"/>
          <w:color w:val="000000"/>
        </w:rPr>
        <w:t>Ⅲ.FIGO</w:t>
      </w:r>
      <w:proofErr w:type="spellEnd"/>
      <w:proofErr w:type="gramEnd"/>
      <w:r w:rsidRPr="007576F0">
        <w:rPr>
          <w:rFonts w:ascii="標楷體" w:eastAsia="標楷體" w:hAnsi="標楷體"/>
          <w:color w:val="000000"/>
        </w:rPr>
        <w:t xml:space="preserve"> (International Federation of Gynecology and Obstetrics)  </w:t>
      </w:r>
    </w:p>
    <w:p w14:paraId="6FDB775A" w14:textId="77777777" w:rsidR="007576F0" w:rsidRPr="007576F0" w:rsidRDefault="007576F0" w:rsidP="007576F0">
      <w:pPr>
        <w:spacing w:line="300" w:lineRule="exact"/>
        <w:ind w:left="1176"/>
        <w:rPr>
          <w:rFonts w:ascii="標楷體" w:eastAsia="標楷體" w:hAnsi="標楷體"/>
          <w:color w:val="000000"/>
        </w:rPr>
      </w:pPr>
      <w:r w:rsidRPr="007576F0">
        <w:rPr>
          <w:rFonts w:ascii="標楷體" w:eastAsia="標楷體" w:hAnsi="標楷體"/>
          <w:color w:val="000000"/>
        </w:rPr>
        <w:t xml:space="preserve">   Stage III or IV disease。</w:t>
      </w:r>
    </w:p>
    <w:p w14:paraId="517E9BB9" w14:textId="77777777" w:rsidR="007576F0" w:rsidRPr="007576F0" w:rsidRDefault="007576F0" w:rsidP="007576F0">
      <w:pPr>
        <w:spacing w:line="300" w:lineRule="exact"/>
        <w:ind w:left="851"/>
        <w:rPr>
          <w:rFonts w:ascii="標楷體" w:eastAsia="標楷體" w:hAnsi="標楷體"/>
          <w:color w:val="000000"/>
        </w:rPr>
      </w:pPr>
      <w:r w:rsidRPr="007576F0">
        <w:rPr>
          <w:rFonts w:ascii="標楷體" w:eastAsia="標楷體" w:hAnsi="標楷體"/>
          <w:color w:val="000000"/>
        </w:rPr>
        <w:t>(2)單獨使用niraparib於具下列所有條件的病人做為維持治療，限用兩年：</w:t>
      </w:r>
    </w:p>
    <w:p w14:paraId="0128F4EF" w14:textId="77777777" w:rsidR="007576F0" w:rsidRPr="007576F0" w:rsidRDefault="007576F0" w:rsidP="007576F0">
      <w:pPr>
        <w:tabs>
          <w:tab w:val="left" w:pos="5245"/>
        </w:tabs>
        <w:spacing w:line="300" w:lineRule="exact"/>
        <w:ind w:left="1276" w:firstLineChars="59" w:firstLine="142"/>
        <w:rPr>
          <w:rFonts w:ascii="標楷體" w:eastAsia="標楷體" w:hAnsi="標楷體"/>
          <w:color w:val="000000"/>
        </w:rPr>
      </w:pPr>
      <w:r w:rsidRPr="007576F0">
        <w:rPr>
          <w:rFonts w:ascii="標楷體" w:eastAsia="標楷體" w:hAnsi="標楷體"/>
          <w:color w:val="000000"/>
        </w:rPr>
        <w:t>I.對第一線含</w:t>
      </w:r>
      <w:proofErr w:type="gramStart"/>
      <w:r w:rsidRPr="007576F0">
        <w:rPr>
          <w:rFonts w:ascii="標楷體" w:eastAsia="標楷體" w:hAnsi="標楷體"/>
          <w:color w:val="000000"/>
        </w:rPr>
        <w:t>鉑化療有</w:t>
      </w:r>
      <w:proofErr w:type="gramEnd"/>
      <w:r w:rsidRPr="007576F0">
        <w:rPr>
          <w:rFonts w:ascii="標楷體" w:eastAsia="標楷體" w:hAnsi="標楷體"/>
          <w:color w:val="000000"/>
        </w:rPr>
        <w:t>治療反應後使用。</w:t>
      </w:r>
    </w:p>
    <w:p w14:paraId="1B491772" w14:textId="77777777" w:rsidR="007576F0" w:rsidRPr="007576F0" w:rsidRDefault="007576F0" w:rsidP="007576F0">
      <w:pPr>
        <w:spacing w:line="300" w:lineRule="exact"/>
        <w:ind w:left="1276"/>
        <w:rPr>
          <w:rFonts w:ascii="標楷體" w:eastAsia="標楷體" w:hAnsi="標楷體"/>
          <w:color w:val="000000"/>
        </w:rPr>
      </w:pPr>
      <w:r w:rsidRPr="007576F0">
        <w:rPr>
          <w:rFonts w:ascii="標楷體" w:eastAsia="標楷體" w:hAnsi="標楷體"/>
          <w:color w:val="000000"/>
        </w:rPr>
        <w:t>Ⅱ.檢測結果符合下列任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情形之病人：</w:t>
      </w:r>
    </w:p>
    <w:p w14:paraId="5E1520BE" w14:textId="77777777" w:rsidR="007576F0" w:rsidRPr="007576F0" w:rsidRDefault="007576F0" w:rsidP="007576F0">
      <w:pPr>
        <w:spacing w:line="300" w:lineRule="exact"/>
        <w:ind w:left="1699" w:hanging="281"/>
        <w:rPr>
          <w:rFonts w:ascii="標楷體" w:eastAsia="標楷體" w:hAnsi="標楷體"/>
          <w:color w:val="000000"/>
        </w:rPr>
      </w:pPr>
      <w:proofErr w:type="spellStart"/>
      <w:r w:rsidRPr="007576F0">
        <w:rPr>
          <w:rFonts w:ascii="標楷體" w:eastAsia="標楷體" w:hAnsi="標楷體"/>
          <w:color w:val="000000"/>
        </w:rPr>
        <w:t>i</w:t>
      </w:r>
      <w:proofErr w:type="spellEnd"/>
      <w:r w:rsidRPr="007576F0">
        <w:rPr>
          <w:rFonts w:ascii="標楷體" w:eastAsia="標楷體" w:hAnsi="標楷體"/>
          <w:color w:val="000000"/>
        </w:rPr>
        <w:t>.具germline or somatic BRCA 1/2 致病性或疑似致病性突變病人。</w:t>
      </w:r>
    </w:p>
    <w:p w14:paraId="6B96046E" w14:textId="77777777" w:rsidR="007576F0" w:rsidRPr="007576F0" w:rsidRDefault="007576F0" w:rsidP="007576F0">
      <w:pPr>
        <w:spacing w:line="300" w:lineRule="exact"/>
        <w:ind w:left="1699" w:hanging="281"/>
        <w:rPr>
          <w:rFonts w:ascii="標楷體" w:eastAsia="標楷體" w:hAnsi="標楷體"/>
          <w:color w:val="000000"/>
        </w:rPr>
      </w:pPr>
      <w:r w:rsidRPr="007576F0">
        <w:rPr>
          <w:rFonts w:ascii="標楷體" w:eastAsia="標楷體" w:hAnsi="標楷體"/>
          <w:color w:val="000000"/>
        </w:rPr>
        <w:t>ii.具同源重組缺陷(Homologous Recombination Deficient, HRD)陽性且BRCA wild type之高度惡性病人。</w:t>
      </w:r>
    </w:p>
    <w:p w14:paraId="7534EB97" w14:textId="77777777" w:rsidR="007576F0" w:rsidRPr="007576F0" w:rsidRDefault="007576F0" w:rsidP="007576F0">
      <w:pPr>
        <w:tabs>
          <w:tab w:val="left" w:pos="5245"/>
        </w:tabs>
        <w:spacing w:line="300" w:lineRule="exact"/>
        <w:ind w:left="1701" w:hanging="425"/>
        <w:rPr>
          <w:rFonts w:ascii="標楷體" w:eastAsia="標楷體" w:hAnsi="標楷體"/>
          <w:color w:val="000000"/>
        </w:rPr>
      </w:pPr>
      <w:proofErr w:type="spellStart"/>
      <w:r w:rsidRPr="007576F0">
        <w:rPr>
          <w:rFonts w:ascii="標楷體" w:eastAsia="標楷體" w:hAnsi="標楷體"/>
          <w:color w:val="000000"/>
        </w:rPr>
        <w:t>Ⅲ.FIGO</w:t>
      </w:r>
      <w:proofErr w:type="spellEnd"/>
      <w:r w:rsidRPr="007576F0">
        <w:rPr>
          <w:rFonts w:ascii="標楷體" w:eastAsia="標楷體" w:hAnsi="標楷體"/>
          <w:color w:val="000000"/>
        </w:rPr>
        <w:t xml:space="preserve"> (International Federation of Gynecology and Obstetrics) Stage III or IV disease。</w:t>
      </w:r>
    </w:p>
    <w:p w14:paraId="0A3EF4F9" w14:textId="77777777" w:rsidR="007576F0" w:rsidRPr="007576F0" w:rsidRDefault="007576F0" w:rsidP="007576F0">
      <w:pPr>
        <w:spacing w:line="300" w:lineRule="exact"/>
        <w:ind w:left="851"/>
        <w:rPr>
          <w:rFonts w:ascii="標楷體" w:eastAsia="標楷體" w:hAnsi="標楷體"/>
          <w:color w:val="000000"/>
        </w:rPr>
      </w:pPr>
      <w:r w:rsidRPr="007576F0">
        <w:rPr>
          <w:rFonts w:ascii="標楷體" w:eastAsia="標楷體" w:hAnsi="標楷體"/>
          <w:color w:val="000000"/>
        </w:rPr>
        <w:t>(3)限</w:t>
      </w:r>
      <w:proofErr w:type="spellStart"/>
      <w:r w:rsidRPr="007576F0">
        <w:rPr>
          <w:rFonts w:ascii="標楷體" w:eastAsia="標楷體" w:hAnsi="標楷體"/>
          <w:color w:val="000000"/>
        </w:rPr>
        <w:t>olaparib</w:t>
      </w:r>
      <w:proofErr w:type="spellEnd"/>
      <w:proofErr w:type="gramStart"/>
      <w:r w:rsidRPr="007576F0">
        <w:rPr>
          <w:rFonts w:ascii="標楷體" w:eastAsia="標楷體" w:hAnsi="標楷體"/>
          <w:color w:val="000000"/>
        </w:rPr>
        <w:t>併</w:t>
      </w:r>
      <w:proofErr w:type="gramEnd"/>
      <w:r w:rsidRPr="007576F0">
        <w:rPr>
          <w:rFonts w:ascii="標楷體" w:eastAsia="標楷體" w:hAnsi="標楷體"/>
          <w:color w:val="000000"/>
        </w:rPr>
        <w:t>用 bevacizumab(限使用</w:t>
      </w:r>
      <w:proofErr w:type="spellStart"/>
      <w:r w:rsidRPr="007576F0">
        <w:rPr>
          <w:rFonts w:ascii="標楷體" w:eastAsia="標楷體" w:hAnsi="標楷體"/>
          <w:color w:val="000000"/>
        </w:rPr>
        <w:t>Alymsys</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Abevmy</w:t>
      </w:r>
      <w:proofErr w:type="spellEnd"/>
      <w:r w:rsidRPr="007576F0">
        <w:rPr>
          <w:rFonts w:ascii="標楷體" w:eastAsia="標楷體" w:hAnsi="標楷體"/>
          <w:color w:val="000000"/>
        </w:rPr>
        <w:t>、</w:t>
      </w:r>
      <w:proofErr w:type="spellStart"/>
      <w:r w:rsidRPr="007576F0">
        <w:rPr>
          <w:rFonts w:ascii="標楷體" w:eastAsia="標楷體" w:hAnsi="標楷體"/>
          <w:color w:val="000000"/>
        </w:rPr>
        <w:t>Vegzelma</w:t>
      </w:r>
      <w:proofErr w:type="spellEnd"/>
      <w:r w:rsidRPr="007576F0">
        <w:rPr>
          <w:rFonts w:ascii="標楷體" w:eastAsia="標楷體" w:hAnsi="標楷體"/>
          <w:color w:val="000000"/>
        </w:rPr>
        <w:t>或</w:t>
      </w:r>
    </w:p>
    <w:p w14:paraId="2C48A456" w14:textId="77777777" w:rsidR="007576F0" w:rsidRPr="007576F0" w:rsidRDefault="007576F0" w:rsidP="007576F0">
      <w:pPr>
        <w:spacing w:line="300" w:lineRule="exact"/>
        <w:ind w:left="1276"/>
        <w:rPr>
          <w:rFonts w:ascii="標楷體" w:eastAsia="標楷體" w:hAnsi="標楷體"/>
          <w:color w:val="000000"/>
        </w:rPr>
      </w:pPr>
      <w:proofErr w:type="spellStart"/>
      <w:r w:rsidRPr="007576F0">
        <w:rPr>
          <w:rFonts w:ascii="標楷體" w:eastAsia="標楷體" w:hAnsi="標楷體"/>
          <w:color w:val="000000"/>
        </w:rPr>
        <w:t>Mvasi</w:t>
      </w:r>
      <w:proofErr w:type="spellEnd"/>
      <w:r w:rsidRPr="007576F0">
        <w:rPr>
          <w:rFonts w:ascii="標楷體" w:eastAsia="標楷體" w:hAnsi="標楷體"/>
          <w:color w:val="000000"/>
        </w:rPr>
        <w:t>)，使用於具下列所有條件的成年病人做為維持治療，限用兩年：(114/6/1</w:t>
      </w:r>
      <w:r w:rsidRPr="007576F0">
        <w:rPr>
          <w:rFonts w:ascii="標楷體" w:eastAsia="標楷體" w:hAnsi="標楷體" w:hint="eastAsia"/>
          <w:color w:val="000000"/>
        </w:rPr>
        <w:t>、114/8/1</w:t>
      </w:r>
      <w:r w:rsidRPr="007576F0">
        <w:rPr>
          <w:rFonts w:ascii="標楷體" w:eastAsia="標楷體" w:hAnsi="標楷體"/>
          <w:color w:val="000000"/>
        </w:rPr>
        <w:t>)：</w:t>
      </w:r>
    </w:p>
    <w:p w14:paraId="79D553B3" w14:textId="77777777" w:rsidR="007576F0" w:rsidRPr="007576F0" w:rsidRDefault="007576F0" w:rsidP="007576F0">
      <w:pPr>
        <w:tabs>
          <w:tab w:val="left" w:pos="5245"/>
        </w:tabs>
        <w:spacing w:line="300" w:lineRule="exact"/>
        <w:ind w:left="1276"/>
        <w:rPr>
          <w:rFonts w:ascii="標楷體" w:eastAsia="標楷體" w:hAnsi="標楷體"/>
          <w:color w:val="000000"/>
        </w:rPr>
      </w:pPr>
      <w:r w:rsidRPr="007576F0">
        <w:rPr>
          <w:rFonts w:ascii="標楷體" w:eastAsia="標楷體" w:hAnsi="標楷體"/>
          <w:color w:val="000000"/>
        </w:rPr>
        <w:t>I.對第一線</w:t>
      </w:r>
      <w:proofErr w:type="gramStart"/>
      <w:r w:rsidRPr="007576F0">
        <w:rPr>
          <w:rFonts w:ascii="標楷體" w:eastAsia="標楷體" w:hAnsi="標楷體"/>
          <w:color w:val="000000"/>
        </w:rPr>
        <w:t>含鉑化療</w:t>
      </w:r>
      <w:proofErr w:type="gramEnd"/>
      <w:r w:rsidRPr="007576F0">
        <w:rPr>
          <w:rFonts w:ascii="標楷體" w:eastAsia="標楷體" w:hAnsi="標楷體"/>
          <w:color w:val="000000"/>
        </w:rPr>
        <w:t>合併bevacizumab有反應(完全反應或部分反應)。</w:t>
      </w:r>
    </w:p>
    <w:p w14:paraId="07F8FFC7" w14:textId="77777777" w:rsidR="007576F0" w:rsidRPr="007576F0" w:rsidRDefault="007576F0" w:rsidP="007576F0">
      <w:pPr>
        <w:tabs>
          <w:tab w:val="left" w:pos="5245"/>
        </w:tabs>
        <w:spacing w:line="300" w:lineRule="exact"/>
        <w:ind w:left="1560" w:hanging="425"/>
        <w:rPr>
          <w:rFonts w:ascii="標楷體" w:eastAsia="標楷體" w:hAnsi="標楷體"/>
          <w:color w:val="000000"/>
        </w:rPr>
      </w:pPr>
      <w:r w:rsidRPr="007576F0">
        <w:rPr>
          <w:rFonts w:ascii="標楷體" w:eastAsia="標楷體" w:hAnsi="標楷體"/>
          <w:color w:val="000000"/>
        </w:rPr>
        <w:t>Ⅱ.其癌症帶有下列任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定義的DNA同源修復系統缺失 (homologous recombination deficiency, HRD)：</w:t>
      </w:r>
    </w:p>
    <w:p w14:paraId="7679319B" w14:textId="77777777" w:rsidR="007576F0" w:rsidRPr="007576F0" w:rsidRDefault="007576F0" w:rsidP="007576F0">
      <w:pPr>
        <w:spacing w:line="300" w:lineRule="exact"/>
        <w:ind w:left="1699" w:hanging="281"/>
        <w:rPr>
          <w:rFonts w:ascii="標楷體" w:eastAsia="標楷體" w:hAnsi="標楷體"/>
          <w:color w:val="000000"/>
        </w:rPr>
      </w:pPr>
      <w:proofErr w:type="spellStart"/>
      <w:r w:rsidRPr="007576F0">
        <w:rPr>
          <w:rFonts w:ascii="標楷體" w:eastAsia="標楷體" w:hAnsi="標楷體"/>
          <w:color w:val="000000"/>
        </w:rPr>
        <w:t>i</w:t>
      </w:r>
      <w:proofErr w:type="spellEnd"/>
      <w:r w:rsidRPr="007576F0">
        <w:rPr>
          <w:rFonts w:ascii="標楷體" w:eastAsia="標楷體" w:hAnsi="標楷體"/>
          <w:color w:val="000000"/>
        </w:rPr>
        <w:t>.致病性或疑似致病性BRCA突變。</w:t>
      </w:r>
    </w:p>
    <w:p w14:paraId="22710FFB" w14:textId="77777777" w:rsidR="007576F0" w:rsidRPr="007576F0" w:rsidRDefault="007576F0" w:rsidP="007576F0">
      <w:pPr>
        <w:spacing w:line="300" w:lineRule="exact"/>
        <w:ind w:left="1699" w:hanging="281"/>
        <w:rPr>
          <w:rFonts w:ascii="標楷體" w:eastAsia="標楷體" w:hAnsi="標楷體"/>
          <w:color w:val="000000"/>
        </w:rPr>
      </w:pPr>
      <w:r w:rsidRPr="007576F0">
        <w:rPr>
          <w:rFonts w:ascii="標楷體" w:eastAsia="標楷體" w:hAnsi="標楷體"/>
          <w:color w:val="000000"/>
        </w:rPr>
        <w:t>ii.基因體不穩定(genomic instability)。</w:t>
      </w:r>
    </w:p>
    <w:p w14:paraId="667ECFA5" w14:textId="77777777" w:rsidR="007576F0" w:rsidRPr="007576F0" w:rsidRDefault="007576F0" w:rsidP="007576F0">
      <w:pPr>
        <w:spacing w:line="300" w:lineRule="exact"/>
        <w:ind w:left="1276"/>
        <w:rPr>
          <w:rFonts w:ascii="標楷體" w:eastAsia="標楷體" w:hAnsi="標楷體"/>
          <w:color w:val="000000"/>
        </w:rPr>
      </w:pPr>
      <w:r w:rsidRPr="007576F0">
        <w:rPr>
          <w:rFonts w:ascii="標楷體" w:eastAsia="標楷體" w:hAnsi="標楷體"/>
          <w:color w:val="000000"/>
        </w:rPr>
        <w:t>(4)須經事前審查核准後使用：(109/11/1、111/6/1、111/8/1、113/6/1、114/6/1)</w:t>
      </w:r>
    </w:p>
    <w:p w14:paraId="29F0E760" w14:textId="77777777" w:rsidR="007576F0" w:rsidRPr="007576F0" w:rsidRDefault="007576F0" w:rsidP="007576F0">
      <w:pPr>
        <w:tabs>
          <w:tab w:val="left" w:pos="5245"/>
        </w:tabs>
        <w:spacing w:line="300" w:lineRule="exact"/>
        <w:ind w:left="1276"/>
        <w:rPr>
          <w:rFonts w:ascii="標楷體" w:eastAsia="標楷體" w:hAnsi="標楷體"/>
          <w:color w:val="000000"/>
        </w:rPr>
      </w:pPr>
      <w:r w:rsidRPr="007576F0">
        <w:rPr>
          <w:rFonts w:ascii="標楷體" w:eastAsia="標楷體" w:hAnsi="標楷體"/>
          <w:color w:val="000000"/>
        </w:rPr>
        <w:t>I.每次申請之療程以6個月為限。</w:t>
      </w:r>
    </w:p>
    <w:p w14:paraId="19E92013" w14:textId="77777777" w:rsidR="007576F0" w:rsidRPr="007576F0" w:rsidRDefault="007576F0" w:rsidP="007576F0">
      <w:pPr>
        <w:spacing w:line="300" w:lineRule="exact"/>
        <w:ind w:left="1560" w:hanging="362"/>
        <w:rPr>
          <w:rFonts w:ascii="標楷體" w:eastAsia="標楷體" w:hAnsi="標楷體"/>
          <w:color w:val="000000"/>
        </w:rPr>
      </w:pPr>
      <w:r w:rsidRPr="007576F0">
        <w:rPr>
          <w:rFonts w:ascii="標楷體" w:eastAsia="標楷體" w:hAnsi="標楷體"/>
          <w:color w:val="000000"/>
        </w:rPr>
        <w:t>Ⅱ.初次申請時需檢附germline or somatic BRCA 1/2突變檢測報告或HRD陽性檢測報告，且需符合全民健康保險藥品給付規定之通則十二。 (111/6/1、111/8/1、113/6/1、114/6/1)</w:t>
      </w:r>
    </w:p>
    <w:p w14:paraId="1F803659" w14:textId="77777777" w:rsidR="007576F0" w:rsidRPr="007576F0" w:rsidRDefault="007576F0" w:rsidP="007576F0">
      <w:pPr>
        <w:spacing w:line="300" w:lineRule="exact"/>
        <w:ind w:left="1134"/>
        <w:rPr>
          <w:rFonts w:ascii="標楷體" w:eastAsia="標楷體" w:hAnsi="標楷體"/>
          <w:color w:val="000000"/>
        </w:rPr>
      </w:pPr>
      <w:r w:rsidRPr="007576F0">
        <w:rPr>
          <w:rFonts w:ascii="標楷體" w:eastAsia="標楷體" w:hAnsi="標楷體"/>
          <w:color w:val="000000"/>
        </w:rPr>
        <w:t>Ⅲ.再次申請必須提出客觀證據</w:t>
      </w:r>
      <w:proofErr w:type="gramStart"/>
      <w:r w:rsidRPr="007576F0">
        <w:rPr>
          <w:rFonts w:ascii="標楷體" w:eastAsia="標楷體" w:hAnsi="標楷體"/>
          <w:color w:val="000000"/>
        </w:rPr>
        <w:t>（</w:t>
      </w:r>
      <w:proofErr w:type="gramEnd"/>
      <w:r w:rsidRPr="007576F0">
        <w:rPr>
          <w:rFonts w:ascii="標楷體" w:eastAsia="標楷體" w:hAnsi="標楷體"/>
          <w:color w:val="000000"/>
        </w:rPr>
        <w:t>如：影像學</w:t>
      </w:r>
      <w:proofErr w:type="gramStart"/>
      <w:r w:rsidRPr="007576F0">
        <w:rPr>
          <w:rFonts w:ascii="標楷體" w:eastAsia="標楷體" w:hAnsi="標楷體"/>
          <w:color w:val="000000"/>
        </w:rPr>
        <w:t>）</w:t>
      </w:r>
      <w:proofErr w:type="gramEnd"/>
      <w:r w:rsidRPr="007576F0">
        <w:rPr>
          <w:rFonts w:ascii="標楷體" w:eastAsia="標楷體" w:hAnsi="標楷體"/>
          <w:color w:val="000000"/>
        </w:rPr>
        <w:t>證實無惡化，才可繼續使用。</w:t>
      </w:r>
    </w:p>
    <w:p w14:paraId="14B1A5B6" w14:textId="77777777" w:rsidR="007576F0" w:rsidRPr="007576F0" w:rsidRDefault="007576F0" w:rsidP="007576F0">
      <w:pPr>
        <w:spacing w:line="300" w:lineRule="exact"/>
        <w:ind w:left="1276"/>
        <w:rPr>
          <w:rFonts w:ascii="標楷體" w:eastAsia="標楷體" w:hAnsi="標楷體"/>
        </w:rPr>
      </w:pPr>
      <w:r w:rsidRPr="007576F0">
        <w:rPr>
          <w:rFonts w:ascii="標楷體" w:eastAsia="標楷體" w:hAnsi="標楷體"/>
          <w:color w:val="000000"/>
          <w:szCs w:val="24"/>
        </w:rPr>
        <w:t>(5)用於具germline or somatic BRCA 1/2 致病性或疑似致病性突變時，</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與niraparib僅能擇</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使用，</w:t>
      </w:r>
      <w:proofErr w:type="gramStart"/>
      <w:r w:rsidRPr="007576F0">
        <w:rPr>
          <w:rFonts w:ascii="標楷體" w:eastAsia="標楷體" w:hAnsi="標楷體"/>
          <w:color w:val="000000"/>
          <w:szCs w:val="24"/>
        </w:rPr>
        <w:t>除因耐受</w:t>
      </w:r>
      <w:proofErr w:type="gramEnd"/>
      <w:r w:rsidRPr="007576F0">
        <w:rPr>
          <w:rFonts w:ascii="標楷體" w:eastAsia="標楷體" w:hAnsi="標楷體"/>
          <w:color w:val="000000"/>
          <w:szCs w:val="24"/>
        </w:rPr>
        <w:t>不良，不得互換。(112/1/1、114/6/1)</w:t>
      </w:r>
    </w:p>
    <w:p w14:paraId="7E2F057D" w14:textId="77777777" w:rsidR="007576F0" w:rsidRPr="007576F0" w:rsidRDefault="007576F0" w:rsidP="007576F0">
      <w:pPr>
        <w:spacing w:line="300" w:lineRule="exact"/>
        <w:ind w:left="1344" w:hanging="480"/>
        <w:rPr>
          <w:rFonts w:ascii="標楷體" w:eastAsia="標楷體" w:hAnsi="標楷體"/>
        </w:rPr>
      </w:pPr>
      <w:r w:rsidRPr="007576F0">
        <w:rPr>
          <w:rFonts w:ascii="標楷體" w:eastAsia="標楷體" w:hAnsi="標楷體"/>
          <w:color w:val="000000"/>
          <w:szCs w:val="24"/>
        </w:rPr>
        <w:t xml:space="preserve"> (6)倘因</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用bevacizumab耐受性不良，在維持性治療可再換成</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單獨使用，總療程數合併計算，限用兩年。(114/6/1)</w:t>
      </w:r>
    </w:p>
    <w:p w14:paraId="6CF28C76" w14:textId="77777777" w:rsidR="007576F0" w:rsidRPr="007576F0" w:rsidRDefault="007576F0" w:rsidP="007576F0">
      <w:pPr>
        <w:spacing w:line="300" w:lineRule="exact"/>
        <w:ind w:left="1289" w:hanging="341"/>
        <w:rPr>
          <w:rFonts w:ascii="標楷體" w:eastAsia="標楷體" w:hAnsi="標楷體"/>
        </w:rPr>
      </w:pPr>
      <w:r w:rsidRPr="007576F0">
        <w:rPr>
          <w:rFonts w:ascii="標楷體" w:eastAsia="標楷體" w:hAnsi="標楷體"/>
          <w:kern w:val="0"/>
          <w:szCs w:val="24"/>
        </w:rPr>
        <w:t>(7)</w:t>
      </w:r>
      <w:r w:rsidRPr="007576F0">
        <w:rPr>
          <w:rFonts w:ascii="標楷體" w:eastAsia="標楷體" w:hAnsi="標楷體"/>
        </w:rPr>
        <w:t xml:space="preserve"> </w:t>
      </w:r>
      <w:r w:rsidRPr="007576F0">
        <w:rPr>
          <w:rFonts w:ascii="標楷體" w:eastAsia="標楷體" w:hAnsi="標楷體"/>
          <w:kern w:val="0"/>
          <w:szCs w:val="24"/>
        </w:rPr>
        <w:t>niraparib使用時，體重大於(含)</w:t>
      </w:r>
      <w:proofErr w:type="gramStart"/>
      <w:r w:rsidRPr="007576F0">
        <w:rPr>
          <w:rFonts w:ascii="標楷體" w:eastAsia="標楷體" w:hAnsi="標楷體"/>
          <w:kern w:val="0"/>
          <w:szCs w:val="24"/>
        </w:rPr>
        <w:t>77公斤且基期</w:t>
      </w:r>
      <w:proofErr w:type="gramEnd"/>
      <w:r w:rsidRPr="007576F0">
        <w:rPr>
          <w:rFonts w:ascii="標楷體" w:eastAsia="標楷體" w:hAnsi="標楷體"/>
          <w:kern w:val="0"/>
          <w:szCs w:val="24"/>
        </w:rPr>
        <w:t>血小板高於(含)15萬/</w:t>
      </w:r>
      <w:proofErr w:type="spellStart"/>
      <w:r w:rsidRPr="007576F0">
        <w:rPr>
          <w:rFonts w:ascii="標楷體" w:eastAsia="標楷體" w:hAnsi="標楷體"/>
          <w:kern w:val="0"/>
          <w:szCs w:val="24"/>
        </w:rPr>
        <w:t>uL</w:t>
      </w:r>
      <w:proofErr w:type="spellEnd"/>
      <w:r w:rsidRPr="007576F0">
        <w:rPr>
          <w:rFonts w:ascii="標楷體" w:eastAsia="標楷體" w:hAnsi="標楷體"/>
          <w:kern w:val="0"/>
          <w:szCs w:val="24"/>
        </w:rPr>
        <w:t>，每日最多使用300mg；體重小於77公斤或基期血小板低於15萬/</w:t>
      </w:r>
      <w:proofErr w:type="spellStart"/>
      <w:r w:rsidRPr="007576F0">
        <w:rPr>
          <w:rFonts w:ascii="標楷體" w:eastAsia="標楷體" w:hAnsi="標楷體"/>
          <w:kern w:val="0"/>
          <w:szCs w:val="24"/>
        </w:rPr>
        <w:t>uL</w:t>
      </w:r>
      <w:proofErr w:type="spellEnd"/>
      <w:r w:rsidRPr="007576F0">
        <w:rPr>
          <w:rFonts w:ascii="標楷體" w:eastAsia="標楷體" w:hAnsi="標楷體"/>
          <w:kern w:val="0"/>
          <w:szCs w:val="24"/>
        </w:rPr>
        <w:t>，每日最多使用200mg。(112/1/1)</w:t>
      </w:r>
    </w:p>
    <w:p w14:paraId="3003750B" w14:textId="77777777" w:rsidR="007576F0" w:rsidRPr="007576F0" w:rsidRDefault="007576F0" w:rsidP="007576F0">
      <w:pPr>
        <w:spacing w:line="300" w:lineRule="exact"/>
        <w:ind w:left="1289" w:hanging="341"/>
        <w:rPr>
          <w:rFonts w:ascii="標楷體" w:eastAsia="標楷體" w:hAnsi="標楷體"/>
        </w:rPr>
      </w:pPr>
      <w:r w:rsidRPr="007576F0">
        <w:rPr>
          <w:rFonts w:ascii="標楷體" w:eastAsia="標楷體" w:hAnsi="標楷體"/>
          <w:kern w:val="0"/>
          <w:szCs w:val="24"/>
        </w:rPr>
        <w:t>(8)FIGO Stage IV disease具germline or somatic BRCA 1/2致病性或疑似致病性突變者，若已經申請niraparib用於第一線化學治療後維持性治療時不得另外申請bevacizumab</w:t>
      </w:r>
      <w:proofErr w:type="gramStart"/>
      <w:r w:rsidRPr="007576F0">
        <w:rPr>
          <w:rFonts w:ascii="標楷體" w:eastAsia="標楷體" w:hAnsi="標楷體"/>
          <w:kern w:val="0"/>
          <w:szCs w:val="24"/>
        </w:rPr>
        <w:t>併</w:t>
      </w:r>
      <w:proofErr w:type="gramEnd"/>
      <w:r w:rsidRPr="007576F0">
        <w:rPr>
          <w:rFonts w:ascii="標楷體" w:eastAsia="標楷體" w:hAnsi="標楷體"/>
          <w:kern w:val="0"/>
          <w:szCs w:val="24"/>
        </w:rPr>
        <w:t>用，除因niraparib耐受性不良，在維持性治療可再換成bevacizumab(除</w:t>
      </w:r>
      <w:proofErr w:type="spellStart"/>
      <w:r w:rsidRPr="007576F0">
        <w:rPr>
          <w:rFonts w:ascii="標楷體" w:eastAsia="標楷體" w:hAnsi="標楷體"/>
          <w:kern w:val="0"/>
          <w:szCs w:val="24"/>
        </w:rPr>
        <w:t>Zirabev</w:t>
      </w:r>
      <w:proofErr w:type="spellEnd"/>
      <w:proofErr w:type="gramStart"/>
      <w:r w:rsidRPr="007576F0">
        <w:rPr>
          <w:rFonts w:ascii="標楷體" w:eastAsia="標楷體" w:hAnsi="標楷體"/>
          <w:kern w:val="0"/>
          <w:szCs w:val="24"/>
        </w:rPr>
        <w:t>以外)</w:t>
      </w:r>
      <w:proofErr w:type="gramEnd"/>
      <w:r w:rsidRPr="007576F0">
        <w:rPr>
          <w:rFonts w:ascii="標楷體" w:eastAsia="標楷體" w:hAnsi="標楷體"/>
          <w:kern w:val="0"/>
          <w:szCs w:val="24"/>
        </w:rPr>
        <w:t>單獨使用，總申請療程以17個療程為上限。(113/3/1、113/9/1、114/3/1、114/6/1、114/10/1)</w:t>
      </w:r>
    </w:p>
    <w:p w14:paraId="0FADE950" w14:textId="77777777"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color w:val="000000"/>
          <w:szCs w:val="24"/>
        </w:rPr>
        <w:t>2.</w:t>
      </w:r>
      <w:proofErr w:type="gramStart"/>
      <w:r w:rsidRPr="007576F0">
        <w:rPr>
          <w:rFonts w:ascii="標楷體" w:eastAsia="標楷體" w:hAnsi="標楷體"/>
          <w:color w:val="000000"/>
          <w:szCs w:val="24"/>
        </w:rPr>
        <w:t>三</w:t>
      </w:r>
      <w:proofErr w:type="gramEnd"/>
      <w:r w:rsidRPr="007576F0">
        <w:rPr>
          <w:rFonts w:ascii="標楷體" w:eastAsia="標楷體" w:hAnsi="標楷體"/>
          <w:color w:val="000000"/>
          <w:szCs w:val="24"/>
        </w:rPr>
        <w:t>陰性乳癌(</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w:t>
      </w:r>
      <w:proofErr w:type="spellStart"/>
      <w:r w:rsidRPr="007576F0">
        <w:rPr>
          <w:rFonts w:ascii="標楷體" w:eastAsia="標楷體" w:hAnsi="標楷體"/>
          <w:color w:val="000000"/>
          <w:szCs w:val="24"/>
        </w:rPr>
        <w:t>talazoparib</w:t>
      </w:r>
      <w:proofErr w:type="spellEnd"/>
      <w:r w:rsidRPr="007576F0">
        <w:rPr>
          <w:rFonts w:ascii="標楷體" w:eastAsia="標楷體" w:hAnsi="標楷體"/>
          <w:color w:val="000000"/>
          <w:szCs w:val="24"/>
        </w:rPr>
        <w:t>)：(109/11/1、111/6/1、111/8/1、112</w:t>
      </w:r>
      <w:r w:rsidRPr="007576F0">
        <w:rPr>
          <w:rFonts w:ascii="標楷體" w:eastAsia="標楷體" w:hAnsi="標楷體" w:cs="BiauKai"/>
          <w:color w:val="000000"/>
          <w:szCs w:val="24"/>
        </w:rPr>
        <w:t>/1/1、113/6/1</w:t>
      </w:r>
      <w:r w:rsidRPr="007576F0">
        <w:rPr>
          <w:rFonts w:ascii="標楷體" w:eastAsia="標楷體" w:hAnsi="標楷體"/>
          <w:color w:val="000000"/>
          <w:szCs w:val="24"/>
        </w:rPr>
        <w:t>)</w:t>
      </w:r>
    </w:p>
    <w:p w14:paraId="1DDC4C06" w14:textId="77777777" w:rsidR="007576F0" w:rsidRPr="007576F0" w:rsidRDefault="007576F0" w:rsidP="007576F0">
      <w:pPr>
        <w:spacing w:line="300" w:lineRule="exact"/>
        <w:ind w:left="1517" w:hanging="480"/>
        <w:rPr>
          <w:rFonts w:ascii="標楷體" w:eastAsia="標楷體" w:hAnsi="標楷體"/>
        </w:rPr>
      </w:pPr>
      <w:r w:rsidRPr="007576F0">
        <w:rPr>
          <w:rFonts w:ascii="標楷體" w:eastAsia="標楷體" w:hAnsi="標楷體"/>
          <w:color w:val="000000"/>
          <w:szCs w:val="24"/>
        </w:rPr>
        <w:t>(1)</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單獨使用於曾接受前導性、術後輔助性或轉移性化療，且具germline BRCA 1/2致病性或疑似致病性突變之三陰性(荷爾蒙接受體及 HER2</w:t>
      </w:r>
      <w:r w:rsidRPr="007576F0">
        <w:rPr>
          <w:rFonts w:ascii="標楷體" w:eastAsia="標楷體" w:hAnsi="標楷體"/>
          <w:color w:val="000000"/>
          <w:szCs w:val="24"/>
        </w:rPr>
        <w:lastRenderedPageBreak/>
        <w:t>受體皆為陰性)轉移性乳癌病人。(109/11/1、111/8/1、112/1/1)</w:t>
      </w:r>
    </w:p>
    <w:p w14:paraId="275D513B" w14:textId="77777777" w:rsidR="007576F0" w:rsidRPr="007576F0" w:rsidRDefault="007576F0" w:rsidP="007576F0">
      <w:pPr>
        <w:tabs>
          <w:tab w:val="left" w:pos="1418"/>
        </w:tabs>
        <w:spacing w:line="300" w:lineRule="exact"/>
        <w:ind w:left="1515" w:hanging="425"/>
        <w:rPr>
          <w:rFonts w:ascii="標楷體" w:eastAsia="標楷體" w:hAnsi="標楷體"/>
        </w:rPr>
      </w:pPr>
      <w:r w:rsidRPr="007576F0">
        <w:rPr>
          <w:rFonts w:ascii="標楷體" w:eastAsia="標楷體" w:hAnsi="標楷體"/>
          <w:color w:val="000000"/>
        </w:rPr>
        <w:t>(2)</w:t>
      </w:r>
      <w:proofErr w:type="spellStart"/>
      <w:r w:rsidRPr="007576F0">
        <w:rPr>
          <w:rFonts w:ascii="標楷體" w:eastAsia="標楷體" w:hAnsi="標楷體"/>
          <w:color w:val="000000"/>
          <w:szCs w:val="24"/>
        </w:rPr>
        <w:t>talazoparib</w:t>
      </w:r>
      <w:proofErr w:type="spellEnd"/>
      <w:r w:rsidRPr="007576F0">
        <w:rPr>
          <w:rFonts w:ascii="標楷體" w:eastAsia="標楷體" w:hAnsi="標楷體" w:cs="BiauKai"/>
          <w:color w:val="000000"/>
          <w:szCs w:val="24"/>
        </w:rPr>
        <w:t>限用於治療同時符合下列條件之18歲以上局部晚期或轉移性乳癌病患：(110/3/1、111/8/1</w:t>
      </w:r>
      <w:r w:rsidRPr="007576F0">
        <w:rPr>
          <w:rFonts w:ascii="標楷體" w:eastAsia="標楷體" w:hAnsi="標楷體"/>
          <w:color w:val="000000"/>
          <w:szCs w:val="24"/>
        </w:rPr>
        <w:t>、112</w:t>
      </w:r>
      <w:r w:rsidRPr="007576F0">
        <w:rPr>
          <w:rFonts w:ascii="標楷體" w:eastAsia="標楷體" w:hAnsi="標楷體" w:cs="BiauKai"/>
          <w:color w:val="000000"/>
          <w:szCs w:val="24"/>
        </w:rPr>
        <w:t>/1/1)</w:t>
      </w:r>
    </w:p>
    <w:p w14:paraId="4202101D" w14:textId="77777777" w:rsidR="007576F0" w:rsidRPr="007576F0" w:rsidRDefault="007576F0" w:rsidP="007576F0">
      <w:pPr>
        <w:spacing w:line="300" w:lineRule="exact"/>
        <w:ind w:left="1711" w:hanging="240"/>
        <w:rPr>
          <w:rFonts w:ascii="標楷體" w:eastAsia="標楷體" w:hAnsi="標楷體"/>
        </w:rPr>
      </w:pPr>
      <w:r w:rsidRPr="007576F0">
        <w:rPr>
          <w:rFonts w:ascii="標楷體" w:eastAsia="標楷體" w:hAnsi="標楷體"/>
          <w:color w:val="000000"/>
          <w:szCs w:val="24"/>
        </w:rPr>
        <w:t>I.</w:t>
      </w:r>
      <w:r w:rsidRPr="007576F0">
        <w:rPr>
          <w:rFonts w:ascii="標楷體" w:eastAsia="標楷體" w:hAnsi="標楷體" w:cs="BiauKai"/>
          <w:color w:val="000000"/>
          <w:szCs w:val="24"/>
        </w:rPr>
        <w:t>曾接受前導性、術後輔助性或轉移性化療者，或是無法接受化療者。</w:t>
      </w:r>
    </w:p>
    <w:p w14:paraId="6430ED8B" w14:textId="77777777" w:rsidR="007576F0" w:rsidRPr="007576F0" w:rsidRDefault="007576F0" w:rsidP="007576F0">
      <w:pPr>
        <w:spacing w:line="300" w:lineRule="exact"/>
        <w:ind w:left="1711" w:hanging="240"/>
        <w:rPr>
          <w:rFonts w:ascii="標楷體" w:eastAsia="標楷體" w:hAnsi="標楷體"/>
        </w:rPr>
      </w:pPr>
      <w:r w:rsidRPr="007576F0">
        <w:rPr>
          <w:rFonts w:ascii="標楷體" w:eastAsia="標楷體" w:hAnsi="標楷體"/>
          <w:color w:val="000000"/>
          <w:szCs w:val="24"/>
        </w:rPr>
        <w:t>Ⅱ.</w:t>
      </w:r>
      <w:r w:rsidRPr="007576F0">
        <w:rPr>
          <w:rFonts w:ascii="標楷體" w:eastAsia="標楷體" w:hAnsi="標楷體" w:cs="BiauKai"/>
          <w:color w:val="000000"/>
          <w:szCs w:val="24"/>
        </w:rPr>
        <w:t>具germline BRCA 1/2突變(110/3/1、111/8/1)</w:t>
      </w:r>
    </w:p>
    <w:p w14:paraId="4415D280" w14:textId="77777777" w:rsidR="007576F0" w:rsidRPr="007576F0" w:rsidRDefault="007576F0" w:rsidP="007576F0">
      <w:pPr>
        <w:spacing w:line="300" w:lineRule="exact"/>
        <w:ind w:left="1711" w:hanging="240"/>
        <w:rPr>
          <w:rFonts w:ascii="標楷體" w:eastAsia="標楷體" w:hAnsi="標楷體"/>
        </w:rPr>
      </w:pPr>
      <w:r w:rsidRPr="007576F0">
        <w:rPr>
          <w:rFonts w:ascii="標楷體" w:eastAsia="標楷體" w:hAnsi="標楷體"/>
          <w:color w:val="000000"/>
          <w:szCs w:val="24"/>
        </w:rPr>
        <w:t>Ⅲ.</w:t>
      </w:r>
      <w:r w:rsidRPr="007576F0">
        <w:rPr>
          <w:rFonts w:ascii="標楷體" w:eastAsia="標楷體" w:hAnsi="標楷體" w:cs="BiauKai"/>
          <w:color w:val="000000"/>
          <w:szCs w:val="24"/>
        </w:rPr>
        <w:t>第二型人類表皮生長因子接受體(HER2)、雌激素受體(ER)以及黃體素受體(PR)均呈現陰性。</w:t>
      </w:r>
    </w:p>
    <w:p w14:paraId="14394CA6" w14:textId="77777777" w:rsidR="007576F0" w:rsidRPr="007576F0" w:rsidRDefault="007576F0" w:rsidP="007576F0">
      <w:pPr>
        <w:spacing w:line="300" w:lineRule="exact"/>
        <w:ind w:left="948"/>
        <w:rPr>
          <w:rFonts w:ascii="標楷體" w:eastAsia="標楷體" w:hAnsi="標楷體"/>
        </w:rPr>
      </w:pPr>
      <w:r w:rsidRPr="007576F0">
        <w:rPr>
          <w:rFonts w:ascii="標楷體" w:eastAsia="標楷體" w:hAnsi="標楷體"/>
          <w:color w:val="000000"/>
          <w:szCs w:val="24"/>
        </w:rPr>
        <w:t xml:space="preserve"> (3)須經事前審查核准後使用：(109/11/1、111/6/1、111/8/1、</w:t>
      </w:r>
      <w:r w:rsidRPr="007576F0">
        <w:rPr>
          <w:rFonts w:ascii="標楷體" w:eastAsia="標楷體" w:hAnsi="標楷體" w:cs="BiauKai"/>
          <w:color w:val="000000"/>
          <w:szCs w:val="24"/>
        </w:rPr>
        <w:t>112/1/1、113/6/1</w:t>
      </w:r>
      <w:r w:rsidRPr="007576F0">
        <w:rPr>
          <w:rFonts w:ascii="標楷體" w:eastAsia="標楷體" w:hAnsi="標楷體"/>
          <w:color w:val="000000"/>
          <w:szCs w:val="24"/>
        </w:rPr>
        <w:t>)</w:t>
      </w:r>
    </w:p>
    <w:p w14:paraId="753E2F1A" w14:textId="77777777" w:rsidR="007576F0" w:rsidRPr="007576F0" w:rsidRDefault="007576F0" w:rsidP="007576F0">
      <w:pPr>
        <w:tabs>
          <w:tab w:val="left" w:pos="5245"/>
        </w:tabs>
        <w:spacing w:line="300" w:lineRule="exact"/>
        <w:ind w:left="1276"/>
        <w:rPr>
          <w:rFonts w:ascii="標楷體" w:eastAsia="標楷體" w:hAnsi="標楷體"/>
          <w:color w:val="000000"/>
          <w:szCs w:val="24"/>
        </w:rPr>
      </w:pPr>
      <w:r w:rsidRPr="007576F0">
        <w:rPr>
          <w:rFonts w:ascii="標楷體" w:eastAsia="標楷體" w:hAnsi="標楷體"/>
          <w:color w:val="000000"/>
          <w:szCs w:val="24"/>
        </w:rPr>
        <w:t>I.每次申請之療程以3個月為限。</w:t>
      </w:r>
    </w:p>
    <w:p w14:paraId="6DA1FE7D" w14:textId="77777777" w:rsidR="007576F0" w:rsidRPr="007576F0" w:rsidRDefault="007576F0" w:rsidP="007576F0">
      <w:pPr>
        <w:tabs>
          <w:tab w:val="left" w:pos="5245"/>
        </w:tabs>
        <w:spacing w:line="300" w:lineRule="exact"/>
        <w:ind w:left="1276"/>
        <w:rPr>
          <w:rFonts w:ascii="標楷體" w:eastAsia="標楷體" w:hAnsi="標楷體"/>
          <w:color w:val="000000"/>
          <w:szCs w:val="24"/>
        </w:rPr>
      </w:pPr>
      <w:r w:rsidRPr="007576F0">
        <w:rPr>
          <w:rFonts w:ascii="標楷體" w:eastAsia="標楷體" w:hAnsi="標楷體"/>
          <w:color w:val="000000"/>
          <w:szCs w:val="24"/>
        </w:rPr>
        <w:t>Ⅱ.初次申請時需檢附ER、PR、HER2皆為陰性之檢測報告，以及germline BRCA 1/2突變之檢測報告，且需符合全民健康保險藥品給付規定之通則十二。 (111/6/1、111/8/1、113/6/1)</w:t>
      </w:r>
    </w:p>
    <w:p w14:paraId="7AACFFF6" w14:textId="77777777" w:rsidR="007576F0" w:rsidRPr="007576F0" w:rsidRDefault="007576F0" w:rsidP="007576F0">
      <w:pPr>
        <w:tabs>
          <w:tab w:val="left" w:pos="5245"/>
        </w:tabs>
        <w:spacing w:line="300" w:lineRule="exact"/>
        <w:ind w:left="1276"/>
        <w:rPr>
          <w:rFonts w:ascii="標楷體" w:eastAsia="標楷體" w:hAnsi="標楷體"/>
          <w:color w:val="000000"/>
          <w:szCs w:val="24"/>
        </w:rPr>
      </w:pPr>
      <w:r w:rsidRPr="007576F0">
        <w:rPr>
          <w:rFonts w:ascii="標楷體" w:eastAsia="標楷體" w:hAnsi="標楷體"/>
          <w:color w:val="000000"/>
          <w:szCs w:val="24"/>
        </w:rPr>
        <w:t>Ⅲ.再次申請必須提出客觀證據</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如：影像學</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 xml:space="preserve">證實無惡化，才可繼續使  </w:t>
      </w:r>
    </w:p>
    <w:p w14:paraId="59E478A0" w14:textId="77777777" w:rsidR="007576F0" w:rsidRPr="007576F0" w:rsidRDefault="007576F0" w:rsidP="007576F0">
      <w:pPr>
        <w:spacing w:line="300" w:lineRule="exact"/>
        <w:ind w:left="1517" w:hanging="360"/>
        <w:rPr>
          <w:rFonts w:ascii="標楷體" w:eastAsia="標楷體" w:hAnsi="標楷體"/>
          <w:color w:val="000000"/>
          <w:szCs w:val="24"/>
        </w:rPr>
      </w:pPr>
      <w:r w:rsidRPr="007576F0">
        <w:rPr>
          <w:rFonts w:ascii="標楷體" w:eastAsia="標楷體" w:hAnsi="標楷體"/>
          <w:color w:val="000000"/>
          <w:szCs w:val="24"/>
        </w:rPr>
        <w:t xml:space="preserve">    用。</w:t>
      </w:r>
    </w:p>
    <w:p w14:paraId="2CF4807F" w14:textId="77777777" w:rsidR="007576F0" w:rsidRPr="007576F0" w:rsidRDefault="007576F0" w:rsidP="007576F0">
      <w:pPr>
        <w:spacing w:line="300" w:lineRule="exact"/>
        <w:ind w:left="1373" w:hanging="281"/>
        <w:rPr>
          <w:rFonts w:ascii="標楷體" w:eastAsia="標楷體" w:hAnsi="標楷體"/>
        </w:rPr>
      </w:pPr>
      <w:r w:rsidRPr="007576F0">
        <w:rPr>
          <w:rFonts w:ascii="標楷體" w:eastAsia="標楷體" w:hAnsi="標楷體"/>
          <w:color w:val="000000"/>
          <w:szCs w:val="24"/>
        </w:rPr>
        <w:t>(4)</w:t>
      </w:r>
      <w:r w:rsidRPr="007576F0">
        <w:rPr>
          <w:rFonts w:ascii="標楷體" w:eastAsia="標楷體" w:hAnsi="標楷體" w:cs="BiauKai"/>
          <w:color w:val="000000"/>
          <w:szCs w:val="24"/>
        </w:rPr>
        <w:t>Olaparib與</w:t>
      </w:r>
      <w:proofErr w:type="spellStart"/>
      <w:r w:rsidRPr="007576F0">
        <w:rPr>
          <w:rFonts w:ascii="標楷體" w:eastAsia="標楷體" w:hAnsi="標楷體" w:cs="BiauKai"/>
          <w:color w:val="000000"/>
          <w:szCs w:val="24"/>
        </w:rPr>
        <w:t>talazoparib</w:t>
      </w:r>
      <w:proofErr w:type="spellEnd"/>
      <w:r w:rsidRPr="007576F0">
        <w:rPr>
          <w:rFonts w:ascii="標楷體" w:eastAsia="標楷體" w:hAnsi="標楷體" w:cs="BiauKai"/>
          <w:color w:val="000000"/>
          <w:szCs w:val="24"/>
        </w:rPr>
        <w:t>僅得擇</w:t>
      </w:r>
      <w:proofErr w:type="gramStart"/>
      <w:r w:rsidRPr="007576F0">
        <w:rPr>
          <w:rFonts w:ascii="標楷體" w:eastAsia="標楷體" w:hAnsi="標楷體" w:cs="BiauKai"/>
          <w:color w:val="000000"/>
          <w:szCs w:val="24"/>
        </w:rPr>
        <w:t>一</w:t>
      </w:r>
      <w:proofErr w:type="gramEnd"/>
      <w:r w:rsidRPr="007576F0">
        <w:rPr>
          <w:rFonts w:ascii="標楷體" w:eastAsia="標楷體" w:hAnsi="標楷體" w:cs="BiauKai"/>
          <w:color w:val="000000"/>
          <w:szCs w:val="24"/>
        </w:rPr>
        <w:t>使用，</w:t>
      </w:r>
      <w:proofErr w:type="gramStart"/>
      <w:r w:rsidRPr="007576F0">
        <w:rPr>
          <w:rFonts w:ascii="標楷體" w:eastAsia="標楷體" w:hAnsi="標楷體" w:cs="BiauKai"/>
          <w:color w:val="000000"/>
          <w:szCs w:val="24"/>
        </w:rPr>
        <w:t>除因耐受</w:t>
      </w:r>
      <w:proofErr w:type="gramEnd"/>
      <w:r w:rsidRPr="007576F0">
        <w:rPr>
          <w:rFonts w:ascii="標楷體" w:eastAsia="標楷體" w:hAnsi="標楷體" w:cs="BiauKai"/>
          <w:color w:val="000000"/>
          <w:szCs w:val="24"/>
        </w:rPr>
        <w:t>性不良，不得互換。</w:t>
      </w:r>
      <w:proofErr w:type="gramStart"/>
      <w:r w:rsidRPr="007576F0">
        <w:rPr>
          <w:rFonts w:ascii="標楷體" w:eastAsia="標楷體" w:hAnsi="標楷體" w:cs="BiauKai"/>
          <w:color w:val="000000"/>
          <w:szCs w:val="24"/>
        </w:rPr>
        <w:t>（</w:t>
      </w:r>
      <w:proofErr w:type="gramEnd"/>
      <w:r w:rsidRPr="007576F0">
        <w:rPr>
          <w:rFonts w:ascii="標楷體" w:eastAsia="標楷體" w:hAnsi="標楷體" w:cs="BiauKai"/>
          <w:color w:val="000000"/>
          <w:szCs w:val="24"/>
        </w:rPr>
        <w:t>111/8/1</w:t>
      </w:r>
      <w:r w:rsidRPr="007576F0">
        <w:rPr>
          <w:rFonts w:ascii="標楷體" w:eastAsia="標楷體" w:hAnsi="標楷體"/>
          <w:color w:val="000000"/>
          <w:szCs w:val="24"/>
        </w:rPr>
        <w:t>、</w:t>
      </w:r>
      <w:r w:rsidRPr="007576F0">
        <w:rPr>
          <w:rFonts w:ascii="標楷體" w:eastAsia="標楷體" w:hAnsi="標楷體" w:cs="BiauKai"/>
          <w:color w:val="000000"/>
          <w:szCs w:val="24"/>
        </w:rPr>
        <w:t>112/1/1)</w:t>
      </w:r>
    </w:p>
    <w:p w14:paraId="3AF250F8" w14:textId="77777777" w:rsidR="007576F0" w:rsidRPr="007576F0" w:rsidRDefault="007576F0" w:rsidP="007576F0">
      <w:pPr>
        <w:spacing w:line="300" w:lineRule="exact"/>
        <w:ind w:left="851" w:hanging="284"/>
        <w:rPr>
          <w:rFonts w:ascii="標楷體" w:eastAsia="標楷體" w:hAnsi="標楷體"/>
          <w:color w:val="000000"/>
        </w:rPr>
      </w:pPr>
      <w:r w:rsidRPr="007576F0">
        <w:rPr>
          <w:rFonts w:ascii="標楷體" w:eastAsia="標楷體" w:hAnsi="標楷體"/>
          <w:color w:val="000000"/>
        </w:rPr>
        <w:t>3.去勢療法無效的轉移性攝護腺癌 (</w:t>
      </w:r>
      <w:proofErr w:type="spellStart"/>
      <w:r w:rsidRPr="007576F0">
        <w:rPr>
          <w:rFonts w:ascii="標楷體" w:eastAsia="標楷體" w:hAnsi="標楷體"/>
          <w:color w:val="000000"/>
        </w:rPr>
        <w:t>mCRPC</w:t>
      </w:r>
      <w:proofErr w:type="spellEnd"/>
      <w:r w:rsidRPr="007576F0">
        <w:rPr>
          <w:rFonts w:ascii="標楷體" w:eastAsia="標楷體" w:hAnsi="標楷體"/>
          <w:color w:val="000000"/>
        </w:rPr>
        <w:t>) (</w:t>
      </w:r>
      <w:proofErr w:type="spellStart"/>
      <w:r w:rsidRPr="007576F0">
        <w:rPr>
          <w:rFonts w:ascii="標楷體" w:eastAsia="標楷體" w:hAnsi="標楷體"/>
          <w:color w:val="000000"/>
        </w:rPr>
        <w:t>olaparib</w:t>
      </w:r>
      <w:proofErr w:type="spellEnd"/>
      <w:r w:rsidRPr="007576F0">
        <w:rPr>
          <w:rFonts w:ascii="標楷體" w:eastAsia="標楷體" w:hAnsi="標楷體"/>
          <w:color w:val="000000"/>
        </w:rPr>
        <w:t>)：</w:t>
      </w:r>
      <w:proofErr w:type="gramStart"/>
      <w:r w:rsidRPr="007576F0">
        <w:rPr>
          <w:rFonts w:ascii="標楷體" w:eastAsia="標楷體" w:hAnsi="標楷體"/>
          <w:color w:val="000000"/>
        </w:rPr>
        <w:t>（</w:t>
      </w:r>
      <w:proofErr w:type="gramEnd"/>
      <w:r w:rsidRPr="007576F0">
        <w:rPr>
          <w:rFonts w:ascii="標楷體" w:eastAsia="標楷體" w:hAnsi="標楷體"/>
          <w:color w:val="000000"/>
        </w:rPr>
        <w:t>112/11/1、113/6/1、114/6/1)</w:t>
      </w:r>
    </w:p>
    <w:p w14:paraId="7D1902D9" w14:textId="77777777" w:rsidR="007576F0" w:rsidRPr="007576F0" w:rsidRDefault="007576F0" w:rsidP="007576F0">
      <w:pPr>
        <w:spacing w:line="300" w:lineRule="exact"/>
        <w:ind w:left="1569" w:hanging="566"/>
        <w:rPr>
          <w:rFonts w:ascii="標楷體" w:eastAsia="標楷體" w:hAnsi="標楷體"/>
          <w:color w:val="000000"/>
        </w:rPr>
      </w:pPr>
      <w:r w:rsidRPr="007576F0">
        <w:rPr>
          <w:rFonts w:ascii="標楷體" w:eastAsia="標楷體" w:hAnsi="標楷體"/>
          <w:color w:val="000000"/>
        </w:rPr>
        <w:t xml:space="preserve">(1)單獨使用於具germline or somatic BRCA 1/2致病性或疑似致病性突變且先前接受過新荷爾蒙藥物(novel hormonal agents)治療後惡化之成人病人。 </w:t>
      </w:r>
    </w:p>
    <w:p w14:paraId="438F26FC" w14:textId="77777777" w:rsidR="007576F0" w:rsidRPr="007576F0" w:rsidRDefault="007576F0" w:rsidP="007576F0">
      <w:pPr>
        <w:spacing w:line="300" w:lineRule="exact"/>
        <w:ind w:left="1569" w:hanging="566"/>
        <w:rPr>
          <w:rFonts w:ascii="標楷體" w:eastAsia="標楷體" w:hAnsi="標楷體"/>
          <w:color w:val="000000"/>
        </w:rPr>
      </w:pPr>
      <w:r w:rsidRPr="007576F0">
        <w:rPr>
          <w:rFonts w:ascii="標楷體" w:eastAsia="標楷體" w:hAnsi="標楷體"/>
          <w:color w:val="000000"/>
        </w:rPr>
        <w:t xml:space="preserve">(2) </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用abiraterone及prednisone或prednisolone，用於具germline或 somatic BRCA 1/2致病性或疑似致病性突變且尚未接受化學治療之成人病人：(114/6/1</w:t>
      </w:r>
      <w:proofErr w:type="gramStart"/>
      <w:r w:rsidRPr="007576F0">
        <w:rPr>
          <w:rFonts w:ascii="標楷體" w:eastAsia="標楷體" w:hAnsi="標楷體"/>
          <w:color w:val="000000"/>
        </w:rPr>
        <w:t>）</w:t>
      </w:r>
      <w:proofErr w:type="gramEnd"/>
    </w:p>
    <w:p w14:paraId="65D7579A" w14:textId="77777777" w:rsidR="007576F0" w:rsidRPr="007576F0" w:rsidRDefault="007576F0" w:rsidP="007576F0">
      <w:pPr>
        <w:tabs>
          <w:tab w:val="left" w:pos="5245"/>
        </w:tabs>
        <w:spacing w:line="300" w:lineRule="exact"/>
        <w:ind w:left="1276"/>
        <w:rPr>
          <w:rFonts w:ascii="標楷體" w:eastAsia="標楷體" w:hAnsi="標楷體"/>
          <w:color w:val="000000"/>
          <w:szCs w:val="24"/>
        </w:rPr>
      </w:pPr>
      <w:r w:rsidRPr="007576F0">
        <w:rPr>
          <w:rFonts w:ascii="標楷體" w:eastAsia="標楷體" w:hAnsi="標楷體"/>
          <w:color w:val="000000"/>
          <w:szCs w:val="24"/>
        </w:rPr>
        <w:t xml:space="preserve">I.需符合下列條件之 </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w:t>
      </w:r>
    </w:p>
    <w:p w14:paraId="1148A8C8" w14:textId="77777777" w:rsidR="007576F0" w:rsidRPr="007576F0" w:rsidRDefault="007576F0" w:rsidP="007576F0">
      <w:pPr>
        <w:spacing w:line="300" w:lineRule="exact"/>
        <w:ind w:left="1699" w:hanging="281"/>
        <w:rPr>
          <w:rFonts w:ascii="標楷體" w:eastAsia="標楷體" w:hAnsi="標楷體"/>
          <w:color w:val="000000"/>
        </w:rPr>
      </w:pPr>
      <w:proofErr w:type="spellStart"/>
      <w:r w:rsidRPr="007576F0">
        <w:rPr>
          <w:rFonts w:ascii="標楷體" w:eastAsia="標楷體" w:hAnsi="標楷體"/>
          <w:color w:val="000000"/>
        </w:rPr>
        <w:t>i</w:t>
      </w:r>
      <w:proofErr w:type="spellEnd"/>
      <w:r w:rsidRPr="007576F0">
        <w:rPr>
          <w:rFonts w:ascii="標楷體" w:eastAsia="標楷體" w:hAnsi="標楷體"/>
          <w:color w:val="000000"/>
        </w:rPr>
        <w:t>.未曾使用新型荷爾蒙藥品(abiraterone、apalutamide、</w:t>
      </w:r>
      <w:proofErr w:type="spellStart"/>
      <w:r w:rsidRPr="007576F0">
        <w:rPr>
          <w:rFonts w:ascii="標楷體" w:eastAsia="標楷體" w:hAnsi="標楷體"/>
          <w:color w:val="000000"/>
        </w:rPr>
        <w:t>darolutamide</w:t>
      </w:r>
      <w:proofErr w:type="spellEnd"/>
      <w:r w:rsidRPr="007576F0">
        <w:rPr>
          <w:rFonts w:ascii="標楷體" w:eastAsia="標楷體" w:hAnsi="標楷體"/>
          <w:color w:val="000000"/>
        </w:rPr>
        <w:t>和enzalutamide)治療前列腺癌。</w:t>
      </w:r>
    </w:p>
    <w:p w14:paraId="2B7FC179" w14:textId="77777777" w:rsidR="007576F0" w:rsidRPr="007576F0" w:rsidRDefault="007576F0" w:rsidP="007576F0">
      <w:pPr>
        <w:spacing w:line="300" w:lineRule="exact"/>
        <w:ind w:left="1699" w:hanging="281"/>
        <w:rPr>
          <w:rFonts w:ascii="標楷體" w:eastAsia="標楷體" w:hAnsi="標楷體"/>
          <w:color w:val="000000"/>
        </w:rPr>
      </w:pPr>
      <w:r w:rsidRPr="007576F0">
        <w:rPr>
          <w:rFonts w:ascii="標楷體" w:eastAsia="標楷體" w:hAnsi="標楷體"/>
          <w:color w:val="000000"/>
        </w:rPr>
        <w:t>ii.於</w:t>
      </w:r>
      <w:proofErr w:type="spellStart"/>
      <w:r w:rsidRPr="007576F0">
        <w:rPr>
          <w:rFonts w:ascii="標楷體" w:eastAsia="標楷體" w:hAnsi="標楷體"/>
          <w:color w:val="000000"/>
        </w:rPr>
        <w:t>mCRPC</w:t>
      </w:r>
      <w:proofErr w:type="spellEnd"/>
      <w:r w:rsidRPr="007576F0">
        <w:rPr>
          <w:rFonts w:ascii="標楷體" w:eastAsia="標楷體" w:hAnsi="標楷體"/>
          <w:color w:val="000000"/>
        </w:rPr>
        <w:t>階段使用abiraterone治療未超過4個月且使用期間未惡化。</w:t>
      </w:r>
    </w:p>
    <w:p w14:paraId="5F2DF700" w14:textId="77777777" w:rsidR="007576F0" w:rsidRPr="007576F0" w:rsidRDefault="007576F0" w:rsidP="007576F0">
      <w:pPr>
        <w:tabs>
          <w:tab w:val="left" w:pos="5245"/>
        </w:tabs>
        <w:spacing w:line="300" w:lineRule="exact"/>
        <w:ind w:left="1276"/>
        <w:rPr>
          <w:rFonts w:ascii="標楷體" w:eastAsia="標楷體" w:hAnsi="標楷體"/>
        </w:rPr>
      </w:pPr>
      <w:r w:rsidRPr="007576F0">
        <w:rPr>
          <w:rFonts w:ascii="標楷體" w:eastAsia="標楷體" w:hAnsi="標楷體"/>
          <w:color w:val="000000"/>
          <w:szCs w:val="24"/>
        </w:rPr>
        <w:t>Ⅱ.不論病人處於轉移或非轉移的狀態下，新型荷爾蒙藥品(abiraterone、apalutamide、</w:t>
      </w:r>
      <w:proofErr w:type="spellStart"/>
      <w:r w:rsidRPr="007576F0">
        <w:rPr>
          <w:rFonts w:ascii="標楷體" w:eastAsia="標楷體" w:hAnsi="標楷體"/>
          <w:color w:val="000000"/>
          <w:szCs w:val="24"/>
        </w:rPr>
        <w:t>darolutamide</w:t>
      </w:r>
      <w:proofErr w:type="spellEnd"/>
      <w:r w:rsidRPr="007576F0">
        <w:rPr>
          <w:rFonts w:ascii="標楷體" w:eastAsia="標楷體" w:hAnsi="標楷體"/>
          <w:color w:val="000000"/>
          <w:szCs w:val="24"/>
        </w:rPr>
        <w:t>和enzalutamide) ，及</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 xml:space="preserve"> 與 abiraterone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用，終生僅能接受一種治療，且除非出現嚴重不耐受反應導致必須永久停止治療，不得互換。</w:t>
      </w:r>
    </w:p>
    <w:p w14:paraId="0169B61C" w14:textId="77777777" w:rsidR="007576F0" w:rsidRPr="007576F0" w:rsidRDefault="007576F0" w:rsidP="007576F0">
      <w:pPr>
        <w:spacing w:line="300" w:lineRule="exact"/>
        <w:ind w:left="1569" w:hanging="566"/>
        <w:rPr>
          <w:rFonts w:ascii="標楷體" w:eastAsia="標楷體" w:hAnsi="標楷體"/>
        </w:rPr>
      </w:pPr>
      <w:r w:rsidRPr="007576F0">
        <w:rPr>
          <w:rFonts w:ascii="標楷體" w:eastAsia="標楷體" w:hAnsi="標楷體"/>
          <w:color w:val="000000"/>
        </w:rPr>
        <w:t>(3)經事前審查核准後使用，每3個月需再次申請：(113/6/1)</w:t>
      </w:r>
    </w:p>
    <w:p w14:paraId="4F7C145B" w14:textId="77777777" w:rsidR="007576F0" w:rsidRPr="007576F0" w:rsidRDefault="007576F0" w:rsidP="007576F0">
      <w:pPr>
        <w:spacing w:line="300" w:lineRule="exact"/>
        <w:ind w:left="1809" w:hanging="566"/>
        <w:rPr>
          <w:rFonts w:ascii="標楷體" w:eastAsia="標楷體" w:hAnsi="標楷體"/>
          <w:color w:val="000000"/>
        </w:rPr>
      </w:pPr>
      <w:r w:rsidRPr="007576F0">
        <w:rPr>
          <w:rFonts w:ascii="標楷體" w:eastAsia="標楷體" w:hAnsi="標楷體"/>
          <w:color w:val="000000"/>
        </w:rPr>
        <w:t>Ⅰ.初次申請時需檢附germline or somatic BRCA 1/2突變檢測報告，且需符合全民健康保險藥品給付規定之通則十二。</w:t>
      </w:r>
    </w:p>
    <w:p w14:paraId="6625CC23" w14:textId="77777777" w:rsidR="007576F0" w:rsidRPr="007576F0" w:rsidRDefault="007576F0" w:rsidP="007576F0">
      <w:pPr>
        <w:spacing w:line="300" w:lineRule="exact"/>
        <w:ind w:left="1809" w:hanging="566"/>
        <w:rPr>
          <w:rFonts w:ascii="標楷體" w:eastAsia="標楷體" w:hAnsi="標楷體"/>
          <w:color w:val="000000"/>
        </w:rPr>
      </w:pPr>
      <w:r w:rsidRPr="007576F0">
        <w:rPr>
          <w:rFonts w:ascii="標楷體" w:eastAsia="標楷體" w:hAnsi="標楷體"/>
          <w:color w:val="000000"/>
        </w:rPr>
        <w:t>Ⅱ.申請時需檢附病理報告、使用雄性素去除療法紀錄及系列PSA和</w:t>
      </w:r>
      <w:proofErr w:type="gramStart"/>
      <w:r w:rsidRPr="007576F0">
        <w:rPr>
          <w:rFonts w:ascii="標楷體" w:eastAsia="標楷體" w:hAnsi="標楷體"/>
          <w:color w:val="000000"/>
        </w:rPr>
        <w:t>睪固酮</w:t>
      </w:r>
      <w:proofErr w:type="gramEnd"/>
      <w:r w:rsidRPr="007576F0">
        <w:rPr>
          <w:rFonts w:ascii="標楷體" w:eastAsia="標楷體" w:hAnsi="標楷體"/>
          <w:color w:val="000000"/>
        </w:rPr>
        <w:t>數據。</w:t>
      </w:r>
    </w:p>
    <w:p w14:paraId="5315414A" w14:textId="77777777" w:rsidR="007576F0" w:rsidRPr="007576F0" w:rsidRDefault="007576F0" w:rsidP="007576F0">
      <w:pPr>
        <w:spacing w:line="300" w:lineRule="exact"/>
        <w:ind w:left="1809" w:hanging="566"/>
        <w:rPr>
          <w:rFonts w:ascii="標楷體" w:eastAsia="標楷體" w:hAnsi="標楷體"/>
          <w:color w:val="000000"/>
        </w:rPr>
      </w:pPr>
      <w:r w:rsidRPr="007576F0">
        <w:rPr>
          <w:rFonts w:ascii="標楷體" w:eastAsia="標楷體" w:hAnsi="標楷體"/>
          <w:color w:val="000000"/>
        </w:rPr>
        <w:t>Ⅲ.再申請時若PSA值下降未超過治療前的50%以上，則需停藥。</w:t>
      </w:r>
    </w:p>
    <w:p w14:paraId="7176A745" w14:textId="77777777" w:rsidR="007576F0" w:rsidRPr="007576F0" w:rsidRDefault="007576F0" w:rsidP="007576F0">
      <w:pPr>
        <w:spacing w:line="300" w:lineRule="exact"/>
        <w:ind w:left="1809" w:hanging="566"/>
        <w:rPr>
          <w:rFonts w:ascii="標楷體" w:eastAsia="標楷體" w:hAnsi="標楷體"/>
          <w:color w:val="000000"/>
        </w:rPr>
      </w:pPr>
      <w:r w:rsidRPr="007576F0">
        <w:rPr>
          <w:rFonts w:ascii="標楷體" w:eastAsia="標楷體" w:hAnsi="標楷體"/>
          <w:color w:val="000000"/>
        </w:rPr>
        <w:t>IV.下降達</w:t>
      </w:r>
      <w:proofErr w:type="gramStart"/>
      <w:r w:rsidRPr="007576F0">
        <w:rPr>
          <w:rFonts w:ascii="標楷體" w:eastAsia="標楷體" w:hAnsi="標楷體"/>
          <w:color w:val="000000"/>
        </w:rPr>
        <w:t>最低值後之</w:t>
      </w:r>
      <w:proofErr w:type="gramEnd"/>
      <w:r w:rsidRPr="007576F0">
        <w:rPr>
          <w:rFonts w:ascii="標楷體" w:eastAsia="標楷體" w:hAnsi="標楷體"/>
          <w:color w:val="000000"/>
        </w:rPr>
        <w:t>持續追蹤出現PSA較最低值上升50%以上且PSA</w:t>
      </w:r>
      <w:proofErr w:type="gramStart"/>
      <w:r w:rsidRPr="007576F0">
        <w:rPr>
          <w:rFonts w:ascii="標楷體" w:eastAsia="標楷體" w:hAnsi="標楷體"/>
          <w:color w:val="000000"/>
        </w:rPr>
        <w:t>≧</w:t>
      </w:r>
      <w:proofErr w:type="gramEnd"/>
      <w:r w:rsidRPr="007576F0">
        <w:rPr>
          <w:rFonts w:ascii="標楷體" w:eastAsia="標楷體" w:hAnsi="標楷體"/>
          <w:color w:val="000000"/>
        </w:rPr>
        <w:t>2ng/ml，則需停藥，但影像學證據尚無疾病進展者，可以繼續使用。</w:t>
      </w:r>
    </w:p>
    <w:p w14:paraId="6FFBF7C7" w14:textId="77777777" w:rsidR="007576F0" w:rsidRPr="007576F0" w:rsidRDefault="007576F0" w:rsidP="007576F0">
      <w:pPr>
        <w:spacing w:line="300" w:lineRule="exact"/>
        <w:ind w:left="1569" w:hanging="566"/>
        <w:rPr>
          <w:rFonts w:ascii="標楷體" w:eastAsia="標楷體" w:hAnsi="標楷體"/>
          <w:color w:val="000000"/>
        </w:rPr>
      </w:pPr>
      <w:r w:rsidRPr="007576F0">
        <w:rPr>
          <w:rFonts w:ascii="標楷體" w:eastAsia="標楷體" w:hAnsi="標楷體"/>
          <w:color w:val="000000"/>
        </w:rPr>
        <w:t>(3)不得合併化療使用。</w:t>
      </w:r>
    </w:p>
    <w:p w14:paraId="305D74EC" w14:textId="77777777" w:rsidR="007576F0" w:rsidRPr="007576F0" w:rsidRDefault="007576F0" w:rsidP="007576F0">
      <w:pPr>
        <w:spacing w:line="300" w:lineRule="exact"/>
        <w:ind w:left="851" w:hanging="284"/>
        <w:rPr>
          <w:rFonts w:ascii="標楷體" w:eastAsia="標楷體" w:hAnsi="標楷體"/>
        </w:rPr>
      </w:pPr>
      <w:r w:rsidRPr="007576F0">
        <w:rPr>
          <w:rFonts w:ascii="標楷體" w:eastAsia="標楷體" w:hAnsi="標楷體"/>
        </w:rPr>
        <w:t>4.高復發風險之</w:t>
      </w:r>
      <w:r w:rsidRPr="007576F0">
        <w:rPr>
          <w:rFonts w:ascii="標楷體" w:eastAsia="標楷體" w:hAnsi="標楷體"/>
          <w:color w:val="000000"/>
        </w:rPr>
        <w:t>早期</w:t>
      </w:r>
      <w:r w:rsidRPr="007576F0">
        <w:rPr>
          <w:rFonts w:ascii="標楷體" w:eastAsia="標楷體" w:hAnsi="標楷體"/>
        </w:rPr>
        <w:t>乳癌(</w:t>
      </w:r>
      <w:proofErr w:type="spellStart"/>
      <w:r w:rsidRPr="007576F0">
        <w:rPr>
          <w:rFonts w:ascii="標楷體" w:eastAsia="標楷體" w:hAnsi="標楷體"/>
        </w:rPr>
        <w:t>olaparib</w:t>
      </w:r>
      <w:proofErr w:type="spellEnd"/>
      <w:r w:rsidRPr="007576F0">
        <w:rPr>
          <w:rFonts w:ascii="標楷體" w:eastAsia="標楷體" w:hAnsi="標楷體"/>
        </w:rPr>
        <w:t>)：(114/6/1)</w:t>
      </w:r>
    </w:p>
    <w:p w14:paraId="0C5B3D4E" w14:textId="77777777" w:rsidR="007576F0" w:rsidRPr="007576F0" w:rsidRDefault="007576F0" w:rsidP="007576F0">
      <w:pPr>
        <w:spacing w:line="300" w:lineRule="exact"/>
        <w:ind w:left="1418" w:hanging="425"/>
        <w:rPr>
          <w:rFonts w:ascii="標楷體" w:eastAsia="標楷體" w:hAnsi="標楷體"/>
          <w:color w:val="000000"/>
          <w:szCs w:val="24"/>
        </w:rPr>
      </w:pPr>
      <w:r w:rsidRPr="007576F0">
        <w:rPr>
          <w:rFonts w:ascii="標楷體" w:eastAsia="標楷體" w:hAnsi="標楷體"/>
          <w:color w:val="000000"/>
          <w:szCs w:val="24"/>
        </w:rPr>
        <w:t>(1)Olaparib適用於曾接受前導性</w:t>
      </w:r>
      <w:proofErr w:type="gramStart"/>
      <w:r w:rsidRPr="007576F0">
        <w:rPr>
          <w:rFonts w:ascii="標楷體" w:eastAsia="標楷體" w:hAnsi="標楷體"/>
          <w:color w:val="000000"/>
          <w:szCs w:val="24"/>
        </w:rPr>
        <w:t>化療或術</w:t>
      </w:r>
      <w:proofErr w:type="gramEnd"/>
      <w:r w:rsidRPr="007576F0">
        <w:rPr>
          <w:rFonts w:ascii="標楷體" w:eastAsia="標楷體" w:hAnsi="標楷體"/>
          <w:color w:val="000000"/>
          <w:szCs w:val="24"/>
        </w:rPr>
        <w:t>後輔助性化療，且具遺傳性BRCA1/2 (germline BRCA1/2)突變</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 xml:space="preserve"> HER2陰性而有高復發風險之早期乳癌成年病人術後輔助治療，依藥品仿單記載以1年為上限。</w:t>
      </w:r>
    </w:p>
    <w:p w14:paraId="234B9C53" w14:textId="77777777" w:rsidR="007576F0" w:rsidRPr="007576F0" w:rsidRDefault="007576F0" w:rsidP="007576F0">
      <w:pPr>
        <w:spacing w:line="300" w:lineRule="exact"/>
        <w:ind w:left="1569" w:hanging="566"/>
        <w:rPr>
          <w:rFonts w:ascii="標楷體" w:eastAsia="標楷體" w:hAnsi="標楷體"/>
          <w:color w:val="000000"/>
          <w:szCs w:val="24"/>
        </w:rPr>
      </w:pPr>
      <w:r w:rsidRPr="007576F0">
        <w:rPr>
          <w:rFonts w:ascii="標楷體" w:eastAsia="標楷體" w:hAnsi="標楷體"/>
          <w:color w:val="000000"/>
          <w:szCs w:val="24"/>
        </w:rPr>
        <w:t>(2)病人須完成至少6個週期的前導性</w:t>
      </w:r>
      <w:proofErr w:type="gramStart"/>
      <w:r w:rsidRPr="007576F0">
        <w:rPr>
          <w:rFonts w:ascii="標楷體" w:eastAsia="標楷體" w:hAnsi="標楷體"/>
          <w:color w:val="000000"/>
          <w:szCs w:val="24"/>
        </w:rPr>
        <w:t>化療或術</w:t>
      </w:r>
      <w:proofErr w:type="gramEnd"/>
      <w:r w:rsidRPr="007576F0">
        <w:rPr>
          <w:rFonts w:ascii="標楷體" w:eastAsia="標楷體" w:hAnsi="標楷體"/>
          <w:color w:val="000000"/>
          <w:szCs w:val="24"/>
        </w:rPr>
        <w:t>後輔助性化療，</w:t>
      </w:r>
      <w:proofErr w:type="gramStart"/>
      <w:r w:rsidRPr="007576F0">
        <w:rPr>
          <w:rFonts w:ascii="標楷體" w:eastAsia="標楷體" w:hAnsi="標楷體"/>
          <w:color w:val="000000"/>
          <w:szCs w:val="24"/>
        </w:rPr>
        <w:t>且化療</w:t>
      </w:r>
      <w:proofErr w:type="gramEnd"/>
      <w:r w:rsidRPr="007576F0">
        <w:rPr>
          <w:rFonts w:ascii="標楷體" w:eastAsia="標楷體" w:hAnsi="標楷體"/>
          <w:color w:val="000000"/>
          <w:szCs w:val="24"/>
        </w:rPr>
        <w:t>處方須含有anthracyclines類藥物、</w:t>
      </w:r>
      <w:proofErr w:type="spellStart"/>
      <w:r w:rsidRPr="007576F0">
        <w:rPr>
          <w:rFonts w:ascii="標楷體" w:eastAsia="標楷體" w:hAnsi="標楷體"/>
          <w:color w:val="000000"/>
          <w:szCs w:val="24"/>
        </w:rPr>
        <w:t>taxane</w:t>
      </w:r>
      <w:proofErr w:type="spellEnd"/>
      <w:r w:rsidRPr="007576F0">
        <w:rPr>
          <w:rFonts w:ascii="標楷體" w:eastAsia="標楷體" w:hAnsi="標楷體"/>
          <w:color w:val="000000"/>
          <w:szCs w:val="24"/>
        </w:rPr>
        <w:t>類藥物，或兩者的複方；亦允許</w:t>
      </w:r>
      <w:proofErr w:type="gramStart"/>
      <w:r w:rsidRPr="007576F0">
        <w:rPr>
          <w:rFonts w:ascii="標楷體" w:eastAsia="標楷體" w:hAnsi="標楷體"/>
          <w:color w:val="000000"/>
          <w:szCs w:val="24"/>
        </w:rPr>
        <w:t>含鉑化療</w:t>
      </w:r>
      <w:proofErr w:type="gramEnd"/>
      <w:r w:rsidRPr="007576F0">
        <w:rPr>
          <w:rFonts w:ascii="標楷體" w:eastAsia="標楷體" w:hAnsi="標楷體"/>
          <w:color w:val="000000"/>
          <w:szCs w:val="24"/>
        </w:rPr>
        <w:t>。</w:t>
      </w:r>
    </w:p>
    <w:p w14:paraId="26B8DE77" w14:textId="77777777" w:rsidR="007576F0" w:rsidRPr="007576F0" w:rsidRDefault="007576F0" w:rsidP="007576F0">
      <w:pPr>
        <w:spacing w:line="300" w:lineRule="exact"/>
        <w:ind w:left="1418" w:hanging="425"/>
        <w:rPr>
          <w:rFonts w:ascii="標楷體" w:eastAsia="標楷體" w:hAnsi="標楷體"/>
          <w:color w:val="000000"/>
          <w:szCs w:val="24"/>
        </w:rPr>
      </w:pPr>
      <w:r w:rsidRPr="007576F0">
        <w:rPr>
          <w:rFonts w:ascii="標楷體" w:eastAsia="標楷體" w:hAnsi="標楷體"/>
          <w:color w:val="000000"/>
          <w:szCs w:val="24"/>
        </w:rPr>
        <w:t>(3)病人須在最後一次治療(包括手術、</w:t>
      </w:r>
      <w:proofErr w:type="gramStart"/>
      <w:r w:rsidRPr="007576F0">
        <w:rPr>
          <w:rFonts w:ascii="標楷體" w:eastAsia="標楷體" w:hAnsi="標楷體"/>
          <w:color w:val="000000"/>
          <w:szCs w:val="24"/>
        </w:rPr>
        <w:t>化療或放療</w:t>
      </w:r>
      <w:proofErr w:type="gramEnd"/>
      <w:r w:rsidRPr="007576F0">
        <w:rPr>
          <w:rFonts w:ascii="標楷體" w:eastAsia="標楷體" w:hAnsi="標楷體"/>
          <w:color w:val="000000"/>
          <w:szCs w:val="24"/>
        </w:rPr>
        <w:t>)完成後的12</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內使用</w:t>
      </w:r>
      <w:proofErr w:type="spellStart"/>
      <w:r w:rsidRPr="007576F0">
        <w:rPr>
          <w:rFonts w:ascii="標楷體" w:eastAsia="標楷體" w:hAnsi="標楷體"/>
          <w:color w:val="000000"/>
          <w:szCs w:val="24"/>
        </w:rPr>
        <w:lastRenderedPageBreak/>
        <w:t>olaparib</w:t>
      </w:r>
      <w:proofErr w:type="spellEnd"/>
      <w:r w:rsidRPr="007576F0">
        <w:rPr>
          <w:rFonts w:ascii="標楷體" w:eastAsia="標楷體" w:hAnsi="標楷體"/>
          <w:color w:val="000000"/>
          <w:szCs w:val="24"/>
        </w:rPr>
        <w:t>。</w:t>
      </w:r>
    </w:p>
    <w:p w14:paraId="1D3B4B8E" w14:textId="77777777" w:rsidR="007576F0" w:rsidRPr="007576F0" w:rsidRDefault="007576F0" w:rsidP="007576F0">
      <w:pPr>
        <w:spacing w:line="300" w:lineRule="exact"/>
        <w:ind w:left="1569" w:hanging="566"/>
        <w:rPr>
          <w:rFonts w:ascii="標楷體" w:eastAsia="標楷體" w:hAnsi="標楷體"/>
          <w:color w:val="000000"/>
          <w:szCs w:val="24"/>
        </w:rPr>
      </w:pPr>
      <w:r w:rsidRPr="007576F0">
        <w:rPr>
          <w:rFonts w:ascii="標楷體" w:eastAsia="標楷體" w:hAnsi="標楷體"/>
          <w:color w:val="000000"/>
          <w:szCs w:val="24"/>
        </w:rPr>
        <w:t>(4)須符合下列之高復發風險條件：</w:t>
      </w:r>
    </w:p>
    <w:p w14:paraId="06CE55A4" w14:textId="77777777" w:rsidR="007576F0" w:rsidRPr="007576F0" w:rsidRDefault="007576F0" w:rsidP="007576F0">
      <w:pPr>
        <w:spacing w:line="300" w:lineRule="exact"/>
        <w:ind w:left="1809" w:hanging="566"/>
        <w:rPr>
          <w:rFonts w:ascii="標楷體" w:eastAsia="標楷體" w:hAnsi="標楷體"/>
          <w:color w:val="000000"/>
        </w:rPr>
      </w:pPr>
      <w:r w:rsidRPr="007576F0">
        <w:rPr>
          <w:rFonts w:ascii="標楷體" w:eastAsia="標楷體" w:hAnsi="標楷體"/>
          <w:color w:val="000000"/>
        </w:rPr>
        <w:t>Ⅰ.</w:t>
      </w:r>
      <w:proofErr w:type="gramStart"/>
      <w:r w:rsidRPr="007576F0">
        <w:rPr>
          <w:rFonts w:ascii="標楷體" w:eastAsia="標楷體" w:hAnsi="標楷體"/>
          <w:color w:val="000000"/>
        </w:rPr>
        <w:t>三</w:t>
      </w:r>
      <w:proofErr w:type="gramEnd"/>
      <w:r w:rsidRPr="007576F0">
        <w:rPr>
          <w:rFonts w:ascii="標楷體" w:eastAsia="標楷體" w:hAnsi="標楷體"/>
          <w:color w:val="000000"/>
        </w:rPr>
        <w:t>陰性乳癌：</w:t>
      </w:r>
    </w:p>
    <w:p w14:paraId="34B819E5" w14:textId="77777777" w:rsidR="007576F0" w:rsidRPr="007576F0" w:rsidRDefault="007576F0" w:rsidP="007576F0">
      <w:pPr>
        <w:spacing w:line="300" w:lineRule="exact"/>
        <w:ind w:left="1699" w:hanging="281"/>
        <w:rPr>
          <w:rFonts w:ascii="標楷體" w:eastAsia="標楷體" w:hAnsi="標楷體"/>
          <w:color w:val="000000"/>
        </w:rPr>
      </w:pPr>
      <w:proofErr w:type="spellStart"/>
      <w:r w:rsidRPr="007576F0">
        <w:rPr>
          <w:rFonts w:ascii="標楷體" w:eastAsia="標楷體" w:hAnsi="標楷體"/>
          <w:color w:val="000000"/>
        </w:rPr>
        <w:t>i</w:t>
      </w:r>
      <w:proofErr w:type="spellEnd"/>
      <w:r w:rsidRPr="007576F0">
        <w:rPr>
          <w:rFonts w:ascii="標楷體" w:eastAsia="標楷體" w:hAnsi="標楷體"/>
          <w:color w:val="000000"/>
        </w:rPr>
        <w:t>.針對曾接受前導性化療的病人，須符合於乳房和/或手術切除的淋巴結中發現有殘餘的侵襲性癌症(non-</w:t>
      </w:r>
      <w:proofErr w:type="spellStart"/>
      <w:r w:rsidRPr="007576F0">
        <w:rPr>
          <w:rFonts w:ascii="標楷體" w:eastAsia="標楷體" w:hAnsi="標楷體"/>
          <w:color w:val="000000"/>
        </w:rPr>
        <w:t>pCR</w:t>
      </w:r>
      <w:proofErr w:type="spellEnd"/>
      <w:r w:rsidRPr="007576F0">
        <w:rPr>
          <w:rFonts w:ascii="標楷體" w:eastAsia="標楷體" w:hAnsi="標楷體"/>
          <w:color w:val="000000"/>
        </w:rPr>
        <w:t>)。</w:t>
      </w:r>
    </w:p>
    <w:p w14:paraId="15C62B34" w14:textId="77777777" w:rsidR="007576F0" w:rsidRPr="007576F0" w:rsidRDefault="007576F0" w:rsidP="007576F0">
      <w:pPr>
        <w:spacing w:line="300" w:lineRule="exact"/>
        <w:ind w:left="1699" w:hanging="281"/>
        <w:rPr>
          <w:rFonts w:ascii="標楷體" w:eastAsia="標楷體" w:hAnsi="標楷體"/>
          <w:color w:val="000000"/>
          <w:szCs w:val="24"/>
        </w:rPr>
      </w:pPr>
      <w:r w:rsidRPr="007576F0">
        <w:rPr>
          <w:rFonts w:ascii="標楷體" w:eastAsia="標楷體" w:hAnsi="標楷體"/>
          <w:color w:val="000000"/>
          <w:szCs w:val="24"/>
        </w:rPr>
        <w:t>ii.針對曾接受手術且接續術後輔助性化療的病人，須具有腋窩淋巴結陽性(</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pN1)，或腋窩淋巴結陰性(pN0)且原發性病理腫瘤大小</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2公分(</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pT2)。</w:t>
      </w:r>
    </w:p>
    <w:p w14:paraId="6E742887" w14:textId="77777777" w:rsidR="007576F0" w:rsidRPr="007576F0" w:rsidRDefault="007576F0" w:rsidP="007576F0">
      <w:pPr>
        <w:spacing w:line="300" w:lineRule="exact"/>
        <w:ind w:left="1809" w:hanging="566"/>
        <w:rPr>
          <w:rFonts w:ascii="標楷體" w:eastAsia="標楷體" w:hAnsi="標楷體"/>
          <w:color w:val="000000"/>
        </w:rPr>
      </w:pPr>
      <w:r w:rsidRPr="007576F0">
        <w:rPr>
          <w:rFonts w:ascii="標楷體" w:eastAsia="標楷體" w:hAnsi="標楷體"/>
          <w:color w:val="000000"/>
        </w:rPr>
        <w:t>Ⅱ.HR陽性且HER2陰性乳癌：</w:t>
      </w:r>
    </w:p>
    <w:p w14:paraId="7943BD8C" w14:textId="77777777" w:rsidR="007576F0" w:rsidRPr="007576F0" w:rsidRDefault="007576F0" w:rsidP="007576F0">
      <w:pPr>
        <w:spacing w:line="300" w:lineRule="exact"/>
        <w:ind w:left="1699" w:hanging="281"/>
        <w:rPr>
          <w:rFonts w:ascii="標楷體" w:eastAsia="標楷體" w:hAnsi="標楷體"/>
          <w:color w:val="000000"/>
        </w:rPr>
      </w:pPr>
      <w:proofErr w:type="spellStart"/>
      <w:r w:rsidRPr="007576F0">
        <w:rPr>
          <w:rFonts w:ascii="標楷體" w:eastAsia="標楷體" w:hAnsi="標楷體"/>
          <w:color w:val="000000"/>
        </w:rPr>
        <w:t>i</w:t>
      </w:r>
      <w:proofErr w:type="spellEnd"/>
      <w:r w:rsidRPr="007576F0">
        <w:rPr>
          <w:rFonts w:ascii="標楷體" w:eastAsia="標楷體" w:hAnsi="標楷體"/>
          <w:color w:val="000000"/>
        </w:rPr>
        <w:t>.針對曾接受前導性化療的病人，須為non-</w:t>
      </w:r>
      <w:proofErr w:type="spellStart"/>
      <w:r w:rsidRPr="007576F0">
        <w:rPr>
          <w:rFonts w:ascii="標楷體" w:eastAsia="標楷體" w:hAnsi="標楷體"/>
          <w:color w:val="000000"/>
        </w:rPr>
        <w:t>pCR</w:t>
      </w:r>
      <w:proofErr w:type="spellEnd"/>
      <w:r w:rsidRPr="007576F0">
        <w:rPr>
          <w:rFonts w:ascii="標楷體" w:eastAsia="標楷體" w:hAnsi="標楷體"/>
          <w:color w:val="000000"/>
        </w:rPr>
        <w:t>。</w:t>
      </w:r>
    </w:p>
    <w:p w14:paraId="36CBA377" w14:textId="77777777" w:rsidR="007576F0" w:rsidRPr="007576F0" w:rsidRDefault="007576F0" w:rsidP="007576F0">
      <w:pPr>
        <w:spacing w:line="300" w:lineRule="exact"/>
        <w:ind w:left="1699" w:hanging="281"/>
        <w:rPr>
          <w:rFonts w:ascii="標楷體" w:eastAsia="標楷體" w:hAnsi="標楷體"/>
        </w:rPr>
      </w:pPr>
      <w:r w:rsidRPr="007576F0">
        <w:rPr>
          <w:rFonts w:ascii="標楷體" w:eastAsia="標楷體" w:hAnsi="標楷體"/>
          <w:color w:val="000000"/>
          <w:szCs w:val="24"/>
        </w:rPr>
        <w:t>ii</w:t>
      </w:r>
      <w:r w:rsidRPr="007576F0">
        <w:rPr>
          <w:rFonts w:ascii="標楷體" w:eastAsia="標楷體" w:hAnsi="標楷體"/>
        </w:rPr>
        <w:t xml:space="preserve"> </w:t>
      </w:r>
      <w:r w:rsidRPr="007576F0">
        <w:rPr>
          <w:rFonts w:ascii="標楷體" w:eastAsia="標楷體" w:hAnsi="標楷體"/>
          <w:color w:val="000000"/>
          <w:szCs w:val="24"/>
        </w:rPr>
        <w:t>針對曾接受手術且接續術後輔助性化療的病人，須具有4個以上經病理學證實的陽性淋巴結。</w:t>
      </w:r>
    </w:p>
    <w:p w14:paraId="3D4ACC98" w14:textId="77777777" w:rsidR="007576F0" w:rsidRPr="007576F0" w:rsidRDefault="007576F0" w:rsidP="007576F0">
      <w:pPr>
        <w:spacing w:line="300" w:lineRule="exact"/>
        <w:ind w:left="1569" w:hanging="566"/>
        <w:rPr>
          <w:rFonts w:ascii="標楷體" w:eastAsia="標楷體" w:hAnsi="標楷體"/>
          <w:color w:val="000000"/>
          <w:szCs w:val="24"/>
        </w:rPr>
      </w:pPr>
      <w:r w:rsidRPr="007576F0">
        <w:rPr>
          <w:rFonts w:ascii="標楷體" w:eastAsia="標楷體" w:hAnsi="標楷體"/>
          <w:color w:val="000000"/>
          <w:szCs w:val="24"/>
        </w:rPr>
        <w:t>(5)須經事前審查核准後使用：</w:t>
      </w:r>
    </w:p>
    <w:p w14:paraId="7997BE2E" w14:textId="77777777" w:rsidR="007576F0" w:rsidRPr="007576F0" w:rsidRDefault="007576F0" w:rsidP="007576F0">
      <w:pPr>
        <w:spacing w:line="300" w:lineRule="exact"/>
        <w:ind w:left="1809" w:hanging="566"/>
        <w:rPr>
          <w:rFonts w:ascii="標楷體" w:eastAsia="標楷體" w:hAnsi="標楷體"/>
        </w:rPr>
      </w:pPr>
      <w:r w:rsidRPr="007576F0">
        <w:rPr>
          <w:rFonts w:ascii="標楷體" w:eastAsia="標楷體" w:hAnsi="標楷體"/>
          <w:color w:val="000000"/>
        </w:rPr>
        <w:t>Ⅰ.</w:t>
      </w:r>
      <w:r w:rsidRPr="007576F0">
        <w:rPr>
          <w:rFonts w:ascii="標楷體" w:eastAsia="標楷體" w:hAnsi="標楷體"/>
          <w:color w:val="000000"/>
          <w:szCs w:val="24"/>
        </w:rPr>
        <w:t>每次申請之療程以3個月為限。</w:t>
      </w:r>
    </w:p>
    <w:p w14:paraId="4D67D82E" w14:textId="77777777" w:rsidR="007576F0" w:rsidRPr="007576F0" w:rsidRDefault="007576F0" w:rsidP="007576F0">
      <w:pPr>
        <w:spacing w:line="300" w:lineRule="exact"/>
        <w:ind w:left="1809" w:hanging="567"/>
        <w:rPr>
          <w:rFonts w:ascii="標楷體" w:eastAsia="標楷體" w:hAnsi="標楷體"/>
          <w:color w:val="000000"/>
          <w:szCs w:val="24"/>
        </w:rPr>
      </w:pPr>
      <w:r w:rsidRPr="007576F0">
        <w:rPr>
          <w:rFonts w:ascii="標楷體" w:eastAsia="標楷體" w:hAnsi="標楷體"/>
          <w:color w:val="000000"/>
          <w:szCs w:val="24"/>
        </w:rPr>
        <w:t>II.初次申請時需檢附HER2為陰性之檢測報告、ER和PR之檢測報告，以及germline BRCA 1/2突變之檢測報告，且需符合全民健康保險藥品給付規定之通則十二。</w:t>
      </w:r>
    </w:p>
    <w:p w14:paraId="23DD4517" w14:textId="77777777" w:rsidR="007576F0" w:rsidRPr="007576F0" w:rsidRDefault="007576F0" w:rsidP="007576F0">
      <w:pPr>
        <w:spacing w:line="300" w:lineRule="exact"/>
        <w:ind w:left="1809" w:hanging="567"/>
        <w:rPr>
          <w:rFonts w:ascii="標楷體" w:eastAsia="標楷體" w:hAnsi="標楷體"/>
          <w:color w:val="000000"/>
          <w:szCs w:val="24"/>
        </w:rPr>
      </w:pPr>
      <w:r w:rsidRPr="007576F0">
        <w:rPr>
          <w:rFonts w:ascii="標楷體" w:eastAsia="標楷體" w:hAnsi="標楷體"/>
          <w:color w:val="000000"/>
          <w:szCs w:val="24"/>
        </w:rPr>
        <w:t>III.再次申請必須提出客觀證據</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如：影像學</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證實無惡化，才可繼續使用。</w:t>
      </w:r>
    </w:p>
    <w:p w14:paraId="7AB037CD" w14:textId="77777777" w:rsidR="007576F0" w:rsidRPr="007576F0" w:rsidRDefault="007576F0" w:rsidP="007576F0">
      <w:pPr>
        <w:spacing w:line="300" w:lineRule="exact"/>
        <w:ind w:left="1809" w:hanging="567"/>
        <w:rPr>
          <w:rFonts w:ascii="標楷體" w:eastAsia="標楷體" w:hAnsi="標楷體"/>
          <w:color w:val="000000"/>
          <w:szCs w:val="24"/>
        </w:rPr>
      </w:pPr>
      <w:r w:rsidRPr="007576F0">
        <w:rPr>
          <w:rFonts w:ascii="標楷體" w:eastAsia="標楷體" w:hAnsi="標楷體"/>
          <w:color w:val="000000"/>
          <w:szCs w:val="24"/>
        </w:rPr>
        <w:t>IV. 用於術後輔助治療，</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與pembrolizumab僅能擇一給付。</w:t>
      </w:r>
    </w:p>
    <w:p w14:paraId="5559B95E" w14:textId="77777777" w:rsidR="007576F0" w:rsidRPr="007576F0" w:rsidRDefault="007576F0" w:rsidP="007576F0">
      <w:pPr>
        <w:spacing w:line="300" w:lineRule="exact"/>
        <w:ind w:leftChars="-118" w:left="-283" w:firstLineChars="236" w:firstLine="566"/>
      </w:pPr>
      <w:r w:rsidRPr="007576F0">
        <w:rPr>
          <w:rFonts w:ascii="標楷體" w:eastAsia="標楷體" w:hAnsi="標楷體"/>
          <w:color w:val="000000"/>
          <w:szCs w:val="24"/>
        </w:rPr>
        <w:t xml:space="preserve">  5</w:t>
      </w:r>
      <w:r w:rsidRPr="007576F0">
        <w:rPr>
          <w:rFonts w:ascii="標楷體" w:eastAsia="標楷體" w:hAnsi="標楷體" w:cs="BiauKai"/>
          <w:color w:val="000000"/>
          <w:szCs w:val="24"/>
        </w:rPr>
        <w:t>.</w:t>
      </w:r>
      <w:r w:rsidRPr="007576F0">
        <w:rPr>
          <w:rFonts w:ascii="標楷體" w:eastAsia="標楷體" w:hAnsi="標楷體"/>
        </w:rPr>
        <w:t>Olaparib</w:t>
      </w:r>
      <w:r w:rsidRPr="007576F0">
        <w:rPr>
          <w:rFonts w:ascii="標楷體" w:eastAsia="標楷體" w:hAnsi="標楷體"/>
          <w:color w:val="000000"/>
          <w:szCs w:val="24"/>
        </w:rPr>
        <w:t>每日最多使用4粒</w:t>
      </w:r>
      <w:r w:rsidRPr="007576F0">
        <w:rPr>
          <w:rFonts w:ascii="標楷體" w:eastAsia="標楷體" w:hAnsi="標楷體" w:cs="BiauKai"/>
          <w:color w:val="000000"/>
          <w:szCs w:val="24"/>
        </w:rPr>
        <w:t>(112/1/1)</w:t>
      </w:r>
      <w:bookmarkEnd w:id="66"/>
    </w:p>
    <w:p w14:paraId="6E293BC3" w14:textId="77777777" w:rsidR="007576F0" w:rsidRPr="007576F0" w:rsidRDefault="007576F0" w:rsidP="007576F0">
      <w:pPr>
        <w:spacing w:line="300" w:lineRule="exact"/>
        <w:ind w:left="283"/>
        <w:rPr>
          <w:rFonts w:ascii="標楷體" w:eastAsia="標楷體" w:hAnsi="標楷體"/>
          <w:color w:val="000000"/>
        </w:rPr>
      </w:pPr>
      <w:r w:rsidRPr="007576F0">
        <w:rPr>
          <w:rFonts w:ascii="標楷體" w:eastAsia="標楷體" w:hAnsi="標楷體"/>
          <w:color w:val="000000"/>
        </w:rPr>
        <w:t>9.86.Vandetanib (如</w:t>
      </w:r>
      <w:proofErr w:type="spellStart"/>
      <w:r w:rsidRPr="007576F0">
        <w:rPr>
          <w:rFonts w:ascii="標楷體" w:eastAsia="標楷體" w:hAnsi="標楷體"/>
          <w:color w:val="000000"/>
        </w:rPr>
        <w:t>Caprelsa</w:t>
      </w:r>
      <w:proofErr w:type="spellEnd"/>
      <w:r w:rsidRPr="007576F0">
        <w:rPr>
          <w:rFonts w:ascii="標楷體" w:eastAsia="標楷體" w:hAnsi="標楷體"/>
          <w:color w:val="000000"/>
        </w:rPr>
        <w:t>)：(109/11/1)</w:t>
      </w:r>
    </w:p>
    <w:p w14:paraId="3EE6A844" w14:textId="77777777" w:rsidR="007576F0" w:rsidRPr="007576F0" w:rsidRDefault="007576F0" w:rsidP="007576F0">
      <w:pPr>
        <w:spacing w:line="300" w:lineRule="exact"/>
        <w:ind w:left="567"/>
      </w:pPr>
      <w:r w:rsidRPr="007576F0">
        <w:rPr>
          <w:rFonts w:ascii="標楷體" w:eastAsia="標楷體" w:hAnsi="標楷體"/>
          <w:color w:val="000000"/>
        </w:rPr>
        <w:t>適用於無法進行手術切除的局部侵犯或轉移性</w:t>
      </w:r>
      <w:proofErr w:type="gramStart"/>
      <w:r w:rsidRPr="007576F0">
        <w:rPr>
          <w:rFonts w:ascii="標楷體" w:eastAsia="標楷體" w:hAnsi="標楷體"/>
          <w:color w:val="000000"/>
        </w:rPr>
        <w:t>甲狀腺</w:t>
      </w:r>
      <w:r w:rsidRPr="007576F0">
        <w:rPr>
          <w:rFonts w:ascii="標楷體" w:eastAsia="標楷體" w:hAnsi="標楷體" w:cs="BiauKai"/>
          <w:color w:val="000000"/>
          <w:szCs w:val="28"/>
        </w:rPr>
        <w:t>髓質癌</w:t>
      </w:r>
      <w:proofErr w:type="gramEnd"/>
      <w:r w:rsidRPr="007576F0">
        <w:rPr>
          <w:rFonts w:ascii="標楷體" w:eastAsia="標楷體" w:hAnsi="標楷體" w:cs="BiauKai"/>
          <w:color w:val="000000"/>
          <w:szCs w:val="28"/>
        </w:rPr>
        <w:t>，並且為症狀性及疾病侵襲性的患者。</w:t>
      </w:r>
    </w:p>
    <w:p w14:paraId="31D21F6E" w14:textId="77777777" w:rsidR="007576F0" w:rsidRPr="007576F0" w:rsidRDefault="007576F0" w:rsidP="007576F0">
      <w:pPr>
        <w:spacing w:line="300" w:lineRule="exact"/>
        <w:ind w:leftChars="295" w:left="850" w:hangingChars="59" w:hanging="142"/>
        <w:jc w:val="both"/>
      </w:pPr>
      <w:r w:rsidRPr="007576F0">
        <w:rPr>
          <w:rFonts w:ascii="標楷體" w:eastAsia="標楷體" w:hAnsi="標楷體" w:hint="eastAsia"/>
          <w:color w:val="000000"/>
          <w:szCs w:val="28"/>
        </w:rPr>
        <w:t>1.</w:t>
      </w:r>
      <w:r w:rsidRPr="007576F0">
        <w:rPr>
          <w:rFonts w:ascii="標楷體" w:eastAsia="標楷體" w:hAnsi="標楷體"/>
          <w:color w:val="000000"/>
          <w:szCs w:val="28"/>
        </w:rPr>
        <w:t>需經事前審查核准後使用，每次申請之療程以6個月為限，送審時需檢送影像資料，每6個月評估一次。</w:t>
      </w:r>
    </w:p>
    <w:p w14:paraId="650C99EC" w14:textId="77777777" w:rsidR="007576F0" w:rsidRPr="007576F0" w:rsidRDefault="007576F0" w:rsidP="007576F0">
      <w:pPr>
        <w:spacing w:line="300" w:lineRule="exact"/>
        <w:ind w:leftChars="295" w:left="850" w:hangingChars="59" w:hanging="142"/>
        <w:jc w:val="both"/>
        <w:rPr>
          <w:rFonts w:ascii="標楷體" w:eastAsia="標楷體" w:hAnsi="標楷體"/>
          <w:color w:val="000000"/>
          <w:szCs w:val="28"/>
        </w:rPr>
      </w:pPr>
      <w:r w:rsidRPr="007576F0">
        <w:rPr>
          <w:rFonts w:ascii="標楷體" w:eastAsia="標楷體" w:hAnsi="標楷體" w:hint="eastAsia"/>
          <w:color w:val="000000"/>
          <w:szCs w:val="28"/>
        </w:rPr>
        <w:t>2.</w:t>
      </w:r>
      <w:r w:rsidRPr="007576F0">
        <w:rPr>
          <w:rFonts w:ascii="標楷體" w:eastAsia="標楷體" w:hAnsi="標楷體"/>
          <w:color w:val="000000"/>
          <w:szCs w:val="28"/>
        </w:rPr>
        <w:t>出現疾病惡化或無法忍受之藥物不良反應，應立即停用。</w:t>
      </w:r>
    </w:p>
    <w:p w14:paraId="2F79E035" w14:textId="77777777" w:rsidR="007576F0" w:rsidRPr="007576F0" w:rsidRDefault="007576F0" w:rsidP="007576F0">
      <w:pPr>
        <w:spacing w:line="300" w:lineRule="exact"/>
        <w:ind w:left="644"/>
        <w:jc w:val="both"/>
      </w:pPr>
      <w:r w:rsidRPr="007576F0">
        <w:rPr>
          <w:rFonts w:ascii="標楷體" w:eastAsia="標楷體" w:hAnsi="標楷體" w:hint="eastAsia"/>
          <w:color w:val="000000"/>
          <w:szCs w:val="28"/>
        </w:rPr>
        <w:t>3</w:t>
      </w:r>
      <w:r w:rsidRPr="007576F0">
        <w:rPr>
          <w:rFonts w:ascii="標楷體" w:eastAsia="標楷體" w:hAnsi="標楷體"/>
          <w:color w:val="000000"/>
          <w:szCs w:val="28"/>
        </w:rPr>
        <w:t>.每日最大劑量為300毫克。</w:t>
      </w:r>
    </w:p>
    <w:p w14:paraId="719B1330" w14:textId="77777777" w:rsidR="007576F0" w:rsidRPr="007576F0" w:rsidRDefault="007576F0" w:rsidP="007576F0">
      <w:pPr>
        <w:spacing w:line="300" w:lineRule="exact"/>
        <w:ind w:left="283"/>
        <w:rPr>
          <w:rFonts w:ascii="標楷體" w:eastAsia="標楷體" w:hAnsi="標楷體"/>
          <w:color w:val="000000"/>
        </w:rPr>
      </w:pPr>
      <w:r w:rsidRPr="007576F0">
        <w:rPr>
          <w:rFonts w:ascii="標楷體" w:eastAsia="標楷體" w:hAnsi="標楷體"/>
          <w:color w:val="000000"/>
        </w:rPr>
        <w:t>9.87.Trastuzumab emtansine (如Kadcyla)：(110/2/1、113/8/1、114/2/1、114/5/1)</w:t>
      </w:r>
    </w:p>
    <w:p w14:paraId="653C12A5" w14:textId="77777777" w:rsidR="007576F0" w:rsidRPr="007576F0" w:rsidRDefault="007576F0" w:rsidP="007576F0">
      <w:pPr>
        <w:spacing w:line="300" w:lineRule="exact"/>
        <w:ind w:left="896" w:hanging="238"/>
        <w:rPr>
          <w:rFonts w:ascii="標楷體" w:eastAsia="標楷體" w:hAnsi="標楷體"/>
          <w:color w:val="000000"/>
        </w:rPr>
      </w:pPr>
      <w:r w:rsidRPr="007576F0">
        <w:rPr>
          <w:rFonts w:ascii="標楷體" w:eastAsia="標楷體" w:hAnsi="標楷體"/>
          <w:color w:val="000000"/>
        </w:rPr>
        <w:t>1.早期乳癌(113/8/1、114/2/1、114/5/1)</w:t>
      </w:r>
    </w:p>
    <w:p w14:paraId="4CA427AC" w14:textId="77777777" w:rsidR="007576F0" w:rsidRPr="007576F0" w:rsidRDefault="007576F0" w:rsidP="007576F0">
      <w:pPr>
        <w:spacing w:line="300" w:lineRule="exact"/>
        <w:ind w:left="1248" w:hanging="397"/>
        <w:rPr>
          <w:rFonts w:ascii="標楷體" w:eastAsia="標楷體" w:hAnsi="標楷體"/>
          <w:color w:val="000000"/>
        </w:rPr>
      </w:pPr>
      <w:r w:rsidRPr="007576F0">
        <w:rPr>
          <w:rFonts w:ascii="標楷體" w:eastAsia="標楷體" w:hAnsi="標楷體"/>
          <w:color w:val="000000"/>
        </w:rPr>
        <w:t>(1)使用於具HER2過度表現(IHC 3+或FISH+)之早期乳癌病人，曾接受過至少6個療程（每3週一療程，至少16</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）的化學治療（其中至少3個療程(9</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)的</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藥物）和至少3個療程(9</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)的trastuzumab術前輔助治療後，仍有殘留病灶的術後輔助治療，且需符合下列任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條件：</w:t>
      </w:r>
    </w:p>
    <w:p w14:paraId="5092C242"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t>I.具腋下淋巴結轉移但無遠處臟器轉移之早期乳癌病人。</w:t>
      </w:r>
    </w:p>
    <w:p w14:paraId="29333079"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t>Ⅱ.未發生腋下淋巴結轉移，但雌激素受體(ER)為陰性且腫瘤大於2公分之早期乳癌病人。</w:t>
      </w:r>
    </w:p>
    <w:p w14:paraId="2BD76B46" w14:textId="77777777" w:rsidR="007576F0" w:rsidRPr="007576F0" w:rsidRDefault="007576F0" w:rsidP="007576F0">
      <w:pPr>
        <w:spacing w:line="300" w:lineRule="exact"/>
        <w:ind w:left="1248" w:hanging="397"/>
        <w:rPr>
          <w:rFonts w:ascii="標楷體" w:eastAsia="標楷體" w:hAnsi="標楷體"/>
          <w:color w:val="000000"/>
        </w:rPr>
      </w:pPr>
      <w:r w:rsidRPr="007576F0">
        <w:rPr>
          <w:rFonts w:ascii="標楷體" w:eastAsia="標楷體" w:hAnsi="標楷體"/>
          <w:color w:val="000000"/>
        </w:rPr>
        <w:t>(2)經事前審查核准後使用，核准後每24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須檢附療效評估資料再次申請，若疾病有惡化情形即不應再行申請。每位病人使用本藥品以14個療程為上限。（113/8/1、114/5/1）</w:t>
      </w:r>
    </w:p>
    <w:p w14:paraId="023B23B1" w14:textId="77777777" w:rsidR="007576F0" w:rsidRPr="007576F0" w:rsidRDefault="007576F0" w:rsidP="007576F0">
      <w:pPr>
        <w:spacing w:line="300" w:lineRule="exact"/>
        <w:ind w:left="1089" w:hanging="238"/>
        <w:rPr>
          <w:rFonts w:ascii="標楷體" w:eastAsia="標楷體" w:hAnsi="標楷體"/>
          <w:color w:val="000000"/>
        </w:rPr>
      </w:pPr>
      <w:r w:rsidRPr="007576F0">
        <w:rPr>
          <w:rFonts w:ascii="標楷體" w:eastAsia="標楷體" w:hAnsi="標楷體"/>
          <w:color w:val="000000"/>
        </w:rPr>
        <w:t>(3)排除使用本藥品條件：</w:t>
      </w:r>
    </w:p>
    <w:p w14:paraId="31D4E6D0"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t>I.</w:t>
      </w:r>
      <w:proofErr w:type="gramStart"/>
      <w:r w:rsidRPr="007576F0">
        <w:rPr>
          <w:rFonts w:ascii="標楷體" w:eastAsia="標楷體" w:hAnsi="標楷體"/>
          <w:color w:val="000000"/>
        </w:rPr>
        <w:t>未於術後</w:t>
      </w:r>
      <w:proofErr w:type="gramEnd"/>
      <w:r w:rsidRPr="007576F0">
        <w:rPr>
          <w:rFonts w:ascii="標楷體" w:eastAsia="標楷體" w:hAnsi="標楷體"/>
          <w:color w:val="000000"/>
        </w:rPr>
        <w:t>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內開始治療或提出治療申請。</w:t>
      </w:r>
    </w:p>
    <w:p w14:paraId="4FA7852B"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t>Ⅱ.左心室射出分率少於45%或有症狀的心衰竭病人。</w:t>
      </w:r>
    </w:p>
    <w:p w14:paraId="68AC97AA"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t>Ⅲ.不得與其他抗HER2藥物</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w:t>
      </w:r>
    </w:p>
    <w:p w14:paraId="404334D1" w14:textId="77777777" w:rsidR="007576F0" w:rsidRPr="007576F0" w:rsidRDefault="007576F0" w:rsidP="007576F0">
      <w:pPr>
        <w:spacing w:line="300" w:lineRule="exact"/>
        <w:ind w:left="1248" w:hanging="397"/>
        <w:rPr>
          <w:rFonts w:ascii="標楷體" w:eastAsia="標楷體" w:hAnsi="標楷體"/>
          <w:color w:val="000000"/>
        </w:rPr>
      </w:pPr>
      <w:r w:rsidRPr="007576F0">
        <w:rPr>
          <w:rFonts w:ascii="標楷體" w:eastAsia="標楷體" w:hAnsi="標楷體"/>
          <w:color w:val="000000"/>
        </w:rPr>
        <w:t>(4)本藥品申請通過後，如轉換成trastuzumab或其他抗HER2藥物後不得再次申請本藥品，且本藥品與trastuzumab使用於早期乳癌手術前後的總療程合併計算，每位病人以全部18個療程為上限。</w:t>
      </w:r>
    </w:p>
    <w:p w14:paraId="6D4E0A84" w14:textId="77777777" w:rsidR="007576F0" w:rsidRPr="007576F0" w:rsidRDefault="007576F0" w:rsidP="007576F0">
      <w:pPr>
        <w:spacing w:line="300" w:lineRule="exact"/>
        <w:ind w:left="896" w:hanging="238"/>
        <w:rPr>
          <w:rFonts w:ascii="標楷體" w:eastAsia="標楷體" w:hAnsi="標楷體"/>
          <w:color w:val="000000"/>
        </w:rPr>
      </w:pPr>
      <w:r w:rsidRPr="007576F0">
        <w:rPr>
          <w:rFonts w:ascii="標楷體" w:eastAsia="標楷體" w:hAnsi="標楷體"/>
          <w:color w:val="000000"/>
        </w:rPr>
        <w:t>2.轉移性乳癌(110/2/1、113/8/1、114/2/1)</w:t>
      </w:r>
    </w:p>
    <w:p w14:paraId="65F66CED" w14:textId="77777777" w:rsidR="007576F0" w:rsidRPr="007576F0" w:rsidRDefault="007576F0" w:rsidP="007576F0">
      <w:pPr>
        <w:spacing w:line="300" w:lineRule="exact"/>
        <w:ind w:left="1089" w:hanging="238"/>
        <w:rPr>
          <w:rFonts w:ascii="標楷體" w:eastAsia="標楷體" w:hAnsi="標楷體"/>
          <w:color w:val="000000"/>
        </w:rPr>
      </w:pPr>
      <w:r w:rsidRPr="007576F0">
        <w:rPr>
          <w:rFonts w:ascii="標楷體" w:eastAsia="標楷體" w:hAnsi="標楷體"/>
          <w:color w:val="000000"/>
        </w:rPr>
        <w:t>(1)限單獨使用於先前未使用過本藥品且HER2過度表現(IHC3+或FISH+)之轉移性乳癌病人作為二線治療，並同時符合下列情形：</w:t>
      </w:r>
    </w:p>
    <w:p w14:paraId="39BDAD6B"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lastRenderedPageBreak/>
        <w:t>I.之前分別接受過trastuzumab與一種</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藥物治療，或其合併療法，或</w:t>
      </w:r>
      <w:proofErr w:type="spellStart"/>
      <w:r w:rsidRPr="007576F0">
        <w:rPr>
          <w:rFonts w:ascii="標楷體" w:eastAsia="標楷體" w:hAnsi="標楷體"/>
          <w:color w:val="000000"/>
        </w:rPr>
        <w:t>pertuzumab</w:t>
      </w:r>
      <w:proofErr w:type="spellEnd"/>
      <w:r w:rsidRPr="007576F0">
        <w:rPr>
          <w:rFonts w:ascii="標楷體" w:eastAsia="標楷體" w:hAnsi="標楷體"/>
          <w:color w:val="000000"/>
        </w:rPr>
        <w:t>與trastuzumab與一種</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藥物治療。</w:t>
      </w:r>
    </w:p>
    <w:p w14:paraId="3CB2BC3C"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t>Ⅱ.之前已經接受過轉移性癌症治療，或在輔助療法治療期間或完成治療後6個月內癌症復發。</w:t>
      </w:r>
    </w:p>
    <w:p w14:paraId="2FEC25E3" w14:textId="77777777" w:rsidR="007576F0" w:rsidRPr="007576F0" w:rsidRDefault="007576F0" w:rsidP="007576F0">
      <w:pPr>
        <w:spacing w:line="300" w:lineRule="exact"/>
        <w:ind w:left="1372" w:hanging="238"/>
        <w:rPr>
          <w:rFonts w:ascii="標楷體" w:eastAsia="標楷體" w:hAnsi="標楷體"/>
          <w:color w:val="000000"/>
        </w:rPr>
      </w:pPr>
      <w:r w:rsidRPr="007576F0">
        <w:rPr>
          <w:rFonts w:ascii="標楷體" w:eastAsia="標楷體" w:hAnsi="標楷體"/>
          <w:color w:val="000000"/>
        </w:rPr>
        <w:t>Ⅲ.合併有主要臟器(不包含骨及軟組織)轉移。</w:t>
      </w:r>
    </w:p>
    <w:p w14:paraId="11763203"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color w:val="000000"/>
        </w:rPr>
        <w:t>(2)經事前審查核准後使用，核准後每12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須檢附療效評估資料再次申請，若疾病有惡化情形即不應再行申請，每位病人至多給付10個月(13個療程為上限)。</w:t>
      </w:r>
    </w:p>
    <w:p w14:paraId="7E694792" w14:textId="77777777" w:rsidR="007576F0" w:rsidRPr="007576F0" w:rsidRDefault="007576F0" w:rsidP="007576F0">
      <w:pPr>
        <w:spacing w:line="300" w:lineRule="exact"/>
        <w:ind w:left="1276" w:hanging="425"/>
        <w:rPr>
          <w:rFonts w:ascii="標楷體" w:eastAsia="標楷體" w:hAnsi="標楷體"/>
          <w:color w:val="000000"/>
        </w:rPr>
      </w:pPr>
      <w:r w:rsidRPr="007576F0">
        <w:rPr>
          <w:rFonts w:ascii="標楷體" w:eastAsia="標楷體" w:hAnsi="標楷體"/>
          <w:color w:val="000000"/>
        </w:rPr>
        <w:t xml:space="preserve">(3)Trastuzumab emtansine、lapatinib和trastuzumab </w:t>
      </w:r>
      <w:proofErr w:type="spellStart"/>
      <w:r w:rsidRPr="007576F0">
        <w:rPr>
          <w:rFonts w:ascii="標楷體" w:eastAsia="標楷體" w:hAnsi="標楷體"/>
          <w:color w:val="000000"/>
        </w:rPr>
        <w:t>deruxtecan</w:t>
      </w:r>
      <w:proofErr w:type="spellEnd"/>
      <w:r w:rsidRPr="007576F0">
        <w:rPr>
          <w:rFonts w:ascii="標楷體" w:eastAsia="標楷體" w:hAnsi="標楷體"/>
          <w:color w:val="000000"/>
        </w:rPr>
        <w:t>僅能擇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給付，不得互換。(114/2/1)</w:t>
      </w:r>
    </w:p>
    <w:p w14:paraId="27EBABDE" w14:textId="77777777" w:rsidR="007576F0" w:rsidRPr="007576F0" w:rsidRDefault="007576F0" w:rsidP="007576F0">
      <w:pPr>
        <w:spacing w:line="300" w:lineRule="exact"/>
        <w:ind w:left="283"/>
        <w:rPr>
          <w:rFonts w:ascii="標楷體" w:eastAsia="標楷體" w:hAnsi="標楷體"/>
          <w:color w:val="000000"/>
        </w:rPr>
      </w:pPr>
      <w:r w:rsidRPr="007576F0">
        <w:rPr>
          <w:rFonts w:ascii="標楷體" w:eastAsia="標楷體" w:hAnsi="標楷體"/>
          <w:color w:val="000000"/>
        </w:rPr>
        <w:t>9.88.Ixabepilone (如</w:t>
      </w:r>
      <w:proofErr w:type="spellStart"/>
      <w:r w:rsidRPr="007576F0">
        <w:rPr>
          <w:rFonts w:ascii="標楷體" w:eastAsia="標楷體" w:hAnsi="標楷體"/>
          <w:color w:val="000000"/>
        </w:rPr>
        <w:t>Ixempra</w:t>
      </w:r>
      <w:proofErr w:type="spellEnd"/>
      <w:r w:rsidRPr="007576F0">
        <w:rPr>
          <w:rFonts w:ascii="標楷體" w:eastAsia="標楷體" w:hAnsi="標楷體"/>
          <w:color w:val="000000"/>
        </w:rPr>
        <w:t>)：(110/2/1)</w:t>
      </w:r>
    </w:p>
    <w:p w14:paraId="172D38FF" w14:textId="77777777" w:rsidR="007576F0" w:rsidRPr="007576F0" w:rsidRDefault="007576F0" w:rsidP="007576F0">
      <w:pPr>
        <w:spacing w:line="300" w:lineRule="exact"/>
        <w:ind w:left="924" w:hanging="240"/>
        <w:rPr>
          <w:rFonts w:ascii="標楷體" w:eastAsia="標楷體" w:hAnsi="標楷體"/>
          <w:color w:val="000000"/>
        </w:rPr>
      </w:pPr>
      <w:r w:rsidRPr="007576F0">
        <w:rPr>
          <w:rFonts w:ascii="標楷體" w:eastAsia="標楷體" w:hAnsi="標楷體"/>
          <w:color w:val="000000"/>
        </w:rPr>
        <w:t>1.限Ixabepilone合併capecitabine用於局部晚期或轉移性乳癌患者，需符合以下條件之</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w:t>
      </w:r>
    </w:p>
    <w:p w14:paraId="3CF03DD8" w14:textId="77777777" w:rsidR="007576F0" w:rsidRPr="007576F0" w:rsidRDefault="007576F0" w:rsidP="007576F0">
      <w:pPr>
        <w:spacing w:line="300" w:lineRule="exact"/>
        <w:ind w:left="991"/>
        <w:rPr>
          <w:rFonts w:ascii="標楷體" w:eastAsia="標楷體" w:hAnsi="標楷體"/>
          <w:color w:val="000000"/>
        </w:rPr>
      </w:pPr>
      <w:r w:rsidRPr="007576F0">
        <w:rPr>
          <w:rFonts w:ascii="標楷體" w:eastAsia="標楷體" w:hAnsi="標楷體"/>
          <w:color w:val="000000"/>
        </w:rPr>
        <w:t>(1)對</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有抗藥性且無法接受anthracycline治療者。</w:t>
      </w:r>
    </w:p>
    <w:p w14:paraId="67814B94" w14:textId="77777777" w:rsidR="007576F0" w:rsidRPr="007576F0" w:rsidRDefault="007576F0" w:rsidP="007576F0">
      <w:pPr>
        <w:spacing w:line="300" w:lineRule="exact"/>
        <w:ind w:left="991"/>
        <w:rPr>
          <w:rFonts w:ascii="標楷體" w:eastAsia="標楷體" w:hAnsi="標楷體"/>
          <w:color w:val="000000"/>
        </w:rPr>
      </w:pPr>
      <w:r w:rsidRPr="007576F0">
        <w:rPr>
          <w:rFonts w:ascii="標楷體" w:eastAsia="標楷體" w:hAnsi="標楷體"/>
          <w:color w:val="000000"/>
        </w:rPr>
        <w:t>(2)對</w:t>
      </w:r>
      <w:proofErr w:type="spellStart"/>
      <w:r w:rsidRPr="007576F0">
        <w:rPr>
          <w:rFonts w:ascii="標楷體" w:eastAsia="標楷體" w:hAnsi="標楷體"/>
          <w:color w:val="000000"/>
        </w:rPr>
        <w:t>taxane</w:t>
      </w:r>
      <w:proofErr w:type="spellEnd"/>
      <w:r w:rsidRPr="007576F0">
        <w:rPr>
          <w:rFonts w:ascii="標楷體" w:eastAsia="標楷體" w:hAnsi="標楷體"/>
          <w:color w:val="000000"/>
        </w:rPr>
        <w:t>及anthracycline治療無效者。</w:t>
      </w:r>
    </w:p>
    <w:p w14:paraId="663D4AE0" w14:textId="77777777" w:rsidR="007576F0" w:rsidRPr="007576F0" w:rsidRDefault="007576F0" w:rsidP="007576F0">
      <w:pPr>
        <w:spacing w:line="300" w:lineRule="exact"/>
        <w:ind w:left="684"/>
        <w:rPr>
          <w:rFonts w:ascii="標楷體" w:eastAsia="標楷體" w:hAnsi="標楷體"/>
          <w:color w:val="000000"/>
        </w:rPr>
      </w:pPr>
      <w:r w:rsidRPr="007576F0">
        <w:rPr>
          <w:rFonts w:ascii="標楷體" w:eastAsia="標楷體" w:hAnsi="標楷體"/>
          <w:color w:val="000000"/>
        </w:rPr>
        <w:t>2.每3個療程需進行療效評估，病歷應留存評估紀錄，無疾病惡化方可繼續使用。</w:t>
      </w:r>
    </w:p>
    <w:p w14:paraId="586E529C" w14:textId="77777777" w:rsidR="007576F0" w:rsidRPr="007576F0" w:rsidRDefault="007576F0" w:rsidP="007576F0">
      <w:pPr>
        <w:spacing w:line="300" w:lineRule="exact"/>
        <w:ind w:left="924" w:hanging="240"/>
        <w:rPr>
          <w:rFonts w:ascii="標楷體" w:eastAsia="標楷體" w:hAnsi="標楷體"/>
          <w:color w:val="000000"/>
        </w:rPr>
      </w:pPr>
      <w:r w:rsidRPr="007576F0">
        <w:rPr>
          <w:rFonts w:ascii="標楷體" w:eastAsia="標楷體" w:hAnsi="標楷體"/>
          <w:color w:val="000000"/>
        </w:rPr>
        <w:t>3.Ixabepilone與</w:t>
      </w:r>
      <w:proofErr w:type="spellStart"/>
      <w:r w:rsidRPr="007576F0">
        <w:rPr>
          <w:rFonts w:ascii="標楷體" w:eastAsia="標楷體" w:hAnsi="標楷體"/>
          <w:color w:val="000000"/>
        </w:rPr>
        <w:t>eribulin</w:t>
      </w:r>
      <w:proofErr w:type="spellEnd"/>
      <w:r w:rsidRPr="007576F0">
        <w:rPr>
          <w:rFonts w:ascii="標楷體" w:eastAsia="標楷體" w:hAnsi="標楷體"/>
          <w:color w:val="000000"/>
        </w:rPr>
        <w:t>用於治療上述之轉移性乳癌患者時，僅得擇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使用，且不得互換(ixabepilone限用於未曾使用過</w:t>
      </w:r>
      <w:proofErr w:type="spellStart"/>
      <w:r w:rsidRPr="007576F0">
        <w:rPr>
          <w:rFonts w:ascii="標楷體" w:eastAsia="標楷體" w:hAnsi="標楷體"/>
          <w:color w:val="000000"/>
        </w:rPr>
        <w:t>eribulin</w:t>
      </w:r>
      <w:proofErr w:type="spellEnd"/>
      <w:r w:rsidRPr="007576F0">
        <w:rPr>
          <w:rFonts w:ascii="標楷體" w:eastAsia="標楷體" w:hAnsi="標楷體"/>
          <w:color w:val="000000"/>
        </w:rPr>
        <w:t>之病患)。</w:t>
      </w:r>
    </w:p>
    <w:p w14:paraId="1B63FF58" w14:textId="77777777" w:rsidR="007576F0" w:rsidRPr="007576F0" w:rsidRDefault="007576F0" w:rsidP="007576F0">
      <w:pPr>
        <w:spacing w:line="300" w:lineRule="exact"/>
        <w:ind w:left="284"/>
      </w:pPr>
      <w:r w:rsidRPr="007576F0">
        <w:rPr>
          <w:rFonts w:ascii="標楷體" w:eastAsia="標楷體" w:hAnsi="標楷體" w:cs="BiauKai"/>
          <w:color w:val="000000"/>
          <w:szCs w:val="24"/>
        </w:rPr>
        <w:t>9.89.(刪除)：(110/3/1、111/6/1、111/8/1</w:t>
      </w:r>
      <w:r w:rsidRPr="007576F0">
        <w:rPr>
          <w:rFonts w:ascii="標楷體" w:eastAsia="標楷體" w:hAnsi="標楷體"/>
          <w:color w:val="000000"/>
          <w:szCs w:val="24"/>
        </w:rPr>
        <w:t>、112</w:t>
      </w:r>
      <w:r w:rsidRPr="007576F0">
        <w:rPr>
          <w:rFonts w:ascii="標楷體" w:eastAsia="標楷體" w:hAnsi="標楷體" w:cs="BiauKai"/>
          <w:color w:val="000000"/>
          <w:szCs w:val="24"/>
        </w:rPr>
        <w:t>/1/1)</w:t>
      </w:r>
    </w:p>
    <w:p w14:paraId="6647902F" w14:textId="77777777" w:rsidR="007576F0" w:rsidRPr="007576F0" w:rsidRDefault="007576F0" w:rsidP="007576F0">
      <w:pPr>
        <w:spacing w:line="300" w:lineRule="exact"/>
        <w:ind w:leftChars="119" w:left="425" w:hangingChars="58" w:hanging="139"/>
      </w:pPr>
      <w:r w:rsidRPr="007576F0">
        <w:rPr>
          <w:rFonts w:ascii="標楷體" w:eastAsia="標楷體" w:hAnsi="標楷體"/>
          <w:color w:val="000000"/>
        </w:rPr>
        <w:t>9.90.</w:t>
      </w:r>
      <w:r w:rsidRPr="007576F0">
        <w:t xml:space="preserve"> </w:t>
      </w:r>
      <w:r w:rsidRPr="007576F0">
        <w:rPr>
          <w:rFonts w:ascii="標楷體" w:eastAsia="標楷體" w:hAnsi="標楷體"/>
          <w:color w:val="000000"/>
        </w:rPr>
        <w:t>Apalutamide (如</w:t>
      </w:r>
      <w:proofErr w:type="spellStart"/>
      <w:r w:rsidRPr="007576F0">
        <w:rPr>
          <w:rFonts w:ascii="標楷體" w:eastAsia="標楷體" w:hAnsi="標楷體"/>
          <w:color w:val="000000"/>
        </w:rPr>
        <w:t>Erleada</w:t>
      </w:r>
      <w:proofErr w:type="spellEnd"/>
      <w:r w:rsidRPr="007576F0">
        <w:rPr>
          <w:rFonts w:ascii="標楷體" w:eastAsia="標楷體" w:hAnsi="標楷體"/>
          <w:color w:val="000000"/>
        </w:rPr>
        <w:t>)：(110/3/1、110/11/1、111/3/1、112/9/1、113/8/1、114/6/1)</w:t>
      </w:r>
    </w:p>
    <w:p w14:paraId="62734446" w14:textId="77777777" w:rsidR="007576F0" w:rsidRPr="007576F0" w:rsidRDefault="007576F0" w:rsidP="007576F0">
      <w:pPr>
        <w:tabs>
          <w:tab w:val="left" w:leader="underscore" w:pos="567"/>
        </w:tabs>
        <w:snapToGrid w:val="0"/>
        <w:spacing w:line="300" w:lineRule="exact"/>
        <w:ind w:left="851" w:hanging="280"/>
        <w:rPr>
          <w:rFonts w:ascii="標楷體" w:eastAsia="標楷體" w:hAnsi="標楷體"/>
          <w:szCs w:val="24"/>
        </w:rPr>
      </w:pPr>
      <w:r w:rsidRPr="007576F0">
        <w:rPr>
          <w:rFonts w:ascii="標楷體" w:eastAsia="標楷體" w:hAnsi="標楷體"/>
          <w:szCs w:val="24"/>
        </w:rPr>
        <w:t>1.治療高風險非</w:t>
      </w:r>
      <w:proofErr w:type="gramStart"/>
      <w:r w:rsidRPr="007576F0">
        <w:rPr>
          <w:rFonts w:ascii="標楷體" w:eastAsia="標楷體" w:hAnsi="標楷體"/>
          <w:szCs w:val="24"/>
        </w:rPr>
        <w:t>轉移性去勢</w:t>
      </w:r>
      <w:proofErr w:type="gramEnd"/>
      <w:r w:rsidRPr="007576F0">
        <w:rPr>
          <w:rFonts w:ascii="標楷體" w:eastAsia="標楷體" w:hAnsi="標楷體"/>
          <w:szCs w:val="24"/>
        </w:rPr>
        <w:t xml:space="preserve">抗性前列腺癌(high risk </w:t>
      </w:r>
      <w:proofErr w:type="spellStart"/>
      <w:r w:rsidRPr="007576F0">
        <w:rPr>
          <w:rFonts w:ascii="標楷體" w:eastAsia="標楷體" w:hAnsi="標楷體"/>
          <w:szCs w:val="24"/>
        </w:rPr>
        <w:t>nmCRPC</w:t>
      </w:r>
      <w:proofErr w:type="spellEnd"/>
      <w:r w:rsidRPr="007576F0">
        <w:rPr>
          <w:rFonts w:ascii="標楷體" w:eastAsia="標楷體" w:hAnsi="標楷體"/>
          <w:szCs w:val="24"/>
        </w:rPr>
        <w:t>)的成年男性。</w:t>
      </w:r>
    </w:p>
    <w:p w14:paraId="7B0F0C2A"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szCs w:val="24"/>
        </w:rPr>
      </w:pPr>
      <w:r w:rsidRPr="007576F0">
        <w:rPr>
          <w:rFonts w:ascii="標楷體" w:eastAsia="標楷體" w:hAnsi="標楷體"/>
          <w:szCs w:val="24"/>
        </w:rPr>
        <w:t>(1)須經事前審查核准後使用。</w:t>
      </w:r>
    </w:p>
    <w:p w14:paraId="0B52A631"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szCs w:val="24"/>
        </w:rPr>
      </w:pPr>
      <w:r w:rsidRPr="007576F0">
        <w:rPr>
          <w:rFonts w:ascii="標楷體" w:eastAsia="標楷體" w:hAnsi="標楷體"/>
          <w:szCs w:val="24"/>
        </w:rPr>
        <w:t>(2)初次申請時需檢附病理報告、使用雄性素去除療法紀錄，系列PSA和</w:t>
      </w:r>
      <w:proofErr w:type="gramStart"/>
      <w:r w:rsidRPr="007576F0">
        <w:rPr>
          <w:rFonts w:ascii="標楷體" w:eastAsia="標楷體" w:hAnsi="標楷體"/>
          <w:szCs w:val="24"/>
        </w:rPr>
        <w:t>睪固酮</w:t>
      </w:r>
      <w:proofErr w:type="gramEnd"/>
      <w:r w:rsidRPr="007576F0">
        <w:rPr>
          <w:rFonts w:ascii="標楷體" w:eastAsia="標楷體" w:hAnsi="標楷體"/>
          <w:szCs w:val="24"/>
        </w:rPr>
        <w:t>數據，三個月內影像報告證明無遠端轉移。</w:t>
      </w:r>
    </w:p>
    <w:p w14:paraId="7CBE4DE2"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szCs w:val="24"/>
        </w:rPr>
      </w:pPr>
      <w:r w:rsidRPr="007576F0">
        <w:rPr>
          <w:rFonts w:ascii="標楷體" w:eastAsia="標楷體" w:hAnsi="標楷體"/>
          <w:szCs w:val="24"/>
        </w:rPr>
        <w:t>(3)ECOG分數須</w:t>
      </w:r>
      <w:proofErr w:type="gramStart"/>
      <w:r w:rsidRPr="007576F0">
        <w:rPr>
          <w:rFonts w:ascii="標楷體" w:eastAsia="標楷體" w:hAnsi="標楷體"/>
          <w:szCs w:val="24"/>
        </w:rPr>
        <w:t>≦</w:t>
      </w:r>
      <w:proofErr w:type="gramEnd"/>
      <w:r w:rsidRPr="007576F0">
        <w:rPr>
          <w:rFonts w:ascii="標楷體" w:eastAsia="標楷體" w:hAnsi="標楷體"/>
          <w:szCs w:val="24"/>
        </w:rPr>
        <w:t>1。</w:t>
      </w:r>
    </w:p>
    <w:p w14:paraId="2BBEDE20"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szCs w:val="24"/>
        </w:rPr>
      </w:pPr>
      <w:r w:rsidRPr="007576F0">
        <w:rPr>
          <w:rFonts w:ascii="標楷體" w:eastAsia="標楷體" w:hAnsi="標楷體"/>
          <w:szCs w:val="24"/>
        </w:rPr>
        <w:t>(4)PSA doubling time</w:t>
      </w:r>
      <w:proofErr w:type="gramStart"/>
      <w:r w:rsidRPr="007576F0">
        <w:rPr>
          <w:rFonts w:ascii="標楷體" w:eastAsia="標楷體" w:hAnsi="標楷體"/>
          <w:szCs w:val="24"/>
        </w:rPr>
        <w:t>≦</w:t>
      </w:r>
      <w:proofErr w:type="gramEnd"/>
      <w:r w:rsidRPr="007576F0">
        <w:rPr>
          <w:rFonts w:ascii="標楷體" w:eastAsia="標楷體" w:hAnsi="標楷體"/>
          <w:szCs w:val="24"/>
        </w:rPr>
        <w:t>10個月，PSA倍增之時間，應依線性回歸模型計算，且其參數取得需基於下列原則：（112/9/1）</w:t>
      </w:r>
    </w:p>
    <w:p w14:paraId="545C3163" w14:textId="77777777" w:rsidR="007576F0" w:rsidRPr="007576F0" w:rsidRDefault="007576F0" w:rsidP="007576F0">
      <w:pPr>
        <w:tabs>
          <w:tab w:val="left" w:pos="1701"/>
        </w:tabs>
        <w:snapToGrid w:val="0"/>
        <w:spacing w:line="300" w:lineRule="exact"/>
        <w:ind w:left="1560" w:hanging="280"/>
        <w:rPr>
          <w:rFonts w:ascii="標楷體" w:eastAsia="標楷體" w:hAnsi="標楷體"/>
          <w:color w:val="000000"/>
          <w:szCs w:val="24"/>
        </w:rPr>
      </w:pPr>
      <w:r w:rsidRPr="007576F0">
        <w:rPr>
          <w:rFonts w:ascii="標楷體" w:eastAsia="標楷體" w:hAnsi="標楷體"/>
          <w:color w:val="000000"/>
          <w:szCs w:val="24"/>
        </w:rPr>
        <w:t>Ⅰ.至少三個連續PSA測量值，且各測量值皆</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0.2 ng/mL（最高的PSA值必須&gt;1.0ng/ml）。</w:t>
      </w:r>
    </w:p>
    <w:p w14:paraId="6FDF92E8" w14:textId="77777777" w:rsidR="007576F0" w:rsidRPr="007576F0" w:rsidRDefault="007576F0" w:rsidP="007576F0">
      <w:pPr>
        <w:tabs>
          <w:tab w:val="left" w:pos="1701"/>
        </w:tabs>
        <w:snapToGrid w:val="0"/>
        <w:spacing w:line="300" w:lineRule="exact"/>
        <w:ind w:left="1560" w:hanging="280"/>
        <w:rPr>
          <w:rFonts w:ascii="標楷體" w:eastAsia="標楷體" w:hAnsi="標楷體"/>
          <w:color w:val="000000"/>
          <w:szCs w:val="24"/>
        </w:rPr>
      </w:pPr>
      <w:r w:rsidRPr="007576F0">
        <w:rPr>
          <w:rFonts w:ascii="標楷體" w:eastAsia="標楷體" w:hAnsi="標楷體"/>
          <w:color w:val="000000"/>
          <w:szCs w:val="24"/>
        </w:rPr>
        <w:t>Ⅱ.應包含先前ADT治療期間的測量值，且最少</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測量值為最近3個月內測得之PSA數值。</w:t>
      </w:r>
    </w:p>
    <w:p w14:paraId="6F13B65B" w14:textId="77777777" w:rsidR="007576F0" w:rsidRPr="007576F0" w:rsidRDefault="007576F0" w:rsidP="007576F0">
      <w:pPr>
        <w:tabs>
          <w:tab w:val="left" w:pos="1701"/>
        </w:tabs>
        <w:snapToGrid w:val="0"/>
        <w:spacing w:line="300" w:lineRule="exact"/>
        <w:ind w:left="1560" w:hanging="280"/>
        <w:rPr>
          <w:rFonts w:ascii="標楷體" w:eastAsia="標楷體" w:hAnsi="標楷體"/>
          <w:color w:val="000000"/>
          <w:szCs w:val="24"/>
        </w:rPr>
      </w:pPr>
      <w:r w:rsidRPr="007576F0">
        <w:rPr>
          <w:rFonts w:ascii="標楷體" w:eastAsia="標楷體" w:hAnsi="標楷體"/>
          <w:color w:val="000000"/>
          <w:szCs w:val="24"/>
        </w:rPr>
        <w:t>Ⅲ.第一個和最後一個PSA測量值間隔需</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8</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，但</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12個月。</w:t>
      </w:r>
    </w:p>
    <w:p w14:paraId="6247A66F"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szCs w:val="24"/>
        </w:rPr>
      </w:pPr>
      <w:r w:rsidRPr="007576F0">
        <w:rPr>
          <w:rFonts w:ascii="標楷體" w:eastAsia="標楷體" w:hAnsi="標楷體"/>
          <w:szCs w:val="24"/>
        </w:rPr>
        <w:t xml:space="preserve">(5)每3個月需再次申請，申請之療程以3個月為限。再次申請時，有PSA progression者，需檢附影像學報告，若影像學報告證實轉移，則需停藥;無PSA progression者，則每6個月需檢附影像學報告，若影像學報告證實轉移，則需停藥。（112/9/1） </w:t>
      </w:r>
    </w:p>
    <w:p w14:paraId="71C8E762" w14:textId="77777777" w:rsidR="007576F0" w:rsidRPr="007576F0" w:rsidRDefault="007576F0" w:rsidP="007576F0">
      <w:pPr>
        <w:tabs>
          <w:tab w:val="left" w:leader="underscore" w:pos="567"/>
        </w:tabs>
        <w:snapToGrid w:val="0"/>
        <w:spacing w:line="300" w:lineRule="exact"/>
        <w:ind w:left="1200"/>
        <w:rPr>
          <w:rFonts w:ascii="標楷體" w:eastAsia="標楷體" w:hAnsi="標楷體"/>
          <w:szCs w:val="24"/>
        </w:rPr>
      </w:pPr>
      <w:proofErr w:type="gramStart"/>
      <w:r w:rsidRPr="007576F0">
        <w:rPr>
          <w:rFonts w:ascii="標楷體" w:eastAsia="標楷體" w:hAnsi="標楷體"/>
          <w:szCs w:val="24"/>
        </w:rPr>
        <w:t>註</w:t>
      </w:r>
      <w:proofErr w:type="gramEnd"/>
      <w:r w:rsidRPr="007576F0">
        <w:rPr>
          <w:rFonts w:ascii="標楷體" w:eastAsia="標楷體" w:hAnsi="標楷體"/>
          <w:szCs w:val="24"/>
        </w:rPr>
        <w:t>：</w:t>
      </w:r>
    </w:p>
    <w:p w14:paraId="43618C7E" w14:textId="77777777" w:rsidR="007576F0" w:rsidRPr="007576F0" w:rsidRDefault="007576F0" w:rsidP="007576F0">
      <w:pPr>
        <w:tabs>
          <w:tab w:val="left" w:leader="underscore" w:pos="567"/>
        </w:tabs>
        <w:snapToGrid w:val="0"/>
        <w:spacing w:line="300" w:lineRule="exact"/>
        <w:ind w:left="1200"/>
      </w:pPr>
      <w:r w:rsidRPr="007576F0">
        <w:rPr>
          <w:rFonts w:ascii="標楷體" w:eastAsia="標楷體" w:hAnsi="標楷體"/>
          <w:szCs w:val="24"/>
        </w:rPr>
        <w:t>PSA progression 定義為:PSA下降達最低值(nadir)後，出現 PSA值上升較 nadir</w:t>
      </w:r>
      <w:proofErr w:type="gramStart"/>
      <w:r w:rsidRPr="007576F0">
        <w:rPr>
          <w:rFonts w:ascii="標楷體" w:eastAsia="標楷體" w:hAnsi="標楷體"/>
          <w:szCs w:val="24"/>
        </w:rPr>
        <w:t>≧</w:t>
      </w:r>
      <w:proofErr w:type="gramEnd"/>
      <w:r w:rsidRPr="007576F0">
        <w:rPr>
          <w:rFonts w:ascii="標楷體" w:eastAsia="標楷體" w:hAnsi="標楷體"/>
          <w:szCs w:val="24"/>
        </w:rPr>
        <w:t>25%，且PSA</w:t>
      </w:r>
      <w:proofErr w:type="gramStart"/>
      <w:r w:rsidRPr="007576F0">
        <w:rPr>
          <w:rFonts w:ascii="標楷體" w:eastAsia="標楷體" w:hAnsi="標楷體"/>
          <w:szCs w:val="24"/>
        </w:rPr>
        <w:t>≧</w:t>
      </w:r>
      <w:proofErr w:type="gramEnd"/>
      <w:r w:rsidRPr="007576F0">
        <w:rPr>
          <w:rFonts w:ascii="標楷體" w:eastAsia="標楷體" w:hAnsi="標楷體"/>
          <w:szCs w:val="24"/>
        </w:rPr>
        <w:t>2 ng/mL，並於至少3</w:t>
      </w:r>
      <w:proofErr w:type="gramStart"/>
      <w:r w:rsidRPr="007576F0">
        <w:rPr>
          <w:rFonts w:ascii="標楷體" w:eastAsia="標楷體" w:hAnsi="標楷體"/>
          <w:szCs w:val="24"/>
        </w:rPr>
        <w:t>週</w:t>
      </w:r>
      <w:proofErr w:type="gramEnd"/>
      <w:r w:rsidRPr="007576F0">
        <w:rPr>
          <w:rFonts w:ascii="標楷體" w:eastAsia="標楷體" w:hAnsi="標楷體"/>
          <w:szCs w:val="24"/>
        </w:rPr>
        <w:t>後，再次抽血確認PSA值有上升趨勢。</w:t>
      </w:r>
    </w:p>
    <w:p w14:paraId="10579B36" w14:textId="77777777" w:rsidR="007576F0" w:rsidRPr="007576F0" w:rsidRDefault="007576F0" w:rsidP="007576F0">
      <w:pPr>
        <w:tabs>
          <w:tab w:val="left" w:pos="851"/>
        </w:tabs>
        <w:snapToGrid w:val="0"/>
        <w:spacing w:line="300" w:lineRule="exact"/>
        <w:ind w:left="851" w:hanging="280"/>
      </w:pPr>
      <w:r w:rsidRPr="007576F0">
        <w:rPr>
          <w:rFonts w:ascii="標楷體" w:eastAsia="標楷體" w:hAnsi="標楷體"/>
          <w:szCs w:val="24"/>
        </w:rPr>
        <w:t>2.治療高風險轉移性的去勢敏感性前列腺癌(</w:t>
      </w:r>
      <w:proofErr w:type="spellStart"/>
      <w:r w:rsidRPr="007576F0">
        <w:rPr>
          <w:rFonts w:ascii="標楷體" w:eastAsia="標楷體" w:hAnsi="標楷體"/>
          <w:szCs w:val="24"/>
        </w:rPr>
        <w:t>mCSPC</w:t>
      </w:r>
      <w:proofErr w:type="spellEnd"/>
      <w:r w:rsidRPr="007576F0">
        <w:rPr>
          <w:rFonts w:ascii="標楷體" w:eastAsia="標楷體" w:hAnsi="標楷體"/>
          <w:szCs w:val="24"/>
        </w:rPr>
        <w:t>)，總療程以36個月為上限。（110/3/1</w:t>
      </w:r>
      <w:r w:rsidRPr="007576F0">
        <w:rPr>
          <w:rFonts w:ascii="標楷體" w:eastAsia="標楷體" w:hAnsi="標楷體" w:cs="BiauKai"/>
          <w:color w:val="000000"/>
          <w:szCs w:val="24"/>
        </w:rPr>
        <w:t>、</w:t>
      </w:r>
      <w:r w:rsidRPr="007576F0">
        <w:rPr>
          <w:rFonts w:ascii="標楷體" w:eastAsia="標楷體" w:hAnsi="標楷體"/>
          <w:szCs w:val="24"/>
        </w:rPr>
        <w:t>111</w:t>
      </w:r>
      <w:r w:rsidRPr="007576F0">
        <w:rPr>
          <w:rFonts w:ascii="標楷體" w:eastAsia="標楷體" w:hAnsi="標楷體"/>
          <w:color w:val="000000"/>
          <w:szCs w:val="24"/>
        </w:rPr>
        <w:t>/3/1、113/8/1</w:t>
      </w:r>
      <w:r w:rsidRPr="007576F0">
        <w:rPr>
          <w:rFonts w:ascii="標楷體" w:eastAsia="標楷體" w:hAnsi="標楷體"/>
          <w:szCs w:val="24"/>
        </w:rPr>
        <w:t>）</w:t>
      </w:r>
    </w:p>
    <w:p w14:paraId="0BEA2D81"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szCs w:val="24"/>
        </w:rPr>
      </w:pPr>
      <w:r w:rsidRPr="007576F0">
        <w:rPr>
          <w:rFonts w:ascii="標楷體" w:eastAsia="標楷體" w:hAnsi="標楷體"/>
          <w:szCs w:val="24"/>
        </w:rPr>
        <w:t>(1)須經事前審查核准後使用。</w:t>
      </w:r>
    </w:p>
    <w:p w14:paraId="31E05AE5" w14:textId="77777777" w:rsidR="007576F0" w:rsidRPr="007576F0" w:rsidRDefault="007576F0" w:rsidP="007576F0">
      <w:pPr>
        <w:tabs>
          <w:tab w:val="left" w:leader="underscore" w:pos="567"/>
        </w:tabs>
        <w:snapToGrid w:val="0"/>
        <w:spacing w:line="300" w:lineRule="exact"/>
        <w:ind w:left="1418" w:hanging="420"/>
      </w:pPr>
      <w:r w:rsidRPr="007576F0">
        <w:rPr>
          <w:rFonts w:ascii="標楷體" w:eastAsia="標楷體" w:hAnsi="標楷體"/>
          <w:szCs w:val="24"/>
        </w:rPr>
        <w:t>(2)每3個月需再次申請，再申請時若</w:t>
      </w:r>
      <w:r w:rsidRPr="007576F0">
        <w:rPr>
          <w:rFonts w:ascii="標楷體" w:eastAsia="標楷體" w:hAnsi="標楷體"/>
          <w:color w:val="000000"/>
          <w:szCs w:val="24"/>
        </w:rPr>
        <w:t>PSA值下降未超過治療前的50%以上，則需停藥。</w:t>
      </w:r>
    </w:p>
    <w:p w14:paraId="070BE367"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color w:val="000000"/>
          <w:szCs w:val="24"/>
        </w:rPr>
      </w:pPr>
      <w:r w:rsidRPr="007576F0">
        <w:rPr>
          <w:rFonts w:ascii="標楷體" w:eastAsia="標楷體" w:hAnsi="標楷體"/>
          <w:color w:val="000000"/>
          <w:szCs w:val="24"/>
        </w:rPr>
        <w:t>(3)下降達</w:t>
      </w:r>
      <w:proofErr w:type="gramStart"/>
      <w:r w:rsidRPr="007576F0">
        <w:rPr>
          <w:rFonts w:ascii="標楷體" w:eastAsia="標楷體" w:hAnsi="標楷體"/>
          <w:color w:val="000000"/>
          <w:szCs w:val="24"/>
        </w:rPr>
        <w:t>最低值後之</w:t>
      </w:r>
      <w:proofErr w:type="gramEnd"/>
      <w:r w:rsidRPr="007576F0">
        <w:rPr>
          <w:rFonts w:ascii="標楷體" w:eastAsia="標楷體" w:hAnsi="標楷體"/>
          <w:color w:val="000000"/>
          <w:szCs w:val="24"/>
        </w:rPr>
        <w:t>持續追蹤出現PSA較最低值上升50%以上且PSA</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2ng/mL，則需停藥，但影像學證據尚無疾病進展者，可以繼續使用。</w:t>
      </w:r>
    </w:p>
    <w:p w14:paraId="6E1FA295" w14:textId="77777777" w:rsidR="007576F0" w:rsidRPr="007576F0" w:rsidRDefault="007576F0" w:rsidP="007576F0">
      <w:pPr>
        <w:tabs>
          <w:tab w:val="left" w:leader="underscore" w:pos="567"/>
        </w:tabs>
        <w:snapToGrid w:val="0"/>
        <w:spacing w:line="300" w:lineRule="exact"/>
        <w:ind w:left="1418" w:hanging="420"/>
        <w:rPr>
          <w:rFonts w:ascii="標楷體" w:eastAsia="標楷體" w:hAnsi="標楷體"/>
          <w:color w:val="000000"/>
          <w:szCs w:val="24"/>
        </w:rPr>
      </w:pPr>
      <w:r w:rsidRPr="007576F0">
        <w:rPr>
          <w:rFonts w:ascii="標楷體" w:eastAsia="標楷體" w:hAnsi="標楷體"/>
          <w:color w:val="000000"/>
          <w:szCs w:val="24"/>
        </w:rPr>
        <w:t>(4)前述高風險需符合下列三項條件中至少兩項：（111/3/1、113/8/1）</w:t>
      </w:r>
    </w:p>
    <w:p w14:paraId="4EAD28DC" w14:textId="77777777" w:rsidR="007576F0" w:rsidRPr="007576F0" w:rsidRDefault="007576F0" w:rsidP="007576F0">
      <w:pPr>
        <w:tabs>
          <w:tab w:val="left" w:pos="945"/>
        </w:tabs>
        <w:snapToGrid w:val="0"/>
        <w:spacing w:line="300" w:lineRule="exact"/>
        <w:ind w:left="1843" w:hanging="420"/>
      </w:pPr>
      <w:r w:rsidRPr="007576F0">
        <w:rPr>
          <w:rFonts w:ascii="標楷體" w:eastAsia="標楷體" w:hAnsi="標楷體"/>
          <w:color w:val="000000"/>
          <w:szCs w:val="24"/>
        </w:rPr>
        <w:lastRenderedPageBreak/>
        <w:t>Ⅰ.葛里森分數(Gleason score)</w:t>
      </w:r>
      <w:proofErr w:type="gramStart"/>
      <w:r w:rsidRPr="007576F0">
        <w:rPr>
          <w:rFonts w:ascii="標楷體" w:eastAsia="標楷體" w:hAnsi="標楷體" w:cs="新細明體"/>
          <w:color w:val="000000"/>
          <w:szCs w:val="24"/>
        </w:rPr>
        <w:t>≧</w:t>
      </w:r>
      <w:proofErr w:type="gramEnd"/>
      <w:r w:rsidRPr="007576F0">
        <w:rPr>
          <w:rFonts w:ascii="標楷體" w:eastAsia="標楷體" w:hAnsi="標楷體"/>
          <w:color w:val="000000"/>
          <w:szCs w:val="24"/>
        </w:rPr>
        <w:t>8。</w:t>
      </w:r>
    </w:p>
    <w:p w14:paraId="64056E24" w14:textId="77777777" w:rsidR="007576F0" w:rsidRPr="007576F0" w:rsidRDefault="007576F0" w:rsidP="007576F0">
      <w:pPr>
        <w:tabs>
          <w:tab w:val="left" w:pos="945"/>
        </w:tabs>
        <w:snapToGrid w:val="0"/>
        <w:spacing w:line="300" w:lineRule="exact"/>
        <w:ind w:left="1843" w:hanging="420"/>
      </w:pPr>
      <w:r w:rsidRPr="007576F0">
        <w:rPr>
          <w:rFonts w:ascii="標楷體" w:eastAsia="標楷體" w:hAnsi="標楷體"/>
          <w:color w:val="000000"/>
          <w:szCs w:val="24"/>
        </w:rPr>
        <w:t>Ⅱ.</w:t>
      </w:r>
      <w:r w:rsidRPr="007576F0">
        <w:t xml:space="preserve"> </w:t>
      </w:r>
      <w:r w:rsidRPr="007576F0">
        <w:rPr>
          <w:rFonts w:ascii="標楷體" w:eastAsia="標楷體" w:hAnsi="標楷體"/>
          <w:color w:val="000000"/>
          <w:szCs w:val="24"/>
        </w:rPr>
        <w:t>骨骼掃描出現三個(含)以上病灶且至少其中一處以上為非脊柱</w:t>
      </w:r>
      <w:proofErr w:type="gramStart"/>
      <w:r w:rsidRPr="007576F0">
        <w:rPr>
          <w:rFonts w:ascii="標楷體" w:eastAsia="標楷體" w:hAnsi="標楷體"/>
          <w:color w:val="000000"/>
          <w:szCs w:val="24"/>
        </w:rPr>
        <w:t>及非骨盆腔</w:t>
      </w:r>
      <w:proofErr w:type="gramEnd"/>
      <w:r w:rsidRPr="007576F0">
        <w:rPr>
          <w:rFonts w:ascii="標楷體" w:eastAsia="標楷體" w:hAnsi="標楷體"/>
          <w:color w:val="000000"/>
          <w:szCs w:val="24"/>
        </w:rPr>
        <w:t>轉移。（111/3/1、113/8/1）</w:t>
      </w:r>
    </w:p>
    <w:p w14:paraId="3F5F3C56" w14:textId="77777777" w:rsidR="007576F0" w:rsidRPr="007576F0" w:rsidRDefault="007576F0" w:rsidP="007576F0">
      <w:pPr>
        <w:tabs>
          <w:tab w:val="left" w:pos="945"/>
        </w:tabs>
        <w:snapToGrid w:val="0"/>
        <w:spacing w:line="300" w:lineRule="exact"/>
        <w:ind w:left="1843" w:hanging="420"/>
        <w:rPr>
          <w:rFonts w:ascii="標楷體" w:eastAsia="標楷體" w:hAnsi="標楷體"/>
          <w:color w:val="000000"/>
          <w:szCs w:val="24"/>
        </w:rPr>
      </w:pPr>
      <w:r w:rsidRPr="007576F0">
        <w:rPr>
          <w:rFonts w:ascii="標楷體" w:eastAsia="標楷體" w:hAnsi="標楷體"/>
          <w:color w:val="000000"/>
          <w:szCs w:val="24"/>
        </w:rPr>
        <w:t>Ⅲ.出現內臟轉移。</w:t>
      </w:r>
    </w:p>
    <w:p w14:paraId="439A803D" w14:textId="77777777" w:rsidR="007576F0" w:rsidRPr="007576F0" w:rsidRDefault="007576F0" w:rsidP="007576F0">
      <w:pPr>
        <w:spacing w:line="300" w:lineRule="exact"/>
        <w:ind w:left="881" w:hanging="238"/>
      </w:pPr>
      <w:r w:rsidRPr="007576F0">
        <w:rPr>
          <w:rFonts w:ascii="標楷體" w:eastAsia="標楷體" w:hAnsi="標楷體"/>
          <w:color w:val="000000"/>
          <w:szCs w:val="24"/>
        </w:rPr>
        <w:t>3.</w:t>
      </w:r>
      <w:r w:rsidRPr="007576F0">
        <w:t xml:space="preserve"> </w:t>
      </w:r>
      <w:r w:rsidRPr="007576F0">
        <w:rPr>
          <w:rFonts w:ascii="標楷體" w:eastAsia="標楷體" w:hAnsi="標楷體"/>
          <w:color w:val="000000"/>
          <w:szCs w:val="24"/>
        </w:rPr>
        <w:t>不論病人處於轉移或非轉移的狀態下，新型荷爾蒙藥品(abiraterone、apalutamide、</w:t>
      </w:r>
      <w:proofErr w:type="spellStart"/>
      <w:r w:rsidRPr="007576F0">
        <w:rPr>
          <w:rFonts w:ascii="標楷體" w:eastAsia="標楷體" w:hAnsi="標楷體"/>
          <w:color w:val="000000"/>
          <w:szCs w:val="24"/>
        </w:rPr>
        <w:t>darolutamide</w:t>
      </w:r>
      <w:proofErr w:type="spellEnd"/>
      <w:r w:rsidRPr="007576F0">
        <w:rPr>
          <w:rFonts w:ascii="標楷體" w:eastAsia="標楷體" w:hAnsi="標楷體"/>
          <w:color w:val="000000"/>
          <w:szCs w:val="24"/>
        </w:rPr>
        <w:t>和enzalutamide) ，及</w:t>
      </w:r>
      <w:proofErr w:type="spellStart"/>
      <w:r w:rsidRPr="007576F0">
        <w:rPr>
          <w:rFonts w:ascii="標楷體" w:eastAsia="標楷體" w:hAnsi="標楷體"/>
          <w:color w:val="000000"/>
          <w:szCs w:val="24"/>
        </w:rPr>
        <w:t>olaparib</w:t>
      </w:r>
      <w:proofErr w:type="spellEnd"/>
      <w:r w:rsidRPr="007576F0">
        <w:rPr>
          <w:rFonts w:ascii="標楷體" w:eastAsia="標楷體" w:hAnsi="標楷體"/>
          <w:color w:val="000000"/>
          <w:szCs w:val="24"/>
        </w:rPr>
        <w:t xml:space="preserve"> 與 abiraterone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用，終生僅給付一種治療，且除非出現嚴重不耐受反應導致必須永久停止治療，不得互換。 (112/9/1、114/6/1)</w:t>
      </w:r>
    </w:p>
    <w:p w14:paraId="19368B90" w14:textId="77777777" w:rsidR="007576F0" w:rsidRPr="007576F0" w:rsidRDefault="007576F0" w:rsidP="007576F0">
      <w:pPr>
        <w:spacing w:line="300" w:lineRule="exact"/>
        <w:ind w:leftChars="119" w:left="425" w:hangingChars="58" w:hanging="139"/>
        <w:rPr>
          <w:rFonts w:ascii="標楷體" w:eastAsia="標楷體" w:hAnsi="標楷體"/>
          <w:color w:val="000000"/>
        </w:rPr>
      </w:pPr>
      <w:r w:rsidRPr="007576F0">
        <w:rPr>
          <w:rFonts w:ascii="標楷體" w:eastAsia="標楷體" w:hAnsi="標楷體"/>
          <w:color w:val="000000"/>
        </w:rPr>
        <w:t>9.91.Dabrafenib (如</w:t>
      </w:r>
      <w:proofErr w:type="spellStart"/>
      <w:r w:rsidRPr="007576F0">
        <w:rPr>
          <w:rFonts w:ascii="標楷體" w:eastAsia="標楷體" w:hAnsi="標楷體"/>
          <w:color w:val="000000"/>
        </w:rPr>
        <w:t>Tafinlar</w:t>
      </w:r>
      <w:proofErr w:type="spellEnd"/>
      <w:r w:rsidRPr="007576F0">
        <w:rPr>
          <w:rFonts w:ascii="標楷體" w:eastAsia="標楷體" w:hAnsi="標楷體"/>
          <w:color w:val="000000"/>
        </w:rPr>
        <w:t>)、Trametinib (如</w:t>
      </w:r>
      <w:proofErr w:type="spellStart"/>
      <w:r w:rsidRPr="007576F0">
        <w:rPr>
          <w:rFonts w:ascii="標楷體" w:eastAsia="標楷體" w:hAnsi="標楷體"/>
          <w:color w:val="000000"/>
        </w:rPr>
        <w:t>Mekinist</w:t>
      </w:r>
      <w:proofErr w:type="spellEnd"/>
      <w:r w:rsidRPr="007576F0">
        <w:rPr>
          <w:rFonts w:ascii="標楷體" w:eastAsia="標楷體" w:hAnsi="標楷體"/>
          <w:color w:val="000000"/>
        </w:rPr>
        <w:t>)：(110/3/1、113/3/1、113/6/1)</w:t>
      </w:r>
    </w:p>
    <w:p w14:paraId="5C94E043" w14:textId="77777777" w:rsidR="007576F0" w:rsidRPr="007576F0" w:rsidRDefault="007576F0" w:rsidP="007576F0">
      <w:pPr>
        <w:spacing w:line="300" w:lineRule="exact"/>
        <w:ind w:left="708" w:hanging="142"/>
      </w:pPr>
      <w:r w:rsidRPr="007576F0">
        <w:rPr>
          <w:rFonts w:ascii="標楷體" w:eastAsia="標楷體" w:hAnsi="標楷體"/>
          <w:color w:val="000000"/>
        </w:rPr>
        <w:t>1.Dabrafenib和trametinib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用於治療BRAF V600突變陽性ECOG</w:t>
      </w:r>
      <w:r w:rsidRPr="007576F0">
        <w:rPr>
          <w:rFonts w:ascii="Times New Roman" w:eastAsia="標楷體" w:hAnsi="Times New Roman"/>
          <w:color w:val="000000"/>
        </w:rPr>
        <w:t>≤</w:t>
      </w:r>
      <w:r w:rsidRPr="007576F0">
        <w:rPr>
          <w:rFonts w:ascii="標楷體" w:eastAsia="標楷體" w:hAnsi="標楷體"/>
          <w:color w:val="000000"/>
        </w:rPr>
        <w:t xml:space="preserve"> 2且罹患無法切除(第</w:t>
      </w:r>
      <w:proofErr w:type="spellStart"/>
      <w:r w:rsidRPr="007576F0">
        <w:rPr>
          <w:rFonts w:ascii="標楷體" w:eastAsia="標楷體" w:hAnsi="標楷體"/>
          <w:color w:val="000000"/>
        </w:rPr>
        <w:t>ⅢC</w:t>
      </w:r>
      <w:proofErr w:type="spellEnd"/>
      <w:r w:rsidRPr="007576F0">
        <w:rPr>
          <w:rFonts w:ascii="標楷體" w:eastAsia="標楷體" w:hAnsi="標楷體"/>
          <w:color w:val="000000"/>
        </w:rPr>
        <w:t>期)或轉移性(第Ⅳ期)黑色素瘤之病人：</w:t>
      </w:r>
    </w:p>
    <w:p w14:paraId="566C5915" w14:textId="77777777" w:rsidR="007576F0" w:rsidRPr="007576F0" w:rsidRDefault="007576F0" w:rsidP="007576F0">
      <w:pPr>
        <w:spacing w:line="300" w:lineRule="exact"/>
        <w:ind w:left="1356" w:hanging="365"/>
        <w:rPr>
          <w:rFonts w:ascii="標楷體" w:eastAsia="標楷體" w:hAnsi="標楷體"/>
          <w:color w:val="000000"/>
        </w:rPr>
      </w:pPr>
      <w:r w:rsidRPr="007576F0">
        <w:rPr>
          <w:rFonts w:ascii="標楷體" w:eastAsia="標楷體" w:hAnsi="標楷體"/>
          <w:color w:val="000000"/>
        </w:rPr>
        <w:t>(1)需經事前審查核准後使用，每次申請療程以3個月為限，如發現病情惡化應停止使用。</w:t>
      </w:r>
    </w:p>
    <w:p w14:paraId="15A2664E" w14:textId="77777777" w:rsidR="007576F0" w:rsidRPr="007576F0" w:rsidRDefault="007576F0" w:rsidP="007576F0">
      <w:pPr>
        <w:spacing w:line="300" w:lineRule="exact"/>
        <w:ind w:left="1356" w:hanging="365"/>
        <w:rPr>
          <w:rFonts w:ascii="標楷體" w:eastAsia="標楷體" w:hAnsi="標楷體"/>
          <w:color w:val="000000"/>
        </w:rPr>
      </w:pPr>
      <w:r w:rsidRPr="007576F0">
        <w:rPr>
          <w:rFonts w:ascii="標楷體" w:eastAsia="標楷體" w:hAnsi="標楷體"/>
          <w:color w:val="000000"/>
        </w:rPr>
        <w:t>(2)再申請時應檢附前次治療結果評估資料。</w:t>
      </w:r>
    </w:p>
    <w:p w14:paraId="123B727D" w14:textId="77777777" w:rsidR="007576F0" w:rsidRPr="007576F0" w:rsidRDefault="007576F0" w:rsidP="007576F0">
      <w:pPr>
        <w:spacing w:line="300" w:lineRule="exact"/>
        <w:ind w:left="796" w:hanging="230"/>
        <w:rPr>
          <w:rFonts w:ascii="標楷體" w:eastAsia="標楷體" w:hAnsi="標楷體"/>
          <w:color w:val="000000"/>
        </w:rPr>
      </w:pPr>
      <w:r w:rsidRPr="007576F0">
        <w:rPr>
          <w:rFonts w:ascii="標楷體" w:eastAsia="標楷體" w:hAnsi="標楷體"/>
          <w:color w:val="000000"/>
        </w:rPr>
        <w:t>2.Dabrafenib和trametinib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用於BRAF V600突變陽性且完全切除之第三期黑色素瘤病人術後輔助治療：</w:t>
      </w:r>
    </w:p>
    <w:p w14:paraId="0DA3E913" w14:textId="77777777" w:rsidR="007576F0" w:rsidRPr="007576F0" w:rsidRDefault="007576F0" w:rsidP="007576F0">
      <w:pPr>
        <w:spacing w:line="300" w:lineRule="exact"/>
        <w:ind w:left="1356" w:hanging="365"/>
        <w:rPr>
          <w:rFonts w:ascii="標楷體" w:eastAsia="標楷體" w:hAnsi="標楷體"/>
          <w:color w:val="000000"/>
        </w:rPr>
      </w:pPr>
      <w:r w:rsidRPr="007576F0">
        <w:rPr>
          <w:rFonts w:ascii="標楷體" w:eastAsia="標楷體" w:hAnsi="標楷體"/>
          <w:color w:val="000000"/>
        </w:rPr>
        <w:t>(1)需經事前審查核准後使用，每次申請療程以6個月為限，如發現病情惡化應停止使用。</w:t>
      </w:r>
    </w:p>
    <w:p w14:paraId="64313233" w14:textId="77777777" w:rsidR="007576F0" w:rsidRPr="007576F0" w:rsidRDefault="007576F0" w:rsidP="007576F0">
      <w:pPr>
        <w:spacing w:line="300" w:lineRule="exact"/>
        <w:ind w:left="1356" w:hanging="365"/>
        <w:rPr>
          <w:rFonts w:ascii="標楷體" w:eastAsia="標楷體" w:hAnsi="標楷體"/>
          <w:color w:val="000000"/>
        </w:rPr>
      </w:pPr>
      <w:r w:rsidRPr="007576F0">
        <w:rPr>
          <w:rFonts w:ascii="標楷體" w:eastAsia="標楷體" w:hAnsi="標楷體"/>
          <w:color w:val="000000"/>
        </w:rPr>
        <w:t>(2)限用1年。</w:t>
      </w:r>
    </w:p>
    <w:p w14:paraId="4E5FC67D" w14:textId="77777777" w:rsidR="007576F0" w:rsidRPr="007576F0" w:rsidRDefault="007576F0" w:rsidP="007576F0">
      <w:pPr>
        <w:spacing w:line="300" w:lineRule="exact"/>
        <w:ind w:left="840" w:hanging="274"/>
        <w:rPr>
          <w:rFonts w:ascii="標楷體" w:eastAsia="標楷體" w:hAnsi="標楷體"/>
          <w:color w:val="000000"/>
        </w:rPr>
      </w:pPr>
      <w:r w:rsidRPr="007576F0">
        <w:rPr>
          <w:rFonts w:ascii="標楷體" w:eastAsia="標楷體" w:hAnsi="標楷體"/>
          <w:color w:val="000000"/>
        </w:rPr>
        <w:t>3.</w:t>
      </w:r>
      <w:proofErr w:type="gramStart"/>
      <w:r w:rsidRPr="007576F0">
        <w:rPr>
          <w:rFonts w:ascii="標楷體" w:eastAsia="標楷體" w:hAnsi="標楷體"/>
          <w:color w:val="000000"/>
        </w:rPr>
        <w:t>本品</w:t>
      </w:r>
      <w:proofErr w:type="gramEnd"/>
      <w:r w:rsidRPr="007576F0">
        <w:rPr>
          <w:rFonts w:ascii="標楷體" w:eastAsia="標楷體" w:hAnsi="標楷體"/>
          <w:color w:val="000000"/>
        </w:rPr>
        <w:t>(dabrafenib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用trametinib之治療組合)與vemurafenib僅能擇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w:t>
      </w:r>
      <w:proofErr w:type="gramStart"/>
      <w:r w:rsidRPr="007576F0">
        <w:rPr>
          <w:rFonts w:ascii="標楷體" w:eastAsia="標楷體" w:hAnsi="標楷體"/>
          <w:color w:val="000000"/>
        </w:rPr>
        <w:t>除因耐受</w:t>
      </w:r>
      <w:proofErr w:type="gramEnd"/>
      <w:r w:rsidRPr="007576F0">
        <w:rPr>
          <w:rFonts w:ascii="標楷體" w:eastAsia="標楷體" w:hAnsi="標楷體"/>
          <w:color w:val="000000"/>
        </w:rPr>
        <w:t>性不良，不得互換。</w:t>
      </w:r>
    </w:p>
    <w:p w14:paraId="4B4E7BD5" w14:textId="77777777" w:rsidR="007576F0" w:rsidRPr="007576F0" w:rsidRDefault="007576F0" w:rsidP="007576F0">
      <w:pPr>
        <w:spacing w:line="300" w:lineRule="exact"/>
        <w:ind w:left="840" w:hanging="274"/>
      </w:pPr>
      <w:r w:rsidRPr="007576F0">
        <w:t xml:space="preserve">4. </w:t>
      </w:r>
      <w:r w:rsidRPr="007576F0">
        <w:rPr>
          <w:rFonts w:ascii="標楷體" w:eastAsia="標楷體" w:hAnsi="標楷體"/>
          <w:color w:val="000000"/>
        </w:rPr>
        <w:t>Dabrafenib與trametinib</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用於治療BRAF V600E突變之轉移性(第IV期)非小細胞肺癌成人病人：(113/3/1、113/6/1)</w:t>
      </w:r>
    </w:p>
    <w:p w14:paraId="1CF16CBA" w14:textId="77777777" w:rsidR="007576F0" w:rsidRPr="007576F0" w:rsidRDefault="007576F0" w:rsidP="007576F0">
      <w:pPr>
        <w:spacing w:line="300" w:lineRule="exact"/>
        <w:ind w:left="1416" w:hanging="422"/>
        <w:rPr>
          <w:rFonts w:ascii="標楷體" w:eastAsia="標楷體" w:hAnsi="標楷體"/>
          <w:color w:val="000000"/>
        </w:rPr>
      </w:pPr>
      <w:r w:rsidRPr="007576F0">
        <w:rPr>
          <w:rFonts w:ascii="標楷體" w:eastAsia="標楷體" w:hAnsi="標楷體"/>
          <w:color w:val="000000"/>
        </w:rPr>
        <w:t>(1)作為先前已接受過第一線含鉑化學治療，但仍惡化的轉移性(第IV期)非小細胞肺癌成人病人第二線治療，</w:t>
      </w:r>
      <w:proofErr w:type="gramStart"/>
      <w:r w:rsidRPr="007576F0">
        <w:rPr>
          <w:rFonts w:ascii="標楷體" w:eastAsia="標楷體" w:hAnsi="標楷體"/>
          <w:color w:val="000000"/>
        </w:rPr>
        <w:t>使用本品無效</w:t>
      </w:r>
      <w:proofErr w:type="gramEnd"/>
      <w:r w:rsidRPr="007576F0">
        <w:rPr>
          <w:rFonts w:ascii="標楷體" w:eastAsia="標楷體" w:hAnsi="標楷體"/>
          <w:color w:val="000000"/>
        </w:rPr>
        <w:t>後則不再給付該適應症相關之免疫檢查點PD-1、PD-L1抑制劑。</w:t>
      </w:r>
    </w:p>
    <w:p w14:paraId="74E4E6F2" w14:textId="77777777" w:rsidR="007576F0" w:rsidRPr="007576F0" w:rsidRDefault="007576F0" w:rsidP="007576F0">
      <w:pPr>
        <w:spacing w:line="300" w:lineRule="exact"/>
        <w:ind w:left="1416" w:hanging="422"/>
        <w:rPr>
          <w:rFonts w:ascii="標楷體" w:eastAsia="標楷體" w:hAnsi="標楷體"/>
          <w:color w:val="000000"/>
        </w:rPr>
      </w:pPr>
      <w:r w:rsidRPr="007576F0">
        <w:rPr>
          <w:rFonts w:ascii="標楷體" w:eastAsia="標楷體" w:hAnsi="標楷體"/>
          <w:color w:val="000000"/>
        </w:rPr>
        <w:t>(2)須經事前審查核准後使用:</w:t>
      </w:r>
    </w:p>
    <w:p w14:paraId="0C7CC7C8" w14:textId="77777777" w:rsidR="007576F0" w:rsidRPr="007576F0" w:rsidRDefault="007576F0" w:rsidP="007576F0">
      <w:pPr>
        <w:spacing w:line="300" w:lineRule="exact"/>
        <w:ind w:left="1699" w:hanging="283"/>
        <w:rPr>
          <w:rFonts w:ascii="標楷體" w:eastAsia="標楷體" w:hAnsi="標楷體"/>
          <w:color w:val="000000"/>
        </w:rPr>
      </w:pPr>
      <w:r w:rsidRPr="007576F0">
        <w:rPr>
          <w:rFonts w:ascii="標楷體" w:eastAsia="標楷體" w:hAnsi="標楷體"/>
          <w:color w:val="000000"/>
        </w:rPr>
        <w:t>I.初次申請時需檢附確實患有非小細胞肺癌之病理或細胞檢查報告以及 BRAF V600E 突變檢測報告，且需符合全民健康保險藥品給付規定之通則十二。</w:t>
      </w:r>
    </w:p>
    <w:p w14:paraId="2A08EC7E" w14:textId="77777777" w:rsidR="007576F0" w:rsidRPr="007576F0" w:rsidRDefault="007576F0" w:rsidP="007576F0">
      <w:pPr>
        <w:spacing w:line="300" w:lineRule="exact"/>
        <w:ind w:left="1699" w:hanging="283"/>
        <w:rPr>
          <w:rFonts w:ascii="標楷體" w:eastAsia="標楷體" w:hAnsi="標楷體"/>
          <w:color w:val="000000"/>
        </w:rPr>
      </w:pPr>
      <w:r w:rsidRPr="007576F0">
        <w:rPr>
          <w:rFonts w:ascii="標楷體" w:eastAsia="標楷體" w:hAnsi="標楷體"/>
          <w:color w:val="000000"/>
        </w:rPr>
        <w:t>II.每次申請事前審查之療程以3個月為限，每3個月需再次申請，再次申請時並需附上治療後相關臨床資料，若病情惡化即不得再次申請。</w:t>
      </w:r>
    </w:p>
    <w:p w14:paraId="33657764" w14:textId="77777777" w:rsidR="007576F0" w:rsidRPr="007576F0" w:rsidRDefault="007576F0" w:rsidP="007576F0">
      <w:pPr>
        <w:spacing w:line="300" w:lineRule="exact"/>
        <w:ind w:left="283"/>
        <w:rPr>
          <w:rFonts w:ascii="標楷體" w:eastAsia="標楷體" w:hAnsi="標楷體"/>
          <w:color w:val="000000"/>
        </w:rPr>
      </w:pPr>
      <w:bookmarkStart w:id="67" w:name="_Hlk70327755"/>
      <w:r w:rsidRPr="007576F0">
        <w:rPr>
          <w:rFonts w:ascii="標楷體" w:eastAsia="標楷體" w:hAnsi="標楷體"/>
          <w:color w:val="000000"/>
        </w:rPr>
        <w:t>9.92. Ramucirumab (如Cyramza)：(110/5/1)</w:t>
      </w:r>
    </w:p>
    <w:p w14:paraId="56A1F418" w14:textId="77777777" w:rsidR="007576F0" w:rsidRPr="007576F0" w:rsidRDefault="007576F0" w:rsidP="007576F0">
      <w:pPr>
        <w:spacing w:line="300" w:lineRule="exact"/>
        <w:ind w:left="814" w:hanging="245"/>
      </w:pPr>
      <w:r w:rsidRPr="007576F0">
        <w:rPr>
          <w:rFonts w:ascii="標楷體" w:eastAsia="標楷體" w:hAnsi="標楷體"/>
          <w:color w:val="000000"/>
        </w:rPr>
        <w:t>1.單一療法適用於接受過sorafenib治療失敗後之轉移性或無法手術切除且不適合局部治療或局部治療失敗，且alpha- fetoprotein (AFP)</w:t>
      </w:r>
      <w:r w:rsidRPr="007576F0">
        <w:rPr>
          <w:rFonts w:ascii="Times New Roman" w:eastAsia="標楷體" w:hAnsi="Times New Roman"/>
          <w:color w:val="000000"/>
        </w:rPr>
        <w:t>≥</w:t>
      </w:r>
      <w:r w:rsidRPr="007576F0">
        <w:rPr>
          <w:rFonts w:ascii="標楷體" w:eastAsia="標楷體" w:hAnsi="標楷體"/>
          <w:color w:val="000000"/>
        </w:rPr>
        <w:t xml:space="preserve"> 400ng/mL之Child-Pugh A class晚期肝細胞癌成人患者。</w:t>
      </w:r>
    </w:p>
    <w:p w14:paraId="1E1E2279" w14:textId="77777777" w:rsidR="007576F0" w:rsidRPr="007576F0" w:rsidRDefault="007576F0" w:rsidP="007576F0">
      <w:pPr>
        <w:spacing w:line="300" w:lineRule="exact"/>
        <w:ind w:left="814" w:hanging="245"/>
        <w:rPr>
          <w:rFonts w:ascii="標楷體" w:eastAsia="標楷體" w:hAnsi="標楷體"/>
          <w:color w:val="000000"/>
        </w:rPr>
      </w:pPr>
      <w:r w:rsidRPr="007576F0">
        <w:rPr>
          <w:rFonts w:ascii="標楷體" w:eastAsia="標楷體" w:hAnsi="標楷體"/>
          <w:color w:val="000000"/>
        </w:rPr>
        <w:t>2.需經事前審查核准後使用，初次申請之療程以12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為限，之後每8</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評估一次。送審時需檢送影像資料，無疾病惡化方可繼續使用。</w:t>
      </w:r>
    </w:p>
    <w:p w14:paraId="051D4910" w14:textId="77777777" w:rsidR="007576F0" w:rsidRPr="007576F0" w:rsidRDefault="007576F0" w:rsidP="007576F0">
      <w:pPr>
        <w:spacing w:line="300" w:lineRule="exact"/>
        <w:ind w:left="814" w:hanging="245"/>
        <w:rPr>
          <w:rFonts w:ascii="標楷體" w:eastAsia="標楷體" w:hAnsi="標楷體"/>
          <w:color w:val="000000"/>
        </w:rPr>
      </w:pPr>
      <w:r w:rsidRPr="007576F0">
        <w:rPr>
          <w:rFonts w:ascii="標楷體" w:eastAsia="標楷體" w:hAnsi="標楷體"/>
          <w:color w:val="000000"/>
        </w:rPr>
        <w:t>3.Ramucirumab與regorafenib、nivolumab僅能擇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使用，不得互換。</w:t>
      </w:r>
      <w:bookmarkEnd w:id="67"/>
    </w:p>
    <w:p w14:paraId="4F889AC4" w14:textId="77777777" w:rsidR="007576F0" w:rsidRPr="007576F0" w:rsidRDefault="007576F0" w:rsidP="007576F0">
      <w:pPr>
        <w:spacing w:line="300" w:lineRule="exact"/>
        <w:ind w:left="283"/>
        <w:rPr>
          <w:rFonts w:ascii="標楷體" w:eastAsia="標楷體" w:hAnsi="標楷體"/>
          <w:color w:val="000000"/>
        </w:rPr>
      </w:pPr>
      <w:r w:rsidRPr="007576F0">
        <w:rPr>
          <w:rFonts w:ascii="標楷體" w:eastAsia="標楷體" w:hAnsi="標楷體"/>
          <w:color w:val="000000"/>
        </w:rPr>
        <w:t>9.93.Entrectinib (如</w:t>
      </w:r>
      <w:proofErr w:type="spellStart"/>
      <w:r w:rsidRPr="007576F0">
        <w:rPr>
          <w:rFonts w:ascii="標楷體" w:eastAsia="標楷體" w:hAnsi="標楷體"/>
          <w:color w:val="000000"/>
        </w:rPr>
        <w:t>Rozlytrek</w:t>
      </w:r>
      <w:proofErr w:type="spellEnd"/>
      <w:r w:rsidRPr="007576F0">
        <w:rPr>
          <w:rFonts w:ascii="標楷體" w:eastAsia="標楷體" w:hAnsi="標楷體"/>
          <w:color w:val="000000"/>
        </w:rPr>
        <w:t>)：(110/7/1、113/6/1)</w:t>
      </w:r>
    </w:p>
    <w:p w14:paraId="46A634A2" w14:textId="77777777" w:rsidR="007576F0" w:rsidRPr="007576F0" w:rsidRDefault="007576F0" w:rsidP="007576F0">
      <w:pPr>
        <w:spacing w:line="300" w:lineRule="exact"/>
        <w:ind w:left="566"/>
        <w:rPr>
          <w:rFonts w:ascii="標楷體" w:eastAsia="標楷體" w:hAnsi="標楷體"/>
          <w:color w:val="000000"/>
        </w:rPr>
      </w:pPr>
      <w:r w:rsidRPr="007576F0">
        <w:rPr>
          <w:rFonts w:ascii="標楷體" w:eastAsia="標楷體" w:hAnsi="標楷體"/>
          <w:color w:val="000000"/>
        </w:rPr>
        <w:t>1.單獨使用於ROS-1陽性之局部晚期或</w:t>
      </w:r>
      <w:proofErr w:type="gramStart"/>
      <w:r w:rsidRPr="007576F0">
        <w:rPr>
          <w:rFonts w:ascii="標楷體" w:eastAsia="標楷體" w:hAnsi="標楷體"/>
          <w:color w:val="000000"/>
        </w:rPr>
        <w:t>轉移性非小</w:t>
      </w:r>
      <w:proofErr w:type="gramEnd"/>
      <w:r w:rsidRPr="007576F0">
        <w:rPr>
          <w:rFonts w:ascii="標楷體" w:eastAsia="標楷體" w:hAnsi="標楷體"/>
          <w:color w:val="000000"/>
        </w:rPr>
        <w:t>細胞肺癌的成人病人。</w:t>
      </w:r>
    </w:p>
    <w:p w14:paraId="713E061D" w14:textId="77777777" w:rsidR="007576F0" w:rsidRPr="007576F0" w:rsidRDefault="007576F0" w:rsidP="007576F0">
      <w:pPr>
        <w:spacing w:line="300" w:lineRule="exact"/>
        <w:ind w:left="566"/>
        <w:rPr>
          <w:rFonts w:ascii="標楷體" w:eastAsia="標楷體" w:hAnsi="標楷體"/>
          <w:color w:val="000000"/>
        </w:rPr>
      </w:pPr>
      <w:r w:rsidRPr="007576F0">
        <w:rPr>
          <w:rFonts w:ascii="標楷體" w:eastAsia="標楷體" w:hAnsi="標楷體"/>
          <w:color w:val="000000"/>
        </w:rPr>
        <w:t>2.須經事前審查核准後使用：(113/6/1)</w:t>
      </w:r>
    </w:p>
    <w:p w14:paraId="737D6983" w14:textId="77777777" w:rsidR="007576F0" w:rsidRPr="007576F0" w:rsidRDefault="007576F0" w:rsidP="007576F0">
      <w:pPr>
        <w:spacing w:line="300" w:lineRule="exact"/>
        <w:ind w:left="1416" w:hanging="42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color w:val="000000"/>
        </w:rPr>
        <w:tab/>
        <w:t>需檢具確實患有非小細胞肺癌之病理或細胞檢查報告，以及符合診斷之ROS-1突變檢測報告，且需符合全民健康保險藥品給付規定之通則十二。</w:t>
      </w:r>
    </w:p>
    <w:p w14:paraId="2D45C4D8" w14:textId="77777777" w:rsidR="007576F0" w:rsidRPr="007576F0" w:rsidRDefault="007576F0" w:rsidP="007576F0">
      <w:pPr>
        <w:spacing w:line="300" w:lineRule="exact"/>
        <w:ind w:left="1416" w:hanging="425"/>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color w:val="000000"/>
        </w:rPr>
        <w:tab/>
        <w:t>每次申請事前審查之療程以三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月為限，每三</w:t>
      </w:r>
      <w:proofErr w:type="gramStart"/>
      <w:r w:rsidRPr="007576F0">
        <w:rPr>
          <w:rFonts w:ascii="標楷體" w:eastAsia="標楷體" w:hAnsi="標楷體"/>
          <w:color w:val="000000"/>
        </w:rPr>
        <w:t>個</w:t>
      </w:r>
      <w:proofErr w:type="gramEnd"/>
      <w:r w:rsidRPr="007576F0">
        <w:rPr>
          <w:rFonts w:ascii="標楷體" w:eastAsia="標楷體" w:hAnsi="標楷體"/>
          <w:color w:val="000000"/>
        </w:rPr>
        <w:t>月需再次申請，再次申請時並需附上治療後相關臨床資料，如給藥4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後，需追蹤胸部X光或電腦斷層等影像檢查評估療效，往後每4</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做胸部X光檢查，每隔8</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需追蹤其作為評估藥效的影像(如胸部X光或電腦斷層)，若病情惡化即不得再次申請。</w:t>
      </w:r>
    </w:p>
    <w:p w14:paraId="689D6EDA"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lastRenderedPageBreak/>
        <w:t>3.Entrectinib與</w:t>
      </w:r>
      <w:proofErr w:type="spellStart"/>
      <w:r w:rsidRPr="007576F0">
        <w:rPr>
          <w:rFonts w:ascii="標楷體" w:eastAsia="標楷體" w:hAnsi="標楷體"/>
          <w:color w:val="000000"/>
        </w:rPr>
        <w:t>crizotinib</w:t>
      </w:r>
      <w:proofErr w:type="spellEnd"/>
      <w:r w:rsidRPr="007576F0">
        <w:rPr>
          <w:rFonts w:ascii="標楷體" w:eastAsia="標楷體" w:hAnsi="標楷體"/>
          <w:color w:val="000000"/>
        </w:rPr>
        <w:t>用於ROS-1陽性之晚期非小細胞肺癌時，僅得擇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使用，除因病人使用後，發生嚴重不良反應或耐受不良之情形外，不得互換。</w:t>
      </w:r>
    </w:p>
    <w:p w14:paraId="7AB29FF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4.每日最大劑量限600mg。</w:t>
      </w:r>
    </w:p>
    <w:p w14:paraId="31AFFA2F" w14:textId="77777777" w:rsidR="007576F0" w:rsidRPr="007576F0" w:rsidRDefault="007576F0" w:rsidP="007576F0">
      <w:pPr>
        <w:spacing w:line="300" w:lineRule="exact"/>
        <w:ind w:left="567" w:hanging="245"/>
      </w:pPr>
      <w:bookmarkStart w:id="68" w:name="_Hlk198656405"/>
      <w:bookmarkStart w:id="69" w:name="_Hlk85807933"/>
      <w:r w:rsidRPr="007576F0">
        <w:rPr>
          <w:rFonts w:ascii="標楷體" w:eastAsia="標楷體" w:hAnsi="標楷體"/>
          <w:color w:val="000000"/>
        </w:rPr>
        <w:t>9.94.</w:t>
      </w:r>
      <w:r w:rsidRPr="007576F0">
        <w:t xml:space="preserve"> </w:t>
      </w:r>
      <w:proofErr w:type="spellStart"/>
      <w:r w:rsidRPr="007576F0">
        <w:rPr>
          <w:rFonts w:ascii="標楷體" w:eastAsia="標楷體" w:hAnsi="標楷體"/>
          <w:color w:val="000000"/>
        </w:rPr>
        <w:t>Darolutamide</w:t>
      </w:r>
      <w:proofErr w:type="spellEnd"/>
      <w:r w:rsidRPr="007576F0">
        <w:rPr>
          <w:rFonts w:ascii="標楷體" w:eastAsia="標楷體" w:hAnsi="標楷體"/>
          <w:color w:val="000000"/>
        </w:rPr>
        <w:t>(如</w:t>
      </w:r>
      <w:proofErr w:type="spellStart"/>
      <w:r w:rsidRPr="007576F0">
        <w:rPr>
          <w:rFonts w:ascii="標楷體" w:eastAsia="標楷體" w:hAnsi="標楷體"/>
          <w:color w:val="000000"/>
        </w:rPr>
        <w:t>Nubeqa</w:t>
      </w:r>
      <w:proofErr w:type="spellEnd"/>
      <w:r w:rsidRPr="007576F0">
        <w:rPr>
          <w:rFonts w:ascii="標楷體" w:eastAsia="標楷體" w:hAnsi="標楷體"/>
          <w:color w:val="000000"/>
        </w:rPr>
        <w:t>)：(110/11/1、112/9/1、113/5/1、113/8/1</w:t>
      </w:r>
      <w:r w:rsidRPr="007576F0">
        <w:rPr>
          <w:rFonts w:ascii="標楷體" w:eastAsia="標楷體" w:hAnsi="標楷體" w:hint="eastAsia"/>
          <w:color w:val="000000"/>
        </w:rPr>
        <w:t>、115/4/1</w:t>
      </w:r>
      <w:r w:rsidRPr="007576F0">
        <w:rPr>
          <w:rFonts w:ascii="標楷體" w:eastAsia="標楷體" w:hAnsi="標楷體"/>
          <w:color w:val="000000"/>
        </w:rPr>
        <w:t>)</w:t>
      </w:r>
    </w:p>
    <w:p w14:paraId="471DB81D" w14:textId="77777777" w:rsidR="007576F0" w:rsidRPr="007576F0" w:rsidRDefault="007576F0" w:rsidP="007576F0">
      <w:pPr>
        <w:spacing w:line="300" w:lineRule="exact"/>
        <w:ind w:left="811" w:hanging="245"/>
      </w:pPr>
      <w:r w:rsidRPr="007576F0">
        <w:rPr>
          <w:rFonts w:ascii="標楷體" w:eastAsia="標楷體" w:hAnsi="標楷體"/>
          <w:color w:val="000000"/>
        </w:rPr>
        <w:t>1.</w:t>
      </w:r>
      <w:r w:rsidRPr="007576F0">
        <w:rPr>
          <w:rFonts w:ascii="標楷體" w:eastAsia="標楷體" w:hAnsi="標楷體" w:hint="eastAsia"/>
          <w:color w:val="000000"/>
        </w:rPr>
        <w:t>作為單一療法或</w:t>
      </w:r>
      <w:r w:rsidRPr="007576F0">
        <w:rPr>
          <w:rFonts w:ascii="標楷體" w:eastAsia="標楷體" w:hAnsi="標楷體"/>
          <w:color w:val="000000"/>
        </w:rPr>
        <w:t>與docetaxel</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用於治療高風險轉移性的去勢敏感性前列腺癌(</w:t>
      </w:r>
      <w:proofErr w:type="spellStart"/>
      <w:r w:rsidRPr="007576F0">
        <w:rPr>
          <w:rFonts w:ascii="標楷體" w:eastAsia="標楷體" w:hAnsi="標楷體"/>
          <w:color w:val="000000"/>
        </w:rPr>
        <w:t>mCSPC</w:t>
      </w:r>
      <w:proofErr w:type="spellEnd"/>
      <w:r w:rsidRPr="007576F0">
        <w:rPr>
          <w:rFonts w:ascii="標楷體" w:eastAsia="標楷體" w:hAnsi="標楷體"/>
          <w:color w:val="000000"/>
        </w:rPr>
        <w:t>)，總療程以</w:t>
      </w:r>
      <w:r w:rsidRPr="007576F0">
        <w:rPr>
          <w:rFonts w:ascii="標楷體" w:eastAsia="標楷體" w:hAnsi="標楷體" w:hint="eastAsia"/>
          <w:color w:val="000000"/>
        </w:rPr>
        <w:t>36</w:t>
      </w:r>
      <w:r w:rsidRPr="007576F0">
        <w:rPr>
          <w:rFonts w:ascii="標楷體" w:eastAsia="標楷體" w:hAnsi="標楷體"/>
          <w:color w:val="000000"/>
        </w:rPr>
        <w:t>個月為上限。(113/5/1、114/6/1</w:t>
      </w:r>
      <w:r w:rsidRPr="007576F0">
        <w:rPr>
          <w:rFonts w:ascii="標楷體" w:eastAsia="標楷體" w:hAnsi="標楷體" w:hint="eastAsia"/>
          <w:color w:val="000000"/>
        </w:rPr>
        <w:t>、115/4/1</w:t>
      </w:r>
      <w:r w:rsidRPr="007576F0">
        <w:rPr>
          <w:rFonts w:ascii="標楷體" w:eastAsia="標楷體" w:hAnsi="標楷體"/>
          <w:color w:val="000000"/>
        </w:rPr>
        <w:t>)</w:t>
      </w:r>
    </w:p>
    <w:p w14:paraId="5A2CFE9C"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(1)須經事前審查核准後使用。</w:t>
      </w:r>
    </w:p>
    <w:p w14:paraId="0B308ADB" w14:textId="77777777" w:rsidR="007576F0" w:rsidRPr="007576F0" w:rsidRDefault="007576F0" w:rsidP="007576F0">
      <w:pPr>
        <w:spacing w:line="300" w:lineRule="exact"/>
        <w:ind w:left="1146" w:hanging="340"/>
        <w:rPr>
          <w:rFonts w:ascii="標楷體" w:eastAsia="標楷體" w:hAnsi="標楷體"/>
          <w:color w:val="000000"/>
        </w:rPr>
      </w:pPr>
      <w:r w:rsidRPr="007576F0">
        <w:rPr>
          <w:rFonts w:ascii="標楷體" w:eastAsia="標楷體" w:hAnsi="標楷體"/>
          <w:color w:val="000000"/>
        </w:rPr>
        <w:t>(2)每3個月需再次申請，再申請時若PSA值下降未超過治療前的50%以上，則需停藥。</w:t>
      </w:r>
    </w:p>
    <w:p w14:paraId="604BA16A" w14:textId="77777777" w:rsidR="007576F0" w:rsidRPr="007576F0" w:rsidRDefault="007576F0" w:rsidP="007576F0">
      <w:pPr>
        <w:spacing w:line="300" w:lineRule="exact"/>
        <w:ind w:left="1146" w:hanging="340"/>
        <w:rPr>
          <w:rFonts w:ascii="標楷體" w:eastAsia="標楷體" w:hAnsi="標楷體"/>
          <w:color w:val="000000"/>
        </w:rPr>
      </w:pPr>
      <w:r w:rsidRPr="007576F0">
        <w:rPr>
          <w:rFonts w:ascii="標楷體" w:eastAsia="標楷體" w:hAnsi="標楷體"/>
          <w:color w:val="000000"/>
        </w:rPr>
        <w:t>(3)下降達</w:t>
      </w:r>
      <w:proofErr w:type="gramStart"/>
      <w:r w:rsidRPr="007576F0">
        <w:rPr>
          <w:rFonts w:ascii="標楷體" w:eastAsia="標楷體" w:hAnsi="標楷體"/>
          <w:color w:val="000000"/>
        </w:rPr>
        <w:t>最低值後之</w:t>
      </w:r>
      <w:proofErr w:type="gramEnd"/>
      <w:r w:rsidRPr="007576F0">
        <w:rPr>
          <w:rFonts w:ascii="標楷體" w:eastAsia="標楷體" w:hAnsi="標楷體"/>
          <w:color w:val="000000"/>
        </w:rPr>
        <w:t>持續追蹤出現PSA較最低值上升50%以上且PSA</w:t>
      </w:r>
      <w:proofErr w:type="gramStart"/>
      <w:r w:rsidRPr="007576F0">
        <w:rPr>
          <w:rFonts w:ascii="標楷體" w:eastAsia="標楷體" w:hAnsi="標楷體"/>
          <w:color w:val="000000"/>
        </w:rPr>
        <w:t>≧</w:t>
      </w:r>
      <w:proofErr w:type="gramEnd"/>
      <w:r w:rsidRPr="007576F0">
        <w:rPr>
          <w:rFonts w:ascii="標楷體" w:eastAsia="標楷體" w:hAnsi="標楷體"/>
          <w:color w:val="000000"/>
        </w:rPr>
        <w:t>2ng/mL，則需停藥，但影像學證據尚無疾病進展者，可以繼續使用。</w:t>
      </w:r>
    </w:p>
    <w:p w14:paraId="507C3FA4"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(4)前述高風險需符合下列三項條件中至少兩項(113/5/1、113/8/1)：</w:t>
      </w:r>
    </w:p>
    <w:p w14:paraId="49A25224"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Ⅰ.葛里森分數(Gleason score)</w:t>
      </w:r>
      <w:proofErr w:type="gramStart"/>
      <w:r w:rsidRPr="007576F0">
        <w:rPr>
          <w:rFonts w:ascii="標楷體" w:eastAsia="標楷體" w:hAnsi="標楷體"/>
          <w:color w:val="000000"/>
        </w:rPr>
        <w:t>≧</w:t>
      </w:r>
      <w:proofErr w:type="gramEnd"/>
      <w:r w:rsidRPr="007576F0">
        <w:rPr>
          <w:rFonts w:ascii="標楷體" w:eastAsia="標楷體" w:hAnsi="標楷體"/>
          <w:color w:val="000000"/>
        </w:rPr>
        <w:t>8。</w:t>
      </w:r>
    </w:p>
    <w:p w14:paraId="73360791" w14:textId="77777777" w:rsidR="007576F0" w:rsidRPr="007576F0" w:rsidRDefault="007576F0" w:rsidP="007576F0">
      <w:pPr>
        <w:spacing w:line="300" w:lineRule="exact"/>
        <w:ind w:left="1373" w:hanging="454"/>
      </w:pPr>
      <w:r w:rsidRPr="007576F0">
        <w:rPr>
          <w:rFonts w:ascii="標楷體" w:eastAsia="標楷體" w:hAnsi="標楷體"/>
          <w:color w:val="000000"/>
        </w:rPr>
        <w:t xml:space="preserve"> Ⅱ.</w:t>
      </w:r>
      <w:r w:rsidRPr="007576F0">
        <w:t xml:space="preserve"> </w:t>
      </w:r>
      <w:r w:rsidRPr="007576F0">
        <w:rPr>
          <w:rFonts w:ascii="標楷體" w:eastAsia="標楷體" w:hAnsi="標楷體"/>
          <w:color w:val="000000"/>
        </w:rPr>
        <w:t>骨骼掃描出現三個(含)以上病灶且至少其中一處以上為非脊柱</w:t>
      </w:r>
      <w:proofErr w:type="gramStart"/>
      <w:r w:rsidRPr="007576F0">
        <w:rPr>
          <w:rFonts w:ascii="標楷體" w:eastAsia="標楷體" w:hAnsi="標楷體"/>
          <w:color w:val="000000"/>
        </w:rPr>
        <w:t>及非骨盆腔</w:t>
      </w:r>
      <w:proofErr w:type="gramEnd"/>
      <w:r w:rsidRPr="007576F0">
        <w:rPr>
          <w:rFonts w:ascii="標楷體" w:eastAsia="標楷體" w:hAnsi="標楷體"/>
          <w:color w:val="000000"/>
        </w:rPr>
        <w:t>轉移。(113/5/1、113/8/1)</w:t>
      </w:r>
    </w:p>
    <w:p w14:paraId="7ACD335E"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Ⅲ.出現內臟轉移。</w:t>
      </w:r>
    </w:p>
    <w:p w14:paraId="2D389A5B"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(5)與docetaxel</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 xml:space="preserve">用，docetaxel  </w:t>
      </w:r>
    </w:p>
    <w:p w14:paraId="6F865C9D"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 xml:space="preserve">   限使用6個療程，且須符合下列所有條件：</w:t>
      </w:r>
    </w:p>
    <w:p w14:paraId="109BDEC9"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Ⅰ.ECOG</w:t>
      </w:r>
      <w:proofErr w:type="gramStart"/>
      <w:r w:rsidRPr="007576F0">
        <w:rPr>
          <w:rFonts w:ascii="標楷體" w:eastAsia="標楷體" w:hAnsi="標楷體"/>
          <w:color w:val="000000"/>
        </w:rPr>
        <w:t>≦</w:t>
      </w:r>
      <w:proofErr w:type="gramEnd"/>
      <w:r w:rsidRPr="007576F0">
        <w:rPr>
          <w:rFonts w:ascii="標楷體" w:eastAsia="標楷體" w:hAnsi="標楷體"/>
          <w:color w:val="000000"/>
        </w:rPr>
        <w:t>1。</w:t>
      </w:r>
    </w:p>
    <w:p w14:paraId="46BE804A"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Ⅱ.絕對</w:t>
      </w:r>
      <w:proofErr w:type="gramStart"/>
      <w:r w:rsidRPr="007576F0">
        <w:rPr>
          <w:rFonts w:ascii="標楷體" w:eastAsia="標楷體" w:hAnsi="標楷體"/>
          <w:color w:val="000000"/>
        </w:rPr>
        <w:t>嗜</w:t>
      </w:r>
      <w:proofErr w:type="gramEnd"/>
      <w:r w:rsidRPr="007576F0">
        <w:rPr>
          <w:rFonts w:ascii="標楷體" w:eastAsia="標楷體" w:hAnsi="標楷體"/>
          <w:color w:val="000000"/>
        </w:rPr>
        <w:t>中性球計數</w:t>
      </w:r>
      <w:proofErr w:type="gramStart"/>
      <w:r w:rsidRPr="007576F0">
        <w:rPr>
          <w:rFonts w:ascii="標楷體" w:eastAsia="標楷體" w:hAnsi="標楷體"/>
          <w:color w:val="000000"/>
        </w:rPr>
        <w:t>≧</w:t>
      </w:r>
      <w:proofErr w:type="gramEnd"/>
      <w:r w:rsidRPr="007576F0">
        <w:rPr>
          <w:rFonts w:ascii="標楷體" w:eastAsia="標楷體" w:hAnsi="標楷體"/>
          <w:color w:val="000000"/>
        </w:rPr>
        <w:t>1500/mm3。</w:t>
      </w:r>
    </w:p>
    <w:p w14:paraId="154C645D"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Ⅲ.血小板計數</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100,000/mm3。</w:t>
      </w:r>
    </w:p>
    <w:p w14:paraId="2EB2F038"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IV.GPT</w:t>
      </w:r>
      <w:proofErr w:type="gramStart"/>
      <w:r w:rsidRPr="007576F0">
        <w:rPr>
          <w:rFonts w:ascii="標楷體" w:eastAsia="標楷體" w:hAnsi="標楷體"/>
          <w:color w:val="000000"/>
        </w:rPr>
        <w:t>≦</w:t>
      </w:r>
      <w:proofErr w:type="gramEnd"/>
      <w:r w:rsidRPr="007576F0">
        <w:rPr>
          <w:rFonts w:ascii="標楷體" w:eastAsia="標楷體" w:hAnsi="標楷體"/>
          <w:color w:val="000000"/>
        </w:rPr>
        <w:t>2倍之正常值上限。</w:t>
      </w:r>
    </w:p>
    <w:p w14:paraId="21B6632C"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w:t>
      </w:r>
      <w:proofErr w:type="spellStart"/>
      <w:r w:rsidRPr="007576F0">
        <w:rPr>
          <w:rFonts w:ascii="標楷體" w:eastAsia="標楷體" w:hAnsi="標楷體"/>
          <w:color w:val="000000"/>
        </w:rPr>
        <w:t>V.Total</w:t>
      </w:r>
      <w:proofErr w:type="spellEnd"/>
      <w:r w:rsidRPr="007576F0">
        <w:rPr>
          <w:rFonts w:ascii="標楷體" w:eastAsia="標楷體" w:hAnsi="標楷體"/>
          <w:color w:val="000000"/>
        </w:rPr>
        <w:t xml:space="preserve"> bilirubin</w:t>
      </w:r>
      <w:proofErr w:type="gramStart"/>
      <w:r w:rsidRPr="007576F0">
        <w:rPr>
          <w:rFonts w:ascii="標楷體" w:eastAsia="標楷體" w:hAnsi="標楷體"/>
          <w:color w:val="000000"/>
        </w:rPr>
        <w:t>≦</w:t>
      </w:r>
      <w:proofErr w:type="gramEnd"/>
      <w:r w:rsidRPr="007576F0">
        <w:rPr>
          <w:rFonts w:ascii="標楷體" w:eastAsia="標楷體" w:hAnsi="標楷體"/>
          <w:color w:val="000000"/>
        </w:rPr>
        <w:t>正常值上限。</w:t>
      </w:r>
    </w:p>
    <w:p w14:paraId="6D0745C1"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VI.eGFR≧30mL/min/1.73m2 </w:t>
      </w:r>
    </w:p>
    <w:p w14:paraId="4B0BF4D9"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2.治療高風險非</w:t>
      </w:r>
      <w:proofErr w:type="gramStart"/>
      <w:r w:rsidRPr="007576F0">
        <w:rPr>
          <w:rFonts w:ascii="標楷體" w:eastAsia="標楷體" w:hAnsi="標楷體"/>
          <w:color w:val="000000"/>
        </w:rPr>
        <w:t>轉移性去勢</w:t>
      </w:r>
      <w:proofErr w:type="gramEnd"/>
      <w:r w:rsidRPr="007576F0">
        <w:rPr>
          <w:rFonts w:ascii="標楷體" w:eastAsia="標楷體" w:hAnsi="標楷體"/>
          <w:color w:val="000000"/>
        </w:rPr>
        <w:t xml:space="preserve">抗性前列腺癌(high risk </w:t>
      </w:r>
      <w:proofErr w:type="spellStart"/>
      <w:r w:rsidRPr="007576F0">
        <w:rPr>
          <w:rFonts w:ascii="標楷體" w:eastAsia="標楷體" w:hAnsi="標楷體"/>
          <w:color w:val="000000"/>
        </w:rPr>
        <w:t>nmCRPC</w:t>
      </w:r>
      <w:proofErr w:type="spellEnd"/>
      <w:r w:rsidRPr="007576F0">
        <w:rPr>
          <w:rFonts w:ascii="標楷體" w:eastAsia="標楷體" w:hAnsi="標楷體"/>
          <w:color w:val="000000"/>
        </w:rPr>
        <w:t>)的成年男性。</w:t>
      </w:r>
    </w:p>
    <w:p w14:paraId="24BD0CDD"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(1)須經事前審查核准後使用。</w:t>
      </w:r>
    </w:p>
    <w:p w14:paraId="03A34092"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(2)初次申請時需檢附病理報告、使用雄性素去除療法紀錄，系列PSA和</w:t>
      </w:r>
      <w:proofErr w:type="gramStart"/>
      <w:r w:rsidRPr="007576F0">
        <w:rPr>
          <w:rFonts w:ascii="標楷體" w:eastAsia="標楷體" w:hAnsi="標楷體"/>
          <w:color w:val="000000"/>
        </w:rPr>
        <w:t>睪固酮</w:t>
      </w:r>
      <w:proofErr w:type="gramEnd"/>
      <w:r w:rsidRPr="007576F0">
        <w:rPr>
          <w:rFonts w:ascii="標楷體" w:eastAsia="標楷體" w:hAnsi="標楷體"/>
          <w:color w:val="000000"/>
        </w:rPr>
        <w:t>數據，三個月內影像報告證明無遠端轉移。</w:t>
      </w:r>
    </w:p>
    <w:p w14:paraId="28F0E30D"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(3)ECOG分數須</w:t>
      </w:r>
      <w:proofErr w:type="gramStart"/>
      <w:r w:rsidRPr="007576F0">
        <w:rPr>
          <w:rFonts w:ascii="標楷體" w:eastAsia="標楷體" w:hAnsi="標楷體"/>
          <w:color w:val="000000"/>
        </w:rPr>
        <w:t>≦</w:t>
      </w:r>
      <w:proofErr w:type="gramEnd"/>
      <w:r w:rsidRPr="007576F0">
        <w:rPr>
          <w:rFonts w:ascii="標楷體" w:eastAsia="標楷體" w:hAnsi="標楷體"/>
          <w:color w:val="000000"/>
        </w:rPr>
        <w:t>1。</w:t>
      </w:r>
    </w:p>
    <w:p w14:paraId="3C434489"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(4)PSA doubling time</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10個月，PSA倍增之時間，應依線性回歸模型計算，且其參數取得需基於下列原則：（112/9/1）</w:t>
      </w:r>
    </w:p>
    <w:p w14:paraId="7BA91B4D" w14:textId="77777777" w:rsidR="007576F0" w:rsidRPr="007576F0" w:rsidRDefault="007576F0" w:rsidP="007576F0">
      <w:pPr>
        <w:spacing w:line="300" w:lineRule="exact"/>
        <w:ind w:left="1373" w:hanging="454"/>
        <w:rPr>
          <w:rFonts w:ascii="標楷體" w:eastAsia="標楷體" w:hAnsi="標楷體"/>
          <w:color w:val="000000"/>
        </w:rPr>
      </w:pPr>
      <w:r w:rsidRPr="007576F0">
        <w:rPr>
          <w:rFonts w:ascii="標楷體" w:eastAsia="標楷體" w:hAnsi="標楷體"/>
          <w:color w:val="000000"/>
        </w:rPr>
        <w:t xml:space="preserve"> Ⅰ.至少三個連續PSA測量值，且各測量值皆</w:t>
      </w:r>
      <w:proofErr w:type="gramStart"/>
      <w:r w:rsidRPr="007576F0">
        <w:rPr>
          <w:rFonts w:ascii="標楷體" w:eastAsia="標楷體" w:hAnsi="標楷體"/>
          <w:color w:val="000000"/>
        </w:rPr>
        <w:t>≧</w:t>
      </w:r>
      <w:proofErr w:type="gramEnd"/>
      <w:r w:rsidRPr="007576F0">
        <w:rPr>
          <w:rFonts w:ascii="標楷體" w:eastAsia="標楷體" w:hAnsi="標楷體"/>
          <w:color w:val="000000"/>
        </w:rPr>
        <w:t>0.2 ng/mL（最高的PSA值必須&gt;1.0ng/ml）。</w:t>
      </w:r>
    </w:p>
    <w:p w14:paraId="21894984" w14:textId="77777777" w:rsidR="007576F0" w:rsidRPr="007576F0" w:rsidRDefault="007576F0" w:rsidP="007576F0">
      <w:pPr>
        <w:spacing w:line="300" w:lineRule="exact"/>
        <w:ind w:left="1373" w:hanging="454"/>
        <w:rPr>
          <w:rFonts w:ascii="標楷體" w:eastAsia="標楷體" w:hAnsi="標楷體"/>
          <w:color w:val="000000"/>
        </w:rPr>
      </w:pPr>
      <w:r w:rsidRPr="007576F0">
        <w:rPr>
          <w:rFonts w:ascii="標楷體" w:eastAsia="標楷體" w:hAnsi="標楷體"/>
          <w:color w:val="000000"/>
        </w:rPr>
        <w:t xml:space="preserve"> Ⅱ.應包含先前ADT治療期間的測量值，且最少</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測量值為最近3個月內測得之PSA數值。</w:t>
      </w:r>
    </w:p>
    <w:p w14:paraId="2AD62033" w14:textId="77777777" w:rsidR="007576F0" w:rsidRPr="007576F0" w:rsidRDefault="007576F0" w:rsidP="007576F0">
      <w:pPr>
        <w:spacing w:line="300" w:lineRule="exact"/>
        <w:ind w:left="1163" w:hanging="244"/>
        <w:rPr>
          <w:rFonts w:ascii="標楷體" w:eastAsia="標楷體" w:hAnsi="標楷體"/>
          <w:color w:val="000000"/>
        </w:rPr>
      </w:pPr>
      <w:r w:rsidRPr="007576F0">
        <w:rPr>
          <w:rFonts w:ascii="標楷體" w:eastAsia="標楷體" w:hAnsi="標楷體"/>
          <w:color w:val="000000"/>
        </w:rPr>
        <w:t xml:space="preserve"> Ⅲ.第一個和最後一個PSA測量值間隔需</w:t>
      </w:r>
      <w:proofErr w:type="gramStart"/>
      <w:r w:rsidRPr="007576F0">
        <w:rPr>
          <w:rFonts w:ascii="標楷體" w:eastAsia="標楷體" w:hAnsi="標楷體"/>
          <w:color w:val="000000"/>
        </w:rPr>
        <w:t>≧</w:t>
      </w:r>
      <w:proofErr w:type="gramEnd"/>
      <w:r w:rsidRPr="007576F0">
        <w:rPr>
          <w:rFonts w:ascii="標楷體" w:eastAsia="標楷體" w:hAnsi="標楷體"/>
          <w:color w:val="000000"/>
        </w:rPr>
        <w:t>8</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，但</w:t>
      </w:r>
      <w:proofErr w:type="gramStart"/>
      <w:r w:rsidRPr="007576F0">
        <w:rPr>
          <w:rFonts w:ascii="標楷體" w:eastAsia="標楷體" w:hAnsi="標楷體"/>
          <w:color w:val="000000"/>
        </w:rPr>
        <w:t>≦</w:t>
      </w:r>
      <w:proofErr w:type="gramEnd"/>
      <w:r w:rsidRPr="007576F0">
        <w:rPr>
          <w:rFonts w:ascii="標楷體" w:eastAsia="標楷體" w:hAnsi="標楷體"/>
          <w:color w:val="000000"/>
        </w:rPr>
        <w:t>12個月。</w:t>
      </w:r>
    </w:p>
    <w:p w14:paraId="739E16CC"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(5)每3個月需再次申請，申請之療程以3個月為限。再次申請時，有 PSA progression 者，需檢附影像學報告，若影像學報告證實轉移，則需停藥;無PSA progression 者，則每6個月需檢附影像學報告，若影像學報告證實轉移，則需停藥。（112/9/1）</w:t>
      </w:r>
    </w:p>
    <w:p w14:paraId="12DD7AE3" w14:textId="77777777" w:rsidR="007576F0" w:rsidRPr="007576F0" w:rsidRDefault="007576F0" w:rsidP="007576F0">
      <w:pPr>
        <w:spacing w:line="300" w:lineRule="exact"/>
        <w:ind w:left="1051" w:hanging="245"/>
        <w:rPr>
          <w:rFonts w:ascii="標楷體" w:eastAsia="標楷體" w:hAnsi="標楷體"/>
          <w:color w:val="000000"/>
        </w:rPr>
      </w:pPr>
      <w:proofErr w:type="gramStart"/>
      <w:r w:rsidRPr="007576F0">
        <w:rPr>
          <w:rFonts w:ascii="標楷體" w:eastAsia="標楷體" w:hAnsi="標楷體"/>
          <w:color w:val="000000"/>
        </w:rPr>
        <w:t>註</w:t>
      </w:r>
      <w:proofErr w:type="gramEnd"/>
      <w:r w:rsidRPr="007576F0">
        <w:rPr>
          <w:rFonts w:ascii="標楷體" w:eastAsia="標楷體" w:hAnsi="標楷體"/>
          <w:color w:val="000000"/>
        </w:rPr>
        <w:t>：</w:t>
      </w:r>
    </w:p>
    <w:p w14:paraId="55C003CC" w14:textId="77777777" w:rsidR="007576F0" w:rsidRPr="007576F0" w:rsidRDefault="007576F0" w:rsidP="007576F0">
      <w:pPr>
        <w:spacing w:line="300" w:lineRule="exact"/>
        <w:ind w:left="806"/>
        <w:rPr>
          <w:rFonts w:ascii="標楷體" w:eastAsia="標楷體" w:hAnsi="標楷體"/>
          <w:color w:val="000000"/>
        </w:rPr>
      </w:pPr>
      <w:r w:rsidRPr="007576F0">
        <w:rPr>
          <w:rFonts w:ascii="標楷體" w:eastAsia="標楷體" w:hAnsi="標楷體"/>
          <w:color w:val="000000"/>
        </w:rPr>
        <w:t>PSA progression 定義為:PSA下降 達最低值(nadir)後，出現 PSA 值上升較 nadir</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25%，且PSA</w:t>
      </w:r>
      <w:proofErr w:type="gramStart"/>
      <w:r w:rsidRPr="007576F0">
        <w:rPr>
          <w:rFonts w:ascii="標楷體" w:eastAsia="標楷體" w:hAnsi="標楷體"/>
          <w:color w:val="000000"/>
        </w:rPr>
        <w:t>≧</w:t>
      </w:r>
      <w:proofErr w:type="gramEnd"/>
      <w:r w:rsidRPr="007576F0">
        <w:rPr>
          <w:rFonts w:ascii="標楷體" w:eastAsia="標楷體" w:hAnsi="標楷體"/>
          <w:color w:val="000000"/>
        </w:rPr>
        <w:t>2 ng/mL，並於至少3</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後，再次抽血 確認PSA值有上升趨勢。</w:t>
      </w:r>
    </w:p>
    <w:p w14:paraId="425E7ED4" w14:textId="77777777" w:rsidR="007576F0" w:rsidRPr="007576F0" w:rsidRDefault="007576F0" w:rsidP="007576F0">
      <w:pPr>
        <w:spacing w:line="300" w:lineRule="exact"/>
        <w:ind w:left="811" w:hanging="245"/>
      </w:pPr>
      <w:r w:rsidRPr="007576F0">
        <w:rPr>
          <w:rFonts w:ascii="標楷體" w:eastAsia="標楷體" w:hAnsi="標楷體"/>
          <w:color w:val="000000"/>
        </w:rPr>
        <w:t>3.</w:t>
      </w:r>
      <w:r w:rsidRPr="007576F0">
        <w:t xml:space="preserve"> </w:t>
      </w:r>
      <w:r w:rsidRPr="007576F0">
        <w:rPr>
          <w:rFonts w:ascii="標楷體" w:eastAsia="標楷體" w:hAnsi="標楷體"/>
          <w:color w:val="000000"/>
        </w:rPr>
        <w:t>不論病人處於轉移或非轉移的狀態下，新型荷爾蒙藥品(abiraterone、apalutamide、</w:t>
      </w:r>
      <w:proofErr w:type="spellStart"/>
      <w:r w:rsidRPr="007576F0">
        <w:rPr>
          <w:rFonts w:ascii="標楷體" w:eastAsia="標楷體" w:hAnsi="標楷體"/>
          <w:color w:val="000000"/>
        </w:rPr>
        <w:t>darolutamide</w:t>
      </w:r>
      <w:proofErr w:type="spellEnd"/>
      <w:r w:rsidRPr="007576F0">
        <w:rPr>
          <w:rFonts w:ascii="標楷體" w:eastAsia="標楷體" w:hAnsi="標楷體"/>
          <w:color w:val="000000"/>
        </w:rPr>
        <w:t>和enzalutamide) ，及</w:t>
      </w:r>
      <w:proofErr w:type="spellStart"/>
      <w:r w:rsidRPr="007576F0">
        <w:rPr>
          <w:rFonts w:ascii="標楷體" w:eastAsia="標楷體" w:hAnsi="標楷體"/>
          <w:color w:val="000000"/>
        </w:rPr>
        <w:t>olaparib</w:t>
      </w:r>
      <w:proofErr w:type="spellEnd"/>
      <w:r w:rsidRPr="007576F0">
        <w:rPr>
          <w:rFonts w:ascii="標楷體" w:eastAsia="標楷體" w:hAnsi="標楷體"/>
          <w:color w:val="000000"/>
        </w:rPr>
        <w:t xml:space="preserve"> 與 abiraterone</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用，終生僅給付一種治療，且除非出現嚴重不耐受反應導致必須永久停止治療，不得互換。(112/9/1、114/6/1)</w:t>
      </w:r>
      <w:bookmarkEnd w:id="68"/>
    </w:p>
    <w:bookmarkEnd w:id="69"/>
    <w:p w14:paraId="3E345D10" w14:textId="77777777" w:rsidR="007576F0" w:rsidRPr="007576F0" w:rsidRDefault="007576F0" w:rsidP="007576F0">
      <w:pPr>
        <w:spacing w:line="300" w:lineRule="exact"/>
        <w:ind w:left="567" w:hanging="245"/>
        <w:rPr>
          <w:rFonts w:ascii="標楷體" w:eastAsia="標楷體" w:hAnsi="標楷體"/>
          <w:color w:val="000000"/>
        </w:rPr>
      </w:pPr>
      <w:r w:rsidRPr="007576F0">
        <w:rPr>
          <w:rFonts w:ascii="標楷體" w:eastAsia="標楷體" w:hAnsi="標楷體"/>
          <w:color w:val="000000"/>
        </w:rPr>
        <w:lastRenderedPageBreak/>
        <w:t>9.95.Larotrectinib (如</w:t>
      </w:r>
      <w:proofErr w:type="spellStart"/>
      <w:r w:rsidRPr="007576F0">
        <w:rPr>
          <w:rFonts w:ascii="標楷體" w:eastAsia="標楷體" w:hAnsi="標楷體"/>
          <w:color w:val="000000"/>
        </w:rPr>
        <w:t>Vitrakvi</w:t>
      </w:r>
      <w:proofErr w:type="spellEnd"/>
      <w:r w:rsidRPr="007576F0">
        <w:rPr>
          <w:rFonts w:ascii="標楷體" w:eastAsia="標楷體" w:hAnsi="標楷體"/>
          <w:color w:val="000000"/>
        </w:rPr>
        <w:t>)：(111/3/1、111/6/1、112/12/1、113/6/1)</w:t>
      </w:r>
    </w:p>
    <w:p w14:paraId="79E304AD"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color w:val="000000"/>
        </w:rPr>
        <w:tab/>
        <w:t>適用於有NTRK基因融合的實體腫瘤成人和兒童病人，並應符合以下條件：(112/12/1)</w:t>
      </w:r>
    </w:p>
    <w:p w14:paraId="15376732"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(1)具NTRK基因融合</w:t>
      </w:r>
      <w:proofErr w:type="gramStart"/>
      <w:r w:rsidRPr="007576F0">
        <w:rPr>
          <w:rFonts w:ascii="標楷體" w:eastAsia="標楷體" w:hAnsi="標楷體"/>
          <w:color w:val="000000"/>
        </w:rPr>
        <w:t>且無已知</w:t>
      </w:r>
      <w:proofErr w:type="gramEnd"/>
      <w:r w:rsidRPr="007576F0">
        <w:rPr>
          <w:rFonts w:ascii="標楷體" w:eastAsia="標楷體" w:hAnsi="標楷體"/>
          <w:color w:val="000000"/>
        </w:rPr>
        <w:t>的後天阻抗性突變(acquired resistance mutation)。</w:t>
      </w:r>
    </w:p>
    <w:p w14:paraId="097EB6DE"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(2)為轉移性實體腫瘤，或手術切除極可能造成嚴重病症(severe morbidity)。</w:t>
      </w:r>
    </w:p>
    <w:p w14:paraId="5D3A23FC"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(3)沒有合適的替代治療選項(包含免疫檢查點抑制劑)。</w:t>
      </w:r>
    </w:p>
    <w:p w14:paraId="1A836360"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2.前述1.之兒童(未滿18 歲)病人，除了嬰兒纖維肉瘤可作為(含)一線以上使用外，其餘適應症須為曾接受一線治療後無效或復發的病人。</w:t>
      </w:r>
      <w:proofErr w:type="gramStart"/>
      <w:r w:rsidRPr="007576F0">
        <w:rPr>
          <w:rFonts w:ascii="標楷體" w:eastAsia="標楷體" w:hAnsi="標楷體"/>
          <w:color w:val="000000"/>
        </w:rPr>
        <w:t>（</w:t>
      </w:r>
      <w:proofErr w:type="gramEnd"/>
      <w:r w:rsidRPr="007576F0">
        <w:rPr>
          <w:rFonts w:ascii="標楷體" w:eastAsia="標楷體" w:hAnsi="標楷體"/>
          <w:color w:val="000000"/>
        </w:rPr>
        <w:t>112/12/1)</w:t>
      </w:r>
    </w:p>
    <w:p w14:paraId="3D8811C6"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3.前述1.之成人(</w:t>
      </w:r>
      <w:proofErr w:type="gramStart"/>
      <w:r w:rsidRPr="007576F0">
        <w:rPr>
          <w:rFonts w:ascii="標楷體" w:eastAsia="標楷體" w:hAnsi="標楷體"/>
          <w:color w:val="000000"/>
        </w:rPr>
        <w:t>≧</w:t>
      </w:r>
      <w:proofErr w:type="gramEnd"/>
      <w:r w:rsidRPr="007576F0">
        <w:rPr>
          <w:rFonts w:ascii="標楷體" w:eastAsia="標楷體" w:hAnsi="標楷體"/>
          <w:color w:val="000000"/>
        </w:rPr>
        <w:t>18歲)病人，包括之適應症有:</w:t>
      </w:r>
      <w:proofErr w:type="gramStart"/>
      <w:r w:rsidRPr="007576F0">
        <w:rPr>
          <w:rFonts w:ascii="標楷體" w:eastAsia="標楷體" w:hAnsi="標楷體"/>
          <w:color w:val="000000"/>
        </w:rPr>
        <w:t>（</w:t>
      </w:r>
      <w:proofErr w:type="gramEnd"/>
      <w:r w:rsidRPr="007576F0">
        <w:rPr>
          <w:rFonts w:ascii="標楷體" w:eastAsia="標楷體" w:hAnsi="標楷體"/>
          <w:color w:val="000000"/>
        </w:rPr>
        <w:t>112/12/1)</w:t>
      </w:r>
    </w:p>
    <w:p w14:paraId="281E9FBD"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(1)非小細胞肺癌:</w:t>
      </w:r>
    </w:p>
    <w:p w14:paraId="39E2E216" w14:textId="77777777" w:rsidR="007576F0" w:rsidRPr="007576F0" w:rsidRDefault="007576F0" w:rsidP="007576F0">
      <w:pPr>
        <w:spacing w:line="300" w:lineRule="exact"/>
        <w:ind w:left="1461" w:hanging="244"/>
        <w:rPr>
          <w:rFonts w:ascii="標楷體" w:eastAsia="標楷體" w:hAnsi="標楷體"/>
          <w:color w:val="000000"/>
        </w:rPr>
      </w:pPr>
      <w:r w:rsidRPr="007576F0">
        <w:rPr>
          <w:rFonts w:ascii="標楷體" w:eastAsia="標楷體" w:hAnsi="標楷體"/>
          <w:color w:val="000000"/>
        </w:rPr>
        <w:t>I.不適合接受化學治療之晚期非小細胞肺癌成人患者，非</w:t>
      </w:r>
      <w:proofErr w:type="gramStart"/>
      <w:r w:rsidRPr="007576F0">
        <w:rPr>
          <w:rFonts w:ascii="標楷體" w:eastAsia="標楷體" w:hAnsi="標楷體"/>
          <w:color w:val="000000"/>
        </w:rPr>
        <w:t>鱗狀癌者</w:t>
      </w:r>
      <w:proofErr w:type="gramEnd"/>
      <w:r w:rsidRPr="007576F0">
        <w:rPr>
          <w:rFonts w:ascii="標楷體" w:eastAsia="標楷體" w:hAnsi="標楷體"/>
          <w:color w:val="000000"/>
        </w:rPr>
        <w:t>需為EGFR/ALK/ROS-1 腫瘤基因原</w:t>
      </w:r>
      <w:proofErr w:type="gramStart"/>
      <w:r w:rsidRPr="007576F0">
        <w:rPr>
          <w:rFonts w:ascii="標楷體" w:eastAsia="標楷體" w:hAnsi="標楷體"/>
          <w:color w:val="000000"/>
        </w:rPr>
        <w:t>生型、鱗狀癌者</w:t>
      </w:r>
      <w:proofErr w:type="gramEnd"/>
      <w:r w:rsidRPr="007576F0">
        <w:rPr>
          <w:rFonts w:ascii="標楷體" w:eastAsia="標楷體" w:hAnsi="標楷體"/>
          <w:color w:val="000000"/>
        </w:rPr>
        <w:t>需為EGFR/ALK 腫瘤基因</w:t>
      </w:r>
      <w:proofErr w:type="gramStart"/>
      <w:r w:rsidRPr="007576F0">
        <w:rPr>
          <w:rFonts w:ascii="標楷體" w:eastAsia="標楷體" w:hAnsi="標楷體"/>
          <w:color w:val="000000"/>
        </w:rPr>
        <w:t>原生型</w:t>
      </w:r>
      <w:proofErr w:type="gramEnd"/>
      <w:r w:rsidRPr="007576F0">
        <w:rPr>
          <w:rFonts w:ascii="標楷體" w:eastAsia="標楷體" w:hAnsi="標楷體"/>
          <w:color w:val="000000"/>
        </w:rPr>
        <w:t>。</w:t>
      </w:r>
    </w:p>
    <w:p w14:paraId="50084A52" w14:textId="77777777" w:rsidR="007576F0" w:rsidRPr="007576F0" w:rsidRDefault="007576F0" w:rsidP="007576F0">
      <w:pPr>
        <w:spacing w:line="300" w:lineRule="exact"/>
        <w:ind w:left="1461" w:hanging="244"/>
        <w:rPr>
          <w:rFonts w:ascii="標楷體" w:eastAsia="標楷體" w:hAnsi="標楷體"/>
          <w:color w:val="000000"/>
        </w:rPr>
      </w:pPr>
      <w:r w:rsidRPr="007576F0">
        <w:rPr>
          <w:rFonts w:ascii="標楷體" w:eastAsia="標楷體" w:hAnsi="標楷體"/>
          <w:color w:val="000000"/>
        </w:rPr>
        <w:t>Ⅱ.先前已使用過platinum 類化學治療失敗後，又有疾病惡化，且EGFR/ALK 腫瘤基因為</w:t>
      </w:r>
      <w:proofErr w:type="gramStart"/>
      <w:r w:rsidRPr="007576F0">
        <w:rPr>
          <w:rFonts w:ascii="標楷體" w:eastAsia="標楷體" w:hAnsi="標楷體"/>
          <w:color w:val="000000"/>
        </w:rPr>
        <w:t>原生型之晚期鱗狀非</w:t>
      </w:r>
      <w:proofErr w:type="gramEnd"/>
      <w:r w:rsidRPr="007576F0">
        <w:rPr>
          <w:rFonts w:ascii="標楷體" w:eastAsia="標楷體" w:hAnsi="標楷體"/>
          <w:color w:val="000000"/>
        </w:rPr>
        <w:t>小細胞肺癌患者。</w:t>
      </w:r>
    </w:p>
    <w:p w14:paraId="69180DF1" w14:textId="77777777" w:rsidR="007576F0" w:rsidRPr="007576F0" w:rsidRDefault="007576F0" w:rsidP="007576F0">
      <w:pPr>
        <w:spacing w:line="300" w:lineRule="exact"/>
        <w:ind w:left="1461" w:hanging="244"/>
        <w:rPr>
          <w:rFonts w:ascii="標楷體" w:eastAsia="標楷體" w:hAnsi="標楷體"/>
          <w:color w:val="000000"/>
        </w:rPr>
      </w:pPr>
      <w:r w:rsidRPr="007576F0">
        <w:rPr>
          <w:rFonts w:ascii="標楷體" w:eastAsia="標楷體" w:hAnsi="標楷體"/>
          <w:color w:val="000000"/>
        </w:rPr>
        <w:t>Ⅲ.先前已使用過platinum 類及docetaxel /paclitaxel 類二線(含)以上化學治療均失敗，又有疾病惡化，且EGFR/ALK/ROS-1 腫瘤基因為</w:t>
      </w:r>
      <w:proofErr w:type="gramStart"/>
      <w:r w:rsidRPr="007576F0">
        <w:rPr>
          <w:rFonts w:ascii="標楷體" w:eastAsia="標楷體" w:hAnsi="標楷體"/>
          <w:color w:val="000000"/>
        </w:rPr>
        <w:t>原生型之</w:t>
      </w:r>
      <w:proofErr w:type="gramEnd"/>
      <w:r w:rsidRPr="007576F0">
        <w:rPr>
          <w:rFonts w:ascii="標楷體" w:eastAsia="標楷體" w:hAnsi="標楷體"/>
          <w:color w:val="000000"/>
        </w:rPr>
        <w:t>晚期非小細胞肺腺癌患者。</w:t>
      </w:r>
    </w:p>
    <w:p w14:paraId="5ADBD4CE" w14:textId="77777777" w:rsidR="007576F0" w:rsidRPr="007576F0" w:rsidRDefault="007576F0" w:rsidP="007576F0">
      <w:pPr>
        <w:spacing w:line="300" w:lineRule="exact"/>
        <w:ind w:left="1461" w:hanging="244"/>
        <w:rPr>
          <w:rFonts w:ascii="標楷體" w:eastAsia="標楷體" w:hAnsi="標楷體"/>
          <w:color w:val="000000"/>
        </w:rPr>
      </w:pPr>
      <w:r w:rsidRPr="007576F0">
        <w:rPr>
          <w:rFonts w:ascii="標楷體" w:eastAsia="標楷體" w:hAnsi="標楷體"/>
          <w:color w:val="000000"/>
        </w:rPr>
        <w:t>Ⅳ.先前曾接受過至少一線anti-EGFR TKI 治療失敗，且因NTRK 基因融合對anti-EGFR TKI 產生抗性之局部侵犯性或轉移性之EGFR 突變非小細胞肺癌患者。</w:t>
      </w:r>
    </w:p>
    <w:p w14:paraId="3E7FBF26"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(2)大腸直腸癌:先前已使用過FOLFIRI（folinic acid/5- fluorouracil/irinotecan）或FOLFOX（folinic acid/5- fluorouracil/oxaliplatin）治療失敗，又有疾病惡化之轉移性直腸結腸癌患者。</w:t>
      </w:r>
    </w:p>
    <w:p w14:paraId="45D4E640"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(3)黑色素瘤:先前曾接受過至少一次全身性治療失敗，又有疾病惡化，且BRAF腫瘤基因為</w:t>
      </w:r>
      <w:proofErr w:type="gramStart"/>
      <w:r w:rsidRPr="007576F0">
        <w:rPr>
          <w:rFonts w:ascii="標楷體" w:eastAsia="標楷體" w:hAnsi="標楷體"/>
          <w:color w:val="000000"/>
        </w:rPr>
        <w:t>原生型之</w:t>
      </w:r>
      <w:proofErr w:type="gramEnd"/>
      <w:r w:rsidRPr="007576F0">
        <w:rPr>
          <w:rFonts w:ascii="標楷體" w:eastAsia="標楷體" w:hAnsi="標楷體"/>
          <w:color w:val="000000"/>
        </w:rPr>
        <w:t>無法手術切除或轉移的第三期或第四期黑色素瘤患者。</w:t>
      </w:r>
    </w:p>
    <w:p w14:paraId="1392101A"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(4)胰臟癌:先前曾接受過至少一次全身性治療失敗，又有疾病惡化，無法手術切除或轉移性胰臟癌患者。</w:t>
      </w:r>
    </w:p>
    <w:p w14:paraId="658069AB"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(5)甲狀腺癌:用於放射性碘治療無效之局部晚期或轉移性的進行性 (progressive)甲狀腺癌。</w:t>
      </w:r>
    </w:p>
    <w:p w14:paraId="0A62B61E"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(6)惡性神經膠質瘤或退</w:t>
      </w:r>
      <w:proofErr w:type="gramStart"/>
      <w:r w:rsidRPr="007576F0">
        <w:rPr>
          <w:rFonts w:ascii="標楷體" w:eastAsia="標楷體" w:hAnsi="標楷體"/>
          <w:color w:val="000000"/>
        </w:rPr>
        <w:t>行性星狀</w:t>
      </w:r>
      <w:proofErr w:type="gramEnd"/>
      <w:r w:rsidRPr="007576F0">
        <w:rPr>
          <w:rFonts w:ascii="標楷體" w:eastAsia="標楷體" w:hAnsi="標楷體"/>
          <w:color w:val="000000"/>
        </w:rPr>
        <w:t>細胞瘤:先前曾接受過標準放射線治療以及化學藥物治療失敗之高度惡性神經膠質瘤(WHO 第4級)或退</w:t>
      </w:r>
      <w:proofErr w:type="gramStart"/>
      <w:r w:rsidRPr="007576F0">
        <w:rPr>
          <w:rFonts w:ascii="標楷體" w:eastAsia="標楷體" w:hAnsi="標楷體"/>
          <w:color w:val="000000"/>
        </w:rPr>
        <w:t>行性星狀</w:t>
      </w:r>
      <w:proofErr w:type="gramEnd"/>
      <w:r w:rsidRPr="007576F0">
        <w:rPr>
          <w:rFonts w:ascii="標楷體" w:eastAsia="標楷體" w:hAnsi="標楷體"/>
          <w:color w:val="000000"/>
        </w:rPr>
        <w:t>細胞瘤(WHO 第3-4 級)。</w:t>
      </w:r>
    </w:p>
    <w:p w14:paraId="07F14D15"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(7)肝內膽管癌:先前曾接受過至少一次全身性治療失敗，又有疾病惡化，無法手術切除或晚期或復發</w:t>
      </w:r>
      <w:proofErr w:type="gramStart"/>
      <w:r w:rsidRPr="007576F0">
        <w:rPr>
          <w:rFonts w:ascii="標楷體" w:eastAsia="標楷體" w:hAnsi="標楷體"/>
          <w:color w:val="000000"/>
        </w:rPr>
        <w:t>之膽道癌(含肝</w:t>
      </w:r>
      <w:proofErr w:type="gramEnd"/>
      <w:r w:rsidRPr="007576F0">
        <w:rPr>
          <w:rFonts w:ascii="標楷體" w:eastAsia="標楷體" w:hAnsi="標楷體"/>
          <w:color w:val="000000"/>
        </w:rPr>
        <w:t>內膽管)病患。</w:t>
      </w:r>
    </w:p>
    <w:p w14:paraId="4F26CA3D"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(8)軟組織肉瘤:用於治療先前曾接受化療失敗的晚期軟組織肉瘤(STS)患者。其病情若能接受手術治療者，須先經手術治療。</w:t>
      </w:r>
    </w:p>
    <w:p w14:paraId="1E295510"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(9)胃腸</w:t>
      </w:r>
      <w:proofErr w:type="gramStart"/>
      <w:r w:rsidRPr="007576F0">
        <w:rPr>
          <w:rFonts w:ascii="標楷體" w:eastAsia="標楷體" w:hAnsi="標楷體"/>
          <w:color w:val="000000"/>
        </w:rPr>
        <w:t>道基質瘤</w:t>
      </w:r>
      <w:proofErr w:type="gramEnd"/>
      <w:r w:rsidRPr="007576F0">
        <w:rPr>
          <w:rFonts w:ascii="標楷體" w:eastAsia="標楷體" w:hAnsi="標楷體"/>
          <w:color w:val="000000"/>
        </w:rPr>
        <w:t>:先前曾接受過至少一次全身性治療失敗，又有疾病惡化，無法手術切除或轉移的惡性胃腸</w:t>
      </w:r>
      <w:proofErr w:type="gramStart"/>
      <w:r w:rsidRPr="007576F0">
        <w:rPr>
          <w:rFonts w:ascii="標楷體" w:eastAsia="標楷體" w:hAnsi="標楷體"/>
          <w:color w:val="000000"/>
        </w:rPr>
        <w:t>道基質瘤</w:t>
      </w:r>
      <w:proofErr w:type="gramEnd"/>
      <w:r w:rsidRPr="007576F0">
        <w:rPr>
          <w:rFonts w:ascii="標楷體" w:eastAsia="標楷體" w:hAnsi="標楷體"/>
          <w:color w:val="000000"/>
        </w:rPr>
        <w:t>。</w:t>
      </w:r>
    </w:p>
    <w:p w14:paraId="32B1048E"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(10)唾液腺腫瘤:無法手術切除或轉移的唾液腺腫瘤。</w:t>
      </w:r>
    </w:p>
    <w:p w14:paraId="4C0888D6"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(11)骨癌:無法手術切除或轉移的骨癌。</w:t>
      </w:r>
    </w:p>
    <w:p w14:paraId="7E765DFE"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(12)闌尾癌:先前曾接受過至少一次全身性治療失敗，又有疾病惡化，無法手術切除或轉移的闌尾癌。</w:t>
      </w:r>
    </w:p>
    <w:p w14:paraId="1E00DAD4"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(13)分泌型乳腺癌:先前曾接受過前導性、術後輔助性或轉移性化學治療的轉移性分泌型乳腺癌。</w:t>
      </w:r>
    </w:p>
    <w:p w14:paraId="21D7ACBE"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4.需經事前審查核准後使用：(111/3/1、111/6/1、113/6/1)</w:t>
      </w:r>
    </w:p>
    <w:p w14:paraId="6A0AB190"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lastRenderedPageBreak/>
        <w:t>(1)每次申請之療程以12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w:t>
      </w:r>
    </w:p>
    <w:p w14:paraId="374AD886"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(2)初次申請時需檢附NTRK基因融合檢測報告。NTRK 1/2/3檢測需符合全民健康保險藥品給付規定之通則十二。(111/6/1、113/6/1)</w:t>
      </w:r>
    </w:p>
    <w:p w14:paraId="4D616625" w14:textId="77777777" w:rsidR="007576F0" w:rsidRPr="007576F0" w:rsidRDefault="007576F0" w:rsidP="007576F0">
      <w:pPr>
        <w:spacing w:line="300" w:lineRule="exact"/>
        <w:ind w:left="1134" w:hanging="245"/>
        <w:rPr>
          <w:rFonts w:ascii="標楷體" w:eastAsia="標楷體" w:hAnsi="標楷體"/>
          <w:color w:val="000000"/>
        </w:rPr>
      </w:pPr>
      <w:r w:rsidRPr="007576F0">
        <w:rPr>
          <w:rFonts w:ascii="標楷體" w:eastAsia="標楷體" w:hAnsi="標楷體"/>
          <w:color w:val="000000"/>
        </w:rPr>
        <w:t>(3)再次申請時需檢附療效評估資料證實無疾病進展，才可繼續使用。</w:t>
      </w:r>
    </w:p>
    <w:p w14:paraId="2C986EA3" w14:textId="77777777" w:rsidR="007576F0" w:rsidRPr="007576F0" w:rsidRDefault="007576F0" w:rsidP="007576F0">
      <w:pPr>
        <w:spacing w:line="300" w:lineRule="exact"/>
        <w:ind w:left="567" w:hanging="245"/>
        <w:rPr>
          <w:rFonts w:ascii="標楷體" w:eastAsia="標楷體" w:hAnsi="標楷體"/>
          <w:color w:val="000000"/>
        </w:rPr>
      </w:pPr>
      <w:bookmarkStart w:id="70" w:name="_Hlk101789957"/>
      <w:r w:rsidRPr="007576F0">
        <w:rPr>
          <w:rFonts w:ascii="標楷體" w:eastAsia="標楷體" w:hAnsi="標楷體"/>
          <w:color w:val="000000"/>
        </w:rPr>
        <w:t>9.96.Decitabine：(111/5/1)</w:t>
      </w:r>
    </w:p>
    <w:p w14:paraId="6ED92AD8"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1.骨髓增生不良症候群高危險性病患：頑固性貧血</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有過量</w:t>
      </w:r>
      <w:proofErr w:type="gramStart"/>
      <w:r w:rsidRPr="007576F0">
        <w:rPr>
          <w:rFonts w:ascii="標楷體" w:eastAsia="標楷體" w:hAnsi="標楷體"/>
          <w:color w:val="000000"/>
        </w:rPr>
        <w:t>芽</w:t>
      </w:r>
      <w:proofErr w:type="gramEnd"/>
      <w:r w:rsidRPr="007576F0">
        <w:rPr>
          <w:rFonts w:ascii="標楷體" w:eastAsia="標楷體" w:hAnsi="標楷體"/>
          <w:color w:val="000000"/>
        </w:rPr>
        <w:t>細胞（RA with excess blasts, RAEB）、轉變中的頑固性貧血</w:t>
      </w:r>
      <w:proofErr w:type="gramStart"/>
      <w:r w:rsidRPr="007576F0">
        <w:rPr>
          <w:rFonts w:ascii="標楷體" w:eastAsia="標楷體" w:hAnsi="標楷體"/>
          <w:color w:val="000000"/>
        </w:rPr>
        <w:t>併</w:t>
      </w:r>
      <w:proofErr w:type="gramEnd"/>
      <w:r w:rsidRPr="007576F0">
        <w:rPr>
          <w:rFonts w:ascii="標楷體" w:eastAsia="標楷體" w:hAnsi="標楷體"/>
          <w:color w:val="000000"/>
        </w:rPr>
        <w:t>有過量</w:t>
      </w:r>
      <w:proofErr w:type="gramStart"/>
      <w:r w:rsidRPr="007576F0">
        <w:rPr>
          <w:rFonts w:ascii="標楷體" w:eastAsia="標楷體" w:hAnsi="標楷體"/>
          <w:color w:val="000000"/>
        </w:rPr>
        <w:t>芽</w:t>
      </w:r>
      <w:proofErr w:type="gramEnd"/>
      <w:r w:rsidRPr="007576F0">
        <w:rPr>
          <w:rFonts w:ascii="標楷體" w:eastAsia="標楷體" w:hAnsi="標楷體"/>
          <w:color w:val="000000"/>
        </w:rPr>
        <w:t xml:space="preserve">細胞（RAEB in transformation, RAEB-T）、及慢性骨髓單核細胞性白血病（chronic myelomonocytic leukemia, </w:t>
      </w:r>
      <w:proofErr w:type="spellStart"/>
      <w:r w:rsidRPr="007576F0">
        <w:rPr>
          <w:rFonts w:ascii="標楷體" w:eastAsia="標楷體" w:hAnsi="標楷體"/>
          <w:color w:val="000000"/>
        </w:rPr>
        <w:t>CMMoL</w:t>
      </w:r>
      <w:proofErr w:type="spellEnd"/>
      <w:r w:rsidRPr="007576F0">
        <w:rPr>
          <w:rFonts w:ascii="標楷體" w:eastAsia="標楷體" w:hAnsi="標楷體"/>
          <w:color w:val="000000"/>
        </w:rPr>
        <w:t>）。</w:t>
      </w:r>
    </w:p>
    <w:p w14:paraId="1C4D9330"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2.初次申請時需經事前審查核准後使用。</w:t>
      </w:r>
    </w:p>
    <w:p w14:paraId="67144F82"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3.續用本藥品不需再事前審查，惟病歷應留存確診之病理或影像診斷證明等報告，並記錄治療相關臨床資料。病患倘病情惡化至急性骨髓性白血病即應停藥。</w:t>
      </w:r>
    </w:p>
    <w:p w14:paraId="113B1B7A"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4.急性骨髓性白血病之定義：骨髓</w:t>
      </w:r>
      <w:proofErr w:type="gramStart"/>
      <w:r w:rsidRPr="007576F0">
        <w:rPr>
          <w:rFonts w:ascii="標楷體" w:eastAsia="標楷體" w:hAnsi="標楷體"/>
          <w:color w:val="000000"/>
        </w:rPr>
        <w:t>芽</w:t>
      </w:r>
      <w:proofErr w:type="gramEnd"/>
      <w:r w:rsidRPr="007576F0">
        <w:rPr>
          <w:rFonts w:ascii="標楷體" w:eastAsia="標楷體" w:hAnsi="標楷體"/>
          <w:color w:val="000000"/>
        </w:rPr>
        <w:t>細胞（myeloblast）大於30%。</w:t>
      </w:r>
    </w:p>
    <w:p w14:paraId="2399C45B" w14:textId="77777777" w:rsidR="007576F0" w:rsidRPr="007576F0" w:rsidRDefault="007576F0" w:rsidP="007576F0">
      <w:pPr>
        <w:spacing w:line="300" w:lineRule="exact"/>
        <w:ind w:left="811" w:hanging="245"/>
        <w:rPr>
          <w:rFonts w:ascii="標楷體" w:eastAsia="標楷體" w:hAnsi="標楷體"/>
          <w:color w:val="000000"/>
        </w:rPr>
      </w:pPr>
      <w:r w:rsidRPr="007576F0">
        <w:rPr>
          <w:rFonts w:ascii="標楷體" w:eastAsia="標楷體" w:hAnsi="標楷體"/>
          <w:color w:val="000000"/>
        </w:rPr>
        <w:t>5.本藥品與azacitidine僅能擇</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使用，</w:t>
      </w:r>
      <w:proofErr w:type="gramStart"/>
      <w:r w:rsidRPr="007576F0">
        <w:rPr>
          <w:rFonts w:ascii="標楷體" w:eastAsia="標楷體" w:hAnsi="標楷體"/>
          <w:color w:val="000000"/>
        </w:rPr>
        <w:t>除因耐受</w:t>
      </w:r>
      <w:proofErr w:type="gramEnd"/>
      <w:r w:rsidRPr="007576F0">
        <w:rPr>
          <w:rFonts w:ascii="標楷體" w:eastAsia="標楷體" w:hAnsi="標楷體"/>
          <w:color w:val="000000"/>
        </w:rPr>
        <w:t>性不良，不得互換。使用本藥品無效後，不得再申請azacitidine。</w:t>
      </w:r>
      <w:bookmarkEnd w:id="70"/>
    </w:p>
    <w:p w14:paraId="5D0E90E7" w14:textId="77777777" w:rsidR="007576F0" w:rsidRPr="007576F0" w:rsidRDefault="007576F0" w:rsidP="007576F0">
      <w:pPr>
        <w:spacing w:line="300" w:lineRule="exact"/>
        <w:ind w:left="567" w:hanging="245"/>
        <w:rPr>
          <w:rFonts w:ascii="標楷體" w:eastAsia="標楷體" w:hAnsi="標楷體"/>
          <w:color w:val="000000"/>
        </w:rPr>
      </w:pPr>
      <w:r w:rsidRPr="007576F0">
        <w:rPr>
          <w:rFonts w:ascii="標楷體" w:eastAsia="標楷體" w:hAnsi="標楷體"/>
          <w:color w:val="000000"/>
        </w:rPr>
        <w:t>9.97.Avapritinib (如</w:t>
      </w:r>
      <w:proofErr w:type="spellStart"/>
      <w:r w:rsidRPr="007576F0">
        <w:rPr>
          <w:rFonts w:ascii="標楷體" w:eastAsia="標楷體" w:hAnsi="標楷體"/>
          <w:color w:val="000000"/>
        </w:rPr>
        <w:t>Ayvakit</w:t>
      </w:r>
      <w:proofErr w:type="spellEnd"/>
      <w:r w:rsidRPr="007576F0">
        <w:rPr>
          <w:rFonts w:ascii="標楷體" w:eastAsia="標楷體" w:hAnsi="標楷體"/>
          <w:color w:val="000000"/>
        </w:rPr>
        <w:t>)：(111/6/1、113/6/1)</w:t>
      </w:r>
    </w:p>
    <w:p w14:paraId="12D9D074"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1.治療具有血小板衍生生長因子α受體(PDGFRA)D842V突變之無法切除或轉移性腸胃道</w:t>
      </w:r>
      <w:proofErr w:type="gramStart"/>
      <w:r w:rsidRPr="007576F0">
        <w:rPr>
          <w:rFonts w:ascii="標楷體" w:eastAsia="標楷體" w:hAnsi="標楷體"/>
          <w:color w:val="000000"/>
        </w:rPr>
        <w:t>間質瘤</w:t>
      </w:r>
      <w:proofErr w:type="gramEnd"/>
      <w:r w:rsidRPr="007576F0">
        <w:rPr>
          <w:rFonts w:ascii="標楷體" w:eastAsia="標楷體" w:hAnsi="標楷體"/>
          <w:color w:val="000000"/>
        </w:rPr>
        <w:t>的成年病人。</w:t>
      </w:r>
    </w:p>
    <w:p w14:paraId="491EA025"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2.需經事前審查核准後使用，初次申請時需檢附血小板衍生生長因子α受體(PDGFRA)D842V突變檢測報告，且需符合全民健康保險藥品給付規定之通則十二。(111/6/1、113/6/1)</w:t>
      </w:r>
    </w:p>
    <w:p w14:paraId="36F29983"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3.每次申請事前審查之療程以6個月為限，再次申請必須提出客觀證據(如：影像學)證實無惡化，才可繼續使用。</w:t>
      </w:r>
    </w:p>
    <w:p w14:paraId="13F809EA"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4.每日至多處方100mg 2粒或300mg 1粒。</w:t>
      </w:r>
    </w:p>
    <w:p w14:paraId="2DA108E3" w14:textId="77777777" w:rsidR="007576F0" w:rsidRPr="007576F0" w:rsidRDefault="007576F0" w:rsidP="007576F0">
      <w:pPr>
        <w:spacing w:line="300" w:lineRule="exact"/>
        <w:ind w:left="567" w:hanging="245"/>
        <w:rPr>
          <w:rFonts w:ascii="標楷體" w:eastAsia="標楷體" w:hAnsi="標楷體"/>
          <w:color w:val="000000"/>
        </w:rPr>
      </w:pPr>
      <w:r w:rsidRPr="007576F0">
        <w:rPr>
          <w:rFonts w:ascii="標楷體" w:eastAsia="標楷體" w:hAnsi="標楷體"/>
          <w:color w:val="000000"/>
        </w:rPr>
        <w:t>9.98.Pemigatinib (如</w:t>
      </w:r>
      <w:proofErr w:type="spellStart"/>
      <w:r w:rsidRPr="007576F0">
        <w:rPr>
          <w:rFonts w:ascii="標楷體" w:eastAsia="標楷體" w:hAnsi="標楷體"/>
          <w:color w:val="000000"/>
        </w:rPr>
        <w:t>Pemazyre</w:t>
      </w:r>
      <w:proofErr w:type="spellEnd"/>
      <w:r w:rsidRPr="007576F0">
        <w:rPr>
          <w:rFonts w:ascii="標楷體" w:eastAsia="標楷體" w:hAnsi="標楷體"/>
          <w:color w:val="000000"/>
        </w:rPr>
        <w:t>)：(112/5/1、113/6/1)</w:t>
      </w:r>
    </w:p>
    <w:p w14:paraId="15DEACC2"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1.適用於成人接受過全身性藥物治療、腫瘤具有FGFR2融合或重排、不可手術切除的局部晚期或</w:t>
      </w:r>
      <w:proofErr w:type="gramStart"/>
      <w:r w:rsidRPr="007576F0">
        <w:rPr>
          <w:rFonts w:ascii="標楷體" w:eastAsia="標楷體" w:hAnsi="標楷體"/>
          <w:color w:val="000000"/>
        </w:rPr>
        <w:t>轉移性肝內</w:t>
      </w:r>
      <w:proofErr w:type="gramEnd"/>
      <w:r w:rsidRPr="007576F0">
        <w:rPr>
          <w:rFonts w:ascii="標楷體" w:eastAsia="標楷體" w:hAnsi="標楷體"/>
          <w:color w:val="000000"/>
        </w:rPr>
        <w:t>膽管癌。</w:t>
      </w:r>
    </w:p>
    <w:p w14:paraId="1A963C1C"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2.需經事前審查核准後使用，初次申請需檢附腫瘤組織具有FGFR2基因融合或重排之基因變異檢測報告，且需符合全民健康保險藥品給付規定之通則十二。(113/6/1)</w:t>
      </w:r>
    </w:p>
    <w:p w14:paraId="108CC967"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3.核准後每12週需再次申請，再次申請時需檢附療效評估資料證實無疾病惡化，才可繼續使用。</w:t>
      </w:r>
    </w:p>
    <w:p w14:paraId="041735FC"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4.每日限處方1粒。</w:t>
      </w:r>
    </w:p>
    <w:p w14:paraId="097EB58E" w14:textId="77777777" w:rsidR="007576F0" w:rsidRPr="007576F0" w:rsidRDefault="007576F0" w:rsidP="007576F0">
      <w:pPr>
        <w:spacing w:line="300" w:lineRule="exact"/>
        <w:ind w:left="567" w:hanging="245"/>
        <w:rPr>
          <w:rFonts w:ascii="標楷體" w:eastAsia="標楷體" w:hAnsi="標楷體"/>
          <w:color w:val="000000"/>
        </w:rPr>
      </w:pPr>
      <w:r w:rsidRPr="007576F0">
        <w:rPr>
          <w:rFonts w:ascii="標楷體" w:eastAsia="標楷體" w:hAnsi="標楷體"/>
          <w:color w:val="000000"/>
        </w:rPr>
        <w:t>9.99.Gilteritinib(如</w:t>
      </w:r>
      <w:proofErr w:type="spellStart"/>
      <w:r w:rsidRPr="007576F0">
        <w:rPr>
          <w:rFonts w:ascii="標楷體" w:eastAsia="標楷體" w:hAnsi="標楷體"/>
          <w:color w:val="000000"/>
        </w:rPr>
        <w:t>Xospata</w:t>
      </w:r>
      <w:proofErr w:type="spellEnd"/>
      <w:r w:rsidRPr="007576F0">
        <w:rPr>
          <w:rFonts w:ascii="標楷體" w:eastAsia="標楷體" w:hAnsi="標楷體"/>
          <w:color w:val="000000"/>
        </w:rPr>
        <w:t>)：(112/6/1、113/6/1</w:t>
      </w:r>
      <w:r w:rsidRPr="007576F0">
        <w:rPr>
          <w:rFonts w:ascii="標楷體" w:eastAsia="標楷體" w:hAnsi="標楷體" w:hint="eastAsia"/>
          <w:color w:val="000000"/>
        </w:rPr>
        <w:t>、115/8/1</w:t>
      </w:r>
      <w:r w:rsidRPr="007576F0">
        <w:rPr>
          <w:rFonts w:ascii="標楷體" w:eastAsia="標楷體" w:hAnsi="標楷體"/>
          <w:color w:val="000000"/>
        </w:rPr>
        <w:t>)</w:t>
      </w:r>
    </w:p>
    <w:p w14:paraId="5D07B41E"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hint="eastAsia"/>
          <w:color w:val="000000"/>
        </w:rPr>
        <w:t>限單獨使用於具有FLT3突變的復發</w:t>
      </w:r>
      <w:proofErr w:type="gramStart"/>
      <w:r w:rsidRPr="007576F0">
        <w:rPr>
          <w:rFonts w:ascii="標楷體" w:eastAsia="標楷體" w:hAnsi="標楷體" w:hint="eastAsia"/>
          <w:color w:val="000000"/>
        </w:rPr>
        <w:t>性或難治</w:t>
      </w:r>
      <w:proofErr w:type="gramEnd"/>
      <w:r w:rsidRPr="007576F0">
        <w:rPr>
          <w:rFonts w:ascii="標楷體" w:eastAsia="標楷體" w:hAnsi="標楷體" w:hint="eastAsia"/>
          <w:color w:val="000000"/>
        </w:rPr>
        <w:t>性急性骨髓性白血病(R/R AML)，限用於(112/6/1、115/8/1)：</w:t>
      </w:r>
    </w:p>
    <w:p w14:paraId="0B95D132"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hint="eastAsia"/>
          <w:color w:val="000000"/>
        </w:rPr>
        <w:t>(1)計畫進行造血幹細胞移植的成年病人，限移植前使用，每位病人限給付6療程。病患須至少接受過一次含anthracycline藥物的化學治療。</w:t>
      </w:r>
    </w:p>
    <w:p w14:paraId="0D872D08"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hint="eastAsia"/>
          <w:color w:val="000000"/>
        </w:rPr>
        <w:t>(2)移植後的維持治療，病人移植</w:t>
      </w:r>
      <w:proofErr w:type="gramStart"/>
      <w:r w:rsidRPr="007576F0">
        <w:rPr>
          <w:rFonts w:ascii="標楷體" w:eastAsia="標楷體" w:hAnsi="標楷體" w:hint="eastAsia"/>
          <w:color w:val="000000"/>
        </w:rPr>
        <w:t>前需曾使用</w:t>
      </w:r>
      <w:proofErr w:type="spellStart"/>
      <w:proofErr w:type="gramEnd"/>
      <w:r w:rsidRPr="007576F0">
        <w:rPr>
          <w:rFonts w:ascii="標楷體" w:eastAsia="標楷體" w:hAnsi="標楷體" w:hint="eastAsia"/>
          <w:color w:val="000000"/>
        </w:rPr>
        <w:t>gilteritinib</w:t>
      </w:r>
      <w:proofErr w:type="spellEnd"/>
      <w:r w:rsidRPr="007576F0">
        <w:rPr>
          <w:rFonts w:ascii="標楷體" w:eastAsia="標楷體" w:hAnsi="標楷體" w:hint="eastAsia"/>
          <w:color w:val="000000"/>
        </w:rPr>
        <w:t>至少1個療程，移植後30天內未發生疾病惡化，且至少達到複合</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解（Composite CR）方可繼續申請使用。(115/8/1)</w:t>
      </w:r>
    </w:p>
    <w:p w14:paraId="15D7326C"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2.須</w:t>
      </w:r>
      <w:r w:rsidRPr="007576F0">
        <w:rPr>
          <w:rFonts w:ascii="標楷體" w:eastAsia="標楷體" w:hAnsi="標楷體" w:hint="eastAsia"/>
          <w:color w:val="000000"/>
        </w:rPr>
        <w:t>經事前審查核准後使用，每次申請為3個療程，每</w:t>
      </w:r>
      <w:proofErr w:type="gramStart"/>
      <w:r w:rsidRPr="007576F0">
        <w:rPr>
          <w:rFonts w:ascii="標楷體" w:eastAsia="標楷體" w:hAnsi="標楷體" w:hint="eastAsia"/>
          <w:color w:val="000000"/>
        </w:rPr>
        <w:t>個</w:t>
      </w:r>
      <w:proofErr w:type="gramEnd"/>
      <w:r w:rsidRPr="007576F0">
        <w:rPr>
          <w:rFonts w:ascii="標楷體" w:eastAsia="標楷體" w:hAnsi="標楷體" w:hint="eastAsia"/>
          <w:color w:val="000000"/>
        </w:rPr>
        <w:t>療程為1個月，申請劑量以每日120mg為上限：(112/6/1、115/8/1)</w:t>
      </w:r>
    </w:p>
    <w:p w14:paraId="7BB61AA5"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hint="eastAsia"/>
          <w:color w:val="000000"/>
        </w:rPr>
        <w:t>移植前使用之病人需檢附</w:t>
      </w:r>
    </w:p>
    <w:p w14:paraId="14291BBD" w14:textId="77777777" w:rsidR="007576F0" w:rsidRPr="007576F0" w:rsidRDefault="007576F0" w:rsidP="007576F0">
      <w:pPr>
        <w:spacing w:line="300" w:lineRule="exact"/>
        <w:ind w:left="1418" w:hanging="284"/>
        <w:rPr>
          <w:rFonts w:ascii="標楷體" w:eastAsia="標楷體" w:hAnsi="標楷體"/>
          <w:color w:val="000000"/>
        </w:rPr>
      </w:pPr>
      <w:r w:rsidRPr="007576F0">
        <w:rPr>
          <w:rFonts w:ascii="標楷體" w:eastAsia="標楷體" w:hAnsi="標楷體" w:hint="eastAsia"/>
          <w:color w:val="000000"/>
        </w:rPr>
        <w:t>I.初次申請：</w:t>
      </w:r>
    </w:p>
    <w:p w14:paraId="0819D570" w14:textId="77777777" w:rsidR="007576F0" w:rsidRPr="007576F0" w:rsidRDefault="007576F0" w:rsidP="007576F0">
      <w:pPr>
        <w:spacing w:line="300" w:lineRule="exact"/>
        <w:ind w:left="1418"/>
        <w:rPr>
          <w:rFonts w:ascii="標楷體" w:eastAsia="標楷體" w:hAnsi="標楷體"/>
          <w:color w:val="000000"/>
        </w:rPr>
      </w:pPr>
      <w:proofErr w:type="spellStart"/>
      <w:r w:rsidRPr="007576F0">
        <w:rPr>
          <w:rFonts w:ascii="標楷體" w:eastAsia="標楷體" w:hAnsi="標楷體" w:hint="eastAsia"/>
          <w:color w:val="000000"/>
        </w:rPr>
        <w:t>i</w:t>
      </w:r>
      <w:proofErr w:type="spellEnd"/>
      <w:r w:rsidRPr="007576F0">
        <w:rPr>
          <w:rFonts w:ascii="標楷體" w:eastAsia="標楷體" w:hAnsi="標楷體" w:hint="eastAsia"/>
          <w:color w:val="000000"/>
        </w:rPr>
        <w:t>.相關病歷資料。</w:t>
      </w:r>
    </w:p>
    <w:p w14:paraId="621DF0DE" w14:textId="77777777" w:rsidR="007576F0" w:rsidRPr="007576F0" w:rsidRDefault="007576F0" w:rsidP="007576F0">
      <w:pPr>
        <w:spacing w:line="300" w:lineRule="exact"/>
        <w:ind w:leftChars="591" w:left="1840" w:hangingChars="176" w:hanging="422"/>
        <w:rPr>
          <w:rFonts w:ascii="標楷體" w:eastAsia="標楷體" w:hAnsi="標楷體"/>
          <w:color w:val="000000"/>
        </w:rPr>
      </w:pPr>
      <w:r w:rsidRPr="007576F0">
        <w:rPr>
          <w:rFonts w:ascii="標楷體" w:eastAsia="標楷體" w:hAnsi="標楷體" w:hint="eastAsia"/>
          <w:color w:val="000000"/>
        </w:rPr>
        <w:t>ii.完整之造血幹細胞移植計畫，並詳細記載確認捐贈者名單及移植前調適治療等資料。需由具訓練血液及骨髓移植醫師能力之醫院申請，並由完成血液及骨髓移植訓練之醫師確認移植計畫。</w:t>
      </w:r>
    </w:p>
    <w:p w14:paraId="31AE63EB" w14:textId="77777777" w:rsidR="007576F0" w:rsidRPr="007576F0" w:rsidRDefault="007576F0" w:rsidP="007576F0">
      <w:pPr>
        <w:spacing w:line="300" w:lineRule="exact"/>
        <w:ind w:leftChars="591" w:left="1840" w:hangingChars="176" w:hanging="422"/>
        <w:rPr>
          <w:rFonts w:ascii="標楷體" w:eastAsia="標楷體" w:hAnsi="標楷體"/>
          <w:color w:val="000000"/>
        </w:rPr>
      </w:pPr>
      <w:r w:rsidRPr="007576F0">
        <w:rPr>
          <w:rFonts w:ascii="標楷體" w:eastAsia="標楷體" w:hAnsi="標楷體" w:hint="eastAsia"/>
          <w:color w:val="000000"/>
        </w:rPr>
        <w:lastRenderedPageBreak/>
        <w:t>iii.染色體檢驗報告，若為unfavorable karyotype(包含complex karyotype、-5、-5q、 -7、-7q、除t(9;11)外的11q23 abnormalities、inv(3)、(3;3)、t(6;9)以及t(9;22)等) 則不予給付。</w:t>
      </w:r>
    </w:p>
    <w:p w14:paraId="0A3BFE19" w14:textId="77777777" w:rsidR="007576F0" w:rsidRPr="007576F0" w:rsidRDefault="007576F0" w:rsidP="007576F0">
      <w:pPr>
        <w:spacing w:line="300" w:lineRule="exact"/>
        <w:ind w:left="1418" w:hanging="284"/>
        <w:rPr>
          <w:rFonts w:ascii="標楷體" w:eastAsia="標楷體" w:hAnsi="標楷體"/>
          <w:color w:val="000000"/>
        </w:rPr>
      </w:pPr>
      <w:r w:rsidRPr="007576F0">
        <w:rPr>
          <w:rFonts w:ascii="標楷體" w:eastAsia="標楷體" w:hAnsi="標楷體" w:hint="eastAsia"/>
          <w:color w:val="000000"/>
        </w:rPr>
        <w:t>II.申請續用次3個療程時須檢附達到PR、Cri或CR的證明方可續用。(112/6/1、115/8/1)</w:t>
      </w:r>
    </w:p>
    <w:p w14:paraId="3A8FC2C0"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hint="eastAsia"/>
          <w:color w:val="000000"/>
        </w:rPr>
        <w:t>移植後使用於維持治療之病人需檢</w:t>
      </w:r>
      <w:proofErr w:type="gramStart"/>
      <w:r w:rsidRPr="007576F0">
        <w:rPr>
          <w:rFonts w:ascii="標楷體" w:eastAsia="標楷體" w:hAnsi="標楷體" w:hint="eastAsia"/>
          <w:color w:val="000000"/>
        </w:rPr>
        <w:t>附</w:t>
      </w:r>
      <w:proofErr w:type="gramEnd"/>
      <w:r w:rsidRPr="007576F0">
        <w:rPr>
          <w:rFonts w:ascii="標楷體" w:eastAsia="標楷體" w:hAnsi="標楷體" w:hint="eastAsia"/>
          <w:color w:val="000000"/>
        </w:rPr>
        <w:t>：(115/8/1)</w:t>
      </w:r>
    </w:p>
    <w:p w14:paraId="382F0609" w14:textId="77777777" w:rsidR="007576F0" w:rsidRPr="007576F0" w:rsidRDefault="007576F0" w:rsidP="007576F0">
      <w:pPr>
        <w:spacing w:line="300" w:lineRule="exact"/>
        <w:ind w:left="1418" w:hanging="284"/>
        <w:rPr>
          <w:rFonts w:ascii="標楷體" w:eastAsia="標楷體" w:hAnsi="標楷體"/>
          <w:color w:val="000000"/>
        </w:rPr>
      </w:pPr>
      <w:r w:rsidRPr="007576F0">
        <w:rPr>
          <w:rFonts w:ascii="標楷體" w:eastAsia="標楷體" w:hAnsi="標楷體" w:hint="eastAsia"/>
          <w:color w:val="000000"/>
        </w:rPr>
        <w:t>I.初次申請：</w:t>
      </w:r>
    </w:p>
    <w:p w14:paraId="7F074947" w14:textId="77777777" w:rsidR="007576F0" w:rsidRPr="007576F0" w:rsidRDefault="007576F0" w:rsidP="007576F0">
      <w:pPr>
        <w:spacing w:line="300" w:lineRule="exact"/>
        <w:ind w:left="1418"/>
        <w:rPr>
          <w:rFonts w:ascii="標楷體" w:eastAsia="標楷體" w:hAnsi="標楷體"/>
          <w:color w:val="000000"/>
        </w:rPr>
      </w:pPr>
      <w:proofErr w:type="spellStart"/>
      <w:r w:rsidRPr="007576F0">
        <w:rPr>
          <w:rFonts w:ascii="標楷體" w:eastAsia="標楷體" w:hAnsi="標楷體" w:hint="eastAsia"/>
          <w:color w:val="000000"/>
        </w:rPr>
        <w:t>i</w:t>
      </w:r>
      <w:proofErr w:type="spellEnd"/>
      <w:r w:rsidRPr="007576F0">
        <w:rPr>
          <w:rFonts w:ascii="標楷體" w:eastAsia="標楷體" w:hAnsi="標楷體" w:hint="eastAsia"/>
          <w:color w:val="000000"/>
        </w:rPr>
        <w:t>.相關病理與病歷資料。</w:t>
      </w:r>
    </w:p>
    <w:p w14:paraId="559329F8" w14:textId="77777777" w:rsidR="007576F0" w:rsidRPr="007576F0" w:rsidRDefault="007576F0" w:rsidP="007576F0">
      <w:pPr>
        <w:spacing w:line="300" w:lineRule="exact"/>
        <w:ind w:left="1418"/>
        <w:rPr>
          <w:rFonts w:ascii="標楷體" w:eastAsia="標楷體" w:hAnsi="標楷體"/>
          <w:color w:val="000000"/>
        </w:rPr>
      </w:pPr>
      <w:r w:rsidRPr="007576F0">
        <w:rPr>
          <w:rFonts w:ascii="標楷體" w:eastAsia="標楷體" w:hAnsi="標楷體" w:hint="eastAsia"/>
          <w:color w:val="000000"/>
        </w:rPr>
        <w:t>ii.使用</w:t>
      </w:r>
      <w:proofErr w:type="spellStart"/>
      <w:r w:rsidRPr="007576F0">
        <w:rPr>
          <w:rFonts w:ascii="標楷體" w:eastAsia="標楷體" w:hAnsi="標楷體" w:hint="eastAsia"/>
          <w:color w:val="000000"/>
        </w:rPr>
        <w:t>gilteritinib</w:t>
      </w:r>
      <w:proofErr w:type="spellEnd"/>
      <w:r w:rsidRPr="007576F0">
        <w:rPr>
          <w:rFonts w:ascii="標楷體" w:eastAsia="標楷體" w:hAnsi="標楷體" w:hint="eastAsia"/>
          <w:color w:val="000000"/>
        </w:rPr>
        <w:t>的用藥紀錄。</w:t>
      </w:r>
    </w:p>
    <w:p w14:paraId="09BDEEA2" w14:textId="77777777" w:rsidR="007576F0" w:rsidRPr="007576F0" w:rsidRDefault="007576F0" w:rsidP="007576F0">
      <w:pPr>
        <w:spacing w:line="300" w:lineRule="exact"/>
        <w:ind w:left="1418" w:hanging="284"/>
        <w:rPr>
          <w:rFonts w:ascii="標楷體" w:eastAsia="標楷體" w:hAnsi="標楷體"/>
          <w:color w:val="000000"/>
        </w:rPr>
      </w:pPr>
      <w:r w:rsidRPr="007576F0">
        <w:rPr>
          <w:rFonts w:ascii="標楷體" w:eastAsia="標楷體" w:hAnsi="標楷體" w:hint="eastAsia"/>
          <w:color w:val="000000"/>
        </w:rPr>
        <w:t>II.申請續用：</w:t>
      </w:r>
    </w:p>
    <w:p w14:paraId="567860AB" w14:textId="77777777" w:rsidR="007576F0" w:rsidRPr="007576F0" w:rsidRDefault="007576F0" w:rsidP="007576F0">
      <w:pPr>
        <w:spacing w:line="300" w:lineRule="exact"/>
        <w:ind w:left="1418"/>
        <w:rPr>
          <w:rFonts w:ascii="標楷體" w:eastAsia="標楷體" w:hAnsi="標楷體"/>
          <w:color w:val="000000"/>
        </w:rPr>
      </w:pPr>
      <w:proofErr w:type="spellStart"/>
      <w:r w:rsidRPr="007576F0">
        <w:rPr>
          <w:rFonts w:ascii="標楷體" w:eastAsia="標楷體" w:hAnsi="標楷體" w:hint="eastAsia"/>
          <w:color w:val="000000"/>
        </w:rPr>
        <w:t>i</w:t>
      </w:r>
      <w:proofErr w:type="spellEnd"/>
      <w:r w:rsidRPr="007576F0">
        <w:rPr>
          <w:rFonts w:ascii="標楷體" w:eastAsia="標楷體" w:hAnsi="標楷體" w:hint="eastAsia"/>
          <w:color w:val="000000"/>
        </w:rPr>
        <w:t>.療效評估資料證明無疾病復發。</w:t>
      </w:r>
    </w:p>
    <w:p w14:paraId="63215337" w14:textId="77777777" w:rsidR="007576F0" w:rsidRPr="007576F0" w:rsidRDefault="007576F0" w:rsidP="007576F0">
      <w:pPr>
        <w:spacing w:line="300" w:lineRule="exact"/>
        <w:ind w:leftChars="591" w:left="1840" w:hangingChars="176" w:hanging="422"/>
        <w:rPr>
          <w:rFonts w:ascii="標楷體" w:eastAsia="標楷體" w:hAnsi="標楷體"/>
          <w:color w:val="000000"/>
        </w:rPr>
      </w:pPr>
      <w:r w:rsidRPr="007576F0">
        <w:rPr>
          <w:rFonts w:ascii="標楷體" w:eastAsia="標楷體" w:hAnsi="標楷體" w:hint="eastAsia"/>
          <w:color w:val="000000"/>
        </w:rPr>
        <w:t>ii.3個月內微量殘留病灶(MRD)檢驗報告，若MRD檢驗結果為陽性者，得繼續使用；若MRD結果為陰性者，得續用並再觀察3個療程，如再次評估MRD檢驗結果仍為陰性，則停止使用。</w:t>
      </w:r>
    </w:p>
    <w:p w14:paraId="10824FAE" w14:textId="77777777" w:rsidR="007576F0" w:rsidRPr="007576F0" w:rsidRDefault="007576F0" w:rsidP="007576F0">
      <w:pPr>
        <w:spacing w:line="300" w:lineRule="exact"/>
        <w:ind w:left="1051" w:hanging="245"/>
        <w:rPr>
          <w:rFonts w:ascii="標楷體" w:eastAsia="標楷體" w:hAnsi="標楷體"/>
          <w:color w:val="000000"/>
        </w:rPr>
      </w:pPr>
      <w:r w:rsidRPr="007576F0">
        <w:rPr>
          <w:rFonts w:ascii="標楷體" w:eastAsia="標楷體" w:hAnsi="標楷體"/>
          <w:color w:val="000000"/>
        </w:rPr>
        <w:t>3.檢附</w:t>
      </w:r>
      <w:r w:rsidRPr="007576F0">
        <w:rPr>
          <w:rFonts w:ascii="標楷體" w:eastAsia="標楷體" w:hAnsi="標楷體" w:hint="eastAsia"/>
          <w:color w:val="000000"/>
        </w:rPr>
        <w:t>之FLT3突變檢測結果報告，需符合全民健康保險藥品給付規定之通則十二。(113/6/1)</w:t>
      </w:r>
    </w:p>
    <w:p w14:paraId="723792DC" w14:textId="77777777" w:rsidR="007576F0" w:rsidRPr="007576F0" w:rsidRDefault="007576F0" w:rsidP="007576F0">
      <w:pPr>
        <w:spacing w:line="300" w:lineRule="exact"/>
        <w:ind w:left="567" w:hanging="245"/>
        <w:rPr>
          <w:rFonts w:ascii="標楷體" w:eastAsia="標楷體" w:hAnsi="標楷體"/>
        </w:rPr>
      </w:pPr>
      <w:r w:rsidRPr="007576F0">
        <w:rPr>
          <w:rFonts w:ascii="標楷體" w:eastAsia="標楷體" w:hAnsi="標楷體" w:hint="eastAsia"/>
        </w:rPr>
        <w:t>9.100.Acalabrutinib(如</w:t>
      </w:r>
      <w:proofErr w:type="spellStart"/>
      <w:r w:rsidRPr="007576F0">
        <w:rPr>
          <w:rFonts w:ascii="標楷體" w:eastAsia="標楷體" w:hAnsi="標楷體" w:hint="eastAsia"/>
        </w:rPr>
        <w:t>Calquence</w:t>
      </w:r>
      <w:proofErr w:type="spellEnd"/>
      <w:r w:rsidRPr="007576F0">
        <w:rPr>
          <w:rFonts w:ascii="標楷體" w:eastAsia="標楷體" w:hAnsi="標楷體" w:hint="eastAsia"/>
        </w:rPr>
        <w:t>)：(112/7/1、112/12/1、114/10/1、115/5/1)</w:t>
      </w:r>
    </w:p>
    <w:p w14:paraId="5909FB28" w14:textId="77777777" w:rsidR="007576F0" w:rsidRPr="007576F0" w:rsidRDefault="007576F0" w:rsidP="007576F0">
      <w:pPr>
        <w:spacing w:line="300" w:lineRule="exact"/>
        <w:ind w:left="850" w:hanging="245"/>
        <w:rPr>
          <w:rFonts w:ascii="標楷體" w:eastAsia="標楷體" w:hAnsi="標楷體"/>
        </w:rPr>
      </w:pPr>
      <w:r w:rsidRPr="007576F0">
        <w:rPr>
          <w:rFonts w:ascii="標楷體" w:eastAsia="標楷體" w:hAnsi="標楷體" w:hint="eastAsia"/>
        </w:rPr>
        <w:t>1.單獨使用於先前接受過至少一種化學或標靶治療方式無效或復發的被套細胞淋巴瘤成年病人。</w:t>
      </w:r>
    </w:p>
    <w:p w14:paraId="6EF50379"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(1)需經事前審查核准後使用。首次申請事前審查之療程以4個月為限，之後每3個月需再次申請，再次申請時應檢附前次治療結果評估資料，如影像學檢查報告。</w:t>
      </w:r>
    </w:p>
    <w:p w14:paraId="48931FE9"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(2)若疾病進展，則必須停止使用。</w:t>
      </w:r>
    </w:p>
    <w:p w14:paraId="4F3BF74C"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(3)每位病人限給付20個月。</w:t>
      </w:r>
    </w:p>
    <w:p w14:paraId="4A8B0DA7"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(4)每日至多處方2粒。</w:t>
      </w:r>
    </w:p>
    <w:p w14:paraId="5397A0D9"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(5)</w:t>
      </w:r>
      <w:proofErr w:type="spellStart"/>
      <w:r w:rsidRPr="007576F0">
        <w:rPr>
          <w:rFonts w:ascii="標楷體" w:eastAsia="標楷體" w:hAnsi="標楷體" w:hint="eastAsia"/>
        </w:rPr>
        <w:t>zanubrutinib</w:t>
      </w:r>
      <w:proofErr w:type="spellEnd"/>
      <w:r w:rsidRPr="007576F0">
        <w:rPr>
          <w:rFonts w:ascii="標楷體" w:eastAsia="標楷體" w:hAnsi="標楷體" w:hint="eastAsia"/>
        </w:rPr>
        <w:t>、ibrutinib及acalabrutinib僅能擇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使用，唯有在出現無法忍受其副作用時方可互換。三者使用總療程合併計算，以全部20個月為上限。(112/12/1)</w:t>
      </w:r>
    </w:p>
    <w:p w14:paraId="7B029539" w14:textId="77777777" w:rsidR="007576F0" w:rsidRPr="007576F0" w:rsidRDefault="007576F0" w:rsidP="007576F0">
      <w:pPr>
        <w:spacing w:line="300" w:lineRule="exact"/>
        <w:ind w:left="850" w:hanging="245"/>
        <w:rPr>
          <w:rFonts w:ascii="標楷體" w:eastAsia="標楷體" w:hAnsi="標楷體"/>
        </w:rPr>
      </w:pPr>
      <w:r w:rsidRPr="007576F0">
        <w:rPr>
          <w:rFonts w:ascii="標楷體" w:eastAsia="標楷體" w:hAnsi="標楷體" w:hint="eastAsia"/>
        </w:rPr>
        <w:t>2.單獨使用於慢性淋巴球性白血病(CLL)成年病人。(112/7/1、112/12/1、114/10/1、115/5/1)</w:t>
      </w:r>
    </w:p>
    <w:p w14:paraId="2D23973B"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(1)ECOG 分數須</w:t>
      </w:r>
      <w:proofErr w:type="gramStart"/>
      <w:r w:rsidRPr="007576F0">
        <w:rPr>
          <w:rFonts w:ascii="標楷體" w:eastAsia="標楷體" w:hAnsi="標楷體" w:hint="eastAsia"/>
        </w:rPr>
        <w:t>≦</w:t>
      </w:r>
      <w:proofErr w:type="gramEnd"/>
      <w:r w:rsidRPr="007576F0">
        <w:rPr>
          <w:rFonts w:ascii="標楷體" w:eastAsia="標楷體" w:hAnsi="標楷體" w:hint="eastAsia"/>
        </w:rPr>
        <w:t>2。(114/10/1)</w:t>
      </w:r>
    </w:p>
    <w:p w14:paraId="496D7F16"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(2)需符合下列任</w:t>
      </w:r>
      <w:proofErr w:type="gramStart"/>
      <w:r w:rsidRPr="007576F0">
        <w:rPr>
          <w:rFonts w:ascii="標楷體" w:eastAsia="標楷體" w:hAnsi="標楷體" w:hint="eastAsia"/>
        </w:rPr>
        <w:t>一</w:t>
      </w:r>
      <w:proofErr w:type="gramEnd"/>
      <w:r w:rsidRPr="007576F0">
        <w:rPr>
          <w:rFonts w:ascii="標楷體" w:eastAsia="標楷體" w:hAnsi="標楷體" w:hint="eastAsia"/>
        </w:rPr>
        <w:t>情況：</w:t>
      </w:r>
    </w:p>
    <w:p w14:paraId="08B141DE"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I.具有17p缺失。</w:t>
      </w:r>
    </w:p>
    <w:p w14:paraId="13389115" w14:textId="77777777" w:rsidR="007576F0" w:rsidRPr="007576F0" w:rsidRDefault="007576F0" w:rsidP="007576F0">
      <w:pPr>
        <w:spacing w:line="300" w:lineRule="exact"/>
        <w:ind w:leftChars="354" w:left="1220" w:hangingChars="154" w:hanging="370"/>
        <w:rPr>
          <w:rFonts w:ascii="標楷體" w:eastAsia="標楷體" w:hAnsi="標楷體"/>
        </w:rPr>
      </w:pPr>
      <w:r w:rsidRPr="007576F0">
        <w:rPr>
          <w:rFonts w:ascii="標楷體" w:eastAsia="標楷體" w:hAnsi="標楷體" w:hint="eastAsia"/>
        </w:rPr>
        <w:t>II.非IGHV突變且曾接受至少1種包括alkylating agent與anti-CD20(如R-CVP、RCHOP、rituximab加</w:t>
      </w:r>
      <w:proofErr w:type="spellStart"/>
      <w:r w:rsidRPr="007576F0">
        <w:rPr>
          <w:rFonts w:ascii="標楷體" w:eastAsia="標楷體" w:hAnsi="標楷體" w:hint="eastAsia"/>
        </w:rPr>
        <w:t>bendamustine</w:t>
      </w:r>
      <w:proofErr w:type="spellEnd"/>
      <w:r w:rsidRPr="007576F0">
        <w:rPr>
          <w:rFonts w:ascii="標楷體" w:eastAsia="標楷體" w:hAnsi="標楷體" w:hint="eastAsia"/>
        </w:rPr>
        <w:t>等)的治療2個療程以上仍惡化或復發者。(114/10/1)</w:t>
      </w:r>
    </w:p>
    <w:p w14:paraId="7C228547" w14:textId="77777777" w:rsidR="007576F0" w:rsidRPr="007576F0" w:rsidRDefault="007576F0" w:rsidP="007576F0">
      <w:pPr>
        <w:spacing w:line="300" w:lineRule="exact"/>
        <w:ind w:leftChars="354" w:left="1220" w:hangingChars="154" w:hanging="370"/>
        <w:rPr>
          <w:rFonts w:ascii="標楷體" w:eastAsia="標楷體" w:hAnsi="標楷體"/>
        </w:rPr>
      </w:pPr>
      <w:r w:rsidRPr="007576F0">
        <w:rPr>
          <w:rFonts w:ascii="標楷體" w:eastAsia="標楷體" w:hAnsi="標楷體" w:hint="eastAsia"/>
        </w:rPr>
        <w:t>III.CLL病人需先前曾接受至少2線治療(排除僅有口服藥物之療程)，治療中須包括alkylating agent與anti-CD20(如R-CVP、RCHOP、rituximab加</w:t>
      </w:r>
      <w:proofErr w:type="spellStart"/>
      <w:r w:rsidRPr="007576F0">
        <w:rPr>
          <w:rFonts w:ascii="標楷體" w:eastAsia="標楷體" w:hAnsi="標楷體" w:hint="eastAsia"/>
        </w:rPr>
        <w:t>bendamustine</w:t>
      </w:r>
      <w:proofErr w:type="spellEnd"/>
      <w:r w:rsidRPr="007576F0">
        <w:rPr>
          <w:rFonts w:ascii="標楷體" w:eastAsia="標楷體" w:hAnsi="標楷體" w:hint="eastAsia"/>
        </w:rPr>
        <w:t>等)的治療，</w:t>
      </w:r>
      <w:proofErr w:type="gramStart"/>
      <w:r w:rsidRPr="007576F0">
        <w:rPr>
          <w:rFonts w:ascii="標楷體" w:eastAsia="標楷體" w:hAnsi="標楷體" w:hint="eastAsia"/>
        </w:rPr>
        <w:t>每線治療</w:t>
      </w:r>
      <w:proofErr w:type="gramEnd"/>
      <w:r w:rsidRPr="007576F0">
        <w:rPr>
          <w:rFonts w:ascii="標楷體" w:eastAsia="標楷體" w:hAnsi="標楷體" w:hint="eastAsia"/>
        </w:rPr>
        <w:t>至少2個療程以上後，仍惡化或復發者。(114/10/1)</w:t>
      </w:r>
    </w:p>
    <w:p w14:paraId="535FECE7"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(3)開始使用前之疾病狀態需出現下列任</w:t>
      </w:r>
      <w:proofErr w:type="gramStart"/>
      <w:r w:rsidRPr="007576F0">
        <w:rPr>
          <w:rFonts w:ascii="標楷體" w:eastAsia="標楷體" w:hAnsi="標楷體" w:hint="eastAsia"/>
        </w:rPr>
        <w:t>一</w:t>
      </w:r>
      <w:proofErr w:type="gramEnd"/>
      <w:r w:rsidRPr="007576F0">
        <w:rPr>
          <w:rFonts w:ascii="標楷體" w:eastAsia="標楷體" w:hAnsi="標楷體" w:hint="eastAsia"/>
        </w:rPr>
        <w:t>情形：</w:t>
      </w:r>
    </w:p>
    <w:p w14:paraId="22103A5A" w14:textId="77777777" w:rsidR="007576F0" w:rsidRPr="007576F0" w:rsidRDefault="007576F0" w:rsidP="007576F0">
      <w:pPr>
        <w:spacing w:line="300" w:lineRule="exact"/>
        <w:ind w:leftChars="377" w:left="1133" w:hangingChars="95" w:hanging="228"/>
        <w:rPr>
          <w:rFonts w:ascii="標楷體" w:eastAsia="標楷體" w:hAnsi="標楷體"/>
        </w:rPr>
      </w:pPr>
      <w:r w:rsidRPr="007576F0">
        <w:rPr>
          <w:rFonts w:ascii="標楷體" w:eastAsia="標楷體" w:hAnsi="標楷體" w:hint="eastAsia"/>
        </w:rPr>
        <w:t>I.進行性的血液相惡化至Hb &lt; 10.0 gm/dL或PLT &lt; 100 K/</w:t>
      </w:r>
      <w:proofErr w:type="spellStart"/>
      <w:r w:rsidRPr="007576F0">
        <w:rPr>
          <w:rFonts w:ascii="標楷體" w:eastAsia="標楷體" w:hAnsi="標楷體" w:hint="eastAsia"/>
        </w:rPr>
        <w:t>uL</w:t>
      </w:r>
      <w:proofErr w:type="spellEnd"/>
      <w:r w:rsidRPr="007576F0">
        <w:rPr>
          <w:rFonts w:ascii="標楷體" w:eastAsia="標楷體" w:hAnsi="標楷體" w:hint="eastAsia"/>
        </w:rPr>
        <w:t>，且無其他原因可以解釋。</w:t>
      </w:r>
    </w:p>
    <w:p w14:paraId="639B5FC4" w14:textId="77777777" w:rsidR="007576F0" w:rsidRPr="007576F0" w:rsidRDefault="007576F0" w:rsidP="007576F0">
      <w:pPr>
        <w:spacing w:line="300" w:lineRule="exact"/>
        <w:ind w:leftChars="377" w:left="905"/>
        <w:rPr>
          <w:rFonts w:ascii="標楷體" w:eastAsia="標楷體" w:hAnsi="標楷體"/>
        </w:rPr>
      </w:pPr>
      <w:r w:rsidRPr="007576F0">
        <w:rPr>
          <w:rFonts w:ascii="標楷體" w:eastAsia="標楷體" w:hAnsi="標楷體" w:hint="eastAsia"/>
        </w:rPr>
        <w:t>II.脾臟腫大超過左肋骨下緣6cm。</w:t>
      </w:r>
    </w:p>
    <w:p w14:paraId="5AB5D092" w14:textId="77777777" w:rsidR="007576F0" w:rsidRPr="007576F0" w:rsidRDefault="007576F0" w:rsidP="007576F0">
      <w:pPr>
        <w:spacing w:line="300" w:lineRule="exact"/>
        <w:ind w:leftChars="377" w:left="905"/>
        <w:rPr>
          <w:rFonts w:ascii="標楷體" w:eastAsia="標楷體" w:hAnsi="標楷體"/>
        </w:rPr>
      </w:pPr>
      <w:r w:rsidRPr="007576F0">
        <w:rPr>
          <w:rFonts w:ascii="標楷體" w:eastAsia="標楷體" w:hAnsi="標楷體" w:hint="eastAsia"/>
        </w:rPr>
        <w:t>III.淋巴結腫大，最長徑超過10cm。</w:t>
      </w:r>
    </w:p>
    <w:p w14:paraId="0C0F603C" w14:textId="77777777" w:rsidR="007576F0" w:rsidRPr="007576F0" w:rsidRDefault="007576F0" w:rsidP="007576F0">
      <w:pPr>
        <w:spacing w:line="300" w:lineRule="exact"/>
        <w:ind w:leftChars="377" w:left="1133" w:hangingChars="95" w:hanging="228"/>
        <w:rPr>
          <w:rFonts w:ascii="標楷體" w:eastAsia="標楷體" w:hAnsi="標楷體"/>
        </w:rPr>
      </w:pPr>
      <w:r w:rsidRPr="007576F0">
        <w:rPr>
          <w:rFonts w:ascii="標楷體" w:eastAsia="標楷體" w:hAnsi="標楷體" w:hint="eastAsia"/>
        </w:rPr>
        <w:t>IV.周邊血液淋巴球在2個月內增加50%以上，或倍增時間(doubling time)小於6個月。</w:t>
      </w:r>
    </w:p>
    <w:p w14:paraId="44EBA68D" w14:textId="77777777" w:rsidR="007576F0" w:rsidRPr="007576F0" w:rsidRDefault="007576F0" w:rsidP="007576F0">
      <w:pPr>
        <w:spacing w:line="300" w:lineRule="exact"/>
        <w:ind w:leftChars="377" w:left="905"/>
        <w:rPr>
          <w:rFonts w:ascii="標楷體" w:eastAsia="標楷體" w:hAnsi="標楷體"/>
        </w:rPr>
      </w:pPr>
      <w:r w:rsidRPr="007576F0">
        <w:rPr>
          <w:rFonts w:ascii="標楷體" w:eastAsia="標楷體" w:hAnsi="標楷體" w:hint="eastAsia"/>
        </w:rPr>
        <w:t>V.出現自體免疫併發症，且經類固醇治療無效。</w:t>
      </w:r>
    </w:p>
    <w:p w14:paraId="1F615760" w14:textId="77777777" w:rsidR="007576F0" w:rsidRPr="007576F0" w:rsidRDefault="007576F0" w:rsidP="007576F0">
      <w:pPr>
        <w:spacing w:line="300" w:lineRule="exact"/>
        <w:ind w:leftChars="377" w:left="905"/>
        <w:rPr>
          <w:rFonts w:ascii="標楷體" w:eastAsia="標楷體" w:hAnsi="標楷體"/>
        </w:rPr>
      </w:pPr>
      <w:r w:rsidRPr="007576F0">
        <w:rPr>
          <w:rFonts w:ascii="標楷體" w:eastAsia="標楷體" w:hAnsi="標楷體" w:hint="eastAsia"/>
        </w:rPr>
        <w:t>VI.出現具症狀的淋巴結外病灶。</w:t>
      </w:r>
    </w:p>
    <w:p w14:paraId="7461C3C8"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(4)需經事前審查核准後使用，每3個月需再次申請。再次申請時需檢附療效評估資</w:t>
      </w:r>
      <w:r w:rsidRPr="007576F0">
        <w:rPr>
          <w:rFonts w:ascii="標楷體" w:eastAsia="標楷體" w:hAnsi="標楷體" w:hint="eastAsia"/>
        </w:rPr>
        <w:lastRenderedPageBreak/>
        <w:t>料，若未達</w:t>
      </w:r>
      <w:proofErr w:type="spellStart"/>
      <w:r w:rsidRPr="007576F0">
        <w:rPr>
          <w:rFonts w:ascii="標楷體" w:eastAsia="標楷體" w:hAnsi="標楷體" w:hint="eastAsia"/>
        </w:rPr>
        <w:t>iwCLL</w:t>
      </w:r>
      <w:proofErr w:type="spellEnd"/>
      <w:r w:rsidRPr="007576F0">
        <w:rPr>
          <w:rFonts w:ascii="標楷體" w:eastAsia="標楷體" w:hAnsi="標楷體" w:hint="eastAsia"/>
        </w:rPr>
        <w:t xml:space="preserve"> (International Workshop on CLL)最新定義之partial remission或complete remission，則不予給付。</w:t>
      </w:r>
    </w:p>
    <w:p w14:paraId="65A0BB8D"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(5)在具有17缺失病人，acalabrutinib、ibrutinib、</w:t>
      </w:r>
      <w:proofErr w:type="spellStart"/>
      <w:r w:rsidRPr="007576F0">
        <w:rPr>
          <w:rFonts w:ascii="標楷體" w:eastAsia="標楷體" w:hAnsi="標楷體" w:hint="eastAsia"/>
        </w:rPr>
        <w:t>venetoclax</w:t>
      </w:r>
      <w:proofErr w:type="spellEnd"/>
      <w:r w:rsidRPr="007576F0">
        <w:rPr>
          <w:rFonts w:ascii="標楷體" w:eastAsia="標楷體" w:hAnsi="標楷體" w:hint="eastAsia"/>
        </w:rPr>
        <w:t>與</w:t>
      </w:r>
      <w:proofErr w:type="spellStart"/>
      <w:r w:rsidRPr="007576F0">
        <w:rPr>
          <w:rFonts w:ascii="標楷體" w:eastAsia="標楷體" w:hAnsi="標楷體" w:hint="eastAsia"/>
        </w:rPr>
        <w:t>zanubrutinib</w:t>
      </w:r>
      <w:proofErr w:type="spellEnd"/>
      <w:r w:rsidRPr="007576F0">
        <w:rPr>
          <w:rFonts w:ascii="標楷體" w:eastAsia="標楷體" w:hAnsi="標楷體" w:hint="eastAsia"/>
        </w:rPr>
        <w:t>四者僅能擇</w:t>
      </w:r>
      <w:proofErr w:type="gramStart"/>
      <w:r w:rsidRPr="007576F0">
        <w:rPr>
          <w:rFonts w:ascii="標楷體" w:eastAsia="標楷體" w:hAnsi="標楷體" w:hint="eastAsia"/>
        </w:rPr>
        <w:t>一</w:t>
      </w:r>
      <w:proofErr w:type="gramEnd"/>
      <w:r w:rsidRPr="007576F0">
        <w:rPr>
          <w:rFonts w:ascii="標楷體" w:eastAsia="標楷體" w:hAnsi="標楷體" w:hint="eastAsia"/>
        </w:rPr>
        <w:t xml:space="preserve">使用，唯有在出現無法忍受其副作用時方可互換。四者使用總療程合併計算，以全部24個月為上限。(112/7/1、114/10/1) </w:t>
      </w:r>
    </w:p>
    <w:p w14:paraId="6247FFA4" w14:textId="77777777" w:rsidR="007576F0" w:rsidRPr="007576F0" w:rsidRDefault="007576F0" w:rsidP="007576F0">
      <w:pPr>
        <w:spacing w:line="300" w:lineRule="exact"/>
        <w:ind w:leftChars="277" w:left="991" w:hangingChars="136" w:hanging="326"/>
        <w:rPr>
          <w:rFonts w:ascii="標楷體" w:eastAsia="標楷體" w:hAnsi="標楷體"/>
        </w:rPr>
      </w:pPr>
      <w:r w:rsidRPr="007576F0">
        <w:rPr>
          <w:rFonts w:ascii="標楷體" w:eastAsia="標楷體" w:hAnsi="標楷體" w:hint="eastAsia"/>
        </w:rPr>
        <w:t>(6)在非IGHV突變二線以上病人及CLL三線以上病人，acalabrutinib、ibrutinib與</w:t>
      </w:r>
      <w:proofErr w:type="spellStart"/>
      <w:r w:rsidRPr="007576F0">
        <w:rPr>
          <w:rFonts w:ascii="標楷體" w:eastAsia="標楷體" w:hAnsi="標楷體" w:hint="eastAsia"/>
        </w:rPr>
        <w:t>zanubrutinib</w:t>
      </w:r>
      <w:proofErr w:type="spellEnd"/>
      <w:r w:rsidRPr="007576F0">
        <w:rPr>
          <w:rFonts w:ascii="標楷體" w:eastAsia="標楷體" w:hAnsi="標楷體" w:hint="eastAsia"/>
        </w:rPr>
        <w:t>三者僅能擇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使用，唯有在出現無法忍受其副作用時方可互換。三者使用總療程合併計算，以全部24個月為上限。(114/10/1、115/5/1)</w:t>
      </w:r>
    </w:p>
    <w:p w14:paraId="7F27143C" w14:textId="77777777" w:rsidR="007576F0" w:rsidRPr="007576F0" w:rsidRDefault="007576F0" w:rsidP="007576F0">
      <w:pPr>
        <w:spacing w:line="300" w:lineRule="exact"/>
        <w:ind w:leftChars="277" w:left="991" w:hangingChars="136" w:hanging="326"/>
      </w:pPr>
      <w:r w:rsidRPr="007576F0">
        <w:rPr>
          <w:rFonts w:ascii="標楷體" w:eastAsia="標楷體" w:hAnsi="標楷體" w:hint="eastAsia"/>
        </w:rPr>
        <w:t>(7)每日至多處方2粒。</w:t>
      </w:r>
    </w:p>
    <w:p w14:paraId="194043F3"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color w:val="000000"/>
        </w:rPr>
        <w:t>9.101.Tepotinib (如</w:t>
      </w:r>
      <w:proofErr w:type="spellStart"/>
      <w:r w:rsidRPr="007576F0">
        <w:rPr>
          <w:rFonts w:ascii="標楷體" w:eastAsia="標楷體" w:hAnsi="標楷體"/>
          <w:color w:val="000000"/>
        </w:rPr>
        <w:t>Tepmetko</w:t>
      </w:r>
      <w:proofErr w:type="spellEnd"/>
      <w:r w:rsidRPr="007576F0">
        <w:rPr>
          <w:rFonts w:ascii="標楷體" w:eastAsia="標楷體" w:hAnsi="標楷體"/>
          <w:color w:val="000000"/>
        </w:rPr>
        <w:t>):(112/7/1、113/6/1)</w:t>
      </w:r>
    </w:p>
    <w:p w14:paraId="517B8862"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1.適用於治療</w:t>
      </w:r>
      <w:proofErr w:type="gramStart"/>
      <w:r w:rsidRPr="007576F0">
        <w:rPr>
          <w:rFonts w:ascii="標楷體" w:eastAsia="標楷體" w:hAnsi="標楷體"/>
          <w:color w:val="000000"/>
        </w:rPr>
        <w:t>轉移性非小</w:t>
      </w:r>
      <w:proofErr w:type="gramEnd"/>
      <w:r w:rsidRPr="007576F0">
        <w:rPr>
          <w:rFonts w:ascii="標楷體" w:eastAsia="標楷體" w:hAnsi="標楷體"/>
          <w:color w:val="000000"/>
        </w:rPr>
        <w:t>細胞肺癌的成人病人，其腫瘤帶有</w:t>
      </w:r>
      <w:proofErr w:type="gramStart"/>
      <w:r w:rsidRPr="007576F0">
        <w:rPr>
          <w:rFonts w:ascii="標楷體" w:eastAsia="標楷體" w:hAnsi="標楷體"/>
          <w:color w:val="000000"/>
        </w:rPr>
        <w:t>導致間質上</w:t>
      </w:r>
      <w:proofErr w:type="gramEnd"/>
      <w:r w:rsidRPr="007576F0">
        <w:rPr>
          <w:rFonts w:ascii="標楷體" w:eastAsia="標楷體" w:hAnsi="標楷體"/>
          <w:color w:val="000000"/>
        </w:rPr>
        <w:t>皮轉化因子</w:t>
      </w:r>
      <w:proofErr w:type="gramStart"/>
      <w:r w:rsidRPr="007576F0">
        <w:rPr>
          <w:rFonts w:ascii="標楷體" w:eastAsia="標楷體" w:hAnsi="標楷體"/>
          <w:color w:val="000000"/>
        </w:rPr>
        <w:t>外顯子</w:t>
      </w:r>
      <w:proofErr w:type="gramEnd"/>
      <w:r w:rsidRPr="007576F0">
        <w:rPr>
          <w:rFonts w:ascii="標楷體" w:eastAsia="標楷體" w:hAnsi="標楷體"/>
          <w:color w:val="000000"/>
        </w:rPr>
        <w:t xml:space="preserve">14 </w:t>
      </w:r>
      <w:proofErr w:type="gramStart"/>
      <w:r w:rsidRPr="007576F0">
        <w:rPr>
          <w:rFonts w:ascii="標楷體" w:eastAsia="標楷體" w:hAnsi="標楷體"/>
          <w:color w:val="000000"/>
        </w:rPr>
        <w:t>跳讀式</w:t>
      </w:r>
      <w:proofErr w:type="gramEnd"/>
      <w:r w:rsidRPr="007576F0">
        <w:rPr>
          <w:rFonts w:ascii="標楷體" w:eastAsia="標楷體" w:hAnsi="標楷體"/>
          <w:color w:val="000000"/>
        </w:rPr>
        <w:t>突變(MET exon 14 skipping mutation)。</w:t>
      </w:r>
    </w:p>
    <w:p w14:paraId="0B2BFFE8"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 xml:space="preserve">2.須經事前審查核准後使用: </w:t>
      </w:r>
    </w:p>
    <w:p w14:paraId="320514C4" w14:textId="77777777" w:rsidR="007576F0" w:rsidRPr="007576F0" w:rsidRDefault="007576F0" w:rsidP="007576F0">
      <w:pPr>
        <w:spacing w:line="300" w:lineRule="exact"/>
        <w:ind w:left="1205" w:hanging="360"/>
        <w:rPr>
          <w:rFonts w:ascii="標楷體" w:eastAsia="標楷體" w:hAnsi="標楷體"/>
          <w:color w:val="000000"/>
        </w:rPr>
      </w:pPr>
      <w:r w:rsidRPr="007576F0">
        <w:rPr>
          <w:rFonts w:ascii="標楷體" w:eastAsia="標楷體" w:hAnsi="標楷體"/>
          <w:color w:val="000000"/>
        </w:rPr>
        <w:t>(1)初次申請時需檢具確實患有非小細胞肺癌之病理或細胞檢查報告,以及符合診斷</w:t>
      </w:r>
      <w:proofErr w:type="gramStart"/>
      <w:r w:rsidRPr="007576F0">
        <w:rPr>
          <w:rFonts w:ascii="標楷體" w:eastAsia="標楷體" w:hAnsi="標楷體"/>
          <w:color w:val="000000"/>
        </w:rPr>
        <w:t>之間質</w:t>
      </w:r>
      <w:proofErr w:type="gramEnd"/>
      <w:r w:rsidRPr="007576F0">
        <w:rPr>
          <w:rFonts w:ascii="標楷體" w:eastAsia="標楷體" w:hAnsi="標楷體"/>
          <w:color w:val="000000"/>
        </w:rPr>
        <w:t>上皮轉化因子外</w:t>
      </w:r>
      <w:proofErr w:type="gramStart"/>
      <w:r w:rsidRPr="007576F0">
        <w:rPr>
          <w:rFonts w:ascii="標楷體" w:eastAsia="標楷體" w:hAnsi="標楷體"/>
          <w:color w:val="000000"/>
        </w:rPr>
        <w:t>顯子14跳讀式</w:t>
      </w:r>
      <w:proofErr w:type="gramEnd"/>
      <w:r w:rsidRPr="007576F0">
        <w:rPr>
          <w:rFonts w:ascii="標楷體" w:eastAsia="標楷體" w:hAnsi="標楷體"/>
          <w:color w:val="000000"/>
        </w:rPr>
        <w:t>突變(MET exon 14 skipping mutation)檢測報告，且需符合全民健康保險藥品給付規定之通則十二。</w:t>
      </w:r>
    </w:p>
    <w:p w14:paraId="07FA6080" w14:textId="77777777" w:rsidR="007576F0" w:rsidRPr="007576F0" w:rsidRDefault="007576F0" w:rsidP="007576F0">
      <w:pPr>
        <w:spacing w:line="300" w:lineRule="exact"/>
        <w:ind w:left="1205" w:hanging="360"/>
        <w:rPr>
          <w:rFonts w:ascii="標楷體" w:eastAsia="標楷體" w:hAnsi="標楷體"/>
          <w:color w:val="000000"/>
        </w:rPr>
      </w:pPr>
      <w:r w:rsidRPr="007576F0">
        <w:rPr>
          <w:rFonts w:ascii="標楷體" w:eastAsia="標楷體" w:hAnsi="標楷體"/>
          <w:color w:val="000000"/>
        </w:rPr>
        <w:t>(2)每次申請事前審查之療程以3個月為限，每3個月需再次申請，再次申請時並需附上治療後相關臨床資料，若病情惡化即不得再次申請。</w:t>
      </w:r>
    </w:p>
    <w:p w14:paraId="2B54B1F1"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3.</w:t>
      </w:r>
      <w:proofErr w:type="gramStart"/>
      <w:r w:rsidRPr="007576F0">
        <w:rPr>
          <w:rFonts w:ascii="標楷體" w:eastAsia="標楷體" w:hAnsi="標楷體"/>
          <w:color w:val="000000"/>
        </w:rPr>
        <w:t>使用本品無效</w:t>
      </w:r>
      <w:proofErr w:type="gramEnd"/>
      <w:r w:rsidRPr="007576F0">
        <w:rPr>
          <w:rFonts w:ascii="標楷體" w:eastAsia="標楷體" w:hAnsi="標楷體"/>
          <w:color w:val="000000"/>
        </w:rPr>
        <w:t>後則不再給付該適應症相關之免疫檢查點PD-1、PD-L1抑制劑。</w:t>
      </w:r>
    </w:p>
    <w:p w14:paraId="6B3B412A"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4.每日最多處方2粒。</w:t>
      </w:r>
    </w:p>
    <w:p w14:paraId="5B3FE78F"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color w:val="000000"/>
        </w:rPr>
        <w:t>9.102.Dinutuximab beta (如</w:t>
      </w:r>
      <w:proofErr w:type="spellStart"/>
      <w:r w:rsidRPr="007576F0">
        <w:rPr>
          <w:rFonts w:ascii="標楷體" w:eastAsia="標楷體" w:hAnsi="標楷體"/>
          <w:color w:val="000000"/>
        </w:rPr>
        <w:t>Qarziba</w:t>
      </w:r>
      <w:proofErr w:type="spellEnd"/>
      <w:r w:rsidRPr="007576F0">
        <w:rPr>
          <w:rFonts w:ascii="標楷體" w:eastAsia="標楷體" w:hAnsi="標楷體"/>
          <w:color w:val="000000"/>
        </w:rPr>
        <w:t>)：(112/8/1)</w:t>
      </w:r>
    </w:p>
    <w:p w14:paraId="3DA34A2B"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1.限用於年齡12個月以上的初診斷高危險神經母細胞瘤病人之初次使用GD2免疫治療；且在接受自體幹細胞移植前至少達到部分緩解，在自體幹細胞移植後，可申請以1次治療所需的5個療程為限。</w:t>
      </w:r>
    </w:p>
    <w:p w14:paraId="3C6118B5"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2.限移植後12個月內開始使用。</w:t>
      </w:r>
    </w:p>
    <w:p w14:paraId="73FD9D5C"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3.自初診斷至</w:t>
      </w:r>
      <w:proofErr w:type="gramStart"/>
      <w:r w:rsidRPr="007576F0">
        <w:rPr>
          <w:rFonts w:ascii="標楷體" w:eastAsia="標楷體" w:hAnsi="標楷體"/>
          <w:color w:val="000000"/>
        </w:rPr>
        <w:t>使用本品前</w:t>
      </w:r>
      <w:proofErr w:type="gramEnd"/>
      <w:r w:rsidRPr="007576F0">
        <w:rPr>
          <w:rFonts w:ascii="標楷體" w:eastAsia="標楷體" w:hAnsi="標楷體"/>
          <w:color w:val="000000"/>
        </w:rPr>
        <w:t>，出現復發、新轉移或疾病惡化者，不得申請給付。</w:t>
      </w:r>
    </w:p>
    <w:p w14:paraId="638AC8CF" w14:textId="77777777" w:rsidR="007576F0" w:rsidRPr="007576F0" w:rsidRDefault="007576F0" w:rsidP="007576F0">
      <w:pPr>
        <w:spacing w:line="300" w:lineRule="exact"/>
        <w:ind w:left="850" w:hanging="245"/>
        <w:rPr>
          <w:rFonts w:ascii="標楷體" w:eastAsia="標楷體" w:hAnsi="標楷體"/>
          <w:color w:val="000000"/>
        </w:rPr>
      </w:pPr>
      <w:r w:rsidRPr="007576F0">
        <w:rPr>
          <w:rFonts w:ascii="標楷體" w:eastAsia="標楷體" w:hAnsi="標楷體"/>
          <w:color w:val="000000"/>
        </w:rPr>
        <w:t>4.經事前審查核准後使用。</w:t>
      </w:r>
    </w:p>
    <w:p w14:paraId="5E4686BD" w14:textId="77777777" w:rsidR="007576F0" w:rsidRPr="007576F0" w:rsidRDefault="007576F0" w:rsidP="007576F0">
      <w:pPr>
        <w:spacing w:line="300" w:lineRule="exact"/>
        <w:ind w:left="610" w:hanging="245"/>
        <w:rPr>
          <w:rFonts w:ascii="標楷體" w:eastAsia="標楷體" w:hAnsi="標楷體"/>
          <w:color w:val="000000"/>
        </w:rPr>
      </w:pPr>
      <w:bookmarkStart w:id="71" w:name="_Hlk204092642"/>
      <w:r w:rsidRPr="007576F0">
        <w:rPr>
          <w:rFonts w:ascii="標楷體" w:eastAsia="標楷體" w:hAnsi="標楷體"/>
          <w:color w:val="000000"/>
        </w:rPr>
        <w:t>9.</w:t>
      </w:r>
      <w:r w:rsidRPr="007576F0">
        <w:rPr>
          <w:rFonts w:ascii="標楷體" w:eastAsia="標楷體" w:hAnsi="標楷體" w:hint="eastAsia"/>
          <w:color w:val="000000"/>
        </w:rPr>
        <w:t>103.Tisagenlecleucel(如Kymriah)：(112/11/1、113/2/1、114/8/1、115/10/1)</w:t>
      </w:r>
    </w:p>
    <w:p w14:paraId="52ABDCD2" w14:textId="77777777" w:rsidR="007576F0" w:rsidRPr="007576F0" w:rsidRDefault="007576F0" w:rsidP="007576F0">
      <w:pPr>
        <w:spacing w:line="300" w:lineRule="exact"/>
        <w:ind w:left="851" w:hanging="423"/>
        <w:rPr>
          <w:rFonts w:ascii="標楷體" w:eastAsia="標楷體" w:hAnsi="標楷體"/>
          <w:color w:val="000000"/>
        </w:rPr>
      </w:pPr>
      <w:r w:rsidRPr="007576F0">
        <w:rPr>
          <w:rFonts w:ascii="標楷體" w:eastAsia="標楷體" w:hAnsi="標楷體"/>
          <w:color w:val="000000"/>
        </w:rPr>
        <w:t xml:space="preserve">  1.</w:t>
      </w:r>
      <w:r w:rsidRPr="007576F0">
        <w:rPr>
          <w:rFonts w:ascii="標楷體" w:eastAsia="標楷體" w:hAnsi="標楷體" w:hint="eastAsia"/>
          <w:color w:val="000000"/>
        </w:rPr>
        <w:t>治療患有</w:t>
      </w:r>
      <w:proofErr w:type="gramStart"/>
      <w:r w:rsidRPr="007576F0">
        <w:rPr>
          <w:rFonts w:ascii="標楷體" w:eastAsia="標楷體" w:hAnsi="標楷體" w:hint="eastAsia"/>
          <w:color w:val="000000"/>
        </w:rPr>
        <w:t>難治型</w:t>
      </w:r>
      <w:proofErr w:type="gramEnd"/>
      <w:r w:rsidRPr="007576F0">
        <w:rPr>
          <w:rFonts w:ascii="標楷體" w:eastAsia="標楷體" w:hAnsi="標楷體" w:hint="eastAsia"/>
          <w:color w:val="000000"/>
        </w:rPr>
        <w:t>、移植後復發、第二次或二次以上復發之B細胞急性淋巴性白血病（ALL），且需符合以下條件:</w:t>
      </w:r>
    </w:p>
    <w:p w14:paraId="26434E2A" w14:textId="77777777" w:rsidR="007576F0" w:rsidRPr="007576F0" w:rsidRDefault="007576F0" w:rsidP="007576F0">
      <w:pPr>
        <w:spacing w:line="300" w:lineRule="exact"/>
        <w:ind w:left="1205" w:hanging="360"/>
        <w:rPr>
          <w:rFonts w:ascii="標楷體" w:eastAsia="標楷體" w:hAnsi="標楷體"/>
          <w:color w:val="000000"/>
        </w:rPr>
      </w:pPr>
      <w:r w:rsidRPr="007576F0">
        <w:rPr>
          <w:rFonts w:ascii="標楷體" w:eastAsia="標楷體" w:hAnsi="標楷體"/>
          <w:color w:val="000000"/>
        </w:rPr>
        <w:t>(1)年齡25歲以下。</w:t>
      </w:r>
    </w:p>
    <w:p w14:paraId="7F1A6DFB" w14:textId="77777777" w:rsidR="007576F0" w:rsidRPr="007576F0" w:rsidRDefault="007576F0" w:rsidP="007576F0">
      <w:pPr>
        <w:spacing w:line="300" w:lineRule="exact"/>
        <w:ind w:left="1205" w:hanging="360"/>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hint="eastAsia"/>
          <w:color w:val="000000"/>
        </w:rPr>
        <w:t>為經過二線標準治療(包括TPOG protocol、GRAALL、Hyper-CVAD等或是造血幹細胞移植後)之復發型B細胞急性淋巴性白血病，或是需經過2位具有血液及造血幹細胞移植訓練之專科醫師確認無法進行造血幹細胞移植之</w:t>
      </w:r>
      <w:proofErr w:type="gramStart"/>
      <w:r w:rsidRPr="007576F0">
        <w:rPr>
          <w:rFonts w:ascii="標楷體" w:eastAsia="標楷體" w:hAnsi="標楷體" w:hint="eastAsia"/>
          <w:color w:val="000000"/>
        </w:rPr>
        <w:t>難治型</w:t>
      </w:r>
      <w:proofErr w:type="gramEnd"/>
      <w:r w:rsidRPr="007576F0">
        <w:rPr>
          <w:rFonts w:ascii="標楷體" w:eastAsia="標楷體" w:hAnsi="標楷體" w:hint="eastAsia"/>
          <w:color w:val="000000"/>
        </w:rPr>
        <w:t>B細胞急性淋巴性白血病。(112/11/1、114/8/1)</w:t>
      </w:r>
    </w:p>
    <w:p w14:paraId="33FA3663" w14:textId="77777777" w:rsidR="007576F0" w:rsidRPr="007576F0" w:rsidRDefault="007576F0" w:rsidP="007576F0">
      <w:pPr>
        <w:spacing w:line="300" w:lineRule="exact"/>
        <w:ind w:left="1205" w:hanging="360"/>
        <w:rPr>
          <w:rFonts w:ascii="標楷體" w:eastAsia="標楷體" w:hAnsi="標楷體"/>
          <w:color w:val="000000"/>
        </w:rPr>
      </w:pPr>
      <w:r w:rsidRPr="007576F0">
        <w:rPr>
          <w:rFonts w:ascii="標楷體" w:eastAsia="標楷體" w:hAnsi="標楷體" w:hint="eastAsia"/>
          <w:color w:val="000000"/>
        </w:rPr>
        <w:t>(3)若病人已接受過異體造血幹細胞移植後復發，則不論病人疾病狀態處於</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解、部分緩解或疾病惡化均可接受本藥品治療。(114/8/1)</w:t>
      </w:r>
    </w:p>
    <w:p w14:paraId="210545B7" w14:textId="77777777" w:rsidR="007576F0" w:rsidRPr="007576F0" w:rsidRDefault="007576F0" w:rsidP="007576F0">
      <w:pPr>
        <w:spacing w:line="300" w:lineRule="exact"/>
        <w:ind w:left="1205" w:hanging="360"/>
        <w:rPr>
          <w:rFonts w:ascii="標楷體" w:eastAsia="標楷體" w:hAnsi="標楷體"/>
          <w:color w:val="000000"/>
        </w:rPr>
      </w:pPr>
      <w:r w:rsidRPr="007576F0">
        <w:rPr>
          <w:rFonts w:ascii="標楷體" w:eastAsia="標楷體" w:hAnsi="標楷體"/>
          <w:color w:val="000000"/>
        </w:rPr>
        <w:t>(4)病人預期壽命至少3個月以上，且完全符合以下條件:</w:t>
      </w:r>
    </w:p>
    <w:p w14:paraId="62503779" w14:textId="77777777" w:rsidR="007576F0" w:rsidRPr="007576F0" w:rsidRDefault="007576F0" w:rsidP="007576F0">
      <w:pPr>
        <w:spacing w:line="300" w:lineRule="exact"/>
        <w:ind w:left="1418" w:hanging="341"/>
        <w:rPr>
          <w:rFonts w:ascii="標楷體" w:eastAsia="標楷體" w:hAnsi="標楷體"/>
          <w:color w:val="000000"/>
        </w:rPr>
      </w:pPr>
      <w:r w:rsidRPr="007576F0">
        <w:rPr>
          <w:rFonts w:ascii="標楷體" w:eastAsia="標楷體" w:hAnsi="標楷體" w:hint="eastAsia"/>
          <w:color w:val="000000"/>
        </w:rPr>
        <w:t>Ⅰ.ECOG &lt; 2 (需有3次以上之醫療紀錄)</w:t>
      </w:r>
      <w:r w:rsidRPr="007576F0">
        <w:rPr>
          <w:rFonts w:ascii="標楷體" w:eastAsia="標楷體" w:hAnsi="標楷體"/>
          <w:color w:val="000000"/>
        </w:rPr>
        <w:t>。</w:t>
      </w:r>
    </w:p>
    <w:p w14:paraId="3A6D0D6D" w14:textId="77777777" w:rsidR="007576F0" w:rsidRPr="007576F0" w:rsidRDefault="007576F0" w:rsidP="007576F0">
      <w:pPr>
        <w:spacing w:line="300" w:lineRule="exact"/>
        <w:ind w:left="1418" w:hanging="341"/>
      </w:pPr>
      <w:r w:rsidRPr="007576F0">
        <w:rPr>
          <w:rFonts w:ascii="標楷體" w:eastAsia="標楷體" w:hAnsi="標楷體" w:hint="eastAsia"/>
          <w:color w:val="000000"/>
        </w:rPr>
        <w:t>Ⅱ.</w:t>
      </w:r>
      <w:r w:rsidRPr="007576F0">
        <w:rPr>
          <w:rFonts w:ascii="標楷體" w:eastAsia="標楷體" w:hAnsi="標楷體"/>
          <w:color w:val="000000"/>
        </w:rPr>
        <w:t>腎功能:</w:t>
      </w:r>
      <w:r w:rsidRPr="007576F0">
        <w:rPr>
          <w:rFonts w:ascii="標楷體" w:eastAsia="標楷體" w:hAnsi="標楷體" w:hint="eastAsia"/>
          <w:color w:val="000000"/>
        </w:rPr>
        <w:t>腎絲球過濾速率</w:t>
      </w:r>
      <w:r w:rsidRPr="007576F0">
        <w:rPr>
          <w:rFonts w:ascii="標楷體" w:eastAsia="標楷體" w:hAnsi="標楷體"/>
          <w:color w:val="000000"/>
        </w:rPr>
        <w:t xml:space="preserve">Estimated Glomerular Filtration Rate (eGFR) </w:t>
      </w:r>
      <w:r w:rsidRPr="007576F0">
        <w:rPr>
          <w:rFonts w:ascii="Times New Roman" w:eastAsia="標楷體" w:hAnsi="Times New Roman"/>
          <w:color w:val="000000"/>
        </w:rPr>
        <w:t>≥</w:t>
      </w:r>
      <w:r w:rsidRPr="007576F0">
        <w:rPr>
          <w:rFonts w:ascii="標楷體" w:eastAsia="標楷體" w:hAnsi="標楷體"/>
          <w:color w:val="000000"/>
        </w:rPr>
        <w:t xml:space="preserve"> 60 mL/min/1.73 m2</w:t>
      </w:r>
      <w:r w:rsidRPr="007576F0">
        <w:rPr>
          <w:rFonts w:ascii="標楷體" w:eastAsia="標楷體" w:hAnsi="標楷體" w:hint="eastAsia"/>
          <w:color w:val="000000"/>
        </w:rPr>
        <w:t>或肌酸酐</w:t>
      </w:r>
      <w:r w:rsidRPr="007576F0">
        <w:rPr>
          <w:rFonts w:ascii="標楷體" w:eastAsia="標楷體" w:hAnsi="標楷體"/>
          <w:color w:val="000000"/>
        </w:rPr>
        <w:t xml:space="preserve">creatinine </w:t>
      </w:r>
      <w:r w:rsidRPr="007576F0">
        <w:rPr>
          <w:rFonts w:ascii="Times New Roman" w:eastAsia="標楷體" w:hAnsi="Times New Roman"/>
          <w:color w:val="000000"/>
        </w:rPr>
        <w:t>≤</w:t>
      </w:r>
      <w:r w:rsidRPr="007576F0">
        <w:rPr>
          <w:rFonts w:ascii="標楷體" w:eastAsia="標楷體" w:hAnsi="標楷體"/>
          <w:color w:val="000000"/>
        </w:rPr>
        <w:t>1.5 x ULN。</w:t>
      </w:r>
    </w:p>
    <w:p w14:paraId="04A8DABB" w14:textId="77777777" w:rsidR="007576F0" w:rsidRPr="007576F0" w:rsidRDefault="007576F0" w:rsidP="007576F0">
      <w:pPr>
        <w:spacing w:line="300" w:lineRule="exact"/>
        <w:ind w:left="1441" w:hanging="420"/>
      </w:pPr>
      <w:r w:rsidRPr="007576F0">
        <w:rPr>
          <w:rFonts w:ascii="標楷體" w:eastAsia="標楷體" w:hAnsi="標楷體" w:hint="eastAsia"/>
          <w:color w:val="000000"/>
        </w:rPr>
        <w:t>Ⅲ</w:t>
      </w:r>
      <w:r w:rsidRPr="007576F0">
        <w:rPr>
          <w:rFonts w:ascii="標楷體" w:eastAsia="標楷體" w:hAnsi="標楷體"/>
          <w:color w:val="000000"/>
        </w:rPr>
        <w:t xml:space="preserve">.肝功能: ALT </w:t>
      </w:r>
      <w:r w:rsidRPr="007576F0">
        <w:rPr>
          <w:rFonts w:ascii="Times New Roman" w:eastAsia="標楷體" w:hAnsi="Times New Roman"/>
          <w:color w:val="000000"/>
        </w:rPr>
        <w:t>≤</w:t>
      </w:r>
      <w:r w:rsidRPr="007576F0">
        <w:rPr>
          <w:rFonts w:ascii="標楷體" w:eastAsia="標楷體" w:hAnsi="標楷體"/>
          <w:color w:val="000000"/>
        </w:rPr>
        <w:t xml:space="preserve"> 5 x ULN</w:t>
      </w:r>
      <w:r w:rsidRPr="007576F0">
        <w:rPr>
          <w:rFonts w:ascii="標楷體" w:eastAsia="標楷體" w:hAnsi="標楷體" w:hint="eastAsia"/>
          <w:color w:val="000000"/>
        </w:rPr>
        <w:t>且</w:t>
      </w:r>
      <w:r w:rsidRPr="007576F0">
        <w:rPr>
          <w:rFonts w:ascii="標楷體" w:eastAsia="標楷體" w:hAnsi="標楷體"/>
          <w:color w:val="000000"/>
        </w:rPr>
        <w:t>bilirubin &lt;2.5mg</w:t>
      </w:r>
      <w:r w:rsidRPr="007576F0">
        <w:rPr>
          <w:rFonts w:ascii="標楷體" w:eastAsia="標楷體" w:hAnsi="標楷體" w:hint="eastAsia"/>
          <w:color w:val="000000"/>
        </w:rPr>
        <w:t>；</w:t>
      </w:r>
      <w:r w:rsidRPr="007576F0">
        <w:rPr>
          <w:rFonts w:ascii="標楷體" w:eastAsia="標楷體" w:hAnsi="標楷體"/>
          <w:color w:val="000000"/>
        </w:rPr>
        <w:t>Gilbert-</w:t>
      </w:r>
      <w:proofErr w:type="spellStart"/>
      <w:r w:rsidRPr="007576F0">
        <w:rPr>
          <w:rFonts w:ascii="標楷體" w:eastAsia="標楷體" w:hAnsi="標楷體"/>
          <w:color w:val="000000"/>
        </w:rPr>
        <w:t>Meulengracht</w:t>
      </w:r>
      <w:proofErr w:type="spellEnd"/>
      <w:r w:rsidRPr="007576F0">
        <w:rPr>
          <w:rFonts w:ascii="標楷體" w:eastAsia="標楷體" w:hAnsi="標楷體"/>
          <w:color w:val="000000"/>
        </w:rPr>
        <w:t xml:space="preserve"> syndrome</w:t>
      </w:r>
      <w:r w:rsidRPr="007576F0">
        <w:rPr>
          <w:rFonts w:ascii="標楷體" w:eastAsia="標楷體" w:hAnsi="標楷體" w:hint="eastAsia"/>
          <w:color w:val="000000"/>
        </w:rPr>
        <w:t>患者須符合</w:t>
      </w:r>
      <w:r w:rsidRPr="007576F0">
        <w:rPr>
          <w:rFonts w:ascii="標楷體" w:eastAsia="標楷體" w:hAnsi="標楷體"/>
          <w:color w:val="000000"/>
        </w:rPr>
        <w:t xml:space="preserve">total bilirubin is </w:t>
      </w:r>
      <w:r w:rsidRPr="007576F0">
        <w:rPr>
          <w:rFonts w:ascii="Times New Roman" w:eastAsia="標楷體" w:hAnsi="Times New Roman"/>
          <w:color w:val="000000"/>
        </w:rPr>
        <w:t>≤</w:t>
      </w:r>
      <w:r w:rsidRPr="007576F0">
        <w:rPr>
          <w:rFonts w:ascii="標楷體" w:eastAsia="標楷體" w:hAnsi="標楷體"/>
          <w:color w:val="000000"/>
        </w:rPr>
        <w:t xml:space="preserve"> 3.0 x ULN </w:t>
      </w:r>
      <w:r w:rsidRPr="007576F0">
        <w:rPr>
          <w:rFonts w:ascii="標楷體" w:eastAsia="標楷體" w:hAnsi="標楷體" w:hint="eastAsia"/>
          <w:color w:val="000000"/>
        </w:rPr>
        <w:t>且</w:t>
      </w:r>
      <w:r w:rsidRPr="007576F0">
        <w:rPr>
          <w:rFonts w:ascii="標楷體" w:eastAsia="標楷體" w:hAnsi="標楷體"/>
          <w:color w:val="000000"/>
        </w:rPr>
        <w:t xml:space="preserve"> direct bilirubin </w:t>
      </w:r>
      <w:r w:rsidRPr="007576F0">
        <w:rPr>
          <w:rFonts w:ascii="Times New Roman" w:eastAsia="標楷體" w:hAnsi="Times New Roman"/>
          <w:color w:val="000000"/>
        </w:rPr>
        <w:t>≤</w:t>
      </w:r>
      <w:r w:rsidRPr="007576F0">
        <w:rPr>
          <w:rFonts w:ascii="標楷體" w:eastAsia="標楷體" w:hAnsi="標楷體"/>
          <w:color w:val="000000"/>
        </w:rPr>
        <w:t xml:space="preserve"> 1.5 x ULN。</w:t>
      </w:r>
    </w:p>
    <w:p w14:paraId="5CDBDA06" w14:textId="77777777" w:rsidR="007576F0" w:rsidRPr="007576F0" w:rsidRDefault="007576F0" w:rsidP="007576F0">
      <w:pPr>
        <w:spacing w:line="300" w:lineRule="exact"/>
        <w:ind w:left="1441" w:hanging="420"/>
        <w:rPr>
          <w:rFonts w:ascii="標楷體" w:eastAsia="標楷體" w:hAnsi="標楷體"/>
          <w:color w:val="000000"/>
        </w:rPr>
      </w:pPr>
      <w:r w:rsidRPr="007576F0">
        <w:rPr>
          <w:rFonts w:ascii="標楷體" w:eastAsia="標楷體" w:hAnsi="標楷體" w:hint="eastAsia"/>
          <w:color w:val="000000"/>
        </w:rPr>
        <w:t>Ⅳ.</w:t>
      </w:r>
      <w:r w:rsidRPr="007576F0">
        <w:rPr>
          <w:rFonts w:ascii="標楷體" w:eastAsia="標楷體" w:hAnsi="標楷體"/>
          <w:color w:val="000000"/>
        </w:rPr>
        <w:t>心臟功能: 左心室射出率 &gt; 50%，沒有心包</w:t>
      </w:r>
      <w:proofErr w:type="gramStart"/>
      <w:r w:rsidRPr="007576F0">
        <w:rPr>
          <w:rFonts w:ascii="標楷體" w:eastAsia="標楷體" w:hAnsi="標楷體"/>
          <w:color w:val="000000"/>
        </w:rPr>
        <w:t>膜積液</w:t>
      </w:r>
      <w:proofErr w:type="gramEnd"/>
      <w:r w:rsidRPr="007576F0">
        <w:rPr>
          <w:rFonts w:ascii="標楷體" w:eastAsia="標楷體" w:hAnsi="標楷體"/>
          <w:color w:val="000000"/>
        </w:rPr>
        <w:t>，且過去一年無任何重大心臟疾病。</w:t>
      </w:r>
    </w:p>
    <w:p w14:paraId="79480AD1" w14:textId="77777777" w:rsidR="007576F0" w:rsidRPr="007576F0" w:rsidRDefault="007576F0" w:rsidP="007576F0">
      <w:pPr>
        <w:spacing w:line="300" w:lineRule="exact"/>
        <w:ind w:left="1441" w:hanging="420"/>
        <w:rPr>
          <w:rFonts w:ascii="標楷體" w:eastAsia="標楷體" w:hAnsi="標楷體"/>
          <w:color w:val="000000"/>
        </w:rPr>
      </w:pPr>
      <w:r w:rsidRPr="007576F0">
        <w:rPr>
          <w:rFonts w:ascii="標楷體" w:eastAsia="標楷體" w:hAnsi="標楷體" w:hint="eastAsia"/>
          <w:color w:val="000000"/>
        </w:rPr>
        <w:t>Ⅴ.</w:t>
      </w:r>
      <w:r w:rsidRPr="007576F0">
        <w:rPr>
          <w:rFonts w:ascii="標楷體" w:eastAsia="標楷體" w:hAnsi="標楷體"/>
          <w:color w:val="000000"/>
        </w:rPr>
        <w:t>肺功能:血氧 &gt; 92% on room air (需有兩次以上的醫療紀錄)。</w:t>
      </w:r>
    </w:p>
    <w:p w14:paraId="5BD3F0AE" w14:textId="77777777" w:rsidR="007576F0" w:rsidRPr="007576F0" w:rsidRDefault="007576F0" w:rsidP="007576F0">
      <w:pPr>
        <w:spacing w:line="300" w:lineRule="exact"/>
        <w:ind w:left="851" w:hanging="423"/>
        <w:rPr>
          <w:rFonts w:ascii="標楷體" w:eastAsia="標楷體" w:hAnsi="標楷體"/>
          <w:color w:val="000000"/>
        </w:rPr>
      </w:pPr>
      <w:r w:rsidRPr="007576F0">
        <w:rPr>
          <w:rFonts w:ascii="標楷體" w:eastAsia="標楷體" w:hAnsi="標楷體"/>
          <w:color w:val="000000"/>
        </w:rPr>
        <w:t xml:space="preserve">  2.</w:t>
      </w:r>
      <w:r w:rsidRPr="007576F0">
        <w:rPr>
          <w:rFonts w:ascii="標楷體" w:eastAsia="標楷體" w:hAnsi="標楷體" w:hint="eastAsia"/>
          <w:color w:val="000000"/>
        </w:rPr>
        <w:t>治療經二線或二線以上全身治療後之復發</w:t>
      </w:r>
      <w:proofErr w:type="gramStart"/>
      <w:r w:rsidRPr="007576F0">
        <w:rPr>
          <w:rFonts w:ascii="標楷體" w:eastAsia="標楷體" w:hAnsi="標楷體" w:hint="eastAsia"/>
          <w:color w:val="000000"/>
        </w:rPr>
        <w:t>性或難治</w:t>
      </w:r>
      <w:proofErr w:type="gramEnd"/>
      <w:r w:rsidRPr="007576F0">
        <w:rPr>
          <w:rFonts w:ascii="標楷體" w:eastAsia="標楷體" w:hAnsi="標楷體" w:hint="eastAsia"/>
          <w:color w:val="000000"/>
        </w:rPr>
        <w:t>性瀰漫性大B細胞淋巴瘤</w:t>
      </w:r>
      <w:r w:rsidRPr="007576F0">
        <w:rPr>
          <w:rFonts w:ascii="標楷體" w:eastAsia="標楷體" w:hAnsi="標楷體" w:hint="eastAsia"/>
          <w:color w:val="000000"/>
        </w:rPr>
        <w:lastRenderedPageBreak/>
        <w:t>（DLBCL）的成人病人。且需符合以下條件:(112/11/1、114/8/1)</w:t>
      </w:r>
    </w:p>
    <w:p w14:paraId="6CC52DAE" w14:textId="77777777" w:rsidR="007576F0" w:rsidRPr="007576F0" w:rsidRDefault="007576F0" w:rsidP="007576F0">
      <w:pPr>
        <w:spacing w:line="300" w:lineRule="exact"/>
        <w:ind w:left="1418" w:hanging="341"/>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hint="eastAsia"/>
          <w:color w:val="000000"/>
        </w:rPr>
        <w:t>經</w:t>
      </w:r>
      <w:proofErr w:type="gramStart"/>
      <w:r w:rsidRPr="007576F0">
        <w:rPr>
          <w:rFonts w:ascii="標楷體" w:eastAsia="標楷體" w:hAnsi="標楷體" w:hint="eastAsia"/>
          <w:color w:val="000000"/>
        </w:rPr>
        <w:t>自體造血</w:t>
      </w:r>
      <w:proofErr w:type="gramEnd"/>
      <w:r w:rsidRPr="007576F0">
        <w:rPr>
          <w:rFonts w:ascii="標楷體" w:eastAsia="標楷體" w:hAnsi="標楷體" w:hint="eastAsia"/>
          <w:color w:val="000000"/>
        </w:rPr>
        <w:t>幹細胞移植後疾病復發或惡化（不論其後續治療處於完全緩解、部分緩解或疾病惡化）。</w:t>
      </w:r>
    </w:p>
    <w:p w14:paraId="637670AF" w14:textId="77777777" w:rsidR="007576F0" w:rsidRPr="007576F0" w:rsidRDefault="007576F0" w:rsidP="007576F0">
      <w:pPr>
        <w:spacing w:line="300" w:lineRule="exact"/>
        <w:ind w:left="1418" w:hanging="341"/>
        <w:rPr>
          <w:rFonts w:ascii="標楷體" w:eastAsia="標楷體" w:hAnsi="標楷體"/>
          <w:color w:val="000000"/>
        </w:rPr>
      </w:pPr>
      <w:r w:rsidRPr="007576F0">
        <w:rPr>
          <w:rFonts w:ascii="標楷體" w:eastAsia="標楷體" w:hAnsi="標楷體" w:hint="eastAsia"/>
          <w:color w:val="000000"/>
        </w:rPr>
        <w:t>(2)或需經過具有骨髓移植訓練的骨髓移植專科醫師確認無法進行造血幹細胞移植者，無法進行造血幹細胞移植之定義，符合以下五個條件之</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：(112/11/1、114/8/1)</w:t>
      </w:r>
    </w:p>
    <w:p w14:paraId="51CDC8CF" w14:textId="77777777" w:rsidR="007576F0" w:rsidRPr="007576F0" w:rsidRDefault="007576F0" w:rsidP="007576F0">
      <w:pPr>
        <w:spacing w:line="300" w:lineRule="exact"/>
        <w:ind w:left="1441" w:hanging="23"/>
        <w:rPr>
          <w:rFonts w:ascii="標楷體" w:eastAsia="標楷體" w:hAnsi="標楷體"/>
          <w:color w:val="000000"/>
        </w:rPr>
      </w:pPr>
      <w:r w:rsidRPr="007576F0">
        <w:rPr>
          <w:rFonts w:ascii="標楷體" w:eastAsia="標楷體" w:hAnsi="標楷體" w:hint="eastAsia"/>
          <w:color w:val="000000"/>
        </w:rPr>
        <w:t>Ⅰ.年齡75歲以上。</w:t>
      </w:r>
    </w:p>
    <w:p w14:paraId="5E9D81DE" w14:textId="77777777" w:rsidR="007576F0" w:rsidRPr="007576F0" w:rsidRDefault="007576F0" w:rsidP="007576F0">
      <w:pPr>
        <w:spacing w:line="300" w:lineRule="exact"/>
        <w:ind w:left="1441" w:hanging="23"/>
        <w:rPr>
          <w:rFonts w:ascii="標楷體" w:eastAsia="標楷體" w:hAnsi="標楷體"/>
          <w:color w:val="000000"/>
        </w:rPr>
      </w:pPr>
      <w:r w:rsidRPr="007576F0">
        <w:rPr>
          <w:rFonts w:ascii="標楷體" w:eastAsia="標楷體" w:hAnsi="標楷體" w:hint="eastAsia"/>
          <w:color w:val="000000"/>
        </w:rPr>
        <w:t>Ⅱ.年齡70歲以上且HCT-CI分數在1分或以上。</w:t>
      </w:r>
    </w:p>
    <w:p w14:paraId="5B8C053A" w14:textId="77777777" w:rsidR="007576F0" w:rsidRPr="007576F0" w:rsidRDefault="007576F0" w:rsidP="007576F0">
      <w:pPr>
        <w:spacing w:line="300" w:lineRule="exact"/>
        <w:ind w:left="1441" w:hanging="23"/>
        <w:rPr>
          <w:rFonts w:ascii="標楷體" w:eastAsia="標楷體" w:hAnsi="標楷體"/>
          <w:color w:val="000000"/>
        </w:rPr>
      </w:pPr>
      <w:r w:rsidRPr="007576F0">
        <w:rPr>
          <w:rFonts w:ascii="標楷體" w:eastAsia="標楷體" w:hAnsi="標楷體" w:hint="eastAsia"/>
          <w:color w:val="000000"/>
        </w:rPr>
        <w:t>Ⅲ.年齡65歲以上且HCT-CI分數在2分或以上。</w:t>
      </w:r>
    </w:p>
    <w:p w14:paraId="25B16B46" w14:textId="77777777" w:rsidR="007576F0" w:rsidRPr="007576F0" w:rsidRDefault="007576F0" w:rsidP="007576F0">
      <w:pPr>
        <w:spacing w:line="300" w:lineRule="exact"/>
        <w:ind w:left="1441" w:hanging="23"/>
        <w:rPr>
          <w:rFonts w:ascii="標楷體" w:eastAsia="標楷體" w:hAnsi="標楷體"/>
          <w:color w:val="000000"/>
        </w:rPr>
      </w:pPr>
      <w:r w:rsidRPr="007576F0">
        <w:rPr>
          <w:rFonts w:ascii="標楷體" w:eastAsia="標楷體" w:hAnsi="標楷體" w:hint="eastAsia"/>
          <w:color w:val="000000"/>
        </w:rPr>
        <w:t>Ⅳ.HCT-CI分數在4分或以上。</w:t>
      </w:r>
    </w:p>
    <w:p w14:paraId="226D10CF" w14:textId="77777777" w:rsidR="007576F0" w:rsidRPr="007576F0" w:rsidRDefault="007576F0" w:rsidP="007576F0">
      <w:pPr>
        <w:spacing w:line="300" w:lineRule="exact"/>
        <w:ind w:left="1441" w:hanging="23"/>
        <w:rPr>
          <w:rFonts w:ascii="標楷體" w:eastAsia="標楷體" w:hAnsi="標楷體"/>
          <w:color w:val="000000"/>
        </w:rPr>
      </w:pPr>
      <w:r w:rsidRPr="007576F0">
        <w:rPr>
          <w:rFonts w:ascii="標楷體" w:eastAsia="標楷體" w:hAnsi="標楷體" w:hint="eastAsia"/>
          <w:color w:val="000000"/>
        </w:rPr>
        <w:t>Ⅴ.經收集</w:t>
      </w:r>
      <w:proofErr w:type="gramStart"/>
      <w:r w:rsidRPr="007576F0">
        <w:rPr>
          <w:rFonts w:ascii="標楷體" w:eastAsia="標楷體" w:hAnsi="標楷體" w:hint="eastAsia"/>
          <w:color w:val="000000"/>
        </w:rPr>
        <w:t>自體造血</w:t>
      </w:r>
      <w:proofErr w:type="gramEnd"/>
      <w:r w:rsidRPr="007576F0">
        <w:rPr>
          <w:rFonts w:ascii="標楷體" w:eastAsia="標楷體" w:hAnsi="標楷體" w:hint="eastAsia"/>
          <w:color w:val="000000"/>
        </w:rPr>
        <w:t>幹細胞2次後仍無法收集超過2*106 CD34+細胞/公斤。</w:t>
      </w:r>
    </w:p>
    <w:p w14:paraId="4D2A8767" w14:textId="77777777" w:rsidR="007576F0" w:rsidRPr="007576F0" w:rsidRDefault="007576F0" w:rsidP="007576F0">
      <w:pPr>
        <w:spacing w:line="300" w:lineRule="exact"/>
        <w:ind w:left="1418" w:hanging="341"/>
        <w:rPr>
          <w:rFonts w:ascii="標楷體" w:eastAsia="標楷體" w:hAnsi="標楷體"/>
          <w:color w:val="000000"/>
        </w:rPr>
      </w:pPr>
      <w:r w:rsidRPr="007576F0">
        <w:rPr>
          <w:rFonts w:ascii="標楷體" w:eastAsia="標楷體" w:hAnsi="標楷體"/>
          <w:color w:val="000000"/>
        </w:rPr>
        <w:t>(3)病人預期壽命至少3個月以上，且符合以下條件:</w:t>
      </w:r>
    </w:p>
    <w:p w14:paraId="739948B7"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Ⅰ.</w:t>
      </w:r>
      <w:r w:rsidRPr="007576F0">
        <w:rPr>
          <w:rFonts w:ascii="標楷體" w:eastAsia="標楷體" w:hAnsi="標楷體"/>
          <w:color w:val="000000"/>
        </w:rPr>
        <w:tab/>
        <w:t>ECOG&lt;2 (需有3次以上之醫療紀錄)。</w:t>
      </w:r>
    </w:p>
    <w:p w14:paraId="5A878D90" w14:textId="77777777" w:rsidR="007576F0" w:rsidRPr="007576F0" w:rsidRDefault="007576F0" w:rsidP="007576F0">
      <w:pPr>
        <w:spacing w:line="300" w:lineRule="exact"/>
        <w:ind w:left="1843" w:hanging="422"/>
      </w:pPr>
      <w:r w:rsidRPr="007576F0">
        <w:rPr>
          <w:rFonts w:ascii="標楷體" w:eastAsia="標楷體" w:hAnsi="標楷體" w:hint="eastAsia"/>
          <w:color w:val="000000"/>
        </w:rPr>
        <w:t>Ⅱ</w:t>
      </w:r>
      <w:r w:rsidRPr="007576F0">
        <w:rPr>
          <w:rFonts w:ascii="標楷體" w:eastAsia="標楷體" w:hAnsi="標楷體"/>
          <w:color w:val="000000"/>
        </w:rPr>
        <w:tab/>
      </w:r>
      <w:proofErr w:type="spellStart"/>
      <w:r w:rsidRPr="007576F0">
        <w:rPr>
          <w:rFonts w:ascii="標楷體" w:eastAsia="標楷體" w:hAnsi="標楷體"/>
          <w:color w:val="000000"/>
        </w:rPr>
        <w:t>Extranodal</w:t>
      </w:r>
      <w:proofErr w:type="spellEnd"/>
      <w:r w:rsidRPr="007576F0">
        <w:rPr>
          <w:rFonts w:ascii="標楷體" w:eastAsia="標楷體" w:hAnsi="標楷體"/>
          <w:color w:val="000000"/>
        </w:rPr>
        <w:t xml:space="preserve"> site </w:t>
      </w:r>
      <w:r w:rsidRPr="007576F0">
        <w:rPr>
          <w:rFonts w:ascii="Times New Roman" w:eastAsia="標楷體" w:hAnsi="Times New Roman"/>
          <w:color w:val="000000"/>
        </w:rPr>
        <w:t>≤</w:t>
      </w:r>
      <w:r w:rsidRPr="007576F0">
        <w:rPr>
          <w:rFonts w:ascii="標楷體" w:eastAsia="標楷體" w:hAnsi="標楷體"/>
          <w:color w:val="000000"/>
        </w:rPr>
        <w:t xml:space="preserve"> 3 (需有 PET或 CT 的影像報告)。</w:t>
      </w:r>
    </w:p>
    <w:p w14:paraId="1D4EBB89"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Ⅲ.</w:t>
      </w:r>
      <w:r w:rsidRPr="007576F0">
        <w:rPr>
          <w:rFonts w:ascii="標楷體" w:eastAsia="標楷體" w:hAnsi="標楷體"/>
          <w:color w:val="000000"/>
        </w:rPr>
        <w:tab/>
        <w:t xml:space="preserve">腎功能:腎絲球過濾速率Estimated Glomerular Filtration Rate (eGFR) </w:t>
      </w:r>
      <w:r w:rsidRPr="007576F0">
        <w:rPr>
          <w:rFonts w:ascii="Times New Roman" w:eastAsia="標楷體" w:hAnsi="Times New Roman"/>
          <w:color w:val="000000"/>
        </w:rPr>
        <w:t>≥</w:t>
      </w:r>
      <w:r w:rsidRPr="007576F0">
        <w:rPr>
          <w:rFonts w:ascii="標楷體" w:eastAsia="標楷體" w:hAnsi="標楷體"/>
          <w:color w:val="000000"/>
        </w:rPr>
        <w:t xml:space="preserve"> 60 mL/min/1.73 m2或肌酸酐creatinine </w:t>
      </w:r>
      <w:r w:rsidRPr="007576F0">
        <w:rPr>
          <w:rFonts w:ascii="Times New Roman" w:eastAsia="標楷體" w:hAnsi="Times New Roman"/>
          <w:color w:val="000000"/>
        </w:rPr>
        <w:t>≤</w:t>
      </w:r>
      <w:r w:rsidRPr="007576F0">
        <w:rPr>
          <w:rFonts w:ascii="標楷體" w:eastAsia="標楷體" w:hAnsi="標楷體"/>
          <w:color w:val="000000"/>
        </w:rPr>
        <w:t>1.5 x ULN。</w:t>
      </w:r>
    </w:p>
    <w:p w14:paraId="707D31A9"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Ⅳ</w:t>
      </w:r>
      <w:r w:rsidRPr="007576F0">
        <w:rPr>
          <w:rFonts w:ascii="標楷體" w:eastAsia="標楷體" w:hAnsi="標楷體"/>
          <w:color w:val="000000"/>
        </w:rPr>
        <w:t>.</w:t>
      </w:r>
      <w:r w:rsidRPr="007576F0">
        <w:rPr>
          <w:rFonts w:ascii="標楷體" w:eastAsia="標楷體" w:hAnsi="標楷體"/>
          <w:color w:val="000000"/>
        </w:rPr>
        <w:tab/>
        <w:t xml:space="preserve">肝功能: ALT </w:t>
      </w:r>
      <w:r w:rsidRPr="007576F0">
        <w:rPr>
          <w:rFonts w:ascii="Times New Roman" w:eastAsia="標楷體" w:hAnsi="Times New Roman"/>
          <w:color w:val="000000"/>
        </w:rPr>
        <w:t>≤</w:t>
      </w:r>
      <w:r w:rsidRPr="007576F0">
        <w:rPr>
          <w:rFonts w:ascii="標楷體" w:eastAsia="標楷體" w:hAnsi="標楷體"/>
          <w:color w:val="000000"/>
        </w:rPr>
        <w:t xml:space="preserve"> 5 x ULN且bilirubin &lt;2.5mg；Gilbert-</w:t>
      </w:r>
      <w:proofErr w:type="spellStart"/>
      <w:r w:rsidRPr="007576F0">
        <w:rPr>
          <w:rFonts w:ascii="標楷體" w:eastAsia="標楷體" w:hAnsi="標楷體"/>
          <w:color w:val="000000"/>
        </w:rPr>
        <w:t>Meulengracht</w:t>
      </w:r>
      <w:proofErr w:type="spellEnd"/>
      <w:r w:rsidRPr="007576F0">
        <w:rPr>
          <w:rFonts w:ascii="標楷體" w:eastAsia="標楷體" w:hAnsi="標楷體"/>
          <w:color w:val="000000"/>
        </w:rPr>
        <w:t xml:space="preserve"> syndrome患者須符合total bilirubin is </w:t>
      </w:r>
      <w:r w:rsidRPr="007576F0">
        <w:rPr>
          <w:rFonts w:ascii="Times New Roman" w:eastAsia="標楷體" w:hAnsi="Times New Roman"/>
          <w:color w:val="000000"/>
        </w:rPr>
        <w:t>≤</w:t>
      </w:r>
      <w:r w:rsidRPr="007576F0">
        <w:rPr>
          <w:rFonts w:ascii="標楷體" w:eastAsia="標楷體" w:hAnsi="標楷體"/>
          <w:color w:val="000000"/>
        </w:rPr>
        <w:t xml:space="preserve"> 3.0 x ULN 且 direct bilirubin </w:t>
      </w:r>
      <w:r w:rsidRPr="007576F0">
        <w:rPr>
          <w:rFonts w:ascii="Times New Roman" w:eastAsia="標楷體" w:hAnsi="Times New Roman"/>
          <w:color w:val="000000"/>
        </w:rPr>
        <w:t>≤</w:t>
      </w:r>
      <w:r w:rsidRPr="007576F0">
        <w:rPr>
          <w:rFonts w:ascii="標楷體" w:eastAsia="標楷體" w:hAnsi="標楷體"/>
          <w:color w:val="000000"/>
        </w:rPr>
        <w:t xml:space="preserve"> 1.5 x ULN。</w:t>
      </w:r>
    </w:p>
    <w:p w14:paraId="0DE717C2"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Ⅴ.</w:t>
      </w:r>
      <w:r w:rsidRPr="007576F0">
        <w:rPr>
          <w:rFonts w:ascii="標楷體" w:eastAsia="標楷體" w:hAnsi="標楷體"/>
          <w:color w:val="000000"/>
        </w:rPr>
        <w:tab/>
        <w:t>心臟功能: 左心室射出率 &gt; 50%且過去一年無任何重大心臟疾病(包含但不限於不穩定心絞痛、心肌梗塞、冠狀動脈繞道手術、中風) 。</w:t>
      </w:r>
    </w:p>
    <w:p w14:paraId="75872E96"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Ⅵ</w:t>
      </w:r>
      <w:r w:rsidRPr="007576F0">
        <w:rPr>
          <w:rFonts w:ascii="標楷體" w:eastAsia="標楷體" w:hAnsi="標楷體"/>
          <w:color w:val="000000"/>
        </w:rPr>
        <w:t>.</w:t>
      </w:r>
      <w:r w:rsidRPr="007576F0">
        <w:rPr>
          <w:rFonts w:ascii="標楷體" w:eastAsia="標楷體" w:hAnsi="標楷體"/>
          <w:color w:val="000000"/>
        </w:rPr>
        <w:tab/>
        <w:t>肺功能:血氧 &gt; 92% on room air (需有兩次以上的醫療紀錄)。</w:t>
      </w:r>
    </w:p>
    <w:p w14:paraId="5E132AC6"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Ⅶ</w:t>
      </w:r>
      <w:r w:rsidRPr="007576F0">
        <w:rPr>
          <w:rFonts w:ascii="標楷體" w:eastAsia="標楷體" w:hAnsi="標楷體"/>
          <w:color w:val="000000"/>
        </w:rPr>
        <w:t>.</w:t>
      </w:r>
      <w:r w:rsidRPr="007576F0">
        <w:rPr>
          <w:rFonts w:ascii="標楷體" w:eastAsia="標楷體" w:hAnsi="標楷體"/>
          <w:color w:val="000000"/>
        </w:rPr>
        <w:tab/>
        <w:t>淋巴球收集時，患者須符合全血細胞計數標準: ANC</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1000/</w:t>
      </w:r>
      <w:proofErr w:type="spellStart"/>
      <w:r w:rsidRPr="007576F0">
        <w:rPr>
          <w:rFonts w:ascii="標楷體" w:eastAsia="標楷體" w:hAnsi="標楷體"/>
          <w:color w:val="000000"/>
        </w:rPr>
        <w:t>uL</w:t>
      </w:r>
      <w:proofErr w:type="spellEnd"/>
      <w:r w:rsidRPr="007576F0">
        <w:rPr>
          <w:rFonts w:ascii="標楷體" w:eastAsia="標楷體" w:hAnsi="標楷體"/>
          <w:color w:val="000000"/>
        </w:rPr>
        <w:t>、ALC</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100/</w:t>
      </w:r>
      <w:proofErr w:type="spellStart"/>
      <w:r w:rsidRPr="007576F0">
        <w:rPr>
          <w:rFonts w:ascii="標楷體" w:eastAsia="標楷體" w:hAnsi="標楷體"/>
          <w:color w:val="000000"/>
        </w:rPr>
        <w:t>uL</w:t>
      </w:r>
      <w:proofErr w:type="spellEnd"/>
      <w:r w:rsidRPr="007576F0">
        <w:rPr>
          <w:rFonts w:ascii="標楷體" w:eastAsia="標楷體" w:hAnsi="標楷體"/>
          <w:color w:val="000000"/>
        </w:rPr>
        <w:t>、Hb</w:t>
      </w:r>
      <w:proofErr w:type="gramStart"/>
      <w:r w:rsidRPr="007576F0">
        <w:rPr>
          <w:rFonts w:ascii="標楷體" w:eastAsia="標楷體" w:hAnsi="標楷體"/>
          <w:color w:val="000000"/>
        </w:rPr>
        <w:t>≧</w:t>
      </w:r>
      <w:proofErr w:type="gramEnd"/>
      <w:r w:rsidRPr="007576F0">
        <w:rPr>
          <w:rFonts w:ascii="標楷體" w:eastAsia="標楷體" w:hAnsi="標楷體"/>
          <w:color w:val="000000"/>
        </w:rPr>
        <w:t>8.0 g/dL; Plt</w:t>
      </w:r>
      <w:proofErr w:type="gramStart"/>
      <w:r w:rsidRPr="007576F0">
        <w:rPr>
          <w:rFonts w:ascii="標楷體" w:eastAsia="標楷體" w:hAnsi="標楷體"/>
          <w:color w:val="000000"/>
        </w:rPr>
        <w:t>≧</w:t>
      </w:r>
      <w:proofErr w:type="gramEnd"/>
      <w:r w:rsidRPr="007576F0">
        <w:rPr>
          <w:rFonts w:ascii="標楷體" w:eastAsia="標楷體" w:hAnsi="標楷體"/>
          <w:color w:val="000000"/>
        </w:rPr>
        <w:t>50000/</w:t>
      </w:r>
      <w:proofErr w:type="spellStart"/>
      <w:r w:rsidRPr="007576F0">
        <w:rPr>
          <w:rFonts w:ascii="標楷體" w:eastAsia="標楷體" w:hAnsi="標楷體"/>
          <w:color w:val="000000"/>
        </w:rPr>
        <w:t>uL</w:t>
      </w:r>
      <w:proofErr w:type="spellEnd"/>
      <w:r w:rsidRPr="007576F0">
        <w:rPr>
          <w:rFonts w:ascii="標楷體" w:eastAsia="標楷體" w:hAnsi="標楷體"/>
          <w:color w:val="000000"/>
        </w:rPr>
        <w:t>。</w:t>
      </w:r>
    </w:p>
    <w:p w14:paraId="205CD88E"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Ⅷ</w:t>
      </w:r>
      <w:r w:rsidRPr="007576F0">
        <w:rPr>
          <w:rFonts w:ascii="標楷體" w:eastAsia="標楷體" w:hAnsi="標楷體"/>
          <w:color w:val="000000"/>
        </w:rPr>
        <w:t>.於治療前兩年任何無自體免疫疾病。</w:t>
      </w:r>
    </w:p>
    <w:p w14:paraId="24EC8545" w14:textId="77777777" w:rsidR="007576F0" w:rsidRPr="007576F0" w:rsidRDefault="007576F0" w:rsidP="007576F0">
      <w:pPr>
        <w:spacing w:line="300" w:lineRule="exact"/>
        <w:ind w:left="1843" w:hanging="422"/>
        <w:rPr>
          <w:rFonts w:ascii="標楷體" w:eastAsia="標楷體" w:hAnsi="標楷體"/>
          <w:color w:val="000000"/>
        </w:rPr>
      </w:pPr>
      <w:r w:rsidRPr="007576F0">
        <w:rPr>
          <w:rFonts w:ascii="標楷體" w:eastAsia="標楷體" w:hAnsi="標楷體" w:hint="eastAsia"/>
          <w:color w:val="000000"/>
        </w:rPr>
        <w:t>Ⅸ</w:t>
      </w:r>
      <w:r w:rsidRPr="007576F0">
        <w:rPr>
          <w:rFonts w:ascii="標楷體" w:eastAsia="標楷體" w:hAnsi="標楷體"/>
          <w:color w:val="000000"/>
        </w:rPr>
        <w:t>.</w:t>
      </w:r>
      <w:r w:rsidRPr="007576F0">
        <w:rPr>
          <w:rFonts w:ascii="標楷體" w:eastAsia="標楷體" w:hAnsi="標楷體"/>
          <w:color w:val="000000"/>
        </w:rPr>
        <w:tab/>
        <w:t>無DLBCL之外的併發惡性腫瘤，但充分治療的基底細胞</w:t>
      </w:r>
      <w:proofErr w:type="gramStart"/>
      <w:r w:rsidRPr="007576F0">
        <w:rPr>
          <w:rFonts w:ascii="標楷體" w:eastAsia="標楷體" w:hAnsi="標楷體"/>
          <w:color w:val="000000"/>
        </w:rPr>
        <w:t>癌或鱗狀</w:t>
      </w:r>
      <w:proofErr w:type="gramEnd"/>
      <w:r w:rsidRPr="007576F0">
        <w:rPr>
          <w:rFonts w:ascii="標楷體" w:eastAsia="標楷體" w:hAnsi="標楷體"/>
          <w:color w:val="000000"/>
        </w:rPr>
        <w:t>細胞癌不在此限（申請時需要充分的傷口癒合）；若為子宮頸或乳腺癌原位癌，在申請前至少 3 年經過</w:t>
      </w:r>
      <w:proofErr w:type="gramStart"/>
      <w:r w:rsidRPr="007576F0">
        <w:rPr>
          <w:rFonts w:ascii="標楷體" w:eastAsia="標楷體" w:hAnsi="標楷體"/>
          <w:color w:val="000000"/>
        </w:rPr>
        <w:t>治愈性</w:t>
      </w:r>
      <w:proofErr w:type="gramEnd"/>
      <w:r w:rsidRPr="007576F0">
        <w:rPr>
          <w:rFonts w:ascii="標楷體" w:eastAsia="標楷體" w:hAnsi="標楷體"/>
          <w:color w:val="000000"/>
        </w:rPr>
        <w:t>治療且無復發證據；原發惡性腫瘤已完全切除且申請時須處於</w:t>
      </w:r>
      <w:proofErr w:type="gramStart"/>
      <w:r w:rsidRPr="007576F0">
        <w:rPr>
          <w:rFonts w:ascii="標楷體" w:eastAsia="標楷體" w:hAnsi="標楷體"/>
          <w:color w:val="000000"/>
        </w:rPr>
        <w:t>完全緩</w:t>
      </w:r>
      <w:proofErr w:type="gramEnd"/>
      <w:r w:rsidRPr="007576F0">
        <w:rPr>
          <w:rFonts w:ascii="標楷體" w:eastAsia="標楷體" w:hAnsi="標楷體"/>
          <w:color w:val="000000"/>
        </w:rPr>
        <w:t>解5年以上。</w:t>
      </w:r>
    </w:p>
    <w:p w14:paraId="20C17F0F" w14:textId="77777777" w:rsidR="007576F0" w:rsidRPr="007576F0" w:rsidRDefault="007576F0" w:rsidP="007576F0">
      <w:pPr>
        <w:spacing w:line="300" w:lineRule="exact"/>
        <w:ind w:left="851" w:hanging="423"/>
        <w:rPr>
          <w:rFonts w:ascii="標楷體" w:eastAsia="標楷體" w:hAnsi="標楷體"/>
          <w:color w:val="000000"/>
        </w:rPr>
      </w:pPr>
      <w:r w:rsidRPr="007576F0">
        <w:rPr>
          <w:rFonts w:ascii="標楷體" w:eastAsia="標楷體" w:hAnsi="標楷體"/>
          <w:color w:val="000000"/>
        </w:rPr>
        <w:t xml:space="preserve">  3.前述</w:t>
      </w:r>
      <w:proofErr w:type="gramStart"/>
      <w:r w:rsidRPr="007576F0">
        <w:rPr>
          <w:rFonts w:ascii="標楷體" w:eastAsia="標楷體" w:hAnsi="標楷體"/>
          <w:color w:val="000000"/>
        </w:rPr>
        <w:t>1、2項均須符合</w:t>
      </w:r>
      <w:proofErr w:type="gramEnd"/>
      <w:r w:rsidRPr="007576F0">
        <w:rPr>
          <w:rFonts w:ascii="標楷體" w:eastAsia="標楷體" w:hAnsi="標楷體"/>
          <w:color w:val="000000"/>
        </w:rPr>
        <w:t>下列條件：</w:t>
      </w:r>
    </w:p>
    <w:p w14:paraId="3A3437DE"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hint="eastAsia"/>
          <w:color w:val="000000"/>
        </w:rPr>
        <w:t>需證實癌細胞仍帶有CD19。</w:t>
      </w:r>
    </w:p>
    <w:p w14:paraId="00501C30"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(2)須於特殊專案審查通過後6個月內</w:t>
      </w:r>
      <w:proofErr w:type="gramStart"/>
      <w:r w:rsidRPr="007576F0">
        <w:rPr>
          <w:rFonts w:ascii="標楷體" w:eastAsia="標楷體" w:hAnsi="標楷體" w:hint="eastAsia"/>
          <w:color w:val="000000"/>
        </w:rPr>
        <w:t>完成輸注</w:t>
      </w:r>
      <w:proofErr w:type="gramEnd"/>
      <w:r w:rsidRPr="007576F0">
        <w:rPr>
          <w:rFonts w:ascii="標楷體" w:eastAsia="標楷體" w:hAnsi="標楷體" w:hint="eastAsia"/>
          <w:color w:val="000000"/>
        </w:rPr>
        <w:t>。(112/11/1、115/10/1)</w:t>
      </w:r>
    </w:p>
    <w:p w14:paraId="1C561D6E"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(3)病人不得有HIV感染，曾經感染但已控制之病人亦不得接受。</w:t>
      </w:r>
    </w:p>
    <w:p w14:paraId="2EB3BD16"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(4)病人不得有active hepatitis B virus or hepatitis C virus 感染(評估</w:t>
      </w:r>
      <w:proofErr w:type="gramStart"/>
      <w:r w:rsidRPr="007576F0">
        <w:rPr>
          <w:rFonts w:ascii="標楷體" w:eastAsia="標楷體" w:hAnsi="標楷體" w:hint="eastAsia"/>
          <w:color w:val="000000"/>
        </w:rPr>
        <w:t>和輸注</w:t>
      </w:r>
      <w:proofErr w:type="gramEnd"/>
      <w:r w:rsidRPr="007576F0">
        <w:rPr>
          <w:rFonts w:ascii="標楷體" w:eastAsia="標楷體" w:hAnsi="標楷體" w:hint="eastAsia"/>
          <w:color w:val="000000"/>
        </w:rPr>
        <w:t xml:space="preserve"> CAR-T時需為viral load undetectable)。</w:t>
      </w:r>
    </w:p>
    <w:p w14:paraId="4069B8BA"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(5)病人不得有原發性中樞神經系統淋巴瘤(Primary CNS 1ymphoma)。</w:t>
      </w:r>
    </w:p>
    <w:p w14:paraId="32E09934"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(6)病人不得有</w:t>
      </w:r>
      <w:proofErr w:type="gramStart"/>
      <w:r w:rsidRPr="007576F0">
        <w:rPr>
          <w:rFonts w:ascii="標楷體" w:eastAsia="標楷體" w:hAnsi="標楷體" w:hint="eastAsia"/>
          <w:color w:val="000000"/>
        </w:rPr>
        <w:t>活躍的</w:t>
      </w:r>
      <w:proofErr w:type="gramEnd"/>
      <w:r w:rsidRPr="007576F0">
        <w:rPr>
          <w:rFonts w:ascii="標楷體" w:eastAsia="標楷體" w:hAnsi="標楷體" w:hint="eastAsia"/>
          <w:color w:val="000000"/>
        </w:rPr>
        <w:t>次發性中樞神經系統淋巴癌侵犯。</w:t>
      </w:r>
    </w:p>
    <w:p w14:paraId="6D622D5D"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(7)追蹤方式：依保險人公布要求之檢驗項目與頻率執行。</w:t>
      </w:r>
    </w:p>
    <w:p w14:paraId="6A7341F1"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(8)應提供本藥品治療申請日2個月內腦部MRI報告，無法進行腦部MRI檢查者，應提供1個月內腦脊髓液檢查報告與CT檢查報告並需照會神經科醫師，證明無淋巴瘤中樞神經侵犯。(114/8/1)</w:t>
      </w:r>
    </w:p>
    <w:p w14:paraId="62B5AFD0"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(9)</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用藥品規範：不得</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w:t>
      </w:r>
      <w:proofErr w:type="gramStart"/>
      <w:r w:rsidRPr="007576F0">
        <w:rPr>
          <w:rFonts w:ascii="標楷體" w:eastAsia="標楷體" w:hAnsi="標楷體" w:hint="eastAsia"/>
          <w:color w:val="000000"/>
        </w:rPr>
        <w:t>化療藥</w:t>
      </w:r>
      <w:proofErr w:type="gramEnd"/>
      <w:r w:rsidRPr="007576F0">
        <w:rPr>
          <w:rFonts w:ascii="標楷體" w:eastAsia="標楷體" w:hAnsi="標楷體" w:hint="eastAsia"/>
          <w:color w:val="000000"/>
        </w:rPr>
        <w:t>(淋巴清除化療除外)、免疫抑制劑或標靶藥物。(112/11/1、114/8/1)</w:t>
      </w:r>
      <w:r w:rsidRPr="007576F0">
        <w:rPr>
          <w:rFonts w:ascii="標楷體" w:eastAsia="標楷體" w:hAnsi="標楷體"/>
          <w:color w:val="000000"/>
        </w:rPr>
        <w:t xml:space="preserve">  </w:t>
      </w:r>
    </w:p>
    <w:p w14:paraId="6F26A2AA" w14:textId="77777777" w:rsidR="007576F0" w:rsidRPr="007576F0" w:rsidRDefault="007576F0" w:rsidP="007576F0">
      <w:pPr>
        <w:spacing w:line="300" w:lineRule="exact"/>
        <w:ind w:left="851" w:hanging="142"/>
        <w:rPr>
          <w:rFonts w:ascii="標楷體" w:eastAsia="標楷體" w:hAnsi="標楷體"/>
          <w:color w:val="000000"/>
        </w:rPr>
      </w:pPr>
      <w:r w:rsidRPr="007576F0">
        <w:rPr>
          <w:rFonts w:ascii="標楷體" w:eastAsia="標楷體" w:hAnsi="標楷體"/>
          <w:color w:val="000000"/>
        </w:rPr>
        <w:t>4.執行醫師須完全符合下列資格：</w:t>
      </w:r>
    </w:p>
    <w:p w14:paraId="383B475F"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(1)醫師必須為血液病和造血幹細胞移植專科醫師且須完成血液病和造血幹細胞移植的相關照護訓練。</w:t>
      </w:r>
    </w:p>
    <w:p w14:paraId="552DEBD7"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hint="eastAsia"/>
          <w:color w:val="000000"/>
        </w:rPr>
        <w:t>每兩年接受至少6小時中華民國血液及骨髓移植學會或中華民國血液病學會舉辦之CAR-T教育訓練。(112/11/1、114/8/1)</w:t>
      </w:r>
    </w:p>
    <w:p w14:paraId="5DBD7943"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lastRenderedPageBreak/>
        <w:t>(3)由保險人每年委託相關學會定期稽核醫師資格。</w:t>
      </w:r>
    </w:p>
    <w:p w14:paraId="48E1D73B" w14:textId="77777777" w:rsidR="007576F0" w:rsidRPr="007576F0" w:rsidRDefault="007576F0" w:rsidP="007576F0">
      <w:pPr>
        <w:spacing w:line="300" w:lineRule="exact"/>
        <w:ind w:left="426"/>
        <w:rPr>
          <w:rFonts w:ascii="標楷體" w:eastAsia="標楷體" w:hAnsi="標楷體"/>
          <w:color w:val="000000"/>
        </w:rPr>
      </w:pPr>
      <w:r w:rsidRPr="007576F0">
        <w:rPr>
          <w:rFonts w:ascii="標楷體" w:eastAsia="標楷體" w:hAnsi="標楷體"/>
          <w:color w:val="000000"/>
        </w:rPr>
        <w:t xml:space="preserve">  5.執行醫院須完全符合下列條件：</w:t>
      </w:r>
    </w:p>
    <w:p w14:paraId="1B0ACEBF"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(1)須為血液病和造血幹細胞移植專科醫師的訓練醫院。</w:t>
      </w:r>
    </w:p>
    <w:p w14:paraId="08AA46D6"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(2)每年平均須進行20例以上造血幹細胞移植，以過去3年平均為</w:t>
      </w:r>
      <w:proofErr w:type="gramStart"/>
      <w:r w:rsidRPr="007576F0">
        <w:rPr>
          <w:rFonts w:ascii="標楷體" w:eastAsia="標楷體" w:hAnsi="標楷體"/>
          <w:color w:val="000000"/>
        </w:rPr>
        <w:t>準</w:t>
      </w:r>
      <w:proofErr w:type="gramEnd"/>
      <w:r w:rsidRPr="007576F0">
        <w:rPr>
          <w:rFonts w:ascii="標楷體" w:eastAsia="標楷體" w:hAnsi="標楷體"/>
          <w:color w:val="000000"/>
        </w:rPr>
        <w:t>，並每年進行確認。</w:t>
      </w:r>
    </w:p>
    <w:p w14:paraId="076C443B"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(3)須建立 CAR-T多專科團隊，包含醫師、護理師、藥師、</w:t>
      </w:r>
      <w:proofErr w:type="gramStart"/>
      <w:r w:rsidRPr="007576F0">
        <w:rPr>
          <w:rFonts w:ascii="標楷體" w:eastAsia="標楷體" w:hAnsi="標楷體"/>
          <w:color w:val="000000"/>
        </w:rPr>
        <w:t>醫</w:t>
      </w:r>
      <w:proofErr w:type="gramEnd"/>
      <w:r w:rsidRPr="007576F0">
        <w:rPr>
          <w:rFonts w:ascii="標楷體" w:eastAsia="標楷體" w:hAnsi="標楷體"/>
          <w:color w:val="000000"/>
        </w:rPr>
        <w:t>檢師、細胞蒐集專門技術人員，經團隊討論後同意治療，並須於事前審查時，檢附會議紀錄。</w:t>
      </w:r>
    </w:p>
    <w:p w14:paraId="5F823FA8"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(4)</w:t>
      </w:r>
      <w:r w:rsidRPr="007576F0">
        <w:rPr>
          <w:rFonts w:ascii="標楷體" w:eastAsia="標楷體" w:hAnsi="標楷體" w:hint="eastAsia"/>
          <w:color w:val="000000"/>
        </w:rPr>
        <w:t>CAR-T多專科團隊成員，包括醫師、護理師、藥師、</w:t>
      </w:r>
      <w:proofErr w:type="gramStart"/>
      <w:r w:rsidRPr="007576F0">
        <w:rPr>
          <w:rFonts w:ascii="標楷體" w:eastAsia="標楷體" w:hAnsi="標楷體" w:hint="eastAsia"/>
          <w:color w:val="000000"/>
        </w:rPr>
        <w:t>醫</w:t>
      </w:r>
      <w:proofErr w:type="gramEnd"/>
      <w:r w:rsidRPr="007576F0">
        <w:rPr>
          <w:rFonts w:ascii="標楷體" w:eastAsia="標楷體" w:hAnsi="標楷體" w:hint="eastAsia"/>
          <w:color w:val="000000"/>
        </w:rPr>
        <w:t>檢師、細胞蒐集專門技術人員各至少一人，須每兩年接受至少6小時中華民國血液及骨髓移植學會或中華民國血液病學會舉辦之CAR-T教育訓練。(112/11/1、114/8/1)</w:t>
      </w:r>
    </w:p>
    <w:p w14:paraId="22D10106"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(5)</w:t>
      </w:r>
      <w:r w:rsidRPr="007576F0">
        <w:rPr>
          <w:rFonts w:ascii="標楷體" w:eastAsia="標楷體" w:hAnsi="標楷體" w:hint="eastAsia"/>
          <w:color w:val="000000"/>
        </w:rPr>
        <w:t>醫院藥局至少需庫存10支靜脈注射tocilizumab。(112/11/1、114/8/1)</w:t>
      </w:r>
    </w:p>
    <w:p w14:paraId="472119B9"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(6)細胞蒐集和處理實驗室須於2029年1月1日前取得相關國際認證(AABB或FACT-JACIE)。</w:t>
      </w:r>
    </w:p>
    <w:p w14:paraId="5BE4A02D"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(7)由保險人每年委託相關學會定期稽核醫院符合前述條件。</w:t>
      </w:r>
    </w:p>
    <w:p w14:paraId="6CE1D39C" w14:textId="77777777" w:rsidR="007576F0" w:rsidRPr="007576F0" w:rsidRDefault="007576F0" w:rsidP="007576F0">
      <w:pPr>
        <w:spacing w:line="300" w:lineRule="exact"/>
        <w:ind w:left="851" w:hanging="423"/>
        <w:rPr>
          <w:rFonts w:ascii="標楷體" w:eastAsia="標楷體" w:hAnsi="標楷體"/>
          <w:color w:val="000000"/>
        </w:rPr>
      </w:pPr>
      <w:r w:rsidRPr="007576F0">
        <w:rPr>
          <w:rFonts w:ascii="標楷體" w:eastAsia="標楷體" w:hAnsi="標楷體"/>
          <w:color w:val="000000"/>
        </w:rPr>
        <w:t xml:space="preserve">  6.須經專家小組特殊專案審查核准後使用，並須檢附下列文件：</w:t>
      </w:r>
    </w:p>
    <w:p w14:paraId="2E7FEBC7"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(1)CAR-T</w:t>
      </w:r>
      <w:proofErr w:type="gramStart"/>
      <w:r w:rsidRPr="007576F0">
        <w:rPr>
          <w:rFonts w:ascii="標楷體" w:eastAsia="標楷體" w:hAnsi="標楷體"/>
          <w:color w:val="000000"/>
        </w:rPr>
        <w:t>多科團隊</w:t>
      </w:r>
      <w:proofErr w:type="gramEnd"/>
      <w:r w:rsidRPr="007576F0">
        <w:rPr>
          <w:rFonts w:ascii="標楷體" w:eastAsia="標楷體" w:hAnsi="標楷體"/>
          <w:color w:val="000000"/>
        </w:rPr>
        <w:t>會議紀錄。</w:t>
      </w:r>
    </w:p>
    <w:p w14:paraId="7C84FE8A"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(2)符合前述第4、5項之醫院條件及醫師資格之相關文件。</w:t>
      </w:r>
    </w:p>
    <w:p w14:paraId="1525FEC1"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color w:val="000000"/>
        </w:rPr>
        <w:t>(3)經臨床醫師確認無法接受造血幹細胞移植者，須檢附相關文件。</w:t>
      </w:r>
      <w:bookmarkEnd w:id="71"/>
    </w:p>
    <w:p w14:paraId="6DAAE716" w14:textId="77777777" w:rsidR="007576F0" w:rsidRPr="007576F0" w:rsidRDefault="007576F0" w:rsidP="007576F0">
      <w:pPr>
        <w:spacing w:line="300" w:lineRule="exact"/>
        <w:ind w:left="993" w:hanging="282"/>
        <w:rPr>
          <w:rFonts w:ascii="標楷體" w:eastAsia="標楷體" w:hAnsi="標楷體"/>
          <w:color w:val="000000"/>
        </w:rPr>
      </w:pPr>
      <w:r w:rsidRPr="007576F0">
        <w:rPr>
          <w:rFonts w:ascii="標楷體" w:eastAsia="標楷體" w:hAnsi="標楷體" w:hint="eastAsia"/>
          <w:color w:val="000000"/>
        </w:rPr>
        <w:t>7.</w:t>
      </w:r>
      <w:proofErr w:type="gramStart"/>
      <w:r w:rsidRPr="007576F0">
        <w:rPr>
          <w:rFonts w:ascii="標楷體" w:eastAsia="標楷體" w:hAnsi="標楷體" w:hint="eastAsia"/>
          <w:color w:val="000000"/>
        </w:rPr>
        <w:t>本品終身</w:t>
      </w:r>
      <w:proofErr w:type="gramEnd"/>
      <w:r w:rsidRPr="007576F0">
        <w:rPr>
          <w:rFonts w:ascii="標楷體" w:eastAsia="標楷體" w:hAnsi="標楷體" w:hint="eastAsia"/>
          <w:color w:val="000000"/>
        </w:rPr>
        <w:t>限給付1次療程，與</w:t>
      </w:r>
      <w:proofErr w:type="spellStart"/>
      <w:r w:rsidRPr="007576F0">
        <w:rPr>
          <w:rFonts w:ascii="標楷體" w:eastAsia="標楷體" w:hAnsi="標楷體" w:hint="eastAsia"/>
          <w:color w:val="000000"/>
        </w:rPr>
        <w:t>axicabtagene</w:t>
      </w:r>
      <w:proofErr w:type="spellEnd"/>
      <w:r w:rsidRPr="007576F0">
        <w:rPr>
          <w:rFonts w:ascii="標楷體" w:eastAsia="標楷體" w:hAnsi="標楷體" w:hint="eastAsia"/>
          <w:color w:val="000000"/>
        </w:rPr>
        <w:t xml:space="preserve"> </w:t>
      </w:r>
      <w:proofErr w:type="spellStart"/>
      <w:r w:rsidRPr="007576F0">
        <w:rPr>
          <w:rFonts w:ascii="標楷體" w:eastAsia="標楷體" w:hAnsi="標楷體" w:hint="eastAsia"/>
          <w:color w:val="000000"/>
        </w:rPr>
        <w:t>ciloleucel</w:t>
      </w:r>
      <w:proofErr w:type="spellEnd"/>
      <w:r w:rsidRPr="007576F0">
        <w:rPr>
          <w:rFonts w:ascii="標楷體" w:eastAsia="標楷體" w:hAnsi="標楷體" w:hint="eastAsia"/>
          <w:color w:val="000000"/>
        </w:rPr>
        <w:t>僅得擇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使用。(112/11/1、115/10/1)</w:t>
      </w:r>
    </w:p>
    <w:p w14:paraId="507020F1" w14:textId="77777777" w:rsidR="007576F0" w:rsidRPr="007576F0" w:rsidRDefault="007576F0" w:rsidP="007576F0">
      <w:pPr>
        <w:spacing w:line="300" w:lineRule="exact"/>
        <w:ind w:left="610" w:hanging="245"/>
        <w:rPr>
          <w:rFonts w:ascii="標楷體" w:eastAsia="標楷體" w:hAnsi="標楷體"/>
        </w:rPr>
      </w:pPr>
      <w:r w:rsidRPr="007576F0">
        <w:rPr>
          <w:rFonts w:ascii="標楷體" w:eastAsia="標楷體" w:hAnsi="標楷體" w:hint="eastAsia"/>
        </w:rPr>
        <w:t>9.104.</w:t>
      </w:r>
      <w:r w:rsidRPr="007576F0">
        <w:rPr>
          <w:rFonts w:ascii="標楷體" w:eastAsia="標楷體" w:hAnsi="標楷體" w:hint="eastAsia"/>
          <w:color w:val="000000"/>
        </w:rPr>
        <w:t>Zanubrutinib</w:t>
      </w:r>
      <w:r w:rsidRPr="007576F0">
        <w:rPr>
          <w:rFonts w:ascii="標楷體" w:eastAsia="標楷體" w:hAnsi="標楷體" w:hint="eastAsia"/>
        </w:rPr>
        <w:t>(如</w:t>
      </w:r>
      <w:proofErr w:type="spellStart"/>
      <w:r w:rsidRPr="007576F0">
        <w:rPr>
          <w:rFonts w:ascii="標楷體" w:eastAsia="標楷體" w:hAnsi="標楷體" w:hint="eastAsia"/>
        </w:rPr>
        <w:t>Brukinsa</w:t>
      </w:r>
      <w:proofErr w:type="spellEnd"/>
      <w:r w:rsidRPr="007576F0">
        <w:rPr>
          <w:rFonts w:ascii="標楷體" w:eastAsia="標楷體" w:hAnsi="標楷體" w:hint="eastAsia"/>
        </w:rPr>
        <w:t>)：(112/12/1、114/8/1、114/10/1、115/5/1)</w:t>
      </w:r>
    </w:p>
    <w:p w14:paraId="78AC9164" w14:textId="77777777" w:rsidR="007576F0" w:rsidRPr="007576F0" w:rsidRDefault="007576F0" w:rsidP="007576F0">
      <w:pPr>
        <w:spacing w:line="300" w:lineRule="exact"/>
        <w:ind w:left="993" w:hanging="282"/>
        <w:rPr>
          <w:rFonts w:ascii="標楷體" w:eastAsia="標楷體" w:hAnsi="標楷體"/>
        </w:rPr>
      </w:pPr>
      <w:r w:rsidRPr="007576F0">
        <w:rPr>
          <w:rFonts w:ascii="標楷體" w:eastAsia="標楷體" w:hAnsi="標楷體" w:hint="eastAsia"/>
        </w:rPr>
        <w:t>1.單獨使用於先前接受過至少一種化學或標靶治療方式無效或復發的被套細胞淋巴瘤成年病人。(112/12/1、114/8/1、114/10/1、115/5/1)</w:t>
      </w:r>
    </w:p>
    <w:p w14:paraId="0F52B359"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(1)需經事前審查核准後使用(</w:t>
      </w:r>
      <w:proofErr w:type="gramStart"/>
      <w:r w:rsidRPr="007576F0">
        <w:rPr>
          <w:rFonts w:ascii="標楷體" w:eastAsia="標楷體" w:hAnsi="標楷體" w:hint="eastAsia"/>
          <w:color w:val="000000"/>
        </w:rPr>
        <w:t>事審代碼</w:t>
      </w:r>
      <w:proofErr w:type="gramEnd"/>
      <w:r w:rsidRPr="007576F0">
        <w:rPr>
          <w:rFonts w:ascii="標楷體" w:eastAsia="標楷體" w:hAnsi="標楷體" w:hint="eastAsia"/>
          <w:color w:val="000000"/>
        </w:rPr>
        <w:t>：C83N2)。首次申請事前審查之療程以4個月為限，之後每3個月需再次申請，再次申請時應檢附前次治療結果評估資料，如影像學檢查報告。(114/8/1)</w:t>
      </w:r>
    </w:p>
    <w:p w14:paraId="72B72749"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(2)若疾病進展，則必須停止使用。</w:t>
      </w:r>
    </w:p>
    <w:p w14:paraId="776B0012"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(3)每日至多處方4粒。</w:t>
      </w:r>
    </w:p>
    <w:p w14:paraId="5EEEA9C0"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(4)Zanubrutinib、ibrutinib及acalabrutinib僅能擇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使用，唯有在出現無法忍受其副作用時方可互換。與acalabrutinib互換時二者使用總療程合併計算，以全部20個月為上限。(112/12/1、114/10/1、115/5/1)</w:t>
      </w:r>
    </w:p>
    <w:p w14:paraId="04F3044B" w14:textId="77777777" w:rsidR="007576F0" w:rsidRPr="007576F0" w:rsidRDefault="007576F0" w:rsidP="007576F0">
      <w:pPr>
        <w:spacing w:line="300" w:lineRule="exact"/>
        <w:ind w:left="993" w:hanging="282"/>
        <w:rPr>
          <w:rFonts w:ascii="標楷體" w:eastAsia="標楷體" w:hAnsi="標楷體"/>
        </w:rPr>
      </w:pPr>
      <w:r w:rsidRPr="007576F0">
        <w:rPr>
          <w:rFonts w:ascii="標楷體" w:eastAsia="標楷體" w:hAnsi="標楷體" w:hint="eastAsia"/>
        </w:rPr>
        <w:t>2.單獨使用於曾接受含一種單株抗體及一種靜脈注射之alkylating agent之chemoimmunotherapy至少4個療程以上後復發者的華氏巨球蛋白血症成年病人。(112/12/1、114/8/1)。</w:t>
      </w:r>
    </w:p>
    <w:p w14:paraId="79F8670B"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(1)病患須具下列至少3種條件：</w:t>
      </w:r>
    </w:p>
    <w:p w14:paraId="4995FADF"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I.年齡＞65歲。</w:t>
      </w:r>
    </w:p>
    <w:p w14:paraId="19C609D1"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II.血紅素計數</w:t>
      </w:r>
      <w:proofErr w:type="gramStart"/>
      <w:r w:rsidRPr="007576F0">
        <w:rPr>
          <w:rFonts w:ascii="標楷體" w:eastAsia="標楷體" w:hAnsi="標楷體" w:hint="eastAsia"/>
        </w:rPr>
        <w:t>≦</w:t>
      </w:r>
      <w:proofErr w:type="gramEnd"/>
      <w:r w:rsidRPr="007576F0">
        <w:rPr>
          <w:rFonts w:ascii="標楷體" w:eastAsia="標楷體" w:hAnsi="標楷體" w:hint="eastAsia"/>
        </w:rPr>
        <w:t>11g/dL。</w:t>
      </w:r>
    </w:p>
    <w:p w14:paraId="5D73515E"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III.血小板計數</w:t>
      </w:r>
      <w:proofErr w:type="gramStart"/>
      <w:r w:rsidRPr="007576F0">
        <w:rPr>
          <w:rFonts w:ascii="標楷體" w:eastAsia="標楷體" w:hAnsi="標楷體" w:hint="eastAsia"/>
        </w:rPr>
        <w:t>≦</w:t>
      </w:r>
      <w:proofErr w:type="gramEnd"/>
      <w:r w:rsidRPr="007576F0">
        <w:rPr>
          <w:rFonts w:ascii="標楷體" w:eastAsia="標楷體" w:hAnsi="標楷體" w:hint="eastAsia"/>
        </w:rPr>
        <w:t>100×109/L。</w:t>
      </w:r>
    </w:p>
    <w:p w14:paraId="2C057710"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IV.β2-microglobulin&gt;3mg/L。</w:t>
      </w:r>
    </w:p>
    <w:p w14:paraId="68B57A93"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V.免疫球蛋白IgM&gt;7g/dL。</w:t>
      </w:r>
    </w:p>
    <w:p w14:paraId="152C4A79"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(2)需經事前審查核准後使用(</w:t>
      </w:r>
      <w:proofErr w:type="gramStart"/>
      <w:r w:rsidRPr="007576F0">
        <w:rPr>
          <w:rFonts w:ascii="標楷體" w:eastAsia="標楷體" w:hAnsi="標楷體" w:hint="eastAsia"/>
        </w:rPr>
        <w:t>事審代碼</w:t>
      </w:r>
      <w:proofErr w:type="gramEnd"/>
      <w:r w:rsidRPr="007576F0">
        <w:rPr>
          <w:rFonts w:ascii="標楷體" w:eastAsia="標楷體" w:hAnsi="標楷體" w:hint="eastAsia"/>
        </w:rPr>
        <w:t>：C88N3)。首次申請事前審查之療程以4個月為限，之後每3個月需再次申請，再次申請時應檢附前次治療結果評估資料，如影像學檢查報告。(114/8/1)</w:t>
      </w:r>
    </w:p>
    <w:p w14:paraId="5F31BB1A"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(3)若疾病進展，則必須停止使用。</w:t>
      </w:r>
    </w:p>
    <w:p w14:paraId="11E3C8AA"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(4)每位病人限給付20個月。</w:t>
      </w:r>
    </w:p>
    <w:p w14:paraId="6A95CAAB"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(5)每日至多處方4粒。</w:t>
      </w:r>
    </w:p>
    <w:p w14:paraId="0F8CE2B5" w14:textId="77777777" w:rsidR="007576F0" w:rsidRPr="007576F0" w:rsidRDefault="007576F0" w:rsidP="007576F0">
      <w:pPr>
        <w:spacing w:line="300" w:lineRule="exact"/>
        <w:ind w:left="993" w:hanging="282"/>
        <w:rPr>
          <w:rFonts w:ascii="標楷體" w:eastAsia="標楷體" w:hAnsi="標楷體"/>
        </w:rPr>
      </w:pPr>
      <w:r w:rsidRPr="007576F0">
        <w:rPr>
          <w:rFonts w:ascii="標楷體" w:eastAsia="標楷體" w:hAnsi="標楷體" w:hint="eastAsia"/>
        </w:rPr>
        <w:t>3.與</w:t>
      </w:r>
      <w:proofErr w:type="spellStart"/>
      <w:r w:rsidRPr="007576F0">
        <w:rPr>
          <w:rFonts w:ascii="標楷體" w:eastAsia="標楷體" w:hAnsi="標楷體" w:hint="eastAsia"/>
        </w:rPr>
        <w:t>obinutuzumab</w:t>
      </w:r>
      <w:proofErr w:type="spellEnd"/>
      <w:proofErr w:type="gramStart"/>
      <w:r w:rsidRPr="007576F0">
        <w:rPr>
          <w:rFonts w:ascii="標楷體" w:eastAsia="標楷體" w:hAnsi="標楷體" w:hint="eastAsia"/>
        </w:rPr>
        <w:t>併</w:t>
      </w:r>
      <w:proofErr w:type="gramEnd"/>
      <w:r w:rsidRPr="007576F0">
        <w:rPr>
          <w:rFonts w:ascii="標楷體" w:eastAsia="標楷體" w:hAnsi="標楷體" w:hint="eastAsia"/>
        </w:rPr>
        <w:t>用，治療先前曾接受至少兩線(</w:t>
      </w:r>
      <w:proofErr w:type="gramStart"/>
      <w:r w:rsidRPr="007576F0">
        <w:rPr>
          <w:rFonts w:ascii="標楷體" w:eastAsia="標楷體" w:hAnsi="標楷體" w:hint="eastAsia"/>
        </w:rPr>
        <w:t>每線至少</w:t>
      </w:r>
      <w:proofErr w:type="gramEnd"/>
      <w:r w:rsidRPr="007576F0">
        <w:rPr>
          <w:rFonts w:ascii="標楷體" w:eastAsia="標楷體" w:hAnsi="標楷體" w:hint="eastAsia"/>
        </w:rPr>
        <w:t>4個療程)全身性治療無效或復發的</w:t>
      </w:r>
      <w:proofErr w:type="gramStart"/>
      <w:r w:rsidRPr="007576F0">
        <w:rPr>
          <w:rFonts w:ascii="標楷體" w:eastAsia="標楷體" w:hAnsi="標楷體" w:hint="eastAsia"/>
        </w:rPr>
        <w:t>濾泡性淋巴</w:t>
      </w:r>
      <w:proofErr w:type="gramEnd"/>
      <w:r w:rsidRPr="007576F0">
        <w:rPr>
          <w:rFonts w:ascii="標楷體" w:eastAsia="標楷體" w:hAnsi="標楷體" w:hint="eastAsia"/>
        </w:rPr>
        <w:t>瘤成人病人。(114/8/1)</w:t>
      </w:r>
    </w:p>
    <w:p w14:paraId="2AE1F267"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lastRenderedPageBreak/>
        <w:t>(1)</w:t>
      </w:r>
      <w:proofErr w:type="gramStart"/>
      <w:r w:rsidRPr="007576F0">
        <w:rPr>
          <w:rFonts w:ascii="標楷體" w:eastAsia="標楷體" w:hAnsi="標楷體" w:hint="eastAsia"/>
        </w:rPr>
        <w:t>需曾接受</w:t>
      </w:r>
      <w:proofErr w:type="gramEnd"/>
      <w:r w:rsidRPr="007576F0">
        <w:rPr>
          <w:rFonts w:ascii="標楷體" w:eastAsia="標楷體" w:hAnsi="標楷體" w:hint="eastAsia"/>
        </w:rPr>
        <w:t>過至少一種anti-CD20 monoclonal antibody及一種靜脈注射型之alkylating agent治療。</w:t>
      </w:r>
    </w:p>
    <w:p w14:paraId="391D192F"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(2)需符合WHO 淋巴瘤分類為I、II或IIIa期的診斷。</w:t>
      </w:r>
    </w:p>
    <w:p w14:paraId="2C5BE9A8"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(3)開始使用前之疾病狀態需出現下列任</w:t>
      </w:r>
      <w:proofErr w:type="gramStart"/>
      <w:r w:rsidRPr="007576F0">
        <w:rPr>
          <w:rFonts w:ascii="標楷體" w:eastAsia="標楷體" w:hAnsi="標楷體" w:hint="eastAsia"/>
        </w:rPr>
        <w:t>一</w:t>
      </w:r>
      <w:proofErr w:type="gramEnd"/>
      <w:r w:rsidRPr="007576F0">
        <w:rPr>
          <w:rFonts w:ascii="標楷體" w:eastAsia="標楷體" w:hAnsi="標楷體" w:hint="eastAsia"/>
        </w:rPr>
        <w:t>情形：</w:t>
      </w:r>
    </w:p>
    <w:p w14:paraId="5D1F93BE"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I.有單一腫瘤直徑7公分以上者；</w:t>
      </w:r>
    </w:p>
    <w:p w14:paraId="1F73C554"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II.有三顆以上之腫瘤其直徑大於3公分以上者；</w:t>
      </w:r>
    </w:p>
    <w:p w14:paraId="3765F12C"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III.脾臟腫大，其長度16公分以上者；</w:t>
      </w:r>
    </w:p>
    <w:p w14:paraId="5CE1EDAA"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IV.對</w:t>
      </w:r>
      <w:proofErr w:type="spellStart"/>
      <w:r w:rsidRPr="007576F0">
        <w:rPr>
          <w:rFonts w:ascii="標楷體" w:eastAsia="標楷體" w:hAnsi="標楷體" w:hint="eastAsia"/>
        </w:rPr>
        <w:t>vitalorgans</w:t>
      </w:r>
      <w:proofErr w:type="spellEnd"/>
      <w:r w:rsidRPr="007576F0">
        <w:rPr>
          <w:rFonts w:ascii="標楷體" w:eastAsia="標楷體" w:hAnsi="標楷體" w:hint="eastAsia"/>
        </w:rPr>
        <w:t>造成擠壓者；</w:t>
      </w:r>
    </w:p>
    <w:p w14:paraId="626773F0"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V.周邊血中出現淋巴球增生超過5000/ mm3者；</w:t>
      </w:r>
    </w:p>
    <w:p w14:paraId="35D7AE95" w14:textId="77777777" w:rsidR="007576F0" w:rsidRPr="007576F0" w:rsidRDefault="007576F0" w:rsidP="007576F0">
      <w:pPr>
        <w:spacing w:line="300" w:lineRule="exact"/>
        <w:ind w:leftChars="354" w:left="1220" w:hangingChars="154" w:hanging="370"/>
        <w:rPr>
          <w:rFonts w:ascii="標楷體" w:eastAsia="標楷體" w:hAnsi="標楷體"/>
        </w:rPr>
      </w:pPr>
      <w:r w:rsidRPr="007576F0">
        <w:rPr>
          <w:rFonts w:ascii="標楷體" w:eastAsia="標楷體" w:hAnsi="標楷體" w:hint="eastAsia"/>
        </w:rPr>
        <w:t>VI.出現任一系列血球低下者</w:t>
      </w:r>
      <w:proofErr w:type="gramStart"/>
      <w:r w:rsidRPr="007576F0">
        <w:rPr>
          <w:rFonts w:ascii="標楷體" w:eastAsia="標楷體" w:hAnsi="標楷體" w:hint="eastAsia"/>
        </w:rPr>
        <w:t>（</w:t>
      </w:r>
      <w:proofErr w:type="gramEnd"/>
      <w:r w:rsidRPr="007576F0">
        <w:rPr>
          <w:rFonts w:ascii="標楷體" w:eastAsia="標楷體" w:hAnsi="標楷體" w:hint="eastAsia"/>
        </w:rPr>
        <w:t>platelet&lt;100,000/ mm3，或 Hb&lt;10gm/dL，或absolute neutrophil count&lt;1500/mm3)。</w:t>
      </w:r>
    </w:p>
    <w:p w14:paraId="2E514F4A" w14:textId="77777777" w:rsidR="007576F0" w:rsidRPr="007576F0" w:rsidRDefault="007576F0" w:rsidP="007576F0">
      <w:pPr>
        <w:spacing w:line="300" w:lineRule="exact"/>
        <w:ind w:leftChars="354" w:left="850"/>
        <w:rPr>
          <w:rFonts w:ascii="標楷體" w:eastAsia="標楷體" w:hAnsi="標楷體"/>
        </w:rPr>
      </w:pPr>
      <w:r w:rsidRPr="007576F0">
        <w:rPr>
          <w:rFonts w:ascii="標楷體" w:eastAsia="標楷體" w:hAnsi="標楷體" w:hint="eastAsia"/>
        </w:rPr>
        <w:t>VII.B symptoms。</w:t>
      </w:r>
    </w:p>
    <w:p w14:paraId="005B9677"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(4)需經事前審查核准後使用(</w:t>
      </w:r>
      <w:proofErr w:type="gramStart"/>
      <w:r w:rsidRPr="007576F0">
        <w:rPr>
          <w:rFonts w:ascii="標楷體" w:eastAsia="標楷體" w:hAnsi="標楷體" w:hint="eastAsia"/>
        </w:rPr>
        <w:t>事審代碼</w:t>
      </w:r>
      <w:proofErr w:type="gramEnd"/>
      <w:r w:rsidRPr="007576F0">
        <w:rPr>
          <w:rFonts w:ascii="標楷體" w:eastAsia="標楷體" w:hAnsi="標楷體" w:hint="eastAsia"/>
        </w:rPr>
        <w:t>：C82N3)，每3個月需再次申請，再次申請時需檢附療效評估資料，若未達partial remission或 complete remission，則不予給付。</w:t>
      </w:r>
    </w:p>
    <w:p w14:paraId="54A7F8C5"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(5)總療程以全部24個月為上限。Zanubrutinib每日至多處方4粒。</w:t>
      </w:r>
    </w:p>
    <w:p w14:paraId="4AFF777B" w14:textId="77777777" w:rsidR="007576F0" w:rsidRPr="007576F0" w:rsidRDefault="007576F0" w:rsidP="007576F0">
      <w:pPr>
        <w:spacing w:line="300" w:lineRule="exact"/>
        <w:ind w:left="993" w:hanging="282"/>
        <w:rPr>
          <w:rFonts w:ascii="標楷體" w:eastAsia="標楷體" w:hAnsi="標楷體"/>
        </w:rPr>
      </w:pPr>
      <w:r w:rsidRPr="007576F0">
        <w:rPr>
          <w:rFonts w:ascii="標楷體" w:eastAsia="標楷體" w:hAnsi="標楷體" w:hint="eastAsia"/>
        </w:rPr>
        <w:t>4.單獨使用於慢性淋巴球性白血病(CLL)成人病人。(114/10/1、115/5/1)</w:t>
      </w:r>
    </w:p>
    <w:p w14:paraId="459790B6"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(1)ECOG 分數須</w:t>
      </w:r>
      <w:proofErr w:type="gramStart"/>
      <w:r w:rsidRPr="007576F0">
        <w:rPr>
          <w:rFonts w:ascii="標楷體" w:eastAsia="標楷體" w:hAnsi="標楷體" w:hint="eastAsia"/>
        </w:rPr>
        <w:t>≦</w:t>
      </w:r>
      <w:proofErr w:type="gramEnd"/>
      <w:r w:rsidRPr="007576F0">
        <w:rPr>
          <w:rFonts w:ascii="標楷體" w:eastAsia="標楷體" w:hAnsi="標楷體" w:hint="eastAsia"/>
        </w:rPr>
        <w:t>2。</w:t>
      </w:r>
    </w:p>
    <w:p w14:paraId="62976697"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(2)需符合下列任</w:t>
      </w:r>
      <w:proofErr w:type="gramStart"/>
      <w:r w:rsidRPr="007576F0">
        <w:rPr>
          <w:rFonts w:ascii="標楷體" w:eastAsia="標楷體" w:hAnsi="標楷體" w:hint="eastAsia"/>
        </w:rPr>
        <w:t>一</w:t>
      </w:r>
      <w:proofErr w:type="gramEnd"/>
      <w:r w:rsidRPr="007576F0">
        <w:rPr>
          <w:rFonts w:ascii="標楷體" w:eastAsia="標楷體" w:hAnsi="標楷體" w:hint="eastAsia"/>
        </w:rPr>
        <w:t>情況：</w:t>
      </w:r>
    </w:p>
    <w:p w14:paraId="65478BD7" w14:textId="77777777" w:rsidR="007576F0" w:rsidRPr="007576F0" w:rsidRDefault="007576F0" w:rsidP="007576F0">
      <w:pPr>
        <w:spacing w:line="300" w:lineRule="exact"/>
        <w:ind w:leftChars="531" w:left="1274"/>
        <w:rPr>
          <w:rFonts w:ascii="標楷體" w:eastAsia="標楷體" w:hAnsi="標楷體"/>
        </w:rPr>
      </w:pPr>
      <w:r w:rsidRPr="007576F0">
        <w:rPr>
          <w:rFonts w:ascii="標楷體" w:eastAsia="標楷體" w:hAnsi="標楷體" w:hint="eastAsia"/>
        </w:rPr>
        <w:t>I.具有17p缺失。</w:t>
      </w:r>
    </w:p>
    <w:p w14:paraId="04CCA0E8" w14:textId="77777777" w:rsidR="007576F0" w:rsidRPr="007576F0" w:rsidRDefault="007576F0" w:rsidP="007576F0">
      <w:pPr>
        <w:spacing w:line="300" w:lineRule="exact"/>
        <w:ind w:leftChars="495" w:left="1558" w:hangingChars="154" w:hanging="370"/>
        <w:rPr>
          <w:rFonts w:ascii="標楷體" w:eastAsia="標楷體" w:hAnsi="標楷體"/>
        </w:rPr>
      </w:pPr>
      <w:r w:rsidRPr="007576F0">
        <w:rPr>
          <w:rFonts w:ascii="標楷體" w:eastAsia="標楷體" w:hAnsi="標楷體" w:hint="eastAsia"/>
        </w:rPr>
        <w:t>II.非IGHV突變且曾接受至少1種包括alkylating agent與anti-CD20(如R-CVP、RCHOP、rituximab加</w:t>
      </w:r>
      <w:proofErr w:type="spellStart"/>
      <w:r w:rsidRPr="007576F0">
        <w:rPr>
          <w:rFonts w:ascii="標楷體" w:eastAsia="標楷體" w:hAnsi="標楷體" w:hint="eastAsia"/>
        </w:rPr>
        <w:t>bendamustine</w:t>
      </w:r>
      <w:proofErr w:type="spellEnd"/>
      <w:r w:rsidRPr="007576F0">
        <w:rPr>
          <w:rFonts w:ascii="標楷體" w:eastAsia="標楷體" w:hAnsi="標楷體" w:hint="eastAsia"/>
        </w:rPr>
        <w:t>等)的治療2個療程以上仍惡化或復發者。</w:t>
      </w:r>
    </w:p>
    <w:p w14:paraId="3945AA0A" w14:textId="77777777" w:rsidR="007576F0" w:rsidRPr="007576F0" w:rsidRDefault="007576F0" w:rsidP="007576F0">
      <w:pPr>
        <w:spacing w:line="300" w:lineRule="exact"/>
        <w:ind w:leftChars="436" w:left="1416" w:hangingChars="154" w:hanging="370"/>
        <w:rPr>
          <w:rFonts w:ascii="標楷體" w:eastAsia="標楷體" w:hAnsi="標楷體"/>
        </w:rPr>
      </w:pPr>
      <w:r w:rsidRPr="007576F0">
        <w:rPr>
          <w:rFonts w:ascii="標楷體" w:eastAsia="標楷體" w:hAnsi="標楷體" w:hint="eastAsia"/>
        </w:rPr>
        <w:t>III.CLL病人需先前曾接受至少2線治療(排除僅有口服藥物之療程)，治療中須包括alkylating agent與anti-CD20(如R-CVP、RCHOP、rituximab加</w:t>
      </w:r>
      <w:proofErr w:type="spellStart"/>
      <w:r w:rsidRPr="007576F0">
        <w:rPr>
          <w:rFonts w:ascii="標楷體" w:eastAsia="標楷體" w:hAnsi="標楷體" w:hint="eastAsia"/>
        </w:rPr>
        <w:t>bendamustine</w:t>
      </w:r>
      <w:proofErr w:type="spellEnd"/>
      <w:r w:rsidRPr="007576F0">
        <w:rPr>
          <w:rFonts w:ascii="標楷體" w:eastAsia="標楷體" w:hAnsi="標楷體" w:hint="eastAsia"/>
        </w:rPr>
        <w:t>等)的治療，</w:t>
      </w:r>
      <w:proofErr w:type="gramStart"/>
      <w:r w:rsidRPr="007576F0">
        <w:rPr>
          <w:rFonts w:ascii="標楷體" w:eastAsia="標楷體" w:hAnsi="標楷體" w:hint="eastAsia"/>
        </w:rPr>
        <w:t>每線治療</w:t>
      </w:r>
      <w:proofErr w:type="gramEnd"/>
      <w:r w:rsidRPr="007576F0">
        <w:rPr>
          <w:rFonts w:ascii="標楷體" w:eastAsia="標楷體" w:hAnsi="標楷體" w:hint="eastAsia"/>
        </w:rPr>
        <w:t>至少2個療程以上後，仍惡化或復發者。</w:t>
      </w:r>
    </w:p>
    <w:p w14:paraId="40991F98"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(3)開始使用前之疾病狀態需出現下列任</w:t>
      </w:r>
      <w:proofErr w:type="gramStart"/>
      <w:r w:rsidRPr="007576F0">
        <w:rPr>
          <w:rFonts w:ascii="標楷體" w:eastAsia="標楷體" w:hAnsi="標楷體" w:hint="eastAsia"/>
        </w:rPr>
        <w:t>一</w:t>
      </w:r>
      <w:proofErr w:type="gramEnd"/>
      <w:r w:rsidRPr="007576F0">
        <w:rPr>
          <w:rFonts w:ascii="標楷體" w:eastAsia="標楷體" w:hAnsi="標楷體" w:hint="eastAsia"/>
        </w:rPr>
        <w:t>情形：</w:t>
      </w:r>
    </w:p>
    <w:p w14:paraId="4D5DDB84" w14:textId="77777777" w:rsidR="007576F0" w:rsidRPr="007576F0" w:rsidRDefault="007576F0" w:rsidP="007576F0">
      <w:pPr>
        <w:spacing w:line="300" w:lineRule="exact"/>
        <w:ind w:leftChars="436" w:left="1416" w:hangingChars="154" w:hanging="370"/>
        <w:rPr>
          <w:rFonts w:ascii="標楷體" w:eastAsia="標楷體" w:hAnsi="標楷體"/>
        </w:rPr>
      </w:pPr>
      <w:r w:rsidRPr="007576F0">
        <w:rPr>
          <w:rFonts w:ascii="標楷體" w:eastAsia="標楷體" w:hAnsi="標楷體" w:hint="eastAsia"/>
        </w:rPr>
        <w:t>I.進行性的血液相惡化至Hb &lt; 10.0 gm/dL或PLT &lt; 100 K/</w:t>
      </w:r>
      <w:proofErr w:type="spellStart"/>
      <w:r w:rsidRPr="007576F0">
        <w:rPr>
          <w:rFonts w:ascii="標楷體" w:eastAsia="標楷體" w:hAnsi="標楷體" w:hint="eastAsia"/>
        </w:rPr>
        <w:t>uL</w:t>
      </w:r>
      <w:proofErr w:type="spellEnd"/>
      <w:r w:rsidRPr="007576F0">
        <w:rPr>
          <w:rFonts w:ascii="標楷體" w:eastAsia="標楷體" w:hAnsi="標楷體" w:hint="eastAsia"/>
        </w:rPr>
        <w:t>，且無其他原因可以解釋。</w:t>
      </w:r>
    </w:p>
    <w:p w14:paraId="24BB33DE" w14:textId="77777777" w:rsidR="007576F0" w:rsidRPr="007576F0" w:rsidRDefault="007576F0" w:rsidP="007576F0">
      <w:pPr>
        <w:spacing w:line="300" w:lineRule="exact"/>
        <w:ind w:leftChars="436" w:left="1416" w:hangingChars="154" w:hanging="370"/>
        <w:rPr>
          <w:rFonts w:ascii="標楷體" w:eastAsia="標楷體" w:hAnsi="標楷體"/>
        </w:rPr>
      </w:pPr>
      <w:r w:rsidRPr="007576F0">
        <w:rPr>
          <w:rFonts w:ascii="標楷體" w:eastAsia="標楷體" w:hAnsi="標楷體" w:hint="eastAsia"/>
        </w:rPr>
        <w:t>II.脾臟腫大超過左肋骨下緣6cm。</w:t>
      </w:r>
    </w:p>
    <w:p w14:paraId="3CC1881E" w14:textId="77777777" w:rsidR="007576F0" w:rsidRPr="007576F0" w:rsidRDefault="007576F0" w:rsidP="007576F0">
      <w:pPr>
        <w:spacing w:line="300" w:lineRule="exact"/>
        <w:ind w:leftChars="436" w:left="1416" w:hangingChars="154" w:hanging="370"/>
        <w:rPr>
          <w:rFonts w:ascii="標楷體" w:eastAsia="標楷體" w:hAnsi="標楷體"/>
        </w:rPr>
      </w:pPr>
      <w:r w:rsidRPr="007576F0">
        <w:rPr>
          <w:rFonts w:ascii="標楷體" w:eastAsia="標楷體" w:hAnsi="標楷體" w:hint="eastAsia"/>
        </w:rPr>
        <w:t>III.淋巴結腫大，最長徑超過10cm。</w:t>
      </w:r>
    </w:p>
    <w:p w14:paraId="678FB0C7" w14:textId="77777777" w:rsidR="007576F0" w:rsidRPr="007576F0" w:rsidRDefault="007576F0" w:rsidP="007576F0">
      <w:pPr>
        <w:spacing w:line="300" w:lineRule="exact"/>
        <w:ind w:leftChars="436" w:left="1416" w:hangingChars="154" w:hanging="370"/>
        <w:rPr>
          <w:rFonts w:ascii="標楷體" w:eastAsia="標楷體" w:hAnsi="標楷體"/>
        </w:rPr>
      </w:pPr>
      <w:r w:rsidRPr="007576F0">
        <w:rPr>
          <w:rFonts w:ascii="標楷體" w:eastAsia="標楷體" w:hAnsi="標楷體" w:hint="eastAsia"/>
        </w:rPr>
        <w:t>IV.周邊血液淋巴球在2個月內增加50%以上，或倍增時間(doubling time)小於6個月。</w:t>
      </w:r>
    </w:p>
    <w:p w14:paraId="0E7D9FE2" w14:textId="77777777" w:rsidR="007576F0" w:rsidRPr="007576F0" w:rsidRDefault="007576F0" w:rsidP="007576F0">
      <w:pPr>
        <w:spacing w:line="300" w:lineRule="exact"/>
        <w:ind w:leftChars="436" w:left="1416" w:hangingChars="154" w:hanging="370"/>
        <w:rPr>
          <w:rFonts w:ascii="標楷體" w:eastAsia="標楷體" w:hAnsi="標楷體"/>
        </w:rPr>
      </w:pPr>
      <w:r w:rsidRPr="007576F0">
        <w:rPr>
          <w:rFonts w:ascii="標楷體" w:eastAsia="標楷體" w:hAnsi="標楷體" w:hint="eastAsia"/>
        </w:rPr>
        <w:t>V.出現自體免疫併發症，且經類固醇治療無效。</w:t>
      </w:r>
    </w:p>
    <w:p w14:paraId="046B4F90" w14:textId="77777777" w:rsidR="007576F0" w:rsidRPr="007576F0" w:rsidRDefault="007576F0" w:rsidP="007576F0">
      <w:pPr>
        <w:spacing w:line="300" w:lineRule="exact"/>
        <w:ind w:leftChars="436" w:left="1416" w:hangingChars="154" w:hanging="370"/>
        <w:rPr>
          <w:rFonts w:ascii="標楷體" w:eastAsia="標楷體" w:hAnsi="標楷體"/>
        </w:rPr>
      </w:pPr>
      <w:r w:rsidRPr="007576F0">
        <w:rPr>
          <w:rFonts w:ascii="標楷體" w:eastAsia="標楷體" w:hAnsi="標楷體" w:hint="eastAsia"/>
        </w:rPr>
        <w:t>VI.出現具症狀的淋巴結外病灶。</w:t>
      </w:r>
    </w:p>
    <w:p w14:paraId="23D7EC1B"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(4)需經事前審查核准後使用(</w:t>
      </w:r>
      <w:proofErr w:type="gramStart"/>
      <w:r w:rsidRPr="007576F0">
        <w:rPr>
          <w:rFonts w:ascii="標楷體" w:eastAsia="標楷體" w:hAnsi="標楷體" w:hint="eastAsia"/>
        </w:rPr>
        <w:t>事審代碼</w:t>
      </w:r>
      <w:proofErr w:type="gramEnd"/>
      <w:r w:rsidRPr="007576F0">
        <w:rPr>
          <w:rFonts w:ascii="標楷體" w:eastAsia="標楷體" w:hAnsi="標楷體" w:hint="eastAsia"/>
        </w:rPr>
        <w:t>：C91N1)，每3個月需再次申請。再次申請時需檢附療效評估資料，若未達</w:t>
      </w:r>
      <w:proofErr w:type="spellStart"/>
      <w:r w:rsidRPr="007576F0">
        <w:rPr>
          <w:rFonts w:ascii="標楷體" w:eastAsia="標楷體" w:hAnsi="標楷體" w:hint="eastAsia"/>
        </w:rPr>
        <w:t>iwCLL</w:t>
      </w:r>
      <w:proofErr w:type="spellEnd"/>
      <w:r w:rsidRPr="007576F0">
        <w:rPr>
          <w:rFonts w:ascii="標楷體" w:eastAsia="標楷體" w:hAnsi="標楷體" w:hint="eastAsia"/>
        </w:rPr>
        <w:t xml:space="preserve"> (International Workshop on CLL)最新定義之partial remission或complete remission，則不予給付。</w:t>
      </w:r>
    </w:p>
    <w:p w14:paraId="2D898267"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(5)在具有17缺失病人，acalabrutinib、ibrutinib、</w:t>
      </w:r>
      <w:proofErr w:type="spellStart"/>
      <w:r w:rsidRPr="007576F0">
        <w:rPr>
          <w:rFonts w:ascii="標楷體" w:eastAsia="標楷體" w:hAnsi="標楷體" w:hint="eastAsia"/>
        </w:rPr>
        <w:t>venetoclax</w:t>
      </w:r>
      <w:proofErr w:type="spellEnd"/>
      <w:r w:rsidRPr="007576F0">
        <w:rPr>
          <w:rFonts w:ascii="標楷體" w:eastAsia="標楷體" w:hAnsi="標楷體" w:hint="eastAsia"/>
        </w:rPr>
        <w:t>與</w:t>
      </w:r>
      <w:proofErr w:type="spellStart"/>
      <w:r w:rsidRPr="007576F0">
        <w:rPr>
          <w:rFonts w:ascii="標楷體" w:eastAsia="標楷體" w:hAnsi="標楷體" w:hint="eastAsia"/>
        </w:rPr>
        <w:t>zanubrutinib</w:t>
      </w:r>
      <w:proofErr w:type="spellEnd"/>
      <w:r w:rsidRPr="007576F0">
        <w:rPr>
          <w:rFonts w:ascii="標楷體" w:eastAsia="標楷體" w:hAnsi="標楷體" w:hint="eastAsia"/>
        </w:rPr>
        <w:t>四者僅能擇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使用，唯有在出現無法忍受其副作用時方可互換。四者使用總療程合併計算，以全部24個月為上限。</w:t>
      </w:r>
    </w:p>
    <w:p w14:paraId="0F5C84E9" w14:textId="77777777" w:rsidR="007576F0" w:rsidRPr="007576F0" w:rsidRDefault="007576F0" w:rsidP="007576F0">
      <w:pPr>
        <w:spacing w:line="300" w:lineRule="exact"/>
        <w:ind w:left="1276" w:hanging="341"/>
        <w:rPr>
          <w:rFonts w:ascii="標楷體" w:eastAsia="標楷體" w:hAnsi="標楷體"/>
        </w:rPr>
      </w:pPr>
      <w:r w:rsidRPr="007576F0">
        <w:rPr>
          <w:rFonts w:ascii="標楷體" w:eastAsia="標楷體" w:hAnsi="標楷體" w:hint="eastAsia"/>
        </w:rPr>
        <w:t>(6)在非IGHV突變二線以上病人及CLL三線以上病人，acalabrutinib、ibrutinib與</w:t>
      </w:r>
      <w:proofErr w:type="spellStart"/>
      <w:r w:rsidRPr="007576F0">
        <w:rPr>
          <w:rFonts w:ascii="標楷體" w:eastAsia="標楷體" w:hAnsi="標楷體" w:hint="eastAsia"/>
        </w:rPr>
        <w:t>zanubrutinib</w:t>
      </w:r>
      <w:proofErr w:type="spellEnd"/>
      <w:r w:rsidRPr="007576F0">
        <w:rPr>
          <w:rFonts w:ascii="標楷體" w:eastAsia="標楷體" w:hAnsi="標楷體" w:hint="eastAsia"/>
        </w:rPr>
        <w:t>三者僅能擇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使用，唯有在出現無法忍受其副作用時方可互換。三者使用總療程合併計算，以全部24個月為上限。(114/10/1、115/5/1)</w:t>
      </w:r>
    </w:p>
    <w:p w14:paraId="6B6389CD" w14:textId="77777777" w:rsidR="007576F0" w:rsidRPr="007576F0" w:rsidRDefault="007576F0" w:rsidP="007576F0">
      <w:pPr>
        <w:spacing w:line="300" w:lineRule="exact"/>
        <w:ind w:left="1276" w:hanging="341"/>
        <w:rPr>
          <w:rFonts w:ascii="標楷體" w:eastAsia="標楷體" w:hAnsi="標楷體" w:cs="BiauKai"/>
          <w:kern w:val="2"/>
          <w:szCs w:val="24"/>
        </w:rPr>
      </w:pPr>
      <w:r w:rsidRPr="007576F0">
        <w:rPr>
          <w:rFonts w:ascii="標楷體" w:eastAsia="標楷體" w:hAnsi="標楷體" w:hint="eastAsia"/>
        </w:rPr>
        <w:t>(7)每日至多處方4粒。</w:t>
      </w:r>
    </w:p>
    <w:p w14:paraId="64AA6F49" w14:textId="77777777" w:rsidR="007576F0" w:rsidRPr="007576F0" w:rsidRDefault="007576F0" w:rsidP="007576F0">
      <w:pPr>
        <w:spacing w:line="300" w:lineRule="exact"/>
        <w:ind w:left="610" w:hanging="245"/>
        <w:rPr>
          <w:rFonts w:ascii="標楷體" w:eastAsia="標楷體" w:hAnsi="標楷體"/>
          <w:szCs w:val="24"/>
        </w:rPr>
      </w:pPr>
      <w:bookmarkStart w:id="72" w:name="_Hlk204085052"/>
      <w:r w:rsidRPr="007576F0">
        <w:rPr>
          <w:rFonts w:ascii="標楷體" w:eastAsia="標楷體" w:hAnsi="標楷體"/>
          <w:szCs w:val="24"/>
        </w:rPr>
        <w:t>9.</w:t>
      </w:r>
      <w:r w:rsidRPr="007576F0">
        <w:rPr>
          <w:rFonts w:ascii="標楷體" w:eastAsia="標楷體" w:hAnsi="標楷體"/>
        </w:rPr>
        <w:t>105</w:t>
      </w:r>
      <w:r w:rsidRPr="007576F0">
        <w:rPr>
          <w:rFonts w:ascii="標楷體" w:eastAsia="標楷體" w:hAnsi="標楷體"/>
          <w:szCs w:val="24"/>
        </w:rPr>
        <w:t xml:space="preserve">.Polatuzumab </w:t>
      </w:r>
      <w:proofErr w:type="spellStart"/>
      <w:r w:rsidRPr="007576F0">
        <w:rPr>
          <w:rFonts w:ascii="標楷體" w:eastAsia="標楷體" w:hAnsi="標楷體"/>
          <w:szCs w:val="24"/>
        </w:rPr>
        <w:t>vedotin</w:t>
      </w:r>
      <w:proofErr w:type="spellEnd"/>
      <w:r w:rsidRPr="007576F0">
        <w:rPr>
          <w:rFonts w:ascii="標楷體" w:eastAsia="標楷體" w:hAnsi="標楷體"/>
          <w:szCs w:val="24"/>
        </w:rPr>
        <w:t xml:space="preserve"> (如</w:t>
      </w:r>
      <w:proofErr w:type="spellStart"/>
      <w:r w:rsidRPr="007576F0">
        <w:rPr>
          <w:rFonts w:ascii="標楷體" w:eastAsia="標楷體" w:hAnsi="標楷體"/>
          <w:szCs w:val="24"/>
        </w:rPr>
        <w:t>Polivy</w:t>
      </w:r>
      <w:proofErr w:type="spellEnd"/>
      <w:r w:rsidRPr="007576F0">
        <w:rPr>
          <w:rFonts w:ascii="標楷體" w:eastAsia="標楷體" w:hAnsi="標楷體"/>
          <w:szCs w:val="24"/>
        </w:rPr>
        <w:t>)：(113/2/1</w:t>
      </w:r>
      <w:r w:rsidRPr="007576F0">
        <w:rPr>
          <w:rFonts w:ascii="標楷體" w:eastAsia="標楷體" w:hAnsi="標楷體" w:hint="eastAsia"/>
        </w:rPr>
        <w:t>、114/8/1</w:t>
      </w:r>
      <w:r w:rsidRPr="007576F0">
        <w:rPr>
          <w:rFonts w:ascii="標楷體" w:eastAsia="標楷體" w:hAnsi="標楷體"/>
          <w:szCs w:val="24"/>
        </w:rPr>
        <w:t>)</w:t>
      </w:r>
    </w:p>
    <w:p w14:paraId="797C406C"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1.限與</w:t>
      </w:r>
      <w:proofErr w:type="spellStart"/>
      <w:r w:rsidRPr="007576F0">
        <w:rPr>
          <w:rFonts w:ascii="標楷體" w:eastAsia="標楷體" w:hAnsi="標楷體"/>
          <w:szCs w:val="24"/>
        </w:rPr>
        <w:t>bendamustine</w:t>
      </w:r>
      <w:proofErr w:type="spellEnd"/>
      <w:r w:rsidRPr="007576F0">
        <w:rPr>
          <w:rFonts w:ascii="標楷體" w:eastAsia="標楷體" w:hAnsi="標楷體"/>
          <w:szCs w:val="24"/>
        </w:rPr>
        <w:t>和rituximab</w:t>
      </w:r>
      <w:proofErr w:type="gramStart"/>
      <w:r w:rsidRPr="007576F0">
        <w:rPr>
          <w:rFonts w:ascii="標楷體" w:eastAsia="標楷體" w:hAnsi="標楷體"/>
          <w:szCs w:val="24"/>
        </w:rPr>
        <w:t>併</w:t>
      </w:r>
      <w:proofErr w:type="gramEnd"/>
      <w:r w:rsidRPr="007576F0">
        <w:rPr>
          <w:rFonts w:ascii="標楷體" w:eastAsia="標楷體" w:hAnsi="標楷體"/>
          <w:szCs w:val="24"/>
        </w:rPr>
        <w:t>用，適用於第三線治療復發型（relapsed）</w:t>
      </w:r>
      <w:proofErr w:type="gramStart"/>
      <w:r w:rsidRPr="007576F0">
        <w:rPr>
          <w:rFonts w:ascii="標楷體" w:eastAsia="標楷體" w:hAnsi="標楷體"/>
          <w:szCs w:val="24"/>
        </w:rPr>
        <w:t>或難治型</w:t>
      </w:r>
      <w:proofErr w:type="gramEnd"/>
      <w:r w:rsidRPr="007576F0">
        <w:rPr>
          <w:rFonts w:ascii="標楷體" w:eastAsia="標楷體" w:hAnsi="標楷體"/>
          <w:szCs w:val="24"/>
        </w:rPr>
        <w:t>（refractory）且未曾接受及不適合接受造血幹細胞移植的瀰漫性大型B細</w:t>
      </w:r>
      <w:r w:rsidRPr="007576F0">
        <w:rPr>
          <w:rFonts w:ascii="標楷體" w:eastAsia="標楷體" w:hAnsi="標楷體"/>
          <w:szCs w:val="24"/>
        </w:rPr>
        <w:lastRenderedPageBreak/>
        <w:t>胞淋巴瘤（DLBCL）成年病人，並須完全符合下列條件：</w:t>
      </w:r>
    </w:p>
    <w:p w14:paraId="2EC06792"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szCs w:val="24"/>
        </w:rPr>
        <w:t>(1)ECOG分數</w:t>
      </w:r>
      <w:proofErr w:type="gramStart"/>
      <w:r w:rsidRPr="007576F0">
        <w:rPr>
          <w:rFonts w:ascii="標楷體" w:eastAsia="標楷體" w:hAnsi="標楷體"/>
          <w:szCs w:val="24"/>
        </w:rPr>
        <w:t>≦</w:t>
      </w:r>
      <w:proofErr w:type="gramEnd"/>
      <w:r w:rsidRPr="007576F0">
        <w:rPr>
          <w:rFonts w:ascii="標楷體" w:eastAsia="標楷體" w:hAnsi="標楷體"/>
          <w:szCs w:val="24"/>
        </w:rPr>
        <w:t>2。</w:t>
      </w:r>
    </w:p>
    <w:p w14:paraId="26521B17"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szCs w:val="24"/>
        </w:rPr>
        <w:t>(2)未曾接受幹細胞移植且需先經兩位曾接受血液及骨髓移植訓練並合格之醫師評估為不適合接受移植之病人並滿足下列條件之</w:t>
      </w:r>
      <w:proofErr w:type="gramStart"/>
      <w:r w:rsidRPr="007576F0">
        <w:rPr>
          <w:rFonts w:ascii="標楷體" w:eastAsia="標楷體" w:hAnsi="標楷體"/>
          <w:szCs w:val="24"/>
        </w:rPr>
        <w:t>一</w:t>
      </w:r>
      <w:proofErr w:type="gramEnd"/>
      <w:r w:rsidRPr="007576F0">
        <w:rPr>
          <w:rFonts w:ascii="標楷體" w:eastAsia="標楷體" w:hAnsi="標楷體"/>
          <w:szCs w:val="24"/>
        </w:rPr>
        <w:t>：</w:t>
      </w:r>
    </w:p>
    <w:p w14:paraId="36E60D09" w14:textId="77777777" w:rsidR="007576F0" w:rsidRPr="007576F0" w:rsidRDefault="007576F0" w:rsidP="007576F0">
      <w:pPr>
        <w:spacing w:line="300" w:lineRule="exact"/>
        <w:ind w:left="1701" w:hanging="397"/>
        <w:rPr>
          <w:rFonts w:ascii="標楷體" w:eastAsia="標楷體" w:hAnsi="標楷體"/>
          <w:szCs w:val="24"/>
        </w:rPr>
      </w:pPr>
      <w:r w:rsidRPr="007576F0">
        <w:rPr>
          <w:rFonts w:ascii="標楷體" w:eastAsia="標楷體" w:hAnsi="標楷體"/>
          <w:szCs w:val="24"/>
        </w:rPr>
        <w:t>Ⅰ.年齡在65歲（含）以上，且使用過的第二線治療</w:t>
      </w:r>
      <w:proofErr w:type="gramStart"/>
      <w:r w:rsidRPr="007576F0">
        <w:rPr>
          <w:rFonts w:ascii="標楷體" w:eastAsia="標楷體" w:hAnsi="標楷體"/>
          <w:szCs w:val="24"/>
        </w:rPr>
        <w:t>含鉑類藥物</w:t>
      </w:r>
      <w:proofErr w:type="gramEnd"/>
      <w:r w:rsidRPr="007576F0">
        <w:rPr>
          <w:rFonts w:ascii="標楷體" w:eastAsia="標楷體" w:hAnsi="標楷體"/>
          <w:szCs w:val="24"/>
        </w:rPr>
        <w:t>（cisplatin、oxaliplatin、carboplatin）後，以影像學檢查證實疾病惡化中。</w:t>
      </w:r>
    </w:p>
    <w:p w14:paraId="328ED748" w14:textId="77777777" w:rsidR="007576F0" w:rsidRPr="007576F0" w:rsidRDefault="007576F0" w:rsidP="007576F0">
      <w:pPr>
        <w:spacing w:line="300" w:lineRule="exact"/>
        <w:ind w:left="1701" w:hanging="397"/>
        <w:rPr>
          <w:rFonts w:ascii="標楷體" w:eastAsia="標楷體" w:hAnsi="標楷體"/>
          <w:szCs w:val="24"/>
        </w:rPr>
      </w:pPr>
      <w:r w:rsidRPr="007576F0">
        <w:rPr>
          <w:rFonts w:ascii="標楷體" w:eastAsia="標楷體" w:hAnsi="標楷體"/>
          <w:szCs w:val="24"/>
        </w:rPr>
        <w:t>Ⅱ.年齡在65歲以下，符合HCT-CI</w:t>
      </w:r>
      <w:proofErr w:type="gramStart"/>
      <w:r w:rsidRPr="007576F0">
        <w:rPr>
          <w:rFonts w:ascii="標楷體" w:eastAsia="標楷體" w:hAnsi="標楷體"/>
          <w:szCs w:val="24"/>
        </w:rPr>
        <w:t>≧</w:t>
      </w:r>
      <w:proofErr w:type="gramEnd"/>
      <w:r w:rsidRPr="007576F0">
        <w:rPr>
          <w:rFonts w:ascii="標楷體" w:eastAsia="標楷體" w:hAnsi="標楷體"/>
          <w:szCs w:val="24"/>
        </w:rPr>
        <w:t>3分，且使用過的第二線治療</w:t>
      </w:r>
      <w:proofErr w:type="gramStart"/>
      <w:r w:rsidRPr="007576F0">
        <w:rPr>
          <w:rFonts w:ascii="標楷體" w:eastAsia="標楷體" w:hAnsi="標楷體"/>
          <w:szCs w:val="24"/>
        </w:rPr>
        <w:t>含鉑類藥物</w:t>
      </w:r>
      <w:proofErr w:type="gramEnd"/>
      <w:r w:rsidRPr="007576F0">
        <w:rPr>
          <w:rFonts w:ascii="標楷體" w:eastAsia="標楷體" w:hAnsi="標楷體"/>
          <w:szCs w:val="24"/>
        </w:rPr>
        <w:t>（cisplatin、oxaliplatin、carboplatin）後，以影像學檢查證實疾病惡化中。</w:t>
      </w:r>
    </w:p>
    <w:p w14:paraId="2CE5A3CC" w14:textId="77777777" w:rsidR="007576F0" w:rsidRPr="007576F0" w:rsidRDefault="007576F0" w:rsidP="007576F0">
      <w:pPr>
        <w:spacing w:line="300" w:lineRule="exact"/>
        <w:ind w:left="1701" w:hanging="397"/>
        <w:rPr>
          <w:rFonts w:ascii="標楷體" w:eastAsia="標楷體" w:hAnsi="標楷體"/>
          <w:szCs w:val="24"/>
        </w:rPr>
      </w:pPr>
      <w:r w:rsidRPr="007576F0">
        <w:rPr>
          <w:rFonts w:ascii="標楷體" w:eastAsia="標楷體" w:hAnsi="標楷體"/>
          <w:szCs w:val="24"/>
        </w:rPr>
        <w:t>Ⅲ.</w:t>
      </w:r>
      <w:proofErr w:type="gramStart"/>
      <w:r w:rsidRPr="007576F0">
        <w:rPr>
          <w:rFonts w:ascii="標楷體" w:eastAsia="標楷體" w:hAnsi="標楷體"/>
          <w:szCs w:val="24"/>
        </w:rPr>
        <w:t>使用過第二線</w:t>
      </w:r>
      <w:proofErr w:type="gramEnd"/>
      <w:r w:rsidRPr="007576F0">
        <w:rPr>
          <w:rFonts w:ascii="標楷體" w:eastAsia="標楷體" w:hAnsi="標楷體"/>
          <w:szCs w:val="24"/>
        </w:rPr>
        <w:t>治療</w:t>
      </w:r>
      <w:proofErr w:type="gramStart"/>
      <w:r w:rsidRPr="007576F0">
        <w:rPr>
          <w:rFonts w:ascii="標楷體" w:eastAsia="標楷體" w:hAnsi="標楷體"/>
          <w:szCs w:val="24"/>
        </w:rPr>
        <w:t>含鉑類藥物</w:t>
      </w:r>
      <w:proofErr w:type="gramEnd"/>
      <w:r w:rsidRPr="007576F0">
        <w:rPr>
          <w:rFonts w:ascii="標楷體" w:eastAsia="標楷體" w:hAnsi="標楷體"/>
          <w:szCs w:val="24"/>
        </w:rPr>
        <w:t>（cisplatin、oxaliplatin、carboplatin）後，在收集造血幹細胞時，即使使用plerixafor後收集的CD34陽性原始細胞仍未達每公斤體重200萬顆細胞，且以影像學檢查證實疾病惡化中。</w:t>
      </w:r>
    </w:p>
    <w:p w14:paraId="00C99D42"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szCs w:val="24"/>
        </w:rPr>
        <w:t>(3)</w:t>
      </w:r>
      <w:r w:rsidRPr="007576F0">
        <w:rPr>
          <w:rFonts w:ascii="標楷體" w:eastAsia="標楷體" w:hAnsi="標楷體" w:hint="eastAsia"/>
          <w:szCs w:val="24"/>
        </w:rPr>
        <w:t>一線曾接受經兩次（含）以上rituximab合併化學治療，治療4個療程以上復發或是於治療中發生疾病惡化者。(113/2/1、114/8/1)</w:t>
      </w:r>
      <w:r w:rsidRPr="007576F0">
        <w:rPr>
          <w:rFonts w:ascii="標楷體" w:eastAsia="標楷體" w:hAnsi="標楷體"/>
          <w:szCs w:val="24"/>
        </w:rPr>
        <w:t xml:space="preserve"> </w:t>
      </w:r>
    </w:p>
    <w:p w14:paraId="51A29FC7"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hint="eastAsia"/>
          <w:szCs w:val="24"/>
        </w:rPr>
        <w:t>(4)</w:t>
      </w:r>
      <w:r w:rsidRPr="007576F0">
        <w:rPr>
          <w:rFonts w:ascii="標楷體" w:eastAsia="標楷體" w:hAnsi="標楷體" w:hint="eastAsia"/>
          <w:szCs w:val="24"/>
        </w:rPr>
        <w:tab/>
        <w:t>救援治療需符合以下任</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條件：(114/8/1)</w:t>
      </w:r>
    </w:p>
    <w:p w14:paraId="66D874FA" w14:textId="77777777" w:rsidR="007576F0" w:rsidRPr="007576F0" w:rsidRDefault="007576F0" w:rsidP="007576F0">
      <w:pPr>
        <w:spacing w:line="300" w:lineRule="exact"/>
        <w:ind w:left="1701" w:hanging="397"/>
        <w:rPr>
          <w:rFonts w:ascii="標楷體" w:eastAsia="標楷體" w:hAnsi="標楷體"/>
          <w:szCs w:val="24"/>
        </w:rPr>
      </w:pPr>
      <w:r w:rsidRPr="007576F0">
        <w:rPr>
          <w:rFonts w:ascii="標楷體" w:eastAsia="標楷體" w:hAnsi="標楷體" w:hint="eastAsia"/>
          <w:szCs w:val="24"/>
        </w:rPr>
        <w:t>I.</w:t>
      </w:r>
      <w:r w:rsidRPr="007576F0">
        <w:rPr>
          <w:rFonts w:ascii="標楷體" w:eastAsia="標楷體" w:hAnsi="標楷體" w:hint="eastAsia"/>
          <w:szCs w:val="24"/>
        </w:rPr>
        <w:tab/>
        <w:t>治療2個療程以上復發或是於治療中發生疾病惡化者。</w:t>
      </w:r>
    </w:p>
    <w:p w14:paraId="190C7E67" w14:textId="77777777" w:rsidR="007576F0" w:rsidRPr="007576F0" w:rsidRDefault="007576F0" w:rsidP="007576F0">
      <w:pPr>
        <w:spacing w:line="300" w:lineRule="exact"/>
        <w:ind w:left="1701" w:hanging="397"/>
        <w:rPr>
          <w:rFonts w:ascii="標楷體" w:eastAsia="標楷體" w:hAnsi="標楷體"/>
          <w:szCs w:val="24"/>
        </w:rPr>
      </w:pPr>
      <w:r w:rsidRPr="007576F0">
        <w:rPr>
          <w:rFonts w:ascii="標楷體" w:eastAsia="標楷體" w:hAnsi="標楷體" w:hint="eastAsia"/>
          <w:szCs w:val="24"/>
        </w:rPr>
        <w:t>II.</w:t>
      </w:r>
      <w:r w:rsidRPr="007576F0">
        <w:rPr>
          <w:rFonts w:ascii="標楷體" w:eastAsia="標楷體" w:hAnsi="標楷體" w:hint="eastAsia"/>
          <w:szCs w:val="24"/>
        </w:rPr>
        <w:tab/>
        <w:t>經造血幹細胞移植治療失敗者。</w:t>
      </w:r>
    </w:p>
    <w:p w14:paraId="0F59F842"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2.需經事前審查核准後使用：</w:t>
      </w:r>
    </w:p>
    <w:p w14:paraId="0995B05B"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szCs w:val="24"/>
        </w:rPr>
        <w:t>(1)每次申請事前審查以3個療程為限，再次申請必須提出客觀證據</w:t>
      </w:r>
      <w:proofErr w:type="gramStart"/>
      <w:r w:rsidRPr="007576F0">
        <w:rPr>
          <w:rFonts w:ascii="標楷體" w:eastAsia="標楷體" w:hAnsi="標楷體"/>
          <w:szCs w:val="24"/>
        </w:rPr>
        <w:t>（</w:t>
      </w:r>
      <w:proofErr w:type="gramEnd"/>
      <w:r w:rsidRPr="007576F0">
        <w:rPr>
          <w:rFonts w:ascii="標楷體" w:eastAsia="標楷體" w:hAnsi="標楷體"/>
          <w:szCs w:val="24"/>
        </w:rPr>
        <w:t>如：影像學</w:t>
      </w:r>
      <w:proofErr w:type="gramStart"/>
      <w:r w:rsidRPr="007576F0">
        <w:rPr>
          <w:rFonts w:ascii="標楷體" w:eastAsia="標楷體" w:hAnsi="標楷體"/>
          <w:szCs w:val="24"/>
        </w:rPr>
        <w:t>）</w:t>
      </w:r>
      <w:proofErr w:type="gramEnd"/>
      <w:r w:rsidRPr="007576F0">
        <w:rPr>
          <w:rFonts w:ascii="標楷體" w:eastAsia="標楷體" w:hAnsi="標楷體"/>
          <w:szCs w:val="24"/>
        </w:rPr>
        <w:t>證實無惡化，若病情惡化即不得再次申請。</w:t>
      </w:r>
    </w:p>
    <w:p w14:paraId="4E9B4543"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szCs w:val="24"/>
        </w:rPr>
        <w:t>(2)每位病人終生限給付6個療程。</w:t>
      </w:r>
    </w:p>
    <w:p w14:paraId="35BCE9A4"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3.</w:t>
      </w:r>
      <w:r w:rsidRPr="007576F0">
        <w:rPr>
          <w:rFonts w:ascii="標楷體" w:eastAsia="標楷體" w:hAnsi="標楷體" w:hint="eastAsia"/>
          <w:szCs w:val="24"/>
        </w:rPr>
        <w:t>病人接受本藥物治療後，</w:t>
      </w:r>
      <w:proofErr w:type="gramStart"/>
      <w:r w:rsidRPr="007576F0">
        <w:rPr>
          <w:rFonts w:ascii="標楷體" w:eastAsia="標楷體" w:hAnsi="標楷體" w:hint="eastAsia"/>
          <w:szCs w:val="24"/>
        </w:rPr>
        <w:t>不</w:t>
      </w:r>
      <w:proofErr w:type="gramEnd"/>
      <w:r w:rsidRPr="007576F0">
        <w:rPr>
          <w:rFonts w:ascii="標楷體" w:eastAsia="標楷體" w:hAnsi="標楷體" w:hint="eastAsia"/>
          <w:szCs w:val="24"/>
        </w:rPr>
        <w:t>給付造血幹細胞移植。(113/2/1、114/8/1)</w:t>
      </w:r>
    </w:p>
    <w:p w14:paraId="2B5C0B4D"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4</w:t>
      </w:r>
      <w:r w:rsidRPr="007576F0">
        <w:rPr>
          <w:rFonts w:ascii="標楷體" w:eastAsia="標楷體" w:hAnsi="標楷體"/>
          <w:szCs w:val="24"/>
        </w:rPr>
        <w:t>.</w:t>
      </w:r>
      <w:r w:rsidRPr="007576F0">
        <w:rPr>
          <w:rFonts w:ascii="標楷體" w:eastAsia="標楷體" w:hAnsi="標楷體" w:hint="eastAsia"/>
          <w:szCs w:val="24"/>
        </w:rPr>
        <w:t>本藥品、</w:t>
      </w:r>
      <w:proofErr w:type="spellStart"/>
      <w:r w:rsidRPr="007576F0">
        <w:rPr>
          <w:rFonts w:ascii="標楷體" w:eastAsia="標楷體" w:hAnsi="標楷體" w:hint="eastAsia"/>
          <w:szCs w:val="24"/>
        </w:rPr>
        <w:t>glofitamab</w:t>
      </w:r>
      <w:proofErr w:type="spellEnd"/>
      <w:r w:rsidRPr="007576F0">
        <w:rPr>
          <w:rFonts w:ascii="標楷體" w:eastAsia="標楷體" w:hAnsi="標楷體" w:hint="eastAsia"/>
          <w:szCs w:val="24"/>
        </w:rPr>
        <w:t>及</w:t>
      </w:r>
      <w:proofErr w:type="spellStart"/>
      <w:r w:rsidRPr="007576F0">
        <w:rPr>
          <w:rFonts w:ascii="標楷體" w:eastAsia="標楷體" w:hAnsi="標楷體" w:hint="eastAsia"/>
          <w:szCs w:val="24"/>
        </w:rPr>
        <w:t>epcoritamab</w:t>
      </w:r>
      <w:proofErr w:type="spellEnd"/>
      <w:r w:rsidRPr="007576F0">
        <w:rPr>
          <w:rFonts w:ascii="標楷體" w:eastAsia="標楷體" w:hAnsi="標楷體" w:hint="eastAsia"/>
          <w:szCs w:val="24"/>
        </w:rPr>
        <w:t>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給付，治療失敗後不得互換。(114/8/1)</w:t>
      </w:r>
      <w:bookmarkEnd w:id="72"/>
    </w:p>
    <w:p w14:paraId="052A50D5" w14:textId="77777777" w:rsidR="007576F0" w:rsidRPr="007576F0" w:rsidRDefault="007576F0" w:rsidP="007576F0">
      <w:pPr>
        <w:spacing w:line="300" w:lineRule="exact"/>
        <w:ind w:left="610" w:hanging="245"/>
        <w:rPr>
          <w:rFonts w:ascii="標楷體" w:eastAsia="標楷體" w:hAnsi="標楷體"/>
          <w:color w:val="000000"/>
          <w:szCs w:val="24"/>
        </w:rPr>
      </w:pPr>
      <w:r w:rsidRPr="007576F0">
        <w:rPr>
          <w:rFonts w:ascii="標楷體" w:eastAsia="標楷體" w:hAnsi="標楷體"/>
          <w:color w:val="000000"/>
          <w:szCs w:val="24"/>
        </w:rPr>
        <w:t>9.106.</w:t>
      </w:r>
      <w:r w:rsidRPr="007576F0">
        <w:rPr>
          <w:rFonts w:ascii="標楷體" w:eastAsia="標楷體" w:hAnsi="標楷體"/>
        </w:rPr>
        <w:t>Sacituzumab</w:t>
      </w:r>
      <w:r w:rsidRPr="007576F0">
        <w:rPr>
          <w:rFonts w:ascii="標楷體" w:eastAsia="標楷體" w:hAnsi="標楷體"/>
          <w:color w:val="000000"/>
          <w:szCs w:val="24"/>
        </w:rPr>
        <w:t xml:space="preserve"> </w:t>
      </w:r>
      <w:proofErr w:type="spellStart"/>
      <w:r w:rsidRPr="007576F0">
        <w:rPr>
          <w:rFonts w:ascii="標楷體" w:eastAsia="標楷體" w:hAnsi="標楷體"/>
          <w:color w:val="000000"/>
          <w:szCs w:val="24"/>
        </w:rPr>
        <w:t>govitecan</w:t>
      </w:r>
      <w:proofErr w:type="spellEnd"/>
      <w:r w:rsidRPr="007576F0">
        <w:rPr>
          <w:rFonts w:ascii="標楷體" w:eastAsia="標楷體" w:hAnsi="標楷體"/>
          <w:color w:val="000000"/>
          <w:szCs w:val="24"/>
        </w:rPr>
        <w:t xml:space="preserve"> (如</w:t>
      </w:r>
      <w:proofErr w:type="spellStart"/>
      <w:r w:rsidRPr="007576F0">
        <w:rPr>
          <w:rFonts w:ascii="標楷體" w:eastAsia="標楷體" w:hAnsi="標楷體"/>
          <w:color w:val="000000"/>
          <w:szCs w:val="24"/>
        </w:rPr>
        <w:t>Trodelvy</w:t>
      </w:r>
      <w:proofErr w:type="spellEnd"/>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：(113/2/1、114/2/1</w:t>
      </w:r>
      <w:r w:rsidRPr="007576F0">
        <w:rPr>
          <w:rFonts w:ascii="標楷體" w:eastAsia="標楷體" w:hAnsi="標楷體" w:hint="eastAsia"/>
          <w:color w:val="000000"/>
          <w:szCs w:val="24"/>
        </w:rPr>
        <w:t>、1</w:t>
      </w:r>
      <w:r w:rsidRPr="007576F0">
        <w:rPr>
          <w:rFonts w:ascii="標楷體" w:eastAsia="標楷體" w:hAnsi="標楷體"/>
          <w:color w:val="000000"/>
          <w:szCs w:val="24"/>
        </w:rPr>
        <w:t>14</w:t>
      </w:r>
      <w:r w:rsidRPr="007576F0">
        <w:rPr>
          <w:rFonts w:ascii="標楷體" w:eastAsia="標楷體" w:hAnsi="標楷體" w:hint="eastAsia"/>
          <w:color w:val="000000"/>
          <w:szCs w:val="24"/>
        </w:rPr>
        <w:t>/1</w:t>
      </w:r>
      <w:r w:rsidRPr="007576F0">
        <w:rPr>
          <w:rFonts w:ascii="標楷體" w:eastAsia="標楷體" w:hAnsi="標楷體"/>
          <w:color w:val="000000"/>
          <w:szCs w:val="24"/>
        </w:rPr>
        <w:t>0</w:t>
      </w:r>
      <w:r w:rsidRPr="007576F0">
        <w:rPr>
          <w:rFonts w:ascii="標楷體" w:eastAsia="標楷體" w:hAnsi="標楷體" w:hint="eastAsia"/>
          <w:color w:val="000000"/>
          <w:szCs w:val="24"/>
        </w:rPr>
        <w:t>/1</w:t>
      </w:r>
      <w:r w:rsidRPr="007576F0">
        <w:rPr>
          <w:rFonts w:ascii="標楷體" w:eastAsia="標楷體" w:hAnsi="標楷體"/>
          <w:color w:val="000000"/>
          <w:szCs w:val="24"/>
        </w:rPr>
        <w:t>)</w:t>
      </w:r>
    </w:p>
    <w:p w14:paraId="436BB646"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1.用於治療先前已接受兩次以上全身性治療無效(其中一次需為治療晚期疾病)之無法切除的局部晚期或轉移性的三陰性乳癌成</w:t>
      </w:r>
      <w:r w:rsidRPr="007576F0">
        <w:rPr>
          <w:rFonts w:ascii="標楷體" w:eastAsia="標楷體" w:hAnsi="標楷體" w:hint="eastAsia"/>
          <w:color w:val="000000"/>
          <w:szCs w:val="24"/>
        </w:rPr>
        <w:t>人</w:t>
      </w:r>
      <w:r w:rsidRPr="007576F0">
        <w:rPr>
          <w:rFonts w:ascii="標楷體" w:eastAsia="標楷體" w:hAnsi="標楷體"/>
          <w:color w:val="000000"/>
          <w:szCs w:val="24"/>
        </w:rPr>
        <w:t>病人</w:t>
      </w:r>
      <w:r w:rsidRPr="007576F0">
        <w:rPr>
          <w:rFonts w:ascii="標楷體" w:eastAsia="標楷體" w:hAnsi="標楷體" w:hint="eastAsia"/>
          <w:color w:val="000000"/>
          <w:szCs w:val="24"/>
        </w:rPr>
        <w:t>。</w:t>
      </w:r>
      <w:r w:rsidRPr="007576F0">
        <w:rPr>
          <w:rFonts w:ascii="標楷體" w:eastAsia="標楷體" w:hAnsi="標楷體"/>
          <w:szCs w:val="24"/>
        </w:rPr>
        <w:t>(</w:t>
      </w:r>
      <w:r w:rsidRPr="007576F0">
        <w:rPr>
          <w:rFonts w:ascii="標楷體" w:eastAsia="標楷體" w:hAnsi="標楷體" w:hint="eastAsia"/>
          <w:szCs w:val="24"/>
        </w:rPr>
        <w:t>113/2/1、1</w:t>
      </w:r>
      <w:r w:rsidRPr="007576F0">
        <w:rPr>
          <w:rFonts w:ascii="標楷體" w:eastAsia="標楷體" w:hAnsi="標楷體"/>
          <w:szCs w:val="24"/>
        </w:rPr>
        <w:t>14/2/1)</w:t>
      </w:r>
    </w:p>
    <w:p w14:paraId="163C6C6E"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hint="eastAsia"/>
          <w:szCs w:val="24"/>
        </w:rPr>
        <w:t>(1)須</w:t>
      </w:r>
      <w:r w:rsidRPr="007576F0">
        <w:rPr>
          <w:rFonts w:ascii="標楷體" w:eastAsia="標楷體" w:hAnsi="標楷體"/>
          <w:szCs w:val="24"/>
        </w:rPr>
        <w:t>符合下列各項條件：</w:t>
      </w:r>
    </w:p>
    <w:p w14:paraId="27187900"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hint="eastAsia"/>
          <w:szCs w:val="24"/>
        </w:rPr>
        <w:t>Ⅰ.病人身體狀況良好（</w:t>
      </w:r>
      <w:r w:rsidRPr="007576F0">
        <w:rPr>
          <w:rFonts w:ascii="標楷體" w:eastAsia="標楷體" w:hAnsi="標楷體"/>
          <w:szCs w:val="24"/>
        </w:rPr>
        <w:t>ECOG</w:t>
      </w:r>
      <w:proofErr w:type="gramStart"/>
      <w:r w:rsidRPr="007576F0">
        <w:rPr>
          <w:rFonts w:ascii="標楷體" w:eastAsia="標楷體" w:hAnsi="標楷體" w:hint="eastAsia"/>
          <w:szCs w:val="24"/>
        </w:rPr>
        <w:t>≦</w:t>
      </w:r>
      <w:proofErr w:type="gramEnd"/>
      <w:r w:rsidRPr="007576F0">
        <w:rPr>
          <w:rFonts w:ascii="標楷體" w:eastAsia="標楷體" w:hAnsi="標楷體"/>
          <w:szCs w:val="24"/>
        </w:rPr>
        <w:t>1</w:t>
      </w:r>
      <w:r w:rsidRPr="007576F0">
        <w:rPr>
          <w:rFonts w:ascii="標楷體" w:eastAsia="標楷體" w:hAnsi="標楷體" w:hint="eastAsia"/>
          <w:szCs w:val="24"/>
        </w:rPr>
        <w:t>）。</w:t>
      </w:r>
    </w:p>
    <w:p w14:paraId="70E6C1F3"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hint="eastAsia"/>
          <w:szCs w:val="24"/>
        </w:rPr>
        <w:t>Ⅱ.須使用過</w:t>
      </w:r>
      <w:proofErr w:type="spellStart"/>
      <w:r w:rsidRPr="007576F0">
        <w:rPr>
          <w:rFonts w:ascii="標楷體" w:eastAsia="標楷體" w:hAnsi="標楷體"/>
          <w:szCs w:val="24"/>
        </w:rPr>
        <w:t>taxane</w:t>
      </w:r>
      <w:proofErr w:type="spellEnd"/>
      <w:r w:rsidRPr="007576F0">
        <w:rPr>
          <w:rFonts w:ascii="標楷體" w:eastAsia="標楷體" w:hAnsi="標楷體" w:hint="eastAsia"/>
          <w:szCs w:val="24"/>
        </w:rPr>
        <w:t>類藥物至少1個療程。</w:t>
      </w:r>
    </w:p>
    <w:p w14:paraId="5FAB7605"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hint="eastAsia"/>
          <w:szCs w:val="24"/>
        </w:rPr>
        <w:t xml:space="preserve">Ⅲ.先前未接受過trastuzumab </w:t>
      </w:r>
      <w:proofErr w:type="spellStart"/>
      <w:r w:rsidRPr="007576F0">
        <w:rPr>
          <w:rFonts w:ascii="標楷體" w:eastAsia="標楷體" w:hAnsi="標楷體" w:hint="eastAsia"/>
          <w:szCs w:val="24"/>
        </w:rPr>
        <w:t>deruxtecan</w:t>
      </w:r>
      <w:proofErr w:type="spellEnd"/>
      <w:r w:rsidRPr="007576F0">
        <w:rPr>
          <w:rFonts w:ascii="標楷體" w:eastAsia="標楷體" w:hAnsi="標楷體" w:hint="eastAsia"/>
          <w:szCs w:val="24"/>
        </w:rPr>
        <w:t>治療。(114/2/1)</w:t>
      </w:r>
    </w:p>
    <w:p w14:paraId="4FDB89A3"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hint="eastAsia"/>
          <w:szCs w:val="24"/>
        </w:rPr>
        <w:t>(2)</w:t>
      </w:r>
      <w:r w:rsidRPr="007576F0">
        <w:rPr>
          <w:rFonts w:ascii="標楷體" w:eastAsia="標楷體" w:hAnsi="標楷體"/>
          <w:color w:val="000000"/>
          <w:szCs w:val="24"/>
        </w:rPr>
        <w:t>須經事前審查核准後使用</w:t>
      </w:r>
      <w:r w:rsidRPr="007576F0">
        <w:rPr>
          <w:rFonts w:ascii="標楷體" w:eastAsia="標楷體" w:hAnsi="標楷體" w:hint="eastAsia"/>
          <w:color w:val="000000"/>
          <w:szCs w:val="24"/>
        </w:rPr>
        <w:t>，</w:t>
      </w:r>
      <w:r w:rsidRPr="007576F0">
        <w:rPr>
          <w:rFonts w:ascii="標楷體" w:eastAsia="標楷體" w:hAnsi="標楷體"/>
          <w:color w:val="000000"/>
          <w:szCs w:val="24"/>
        </w:rPr>
        <w:t>每次申請之療程以3個月為限</w:t>
      </w:r>
      <w:r w:rsidRPr="007576F0">
        <w:rPr>
          <w:rFonts w:ascii="標楷體" w:eastAsia="標楷體" w:hAnsi="標楷體" w:hint="eastAsia"/>
          <w:color w:val="000000"/>
          <w:szCs w:val="24"/>
        </w:rPr>
        <w:t>，</w:t>
      </w:r>
      <w:r w:rsidRPr="007576F0">
        <w:rPr>
          <w:rFonts w:ascii="標楷體" w:eastAsia="標楷體" w:hAnsi="標楷體"/>
          <w:szCs w:val="24"/>
        </w:rPr>
        <w:t>初次申請時需檢附ER、PR、HER2皆為陰性之檢測報告</w:t>
      </w:r>
      <w:r w:rsidRPr="007576F0">
        <w:rPr>
          <w:rFonts w:ascii="標楷體" w:eastAsia="標楷體" w:hAnsi="標楷體" w:hint="eastAsia"/>
          <w:szCs w:val="24"/>
        </w:rPr>
        <w:t>。</w:t>
      </w:r>
    </w:p>
    <w:p w14:paraId="343C1AAA" w14:textId="77777777" w:rsidR="007576F0" w:rsidRPr="007576F0" w:rsidRDefault="007576F0" w:rsidP="007576F0">
      <w:pPr>
        <w:spacing w:line="300" w:lineRule="exact"/>
        <w:ind w:left="1276" w:hanging="284"/>
        <w:rPr>
          <w:rFonts w:ascii="標楷體" w:eastAsia="標楷體" w:hAnsi="標楷體"/>
          <w:color w:val="000000"/>
          <w:szCs w:val="24"/>
        </w:rPr>
      </w:pPr>
      <w:r w:rsidRPr="007576F0">
        <w:rPr>
          <w:rFonts w:ascii="標楷體" w:eastAsia="標楷體" w:hAnsi="標楷體" w:hint="eastAsia"/>
          <w:color w:val="000000"/>
          <w:szCs w:val="24"/>
        </w:rPr>
        <w:t>(3)</w:t>
      </w:r>
      <w:r w:rsidRPr="007576F0">
        <w:rPr>
          <w:rFonts w:ascii="標楷體" w:eastAsia="標楷體" w:hAnsi="標楷體"/>
          <w:color w:val="000000"/>
          <w:szCs w:val="24"/>
        </w:rPr>
        <w:t>再次申請必須提出客觀證據</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如：影像學</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證實無惡化，才可繼續使用。</w:t>
      </w:r>
    </w:p>
    <w:p w14:paraId="00D7CD8B"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hint="eastAsia"/>
          <w:color w:val="000000"/>
          <w:szCs w:val="24"/>
        </w:rPr>
        <w:t>(4)</w:t>
      </w:r>
      <w:r w:rsidRPr="007576F0">
        <w:rPr>
          <w:rFonts w:ascii="標楷體" w:eastAsia="標楷體" w:hAnsi="標楷體"/>
          <w:color w:val="000000"/>
          <w:szCs w:val="24"/>
        </w:rPr>
        <w:t xml:space="preserve">Sacituzumab </w:t>
      </w:r>
      <w:proofErr w:type="spellStart"/>
      <w:r w:rsidRPr="007576F0">
        <w:rPr>
          <w:rFonts w:ascii="標楷體" w:eastAsia="標楷體" w:hAnsi="標楷體"/>
          <w:color w:val="000000"/>
          <w:szCs w:val="24"/>
        </w:rPr>
        <w:t>govitecan</w:t>
      </w:r>
      <w:proofErr w:type="spellEnd"/>
      <w:r w:rsidRPr="007576F0">
        <w:rPr>
          <w:rFonts w:ascii="標楷體" w:eastAsia="標楷體" w:hAnsi="標楷體"/>
          <w:color w:val="000000"/>
          <w:szCs w:val="24"/>
        </w:rPr>
        <w:t xml:space="preserve">和trastuzumab </w:t>
      </w:r>
      <w:proofErr w:type="spellStart"/>
      <w:r w:rsidRPr="007576F0">
        <w:rPr>
          <w:rFonts w:ascii="標楷體" w:eastAsia="標楷體" w:hAnsi="標楷體"/>
          <w:color w:val="000000"/>
          <w:szCs w:val="24"/>
        </w:rPr>
        <w:t>deruxtecan</w:t>
      </w:r>
      <w:proofErr w:type="spellEnd"/>
      <w:r w:rsidRPr="007576F0">
        <w:rPr>
          <w:rFonts w:ascii="標楷體" w:eastAsia="標楷體" w:hAnsi="標楷體"/>
          <w:color w:val="000000"/>
          <w:szCs w:val="24"/>
        </w:rPr>
        <w:t>僅能擇</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給付，不得互換。(1</w:t>
      </w:r>
      <w:r w:rsidRPr="007576F0">
        <w:rPr>
          <w:rFonts w:ascii="標楷體" w:eastAsia="標楷體" w:hAnsi="標楷體"/>
          <w:szCs w:val="24"/>
        </w:rPr>
        <w:t>14/2/1)</w:t>
      </w:r>
      <w:r w:rsidRPr="007576F0">
        <w:rPr>
          <w:rFonts w:ascii="標楷體" w:eastAsia="標楷體" w:hAnsi="標楷體" w:hint="eastAsia"/>
          <w:szCs w:val="24"/>
        </w:rPr>
        <w:t>。</w:t>
      </w:r>
    </w:p>
    <w:p w14:paraId="71F5028B"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2.</w:t>
      </w:r>
      <w:r w:rsidRPr="007576F0">
        <w:rPr>
          <w:rFonts w:ascii="標楷體" w:eastAsia="標楷體" w:hAnsi="標楷體" w:hint="eastAsia"/>
          <w:color w:val="000000"/>
          <w:szCs w:val="24"/>
        </w:rPr>
        <w:t>用於</w:t>
      </w:r>
      <w:r w:rsidRPr="007576F0">
        <w:rPr>
          <w:rFonts w:ascii="標楷體" w:eastAsia="標楷體" w:hAnsi="標楷體"/>
          <w:szCs w:val="24"/>
        </w:rPr>
        <w:t>治療患有無法切除的局部晚期或轉移性的HR陽性</w:t>
      </w:r>
      <w:r w:rsidRPr="007576F0">
        <w:rPr>
          <w:rFonts w:ascii="標楷體" w:eastAsia="標楷體" w:hAnsi="標楷體" w:hint="eastAsia"/>
          <w:szCs w:val="24"/>
        </w:rPr>
        <w:t>、</w:t>
      </w:r>
      <w:r w:rsidRPr="007576F0">
        <w:rPr>
          <w:rFonts w:ascii="標楷體" w:eastAsia="標楷體" w:hAnsi="標楷體"/>
          <w:szCs w:val="24"/>
        </w:rPr>
        <w:t>HER2陰性</w:t>
      </w:r>
      <w:r w:rsidRPr="007576F0">
        <w:rPr>
          <w:rFonts w:ascii="標楷體" w:eastAsia="標楷體" w:hAnsi="標楷體" w:hint="eastAsia"/>
          <w:szCs w:val="24"/>
        </w:rPr>
        <w:t>之</w:t>
      </w:r>
      <w:r w:rsidRPr="007576F0">
        <w:rPr>
          <w:rFonts w:ascii="標楷體" w:eastAsia="標楷體" w:hAnsi="標楷體"/>
          <w:szCs w:val="24"/>
        </w:rPr>
        <w:t>乳癌成</w:t>
      </w:r>
      <w:r w:rsidRPr="007576F0">
        <w:rPr>
          <w:rFonts w:ascii="標楷體" w:eastAsia="標楷體" w:hAnsi="標楷體" w:hint="eastAsia"/>
          <w:szCs w:val="24"/>
        </w:rPr>
        <w:t>人</w:t>
      </w:r>
      <w:r w:rsidRPr="007576F0">
        <w:rPr>
          <w:rFonts w:ascii="標楷體" w:eastAsia="標楷體" w:hAnsi="標楷體"/>
          <w:szCs w:val="24"/>
        </w:rPr>
        <w:t>病人</w:t>
      </w:r>
      <w:r w:rsidRPr="007576F0">
        <w:rPr>
          <w:rFonts w:ascii="標楷體" w:eastAsia="標楷體" w:hAnsi="標楷體" w:hint="eastAsia"/>
          <w:szCs w:val="24"/>
        </w:rPr>
        <w:t>。(1</w:t>
      </w:r>
      <w:r w:rsidRPr="007576F0">
        <w:rPr>
          <w:rFonts w:ascii="標楷體" w:eastAsia="標楷體" w:hAnsi="標楷體"/>
          <w:szCs w:val="24"/>
        </w:rPr>
        <w:t>14</w:t>
      </w:r>
      <w:r w:rsidRPr="007576F0">
        <w:rPr>
          <w:rFonts w:ascii="標楷體" w:eastAsia="標楷體" w:hAnsi="標楷體" w:hint="eastAsia"/>
          <w:szCs w:val="24"/>
        </w:rPr>
        <w:t>/1</w:t>
      </w:r>
      <w:r w:rsidRPr="007576F0">
        <w:rPr>
          <w:rFonts w:ascii="標楷體" w:eastAsia="標楷體" w:hAnsi="標楷體"/>
          <w:szCs w:val="24"/>
        </w:rPr>
        <w:t>0</w:t>
      </w:r>
      <w:r w:rsidRPr="007576F0">
        <w:rPr>
          <w:rFonts w:ascii="標楷體" w:eastAsia="標楷體" w:hAnsi="標楷體" w:hint="eastAsia"/>
          <w:szCs w:val="24"/>
        </w:rPr>
        <w:t>/1)</w:t>
      </w:r>
    </w:p>
    <w:p w14:paraId="5F6F7F6A"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hint="eastAsia"/>
          <w:szCs w:val="24"/>
        </w:rPr>
        <w:t>(1)須</w:t>
      </w:r>
      <w:r w:rsidRPr="007576F0">
        <w:rPr>
          <w:rFonts w:ascii="標楷體" w:eastAsia="標楷體" w:hAnsi="標楷體"/>
          <w:color w:val="000000"/>
          <w:szCs w:val="24"/>
        </w:rPr>
        <w:t>符合</w:t>
      </w:r>
      <w:r w:rsidRPr="007576F0">
        <w:rPr>
          <w:rFonts w:ascii="標楷體" w:eastAsia="標楷體" w:hAnsi="標楷體"/>
          <w:szCs w:val="24"/>
        </w:rPr>
        <w:t>下列各項條件：</w:t>
      </w:r>
    </w:p>
    <w:p w14:paraId="5377E0B2"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hint="eastAsia"/>
          <w:szCs w:val="24"/>
        </w:rPr>
        <w:t>Ⅰ.須排除活動性腦轉移。</w:t>
      </w:r>
    </w:p>
    <w:p w14:paraId="38F3E8AD"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hint="eastAsia"/>
          <w:szCs w:val="24"/>
        </w:rPr>
        <w:t>Ⅱ.曾接受 CDK4/6 抑制劑</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12個月，並有內臟轉移。</w:t>
      </w:r>
    </w:p>
    <w:p w14:paraId="003210CA"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hint="eastAsia"/>
          <w:szCs w:val="24"/>
        </w:rPr>
        <w:t>Ⅲ.</w:t>
      </w:r>
      <w:r w:rsidRPr="007576F0">
        <w:rPr>
          <w:rFonts w:ascii="標楷體" w:eastAsia="標楷體" w:hAnsi="標楷體"/>
          <w:szCs w:val="24"/>
        </w:rPr>
        <w:t>曾接受</w:t>
      </w:r>
      <w:r w:rsidRPr="007576F0">
        <w:rPr>
          <w:rFonts w:ascii="標楷體" w:eastAsia="標楷體" w:hAnsi="標楷體" w:hint="eastAsia"/>
          <w:szCs w:val="24"/>
        </w:rPr>
        <w:t>至少兩線(</w:t>
      </w:r>
      <w:proofErr w:type="gramStart"/>
      <w:r w:rsidRPr="007576F0">
        <w:rPr>
          <w:rFonts w:ascii="標楷體" w:eastAsia="標楷體" w:hAnsi="標楷體" w:hint="eastAsia"/>
          <w:szCs w:val="24"/>
        </w:rPr>
        <w:t>每線至少</w:t>
      </w:r>
      <w:proofErr w:type="gramEnd"/>
      <w:r w:rsidRPr="007576F0">
        <w:rPr>
          <w:rFonts w:ascii="標楷體" w:eastAsia="標楷體" w:hAnsi="標楷體" w:hint="eastAsia"/>
          <w:szCs w:val="24"/>
        </w:rPr>
        <w:t>兩個完整療程或於第二</w:t>
      </w:r>
      <w:proofErr w:type="gramStart"/>
      <w:r w:rsidRPr="007576F0">
        <w:rPr>
          <w:rFonts w:ascii="標楷體" w:eastAsia="標楷體" w:hAnsi="標楷體" w:hint="eastAsia"/>
          <w:szCs w:val="24"/>
        </w:rPr>
        <w:t>個</w:t>
      </w:r>
      <w:proofErr w:type="gramEnd"/>
      <w:r w:rsidRPr="007576F0">
        <w:rPr>
          <w:rFonts w:ascii="標楷體" w:eastAsia="標楷體" w:hAnsi="標楷體" w:hint="eastAsia"/>
          <w:szCs w:val="24"/>
        </w:rPr>
        <w:t>療程中產生疾病惡化)的</w:t>
      </w:r>
      <w:r w:rsidRPr="007576F0">
        <w:rPr>
          <w:rFonts w:ascii="標楷體" w:eastAsia="標楷體" w:hAnsi="標楷體"/>
          <w:szCs w:val="24"/>
        </w:rPr>
        <w:t>轉移性乳癌化</w:t>
      </w:r>
      <w:r w:rsidRPr="007576F0">
        <w:rPr>
          <w:rFonts w:ascii="標楷體" w:eastAsia="標楷體" w:hAnsi="標楷體" w:hint="eastAsia"/>
          <w:szCs w:val="24"/>
        </w:rPr>
        <w:t>學治療。</w:t>
      </w:r>
    </w:p>
    <w:p w14:paraId="1BBAC3FE"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hint="eastAsia"/>
          <w:szCs w:val="24"/>
        </w:rPr>
        <w:t>(2)</w:t>
      </w:r>
      <w:r w:rsidRPr="007576F0">
        <w:rPr>
          <w:rFonts w:ascii="標楷體" w:eastAsia="標楷體" w:hAnsi="標楷體"/>
          <w:color w:val="000000"/>
          <w:szCs w:val="24"/>
        </w:rPr>
        <w:t>須經事</w:t>
      </w:r>
      <w:r w:rsidRPr="007576F0">
        <w:rPr>
          <w:rFonts w:ascii="標楷體" w:eastAsia="標楷體" w:hAnsi="標楷體"/>
          <w:szCs w:val="24"/>
        </w:rPr>
        <w:t>前審查核准後使用</w:t>
      </w:r>
      <w:r w:rsidRPr="007576F0">
        <w:rPr>
          <w:rFonts w:ascii="標楷體" w:eastAsia="標楷體" w:hAnsi="標楷體" w:hint="eastAsia"/>
          <w:szCs w:val="24"/>
        </w:rPr>
        <w:t>，</w:t>
      </w:r>
      <w:r w:rsidRPr="007576F0">
        <w:rPr>
          <w:rFonts w:ascii="標楷體" w:eastAsia="標楷體" w:hAnsi="標楷體"/>
          <w:szCs w:val="24"/>
        </w:rPr>
        <w:t>每次申請之療程以3個月為限</w:t>
      </w:r>
      <w:r w:rsidRPr="007576F0">
        <w:rPr>
          <w:rFonts w:ascii="標楷體" w:eastAsia="標楷體" w:hAnsi="標楷體" w:hint="eastAsia"/>
          <w:szCs w:val="24"/>
        </w:rPr>
        <w:t>，</w:t>
      </w:r>
      <w:r w:rsidRPr="007576F0">
        <w:rPr>
          <w:rFonts w:ascii="標楷體" w:eastAsia="標楷體" w:hAnsi="標楷體"/>
          <w:szCs w:val="24"/>
        </w:rPr>
        <w:t>初次申請時需檢附</w:t>
      </w:r>
      <w:r w:rsidRPr="007576F0">
        <w:rPr>
          <w:rFonts w:ascii="標楷體" w:eastAsia="標楷體" w:hAnsi="標楷體" w:hint="eastAsia"/>
          <w:szCs w:val="24"/>
        </w:rPr>
        <w:t>H</w:t>
      </w:r>
      <w:r w:rsidRPr="007576F0">
        <w:rPr>
          <w:rFonts w:ascii="標楷體" w:eastAsia="標楷體" w:hAnsi="標楷體"/>
          <w:szCs w:val="24"/>
        </w:rPr>
        <w:t>R</w:t>
      </w:r>
      <w:r w:rsidRPr="007576F0">
        <w:rPr>
          <w:rFonts w:ascii="標楷體" w:eastAsia="標楷體" w:hAnsi="標楷體" w:hint="eastAsia"/>
          <w:szCs w:val="24"/>
        </w:rPr>
        <w:t>陽性</w:t>
      </w:r>
      <w:r w:rsidRPr="007576F0">
        <w:rPr>
          <w:rFonts w:ascii="標楷體" w:eastAsia="標楷體" w:hAnsi="標楷體"/>
          <w:szCs w:val="24"/>
        </w:rPr>
        <w:t>、HER2陰性</w:t>
      </w:r>
      <w:r w:rsidRPr="007576F0">
        <w:rPr>
          <w:rFonts w:ascii="標楷體" w:eastAsia="標楷體" w:hAnsi="標楷體" w:hint="eastAsia"/>
          <w:szCs w:val="24"/>
        </w:rPr>
        <w:t>(</w:t>
      </w:r>
      <w:r w:rsidRPr="007576F0">
        <w:rPr>
          <w:rFonts w:ascii="標楷體" w:eastAsia="標楷體" w:hAnsi="標楷體"/>
          <w:szCs w:val="24"/>
        </w:rPr>
        <w:t>IHC 0、IHC 1+或 IHC 2+/ISH</w:t>
      </w:r>
      <w:proofErr w:type="gramStart"/>
      <w:r w:rsidRPr="007576F0">
        <w:rPr>
          <w:rFonts w:ascii="標楷體" w:eastAsia="標楷體" w:hAnsi="標楷體"/>
          <w:szCs w:val="24"/>
        </w:rPr>
        <w:t>–</w:t>
      </w:r>
      <w:proofErr w:type="gramEnd"/>
      <w:r w:rsidRPr="007576F0">
        <w:rPr>
          <w:rFonts w:ascii="標楷體" w:eastAsia="標楷體" w:hAnsi="標楷體" w:hint="eastAsia"/>
          <w:szCs w:val="24"/>
        </w:rPr>
        <w:t>)</w:t>
      </w:r>
      <w:r w:rsidRPr="007576F0">
        <w:rPr>
          <w:rFonts w:ascii="標楷體" w:eastAsia="標楷體" w:hAnsi="標楷體"/>
          <w:szCs w:val="24"/>
        </w:rPr>
        <w:t>之檢測報告</w:t>
      </w:r>
      <w:r w:rsidRPr="007576F0">
        <w:rPr>
          <w:rFonts w:ascii="標楷體" w:eastAsia="標楷體" w:hAnsi="標楷體" w:hint="eastAsia"/>
          <w:szCs w:val="24"/>
        </w:rPr>
        <w:t>。</w:t>
      </w:r>
    </w:p>
    <w:p w14:paraId="66FD9A00"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hint="eastAsia"/>
          <w:szCs w:val="24"/>
        </w:rPr>
        <w:t>(3)</w:t>
      </w:r>
      <w:r w:rsidRPr="007576F0">
        <w:rPr>
          <w:rFonts w:ascii="標楷體" w:eastAsia="標楷體" w:hAnsi="標楷體"/>
          <w:szCs w:val="24"/>
        </w:rPr>
        <w:t>再次申請</w:t>
      </w:r>
      <w:r w:rsidRPr="007576F0">
        <w:rPr>
          <w:rFonts w:ascii="標楷體" w:eastAsia="標楷體" w:hAnsi="標楷體"/>
          <w:color w:val="000000"/>
          <w:szCs w:val="24"/>
        </w:rPr>
        <w:t>必須提出客觀</w:t>
      </w:r>
      <w:r w:rsidRPr="007576F0">
        <w:rPr>
          <w:rFonts w:ascii="標楷體" w:eastAsia="標楷體" w:hAnsi="標楷體"/>
          <w:szCs w:val="24"/>
        </w:rPr>
        <w:t>證據</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如：影像學</w:t>
      </w:r>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證實無惡化，才可繼續使用。</w:t>
      </w:r>
    </w:p>
    <w:p w14:paraId="2A09D91A"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color w:val="000000"/>
        </w:rPr>
        <w:t>9.107.</w:t>
      </w:r>
      <w:r w:rsidRPr="007576F0">
        <w:rPr>
          <w:rFonts w:ascii="標楷體" w:eastAsia="標楷體" w:hAnsi="標楷體"/>
          <w:color w:val="000000"/>
          <w:szCs w:val="24"/>
        </w:rPr>
        <w:t>Abemaciclib</w:t>
      </w:r>
      <w:r w:rsidRPr="007576F0">
        <w:rPr>
          <w:rFonts w:ascii="標楷體" w:eastAsia="標楷體" w:hAnsi="標楷體"/>
          <w:color w:val="000000"/>
        </w:rPr>
        <w:t xml:space="preserve"> (如</w:t>
      </w:r>
      <w:proofErr w:type="spellStart"/>
      <w:r w:rsidRPr="007576F0">
        <w:rPr>
          <w:rFonts w:ascii="標楷體" w:eastAsia="標楷體" w:hAnsi="標楷體"/>
          <w:color w:val="000000"/>
        </w:rPr>
        <w:t>Verzenio</w:t>
      </w:r>
      <w:proofErr w:type="spellEnd"/>
      <w:r w:rsidRPr="007576F0">
        <w:rPr>
          <w:rFonts w:ascii="標楷體" w:eastAsia="標楷體" w:hAnsi="標楷體"/>
          <w:color w:val="000000"/>
        </w:rPr>
        <w:t>)：(113/3/1、113/6/1)</w:t>
      </w:r>
    </w:p>
    <w:p w14:paraId="56DA91E3"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1.</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用內分泌</w:t>
      </w:r>
      <w:r w:rsidRPr="007576F0">
        <w:rPr>
          <w:rFonts w:ascii="標楷體" w:eastAsia="標楷體" w:hAnsi="標楷體"/>
          <w:szCs w:val="24"/>
        </w:rPr>
        <w:t>療法</w:t>
      </w:r>
      <w:r w:rsidRPr="007576F0">
        <w:rPr>
          <w:rFonts w:ascii="標楷體" w:eastAsia="標楷體" w:hAnsi="標楷體"/>
          <w:color w:val="000000"/>
          <w:szCs w:val="24"/>
        </w:rPr>
        <w:t>(tamoxifen或芳香環酶抑制劑)，作為荷爾蒙受體(HR)陽性(ER或</w:t>
      </w:r>
      <w:r w:rsidRPr="007576F0">
        <w:rPr>
          <w:rFonts w:ascii="標楷體" w:eastAsia="標楷體" w:hAnsi="標楷體"/>
          <w:color w:val="000000"/>
          <w:szCs w:val="24"/>
        </w:rPr>
        <w:lastRenderedPageBreak/>
        <w:t>PR&gt;30%)、第二型人類表皮生長因子受體(HER2)陰性、淋巴結陽性，高復發風險之早期乳癌成年女性病人的輔助療法，須符合下列高復發風險條件之一(113/3/1、113/6/1)：</w:t>
      </w:r>
    </w:p>
    <w:p w14:paraId="1A1B8A55" w14:textId="77777777" w:rsidR="007576F0" w:rsidRPr="007576F0" w:rsidRDefault="007576F0" w:rsidP="007576F0">
      <w:pPr>
        <w:spacing w:line="300" w:lineRule="exact"/>
        <w:ind w:left="1332" w:hanging="566"/>
      </w:pPr>
      <w:r w:rsidRPr="007576F0">
        <w:rPr>
          <w:rFonts w:ascii="標楷體" w:eastAsia="標楷體" w:hAnsi="標楷體"/>
          <w:color w:val="000000"/>
        </w:rPr>
        <w:t>(1)</w:t>
      </w:r>
      <w:proofErr w:type="spellStart"/>
      <w:r w:rsidRPr="007576F0">
        <w:rPr>
          <w:rFonts w:ascii="標楷體" w:eastAsia="標楷體" w:hAnsi="標楷體"/>
          <w:color w:val="000000"/>
        </w:rPr>
        <w:t>pALN</w:t>
      </w:r>
      <w:proofErr w:type="spellEnd"/>
      <w:r w:rsidRPr="007576F0">
        <w:rPr>
          <w:rFonts w:ascii="標楷體" w:eastAsia="標楷體" w:hAnsi="標楷體"/>
          <w:color w:val="000000"/>
        </w:rPr>
        <w:t xml:space="preserve"> (positive axillary lymph nodes，陽性腋下淋巴結) </w:t>
      </w:r>
      <w:r w:rsidRPr="007576F0">
        <w:rPr>
          <w:rFonts w:eastAsia="標楷體"/>
          <w:color w:val="000000"/>
        </w:rPr>
        <w:t>≥</w:t>
      </w:r>
      <w:r w:rsidRPr="007576F0">
        <w:rPr>
          <w:rFonts w:ascii="標楷體" w:eastAsia="標楷體" w:hAnsi="標楷體"/>
          <w:color w:val="000000"/>
        </w:rPr>
        <w:t>4。</w:t>
      </w:r>
    </w:p>
    <w:p w14:paraId="2D96A2B1" w14:textId="77777777" w:rsidR="007576F0" w:rsidRPr="007576F0" w:rsidRDefault="007576F0" w:rsidP="007576F0">
      <w:pPr>
        <w:spacing w:line="300" w:lineRule="exact"/>
        <w:ind w:left="1332" w:hanging="566"/>
      </w:pPr>
      <w:r w:rsidRPr="007576F0">
        <w:rPr>
          <w:rFonts w:ascii="標楷體" w:eastAsia="標楷體" w:hAnsi="標楷體"/>
          <w:color w:val="000000"/>
        </w:rPr>
        <w:t>(2)</w:t>
      </w:r>
      <w:proofErr w:type="spellStart"/>
      <w:r w:rsidRPr="007576F0">
        <w:rPr>
          <w:rFonts w:ascii="標楷體" w:eastAsia="標楷體" w:hAnsi="標楷體"/>
          <w:color w:val="000000"/>
        </w:rPr>
        <w:t>pALN</w:t>
      </w:r>
      <w:proofErr w:type="spellEnd"/>
      <w:r w:rsidRPr="007576F0">
        <w:rPr>
          <w:rFonts w:ascii="標楷體" w:eastAsia="標楷體" w:hAnsi="標楷體"/>
          <w:color w:val="000000"/>
        </w:rPr>
        <w:t xml:space="preserve"> (陽性腋下淋巴結)為1-3 且腫瘤大小</w:t>
      </w:r>
      <w:r w:rsidRPr="007576F0">
        <w:rPr>
          <w:rFonts w:eastAsia="標楷體"/>
          <w:color w:val="000000"/>
        </w:rPr>
        <w:t>≥</w:t>
      </w:r>
      <w:r w:rsidRPr="007576F0">
        <w:rPr>
          <w:rFonts w:ascii="標楷體" w:eastAsia="標楷體" w:hAnsi="標楷體"/>
          <w:color w:val="000000"/>
        </w:rPr>
        <w:t>5 cm。</w:t>
      </w:r>
    </w:p>
    <w:p w14:paraId="06EC228B" w14:textId="77777777" w:rsidR="007576F0" w:rsidRPr="007576F0" w:rsidRDefault="007576F0" w:rsidP="007576F0">
      <w:pPr>
        <w:spacing w:line="300" w:lineRule="exact"/>
        <w:ind w:left="1332" w:hanging="566"/>
        <w:rPr>
          <w:rFonts w:ascii="標楷體" w:eastAsia="標楷體" w:hAnsi="標楷體"/>
          <w:color w:val="000000"/>
        </w:rPr>
      </w:pPr>
      <w:r w:rsidRPr="007576F0">
        <w:rPr>
          <w:rFonts w:ascii="標楷體" w:eastAsia="標楷體" w:hAnsi="標楷體"/>
          <w:color w:val="000000"/>
        </w:rPr>
        <w:t>(3)</w:t>
      </w:r>
      <w:proofErr w:type="spellStart"/>
      <w:r w:rsidRPr="007576F0">
        <w:rPr>
          <w:rFonts w:ascii="標楷體" w:eastAsia="標楷體" w:hAnsi="標楷體"/>
          <w:color w:val="000000"/>
        </w:rPr>
        <w:t>pALN</w:t>
      </w:r>
      <w:proofErr w:type="spellEnd"/>
      <w:r w:rsidRPr="007576F0">
        <w:rPr>
          <w:rFonts w:ascii="標楷體" w:eastAsia="標楷體" w:hAnsi="標楷體"/>
          <w:color w:val="000000"/>
        </w:rPr>
        <w:t xml:space="preserve"> (陽性腋下淋巴結)為1-3 且腫瘤細胞分化第3級。</w:t>
      </w:r>
    </w:p>
    <w:p w14:paraId="2BF5D17D"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2.使用前，須接受標準之化學及放射輔助治療方可申請使用。使用中，若疾病惡化須停止使用且不得再使用其他CDK4/6抑制劑。</w:t>
      </w:r>
    </w:p>
    <w:p w14:paraId="10727B95"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3.使用前，僅能接受最多12</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的內分泌治療，且應於手術切除後16個月內</w:t>
      </w:r>
      <w:proofErr w:type="gramStart"/>
      <w:r w:rsidRPr="007576F0">
        <w:rPr>
          <w:rFonts w:ascii="標楷體" w:eastAsia="標楷體" w:hAnsi="標楷體"/>
          <w:color w:val="000000"/>
          <w:szCs w:val="24"/>
        </w:rPr>
        <w:t>接受本品治療</w:t>
      </w:r>
      <w:proofErr w:type="gramEnd"/>
      <w:r w:rsidRPr="007576F0">
        <w:rPr>
          <w:rFonts w:ascii="標楷體" w:eastAsia="標楷體" w:hAnsi="標楷體"/>
          <w:color w:val="000000"/>
          <w:szCs w:val="24"/>
        </w:rPr>
        <w:t>。</w:t>
      </w:r>
    </w:p>
    <w:p w14:paraId="12FBCE6F"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4.須經事前審查核准後使用，每24</w:t>
      </w:r>
      <w:proofErr w:type="gramStart"/>
      <w:r w:rsidRPr="007576F0">
        <w:rPr>
          <w:rFonts w:ascii="標楷體" w:eastAsia="標楷體" w:hAnsi="標楷體"/>
          <w:color w:val="000000"/>
          <w:szCs w:val="24"/>
        </w:rPr>
        <w:t>週</w:t>
      </w:r>
      <w:proofErr w:type="gramEnd"/>
      <w:r w:rsidRPr="007576F0">
        <w:rPr>
          <w:rFonts w:ascii="標楷體" w:eastAsia="標楷體" w:hAnsi="標楷體"/>
          <w:color w:val="000000"/>
          <w:szCs w:val="24"/>
        </w:rPr>
        <w:t>須再次申請並檢附療效評估資料，若疾病有惡化情形須停止使用。</w:t>
      </w:r>
    </w:p>
    <w:p w14:paraId="612B40DA"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5.每日至多使用2錠，使用不得超過2年。</w:t>
      </w:r>
    </w:p>
    <w:p w14:paraId="5363E4CE"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szCs w:val="24"/>
        </w:rPr>
        <w:t>9.108.Isatuximab(如</w:t>
      </w:r>
      <w:bookmarkStart w:id="73" w:name="_Hlk173438635"/>
      <w:proofErr w:type="spellStart"/>
      <w:r w:rsidRPr="007576F0">
        <w:rPr>
          <w:rFonts w:ascii="標楷體" w:eastAsia="標楷體" w:hAnsi="標楷體"/>
          <w:szCs w:val="24"/>
        </w:rPr>
        <w:t>Sarclisa</w:t>
      </w:r>
      <w:bookmarkEnd w:id="73"/>
      <w:proofErr w:type="spellEnd"/>
      <w:r w:rsidRPr="007576F0">
        <w:rPr>
          <w:rFonts w:ascii="標楷體" w:eastAsia="標楷體" w:hAnsi="標楷體"/>
          <w:szCs w:val="24"/>
        </w:rPr>
        <w:t>)：(113/4/1、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3A4D851C"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szCs w:val="24"/>
        </w:rPr>
        <w:t>1.限與c</w:t>
      </w:r>
      <w:r w:rsidRPr="007576F0">
        <w:rPr>
          <w:rFonts w:ascii="標楷體" w:eastAsia="標楷體" w:hAnsi="標楷體"/>
          <w:color w:val="000000"/>
          <w:szCs w:val="24"/>
        </w:rPr>
        <w:t>arfilzomib/dexamethasone</w:t>
      </w:r>
      <w:proofErr w:type="gramStart"/>
      <w:r w:rsidRPr="007576F0">
        <w:rPr>
          <w:rFonts w:ascii="標楷體" w:eastAsia="標楷體" w:hAnsi="標楷體"/>
          <w:color w:val="000000"/>
          <w:szCs w:val="24"/>
        </w:rPr>
        <w:t>併</w:t>
      </w:r>
      <w:proofErr w:type="gramEnd"/>
      <w:r w:rsidRPr="007576F0">
        <w:rPr>
          <w:rFonts w:ascii="標楷體" w:eastAsia="標楷體" w:hAnsi="標楷體"/>
          <w:color w:val="000000"/>
          <w:szCs w:val="24"/>
        </w:rPr>
        <w:t>用，治療先前曾接受至少</w:t>
      </w:r>
      <w:r w:rsidRPr="007576F0">
        <w:rPr>
          <w:rFonts w:ascii="標楷體" w:eastAsia="標楷體" w:hAnsi="標楷體" w:hint="eastAsia"/>
          <w:color w:val="000000"/>
          <w:szCs w:val="24"/>
        </w:rPr>
        <w:t>1</w:t>
      </w:r>
      <w:r w:rsidRPr="007576F0">
        <w:rPr>
          <w:rFonts w:ascii="標楷體" w:eastAsia="標楷體" w:hAnsi="標楷體"/>
          <w:color w:val="000000"/>
          <w:szCs w:val="24"/>
        </w:rPr>
        <w:t>種含bortezomib或lenalidomide之療法治療失敗的多發性骨髓瘤成人患者，且須具有良好日常體能狀態(ECOG&lt;2)者。</w:t>
      </w:r>
    </w:p>
    <w:p w14:paraId="4AF8479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color w:val="000000"/>
          <w:szCs w:val="24"/>
        </w:rPr>
        <w:t>2.須經事</w:t>
      </w:r>
      <w:r w:rsidRPr="007576F0">
        <w:rPr>
          <w:rFonts w:ascii="標楷體" w:eastAsia="標楷體" w:hAnsi="標楷體"/>
          <w:szCs w:val="24"/>
        </w:rPr>
        <w:t>前審查核准後使用：(113/4/1、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31DEF2C0"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szCs w:val="24"/>
        </w:rPr>
        <w:t>(1)首次申請為</w:t>
      </w:r>
      <w:proofErr w:type="gramStart"/>
      <w:r w:rsidRPr="007576F0">
        <w:rPr>
          <w:rFonts w:ascii="標楷體" w:eastAsia="標楷體" w:hAnsi="標楷體"/>
          <w:szCs w:val="24"/>
        </w:rPr>
        <w:t>10次輸注</w:t>
      </w:r>
      <w:proofErr w:type="gramEnd"/>
      <w:r w:rsidRPr="007576F0">
        <w:rPr>
          <w:rFonts w:ascii="標楷體" w:eastAsia="標楷體" w:hAnsi="標楷體"/>
          <w:szCs w:val="24"/>
        </w:rPr>
        <w:t>，且需同時符合下列Ⅰ.、Ⅱ.與Ⅲ.的條件：</w:t>
      </w:r>
    </w:p>
    <w:p w14:paraId="51137E80"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szCs w:val="24"/>
        </w:rPr>
        <w:t>Ⅰ.病人先前曾未接受過daratumumab之治療。(</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73E8CAAA"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szCs w:val="24"/>
        </w:rPr>
        <w:t>Ⅱ.具有下列任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疾病惡化的指標： 病患開始治療前須在連續2次評估中均符合同一指標 (但若為</w:t>
      </w:r>
      <w:proofErr w:type="spellStart"/>
      <w:r w:rsidRPr="007576F0">
        <w:rPr>
          <w:rFonts w:ascii="標楷體" w:eastAsia="標楷體" w:hAnsi="標楷體"/>
          <w:szCs w:val="24"/>
        </w:rPr>
        <w:t>plamacytoma</w:t>
      </w:r>
      <w:proofErr w:type="spellEnd"/>
      <w:r w:rsidRPr="007576F0">
        <w:rPr>
          <w:rFonts w:ascii="標楷體" w:eastAsia="標楷體" w:hAnsi="標楷體"/>
          <w:szCs w:val="24"/>
        </w:rPr>
        <w:t xml:space="preserve"> 體積增加，或是新產生的bone lesion(s)或新plasmacytoma，則僅需1次評估)： </w:t>
      </w:r>
    </w:p>
    <w:p w14:paraId="44B3D79D"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szCs w:val="24"/>
        </w:rPr>
      </w:pPr>
      <w:r w:rsidRPr="007576F0">
        <w:rPr>
          <w:rFonts w:ascii="新細明體" w:hAnsi="新細明體" w:cs="新細明體" w:hint="eastAsia"/>
          <w:szCs w:val="24"/>
        </w:rPr>
        <w:t>ⅰ</w:t>
      </w:r>
      <w:r w:rsidRPr="007576F0">
        <w:rPr>
          <w:rFonts w:ascii="標楷體" w:eastAsia="標楷體" w:hAnsi="標楷體"/>
          <w:szCs w:val="24"/>
        </w:rPr>
        <w:t>.若前一線治療中M component 最低值</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5 g/dL，血清M蛋白需增加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1 g/dL；若前一線治療中M component最低值＜5 g/dL，血清M蛋白需增加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0.5g/dL。</w:t>
      </w:r>
    </w:p>
    <w:p w14:paraId="4263859D"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新細明體" w:hAnsi="新細明體" w:cs="新細明體" w:hint="eastAsia"/>
          <w:szCs w:val="24"/>
        </w:rPr>
        <w:t>ⅱ</w:t>
      </w:r>
      <w:r w:rsidRPr="007576F0">
        <w:rPr>
          <w:rFonts w:ascii="標楷體" w:eastAsia="標楷體" w:hAnsi="標楷體" w:cs="新細明體"/>
          <w:szCs w:val="24"/>
        </w:rPr>
        <w:t>.Urine M-protein需增加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0.2 gm/24Hr，且需較前一線治療中的最低值增加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25%。</w:t>
      </w:r>
    </w:p>
    <w:p w14:paraId="7F09C13B"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標楷體" w:eastAsia="標楷體" w:hAnsi="標楷體" w:cs="新細明體"/>
          <w:szCs w:val="24"/>
        </w:rPr>
        <w:t>iii.在non-secretary myeloma 病患，骨髓</w:t>
      </w:r>
      <w:proofErr w:type="gramStart"/>
      <w:r w:rsidRPr="007576F0">
        <w:rPr>
          <w:rFonts w:ascii="標楷體" w:eastAsia="標楷體" w:hAnsi="標楷體" w:cs="新細明體"/>
          <w:szCs w:val="24"/>
        </w:rPr>
        <w:t>漿</w:t>
      </w:r>
      <w:proofErr w:type="gramEnd"/>
      <w:r w:rsidRPr="007576F0">
        <w:rPr>
          <w:rFonts w:ascii="標楷體" w:eastAsia="標楷體" w:hAnsi="標楷體" w:cs="新細明體"/>
          <w:szCs w:val="24"/>
        </w:rPr>
        <w:t>細胞 (plasma cells)之比例絕對值增加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10%，且需較前一線治療中的最低值增加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25%。</w:t>
      </w:r>
    </w:p>
    <w:p w14:paraId="3446F589"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標楷體" w:eastAsia="標楷體" w:hAnsi="標楷體" w:cs="新細明體"/>
          <w:szCs w:val="24"/>
        </w:rPr>
        <w:t>iv.新產生的bone lesion(s)或plasmacytoma；且須經病理切片證實。</w:t>
      </w:r>
    </w:p>
    <w:p w14:paraId="21466169"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proofErr w:type="spellStart"/>
      <w:r w:rsidRPr="007576F0">
        <w:rPr>
          <w:rFonts w:ascii="標楷體" w:eastAsia="標楷體" w:hAnsi="標楷體" w:cs="新細明體"/>
          <w:szCs w:val="24"/>
        </w:rPr>
        <w:t>v.Plasmacytoma</w:t>
      </w:r>
      <w:proofErr w:type="spellEnd"/>
      <w:r w:rsidRPr="007576F0">
        <w:rPr>
          <w:rFonts w:ascii="標楷體" w:eastAsia="標楷體" w:hAnsi="標楷體" w:cs="新細明體"/>
          <w:szCs w:val="24"/>
        </w:rPr>
        <w:t>體積增加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50%。</w:t>
      </w:r>
    </w:p>
    <w:p w14:paraId="2413CE6A"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szCs w:val="24"/>
        </w:rPr>
      </w:pPr>
      <w:r w:rsidRPr="007576F0">
        <w:rPr>
          <w:rFonts w:ascii="標楷體" w:eastAsia="標楷體" w:hAnsi="標楷體" w:cs="新細明體"/>
          <w:szCs w:val="24"/>
        </w:rPr>
        <w:t>vi.周邊</w:t>
      </w:r>
      <w:proofErr w:type="gramStart"/>
      <w:r w:rsidRPr="007576F0">
        <w:rPr>
          <w:rFonts w:ascii="標楷體" w:eastAsia="標楷體" w:hAnsi="標楷體" w:cs="新細明體"/>
          <w:szCs w:val="24"/>
        </w:rPr>
        <w:t>血液中漿</w:t>
      </w:r>
      <w:r w:rsidRPr="007576F0">
        <w:rPr>
          <w:rFonts w:ascii="標楷體" w:eastAsia="標楷體" w:hAnsi="標楷體"/>
          <w:szCs w:val="24"/>
        </w:rPr>
        <w:t>細胞</w:t>
      </w:r>
      <w:proofErr w:type="gramEnd"/>
      <w:r w:rsidRPr="007576F0">
        <w:rPr>
          <w:rFonts w:ascii="標楷體" w:eastAsia="標楷體" w:hAnsi="標楷體"/>
          <w:szCs w:val="24"/>
        </w:rPr>
        <w:t>比例</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20%</w:t>
      </w:r>
      <w:proofErr w:type="gramStart"/>
      <w:r w:rsidRPr="007576F0">
        <w:rPr>
          <w:rFonts w:ascii="標楷體" w:eastAsia="標楷體" w:hAnsi="標楷體"/>
          <w:szCs w:val="24"/>
        </w:rPr>
        <w:t>或漿細胞</w:t>
      </w:r>
      <w:proofErr w:type="gramEnd"/>
      <w:r w:rsidRPr="007576F0">
        <w:rPr>
          <w:rFonts w:ascii="標楷體" w:eastAsia="標楷體" w:hAnsi="標楷體"/>
          <w:szCs w:val="24"/>
        </w:rPr>
        <w:t>絕對值</w:t>
      </w:r>
      <w:proofErr w:type="gramStart"/>
      <w:r w:rsidRPr="007576F0">
        <w:rPr>
          <w:rFonts w:ascii="標楷體" w:eastAsia="標楷體" w:hAnsi="標楷體" w:cs="新細明體" w:hint="eastAsia"/>
          <w:szCs w:val="24"/>
        </w:rPr>
        <w:t>≧</w:t>
      </w:r>
      <w:proofErr w:type="gramEnd"/>
      <w:r w:rsidRPr="007576F0">
        <w:rPr>
          <w:rFonts w:ascii="標楷體" w:eastAsia="標楷體" w:hAnsi="標楷體"/>
          <w:szCs w:val="24"/>
        </w:rPr>
        <w:t>2000 cells/</w:t>
      </w:r>
      <w:proofErr w:type="spellStart"/>
      <w:r w:rsidRPr="007576F0">
        <w:rPr>
          <w:rFonts w:ascii="標楷體" w:eastAsia="標楷體" w:hAnsi="標楷體"/>
          <w:szCs w:val="24"/>
        </w:rPr>
        <w:t>μL</w:t>
      </w:r>
      <w:proofErr w:type="spellEnd"/>
      <w:r w:rsidRPr="007576F0">
        <w:rPr>
          <w:rFonts w:ascii="標楷體" w:eastAsia="標楷體" w:hAnsi="標楷體"/>
          <w:szCs w:val="24"/>
        </w:rPr>
        <w:t>。</w:t>
      </w:r>
    </w:p>
    <w:p w14:paraId="26E2871C" w14:textId="77777777" w:rsidR="007576F0" w:rsidRPr="007576F0" w:rsidRDefault="007576F0" w:rsidP="007576F0">
      <w:pPr>
        <w:tabs>
          <w:tab w:val="left" w:pos="739"/>
        </w:tabs>
        <w:spacing w:line="300" w:lineRule="exact"/>
        <w:ind w:leftChars="500" w:left="1560" w:hangingChars="150" w:hanging="360"/>
        <w:rPr>
          <w:rFonts w:ascii="標楷體" w:eastAsia="標楷體" w:hAnsi="標楷體"/>
          <w:szCs w:val="24"/>
        </w:rPr>
      </w:pPr>
      <w:r w:rsidRPr="007576F0">
        <w:rPr>
          <w:rFonts w:ascii="標楷體" w:eastAsia="標楷體" w:hAnsi="標楷體"/>
          <w:szCs w:val="24"/>
        </w:rPr>
        <w:t>Ⅲ.出現下列任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 xml:space="preserve">臨床症狀： </w:t>
      </w:r>
    </w:p>
    <w:p w14:paraId="5B660567"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新細明體" w:hAnsi="新細明體" w:cs="新細明體" w:hint="eastAsia"/>
          <w:szCs w:val="24"/>
        </w:rPr>
        <w:t>ⅰ</w:t>
      </w:r>
      <w:r w:rsidRPr="007576F0">
        <w:rPr>
          <w:rFonts w:ascii="標楷體" w:eastAsia="標楷體" w:hAnsi="標楷體"/>
          <w:szCs w:val="24"/>
        </w:rPr>
        <w:t>.新產生</w:t>
      </w:r>
      <w:r w:rsidRPr="007576F0">
        <w:rPr>
          <w:rFonts w:ascii="標楷體" w:eastAsia="標楷體" w:hAnsi="標楷體" w:cs="新細明體"/>
          <w:szCs w:val="24"/>
        </w:rPr>
        <w:t>的bone lesion(s)或plasmacytoma；且須經病理切片證實。</w:t>
      </w:r>
    </w:p>
    <w:p w14:paraId="73EA1E27"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新細明體" w:hAnsi="新細明體" w:cs="新細明體" w:hint="eastAsia"/>
          <w:szCs w:val="24"/>
        </w:rPr>
        <w:t>ⅱ</w:t>
      </w:r>
      <w:r w:rsidRPr="007576F0">
        <w:rPr>
          <w:rFonts w:ascii="標楷體" w:eastAsia="標楷體" w:hAnsi="標楷體" w:cs="新細明體"/>
          <w:szCs w:val="24"/>
        </w:rPr>
        <w:t>.Plasmacytoma 體積增加</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50%。</w:t>
      </w:r>
    </w:p>
    <w:p w14:paraId="7793A0EC"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標楷體" w:eastAsia="標楷體" w:hAnsi="標楷體" w:cs="新細明體"/>
          <w:szCs w:val="24"/>
        </w:rPr>
        <w:t>iii.高血鈣(corrected serum calcium＞11.0 mg/dL 或 2.75 mmol/L)。</w:t>
      </w:r>
    </w:p>
    <w:p w14:paraId="75916728"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標楷體" w:eastAsia="標楷體" w:hAnsi="標楷體" w:cs="新細明體"/>
          <w:szCs w:val="24"/>
        </w:rPr>
        <w:t>iv.貧血(Hemoglobin 下降幅度</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 xml:space="preserve"> 2gm/dL且無其他原因可以解釋)。</w:t>
      </w:r>
    </w:p>
    <w:p w14:paraId="662F593F"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cs="新細明體"/>
          <w:szCs w:val="24"/>
        </w:rPr>
      </w:pPr>
      <w:r w:rsidRPr="007576F0">
        <w:rPr>
          <w:rFonts w:ascii="標楷體" w:eastAsia="標楷體" w:hAnsi="標楷體" w:cs="新細明體"/>
          <w:szCs w:val="24"/>
        </w:rPr>
        <w:t>v.腎功能惡化(eGFR需下降幅度</w:t>
      </w:r>
      <w:proofErr w:type="gramStart"/>
      <w:r w:rsidRPr="007576F0">
        <w:rPr>
          <w:rFonts w:ascii="標楷體" w:eastAsia="標楷體" w:hAnsi="標楷體" w:cs="新細明體" w:hint="eastAsia"/>
          <w:szCs w:val="24"/>
        </w:rPr>
        <w:t>≧</w:t>
      </w:r>
      <w:proofErr w:type="gramEnd"/>
      <w:r w:rsidRPr="007576F0">
        <w:rPr>
          <w:rFonts w:ascii="標楷體" w:eastAsia="標楷體" w:hAnsi="標楷體" w:cs="新細明體"/>
          <w:szCs w:val="24"/>
        </w:rPr>
        <w:t>25%)，且無其他原因可以解釋。</w:t>
      </w:r>
    </w:p>
    <w:p w14:paraId="417FBF7F" w14:textId="77777777" w:rsidR="007576F0" w:rsidRPr="007576F0" w:rsidRDefault="007576F0" w:rsidP="007576F0">
      <w:pPr>
        <w:adjustRightInd w:val="0"/>
        <w:snapToGrid w:val="0"/>
        <w:spacing w:line="300" w:lineRule="exact"/>
        <w:ind w:leftChars="648" w:left="1841" w:hangingChars="119" w:hanging="286"/>
        <w:rPr>
          <w:rFonts w:ascii="標楷體" w:eastAsia="標楷體" w:hAnsi="標楷體"/>
          <w:szCs w:val="24"/>
        </w:rPr>
      </w:pPr>
      <w:r w:rsidRPr="007576F0">
        <w:rPr>
          <w:rFonts w:ascii="標楷體" w:eastAsia="標楷體" w:hAnsi="標楷體" w:cs="新細明體"/>
          <w:szCs w:val="24"/>
        </w:rPr>
        <w:t>vi.出現其他end-organ dysfu</w:t>
      </w:r>
      <w:r w:rsidRPr="007576F0">
        <w:rPr>
          <w:rFonts w:ascii="標楷體" w:eastAsia="標楷體" w:hAnsi="標楷體"/>
          <w:szCs w:val="24"/>
        </w:rPr>
        <w:t>nctions。</w:t>
      </w:r>
    </w:p>
    <w:p w14:paraId="5CE23D68" w14:textId="77777777" w:rsidR="007576F0" w:rsidRPr="007576F0" w:rsidRDefault="007576F0" w:rsidP="007576F0">
      <w:pPr>
        <w:spacing w:line="300" w:lineRule="exact"/>
        <w:ind w:left="1276" w:hanging="284"/>
        <w:rPr>
          <w:rFonts w:ascii="標楷體" w:eastAsia="標楷體" w:hAnsi="標楷體"/>
          <w:szCs w:val="24"/>
        </w:rPr>
      </w:pPr>
      <w:r w:rsidRPr="007576F0">
        <w:rPr>
          <w:rFonts w:ascii="標楷體" w:eastAsia="標楷體" w:hAnsi="標楷體"/>
          <w:szCs w:val="24"/>
        </w:rPr>
        <w:t>(2)之後申請則為每次</w:t>
      </w:r>
      <w:proofErr w:type="gramStart"/>
      <w:r w:rsidRPr="007576F0">
        <w:rPr>
          <w:rFonts w:ascii="標楷體" w:eastAsia="標楷體" w:hAnsi="標楷體"/>
          <w:szCs w:val="24"/>
        </w:rPr>
        <w:t>4次輸注</w:t>
      </w:r>
      <w:proofErr w:type="gramEnd"/>
      <w:r w:rsidRPr="007576F0">
        <w:rPr>
          <w:rFonts w:ascii="標楷體" w:eastAsia="標楷體" w:hAnsi="標楷體"/>
          <w:szCs w:val="24"/>
        </w:rPr>
        <w:t>，申請時必須確定paraprotein (M-protein)未上升(即表示對藥物有反應或為穩定狀態)，或對部分non-secretory type MM病人以骨髓檢查plasma cell為療效依據，方可繼續使用。</w:t>
      </w:r>
    </w:p>
    <w:p w14:paraId="6E5AA98D"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szCs w:val="24"/>
        </w:rPr>
        <w:t>3.每位病人終</w:t>
      </w:r>
      <w:r w:rsidRPr="007576F0">
        <w:rPr>
          <w:rFonts w:ascii="標楷體" w:eastAsia="標楷體" w:hAnsi="標楷體"/>
          <w:color w:val="000000"/>
          <w:szCs w:val="24"/>
        </w:rPr>
        <w:t>生限給付</w:t>
      </w:r>
      <w:proofErr w:type="gramStart"/>
      <w:r w:rsidRPr="007576F0">
        <w:rPr>
          <w:rFonts w:ascii="標楷體" w:eastAsia="標楷體" w:hAnsi="標楷體"/>
          <w:color w:val="000000"/>
          <w:szCs w:val="24"/>
        </w:rPr>
        <w:t>26次輸注</w:t>
      </w:r>
      <w:proofErr w:type="gramEnd"/>
      <w:r w:rsidRPr="007576F0">
        <w:rPr>
          <w:rFonts w:ascii="標楷體" w:eastAsia="標楷體" w:hAnsi="標楷體"/>
          <w:color w:val="000000"/>
          <w:szCs w:val="24"/>
        </w:rPr>
        <w:t>。</w:t>
      </w:r>
    </w:p>
    <w:p w14:paraId="27278035"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4.除carfilzomib外，本案藥品不得與其他蛋白酶體抑制劑(proteasome inhibitor)或免疫調節劑(immunomodulatory drugs)併用。</w:t>
      </w:r>
    </w:p>
    <w:p w14:paraId="316E4001" w14:textId="77777777" w:rsidR="007576F0" w:rsidRPr="007576F0" w:rsidRDefault="007576F0" w:rsidP="007576F0">
      <w:pPr>
        <w:spacing w:line="300" w:lineRule="exact"/>
        <w:ind w:left="993" w:hanging="284"/>
        <w:rPr>
          <w:rFonts w:ascii="Times New Roman" w:hAnsi="Times New Roman"/>
          <w:szCs w:val="24"/>
        </w:rPr>
      </w:pPr>
      <w:r w:rsidRPr="007576F0">
        <w:rPr>
          <w:rFonts w:ascii="標楷體" w:eastAsia="標楷體" w:hAnsi="標楷體"/>
          <w:color w:val="000000"/>
          <w:szCs w:val="24"/>
        </w:rPr>
        <w:t>5.Isatuximab與daratumumab二者僅能擇</w:t>
      </w:r>
      <w:proofErr w:type="gramStart"/>
      <w:r w:rsidRPr="007576F0">
        <w:rPr>
          <w:rFonts w:ascii="標楷體" w:eastAsia="標楷體" w:hAnsi="標楷體"/>
          <w:color w:val="000000"/>
          <w:szCs w:val="24"/>
        </w:rPr>
        <w:t>一</w:t>
      </w:r>
      <w:proofErr w:type="gramEnd"/>
      <w:r w:rsidRPr="007576F0">
        <w:rPr>
          <w:rFonts w:ascii="標楷體" w:eastAsia="標楷體" w:hAnsi="標楷體"/>
          <w:color w:val="000000"/>
          <w:szCs w:val="24"/>
        </w:rPr>
        <w:t>使用，除因藥物耐受不良</w:t>
      </w:r>
      <w:proofErr w:type="gramStart"/>
      <w:r w:rsidRPr="007576F0">
        <w:rPr>
          <w:rFonts w:ascii="標楷體" w:eastAsia="標楷體" w:hAnsi="標楷體"/>
          <w:color w:val="000000"/>
          <w:szCs w:val="24"/>
        </w:rPr>
        <w:t>以外，</w:t>
      </w:r>
      <w:proofErr w:type="gramEnd"/>
      <w:r w:rsidRPr="007576F0">
        <w:rPr>
          <w:rFonts w:ascii="標楷體" w:eastAsia="標楷體" w:hAnsi="標楷體"/>
          <w:color w:val="000000"/>
          <w:szCs w:val="24"/>
        </w:rPr>
        <w:t>不可以其他原因申請互換</w:t>
      </w:r>
      <w:r w:rsidRPr="007576F0">
        <w:rPr>
          <w:rFonts w:ascii="標楷體" w:eastAsia="標楷體" w:hAnsi="標楷體"/>
          <w:szCs w:val="24"/>
        </w:rPr>
        <w:t>使用。</w:t>
      </w:r>
    </w:p>
    <w:p w14:paraId="6D9A3C87"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color w:val="000000"/>
        </w:rPr>
        <w:lastRenderedPageBreak/>
        <w:t>9.109.</w:t>
      </w:r>
      <w:r w:rsidRPr="007576F0">
        <w:rPr>
          <w:rFonts w:ascii="標楷體" w:eastAsia="標楷體" w:hAnsi="標楷體"/>
          <w:szCs w:val="24"/>
        </w:rPr>
        <w:t>Enfortumab</w:t>
      </w:r>
      <w:r w:rsidRPr="007576F0">
        <w:rPr>
          <w:rFonts w:ascii="標楷體" w:eastAsia="標楷體" w:hAnsi="標楷體"/>
          <w:color w:val="000000"/>
        </w:rPr>
        <w:t xml:space="preserve"> </w:t>
      </w:r>
      <w:proofErr w:type="spellStart"/>
      <w:r w:rsidRPr="007576F0">
        <w:rPr>
          <w:rFonts w:ascii="標楷體" w:eastAsia="標楷體" w:hAnsi="標楷體"/>
          <w:color w:val="000000"/>
        </w:rPr>
        <w:t>vedotin</w:t>
      </w:r>
      <w:proofErr w:type="spellEnd"/>
      <w:r w:rsidRPr="007576F0">
        <w:rPr>
          <w:rFonts w:ascii="標楷體" w:eastAsia="標楷體" w:hAnsi="標楷體"/>
          <w:color w:val="000000"/>
        </w:rPr>
        <w:t>(如</w:t>
      </w:r>
      <w:bookmarkStart w:id="74" w:name="_Hlk141697711"/>
      <w:proofErr w:type="spellStart"/>
      <w:r w:rsidRPr="007576F0">
        <w:rPr>
          <w:rFonts w:ascii="標楷體" w:eastAsia="標楷體" w:hAnsi="標楷體"/>
          <w:color w:val="000000"/>
        </w:rPr>
        <w:t>Padcev</w:t>
      </w:r>
      <w:bookmarkEnd w:id="74"/>
      <w:proofErr w:type="spellEnd"/>
      <w:proofErr w:type="gramStart"/>
      <w:r w:rsidRPr="007576F0">
        <w:rPr>
          <w:rFonts w:ascii="標楷體" w:eastAsia="標楷體" w:hAnsi="標楷體"/>
          <w:color w:val="000000"/>
        </w:rPr>
        <w:t>）</w:t>
      </w:r>
      <w:proofErr w:type="gramEnd"/>
      <w:r w:rsidRPr="007576F0">
        <w:rPr>
          <w:rFonts w:ascii="標楷體" w:eastAsia="標楷體" w:hAnsi="標楷體"/>
          <w:color w:val="000000"/>
        </w:rPr>
        <w:t>：(113/5/1)</w:t>
      </w:r>
    </w:p>
    <w:p w14:paraId="511102E6"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1.適用於先前接受</w:t>
      </w:r>
      <w:proofErr w:type="gramStart"/>
      <w:r w:rsidRPr="007576F0">
        <w:rPr>
          <w:rFonts w:ascii="標楷體" w:eastAsia="標楷體" w:hAnsi="標楷體"/>
          <w:color w:val="000000"/>
          <w:szCs w:val="24"/>
        </w:rPr>
        <w:t>過含鉑</w:t>
      </w:r>
      <w:proofErr w:type="gramEnd"/>
      <w:r w:rsidRPr="007576F0">
        <w:rPr>
          <w:rFonts w:ascii="標楷體" w:eastAsia="標楷體" w:hAnsi="標楷體"/>
          <w:color w:val="000000"/>
          <w:szCs w:val="24"/>
        </w:rPr>
        <w:t>化學治療，後續接受免疫檢查點抑制劑(如atezolizumab；nivolumab；pembrolizumab；avelumab；ipilimumab製劑)治療失敗後疾病惡化的局部晚期或轉移性泌尿</w:t>
      </w:r>
      <w:proofErr w:type="gramStart"/>
      <w:r w:rsidRPr="007576F0">
        <w:rPr>
          <w:rFonts w:ascii="標楷體" w:eastAsia="標楷體" w:hAnsi="標楷體"/>
          <w:color w:val="000000"/>
          <w:szCs w:val="24"/>
        </w:rPr>
        <w:t>道上皮癌成人</w:t>
      </w:r>
      <w:proofErr w:type="gramEnd"/>
      <w:r w:rsidRPr="007576F0">
        <w:rPr>
          <w:rFonts w:ascii="標楷體" w:eastAsia="標楷體" w:hAnsi="標楷體"/>
          <w:color w:val="000000"/>
          <w:szCs w:val="24"/>
        </w:rPr>
        <w:t>病人，須檢附接受</w:t>
      </w:r>
      <w:proofErr w:type="gramStart"/>
      <w:r w:rsidRPr="007576F0">
        <w:rPr>
          <w:rFonts w:ascii="標楷體" w:eastAsia="標楷體" w:hAnsi="標楷體"/>
          <w:color w:val="000000"/>
          <w:szCs w:val="24"/>
        </w:rPr>
        <w:t>過含鉑</w:t>
      </w:r>
      <w:proofErr w:type="gramEnd"/>
      <w:r w:rsidRPr="007576F0">
        <w:rPr>
          <w:rFonts w:ascii="標楷體" w:eastAsia="標楷體" w:hAnsi="標楷體"/>
          <w:color w:val="000000"/>
          <w:szCs w:val="24"/>
        </w:rPr>
        <w:t>化學治療之病歷報告。</w:t>
      </w:r>
    </w:p>
    <w:p w14:paraId="14A91523"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2.使用條件：</w:t>
      </w:r>
    </w:p>
    <w:p w14:paraId="359CA28D"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(1)病人身體狀況良好（ECOG</w:t>
      </w:r>
      <w:proofErr w:type="gramStart"/>
      <w:r w:rsidRPr="007576F0">
        <w:rPr>
          <w:rFonts w:ascii="標楷體" w:eastAsia="標楷體" w:hAnsi="標楷體"/>
          <w:color w:val="000000"/>
        </w:rPr>
        <w:t>≦</w:t>
      </w:r>
      <w:proofErr w:type="gramEnd"/>
      <w:r w:rsidRPr="007576F0">
        <w:rPr>
          <w:rFonts w:ascii="標楷體" w:eastAsia="標楷體" w:hAnsi="標楷體"/>
          <w:color w:val="000000"/>
        </w:rPr>
        <w:t>2）且預期壽命至少3個月以上。</w:t>
      </w:r>
    </w:p>
    <w:p w14:paraId="5514D5F6"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(2)病人之心</w:t>
      </w:r>
      <w:proofErr w:type="gramStart"/>
      <w:r w:rsidRPr="007576F0">
        <w:rPr>
          <w:rFonts w:ascii="標楷體" w:eastAsia="標楷體" w:hAnsi="標楷體"/>
          <w:color w:val="000000"/>
        </w:rPr>
        <w:t>肺與肝腎</w:t>
      </w:r>
      <w:proofErr w:type="gramEnd"/>
      <w:r w:rsidRPr="007576F0">
        <w:rPr>
          <w:rFonts w:ascii="標楷體" w:eastAsia="標楷體" w:hAnsi="標楷體"/>
          <w:color w:val="000000"/>
        </w:rPr>
        <w:t>功能須符合下列所有條件：</w:t>
      </w:r>
    </w:p>
    <w:p w14:paraId="1B6116EF" w14:textId="77777777" w:rsidR="007576F0" w:rsidRPr="007576F0" w:rsidRDefault="007576F0" w:rsidP="007576F0">
      <w:pPr>
        <w:tabs>
          <w:tab w:val="left" w:pos="1418"/>
        </w:tabs>
        <w:spacing w:line="300" w:lineRule="exact"/>
        <w:ind w:left="1291" w:hanging="245"/>
        <w:jc w:val="both"/>
        <w:rPr>
          <w:rFonts w:ascii="標楷體" w:eastAsia="標楷體" w:hAnsi="標楷體"/>
          <w:color w:val="000000"/>
        </w:rPr>
      </w:pPr>
      <w:r w:rsidRPr="007576F0">
        <w:rPr>
          <w:rFonts w:ascii="標楷體" w:eastAsia="標楷體" w:hAnsi="標楷體"/>
          <w:color w:val="000000"/>
        </w:rPr>
        <w:t>I.NYHA(the New York Heart Association) Functional Class I或II。</w:t>
      </w:r>
    </w:p>
    <w:p w14:paraId="76B99D1F" w14:textId="77777777" w:rsidR="007576F0" w:rsidRPr="007576F0" w:rsidRDefault="007576F0" w:rsidP="007576F0">
      <w:pPr>
        <w:tabs>
          <w:tab w:val="left" w:pos="1418"/>
        </w:tabs>
        <w:spacing w:line="300" w:lineRule="exact"/>
        <w:ind w:left="1291" w:hanging="245"/>
        <w:jc w:val="both"/>
        <w:rPr>
          <w:rFonts w:ascii="標楷體" w:eastAsia="標楷體" w:hAnsi="標楷體"/>
          <w:color w:val="000000"/>
        </w:rPr>
      </w:pPr>
      <w:r w:rsidRPr="007576F0">
        <w:rPr>
          <w:rFonts w:ascii="標楷體" w:eastAsia="標楷體" w:hAnsi="標楷體"/>
          <w:color w:val="000000"/>
        </w:rPr>
        <w:t xml:space="preserve">II.GOT&lt;60U/L及GPT&lt;60U/L，且T-bilirubin&lt;1.5mg/dL。 </w:t>
      </w:r>
    </w:p>
    <w:p w14:paraId="49CDA758" w14:textId="77777777" w:rsidR="007576F0" w:rsidRPr="007576F0" w:rsidRDefault="007576F0" w:rsidP="007576F0">
      <w:pPr>
        <w:tabs>
          <w:tab w:val="left" w:pos="1418"/>
        </w:tabs>
        <w:spacing w:line="300" w:lineRule="exact"/>
        <w:ind w:left="1291" w:hanging="245"/>
        <w:jc w:val="both"/>
      </w:pPr>
      <w:r w:rsidRPr="007576F0">
        <w:rPr>
          <w:rFonts w:ascii="標楷體" w:eastAsia="標楷體" w:hAnsi="標楷體"/>
          <w:color w:val="000000"/>
        </w:rPr>
        <w:t>III.腎功能: eGFR&gt;30mL/min /1.73m</w:t>
      </w:r>
      <w:r w:rsidRPr="007576F0">
        <w:rPr>
          <w:rFonts w:ascii="標楷體" w:eastAsia="標楷體" w:hAnsi="標楷體"/>
          <w:color w:val="000000"/>
          <w:vertAlign w:val="superscript"/>
        </w:rPr>
        <w:t>2</w:t>
      </w:r>
      <w:r w:rsidRPr="007576F0">
        <w:rPr>
          <w:rFonts w:ascii="標楷體" w:eastAsia="標楷體" w:hAnsi="標楷體"/>
          <w:color w:val="000000"/>
        </w:rPr>
        <w:t>。</w:t>
      </w:r>
    </w:p>
    <w:p w14:paraId="7199C930"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(3)無中樞神經系統(CNS)轉移。</w:t>
      </w:r>
    </w:p>
    <w:p w14:paraId="33C817B2"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(4)需排除病情控制不佳的糖尿病患者（HbA1c</w:t>
      </w:r>
      <w:proofErr w:type="gramStart"/>
      <w:r w:rsidRPr="007576F0">
        <w:rPr>
          <w:rFonts w:ascii="標楷體" w:eastAsia="標楷體" w:hAnsi="標楷體"/>
          <w:color w:val="000000"/>
        </w:rPr>
        <w:t>≧</w:t>
      </w:r>
      <w:proofErr w:type="gramEnd"/>
      <w:r w:rsidRPr="007576F0">
        <w:rPr>
          <w:rFonts w:ascii="標楷體" w:eastAsia="標楷體" w:hAnsi="標楷體"/>
          <w:color w:val="000000"/>
        </w:rPr>
        <w:t>8%）。</w:t>
      </w:r>
    </w:p>
    <w:p w14:paraId="1E41D8D0"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3.須經事前審查核准後使用。初次申請時需檢附以下資料：</w:t>
      </w:r>
    </w:p>
    <w:p w14:paraId="5F277289"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(1)病人身體狀況良好(ECOG</w:t>
      </w:r>
      <w:proofErr w:type="gramStart"/>
      <w:r w:rsidRPr="007576F0">
        <w:rPr>
          <w:rFonts w:ascii="標楷體" w:eastAsia="標楷體" w:hAnsi="標楷體"/>
          <w:color w:val="000000"/>
        </w:rPr>
        <w:t>≦</w:t>
      </w:r>
      <w:proofErr w:type="gramEnd"/>
      <w:r w:rsidRPr="007576F0">
        <w:rPr>
          <w:rFonts w:ascii="標楷體" w:eastAsia="標楷體" w:hAnsi="標楷體"/>
          <w:color w:val="000000"/>
        </w:rPr>
        <w:t>2)及心</w:t>
      </w:r>
      <w:proofErr w:type="gramStart"/>
      <w:r w:rsidRPr="007576F0">
        <w:rPr>
          <w:rFonts w:ascii="標楷體" w:eastAsia="標楷體" w:hAnsi="標楷體"/>
          <w:color w:val="000000"/>
        </w:rPr>
        <w:t>肺與肝腎</w:t>
      </w:r>
      <w:proofErr w:type="gramEnd"/>
      <w:r w:rsidRPr="007576F0">
        <w:rPr>
          <w:rFonts w:ascii="標楷體" w:eastAsia="標楷體" w:hAnsi="標楷體"/>
          <w:color w:val="000000"/>
        </w:rPr>
        <w:t>功能之評估資料。</w:t>
      </w:r>
    </w:p>
    <w:p w14:paraId="0761DCD9"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(2)病人12</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內之疾病影像檢查及報告(如胸部X光、電腦斷層或其他可作為評估的影像)，此影像證明以可測量(measurable)的病灶為優先，如沒有可以測量的病灶，則可評估(evaluable)的病灶亦可採用。</w:t>
      </w:r>
    </w:p>
    <w:p w14:paraId="50621399"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(3)其他佐證病歷資料。</w:t>
      </w:r>
    </w:p>
    <w:p w14:paraId="5D96B936"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4.每次申請事前審查以3個療程為限，再次申請時需檢附療效評估資料，若病情惡化即不得再次申請，無效後或給付時程期滿後則不再給付該適應症相關之標靶藥物及免疫檢查點抑制劑。</w:t>
      </w:r>
    </w:p>
    <w:p w14:paraId="7A4C2448"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5.每位病人限給付6個療程。</w:t>
      </w:r>
    </w:p>
    <w:p w14:paraId="5618CBED"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color w:val="000000"/>
        </w:rPr>
        <w:t>9.110.Tirabrutinib (如</w:t>
      </w:r>
      <w:proofErr w:type="spellStart"/>
      <w:r w:rsidRPr="007576F0">
        <w:rPr>
          <w:rFonts w:ascii="標楷體" w:eastAsia="標楷體" w:hAnsi="標楷體"/>
          <w:color w:val="000000"/>
        </w:rPr>
        <w:t>Velexbru</w:t>
      </w:r>
      <w:proofErr w:type="spellEnd"/>
      <w:proofErr w:type="gramStart"/>
      <w:r w:rsidRPr="007576F0">
        <w:rPr>
          <w:rFonts w:ascii="標楷體" w:eastAsia="標楷體" w:hAnsi="標楷體"/>
          <w:color w:val="000000"/>
        </w:rPr>
        <w:t>）</w:t>
      </w:r>
      <w:proofErr w:type="gramEnd"/>
      <w:r w:rsidRPr="007576F0">
        <w:rPr>
          <w:rFonts w:ascii="標楷體" w:eastAsia="標楷體" w:hAnsi="標楷體"/>
          <w:color w:val="000000"/>
        </w:rPr>
        <w:t>：(113/6/1)</w:t>
      </w:r>
    </w:p>
    <w:p w14:paraId="105420FC"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1.適用於治療成人復發</w:t>
      </w:r>
      <w:proofErr w:type="gramStart"/>
      <w:r w:rsidRPr="007576F0">
        <w:rPr>
          <w:rFonts w:ascii="標楷體" w:eastAsia="標楷體" w:hAnsi="標楷體"/>
          <w:color w:val="000000"/>
          <w:szCs w:val="24"/>
        </w:rPr>
        <w:t>或難治型</w:t>
      </w:r>
      <w:proofErr w:type="gramEnd"/>
      <w:r w:rsidRPr="007576F0">
        <w:rPr>
          <w:rFonts w:ascii="標楷體" w:eastAsia="標楷體" w:hAnsi="標楷體"/>
          <w:color w:val="000000"/>
          <w:szCs w:val="24"/>
        </w:rPr>
        <w:t>原發性中樞神經系統B細胞淋巴瘤，且符合下列各項條件：</w:t>
      </w:r>
    </w:p>
    <w:p w14:paraId="06822DE1"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(1)復發頑固型，曾接受過至少兩個療程HD-MTX治療。</w:t>
      </w:r>
    </w:p>
    <w:p w14:paraId="4B26CB68"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(2)細胞型態須為Large B cell。</w:t>
      </w:r>
    </w:p>
    <w:p w14:paraId="2A56373D"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color w:val="000000"/>
        </w:rPr>
        <w:t xml:space="preserve">(3)須排除HIV(+)及Burkitt lymphoma患者。 </w:t>
      </w:r>
    </w:p>
    <w:p w14:paraId="4891EC90"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2.須經事前審查核准後使用。首次申請事前審查之療程以3個月為限，之後每3個月需再次申請，再次申請時應檢附前次治療結果評估資料，如影像學檢查報告。</w:t>
      </w:r>
    </w:p>
    <w:p w14:paraId="212D1C24"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3.每日至多處方6粒。</w:t>
      </w:r>
    </w:p>
    <w:p w14:paraId="5A9D6406"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4.限給付9個月。</w:t>
      </w:r>
    </w:p>
    <w:p w14:paraId="631316F0"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color w:val="000000"/>
          <w:szCs w:val="24"/>
        </w:rPr>
        <w:t>5.限單獨使用，不得同時使用單株抗體及化療。</w:t>
      </w:r>
    </w:p>
    <w:p w14:paraId="6E63F071"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szCs w:val="24"/>
        </w:rPr>
        <w:t>9.111.Elotuzumab (如</w:t>
      </w:r>
      <w:proofErr w:type="spellStart"/>
      <w:r w:rsidRPr="007576F0">
        <w:rPr>
          <w:rFonts w:ascii="標楷體" w:eastAsia="標楷體" w:hAnsi="標楷體"/>
          <w:szCs w:val="24"/>
        </w:rPr>
        <w:t>Empliciti</w:t>
      </w:r>
      <w:proofErr w:type="spellEnd"/>
      <w:r w:rsidRPr="007576F0">
        <w:rPr>
          <w:rFonts w:ascii="標楷體" w:eastAsia="標楷體" w:hAnsi="標楷體"/>
          <w:szCs w:val="24"/>
        </w:rPr>
        <w:t>)：(113/9/1)</w:t>
      </w:r>
    </w:p>
    <w:p w14:paraId="0B0C178A"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1.與pomalidomide及dexamethasone</w:t>
      </w:r>
      <w:proofErr w:type="gramStart"/>
      <w:r w:rsidRPr="007576F0">
        <w:rPr>
          <w:rFonts w:ascii="標楷體" w:eastAsia="標楷體" w:hAnsi="標楷體"/>
          <w:szCs w:val="24"/>
        </w:rPr>
        <w:t>併</w:t>
      </w:r>
      <w:proofErr w:type="gramEnd"/>
      <w:r w:rsidRPr="007576F0">
        <w:rPr>
          <w:rFonts w:ascii="標楷體" w:eastAsia="標楷體" w:hAnsi="標楷體"/>
          <w:szCs w:val="24"/>
        </w:rPr>
        <w:t>用，治療之前曾接受過至少兩種療法</w:t>
      </w:r>
      <w:proofErr w:type="gramStart"/>
      <w:r w:rsidRPr="007576F0">
        <w:rPr>
          <w:rFonts w:ascii="標楷體" w:eastAsia="標楷體" w:hAnsi="標楷體"/>
          <w:szCs w:val="24"/>
        </w:rPr>
        <w:t>（</w:t>
      </w:r>
      <w:proofErr w:type="gramEnd"/>
      <w:r w:rsidRPr="007576F0">
        <w:rPr>
          <w:rFonts w:ascii="標楷體" w:eastAsia="標楷體" w:hAnsi="標楷體"/>
          <w:szCs w:val="24"/>
        </w:rPr>
        <w:t>包括lenalidomide和蛋白酶體抑制劑）的多發性骨髓瘤成年病人，且完全符合下列條件：</w:t>
      </w:r>
    </w:p>
    <w:p w14:paraId="69EFBF9A" w14:textId="77777777" w:rsidR="007576F0" w:rsidRPr="007576F0" w:rsidRDefault="007576F0" w:rsidP="007576F0">
      <w:pPr>
        <w:tabs>
          <w:tab w:val="left" w:pos="1418"/>
        </w:tabs>
        <w:spacing w:line="300" w:lineRule="exact"/>
        <w:ind w:left="1051" w:hanging="245"/>
        <w:jc w:val="both"/>
        <w:rPr>
          <w:rFonts w:ascii="標楷體" w:eastAsia="標楷體" w:hAnsi="標楷體"/>
          <w:color w:val="000000"/>
        </w:rPr>
      </w:pPr>
      <w:r w:rsidRPr="007576F0">
        <w:rPr>
          <w:rFonts w:ascii="標楷體" w:eastAsia="標楷體" w:hAnsi="標楷體"/>
          <w:szCs w:val="24"/>
        </w:rPr>
        <w:t>(1)確認</w:t>
      </w:r>
      <w:r w:rsidRPr="007576F0">
        <w:rPr>
          <w:rFonts w:ascii="標楷體" w:eastAsia="標楷體" w:hAnsi="標楷體"/>
          <w:color w:val="000000"/>
        </w:rPr>
        <w:t>完成前次治療時或結束治療後六十天內發生疾病惡化(disease progression)。</w:t>
      </w:r>
    </w:p>
    <w:p w14:paraId="2D96792C" w14:textId="77777777" w:rsidR="007576F0" w:rsidRPr="007576F0" w:rsidRDefault="007576F0" w:rsidP="007576F0">
      <w:pPr>
        <w:tabs>
          <w:tab w:val="left" w:pos="1418"/>
        </w:tabs>
        <w:spacing w:line="300" w:lineRule="exact"/>
        <w:ind w:left="1051" w:hanging="245"/>
        <w:jc w:val="both"/>
        <w:rPr>
          <w:rFonts w:ascii="標楷體" w:eastAsia="標楷體" w:hAnsi="標楷體"/>
          <w:szCs w:val="24"/>
        </w:rPr>
      </w:pPr>
      <w:r w:rsidRPr="007576F0">
        <w:rPr>
          <w:rFonts w:ascii="標楷體" w:eastAsia="標楷體" w:hAnsi="標楷體"/>
          <w:color w:val="000000"/>
        </w:rPr>
        <w:t>(2)須具有</w:t>
      </w:r>
      <w:r w:rsidRPr="007576F0">
        <w:rPr>
          <w:rFonts w:ascii="標楷體" w:eastAsia="標楷體" w:hAnsi="標楷體"/>
          <w:szCs w:val="24"/>
        </w:rPr>
        <w:t>良好日常體能狀態(ECOG &lt; 2)。</w:t>
      </w:r>
    </w:p>
    <w:p w14:paraId="00B35AFD"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2.需經事前審查核准後使用：</w:t>
      </w:r>
    </w:p>
    <w:p w14:paraId="7BB652C1" w14:textId="77777777" w:rsidR="007576F0" w:rsidRPr="007576F0" w:rsidRDefault="007576F0" w:rsidP="007576F0">
      <w:pPr>
        <w:tabs>
          <w:tab w:val="left" w:pos="1418"/>
        </w:tabs>
        <w:spacing w:line="300" w:lineRule="exact"/>
        <w:ind w:left="1051" w:hanging="245"/>
        <w:jc w:val="both"/>
        <w:rPr>
          <w:rFonts w:ascii="標楷體" w:eastAsia="標楷體" w:hAnsi="標楷體"/>
          <w:szCs w:val="24"/>
        </w:rPr>
      </w:pPr>
      <w:r w:rsidRPr="007576F0">
        <w:rPr>
          <w:rFonts w:ascii="標楷體" w:eastAsia="標楷體" w:hAnsi="標楷體"/>
          <w:szCs w:val="24"/>
        </w:rPr>
        <w:t>(1)初次申請以3個療程為限，且需同時符合下列Ⅰ.與Ⅱ.的條件：</w:t>
      </w:r>
    </w:p>
    <w:p w14:paraId="1C91B4D2" w14:textId="77777777" w:rsidR="007576F0" w:rsidRPr="007576F0" w:rsidRDefault="007576F0" w:rsidP="007576F0">
      <w:pPr>
        <w:tabs>
          <w:tab w:val="left" w:pos="1418"/>
        </w:tabs>
        <w:spacing w:line="300" w:lineRule="exact"/>
        <w:ind w:left="1291" w:hanging="245"/>
        <w:jc w:val="both"/>
        <w:rPr>
          <w:rFonts w:ascii="標楷體" w:eastAsia="標楷體" w:hAnsi="標楷體"/>
          <w:szCs w:val="24"/>
        </w:rPr>
      </w:pPr>
      <w:r w:rsidRPr="007576F0">
        <w:rPr>
          <w:rFonts w:ascii="標楷體" w:eastAsia="標楷體" w:hAnsi="標楷體"/>
          <w:szCs w:val="24"/>
        </w:rPr>
        <w:t>Ⅰ.具有下列任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疾病惡化的指標： 病人開始治療前須在連續2次評估中均符合同一指標 (但若為</w:t>
      </w:r>
      <w:proofErr w:type="spellStart"/>
      <w:r w:rsidRPr="007576F0">
        <w:rPr>
          <w:rFonts w:ascii="標楷體" w:eastAsia="標楷體" w:hAnsi="標楷體"/>
          <w:szCs w:val="24"/>
        </w:rPr>
        <w:t>plamacytoma</w:t>
      </w:r>
      <w:proofErr w:type="spellEnd"/>
      <w:r w:rsidRPr="007576F0">
        <w:rPr>
          <w:rFonts w:ascii="標楷體" w:eastAsia="標楷體" w:hAnsi="標楷體"/>
          <w:szCs w:val="24"/>
        </w:rPr>
        <w:t xml:space="preserve"> 體積增加，或是新產生的bone lesion(s)或新plasmacytoma，則僅需1次評估)： </w:t>
      </w:r>
    </w:p>
    <w:p w14:paraId="1CD2A14D" w14:textId="77777777" w:rsidR="007576F0" w:rsidRPr="007576F0" w:rsidRDefault="007576F0" w:rsidP="007576F0">
      <w:pPr>
        <w:spacing w:line="300" w:lineRule="exact"/>
        <w:ind w:left="1800" w:hanging="360"/>
      </w:pPr>
      <w:r w:rsidRPr="007576F0">
        <w:rPr>
          <w:rFonts w:ascii="新細明體" w:hAnsi="新細明體" w:cs="新細明體"/>
          <w:szCs w:val="24"/>
        </w:rPr>
        <w:t>ⅰ</w:t>
      </w:r>
      <w:r w:rsidRPr="007576F0">
        <w:rPr>
          <w:rFonts w:ascii="標楷體" w:eastAsia="標楷體" w:hAnsi="標楷體"/>
          <w:szCs w:val="24"/>
        </w:rPr>
        <w:t>.若前一線治療中M component 最低值</w:t>
      </w:r>
      <w:proofErr w:type="gramStart"/>
      <w:r w:rsidRPr="007576F0">
        <w:rPr>
          <w:rFonts w:ascii="標楷體" w:eastAsia="標楷體" w:hAnsi="標楷體" w:cs="新細明體"/>
          <w:szCs w:val="24"/>
        </w:rPr>
        <w:t>≧</w:t>
      </w:r>
      <w:proofErr w:type="gramEnd"/>
      <w:r w:rsidRPr="007576F0">
        <w:rPr>
          <w:rFonts w:ascii="標楷體" w:eastAsia="標楷體" w:hAnsi="標楷體"/>
          <w:szCs w:val="24"/>
        </w:rPr>
        <w:t>5 g/dL，血清M蛋白需增加</w:t>
      </w:r>
      <w:proofErr w:type="gramStart"/>
      <w:r w:rsidRPr="007576F0">
        <w:rPr>
          <w:rFonts w:ascii="標楷體" w:eastAsia="標楷體" w:hAnsi="標楷體" w:cs="新細明體"/>
          <w:szCs w:val="24"/>
        </w:rPr>
        <w:t>≧</w:t>
      </w:r>
      <w:proofErr w:type="gramEnd"/>
      <w:r w:rsidRPr="007576F0">
        <w:rPr>
          <w:rFonts w:ascii="標楷體" w:eastAsia="標楷體" w:hAnsi="標楷體"/>
          <w:szCs w:val="24"/>
        </w:rPr>
        <w:t>1 g/dL；若前一線治療中M component最低值＜5 g/dL，血清M蛋白需增加</w:t>
      </w:r>
      <w:proofErr w:type="gramStart"/>
      <w:r w:rsidRPr="007576F0">
        <w:rPr>
          <w:rFonts w:ascii="標楷體" w:eastAsia="標楷體" w:hAnsi="標楷體" w:cs="新細明體"/>
          <w:szCs w:val="24"/>
        </w:rPr>
        <w:lastRenderedPageBreak/>
        <w:t>≧</w:t>
      </w:r>
      <w:proofErr w:type="gramEnd"/>
      <w:r w:rsidRPr="007576F0">
        <w:rPr>
          <w:rFonts w:ascii="標楷體" w:eastAsia="標楷體" w:hAnsi="標楷體"/>
          <w:szCs w:val="24"/>
        </w:rPr>
        <w:t>0.5g/dL。</w:t>
      </w:r>
    </w:p>
    <w:p w14:paraId="5782C59D" w14:textId="77777777" w:rsidR="007576F0" w:rsidRPr="007576F0" w:rsidRDefault="007576F0" w:rsidP="007576F0">
      <w:pPr>
        <w:spacing w:line="300" w:lineRule="exact"/>
        <w:ind w:left="1800" w:hanging="360"/>
      </w:pPr>
      <w:proofErr w:type="spellStart"/>
      <w:r w:rsidRPr="007576F0">
        <w:rPr>
          <w:rFonts w:ascii="新細明體" w:hAnsi="新細明體" w:cs="新細明體"/>
          <w:szCs w:val="24"/>
        </w:rPr>
        <w:t>ⅱ</w:t>
      </w:r>
      <w:r w:rsidRPr="007576F0">
        <w:rPr>
          <w:rFonts w:ascii="標楷體" w:eastAsia="標楷體" w:hAnsi="標楷體"/>
          <w:szCs w:val="24"/>
        </w:rPr>
        <w:t>.Urine</w:t>
      </w:r>
      <w:proofErr w:type="spellEnd"/>
      <w:r w:rsidRPr="007576F0">
        <w:rPr>
          <w:rFonts w:ascii="標楷體" w:eastAsia="標楷體" w:hAnsi="標楷體"/>
          <w:szCs w:val="24"/>
        </w:rPr>
        <w:t xml:space="preserve"> M-protein需增加</w:t>
      </w:r>
      <w:proofErr w:type="gramStart"/>
      <w:r w:rsidRPr="007576F0">
        <w:rPr>
          <w:rFonts w:ascii="標楷體" w:eastAsia="標楷體" w:hAnsi="標楷體"/>
          <w:szCs w:val="24"/>
        </w:rPr>
        <w:t>≧</w:t>
      </w:r>
      <w:proofErr w:type="gramEnd"/>
      <w:r w:rsidRPr="007576F0">
        <w:rPr>
          <w:rFonts w:ascii="標楷體" w:eastAsia="標楷體" w:hAnsi="標楷體"/>
          <w:szCs w:val="24"/>
        </w:rPr>
        <w:t>0.2 gm/24Hr，且需較前一線治療中的最低值增加</w:t>
      </w:r>
      <w:proofErr w:type="gramStart"/>
      <w:r w:rsidRPr="007576F0">
        <w:rPr>
          <w:rFonts w:ascii="標楷體" w:eastAsia="標楷體" w:hAnsi="標楷體"/>
          <w:szCs w:val="24"/>
        </w:rPr>
        <w:t>≧</w:t>
      </w:r>
      <w:proofErr w:type="gramEnd"/>
      <w:r w:rsidRPr="007576F0">
        <w:rPr>
          <w:rFonts w:ascii="標楷體" w:eastAsia="標楷體" w:hAnsi="標楷體"/>
          <w:szCs w:val="24"/>
        </w:rPr>
        <w:t>25%。</w:t>
      </w:r>
    </w:p>
    <w:p w14:paraId="4EE3EC2E" w14:textId="77777777" w:rsidR="007576F0" w:rsidRPr="007576F0" w:rsidRDefault="007576F0" w:rsidP="007576F0">
      <w:pPr>
        <w:spacing w:line="300" w:lineRule="exact"/>
        <w:ind w:left="1800" w:hanging="360"/>
        <w:rPr>
          <w:rFonts w:ascii="標楷體" w:eastAsia="標楷體" w:hAnsi="標楷體"/>
          <w:szCs w:val="24"/>
        </w:rPr>
      </w:pPr>
      <w:r w:rsidRPr="007576F0">
        <w:rPr>
          <w:rFonts w:ascii="標楷體" w:eastAsia="標楷體" w:hAnsi="標楷體"/>
          <w:szCs w:val="24"/>
        </w:rPr>
        <w:t>iii.在non-secretary myeloma 病人，骨髓</w:t>
      </w:r>
      <w:proofErr w:type="gramStart"/>
      <w:r w:rsidRPr="007576F0">
        <w:rPr>
          <w:rFonts w:ascii="標楷體" w:eastAsia="標楷體" w:hAnsi="標楷體"/>
          <w:szCs w:val="24"/>
        </w:rPr>
        <w:t>漿</w:t>
      </w:r>
      <w:proofErr w:type="gramEnd"/>
      <w:r w:rsidRPr="007576F0">
        <w:rPr>
          <w:rFonts w:ascii="標楷體" w:eastAsia="標楷體" w:hAnsi="標楷體"/>
          <w:szCs w:val="24"/>
        </w:rPr>
        <w:t>細胞 (plasma cells)之比例絕對值增加</w:t>
      </w:r>
      <w:proofErr w:type="gramStart"/>
      <w:r w:rsidRPr="007576F0">
        <w:rPr>
          <w:rFonts w:ascii="標楷體" w:eastAsia="標楷體" w:hAnsi="標楷體"/>
          <w:szCs w:val="24"/>
        </w:rPr>
        <w:t>≧</w:t>
      </w:r>
      <w:proofErr w:type="gramEnd"/>
      <w:r w:rsidRPr="007576F0">
        <w:rPr>
          <w:rFonts w:ascii="標楷體" w:eastAsia="標楷體" w:hAnsi="標楷體"/>
          <w:szCs w:val="24"/>
        </w:rPr>
        <w:t>10%，且需較前一線治療中的最低值增加</w:t>
      </w:r>
      <w:proofErr w:type="gramStart"/>
      <w:r w:rsidRPr="007576F0">
        <w:rPr>
          <w:rFonts w:ascii="標楷體" w:eastAsia="標楷體" w:hAnsi="標楷體"/>
          <w:szCs w:val="24"/>
        </w:rPr>
        <w:t>≧</w:t>
      </w:r>
      <w:proofErr w:type="gramEnd"/>
      <w:r w:rsidRPr="007576F0">
        <w:rPr>
          <w:rFonts w:ascii="標楷體" w:eastAsia="標楷體" w:hAnsi="標楷體"/>
          <w:szCs w:val="24"/>
        </w:rPr>
        <w:t>25%。</w:t>
      </w:r>
    </w:p>
    <w:p w14:paraId="18E879E1" w14:textId="77777777" w:rsidR="007576F0" w:rsidRPr="007576F0" w:rsidRDefault="007576F0" w:rsidP="007576F0">
      <w:pPr>
        <w:spacing w:line="300" w:lineRule="exact"/>
        <w:ind w:left="1800" w:hanging="360"/>
        <w:rPr>
          <w:rFonts w:ascii="標楷體" w:eastAsia="標楷體" w:hAnsi="標楷體"/>
          <w:szCs w:val="24"/>
        </w:rPr>
      </w:pPr>
      <w:r w:rsidRPr="007576F0">
        <w:rPr>
          <w:rFonts w:ascii="標楷體" w:eastAsia="標楷體" w:hAnsi="標楷體"/>
          <w:szCs w:val="24"/>
        </w:rPr>
        <w:t>iv.新產生的bone lesion(s)或plasmacytoma；且須經病理切片證實。</w:t>
      </w:r>
    </w:p>
    <w:p w14:paraId="2998660F" w14:textId="77777777" w:rsidR="007576F0" w:rsidRPr="007576F0" w:rsidRDefault="007576F0" w:rsidP="007576F0">
      <w:pPr>
        <w:spacing w:line="300" w:lineRule="exact"/>
        <w:ind w:left="1800" w:hanging="360"/>
        <w:rPr>
          <w:rFonts w:ascii="標楷體" w:eastAsia="標楷體" w:hAnsi="標楷體"/>
          <w:szCs w:val="24"/>
        </w:rPr>
      </w:pPr>
      <w:proofErr w:type="spellStart"/>
      <w:r w:rsidRPr="007576F0">
        <w:rPr>
          <w:rFonts w:ascii="標楷體" w:eastAsia="標楷體" w:hAnsi="標楷體"/>
          <w:szCs w:val="24"/>
        </w:rPr>
        <w:t>v.Plasmacytoma</w:t>
      </w:r>
      <w:proofErr w:type="spellEnd"/>
      <w:r w:rsidRPr="007576F0">
        <w:rPr>
          <w:rFonts w:ascii="標楷體" w:eastAsia="標楷體" w:hAnsi="標楷體"/>
          <w:szCs w:val="24"/>
        </w:rPr>
        <w:t>體積增加</w:t>
      </w:r>
      <w:proofErr w:type="gramStart"/>
      <w:r w:rsidRPr="007576F0">
        <w:rPr>
          <w:rFonts w:ascii="標楷體" w:eastAsia="標楷體" w:hAnsi="標楷體"/>
          <w:szCs w:val="24"/>
        </w:rPr>
        <w:t>≧</w:t>
      </w:r>
      <w:proofErr w:type="gramEnd"/>
      <w:r w:rsidRPr="007576F0">
        <w:rPr>
          <w:rFonts w:ascii="標楷體" w:eastAsia="標楷體" w:hAnsi="標楷體"/>
          <w:szCs w:val="24"/>
        </w:rPr>
        <w:t>50%。</w:t>
      </w:r>
    </w:p>
    <w:p w14:paraId="56902590" w14:textId="77777777" w:rsidR="007576F0" w:rsidRPr="007576F0" w:rsidRDefault="007576F0" w:rsidP="007576F0">
      <w:pPr>
        <w:spacing w:line="300" w:lineRule="exact"/>
        <w:ind w:left="1800" w:hanging="360"/>
      </w:pPr>
      <w:r w:rsidRPr="007576F0">
        <w:rPr>
          <w:rFonts w:ascii="標楷體" w:eastAsia="標楷體" w:hAnsi="標楷體"/>
          <w:szCs w:val="24"/>
        </w:rPr>
        <w:t>vi.周邊</w:t>
      </w:r>
      <w:proofErr w:type="gramStart"/>
      <w:r w:rsidRPr="007576F0">
        <w:rPr>
          <w:rFonts w:ascii="標楷體" w:eastAsia="標楷體" w:hAnsi="標楷體"/>
          <w:szCs w:val="24"/>
        </w:rPr>
        <w:t>血液中漿細胞</w:t>
      </w:r>
      <w:proofErr w:type="gramEnd"/>
      <w:r w:rsidRPr="007576F0">
        <w:rPr>
          <w:rFonts w:ascii="標楷體" w:eastAsia="標楷體" w:hAnsi="標楷體"/>
          <w:szCs w:val="24"/>
        </w:rPr>
        <w:t>比例</w:t>
      </w:r>
      <w:proofErr w:type="gramStart"/>
      <w:r w:rsidRPr="007576F0">
        <w:rPr>
          <w:rFonts w:ascii="標楷體" w:eastAsia="標楷體" w:hAnsi="標楷體" w:cs="新細明體"/>
          <w:szCs w:val="24"/>
        </w:rPr>
        <w:t>≧</w:t>
      </w:r>
      <w:proofErr w:type="gramEnd"/>
      <w:r w:rsidRPr="007576F0">
        <w:rPr>
          <w:rFonts w:ascii="標楷體" w:eastAsia="標楷體" w:hAnsi="標楷體"/>
          <w:szCs w:val="24"/>
        </w:rPr>
        <w:t>20%</w:t>
      </w:r>
      <w:proofErr w:type="gramStart"/>
      <w:r w:rsidRPr="007576F0">
        <w:rPr>
          <w:rFonts w:ascii="標楷體" w:eastAsia="標楷體" w:hAnsi="標楷體"/>
          <w:szCs w:val="24"/>
        </w:rPr>
        <w:t>或漿細胞</w:t>
      </w:r>
      <w:proofErr w:type="gramEnd"/>
      <w:r w:rsidRPr="007576F0">
        <w:rPr>
          <w:rFonts w:ascii="標楷體" w:eastAsia="標楷體" w:hAnsi="標楷體"/>
          <w:szCs w:val="24"/>
        </w:rPr>
        <w:t>絕對值</w:t>
      </w:r>
      <w:proofErr w:type="gramStart"/>
      <w:r w:rsidRPr="007576F0">
        <w:rPr>
          <w:rFonts w:ascii="標楷體" w:eastAsia="標楷體" w:hAnsi="標楷體" w:cs="新細明體"/>
          <w:szCs w:val="24"/>
        </w:rPr>
        <w:t>≧</w:t>
      </w:r>
      <w:proofErr w:type="gramEnd"/>
      <w:r w:rsidRPr="007576F0">
        <w:rPr>
          <w:rFonts w:ascii="標楷體" w:eastAsia="標楷體" w:hAnsi="標楷體"/>
          <w:szCs w:val="24"/>
        </w:rPr>
        <w:t>2000 cells/</w:t>
      </w:r>
      <w:proofErr w:type="spellStart"/>
      <w:r w:rsidRPr="007576F0">
        <w:rPr>
          <w:rFonts w:ascii="標楷體" w:eastAsia="標楷體" w:hAnsi="標楷體"/>
          <w:szCs w:val="24"/>
        </w:rPr>
        <w:t>μL</w:t>
      </w:r>
      <w:proofErr w:type="spellEnd"/>
      <w:r w:rsidRPr="007576F0">
        <w:rPr>
          <w:rFonts w:ascii="標楷體" w:eastAsia="標楷體" w:hAnsi="標楷體"/>
          <w:szCs w:val="24"/>
        </w:rPr>
        <w:t>。</w:t>
      </w:r>
    </w:p>
    <w:p w14:paraId="72FDF687" w14:textId="77777777" w:rsidR="007576F0" w:rsidRPr="007576F0" w:rsidRDefault="007576F0" w:rsidP="007576F0">
      <w:pPr>
        <w:tabs>
          <w:tab w:val="left" w:pos="1418"/>
        </w:tabs>
        <w:spacing w:line="300" w:lineRule="exact"/>
        <w:ind w:left="1291" w:hanging="245"/>
        <w:jc w:val="both"/>
        <w:rPr>
          <w:rFonts w:ascii="標楷體" w:eastAsia="標楷體" w:hAnsi="標楷體"/>
          <w:szCs w:val="24"/>
        </w:rPr>
      </w:pPr>
      <w:r w:rsidRPr="007576F0">
        <w:rPr>
          <w:rFonts w:ascii="標楷體" w:eastAsia="標楷體" w:hAnsi="標楷體"/>
          <w:szCs w:val="24"/>
        </w:rPr>
        <w:t>Ⅱ.出現下列任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 xml:space="preserve">臨床症狀： </w:t>
      </w:r>
    </w:p>
    <w:p w14:paraId="13E7847E" w14:textId="77777777" w:rsidR="007576F0" w:rsidRPr="007576F0" w:rsidRDefault="007576F0" w:rsidP="007576F0">
      <w:pPr>
        <w:spacing w:line="300" w:lineRule="exact"/>
        <w:ind w:left="1800" w:hanging="360"/>
      </w:pPr>
      <w:r w:rsidRPr="007576F0">
        <w:rPr>
          <w:rFonts w:ascii="新細明體" w:hAnsi="新細明體" w:cs="新細明體"/>
          <w:szCs w:val="24"/>
        </w:rPr>
        <w:t>ⅰ</w:t>
      </w:r>
      <w:r w:rsidRPr="007576F0">
        <w:rPr>
          <w:rFonts w:ascii="標楷體" w:eastAsia="標楷體" w:hAnsi="標楷體"/>
          <w:szCs w:val="24"/>
        </w:rPr>
        <w:t>.新產生的bone lesion(s)或plasmacytoma；且須經病理切片證實。</w:t>
      </w:r>
    </w:p>
    <w:p w14:paraId="33D29B88" w14:textId="77777777" w:rsidR="007576F0" w:rsidRPr="007576F0" w:rsidRDefault="007576F0" w:rsidP="007576F0">
      <w:pPr>
        <w:spacing w:line="300" w:lineRule="exact"/>
        <w:ind w:left="1800" w:hanging="360"/>
      </w:pPr>
      <w:proofErr w:type="spellStart"/>
      <w:r w:rsidRPr="007576F0">
        <w:rPr>
          <w:rFonts w:ascii="新細明體" w:hAnsi="新細明體" w:cs="新細明體"/>
          <w:szCs w:val="24"/>
        </w:rPr>
        <w:t>ⅱ</w:t>
      </w:r>
      <w:r w:rsidRPr="007576F0">
        <w:rPr>
          <w:rFonts w:ascii="標楷體" w:eastAsia="標楷體" w:hAnsi="標楷體"/>
          <w:szCs w:val="24"/>
        </w:rPr>
        <w:t>.Plasmacytoma</w:t>
      </w:r>
      <w:proofErr w:type="spellEnd"/>
      <w:r w:rsidRPr="007576F0">
        <w:rPr>
          <w:rFonts w:ascii="標楷體" w:eastAsia="標楷體" w:hAnsi="標楷體"/>
          <w:szCs w:val="24"/>
        </w:rPr>
        <w:t xml:space="preserve"> 體積增加</w:t>
      </w:r>
      <w:proofErr w:type="gramStart"/>
      <w:r w:rsidRPr="007576F0">
        <w:rPr>
          <w:rFonts w:ascii="標楷體" w:eastAsia="標楷體" w:hAnsi="標楷體"/>
          <w:szCs w:val="24"/>
        </w:rPr>
        <w:t>≧</w:t>
      </w:r>
      <w:proofErr w:type="gramEnd"/>
      <w:r w:rsidRPr="007576F0">
        <w:rPr>
          <w:rFonts w:ascii="標楷體" w:eastAsia="標楷體" w:hAnsi="標楷體"/>
          <w:szCs w:val="24"/>
        </w:rPr>
        <w:t>50%。</w:t>
      </w:r>
    </w:p>
    <w:p w14:paraId="31A58E5E" w14:textId="77777777" w:rsidR="007576F0" w:rsidRPr="007576F0" w:rsidRDefault="007576F0" w:rsidP="007576F0">
      <w:pPr>
        <w:spacing w:line="300" w:lineRule="exact"/>
        <w:ind w:left="1800" w:hanging="360"/>
        <w:rPr>
          <w:rFonts w:ascii="標楷體" w:eastAsia="標楷體" w:hAnsi="標楷體"/>
          <w:szCs w:val="24"/>
        </w:rPr>
      </w:pPr>
      <w:r w:rsidRPr="007576F0">
        <w:rPr>
          <w:rFonts w:ascii="標楷體" w:eastAsia="標楷體" w:hAnsi="標楷體"/>
          <w:szCs w:val="24"/>
        </w:rPr>
        <w:t>iii.高血鈣(corrected serum calcium＞11.0 mg/dL 或 2.75 mmol/L)。</w:t>
      </w:r>
    </w:p>
    <w:p w14:paraId="37537D72" w14:textId="77777777" w:rsidR="007576F0" w:rsidRPr="007576F0" w:rsidRDefault="007576F0" w:rsidP="007576F0">
      <w:pPr>
        <w:spacing w:line="300" w:lineRule="exact"/>
        <w:ind w:left="1800" w:hanging="360"/>
        <w:rPr>
          <w:rFonts w:ascii="標楷體" w:eastAsia="標楷體" w:hAnsi="標楷體"/>
          <w:szCs w:val="24"/>
        </w:rPr>
      </w:pPr>
      <w:r w:rsidRPr="007576F0">
        <w:rPr>
          <w:rFonts w:ascii="標楷體" w:eastAsia="標楷體" w:hAnsi="標楷體"/>
          <w:szCs w:val="24"/>
        </w:rPr>
        <w:t>iv.貧血(Hemoglobin 下降幅度</w:t>
      </w:r>
      <w:proofErr w:type="gramStart"/>
      <w:r w:rsidRPr="007576F0">
        <w:rPr>
          <w:rFonts w:ascii="標楷體" w:eastAsia="標楷體" w:hAnsi="標楷體"/>
          <w:szCs w:val="24"/>
        </w:rPr>
        <w:t>≧</w:t>
      </w:r>
      <w:proofErr w:type="gramEnd"/>
      <w:r w:rsidRPr="007576F0">
        <w:rPr>
          <w:rFonts w:ascii="標楷體" w:eastAsia="標楷體" w:hAnsi="標楷體"/>
          <w:szCs w:val="24"/>
        </w:rPr>
        <w:t xml:space="preserve"> 2gm/dL且無其他原因可以解釋)。</w:t>
      </w:r>
    </w:p>
    <w:p w14:paraId="19005B54" w14:textId="77777777" w:rsidR="007576F0" w:rsidRPr="007576F0" w:rsidRDefault="007576F0" w:rsidP="007576F0">
      <w:pPr>
        <w:spacing w:line="300" w:lineRule="exact"/>
        <w:ind w:left="1800" w:hanging="360"/>
        <w:rPr>
          <w:rFonts w:ascii="標楷體" w:eastAsia="標楷體" w:hAnsi="標楷體"/>
          <w:szCs w:val="24"/>
        </w:rPr>
      </w:pPr>
      <w:r w:rsidRPr="007576F0">
        <w:rPr>
          <w:rFonts w:ascii="標楷體" w:eastAsia="標楷體" w:hAnsi="標楷體"/>
          <w:szCs w:val="24"/>
        </w:rPr>
        <w:t>v.腎功能惡化(eGFR需下降幅度</w:t>
      </w:r>
      <w:proofErr w:type="gramStart"/>
      <w:r w:rsidRPr="007576F0">
        <w:rPr>
          <w:rFonts w:ascii="標楷體" w:eastAsia="標楷體" w:hAnsi="標楷體"/>
          <w:szCs w:val="24"/>
        </w:rPr>
        <w:t>≧</w:t>
      </w:r>
      <w:proofErr w:type="gramEnd"/>
      <w:r w:rsidRPr="007576F0">
        <w:rPr>
          <w:rFonts w:ascii="標楷體" w:eastAsia="標楷體" w:hAnsi="標楷體"/>
          <w:szCs w:val="24"/>
        </w:rPr>
        <w:t>25%)，且無其他原因可以解釋。</w:t>
      </w:r>
    </w:p>
    <w:p w14:paraId="3DBC61FC" w14:textId="77777777" w:rsidR="007576F0" w:rsidRPr="007576F0" w:rsidRDefault="007576F0" w:rsidP="007576F0">
      <w:pPr>
        <w:spacing w:line="300" w:lineRule="exact"/>
        <w:ind w:left="1800" w:hanging="360"/>
        <w:rPr>
          <w:rFonts w:ascii="標楷體" w:eastAsia="標楷體" w:hAnsi="標楷體"/>
          <w:szCs w:val="24"/>
        </w:rPr>
      </w:pPr>
      <w:r w:rsidRPr="007576F0">
        <w:rPr>
          <w:rFonts w:ascii="標楷體" w:eastAsia="標楷體" w:hAnsi="標楷體"/>
          <w:szCs w:val="24"/>
        </w:rPr>
        <w:t>vi.出現其他end-organ dysfunctions。</w:t>
      </w:r>
    </w:p>
    <w:p w14:paraId="7F07CA6C" w14:textId="77777777" w:rsidR="007576F0" w:rsidRPr="007576F0" w:rsidRDefault="007576F0" w:rsidP="007576F0">
      <w:pPr>
        <w:tabs>
          <w:tab w:val="left" w:pos="1418"/>
        </w:tabs>
        <w:spacing w:line="300" w:lineRule="exact"/>
        <w:ind w:left="1051" w:hanging="245"/>
        <w:jc w:val="both"/>
        <w:rPr>
          <w:rFonts w:ascii="標楷體" w:eastAsia="標楷體" w:hAnsi="標楷體"/>
          <w:szCs w:val="24"/>
        </w:rPr>
      </w:pPr>
      <w:r w:rsidRPr="007576F0">
        <w:rPr>
          <w:rFonts w:ascii="標楷體" w:eastAsia="標楷體" w:hAnsi="標楷體"/>
          <w:szCs w:val="24"/>
        </w:rPr>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w:t>
      </w:r>
    </w:p>
    <w:p w14:paraId="68ED952E" w14:textId="77777777" w:rsidR="007576F0" w:rsidRPr="007576F0" w:rsidRDefault="007576F0" w:rsidP="007576F0">
      <w:pPr>
        <w:tabs>
          <w:tab w:val="left" w:pos="1418"/>
        </w:tabs>
        <w:spacing w:line="300" w:lineRule="exact"/>
        <w:ind w:left="1051" w:hanging="245"/>
        <w:jc w:val="both"/>
        <w:rPr>
          <w:rFonts w:ascii="標楷體" w:eastAsia="標楷體" w:hAnsi="標楷體"/>
          <w:szCs w:val="24"/>
        </w:rPr>
      </w:pPr>
      <w:r w:rsidRPr="007576F0">
        <w:rPr>
          <w:rFonts w:ascii="標楷體" w:eastAsia="標楷體" w:hAnsi="標楷體"/>
          <w:szCs w:val="24"/>
        </w:rPr>
        <w:t>(3)每人以10個療程為上限。</w:t>
      </w:r>
    </w:p>
    <w:p w14:paraId="7D8100F7"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3.不得與蛋白酶體抑制劑(bortezomib、carfilzomib)或lenalidomide併用。</w:t>
      </w:r>
    </w:p>
    <w:p w14:paraId="590EFC37"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szCs w:val="24"/>
        </w:rPr>
        <w:t>9.112.Pertuzumab與trastuzumab皮下注射複方製劑(如</w:t>
      </w:r>
      <w:proofErr w:type="spellStart"/>
      <w:r w:rsidRPr="007576F0">
        <w:rPr>
          <w:rFonts w:ascii="標楷體" w:eastAsia="標楷體" w:hAnsi="標楷體"/>
          <w:szCs w:val="24"/>
        </w:rPr>
        <w:t>Phesgo</w:t>
      </w:r>
      <w:proofErr w:type="spellEnd"/>
      <w:r w:rsidRPr="007576F0">
        <w:rPr>
          <w:rFonts w:ascii="標楷體" w:eastAsia="標楷體" w:hAnsi="標楷體"/>
          <w:szCs w:val="24"/>
        </w:rPr>
        <w:t>):(113/12/1、114/5/1)</w:t>
      </w:r>
    </w:p>
    <w:p w14:paraId="2EEEA6D1"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1.本藥品及化學療法</w:t>
      </w:r>
      <w:proofErr w:type="gramStart"/>
      <w:r w:rsidRPr="007576F0">
        <w:rPr>
          <w:rFonts w:ascii="標楷體" w:eastAsia="標楷體" w:hAnsi="標楷體"/>
          <w:szCs w:val="24"/>
        </w:rPr>
        <w:t>併</w:t>
      </w:r>
      <w:proofErr w:type="gramEnd"/>
      <w:r w:rsidRPr="007576F0">
        <w:rPr>
          <w:rFonts w:ascii="標楷體" w:eastAsia="標楷體" w:hAnsi="標楷體"/>
          <w:szCs w:val="24"/>
        </w:rPr>
        <w:t>用於具HER2過度表現（IHC3+或FISH+），且具腋下淋巴結轉移但無遠處臟器轉移之早期乳癌病人（113/12/1、114/5/1）</w:t>
      </w:r>
    </w:p>
    <w:p w14:paraId="14827BCA" w14:textId="77777777" w:rsidR="007576F0" w:rsidRPr="007576F0" w:rsidRDefault="007576F0" w:rsidP="007576F0">
      <w:pPr>
        <w:tabs>
          <w:tab w:val="left" w:pos="1418"/>
        </w:tabs>
        <w:spacing w:line="300" w:lineRule="exact"/>
        <w:ind w:left="1133" w:hanging="567"/>
        <w:jc w:val="both"/>
        <w:rPr>
          <w:rFonts w:ascii="標楷體" w:eastAsia="標楷體" w:hAnsi="標楷體"/>
          <w:szCs w:val="24"/>
        </w:rPr>
      </w:pPr>
      <w:r w:rsidRPr="007576F0">
        <w:rPr>
          <w:rFonts w:ascii="標楷體" w:eastAsia="標楷體" w:hAnsi="標楷體"/>
          <w:szCs w:val="24"/>
        </w:rPr>
        <w:t xml:space="preserve">  (1)</w:t>
      </w:r>
      <w:proofErr w:type="gramStart"/>
      <w:r w:rsidRPr="007576F0">
        <w:rPr>
          <w:rFonts w:ascii="標楷體" w:eastAsia="標楷體" w:hAnsi="標楷體"/>
          <w:szCs w:val="24"/>
        </w:rPr>
        <w:t>使用於術前</w:t>
      </w:r>
      <w:proofErr w:type="gramEnd"/>
      <w:r w:rsidRPr="007576F0">
        <w:rPr>
          <w:rFonts w:ascii="標楷體" w:eastAsia="標楷體" w:hAnsi="標楷體"/>
          <w:szCs w:val="24"/>
        </w:rPr>
        <w:t>輔助治療，經外科手術後達病理上</w:t>
      </w:r>
      <w:proofErr w:type="gramStart"/>
      <w:r w:rsidRPr="007576F0">
        <w:rPr>
          <w:rFonts w:ascii="標楷體" w:eastAsia="標楷體" w:hAnsi="標楷體"/>
          <w:szCs w:val="24"/>
        </w:rPr>
        <w:t>完全緩解者</w:t>
      </w:r>
      <w:proofErr w:type="gramEnd"/>
      <w:r w:rsidRPr="007576F0">
        <w:rPr>
          <w:rFonts w:ascii="標楷體" w:eastAsia="標楷體" w:hAnsi="標楷體"/>
          <w:szCs w:val="24"/>
        </w:rPr>
        <w:t>（</w:t>
      </w:r>
      <w:proofErr w:type="spellStart"/>
      <w:r w:rsidRPr="007576F0">
        <w:rPr>
          <w:rFonts w:ascii="標楷體" w:eastAsia="標楷體" w:hAnsi="標楷體"/>
          <w:szCs w:val="24"/>
        </w:rPr>
        <w:t>pCR</w:t>
      </w:r>
      <w:proofErr w:type="spellEnd"/>
      <w:r w:rsidRPr="007576F0">
        <w:rPr>
          <w:rFonts w:ascii="標楷體" w:eastAsia="標楷體" w:hAnsi="標楷體"/>
          <w:szCs w:val="24"/>
        </w:rPr>
        <w:t>），得繼續使用至18個療程為上限。</w:t>
      </w:r>
    </w:p>
    <w:p w14:paraId="6CD3C261" w14:textId="77777777" w:rsidR="007576F0" w:rsidRPr="007576F0" w:rsidRDefault="007576F0" w:rsidP="007576F0">
      <w:pPr>
        <w:tabs>
          <w:tab w:val="left" w:pos="1418"/>
        </w:tabs>
        <w:spacing w:line="300" w:lineRule="exact"/>
        <w:ind w:left="1133" w:hanging="567"/>
        <w:jc w:val="both"/>
        <w:rPr>
          <w:rFonts w:ascii="標楷體" w:eastAsia="標楷體" w:hAnsi="標楷體"/>
          <w:szCs w:val="24"/>
        </w:rPr>
      </w:pPr>
      <w:r w:rsidRPr="007576F0">
        <w:rPr>
          <w:rFonts w:ascii="標楷體" w:eastAsia="標楷體" w:hAnsi="標楷體"/>
          <w:szCs w:val="24"/>
        </w:rPr>
        <w:t xml:space="preserve">  (2)若未接受術前輔助治療，即先行手術者，可給予術後輔助治療，以18個療程為使用上限。</w:t>
      </w:r>
    </w:p>
    <w:p w14:paraId="12D506D1" w14:textId="77777777" w:rsidR="007576F0" w:rsidRPr="007576F0" w:rsidRDefault="007576F0" w:rsidP="007576F0">
      <w:pPr>
        <w:tabs>
          <w:tab w:val="left" w:pos="1185"/>
        </w:tabs>
        <w:spacing w:line="300" w:lineRule="exact"/>
        <w:ind w:left="1203" w:hanging="397"/>
        <w:jc w:val="both"/>
        <w:rPr>
          <w:rFonts w:ascii="標楷體" w:eastAsia="標楷體" w:hAnsi="標楷體"/>
          <w:szCs w:val="24"/>
        </w:rPr>
      </w:pPr>
      <w:r w:rsidRPr="007576F0">
        <w:rPr>
          <w:rFonts w:ascii="標楷體" w:eastAsia="標楷體" w:hAnsi="標楷體"/>
          <w:szCs w:val="24"/>
        </w:rPr>
        <w:t>(3)</w:t>
      </w:r>
      <w:r w:rsidRPr="007576F0">
        <w:rPr>
          <w:rFonts w:ascii="標楷體" w:eastAsia="標楷體" w:hAnsi="標楷體"/>
          <w:szCs w:val="24"/>
        </w:rPr>
        <w:tab/>
        <w:t>下列</w:t>
      </w:r>
      <w:proofErr w:type="gramStart"/>
      <w:r w:rsidRPr="007576F0">
        <w:rPr>
          <w:rFonts w:ascii="標楷體" w:eastAsia="標楷體" w:hAnsi="標楷體"/>
          <w:szCs w:val="24"/>
        </w:rPr>
        <w:t>Ｉ</w:t>
      </w:r>
      <w:proofErr w:type="gramEnd"/>
      <w:r w:rsidRPr="007576F0">
        <w:rPr>
          <w:rFonts w:ascii="標楷體" w:eastAsia="標楷體" w:hAnsi="標楷體"/>
          <w:szCs w:val="24"/>
        </w:rPr>
        <w:t>~Ⅲ使用於外科手術前後之總療程合併計算，依藥品仿單記載以18個療程為上限：</w:t>
      </w:r>
    </w:p>
    <w:p w14:paraId="117331E8" w14:textId="77777777" w:rsidR="007576F0" w:rsidRPr="007576F0" w:rsidRDefault="007576F0" w:rsidP="007576F0">
      <w:pPr>
        <w:tabs>
          <w:tab w:val="left" w:pos="1418"/>
        </w:tabs>
        <w:spacing w:line="300" w:lineRule="exact"/>
        <w:ind w:left="1291" w:hanging="245"/>
        <w:jc w:val="both"/>
        <w:rPr>
          <w:rFonts w:ascii="標楷體" w:eastAsia="標楷體" w:hAnsi="標楷體"/>
          <w:szCs w:val="24"/>
        </w:rPr>
      </w:pPr>
      <w:proofErr w:type="gramStart"/>
      <w:r w:rsidRPr="007576F0">
        <w:rPr>
          <w:rFonts w:ascii="標楷體" w:eastAsia="標楷體" w:hAnsi="標楷體"/>
          <w:szCs w:val="24"/>
        </w:rPr>
        <w:t>Ｉ</w:t>
      </w:r>
      <w:proofErr w:type="gramEnd"/>
      <w:r w:rsidRPr="007576F0">
        <w:rPr>
          <w:rFonts w:ascii="標楷體" w:eastAsia="標楷體" w:hAnsi="標楷體"/>
          <w:szCs w:val="24"/>
        </w:rPr>
        <w:t>：本藥品</w:t>
      </w:r>
    </w:p>
    <w:p w14:paraId="0B4E4AAE" w14:textId="77777777" w:rsidR="007576F0" w:rsidRPr="007576F0" w:rsidRDefault="007576F0" w:rsidP="007576F0">
      <w:pPr>
        <w:tabs>
          <w:tab w:val="left" w:pos="1418"/>
        </w:tabs>
        <w:spacing w:line="300" w:lineRule="exact"/>
        <w:ind w:left="1291" w:hanging="245"/>
        <w:jc w:val="both"/>
        <w:rPr>
          <w:rFonts w:ascii="標楷體" w:eastAsia="標楷體" w:hAnsi="標楷體"/>
          <w:szCs w:val="24"/>
        </w:rPr>
      </w:pPr>
      <w:r w:rsidRPr="007576F0">
        <w:rPr>
          <w:rFonts w:ascii="標楷體" w:eastAsia="標楷體" w:hAnsi="標楷體"/>
          <w:szCs w:val="24"/>
        </w:rPr>
        <w:t>Ⅱ：trastuzumab</w:t>
      </w:r>
    </w:p>
    <w:p w14:paraId="5593ADEE" w14:textId="77777777" w:rsidR="007576F0" w:rsidRPr="007576F0" w:rsidRDefault="007576F0" w:rsidP="007576F0">
      <w:pPr>
        <w:tabs>
          <w:tab w:val="left" w:pos="1418"/>
        </w:tabs>
        <w:spacing w:line="300" w:lineRule="exact"/>
        <w:ind w:left="1291" w:hanging="245"/>
        <w:jc w:val="both"/>
        <w:rPr>
          <w:rFonts w:ascii="標楷體" w:eastAsia="標楷體" w:hAnsi="標楷體"/>
          <w:szCs w:val="24"/>
        </w:rPr>
      </w:pPr>
      <w:r w:rsidRPr="007576F0">
        <w:rPr>
          <w:rFonts w:ascii="標楷體" w:eastAsia="標楷體" w:hAnsi="標楷體"/>
          <w:szCs w:val="24"/>
        </w:rPr>
        <w:t>Ⅲ：</w:t>
      </w:r>
      <w:proofErr w:type="spellStart"/>
      <w:r w:rsidRPr="007576F0">
        <w:rPr>
          <w:rFonts w:ascii="標楷體" w:eastAsia="標楷體" w:hAnsi="標楷體"/>
          <w:szCs w:val="24"/>
        </w:rPr>
        <w:t>pertuzumab</w:t>
      </w:r>
      <w:proofErr w:type="spellEnd"/>
      <w:r w:rsidRPr="007576F0">
        <w:rPr>
          <w:rFonts w:ascii="標楷體" w:eastAsia="標楷體" w:hAnsi="標楷體"/>
          <w:szCs w:val="24"/>
        </w:rPr>
        <w:t>與trastuzumab</w:t>
      </w:r>
      <w:proofErr w:type="gramStart"/>
      <w:r w:rsidRPr="007576F0">
        <w:rPr>
          <w:rFonts w:ascii="標楷體" w:eastAsia="標楷體" w:hAnsi="標楷體"/>
          <w:szCs w:val="24"/>
        </w:rPr>
        <w:t>併</w:t>
      </w:r>
      <w:proofErr w:type="gramEnd"/>
      <w:r w:rsidRPr="007576F0">
        <w:rPr>
          <w:rFonts w:ascii="標楷體" w:eastAsia="標楷體" w:hAnsi="標楷體"/>
          <w:szCs w:val="24"/>
        </w:rPr>
        <w:t>用</w:t>
      </w:r>
    </w:p>
    <w:p w14:paraId="1D84708F" w14:textId="77777777" w:rsidR="007576F0" w:rsidRPr="007576F0" w:rsidRDefault="007576F0" w:rsidP="007576F0">
      <w:pPr>
        <w:tabs>
          <w:tab w:val="left" w:pos="1185"/>
        </w:tabs>
        <w:spacing w:line="300" w:lineRule="exact"/>
        <w:ind w:left="1203" w:hanging="397"/>
        <w:jc w:val="both"/>
        <w:rPr>
          <w:rFonts w:ascii="標楷體" w:eastAsia="標楷體" w:hAnsi="標楷體"/>
          <w:szCs w:val="24"/>
        </w:rPr>
      </w:pPr>
      <w:r w:rsidRPr="007576F0">
        <w:rPr>
          <w:rFonts w:ascii="標楷體" w:eastAsia="標楷體" w:hAnsi="標楷體"/>
          <w:szCs w:val="24"/>
        </w:rPr>
        <w:t>(4)</w:t>
      </w:r>
      <w:r w:rsidRPr="007576F0">
        <w:rPr>
          <w:rFonts w:ascii="標楷體" w:eastAsia="標楷體" w:hAnsi="標楷體"/>
          <w:szCs w:val="24"/>
        </w:rPr>
        <w:tab/>
        <w:t>須經事前審查核准後使用，核准後每24</w:t>
      </w:r>
      <w:proofErr w:type="gramStart"/>
      <w:r w:rsidRPr="007576F0">
        <w:rPr>
          <w:rFonts w:ascii="標楷體" w:eastAsia="標楷體" w:hAnsi="標楷體"/>
          <w:szCs w:val="24"/>
        </w:rPr>
        <w:t>週</w:t>
      </w:r>
      <w:proofErr w:type="gramEnd"/>
      <w:r w:rsidRPr="007576F0">
        <w:rPr>
          <w:rFonts w:ascii="標楷體" w:eastAsia="標楷體" w:hAnsi="標楷體"/>
          <w:szCs w:val="24"/>
        </w:rPr>
        <w:t>須檢附療效評估資料再次申請，若疾病有惡化情形即不應再行申請。（113/12/1、114/5/1）</w:t>
      </w:r>
    </w:p>
    <w:p w14:paraId="7CDEE368"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2.轉移性乳癌</w:t>
      </w:r>
    </w:p>
    <w:p w14:paraId="0DC6F53C" w14:textId="77777777" w:rsidR="007576F0" w:rsidRPr="007576F0" w:rsidRDefault="007576F0" w:rsidP="007576F0">
      <w:pPr>
        <w:tabs>
          <w:tab w:val="left" w:pos="1185"/>
        </w:tabs>
        <w:spacing w:line="300" w:lineRule="exact"/>
        <w:ind w:left="1146" w:hanging="340"/>
        <w:jc w:val="both"/>
        <w:rPr>
          <w:rFonts w:ascii="標楷體" w:eastAsia="標楷體" w:hAnsi="標楷體"/>
          <w:szCs w:val="24"/>
        </w:rPr>
      </w:pPr>
      <w:r w:rsidRPr="007576F0">
        <w:rPr>
          <w:rFonts w:ascii="標楷體" w:eastAsia="標楷體" w:hAnsi="標楷體"/>
          <w:szCs w:val="24"/>
        </w:rPr>
        <w:t>(1)與docetaxel</w:t>
      </w:r>
      <w:proofErr w:type="gramStart"/>
      <w:r w:rsidRPr="007576F0">
        <w:rPr>
          <w:rFonts w:ascii="標楷體" w:eastAsia="標楷體" w:hAnsi="標楷體"/>
          <w:szCs w:val="24"/>
        </w:rPr>
        <w:t>併</w:t>
      </w:r>
      <w:proofErr w:type="gramEnd"/>
      <w:r w:rsidRPr="007576F0">
        <w:rPr>
          <w:rFonts w:ascii="標楷體" w:eastAsia="標楷體" w:hAnsi="標楷體"/>
          <w:szCs w:val="24"/>
        </w:rPr>
        <w:t>用於治療轉移後未曾以抗HER2或化學療法治療之HER2過度表現(IHC3+或FISH+)轉移性乳癌病人。</w:t>
      </w:r>
    </w:p>
    <w:p w14:paraId="24BABA5E" w14:textId="77777777" w:rsidR="007576F0" w:rsidRPr="007576F0" w:rsidRDefault="007576F0" w:rsidP="007576F0">
      <w:pPr>
        <w:tabs>
          <w:tab w:val="left" w:pos="1185"/>
        </w:tabs>
        <w:spacing w:line="300" w:lineRule="exact"/>
        <w:ind w:left="1146" w:hanging="340"/>
        <w:jc w:val="both"/>
        <w:rPr>
          <w:rFonts w:ascii="標楷體" w:eastAsia="標楷體" w:hAnsi="標楷體"/>
          <w:szCs w:val="24"/>
        </w:rPr>
      </w:pPr>
      <w:r w:rsidRPr="007576F0">
        <w:rPr>
          <w:rFonts w:ascii="標楷體" w:eastAsia="標楷體" w:hAnsi="標楷體"/>
          <w:szCs w:val="24"/>
        </w:rPr>
        <w:t>(2)須經事前審查核准後使用，核准後每18</w:t>
      </w:r>
      <w:proofErr w:type="gramStart"/>
      <w:r w:rsidRPr="007576F0">
        <w:rPr>
          <w:rFonts w:ascii="標楷體" w:eastAsia="標楷體" w:hAnsi="標楷體"/>
          <w:szCs w:val="24"/>
        </w:rPr>
        <w:t>週</w:t>
      </w:r>
      <w:proofErr w:type="gramEnd"/>
      <w:r w:rsidRPr="007576F0">
        <w:rPr>
          <w:rFonts w:ascii="標楷體" w:eastAsia="標楷體" w:hAnsi="標楷體"/>
          <w:szCs w:val="24"/>
        </w:rPr>
        <w:t>須檢附療效評估資料再次申請，若疾病有惡化情形即不應再行申請，每位病人至多給付18個月為限。</w:t>
      </w:r>
    </w:p>
    <w:p w14:paraId="2A8C6B23" w14:textId="77777777" w:rsidR="007576F0" w:rsidRPr="007576F0" w:rsidRDefault="007576F0" w:rsidP="007576F0">
      <w:pPr>
        <w:tabs>
          <w:tab w:val="left" w:pos="1185"/>
        </w:tabs>
        <w:spacing w:line="300" w:lineRule="exact"/>
        <w:ind w:left="1051" w:hanging="245"/>
        <w:jc w:val="both"/>
        <w:rPr>
          <w:rFonts w:ascii="標楷體" w:eastAsia="標楷體" w:hAnsi="標楷體"/>
          <w:szCs w:val="24"/>
        </w:rPr>
      </w:pPr>
      <w:r w:rsidRPr="007576F0">
        <w:rPr>
          <w:rFonts w:ascii="標楷體" w:eastAsia="標楷體" w:hAnsi="標楷體"/>
          <w:szCs w:val="24"/>
        </w:rPr>
        <w:t>(3)下列</w:t>
      </w:r>
      <w:proofErr w:type="gramStart"/>
      <w:r w:rsidRPr="007576F0">
        <w:rPr>
          <w:rFonts w:ascii="標楷體" w:eastAsia="標楷體" w:hAnsi="標楷體"/>
          <w:szCs w:val="24"/>
        </w:rPr>
        <w:t>Ｉ</w:t>
      </w:r>
      <w:proofErr w:type="gramEnd"/>
      <w:r w:rsidRPr="007576F0">
        <w:rPr>
          <w:rFonts w:ascii="標楷體" w:eastAsia="標楷體" w:hAnsi="標楷體"/>
          <w:szCs w:val="24"/>
        </w:rPr>
        <w:t>~Ⅱ使用於轉移性乳癌總療程合併計算，以全部18個月為上限：</w:t>
      </w:r>
    </w:p>
    <w:p w14:paraId="67F6E006" w14:textId="77777777" w:rsidR="007576F0" w:rsidRPr="007576F0" w:rsidRDefault="007576F0" w:rsidP="007576F0">
      <w:pPr>
        <w:tabs>
          <w:tab w:val="left" w:pos="1418"/>
        </w:tabs>
        <w:spacing w:line="300" w:lineRule="exact"/>
        <w:ind w:left="1291" w:hanging="245"/>
        <w:jc w:val="both"/>
        <w:rPr>
          <w:rFonts w:ascii="標楷體" w:eastAsia="標楷體" w:hAnsi="標楷體"/>
          <w:szCs w:val="24"/>
        </w:rPr>
      </w:pPr>
      <w:proofErr w:type="gramStart"/>
      <w:r w:rsidRPr="007576F0">
        <w:rPr>
          <w:rFonts w:ascii="標楷體" w:eastAsia="標楷體" w:hAnsi="標楷體"/>
          <w:szCs w:val="24"/>
        </w:rPr>
        <w:t>Ｉ</w:t>
      </w:r>
      <w:proofErr w:type="gramEnd"/>
      <w:r w:rsidRPr="007576F0">
        <w:rPr>
          <w:rFonts w:ascii="標楷體" w:eastAsia="標楷體" w:hAnsi="標楷體"/>
          <w:szCs w:val="24"/>
        </w:rPr>
        <w:t>：本藥品</w:t>
      </w:r>
    </w:p>
    <w:p w14:paraId="04FD3CDF" w14:textId="77777777" w:rsidR="007576F0" w:rsidRPr="007576F0" w:rsidRDefault="007576F0" w:rsidP="007576F0">
      <w:pPr>
        <w:tabs>
          <w:tab w:val="left" w:pos="1418"/>
        </w:tabs>
        <w:spacing w:line="300" w:lineRule="exact"/>
        <w:ind w:left="1291" w:hanging="245"/>
        <w:jc w:val="both"/>
        <w:rPr>
          <w:rFonts w:ascii="標楷體" w:eastAsia="標楷體" w:hAnsi="標楷體"/>
          <w:szCs w:val="24"/>
        </w:rPr>
      </w:pPr>
      <w:r w:rsidRPr="007576F0">
        <w:rPr>
          <w:rFonts w:ascii="標楷體" w:eastAsia="標楷體" w:hAnsi="標楷體"/>
          <w:szCs w:val="24"/>
        </w:rPr>
        <w:t>Ⅱ：</w:t>
      </w:r>
      <w:proofErr w:type="spellStart"/>
      <w:r w:rsidRPr="007576F0">
        <w:rPr>
          <w:rFonts w:ascii="標楷體" w:eastAsia="標楷體" w:hAnsi="標楷體"/>
          <w:szCs w:val="24"/>
        </w:rPr>
        <w:t>pertuzumab</w:t>
      </w:r>
      <w:proofErr w:type="spellEnd"/>
      <w:r w:rsidRPr="007576F0">
        <w:rPr>
          <w:rFonts w:ascii="標楷體" w:eastAsia="標楷體" w:hAnsi="標楷體"/>
          <w:szCs w:val="24"/>
        </w:rPr>
        <w:t>與trastuzumab</w:t>
      </w:r>
      <w:proofErr w:type="gramStart"/>
      <w:r w:rsidRPr="007576F0">
        <w:rPr>
          <w:rFonts w:ascii="標楷體" w:eastAsia="標楷體" w:hAnsi="標楷體"/>
          <w:szCs w:val="24"/>
        </w:rPr>
        <w:t>併</w:t>
      </w:r>
      <w:proofErr w:type="gramEnd"/>
      <w:r w:rsidRPr="007576F0">
        <w:rPr>
          <w:rFonts w:ascii="標楷體" w:eastAsia="標楷體" w:hAnsi="標楷體"/>
          <w:szCs w:val="24"/>
        </w:rPr>
        <w:t>用</w:t>
      </w:r>
    </w:p>
    <w:p w14:paraId="0214DFB4" w14:textId="77777777" w:rsidR="007576F0" w:rsidRPr="007576F0" w:rsidRDefault="007576F0" w:rsidP="007576F0">
      <w:pPr>
        <w:tabs>
          <w:tab w:val="left" w:pos="1185"/>
        </w:tabs>
        <w:spacing w:line="300" w:lineRule="exact"/>
        <w:ind w:left="1051" w:hanging="245"/>
        <w:jc w:val="both"/>
        <w:rPr>
          <w:rFonts w:ascii="標楷體" w:eastAsia="標楷體" w:hAnsi="標楷體"/>
          <w:szCs w:val="24"/>
        </w:rPr>
      </w:pPr>
      <w:r w:rsidRPr="007576F0">
        <w:rPr>
          <w:rFonts w:ascii="標楷體" w:eastAsia="標楷體" w:hAnsi="標楷體"/>
          <w:szCs w:val="24"/>
        </w:rPr>
        <w:t>(4)先前於早期乳癌已使用過本藥品或</w:t>
      </w:r>
      <w:proofErr w:type="spellStart"/>
      <w:r w:rsidRPr="007576F0">
        <w:rPr>
          <w:rFonts w:ascii="標楷體" w:eastAsia="標楷體" w:hAnsi="標楷體"/>
          <w:szCs w:val="24"/>
        </w:rPr>
        <w:t>pertuzumab</w:t>
      </w:r>
      <w:proofErr w:type="spellEnd"/>
      <w:r w:rsidRPr="007576F0">
        <w:rPr>
          <w:rFonts w:ascii="標楷體" w:eastAsia="標楷體" w:hAnsi="標楷體"/>
          <w:szCs w:val="24"/>
        </w:rPr>
        <w:t>與trastuzumab</w:t>
      </w:r>
      <w:proofErr w:type="gramStart"/>
      <w:r w:rsidRPr="007576F0">
        <w:rPr>
          <w:rFonts w:ascii="標楷體" w:eastAsia="標楷體" w:hAnsi="標楷體"/>
          <w:szCs w:val="24"/>
        </w:rPr>
        <w:t>併</w:t>
      </w:r>
      <w:proofErr w:type="gramEnd"/>
      <w:r w:rsidRPr="007576F0">
        <w:rPr>
          <w:rFonts w:ascii="標楷體" w:eastAsia="標楷體" w:hAnsi="標楷體"/>
          <w:szCs w:val="24"/>
        </w:rPr>
        <w:t>用者，不得再次申請本藥品，惟於早期乳癌治療結束至首次疾病復發轉移時間超過12個月以上者得再次申請。(113/12/1)</w:t>
      </w:r>
    </w:p>
    <w:p w14:paraId="75D6A1B4" w14:textId="77777777" w:rsidR="007576F0" w:rsidRPr="007576F0" w:rsidRDefault="007576F0" w:rsidP="007576F0">
      <w:pPr>
        <w:spacing w:line="300" w:lineRule="exact"/>
        <w:ind w:left="610" w:hanging="245"/>
        <w:rPr>
          <w:rFonts w:ascii="標楷體" w:eastAsia="標楷體" w:hAnsi="標楷體"/>
          <w:color w:val="000000"/>
        </w:rPr>
      </w:pPr>
      <w:bookmarkStart w:id="75" w:name="_Hlk196225396"/>
      <w:r w:rsidRPr="007576F0">
        <w:rPr>
          <w:rFonts w:ascii="標楷體" w:eastAsia="標楷體" w:hAnsi="標楷體" w:hint="eastAsia"/>
          <w:color w:val="000000"/>
        </w:rPr>
        <w:t>9.113.</w:t>
      </w:r>
      <w:r w:rsidRPr="007576F0">
        <w:rPr>
          <w:rFonts w:ascii="標楷體" w:eastAsia="標楷體" w:hAnsi="標楷體" w:hint="eastAsia"/>
          <w:szCs w:val="24"/>
        </w:rPr>
        <w:t>Gemtuzumab</w:t>
      </w:r>
      <w:r w:rsidRPr="007576F0">
        <w:rPr>
          <w:rFonts w:ascii="標楷體" w:eastAsia="標楷體" w:hAnsi="標楷體" w:hint="eastAsia"/>
          <w:color w:val="000000"/>
        </w:rPr>
        <w:t xml:space="preserve"> </w:t>
      </w:r>
      <w:proofErr w:type="spellStart"/>
      <w:r w:rsidRPr="007576F0">
        <w:rPr>
          <w:rFonts w:ascii="標楷體" w:eastAsia="標楷體" w:hAnsi="標楷體" w:hint="eastAsia"/>
          <w:color w:val="000000"/>
        </w:rPr>
        <w:t>ozogamicin</w:t>
      </w:r>
      <w:proofErr w:type="spellEnd"/>
      <w:r w:rsidRPr="007576F0">
        <w:rPr>
          <w:rFonts w:ascii="標楷體" w:eastAsia="標楷體" w:hAnsi="標楷體" w:hint="eastAsia"/>
          <w:color w:val="000000"/>
        </w:rPr>
        <w:t>(如</w:t>
      </w:r>
      <w:proofErr w:type="spellStart"/>
      <w:r w:rsidRPr="007576F0">
        <w:rPr>
          <w:rFonts w:ascii="標楷體" w:eastAsia="標楷體" w:hAnsi="標楷體" w:hint="eastAsia"/>
          <w:color w:val="000000"/>
        </w:rPr>
        <w:t>Mylotarg</w:t>
      </w:r>
      <w:proofErr w:type="spellEnd"/>
      <w:r w:rsidRPr="007576F0">
        <w:rPr>
          <w:rFonts w:ascii="標楷體" w:eastAsia="標楷體" w:hAnsi="標楷體" w:hint="eastAsia"/>
          <w:color w:val="000000"/>
        </w:rPr>
        <w:t>)：(114/1/1、115/10/1)</w:t>
      </w:r>
    </w:p>
    <w:p w14:paraId="460661C4"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hint="eastAsia"/>
          <w:color w:val="000000"/>
          <w:szCs w:val="24"/>
        </w:rPr>
        <w:t>1.限用於新診斷原發型CD33陽性的急性骨髓性白血病(AML)病人之標準前導與鞏固性</w:t>
      </w:r>
      <w:r w:rsidRPr="007576F0">
        <w:rPr>
          <w:rFonts w:ascii="標楷體" w:eastAsia="標楷體" w:hAnsi="標楷體" w:hint="eastAsia"/>
          <w:color w:val="000000"/>
          <w:szCs w:val="24"/>
        </w:rPr>
        <w:lastRenderedPageBreak/>
        <w:t>化療時合併使用，且完全符合下列條件：</w:t>
      </w:r>
    </w:p>
    <w:p w14:paraId="7DE171D8" w14:textId="77777777" w:rsidR="007576F0" w:rsidRPr="007576F0" w:rsidRDefault="007576F0" w:rsidP="007576F0">
      <w:pPr>
        <w:tabs>
          <w:tab w:val="left" w:pos="1185"/>
        </w:tabs>
        <w:spacing w:line="300" w:lineRule="exact"/>
        <w:ind w:left="1051" w:hanging="245"/>
        <w:jc w:val="both"/>
      </w:pPr>
      <w:r w:rsidRPr="007576F0">
        <w:rPr>
          <w:rFonts w:ascii="標楷體" w:eastAsia="標楷體" w:hAnsi="標楷體" w:hint="eastAsia"/>
          <w:color w:val="000000"/>
        </w:rPr>
        <w:t>(1)需</w:t>
      </w:r>
      <w:r w:rsidRPr="007576F0">
        <w:rPr>
          <w:rFonts w:ascii="標楷體" w:eastAsia="標楷體" w:hAnsi="標楷體" w:hint="eastAsia"/>
          <w:szCs w:val="24"/>
        </w:rPr>
        <w:t>為細胞遺傳學風險等級較佳(favorable)的病人。</w:t>
      </w:r>
    </w:p>
    <w:p w14:paraId="4CD95CE9" w14:textId="77777777" w:rsidR="007576F0" w:rsidRPr="007576F0" w:rsidRDefault="007576F0" w:rsidP="007576F0">
      <w:pPr>
        <w:tabs>
          <w:tab w:val="left" w:pos="1185"/>
        </w:tabs>
        <w:spacing w:line="300" w:lineRule="exact"/>
        <w:ind w:left="1051" w:hanging="245"/>
        <w:jc w:val="both"/>
      </w:pPr>
      <w:r w:rsidRPr="007576F0">
        <w:rPr>
          <w:rFonts w:ascii="標楷體" w:eastAsia="標楷體" w:hAnsi="標楷體" w:hint="eastAsia"/>
          <w:szCs w:val="24"/>
        </w:rPr>
        <w:t>(2)排</w:t>
      </w:r>
      <w:r w:rsidRPr="007576F0">
        <w:rPr>
          <w:rFonts w:ascii="標楷體" w:eastAsia="標楷體" w:hAnsi="標楷體" w:hint="eastAsia"/>
          <w:color w:val="000000"/>
        </w:rPr>
        <w:t xml:space="preserve">除急性前骨髓性細胞白血病(acute promyelocytic </w:t>
      </w:r>
      <w:proofErr w:type="spellStart"/>
      <w:r w:rsidRPr="007576F0">
        <w:rPr>
          <w:rFonts w:ascii="標楷體" w:eastAsia="標楷體" w:hAnsi="標楷體" w:hint="eastAsia"/>
          <w:color w:val="000000"/>
        </w:rPr>
        <w:t>leukemia,APL</w:t>
      </w:r>
      <w:proofErr w:type="spellEnd"/>
      <w:r w:rsidRPr="007576F0">
        <w:rPr>
          <w:rFonts w:ascii="標楷體" w:eastAsia="標楷體" w:hAnsi="標楷體" w:hint="eastAsia"/>
          <w:color w:val="000000"/>
        </w:rPr>
        <w:t>)病人。</w:t>
      </w:r>
    </w:p>
    <w:p w14:paraId="49CE30C8"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hint="eastAsia"/>
          <w:color w:val="000000"/>
          <w:szCs w:val="24"/>
        </w:rPr>
        <w:t>2.用於誘導期時，須確認為細胞遺傳學風險等級較佳(favorable)，並記錄相關臨床資料，以1個療程(</w:t>
      </w:r>
      <w:proofErr w:type="gramStart"/>
      <w:r w:rsidRPr="007576F0">
        <w:rPr>
          <w:rFonts w:ascii="標楷體" w:eastAsia="標楷體" w:hAnsi="標楷體" w:hint="eastAsia"/>
          <w:color w:val="000000"/>
          <w:szCs w:val="24"/>
        </w:rPr>
        <w:t>3次輸注</w:t>
      </w:r>
      <w:proofErr w:type="gramEnd"/>
      <w:r w:rsidRPr="007576F0">
        <w:rPr>
          <w:rFonts w:ascii="標楷體" w:eastAsia="標楷體" w:hAnsi="標楷體" w:hint="eastAsia"/>
          <w:color w:val="000000"/>
          <w:szCs w:val="24"/>
        </w:rPr>
        <w:t>)為限，並需合併標準3+7緩解誘導化療使用。(114/1/1、115/10/1)</w:t>
      </w:r>
    </w:p>
    <w:p w14:paraId="06325635"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hint="eastAsia"/>
          <w:color w:val="000000"/>
          <w:szCs w:val="24"/>
        </w:rPr>
        <w:t>3.若病人疾病達到</w:t>
      </w:r>
      <w:proofErr w:type="gramStart"/>
      <w:r w:rsidRPr="007576F0">
        <w:rPr>
          <w:rFonts w:ascii="標楷體" w:eastAsia="標楷體" w:hAnsi="標楷體" w:hint="eastAsia"/>
          <w:color w:val="000000"/>
          <w:szCs w:val="24"/>
        </w:rPr>
        <w:t>完全緩</w:t>
      </w:r>
      <w:proofErr w:type="gramEnd"/>
      <w:r w:rsidRPr="007576F0">
        <w:rPr>
          <w:rFonts w:ascii="標楷體" w:eastAsia="標楷體" w:hAnsi="標楷體" w:hint="eastAsia"/>
          <w:color w:val="000000"/>
          <w:szCs w:val="24"/>
        </w:rPr>
        <w:t>解(即CR或</w:t>
      </w:r>
      <w:proofErr w:type="spellStart"/>
      <w:r w:rsidRPr="007576F0">
        <w:rPr>
          <w:rFonts w:ascii="標楷體" w:eastAsia="標楷體" w:hAnsi="標楷體" w:hint="eastAsia"/>
          <w:color w:val="000000"/>
          <w:szCs w:val="24"/>
        </w:rPr>
        <w:t>CRi</w:t>
      </w:r>
      <w:proofErr w:type="spellEnd"/>
      <w:r w:rsidRPr="007576F0">
        <w:rPr>
          <w:rFonts w:ascii="標楷體" w:eastAsia="標楷體" w:hAnsi="標楷體" w:hint="eastAsia"/>
          <w:color w:val="000000"/>
          <w:szCs w:val="24"/>
        </w:rPr>
        <w:t>)，經事前審查核准後，可接續用於鞏固治療期，每次申請以1個療程為限(</w:t>
      </w:r>
      <w:proofErr w:type="gramStart"/>
      <w:r w:rsidRPr="007576F0">
        <w:rPr>
          <w:rFonts w:ascii="標楷體" w:eastAsia="標楷體" w:hAnsi="標楷體" w:hint="eastAsia"/>
          <w:color w:val="000000"/>
          <w:szCs w:val="24"/>
        </w:rPr>
        <w:t>1次輸注</w:t>
      </w:r>
      <w:proofErr w:type="gramEnd"/>
      <w:r w:rsidRPr="007576F0">
        <w:rPr>
          <w:rFonts w:ascii="標楷體" w:eastAsia="標楷體" w:hAnsi="標楷體" w:hint="eastAsia"/>
          <w:color w:val="000000"/>
          <w:szCs w:val="24"/>
        </w:rPr>
        <w:t>)，並最多給付2個鞏固治療療程(即</w:t>
      </w:r>
      <w:proofErr w:type="gramStart"/>
      <w:r w:rsidRPr="007576F0">
        <w:rPr>
          <w:rFonts w:ascii="標楷體" w:eastAsia="標楷體" w:hAnsi="標楷體" w:hint="eastAsia"/>
          <w:color w:val="000000"/>
          <w:szCs w:val="24"/>
        </w:rPr>
        <w:t>2次輸注</w:t>
      </w:r>
      <w:proofErr w:type="gramEnd"/>
      <w:r w:rsidRPr="007576F0">
        <w:rPr>
          <w:rFonts w:ascii="標楷體" w:eastAsia="標楷體" w:hAnsi="標楷體" w:hint="eastAsia"/>
          <w:color w:val="000000"/>
          <w:szCs w:val="24"/>
        </w:rPr>
        <w:t>)。申請時需檢附前次治療結果評估資料證實無疾病惡化。(114/1/1、115/10/1)</w:t>
      </w:r>
    </w:p>
    <w:p w14:paraId="5421D1CC" w14:textId="77777777" w:rsidR="007576F0" w:rsidRPr="007576F0" w:rsidRDefault="007576F0" w:rsidP="007576F0">
      <w:pPr>
        <w:spacing w:line="300" w:lineRule="exact"/>
        <w:ind w:left="993" w:hanging="284"/>
        <w:rPr>
          <w:rFonts w:ascii="標楷體" w:eastAsia="標楷體" w:hAnsi="標楷體"/>
          <w:color w:val="000000"/>
          <w:szCs w:val="24"/>
        </w:rPr>
      </w:pPr>
      <w:r w:rsidRPr="007576F0">
        <w:rPr>
          <w:rFonts w:ascii="標楷體" w:eastAsia="標楷體" w:hAnsi="標楷體" w:hint="eastAsia"/>
          <w:color w:val="000000"/>
          <w:szCs w:val="24"/>
        </w:rPr>
        <w:t>4.每人以給付5次</w:t>
      </w:r>
      <w:proofErr w:type="gramStart"/>
      <w:r w:rsidRPr="007576F0">
        <w:rPr>
          <w:rFonts w:ascii="標楷體" w:eastAsia="標楷體" w:hAnsi="標楷體" w:hint="eastAsia"/>
          <w:color w:val="000000"/>
          <w:szCs w:val="24"/>
        </w:rPr>
        <w:t>輸注為</w:t>
      </w:r>
      <w:proofErr w:type="gramEnd"/>
      <w:r w:rsidRPr="007576F0">
        <w:rPr>
          <w:rFonts w:ascii="標楷體" w:eastAsia="標楷體" w:hAnsi="標楷體" w:hint="eastAsia"/>
          <w:color w:val="000000"/>
          <w:szCs w:val="24"/>
        </w:rPr>
        <w:t>上限。</w:t>
      </w:r>
    </w:p>
    <w:p w14:paraId="307A4ED6"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szCs w:val="24"/>
        </w:rPr>
        <w:t>9.114.Fedratinib (</w:t>
      </w:r>
      <w:r w:rsidRPr="007576F0">
        <w:rPr>
          <w:rFonts w:ascii="標楷體" w:eastAsia="標楷體" w:hAnsi="標楷體" w:hint="eastAsia"/>
          <w:szCs w:val="24"/>
        </w:rPr>
        <w:t>如</w:t>
      </w:r>
      <w:proofErr w:type="spellStart"/>
      <w:r w:rsidRPr="007576F0">
        <w:rPr>
          <w:rFonts w:ascii="標楷體" w:eastAsia="標楷體" w:hAnsi="標楷體"/>
          <w:szCs w:val="24"/>
        </w:rPr>
        <w:t>Inrebic</w:t>
      </w:r>
      <w:proofErr w:type="spellEnd"/>
      <w:r w:rsidRPr="007576F0">
        <w:rPr>
          <w:rFonts w:ascii="標楷體" w:eastAsia="標楷體" w:hAnsi="標楷體"/>
          <w:szCs w:val="24"/>
        </w:rPr>
        <w:t>)</w:t>
      </w:r>
      <w:r w:rsidRPr="007576F0">
        <w:rPr>
          <w:rFonts w:ascii="標楷體" w:eastAsia="標楷體" w:hAnsi="標楷體" w:hint="eastAsia"/>
          <w:szCs w:val="24"/>
        </w:rPr>
        <w:t>：</w:t>
      </w:r>
      <w:r w:rsidRPr="007576F0">
        <w:rPr>
          <w:rFonts w:ascii="標楷體" w:eastAsia="標楷體" w:hAnsi="標楷體"/>
          <w:szCs w:val="24"/>
        </w:rPr>
        <w:t>(114/1/1</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10</w:t>
      </w:r>
      <w:r w:rsidRPr="007576F0">
        <w:rPr>
          <w:rFonts w:ascii="標楷體" w:eastAsia="標楷體" w:hAnsi="標楷體"/>
          <w:szCs w:val="24"/>
        </w:rPr>
        <w:t>/1)</w:t>
      </w:r>
    </w:p>
    <w:bookmarkEnd w:id="75"/>
    <w:p w14:paraId="5F2F2568"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1.</w:t>
      </w:r>
      <w:r w:rsidRPr="007576F0">
        <w:rPr>
          <w:rFonts w:ascii="標楷體" w:eastAsia="標楷體" w:hAnsi="標楷體" w:hint="eastAsia"/>
          <w:szCs w:val="24"/>
        </w:rPr>
        <w:t>用於未曾接受</w:t>
      </w:r>
      <w:r w:rsidRPr="007576F0">
        <w:rPr>
          <w:rFonts w:ascii="標楷體" w:eastAsia="標楷體" w:hAnsi="標楷體"/>
          <w:szCs w:val="24"/>
        </w:rPr>
        <w:t xml:space="preserve">Janus </w:t>
      </w:r>
      <w:r w:rsidRPr="007576F0">
        <w:rPr>
          <w:rFonts w:ascii="標楷體" w:eastAsia="標楷體" w:hAnsi="標楷體" w:hint="eastAsia"/>
          <w:szCs w:val="24"/>
        </w:rPr>
        <w:t>激酶抑制劑（</w:t>
      </w:r>
      <w:r w:rsidRPr="007576F0">
        <w:rPr>
          <w:rFonts w:ascii="標楷體" w:eastAsia="標楷體" w:hAnsi="標楷體"/>
          <w:szCs w:val="24"/>
        </w:rPr>
        <w:t>JAK inhibitor</w:t>
      </w:r>
      <w:r w:rsidRPr="007576F0">
        <w:rPr>
          <w:rFonts w:ascii="標楷體" w:eastAsia="標楷體" w:hAnsi="標楷體" w:hint="eastAsia"/>
          <w:szCs w:val="24"/>
        </w:rPr>
        <w:t>）治療或曾接受</w:t>
      </w:r>
      <w:proofErr w:type="spellStart"/>
      <w:r w:rsidRPr="007576F0">
        <w:rPr>
          <w:rFonts w:ascii="標楷體" w:eastAsia="標楷體" w:hAnsi="標楷體"/>
          <w:szCs w:val="24"/>
        </w:rPr>
        <w:t>ruxolitinib</w:t>
      </w:r>
      <w:proofErr w:type="spellEnd"/>
      <w:r w:rsidRPr="007576F0">
        <w:rPr>
          <w:rFonts w:ascii="標楷體" w:eastAsia="標楷體" w:hAnsi="標楷體"/>
          <w:szCs w:val="24"/>
        </w:rPr>
        <w:t xml:space="preserve"> </w:t>
      </w:r>
      <w:r w:rsidRPr="007576F0">
        <w:rPr>
          <w:rFonts w:ascii="標楷體" w:eastAsia="標楷體" w:hAnsi="標楷體" w:hint="eastAsia"/>
          <w:szCs w:val="24"/>
        </w:rPr>
        <w:t>治療後不耐受或有禁忌症，且為</w:t>
      </w:r>
      <w:r w:rsidRPr="007576F0">
        <w:rPr>
          <w:rFonts w:ascii="標楷體" w:eastAsia="標楷體" w:hAnsi="標楷體"/>
          <w:szCs w:val="24"/>
        </w:rPr>
        <w:t>International Working Group</w:t>
      </w:r>
      <w:r w:rsidRPr="007576F0">
        <w:rPr>
          <w:rFonts w:ascii="標楷體" w:eastAsia="標楷體" w:hAnsi="標楷體" w:hint="eastAsia"/>
          <w:szCs w:val="24"/>
        </w:rPr>
        <w:t>（</w:t>
      </w:r>
      <w:r w:rsidRPr="007576F0">
        <w:rPr>
          <w:rFonts w:ascii="標楷體" w:eastAsia="標楷體" w:hAnsi="標楷體"/>
          <w:szCs w:val="24"/>
        </w:rPr>
        <w:t>IWG</w:t>
      </w:r>
      <w:r w:rsidRPr="007576F0">
        <w:rPr>
          <w:rFonts w:ascii="標楷體" w:eastAsia="標楷體" w:hAnsi="標楷體" w:hint="eastAsia"/>
          <w:szCs w:val="24"/>
        </w:rPr>
        <w:t>）</w:t>
      </w:r>
      <w:r w:rsidRPr="007576F0">
        <w:rPr>
          <w:rFonts w:ascii="標楷體" w:eastAsia="標楷體" w:hAnsi="標楷體"/>
          <w:szCs w:val="24"/>
        </w:rPr>
        <w:t xml:space="preserve">Consensus Criteria </w:t>
      </w:r>
      <w:r w:rsidRPr="007576F0">
        <w:rPr>
          <w:rFonts w:ascii="標楷體" w:eastAsia="標楷體" w:hAnsi="標楷體" w:hint="eastAsia"/>
          <w:szCs w:val="24"/>
        </w:rPr>
        <w:t>中度風險或高風險之骨髓纖維化，包括原發性骨髓纖維化、真性紅血球增多症後骨髓纖維化、或血小板增多症後骨髓纖維化等疾病所造成脾臟腫大（</w:t>
      </w:r>
      <w:r w:rsidRPr="007576F0">
        <w:rPr>
          <w:rFonts w:ascii="標楷體" w:eastAsia="標楷體" w:hAnsi="標楷體"/>
          <w:szCs w:val="24"/>
        </w:rPr>
        <w:t>symptomatic splenomegaly</w:t>
      </w:r>
      <w:r w:rsidRPr="007576F0">
        <w:rPr>
          <w:rFonts w:ascii="標楷體" w:eastAsia="標楷體" w:hAnsi="標楷體" w:hint="eastAsia"/>
          <w:szCs w:val="24"/>
        </w:rPr>
        <w:t>）及</w:t>
      </w:r>
      <w:r w:rsidRPr="007576F0">
        <w:rPr>
          <w:rFonts w:ascii="標楷體" w:eastAsia="標楷體" w:hAnsi="標楷體"/>
          <w:szCs w:val="24"/>
        </w:rPr>
        <w:t>/</w:t>
      </w:r>
      <w:r w:rsidRPr="007576F0">
        <w:rPr>
          <w:rFonts w:ascii="標楷體" w:eastAsia="標楷體" w:hAnsi="標楷體" w:hint="eastAsia"/>
          <w:szCs w:val="24"/>
        </w:rPr>
        <w:t>或其他相關全身症狀且不適於接受幹細胞移植的成人病人（</w:t>
      </w:r>
      <w:r w:rsidRPr="007576F0">
        <w:rPr>
          <w:rFonts w:ascii="標楷體" w:eastAsia="標楷體" w:hAnsi="標楷體"/>
          <w:szCs w:val="24"/>
        </w:rPr>
        <w:t>stem cell transplantation</w:t>
      </w:r>
      <w:r w:rsidRPr="007576F0">
        <w:rPr>
          <w:rFonts w:ascii="標楷體" w:eastAsia="標楷體" w:hAnsi="標楷體" w:hint="eastAsia"/>
          <w:szCs w:val="24"/>
        </w:rPr>
        <w:t>）。</w:t>
      </w:r>
    </w:p>
    <w:p w14:paraId="2EBAF36E" w14:textId="77777777" w:rsidR="007576F0" w:rsidRPr="007576F0" w:rsidRDefault="007576F0" w:rsidP="007576F0">
      <w:pPr>
        <w:tabs>
          <w:tab w:val="left" w:pos="1185"/>
        </w:tabs>
        <w:spacing w:line="300" w:lineRule="exact"/>
        <w:ind w:left="1051" w:hanging="245"/>
        <w:jc w:val="both"/>
        <w:rPr>
          <w:rFonts w:ascii="標楷體" w:eastAsia="標楷體" w:hAnsi="標楷體"/>
          <w:szCs w:val="24"/>
        </w:rPr>
      </w:pPr>
      <w:r w:rsidRPr="007576F0">
        <w:rPr>
          <w:rFonts w:ascii="標楷體" w:eastAsia="標楷體" w:hAnsi="標楷體"/>
          <w:szCs w:val="24"/>
        </w:rPr>
        <w:t>(1)</w:t>
      </w:r>
      <w:r w:rsidRPr="007576F0">
        <w:rPr>
          <w:rFonts w:ascii="標楷體" w:eastAsia="標楷體" w:hAnsi="標楷體" w:hint="eastAsia"/>
          <w:szCs w:val="24"/>
        </w:rPr>
        <w:t>需經事前審查核准後使用，每次申請之療程以</w:t>
      </w:r>
      <w:r w:rsidRPr="007576F0">
        <w:rPr>
          <w:rFonts w:ascii="標楷體" w:eastAsia="標楷體" w:hAnsi="標楷體"/>
          <w:szCs w:val="24"/>
        </w:rPr>
        <w:t>6</w:t>
      </w:r>
      <w:r w:rsidRPr="007576F0">
        <w:rPr>
          <w:rFonts w:ascii="標楷體" w:eastAsia="標楷體" w:hAnsi="標楷體" w:hint="eastAsia"/>
          <w:szCs w:val="24"/>
        </w:rPr>
        <w:t>個月為限，送審時需檢送影像資料及症狀改善之病歷紀錄，每</w:t>
      </w:r>
      <w:r w:rsidRPr="007576F0">
        <w:rPr>
          <w:rFonts w:ascii="標楷體" w:eastAsia="標楷體" w:hAnsi="標楷體"/>
          <w:szCs w:val="24"/>
        </w:rPr>
        <w:t>6</w:t>
      </w:r>
      <w:r w:rsidRPr="007576F0">
        <w:rPr>
          <w:rFonts w:ascii="標楷體" w:eastAsia="標楷體" w:hAnsi="標楷體" w:hint="eastAsia"/>
          <w:szCs w:val="24"/>
        </w:rPr>
        <w:t>個月評估一次。</w:t>
      </w:r>
    </w:p>
    <w:p w14:paraId="551984F9" w14:textId="77777777" w:rsidR="007576F0" w:rsidRPr="007576F0" w:rsidRDefault="007576F0" w:rsidP="007576F0">
      <w:pPr>
        <w:tabs>
          <w:tab w:val="left" w:pos="1185"/>
        </w:tabs>
        <w:spacing w:line="300" w:lineRule="exact"/>
        <w:ind w:left="1051" w:hanging="245"/>
        <w:jc w:val="both"/>
        <w:rPr>
          <w:rFonts w:ascii="標楷體" w:eastAsia="標楷體" w:hAnsi="標楷體"/>
          <w:szCs w:val="24"/>
        </w:rPr>
      </w:pPr>
      <w:r w:rsidRPr="007576F0">
        <w:rPr>
          <w:rFonts w:ascii="標楷體" w:eastAsia="標楷體" w:hAnsi="標楷體"/>
          <w:szCs w:val="24"/>
        </w:rPr>
        <w:t>(2)</w:t>
      </w:r>
      <w:r w:rsidRPr="007576F0">
        <w:rPr>
          <w:rFonts w:ascii="標楷體" w:eastAsia="標楷體" w:hAnsi="標楷體" w:hint="eastAsia"/>
          <w:szCs w:val="24"/>
        </w:rPr>
        <w:t>用藥後第一次評估時，需達到症狀反應</w:t>
      </w:r>
      <w:r w:rsidRPr="007576F0">
        <w:rPr>
          <w:rFonts w:ascii="標楷體" w:eastAsia="標楷體" w:hAnsi="標楷體"/>
          <w:szCs w:val="24"/>
        </w:rPr>
        <w:t>(symptom response)</w:t>
      </w:r>
      <w:r w:rsidRPr="007576F0">
        <w:rPr>
          <w:rFonts w:ascii="標楷體" w:eastAsia="標楷體" w:hAnsi="標楷體" w:hint="eastAsia"/>
          <w:szCs w:val="24"/>
        </w:rPr>
        <w:t>或脾臟體積無惡化兩者之一，且同時無</w:t>
      </w:r>
      <w:r w:rsidRPr="007576F0">
        <w:rPr>
          <w:rFonts w:ascii="標楷體" w:eastAsia="標楷體" w:hAnsi="標楷體"/>
          <w:szCs w:val="24"/>
        </w:rPr>
        <w:t xml:space="preserve">AML </w:t>
      </w:r>
      <w:proofErr w:type="spellStart"/>
      <w:r w:rsidRPr="007576F0">
        <w:rPr>
          <w:rFonts w:ascii="標楷體" w:eastAsia="標楷體" w:hAnsi="標楷體"/>
          <w:szCs w:val="24"/>
        </w:rPr>
        <w:t>tranformation</w:t>
      </w:r>
      <w:proofErr w:type="spellEnd"/>
      <w:r w:rsidRPr="007576F0">
        <w:rPr>
          <w:rFonts w:ascii="標楷體" w:eastAsia="標楷體" w:hAnsi="標楷體" w:hint="eastAsia"/>
          <w:szCs w:val="24"/>
        </w:rPr>
        <w:t>，方得以繼續使用。分別定義如下：</w:t>
      </w:r>
    </w:p>
    <w:p w14:paraId="4F0F1F45" w14:textId="77777777" w:rsidR="007576F0" w:rsidRPr="007576F0" w:rsidRDefault="007576F0" w:rsidP="007576F0">
      <w:pPr>
        <w:spacing w:line="300" w:lineRule="exact"/>
        <w:ind w:leftChars="438" w:left="1416" w:hangingChars="152" w:hanging="365"/>
        <w:rPr>
          <w:rFonts w:ascii="標楷體" w:eastAsia="標楷體" w:hAnsi="標楷體"/>
          <w:szCs w:val="24"/>
        </w:rPr>
      </w:pPr>
      <w:r w:rsidRPr="007576F0">
        <w:rPr>
          <w:rFonts w:ascii="標楷體" w:eastAsia="標楷體" w:hAnsi="標楷體" w:hint="eastAsia"/>
          <w:szCs w:val="24"/>
        </w:rPr>
        <w:t>Ⅰ</w:t>
      </w:r>
      <w:r w:rsidRPr="007576F0">
        <w:rPr>
          <w:rFonts w:ascii="標楷體" w:eastAsia="標楷體" w:hAnsi="標楷體"/>
          <w:szCs w:val="24"/>
        </w:rPr>
        <w:t>.</w:t>
      </w:r>
      <w:r w:rsidRPr="007576F0">
        <w:rPr>
          <w:rFonts w:ascii="標楷體" w:eastAsia="標楷體" w:hAnsi="標楷體" w:hint="eastAsia"/>
          <w:szCs w:val="24"/>
        </w:rPr>
        <w:t>症狀反應：</w:t>
      </w:r>
      <w:r w:rsidRPr="007576F0">
        <w:rPr>
          <w:rFonts w:ascii="標楷體" w:eastAsia="標楷體" w:hAnsi="標楷體"/>
          <w:szCs w:val="24"/>
        </w:rPr>
        <w:t>MPN-SAF-TSS</w:t>
      </w:r>
      <w:r w:rsidRPr="007576F0">
        <w:rPr>
          <w:rFonts w:ascii="標楷體" w:eastAsia="標楷體" w:hAnsi="標楷體" w:hint="eastAsia"/>
          <w:szCs w:val="24"/>
        </w:rPr>
        <w:t>分數或</w:t>
      </w:r>
      <w:r w:rsidRPr="007576F0">
        <w:rPr>
          <w:rFonts w:ascii="標楷體" w:eastAsia="標楷體" w:hAnsi="標楷體"/>
          <w:szCs w:val="24"/>
        </w:rPr>
        <w:t>MPN-10</w:t>
      </w:r>
      <w:r w:rsidRPr="007576F0">
        <w:rPr>
          <w:rFonts w:ascii="標楷體" w:eastAsia="標楷體" w:hAnsi="標楷體" w:hint="eastAsia"/>
          <w:szCs w:val="24"/>
        </w:rPr>
        <w:t>與治療前基準值相比，需下降超過</w:t>
      </w:r>
      <w:r w:rsidRPr="007576F0">
        <w:rPr>
          <w:rFonts w:ascii="標楷體" w:eastAsia="標楷體" w:hAnsi="標楷體"/>
          <w:szCs w:val="24"/>
        </w:rPr>
        <w:t>50%</w:t>
      </w:r>
      <w:r w:rsidRPr="007576F0">
        <w:rPr>
          <w:rFonts w:ascii="標楷體" w:eastAsia="標楷體" w:hAnsi="標楷體" w:hint="eastAsia"/>
          <w:szCs w:val="24"/>
        </w:rPr>
        <w:t>。</w:t>
      </w:r>
    </w:p>
    <w:p w14:paraId="122F799A" w14:textId="77777777" w:rsidR="007576F0" w:rsidRPr="007576F0" w:rsidRDefault="007576F0" w:rsidP="007576F0">
      <w:pPr>
        <w:spacing w:line="300" w:lineRule="exact"/>
        <w:ind w:leftChars="438" w:left="1416" w:hangingChars="152" w:hanging="365"/>
        <w:rPr>
          <w:rFonts w:ascii="標楷體" w:eastAsia="標楷體" w:hAnsi="標楷體"/>
          <w:szCs w:val="24"/>
        </w:rPr>
      </w:pPr>
      <w:r w:rsidRPr="007576F0">
        <w:rPr>
          <w:rFonts w:ascii="標楷體" w:eastAsia="標楷體" w:hAnsi="標楷體" w:hint="eastAsia"/>
          <w:szCs w:val="24"/>
        </w:rPr>
        <w:t>Ⅱ</w:t>
      </w:r>
      <w:r w:rsidRPr="007576F0">
        <w:rPr>
          <w:rFonts w:ascii="標楷體" w:eastAsia="標楷體" w:hAnsi="標楷體"/>
          <w:szCs w:val="24"/>
        </w:rPr>
        <w:t>.</w:t>
      </w:r>
      <w:r w:rsidRPr="007576F0">
        <w:rPr>
          <w:rFonts w:ascii="標楷體" w:eastAsia="標楷體" w:hAnsi="標楷體" w:hint="eastAsia"/>
          <w:szCs w:val="24"/>
        </w:rPr>
        <w:t>脾臟體積無惡化：使用電腦斷層評估，脾臟長度未增加超過治療前基準值之</w:t>
      </w:r>
      <w:r w:rsidRPr="007576F0">
        <w:rPr>
          <w:rFonts w:ascii="標楷體" w:eastAsia="標楷體" w:hAnsi="標楷體"/>
          <w:szCs w:val="24"/>
        </w:rPr>
        <w:t>40%</w:t>
      </w:r>
      <w:r w:rsidRPr="007576F0">
        <w:rPr>
          <w:rFonts w:ascii="標楷體" w:eastAsia="標楷體" w:hAnsi="標楷體" w:hint="eastAsia"/>
          <w:szCs w:val="24"/>
        </w:rPr>
        <w:t>以上</w:t>
      </w:r>
      <w:r w:rsidRPr="007576F0">
        <w:rPr>
          <w:rFonts w:ascii="標楷體" w:eastAsia="標楷體" w:hAnsi="標楷體"/>
          <w:szCs w:val="24"/>
        </w:rPr>
        <w:t>(</w:t>
      </w:r>
      <w:r w:rsidRPr="007576F0">
        <w:rPr>
          <w:rFonts w:ascii="標楷體" w:eastAsia="標楷體" w:hAnsi="標楷體" w:hint="eastAsia"/>
          <w:szCs w:val="24"/>
        </w:rPr>
        <w:t>或體積增加未達</w:t>
      </w:r>
      <w:r w:rsidRPr="007576F0">
        <w:rPr>
          <w:rFonts w:ascii="標楷體" w:eastAsia="標楷體" w:hAnsi="標楷體"/>
          <w:szCs w:val="24"/>
        </w:rPr>
        <w:t>25%</w:t>
      </w:r>
      <w:r w:rsidRPr="007576F0">
        <w:rPr>
          <w:rFonts w:ascii="標楷體" w:eastAsia="標楷體" w:hAnsi="標楷體" w:hint="eastAsia"/>
          <w:szCs w:val="24"/>
        </w:rPr>
        <w:t>以上</w:t>
      </w:r>
      <w:r w:rsidRPr="007576F0">
        <w:rPr>
          <w:rFonts w:ascii="標楷體" w:eastAsia="標楷體" w:hAnsi="標楷體"/>
          <w:szCs w:val="24"/>
        </w:rPr>
        <w:t>)</w:t>
      </w:r>
      <w:r w:rsidRPr="007576F0">
        <w:rPr>
          <w:rFonts w:ascii="標楷體" w:eastAsia="標楷體" w:hAnsi="標楷體" w:hint="eastAsia"/>
          <w:szCs w:val="24"/>
        </w:rPr>
        <w:t>。</w:t>
      </w:r>
    </w:p>
    <w:p w14:paraId="4258D320" w14:textId="77777777" w:rsidR="007576F0" w:rsidRPr="007576F0" w:rsidRDefault="007576F0" w:rsidP="007576F0">
      <w:pPr>
        <w:spacing w:line="300" w:lineRule="exact"/>
        <w:ind w:leftChars="438" w:left="1416" w:hangingChars="152" w:hanging="365"/>
        <w:rPr>
          <w:rFonts w:ascii="標楷體" w:eastAsia="標楷體" w:hAnsi="標楷體"/>
          <w:szCs w:val="24"/>
        </w:rPr>
      </w:pPr>
      <w:r w:rsidRPr="007576F0">
        <w:rPr>
          <w:rFonts w:ascii="標楷體" w:eastAsia="標楷體" w:hAnsi="標楷體" w:hint="eastAsia"/>
          <w:szCs w:val="24"/>
        </w:rPr>
        <w:t>Ⅲ</w:t>
      </w:r>
      <w:r w:rsidRPr="007576F0">
        <w:rPr>
          <w:rFonts w:ascii="標楷體" w:eastAsia="標楷體" w:hAnsi="標楷體"/>
          <w:szCs w:val="24"/>
        </w:rPr>
        <w:t>.AML transformation</w:t>
      </w:r>
      <w:r w:rsidRPr="007576F0">
        <w:rPr>
          <w:rFonts w:ascii="標楷體" w:eastAsia="標楷體" w:hAnsi="標楷體" w:hint="eastAsia"/>
          <w:szCs w:val="24"/>
        </w:rPr>
        <w:t>：骨髓中之芽細胞</w:t>
      </w:r>
      <w:r w:rsidRPr="007576F0">
        <w:rPr>
          <w:rFonts w:eastAsia="標楷體"/>
          <w:szCs w:val="24"/>
        </w:rPr>
        <w:t>≥</w:t>
      </w:r>
      <w:r w:rsidRPr="007576F0">
        <w:rPr>
          <w:rFonts w:ascii="標楷體" w:eastAsia="標楷體" w:hAnsi="標楷體"/>
          <w:szCs w:val="24"/>
        </w:rPr>
        <w:t>20%</w:t>
      </w:r>
      <w:r w:rsidRPr="007576F0">
        <w:rPr>
          <w:rFonts w:ascii="標楷體" w:eastAsia="標楷體" w:hAnsi="標楷體" w:hint="eastAsia"/>
          <w:szCs w:val="24"/>
        </w:rPr>
        <w:t>或血液中之芽細胞</w:t>
      </w:r>
      <w:r w:rsidRPr="007576F0">
        <w:rPr>
          <w:rFonts w:eastAsia="標楷體"/>
          <w:szCs w:val="24"/>
        </w:rPr>
        <w:t>≥</w:t>
      </w:r>
      <w:r w:rsidRPr="007576F0">
        <w:rPr>
          <w:rFonts w:ascii="標楷體" w:eastAsia="標楷體" w:hAnsi="標楷體"/>
          <w:szCs w:val="24"/>
        </w:rPr>
        <w:t>20%</w:t>
      </w:r>
      <w:r w:rsidRPr="007576F0">
        <w:rPr>
          <w:rFonts w:ascii="標楷體" w:eastAsia="標楷體" w:hAnsi="標楷體" w:hint="eastAsia"/>
          <w:szCs w:val="24"/>
        </w:rPr>
        <w:t>合併芽細胞數值</w:t>
      </w:r>
      <w:r w:rsidRPr="007576F0">
        <w:rPr>
          <w:rFonts w:eastAsia="標楷體"/>
          <w:szCs w:val="24"/>
        </w:rPr>
        <w:t>≥</w:t>
      </w:r>
      <w:r w:rsidRPr="007576F0">
        <w:rPr>
          <w:rFonts w:ascii="標楷體" w:eastAsia="標楷體" w:hAnsi="標楷體"/>
          <w:szCs w:val="24"/>
        </w:rPr>
        <w:t>1</w:t>
      </w:r>
      <w:r w:rsidRPr="007576F0">
        <w:rPr>
          <w:rFonts w:ascii="標楷體" w:eastAsia="標楷體" w:hAnsi="標楷體" w:cs="標楷體"/>
          <w:szCs w:val="24"/>
        </w:rPr>
        <w:t>×</w:t>
      </w:r>
      <w:r w:rsidRPr="007576F0">
        <w:rPr>
          <w:rFonts w:ascii="標楷體" w:eastAsia="標楷體" w:hAnsi="標楷體"/>
          <w:szCs w:val="24"/>
        </w:rPr>
        <w:t>10</w:t>
      </w:r>
      <w:r w:rsidRPr="007576F0">
        <w:rPr>
          <w:rFonts w:ascii="標楷體" w:eastAsia="標楷體" w:hAnsi="標楷體"/>
          <w:szCs w:val="24"/>
          <w:vertAlign w:val="superscript"/>
        </w:rPr>
        <w:t>9</w:t>
      </w:r>
      <w:r w:rsidRPr="007576F0">
        <w:rPr>
          <w:rFonts w:ascii="標楷體" w:eastAsia="標楷體" w:hAnsi="標楷體"/>
          <w:szCs w:val="24"/>
        </w:rPr>
        <w:t>/L</w:t>
      </w:r>
      <w:r w:rsidRPr="007576F0">
        <w:rPr>
          <w:rFonts w:ascii="標楷體" w:eastAsia="標楷體" w:hAnsi="標楷體" w:hint="eastAsia"/>
          <w:szCs w:val="24"/>
        </w:rPr>
        <w:t>。</w:t>
      </w:r>
    </w:p>
    <w:p w14:paraId="64A845B8" w14:textId="77777777" w:rsidR="007576F0" w:rsidRPr="007576F0" w:rsidRDefault="007576F0" w:rsidP="007576F0">
      <w:pPr>
        <w:tabs>
          <w:tab w:val="left" w:pos="1185"/>
        </w:tabs>
        <w:spacing w:line="300" w:lineRule="exact"/>
        <w:ind w:left="1051" w:hanging="245"/>
        <w:jc w:val="both"/>
        <w:rPr>
          <w:rFonts w:ascii="標楷體" w:eastAsia="標楷體" w:hAnsi="標楷體"/>
          <w:szCs w:val="24"/>
        </w:rPr>
      </w:pPr>
      <w:r w:rsidRPr="007576F0">
        <w:rPr>
          <w:rFonts w:ascii="標楷體" w:eastAsia="標楷體" w:hAnsi="標楷體"/>
          <w:szCs w:val="24"/>
        </w:rPr>
        <w:t>(3)</w:t>
      </w:r>
      <w:r w:rsidRPr="007576F0">
        <w:rPr>
          <w:rFonts w:ascii="標楷體" w:eastAsia="標楷體" w:hAnsi="標楷體" w:hint="eastAsia"/>
          <w:szCs w:val="24"/>
        </w:rPr>
        <w:t>用藥後第二次及其後的評估，必須顯示無疾病惡化（無症狀惡化且脾臟體積無惡化，並同時無</w:t>
      </w:r>
      <w:r w:rsidRPr="007576F0">
        <w:rPr>
          <w:rFonts w:ascii="標楷體" w:eastAsia="標楷體" w:hAnsi="標楷體"/>
          <w:szCs w:val="24"/>
        </w:rPr>
        <w:t>AML transformation</w:t>
      </w:r>
      <w:r w:rsidRPr="007576F0">
        <w:rPr>
          <w:rFonts w:ascii="標楷體" w:eastAsia="標楷體" w:hAnsi="標楷體" w:hint="eastAsia"/>
          <w:szCs w:val="24"/>
        </w:rPr>
        <w:t>），方得以繼續使用。分別定義如下：</w:t>
      </w:r>
    </w:p>
    <w:p w14:paraId="26878E8B" w14:textId="77777777" w:rsidR="007576F0" w:rsidRPr="007576F0" w:rsidRDefault="007576F0" w:rsidP="007576F0">
      <w:pPr>
        <w:spacing w:line="300" w:lineRule="exact"/>
        <w:ind w:leftChars="438" w:left="1416" w:hangingChars="152" w:hanging="365"/>
        <w:rPr>
          <w:rFonts w:ascii="標楷體" w:eastAsia="標楷體" w:hAnsi="標楷體"/>
          <w:szCs w:val="24"/>
        </w:rPr>
      </w:pPr>
      <w:r w:rsidRPr="007576F0">
        <w:rPr>
          <w:rFonts w:ascii="標楷體" w:eastAsia="標楷體" w:hAnsi="標楷體" w:hint="eastAsia"/>
          <w:szCs w:val="24"/>
        </w:rPr>
        <w:t>Ⅰ</w:t>
      </w:r>
      <w:r w:rsidRPr="007576F0">
        <w:rPr>
          <w:rFonts w:ascii="標楷體" w:eastAsia="標楷體" w:hAnsi="標楷體"/>
          <w:szCs w:val="24"/>
        </w:rPr>
        <w:t>.</w:t>
      </w:r>
      <w:r w:rsidRPr="007576F0">
        <w:rPr>
          <w:rFonts w:ascii="標楷體" w:eastAsia="標楷體" w:hAnsi="標楷體" w:hint="eastAsia"/>
          <w:szCs w:val="24"/>
        </w:rPr>
        <w:t>無症狀惡化：未出現新症狀，且</w:t>
      </w:r>
      <w:r w:rsidRPr="007576F0">
        <w:rPr>
          <w:rFonts w:ascii="標楷體" w:eastAsia="標楷體" w:hAnsi="標楷體"/>
          <w:szCs w:val="24"/>
        </w:rPr>
        <w:t>MPN-SAF-TSS</w:t>
      </w:r>
      <w:r w:rsidRPr="007576F0">
        <w:rPr>
          <w:rFonts w:ascii="標楷體" w:eastAsia="標楷體" w:hAnsi="標楷體" w:hint="eastAsia"/>
          <w:szCs w:val="24"/>
        </w:rPr>
        <w:t>分數或</w:t>
      </w:r>
      <w:r w:rsidRPr="007576F0">
        <w:rPr>
          <w:rFonts w:ascii="標楷體" w:eastAsia="標楷體" w:hAnsi="標楷體"/>
          <w:szCs w:val="24"/>
        </w:rPr>
        <w:t>MPN-10</w:t>
      </w:r>
      <w:r w:rsidRPr="007576F0">
        <w:rPr>
          <w:rFonts w:ascii="標楷體" w:eastAsia="標楷體" w:hAnsi="標楷體" w:hint="eastAsia"/>
          <w:szCs w:val="24"/>
        </w:rPr>
        <w:t>未超過治療前的基準值。</w:t>
      </w:r>
    </w:p>
    <w:p w14:paraId="39743726" w14:textId="77777777" w:rsidR="007576F0" w:rsidRPr="007576F0" w:rsidRDefault="007576F0" w:rsidP="007576F0">
      <w:pPr>
        <w:spacing w:line="300" w:lineRule="exact"/>
        <w:ind w:leftChars="438" w:left="1416" w:hangingChars="152" w:hanging="365"/>
        <w:rPr>
          <w:rFonts w:ascii="標楷體" w:eastAsia="標楷體" w:hAnsi="標楷體"/>
          <w:szCs w:val="24"/>
        </w:rPr>
      </w:pPr>
      <w:r w:rsidRPr="007576F0">
        <w:rPr>
          <w:rFonts w:ascii="標楷體" w:eastAsia="標楷體" w:hAnsi="標楷體" w:hint="eastAsia"/>
          <w:szCs w:val="24"/>
        </w:rPr>
        <w:t>Ⅱ</w:t>
      </w:r>
      <w:r w:rsidRPr="007576F0">
        <w:rPr>
          <w:rFonts w:ascii="標楷體" w:eastAsia="標楷體" w:hAnsi="標楷體"/>
          <w:szCs w:val="24"/>
        </w:rPr>
        <w:t>.</w:t>
      </w:r>
      <w:r w:rsidRPr="007576F0">
        <w:rPr>
          <w:rFonts w:ascii="標楷體" w:eastAsia="標楷體" w:hAnsi="標楷體" w:hint="eastAsia"/>
          <w:szCs w:val="24"/>
        </w:rPr>
        <w:t>脾臟體積無惡化：使用電腦斷層評估，脾臟長度未增加超過最佳反應</w:t>
      </w:r>
      <w:r w:rsidRPr="007576F0">
        <w:rPr>
          <w:rFonts w:ascii="標楷體" w:eastAsia="標楷體" w:hAnsi="標楷體"/>
          <w:szCs w:val="24"/>
        </w:rPr>
        <w:t>(best response)</w:t>
      </w:r>
      <w:r w:rsidRPr="007576F0">
        <w:rPr>
          <w:rFonts w:ascii="標楷體" w:eastAsia="標楷體" w:hAnsi="標楷體" w:hint="eastAsia"/>
          <w:szCs w:val="24"/>
        </w:rPr>
        <w:t>時之脾臟長度</w:t>
      </w:r>
      <w:r w:rsidRPr="007576F0">
        <w:rPr>
          <w:rFonts w:ascii="標楷體" w:eastAsia="標楷體" w:hAnsi="標楷體"/>
          <w:szCs w:val="24"/>
        </w:rPr>
        <w:t>40%</w:t>
      </w:r>
      <w:r w:rsidRPr="007576F0">
        <w:rPr>
          <w:rFonts w:ascii="標楷體" w:eastAsia="標楷體" w:hAnsi="標楷體" w:hint="eastAsia"/>
          <w:szCs w:val="24"/>
        </w:rPr>
        <w:t>以上</w:t>
      </w:r>
      <w:r w:rsidRPr="007576F0">
        <w:rPr>
          <w:rFonts w:ascii="標楷體" w:eastAsia="標楷體" w:hAnsi="標楷體"/>
          <w:szCs w:val="24"/>
        </w:rPr>
        <w:t>(</w:t>
      </w:r>
      <w:r w:rsidRPr="007576F0">
        <w:rPr>
          <w:rFonts w:ascii="標楷體" w:eastAsia="標楷體" w:hAnsi="標楷體" w:hint="eastAsia"/>
          <w:szCs w:val="24"/>
        </w:rPr>
        <w:t>或體積增加未達</w:t>
      </w:r>
      <w:r w:rsidRPr="007576F0">
        <w:rPr>
          <w:rFonts w:ascii="標楷體" w:eastAsia="標楷體" w:hAnsi="標楷體"/>
          <w:szCs w:val="24"/>
        </w:rPr>
        <w:t>25%</w:t>
      </w:r>
      <w:r w:rsidRPr="007576F0">
        <w:rPr>
          <w:rFonts w:ascii="標楷體" w:eastAsia="標楷體" w:hAnsi="標楷體" w:hint="eastAsia"/>
          <w:szCs w:val="24"/>
        </w:rPr>
        <w:t>以上</w:t>
      </w:r>
      <w:r w:rsidRPr="007576F0">
        <w:rPr>
          <w:rFonts w:ascii="標楷體" w:eastAsia="標楷體" w:hAnsi="標楷體"/>
          <w:szCs w:val="24"/>
        </w:rPr>
        <w:t>)</w:t>
      </w:r>
      <w:r w:rsidRPr="007576F0">
        <w:rPr>
          <w:rFonts w:ascii="標楷體" w:eastAsia="標楷體" w:hAnsi="標楷體" w:hint="eastAsia"/>
          <w:szCs w:val="24"/>
        </w:rPr>
        <w:t>。</w:t>
      </w:r>
    </w:p>
    <w:p w14:paraId="3A747FAD" w14:textId="77777777" w:rsidR="007576F0" w:rsidRPr="007576F0" w:rsidRDefault="007576F0" w:rsidP="007576F0">
      <w:pPr>
        <w:spacing w:line="300" w:lineRule="exact"/>
        <w:ind w:leftChars="438" w:left="1416" w:hangingChars="152" w:hanging="365"/>
        <w:rPr>
          <w:rFonts w:ascii="標楷體" w:eastAsia="標楷體" w:hAnsi="標楷體"/>
          <w:szCs w:val="24"/>
        </w:rPr>
      </w:pPr>
      <w:r w:rsidRPr="007576F0">
        <w:rPr>
          <w:rFonts w:ascii="標楷體" w:eastAsia="標楷體" w:hAnsi="標楷體" w:hint="eastAsia"/>
          <w:szCs w:val="24"/>
        </w:rPr>
        <w:t>Ⅲ</w:t>
      </w:r>
      <w:r w:rsidRPr="007576F0">
        <w:rPr>
          <w:rFonts w:ascii="標楷體" w:eastAsia="標楷體" w:hAnsi="標楷體"/>
          <w:szCs w:val="24"/>
        </w:rPr>
        <w:t>.AML transformation</w:t>
      </w:r>
      <w:r w:rsidRPr="007576F0">
        <w:rPr>
          <w:rFonts w:ascii="標楷體" w:eastAsia="標楷體" w:hAnsi="標楷體" w:hint="eastAsia"/>
          <w:szCs w:val="24"/>
        </w:rPr>
        <w:t>：骨髓中之芽細胞</w:t>
      </w:r>
      <w:r w:rsidRPr="007576F0">
        <w:rPr>
          <w:rFonts w:eastAsia="標楷體"/>
          <w:szCs w:val="24"/>
        </w:rPr>
        <w:t>≥</w:t>
      </w:r>
      <w:r w:rsidRPr="007576F0">
        <w:rPr>
          <w:rFonts w:ascii="標楷體" w:eastAsia="標楷體" w:hAnsi="標楷體"/>
          <w:szCs w:val="24"/>
        </w:rPr>
        <w:t>20%</w:t>
      </w:r>
      <w:r w:rsidRPr="007576F0">
        <w:rPr>
          <w:rFonts w:ascii="標楷體" w:eastAsia="標楷體" w:hAnsi="標楷體" w:hint="eastAsia"/>
          <w:szCs w:val="24"/>
        </w:rPr>
        <w:t>或血液中之芽細胞</w:t>
      </w:r>
      <w:r w:rsidRPr="007576F0">
        <w:rPr>
          <w:rFonts w:eastAsia="標楷體"/>
          <w:szCs w:val="24"/>
        </w:rPr>
        <w:t>≥</w:t>
      </w:r>
      <w:r w:rsidRPr="007576F0">
        <w:rPr>
          <w:rFonts w:ascii="標楷體" w:eastAsia="標楷體" w:hAnsi="標楷體"/>
          <w:szCs w:val="24"/>
        </w:rPr>
        <w:t>20%</w:t>
      </w:r>
      <w:r w:rsidRPr="007576F0">
        <w:rPr>
          <w:rFonts w:ascii="標楷體" w:eastAsia="標楷體" w:hAnsi="標楷體" w:hint="eastAsia"/>
          <w:szCs w:val="24"/>
        </w:rPr>
        <w:t>合併芽細胞數值</w:t>
      </w:r>
      <w:r w:rsidRPr="007576F0">
        <w:rPr>
          <w:rFonts w:eastAsia="標楷體"/>
          <w:szCs w:val="24"/>
        </w:rPr>
        <w:t>≥</w:t>
      </w:r>
      <w:r w:rsidRPr="007576F0">
        <w:rPr>
          <w:rFonts w:ascii="標楷體" w:eastAsia="標楷體" w:hAnsi="標楷體"/>
          <w:szCs w:val="24"/>
        </w:rPr>
        <w:t>1</w:t>
      </w:r>
      <w:r w:rsidRPr="007576F0">
        <w:rPr>
          <w:rFonts w:ascii="標楷體" w:eastAsia="標楷體" w:hAnsi="標楷體" w:cs="標楷體"/>
          <w:szCs w:val="24"/>
        </w:rPr>
        <w:t>×</w:t>
      </w:r>
      <w:r w:rsidRPr="007576F0">
        <w:rPr>
          <w:rFonts w:ascii="標楷體" w:eastAsia="標楷體" w:hAnsi="標楷體"/>
          <w:szCs w:val="24"/>
        </w:rPr>
        <w:t>10</w:t>
      </w:r>
      <w:r w:rsidRPr="007576F0">
        <w:rPr>
          <w:rFonts w:ascii="標楷體" w:eastAsia="標楷體" w:hAnsi="標楷體"/>
          <w:szCs w:val="24"/>
          <w:vertAlign w:val="superscript"/>
        </w:rPr>
        <w:t>9</w:t>
      </w:r>
      <w:r w:rsidRPr="007576F0">
        <w:rPr>
          <w:rFonts w:ascii="標楷體" w:eastAsia="標楷體" w:hAnsi="標楷體"/>
          <w:szCs w:val="24"/>
        </w:rPr>
        <w:t>/L</w:t>
      </w:r>
      <w:r w:rsidRPr="007576F0">
        <w:rPr>
          <w:rFonts w:ascii="標楷體" w:eastAsia="標楷體" w:hAnsi="標楷體" w:hint="eastAsia"/>
          <w:szCs w:val="24"/>
        </w:rPr>
        <w:t>。</w:t>
      </w:r>
    </w:p>
    <w:p w14:paraId="2252E5A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w:t>
      </w:r>
      <w:r w:rsidRPr="007576F0">
        <w:rPr>
          <w:rFonts w:ascii="標楷體" w:eastAsia="標楷體" w:hAnsi="標楷體" w:hint="eastAsia"/>
          <w:szCs w:val="24"/>
        </w:rPr>
        <w:t>本藥品與</w:t>
      </w:r>
      <w:proofErr w:type="spellStart"/>
      <w:r w:rsidRPr="007576F0">
        <w:rPr>
          <w:rFonts w:ascii="標楷體" w:eastAsia="標楷體" w:hAnsi="標楷體"/>
          <w:szCs w:val="24"/>
        </w:rPr>
        <w:t>ruxolitinib</w:t>
      </w:r>
      <w:proofErr w:type="spellEnd"/>
      <w:r w:rsidRPr="007576F0">
        <w:rPr>
          <w:rFonts w:ascii="標楷體" w:eastAsia="標楷體" w:hAnsi="標楷體" w:hint="eastAsia"/>
          <w:szCs w:val="24"/>
          <w:u w:val="single"/>
        </w:rPr>
        <w:t>、</w:t>
      </w:r>
      <w:proofErr w:type="spellStart"/>
      <w:r w:rsidRPr="007576F0">
        <w:rPr>
          <w:rFonts w:ascii="標楷體" w:eastAsia="標楷體" w:hAnsi="標楷體"/>
          <w:szCs w:val="24"/>
          <w:u w:val="single"/>
        </w:rPr>
        <w:t>momelotinib</w:t>
      </w:r>
      <w:proofErr w:type="spellEnd"/>
      <w:r w:rsidRPr="007576F0">
        <w:rPr>
          <w:rFonts w:ascii="標楷體" w:eastAsia="標楷體" w:hAnsi="標楷體" w:hint="eastAsia"/>
          <w:szCs w:val="24"/>
        </w:rPr>
        <w:t>用於中度風險或高風險之骨髓纖維化治療時，僅得擇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給付。</w:t>
      </w:r>
      <w:proofErr w:type="spellStart"/>
      <w:r w:rsidRPr="007576F0">
        <w:rPr>
          <w:rFonts w:ascii="標楷體" w:eastAsia="標楷體" w:hAnsi="標楷體" w:hint="eastAsia"/>
          <w:szCs w:val="24"/>
        </w:rPr>
        <w:t>r</w:t>
      </w:r>
      <w:r w:rsidRPr="007576F0">
        <w:rPr>
          <w:rFonts w:ascii="標楷體" w:eastAsia="標楷體" w:hAnsi="標楷體"/>
          <w:szCs w:val="24"/>
        </w:rPr>
        <w:t>uxolitinib</w:t>
      </w:r>
      <w:proofErr w:type="spellEnd"/>
      <w:r w:rsidRPr="007576F0">
        <w:rPr>
          <w:rFonts w:ascii="標楷體" w:eastAsia="標楷體" w:hAnsi="標楷體" w:hint="eastAsia"/>
          <w:szCs w:val="24"/>
          <w:u w:val="single"/>
        </w:rPr>
        <w:t>、</w:t>
      </w:r>
      <w:proofErr w:type="spellStart"/>
      <w:r w:rsidRPr="007576F0">
        <w:rPr>
          <w:rFonts w:ascii="標楷體" w:eastAsia="標楷體" w:hAnsi="標楷體"/>
          <w:szCs w:val="24"/>
          <w:u w:val="single"/>
        </w:rPr>
        <w:t>momelotinib</w:t>
      </w:r>
      <w:proofErr w:type="spellEnd"/>
      <w:r w:rsidRPr="007576F0">
        <w:rPr>
          <w:rFonts w:ascii="標楷體" w:eastAsia="標楷體" w:hAnsi="標楷體" w:hint="eastAsia"/>
          <w:szCs w:val="24"/>
        </w:rPr>
        <w:t>治療後如疾病惡化不得換用本藥品。</w:t>
      </w:r>
      <w:r w:rsidRPr="007576F0">
        <w:rPr>
          <w:rFonts w:ascii="標楷體" w:eastAsia="標楷體" w:hAnsi="標楷體"/>
          <w:szCs w:val="24"/>
        </w:rPr>
        <w:t>(</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10</w:t>
      </w:r>
      <w:r w:rsidRPr="007576F0">
        <w:rPr>
          <w:rFonts w:ascii="標楷體" w:eastAsia="標楷體" w:hAnsi="標楷體"/>
          <w:szCs w:val="24"/>
        </w:rPr>
        <w:t>/1)</w:t>
      </w:r>
    </w:p>
    <w:p w14:paraId="61409D97" w14:textId="77777777" w:rsidR="007576F0" w:rsidRPr="007576F0" w:rsidRDefault="007576F0" w:rsidP="007576F0">
      <w:pPr>
        <w:spacing w:line="300" w:lineRule="exact"/>
        <w:ind w:left="610" w:hanging="245"/>
        <w:rPr>
          <w:rFonts w:ascii="標楷體" w:eastAsia="標楷體" w:hAnsi="標楷體"/>
          <w:szCs w:val="28"/>
        </w:rPr>
      </w:pPr>
      <w:r w:rsidRPr="007576F0">
        <w:rPr>
          <w:rFonts w:ascii="標楷體" w:eastAsia="標楷體" w:hAnsi="標楷體"/>
          <w:szCs w:val="28"/>
        </w:rPr>
        <w:t>9.115.</w:t>
      </w:r>
      <w:r w:rsidRPr="007576F0">
        <w:rPr>
          <w:rFonts w:ascii="標楷體" w:eastAsia="標楷體" w:hAnsi="標楷體"/>
          <w:szCs w:val="24"/>
        </w:rPr>
        <w:t>Trastuzumab</w:t>
      </w:r>
      <w:r w:rsidRPr="007576F0">
        <w:rPr>
          <w:rFonts w:ascii="標楷體" w:eastAsia="標楷體" w:hAnsi="標楷體"/>
          <w:szCs w:val="28"/>
        </w:rPr>
        <w:t xml:space="preserve"> </w:t>
      </w:r>
      <w:proofErr w:type="spellStart"/>
      <w:r w:rsidRPr="007576F0">
        <w:rPr>
          <w:rFonts w:ascii="標楷體" w:eastAsia="標楷體" w:hAnsi="標楷體"/>
          <w:szCs w:val="28"/>
        </w:rPr>
        <w:t>deruxtecan</w:t>
      </w:r>
      <w:proofErr w:type="spellEnd"/>
      <w:r w:rsidRPr="007576F0">
        <w:rPr>
          <w:rFonts w:ascii="標楷體" w:eastAsia="標楷體" w:hAnsi="標楷體"/>
          <w:szCs w:val="28"/>
        </w:rPr>
        <w:t xml:space="preserve"> (如</w:t>
      </w:r>
      <w:proofErr w:type="spellStart"/>
      <w:r w:rsidRPr="007576F0">
        <w:rPr>
          <w:rFonts w:ascii="標楷體" w:eastAsia="標楷體" w:hAnsi="標楷體"/>
          <w:szCs w:val="28"/>
        </w:rPr>
        <w:t>Enhertu</w:t>
      </w:r>
      <w:proofErr w:type="spellEnd"/>
      <w:r w:rsidRPr="007576F0">
        <w:rPr>
          <w:rFonts w:ascii="標楷體" w:eastAsia="標楷體" w:hAnsi="標楷體"/>
          <w:szCs w:val="28"/>
        </w:rPr>
        <w:t>)：(114/2/1)</w:t>
      </w:r>
    </w:p>
    <w:p w14:paraId="06EAA1F8" w14:textId="77777777" w:rsidR="007576F0" w:rsidRPr="007576F0" w:rsidRDefault="007576F0" w:rsidP="007576F0">
      <w:pPr>
        <w:spacing w:line="300" w:lineRule="exact"/>
        <w:ind w:left="993" w:hanging="284"/>
        <w:rPr>
          <w:rFonts w:ascii="Times New Roman" w:hAnsi="Times New Roman"/>
          <w:szCs w:val="24"/>
        </w:rPr>
      </w:pPr>
      <w:r w:rsidRPr="007576F0">
        <w:rPr>
          <w:rFonts w:ascii="標楷體" w:eastAsia="標楷體" w:hAnsi="標楷體"/>
          <w:szCs w:val="28"/>
        </w:rPr>
        <w:t>1.單獨</w:t>
      </w:r>
      <w:r w:rsidRPr="007576F0">
        <w:rPr>
          <w:rFonts w:ascii="標楷體" w:eastAsia="標楷體" w:hAnsi="標楷體"/>
          <w:szCs w:val="24"/>
        </w:rPr>
        <w:t>使用</w:t>
      </w:r>
      <w:r w:rsidRPr="007576F0">
        <w:rPr>
          <w:rFonts w:ascii="標楷體" w:eastAsia="標楷體" w:hAnsi="標楷體"/>
          <w:szCs w:val="28"/>
        </w:rPr>
        <w:t>於具HER2過度表現(IHC3+或FISH+)之轉移性乳癌病人作為二線治療，並同時符合下列情形：</w:t>
      </w:r>
    </w:p>
    <w:p w14:paraId="72546116"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8"/>
        </w:rPr>
        <w:t>(1)之前</w:t>
      </w:r>
      <w:r w:rsidRPr="007576F0">
        <w:rPr>
          <w:rFonts w:ascii="標楷體" w:eastAsia="標楷體" w:hAnsi="標楷體"/>
          <w:szCs w:val="24"/>
        </w:rPr>
        <w:t>分別接受過 trastuzumab 與一種</w:t>
      </w:r>
      <w:proofErr w:type="spellStart"/>
      <w:r w:rsidRPr="007576F0">
        <w:rPr>
          <w:rFonts w:ascii="標楷體" w:eastAsia="標楷體" w:hAnsi="標楷體"/>
          <w:szCs w:val="24"/>
        </w:rPr>
        <w:t>taxane</w:t>
      </w:r>
      <w:proofErr w:type="spellEnd"/>
      <w:r w:rsidRPr="007576F0">
        <w:rPr>
          <w:rFonts w:ascii="標楷體" w:eastAsia="標楷體" w:hAnsi="標楷體"/>
          <w:szCs w:val="24"/>
        </w:rPr>
        <w:t xml:space="preserve"> 藥物治療，或其合併療法，或</w:t>
      </w:r>
      <w:proofErr w:type="spellStart"/>
      <w:r w:rsidRPr="007576F0">
        <w:rPr>
          <w:rFonts w:ascii="標楷體" w:eastAsia="標楷體" w:hAnsi="標楷體"/>
          <w:szCs w:val="24"/>
        </w:rPr>
        <w:t>pertuzumab</w:t>
      </w:r>
      <w:proofErr w:type="spellEnd"/>
      <w:r w:rsidRPr="007576F0">
        <w:rPr>
          <w:rFonts w:ascii="標楷體" w:eastAsia="標楷體" w:hAnsi="標楷體"/>
          <w:szCs w:val="24"/>
        </w:rPr>
        <w:t xml:space="preserve"> 與trastuzumab 與一種</w:t>
      </w:r>
      <w:proofErr w:type="spellStart"/>
      <w:r w:rsidRPr="007576F0">
        <w:rPr>
          <w:rFonts w:ascii="標楷體" w:eastAsia="標楷體" w:hAnsi="標楷體"/>
          <w:szCs w:val="24"/>
        </w:rPr>
        <w:t>taxane</w:t>
      </w:r>
      <w:proofErr w:type="spellEnd"/>
      <w:r w:rsidRPr="007576F0">
        <w:rPr>
          <w:rFonts w:ascii="標楷體" w:eastAsia="標楷體" w:hAnsi="標楷體"/>
          <w:szCs w:val="24"/>
        </w:rPr>
        <w:t>藥物治療。</w:t>
      </w:r>
    </w:p>
    <w:p w14:paraId="2A1D7976"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 xml:space="preserve">(2)之前已經接受過轉移性癌症治療，或在輔助療法治療期間或完成治療後6 </w:t>
      </w:r>
      <w:proofErr w:type="gramStart"/>
      <w:r w:rsidRPr="007576F0">
        <w:rPr>
          <w:rFonts w:ascii="標楷體" w:eastAsia="標楷體" w:hAnsi="標楷體"/>
          <w:szCs w:val="28"/>
        </w:rPr>
        <w:t>個</w:t>
      </w:r>
      <w:proofErr w:type="gramEnd"/>
      <w:r w:rsidRPr="007576F0">
        <w:rPr>
          <w:rFonts w:ascii="標楷體" w:eastAsia="標楷體" w:hAnsi="標楷體"/>
          <w:szCs w:val="28"/>
        </w:rPr>
        <w:t>月內癌症復發。</w:t>
      </w:r>
    </w:p>
    <w:p w14:paraId="47C97012"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(3)合併有主要臟器(不包含骨及軟組織)轉移。</w:t>
      </w:r>
    </w:p>
    <w:p w14:paraId="15DD31F7"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(4)須經事前審查核准後使用，核准後每12</w:t>
      </w:r>
      <w:proofErr w:type="gramStart"/>
      <w:r w:rsidRPr="007576F0">
        <w:rPr>
          <w:rFonts w:ascii="標楷體" w:eastAsia="標楷體" w:hAnsi="標楷體"/>
          <w:szCs w:val="28"/>
        </w:rPr>
        <w:t>週</w:t>
      </w:r>
      <w:proofErr w:type="gramEnd"/>
      <w:r w:rsidRPr="007576F0">
        <w:rPr>
          <w:rFonts w:ascii="標楷體" w:eastAsia="標楷體" w:hAnsi="標楷體"/>
          <w:szCs w:val="28"/>
        </w:rPr>
        <w:t>須檢附療效評估資料再次申請，若疾病有惡化情形即不應再行申請，每位病人至多給付18個療程為上限。</w:t>
      </w:r>
    </w:p>
    <w:p w14:paraId="61D298E2"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lastRenderedPageBreak/>
        <w:t xml:space="preserve">(5)Trastuzumab </w:t>
      </w:r>
      <w:proofErr w:type="spellStart"/>
      <w:r w:rsidRPr="007576F0">
        <w:rPr>
          <w:rFonts w:ascii="標楷體" w:eastAsia="標楷體" w:hAnsi="標楷體"/>
          <w:szCs w:val="28"/>
        </w:rPr>
        <w:t>deruxtecan</w:t>
      </w:r>
      <w:proofErr w:type="spellEnd"/>
      <w:r w:rsidRPr="007576F0">
        <w:rPr>
          <w:rFonts w:ascii="標楷體" w:eastAsia="標楷體" w:hAnsi="標楷體"/>
          <w:szCs w:val="28"/>
        </w:rPr>
        <w:t>、trastuzumab emtansine 和lapatinib 僅能擇</w:t>
      </w:r>
      <w:proofErr w:type="gramStart"/>
      <w:r w:rsidRPr="007576F0">
        <w:rPr>
          <w:rFonts w:ascii="標楷體" w:eastAsia="標楷體" w:hAnsi="標楷體"/>
          <w:szCs w:val="28"/>
        </w:rPr>
        <w:t>一</w:t>
      </w:r>
      <w:proofErr w:type="gramEnd"/>
      <w:r w:rsidRPr="007576F0">
        <w:rPr>
          <w:rFonts w:ascii="標楷體" w:eastAsia="標楷體" w:hAnsi="標楷體"/>
          <w:szCs w:val="28"/>
        </w:rPr>
        <w:t>給付，不得互換。</w:t>
      </w:r>
    </w:p>
    <w:p w14:paraId="6740133B"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szCs w:val="28"/>
        </w:rPr>
        <w:t>2.單獨使用於ER、PR皆陰性且具 HER2弱陽性(IHC 1+或IHC 2+/ISH-)表現之無法切除的局部晚期或轉移性乳癌病人，且符合下列各項條件：</w:t>
      </w:r>
    </w:p>
    <w:p w14:paraId="202EA550"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(1)病人身體狀況良好（ECOG</w:t>
      </w:r>
      <w:proofErr w:type="gramStart"/>
      <w:r w:rsidRPr="007576F0">
        <w:rPr>
          <w:rFonts w:ascii="標楷體" w:eastAsia="標楷體" w:hAnsi="標楷體"/>
          <w:szCs w:val="28"/>
        </w:rPr>
        <w:t>≦</w:t>
      </w:r>
      <w:proofErr w:type="gramEnd"/>
      <w:r w:rsidRPr="007576F0">
        <w:rPr>
          <w:rFonts w:ascii="標楷體" w:eastAsia="標楷體" w:hAnsi="標楷體"/>
          <w:szCs w:val="28"/>
        </w:rPr>
        <w:t>1）。</w:t>
      </w:r>
    </w:p>
    <w:p w14:paraId="3888B099"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(2)須接受過至少一種化學療法治療。</w:t>
      </w:r>
    </w:p>
    <w:p w14:paraId="6EEBC2CF"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(3)須經事前審查核准後使用，每次申請之療程以12</w:t>
      </w:r>
      <w:proofErr w:type="gramStart"/>
      <w:r w:rsidRPr="007576F0">
        <w:rPr>
          <w:rFonts w:ascii="標楷體" w:eastAsia="標楷體" w:hAnsi="標楷體"/>
          <w:szCs w:val="28"/>
        </w:rPr>
        <w:t>週</w:t>
      </w:r>
      <w:proofErr w:type="gramEnd"/>
      <w:r w:rsidRPr="007576F0">
        <w:rPr>
          <w:rFonts w:ascii="標楷體" w:eastAsia="標楷體" w:hAnsi="標楷體"/>
          <w:szCs w:val="28"/>
        </w:rPr>
        <w:t>為限，初次申請時需檢附ER、PR皆為陰性且HER2弱陽性(IHC1+或IHC2+/ISH-)之檢測報告。</w:t>
      </w:r>
    </w:p>
    <w:p w14:paraId="659D683F"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(4)再次申請必須提出客觀證據</w:t>
      </w:r>
      <w:proofErr w:type="gramStart"/>
      <w:r w:rsidRPr="007576F0">
        <w:rPr>
          <w:rFonts w:ascii="標楷體" w:eastAsia="標楷體" w:hAnsi="標楷體"/>
          <w:szCs w:val="28"/>
        </w:rPr>
        <w:t>（</w:t>
      </w:r>
      <w:proofErr w:type="gramEnd"/>
      <w:r w:rsidRPr="007576F0">
        <w:rPr>
          <w:rFonts w:ascii="標楷體" w:eastAsia="標楷體" w:hAnsi="標楷體"/>
          <w:szCs w:val="28"/>
        </w:rPr>
        <w:t>如：影像學</w:t>
      </w:r>
      <w:proofErr w:type="gramStart"/>
      <w:r w:rsidRPr="007576F0">
        <w:rPr>
          <w:rFonts w:ascii="標楷體" w:eastAsia="標楷體" w:hAnsi="標楷體"/>
          <w:szCs w:val="28"/>
        </w:rPr>
        <w:t>）</w:t>
      </w:r>
      <w:proofErr w:type="gramEnd"/>
      <w:r w:rsidRPr="007576F0">
        <w:rPr>
          <w:rFonts w:ascii="標楷體" w:eastAsia="標楷體" w:hAnsi="標楷體"/>
          <w:szCs w:val="28"/>
        </w:rPr>
        <w:t>證實無惡化，才可繼續使用。</w:t>
      </w:r>
    </w:p>
    <w:p w14:paraId="62B52C33"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8"/>
        </w:rPr>
        <w:t xml:space="preserve">(5)Trastuzumab </w:t>
      </w:r>
      <w:proofErr w:type="spellStart"/>
      <w:r w:rsidRPr="007576F0">
        <w:rPr>
          <w:rFonts w:ascii="標楷體" w:eastAsia="標楷體" w:hAnsi="標楷體"/>
          <w:szCs w:val="28"/>
        </w:rPr>
        <w:t>deruxtecan</w:t>
      </w:r>
      <w:proofErr w:type="spellEnd"/>
      <w:r w:rsidRPr="007576F0">
        <w:rPr>
          <w:rFonts w:ascii="標楷體" w:eastAsia="標楷體" w:hAnsi="標楷體"/>
          <w:szCs w:val="28"/>
        </w:rPr>
        <w:t>和</w:t>
      </w:r>
      <w:proofErr w:type="spellStart"/>
      <w:r w:rsidRPr="007576F0">
        <w:rPr>
          <w:rFonts w:ascii="標楷體" w:eastAsia="標楷體" w:hAnsi="標楷體"/>
          <w:szCs w:val="28"/>
        </w:rPr>
        <w:t>sacituzumab</w:t>
      </w:r>
      <w:proofErr w:type="spellEnd"/>
      <w:r w:rsidRPr="007576F0">
        <w:rPr>
          <w:rFonts w:ascii="標楷體" w:eastAsia="標楷體" w:hAnsi="標楷體"/>
          <w:szCs w:val="28"/>
        </w:rPr>
        <w:t xml:space="preserve"> </w:t>
      </w:r>
      <w:proofErr w:type="spellStart"/>
      <w:r w:rsidRPr="007576F0">
        <w:rPr>
          <w:rFonts w:ascii="標楷體" w:eastAsia="標楷體" w:hAnsi="標楷體"/>
          <w:szCs w:val="28"/>
        </w:rPr>
        <w:t>govitecan</w:t>
      </w:r>
      <w:proofErr w:type="spellEnd"/>
      <w:r w:rsidRPr="007576F0">
        <w:rPr>
          <w:rFonts w:ascii="標楷體" w:eastAsia="標楷體" w:hAnsi="標楷體"/>
          <w:szCs w:val="28"/>
        </w:rPr>
        <w:t>僅能擇</w:t>
      </w:r>
      <w:proofErr w:type="gramStart"/>
      <w:r w:rsidRPr="007576F0">
        <w:rPr>
          <w:rFonts w:ascii="標楷體" w:eastAsia="標楷體" w:hAnsi="標楷體"/>
          <w:szCs w:val="28"/>
        </w:rPr>
        <w:t>一</w:t>
      </w:r>
      <w:proofErr w:type="gramEnd"/>
      <w:r w:rsidRPr="007576F0">
        <w:rPr>
          <w:rFonts w:ascii="標楷體" w:eastAsia="標楷體" w:hAnsi="標楷體"/>
          <w:szCs w:val="28"/>
        </w:rPr>
        <w:t>給付，不得互換。</w:t>
      </w:r>
    </w:p>
    <w:p w14:paraId="5B6D8F45"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szCs w:val="28"/>
        </w:rPr>
        <w:t>3.申報醫療費用時「總量」應依實際使用量申報，取至小數點第一位，第二位四捨五入。</w:t>
      </w:r>
    </w:p>
    <w:p w14:paraId="151E35BE" w14:textId="77777777" w:rsidR="007576F0" w:rsidRPr="007576F0" w:rsidRDefault="007576F0" w:rsidP="007576F0">
      <w:pPr>
        <w:spacing w:line="300" w:lineRule="exact"/>
        <w:ind w:left="610" w:hanging="245"/>
      </w:pPr>
      <w:r w:rsidRPr="007576F0">
        <w:rPr>
          <w:rFonts w:ascii="標楷體" w:eastAsia="標楷體" w:hAnsi="標楷體"/>
          <w:szCs w:val="28"/>
        </w:rPr>
        <w:t>9.116.</w:t>
      </w:r>
      <w:r w:rsidRPr="007576F0">
        <w:rPr>
          <w:rFonts w:ascii="標楷體" w:eastAsia="標楷體" w:hAnsi="標楷體"/>
          <w:szCs w:val="24"/>
        </w:rPr>
        <w:t>Selumetinib</w:t>
      </w:r>
      <w:r w:rsidRPr="007576F0">
        <w:rPr>
          <w:rFonts w:ascii="標楷體" w:eastAsia="標楷體" w:hAnsi="標楷體"/>
          <w:szCs w:val="28"/>
        </w:rPr>
        <w:t xml:space="preserve"> (如</w:t>
      </w:r>
      <w:proofErr w:type="spellStart"/>
      <w:r w:rsidRPr="007576F0">
        <w:rPr>
          <w:rFonts w:ascii="標楷體" w:eastAsia="標楷體" w:hAnsi="標楷體"/>
          <w:szCs w:val="28"/>
        </w:rPr>
        <w:t>Koselugo</w:t>
      </w:r>
      <w:proofErr w:type="spellEnd"/>
      <w:r w:rsidRPr="007576F0">
        <w:rPr>
          <w:rFonts w:ascii="標楷體" w:eastAsia="標楷體" w:hAnsi="標楷體"/>
          <w:szCs w:val="28"/>
        </w:rPr>
        <w:t>)：(114/2/1)</w:t>
      </w:r>
    </w:p>
    <w:p w14:paraId="43006E2C" w14:textId="77777777" w:rsidR="007576F0" w:rsidRPr="007576F0" w:rsidRDefault="007576F0" w:rsidP="007576F0">
      <w:pPr>
        <w:spacing w:line="300" w:lineRule="exact"/>
        <w:ind w:left="993" w:hanging="284"/>
        <w:rPr>
          <w:rFonts w:ascii="Times New Roman" w:hAnsi="Times New Roman"/>
          <w:szCs w:val="24"/>
        </w:rPr>
      </w:pPr>
      <w:r w:rsidRPr="007576F0">
        <w:rPr>
          <w:rFonts w:ascii="標楷體" w:eastAsia="標楷體" w:hAnsi="標楷體"/>
          <w:szCs w:val="24"/>
        </w:rPr>
        <w:t>1.</w:t>
      </w:r>
      <w:r w:rsidRPr="007576F0">
        <w:rPr>
          <w:rFonts w:ascii="標楷體" w:eastAsia="標楷體" w:hAnsi="標楷體"/>
          <w:szCs w:val="28"/>
        </w:rPr>
        <w:t>治療</w:t>
      </w:r>
      <w:r w:rsidRPr="007576F0">
        <w:rPr>
          <w:rFonts w:ascii="標楷體" w:eastAsia="標楷體" w:hAnsi="標楷體"/>
          <w:szCs w:val="24"/>
        </w:rPr>
        <w:t>3歲以上至未滿18歲第1型神經纖維瘤(neurofibromatosis type1，NF1) 合併有叢狀神經纖維瘤（plexiform neurofibroma，PN）之兒童病人，且同時符合下列情形：</w:t>
      </w:r>
    </w:p>
    <w:p w14:paraId="028F7803"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szCs w:val="24"/>
        </w:rPr>
        <w:t>(1</w:t>
      </w:r>
      <w:r w:rsidRPr="007576F0">
        <w:rPr>
          <w:rFonts w:ascii="標楷體" w:eastAsia="標楷體" w:hAnsi="標楷體"/>
          <w:szCs w:val="28"/>
        </w:rPr>
        <w:t>)無法以手術切除。</w:t>
      </w:r>
    </w:p>
    <w:p w14:paraId="54FBBF64" w14:textId="77777777" w:rsidR="007576F0" w:rsidRPr="007576F0" w:rsidRDefault="007576F0" w:rsidP="007576F0">
      <w:pPr>
        <w:tabs>
          <w:tab w:val="left" w:pos="1185"/>
        </w:tabs>
        <w:spacing w:line="300" w:lineRule="exact"/>
        <w:ind w:left="1134" w:hanging="245"/>
        <w:jc w:val="both"/>
      </w:pPr>
      <w:r w:rsidRPr="007576F0">
        <w:rPr>
          <w:rFonts w:ascii="標楷體" w:eastAsia="標楷體" w:hAnsi="標楷體"/>
          <w:szCs w:val="28"/>
        </w:rPr>
        <w:t>(2)具有症狀</w:t>
      </w:r>
      <w:r w:rsidRPr="007576F0">
        <w:rPr>
          <w:rFonts w:ascii="標楷體" w:eastAsia="標楷體" w:hAnsi="標楷體"/>
          <w:szCs w:val="24"/>
        </w:rPr>
        <w:t>且嚴重的PN。</w:t>
      </w:r>
    </w:p>
    <w:p w14:paraId="58EA30ED"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w:t>
      </w:r>
      <w:r w:rsidRPr="007576F0">
        <w:rPr>
          <w:rFonts w:ascii="標楷體" w:eastAsia="標楷體" w:hAnsi="標楷體"/>
          <w:szCs w:val="28"/>
        </w:rPr>
        <w:t>無法</w:t>
      </w:r>
      <w:r w:rsidRPr="007576F0">
        <w:rPr>
          <w:rFonts w:ascii="標楷體" w:eastAsia="標楷體" w:hAnsi="標楷體"/>
          <w:szCs w:val="24"/>
        </w:rPr>
        <w:t>以手術切除的定義為：</w:t>
      </w:r>
    </w:p>
    <w:p w14:paraId="2B63DD86" w14:textId="77777777" w:rsidR="007576F0" w:rsidRPr="007576F0" w:rsidRDefault="007576F0" w:rsidP="007576F0">
      <w:pPr>
        <w:tabs>
          <w:tab w:val="left" w:pos="1185"/>
        </w:tabs>
        <w:spacing w:line="300" w:lineRule="exact"/>
        <w:ind w:left="1134" w:hanging="245"/>
        <w:jc w:val="both"/>
      </w:pPr>
      <w:r w:rsidRPr="007576F0">
        <w:rPr>
          <w:rFonts w:ascii="標楷體" w:eastAsia="標楷體" w:hAnsi="標楷體"/>
          <w:szCs w:val="24"/>
        </w:rPr>
        <w:t>(1)經專科醫師</w:t>
      </w:r>
      <w:r w:rsidRPr="007576F0">
        <w:rPr>
          <w:rFonts w:ascii="標楷體" w:eastAsia="標楷體" w:hAnsi="標楷體"/>
          <w:szCs w:val="28"/>
        </w:rPr>
        <w:t>評估</w:t>
      </w:r>
      <w:r w:rsidRPr="007576F0">
        <w:rPr>
          <w:rFonts w:ascii="標楷體" w:eastAsia="標楷體" w:hAnsi="標楷體"/>
          <w:szCs w:val="24"/>
        </w:rPr>
        <w:t>無法以外科手術治療或手術切除者，須包含下列情形其中之一：</w:t>
      </w:r>
    </w:p>
    <w:p w14:paraId="313626F6" w14:textId="77777777" w:rsidR="007576F0" w:rsidRPr="007576F0" w:rsidRDefault="007576F0" w:rsidP="007576F0">
      <w:pPr>
        <w:tabs>
          <w:tab w:val="left" w:pos="1418"/>
        </w:tabs>
        <w:spacing w:line="300" w:lineRule="exact"/>
        <w:ind w:left="1291" w:hanging="245"/>
        <w:jc w:val="both"/>
      </w:pPr>
      <w:r w:rsidRPr="007576F0">
        <w:rPr>
          <w:rFonts w:ascii="標楷體" w:eastAsia="標楷體" w:hAnsi="標楷體"/>
          <w:szCs w:val="24"/>
        </w:rPr>
        <w:t>I.PN包</w:t>
      </w:r>
      <w:r w:rsidRPr="007576F0">
        <w:rPr>
          <w:rFonts w:ascii="標楷體" w:eastAsia="標楷體" w:hAnsi="標楷體"/>
          <w:color w:val="000000"/>
        </w:rPr>
        <w:t>裹住或靠近重要器官。</w:t>
      </w:r>
    </w:p>
    <w:p w14:paraId="05817793" w14:textId="77777777" w:rsidR="007576F0" w:rsidRPr="007576F0" w:rsidRDefault="007576F0" w:rsidP="007576F0">
      <w:pPr>
        <w:tabs>
          <w:tab w:val="left" w:pos="1418"/>
        </w:tabs>
        <w:spacing w:line="300" w:lineRule="exact"/>
        <w:ind w:left="1291" w:hanging="245"/>
        <w:jc w:val="both"/>
      </w:pPr>
      <w:r w:rsidRPr="007576F0">
        <w:rPr>
          <w:rFonts w:ascii="標楷體" w:eastAsia="標楷體" w:hAnsi="標楷體"/>
          <w:color w:val="000000"/>
        </w:rPr>
        <w:t>II.PN具</w:t>
      </w:r>
      <w:r w:rsidRPr="007576F0">
        <w:rPr>
          <w:rFonts w:ascii="標楷體" w:eastAsia="標楷體" w:hAnsi="標楷體"/>
          <w:szCs w:val="24"/>
        </w:rPr>
        <w:t>侵襲性，或具高度血管分布，易導致術後大量出血、神經損傷或其他嚴重併發症者。</w:t>
      </w:r>
    </w:p>
    <w:p w14:paraId="52D4EB76"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4"/>
        </w:rPr>
        <w:t>(2)需</w:t>
      </w:r>
      <w:proofErr w:type="gramStart"/>
      <w:r w:rsidRPr="007576F0">
        <w:rPr>
          <w:rFonts w:ascii="標楷體" w:eastAsia="標楷體" w:hAnsi="標楷體"/>
          <w:szCs w:val="24"/>
        </w:rPr>
        <w:t>檢附經專科</w:t>
      </w:r>
      <w:proofErr w:type="gramEnd"/>
      <w:r w:rsidRPr="007576F0">
        <w:rPr>
          <w:rFonts w:ascii="標楷體" w:eastAsia="標楷體" w:hAnsi="標楷體"/>
          <w:szCs w:val="24"/>
        </w:rPr>
        <w:t>醫師評估後具名之手術風險評估報告。</w:t>
      </w:r>
    </w:p>
    <w:p w14:paraId="4D59FC63" w14:textId="77777777" w:rsidR="007576F0" w:rsidRPr="007576F0" w:rsidRDefault="007576F0" w:rsidP="007576F0">
      <w:pPr>
        <w:tabs>
          <w:tab w:val="left" w:pos="1185"/>
        </w:tabs>
        <w:spacing w:line="300" w:lineRule="exact"/>
        <w:ind w:left="1134" w:hanging="245"/>
        <w:jc w:val="both"/>
      </w:pPr>
      <w:r w:rsidRPr="007576F0">
        <w:rPr>
          <w:rFonts w:ascii="標楷體" w:eastAsia="標楷體" w:hAnsi="標楷體"/>
          <w:szCs w:val="24"/>
        </w:rPr>
        <w:t>(3)上述專科醫師包括：神經內科、神經外科、血液腫瘤科、整形外科、耳鼻喉科、一般外科、泌尿科、眼科、皮膚科、小兒神經科、小兒遺傳科或小兒血液腫瘤科。</w:t>
      </w:r>
    </w:p>
    <w:p w14:paraId="103438BC"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3.具有症狀且嚴重的PN定義為因PN引起的嚴重症狀，且符合下列情況之</w:t>
      </w:r>
      <w:proofErr w:type="gramStart"/>
      <w:r w:rsidRPr="007576F0">
        <w:rPr>
          <w:rFonts w:ascii="標楷體" w:eastAsia="標楷體" w:hAnsi="標楷體"/>
          <w:szCs w:val="24"/>
        </w:rPr>
        <w:t>一</w:t>
      </w:r>
      <w:proofErr w:type="gramEnd"/>
      <w:r w:rsidRPr="007576F0">
        <w:rPr>
          <w:rFonts w:ascii="標楷體" w:eastAsia="標楷體" w:hAnsi="標楷體"/>
          <w:szCs w:val="24"/>
        </w:rPr>
        <w:t>者：</w:t>
      </w:r>
    </w:p>
    <w:p w14:paraId="3E7144D0"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4"/>
        </w:rPr>
        <w:t>(1) 因腫瘤壓迫導致之中度至嚴重的</w:t>
      </w:r>
      <w:proofErr w:type="gramStart"/>
      <w:r w:rsidRPr="007576F0">
        <w:rPr>
          <w:rFonts w:ascii="標楷體" w:eastAsia="標楷體" w:hAnsi="標楷體"/>
          <w:szCs w:val="24"/>
        </w:rPr>
        <w:t>疼痛，</w:t>
      </w:r>
      <w:proofErr w:type="gramEnd"/>
      <w:r w:rsidRPr="007576F0">
        <w:rPr>
          <w:rFonts w:ascii="標楷體" w:eastAsia="標楷體" w:hAnsi="標楷體"/>
          <w:szCs w:val="24"/>
        </w:rPr>
        <w:t>需檢附疼痛評估報告(pain scale score需</w:t>
      </w:r>
      <w:proofErr w:type="gramStart"/>
      <w:r w:rsidRPr="007576F0">
        <w:rPr>
          <w:rFonts w:ascii="標楷體" w:eastAsia="標楷體" w:hAnsi="標楷體"/>
          <w:szCs w:val="24"/>
        </w:rPr>
        <w:t>≧</w:t>
      </w:r>
      <w:proofErr w:type="gramEnd"/>
      <w:r w:rsidRPr="007576F0">
        <w:rPr>
          <w:rFonts w:ascii="標楷體" w:eastAsia="標楷體" w:hAnsi="標楷體"/>
          <w:szCs w:val="24"/>
        </w:rPr>
        <w:t>7)。</w:t>
      </w:r>
    </w:p>
    <w:p w14:paraId="1A69A21A" w14:textId="77777777" w:rsidR="007576F0" w:rsidRPr="007576F0" w:rsidRDefault="007576F0" w:rsidP="007576F0">
      <w:pPr>
        <w:tabs>
          <w:tab w:val="left" w:pos="1185"/>
        </w:tabs>
        <w:spacing w:line="300" w:lineRule="exact"/>
        <w:ind w:left="1134" w:hanging="245"/>
        <w:jc w:val="both"/>
      </w:pPr>
      <w:r w:rsidRPr="007576F0">
        <w:rPr>
          <w:rFonts w:ascii="標楷體" w:eastAsia="標楷體" w:hAnsi="標楷體"/>
          <w:szCs w:val="24"/>
        </w:rPr>
        <w:t>(2)PN壓迫臟器、呼吸道、大血管或顱、脊椎、</w:t>
      </w:r>
      <w:proofErr w:type="gramStart"/>
      <w:r w:rsidRPr="007576F0">
        <w:rPr>
          <w:rFonts w:ascii="標楷體" w:eastAsia="標楷體" w:hAnsi="標楷體"/>
          <w:szCs w:val="24"/>
        </w:rPr>
        <w:t>臂叢、腰叢</w:t>
      </w:r>
      <w:proofErr w:type="gramEnd"/>
      <w:r w:rsidRPr="007576F0">
        <w:rPr>
          <w:rFonts w:ascii="標楷體" w:eastAsia="標楷體" w:hAnsi="標楷體"/>
          <w:szCs w:val="24"/>
        </w:rPr>
        <w:t>區域神經等部位，以致影響器官功能或功能受損（如視力受損、聽力受損、下半身偏癱、大小便失禁等）。需檢附相關功能受損之評估檢驗報告。</w:t>
      </w:r>
    </w:p>
    <w:p w14:paraId="617C7E4F" w14:textId="77777777" w:rsidR="007576F0" w:rsidRPr="007576F0" w:rsidRDefault="007576F0" w:rsidP="007576F0">
      <w:pPr>
        <w:spacing w:line="300" w:lineRule="exact"/>
        <w:ind w:left="993" w:hanging="284"/>
        <w:rPr>
          <w:rFonts w:ascii="Times New Roman" w:hAnsi="Times New Roman"/>
          <w:szCs w:val="24"/>
        </w:rPr>
      </w:pPr>
      <w:r w:rsidRPr="007576F0">
        <w:rPr>
          <w:rFonts w:ascii="標楷體" w:eastAsia="標楷體" w:hAnsi="標楷體"/>
          <w:szCs w:val="28"/>
        </w:rPr>
        <w:t>4.需經事前審查核准後使用，每次申請以6</w:t>
      </w:r>
      <w:r w:rsidRPr="007576F0">
        <w:rPr>
          <w:rFonts w:ascii="標楷體" w:eastAsia="標楷體" w:hAnsi="標楷體"/>
          <w:szCs w:val="24"/>
        </w:rPr>
        <w:t>個月為</w:t>
      </w:r>
      <w:r w:rsidRPr="007576F0">
        <w:rPr>
          <w:rFonts w:ascii="標楷體" w:eastAsia="標楷體" w:hAnsi="標楷體"/>
          <w:szCs w:val="28"/>
        </w:rPr>
        <w:t>限，初次申請時須提供疾病相關檢驗及症狀證據，如照片、檢查影像、病理報告或評估報告；再次申請時應檢附前次治療結果評估資料，以RECIST標準評定藥物療效反應，</w:t>
      </w:r>
      <w:r w:rsidRPr="007576F0">
        <w:rPr>
          <w:rFonts w:ascii="標楷體" w:eastAsia="標楷體" w:hAnsi="標楷體"/>
          <w:szCs w:val="24"/>
        </w:rPr>
        <w:t>如有下列情況之一，應停止使用</w:t>
      </w:r>
      <w:r w:rsidRPr="007576F0">
        <w:rPr>
          <w:rFonts w:ascii="標楷體" w:eastAsia="標楷體" w:hAnsi="標楷體"/>
          <w:szCs w:val="28"/>
        </w:rPr>
        <w:t>：</w:t>
      </w:r>
    </w:p>
    <w:p w14:paraId="000685C1"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4"/>
        </w:rPr>
        <w:t>(1)病情惡化(PD，指與基準點或用藥後的最佳反應時相比時，目標PN最大直徑總和增加</w:t>
      </w:r>
      <w:r w:rsidRPr="007576F0">
        <w:rPr>
          <w:rFonts w:ascii="Times New Roman" w:eastAsia="標楷體" w:hAnsi="Times New Roman"/>
          <w:szCs w:val="24"/>
        </w:rPr>
        <w:t>≥</w:t>
      </w:r>
      <w:r w:rsidRPr="007576F0">
        <w:rPr>
          <w:rFonts w:ascii="標楷體" w:eastAsia="標楷體" w:hAnsi="標楷體"/>
          <w:szCs w:val="24"/>
        </w:rPr>
        <w:t>20%，或有新PN出現)。</w:t>
      </w:r>
    </w:p>
    <w:p w14:paraId="1545E38E"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4"/>
        </w:rPr>
        <w:t>(2)無法耐受藥品副作用。</w:t>
      </w:r>
    </w:p>
    <w:p w14:paraId="35377908"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4"/>
        </w:rPr>
        <w:t>(3)原無法手術切除的PN得以接受完整手術切除。</w:t>
      </w:r>
    </w:p>
    <w:p w14:paraId="2C2B031D" w14:textId="77777777" w:rsidR="007576F0" w:rsidRPr="007576F0" w:rsidRDefault="007576F0" w:rsidP="007576F0">
      <w:pPr>
        <w:tabs>
          <w:tab w:val="left" w:pos="1185"/>
        </w:tabs>
        <w:spacing w:line="300" w:lineRule="exact"/>
        <w:ind w:left="1134" w:hanging="245"/>
        <w:jc w:val="both"/>
      </w:pPr>
      <w:r w:rsidRPr="007576F0">
        <w:rPr>
          <w:rFonts w:ascii="標楷體" w:eastAsia="標楷體" w:hAnsi="標楷體"/>
          <w:szCs w:val="24"/>
        </w:rPr>
        <w:t>(4)經治療</w:t>
      </w:r>
      <w:r w:rsidRPr="007576F0">
        <w:rPr>
          <w:rFonts w:ascii="標楷體" w:eastAsia="標楷體" w:hAnsi="標楷體"/>
          <w:szCs w:val="28"/>
        </w:rPr>
        <w:t>18個月後，初次申請之目標PN引起之症狀未改善且PN惡化。</w:t>
      </w:r>
    </w:p>
    <w:p w14:paraId="092343AF"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szCs w:val="28"/>
        </w:rPr>
        <w:t>5.每日最高劑量為100 mg。</w:t>
      </w:r>
    </w:p>
    <w:p w14:paraId="28E84361"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color w:val="000000"/>
        </w:rPr>
        <w:t>9.117.</w:t>
      </w:r>
      <w:r w:rsidRPr="007576F0">
        <w:rPr>
          <w:rFonts w:ascii="標楷體" w:eastAsia="標楷體" w:hAnsi="標楷體"/>
          <w:szCs w:val="28"/>
        </w:rPr>
        <w:t>Selinexor</w:t>
      </w:r>
      <w:r w:rsidRPr="007576F0">
        <w:rPr>
          <w:rFonts w:ascii="標楷體" w:eastAsia="標楷體" w:hAnsi="標楷體"/>
          <w:color w:val="000000"/>
        </w:rPr>
        <w:t>(如</w:t>
      </w:r>
      <w:proofErr w:type="spellStart"/>
      <w:r w:rsidRPr="007576F0">
        <w:rPr>
          <w:rFonts w:ascii="標楷體" w:eastAsia="標楷體" w:hAnsi="標楷體"/>
          <w:color w:val="000000"/>
        </w:rPr>
        <w:t>Xpovio</w:t>
      </w:r>
      <w:proofErr w:type="spellEnd"/>
      <w:r w:rsidRPr="007576F0">
        <w:rPr>
          <w:rFonts w:ascii="標楷體" w:eastAsia="標楷體" w:hAnsi="標楷體"/>
          <w:color w:val="000000"/>
        </w:rPr>
        <w:t>)：(114/3/1)</w:t>
      </w:r>
    </w:p>
    <w:p w14:paraId="716D998E"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color w:val="000000"/>
          <w:szCs w:val="24"/>
        </w:rPr>
        <w:t>1.</w:t>
      </w:r>
      <w:r w:rsidRPr="007576F0">
        <w:rPr>
          <w:rFonts w:ascii="標楷體" w:eastAsia="標楷體" w:hAnsi="標楷體"/>
          <w:szCs w:val="28"/>
        </w:rPr>
        <w:t>與bortezomib及dexamethasone合併使用於先前已接受至少2種治療失敗之多發性骨髓瘤病人，且須具有良好日常體能狀態(ECOG&lt;2)者。</w:t>
      </w:r>
    </w:p>
    <w:p w14:paraId="14A8DB11"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szCs w:val="28"/>
        </w:rPr>
        <w:t>2.須經事前審查核准後使用：</w:t>
      </w:r>
    </w:p>
    <w:p w14:paraId="2CE8E608" w14:textId="77777777" w:rsidR="007576F0" w:rsidRPr="007576F0" w:rsidRDefault="007576F0" w:rsidP="007576F0">
      <w:pPr>
        <w:tabs>
          <w:tab w:val="left" w:pos="1185"/>
        </w:tabs>
        <w:spacing w:line="300" w:lineRule="exact"/>
        <w:ind w:left="1134" w:hanging="245"/>
        <w:jc w:val="both"/>
      </w:pPr>
      <w:r w:rsidRPr="007576F0">
        <w:rPr>
          <w:rFonts w:ascii="標楷體" w:eastAsia="標楷體" w:hAnsi="標楷體"/>
          <w:szCs w:val="28"/>
        </w:rPr>
        <w:t>(1)初次</w:t>
      </w:r>
      <w:r w:rsidRPr="007576F0">
        <w:rPr>
          <w:rFonts w:ascii="標楷體" w:eastAsia="標楷體" w:hAnsi="標楷體"/>
          <w:szCs w:val="24"/>
        </w:rPr>
        <w:t>申請</w:t>
      </w:r>
      <w:r w:rsidRPr="007576F0">
        <w:rPr>
          <w:rFonts w:ascii="標楷體" w:eastAsia="標楷體" w:hAnsi="標楷體"/>
          <w:color w:val="000000"/>
        </w:rPr>
        <w:t>以4個療程(每療程為5</w:t>
      </w:r>
      <w:proofErr w:type="gramStart"/>
      <w:r w:rsidRPr="007576F0">
        <w:rPr>
          <w:rFonts w:ascii="標楷體" w:eastAsia="標楷體" w:hAnsi="標楷體"/>
          <w:color w:val="000000"/>
        </w:rPr>
        <w:t>週</w:t>
      </w:r>
      <w:proofErr w:type="gramEnd"/>
      <w:r w:rsidRPr="007576F0">
        <w:rPr>
          <w:rFonts w:ascii="標楷體" w:eastAsia="標楷體" w:hAnsi="標楷體"/>
          <w:color w:val="000000"/>
        </w:rPr>
        <w:t>)為限，且需同時符合下列Ⅰ.與Ⅱ.的條件：</w:t>
      </w:r>
    </w:p>
    <w:p w14:paraId="7DCD85FD" w14:textId="77777777" w:rsidR="007576F0" w:rsidRPr="007576F0" w:rsidRDefault="007576F0" w:rsidP="007576F0">
      <w:pPr>
        <w:tabs>
          <w:tab w:val="left" w:pos="1418"/>
        </w:tabs>
        <w:spacing w:line="300" w:lineRule="exact"/>
        <w:ind w:left="1291" w:hanging="245"/>
        <w:jc w:val="both"/>
      </w:pPr>
      <w:r w:rsidRPr="007576F0">
        <w:rPr>
          <w:rFonts w:ascii="標楷體" w:eastAsia="標楷體" w:hAnsi="標楷體"/>
          <w:color w:val="000000"/>
        </w:rPr>
        <w:t>I.</w:t>
      </w:r>
      <w:r w:rsidRPr="007576F0">
        <w:rPr>
          <w:rFonts w:ascii="標楷體" w:eastAsia="標楷體" w:hAnsi="標楷體"/>
          <w:szCs w:val="24"/>
        </w:rPr>
        <w:t>具有</w:t>
      </w:r>
      <w:r w:rsidRPr="007576F0">
        <w:rPr>
          <w:rFonts w:ascii="標楷體" w:eastAsia="標楷體" w:hAnsi="標楷體"/>
          <w:color w:val="000000"/>
        </w:rPr>
        <w:t>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疾病惡化的指標：病患開始治療前須在連續2次評估中均符合同一</w:t>
      </w:r>
      <w:r w:rsidRPr="007576F0">
        <w:rPr>
          <w:rFonts w:ascii="標楷體" w:eastAsia="標楷體" w:hAnsi="標楷體"/>
          <w:color w:val="000000"/>
        </w:rPr>
        <w:lastRenderedPageBreak/>
        <w:t>指標(但若為</w:t>
      </w:r>
      <w:proofErr w:type="spellStart"/>
      <w:r w:rsidRPr="007576F0">
        <w:rPr>
          <w:rFonts w:ascii="標楷體" w:eastAsia="標楷體" w:hAnsi="標楷體"/>
          <w:color w:val="000000"/>
        </w:rPr>
        <w:t>plamacytoma</w:t>
      </w:r>
      <w:proofErr w:type="spellEnd"/>
      <w:r w:rsidRPr="007576F0">
        <w:rPr>
          <w:rFonts w:ascii="標楷體" w:eastAsia="標楷體" w:hAnsi="標楷體"/>
          <w:color w:val="000000"/>
        </w:rPr>
        <w:t>體積增加，或是新產生的bone lesion(s)或新plasmacytoma，則僅需1次評估)：</w:t>
      </w:r>
    </w:p>
    <w:p w14:paraId="509A26E2" w14:textId="77777777" w:rsidR="007576F0" w:rsidRPr="007576F0" w:rsidRDefault="007576F0" w:rsidP="007576F0">
      <w:pPr>
        <w:spacing w:line="300" w:lineRule="exact"/>
        <w:ind w:left="1800" w:hanging="360"/>
        <w:rPr>
          <w:rFonts w:ascii="標楷體" w:eastAsia="標楷體" w:hAnsi="標楷體"/>
          <w:color w:val="000000"/>
        </w:rPr>
      </w:pPr>
      <w:proofErr w:type="spellStart"/>
      <w:r w:rsidRPr="007576F0">
        <w:rPr>
          <w:rFonts w:ascii="標楷體" w:eastAsia="標楷體" w:hAnsi="標楷體"/>
          <w:color w:val="000000"/>
        </w:rPr>
        <w:t>i</w:t>
      </w:r>
      <w:proofErr w:type="spellEnd"/>
      <w:r w:rsidRPr="007576F0">
        <w:rPr>
          <w:rFonts w:ascii="標楷體" w:eastAsia="標楷體" w:hAnsi="標楷體"/>
          <w:color w:val="000000"/>
        </w:rPr>
        <w:t>.若前一線治療中M component最低值</w:t>
      </w:r>
      <w:proofErr w:type="gramStart"/>
      <w:r w:rsidRPr="007576F0">
        <w:rPr>
          <w:rFonts w:ascii="標楷體" w:eastAsia="標楷體" w:hAnsi="標楷體"/>
          <w:color w:val="000000"/>
        </w:rPr>
        <w:t>≧</w:t>
      </w:r>
      <w:proofErr w:type="gramEnd"/>
      <w:r w:rsidRPr="007576F0">
        <w:rPr>
          <w:rFonts w:ascii="標楷體" w:eastAsia="標楷體" w:hAnsi="標楷體"/>
          <w:color w:val="000000"/>
        </w:rPr>
        <w:t>5g/dL，血清M蛋白需增加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1g/dL；若前一線治療中M component最低值＜5g/dL，血清M蛋白需增加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0.5g/dL。</w:t>
      </w:r>
    </w:p>
    <w:p w14:paraId="44D27C33" w14:textId="77777777" w:rsidR="007576F0" w:rsidRPr="007576F0" w:rsidRDefault="007576F0" w:rsidP="007576F0">
      <w:pPr>
        <w:spacing w:line="300" w:lineRule="exact"/>
        <w:ind w:left="1800" w:hanging="360"/>
        <w:rPr>
          <w:rFonts w:ascii="標楷體" w:eastAsia="標楷體" w:hAnsi="標楷體"/>
          <w:color w:val="000000"/>
        </w:rPr>
      </w:pPr>
      <w:proofErr w:type="spellStart"/>
      <w:r w:rsidRPr="007576F0">
        <w:rPr>
          <w:rFonts w:ascii="標楷體" w:eastAsia="標楷體" w:hAnsi="標楷體"/>
          <w:color w:val="000000"/>
        </w:rPr>
        <w:t>ii.Urine</w:t>
      </w:r>
      <w:proofErr w:type="spellEnd"/>
      <w:r w:rsidRPr="007576F0">
        <w:rPr>
          <w:rFonts w:ascii="標楷體" w:eastAsia="標楷體" w:hAnsi="標楷體"/>
          <w:color w:val="000000"/>
        </w:rPr>
        <w:t xml:space="preserve"> M-protein需增加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0.2gm/24Hr，且需較前一線治療中的最低值增加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w:t>
      </w:r>
    </w:p>
    <w:p w14:paraId="59F39109"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iii.在non-secretary myeloma病患，骨髓</w:t>
      </w:r>
      <w:proofErr w:type="gramStart"/>
      <w:r w:rsidRPr="007576F0">
        <w:rPr>
          <w:rFonts w:ascii="標楷體" w:eastAsia="標楷體" w:hAnsi="標楷體"/>
          <w:color w:val="000000"/>
        </w:rPr>
        <w:t>漿</w:t>
      </w:r>
      <w:proofErr w:type="gramEnd"/>
      <w:r w:rsidRPr="007576F0">
        <w:rPr>
          <w:rFonts w:ascii="標楷體" w:eastAsia="標楷體" w:hAnsi="標楷體"/>
          <w:color w:val="000000"/>
        </w:rPr>
        <w:t>細胞(</w:t>
      </w:r>
      <w:proofErr w:type="spellStart"/>
      <w:r w:rsidRPr="007576F0">
        <w:rPr>
          <w:rFonts w:ascii="標楷體" w:eastAsia="標楷體" w:hAnsi="標楷體"/>
          <w:color w:val="000000"/>
        </w:rPr>
        <w:t>plasmacells</w:t>
      </w:r>
      <w:proofErr w:type="spellEnd"/>
      <w:r w:rsidRPr="007576F0">
        <w:rPr>
          <w:rFonts w:ascii="標楷體" w:eastAsia="標楷體" w:hAnsi="標楷體"/>
          <w:color w:val="000000"/>
        </w:rPr>
        <w:t>)之比例絕對值增加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10%，且需較前一線治療中的最低值增加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w:t>
      </w:r>
    </w:p>
    <w:p w14:paraId="700FDE4F"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iv.新產生的bone lesion(s)或plasmacytoma；且須經病理切片證實。</w:t>
      </w:r>
    </w:p>
    <w:p w14:paraId="2BD066F3" w14:textId="77777777" w:rsidR="007576F0" w:rsidRPr="007576F0" w:rsidRDefault="007576F0" w:rsidP="007576F0">
      <w:pPr>
        <w:spacing w:line="300" w:lineRule="exact"/>
        <w:ind w:left="1800" w:hanging="360"/>
        <w:rPr>
          <w:rFonts w:ascii="標楷體" w:eastAsia="標楷體" w:hAnsi="標楷體"/>
          <w:color w:val="000000"/>
        </w:rPr>
      </w:pPr>
      <w:proofErr w:type="spellStart"/>
      <w:r w:rsidRPr="007576F0">
        <w:rPr>
          <w:rFonts w:ascii="標楷體" w:eastAsia="標楷體" w:hAnsi="標楷體"/>
          <w:color w:val="000000"/>
        </w:rPr>
        <w:t>v.Plasmacytoma</w:t>
      </w:r>
      <w:proofErr w:type="spellEnd"/>
      <w:r w:rsidRPr="007576F0">
        <w:rPr>
          <w:rFonts w:ascii="標楷體" w:eastAsia="標楷體" w:hAnsi="標楷體"/>
          <w:color w:val="000000"/>
        </w:rPr>
        <w:t>體積增加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50%。</w:t>
      </w:r>
    </w:p>
    <w:p w14:paraId="750A41A1"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vi.周邊</w:t>
      </w:r>
      <w:proofErr w:type="gramStart"/>
      <w:r w:rsidRPr="007576F0">
        <w:rPr>
          <w:rFonts w:ascii="標楷體" w:eastAsia="標楷體" w:hAnsi="標楷體"/>
          <w:color w:val="000000"/>
        </w:rPr>
        <w:t>血液中漿細胞</w:t>
      </w:r>
      <w:proofErr w:type="gramEnd"/>
      <w:r w:rsidRPr="007576F0">
        <w:rPr>
          <w:rFonts w:ascii="標楷體" w:eastAsia="標楷體" w:hAnsi="標楷體"/>
          <w:color w:val="000000"/>
        </w:rPr>
        <w:t>比例</w:t>
      </w:r>
      <w:proofErr w:type="gramStart"/>
      <w:r w:rsidRPr="007576F0">
        <w:rPr>
          <w:rFonts w:ascii="標楷體" w:eastAsia="標楷體" w:hAnsi="標楷體"/>
          <w:color w:val="000000"/>
        </w:rPr>
        <w:t>≧</w:t>
      </w:r>
      <w:proofErr w:type="gramEnd"/>
      <w:r w:rsidRPr="007576F0">
        <w:rPr>
          <w:rFonts w:ascii="標楷體" w:eastAsia="標楷體" w:hAnsi="標楷體"/>
          <w:color w:val="000000"/>
        </w:rPr>
        <w:t>20%</w:t>
      </w:r>
      <w:proofErr w:type="gramStart"/>
      <w:r w:rsidRPr="007576F0">
        <w:rPr>
          <w:rFonts w:ascii="標楷體" w:eastAsia="標楷體" w:hAnsi="標楷體"/>
          <w:color w:val="000000"/>
        </w:rPr>
        <w:t>或漿細胞</w:t>
      </w:r>
      <w:proofErr w:type="gramEnd"/>
      <w:r w:rsidRPr="007576F0">
        <w:rPr>
          <w:rFonts w:ascii="標楷體" w:eastAsia="標楷體" w:hAnsi="標楷體"/>
          <w:color w:val="000000"/>
        </w:rPr>
        <w:t>絕對值</w:t>
      </w:r>
      <w:proofErr w:type="gramStart"/>
      <w:r w:rsidRPr="007576F0">
        <w:rPr>
          <w:rFonts w:ascii="標楷體" w:eastAsia="標楷體" w:hAnsi="標楷體"/>
          <w:color w:val="000000"/>
        </w:rPr>
        <w:t>≧</w:t>
      </w:r>
      <w:proofErr w:type="gramEnd"/>
      <w:r w:rsidRPr="007576F0">
        <w:rPr>
          <w:rFonts w:ascii="標楷體" w:eastAsia="標楷體" w:hAnsi="標楷體"/>
          <w:color w:val="000000"/>
        </w:rPr>
        <w:t>2000 cells/</w:t>
      </w:r>
      <w:proofErr w:type="spellStart"/>
      <w:r w:rsidRPr="007576F0">
        <w:rPr>
          <w:rFonts w:ascii="標楷體" w:eastAsia="標楷體" w:hAnsi="標楷體"/>
          <w:color w:val="000000"/>
        </w:rPr>
        <w:t>μL</w:t>
      </w:r>
      <w:proofErr w:type="spellEnd"/>
      <w:r w:rsidRPr="007576F0">
        <w:rPr>
          <w:rFonts w:ascii="標楷體" w:eastAsia="標楷體" w:hAnsi="標楷體"/>
          <w:color w:val="000000"/>
        </w:rPr>
        <w:t>。</w:t>
      </w:r>
    </w:p>
    <w:p w14:paraId="2584B706" w14:textId="77777777" w:rsidR="007576F0" w:rsidRPr="007576F0" w:rsidRDefault="007576F0" w:rsidP="007576F0">
      <w:pPr>
        <w:tabs>
          <w:tab w:val="left" w:pos="1418"/>
        </w:tabs>
        <w:spacing w:line="300" w:lineRule="exact"/>
        <w:ind w:left="1291" w:hanging="245"/>
        <w:jc w:val="both"/>
        <w:rPr>
          <w:rFonts w:ascii="標楷體" w:eastAsia="標楷體" w:hAnsi="標楷體"/>
          <w:color w:val="000000"/>
        </w:rPr>
      </w:pPr>
      <w:r w:rsidRPr="007576F0">
        <w:rPr>
          <w:rFonts w:ascii="標楷體" w:eastAsia="標楷體" w:hAnsi="標楷體"/>
          <w:color w:val="000000"/>
        </w:rPr>
        <w:t>II.出現下列任</w:t>
      </w:r>
      <w:proofErr w:type="gramStart"/>
      <w:r w:rsidRPr="007576F0">
        <w:rPr>
          <w:rFonts w:ascii="標楷體" w:eastAsia="標楷體" w:hAnsi="標楷體"/>
          <w:color w:val="000000"/>
        </w:rPr>
        <w:t>一</w:t>
      </w:r>
      <w:proofErr w:type="gramEnd"/>
      <w:r w:rsidRPr="007576F0">
        <w:rPr>
          <w:rFonts w:ascii="標楷體" w:eastAsia="標楷體" w:hAnsi="標楷體"/>
          <w:color w:val="000000"/>
        </w:rPr>
        <w:t>臨床症狀：</w:t>
      </w:r>
    </w:p>
    <w:p w14:paraId="6F6E2CA1" w14:textId="77777777" w:rsidR="007576F0" w:rsidRPr="007576F0" w:rsidRDefault="007576F0" w:rsidP="007576F0">
      <w:pPr>
        <w:spacing w:line="300" w:lineRule="exact"/>
        <w:ind w:left="1800" w:hanging="360"/>
        <w:rPr>
          <w:rFonts w:ascii="標楷體" w:eastAsia="標楷體" w:hAnsi="標楷體"/>
          <w:color w:val="000000"/>
        </w:rPr>
      </w:pPr>
      <w:proofErr w:type="spellStart"/>
      <w:r w:rsidRPr="007576F0">
        <w:rPr>
          <w:rFonts w:ascii="標楷體" w:eastAsia="標楷體" w:hAnsi="標楷體"/>
          <w:color w:val="000000"/>
        </w:rPr>
        <w:t>i</w:t>
      </w:r>
      <w:proofErr w:type="spellEnd"/>
      <w:r w:rsidRPr="007576F0">
        <w:rPr>
          <w:rFonts w:ascii="標楷體" w:eastAsia="標楷體" w:hAnsi="標楷體"/>
          <w:color w:val="000000"/>
        </w:rPr>
        <w:t>.新產生的bone lesion(s)或plasmacytoma；且須經病理切片證實。</w:t>
      </w:r>
    </w:p>
    <w:p w14:paraId="70B31951" w14:textId="77777777" w:rsidR="007576F0" w:rsidRPr="007576F0" w:rsidRDefault="007576F0" w:rsidP="007576F0">
      <w:pPr>
        <w:spacing w:line="300" w:lineRule="exact"/>
        <w:ind w:left="1800" w:hanging="360"/>
        <w:rPr>
          <w:rFonts w:ascii="標楷體" w:eastAsia="標楷體" w:hAnsi="標楷體"/>
          <w:color w:val="000000"/>
        </w:rPr>
      </w:pPr>
      <w:proofErr w:type="spellStart"/>
      <w:r w:rsidRPr="007576F0">
        <w:rPr>
          <w:rFonts w:ascii="標楷體" w:eastAsia="標楷體" w:hAnsi="標楷體"/>
          <w:color w:val="000000"/>
        </w:rPr>
        <w:t>ii.Plasmacytoma</w:t>
      </w:r>
      <w:proofErr w:type="spellEnd"/>
      <w:r w:rsidRPr="007576F0">
        <w:rPr>
          <w:rFonts w:ascii="標楷體" w:eastAsia="標楷體" w:hAnsi="標楷體"/>
          <w:color w:val="000000"/>
        </w:rPr>
        <w:t>體積增加</w:t>
      </w:r>
      <w:proofErr w:type="gramStart"/>
      <w:r w:rsidRPr="007576F0">
        <w:rPr>
          <w:rFonts w:ascii="標楷體" w:eastAsia="標楷體" w:hAnsi="標楷體"/>
          <w:color w:val="000000"/>
        </w:rPr>
        <w:t>≧</w:t>
      </w:r>
      <w:proofErr w:type="gramEnd"/>
      <w:r w:rsidRPr="007576F0">
        <w:rPr>
          <w:rFonts w:ascii="標楷體" w:eastAsia="標楷體" w:hAnsi="標楷體"/>
          <w:color w:val="000000"/>
        </w:rPr>
        <w:t>50%。</w:t>
      </w:r>
    </w:p>
    <w:p w14:paraId="21DF29F2"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 xml:space="preserve">iii.高血鈣(corrected </w:t>
      </w:r>
      <w:proofErr w:type="spellStart"/>
      <w:r w:rsidRPr="007576F0">
        <w:rPr>
          <w:rFonts w:ascii="標楷體" w:eastAsia="標楷體" w:hAnsi="標楷體"/>
          <w:color w:val="000000"/>
        </w:rPr>
        <w:t>serumcalcium</w:t>
      </w:r>
      <w:proofErr w:type="spellEnd"/>
      <w:r w:rsidRPr="007576F0">
        <w:rPr>
          <w:rFonts w:ascii="標楷體" w:eastAsia="標楷體" w:hAnsi="標楷體"/>
          <w:color w:val="000000"/>
        </w:rPr>
        <w:t>＞11.0mg/dL或2.75mmol/L)。</w:t>
      </w:r>
    </w:p>
    <w:p w14:paraId="0958E396"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iv.貧血(Hemoglobin下降幅度</w:t>
      </w:r>
      <w:proofErr w:type="gramStart"/>
      <w:r w:rsidRPr="007576F0">
        <w:rPr>
          <w:rFonts w:ascii="標楷體" w:eastAsia="標楷體" w:hAnsi="標楷體"/>
          <w:color w:val="000000"/>
        </w:rPr>
        <w:t>≧</w:t>
      </w:r>
      <w:proofErr w:type="gramEnd"/>
      <w:r w:rsidRPr="007576F0">
        <w:rPr>
          <w:rFonts w:ascii="標楷體" w:eastAsia="標楷體" w:hAnsi="標楷體"/>
          <w:color w:val="000000"/>
        </w:rPr>
        <w:t>2gm/dL且無其他原因可以解釋)。</w:t>
      </w:r>
    </w:p>
    <w:p w14:paraId="321FAD96"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v.腎功能惡化(eGFR需下降幅度</w:t>
      </w:r>
      <w:proofErr w:type="gramStart"/>
      <w:r w:rsidRPr="007576F0">
        <w:rPr>
          <w:rFonts w:ascii="標楷體" w:eastAsia="標楷體" w:hAnsi="標楷體"/>
          <w:color w:val="000000"/>
        </w:rPr>
        <w:t>≧</w:t>
      </w:r>
      <w:proofErr w:type="gramEnd"/>
      <w:r w:rsidRPr="007576F0">
        <w:rPr>
          <w:rFonts w:ascii="標楷體" w:eastAsia="標楷體" w:hAnsi="標楷體"/>
          <w:color w:val="000000"/>
        </w:rPr>
        <w:t>25%)，且無其他原因可以解釋。</w:t>
      </w:r>
    </w:p>
    <w:p w14:paraId="045320E6" w14:textId="77777777" w:rsidR="007576F0" w:rsidRPr="007576F0" w:rsidRDefault="007576F0" w:rsidP="007576F0">
      <w:pPr>
        <w:spacing w:line="300" w:lineRule="exact"/>
        <w:ind w:left="1800" w:hanging="360"/>
        <w:rPr>
          <w:rFonts w:ascii="標楷體" w:eastAsia="標楷體" w:hAnsi="標楷體"/>
          <w:color w:val="000000"/>
        </w:rPr>
      </w:pPr>
      <w:r w:rsidRPr="007576F0">
        <w:rPr>
          <w:rFonts w:ascii="標楷體" w:eastAsia="標楷體" w:hAnsi="標楷體"/>
          <w:color w:val="000000"/>
        </w:rPr>
        <w:t>vi.出現其他end-organ dysfunctions。</w:t>
      </w:r>
    </w:p>
    <w:p w14:paraId="0421BD06" w14:textId="77777777" w:rsidR="007576F0" w:rsidRPr="007576F0" w:rsidRDefault="007576F0" w:rsidP="007576F0">
      <w:pPr>
        <w:tabs>
          <w:tab w:val="left" w:pos="1185"/>
        </w:tabs>
        <w:spacing w:line="300" w:lineRule="exact"/>
        <w:ind w:left="1134" w:hanging="245"/>
        <w:jc w:val="both"/>
        <w:rPr>
          <w:rFonts w:ascii="標楷體" w:eastAsia="標楷體" w:hAnsi="標楷體"/>
          <w:szCs w:val="28"/>
        </w:rPr>
      </w:pPr>
      <w:r w:rsidRPr="007576F0">
        <w:rPr>
          <w:rFonts w:ascii="標楷體" w:eastAsia="標楷體" w:hAnsi="標楷體"/>
          <w:color w:val="000000"/>
        </w:rPr>
        <w:t>(2)</w:t>
      </w:r>
      <w:r w:rsidRPr="007576F0">
        <w:rPr>
          <w:rFonts w:ascii="標楷體" w:eastAsia="標楷體" w:hAnsi="標楷體"/>
          <w:szCs w:val="28"/>
        </w:rPr>
        <w:t>再次申請時必須確定paraprotein(M-protein)未上升(即表示對藥物有反應或為穩定狀態)；或對部分non-secretory type MM病人以骨髓檢查plasma cell為療效依據，證明為對藥物有反應或為穩定狀態，方可繼續使用。續用時的申請每次以4個療程為限。</w:t>
      </w:r>
    </w:p>
    <w:p w14:paraId="1D5D3BC4" w14:textId="77777777" w:rsidR="007576F0" w:rsidRPr="007576F0" w:rsidRDefault="007576F0" w:rsidP="007576F0">
      <w:pPr>
        <w:tabs>
          <w:tab w:val="left" w:pos="1185"/>
        </w:tabs>
        <w:spacing w:line="300" w:lineRule="exact"/>
        <w:ind w:left="1134" w:hanging="245"/>
        <w:jc w:val="both"/>
        <w:rPr>
          <w:rFonts w:ascii="標楷體" w:eastAsia="標楷體" w:hAnsi="標楷體"/>
          <w:color w:val="000000"/>
        </w:rPr>
      </w:pPr>
      <w:r w:rsidRPr="007576F0">
        <w:rPr>
          <w:rFonts w:ascii="標楷體" w:eastAsia="標楷體" w:hAnsi="標楷體"/>
          <w:szCs w:val="28"/>
        </w:rPr>
        <w:t>(3)每人</w:t>
      </w:r>
      <w:r w:rsidRPr="007576F0">
        <w:rPr>
          <w:rFonts w:ascii="標楷體" w:eastAsia="標楷體" w:hAnsi="標楷體"/>
          <w:color w:val="000000"/>
        </w:rPr>
        <w:t>終生以8個療程為上限。</w:t>
      </w:r>
    </w:p>
    <w:p w14:paraId="1CCA849B" w14:textId="77777777" w:rsidR="007576F0" w:rsidRPr="007576F0" w:rsidRDefault="007576F0" w:rsidP="007576F0">
      <w:pPr>
        <w:spacing w:line="300" w:lineRule="exact"/>
        <w:ind w:left="610" w:hanging="245"/>
        <w:rPr>
          <w:rFonts w:ascii="標楷體" w:eastAsia="標楷體" w:hAnsi="標楷體"/>
          <w:szCs w:val="24"/>
        </w:rPr>
      </w:pPr>
      <w:bookmarkStart w:id="76" w:name="_Hlk204088647"/>
      <w:r w:rsidRPr="007576F0">
        <w:rPr>
          <w:rFonts w:ascii="標楷體" w:eastAsia="標楷體" w:hAnsi="標楷體"/>
          <w:szCs w:val="24"/>
        </w:rPr>
        <w:t>9.</w:t>
      </w:r>
      <w:r w:rsidRPr="007576F0">
        <w:rPr>
          <w:rFonts w:ascii="標楷體" w:eastAsia="標楷體" w:hAnsi="標楷體" w:hint="eastAsia"/>
          <w:szCs w:val="24"/>
        </w:rPr>
        <w:t>118</w:t>
      </w:r>
      <w:r w:rsidRPr="007576F0">
        <w:rPr>
          <w:rFonts w:ascii="標楷體" w:eastAsia="標楷體" w:hAnsi="標楷體"/>
          <w:szCs w:val="24"/>
        </w:rPr>
        <w:t>.</w:t>
      </w:r>
      <w:r w:rsidRPr="007576F0">
        <w:rPr>
          <w:rFonts w:ascii="標楷體" w:eastAsia="標楷體" w:hAnsi="標楷體"/>
          <w:szCs w:val="28"/>
        </w:rPr>
        <w:t>Elranatamab</w:t>
      </w:r>
      <w:r w:rsidRPr="007576F0">
        <w:rPr>
          <w:rFonts w:ascii="標楷體" w:eastAsia="標楷體" w:hAnsi="標楷體"/>
          <w:szCs w:val="24"/>
        </w:rPr>
        <w:t xml:space="preserve"> (如</w:t>
      </w:r>
      <w:proofErr w:type="spellStart"/>
      <w:r w:rsidRPr="007576F0">
        <w:rPr>
          <w:rFonts w:ascii="標楷體" w:eastAsia="標楷體" w:hAnsi="標楷體"/>
          <w:szCs w:val="24"/>
        </w:rPr>
        <w:t>Elrexfio</w:t>
      </w:r>
      <w:proofErr w:type="spellEnd"/>
      <w:r w:rsidRPr="007576F0">
        <w:rPr>
          <w:rFonts w:ascii="標楷體" w:eastAsia="標楷體" w:hAnsi="標楷體"/>
          <w:szCs w:val="24"/>
        </w:rPr>
        <w:t>)：(114/5/1</w:t>
      </w:r>
      <w:r w:rsidRPr="007576F0">
        <w:rPr>
          <w:rFonts w:ascii="標楷體" w:eastAsia="標楷體" w:hAnsi="標楷體" w:hint="eastAsia"/>
          <w:szCs w:val="24"/>
        </w:rPr>
        <w:t>、114/8/1</w:t>
      </w:r>
      <w:r w:rsidRPr="007576F0">
        <w:rPr>
          <w:rFonts w:ascii="標楷體" w:eastAsia="標楷體" w:hAnsi="標楷體"/>
          <w:szCs w:val="24"/>
        </w:rPr>
        <w:t>)</w:t>
      </w:r>
    </w:p>
    <w:p w14:paraId="204DDCD7"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hint="eastAsia"/>
          <w:szCs w:val="24"/>
        </w:rPr>
        <w:t>1.</w:t>
      </w:r>
      <w:r w:rsidRPr="007576F0">
        <w:rPr>
          <w:rFonts w:ascii="標楷體" w:eastAsia="標楷體" w:hAnsi="標楷體"/>
          <w:szCs w:val="24"/>
        </w:rPr>
        <w:t>適用</w:t>
      </w:r>
      <w:r w:rsidRPr="007576F0">
        <w:rPr>
          <w:rFonts w:ascii="標楷體" w:eastAsia="標楷體" w:hAnsi="標楷體"/>
          <w:szCs w:val="28"/>
        </w:rPr>
        <w:t>於治療先前曾接受至少四線療法(包括一種蛋白酶體抑制劑、一種免疫調節劑和一種抗CD38單株抗體)並在最近治療後顯示為疾病惡化的復發性或難治性多發性骨髓瘤成人病人，且須具有良好日常體能狀態(ECOG</w:t>
      </w:r>
      <w:r w:rsidRPr="007576F0">
        <w:rPr>
          <w:rFonts w:ascii="Times New Roman" w:eastAsia="標楷體" w:hAnsi="Times New Roman"/>
          <w:szCs w:val="28"/>
        </w:rPr>
        <w:t>≤</w:t>
      </w:r>
      <w:r w:rsidRPr="007576F0">
        <w:rPr>
          <w:rFonts w:ascii="標楷體" w:eastAsia="標楷體" w:hAnsi="標楷體"/>
          <w:szCs w:val="28"/>
        </w:rPr>
        <w:t>2)。</w:t>
      </w:r>
    </w:p>
    <w:p w14:paraId="661DF63A"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8"/>
        </w:rPr>
        <w:t>2.須經事前審</w:t>
      </w:r>
      <w:r w:rsidRPr="007576F0">
        <w:rPr>
          <w:rFonts w:ascii="標楷體" w:eastAsia="標楷體" w:hAnsi="標楷體"/>
          <w:szCs w:val="24"/>
        </w:rPr>
        <w:t>查核准後使用：</w:t>
      </w:r>
    </w:p>
    <w:p w14:paraId="267BEBE9"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4"/>
        </w:rPr>
        <w:t>(1)首次申請為</w:t>
      </w:r>
      <w:proofErr w:type="gramStart"/>
      <w:r w:rsidRPr="007576F0">
        <w:rPr>
          <w:rFonts w:ascii="標楷體" w:eastAsia="標楷體" w:hAnsi="標楷體"/>
          <w:szCs w:val="24"/>
        </w:rPr>
        <w:t>13次輸注</w:t>
      </w:r>
      <w:proofErr w:type="gramEnd"/>
      <w:r w:rsidRPr="007576F0">
        <w:rPr>
          <w:rFonts w:ascii="標楷體" w:eastAsia="標楷體" w:hAnsi="標楷體"/>
          <w:szCs w:val="24"/>
        </w:rPr>
        <w:t>，且需同時符合下列Ⅰ.與Ⅱ.的條件：</w:t>
      </w:r>
    </w:p>
    <w:p w14:paraId="7B15FF24" w14:textId="77777777" w:rsidR="007576F0" w:rsidRPr="007576F0" w:rsidRDefault="007576F0" w:rsidP="007576F0">
      <w:pPr>
        <w:spacing w:line="300" w:lineRule="exact"/>
        <w:ind w:left="1418" w:hanging="284"/>
        <w:rPr>
          <w:rFonts w:ascii="標楷體" w:eastAsia="標楷體" w:hAnsi="標楷體"/>
          <w:szCs w:val="24"/>
        </w:rPr>
      </w:pPr>
      <w:r w:rsidRPr="007576F0">
        <w:rPr>
          <w:rFonts w:ascii="標楷體" w:eastAsia="標楷體" w:hAnsi="標楷體"/>
          <w:szCs w:val="24"/>
        </w:rPr>
        <w:t>I.具有下列任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疾病惡化的指標：病人開始治療前須在連續2次評估中均符合同一指標 (但若為</w:t>
      </w:r>
      <w:proofErr w:type="spellStart"/>
      <w:r w:rsidRPr="007576F0">
        <w:rPr>
          <w:rFonts w:ascii="標楷體" w:eastAsia="標楷體" w:hAnsi="標楷體"/>
          <w:szCs w:val="24"/>
        </w:rPr>
        <w:t>plamacytoma</w:t>
      </w:r>
      <w:proofErr w:type="spellEnd"/>
      <w:r w:rsidRPr="007576F0">
        <w:rPr>
          <w:rFonts w:ascii="標楷體" w:eastAsia="標楷體" w:hAnsi="標楷體"/>
          <w:szCs w:val="24"/>
        </w:rPr>
        <w:t xml:space="preserve"> 體積增加，或是新產生的bone lesion(s)或新plasmacytoma，則僅需1次評估)：</w:t>
      </w:r>
    </w:p>
    <w:p w14:paraId="15E9FC72" w14:textId="77777777" w:rsidR="007576F0" w:rsidRPr="007576F0" w:rsidRDefault="007576F0" w:rsidP="007576F0">
      <w:pPr>
        <w:spacing w:line="300" w:lineRule="exact"/>
        <w:ind w:left="1701" w:hanging="280"/>
        <w:rPr>
          <w:rFonts w:ascii="標楷體" w:eastAsia="標楷體" w:hAnsi="標楷體"/>
          <w:szCs w:val="24"/>
        </w:rPr>
      </w:pPr>
      <w:proofErr w:type="spellStart"/>
      <w:r w:rsidRPr="007576F0">
        <w:rPr>
          <w:rFonts w:ascii="標楷體" w:eastAsia="標楷體" w:hAnsi="標楷體"/>
          <w:szCs w:val="24"/>
        </w:rPr>
        <w:t>i</w:t>
      </w:r>
      <w:proofErr w:type="spellEnd"/>
      <w:r w:rsidRPr="007576F0">
        <w:rPr>
          <w:rFonts w:ascii="標楷體" w:eastAsia="標楷體" w:hAnsi="標楷體"/>
          <w:szCs w:val="24"/>
        </w:rPr>
        <w:t>.若前一線治療中M component 最低值</w:t>
      </w:r>
      <w:proofErr w:type="gramStart"/>
      <w:r w:rsidRPr="007576F0">
        <w:rPr>
          <w:rFonts w:ascii="標楷體" w:eastAsia="標楷體" w:hAnsi="標楷體"/>
          <w:szCs w:val="24"/>
        </w:rPr>
        <w:t>≧</w:t>
      </w:r>
      <w:proofErr w:type="gramEnd"/>
      <w:r w:rsidRPr="007576F0">
        <w:rPr>
          <w:rFonts w:ascii="標楷體" w:eastAsia="標楷體" w:hAnsi="標楷體"/>
          <w:szCs w:val="24"/>
        </w:rPr>
        <w:t>5 g/dL，血清M蛋白需增加</w:t>
      </w:r>
      <w:proofErr w:type="gramStart"/>
      <w:r w:rsidRPr="007576F0">
        <w:rPr>
          <w:rFonts w:ascii="標楷體" w:eastAsia="標楷體" w:hAnsi="標楷體"/>
          <w:szCs w:val="24"/>
        </w:rPr>
        <w:t>≧</w:t>
      </w:r>
      <w:proofErr w:type="gramEnd"/>
      <w:r w:rsidRPr="007576F0">
        <w:rPr>
          <w:rFonts w:ascii="標楷體" w:eastAsia="標楷體" w:hAnsi="標楷體"/>
          <w:szCs w:val="24"/>
        </w:rPr>
        <w:t>1 g/dL；若前一線治療中M component 最低值＜5 g/dL，血清M蛋白需增加</w:t>
      </w:r>
      <w:proofErr w:type="gramStart"/>
      <w:r w:rsidRPr="007576F0">
        <w:rPr>
          <w:rFonts w:ascii="標楷體" w:eastAsia="標楷體" w:hAnsi="標楷體"/>
          <w:szCs w:val="24"/>
        </w:rPr>
        <w:t>≧</w:t>
      </w:r>
      <w:proofErr w:type="gramEnd"/>
      <w:r w:rsidRPr="007576F0">
        <w:rPr>
          <w:rFonts w:ascii="標楷體" w:eastAsia="標楷體" w:hAnsi="標楷體"/>
          <w:szCs w:val="24"/>
        </w:rPr>
        <w:t>0.5g/dL。</w:t>
      </w:r>
    </w:p>
    <w:p w14:paraId="4C865856" w14:textId="77777777" w:rsidR="007576F0" w:rsidRPr="007576F0" w:rsidRDefault="007576F0" w:rsidP="007576F0">
      <w:pPr>
        <w:spacing w:line="300" w:lineRule="exact"/>
        <w:ind w:left="1701" w:hanging="280"/>
        <w:rPr>
          <w:rFonts w:ascii="標楷體" w:eastAsia="標楷體" w:hAnsi="標楷體"/>
          <w:szCs w:val="24"/>
        </w:rPr>
      </w:pPr>
      <w:proofErr w:type="spellStart"/>
      <w:r w:rsidRPr="007576F0">
        <w:rPr>
          <w:rFonts w:ascii="標楷體" w:eastAsia="標楷體" w:hAnsi="標楷體"/>
          <w:szCs w:val="24"/>
        </w:rPr>
        <w:t>ii.Urine</w:t>
      </w:r>
      <w:proofErr w:type="spellEnd"/>
      <w:r w:rsidRPr="007576F0">
        <w:rPr>
          <w:rFonts w:ascii="標楷體" w:eastAsia="標楷體" w:hAnsi="標楷體"/>
          <w:szCs w:val="24"/>
        </w:rPr>
        <w:t xml:space="preserve"> M-protein需增加</w:t>
      </w:r>
      <w:proofErr w:type="gramStart"/>
      <w:r w:rsidRPr="007576F0">
        <w:rPr>
          <w:rFonts w:ascii="標楷體" w:eastAsia="標楷體" w:hAnsi="標楷體"/>
          <w:szCs w:val="24"/>
        </w:rPr>
        <w:t>≧</w:t>
      </w:r>
      <w:proofErr w:type="gramEnd"/>
      <w:r w:rsidRPr="007576F0">
        <w:rPr>
          <w:rFonts w:ascii="標楷體" w:eastAsia="標楷體" w:hAnsi="標楷體"/>
          <w:szCs w:val="24"/>
        </w:rPr>
        <w:t>0.2 gm/24Hr，且需較前一線治療中的最低值增加</w:t>
      </w:r>
      <w:proofErr w:type="gramStart"/>
      <w:r w:rsidRPr="007576F0">
        <w:rPr>
          <w:rFonts w:ascii="標楷體" w:eastAsia="標楷體" w:hAnsi="標楷體"/>
          <w:szCs w:val="24"/>
        </w:rPr>
        <w:t>≧</w:t>
      </w:r>
      <w:proofErr w:type="gramEnd"/>
      <w:r w:rsidRPr="007576F0">
        <w:rPr>
          <w:rFonts w:ascii="標楷體" w:eastAsia="標楷體" w:hAnsi="標楷體"/>
          <w:szCs w:val="24"/>
        </w:rPr>
        <w:t>25%。</w:t>
      </w:r>
    </w:p>
    <w:p w14:paraId="58F7BA8D" w14:textId="77777777" w:rsidR="007576F0" w:rsidRPr="007576F0" w:rsidRDefault="007576F0" w:rsidP="007576F0">
      <w:pPr>
        <w:spacing w:line="300" w:lineRule="exact"/>
        <w:ind w:left="1701" w:hanging="280"/>
        <w:rPr>
          <w:rFonts w:ascii="標楷體" w:eastAsia="標楷體" w:hAnsi="標楷體"/>
          <w:szCs w:val="24"/>
        </w:rPr>
      </w:pPr>
      <w:r w:rsidRPr="007576F0">
        <w:rPr>
          <w:rFonts w:ascii="標楷體" w:eastAsia="標楷體" w:hAnsi="標楷體"/>
          <w:szCs w:val="24"/>
        </w:rPr>
        <w:t>iii.在non-secretary myeloma病人，骨髓</w:t>
      </w:r>
      <w:proofErr w:type="gramStart"/>
      <w:r w:rsidRPr="007576F0">
        <w:rPr>
          <w:rFonts w:ascii="標楷體" w:eastAsia="標楷體" w:hAnsi="標楷體"/>
          <w:szCs w:val="24"/>
        </w:rPr>
        <w:t>漿</w:t>
      </w:r>
      <w:proofErr w:type="gramEnd"/>
      <w:r w:rsidRPr="007576F0">
        <w:rPr>
          <w:rFonts w:ascii="標楷體" w:eastAsia="標楷體" w:hAnsi="標楷體"/>
          <w:szCs w:val="24"/>
        </w:rPr>
        <w:t>細胞 (plasma cells)之比例絕對值增加</w:t>
      </w:r>
      <w:proofErr w:type="gramStart"/>
      <w:r w:rsidRPr="007576F0">
        <w:rPr>
          <w:rFonts w:ascii="標楷體" w:eastAsia="標楷體" w:hAnsi="標楷體"/>
          <w:szCs w:val="24"/>
        </w:rPr>
        <w:t>≧</w:t>
      </w:r>
      <w:proofErr w:type="gramEnd"/>
      <w:r w:rsidRPr="007576F0">
        <w:rPr>
          <w:rFonts w:ascii="標楷體" w:eastAsia="標楷體" w:hAnsi="標楷體"/>
          <w:szCs w:val="24"/>
        </w:rPr>
        <w:t>10%，且需較前一線治療中的最低值增加</w:t>
      </w:r>
      <w:proofErr w:type="gramStart"/>
      <w:r w:rsidRPr="007576F0">
        <w:rPr>
          <w:rFonts w:ascii="標楷體" w:eastAsia="標楷體" w:hAnsi="標楷體"/>
          <w:szCs w:val="24"/>
        </w:rPr>
        <w:t>≧</w:t>
      </w:r>
      <w:proofErr w:type="gramEnd"/>
      <w:r w:rsidRPr="007576F0">
        <w:rPr>
          <w:rFonts w:ascii="標楷體" w:eastAsia="標楷體" w:hAnsi="標楷體"/>
          <w:szCs w:val="24"/>
        </w:rPr>
        <w:t>25%。</w:t>
      </w:r>
    </w:p>
    <w:p w14:paraId="32BC8EDC" w14:textId="77777777" w:rsidR="007576F0" w:rsidRPr="007576F0" w:rsidRDefault="007576F0" w:rsidP="007576F0">
      <w:pPr>
        <w:spacing w:line="300" w:lineRule="exact"/>
        <w:ind w:left="1701" w:hanging="280"/>
        <w:rPr>
          <w:rFonts w:ascii="標楷體" w:eastAsia="標楷體" w:hAnsi="標楷體"/>
          <w:szCs w:val="24"/>
        </w:rPr>
      </w:pPr>
      <w:r w:rsidRPr="007576F0">
        <w:rPr>
          <w:rFonts w:ascii="標楷體" w:eastAsia="標楷體" w:hAnsi="標楷體"/>
          <w:szCs w:val="24"/>
        </w:rPr>
        <w:t>iv.新產生的bone lesion(s)或plasmacytoma，且須經病理切片證實。</w:t>
      </w:r>
    </w:p>
    <w:p w14:paraId="06C16D62" w14:textId="77777777" w:rsidR="007576F0" w:rsidRPr="007576F0" w:rsidRDefault="007576F0" w:rsidP="007576F0">
      <w:pPr>
        <w:spacing w:line="300" w:lineRule="exact"/>
        <w:ind w:left="1701" w:hanging="280"/>
        <w:rPr>
          <w:rFonts w:ascii="標楷體" w:eastAsia="標楷體" w:hAnsi="標楷體"/>
          <w:szCs w:val="24"/>
        </w:rPr>
      </w:pPr>
      <w:proofErr w:type="spellStart"/>
      <w:r w:rsidRPr="007576F0">
        <w:rPr>
          <w:rFonts w:ascii="標楷體" w:eastAsia="標楷體" w:hAnsi="標楷體"/>
          <w:szCs w:val="24"/>
        </w:rPr>
        <w:t>v.Plasmacytoma</w:t>
      </w:r>
      <w:proofErr w:type="spellEnd"/>
      <w:r w:rsidRPr="007576F0">
        <w:rPr>
          <w:rFonts w:ascii="標楷體" w:eastAsia="標楷體" w:hAnsi="標楷體"/>
          <w:szCs w:val="24"/>
        </w:rPr>
        <w:t>體積增加</w:t>
      </w:r>
      <w:proofErr w:type="gramStart"/>
      <w:r w:rsidRPr="007576F0">
        <w:rPr>
          <w:rFonts w:ascii="標楷體" w:eastAsia="標楷體" w:hAnsi="標楷體"/>
          <w:szCs w:val="24"/>
        </w:rPr>
        <w:t>≧</w:t>
      </w:r>
      <w:proofErr w:type="gramEnd"/>
      <w:r w:rsidRPr="007576F0">
        <w:rPr>
          <w:rFonts w:ascii="標楷體" w:eastAsia="標楷體" w:hAnsi="標楷體"/>
          <w:szCs w:val="24"/>
        </w:rPr>
        <w:t>50%。</w:t>
      </w:r>
    </w:p>
    <w:p w14:paraId="458E0BD0" w14:textId="77777777" w:rsidR="007576F0" w:rsidRPr="007576F0" w:rsidRDefault="007576F0" w:rsidP="007576F0">
      <w:pPr>
        <w:spacing w:line="300" w:lineRule="exact"/>
        <w:ind w:left="1701" w:hanging="280"/>
        <w:rPr>
          <w:rFonts w:ascii="標楷體" w:eastAsia="標楷體" w:hAnsi="標楷體"/>
          <w:szCs w:val="24"/>
        </w:rPr>
      </w:pPr>
      <w:r w:rsidRPr="007576F0">
        <w:rPr>
          <w:rFonts w:ascii="標楷體" w:eastAsia="標楷體" w:hAnsi="標楷體"/>
          <w:szCs w:val="24"/>
        </w:rPr>
        <w:t>vi.周邊</w:t>
      </w:r>
      <w:proofErr w:type="gramStart"/>
      <w:r w:rsidRPr="007576F0">
        <w:rPr>
          <w:rFonts w:ascii="標楷體" w:eastAsia="標楷體" w:hAnsi="標楷體"/>
          <w:szCs w:val="24"/>
        </w:rPr>
        <w:t>血液中漿細胞</w:t>
      </w:r>
      <w:proofErr w:type="gramEnd"/>
      <w:r w:rsidRPr="007576F0">
        <w:rPr>
          <w:rFonts w:ascii="標楷體" w:eastAsia="標楷體" w:hAnsi="標楷體"/>
          <w:szCs w:val="24"/>
        </w:rPr>
        <w:t>比例</w:t>
      </w:r>
      <w:proofErr w:type="gramStart"/>
      <w:r w:rsidRPr="007576F0">
        <w:rPr>
          <w:rFonts w:ascii="標楷體" w:eastAsia="標楷體" w:hAnsi="標楷體"/>
          <w:szCs w:val="24"/>
        </w:rPr>
        <w:t>≧</w:t>
      </w:r>
      <w:proofErr w:type="gramEnd"/>
      <w:r w:rsidRPr="007576F0">
        <w:rPr>
          <w:rFonts w:ascii="標楷體" w:eastAsia="標楷體" w:hAnsi="標楷體"/>
          <w:szCs w:val="24"/>
        </w:rPr>
        <w:t>20%</w:t>
      </w:r>
      <w:proofErr w:type="gramStart"/>
      <w:r w:rsidRPr="007576F0">
        <w:rPr>
          <w:rFonts w:ascii="標楷體" w:eastAsia="標楷體" w:hAnsi="標楷體"/>
          <w:szCs w:val="24"/>
        </w:rPr>
        <w:t>或漿細胞</w:t>
      </w:r>
      <w:proofErr w:type="gramEnd"/>
      <w:r w:rsidRPr="007576F0">
        <w:rPr>
          <w:rFonts w:ascii="標楷體" w:eastAsia="標楷體" w:hAnsi="標楷體"/>
          <w:szCs w:val="24"/>
        </w:rPr>
        <w:t>絕對值</w:t>
      </w:r>
      <w:proofErr w:type="gramStart"/>
      <w:r w:rsidRPr="007576F0">
        <w:rPr>
          <w:rFonts w:ascii="標楷體" w:eastAsia="標楷體" w:hAnsi="標楷體"/>
          <w:szCs w:val="24"/>
        </w:rPr>
        <w:t>≧</w:t>
      </w:r>
      <w:proofErr w:type="gramEnd"/>
      <w:r w:rsidRPr="007576F0">
        <w:rPr>
          <w:rFonts w:ascii="標楷體" w:eastAsia="標楷體" w:hAnsi="標楷體"/>
          <w:szCs w:val="24"/>
        </w:rPr>
        <w:t>2000 cells/</w:t>
      </w:r>
      <w:proofErr w:type="spellStart"/>
      <w:r w:rsidRPr="007576F0">
        <w:rPr>
          <w:rFonts w:ascii="標楷體" w:eastAsia="標楷體" w:hAnsi="標楷體"/>
          <w:szCs w:val="24"/>
        </w:rPr>
        <w:t>μL</w:t>
      </w:r>
      <w:proofErr w:type="spellEnd"/>
      <w:r w:rsidRPr="007576F0">
        <w:rPr>
          <w:rFonts w:ascii="標楷體" w:eastAsia="標楷體" w:hAnsi="標楷體"/>
          <w:szCs w:val="24"/>
        </w:rPr>
        <w:t>。</w:t>
      </w:r>
    </w:p>
    <w:p w14:paraId="756801C7" w14:textId="77777777" w:rsidR="007576F0" w:rsidRPr="007576F0" w:rsidRDefault="007576F0" w:rsidP="007576F0">
      <w:pPr>
        <w:spacing w:line="300" w:lineRule="exact"/>
        <w:ind w:left="1418" w:hanging="284"/>
        <w:rPr>
          <w:rFonts w:ascii="標楷體" w:eastAsia="標楷體" w:hAnsi="標楷體"/>
          <w:szCs w:val="24"/>
        </w:rPr>
      </w:pPr>
      <w:r w:rsidRPr="007576F0">
        <w:rPr>
          <w:rFonts w:ascii="標楷體" w:eastAsia="標楷體" w:hAnsi="標楷體"/>
          <w:szCs w:val="24"/>
        </w:rPr>
        <w:t>II.出現下列任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臨床症狀：</w:t>
      </w:r>
    </w:p>
    <w:p w14:paraId="3219199E" w14:textId="77777777" w:rsidR="007576F0" w:rsidRPr="007576F0" w:rsidRDefault="007576F0" w:rsidP="007576F0">
      <w:pPr>
        <w:spacing w:line="300" w:lineRule="exact"/>
        <w:ind w:left="1701" w:hanging="280"/>
        <w:rPr>
          <w:rFonts w:ascii="標楷體" w:eastAsia="標楷體" w:hAnsi="標楷體"/>
          <w:szCs w:val="24"/>
        </w:rPr>
      </w:pPr>
      <w:proofErr w:type="spellStart"/>
      <w:r w:rsidRPr="007576F0">
        <w:rPr>
          <w:rFonts w:ascii="標楷體" w:eastAsia="標楷體" w:hAnsi="標楷體"/>
          <w:szCs w:val="24"/>
        </w:rPr>
        <w:t>i</w:t>
      </w:r>
      <w:proofErr w:type="spellEnd"/>
      <w:r w:rsidRPr="007576F0">
        <w:rPr>
          <w:rFonts w:ascii="標楷體" w:eastAsia="標楷體" w:hAnsi="標楷體"/>
          <w:szCs w:val="24"/>
        </w:rPr>
        <w:t>.新產生的bone lesion(s)或plasmacytoma，且須經病理切片證實。</w:t>
      </w:r>
    </w:p>
    <w:p w14:paraId="07F892A6" w14:textId="77777777" w:rsidR="007576F0" w:rsidRPr="007576F0" w:rsidRDefault="007576F0" w:rsidP="007576F0">
      <w:pPr>
        <w:spacing w:line="300" w:lineRule="exact"/>
        <w:ind w:left="1701" w:hanging="280"/>
        <w:rPr>
          <w:rFonts w:ascii="標楷體" w:eastAsia="標楷體" w:hAnsi="標楷體"/>
          <w:szCs w:val="24"/>
        </w:rPr>
      </w:pPr>
      <w:proofErr w:type="spellStart"/>
      <w:r w:rsidRPr="007576F0">
        <w:rPr>
          <w:rFonts w:ascii="標楷體" w:eastAsia="標楷體" w:hAnsi="標楷體"/>
          <w:szCs w:val="24"/>
        </w:rPr>
        <w:t>ii.Plasmacytoma</w:t>
      </w:r>
      <w:proofErr w:type="spellEnd"/>
      <w:r w:rsidRPr="007576F0">
        <w:rPr>
          <w:rFonts w:ascii="標楷體" w:eastAsia="標楷體" w:hAnsi="標楷體"/>
          <w:szCs w:val="24"/>
        </w:rPr>
        <w:t xml:space="preserve"> 體積增加</w:t>
      </w:r>
      <w:proofErr w:type="gramStart"/>
      <w:r w:rsidRPr="007576F0">
        <w:rPr>
          <w:rFonts w:ascii="標楷體" w:eastAsia="標楷體" w:hAnsi="標楷體"/>
          <w:szCs w:val="24"/>
        </w:rPr>
        <w:t>≧</w:t>
      </w:r>
      <w:proofErr w:type="gramEnd"/>
      <w:r w:rsidRPr="007576F0">
        <w:rPr>
          <w:rFonts w:ascii="標楷體" w:eastAsia="標楷體" w:hAnsi="標楷體"/>
          <w:szCs w:val="24"/>
        </w:rPr>
        <w:t>50%。</w:t>
      </w:r>
    </w:p>
    <w:p w14:paraId="661EB262" w14:textId="77777777" w:rsidR="007576F0" w:rsidRPr="007576F0" w:rsidRDefault="007576F0" w:rsidP="007576F0">
      <w:pPr>
        <w:spacing w:line="300" w:lineRule="exact"/>
        <w:ind w:left="1701" w:hanging="280"/>
        <w:rPr>
          <w:rFonts w:ascii="標楷體" w:eastAsia="標楷體" w:hAnsi="標楷體"/>
          <w:szCs w:val="24"/>
        </w:rPr>
      </w:pPr>
      <w:r w:rsidRPr="007576F0">
        <w:rPr>
          <w:rFonts w:ascii="標楷體" w:eastAsia="標楷體" w:hAnsi="標楷體"/>
          <w:szCs w:val="24"/>
        </w:rPr>
        <w:t>iii.高血鈣(corrected serum calcium＞11.0 mg/dL或2.75 mmol/L)。</w:t>
      </w:r>
    </w:p>
    <w:p w14:paraId="42AE4FC3" w14:textId="77777777" w:rsidR="007576F0" w:rsidRPr="007576F0" w:rsidRDefault="007576F0" w:rsidP="007576F0">
      <w:pPr>
        <w:spacing w:line="300" w:lineRule="exact"/>
        <w:ind w:left="1701" w:hanging="280"/>
        <w:rPr>
          <w:rFonts w:ascii="標楷體" w:eastAsia="標楷體" w:hAnsi="標楷體"/>
          <w:szCs w:val="24"/>
        </w:rPr>
      </w:pPr>
      <w:r w:rsidRPr="007576F0">
        <w:rPr>
          <w:rFonts w:ascii="標楷體" w:eastAsia="標楷體" w:hAnsi="標楷體"/>
          <w:szCs w:val="24"/>
        </w:rPr>
        <w:t>iv.貧血(Hemoglobin 下降幅度</w:t>
      </w:r>
      <w:proofErr w:type="gramStart"/>
      <w:r w:rsidRPr="007576F0">
        <w:rPr>
          <w:rFonts w:ascii="標楷體" w:eastAsia="標楷體" w:hAnsi="標楷體"/>
          <w:szCs w:val="24"/>
        </w:rPr>
        <w:t>≧</w:t>
      </w:r>
      <w:proofErr w:type="gramEnd"/>
      <w:r w:rsidRPr="007576F0">
        <w:rPr>
          <w:rFonts w:ascii="標楷體" w:eastAsia="標楷體" w:hAnsi="標楷體"/>
          <w:szCs w:val="24"/>
        </w:rPr>
        <w:t xml:space="preserve"> 2gm/dL 且無其他原因可以解釋)。</w:t>
      </w:r>
    </w:p>
    <w:p w14:paraId="3436D6D7" w14:textId="77777777" w:rsidR="007576F0" w:rsidRPr="007576F0" w:rsidRDefault="007576F0" w:rsidP="007576F0">
      <w:pPr>
        <w:spacing w:line="300" w:lineRule="exact"/>
        <w:ind w:left="1701" w:hanging="280"/>
        <w:rPr>
          <w:rFonts w:ascii="標楷體" w:eastAsia="標楷體" w:hAnsi="標楷體"/>
          <w:szCs w:val="24"/>
        </w:rPr>
      </w:pPr>
      <w:r w:rsidRPr="007576F0">
        <w:rPr>
          <w:rFonts w:ascii="標楷體" w:eastAsia="標楷體" w:hAnsi="標楷體"/>
          <w:szCs w:val="24"/>
        </w:rPr>
        <w:lastRenderedPageBreak/>
        <w:t>v.腎功能惡化(eGFR下降幅度</w:t>
      </w:r>
      <w:proofErr w:type="gramStart"/>
      <w:r w:rsidRPr="007576F0">
        <w:rPr>
          <w:rFonts w:ascii="標楷體" w:eastAsia="標楷體" w:hAnsi="標楷體"/>
          <w:szCs w:val="24"/>
        </w:rPr>
        <w:t>≧</w:t>
      </w:r>
      <w:proofErr w:type="gramEnd"/>
      <w:r w:rsidRPr="007576F0">
        <w:rPr>
          <w:rFonts w:ascii="標楷體" w:eastAsia="標楷體" w:hAnsi="標楷體"/>
          <w:szCs w:val="24"/>
        </w:rPr>
        <w:t>25%)，且無其他原因可以解釋。</w:t>
      </w:r>
    </w:p>
    <w:p w14:paraId="36DCB845" w14:textId="77777777" w:rsidR="007576F0" w:rsidRPr="007576F0" w:rsidRDefault="007576F0" w:rsidP="007576F0">
      <w:pPr>
        <w:spacing w:line="300" w:lineRule="exact"/>
        <w:ind w:left="1701" w:hanging="280"/>
        <w:rPr>
          <w:rFonts w:ascii="標楷體" w:eastAsia="標楷體" w:hAnsi="標楷體"/>
          <w:szCs w:val="24"/>
        </w:rPr>
      </w:pPr>
      <w:r w:rsidRPr="007576F0">
        <w:rPr>
          <w:rFonts w:ascii="標楷體" w:eastAsia="標楷體" w:hAnsi="標楷體"/>
          <w:szCs w:val="24"/>
        </w:rPr>
        <w:t>vi.出現其他end-organ dysfunctions。</w:t>
      </w:r>
    </w:p>
    <w:p w14:paraId="4C95F174"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4"/>
        </w:rPr>
        <w:t>(2)再次申請時必須確定paraprotein (M-protein)未上升(即表示對藥物有反應或為穩定狀態)，或對部分non-secretory type MM 病人以骨髓檢查plasma cell 為療效依據，方可繼續使用。續用申請每次以</w:t>
      </w:r>
      <w:proofErr w:type="gramStart"/>
      <w:r w:rsidRPr="007576F0">
        <w:rPr>
          <w:rFonts w:ascii="標楷體" w:eastAsia="標楷體" w:hAnsi="標楷體"/>
          <w:szCs w:val="24"/>
        </w:rPr>
        <w:t>13次輸注為限</w:t>
      </w:r>
      <w:proofErr w:type="gramEnd"/>
      <w:r w:rsidRPr="007576F0">
        <w:rPr>
          <w:rFonts w:ascii="標楷體" w:eastAsia="標楷體" w:hAnsi="標楷體"/>
          <w:szCs w:val="24"/>
        </w:rPr>
        <w:t>。</w:t>
      </w:r>
    </w:p>
    <w:p w14:paraId="2F5CC66F"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szCs w:val="24"/>
        </w:rPr>
        <w:t>3.每位病</w:t>
      </w:r>
      <w:r w:rsidRPr="007576F0">
        <w:rPr>
          <w:rFonts w:ascii="標楷體" w:eastAsia="標楷體" w:hAnsi="標楷體"/>
          <w:szCs w:val="28"/>
        </w:rPr>
        <w:t>人終生限給付</w:t>
      </w:r>
      <w:proofErr w:type="gramStart"/>
      <w:r w:rsidRPr="007576F0">
        <w:rPr>
          <w:rFonts w:ascii="標楷體" w:eastAsia="標楷體" w:hAnsi="標楷體"/>
          <w:szCs w:val="28"/>
        </w:rPr>
        <w:t>39次輸注</w:t>
      </w:r>
      <w:proofErr w:type="gramEnd"/>
      <w:r w:rsidRPr="007576F0">
        <w:rPr>
          <w:rFonts w:ascii="標楷體" w:eastAsia="標楷體" w:hAnsi="標楷體"/>
          <w:szCs w:val="28"/>
        </w:rPr>
        <w:t>。</w:t>
      </w:r>
    </w:p>
    <w:p w14:paraId="15355B41" w14:textId="77777777" w:rsidR="007576F0" w:rsidRPr="007576F0" w:rsidRDefault="007576F0" w:rsidP="007576F0">
      <w:pPr>
        <w:spacing w:line="300" w:lineRule="exact"/>
        <w:ind w:left="993" w:hanging="284"/>
        <w:rPr>
          <w:rFonts w:ascii="標楷體" w:eastAsia="標楷體" w:hAnsi="標楷體"/>
          <w:szCs w:val="28"/>
        </w:rPr>
      </w:pPr>
      <w:r w:rsidRPr="007576F0">
        <w:rPr>
          <w:rFonts w:ascii="標楷體" w:eastAsia="標楷體" w:hAnsi="標楷體"/>
          <w:szCs w:val="28"/>
        </w:rPr>
        <w:t>4.執行醫師須完全符合下列資格：</w:t>
      </w:r>
    </w:p>
    <w:p w14:paraId="3AFA98AB" w14:textId="77777777" w:rsidR="007576F0" w:rsidRPr="007576F0" w:rsidRDefault="007576F0" w:rsidP="007576F0">
      <w:pPr>
        <w:tabs>
          <w:tab w:val="left" w:pos="1185"/>
        </w:tabs>
        <w:spacing w:line="300" w:lineRule="exact"/>
        <w:ind w:left="1134" w:hanging="245"/>
        <w:jc w:val="both"/>
        <w:rPr>
          <w:rFonts w:ascii="標楷體" w:eastAsia="標楷體" w:hAnsi="標楷體"/>
          <w:szCs w:val="24"/>
        </w:rPr>
      </w:pPr>
      <w:r w:rsidRPr="007576F0">
        <w:rPr>
          <w:rFonts w:ascii="標楷體" w:eastAsia="標楷體" w:hAnsi="標楷體"/>
          <w:szCs w:val="28"/>
        </w:rPr>
        <w:t>(1)</w:t>
      </w:r>
      <w:r w:rsidRPr="007576F0">
        <w:rPr>
          <w:rFonts w:ascii="標楷體" w:eastAsia="標楷體" w:hAnsi="標楷體" w:hint="eastAsia"/>
          <w:szCs w:val="28"/>
        </w:rPr>
        <w:t>醫</w:t>
      </w:r>
      <w:r w:rsidRPr="007576F0">
        <w:rPr>
          <w:rFonts w:ascii="標楷體" w:eastAsia="標楷體" w:hAnsi="標楷體" w:hint="eastAsia"/>
          <w:szCs w:val="24"/>
        </w:rPr>
        <w:t>師必須為血液</w:t>
      </w:r>
      <w:proofErr w:type="gramStart"/>
      <w:r w:rsidRPr="007576F0">
        <w:rPr>
          <w:rFonts w:ascii="標楷體" w:eastAsia="標楷體" w:hAnsi="標楷體" w:hint="eastAsia"/>
          <w:szCs w:val="24"/>
        </w:rPr>
        <w:t>病或造血</w:t>
      </w:r>
      <w:proofErr w:type="gramEnd"/>
      <w:r w:rsidRPr="007576F0">
        <w:rPr>
          <w:rFonts w:ascii="標楷體" w:eastAsia="標楷體" w:hAnsi="標楷體" w:hint="eastAsia"/>
          <w:szCs w:val="24"/>
        </w:rPr>
        <w:t>幹細胞移植專科醫師且須完成血液病和造血幹細胞移植的相關照護訓練。</w:t>
      </w:r>
      <w:r w:rsidRPr="007576F0">
        <w:rPr>
          <w:rFonts w:ascii="標楷體" w:eastAsia="標楷體" w:hAnsi="標楷體"/>
          <w:szCs w:val="24"/>
        </w:rPr>
        <w:t>(114/5/1</w:t>
      </w:r>
      <w:r w:rsidRPr="007576F0">
        <w:rPr>
          <w:rFonts w:ascii="標楷體" w:eastAsia="標楷體" w:hAnsi="標楷體" w:hint="eastAsia"/>
          <w:szCs w:val="24"/>
        </w:rPr>
        <w:t>、</w:t>
      </w:r>
      <w:r w:rsidRPr="007576F0">
        <w:rPr>
          <w:rFonts w:ascii="標楷體" w:eastAsia="標楷體" w:hAnsi="標楷體"/>
          <w:szCs w:val="24"/>
        </w:rPr>
        <w:t>114/8/1)</w:t>
      </w:r>
    </w:p>
    <w:p w14:paraId="3ABF999C" w14:textId="77777777" w:rsidR="007576F0" w:rsidRPr="007576F0" w:rsidRDefault="007576F0" w:rsidP="007576F0">
      <w:pPr>
        <w:spacing w:line="300" w:lineRule="exact"/>
        <w:ind w:left="1276" w:hanging="425"/>
        <w:rPr>
          <w:rFonts w:ascii="標楷體" w:eastAsia="標楷體" w:hAnsi="標楷體"/>
          <w:szCs w:val="24"/>
        </w:rPr>
      </w:pPr>
      <w:r w:rsidRPr="007576F0">
        <w:rPr>
          <w:rFonts w:ascii="標楷體" w:eastAsia="標楷體" w:hAnsi="標楷體"/>
          <w:szCs w:val="24"/>
        </w:rPr>
        <w:t>(2)每兩年接受至少6小時中華民國血液及骨髓移植學會或中華民國血液病學會舉辦之雙特異性抗體相關治療教育訓練。</w:t>
      </w:r>
    </w:p>
    <w:p w14:paraId="6374C611" w14:textId="77777777" w:rsidR="007576F0" w:rsidRPr="007576F0" w:rsidRDefault="007576F0" w:rsidP="007576F0">
      <w:pPr>
        <w:spacing w:line="300" w:lineRule="exact"/>
        <w:ind w:left="993" w:hanging="284"/>
        <w:rPr>
          <w:rFonts w:ascii="Times New Roman" w:hAnsi="Times New Roman"/>
          <w:szCs w:val="24"/>
        </w:rPr>
      </w:pPr>
      <w:r w:rsidRPr="007576F0">
        <w:rPr>
          <w:rFonts w:ascii="標楷體" w:eastAsia="標楷體" w:hAnsi="標楷體"/>
          <w:szCs w:val="24"/>
        </w:rPr>
        <w:t>5.</w:t>
      </w:r>
      <w:r w:rsidRPr="007576F0">
        <w:rPr>
          <w:rFonts w:ascii="標楷體" w:eastAsia="標楷體" w:hAnsi="標楷體"/>
          <w:szCs w:val="28"/>
        </w:rPr>
        <w:t>Elranatamab</w:t>
      </w:r>
      <w:r w:rsidRPr="007576F0">
        <w:rPr>
          <w:rFonts w:ascii="標楷體" w:eastAsia="標楷體" w:hAnsi="標楷體"/>
          <w:szCs w:val="24"/>
        </w:rPr>
        <w:t>與</w:t>
      </w:r>
      <w:proofErr w:type="spellStart"/>
      <w:r w:rsidRPr="007576F0">
        <w:rPr>
          <w:rFonts w:ascii="標楷體" w:eastAsia="標楷體" w:hAnsi="標楷體"/>
          <w:szCs w:val="24"/>
        </w:rPr>
        <w:t>teclistamab</w:t>
      </w:r>
      <w:proofErr w:type="spellEnd"/>
      <w:r w:rsidRPr="007576F0">
        <w:rPr>
          <w:rFonts w:ascii="標楷體" w:eastAsia="標楷體" w:hAnsi="標楷體"/>
          <w:szCs w:val="24"/>
        </w:rPr>
        <w:t>僅能擇</w:t>
      </w:r>
      <w:proofErr w:type="gramStart"/>
      <w:r w:rsidRPr="007576F0">
        <w:rPr>
          <w:rFonts w:ascii="標楷體" w:eastAsia="標楷體" w:hAnsi="標楷體"/>
          <w:szCs w:val="24"/>
        </w:rPr>
        <w:t>一</w:t>
      </w:r>
      <w:proofErr w:type="gramEnd"/>
      <w:r w:rsidRPr="007576F0">
        <w:rPr>
          <w:rFonts w:ascii="標楷體" w:eastAsia="標楷體" w:hAnsi="標楷體"/>
          <w:szCs w:val="24"/>
        </w:rPr>
        <w:t>給付，</w:t>
      </w:r>
      <w:proofErr w:type="gramStart"/>
      <w:r w:rsidRPr="007576F0">
        <w:rPr>
          <w:rFonts w:ascii="標楷體" w:eastAsia="標楷體" w:hAnsi="標楷體"/>
          <w:szCs w:val="24"/>
        </w:rPr>
        <w:t>除因耐受</w:t>
      </w:r>
      <w:proofErr w:type="gramEnd"/>
      <w:r w:rsidRPr="007576F0">
        <w:rPr>
          <w:rFonts w:ascii="標楷體" w:eastAsia="標楷體" w:hAnsi="標楷體"/>
          <w:szCs w:val="24"/>
        </w:rPr>
        <w:t>性不良，不得互換。二者使用總療程合併計算，以全部39次</w:t>
      </w:r>
      <w:proofErr w:type="gramStart"/>
      <w:r w:rsidRPr="007576F0">
        <w:rPr>
          <w:rFonts w:ascii="標楷體" w:eastAsia="標楷體" w:hAnsi="標楷體"/>
          <w:szCs w:val="24"/>
        </w:rPr>
        <w:t>輸注為</w:t>
      </w:r>
      <w:proofErr w:type="gramEnd"/>
      <w:r w:rsidRPr="007576F0">
        <w:rPr>
          <w:rFonts w:ascii="標楷體" w:eastAsia="標楷體" w:hAnsi="標楷體"/>
          <w:szCs w:val="24"/>
        </w:rPr>
        <w:t>上限。</w:t>
      </w:r>
    </w:p>
    <w:bookmarkEnd w:id="76"/>
    <w:p w14:paraId="11DF768F"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szCs w:val="24"/>
        </w:rPr>
        <w:t xml:space="preserve">9.119. </w:t>
      </w:r>
      <w:proofErr w:type="spellStart"/>
      <w:r w:rsidRPr="007576F0">
        <w:rPr>
          <w:rFonts w:ascii="標楷體" w:eastAsia="標楷體" w:hAnsi="標楷體"/>
          <w:szCs w:val="28"/>
        </w:rPr>
        <w:t>Teclistamab</w:t>
      </w:r>
      <w:proofErr w:type="spellEnd"/>
      <w:r w:rsidRPr="007576F0">
        <w:rPr>
          <w:rFonts w:ascii="標楷體" w:eastAsia="標楷體" w:hAnsi="標楷體"/>
          <w:szCs w:val="24"/>
        </w:rPr>
        <w:t xml:space="preserve"> (如</w:t>
      </w:r>
      <w:proofErr w:type="spellStart"/>
      <w:r w:rsidRPr="007576F0">
        <w:rPr>
          <w:rFonts w:ascii="標楷體" w:eastAsia="標楷體" w:hAnsi="標楷體"/>
          <w:szCs w:val="24"/>
        </w:rPr>
        <w:t>Tecvayli</w:t>
      </w:r>
      <w:proofErr w:type="spellEnd"/>
      <w:r w:rsidRPr="007576F0">
        <w:rPr>
          <w:rFonts w:ascii="標楷體" w:eastAsia="標楷體" w:hAnsi="標楷體"/>
          <w:szCs w:val="24"/>
        </w:rPr>
        <w:t>) ：(114/5/1</w:t>
      </w:r>
      <w:r w:rsidRPr="007576F0">
        <w:rPr>
          <w:rFonts w:ascii="標楷體" w:eastAsia="標楷體" w:hAnsi="標楷體" w:hint="eastAsia"/>
          <w:szCs w:val="24"/>
        </w:rPr>
        <w:t>、114/8/1</w:t>
      </w:r>
      <w:r w:rsidRPr="007576F0">
        <w:rPr>
          <w:rFonts w:ascii="標楷體" w:eastAsia="標楷體" w:hAnsi="標楷體"/>
          <w:szCs w:val="24"/>
        </w:rPr>
        <w:t>)</w:t>
      </w:r>
    </w:p>
    <w:p w14:paraId="44D41381" w14:textId="77777777" w:rsidR="007576F0" w:rsidRPr="007576F0" w:rsidRDefault="007576F0" w:rsidP="007576F0">
      <w:pPr>
        <w:numPr>
          <w:ilvl w:val="0"/>
          <w:numId w:val="28"/>
        </w:numPr>
        <w:suppressAutoHyphens w:val="0"/>
        <w:snapToGrid w:val="0"/>
        <w:spacing w:line="300" w:lineRule="exact"/>
        <w:ind w:leftChars="296" w:left="991" w:hangingChars="117" w:hanging="281"/>
        <w:textAlignment w:val="auto"/>
        <w:rPr>
          <w:rFonts w:ascii="標楷體" w:eastAsia="標楷體" w:hAnsi="標楷體"/>
        </w:rPr>
      </w:pPr>
      <w:r w:rsidRPr="007576F0">
        <w:rPr>
          <w:rFonts w:ascii="標楷體" w:eastAsia="標楷體" w:hAnsi="標楷體"/>
          <w:szCs w:val="24"/>
        </w:rPr>
        <w:t xml:space="preserve">適用於治療先前曾接受至少四線療法(包括一種蛋白酶體抑制劑、一種免疫調節劑和一種抗CD38單株抗體)並在最近治療後顯示疾病惡化的復發性或難治性多發性骨髓瘤成人病人，且須具有良好日常體能狀態(ECOG </w:t>
      </w:r>
      <w:r w:rsidRPr="007576F0">
        <w:rPr>
          <w:rFonts w:ascii="Times New Roman" w:eastAsia="標楷體" w:hAnsi="Times New Roman"/>
          <w:szCs w:val="24"/>
        </w:rPr>
        <w:t>≤</w:t>
      </w:r>
      <w:r w:rsidRPr="007576F0">
        <w:rPr>
          <w:rFonts w:ascii="標楷體" w:eastAsia="標楷體" w:hAnsi="標楷體"/>
          <w:szCs w:val="24"/>
        </w:rPr>
        <w:t xml:space="preserve"> 2)。 </w:t>
      </w:r>
    </w:p>
    <w:p w14:paraId="16FD279D" w14:textId="77777777" w:rsidR="007576F0" w:rsidRPr="007576F0" w:rsidRDefault="007576F0" w:rsidP="007576F0">
      <w:pPr>
        <w:numPr>
          <w:ilvl w:val="0"/>
          <w:numId w:val="28"/>
        </w:numPr>
        <w:suppressAutoHyphens w:val="0"/>
        <w:snapToGrid w:val="0"/>
        <w:spacing w:line="300" w:lineRule="exact"/>
        <w:ind w:leftChars="296" w:left="991" w:hangingChars="117" w:hanging="281"/>
        <w:textAlignment w:val="auto"/>
        <w:rPr>
          <w:rFonts w:ascii="標楷體" w:eastAsia="標楷體" w:hAnsi="標楷體"/>
          <w:szCs w:val="24"/>
        </w:rPr>
      </w:pPr>
      <w:r w:rsidRPr="007576F0">
        <w:rPr>
          <w:rFonts w:ascii="標楷體" w:eastAsia="標楷體" w:hAnsi="標楷體"/>
          <w:szCs w:val="24"/>
        </w:rPr>
        <w:t>須經事前審查核准後使用：</w:t>
      </w:r>
    </w:p>
    <w:p w14:paraId="08E56D28" w14:textId="77777777" w:rsidR="007576F0" w:rsidRPr="007576F0" w:rsidRDefault="007576F0" w:rsidP="007576F0">
      <w:pPr>
        <w:numPr>
          <w:ilvl w:val="1"/>
          <w:numId w:val="28"/>
        </w:numPr>
        <w:suppressAutoHyphens w:val="0"/>
        <w:snapToGrid w:val="0"/>
        <w:spacing w:line="300" w:lineRule="exact"/>
        <w:ind w:left="1276" w:hanging="425"/>
        <w:textAlignment w:val="auto"/>
        <w:rPr>
          <w:rFonts w:ascii="標楷體" w:eastAsia="標楷體" w:hAnsi="標楷體"/>
          <w:szCs w:val="24"/>
        </w:rPr>
      </w:pPr>
      <w:r w:rsidRPr="007576F0">
        <w:rPr>
          <w:rFonts w:ascii="標楷體" w:eastAsia="標楷體" w:hAnsi="標楷體"/>
          <w:szCs w:val="24"/>
        </w:rPr>
        <w:t>首次申請為30mg/3ml規格</w:t>
      </w:r>
      <w:proofErr w:type="gramStart"/>
      <w:r w:rsidRPr="007576F0">
        <w:rPr>
          <w:rFonts w:ascii="標楷體" w:eastAsia="標楷體" w:hAnsi="標楷體"/>
          <w:szCs w:val="24"/>
        </w:rPr>
        <w:t>2次輸注與</w:t>
      </w:r>
      <w:proofErr w:type="gramEnd"/>
      <w:r w:rsidRPr="007576F0">
        <w:rPr>
          <w:rFonts w:ascii="標楷體" w:eastAsia="標楷體" w:hAnsi="標楷體"/>
          <w:szCs w:val="24"/>
        </w:rPr>
        <w:t>153mg/1.7ml規格</w:t>
      </w:r>
      <w:proofErr w:type="gramStart"/>
      <w:r w:rsidRPr="007576F0">
        <w:rPr>
          <w:rFonts w:ascii="標楷體" w:eastAsia="標楷體" w:hAnsi="標楷體"/>
          <w:szCs w:val="24"/>
        </w:rPr>
        <w:t>11次輸注</w:t>
      </w:r>
      <w:proofErr w:type="gramEnd"/>
      <w:r w:rsidRPr="007576F0">
        <w:rPr>
          <w:rFonts w:ascii="標楷體" w:eastAsia="標楷體" w:hAnsi="標楷體"/>
          <w:szCs w:val="24"/>
        </w:rPr>
        <w:t>，且需同時符合下列Ⅰ.與Ⅱ.的條件：</w:t>
      </w:r>
    </w:p>
    <w:p w14:paraId="64995712" w14:textId="77777777" w:rsidR="007576F0" w:rsidRPr="007576F0" w:rsidRDefault="007576F0" w:rsidP="007576F0">
      <w:pPr>
        <w:suppressAutoHyphens w:val="0"/>
        <w:snapToGrid w:val="0"/>
        <w:spacing w:line="300" w:lineRule="exact"/>
        <w:ind w:leftChars="508" w:left="1699" w:hangingChars="200" w:hanging="480"/>
        <w:textAlignment w:val="auto"/>
        <w:rPr>
          <w:rFonts w:ascii="標楷體" w:eastAsia="標楷體" w:hAnsi="標楷體"/>
          <w:szCs w:val="24"/>
        </w:rPr>
      </w:pPr>
      <w:r w:rsidRPr="007576F0">
        <w:rPr>
          <w:rFonts w:ascii="標楷體" w:eastAsia="標楷體" w:hAnsi="標楷體" w:hint="eastAsia"/>
          <w:szCs w:val="24"/>
        </w:rPr>
        <w:t>Ⅰ.</w:t>
      </w:r>
      <w:r w:rsidRPr="007576F0">
        <w:rPr>
          <w:rFonts w:ascii="標楷體" w:eastAsia="標楷體" w:hAnsi="標楷體"/>
          <w:szCs w:val="24"/>
        </w:rPr>
        <w:t>具有下列任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疾病惡化的指標：病人開始治療前須在連續2次評估中均符合同一指標 (但若為</w:t>
      </w:r>
      <w:proofErr w:type="spellStart"/>
      <w:r w:rsidRPr="007576F0">
        <w:rPr>
          <w:rFonts w:ascii="標楷體" w:eastAsia="標楷體" w:hAnsi="標楷體"/>
          <w:szCs w:val="24"/>
        </w:rPr>
        <w:t>plamacytoma</w:t>
      </w:r>
      <w:proofErr w:type="spellEnd"/>
      <w:r w:rsidRPr="007576F0">
        <w:rPr>
          <w:rFonts w:ascii="標楷體" w:eastAsia="標楷體" w:hAnsi="標楷體"/>
          <w:szCs w:val="24"/>
        </w:rPr>
        <w:t xml:space="preserve"> 體積增加，或是新產生的bone lesion(s)或新plasmacytoma，則僅需1次評估)：</w:t>
      </w:r>
    </w:p>
    <w:p w14:paraId="69AE2893" w14:textId="77777777" w:rsidR="007576F0" w:rsidRPr="007576F0" w:rsidRDefault="007576F0" w:rsidP="007576F0">
      <w:pPr>
        <w:numPr>
          <w:ilvl w:val="3"/>
          <w:numId w:val="28"/>
        </w:numPr>
        <w:suppressAutoHyphens w:val="0"/>
        <w:snapToGrid w:val="0"/>
        <w:spacing w:line="300" w:lineRule="exact"/>
        <w:ind w:leftChars="710" w:left="1985" w:hangingChars="117" w:hanging="281"/>
        <w:textAlignment w:val="auto"/>
        <w:rPr>
          <w:rFonts w:ascii="標楷體" w:eastAsia="標楷體" w:hAnsi="標楷體"/>
        </w:rPr>
      </w:pPr>
      <w:r w:rsidRPr="007576F0">
        <w:rPr>
          <w:rFonts w:ascii="標楷體" w:eastAsia="標楷體" w:hAnsi="標楷體"/>
        </w:rPr>
        <w:t>若前一線治療中M component 最低值</w:t>
      </w:r>
      <w:proofErr w:type="gramStart"/>
      <w:r w:rsidRPr="007576F0">
        <w:rPr>
          <w:rFonts w:ascii="標楷體" w:eastAsia="標楷體" w:hAnsi="標楷體" w:cs="新細明體"/>
        </w:rPr>
        <w:t>≧</w:t>
      </w:r>
      <w:proofErr w:type="gramEnd"/>
      <w:r w:rsidRPr="007576F0">
        <w:rPr>
          <w:rFonts w:ascii="標楷體" w:eastAsia="標楷體" w:hAnsi="標楷體"/>
        </w:rPr>
        <w:t>5 g/dL，血清M蛋白需增加</w:t>
      </w:r>
      <w:proofErr w:type="gramStart"/>
      <w:r w:rsidRPr="007576F0">
        <w:rPr>
          <w:rFonts w:ascii="標楷體" w:eastAsia="標楷體" w:hAnsi="標楷體" w:cs="新細明體"/>
        </w:rPr>
        <w:t>≧</w:t>
      </w:r>
      <w:proofErr w:type="gramEnd"/>
      <w:r w:rsidRPr="007576F0">
        <w:rPr>
          <w:rFonts w:ascii="標楷體" w:eastAsia="標楷體" w:hAnsi="標楷體"/>
        </w:rPr>
        <w:t>1 g/dL；若前一線治療中M component 最低值＜5 g/dL，血清M蛋白需增加</w:t>
      </w:r>
      <w:proofErr w:type="gramStart"/>
      <w:r w:rsidRPr="007576F0">
        <w:rPr>
          <w:rFonts w:ascii="標楷體" w:eastAsia="標楷體" w:hAnsi="標楷體" w:cs="新細明體"/>
        </w:rPr>
        <w:t>≧</w:t>
      </w:r>
      <w:proofErr w:type="gramEnd"/>
      <w:r w:rsidRPr="007576F0">
        <w:rPr>
          <w:rFonts w:ascii="標楷體" w:eastAsia="標楷體" w:hAnsi="標楷體"/>
        </w:rPr>
        <w:t>0.5g/dL。</w:t>
      </w:r>
    </w:p>
    <w:p w14:paraId="595783D7" w14:textId="77777777" w:rsidR="007576F0" w:rsidRPr="007576F0" w:rsidRDefault="007576F0" w:rsidP="007576F0">
      <w:pPr>
        <w:numPr>
          <w:ilvl w:val="3"/>
          <w:numId w:val="28"/>
        </w:numPr>
        <w:suppressAutoHyphens w:val="0"/>
        <w:snapToGrid w:val="0"/>
        <w:spacing w:line="300" w:lineRule="exact"/>
        <w:ind w:leftChars="710" w:left="2126" w:hangingChars="176" w:hanging="422"/>
        <w:textAlignment w:val="auto"/>
        <w:rPr>
          <w:rFonts w:ascii="標楷體" w:eastAsia="標楷體" w:hAnsi="標楷體"/>
        </w:rPr>
      </w:pPr>
      <w:r w:rsidRPr="007576F0">
        <w:rPr>
          <w:rFonts w:ascii="標楷體" w:eastAsia="標楷體" w:hAnsi="標楷體"/>
        </w:rPr>
        <w:t>Urine M-protein需增加</w:t>
      </w:r>
      <w:proofErr w:type="gramStart"/>
      <w:r w:rsidRPr="007576F0">
        <w:rPr>
          <w:rFonts w:ascii="標楷體" w:eastAsia="標楷體" w:hAnsi="標楷體" w:cs="新細明體"/>
        </w:rPr>
        <w:t>≧</w:t>
      </w:r>
      <w:proofErr w:type="gramEnd"/>
      <w:r w:rsidRPr="007576F0">
        <w:rPr>
          <w:rFonts w:ascii="標楷體" w:eastAsia="標楷體" w:hAnsi="標楷體"/>
        </w:rPr>
        <w:t>0.2 gm/24Hr，且需較前一線治療中的最低值增加</w:t>
      </w:r>
      <w:proofErr w:type="gramStart"/>
      <w:r w:rsidRPr="007576F0">
        <w:rPr>
          <w:rFonts w:ascii="標楷體" w:eastAsia="標楷體" w:hAnsi="標楷體" w:cs="新細明體"/>
        </w:rPr>
        <w:t>≧</w:t>
      </w:r>
      <w:proofErr w:type="gramEnd"/>
      <w:r w:rsidRPr="007576F0">
        <w:rPr>
          <w:rFonts w:ascii="標楷體" w:eastAsia="標楷體" w:hAnsi="標楷體"/>
        </w:rPr>
        <w:t>25%。</w:t>
      </w:r>
    </w:p>
    <w:p w14:paraId="0D69B34A" w14:textId="77777777" w:rsidR="007576F0" w:rsidRPr="007576F0" w:rsidRDefault="007576F0" w:rsidP="007576F0">
      <w:pPr>
        <w:numPr>
          <w:ilvl w:val="3"/>
          <w:numId w:val="28"/>
        </w:numPr>
        <w:suppressAutoHyphens w:val="0"/>
        <w:snapToGrid w:val="0"/>
        <w:spacing w:line="300" w:lineRule="exact"/>
        <w:ind w:leftChars="709" w:left="2268" w:hangingChars="236" w:hanging="566"/>
        <w:textAlignment w:val="auto"/>
        <w:rPr>
          <w:rFonts w:ascii="標楷體" w:eastAsia="標楷體" w:hAnsi="標楷體"/>
        </w:rPr>
      </w:pPr>
      <w:r w:rsidRPr="007576F0">
        <w:rPr>
          <w:rFonts w:ascii="標楷體" w:eastAsia="標楷體" w:hAnsi="標楷體"/>
        </w:rPr>
        <w:t>在non-secretary myeloma病人，骨髓</w:t>
      </w:r>
      <w:proofErr w:type="gramStart"/>
      <w:r w:rsidRPr="007576F0">
        <w:rPr>
          <w:rFonts w:ascii="標楷體" w:eastAsia="標楷體" w:hAnsi="標楷體"/>
        </w:rPr>
        <w:t>漿</w:t>
      </w:r>
      <w:proofErr w:type="gramEnd"/>
      <w:r w:rsidRPr="007576F0">
        <w:rPr>
          <w:rFonts w:ascii="標楷體" w:eastAsia="標楷體" w:hAnsi="標楷體"/>
        </w:rPr>
        <w:t>細胞 (plasma cells)之比例絕對值增加</w:t>
      </w:r>
      <w:proofErr w:type="gramStart"/>
      <w:r w:rsidRPr="007576F0">
        <w:rPr>
          <w:rFonts w:ascii="標楷體" w:eastAsia="標楷體" w:hAnsi="標楷體"/>
        </w:rPr>
        <w:t>≧</w:t>
      </w:r>
      <w:proofErr w:type="gramEnd"/>
      <w:r w:rsidRPr="007576F0">
        <w:rPr>
          <w:rFonts w:ascii="標楷體" w:eastAsia="標楷體" w:hAnsi="標楷體"/>
        </w:rPr>
        <w:t>10%，且需較前一線治療中的最低值增加</w:t>
      </w:r>
      <w:proofErr w:type="gramStart"/>
      <w:r w:rsidRPr="007576F0">
        <w:rPr>
          <w:rFonts w:ascii="標楷體" w:eastAsia="標楷體" w:hAnsi="標楷體"/>
        </w:rPr>
        <w:t>≧</w:t>
      </w:r>
      <w:proofErr w:type="gramEnd"/>
      <w:r w:rsidRPr="007576F0">
        <w:rPr>
          <w:rFonts w:ascii="標楷體" w:eastAsia="標楷體" w:hAnsi="標楷體"/>
        </w:rPr>
        <w:t>25%。</w:t>
      </w:r>
    </w:p>
    <w:p w14:paraId="2B0FCBBE" w14:textId="77777777" w:rsidR="007576F0" w:rsidRPr="007576F0" w:rsidRDefault="007576F0" w:rsidP="007576F0">
      <w:pPr>
        <w:numPr>
          <w:ilvl w:val="3"/>
          <w:numId w:val="28"/>
        </w:numPr>
        <w:tabs>
          <w:tab w:val="left" w:pos="2127"/>
        </w:tabs>
        <w:suppressAutoHyphens w:val="0"/>
        <w:snapToGrid w:val="0"/>
        <w:spacing w:line="300" w:lineRule="exact"/>
        <w:ind w:leftChars="708" w:left="1699" w:firstLine="2"/>
        <w:textAlignment w:val="auto"/>
        <w:rPr>
          <w:rFonts w:ascii="標楷體" w:eastAsia="標楷體" w:hAnsi="標楷體"/>
        </w:rPr>
      </w:pPr>
      <w:r w:rsidRPr="007576F0">
        <w:rPr>
          <w:rFonts w:ascii="標楷體" w:eastAsia="標楷體" w:hAnsi="標楷體"/>
        </w:rPr>
        <w:t>新產生的bone lesion(s)或plasmacytoma，且須經病理切片證實。</w:t>
      </w:r>
    </w:p>
    <w:p w14:paraId="1807F1CC" w14:textId="77777777" w:rsidR="007576F0" w:rsidRPr="007576F0" w:rsidRDefault="007576F0" w:rsidP="007576F0">
      <w:pPr>
        <w:numPr>
          <w:ilvl w:val="3"/>
          <w:numId w:val="28"/>
        </w:numPr>
        <w:suppressAutoHyphens w:val="0"/>
        <w:snapToGrid w:val="0"/>
        <w:spacing w:line="300" w:lineRule="exact"/>
        <w:ind w:leftChars="769" w:left="2127" w:hangingChars="117" w:hanging="281"/>
        <w:textAlignment w:val="auto"/>
        <w:rPr>
          <w:rFonts w:ascii="標楷體" w:eastAsia="標楷體" w:hAnsi="標楷體"/>
        </w:rPr>
      </w:pPr>
      <w:r w:rsidRPr="007576F0">
        <w:rPr>
          <w:rFonts w:ascii="標楷體" w:eastAsia="標楷體" w:hAnsi="標楷體"/>
        </w:rPr>
        <w:t>Plasmacytoma體積增加</w:t>
      </w:r>
      <w:proofErr w:type="gramStart"/>
      <w:r w:rsidRPr="007576F0">
        <w:rPr>
          <w:rFonts w:ascii="標楷體" w:eastAsia="標楷體" w:hAnsi="標楷體"/>
        </w:rPr>
        <w:t>≧</w:t>
      </w:r>
      <w:proofErr w:type="gramEnd"/>
      <w:r w:rsidRPr="007576F0">
        <w:rPr>
          <w:rFonts w:ascii="標楷體" w:eastAsia="標楷體" w:hAnsi="標楷體"/>
        </w:rPr>
        <w:t>50%。</w:t>
      </w:r>
    </w:p>
    <w:p w14:paraId="03D3D450" w14:textId="77777777" w:rsidR="007576F0" w:rsidRPr="007576F0" w:rsidRDefault="007576F0" w:rsidP="007576F0">
      <w:pPr>
        <w:numPr>
          <w:ilvl w:val="3"/>
          <w:numId w:val="28"/>
        </w:numPr>
        <w:suppressAutoHyphens w:val="0"/>
        <w:snapToGrid w:val="0"/>
        <w:spacing w:line="300" w:lineRule="exact"/>
        <w:ind w:leftChars="768" w:left="2265" w:hangingChars="176" w:hanging="422"/>
        <w:textAlignment w:val="auto"/>
        <w:rPr>
          <w:rFonts w:ascii="標楷體" w:eastAsia="標楷體" w:hAnsi="標楷體"/>
        </w:rPr>
      </w:pPr>
      <w:r w:rsidRPr="007576F0">
        <w:rPr>
          <w:rFonts w:ascii="標楷體" w:eastAsia="標楷體" w:hAnsi="標楷體"/>
        </w:rPr>
        <w:t>周邊</w:t>
      </w:r>
      <w:proofErr w:type="gramStart"/>
      <w:r w:rsidRPr="007576F0">
        <w:rPr>
          <w:rFonts w:ascii="標楷體" w:eastAsia="標楷體" w:hAnsi="標楷體"/>
        </w:rPr>
        <w:t>血液中漿細胞</w:t>
      </w:r>
      <w:proofErr w:type="gramEnd"/>
      <w:r w:rsidRPr="007576F0">
        <w:rPr>
          <w:rFonts w:ascii="標楷體" w:eastAsia="標楷體" w:hAnsi="標楷體"/>
        </w:rPr>
        <w:t>比例</w:t>
      </w:r>
      <w:proofErr w:type="gramStart"/>
      <w:r w:rsidRPr="007576F0">
        <w:rPr>
          <w:rFonts w:ascii="標楷體" w:eastAsia="標楷體" w:hAnsi="標楷體" w:cs="新細明體"/>
        </w:rPr>
        <w:t>≧</w:t>
      </w:r>
      <w:proofErr w:type="gramEnd"/>
      <w:r w:rsidRPr="007576F0">
        <w:rPr>
          <w:rFonts w:ascii="標楷體" w:eastAsia="標楷體" w:hAnsi="標楷體"/>
        </w:rPr>
        <w:t>20%</w:t>
      </w:r>
      <w:proofErr w:type="gramStart"/>
      <w:r w:rsidRPr="007576F0">
        <w:rPr>
          <w:rFonts w:ascii="標楷體" w:eastAsia="標楷體" w:hAnsi="標楷體"/>
        </w:rPr>
        <w:t>或漿細胞</w:t>
      </w:r>
      <w:proofErr w:type="gramEnd"/>
      <w:r w:rsidRPr="007576F0">
        <w:rPr>
          <w:rFonts w:ascii="標楷體" w:eastAsia="標楷體" w:hAnsi="標楷體"/>
        </w:rPr>
        <w:t>絕對值</w:t>
      </w:r>
      <w:proofErr w:type="gramStart"/>
      <w:r w:rsidRPr="007576F0">
        <w:rPr>
          <w:rFonts w:ascii="標楷體" w:eastAsia="標楷體" w:hAnsi="標楷體" w:cs="新細明體"/>
        </w:rPr>
        <w:t>≧</w:t>
      </w:r>
      <w:proofErr w:type="gramEnd"/>
      <w:r w:rsidRPr="007576F0">
        <w:rPr>
          <w:rFonts w:ascii="標楷體" w:eastAsia="標楷體" w:hAnsi="標楷體"/>
        </w:rPr>
        <w:t>2000 cells/</w:t>
      </w:r>
      <w:proofErr w:type="spellStart"/>
      <w:r w:rsidRPr="007576F0">
        <w:rPr>
          <w:rFonts w:ascii="標楷體" w:eastAsia="標楷體" w:hAnsi="標楷體"/>
        </w:rPr>
        <w:t>μL</w:t>
      </w:r>
      <w:proofErr w:type="spellEnd"/>
      <w:r w:rsidRPr="007576F0">
        <w:rPr>
          <w:rFonts w:ascii="標楷體" w:eastAsia="標楷體" w:hAnsi="標楷體"/>
        </w:rPr>
        <w:t>。</w:t>
      </w:r>
    </w:p>
    <w:p w14:paraId="7084B330" w14:textId="77777777" w:rsidR="007576F0" w:rsidRPr="007576F0" w:rsidRDefault="007576F0" w:rsidP="007576F0">
      <w:pPr>
        <w:suppressAutoHyphens w:val="0"/>
        <w:snapToGrid w:val="0"/>
        <w:spacing w:line="300" w:lineRule="exact"/>
        <w:ind w:left="1134"/>
        <w:textAlignment w:val="auto"/>
        <w:rPr>
          <w:rFonts w:ascii="標楷體" w:eastAsia="標楷體" w:hAnsi="標楷體"/>
        </w:rPr>
      </w:pPr>
      <w:r w:rsidRPr="007576F0">
        <w:rPr>
          <w:rFonts w:ascii="標楷體" w:eastAsia="標楷體" w:hAnsi="標楷體" w:hint="eastAsia"/>
          <w:szCs w:val="24"/>
        </w:rPr>
        <w:t>Ⅱ.</w:t>
      </w:r>
      <w:r w:rsidRPr="007576F0">
        <w:rPr>
          <w:rFonts w:ascii="標楷體" w:eastAsia="標楷體" w:hAnsi="標楷體"/>
          <w:szCs w:val="24"/>
        </w:rPr>
        <w:t>出現下列任</w:t>
      </w:r>
      <w:proofErr w:type="gramStart"/>
      <w:r w:rsidRPr="007576F0">
        <w:rPr>
          <w:rFonts w:ascii="標楷體" w:eastAsia="標楷體" w:hAnsi="標楷體"/>
          <w:szCs w:val="24"/>
        </w:rPr>
        <w:t>一</w:t>
      </w:r>
      <w:proofErr w:type="gramEnd"/>
      <w:r w:rsidRPr="007576F0">
        <w:rPr>
          <w:rFonts w:ascii="標楷體" w:eastAsia="標楷體" w:hAnsi="標楷體"/>
          <w:szCs w:val="24"/>
        </w:rPr>
        <w:t>臨床症狀：</w:t>
      </w:r>
    </w:p>
    <w:p w14:paraId="2DDB2622" w14:textId="77777777" w:rsidR="007576F0" w:rsidRPr="007576F0" w:rsidRDefault="007576F0" w:rsidP="002144EC">
      <w:pPr>
        <w:numPr>
          <w:ilvl w:val="3"/>
          <w:numId w:val="203"/>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7576F0">
        <w:rPr>
          <w:rFonts w:ascii="標楷體" w:eastAsia="標楷體" w:hAnsi="標楷體"/>
        </w:rPr>
        <w:t>新產生的bone lesion(s)或plasmacytoma，且須經病理切片證實。</w:t>
      </w:r>
    </w:p>
    <w:p w14:paraId="4B52BD31" w14:textId="77777777" w:rsidR="007576F0" w:rsidRPr="007576F0" w:rsidRDefault="007576F0" w:rsidP="002144EC">
      <w:pPr>
        <w:numPr>
          <w:ilvl w:val="3"/>
          <w:numId w:val="203"/>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7576F0">
        <w:rPr>
          <w:rFonts w:ascii="標楷體" w:eastAsia="標楷體" w:hAnsi="標楷體"/>
        </w:rPr>
        <w:t>Plasmacytoma 體積增加</w:t>
      </w:r>
      <w:proofErr w:type="gramStart"/>
      <w:r w:rsidRPr="007576F0">
        <w:rPr>
          <w:rFonts w:ascii="標楷體" w:eastAsia="標楷體" w:hAnsi="標楷體"/>
        </w:rPr>
        <w:t>≧</w:t>
      </w:r>
      <w:proofErr w:type="gramEnd"/>
      <w:r w:rsidRPr="007576F0">
        <w:rPr>
          <w:rFonts w:ascii="標楷體" w:eastAsia="標楷體" w:hAnsi="標楷體"/>
        </w:rPr>
        <w:t>50%。</w:t>
      </w:r>
    </w:p>
    <w:p w14:paraId="4030EEA5" w14:textId="77777777" w:rsidR="007576F0" w:rsidRPr="007576F0" w:rsidRDefault="007576F0" w:rsidP="002144EC">
      <w:pPr>
        <w:numPr>
          <w:ilvl w:val="3"/>
          <w:numId w:val="203"/>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7576F0">
        <w:rPr>
          <w:rFonts w:ascii="標楷體" w:eastAsia="標楷體" w:hAnsi="標楷體"/>
        </w:rPr>
        <w:t>高血鈣(corrected serum calcium＞11.0 mg/dL 或2.75 mmol/L)。</w:t>
      </w:r>
    </w:p>
    <w:p w14:paraId="304014B9" w14:textId="77777777" w:rsidR="007576F0" w:rsidRPr="007576F0" w:rsidRDefault="007576F0" w:rsidP="002144EC">
      <w:pPr>
        <w:numPr>
          <w:ilvl w:val="3"/>
          <w:numId w:val="203"/>
        </w:numPr>
        <w:tabs>
          <w:tab w:val="left" w:pos="2410"/>
        </w:tabs>
        <w:suppressAutoHyphens w:val="0"/>
        <w:snapToGrid w:val="0"/>
        <w:spacing w:line="300" w:lineRule="exact"/>
        <w:ind w:leftChars="700" w:left="2160" w:hangingChars="200" w:hanging="480"/>
        <w:textAlignment w:val="auto"/>
        <w:rPr>
          <w:rFonts w:ascii="標楷體" w:eastAsia="標楷體" w:hAnsi="標楷體"/>
        </w:rPr>
      </w:pPr>
      <w:r w:rsidRPr="007576F0">
        <w:rPr>
          <w:rFonts w:ascii="標楷體" w:eastAsia="標楷體" w:hAnsi="標楷體"/>
        </w:rPr>
        <w:t>貧血(Hemoglobin 下降幅度</w:t>
      </w:r>
      <w:proofErr w:type="gramStart"/>
      <w:r w:rsidRPr="007576F0">
        <w:rPr>
          <w:rFonts w:ascii="標楷體" w:eastAsia="標楷體" w:hAnsi="標楷體"/>
        </w:rPr>
        <w:t>≧</w:t>
      </w:r>
      <w:proofErr w:type="gramEnd"/>
      <w:r w:rsidRPr="007576F0">
        <w:rPr>
          <w:rFonts w:ascii="標楷體" w:eastAsia="標楷體" w:hAnsi="標楷體"/>
        </w:rPr>
        <w:t xml:space="preserve"> 2gm/dL 且無其他原因可以解釋)。</w:t>
      </w:r>
    </w:p>
    <w:p w14:paraId="2567BC73" w14:textId="77777777" w:rsidR="007576F0" w:rsidRPr="007576F0" w:rsidRDefault="007576F0" w:rsidP="002144EC">
      <w:pPr>
        <w:numPr>
          <w:ilvl w:val="3"/>
          <w:numId w:val="203"/>
        </w:numPr>
        <w:suppressAutoHyphens w:val="0"/>
        <w:snapToGrid w:val="0"/>
        <w:spacing w:line="300" w:lineRule="exact"/>
        <w:ind w:leftChars="700" w:left="2160" w:hangingChars="200" w:hanging="480"/>
        <w:textAlignment w:val="auto"/>
        <w:rPr>
          <w:rFonts w:ascii="標楷體" w:eastAsia="標楷體" w:hAnsi="標楷體"/>
        </w:rPr>
      </w:pPr>
      <w:r w:rsidRPr="007576F0">
        <w:rPr>
          <w:rFonts w:ascii="標楷體" w:eastAsia="標楷體" w:hAnsi="標楷體"/>
        </w:rPr>
        <w:t>腎功能惡化(eGFR下降幅度</w:t>
      </w:r>
      <w:proofErr w:type="gramStart"/>
      <w:r w:rsidRPr="007576F0">
        <w:rPr>
          <w:rFonts w:ascii="標楷體" w:eastAsia="標楷體" w:hAnsi="標楷體"/>
        </w:rPr>
        <w:t>≧</w:t>
      </w:r>
      <w:proofErr w:type="gramEnd"/>
      <w:r w:rsidRPr="007576F0">
        <w:rPr>
          <w:rFonts w:ascii="標楷體" w:eastAsia="標楷體" w:hAnsi="標楷體"/>
        </w:rPr>
        <w:t>25%)，且無其他原因可以解釋。</w:t>
      </w:r>
    </w:p>
    <w:p w14:paraId="17B546F2" w14:textId="77777777" w:rsidR="007576F0" w:rsidRPr="007576F0" w:rsidRDefault="007576F0" w:rsidP="002144EC">
      <w:pPr>
        <w:numPr>
          <w:ilvl w:val="3"/>
          <w:numId w:val="203"/>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7576F0">
        <w:rPr>
          <w:rFonts w:ascii="標楷體" w:eastAsia="標楷體" w:hAnsi="標楷體"/>
        </w:rPr>
        <w:t>出現其他end-organ dysfunctions。</w:t>
      </w:r>
    </w:p>
    <w:p w14:paraId="206F6A1D" w14:textId="77777777" w:rsidR="007576F0" w:rsidRPr="007576F0" w:rsidRDefault="007576F0" w:rsidP="007576F0">
      <w:pPr>
        <w:numPr>
          <w:ilvl w:val="1"/>
          <w:numId w:val="28"/>
        </w:numPr>
        <w:suppressAutoHyphens w:val="0"/>
        <w:snapToGrid w:val="0"/>
        <w:spacing w:line="300" w:lineRule="exact"/>
        <w:ind w:left="1276" w:hanging="425"/>
        <w:textAlignment w:val="auto"/>
        <w:rPr>
          <w:rFonts w:ascii="標楷體" w:eastAsia="標楷體" w:hAnsi="標楷體"/>
          <w:szCs w:val="24"/>
        </w:rPr>
      </w:pPr>
      <w:r w:rsidRPr="007576F0">
        <w:rPr>
          <w:rFonts w:ascii="標楷體" w:eastAsia="標楷體" w:hAnsi="標楷體"/>
          <w:szCs w:val="24"/>
        </w:rPr>
        <w:t>再次申請時必須確定paraprotein (M-protein)未上升(即表示對藥物有反應或為穩定狀態)，或對部分non-secretory type MM 病人以骨髓檢查plasma cell 為療效依據，方可繼續使用。續用時的申請每次以153mg/1.7ml規格</w:t>
      </w:r>
      <w:proofErr w:type="gramStart"/>
      <w:r w:rsidRPr="007576F0">
        <w:rPr>
          <w:rFonts w:ascii="標楷體" w:eastAsia="標楷體" w:hAnsi="標楷體"/>
          <w:szCs w:val="24"/>
        </w:rPr>
        <w:t>13次輸注為限</w:t>
      </w:r>
      <w:proofErr w:type="gramEnd"/>
      <w:r w:rsidRPr="007576F0">
        <w:rPr>
          <w:rFonts w:ascii="標楷體" w:eastAsia="標楷體" w:hAnsi="標楷體"/>
          <w:szCs w:val="24"/>
        </w:rPr>
        <w:t>。</w:t>
      </w:r>
    </w:p>
    <w:p w14:paraId="6D4696DA" w14:textId="77777777" w:rsidR="007576F0" w:rsidRPr="007576F0" w:rsidRDefault="007576F0" w:rsidP="007576F0">
      <w:pPr>
        <w:numPr>
          <w:ilvl w:val="0"/>
          <w:numId w:val="28"/>
        </w:numPr>
        <w:suppressAutoHyphens w:val="0"/>
        <w:snapToGrid w:val="0"/>
        <w:spacing w:line="300" w:lineRule="exact"/>
        <w:ind w:leftChars="296" w:left="991" w:hangingChars="117" w:hanging="281"/>
        <w:textAlignment w:val="auto"/>
        <w:rPr>
          <w:rFonts w:ascii="標楷體" w:eastAsia="標楷體" w:hAnsi="標楷體"/>
          <w:szCs w:val="24"/>
        </w:rPr>
      </w:pPr>
      <w:r w:rsidRPr="007576F0">
        <w:rPr>
          <w:rFonts w:ascii="標楷體" w:eastAsia="標楷體" w:hAnsi="標楷體"/>
          <w:szCs w:val="24"/>
        </w:rPr>
        <w:t>每位病人終生限給付</w:t>
      </w:r>
      <w:proofErr w:type="gramStart"/>
      <w:r w:rsidRPr="007576F0">
        <w:rPr>
          <w:rFonts w:ascii="標楷體" w:eastAsia="標楷體" w:hAnsi="標楷體"/>
          <w:szCs w:val="24"/>
        </w:rPr>
        <w:t>39次輸注</w:t>
      </w:r>
      <w:proofErr w:type="gramEnd"/>
      <w:r w:rsidRPr="007576F0">
        <w:rPr>
          <w:rFonts w:ascii="標楷體" w:eastAsia="標楷體" w:hAnsi="標楷體"/>
          <w:szCs w:val="24"/>
        </w:rPr>
        <w:t>(含30mg/3ml規格共</w:t>
      </w:r>
      <w:proofErr w:type="gramStart"/>
      <w:r w:rsidRPr="007576F0">
        <w:rPr>
          <w:rFonts w:ascii="標楷體" w:eastAsia="標楷體" w:hAnsi="標楷體"/>
          <w:szCs w:val="24"/>
        </w:rPr>
        <w:t>2次輸注</w:t>
      </w:r>
      <w:proofErr w:type="gramEnd"/>
      <w:r w:rsidRPr="007576F0">
        <w:rPr>
          <w:rFonts w:ascii="標楷體" w:eastAsia="標楷體" w:hAnsi="標楷體"/>
          <w:szCs w:val="24"/>
        </w:rPr>
        <w:t>、153mg/1.7ml規格共</w:t>
      </w:r>
      <w:proofErr w:type="gramStart"/>
      <w:r w:rsidRPr="007576F0">
        <w:rPr>
          <w:rFonts w:ascii="標楷體" w:eastAsia="標楷體" w:hAnsi="標楷體"/>
          <w:szCs w:val="24"/>
        </w:rPr>
        <w:t>37次輸注</w:t>
      </w:r>
      <w:proofErr w:type="gramEnd"/>
      <w:r w:rsidRPr="007576F0">
        <w:rPr>
          <w:rFonts w:ascii="標楷體" w:eastAsia="標楷體" w:hAnsi="標楷體"/>
          <w:szCs w:val="24"/>
        </w:rPr>
        <w:t>)。</w:t>
      </w:r>
    </w:p>
    <w:p w14:paraId="48160B80" w14:textId="77777777" w:rsidR="007576F0" w:rsidRPr="007576F0" w:rsidRDefault="007576F0" w:rsidP="007576F0">
      <w:pPr>
        <w:numPr>
          <w:ilvl w:val="0"/>
          <w:numId w:val="28"/>
        </w:numPr>
        <w:suppressAutoHyphens w:val="0"/>
        <w:snapToGrid w:val="0"/>
        <w:spacing w:line="300" w:lineRule="exact"/>
        <w:ind w:leftChars="296" w:left="991" w:hangingChars="117" w:hanging="281"/>
        <w:textAlignment w:val="auto"/>
        <w:rPr>
          <w:rFonts w:ascii="標楷體" w:eastAsia="標楷體" w:hAnsi="標楷體"/>
          <w:szCs w:val="24"/>
        </w:rPr>
      </w:pPr>
      <w:r w:rsidRPr="007576F0">
        <w:rPr>
          <w:rFonts w:ascii="標楷體" w:eastAsia="標楷體" w:hAnsi="標楷體"/>
          <w:szCs w:val="24"/>
        </w:rPr>
        <w:t>執行醫師須完全符合下列資格：</w:t>
      </w:r>
    </w:p>
    <w:p w14:paraId="10C41355" w14:textId="77777777" w:rsidR="007576F0" w:rsidRPr="007576F0" w:rsidRDefault="007576F0" w:rsidP="007576F0">
      <w:pPr>
        <w:numPr>
          <w:ilvl w:val="0"/>
          <w:numId w:val="28"/>
        </w:numPr>
        <w:suppressAutoHyphens w:val="0"/>
        <w:snapToGrid w:val="0"/>
        <w:spacing w:line="300" w:lineRule="exact"/>
        <w:ind w:leftChars="296" w:left="991" w:hangingChars="117" w:hanging="281"/>
        <w:textAlignment w:val="auto"/>
        <w:rPr>
          <w:rFonts w:ascii="標楷體" w:eastAsia="標楷體" w:hAnsi="標楷體"/>
          <w:szCs w:val="24"/>
        </w:rPr>
      </w:pPr>
      <w:r w:rsidRPr="007576F0">
        <w:rPr>
          <w:rFonts w:ascii="標楷體" w:eastAsia="標楷體" w:hAnsi="標楷體" w:hint="eastAsia"/>
          <w:szCs w:val="24"/>
        </w:rPr>
        <w:t>醫師必須為血液</w:t>
      </w:r>
      <w:proofErr w:type="gramStart"/>
      <w:r w:rsidRPr="007576F0">
        <w:rPr>
          <w:rFonts w:ascii="標楷體" w:eastAsia="標楷體" w:hAnsi="標楷體" w:hint="eastAsia"/>
          <w:szCs w:val="24"/>
        </w:rPr>
        <w:t>病或造血</w:t>
      </w:r>
      <w:proofErr w:type="gramEnd"/>
      <w:r w:rsidRPr="007576F0">
        <w:rPr>
          <w:rFonts w:ascii="標楷體" w:eastAsia="標楷體" w:hAnsi="標楷體" w:hint="eastAsia"/>
          <w:szCs w:val="24"/>
        </w:rPr>
        <w:t>幹細胞移植專科醫師且須完成血液病和造血幹細胞移植的</w:t>
      </w:r>
      <w:r w:rsidRPr="007576F0">
        <w:rPr>
          <w:rFonts w:ascii="標楷體" w:eastAsia="標楷體" w:hAnsi="標楷體" w:hint="eastAsia"/>
          <w:szCs w:val="24"/>
        </w:rPr>
        <w:lastRenderedPageBreak/>
        <w:t>相關照護訓練。</w:t>
      </w:r>
      <w:r w:rsidRPr="007576F0">
        <w:rPr>
          <w:rFonts w:ascii="標楷體" w:eastAsia="標楷體" w:hAnsi="標楷體"/>
          <w:szCs w:val="24"/>
        </w:rPr>
        <w:t>(114/5/1</w:t>
      </w:r>
      <w:r w:rsidRPr="007576F0">
        <w:rPr>
          <w:rFonts w:ascii="標楷體" w:eastAsia="標楷體" w:hAnsi="標楷體" w:hint="eastAsia"/>
          <w:szCs w:val="24"/>
        </w:rPr>
        <w:t>、</w:t>
      </w:r>
      <w:r w:rsidRPr="007576F0">
        <w:rPr>
          <w:rFonts w:ascii="標楷體" w:eastAsia="標楷體" w:hAnsi="標楷體"/>
          <w:szCs w:val="24"/>
        </w:rPr>
        <w:t>114/8/1)</w:t>
      </w:r>
    </w:p>
    <w:p w14:paraId="4D265196" w14:textId="77777777" w:rsidR="007576F0" w:rsidRPr="007576F0" w:rsidRDefault="007576F0" w:rsidP="007576F0">
      <w:pPr>
        <w:numPr>
          <w:ilvl w:val="0"/>
          <w:numId w:val="28"/>
        </w:numPr>
        <w:suppressAutoHyphens w:val="0"/>
        <w:snapToGrid w:val="0"/>
        <w:spacing w:line="300" w:lineRule="exact"/>
        <w:ind w:leftChars="296" w:left="991" w:hangingChars="117" w:hanging="281"/>
        <w:textAlignment w:val="auto"/>
        <w:rPr>
          <w:rFonts w:ascii="標楷體" w:eastAsia="標楷體" w:hAnsi="標楷體"/>
          <w:szCs w:val="24"/>
        </w:rPr>
      </w:pPr>
      <w:r w:rsidRPr="007576F0">
        <w:rPr>
          <w:rFonts w:ascii="標楷體" w:eastAsia="標楷體" w:hAnsi="標楷體"/>
          <w:szCs w:val="24"/>
        </w:rPr>
        <w:t>每兩年接受至少6小時中華民國血液及骨髓移植學會或中華民國血液病學會舉辦之雙特異性抗體相關治療教育訓練。</w:t>
      </w:r>
    </w:p>
    <w:p w14:paraId="5214B9B0" w14:textId="77777777" w:rsidR="007576F0" w:rsidRPr="007576F0" w:rsidRDefault="007576F0" w:rsidP="007576F0">
      <w:pPr>
        <w:tabs>
          <w:tab w:val="left" w:pos="1418"/>
        </w:tabs>
        <w:spacing w:line="300" w:lineRule="exact"/>
        <w:ind w:left="1274" w:firstLine="2"/>
        <w:jc w:val="both"/>
        <w:rPr>
          <w:rFonts w:ascii="標楷體" w:eastAsia="標楷體" w:hAnsi="標楷體"/>
          <w:color w:val="000000"/>
        </w:rPr>
      </w:pPr>
      <w:proofErr w:type="spellStart"/>
      <w:r w:rsidRPr="007576F0">
        <w:rPr>
          <w:rFonts w:ascii="標楷體" w:eastAsia="標楷體" w:hAnsi="標楷體"/>
          <w:szCs w:val="24"/>
        </w:rPr>
        <w:t>Teclistamab</w:t>
      </w:r>
      <w:proofErr w:type="spellEnd"/>
      <w:r w:rsidRPr="007576F0">
        <w:rPr>
          <w:rFonts w:ascii="標楷體" w:eastAsia="標楷體" w:hAnsi="標楷體"/>
          <w:szCs w:val="24"/>
        </w:rPr>
        <w:t>與</w:t>
      </w:r>
      <w:proofErr w:type="spellStart"/>
      <w:r w:rsidRPr="007576F0">
        <w:rPr>
          <w:rFonts w:ascii="標楷體" w:eastAsia="標楷體" w:hAnsi="標楷體"/>
          <w:szCs w:val="24"/>
        </w:rPr>
        <w:t>elranatamab</w:t>
      </w:r>
      <w:proofErr w:type="spellEnd"/>
      <w:r w:rsidRPr="007576F0">
        <w:rPr>
          <w:rFonts w:ascii="標楷體" w:eastAsia="標楷體" w:hAnsi="標楷體"/>
          <w:szCs w:val="24"/>
        </w:rPr>
        <w:t>僅能擇</w:t>
      </w:r>
      <w:proofErr w:type="gramStart"/>
      <w:r w:rsidRPr="007576F0">
        <w:rPr>
          <w:rFonts w:ascii="標楷體" w:eastAsia="標楷體" w:hAnsi="標楷體"/>
          <w:szCs w:val="24"/>
        </w:rPr>
        <w:t>一</w:t>
      </w:r>
      <w:proofErr w:type="gramEnd"/>
      <w:r w:rsidRPr="007576F0">
        <w:rPr>
          <w:rFonts w:ascii="標楷體" w:eastAsia="標楷體" w:hAnsi="標楷體"/>
          <w:szCs w:val="24"/>
        </w:rPr>
        <w:t>給付，</w:t>
      </w:r>
      <w:proofErr w:type="gramStart"/>
      <w:r w:rsidRPr="007576F0">
        <w:rPr>
          <w:rFonts w:ascii="標楷體" w:eastAsia="標楷體" w:hAnsi="標楷體"/>
          <w:szCs w:val="24"/>
        </w:rPr>
        <w:t>除因耐受</w:t>
      </w:r>
      <w:proofErr w:type="gramEnd"/>
      <w:r w:rsidRPr="007576F0">
        <w:rPr>
          <w:rFonts w:ascii="標楷體" w:eastAsia="標楷體" w:hAnsi="標楷體"/>
          <w:szCs w:val="24"/>
        </w:rPr>
        <w:t>性不良，不得互換。二者使用總療程合併計算，以全部39次</w:t>
      </w:r>
      <w:proofErr w:type="gramStart"/>
      <w:r w:rsidRPr="007576F0">
        <w:rPr>
          <w:rFonts w:ascii="標楷體" w:eastAsia="標楷體" w:hAnsi="標楷體"/>
          <w:szCs w:val="24"/>
        </w:rPr>
        <w:t>輸注為</w:t>
      </w:r>
      <w:proofErr w:type="gramEnd"/>
      <w:r w:rsidRPr="007576F0">
        <w:rPr>
          <w:rFonts w:ascii="標楷體" w:eastAsia="標楷體" w:hAnsi="標楷體"/>
          <w:szCs w:val="24"/>
        </w:rPr>
        <w:t>上限。</w:t>
      </w:r>
    </w:p>
    <w:p w14:paraId="002478BF"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hint="eastAsia"/>
          <w:color w:val="000000"/>
        </w:rPr>
        <w:t>9.120.</w:t>
      </w:r>
      <w:r w:rsidRPr="007576F0">
        <w:rPr>
          <w:rFonts w:ascii="標楷體" w:eastAsia="標楷體" w:hAnsi="標楷體" w:hint="eastAsia"/>
          <w:szCs w:val="28"/>
        </w:rPr>
        <w:t>Glofitamab</w:t>
      </w:r>
      <w:r w:rsidRPr="007576F0">
        <w:rPr>
          <w:rFonts w:ascii="標楷體" w:eastAsia="標楷體" w:hAnsi="標楷體" w:hint="eastAsia"/>
          <w:color w:val="000000"/>
        </w:rPr>
        <w:t>（如</w:t>
      </w:r>
      <w:proofErr w:type="spellStart"/>
      <w:r w:rsidRPr="007576F0">
        <w:rPr>
          <w:rFonts w:ascii="標楷體" w:eastAsia="標楷體" w:hAnsi="標楷體" w:hint="eastAsia"/>
          <w:color w:val="000000"/>
        </w:rPr>
        <w:t>Columvi</w:t>
      </w:r>
      <w:proofErr w:type="spellEnd"/>
      <w:r w:rsidRPr="007576F0">
        <w:rPr>
          <w:rFonts w:ascii="標楷體" w:eastAsia="標楷體" w:hAnsi="標楷體" w:hint="eastAsia"/>
          <w:color w:val="000000"/>
        </w:rPr>
        <w:t>）：</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114/8/1)</w:t>
      </w:r>
    </w:p>
    <w:p w14:paraId="1238E8C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1.用於治療先前曾接受至少兩線全身治療之復發</w:t>
      </w:r>
      <w:proofErr w:type="gramStart"/>
      <w:r w:rsidRPr="007576F0">
        <w:rPr>
          <w:rFonts w:ascii="標楷體" w:eastAsia="標楷體" w:hAnsi="標楷體" w:hint="eastAsia"/>
          <w:szCs w:val="24"/>
        </w:rPr>
        <w:t>性或難治</w:t>
      </w:r>
      <w:proofErr w:type="gramEnd"/>
      <w:r w:rsidRPr="007576F0">
        <w:rPr>
          <w:rFonts w:ascii="標楷體" w:eastAsia="標楷體" w:hAnsi="標楷體" w:hint="eastAsia"/>
          <w:szCs w:val="24"/>
        </w:rPr>
        <w:t>性瀰漫性大B細胞淋巴瘤 (DLBCL) 的成人病人，且須完全符合以下條件：</w:t>
      </w:r>
    </w:p>
    <w:p w14:paraId="2C467595"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color w:val="000000"/>
        </w:rPr>
        <w:t>(1)</w:t>
      </w:r>
      <w:r w:rsidRPr="007576F0">
        <w:rPr>
          <w:rFonts w:ascii="標楷體" w:eastAsia="標楷體" w:hAnsi="標楷體" w:hint="eastAsia"/>
          <w:color w:val="000000"/>
        </w:rPr>
        <w:tab/>
        <w:t>具CD20抗原陽性。</w:t>
      </w:r>
    </w:p>
    <w:p w14:paraId="261996D3"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color w:val="000000"/>
        </w:rPr>
        <w:t>(2)</w:t>
      </w:r>
      <w:r w:rsidRPr="007576F0">
        <w:rPr>
          <w:rFonts w:ascii="標楷體" w:eastAsia="標楷體" w:hAnsi="標楷體" w:hint="eastAsia"/>
          <w:color w:val="000000"/>
        </w:rPr>
        <w:tab/>
        <w:t>一線曾接受rituximab合併化學治療(包含CD20)，及含有anthracycline類藥物的治療，治療四個療程以上復發或是於治療中發生疾病惡化者。</w:t>
      </w:r>
    </w:p>
    <w:p w14:paraId="3EBBE376"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color w:val="000000"/>
        </w:rPr>
        <w:t>(3)</w:t>
      </w:r>
      <w:r w:rsidRPr="007576F0">
        <w:rPr>
          <w:rFonts w:ascii="標楷體" w:eastAsia="標楷體" w:hAnsi="標楷體" w:hint="eastAsia"/>
          <w:color w:val="000000"/>
        </w:rPr>
        <w:tab/>
        <w:t>救援治療需符合以下任</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條件：</w:t>
      </w:r>
    </w:p>
    <w:p w14:paraId="4911F24B" w14:textId="77777777" w:rsidR="007576F0" w:rsidRPr="007576F0" w:rsidRDefault="007576F0" w:rsidP="007576F0">
      <w:pPr>
        <w:spacing w:line="300" w:lineRule="exact"/>
        <w:ind w:left="1276" w:hanging="283"/>
        <w:rPr>
          <w:rFonts w:ascii="標楷體" w:eastAsia="標楷體" w:hAnsi="標楷體"/>
          <w:szCs w:val="24"/>
        </w:rPr>
      </w:pPr>
      <w:r w:rsidRPr="007576F0">
        <w:rPr>
          <w:rFonts w:ascii="標楷體" w:eastAsia="標楷體" w:hAnsi="標楷體"/>
          <w:color w:val="000000"/>
        </w:rPr>
        <w:t>Ⅰ.</w:t>
      </w:r>
      <w:r w:rsidRPr="007576F0">
        <w:rPr>
          <w:rFonts w:ascii="標楷體" w:eastAsia="標楷體" w:hAnsi="標楷體" w:hint="eastAsia"/>
          <w:color w:val="000000"/>
        </w:rPr>
        <w:t>治療二</w:t>
      </w:r>
      <w:r w:rsidRPr="007576F0">
        <w:rPr>
          <w:rFonts w:ascii="標楷體" w:eastAsia="標楷體" w:hAnsi="標楷體" w:hint="eastAsia"/>
          <w:szCs w:val="24"/>
        </w:rPr>
        <w:t>個療程以上復發或是於治療中發生疾病惡化者。</w:t>
      </w:r>
    </w:p>
    <w:p w14:paraId="50890B93" w14:textId="77777777" w:rsidR="007576F0" w:rsidRPr="007576F0" w:rsidRDefault="007576F0" w:rsidP="007576F0">
      <w:pPr>
        <w:spacing w:line="300" w:lineRule="exact"/>
        <w:ind w:left="1276" w:hanging="283"/>
        <w:rPr>
          <w:rFonts w:ascii="標楷體" w:eastAsia="標楷體" w:hAnsi="標楷體"/>
          <w:szCs w:val="24"/>
        </w:rPr>
      </w:pPr>
      <w:r w:rsidRPr="007576F0">
        <w:rPr>
          <w:rFonts w:ascii="標楷體" w:eastAsia="標楷體" w:hAnsi="標楷體"/>
          <w:szCs w:val="24"/>
        </w:rPr>
        <w:t>Ⅱ</w:t>
      </w:r>
      <w:r w:rsidRPr="007576F0">
        <w:rPr>
          <w:rFonts w:ascii="標楷體" w:eastAsia="標楷體" w:hAnsi="標楷體" w:hint="eastAsia"/>
          <w:szCs w:val="24"/>
        </w:rPr>
        <w:t>.</w:t>
      </w:r>
      <w:proofErr w:type="gramStart"/>
      <w:r w:rsidRPr="007576F0">
        <w:rPr>
          <w:rFonts w:ascii="標楷體" w:eastAsia="標楷體" w:hAnsi="標楷體" w:hint="eastAsia"/>
          <w:szCs w:val="24"/>
        </w:rPr>
        <w:t>經造血</w:t>
      </w:r>
      <w:proofErr w:type="gramEnd"/>
      <w:r w:rsidRPr="007576F0">
        <w:rPr>
          <w:rFonts w:ascii="標楷體" w:eastAsia="標楷體" w:hAnsi="標楷體" w:hint="eastAsia"/>
          <w:szCs w:val="24"/>
        </w:rPr>
        <w:t>幹細胞移植治療失敗者。</w:t>
      </w:r>
    </w:p>
    <w:p w14:paraId="348DE88F"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color w:val="000000"/>
        </w:rPr>
        <w:t>(4)</w:t>
      </w:r>
      <w:r w:rsidRPr="007576F0">
        <w:rPr>
          <w:rFonts w:ascii="標楷體" w:eastAsia="標楷體" w:hAnsi="標楷體" w:hint="eastAsia"/>
          <w:color w:val="000000"/>
        </w:rPr>
        <w:tab/>
        <w:t>ECOG為0或1。</w:t>
      </w:r>
    </w:p>
    <w:p w14:paraId="431F8DD7"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color w:val="000000"/>
        </w:rPr>
        <w:t>(5)</w:t>
      </w:r>
      <w:r w:rsidRPr="007576F0">
        <w:rPr>
          <w:rFonts w:ascii="標楷體" w:eastAsia="標楷體" w:hAnsi="標楷體" w:hint="eastAsia"/>
          <w:color w:val="000000"/>
        </w:rPr>
        <w:tab/>
        <w:t>病人不得有以下任</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疾病:</w:t>
      </w:r>
    </w:p>
    <w:p w14:paraId="2C914D6B" w14:textId="77777777" w:rsidR="007576F0" w:rsidRPr="007576F0" w:rsidRDefault="007576F0" w:rsidP="007576F0">
      <w:pPr>
        <w:spacing w:line="300" w:lineRule="exact"/>
        <w:ind w:left="1276" w:hanging="283"/>
        <w:rPr>
          <w:rFonts w:ascii="標楷體" w:eastAsia="標楷體" w:hAnsi="標楷體"/>
          <w:szCs w:val="24"/>
        </w:rPr>
      </w:pPr>
      <w:r w:rsidRPr="007576F0">
        <w:rPr>
          <w:rFonts w:ascii="標楷體" w:eastAsia="標楷體" w:hAnsi="標楷體"/>
          <w:szCs w:val="24"/>
        </w:rPr>
        <w:t>Ⅰ.</w:t>
      </w:r>
      <w:r w:rsidRPr="007576F0">
        <w:rPr>
          <w:rFonts w:ascii="標楷體" w:eastAsia="標楷體" w:hAnsi="標楷體" w:hint="eastAsia"/>
          <w:szCs w:val="24"/>
        </w:rPr>
        <w:t>中樞神經系統淋巴瘤或中樞神經疾病。</w:t>
      </w:r>
    </w:p>
    <w:p w14:paraId="5D53D351" w14:textId="77777777" w:rsidR="007576F0" w:rsidRPr="007576F0" w:rsidRDefault="007576F0" w:rsidP="007576F0">
      <w:pPr>
        <w:spacing w:line="300" w:lineRule="exact"/>
        <w:ind w:left="1276" w:hanging="283"/>
        <w:rPr>
          <w:rFonts w:ascii="標楷體" w:eastAsia="標楷體" w:hAnsi="標楷體"/>
          <w:szCs w:val="24"/>
        </w:rPr>
      </w:pPr>
      <w:r w:rsidRPr="007576F0">
        <w:rPr>
          <w:rFonts w:ascii="標楷體" w:eastAsia="標楷體" w:hAnsi="標楷體"/>
          <w:szCs w:val="24"/>
        </w:rPr>
        <w:t>Ⅱ.</w:t>
      </w:r>
      <w:r w:rsidRPr="007576F0">
        <w:rPr>
          <w:rFonts w:ascii="標楷體" w:eastAsia="標楷體" w:hAnsi="標楷體" w:hint="eastAsia"/>
          <w:szCs w:val="24"/>
        </w:rPr>
        <w:t>嚴重的心血管疾病，如NYHA (New York Heart Association) Class Ⅲ或Ⅳ。</w:t>
      </w:r>
    </w:p>
    <w:p w14:paraId="73DEB545" w14:textId="77777777" w:rsidR="007576F0" w:rsidRPr="007576F0" w:rsidRDefault="007576F0" w:rsidP="007576F0">
      <w:pPr>
        <w:spacing w:line="300" w:lineRule="exact"/>
        <w:ind w:left="1276" w:hanging="283"/>
        <w:rPr>
          <w:rFonts w:ascii="標楷體" w:eastAsia="標楷體" w:hAnsi="標楷體"/>
          <w:szCs w:val="24"/>
        </w:rPr>
      </w:pPr>
      <w:r w:rsidRPr="007576F0">
        <w:rPr>
          <w:rFonts w:ascii="標楷體" w:eastAsia="標楷體" w:hAnsi="標楷體"/>
          <w:szCs w:val="24"/>
        </w:rPr>
        <w:t>Ⅲ.</w:t>
      </w:r>
      <w:r w:rsidRPr="007576F0">
        <w:rPr>
          <w:rFonts w:ascii="標楷體" w:eastAsia="標楷體" w:hAnsi="標楷體" w:hint="eastAsia"/>
          <w:szCs w:val="24"/>
        </w:rPr>
        <w:t>自體免疫疾病正積極治療者。</w:t>
      </w:r>
    </w:p>
    <w:p w14:paraId="41DD190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2.</w:t>
      </w:r>
      <w:r w:rsidRPr="007576F0">
        <w:rPr>
          <w:rFonts w:ascii="標楷體" w:eastAsia="標楷體" w:hAnsi="標楷體" w:hint="eastAsia"/>
          <w:szCs w:val="24"/>
        </w:rPr>
        <w:tab/>
        <w:t>需經事前審查以核准使用，每次申請事前審查以3個療程為限；首次再申請須檢附達到CR或PR的證明方可續用；其後續申請須證明疾病無惡化方可續用。若病情惡化即須停用。</w:t>
      </w:r>
    </w:p>
    <w:p w14:paraId="5A159F8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3.</w:t>
      </w:r>
      <w:r w:rsidRPr="007576F0">
        <w:rPr>
          <w:rFonts w:ascii="標楷體" w:eastAsia="標楷體" w:hAnsi="標楷體" w:hint="eastAsia"/>
          <w:szCs w:val="24"/>
        </w:rPr>
        <w:tab/>
        <w:t>總療程以12個療程為上限；每位病人一生限用一次連續療程(12個療程)，不得重複申請。</w:t>
      </w:r>
    </w:p>
    <w:p w14:paraId="0A958ED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4.</w:t>
      </w:r>
      <w:r w:rsidRPr="007576F0">
        <w:rPr>
          <w:rFonts w:ascii="標楷體" w:eastAsia="標楷體" w:hAnsi="標楷體" w:hint="eastAsia"/>
          <w:szCs w:val="24"/>
        </w:rPr>
        <w:tab/>
        <w:t>限以</w:t>
      </w:r>
      <w:proofErr w:type="spellStart"/>
      <w:r w:rsidRPr="007576F0">
        <w:rPr>
          <w:rFonts w:ascii="標楷體" w:eastAsia="標楷體" w:hAnsi="標楷體" w:hint="eastAsia"/>
          <w:szCs w:val="24"/>
        </w:rPr>
        <w:t>obinutuzumab</w:t>
      </w:r>
      <w:proofErr w:type="spellEnd"/>
      <w:r w:rsidRPr="007576F0">
        <w:rPr>
          <w:rFonts w:ascii="標楷體" w:eastAsia="標楷體" w:hAnsi="標楷體" w:hint="eastAsia"/>
          <w:szCs w:val="24"/>
        </w:rPr>
        <w:t xml:space="preserve"> 1,000mg作為療程之前置治療，僅用以降低療程中誘導細胞激素釋放症候群(CRS)的風險。</w:t>
      </w:r>
    </w:p>
    <w:p w14:paraId="269528DE"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5.</w:t>
      </w:r>
      <w:r w:rsidRPr="007576F0">
        <w:rPr>
          <w:rFonts w:ascii="標楷體" w:eastAsia="標楷體" w:hAnsi="標楷體" w:hint="eastAsia"/>
          <w:szCs w:val="24"/>
        </w:rPr>
        <w:tab/>
        <w:t>執行醫師須完全符合下列資格：</w:t>
      </w:r>
    </w:p>
    <w:p w14:paraId="434D9BEC"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hint="eastAsia"/>
          <w:color w:val="000000"/>
        </w:rPr>
        <w:t>醫師必須為血液</w:t>
      </w:r>
      <w:proofErr w:type="gramStart"/>
      <w:r w:rsidRPr="007576F0">
        <w:rPr>
          <w:rFonts w:ascii="標楷體" w:eastAsia="標楷體" w:hAnsi="標楷體" w:hint="eastAsia"/>
          <w:color w:val="000000"/>
        </w:rPr>
        <w:t>病或造血</w:t>
      </w:r>
      <w:proofErr w:type="gramEnd"/>
      <w:r w:rsidRPr="007576F0">
        <w:rPr>
          <w:rFonts w:ascii="標楷體" w:eastAsia="標楷體" w:hAnsi="標楷體" w:hint="eastAsia"/>
          <w:color w:val="000000"/>
        </w:rPr>
        <w:t>幹細胞移植專科醫師且須完成血液</w:t>
      </w:r>
      <w:proofErr w:type="gramStart"/>
      <w:r w:rsidRPr="007576F0">
        <w:rPr>
          <w:rFonts w:ascii="標楷體" w:eastAsia="標楷體" w:hAnsi="標楷體" w:hint="eastAsia"/>
          <w:color w:val="000000"/>
        </w:rPr>
        <w:t>病或造血</w:t>
      </w:r>
      <w:proofErr w:type="gramEnd"/>
      <w:r w:rsidRPr="007576F0">
        <w:rPr>
          <w:rFonts w:ascii="標楷體" w:eastAsia="標楷體" w:hAnsi="標楷體" w:hint="eastAsia"/>
          <w:color w:val="000000"/>
        </w:rPr>
        <w:t>幹細胞移植的相關照護訓練。</w:t>
      </w:r>
    </w:p>
    <w:p w14:paraId="13638D52"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color w:val="000000"/>
        </w:rPr>
        <w:t>(2)每兩年接受至少6小時中華民國血液及骨髓移植學會或中華民國血液病學會舉辦之雙特異性抗體相關治療教育訓練。</w:t>
      </w:r>
    </w:p>
    <w:p w14:paraId="6D313B6F"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6.</w:t>
      </w:r>
      <w:r w:rsidRPr="007576F0">
        <w:rPr>
          <w:rFonts w:ascii="標楷體" w:eastAsia="標楷體" w:hAnsi="標楷體" w:hint="eastAsia"/>
          <w:szCs w:val="24"/>
        </w:rPr>
        <w:tab/>
        <w:t>本藥品、</w:t>
      </w:r>
      <w:proofErr w:type="spellStart"/>
      <w:r w:rsidRPr="007576F0">
        <w:rPr>
          <w:rFonts w:ascii="標楷體" w:eastAsia="標楷體" w:hAnsi="標楷體" w:hint="eastAsia"/>
          <w:szCs w:val="24"/>
        </w:rPr>
        <w:t>polatuzumab</w:t>
      </w:r>
      <w:proofErr w:type="spellEnd"/>
      <w:r w:rsidRPr="007576F0">
        <w:rPr>
          <w:rFonts w:ascii="標楷體" w:eastAsia="標楷體" w:hAnsi="標楷體" w:hint="eastAsia"/>
          <w:szCs w:val="24"/>
        </w:rPr>
        <w:t xml:space="preserve"> </w:t>
      </w:r>
      <w:proofErr w:type="spellStart"/>
      <w:r w:rsidRPr="007576F0">
        <w:rPr>
          <w:rFonts w:ascii="標楷體" w:eastAsia="標楷體" w:hAnsi="標楷體" w:hint="eastAsia"/>
          <w:szCs w:val="24"/>
        </w:rPr>
        <w:t>vedotin</w:t>
      </w:r>
      <w:proofErr w:type="spellEnd"/>
      <w:r w:rsidRPr="007576F0">
        <w:rPr>
          <w:rFonts w:ascii="標楷體" w:eastAsia="標楷體" w:hAnsi="標楷體" w:hint="eastAsia"/>
          <w:szCs w:val="24"/>
        </w:rPr>
        <w:t xml:space="preserve">及 </w:t>
      </w:r>
      <w:proofErr w:type="spellStart"/>
      <w:r w:rsidRPr="007576F0">
        <w:rPr>
          <w:rFonts w:ascii="標楷體" w:eastAsia="標楷體" w:hAnsi="標楷體" w:hint="eastAsia"/>
          <w:szCs w:val="24"/>
        </w:rPr>
        <w:t>epcoritamab</w:t>
      </w:r>
      <w:proofErr w:type="spellEnd"/>
      <w:r w:rsidRPr="007576F0">
        <w:rPr>
          <w:rFonts w:ascii="標楷體" w:eastAsia="標楷體" w:hAnsi="標楷體" w:hint="eastAsia"/>
          <w:szCs w:val="24"/>
        </w:rPr>
        <w:t>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給付，治療失敗後不得互換。</w:t>
      </w:r>
    </w:p>
    <w:p w14:paraId="14C1F774" w14:textId="77777777" w:rsidR="007576F0" w:rsidRPr="007576F0" w:rsidRDefault="007576F0" w:rsidP="007576F0">
      <w:pPr>
        <w:spacing w:line="300" w:lineRule="exact"/>
        <w:ind w:left="610" w:hanging="245"/>
        <w:rPr>
          <w:rFonts w:ascii="標楷體" w:eastAsia="標楷體" w:hAnsi="標楷體"/>
          <w:kern w:val="2"/>
          <w:szCs w:val="24"/>
        </w:rPr>
      </w:pPr>
      <w:r w:rsidRPr="007576F0">
        <w:rPr>
          <w:rFonts w:ascii="標楷體" w:eastAsia="標楷體" w:hAnsi="標楷體"/>
          <w:kern w:val="0"/>
          <w:szCs w:val="24"/>
        </w:rPr>
        <w:t>9.</w:t>
      </w:r>
      <w:r w:rsidRPr="007576F0">
        <w:rPr>
          <w:rFonts w:ascii="標楷體" w:eastAsia="標楷體" w:hAnsi="標楷體"/>
          <w:kern w:val="2"/>
          <w:szCs w:val="24"/>
        </w:rPr>
        <w:t>121</w:t>
      </w:r>
      <w:r w:rsidRPr="007576F0">
        <w:rPr>
          <w:rFonts w:ascii="標楷體" w:eastAsia="標楷體" w:hAnsi="標楷體"/>
          <w:kern w:val="0"/>
          <w:szCs w:val="24"/>
        </w:rPr>
        <w:t>.Epcoritamab (</w:t>
      </w:r>
      <w:r w:rsidRPr="007576F0">
        <w:rPr>
          <w:rFonts w:ascii="標楷體" w:eastAsia="標楷體" w:hAnsi="標楷體" w:hint="eastAsia"/>
          <w:kern w:val="0"/>
          <w:szCs w:val="24"/>
        </w:rPr>
        <w:t>如</w:t>
      </w:r>
      <w:proofErr w:type="spellStart"/>
      <w:r w:rsidRPr="007576F0">
        <w:rPr>
          <w:rFonts w:ascii="標楷體" w:eastAsia="標楷體" w:hAnsi="標楷體"/>
          <w:kern w:val="0"/>
          <w:szCs w:val="24"/>
        </w:rPr>
        <w:t>Epkinly</w:t>
      </w:r>
      <w:proofErr w:type="spellEnd"/>
      <w:r w:rsidRPr="007576F0">
        <w:rPr>
          <w:rFonts w:ascii="標楷體" w:eastAsia="標楷體" w:hAnsi="標楷體"/>
          <w:kern w:val="0"/>
          <w:szCs w:val="24"/>
        </w:rPr>
        <w:t>)</w:t>
      </w:r>
      <w:r w:rsidRPr="007576F0">
        <w:rPr>
          <w:rFonts w:ascii="標楷體" w:eastAsia="標楷體" w:hAnsi="標楷體" w:hint="eastAsia"/>
          <w:kern w:val="0"/>
          <w:szCs w:val="24"/>
        </w:rPr>
        <w:t>：</w:t>
      </w:r>
      <w:r w:rsidRPr="007576F0">
        <w:rPr>
          <w:rFonts w:ascii="標楷體" w:eastAsia="標楷體" w:hAnsi="標楷體"/>
          <w:kern w:val="0"/>
          <w:szCs w:val="24"/>
        </w:rPr>
        <w:t>(</w:t>
      </w:r>
      <w:r w:rsidRPr="007576F0">
        <w:rPr>
          <w:rFonts w:ascii="標楷體" w:eastAsia="標楷體" w:hAnsi="標楷體"/>
          <w:kern w:val="2"/>
          <w:szCs w:val="24"/>
        </w:rPr>
        <w:t>114</w:t>
      </w:r>
      <w:r w:rsidRPr="007576F0">
        <w:rPr>
          <w:rFonts w:ascii="標楷體" w:eastAsia="標楷體" w:hAnsi="標楷體"/>
          <w:kern w:val="0"/>
          <w:szCs w:val="24"/>
        </w:rPr>
        <w:t>/</w:t>
      </w:r>
      <w:r w:rsidRPr="007576F0">
        <w:rPr>
          <w:rFonts w:ascii="標楷體" w:eastAsia="標楷體" w:hAnsi="標楷體"/>
          <w:kern w:val="2"/>
          <w:szCs w:val="24"/>
        </w:rPr>
        <w:t>8</w:t>
      </w:r>
      <w:r w:rsidRPr="007576F0">
        <w:rPr>
          <w:rFonts w:ascii="標楷體" w:eastAsia="標楷體" w:hAnsi="標楷體"/>
          <w:kern w:val="0"/>
          <w:szCs w:val="24"/>
        </w:rPr>
        <w:t>/1)</w:t>
      </w:r>
    </w:p>
    <w:p w14:paraId="703EE6CB"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1.</w:t>
      </w:r>
      <w:r w:rsidRPr="007576F0">
        <w:rPr>
          <w:rFonts w:ascii="標楷體" w:eastAsia="標楷體" w:hAnsi="標楷體" w:hint="eastAsia"/>
          <w:kern w:val="2"/>
          <w:szCs w:val="24"/>
        </w:rPr>
        <w:t>適用於治療先前曾接受至少兩線全身治療之復發</w:t>
      </w:r>
      <w:proofErr w:type="gramStart"/>
      <w:r w:rsidRPr="007576F0">
        <w:rPr>
          <w:rFonts w:ascii="標楷體" w:eastAsia="標楷體" w:hAnsi="標楷體" w:hint="eastAsia"/>
          <w:kern w:val="2"/>
          <w:szCs w:val="24"/>
        </w:rPr>
        <w:t>性或難治</w:t>
      </w:r>
      <w:proofErr w:type="gramEnd"/>
      <w:r w:rsidRPr="007576F0">
        <w:rPr>
          <w:rFonts w:ascii="標楷體" w:eastAsia="標楷體" w:hAnsi="標楷體" w:hint="eastAsia"/>
          <w:kern w:val="2"/>
          <w:szCs w:val="24"/>
        </w:rPr>
        <w:t>性瀰漫性大</w:t>
      </w:r>
      <w:r w:rsidRPr="007576F0">
        <w:rPr>
          <w:rFonts w:ascii="標楷體" w:eastAsia="標楷體" w:hAnsi="標楷體"/>
          <w:kern w:val="2"/>
          <w:szCs w:val="24"/>
        </w:rPr>
        <w:t>B</w:t>
      </w:r>
      <w:r w:rsidRPr="007576F0">
        <w:rPr>
          <w:rFonts w:ascii="標楷體" w:eastAsia="標楷體" w:hAnsi="標楷體" w:hint="eastAsia"/>
          <w:kern w:val="2"/>
          <w:szCs w:val="24"/>
        </w:rPr>
        <w:t>細胞淋巴瘤</w:t>
      </w:r>
      <w:r w:rsidRPr="007576F0">
        <w:rPr>
          <w:rFonts w:ascii="標楷體" w:eastAsia="標楷體" w:hAnsi="標楷體"/>
          <w:kern w:val="2"/>
          <w:szCs w:val="24"/>
        </w:rPr>
        <w:t xml:space="preserve"> (DLBCL) </w:t>
      </w:r>
      <w:r w:rsidRPr="007576F0">
        <w:rPr>
          <w:rFonts w:ascii="標楷體" w:eastAsia="標楷體" w:hAnsi="標楷體" w:hint="eastAsia"/>
          <w:szCs w:val="24"/>
        </w:rPr>
        <w:t>的成人</w:t>
      </w:r>
      <w:r w:rsidRPr="007576F0">
        <w:rPr>
          <w:rFonts w:ascii="標楷體" w:eastAsia="標楷體" w:hAnsi="標楷體" w:hint="eastAsia"/>
          <w:kern w:val="2"/>
          <w:szCs w:val="24"/>
        </w:rPr>
        <w:t>病人，且須完全符合以下條件：</w:t>
      </w:r>
    </w:p>
    <w:p w14:paraId="3828E8CA"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kern w:val="2"/>
          <w:szCs w:val="24"/>
        </w:rPr>
        <w:t>(1)</w:t>
      </w:r>
      <w:r w:rsidRPr="007576F0">
        <w:rPr>
          <w:rFonts w:ascii="標楷體" w:eastAsia="標楷體" w:hAnsi="標楷體" w:hint="eastAsia"/>
          <w:kern w:val="2"/>
          <w:szCs w:val="24"/>
        </w:rPr>
        <w:t>具</w:t>
      </w:r>
      <w:r w:rsidRPr="007576F0">
        <w:rPr>
          <w:rFonts w:ascii="標楷體" w:eastAsia="標楷體" w:hAnsi="標楷體"/>
          <w:kern w:val="2"/>
          <w:szCs w:val="24"/>
        </w:rPr>
        <w:t>CD</w:t>
      </w:r>
      <w:r w:rsidRPr="007576F0">
        <w:rPr>
          <w:rFonts w:ascii="標楷體" w:eastAsia="標楷體" w:hAnsi="標楷體"/>
          <w:color w:val="000000"/>
        </w:rPr>
        <w:t>20</w:t>
      </w:r>
      <w:r w:rsidRPr="007576F0">
        <w:rPr>
          <w:rFonts w:ascii="標楷體" w:eastAsia="標楷體" w:hAnsi="標楷體" w:hint="eastAsia"/>
          <w:color w:val="000000"/>
        </w:rPr>
        <w:t>抗原陽性。</w:t>
      </w:r>
    </w:p>
    <w:p w14:paraId="14776EB8"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color w:val="000000"/>
        </w:rPr>
        <w:t>(2)</w:t>
      </w:r>
      <w:r w:rsidRPr="007576F0">
        <w:rPr>
          <w:rFonts w:ascii="標楷體" w:eastAsia="標楷體" w:hAnsi="標楷體" w:hint="eastAsia"/>
          <w:color w:val="000000"/>
        </w:rPr>
        <w:t>一線曾接受</w:t>
      </w:r>
      <w:r w:rsidRPr="007576F0">
        <w:rPr>
          <w:rFonts w:ascii="標楷體" w:eastAsia="標楷體" w:hAnsi="標楷體"/>
          <w:color w:val="000000"/>
        </w:rPr>
        <w:t>rituximab</w:t>
      </w:r>
      <w:r w:rsidRPr="007576F0">
        <w:rPr>
          <w:rFonts w:ascii="標楷體" w:eastAsia="標楷體" w:hAnsi="標楷體" w:hint="eastAsia"/>
          <w:color w:val="000000"/>
        </w:rPr>
        <w:t>合併化學治療</w:t>
      </w:r>
      <w:r w:rsidRPr="007576F0">
        <w:rPr>
          <w:rFonts w:ascii="標楷體" w:eastAsia="標楷體" w:hAnsi="標楷體"/>
          <w:color w:val="000000"/>
        </w:rPr>
        <w:t>(</w:t>
      </w:r>
      <w:r w:rsidRPr="007576F0">
        <w:rPr>
          <w:rFonts w:ascii="標楷體" w:eastAsia="標楷體" w:hAnsi="標楷體" w:hint="eastAsia"/>
          <w:color w:val="000000"/>
        </w:rPr>
        <w:t>包含</w:t>
      </w:r>
      <w:r w:rsidRPr="007576F0">
        <w:rPr>
          <w:rFonts w:ascii="標楷體" w:eastAsia="標楷體" w:hAnsi="標楷體"/>
          <w:color w:val="000000"/>
        </w:rPr>
        <w:t>CD20)</w:t>
      </w:r>
      <w:r w:rsidRPr="007576F0">
        <w:rPr>
          <w:rFonts w:ascii="標楷體" w:eastAsia="標楷體" w:hAnsi="標楷體" w:hint="eastAsia"/>
          <w:color w:val="000000"/>
        </w:rPr>
        <w:t>，及含有</w:t>
      </w:r>
      <w:r w:rsidRPr="007576F0">
        <w:rPr>
          <w:rFonts w:ascii="標楷體" w:eastAsia="標楷體" w:hAnsi="標楷體"/>
          <w:color w:val="000000"/>
        </w:rPr>
        <w:t>anthracycline</w:t>
      </w:r>
      <w:r w:rsidRPr="007576F0">
        <w:rPr>
          <w:rFonts w:ascii="標楷體" w:eastAsia="標楷體" w:hAnsi="標楷體" w:hint="eastAsia"/>
          <w:color w:val="000000"/>
        </w:rPr>
        <w:t>類藥物的治療，治療四個療程以上復發或是於治療中發生疾病惡化者。</w:t>
      </w:r>
    </w:p>
    <w:p w14:paraId="44DF3A72"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color w:val="000000"/>
        </w:rPr>
        <w:t>(3)救援治療需符合以下任</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條件：</w:t>
      </w:r>
    </w:p>
    <w:p w14:paraId="42D20AB2" w14:textId="77777777" w:rsidR="007576F0" w:rsidRPr="007576F0" w:rsidRDefault="007576F0" w:rsidP="007576F0">
      <w:pPr>
        <w:spacing w:line="300" w:lineRule="exact"/>
        <w:ind w:leftChars="421" w:left="1132" w:hangingChars="51" w:hanging="122"/>
        <w:rPr>
          <w:rFonts w:ascii="標楷體" w:eastAsia="標楷體" w:hAnsi="標楷體"/>
          <w:kern w:val="2"/>
          <w:szCs w:val="24"/>
        </w:rPr>
      </w:pPr>
      <w:r w:rsidRPr="007576F0">
        <w:rPr>
          <w:rFonts w:ascii="標楷體" w:eastAsia="標楷體" w:hAnsi="標楷體" w:hint="eastAsia"/>
          <w:color w:val="000000"/>
        </w:rPr>
        <w:t>Ⅰ</w:t>
      </w:r>
      <w:r w:rsidRPr="007576F0">
        <w:rPr>
          <w:rFonts w:ascii="標楷體" w:eastAsia="標楷體" w:hAnsi="標楷體"/>
          <w:color w:val="000000"/>
        </w:rPr>
        <w:t>.</w:t>
      </w:r>
      <w:r w:rsidRPr="007576F0">
        <w:rPr>
          <w:rFonts w:ascii="標楷體" w:eastAsia="標楷體" w:hAnsi="標楷體" w:hint="eastAsia"/>
          <w:color w:val="000000"/>
        </w:rPr>
        <w:t>治療</w:t>
      </w:r>
      <w:r w:rsidRPr="007576F0">
        <w:rPr>
          <w:rFonts w:ascii="標楷體" w:eastAsia="標楷體" w:hAnsi="標楷體" w:hint="eastAsia"/>
          <w:kern w:val="2"/>
          <w:szCs w:val="24"/>
        </w:rPr>
        <w:t>二個療程以上復發或是於治療中發生疾病惡化者。</w:t>
      </w:r>
    </w:p>
    <w:p w14:paraId="0EF11BFE" w14:textId="77777777" w:rsidR="007576F0" w:rsidRPr="007576F0" w:rsidRDefault="007576F0" w:rsidP="007576F0">
      <w:pPr>
        <w:spacing w:line="300" w:lineRule="exact"/>
        <w:ind w:leftChars="421" w:left="1132" w:hangingChars="51" w:hanging="122"/>
        <w:rPr>
          <w:rFonts w:ascii="標楷體" w:eastAsia="標楷體" w:hAnsi="標楷體"/>
          <w:color w:val="000000"/>
        </w:rPr>
      </w:pPr>
      <w:r w:rsidRPr="007576F0">
        <w:rPr>
          <w:rFonts w:ascii="標楷體" w:eastAsia="標楷體" w:hAnsi="標楷體" w:hint="eastAsia"/>
          <w:kern w:val="2"/>
          <w:szCs w:val="24"/>
        </w:rPr>
        <w:t>Ⅱ</w:t>
      </w:r>
      <w:r w:rsidRPr="007576F0">
        <w:rPr>
          <w:rFonts w:ascii="標楷體" w:eastAsia="標楷體" w:hAnsi="標楷體"/>
          <w:kern w:val="2"/>
          <w:szCs w:val="24"/>
        </w:rPr>
        <w:t>.</w:t>
      </w:r>
      <w:proofErr w:type="gramStart"/>
      <w:r w:rsidRPr="007576F0">
        <w:rPr>
          <w:rFonts w:ascii="標楷體" w:eastAsia="標楷體" w:hAnsi="標楷體" w:hint="eastAsia"/>
          <w:kern w:val="2"/>
          <w:szCs w:val="24"/>
        </w:rPr>
        <w:t>經造</w:t>
      </w:r>
      <w:r w:rsidRPr="007576F0">
        <w:rPr>
          <w:rFonts w:ascii="標楷體" w:eastAsia="標楷體" w:hAnsi="標楷體" w:hint="eastAsia"/>
          <w:color w:val="000000"/>
        </w:rPr>
        <w:t>血</w:t>
      </w:r>
      <w:proofErr w:type="gramEnd"/>
      <w:r w:rsidRPr="007576F0">
        <w:rPr>
          <w:rFonts w:ascii="標楷體" w:eastAsia="標楷體" w:hAnsi="標楷體" w:hint="eastAsia"/>
          <w:color w:val="000000"/>
        </w:rPr>
        <w:t>幹細胞移植治療失敗者。</w:t>
      </w:r>
    </w:p>
    <w:p w14:paraId="52CBA422"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color w:val="000000"/>
        </w:rPr>
        <w:t>(4)ECOG</w:t>
      </w:r>
      <w:r w:rsidRPr="007576F0">
        <w:rPr>
          <w:rFonts w:ascii="標楷體" w:eastAsia="標楷體" w:hAnsi="標楷體" w:hint="eastAsia"/>
          <w:color w:val="000000"/>
        </w:rPr>
        <w:t>為</w:t>
      </w:r>
      <w:r w:rsidRPr="007576F0">
        <w:rPr>
          <w:rFonts w:ascii="標楷體" w:eastAsia="標楷體" w:hAnsi="標楷體"/>
          <w:color w:val="000000"/>
        </w:rPr>
        <w:t>0</w:t>
      </w:r>
      <w:r w:rsidRPr="007576F0">
        <w:rPr>
          <w:rFonts w:ascii="標楷體" w:eastAsia="標楷體" w:hAnsi="標楷體" w:hint="eastAsia"/>
          <w:color w:val="000000"/>
        </w:rPr>
        <w:t>或</w:t>
      </w:r>
      <w:r w:rsidRPr="007576F0">
        <w:rPr>
          <w:rFonts w:ascii="標楷體" w:eastAsia="標楷體" w:hAnsi="標楷體"/>
          <w:color w:val="000000"/>
        </w:rPr>
        <w:t>1</w:t>
      </w:r>
      <w:r w:rsidRPr="007576F0">
        <w:rPr>
          <w:rFonts w:ascii="標楷體" w:eastAsia="標楷體" w:hAnsi="標楷體" w:hint="eastAsia"/>
          <w:color w:val="000000"/>
        </w:rPr>
        <w:t>。</w:t>
      </w:r>
    </w:p>
    <w:p w14:paraId="6964836B" w14:textId="77777777" w:rsidR="007576F0" w:rsidRPr="007576F0" w:rsidRDefault="007576F0" w:rsidP="007576F0">
      <w:pPr>
        <w:spacing w:line="300" w:lineRule="exact"/>
        <w:ind w:left="1276" w:hanging="386"/>
        <w:rPr>
          <w:rFonts w:ascii="標楷體" w:eastAsia="標楷體" w:hAnsi="標楷體"/>
          <w:kern w:val="2"/>
          <w:szCs w:val="24"/>
        </w:rPr>
      </w:pPr>
      <w:r w:rsidRPr="007576F0">
        <w:rPr>
          <w:rFonts w:ascii="標楷體" w:eastAsia="標楷體" w:hAnsi="標楷體"/>
          <w:color w:val="000000"/>
        </w:rPr>
        <w:t>(5)</w:t>
      </w:r>
      <w:r w:rsidRPr="007576F0">
        <w:rPr>
          <w:rFonts w:ascii="標楷體" w:eastAsia="標楷體" w:hAnsi="標楷體" w:hint="eastAsia"/>
          <w:color w:val="000000"/>
        </w:rPr>
        <w:t>病人不得</w:t>
      </w:r>
      <w:r w:rsidRPr="007576F0">
        <w:rPr>
          <w:rFonts w:ascii="標楷體" w:eastAsia="標楷體" w:hAnsi="標楷體" w:hint="eastAsia"/>
          <w:kern w:val="2"/>
          <w:szCs w:val="24"/>
        </w:rPr>
        <w:t>有以下任</w:t>
      </w:r>
      <w:proofErr w:type="gramStart"/>
      <w:r w:rsidRPr="007576F0">
        <w:rPr>
          <w:rFonts w:ascii="標楷體" w:eastAsia="標楷體" w:hAnsi="標楷體" w:hint="eastAsia"/>
          <w:kern w:val="2"/>
          <w:szCs w:val="24"/>
        </w:rPr>
        <w:t>一</w:t>
      </w:r>
      <w:proofErr w:type="gramEnd"/>
      <w:r w:rsidRPr="007576F0">
        <w:rPr>
          <w:rFonts w:ascii="標楷體" w:eastAsia="標楷體" w:hAnsi="標楷體" w:hint="eastAsia"/>
          <w:kern w:val="2"/>
          <w:szCs w:val="24"/>
        </w:rPr>
        <w:t>疾病</w:t>
      </w:r>
      <w:r w:rsidRPr="007576F0">
        <w:rPr>
          <w:rFonts w:ascii="標楷體" w:eastAsia="標楷體" w:hAnsi="標楷體"/>
          <w:kern w:val="2"/>
          <w:szCs w:val="24"/>
        </w:rPr>
        <w:t>:</w:t>
      </w:r>
    </w:p>
    <w:p w14:paraId="50127C42" w14:textId="77777777" w:rsidR="007576F0" w:rsidRPr="007576F0" w:rsidRDefault="007576F0" w:rsidP="007576F0">
      <w:pPr>
        <w:spacing w:line="300" w:lineRule="exact"/>
        <w:ind w:leftChars="421" w:left="1132" w:hangingChars="51" w:hanging="122"/>
        <w:rPr>
          <w:rFonts w:ascii="標楷體" w:eastAsia="標楷體" w:hAnsi="標楷體"/>
          <w:kern w:val="2"/>
          <w:szCs w:val="24"/>
        </w:rPr>
      </w:pPr>
      <w:r w:rsidRPr="007576F0">
        <w:rPr>
          <w:rFonts w:ascii="標楷體" w:eastAsia="標楷體" w:hAnsi="標楷體" w:hint="eastAsia"/>
          <w:kern w:val="2"/>
          <w:szCs w:val="24"/>
        </w:rPr>
        <w:t>Ⅰ</w:t>
      </w:r>
      <w:r w:rsidRPr="007576F0">
        <w:rPr>
          <w:rFonts w:ascii="標楷體" w:eastAsia="標楷體" w:hAnsi="標楷體"/>
          <w:kern w:val="2"/>
          <w:szCs w:val="24"/>
        </w:rPr>
        <w:t>.</w:t>
      </w:r>
      <w:r w:rsidRPr="007576F0">
        <w:rPr>
          <w:rFonts w:ascii="標楷體" w:eastAsia="標楷體" w:hAnsi="標楷體" w:hint="eastAsia"/>
          <w:kern w:val="2"/>
          <w:szCs w:val="24"/>
        </w:rPr>
        <w:t>中樞神經系統淋巴瘤或中樞神經疾病。</w:t>
      </w:r>
    </w:p>
    <w:p w14:paraId="7035C864" w14:textId="77777777" w:rsidR="007576F0" w:rsidRPr="007576F0" w:rsidRDefault="007576F0" w:rsidP="007576F0">
      <w:pPr>
        <w:spacing w:line="300" w:lineRule="exact"/>
        <w:ind w:leftChars="421" w:left="1132" w:hangingChars="51" w:hanging="122"/>
        <w:rPr>
          <w:rFonts w:ascii="標楷體" w:eastAsia="標楷體" w:hAnsi="標楷體"/>
          <w:kern w:val="2"/>
          <w:szCs w:val="24"/>
        </w:rPr>
      </w:pPr>
      <w:r w:rsidRPr="007576F0">
        <w:rPr>
          <w:rFonts w:ascii="標楷體" w:eastAsia="標楷體" w:hAnsi="標楷體" w:hint="eastAsia"/>
          <w:kern w:val="2"/>
          <w:szCs w:val="24"/>
        </w:rPr>
        <w:t>Ⅱ</w:t>
      </w:r>
      <w:r w:rsidRPr="007576F0">
        <w:rPr>
          <w:rFonts w:ascii="標楷體" w:eastAsia="標楷體" w:hAnsi="標楷體"/>
          <w:kern w:val="2"/>
          <w:szCs w:val="24"/>
        </w:rPr>
        <w:t>.</w:t>
      </w:r>
      <w:r w:rsidRPr="007576F0">
        <w:rPr>
          <w:rFonts w:ascii="標楷體" w:eastAsia="標楷體" w:hAnsi="標楷體" w:hint="eastAsia"/>
          <w:kern w:val="2"/>
          <w:szCs w:val="24"/>
        </w:rPr>
        <w:t>嚴重的心血管疾病，如</w:t>
      </w:r>
      <w:r w:rsidRPr="007576F0">
        <w:rPr>
          <w:rFonts w:ascii="標楷體" w:eastAsia="標楷體" w:hAnsi="標楷體"/>
          <w:kern w:val="2"/>
          <w:szCs w:val="24"/>
        </w:rPr>
        <w:t xml:space="preserve">NYHA (New York Heart Association) Class </w:t>
      </w:r>
      <w:r w:rsidRPr="007576F0">
        <w:rPr>
          <w:rFonts w:ascii="標楷體" w:eastAsia="標楷體" w:hAnsi="標楷體" w:hint="eastAsia"/>
          <w:kern w:val="2"/>
          <w:szCs w:val="24"/>
        </w:rPr>
        <w:t>Ⅲ或Ⅳ。</w:t>
      </w:r>
    </w:p>
    <w:p w14:paraId="5A558B0E" w14:textId="77777777" w:rsidR="007576F0" w:rsidRPr="007576F0" w:rsidRDefault="007576F0" w:rsidP="007576F0">
      <w:pPr>
        <w:spacing w:line="300" w:lineRule="exact"/>
        <w:ind w:leftChars="421" w:left="1132" w:hangingChars="51" w:hanging="122"/>
        <w:rPr>
          <w:rFonts w:ascii="標楷體" w:eastAsia="標楷體" w:hAnsi="標楷體"/>
          <w:kern w:val="2"/>
          <w:szCs w:val="24"/>
        </w:rPr>
      </w:pPr>
      <w:r w:rsidRPr="007576F0">
        <w:rPr>
          <w:rFonts w:ascii="標楷體" w:eastAsia="標楷體" w:hAnsi="標楷體" w:hint="eastAsia"/>
          <w:kern w:val="2"/>
          <w:szCs w:val="24"/>
        </w:rPr>
        <w:t>Ⅲ</w:t>
      </w:r>
      <w:r w:rsidRPr="007576F0">
        <w:rPr>
          <w:rFonts w:ascii="標楷體" w:eastAsia="標楷體" w:hAnsi="標楷體"/>
          <w:kern w:val="2"/>
          <w:szCs w:val="24"/>
        </w:rPr>
        <w:t>.</w:t>
      </w:r>
      <w:r w:rsidRPr="007576F0">
        <w:rPr>
          <w:rFonts w:ascii="標楷體" w:eastAsia="標楷體" w:hAnsi="標楷體" w:hint="eastAsia"/>
          <w:kern w:val="2"/>
          <w:szCs w:val="24"/>
        </w:rPr>
        <w:t>自體免疫疾病正積極治療者。</w:t>
      </w:r>
    </w:p>
    <w:p w14:paraId="1EC47320"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2.</w:t>
      </w:r>
      <w:r w:rsidRPr="007576F0">
        <w:rPr>
          <w:rFonts w:ascii="標楷體" w:eastAsia="標楷體" w:hAnsi="標楷體" w:hint="eastAsia"/>
          <w:kern w:val="2"/>
          <w:szCs w:val="24"/>
        </w:rPr>
        <w:t>須經事前審查以核准使用，每次申請事前審查以</w:t>
      </w:r>
      <w:r w:rsidRPr="007576F0">
        <w:rPr>
          <w:rFonts w:ascii="標楷體" w:eastAsia="標楷體" w:hAnsi="標楷體"/>
          <w:kern w:val="2"/>
          <w:szCs w:val="24"/>
        </w:rPr>
        <w:t>3</w:t>
      </w:r>
      <w:r w:rsidRPr="007576F0">
        <w:rPr>
          <w:rFonts w:ascii="標楷體" w:eastAsia="標楷體" w:hAnsi="標楷體" w:hint="eastAsia"/>
          <w:kern w:val="2"/>
          <w:szCs w:val="24"/>
        </w:rPr>
        <w:t>個療程為限；首次再申請須檢附</w:t>
      </w:r>
      <w:r w:rsidRPr="007576F0">
        <w:rPr>
          <w:rFonts w:ascii="標楷體" w:eastAsia="標楷體" w:hAnsi="標楷體" w:hint="eastAsia"/>
          <w:kern w:val="2"/>
          <w:szCs w:val="24"/>
        </w:rPr>
        <w:lastRenderedPageBreak/>
        <w:t>達到</w:t>
      </w:r>
      <w:r w:rsidRPr="007576F0">
        <w:rPr>
          <w:rFonts w:ascii="標楷體" w:eastAsia="標楷體" w:hAnsi="標楷體"/>
          <w:kern w:val="2"/>
          <w:szCs w:val="24"/>
        </w:rPr>
        <w:t>CR</w:t>
      </w:r>
      <w:r w:rsidRPr="007576F0">
        <w:rPr>
          <w:rFonts w:ascii="標楷體" w:eastAsia="標楷體" w:hAnsi="標楷體" w:hint="eastAsia"/>
          <w:kern w:val="2"/>
          <w:szCs w:val="24"/>
        </w:rPr>
        <w:t>或</w:t>
      </w:r>
      <w:r w:rsidRPr="007576F0">
        <w:rPr>
          <w:rFonts w:ascii="標楷體" w:eastAsia="標楷體" w:hAnsi="標楷體"/>
          <w:kern w:val="2"/>
          <w:szCs w:val="24"/>
        </w:rPr>
        <w:t>PR</w:t>
      </w:r>
      <w:r w:rsidRPr="007576F0">
        <w:rPr>
          <w:rFonts w:ascii="標楷體" w:eastAsia="標楷體" w:hAnsi="標楷體" w:hint="eastAsia"/>
          <w:kern w:val="2"/>
          <w:szCs w:val="24"/>
        </w:rPr>
        <w:t>的證明方可續用；其後續申請須證明疾病無惡化方可續用。若病情惡化即須停用。</w:t>
      </w:r>
    </w:p>
    <w:p w14:paraId="718160B3"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3.</w:t>
      </w:r>
      <w:r w:rsidRPr="007576F0">
        <w:rPr>
          <w:rFonts w:ascii="標楷體" w:eastAsia="標楷體" w:hAnsi="標楷體" w:hint="eastAsia"/>
          <w:kern w:val="2"/>
          <w:szCs w:val="24"/>
        </w:rPr>
        <w:t>總療程以</w:t>
      </w:r>
      <w:r w:rsidRPr="007576F0">
        <w:rPr>
          <w:rFonts w:ascii="標楷體" w:eastAsia="標楷體" w:hAnsi="標楷體"/>
          <w:kern w:val="2"/>
          <w:szCs w:val="24"/>
        </w:rPr>
        <w:t>12</w:t>
      </w:r>
      <w:r w:rsidRPr="007576F0">
        <w:rPr>
          <w:rFonts w:ascii="標楷體" w:eastAsia="標楷體" w:hAnsi="標楷體" w:hint="eastAsia"/>
          <w:kern w:val="2"/>
          <w:szCs w:val="24"/>
        </w:rPr>
        <w:t>個療程為上限；每位病人一生限用一次連續療程</w:t>
      </w:r>
      <w:r w:rsidRPr="007576F0">
        <w:rPr>
          <w:rFonts w:ascii="標楷體" w:eastAsia="標楷體" w:hAnsi="標楷體"/>
          <w:kern w:val="2"/>
          <w:szCs w:val="24"/>
        </w:rPr>
        <w:t>(12</w:t>
      </w:r>
      <w:r w:rsidRPr="007576F0">
        <w:rPr>
          <w:rFonts w:ascii="標楷體" w:eastAsia="標楷體" w:hAnsi="標楷體" w:hint="eastAsia"/>
          <w:kern w:val="2"/>
          <w:szCs w:val="24"/>
        </w:rPr>
        <w:t>個療程</w:t>
      </w:r>
      <w:r w:rsidRPr="007576F0">
        <w:rPr>
          <w:rFonts w:ascii="標楷體" w:eastAsia="標楷體" w:hAnsi="標楷體"/>
          <w:kern w:val="2"/>
          <w:szCs w:val="24"/>
        </w:rPr>
        <w:t>)</w:t>
      </w:r>
      <w:r w:rsidRPr="007576F0">
        <w:rPr>
          <w:rFonts w:ascii="標楷體" w:eastAsia="標楷體" w:hAnsi="標楷體" w:hint="eastAsia"/>
          <w:kern w:val="2"/>
          <w:szCs w:val="24"/>
        </w:rPr>
        <w:t>，不得重複申請。</w:t>
      </w:r>
    </w:p>
    <w:p w14:paraId="0B679736"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4.</w:t>
      </w:r>
      <w:r w:rsidRPr="007576F0">
        <w:rPr>
          <w:rFonts w:ascii="標楷體" w:eastAsia="標楷體" w:hAnsi="標楷體" w:hint="eastAsia"/>
          <w:kern w:val="2"/>
          <w:szCs w:val="24"/>
        </w:rPr>
        <w:t>執行醫師須完全符合下列資格：</w:t>
      </w:r>
    </w:p>
    <w:p w14:paraId="2020A08D"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kern w:val="2"/>
          <w:szCs w:val="24"/>
        </w:rPr>
        <w:t>(1)</w:t>
      </w:r>
      <w:r w:rsidRPr="007576F0">
        <w:rPr>
          <w:rFonts w:ascii="標楷體" w:eastAsia="標楷體" w:hAnsi="標楷體" w:hint="eastAsia"/>
          <w:kern w:val="2"/>
          <w:szCs w:val="24"/>
        </w:rPr>
        <w:t>醫師必須</w:t>
      </w:r>
      <w:r w:rsidRPr="007576F0">
        <w:rPr>
          <w:rFonts w:ascii="標楷體" w:eastAsia="標楷體" w:hAnsi="標楷體" w:hint="eastAsia"/>
          <w:color w:val="000000"/>
        </w:rPr>
        <w:t>為血液</w:t>
      </w:r>
      <w:proofErr w:type="gramStart"/>
      <w:r w:rsidRPr="007576F0">
        <w:rPr>
          <w:rFonts w:ascii="標楷體" w:eastAsia="標楷體" w:hAnsi="標楷體" w:hint="eastAsia"/>
          <w:color w:val="000000"/>
        </w:rPr>
        <w:t>病或造血</w:t>
      </w:r>
      <w:proofErr w:type="gramEnd"/>
      <w:r w:rsidRPr="007576F0">
        <w:rPr>
          <w:rFonts w:ascii="標楷體" w:eastAsia="標楷體" w:hAnsi="標楷體" w:hint="eastAsia"/>
          <w:color w:val="000000"/>
        </w:rPr>
        <w:t>幹細胞移植專科醫師且須完成血液</w:t>
      </w:r>
      <w:proofErr w:type="gramStart"/>
      <w:r w:rsidRPr="007576F0">
        <w:rPr>
          <w:rFonts w:ascii="標楷體" w:eastAsia="標楷體" w:hAnsi="標楷體" w:hint="eastAsia"/>
          <w:color w:val="000000"/>
        </w:rPr>
        <w:t>病或造血</w:t>
      </w:r>
      <w:proofErr w:type="gramEnd"/>
      <w:r w:rsidRPr="007576F0">
        <w:rPr>
          <w:rFonts w:ascii="標楷體" w:eastAsia="標楷體" w:hAnsi="標楷體" w:hint="eastAsia"/>
          <w:color w:val="000000"/>
        </w:rPr>
        <w:t>幹細胞移植的相關照護訓練。</w:t>
      </w:r>
    </w:p>
    <w:p w14:paraId="1EBC01F7" w14:textId="77777777" w:rsidR="007576F0" w:rsidRPr="007576F0" w:rsidRDefault="007576F0" w:rsidP="007576F0">
      <w:pPr>
        <w:spacing w:line="300" w:lineRule="exact"/>
        <w:ind w:left="1276" w:hanging="386"/>
        <w:rPr>
          <w:rFonts w:ascii="標楷體" w:eastAsia="標楷體" w:hAnsi="標楷體"/>
          <w:kern w:val="2"/>
          <w:szCs w:val="24"/>
        </w:rPr>
      </w:pPr>
      <w:r w:rsidRPr="007576F0">
        <w:rPr>
          <w:rFonts w:ascii="標楷體" w:eastAsia="標楷體" w:hAnsi="標楷體"/>
          <w:color w:val="000000"/>
        </w:rPr>
        <w:t>(2)</w:t>
      </w:r>
      <w:r w:rsidRPr="007576F0">
        <w:rPr>
          <w:rFonts w:ascii="標楷體" w:eastAsia="標楷體" w:hAnsi="標楷體" w:hint="eastAsia"/>
          <w:color w:val="000000"/>
        </w:rPr>
        <w:t>每兩年接受至少</w:t>
      </w:r>
      <w:r w:rsidRPr="007576F0">
        <w:rPr>
          <w:rFonts w:ascii="標楷體" w:eastAsia="標楷體" w:hAnsi="標楷體"/>
          <w:color w:val="000000"/>
        </w:rPr>
        <w:t>6</w:t>
      </w:r>
      <w:r w:rsidRPr="007576F0">
        <w:rPr>
          <w:rFonts w:ascii="標楷體" w:eastAsia="標楷體" w:hAnsi="標楷體" w:hint="eastAsia"/>
          <w:color w:val="000000"/>
        </w:rPr>
        <w:t>小時中華民國血液及骨髓移植學會或中華民國血液病學會舉辦之雙特異性抗</w:t>
      </w:r>
      <w:r w:rsidRPr="007576F0">
        <w:rPr>
          <w:rFonts w:ascii="標楷體" w:eastAsia="標楷體" w:hAnsi="標楷體" w:hint="eastAsia"/>
          <w:kern w:val="2"/>
          <w:szCs w:val="24"/>
        </w:rPr>
        <w:t>體相關治療教育訓練。</w:t>
      </w:r>
    </w:p>
    <w:p w14:paraId="2DA411CF"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5.</w:t>
      </w:r>
      <w:r w:rsidRPr="007576F0">
        <w:rPr>
          <w:rFonts w:ascii="標楷體" w:eastAsia="標楷體" w:hAnsi="標楷體" w:hint="eastAsia"/>
          <w:kern w:val="2"/>
          <w:szCs w:val="24"/>
        </w:rPr>
        <w:t>本藥品、</w:t>
      </w:r>
      <w:proofErr w:type="spellStart"/>
      <w:r w:rsidRPr="007576F0">
        <w:rPr>
          <w:rFonts w:ascii="標楷體" w:eastAsia="標楷體" w:hAnsi="標楷體" w:hint="eastAsia"/>
          <w:kern w:val="2"/>
          <w:szCs w:val="24"/>
        </w:rPr>
        <w:t>glofitamab</w:t>
      </w:r>
      <w:proofErr w:type="spellEnd"/>
      <w:r w:rsidRPr="007576F0">
        <w:rPr>
          <w:rFonts w:ascii="標楷體" w:eastAsia="標楷體" w:hAnsi="標楷體" w:hint="eastAsia"/>
          <w:kern w:val="2"/>
          <w:szCs w:val="24"/>
        </w:rPr>
        <w:t>、</w:t>
      </w:r>
      <w:proofErr w:type="spellStart"/>
      <w:r w:rsidRPr="007576F0">
        <w:rPr>
          <w:rFonts w:ascii="標楷體" w:eastAsia="標楷體" w:hAnsi="標楷體" w:hint="eastAsia"/>
          <w:kern w:val="2"/>
          <w:szCs w:val="24"/>
        </w:rPr>
        <w:t>polatuzumab</w:t>
      </w:r>
      <w:proofErr w:type="spellEnd"/>
      <w:r w:rsidRPr="007576F0">
        <w:rPr>
          <w:rFonts w:ascii="標楷體" w:eastAsia="標楷體" w:hAnsi="標楷體" w:hint="eastAsia"/>
          <w:kern w:val="2"/>
          <w:szCs w:val="24"/>
        </w:rPr>
        <w:t xml:space="preserve"> </w:t>
      </w:r>
      <w:proofErr w:type="spellStart"/>
      <w:r w:rsidRPr="007576F0">
        <w:rPr>
          <w:rFonts w:ascii="標楷體" w:eastAsia="標楷體" w:hAnsi="標楷體" w:hint="eastAsia"/>
          <w:kern w:val="2"/>
          <w:szCs w:val="24"/>
        </w:rPr>
        <w:t>vedotin</w:t>
      </w:r>
      <w:proofErr w:type="spellEnd"/>
      <w:r w:rsidRPr="007576F0">
        <w:rPr>
          <w:rFonts w:ascii="標楷體" w:eastAsia="標楷體" w:hAnsi="標楷體" w:hint="eastAsia"/>
          <w:kern w:val="2"/>
          <w:szCs w:val="24"/>
        </w:rPr>
        <w:t>，三者僅得擇</w:t>
      </w:r>
      <w:proofErr w:type="gramStart"/>
      <w:r w:rsidRPr="007576F0">
        <w:rPr>
          <w:rFonts w:ascii="標楷體" w:eastAsia="標楷體" w:hAnsi="標楷體" w:hint="eastAsia"/>
          <w:kern w:val="2"/>
          <w:szCs w:val="24"/>
        </w:rPr>
        <w:t>一</w:t>
      </w:r>
      <w:proofErr w:type="gramEnd"/>
      <w:r w:rsidRPr="007576F0">
        <w:rPr>
          <w:rFonts w:ascii="標楷體" w:eastAsia="標楷體" w:hAnsi="標楷體" w:hint="eastAsia"/>
          <w:kern w:val="2"/>
          <w:szCs w:val="24"/>
        </w:rPr>
        <w:t>給付，治療失敗後不得互換。</w:t>
      </w:r>
    </w:p>
    <w:p w14:paraId="0A4C0B11"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szCs w:val="24"/>
        </w:rPr>
        <w:t>9.</w:t>
      </w:r>
      <w:r w:rsidRPr="007576F0">
        <w:rPr>
          <w:rFonts w:ascii="標楷體" w:eastAsia="標楷體" w:hAnsi="標楷體" w:hint="eastAsia"/>
          <w:szCs w:val="24"/>
        </w:rPr>
        <w:t>122</w:t>
      </w:r>
      <w:r w:rsidRPr="007576F0">
        <w:rPr>
          <w:rFonts w:ascii="標楷體" w:eastAsia="標楷體" w:hAnsi="標楷體"/>
          <w:szCs w:val="24"/>
        </w:rPr>
        <w:t>.</w:t>
      </w:r>
      <w:r w:rsidRPr="007576F0">
        <w:rPr>
          <w:rFonts w:ascii="標楷體" w:eastAsia="標楷體" w:hAnsi="標楷體" w:hint="eastAsia"/>
          <w:kern w:val="2"/>
          <w:szCs w:val="24"/>
        </w:rPr>
        <w:t>As</w:t>
      </w:r>
      <w:r w:rsidRPr="007576F0">
        <w:rPr>
          <w:rFonts w:ascii="標楷體" w:eastAsia="標楷體" w:hAnsi="標楷體"/>
          <w:kern w:val="2"/>
          <w:szCs w:val="24"/>
        </w:rPr>
        <w:t>ciminib</w:t>
      </w:r>
      <w:r w:rsidRPr="007576F0">
        <w:rPr>
          <w:rFonts w:ascii="標楷體" w:eastAsia="標楷體" w:hAnsi="標楷體"/>
          <w:szCs w:val="24"/>
        </w:rPr>
        <w:t xml:space="preserve"> (如</w:t>
      </w:r>
      <w:proofErr w:type="spellStart"/>
      <w:r w:rsidRPr="007576F0">
        <w:rPr>
          <w:rFonts w:ascii="標楷體" w:eastAsia="標楷體" w:hAnsi="標楷體"/>
          <w:szCs w:val="24"/>
        </w:rPr>
        <w:t>Scemblix</w:t>
      </w:r>
      <w:proofErr w:type="spellEnd"/>
      <w:r w:rsidRPr="007576F0">
        <w:rPr>
          <w:rFonts w:ascii="標楷體" w:eastAsia="標楷體" w:hAnsi="標楷體"/>
          <w:szCs w:val="24"/>
        </w:rPr>
        <w:t>)：(</w:t>
      </w:r>
      <w:r w:rsidRPr="007576F0">
        <w:rPr>
          <w:rFonts w:ascii="標楷體" w:eastAsia="標楷體" w:hAnsi="標楷體" w:hint="eastAsia"/>
          <w:szCs w:val="24"/>
        </w:rPr>
        <w:t>114</w:t>
      </w:r>
      <w:r w:rsidRPr="007576F0">
        <w:rPr>
          <w:rFonts w:ascii="標楷體" w:eastAsia="標楷體" w:hAnsi="標楷體"/>
          <w:szCs w:val="24"/>
        </w:rPr>
        <w:t>/</w:t>
      </w:r>
      <w:r w:rsidRPr="007576F0">
        <w:rPr>
          <w:rFonts w:ascii="標楷體" w:eastAsia="標楷體" w:hAnsi="標楷體" w:hint="eastAsia"/>
          <w:szCs w:val="24"/>
        </w:rPr>
        <w:t>9</w:t>
      </w:r>
      <w:r w:rsidRPr="007576F0">
        <w:rPr>
          <w:rFonts w:ascii="標楷體" w:eastAsia="標楷體" w:hAnsi="標楷體"/>
          <w:szCs w:val="24"/>
        </w:rPr>
        <w:t>/1)</w:t>
      </w:r>
    </w:p>
    <w:p w14:paraId="22514EFD"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szCs w:val="24"/>
        </w:rPr>
        <w:t>1.</w:t>
      </w:r>
      <w:r w:rsidRPr="007576F0">
        <w:rPr>
          <w:rFonts w:ascii="標楷體" w:eastAsia="標楷體" w:hAnsi="標楷體" w:hint="eastAsia"/>
          <w:szCs w:val="24"/>
        </w:rPr>
        <w:t>限用於治療先前曾接受</w:t>
      </w:r>
      <w:r w:rsidRPr="007576F0">
        <w:rPr>
          <w:rFonts w:ascii="標楷體" w:eastAsia="標楷體" w:hAnsi="標楷體" w:hint="eastAsia"/>
          <w:kern w:val="2"/>
          <w:szCs w:val="24"/>
        </w:rPr>
        <w:t>2種以上的酪胺</w:t>
      </w:r>
      <w:proofErr w:type="gramStart"/>
      <w:r w:rsidRPr="007576F0">
        <w:rPr>
          <w:rFonts w:ascii="標楷體" w:eastAsia="標楷體" w:hAnsi="標楷體" w:hint="eastAsia"/>
          <w:kern w:val="2"/>
          <w:szCs w:val="24"/>
        </w:rPr>
        <w:t>酸激酶</w:t>
      </w:r>
      <w:proofErr w:type="gramEnd"/>
      <w:r w:rsidRPr="007576F0">
        <w:rPr>
          <w:rFonts w:ascii="標楷體" w:eastAsia="標楷體" w:hAnsi="標楷體" w:hint="eastAsia"/>
          <w:kern w:val="2"/>
          <w:szCs w:val="24"/>
        </w:rPr>
        <w:t>抑制劑治療，且發生耐受性不良或治療無效的慢性期費城染色體陽性之慢性骨髓性白血病</w:t>
      </w:r>
      <w:r w:rsidRPr="007576F0">
        <w:rPr>
          <w:rFonts w:ascii="標楷體" w:eastAsia="標楷體" w:hAnsi="標楷體"/>
          <w:kern w:val="2"/>
          <w:szCs w:val="24"/>
        </w:rPr>
        <w:t>(Ph+</w:t>
      </w:r>
      <w:r w:rsidRPr="007576F0">
        <w:rPr>
          <w:rFonts w:ascii="標楷體" w:eastAsia="標楷體" w:hAnsi="標楷體" w:hint="eastAsia"/>
          <w:kern w:val="2"/>
          <w:szCs w:val="24"/>
        </w:rPr>
        <w:t xml:space="preserve"> </w:t>
      </w:r>
      <w:r w:rsidRPr="007576F0">
        <w:rPr>
          <w:rFonts w:ascii="標楷體" w:eastAsia="標楷體" w:hAnsi="標楷體"/>
          <w:kern w:val="2"/>
          <w:szCs w:val="24"/>
        </w:rPr>
        <w:t>CML-</w:t>
      </w:r>
      <w:r w:rsidRPr="007576F0">
        <w:rPr>
          <w:rFonts w:ascii="標楷體" w:eastAsia="標楷體" w:hAnsi="標楷體" w:hint="eastAsia"/>
          <w:kern w:val="2"/>
          <w:szCs w:val="24"/>
        </w:rPr>
        <w:t>c</w:t>
      </w:r>
      <w:r w:rsidRPr="007576F0">
        <w:rPr>
          <w:rFonts w:ascii="標楷體" w:eastAsia="標楷體" w:hAnsi="標楷體"/>
          <w:kern w:val="2"/>
          <w:szCs w:val="24"/>
        </w:rPr>
        <w:t>hronic phase)</w:t>
      </w:r>
      <w:r w:rsidRPr="007576F0">
        <w:rPr>
          <w:rFonts w:ascii="標楷體" w:eastAsia="標楷體" w:hAnsi="標楷體" w:hint="eastAsia"/>
          <w:kern w:val="2"/>
          <w:szCs w:val="24"/>
        </w:rPr>
        <w:t>成年病人。</w:t>
      </w:r>
    </w:p>
    <w:p w14:paraId="24500226"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hint="eastAsia"/>
          <w:kern w:val="2"/>
          <w:szCs w:val="24"/>
        </w:rPr>
        <w:t>2.不能為具有T315I或V299L突變之BCR-ABL融合基因的疾病。</w:t>
      </w:r>
    </w:p>
    <w:p w14:paraId="2C6F3529"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3.</w:t>
      </w:r>
      <w:r w:rsidRPr="007576F0">
        <w:rPr>
          <w:rFonts w:ascii="標楷體" w:eastAsia="標楷體" w:hAnsi="標楷體" w:hint="eastAsia"/>
          <w:kern w:val="2"/>
          <w:szCs w:val="24"/>
        </w:rPr>
        <w:t>使用後無法耐受藥物副作用或發生疾病進展，須停止使用。</w:t>
      </w:r>
    </w:p>
    <w:p w14:paraId="41573911"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4.</w:t>
      </w:r>
      <w:r w:rsidRPr="007576F0">
        <w:rPr>
          <w:rFonts w:ascii="標楷體" w:eastAsia="標楷體" w:hAnsi="標楷體" w:hint="eastAsia"/>
          <w:kern w:val="2"/>
          <w:szCs w:val="24"/>
        </w:rPr>
        <w:t>1~</w:t>
      </w:r>
      <w:r w:rsidRPr="007576F0">
        <w:rPr>
          <w:rFonts w:ascii="標楷體" w:eastAsia="標楷體" w:hAnsi="標楷體"/>
          <w:kern w:val="2"/>
          <w:szCs w:val="24"/>
        </w:rPr>
        <w:t>2</w:t>
      </w:r>
      <w:r w:rsidRPr="007576F0">
        <w:rPr>
          <w:rFonts w:ascii="標楷體" w:eastAsia="標楷體" w:hAnsi="標楷體" w:hint="eastAsia"/>
          <w:kern w:val="2"/>
          <w:szCs w:val="24"/>
        </w:rPr>
        <w:t>項規定之疾病診斷或追蹤若為依據基因檢測報告，需符合全民健康保險藥品給付規定之通則十二。</w:t>
      </w:r>
    </w:p>
    <w:p w14:paraId="4A350C7A" w14:textId="77777777" w:rsidR="007576F0" w:rsidRPr="007576F0" w:rsidRDefault="007576F0" w:rsidP="007576F0">
      <w:pPr>
        <w:spacing w:line="300" w:lineRule="exact"/>
        <w:ind w:left="610" w:hanging="245"/>
        <w:rPr>
          <w:rFonts w:ascii="標楷體" w:eastAsia="標楷體" w:hAnsi="標楷體"/>
          <w:color w:val="000000"/>
          <w:szCs w:val="24"/>
        </w:rPr>
      </w:pPr>
      <w:r w:rsidRPr="007576F0">
        <w:rPr>
          <w:rFonts w:ascii="標楷體" w:eastAsia="標楷體" w:hAnsi="標楷體"/>
          <w:color w:val="000000"/>
          <w:szCs w:val="24"/>
        </w:rPr>
        <w:t>9.123.</w:t>
      </w:r>
      <w:r w:rsidRPr="007576F0">
        <w:rPr>
          <w:rFonts w:ascii="標楷體" w:eastAsia="標楷體" w:hAnsi="標楷體"/>
          <w:kern w:val="2"/>
          <w:szCs w:val="24"/>
        </w:rPr>
        <w:t>Ripretinib</w:t>
      </w:r>
      <w:r w:rsidRPr="007576F0">
        <w:rPr>
          <w:rFonts w:ascii="標楷體" w:eastAsia="標楷體" w:hAnsi="標楷體"/>
          <w:color w:val="000000"/>
          <w:szCs w:val="24"/>
        </w:rPr>
        <w:t>(如</w:t>
      </w:r>
      <w:proofErr w:type="spellStart"/>
      <w:r w:rsidRPr="007576F0">
        <w:rPr>
          <w:rFonts w:ascii="標楷體" w:eastAsia="標楷體" w:hAnsi="標楷體"/>
          <w:color w:val="000000"/>
          <w:szCs w:val="24"/>
        </w:rPr>
        <w:t>Qinlock</w:t>
      </w:r>
      <w:proofErr w:type="spellEnd"/>
      <w:proofErr w:type="gramStart"/>
      <w:r w:rsidRPr="007576F0">
        <w:rPr>
          <w:rFonts w:ascii="標楷體" w:eastAsia="標楷體" w:hAnsi="標楷體"/>
          <w:color w:val="000000"/>
          <w:szCs w:val="24"/>
        </w:rPr>
        <w:t>）</w:t>
      </w:r>
      <w:proofErr w:type="gramEnd"/>
      <w:r w:rsidRPr="007576F0">
        <w:rPr>
          <w:rFonts w:ascii="標楷體" w:eastAsia="標楷體" w:hAnsi="標楷體"/>
          <w:color w:val="000000"/>
          <w:szCs w:val="24"/>
        </w:rPr>
        <w:t>：(114/9/1)</w:t>
      </w:r>
    </w:p>
    <w:p w14:paraId="702C9336"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color w:val="000000"/>
          <w:szCs w:val="24"/>
        </w:rPr>
        <w:t>1.適用於治</w:t>
      </w:r>
      <w:r w:rsidRPr="007576F0">
        <w:rPr>
          <w:rFonts w:ascii="標楷體" w:eastAsia="標楷體" w:hAnsi="標楷體"/>
          <w:kern w:val="2"/>
          <w:szCs w:val="24"/>
        </w:rPr>
        <w:t>療已接受3種或</w:t>
      </w:r>
      <w:proofErr w:type="gramStart"/>
      <w:r w:rsidRPr="007576F0">
        <w:rPr>
          <w:rFonts w:ascii="標楷體" w:eastAsia="標楷體" w:hAnsi="標楷體"/>
          <w:kern w:val="2"/>
          <w:szCs w:val="24"/>
        </w:rPr>
        <w:t>以上激酶</w:t>
      </w:r>
      <w:proofErr w:type="gramEnd"/>
      <w:r w:rsidRPr="007576F0">
        <w:rPr>
          <w:rFonts w:ascii="標楷體" w:eastAsia="標楷體" w:hAnsi="標楷體"/>
          <w:kern w:val="2"/>
          <w:szCs w:val="24"/>
        </w:rPr>
        <w:t>抑制劑(包括imatinib)治療的晚期胃腸道基質瘤(GIST)成人病人。</w:t>
      </w:r>
    </w:p>
    <w:p w14:paraId="79187839" w14:textId="77777777" w:rsidR="007576F0" w:rsidRPr="007576F0" w:rsidRDefault="007576F0" w:rsidP="007576F0">
      <w:pPr>
        <w:spacing w:line="300" w:lineRule="exact"/>
        <w:ind w:left="993" w:hanging="284"/>
        <w:rPr>
          <w:rFonts w:ascii="標楷體" w:eastAsia="標楷體" w:hAnsi="標楷體"/>
          <w:kern w:val="2"/>
          <w:szCs w:val="24"/>
        </w:rPr>
      </w:pPr>
      <w:r w:rsidRPr="007576F0">
        <w:rPr>
          <w:rFonts w:ascii="標楷體" w:eastAsia="標楷體" w:hAnsi="標楷體"/>
          <w:kern w:val="2"/>
          <w:szCs w:val="24"/>
        </w:rPr>
        <w:t>2.需經事前審查核准後使用，每次申請之療程以3個月為限，送審時需檢送影像資料，每3個月評估一次。治療期間出現疾病惡化，則不可繼續使用。</w:t>
      </w:r>
    </w:p>
    <w:p w14:paraId="3AC91B6B" w14:textId="77777777" w:rsidR="007576F0" w:rsidRPr="007576F0" w:rsidRDefault="007576F0" w:rsidP="007576F0">
      <w:pPr>
        <w:spacing w:line="300" w:lineRule="exact"/>
        <w:ind w:left="993" w:hanging="284"/>
        <w:rPr>
          <w:szCs w:val="24"/>
        </w:rPr>
      </w:pPr>
      <w:r w:rsidRPr="007576F0">
        <w:rPr>
          <w:rFonts w:ascii="標楷體" w:eastAsia="標楷體" w:hAnsi="標楷體"/>
          <w:kern w:val="2"/>
          <w:szCs w:val="24"/>
        </w:rPr>
        <w:t>3.本藥品不得</w:t>
      </w:r>
      <w:r w:rsidRPr="007576F0">
        <w:rPr>
          <w:rFonts w:ascii="標楷體" w:eastAsia="標楷體" w:hAnsi="標楷體"/>
          <w:kern w:val="0"/>
          <w:szCs w:val="24"/>
        </w:rPr>
        <w:t>合併其他藥品，每日至多處方3粒。</w:t>
      </w:r>
    </w:p>
    <w:p w14:paraId="502DA353" w14:textId="77777777" w:rsidR="007576F0" w:rsidRPr="007576F0" w:rsidRDefault="007576F0" w:rsidP="007576F0">
      <w:pPr>
        <w:spacing w:line="300" w:lineRule="exact"/>
        <w:ind w:left="610" w:hanging="245"/>
        <w:rPr>
          <w:rFonts w:ascii="標楷體" w:eastAsia="標楷體" w:hAnsi="標楷體"/>
          <w:szCs w:val="24"/>
        </w:rPr>
      </w:pPr>
      <w:bookmarkStart w:id="77" w:name="_Hlk209193042"/>
      <w:r w:rsidRPr="007576F0">
        <w:rPr>
          <w:rFonts w:ascii="標楷體" w:eastAsia="標楷體" w:hAnsi="標楷體"/>
          <w:szCs w:val="24"/>
        </w:rPr>
        <w:t>9.124.</w:t>
      </w:r>
      <w:r w:rsidRPr="007576F0">
        <w:rPr>
          <w:rFonts w:ascii="標楷體" w:eastAsia="標楷體" w:hAnsi="標楷體"/>
          <w:kern w:val="2"/>
          <w:szCs w:val="24"/>
        </w:rPr>
        <w:t>Tafasitamab</w:t>
      </w:r>
      <w:r w:rsidRPr="007576F0">
        <w:rPr>
          <w:rFonts w:ascii="標楷體" w:eastAsia="標楷體" w:hAnsi="標楷體"/>
          <w:szCs w:val="24"/>
        </w:rPr>
        <w:t>（如</w:t>
      </w:r>
      <w:proofErr w:type="spellStart"/>
      <w:r w:rsidRPr="007576F0">
        <w:rPr>
          <w:rFonts w:ascii="標楷體" w:eastAsia="標楷體" w:hAnsi="標楷體"/>
          <w:szCs w:val="24"/>
        </w:rPr>
        <w:t>Minjuvi</w:t>
      </w:r>
      <w:proofErr w:type="spellEnd"/>
      <w:r w:rsidRPr="007576F0">
        <w:rPr>
          <w:rFonts w:ascii="標楷體" w:eastAsia="標楷體" w:hAnsi="標楷體"/>
          <w:szCs w:val="24"/>
        </w:rPr>
        <w:t>）：（114/10/1、115/3/1、115/4/1）</w:t>
      </w:r>
    </w:p>
    <w:p w14:paraId="01DF7DA0"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1.限與l</w:t>
      </w:r>
      <w:r w:rsidRPr="007576F0">
        <w:rPr>
          <w:rFonts w:ascii="標楷體" w:eastAsia="標楷體" w:hAnsi="標楷體"/>
          <w:kern w:val="2"/>
          <w:szCs w:val="24"/>
        </w:rPr>
        <w:t>enalidomide(限使用</w:t>
      </w:r>
      <w:proofErr w:type="spellStart"/>
      <w:r w:rsidRPr="007576F0">
        <w:rPr>
          <w:rFonts w:ascii="標楷體" w:eastAsia="標楷體" w:hAnsi="標楷體"/>
          <w:kern w:val="2"/>
          <w:szCs w:val="24"/>
        </w:rPr>
        <w:t>Leavdo</w:t>
      </w:r>
      <w:proofErr w:type="spellEnd"/>
      <w:r w:rsidRPr="007576F0">
        <w:rPr>
          <w:rFonts w:ascii="標楷體" w:eastAsia="標楷體" w:hAnsi="標楷體"/>
          <w:kern w:val="2"/>
          <w:szCs w:val="24"/>
        </w:rPr>
        <w:t>、</w:t>
      </w:r>
      <w:proofErr w:type="spellStart"/>
      <w:r w:rsidRPr="007576F0">
        <w:rPr>
          <w:rFonts w:ascii="標楷體" w:eastAsia="標楷體" w:hAnsi="標楷體"/>
          <w:kern w:val="2"/>
          <w:szCs w:val="24"/>
        </w:rPr>
        <w:t>Lelimide</w:t>
      </w:r>
      <w:proofErr w:type="spellEnd"/>
      <w:r w:rsidRPr="007576F0">
        <w:rPr>
          <w:rFonts w:ascii="標楷體" w:eastAsia="標楷體" w:hAnsi="標楷體"/>
          <w:kern w:val="2"/>
          <w:szCs w:val="24"/>
        </w:rPr>
        <w:t>及Revlimid)</w:t>
      </w:r>
      <w:proofErr w:type="gramStart"/>
      <w:r w:rsidRPr="007576F0">
        <w:rPr>
          <w:rFonts w:ascii="標楷體" w:eastAsia="標楷體" w:hAnsi="標楷體"/>
          <w:kern w:val="2"/>
          <w:szCs w:val="24"/>
        </w:rPr>
        <w:t>併</w:t>
      </w:r>
      <w:proofErr w:type="gramEnd"/>
      <w:r w:rsidRPr="007576F0">
        <w:rPr>
          <w:rFonts w:ascii="標楷體" w:eastAsia="標楷體" w:hAnsi="標楷體"/>
          <w:kern w:val="2"/>
          <w:szCs w:val="24"/>
        </w:rPr>
        <w:t>用，適用於經一線全身治療含rituximab治療復發型，不適合接受造血幹細胞移植瀰漫性大型B細胞淋巴瘤(DLBCL)成</w:t>
      </w:r>
      <w:r w:rsidRPr="007576F0">
        <w:rPr>
          <w:rFonts w:ascii="標楷體" w:eastAsia="標楷體" w:hAnsi="標楷體"/>
          <w:szCs w:val="24"/>
        </w:rPr>
        <w:t>人病人，且須完全符合以下條件（114/10/1、115/3/1、115/4/1）：</w:t>
      </w:r>
    </w:p>
    <w:p w14:paraId="75E307C3"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szCs w:val="24"/>
        </w:rPr>
        <w:t>(1)</w:t>
      </w:r>
      <w:r w:rsidRPr="007576F0">
        <w:rPr>
          <w:rFonts w:ascii="標楷體" w:eastAsia="標楷體" w:hAnsi="標楷體"/>
          <w:color w:val="000000"/>
        </w:rPr>
        <w:t>具CD19抗原陽性。</w:t>
      </w:r>
    </w:p>
    <w:p w14:paraId="21ADBD3A"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color w:val="000000"/>
        </w:rPr>
        <w:t>(2)一線曾接受rituximab合併化學治療(包含CD20)，及含有anthracycline類藥物的治療，治療四個療程以上並於12個月內復發者。</w:t>
      </w:r>
    </w:p>
    <w:p w14:paraId="21412E84"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color w:val="000000"/>
        </w:rPr>
        <w:t>(3)ECOG為0或1。</w:t>
      </w:r>
    </w:p>
    <w:p w14:paraId="5CA24CA0" w14:textId="77777777" w:rsidR="007576F0" w:rsidRPr="007576F0" w:rsidRDefault="007576F0" w:rsidP="007576F0">
      <w:pPr>
        <w:spacing w:line="300" w:lineRule="exact"/>
        <w:ind w:left="1276" w:hanging="386"/>
        <w:rPr>
          <w:rFonts w:ascii="標楷體" w:eastAsia="標楷體" w:hAnsi="標楷體"/>
          <w:szCs w:val="24"/>
        </w:rPr>
      </w:pPr>
      <w:r w:rsidRPr="007576F0">
        <w:rPr>
          <w:rFonts w:ascii="標楷體" w:eastAsia="標楷體" w:hAnsi="標楷體"/>
          <w:color w:val="000000"/>
        </w:rPr>
        <w:t>(4)病人不得有以</w:t>
      </w:r>
      <w:r w:rsidRPr="007576F0">
        <w:rPr>
          <w:rFonts w:ascii="標楷體" w:eastAsia="標楷體" w:hAnsi="標楷體"/>
          <w:szCs w:val="24"/>
        </w:rPr>
        <w:t>下任</w:t>
      </w:r>
      <w:proofErr w:type="gramStart"/>
      <w:r w:rsidRPr="007576F0">
        <w:rPr>
          <w:rFonts w:ascii="標楷體" w:eastAsia="標楷體" w:hAnsi="標楷體"/>
          <w:szCs w:val="24"/>
        </w:rPr>
        <w:t>一</w:t>
      </w:r>
      <w:proofErr w:type="gramEnd"/>
      <w:r w:rsidRPr="007576F0">
        <w:rPr>
          <w:rFonts w:ascii="標楷體" w:eastAsia="標楷體" w:hAnsi="標楷體"/>
          <w:szCs w:val="24"/>
        </w:rPr>
        <w:t>疾病:</w:t>
      </w:r>
    </w:p>
    <w:p w14:paraId="59628BB0" w14:textId="77777777" w:rsidR="007576F0" w:rsidRPr="007576F0" w:rsidRDefault="007576F0" w:rsidP="007576F0">
      <w:pPr>
        <w:spacing w:line="300" w:lineRule="exact"/>
        <w:ind w:leftChars="421" w:left="1132" w:hangingChars="51" w:hanging="122"/>
        <w:rPr>
          <w:rFonts w:ascii="標楷體" w:eastAsia="標楷體" w:hAnsi="標楷體"/>
          <w:kern w:val="2"/>
          <w:szCs w:val="24"/>
        </w:rPr>
      </w:pPr>
      <w:r w:rsidRPr="007576F0">
        <w:rPr>
          <w:rFonts w:ascii="標楷體" w:eastAsia="標楷體" w:hAnsi="標楷體"/>
          <w:szCs w:val="24"/>
        </w:rPr>
        <w:t>Ⅰ.中樞</w:t>
      </w:r>
      <w:r w:rsidRPr="007576F0">
        <w:rPr>
          <w:rFonts w:ascii="標楷體" w:eastAsia="標楷體" w:hAnsi="標楷體"/>
          <w:kern w:val="2"/>
          <w:szCs w:val="24"/>
        </w:rPr>
        <w:t>神經系統淋巴瘤或中樞神經疾病。</w:t>
      </w:r>
    </w:p>
    <w:p w14:paraId="3495B88E" w14:textId="77777777" w:rsidR="007576F0" w:rsidRPr="007576F0" w:rsidRDefault="007576F0" w:rsidP="007576F0">
      <w:pPr>
        <w:spacing w:line="300" w:lineRule="exact"/>
        <w:ind w:leftChars="421" w:left="1132" w:hangingChars="51" w:hanging="122"/>
        <w:rPr>
          <w:rFonts w:ascii="標楷體" w:eastAsia="標楷體" w:hAnsi="標楷體"/>
          <w:kern w:val="2"/>
          <w:szCs w:val="24"/>
        </w:rPr>
      </w:pPr>
      <w:r w:rsidRPr="007576F0">
        <w:rPr>
          <w:rFonts w:ascii="標楷體" w:eastAsia="標楷體" w:hAnsi="標楷體"/>
          <w:kern w:val="2"/>
          <w:szCs w:val="24"/>
        </w:rPr>
        <w:t>Ⅱ.嚴重的心血管疾病，如NYHA (New York Heart Association) Class Ⅲ或Ⅳ。</w:t>
      </w:r>
    </w:p>
    <w:p w14:paraId="6ED5DC5A" w14:textId="77777777" w:rsidR="007576F0" w:rsidRPr="007576F0" w:rsidRDefault="007576F0" w:rsidP="007576F0">
      <w:pPr>
        <w:spacing w:line="300" w:lineRule="exact"/>
        <w:ind w:leftChars="421" w:left="1132" w:hangingChars="51" w:hanging="122"/>
        <w:rPr>
          <w:rFonts w:ascii="標楷體" w:eastAsia="標楷體" w:hAnsi="標楷體"/>
          <w:szCs w:val="24"/>
        </w:rPr>
      </w:pPr>
      <w:r w:rsidRPr="007576F0">
        <w:rPr>
          <w:rFonts w:ascii="標楷體" w:eastAsia="標楷體" w:hAnsi="標楷體"/>
          <w:kern w:val="2"/>
          <w:szCs w:val="24"/>
        </w:rPr>
        <w:t>Ⅲ.自體免</w:t>
      </w:r>
      <w:r w:rsidRPr="007576F0">
        <w:rPr>
          <w:rFonts w:ascii="標楷體" w:eastAsia="標楷體" w:hAnsi="標楷體"/>
          <w:szCs w:val="24"/>
        </w:rPr>
        <w:t>疫疾病正積極治療者。</w:t>
      </w:r>
    </w:p>
    <w:p w14:paraId="1D734E73"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2.須經事前審查核准以使用，每次申請事前審查以3個療程為限，首次再申請須檢附達到CR或PR的證明方可續用；其後續申請須證明疾病無惡化方可續用。若病情惡化即須停用。</w:t>
      </w:r>
    </w:p>
    <w:p w14:paraId="6B955F07"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3.總療程以12個療程為上限；每位病人一生限用一次 (12個療程)，不得重複申請。</w:t>
      </w:r>
    </w:p>
    <w:p w14:paraId="5C6B73CC"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4.執行醫師須為血液</w:t>
      </w:r>
      <w:proofErr w:type="gramStart"/>
      <w:r w:rsidRPr="007576F0">
        <w:rPr>
          <w:rFonts w:ascii="標楷體" w:eastAsia="標楷體" w:hAnsi="標楷體"/>
          <w:szCs w:val="24"/>
        </w:rPr>
        <w:t>病或造血</w:t>
      </w:r>
      <w:proofErr w:type="gramEnd"/>
      <w:r w:rsidRPr="007576F0">
        <w:rPr>
          <w:rFonts w:ascii="標楷體" w:eastAsia="標楷體" w:hAnsi="標楷體"/>
          <w:szCs w:val="24"/>
        </w:rPr>
        <w:t>幹細胞移植專科醫師且須完成血液</w:t>
      </w:r>
      <w:proofErr w:type="gramStart"/>
      <w:r w:rsidRPr="007576F0">
        <w:rPr>
          <w:rFonts w:ascii="標楷體" w:eastAsia="標楷體" w:hAnsi="標楷體"/>
          <w:szCs w:val="24"/>
        </w:rPr>
        <w:t>病或造血</w:t>
      </w:r>
      <w:proofErr w:type="gramEnd"/>
      <w:r w:rsidRPr="007576F0">
        <w:rPr>
          <w:rFonts w:ascii="標楷體" w:eastAsia="標楷體" w:hAnsi="標楷體"/>
          <w:szCs w:val="24"/>
        </w:rPr>
        <w:t>幹細胞移植的相關照護訓練。</w:t>
      </w:r>
    </w:p>
    <w:p w14:paraId="21463473"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5.病人接受本藥物治療後，</w:t>
      </w:r>
      <w:proofErr w:type="gramStart"/>
      <w:r w:rsidRPr="007576F0">
        <w:rPr>
          <w:rFonts w:ascii="標楷體" w:eastAsia="標楷體" w:hAnsi="標楷體"/>
          <w:szCs w:val="24"/>
        </w:rPr>
        <w:t>不</w:t>
      </w:r>
      <w:proofErr w:type="gramEnd"/>
      <w:r w:rsidRPr="007576F0">
        <w:rPr>
          <w:rFonts w:ascii="標楷體" w:eastAsia="標楷體" w:hAnsi="標楷體"/>
          <w:szCs w:val="24"/>
        </w:rPr>
        <w:t>給付造血幹細胞移植。</w:t>
      </w:r>
    </w:p>
    <w:p w14:paraId="1D56E35D"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hint="eastAsia"/>
          <w:color w:val="000000"/>
        </w:rPr>
        <w:t>9.125.</w:t>
      </w:r>
      <w:r w:rsidRPr="007576F0">
        <w:rPr>
          <w:rFonts w:ascii="標楷體" w:eastAsia="標楷體" w:hAnsi="標楷體" w:hint="eastAsia"/>
          <w:kern w:val="2"/>
          <w:szCs w:val="24"/>
        </w:rPr>
        <w:t>Quizartinib</w:t>
      </w:r>
      <w:r w:rsidRPr="007576F0">
        <w:rPr>
          <w:rFonts w:ascii="標楷體" w:eastAsia="標楷體" w:hAnsi="標楷體" w:hint="eastAsia"/>
          <w:color w:val="000000"/>
        </w:rPr>
        <w:t>（如</w:t>
      </w:r>
      <w:proofErr w:type="spellStart"/>
      <w:r w:rsidRPr="007576F0">
        <w:rPr>
          <w:rFonts w:ascii="標楷體" w:eastAsia="標楷體" w:hAnsi="標楷體" w:hint="eastAsia"/>
          <w:color w:val="000000"/>
        </w:rPr>
        <w:t>Vanflyta</w:t>
      </w:r>
      <w:proofErr w:type="spellEnd"/>
      <w:r w:rsidRPr="007576F0">
        <w:rPr>
          <w:rFonts w:ascii="標楷體" w:eastAsia="標楷體" w:hAnsi="標楷體" w:hint="eastAsia"/>
          <w:color w:val="000000"/>
        </w:rPr>
        <w:t>）：</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114/10/1)</w:t>
      </w:r>
    </w:p>
    <w:p w14:paraId="295D3A7B"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color w:val="000000"/>
        </w:rPr>
        <w:t>1.</w:t>
      </w:r>
      <w:r w:rsidRPr="007576F0">
        <w:rPr>
          <w:rFonts w:ascii="標楷體" w:eastAsia="標楷體" w:hAnsi="標楷體" w:hint="eastAsia"/>
          <w:color w:val="000000"/>
        </w:rPr>
        <w:tab/>
        <w:t>限</w:t>
      </w:r>
      <w:proofErr w:type="gramStart"/>
      <w:r w:rsidRPr="007576F0">
        <w:rPr>
          <w:rFonts w:ascii="標楷體" w:eastAsia="標楷體" w:hAnsi="標楷體" w:hint="eastAsia"/>
          <w:color w:val="000000"/>
        </w:rPr>
        <w:t>用於</w:t>
      </w:r>
      <w:r w:rsidRPr="007576F0">
        <w:rPr>
          <w:rFonts w:ascii="標楷體" w:eastAsia="標楷體" w:hAnsi="標楷體" w:hint="eastAsia"/>
          <w:szCs w:val="24"/>
        </w:rPr>
        <w:t>新確診</w:t>
      </w:r>
      <w:proofErr w:type="gramEnd"/>
      <w:r w:rsidRPr="007576F0">
        <w:rPr>
          <w:rFonts w:ascii="標楷體" w:eastAsia="標楷體" w:hAnsi="標楷體" w:hint="eastAsia"/>
          <w:szCs w:val="24"/>
        </w:rPr>
        <w:t>為FLT3-ITD 突變陽性的急性骨髓性白血病(AML)成人病人，於標準前導(cytarabine 和anthracycline)與鞏固性化療(cytarabine)時合併使用，及於維持治療時單獨使用。</w:t>
      </w:r>
    </w:p>
    <w:p w14:paraId="78995666"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lastRenderedPageBreak/>
        <w:t>2.</w:t>
      </w:r>
      <w:r w:rsidRPr="007576F0">
        <w:rPr>
          <w:rFonts w:ascii="標楷體" w:eastAsia="標楷體" w:hAnsi="標楷體" w:hint="eastAsia"/>
          <w:szCs w:val="24"/>
        </w:rPr>
        <w:tab/>
        <w:t>需排除急性前骨髓性細胞白血病（acute promyelocytic leukemia，APL）的病人。</w:t>
      </w:r>
    </w:p>
    <w:p w14:paraId="2D947F77" w14:textId="77777777" w:rsidR="007576F0" w:rsidRPr="007576F0" w:rsidRDefault="007576F0" w:rsidP="007576F0">
      <w:pPr>
        <w:spacing w:line="300" w:lineRule="exact"/>
        <w:ind w:left="993" w:hanging="284"/>
        <w:rPr>
          <w:rFonts w:ascii="標楷體" w:eastAsia="標楷體" w:hAnsi="標楷體"/>
          <w:color w:val="000000"/>
        </w:rPr>
      </w:pPr>
      <w:r w:rsidRPr="007576F0">
        <w:rPr>
          <w:rFonts w:ascii="標楷體" w:eastAsia="標楷體" w:hAnsi="標楷體" w:hint="eastAsia"/>
          <w:szCs w:val="24"/>
        </w:rPr>
        <w:t>3.</w:t>
      </w:r>
      <w:r w:rsidRPr="007576F0">
        <w:rPr>
          <w:rFonts w:ascii="標楷體" w:eastAsia="標楷體" w:hAnsi="標楷體" w:hint="eastAsia"/>
          <w:szCs w:val="24"/>
        </w:rPr>
        <w:tab/>
        <w:t>首次用於標準前導期，可免事前審查，且以2個療程為限。若在2個療程後仍未達</w:t>
      </w:r>
      <w:proofErr w:type="gramStart"/>
      <w:r w:rsidRPr="007576F0">
        <w:rPr>
          <w:rFonts w:ascii="標楷體" w:eastAsia="標楷體" w:hAnsi="標楷體" w:hint="eastAsia"/>
          <w:szCs w:val="24"/>
        </w:rPr>
        <w:t>完全緩</w:t>
      </w:r>
      <w:proofErr w:type="gramEnd"/>
      <w:r w:rsidRPr="007576F0">
        <w:rPr>
          <w:rFonts w:ascii="標楷體" w:eastAsia="標楷體" w:hAnsi="標楷體" w:hint="eastAsia"/>
          <w:szCs w:val="24"/>
        </w:rPr>
        <w:t>解，</w:t>
      </w:r>
      <w:r w:rsidRPr="007576F0">
        <w:rPr>
          <w:rFonts w:ascii="標楷體" w:eastAsia="標楷體" w:hAnsi="標楷體" w:hint="eastAsia"/>
          <w:color w:val="000000"/>
        </w:rPr>
        <w:t>則不得再使用。</w:t>
      </w:r>
    </w:p>
    <w:p w14:paraId="34EACE2D"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color w:val="000000"/>
        </w:rPr>
        <w:t>4.</w:t>
      </w:r>
      <w:r w:rsidRPr="007576F0">
        <w:rPr>
          <w:rFonts w:ascii="標楷體" w:eastAsia="標楷體" w:hAnsi="標楷體" w:hint="eastAsia"/>
          <w:color w:val="000000"/>
        </w:rPr>
        <w:tab/>
        <w:t>續用於</w:t>
      </w:r>
      <w:r w:rsidRPr="007576F0">
        <w:rPr>
          <w:rFonts w:ascii="標楷體" w:eastAsia="標楷體" w:hAnsi="標楷體" w:hint="eastAsia"/>
          <w:szCs w:val="24"/>
        </w:rPr>
        <w:t>鞏固治療時需經事前審查核准後使用，申請時須檢附FLT3 突變陽性檢測結果及日期、化學治療處方紀錄及療效評估，每次續用申請以2個療程為限，並需檢附前次治療結果評估資料證實無疾病進展，才可繼續使用。前導治療與鞏固治療每人以總共給付6個療程為上限。</w:t>
      </w:r>
    </w:p>
    <w:p w14:paraId="2EF454F0"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5.</w:t>
      </w:r>
      <w:r w:rsidRPr="007576F0">
        <w:rPr>
          <w:rFonts w:ascii="標楷體" w:eastAsia="標楷體" w:hAnsi="標楷體" w:hint="eastAsia"/>
          <w:szCs w:val="24"/>
        </w:rPr>
        <w:tab/>
        <w:t>維持治療僅限於無疾病進展且尚未接受造血幹細胞移植的病人，病人接受造血幹細胞移植後即需停用。續用維持治療須經審查核准後使用，初次申請為3個療程，並須檢附前次治療結果評估資料證實無疾病進展才可繼續使用，每3個療程需再次申請，可治療至疾病復發或無法耐受藥物毒性為止。維持治療每人以24個療程為上限。</w:t>
      </w:r>
    </w:p>
    <w:p w14:paraId="6E6B44B1"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6.</w:t>
      </w:r>
      <w:r w:rsidRPr="007576F0">
        <w:rPr>
          <w:rFonts w:ascii="標楷體" w:eastAsia="標楷體" w:hAnsi="標楷體" w:hint="eastAsia"/>
          <w:szCs w:val="24"/>
        </w:rPr>
        <w:tab/>
        <w:t>前導治療與鞏固治療限與</w:t>
      </w:r>
      <w:proofErr w:type="spellStart"/>
      <w:r w:rsidRPr="007576F0">
        <w:rPr>
          <w:rFonts w:ascii="標楷體" w:eastAsia="標楷體" w:hAnsi="標楷體" w:hint="eastAsia"/>
          <w:szCs w:val="24"/>
        </w:rPr>
        <w:t>midostaurin</w:t>
      </w:r>
      <w:proofErr w:type="spellEnd"/>
      <w:r w:rsidRPr="007576F0">
        <w:rPr>
          <w:rFonts w:ascii="標楷體" w:eastAsia="標楷體" w:hAnsi="標楷體" w:hint="eastAsia"/>
          <w:szCs w:val="24"/>
        </w:rPr>
        <w:t>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使用，</w:t>
      </w:r>
      <w:proofErr w:type="gramStart"/>
      <w:r w:rsidRPr="007576F0">
        <w:rPr>
          <w:rFonts w:ascii="標楷體" w:eastAsia="標楷體" w:hAnsi="標楷體" w:hint="eastAsia"/>
          <w:szCs w:val="24"/>
        </w:rPr>
        <w:t>除因耐受</w:t>
      </w:r>
      <w:proofErr w:type="gramEnd"/>
      <w:r w:rsidRPr="007576F0">
        <w:rPr>
          <w:rFonts w:ascii="標楷體" w:eastAsia="標楷體" w:hAnsi="標楷體" w:hint="eastAsia"/>
          <w:szCs w:val="24"/>
        </w:rPr>
        <w:t>性不良，不得互換。</w:t>
      </w:r>
    </w:p>
    <w:p w14:paraId="24371B69" w14:textId="77777777" w:rsidR="007576F0" w:rsidRPr="007576F0" w:rsidRDefault="007576F0" w:rsidP="007576F0">
      <w:pPr>
        <w:spacing w:line="300" w:lineRule="exact"/>
        <w:ind w:left="993" w:hanging="284"/>
        <w:rPr>
          <w:rFonts w:ascii="標楷體" w:eastAsia="標楷體" w:hAnsi="標楷體"/>
          <w:color w:val="000000"/>
        </w:rPr>
      </w:pPr>
      <w:r w:rsidRPr="007576F0">
        <w:rPr>
          <w:rFonts w:ascii="標楷體" w:eastAsia="標楷體" w:hAnsi="標楷體" w:hint="eastAsia"/>
          <w:szCs w:val="24"/>
        </w:rPr>
        <w:t>7.</w:t>
      </w:r>
      <w:r w:rsidRPr="007576F0">
        <w:rPr>
          <w:rFonts w:ascii="標楷體" w:eastAsia="標楷體" w:hAnsi="標楷體" w:hint="eastAsia"/>
          <w:szCs w:val="24"/>
        </w:rPr>
        <w:tab/>
        <w:t>維持治</w:t>
      </w:r>
      <w:r w:rsidRPr="007576F0">
        <w:rPr>
          <w:rFonts w:ascii="標楷體" w:eastAsia="標楷體" w:hAnsi="標楷體" w:hint="eastAsia"/>
          <w:color w:val="000000"/>
        </w:rPr>
        <w:t>療限與azacitidine擇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roofErr w:type="gramStart"/>
      <w:r w:rsidRPr="007576F0">
        <w:rPr>
          <w:rFonts w:ascii="標楷體" w:eastAsia="標楷體" w:hAnsi="標楷體" w:hint="eastAsia"/>
          <w:color w:val="000000"/>
        </w:rPr>
        <w:t>除因耐受</w:t>
      </w:r>
      <w:proofErr w:type="gramEnd"/>
      <w:r w:rsidRPr="007576F0">
        <w:rPr>
          <w:rFonts w:ascii="標楷體" w:eastAsia="標楷體" w:hAnsi="標楷體" w:hint="eastAsia"/>
          <w:color w:val="000000"/>
        </w:rPr>
        <w:t>性不良，不得互換。</w:t>
      </w:r>
    </w:p>
    <w:p w14:paraId="71234E34"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szCs w:val="24"/>
        </w:rPr>
        <w:t>9.</w:t>
      </w:r>
      <w:r w:rsidRPr="007576F0">
        <w:rPr>
          <w:rFonts w:ascii="標楷體" w:eastAsia="標楷體" w:hAnsi="標楷體" w:hint="eastAsia"/>
          <w:szCs w:val="24"/>
        </w:rPr>
        <w:t>126</w:t>
      </w:r>
      <w:r w:rsidRPr="007576F0">
        <w:rPr>
          <w:rFonts w:ascii="標楷體" w:eastAsia="標楷體" w:hAnsi="標楷體"/>
          <w:szCs w:val="24"/>
        </w:rPr>
        <w:t>.</w:t>
      </w:r>
      <w:r w:rsidRPr="007576F0">
        <w:rPr>
          <w:rFonts w:ascii="標楷體" w:eastAsia="標楷體" w:hAnsi="標楷體"/>
          <w:kern w:val="2"/>
          <w:szCs w:val="24"/>
        </w:rPr>
        <w:t>Amivantamab</w:t>
      </w:r>
      <w:r w:rsidRPr="007576F0">
        <w:rPr>
          <w:rFonts w:ascii="標楷體" w:eastAsia="標楷體" w:hAnsi="標楷體" w:hint="eastAsia"/>
          <w:szCs w:val="24"/>
        </w:rPr>
        <w:t>(</w:t>
      </w:r>
      <w:r w:rsidRPr="007576F0">
        <w:rPr>
          <w:rFonts w:ascii="標楷體" w:eastAsia="標楷體" w:hAnsi="標楷體"/>
          <w:szCs w:val="24"/>
        </w:rPr>
        <w:t>如</w:t>
      </w:r>
      <w:proofErr w:type="spellStart"/>
      <w:r w:rsidRPr="007576F0">
        <w:rPr>
          <w:rFonts w:ascii="標楷體" w:eastAsia="標楷體" w:hAnsi="標楷體"/>
          <w:szCs w:val="24"/>
        </w:rPr>
        <w:t>Rybrevant</w:t>
      </w:r>
      <w:proofErr w:type="spellEnd"/>
      <w:r w:rsidRPr="007576F0">
        <w:rPr>
          <w:rFonts w:ascii="標楷體" w:eastAsia="標楷體" w:hAnsi="標楷體"/>
          <w:szCs w:val="24"/>
        </w:rPr>
        <w:t>)</w:t>
      </w:r>
      <w:r w:rsidRPr="007576F0">
        <w:rPr>
          <w:rFonts w:ascii="標楷體" w:eastAsia="標楷體" w:hAnsi="標楷體" w:hint="eastAsia"/>
          <w:szCs w:val="24"/>
        </w:rPr>
        <w:t>：</w:t>
      </w:r>
      <w:r w:rsidRPr="007576F0">
        <w:rPr>
          <w:rFonts w:ascii="標楷體" w:eastAsia="標楷體" w:hAnsi="標楷體"/>
          <w:szCs w:val="24"/>
        </w:rPr>
        <w:t>(114/</w:t>
      </w:r>
      <w:r w:rsidRPr="007576F0">
        <w:rPr>
          <w:rFonts w:ascii="標楷體" w:eastAsia="標楷體" w:hAnsi="標楷體" w:hint="eastAsia"/>
          <w:szCs w:val="24"/>
        </w:rPr>
        <w:t>10</w:t>
      </w:r>
      <w:r w:rsidRPr="007576F0">
        <w:rPr>
          <w:rFonts w:ascii="標楷體" w:eastAsia="標楷體" w:hAnsi="標楷體"/>
          <w:szCs w:val="24"/>
        </w:rPr>
        <w:t>/1)</w:t>
      </w:r>
    </w:p>
    <w:p w14:paraId="727C1088"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rPr>
        <w:t>1</w:t>
      </w:r>
      <w:r w:rsidRPr="007576F0">
        <w:rPr>
          <w:rFonts w:ascii="標楷體" w:eastAsia="標楷體" w:hAnsi="標楷體"/>
        </w:rPr>
        <w:t>.與carbo</w:t>
      </w:r>
      <w:r w:rsidRPr="007576F0">
        <w:rPr>
          <w:rFonts w:ascii="標楷體" w:eastAsia="標楷體" w:hAnsi="標楷體"/>
          <w:szCs w:val="24"/>
        </w:rPr>
        <w:t xml:space="preserve">platin 及pemetrexed </w:t>
      </w:r>
      <w:proofErr w:type="gramStart"/>
      <w:r w:rsidRPr="007576F0">
        <w:rPr>
          <w:rFonts w:ascii="標楷體" w:eastAsia="標楷體" w:hAnsi="標楷體"/>
          <w:szCs w:val="24"/>
        </w:rPr>
        <w:t>併</w:t>
      </w:r>
      <w:proofErr w:type="gramEnd"/>
      <w:r w:rsidRPr="007576F0">
        <w:rPr>
          <w:rFonts w:ascii="標楷體" w:eastAsia="標楷體" w:hAnsi="標楷體"/>
          <w:szCs w:val="24"/>
        </w:rPr>
        <w:t>用，適用於</w:t>
      </w:r>
      <w:proofErr w:type="gramStart"/>
      <w:r w:rsidRPr="007576F0">
        <w:rPr>
          <w:rFonts w:ascii="標楷體" w:eastAsia="標楷體" w:hAnsi="標楷體"/>
          <w:szCs w:val="24"/>
        </w:rPr>
        <w:t>罹</w:t>
      </w:r>
      <w:proofErr w:type="gramEnd"/>
      <w:r w:rsidRPr="007576F0">
        <w:rPr>
          <w:rFonts w:ascii="標楷體" w:eastAsia="標楷體" w:hAnsi="標楷體"/>
          <w:szCs w:val="24"/>
        </w:rPr>
        <w:t>患帶有表皮生長因子受體(EGFR) exon 20 插入突變之局部晚期或</w:t>
      </w:r>
      <w:proofErr w:type="gramStart"/>
      <w:r w:rsidRPr="007576F0">
        <w:rPr>
          <w:rFonts w:ascii="標楷體" w:eastAsia="標楷體" w:hAnsi="標楷體"/>
          <w:szCs w:val="24"/>
        </w:rPr>
        <w:t>轉移性非小</w:t>
      </w:r>
      <w:proofErr w:type="gramEnd"/>
      <w:r w:rsidRPr="007576F0">
        <w:rPr>
          <w:rFonts w:ascii="標楷體" w:eastAsia="標楷體" w:hAnsi="標楷體"/>
          <w:szCs w:val="24"/>
        </w:rPr>
        <w:t>細胞肺癌(NSCLC)的成人病人，作為第一線治療。</w:t>
      </w:r>
    </w:p>
    <w:p w14:paraId="1C932420" w14:textId="77777777" w:rsidR="007576F0" w:rsidRPr="007576F0" w:rsidRDefault="007576F0" w:rsidP="007576F0">
      <w:pPr>
        <w:spacing w:line="300" w:lineRule="exact"/>
        <w:ind w:left="993" w:hanging="284"/>
        <w:rPr>
          <w:rFonts w:ascii="標楷體" w:eastAsia="標楷體" w:hAnsi="標楷體"/>
        </w:rPr>
      </w:pPr>
      <w:r w:rsidRPr="007576F0">
        <w:rPr>
          <w:rFonts w:ascii="標楷體" w:eastAsia="標楷體" w:hAnsi="標楷體" w:hint="eastAsia"/>
          <w:szCs w:val="24"/>
        </w:rPr>
        <w:t>2</w:t>
      </w:r>
      <w:r w:rsidRPr="007576F0">
        <w:rPr>
          <w:rFonts w:ascii="標楷體" w:eastAsia="標楷體" w:hAnsi="標楷體"/>
          <w:szCs w:val="24"/>
        </w:rPr>
        <w:t>.需經事前審</w:t>
      </w:r>
      <w:r w:rsidRPr="007576F0">
        <w:rPr>
          <w:rFonts w:ascii="標楷體" w:eastAsia="標楷體" w:hAnsi="標楷體"/>
        </w:rPr>
        <w:t>查核准後使用</w:t>
      </w:r>
      <w:r w:rsidRPr="007576F0">
        <w:rPr>
          <w:rFonts w:ascii="標楷體" w:eastAsia="標楷體" w:hAnsi="標楷體" w:hint="eastAsia"/>
        </w:rPr>
        <w:t>：</w:t>
      </w:r>
    </w:p>
    <w:p w14:paraId="53DD96B2"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rPr>
        <w:t>(</w:t>
      </w:r>
      <w:r w:rsidRPr="007576F0">
        <w:rPr>
          <w:rFonts w:ascii="標楷體" w:eastAsia="標楷體" w:hAnsi="標楷體"/>
        </w:rPr>
        <w:t>1)</w:t>
      </w:r>
      <w:r w:rsidRPr="007576F0">
        <w:rPr>
          <w:rFonts w:ascii="標楷體" w:eastAsia="標楷體" w:hAnsi="標楷體" w:hint="eastAsia"/>
        </w:rPr>
        <w:t>初次申</w:t>
      </w:r>
      <w:r w:rsidRPr="007576F0">
        <w:rPr>
          <w:rFonts w:ascii="標楷體" w:eastAsia="標楷體" w:hAnsi="標楷體" w:hint="eastAsia"/>
          <w:color w:val="000000"/>
        </w:rPr>
        <w:t>請時需檢具確實患有非小細胞肺癌之病理或細胞檢查報告，及檢具表皮生長因子受體</w:t>
      </w:r>
      <w:r w:rsidRPr="007576F0">
        <w:rPr>
          <w:rFonts w:ascii="標楷體" w:eastAsia="標楷體" w:hAnsi="標楷體"/>
          <w:color w:val="000000"/>
        </w:rPr>
        <w:t xml:space="preserve"> (EGFR) exon 20</w:t>
      </w:r>
      <w:r w:rsidRPr="007576F0">
        <w:rPr>
          <w:rFonts w:ascii="標楷體" w:eastAsia="標楷體" w:hAnsi="標楷體" w:hint="eastAsia"/>
          <w:color w:val="000000"/>
        </w:rPr>
        <w:t>插入突變分析檢測結果報告，且需符合全民健康保險藥品給付規定之通則十二。</w:t>
      </w:r>
    </w:p>
    <w:p w14:paraId="76EB17E8" w14:textId="77777777" w:rsidR="007576F0" w:rsidRPr="007576F0" w:rsidRDefault="007576F0" w:rsidP="007576F0">
      <w:pPr>
        <w:spacing w:line="300" w:lineRule="exact"/>
        <w:ind w:left="1276" w:hanging="386"/>
        <w:rPr>
          <w:rFonts w:ascii="標楷體" w:eastAsia="標楷體" w:hAnsi="標楷體"/>
          <w:szCs w:val="24"/>
        </w:rPr>
      </w:pPr>
      <w:r w:rsidRPr="007576F0">
        <w:rPr>
          <w:rFonts w:ascii="標楷體" w:eastAsia="標楷體" w:hAnsi="標楷體" w:hint="eastAsia"/>
          <w:color w:val="000000"/>
        </w:rPr>
        <w:t>(2)每次申請事前審查之療程以</w:t>
      </w:r>
      <w:r w:rsidRPr="007576F0">
        <w:rPr>
          <w:rFonts w:ascii="標楷體" w:eastAsia="標楷體" w:hAnsi="標楷體"/>
          <w:color w:val="000000"/>
        </w:rPr>
        <w:t>3</w:t>
      </w:r>
      <w:r w:rsidRPr="007576F0">
        <w:rPr>
          <w:rFonts w:ascii="標楷體" w:eastAsia="標楷體" w:hAnsi="標楷體" w:hint="eastAsia"/>
          <w:color w:val="000000"/>
        </w:rPr>
        <w:t>個月為限，每</w:t>
      </w:r>
      <w:r w:rsidRPr="007576F0">
        <w:rPr>
          <w:rFonts w:ascii="標楷體" w:eastAsia="標楷體" w:hAnsi="標楷體"/>
          <w:color w:val="000000"/>
        </w:rPr>
        <w:t>3</w:t>
      </w:r>
      <w:r w:rsidRPr="007576F0">
        <w:rPr>
          <w:rFonts w:ascii="標楷體" w:eastAsia="標楷體" w:hAnsi="標楷體" w:hint="eastAsia"/>
          <w:color w:val="000000"/>
        </w:rPr>
        <w:t>個月需再次申請，再次申請時需檢附療效評估資料，若</w:t>
      </w:r>
      <w:r w:rsidRPr="007576F0">
        <w:rPr>
          <w:rFonts w:ascii="標楷體" w:eastAsia="標楷體" w:hAnsi="標楷體" w:hint="eastAsia"/>
          <w:szCs w:val="24"/>
        </w:rPr>
        <w:t>病情惡化即不得再次申請。</w:t>
      </w:r>
    </w:p>
    <w:p w14:paraId="3401190A" w14:textId="77777777" w:rsidR="007576F0" w:rsidRPr="007576F0" w:rsidRDefault="007576F0" w:rsidP="007576F0">
      <w:pPr>
        <w:spacing w:line="300" w:lineRule="exact"/>
        <w:ind w:left="610" w:hanging="245"/>
        <w:rPr>
          <w:rFonts w:ascii="標楷體" w:eastAsia="標楷體" w:hAnsi="標楷體"/>
          <w:szCs w:val="24"/>
        </w:rPr>
      </w:pPr>
      <w:r w:rsidRPr="007576F0">
        <w:rPr>
          <w:rFonts w:ascii="標楷體" w:eastAsia="標楷體" w:hAnsi="標楷體" w:hint="eastAsia"/>
          <w:szCs w:val="24"/>
        </w:rPr>
        <w:t>9.127.</w:t>
      </w:r>
      <w:r w:rsidRPr="007576F0">
        <w:rPr>
          <w:rFonts w:ascii="標楷體" w:eastAsia="標楷體" w:hAnsi="標楷體" w:hint="eastAsia"/>
          <w:kern w:val="2"/>
          <w:szCs w:val="24"/>
        </w:rPr>
        <w:t>Momelotinib</w:t>
      </w:r>
      <w:r w:rsidRPr="007576F0">
        <w:rPr>
          <w:rFonts w:ascii="標楷體" w:eastAsia="標楷體" w:hAnsi="標楷體" w:hint="eastAsia"/>
          <w:szCs w:val="24"/>
        </w:rPr>
        <w:t xml:space="preserve"> (如</w:t>
      </w:r>
      <w:proofErr w:type="spellStart"/>
      <w:r w:rsidRPr="007576F0">
        <w:rPr>
          <w:rFonts w:ascii="標楷體" w:eastAsia="標楷體" w:hAnsi="標楷體" w:hint="eastAsia"/>
          <w:szCs w:val="24"/>
        </w:rPr>
        <w:t>Omjjara</w:t>
      </w:r>
      <w:proofErr w:type="spellEnd"/>
      <w:r w:rsidRPr="007576F0">
        <w:rPr>
          <w:rFonts w:ascii="標楷體" w:eastAsia="標楷體" w:hAnsi="標楷體" w:hint="eastAsia"/>
          <w:szCs w:val="24"/>
        </w:rPr>
        <w:t>)：(114/10/1)</w:t>
      </w:r>
    </w:p>
    <w:p w14:paraId="292A74EB"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1.</w:t>
      </w:r>
      <w:r w:rsidRPr="007576F0">
        <w:rPr>
          <w:rFonts w:ascii="標楷體" w:eastAsia="標楷體" w:hAnsi="標楷體" w:hint="eastAsia"/>
          <w:szCs w:val="24"/>
        </w:rPr>
        <w:t>用於未曾接受</w:t>
      </w:r>
      <w:r w:rsidRPr="007576F0">
        <w:rPr>
          <w:rFonts w:ascii="標楷體" w:eastAsia="標楷體" w:hAnsi="標楷體"/>
          <w:szCs w:val="24"/>
        </w:rPr>
        <w:t>Janus</w:t>
      </w:r>
      <w:r w:rsidRPr="007576F0">
        <w:rPr>
          <w:rFonts w:ascii="標楷體" w:eastAsia="標楷體" w:hAnsi="標楷體" w:hint="eastAsia"/>
          <w:szCs w:val="24"/>
        </w:rPr>
        <w:t>激酶抑制劑（</w:t>
      </w:r>
      <w:r w:rsidRPr="007576F0">
        <w:rPr>
          <w:rFonts w:ascii="標楷體" w:eastAsia="標楷體" w:hAnsi="標楷體"/>
          <w:szCs w:val="24"/>
        </w:rPr>
        <w:t>JAK inhibitor</w:t>
      </w:r>
      <w:r w:rsidRPr="007576F0">
        <w:rPr>
          <w:rFonts w:ascii="標楷體" w:eastAsia="標楷體" w:hAnsi="標楷體" w:hint="eastAsia"/>
          <w:szCs w:val="24"/>
        </w:rPr>
        <w:t>）治療或曾接受</w:t>
      </w:r>
      <w:proofErr w:type="spellStart"/>
      <w:r w:rsidRPr="007576F0">
        <w:rPr>
          <w:rFonts w:ascii="標楷體" w:eastAsia="標楷體" w:hAnsi="標楷體"/>
          <w:szCs w:val="24"/>
        </w:rPr>
        <w:t>ruxolitinib</w:t>
      </w:r>
      <w:proofErr w:type="spellEnd"/>
      <w:r w:rsidRPr="007576F0">
        <w:rPr>
          <w:rFonts w:ascii="標楷體" w:eastAsia="標楷體" w:hAnsi="標楷體" w:hint="eastAsia"/>
          <w:szCs w:val="24"/>
        </w:rPr>
        <w:t>、</w:t>
      </w:r>
      <w:proofErr w:type="spellStart"/>
      <w:r w:rsidRPr="007576F0">
        <w:rPr>
          <w:rFonts w:ascii="標楷體" w:eastAsia="標楷體" w:hAnsi="標楷體"/>
          <w:szCs w:val="24"/>
        </w:rPr>
        <w:t>fedratinib</w:t>
      </w:r>
      <w:proofErr w:type="spellEnd"/>
      <w:r w:rsidRPr="007576F0">
        <w:rPr>
          <w:rFonts w:ascii="標楷體" w:eastAsia="標楷體" w:hAnsi="標楷體" w:hint="eastAsia"/>
          <w:szCs w:val="24"/>
        </w:rPr>
        <w:t>治療後不耐受或有禁忌症，且為</w:t>
      </w:r>
      <w:r w:rsidRPr="007576F0">
        <w:rPr>
          <w:rFonts w:ascii="標楷體" w:eastAsia="標楷體" w:hAnsi="標楷體"/>
          <w:szCs w:val="24"/>
        </w:rPr>
        <w:t>International Working Group</w:t>
      </w:r>
      <w:r w:rsidRPr="007576F0">
        <w:rPr>
          <w:rFonts w:ascii="標楷體" w:eastAsia="標楷體" w:hAnsi="標楷體" w:hint="eastAsia"/>
          <w:szCs w:val="24"/>
        </w:rPr>
        <w:t>（</w:t>
      </w:r>
      <w:r w:rsidRPr="007576F0">
        <w:rPr>
          <w:rFonts w:ascii="標楷體" w:eastAsia="標楷體" w:hAnsi="標楷體"/>
          <w:szCs w:val="24"/>
        </w:rPr>
        <w:t>IWG</w:t>
      </w:r>
      <w:r w:rsidRPr="007576F0">
        <w:rPr>
          <w:rFonts w:ascii="標楷體" w:eastAsia="標楷體" w:hAnsi="標楷體" w:hint="eastAsia"/>
          <w:szCs w:val="24"/>
        </w:rPr>
        <w:t>）</w:t>
      </w:r>
      <w:r w:rsidRPr="007576F0">
        <w:rPr>
          <w:rFonts w:ascii="標楷體" w:eastAsia="標楷體" w:hAnsi="標楷體"/>
          <w:szCs w:val="24"/>
        </w:rPr>
        <w:t>Consensus Criteria</w:t>
      </w:r>
      <w:r w:rsidRPr="007576F0">
        <w:rPr>
          <w:rFonts w:ascii="標楷體" w:eastAsia="標楷體" w:hAnsi="標楷體" w:hint="eastAsia"/>
          <w:szCs w:val="24"/>
        </w:rPr>
        <w:t>中度風險或高風險之骨髓纖維化，包括原發性骨髓纖維化、真性紅血球增多症後骨髓纖維化、或血小板增多症後骨髓纖維化等疾病所造成脾臟腫大（</w:t>
      </w:r>
      <w:r w:rsidRPr="007576F0">
        <w:rPr>
          <w:rFonts w:ascii="標楷體" w:eastAsia="標楷體" w:hAnsi="標楷體"/>
          <w:szCs w:val="24"/>
        </w:rPr>
        <w:t>symptomatic splenomegaly</w:t>
      </w:r>
      <w:r w:rsidRPr="007576F0">
        <w:rPr>
          <w:rFonts w:ascii="標楷體" w:eastAsia="標楷體" w:hAnsi="標楷體" w:hint="eastAsia"/>
          <w:szCs w:val="24"/>
        </w:rPr>
        <w:t>）及</w:t>
      </w:r>
      <w:r w:rsidRPr="007576F0">
        <w:rPr>
          <w:rFonts w:ascii="標楷體" w:eastAsia="標楷體" w:hAnsi="標楷體"/>
          <w:szCs w:val="24"/>
        </w:rPr>
        <w:t>/</w:t>
      </w:r>
      <w:r w:rsidRPr="007576F0">
        <w:rPr>
          <w:rFonts w:ascii="標楷體" w:eastAsia="標楷體" w:hAnsi="標楷體" w:hint="eastAsia"/>
          <w:szCs w:val="24"/>
        </w:rPr>
        <w:t>或其他相關全身症狀且不適於接受幹細胞移植（</w:t>
      </w:r>
      <w:r w:rsidRPr="007576F0">
        <w:rPr>
          <w:rFonts w:ascii="標楷體" w:eastAsia="標楷體" w:hAnsi="標楷體"/>
          <w:szCs w:val="24"/>
        </w:rPr>
        <w:t>stem cell transpla</w:t>
      </w:r>
      <w:r w:rsidRPr="007576F0">
        <w:rPr>
          <w:rFonts w:ascii="標楷體" w:eastAsia="標楷體" w:hAnsi="標楷體" w:hint="eastAsia"/>
          <w:szCs w:val="24"/>
        </w:rPr>
        <w:t>ntation）且併有中至重度貧血之成人病人。</w:t>
      </w:r>
    </w:p>
    <w:p w14:paraId="5CD41E81" w14:textId="77777777" w:rsidR="007576F0" w:rsidRPr="007576F0" w:rsidRDefault="007576F0" w:rsidP="007576F0">
      <w:pPr>
        <w:spacing w:line="300" w:lineRule="exact"/>
        <w:ind w:left="1276" w:hanging="386"/>
        <w:rPr>
          <w:rFonts w:ascii="標楷體" w:eastAsia="標楷體" w:hAnsi="標楷體"/>
          <w:color w:val="000000"/>
        </w:rPr>
      </w:pPr>
      <w:r w:rsidRPr="007576F0">
        <w:rPr>
          <w:rFonts w:ascii="標楷體" w:eastAsia="標楷體" w:hAnsi="標楷體" w:hint="eastAsia"/>
          <w:szCs w:val="24"/>
        </w:rPr>
        <w:t>(1)需經事前審查核准後使用，每次申請之療程以6個月為限，送審時需檢送影像資料及症</w:t>
      </w:r>
      <w:r w:rsidRPr="007576F0">
        <w:rPr>
          <w:rFonts w:ascii="標楷體" w:eastAsia="標楷體" w:hAnsi="標楷體" w:hint="eastAsia"/>
          <w:color w:val="000000"/>
        </w:rPr>
        <w:t>狀改善之病歷紀錄，每6個月評估一次。</w:t>
      </w:r>
    </w:p>
    <w:p w14:paraId="50A33179" w14:textId="77777777" w:rsidR="007576F0" w:rsidRPr="007576F0" w:rsidRDefault="007576F0" w:rsidP="007576F0">
      <w:pPr>
        <w:spacing w:line="300" w:lineRule="exact"/>
        <w:ind w:left="1276" w:hanging="386"/>
        <w:rPr>
          <w:rFonts w:ascii="標楷體" w:eastAsia="標楷體" w:hAnsi="標楷體"/>
          <w:szCs w:val="24"/>
        </w:rPr>
      </w:pPr>
      <w:r w:rsidRPr="007576F0">
        <w:rPr>
          <w:rFonts w:ascii="標楷體" w:eastAsia="標楷體" w:hAnsi="標楷體" w:hint="eastAsia"/>
          <w:color w:val="000000"/>
        </w:rPr>
        <w:t>(2)用藥後</w:t>
      </w:r>
      <w:r w:rsidRPr="007576F0">
        <w:rPr>
          <w:rFonts w:ascii="標楷體" w:eastAsia="標楷體" w:hAnsi="標楷體" w:hint="eastAsia"/>
          <w:szCs w:val="24"/>
        </w:rPr>
        <w:t xml:space="preserve">第一次評估時，需達到症狀反應(symptom response)或脾臟體積無惡化兩者之一，且同時無AML </w:t>
      </w:r>
      <w:proofErr w:type="spellStart"/>
      <w:r w:rsidRPr="007576F0">
        <w:rPr>
          <w:rFonts w:ascii="標楷體" w:eastAsia="標楷體" w:hAnsi="標楷體" w:hint="eastAsia"/>
          <w:szCs w:val="24"/>
        </w:rPr>
        <w:t>tranformation</w:t>
      </w:r>
      <w:proofErr w:type="spellEnd"/>
      <w:r w:rsidRPr="007576F0">
        <w:rPr>
          <w:rFonts w:ascii="標楷體" w:eastAsia="標楷體" w:hAnsi="標楷體" w:hint="eastAsia"/>
          <w:szCs w:val="24"/>
        </w:rPr>
        <w:t>，方得以繼續使用。分別定義如下：</w:t>
      </w:r>
    </w:p>
    <w:p w14:paraId="1FADDD67" w14:textId="77777777" w:rsidR="007576F0" w:rsidRPr="007576F0" w:rsidRDefault="007576F0" w:rsidP="007576F0">
      <w:pPr>
        <w:snapToGrid w:val="0"/>
        <w:spacing w:line="300" w:lineRule="exact"/>
        <w:ind w:left="1418" w:hanging="284"/>
        <w:jc w:val="both"/>
        <w:rPr>
          <w:rFonts w:ascii="標楷體" w:eastAsia="標楷體" w:hAnsi="標楷體"/>
          <w:szCs w:val="24"/>
        </w:rPr>
      </w:pPr>
      <w:r w:rsidRPr="007576F0">
        <w:rPr>
          <w:rFonts w:ascii="標楷體" w:eastAsia="標楷體" w:hAnsi="標楷體" w:hint="eastAsia"/>
          <w:szCs w:val="24"/>
        </w:rPr>
        <w:t>Ⅰ.症狀反應：MPN-SAF-TSS分數或MPN-10與治療前基準值相比，需下降超過50%。</w:t>
      </w:r>
    </w:p>
    <w:p w14:paraId="6C138837" w14:textId="77777777" w:rsidR="007576F0" w:rsidRPr="007576F0" w:rsidRDefault="007576F0" w:rsidP="007576F0">
      <w:pPr>
        <w:snapToGrid w:val="0"/>
        <w:spacing w:line="300" w:lineRule="exact"/>
        <w:ind w:left="1418" w:hanging="284"/>
        <w:jc w:val="both"/>
        <w:rPr>
          <w:rFonts w:ascii="標楷體" w:eastAsia="標楷體" w:hAnsi="標楷體"/>
          <w:szCs w:val="24"/>
        </w:rPr>
      </w:pPr>
      <w:r w:rsidRPr="007576F0">
        <w:rPr>
          <w:rFonts w:ascii="標楷體" w:eastAsia="標楷體" w:hAnsi="標楷體" w:hint="eastAsia"/>
          <w:szCs w:val="24"/>
        </w:rPr>
        <w:t>Ⅱ.脾臟體積無惡化：使用電腦斷層評估，脾臟長度未增加超過治療前基準值之40%以上(或體積增加未達25%以上)。</w:t>
      </w:r>
    </w:p>
    <w:p w14:paraId="445D90FA" w14:textId="77777777" w:rsidR="007576F0" w:rsidRPr="007576F0" w:rsidRDefault="007576F0" w:rsidP="007576F0">
      <w:pPr>
        <w:snapToGrid w:val="0"/>
        <w:spacing w:line="300" w:lineRule="exact"/>
        <w:ind w:left="1418" w:hanging="284"/>
        <w:jc w:val="both"/>
        <w:rPr>
          <w:rFonts w:ascii="標楷體" w:eastAsia="標楷體" w:hAnsi="標楷體"/>
          <w:szCs w:val="24"/>
        </w:rPr>
      </w:pPr>
      <w:r w:rsidRPr="007576F0">
        <w:rPr>
          <w:rFonts w:ascii="標楷體" w:eastAsia="標楷體" w:hAnsi="標楷體" w:hint="eastAsia"/>
          <w:szCs w:val="24"/>
        </w:rPr>
        <w:t>Ⅲ</w:t>
      </w:r>
      <w:r w:rsidRPr="007576F0">
        <w:rPr>
          <w:rFonts w:ascii="標楷體" w:eastAsia="標楷體" w:hAnsi="標楷體"/>
          <w:szCs w:val="24"/>
        </w:rPr>
        <w:t>.AML transformation</w:t>
      </w:r>
      <w:r w:rsidRPr="007576F0">
        <w:rPr>
          <w:rFonts w:ascii="標楷體" w:eastAsia="標楷體" w:hAnsi="標楷體" w:hint="eastAsia"/>
          <w:szCs w:val="24"/>
        </w:rPr>
        <w:t>：骨髓中之芽細胞</w:t>
      </w:r>
      <w:r w:rsidRPr="007576F0">
        <w:rPr>
          <w:rFonts w:eastAsia="標楷體"/>
          <w:szCs w:val="24"/>
        </w:rPr>
        <w:t>≥</w:t>
      </w:r>
      <w:r w:rsidRPr="007576F0">
        <w:rPr>
          <w:rFonts w:ascii="標楷體" w:eastAsia="標楷體" w:hAnsi="標楷體"/>
          <w:szCs w:val="24"/>
        </w:rPr>
        <w:t>20%</w:t>
      </w:r>
      <w:r w:rsidRPr="007576F0">
        <w:rPr>
          <w:rFonts w:ascii="標楷體" w:eastAsia="標楷體" w:hAnsi="標楷體" w:hint="eastAsia"/>
          <w:szCs w:val="24"/>
        </w:rPr>
        <w:t>或血液中之芽細胞</w:t>
      </w:r>
      <w:r w:rsidRPr="007576F0">
        <w:rPr>
          <w:rFonts w:eastAsia="標楷體"/>
          <w:szCs w:val="24"/>
        </w:rPr>
        <w:t>≥</w:t>
      </w:r>
      <w:r w:rsidRPr="007576F0">
        <w:rPr>
          <w:rFonts w:ascii="標楷體" w:eastAsia="標楷體" w:hAnsi="標楷體"/>
          <w:szCs w:val="24"/>
        </w:rPr>
        <w:t>20%</w:t>
      </w:r>
      <w:r w:rsidRPr="007576F0">
        <w:rPr>
          <w:rFonts w:ascii="標楷體" w:eastAsia="標楷體" w:hAnsi="標楷體" w:hint="eastAsia"/>
          <w:szCs w:val="24"/>
        </w:rPr>
        <w:t>合併芽細胞數值</w:t>
      </w:r>
      <w:r w:rsidRPr="007576F0">
        <w:rPr>
          <w:rFonts w:eastAsia="標楷體"/>
          <w:szCs w:val="24"/>
        </w:rPr>
        <w:t>≥</w:t>
      </w:r>
      <w:r w:rsidRPr="007576F0">
        <w:rPr>
          <w:rFonts w:ascii="標楷體" w:eastAsia="標楷體" w:hAnsi="標楷體"/>
          <w:szCs w:val="24"/>
        </w:rPr>
        <w:t>1</w:t>
      </w:r>
      <w:r w:rsidRPr="007576F0">
        <w:rPr>
          <w:rFonts w:ascii="標楷體" w:eastAsia="標楷體" w:hAnsi="標楷體" w:cs="標楷體" w:hint="eastAsia"/>
          <w:szCs w:val="24"/>
        </w:rPr>
        <w:t>×</w:t>
      </w:r>
      <w:r w:rsidRPr="007576F0">
        <w:rPr>
          <w:rFonts w:ascii="標楷體" w:eastAsia="標楷體" w:hAnsi="標楷體"/>
          <w:szCs w:val="24"/>
        </w:rPr>
        <w:t>109/L</w:t>
      </w:r>
      <w:r w:rsidRPr="007576F0">
        <w:rPr>
          <w:rFonts w:ascii="標楷體" w:eastAsia="標楷體" w:hAnsi="標楷體" w:hint="eastAsia"/>
          <w:szCs w:val="24"/>
        </w:rPr>
        <w:t>。</w:t>
      </w:r>
    </w:p>
    <w:p w14:paraId="548FAF58" w14:textId="77777777" w:rsidR="007576F0" w:rsidRPr="007576F0" w:rsidRDefault="007576F0" w:rsidP="007576F0">
      <w:pPr>
        <w:spacing w:line="300" w:lineRule="exact"/>
        <w:ind w:left="1276" w:hanging="386"/>
        <w:rPr>
          <w:rFonts w:ascii="標楷體" w:eastAsia="標楷體" w:hAnsi="標楷體"/>
          <w:szCs w:val="24"/>
        </w:rPr>
      </w:pPr>
      <w:r w:rsidRPr="007576F0">
        <w:rPr>
          <w:rFonts w:ascii="標楷體" w:eastAsia="標楷體" w:hAnsi="標楷體" w:hint="eastAsia"/>
          <w:szCs w:val="24"/>
        </w:rPr>
        <w:t>(3)用藥後第二次及其後的評估，必須顯示無疾病惡化（無症狀惡化且脾臟體積無惡化，並同時無AML transformation），方得以繼續使用。分別定義如下：</w:t>
      </w:r>
    </w:p>
    <w:p w14:paraId="2746ABB8" w14:textId="77777777" w:rsidR="007576F0" w:rsidRPr="007576F0" w:rsidRDefault="007576F0" w:rsidP="007576F0">
      <w:pPr>
        <w:snapToGrid w:val="0"/>
        <w:spacing w:line="300" w:lineRule="exact"/>
        <w:ind w:left="1418" w:hanging="284"/>
        <w:jc w:val="both"/>
        <w:rPr>
          <w:rFonts w:ascii="標楷體" w:eastAsia="標楷體" w:hAnsi="標楷體"/>
          <w:szCs w:val="24"/>
        </w:rPr>
      </w:pPr>
      <w:r w:rsidRPr="007576F0">
        <w:rPr>
          <w:rFonts w:ascii="標楷體" w:eastAsia="標楷體" w:hAnsi="標楷體" w:hint="eastAsia"/>
          <w:szCs w:val="24"/>
        </w:rPr>
        <w:t>Ⅰ.無症狀惡化：未出現新症狀，且MPN-SAF-TSS分數或MPN-10未超過治療前的基準值。</w:t>
      </w:r>
    </w:p>
    <w:p w14:paraId="5D368922" w14:textId="77777777" w:rsidR="007576F0" w:rsidRPr="007576F0" w:rsidRDefault="007576F0" w:rsidP="007576F0">
      <w:pPr>
        <w:snapToGrid w:val="0"/>
        <w:spacing w:line="300" w:lineRule="exact"/>
        <w:ind w:left="1418" w:hanging="284"/>
        <w:jc w:val="both"/>
        <w:rPr>
          <w:rFonts w:ascii="標楷體" w:eastAsia="標楷體" w:hAnsi="標楷體"/>
          <w:szCs w:val="24"/>
        </w:rPr>
      </w:pPr>
      <w:r w:rsidRPr="007576F0">
        <w:rPr>
          <w:rFonts w:ascii="標楷體" w:eastAsia="標楷體" w:hAnsi="標楷體" w:hint="eastAsia"/>
          <w:szCs w:val="24"/>
        </w:rPr>
        <w:t>Ⅱ.脾臟體積無惡化：使用電腦斷層評估，脾臟長度未增加超過最佳反應(best response)時之脾臟長度40%以上(或體積增加未達25%以上)。</w:t>
      </w:r>
    </w:p>
    <w:p w14:paraId="1037CEA5" w14:textId="77777777" w:rsidR="007576F0" w:rsidRPr="007576F0" w:rsidRDefault="007576F0" w:rsidP="007576F0">
      <w:pPr>
        <w:snapToGrid w:val="0"/>
        <w:spacing w:line="300" w:lineRule="exact"/>
        <w:ind w:left="1418" w:hanging="284"/>
        <w:jc w:val="both"/>
        <w:rPr>
          <w:rFonts w:ascii="標楷體" w:eastAsia="標楷體" w:hAnsi="標楷體"/>
          <w:szCs w:val="24"/>
        </w:rPr>
      </w:pPr>
      <w:r w:rsidRPr="007576F0">
        <w:rPr>
          <w:rFonts w:ascii="標楷體" w:eastAsia="標楷體" w:hAnsi="標楷體" w:hint="eastAsia"/>
          <w:szCs w:val="24"/>
        </w:rPr>
        <w:lastRenderedPageBreak/>
        <w:t>Ⅲ</w:t>
      </w:r>
      <w:r w:rsidRPr="007576F0">
        <w:rPr>
          <w:rFonts w:ascii="標楷體" w:eastAsia="標楷體" w:hAnsi="標楷體"/>
          <w:szCs w:val="24"/>
        </w:rPr>
        <w:t>.AML transformation</w:t>
      </w:r>
      <w:r w:rsidRPr="007576F0">
        <w:rPr>
          <w:rFonts w:ascii="標楷體" w:eastAsia="標楷體" w:hAnsi="標楷體" w:hint="eastAsia"/>
          <w:szCs w:val="24"/>
        </w:rPr>
        <w:t>：骨髓中之芽細胞</w:t>
      </w:r>
      <w:r w:rsidRPr="007576F0">
        <w:rPr>
          <w:rFonts w:ascii="Times New Roman" w:eastAsia="標楷體" w:hAnsi="Times New Roman"/>
          <w:szCs w:val="24"/>
        </w:rPr>
        <w:t>≥</w:t>
      </w:r>
      <w:r w:rsidRPr="007576F0">
        <w:rPr>
          <w:rFonts w:ascii="標楷體" w:eastAsia="標楷體" w:hAnsi="標楷體"/>
          <w:szCs w:val="24"/>
        </w:rPr>
        <w:t>20%</w:t>
      </w:r>
      <w:r w:rsidRPr="007576F0">
        <w:rPr>
          <w:rFonts w:ascii="標楷體" w:eastAsia="標楷體" w:hAnsi="標楷體" w:hint="eastAsia"/>
          <w:szCs w:val="24"/>
        </w:rPr>
        <w:t>或血液中之芽細胞</w:t>
      </w:r>
      <w:r w:rsidRPr="007576F0">
        <w:rPr>
          <w:rFonts w:ascii="Times New Roman" w:eastAsia="標楷體" w:hAnsi="Times New Roman"/>
          <w:szCs w:val="24"/>
        </w:rPr>
        <w:t>≥</w:t>
      </w:r>
      <w:r w:rsidRPr="007576F0">
        <w:rPr>
          <w:rFonts w:ascii="標楷體" w:eastAsia="標楷體" w:hAnsi="標楷體"/>
          <w:szCs w:val="24"/>
        </w:rPr>
        <w:t>20%</w:t>
      </w:r>
      <w:r w:rsidRPr="007576F0">
        <w:rPr>
          <w:rFonts w:ascii="標楷體" w:eastAsia="標楷體" w:hAnsi="標楷體" w:hint="eastAsia"/>
          <w:szCs w:val="24"/>
        </w:rPr>
        <w:t>合併芽細胞數值</w:t>
      </w:r>
      <w:r w:rsidRPr="007576F0">
        <w:rPr>
          <w:rFonts w:ascii="Times New Roman" w:eastAsia="標楷體" w:hAnsi="Times New Roman"/>
          <w:szCs w:val="24"/>
        </w:rPr>
        <w:t>≥</w:t>
      </w:r>
      <w:r w:rsidRPr="007576F0">
        <w:rPr>
          <w:rFonts w:ascii="標楷體" w:eastAsia="標楷體" w:hAnsi="標楷體"/>
          <w:szCs w:val="24"/>
        </w:rPr>
        <w:t>1</w:t>
      </w:r>
      <w:r w:rsidRPr="007576F0">
        <w:rPr>
          <w:rFonts w:ascii="標楷體" w:eastAsia="標楷體" w:hAnsi="標楷體" w:hint="eastAsia"/>
          <w:szCs w:val="24"/>
        </w:rPr>
        <w:t>×</w:t>
      </w:r>
      <w:r w:rsidRPr="007576F0">
        <w:rPr>
          <w:rFonts w:ascii="標楷體" w:eastAsia="標楷體" w:hAnsi="標楷體"/>
          <w:szCs w:val="24"/>
        </w:rPr>
        <w:t>109/L</w:t>
      </w:r>
      <w:r w:rsidRPr="007576F0">
        <w:rPr>
          <w:rFonts w:ascii="標楷體" w:eastAsia="標楷體" w:hAnsi="標楷體" w:hint="eastAsia"/>
          <w:szCs w:val="24"/>
        </w:rPr>
        <w:t>。</w:t>
      </w:r>
    </w:p>
    <w:p w14:paraId="47FF5BFE" w14:textId="77777777" w:rsidR="007576F0" w:rsidRPr="007576F0" w:rsidRDefault="007576F0" w:rsidP="007576F0">
      <w:pPr>
        <w:snapToGrid w:val="0"/>
        <w:spacing w:line="300" w:lineRule="exact"/>
        <w:ind w:left="1418" w:hanging="284"/>
        <w:jc w:val="both"/>
        <w:rPr>
          <w:rFonts w:ascii="標楷體" w:eastAsia="標楷體" w:hAnsi="標楷體"/>
          <w:szCs w:val="24"/>
        </w:rPr>
      </w:pPr>
      <w:r w:rsidRPr="007576F0">
        <w:rPr>
          <w:rFonts w:ascii="標楷體" w:eastAsia="標楷體" w:hAnsi="標楷體" w:hint="eastAsia"/>
          <w:szCs w:val="24"/>
        </w:rPr>
        <w:t>IV.每日限給付1粒。</w:t>
      </w:r>
    </w:p>
    <w:p w14:paraId="2A790720"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2.本藥品與</w:t>
      </w:r>
      <w:proofErr w:type="spellStart"/>
      <w:r w:rsidRPr="007576F0">
        <w:rPr>
          <w:rFonts w:ascii="標楷體" w:eastAsia="標楷體" w:hAnsi="標楷體" w:hint="eastAsia"/>
          <w:szCs w:val="24"/>
        </w:rPr>
        <w:t>ruxolitinib</w:t>
      </w:r>
      <w:proofErr w:type="spellEnd"/>
      <w:r w:rsidRPr="007576F0">
        <w:rPr>
          <w:rFonts w:ascii="標楷體" w:eastAsia="標楷體" w:hAnsi="標楷體" w:hint="eastAsia"/>
          <w:szCs w:val="24"/>
        </w:rPr>
        <w:t>、</w:t>
      </w:r>
      <w:proofErr w:type="spellStart"/>
      <w:r w:rsidRPr="007576F0">
        <w:rPr>
          <w:rFonts w:ascii="標楷體" w:eastAsia="標楷體" w:hAnsi="標楷體" w:hint="eastAsia"/>
          <w:szCs w:val="24"/>
        </w:rPr>
        <w:t>fedratinib</w:t>
      </w:r>
      <w:proofErr w:type="spellEnd"/>
      <w:r w:rsidRPr="007576F0">
        <w:rPr>
          <w:rFonts w:ascii="標楷體" w:eastAsia="標楷體" w:hAnsi="標楷體" w:hint="eastAsia"/>
          <w:szCs w:val="24"/>
        </w:rPr>
        <w:t>用於中度風險或高風險之骨髓纖維化治療時，僅得擇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給付。</w:t>
      </w:r>
      <w:proofErr w:type="spellStart"/>
      <w:r w:rsidRPr="007576F0">
        <w:rPr>
          <w:rFonts w:ascii="標楷體" w:eastAsia="標楷體" w:hAnsi="標楷體" w:hint="eastAsia"/>
          <w:szCs w:val="24"/>
        </w:rPr>
        <w:t>Ruxolitinib</w:t>
      </w:r>
      <w:proofErr w:type="spellEnd"/>
      <w:r w:rsidRPr="007576F0">
        <w:rPr>
          <w:rFonts w:ascii="標楷體" w:eastAsia="標楷體" w:hAnsi="標楷體" w:hint="eastAsia"/>
          <w:szCs w:val="24"/>
        </w:rPr>
        <w:t>、</w:t>
      </w:r>
      <w:proofErr w:type="spellStart"/>
      <w:r w:rsidRPr="007576F0">
        <w:rPr>
          <w:rFonts w:ascii="標楷體" w:eastAsia="標楷體" w:hAnsi="標楷體" w:hint="eastAsia"/>
          <w:szCs w:val="24"/>
        </w:rPr>
        <w:t>fedratinib</w:t>
      </w:r>
      <w:proofErr w:type="spellEnd"/>
      <w:r w:rsidRPr="007576F0">
        <w:rPr>
          <w:rFonts w:ascii="標楷體" w:eastAsia="標楷體" w:hAnsi="標楷體" w:hint="eastAsia"/>
          <w:szCs w:val="24"/>
        </w:rPr>
        <w:t>治療後如疾病惡化不得換用本藥品。</w:t>
      </w:r>
      <w:bookmarkEnd w:id="77"/>
    </w:p>
    <w:p w14:paraId="00132707" w14:textId="77777777" w:rsidR="007576F0" w:rsidRPr="007576F0" w:rsidRDefault="007576F0" w:rsidP="007576F0">
      <w:pPr>
        <w:spacing w:line="300" w:lineRule="exact"/>
        <w:ind w:left="610" w:hanging="245"/>
        <w:rPr>
          <w:rFonts w:ascii="標楷體" w:eastAsia="標楷體" w:hAnsi="標楷體"/>
        </w:rPr>
      </w:pPr>
      <w:r w:rsidRPr="007576F0">
        <w:rPr>
          <w:rFonts w:ascii="標楷體" w:eastAsia="標楷體" w:hAnsi="標楷體"/>
        </w:rPr>
        <w:t>9</w:t>
      </w:r>
      <w:r w:rsidRPr="007576F0">
        <w:rPr>
          <w:rFonts w:ascii="標楷體" w:eastAsia="標楷體" w:hAnsi="標楷體" w:hint="eastAsia"/>
        </w:rPr>
        <w:t>.128.</w:t>
      </w:r>
      <w:r w:rsidRPr="007576F0">
        <w:rPr>
          <w:rFonts w:ascii="標楷體" w:eastAsia="標楷體" w:hAnsi="標楷體"/>
        </w:rPr>
        <w:t>Tucidinostat</w:t>
      </w:r>
      <w:r w:rsidRPr="007576F0">
        <w:rPr>
          <w:rFonts w:ascii="標楷體" w:eastAsia="標楷體" w:hAnsi="標楷體" w:hint="eastAsia"/>
        </w:rPr>
        <w:t xml:space="preserve"> (如</w:t>
      </w:r>
      <w:proofErr w:type="spellStart"/>
      <w:r w:rsidRPr="007576F0">
        <w:rPr>
          <w:rFonts w:ascii="標楷體" w:eastAsia="標楷體" w:hAnsi="標楷體" w:hint="eastAsia"/>
        </w:rPr>
        <w:t>K</w:t>
      </w:r>
      <w:r w:rsidRPr="007576F0">
        <w:rPr>
          <w:rFonts w:ascii="標楷體" w:eastAsia="標楷體" w:hAnsi="標楷體"/>
        </w:rPr>
        <w:t>epida</w:t>
      </w:r>
      <w:proofErr w:type="spellEnd"/>
      <w:r w:rsidRPr="007576F0">
        <w:rPr>
          <w:rFonts w:ascii="標楷體" w:eastAsia="標楷體" w:hAnsi="標楷體" w:hint="eastAsia"/>
        </w:rPr>
        <w:t>)：(114/12/1)</w:t>
      </w:r>
    </w:p>
    <w:p w14:paraId="79CCE732"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rPr>
        <w:t>1</w:t>
      </w:r>
      <w:r w:rsidRPr="007576F0">
        <w:rPr>
          <w:rFonts w:ascii="標楷體" w:eastAsia="標楷體" w:hAnsi="標楷體"/>
        </w:rPr>
        <w:t>.與exemestan</w:t>
      </w:r>
      <w:r w:rsidRPr="007576F0">
        <w:rPr>
          <w:rFonts w:ascii="標楷體" w:eastAsia="標楷體" w:hAnsi="標楷體" w:hint="eastAsia"/>
        </w:rPr>
        <w:t>e</w:t>
      </w:r>
      <w:proofErr w:type="gramStart"/>
      <w:r w:rsidRPr="007576F0">
        <w:rPr>
          <w:rFonts w:ascii="標楷體" w:eastAsia="標楷體" w:hAnsi="標楷體"/>
        </w:rPr>
        <w:t>併</w:t>
      </w:r>
      <w:proofErr w:type="gramEnd"/>
      <w:r w:rsidRPr="007576F0">
        <w:rPr>
          <w:rFonts w:ascii="標楷體" w:eastAsia="標楷體" w:hAnsi="標楷體"/>
        </w:rPr>
        <w:t>用，</w:t>
      </w:r>
      <w:r w:rsidRPr="007576F0">
        <w:rPr>
          <w:rFonts w:ascii="標楷體" w:eastAsia="標楷體" w:hAnsi="標楷體" w:hint="eastAsia"/>
        </w:rPr>
        <w:t>適用於曾接受過至少一種治療轉移性的內分泌</w:t>
      </w:r>
      <w:proofErr w:type="gramStart"/>
      <w:r w:rsidRPr="007576F0">
        <w:rPr>
          <w:rFonts w:ascii="標楷體" w:eastAsia="標楷體" w:hAnsi="標楷體" w:hint="eastAsia"/>
        </w:rPr>
        <w:t>併</w:t>
      </w:r>
      <w:proofErr w:type="gramEnd"/>
      <w:r w:rsidRPr="007576F0">
        <w:rPr>
          <w:rFonts w:ascii="標楷體" w:eastAsia="標楷體" w:hAnsi="標楷體" w:hint="eastAsia"/>
        </w:rPr>
        <w:t>用CDK4/6抑制劑治</w:t>
      </w:r>
      <w:r w:rsidRPr="007576F0">
        <w:rPr>
          <w:rFonts w:ascii="標楷體" w:eastAsia="標楷體" w:hAnsi="標楷體" w:hint="eastAsia"/>
          <w:szCs w:val="24"/>
        </w:rPr>
        <w:t>療後復發或惡化</w:t>
      </w:r>
      <w:r w:rsidRPr="007576F0">
        <w:rPr>
          <w:rFonts w:ascii="標楷體" w:eastAsia="標楷體" w:hAnsi="標楷體"/>
          <w:szCs w:val="24"/>
        </w:rPr>
        <w:t>，</w:t>
      </w:r>
      <w:r w:rsidRPr="007576F0">
        <w:rPr>
          <w:rFonts w:ascii="標楷體" w:eastAsia="標楷體" w:hAnsi="標楷體" w:hint="eastAsia"/>
          <w:szCs w:val="24"/>
        </w:rPr>
        <w:t>且未曾使用exemestane之荷爾蒙接受體陽性、HER2受體陰性</w:t>
      </w:r>
      <w:r w:rsidRPr="007576F0">
        <w:rPr>
          <w:rFonts w:ascii="標楷體" w:eastAsia="標楷體" w:hAnsi="標楷體"/>
          <w:szCs w:val="24"/>
        </w:rPr>
        <w:t>，</w:t>
      </w:r>
      <w:r w:rsidRPr="007576F0">
        <w:rPr>
          <w:rFonts w:ascii="標楷體" w:eastAsia="標楷體" w:hAnsi="標楷體" w:hint="eastAsia"/>
          <w:szCs w:val="24"/>
        </w:rPr>
        <w:t>且尚未出現器官轉移危急症狀 (visceral crisis)之</w:t>
      </w:r>
      <w:r w:rsidRPr="007576F0">
        <w:rPr>
          <w:rFonts w:ascii="標楷體" w:eastAsia="標楷體" w:hAnsi="標楷體"/>
          <w:szCs w:val="24"/>
        </w:rPr>
        <w:t>停經後轉移性乳癌</w:t>
      </w:r>
      <w:r w:rsidRPr="007576F0">
        <w:rPr>
          <w:rFonts w:ascii="標楷體" w:eastAsia="標楷體" w:hAnsi="標楷體" w:hint="eastAsia"/>
          <w:szCs w:val="24"/>
        </w:rPr>
        <w:t>病人</w:t>
      </w:r>
      <w:r w:rsidRPr="007576F0">
        <w:rPr>
          <w:rFonts w:ascii="標楷體" w:eastAsia="標楷體" w:hAnsi="標楷體"/>
          <w:szCs w:val="24"/>
        </w:rPr>
        <w:t>。</w:t>
      </w:r>
    </w:p>
    <w:p w14:paraId="44CE5716"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2</w:t>
      </w:r>
      <w:r w:rsidRPr="007576F0">
        <w:rPr>
          <w:rFonts w:ascii="標楷體" w:eastAsia="標楷體" w:hAnsi="標楷體"/>
          <w:szCs w:val="24"/>
        </w:rPr>
        <w:t>.</w:t>
      </w:r>
      <w:r w:rsidRPr="007576F0">
        <w:rPr>
          <w:rFonts w:ascii="標楷體" w:eastAsia="標楷體" w:hAnsi="標楷體" w:hint="eastAsia"/>
          <w:szCs w:val="24"/>
        </w:rPr>
        <w:t>需經事前審查核准後使用，每次申請之療程以3個月為限。初次申請時需檢送病理報告及影像報告，之後每3個月申請一次，再次申請時需檢附影像資料及前次治療結果評估資料證實無惡化，才可繼續使用。</w:t>
      </w:r>
    </w:p>
    <w:p w14:paraId="3AEFBA17" w14:textId="77777777" w:rsidR="007576F0" w:rsidRPr="007576F0" w:rsidRDefault="007576F0" w:rsidP="007576F0">
      <w:pPr>
        <w:spacing w:line="300" w:lineRule="exact"/>
        <w:ind w:left="993" w:hanging="284"/>
        <w:rPr>
          <w:rFonts w:ascii="標楷體" w:eastAsia="標楷體" w:hAnsi="標楷體"/>
        </w:rPr>
      </w:pPr>
      <w:r w:rsidRPr="007576F0">
        <w:rPr>
          <w:rFonts w:ascii="標楷體" w:eastAsia="標楷體" w:hAnsi="標楷體"/>
          <w:szCs w:val="24"/>
        </w:rPr>
        <w:t>3.</w:t>
      </w:r>
      <w:r w:rsidRPr="007576F0">
        <w:rPr>
          <w:rFonts w:ascii="標楷體" w:eastAsia="標楷體" w:hAnsi="標楷體" w:hint="eastAsia"/>
          <w:szCs w:val="24"/>
        </w:rPr>
        <w:t>本藥品</w:t>
      </w:r>
      <w:r w:rsidRPr="007576F0">
        <w:rPr>
          <w:rFonts w:ascii="標楷體" w:eastAsia="標楷體" w:hAnsi="標楷體" w:hint="eastAsia"/>
        </w:rPr>
        <w:t>與</w:t>
      </w:r>
      <w:proofErr w:type="spellStart"/>
      <w:r w:rsidRPr="007576F0">
        <w:rPr>
          <w:rFonts w:ascii="標楷體" w:eastAsia="標楷體" w:hAnsi="標楷體"/>
        </w:rPr>
        <w:t>everolimus</w:t>
      </w:r>
      <w:proofErr w:type="spellEnd"/>
      <w:r w:rsidRPr="007576F0">
        <w:rPr>
          <w:rFonts w:ascii="標楷體" w:eastAsia="標楷體" w:hAnsi="標楷體" w:hint="eastAsia"/>
        </w:rPr>
        <w:t>僅得擇</w:t>
      </w:r>
      <w:proofErr w:type="gramStart"/>
      <w:r w:rsidRPr="007576F0">
        <w:rPr>
          <w:rFonts w:ascii="標楷體" w:eastAsia="標楷體" w:hAnsi="標楷體" w:hint="eastAsia"/>
        </w:rPr>
        <w:t>一</w:t>
      </w:r>
      <w:proofErr w:type="gramEnd"/>
      <w:r w:rsidRPr="007576F0">
        <w:rPr>
          <w:rFonts w:ascii="標楷體" w:eastAsia="標楷體" w:hAnsi="標楷體" w:hint="eastAsia"/>
        </w:rPr>
        <w:t>使用，</w:t>
      </w:r>
      <w:proofErr w:type="gramStart"/>
      <w:r w:rsidRPr="007576F0">
        <w:rPr>
          <w:rFonts w:ascii="標楷體" w:eastAsia="標楷體" w:hAnsi="標楷體" w:hint="eastAsia"/>
        </w:rPr>
        <w:t>除因耐受</w:t>
      </w:r>
      <w:proofErr w:type="gramEnd"/>
      <w:r w:rsidRPr="007576F0">
        <w:rPr>
          <w:rFonts w:ascii="標楷體" w:eastAsia="標楷體" w:hAnsi="標楷體" w:hint="eastAsia"/>
        </w:rPr>
        <w:t>性不良，不得互換。</w:t>
      </w:r>
    </w:p>
    <w:p w14:paraId="19C2C8B1" w14:textId="77777777" w:rsidR="007576F0" w:rsidRPr="007576F0" w:rsidRDefault="007576F0" w:rsidP="007576F0">
      <w:pPr>
        <w:spacing w:line="300" w:lineRule="exact"/>
        <w:ind w:left="610" w:hanging="245"/>
      </w:pPr>
      <w:bookmarkStart w:id="78" w:name="_Hlk230360050"/>
      <w:r w:rsidRPr="007576F0">
        <w:rPr>
          <w:rFonts w:ascii="標楷體" w:eastAsia="標楷體" w:hAnsi="標楷體" w:cs="標楷體"/>
          <w:color w:val="000000"/>
          <w:kern w:val="0"/>
          <w:szCs w:val="24"/>
        </w:rPr>
        <w:t>9.</w:t>
      </w:r>
      <w:r w:rsidRPr="007576F0">
        <w:rPr>
          <w:rFonts w:ascii="標楷體" w:eastAsia="標楷體" w:hAnsi="標楷體"/>
        </w:rPr>
        <w:t>129</w:t>
      </w:r>
      <w:r w:rsidRPr="007576F0">
        <w:rPr>
          <w:rFonts w:ascii="標楷體" w:eastAsia="標楷體" w:hAnsi="標楷體" w:cs="標楷體"/>
          <w:color w:val="000000"/>
          <w:kern w:val="0"/>
          <w:szCs w:val="24"/>
        </w:rPr>
        <w:t>.</w:t>
      </w:r>
      <w:r w:rsidRPr="007576F0">
        <w:rPr>
          <w:rFonts w:ascii="標楷體" w:eastAsia="標楷體" w:hAnsi="標楷體"/>
        </w:rPr>
        <w:t>Alpelisib</w:t>
      </w:r>
      <w:r w:rsidRPr="007576F0">
        <w:rPr>
          <w:rFonts w:ascii="標楷體" w:eastAsia="標楷體" w:hAnsi="標楷體" w:cs="標楷體"/>
          <w:color w:val="000000"/>
          <w:kern w:val="0"/>
          <w:szCs w:val="24"/>
        </w:rPr>
        <w:t xml:space="preserve"> (如</w:t>
      </w:r>
      <w:proofErr w:type="spellStart"/>
      <w:r w:rsidRPr="007576F0">
        <w:rPr>
          <w:rFonts w:ascii="標楷體" w:eastAsia="標楷體" w:hAnsi="標楷體" w:cs="標楷體"/>
          <w:color w:val="000000"/>
          <w:kern w:val="0"/>
          <w:szCs w:val="24"/>
        </w:rPr>
        <w:t>Piqray</w:t>
      </w:r>
      <w:proofErr w:type="spellEnd"/>
      <w:proofErr w:type="gramStart"/>
      <w:r w:rsidRPr="007576F0">
        <w:rPr>
          <w:rFonts w:ascii="標楷體" w:eastAsia="標楷體" w:hAnsi="標楷體" w:cs="標楷體"/>
          <w:color w:val="000000"/>
          <w:kern w:val="0"/>
          <w:szCs w:val="24"/>
        </w:rPr>
        <w:t>）</w:t>
      </w:r>
      <w:proofErr w:type="gramEnd"/>
      <w:r w:rsidRPr="007576F0">
        <w:rPr>
          <w:rFonts w:ascii="標楷體" w:eastAsia="標楷體" w:hAnsi="標楷體" w:cs="標楷體"/>
          <w:color w:val="000000"/>
          <w:kern w:val="0"/>
          <w:szCs w:val="24"/>
        </w:rPr>
        <w:t>：(115/1/1</w:t>
      </w:r>
      <w:r w:rsidRPr="007576F0">
        <w:rPr>
          <w:rFonts w:ascii="標楷體" w:eastAsia="標楷體" w:hAnsi="標楷體" w:cs="標楷體" w:hint="eastAsia"/>
          <w:color w:val="000000"/>
          <w:kern w:val="0"/>
          <w:szCs w:val="24"/>
        </w:rPr>
        <w:t>、115/6/1</w:t>
      </w:r>
      <w:r w:rsidRPr="007576F0">
        <w:rPr>
          <w:rFonts w:ascii="標楷體" w:eastAsia="標楷體" w:hAnsi="標楷體" w:cs="標楷體"/>
          <w:color w:val="000000"/>
          <w:kern w:val="0"/>
          <w:szCs w:val="24"/>
        </w:rPr>
        <w:t>)</w:t>
      </w:r>
    </w:p>
    <w:p w14:paraId="6099FAF3" w14:textId="77777777" w:rsidR="007576F0" w:rsidRPr="007576F0" w:rsidRDefault="007576F0" w:rsidP="007576F0">
      <w:pPr>
        <w:spacing w:line="300" w:lineRule="exact"/>
        <w:ind w:left="993" w:hanging="284"/>
      </w:pPr>
      <w:r w:rsidRPr="007576F0">
        <w:rPr>
          <w:rFonts w:ascii="標楷體" w:eastAsia="標楷體" w:hAnsi="標楷體" w:cs="標楷體"/>
          <w:color w:val="000000"/>
          <w:kern w:val="0"/>
          <w:szCs w:val="24"/>
        </w:rPr>
        <w:t>1.與</w:t>
      </w:r>
      <w:proofErr w:type="spellStart"/>
      <w:r w:rsidRPr="007576F0">
        <w:rPr>
          <w:rFonts w:ascii="標楷體" w:eastAsia="標楷體" w:hAnsi="標楷體"/>
        </w:rPr>
        <w:t>fulves</w:t>
      </w:r>
      <w:r w:rsidRPr="007576F0">
        <w:rPr>
          <w:rFonts w:ascii="標楷體" w:eastAsia="標楷體" w:hAnsi="標楷體"/>
          <w:szCs w:val="24"/>
        </w:rPr>
        <w:t>trant</w:t>
      </w:r>
      <w:proofErr w:type="spellEnd"/>
      <w:proofErr w:type="gramStart"/>
      <w:r w:rsidRPr="007576F0">
        <w:rPr>
          <w:rFonts w:ascii="標楷體" w:eastAsia="標楷體" w:hAnsi="標楷體"/>
          <w:szCs w:val="24"/>
        </w:rPr>
        <w:t>併</w:t>
      </w:r>
      <w:proofErr w:type="gramEnd"/>
      <w:r w:rsidRPr="007576F0">
        <w:rPr>
          <w:rFonts w:ascii="標楷體" w:eastAsia="標楷體" w:hAnsi="標楷體"/>
          <w:szCs w:val="24"/>
        </w:rPr>
        <w:t>用於曾接受CDK4/6抑制劑治療但疾病惡化的停經後轉移性乳癌病人，且須完</w:t>
      </w:r>
      <w:r w:rsidRPr="007576F0">
        <w:rPr>
          <w:rFonts w:ascii="標楷體" w:eastAsia="標楷體" w:hAnsi="標楷體" w:cs="標楷體"/>
          <w:color w:val="000000"/>
          <w:kern w:val="0"/>
          <w:szCs w:val="24"/>
        </w:rPr>
        <w:t>全符合下列條件：</w:t>
      </w:r>
    </w:p>
    <w:p w14:paraId="0E3D3584" w14:textId="77777777" w:rsidR="007576F0" w:rsidRPr="007576F0" w:rsidRDefault="007576F0" w:rsidP="007576F0">
      <w:pPr>
        <w:snapToGrid w:val="0"/>
        <w:spacing w:line="300" w:lineRule="exact"/>
        <w:ind w:left="1133" w:hanging="365"/>
        <w:jc w:val="both"/>
      </w:pPr>
      <w:r w:rsidRPr="007576F0">
        <w:rPr>
          <w:rFonts w:ascii="標楷體" w:eastAsia="標楷體" w:hAnsi="標楷體" w:cs="標楷體"/>
          <w:color w:val="000000"/>
          <w:kern w:val="0"/>
          <w:szCs w:val="24"/>
        </w:rPr>
        <w:t>(1)荷爾</w:t>
      </w:r>
      <w:r w:rsidRPr="007576F0">
        <w:rPr>
          <w:rFonts w:ascii="標楷體" w:eastAsia="標楷體" w:hAnsi="標楷體"/>
          <w:szCs w:val="24"/>
        </w:rPr>
        <w:t>蒙受體為：ER或PR＞30%。</w:t>
      </w:r>
    </w:p>
    <w:p w14:paraId="5D3AB862" w14:textId="77777777" w:rsidR="007576F0" w:rsidRPr="007576F0" w:rsidRDefault="007576F0" w:rsidP="007576F0">
      <w:pPr>
        <w:snapToGrid w:val="0"/>
        <w:spacing w:line="300" w:lineRule="exact"/>
        <w:ind w:left="1133" w:hanging="365"/>
        <w:jc w:val="both"/>
        <w:rPr>
          <w:rFonts w:ascii="標楷體" w:eastAsia="標楷體" w:hAnsi="標楷體"/>
          <w:szCs w:val="24"/>
        </w:rPr>
      </w:pPr>
      <w:r w:rsidRPr="007576F0">
        <w:rPr>
          <w:rFonts w:ascii="標楷體" w:eastAsia="標楷體" w:hAnsi="標楷體"/>
          <w:szCs w:val="24"/>
        </w:rPr>
        <w:t>(2)HER-2 檢測為陰性。</w:t>
      </w:r>
    </w:p>
    <w:p w14:paraId="30C0609E" w14:textId="77777777" w:rsidR="007576F0" w:rsidRPr="007576F0" w:rsidRDefault="007576F0" w:rsidP="007576F0">
      <w:pPr>
        <w:snapToGrid w:val="0"/>
        <w:spacing w:line="300" w:lineRule="exact"/>
        <w:ind w:left="1133" w:hanging="365"/>
        <w:jc w:val="both"/>
      </w:pPr>
      <w:r w:rsidRPr="007576F0">
        <w:rPr>
          <w:rFonts w:ascii="標楷體" w:eastAsia="標楷體" w:hAnsi="標楷體"/>
          <w:szCs w:val="24"/>
        </w:rPr>
        <w:t>(3)具有</w:t>
      </w:r>
      <w:r w:rsidRPr="007576F0">
        <w:rPr>
          <w:rFonts w:ascii="標楷體" w:eastAsia="標楷體" w:hAnsi="標楷體" w:cs="標楷體"/>
          <w:color w:val="000000"/>
          <w:kern w:val="0"/>
          <w:szCs w:val="24"/>
        </w:rPr>
        <w:t>PIK3CA基因突變。</w:t>
      </w:r>
    </w:p>
    <w:p w14:paraId="5F475F2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2.需經事前審查核准後使用：</w:t>
      </w:r>
    </w:p>
    <w:p w14:paraId="5019EECC" w14:textId="77777777" w:rsidR="007576F0" w:rsidRPr="007576F0" w:rsidRDefault="007576F0" w:rsidP="007576F0">
      <w:pPr>
        <w:snapToGrid w:val="0"/>
        <w:spacing w:line="300" w:lineRule="exact"/>
        <w:ind w:left="1133" w:hanging="365"/>
        <w:jc w:val="both"/>
      </w:pPr>
      <w:r w:rsidRPr="007576F0">
        <w:rPr>
          <w:rFonts w:ascii="標楷體" w:eastAsia="標楷體" w:hAnsi="標楷體"/>
          <w:szCs w:val="24"/>
        </w:rPr>
        <w:t>(1)初次申請需檢附</w:t>
      </w:r>
      <w:r w:rsidRPr="007576F0">
        <w:rPr>
          <w:rFonts w:ascii="標楷體" w:eastAsia="標楷體" w:hAnsi="標楷體" w:cs="標楷體"/>
          <w:color w:val="000000"/>
          <w:kern w:val="0"/>
          <w:szCs w:val="24"/>
        </w:rPr>
        <w:t>PIK3CA基因突變檢測報告，且需符合全民健康保險藥品給付規定之通則十二。</w:t>
      </w:r>
    </w:p>
    <w:p w14:paraId="0DEAF895" w14:textId="77777777" w:rsidR="007576F0" w:rsidRPr="007576F0" w:rsidRDefault="007576F0" w:rsidP="007576F0">
      <w:pPr>
        <w:snapToGrid w:val="0"/>
        <w:spacing w:line="300" w:lineRule="exact"/>
        <w:ind w:left="1133" w:hanging="365"/>
        <w:jc w:val="both"/>
      </w:pPr>
      <w:r w:rsidRPr="007576F0">
        <w:rPr>
          <w:rFonts w:ascii="標楷體" w:eastAsia="標楷體" w:hAnsi="標楷體"/>
          <w:szCs w:val="24"/>
        </w:rPr>
        <w:t>(2)</w:t>
      </w:r>
      <w:r w:rsidRPr="007576F0">
        <w:rPr>
          <w:rFonts w:ascii="標楷體" w:eastAsia="標楷體" w:hAnsi="標楷體" w:cs="標楷體"/>
          <w:color w:val="000000"/>
          <w:kern w:val="0"/>
          <w:szCs w:val="24"/>
        </w:rPr>
        <w:t>核准後每12</w:t>
      </w:r>
      <w:proofErr w:type="gramStart"/>
      <w:r w:rsidRPr="007576F0">
        <w:rPr>
          <w:rFonts w:ascii="標楷體" w:eastAsia="標楷體" w:hAnsi="標楷體" w:cs="標楷體"/>
          <w:color w:val="000000"/>
          <w:kern w:val="0"/>
          <w:szCs w:val="24"/>
        </w:rPr>
        <w:t>週</w:t>
      </w:r>
      <w:proofErr w:type="gramEnd"/>
      <w:r w:rsidRPr="007576F0">
        <w:rPr>
          <w:rFonts w:ascii="標楷體" w:eastAsia="標楷體" w:hAnsi="標楷體" w:cs="標楷體"/>
          <w:color w:val="000000"/>
          <w:kern w:val="0"/>
          <w:szCs w:val="24"/>
        </w:rPr>
        <w:t>需檢附療效</w:t>
      </w:r>
      <w:r w:rsidRPr="007576F0">
        <w:rPr>
          <w:rFonts w:ascii="標楷體" w:eastAsia="標楷體" w:hAnsi="標楷體"/>
          <w:szCs w:val="24"/>
        </w:rPr>
        <w:t>評估</w:t>
      </w:r>
      <w:r w:rsidRPr="007576F0">
        <w:rPr>
          <w:rFonts w:ascii="標楷體" w:eastAsia="標楷體" w:hAnsi="標楷體" w:cs="標楷體"/>
          <w:color w:val="000000"/>
          <w:kern w:val="0"/>
          <w:szCs w:val="24"/>
        </w:rPr>
        <w:t>資料再次申請，若疾病惡化及必須停止使用。</w:t>
      </w:r>
    </w:p>
    <w:p w14:paraId="0A4F11E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3.每日最多處方2粒。</w:t>
      </w:r>
    </w:p>
    <w:p w14:paraId="166E46A6"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hint="eastAsia"/>
          <w:szCs w:val="24"/>
        </w:rPr>
        <w:t>4.本藥品</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w:t>
      </w:r>
      <w:proofErr w:type="spellStart"/>
      <w:r w:rsidRPr="007576F0">
        <w:rPr>
          <w:rFonts w:ascii="標楷體" w:eastAsia="標楷體" w:hAnsi="標楷體" w:hint="eastAsia"/>
          <w:szCs w:val="24"/>
        </w:rPr>
        <w:t>fulvestrant</w:t>
      </w:r>
      <w:proofErr w:type="spellEnd"/>
      <w:r w:rsidRPr="007576F0">
        <w:rPr>
          <w:rFonts w:ascii="標楷體" w:eastAsia="標楷體" w:hAnsi="標楷體" w:hint="eastAsia"/>
          <w:szCs w:val="24"/>
        </w:rPr>
        <w:t>與</w:t>
      </w:r>
      <w:proofErr w:type="spellStart"/>
      <w:r w:rsidRPr="007576F0">
        <w:rPr>
          <w:rFonts w:ascii="標楷體" w:eastAsia="標楷體" w:hAnsi="標楷體" w:hint="eastAsia"/>
          <w:szCs w:val="24"/>
        </w:rPr>
        <w:t>capivasertib</w:t>
      </w:r>
      <w:proofErr w:type="spellEnd"/>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w:t>
      </w:r>
      <w:proofErr w:type="spellStart"/>
      <w:r w:rsidRPr="007576F0">
        <w:rPr>
          <w:rFonts w:ascii="標楷體" w:eastAsia="標楷體" w:hAnsi="標楷體" w:hint="eastAsia"/>
          <w:szCs w:val="24"/>
        </w:rPr>
        <w:t>fulvestrant</w:t>
      </w:r>
      <w:proofErr w:type="spellEnd"/>
      <w:r w:rsidRPr="007576F0">
        <w:rPr>
          <w:rFonts w:ascii="標楷體" w:eastAsia="標楷體" w:hAnsi="標楷體" w:hint="eastAsia"/>
          <w:szCs w:val="24"/>
        </w:rPr>
        <w:t>用於PIK3CA基因突變病人時，僅得擇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給付。(115/6/1)</w:t>
      </w:r>
      <w:bookmarkEnd w:id="78"/>
    </w:p>
    <w:p w14:paraId="1F991A96" w14:textId="77777777" w:rsidR="007576F0" w:rsidRPr="007576F0" w:rsidRDefault="007576F0" w:rsidP="007576F0">
      <w:pPr>
        <w:spacing w:line="300" w:lineRule="exact"/>
        <w:ind w:left="610" w:hanging="245"/>
      </w:pPr>
      <w:bookmarkStart w:id="79" w:name="_Hlk230360025"/>
      <w:r w:rsidRPr="007576F0">
        <w:rPr>
          <w:rFonts w:ascii="標楷體" w:eastAsia="標楷體" w:hAnsi="標楷體"/>
          <w:color w:val="000000"/>
        </w:rPr>
        <w:t>9.130.</w:t>
      </w:r>
      <w:r w:rsidRPr="007576F0">
        <w:rPr>
          <w:rFonts w:ascii="標楷體" w:eastAsia="標楷體" w:hAnsi="標楷體"/>
        </w:rPr>
        <w:t>Fulvestrant</w:t>
      </w:r>
      <w:r w:rsidRPr="007576F0">
        <w:rPr>
          <w:rFonts w:ascii="標楷體" w:eastAsia="標楷體" w:hAnsi="標楷體"/>
          <w:color w:val="000000"/>
        </w:rPr>
        <w:t xml:space="preserve">(如 </w:t>
      </w:r>
      <w:proofErr w:type="spellStart"/>
      <w:r w:rsidRPr="007576F0">
        <w:rPr>
          <w:rFonts w:ascii="標楷體" w:eastAsia="標楷體" w:hAnsi="標楷體"/>
          <w:color w:val="000000"/>
        </w:rPr>
        <w:t>Fustron</w:t>
      </w:r>
      <w:proofErr w:type="spellEnd"/>
      <w:r w:rsidRPr="007576F0">
        <w:rPr>
          <w:rFonts w:ascii="標楷體" w:eastAsia="標楷體" w:hAnsi="標楷體"/>
          <w:color w:val="000000"/>
        </w:rPr>
        <w:t>)：(115/1/1</w:t>
      </w:r>
      <w:r w:rsidRPr="007576F0">
        <w:rPr>
          <w:rFonts w:ascii="標楷體" w:eastAsia="標楷體" w:hAnsi="標楷體" w:hint="eastAsia"/>
          <w:color w:val="000000"/>
        </w:rPr>
        <w:t>、115/6/1</w:t>
      </w:r>
      <w:r w:rsidRPr="007576F0">
        <w:rPr>
          <w:rFonts w:ascii="標楷體" w:eastAsia="標楷體" w:hAnsi="標楷體"/>
          <w:color w:val="000000"/>
        </w:rPr>
        <w:t>)</w:t>
      </w:r>
    </w:p>
    <w:p w14:paraId="4F9D9C85"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color w:val="000000"/>
        </w:rPr>
        <w:t>1.單獨使</w:t>
      </w:r>
      <w:r w:rsidRPr="007576F0">
        <w:rPr>
          <w:rFonts w:ascii="標楷體" w:eastAsia="標楷體" w:hAnsi="標楷體"/>
          <w:szCs w:val="24"/>
        </w:rPr>
        <w:t xml:space="preserve">用於患有雌激素受體陽性的局部晚期或轉移性乳癌之停經病人，其已接受輔助抗雌激素療法但疾病仍復發，或使用抗雌激素療法但疾病仍惡化。 </w:t>
      </w:r>
    </w:p>
    <w:p w14:paraId="6C8A84B6" w14:textId="77777777" w:rsidR="007576F0" w:rsidRPr="007576F0" w:rsidRDefault="007576F0" w:rsidP="007576F0">
      <w:pPr>
        <w:spacing w:line="300" w:lineRule="exact"/>
        <w:ind w:left="993" w:hanging="284"/>
        <w:rPr>
          <w:rFonts w:ascii="標楷體" w:eastAsia="標楷體" w:hAnsi="標楷體"/>
          <w:szCs w:val="24"/>
        </w:rPr>
      </w:pPr>
      <w:r w:rsidRPr="007576F0">
        <w:rPr>
          <w:rFonts w:ascii="標楷體" w:eastAsia="標楷體" w:hAnsi="標楷體"/>
          <w:szCs w:val="24"/>
        </w:rPr>
        <w:t>2.與</w:t>
      </w:r>
      <w:proofErr w:type="spellStart"/>
      <w:r w:rsidRPr="007576F0">
        <w:rPr>
          <w:rFonts w:ascii="標楷體" w:eastAsia="標楷體" w:hAnsi="標楷體"/>
          <w:szCs w:val="24"/>
        </w:rPr>
        <w:t>alpelisib</w:t>
      </w:r>
      <w:proofErr w:type="spellEnd"/>
      <w:r w:rsidRPr="007576F0">
        <w:rPr>
          <w:rFonts w:ascii="標楷體" w:eastAsia="標楷體" w:hAnsi="標楷體" w:hint="eastAsia"/>
          <w:szCs w:val="24"/>
        </w:rPr>
        <w:t>或</w:t>
      </w:r>
      <w:proofErr w:type="spellStart"/>
      <w:r w:rsidRPr="007576F0">
        <w:rPr>
          <w:rFonts w:ascii="標楷體" w:eastAsia="標楷體" w:hAnsi="標楷體" w:hint="eastAsia"/>
          <w:szCs w:val="24"/>
        </w:rPr>
        <w:t>c</w:t>
      </w:r>
      <w:r w:rsidRPr="007576F0">
        <w:rPr>
          <w:rFonts w:ascii="標楷體" w:eastAsia="標楷體" w:hAnsi="標楷體"/>
          <w:szCs w:val="24"/>
        </w:rPr>
        <w:t>apivasertib</w:t>
      </w:r>
      <w:proofErr w:type="spellEnd"/>
      <w:proofErr w:type="gramStart"/>
      <w:r w:rsidRPr="007576F0">
        <w:rPr>
          <w:rFonts w:ascii="標楷體" w:eastAsia="標楷體" w:hAnsi="標楷體"/>
          <w:szCs w:val="24"/>
        </w:rPr>
        <w:t>併</w:t>
      </w:r>
      <w:proofErr w:type="gramEnd"/>
      <w:r w:rsidRPr="007576F0">
        <w:rPr>
          <w:rFonts w:ascii="標楷體" w:eastAsia="標楷體" w:hAnsi="標楷體"/>
          <w:szCs w:val="24"/>
        </w:rPr>
        <w:t>用於曾接受CDK4/6抑制劑治療但疾病惡化的停經後轉移性乳癌病人，且須符合</w:t>
      </w:r>
      <w:proofErr w:type="spellStart"/>
      <w:r w:rsidRPr="007576F0">
        <w:rPr>
          <w:rFonts w:ascii="標楷體" w:eastAsia="標楷體" w:hAnsi="標楷體"/>
          <w:szCs w:val="24"/>
        </w:rPr>
        <w:t>alpelisib</w:t>
      </w:r>
      <w:proofErr w:type="spellEnd"/>
      <w:r w:rsidRPr="007576F0">
        <w:rPr>
          <w:rFonts w:ascii="標楷體" w:eastAsia="標楷體" w:hAnsi="標楷體" w:hint="eastAsia"/>
          <w:szCs w:val="24"/>
        </w:rPr>
        <w:t>或</w:t>
      </w:r>
      <w:proofErr w:type="spellStart"/>
      <w:r w:rsidRPr="007576F0">
        <w:rPr>
          <w:rFonts w:ascii="標楷體" w:eastAsia="標楷體" w:hAnsi="標楷體" w:hint="eastAsia"/>
          <w:szCs w:val="24"/>
        </w:rPr>
        <w:t>capivasertib</w:t>
      </w:r>
      <w:proofErr w:type="spellEnd"/>
      <w:r w:rsidRPr="007576F0">
        <w:rPr>
          <w:rFonts w:ascii="標楷體" w:eastAsia="標楷體" w:hAnsi="標楷體"/>
          <w:szCs w:val="24"/>
        </w:rPr>
        <w:t>之藥品給付規定。</w:t>
      </w:r>
      <w:r w:rsidRPr="007576F0">
        <w:rPr>
          <w:rFonts w:ascii="標楷體" w:eastAsia="標楷體" w:hAnsi="標楷體" w:hint="eastAsia"/>
          <w:szCs w:val="24"/>
        </w:rPr>
        <w:t>(</w:t>
      </w:r>
      <w:r w:rsidRPr="007576F0">
        <w:rPr>
          <w:rFonts w:ascii="標楷體" w:eastAsia="標楷體" w:hAnsi="標楷體"/>
          <w:szCs w:val="24"/>
        </w:rPr>
        <w:t>115/1/1</w:t>
      </w:r>
      <w:r w:rsidRPr="007576F0">
        <w:rPr>
          <w:rFonts w:ascii="標楷體" w:eastAsia="標楷體" w:hAnsi="標楷體" w:hint="eastAsia"/>
          <w:szCs w:val="24"/>
        </w:rPr>
        <w:t>、1</w:t>
      </w:r>
      <w:r w:rsidRPr="007576F0">
        <w:rPr>
          <w:rFonts w:ascii="標楷體" w:eastAsia="標楷體" w:hAnsi="標楷體"/>
          <w:szCs w:val="24"/>
        </w:rPr>
        <w:t>15/6/1)</w:t>
      </w:r>
    </w:p>
    <w:p w14:paraId="191237A0" w14:textId="77777777" w:rsidR="007576F0" w:rsidRPr="007576F0" w:rsidRDefault="007576F0" w:rsidP="007576F0">
      <w:pPr>
        <w:spacing w:line="300" w:lineRule="exact"/>
        <w:ind w:left="993" w:hanging="284"/>
      </w:pPr>
      <w:r w:rsidRPr="007576F0">
        <w:rPr>
          <w:rFonts w:ascii="標楷體" w:eastAsia="標楷體" w:hAnsi="標楷體"/>
          <w:szCs w:val="24"/>
        </w:rPr>
        <w:t>3.與CDK4/6抑制劑(限使用palbociclib)</w:t>
      </w:r>
      <w:proofErr w:type="gramStart"/>
      <w:r w:rsidRPr="007576F0">
        <w:rPr>
          <w:rFonts w:ascii="標楷體" w:eastAsia="標楷體" w:hAnsi="標楷體"/>
          <w:szCs w:val="24"/>
        </w:rPr>
        <w:t>併</w:t>
      </w:r>
      <w:proofErr w:type="gramEnd"/>
      <w:r w:rsidRPr="007576F0">
        <w:rPr>
          <w:rFonts w:ascii="標楷體" w:eastAsia="標楷體" w:hAnsi="標楷體"/>
          <w:szCs w:val="24"/>
        </w:rPr>
        <w:t>用於曾接受過內分泌療法之局部晚期或轉移性乳癌</w:t>
      </w:r>
      <w:r w:rsidRPr="007576F0">
        <w:rPr>
          <w:rFonts w:ascii="標楷體" w:eastAsia="標楷體" w:hAnsi="標楷體" w:cs="標楷體"/>
          <w:color w:val="000000"/>
          <w:kern w:val="0"/>
          <w:szCs w:val="24"/>
        </w:rPr>
        <w:t>病人</w:t>
      </w:r>
      <w:r w:rsidRPr="007576F0">
        <w:rPr>
          <w:rFonts w:ascii="標楷體" w:eastAsia="標楷體" w:hAnsi="標楷體"/>
          <w:color w:val="000000"/>
        </w:rPr>
        <w:t>，且須符合CDK4/6抑制劑之藥品給付規定。</w:t>
      </w:r>
      <w:bookmarkEnd w:id="79"/>
    </w:p>
    <w:p w14:paraId="6AECB230" w14:textId="77777777" w:rsidR="007576F0" w:rsidRPr="007576F0" w:rsidRDefault="007576F0" w:rsidP="007576F0">
      <w:pPr>
        <w:spacing w:line="300" w:lineRule="exact"/>
        <w:ind w:left="610" w:hanging="245"/>
        <w:rPr>
          <w:rFonts w:ascii="標楷體" w:eastAsia="標楷體" w:hAnsi="標楷體"/>
        </w:rPr>
      </w:pPr>
      <w:r w:rsidRPr="007576F0">
        <w:rPr>
          <w:rFonts w:ascii="標楷體" w:eastAsia="標楷體" w:hAnsi="標楷體"/>
        </w:rPr>
        <w:t>9.131.Repotrectinib(如</w:t>
      </w:r>
      <w:proofErr w:type="spellStart"/>
      <w:r w:rsidRPr="007576F0">
        <w:rPr>
          <w:rFonts w:ascii="標楷體" w:eastAsia="標楷體" w:hAnsi="標楷體"/>
        </w:rPr>
        <w:t>Augtyro</w:t>
      </w:r>
      <w:proofErr w:type="spellEnd"/>
      <w:r w:rsidRPr="007576F0">
        <w:rPr>
          <w:rFonts w:ascii="標楷體" w:eastAsia="標楷體" w:hAnsi="標楷體"/>
        </w:rPr>
        <w:t>)：(115/2/1)</w:t>
      </w:r>
    </w:p>
    <w:p w14:paraId="157CDD11" w14:textId="77777777" w:rsidR="007576F0" w:rsidRPr="007576F0" w:rsidRDefault="007576F0" w:rsidP="007576F0">
      <w:pPr>
        <w:spacing w:line="300" w:lineRule="exact"/>
        <w:ind w:left="993" w:hanging="284"/>
        <w:rPr>
          <w:rFonts w:ascii="標楷體" w:eastAsia="標楷體" w:hAnsi="標楷體" w:cs="標楷體"/>
          <w:color w:val="000000"/>
          <w:kern w:val="0"/>
          <w:szCs w:val="24"/>
        </w:rPr>
      </w:pPr>
      <w:r w:rsidRPr="007576F0">
        <w:rPr>
          <w:rFonts w:ascii="標楷體" w:eastAsia="標楷體" w:hAnsi="標楷體"/>
        </w:rPr>
        <w:t>1.單獨給</w:t>
      </w:r>
      <w:r w:rsidRPr="007576F0">
        <w:rPr>
          <w:rFonts w:ascii="標楷體" w:eastAsia="標楷體" w:hAnsi="標楷體" w:cs="標楷體"/>
          <w:color w:val="000000"/>
          <w:kern w:val="0"/>
          <w:szCs w:val="24"/>
        </w:rPr>
        <w:t>付於在</w:t>
      </w:r>
      <w:proofErr w:type="spellStart"/>
      <w:r w:rsidRPr="007576F0">
        <w:rPr>
          <w:rFonts w:ascii="標楷體" w:eastAsia="標楷體" w:hAnsi="標楷體" w:cs="標楷體"/>
          <w:color w:val="000000"/>
          <w:kern w:val="0"/>
          <w:szCs w:val="24"/>
        </w:rPr>
        <w:t>crizotinib</w:t>
      </w:r>
      <w:proofErr w:type="spellEnd"/>
      <w:r w:rsidRPr="007576F0">
        <w:rPr>
          <w:rFonts w:ascii="標楷體" w:eastAsia="標楷體" w:hAnsi="標楷體" w:cs="標楷體"/>
          <w:color w:val="000000"/>
          <w:kern w:val="0"/>
          <w:szCs w:val="24"/>
        </w:rPr>
        <w:t>或</w:t>
      </w:r>
      <w:proofErr w:type="spellStart"/>
      <w:r w:rsidRPr="007576F0">
        <w:rPr>
          <w:rFonts w:ascii="標楷體" w:eastAsia="標楷體" w:hAnsi="標楷體" w:cs="標楷體"/>
          <w:color w:val="000000"/>
          <w:kern w:val="0"/>
          <w:szCs w:val="24"/>
        </w:rPr>
        <w:t>entrectinib</w:t>
      </w:r>
      <w:proofErr w:type="spellEnd"/>
      <w:r w:rsidRPr="007576F0">
        <w:rPr>
          <w:rFonts w:ascii="標楷體" w:eastAsia="標楷體" w:hAnsi="標楷體" w:cs="標楷體"/>
          <w:color w:val="000000"/>
          <w:kern w:val="0"/>
          <w:szCs w:val="24"/>
        </w:rPr>
        <w:t>治療中惡化之ROS1陽性之局部晚期或</w:t>
      </w:r>
      <w:proofErr w:type="gramStart"/>
      <w:r w:rsidRPr="007576F0">
        <w:rPr>
          <w:rFonts w:ascii="標楷體" w:eastAsia="標楷體" w:hAnsi="標楷體" w:cs="標楷體"/>
          <w:color w:val="000000"/>
          <w:kern w:val="0"/>
          <w:szCs w:val="24"/>
        </w:rPr>
        <w:t>轉移性非小</w:t>
      </w:r>
      <w:proofErr w:type="gramEnd"/>
      <w:r w:rsidRPr="007576F0">
        <w:rPr>
          <w:rFonts w:ascii="標楷體" w:eastAsia="標楷體" w:hAnsi="標楷體" w:cs="標楷體"/>
          <w:color w:val="000000"/>
          <w:kern w:val="0"/>
          <w:szCs w:val="24"/>
        </w:rPr>
        <w:t>細胞肺癌的成人病人。</w:t>
      </w:r>
    </w:p>
    <w:p w14:paraId="723991F1" w14:textId="77777777" w:rsidR="007576F0" w:rsidRPr="007576F0" w:rsidRDefault="007576F0" w:rsidP="007576F0">
      <w:pPr>
        <w:spacing w:line="300" w:lineRule="exact"/>
        <w:ind w:left="993" w:hanging="284"/>
        <w:rPr>
          <w:rFonts w:ascii="標楷體" w:eastAsia="標楷體" w:hAnsi="標楷體"/>
        </w:rPr>
      </w:pPr>
      <w:r w:rsidRPr="007576F0">
        <w:rPr>
          <w:rFonts w:ascii="標楷體" w:eastAsia="標楷體" w:hAnsi="標楷體" w:cs="標楷體"/>
          <w:color w:val="000000"/>
          <w:kern w:val="0"/>
          <w:szCs w:val="24"/>
        </w:rPr>
        <w:t>2.須經事前</w:t>
      </w:r>
      <w:r w:rsidRPr="007576F0">
        <w:rPr>
          <w:rFonts w:ascii="標楷體" w:eastAsia="標楷體" w:hAnsi="標楷體"/>
        </w:rPr>
        <w:t>審查核准後使用：</w:t>
      </w:r>
    </w:p>
    <w:p w14:paraId="25A0B04E" w14:textId="77777777" w:rsidR="007576F0" w:rsidRPr="007576F0" w:rsidRDefault="007576F0" w:rsidP="007576F0">
      <w:pPr>
        <w:snapToGrid w:val="0"/>
        <w:spacing w:line="300" w:lineRule="exact"/>
        <w:ind w:left="993" w:hanging="283"/>
        <w:jc w:val="both"/>
        <w:rPr>
          <w:rFonts w:ascii="標楷體" w:eastAsia="標楷體" w:hAnsi="標楷體"/>
        </w:rPr>
      </w:pPr>
      <w:r w:rsidRPr="007576F0">
        <w:rPr>
          <w:rFonts w:ascii="標楷體" w:eastAsia="標楷體" w:hAnsi="標楷體"/>
        </w:rPr>
        <w:t>(1)需檢具確實患有非小細胞肺癌之病理或細胞檢查報告，以及符合診斷之ROS-1突變檢測報告，且需符合全民健康保險藥品給付規定之通則十二。</w:t>
      </w:r>
    </w:p>
    <w:p w14:paraId="20986D97" w14:textId="77777777" w:rsidR="007576F0" w:rsidRPr="007576F0" w:rsidRDefault="007576F0" w:rsidP="007576F0">
      <w:pPr>
        <w:snapToGrid w:val="0"/>
        <w:spacing w:line="300" w:lineRule="exact"/>
        <w:ind w:left="993" w:hanging="283"/>
        <w:jc w:val="both"/>
        <w:rPr>
          <w:rFonts w:ascii="標楷體" w:eastAsia="標楷體" w:hAnsi="標楷體"/>
        </w:rPr>
      </w:pPr>
      <w:r w:rsidRPr="007576F0">
        <w:rPr>
          <w:rFonts w:ascii="標楷體" w:eastAsia="標楷體" w:hAnsi="標楷體"/>
        </w:rPr>
        <w:t>(2)每次申請事前審查以3個月為限，再次申請時需附上治療後相關臨床資料，如給藥4</w:t>
      </w:r>
      <w:proofErr w:type="gramStart"/>
      <w:r w:rsidRPr="007576F0">
        <w:rPr>
          <w:rFonts w:ascii="標楷體" w:eastAsia="標楷體" w:hAnsi="標楷體"/>
        </w:rPr>
        <w:t>週</w:t>
      </w:r>
      <w:proofErr w:type="gramEnd"/>
      <w:r w:rsidRPr="007576F0">
        <w:rPr>
          <w:rFonts w:ascii="標楷體" w:eastAsia="標楷體" w:hAnsi="標楷體"/>
        </w:rPr>
        <w:t>後，需追蹤胸部X光或電腦斷層等影像檢查評估療效，往後每4</w:t>
      </w:r>
      <w:proofErr w:type="gramStart"/>
      <w:r w:rsidRPr="007576F0">
        <w:rPr>
          <w:rFonts w:ascii="標楷體" w:eastAsia="標楷體" w:hAnsi="標楷體"/>
        </w:rPr>
        <w:t>週</w:t>
      </w:r>
      <w:proofErr w:type="gramEnd"/>
      <w:r w:rsidRPr="007576F0">
        <w:rPr>
          <w:rFonts w:ascii="標楷體" w:eastAsia="標楷體" w:hAnsi="標楷體"/>
        </w:rPr>
        <w:t>做胸部X光檢查，每隔8</w:t>
      </w:r>
      <w:proofErr w:type="gramStart"/>
      <w:r w:rsidRPr="007576F0">
        <w:rPr>
          <w:rFonts w:ascii="標楷體" w:eastAsia="標楷體" w:hAnsi="標楷體"/>
        </w:rPr>
        <w:t>週</w:t>
      </w:r>
      <w:proofErr w:type="gramEnd"/>
      <w:r w:rsidRPr="007576F0">
        <w:rPr>
          <w:rFonts w:ascii="標楷體" w:eastAsia="標楷體" w:hAnsi="標楷體"/>
        </w:rPr>
        <w:t>需追蹤其作為評估藥效的影像(如胸部X光或電腦斷層)，若病情惡化即不得再次申請。</w:t>
      </w:r>
    </w:p>
    <w:p w14:paraId="12B0F7C0" w14:textId="77777777" w:rsidR="007576F0" w:rsidRPr="007576F0" w:rsidRDefault="007576F0" w:rsidP="007576F0">
      <w:pPr>
        <w:spacing w:line="300" w:lineRule="exact"/>
        <w:ind w:left="993" w:hanging="284"/>
        <w:rPr>
          <w:rFonts w:ascii="標楷體" w:eastAsia="標楷體" w:hAnsi="標楷體"/>
        </w:rPr>
      </w:pPr>
      <w:r w:rsidRPr="007576F0">
        <w:rPr>
          <w:rFonts w:ascii="標楷體" w:eastAsia="標楷體" w:hAnsi="標楷體"/>
        </w:rPr>
        <w:t>3.每日最大劑量限320mg。</w:t>
      </w:r>
    </w:p>
    <w:p w14:paraId="2A1D3593"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hint="eastAsia"/>
          <w:color w:val="000000"/>
        </w:rPr>
        <w:t>9.132.</w:t>
      </w:r>
      <w:r w:rsidRPr="007576F0">
        <w:rPr>
          <w:rFonts w:ascii="標楷體" w:eastAsia="標楷體" w:hAnsi="標楷體" w:hint="eastAsia"/>
        </w:rPr>
        <w:t>B</w:t>
      </w:r>
      <w:r w:rsidRPr="007576F0">
        <w:rPr>
          <w:rFonts w:ascii="標楷體" w:eastAsia="標楷體" w:hAnsi="標楷體"/>
        </w:rPr>
        <w:t>osutinib</w:t>
      </w:r>
      <w:r w:rsidRPr="007576F0">
        <w:rPr>
          <w:rFonts w:ascii="標楷體" w:eastAsia="標楷體" w:hAnsi="標楷體"/>
          <w:color w:val="000000"/>
        </w:rPr>
        <w:t>(如</w:t>
      </w:r>
      <w:proofErr w:type="spellStart"/>
      <w:r w:rsidRPr="007576F0">
        <w:rPr>
          <w:rFonts w:ascii="標楷體" w:eastAsia="標楷體" w:hAnsi="標楷體"/>
          <w:color w:val="000000"/>
        </w:rPr>
        <w:t>Bostini</w:t>
      </w:r>
      <w:proofErr w:type="spellEnd"/>
      <w:r w:rsidRPr="007576F0">
        <w:rPr>
          <w:rFonts w:ascii="標楷體" w:eastAsia="標楷體" w:hAnsi="標楷體"/>
          <w:color w:val="000000"/>
        </w:rPr>
        <w:t>)：(</w:t>
      </w:r>
      <w:r w:rsidRPr="007576F0">
        <w:rPr>
          <w:rFonts w:ascii="標楷體" w:eastAsia="標楷體" w:hAnsi="標楷體" w:hint="eastAsia"/>
          <w:color w:val="000000"/>
        </w:rPr>
        <w:t>115/2/1</w:t>
      </w:r>
      <w:r w:rsidRPr="007576F0">
        <w:rPr>
          <w:rFonts w:ascii="標楷體" w:eastAsia="標楷體" w:hAnsi="標楷體"/>
          <w:color w:val="000000"/>
        </w:rPr>
        <w:t>)</w:t>
      </w:r>
    </w:p>
    <w:p w14:paraId="3D9D246A" w14:textId="77777777" w:rsidR="007576F0" w:rsidRPr="007576F0" w:rsidRDefault="007576F0" w:rsidP="007576F0">
      <w:pPr>
        <w:spacing w:line="300" w:lineRule="exact"/>
        <w:ind w:left="993" w:hanging="284"/>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hint="eastAsia"/>
          <w:color w:val="000000"/>
        </w:rPr>
        <w:t>第一線使用</w:t>
      </w:r>
      <w:r w:rsidRPr="007576F0">
        <w:rPr>
          <w:rFonts w:ascii="標楷體" w:eastAsia="標楷體" w:hAnsi="標楷體"/>
          <w:color w:val="000000"/>
        </w:rPr>
        <w:t>：</w:t>
      </w:r>
    </w:p>
    <w:p w14:paraId="508AD272"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lastRenderedPageBreak/>
        <w:t>(1)</w:t>
      </w:r>
      <w:r w:rsidRPr="007576F0">
        <w:rPr>
          <w:rFonts w:ascii="標楷體" w:eastAsia="標楷體" w:hAnsi="標楷體" w:hint="eastAsia"/>
          <w:color w:val="000000"/>
        </w:rPr>
        <w:t>治療新診斷的費城染色體陽性之慢性期慢性骨髓性白血病的成人病人。</w:t>
      </w:r>
    </w:p>
    <w:p w14:paraId="78B83461"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w:t>
      </w:r>
      <w:r w:rsidRPr="007576F0">
        <w:rPr>
          <w:rFonts w:ascii="標楷體" w:eastAsia="標楷體" w:hAnsi="標楷體" w:hint="eastAsia"/>
          <w:color w:val="000000"/>
        </w:rPr>
        <w:t>2</w:t>
      </w:r>
      <w:r w:rsidRPr="007576F0">
        <w:rPr>
          <w:rFonts w:ascii="標楷體" w:eastAsia="標楷體" w:hAnsi="標楷體"/>
          <w:color w:val="000000"/>
        </w:rPr>
        <w:t>)</w:t>
      </w:r>
      <w:r w:rsidRPr="007576F0">
        <w:rPr>
          <w:rFonts w:ascii="標楷體" w:eastAsia="標楷體" w:hAnsi="標楷體" w:hint="eastAsia"/>
          <w:color w:val="000000"/>
        </w:rPr>
        <w:t>限每日最大劑量400mg。</w:t>
      </w:r>
    </w:p>
    <w:p w14:paraId="4DBE6CB1" w14:textId="77777777" w:rsidR="007576F0" w:rsidRPr="007576F0" w:rsidRDefault="007576F0" w:rsidP="007576F0">
      <w:pPr>
        <w:spacing w:line="300" w:lineRule="exact"/>
        <w:ind w:left="993" w:hanging="284"/>
        <w:rPr>
          <w:rFonts w:ascii="標楷體" w:eastAsia="標楷體" w:hAnsi="標楷體"/>
          <w:color w:val="000000"/>
        </w:rPr>
      </w:pPr>
      <w:r w:rsidRPr="007576F0">
        <w:rPr>
          <w:rFonts w:ascii="標楷體" w:eastAsia="標楷體" w:hAnsi="標楷體" w:hint="eastAsia"/>
          <w:color w:val="000000"/>
        </w:rPr>
        <w:t>2.第二線使用：</w:t>
      </w:r>
    </w:p>
    <w:p w14:paraId="1D5C9B18"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(1)</w:t>
      </w:r>
      <w:r w:rsidRPr="007576F0">
        <w:rPr>
          <w:rFonts w:ascii="標楷體" w:eastAsia="標楷體" w:hAnsi="標楷體" w:hint="eastAsia"/>
          <w:color w:val="000000"/>
        </w:rPr>
        <w:t>治療患有慢性、加速或急性期慢性骨髓性白血病，對先前經 imatinib 400mg(含)以上治療後有抗藥性或無耐受性的成人病人。</w:t>
      </w:r>
    </w:p>
    <w:p w14:paraId="04B6A491"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w:t>
      </w:r>
      <w:r w:rsidRPr="007576F0">
        <w:rPr>
          <w:rFonts w:ascii="標楷體" w:eastAsia="標楷體" w:hAnsi="標楷體" w:hint="eastAsia"/>
          <w:color w:val="000000"/>
        </w:rPr>
        <w:t>2</w:t>
      </w:r>
      <w:r w:rsidRPr="007576F0">
        <w:rPr>
          <w:rFonts w:ascii="標楷體" w:eastAsia="標楷體" w:hAnsi="標楷體"/>
          <w:color w:val="000000"/>
        </w:rPr>
        <w:t>)</w:t>
      </w:r>
      <w:r w:rsidRPr="007576F0">
        <w:rPr>
          <w:rFonts w:ascii="標楷體" w:eastAsia="標楷體" w:hAnsi="標楷體" w:hint="eastAsia"/>
          <w:color w:val="000000"/>
        </w:rPr>
        <w:t>需檢送病歷及對imatinib耐受性不良或無效的證明。</w:t>
      </w:r>
    </w:p>
    <w:p w14:paraId="6DD3EEAB" w14:textId="77777777" w:rsidR="007576F0" w:rsidRPr="007576F0" w:rsidRDefault="007576F0" w:rsidP="007576F0">
      <w:pPr>
        <w:tabs>
          <w:tab w:val="left" w:pos="1418"/>
        </w:tabs>
        <w:spacing w:line="300" w:lineRule="exact"/>
        <w:ind w:left="1051" w:hanging="245"/>
        <w:rPr>
          <w:rFonts w:ascii="標楷體" w:eastAsia="標楷體" w:hAnsi="標楷體"/>
          <w:color w:val="000000"/>
        </w:rPr>
      </w:pPr>
      <w:r w:rsidRPr="007576F0">
        <w:rPr>
          <w:rFonts w:ascii="標楷體" w:eastAsia="標楷體" w:hAnsi="標楷體"/>
          <w:color w:val="000000"/>
        </w:rPr>
        <w:t>(</w:t>
      </w:r>
      <w:r w:rsidRPr="007576F0">
        <w:rPr>
          <w:rFonts w:ascii="標楷體" w:eastAsia="標楷體" w:hAnsi="標楷體" w:hint="eastAsia"/>
          <w:color w:val="000000"/>
        </w:rPr>
        <w:t>3</w:t>
      </w:r>
      <w:r w:rsidRPr="007576F0">
        <w:rPr>
          <w:rFonts w:ascii="標楷體" w:eastAsia="標楷體" w:hAnsi="標楷體"/>
          <w:color w:val="000000"/>
        </w:rPr>
        <w:t>)</w:t>
      </w:r>
      <w:r w:rsidRPr="007576F0">
        <w:rPr>
          <w:rFonts w:ascii="標楷體" w:eastAsia="標楷體" w:hAnsi="標楷體" w:hint="eastAsia"/>
          <w:color w:val="000000"/>
        </w:rPr>
        <w:t>每日最大劑量500mg，惟接受起始劑量而未達到維持血液學、細胞遺傳學或分子反應，且未出現第3級或以上不良反應的病人，可進行遞增劑量，每日以最大劑量600mg為限。</w:t>
      </w:r>
    </w:p>
    <w:p w14:paraId="76780576" w14:textId="77777777" w:rsidR="007576F0" w:rsidRPr="007576F0" w:rsidRDefault="007576F0" w:rsidP="007576F0">
      <w:pPr>
        <w:spacing w:line="300" w:lineRule="exact"/>
        <w:ind w:left="993" w:hanging="284"/>
        <w:rPr>
          <w:rFonts w:ascii="標楷體" w:eastAsia="標楷體" w:hAnsi="標楷體"/>
          <w:color w:val="000000"/>
        </w:rPr>
      </w:pPr>
      <w:r w:rsidRPr="007576F0">
        <w:rPr>
          <w:rFonts w:ascii="標楷體" w:eastAsia="標楷體" w:hAnsi="標楷體" w:hint="eastAsia"/>
          <w:color w:val="000000"/>
        </w:rPr>
        <w:t>3.1~2項規定內之疾病診斷或追蹤若需依據基因檢測報告，則需符合全民健康保險藥品給付規定之通則十二。</w:t>
      </w:r>
    </w:p>
    <w:p w14:paraId="75767D12" w14:textId="77777777" w:rsidR="007576F0" w:rsidRPr="007576F0" w:rsidRDefault="007576F0" w:rsidP="007576F0">
      <w:pPr>
        <w:spacing w:line="300" w:lineRule="exact"/>
        <w:ind w:left="993" w:hanging="284"/>
        <w:rPr>
          <w:rFonts w:ascii="標楷體" w:eastAsia="標楷體" w:hAnsi="標楷體"/>
          <w:color w:val="000000"/>
        </w:rPr>
      </w:pPr>
      <w:r w:rsidRPr="007576F0">
        <w:rPr>
          <w:rFonts w:ascii="標楷體" w:eastAsia="標楷體" w:hAnsi="標楷體" w:hint="eastAsia"/>
          <w:color w:val="000000"/>
        </w:rPr>
        <w:t>4.Bosutinib、nilotinib與</w:t>
      </w:r>
      <w:proofErr w:type="spellStart"/>
      <w:r w:rsidRPr="007576F0">
        <w:rPr>
          <w:rFonts w:ascii="標楷體" w:eastAsia="標楷體" w:hAnsi="標楷體" w:hint="eastAsia"/>
          <w:color w:val="000000"/>
        </w:rPr>
        <w:t>dasatinib</w:t>
      </w:r>
      <w:proofErr w:type="spellEnd"/>
      <w:r w:rsidRPr="007576F0">
        <w:rPr>
          <w:rFonts w:ascii="標楷體" w:eastAsia="標楷體" w:hAnsi="標楷體" w:hint="eastAsia"/>
          <w:color w:val="000000"/>
        </w:rPr>
        <w:t>不得合併使用。</w:t>
      </w:r>
    </w:p>
    <w:p w14:paraId="5DA90975" w14:textId="77777777" w:rsidR="007576F0" w:rsidRPr="007576F0" w:rsidRDefault="007576F0" w:rsidP="007576F0">
      <w:pPr>
        <w:spacing w:line="300" w:lineRule="exact"/>
        <w:ind w:left="610" w:hanging="245"/>
      </w:pPr>
      <w:r w:rsidRPr="007576F0">
        <w:rPr>
          <w:rFonts w:ascii="標楷體" w:eastAsia="標楷體" w:hAnsi="標楷體"/>
        </w:rPr>
        <w:t>9.133.Zolbetuximab (如</w:t>
      </w:r>
      <w:proofErr w:type="spellStart"/>
      <w:r w:rsidRPr="007576F0">
        <w:rPr>
          <w:rFonts w:ascii="標楷體" w:eastAsia="標楷體" w:hAnsi="標楷體"/>
        </w:rPr>
        <w:t>Vyloy</w:t>
      </w:r>
      <w:proofErr w:type="spellEnd"/>
      <w:r w:rsidRPr="007576F0">
        <w:rPr>
          <w:rFonts w:ascii="標楷體" w:eastAsia="標楷體" w:hAnsi="標楷體"/>
        </w:rPr>
        <w:t>)：(115/4/1)</w:t>
      </w:r>
    </w:p>
    <w:p w14:paraId="38DCB954" w14:textId="77777777" w:rsidR="007576F0" w:rsidRPr="007576F0" w:rsidRDefault="007576F0" w:rsidP="002144EC">
      <w:pPr>
        <w:numPr>
          <w:ilvl w:val="0"/>
          <w:numId w:val="179"/>
        </w:numPr>
        <w:spacing w:line="300" w:lineRule="exact"/>
        <w:ind w:left="851" w:hanging="284"/>
        <w:rPr>
          <w:rFonts w:ascii="標楷體" w:eastAsia="標楷體" w:hAnsi="標楷體"/>
          <w:szCs w:val="24"/>
        </w:rPr>
      </w:pPr>
      <w:r w:rsidRPr="007576F0">
        <w:rPr>
          <w:rFonts w:ascii="標楷體" w:eastAsia="標楷體" w:hAnsi="標楷體"/>
          <w:szCs w:val="24"/>
        </w:rPr>
        <w:t>限與含氟嘧啶（fluoropyrimidine）和</w:t>
      </w:r>
      <w:proofErr w:type="gramStart"/>
      <w:r w:rsidRPr="007576F0">
        <w:rPr>
          <w:rFonts w:ascii="標楷體" w:eastAsia="標楷體" w:hAnsi="標楷體"/>
          <w:szCs w:val="24"/>
        </w:rPr>
        <w:t>含鉑的化</w:t>
      </w:r>
      <w:proofErr w:type="gramEnd"/>
      <w:r w:rsidRPr="007576F0">
        <w:rPr>
          <w:rFonts w:ascii="標楷體" w:eastAsia="標楷體" w:hAnsi="標楷體"/>
          <w:szCs w:val="24"/>
        </w:rPr>
        <w:t>療</w:t>
      </w:r>
      <w:proofErr w:type="gramStart"/>
      <w:r w:rsidRPr="007576F0">
        <w:rPr>
          <w:rFonts w:ascii="標楷體" w:eastAsia="標楷體" w:hAnsi="標楷體"/>
          <w:szCs w:val="24"/>
        </w:rPr>
        <w:t>併</w:t>
      </w:r>
      <w:proofErr w:type="gramEnd"/>
      <w:r w:rsidRPr="007576F0">
        <w:rPr>
          <w:rFonts w:ascii="標楷體" w:eastAsia="標楷體" w:hAnsi="標楷體"/>
          <w:szCs w:val="24"/>
        </w:rPr>
        <w:t>用，適用於Claudin （CLDN） 18.2陽性、第二型人類表皮生長因子受體（HER2）陰性的局部晚期不可切除或轉移性胃腺癌病人的第一線治療，且符合下列條件：</w:t>
      </w:r>
    </w:p>
    <w:p w14:paraId="06BE8D9B" w14:textId="77777777" w:rsidR="007576F0" w:rsidRPr="007576F0" w:rsidRDefault="007576F0" w:rsidP="002144EC">
      <w:pPr>
        <w:numPr>
          <w:ilvl w:val="0"/>
          <w:numId w:val="180"/>
        </w:numPr>
        <w:spacing w:line="300" w:lineRule="exact"/>
        <w:ind w:left="1276" w:hanging="482"/>
        <w:rPr>
          <w:rFonts w:ascii="標楷體" w:eastAsia="標楷體" w:hAnsi="標楷體"/>
          <w:szCs w:val="24"/>
        </w:rPr>
      </w:pPr>
      <w:r w:rsidRPr="007576F0">
        <w:rPr>
          <w:rFonts w:ascii="標楷體" w:eastAsia="標楷體" w:hAnsi="標楷體"/>
          <w:szCs w:val="24"/>
        </w:rPr>
        <w:t>病人身體狀況良好（ECOG</w:t>
      </w:r>
      <w:proofErr w:type="gramStart"/>
      <w:r w:rsidRPr="007576F0">
        <w:rPr>
          <w:rFonts w:ascii="標楷體" w:eastAsia="標楷體" w:hAnsi="標楷體"/>
          <w:szCs w:val="24"/>
        </w:rPr>
        <w:t>≦</w:t>
      </w:r>
      <w:proofErr w:type="gramEnd"/>
      <w:r w:rsidRPr="007576F0">
        <w:rPr>
          <w:rFonts w:ascii="標楷體" w:eastAsia="標楷體" w:hAnsi="標楷體"/>
          <w:szCs w:val="24"/>
        </w:rPr>
        <w:t>1）。</w:t>
      </w:r>
    </w:p>
    <w:p w14:paraId="574B2EBA" w14:textId="77777777" w:rsidR="007576F0" w:rsidRPr="007576F0" w:rsidRDefault="007576F0" w:rsidP="002144EC">
      <w:pPr>
        <w:numPr>
          <w:ilvl w:val="0"/>
          <w:numId w:val="180"/>
        </w:numPr>
        <w:spacing w:line="300" w:lineRule="exact"/>
        <w:ind w:left="1276" w:hanging="482"/>
        <w:rPr>
          <w:rFonts w:ascii="Times New Roman" w:hAnsi="Times New Roman"/>
          <w:szCs w:val="24"/>
        </w:rPr>
      </w:pPr>
      <w:r w:rsidRPr="007576F0">
        <w:rPr>
          <w:rFonts w:ascii="標楷體" w:eastAsia="標楷體" w:hAnsi="標楷體"/>
          <w:szCs w:val="24"/>
        </w:rPr>
        <w:t>初次申請時需檢附確實患有局部晚期不可切除或轉移性胃腺癌之病理或細胞檢查報告，及以免疫組織化學染色</w:t>
      </w:r>
      <w:r w:rsidRPr="007576F0">
        <w:rPr>
          <w:rFonts w:ascii="標楷體" w:eastAsia="標楷體" w:hAnsi="標楷體" w:cs="標楷體"/>
          <w:szCs w:val="24"/>
        </w:rPr>
        <w:t>法確定腫瘤為</w:t>
      </w:r>
      <w:r w:rsidRPr="007576F0">
        <w:rPr>
          <w:rFonts w:ascii="標楷體" w:eastAsia="標楷體" w:hAnsi="標楷體"/>
          <w:szCs w:val="24"/>
        </w:rPr>
        <w:t>CLDN18.2陽性</w:t>
      </w:r>
      <w:proofErr w:type="gramStart"/>
      <w:r w:rsidRPr="007576F0">
        <w:rPr>
          <w:rFonts w:ascii="標楷體" w:eastAsia="標楷體" w:hAnsi="標楷體"/>
          <w:szCs w:val="24"/>
        </w:rPr>
        <w:t>（</w:t>
      </w:r>
      <w:proofErr w:type="gramEnd"/>
      <w:r w:rsidRPr="007576F0">
        <w:rPr>
          <w:rFonts w:ascii="標楷體" w:eastAsia="標楷體" w:hAnsi="標楷體"/>
          <w:szCs w:val="24"/>
        </w:rPr>
        <w:t>定義為</w:t>
      </w:r>
      <w:r w:rsidRPr="007576F0">
        <w:rPr>
          <w:rFonts w:ascii="Times New Roman" w:eastAsia="標楷體" w:hAnsi="Times New Roman"/>
          <w:szCs w:val="24"/>
        </w:rPr>
        <w:t>≥</w:t>
      </w:r>
      <w:r w:rsidRPr="007576F0">
        <w:rPr>
          <w:rFonts w:ascii="標楷體" w:eastAsia="標楷體" w:hAnsi="標楷體"/>
          <w:szCs w:val="24"/>
        </w:rPr>
        <w:t>75%的腫瘤細胞顯示中至強染色強度的CLDN18.2）且第二型人類表皮生長因子受體（HER2）陰性之檢測報告。</w:t>
      </w:r>
    </w:p>
    <w:p w14:paraId="7A4C70FB" w14:textId="77777777" w:rsidR="007576F0" w:rsidRPr="007576F0" w:rsidRDefault="007576F0" w:rsidP="002144EC">
      <w:pPr>
        <w:numPr>
          <w:ilvl w:val="0"/>
          <w:numId w:val="179"/>
        </w:numPr>
        <w:spacing w:line="300" w:lineRule="exact"/>
        <w:ind w:left="851" w:hanging="284"/>
        <w:rPr>
          <w:rFonts w:ascii="標楷體" w:eastAsia="標楷體" w:hAnsi="標楷體"/>
          <w:szCs w:val="24"/>
        </w:rPr>
      </w:pPr>
      <w:r w:rsidRPr="007576F0">
        <w:rPr>
          <w:rFonts w:ascii="標楷體" w:eastAsia="標楷體" w:hAnsi="標楷體"/>
          <w:szCs w:val="24"/>
        </w:rPr>
        <w:t>須經事前審查核准後使用，每次申請事前審查之療程以12</w:t>
      </w:r>
      <w:proofErr w:type="gramStart"/>
      <w:r w:rsidRPr="007576F0">
        <w:rPr>
          <w:rFonts w:ascii="標楷體" w:eastAsia="標楷體" w:hAnsi="標楷體"/>
          <w:szCs w:val="24"/>
        </w:rPr>
        <w:t>週</w:t>
      </w:r>
      <w:proofErr w:type="gramEnd"/>
      <w:r w:rsidRPr="007576F0">
        <w:rPr>
          <w:rFonts w:ascii="標楷體" w:eastAsia="標楷體" w:hAnsi="標楷體"/>
          <w:szCs w:val="24"/>
        </w:rPr>
        <w:t>為限，再次申請必須提出客觀影像學證據</w:t>
      </w:r>
      <w:proofErr w:type="gramStart"/>
      <w:r w:rsidRPr="007576F0">
        <w:rPr>
          <w:rFonts w:ascii="標楷體" w:eastAsia="標楷體" w:hAnsi="標楷體"/>
          <w:szCs w:val="24"/>
        </w:rPr>
        <w:t>（</w:t>
      </w:r>
      <w:proofErr w:type="gramEnd"/>
      <w:r w:rsidRPr="007576F0">
        <w:rPr>
          <w:rFonts w:ascii="標楷體" w:eastAsia="標楷體" w:hAnsi="標楷體"/>
          <w:szCs w:val="24"/>
        </w:rPr>
        <w:t>如：RECIST criteria</w:t>
      </w:r>
      <w:proofErr w:type="gramStart"/>
      <w:r w:rsidRPr="007576F0">
        <w:rPr>
          <w:rFonts w:ascii="標楷體" w:eastAsia="標楷體" w:hAnsi="標楷體"/>
          <w:szCs w:val="24"/>
        </w:rPr>
        <w:t>）</w:t>
      </w:r>
      <w:proofErr w:type="gramEnd"/>
      <w:r w:rsidRPr="007576F0">
        <w:rPr>
          <w:rFonts w:ascii="標楷體" w:eastAsia="標楷體" w:hAnsi="標楷體"/>
          <w:szCs w:val="24"/>
        </w:rPr>
        <w:t>證實無惡化，才可繼續使用。</w:t>
      </w:r>
    </w:p>
    <w:p w14:paraId="61973E19" w14:textId="77777777" w:rsidR="007576F0" w:rsidRPr="007576F0" w:rsidRDefault="007576F0" w:rsidP="002144EC">
      <w:pPr>
        <w:numPr>
          <w:ilvl w:val="0"/>
          <w:numId w:val="179"/>
        </w:numPr>
        <w:spacing w:line="300" w:lineRule="exact"/>
        <w:ind w:left="851" w:hanging="284"/>
        <w:rPr>
          <w:rFonts w:ascii="標楷體" w:eastAsia="標楷體" w:hAnsi="標楷體"/>
          <w:szCs w:val="24"/>
        </w:rPr>
      </w:pPr>
      <w:r w:rsidRPr="007576F0">
        <w:rPr>
          <w:rFonts w:ascii="標楷體" w:eastAsia="標楷體" w:hAnsi="標楷體"/>
          <w:szCs w:val="24"/>
        </w:rPr>
        <w:t>本案藥品與免疫檢查點抑制劑僅能擇</w:t>
      </w:r>
      <w:proofErr w:type="gramStart"/>
      <w:r w:rsidRPr="007576F0">
        <w:rPr>
          <w:rFonts w:ascii="標楷體" w:eastAsia="標楷體" w:hAnsi="標楷體"/>
          <w:szCs w:val="24"/>
        </w:rPr>
        <w:t>一</w:t>
      </w:r>
      <w:proofErr w:type="gramEnd"/>
      <w:r w:rsidRPr="007576F0">
        <w:rPr>
          <w:rFonts w:ascii="標楷體" w:eastAsia="標楷體" w:hAnsi="標楷體"/>
          <w:szCs w:val="24"/>
        </w:rPr>
        <w:t>給付，且治療失敗時不可互換。</w:t>
      </w:r>
    </w:p>
    <w:p w14:paraId="02363B19" w14:textId="77777777" w:rsidR="007576F0" w:rsidRPr="007576F0" w:rsidRDefault="007576F0" w:rsidP="007576F0">
      <w:pPr>
        <w:spacing w:line="300" w:lineRule="exact"/>
        <w:ind w:left="610" w:hanging="245"/>
        <w:rPr>
          <w:rFonts w:ascii="標楷體" w:eastAsia="標楷體" w:hAnsi="標楷體"/>
        </w:rPr>
      </w:pPr>
      <w:r w:rsidRPr="007576F0">
        <w:rPr>
          <w:rFonts w:ascii="標楷體" w:eastAsia="標楷體" w:hAnsi="標楷體"/>
        </w:rPr>
        <w:t>9.</w:t>
      </w:r>
      <w:r w:rsidRPr="007576F0">
        <w:rPr>
          <w:rFonts w:ascii="標楷體" w:eastAsia="標楷體" w:hAnsi="標楷體" w:hint="eastAsia"/>
        </w:rPr>
        <w:t>134</w:t>
      </w:r>
      <w:r w:rsidRPr="007576F0">
        <w:rPr>
          <w:rFonts w:ascii="標楷體" w:eastAsia="標楷體" w:hAnsi="標楷體"/>
        </w:rPr>
        <w:t>.</w:t>
      </w:r>
      <w:r w:rsidRPr="007576F0">
        <w:rPr>
          <w:rFonts w:ascii="標楷體" w:eastAsia="標楷體" w:hAnsi="標楷體" w:hint="eastAsia"/>
        </w:rPr>
        <w:t>E</w:t>
      </w:r>
      <w:r w:rsidRPr="007576F0">
        <w:rPr>
          <w:rFonts w:ascii="標楷體" w:eastAsia="標楷體" w:hAnsi="標楷體"/>
        </w:rPr>
        <w:t>ncorafenib (如</w:t>
      </w:r>
      <w:proofErr w:type="spellStart"/>
      <w:r w:rsidRPr="007576F0">
        <w:rPr>
          <w:rFonts w:ascii="標楷體" w:eastAsia="標楷體" w:hAnsi="標楷體"/>
        </w:rPr>
        <w:t>Braftovi</w:t>
      </w:r>
      <w:proofErr w:type="spellEnd"/>
      <w:r w:rsidRPr="007576F0">
        <w:rPr>
          <w:rFonts w:ascii="標楷體" w:eastAsia="標楷體" w:hAnsi="標楷體"/>
        </w:rPr>
        <w:t>):(</w:t>
      </w:r>
      <w:r w:rsidRPr="007576F0">
        <w:rPr>
          <w:rFonts w:ascii="標楷體" w:eastAsia="標楷體" w:hAnsi="標楷體" w:hint="eastAsia"/>
        </w:rPr>
        <w:t>115</w:t>
      </w:r>
      <w:r w:rsidRPr="007576F0">
        <w:rPr>
          <w:rFonts w:ascii="標楷體" w:eastAsia="標楷體" w:hAnsi="標楷體"/>
        </w:rPr>
        <w:t>/</w:t>
      </w:r>
      <w:r w:rsidRPr="007576F0">
        <w:rPr>
          <w:rFonts w:ascii="標楷體" w:eastAsia="標楷體" w:hAnsi="標楷體" w:hint="eastAsia"/>
        </w:rPr>
        <w:t>5</w:t>
      </w:r>
      <w:r w:rsidRPr="007576F0">
        <w:rPr>
          <w:rFonts w:ascii="標楷體" w:eastAsia="標楷體" w:hAnsi="標楷體"/>
        </w:rPr>
        <w:t>/1)</w:t>
      </w:r>
    </w:p>
    <w:p w14:paraId="7585E4C7" w14:textId="77777777" w:rsidR="007576F0" w:rsidRPr="007576F0" w:rsidRDefault="007576F0" w:rsidP="007576F0">
      <w:pPr>
        <w:spacing w:line="300" w:lineRule="exact"/>
        <w:ind w:left="851" w:hanging="281"/>
        <w:jc w:val="both"/>
        <w:rPr>
          <w:rFonts w:ascii="標楷體" w:eastAsia="標楷體" w:hAnsi="標楷體"/>
          <w:szCs w:val="24"/>
        </w:rPr>
      </w:pPr>
      <w:r w:rsidRPr="007576F0">
        <w:rPr>
          <w:rFonts w:ascii="標楷體" w:eastAsia="標楷體" w:hAnsi="標楷體"/>
          <w:szCs w:val="24"/>
        </w:rPr>
        <w:t>1</w:t>
      </w:r>
      <w:r w:rsidRPr="007576F0">
        <w:rPr>
          <w:rFonts w:ascii="標楷體" w:eastAsia="標楷體" w:hAnsi="標楷體" w:hint="eastAsia"/>
          <w:szCs w:val="24"/>
        </w:rPr>
        <w:t>.</w:t>
      </w:r>
      <w:r w:rsidRPr="007576F0">
        <w:rPr>
          <w:rFonts w:ascii="標楷體" w:eastAsia="標楷體" w:hAnsi="標楷體"/>
          <w:szCs w:val="24"/>
        </w:rPr>
        <w:t>與cetuximab</w:t>
      </w:r>
      <w:proofErr w:type="gramStart"/>
      <w:r w:rsidRPr="007576F0">
        <w:rPr>
          <w:rFonts w:ascii="標楷體" w:eastAsia="標楷體" w:hAnsi="標楷體"/>
          <w:szCs w:val="24"/>
        </w:rPr>
        <w:t>併</w:t>
      </w:r>
      <w:proofErr w:type="gramEnd"/>
      <w:r w:rsidRPr="007576F0">
        <w:rPr>
          <w:rFonts w:ascii="標楷體" w:eastAsia="標楷體" w:hAnsi="標楷體"/>
          <w:szCs w:val="24"/>
        </w:rPr>
        <w:t>用，作為具有BRAF V600E突變的轉移性結腸直腸癌(CRC)成人病人之第二線治療，需同時符合下列條件：</w:t>
      </w:r>
    </w:p>
    <w:p w14:paraId="2CA69710"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color w:val="000000"/>
        </w:rPr>
        <w:t>(1)曾接受bevacizumab與FOLFIRI（</w:t>
      </w:r>
      <w:proofErr w:type="spellStart"/>
      <w:r w:rsidRPr="007576F0">
        <w:rPr>
          <w:rFonts w:ascii="標楷體" w:eastAsia="標楷體" w:hAnsi="標楷體"/>
          <w:color w:val="000000"/>
        </w:rPr>
        <w:t>Folinicacid</w:t>
      </w:r>
      <w:proofErr w:type="spellEnd"/>
      <w:r w:rsidRPr="007576F0">
        <w:rPr>
          <w:rFonts w:ascii="標楷體" w:eastAsia="標楷體" w:hAnsi="標楷體"/>
          <w:color w:val="000000"/>
        </w:rPr>
        <w:t>/5-fluorouracil/irinotecan）或FOLFOX（</w:t>
      </w:r>
      <w:proofErr w:type="spellStart"/>
      <w:r w:rsidRPr="007576F0">
        <w:rPr>
          <w:rFonts w:ascii="標楷體" w:eastAsia="標楷體" w:hAnsi="標楷體"/>
          <w:color w:val="000000"/>
        </w:rPr>
        <w:t>Folinicacid</w:t>
      </w:r>
      <w:proofErr w:type="spellEnd"/>
      <w:r w:rsidRPr="007576F0">
        <w:rPr>
          <w:rFonts w:ascii="標楷體" w:eastAsia="標楷體" w:hAnsi="標楷體"/>
          <w:color w:val="000000"/>
        </w:rPr>
        <w:t>/5-fluorouracil/oxaliplatin）或5-fluorouracil/leucovorin合併使用之全身性療法。</w:t>
      </w:r>
    </w:p>
    <w:p w14:paraId="0DFE1975"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color w:val="000000"/>
        </w:rPr>
        <w:t>(2)未曾</w:t>
      </w:r>
      <w:proofErr w:type="gramStart"/>
      <w:r w:rsidRPr="007576F0">
        <w:rPr>
          <w:rFonts w:ascii="標楷體" w:eastAsia="標楷體" w:hAnsi="標楷體"/>
          <w:color w:val="000000"/>
        </w:rPr>
        <w:t>接受過抗表皮</w:t>
      </w:r>
      <w:proofErr w:type="gramEnd"/>
      <w:r w:rsidRPr="007576F0">
        <w:rPr>
          <w:rFonts w:ascii="標楷體" w:eastAsia="標楷體" w:hAnsi="標楷體"/>
          <w:color w:val="000000"/>
        </w:rPr>
        <w:t>生長因子受體(anti-EGFR)藥品治療。</w:t>
      </w:r>
    </w:p>
    <w:p w14:paraId="68234C68"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color w:val="000000"/>
        </w:rPr>
        <w:t>(3)ECOG分數</w:t>
      </w:r>
      <w:proofErr w:type="gramStart"/>
      <w:r w:rsidRPr="007576F0">
        <w:rPr>
          <w:rFonts w:ascii="標楷體" w:eastAsia="標楷體" w:hAnsi="標楷體"/>
          <w:color w:val="000000"/>
        </w:rPr>
        <w:t>≦</w:t>
      </w:r>
      <w:proofErr w:type="gramEnd"/>
      <w:r w:rsidRPr="007576F0">
        <w:rPr>
          <w:rFonts w:ascii="標楷體" w:eastAsia="標楷體" w:hAnsi="標楷體"/>
          <w:color w:val="000000"/>
        </w:rPr>
        <w:t>2。</w:t>
      </w:r>
    </w:p>
    <w:p w14:paraId="2D3726BF" w14:textId="77777777" w:rsidR="007576F0" w:rsidRPr="007576F0" w:rsidRDefault="007576F0" w:rsidP="007576F0">
      <w:pPr>
        <w:spacing w:line="300" w:lineRule="exact"/>
        <w:ind w:left="1134" w:hanging="425"/>
        <w:rPr>
          <w:rFonts w:ascii="標楷體" w:eastAsia="標楷體" w:hAnsi="標楷體"/>
          <w:color w:val="000000"/>
        </w:rPr>
      </w:pPr>
      <w:r w:rsidRPr="007576F0">
        <w:rPr>
          <w:rFonts w:ascii="標楷體" w:eastAsia="標楷體" w:hAnsi="標楷體"/>
          <w:color w:val="000000"/>
        </w:rPr>
        <w:t>(4)需檢附BRAF V600E突變之基因檢測報告，且需符合全民健康保險藥品給付規定之通則十二。</w:t>
      </w:r>
    </w:p>
    <w:p w14:paraId="37D6359E" w14:textId="77777777" w:rsidR="007576F0" w:rsidRPr="007576F0" w:rsidRDefault="007576F0" w:rsidP="007576F0">
      <w:pPr>
        <w:spacing w:line="300" w:lineRule="exact"/>
        <w:ind w:left="851" w:hanging="281"/>
        <w:jc w:val="both"/>
        <w:rPr>
          <w:rFonts w:ascii="標楷體" w:eastAsia="標楷體" w:hAnsi="標楷體"/>
          <w:szCs w:val="24"/>
        </w:rPr>
      </w:pPr>
      <w:r w:rsidRPr="007576F0">
        <w:rPr>
          <w:rFonts w:ascii="標楷體" w:eastAsia="標楷體" w:hAnsi="標楷體" w:hint="eastAsia"/>
          <w:szCs w:val="24"/>
        </w:rPr>
        <w:t>2.</w:t>
      </w:r>
      <w:r w:rsidRPr="007576F0">
        <w:rPr>
          <w:rFonts w:ascii="標楷體" w:eastAsia="標楷體" w:hAnsi="標楷體"/>
          <w:szCs w:val="24"/>
        </w:rPr>
        <w:t>須經事前審查核准後使用，初次申請之療程以12</w:t>
      </w:r>
      <w:proofErr w:type="gramStart"/>
      <w:r w:rsidRPr="007576F0">
        <w:rPr>
          <w:rFonts w:ascii="標楷體" w:eastAsia="標楷體" w:hAnsi="標楷體"/>
          <w:szCs w:val="24"/>
        </w:rPr>
        <w:t>週</w:t>
      </w:r>
      <w:proofErr w:type="gramEnd"/>
      <w:r w:rsidRPr="007576F0">
        <w:rPr>
          <w:rFonts w:ascii="標楷體" w:eastAsia="標楷體" w:hAnsi="標楷體"/>
          <w:szCs w:val="24"/>
        </w:rPr>
        <w:t>為限，之後每12</w:t>
      </w:r>
      <w:proofErr w:type="gramStart"/>
      <w:r w:rsidRPr="007576F0">
        <w:rPr>
          <w:rFonts w:ascii="標楷體" w:eastAsia="標楷體" w:hAnsi="標楷體"/>
          <w:szCs w:val="24"/>
        </w:rPr>
        <w:t>週</w:t>
      </w:r>
      <w:proofErr w:type="gramEnd"/>
      <w:r w:rsidRPr="007576F0">
        <w:rPr>
          <w:rFonts w:ascii="標楷體" w:eastAsia="標楷體" w:hAnsi="標楷體"/>
          <w:szCs w:val="24"/>
        </w:rPr>
        <w:t>申請一次，再次申請時必須提出客觀影像學證據</w:t>
      </w:r>
      <w:proofErr w:type="gramStart"/>
      <w:r w:rsidRPr="007576F0">
        <w:rPr>
          <w:rFonts w:ascii="標楷體" w:eastAsia="標楷體" w:hAnsi="標楷體"/>
          <w:szCs w:val="24"/>
        </w:rPr>
        <w:t>（</w:t>
      </w:r>
      <w:proofErr w:type="gramEnd"/>
      <w:r w:rsidRPr="007576F0">
        <w:rPr>
          <w:rFonts w:ascii="標楷體" w:eastAsia="標楷體" w:hAnsi="標楷體"/>
          <w:szCs w:val="24"/>
        </w:rPr>
        <w:t>如：影像學</w:t>
      </w:r>
      <w:proofErr w:type="gramStart"/>
      <w:r w:rsidRPr="007576F0">
        <w:rPr>
          <w:rFonts w:ascii="標楷體" w:eastAsia="標楷體" w:hAnsi="標楷體"/>
          <w:szCs w:val="24"/>
        </w:rPr>
        <w:t>）</w:t>
      </w:r>
      <w:proofErr w:type="gramEnd"/>
      <w:r w:rsidRPr="007576F0">
        <w:rPr>
          <w:rFonts w:ascii="標楷體" w:eastAsia="標楷體" w:hAnsi="標楷體"/>
          <w:szCs w:val="24"/>
        </w:rPr>
        <w:t>證實無惡化，才可繼續使用。</w:t>
      </w:r>
    </w:p>
    <w:p w14:paraId="2FD3CC23" w14:textId="77777777" w:rsidR="007576F0" w:rsidRPr="007576F0" w:rsidRDefault="007576F0" w:rsidP="007576F0">
      <w:pPr>
        <w:spacing w:line="300" w:lineRule="exact"/>
        <w:ind w:left="851" w:hanging="281"/>
        <w:jc w:val="both"/>
        <w:rPr>
          <w:rFonts w:ascii="標楷體" w:eastAsia="標楷體" w:hAnsi="標楷體"/>
          <w:szCs w:val="24"/>
        </w:rPr>
      </w:pPr>
      <w:r w:rsidRPr="007576F0">
        <w:rPr>
          <w:rFonts w:ascii="標楷體" w:eastAsia="標楷體" w:hAnsi="標楷體" w:hint="eastAsia"/>
          <w:szCs w:val="24"/>
        </w:rPr>
        <w:t>3.</w:t>
      </w:r>
      <w:r w:rsidRPr="007576F0">
        <w:rPr>
          <w:rFonts w:ascii="標楷體" w:eastAsia="標楷體" w:hAnsi="標楷體"/>
          <w:szCs w:val="24"/>
        </w:rPr>
        <w:t>使用總療程以24</w:t>
      </w:r>
      <w:proofErr w:type="gramStart"/>
      <w:r w:rsidRPr="007576F0">
        <w:rPr>
          <w:rFonts w:ascii="標楷體" w:eastAsia="標楷體" w:hAnsi="標楷體"/>
          <w:szCs w:val="24"/>
        </w:rPr>
        <w:t>週</w:t>
      </w:r>
      <w:proofErr w:type="gramEnd"/>
      <w:r w:rsidRPr="007576F0">
        <w:rPr>
          <w:rFonts w:ascii="標楷體" w:eastAsia="標楷體" w:hAnsi="標楷體"/>
          <w:szCs w:val="24"/>
        </w:rPr>
        <w:t>為上限。</w:t>
      </w:r>
    </w:p>
    <w:p w14:paraId="6B4B171B" w14:textId="77777777" w:rsidR="007576F0" w:rsidRPr="007576F0" w:rsidRDefault="007576F0" w:rsidP="007576F0">
      <w:pPr>
        <w:spacing w:line="300" w:lineRule="exact"/>
        <w:ind w:left="851" w:hanging="281"/>
        <w:jc w:val="both"/>
        <w:rPr>
          <w:rFonts w:ascii="標楷體" w:eastAsia="標楷體" w:hAnsi="標楷體"/>
          <w:szCs w:val="24"/>
        </w:rPr>
      </w:pPr>
      <w:r w:rsidRPr="007576F0">
        <w:rPr>
          <w:rFonts w:ascii="標楷體" w:eastAsia="標楷體" w:hAnsi="標楷體" w:hint="eastAsia"/>
          <w:szCs w:val="24"/>
        </w:rPr>
        <w:t>4.</w:t>
      </w:r>
      <w:r w:rsidRPr="007576F0">
        <w:rPr>
          <w:rFonts w:ascii="標楷體" w:eastAsia="標楷體" w:hAnsi="標楷體"/>
          <w:szCs w:val="24"/>
        </w:rPr>
        <w:t>使用本品</w:t>
      </w:r>
      <w:proofErr w:type="gramStart"/>
      <w:r w:rsidRPr="007576F0">
        <w:rPr>
          <w:rFonts w:ascii="標楷體" w:eastAsia="標楷體" w:hAnsi="標楷體"/>
          <w:szCs w:val="24"/>
        </w:rPr>
        <w:t>併</w:t>
      </w:r>
      <w:proofErr w:type="gramEnd"/>
      <w:r w:rsidRPr="007576F0">
        <w:rPr>
          <w:rFonts w:ascii="標楷體" w:eastAsia="標楷體" w:hAnsi="標楷體"/>
          <w:szCs w:val="24"/>
        </w:rPr>
        <w:t>用cetuximab作為第二線治療，不得再申請給付抗表皮生長因子受體(anti-EGFR)藥品作為後續治療。</w:t>
      </w:r>
    </w:p>
    <w:p w14:paraId="3AC25015" w14:textId="77777777" w:rsidR="007576F0" w:rsidRPr="007576F0" w:rsidRDefault="007576F0" w:rsidP="007576F0">
      <w:pPr>
        <w:spacing w:line="300" w:lineRule="exact"/>
        <w:ind w:left="610" w:hanging="245"/>
      </w:pPr>
      <w:bookmarkStart w:id="80" w:name="_Hlk230359992"/>
      <w:r w:rsidRPr="007576F0">
        <w:rPr>
          <w:rFonts w:ascii="標楷體" w:eastAsia="標楷體" w:hAnsi="標楷體" w:cs="標楷體"/>
          <w:color w:val="000000"/>
          <w:kern w:val="0"/>
          <w:szCs w:val="24"/>
        </w:rPr>
        <w:t>9.135.</w:t>
      </w:r>
      <w:r w:rsidRPr="007576F0">
        <w:rPr>
          <w:rFonts w:hint="eastAsia"/>
        </w:rPr>
        <w:t xml:space="preserve"> </w:t>
      </w:r>
      <w:proofErr w:type="spellStart"/>
      <w:r w:rsidRPr="007576F0">
        <w:rPr>
          <w:rFonts w:ascii="標楷體" w:eastAsia="標楷體" w:hAnsi="標楷體" w:hint="eastAsia"/>
        </w:rPr>
        <w:t>Capivasertib</w:t>
      </w:r>
      <w:proofErr w:type="spellEnd"/>
      <w:r w:rsidRPr="007576F0">
        <w:rPr>
          <w:rFonts w:ascii="標楷體" w:eastAsia="標楷體" w:hAnsi="標楷體" w:cs="標楷體" w:hint="eastAsia"/>
          <w:color w:val="000000"/>
          <w:kern w:val="0"/>
          <w:szCs w:val="24"/>
        </w:rPr>
        <w:t xml:space="preserve"> (如</w:t>
      </w:r>
      <w:proofErr w:type="spellStart"/>
      <w:r w:rsidRPr="007576F0">
        <w:rPr>
          <w:rFonts w:ascii="標楷體" w:eastAsia="標楷體" w:hAnsi="標楷體" w:cs="標楷體" w:hint="eastAsia"/>
          <w:color w:val="000000"/>
          <w:kern w:val="0"/>
          <w:szCs w:val="24"/>
        </w:rPr>
        <w:t>Truqap</w:t>
      </w:r>
      <w:proofErr w:type="spellEnd"/>
      <w:r w:rsidRPr="007576F0">
        <w:rPr>
          <w:rFonts w:ascii="標楷體" w:eastAsia="標楷體" w:hAnsi="標楷體" w:cs="標楷體" w:hint="eastAsia"/>
          <w:color w:val="000000"/>
          <w:kern w:val="0"/>
          <w:szCs w:val="24"/>
        </w:rPr>
        <w:t>)</w:t>
      </w:r>
      <w:r w:rsidRPr="007576F0">
        <w:rPr>
          <w:rFonts w:ascii="標楷體" w:eastAsia="標楷體" w:hAnsi="標楷體" w:cs="標楷體"/>
          <w:color w:val="000000"/>
          <w:kern w:val="0"/>
          <w:szCs w:val="24"/>
        </w:rPr>
        <w:t>：(</w:t>
      </w:r>
      <w:r w:rsidRPr="007576F0">
        <w:rPr>
          <w:rFonts w:ascii="標楷體" w:eastAsia="標楷體" w:hAnsi="標楷體" w:cs="標楷體" w:hint="eastAsia"/>
          <w:color w:val="000000"/>
          <w:kern w:val="0"/>
          <w:szCs w:val="24"/>
        </w:rPr>
        <w:t>115/6/1</w:t>
      </w:r>
      <w:r w:rsidRPr="007576F0">
        <w:rPr>
          <w:rFonts w:ascii="標楷體" w:eastAsia="標楷體" w:hAnsi="標楷體" w:cs="標楷體"/>
          <w:color w:val="000000"/>
          <w:kern w:val="0"/>
          <w:szCs w:val="24"/>
        </w:rPr>
        <w:t>)</w:t>
      </w:r>
    </w:p>
    <w:p w14:paraId="4B871769" w14:textId="77777777" w:rsidR="007576F0" w:rsidRPr="007576F0" w:rsidRDefault="007576F0" w:rsidP="007576F0">
      <w:pPr>
        <w:spacing w:line="300" w:lineRule="exact"/>
        <w:ind w:left="851" w:hanging="281"/>
        <w:jc w:val="both"/>
        <w:rPr>
          <w:rFonts w:ascii="Times New Roman" w:hAnsi="Times New Roman"/>
          <w:szCs w:val="24"/>
        </w:rPr>
      </w:pPr>
      <w:r w:rsidRPr="007576F0">
        <w:rPr>
          <w:rFonts w:ascii="標楷體" w:eastAsia="標楷體" w:hAnsi="標楷體" w:cs="標楷體"/>
          <w:color w:val="000000"/>
          <w:kern w:val="0"/>
          <w:szCs w:val="24"/>
        </w:rPr>
        <w:t>1.與</w:t>
      </w:r>
      <w:proofErr w:type="spellStart"/>
      <w:r w:rsidRPr="007576F0">
        <w:rPr>
          <w:rFonts w:ascii="標楷體" w:eastAsia="標楷體" w:hAnsi="標楷體"/>
          <w:szCs w:val="24"/>
        </w:rPr>
        <w:t>fulvestrant</w:t>
      </w:r>
      <w:proofErr w:type="spellEnd"/>
      <w:proofErr w:type="gramStart"/>
      <w:r w:rsidRPr="007576F0">
        <w:rPr>
          <w:rFonts w:ascii="標楷體" w:eastAsia="標楷體" w:hAnsi="標楷體" w:cs="標楷體"/>
          <w:color w:val="000000"/>
          <w:kern w:val="0"/>
          <w:szCs w:val="24"/>
        </w:rPr>
        <w:t>併</w:t>
      </w:r>
      <w:proofErr w:type="gramEnd"/>
      <w:r w:rsidRPr="007576F0">
        <w:rPr>
          <w:rFonts w:ascii="標楷體" w:eastAsia="標楷體" w:hAnsi="標楷體" w:cs="標楷體"/>
          <w:color w:val="000000"/>
          <w:kern w:val="0"/>
          <w:szCs w:val="24"/>
        </w:rPr>
        <w:t>用於曾接受CDK4/6抑制劑治療但疾病惡化的停經後轉移性乳癌病人，且須完全符合下列條件：</w:t>
      </w:r>
    </w:p>
    <w:p w14:paraId="1899F28F" w14:textId="77777777" w:rsidR="007576F0" w:rsidRPr="007576F0" w:rsidRDefault="007576F0" w:rsidP="007576F0">
      <w:pPr>
        <w:snapToGrid w:val="0"/>
        <w:spacing w:line="300" w:lineRule="exact"/>
        <w:ind w:left="1133" w:hanging="365"/>
        <w:jc w:val="both"/>
      </w:pPr>
      <w:r w:rsidRPr="007576F0">
        <w:rPr>
          <w:rFonts w:ascii="標楷體" w:eastAsia="標楷體" w:hAnsi="標楷體" w:cs="標楷體"/>
          <w:color w:val="000000"/>
          <w:kern w:val="0"/>
          <w:szCs w:val="24"/>
        </w:rPr>
        <w:t>(1)</w:t>
      </w:r>
      <w:r w:rsidRPr="007576F0">
        <w:rPr>
          <w:rFonts w:ascii="標楷體" w:eastAsia="標楷體" w:hAnsi="標楷體" w:cs="標楷體" w:hint="eastAsia"/>
          <w:color w:val="000000"/>
          <w:kern w:val="0"/>
          <w:szCs w:val="24"/>
        </w:rPr>
        <w:t>荷爾蒙受體為陽性(ER或PR&gt;30%)</w:t>
      </w:r>
      <w:r w:rsidRPr="007576F0">
        <w:rPr>
          <w:rFonts w:ascii="標楷體" w:eastAsia="標楷體" w:hAnsi="標楷體"/>
          <w:szCs w:val="24"/>
        </w:rPr>
        <w:t>。</w:t>
      </w:r>
    </w:p>
    <w:p w14:paraId="64FB2280" w14:textId="77777777" w:rsidR="007576F0" w:rsidRPr="007576F0" w:rsidRDefault="007576F0" w:rsidP="007576F0">
      <w:pPr>
        <w:snapToGrid w:val="0"/>
        <w:spacing w:line="300" w:lineRule="exact"/>
        <w:ind w:left="1133" w:hanging="365"/>
        <w:jc w:val="both"/>
        <w:rPr>
          <w:rFonts w:ascii="標楷體" w:eastAsia="標楷體" w:hAnsi="標楷體"/>
          <w:szCs w:val="24"/>
        </w:rPr>
      </w:pPr>
      <w:r w:rsidRPr="007576F0">
        <w:rPr>
          <w:rFonts w:ascii="標楷體" w:eastAsia="標楷體" w:hAnsi="標楷體"/>
          <w:szCs w:val="24"/>
        </w:rPr>
        <w:t>(2)</w:t>
      </w:r>
      <w:r w:rsidRPr="007576F0">
        <w:rPr>
          <w:rFonts w:ascii="標楷體" w:eastAsia="標楷體" w:hAnsi="標楷體" w:hint="eastAsia"/>
          <w:szCs w:val="24"/>
        </w:rPr>
        <w:t>第二型人類表皮生長因子受體(HER2)陰性。</w:t>
      </w:r>
    </w:p>
    <w:p w14:paraId="11677E71" w14:textId="77777777" w:rsidR="007576F0" w:rsidRPr="007576F0" w:rsidRDefault="007576F0" w:rsidP="007576F0">
      <w:pPr>
        <w:snapToGrid w:val="0"/>
        <w:spacing w:line="300" w:lineRule="exact"/>
        <w:ind w:left="1133" w:hanging="365"/>
        <w:jc w:val="both"/>
      </w:pPr>
      <w:r w:rsidRPr="007576F0">
        <w:rPr>
          <w:rFonts w:ascii="標楷體" w:eastAsia="標楷體" w:hAnsi="標楷體"/>
          <w:szCs w:val="24"/>
        </w:rPr>
        <w:t>(3)</w:t>
      </w:r>
      <w:r w:rsidRPr="007576F0">
        <w:rPr>
          <w:rFonts w:ascii="標楷體" w:eastAsia="標楷體" w:hAnsi="標楷體" w:hint="eastAsia"/>
          <w:szCs w:val="24"/>
        </w:rPr>
        <w:t>具PIK3CA/AKT1/PTEN任</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變異。</w:t>
      </w:r>
    </w:p>
    <w:p w14:paraId="4A6A64C8" w14:textId="77777777" w:rsidR="007576F0" w:rsidRPr="007576F0" w:rsidRDefault="007576F0" w:rsidP="007576F0">
      <w:pPr>
        <w:spacing w:line="300" w:lineRule="exact"/>
        <w:ind w:left="849" w:hanging="283"/>
        <w:rPr>
          <w:rFonts w:ascii="標楷體" w:eastAsia="標楷體" w:hAnsi="標楷體"/>
          <w:szCs w:val="24"/>
        </w:rPr>
      </w:pPr>
      <w:r w:rsidRPr="007576F0">
        <w:rPr>
          <w:rFonts w:ascii="標楷體" w:eastAsia="標楷體" w:hAnsi="標楷體"/>
          <w:szCs w:val="24"/>
        </w:rPr>
        <w:t>2.需經事前審查核准後使用：</w:t>
      </w:r>
    </w:p>
    <w:p w14:paraId="6EA91B2E" w14:textId="77777777" w:rsidR="007576F0" w:rsidRPr="007576F0" w:rsidRDefault="007576F0" w:rsidP="007576F0">
      <w:pPr>
        <w:snapToGrid w:val="0"/>
        <w:spacing w:line="300" w:lineRule="exact"/>
        <w:ind w:left="1133" w:hanging="365"/>
        <w:jc w:val="both"/>
      </w:pPr>
      <w:r w:rsidRPr="007576F0">
        <w:rPr>
          <w:rFonts w:ascii="標楷體" w:eastAsia="標楷體" w:hAnsi="標楷體"/>
          <w:szCs w:val="24"/>
        </w:rPr>
        <w:t>(1)</w:t>
      </w:r>
      <w:r w:rsidRPr="007576F0">
        <w:rPr>
          <w:rFonts w:ascii="標楷體" w:eastAsia="標楷體" w:hAnsi="標楷體" w:hint="eastAsia"/>
          <w:szCs w:val="24"/>
        </w:rPr>
        <w:t>初次申請需檢附PIK3CA/AKT1/PTEN任</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變異檢測報告，且需符合全民健康保險藥品給付規定之通則十二</w:t>
      </w:r>
      <w:r w:rsidRPr="007576F0">
        <w:rPr>
          <w:rFonts w:ascii="標楷體" w:eastAsia="標楷體" w:hAnsi="標楷體" w:cs="標楷體"/>
          <w:color w:val="000000"/>
          <w:kern w:val="0"/>
          <w:szCs w:val="24"/>
        </w:rPr>
        <w:t>。</w:t>
      </w:r>
    </w:p>
    <w:p w14:paraId="68849B56" w14:textId="77777777" w:rsidR="007576F0" w:rsidRPr="007576F0" w:rsidRDefault="007576F0" w:rsidP="007576F0">
      <w:pPr>
        <w:snapToGrid w:val="0"/>
        <w:spacing w:line="300" w:lineRule="exact"/>
        <w:ind w:left="1133" w:hanging="365"/>
        <w:jc w:val="both"/>
        <w:rPr>
          <w:rFonts w:ascii="標楷體" w:eastAsia="標楷體" w:hAnsi="標楷體" w:cs="標楷體"/>
          <w:color w:val="000000"/>
          <w:kern w:val="0"/>
          <w:szCs w:val="24"/>
        </w:rPr>
      </w:pPr>
      <w:r w:rsidRPr="007576F0">
        <w:rPr>
          <w:rFonts w:ascii="標楷體" w:eastAsia="標楷體" w:hAnsi="標楷體"/>
          <w:szCs w:val="24"/>
        </w:rPr>
        <w:lastRenderedPageBreak/>
        <w:t>(2)</w:t>
      </w:r>
      <w:r w:rsidRPr="007576F0">
        <w:rPr>
          <w:rFonts w:hint="eastAsia"/>
        </w:rPr>
        <w:t xml:space="preserve"> </w:t>
      </w:r>
      <w:r w:rsidRPr="007576F0">
        <w:rPr>
          <w:rFonts w:ascii="標楷體" w:eastAsia="標楷體" w:hAnsi="標楷體" w:cs="標楷體" w:hint="eastAsia"/>
          <w:color w:val="000000"/>
          <w:kern w:val="0"/>
          <w:szCs w:val="24"/>
        </w:rPr>
        <w:t>核准後每12</w:t>
      </w:r>
      <w:proofErr w:type="gramStart"/>
      <w:r w:rsidRPr="007576F0">
        <w:rPr>
          <w:rFonts w:ascii="標楷體" w:eastAsia="標楷體" w:hAnsi="標楷體" w:cs="標楷體" w:hint="eastAsia"/>
          <w:color w:val="000000"/>
          <w:kern w:val="0"/>
          <w:szCs w:val="24"/>
        </w:rPr>
        <w:t>週</w:t>
      </w:r>
      <w:proofErr w:type="gramEnd"/>
      <w:r w:rsidRPr="007576F0">
        <w:rPr>
          <w:rFonts w:ascii="標楷體" w:eastAsia="標楷體" w:hAnsi="標楷體" w:cs="標楷體" w:hint="eastAsia"/>
          <w:color w:val="000000"/>
          <w:kern w:val="0"/>
          <w:szCs w:val="24"/>
        </w:rPr>
        <w:t>需檢附療效評估資料再次申請，若疾病惡化即必須停止使用</w:t>
      </w:r>
    </w:p>
    <w:p w14:paraId="4248142C" w14:textId="77777777" w:rsidR="007576F0" w:rsidRPr="007576F0" w:rsidRDefault="007576F0" w:rsidP="007576F0">
      <w:pPr>
        <w:spacing w:line="300" w:lineRule="exact"/>
        <w:ind w:left="849" w:hanging="283"/>
      </w:pPr>
      <w:r w:rsidRPr="007576F0">
        <w:rPr>
          <w:rFonts w:ascii="標楷體" w:eastAsia="標楷體" w:hAnsi="標楷體"/>
          <w:szCs w:val="24"/>
        </w:rPr>
        <w:t>3</w:t>
      </w:r>
      <w:r w:rsidRPr="007576F0">
        <w:rPr>
          <w:rFonts w:ascii="標楷體" w:eastAsia="標楷體" w:hAnsi="標楷體" w:hint="eastAsia"/>
          <w:szCs w:val="24"/>
        </w:rPr>
        <w:t>.本藥品</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w:t>
      </w:r>
      <w:proofErr w:type="spellStart"/>
      <w:r w:rsidRPr="007576F0">
        <w:rPr>
          <w:rFonts w:ascii="標楷體" w:eastAsia="標楷體" w:hAnsi="標楷體" w:hint="eastAsia"/>
          <w:szCs w:val="24"/>
        </w:rPr>
        <w:t>fulvestrant</w:t>
      </w:r>
      <w:proofErr w:type="spellEnd"/>
      <w:r w:rsidRPr="007576F0">
        <w:rPr>
          <w:rFonts w:ascii="標楷體" w:eastAsia="標楷體" w:hAnsi="標楷體" w:hint="eastAsia"/>
          <w:szCs w:val="24"/>
        </w:rPr>
        <w:t>與</w:t>
      </w:r>
      <w:proofErr w:type="spellStart"/>
      <w:r w:rsidRPr="007576F0">
        <w:rPr>
          <w:rFonts w:ascii="標楷體" w:eastAsia="標楷體" w:hAnsi="標楷體" w:hint="eastAsia"/>
          <w:szCs w:val="24"/>
        </w:rPr>
        <w:t>alpelisib</w:t>
      </w:r>
      <w:proofErr w:type="spellEnd"/>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w:t>
      </w:r>
      <w:proofErr w:type="spellStart"/>
      <w:r w:rsidRPr="007576F0">
        <w:rPr>
          <w:rFonts w:ascii="標楷體" w:eastAsia="標楷體" w:hAnsi="標楷體" w:hint="eastAsia"/>
          <w:szCs w:val="24"/>
        </w:rPr>
        <w:t>fulvestrant</w:t>
      </w:r>
      <w:proofErr w:type="spellEnd"/>
      <w:r w:rsidRPr="007576F0">
        <w:rPr>
          <w:rFonts w:ascii="標楷體" w:eastAsia="標楷體" w:hAnsi="標楷體" w:hint="eastAsia"/>
          <w:szCs w:val="24"/>
        </w:rPr>
        <w:t>用於PIK3CA基因變異病人時，僅得擇</w:t>
      </w:r>
      <w:proofErr w:type="gramStart"/>
      <w:r w:rsidRPr="007576F0">
        <w:rPr>
          <w:rFonts w:ascii="標楷體" w:eastAsia="標楷體" w:hAnsi="標楷體" w:hint="eastAsia"/>
          <w:szCs w:val="24"/>
        </w:rPr>
        <w:t>一</w:t>
      </w:r>
      <w:proofErr w:type="gramEnd"/>
      <w:r w:rsidRPr="007576F0">
        <w:rPr>
          <w:rFonts w:ascii="標楷體" w:eastAsia="標楷體" w:hAnsi="標楷體" w:hint="eastAsia"/>
          <w:szCs w:val="24"/>
        </w:rPr>
        <w:t>給付。</w:t>
      </w:r>
      <w:bookmarkEnd w:id="80"/>
    </w:p>
    <w:p w14:paraId="623AC555" w14:textId="77777777" w:rsidR="007576F0" w:rsidRPr="007576F0" w:rsidRDefault="007576F0" w:rsidP="007576F0">
      <w:pPr>
        <w:spacing w:line="300" w:lineRule="exact"/>
        <w:ind w:left="610" w:hanging="245"/>
        <w:rPr>
          <w:rFonts w:ascii="標楷體" w:eastAsia="標楷體" w:hAnsi="標楷體"/>
        </w:rPr>
      </w:pPr>
      <w:r w:rsidRPr="007576F0">
        <w:rPr>
          <w:rFonts w:ascii="標楷體" w:eastAsia="標楷體" w:hAnsi="標楷體"/>
        </w:rPr>
        <w:t>9.136.Fruqui</w:t>
      </w:r>
      <w:r w:rsidRPr="007576F0">
        <w:rPr>
          <w:rFonts w:ascii="標楷體" w:eastAsia="標楷體" w:hAnsi="標楷體" w:hint="eastAsia"/>
        </w:rPr>
        <w:t>n</w:t>
      </w:r>
      <w:r w:rsidRPr="007576F0">
        <w:rPr>
          <w:rFonts w:ascii="標楷體" w:eastAsia="標楷體" w:hAnsi="標楷體"/>
        </w:rPr>
        <w:t>tinib (如</w:t>
      </w:r>
      <w:proofErr w:type="spellStart"/>
      <w:r w:rsidRPr="007576F0">
        <w:rPr>
          <w:rFonts w:ascii="標楷體" w:eastAsia="標楷體" w:hAnsi="標楷體"/>
        </w:rPr>
        <w:t>Fruzaqla</w:t>
      </w:r>
      <w:proofErr w:type="spellEnd"/>
      <w:r w:rsidRPr="007576F0">
        <w:rPr>
          <w:rFonts w:ascii="標楷體" w:eastAsia="標楷體" w:hAnsi="標楷體"/>
        </w:rPr>
        <w:t>)：(115/6/1)</w:t>
      </w:r>
    </w:p>
    <w:p w14:paraId="03B1368F" w14:textId="77777777" w:rsidR="007576F0" w:rsidRPr="007576F0" w:rsidRDefault="007576F0" w:rsidP="007576F0">
      <w:pPr>
        <w:spacing w:line="300" w:lineRule="exact"/>
        <w:ind w:left="849" w:hanging="283"/>
        <w:rPr>
          <w:rFonts w:ascii="標楷體" w:eastAsia="標楷體" w:hAnsi="標楷體"/>
        </w:rPr>
      </w:pPr>
      <w:r w:rsidRPr="007576F0">
        <w:rPr>
          <w:rFonts w:ascii="標楷體" w:eastAsia="標楷體" w:hAnsi="標楷體"/>
        </w:rPr>
        <w:t>1.用於先前曾</w:t>
      </w:r>
      <w:r w:rsidRPr="007576F0">
        <w:rPr>
          <w:rFonts w:ascii="標楷體" w:eastAsia="標楷體" w:hAnsi="標楷體"/>
          <w:szCs w:val="24"/>
        </w:rPr>
        <w:t>接受</w:t>
      </w:r>
      <w:r w:rsidRPr="007576F0">
        <w:rPr>
          <w:rFonts w:ascii="標楷體" w:eastAsia="標楷體" w:hAnsi="標楷體"/>
        </w:rPr>
        <w:t>下列療法的轉移性大腸直腸癌(mCRC)病人，療法包括fluoropyrimidine、oxaliplatin、irinotecan為基礎的化療，和抗血管內皮生長因子(anti-VEGF)等療法；若K-RAS為</w:t>
      </w:r>
      <w:proofErr w:type="gramStart"/>
      <w:r w:rsidRPr="007576F0">
        <w:rPr>
          <w:rFonts w:ascii="標楷體" w:eastAsia="標楷體" w:hAnsi="標楷體"/>
        </w:rPr>
        <w:t>原生型</w:t>
      </w:r>
      <w:proofErr w:type="gramEnd"/>
      <w:r w:rsidRPr="007576F0">
        <w:rPr>
          <w:rFonts w:ascii="標楷體" w:eastAsia="標楷體" w:hAnsi="標楷體"/>
        </w:rPr>
        <w:t>(wild type)，則需再加上</w:t>
      </w:r>
      <w:proofErr w:type="gramStart"/>
      <w:r w:rsidRPr="007576F0">
        <w:rPr>
          <w:rFonts w:ascii="標楷體" w:eastAsia="標楷體" w:hAnsi="標楷體"/>
        </w:rPr>
        <w:t>接受過抗表皮</w:t>
      </w:r>
      <w:proofErr w:type="gramEnd"/>
      <w:r w:rsidRPr="007576F0">
        <w:rPr>
          <w:rFonts w:ascii="標楷體" w:eastAsia="標楷體" w:hAnsi="標楷體"/>
        </w:rPr>
        <w:t>生長因子受體(anti-EGFR)療法。</w:t>
      </w:r>
    </w:p>
    <w:p w14:paraId="4086B5E9" w14:textId="77777777" w:rsidR="007576F0" w:rsidRPr="007576F0" w:rsidRDefault="007576F0" w:rsidP="007576F0">
      <w:pPr>
        <w:spacing w:line="300" w:lineRule="exact"/>
        <w:ind w:left="849" w:hanging="283"/>
        <w:rPr>
          <w:rFonts w:ascii="標楷體" w:eastAsia="標楷體" w:hAnsi="標楷體"/>
          <w:szCs w:val="24"/>
        </w:rPr>
      </w:pPr>
      <w:r w:rsidRPr="007576F0">
        <w:rPr>
          <w:rFonts w:ascii="標楷體" w:eastAsia="標楷體" w:hAnsi="標楷體"/>
        </w:rPr>
        <w:t>2.需</w:t>
      </w:r>
      <w:r w:rsidRPr="007576F0">
        <w:rPr>
          <w:rFonts w:ascii="標楷體" w:eastAsia="標楷體" w:hAnsi="標楷體"/>
          <w:szCs w:val="24"/>
        </w:rPr>
        <w:t xml:space="preserve">檢附All-RAS基因突變分析檢測結果報告，且需符合全民健康保險藥品給付規定之通則十二。 </w:t>
      </w:r>
    </w:p>
    <w:p w14:paraId="0AFD7AB3" w14:textId="77777777" w:rsidR="007576F0" w:rsidRPr="007576F0" w:rsidRDefault="007576F0" w:rsidP="007576F0">
      <w:pPr>
        <w:spacing w:line="300" w:lineRule="exact"/>
        <w:ind w:left="849" w:hanging="283"/>
        <w:rPr>
          <w:rFonts w:ascii="標楷體" w:eastAsia="標楷體" w:hAnsi="標楷體"/>
          <w:szCs w:val="24"/>
        </w:rPr>
      </w:pPr>
      <w:r w:rsidRPr="007576F0">
        <w:rPr>
          <w:rFonts w:ascii="標楷體" w:eastAsia="標楷體" w:hAnsi="標楷體"/>
          <w:szCs w:val="24"/>
        </w:rPr>
        <w:t>3.須經事前審查核准後使用，每次申請之療程以8</w:t>
      </w:r>
      <w:proofErr w:type="gramStart"/>
      <w:r w:rsidRPr="007576F0">
        <w:rPr>
          <w:rFonts w:ascii="標楷體" w:eastAsia="標楷體" w:hAnsi="標楷體"/>
          <w:szCs w:val="24"/>
        </w:rPr>
        <w:t>週</w:t>
      </w:r>
      <w:proofErr w:type="gramEnd"/>
      <w:r w:rsidRPr="007576F0">
        <w:rPr>
          <w:rFonts w:ascii="標楷體" w:eastAsia="標楷體" w:hAnsi="標楷體"/>
          <w:szCs w:val="24"/>
        </w:rPr>
        <w:t>為限，再次申請必須提出客觀證據</w:t>
      </w:r>
      <w:proofErr w:type="gramStart"/>
      <w:r w:rsidRPr="007576F0">
        <w:rPr>
          <w:rFonts w:ascii="標楷體" w:eastAsia="標楷體" w:hAnsi="標楷體"/>
          <w:szCs w:val="24"/>
        </w:rPr>
        <w:t>（</w:t>
      </w:r>
      <w:proofErr w:type="gramEnd"/>
      <w:r w:rsidRPr="007576F0">
        <w:rPr>
          <w:rFonts w:ascii="標楷體" w:eastAsia="標楷體" w:hAnsi="標楷體"/>
          <w:szCs w:val="24"/>
        </w:rPr>
        <w:t>如：影像學</w:t>
      </w:r>
      <w:proofErr w:type="gramStart"/>
      <w:r w:rsidRPr="007576F0">
        <w:rPr>
          <w:rFonts w:ascii="標楷體" w:eastAsia="標楷體" w:hAnsi="標楷體"/>
          <w:szCs w:val="24"/>
        </w:rPr>
        <w:t>）</w:t>
      </w:r>
      <w:proofErr w:type="gramEnd"/>
      <w:r w:rsidRPr="007576F0">
        <w:rPr>
          <w:rFonts w:ascii="標楷體" w:eastAsia="標楷體" w:hAnsi="標楷體"/>
          <w:szCs w:val="24"/>
        </w:rPr>
        <w:t>證實無惡化，才可繼續使用。</w:t>
      </w:r>
    </w:p>
    <w:p w14:paraId="3958CA58" w14:textId="77777777" w:rsidR="007576F0" w:rsidRPr="007576F0" w:rsidRDefault="007576F0" w:rsidP="007576F0">
      <w:pPr>
        <w:spacing w:line="300" w:lineRule="exact"/>
        <w:ind w:left="849" w:hanging="283"/>
        <w:rPr>
          <w:rFonts w:ascii="標楷體" w:eastAsia="標楷體" w:hAnsi="標楷體"/>
        </w:rPr>
      </w:pPr>
      <w:r w:rsidRPr="007576F0">
        <w:rPr>
          <w:rFonts w:ascii="標楷體" w:eastAsia="標楷體" w:hAnsi="標楷體"/>
          <w:szCs w:val="24"/>
        </w:rPr>
        <w:t>4.Fr</w:t>
      </w:r>
      <w:r w:rsidRPr="007576F0">
        <w:rPr>
          <w:rFonts w:ascii="標楷體" w:eastAsia="標楷體" w:hAnsi="標楷體"/>
        </w:rPr>
        <w:t>uzaqla 5mg每日至多給付1粒，</w:t>
      </w:r>
      <w:proofErr w:type="spellStart"/>
      <w:r w:rsidRPr="007576F0">
        <w:rPr>
          <w:rFonts w:ascii="標楷體" w:eastAsia="標楷體" w:hAnsi="標楷體"/>
        </w:rPr>
        <w:t>Fruzaqla</w:t>
      </w:r>
      <w:proofErr w:type="spellEnd"/>
      <w:r w:rsidRPr="007576F0">
        <w:rPr>
          <w:rFonts w:ascii="標楷體" w:eastAsia="標楷體" w:hAnsi="標楷體"/>
        </w:rPr>
        <w:t xml:space="preserve"> 1mg每日至多給付4粒。</w:t>
      </w:r>
    </w:p>
    <w:p w14:paraId="1E5756FB"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hint="eastAsia"/>
          <w:color w:val="000000"/>
        </w:rPr>
        <w:t>9.137.</w:t>
      </w:r>
      <w:r w:rsidRPr="007576F0">
        <w:rPr>
          <w:rFonts w:ascii="標楷體" w:eastAsia="標楷體" w:hAnsi="標楷體" w:hint="eastAsia"/>
        </w:rPr>
        <w:t>Cabazitaxel</w:t>
      </w:r>
      <w:r w:rsidRPr="007576F0">
        <w:rPr>
          <w:rFonts w:ascii="標楷體" w:eastAsia="標楷體" w:hAnsi="標楷體" w:hint="eastAsia"/>
          <w:color w:val="000000"/>
        </w:rPr>
        <w:t>(如</w:t>
      </w:r>
      <w:proofErr w:type="spellStart"/>
      <w:r w:rsidRPr="007576F0">
        <w:rPr>
          <w:rFonts w:ascii="標楷體" w:eastAsia="標楷體" w:hAnsi="標楷體" w:hint="eastAsia"/>
          <w:color w:val="000000"/>
        </w:rPr>
        <w:t>Cabazred</w:t>
      </w:r>
      <w:proofErr w:type="spellEnd"/>
      <w:r w:rsidRPr="007576F0">
        <w:rPr>
          <w:rFonts w:ascii="標楷體" w:eastAsia="標楷體" w:hAnsi="標楷體" w:hint="eastAsia"/>
          <w:color w:val="000000"/>
        </w:rPr>
        <w:t>):(115/8/1)</w:t>
      </w:r>
    </w:p>
    <w:p w14:paraId="17B099D4"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hint="eastAsia"/>
          <w:color w:val="000000"/>
        </w:rPr>
        <w:t>1.與</w:t>
      </w:r>
      <w:r w:rsidRPr="007576F0">
        <w:rPr>
          <w:rFonts w:ascii="標楷體" w:eastAsia="標楷體" w:hAnsi="標楷體" w:hint="eastAsia"/>
        </w:rPr>
        <w:t>p</w:t>
      </w:r>
      <w:r w:rsidRPr="007576F0">
        <w:rPr>
          <w:rFonts w:ascii="標楷體" w:eastAsia="標楷體" w:hAnsi="標楷體" w:hint="eastAsia"/>
          <w:szCs w:val="24"/>
        </w:rPr>
        <w:t>rednisone或prednisolone</w:t>
      </w:r>
      <w:proofErr w:type="gramStart"/>
      <w:r w:rsidRPr="007576F0">
        <w:rPr>
          <w:rFonts w:ascii="標楷體" w:eastAsia="標楷體" w:hAnsi="標楷體" w:hint="eastAsia"/>
          <w:szCs w:val="24"/>
        </w:rPr>
        <w:t>併</w:t>
      </w:r>
      <w:proofErr w:type="gramEnd"/>
      <w:r w:rsidRPr="007576F0">
        <w:rPr>
          <w:rFonts w:ascii="標楷體" w:eastAsia="標楷體" w:hAnsi="標楷體" w:hint="eastAsia"/>
          <w:szCs w:val="24"/>
        </w:rPr>
        <w:t>用，治療對荷爾蒙無效的轉移性前列腺癌(</w:t>
      </w:r>
      <w:proofErr w:type="spellStart"/>
      <w:r w:rsidRPr="007576F0">
        <w:rPr>
          <w:rFonts w:ascii="標楷體" w:eastAsia="標楷體" w:hAnsi="標楷體" w:hint="eastAsia"/>
          <w:szCs w:val="24"/>
        </w:rPr>
        <w:t>mCRPC</w:t>
      </w:r>
      <w:proofErr w:type="spellEnd"/>
      <w:r w:rsidRPr="007576F0">
        <w:rPr>
          <w:rFonts w:ascii="標楷體" w:eastAsia="標楷體" w:hAnsi="標楷體" w:hint="eastAsia"/>
          <w:szCs w:val="24"/>
        </w:rPr>
        <w:t>)，且已接受</w:t>
      </w:r>
      <w:r w:rsidRPr="007576F0">
        <w:rPr>
          <w:rFonts w:ascii="標楷體" w:eastAsia="標楷體" w:hAnsi="標楷體" w:hint="eastAsia"/>
          <w:color w:val="000000"/>
        </w:rPr>
        <w:t>過docetaxel治療者，須完全符合下列條件：</w:t>
      </w:r>
    </w:p>
    <w:p w14:paraId="6D0A07CB"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(1)曾經接受過docetaxel至少3個療程。</w:t>
      </w:r>
    </w:p>
    <w:p w14:paraId="34D9F646"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(2)曾經接受過新型荷爾蒙藥品(abiraterone、apalutamide、</w:t>
      </w:r>
      <w:proofErr w:type="spellStart"/>
      <w:r w:rsidRPr="007576F0">
        <w:rPr>
          <w:rFonts w:ascii="標楷體" w:eastAsia="標楷體" w:hAnsi="標楷體" w:hint="eastAsia"/>
          <w:color w:val="000000"/>
        </w:rPr>
        <w:t>darolutamide</w:t>
      </w:r>
      <w:proofErr w:type="spellEnd"/>
      <w:r w:rsidRPr="007576F0">
        <w:rPr>
          <w:rFonts w:ascii="標楷體" w:eastAsia="標楷體" w:hAnsi="標楷體" w:hint="eastAsia"/>
          <w:color w:val="000000"/>
        </w:rPr>
        <w:t>和enzalutamide)治療後惡化。</w:t>
      </w:r>
    </w:p>
    <w:p w14:paraId="28C9BB44"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(3)ECOG</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w:t>
      </w:r>
    </w:p>
    <w:p w14:paraId="5E21DF64"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hint="eastAsia"/>
          <w:color w:val="000000"/>
        </w:rPr>
        <w:t>2.需經事前審查核准後使用，每3個月需再次申請。</w:t>
      </w:r>
    </w:p>
    <w:p w14:paraId="5483E84D"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(1)初次申請時需檢附病理報告、使用雄性素去除療法紀錄，系列PSA和</w:t>
      </w:r>
      <w:proofErr w:type="gramStart"/>
      <w:r w:rsidRPr="007576F0">
        <w:rPr>
          <w:rFonts w:ascii="標楷體" w:eastAsia="標楷體" w:hAnsi="標楷體" w:hint="eastAsia"/>
          <w:color w:val="000000"/>
        </w:rPr>
        <w:t>睪固酮</w:t>
      </w:r>
      <w:proofErr w:type="gramEnd"/>
      <w:r w:rsidRPr="007576F0">
        <w:rPr>
          <w:rFonts w:ascii="標楷體" w:eastAsia="標楷體" w:hAnsi="標楷體" w:hint="eastAsia"/>
          <w:color w:val="000000"/>
        </w:rPr>
        <w:t>數據及3個月內影像報告。</w:t>
      </w:r>
    </w:p>
    <w:p w14:paraId="6373BE2B"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(2)再申請時PSA值未超過治療前，且影像學證據尚無疾病進展者，可以繼續使用。</w:t>
      </w:r>
    </w:p>
    <w:p w14:paraId="6A535C8C"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(3)下降達</w:t>
      </w:r>
      <w:proofErr w:type="gramStart"/>
      <w:r w:rsidRPr="007576F0">
        <w:rPr>
          <w:rFonts w:ascii="標楷體" w:eastAsia="標楷體" w:hAnsi="標楷體" w:hint="eastAsia"/>
          <w:color w:val="000000"/>
        </w:rPr>
        <w:t>最低值後之</w:t>
      </w:r>
      <w:proofErr w:type="gramEnd"/>
      <w:r w:rsidRPr="007576F0">
        <w:rPr>
          <w:rFonts w:ascii="標楷體" w:eastAsia="標楷體" w:hAnsi="標楷體" w:hint="eastAsia"/>
          <w:color w:val="000000"/>
        </w:rPr>
        <w:t>持續追蹤出現PSA較最低值上升50%以上且PSA</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2ng/mL，則需停藥，但影像學證據尚無疾病進展者，可以繼續使用。</w:t>
      </w:r>
    </w:p>
    <w:p w14:paraId="1B125A67"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hint="eastAsia"/>
          <w:color w:val="000000"/>
        </w:rPr>
        <w:t>3.總療程以7個療程為上限。</w:t>
      </w:r>
    </w:p>
    <w:p w14:paraId="2A22D858"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hint="eastAsia"/>
          <w:color w:val="000000"/>
        </w:rPr>
        <w:t>4.不得與新型荷爾蒙藥品或</w:t>
      </w:r>
      <w:proofErr w:type="spellStart"/>
      <w:r w:rsidRPr="007576F0">
        <w:rPr>
          <w:rFonts w:ascii="標楷體" w:eastAsia="標楷體" w:hAnsi="標楷體" w:hint="eastAsia"/>
          <w:color w:val="000000"/>
        </w:rPr>
        <w:t>olaparib</w:t>
      </w:r>
      <w:proofErr w:type="spellEnd"/>
      <w:r w:rsidRPr="007576F0">
        <w:rPr>
          <w:rFonts w:ascii="標楷體" w:eastAsia="標楷體" w:hAnsi="標楷體" w:hint="eastAsia"/>
          <w:color w:val="000000"/>
        </w:rPr>
        <w:t>合併使用。</w:t>
      </w:r>
    </w:p>
    <w:p w14:paraId="15D260EB"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hint="eastAsia"/>
          <w:color w:val="000000"/>
        </w:rPr>
        <w:t>9.138.Aumolertinib (如</w:t>
      </w:r>
      <w:proofErr w:type="spellStart"/>
      <w:r w:rsidRPr="007576F0">
        <w:rPr>
          <w:rFonts w:ascii="標楷體" w:eastAsia="標楷體" w:hAnsi="標楷體" w:hint="eastAsia"/>
          <w:color w:val="000000"/>
        </w:rPr>
        <w:t>Pulmivex</w:t>
      </w:r>
      <w:proofErr w:type="spellEnd"/>
      <w:r w:rsidRPr="007576F0">
        <w:rPr>
          <w:rFonts w:ascii="標楷體" w:eastAsia="標楷體" w:hAnsi="標楷體" w:hint="eastAsia"/>
          <w:color w:val="000000"/>
        </w:rPr>
        <w:t>)：(115/8/1)</w:t>
      </w:r>
    </w:p>
    <w:p w14:paraId="42DCCCA5"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hint="eastAsia"/>
          <w:color w:val="000000"/>
        </w:rPr>
        <w:t>1.限單獨使用於：</w:t>
      </w:r>
    </w:p>
    <w:p w14:paraId="2BA3B567"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(1)具有EGFR Exon 19 Del或Exon 21 L858R基因突變之局部侵犯性或轉移性（即為IIIB、IIIC期或第Ⅳ期）肺腺癌病人之第一線治療。</w:t>
      </w:r>
    </w:p>
    <w:p w14:paraId="4272F3A1" w14:textId="77777777" w:rsidR="007576F0" w:rsidRPr="007576F0" w:rsidRDefault="007576F0" w:rsidP="007576F0">
      <w:pPr>
        <w:tabs>
          <w:tab w:val="left" w:pos="709"/>
        </w:tabs>
        <w:spacing w:line="300" w:lineRule="exact"/>
        <w:ind w:leftChars="296" w:left="849" w:hangingChars="58" w:hanging="139"/>
        <w:rPr>
          <w:rFonts w:ascii="標楷體" w:eastAsia="標楷體" w:hAnsi="標楷體"/>
          <w:color w:val="000000"/>
        </w:rPr>
      </w:pPr>
      <w:r w:rsidRPr="007576F0">
        <w:rPr>
          <w:rFonts w:ascii="標楷體" w:eastAsia="標楷體" w:hAnsi="標楷體" w:hint="eastAsia"/>
          <w:color w:val="000000"/>
        </w:rPr>
        <w:t>(2)先前已接受過EGFR標靶藥物 gefitinib、erlotinib、afatinib 、dacomitinib治療失敗，且具有EGFR　T790M基因突變之局部侵犯性或轉移性之非小細胞肺癌之第二線治療。</w:t>
      </w:r>
    </w:p>
    <w:p w14:paraId="4EF93EB4" w14:textId="77777777" w:rsidR="007576F0" w:rsidRPr="007576F0" w:rsidRDefault="007576F0" w:rsidP="007576F0">
      <w:pPr>
        <w:spacing w:line="300" w:lineRule="exact"/>
        <w:ind w:left="849" w:hanging="283"/>
        <w:rPr>
          <w:rFonts w:ascii="標楷體" w:eastAsia="標楷體" w:hAnsi="標楷體"/>
          <w:color w:val="000000"/>
        </w:rPr>
      </w:pPr>
      <w:r w:rsidRPr="007576F0">
        <w:rPr>
          <w:rFonts w:ascii="標楷體" w:eastAsia="標楷體" w:hAnsi="標楷體" w:hint="eastAsia"/>
          <w:color w:val="000000"/>
        </w:rPr>
        <w:t>2.使用注意事項：</w:t>
      </w:r>
    </w:p>
    <w:p w14:paraId="4AE769B7"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(1)須經事前審查核准後使用：</w:t>
      </w:r>
    </w:p>
    <w:p w14:paraId="2ACF61A8" w14:textId="77777777" w:rsidR="007576F0" w:rsidRPr="007576F0" w:rsidRDefault="007576F0" w:rsidP="007576F0">
      <w:pPr>
        <w:spacing w:line="300" w:lineRule="exact"/>
        <w:ind w:left="1560" w:hanging="567"/>
        <w:rPr>
          <w:rFonts w:ascii="標楷體" w:eastAsia="標楷體" w:hAnsi="標楷體"/>
          <w:color w:val="000000"/>
        </w:rPr>
      </w:pPr>
      <w:r w:rsidRPr="007576F0">
        <w:rPr>
          <w:rFonts w:ascii="標楷體" w:eastAsia="標楷體" w:hAnsi="標楷體" w:hint="eastAsia"/>
          <w:color w:val="000000"/>
        </w:rPr>
        <w:t>I.每次申請事前審查之療程以三</w:t>
      </w:r>
      <w:proofErr w:type="gramStart"/>
      <w:r w:rsidRPr="007576F0">
        <w:rPr>
          <w:rFonts w:ascii="標楷體" w:eastAsia="標楷體" w:hAnsi="標楷體" w:hint="eastAsia"/>
          <w:color w:val="000000"/>
        </w:rPr>
        <w:t>個</w:t>
      </w:r>
      <w:proofErr w:type="gramEnd"/>
      <w:r w:rsidRPr="007576F0">
        <w:rPr>
          <w:rFonts w:ascii="標楷體" w:eastAsia="標楷體" w:hAnsi="標楷體" w:hint="eastAsia"/>
          <w:color w:val="000000"/>
        </w:rPr>
        <w:t>月為限，每三</w:t>
      </w:r>
      <w:proofErr w:type="gramStart"/>
      <w:r w:rsidRPr="007576F0">
        <w:rPr>
          <w:rFonts w:ascii="標楷體" w:eastAsia="標楷體" w:hAnsi="標楷體" w:hint="eastAsia"/>
          <w:color w:val="000000"/>
        </w:rPr>
        <w:t>個</w:t>
      </w:r>
      <w:proofErr w:type="gramEnd"/>
      <w:r w:rsidRPr="007576F0">
        <w:rPr>
          <w:rFonts w:ascii="標楷體" w:eastAsia="標楷體" w:hAnsi="標楷體" w:hint="eastAsia"/>
          <w:color w:val="000000"/>
        </w:rPr>
        <w:t>月需再次申請。</w:t>
      </w:r>
    </w:p>
    <w:p w14:paraId="70E22B24" w14:textId="77777777" w:rsidR="007576F0" w:rsidRPr="007576F0" w:rsidRDefault="007576F0" w:rsidP="007576F0">
      <w:pPr>
        <w:spacing w:line="300" w:lineRule="exact"/>
        <w:ind w:left="1418" w:hanging="425"/>
        <w:rPr>
          <w:rFonts w:ascii="標楷體" w:eastAsia="標楷體" w:hAnsi="標楷體"/>
          <w:color w:val="000000"/>
        </w:rPr>
      </w:pPr>
      <w:r w:rsidRPr="007576F0">
        <w:rPr>
          <w:rFonts w:ascii="標楷體" w:eastAsia="標楷體" w:hAnsi="標楷體" w:hint="eastAsia"/>
          <w:color w:val="000000"/>
        </w:rPr>
        <w:t>II.初次申請時需檢具確實患有肺</w:t>
      </w:r>
      <w:proofErr w:type="gramStart"/>
      <w:r w:rsidRPr="007576F0">
        <w:rPr>
          <w:rFonts w:ascii="標楷體" w:eastAsia="標楷體" w:hAnsi="標楷體" w:hint="eastAsia"/>
          <w:color w:val="000000"/>
        </w:rPr>
        <w:t>腺癌或非</w:t>
      </w:r>
      <w:proofErr w:type="gramEnd"/>
      <w:r w:rsidRPr="007576F0">
        <w:rPr>
          <w:rFonts w:ascii="標楷體" w:eastAsia="標楷體" w:hAnsi="標楷體" w:hint="eastAsia"/>
          <w:color w:val="000000"/>
        </w:rPr>
        <w:t>小細胞肺癌之病理或細胞檢查報告，及檢附EGFR基因檢測結果報告，且需符合全民健康保險藥品給付規定之通則十二。</w:t>
      </w:r>
    </w:p>
    <w:p w14:paraId="2F9DFE5D" w14:textId="77777777" w:rsidR="007576F0" w:rsidRPr="007576F0" w:rsidRDefault="007576F0" w:rsidP="007576F0">
      <w:pPr>
        <w:spacing w:line="300" w:lineRule="exact"/>
        <w:ind w:left="1418" w:hanging="425"/>
        <w:rPr>
          <w:rFonts w:ascii="標楷體" w:eastAsia="標楷體" w:hAnsi="標楷體"/>
          <w:color w:val="000000"/>
        </w:rPr>
      </w:pPr>
      <w:r w:rsidRPr="007576F0">
        <w:rPr>
          <w:rFonts w:ascii="標楷體" w:eastAsia="標楷體" w:hAnsi="標楷體" w:hint="eastAsia"/>
          <w:color w:val="000000"/>
        </w:rPr>
        <w:t>III.再次申請時需附上治療後相關臨床資料</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如：影像學</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證實無惡化，才可繼續使用。每次處方以4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為限，如給藥4</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後需追蹤胸部X光或電腦斷層等影像檢查評估療效，每8至12</w:t>
      </w:r>
      <w:proofErr w:type="gramStart"/>
      <w:r w:rsidRPr="007576F0">
        <w:rPr>
          <w:rFonts w:ascii="標楷體" w:eastAsia="標楷體" w:hAnsi="標楷體" w:hint="eastAsia"/>
          <w:color w:val="000000"/>
        </w:rPr>
        <w:t>週</w:t>
      </w:r>
      <w:proofErr w:type="gramEnd"/>
      <w:r w:rsidRPr="007576F0">
        <w:rPr>
          <w:rFonts w:ascii="標楷體" w:eastAsia="標楷體" w:hAnsi="標楷體" w:hint="eastAsia"/>
          <w:color w:val="000000"/>
        </w:rPr>
        <w:t>需進行完整療效評估(如胸部X光或電腦斷層)，若病情惡化、復發或產生不可接受之毒性，即不得再次申請。</w:t>
      </w:r>
    </w:p>
    <w:p w14:paraId="5B33FA0B"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(2)用於第一線治療用藥：與gefitinib、erlotinib、afatinib、dacomitinib及</w:t>
      </w:r>
      <w:proofErr w:type="spellStart"/>
      <w:r w:rsidRPr="007576F0">
        <w:rPr>
          <w:rFonts w:ascii="標楷體" w:eastAsia="標楷體" w:hAnsi="標楷體" w:hint="eastAsia"/>
          <w:color w:val="000000"/>
        </w:rPr>
        <w:t>osimertinib</w:t>
      </w:r>
      <w:proofErr w:type="spellEnd"/>
      <w:r w:rsidRPr="007576F0">
        <w:rPr>
          <w:rFonts w:ascii="標楷體" w:eastAsia="標楷體" w:hAnsi="標楷體" w:hint="eastAsia"/>
          <w:color w:val="000000"/>
        </w:rPr>
        <w:t>僅得擇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roofErr w:type="gramStart"/>
      <w:r w:rsidRPr="007576F0">
        <w:rPr>
          <w:rFonts w:ascii="標楷體" w:eastAsia="標楷體" w:hAnsi="標楷體" w:hint="eastAsia"/>
          <w:color w:val="000000"/>
        </w:rPr>
        <w:t>除因耐受</w:t>
      </w:r>
      <w:proofErr w:type="gramEnd"/>
      <w:r w:rsidRPr="007576F0">
        <w:rPr>
          <w:rFonts w:ascii="標楷體" w:eastAsia="標楷體" w:hAnsi="標楷體" w:hint="eastAsia"/>
          <w:color w:val="000000"/>
        </w:rPr>
        <w:t>性不良，不得互換。如需更換使用本藥品，必須符合本藥品具有EGFR Exon 19 Del或Exon 21 L858R基因突變之局部</w:t>
      </w:r>
      <w:r w:rsidRPr="007576F0">
        <w:rPr>
          <w:rFonts w:ascii="標楷體" w:eastAsia="標楷體" w:hAnsi="標楷體" w:hint="eastAsia"/>
          <w:color w:val="000000"/>
        </w:rPr>
        <w:lastRenderedPageBreak/>
        <w:t>侵犯性或轉移性（即為IIIB、IIIC期或第Ⅳ期）肺腺癌病患。</w:t>
      </w:r>
    </w:p>
    <w:p w14:paraId="740C640A"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(3)用於第二線治療用藥：須符合本藥品具有EGFR T790M 基因突變，及檢附曾經接受gefitinib、erlotinib、afatinib、dacomitinib 治療之證明，以及目前又有疾病惡化之影像診斷證明（如胸部X 光、電腦斷層或其他可作為評估的影像），此影像證明以可測量（measurable）的病灶為優先，如沒有可以測量的病灶，則可評估（evaluable）的病灶亦可採用。與</w:t>
      </w:r>
      <w:proofErr w:type="spellStart"/>
      <w:r w:rsidRPr="007576F0">
        <w:rPr>
          <w:rFonts w:ascii="標楷體" w:eastAsia="標楷體" w:hAnsi="標楷體" w:hint="eastAsia"/>
          <w:color w:val="000000"/>
        </w:rPr>
        <w:t>osimertinib</w:t>
      </w:r>
      <w:proofErr w:type="spellEnd"/>
      <w:r w:rsidRPr="007576F0">
        <w:rPr>
          <w:rFonts w:ascii="標楷體" w:eastAsia="標楷體" w:hAnsi="標楷體" w:hint="eastAsia"/>
          <w:color w:val="000000"/>
        </w:rPr>
        <w:t>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roofErr w:type="gramStart"/>
      <w:r w:rsidRPr="007576F0">
        <w:rPr>
          <w:rFonts w:ascii="標楷體" w:eastAsia="標楷體" w:hAnsi="標楷體" w:hint="eastAsia"/>
          <w:color w:val="000000"/>
        </w:rPr>
        <w:t>除因耐受</w:t>
      </w:r>
      <w:proofErr w:type="gramEnd"/>
      <w:r w:rsidRPr="007576F0">
        <w:rPr>
          <w:rFonts w:ascii="標楷體" w:eastAsia="標楷體" w:hAnsi="標楷體" w:hint="eastAsia"/>
          <w:color w:val="000000"/>
        </w:rPr>
        <w:t>性不良，不得互換。</w:t>
      </w:r>
    </w:p>
    <w:p w14:paraId="1A66D0FE"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(4)每日限給付2粒。</w:t>
      </w:r>
    </w:p>
    <w:p w14:paraId="756C4F67"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hint="eastAsia"/>
          <w:color w:val="000000"/>
        </w:rPr>
        <w:t>9.139.Mogamulizumab(如</w:t>
      </w:r>
      <w:proofErr w:type="spellStart"/>
      <w:r w:rsidRPr="007576F0">
        <w:rPr>
          <w:rFonts w:ascii="標楷體" w:eastAsia="標楷體" w:hAnsi="標楷體" w:hint="eastAsia"/>
          <w:color w:val="000000"/>
        </w:rPr>
        <w:t>Poteligeo</w:t>
      </w:r>
      <w:proofErr w:type="spellEnd"/>
      <w:r w:rsidRPr="007576F0">
        <w:rPr>
          <w:rFonts w:ascii="標楷體" w:eastAsia="標楷體" w:hAnsi="標楷體" w:hint="eastAsia"/>
          <w:color w:val="000000"/>
        </w:rPr>
        <w:t>)：(115/10/1)</w:t>
      </w:r>
    </w:p>
    <w:p w14:paraId="572F05EC" w14:textId="77777777" w:rsidR="007576F0" w:rsidRPr="007576F0" w:rsidRDefault="007576F0" w:rsidP="002144EC">
      <w:pPr>
        <w:numPr>
          <w:ilvl w:val="0"/>
          <w:numId w:val="221"/>
        </w:numPr>
        <w:spacing w:line="300" w:lineRule="exact"/>
        <w:ind w:left="851" w:hanging="284"/>
        <w:textAlignment w:val="auto"/>
        <w:rPr>
          <w:rFonts w:ascii="標楷體" w:eastAsia="標楷體" w:hAnsi="標楷體"/>
          <w:color w:val="000000"/>
        </w:rPr>
      </w:pPr>
      <w:r w:rsidRPr="007576F0">
        <w:rPr>
          <w:rFonts w:ascii="標楷體" w:eastAsia="標楷體" w:hAnsi="標楷體" w:hint="eastAsia"/>
          <w:color w:val="000000"/>
        </w:rPr>
        <w:t>單獨用於先前已接受照光療法與至少一種注射型(含血管內注射、肌肉內注射、皮下注射等)之全身性化學藥物治療的蕈</w:t>
      </w:r>
      <w:proofErr w:type="gramStart"/>
      <w:r w:rsidRPr="007576F0">
        <w:rPr>
          <w:rFonts w:ascii="標楷體" w:eastAsia="標楷體" w:hAnsi="標楷體" w:hint="eastAsia"/>
          <w:color w:val="000000"/>
        </w:rPr>
        <w:t>狀肉芽腫(</w:t>
      </w:r>
      <w:proofErr w:type="gramEnd"/>
      <w:r w:rsidRPr="007576F0">
        <w:rPr>
          <w:rFonts w:ascii="標楷體" w:eastAsia="標楷體" w:hAnsi="標楷體" w:hint="eastAsia"/>
          <w:color w:val="000000"/>
        </w:rPr>
        <w:t>MF，第ⅡB期或以上)或Sezary症候群(SS)成人病人。</w:t>
      </w:r>
    </w:p>
    <w:p w14:paraId="420310F7" w14:textId="77777777" w:rsidR="007576F0" w:rsidRPr="007576F0" w:rsidRDefault="007576F0" w:rsidP="002144EC">
      <w:pPr>
        <w:numPr>
          <w:ilvl w:val="0"/>
          <w:numId w:val="221"/>
        </w:numPr>
        <w:spacing w:line="300" w:lineRule="exact"/>
        <w:ind w:left="851" w:hanging="284"/>
        <w:textAlignment w:val="auto"/>
        <w:rPr>
          <w:rFonts w:ascii="標楷體" w:eastAsia="標楷體" w:hAnsi="標楷體"/>
          <w:color w:val="000000"/>
        </w:rPr>
      </w:pPr>
      <w:r w:rsidRPr="007576F0">
        <w:rPr>
          <w:rFonts w:ascii="標楷體" w:eastAsia="標楷體" w:hAnsi="標楷體" w:hint="eastAsia"/>
          <w:color w:val="000000"/>
        </w:rPr>
        <w:t>須經事前審查核准後使用，首次申請療程以4個療程為限，再次申請應檢附前次治療結果評估資料。</w:t>
      </w:r>
    </w:p>
    <w:p w14:paraId="0AAEB298"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(1)若病人病情已達</w:t>
      </w:r>
      <w:proofErr w:type="gramStart"/>
      <w:r w:rsidRPr="007576F0">
        <w:rPr>
          <w:rFonts w:ascii="標楷體" w:eastAsia="標楷體" w:hAnsi="標楷體" w:hint="eastAsia"/>
          <w:color w:val="000000"/>
        </w:rPr>
        <w:t>完全緩</w:t>
      </w:r>
      <w:proofErr w:type="gramEnd"/>
      <w:r w:rsidRPr="007576F0">
        <w:rPr>
          <w:rFonts w:ascii="標楷體" w:eastAsia="標楷體" w:hAnsi="標楷體" w:hint="eastAsia"/>
          <w:color w:val="000000"/>
        </w:rPr>
        <w:t>解，得再給付2個療程；若病情惡化即須停止使用。</w:t>
      </w:r>
    </w:p>
    <w:p w14:paraId="6B06230B"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(2)若病情已達部份緩解或穩定，得再給付最多4個療程；若病情惡化即須停止使用。</w:t>
      </w:r>
    </w:p>
    <w:p w14:paraId="657B552E" w14:textId="77777777" w:rsidR="007576F0" w:rsidRPr="007576F0" w:rsidRDefault="007576F0" w:rsidP="002144EC">
      <w:pPr>
        <w:numPr>
          <w:ilvl w:val="0"/>
          <w:numId w:val="221"/>
        </w:numPr>
        <w:spacing w:line="300" w:lineRule="exact"/>
        <w:ind w:left="851" w:hanging="284"/>
        <w:textAlignment w:val="auto"/>
        <w:rPr>
          <w:rFonts w:ascii="標楷體" w:eastAsia="標楷體" w:hAnsi="標楷體"/>
          <w:color w:val="000000"/>
        </w:rPr>
      </w:pPr>
      <w:r w:rsidRPr="007576F0">
        <w:rPr>
          <w:rFonts w:ascii="標楷體" w:eastAsia="標楷體" w:hAnsi="標楷體" w:hint="eastAsia"/>
          <w:color w:val="000000"/>
        </w:rPr>
        <w:t>每位病人限給付8個療程，每療程28天。</w:t>
      </w:r>
    </w:p>
    <w:p w14:paraId="477FAD09" w14:textId="77777777" w:rsidR="007576F0" w:rsidRPr="007576F0" w:rsidRDefault="007576F0" w:rsidP="002144EC">
      <w:pPr>
        <w:numPr>
          <w:ilvl w:val="0"/>
          <w:numId w:val="221"/>
        </w:numPr>
        <w:spacing w:line="300" w:lineRule="exact"/>
        <w:ind w:left="851" w:hanging="284"/>
        <w:textAlignment w:val="auto"/>
        <w:rPr>
          <w:rFonts w:ascii="標楷體" w:eastAsia="標楷體" w:hAnsi="標楷體"/>
          <w:color w:val="000000"/>
        </w:rPr>
      </w:pPr>
      <w:r w:rsidRPr="007576F0">
        <w:rPr>
          <w:rFonts w:ascii="標楷體" w:eastAsia="標楷體" w:hAnsi="標楷體" w:hint="eastAsia"/>
          <w:color w:val="000000"/>
        </w:rPr>
        <w:t xml:space="preserve">本藥品與brentuximab </w:t>
      </w:r>
      <w:proofErr w:type="spellStart"/>
      <w:r w:rsidRPr="007576F0">
        <w:rPr>
          <w:rFonts w:ascii="標楷體" w:eastAsia="標楷體" w:hAnsi="標楷體" w:hint="eastAsia"/>
          <w:color w:val="000000"/>
        </w:rPr>
        <w:t>vedotin</w:t>
      </w:r>
      <w:proofErr w:type="spellEnd"/>
      <w:r w:rsidRPr="007576F0">
        <w:rPr>
          <w:rFonts w:ascii="標楷體" w:eastAsia="標楷體" w:hAnsi="標楷體" w:hint="eastAsia"/>
          <w:color w:val="000000"/>
        </w:rPr>
        <w:t>僅得擇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roofErr w:type="gramStart"/>
      <w:r w:rsidRPr="007576F0">
        <w:rPr>
          <w:rFonts w:ascii="標楷體" w:eastAsia="標楷體" w:hAnsi="標楷體" w:hint="eastAsia"/>
          <w:color w:val="000000"/>
        </w:rPr>
        <w:t>惟有在耐受</w:t>
      </w:r>
      <w:proofErr w:type="gramEnd"/>
      <w:r w:rsidRPr="007576F0">
        <w:rPr>
          <w:rFonts w:ascii="標楷體" w:eastAsia="標楷體" w:hAnsi="標楷體" w:hint="eastAsia"/>
          <w:color w:val="000000"/>
        </w:rPr>
        <w:t>不良時方可轉換使用，二者使用總療程合併計算，以全部6個療程為上限。</w:t>
      </w:r>
    </w:p>
    <w:p w14:paraId="081E1E9F" w14:textId="77777777" w:rsidR="007576F0" w:rsidRPr="007576F0" w:rsidRDefault="007576F0" w:rsidP="007576F0">
      <w:pPr>
        <w:spacing w:line="300" w:lineRule="exact"/>
        <w:ind w:left="610" w:hanging="245"/>
        <w:rPr>
          <w:rFonts w:ascii="標楷體" w:eastAsia="標楷體" w:hAnsi="標楷體"/>
          <w:color w:val="000000"/>
        </w:rPr>
      </w:pPr>
      <w:r w:rsidRPr="007576F0">
        <w:rPr>
          <w:rFonts w:ascii="標楷體" w:eastAsia="標楷體" w:hAnsi="標楷體" w:hint="eastAsia"/>
          <w:color w:val="000000"/>
        </w:rPr>
        <w:t xml:space="preserve">9.140. </w:t>
      </w:r>
      <w:proofErr w:type="spellStart"/>
      <w:r w:rsidRPr="007576F0">
        <w:rPr>
          <w:rFonts w:ascii="標楷體" w:eastAsia="標楷體" w:hAnsi="標楷體" w:hint="eastAsia"/>
          <w:color w:val="000000"/>
        </w:rPr>
        <w:t>Axicabtagene</w:t>
      </w:r>
      <w:proofErr w:type="spellEnd"/>
      <w:r w:rsidRPr="007576F0">
        <w:rPr>
          <w:rFonts w:ascii="標楷體" w:eastAsia="標楷體" w:hAnsi="標楷體" w:hint="eastAsia"/>
          <w:color w:val="000000"/>
        </w:rPr>
        <w:t xml:space="preserve"> </w:t>
      </w:r>
      <w:proofErr w:type="spellStart"/>
      <w:r w:rsidRPr="007576F0">
        <w:rPr>
          <w:rFonts w:ascii="標楷體" w:eastAsia="標楷體" w:hAnsi="標楷體" w:hint="eastAsia"/>
          <w:color w:val="000000"/>
        </w:rPr>
        <w:t>ciloleucel</w:t>
      </w:r>
      <w:proofErr w:type="spellEnd"/>
      <w:r w:rsidRPr="007576F0">
        <w:rPr>
          <w:rFonts w:ascii="標楷體" w:eastAsia="標楷體" w:hAnsi="標楷體" w:hint="eastAsia"/>
          <w:color w:val="000000"/>
        </w:rPr>
        <w:t>（如</w:t>
      </w:r>
      <w:proofErr w:type="spellStart"/>
      <w:r w:rsidRPr="007576F0">
        <w:rPr>
          <w:rFonts w:ascii="標楷體" w:eastAsia="標楷體" w:hAnsi="標楷體" w:hint="eastAsia"/>
          <w:color w:val="000000"/>
        </w:rPr>
        <w:t>Yescarta</w:t>
      </w:r>
      <w:proofErr w:type="spellEnd"/>
      <w:r w:rsidRPr="007576F0">
        <w:rPr>
          <w:rFonts w:ascii="標楷體" w:eastAsia="標楷體" w:hAnsi="標楷體" w:hint="eastAsia"/>
          <w:color w:val="000000"/>
        </w:rPr>
        <w:t>）：</w:t>
      </w:r>
      <w:proofErr w:type="gramStart"/>
      <w:r w:rsidRPr="007576F0">
        <w:rPr>
          <w:rFonts w:ascii="標楷體" w:eastAsia="標楷體" w:hAnsi="標楷體" w:hint="eastAsia"/>
          <w:color w:val="000000"/>
        </w:rPr>
        <w:t>（</w:t>
      </w:r>
      <w:proofErr w:type="gramEnd"/>
      <w:r w:rsidRPr="007576F0">
        <w:rPr>
          <w:rFonts w:ascii="標楷體" w:eastAsia="標楷體" w:hAnsi="標楷體" w:hint="eastAsia"/>
          <w:color w:val="000000"/>
        </w:rPr>
        <w:t>115/10/1)</w:t>
      </w:r>
    </w:p>
    <w:p w14:paraId="06895FE7" w14:textId="77777777" w:rsidR="007576F0" w:rsidRPr="007576F0" w:rsidRDefault="007576F0" w:rsidP="007576F0">
      <w:pPr>
        <w:spacing w:line="300" w:lineRule="exact"/>
        <w:ind w:left="851" w:hanging="284"/>
        <w:rPr>
          <w:rFonts w:ascii="標楷體" w:eastAsia="標楷體" w:hAnsi="標楷體"/>
          <w:color w:val="000000"/>
        </w:rPr>
      </w:pPr>
      <w:r w:rsidRPr="007576F0">
        <w:rPr>
          <w:rFonts w:ascii="標楷體" w:eastAsia="標楷體" w:hAnsi="標楷體" w:hint="eastAsia"/>
          <w:color w:val="000000"/>
        </w:rPr>
        <w:t>1.用於治療先前曾接受第一線化學免疫療法難治性或於施行第一線化學免疫療法後12個月內復發，並且可接受自體幹細胞移植的瀰漫性大B細胞淋巴瘤（Diffuse large B-cell lymphoma，DLBCL）及高度惡性B細胞淋巴瘤（High-grade B-cell lymphoma，HGBL）成人病人。</w:t>
      </w:r>
    </w:p>
    <w:p w14:paraId="5F30E5DA"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sz w:val="28"/>
          <w:szCs w:val="28"/>
        </w:rPr>
      </w:pPr>
      <w:r w:rsidRPr="007576F0">
        <w:rPr>
          <w:rFonts w:ascii="標楷體" w:eastAsia="標楷體" w:hAnsi="標楷體" w:hint="eastAsia"/>
          <w:color w:val="000000"/>
        </w:rPr>
        <w:t>(1)第一線化學免疫治療須至少包括下列所有條件：</w:t>
      </w:r>
    </w:p>
    <w:p w14:paraId="71EEBA3A"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Ⅰ.含抗CD20 單株抗體藥物（除CD20 陰性淋巴瘤病人外）</w:t>
      </w:r>
    </w:p>
    <w:p w14:paraId="6E6B41B2"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II.接受含有anthracycline的化學治療組合。</w:t>
      </w:r>
    </w:p>
    <w:p w14:paraId="23C448F8"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 xml:space="preserve">(2)病人須符合下列條件: </w:t>
      </w:r>
    </w:p>
    <w:p w14:paraId="3C301CF3"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Ⅰ.病人預期壽命至少3個月以上，且符合以下條件：</w:t>
      </w:r>
    </w:p>
    <w:p w14:paraId="1CD35B5D"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ECOG&lt;2 (需有3次以上之醫療紀錄)。</w:t>
      </w:r>
    </w:p>
    <w:p w14:paraId="7364C464"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proofErr w:type="spellStart"/>
      <w:r w:rsidRPr="007576F0">
        <w:rPr>
          <w:rFonts w:ascii="標楷體" w:eastAsia="標楷體" w:hAnsi="標楷體" w:hint="eastAsia"/>
          <w:szCs w:val="24"/>
        </w:rPr>
        <w:t>Extranodal</w:t>
      </w:r>
      <w:proofErr w:type="spellEnd"/>
      <w:r w:rsidRPr="007576F0">
        <w:rPr>
          <w:rFonts w:ascii="標楷體" w:eastAsia="標楷體" w:hAnsi="標楷體" w:hint="eastAsia"/>
          <w:szCs w:val="24"/>
        </w:rPr>
        <w:t xml:space="preserve"> site </w:t>
      </w:r>
      <w:r w:rsidRPr="007576F0">
        <w:rPr>
          <w:rFonts w:ascii="Times New Roman" w:eastAsia="標楷體" w:hAnsi="Times New Roman"/>
          <w:szCs w:val="24"/>
        </w:rPr>
        <w:t>≤</w:t>
      </w:r>
      <w:r w:rsidRPr="007576F0">
        <w:rPr>
          <w:rFonts w:ascii="標楷體" w:eastAsia="標楷體" w:hAnsi="標楷體" w:hint="eastAsia"/>
          <w:szCs w:val="24"/>
        </w:rPr>
        <w:t xml:space="preserve"> 3 (需有 PET或 CT 的影像報告)。</w:t>
      </w:r>
    </w:p>
    <w:p w14:paraId="7BCF26B6"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 xml:space="preserve">腎功能：腎絲球過濾速率Estimated Glomerular Filtration Rate (eGFR) </w:t>
      </w:r>
      <w:r w:rsidRPr="007576F0">
        <w:rPr>
          <w:rFonts w:ascii="Times New Roman" w:eastAsia="標楷體" w:hAnsi="Times New Roman"/>
          <w:szCs w:val="24"/>
        </w:rPr>
        <w:t>≥</w:t>
      </w:r>
      <w:r w:rsidRPr="007576F0">
        <w:rPr>
          <w:rFonts w:ascii="標楷體" w:eastAsia="標楷體" w:hAnsi="標楷體" w:hint="eastAsia"/>
          <w:szCs w:val="24"/>
        </w:rPr>
        <w:t xml:space="preserve"> 60 mL/min/1.73 m2或肌酸酐creatinine </w:t>
      </w:r>
      <w:r w:rsidRPr="007576F0">
        <w:rPr>
          <w:rFonts w:ascii="Times New Roman" w:eastAsia="標楷體" w:hAnsi="Times New Roman"/>
          <w:szCs w:val="24"/>
        </w:rPr>
        <w:t>≤</w:t>
      </w:r>
      <w:r w:rsidRPr="007576F0">
        <w:rPr>
          <w:rFonts w:ascii="標楷體" w:eastAsia="標楷體" w:hAnsi="標楷體" w:hint="eastAsia"/>
          <w:szCs w:val="24"/>
        </w:rPr>
        <w:t>1.5 x ULN。</w:t>
      </w:r>
    </w:p>
    <w:p w14:paraId="550D1405"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 xml:space="preserve">肝功能：ALT </w:t>
      </w:r>
      <w:r w:rsidRPr="007576F0">
        <w:rPr>
          <w:rFonts w:ascii="Times New Roman" w:eastAsia="標楷體" w:hAnsi="Times New Roman"/>
          <w:szCs w:val="24"/>
        </w:rPr>
        <w:t>≤</w:t>
      </w:r>
      <w:r w:rsidRPr="007576F0">
        <w:rPr>
          <w:rFonts w:ascii="標楷體" w:eastAsia="標楷體" w:hAnsi="標楷體" w:hint="eastAsia"/>
          <w:szCs w:val="24"/>
        </w:rPr>
        <w:t xml:space="preserve"> 5 x ULN且bilirubin &lt;2.5mg；Gilbert-</w:t>
      </w:r>
      <w:proofErr w:type="spellStart"/>
      <w:r w:rsidRPr="007576F0">
        <w:rPr>
          <w:rFonts w:ascii="標楷體" w:eastAsia="標楷體" w:hAnsi="標楷體" w:hint="eastAsia"/>
          <w:szCs w:val="24"/>
        </w:rPr>
        <w:t>Meulengracht</w:t>
      </w:r>
      <w:proofErr w:type="spellEnd"/>
      <w:r w:rsidRPr="007576F0">
        <w:rPr>
          <w:rFonts w:ascii="標楷體" w:eastAsia="標楷體" w:hAnsi="標楷體" w:hint="eastAsia"/>
          <w:szCs w:val="24"/>
        </w:rPr>
        <w:t xml:space="preserve"> syndrome患者須符合total bilirubin </w:t>
      </w:r>
      <w:r w:rsidRPr="007576F0">
        <w:rPr>
          <w:rFonts w:ascii="Times New Roman" w:eastAsia="標楷體" w:hAnsi="Times New Roman"/>
          <w:szCs w:val="24"/>
        </w:rPr>
        <w:t>≤</w:t>
      </w:r>
      <w:r w:rsidRPr="007576F0">
        <w:rPr>
          <w:rFonts w:ascii="標楷體" w:eastAsia="標楷體" w:hAnsi="標楷體" w:hint="eastAsia"/>
          <w:szCs w:val="24"/>
        </w:rPr>
        <w:t xml:space="preserve"> 3.0 x ULN 且 direct bilirubin </w:t>
      </w:r>
      <w:r w:rsidRPr="007576F0">
        <w:rPr>
          <w:rFonts w:ascii="Times New Roman" w:eastAsia="標楷體" w:hAnsi="Times New Roman"/>
          <w:szCs w:val="24"/>
        </w:rPr>
        <w:t>≤</w:t>
      </w:r>
      <w:r w:rsidRPr="007576F0">
        <w:rPr>
          <w:rFonts w:ascii="標楷體" w:eastAsia="標楷體" w:hAnsi="標楷體" w:hint="eastAsia"/>
          <w:szCs w:val="24"/>
        </w:rPr>
        <w:t xml:space="preserve"> 1.5 x ULN。</w:t>
      </w:r>
    </w:p>
    <w:p w14:paraId="71C5E00D"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心臟功能：左心室射出率 &gt; 50%且過去一年無任何重大心臟疾病(包含但不限於不穩定心絞痛、心肌梗塞、冠狀動脈繞道手術、中風) 。</w:t>
      </w:r>
    </w:p>
    <w:p w14:paraId="4F314390"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肺功能：血氧&gt;92% on room air (需有兩次以上的醫療紀錄)。</w:t>
      </w:r>
    </w:p>
    <w:p w14:paraId="2FF9DA6F"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淋巴球收集時，患者須符合全血細胞計數標準：ANC</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1000/</w:t>
      </w:r>
      <w:proofErr w:type="spellStart"/>
      <w:r w:rsidRPr="007576F0">
        <w:rPr>
          <w:rFonts w:ascii="標楷體" w:eastAsia="標楷體" w:hAnsi="標楷體" w:hint="eastAsia"/>
          <w:szCs w:val="24"/>
        </w:rPr>
        <w:t>uL</w:t>
      </w:r>
      <w:proofErr w:type="spellEnd"/>
      <w:r w:rsidRPr="007576F0">
        <w:rPr>
          <w:rFonts w:ascii="標楷體" w:eastAsia="標楷體" w:hAnsi="標楷體" w:hint="eastAsia"/>
          <w:szCs w:val="24"/>
        </w:rPr>
        <w:t>、ALC</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100/</w:t>
      </w:r>
      <w:proofErr w:type="spellStart"/>
      <w:r w:rsidRPr="007576F0">
        <w:rPr>
          <w:rFonts w:ascii="標楷體" w:eastAsia="標楷體" w:hAnsi="標楷體" w:hint="eastAsia"/>
          <w:szCs w:val="24"/>
        </w:rPr>
        <w:t>uL</w:t>
      </w:r>
      <w:proofErr w:type="spellEnd"/>
      <w:r w:rsidRPr="007576F0">
        <w:rPr>
          <w:rFonts w:ascii="標楷體" w:eastAsia="標楷體" w:hAnsi="標楷體" w:hint="eastAsia"/>
          <w:szCs w:val="24"/>
        </w:rPr>
        <w:t>、Hb</w:t>
      </w:r>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 xml:space="preserve">8.0 g/dL; </w:t>
      </w:r>
      <w:proofErr w:type="spellStart"/>
      <w:r w:rsidRPr="007576F0">
        <w:rPr>
          <w:rFonts w:ascii="標楷體" w:eastAsia="標楷體" w:hAnsi="標楷體" w:hint="eastAsia"/>
          <w:szCs w:val="24"/>
        </w:rPr>
        <w:t>Plt</w:t>
      </w:r>
      <w:proofErr w:type="spellEnd"/>
      <w:proofErr w:type="gramStart"/>
      <w:r w:rsidRPr="007576F0">
        <w:rPr>
          <w:rFonts w:ascii="標楷體" w:eastAsia="標楷體" w:hAnsi="標楷體" w:hint="eastAsia"/>
          <w:szCs w:val="24"/>
        </w:rPr>
        <w:t>≧</w:t>
      </w:r>
      <w:proofErr w:type="gramEnd"/>
      <w:r w:rsidRPr="007576F0">
        <w:rPr>
          <w:rFonts w:ascii="標楷體" w:eastAsia="標楷體" w:hAnsi="標楷體" w:hint="eastAsia"/>
          <w:szCs w:val="24"/>
        </w:rPr>
        <w:t>50000/</w:t>
      </w:r>
      <w:proofErr w:type="spellStart"/>
      <w:r w:rsidRPr="007576F0">
        <w:rPr>
          <w:rFonts w:ascii="標楷體" w:eastAsia="標楷體" w:hAnsi="標楷體" w:hint="eastAsia"/>
          <w:szCs w:val="24"/>
        </w:rPr>
        <w:t>uL</w:t>
      </w:r>
      <w:proofErr w:type="spellEnd"/>
      <w:r w:rsidRPr="007576F0">
        <w:rPr>
          <w:rFonts w:ascii="標楷體" w:eastAsia="標楷體" w:hAnsi="標楷體" w:hint="eastAsia"/>
          <w:szCs w:val="24"/>
        </w:rPr>
        <w:t>。</w:t>
      </w:r>
    </w:p>
    <w:p w14:paraId="1F3D961D"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於治療前兩年無任何自體免疫疾病。</w:t>
      </w:r>
    </w:p>
    <w:p w14:paraId="18B49C72" w14:textId="77777777" w:rsidR="007576F0" w:rsidRPr="007576F0" w:rsidRDefault="007576F0" w:rsidP="002144EC">
      <w:pPr>
        <w:numPr>
          <w:ilvl w:val="0"/>
          <w:numId w:val="222"/>
        </w:numPr>
        <w:suppressAutoHyphens w:val="0"/>
        <w:spacing w:line="300" w:lineRule="exact"/>
        <w:ind w:leftChars="640" w:left="1558" w:hangingChars="9" w:hanging="22"/>
        <w:contextualSpacing/>
        <w:textAlignment w:val="auto"/>
        <w:rPr>
          <w:rFonts w:ascii="標楷體" w:eastAsia="標楷體" w:hAnsi="標楷體"/>
          <w:szCs w:val="24"/>
        </w:rPr>
      </w:pPr>
      <w:r w:rsidRPr="007576F0">
        <w:rPr>
          <w:rFonts w:ascii="標楷體" w:eastAsia="標楷體" w:hAnsi="標楷體" w:hint="eastAsia"/>
          <w:szCs w:val="24"/>
        </w:rPr>
        <w:t>無DLBCL之外的併發惡性腫瘤，但充分治療的基底細胞</w:t>
      </w:r>
      <w:proofErr w:type="gramStart"/>
      <w:r w:rsidRPr="007576F0">
        <w:rPr>
          <w:rFonts w:ascii="標楷體" w:eastAsia="標楷體" w:hAnsi="標楷體" w:hint="eastAsia"/>
          <w:szCs w:val="24"/>
        </w:rPr>
        <w:t>癌或鱗狀</w:t>
      </w:r>
      <w:proofErr w:type="gramEnd"/>
      <w:r w:rsidRPr="007576F0">
        <w:rPr>
          <w:rFonts w:ascii="標楷體" w:eastAsia="標楷體" w:hAnsi="標楷體" w:hint="eastAsia"/>
          <w:szCs w:val="24"/>
        </w:rPr>
        <w:t>細胞癌不在此限（申請時需要充分的傷口癒合）；若為子宮頸或乳腺癌原位癌，在申請前至少 3 年經過</w:t>
      </w:r>
      <w:proofErr w:type="gramStart"/>
      <w:r w:rsidRPr="007576F0">
        <w:rPr>
          <w:rFonts w:ascii="標楷體" w:eastAsia="標楷體" w:hAnsi="標楷體" w:hint="eastAsia"/>
          <w:szCs w:val="24"/>
        </w:rPr>
        <w:t>治愈性</w:t>
      </w:r>
      <w:proofErr w:type="gramEnd"/>
      <w:r w:rsidRPr="007576F0">
        <w:rPr>
          <w:rFonts w:ascii="標楷體" w:eastAsia="標楷體" w:hAnsi="標楷體" w:hint="eastAsia"/>
          <w:szCs w:val="24"/>
        </w:rPr>
        <w:t>治療且無復發證據；原發惡性腫瘤已完全切除且申請時須處於</w:t>
      </w:r>
      <w:proofErr w:type="gramStart"/>
      <w:r w:rsidRPr="007576F0">
        <w:rPr>
          <w:rFonts w:ascii="標楷體" w:eastAsia="標楷體" w:hAnsi="標楷體" w:hint="eastAsia"/>
          <w:szCs w:val="24"/>
        </w:rPr>
        <w:t>完全緩</w:t>
      </w:r>
      <w:proofErr w:type="gramEnd"/>
      <w:r w:rsidRPr="007576F0">
        <w:rPr>
          <w:rFonts w:ascii="標楷體" w:eastAsia="標楷體" w:hAnsi="標楷體" w:hint="eastAsia"/>
          <w:szCs w:val="24"/>
        </w:rPr>
        <w:t>解5年以上。</w:t>
      </w:r>
    </w:p>
    <w:p w14:paraId="63E286F2"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Ⅱ.需證實癌細胞仍帶有CD19。</w:t>
      </w:r>
    </w:p>
    <w:p w14:paraId="045FE156"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Ⅲ.須於特殊專案審查通過後6個月內</w:t>
      </w:r>
      <w:proofErr w:type="gramStart"/>
      <w:r w:rsidRPr="007576F0">
        <w:rPr>
          <w:rFonts w:ascii="標楷體" w:eastAsia="標楷體" w:hAnsi="標楷體" w:hint="eastAsia"/>
          <w:color w:val="000000"/>
        </w:rPr>
        <w:t>完成輸注</w:t>
      </w:r>
      <w:proofErr w:type="gramEnd"/>
      <w:r w:rsidRPr="007576F0">
        <w:rPr>
          <w:rFonts w:ascii="標楷體" w:eastAsia="標楷體" w:hAnsi="標楷體" w:hint="eastAsia"/>
          <w:color w:val="000000"/>
        </w:rPr>
        <w:t>。</w:t>
      </w:r>
    </w:p>
    <w:p w14:paraId="6D545789"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lastRenderedPageBreak/>
        <w:t>Ⅳ.病人不得有HIV感染，曾經感染但已控制之病人亦不得接受。</w:t>
      </w:r>
    </w:p>
    <w:p w14:paraId="57AF24EB"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Ⅴ.病人不得有active hepatitis B virus or hepatitis C virus 感染(評估</w:t>
      </w:r>
      <w:proofErr w:type="gramStart"/>
      <w:r w:rsidRPr="007576F0">
        <w:rPr>
          <w:rFonts w:ascii="標楷體" w:eastAsia="標楷體" w:hAnsi="標楷體" w:hint="eastAsia"/>
          <w:color w:val="000000"/>
        </w:rPr>
        <w:t>和輸注</w:t>
      </w:r>
      <w:proofErr w:type="gramEnd"/>
      <w:r w:rsidRPr="007576F0">
        <w:rPr>
          <w:rFonts w:ascii="標楷體" w:eastAsia="標楷體" w:hAnsi="標楷體" w:hint="eastAsia"/>
          <w:color w:val="000000"/>
        </w:rPr>
        <w:t xml:space="preserve"> CAR-T時需為viral load undetectable)。</w:t>
      </w:r>
    </w:p>
    <w:p w14:paraId="752838D7"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Ⅵ.病人不得有原發性中樞神經系統淋巴瘤(Primary CNS 1ymphoma)。</w:t>
      </w:r>
    </w:p>
    <w:p w14:paraId="23197868"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Ⅶ.病人不得有</w:t>
      </w:r>
      <w:proofErr w:type="gramStart"/>
      <w:r w:rsidRPr="007576F0">
        <w:rPr>
          <w:rFonts w:ascii="標楷體" w:eastAsia="標楷體" w:hAnsi="標楷體" w:hint="eastAsia"/>
          <w:color w:val="000000"/>
        </w:rPr>
        <w:t>活躍的</w:t>
      </w:r>
      <w:proofErr w:type="gramEnd"/>
      <w:r w:rsidRPr="007576F0">
        <w:rPr>
          <w:rFonts w:ascii="標楷體" w:eastAsia="標楷體" w:hAnsi="標楷體" w:hint="eastAsia"/>
          <w:color w:val="000000"/>
        </w:rPr>
        <w:t>次發性中樞神經系統淋巴癌侵犯。</w:t>
      </w:r>
    </w:p>
    <w:p w14:paraId="232D01A1"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Ⅷ.追蹤方式：依保險人公布要求之檢驗項目與頻率執行。</w:t>
      </w:r>
    </w:p>
    <w:p w14:paraId="10A43AC8"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Ⅸ.應提供本藥品治療申請日2個月內腦部MRI報告，無法進行腦部MRI檢查者，應提供1個月內腦脊髓液檢查報告與CT檢查報告並需照會神經科醫師，證明無淋巴瘤中樞神經侵犯。</w:t>
      </w:r>
    </w:p>
    <w:p w14:paraId="076FD477" w14:textId="77777777" w:rsidR="007576F0" w:rsidRPr="007576F0" w:rsidRDefault="007576F0" w:rsidP="007576F0">
      <w:pPr>
        <w:spacing w:line="300" w:lineRule="exact"/>
        <w:ind w:left="1276" w:hanging="341"/>
        <w:rPr>
          <w:rFonts w:ascii="標楷體" w:eastAsia="標楷體" w:hAnsi="標楷體"/>
          <w:color w:val="000000"/>
        </w:rPr>
      </w:pPr>
      <w:r w:rsidRPr="007576F0">
        <w:rPr>
          <w:rFonts w:ascii="標楷體" w:eastAsia="標楷體" w:hAnsi="標楷體" w:hint="eastAsia"/>
          <w:color w:val="000000"/>
        </w:rPr>
        <w:t>Ⅹ.</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用藥品規範：不得</w:t>
      </w:r>
      <w:proofErr w:type="gramStart"/>
      <w:r w:rsidRPr="007576F0">
        <w:rPr>
          <w:rFonts w:ascii="標楷體" w:eastAsia="標楷體" w:hAnsi="標楷體" w:hint="eastAsia"/>
          <w:color w:val="000000"/>
        </w:rPr>
        <w:t>併</w:t>
      </w:r>
      <w:proofErr w:type="gramEnd"/>
      <w:r w:rsidRPr="007576F0">
        <w:rPr>
          <w:rFonts w:ascii="標楷體" w:eastAsia="標楷體" w:hAnsi="標楷體" w:hint="eastAsia"/>
          <w:color w:val="000000"/>
        </w:rPr>
        <w:t>用</w:t>
      </w:r>
      <w:proofErr w:type="gramStart"/>
      <w:r w:rsidRPr="007576F0">
        <w:rPr>
          <w:rFonts w:ascii="標楷體" w:eastAsia="標楷體" w:hAnsi="標楷體" w:hint="eastAsia"/>
          <w:color w:val="000000"/>
        </w:rPr>
        <w:t>化療藥</w:t>
      </w:r>
      <w:proofErr w:type="gramEnd"/>
      <w:r w:rsidRPr="007576F0">
        <w:rPr>
          <w:rFonts w:ascii="標楷體" w:eastAsia="標楷體" w:hAnsi="標楷體" w:hint="eastAsia"/>
          <w:color w:val="000000"/>
        </w:rPr>
        <w:t>(淋巴清除化療除外)、免疫抑制劑或標靶藥物。</w:t>
      </w:r>
    </w:p>
    <w:p w14:paraId="6836897B" w14:textId="77777777" w:rsidR="007576F0" w:rsidRPr="007576F0" w:rsidRDefault="007576F0" w:rsidP="007576F0">
      <w:pPr>
        <w:spacing w:line="300" w:lineRule="exact"/>
        <w:ind w:left="851" w:hanging="284"/>
        <w:rPr>
          <w:rFonts w:ascii="標楷體" w:eastAsia="標楷體" w:hAnsi="標楷體"/>
          <w:color w:val="000000"/>
        </w:rPr>
      </w:pPr>
      <w:r w:rsidRPr="007576F0">
        <w:rPr>
          <w:rFonts w:ascii="標楷體" w:eastAsia="標楷體" w:hAnsi="標楷體" w:hint="eastAsia"/>
          <w:color w:val="000000"/>
        </w:rPr>
        <w:t>2.執行醫師須完全符合下列資格：</w:t>
      </w:r>
    </w:p>
    <w:p w14:paraId="0F4532FD"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(1)醫師必須為血液病和造血幹細胞移植專科醫師且須完成血液病和造血幹細胞移植的相關照護訓練。</w:t>
      </w:r>
    </w:p>
    <w:p w14:paraId="6CC1DEB0"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(2)每兩年接受至少6小時中華民國血液及骨髓移植學會或中華民國血液病學會舉辦之CAR-T教育訓練。</w:t>
      </w:r>
    </w:p>
    <w:p w14:paraId="6488EA6A"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(3)由保險人每年委託相關學會定期稽核醫師資格。</w:t>
      </w:r>
    </w:p>
    <w:p w14:paraId="7395D4AC" w14:textId="77777777" w:rsidR="007576F0" w:rsidRPr="007576F0" w:rsidRDefault="007576F0" w:rsidP="007576F0">
      <w:pPr>
        <w:spacing w:line="300" w:lineRule="exact"/>
        <w:ind w:left="851" w:hanging="284"/>
        <w:rPr>
          <w:rFonts w:ascii="標楷體" w:eastAsia="標楷體" w:hAnsi="標楷體"/>
          <w:color w:val="000000"/>
        </w:rPr>
      </w:pPr>
      <w:r w:rsidRPr="007576F0">
        <w:rPr>
          <w:rFonts w:ascii="標楷體" w:eastAsia="標楷體" w:hAnsi="標楷體" w:hint="eastAsia"/>
          <w:color w:val="000000"/>
        </w:rPr>
        <w:t>3.執行醫院須完全符合下列條件：</w:t>
      </w:r>
    </w:p>
    <w:p w14:paraId="560CC777"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(1)須為血液病和造血幹細胞移植專科醫師的訓練醫院。</w:t>
      </w:r>
    </w:p>
    <w:p w14:paraId="434CF92C"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(2)每年平均須進行20例以上造血幹細胞移植，以過去3年平均為</w:t>
      </w:r>
      <w:proofErr w:type="gramStart"/>
      <w:r w:rsidRPr="007576F0">
        <w:rPr>
          <w:rFonts w:ascii="標楷體" w:eastAsia="標楷體" w:hAnsi="標楷體" w:hint="eastAsia"/>
          <w:color w:val="000000"/>
        </w:rPr>
        <w:t>準</w:t>
      </w:r>
      <w:proofErr w:type="gramEnd"/>
      <w:r w:rsidRPr="007576F0">
        <w:rPr>
          <w:rFonts w:ascii="標楷體" w:eastAsia="標楷體" w:hAnsi="標楷體" w:hint="eastAsia"/>
          <w:color w:val="000000"/>
        </w:rPr>
        <w:t>，並每年進行確認。</w:t>
      </w:r>
    </w:p>
    <w:p w14:paraId="7AFFD7C2"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(3)須建立 CAR-T多專科團隊，包含醫師、護理師、藥師、</w:t>
      </w:r>
      <w:proofErr w:type="gramStart"/>
      <w:r w:rsidRPr="007576F0">
        <w:rPr>
          <w:rFonts w:ascii="標楷體" w:eastAsia="標楷體" w:hAnsi="標楷體" w:hint="eastAsia"/>
          <w:color w:val="000000"/>
        </w:rPr>
        <w:t>醫</w:t>
      </w:r>
      <w:proofErr w:type="gramEnd"/>
      <w:r w:rsidRPr="007576F0">
        <w:rPr>
          <w:rFonts w:ascii="標楷體" w:eastAsia="標楷體" w:hAnsi="標楷體" w:hint="eastAsia"/>
          <w:color w:val="000000"/>
        </w:rPr>
        <w:t>檢師、細胞蒐集專門技術人員，經團隊討論後同意治療，並須於事前審查時，檢附會議紀錄。</w:t>
      </w:r>
    </w:p>
    <w:p w14:paraId="44053852"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(4)CAR-T多專科團隊成員，包括醫師、護理師、藥師、</w:t>
      </w:r>
      <w:proofErr w:type="gramStart"/>
      <w:r w:rsidRPr="007576F0">
        <w:rPr>
          <w:rFonts w:ascii="標楷體" w:eastAsia="標楷體" w:hAnsi="標楷體" w:hint="eastAsia"/>
          <w:color w:val="000000"/>
        </w:rPr>
        <w:t>醫</w:t>
      </w:r>
      <w:proofErr w:type="gramEnd"/>
      <w:r w:rsidRPr="007576F0">
        <w:rPr>
          <w:rFonts w:ascii="標楷體" w:eastAsia="標楷體" w:hAnsi="標楷體" w:hint="eastAsia"/>
          <w:color w:val="000000"/>
        </w:rPr>
        <w:t>檢師、細胞蒐集專門技術人員各至少一人，須每兩年接受至少6小時中華民國血液及骨髓移植學會或中華民國血液病學會舉辦之CAR-T教育訓練。</w:t>
      </w:r>
    </w:p>
    <w:p w14:paraId="174E6B99"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(5)醫院藥局至少需庫存10支靜脈注射tocilizumab。</w:t>
      </w:r>
    </w:p>
    <w:p w14:paraId="36827CD6"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(6)細胞蒐集和處理實驗室須於2029年1月1日前取得相關國際認證(AABB或FACT-JACIE)。</w:t>
      </w:r>
    </w:p>
    <w:p w14:paraId="46FBF6AF"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(7)由保險人每年委託相關學會定期稽核醫院符合前述條件。</w:t>
      </w:r>
    </w:p>
    <w:p w14:paraId="4B33625A" w14:textId="77777777" w:rsidR="007576F0" w:rsidRPr="007576F0" w:rsidRDefault="007576F0" w:rsidP="007576F0">
      <w:pPr>
        <w:spacing w:line="300" w:lineRule="exact"/>
        <w:ind w:left="851" w:hanging="284"/>
        <w:rPr>
          <w:rFonts w:ascii="標楷體" w:eastAsia="標楷體" w:hAnsi="標楷體"/>
          <w:color w:val="000000"/>
        </w:rPr>
      </w:pPr>
      <w:r w:rsidRPr="007576F0">
        <w:rPr>
          <w:rFonts w:ascii="標楷體" w:eastAsia="標楷體" w:hAnsi="標楷體" w:hint="eastAsia"/>
          <w:color w:val="000000"/>
        </w:rPr>
        <w:t>4.須經專家小組特殊專案審查核准後使用，並須檢附下列文件：</w:t>
      </w:r>
    </w:p>
    <w:p w14:paraId="0D50FB2D"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(1)CAR-T</w:t>
      </w:r>
      <w:proofErr w:type="gramStart"/>
      <w:r w:rsidRPr="007576F0">
        <w:rPr>
          <w:rFonts w:ascii="標楷體" w:eastAsia="標楷體" w:hAnsi="標楷體" w:hint="eastAsia"/>
          <w:color w:val="000000"/>
        </w:rPr>
        <w:t>多科團隊</w:t>
      </w:r>
      <w:proofErr w:type="gramEnd"/>
      <w:r w:rsidRPr="007576F0">
        <w:rPr>
          <w:rFonts w:ascii="標楷體" w:eastAsia="標楷體" w:hAnsi="標楷體" w:hint="eastAsia"/>
          <w:color w:val="000000"/>
        </w:rPr>
        <w:t>會議紀錄。</w:t>
      </w:r>
    </w:p>
    <w:p w14:paraId="76C0B713"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(2)符合前述第4、5項之醫院條件及醫師資格之相關文件。</w:t>
      </w:r>
    </w:p>
    <w:p w14:paraId="5A3C49EA" w14:textId="77777777" w:rsidR="007576F0" w:rsidRPr="007576F0" w:rsidRDefault="007576F0" w:rsidP="007576F0">
      <w:pPr>
        <w:tabs>
          <w:tab w:val="left" w:pos="709"/>
        </w:tabs>
        <w:spacing w:line="300" w:lineRule="exact"/>
        <w:ind w:leftChars="296" w:left="1132" w:hangingChars="176" w:hanging="422"/>
        <w:rPr>
          <w:rFonts w:ascii="標楷體" w:eastAsia="標楷體" w:hAnsi="標楷體"/>
          <w:color w:val="000000"/>
        </w:rPr>
      </w:pPr>
      <w:r w:rsidRPr="007576F0">
        <w:rPr>
          <w:rFonts w:ascii="標楷體" w:eastAsia="標楷體" w:hAnsi="標楷體" w:hint="eastAsia"/>
          <w:color w:val="000000"/>
        </w:rPr>
        <w:t>(3)經臨床醫師確認無法接受造血幹細胞移植者，須檢附相關文件。</w:t>
      </w:r>
    </w:p>
    <w:p w14:paraId="0DFA1818" w14:textId="55EC7325" w:rsidR="004C172D" w:rsidRPr="004C172D" w:rsidRDefault="007576F0" w:rsidP="00F452FE">
      <w:pPr>
        <w:spacing w:line="300" w:lineRule="exact"/>
        <w:ind w:left="851" w:hanging="284"/>
        <w:rPr>
          <w:rFonts w:ascii="標楷體" w:eastAsia="標楷體" w:hAnsi="標楷體"/>
          <w:color w:val="000000"/>
        </w:rPr>
      </w:pPr>
      <w:r w:rsidRPr="007576F0">
        <w:rPr>
          <w:rFonts w:ascii="標楷體" w:eastAsia="標楷體" w:hAnsi="標楷體" w:hint="eastAsia"/>
          <w:color w:val="000000"/>
        </w:rPr>
        <w:t>5.</w:t>
      </w:r>
      <w:proofErr w:type="gramStart"/>
      <w:r w:rsidRPr="007576F0">
        <w:rPr>
          <w:rFonts w:ascii="標楷體" w:eastAsia="標楷體" w:hAnsi="標楷體" w:hint="eastAsia"/>
          <w:color w:val="000000"/>
        </w:rPr>
        <w:t>本品終身</w:t>
      </w:r>
      <w:proofErr w:type="gramEnd"/>
      <w:r w:rsidRPr="007576F0">
        <w:rPr>
          <w:rFonts w:ascii="標楷體" w:eastAsia="標楷體" w:hAnsi="標楷體" w:hint="eastAsia"/>
          <w:color w:val="000000"/>
        </w:rPr>
        <w:t>限給付1次療程，與</w:t>
      </w:r>
      <w:proofErr w:type="spellStart"/>
      <w:r w:rsidRPr="007576F0">
        <w:rPr>
          <w:rFonts w:ascii="標楷體" w:eastAsia="標楷體" w:hAnsi="標楷體" w:hint="eastAsia"/>
          <w:color w:val="000000"/>
        </w:rPr>
        <w:t>tisagenlecleucel</w:t>
      </w:r>
      <w:proofErr w:type="spellEnd"/>
      <w:r w:rsidRPr="007576F0">
        <w:rPr>
          <w:rFonts w:ascii="標楷體" w:eastAsia="標楷體" w:hAnsi="標楷體" w:hint="eastAsia"/>
          <w:color w:val="000000"/>
        </w:rPr>
        <w:t>僅得擇</w:t>
      </w:r>
      <w:proofErr w:type="gramStart"/>
      <w:r w:rsidRPr="007576F0">
        <w:rPr>
          <w:rFonts w:ascii="標楷體" w:eastAsia="標楷體" w:hAnsi="標楷體" w:hint="eastAsia"/>
          <w:color w:val="000000"/>
        </w:rPr>
        <w:t>一</w:t>
      </w:r>
      <w:proofErr w:type="gramEnd"/>
      <w:r w:rsidRPr="007576F0">
        <w:rPr>
          <w:rFonts w:ascii="標楷體" w:eastAsia="標楷體" w:hAnsi="標楷體" w:hint="eastAsia"/>
          <w:color w:val="000000"/>
        </w:rPr>
        <w:t>使用。</w:t>
      </w:r>
    </w:p>
    <w:p w14:paraId="511977C0" w14:textId="77777777" w:rsidR="001D72C9" w:rsidRPr="004C172D" w:rsidRDefault="001D72C9" w:rsidP="001D72C9">
      <w:pPr>
        <w:spacing w:line="300" w:lineRule="exact"/>
        <w:rPr>
          <w:rFonts w:ascii="標楷體" w:eastAsia="標楷體" w:hAnsi="標楷體"/>
          <w:color w:val="000000"/>
        </w:rPr>
      </w:pPr>
    </w:p>
    <w:p w14:paraId="78BAA940" w14:textId="77777777" w:rsidR="00D02D38" w:rsidRPr="001D72C9" w:rsidRDefault="00D02D38" w:rsidP="001D72C9">
      <w:pPr>
        <w:spacing w:line="300" w:lineRule="exact"/>
        <w:rPr>
          <w:rFonts w:ascii="標楷體" w:eastAsia="標楷體" w:hAnsi="標楷體"/>
        </w:rPr>
      </w:pPr>
    </w:p>
    <w:p w14:paraId="764AEFD4" w14:textId="77777777" w:rsidR="00FB3670" w:rsidRDefault="00FB3670">
      <w:pPr>
        <w:widowControl/>
        <w:suppressAutoHyphens w:val="0"/>
      </w:pPr>
      <w:r>
        <w:br w:type="page"/>
      </w:r>
    </w:p>
    <w:p w14:paraId="33DF8D94" w14:textId="77777777" w:rsidR="00CC252C" w:rsidRDefault="00CC252C">
      <w:pPr>
        <w:widowControl/>
        <w:suppressAutoHyphens w:val="0"/>
        <w:rPr>
          <w:rFonts w:ascii="標楷體" w:eastAsia="標楷體" w:hAnsi="標楷體"/>
          <w:b/>
          <w:sz w:val="32"/>
          <w:szCs w:val="32"/>
        </w:rPr>
      </w:pPr>
    </w:p>
    <w:p w14:paraId="22474075" w14:textId="77777777" w:rsidR="00401786" w:rsidRDefault="00C64FB3" w:rsidP="0009639E">
      <w:pPr>
        <w:pStyle w:val="2"/>
        <w:spacing w:line="300" w:lineRule="exact"/>
      </w:pPr>
      <w:r>
        <w:t>第10節 抗微生物劑 Antimicrobial agents</w:t>
      </w:r>
    </w:p>
    <w:p w14:paraId="22808C3E"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3890E1C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10.1.抗微生物劑用藥給付規定通則：</w:t>
      </w:r>
    </w:p>
    <w:p w14:paraId="2932F63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1.凡醫師診斷為感染症，確有臨床需要者得適當使用抗微生物製劑。</w:t>
      </w:r>
    </w:p>
    <w:p w14:paraId="231CBB8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2.門診使用抗微生物製劑以不超過三日份用量為原則。如有必要，每次以七日為限；慢性骨髓炎病患得視病情需要延長抗微生物製劑給藥日數，惟每次門診處方仍以兩</w:t>
      </w:r>
      <w:proofErr w:type="gramStart"/>
      <w:r>
        <w:rPr>
          <w:rFonts w:ascii="標楷體" w:eastAsia="標楷體" w:hAnsi="標楷體"/>
        </w:rPr>
        <w:t>週</w:t>
      </w:r>
      <w:proofErr w:type="gramEnd"/>
      <w:r>
        <w:rPr>
          <w:rFonts w:ascii="標楷體" w:eastAsia="標楷體" w:hAnsi="標楷體"/>
        </w:rPr>
        <w:t>為上限(87/7/1)。</w:t>
      </w:r>
    </w:p>
    <w:p w14:paraId="205212B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3.「上呼吸道感染病患」如屬一般感冒（common cold）或病毒性感染者，不應使用抗生素。如需使用，應有細菌性感染之臨床佐證，例如診斷為細菌性中耳炎、細菌性鼻竇炎、細菌性咽喉炎，始得使用抗生素治療（90/2/1）。</w:t>
      </w:r>
    </w:p>
    <w:p w14:paraId="07A3C71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4.使用抗微生物製劑，宜以同療效、</w:t>
      </w:r>
      <w:proofErr w:type="gramStart"/>
      <w:r>
        <w:rPr>
          <w:rFonts w:ascii="標楷體" w:eastAsia="標楷體" w:hAnsi="標楷體"/>
        </w:rPr>
        <w:t>價廉為原則</w:t>
      </w:r>
      <w:proofErr w:type="gramEnd"/>
      <w:r>
        <w:rPr>
          <w:rFonts w:ascii="標楷體" w:eastAsia="標楷體" w:hAnsi="標楷體"/>
        </w:rPr>
        <w:t>。使用三種抗微生物製劑(含)以上，需附微生物培養及藥物敏感試驗報告，藥物敏感試驗報告應包括第一線及第二線抗微生物製劑及各類常用藥物；同類同抗菌範疇之抗微生物製劑，若未能都進行藥物敏感性試驗時，得以其中之一種藥物的敏感性試驗結果做為使用其他同類同抗菌範疇藥物合理性之判定參考。（87/4/1）</w:t>
      </w:r>
    </w:p>
    <w:p w14:paraId="3118F54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5.使用抗微生物製劑應以本保險規定之第一線抗微生物製劑優先使用，如欲使用第一線以外之抗微生物製劑，需依規定第6、7項辦理。</w:t>
      </w:r>
    </w:p>
    <w:p w14:paraId="2586625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6.醫師得按下列病情及診斷於進行微生物培養及藥物敏感試驗後直接使用第一線</w:t>
      </w:r>
      <w:proofErr w:type="gramStart"/>
      <w:r>
        <w:rPr>
          <w:rFonts w:ascii="標楷體" w:eastAsia="標楷體" w:hAnsi="標楷體"/>
        </w:rPr>
        <w:t>以外抗</w:t>
      </w:r>
      <w:proofErr w:type="gramEnd"/>
      <w:r>
        <w:rPr>
          <w:rFonts w:ascii="標楷體" w:eastAsia="標楷體" w:hAnsi="標楷體"/>
        </w:rPr>
        <w:t>微生物製劑，惟若微生物培養證明第一線抗微生物製劑有效，應考慮改用第一線抗微生物製劑。(91/4/1)</w:t>
      </w:r>
    </w:p>
    <w:p w14:paraId="2F764F6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(1)感染病情嚴重者，包括：</w:t>
      </w:r>
    </w:p>
    <w:p w14:paraId="68D13965"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Ⅰ.敗血症(sepsis)或敗血性休克(septic shock)</w:t>
      </w:r>
    </w:p>
    <w:p w14:paraId="3D93D81E"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Ⅱ.中樞神經感染</w:t>
      </w:r>
    </w:p>
    <w:p w14:paraId="6BD6DD79"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Ⅲ.使用呼吸器者。</w:t>
      </w:r>
    </w:p>
    <w:p w14:paraId="2CFB5E5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(2)免疫狀態不良併發感染者：</w:t>
      </w:r>
    </w:p>
    <w:p w14:paraId="425F4BAE"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Ⅰ.接受免疫抑制劑。</w:t>
      </w:r>
    </w:p>
    <w:p w14:paraId="5CE739C3"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Ⅱ.接受抗癌化學療法。</w:t>
      </w:r>
    </w:p>
    <w:p w14:paraId="2D9FC8BB"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Ⅲ.白血球數在1000/</w:t>
      </w:r>
      <w:proofErr w:type="spellStart"/>
      <w:r>
        <w:rPr>
          <w:rFonts w:ascii="標楷體" w:eastAsia="標楷體" w:hAnsi="標楷體"/>
        </w:rPr>
        <w:t>cumm</w:t>
      </w:r>
      <w:proofErr w:type="spellEnd"/>
      <w:r>
        <w:rPr>
          <w:rFonts w:ascii="標楷體" w:eastAsia="標楷體" w:hAnsi="標楷體"/>
        </w:rPr>
        <w:t>以下</w:t>
      </w:r>
      <w:proofErr w:type="gramStart"/>
      <w:r>
        <w:rPr>
          <w:rFonts w:ascii="標楷體" w:eastAsia="標楷體" w:hAnsi="標楷體"/>
        </w:rPr>
        <w:t>或多核白血球</w:t>
      </w:r>
      <w:proofErr w:type="gramEnd"/>
      <w:r>
        <w:rPr>
          <w:rFonts w:ascii="標楷體" w:eastAsia="標楷體" w:hAnsi="標楷體"/>
        </w:rPr>
        <w:t>數在500/</w:t>
      </w:r>
      <w:proofErr w:type="spellStart"/>
      <w:r>
        <w:rPr>
          <w:rFonts w:ascii="標楷體" w:eastAsia="標楷體" w:hAnsi="標楷體"/>
        </w:rPr>
        <w:t>cumm</w:t>
      </w:r>
      <w:proofErr w:type="spellEnd"/>
      <w:r>
        <w:rPr>
          <w:rFonts w:ascii="標楷體" w:eastAsia="標楷體" w:hAnsi="標楷體"/>
        </w:rPr>
        <w:t>以下。</w:t>
      </w:r>
    </w:p>
    <w:p w14:paraId="65E46E12"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(3)經感染症專科醫師會診，確認有</w:t>
      </w:r>
      <w:proofErr w:type="gramStart"/>
      <w:r>
        <w:rPr>
          <w:rFonts w:ascii="標楷體" w:eastAsia="標楷體" w:hAnsi="標楷體"/>
        </w:rPr>
        <w:t>感染症需使用者</w:t>
      </w:r>
      <w:proofErr w:type="gramEnd"/>
      <w:r>
        <w:rPr>
          <w:rFonts w:ascii="標楷體" w:eastAsia="標楷體" w:hAnsi="標楷體"/>
        </w:rPr>
        <w:t xml:space="preserve"> (申報費用時需檢附會診紀錄及相關之病歷資料)</w:t>
      </w:r>
      <w:proofErr w:type="gramStart"/>
      <w:r>
        <w:rPr>
          <w:rFonts w:ascii="標楷體" w:eastAsia="標楷體" w:hAnsi="標楷體"/>
        </w:rPr>
        <w:t>（</w:t>
      </w:r>
      <w:proofErr w:type="gramEnd"/>
      <w:r>
        <w:rPr>
          <w:rFonts w:ascii="標楷體" w:eastAsia="標楷體" w:hAnsi="標楷體"/>
        </w:rPr>
        <w:t>86/10/1、92/9/1)。</w:t>
      </w:r>
    </w:p>
    <w:p w14:paraId="075F94F7"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(4)手術中發現有明顯感染病灶者。</w:t>
      </w:r>
    </w:p>
    <w:p w14:paraId="78E274D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(5)脾臟切除病人有不明原因發熱者。</w:t>
      </w:r>
    </w:p>
    <w:p w14:paraId="22A91CE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(6)臟器穿孔。</w:t>
      </w:r>
    </w:p>
    <w:p w14:paraId="4CC741D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(7)嚴重污染傷口病人。</w:t>
      </w:r>
    </w:p>
    <w:p w14:paraId="13364A4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(8)患疑似感染之早產兒及新生兒（出生二個月以內）。</w:t>
      </w:r>
    </w:p>
    <w:p w14:paraId="24CC1F7F"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(9)發生明確嚴重院內感染症者。</w:t>
      </w:r>
    </w:p>
    <w:p w14:paraId="45E10A3A"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(10)常有</w:t>
      </w:r>
      <w:proofErr w:type="gramStart"/>
      <w:r>
        <w:rPr>
          <w:rFonts w:ascii="標楷體" w:eastAsia="標楷體" w:hAnsi="標楷體"/>
        </w:rPr>
        <w:t>厭氧菌</w:t>
      </w:r>
      <w:proofErr w:type="gramEnd"/>
      <w:r>
        <w:rPr>
          <w:rFonts w:ascii="標楷體" w:eastAsia="標楷體" w:hAnsi="標楷體"/>
        </w:rPr>
        <w:t>與非</w:t>
      </w:r>
      <w:proofErr w:type="gramStart"/>
      <w:r>
        <w:rPr>
          <w:rFonts w:ascii="標楷體" w:eastAsia="標楷體" w:hAnsi="標楷體"/>
        </w:rPr>
        <w:t>厭氧菌</w:t>
      </w:r>
      <w:proofErr w:type="gramEnd"/>
      <w:r>
        <w:rPr>
          <w:rFonts w:ascii="標楷體" w:eastAsia="標楷體" w:hAnsi="標楷體"/>
        </w:rPr>
        <w:t>混合感染之組織部位感染時(如糖尿病足部壞疽</w:t>
      </w:r>
      <w:proofErr w:type="gramStart"/>
      <w:r>
        <w:rPr>
          <w:rFonts w:ascii="標楷體" w:eastAsia="標楷體" w:hAnsi="標楷體"/>
        </w:rPr>
        <w:t>併</w:t>
      </w:r>
      <w:proofErr w:type="gramEnd"/>
      <w:r>
        <w:rPr>
          <w:rFonts w:ascii="標楷體" w:eastAsia="標楷體" w:hAnsi="標楷體"/>
        </w:rPr>
        <w:t>感染、骨盆腔內感染)，得直接使用可同時治療</w:t>
      </w:r>
      <w:proofErr w:type="gramStart"/>
      <w:r>
        <w:rPr>
          <w:rFonts w:ascii="標楷體" w:eastAsia="標楷體" w:hAnsi="標楷體"/>
        </w:rPr>
        <w:t>厭氧菌</w:t>
      </w:r>
      <w:proofErr w:type="gramEnd"/>
      <w:r>
        <w:rPr>
          <w:rFonts w:ascii="標楷體" w:eastAsia="標楷體" w:hAnsi="標楷體"/>
        </w:rPr>
        <w:t>與非</w:t>
      </w:r>
      <w:proofErr w:type="gramStart"/>
      <w:r>
        <w:rPr>
          <w:rFonts w:ascii="標楷體" w:eastAsia="標楷體" w:hAnsi="標楷體"/>
        </w:rPr>
        <w:t>厭氧菌</w:t>
      </w:r>
      <w:proofErr w:type="gramEnd"/>
      <w:r>
        <w:rPr>
          <w:rFonts w:ascii="標楷體" w:eastAsia="標楷體" w:hAnsi="標楷體"/>
        </w:rPr>
        <w:t>多重感染之單一非第一線抗微生物製劑。</w:t>
      </w:r>
    </w:p>
    <w:p w14:paraId="65522AA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7.醫師得按下列病情改用第一線</w:t>
      </w:r>
      <w:proofErr w:type="gramStart"/>
      <w:r>
        <w:rPr>
          <w:rFonts w:ascii="標楷體" w:eastAsia="標楷體" w:hAnsi="標楷體"/>
        </w:rPr>
        <w:t>以外抗</w:t>
      </w:r>
      <w:proofErr w:type="gramEnd"/>
      <w:r>
        <w:rPr>
          <w:rFonts w:ascii="標楷體" w:eastAsia="標楷體" w:hAnsi="標楷體"/>
        </w:rPr>
        <w:t>微生物製劑：</w:t>
      </w:r>
    </w:p>
    <w:p w14:paraId="1C3B7C3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(1)使用第一線抗微生物製劑超過72小時，經微生物培養及藥物敏感試驗證實對第一線抗微生物</w:t>
      </w:r>
      <w:proofErr w:type="gramStart"/>
      <w:r>
        <w:rPr>
          <w:rFonts w:ascii="標楷體" w:eastAsia="標楷體" w:hAnsi="標楷體"/>
        </w:rPr>
        <w:t>製劑具抗藥性</w:t>
      </w:r>
      <w:proofErr w:type="gramEnd"/>
      <w:r>
        <w:rPr>
          <w:rFonts w:ascii="標楷體" w:eastAsia="標楷體" w:hAnsi="標楷體"/>
        </w:rPr>
        <w:t>，確有需要使用者，並請檢附該檢驗報告。</w:t>
      </w:r>
    </w:p>
    <w:p w14:paraId="31186C1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(2)每72小時更換第一線抗微生物製劑一次，歷經 7日以上仍無效，由其他醫療機構轉送至有微生物培養室醫院病人者。</w:t>
      </w:r>
    </w:p>
    <w:p w14:paraId="10F7BE12"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(3)嬰幼兒（出生二個月以上至滿五足歲）患疑似感染疾病，在使用第一線抗微生物製劑72小時仍無明顯療效者。</w:t>
      </w:r>
    </w:p>
    <w:p w14:paraId="0B437AD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8.預防性的使用抗微生物製劑：（105/2/1）。</w:t>
      </w:r>
    </w:p>
    <w:p w14:paraId="36CCCD85"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lastRenderedPageBreak/>
        <w:t>(1)清淨的手術：大致可分甲、乙兩類。</w:t>
      </w:r>
    </w:p>
    <w:p w14:paraId="69F5365D" w14:textId="77777777" w:rsidR="00401786" w:rsidRDefault="00C64FB3" w:rsidP="0009639E">
      <w:pPr>
        <w:spacing w:line="300" w:lineRule="exact"/>
        <w:ind w:left="1750" w:hanging="701"/>
        <w:rPr>
          <w:rFonts w:ascii="標楷體" w:eastAsia="標楷體" w:hAnsi="標楷體"/>
        </w:rPr>
      </w:pPr>
      <w:r>
        <w:rPr>
          <w:rFonts w:ascii="標楷體" w:eastAsia="標楷體" w:hAnsi="標楷體"/>
        </w:rPr>
        <w:t>甲類：如單純性疝氣手術、</w:t>
      </w:r>
      <w:proofErr w:type="gramStart"/>
      <w:r>
        <w:rPr>
          <w:rFonts w:ascii="標楷體" w:eastAsia="標楷體" w:hAnsi="標楷體"/>
        </w:rPr>
        <w:t>精索靜脈曲張</w:t>
      </w:r>
      <w:proofErr w:type="gramEnd"/>
      <w:r>
        <w:rPr>
          <w:rFonts w:ascii="標楷體" w:eastAsia="標楷體" w:hAnsi="標楷體"/>
        </w:rPr>
        <w:t>手術、甲狀腺手術、乳房切除手術…等，原則上可「免用」抗微生物製劑，如需使用，</w:t>
      </w:r>
      <w:proofErr w:type="gramStart"/>
      <w:r>
        <w:rPr>
          <w:rFonts w:ascii="標楷體" w:eastAsia="標楷體" w:hAnsi="標楷體"/>
        </w:rPr>
        <w:t>可術前一</w:t>
      </w:r>
      <w:proofErr w:type="gramEnd"/>
      <w:r>
        <w:rPr>
          <w:rFonts w:ascii="標楷體" w:eastAsia="標楷體" w:hAnsi="標楷體"/>
        </w:rPr>
        <w:t>劑量，手術時間超過二小時者得</w:t>
      </w:r>
      <w:proofErr w:type="gramStart"/>
      <w:r>
        <w:rPr>
          <w:rFonts w:ascii="標楷體" w:eastAsia="標楷體" w:hAnsi="標楷體"/>
        </w:rPr>
        <w:t>於術中</w:t>
      </w:r>
      <w:proofErr w:type="gramEnd"/>
      <w:r>
        <w:rPr>
          <w:rFonts w:ascii="標楷體" w:eastAsia="標楷體" w:hAnsi="標楷體"/>
        </w:rPr>
        <w:t>追加一劑，使用之抗微生物製劑應以本表之第一線抗微生物製劑為限（90/2/1）。</w:t>
      </w:r>
    </w:p>
    <w:p w14:paraId="7F337FD3" w14:textId="77777777" w:rsidR="00401786" w:rsidRDefault="00C64FB3" w:rsidP="0009639E">
      <w:pPr>
        <w:spacing w:line="300" w:lineRule="exact"/>
        <w:ind w:left="1750" w:hanging="701"/>
        <w:rPr>
          <w:rFonts w:ascii="標楷體" w:eastAsia="標楷體" w:hAnsi="標楷體"/>
        </w:rPr>
      </w:pPr>
      <w:r>
        <w:rPr>
          <w:rFonts w:ascii="標楷體" w:eastAsia="標楷體" w:hAnsi="標楷體"/>
        </w:rPr>
        <w:t>乙類：如心臟手術、腦部手術、臟器移植手術及放置人工</w:t>
      </w:r>
      <w:proofErr w:type="gramStart"/>
      <w:r>
        <w:rPr>
          <w:rFonts w:ascii="標楷體" w:eastAsia="標楷體" w:hAnsi="標楷體"/>
        </w:rPr>
        <w:t>植入物之</w:t>
      </w:r>
      <w:proofErr w:type="gramEnd"/>
      <w:r>
        <w:rPr>
          <w:rFonts w:ascii="標楷體" w:eastAsia="標楷體" w:hAnsi="標楷體"/>
        </w:rPr>
        <w:t>手術，原則上使用不可超過24小時，以本表之第一線抗微生物製劑為主；如需使用第一線以外之抗微生物製劑或超過48小時，請詳敘理由，</w:t>
      </w:r>
      <w:proofErr w:type="gramStart"/>
      <w:r>
        <w:rPr>
          <w:rFonts w:ascii="標楷體" w:eastAsia="標楷體" w:hAnsi="標楷體"/>
        </w:rPr>
        <w:t>俾</w:t>
      </w:r>
      <w:proofErr w:type="gramEnd"/>
      <w:r>
        <w:rPr>
          <w:rFonts w:ascii="標楷體" w:eastAsia="標楷體" w:hAnsi="標楷體"/>
        </w:rPr>
        <w:t>利審查（90/2/1、95/6/1）</w:t>
      </w:r>
    </w:p>
    <w:p w14:paraId="75BBAD0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(2)清淨但易受污染的手術。</w:t>
      </w:r>
    </w:p>
    <w:p w14:paraId="3BE9A442" w14:textId="77777777" w:rsidR="00401786" w:rsidRDefault="00C64FB3" w:rsidP="0009639E">
      <w:pPr>
        <w:spacing w:line="300" w:lineRule="exact"/>
        <w:ind w:left="1078"/>
        <w:rPr>
          <w:rFonts w:ascii="標楷體" w:eastAsia="標楷體" w:hAnsi="標楷體"/>
        </w:rPr>
      </w:pPr>
      <w:proofErr w:type="gramStart"/>
      <w:r>
        <w:rPr>
          <w:rFonts w:ascii="標楷體" w:eastAsia="標楷體" w:hAnsi="標楷體"/>
        </w:rPr>
        <w:t>術野是</w:t>
      </w:r>
      <w:proofErr w:type="gramEnd"/>
      <w:r>
        <w:rPr>
          <w:rFonts w:ascii="標楷體" w:eastAsia="標楷體" w:hAnsi="標楷體"/>
        </w:rPr>
        <w:t>清淨</w:t>
      </w:r>
      <w:proofErr w:type="gramStart"/>
      <w:r>
        <w:rPr>
          <w:rFonts w:ascii="標楷體" w:eastAsia="標楷體" w:hAnsi="標楷體"/>
        </w:rPr>
        <w:t>但術中</w:t>
      </w:r>
      <w:proofErr w:type="gramEnd"/>
      <w:r>
        <w:rPr>
          <w:rFonts w:ascii="標楷體" w:eastAsia="標楷體" w:hAnsi="標楷體"/>
        </w:rPr>
        <w:t>易受污染，如肝膽胃腸手術、泌尿道手術、肺部手術、婦科手術、耳鼻喉科手術、牙科手術…等手術。原則上抗微生物製劑使用24小時，以本表之第一線抗微生物製劑為主，若有</w:t>
      </w:r>
      <w:proofErr w:type="gramStart"/>
      <w:r>
        <w:rPr>
          <w:rFonts w:ascii="標楷體" w:eastAsia="標楷體" w:hAnsi="標楷體"/>
        </w:rPr>
        <w:t>厭氧菌與嗜氧菌</w:t>
      </w:r>
      <w:proofErr w:type="gramEnd"/>
      <w:r>
        <w:rPr>
          <w:rFonts w:ascii="標楷體" w:eastAsia="標楷體" w:hAnsi="標楷體"/>
        </w:rPr>
        <w:t>混合污染之可能時，得使用Cephamycin（</w:t>
      </w:r>
      <w:proofErr w:type="spellStart"/>
      <w:r>
        <w:rPr>
          <w:rFonts w:ascii="標楷體" w:eastAsia="標楷體" w:hAnsi="標楷體"/>
        </w:rPr>
        <w:t>cefoxitin,cefmetazole</w:t>
      </w:r>
      <w:proofErr w:type="spellEnd"/>
      <w:r>
        <w:rPr>
          <w:rFonts w:ascii="標楷體" w:eastAsia="標楷體" w:hAnsi="標楷體"/>
        </w:rPr>
        <w:t>）或ampicillin類合併β-lactamase inhibitor（ampicillin/</w:t>
      </w:r>
      <w:proofErr w:type="spellStart"/>
      <w:r>
        <w:rPr>
          <w:rFonts w:ascii="標楷體" w:eastAsia="標楷體" w:hAnsi="標楷體"/>
        </w:rPr>
        <w:t>sulbactam,amoxicillin</w:t>
      </w:r>
      <w:proofErr w:type="spellEnd"/>
      <w:r>
        <w:rPr>
          <w:rFonts w:ascii="標楷體" w:eastAsia="標楷體" w:hAnsi="標楷體"/>
        </w:rPr>
        <w:t>/clavulanic acid）之藥物；如需使用第一線以外之抗微生物製劑或超過48小時，請詳敘理由，</w:t>
      </w:r>
      <w:proofErr w:type="gramStart"/>
      <w:r>
        <w:rPr>
          <w:rFonts w:ascii="標楷體" w:eastAsia="標楷體" w:hAnsi="標楷體"/>
        </w:rPr>
        <w:t>俾</w:t>
      </w:r>
      <w:proofErr w:type="gramEnd"/>
      <w:r>
        <w:rPr>
          <w:rFonts w:ascii="標楷體" w:eastAsia="標楷體" w:hAnsi="標楷體"/>
        </w:rPr>
        <w:t>利審查</w:t>
      </w:r>
      <w:proofErr w:type="gramStart"/>
      <w:r>
        <w:rPr>
          <w:rFonts w:ascii="標楷體" w:eastAsia="標楷體" w:hAnsi="標楷體"/>
        </w:rPr>
        <w:t>（</w:t>
      </w:r>
      <w:proofErr w:type="gramEnd"/>
      <w:r>
        <w:rPr>
          <w:rFonts w:ascii="標楷體" w:eastAsia="標楷體" w:hAnsi="標楷體"/>
        </w:rPr>
        <w:t>90/2/1、95/6/1)。</w:t>
      </w:r>
    </w:p>
    <w:p w14:paraId="0D4F532B" w14:textId="77777777" w:rsidR="00401786" w:rsidRDefault="00C64FB3" w:rsidP="0009639E">
      <w:pPr>
        <w:spacing w:line="300" w:lineRule="exact"/>
        <w:ind w:left="1090" w:hanging="384"/>
        <w:rPr>
          <w:rFonts w:ascii="標楷體" w:eastAsia="標楷體" w:hAnsi="標楷體"/>
        </w:rPr>
      </w:pPr>
      <w:r>
        <w:rPr>
          <w:rFonts w:ascii="標楷體" w:eastAsia="標楷體" w:hAnsi="標楷體"/>
        </w:rPr>
        <w:t>(3)免疫不全病人經醫師判斷感染風險高，依實證及流行病學資料及相關治療指引等，經感染症專科醫師認定需使用者，得適當使用預防性抗微生物製劑。申報費用時需檢附會診紀錄及相關之病歷資料。（105/2/1）。</w:t>
      </w:r>
    </w:p>
    <w:p w14:paraId="37364E4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9.污染性傷口之手術及手術後發生感染併發症，依本保險規定之抗微生物製劑使用原則用藥（90/2/1）。</w:t>
      </w:r>
    </w:p>
    <w:p w14:paraId="3965890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10.本保險第一線抗微生物製劑範圍</w:t>
      </w:r>
      <w:proofErr w:type="gramStart"/>
      <w:r>
        <w:rPr>
          <w:rFonts w:ascii="標楷體" w:eastAsia="標楷體" w:hAnsi="標楷體"/>
        </w:rPr>
        <w:t>暫訂如附表</w:t>
      </w:r>
      <w:proofErr w:type="gramEnd"/>
      <w:r>
        <w:rPr>
          <w:rFonts w:ascii="標楷體" w:eastAsia="標楷體" w:hAnsi="標楷體"/>
        </w:rPr>
        <w:t>一，並得視實際需要予以增減。</w:t>
      </w:r>
    </w:p>
    <w:p w14:paraId="0745C05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11.使用本表以外之抗微生物製劑超過七日時，除需附微生物培養與敏感試驗報告外，尚需附相關檢驗報告（如血、尿…等）與 TPR chart影本並註明使用抗微生物製劑之規格、劑量、使用日期以利審核。</w:t>
      </w:r>
    </w:p>
    <w:p w14:paraId="19F055F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12.非第一線抗微生物</w:t>
      </w:r>
      <w:proofErr w:type="gramStart"/>
      <w:r>
        <w:rPr>
          <w:rFonts w:ascii="標楷體" w:eastAsia="標楷體" w:hAnsi="標楷體"/>
        </w:rPr>
        <w:t>製劑其於</w:t>
      </w:r>
      <w:proofErr w:type="gramEnd"/>
      <w:r>
        <w:rPr>
          <w:rFonts w:ascii="標楷體" w:eastAsia="標楷體" w:hAnsi="標楷體"/>
        </w:rPr>
        <w:t>本藥品給付規定中另訂有規定者，依各該規定給付之。</w:t>
      </w:r>
    </w:p>
    <w:p w14:paraId="341EE3C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13.有關結核病治療選擇的藥物種類、使用的劑量與治療的時程，應依衛生福利部疾病管制署</w:t>
      </w:r>
      <w:proofErr w:type="gramStart"/>
      <w:r>
        <w:rPr>
          <w:rFonts w:ascii="標楷體" w:eastAsia="標楷體" w:hAnsi="標楷體"/>
        </w:rPr>
        <w:t>最</w:t>
      </w:r>
      <w:proofErr w:type="gramEnd"/>
      <w:r>
        <w:rPr>
          <w:rFonts w:ascii="標楷體" w:eastAsia="標楷體" w:hAnsi="標楷體"/>
        </w:rPr>
        <w:t>新版「結核病診治指引」辦理。(99/11/1、102/7/23、108/12/1)</w:t>
      </w:r>
    </w:p>
    <w:p w14:paraId="20165870"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10.2.盤尼西林類  </w:t>
      </w:r>
      <w:proofErr w:type="spellStart"/>
      <w:r>
        <w:rPr>
          <w:rFonts w:ascii="標楷體" w:eastAsia="標楷體" w:hAnsi="標楷體"/>
        </w:rPr>
        <w:t>Penicillins</w:t>
      </w:r>
      <w:proofErr w:type="spellEnd"/>
    </w:p>
    <w:p w14:paraId="144B8B2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10.2.1.Amoxicillin + clavulanic acid（如Augmentin tab）：(85/1/1、109/10/1)</w:t>
      </w:r>
    </w:p>
    <w:p w14:paraId="3126B93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用於急性化膿性中耳炎或急性化膿性鼻竇炎、急性下呼吸道感染、</w:t>
      </w:r>
      <w:proofErr w:type="gramStart"/>
      <w:r>
        <w:rPr>
          <w:rFonts w:ascii="標楷體" w:eastAsia="標楷體" w:hAnsi="標楷體"/>
        </w:rPr>
        <w:t>厭氧性</w:t>
      </w:r>
      <w:proofErr w:type="gramEnd"/>
      <w:r>
        <w:rPr>
          <w:rFonts w:ascii="標楷體" w:eastAsia="標楷體" w:hAnsi="標楷體"/>
        </w:rPr>
        <w:t>細菌感染、菌血症等適應症，得免附細菌敏感試驗報告，惟以十日為限。</w:t>
      </w:r>
    </w:p>
    <w:p w14:paraId="359CC04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10.2.2.Ampicillin + sulbactam 注射劑（如Unasyn注射劑、</w:t>
      </w:r>
      <w:proofErr w:type="spellStart"/>
      <w:r>
        <w:rPr>
          <w:rFonts w:ascii="標楷體" w:eastAsia="標楷體" w:hAnsi="標楷體"/>
        </w:rPr>
        <w:t>Ansullina</w:t>
      </w:r>
      <w:proofErr w:type="spellEnd"/>
      <w:r>
        <w:rPr>
          <w:rFonts w:ascii="標楷體" w:eastAsia="標楷體" w:hAnsi="標楷體"/>
        </w:rPr>
        <w:t>注射劑）：(91/7/1)</w:t>
      </w:r>
    </w:p>
    <w:p w14:paraId="59897EAB"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單次處方劑量為1.5公克時，不得以0.75公克兩瓶申報。</w:t>
      </w:r>
    </w:p>
    <w:p w14:paraId="0ACD5146"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10.3.頭孢子菌素  Cephalosporins</w:t>
      </w:r>
    </w:p>
    <w:p w14:paraId="01B3942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10.3.1.Cefaclor：（85/1/1、89/7/1、109/10/1）</w:t>
      </w:r>
    </w:p>
    <w:p w14:paraId="6147EFC4"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用於急性化膿性中耳炎或急性化膿性鼻竇炎、急性下呼吸道感染、敗血症等適應症，得免附細菌敏感試驗報告，惟以十日為限。</w:t>
      </w:r>
    </w:p>
    <w:p w14:paraId="1FC60A40"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10.3.2.Cefuroxime tab：（87/4/1、109/10/1）</w:t>
      </w:r>
    </w:p>
    <w:p w14:paraId="0B83EDC7"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用於急性化膿性中耳炎或急性化膿性鼻竇炎、急性下呼吸道感染、敗血症等適應症，得免附細菌敏感試驗報告，惟以十日為限。</w:t>
      </w:r>
    </w:p>
    <w:p w14:paraId="5F45AB6E"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10.3.3.Ceftriaxone：（95/6/1）</w:t>
      </w:r>
    </w:p>
    <w:p w14:paraId="0ECE8763"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用於疑似或證實為淋病尿道炎、子宮頸炎、軟性下疳時，可第一線單一劑量使用。</w:t>
      </w:r>
    </w:p>
    <w:p w14:paraId="242C8E13"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10.3.4.Cefixime：（95/6/1）</w:t>
      </w:r>
    </w:p>
    <w:p w14:paraId="5C532FB7"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用於疑似或證實為淋病尿道炎、子宮頸炎、軟性下疳時，可第一線單一劑量使用。</w:t>
      </w:r>
    </w:p>
    <w:p w14:paraId="7E5A5DE3" w14:textId="77777777" w:rsidR="00401786" w:rsidRDefault="00C64FB3" w:rsidP="0009639E">
      <w:pPr>
        <w:spacing w:line="300" w:lineRule="exact"/>
        <w:ind w:left="567" w:hanging="245"/>
        <w:rPr>
          <w:rFonts w:ascii="標楷體" w:eastAsia="標楷體" w:hAnsi="標楷體"/>
        </w:rPr>
      </w:pPr>
      <w:r>
        <w:rPr>
          <w:rFonts w:ascii="標楷體" w:eastAsia="標楷體" w:hAnsi="標楷體"/>
        </w:rPr>
        <w:t xml:space="preserve">10.3.5.Ceftaroline </w:t>
      </w:r>
      <w:proofErr w:type="spellStart"/>
      <w:r>
        <w:rPr>
          <w:rFonts w:ascii="標楷體" w:eastAsia="標楷體" w:hAnsi="標楷體"/>
        </w:rPr>
        <w:t>fosamil</w:t>
      </w:r>
      <w:proofErr w:type="spellEnd"/>
      <w:r>
        <w:rPr>
          <w:rFonts w:ascii="標楷體" w:eastAsia="標楷體" w:hAnsi="標楷體"/>
        </w:rPr>
        <w:t xml:space="preserve"> (如</w:t>
      </w:r>
      <w:proofErr w:type="spellStart"/>
      <w:r>
        <w:rPr>
          <w:rFonts w:ascii="標楷體" w:eastAsia="標楷體" w:hAnsi="標楷體"/>
        </w:rPr>
        <w:t>Zinforo</w:t>
      </w:r>
      <w:proofErr w:type="spellEnd"/>
      <w:r>
        <w:rPr>
          <w:rFonts w:ascii="標楷體" w:eastAsia="標楷體" w:hAnsi="標楷體"/>
        </w:rPr>
        <w:t>)：(108/2/1、108/12/1、110/11/1</w:t>
      </w:r>
      <w:proofErr w:type="gramStart"/>
      <w:r>
        <w:rPr>
          <w:rFonts w:ascii="標楷體" w:eastAsia="標楷體" w:hAnsi="標楷體"/>
        </w:rPr>
        <w:t>）</w:t>
      </w:r>
      <w:proofErr w:type="gramEnd"/>
    </w:p>
    <w:p w14:paraId="6BD0C892" w14:textId="77777777" w:rsidR="00401786" w:rsidRDefault="00C64FB3" w:rsidP="0009639E">
      <w:pPr>
        <w:spacing w:line="300" w:lineRule="exact"/>
        <w:ind w:left="809" w:hanging="245"/>
        <w:rPr>
          <w:rFonts w:ascii="標楷體" w:eastAsia="標楷體" w:hAnsi="標楷體"/>
        </w:rPr>
      </w:pPr>
      <w:r>
        <w:rPr>
          <w:rFonts w:ascii="標楷體" w:eastAsia="標楷體" w:hAnsi="標楷體"/>
        </w:rPr>
        <w:lastRenderedPageBreak/>
        <w:t>1.限下列條件之</w:t>
      </w:r>
      <w:proofErr w:type="gramStart"/>
      <w:r>
        <w:rPr>
          <w:rFonts w:ascii="標楷體" w:eastAsia="標楷體" w:hAnsi="標楷體"/>
        </w:rPr>
        <w:t>一</w:t>
      </w:r>
      <w:proofErr w:type="gramEnd"/>
      <w:r>
        <w:rPr>
          <w:rFonts w:ascii="標楷體" w:eastAsia="標楷體" w:hAnsi="標楷體"/>
        </w:rPr>
        <w:t>且經感染症專科醫師會診確認需使用者:</w:t>
      </w:r>
    </w:p>
    <w:p w14:paraId="43AB73AA"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(1)社區性肺炎，經使用第一線社區性肺炎抗生素(如盤尼西林類抗生素、第三代頭孢子菌素、quinolone類抗生素)治療失敗或致病菌對第一線抗生素不具感受性。</w:t>
      </w:r>
    </w:p>
    <w:p w14:paraId="23810685"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(2)證實或高度懷疑MRSA複雜性皮膚和皮膚構造感染，並符合下列條件之</w:t>
      </w:r>
      <w:proofErr w:type="gramStart"/>
      <w:r>
        <w:rPr>
          <w:rFonts w:ascii="標楷體" w:eastAsia="標楷體" w:hAnsi="標楷體"/>
        </w:rPr>
        <w:t>一</w:t>
      </w:r>
      <w:proofErr w:type="gramEnd"/>
      <w:r>
        <w:rPr>
          <w:rFonts w:ascii="標楷體" w:eastAsia="標楷體" w:hAnsi="標楷體"/>
        </w:rPr>
        <w:t>：</w:t>
      </w:r>
    </w:p>
    <w:p w14:paraId="27E3D3EA"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Ⅰ.有全身性感染徵兆且白血球數異常(&gt;12,000或&lt;4,000 cells /</w:t>
      </w:r>
      <w:proofErr w:type="spellStart"/>
      <w:r>
        <w:rPr>
          <w:rFonts w:ascii="標楷體" w:eastAsia="標楷體" w:hAnsi="標楷體"/>
        </w:rPr>
        <w:t>mcL</w:t>
      </w:r>
      <w:proofErr w:type="spellEnd"/>
      <w:r>
        <w:rPr>
          <w:rFonts w:ascii="標楷體" w:eastAsia="標楷體" w:hAnsi="標楷體"/>
        </w:rPr>
        <w:t>)。</w:t>
      </w:r>
    </w:p>
    <w:p w14:paraId="6A45894E"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Ⅱ.免疫功能不全。</w:t>
      </w:r>
    </w:p>
    <w:p w14:paraId="08B152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2.申報費用時須檢附會診紀錄及相關之病歷資料。</w:t>
      </w:r>
    </w:p>
    <w:p w14:paraId="15AD1DB8"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10.3.6.Ceftazidime+avibactam sodium(如</w:t>
      </w:r>
      <w:proofErr w:type="spellStart"/>
      <w:r>
        <w:rPr>
          <w:rFonts w:ascii="標楷體" w:eastAsia="標楷體" w:hAnsi="標楷體"/>
        </w:rPr>
        <w:t>Zavicefta</w:t>
      </w:r>
      <w:proofErr w:type="spellEnd"/>
      <w:r>
        <w:rPr>
          <w:rFonts w:ascii="標楷體" w:eastAsia="標楷體" w:hAnsi="標楷體"/>
        </w:rPr>
        <w:t>): (109/6/1、113/4/1</w:t>
      </w:r>
      <w:proofErr w:type="gramStart"/>
      <w:r>
        <w:rPr>
          <w:rFonts w:ascii="標楷體" w:eastAsia="標楷體" w:hAnsi="標楷體"/>
        </w:rPr>
        <w:t>）</w:t>
      </w:r>
      <w:proofErr w:type="gramEnd"/>
    </w:p>
    <w:p w14:paraId="2D59E5B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1.限使用於病人有下列條件之一，且經感染症專科醫師會診，確認有carbapenem抗藥性革蘭氏陰性</w:t>
      </w:r>
      <w:proofErr w:type="gramStart"/>
      <w:r>
        <w:rPr>
          <w:rFonts w:ascii="標楷體" w:eastAsia="標楷體" w:hAnsi="標楷體"/>
        </w:rPr>
        <w:t>菌</w:t>
      </w:r>
      <w:proofErr w:type="gramEnd"/>
      <w:r>
        <w:rPr>
          <w:rFonts w:ascii="標楷體" w:eastAsia="標楷體" w:hAnsi="標楷體"/>
        </w:rPr>
        <w:t>感染之可能或明確證據而需使用者；申報費用時需檢附會診紀錄及相關之病歷資料：(109/6/1、113/4/1</w:t>
      </w:r>
      <w:proofErr w:type="gramStart"/>
      <w:r>
        <w:rPr>
          <w:rFonts w:ascii="標楷體" w:eastAsia="標楷體" w:hAnsi="標楷體"/>
        </w:rPr>
        <w:t>）</w:t>
      </w:r>
      <w:proofErr w:type="gramEnd"/>
    </w:p>
    <w:p w14:paraId="6CCEC7CA"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(1)複雜性腹腔內感染</w:t>
      </w:r>
    </w:p>
    <w:p w14:paraId="53D38B90"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(2)複雜性泌尿道感染</w:t>
      </w:r>
    </w:p>
    <w:p w14:paraId="759E04D3"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(3)院內感染型肺炎</w:t>
      </w:r>
    </w:p>
    <w:p w14:paraId="4A2C19F9"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(4)其他臨床感染症懷疑為對carbapenem具抗藥性之感染。(113/4/1</w:t>
      </w:r>
      <w:proofErr w:type="gramStart"/>
      <w:r>
        <w:rPr>
          <w:rFonts w:ascii="標楷體" w:eastAsia="標楷體" w:hAnsi="標楷體"/>
        </w:rPr>
        <w:t>）</w:t>
      </w:r>
      <w:proofErr w:type="gramEnd"/>
    </w:p>
    <w:p w14:paraId="18ED411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2.在經感染症專科醫師會診確認使用者，以經驗療法使用後細菌培養結果，若非對carbapenem具抗藥性，則限定使用7天。(113/4/1</w:t>
      </w:r>
      <w:proofErr w:type="gramStart"/>
      <w:r>
        <w:rPr>
          <w:rFonts w:ascii="標楷體" w:eastAsia="標楷體" w:hAnsi="標楷體"/>
        </w:rPr>
        <w:t>）</w:t>
      </w:r>
      <w:proofErr w:type="gramEnd"/>
    </w:p>
    <w:p w14:paraId="60E7152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3.使用不得超過14天，如因臨床</w:t>
      </w:r>
      <w:proofErr w:type="gramStart"/>
      <w:r>
        <w:rPr>
          <w:rFonts w:ascii="標楷體" w:eastAsia="標楷體" w:hAnsi="標楷體"/>
        </w:rPr>
        <w:t>需要而確有</w:t>
      </w:r>
      <w:proofErr w:type="gramEnd"/>
      <w:r>
        <w:rPr>
          <w:rFonts w:ascii="標楷體" w:eastAsia="標楷體" w:hAnsi="標楷體"/>
        </w:rPr>
        <w:t>延長治療之必要，需經感染科醫師再照會評估認可，且照會紀錄應留存病歷備查。(113/4/1</w:t>
      </w:r>
      <w:proofErr w:type="gramStart"/>
      <w:r>
        <w:rPr>
          <w:rFonts w:ascii="標楷體" w:eastAsia="標楷體" w:hAnsi="標楷體"/>
        </w:rPr>
        <w:t>）</w:t>
      </w:r>
      <w:proofErr w:type="gramEnd"/>
    </w:p>
    <w:p w14:paraId="1C2448ED" w14:textId="77777777" w:rsidR="00401786" w:rsidRDefault="00C64FB3" w:rsidP="0009639E">
      <w:pPr>
        <w:spacing w:line="300" w:lineRule="exact"/>
        <w:ind w:left="283"/>
        <w:rPr>
          <w:rFonts w:ascii="標楷體" w:eastAsia="標楷體" w:hAnsi="標楷體"/>
        </w:rPr>
      </w:pPr>
      <w:r>
        <w:rPr>
          <w:rFonts w:ascii="標楷體" w:eastAsia="標楷體" w:hAnsi="標楷體"/>
        </w:rPr>
        <w:t>10.3.7.ceftolozane+tazobactam (如</w:t>
      </w:r>
      <w:proofErr w:type="spellStart"/>
      <w:r>
        <w:rPr>
          <w:rFonts w:ascii="標楷體" w:eastAsia="標楷體" w:hAnsi="標楷體"/>
        </w:rPr>
        <w:t>Zerbaxa</w:t>
      </w:r>
      <w:proofErr w:type="spellEnd"/>
      <w:r>
        <w:rPr>
          <w:rFonts w:ascii="標楷體" w:eastAsia="標楷體" w:hAnsi="標楷體"/>
        </w:rPr>
        <w:t>):(110/3/1)</w:t>
      </w:r>
    </w:p>
    <w:p w14:paraId="370E5CF4" w14:textId="77777777" w:rsidR="00401786" w:rsidRDefault="00C64FB3" w:rsidP="0009639E">
      <w:pPr>
        <w:spacing w:line="300" w:lineRule="exact"/>
        <w:ind w:left="825" w:hanging="259"/>
        <w:rPr>
          <w:rFonts w:ascii="標楷體" w:eastAsia="標楷體" w:hAnsi="標楷體"/>
        </w:rPr>
      </w:pPr>
      <w:r>
        <w:rPr>
          <w:rFonts w:ascii="標楷體" w:eastAsia="標楷體" w:hAnsi="標楷體"/>
        </w:rPr>
        <w:t>1.治療18歲以上成人，患有對</w:t>
      </w:r>
      <w:proofErr w:type="spellStart"/>
      <w:r>
        <w:rPr>
          <w:rFonts w:ascii="標楷體" w:eastAsia="標楷體" w:hAnsi="標楷體"/>
        </w:rPr>
        <w:t>ceftolozane</w:t>
      </w:r>
      <w:proofErr w:type="spellEnd"/>
      <w:r>
        <w:rPr>
          <w:rFonts w:ascii="標楷體" w:eastAsia="標楷體" w:hAnsi="標楷體"/>
        </w:rPr>
        <w:t>/tazobactam有感受性的致病菌引起的以下感染症:</w:t>
      </w:r>
    </w:p>
    <w:p w14:paraId="3D10C09A" w14:textId="77777777" w:rsidR="00401786" w:rsidRDefault="00C64FB3" w:rsidP="0009639E">
      <w:pPr>
        <w:spacing w:line="300" w:lineRule="exact"/>
        <w:ind w:left="991" w:hanging="259"/>
        <w:rPr>
          <w:rFonts w:ascii="標楷體" w:eastAsia="標楷體" w:hAnsi="標楷體"/>
        </w:rPr>
      </w:pPr>
      <w:r>
        <w:rPr>
          <w:rFonts w:ascii="標楷體" w:eastAsia="標楷體" w:hAnsi="標楷體"/>
        </w:rPr>
        <w:t>(1)複雜</w:t>
      </w:r>
      <w:proofErr w:type="gramStart"/>
      <w:r>
        <w:rPr>
          <w:rFonts w:ascii="標楷體" w:eastAsia="標楷體" w:hAnsi="標楷體"/>
        </w:rPr>
        <w:t>性腹內感染</w:t>
      </w:r>
      <w:proofErr w:type="gramEnd"/>
      <w:r>
        <w:rPr>
          <w:rFonts w:ascii="標楷體" w:eastAsia="標楷體" w:hAnsi="標楷體"/>
        </w:rPr>
        <w:t>，需與metronidazole</w:t>
      </w:r>
      <w:proofErr w:type="gramStart"/>
      <w:r>
        <w:rPr>
          <w:rFonts w:ascii="標楷體" w:eastAsia="標楷體" w:hAnsi="標楷體"/>
        </w:rPr>
        <w:t>併</w:t>
      </w:r>
      <w:proofErr w:type="gramEnd"/>
      <w:r>
        <w:rPr>
          <w:rFonts w:ascii="標楷體" w:eastAsia="標楷體" w:hAnsi="標楷體"/>
        </w:rPr>
        <w:t>用。</w:t>
      </w:r>
    </w:p>
    <w:p w14:paraId="46B9A41E" w14:textId="77777777" w:rsidR="00401786" w:rsidRDefault="00C64FB3" w:rsidP="0009639E">
      <w:pPr>
        <w:spacing w:line="300" w:lineRule="exact"/>
        <w:ind w:left="991" w:hanging="259"/>
        <w:rPr>
          <w:rFonts w:ascii="標楷體" w:eastAsia="標楷體" w:hAnsi="標楷體"/>
        </w:rPr>
      </w:pPr>
      <w:r>
        <w:rPr>
          <w:rFonts w:ascii="標楷體" w:eastAsia="標楷體" w:hAnsi="標楷體"/>
        </w:rPr>
        <w:t>(2)複雜性泌尿道感染，包括腎盂腎炎。</w:t>
      </w:r>
    </w:p>
    <w:p w14:paraId="5AD9FA60" w14:textId="77777777" w:rsidR="00401786" w:rsidRDefault="00C64FB3" w:rsidP="0009639E">
      <w:pPr>
        <w:spacing w:line="300" w:lineRule="exact"/>
        <w:ind w:left="991" w:hanging="259"/>
        <w:rPr>
          <w:rFonts w:ascii="標楷體" w:eastAsia="標楷體" w:hAnsi="標楷體"/>
        </w:rPr>
      </w:pPr>
      <w:r>
        <w:rPr>
          <w:rFonts w:ascii="標楷體" w:eastAsia="標楷體" w:hAnsi="標楷體"/>
        </w:rPr>
        <w:t>(3)院內感染性肺炎，包括呼吸器相關肺炎。</w:t>
      </w:r>
    </w:p>
    <w:p w14:paraId="776708CB" w14:textId="77777777" w:rsidR="00401786" w:rsidRDefault="00C64FB3" w:rsidP="0009639E">
      <w:pPr>
        <w:spacing w:line="300" w:lineRule="exact"/>
        <w:ind w:left="825" w:hanging="259"/>
        <w:rPr>
          <w:rFonts w:ascii="標楷體" w:eastAsia="標楷體" w:hAnsi="標楷體"/>
        </w:rPr>
      </w:pPr>
      <w:r>
        <w:rPr>
          <w:rFonts w:ascii="標楷體" w:eastAsia="標楷體" w:hAnsi="標楷體"/>
        </w:rPr>
        <w:t>2.需經會診感染科醫師同意後使用。申報費用時，需檢附感染科醫師會診報告。</w:t>
      </w:r>
    </w:p>
    <w:p w14:paraId="4593719F" w14:textId="77777777" w:rsidR="00F21BA8" w:rsidRDefault="00F21BA8" w:rsidP="00F21BA8">
      <w:pPr>
        <w:spacing w:line="300" w:lineRule="exact"/>
        <w:ind w:leftChars="118" w:left="283"/>
        <w:rPr>
          <w:rFonts w:ascii="標楷體" w:eastAsia="標楷體" w:hAnsi="標楷體" w:cs="新細明體"/>
          <w:kern w:val="0"/>
          <w:szCs w:val="28"/>
        </w:rPr>
      </w:pPr>
      <w:r>
        <w:rPr>
          <w:rFonts w:ascii="標楷體" w:eastAsia="標楷體" w:hAnsi="標楷體" w:cs="新細明體" w:hint="eastAsia"/>
          <w:kern w:val="0"/>
          <w:szCs w:val="28"/>
        </w:rPr>
        <w:t>10.3.8.Cefiderocol(如</w:t>
      </w:r>
      <w:proofErr w:type="spellStart"/>
      <w:r>
        <w:rPr>
          <w:rFonts w:ascii="標楷體" w:eastAsia="標楷體" w:hAnsi="標楷體" w:cs="新細明體" w:hint="eastAsia"/>
          <w:kern w:val="0"/>
          <w:szCs w:val="28"/>
        </w:rPr>
        <w:t>Fetroja</w:t>
      </w:r>
      <w:proofErr w:type="spellEnd"/>
      <w:r>
        <w:rPr>
          <w:rFonts w:ascii="標楷體" w:eastAsia="標楷體" w:hAnsi="標楷體" w:cs="新細明體" w:hint="eastAsia"/>
          <w:kern w:val="0"/>
          <w:szCs w:val="28"/>
        </w:rPr>
        <w:t>)：(115/8/1)</w:t>
      </w:r>
    </w:p>
    <w:p w14:paraId="447ABC06" w14:textId="77777777" w:rsidR="00F21BA8" w:rsidRDefault="00F21BA8" w:rsidP="00F21BA8">
      <w:pPr>
        <w:spacing w:line="300" w:lineRule="exact"/>
        <w:ind w:leftChars="236" w:left="849" w:hangingChars="118" w:hanging="283"/>
        <w:rPr>
          <w:rFonts w:ascii="標楷體" w:eastAsia="標楷體" w:hAnsi="標楷體" w:cs="新細明體"/>
          <w:kern w:val="0"/>
          <w:szCs w:val="28"/>
        </w:rPr>
      </w:pPr>
      <w:r>
        <w:rPr>
          <w:rFonts w:ascii="標楷體" w:eastAsia="標楷體" w:hAnsi="標楷體" w:cs="新細明體" w:hint="eastAsia"/>
          <w:kern w:val="0"/>
          <w:szCs w:val="28"/>
        </w:rPr>
        <w:t>1.限使用於18歲以上成人病人，對</w:t>
      </w:r>
      <w:proofErr w:type="spellStart"/>
      <w:r>
        <w:rPr>
          <w:rFonts w:ascii="標楷體" w:eastAsia="標楷體" w:hAnsi="標楷體" w:cs="新細明體" w:hint="eastAsia"/>
          <w:kern w:val="0"/>
          <w:szCs w:val="28"/>
        </w:rPr>
        <w:t>cefiderocol</w:t>
      </w:r>
      <w:proofErr w:type="spellEnd"/>
      <w:r>
        <w:rPr>
          <w:rFonts w:ascii="標楷體" w:eastAsia="標楷體" w:hAnsi="標楷體" w:cs="新細明體" w:hint="eastAsia"/>
          <w:kern w:val="0"/>
          <w:szCs w:val="28"/>
        </w:rPr>
        <w:t>具感受性之多重抗藥性革蘭氏</w:t>
      </w:r>
      <w:proofErr w:type="gramStart"/>
      <w:r>
        <w:rPr>
          <w:rFonts w:ascii="標楷體" w:eastAsia="標楷體" w:hAnsi="標楷體" w:cs="新細明體" w:hint="eastAsia"/>
          <w:kern w:val="0"/>
          <w:szCs w:val="28"/>
        </w:rPr>
        <w:t>陰性菌所</w:t>
      </w:r>
      <w:proofErr w:type="gramEnd"/>
      <w:r>
        <w:rPr>
          <w:rFonts w:ascii="標楷體" w:eastAsia="標楷體" w:hAnsi="標楷體" w:cs="新細明體" w:hint="eastAsia"/>
          <w:kern w:val="0"/>
          <w:szCs w:val="28"/>
        </w:rPr>
        <w:t>引起之以下任</w:t>
      </w:r>
      <w:proofErr w:type="gramStart"/>
      <w:r>
        <w:rPr>
          <w:rFonts w:ascii="標楷體" w:eastAsia="標楷體" w:hAnsi="標楷體" w:cs="新細明體" w:hint="eastAsia"/>
          <w:kern w:val="0"/>
          <w:szCs w:val="28"/>
        </w:rPr>
        <w:t>一</w:t>
      </w:r>
      <w:proofErr w:type="gramEnd"/>
      <w:r>
        <w:rPr>
          <w:rFonts w:ascii="標楷體" w:eastAsia="標楷體" w:hAnsi="標楷體" w:cs="新細明體" w:hint="eastAsia"/>
          <w:kern w:val="0"/>
          <w:szCs w:val="28"/>
        </w:rPr>
        <w:t>感染症：</w:t>
      </w:r>
    </w:p>
    <w:p w14:paraId="338C1529" w14:textId="77777777" w:rsidR="00F21BA8" w:rsidRDefault="00F21BA8" w:rsidP="00F21BA8">
      <w:pPr>
        <w:spacing w:line="300" w:lineRule="exact"/>
        <w:ind w:leftChars="105" w:left="252" w:firstLineChars="190" w:firstLine="456"/>
        <w:rPr>
          <w:rFonts w:ascii="標楷體" w:eastAsia="標楷體" w:hAnsi="標楷體" w:cs="新細明體"/>
          <w:kern w:val="0"/>
          <w:szCs w:val="28"/>
        </w:rPr>
      </w:pPr>
      <w:r>
        <w:rPr>
          <w:rFonts w:ascii="標楷體" w:eastAsia="標楷體" w:hAnsi="標楷體" w:cs="新細明體" w:hint="eastAsia"/>
          <w:kern w:val="0"/>
          <w:szCs w:val="28"/>
        </w:rPr>
        <w:t>(1)複雜性泌尿道感染，包含腎盂腎炎。</w:t>
      </w:r>
    </w:p>
    <w:p w14:paraId="20149DB6" w14:textId="77777777" w:rsidR="00F21BA8" w:rsidRDefault="00F21BA8" w:rsidP="00F21BA8">
      <w:pPr>
        <w:spacing w:line="300" w:lineRule="exact"/>
        <w:ind w:leftChars="110" w:left="264" w:firstLineChars="185" w:firstLine="444"/>
        <w:rPr>
          <w:rFonts w:ascii="標楷體" w:eastAsia="標楷體" w:hAnsi="標楷體" w:cs="新細明體"/>
          <w:kern w:val="0"/>
          <w:szCs w:val="28"/>
        </w:rPr>
      </w:pPr>
      <w:r>
        <w:rPr>
          <w:rFonts w:ascii="標楷體" w:eastAsia="標楷體" w:hAnsi="標楷體" w:cs="新細明體" w:hint="eastAsia"/>
          <w:kern w:val="0"/>
          <w:szCs w:val="28"/>
        </w:rPr>
        <w:t>(2)院內感染型肺炎和呼吸器相關肺炎。</w:t>
      </w:r>
    </w:p>
    <w:p w14:paraId="51F32476" w14:textId="77777777" w:rsidR="00F21BA8" w:rsidRDefault="00F21BA8" w:rsidP="00F21BA8">
      <w:pPr>
        <w:spacing w:line="300" w:lineRule="exact"/>
        <w:ind w:leftChars="116" w:left="278" w:firstLineChars="179" w:firstLine="430"/>
        <w:rPr>
          <w:rFonts w:ascii="標楷體" w:eastAsia="標楷體" w:hAnsi="標楷體" w:cs="新細明體"/>
          <w:kern w:val="0"/>
          <w:szCs w:val="28"/>
        </w:rPr>
      </w:pPr>
      <w:r>
        <w:rPr>
          <w:rFonts w:ascii="標楷體" w:eastAsia="標楷體" w:hAnsi="標楷體" w:cs="新細明體" w:hint="eastAsia"/>
          <w:kern w:val="0"/>
          <w:szCs w:val="28"/>
        </w:rPr>
        <w:t>(3)其他高度懷疑或證實為多重抗藥性革蘭氏陰性</w:t>
      </w:r>
      <w:proofErr w:type="gramStart"/>
      <w:r>
        <w:rPr>
          <w:rFonts w:ascii="標楷體" w:eastAsia="標楷體" w:hAnsi="標楷體" w:cs="新細明體" w:hint="eastAsia"/>
          <w:kern w:val="0"/>
          <w:szCs w:val="28"/>
        </w:rPr>
        <w:t>菌</w:t>
      </w:r>
      <w:proofErr w:type="gramEnd"/>
      <w:r>
        <w:rPr>
          <w:rFonts w:ascii="標楷體" w:eastAsia="標楷體" w:hAnsi="標楷體" w:cs="新細明體" w:hint="eastAsia"/>
          <w:kern w:val="0"/>
          <w:szCs w:val="28"/>
        </w:rPr>
        <w:t>感染之臨床感染症。</w:t>
      </w:r>
    </w:p>
    <w:p w14:paraId="77CA986F" w14:textId="77777777" w:rsidR="00F21BA8" w:rsidRDefault="00F21BA8" w:rsidP="00F21BA8">
      <w:pPr>
        <w:spacing w:line="300" w:lineRule="exact"/>
        <w:ind w:leftChars="236" w:left="849" w:hangingChars="118" w:hanging="283"/>
        <w:rPr>
          <w:rFonts w:ascii="標楷體" w:eastAsia="標楷體" w:hAnsi="標楷體" w:cs="新細明體"/>
          <w:kern w:val="0"/>
          <w:szCs w:val="28"/>
        </w:rPr>
      </w:pPr>
      <w:r>
        <w:rPr>
          <w:rFonts w:ascii="標楷體" w:eastAsia="標楷體" w:hAnsi="標楷體" w:cs="新細明體" w:hint="eastAsia"/>
          <w:kern w:val="0"/>
          <w:szCs w:val="28"/>
        </w:rPr>
        <w:t>2.需經感染科專科醫師會診，確認後使用。申報費用時，需檢附會診紀錄及相關之病歷資料。</w:t>
      </w:r>
    </w:p>
    <w:p w14:paraId="473FE4D3" w14:textId="4FA49D5D" w:rsidR="00F21BA8" w:rsidRPr="00F21BA8" w:rsidRDefault="00F21BA8" w:rsidP="00F21BA8">
      <w:pPr>
        <w:spacing w:line="300" w:lineRule="exact"/>
        <w:ind w:leftChars="236" w:left="849" w:hangingChars="118" w:hanging="283"/>
        <w:rPr>
          <w:rFonts w:ascii="標楷體" w:eastAsia="標楷體" w:hAnsi="標楷體" w:cs="新細明體"/>
          <w:kern w:val="0"/>
          <w:szCs w:val="28"/>
        </w:rPr>
      </w:pPr>
      <w:r>
        <w:rPr>
          <w:rFonts w:ascii="標楷體" w:eastAsia="標楷體" w:hAnsi="標楷體" w:cs="新細明體" w:hint="eastAsia"/>
          <w:kern w:val="0"/>
          <w:szCs w:val="28"/>
        </w:rPr>
        <w:t>3.每使用滿7天，應經感染科專科醫師會診後才可繼續使用。療程不超過14天為原則，如因臨床需要而有延長治療之必要，需有臨床佐證並經感染科醫師再次會診評估認可，照會紀錄應留存病歷備查。</w:t>
      </w:r>
    </w:p>
    <w:p w14:paraId="46C93E5E" w14:textId="77777777" w:rsidR="00401786" w:rsidRDefault="00C64FB3" w:rsidP="0009639E">
      <w:pPr>
        <w:spacing w:line="300" w:lineRule="exact"/>
        <w:ind w:left="567" w:hanging="280"/>
      </w:pPr>
      <w:r>
        <w:rPr>
          <w:rFonts w:ascii="標楷體" w:eastAsia="標楷體" w:hAnsi="標楷體"/>
          <w:szCs w:val="24"/>
        </w:rPr>
        <w:t>10.4.</w:t>
      </w:r>
      <w:proofErr w:type="gramStart"/>
      <w:r>
        <w:rPr>
          <w:rFonts w:ascii="標楷體" w:eastAsia="標楷體" w:hAnsi="標楷體"/>
          <w:szCs w:val="24"/>
        </w:rPr>
        <w:t>巨環類</w:t>
      </w:r>
      <w:proofErr w:type="gramEnd"/>
      <w:r>
        <w:rPr>
          <w:rFonts w:ascii="標楷體" w:eastAsia="標楷體" w:hAnsi="標楷體"/>
          <w:szCs w:val="24"/>
        </w:rPr>
        <w:t>Macrolides（如erythromycin、azithromycin、clarithromycin、roxithromycin）：(90/11/1、93/9/1、97/12/1、98/10/1、100/5/1、108/1/1、110/4/1、111/3/1)</w:t>
      </w:r>
    </w:p>
    <w:p w14:paraId="316A8845" w14:textId="77777777" w:rsidR="00401786" w:rsidRDefault="00C64FB3" w:rsidP="0009639E">
      <w:pPr>
        <w:spacing w:line="300" w:lineRule="exact"/>
        <w:ind w:left="851" w:hanging="286"/>
        <w:rPr>
          <w:rFonts w:ascii="標楷體" w:eastAsia="標楷體" w:hAnsi="標楷體"/>
          <w:szCs w:val="24"/>
          <w:lang w:val="it-IT"/>
        </w:rPr>
      </w:pPr>
      <w:r>
        <w:rPr>
          <w:rFonts w:ascii="標楷體" w:eastAsia="標楷體" w:hAnsi="標楷體"/>
          <w:szCs w:val="24"/>
          <w:lang w:val="it-IT"/>
        </w:rPr>
        <w:t>1.限用於經臨床診斷或實驗室診斷為</w:t>
      </w:r>
      <w:proofErr w:type="gramStart"/>
      <w:r>
        <w:rPr>
          <w:rFonts w:ascii="標楷體" w:eastAsia="標楷體" w:hAnsi="標楷體"/>
          <w:szCs w:val="24"/>
          <w:lang w:val="it-IT"/>
        </w:rPr>
        <w:t>黴</w:t>
      </w:r>
      <w:proofErr w:type="gramEnd"/>
      <w:r>
        <w:rPr>
          <w:rFonts w:ascii="標楷體" w:eastAsia="標楷體" w:hAnsi="標楷體"/>
          <w:szCs w:val="24"/>
          <w:lang w:val="it-IT"/>
        </w:rPr>
        <w:t>漿菌(mycoplasma)</w:t>
      </w:r>
      <w:proofErr w:type="gramStart"/>
      <w:r>
        <w:rPr>
          <w:rFonts w:ascii="標楷體" w:eastAsia="標楷體" w:hAnsi="標楷體"/>
          <w:szCs w:val="24"/>
          <w:lang w:val="it-IT"/>
        </w:rPr>
        <w:t>或披衣</w:t>
      </w:r>
      <w:proofErr w:type="gramEnd"/>
      <w:r>
        <w:rPr>
          <w:rFonts w:ascii="標楷體" w:eastAsia="標楷體" w:hAnsi="標楷體"/>
          <w:szCs w:val="24"/>
          <w:lang w:val="it-IT"/>
        </w:rPr>
        <w:t>菌(chlamydia)或退伍軍人桿菌(legionella)引起之感染、或經培養證實為macrolides有效之致病菌感染（需於病歷記載診斷依據，</w:t>
      </w:r>
      <w:proofErr w:type="gramStart"/>
      <w:r>
        <w:rPr>
          <w:rFonts w:ascii="標楷體" w:eastAsia="標楷體" w:hAnsi="標楷體"/>
          <w:szCs w:val="24"/>
          <w:lang w:val="it-IT"/>
        </w:rPr>
        <w:t>俾</w:t>
      </w:r>
      <w:proofErr w:type="gramEnd"/>
      <w:r>
        <w:rPr>
          <w:rFonts w:ascii="標楷體" w:eastAsia="標楷體" w:hAnsi="標楷體"/>
          <w:szCs w:val="24"/>
          <w:lang w:val="it-IT"/>
        </w:rPr>
        <w:t>利審查）。</w:t>
      </w:r>
    </w:p>
    <w:p w14:paraId="5EFA9D06" w14:textId="77777777" w:rsidR="00401786" w:rsidRDefault="00C64FB3" w:rsidP="0009639E">
      <w:pPr>
        <w:spacing w:line="300" w:lineRule="exact"/>
        <w:ind w:left="851" w:hanging="286"/>
      </w:pPr>
      <w:r>
        <w:rPr>
          <w:rFonts w:ascii="標楷體" w:eastAsia="標楷體" w:hAnsi="標楷體"/>
          <w:szCs w:val="24"/>
          <w:lang w:val="it-IT"/>
        </w:rPr>
        <w:t>2.</w:t>
      </w:r>
      <w:r>
        <w:rPr>
          <w:szCs w:val="24"/>
        </w:rPr>
        <w:t xml:space="preserve"> </w:t>
      </w:r>
      <w:r>
        <w:rPr>
          <w:rFonts w:ascii="標楷體" w:eastAsia="標楷體" w:hAnsi="標楷體"/>
          <w:szCs w:val="24"/>
          <w:lang w:val="it-IT"/>
        </w:rPr>
        <w:t>Erythromycin lactobionate(如Erythrocin lactobionate-I.V.)</w:t>
      </w:r>
    </w:p>
    <w:p w14:paraId="4F66E6D7" w14:textId="77777777" w:rsidR="00401786" w:rsidRDefault="00C64FB3" w:rsidP="0009639E">
      <w:pPr>
        <w:spacing w:line="300" w:lineRule="exact"/>
        <w:ind w:left="993" w:hanging="286"/>
        <w:rPr>
          <w:rFonts w:ascii="標楷體" w:eastAsia="標楷體" w:hAnsi="標楷體"/>
          <w:szCs w:val="24"/>
          <w:lang w:val="it-IT"/>
        </w:rPr>
      </w:pPr>
      <w:r>
        <w:rPr>
          <w:rFonts w:ascii="標楷體" w:eastAsia="標楷體" w:hAnsi="標楷體"/>
          <w:szCs w:val="24"/>
          <w:lang w:val="it-IT"/>
        </w:rPr>
        <w:t>(1)限用於無法口服之病患。</w:t>
      </w:r>
    </w:p>
    <w:p w14:paraId="39B2A304" w14:textId="77777777" w:rsidR="00401786" w:rsidRDefault="00C64FB3" w:rsidP="0009639E">
      <w:pPr>
        <w:spacing w:line="300" w:lineRule="exact"/>
        <w:ind w:left="993" w:hanging="286"/>
        <w:rPr>
          <w:rFonts w:ascii="標楷體" w:eastAsia="標楷體" w:hAnsi="標楷體"/>
          <w:szCs w:val="24"/>
          <w:lang w:val="it-IT"/>
        </w:rPr>
      </w:pPr>
      <w:r>
        <w:rPr>
          <w:rFonts w:ascii="標楷體" w:eastAsia="標楷體" w:hAnsi="標楷體"/>
          <w:szCs w:val="24"/>
          <w:lang w:val="it-IT"/>
        </w:rPr>
        <w:t>(2)使用期間不得超過10日。</w:t>
      </w:r>
    </w:p>
    <w:p w14:paraId="1524B349" w14:textId="77777777" w:rsidR="00401786" w:rsidRDefault="00C64FB3" w:rsidP="0009639E">
      <w:pPr>
        <w:spacing w:line="300" w:lineRule="exact"/>
        <w:ind w:left="993" w:hanging="286"/>
        <w:rPr>
          <w:rFonts w:ascii="標楷體" w:eastAsia="標楷體" w:hAnsi="標楷體"/>
          <w:szCs w:val="24"/>
          <w:lang w:val="it-IT"/>
        </w:rPr>
      </w:pPr>
      <w:r>
        <w:rPr>
          <w:rFonts w:ascii="標楷體" w:eastAsia="標楷體" w:hAnsi="標楷體"/>
          <w:szCs w:val="24"/>
          <w:lang w:val="it-IT"/>
        </w:rPr>
        <w:t>(3)若需使用高劑量（成人每日劑量大於2g）或延長治療者，需經感染症專科醫師會診確認需要使用。(110/4/1)</w:t>
      </w:r>
    </w:p>
    <w:p w14:paraId="3BFEC166" w14:textId="77777777" w:rsidR="00401786" w:rsidRDefault="00C64FB3" w:rsidP="0009639E">
      <w:pPr>
        <w:spacing w:line="300" w:lineRule="exact"/>
        <w:ind w:left="851" w:hanging="286"/>
      </w:pPr>
      <w:r>
        <w:rPr>
          <w:rFonts w:ascii="標楷體" w:eastAsia="標楷體" w:hAnsi="標楷體"/>
          <w:szCs w:val="24"/>
          <w:lang w:val="it-IT"/>
        </w:rPr>
        <w:lastRenderedPageBreak/>
        <w:t>3.</w:t>
      </w:r>
      <w:r>
        <w:rPr>
          <w:szCs w:val="24"/>
        </w:rPr>
        <w:t xml:space="preserve"> </w:t>
      </w:r>
      <w:r>
        <w:rPr>
          <w:rFonts w:ascii="標楷體" w:eastAsia="標楷體" w:hAnsi="標楷體"/>
          <w:szCs w:val="24"/>
          <w:lang w:val="it-IT"/>
        </w:rPr>
        <w:t>(1)Azithromycin</w:t>
      </w:r>
    </w:p>
    <w:p w14:paraId="374E43A4" w14:textId="77777777" w:rsidR="00401786" w:rsidRDefault="00C64FB3" w:rsidP="0009639E">
      <w:pPr>
        <w:spacing w:line="300" w:lineRule="exact"/>
        <w:ind w:left="1276" w:hanging="286"/>
        <w:rPr>
          <w:rFonts w:ascii="標楷體" w:eastAsia="標楷體" w:hAnsi="標楷體"/>
          <w:szCs w:val="24"/>
          <w:lang w:val="it-IT"/>
        </w:rPr>
      </w:pPr>
      <w:r>
        <w:rPr>
          <w:rFonts w:ascii="標楷體" w:eastAsia="標楷體" w:hAnsi="標楷體"/>
          <w:szCs w:val="24"/>
          <w:lang w:val="it-IT"/>
        </w:rPr>
        <w:t>a.</w:t>
      </w:r>
      <w:proofErr w:type="gramStart"/>
      <w:r>
        <w:rPr>
          <w:rFonts w:ascii="標楷體" w:eastAsia="標楷體" w:hAnsi="標楷體"/>
          <w:szCs w:val="24"/>
          <w:lang w:val="it-IT"/>
        </w:rPr>
        <w:t>錠劑膠囊</w:t>
      </w:r>
      <w:proofErr w:type="gramEnd"/>
      <w:r>
        <w:rPr>
          <w:rFonts w:ascii="標楷體" w:eastAsia="標楷體" w:hAnsi="標楷體"/>
          <w:szCs w:val="24"/>
          <w:lang w:val="it-IT"/>
        </w:rPr>
        <w:t>劑(如Zithromax capsules)使用期間不得超過3日，每日最大劑量500mg。對於「禽結核桿菌(Mycobacterium avium‐ intracellulare complex, MAC)」感染患者，使用期限及劑量則不受上述之限制。(100/5/1)</w:t>
      </w:r>
    </w:p>
    <w:p w14:paraId="5085BF65" w14:textId="77777777" w:rsidR="00401786" w:rsidRDefault="00C64FB3" w:rsidP="0009639E">
      <w:pPr>
        <w:spacing w:line="300" w:lineRule="exact"/>
        <w:ind w:left="1276" w:hanging="286"/>
        <w:rPr>
          <w:rFonts w:ascii="標楷體" w:eastAsia="標楷體" w:hAnsi="標楷體"/>
          <w:szCs w:val="24"/>
          <w:lang w:val="it-IT"/>
        </w:rPr>
      </w:pPr>
      <w:r>
        <w:rPr>
          <w:rFonts w:ascii="標楷體" w:eastAsia="標楷體" w:hAnsi="標楷體"/>
          <w:szCs w:val="24"/>
          <w:lang w:val="it-IT"/>
        </w:rPr>
        <w:t>b.口服液劑(如Zithromax Powder for Oral Suspension)使用期間不得超過3日，每日最大劑量500mg。(100/5/1)</w:t>
      </w:r>
    </w:p>
    <w:p w14:paraId="360C7735" w14:textId="77777777" w:rsidR="00401786" w:rsidRDefault="00C64FB3" w:rsidP="0009639E">
      <w:pPr>
        <w:spacing w:line="300" w:lineRule="exact"/>
        <w:ind w:left="1134" w:hanging="286"/>
      </w:pPr>
      <w:r>
        <w:rPr>
          <w:rFonts w:ascii="標楷體" w:eastAsia="標楷體" w:hAnsi="標楷體"/>
          <w:szCs w:val="24"/>
          <w:lang w:val="it-IT"/>
        </w:rPr>
        <w:t>(2)Azithromycin</w:t>
      </w:r>
      <w:proofErr w:type="gramStart"/>
      <w:r>
        <w:rPr>
          <w:rFonts w:ascii="標楷體" w:eastAsia="標楷體" w:hAnsi="標楷體"/>
          <w:szCs w:val="24"/>
          <w:lang w:val="it-IT"/>
        </w:rPr>
        <w:t>長效製劑</w:t>
      </w:r>
      <w:proofErr w:type="gramEnd"/>
      <w:r>
        <w:rPr>
          <w:rFonts w:ascii="標楷體" w:eastAsia="標楷體" w:hAnsi="標楷體"/>
          <w:szCs w:val="24"/>
          <w:lang w:val="it-IT"/>
        </w:rPr>
        <w:t>(如Zmax extended release powder for oral suspension)</w:t>
      </w:r>
      <w:proofErr w:type="gramStart"/>
      <w:r>
        <w:rPr>
          <w:rFonts w:ascii="標楷體" w:eastAsia="標楷體" w:hAnsi="標楷體"/>
          <w:szCs w:val="24"/>
          <w:lang w:val="it-IT"/>
        </w:rPr>
        <w:t>限單次</w:t>
      </w:r>
      <w:proofErr w:type="gramEnd"/>
      <w:r>
        <w:rPr>
          <w:rFonts w:ascii="標楷體" w:eastAsia="標楷體" w:hAnsi="標楷體"/>
          <w:szCs w:val="24"/>
          <w:lang w:val="it-IT"/>
        </w:rPr>
        <w:t>投</w:t>
      </w:r>
      <w:proofErr w:type="gramStart"/>
      <w:r>
        <w:rPr>
          <w:rFonts w:ascii="標楷體" w:eastAsia="標楷體" w:hAnsi="標楷體"/>
          <w:szCs w:val="24"/>
          <w:lang w:val="it-IT"/>
        </w:rPr>
        <w:t>予</w:t>
      </w:r>
      <w:proofErr w:type="gramEnd"/>
      <w:r>
        <w:rPr>
          <w:rFonts w:ascii="標楷體" w:eastAsia="標楷體" w:hAnsi="標楷體"/>
          <w:szCs w:val="24"/>
          <w:lang w:val="it-IT"/>
        </w:rPr>
        <w:t>，每次最大劑量為2g；不受全民健康保險藥品給付規定通則八之限制。(97/12/1、100/5/1)</w:t>
      </w:r>
    </w:p>
    <w:p w14:paraId="17460D37" w14:textId="77777777" w:rsidR="00401786" w:rsidRDefault="00C64FB3" w:rsidP="0009639E">
      <w:pPr>
        <w:spacing w:line="300" w:lineRule="exact"/>
        <w:ind w:left="1134" w:hanging="567"/>
      </w:pPr>
      <w:r>
        <w:rPr>
          <w:rFonts w:ascii="標楷體" w:eastAsia="標楷體" w:hAnsi="標楷體"/>
          <w:szCs w:val="24"/>
          <w:lang w:val="it-IT"/>
        </w:rPr>
        <w:t>4.(1)Clarithromycin (</w:t>
      </w:r>
      <w:r>
        <w:rPr>
          <w:rFonts w:ascii="標楷體" w:eastAsia="標楷體" w:hAnsi="標楷體"/>
          <w:szCs w:val="24"/>
        </w:rPr>
        <w:t>如</w:t>
      </w:r>
      <w:r>
        <w:rPr>
          <w:rFonts w:ascii="標楷體" w:eastAsia="標楷體" w:hAnsi="標楷體"/>
          <w:szCs w:val="24"/>
          <w:lang w:val="it-IT"/>
        </w:rPr>
        <w:t>Klaricid Tab</w:t>
      </w:r>
      <w:r>
        <w:rPr>
          <w:rFonts w:ascii="標楷體" w:eastAsia="標楷體" w:hAnsi="標楷體"/>
          <w:szCs w:val="24"/>
        </w:rPr>
        <w:t>、</w:t>
      </w:r>
      <w:r>
        <w:rPr>
          <w:rFonts w:ascii="標楷體" w:eastAsia="標楷體" w:hAnsi="標楷體"/>
          <w:szCs w:val="24"/>
          <w:lang w:val="it-IT"/>
        </w:rPr>
        <w:t>Klaricid Paediatric Suspension)</w:t>
      </w:r>
      <w:r>
        <w:rPr>
          <w:rFonts w:ascii="標楷體" w:eastAsia="標楷體" w:hAnsi="標楷體"/>
          <w:szCs w:val="24"/>
        </w:rPr>
        <w:t>使用期間不得超過</w:t>
      </w:r>
      <w:r>
        <w:rPr>
          <w:rFonts w:ascii="標楷體" w:eastAsia="標楷體" w:hAnsi="標楷體"/>
          <w:szCs w:val="24"/>
          <w:lang w:val="it-IT"/>
        </w:rPr>
        <w:t>10</w:t>
      </w:r>
      <w:r>
        <w:rPr>
          <w:rFonts w:ascii="標楷體" w:eastAsia="標楷體" w:hAnsi="標楷體"/>
          <w:szCs w:val="24"/>
        </w:rPr>
        <w:t>日</w:t>
      </w:r>
      <w:r>
        <w:rPr>
          <w:rFonts w:ascii="標楷體" w:eastAsia="標楷體" w:hAnsi="標楷體"/>
          <w:szCs w:val="24"/>
          <w:lang w:val="it-IT"/>
        </w:rPr>
        <w:t>，</w:t>
      </w:r>
      <w:r>
        <w:rPr>
          <w:rFonts w:ascii="標楷體" w:eastAsia="標楷體" w:hAnsi="標楷體"/>
          <w:szCs w:val="24"/>
        </w:rPr>
        <w:t>每日最大劑量</w:t>
      </w:r>
      <w:r>
        <w:rPr>
          <w:rFonts w:ascii="標楷體" w:eastAsia="標楷體" w:hAnsi="標楷體"/>
          <w:szCs w:val="24"/>
          <w:lang w:val="it-IT"/>
        </w:rPr>
        <w:t>500mg</w:t>
      </w:r>
      <w:r>
        <w:rPr>
          <w:rFonts w:ascii="標楷體" w:eastAsia="標楷體" w:hAnsi="標楷體"/>
          <w:szCs w:val="24"/>
        </w:rPr>
        <w:t>。對於「非結核分枝</w:t>
      </w:r>
      <w:r>
        <w:rPr>
          <w:rFonts w:ascii="標楷體" w:eastAsia="標楷體" w:hAnsi="標楷體"/>
          <w:szCs w:val="24"/>
          <w:lang w:val="it-IT"/>
        </w:rPr>
        <w:t>(</w:t>
      </w:r>
      <w:r>
        <w:rPr>
          <w:rFonts w:ascii="標楷體" w:eastAsia="標楷體" w:hAnsi="標楷體"/>
          <w:szCs w:val="24"/>
        </w:rPr>
        <w:t>耐酸</w:t>
      </w:r>
      <w:r>
        <w:rPr>
          <w:rFonts w:ascii="標楷體" w:eastAsia="標楷體" w:hAnsi="標楷體"/>
          <w:szCs w:val="24"/>
          <w:lang w:val="it-IT"/>
        </w:rPr>
        <w:t>)</w:t>
      </w:r>
      <w:r>
        <w:rPr>
          <w:rFonts w:ascii="標楷體" w:eastAsia="標楷體" w:hAnsi="標楷體"/>
          <w:szCs w:val="24"/>
        </w:rPr>
        <w:t>桿菌</w:t>
      </w:r>
      <w:r>
        <w:rPr>
          <w:rFonts w:ascii="標楷體" w:eastAsia="標楷體" w:hAnsi="標楷體"/>
          <w:szCs w:val="24"/>
          <w:lang w:val="it-IT"/>
        </w:rPr>
        <w:t xml:space="preserve"> (NTM) </w:t>
      </w:r>
      <w:r>
        <w:rPr>
          <w:rFonts w:ascii="標楷體" w:eastAsia="標楷體" w:hAnsi="標楷體"/>
          <w:szCs w:val="24"/>
        </w:rPr>
        <w:t>」感染患者</w:t>
      </w:r>
      <w:r>
        <w:rPr>
          <w:rFonts w:ascii="標楷體" w:eastAsia="標楷體" w:hAnsi="標楷體"/>
          <w:szCs w:val="24"/>
          <w:lang w:val="it-IT"/>
        </w:rPr>
        <w:t>，</w:t>
      </w:r>
      <w:r>
        <w:rPr>
          <w:rFonts w:ascii="標楷體" w:eastAsia="標楷體" w:hAnsi="標楷體"/>
          <w:szCs w:val="24"/>
        </w:rPr>
        <w:t>每日得使用</w:t>
      </w:r>
      <w:r>
        <w:rPr>
          <w:rFonts w:ascii="標楷體" w:eastAsia="標楷體" w:hAnsi="標楷體"/>
          <w:szCs w:val="24"/>
          <w:lang w:val="it-IT"/>
        </w:rPr>
        <w:t>1000mg，</w:t>
      </w:r>
      <w:r>
        <w:rPr>
          <w:rFonts w:ascii="標楷體" w:eastAsia="標楷體" w:hAnsi="標楷體"/>
          <w:szCs w:val="24"/>
        </w:rPr>
        <w:t>且得持續使用</w:t>
      </w:r>
      <w:r>
        <w:rPr>
          <w:rFonts w:ascii="標楷體" w:eastAsia="標楷體" w:hAnsi="標楷體"/>
          <w:szCs w:val="24"/>
          <w:lang w:val="it-IT"/>
        </w:rPr>
        <w:t>6</w:t>
      </w:r>
      <w:r>
        <w:rPr>
          <w:rFonts w:ascii="標楷體" w:eastAsia="標楷體" w:hAnsi="標楷體"/>
          <w:szCs w:val="24"/>
        </w:rPr>
        <w:t>個月以上。(93/9/1、100/5/1)</w:t>
      </w:r>
    </w:p>
    <w:p w14:paraId="7575AC1A" w14:textId="77777777" w:rsidR="00401786" w:rsidRDefault="00C64FB3" w:rsidP="0009639E">
      <w:pPr>
        <w:spacing w:line="300" w:lineRule="exact"/>
        <w:ind w:left="1134" w:hanging="333"/>
      </w:pPr>
      <w:r>
        <w:rPr>
          <w:rFonts w:ascii="標楷體" w:eastAsia="標楷體" w:hAnsi="標楷體"/>
          <w:szCs w:val="24"/>
        </w:rPr>
        <w:t>(2)Clarithromycin (如</w:t>
      </w:r>
      <w:proofErr w:type="spellStart"/>
      <w:r>
        <w:rPr>
          <w:rFonts w:ascii="標楷體" w:eastAsia="標楷體" w:hAnsi="標楷體"/>
          <w:szCs w:val="24"/>
        </w:rPr>
        <w:t>Klaricid</w:t>
      </w:r>
      <w:proofErr w:type="spellEnd"/>
      <w:r>
        <w:rPr>
          <w:rFonts w:ascii="標楷體" w:eastAsia="標楷體" w:hAnsi="標楷體"/>
          <w:szCs w:val="24"/>
        </w:rPr>
        <w:t xml:space="preserve"> Tab) 用於消化性潰瘍之胃幽門桿菌消除治療，使用期間不得超過14日。使用總量以56顆(每顆250mg)為限；依比例換算使用clarithromycin 500mg者，則使用總量以28顆為限。(98/10/1、100/5/1、111/3/1)</w:t>
      </w:r>
    </w:p>
    <w:p w14:paraId="3E585955" w14:textId="77777777" w:rsidR="00401786" w:rsidRDefault="00C64FB3" w:rsidP="0009639E">
      <w:pPr>
        <w:spacing w:line="300" w:lineRule="exact"/>
        <w:ind w:left="1134" w:hanging="333"/>
      </w:pPr>
      <w:r>
        <w:rPr>
          <w:rFonts w:ascii="標楷體" w:eastAsia="標楷體" w:hAnsi="標楷體"/>
          <w:szCs w:val="24"/>
        </w:rPr>
        <w:t>(3)</w:t>
      </w:r>
      <w:r>
        <w:rPr>
          <w:szCs w:val="24"/>
        </w:rPr>
        <w:t xml:space="preserve"> </w:t>
      </w:r>
      <w:r>
        <w:rPr>
          <w:rFonts w:ascii="標楷體" w:eastAsia="標楷體" w:hAnsi="標楷體"/>
          <w:szCs w:val="24"/>
        </w:rPr>
        <w:t>Clarithromycin (如</w:t>
      </w:r>
      <w:proofErr w:type="spellStart"/>
      <w:r>
        <w:rPr>
          <w:rFonts w:ascii="標楷體" w:eastAsia="標楷體" w:hAnsi="標楷體"/>
          <w:szCs w:val="24"/>
        </w:rPr>
        <w:t>Klaricid</w:t>
      </w:r>
      <w:proofErr w:type="spellEnd"/>
      <w:r>
        <w:rPr>
          <w:rFonts w:ascii="標楷體" w:eastAsia="標楷體" w:hAnsi="標楷體"/>
          <w:szCs w:val="24"/>
        </w:rPr>
        <w:t xml:space="preserve"> IV)(108/1/1</w:t>
      </w:r>
      <w:proofErr w:type="gramStart"/>
      <w:r>
        <w:rPr>
          <w:rFonts w:ascii="標楷體" w:eastAsia="標楷體" w:hAnsi="標楷體"/>
          <w:szCs w:val="24"/>
        </w:rPr>
        <w:t>）</w:t>
      </w:r>
      <w:proofErr w:type="gramEnd"/>
    </w:p>
    <w:p w14:paraId="5E67DD55" w14:textId="77777777" w:rsidR="00401786" w:rsidRDefault="00C64FB3" w:rsidP="0009639E">
      <w:pPr>
        <w:spacing w:line="300" w:lineRule="exact"/>
        <w:ind w:left="1050" w:hanging="83"/>
        <w:rPr>
          <w:rFonts w:ascii="標楷體" w:eastAsia="標楷體" w:hAnsi="標楷體"/>
          <w:szCs w:val="24"/>
        </w:rPr>
      </w:pPr>
      <w:r>
        <w:rPr>
          <w:rFonts w:ascii="標楷體" w:eastAsia="標楷體" w:hAnsi="標楷體"/>
          <w:szCs w:val="24"/>
        </w:rPr>
        <w:t>Ⅰ.限用於無法口服之病患。</w:t>
      </w:r>
    </w:p>
    <w:p w14:paraId="51A2DC58" w14:textId="77777777" w:rsidR="00401786" w:rsidRDefault="00C64FB3" w:rsidP="0009639E">
      <w:pPr>
        <w:spacing w:line="300" w:lineRule="exact"/>
        <w:ind w:left="1372" w:hanging="380"/>
        <w:rPr>
          <w:rFonts w:ascii="標楷體" w:eastAsia="標楷體" w:hAnsi="標楷體"/>
          <w:szCs w:val="24"/>
        </w:rPr>
      </w:pPr>
      <w:r>
        <w:rPr>
          <w:rFonts w:ascii="標楷體" w:eastAsia="標楷體" w:hAnsi="標楷體"/>
          <w:szCs w:val="24"/>
        </w:rPr>
        <w:t>Ⅱ.若需使用高劑量（成人每日劑量大於1g）或延長治療者，需經感染症專科醫師會診確認需要使用。</w:t>
      </w:r>
    </w:p>
    <w:p w14:paraId="6FEC0D55" w14:textId="77777777" w:rsidR="00401786" w:rsidRDefault="00C64FB3" w:rsidP="0009639E">
      <w:pPr>
        <w:spacing w:line="300" w:lineRule="exact"/>
        <w:ind w:left="849" w:hanging="242"/>
      </w:pPr>
      <w:r>
        <w:rPr>
          <w:rFonts w:ascii="標楷體" w:eastAsia="標楷體" w:hAnsi="標楷體"/>
          <w:szCs w:val="24"/>
        </w:rPr>
        <w:t>5.</w:t>
      </w:r>
      <w:r>
        <w:rPr>
          <w:szCs w:val="24"/>
        </w:rPr>
        <w:t xml:space="preserve"> </w:t>
      </w:r>
      <w:r>
        <w:rPr>
          <w:rFonts w:ascii="標楷體" w:eastAsia="標楷體" w:hAnsi="標楷體"/>
          <w:szCs w:val="24"/>
        </w:rPr>
        <w:t>Roxithromycin (如</w:t>
      </w:r>
      <w:proofErr w:type="spellStart"/>
      <w:r>
        <w:rPr>
          <w:rFonts w:ascii="標楷體" w:eastAsia="標楷體" w:hAnsi="標楷體"/>
          <w:szCs w:val="24"/>
        </w:rPr>
        <w:t>Rulid</w:t>
      </w:r>
      <w:proofErr w:type="spellEnd"/>
      <w:r>
        <w:rPr>
          <w:rFonts w:ascii="標楷體" w:eastAsia="標楷體" w:hAnsi="標楷體"/>
          <w:szCs w:val="24"/>
        </w:rPr>
        <w:t>)使用期間不得超過10日，每日最大劑量500mg。(100/5/1)</w:t>
      </w:r>
    </w:p>
    <w:p w14:paraId="4DC86F43" w14:textId="77777777" w:rsidR="00401786" w:rsidRDefault="00C64FB3" w:rsidP="0009639E">
      <w:pPr>
        <w:spacing w:line="300" w:lineRule="exact"/>
        <w:ind w:left="850" w:hanging="245"/>
      </w:pPr>
      <w:r>
        <w:rPr>
          <w:rFonts w:ascii="標楷體" w:eastAsia="標楷體" w:hAnsi="標楷體"/>
          <w:szCs w:val="24"/>
        </w:rPr>
        <w:t>6.</w:t>
      </w:r>
      <w:proofErr w:type="gramStart"/>
      <w:r>
        <w:rPr>
          <w:rFonts w:ascii="標楷體" w:eastAsia="標楷體" w:hAnsi="標楷體"/>
          <w:szCs w:val="24"/>
        </w:rPr>
        <w:t>本類製</w:t>
      </w:r>
      <w:proofErr w:type="gramEnd"/>
      <w:r>
        <w:rPr>
          <w:rFonts w:ascii="標楷體" w:eastAsia="標楷體" w:hAnsi="標楷體"/>
          <w:szCs w:val="24"/>
        </w:rPr>
        <w:t>劑應儘量避免合併使用其他抗生素，用於治療「非結核分枝(耐酸)桿菌 (NTM)」者不在此限。(100/5/1)</w:t>
      </w:r>
    </w:p>
    <w:p w14:paraId="1D614112"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10.5.Carbapenem</w:t>
      </w:r>
      <w:proofErr w:type="gramStart"/>
      <w:r>
        <w:rPr>
          <w:rFonts w:ascii="標楷體" w:eastAsia="標楷體" w:hAnsi="標楷體"/>
        </w:rPr>
        <w:t>類抗微生物</w:t>
      </w:r>
      <w:proofErr w:type="gramEnd"/>
      <w:r>
        <w:rPr>
          <w:rFonts w:ascii="標楷體" w:eastAsia="標楷體" w:hAnsi="標楷體"/>
        </w:rPr>
        <w:t>製劑：</w:t>
      </w:r>
    </w:p>
    <w:p w14:paraId="370A2050"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10.5.1.Imipenem + </w:t>
      </w:r>
      <w:proofErr w:type="spellStart"/>
      <w:r>
        <w:rPr>
          <w:rFonts w:ascii="標楷體" w:eastAsia="標楷體" w:hAnsi="標楷體"/>
        </w:rPr>
        <w:t>cilastatin</w:t>
      </w:r>
      <w:proofErr w:type="spellEnd"/>
      <w:r>
        <w:rPr>
          <w:rFonts w:ascii="標楷體" w:eastAsia="標楷體" w:hAnsi="標楷體"/>
        </w:rPr>
        <w:t>（如</w:t>
      </w:r>
      <w:proofErr w:type="spellStart"/>
      <w:r>
        <w:rPr>
          <w:rFonts w:ascii="標楷體" w:eastAsia="標楷體" w:hAnsi="標楷體"/>
        </w:rPr>
        <w:t>Tienam</w:t>
      </w:r>
      <w:proofErr w:type="spellEnd"/>
      <w:r>
        <w:rPr>
          <w:rFonts w:ascii="標楷體" w:eastAsia="標楷體" w:hAnsi="標楷體"/>
        </w:rPr>
        <w:t>）；meropenem（如</w:t>
      </w:r>
      <w:proofErr w:type="spellStart"/>
      <w:r>
        <w:rPr>
          <w:rFonts w:ascii="標楷體" w:eastAsia="標楷體" w:hAnsi="標楷體"/>
        </w:rPr>
        <w:t>Mepem</w:t>
      </w:r>
      <w:proofErr w:type="spellEnd"/>
      <w:r>
        <w:rPr>
          <w:rFonts w:ascii="標楷體" w:eastAsia="標楷體" w:hAnsi="標楷體"/>
        </w:rPr>
        <w:t>）：(87/11/1、93/2/1、93/5/1、99/5/1、99/8/1)</w:t>
      </w:r>
    </w:p>
    <w:p w14:paraId="1A866F9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1.經細菌培養證實有意義之致病菌且對其他抗微生物製</w:t>
      </w:r>
      <w:proofErr w:type="gramStart"/>
      <w:r>
        <w:rPr>
          <w:rFonts w:ascii="標楷體" w:eastAsia="標楷體" w:hAnsi="標楷體"/>
        </w:rPr>
        <w:t>劑均具抗藥性</w:t>
      </w:r>
      <w:proofErr w:type="gramEnd"/>
      <w:r>
        <w:rPr>
          <w:rFonts w:ascii="標楷體" w:eastAsia="標楷體" w:hAnsi="標楷體"/>
        </w:rPr>
        <w:t>，而對carbapenem具有感受性 (sensitivity)。</w:t>
      </w:r>
    </w:p>
    <w:p w14:paraId="32729A4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2.經細菌培養，發現有意義之致病菌對carbapenem及其他抗微生物製劑具有感受性，但病患對其他抗微生物製劑過敏無其他藥物可供選用時。</w:t>
      </w:r>
    </w:p>
    <w:p w14:paraId="7194E9F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3.臨床上為嚴重之細菌感染，且經</w:t>
      </w:r>
      <w:proofErr w:type="gramStart"/>
      <w:r>
        <w:rPr>
          <w:rFonts w:ascii="標楷體" w:eastAsia="標楷體" w:hAnsi="標楷體"/>
        </w:rPr>
        <w:t>其他廣效性</w:t>
      </w:r>
      <w:proofErr w:type="gramEnd"/>
      <w:r>
        <w:rPr>
          <w:rFonts w:ascii="標楷體" w:eastAsia="標楷體" w:hAnsi="標楷體"/>
        </w:rPr>
        <w:t>的非第一線抗微生物製劑治療仍無法控制病情者。</w:t>
      </w:r>
    </w:p>
    <w:p w14:paraId="78E0523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4.經感染症專科醫師會診，確認有</w:t>
      </w:r>
      <w:proofErr w:type="gramStart"/>
      <w:r>
        <w:rPr>
          <w:rFonts w:ascii="標楷體" w:eastAsia="標楷體" w:hAnsi="標楷體"/>
        </w:rPr>
        <w:t>感染症需使用者</w:t>
      </w:r>
      <w:proofErr w:type="gramEnd"/>
      <w:r>
        <w:rPr>
          <w:rFonts w:ascii="標楷體" w:eastAsia="標楷體" w:hAnsi="標楷體"/>
        </w:rPr>
        <w:t xml:space="preserve"> (申報費用時需檢附會診紀錄及相關之病歷資料)。(93/5/1)</w:t>
      </w:r>
    </w:p>
    <w:p w14:paraId="50BFE046"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10.5.2.Ertapenem</w:t>
      </w:r>
      <w:proofErr w:type="gramStart"/>
      <w:r>
        <w:rPr>
          <w:rFonts w:ascii="標楷體" w:eastAsia="標楷體" w:hAnsi="標楷體"/>
        </w:rPr>
        <w:t>（</w:t>
      </w:r>
      <w:proofErr w:type="gramEnd"/>
      <w:r>
        <w:rPr>
          <w:rFonts w:ascii="標楷體" w:eastAsia="標楷體" w:hAnsi="標楷體"/>
        </w:rPr>
        <w:t>如</w:t>
      </w:r>
      <w:proofErr w:type="spellStart"/>
      <w:r>
        <w:rPr>
          <w:rFonts w:ascii="標楷體" w:eastAsia="標楷體" w:hAnsi="標楷體"/>
        </w:rPr>
        <w:t>Invanz</w:t>
      </w:r>
      <w:proofErr w:type="spellEnd"/>
      <w:r>
        <w:rPr>
          <w:rFonts w:ascii="標楷體" w:eastAsia="標楷體" w:hAnsi="標楷體"/>
        </w:rPr>
        <w:t xml:space="preserve"> inj.）：(93/5/1、96/12/1)</w:t>
      </w:r>
    </w:p>
    <w:p w14:paraId="6C0BCFD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1.臨床上為中、重度細菌感染，且經其他抗微生物製劑治療仍無法控制病情者，但限用於：</w:t>
      </w:r>
    </w:p>
    <w:p w14:paraId="1C317952"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(1)複雜的腹腔內感染</w:t>
      </w:r>
    </w:p>
    <w:p w14:paraId="31080F57"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(2)感染性肺炎</w:t>
      </w:r>
    </w:p>
    <w:p w14:paraId="1D413A33"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(3)急性骨盆感染</w:t>
      </w:r>
    </w:p>
    <w:p w14:paraId="6A6275D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2.經感染症專科醫師會診，確認有</w:t>
      </w:r>
      <w:proofErr w:type="gramStart"/>
      <w:r>
        <w:rPr>
          <w:rFonts w:ascii="標楷體" w:eastAsia="標楷體" w:hAnsi="標楷體"/>
        </w:rPr>
        <w:t>感染症需使用者</w:t>
      </w:r>
      <w:proofErr w:type="gramEnd"/>
      <w:r>
        <w:rPr>
          <w:rFonts w:ascii="標楷體" w:eastAsia="標楷體" w:hAnsi="標楷體"/>
        </w:rPr>
        <w:t>（申報費用時需檢附會診紀錄及相關之病歷資料）。</w:t>
      </w:r>
    </w:p>
    <w:p w14:paraId="5E4FA59A"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10.5.3.Doripenem (如</w:t>
      </w:r>
      <w:proofErr w:type="spellStart"/>
      <w:r>
        <w:rPr>
          <w:rFonts w:ascii="標楷體" w:eastAsia="標楷體" w:hAnsi="標楷體"/>
        </w:rPr>
        <w:t>Finibax</w:t>
      </w:r>
      <w:proofErr w:type="spellEnd"/>
      <w:r>
        <w:rPr>
          <w:rFonts w:ascii="標楷體" w:eastAsia="標楷體" w:hAnsi="標楷體"/>
        </w:rPr>
        <w:t>)：(99/8/1)</w:t>
      </w:r>
    </w:p>
    <w:p w14:paraId="3090DF6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1.經細菌培養證實有意義之致病菌且對其他抗微生物製</w:t>
      </w:r>
      <w:proofErr w:type="gramStart"/>
      <w:r>
        <w:rPr>
          <w:rFonts w:ascii="標楷體" w:eastAsia="標楷體" w:hAnsi="標楷體"/>
        </w:rPr>
        <w:t>劑均具抗藥性</w:t>
      </w:r>
      <w:proofErr w:type="gramEnd"/>
      <w:r>
        <w:rPr>
          <w:rFonts w:ascii="標楷體" w:eastAsia="標楷體" w:hAnsi="標楷體"/>
        </w:rPr>
        <w:t>或對其他具有感受性抗微生物製劑過敏，而對carbapenem具有感受性(sensitivity)之複雜性泌尿道感染(包括腎盂腎炎)及複雜性腹腔內感染。</w:t>
      </w:r>
    </w:p>
    <w:p w14:paraId="40D695A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2.臨床上為嚴重之複雜性泌尿道感染(包括腎盂腎炎)及複雜性腹腔內感染，且經</w:t>
      </w:r>
      <w:proofErr w:type="gramStart"/>
      <w:r>
        <w:rPr>
          <w:rFonts w:ascii="標楷體" w:eastAsia="標楷體" w:hAnsi="標楷體"/>
        </w:rPr>
        <w:t>其他</w:t>
      </w:r>
      <w:r>
        <w:rPr>
          <w:rFonts w:ascii="標楷體" w:eastAsia="標楷體" w:hAnsi="標楷體"/>
        </w:rPr>
        <w:lastRenderedPageBreak/>
        <w:t>廣效性</w:t>
      </w:r>
      <w:proofErr w:type="gramEnd"/>
      <w:r>
        <w:rPr>
          <w:rFonts w:ascii="標楷體" w:eastAsia="標楷體" w:hAnsi="標楷體"/>
        </w:rPr>
        <w:t>的非第一線抗微生物製劑治療仍無法控制病情者。</w:t>
      </w:r>
    </w:p>
    <w:p w14:paraId="03382CD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3.經感染症專科醫師會診，確認有</w:t>
      </w:r>
      <w:proofErr w:type="gramStart"/>
      <w:r>
        <w:rPr>
          <w:rFonts w:ascii="標楷體" w:eastAsia="標楷體" w:hAnsi="標楷體"/>
        </w:rPr>
        <w:t>感染症需使用者</w:t>
      </w:r>
      <w:proofErr w:type="gramEnd"/>
      <w:r>
        <w:rPr>
          <w:rFonts w:ascii="標楷體" w:eastAsia="標楷體" w:hAnsi="標楷體"/>
        </w:rPr>
        <w:t>(申報費用時需檢附會診紀錄及相關之病歷資料)。</w:t>
      </w:r>
    </w:p>
    <w:p w14:paraId="1D1C1F2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10.5.4.Imipenem＋</w:t>
      </w:r>
      <w:proofErr w:type="spellStart"/>
      <w:r>
        <w:rPr>
          <w:rFonts w:ascii="標楷體" w:eastAsia="標楷體" w:hAnsi="標楷體"/>
          <w:color w:val="000000"/>
        </w:rPr>
        <w:t>cilastatin</w:t>
      </w:r>
      <w:proofErr w:type="spellEnd"/>
      <w:r>
        <w:rPr>
          <w:rFonts w:ascii="標楷體" w:eastAsia="標楷體" w:hAnsi="標楷體"/>
          <w:color w:val="000000"/>
        </w:rPr>
        <w:t>＋</w:t>
      </w:r>
      <w:proofErr w:type="spellStart"/>
      <w:r>
        <w:rPr>
          <w:rFonts w:ascii="標楷體" w:eastAsia="標楷體" w:hAnsi="標楷體"/>
          <w:color w:val="000000"/>
        </w:rPr>
        <w:t>relebactam</w:t>
      </w:r>
      <w:proofErr w:type="spellEnd"/>
      <w:r>
        <w:rPr>
          <w:rFonts w:ascii="標楷體" w:eastAsia="標楷體" w:hAnsi="標楷體"/>
          <w:color w:val="000000"/>
        </w:rPr>
        <w:t xml:space="preserve"> (如</w:t>
      </w:r>
      <w:proofErr w:type="spellStart"/>
      <w:r>
        <w:rPr>
          <w:rFonts w:ascii="標楷體" w:eastAsia="標楷體" w:hAnsi="標楷體"/>
          <w:color w:val="000000"/>
        </w:rPr>
        <w:t>Recarbrio</w:t>
      </w:r>
      <w:proofErr w:type="spellEnd"/>
      <w:r>
        <w:rPr>
          <w:rFonts w:ascii="標楷體" w:eastAsia="標楷體" w:hAnsi="標楷體"/>
          <w:color w:val="000000"/>
        </w:rPr>
        <w:t>)：(114/1/1</w:t>
      </w:r>
      <w:proofErr w:type="gramStart"/>
      <w:r>
        <w:rPr>
          <w:rFonts w:ascii="標楷體" w:eastAsia="標楷體" w:hAnsi="標楷體"/>
          <w:color w:val="000000"/>
        </w:rPr>
        <w:t>）</w:t>
      </w:r>
      <w:proofErr w:type="gramEnd"/>
    </w:p>
    <w:p w14:paraId="5AE3CAC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1.治療18歲以上成人，患有對carbapenem有抗藥性且對imipenem/</w:t>
      </w:r>
      <w:proofErr w:type="spellStart"/>
      <w:r>
        <w:rPr>
          <w:rFonts w:ascii="標楷體" w:eastAsia="標楷體" w:hAnsi="標楷體"/>
          <w:color w:val="000000"/>
        </w:rPr>
        <w:t>cilastatin</w:t>
      </w:r>
      <w:proofErr w:type="spellEnd"/>
      <w:r>
        <w:rPr>
          <w:rFonts w:ascii="標楷體" w:eastAsia="標楷體" w:hAnsi="標楷體"/>
          <w:color w:val="000000"/>
        </w:rPr>
        <w:t>/</w:t>
      </w:r>
      <w:proofErr w:type="spellStart"/>
      <w:r>
        <w:rPr>
          <w:rFonts w:ascii="標楷體" w:eastAsia="標楷體" w:hAnsi="標楷體"/>
          <w:color w:val="000000"/>
        </w:rPr>
        <w:t>relebactam</w:t>
      </w:r>
      <w:proofErr w:type="spellEnd"/>
      <w:r>
        <w:rPr>
          <w:rFonts w:ascii="標楷體" w:eastAsia="標楷體" w:hAnsi="標楷體"/>
          <w:color w:val="000000"/>
        </w:rPr>
        <w:t>有感受性的致病菌引起的以下感染症：</w:t>
      </w:r>
    </w:p>
    <w:p w14:paraId="6FE5FF57" w14:textId="77777777" w:rsidR="00401786" w:rsidRDefault="00C64FB3" w:rsidP="0009639E">
      <w:pPr>
        <w:spacing w:line="300" w:lineRule="exact"/>
        <w:ind w:left="1133" w:hanging="322"/>
      </w:pPr>
      <w:r>
        <w:rPr>
          <w:rFonts w:ascii="標楷體" w:eastAsia="標楷體" w:hAnsi="標楷體"/>
          <w:color w:val="000000"/>
        </w:rPr>
        <w:t>(1)複雜性</w:t>
      </w:r>
      <w:r>
        <w:rPr>
          <w:rFonts w:ascii="標楷體" w:eastAsia="標楷體" w:hAnsi="標楷體"/>
        </w:rPr>
        <w:t>腹腔內感染。</w:t>
      </w:r>
    </w:p>
    <w:p w14:paraId="65819368"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(2)複雜性泌尿道感染。</w:t>
      </w:r>
    </w:p>
    <w:p w14:paraId="3700DEB7" w14:textId="77777777" w:rsidR="00401786" w:rsidRDefault="00C64FB3" w:rsidP="0009639E">
      <w:pPr>
        <w:spacing w:line="300" w:lineRule="exact"/>
        <w:ind w:left="1133" w:hanging="322"/>
      </w:pPr>
      <w:r>
        <w:rPr>
          <w:rFonts w:ascii="標楷體" w:eastAsia="標楷體" w:hAnsi="標楷體"/>
        </w:rPr>
        <w:t>(3)院內感</w:t>
      </w:r>
      <w:r>
        <w:rPr>
          <w:rFonts w:ascii="標楷體" w:eastAsia="標楷體" w:hAnsi="標楷體"/>
          <w:color w:val="000000"/>
        </w:rPr>
        <w:t>染型肺炎。</w:t>
      </w:r>
    </w:p>
    <w:p w14:paraId="376CD578" w14:textId="77777777" w:rsidR="00401786" w:rsidRDefault="00C64FB3" w:rsidP="0009639E">
      <w:pPr>
        <w:spacing w:line="300" w:lineRule="exact"/>
        <w:ind w:left="811" w:hanging="245"/>
      </w:pPr>
      <w:r>
        <w:rPr>
          <w:rFonts w:ascii="標楷體" w:eastAsia="標楷體" w:hAnsi="標楷體"/>
          <w:color w:val="000000"/>
        </w:rPr>
        <w:t>2.需經會診感染科醫師同意後使用，申報費用時需檢附會診紀錄及相關之病歷資料。</w:t>
      </w:r>
    </w:p>
    <w:p w14:paraId="65461EE7"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10.6.抗黴菌劑  Antifungal drugs</w:t>
      </w:r>
    </w:p>
    <w:p w14:paraId="4E1C7A9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 Fluconazole</w:t>
      </w:r>
    </w:p>
    <w:p w14:paraId="35985B5C"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10.6.1.1.Fluconazole</w:t>
      </w:r>
      <w:proofErr w:type="gramStart"/>
      <w:r>
        <w:rPr>
          <w:rFonts w:ascii="標楷體" w:eastAsia="標楷體" w:hAnsi="標楷體"/>
        </w:rPr>
        <w:t>錠劑膠囊</w:t>
      </w:r>
      <w:proofErr w:type="gramEnd"/>
      <w:r>
        <w:rPr>
          <w:rFonts w:ascii="標楷體" w:eastAsia="標楷體" w:hAnsi="標楷體"/>
        </w:rPr>
        <w:t>劑（如Diflucan oral）：（85/10/1、87/4/1、108/12/1）</w:t>
      </w:r>
    </w:p>
    <w:p w14:paraId="30F5A41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5AA53E7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1.全身黴菌感染之治療。</w:t>
      </w:r>
    </w:p>
    <w:p w14:paraId="1059CD2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2.免疫不全病例，治療或預防黴菌感染時使用。</w:t>
      </w:r>
    </w:p>
    <w:p w14:paraId="601FD89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3.非</w:t>
      </w:r>
      <w:proofErr w:type="gramStart"/>
      <w:r>
        <w:rPr>
          <w:rFonts w:ascii="標楷體" w:eastAsia="標楷體" w:hAnsi="標楷體"/>
        </w:rPr>
        <w:t>愛滋病隱</w:t>
      </w:r>
      <w:proofErr w:type="gramEnd"/>
      <w:r>
        <w:rPr>
          <w:rFonts w:ascii="標楷體" w:eastAsia="標楷體" w:hAnsi="標楷體"/>
        </w:rPr>
        <w:t>球菌腦膜炎患者使用，原則上使用6到8</w:t>
      </w:r>
      <w:proofErr w:type="gramStart"/>
      <w:r>
        <w:rPr>
          <w:rFonts w:ascii="標楷體" w:eastAsia="標楷體" w:hAnsi="標楷體"/>
        </w:rPr>
        <w:t>週</w:t>
      </w:r>
      <w:proofErr w:type="gramEnd"/>
      <w:r>
        <w:rPr>
          <w:rFonts w:ascii="標楷體" w:eastAsia="標楷體" w:hAnsi="標楷體"/>
        </w:rPr>
        <w:t>，視病人臨床反應，抗原效價及培養結果</w:t>
      </w:r>
      <w:proofErr w:type="gramStart"/>
      <w:r>
        <w:rPr>
          <w:rFonts w:ascii="標楷體" w:eastAsia="標楷體" w:hAnsi="標楷體"/>
        </w:rPr>
        <w:t>調整療期</w:t>
      </w:r>
      <w:proofErr w:type="gramEnd"/>
      <w:r>
        <w:rPr>
          <w:rFonts w:ascii="標楷體" w:eastAsia="標楷體" w:hAnsi="標楷體"/>
        </w:rPr>
        <w:t>，而治黴菌藥物之</w:t>
      </w:r>
      <w:proofErr w:type="gramStart"/>
      <w:r>
        <w:rPr>
          <w:rFonts w:ascii="標楷體" w:eastAsia="標楷體" w:hAnsi="標楷體"/>
        </w:rPr>
        <w:t>終止以效價</w:t>
      </w:r>
      <w:proofErr w:type="gramEnd"/>
      <w:r>
        <w:rPr>
          <w:rFonts w:ascii="標楷體" w:eastAsia="標楷體" w:hAnsi="標楷體"/>
        </w:rPr>
        <w:t>下降四倍及兩次培養陰性為原則。</w:t>
      </w:r>
    </w:p>
    <w:p w14:paraId="40C4CBA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4.用於念珠性陰道炎，限頑固性疾病或無性經驗病人無法</w:t>
      </w:r>
      <w:proofErr w:type="gramStart"/>
      <w:r>
        <w:rPr>
          <w:rFonts w:ascii="標楷體" w:eastAsia="標楷體" w:hAnsi="標楷體"/>
        </w:rPr>
        <w:t>使用塞劑治療</w:t>
      </w:r>
      <w:proofErr w:type="gramEnd"/>
      <w:r>
        <w:rPr>
          <w:rFonts w:ascii="標楷體" w:eastAsia="標楷體" w:hAnsi="標楷體"/>
        </w:rPr>
        <w:t>者單一劑量使用。</w:t>
      </w:r>
    </w:p>
    <w:p w14:paraId="58C5CBB7"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10.6.1.2.Fluconazole注射劑（如Diflucan </w:t>
      </w:r>
      <w:proofErr w:type="spellStart"/>
      <w:r>
        <w:rPr>
          <w:rFonts w:ascii="標楷體" w:eastAsia="標楷體" w:hAnsi="標楷體"/>
        </w:rPr>
        <w:t>inj</w:t>
      </w:r>
      <w:proofErr w:type="spellEnd"/>
      <w:r>
        <w:rPr>
          <w:rFonts w:ascii="標楷體" w:eastAsia="標楷體" w:hAnsi="標楷體"/>
        </w:rPr>
        <w:t>）：（85/10/1、108/12/1）</w:t>
      </w:r>
    </w:p>
    <w:p w14:paraId="37250399"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2207CF7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1.已證實為全身性黴菌感染(經組織或培養證實)病例使用。</w:t>
      </w:r>
    </w:p>
    <w:p w14:paraId="20ADC0C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2.非</w:t>
      </w:r>
      <w:proofErr w:type="gramStart"/>
      <w:r>
        <w:rPr>
          <w:rFonts w:ascii="標楷體" w:eastAsia="標楷體" w:hAnsi="標楷體"/>
        </w:rPr>
        <w:t>愛滋病隱</w:t>
      </w:r>
      <w:proofErr w:type="gramEnd"/>
      <w:r>
        <w:rPr>
          <w:rFonts w:ascii="標楷體" w:eastAsia="標楷體" w:hAnsi="標楷體"/>
        </w:rPr>
        <w:t>球菌腦膜炎患者使用，原則上使用6到8</w:t>
      </w:r>
      <w:proofErr w:type="gramStart"/>
      <w:r>
        <w:rPr>
          <w:rFonts w:ascii="標楷體" w:eastAsia="標楷體" w:hAnsi="標楷體"/>
        </w:rPr>
        <w:t>週</w:t>
      </w:r>
      <w:proofErr w:type="gramEnd"/>
      <w:r>
        <w:rPr>
          <w:rFonts w:ascii="標楷體" w:eastAsia="標楷體" w:hAnsi="標楷體"/>
        </w:rPr>
        <w:t>，視病人臨床反應，抗原效價及培養結果</w:t>
      </w:r>
      <w:proofErr w:type="gramStart"/>
      <w:r>
        <w:rPr>
          <w:rFonts w:ascii="標楷體" w:eastAsia="標楷體" w:hAnsi="標楷體"/>
        </w:rPr>
        <w:t>調整療期</w:t>
      </w:r>
      <w:proofErr w:type="gramEnd"/>
      <w:r>
        <w:rPr>
          <w:rFonts w:ascii="標楷體" w:eastAsia="標楷體" w:hAnsi="標楷體"/>
        </w:rPr>
        <w:t>，而治黴菌藥物之</w:t>
      </w:r>
      <w:proofErr w:type="gramStart"/>
      <w:r>
        <w:rPr>
          <w:rFonts w:ascii="標楷體" w:eastAsia="標楷體" w:hAnsi="標楷體"/>
        </w:rPr>
        <w:t>終止以效價</w:t>
      </w:r>
      <w:proofErr w:type="gramEnd"/>
      <w:r>
        <w:rPr>
          <w:rFonts w:ascii="標楷體" w:eastAsia="標楷體" w:hAnsi="標楷體"/>
        </w:rPr>
        <w:t>下降四倍及兩次培養陰性為原則。</w:t>
      </w:r>
    </w:p>
    <w:p w14:paraId="44C9318A"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10.6.1.3. Fluconazole口服液劑（如</w:t>
      </w:r>
      <w:proofErr w:type="spellStart"/>
      <w:r>
        <w:rPr>
          <w:rFonts w:ascii="標楷體" w:eastAsia="標楷體" w:hAnsi="標楷體"/>
        </w:rPr>
        <w:t>Fluzole</w:t>
      </w:r>
      <w:proofErr w:type="spellEnd"/>
      <w:r>
        <w:rPr>
          <w:rFonts w:ascii="標楷體" w:eastAsia="標楷體" w:hAnsi="標楷體"/>
        </w:rPr>
        <w:t xml:space="preserve"> powder for oral suspension）：（108/12/1、111/2/1）</w:t>
      </w:r>
    </w:p>
    <w:p w14:paraId="757E4B27" w14:textId="77777777" w:rsidR="00401786" w:rsidRDefault="00C64FB3" w:rsidP="0009639E">
      <w:pPr>
        <w:spacing w:line="300" w:lineRule="exact"/>
        <w:ind w:left="912" w:hanging="386"/>
      </w:pPr>
      <w:r>
        <w:rPr>
          <w:rFonts w:ascii="標楷體" w:eastAsia="標楷體" w:hAnsi="標楷體"/>
        </w:rPr>
        <w:t>1.</w:t>
      </w:r>
      <w:r>
        <w:t xml:space="preserve"> </w:t>
      </w:r>
      <w:r>
        <w:rPr>
          <w:rFonts w:ascii="標楷體" w:eastAsia="標楷體" w:hAnsi="標楷體"/>
        </w:rPr>
        <w:t>限用於12歲以下或吞嚥困難患者，</w:t>
      </w:r>
      <w:proofErr w:type="gramStart"/>
      <w:r>
        <w:rPr>
          <w:rFonts w:ascii="標楷體" w:eastAsia="標楷體" w:hAnsi="標楷體"/>
        </w:rPr>
        <w:t>併</w:t>
      </w:r>
      <w:proofErr w:type="gramEnd"/>
      <w:r>
        <w:rPr>
          <w:rFonts w:ascii="標楷體" w:eastAsia="標楷體" w:hAnsi="標楷體"/>
        </w:rPr>
        <w:t>下列條件之</w:t>
      </w:r>
      <w:proofErr w:type="gramStart"/>
      <w:r>
        <w:rPr>
          <w:rFonts w:ascii="標楷體" w:eastAsia="標楷體" w:hAnsi="標楷體"/>
        </w:rPr>
        <w:t>一</w:t>
      </w:r>
      <w:proofErr w:type="gramEnd"/>
      <w:r>
        <w:rPr>
          <w:rFonts w:ascii="標楷體" w:eastAsia="標楷體" w:hAnsi="標楷體"/>
        </w:rPr>
        <w:t>使用(111/2/1</w:t>
      </w:r>
      <w:proofErr w:type="gramStart"/>
      <w:r>
        <w:rPr>
          <w:rFonts w:ascii="標楷體" w:eastAsia="標楷體" w:hAnsi="標楷體"/>
        </w:rPr>
        <w:t>）</w:t>
      </w:r>
      <w:proofErr w:type="gramEnd"/>
      <w:r>
        <w:rPr>
          <w:rFonts w:ascii="標楷體" w:eastAsia="標楷體" w:hAnsi="標楷體"/>
        </w:rPr>
        <w:t>：</w:t>
      </w:r>
    </w:p>
    <w:p w14:paraId="09161713" w14:textId="77777777" w:rsidR="00401786" w:rsidRDefault="00C64FB3" w:rsidP="0009639E">
      <w:pPr>
        <w:spacing w:line="300" w:lineRule="exact"/>
        <w:ind w:left="1152" w:hanging="386"/>
        <w:rPr>
          <w:rFonts w:ascii="標楷體" w:eastAsia="標楷體" w:hAnsi="標楷體"/>
        </w:rPr>
      </w:pPr>
      <w:r>
        <w:rPr>
          <w:rFonts w:ascii="標楷體" w:eastAsia="標楷體" w:hAnsi="標楷體"/>
        </w:rPr>
        <w:t>念珠球菌局部或全身感染、</w:t>
      </w:r>
      <w:proofErr w:type="gramStart"/>
      <w:r>
        <w:rPr>
          <w:rFonts w:ascii="標楷體" w:eastAsia="標楷體" w:hAnsi="標楷體"/>
        </w:rPr>
        <w:t>囊珠菌</w:t>
      </w:r>
      <w:proofErr w:type="gramEnd"/>
      <w:r>
        <w:rPr>
          <w:rFonts w:ascii="標楷體" w:eastAsia="標楷體" w:hAnsi="標楷體"/>
        </w:rPr>
        <w:t>感染。</w:t>
      </w:r>
    </w:p>
    <w:p w14:paraId="2F7FE9C7" w14:textId="77777777" w:rsidR="00401786" w:rsidRDefault="00C64FB3" w:rsidP="0009639E">
      <w:pPr>
        <w:spacing w:line="300" w:lineRule="exact"/>
        <w:ind w:left="1152" w:hanging="386"/>
        <w:rPr>
          <w:rFonts w:ascii="標楷體" w:eastAsia="標楷體" w:hAnsi="標楷體"/>
        </w:rPr>
      </w:pPr>
      <w:r>
        <w:rPr>
          <w:rFonts w:ascii="標楷體" w:eastAsia="標楷體" w:hAnsi="標楷體"/>
        </w:rPr>
        <w:t>預防後天免疫缺乏症候群病人的黴菌感染。</w:t>
      </w:r>
    </w:p>
    <w:p w14:paraId="593841C5" w14:textId="77777777" w:rsidR="00401786" w:rsidRDefault="00C64FB3" w:rsidP="0009639E">
      <w:pPr>
        <w:spacing w:line="300" w:lineRule="exact"/>
        <w:ind w:left="912" w:hanging="386"/>
        <w:rPr>
          <w:rFonts w:ascii="標楷體" w:eastAsia="標楷體" w:hAnsi="標楷體"/>
        </w:rPr>
      </w:pPr>
      <w:r>
        <w:rPr>
          <w:rFonts w:ascii="標楷體" w:eastAsia="標楷體" w:hAnsi="標楷體"/>
        </w:rPr>
        <w:t>2.病人接受</w:t>
      </w:r>
      <w:proofErr w:type="gramStart"/>
      <w:r>
        <w:rPr>
          <w:rFonts w:ascii="標楷體" w:eastAsia="標楷體" w:hAnsi="標楷體"/>
        </w:rPr>
        <w:t>本品治療期間，不得併</w:t>
      </w:r>
      <w:proofErr w:type="gramEnd"/>
      <w:r>
        <w:rPr>
          <w:rFonts w:ascii="標楷體" w:eastAsia="標楷體" w:hAnsi="標楷體"/>
        </w:rPr>
        <w:t>用其他同類藥品。</w:t>
      </w:r>
    </w:p>
    <w:p w14:paraId="5E40118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10.6.2.刪除(108/12/1)</w:t>
      </w:r>
    </w:p>
    <w:p w14:paraId="5AED8EF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10.6.3.Itraconazole：（85/1/1、91/4/1、91/8/1、96/6/1、96/8/1、96/10/1、98/8/1） </w:t>
      </w:r>
    </w:p>
    <w:p w14:paraId="669327B2"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10.6.3.1.Itraconazole膠囊劑 (如</w:t>
      </w:r>
      <w:proofErr w:type="spellStart"/>
      <w:r>
        <w:rPr>
          <w:rFonts w:ascii="標楷體" w:eastAsia="標楷體" w:hAnsi="標楷體"/>
        </w:rPr>
        <w:t>Sporanox</w:t>
      </w:r>
      <w:proofErr w:type="spellEnd"/>
      <w:r>
        <w:rPr>
          <w:rFonts w:ascii="標楷體" w:eastAsia="標楷體" w:hAnsi="標楷體"/>
        </w:rPr>
        <w:t xml:space="preserve"> cap)：（85/1/1、91/4/1、91/8/1、98/8/1、104/1/1）</w:t>
      </w:r>
    </w:p>
    <w:p w14:paraId="3666C2D0"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1F4C75A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1.甲癬病人使用。使用時，</w:t>
      </w:r>
      <w:proofErr w:type="gramStart"/>
      <w:r>
        <w:rPr>
          <w:rFonts w:ascii="標楷體" w:eastAsia="標楷體" w:hAnsi="標楷體"/>
        </w:rPr>
        <w:t>手指甲癬限用</w:t>
      </w:r>
      <w:proofErr w:type="gramEnd"/>
      <w:r>
        <w:rPr>
          <w:rFonts w:ascii="標楷體" w:eastAsia="標楷體" w:hAnsi="標楷體"/>
        </w:rPr>
        <w:t>84顆，每顆100mg (以 itraconazole 100mg計算，每日服用2顆)，需於9</w:t>
      </w:r>
      <w:proofErr w:type="gramStart"/>
      <w:r>
        <w:rPr>
          <w:rFonts w:ascii="標楷體" w:eastAsia="標楷體" w:hAnsi="標楷體"/>
        </w:rPr>
        <w:t>週</w:t>
      </w:r>
      <w:proofErr w:type="gramEnd"/>
      <w:r>
        <w:rPr>
          <w:rFonts w:ascii="標楷體" w:eastAsia="標楷體" w:hAnsi="標楷體"/>
        </w:rPr>
        <w:t>內使用完畢。足</w:t>
      </w:r>
      <w:proofErr w:type="gramStart"/>
      <w:r>
        <w:rPr>
          <w:rFonts w:ascii="標楷體" w:eastAsia="標楷體" w:hAnsi="標楷體"/>
        </w:rPr>
        <w:t>趾甲癬限用</w:t>
      </w:r>
      <w:proofErr w:type="gramEnd"/>
      <w:r>
        <w:rPr>
          <w:rFonts w:ascii="標楷體" w:eastAsia="標楷體" w:hAnsi="標楷體"/>
        </w:rPr>
        <w:t>168顆，需於17</w:t>
      </w:r>
      <w:proofErr w:type="gramStart"/>
      <w:r>
        <w:rPr>
          <w:rFonts w:ascii="標楷體" w:eastAsia="標楷體" w:hAnsi="標楷體"/>
        </w:rPr>
        <w:t>週</w:t>
      </w:r>
      <w:proofErr w:type="gramEnd"/>
      <w:r>
        <w:rPr>
          <w:rFonts w:ascii="標楷體" w:eastAsia="標楷體" w:hAnsi="標楷體"/>
        </w:rPr>
        <w:t>內使用完畢。治療結束日起算，並各在6及12個月內不得重複</w:t>
      </w:r>
      <w:proofErr w:type="gramStart"/>
      <w:r>
        <w:rPr>
          <w:rFonts w:ascii="標楷體" w:eastAsia="標楷體" w:hAnsi="標楷體"/>
        </w:rPr>
        <w:t>使用本品或</w:t>
      </w:r>
      <w:proofErr w:type="gramEnd"/>
      <w:r>
        <w:rPr>
          <w:rFonts w:ascii="標楷體" w:eastAsia="標楷體" w:hAnsi="標楷體"/>
        </w:rPr>
        <w:t>其他同類口服藥品。(91/4/1、98/8/1)</w:t>
      </w:r>
    </w:p>
    <w:p w14:paraId="534AB4E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2.念珠性陰道炎(限頑固性疾病或無性經驗病人無法</w:t>
      </w:r>
      <w:proofErr w:type="gramStart"/>
      <w:r>
        <w:rPr>
          <w:rFonts w:ascii="標楷體" w:eastAsia="標楷體" w:hAnsi="標楷體"/>
        </w:rPr>
        <w:t>使用塞劑治療</w:t>
      </w:r>
      <w:proofErr w:type="gramEnd"/>
      <w:r>
        <w:rPr>
          <w:rFonts w:ascii="標楷體" w:eastAsia="標楷體" w:hAnsi="標楷體"/>
        </w:rPr>
        <w:t>病人)。</w:t>
      </w:r>
    </w:p>
    <w:p w14:paraId="740AD9F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3.其他頑固性體癬。</w:t>
      </w:r>
    </w:p>
    <w:p w14:paraId="5F5876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4.全身性或侵入性黴菌感染(經組織切片、微生物或抗原檢測確定之全身性或侵入性黴菌感染，且經感染症專科醫師或皮膚科專科醫師判定需使用</w:t>
      </w:r>
      <w:proofErr w:type="gramStart"/>
      <w:r>
        <w:rPr>
          <w:rFonts w:ascii="標楷體" w:eastAsia="標楷體" w:hAnsi="標楷體"/>
        </w:rPr>
        <w:t>本劑者</w:t>
      </w:r>
      <w:proofErr w:type="gramEnd"/>
      <w:r>
        <w:rPr>
          <w:rFonts w:ascii="標楷體" w:eastAsia="標楷體" w:hAnsi="標楷體"/>
        </w:rPr>
        <w:t>，以12</w:t>
      </w:r>
      <w:proofErr w:type="gramStart"/>
      <w:r>
        <w:rPr>
          <w:rFonts w:ascii="標楷體" w:eastAsia="標楷體" w:hAnsi="標楷體"/>
        </w:rPr>
        <w:t>週</w:t>
      </w:r>
      <w:proofErr w:type="gramEnd"/>
      <w:r>
        <w:rPr>
          <w:rFonts w:ascii="標楷體" w:eastAsia="標楷體" w:hAnsi="標楷體"/>
        </w:rPr>
        <w:t>至24</w:t>
      </w:r>
      <w:proofErr w:type="gramStart"/>
      <w:r>
        <w:rPr>
          <w:rFonts w:ascii="標楷體" w:eastAsia="標楷體" w:hAnsi="標楷體"/>
        </w:rPr>
        <w:t>週</w:t>
      </w:r>
      <w:proofErr w:type="gramEnd"/>
      <w:r>
        <w:rPr>
          <w:rFonts w:ascii="標楷體" w:eastAsia="標楷體" w:hAnsi="標楷體"/>
        </w:rPr>
        <w:lastRenderedPageBreak/>
        <w:t>為原則)。(91/8/1、98/8/1)</w:t>
      </w:r>
    </w:p>
    <w:p w14:paraId="5FBD64F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5.用於復發性汗斑之治療，每日使用200mg治療7天為一療程，每月以一療程為限。(104/1/1)</w:t>
      </w:r>
    </w:p>
    <w:p w14:paraId="7FD7514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6.每次門診時，應註明使用日期，目前已使用週數及預定停藥日期。</w:t>
      </w:r>
    </w:p>
    <w:p w14:paraId="0255690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7.病人接受</w:t>
      </w:r>
      <w:proofErr w:type="gramStart"/>
      <w:r>
        <w:rPr>
          <w:rFonts w:ascii="標楷體" w:eastAsia="標楷體" w:hAnsi="標楷體"/>
        </w:rPr>
        <w:t>本品治療期間，不得併</w:t>
      </w:r>
      <w:proofErr w:type="gramEnd"/>
      <w:r>
        <w:rPr>
          <w:rFonts w:ascii="標楷體" w:eastAsia="標楷體" w:hAnsi="標楷體"/>
        </w:rPr>
        <w:t>用其他同類藥品。</w:t>
      </w:r>
    </w:p>
    <w:p w14:paraId="21AA3A56"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10.6.3.2.Itraconazole注射劑 (如</w:t>
      </w:r>
      <w:proofErr w:type="spellStart"/>
      <w:r>
        <w:rPr>
          <w:rFonts w:ascii="標楷體" w:eastAsia="標楷體" w:hAnsi="標楷體"/>
        </w:rPr>
        <w:t>Sporanox</w:t>
      </w:r>
      <w:proofErr w:type="spellEnd"/>
      <w:r>
        <w:rPr>
          <w:rFonts w:ascii="標楷體" w:eastAsia="標楷體" w:hAnsi="標楷體"/>
        </w:rPr>
        <w:t xml:space="preserve"> inj.</w:t>
      </w:r>
      <w:proofErr w:type="gramStart"/>
      <w:r>
        <w:rPr>
          <w:rFonts w:ascii="標楷體" w:eastAsia="標楷體" w:hAnsi="標楷體"/>
        </w:rPr>
        <w:t>)：</w:t>
      </w:r>
      <w:proofErr w:type="gramEnd"/>
      <w:r>
        <w:rPr>
          <w:rFonts w:ascii="標楷體" w:eastAsia="標楷體" w:hAnsi="標楷體"/>
        </w:rPr>
        <w:t>（96/6/1、96/8/1、99/10/1）</w:t>
      </w:r>
    </w:p>
    <w:p w14:paraId="1A8CA91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1.限用於第一線治療藥物amphotericin B治療無效或有嚴重副作用之侵入性麴菌症、侵入性念珠</w:t>
      </w:r>
      <w:proofErr w:type="gramStart"/>
      <w:r>
        <w:rPr>
          <w:rFonts w:ascii="標楷體" w:eastAsia="標楷體" w:hAnsi="標楷體"/>
        </w:rPr>
        <w:t>菌</w:t>
      </w:r>
      <w:proofErr w:type="gramEnd"/>
      <w:r>
        <w:rPr>
          <w:rFonts w:ascii="標楷體" w:eastAsia="標楷體" w:hAnsi="標楷體"/>
        </w:rPr>
        <w:t>感染症、組織</w:t>
      </w:r>
      <w:proofErr w:type="gramStart"/>
      <w:r>
        <w:rPr>
          <w:rFonts w:ascii="標楷體" w:eastAsia="標楷體" w:hAnsi="標楷體"/>
        </w:rPr>
        <w:t>漿</w:t>
      </w:r>
      <w:proofErr w:type="gramEnd"/>
      <w:r>
        <w:rPr>
          <w:rFonts w:ascii="標楷體" w:eastAsia="標楷體" w:hAnsi="標楷體"/>
        </w:rPr>
        <w:t>病菌之第二線用藥使用，以14日為限。</w:t>
      </w:r>
    </w:p>
    <w:p w14:paraId="213FE2E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2.限用於第一線治療藥物無法使用或無效的免疫功能不全及中樞神經系統</w:t>
      </w:r>
      <w:proofErr w:type="gramStart"/>
      <w:r>
        <w:rPr>
          <w:rFonts w:ascii="標楷體" w:eastAsia="標楷體" w:hAnsi="標楷體"/>
        </w:rPr>
        <w:t>罹患隱</w:t>
      </w:r>
      <w:proofErr w:type="gramEnd"/>
      <w:r>
        <w:rPr>
          <w:rFonts w:ascii="標楷體" w:eastAsia="標楷體" w:hAnsi="標楷體"/>
        </w:rPr>
        <w:t>球菌病(包括</w:t>
      </w:r>
      <w:proofErr w:type="gramStart"/>
      <w:r>
        <w:rPr>
          <w:rFonts w:ascii="標楷體" w:eastAsia="標楷體" w:hAnsi="標楷體"/>
        </w:rPr>
        <w:t>隱</w:t>
      </w:r>
      <w:proofErr w:type="gramEnd"/>
      <w:r>
        <w:rPr>
          <w:rFonts w:ascii="標楷體" w:eastAsia="標楷體" w:hAnsi="標楷體"/>
        </w:rPr>
        <w:t>球菌腦膜炎)的病人，並以14日為限。</w:t>
      </w:r>
    </w:p>
    <w:p w14:paraId="2AEF671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3.因病情需要，經感染症專科醫師會診確認需要使用者(申報費用時需檢附會診紀錄及相關之病歷資料)。(96/8/1、99/10/1)</w:t>
      </w:r>
    </w:p>
    <w:p w14:paraId="3D52D4A4"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10.6.3.3.Itraconazole 內服液劑 (如</w:t>
      </w:r>
      <w:proofErr w:type="spellStart"/>
      <w:r>
        <w:rPr>
          <w:rFonts w:ascii="標楷體" w:eastAsia="標楷體" w:hAnsi="標楷體"/>
        </w:rPr>
        <w:t>Itrazole</w:t>
      </w:r>
      <w:proofErr w:type="spellEnd"/>
      <w:r>
        <w:rPr>
          <w:rFonts w:ascii="標楷體" w:eastAsia="標楷體" w:hAnsi="標楷體"/>
        </w:rPr>
        <w:t xml:space="preserve"> oral solution)：（96/10/1）</w:t>
      </w:r>
    </w:p>
    <w:p w14:paraId="2DB47803"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限用於HIV陽性反應及其它免疫功能不全病人的口腔念珠</w:t>
      </w:r>
      <w:proofErr w:type="gramStart"/>
      <w:r>
        <w:rPr>
          <w:rFonts w:ascii="標楷體" w:eastAsia="標楷體" w:hAnsi="標楷體"/>
        </w:rPr>
        <w:t>菌</w:t>
      </w:r>
      <w:proofErr w:type="gramEnd"/>
      <w:r>
        <w:rPr>
          <w:rFonts w:ascii="標楷體" w:eastAsia="標楷體" w:hAnsi="標楷體"/>
        </w:rPr>
        <w:t>感染及食道念珠</w:t>
      </w:r>
      <w:proofErr w:type="gramStart"/>
      <w:r>
        <w:rPr>
          <w:rFonts w:ascii="標楷體" w:eastAsia="標楷體" w:hAnsi="標楷體"/>
        </w:rPr>
        <w:t>菌</w:t>
      </w:r>
      <w:proofErr w:type="gramEnd"/>
      <w:r>
        <w:rPr>
          <w:rFonts w:ascii="標楷體" w:eastAsia="標楷體" w:hAnsi="標楷體"/>
        </w:rPr>
        <w:t>感染者。</w:t>
      </w:r>
    </w:p>
    <w:p w14:paraId="7F6CDC2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10.6.4.Terbinafine (如Lamisil tab)：(85/1/1、91/4/1、98/8/1)</w:t>
      </w:r>
    </w:p>
    <w:p w14:paraId="0E46FF44"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54BB9C9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1.手指甲</w:t>
      </w:r>
      <w:proofErr w:type="gramStart"/>
      <w:r>
        <w:rPr>
          <w:rFonts w:ascii="標楷體" w:eastAsia="標楷體" w:hAnsi="標楷體"/>
        </w:rPr>
        <w:t>癬及足趾甲癬</w:t>
      </w:r>
      <w:proofErr w:type="gramEnd"/>
      <w:r>
        <w:rPr>
          <w:rFonts w:ascii="標楷體" w:eastAsia="標楷體" w:hAnsi="標楷體"/>
        </w:rPr>
        <w:t>病例使用，每日250 mg，</w:t>
      </w:r>
      <w:proofErr w:type="gramStart"/>
      <w:r>
        <w:rPr>
          <w:rFonts w:ascii="標楷體" w:eastAsia="標楷體" w:hAnsi="標楷體"/>
        </w:rPr>
        <w:t>手指甲癬限用</w:t>
      </w:r>
      <w:proofErr w:type="gramEnd"/>
      <w:r>
        <w:rPr>
          <w:rFonts w:ascii="標楷體" w:eastAsia="標楷體" w:hAnsi="標楷體"/>
        </w:rPr>
        <w:t>42顆，需於8</w:t>
      </w:r>
      <w:proofErr w:type="gramStart"/>
      <w:r>
        <w:rPr>
          <w:rFonts w:ascii="標楷體" w:eastAsia="標楷體" w:hAnsi="標楷體"/>
        </w:rPr>
        <w:t>週</w:t>
      </w:r>
      <w:proofErr w:type="gramEnd"/>
      <w:r>
        <w:rPr>
          <w:rFonts w:ascii="標楷體" w:eastAsia="標楷體" w:hAnsi="標楷體"/>
        </w:rPr>
        <w:t>內使用完畢。足</w:t>
      </w:r>
      <w:proofErr w:type="gramStart"/>
      <w:r>
        <w:rPr>
          <w:rFonts w:ascii="標楷體" w:eastAsia="標楷體" w:hAnsi="標楷體"/>
        </w:rPr>
        <w:t>趾甲癬限用</w:t>
      </w:r>
      <w:proofErr w:type="gramEnd"/>
      <w:r>
        <w:rPr>
          <w:rFonts w:ascii="標楷體" w:eastAsia="標楷體" w:hAnsi="標楷體"/>
        </w:rPr>
        <w:t>84顆，需於16</w:t>
      </w:r>
      <w:proofErr w:type="gramStart"/>
      <w:r>
        <w:rPr>
          <w:rFonts w:ascii="標楷體" w:eastAsia="標楷體" w:hAnsi="標楷體"/>
        </w:rPr>
        <w:t>週</w:t>
      </w:r>
      <w:proofErr w:type="gramEnd"/>
      <w:r>
        <w:rPr>
          <w:rFonts w:ascii="標楷體" w:eastAsia="標楷體" w:hAnsi="標楷體"/>
        </w:rPr>
        <w:t>內使用完畢。治療結束日起算，各在6及12個月內不得重複</w:t>
      </w:r>
      <w:proofErr w:type="gramStart"/>
      <w:r>
        <w:rPr>
          <w:rFonts w:ascii="標楷體" w:eastAsia="標楷體" w:hAnsi="標楷體"/>
        </w:rPr>
        <w:t>使用本品或</w:t>
      </w:r>
      <w:proofErr w:type="gramEnd"/>
      <w:r>
        <w:rPr>
          <w:rFonts w:ascii="標楷體" w:eastAsia="標楷體" w:hAnsi="標楷體"/>
        </w:rPr>
        <w:t>其他同類口服藥品。(98/8/1)</w:t>
      </w:r>
    </w:p>
    <w:p w14:paraId="3C73DC6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2.其他頑固性體癬及股癬病例使用，每日一次，最長使用2</w:t>
      </w:r>
      <w:proofErr w:type="gramStart"/>
      <w:r>
        <w:rPr>
          <w:rFonts w:ascii="標楷體" w:eastAsia="標楷體" w:hAnsi="標楷體"/>
        </w:rPr>
        <w:t>週</w:t>
      </w:r>
      <w:proofErr w:type="gramEnd"/>
      <w:r>
        <w:rPr>
          <w:rFonts w:ascii="標楷體" w:eastAsia="標楷體" w:hAnsi="標楷體"/>
        </w:rPr>
        <w:t>，治療期間不得</w:t>
      </w:r>
      <w:proofErr w:type="gramStart"/>
      <w:r>
        <w:rPr>
          <w:rFonts w:ascii="標楷體" w:eastAsia="標楷體" w:hAnsi="標楷體"/>
        </w:rPr>
        <w:t>併</w:t>
      </w:r>
      <w:proofErr w:type="gramEnd"/>
      <w:r>
        <w:rPr>
          <w:rFonts w:ascii="標楷體" w:eastAsia="標楷體" w:hAnsi="標楷體"/>
        </w:rPr>
        <w:t>用其他同類藥品。</w:t>
      </w:r>
    </w:p>
    <w:p w14:paraId="43DAF2B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3.頭癬病例使用，每日一次，最長使用4</w:t>
      </w:r>
      <w:proofErr w:type="gramStart"/>
      <w:r>
        <w:rPr>
          <w:rFonts w:ascii="標楷體" w:eastAsia="標楷體" w:hAnsi="標楷體"/>
        </w:rPr>
        <w:t>週</w:t>
      </w:r>
      <w:proofErr w:type="gramEnd"/>
      <w:r>
        <w:rPr>
          <w:rFonts w:ascii="標楷體" w:eastAsia="標楷體" w:hAnsi="標楷體"/>
        </w:rPr>
        <w:t>，若確需延長治療時間，需於病歷詳細載明備查。(98/8/1)</w:t>
      </w:r>
    </w:p>
    <w:p w14:paraId="419E697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10.6.5.Amphotericin B Injection colloidal dispersion及liposomal complex劑型（如</w:t>
      </w:r>
      <w:proofErr w:type="spellStart"/>
      <w:r>
        <w:rPr>
          <w:rFonts w:ascii="標楷體" w:eastAsia="標楷體" w:hAnsi="標楷體"/>
        </w:rPr>
        <w:t>Amphocil</w:t>
      </w:r>
      <w:proofErr w:type="spellEnd"/>
      <w:r>
        <w:rPr>
          <w:rFonts w:ascii="標楷體" w:eastAsia="標楷體" w:hAnsi="標楷體"/>
        </w:rPr>
        <w:t xml:space="preserve"> Injection、</w:t>
      </w:r>
      <w:proofErr w:type="spellStart"/>
      <w:r>
        <w:rPr>
          <w:rFonts w:ascii="標楷體" w:eastAsia="標楷體" w:hAnsi="標楷體"/>
        </w:rPr>
        <w:t>AmBisome</w:t>
      </w:r>
      <w:proofErr w:type="spellEnd"/>
      <w:r>
        <w:rPr>
          <w:rFonts w:ascii="標楷體" w:eastAsia="標楷體" w:hAnsi="標楷體"/>
        </w:rPr>
        <w:t xml:space="preserve"> for Injection）：(91/8/1、93/2/1)</w:t>
      </w:r>
    </w:p>
    <w:p w14:paraId="7541C8C8"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限用於侵入性黴菌感染（invasive fungal infection），</w:t>
      </w:r>
      <w:proofErr w:type="gramStart"/>
      <w:r>
        <w:rPr>
          <w:rFonts w:ascii="標楷體" w:eastAsia="標楷體" w:hAnsi="標楷體"/>
        </w:rPr>
        <w:t>且腎功能</w:t>
      </w:r>
      <w:proofErr w:type="gramEnd"/>
      <w:r>
        <w:rPr>
          <w:rFonts w:ascii="標楷體" w:eastAsia="標楷體" w:hAnsi="標楷體"/>
        </w:rPr>
        <w:t>不全患者</w:t>
      </w:r>
    </w:p>
    <w:p w14:paraId="77C0A1D4"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10.6.6.Caspofungin Injection劑型 (如</w:t>
      </w:r>
      <w:proofErr w:type="spellStart"/>
      <w:r>
        <w:rPr>
          <w:rFonts w:ascii="標楷體" w:eastAsia="標楷體" w:hAnsi="標楷體"/>
        </w:rPr>
        <w:t>Cancidas</w:t>
      </w:r>
      <w:proofErr w:type="spellEnd"/>
      <w:r>
        <w:rPr>
          <w:rFonts w:ascii="標楷體" w:eastAsia="標楷體" w:hAnsi="標楷體"/>
        </w:rPr>
        <w:t xml:space="preserve"> Injection 50mg)：(92/8/1、94/1/1、96/7/1、99/10/1) </w:t>
      </w:r>
    </w:p>
    <w:p w14:paraId="340D47E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限符合下列規定之</w:t>
      </w:r>
      <w:proofErr w:type="gramStart"/>
      <w:r>
        <w:rPr>
          <w:rFonts w:ascii="標楷體" w:eastAsia="標楷體" w:hAnsi="標楷體"/>
        </w:rPr>
        <w:t>一</w:t>
      </w:r>
      <w:proofErr w:type="gramEnd"/>
      <w:r>
        <w:rPr>
          <w:rFonts w:ascii="標楷體" w:eastAsia="標楷體" w:hAnsi="標楷體"/>
        </w:rPr>
        <w:t>：</w:t>
      </w:r>
    </w:p>
    <w:p w14:paraId="7C8CA64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1.限用於其他黴菌藥物治療無效或有嚴重副作用之侵入性麴菌症、侵入性念珠</w:t>
      </w:r>
      <w:proofErr w:type="gramStart"/>
      <w:r>
        <w:rPr>
          <w:rFonts w:ascii="標楷體" w:eastAsia="標楷體" w:hAnsi="標楷體"/>
        </w:rPr>
        <w:t>菌</w:t>
      </w:r>
      <w:proofErr w:type="gramEnd"/>
      <w:r>
        <w:rPr>
          <w:rFonts w:ascii="標楷體" w:eastAsia="標楷體" w:hAnsi="標楷體"/>
        </w:rPr>
        <w:t>感染症之第二線用藥。</w:t>
      </w:r>
    </w:p>
    <w:p w14:paraId="3AD3326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2.經感染症專科醫師認定需使用者，惟治療食道念珠</w:t>
      </w:r>
      <w:proofErr w:type="gramStart"/>
      <w:r>
        <w:rPr>
          <w:rFonts w:ascii="標楷體" w:eastAsia="標楷體" w:hAnsi="標楷體"/>
        </w:rPr>
        <w:t>菌</w:t>
      </w:r>
      <w:proofErr w:type="gramEnd"/>
      <w:r>
        <w:rPr>
          <w:rFonts w:ascii="標楷體" w:eastAsia="標楷體" w:hAnsi="標楷體"/>
        </w:rPr>
        <w:t>感染限用於fluconazole無效或有嚴重副作用者。(99/10/1)</w:t>
      </w:r>
    </w:p>
    <w:p w14:paraId="53418025"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10.6.7.Micafungin Injection劑型(如</w:t>
      </w:r>
      <w:proofErr w:type="spellStart"/>
      <w:r>
        <w:rPr>
          <w:rFonts w:ascii="標楷體" w:eastAsia="標楷體" w:hAnsi="標楷體"/>
        </w:rPr>
        <w:t>Mycamine</w:t>
      </w:r>
      <w:proofErr w:type="spellEnd"/>
      <w:r>
        <w:rPr>
          <w:rFonts w:ascii="標楷體" w:eastAsia="標楷體" w:hAnsi="標楷體"/>
        </w:rPr>
        <w:t xml:space="preserve"> for Injection)：(96/4/1、97/10/1、111/2/1)</w:t>
      </w:r>
    </w:p>
    <w:p w14:paraId="12DDE668"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w:t>
      </w:r>
    </w:p>
    <w:p w14:paraId="65DCEAE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1.治療16歲以上的食道念珠</w:t>
      </w:r>
      <w:proofErr w:type="gramStart"/>
      <w:r>
        <w:rPr>
          <w:rFonts w:ascii="標楷體" w:eastAsia="標楷體" w:hAnsi="標楷體"/>
        </w:rPr>
        <w:t>菌</w:t>
      </w:r>
      <w:proofErr w:type="gramEnd"/>
      <w:r>
        <w:rPr>
          <w:rFonts w:ascii="標楷體" w:eastAsia="標楷體" w:hAnsi="標楷體"/>
        </w:rPr>
        <w:t>感染(111/2/1)。</w:t>
      </w:r>
    </w:p>
    <w:p w14:paraId="672BEEC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2.預防接受造血幹細胞移植病患的念珠</w:t>
      </w:r>
      <w:proofErr w:type="gramStart"/>
      <w:r>
        <w:rPr>
          <w:rFonts w:ascii="標楷體" w:eastAsia="標楷體" w:hAnsi="標楷體"/>
        </w:rPr>
        <w:t>菌</w:t>
      </w:r>
      <w:proofErr w:type="gramEnd"/>
      <w:r>
        <w:rPr>
          <w:rFonts w:ascii="標楷體" w:eastAsia="標楷體" w:hAnsi="標楷體"/>
        </w:rPr>
        <w:t>感染。</w:t>
      </w:r>
    </w:p>
    <w:p w14:paraId="1B73A90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3.治療念珠菌血症與其他侵襲性之念珠</w:t>
      </w:r>
      <w:proofErr w:type="gramStart"/>
      <w:r>
        <w:rPr>
          <w:rFonts w:ascii="標楷體" w:eastAsia="標楷體" w:hAnsi="標楷體"/>
        </w:rPr>
        <w:t>菌</w:t>
      </w:r>
      <w:proofErr w:type="gramEnd"/>
      <w:r>
        <w:rPr>
          <w:rFonts w:ascii="標楷體" w:eastAsia="標楷體" w:hAnsi="標楷體"/>
        </w:rPr>
        <w:t>感染。(97/10/1)</w:t>
      </w:r>
    </w:p>
    <w:p w14:paraId="3F291504"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10.6.8.Flucytosine (如</w:t>
      </w:r>
      <w:proofErr w:type="spellStart"/>
      <w:r>
        <w:rPr>
          <w:rFonts w:ascii="標楷體" w:eastAsia="標楷體" w:hAnsi="標楷體"/>
        </w:rPr>
        <w:t>Flusine</w:t>
      </w:r>
      <w:proofErr w:type="spellEnd"/>
      <w:r>
        <w:rPr>
          <w:rFonts w:ascii="標楷體" w:eastAsia="標楷體" w:hAnsi="標楷體"/>
        </w:rPr>
        <w:t xml:space="preserve"> Tablets)(96/6/1)</w:t>
      </w:r>
    </w:p>
    <w:p w14:paraId="26180442"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 xml:space="preserve">限用於Cryptococcus infection的病患。 </w:t>
      </w:r>
    </w:p>
    <w:p w14:paraId="02682E9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10.6.9.Anidulafungin注射劑 (如</w:t>
      </w:r>
      <w:proofErr w:type="spellStart"/>
      <w:r>
        <w:rPr>
          <w:rFonts w:ascii="標楷體" w:eastAsia="標楷體" w:hAnsi="標楷體"/>
        </w:rPr>
        <w:t>Eraxis</w:t>
      </w:r>
      <w:proofErr w:type="spellEnd"/>
      <w:r>
        <w:rPr>
          <w:rFonts w:ascii="標楷體" w:eastAsia="標楷體" w:hAnsi="標楷體"/>
        </w:rPr>
        <w:t xml:space="preserve"> for Injection) (97/10/1、105/8/1、111/5/1)</w:t>
      </w:r>
    </w:p>
    <w:p w14:paraId="71D05628" w14:textId="77777777" w:rsidR="00401786" w:rsidRDefault="00C64FB3" w:rsidP="0009639E">
      <w:pPr>
        <w:spacing w:line="300" w:lineRule="exact"/>
        <w:ind w:firstLine="960"/>
      </w:pPr>
      <w:r>
        <w:rPr>
          <w:rFonts w:ascii="標楷體" w:eastAsia="標楷體" w:hAnsi="標楷體"/>
        </w:rPr>
        <w:t>限用於治療一個月以上患者之侵襲性念珠</w:t>
      </w:r>
      <w:proofErr w:type="gramStart"/>
      <w:r>
        <w:rPr>
          <w:rFonts w:ascii="標楷體" w:eastAsia="標楷體" w:hAnsi="標楷體"/>
        </w:rPr>
        <w:t>菌</w:t>
      </w:r>
      <w:proofErr w:type="gramEnd"/>
      <w:r>
        <w:rPr>
          <w:rFonts w:ascii="標楷體" w:eastAsia="標楷體" w:hAnsi="標楷體"/>
        </w:rPr>
        <w:t>感染。</w:t>
      </w:r>
    </w:p>
    <w:p w14:paraId="60862DAC"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10.6.10.Posaconazole (如</w:t>
      </w:r>
      <w:proofErr w:type="spellStart"/>
      <w:r>
        <w:rPr>
          <w:rFonts w:ascii="標楷體" w:eastAsia="標楷體" w:hAnsi="標楷體"/>
        </w:rPr>
        <w:t>Posanol</w:t>
      </w:r>
      <w:proofErr w:type="spellEnd"/>
      <w:r>
        <w:rPr>
          <w:rFonts w:ascii="標楷體" w:eastAsia="標楷體" w:hAnsi="標楷體"/>
        </w:rPr>
        <w:t>)：(101/1/1、104/7/1、106/5/1、111/2/1)</w:t>
      </w:r>
    </w:p>
    <w:p w14:paraId="16931B0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1.限下列條件之</w:t>
      </w:r>
      <w:proofErr w:type="gramStart"/>
      <w:r>
        <w:rPr>
          <w:rFonts w:ascii="標楷體" w:eastAsia="標楷體" w:hAnsi="標楷體"/>
        </w:rPr>
        <w:t>一</w:t>
      </w:r>
      <w:proofErr w:type="gramEnd"/>
      <w:r>
        <w:rPr>
          <w:rFonts w:ascii="標楷體" w:eastAsia="標楷體" w:hAnsi="標楷體"/>
        </w:rPr>
        <w:t>使用：</w:t>
      </w:r>
    </w:p>
    <w:p w14:paraId="24813CA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(1)對amphotericin B或itraconazole或voriconazole治療無效或不能忍受之成人</w:t>
      </w:r>
      <w:r>
        <w:rPr>
          <w:rFonts w:ascii="標楷體" w:eastAsia="標楷體" w:hAnsi="標楷體"/>
        </w:rPr>
        <w:lastRenderedPageBreak/>
        <w:t>侵入性麴菌病（invasive aspergillosis）的第二線用藥。（無效的定義是先前用有效抗黴菌劑的治療劑量至少7天，感染惡化或未改善）。</w:t>
      </w:r>
    </w:p>
    <w:p w14:paraId="0CFFB8D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(2)對itraconazole或fluconazole治療無效或不能忍受之成人口</w:t>
      </w:r>
      <w:proofErr w:type="gramStart"/>
      <w:r>
        <w:rPr>
          <w:rFonts w:ascii="標楷體" w:eastAsia="標楷體" w:hAnsi="標楷體"/>
        </w:rPr>
        <w:t>咽</w:t>
      </w:r>
      <w:proofErr w:type="gramEnd"/>
      <w:r>
        <w:rPr>
          <w:rFonts w:ascii="標楷體" w:eastAsia="標楷體" w:hAnsi="標楷體"/>
        </w:rPr>
        <w:t>念珠</w:t>
      </w:r>
      <w:proofErr w:type="gramStart"/>
      <w:r>
        <w:rPr>
          <w:rFonts w:ascii="標楷體" w:eastAsia="標楷體" w:hAnsi="標楷體"/>
        </w:rPr>
        <w:t>菌</w:t>
      </w:r>
      <w:proofErr w:type="gramEnd"/>
      <w:r>
        <w:rPr>
          <w:rFonts w:ascii="標楷體" w:eastAsia="標楷體" w:hAnsi="標楷體"/>
        </w:rPr>
        <w:t>感染（oropharyngeal candidiasis）的第二線用藥。</w:t>
      </w:r>
      <w:proofErr w:type="gramStart"/>
      <w:r>
        <w:rPr>
          <w:rFonts w:ascii="標楷體" w:eastAsia="標楷體" w:hAnsi="標楷體"/>
        </w:rPr>
        <w:t>（</w:t>
      </w:r>
      <w:proofErr w:type="gramEnd"/>
      <w:r>
        <w:rPr>
          <w:rFonts w:ascii="標楷體" w:eastAsia="標楷體" w:hAnsi="標楷體"/>
        </w:rPr>
        <w:t>無效的定義是先前用有效抗黴菌劑的治療劑量至少治療一段時間：持續性黴菌血症3天，非黴菌</w:t>
      </w:r>
      <w:proofErr w:type="gramStart"/>
      <w:r>
        <w:rPr>
          <w:rFonts w:ascii="標楷體" w:eastAsia="標楷體" w:hAnsi="標楷體"/>
        </w:rPr>
        <w:t>血症型感染</w:t>
      </w:r>
      <w:proofErr w:type="gramEnd"/>
      <w:r>
        <w:rPr>
          <w:rFonts w:ascii="標楷體" w:eastAsia="標楷體" w:hAnsi="標楷體"/>
        </w:rPr>
        <w:t>7天，食道</w:t>
      </w:r>
      <w:proofErr w:type="gramStart"/>
      <w:r>
        <w:rPr>
          <w:rFonts w:ascii="標楷體" w:eastAsia="標楷體" w:hAnsi="標楷體"/>
        </w:rPr>
        <w:t>念珠菌病14天</w:t>
      </w:r>
      <w:proofErr w:type="gramEnd"/>
      <w:r>
        <w:rPr>
          <w:rFonts w:ascii="標楷體" w:eastAsia="標楷體" w:hAnsi="標楷體"/>
        </w:rPr>
        <w:t>，感染惡化或未改善</w:t>
      </w:r>
      <w:proofErr w:type="gramStart"/>
      <w:r>
        <w:rPr>
          <w:rFonts w:ascii="標楷體" w:eastAsia="標楷體" w:hAnsi="標楷體"/>
        </w:rPr>
        <w:t>）</w:t>
      </w:r>
      <w:proofErr w:type="gramEnd"/>
      <w:r>
        <w:rPr>
          <w:rFonts w:ascii="標楷體" w:eastAsia="標楷體" w:hAnsi="標楷體"/>
        </w:rPr>
        <w:t>限使用</w:t>
      </w:r>
      <w:proofErr w:type="gramStart"/>
      <w:r>
        <w:rPr>
          <w:rFonts w:ascii="標楷體" w:eastAsia="標楷體" w:hAnsi="標楷體"/>
        </w:rPr>
        <w:t>口服懸液劑劑</w:t>
      </w:r>
      <w:proofErr w:type="gramEnd"/>
      <w:r>
        <w:rPr>
          <w:rFonts w:ascii="標楷體" w:eastAsia="標楷體" w:hAnsi="標楷體"/>
        </w:rPr>
        <w:t>型。(104/7/1)</w:t>
      </w:r>
    </w:p>
    <w:p w14:paraId="4962ED77"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(3)用於造血幹細胞移植接受者因發生嚴重(grade Ⅲ、Ⅳ)</w:t>
      </w:r>
      <w:proofErr w:type="gramStart"/>
      <w:r>
        <w:rPr>
          <w:rFonts w:ascii="標楷體" w:eastAsia="標楷體" w:hAnsi="標楷體"/>
        </w:rPr>
        <w:t>急性植體宿主</w:t>
      </w:r>
      <w:proofErr w:type="gramEnd"/>
      <w:r>
        <w:rPr>
          <w:rFonts w:ascii="標楷體" w:eastAsia="標楷體" w:hAnsi="標楷體"/>
        </w:rPr>
        <w:t>反應(acute graft versus host reaction, GVHD)，而接受高劑量免疫抑制劑(prednisolone使用劑量超過0.8mg/kg/day)治療之高危險病人(口服</w:t>
      </w:r>
      <w:proofErr w:type="gramStart"/>
      <w:r>
        <w:rPr>
          <w:rFonts w:ascii="標楷體" w:eastAsia="標楷體" w:hAnsi="標楷體"/>
        </w:rPr>
        <w:t>劑型限用於</w:t>
      </w:r>
      <w:proofErr w:type="gramEnd"/>
      <w:r>
        <w:rPr>
          <w:rFonts w:ascii="標楷體" w:eastAsia="標楷體" w:hAnsi="標楷體"/>
        </w:rPr>
        <w:t>13歲以上病人、</w:t>
      </w:r>
      <w:proofErr w:type="gramStart"/>
      <w:r>
        <w:rPr>
          <w:rFonts w:ascii="標楷體" w:eastAsia="標楷體" w:hAnsi="標楷體"/>
        </w:rPr>
        <w:t>注射劑限用於</w:t>
      </w:r>
      <w:proofErr w:type="gramEnd"/>
      <w:r>
        <w:rPr>
          <w:rFonts w:ascii="標楷體" w:eastAsia="標楷體" w:hAnsi="標楷體"/>
        </w:rPr>
        <w:t>18歲以上病人)，做為預防侵入性黴菌感染，使用期間以3個月為限。(106/5/1)</w:t>
      </w:r>
    </w:p>
    <w:p w14:paraId="733CD48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(4)急性骨髓性白血病 (acute myelogenous leukemia)或高危險骨髓化生不良症候群(myelodysplastic syndrome) 病人接受誘導性化學治療者，給付條件如下：(104/7/1、111/2/1)</w:t>
      </w:r>
    </w:p>
    <w:p w14:paraId="7FB156BD"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Ⅰ.用於初診斷之誘導性化學治療、誘導失敗進行第二次誘導性化學治療，或復發病患進行復發後第一次誘導性化學治療者。</w:t>
      </w:r>
    </w:p>
    <w:p w14:paraId="515996DB"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Ⅱ.誘導性化學治療需使用「cytarabine(Ara-C)7天及anthracycline類藥物3天」、或「高劑量Ara-C」、或「老年人(60歲以上)使用cytarabine (Ara-C)5天及anthracycline類藥物2天」、或較上述療法更強的化學治療(111/2/1)。</w:t>
      </w:r>
    </w:p>
    <w:p w14:paraId="74FD35AF"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Ⅲ.自化學治療第一天開始使用，當絕對</w:t>
      </w:r>
      <w:proofErr w:type="gramStart"/>
      <w:r>
        <w:rPr>
          <w:rFonts w:ascii="標楷體" w:eastAsia="標楷體" w:hAnsi="標楷體"/>
        </w:rPr>
        <w:t>嗜</w:t>
      </w:r>
      <w:proofErr w:type="gramEnd"/>
      <w:r>
        <w:rPr>
          <w:rFonts w:ascii="標楷體" w:eastAsia="標楷體" w:hAnsi="標楷體"/>
        </w:rPr>
        <w:t xml:space="preserve">中性白血球數(absolute neutrophil </w:t>
      </w:r>
      <w:proofErr w:type="spellStart"/>
      <w:r>
        <w:rPr>
          <w:rFonts w:ascii="標楷體" w:eastAsia="標楷體" w:hAnsi="標楷體"/>
        </w:rPr>
        <w:t>count,ANC</w:t>
      </w:r>
      <w:proofErr w:type="spellEnd"/>
      <w:r>
        <w:rPr>
          <w:rFonts w:ascii="標楷體" w:eastAsia="標楷體" w:hAnsi="標楷體"/>
        </w:rPr>
        <w:t>)大於500/mm3，或出現侵入性黴菌感染時應停止使用。每次</w:t>
      </w:r>
      <w:proofErr w:type="gramStart"/>
      <w:r>
        <w:rPr>
          <w:rFonts w:ascii="標楷體" w:eastAsia="標楷體" w:hAnsi="標楷體"/>
        </w:rPr>
        <w:t>療程投予</w:t>
      </w:r>
      <w:proofErr w:type="gramEnd"/>
      <w:r>
        <w:rPr>
          <w:rFonts w:ascii="標楷體" w:eastAsia="標楷體" w:hAnsi="標楷體"/>
        </w:rPr>
        <w:t>posaconazole預防以一個月為限，最多給付2次誘導性化學治療療程。</w:t>
      </w:r>
    </w:p>
    <w:p w14:paraId="31016A85"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Ⅳ.口服</w:t>
      </w:r>
      <w:proofErr w:type="gramStart"/>
      <w:r>
        <w:rPr>
          <w:rFonts w:ascii="標楷體" w:eastAsia="標楷體" w:hAnsi="標楷體"/>
        </w:rPr>
        <w:t>劑型限用於</w:t>
      </w:r>
      <w:proofErr w:type="gramEnd"/>
      <w:r>
        <w:rPr>
          <w:rFonts w:ascii="標楷體" w:eastAsia="標楷體" w:hAnsi="標楷體"/>
        </w:rPr>
        <w:t>13歲以上病人、</w:t>
      </w:r>
      <w:proofErr w:type="gramStart"/>
      <w:r>
        <w:rPr>
          <w:rFonts w:ascii="標楷體" w:eastAsia="標楷體" w:hAnsi="標楷體"/>
        </w:rPr>
        <w:t>注射劑限用於</w:t>
      </w:r>
      <w:proofErr w:type="gramEnd"/>
      <w:r>
        <w:rPr>
          <w:rFonts w:ascii="標楷體" w:eastAsia="標楷體" w:hAnsi="標楷體"/>
        </w:rPr>
        <w:t>18歲以上病人。(106/5/1)</w:t>
      </w:r>
    </w:p>
    <w:p w14:paraId="1E60322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proofErr w:type="gramStart"/>
      <w:r>
        <w:rPr>
          <w:rFonts w:ascii="標楷體" w:eastAsia="標楷體" w:hAnsi="標楷體"/>
        </w:rPr>
        <w:t>使用本藥須</w:t>
      </w:r>
      <w:proofErr w:type="gramEnd"/>
      <w:r>
        <w:rPr>
          <w:rFonts w:ascii="標楷體" w:eastAsia="標楷體" w:hAnsi="標楷體"/>
        </w:rPr>
        <w:t>經感染症專科醫師會診確認需要使用，申報費用時需檢附會診紀錄及相關之病歷資料。</w:t>
      </w:r>
    </w:p>
    <w:p w14:paraId="6B71DB9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w:t>
      </w:r>
      <w:proofErr w:type="gramStart"/>
      <w:r>
        <w:rPr>
          <w:rFonts w:ascii="標楷體" w:eastAsia="標楷體" w:hAnsi="標楷體"/>
        </w:rPr>
        <w:t>注射劑限用於</w:t>
      </w:r>
      <w:proofErr w:type="gramEnd"/>
      <w:r>
        <w:rPr>
          <w:rFonts w:ascii="標楷體" w:eastAsia="標楷體" w:hAnsi="標楷體"/>
        </w:rPr>
        <w:t>無法口服之病人。(106/5/1)</w:t>
      </w:r>
    </w:p>
    <w:p w14:paraId="0A01F146" w14:textId="77777777" w:rsidR="00401786" w:rsidRDefault="00C64FB3" w:rsidP="0009639E">
      <w:pPr>
        <w:spacing w:line="300" w:lineRule="exact"/>
        <w:ind w:left="283"/>
        <w:rPr>
          <w:rFonts w:ascii="標楷體" w:eastAsia="標楷體" w:hAnsi="標楷體"/>
        </w:rPr>
      </w:pPr>
      <w:r>
        <w:rPr>
          <w:rFonts w:ascii="標楷體" w:eastAsia="標楷體" w:hAnsi="標楷體"/>
        </w:rPr>
        <w:t>10.6.11.Isavuconazole (如</w:t>
      </w:r>
      <w:proofErr w:type="spellStart"/>
      <w:r>
        <w:rPr>
          <w:rFonts w:ascii="標楷體" w:eastAsia="標楷體" w:hAnsi="標楷體"/>
        </w:rPr>
        <w:t>Cresemba</w:t>
      </w:r>
      <w:proofErr w:type="spellEnd"/>
      <w:r>
        <w:rPr>
          <w:rFonts w:ascii="標楷體" w:eastAsia="標楷體" w:hAnsi="標楷體"/>
        </w:rPr>
        <w:t>)：(110/2/1)</w:t>
      </w:r>
    </w:p>
    <w:p w14:paraId="0791AD93" w14:textId="77777777" w:rsidR="00401786" w:rsidRDefault="00C64FB3" w:rsidP="0009639E">
      <w:pPr>
        <w:spacing w:line="300" w:lineRule="exact"/>
        <w:ind w:left="425"/>
        <w:rPr>
          <w:rFonts w:ascii="標楷體" w:eastAsia="標楷體" w:hAnsi="標楷體"/>
        </w:rPr>
      </w:pPr>
      <w:r>
        <w:rPr>
          <w:rFonts w:ascii="標楷體" w:eastAsia="標楷體" w:hAnsi="標楷體"/>
        </w:rPr>
        <w:t>1.限用於:</w:t>
      </w:r>
    </w:p>
    <w:p w14:paraId="7ABC9B25" w14:textId="77777777" w:rsidR="00401786" w:rsidRDefault="00C64FB3" w:rsidP="0009639E">
      <w:pPr>
        <w:spacing w:line="300" w:lineRule="exact"/>
        <w:ind w:left="708"/>
        <w:rPr>
          <w:rFonts w:ascii="標楷體" w:eastAsia="標楷體" w:hAnsi="標楷體"/>
        </w:rPr>
      </w:pPr>
      <w:r>
        <w:rPr>
          <w:rFonts w:ascii="標楷體" w:eastAsia="標楷體" w:hAnsi="標楷體"/>
        </w:rPr>
        <w:t>(1)侵犯性麴菌症（invasive aspergillosis）</w:t>
      </w:r>
    </w:p>
    <w:p w14:paraId="3098C3DE" w14:textId="77777777" w:rsidR="00401786" w:rsidRDefault="00C64FB3" w:rsidP="0009639E">
      <w:pPr>
        <w:spacing w:line="300" w:lineRule="exact"/>
        <w:ind w:left="708"/>
        <w:rPr>
          <w:rFonts w:ascii="標楷體" w:eastAsia="標楷體" w:hAnsi="標楷體"/>
        </w:rPr>
      </w:pPr>
      <w:r>
        <w:rPr>
          <w:rFonts w:ascii="標楷體" w:eastAsia="標楷體" w:hAnsi="標楷體"/>
        </w:rPr>
        <w:t>(2)使用於不適合接受 amphotericin B 的病人治療白黴菌病（mucormycosis）</w:t>
      </w:r>
    </w:p>
    <w:p w14:paraId="6F9EE500" w14:textId="77777777" w:rsidR="00401786" w:rsidRDefault="00C64FB3" w:rsidP="0009639E">
      <w:pPr>
        <w:spacing w:line="300" w:lineRule="exact"/>
        <w:ind w:left="672" w:hanging="245"/>
        <w:rPr>
          <w:rFonts w:ascii="標楷體" w:eastAsia="標楷體" w:hAnsi="標楷體"/>
        </w:rPr>
      </w:pPr>
      <w:r>
        <w:rPr>
          <w:rFonts w:ascii="標楷體" w:eastAsia="標楷體" w:hAnsi="標楷體"/>
        </w:rPr>
        <w:t>2.</w:t>
      </w:r>
      <w:proofErr w:type="gramStart"/>
      <w:r>
        <w:rPr>
          <w:rFonts w:ascii="標楷體" w:eastAsia="標楷體" w:hAnsi="標楷體"/>
        </w:rPr>
        <w:t>使用本藥須</w:t>
      </w:r>
      <w:proofErr w:type="gramEnd"/>
      <w:r>
        <w:rPr>
          <w:rFonts w:ascii="標楷體" w:eastAsia="標楷體" w:hAnsi="標楷體"/>
        </w:rPr>
        <w:t>經感染症專科醫師會診確認需要使用，申報費用時需檢附會診紀錄及相關之病歷資料。</w:t>
      </w:r>
    </w:p>
    <w:p w14:paraId="3DC42A89" w14:textId="77777777" w:rsidR="00401786" w:rsidRDefault="00C64FB3" w:rsidP="0009639E">
      <w:pPr>
        <w:spacing w:line="300" w:lineRule="exact"/>
        <w:ind w:left="425"/>
        <w:rPr>
          <w:rFonts w:ascii="標楷體" w:eastAsia="標楷體" w:hAnsi="標楷體"/>
        </w:rPr>
      </w:pPr>
      <w:r>
        <w:rPr>
          <w:rFonts w:ascii="標楷體" w:eastAsia="標楷體" w:hAnsi="標楷體"/>
        </w:rPr>
        <w:t>3.</w:t>
      </w:r>
      <w:proofErr w:type="gramStart"/>
      <w:r>
        <w:rPr>
          <w:rFonts w:ascii="標楷體" w:eastAsia="標楷體" w:hAnsi="標楷體"/>
        </w:rPr>
        <w:t>注射劑限用於</w:t>
      </w:r>
      <w:proofErr w:type="gramEnd"/>
      <w:r>
        <w:rPr>
          <w:rFonts w:ascii="標楷體" w:eastAsia="標楷體" w:hAnsi="標楷體"/>
        </w:rPr>
        <w:t>無法口服之病人。</w:t>
      </w:r>
    </w:p>
    <w:p w14:paraId="29A0953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10.7.抗病毒劑 Antiviral drugs（98/11/1）</w:t>
      </w:r>
    </w:p>
    <w:p w14:paraId="1089822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10.7.1.抗疱疹病毒劑(98/11/1）</w:t>
      </w:r>
    </w:p>
    <w:p w14:paraId="0653C35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10.7.1.1.全身性抗疱疹病毒劑</w:t>
      </w:r>
    </w:p>
    <w:p w14:paraId="567A26B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1.Acyclovir：(98/11/1、100/7/1、107/12/1、108/3/1、108/6/1)</w:t>
      </w:r>
    </w:p>
    <w:p w14:paraId="272C1E3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(1)使用</w:t>
      </w:r>
      <w:proofErr w:type="gramStart"/>
      <w:r>
        <w:rPr>
          <w:rFonts w:ascii="標楷體" w:eastAsia="標楷體" w:hAnsi="標楷體"/>
        </w:rPr>
        <w:t>本類製</w:t>
      </w:r>
      <w:proofErr w:type="gramEnd"/>
      <w:r>
        <w:rPr>
          <w:rFonts w:ascii="標楷體" w:eastAsia="標楷體" w:hAnsi="標楷體"/>
        </w:rPr>
        <w:t>劑，除200mg(限</w:t>
      </w:r>
      <w:proofErr w:type="spellStart"/>
      <w:r>
        <w:rPr>
          <w:rFonts w:ascii="標楷體" w:eastAsia="標楷體" w:hAnsi="標楷體"/>
        </w:rPr>
        <w:t>Deherp</w:t>
      </w:r>
      <w:proofErr w:type="spellEnd"/>
      <w:r>
        <w:rPr>
          <w:rFonts w:ascii="標楷體" w:eastAsia="標楷體" w:hAnsi="標楷體"/>
        </w:rPr>
        <w:t>)、400mg及800mg(限</w:t>
      </w:r>
      <w:proofErr w:type="spellStart"/>
      <w:r>
        <w:rPr>
          <w:rFonts w:ascii="標楷體" w:eastAsia="標楷體" w:hAnsi="標楷體"/>
        </w:rPr>
        <w:t>Virless</w:t>
      </w:r>
      <w:proofErr w:type="spellEnd"/>
      <w:r>
        <w:rPr>
          <w:rFonts w:ascii="標楷體" w:eastAsia="標楷體" w:hAnsi="標楷體"/>
        </w:rPr>
        <w:t>)規格量口服</w:t>
      </w:r>
      <w:proofErr w:type="gramStart"/>
      <w:r>
        <w:rPr>
          <w:rFonts w:ascii="標楷體" w:eastAsia="標楷體" w:hAnsi="標楷體"/>
        </w:rPr>
        <w:t>錠劑外</w:t>
      </w:r>
      <w:proofErr w:type="gramEnd"/>
      <w:r>
        <w:rPr>
          <w:rFonts w:ascii="標楷體" w:eastAsia="標楷體" w:hAnsi="標楷體"/>
        </w:rPr>
        <w:t>，應以下列條件為限：(107/12/1、108/3/1、108/6/1)</w:t>
      </w:r>
    </w:p>
    <w:p w14:paraId="628FCE63"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I.疱疹性腦炎。</w:t>
      </w:r>
    </w:p>
    <w:p w14:paraId="41EDA4D3"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Ⅱ.帶狀疱疹或單純性疱疹侵犯三叉神經第一分枝VI皮節，可能危及眼角膜者。</w:t>
      </w:r>
    </w:p>
    <w:p w14:paraId="54D90BF7"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Ⅲ.帶狀疱疹或單純性疱疹侵犯薦椎S2皮節，將影響排泄功能者。</w:t>
      </w:r>
    </w:p>
    <w:p w14:paraId="25ACF05A"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Ⅳ.免疫機能不全、癌症、器官移植等病患之感染帶狀疱疹或單純性疱疹者。</w:t>
      </w:r>
    </w:p>
    <w:p w14:paraId="768D7C91"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Ⅴ.新生兒或免疫機能不全患者的水痘感染。</w:t>
      </w:r>
    </w:p>
    <w:p w14:paraId="2CF0B8A5"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Ⅵ.</w:t>
      </w:r>
      <w:proofErr w:type="gramStart"/>
      <w:r>
        <w:rPr>
          <w:rFonts w:ascii="標楷體" w:eastAsia="標楷體" w:hAnsi="標楷體"/>
        </w:rPr>
        <w:t>罹</w:t>
      </w:r>
      <w:proofErr w:type="gramEnd"/>
      <w:r>
        <w:rPr>
          <w:rFonts w:ascii="標楷體" w:eastAsia="標楷體" w:hAnsi="標楷體"/>
        </w:rPr>
        <w:t>患水痘，合併高燒(</w:t>
      </w:r>
      <w:proofErr w:type="gramStart"/>
      <w:r>
        <w:rPr>
          <w:rFonts w:ascii="標楷體" w:eastAsia="標楷體" w:hAnsi="標楷體"/>
        </w:rPr>
        <w:t>口溫</w:t>
      </w:r>
      <w:proofErr w:type="gramEnd"/>
      <w:r>
        <w:rPr>
          <w:rFonts w:ascii="標楷體" w:eastAsia="標楷體" w:hAnsi="標楷體"/>
        </w:rPr>
        <w:t>38℃以上)及肺炎(需</w:t>
      </w:r>
      <w:proofErr w:type="gramStart"/>
      <w:r>
        <w:rPr>
          <w:rFonts w:ascii="標楷體" w:eastAsia="標楷體" w:hAnsi="標楷體"/>
        </w:rPr>
        <w:t>Ｘ</w:t>
      </w:r>
      <w:proofErr w:type="gramEnd"/>
      <w:r>
        <w:rPr>
          <w:rFonts w:ascii="標楷體" w:eastAsia="標楷體" w:hAnsi="標楷體"/>
        </w:rPr>
        <w:t>光顯示)或腦膜炎，並需住院者。（85/1/1）</w:t>
      </w:r>
    </w:p>
    <w:p w14:paraId="29E8500F"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Ⅶ.帶狀疱疹或單純性疱疹所引起之角膜炎或角膜潰瘍者。</w:t>
      </w:r>
    </w:p>
    <w:p w14:paraId="5054192E"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Ⅷ.急性視網膜壞死症(acute retina necrosis)。</w:t>
      </w:r>
    </w:p>
    <w:p w14:paraId="4556C95C"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lastRenderedPageBreak/>
        <w:t>Ⅸ.帶狀疱疹發疹三日內且感染部位在頭頸部、生殖器周圍之病人，可給予五日內之口服或外用藥品。(86/1/1、87/4/1)</w:t>
      </w:r>
    </w:p>
    <w:p w14:paraId="2D77AB7C"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Ⅹ.骨髓移植術後病患得依下列規定預防性使用acyclovir：（87/11/1）</w:t>
      </w:r>
    </w:p>
    <w:p w14:paraId="62FA7E73" w14:textId="77777777" w:rsidR="00401786" w:rsidRDefault="00C64FB3" w:rsidP="0009639E">
      <w:pPr>
        <w:spacing w:line="300" w:lineRule="exact"/>
        <w:ind w:left="1656" w:hanging="341"/>
        <w:rPr>
          <w:rFonts w:ascii="標楷體" w:eastAsia="標楷體" w:hAnsi="標楷體"/>
        </w:rPr>
      </w:pPr>
      <w:r>
        <w:rPr>
          <w:rFonts w:ascii="標楷體" w:eastAsia="標楷體" w:hAnsi="標楷體"/>
        </w:rPr>
        <w:t>A.限接受異體骨髓移植病患。</w:t>
      </w:r>
    </w:p>
    <w:p w14:paraId="3ED1E9C7" w14:textId="77777777" w:rsidR="00401786" w:rsidRDefault="00C64FB3" w:rsidP="0009639E">
      <w:pPr>
        <w:spacing w:line="300" w:lineRule="exact"/>
        <w:ind w:left="1656" w:hanging="341"/>
        <w:rPr>
          <w:rFonts w:ascii="標楷體" w:eastAsia="標楷體" w:hAnsi="標楷體"/>
        </w:rPr>
      </w:pPr>
      <w:r>
        <w:rPr>
          <w:rFonts w:ascii="標楷體" w:eastAsia="標楷體" w:hAnsi="標楷體"/>
        </w:rPr>
        <w:t>B.接受高劑量</w:t>
      </w:r>
      <w:proofErr w:type="gramStart"/>
      <w:r>
        <w:rPr>
          <w:rFonts w:ascii="標楷體" w:eastAsia="標楷體" w:hAnsi="標楷體"/>
        </w:rPr>
        <w:t>化療或全身</w:t>
      </w:r>
      <w:proofErr w:type="gramEnd"/>
      <w:r>
        <w:rPr>
          <w:rFonts w:ascii="標楷體" w:eastAsia="標楷體" w:hAnsi="標楷體"/>
        </w:rPr>
        <w:t>放射治療 (TBI) 前一天至移植術後第三十天為止。</w:t>
      </w:r>
    </w:p>
    <w:p w14:paraId="160255A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(2)其中Ⅰ</w:t>
      </w:r>
      <w:proofErr w:type="gramStart"/>
      <w:r>
        <w:rPr>
          <w:rFonts w:ascii="標楷體" w:eastAsia="標楷體" w:hAnsi="標楷體"/>
        </w:rPr>
        <w:t>與Ⅵ應優先</w:t>
      </w:r>
      <w:proofErr w:type="gramEnd"/>
      <w:r>
        <w:rPr>
          <w:rFonts w:ascii="標楷體" w:eastAsia="標楷體" w:hAnsi="標楷體"/>
        </w:rPr>
        <w:t>考慮注射劑型的acyclovir。疱疹性腦炎得使用14至21天。（95/6/1、100/7/1）</w:t>
      </w:r>
    </w:p>
    <w:p w14:paraId="729BCF43" w14:textId="77777777" w:rsidR="00401786" w:rsidRDefault="00C64FB3" w:rsidP="0009639E">
      <w:pPr>
        <w:spacing w:line="300" w:lineRule="exact"/>
        <w:ind w:left="1049" w:hanging="341"/>
      </w:pPr>
      <w:r>
        <w:rPr>
          <w:rFonts w:ascii="標楷體" w:eastAsia="標楷體" w:hAnsi="標楷體"/>
        </w:rPr>
        <w:t>(3)使用acyclovir 200mg(限</w:t>
      </w:r>
      <w:proofErr w:type="spellStart"/>
      <w:r>
        <w:rPr>
          <w:rFonts w:ascii="標楷體" w:eastAsia="標楷體" w:hAnsi="標楷體"/>
        </w:rPr>
        <w:t>Deherp</w:t>
      </w:r>
      <w:proofErr w:type="spellEnd"/>
      <w:r>
        <w:rPr>
          <w:rFonts w:ascii="標楷體" w:eastAsia="標楷體" w:hAnsi="標楷體"/>
        </w:rPr>
        <w:t>)、400mg及800mg(限</w:t>
      </w:r>
      <w:proofErr w:type="spellStart"/>
      <w:r>
        <w:rPr>
          <w:rFonts w:ascii="標楷體" w:eastAsia="標楷體" w:hAnsi="標楷體"/>
        </w:rPr>
        <w:t>Virless</w:t>
      </w:r>
      <w:proofErr w:type="spellEnd"/>
      <w:r>
        <w:rPr>
          <w:rFonts w:ascii="標楷體" w:eastAsia="標楷體" w:hAnsi="標楷體"/>
        </w:rPr>
        <w:t>)規格量</w:t>
      </w:r>
      <w:proofErr w:type="gramStart"/>
      <w:r>
        <w:rPr>
          <w:rFonts w:ascii="標楷體" w:eastAsia="標楷體" w:hAnsi="標楷體"/>
        </w:rPr>
        <w:t>口服錠劑除</w:t>
      </w:r>
      <w:proofErr w:type="gramEnd"/>
      <w:r>
        <w:rPr>
          <w:rFonts w:ascii="標楷體" w:eastAsia="標楷體" w:hAnsi="標楷體"/>
        </w:rPr>
        <w:t>用於前述(1)外，療程以7天為限。(107/12/1、108/3/1、108/6/1)</w:t>
      </w:r>
    </w:p>
    <w:p w14:paraId="5E6B2C0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 xml:space="preserve">2.Famciclovir；valaciclovir：(100/7/1、101/5/1) </w:t>
      </w:r>
    </w:p>
    <w:p w14:paraId="50842D81"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使用</w:t>
      </w:r>
      <w:proofErr w:type="gramStart"/>
      <w:r>
        <w:rPr>
          <w:rFonts w:ascii="標楷體" w:eastAsia="標楷體" w:hAnsi="標楷體"/>
        </w:rPr>
        <w:t>本類製</w:t>
      </w:r>
      <w:proofErr w:type="gramEnd"/>
      <w:r>
        <w:rPr>
          <w:rFonts w:ascii="標楷體" w:eastAsia="標楷體" w:hAnsi="標楷體"/>
        </w:rPr>
        <w:t>劑應以下列條件為限：</w:t>
      </w:r>
    </w:p>
    <w:p w14:paraId="79D2937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(1)帶狀疱疹或單純性疱疹侵犯三叉神經第一分枝VI皮節，可能危及眼角膜者。</w:t>
      </w:r>
    </w:p>
    <w:p w14:paraId="1E7021C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(2)帶狀疱疹或單純性疱疹侵犯薦椎S2皮節，將影響排泄功能者。</w:t>
      </w:r>
    </w:p>
    <w:p w14:paraId="4ECBEE1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(3)免疫機能不全、癌症、器官移植等病患之感染帶狀疱疹或單純性疱疹者。</w:t>
      </w:r>
    </w:p>
    <w:p w14:paraId="007A91D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(4)帶狀疱疹或單純性疱疹所引起之角膜炎或角膜潰瘍者。</w:t>
      </w:r>
    </w:p>
    <w:p w14:paraId="7939037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(5)急性視網膜壞死症 (acute retina necrosis)。</w:t>
      </w:r>
    </w:p>
    <w:p w14:paraId="1B471F2A"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(6)帶狀疱疹發疹3日內且感染部位在頭頸部、生殖器周圍之病人，可給予5日內之口服或外用藥品。</w:t>
      </w:r>
    </w:p>
    <w:p w14:paraId="128343F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(7)骨髓移植術後病患得依下列規定用於預防復發性生殖器疱疹：(101/5/1)</w:t>
      </w:r>
    </w:p>
    <w:p w14:paraId="50D3D717" w14:textId="77777777" w:rsidR="00401786" w:rsidRDefault="00C64FB3" w:rsidP="0009639E">
      <w:pPr>
        <w:spacing w:line="300" w:lineRule="exact"/>
        <w:ind w:left="1524" w:hanging="264"/>
        <w:rPr>
          <w:rFonts w:ascii="標楷體" w:eastAsia="標楷體" w:hAnsi="標楷體"/>
        </w:rPr>
      </w:pPr>
      <w:r>
        <w:rPr>
          <w:rFonts w:ascii="標楷體" w:eastAsia="標楷體" w:hAnsi="標楷體"/>
        </w:rPr>
        <w:t>A.限接受異體骨髓移植病患。</w:t>
      </w:r>
    </w:p>
    <w:p w14:paraId="69EF5E33" w14:textId="77777777" w:rsidR="00401786" w:rsidRDefault="00C64FB3" w:rsidP="0009639E">
      <w:pPr>
        <w:spacing w:line="300" w:lineRule="exact"/>
        <w:ind w:left="1524" w:hanging="264"/>
        <w:rPr>
          <w:rFonts w:ascii="標楷體" w:eastAsia="標楷體" w:hAnsi="標楷體"/>
        </w:rPr>
      </w:pPr>
      <w:r>
        <w:rPr>
          <w:rFonts w:ascii="標楷體" w:eastAsia="標楷體" w:hAnsi="標楷體"/>
        </w:rPr>
        <w:t>B.接受高劑量</w:t>
      </w:r>
      <w:proofErr w:type="gramStart"/>
      <w:r>
        <w:rPr>
          <w:rFonts w:ascii="標楷體" w:eastAsia="標楷體" w:hAnsi="標楷體"/>
        </w:rPr>
        <w:t>化療或全身</w:t>
      </w:r>
      <w:proofErr w:type="gramEnd"/>
      <w:r>
        <w:rPr>
          <w:rFonts w:ascii="標楷體" w:eastAsia="標楷體" w:hAnsi="標楷體"/>
        </w:rPr>
        <w:t>放射治療 (TBI) 前一天至移植術後第30天為止。</w:t>
      </w:r>
    </w:p>
    <w:p w14:paraId="1EFDCA5B" w14:textId="77777777" w:rsidR="00401786" w:rsidRDefault="00C64FB3" w:rsidP="0009639E">
      <w:pPr>
        <w:spacing w:line="300" w:lineRule="exact"/>
        <w:ind w:left="849" w:hanging="283"/>
        <w:rPr>
          <w:rFonts w:ascii="標楷體" w:eastAsia="標楷體" w:hAnsi="標楷體"/>
        </w:rPr>
      </w:pPr>
      <w:r>
        <w:rPr>
          <w:rFonts w:ascii="標楷體" w:eastAsia="標楷體" w:hAnsi="標楷體"/>
        </w:rPr>
        <w:t>3.Acyclovir、famciclovir及valaciclovir除上述特別規定外，使用療程原則以10天為限，口服、注射劑及外用藥膏擇</w:t>
      </w:r>
      <w:proofErr w:type="gramStart"/>
      <w:r>
        <w:rPr>
          <w:rFonts w:ascii="標楷體" w:eastAsia="標楷體" w:hAnsi="標楷體"/>
        </w:rPr>
        <w:t>一</w:t>
      </w:r>
      <w:proofErr w:type="gramEnd"/>
      <w:r>
        <w:rPr>
          <w:rFonts w:ascii="標楷體" w:eastAsia="標楷體" w:hAnsi="標楷體"/>
        </w:rPr>
        <w:t>使用，不得合併使用。（95/6/1、100/7/1、101/5/1）</w:t>
      </w:r>
    </w:p>
    <w:p w14:paraId="0948DA41"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10.7.1.2.局部抗疱疹病毒劑（如Acyclovir外用製劑；tromantadine外用製劑；penciclovir外用製劑</w:t>
      </w:r>
      <w:proofErr w:type="gramStart"/>
      <w:r>
        <w:rPr>
          <w:rFonts w:ascii="標楷體" w:eastAsia="標楷體" w:hAnsi="標楷體"/>
        </w:rPr>
        <w:t>）</w:t>
      </w:r>
      <w:proofErr w:type="gramEnd"/>
      <w:r>
        <w:rPr>
          <w:rFonts w:ascii="標楷體" w:eastAsia="標楷體" w:hAnsi="標楷體"/>
        </w:rPr>
        <w:t>：(97/12/1、98/11/1、100/7/1、102/7/1</w:t>
      </w:r>
      <w:proofErr w:type="gramStart"/>
      <w:r>
        <w:rPr>
          <w:rFonts w:ascii="標楷體" w:eastAsia="標楷體" w:hAnsi="標楷體"/>
        </w:rPr>
        <w:t>）</w:t>
      </w:r>
      <w:proofErr w:type="gramEnd"/>
    </w:p>
    <w:p w14:paraId="4AE9B73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1.單純性疱疹(感染部位在頭頸部、生殖器周圍、嘴唇、口腔、陰部)3日內可使用acyclovir或tromantadine藥膏，每次給予藥量限5公克以內(100/7/1）。</w:t>
      </w:r>
    </w:p>
    <w:p w14:paraId="0327B83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2.Penciclovir藥膏用於治療由單純皰疹病毒引起之</w:t>
      </w:r>
      <w:proofErr w:type="gramStart"/>
      <w:r>
        <w:rPr>
          <w:rFonts w:ascii="標楷體" w:eastAsia="標楷體" w:hAnsi="標楷體"/>
        </w:rPr>
        <w:t>復發性唇皰疹</w:t>
      </w:r>
      <w:proofErr w:type="gramEnd"/>
      <w:r>
        <w:rPr>
          <w:rFonts w:ascii="標楷體" w:eastAsia="標楷體" w:hAnsi="標楷體"/>
        </w:rPr>
        <w:t>，每次處方以1支(2公克)為原則。(102/7/1)</w:t>
      </w:r>
    </w:p>
    <w:p w14:paraId="25D3D98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3.口服、注射劑及外用藥膏擇</w:t>
      </w:r>
      <w:proofErr w:type="gramStart"/>
      <w:r>
        <w:rPr>
          <w:rFonts w:ascii="標楷體" w:eastAsia="標楷體" w:hAnsi="標楷體"/>
        </w:rPr>
        <w:t>一</w:t>
      </w:r>
      <w:proofErr w:type="gramEnd"/>
      <w:r>
        <w:rPr>
          <w:rFonts w:ascii="標楷體" w:eastAsia="標楷體" w:hAnsi="標楷體"/>
        </w:rPr>
        <w:t>使用，不得合併使用。</w:t>
      </w:r>
    </w:p>
    <w:p w14:paraId="4B4CA998"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10.7.2. Ribavirin 膠囊劑（如</w:t>
      </w:r>
      <w:proofErr w:type="spellStart"/>
      <w:r>
        <w:rPr>
          <w:rFonts w:ascii="標楷體" w:eastAsia="標楷體" w:hAnsi="標楷體"/>
        </w:rPr>
        <w:t>Robatrol</w:t>
      </w:r>
      <w:proofErr w:type="spellEnd"/>
      <w:r>
        <w:rPr>
          <w:rFonts w:ascii="標楷體" w:eastAsia="標楷體" w:hAnsi="標楷體"/>
        </w:rPr>
        <w:t>、</w:t>
      </w:r>
      <w:proofErr w:type="spellStart"/>
      <w:r>
        <w:rPr>
          <w:rFonts w:ascii="標楷體" w:eastAsia="標楷體" w:hAnsi="標楷體"/>
        </w:rPr>
        <w:t>Rebetol</w:t>
      </w:r>
      <w:proofErr w:type="spellEnd"/>
      <w:r>
        <w:rPr>
          <w:rFonts w:ascii="標楷體" w:eastAsia="標楷體" w:hAnsi="標楷體"/>
        </w:rPr>
        <w:t>）(93/2/1、93/7/1、93/8/1、95/11/1、98/11/1、100/4/1、109/7/1、114/6/1</w:t>
      </w:r>
      <w:proofErr w:type="gramStart"/>
      <w:r>
        <w:rPr>
          <w:rFonts w:ascii="標楷體" w:eastAsia="標楷體" w:hAnsi="標楷體"/>
        </w:rPr>
        <w:t>）</w:t>
      </w:r>
      <w:proofErr w:type="gramEnd"/>
      <w:r>
        <w:rPr>
          <w:rFonts w:ascii="標楷體" w:eastAsia="標楷體" w:hAnsi="標楷體"/>
        </w:rPr>
        <w:t>：</w:t>
      </w:r>
    </w:p>
    <w:p w14:paraId="57131AB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1.限用於下列慢性病毒性C型肝炎患者且應與interferon-alfa 2a或interferon-alfa 2b或interferon alfacon-1或peginterferon alfa-2b或peginterferon alfa-2a合併治療：</w:t>
      </w:r>
    </w:p>
    <w:p w14:paraId="12F59B6E"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 xml:space="preserve">(1)限ALT值異常者，且Anti-HCV 與HCV RNA </w:t>
      </w:r>
      <w:proofErr w:type="gramStart"/>
      <w:r>
        <w:rPr>
          <w:rFonts w:ascii="標楷體" w:eastAsia="標楷體" w:hAnsi="標楷體"/>
        </w:rPr>
        <w:t>均為陽性</w:t>
      </w:r>
      <w:proofErr w:type="gramEnd"/>
      <w:r>
        <w:rPr>
          <w:rFonts w:ascii="標楷體" w:eastAsia="標楷體" w:hAnsi="標楷體"/>
        </w:rPr>
        <w:t>，或經由肝組織切片，以METAVIR system證實輕度纖維化大於或等於F1及肝炎變化，且無肝功能代償不全者。（98/11/1、114/6/1）</w:t>
      </w:r>
    </w:p>
    <w:p w14:paraId="73588B7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(2)療程依Viral Kinetics區分如下:（98/11/1）</w:t>
      </w:r>
    </w:p>
    <w:p w14:paraId="26EB89DC"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Ⅰ.有RVR (rapid virological response, 快速病毒反應)者，給付治療不超過24</w:t>
      </w:r>
      <w:proofErr w:type="gramStart"/>
      <w:r>
        <w:rPr>
          <w:rFonts w:ascii="標楷體" w:eastAsia="標楷體" w:hAnsi="標楷體"/>
        </w:rPr>
        <w:t>週</w:t>
      </w:r>
      <w:proofErr w:type="gramEnd"/>
      <w:r>
        <w:rPr>
          <w:rFonts w:ascii="標楷體" w:eastAsia="標楷體" w:hAnsi="標楷體"/>
        </w:rPr>
        <w:t>。</w:t>
      </w:r>
    </w:p>
    <w:p w14:paraId="35147BCA"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Ⅱ.無RVR，但有EVR (early virologic response)者，給付治療48</w:t>
      </w:r>
      <w:proofErr w:type="gramStart"/>
      <w:r>
        <w:rPr>
          <w:rFonts w:ascii="標楷體" w:eastAsia="標楷體" w:hAnsi="標楷體"/>
        </w:rPr>
        <w:t>週</w:t>
      </w:r>
      <w:proofErr w:type="gramEnd"/>
      <w:r>
        <w:rPr>
          <w:rFonts w:ascii="標楷體" w:eastAsia="標楷體" w:hAnsi="標楷體"/>
        </w:rPr>
        <w:t>。</w:t>
      </w:r>
    </w:p>
    <w:p w14:paraId="6DDDB711"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Ⅲ.到第12</w:t>
      </w:r>
      <w:proofErr w:type="gramStart"/>
      <w:r>
        <w:rPr>
          <w:rFonts w:ascii="標楷體" w:eastAsia="標楷體" w:hAnsi="標楷體"/>
        </w:rPr>
        <w:t>週</w:t>
      </w:r>
      <w:proofErr w:type="gramEnd"/>
      <w:r>
        <w:rPr>
          <w:rFonts w:ascii="標楷體" w:eastAsia="標楷體" w:hAnsi="標楷體"/>
        </w:rPr>
        <w:t>未到EVR者，應中止治療，治療期間不超過16</w:t>
      </w:r>
      <w:proofErr w:type="gramStart"/>
      <w:r>
        <w:rPr>
          <w:rFonts w:ascii="標楷體" w:eastAsia="標楷體" w:hAnsi="標楷體"/>
        </w:rPr>
        <w:t>週</w:t>
      </w:r>
      <w:proofErr w:type="gramEnd"/>
      <w:r>
        <w:rPr>
          <w:rFonts w:ascii="標楷體" w:eastAsia="標楷體" w:hAnsi="標楷體"/>
        </w:rPr>
        <w:t>。</w:t>
      </w:r>
    </w:p>
    <w:p w14:paraId="6DC4FA57"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Ⅳ.第一次治療24</w:t>
      </w:r>
      <w:proofErr w:type="gramStart"/>
      <w:r>
        <w:rPr>
          <w:rFonts w:ascii="標楷體" w:eastAsia="標楷體" w:hAnsi="標楷體"/>
        </w:rPr>
        <w:t>週</w:t>
      </w:r>
      <w:proofErr w:type="gramEnd"/>
      <w:r>
        <w:rPr>
          <w:rFonts w:ascii="標楷體" w:eastAsia="標楷體" w:hAnsi="標楷體"/>
        </w:rPr>
        <w:t>後復發者，可以給予第二次治療，給付不超過48</w:t>
      </w:r>
      <w:proofErr w:type="gramStart"/>
      <w:r>
        <w:rPr>
          <w:rFonts w:ascii="標楷體" w:eastAsia="標楷體" w:hAnsi="標楷體"/>
        </w:rPr>
        <w:t>週</w:t>
      </w:r>
      <w:proofErr w:type="gramEnd"/>
      <w:r>
        <w:rPr>
          <w:rFonts w:ascii="標楷體" w:eastAsia="標楷體" w:hAnsi="標楷體"/>
        </w:rPr>
        <w:t>。</w:t>
      </w:r>
    </w:p>
    <w:p w14:paraId="38C4BC7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proofErr w:type="gramStart"/>
      <w:r>
        <w:rPr>
          <w:rFonts w:ascii="標楷體" w:eastAsia="標楷體" w:hAnsi="標楷體"/>
        </w:rPr>
        <w:t>醫</w:t>
      </w:r>
      <w:proofErr w:type="gramEnd"/>
      <w:r>
        <w:rPr>
          <w:rFonts w:ascii="標楷體" w:eastAsia="標楷體" w:hAnsi="標楷體"/>
        </w:rPr>
        <w:t>事服務機構及醫師資格：(109/7/1、111/9/1)</w:t>
      </w:r>
    </w:p>
    <w:p w14:paraId="6E7FDC00"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(1)醫院：</w:t>
      </w:r>
    </w:p>
    <w:p w14:paraId="3A27EEFA"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Ⅰ.有消化系內科或消化系兒科專科醫師之醫院。</w:t>
      </w:r>
    </w:p>
    <w:p w14:paraId="2907B3C7"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lastRenderedPageBreak/>
        <w:t>Ⅱ.醫師資格為前開醫院之消化系內科專科醫師、消化系兒科專科醫師、血液病專科醫師、腫瘤內科專科醫師、癌症相關科醫師及符合器官移植手術資格之專任或兼任專科醫師。</w:t>
      </w:r>
    </w:p>
    <w:p w14:paraId="2788B3A9"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之感染症內科專科醫師開立處方。</w:t>
      </w:r>
    </w:p>
    <w:p w14:paraId="4261101E"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(2)基層院所：</w:t>
      </w:r>
    </w:p>
    <w:p w14:paraId="20B431CE"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Ⅰ.須具有消化系內科或消化系兒科專任專科醫師之基層院所。</w:t>
      </w:r>
    </w:p>
    <w:p w14:paraId="3BE77CAF"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Ⅱ.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3AA71F0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◎附表三十四：肝炎治療醫療資源不足地區及山地離島地區一覽表</w:t>
      </w:r>
    </w:p>
    <w:p w14:paraId="385E97D4" w14:textId="77777777" w:rsidR="00401786" w:rsidRDefault="00C64FB3" w:rsidP="0009639E">
      <w:pPr>
        <w:spacing w:line="300" w:lineRule="exact"/>
        <w:ind w:left="672" w:hanging="386"/>
      </w:pPr>
      <w:r>
        <w:rPr>
          <w:rFonts w:ascii="標楷體" w:eastAsia="標楷體" w:hAnsi="標楷體"/>
          <w:bCs/>
        </w:rPr>
        <w:t>10.7.3.Lamivudine 100mg(如</w:t>
      </w:r>
      <w:proofErr w:type="spellStart"/>
      <w:r>
        <w:rPr>
          <w:rFonts w:ascii="標楷體" w:eastAsia="標楷體" w:hAnsi="標楷體"/>
          <w:bCs/>
        </w:rPr>
        <w:t>Zeffix</w:t>
      </w:r>
      <w:proofErr w:type="spellEnd"/>
      <w:r>
        <w:rPr>
          <w:rFonts w:ascii="標楷體" w:eastAsia="標楷體" w:hAnsi="標楷體"/>
          <w:bCs/>
        </w:rPr>
        <w:t>)；entecavir (如</w:t>
      </w:r>
      <w:proofErr w:type="spellStart"/>
      <w:r>
        <w:rPr>
          <w:rFonts w:ascii="標楷體" w:eastAsia="標楷體" w:hAnsi="標楷體"/>
          <w:bCs/>
        </w:rPr>
        <w:t>Baraclude</w:t>
      </w:r>
      <w:proofErr w:type="spellEnd"/>
      <w:r>
        <w:rPr>
          <w:rFonts w:ascii="標楷體" w:eastAsia="標楷體" w:hAnsi="標楷體"/>
          <w:bCs/>
        </w:rPr>
        <w:t>)；telbivudine (如</w:t>
      </w:r>
      <w:proofErr w:type="spellStart"/>
      <w:r>
        <w:rPr>
          <w:rFonts w:ascii="標楷體" w:eastAsia="標楷體" w:hAnsi="標楷體"/>
          <w:bCs/>
        </w:rPr>
        <w:t>Sebivo</w:t>
      </w:r>
      <w:proofErr w:type="spellEnd"/>
      <w:r>
        <w:rPr>
          <w:rFonts w:ascii="標楷體" w:eastAsia="標楷體" w:hAnsi="標楷體"/>
          <w:bCs/>
        </w:rPr>
        <w:t>)；tenofovir disoproxil (如</w:t>
      </w:r>
      <w:proofErr w:type="spellStart"/>
      <w:r>
        <w:rPr>
          <w:rFonts w:ascii="標楷體" w:eastAsia="標楷體" w:hAnsi="標楷體"/>
          <w:bCs/>
        </w:rPr>
        <w:t>Viread</w:t>
      </w:r>
      <w:proofErr w:type="spellEnd"/>
      <w:r>
        <w:rPr>
          <w:rFonts w:ascii="標楷體" w:eastAsia="標楷體" w:hAnsi="標楷體"/>
          <w:bCs/>
        </w:rPr>
        <w:t>)；tenofovir alafenamide (如</w:t>
      </w:r>
      <w:proofErr w:type="spellStart"/>
      <w:r>
        <w:rPr>
          <w:rFonts w:ascii="標楷體" w:eastAsia="標楷體" w:hAnsi="標楷體"/>
          <w:bCs/>
        </w:rPr>
        <w:t>Vemlidy</w:t>
      </w:r>
      <w:proofErr w:type="spellEnd"/>
      <w:r>
        <w:rPr>
          <w:rFonts w:ascii="標楷體" w:eastAsia="標楷體" w:hAnsi="標楷體"/>
          <w:bCs/>
        </w:rPr>
        <w:t>)：</w:t>
      </w:r>
      <w:proofErr w:type="gramStart"/>
      <w:r>
        <w:rPr>
          <w:rFonts w:ascii="標楷體" w:eastAsia="標楷體" w:hAnsi="標楷體"/>
          <w:bCs/>
        </w:rPr>
        <w:t>（</w:t>
      </w:r>
      <w:proofErr w:type="gramEnd"/>
      <w:r>
        <w:rPr>
          <w:rFonts w:ascii="標楷體" w:eastAsia="標楷體" w:hAnsi="標楷體"/>
          <w:bCs/>
        </w:rPr>
        <w:t>92/10/1、93/2/1、93/8/1、94/10/1、95/10/1、95/11/1、97/8/1、98/11/1、99/5/1、99/7/1、100/6/1、102/2/1、104/12/1、106/1/1、106/4/1、107/2/1、108/2/1、108/5/1、109/1/1、109/7/1、110/3/1、111/3/1、111/9/1、112/10/1、113/1/1、113/4/1、114/6/1)</w:t>
      </w:r>
    </w:p>
    <w:p w14:paraId="1FF367A6"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用於慢性病毒性B型肝炎患者之條件如下：</w:t>
      </w:r>
    </w:p>
    <w:p w14:paraId="57DC17A8" w14:textId="77777777" w:rsidR="00401786" w:rsidRDefault="00C64FB3" w:rsidP="0009639E">
      <w:pPr>
        <w:spacing w:line="300" w:lineRule="exact"/>
        <w:ind w:left="811" w:hanging="245"/>
        <w:rPr>
          <w:rFonts w:ascii="標楷體" w:eastAsia="標楷體" w:hAnsi="標楷體"/>
          <w:bCs/>
        </w:rPr>
      </w:pPr>
      <w:r>
        <w:rPr>
          <w:rFonts w:ascii="標楷體" w:eastAsia="標楷體" w:hAnsi="標楷體"/>
          <w:bCs/>
        </w:rPr>
        <w:t>1.HBsAg(+)且已發生肝代償不全者，以lamivudine 100mg、entecavir 1.0mg、telbivudine、tenofovir disoproxil或tenofovir alafenamide治療，其給付療程如下：（98/11/1、100/6/1、102/2/1、104/12/1、106/1/1、106/4/1、108/5/1、111/3/1）</w:t>
      </w:r>
    </w:p>
    <w:p w14:paraId="31846565" w14:textId="77777777" w:rsidR="00401786" w:rsidRDefault="00C64FB3" w:rsidP="0009639E">
      <w:pPr>
        <w:spacing w:line="300" w:lineRule="exact"/>
        <w:ind w:left="1049" w:hanging="341"/>
      </w:pPr>
      <w:r>
        <w:rPr>
          <w:rFonts w:ascii="標楷體" w:eastAsia="標楷體" w:hAnsi="標楷體"/>
          <w:bCs/>
        </w:rPr>
        <w:t>(1)</w:t>
      </w:r>
      <w:proofErr w:type="spellStart"/>
      <w:r>
        <w:rPr>
          <w:rFonts w:ascii="標楷體" w:eastAsia="標楷體" w:hAnsi="標楷體"/>
          <w:bCs/>
        </w:rPr>
        <w:t>HBeAg</w:t>
      </w:r>
      <w:proofErr w:type="spellEnd"/>
      <w:r>
        <w:rPr>
          <w:rFonts w:ascii="標楷體" w:eastAsia="標楷體" w:hAnsi="標楷體"/>
          <w:bCs/>
        </w:rPr>
        <w:t>陽性病患治療至e抗原</w:t>
      </w:r>
      <w:proofErr w:type="gramStart"/>
      <w:r>
        <w:rPr>
          <w:rFonts w:ascii="標楷體" w:eastAsia="標楷體" w:hAnsi="標楷體"/>
          <w:bCs/>
        </w:rPr>
        <w:t>轉陰並</w:t>
      </w:r>
      <w:proofErr w:type="gramEnd"/>
      <w:r>
        <w:rPr>
          <w:rFonts w:ascii="標楷體" w:eastAsia="標楷體" w:hAnsi="標楷體"/>
          <w:bCs/>
        </w:rPr>
        <w:t>再給付最多12個月治療。</w:t>
      </w:r>
    </w:p>
    <w:p w14:paraId="3F32939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w:t>
      </w:r>
      <w:proofErr w:type="spellStart"/>
      <w:r>
        <w:rPr>
          <w:rFonts w:ascii="標楷體" w:eastAsia="標楷體" w:hAnsi="標楷體"/>
        </w:rPr>
        <w:t>HBeAg</w:t>
      </w:r>
      <w:proofErr w:type="spellEnd"/>
      <w:r>
        <w:rPr>
          <w:rFonts w:ascii="標楷體" w:eastAsia="標楷體" w:hAnsi="標楷體"/>
        </w:rPr>
        <w:t>陰性病患治療至少二年，治療期間需檢驗血清HBV DNA，並於檢驗血清HBV DNA連續三次，每次間隔6個月，均檢驗不出HBV DNA時停藥，每次療程至多給付36個月。</w:t>
      </w:r>
    </w:p>
    <w:p w14:paraId="125578D4" w14:textId="77777777" w:rsidR="00401786" w:rsidRDefault="00C64FB3" w:rsidP="0009639E">
      <w:pPr>
        <w:spacing w:line="300" w:lineRule="exact"/>
        <w:ind w:left="1032" w:hanging="324"/>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w:t>
      </w:r>
    </w:p>
    <w:p w14:paraId="7409167C" w14:textId="77777777" w:rsidR="00401786" w:rsidRDefault="00C64FB3" w:rsidP="0009639E">
      <w:pPr>
        <w:spacing w:line="300" w:lineRule="exact"/>
        <w:ind w:left="1415" w:hanging="378"/>
        <w:rPr>
          <w:rFonts w:ascii="標楷體" w:eastAsia="標楷體" w:hAnsi="標楷體"/>
        </w:rPr>
      </w:pPr>
      <w:r>
        <w:rPr>
          <w:rFonts w:ascii="標楷體" w:eastAsia="標楷體" w:hAnsi="標楷體"/>
        </w:rPr>
        <w:t>Ⅰ.肝代償不全條件為prothrombin time延長</w:t>
      </w:r>
      <w:proofErr w:type="gramStart"/>
      <w:r>
        <w:rPr>
          <w:rFonts w:ascii="標楷體" w:eastAsia="標楷體" w:hAnsi="標楷體"/>
        </w:rPr>
        <w:t>≧</w:t>
      </w:r>
      <w:proofErr w:type="gramEnd"/>
      <w:r>
        <w:rPr>
          <w:rFonts w:ascii="標楷體" w:eastAsia="標楷體" w:hAnsi="標楷體"/>
        </w:rPr>
        <w:t>3秒或bilirubin (total)</w:t>
      </w:r>
      <w:proofErr w:type="gramStart"/>
      <w:r>
        <w:rPr>
          <w:rFonts w:ascii="標楷體" w:eastAsia="標楷體" w:hAnsi="標楷體"/>
        </w:rPr>
        <w:t>≧</w:t>
      </w:r>
      <w:proofErr w:type="gramEnd"/>
      <w:r>
        <w:rPr>
          <w:rFonts w:ascii="標楷體" w:eastAsia="標楷體" w:hAnsi="標楷體"/>
        </w:rPr>
        <w:t>2.0mg/dL，prothrombin time延長係以該次檢驗control值為</w:t>
      </w:r>
      <w:proofErr w:type="gramStart"/>
      <w:r>
        <w:rPr>
          <w:rFonts w:ascii="標楷體" w:eastAsia="標楷體" w:hAnsi="標楷體"/>
        </w:rPr>
        <w:t>準</w:t>
      </w:r>
      <w:proofErr w:type="gramEnd"/>
      <w:r>
        <w:rPr>
          <w:rFonts w:ascii="標楷體" w:eastAsia="標楷體" w:hAnsi="標楷體"/>
        </w:rPr>
        <w:t>。</w:t>
      </w:r>
    </w:p>
    <w:p w14:paraId="1BB0791A" w14:textId="77777777" w:rsidR="00401786" w:rsidRDefault="00C64FB3" w:rsidP="0009639E">
      <w:pPr>
        <w:spacing w:line="300" w:lineRule="exact"/>
        <w:ind w:left="1790" w:hanging="756"/>
        <w:rPr>
          <w:rFonts w:ascii="標楷體" w:eastAsia="標楷體" w:hAnsi="標楷體"/>
        </w:rPr>
      </w:pPr>
      <w:proofErr w:type="spellStart"/>
      <w:r>
        <w:rPr>
          <w:rFonts w:ascii="標楷體" w:eastAsia="標楷體" w:hAnsi="標楷體"/>
        </w:rPr>
        <w:t>Ⅱ.Entecavir</w:t>
      </w:r>
      <w:proofErr w:type="spellEnd"/>
      <w:r>
        <w:rPr>
          <w:rFonts w:ascii="標楷體" w:eastAsia="標楷體" w:hAnsi="標楷體"/>
        </w:rPr>
        <w:t>每日限使用1粒。</w:t>
      </w:r>
    </w:p>
    <w:p w14:paraId="5C229D3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2.慢性</w:t>
      </w:r>
      <w:proofErr w:type="gramStart"/>
      <w:r>
        <w:rPr>
          <w:rFonts w:ascii="標楷體" w:eastAsia="標楷體" w:hAnsi="標楷體"/>
        </w:rPr>
        <w:t>Ｂ</w:t>
      </w:r>
      <w:proofErr w:type="gramEnd"/>
      <w:r>
        <w:rPr>
          <w:rFonts w:ascii="標楷體" w:eastAsia="標楷體" w:hAnsi="標楷體"/>
        </w:rPr>
        <w:t>型肝炎病毒帶原者HBsAg(+)，或HBsAg(-)但B型肝炎核心抗體(anti-HBc)陽性者：（98/11/1、110/3/1、114/6/1）</w:t>
      </w:r>
    </w:p>
    <w:p w14:paraId="36F5CE0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(1)接受非肝臟之器官移植者，自移植前7天內可開始預防性使用，或接受非肝臟之器官移植後，B型肝炎發作者，可長期使用。(98/11/1、110/3/1)</w:t>
      </w:r>
    </w:p>
    <w:p w14:paraId="0EED98DF"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(2)接受癌症化學療法中，B型肝炎發作者，經照會消化系專科醫師同意後，可長期使用。(93/2/1、94/10/1、98/11/1)</w:t>
      </w:r>
    </w:p>
    <w:p w14:paraId="4C0E4A9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(3)接受肝臟移植者，可預防性使用。(95/10/1、98/11/1)</w:t>
      </w:r>
    </w:p>
    <w:p w14:paraId="5B4FBFA5"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(4)接受癌症化學療法，經照會消化系專科醫師同意後，可於化學療法前1</w:t>
      </w:r>
      <w:proofErr w:type="gramStart"/>
      <w:r>
        <w:rPr>
          <w:rFonts w:ascii="標楷體" w:eastAsia="標楷體" w:hAnsi="標楷體"/>
        </w:rPr>
        <w:t>週</w:t>
      </w:r>
      <w:proofErr w:type="gramEnd"/>
      <w:r>
        <w:rPr>
          <w:rFonts w:ascii="標楷體" w:eastAsia="標楷體" w:hAnsi="標楷體"/>
        </w:rPr>
        <w:t>開始給付使用，直至化學療法結束後6個月，以預防</w:t>
      </w:r>
      <w:proofErr w:type="gramStart"/>
      <w:r>
        <w:rPr>
          <w:rFonts w:ascii="標楷體" w:eastAsia="標楷體" w:hAnsi="標楷體"/>
        </w:rPr>
        <w:t>Ｂ</w:t>
      </w:r>
      <w:proofErr w:type="gramEnd"/>
      <w:r>
        <w:rPr>
          <w:rFonts w:ascii="標楷體" w:eastAsia="標楷體" w:hAnsi="標楷體"/>
        </w:rPr>
        <w:t>型肝炎發作。（98/11/1）</w:t>
      </w:r>
    </w:p>
    <w:p w14:paraId="1D77F96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(5)肝硬化病患，可長期使用。(99/7/1、110/3/1、114/6/1)</w:t>
      </w:r>
    </w:p>
    <w:p w14:paraId="1EA7C3CE" w14:textId="77777777" w:rsidR="00401786" w:rsidRDefault="00C64FB3" w:rsidP="0009639E">
      <w:pPr>
        <w:spacing w:line="300" w:lineRule="exact"/>
        <w:ind w:left="1188" w:hanging="468"/>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：肝硬化條件為需同時符合下列二項條件: (99/7/1、110/3/1、114/6/1)</w:t>
      </w:r>
    </w:p>
    <w:p w14:paraId="250F7215" w14:textId="77777777" w:rsidR="00401786" w:rsidRDefault="00C64FB3" w:rsidP="0009639E">
      <w:pPr>
        <w:spacing w:line="300" w:lineRule="exact"/>
        <w:ind w:left="1414" w:hanging="336"/>
        <w:rPr>
          <w:rFonts w:ascii="標楷體" w:eastAsia="標楷體" w:hAnsi="標楷體"/>
        </w:rPr>
      </w:pPr>
      <w:proofErr w:type="spellStart"/>
      <w:r>
        <w:rPr>
          <w:rFonts w:ascii="標楷體" w:eastAsia="標楷體" w:hAnsi="標楷體"/>
        </w:rPr>
        <w:t>I.HBsAg</w:t>
      </w:r>
      <w:proofErr w:type="spellEnd"/>
      <w:r>
        <w:rPr>
          <w:rFonts w:ascii="標楷體" w:eastAsia="標楷體" w:hAnsi="標楷體"/>
        </w:rPr>
        <w:t>(+)且可檢驗到血清HBV DNA。(110/3/1)</w:t>
      </w:r>
    </w:p>
    <w:p w14:paraId="5C98449A" w14:textId="77777777" w:rsidR="00401786" w:rsidRDefault="00C64FB3" w:rsidP="0009639E">
      <w:pPr>
        <w:spacing w:line="300" w:lineRule="exact"/>
        <w:ind w:left="1414" w:hanging="420"/>
        <w:rPr>
          <w:rFonts w:ascii="標楷體" w:eastAsia="標楷體" w:hAnsi="標楷體"/>
        </w:rPr>
      </w:pPr>
      <w:r>
        <w:rPr>
          <w:rFonts w:ascii="標楷體" w:eastAsia="標楷體" w:hAnsi="標楷體"/>
        </w:rPr>
        <w:t>Ⅱ.診斷標準（99/7/1、114/6/1）：</w:t>
      </w:r>
    </w:p>
    <w:p w14:paraId="588CB1E5" w14:textId="77777777" w:rsidR="00401786" w:rsidRDefault="00C64FB3" w:rsidP="0009639E">
      <w:pPr>
        <w:spacing w:line="300" w:lineRule="exact"/>
        <w:ind w:left="1483" w:hanging="223"/>
        <w:rPr>
          <w:rFonts w:ascii="標楷體" w:eastAsia="標楷體" w:hAnsi="標楷體"/>
        </w:rPr>
      </w:pPr>
      <w:r>
        <w:rPr>
          <w:rFonts w:ascii="標楷體" w:eastAsia="標楷體" w:hAnsi="標楷體"/>
        </w:rPr>
        <w:t>a.肝組織切片（</w:t>
      </w:r>
      <w:proofErr w:type="spellStart"/>
      <w:r>
        <w:rPr>
          <w:rFonts w:ascii="標楷體" w:eastAsia="標楷體" w:hAnsi="標楷體"/>
        </w:rPr>
        <w:t>Metavir</w:t>
      </w:r>
      <w:proofErr w:type="spellEnd"/>
      <w:r>
        <w:rPr>
          <w:rFonts w:ascii="標楷體" w:eastAsia="標楷體" w:hAnsi="標楷體"/>
        </w:rPr>
        <w:t xml:space="preserve"> F4或Ishak F5以上）（114/6/1）；或</w:t>
      </w:r>
    </w:p>
    <w:p w14:paraId="289171E3" w14:textId="77777777" w:rsidR="00401786" w:rsidRDefault="00C64FB3" w:rsidP="0009639E">
      <w:pPr>
        <w:spacing w:line="300" w:lineRule="exact"/>
        <w:ind w:left="1483" w:hanging="223"/>
        <w:rPr>
          <w:rFonts w:ascii="標楷體" w:eastAsia="標楷體" w:hAnsi="標楷體"/>
        </w:rPr>
      </w:pPr>
      <w:r>
        <w:rPr>
          <w:rFonts w:ascii="標楷體" w:eastAsia="標楷體" w:hAnsi="標楷體"/>
        </w:rPr>
        <w:t>b.超音波診斷為肝硬化</w:t>
      </w:r>
      <w:proofErr w:type="gramStart"/>
      <w:r>
        <w:rPr>
          <w:rFonts w:ascii="標楷體" w:eastAsia="標楷體" w:hAnsi="標楷體"/>
        </w:rPr>
        <w:t>併</w:t>
      </w:r>
      <w:proofErr w:type="gramEnd"/>
      <w:r>
        <w:rPr>
          <w:rFonts w:ascii="標楷體" w:eastAsia="標楷體" w:hAnsi="標楷體"/>
        </w:rPr>
        <w:t>食道或胃靜脈曲張，或超音波診斷為肝硬化</w:t>
      </w:r>
      <w:proofErr w:type="gramStart"/>
      <w:r>
        <w:rPr>
          <w:rFonts w:ascii="標楷體" w:eastAsia="標楷體" w:hAnsi="標楷體"/>
        </w:rPr>
        <w:t>併</w:t>
      </w:r>
      <w:proofErr w:type="gramEnd"/>
      <w:r>
        <w:rPr>
          <w:rFonts w:ascii="標楷體" w:eastAsia="標楷體" w:hAnsi="標楷體"/>
        </w:rPr>
        <w:t>脾腫大、超音波診斷為肝硬化且血小板&lt; 120,000/</w:t>
      </w:r>
      <w:proofErr w:type="spellStart"/>
      <w:r>
        <w:rPr>
          <w:rFonts w:ascii="標楷體" w:eastAsia="標楷體" w:hAnsi="標楷體"/>
        </w:rPr>
        <w:t>μL</w:t>
      </w:r>
      <w:proofErr w:type="spellEnd"/>
      <w:r>
        <w:rPr>
          <w:rFonts w:ascii="標楷體" w:eastAsia="標楷體" w:hAnsi="標楷體"/>
        </w:rPr>
        <w:t>，</w:t>
      </w:r>
      <w:proofErr w:type="gramStart"/>
      <w:r>
        <w:rPr>
          <w:rFonts w:ascii="標楷體" w:eastAsia="標楷體" w:hAnsi="標楷體"/>
        </w:rPr>
        <w:t>或肝硬度</w:t>
      </w:r>
      <w:proofErr w:type="gramEnd"/>
      <w:r>
        <w:rPr>
          <w:rFonts w:ascii="標楷體" w:eastAsia="標楷體" w:hAnsi="標楷體"/>
        </w:rPr>
        <w:t>超音波診斷為肝硬化。若患者因其他臨床適應症接受電腦斷層或核磁共振檢查而被診斷為肝硬化時，可做為診斷依據。(110/3/1)</w:t>
      </w:r>
    </w:p>
    <w:p w14:paraId="6ECAE72E" w14:textId="77777777" w:rsidR="00401786" w:rsidRDefault="00C64FB3" w:rsidP="0009639E">
      <w:pPr>
        <w:spacing w:line="300" w:lineRule="exact"/>
        <w:ind w:left="1711" w:hanging="223"/>
        <w:rPr>
          <w:rFonts w:ascii="標楷體" w:eastAsia="標楷體" w:hAnsi="標楷體"/>
        </w:rPr>
      </w:pPr>
      <w:proofErr w:type="gramStart"/>
      <w:r>
        <w:rPr>
          <w:rFonts w:ascii="標楷體" w:eastAsia="標楷體" w:hAnsi="標楷體"/>
        </w:rPr>
        <w:lastRenderedPageBreak/>
        <w:t>註</w:t>
      </w:r>
      <w:proofErr w:type="gramEnd"/>
      <w:r>
        <w:rPr>
          <w:rFonts w:ascii="標楷體" w:eastAsia="標楷體" w:hAnsi="標楷體"/>
        </w:rPr>
        <w:t>：</w:t>
      </w:r>
      <w:proofErr w:type="gramStart"/>
      <w:r>
        <w:rPr>
          <w:rFonts w:ascii="標楷體" w:eastAsia="標楷體" w:hAnsi="標楷體"/>
        </w:rPr>
        <w:t>以肝硬度</w:t>
      </w:r>
      <w:proofErr w:type="gramEnd"/>
      <w:r>
        <w:rPr>
          <w:rFonts w:ascii="標楷體" w:eastAsia="標楷體" w:hAnsi="標楷體"/>
        </w:rPr>
        <w:t>超音波證實等同METAVIR system纖維化等於F4之定義：transient elastography (</w:t>
      </w:r>
      <w:proofErr w:type="spellStart"/>
      <w:r>
        <w:rPr>
          <w:rFonts w:ascii="標楷體" w:eastAsia="標楷體" w:hAnsi="標楷體"/>
        </w:rPr>
        <w:t>Fibroscan</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 xml:space="preserve"> 12 Kpa或Acoustic Radiation Force Impulse elastography (ARFI)</w:t>
      </w:r>
      <w:proofErr w:type="gramStart"/>
      <w:r>
        <w:rPr>
          <w:rFonts w:ascii="標楷體" w:eastAsia="標楷體" w:hAnsi="標楷體"/>
        </w:rPr>
        <w:t>≧</w:t>
      </w:r>
      <w:proofErr w:type="gramEnd"/>
      <w:r>
        <w:rPr>
          <w:rFonts w:ascii="標楷體" w:eastAsia="標楷體" w:hAnsi="標楷體"/>
        </w:rPr>
        <w:t xml:space="preserve"> 1.98。(110/3/1)</w:t>
      </w:r>
    </w:p>
    <w:p w14:paraId="7913C81E"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(6)在異體造血幹細胞移植時：(104/12/1)</w:t>
      </w:r>
    </w:p>
    <w:p w14:paraId="06F12335" w14:textId="77777777" w:rsidR="00401786" w:rsidRDefault="00C64FB3" w:rsidP="0009639E">
      <w:pPr>
        <w:spacing w:line="300" w:lineRule="exact"/>
        <w:ind w:left="1385" w:hanging="348"/>
        <w:rPr>
          <w:rFonts w:ascii="標楷體" w:eastAsia="標楷體" w:hAnsi="標楷體"/>
        </w:rPr>
      </w:pPr>
      <w:r>
        <w:rPr>
          <w:rFonts w:ascii="標楷體" w:eastAsia="標楷體" w:hAnsi="標楷體"/>
        </w:rPr>
        <w:t>Ⅰ.捐贈者之HBsAg為陽性反應，則捐贈者可自其確認為移植捐贈者後開始使用預防性抗病毒藥物治療，原則上治療到血液中偵測不到HBV DNA；若捐贈者符合10.7.3之3至5項治療條件，則依其規範給付。</w:t>
      </w:r>
    </w:p>
    <w:p w14:paraId="6BE068EA" w14:textId="77777777" w:rsidR="00401786" w:rsidRDefault="00C64FB3" w:rsidP="0009639E">
      <w:pPr>
        <w:spacing w:line="300" w:lineRule="exact"/>
        <w:ind w:left="1385" w:hanging="348"/>
        <w:rPr>
          <w:rFonts w:ascii="標楷體" w:eastAsia="標楷體" w:hAnsi="標楷體"/>
        </w:rPr>
      </w:pPr>
      <w:r>
        <w:rPr>
          <w:rFonts w:ascii="標楷體" w:eastAsia="標楷體" w:hAnsi="標楷體"/>
        </w:rPr>
        <w:t>Ⅱ.</w:t>
      </w:r>
      <w:r>
        <w:rPr>
          <w:rFonts w:ascii="標楷體" w:eastAsia="標楷體" w:hAnsi="標楷體"/>
        </w:rPr>
        <w:tab/>
        <w:t>受贈者之HBsAg為陽性反應，或捐贈來源之HBsAg為陽性反應，則受贈者可在經照會消化系專科醫師同意後，於移植前一</w:t>
      </w:r>
      <w:proofErr w:type="gramStart"/>
      <w:r>
        <w:rPr>
          <w:rFonts w:ascii="標楷體" w:eastAsia="標楷體" w:hAnsi="標楷體"/>
        </w:rPr>
        <w:t>週</w:t>
      </w:r>
      <w:proofErr w:type="gramEnd"/>
      <w:r>
        <w:rPr>
          <w:rFonts w:ascii="標楷體" w:eastAsia="標楷體" w:hAnsi="標楷體"/>
        </w:rPr>
        <w:t>起至移植後免疫抑制藥物停用後6個月內，給付使用抗B型肝炎病毒藥物以預防發作。</w:t>
      </w:r>
    </w:p>
    <w:p w14:paraId="1B25CFD9" w14:textId="77777777" w:rsidR="00401786" w:rsidRDefault="00C64FB3" w:rsidP="0009639E">
      <w:pPr>
        <w:spacing w:line="300" w:lineRule="exact"/>
        <w:ind w:left="1133" w:hanging="425"/>
      </w:pPr>
      <w:r>
        <w:rPr>
          <w:rFonts w:ascii="標楷體" w:eastAsia="標楷體" w:hAnsi="標楷體"/>
        </w:rPr>
        <w:t>(7)血清HBV DNA</w:t>
      </w:r>
      <w:proofErr w:type="gramStart"/>
      <w:r>
        <w:rPr>
          <w:rFonts w:ascii="標楷體" w:eastAsia="標楷體" w:hAnsi="標楷體"/>
        </w:rPr>
        <w:t>≧</w:t>
      </w:r>
      <w:proofErr w:type="gramEnd"/>
      <w:r>
        <w:rPr>
          <w:rFonts w:ascii="標楷體" w:eastAsia="標楷體" w:hAnsi="標楷體"/>
        </w:rPr>
        <w:t xml:space="preserve"> 2×10</w:t>
      </w:r>
      <w:r>
        <w:rPr>
          <w:rFonts w:ascii="標楷體" w:eastAsia="標楷體" w:hAnsi="標楷體"/>
          <w:vertAlign w:val="superscript"/>
        </w:rPr>
        <w:t>5</w:t>
      </w:r>
      <w:r>
        <w:rPr>
          <w:rFonts w:ascii="標楷體" w:eastAsia="標楷體" w:hAnsi="標楷體"/>
        </w:rPr>
        <w:t xml:space="preserve"> IU/mL之懷孕者，可於懷孕滿27</w:t>
      </w:r>
      <w:proofErr w:type="gramStart"/>
      <w:r>
        <w:rPr>
          <w:rFonts w:ascii="標楷體" w:eastAsia="標楷體" w:hAnsi="標楷體"/>
        </w:rPr>
        <w:t>週</w:t>
      </w:r>
      <w:proofErr w:type="gramEnd"/>
      <w:r>
        <w:rPr>
          <w:rFonts w:ascii="標楷體" w:eastAsia="標楷體" w:hAnsi="標楷體"/>
        </w:rPr>
        <w:t>後開始給付使用telbivudine、tenofovir disoproxil或tenofovir alafenamide，直至產後4</w:t>
      </w:r>
      <w:proofErr w:type="gramStart"/>
      <w:r>
        <w:rPr>
          <w:rFonts w:ascii="標楷體" w:eastAsia="標楷體" w:hAnsi="標楷體"/>
        </w:rPr>
        <w:t>週</w:t>
      </w:r>
      <w:proofErr w:type="gramEnd"/>
      <w:r>
        <w:rPr>
          <w:rFonts w:ascii="標楷體" w:eastAsia="標楷體" w:hAnsi="標楷體"/>
        </w:rPr>
        <w:t>。（107/2/1、108/5/1、114/6/1）</w:t>
      </w:r>
    </w:p>
    <w:p w14:paraId="14A36E9C"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(8)確診為肝癌並接受根除性治療且可檢驗到血清HBV DNA，可長期使用，直至肝癌復發且未能再次接受根除性治療止。（108/2/1、110/3/1）</w:t>
      </w:r>
    </w:p>
    <w:p w14:paraId="5CD701AE" w14:textId="77777777" w:rsidR="00401786" w:rsidRDefault="00C64FB3" w:rsidP="0009639E">
      <w:pPr>
        <w:spacing w:line="300" w:lineRule="exact"/>
        <w:ind w:left="1133" w:hanging="425"/>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w:t>
      </w:r>
    </w:p>
    <w:p w14:paraId="3F685417" w14:textId="77777777" w:rsidR="00401786" w:rsidRDefault="00C64FB3" w:rsidP="0009639E">
      <w:pPr>
        <w:spacing w:line="300" w:lineRule="exact"/>
        <w:ind w:left="1224" w:hanging="264"/>
        <w:rPr>
          <w:rFonts w:ascii="標楷體" w:eastAsia="標楷體" w:hAnsi="標楷體"/>
        </w:rPr>
      </w:pPr>
      <w:r>
        <w:rPr>
          <w:rFonts w:ascii="標楷體" w:eastAsia="標楷體" w:hAnsi="標楷體"/>
        </w:rPr>
        <w:t>a.根除性治療包括手術切除、肝臟移植、射頻燒灼(radiofrequency ablation) 、局部酒精注射及微波消融(microwave ablation)、冷凍治療(cryotherapy)。(109/1/1)</w:t>
      </w:r>
    </w:p>
    <w:p w14:paraId="206ED511" w14:textId="77777777" w:rsidR="00401786" w:rsidRDefault="00C64FB3" w:rsidP="0009639E">
      <w:pPr>
        <w:spacing w:line="300" w:lineRule="exact"/>
        <w:ind w:left="1224" w:hanging="264"/>
        <w:rPr>
          <w:rFonts w:ascii="標楷體" w:eastAsia="標楷體" w:hAnsi="標楷體"/>
        </w:rPr>
      </w:pPr>
      <w:r>
        <w:rPr>
          <w:rFonts w:ascii="標楷體" w:eastAsia="標楷體" w:hAnsi="標楷體"/>
        </w:rPr>
        <w:t>b.已符合肝硬化給付條件可長期使用者，不在此限。</w:t>
      </w:r>
    </w:p>
    <w:p w14:paraId="56F0B76E"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(9)接受免疫抑制劑治療者：(110/3/1)</w:t>
      </w:r>
    </w:p>
    <w:p w14:paraId="6BB9D106" w14:textId="77777777" w:rsidR="00401786" w:rsidRDefault="00C64FB3" w:rsidP="0009639E">
      <w:pPr>
        <w:spacing w:line="300" w:lineRule="exact"/>
        <w:ind w:left="1385" w:hanging="348"/>
        <w:rPr>
          <w:rFonts w:ascii="標楷體" w:eastAsia="標楷體" w:hAnsi="標楷體"/>
        </w:rPr>
      </w:pPr>
      <w:r>
        <w:rPr>
          <w:rFonts w:ascii="標楷體" w:eastAsia="標楷體" w:hAnsi="標楷體"/>
        </w:rPr>
        <w:t>Ⅰ.預防使用：HBsAg(+)者，於接受下列免疫抑制藥物治療前一</w:t>
      </w:r>
      <w:proofErr w:type="gramStart"/>
      <w:r>
        <w:rPr>
          <w:rFonts w:ascii="標楷體" w:eastAsia="標楷體" w:hAnsi="標楷體"/>
        </w:rPr>
        <w:t>週</w:t>
      </w:r>
      <w:proofErr w:type="gramEnd"/>
      <w:r>
        <w:rPr>
          <w:rFonts w:ascii="標楷體" w:eastAsia="標楷體" w:hAnsi="標楷體"/>
        </w:rPr>
        <w:t>起，至免疫抑制藥物停用後6個月內，免疫抑制藥物如下列:</w:t>
      </w:r>
    </w:p>
    <w:p w14:paraId="5294B9C1" w14:textId="77777777" w:rsidR="00401786" w:rsidRDefault="00C64FB3" w:rsidP="0009639E">
      <w:pPr>
        <w:spacing w:line="300" w:lineRule="exact"/>
        <w:ind w:left="1704" w:hanging="264"/>
        <w:rPr>
          <w:rFonts w:ascii="標楷體" w:eastAsia="標楷體" w:hAnsi="標楷體"/>
        </w:rPr>
      </w:pPr>
      <w:proofErr w:type="spellStart"/>
      <w:r>
        <w:rPr>
          <w:rFonts w:ascii="標楷體" w:eastAsia="標楷體" w:hAnsi="標楷體"/>
        </w:rPr>
        <w:t>i.Rituximab</w:t>
      </w:r>
      <w:proofErr w:type="spellEnd"/>
      <w:r>
        <w:rPr>
          <w:rFonts w:ascii="標楷體" w:eastAsia="標楷體" w:hAnsi="標楷體"/>
        </w:rPr>
        <w:t>。</w:t>
      </w:r>
    </w:p>
    <w:p w14:paraId="2EA71494" w14:textId="77777777" w:rsidR="00401786" w:rsidRDefault="00C64FB3" w:rsidP="0009639E">
      <w:pPr>
        <w:spacing w:line="300" w:lineRule="exact"/>
        <w:ind w:left="1704" w:hanging="264"/>
        <w:rPr>
          <w:rFonts w:ascii="標楷體" w:eastAsia="標楷體" w:hAnsi="標楷體"/>
        </w:rPr>
      </w:pPr>
      <w:proofErr w:type="spellStart"/>
      <w:r>
        <w:rPr>
          <w:rFonts w:ascii="標楷體" w:eastAsia="標楷體" w:hAnsi="標楷體"/>
        </w:rPr>
        <w:t>ii.Anthracycline</w:t>
      </w:r>
      <w:proofErr w:type="spellEnd"/>
      <w:r>
        <w:rPr>
          <w:rFonts w:ascii="標楷體" w:eastAsia="標楷體" w:hAnsi="標楷體"/>
        </w:rPr>
        <w:t>類衍生物。</w:t>
      </w:r>
    </w:p>
    <w:p w14:paraId="5ACD4815" w14:textId="77777777" w:rsidR="00401786" w:rsidRDefault="00C64FB3" w:rsidP="0009639E">
      <w:pPr>
        <w:spacing w:line="300" w:lineRule="exact"/>
        <w:ind w:left="1920" w:hanging="480"/>
        <w:rPr>
          <w:rFonts w:ascii="標楷體" w:eastAsia="標楷體" w:hAnsi="標楷體"/>
        </w:rPr>
      </w:pPr>
      <w:r>
        <w:rPr>
          <w:rFonts w:ascii="標楷體" w:eastAsia="標楷體" w:hAnsi="標楷體"/>
        </w:rPr>
        <w:t>iii.中高劑量類固醇</w:t>
      </w:r>
      <w:proofErr w:type="gramStart"/>
      <w:r>
        <w:rPr>
          <w:rFonts w:ascii="標楷體" w:eastAsia="標楷體" w:hAnsi="標楷體"/>
        </w:rPr>
        <w:t>（</w:t>
      </w:r>
      <w:proofErr w:type="gramEnd"/>
      <w:r>
        <w:rPr>
          <w:rFonts w:ascii="標楷體" w:eastAsia="標楷體" w:hAnsi="標楷體"/>
        </w:rPr>
        <w:t>指prednisolone</w:t>
      </w:r>
      <w:proofErr w:type="gramStart"/>
      <w:r>
        <w:rPr>
          <w:rFonts w:ascii="標楷體" w:eastAsia="標楷體" w:hAnsi="標楷體"/>
        </w:rPr>
        <w:t>≧</w:t>
      </w:r>
      <w:proofErr w:type="gramEnd"/>
      <w:r>
        <w:rPr>
          <w:rFonts w:ascii="標楷體" w:eastAsia="標楷體" w:hAnsi="標楷體"/>
        </w:rPr>
        <w:t xml:space="preserve"> 20mg/day或相當之劑量，使用時問超過4</w:t>
      </w:r>
      <w:proofErr w:type="gramStart"/>
      <w:r>
        <w:rPr>
          <w:rFonts w:ascii="標楷體" w:eastAsia="標楷體" w:hAnsi="標楷體"/>
        </w:rPr>
        <w:t>週</w:t>
      </w:r>
      <w:proofErr w:type="gramEnd"/>
      <w:r>
        <w:rPr>
          <w:rFonts w:ascii="標楷體" w:eastAsia="標楷體" w:hAnsi="標楷體"/>
        </w:rPr>
        <w:t>。）</w:t>
      </w:r>
    </w:p>
    <w:p w14:paraId="10533110" w14:textId="77777777" w:rsidR="00401786" w:rsidRDefault="00C64FB3" w:rsidP="0009639E">
      <w:pPr>
        <w:spacing w:line="300" w:lineRule="exact"/>
        <w:ind w:left="1385" w:hanging="348"/>
        <w:rPr>
          <w:rFonts w:ascii="標楷體" w:eastAsia="標楷體" w:hAnsi="標楷體"/>
        </w:rPr>
      </w:pPr>
      <w:proofErr w:type="spellStart"/>
      <w:r>
        <w:rPr>
          <w:rFonts w:ascii="標楷體" w:eastAsia="標楷體" w:hAnsi="標楷體"/>
        </w:rPr>
        <w:t>Ⅱ.HBsAg</w:t>
      </w:r>
      <w:proofErr w:type="spellEnd"/>
      <w:r>
        <w:rPr>
          <w:rFonts w:ascii="標楷體" w:eastAsia="標楷體" w:hAnsi="標楷體"/>
        </w:rPr>
        <w:t>(+)者，或HBsAg(-)但B型肝炎核心抗體陽性者，於接受免疫抑制藥物治療後B型肝炎發作，開始給付使用抗病毒藥物治療，給付至免疫抑制劑停用後6個月。</w:t>
      </w:r>
    </w:p>
    <w:p w14:paraId="628DE7B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3.HBsAg(+)超過6個月(或IgM anti-HBc為陰性)及</w:t>
      </w:r>
      <w:proofErr w:type="spellStart"/>
      <w:r>
        <w:rPr>
          <w:rFonts w:ascii="標楷體" w:eastAsia="標楷體" w:hAnsi="標楷體"/>
        </w:rPr>
        <w:t>HBeAg</w:t>
      </w:r>
      <w:proofErr w:type="spellEnd"/>
      <w:r>
        <w:rPr>
          <w:rFonts w:ascii="標楷體" w:eastAsia="標楷體" w:hAnsi="標楷體"/>
        </w:rPr>
        <w:t>(+)，且符合以下條件之</w:t>
      </w:r>
      <w:proofErr w:type="gramStart"/>
      <w:r>
        <w:rPr>
          <w:rFonts w:ascii="標楷體" w:eastAsia="標楷體" w:hAnsi="標楷體"/>
        </w:rPr>
        <w:t>一</w:t>
      </w:r>
      <w:proofErr w:type="gramEnd"/>
      <w:r>
        <w:rPr>
          <w:rFonts w:ascii="標楷體" w:eastAsia="標楷體" w:hAnsi="標楷體"/>
        </w:rPr>
        <w:t>者，其給付療程為治療至e抗原</w:t>
      </w:r>
      <w:proofErr w:type="gramStart"/>
      <w:r>
        <w:rPr>
          <w:rFonts w:ascii="標楷體" w:eastAsia="標楷體" w:hAnsi="標楷體"/>
        </w:rPr>
        <w:t>轉陰並</w:t>
      </w:r>
      <w:proofErr w:type="gramEnd"/>
      <w:r>
        <w:rPr>
          <w:rFonts w:ascii="標楷體" w:eastAsia="標楷體" w:hAnsi="標楷體"/>
        </w:rPr>
        <w:t>再給付最多12個月：（93/8/1、95/11/1、98/11/1、99/5/1、106/1/1、110/3/1、114/6/1）</w:t>
      </w:r>
    </w:p>
    <w:p w14:paraId="78FF1418"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(1)ALT值大於(或等於)正常值上限5倍以上(ALT</w:t>
      </w:r>
      <w:proofErr w:type="gramStart"/>
      <w:r>
        <w:rPr>
          <w:rFonts w:ascii="標楷體" w:eastAsia="標楷體" w:hAnsi="標楷體"/>
        </w:rPr>
        <w:t>≧</w:t>
      </w:r>
      <w:proofErr w:type="gramEnd"/>
      <w:r>
        <w:rPr>
          <w:rFonts w:ascii="標楷體" w:eastAsia="標楷體" w:hAnsi="標楷體"/>
        </w:rPr>
        <w:t>5X)。</w:t>
      </w:r>
    </w:p>
    <w:p w14:paraId="6CB2DAE5"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(2)ALT值介於正常值上限2至5倍</w:t>
      </w:r>
      <w:proofErr w:type="gramStart"/>
      <w:r>
        <w:rPr>
          <w:rFonts w:ascii="標楷體" w:eastAsia="標楷體" w:hAnsi="標楷體"/>
        </w:rPr>
        <w:t>之間(</w:t>
      </w:r>
      <w:proofErr w:type="gramEnd"/>
      <w:r>
        <w:rPr>
          <w:rFonts w:ascii="標楷體" w:eastAsia="標楷體" w:hAnsi="標楷體"/>
        </w:rPr>
        <w:t>2X</w:t>
      </w:r>
      <w:proofErr w:type="gramStart"/>
      <w:r>
        <w:rPr>
          <w:rFonts w:ascii="標楷體" w:eastAsia="標楷體" w:hAnsi="標楷體"/>
        </w:rPr>
        <w:t>≦</w:t>
      </w:r>
      <w:proofErr w:type="gramEnd"/>
      <w:r>
        <w:rPr>
          <w:rFonts w:ascii="標楷體" w:eastAsia="標楷體" w:hAnsi="標楷體"/>
        </w:rPr>
        <w:t>ALT&lt;5X)，且血清HBV DNA</w:t>
      </w:r>
      <w:proofErr w:type="gramStart"/>
      <w:r>
        <w:rPr>
          <w:rFonts w:ascii="標楷體" w:eastAsia="標楷體" w:hAnsi="標楷體"/>
        </w:rPr>
        <w:t>≧</w:t>
      </w:r>
      <w:proofErr w:type="gramEnd"/>
      <w:r>
        <w:rPr>
          <w:rFonts w:ascii="標楷體" w:eastAsia="標楷體" w:hAnsi="標楷體"/>
        </w:rPr>
        <w:t>20,000 IU/mL，或經由肝組織切片證實</w:t>
      </w:r>
      <w:proofErr w:type="spellStart"/>
      <w:r>
        <w:rPr>
          <w:rFonts w:ascii="標楷體" w:eastAsia="標楷體" w:hAnsi="標楷體"/>
        </w:rPr>
        <w:t>HBcAg</w:t>
      </w:r>
      <w:proofErr w:type="spellEnd"/>
      <w:r>
        <w:rPr>
          <w:rFonts w:ascii="標楷體" w:eastAsia="標楷體" w:hAnsi="標楷體"/>
        </w:rPr>
        <w:t>陽性。（93/8/1、98/11/1、114/6/1）</w:t>
      </w:r>
    </w:p>
    <w:p w14:paraId="24847EE6"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(3)經由肝組織切片或肝臟纖維化掃描或Fibrosis-4 (FIB-4)證實，等同METAVIR system纖維化大於或等於F3者，其ALT</w:t>
      </w:r>
      <w:proofErr w:type="gramStart"/>
      <w:r>
        <w:rPr>
          <w:rFonts w:ascii="標楷體" w:eastAsia="標楷體" w:hAnsi="標楷體"/>
        </w:rPr>
        <w:t>值半年</w:t>
      </w:r>
      <w:proofErr w:type="gramEnd"/>
      <w:r>
        <w:rPr>
          <w:rFonts w:ascii="標楷體" w:eastAsia="標楷體" w:hAnsi="標楷體"/>
        </w:rPr>
        <w:t>有兩次以上（間隔大於3個月）大於正常值上限(ALT&gt;X)，且血清HBV DNA</w:t>
      </w:r>
      <w:proofErr w:type="gramStart"/>
      <w:r>
        <w:rPr>
          <w:rFonts w:ascii="標楷體" w:eastAsia="標楷體" w:hAnsi="標楷體"/>
        </w:rPr>
        <w:t>≧</w:t>
      </w:r>
      <w:proofErr w:type="gramEnd"/>
      <w:r>
        <w:rPr>
          <w:rFonts w:ascii="標楷體" w:eastAsia="標楷體" w:hAnsi="標楷體"/>
        </w:rPr>
        <w:t xml:space="preserve"> 20,000 IU/mL或經由肝組織切片證實</w:t>
      </w:r>
      <w:proofErr w:type="spellStart"/>
      <w:r>
        <w:rPr>
          <w:rFonts w:ascii="標楷體" w:eastAsia="標楷體" w:hAnsi="標楷體"/>
        </w:rPr>
        <w:t>HBcAg</w:t>
      </w:r>
      <w:proofErr w:type="spellEnd"/>
      <w:r>
        <w:rPr>
          <w:rFonts w:ascii="標楷體" w:eastAsia="標楷體" w:hAnsi="標楷體"/>
        </w:rPr>
        <w:t>陽性之患者。(110/3/1、114/6/1)</w:t>
      </w:r>
    </w:p>
    <w:p w14:paraId="0A051334" w14:textId="77777777" w:rsidR="00401786" w:rsidRDefault="00C64FB3" w:rsidP="0009639E">
      <w:pPr>
        <w:spacing w:line="300" w:lineRule="exact"/>
        <w:ind w:left="1625" w:hanging="425"/>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：以肝臟纖維化掃描或Fibrosis-4 (FIB-4)證實等同METAVIR system纖維化大於或等於F3之定義為：</w:t>
      </w:r>
    </w:p>
    <w:p w14:paraId="7FBE569A" w14:textId="77777777" w:rsidR="00401786" w:rsidRDefault="00C64FB3" w:rsidP="0009639E">
      <w:pPr>
        <w:spacing w:line="300" w:lineRule="exact"/>
        <w:ind w:left="1908" w:hanging="348"/>
        <w:rPr>
          <w:rFonts w:ascii="標楷體" w:eastAsia="標楷體" w:hAnsi="標楷體"/>
        </w:rPr>
      </w:pPr>
      <w:r>
        <w:rPr>
          <w:rFonts w:ascii="標楷體" w:eastAsia="標楷體" w:hAnsi="標楷體"/>
        </w:rPr>
        <w:t>Ⅰ.肝臟纖維化掃描transient elastography (</w:t>
      </w:r>
      <w:proofErr w:type="spellStart"/>
      <w:r>
        <w:rPr>
          <w:rFonts w:ascii="標楷體" w:eastAsia="標楷體" w:hAnsi="標楷體"/>
        </w:rPr>
        <w:t>Fibroscan</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9.5Kpa或Acoustic Radiation Force Impulse elastography (ARFI)</w:t>
      </w:r>
      <w:proofErr w:type="gramStart"/>
      <w:r>
        <w:rPr>
          <w:rFonts w:ascii="標楷體" w:eastAsia="標楷體" w:hAnsi="標楷體"/>
        </w:rPr>
        <w:t>≧</w:t>
      </w:r>
      <w:proofErr w:type="gramEnd"/>
      <w:r>
        <w:rPr>
          <w:rFonts w:ascii="標楷體" w:eastAsia="標楷體" w:hAnsi="標楷體"/>
        </w:rPr>
        <w:t>1.81。</w:t>
      </w:r>
    </w:p>
    <w:p w14:paraId="440D524C" w14:textId="77777777" w:rsidR="00401786" w:rsidRDefault="00C64FB3" w:rsidP="0009639E">
      <w:pPr>
        <w:spacing w:line="300" w:lineRule="exact"/>
        <w:ind w:left="1908" w:hanging="348"/>
        <w:rPr>
          <w:rFonts w:ascii="標楷體" w:eastAsia="標楷體" w:hAnsi="標楷體"/>
        </w:rPr>
      </w:pPr>
      <w:r>
        <w:rPr>
          <w:rFonts w:ascii="標楷體" w:eastAsia="標楷體" w:hAnsi="標楷體"/>
        </w:rPr>
        <w:t>Ⅱ.Fibrosis-4 (FIB-4)</w:t>
      </w:r>
      <w:proofErr w:type="gramStart"/>
      <w:r>
        <w:rPr>
          <w:rFonts w:ascii="標楷體" w:eastAsia="標楷體" w:hAnsi="標楷體"/>
        </w:rPr>
        <w:t>≧</w:t>
      </w:r>
      <w:proofErr w:type="gramEnd"/>
      <w:r>
        <w:rPr>
          <w:rFonts w:ascii="標楷體" w:eastAsia="標楷體" w:hAnsi="標楷體"/>
        </w:rPr>
        <w:t>3.25，計算公式為[Age(years) × AST(U/L)] / [Platelet count(109/L) × √ALT(U/L)]。</w:t>
      </w:r>
    </w:p>
    <w:p w14:paraId="4E1B0D4B" w14:textId="77777777" w:rsidR="00401786" w:rsidRDefault="00C64FB3" w:rsidP="0009639E">
      <w:pPr>
        <w:spacing w:line="300" w:lineRule="exact"/>
        <w:ind w:left="811" w:hanging="245"/>
      </w:pPr>
      <w:r>
        <w:rPr>
          <w:rFonts w:ascii="標楷體" w:eastAsia="標楷體" w:hAnsi="標楷體"/>
        </w:rPr>
        <w:t>4.HBsAg(+)超過6個月(或IgM anti-HBc為陰性)及</w:t>
      </w:r>
      <w:proofErr w:type="spellStart"/>
      <w:r>
        <w:rPr>
          <w:rFonts w:ascii="標楷體" w:eastAsia="標楷體" w:hAnsi="標楷體"/>
        </w:rPr>
        <w:t>HBeAg</w:t>
      </w:r>
      <w:proofErr w:type="spellEnd"/>
      <w:r>
        <w:rPr>
          <w:rFonts w:ascii="標楷體" w:eastAsia="標楷體" w:hAnsi="標楷體"/>
        </w:rPr>
        <w:t>(-)，且符合以下條件之</w:t>
      </w:r>
      <w:proofErr w:type="gramStart"/>
      <w:r>
        <w:rPr>
          <w:rFonts w:ascii="標楷體" w:eastAsia="標楷體" w:hAnsi="標楷體"/>
        </w:rPr>
        <w:t>一</w:t>
      </w:r>
      <w:proofErr w:type="gramEnd"/>
      <w:r>
        <w:rPr>
          <w:rFonts w:ascii="標楷體" w:eastAsia="標楷體" w:hAnsi="標楷體"/>
        </w:rPr>
        <w:t>者，其療程至少二年，治療期間需檢驗血清HBV DNA，並於檢驗血清HBV DNA連續三</w:t>
      </w:r>
      <w:r>
        <w:rPr>
          <w:rFonts w:ascii="標楷體" w:eastAsia="標楷體" w:hAnsi="標楷體"/>
        </w:rPr>
        <w:lastRenderedPageBreak/>
        <w:t>次，每次間隔6個月，均檢驗不出HBV DNA時停藥，每次療程至多給付36個月：（93/8/1、95/11/1、98/11/1、106/1/1、106/4/1、110/3/1、112/10/1、113/1/1</w:t>
      </w:r>
      <w:r>
        <w:rPr>
          <w:rFonts w:ascii="標楷體" w:eastAsia="標楷體" w:hAnsi="標楷體"/>
          <w:color w:val="000000"/>
        </w:rPr>
        <w:t>、113/4/1、114/6/1</w:t>
      </w:r>
      <w:r>
        <w:rPr>
          <w:rFonts w:ascii="標楷體" w:eastAsia="標楷體" w:hAnsi="標楷體"/>
        </w:rPr>
        <w:t>）</w:t>
      </w:r>
    </w:p>
    <w:p w14:paraId="7ED9CE5C" w14:textId="77777777" w:rsidR="00401786" w:rsidRDefault="00C64FB3" w:rsidP="0009639E">
      <w:pPr>
        <w:spacing w:line="300" w:lineRule="exact"/>
        <w:ind w:left="1133" w:hanging="425"/>
      </w:pPr>
      <w:r>
        <w:rPr>
          <w:rFonts w:ascii="標楷體" w:eastAsia="標楷體" w:hAnsi="標楷體"/>
        </w:rPr>
        <w:t>(1)</w:t>
      </w:r>
      <w:r>
        <w:t xml:space="preserve"> </w:t>
      </w:r>
      <w:r>
        <w:rPr>
          <w:rFonts w:ascii="標楷體" w:eastAsia="標楷體" w:hAnsi="標楷體"/>
        </w:rPr>
        <w:t xml:space="preserve">ALT值大於或等於正常值上限 2 </w:t>
      </w:r>
      <w:proofErr w:type="gramStart"/>
      <w:r>
        <w:rPr>
          <w:rFonts w:ascii="標楷體" w:eastAsia="標楷體" w:hAnsi="標楷體"/>
        </w:rPr>
        <w:t>倍</w:t>
      </w:r>
      <w:proofErr w:type="gramEnd"/>
      <w:r>
        <w:rPr>
          <w:rFonts w:ascii="標楷體" w:eastAsia="標楷體" w:hAnsi="標楷體"/>
        </w:rPr>
        <w:t>以上(ALT</w:t>
      </w:r>
      <w:proofErr w:type="gramStart"/>
      <w:r>
        <w:rPr>
          <w:rFonts w:ascii="標楷體" w:eastAsia="標楷體" w:hAnsi="標楷體"/>
        </w:rPr>
        <w:t>≧</w:t>
      </w:r>
      <w:proofErr w:type="gramEnd"/>
      <w:r>
        <w:rPr>
          <w:rFonts w:ascii="標楷體" w:eastAsia="標楷體" w:hAnsi="標楷體"/>
        </w:rPr>
        <w:t xml:space="preserve"> 2</w:t>
      </w:r>
      <w:r>
        <w:rPr>
          <w:rFonts w:ascii="標楷體" w:eastAsia="標楷體" w:hAnsi="標楷體"/>
          <w:color w:val="000000"/>
        </w:rPr>
        <w:t>X)，且血清 HBV DNA</w:t>
      </w:r>
      <w:proofErr w:type="gramStart"/>
      <w:r>
        <w:rPr>
          <w:rFonts w:ascii="標楷體" w:eastAsia="標楷體" w:hAnsi="標楷體"/>
          <w:color w:val="000000"/>
        </w:rPr>
        <w:t>≧</w:t>
      </w:r>
      <w:proofErr w:type="gramEnd"/>
      <w:r>
        <w:rPr>
          <w:rFonts w:ascii="標楷體" w:eastAsia="標楷體" w:hAnsi="標楷體"/>
          <w:color w:val="000000"/>
        </w:rPr>
        <w:t xml:space="preserve">2,000 IU/mL，或經由肝組織切片證實 </w:t>
      </w:r>
      <w:proofErr w:type="spellStart"/>
      <w:r>
        <w:rPr>
          <w:rFonts w:ascii="標楷體" w:eastAsia="標楷體" w:hAnsi="標楷體"/>
          <w:color w:val="000000"/>
        </w:rPr>
        <w:t>HBcAg</w:t>
      </w:r>
      <w:proofErr w:type="spellEnd"/>
      <w:r>
        <w:rPr>
          <w:rFonts w:ascii="標楷體" w:eastAsia="標楷體" w:hAnsi="標楷體"/>
          <w:color w:val="000000"/>
        </w:rPr>
        <w:t xml:space="preserve"> 陽性。惟</w:t>
      </w:r>
      <w:proofErr w:type="spellStart"/>
      <w:r>
        <w:rPr>
          <w:rFonts w:ascii="標楷體" w:eastAsia="標楷體" w:hAnsi="標楷體"/>
          <w:color w:val="000000"/>
        </w:rPr>
        <w:t>Fofnir</w:t>
      </w:r>
      <w:proofErr w:type="spellEnd"/>
      <w:r>
        <w:rPr>
          <w:rFonts w:ascii="標楷體" w:eastAsia="標楷體" w:hAnsi="標楷體"/>
          <w:color w:val="000000"/>
        </w:rPr>
        <w:t>、</w:t>
      </w:r>
      <w:proofErr w:type="spellStart"/>
      <w:r>
        <w:rPr>
          <w:rFonts w:ascii="標楷體" w:eastAsia="標楷體" w:hAnsi="標楷體"/>
          <w:color w:val="000000"/>
        </w:rPr>
        <w:t>Hepwin</w:t>
      </w:r>
      <w:proofErr w:type="spellEnd"/>
      <w:r>
        <w:rPr>
          <w:rFonts w:ascii="標楷體" w:eastAsia="標楷體" w:hAnsi="標楷體"/>
          <w:color w:val="000000"/>
        </w:rPr>
        <w:t>、</w:t>
      </w:r>
      <w:proofErr w:type="spellStart"/>
      <w:r>
        <w:rPr>
          <w:rFonts w:ascii="標楷體" w:eastAsia="標楷體" w:hAnsi="標楷體"/>
          <w:color w:val="000000"/>
        </w:rPr>
        <w:t>Sebivo</w:t>
      </w:r>
      <w:proofErr w:type="spellEnd"/>
      <w:r>
        <w:rPr>
          <w:rFonts w:ascii="標楷體" w:eastAsia="標楷體" w:hAnsi="標楷體"/>
          <w:color w:val="000000"/>
        </w:rPr>
        <w:t>、</w:t>
      </w:r>
      <w:proofErr w:type="spellStart"/>
      <w:r>
        <w:rPr>
          <w:rFonts w:ascii="標楷體" w:eastAsia="標楷體" w:hAnsi="標楷體"/>
          <w:color w:val="000000"/>
        </w:rPr>
        <w:t>Ricovir</w:t>
      </w:r>
      <w:proofErr w:type="spellEnd"/>
      <w:r>
        <w:rPr>
          <w:rFonts w:ascii="標楷體" w:eastAsia="標楷體" w:hAnsi="標楷體"/>
          <w:color w:val="000000"/>
        </w:rPr>
        <w:t>、</w:t>
      </w:r>
      <w:proofErr w:type="spellStart"/>
      <w:r>
        <w:rPr>
          <w:rFonts w:ascii="標楷體" w:eastAsia="標楷體" w:hAnsi="標楷體"/>
          <w:color w:val="000000"/>
        </w:rPr>
        <w:t>Hepuri</w:t>
      </w:r>
      <w:proofErr w:type="spellEnd"/>
      <w:r>
        <w:rPr>
          <w:rFonts w:ascii="標楷體" w:eastAsia="標楷體" w:hAnsi="標楷體"/>
          <w:color w:val="000000"/>
        </w:rPr>
        <w:t>、</w:t>
      </w:r>
      <w:proofErr w:type="spellStart"/>
      <w:r>
        <w:rPr>
          <w:rFonts w:ascii="標楷體" w:eastAsia="標楷體" w:hAnsi="標楷體"/>
          <w:color w:val="000000"/>
        </w:rPr>
        <w:t>Virclean</w:t>
      </w:r>
      <w:proofErr w:type="spellEnd"/>
      <w:r>
        <w:rPr>
          <w:rFonts w:ascii="標楷體" w:eastAsia="標楷體" w:hAnsi="標楷體"/>
          <w:color w:val="000000"/>
        </w:rPr>
        <w:t>、</w:t>
      </w:r>
      <w:proofErr w:type="spellStart"/>
      <w:r>
        <w:rPr>
          <w:rFonts w:ascii="標楷體" w:eastAsia="標楷體" w:hAnsi="標楷體"/>
          <w:color w:val="000000"/>
        </w:rPr>
        <w:t>Teno</w:t>
      </w:r>
      <w:proofErr w:type="spellEnd"/>
      <w:r>
        <w:rPr>
          <w:rFonts w:ascii="標楷體" w:eastAsia="標楷體" w:hAnsi="標楷體"/>
          <w:color w:val="000000"/>
        </w:rPr>
        <w:t xml:space="preserve"> B、</w:t>
      </w:r>
      <w:proofErr w:type="spellStart"/>
      <w:r>
        <w:rPr>
          <w:rFonts w:ascii="標楷體" w:eastAsia="標楷體" w:hAnsi="標楷體"/>
          <w:color w:val="000000"/>
        </w:rPr>
        <w:t>Tenof</w:t>
      </w:r>
      <w:proofErr w:type="spellEnd"/>
      <w:r>
        <w:rPr>
          <w:rFonts w:ascii="標楷體" w:eastAsia="標楷體" w:hAnsi="標楷體"/>
          <w:color w:val="000000"/>
        </w:rPr>
        <w:t>、</w:t>
      </w:r>
      <w:proofErr w:type="spellStart"/>
      <w:r>
        <w:rPr>
          <w:rFonts w:ascii="標楷體" w:eastAsia="標楷體" w:hAnsi="標楷體"/>
          <w:color w:val="000000"/>
        </w:rPr>
        <w:t>Viread</w:t>
      </w:r>
      <w:proofErr w:type="spellEnd"/>
      <w:r>
        <w:rPr>
          <w:rFonts w:ascii="標楷體" w:eastAsia="標楷體" w:hAnsi="標楷體"/>
          <w:color w:val="000000"/>
        </w:rPr>
        <w:t>、</w:t>
      </w:r>
      <w:proofErr w:type="spellStart"/>
      <w:r>
        <w:rPr>
          <w:rFonts w:ascii="標楷體" w:eastAsia="標楷體" w:hAnsi="標楷體"/>
          <w:color w:val="000000"/>
        </w:rPr>
        <w:t>Livepro</w:t>
      </w:r>
      <w:proofErr w:type="spellEnd"/>
      <w:r>
        <w:rPr>
          <w:rFonts w:ascii="標楷體" w:eastAsia="標楷體" w:hAnsi="標楷體"/>
          <w:color w:val="000000"/>
        </w:rPr>
        <w:t>、</w:t>
      </w:r>
      <w:proofErr w:type="spellStart"/>
      <w:r>
        <w:rPr>
          <w:rFonts w:ascii="標楷體" w:eastAsia="標楷體" w:hAnsi="標楷體"/>
          <w:color w:val="000000"/>
        </w:rPr>
        <w:t>Lamidine</w:t>
      </w:r>
      <w:proofErr w:type="spellEnd"/>
      <w:r>
        <w:rPr>
          <w:rFonts w:ascii="標楷體" w:eastAsia="標楷體" w:hAnsi="標楷體"/>
          <w:color w:val="000000"/>
        </w:rPr>
        <w:t>、</w:t>
      </w:r>
      <w:proofErr w:type="spellStart"/>
      <w:r>
        <w:rPr>
          <w:rFonts w:ascii="標楷體" w:eastAsia="標楷體" w:hAnsi="標楷體"/>
          <w:color w:val="000000"/>
        </w:rPr>
        <w:t>Hepar</w:t>
      </w:r>
      <w:proofErr w:type="spellEnd"/>
      <w:r>
        <w:rPr>
          <w:rFonts w:ascii="標楷體" w:eastAsia="標楷體" w:hAnsi="標楷體"/>
          <w:color w:val="000000"/>
        </w:rPr>
        <w:t>-Pro、Hepato-Ease、</w:t>
      </w:r>
      <w:proofErr w:type="spellStart"/>
      <w:r>
        <w:rPr>
          <w:rFonts w:ascii="標楷體" w:eastAsia="標楷體" w:hAnsi="標楷體"/>
          <w:color w:val="000000"/>
        </w:rPr>
        <w:t>Barazer</w:t>
      </w:r>
      <w:proofErr w:type="spellEnd"/>
      <w:r>
        <w:rPr>
          <w:rFonts w:ascii="標楷體" w:eastAsia="標楷體" w:hAnsi="標楷體"/>
          <w:color w:val="000000"/>
        </w:rPr>
        <w:t>、</w:t>
      </w:r>
      <w:proofErr w:type="spellStart"/>
      <w:r>
        <w:rPr>
          <w:rFonts w:ascii="標楷體" w:eastAsia="標楷體" w:hAnsi="標楷體"/>
          <w:color w:val="000000"/>
        </w:rPr>
        <w:t>Becavir</w:t>
      </w:r>
      <w:proofErr w:type="spellEnd"/>
      <w:r>
        <w:rPr>
          <w:rFonts w:ascii="標楷體" w:eastAsia="標楷體" w:hAnsi="標楷體"/>
          <w:color w:val="000000"/>
        </w:rPr>
        <w:t>等除上述條件外，應符合ALT</w:t>
      </w:r>
      <w:proofErr w:type="gramStart"/>
      <w:r>
        <w:rPr>
          <w:rFonts w:ascii="標楷體" w:eastAsia="標楷體" w:hAnsi="標楷體"/>
          <w:color w:val="000000"/>
        </w:rPr>
        <w:t>值半年</w:t>
      </w:r>
      <w:proofErr w:type="gramEnd"/>
      <w:r>
        <w:rPr>
          <w:rFonts w:ascii="標楷體" w:eastAsia="標楷體" w:hAnsi="標楷體"/>
          <w:color w:val="000000"/>
        </w:rPr>
        <w:t xml:space="preserve">有兩次以上(每次間隔 3 </w:t>
      </w:r>
      <w:proofErr w:type="gramStart"/>
      <w:r>
        <w:rPr>
          <w:rFonts w:ascii="標楷體" w:eastAsia="標楷體" w:hAnsi="標楷體"/>
          <w:color w:val="000000"/>
        </w:rPr>
        <w:t>個</w:t>
      </w:r>
      <w:proofErr w:type="gramEnd"/>
      <w:r>
        <w:rPr>
          <w:rFonts w:ascii="標楷體" w:eastAsia="標楷體" w:hAnsi="標楷體"/>
          <w:color w:val="000000"/>
        </w:rPr>
        <w:t xml:space="preserve">月)大於或等於正常值上限 2 </w:t>
      </w:r>
      <w:proofErr w:type="gramStart"/>
      <w:r>
        <w:rPr>
          <w:rFonts w:ascii="標楷體" w:eastAsia="標楷體" w:hAnsi="標楷體"/>
          <w:color w:val="000000"/>
        </w:rPr>
        <w:t>倍</w:t>
      </w:r>
      <w:proofErr w:type="gramEnd"/>
      <w:r>
        <w:rPr>
          <w:rFonts w:ascii="標楷體" w:eastAsia="標楷體" w:hAnsi="標楷體"/>
          <w:color w:val="000000"/>
        </w:rPr>
        <w:t>以上(ALT</w:t>
      </w:r>
      <w:proofErr w:type="gramStart"/>
      <w:r>
        <w:rPr>
          <w:rFonts w:ascii="標楷體" w:eastAsia="標楷體" w:hAnsi="標楷體"/>
          <w:color w:val="000000"/>
        </w:rPr>
        <w:t>≧</w:t>
      </w:r>
      <w:proofErr w:type="gramEnd"/>
      <w:r>
        <w:rPr>
          <w:rFonts w:ascii="標楷體" w:eastAsia="標楷體" w:hAnsi="標楷體"/>
          <w:color w:val="000000"/>
        </w:rPr>
        <w:t xml:space="preserve"> 2X)。（93/8/1、 95/11/1、98/11/1、112/10/1、113/1/1、113/4/1、114/6/1）</w:t>
      </w:r>
    </w:p>
    <w:p w14:paraId="04CE90A4" w14:textId="77777777" w:rsidR="00401786" w:rsidRDefault="00C64FB3" w:rsidP="0009639E">
      <w:pPr>
        <w:spacing w:line="300" w:lineRule="exact"/>
        <w:ind w:left="1133" w:hanging="425"/>
      </w:pPr>
      <w:r>
        <w:rPr>
          <w:rFonts w:ascii="標楷體" w:eastAsia="標楷體" w:hAnsi="標楷體"/>
          <w:color w:val="000000"/>
        </w:rPr>
        <w:t>(2)</w:t>
      </w:r>
      <w:r>
        <w:rPr>
          <w:color w:val="000000"/>
        </w:rPr>
        <w:t xml:space="preserve"> </w:t>
      </w:r>
      <w:r>
        <w:rPr>
          <w:rFonts w:ascii="標楷體" w:eastAsia="標楷體" w:hAnsi="標楷體"/>
          <w:color w:val="000000"/>
        </w:rPr>
        <w:t xml:space="preserve">肝纖維化程度大於或等於 F2，其 ALT </w:t>
      </w:r>
      <w:proofErr w:type="gramStart"/>
      <w:r>
        <w:rPr>
          <w:rFonts w:ascii="標楷體" w:eastAsia="標楷體" w:hAnsi="標楷體"/>
          <w:color w:val="000000"/>
        </w:rPr>
        <w:t>值半年</w:t>
      </w:r>
      <w:proofErr w:type="gramEnd"/>
      <w:r>
        <w:rPr>
          <w:rFonts w:ascii="標楷體" w:eastAsia="標楷體" w:hAnsi="標楷體"/>
          <w:color w:val="000000"/>
        </w:rPr>
        <w:t xml:space="preserve">有兩次以上（間隔大於 3 </w:t>
      </w:r>
      <w:proofErr w:type="gramStart"/>
      <w:r>
        <w:rPr>
          <w:rFonts w:ascii="標楷體" w:eastAsia="標楷體" w:hAnsi="標楷體"/>
          <w:color w:val="000000"/>
        </w:rPr>
        <w:t>個</w:t>
      </w:r>
      <w:proofErr w:type="gramEnd"/>
      <w:r>
        <w:rPr>
          <w:rFonts w:ascii="標楷體" w:eastAsia="標楷體" w:hAnsi="標楷體"/>
          <w:color w:val="000000"/>
        </w:rPr>
        <w:t>月）大於正常</w:t>
      </w:r>
      <w:r>
        <w:rPr>
          <w:rFonts w:ascii="標楷體" w:eastAsia="標楷體" w:hAnsi="標楷體"/>
        </w:rPr>
        <w:t>值上限(ALT&gt;X)，且血清HBV DNA</w:t>
      </w:r>
      <w:proofErr w:type="gramStart"/>
      <w:r>
        <w:rPr>
          <w:rFonts w:ascii="標楷體" w:eastAsia="標楷體" w:hAnsi="標楷體"/>
        </w:rPr>
        <w:t>≧</w:t>
      </w:r>
      <w:proofErr w:type="gramEnd"/>
      <w:r>
        <w:rPr>
          <w:rFonts w:ascii="標楷體" w:eastAsia="標楷體" w:hAnsi="標楷體"/>
        </w:rPr>
        <w:t xml:space="preserve"> 20,000 IU/mL或經由肝組織切片證實 </w:t>
      </w:r>
      <w:proofErr w:type="spellStart"/>
      <w:r>
        <w:rPr>
          <w:rFonts w:ascii="標楷體" w:eastAsia="標楷體" w:hAnsi="標楷體"/>
        </w:rPr>
        <w:t>HBcAg</w:t>
      </w:r>
      <w:proofErr w:type="spellEnd"/>
      <w:r>
        <w:rPr>
          <w:rFonts w:ascii="標楷體" w:eastAsia="標楷體" w:hAnsi="標楷體"/>
        </w:rPr>
        <w:t>陽性。</w:t>
      </w:r>
      <w:r>
        <w:rPr>
          <w:rFonts w:ascii="標楷體" w:eastAsia="標楷體" w:hAnsi="標楷體"/>
          <w:color w:val="000000"/>
        </w:rPr>
        <w:t>惟</w:t>
      </w:r>
      <w:proofErr w:type="spellStart"/>
      <w:r>
        <w:rPr>
          <w:rFonts w:ascii="標楷體" w:eastAsia="標楷體" w:hAnsi="標楷體"/>
          <w:color w:val="000000"/>
        </w:rPr>
        <w:t>Fofnir</w:t>
      </w:r>
      <w:proofErr w:type="spellEnd"/>
      <w:r>
        <w:rPr>
          <w:rFonts w:ascii="標楷體" w:eastAsia="標楷體" w:hAnsi="標楷體"/>
          <w:color w:val="000000"/>
        </w:rPr>
        <w:t>、</w:t>
      </w:r>
      <w:proofErr w:type="spellStart"/>
      <w:r>
        <w:rPr>
          <w:rFonts w:ascii="標楷體" w:eastAsia="標楷體" w:hAnsi="標楷體"/>
          <w:color w:val="000000"/>
        </w:rPr>
        <w:t>Hepwin</w:t>
      </w:r>
      <w:proofErr w:type="spellEnd"/>
      <w:r>
        <w:rPr>
          <w:rFonts w:ascii="標楷體" w:eastAsia="標楷體" w:hAnsi="標楷體"/>
          <w:color w:val="000000"/>
        </w:rPr>
        <w:t>、</w:t>
      </w:r>
      <w:proofErr w:type="spellStart"/>
      <w:r>
        <w:rPr>
          <w:rFonts w:ascii="標楷體" w:eastAsia="標楷體" w:hAnsi="標楷體"/>
          <w:color w:val="000000"/>
        </w:rPr>
        <w:t>Sebivo</w:t>
      </w:r>
      <w:proofErr w:type="spellEnd"/>
      <w:r>
        <w:rPr>
          <w:rFonts w:ascii="標楷體" w:eastAsia="標楷體" w:hAnsi="標楷體"/>
          <w:color w:val="000000"/>
        </w:rPr>
        <w:t>、</w:t>
      </w:r>
      <w:proofErr w:type="spellStart"/>
      <w:r>
        <w:rPr>
          <w:rFonts w:ascii="標楷體" w:eastAsia="標楷體" w:hAnsi="標楷體"/>
          <w:color w:val="000000"/>
        </w:rPr>
        <w:t>Ricovir</w:t>
      </w:r>
      <w:proofErr w:type="spellEnd"/>
      <w:r>
        <w:rPr>
          <w:rFonts w:ascii="標楷體" w:eastAsia="標楷體" w:hAnsi="標楷體"/>
          <w:color w:val="000000"/>
        </w:rPr>
        <w:t>、</w:t>
      </w:r>
      <w:proofErr w:type="spellStart"/>
      <w:r>
        <w:rPr>
          <w:rFonts w:ascii="標楷體" w:eastAsia="標楷體" w:hAnsi="標楷體"/>
          <w:color w:val="000000"/>
        </w:rPr>
        <w:t>Hepuri</w:t>
      </w:r>
      <w:proofErr w:type="spellEnd"/>
      <w:r>
        <w:rPr>
          <w:rFonts w:ascii="標楷體" w:eastAsia="標楷體" w:hAnsi="標楷體"/>
          <w:color w:val="000000"/>
        </w:rPr>
        <w:t>、</w:t>
      </w:r>
      <w:proofErr w:type="spellStart"/>
      <w:r>
        <w:rPr>
          <w:rFonts w:ascii="標楷體" w:eastAsia="標楷體" w:hAnsi="標楷體"/>
          <w:color w:val="000000"/>
        </w:rPr>
        <w:t>Virclean</w:t>
      </w:r>
      <w:proofErr w:type="spellEnd"/>
      <w:r>
        <w:rPr>
          <w:rFonts w:ascii="標楷體" w:eastAsia="標楷體" w:hAnsi="標楷體"/>
          <w:color w:val="000000"/>
        </w:rPr>
        <w:t>、</w:t>
      </w:r>
      <w:proofErr w:type="spellStart"/>
      <w:r>
        <w:rPr>
          <w:rFonts w:ascii="標楷體" w:eastAsia="標楷體" w:hAnsi="標楷體"/>
          <w:color w:val="000000"/>
        </w:rPr>
        <w:t>Teno</w:t>
      </w:r>
      <w:proofErr w:type="spellEnd"/>
      <w:r>
        <w:rPr>
          <w:rFonts w:ascii="標楷體" w:eastAsia="標楷體" w:hAnsi="標楷體"/>
          <w:color w:val="000000"/>
        </w:rPr>
        <w:t xml:space="preserve"> B、</w:t>
      </w:r>
      <w:proofErr w:type="spellStart"/>
      <w:r>
        <w:rPr>
          <w:rFonts w:ascii="標楷體" w:eastAsia="標楷體" w:hAnsi="標楷體"/>
          <w:color w:val="000000"/>
        </w:rPr>
        <w:t>Tenof</w:t>
      </w:r>
      <w:proofErr w:type="spellEnd"/>
      <w:r>
        <w:rPr>
          <w:rFonts w:ascii="標楷體" w:eastAsia="標楷體" w:hAnsi="標楷體"/>
          <w:color w:val="000000"/>
        </w:rPr>
        <w:t>、</w:t>
      </w:r>
      <w:proofErr w:type="spellStart"/>
      <w:r>
        <w:rPr>
          <w:rFonts w:ascii="標楷體" w:eastAsia="標楷體" w:hAnsi="標楷體"/>
          <w:color w:val="000000"/>
        </w:rPr>
        <w:t>Viread</w:t>
      </w:r>
      <w:proofErr w:type="spellEnd"/>
      <w:r>
        <w:rPr>
          <w:rFonts w:ascii="標楷體" w:eastAsia="標楷體" w:hAnsi="標楷體"/>
          <w:color w:val="000000"/>
        </w:rPr>
        <w:t>、</w:t>
      </w:r>
      <w:proofErr w:type="spellStart"/>
      <w:r>
        <w:rPr>
          <w:rFonts w:ascii="標楷體" w:eastAsia="標楷體" w:hAnsi="標楷體"/>
          <w:color w:val="000000"/>
        </w:rPr>
        <w:t>Livepro</w:t>
      </w:r>
      <w:proofErr w:type="spellEnd"/>
      <w:r>
        <w:rPr>
          <w:rFonts w:ascii="標楷體" w:eastAsia="標楷體" w:hAnsi="標楷體"/>
          <w:color w:val="000000"/>
        </w:rPr>
        <w:t>、</w:t>
      </w:r>
      <w:proofErr w:type="spellStart"/>
      <w:r>
        <w:rPr>
          <w:rFonts w:ascii="標楷體" w:eastAsia="標楷體" w:hAnsi="標楷體"/>
          <w:color w:val="000000"/>
        </w:rPr>
        <w:t>Lamidine</w:t>
      </w:r>
      <w:proofErr w:type="spellEnd"/>
      <w:r>
        <w:rPr>
          <w:rFonts w:ascii="標楷體" w:eastAsia="標楷體" w:hAnsi="標楷體"/>
          <w:color w:val="000000"/>
        </w:rPr>
        <w:t>、</w:t>
      </w:r>
      <w:proofErr w:type="spellStart"/>
      <w:r>
        <w:rPr>
          <w:rFonts w:ascii="標楷體" w:eastAsia="標楷體" w:hAnsi="標楷體"/>
          <w:color w:val="000000"/>
        </w:rPr>
        <w:t>Hepar</w:t>
      </w:r>
      <w:proofErr w:type="spellEnd"/>
      <w:r>
        <w:rPr>
          <w:rFonts w:ascii="標楷體" w:eastAsia="標楷體" w:hAnsi="標楷體"/>
          <w:color w:val="000000"/>
        </w:rPr>
        <w:t>-Pro、Hepato-Ease、</w:t>
      </w:r>
      <w:proofErr w:type="spellStart"/>
      <w:r>
        <w:rPr>
          <w:rFonts w:ascii="標楷體" w:eastAsia="標楷體" w:hAnsi="標楷體"/>
          <w:color w:val="000000"/>
        </w:rPr>
        <w:t>Barazer</w:t>
      </w:r>
      <w:proofErr w:type="spellEnd"/>
      <w:r>
        <w:rPr>
          <w:rFonts w:ascii="標楷體" w:eastAsia="標楷體" w:hAnsi="標楷體"/>
          <w:color w:val="000000"/>
        </w:rPr>
        <w:t>、</w:t>
      </w:r>
      <w:proofErr w:type="spellStart"/>
      <w:r>
        <w:rPr>
          <w:rFonts w:ascii="標楷體" w:eastAsia="標楷體" w:hAnsi="標楷體"/>
          <w:color w:val="000000"/>
        </w:rPr>
        <w:t>Becavir</w:t>
      </w:r>
      <w:proofErr w:type="spellEnd"/>
      <w:r>
        <w:rPr>
          <w:rFonts w:ascii="標楷體" w:eastAsia="標楷體" w:hAnsi="標楷體"/>
          <w:color w:val="000000"/>
        </w:rPr>
        <w:t>等除上述條件外，應符合肝纖維化程度大於或等於F3。</w:t>
      </w:r>
      <w:r>
        <w:rPr>
          <w:rFonts w:ascii="標楷體" w:eastAsia="標楷體" w:hAnsi="標楷體"/>
        </w:rPr>
        <w:t>(110/3/1、112/10/1、113/1/1</w:t>
      </w:r>
      <w:r>
        <w:rPr>
          <w:rFonts w:ascii="標楷體" w:eastAsia="標楷體" w:hAnsi="標楷體"/>
          <w:color w:val="000000"/>
        </w:rPr>
        <w:t>、113/4/1、114/6/1</w:t>
      </w:r>
      <w:r>
        <w:rPr>
          <w:rFonts w:ascii="標楷體" w:eastAsia="標楷體" w:hAnsi="標楷體"/>
        </w:rPr>
        <w:t>)</w:t>
      </w:r>
    </w:p>
    <w:p w14:paraId="038FA8BE" w14:textId="77777777" w:rsidR="00401786" w:rsidRDefault="00C64FB3" w:rsidP="0009639E">
      <w:pPr>
        <w:spacing w:line="300" w:lineRule="exact"/>
        <w:ind w:left="1623" w:hanging="490"/>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：以肝臟纖維化掃描或Fibrosis-4(FIB-4)證實等同METAVIR system纖維化大於或等於F2之定義為：(112/10/1)</w:t>
      </w:r>
    </w:p>
    <w:p w14:paraId="3949273D" w14:textId="77777777" w:rsidR="00401786" w:rsidRDefault="00C64FB3" w:rsidP="0009639E">
      <w:pPr>
        <w:spacing w:line="300" w:lineRule="exact"/>
        <w:ind w:left="1620" w:hanging="346"/>
        <w:rPr>
          <w:rFonts w:ascii="標楷體" w:eastAsia="標楷體" w:hAnsi="標楷體"/>
        </w:rPr>
      </w:pPr>
      <w:r>
        <w:rPr>
          <w:rFonts w:ascii="標楷體" w:eastAsia="標楷體" w:hAnsi="標楷體"/>
        </w:rPr>
        <w:t>Ⅰ.肝臟纖維化掃描transient elastography (</w:t>
      </w:r>
      <w:proofErr w:type="spellStart"/>
      <w:r>
        <w:rPr>
          <w:rFonts w:ascii="標楷體" w:eastAsia="標楷體" w:hAnsi="標楷體"/>
        </w:rPr>
        <w:t>Fibroscan</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8Kpa或Acoustic Radiation Force Impulse elastography (ARFI)</w:t>
      </w:r>
      <w:proofErr w:type="gramStart"/>
      <w:r>
        <w:rPr>
          <w:rFonts w:ascii="標楷體" w:eastAsia="標楷體" w:hAnsi="標楷體"/>
        </w:rPr>
        <w:t>≧</w:t>
      </w:r>
      <w:proofErr w:type="gramEnd"/>
      <w:r>
        <w:rPr>
          <w:rFonts w:ascii="標楷體" w:eastAsia="標楷體" w:hAnsi="標楷體"/>
        </w:rPr>
        <w:t>1.5。</w:t>
      </w:r>
    </w:p>
    <w:p w14:paraId="46731B10" w14:textId="77777777" w:rsidR="00401786" w:rsidRDefault="00C64FB3" w:rsidP="0009639E">
      <w:pPr>
        <w:spacing w:line="300" w:lineRule="exact"/>
        <w:ind w:left="1620" w:hanging="346"/>
        <w:rPr>
          <w:rFonts w:ascii="標楷體" w:eastAsia="標楷體" w:hAnsi="標楷體"/>
        </w:rPr>
      </w:pPr>
      <w:r>
        <w:rPr>
          <w:rFonts w:ascii="標楷體" w:eastAsia="標楷體" w:hAnsi="標楷體"/>
        </w:rPr>
        <w:t xml:space="preserve">Ⅱ.Fibrosis-4 (FIB-4) </w:t>
      </w:r>
      <w:proofErr w:type="gramStart"/>
      <w:r>
        <w:rPr>
          <w:rFonts w:ascii="標楷體" w:eastAsia="標楷體" w:hAnsi="標楷體"/>
        </w:rPr>
        <w:t>≧</w:t>
      </w:r>
      <w:proofErr w:type="gramEnd"/>
      <w:r>
        <w:rPr>
          <w:rFonts w:ascii="標楷體" w:eastAsia="標楷體" w:hAnsi="標楷體"/>
        </w:rPr>
        <w:t>2.1，計算公式為[Age(years) × AST(U/L)] / [Platelet count(109/L) × √ALT(U/L)]。</w:t>
      </w:r>
    </w:p>
    <w:p w14:paraId="48E20EB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5.若上述治療中出現lamivudine 100mg、entecavir、telbivudine抗藥性病毒株，可改換對於抗藥株有效之B型肝炎抗病毒藥劑治療，治療藥物及療程之規定詳如10.7.4.之 1至4項。（98/11/1、99/5/1、99/7/1、102/2/1、104/12/1）</w:t>
      </w:r>
    </w:p>
    <w:p w14:paraId="235BCE3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6.符合第3至4項條件者，若使用entecavir，劑量為每日0.5mg。(104/12/1、110/3/1)</w:t>
      </w:r>
    </w:p>
    <w:p w14:paraId="1402C2E3" w14:textId="77777777" w:rsidR="00401786" w:rsidRDefault="00C64FB3" w:rsidP="0009639E">
      <w:pPr>
        <w:spacing w:line="300" w:lineRule="exact"/>
        <w:ind w:left="811" w:hanging="245"/>
      </w:pPr>
      <w:r>
        <w:rPr>
          <w:rFonts w:ascii="標楷體" w:eastAsia="標楷體" w:hAnsi="標楷體"/>
        </w:rPr>
        <w:t>7.</w:t>
      </w:r>
      <w:proofErr w:type="gramStart"/>
      <w:r>
        <w:rPr>
          <w:rFonts w:ascii="標楷體" w:eastAsia="標楷體" w:hAnsi="標楷體"/>
        </w:rPr>
        <w:t>醫</w:t>
      </w:r>
      <w:proofErr w:type="gramEnd"/>
      <w:r>
        <w:rPr>
          <w:rFonts w:ascii="標楷體" w:eastAsia="標楷體" w:hAnsi="標楷體"/>
        </w:rPr>
        <w:t>事服務機構及醫師資格：(109/7/1</w:t>
      </w:r>
      <w:r>
        <w:rPr>
          <w:rFonts w:ascii="標楷體" w:eastAsia="標楷體" w:hAnsi="標楷體"/>
          <w:bCs/>
        </w:rPr>
        <w:t>、111/9/1、114/6/1</w:t>
      </w:r>
      <w:r>
        <w:rPr>
          <w:rFonts w:ascii="標楷體" w:eastAsia="標楷體" w:hAnsi="標楷體"/>
        </w:rPr>
        <w:t>)</w:t>
      </w:r>
    </w:p>
    <w:p w14:paraId="48FB4D10"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(1)醫院：</w:t>
      </w:r>
    </w:p>
    <w:p w14:paraId="6BC84D68"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Ⅰ.有消化系內科或消化系兒科專科醫師之醫院。</w:t>
      </w:r>
    </w:p>
    <w:p w14:paraId="7E4E6C83" w14:textId="77777777" w:rsidR="00401786" w:rsidRDefault="00C64FB3" w:rsidP="0009639E">
      <w:pPr>
        <w:spacing w:line="300" w:lineRule="exact"/>
        <w:ind w:left="1440" w:hanging="360"/>
      </w:pPr>
      <w:r>
        <w:rPr>
          <w:rFonts w:ascii="標楷體" w:eastAsia="標楷體" w:hAnsi="標楷體"/>
        </w:rPr>
        <w:t>Ⅱ.醫師資格為前開醫院之消化系內科專科醫師、消化系兒科專科醫師、血液病專科醫師、腫瘤內科專科醫師、癌症相關科醫師</w:t>
      </w:r>
      <w:r>
        <w:rPr>
          <w:rFonts w:ascii="新細明體" w:hAnsi="新細明體"/>
        </w:rPr>
        <w:t>、</w:t>
      </w:r>
      <w:r>
        <w:rPr>
          <w:rFonts w:ascii="標楷體" w:eastAsia="標楷體" w:hAnsi="標楷體"/>
        </w:rPr>
        <w:t>符合器官移植手術資格及</w:t>
      </w:r>
      <w:bookmarkStart w:id="81" w:name="_Hlk119486112"/>
      <w:r>
        <w:rPr>
          <w:rFonts w:ascii="標楷體" w:eastAsia="標楷體" w:hAnsi="標楷體"/>
        </w:rPr>
        <w:t>風濕免疫科專科醫師</w:t>
      </w:r>
      <w:bookmarkEnd w:id="81"/>
      <w:r>
        <w:rPr>
          <w:rFonts w:ascii="標楷體" w:eastAsia="標楷體" w:hAnsi="標楷體"/>
        </w:rPr>
        <w:t>之專任或兼任專科醫師。</w:t>
      </w:r>
      <w:r>
        <w:rPr>
          <w:rFonts w:ascii="標楷體" w:eastAsia="標楷體" w:hAnsi="標楷體"/>
          <w:bCs/>
        </w:rPr>
        <w:t>(111/9/1)</w:t>
      </w:r>
    </w:p>
    <w:p w14:paraId="21A5E6C9"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 xml:space="preserve">之感染症內科專科醫師開立處方；另懷孕滿 27 </w:t>
      </w:r>
      <w:proofErr w:type="gramStart"/>
      <w:r>
        <w:rPr>
          <w:rFonts w:ascii="標楷體" w:eastAsia="標楷體" w:hAnsi="標楷體"/>
        </w:rPr>
        <w:t>週</w:t>
      </w:r>
      <w:proofErr w:type="gramEnd"/>
      <w:r>
        <w:rPr>
          <w:rFonts w:ascii="標楷體" w:eastAsia="標楷體" w:hAnsi="標楷體"/>
        </w:rPr>
        <w:t xml:space="preserve">直至產後 4 </w:t>
      </w:r>
      <w:proofErr w:type="gramStart"/>
      <w:r>
        <w:rPr>
          <w:rFonts w:ascii="標楷體" w:eastAsia="標楷體" w:hAnsi="標楷體"/>
        </w:rPr>
        <w:t>週之孕</w:t>
      </w:r>
      <w:proofErr w:type="gramEnd"/>
      <w:r>
        <w:rPr>
          <w:rFonts w:ascii="標楷體" w:eastAsia="標楷體" w:hAnsi="標楷體"/>
        </w:rPr>
        <w:t>產婦接受第2次以後治療者，得由其婦產科專科醫師開立處方。（111/9/1、114/6/1）。</w:t>
      </w:r>
    </w:p>
    <w:p w14:paraId="749376F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(2)基層院所：</w:t>
      </w:r>
    </w:p>
    <w:p w14:paraId="58481302"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Ⅰ.須具有消化系內科或消化系兒科專任專科醫師之基層院所。</w:t>
      </w:r>
    </w:p>
    <w:p w14:paraId="600E2AF0"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Ⅱ.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1A9212A8"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 xml:space="preserve">Ⅲ.懷孕滿 27 </w:t>
      </w:r>
      <w:proofErr w:type="gramStart"/>
      <w:r>
        <w:rPr>
          <w:rFonts w:ascii="標楷體" w:eastAsia="標楷體" w:hAnsi="標楷體"/>
        </w:rPr>
        <w:t>週</w:t>
      </w:r>
      <w:proofErr w:type="gramEnd"/>
      <w:r>
        <w:rPr>
          <w:rFonts w:ascii="標楷體" w:eastAsia="標楷體" w:hAnsi="標楷體"/>
        </w:rPr>
        <w:t xml:space="preserve">直至產後 4 </w:t>
      </w:r>
      <w:proofErr w:type="gramStart"/>
      <w:r>
        <w:rPr>
          <w:rFonts w:ascii="標楷體" w:eastAsia="標楷體" w:hAnsi="標楷體"/>
        </w:rPr>
        <w:t>週之孕</w:t>
      </w:r>
      <w:proofErr w:type="gramEnd"/>
      <w:r>
        <w:rPr>
          <w:rFonts w:ascii="標楷體" w:eastAsia="標楷體" w:hAnsi="標楷體"/>
        </w:rPr>
        <w:t>產婦接受第2次以後治療者，得由其婦產科專科醫師開立處方。（114/6/1）</w:t>
      </w:r>
    </w:p>
    <w:p w14:paraId="70E265DC"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◎附表三十四：肝炎治療醫療資源不足地區及山地離島地區一覽表</w:t>
      </w:r>
    </w:p>
    <w:p w14:paraId="386A96EB" w14:textId="77777777" w:rsidR="00401786" w:rsidRDefault="00C64FB3" w:rsidP="0009639E">
      <w:pPr>
        <w:spacing w:line="300" w:lineRule="exact"/>
        <w:ind w:left="672" w:hanging="386"/>
      </w:pPr>
      <w:r>
        <w:rPr>
          <w:rFonts w:ascii="標楷體" w:eastAsia="標楷體" w:hAnsi="標楷體"/>
        </w:rPr>
        <w:t xml:space="preserve">10.7.4.Adefovir </w:t>
      </w:r>
      <w:proofErr w:type="spellStart"/>
      <w:r>
        <w:rPr>
          <w:rFonts w:ascii="標楷體" w:eastAsia="標楷體" w:hAnsi="標楷體"/>
        </w:rPr>
        <w:t>dipivoxil</w:t>
      </w:r>
      <w:proofErr w:type="spellEnd"/>
      <w:r>
        <w:rPr>
          <w:rFonts w:ascii="標楷體" w:eastAsia="標楷體" w:hAnsi="標楷體"/>
        </w:rPr>
        <w:t xml:space="preserve"> (如</w:t>
      </w:r>
      <w:proofErr w:type="spellStart"/>
      <w:r>
        <w:rPr>
          <w:rFonts w:ascii="標楷體" w:eastAsia="標楷體" w:hAnsi="標楷體"/>
        </w:rPr>
        <w:t>Hepsera</w:t>
      </w:r>
      <w:proofErr w:type="spellEnd"/>
      <w:r>
        <w:rPr>
          <w:rFonts w:ascii="標楷體" w:eastAsia="標楷體" w:hAnsi="標楷體"/>
        </w:rPr>
        <w:t xml:space="preserve"> Tablets 10mg) ；Entecavir (如</w:t>
      </w:r>
      <w:proofErr w:type="spellStart"/>
      <w:r>
        <w:rPr>
          <w:rFonts w:ascii="標楷體" w:eastAsia="標楷體" w:hAnsi="標楷體"/>
        </w:rPr>
        <w:t>Baraclude</w:t>
      </w:r>
      <w:proofErr w:type="spellEnd"/>
      <w:r>
        <w:rPr>
          <w:rFonts w:ascii="標楷體" w:eastAsia="標楷體" w:hAnsi="標楷體"/>
        </w:rPr>
        <w:t xml:space="preserve"> 1.0mg)；tenofovir disoproxil (如</w:t>
      </w:r>
      <w:proofErr w:type="spellStart"/>
      <w:r>
        <w:rPr>
          <w:rFonts w:ascii="標楷體" w:eastAsia="標楷體" w:hAnsi="標楷體"/>
        </w:rPr>
        <w:t>Viread</w:t>
      </w:r>
      <w:proofErr w:type="spellEnd"/>
      <w:r>
        <w:rPr>
          <w:rFonts w:ascii="標楷體" w:eastAsia="標楷體" w:hAnsi="標楷體"/>
        </w:rPr>
        <w:t>)；tenofovir alafenamide (如</w:t>
      </w:r>
      <w:proofErr w:type="spellStart"/>
      <w:r>
        <w:rPr>
          <w:rFonts w:ascii="標楷體" w:eastAsia="標楷體" w:hAnsi="標楷體"/>
        </w:rPr>
        <w:t>Vemlidy</w:t>
      </w:r>
      <w:proofErr w:type="spellEnd"/>
      <w:r>
        <w:rPr>
          <w:rFonts w:ascii="標楷體" w:eastAsia="標楷體" w:hAnsi="標楷體"/>
        </w:rPr>
        <w:t>)：(95/9/1、95/10/1、97/8/1、98/11/1、99/5/1、99/7/1、102/2/1、104/12/1、106/1/1、106/4/1、108/5/1、109/7/1</w:t>
      </w:r>
      <w:r>
        <w:rPr>
          <w:rFonts w:ascii="標楷體" w:eastAsia="標楷體" w:hAnsi="標楷體"/>
          <w:bCs/>
        </w:rPr>
        <w:t>、111/9/1</w:t>
      </w:r>
      <w:proofErr w:type="gramStart"/>
      <w:r>
        <w:rPr>
          <w:rFonts w:ascii="標楷體" w:eastAsia="標楷體" w:hAnsi="標楷體"/>
        </w:rPr>
        <w:t>）</w:t>
      </w:r>
      <w:proofErr w:type="gramEnd"/>
    </w:p>
    <w:p w14:paraId="6C2C81B8"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用於慢性病毒性B型肝炎患者之條件如下：</w:t>
      </w:r>
    </w:p>
    <w:p w14:paraId="0279739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lastRenderedPageBreak/>
        <w:t>1.經使用lamivudine 100mg、entecavir 0.5mg或1.0mg、telbivudine治療或預防B型肝炎發作出現抗藥株(指於治療中一旦HBV DNA從治療期間之最低值上升超過一個對數值（1 log IU/mL），以下條件擇</w:t>
      </w:r>
      <w:proofErr w:type="gramStart"/>
      <w:r>
        <w:rPr>
          <w:rFonts w:ascii="標楷體" w:eastAsia="標楷體" w:hAnsi="標楷體"/>
        </w:rPr>
        <w:t>一</w:t>
      </w:r>
      <w:proofErr w:type="gramEnd"/>
      <w:r>
        <w:rPr>
          <w:rFonts w:ascii="標楷體" w:eastAsia="標楷體" w:hAnsi="標楷體"/>
        </w:rPr>
        <w:t>給付：（98/11/1、99/5/1、102/2/1、104/12/1、106/4/1）</w:t>
      </w:r>
    </w:p>
    <w:p w14:paraId="0853681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(1)得以原治療藥物再加上adefovir進行合併救援治療（rescue therapy）；(95/9/1、95/10/1、97/8/1、98/11/1、99/5/1、99/7/1、106/4/1)</w:t>
      </w:r>
    </w:p>
    <w:p w14:paraId="02CD92E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(2)改用entecavir 1.0mg(僅限於lamivudine產生抗藥性之病人)單一藥物治療；（98/11/1、99/5/1、99/7/1、106/4/1）</w:t>
      </w:r>
    </w:p>
    <w:p w14:paraId="23897024"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(3)以Interferon alpha-2a（如</w:t>
      </w:r>
      <w:proofErr w:type="spellStart"/>
      <w:r>
        <w:rPr>
          <w:rFonts w:ascii="標楷體" w:eastAsia="標楷體" w:hAnsi="標楷體"/>
        </w:rPr>
        <w:t>Roferon</w:t>
      </w:r>
      <w:proofErr w:type="spellEnd"/>
      <w:r>
        <w:rPr>
          <w:rFonts w:ascii="標楷體" w:eastAsia="標楷體" w:hAnsi="標楷體"/>
        </w:rPr>
        <w:t>-A）或interferon alpha-2b（如Intron A）或 peginterferon alfa-2a（如</w:t>
      </w:r>
      <w:proofErr w:type="spellStart"/>
      <w:r>
        <w:rPr>
          <w:rFonts w:ascii="標楷體" w:eastAsia="標楷體" w:hAnsi="標楷體"/>
        </w:rPr>
        <w:t>Pegasys</w:t>
      </w:r>
      <w:proofErr w:type="spellEnd"/>
      <w:r>
        <w:rPr>
          <w:rFonts w:ascii="標楷體" w:eastAsia="標楷體" w:hAnsi="標楷體"/>
        </w:rPr>
        <w:t>）治療1年。（98/11/1、99/5/1、99/7/1）</w:t>
      </w:r>
    </w:p>
    <w:p w14:paraId="6A9FE38E"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(4)改用tenofovir disoproxil或tenofovir alafenamide單一藥物治療。(104/12/1、106/4/1、108/5/1)</w:t>
      </w:r>
    </w:p>
    <w:p w14:paraId="12E9BDA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(5)原已接受其他口服抗病毒藥物救援治療，治療期間出現抗藥株，或治療未達預期之病毒學反應，得改以tenofovir disoproxil或tenofovir alafenamide單一藥物救援治療。(104/12/1、106/4/1、108/5/1)</w:t>
      </w:r>
    </w:p>
    <w:p w14:paraId="2C1DFEF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2.若停藥後復發，得以合併療法，或tenofovir disoproxil或tenofovir alafenamide單一藥物再治療，或以干擾素再治療1年。(99/7/1、104/12/1、106/1/1、106/4/1、108/5/1)</w:t>
      </w:r>
    </w:p>
    <w:p w14:paraId="15CC471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3.慢性B型肝炎表面抗原（HBsAg）帶原者：</w:t>
      </w:r>
    </w:p>
    <w:p w14:paraId="58D1128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(1)肝硬化之病患。(99/7/1)</w:t>
      </w:r>
    </w:p>
    <w:p w14:paraId="67BFB91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(2)接受非肝臟之器官移植後發作或接受肝臟移植，須持續接受免疫抑制劑時。（95/10/1、97/8/1、99/5/1）上述病患長期使用lamivudine 100mg、entecavir 0.5mg、telbivudine，以治療或預防B型肝炎發作，若出現抗藥性</w:t>
      </w:r>
      <w:proofErr w:type="gramStart"/>
      <w:r>
        <w:rPr>
          <w:rFonts w:ascii="標楷體" w:eastAsia="標楷體" w:hAnsi="標楷體"/>
        </w:rPr>
        <w:t>病毒株者</w:t>
      </w:r>
      <w:proofErr w:type="gramEnd"/>
      <w:r>
        <w:rPr>
          <w:rFonts w:ascii="標楷體" w:eastAsia="標楷體" w:hAnsi="標楷體"/>
        </w:rPr>
        <w:t>，治療藥物及療程之規定詳如10.7.4.之1項。（95/10/1、97/8/1、99/5/1、 99/7/1、102/2/1）</w:t>
      </w:r>
    </w:p>
    <w:p w14:paraId="412C026B" w14:textId="77777777" w:rsidR="00401786" w:rsidRDefault="00C64FB3" w:rsidP="0009639E">
      <w:pPr>
        <w:spacing w:line="300" w:lineRule="exact"/>
        <w:ind w:left="847" w:hanging="283"/>
        <w:rPr>
          <w:rFonts w:ascii="標楷體" w:eastAsia="標楷體" w:hAnsi="標楷體"/>
        </w:rPr>
      </w:pPr>
      <w:r>
        <w:rPr>
          <w:rFonts w:ascii="標楷體" w:eastAsia="標楷體" w:hAnsi="標楷體"/>
        </w:rPr>
        <w:t>4.臨床上若產生多重抗藥</w:t>
      </w:r>
      <w:proofErr w:type="gramStart"/>
      <w:r>
        <w:rPr>
          <w:rFonts w:ascii="標楷體" w:eastAsia="標楷體" w:hAnsi="標楷體"/>
        </w:rPr>
        <w:t>病毒株時可</w:t>
      </w:r>
      <w:proofErr w:type="gramEnd"/>
      <w:r>
        <w:rPr>
          <w:rFonts w:ascii="標楷體" w:eastAsia="標楷體" w:hAnsi="標楷體"/>
        </w:rPr>
        <w:t>給予tenofovir disoproxil或tenofovir alafenamide單一藥物治療，或合併entecavir 1.0mg及tenofovir disoproxil治療，或合併entecavir 1.0mg及tenofovir alafenamide治療。(104/12/1、106/4/1、108/5/1)</w:t>
      </w:r>
    </w:p>
    <w:p w14:paraId="506587A8" w14:textId="77777777" w:rsidR="00401786" w:rsidRDefault="00C64FB3" w:rsidP="0009639E">
      <w:pPr>
        <w:spacing w:line="300" w:lineRule="exact"/>
        <w:ind w:left="989" w:hanging="425"/>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：多重抗藥</w:t>
      </w:r>
      <w:proofErr w:type="gramStart"/>
      <w:r>
        <w:rPr>
          <w:rFonts w:ascii="標楷體" w:eastAsia="標楷體" w:hAnsi="標楷體"/>
        </w:rPr>
        <w:t>病毒株指病毒</w:t>
      </w:r>
      <w:proofErr w:type="gramEnd"/>
      <w:r>
        <w:rPr>
          <w:rFonts w:ascii="標楷體" w:eastAsia="標楷體" w:hAnsi="標楷體"/>
        </w:rPr>
        <w:t>對lamivudine、telbivudine、entecavir或adefovir產生二種(含)藥物以上之抗藥性。(104/12/1)</w:t>
      </w:r>
    </w:p>
    <w:p w14:paraId="62120821" w14:textId="77777777" w:rsidR="00401786" w:rsidRDefault="00C64FB3" w:rsidP="0009639E">
      <w:pPr>
        <w:spacing w:line="300" w:lineRule="exact"/>
        <w:ind w:left="796" w:hanging="230"/>
        <w:rPr>
          <w:rFonts w:ascii="標楷體" w:eastAsia="標楷體" w:hAnsi="標楷體"/>
        </w:rPr>
      </w:pPr>
      <w:r>
        <w:rPr>
          <w:rFonts w:ascii="標楷體" w:eastAsia="標楷體" w:hAnsi="標楷體"/>
        </w:rPr>
        <w:t>5.前述以口服抗病毒藥物治療之給付療程依</w:t>
      </w:r>
      <w:proofErr w:type="spellStart"/>
      <w:r>
        <w:rPr>
          <w:rFonts w:ascii="標楷體" w:eastAsia="標楷體" w:hAnsi="標楷體"/>
        </w:rPr>
        <w:t>HBeAg</w:t>
      </w:r>
      <w:proofErr w:type="spellEnd"/>
      <w:r>
        <w:rPr>
          <w:rFonts w:ascii="標楷體" w:eastAsia="標楷體" w:hAnsi="標楷體"/>
        </w:rPr>
        <w:t>(+)或</w:t>
      </w:r>
      <w:proofErr w:type="spellStart"/>
      <w:r>
        <w:rPr>
          <w:rFonts w:ascii="標楷體" w:eastAsia="標楷體" w:hAnsi="標楷體"/>
        </w:rPr>
        <w:t>HBeAg</w:t>
      </w:r>
      <w:proofErr w:type="spellEnd"/>
      <w:r>
        <w:rPr>
          <w:rFonts w:ascii="標楷體" w:eastAsia="標楷體" w:hAnsi="標楷體"/>
        </w:rPr>
        <w:t>(-)而定：</w:t>
      </w:r>
      <w:proofErr w:type="spellStart"/>
      <w:r>
        <w:rPr>
          <w:rFonts w:ascii="標楷體" w:eastAsia="標楷體" w:hAnsi="標楷體"/>
        </w:rPr>
        <w:t>HBeAg</w:t>
      </w:r>
      <w:proofErr w:type="spellEnd"/>
      <w:r>
        <w:rPr>
          <w:rFonts w:ascii="標楷體" w:eastAsia="標楷體" w:hAnsi="標楷體"/>
        </w:rPr>
        <w:t>(+)病患治療至e抗原</w:t>
      </w:r>
      <w:proofErr w:type="gramStart"/>
      <w:r>
        <w:rPr>
          <w:rFonts w:ascii="標楷體" w:eastAsia="標楷體" w:hAnsi="標楷體"/>
        </w:rPr>
        <w:t>轉陰並</w:t>
      </w:r>
      <w:proofErr w:type="gramEnd"/>
      <w:r>
        <w:rPr>
          <w:rFonts w:ascii="標楷體" w:eastAsia="標楷體" w:hAnsi="標楷體"/>
        </w:rPr>
        <w:t>再給付最多12個月；</w:t>
      </w:r>
      <w:proofErr w:type="spellStart"/>
      <w:r>
        <w:rPr>
          <w:rFonts w:ascii="標楷體" w:eastAsia="標楷體" w:hAnsi="標楷體"/>
        </w:rPr>
        <w:t>HBeAg</w:t>
      </w:r>
      <w:proofErr w:type="spellEnd"/>
      <w:r>
        <w:rPr>
          <w:rFonts w:ascii="標楷體" w:eastAsia="標楷體" w:hAnsi="標楷體"/>
        </w:rPr>
        <w:t>(-)病患治療至少二年，治療期間需檢驗血清HBV DNA，並於檢驗血清HBV DNA連續三次，每次間隔6個月，均檢驗不出HBV DNA時停藥，每次療程至多給付36個月。再次復發時得再接受治療，不限治療次數。(106/4/1)</w:t>
      </w:r>
    </w:p>
    <w:p w14:paraId="68CEBA7E" w14:textId="77777777" w:rsidR="00401786" w:rsidRDefault="00C64FB3" w:rsidP="0009639E">
      <w:pPr>
        <w:spacing w:line="300" w:lineRule="exact"/>
        <w:ind w:left="796" w:hanging="230"/>
        <w:rPr>
          <w:rFonts w:ascii="標楷體" w:eastAsia="標楷體" w:hAnsi="標楷體"/>
        </w:rPr>
      </w:pPr>
      <w:bookmarkStart w:id="82" w:name="_Hlk120894158"/>
      <w:r>
        <w:rPr>
          <w:rFonts w:ascii="標楷體" w:eastAsia="標楷體" w:hAnsi="標楷體"/>
        </w:rPr>
        <w:t>6.</w:t>
      </w:r>
      <w:proofErr w:type="gramStart"/>
      <w:r>
        <w:rPr>
          <w:rFonts w:ascii="標楷體" w:eastAsia="標楷體" w:hAnsi="標楷體"/>
        </w:rPr>
        <w:t>醫</w:t>
      </w:r>
      <w:proofErr w:type="gramEnd"/>
      <w:r>
        <w:rPr>
          <w:rFonts w:ascii="標楷體" w:eastAsia="標楷體" w:hAnsi="標楷體"/>
        </w:rPr>
        <w:t>事服務機構及醫師資格：(109/7/1、111/9/1)</w:t>
      </w:r>
    </w:p>
    <w:p w14:paraId="5DD5722D"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(1)醫院：</w:t>
      </w:r>
    </w:p>
    <w:p w14:paraId="608A1298"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Ⅰ.有消化系內科或消化系兒科專科醫師之醫院。</w:t>
      </w:r>
    </w:p>
    <w:p w14:paraId="2BF840CA" w14:textId="77777777" w:rsidR="00401786" w:rsidRDefault="00C64FB3" w:rsidP="0009639E">
      <w:pPr>
        <w:spacing w:line="300" w:lineRule="exact"/>
        <w:ind w:left="1440" w:hanging="360"/>
      </w:pPr>
      <w:r>
        <w:rPr>
          <w:rFonts w:ascii="標楷體" w:eastAsia="標楷體" w:hAnsi="標楷體"/>
        </w:rPr>
        <w:t>Ⅱ.醫師資格為前開醫院之消化系內科專科醫師、消化系兒科專科醫師、血液病專科醫師、腫瘤內科專科醫師、癌症相關科醫師</w:t>
      </w:r>
      <w:r>
        <w:rPr>
          <w:rFonts w:ascii="新細明體" w:hAnsi="新細明體"/>
        </w:rPr>
        <w:t>、</w:t>
      </w:r>
      <w:r>
        <w:rPr>
          <w:rFonts w:ascii="標楷體" w:eastAsia="標楷體" w:hAnsi="標楷體"/>
        </w:rPr>
        <w:t>符合器官移植手術資格及風濕免疫科專科醫師之專任或兼任專科醫師。(</w:t>
      </w:r>
      <w:r>
        <w:rPr>
          <w:rFonts w:ascii="標楷體" w:eastAsia="標楷體" w:hAnsi="標楷體"/>
          <w:bCs/>
        </w:rPr>
        <w:t>111/9/1)</w:t>
      </w:r>
    </w:p>
    <w:p w14:paraId="6DDA4A9D"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之感染症內科專科醫師開立處方。</w:t>
      </w:r>
    </w:p>
    <w:p w14:paraId="6A6D62F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(2)基層院所：</w:t>
      </w:r>
    </w:p>
    <w:p w14:paraId="0179A5C6"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Ⅰ.須具有消化系內科或消化系兒科專任專科醫師之基層院所。</w:t>
      </w:r>
    </w:p>
    <w:p w14:paraId="32D957D3"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Ⅱ.肝炎治療醫療資源不足地區及山地離島地區，具有消化系內科或消化系兒科兼</w:t>
      </w:r>
      <w:r>
        <w:rPr>
          <w:rFonts w:ascii="標楷體" w:eastAsia="標楷體" w:hAnsi="標楷體"/>
        </w:rPr>
        <w:lastRenderedPageBreak/>
        <w:t>任專科醫師之基層院所，亦得開立處方，惟離島地區(如金門縣、連江縣、澎湖縣、台東縣蘭嶼鄉、台東縣綠島鄉)內科醫師之基層院所，亦得開立處方。</w:t>
      </w:r>
      <w:bookmarkEnd w:id="82"/>
    </w:p>
    <w:p w14:paraId="570B0AA6" w14:textId="77777777" w:rsidR="00401786" w:rsidRDefault="00C64FB3" w:rsidP="0009639E">
      <w:pPr>
        <w:spacing w:line="300" w:lineRule="exact"/>
        <w:ind w:left="796" w:hanging="230"/>
        <w:rPr>
          <w:rFonts w:ascii="標楷體" w:eastAsia="標楷體" w:hAnsi="標楷體"/>
        </w:rPr>
      </w:pPr>
      <w:r>
        <w:rPr>
          <w:rFonts w:ascii="標楷體" w:eastAsia="標楷體" w:hAnsi="標楷體"/>
        </w:rPr>
        <w:t>◎附表三十四：肝炎治療醫療資源不足地區及山地離島地區一覽表</w:t>
      </w:r>
    </w:p>
    <w:p w14:paraId="5DA47535" w14:textId="77777777" w:rsidR="00401786" w:rsidRDefault="00C64FB3" w:rsidP="0009639E">
      <w:pPr>
        <w:spacing w:line="300" w:lineRule="exact"/>
        <w:ind w:left="708" w:hanging="425"/>
      </w:pPr>
      <w:r>
        <w:rPr>
          <w:rFonts w:ascii="標楷體" w:eastAsia="標楷體" w:hAnsi="標楷體"/>
        </w:rPr>
        <w:t>10.7.5.</w:t>
      </w:r>
      <w:r>
        <w:t xml:space="preserve"> </w:t>
      </w:r>
      <w:r>
        <w:rPr>
          <w:rFonts w:ascii="標楷體" w:eastAsia="標楷體" w:hAnsi="標楷體"/>
        </w:rPr>
        <w:t>Daclatasvir（如</w:t>
      </w:r>
      <w:proofErr w:type="spellStart"/>
      <w:r>
        <w:rPr>
          <w:rFonts w:ascii="標楷體" w:eastAsia="標楷體" w:hAnsi="標楷體"/>
        </w:rPr>
        <w:t>Daklinza</w:t>
      </w:r>
      <w:proofErr w:type="spellEnd"/>
      <w:r>
        <w:rPr>
          <w:rFonts w:ascii="標楷體" w:eastAsia="標楷體" w:hAnsi="標楷體"/>
        </w:rPr>
        <w:t>）及</w:t>
      </w:r>
      <w:proofErr w:type="spellStart"/>
      <w:r>
        <w:rPr>
          <w:rFonts w:ascii="標楷體" w:eastAsia="標楷體" w:hAnsi="標楷體"/>
        </w:rPr>
        <w:t>asunaprevir</w:t>
      </w:r>
      <w:proofErr w:type="spellEnd"/>
      <w:r>
        <w:rPr>
          <w:rFonts w:ascii="標楷體" w:eastAsia="標楷體" w:hAnsi="標楷體"/>
        </w:rPr>
        <w:t>（如</w:t>
      </w:r>
      <w:proofErr w:type="spellStart"/>
      <w:r>
        <w:rPr>
          <w:rFonts w:ascii="標楷體" w:eastAsia="標楷體" w:hAnsi="標楷體"/>
        </w:rPr>
        <w:t>Sunvepra</w:t>
      </w:r>
      <w:proofErr w:type="spellEnd"/>
      <w:r>
        <w:rPr>
          <w:rFonts w:ascii="標楷體" w:eastAsia="標楷體" w:hAnsi="標楷體"/>
        </w:rPr>
        <w:t>）(106/1/24、106/5/15、107/6/1、108/1/1、108/6/1、109/1/1</w:t>
      </w:r>
      <w:proofErr w:type="gramStart"/>
      <w:r>
        <w:rPr>
          <w:rFonts w:ascii="標楷體" w:eastAsia="標楷體" w:hAnsi="標楷體"/>
        </w:rPr>
        <w:t>）</w:t>
      </w:r>
      <w:proofErr w:type="gramEnd"/>
      <w:r>
        <w:rPr>
          <w:rFonts w:ascii="標楷體" w:eastAsia="標楷體" w:hAnsi="標楷體"/>
        </w:rPr>
        <w:t>：(刪除)</w:t>
      </w:r>
    </w:p>
    <w:p w14:paraId="09314DD2" w14:textId="77777777" w:rsidR="00401786" w:rsidRDefault="00C64FB3" w:rsidP="0009639E">
      <w:pPr>
        <w:spacing w:line="300" w:lineRule="exact"/>
        <w:ind w:left="708" w:hanging="425"/>
      </w:pPr>
      <w:r>
        <w:rPr>
          <w:rFonts w:ascii="標楷體" w:eastAsia="標楷體" w:hAnsi="標楷體"/>
        </w:rPr>
        <w:t>10.7.6.</w:t>
      </w:r>
      <w:r>
        <w:t xml:space="preserve"> </w:t>
      </w:r>
      <w:proofErr w:type="spellStart"/>
      <w:r>
        <w:rPr>
          <w:rFonts w:ascii="標楷體" w:eastAsia="標楷體" w:hAnsi="標楷體"/>
        </w:rPr>
        <w:t>Ombitasvir</w:t>
      </w:r>
      <w:proofErr w:type="spellEnd"/>
      <w:r>
        <w:rPr>
          <w:rFonts w:ascii="標楷體" w:eastAsia="標楷體" w:hAnsi="標楷體"/>
        </w:rPr>
        <w:t>/</w:t>
      </w:r>
      <w:proofErr w:type="spellStart"/>
      <w:r>
        <w:rPr>
          <w:rFonts w:ascii="標楷體" w:eastAsia="標楷體" w:hAnsi="標楷體"/>
        </w:rPr>
        <w:t>paritaprevir</w:t>
      </w:r>
      <w:proofErr w:type="spellEnd"/>
      <w:r>
        <w:rPr>
          <w:rFonts w:ascii="標楷體" w:eastAsia="標楷體" w:hAnsi="標楷體"/>
        </w:rPr>
        <w:t>/ ritonavir（如</w:t>
      </w:r>
      <w:proofErr w:type="spellStart"/>
      <w:r>
        <w:rPr>
          <w:rFonts w:ascii="標楷體" w:eastAsia="標楷體" w:hAnsi="標楷體"/>
        </w:rPr>
        <w:t>Viekirax</w:t>
      </w:r>
      <w:proofErr w:type="spellEnd"/>
      <w:r>
        <w:rPr>
          <w:rFonts w:ascii="標楷體" w:eastAsia="標楷體" w:hAnsi="標楷體"/>
        </w:rPr>
        <w:t>）及dasabuvir (如</w:t>
      </w:r>
      <w:proofErr w:type="spellStart"/>
      <w:r>
        <w:rPr>
          <w:rFonts w:ascii="標楷體" w:eastAsia="標楷體" w:hAnsi="標楷體"/>
        </w:rPr>
        <w:t>Exviera</w:t>
      </w:r>
      <w:proofErr w:type="spellEnd"/>
      <w:r>
        <w:rPr>
          <w:rFonts w:ascii="標楷體" w:eastAsia="標楷體" w:hAnsi="標楷體"/>
        </w:rPr>
        <w:t>) (106/1/24、106/5/15、107/6/1、108/1/1、108/6/1、109/1/1、109/7/1、110/6/1</w:t>
      </w:r>
      <w:proofErr w:type="gramStart"/>
      <w:r>
        <w:rPr>
          <w:rFonts w:ascii="標楷體" w:eastAsia="標楷體" w:hAnsi="標楷體"/>
        </w:rPr>
        <w:t>）</w:t>
      </w:r>
      <w:proofErr w:type="gramEnd"/>
      <w:r>
        <w:rPr>
          <w:rFonts w:ascii="標楷體" w:eastAsia="標楷體" w:hAnsi="標楷體"/>
        </w:rPr>
        <w:t>：（刪除）</w:t>
      </w:r>
    </w:p>
    <w:p w14:paraId="4383236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10.7.7.Elbasvir/grazoprevir（如</w:t>
      </w:r>
      <w:proofErr w:type="spellStart"/>
      <w:r>
        <w:rPr>
          <w:rFonts w:ascii="標楷體" w:eastAsia="標楷體" w:hAnsi="標楷體"/>
        </w:rPr>
        <w:t>Zepatier</w:t>
      </w:r>
      <w:proofErr w:type="spellEnd"/>
      <w:r>
        <w:rPr>
          <w:rFonts w:ascii="標楷體" w:eastAsia="標楷體" w:hAnsi="標楷體"/>
        </w:rPr>
        <w:t>）(106/8/1、107/6/1、108/1/1、108/6/1、109/1/1、109/7/1、110/6/1</w:t>
      </w:r>
      <w:proofErr w:type="gramStart"/>
      <w:r>
        <w:rPr>
          <w:rFonts w:ascii="標楷體" w:eastAsia="標楷體" w:hAnsi="標楷體"/>
        </w:rPr>
        <w:t>）</w:t>
      </w:r>
      <w:proofErr w:type="gramEnd"/>
      <w:r>
        <w:rPr>
          <w:rFonts w:ascii="標楷體" w:eastAsia="標楷體" w:hAnsi="標楷體"/>
        </w:rPr>
        <w:t>：</w:t>
      </w:r>
    </w:p>
    <w:p w14:paraId="18F28735" w14:textId="77777777" w:rsidR="00401786" w:rsidRDefault="00C64FB3" w:rsidP="0009639E">
      <w:pPr>
        <w:spacing w:line="300" w:lineRule="exact"/>
        <w:ind w:left="845" w:hanging="245"/>
        <w:rPr>
          <w:rFonts w:ascii="標楷體" w:eastAsia="標楷體" w:hAnsi="標楷體"/>
        </w:rPr>
      </w:pPr>
      <w:r>
        <w:rPr>
          <w:rFonts w:ascii="標楷體" w:eastAsia="標楷體" w:hAnsi="標楷體"/>
        </w:rPr>
        <w:t>1.限用於成人慢性病毒性C型肝炎患者，並依據「C型肝炎全口服新藥健保給付執行計畫」辦理。(109/1/1、109/7/1</w:t>
      </w:r>
      <w:proofErr w:type="gramStart"/>
      <w:r>
        <w:rPr>
          <w:rFonts w:ascii="標楷體" w:eastAsia="標楷體" w:hAnsi="標楷體"/>
        </w:rPr>
        <w:t>）</w:t>
      </w:r>
      <w:proofErr w:type="gramEnd"/>
    </w:p>
    <w:p w14:paraId="2B39ACBC" w14:textId="77777777" w:rsidR="00401786" w:rsidRDefault="00C64FB3" w:rsidP="0009639E">
      <w:pPr>
        <w:spacing w:line="300" w:lineRule="exact"/>
        <w:ind w:left="845" w:hanging="245"/>
        <w:rPr>
          <w:rFonts w:ascii="標楷體" w:eastAsia="標楷體" w:hAnsi="標楷體"/>
        </w:rPr>
      </w:pPr>
      <w:r>
        <w:rPr>
          <w:rFonts w:ascii="標楷體" w:eastAsia="標楷體" w:hAnsi="標楷體"/>
        </w:rPr>
        <w:t>2.限使用於HCV RNA為陽性及無肝功能代償不全之病毒基因型第1型或第4型成人病患。(107/6/1、108/1/1、108/6/1)</w:t>
      </w:r>
    </w:p>
    <w:p w14:paraId="5EA46FC7" w14:textId="77777777" w:rsidR="00401786" w:rsidRDefault="00C64FB3" w:rsidP="0009639E">
      <w:pPr>
        <w:spacing w:line="300" w:lineRule="exact"/>
        <w:ind w:left="986" w:hanging="386"/>
        <w:rPr>
          <w:rFonts w:ascii="標楷體" w:eastAsia="標楷體" w:hAnsi="標楷體"/>
        </w:rPr>
      </w:pPr>
      <w:r>
        <w:rPr>
          <w:rFonts w:ascii="標楷體" w:eastAsia="標楷體" w:hAnsi="標楷體"/>
        </w:rPr>
        <w:t>3.給付療程如下，醫師每次開藥以4</w:t>
      </w:r>
      <w:proofErr w:type="gramStart"/>
      <w:r>
        <w:rPr>
          <w:rFonts w:ascii="標楷體" w:eastAsia="標楷體" w:hAnsi="標楷體"/>
        </w:rPr>
        <w:t>週</w:t>
      </w:r>
      <w:proofErr w:type="gramEnd"/>
      <w:r>
        <w:rPr>
          <w:rFonts w:ascii="標楷體" w:eastAsia="標楷體" w:hAnsi="標楷體"/>
        </w:rPr>
        <w:t>為限。(108/1/1</w:t>
      </w:r>
      <w:proofErr w:type="gramStart"/>
      <w:r>
        <w:rPr>
          <w:rFonts w:ascii="標楷體" w:eastAsia="標楷體" w:hAnsi="標楷體"/>
        </w:rPr>
        <w:t>）</w:t>
      </w:r>
      <w:proofErr w:type="gramEnd"/>
    </w:p>
    <w:p w14:paraId="65610A12"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(1)基因型第1a</w:t>
      </w:r>
      <w:proofErr w:type="gramStart"/>
      <w:r>
        <w:rPr>
          <w:rFonts w:ascii="標楷體" w:eastAsia="標楷體" w:hAnsi="標楷體"/>
        </w:rPr>
        <w:t>型且治療</w:t>
      </w:r>
      <w:proofErr w:type="gramEnd"/>
      <w:r>
        <w:rPr>
          <w:rFonts w:ascii="標楷體" w:eastAsia="標楷體" w:hAnsi="標楷體"/>
        </w:rPr>
        <w:t>前未帶有NS5A抗藥性相關多形性病毒株：</w:t>
      </w:r>
    </w:p>
    <w:p w14:paraId="56CC3A24"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Ⅰ.給付12</w:t>
      </w:r>
      <w:proofErr w:type="gramStart"/>
      <w:r>
        <w:rPr>
          <w:rFonts w:ascii="標楷體" w:eastAsia="標楷體" w:hAnsi="標楷體"/>
        </w:rPr>
        <w:t>週</w:t>
      </w:r>
      <w:proofErr w:type="gramEnd"/>
      <w:r>
        <w:rPr>
          <w:rFonts w:ascii="標楷體" w:eastAsia="標楷體" w:hAnsi="標楷體"/>
        </w:rPr>
        <w:t>。</w:t>
      </w:r>
    </w:p>
    <w:p w14:paraId="73DF5C9A"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Ⅱ.若為先前使用interferon/ ribavirin/蛋白酶抑制劑(protease inhibitor)合併治療失敗者，需合併ribavirin治療，給付12週。</w:t>
      </w:r>
    </w:p>
    <w:p w14:paraId="5AF084DE"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(2)基因型第1a</w:t>
      </w:r>
      <w:proofErr w:type="gramStart"/>
      <w:r>
        <w:rPr>
          <w:rFonts w:ascii="標楷體" w:eastAsia="標楷體" w:hAnsi="標楷體"/>
        </w:rPr>
        <w:t>型且治療</w:t>
      </w:r>
      <w:proofErr w:type="gramEnd"/>
      <w:r>
        <w:rPr>
          <w:rFonts w:ascii="標楷體" w:eastAsia="標楷體" w:hAnsi="標楷體"/>
        </w:rPr>
        <w:t>前帶有NS5A抗藥性相關多形性病毒株，需合併ribavirin治療，給付16</w:t>
      </w:r>
      <w:proofErr w:type="gramStart"/>
      <w:r>
        <w:rPr>
          <w:rFonts w:ascii="標楷體" w:eastAsia="標楷體" w:hAnsi="標楷體"/>
        </w:rPr>
        <w:t>週</w:t>
      </w:r>
      <w:proofErr w:type="gramEnd"/>
      <w:r>
        <w:rPr>
          <w:rFonts w:ascii="標楷體" w:eastAsia="標楷體" w:hAnsi="標楷體"/>
        </w:rPr>
        <w:t>。</w:t>
      </w:r>
    </w:p>
    <w:p w14:paraId="58261B7A"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(3)基因型第1b型：</w:t>
      </w:r>
    </w:p>
    <w:p w14:paraId="48F90790"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Ⅰ.給付12</w:t>
      </w:r>
      <w:proofErr w:type="gramStart"/>
      <w:r>
        <w:rPr>
          <w:rFonts w:ascii="標楷體" w:eastAsia="標楷體" w:hAnsi="標楷體"/>
        </w:rPr>
        <w:t>週</w:t>
      </w:r>
      <w:proofErr w:type="gramEnd"/>
      <w:r>
        <w:rPr>
          <w:rFonts w:ascii="標楷體" w:eastAsia="標楷體" w:hAnsi="標楷體"/>
        </w:rPr>
        <w:t>。</w:t>
      </w:r>
    </w:p>
    <w:p w14:paraId="14A3FCE7"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Ⅱ.若為先前使用interferon/ ribavirin/蛋白酶抑制劑合併治療失敗者，需合併ribavirin治療，給付12週。</w:t>
      </w:r>
    </w:p>
    <w:p w14:paraId="7229D85F"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(4)基因型第4型：</w:t>
      </w:r>
    </w:p>
    <w:p w14:paraId="4A5EA607"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Ⅰ.給付12</w:t>
      </w:r>
      <w:proofErr w:type="gramStart"/>
      <w:r>
        <w:rPr>
          <w:rFonts w:ascii="標楷體" w:eastAsia="標楷體" w:hAnsi="標楷體"/>
        </w:rPr>
        <w:t>週</w:t>
      </w:r>
      <w:proofErr w:type="gramEnd"/>
      <w:r>
        <w:rPr>
          <w:rFonts w:ascii="標楷體" w:eastAsia="標楷體" w:hAnsi="標楷體"/>
        </w:rPr>
        <w:t>。</w:t>
      </w:r>
    </w:p>
    <w:p w14:paraId="2C143B94"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Ⅱ.若為先前使用interferon/ ribavirin合併治療中發生病毒學失敗者，需合併ribavirin治療，給付16</w:t>
      </w:r>
      <w:proofErr w:type="gramStart"/>
      <w:r>
        <w:rPr>
          <w:rFonts w:ascii="標楷體" w:eastAsia="標楷體" w:hAnsi="標楷體"/>
        </w:rPr>
        <w:t>週</w:t>
      </w:r>
      <w:proofErr w:type="gramEnd"/>
      <w:r>
        <w:rPr>
          <w:rFonts w:ascii="標楷體" w:eastAsia="標楷體" w:hAnsi="標楷體"/>
        </w:rPr>
        <w:t>。</w:t>
      </w:r>
    </w:p>
    <w:p w14:paraId="1F3E58DC" w14:textId="77777777" w:rsidR="00401786" w:rsidRDefault="00C64FB3" w:rsidP="0009639E">
      <w:pPr>
        <w:spacing w:line="300" w:lineRule="exact"/>
        <w:ind w:left="991" w:hanging="386"/>
        <w:rPr>
          <w:rFonts w:ascii="標楷體" w:eastAsia="標楷體" w:hAnsi="標楷體"/>
        </w:rPr>
      </w:pPr>
      <w:r>
        <w:rPr>
          <w:rFonts w:ascii="標楷體" w:eastAsia="標楷體" w:hAnsi="標楷體"/>
        </w:rPr>
        <w:t>4.限未曾申請給付其他同類全口服直接抗病毒藥物(direct-acting anti-viral, DAAs)，且不得</w:t>
      </w:r>
      <w:proofErr w:type="gramStart"/>
      <w:r>
        <w:rPr>
          <w:rFonts w:ascii="標楷體" w:eastAsia="標楷體" w:hAnsi="標楷體"/>
        </w:rPr>
        <w:t>併</w:t>
      </w:r>
      <w:proofErr w:type="gramEnd"/>
      <w:r>
        <w:rPr>
          <w:rFonts w:ascii="標楷體" w:eastAsia="標楷體" w:hAnsi="標楷體"/>
        </w:rPr>
        <w:t>用其他DAAs，惟若曾接受本項藥品或其他DAAs第一次治療並符合下列情形之</w:t>
      </w:r>
      <w:proofErr w:type="gramStart"/>
      <w:r>
        <w:rPr>
          <w:rFonts w:ascii="標楷體" w:eastAsia="標楷體" w:hAnsi="標楷體"/>
        </w:rPr>
        <w:t>一</w:t>
      </w:r>
      <w:proofErr w:type="gramEnd"/>
      <w:r>
        <w:rPr>
          <w:rFonts w:ascii="標楷體" w:eastAsia="標楷體" w:hAnsi="標楷體"/>
        </w:rPr>
        <w:t>者，可再治療一次（一個療程）：(110/6/1</w:t>
      </w:r>
      <w:proofErr w:type="gramStart"/>
      <w:r>
        <w:rPr>
          <w:rFonts w:ascii="標楷體" w:eastAsia="標楷體" w:hAnsi="標楷體"/>
        </w:rPr>
        <w:t>）</w:t>
      </w:r>
      <w:proofErr w:type="gramEnd"/>
    </w:p>
    <w:p w14:paraId="35E3BD53"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(1)接受第一次治療時中斷療程，且中斷原因屬專業醫療評估必須</w:t>
      </w:r>
      <w:proofErr w:type="gramStart"/>
      <w:r>
        <w:rPr>
          <w:rFonts w:ascii="標楷體" w:eastAsia="標楷體" w:hAnsi="標楷體"/>
        </w:rPr>
        <w:t>停藥者</w:t>
      </w:r>
      <w:proofErr w:type="gramEnd"/>
      <w:r>
        <w:rPr>
          <w:rFonts w:ascii="標楷體" w:eastAsia="標楷體" w:hAnsi="標楷體"/>
        </w:rPr>
        <w:t>。</w:t>
      </w:r>
    </w:p>
    <w:p w14:paraId="7CE2E4FA" w14:textId="77777777" w:rsidR="00401786" w:rsidRDefault="00C64FB3" w:rsidP="0009639E">
      <w:pPr>
        <w:spacing w:line="300" w:lineRule="exact"/>
        <w:ind w:left="976" w:hanging="230"/>
        <w:rPr>
          <w:rFonts w:ascii="標楷體" w:eastAsia="標楷體" w:hAnsi="標楷體"/>
        </w:rPr>
      </w:pPr>
      <w:r>
        <w:rPr>
          <w:rFonts w:ascii="標楷體" w:eastAsia="標楷體" w:hAnsi="標楷體"/>
        </w:rPr>
        <w:t>(2)接受第一次治療結束後第12</w:t>
      </w:r>
      <w:proofErr w:type="gramStart"/>
      <w:r>
        <w:rPr>
          <w:rFonts w:ascii="標楷體" w:eastAsia="標楷體" w:hAnsi="標楷體"/>
        </w:rPr>
        <w:t>週</w:t>
      </w:r>
      <w:proofErr w:type="gramEnd"/>
      <w:r>
        <w:rPr>
          <w:rFonts w:ascii="標楷體" w:eastAsia="標楷體" w:hAnsi="標楷體"/>
        </w:rPr>
        <w:t>，血中偵測不到病毒，目前血中又再次偵測到病毒者。</w:t>
      </w:r>
    </w:p>
    <w:p w14:paraId="27774422" w14:textId="77777777" w:rsidR="001D211A" w:rsidRPr="00E93D61" w:rsidRDefault="00C64FB3" w:rsidP="001D211A">
      <w:pPr>
        <w:ind w:left="567" w:hanging="386"/>
        <w:rPr>
          <w:rFonts w:ascii="標楷體" w:eastAsia="標楷體" w:hAnsi="標楷體"/>
          <w:bCs/>
          <w:color w:val="000000"/>
          <w:szCs w:val="24"/>
        </w:rPr>
      </w:pPr>
      <w:r>
        <w:rPr>
          <w:rFonts w:ascii="標楷體" w:eastAsia="標楷體" w:hAnsi="標楷體"/>
          <w:color w:val="000000"/>
          <w:szCs w:val="24"/>
        </w:rPr>
        <w:t>10.7.8.</w:t>
      </w:r>
      <w:r w:rsidR="001D211A" w:rsidRPr="001D211A">
        <w:rPr>
          <w:rFonts w:ascii="標楷體" w:eastAsia="標楷體" w:hAnsi="標楷體"/>
          <w:bCs/>
          <w:color w:val="000000"/>
          <w:szCs w:val="24"/>
        </w:rPr>
        <w:t xml:space="preserve"> </w:t>
      </w:r>
      <w:r w:rsidR="001D211A" w:rsidRPr="00E93D61">
        <w:rPr>
          <w:rFonts w:ascii="標楷體" w:eastAsia="標楷體" w:hAnsi="標楷體"/>
          <w:bCs/>
          <w:color w:val="000000"/>
          <w:szCs w:val="24"/>
        </w:rPr>
        <w:t>Sofosbuvir/ledipasvir（如Harvoni）(107/1/1、107/6/1、107/10/1、108/1/1、108/6/1、109/1/1、109/7/1、110/6/1、111/2/1、114/6/1、114/12/1</w:t>
      </w:r>
      <w:proofErr w:type="gramStart"/>
      <w:r w:rsidR="001D211A" w:rsidRPr="00E93D61">
        <w:rPr>
          <w:rFonts w:ascii="標楷體" w:eastAsia="標楷體" w:hAnsi="標楷體"/>
          <w:bCs/>
          <w:color w:val="000000"/>
          <w:szCs w:val="24"/>
        </w:rPr>
        <w:t>）</w:t>
      </w:r>
      <w:proofErr w:type="gramEnd"/>
      <w:r w:rsidR="001D211A" w:rsidRPr="00E93D61">
        <w:rPr>
          <w:rFonts w:ascii="標楷體" w:eastAsia="標楷體" w:hAnsi="標楷體"/>
          <w:bCs/>
          <w:color w:val="000000"/>
          <w:szCs w:val="24"/>
        </w:rPr>
        <w:t>：</w:t>
      </w:r>
    </w:p>
    <w:p w14:paraId="257D82D4" w14:textId="77777777" w:rsidR="001D211A" w:rsidRDefault="001D211A" w:rsidP="001D211A">
      <w:pPr>
        <w:tabs>
          <w:tab w:val="left" w:pos="567"/>
        </w:tabs>
        <w:ind w:left="851" w:hanging="284"/>
        <w:rPr>
          <w:rFonts w:ascii="標楷體" w:eastAsia="標楷體" w:hAnsi="標楷體"/>
          <w:color w:val="000000"/>
          <w:szCs w:val="24"/>
        </w:rPr>
      </w:pPr>
      <w:r w:rsidRPr="00E93D61">
        <w:rPr>
          <w:rFonts w:ascii="標楷體" w:eastAsia="標楷體" w:hAnsi="標楷體"/>
          <w:color w:val="000000"/>
          <w:szCs w:val="24"/>
        </w:rPr>
        <w:t>1.限用於慢性病毒性C型肝炎患者，並依據「C型肝炎全口服新藥健保給付執行計畫」辦理。(109/1/1、109/7/1</w:t>
      </w:r>
      <w:proofErr w:type="gramStart"/>
      <w:r w:rsidRPr="00E93D61">
        <w:rPr>
          <w:rFonts w:ascii="標楷體" w:eastAsia="標楷體" w:hAnsi="標楷體"/>
          <w:color w:val="000000"/>
          <w:szCs w:val="24"/>
        </w:rPr>
        <w:t>）</w:t>
      </w:r>
      <w:proofErr w:type="gramEnd"/>
    </w:p>
    <w:p w14:paraId="5B10B483" w14:textId="77777777" w:rsidR="001D211A" w:rsidRPr="00E93D61" w:rsidRDefault="001D211A" w:rsidP="001D211A">
      <w:pPr>
        <w:tabs>
          <w:tab w:val="left" w:pos="567"/>
        </w:tabs>
        <w:ind w:left="851" w:hanging="284"/>
        <w:rPr>
          <w:rFonts w:ascii="標楷體" w:eastAsia="標楷體" w:hAnsi="標楷體"/>
          <w:color w:val="000000"/>
          <w:szCs w:val="24"/>
        </w:rPr>
      </w:pPr>
      <w:r w:rsidRPr="00E93D61">
        <w:rPr>
          <w:rFonts w:ascii="標楷體" w:eastAsia="標楷體" w:hAnsi="標楷體"/>
          <w:color w:val="000000"/>
          <w:szCs w:val="24"/>
        </w:rPr>
        <w:t>2.限使用於HCV RNA或HCV core Ag為陽性之下列病患：(107/6/1、107/10/1、108/1/1、108/6/1、114/6/1</w:t>
      </w:r>
      <w:proofErr w:type="gramStart"/>
      <w:r w:rsidRPr="00E93D61">
        <w:rPr>
          <w:rFonts w:ascii="標楷體" w:eastAsia="標楷體" w:hAnsi="標楷體"/>
          <w:color w:val="000000"/>
          <w:szCs w:val="24"/>
        </w:rPr>
        <w:t>）</w:t>
      </w:r>
      <w:proofErr w:type="gramEnd"/>
      <w:r w:rsidRPr="00E93D61">
        <w:rPr>
          <w:rFonts w:ascii="標楷體" w:eastAsia="標楷體" w:hAnsi="標楷體"/>
          <w:color w:val="000000"/>
          <w:szCs w:val="24"/>
        </w:rPr>
        <w:t>)</w:t>
      </w:r>
    </w:p>
    <w:p w14:paraId="2AE9F9F5"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(1)</w:t>
      </w:r>
      <w:r w:rsidRPr="00E93D61">
        <w:rPr>
          <w:rFonts w:ascii="標楷體" w:eastAsia="標楷體" w:hAnsi="標楷體"/>
          <w:color w:val="000000"/>
          <w:szCs w:val="24"/>
        </w:rPr>
        <w:tab/>
        <w:t>病毒基因型第1型、第2型、第4型、第5型或第6型成人病患。</w:t>
      </w:r>
    </w:p>
    <w:p w14:paraId="6D26E2D9" w14:textId="77777777" w:rsidR="001D211A"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(2)</w:t>
      </w:r>
      <w:r w:rsidRPr="00E93D61">
        <w:rPr>
          <w:rFonts w:ascii="標楷體" w:eastAsia="標楷體" w:hAnsi="標楷體"/>
          <w:color w:val="000000"/>
          <w:szCs w:val="24"/>
        </w:rPr>
        <w:tab/>
        <w:t>12歲以上且未</w:t>
      </w:r>
      <w:proofErr w:type="gramStart"/>
      <w:r w:rsidRPr="00E93D61">
        <w:rPr>
          <w:rFonts w:ascii="標楷體" w:eastAsia="標楷體" w:hAnsi="標楷體"/>
          <w:color w:val="000000"/>
          <w:szCs w:val="24"/>
        </w:rPr>
        <w:t>併</w:t>
      </w:r>
      <w:proofErr w:type="gramEnd"/>
      <w:r w:rsidRPr="00E93D61">
        <w:rPr>
          <w:rFonts w:ascii="標楷體" w:eastAsia="標楷體" w:hAnsi="標楷體"/>
          <w:color w:val="000000"/>
          <w:szCs w:val="24"/>
        </w:rPr>
        <w:t>有失代償性肝硬化之病毒基因型第1型兒童患者(111/2/1</w:t>
      </w:r>
      <w:proofErr w:type="gramStart"/>
      <w:r w:rsidRPr="00E93D61">
        <w:rPr>
          <w:rFonts w:ascii="標楷體" w:eastAsia="標楷體" w:hAnsi="標楷體"/>
          <w:color w:val="000000"/>
          <w:szCs w:val="24"/>
        </w:rPr>
        <w:t>）</w:t>
      </w:r>
      <w:proofErr w:type="gramEnd"/>
      <w:r w:rsidRPr="00E93D61">
        <w:rPr>
          <w:rFonts w:ascii="標楷體" w:eastAsia="標楷體" w:hAnsi="標楷體"/>
          <w:color w:val="000000"/>
          <w:szCs w:val="24"/>
        </w:rPr>
        <w:t>。</w:t>
      </w:r>
    </w:p>
    <w:p w14:paraId="07D99D8A" w14:textId="77777777" w:rsidR="001D211A" w:rsidRPr="00E93D61" w:rsidRDefault="001D211A" w:rsidP="001D211A">
      <w:pPr>
        <w:ind w:left="993" w:hanging="426"/>
        <w:rPr>
          <w:rFonts w:ascii="標楷體" w:eastAsia="標楷體" w:hAnsi="標楷體"/>
          <w:color w:val="000000"/>
          <w:szCs w:val="24"/>
        </w:rPr>
      </w:pPr>
      <w:r w:rsidRPr="00E93D61">
        <w:rPr>
          <w:rFonts w:ascii="標楷體" w:eastAsia="標楷體" w:hAnsi="標楷體"/>
          <w:color w:val="000000"/>
          <w:szCs w:val="24"/>
        </w:rPr>
        <w:t>3.給付療程如下，醫師每次開藥以4</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為限。(108/1/1</w:t>
      </w:r>
      <w:proofErr w:type="gramStart"/>
      <w:r w:rsidRPr="00E93D61">
        <w:rPr>
          <w:rFonts w:ascii="標楷體" w:eastAsia="標楷體" w:hAnsi="標楷體"/>
          <w:color w:val="000000"/>
          <w:szCs w:val="24"/>
        </w:rPr>
        <w:t>）</w:t>
      </w:r>
      <w:proofErr w:type="gramEnd"/>
    </w:p>
    <w:p w14:paraId="427D709A"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(1)給付12</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w:t>
      </w:r>
    </w:p>
    <w:p w14:paraId="6155A9FF"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(2)下列情況需合併ribavirin治療，給付12</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w:t>
      </w:r>
    </w:p>
    <w:p w14:paraId="2E67849D"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Ⅰ.若為先前使用interferon、ribavirin且合併或未合併蛋白酶抑制劑治療失敗，且具代償性肝硬化(Child-Pugh score A)者。</w:t>
      </w:r>
    </w:p>
    <w:p w14:paraId="545740DE"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lastRenderedPageBreak/>
        <w:t>Ⅱ.肝功能代償不全(Child-Pugh score B或C)者。</w:t>
      </w:r>
    </w:p>
    <w:p w14:paraId="32606994"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Ⅲ.無肝功能代償不全之基因型第1型或第4型肝臟移植者。</w:t>
      </w:r>
    </w:p>
    <w:p w14:paraId="37BF1FF1" w14:textId="77777777" w:rsidR="001D211A" w:rsidRPr="00E93D61" w:rsidRDefault="001D211A" w:rsidP="001D211A">
      <w:pPr>
        <w:ind w:left="851" w:hanging="284"/>
        <w:rPr>
          <w:rFonts w:ascii="標楷體" w:eastAsia="標楷體" w:hAnsi="標楷體"/>
          <w:color w:val="000000"/>
          <w:szCs w:val="24"/>
        </w:rPr>
      </w:pPr>
      <w:r w:rsidRPr="00E93D61">
        <w:rPr>
          <w:rFonts w:ascii="標楷體" w:eastAsia="標楷體" w:hAnsi="標楷體"/>
          <w:color w:val="000000"/>
          <w:szCs w:val="24"/>
        </w:rPr>
        <w:t>4.限未曾申請給付其他同類全口服直接抗病毒藥物(direct-acting anti-viral, DAAs)，且不得</w:t>
      </w:r>
      <w:proofErr w:type="gramStart"/>
      <w:r w:rsidRPr="00E93D61">
        <w:rPr>
          <w:rFonts w:ascii="標楷體" w:eastAsia="標楷體" w:hAnsi="標楷體"/>
          <w:color w:val="000000"/>
          <w:szCs w:val="24"/>
        </w:rPr>
        <w:t>併</w:t>
      </w:r>
      <w:proofErr w:type="gramEnd"/>
      <w:r w:rsidRPr="00E93D61">
        <w:rPr>
          <w:rFonts w:ascii="標楷體" w:eastAsia="標楷體" w:hAnsi="標楷體"/>
          <w:color w:val="000000"/>
          <w:szCs w:val="24"/>
        </w:rPr>
        <w:t>用其他DAAs，惟若曾接受本項藥品或其他DAAs第一次治療且符合下列情形之</w:t>
      </w:r>
      <w:proofErr w:type="gramStart"/>
      <w:r w:rsidRPr="00E93D61">
        <w:rPr>
          <w:rFonts w:ascii="標楷體" w:eastAsia="標楷體" w:hAnsi="標楷體"/>
          <w:color w:val="000000"/>
          <w:szCs w:val="24"/>
        </w:rPr>
        <w:t>一</w:t>
      </w:r>
      <w:proofErr w:type="gramEnd"/>
      <w:r w:rsidRPr="00E93D61">
        <w:rPr>
          <w:rFonts w:ascii="標楷體" w:eastAsia="標楷體" w:hAnsi="標楷體"/>
          <w:color w:val="000000"/>
          <w:szCs w:val="24"/>
        </w:rPr>
        <w:t>者，可再治療一次（一個療程）：(110/6/1</w:t>
      </w:r>
      <w:proofErr w:type="gramStart"/>
      <w:r w:rsidRPr="00E93D61">
        <w:rPr>
          <w:rFonts w:ascii="標楷體" w:eastAsia="標楷體" w:hAnsi="標楷體"/>
          <w:color w:val="000000"/>
          <w:szCs w:val="24"/>
        </w:rPr>
        <w:t>）</w:t>
      </w:r>
      <w:proofErr w:type="gramEnd"/>
    </w:p>
    <w:p w14:paraId="3A393DD6"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(1)接受第一次治療時中斷療程，且中斷原因屬專業醫療評估必須</w:t>
      </w:r>
      <w:proofErr w:type="gramStart"/>
      <w:r w:rsidRPr="00E93D61">
        <w:rPr>
          <w:rFonts w:ascii="標楷體" w:eastAsia="標楷體" w:hAnsi="標楷體"/>
          <w:color w:val="000000"/>
          <w:szCs w:val="24"/>
        </w:rPr>
        <w:t>停藥者</w:t>
      </w:r>
      <w:proofErr w:type="gramEnd"/>
      <w:r w:rsidRPr="00E93D61">
        <w:rPr>
          <w:rFonts w:ascii="標楷體" w:eastAsia="標楷體" w:hAnsi="標楷體"/>
          <w:color w:val="000000"/>
          <w:szCs w:val="24"/>
        </w:rPr>
        <w:t>。</w:t>
      </w:r>
    </w:p>
    <w:p w14:paraId="41061A0D"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(2)接受第一次治療結束後第12</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，血中偵測不到病毒，目前血中又再次偵測到病毒者。</w:t>
      </w:r>
    </w:p>
    <w:p w14:paraId="2222405D" w14:textId="77777777" w:rsidR="00401786" w:rsidRDefault="001D211A" w:rsidP="001D211A">
      <w:pPr>
        <w:spacing w:line="300" w:lineRule="exact"/>
        <w:ind w:left="1418" w:hanging="805"/>
      </w:pPr>
      <w:r w:rsidRPr="00E93D61">
        <w:rPr>
          <w:rFonts w:ascii="標楷體" w:eastAsia="標楷體" w:hAnsi="標楷體"/>
          <w:color w:val="000000"/>
          <w:szCs w:val="24"/>
        </w:rPr>
        <w:t>5.高風險族群（監獄受刑人、注射藥癮者、愛滋病毒帶原者/</w:t>
      </w:r>
      <w:proofErr w:type="gramStart"/>
      <w:r w:rsidRPr="00E93D61">
        <w:rPr>
          <w:rFonts w:ascii="標楷體" w:eastAsia="標楷體" w:hAnsi="標楷體"/>
          <w:color w:val="000000"/>
          <w:szCs w:val="24"/>
        </w:rPr>
        <w:t>愛滋病</w:t>
      </w:r>
      <w:proofErr w:type="gramEnd"/>
      <w:r w:rsidRPr="00E93D61">
        <w:rPr>
          <w:rFonts w:ascii="標楷體" w:eastAsia="標楷體" w:hAnsi="標楷體"/>
          <w:color w:val="000000"/>
          <w:szCs w:val="24"/>
        </w:rPr>
        <w:t>人、發生危險性行為者）病人，若符合前述規定即可接受治療，以治療三次為限。（114/12/1）</w:t>
      </w:r>
    </w:p>
    <w:p w14:paraId="170BE8E2"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10.7.9.Sofosbuvir（如Sovaldi）(107/1/1、107/6/1、108/1/1、108/6/1、109/1/1、109/7/1</w:t>
      </w:r>
      <w:proofErr w:type="gramStart"/>
      <w:r>
        <w:rPr>
          <w:rFonts w:ascii="標楷體" w:eastAsia="標楷體" w:hAnsi="標楷體"/>
        </w:rPr>
        <w:t>）</w:t>
      </w:r>
      <w:proofErr w:type="gramEnd"/>
      <w:r>
        <w:rPr>
          <w:rFonts w:ascii="標楷體" w:eastAsia="標楷體" w:hAnsi="標楷體"/>
        </w:rPr>
        <w:t>：</w:t>
      </w:r>
    </w:p>
    <w:p w14:paraId="3EF1E95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1.限用於成人慢性病毒性C型肝炎患者，並依據「C型肝炎全口服新藥健保給付執行計畫」辦理。(109/1/1、109/7/1</w:t>
      </w:r>
      <w:proofErr w:type="gramStart"/>
      <w:r>
        <w:rPr>
          <w:rFonts w:ascii="標楷體" w:eastAsia="標楷體" w:hAnsi="標楷體"/>
        </w:rPr>
        <w:t>）</w:t>
      </w:r>
      <w:proofErr w:type="gramEnd"/>
    </w:p>
    <w:p w14:paraId="6190794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2.限使用於HCV RNA為陽性及無肝功能代償不全之病毒基因型第2型成人病患。(107/6/1、108/1/1、108/6/1)</w:t>
      </w:r>
    </w:p>
    <w:p w14:paraId="7E89831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3.需合併ribavirin治療，每人給付療程12</w:t>
      </w:r>
      <w:proofErr w:type="gramStart"/>
      <w:r>
        <w:rPr>
          <w:rFonts w:ascii="標楷體" w:eastAsia="標楷體" w:hAnsi="標楷體"/>
        </w:rPr>
        <w:t>週</w:t>
      </w:r>
      <w:proofErr w:type="gramEnd"/>
      <w:r>
        <w:rPr>
          <w:rFonts w:ascii="標楷體" w:eastAsia="標楷體" w:hAnsi="標楷體"/>
        </w:rPr>
        <w:t>，醫師每次開藥以4</w:t>
      </w:r>
      <w:proofErr w:type="gramStart"/>
      <w:r>
        <w:rPr>
          <w:rFonts w:ascii="標楷體" w:eastAsia="標楷體" w:hAnsi="標楷體"/>
        </w:rPr>
        <w:t>週</w:t>
      </w:r>
      <w:proofErr w:type="gramEnd"/>
      <w:r>
        <w:rPr>
          <w:rFonts w:ascii="標楷體" w:eastAsia="標楷體" w:hAnsi="標楷體"/>
        </w:rPr>
        <w:t>為限。(108/1/1</w:t>
      </w:r>
      <w:proofErr w:type="gramStart"/>
      <w:r>
        <w:rPr>
          <w:rFonts w:ascii="標楷體" w:eastAsia="標楷體" w:hAnsi="標楷體"/>
        </w:rPr>
        <w:t>）</w:t>
      </w:r>
      <w:proofErr w:type="gramEnd"/>
    </w:p>
    <w:p w14:paraId="7C77E61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4.限未曾申請給付其他同類全口服直接抗病毒藥物(direct-acting anti-viral, DAAs)，且不得</w:t>
      </w:r>
      <w:proofErr w:type="gramStart"/>
      <w:r>
        <w:rPr>
          <w:rFonts w:ascii="標楷體" w:eastAsia="標楷體" w:hAnsi="標楷體"/>
        </w:rPr>
        <w:t>併</w:t>
      </w:r>
      <w:proofErr w:type="gramEnd"/>
      <w:r>
        <w:rPr>
          <w:rFonts w:ascii="標楷體" w:eastAsia="標楷體" w:hAnsi="標楷體"/>
        </w:rPr>
        <w:t>用其他DAAs。</w:t>
      </w:r>
    </w:p>
    <w:p w14:paraId="1EC2282B" w14:textId="77777777" w:rsidR="007326C5" w:rsidRDefault="00C64FB3" w:rsidP="007326C5">
      <w:pPr>
        <w:ind w:left="1250" w:hanging="964"/>
      </w:pPr>
      <w:r>
        <w:rPr>
          <w:rFonts w:ascii="標楷體" w:eastAsia="標楷體" w:hAnsi="標楷體"/>
        </w:rPr>
        <w:t>10.7.10.</w:t>
      </w:r>
      <w:r w:rsidR="007326C5" w:rsidRPr="007326C5">
        <w:rPr>
          <w:rFonts w:ascii="標楷體" w:eastAsia="標楷體" w:hAnsi="標楷體"/>
        </w:rPr>
        <w:t xml:space="preserve"> </w:t>
      </w:r>
      <w:proofErr w:type="spellStart"/>
      <w:r w:rsidR="007326C5">
        <w:rPr>
          <w:rFonts w:ascii="標楷體" w:eastAsia="標楷體" w:hAnsi="標楷體"/>
        </w:rPr>
        <w:t>Glecaprevir</w:t>
      </w:r>
      <w:proofErr w:type="spellEnd"/>
      <w:r w:rsidR="007326C5">
        <w:rPr>
          <w:rFonts w:ascii="標楷體" w:eastAsia="標楷體" w:hAnsi="標楷體"/>
        </w:rPr>
        <w:t>/</w:t>
      </w:r>
      <w:proofErr w:type="spellStart"/>
      <w:r w:rsidR="007326C5">
        <w:rPr>
          <w:rFonts w:ascii="標楷體" w:eastAsia="標楷體" w:hAnsi="標楷體"/>
        </w:rPr>
        <w:t>pibrentasvir</w:t>
      </w:r>
      <w:proofErr w:type="spellEnd"/>
      <w:r w:rsidR="007326C5">
        <w:rPr>
          <w:rFonts w:ascii="標楷體" w:eastAsia="標楷體" w:hAnsi="標楷體"/>
        </w:rPr>
        <w:t>（如</w:t>
      </w:r>
      <w:proofErr w:type="spellStart"/>
      <w:r w:rsidR="007326C5">
        <w:rPr>
          <w:rFonts w:ascii="標楷體" w:eastAsia="標楷體" w:hAnsi="標楷體"/>
        </w:rPr>
        <w:t>Maviret</w:t>
      </w:r>
      <w:proofErr w:type="spellEnd"/>
      <w:r w:rsidR="007326C5">
        <w:rPr>
          <w:rFonts w:ascii="標楷體" w:eastAsia="標楷體" w:hAnsi="標楷體"/>
        </w:rPr>
        <w:t>）(107/8/1、108/1/1、108/6/1、109/1/1、109/4/1、109/7/1、109/8/1、110/6/1、111/2/1</w:t>
      </w:r>
      <w:r w:rsidR="007326C5">
        <w:rPr>
          <w:rFonts w:ascii="標楷體" w:eastAsia="標楷體" w:hAnsi="標楷體"/>
          <w:color w:val="000000"/>
        </w:rPr>
        <w:t>、114/6/1、114/12/1</w:t>
      </w:r>
      <w:proofErr w:type="gramStart"/>
      <w:r w:rsidR="007326C5">
        <w:rPr>
          <w:rFonts w:ascii="標楷體" w:eastAsia="標楷體" w:hAnsi="標楷體"/>
        </w:rPr>
        <w:t>）</w:t>
      </w:r>
      <w:proofErr w:type="gramEnd"/>
      <w:r w:rsidR="007326C5">
        <w:rPr>
          <w:rFonts w:ascii="標楷體" w:eastAsia="標楷體" w:hAnsi="標楷體"/>
        </w:rPr>
        <w:t>：</w:t>
      </w:r>
    </w:p>
    <w:p w14:paraId="198BB531" w14:textId="77777777" w:rsidR="007326C5" w:rsidRDefault="007326C5" w:rsidP="007326C5">
      <w:pPr>
        <w:ind w:left="811" w:hanging="245"/>
        <w:rPr>
          <w:rFonts w:ascii="標楷體" w:eastAsia="標楷體" w:hAnsi="標楷體"/>
        </w:rPr>
      </w:pPr>
      <w:r>
        <w:rPr>
          <w:rFonts w:ascii="標楷體" w:eastAsia="標楷體" w:hAnsi="標楷體"/>
        </w:rPr>
        <w:t>1.限用於成人慢性病毒性C型肝炎患者，並依據「C型肝炎全口服新藥健保給付執行計畫」辦理。(109/1/1、109/7/1</w:t>
      </w:r>
      <w:proofErr w:type="gramStart"/>
      <w:r>
        <w:rPr>
          <w:rFonts w:ascii="標楷體" w:eastAsia="標楷體" w:hAnsi="標楷體"/>
        </w:rPr>
        <w:t>）</w:t>
      </w:r>
      <w:proofErr w:type="gramEnd"/>
    </w:p>
    <w:p w14:paraId="1FB2DBCA" w14:textId="77777777" w:rsidR="007326C5" w:rsidRDefault="007326C5" w:rsidP="007326C5">
      <w:pPr>
        <w:ind w:left="811" w:hanging="245"/>
      </w:pPr>
      <w:r>
        <w:rPr>
          <w:rFonts w:ascii="標楷體" w:eastAsia="標楷體" w:hAnsi="標楷體"/>
        </w:rPr>
        <w:t>2.限使用於HCV RNA或HCV core Ag為陽性及無肝功能代償不全之病毒基因型第1型、第2型、第3型、第4型、第5型或第6型12歲以上病患。（108/1/1、108/6/1、109/8/1、111/2/1</w:t>
      </w:r>
      <w:r>
        <w:rPr>
          <w:rFonts w:ascii="標楷體" w:eastAsia="標楷體" w:hAnsi="標楷體"/>
          <w:color w:val="000000"/>
        </w:rPr>
        <w:t>、114/6/1）</w:t>
      </w:r>
    </w:p>
    <w:p w14:paraId="2BA696B2" w14:textId="77777777" w:rsidR="007326C5" w:rsidRDefault="007326C5" w:rsidP="007326C5">
      <w:pPr>
        <w:ind w:left="811" w:hanging="245"/>
        <w:rPr>
          <w:rFonts w:ascii="標楷體" w:eastAsia="標楷體" w:hAnsi="標楷體"/>
        </w:rPr>
      </w:pPr>
      <w:r>
        <w:rPr>
          <w:rFonts w:ascii="標楷體" w:eastAsia="標楷體" w:hAnsi="標楷體"/>
        </w:rPr>
        <w:t>3.給付療程如下，醫師每次開藥以4</w:t>
      </w:r>
      <w:proofErr w:type="gramStart"/>
      <w:r>
        <w:rPr>
          <w:rFonts w:ascii="標楷體" w:eastAsia="標楷體" w:hAnsi="標楷體"/>
        </w:rPr>
        <w:t>週</w:t>
      </w:r>
      <w:proofErr w:type="gramEnd"/>
      <w:r>
        <w:rPr>
          <w:rFonts w:ascii="標楷體" w:eastAsia="標楷體" w:hAnsi="標楷體"/>
        </w:rPr>
        <w:t>為限。（108/1/1、109/4/1、110/6/1）</w:t>
      </w:r>
    </w:p>
    <w:p w14:paraId="30EFFAFD" w14:textId="77777777" w:rsidR="007326C5" w:rsidRDefault="007326C5" w:rsidP="007326C5">
      <w:pPr>
        <w:ind w:left="1077" w:hanging="367"/>
        <w:rPr>
          <w:rFonts w:ascii="標楷體" w:eastAsia="標楷體" w:hAnsi="標楷體"/>
        </w:rPr>
      </w:pPr>
      <w:r>
        <w:rPr>
          <w:rFonts w:ascii="標楷體" w:eastAsia="標楷體" w:hAnsi="標楷體"/>
        </w:rPr>
        <w:t>(1)未曾接受治療之患者，給付8</w:t>
      </w:r>
      <w:proofErr w:type="gramStart"/>
      <w:r>
        <w:rPr>
          <w:rFonts w:ascii="標楷體" w:eastAsia="標楷體" w:hAnsi="標楷體"/>
        </w:rPr>
        <w:t>週</w:t>
      </w:r>
      <w:proofErr w:type="gramEnd"/>
      <w:r>
        <w:rPr>
          <w:rFonts w:ascii="標楷體" w:eastAsia="標楷體" w:hAnsi="標楷體"/>
        </w:rPr>
        <w:t>。（109/4/1、109/8/1）</w:t>
      </w:r>
    </w:p>
    <w:p w14:paraId="017C8AF7" w14:textId="77777777" w:rsidR="007326C5" w:rsidRDefault="007326C5" w:rsidP="007326C5">
      <w:pPr>
        <w:ind w:left="1077" w:hanging="367"/>
        <w:rPr>
          <w:rFonts w:ascii="標楷體" w:eastAsia="標楷體" w:hAnsi="標楷體"/>
        </w:rPr>
      </w:pPr>
      <w:r>
        <w:rPr>
          <w:rFonts w:ascii="標楷體" w:eastAsia="標楷體" w:hAnsi="標楷體"/>
        </w:rPr>
        <w:t>(2)曾接受含(peg)interferon及ribavirin及合併或不合併sofosbuvir治療組合之患者：（110/6/1）</w:t>
      </w:r>
    </w:p>
    <w:p w14:paraId="21EBCB0C" w14:textId="77777777" w:rsidR="007326C5" w:rsidRDefault="007326C5" w:rsidP="007326C5">
      <w:pPr>
        <w:ind w:left="1414" w:hanging="336"/>
        <w:rPr>
          <w:rFonts w:ascii="標楷體" w:eastAsia="標楷體" w:hAnsi="標楷體"/>
        </w:rPr>
      </w:pPr>
      <w:r>
        <w:rPr>
          <w:rFonts w:ascii="標楷體" w:eastAsia="標楷體" w:hAnsi="標楷體"/>
        </w:rPr>
        <w:t>Ⅰ.基因型第1、2、4、5或6型：</w:t>
      </w:r>
    </w:p>
    <w:p w14:paraId="6DD9505E" w14:textId="77777777" w:rsidR="007326C5" w:rsidRDefault="007326C5" w:rsidP="007326C5">
      <w:pPr>
        <w:ind w:left="1776" w:hanging="336"/>
        <w:rPr>
          <w:rFonts w:ascii="標楷體" w:eastAsia="標楷體" w:hAnsi="標楷體"/>
        </w:rPr>
      </w:pPr>
      <w:proofErr w:type="spellStart"/>
      <w:r>
        <w:rPr>
          <w:rFonts w:ascii="標楷體" w:eastAsia="標楷體" w:hAnsi="標楷體"/>
        </w:rPr>
        <w:t>i</w:t>
      </w:r>
      <w:proofErr w:type="spellEnd"/>
      <w:r>
        <w:rPr>
          <w:rFonts w:ascii="標楷體" w:eastAsia="標楷體" w:hAnsi="標楷體"/>
        </w:rPr>
        <w:t>.無肝硬化者，給付8</w:t>
      </w:r>
      <w:proofErr w:type="gramStart"/>
      <w:r>
        <w:rPr>
          <w:rFonts w:ascii="標楷體" w:eastAsia="標楷體" w:hAnsi="標楷體"/>
        </w:rPr>
        <w:t>週</w:t>
      </w:r>
      <w:proofErr w:type="gramEnd"/>
      <w:r>
        <w:rPr>
          <w:rFonts w:ascii="標楷體" w:eastAsia="標楷體" w:hAnsi="標楷體"/>
        </w:rPr>
        <w:t>。</w:t>
      </w:r>
    </w:p>
    <w:p w14:paraId="44ED16A7" w14:textId="77777777" w:rsidR="007326C5" w:rsidRDefault="007326C5" w:rsidP="007326C5">
      <w:pPr>
        <w:ind w:left="1776" w:hanging="336"/>
        <w:rPr>
          <w:rFonts w:ascii="標楷體" w:eastAsia="標楷體" w:hAnsi="標楷體"/>
        </w:rPr>
      </w:pPr>
      <w:r>
        <w:rPr>
          <w:rFonts w:ascii="標楷體" w:eastAsia="標楷體" w:hAnsi="標楷體"/>
        </w:rPr>
        <w:t>ii.具代償性肝硬化(Child-Pugh score A)者，給付12</w:t>
      </w:r>
      <w:proofErr w:type="gramStart"/>
      <w:r>
        <w:rPr>
          <w:rFonts w:ascii="標楷體" w:eastAsia="標楷體" w:hAnsi="標楷體"/>
        </w:rPr>
        <w:t>週</w:t>
      </w:r>
      <w:proofErr w:type="gramEnd"/>
      <w:r>
        <w:rPr>
          <w:rFonts w:ascii="標楷體" w:eastAsia="標楷體" w:hAnsi="標楷體"/>
        </w:rPr>
        <w:t>。</w:t>
      </w:r>
    </w:p>
    <w:p w14:paraId="568AE77F" w14:textId="77777777" w:rsidR="007326C5" w:rsidRDefault="007326C5" w:rsidP="007326C5">
      <w:pPr>
        <w:ind w:left="1414" w:hanging="336"/>
        <w:rPr>
          <w:rFonts w:ascii="標楷體" w:eastAsia="標楷體" w:hAnsi="標楷體"/>
        </w:rPr>
      </w:pPr>
      <w:r>
        <w:rPr>
          <w:rFonts w:ascii="標楷體" w:eastAsia="標楷體" w:hAnsi="標楷體"/>
        </w:rPr>
        <w:t>Ⅱ.基因型第3型，且無肝硬化或具代償性肝硬化(Child-Pugh score A)者，給付16</w:t>
      </w:r>
      <w:proofErr w:type="gramStart"/>
      <w:r>
        <w:rPr>
          <w:rFonts w:ascii="標楷體" w:eastAsia="標楷體" w:hAnsi="標楷體"/>
        </w:rPr>
        <w:t>週</w:t>
      </w:r>
      <w:proofErr w:type="gramEnd"/>
      <w:r>
        <w:rPr>
          <w:rFonts w:ascii="標楷體" w:eastAsia="標楷體" w:hAnsi="標楷體"/>
        </w:rPr>
        <w:t>。</w:t>
      </w:r>
    </w:p>
    <w:p w14:paraId="29DFE362" w14:textId="77777777" w:rsidR="007326C5" w:rsidRDefault="007326C5" w:rsidP="007326C5">
      <w:pPr>
        <w:ind w:left="1077" w:hanging="367"/>
        <w:rPr>
          <w:rFonts w:ascii="標楷體" w:eastAsia="標楷體" w:hAnsi="標楷體"/>
        </w:rPr>
      </w:pPr>
      <w:r>
        <w:rPr>
          <w:rFonts w:ascii="標楷體" w:eastAsia="標楷體" w:hAnsi="標楷體"/>
        </w:rPr>
        <w:t>(3)曾接受含NS5A抑制劑或NS3/4A蛋白酶抑制劑治療之基因型第1型患者：</w:t>
      </w:r>
    </w:p>
    <w:p w14:paraId="0D22DDD4" w14:textId="77777777" w:rsidR="007326C5" w:rsidRDefault="007326C5" w:rsidP="007326C5">
      <w:pPr>
        <w:ind w:left="1414" w:hanging="336"/>
        <w:rPr>
          <w:rFonts w:ascii="標楷體" w:eastAsia="標楷體" w:hAnsi="標楷體"/>
        </w:rPr>
      </w:pPr>
      <w:r>
        <w:rPr>
          <w:rFonts w:ascii="標楷體" w:eastAsia="標楷體" w:hAnsi="標楷體"/>
        </w:rPr>
        <w:t>Ⅰ.若曾接受NS3/4A蛋白酶抑制劑治療，但未曾接受NS5A抑制劑治療者，給付12週。</w:t>
      </w:r>
    </w:p>
    <w:p w14:paraId="0DA4BC79" w14:textId="77777777" w:rsidR="007326C5" w:rsidRDefault="007326C5" w:rsidP="007326C5">
      <w:pPr>
        <w:ind w:left="1414" w:hanging="336"/>
        <w:rPr>
          <w:rFonts w:ascii="標楷體" w:eastAsia="標楷體" w:hAnsi="標楷體"/>
        </w:rPr>
      </w:pPr>
      <w:r>
        <w:rPr>
          <w:rFonts w:ascii="標楷體" w:eastAsia="標楷體" w:hAnsi="標楷體"/>
        </w:rPr>
        <w:t>Ⅱ.若曾接受NS5A抑制劑治療，但未曾接受NS3/4A蛋白酶抑制劑治療者，給付16週。</w:t>
      </w:r>
    </w:p>
    <w:p w14:paraId="03DF391D" w14:textId="77777777" w:rsidR="007326C5" w:rsidRDefault="007326C5" w:rsidP="007326C5">
      <w:pPr>
        <w:ind w:left="811" w:hanging="245"/>
        <w:rPr>
          <w:rFonts w:ascii="標楷體" w:eastAsia="標楷體" w:hAnsi="標楷體"/>
        </w:rPr>
      </w:pPr>
      <w:r>
        <w:rPr>
          <w:rFonts w:ascii="標楷體" w:eastAsia="標楷體" w:hAnsi="標楷體"/>
        </w:rPr>
        <w:t>4.限未曾申請給付其他同類全口服直接抗病毒藥物(direct-acting anti-viral, DAAs)，且不得</w:t>
      </w:r>
      <w:proofErr w:type="gramStart"/>
      <w:r>
        <w:rPr>
          <w:rFonts w:ascii="標楷體" w:eastAsia="標楷體" w:hAnsi="標楷體"/>
        </w:rPr>
        <w:t>併</w:t>
      </w:r>
      <w:proofErr w:type="gramEnd"/>
      <w:r>
        <w:rPr>
          <w:rFonts w:ascii="標楷體" w:eastAsia="標楷體" w:hAnsi="標楷體"/>
        </w:rPr>
        <w:t>用其他DAAs，惟若符合下列情形之</w:t>
      </w:r>
      <w:proofErr w:type="gramStart"/>
      <w:r>
        <w:rPr>
          <w:rFonts w:ascii="標楷體" w:eastAsia="標楷體" w:hAnsi="標楷體"/>
        </w:rPr>
        <w:t>一</w:t>
      </w:r>
      <w:proofErr w:type="gramEnd"/>
      <w:r>
        <w:rPr>
          <w:rFonts w:ascii="標楷體" w:eastAsia="標楷體" w:hAnsi="標楷體"/>
        </w:rPr>
        <w:t>者，可再治療一次（一個療程）：（110/6/1）</w:t>
      </w:r>
    </w:p>
    <w:p w14:paraId="259EC822" w14:textId="77777777" w:rsidR="007326C5" w:rsidRDefault="007326C5" w:rsidP="007326C5">
      <w:pPr>
        <w:ind w:left="1077" w:hanging="367"/>
        <w:rPr>
          <w:rFonts w:ascii="標楷體" w:eastAsia="標楷體" w:hAnsi="標楷體"/>
        </w:rPr>
      </w:pPr>
      <w:r>
        <w:rPr>
          <w:rFonts w:ascii="標楷體" w:eastAsia="標楷體" w:hAnsi="標楷體"/>
        </w:rPr>
        <w:t>(1)接受本項藥品或其他DAAs第一次治療時中斷療程，且中斷原因屬專業醫療評估必須</w:t>
      </w:r>
      <w:proofErr w:type="gramStart"/>
      <w:r>
        <w:rPr>
          <w:rFonts w:ascii="標楷體" w:eastAsia="標楷體" w:hAnsi="標楷體"/>
        </w:rPr>
        <w:t>停藥者</w:t>
      </w:r>
      <w:proofErr w:type="gramEnd"/>
      <w:r>
        <w:rPr>
          <w:rFonts w:ascii="標楷體" w:eastAsia="標楷體" w:hAnsi="標楷體"/>
        </w:rPr>
        <w:t>。</w:t>
      </w:r>
    </w:p>
    <w:p w14:paraId="5770757A" w14:textId="77777777" w:rsidR="007326C5" w:rsidRDefault="007326C5" w:rsidP="007326C5">
      <w:pPr>
        <w:ind w:left="1077" w:hanging="367"/>
        <w:rPr>
          <w:rFonts w:ascii="標楷體" w:eastAsia="標楷體" w:hAnsi="標楷體"/>
        </w:rPr>
      </w:pPr>
      <w:r>
        <w:rPr>
          <w:rFonts w:ascii="標楷體" w:eastAsia="標楷體" w:hAnsi="標楷體"/>
        </w:rPr>
        <w:t>(2)接受本項藥品或其他DAAs第一次治療結束後第12</w:t>
      </w:r>
      <w:proofErr w:type="gramStart"/>
      <w:r>
        <w:rPr>
          <w:rFonts w:ascii="標楷體" w:eastAsia="標楷體" w:hAnsi="標楷體"/>
        </w:rPr>
        <w:t>週</w:t>
      </w:r>
      <w:proofErr w:type="gramEnd"/>
      <w:r>
        <w:rPr>
          <w:rFonts w:ascii="標楷體" w:eastAsia="標楷體" w:hAnsi="標楷體"/>
        </w:rPr>
        <w:t>，血中偵測不到病毒，目前血</w:t>
      </w:r>
      <w:r>
        <w:rPr>
          <w:rFonts w:ascii="標楷體" w:eastAsia="標楷體" w:hAnsi="標楷體"/>
        </w:rPr>
        <w:lastRenderedPageBreak/>
        <w:t>中又再次偵測到病毒者。</w:t>
      </w:r>
    </w:p>
    <w:p w14:paraId="10579AD8" w14:textId="77777777" w:rsidR="007326C5" w:rsidRDefault="007326C5" w:rsidP="007326C5">
      <w:pPr>
        <w:ind w:left="1077" w:hanging="367"/>
        <w:rPr>
          <w:rFonts w:ascii="標楷體" w:eastAsia="標楷體" w:hAnsi="標楷體"/>
        </w:rPr>
      </w:pPr>
      <w:r>
        <w:rPr>
          <w:rFonts w:ascii="標楷體" w:eastAsia="標楷體" w:hAnsi="標楷體"/>
        </w:rPr>
        <w:t>(3)接受其他DAAs第一次治療，於治療完成時或治療結束後第12</w:t>
      </w:r>
      <w:proofErr w:type="gramStart"/>
      <w:r>
        <w:rPr>
          <w:rFonts w:ascii="標楷體" w:eastAsia="標楷體" w:hAnsi="標楷體"/>
        </w:rPr>
        <w:t>週</w:t>
      </w:r>
      <w:proofErr w:type="gramEnd"/>
      <w:r>
        <w:rPr>
          <w:rFonts w:ascii="標楷體" w:eastAsia="標楷體" w:hAnsi="標楷體"/>
        </w:rPr>
        <w:t>，血中仍偵測到病毒者，或治療4</w:t>
      </w:r>
      <w:proofErr w:type="gramStart"/>
      <w:r>
        <w:rPr>
          <w:rFonts w:ascii="標楷體" w:eastAsia="標楷體" w:hAnsi="標楷體"/>
        </w:rPr>
        <w:t>週</w:t>
      </w:r>
      <w:proofErr w:type="gramEnd"/>
      <w:r>
        <w:rPr>
          <w:rFonts w:ascii="標楷體" w:eastAsia="標楷體" w:hAnsi="標楷體"/>
        </w:rPr>
        <w:t>後之病毒量未能下降超過二個對數值(即下降未達100倍)發生在108年1月1日前者。</w:t>
      </w:r>
    </w:p>
    <w:p w14:paraId="0BDC1BED" w14:textId="77777777" w:rsidR="007326C5" w:rsidRDefault="007326C5" w:rsidP="007326C5">
      <w:pPr>
        <w:ind w:left="851" w:hanging="245"/>
        <w:rPr>
          <w:rFonts w:ascii="標楷體" w:eastAsia="標楷體" w:hAnsi="標楷體"/>
        </w:rPr>
      </w:pPr>
      <w:r>
        <w:rPr>
          <w:rFonts w:ascii="標楷體" w:eastAsia="標楷體" w:hAnsi="標楷體"/>
        </w:rPr>
        <w:t>5.高風險族群（監獄受刑人、注射藥癮者、愛滋病毒帶原者/</w:t>
      </w:r>
      <w:proofErr w:type="gramStart"/>
      <w:r>
        <w:rPr>
          <w:rFonts w:ascii="標楷體" w:eastAsia="標楷體" w:hAnsi="標楷體"/>
        </w:rPr>
        <w:t>愛滋病</w:t>
      </w:r>
      <w:proofErr w:type="gramEnd"/>
      <w:r>
        <w:rPr>
          <w:rFonts w:ascii="標楷體" w:eastAsia="標楷體" w:hAnsi="標楷體"/>
        </w:rPr>
        <w:t>人、發生危險性行為者）病人，若符合前述規定即可接受治療，以治療三次為限。（114/12/1）</w:t>
      </w:r>
    </w:p>
    <w:p w14:paraId="16280334" w14:textId="77777777" w:rsidR="007326C5" w:rsidRDefault="007326C5" w:rsidP="007326C5">
      <w:pPr>
        <w:ind w:left="567" w:hanging="245"/>
      </w:pPr>
      <w:r>
        <w:rPr>
          <w:rFonts w:ascii="標楷體" w:eastAsia="標楷體" w:hAnsi="標楷體"/>
          <w:color w:val="000000"/>
          <w:szCs w:val="24"/>
        </w:rPr>
        <w:t>10.7.11.</w:t>
      </w:r>
      <w:r w:rsidRPr="00A5243F">
        <w:rPr>
          <w:rFonts w:ascii="標楷體" w:eastAsia="標楷體" w:hAnsi="標楷體"/>
          <w:color w:val="000000"/>
          <w:szCs w:val="24"/>
        </w:rPr>
        <w:t xml:space="preserve"> </w:t>
      </w:r>
      <w:r>
        <w:rPr>
          <w:rFonts w:ascii="標楷體" w:eastAsia="標楷體" w:hAnsi="標楷體"/>
          <w:color w:val="000000"/>
          <w:szCs w:val="24"/>
        </w:rPr>
        <w:t>Sofosbuvir/</w:t>
      </w:r>
      <w:proofErr w:type="spellStart"/>
      <w:r>
        <w:rPr>
          <w:rFonts w:ascii="標楷體" w:eastAsia="標楷體" w:hAnsi="標楷體"/>
          <w:color w:val="000000"/>
          <w:szCs w:val="24"/>
        </w:rPr>
        <w:t>velpatasvir</w:t>
      </w:r>
      <w:proofErr w:type="spellEnd"/>
      <w:r>
        <w:rPr>
          <w:rFonts w:ascii="標楷體" w:eastAsia="標楷體" w:hAnsi="標楷體"/>
          <w:color w:val="000000"/>
          <w:szCs w:val="24"/>
        </w:rPr>
        <w:t>（如Epclusa）(108/6/1、109/1/1、109/7/1、110/6/1、112/5/1、</w:t>
      </w:r>
      <w:bookmarkStart w:id="83" w:name="_Hlk197072216"/>
      <w:r>
        <w:rPr>
          <w:rFonts w:ascii="標楷體" w:eastAsia="標楷體" w:hAnsi="標楷體"/>
          <w:color w:val="000000"/>
          <w:szCs w:val="24"/>
        </w:rPr>
        <w:t>114/6/1</w:t>
      </w:r>
      <w:bookmarkEnd w:id="83"/>
      <w:r>
        <w:rPr>
          <w:rFonts w:ascii="標楷體" w:eastAsia="標楷體" w:hAnsi="標楷體"/>
          <w:color w:val="000000"/>
          <w:szCs w:val="24"/>
        </w:rPr>
        <w:t>、114/12/1</w:t>
      </w:r>
      <w:proofErr w:type="gramStart"/>
      <w:r>
        <w:rPr>
          <w:rFonts w:ascii="標楷體" w:eastAsia="標楷體" w:hAnsi="標楷體"/>
          <w:color w:val="000000"/>
          <w:szCs w:val="24"/>
        </w:rPr>
        <w:t>）</w:t>
      </w:r>
      <w:proofErr w:type="gramEnd"/>
      <w:r>
        <w:rPr>
          <w:rFonts w:ascii="標楷體" w:eastAsia="標楷體" w:hAnsi="標楷體"/>
          <w:color w:val="000000"/>
          <w:szCs w:val="24"/>
        </w:rPr>
        <w:t>：</w:t>
      </w:r>
    </w:p>
    <w:p w14:paraId="180FACE6" w14:textId="77777777" w:rsidR="007326C5" w:rsidRDefault="007326C5" w:rsidP="007326C5">
      <w:pPr>
        <w:ind w:left="851" w:hanging="236"/>
        <w:rPr>
          <w:rFonts w:ascii="標楷體" w:eastAsia="標楷體" w:hAnsi="標楷體"/>
          <w:color w:val="000000"/>
        </w:rPr>
      </w:pPr>
      <w:r>
        <w:rPr>
          <w:rFonts w:ascii="標楷體" w:eastAsia="標楷體" w:hAnsi="標楷體"/>
          <w:color w:val="000000"/>
        </w:rPr>
        <w:t>1.限用於慢性病毒性C型肝炎患者，並依據「C型肝炎全口服新藥健保給付執行計畫」辦理。(109/1/1、109/7/1、112/5/1)</w:t>
      </w:r>
    </w:p>
    <w:p w14:paraId="2C68A037" w14:textId="77777777" w:rsidR="007326C5" w:rsidRDefault="007326C5" w:rsidP="007326C5">
      <w:pPr>
        <w:ind w:left="851" w:hanging="236"/>
      </w:pPr>
      <w:r>
        <w:rPr>
          <w:rFonts w:ascii="標楷體" w:eastAsia="標楷體" w:hAnsi="標楷體"/>
          <w:color w:val="000000"/>
        </w:rPr>
        <w:t>2.限使用於HCV RNA</w:t>
      </w:r>
      <w:r>
        <w:rPr>
          <w:rFonts w:ascii="標楷體" w:eastAsia="標楷體" w:hAnsi="標楷體"/>
        </w:rPr>
        <w:t>或HCV core Ag</w:t>
      </w:r>
      <w:r>
        <w:rPr>
          <w:rFonts w:ascii="標楷體" w:eastAsia="標楷體" w:hAnsi="標楷體"/>
          <w:color w:val="000000"/>
        </w:rPr>
        <w:t>為陽性之病毒基因型第1型、第2型、第3型、第4型、第5型或第6型12歲以上且體重至少30公斤之兒童與成人病患。(112/5/1、114/6/1)</w:t>
      </w:r>
    </w:p>
    <w:p w14:paraId="44D71B59" w14:textId="77777777" w:rsidR="007326C5" w:rsidRDefault="007326C5" w:rsidP="007326C5">
      <w:pPr>
        <w:ind w:left="851" w:hanging="236"/>
        <w:rPr>
          <w:rFonts w:ascii="標楷體" w:eastAsia="標楷體" w:hAnsi="標楷體"/>
          <w:color w:val="000000"/>
        </w:rPr>
      </w:pPr>
      <w:r>
        <w:rPr>
          <w:rFonts w:ascii="標楷體" w:eastAsia="標楷體" w:hAnsi="標楷體"/>
          <w:color w:val="000000"/>
        </w:rPr>
        <w:t>3.給付療程如下，醫師每次開藥以4</w:t>
      </w:r>
      <w:proofErr w:type="gramStart"/>
      <w:r>
        <w:rPr>
          <w:rFonts w:ascii="標楷體" w:eastAsia="標楷體" w:hAnsi="標楷體"/>
          <w:color w:val="000000"/>
        </w:rPr>
        <w:t>週</w:t>
      </w:r>
      <w:proofErr w:type="gramEnd"/>
      <w:r>
        <w:rPr>
          <w:rFonts w:ascii="標楷體" w:eastAsia="標楷體" w:hAnsi="標楷體"/>
          <w:color w:val="000000"/>
        </w:rPr>
        <w:t>為限。</w:t>
      </w:r>
      <w:proofErr w:type="gramStart"/>
      <w:r>
        <w:rPr>
          <w:rFonts w:ascii="標楷體" w:eastAsia="標楷體" w:hAnsi="標楷體"/>
          <w:color w:val="000000"/>
        </w:rPr>
        <w:t>（</w:t>
      </w:r>
      <w:proofErr w:type="gramEnd"/>
      <w:r>
        <w:rPr>
          <w:rFonts w:ascii="標楷體" w:eastAsia="標楷體" w:hAnsi="標楷體"/>
          <w:color w:val="000000"/>
        </w:rPr>
        <w:t>110/6/1、112/5/1)</w:t>
      </w:r>
    </w:p>
    <w:p w14:paraId="0B40F61C" w14:textId="77777777" w:rsidR="007326C5" w:rsidRDefault="007326C5" w:rsidP="007326C5">
      <w:pPr>
        <w:tabs>
          <w:tab w:val="left" w:pos="2520"/>
        </w:tabs>
        <w:ind w:left="1276" w:hanging="425"/>
        <w:rPr>
          <w:rFonts w:ascii="標楷體" w:eastAsia="標楷體" w:hAnsi="標楷體"/>
          <w:color w:val="000000"/>
        </w:rPr>
      </w:pPr>
      <w:r>
        <w:rPr>
          <w:rFonts w:ascii="標楷體" w:eastAsia="標楷體" w:hAnsi="標楷體"/>
          <w:color w:val="000000"/>
        </w:rPr>
        <w:t>(1)未曾接受全口服直接抗病毒藥物(direct-acting anti-viral, DAAs)或曾接受DAAs治療，未</w:t>
      </w:r>
      <w:proofErr w:type="gramStart"/>
      <w:r>
        <w:rPr>
          <w:rFonts w:ascii="標楷體" w:eastAsia="標楷體" w:hAnsi="標楷體"/>
          <w:color w:val="000000"/>
        </w:rPr>
        <w:t>併</w:t>
      </w:r>
      <w:proofErr w:type="gramEnd"/>
      <w:r>
        <w:rPr>
          <w:rFonts w:ascii="標楷體" w:eastAsia="標楷體" w:hAnsi="標楷體"/>
          <w:color w:val="000000"/>
        </w:rPr>
        <w:t>有或</w:t>
      </w:r>
      <w:proofErr w:type="gramStart"/>
      <w:r>
        <w:rPr>
          <w:rFonts w:ascii="標楷體" w:eastAsia="標楷體" w:hAnsi="標楷體"/>
          <w:color w:val="000000"/>
        </w:rPr>
        <w:t>併</w:t>
      </w:r>
      <w:proofErr w:type="gramEnd"/>
      <w:r>
        <w:rPr>
          <w:rFonts w:ascii="標楷體" w:eastAsia="標楷體" w:hAnsi="標楷體"/>
          <w:color w:val="000000"/>
        </w:rPr>
        <w:t>有代償性肝硬化(Child-Pugh score A)者，給付12</w:t>
      </w:r>
      <w:proofErr w:type="gramStart"/>
      <w:r>
        <w:rPr>
          <w:rFonts w:ascii="標楷體" w:eastAsia="標楷體" w:hAnsi="標楷體"/>
          <w:color w:val="000000"/>
        </w:rPr>
        <w:t>週</w:t>
      </w:r>
      <w:proofErr w:type="gramEnd"/>
      <w:r>
        <w:rPr>
          <w:rFonts w:ascii="標楷體" w:eastAsia="標楷體" w:hAnsi="標楷體"/>
          <w:color w:val="000000"/>
        </w:rPr>
        <w:t>。</w:t>
      </w:r>
    </w:p>
    <w:p w14:paraId="562E3C4E" w14:textId="77777777" w:rsidR="007326C5" w:rsidRDefault="007326C5" w:rsidP="007326C5">
      <w:pPr>
        <w:tabs>
          <w:tab w:val="left" w:pos="2520"/>
        </w:tabs>
        <w:ind w:left="1276" w:hanging="425"/>
        <w:rPr>
          <w:rFonts w:ascii="標楷體" w:eastAsia="標楷體" w:hAnsi="標楷體"/>
          <w:color w:val="000000"/>
        </w:rPr>
      </w:pPr>
      <w:r>
        <w:rPr>
          <w:rFonts w:ascii="標楷體" w:eastAsia="標楷體" w:hAnsi="標楷體"/>
          <w:color w:val="000000"/>
        </w:rPr>
        <w:t>(2)未曾接受DAAs或曾接受DAAs治療</w:t>
      </w:r>
      <w:proofErr w:type="gramStart"/>
      <w:r>
        <w:rPr>
          <w:rFonts w:ascii="標楷體" w:eastAsia="標楷體" w:hAnsi="標楷體"/>
          <w:color w:val="000000"/>
        </w:rPr>
        <w:t>（</w:t>
      </w:r>
      <w:proofErr w:type="gramEnd"/>
      <w:r>
        <w:rPr>
          <w:rFonts w:ascii="標楷體" w:eastAsia="標楷體" w:hAnsi="標楷體"/>
          <w:color w:val="000000"/>
        </w:rPr>
        <w:t>含NS5A抑制劑之DAAs治療失敗者除外)，</w:t>
      </w:r>
      <w:proofErr w:type="gramStart"/>
      <w:r>
        <w:rPr>
          <w:rFonts w:ascii="標楷體" w:eastAsia="標楷體" w:hAnsi="標楷體"/>
          <w:color w:val="000000"/>
        </w:rPr>
        <w:t>併</w:t>
      </w:r>
      <w:proofErr w:type="gramEnd"/>
      <w:r>
        <w:rPr>
          <w:rFonts w:ascii="標楷體" w:eastAsia="標楷體" w:hAnsi="標楷體"/>
          <w:color w:val="000000"/>
        </w:rPr>
        <w:t>有失代償性肝硬化(Child-Pugh score B或C)者，需合併ribavirin治療，給付12</w:t>
      </w:r>
      <w:proofErr w:type="gramStart"/>
      <w:r>
        <w:rPr>
          <w:rFonts w:ascii="標楷體" w:eastAsia="標楷體" w:hAnsi="標楷體"/>
          <w:color w:val="000000"/>
        </w:rPr>
        <w:t>週</w:t>
      </w:r>
      <w:proofErr w:type="gramEnd"/>
      <w:r>
        <w:rPr>
          <w:rFonts w:ascii="標楷體" w:eastAsia="標楷體" w:hAnsi="標楷體"/>
          <w:color w:val="000000"/>
        </w:rPr>
        <w:t>。(112/5/1)</w:t>
      </w:r>
    </w:p>
    <w:p w14:paraId="46CC55A6" w14:textId="77777777" w:rsidR="007326C5" w:rsidRDefault="007326C5" w:rsidP="007326C5">
      <w:pPr>
        <w:tabs>
          <w:tab w:val="left" w:pos="2520"/>
        </w:tabs>
        <w:ind w:left="1276" w:hanging="425"/>
        <w:rPr>
          <w:rFonts w:ascii="標楷體" w:eastAsia="標楷體" w:hAnsi="標楷體"/>
          <w:color w:val="000000"/>
        </w:rPr>
      </w:pPr>
      <w:r>
        <w:rPr>
          <w:rFonts w:ascii="標楷體" w:eastAsia="標楷體" w:hAnsi="標楷體"/>
          <w:color w:val="000000"/>
        </w:rPr>
        <w:t>(3)曾接受含NS5A抑制劑之DAAs治療失敗，</w:t>
      </w:r>
      <w:proofErr w:type="gramStart"/>
      <w:r>
        <w:rPr>
          <w:rFonts w:ascii="標楷體" w:eastAsia="標楷體" w:hAnsi="標楷體"/>
          <w:color w:val="000000"/>
        </w:rPr>
        <w:t>併</w:t>
      </w:r>
      <w:proofErr w:type="gramEnd"/>
      <w:r>
        <w:rPr>
          <w:rFonts w:ascii="標楷體" w:eastAsia="標楷體" w:hAnsi="標楷體"/>
          <w:color w:val="000000"/>
        </w:rPr>
        <w:t>有失代償性肝硬化(Child-Pugh score B或C)者，需合併ribavirin治療，給付24</w:t>
      </w:r>
      <w:proofErr w:type="gramStart"/>
      <w:r>
        <w:rPr>
          <w:rFonts w:ascii="標楷體" w:eastAsia="標楷體" w:hAnsi="標楷體"/>
          <w:color w:val="000000"/>
        </w:rPr>
        <w:t>週</w:t>
      </w:r>
      <w:proofErr w:type="gramEnd"/>
      <w:r>
        <w:rPr>
          <w:rFonts w:ascii="標楷體" w:eastAsia="標楷體" w:hAnsi="標楷體"/>
          <w:color w:val="000000"/>
        </w:rPr>
        <w:t>。(112/5/1)</w:t>
      </w:r>
    </w:p>
    <w:p w14:paraId="27FEAEED" w14:textId="77777777" w:rsidR="007326C5" w:rsidRDefault="007326C5" w:rsidP="007326C5">
      <w:pPr>
        <w:ind w:left="851" w:hanging="236"/>
        <w:rPr>
          <w:rFonts w:ascii="標楷體" w:eastAsia="標楷體" w:hAnsi="標楷體"/>
          <w:color w:val="000000"/>
        </w:rPr>
      </w:pPr>
      <w:r>
        <w:rPr>
          <w:rFonts w:ascii="標楷體" w:eastAsia="標楷體" w:hAnsi="標楷體"/>
          <w:color w:val="000000"/>
        </w:rPr>
        <w:t>4.限未曾申請給付其他同類全口服直接抗病毒藥物(direct-acting anti-viral, DAAs)，且不得</w:t>
      </w:r>
      <w:proofErr w:type="gramStart"/>
      <w:r>
        <w:rPr>
          <w:rFonts w:ascii="標楷體" w:eastAsia="標楷體" w:hAnsi="標楷體"/>
          <w:color w:val="000000"/>
        </w:rPr>
        <w:t>併</w:t>
      </w:r>
      <w:proofErr w:type="gramEnd"/>
      <w:r>
        <w:rPr>
          <w:rFonts w:ascii="標楷體" w:eastAsia="標楷體" w:hAnsi="標楷體"/>
          <w:color w:val="000000"/>
        </w:rPr>
        <w:t>用其他DAAs，惟若符合下列情形之</w:t>
      </w:r>
      <w:proofErr w:type="gramStart"/>
      <w:r>
        <w:rPr>
          <w:rFonts w:ascii="標楷體" w:eastAsia="標楷體" w:hAnsi="標楷體"/>
          <w:color w:val="000000"/>
        </w:rPr>
        <w:t>一</w:t>
      </w:r>
      <w:proofErr w:type="gramEnd"/>
      <w:r>
        <w:rPr>
          <w:rFonts w:ascii="標楷體" w:eastAsia="標楷體" w:hAnsi="標楷體"/>
          <w:color w:val="000000"/>
        </w:rPr>
        <w:t>者，可再治療一次（一個療程）：（110/6/1、112/5/1）</w:t>
      </w:r>
    </w:p>
    <w:p w14:paraId="708989F8"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(1)接受本項藥品或其他DAAs第一次治療時中斷療程，且中斷原因屬專業醫療評估必須</w:t>
      </w:r>
      <w:proofErr w:type="gramStart"/>
      <w:r>
        <w:rPr>
          <w:rFonts w:ascii="標楷體" w:eastAsia="標楷體" w:hAnsi="標楷體"/>
          <w:color w:val="000000"/>
        </w:rPr>
        <w:t>停藥者</w:t>
      </w:r>
      <w:proofErr w:type="gramEnd"/>
      <w:r>
        <w:rPr>
          <w:rFonts w:ascii="標楷體" w:eastAsia="標楷體" w:hAnsi="標楷體"/>
          <w:color w:val="000000"/>
        </w:rPr>
        <w:t>。</w:t>
      </w:r>
    </w:p>
    <w:p w14:paraId="677EE10F"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(2)接受本項藥品或其他DAAs第一次治療結束後第12</w:t>
      </w:r>
      <w:proofErr w:type="gramStart"/>
      <w:r>
        <w:rPr>
          <w:rFonts w:ascii="標楷體" w:eastAsia="標楷體" w:hAnsi="標楷體"/>
          <w:color w:val="000000"/>
        </w:rPr>
        <w:t>週</w:t>
      </w:r>
      <w:proofErr w:type="gramEnd"/>
      <w:r>
        <w:rPr>
          <w:rFonts w:ascii="標楷體" w:eastAsia="標楷體" w:hAnsi="標楷體"/>
          <w:color w:val="000000"/>
        </w:rPr>
        <w:t>，血中偵測不到病毒，目前血中又再次偵測到病毒者。</w:t>
      </w:r>
    </w:p>
    <w:p w14:paraId="098CE0EF"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(3)接受未含NS5A抑制劑之DAAs第一次治療，於治療完成時或治療結束後第12</w:t>
      </w:r>
      <w:proofErr w:type="gramStart"/>
      <w:r>
        <w:rPr>
          <w:rFonts w:ascii="標楷體" w:eastAsia="標楷體" w:hAnsi="標楷體"/>
          <w:color w:val="000000"/>
        </w:rPr>
        <w:t>週</w:t>
      </w:r>
      <w:proofErr w:type="gramEnd"/>
      <w:r>
        <w:rPr>
          <w:rFonts w:ascii="標楷體" w:eastAsia="標楷體" w:hAnsi="標楷體"/>
          <w:color w:val="000000"/>
        </w:rPr>
        <w:t>，血中仍偵測到病毒者，或治療4</w:t>
      </w:r>
      <w:proofErr w:type="gramStart"/>
      <w:r>
        <w:rPr>
          <w:rFonts w:ascii="標楷體" w:eastAsia="標楷體" w:hAnsi="標楷體"/>
          <w:color w:val="000000"/>
        </w:rPr>
        <w:t>週</w:t>
      </w:r>
      <w:proofErr w:type="gramEnd"/>
      <w:r>
        <w:rPr>
          <w:rFonts w:ascii="標楷體" w:eastAsia="標楷體" w:hAnsi="標楷體"/>
          <w:color w:val="000000"/>
        </w:rPr>
        <w:t>後之病毒量未能下降超過二個對數值(即下降未達100倍)發生在108年1月1日前者。</w:t>
      </w:r>
    </w:p>
    <w:p w14:paraId="7C9DD430"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(4)失代償性肝硬化（Child-Pugh B或C）病患，先前接受含NS5A抑制劑之DAAs第一次治療失敗者(治療完成時或治療結束後第12</w:t>
      </w:r>
      <w:proofErr w:type="gramStart"/>
      <w:r>
        <w:rPr>
          <w:rFonts w:ascii="標楷體" w:eastAsia="標楷體" w:hAnsi="標楷體"/>
          <w:color w:val="000000"/>
        </w:rPr>
        <w:t>週</w:t>
      </w:r>
      <w:proofErr w:type="gramEnd"/>
      <w:r>
        <w:rPr>
          <w:rFonts w:ascii="標楷體" w:eastAsia="標楷體" w:hAnsi="標楷體"/>
          <w:color w:val="000000"/>
        </w:rPr>
        <w:t>，血中仍偵測到病毒者)。(112/5/1)</w:t>
      </w:r>
    </w:p>
    <w:p w14:paraId="4DE22B73" w14:textId="77777777" w:rsidR="00401786" w:rsidRDefault="007326C5" w:rsidP="007C2CC9">
      <w:pPr>
        <w:spacing w:line="300" w:lineRule="exact"/>
        <w:ind w:left="851" w:hanging="245"/>
        <w:rPr>
          <w:rFonts w:ascii="標楷體" w:eastAsia="標楷體" w:hAnsi="標楷體"/>
        </w:rPr>
      </w:pPr>
      <w:r>
        <w:rPr>
          <w:rFonts w:ascii="標楷體" w:eastAsia="標楷體" w:hAnsi="標楷體"/>
          <w:color w:val="000000"/>
        </w:rPr>
        <w:t>5.高風險族群（監獄受刑人、注射藥癮者、愛滋病毒帶原者/</w:t>
      </w:r>
      <w:proofErr w:type="gramStart"/>
      <w:r>
        <w:rPr>
          <w:rFonts w:ascii="標楷體" w:eastAsia="標楷體" w:hAnsi="標楷體"/>
          <w:color w:val="000000"/>
        </w:rPr>
        <w:t>愛滋病</w:t>
      </w:r>
      <w:proofErr w:type="gramEnd"/>
      <w:r>
        <w:rPr>
          <w:rFonts w:ascii="標楷體" w:eastAsia="標楷體" w:hAnsi="標楷體"/>
          <w:color w:val="000000"/>
        </w:rPr>
        <w:t>人、發生危險性行為者）病人，若符合前述規定即可接受治療，以治療三次為限。（114/12/1）</w:t>
      </w:r>
    </w:p>
    <w:p w14:paraId="78A9B7E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10.7.12.Letermovir（如</w:t>
      </w:r>
      <w:proofErr w:type="spellStart"/>
      <w:r>
        <w:rPr>
          <w:rFonts w:ascii="標楷體" w:eastAsia="標楷體" w:hAnsi="標楷體"/>
        </w:rPr>
        <w:t>Prevymis</w:t>
      </w:r>
      <w:proofErr w:type="spellEnd"/>
      <w:r>
        <w:rPr>
          <w:rFonts w:ascii="標楷體" w:eastAsia="標楷體" w:hAnsi="標楷體"/>
        </w:rPr>
        <w:t>）：（109/6/1）</w:t>
      </w:r>
    </w:p>
    <w:p w14:paraId="22015D6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經事前審查核准後使用。</w:t>
      </w:r>
    </w:p>
    <w:p w14:paraId="2968364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適用於接受異體造血幹細胞移植(allogeneic HSCT)的18歲以上且受贈者為CMV血清抗體陽性之病患，藉以預防巨細胞病毒(CMV)感染及相關疾病。</w:t>
      </w:r>
    </w:p>
    <w:p w14:paraId="1DF6BB5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w:t>
      </w:r>
      <w:r>
        <w:rPr>
          <w:rFonts w:ascii="標楷體" w:eastAsia="標楷體" w:hAnsi="標楷體"/>
        </w:rPr>
        <w:tab/>
        <w:t>僅限於第一次接受異體造血幹細胞移植時可使用。</w:t>
      </w:r>
    </w:p>
    <w:p w14:paraId="1D7E2DB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w:t>
      </w:r>
      <w:r>
        <w:rPr>
          <w:rFonts w:ascii="標楷體" w:eastAsia="標楷體" w:hAnsi="標楷體"/>
        </w:rPr>
        <w:tab/>
        <w:t>限用於移植術後至第84天為止。</w:t>
      </w:r>
    </w:p>
    <w:p w14:paraId="0CAC539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w:t>
      </w:r>
      <w:r>
        <w:rPr>
          <w:rFonts w:ascii="標楷體" w:eastAsia="標楷體" w:hAnsi="標楷體"/>
        </w:rPr>
        <w:tab/>
        <w:t>具下列條件之</w:t>
      </w:r>
      <w:proofErr w:type="gramStart"/>
      <w:r>
        <w:rPr>
          <w:rFonts w:ascii="標楷體" w:eastAsia="標楷體" w:hAnsi="標楷體"/>
        </w:rPr>
        <w:t>一</w:t>
      </w:r>
      <w:proofErr w:type="gramEnd"/>
      <w:r>
        <w:rPr>
          <w:rFonts w:ascii="標楷體" w:eastAsia="標楷體" w:hAnsi="標楷體"/>
        </w:rPr>
        <w:t>的CMV 感染之高風險病患方得使用：</w:t>
      </w:r>
    </w:p>
    <w:p w14:paraId="4A0EC136"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(1)親屬間捐贈：其HLA-A/B/C/DR 具有2個或以上之位點不相符者。</w:t>
      </w:r>
    </w:p>
    <w:p w14:paraId="3316FECC"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(2)非親屬間捐贈：其HLA-A/B/C/DR 具有1個或以上之位點不相符者。</w:t>
      </w:r>
    </w:p>
    <w:p w14:paraId="1439AB35"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(3)接受臍帶血移植者。</w:t>
      </w:r>
    </w:p>
    <w:p w14:paraId="0369D498" w14:textId="77777777" w:rsidR="007C2CC9" w:rsidRDefault="00C64FB3" w:rsidP="007C2CC9">
      <w:pPr>
        <w:ind w:left="708" w:hanging="367"/>
      </w:pPr>
      <w:r>
        <w:rPr>
          <w:rFonts w:ascii="標楷體" w:eastAsia="標楷體" w:hAnsi="標楷體"/>
          <w:szCs w:val="24"/>
        </w:rPr>
        <w:t>10.7.13.</w:t>
      </w:r>
      <w:r w:rsidR="007C2CC9" w:rsidRPr="007C2CC9">
        <w:rPr>
          <w:rFonts w:ascii="標楷體" w:eastAsia="標楷體" w:hAnsi="標楷體"/>
          <w:color w:val="000000"/>
          <w:szCs w:val="24"/>
        </w:rPr>
        <w:t xml:space="preserve"> </w:t>
      </w:r>
      <w:r w:rsidR="007C2CC9">
        <w:rPr>
          <w:rFonts w:ascii="標楷體" w:eastAsia="標楷體" w:hAnsi="標楷體"/>
          <w:color w:val="000000"/>
          <w:szCs w:val="24"/>
        </w:rPr>
        <w:t>Sofosbuvir</w:t>
      </w:r>
      <w:r w:rsidR="007C2CC9">
        <w:rPr>
          <w:rFonts w:ascii="標楷體" w:eastAsia="標楷體" w:hAnsi="標楷體"/>
          <w:szCs w:val="24"/>
        </w:rPr>
        <w:t xml:space="preserve">/ </w:t>
      </w:r>
      <w:proofErr w:type="spellStart"/>
      <w:r w:rsidR="007C2CC9">
        <w:rPr>
          <w:rFonts w:ascii="標楷體" w:eastAsia="標楷體" w:hAnsi="標楷體"/>
          <w:szCs w:val="24"/>
        </w:rPr>
        <w:t>velpatasvir</w:t>
      </w:r>
      <w:proofErr w:type="spellEnd"/>
      <w:r w:rsidR="007C2CC9">
        <w:rPr>
          <w:rFonts w:ascii="標楷體" w:eastAsia="標楷體" w:hAnsi="標楷體"/>
          <w:szCs w:val="24"/>
        </w:rPr>
        <w:t xml:space="preserve">/ </w:t>
      </w:r>
      <w:proofErr w:type="spellStart"/>
      <w:r w:rsidR="007C2CC9">
        <w:rPr>
          <w:rFonts w:ascii="標楷體" w:eastAsia="標楷體" w:hAnsi="標楷體"/>
          <w:szCs w:val="24"/>
        </w:rPr>
        <w:t>voxilaprevir</w:t>
      </w:r>
      <w:proofErr w:type="spellEnd"/>
      <w:r w:rsidR="007C2CC9">
        <w:rPr>
          <w:rFonts w:ascii="標楷體" w:eastAsia="標楷體" w:hAnsi="標楷體"/>
          <w:szCs w:val="24"/>
        </w:rPr>
        <w:t>（如</w:t>
      </w:r>
      <w:proofErr w:type="spellStart"/>
      <w:r w:rsidR="007C2CC9">
        <w:rPr>
          <w:rFonts w:ascii="標楷體" w:eastAsia="標楷體" w:hAnsi="標楷體"/>
          <w:szCs w:val="24"/>
        </w:rPr>
        <w:t>Vosevi</w:t>
      </w:r>
      <w:proofErr w:type="spellEnd"/>
      <w:r w:rsidR="007C2CC9">
        <w:rPr>
          <w:rFonts w:ascii="標楷體" w:eastAsia="標楷體" w:hAnsi="標楷體"/>
          <w:szCs w:val="24"/>
        </w:rPr>
        <w:t>）：（110/9/1、</w:t>
      </w:r>
      <w:r w:rsidR="007C2CC9">
        <w:rPr>
          <w:rFonts w:ascii="標楷體" w:eastAsia="標楷體" w:hAnsi="標楷體"/>
          <w:szCs w:val="24"/>
        </w:rPr>
        <w:lastRenderedPageBreak/>
        <w:t>114/6/1、114/12/1）</w:t>
      </w:r>
    </w:p>
    <w:p w14:paraId="0E0D7183" w14:textId="77777777" w:rsidR="007C2CC9" w:rsidRDefault="007C2CC9" w:rsidP="007C2CC9">
      <w:pPr>
        <w:ind w:left="993" w:hanging="236"/>
        <w:rPr>
          <w:rFonts w:ascii="標楷體" w:eastAsia="標楷體" w:hAnsi="標楷體"/>
        </w:rPr>
      </w:pPr>
      <w:r>
        <w:rPr>
          <w:rFonts w:ascii="標楷體" w:eastAsia="標楷體" w:hAnsi="標楷體"/>
        </w:rPr>
        <w:t>1.限用於成人慢性病毒性C型肝炎患者，並依據「C型肝炎全口服新藥健保給付執行計畫」辦理。</w:t>
      </w:r>
    </w:p>
    <w:p w14:paraId="34C85B19" w14:textId="77777777" w:rsidR="007C2CC9" w:rsidRDefault="007C2CC9" w:rsidP="007C2CC9">
      <w:pPr>
        <w:ind w:left="993" w:hanging="236"/>
      </w:pPr>
      <w:r>
        <w:rPr>
          <w:rFonts w:ascii="標楷體" w:eastAsia="標楷體" w:hAnsi="標楷體"/>
        </w:rPr>
        <w:t>2.限</w:t>
      </w:r>
      <w:r>
        <w:rPr>
          <w:rFonts w:ascii="標楷體" w:eastAsia="標楷體" w:hAnsi="標楷體"/>
          <w:color w:val="000000"/>
        </w:rPr>
        <w:t>使用</w:t>
      </w:r>
      <w:r>
        <w:rPr>
          <w:rFonts w:ascii="標楷體" w:eastAsia="標楷體" w:hAnsi="標楷體"/>
        </w:rPr>
        <w:t>於HCV RNA或HCV core Ag為陽性，且未</w:t>
      </w:r>
      <w:proofErr w:type="gramStart"/>
      <w:r>
        <w:rPr>
          <w:rFonts w:ascii="標楷體" w:eastAsia="標楷體" w:hAnsi="標楷體"/>
        </w:rPr>
        <w:t>併</w:t>
      </w:r>
      <w:proofErr w:type="gramEnd"/>
      <w:r>
        <w:rPr>
          <w:rFonts w:ascii="標楷體" w:eastAsia="標楷體" w:hAnsi="標楷體"/>
        </w:rPr>
        <w:t>有肝硬化或</w:t>
      </w:r>
      <w:proofErr w:type="gramStart"/>
      <w:r>
        <w:rPr>
          <w:rFonts w:ascii="標楷體" w:eastAsia="標楷體" w:hAnsi="標楷體"/>
        </w:rPr>
        <w:t>併</w:t>
      </w:r>
      <w:proofErr w:type="gramEnd"/>
      <w:r>
        <w:rPr>
          <w:rFonts w:ascii="標楷體" w:eastAsia="標楷體" w:hAnsi="標楷體"/>
        </w:rPr>
        <w:t>有代償性肝硬化（Child-Pugh A級）之病毒基因型第1型、第2型、第3型、第4型、第5型或第6型病患。（</w:t>
      </w:r>
      <w:r>
        <w:rPr>
          <w:rFonts w:ascii="標楷體" w:eastAsia="標楷體" w:hAnsi="標楷體"/>
          <w:color w:val="000000"/>
        </w:rPr>
        <w:t>114/6/1）</w:t>
      </w:r>
    </w:p>
    <w:p w14:paraId="055BA3E1" w14:textId="77777777" w:rsidR="007C2CC9" w:rsidRDefault="007C2CC9" w:rsidP="007C2CC9">
      <w:pPr>
        <w:ind w:left="993" w:hanging="236"/>
        <w:rPr>
          <w:rFonts w:ascii="標楷體" w:eastAsia="標楷體" w:hAnsi="標楷體"/>
        </w:rPr>
      </w:pPr>
      <w:r>
        <w:rPr>
          <w:rFonts w:ascii="標楷體" w:eastAsia="標楷體" w:hAnsi="標楷體"/>
        </w:rPr>
        <w:t>3.給付療程如下，醫師每次開藥以4</w:t>
      </w:r>
      <w:proofErr w:type="gramStart"/>
      <w:r>
        <w:rPr>
          <w:rFonts w:ascii="標楷體" w:eastAsia="標楷體" w:hAnsi="標楷體"/>
        </w:rPr>
        <w:t>週</w:t>
      </w:r>
      <w:proofErr w:type="gramEnd"/>
      <w:r>
        <w:rPr>
          <w:rFonts w:ascii="標楷體" w:eastAsia="標楷體" w:hAnsi="標楷體"/>
        </w:rPr>
        <w:t>為限。</w:t>
      </w:r>
    </w:p>
    <w:p w14:paraId="27AAA164" w14:textId="77777777" w:rsidR="007C2CC9" w:rsidRDefault="007C2CC9" w:rsidP="007C2CC9">
      <w:pPr>
        <w:tabs>
          <w:tab w:val="left" w:pos="2520"/>
        </w:tabs>
        <w:ind w:left="1418" w:hanging="352"/>
        <w:rPr>
          <w:rFonts w:ascii="標楷體" w:eastAsia="標楷體" w:hAnsi="標楷體"/>
        </w:rPr>
      </w:pPr>
      <w:r>
        <w:rPr>
          <w:rFonts w:ascii="標楷體" w:eastAsia="標楷體" w:hAnsi="標楷體"/>
        </w:rPr>
        <w:t>(1)基因型1、2、3、4、5、6，且曾接受含NS5A抑制劑治療失敗者，給付12</w:t>
      </w:r>
      <w:proofErr w:type="gramStart"/>
      <w:r>
        <w:rPr>
          <w:rFonts w:ascii="標楷體" w:eastAsia="標楷體" w:hAnsi="標楷體"/>
        </w:rPr>
        <w:t>週</w:t>
      </w:r>
      <w:proofErr w:type="gramEnd"/>
      <w:r>
        <w:rPr>
          <w:rFonts w:ascii="標楷體" w:eastAsia="標楷體" w:hAnsi="標楷體"/>
        </w:rPr>
        <w:t>。</w:t>
      </w:r>
    </w:p>
    <w:p w14:paraId="57FE4B13" w14:textId="77777777" w:rsidR="007C2CC9" w:rsidRDefault="007C2CC9" w:rsidP="007C2CC9">
      <w:pPr>
        <w:tabs>
          <w:tab w:val="left" w:pos="2520"/>
        </w:tabs>
        <w:ind w:left="1418" w:hanging="352"/>
      </w:pPr>
      <w:r>
        <w:rPr>
          <w:rFonts w:ascii="標楷體" w:eastAsia="標楷體" w:hAnsi="標楷體"/>
        </w:rPr>
        <w:t>(2)</w:t>
      </w:r>
      <w:r>
        <w:rPr>
          <w:rFonts w:ascii="標楷體" w:eastAsia="標楷體" w:hAnsi="標楷體"/>
          <w:color w:val="000000"/>
        </w:rPr>
        <w:t>基因型</w:t>
      </w:r>
      <w:r>
        <w:rPr>
          <w:rFonts w:ascii="標楷體" w:eastAsia="標楷體" w:hAnsi="標楷體"/>
        </w:rPr>
        <w:t>1a或3，且曾經接受含sofosbuvir但無NS5A抑制劑治療失敗者，給付12</w:t>
      </w:r>
      <w:proofErr w:type="gramStart"/>
      <w:r>
        <w:rPr>
          <w:rFonts w:ascii="標楷體" w:eastAsia="標楷體" w:hAnsi="標楷體"/>
        </w:rPr>
        <w:t>週</w:t>
      </w:r>
      <w:proofErr w:type="gramEnd"/>
      <w:r>
        <w:rPr>
          <w:rFonts w:ascii="標楷體" w:eastAsia="標楷體" w:hAnsi="標楷體"/>
        </w:rPr>
        <w:t>。</w:t>
      </w:r>
    </w:p>
    <w:p w14:paraId="5192F842" w14:textId="77777777" w:rsidR="007C2CC9" w:rsidRDefault="007C2CC9" w:rsidP="007C2CC9">
      <w:pPr>
        <w:ind w:left="993" w:hanging="236"/>
      </w:pPr>
      <w:r>
        <w:rPr>
          <w:rFonts w:ascii="標楷體" w:eastAsia="標楷體" w:hAnsi="標楷體"/>
        </w:rPr>
        <w:t xml:space="preserve">4.限未曾申請給付本藥品且曾接受其他全口服直接抗病毒藥物（direct-acting </w:t>
      </w:r>
      <w:r>
        <w:rPr>
          <w:rFonts w:ascii="標楷體" w:eastAsia="標楷體" w:hAnsi="標楷體"/>
          <w:color w:val="000000"/>
        </w:rPr>
        <w:t>anti</w:t>
      </w:r>
      <w:r>
        <w:rPr>
          <w:rFonts w:ascii="標楷體" w:eastAsia="標楷體" w:hAnsi="標楷體"/>
        </w:rPr>
        <w:t>-viral, DAAs）第一次治療並符合下列情形之</w:t>
      </w:r>
      <w:proofErr w:type="gramStart"/>
      <w:r>
        <w:rPr>
          <w:rFonts w:ascii="標楷體" w:eastAsia="標楷體" w:hAnsi="標楷體"/>
        </w:rPr>
        <w:t>一</w:t>
      </w:r>
      <w:proofErr w:type="gramEnd"/>
      <w:r>
        <w:rPr>
          <w:rFonts w:ascii="標楷體" w:eastAsia="標楷體" w:hAnsi="標楷體"/>
        </w:rPr>
        <w:t>者：</w:t>
      </w:r>
    </w:p>
    <w:p w14:paraId="0E4AEC73" w14:textId="77777777" w:rsidR="007C2CC9" w:rsidRDefault="007C2CC9" w:rsidP="007C2CC9">
      <w:pPr>
        <w:tabs>
          <w:tab w:val="left" w:pos="2520"/>
        </w:tabs>
        <w:ind w:left="993"/>
      </w:pPr>
      <w:r>
        <w:rPr>
          <w:rFonts w:ascii="標楷體" w:eastAsia="標楷體" w:hAnsi="標楷體"/>
        </w:rPr>
        <w:t>(1)接受</w:t>
      </w:r>
      <w:r>
        <w:rPr>
          <w:rFonts w:ascii="標楷體" w:eastAsia="標楷體" w:hAnsi="標楷體"/>
          <w:color w:val="000000"/>
        </w:rPr>
        <w:t>第一次</w:t>
      </w:r>
      <w:r>
        <w:rPr>
          <w:rFonts w:ascii="標楷體" w:eastAsia="標楷體" w:hAnsi="標楷體"/>
        </w:rPr>
        <w:t>治療時中斷療程，且中斷原因屬專業醫療評估必須</w:t>
      </w:r>
      <w:proofErr w:type="gramStart"/>
      <w:r>
        <w:rPr>
          <w:rFonts w:ascii="標楷體" w:eastAsia="標楷體" w:hAnsi="標楷體"/>
        </w:rPr>
        <w:t>停藥者</w:t>
      </w:r>
      <w:proofErr w:type="gramEnd"/>
      <w:r>
        <w:rPr>
          <w:rFonts w:ascii="標楷體" w:eastAsia="標楷體" w:hAnsi="標楷體"/>
        </w:rPr>
        <w:t>。</w:t>
      </w:r>
    </w:p>
    <w:p w14:paraId="6B5D9D8A" w14:textId="77777777" w:rsidR="007C2CC9" w:rsidRDefault="007C2CC9" w:rsidP="007C2CC9">
      <w:pPr>
        <w:tabs>
          <w:tab w:val="left" w:pos="2520"/>
        </w:tabs>
        <w:ind w:left="993"/>
      </w:pPr>
      <w:r>
        <w:rPr>
          <w:rFonts w:ascii="標楷體" w:eastAsia="標楷體" w:hAnsi="標楷體"/>
        </w:rPr>
        <w:t>(2)接受</w:t>
      </w:r>
      <w:r>
        <w:rPr>
          <w:rFonts w:ascii="標楷體" w:eastAsia="標楷體" w:hAnsi="標楷體"/>
          <w:color w:val="000000"/>
        </w:rPr>
        <w:t>第一次</w:t>
      </w:r>
      <w:r>
        <w:rPr>
          <w:rFonts w:ascii="標楷體" w:eastAsia="標楷體" w:hAnsi="標楷體"/>
        </w:rPr>
        <w:t>治療完成時或治療結束後第12</w:t>
      </w:r>
      <w:proofErr w:type="gramStart"/>
      <w:r>
        <w:rPr>
          <w:rFonts w:ascii="標楷體" w:eastAsia="標楷體" w:hAnsi="標楷體"/>
        </w:rPr>
        <w:t>週</w:t>
      </w:r>
      <w:proofErr w:type="gramEnd"/>
      <w:r>
        <w:rPr>
          <w:rFonts w:ascii="標楷體" w:eastAsia="標楷體" w:hAnsi="標楷體"/>
        </w:rPr>
        <w:t>，血中仍偵測到病毒者，或治療4</w:t>
      </w:r>
      <w:proofErr w:type="gramStart"/>
      <w:r>
        <w:rPr>
          <w:rFonts w:ascii="標楷體" w:eastAsia="標楷體" w:hAnsi="標楷體"/>
        </w:rPr>
        <w:t>週</w:t>
      </w:r>
      <w:proofErr w:type="gramEnd"/>
      <w:r>
        <w:rPr>
          <w:rFonts w:ascii="標楷體" w:eastAsia="標楷體" w:hAnsi="標楷體"/>
        </w:rPr>
        <w:t>後之病毒量未能下降超過二個對數值（即下降未達100倍）發生在108年1月1日前者。</w:t>
      </w:r>
    </w:p>
    <w:p w14:paraId="0171A5F5" w14:textId="77777777" w:rsidR="00401786" w:rsidRDefault="007C2CC9" w:rsidP="007C2CC9">
      <w:pPr>
        <w:spacing w:line="300" w:lineRule="exact"/>
        <w:ind w:left="708" w:hanging="367"/>
        <w:rPr>
          <w:rFonts w:ascii="標楷體" w:eastAsia="標楷體" w:hAnsi="標楷體"/>
        </w:rPr>
      </w:pPr>
      <w:r>
        <w:rPr>
          <w:rFonts w:ascii="標楷體" w:eastAsia="標楷體" w:hAnsi="標楷體"/>
        </w:rPr>
        <w:t>5.高風險族群（監獄受刑人、注射藥癮者、愛滋病毒帶原者/</w:t>
      </w:r>
      <w:proofErr w:type="gramStart"/>
      <w:r>
        <w:rPr>
          <w:rFonts w:ascii="標楷體" w:eastAsia="標楷體" w:hAnsi="標楷體"/>
        </w:rPr>
        <w:t>愛滋病</w:t>
      </w:r>
      <w:proofErr w:type="gramEnd"/>
      <w:r>
        <w:rPr>
          <w:rFonts w:ascii="標楷體" w:eastAsia="標楷體" w:hAnsi="標楷體"/>
        </w:rPr>
        <w:t>人、發生危險性行為者）病人，若符合前述規定即可接受治療，以治療三次為限。（114/12/1）</w:t>
      </w:r>
    </w:p>
    <w:p w14:paraId="7FF84DFD" w14:textId="77777777" w:rsidR="00401786" w:rsidRDefault="00C64FB3" w:rsidP="0009639E">
      <w:pPr>
        <w:spacing w:line="300" w:lineRule="exact"/>
        <w:ind w:left="708" w:hanging="367"/>
        <w:rPr>
          <w:rFonts w:ascii="標楷體" w:eastAsia="標楷體" w:hAnsi="標楷體"/>
          <w:color w:val="000000"/>
        </w:rPr>
      </w:pPr>
      <w:r>
        <w:rPr>
          <w:rFonts w:ascii="標楷體" w:eastAsia="標楷體" w:hAnsi="標楷體"/>
          <w:color w:val="000000"/>
        </w:rPr>
        <w:t>10.7.14.Maribavir（如</w:t>
      </w:r>
      <w:proofErr w:type="spellStart"/>
      <w:r>
        <w:rPr>
          <w:rFonts w:ascii="標楷體" w:eastAsia="標楷體" w:hAnsi="標楷體"/>
          <w:color w:val="000000"/>
        </w:rPr>
        <w:t>Livtencity</w:t>
      </w:r>
      <w:proofErr w:type="spellEnd"/>
      <w:r>
        <w:rPr>
          <w:rFonts w:ascii="標楷體" w:eastAsia="標楷體" w:hAnsi="標楷體"/>
          <w:color w:val="000000"/>
        </w:rPr>
        <w:t>）：（113/11/1）</w:t>
      </w:r>
    </w:p>
    <w:p w14:paraId="73D4E6A2" w14:textId="77777777" w:rsidR="00401786" w:rsidRDefault="00C64FB3" w:rsidP="0009639E">
      <w:pPr>
        <w:spacing w:line="300" w:lineRule="exact"/>
        <w:ind w:left="848" w:hanging="226"/>
      </w:pPr>
      <w:r>
        <w:rPr>
          <w:rFonts w:ascii="標楷體" w:eastAsia="標楷體" w:hAnsi="標楷體"/>
          <w:color w:val="000000"/>
        </w:rPr>
        <w:t>1.</w:t>
      </w:r>
      <w:r>
        <w:rPr>
          <w:rFonts w:ascii="標楷體" w:eastAsia="標楷體" w:hAnsi="標楷體"/>
        </w:rPr>
        <w:t>適用於對一種或多種先前療法，具抗藥性、</w:t>
      </w:r>
      <w:proofErr w:type="gramStart"/>
      <w:r>
        <w:rPr>
          <w:rFonts w:ascii="標楷體" w:eastAsia="標楷體" w:hAnsi="標楷體"/>
        </w:rPr>
        <w:t>難治或耐</w:t>
      </w:r>
      <w:proofErr w:type="gramEnd"/>
      <w:r>
        <w:rPr>
          <w:rFonts w:ascii="標楷體" w:eastAsia="標楷體" w:hAnsi="標楷體"/>
        </w:rPr>
        <w:t>受度不佳的成人病人，治療接受造血幹細胞移植(</w:t>
      </w:r>
      <w:proofErr w:type="spellStart"/>
      <w:r>
        <w:rPr>
          <w:rFonts w:ascii="標楷體" w:eastAsia="標楷體" w:hAnsi="標楷體"/>
        </w:rPr>
        <w:t>Haematopoietic</w:t>
      </w:r>
      <w:proofErr w:type="spellEnd"/>
      <w:r>
        <w:rPr>
          <w:rFonts w:ascii="標楷體" w:eastAsia="標楷體" w:hAnsi="標楷體"/>
        </w:rPr>
        <w:t xml:space="preserve"> Stem Cell Transplant，HSCT)或固體器官移植(Solid Organ Transplant，SOT)後發生巨細胞病毒(cytomegalovirus，CMV)感染或疾病。</w:t>
      </w:r>
    </w:p>
    <w:p w14:paraId="49A0C6AB" w14:textId="77777777" w:rsidR="00401786" w:rsidRDefault="00C64FB3" w:rsidP="0009639E">
      <w:pPr>
        <w:spacing w:line="300" w:lineRule="exact"/>
        <w:ind w:left="848" w:hanging="226"/>
      </w:pPr>
      <w:r>
        <w:rPr>
          <w:rFonts w:ascii="標楷體" w:eastAsia="標楷體" w:hAnsi="標楷體"/>
        </w:rPr>
        <w:t>2.開始</w:t>
      </w:r>
      <w:r>
        <w:rPr>
          <w:rFonts w:ascii="標楷體" w:eastAsia="標楷體" w:hAnsi="標楷體"/>
          <w:color w:val="000000"/>
        </w:rPr>
        <w:t>治療需符合下列任</w:t>
      </w:r>
      <w:proofErr w:type="gramStart"/>
      <w:r>
        <w:rPr>
          <w:rFonts w:ascii="標楷體" w:eastAsia="標楷體" w:hAnsi="標楷體"/>
          <w:color w:val="000000"/>
        </w:rPr>
        <w:t>一</w:t>
      </w:r>
      <w:proofErr w:type="gramEnd"/>
      <w:r>
        <w:rPr>
          <w:rFonts w:ascii="標楷體" w:eastAsia="標楷體" w:hAnsi="標楷體"/>
          <w:color w:val="000000"/>
        </w:rPr>
        <w:t>臨床條件：</w:t>
      </w:r>
    </w:p>
    <w:p w14:paraId="37F264AA" w14:textId="77777777" w:rsidR="00401786" w:rsidRDefault="00C64FB3" w:rsidP="0009639E">
      <w:pPr>
        <w:spacing w:line="300" w:lineRule="exact"/>
        <w:ind w:left="1077" w:hanging="367"/>
      </w:pPr>
      <w:r>
        <w:rPr>
          <w:rFonts w:ascii="標楷體" w:eastAsia="標楷體" w:hAnsi="標楷體"/>
          <w:color w:val="000000"/>
        </w:rPr>
        <w:t>(1)</w:t>
      </w:r>
      <w:r>
        <w:rPr>
          <w:rFonts w:ascii="標楷體" w:eastAsia="標楷體" w:hAnsi="標楷體"/>
        </w:rPr>
        <w:t>偵測到先前其他抗巨細胞病毒療法抗性突變，或</w:t>
      </w:r>
    </w:p>
    <w:p w14:paraId="690C9FBA"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(2)先前接受其他抗巨細胞病毒療法至少2</w:t>
      </w:r>
      <w:proofErr w:type="gramStart"/>
      <w:r>
        <w:rPr>
          <w:rFonts w:ascii="標楷體" w:eastAsia="標楷體" w:hAnsi="標楷體"/>
        </w:rPr>
        <w:t>週</w:t>
      </w:r>
      <w:proofErr w:type="gramEnd"/>
      <w:r>
        <w:rPr>
          <w:rFonts w:ascii="標楷體" w:eastAsia="標楷體" w:hAnsi="標楷體"/>
        </w:rPr>
        <w:t>，</w:t>
      </w:r>
      <w:proofErr w:type="gramStart"/>
      <w:r>
        <w:rPr>
          <w:rFonts w:ascii="標楷體" w:eastAsia="標楷體" w:hAnsi="標楷體"/>
        </w:rPr>
        <w:t>當巨細胞</w:t>
      </w:r>
      <w:proofErr w:type="gramEnd"/>
      <w:r>
        <w:rPr>
          <w:rFonts w:ascii="標楷體" w:eastAsia="標楷體" w:hAnsi="標楷體"/>
        </w:rPr>
        <w:t>病毒(CMV)DNA濃度未下降或甚至上升，或</w:t>
      </w:r>
    </w:p>
    <w:p w14:paraId="245897D6" w14:textId="77777777" w:rsidR="00401786" w:rsidRDefault="00C64FB3" w:rsidP="0009639E">
      <w:pPr>
        <w:spacing w:line="300" w:lineRule="exact"/>
        <w:ind w:left="1077" w:hanging="367"/>
      </w:pPr>
      <w:r>
        <w:rPr>
          <w:rFonts w:ascii="標楷體" w:eastAsia="標楷體" w:hAnsi="標楷體"/>
        </w:rPr>
        <w:t>(3)</w:t>
      </w:r>
      <w:r>
        <w:rPr>
          <w:rFonts w:ascii="標楷體" w:eastAsia="標楷體" w:hAnsi="標楷體"/>
          <w:color w:val="000000"/>
        </w:rPr>
        <w:t>先前接受其他抗巨細胞病毒療法且無法耐受。</w:t>
      </w:r>
    </w:p>
    <w:p w14:paraId="75C5AA7B" w14:textId="77777777" w:rsidR="00401786" w:rsidRDefault="00C64FB3" w:rsidP="0009639E">
      <w:pPr>
        <w:spacing w:line="300" w:lineRule="exact"/>
        <w:ind w:left="848" w:hanging="226"/>
      </w:pPr>
      <w:r>
        <w:rPr>
          <w:rFonts w:ascii="標楷體" w:eastAsia="標楷體" w:hAnsi="標楷體"/>
          <w:color w:val="000000"/>
        </w:rPr>
        <w:t>3.經</w:t>
      </w:r>
      <w:r>
        <w:rPr>
          <w:rFonts w:ascii="標楷體" w:eastAsia="標楷體" w:hAnsi="標楷體"/>
        </w:rPr>
        <w:t>事前審查核准後使用。</w:t>
      </w:r>
    </w:p>
    <w:p w14:paraId="3B2A244C" w14:textId="77777777" w:rsidR="00401786" w:rsidRDefault="00C64FB3" w:rsidP="0009639E">
      <w:pPr>
        <w:spacing w:line="300" w:lineRule="exact"/>
        <w:ind w:left="848" w:hanging="226"/>
      </w:pPr>
      <w:r>
        <w:rPr>
          <w:rFonts w:ascii="標楷體" w:eastAsia="標楷體" w:hAnsi="標楷體"/>
        </w:rPr>
        <w:t>4.</w:t>
      </w:r>
      <w:proofErr w:type="gramStart"/>
      <w:r>
        <w:rPr>
          <w:rFonts w:ascii="標楷體" w:eastAsia="標楷體" w:hAnsi="標楷體"/>
        </w:rPr>
        <w:t>本</w:t>
      </w:r>
      <w:r>
        <w:rPr>
          <w:rFonts w:ascii="標楷體" w:eastAsia="標楷體" w:hAnsi="標楷體"/>
          <w:color w:val="000000"/>
        </w:rPr>
        <w:t>品首次</w:t>
      </w:r>
      <w:proofErr w:type="gramEnd"/>
      <w:r>
        <w:rPr>
          <w:rFonts w:ascii="標楷體" w:eastAsia="標楷體" w:hAnsi="標楷體"/>
          <w:color w:val="000000"/>
        </w:rPr>
        <w:t>申請治療療程限8</w:t>
      </w:r>
      <w:proofErr w:type="gramStart"/>
      <w:r>
        <w:rPr>
          <w:rFonts w:ascii="標楷體" w:eastAsia="標楷體" w:hAnsi="標楷體"/>
          <w:color w:val="000000"/>
        </w:rPr>
        <w:t>週</w:t>
      </w:r>
      <w:proofErr w:type="gramEnd"/>
      <w:r>
        <w:rPr>
          <w:rFonts w:ascii="標楷體" w:eastAsia="標楷體" w:hAnsi="標楷體"/>
          <w:color w:val="000000"/>
        </w:rPr>
        <w:t>，療程期間有下列任</w:t>
      </w:r>
      <w:proofErr w:type="gramStart"/>
      <w:r>
        <w:rPr>
          <w:rFonts w:ascii="標楷體" w:eastAsia="標楷體" w:hAnsi="標楷體"/>
          <w:color w:val="000000"/>
        </w:rPr>
        <w:t>一</w:t>
      </w:r>
      <w:proofErr w:type="gramEnd"/>
      <w:r>
        <w:rPr>
          <w:rFonts w:ascii="標楷體" w:eastAsia="標楷體" w:hAnsi="標楷體"/>
          <w:color w:val="000000"/>
        </w:rPr>
        <w:t>情況應停藥：</w:t>
      </w:r>
    </w:p>
    <w:p w14:paraId="5ABF5BF0" w14:textId="77777777" w:rsidR="00401786" w:rsidRDefault="00C64FB3" w:rsidP="0009639E">
      <w:pPr>
        <w:spacing w:line="300" w:lineRule="exact"/>
        <w:ind w:left="1077" w:hanging="367"/>
      </w:pPr>
      <w:r>
        <w:rPr>
          <w:rFonts w:ascii="標楷體" w:eastAsia="標楷體" w:hAnsi="標楷體"/>
          <w:color w:val="000000"/>
        </w:rPr>
        <w:t>(1)開始治</w:t>
      </w:r>
      <w:r>
        <w:rPr>
          <w:rFonts w:ascii="標楷體" w:eastAsia="標楷體" w:hAnsi="標楷體"/>
        </w:rPr>
        <w:t>療療程4</w:t>
      </w:r>
      <w:proofErr w:type="gramStart"/>
      <w:r>
        <w:rPr>
          <w:rFonts w:ascii="標楷體" w:eastAsia="標楷體" w:hAnsi="標楷體"/>
        </w:rPr>
        <w:t>週</w:t>
      </w:r>
      <w:proofErr w:type="gramEnd"/>
      <w:r>
        <w:rPr>
          <w:rFonts w:ascii="標楷體" w:eastAsia="標楷體" w:hAnsi="標楷體"/>
        </w:rPr>
        <w:t>後，巨細胞病毒(CMV)DNA濃度並未下降或甚至上升時。</w:t>
      </w:r>
    </w:p>
    <w:p w14:paraId="7A36E857" w14:textId="77777777" w:rsidR="00401786" w:rsidRDefault="00C64FB3" w:rsidP="0009639E">
      <w:pPr>
        <w:spacing w:line="300" w:lineRule="exact"/>
        <w:ind w:left="1077" w:hanging="367"/>
      </w:pPr>
      <w:r>
        <w:rPr>
          <w:rFonts w:ascii="標楷體" w:eastAsia="標楷體" w:hAnsi="標楷體"/>
        </w:rPr>
        <w:t>(2)療程</w:t>
      </w:r>
      <w:proofErr w:type="gramStart"/>
      <w:r>
        <w:rPr>
          <w:rFonts w:ascii="標楷體" w:eastAsia="標楷體" w:hAnsi="標楷體"/>
        </w:rPr>
        <w:t>期</w:t>
      </w:r>
      <w:r>
        <w:rPr>
          <w:rFonts w:ascii="標楷體" w:eastAsia="標楷體" w:hAnsi="標楷體"/>
          <w:color w:val="000000"/>
        </w:rPr>
        <w:t>間，</w:t>
      </w:r>
      <w:proofErr w:type="gramEnd"/>
      <w:r>
        <w:rPr>
          <w:rFonts w:ascii="標楷體" w:eastAsia="標楷體" w:hAnsi="標楷體"/>
          <w:color w:val="000000"/>
        </w:rPr>
        <w:t>偵測到抗性突變。</w:t>
      </w:r>
    </w:p>
    <w:p w14:paraId="277C4FDD" w14:textId="77777777" w:rsidR="00401786" w:rsidRDefault="00C64FB3" w:rsidP="0009639E">
      <w:pPr>
        <w:spacing w:line="300" w:lineRule="exact"/>
        <w:ind w:left="848" w:hanging="226"/>
        <w:rPr>
          <w:rFonts w:ascii="標楷體" w:eastAsia="標楷體" w:hAnsi="標楷體"/>
          <w:color w:val="000000"/>
        </w:rPr>
      </w:pPr>
      <w:r>
        <w:rPr>
          <w:rFonts w:ascii="標楷體" w:eastAsia="標楷體" w:hAnsi="標楷體"/>
          <w:color w:val="000000"/>
        </w:rPr>
        <w:t>5.首次申請治療療程後，若未達清除巨細胞病毒(CMV)治療目的或仍有治療需求，且不符合前述停藥條件者，可經事前審查核准後續用4</w:t>
      </w:r>
      <w:proofErr w:type="gramStart"/>
      <w:r>
        <w:rPr>
          <w:rFonts w:ascii="標楷體" w:eastAsia="標楷體" w:hAnsi="標楷體"/>
          <w:color w:val="000000"/>
        </w:rPr>
        <w:t>週</w:t>
      </w:r>
      <w:proofErr w:type="gramEnd"/>
      <w:r>
        <w:rPr>
          <w:rFonts w:ascii="標楷體" w:eastAsia="標楷體" w:hAnsi="標楷體"/>
          <w:color w:val="000000"/>
        </w:rPr>
        <w:t>。事前申請時需</w:t>
      </w:r>
      <w:proofErr w:type="gramStart"/>
      <w:r>
        <w:rPr>
          <w:rFonts w:ascii="標楷體" w:eastAsia="標楷體" w:hAnsi="標楷體"/>
          <w:color w:val="000000"/>
        </w:rPr>
        <w:t>檢附巨細胞</w:t>
      </w:r>
      <w:proofErr w:type="gramEnd"/>
      <w:r>
        <w:rPr>
          <w:rFonts w:ascii="標楷體" w:eastAsia="標楷體" w:hAnsi="標楷體"/>
          <w:color w:val="000000"/>
        </w:rPr>
        <w:t>病毒(CMV)DNA濃度或相關檢測報告，且總療程以12</w:t>
      </w:r>
      <w:proofErr w:type="gramStart"/>
      <w:r>
        <w:rPr>
          <w:rFonts w:ascii="標楷體" w:eastAsia="標楷體" w:hAnsi="標楷體"/>
          <w:color w:val="000000"/>
        </w:rPr>
        <w:t>週</w:t>
      </w:r>
      <w:proofErr w:type="gramEnd"/>
      <w:r>
        <w:rPr>
          <w:rFonts w:ascii="標楷體" w:eastAsia="標楷體" w:hAnsi="標楷體"/>
          <w:color w:val="000000"/>
        </w:rPr>
        <w:t>為上限。</w:t>
      </w:r>
    </w:p>
    <w:p w14:paraId="6710874E"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10.8.其他  Miscellaneous</w:t>
      </w:r>
    </w:p>
    <w:p w14:paraId="0023BA1E" w14:textId="77777777" w:rsidR="00401786" w:rsidRDefault="00C64FB3" w:rsidP="0009639E">
      <w:pPr>
        <w:spacing w:line="300" w:lineRule="exact"/>
        <w:ind w:left="567" w:hanging="245"/>
      </w:pPr>
      <w:r>
        <w:rPr>
          <w:rFonts w:ascii="標楷體" w:eastAsia="標楷體" w:hAnsi="標楷體"/>
        </w:rPr>
        <w:t>10.8.1.Teicoplanin及vancomycin：（88/3/1、110/7/1）</w:t>
      </w:r>
    </w:p>
    <w:p w14:paraId="75A7D142" w14:textId="77777777" w:rsidR="00401786" w:rsidRDefault="00C64FB3" w:rsidP="0009639E">
      <w:pPr>
        <w:spacing w:line="300" w:lineRule="exact"/>
        <w:ind w:left="567" w:hanging="245"/>
        <w:rPr>
          <w:rFonts w:ascii="標楷體" w:eastAsia="標楷體" w:hAnsi="標楷體"/>
        </w:rPr>
      </w:pPr>
      <w:r>
        <w:rPr>
          <w:rFonts w:ascii="標楷體" w:eastAsia="標楷體" w:hAnsi="標楷體"/>
        </w:rPr>
        <w:t>10.8.1.1.Teicoplanin及vancomycin注射劑：(88/3/1、110/7/1)</w:t>
      </w:r>
    </w:p>
    <w:p w14:paraId="4213D24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1.對其他抗生素有</w:t>
      </w:r>
      <w:proofErr w:type="gramStart"/>
      <w:r>
        <w:rPr>
          <w:rFonts w:ascii="標楷體" w:eastAsia="標楷體" w:hAnsi="標楷體"/>
        </w:rPr>
        <w:t>抗藥性之革蘭氏</w:t>
      </w:r>
      <w:proofErr w:type="gramEnd"/>
      <w:r>
        <w:rPr>
          <w:rFonts w:ascii="標楷體" w:eastAsia="標楷體" w:hAnsi="標楷體"/>
        </w:rPr>
        <w:t>陽性</w:t>
      </w:r>
      <w:proofErr w:type="gramStart"/>
      <w:r>
        <w:rPr>
          <w:rFonts w:ascii="標楷體" w:eastAsia="標楷體" w:hAnsi="標楷體"/>
        </w:rPr>
        <w:t>菌</w:t>
      </w:r>
      <w:proofErr w:type="gramEnd"/>
      <w:r>
        <w:rPr>
          <w:rFonts w:ascii="標楷體" w:eastAsia="標楷體" w:hAnsi="標楷體"/>
        </w:rPr>
        <w:t>感染。</w:t>
      </w:r>
    </w:p>
    <w:p w14:paraId="0D77CFD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2.病患對其他抗生素有嚴重過敏</w:t>
      </w:r>
      <w:proofErr w:type="gramStart"/>
      <w:r>
        <w:rPr>
          <w:rFonts w:ascii="標楷體" w:eastAsia="標楷體" w:hAnsi="標楷體"/>
        </w:rPr>
        <w:t>反應之革蘭氏</w:t>
      </w:r>
      <w:proofErr w:type="gramEnd"/>
      <w:r>
        <w:rPr>
          <w:rFonts w:ascii="標楷體" w:eastAsia="標楷體" w:hAnsi="標楷體"/>
        </w:rPr>
        <w:t>陽性</w:t>
      </w:r>
      <w:proofErr w:type="gramStart"/>
      <w:r>
        <w:rPr>
          <w:rFonts w:ascii="標楷體" w:eastAsia="標楷體" w:hAnsi="標楷體"/>
        </w:rPr>
        <w:t>菌</w:t>
      </w:r>
      <w:proofErr w:type="gramEnd"/>
      <w:r>
        <w:rPr>
          <w:rFonts w:ascii="標楷體" w:eastAsia="標楷體" w:hAnsi="標楷體"/>
        </w:rPr>
        <w:t>感染。</w:t>
      </w:r>
    </w:p>
    <w:p w14:paraId="486CDB8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3.治療抗生素引起之腸炎(antibiotics-associated colitis)，經使用metronidazole無效者始可使用口服vancomycin。</w:t>
      </w:r>
    </w:p>
    <w:p w14:paraId="132E5F8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4.vancomycin 10 gm(溶液用粉劑)限骨髓移植病例使用。</w:t>
      </w:r>
    </w:p>
    <w:p w14:paraId="75145CB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5.其他經感染症專科醫師認定需使用者。</w:t>
      </w:r>
    </w:p>
    <w:p w14:paraId="2935D709" w14:textId="77777777" w:rsidR="00401786" w:rsidRDefault="00C64FB3" w:rsidP="0009639E">
      <w:pPr>
        <w:spacing w:line="300" w:lineRule="exact"/>
        <w:ind w:left="567" w:hanging="245"/>
        <w:rPr>
          <w:rFonts w:ascii="標楷體" w:eastAsia="標楷體" w:hAnsi="標楷體"/>
        </w:rPr>
      </w:pPr>
      <w:r>
        <w:rPr>
          <w:rFonts w:ascii="標楷體" w:eastAsia="標楷體" w:hAnsi="標楷體"/>
        </w:rPr>
        <w:t>10.8.1.2.Vancomycin口服製劑(110/7/1)</w:t>
      </w:r>
    </w:p>
    <w:p w14:paraId="1187462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限</w:t>
      </w:r>
      <w:proofErr w:type="gramStart"/>
      <w:r>
        <w:rPr>
          <w:rFonts w:ascii="標楷體" w:eastAsia="標楷體" w:hAnsi="標楷體"/>
        </w:rPr>
        <w:t>用於梭狀桿菌</w:t>
      </w:r>
      <w:proofErr w:type="gramEnd"/>
      <w:r>
        <w:rPr>
          <w:rFonts w:ascii="標楷體" w:eastAsia="標楷體" w:hAnsi="標楷體"/>
        </w:rPr>
        <w:t>引起之</w:t>
      </w:r>
      <w:proofErr w:type="gramStart"/>
      <w:r>
        <w:rPr>
          <w:rFonts w:ascii="標楷體" w:eastAsia="標楷體" w:hAnsi="標楷體"/>
        </w:rPr>
        <w:t>假膜性</w:t>
      </w:r>
      <w:proofErr w:type="gramEnd"/>
      <w:r>
        <w:rPr>
          <w:rFonts w:ascii="標楷體" w:eastAsia="標楷體" w:hAnsi="標楷體"/>
        </w:rPr>
        <w:t>結腸炎，且需符合下列診斷方法之</w:t>
      </w:r>
      <w:proofErr w:type="gramStart"/>
      <w:r>
        <w:rPr>
          <w:rFonts w:ascii="標楷體" w:eastAsia="標楷體" w:hAnsi="標楷體"/>
        </w:rPr>
        <w:t>一</w:t>
      </w:r>
      <w:proofErr w:type="gramEnd"/>
      <w:r>
        <w:rPr>
          <w:rFonts w:ascii="標楷體" w:eastAsia="標楷體" w:hAnsi="標楷體"/>
        </w:rPr>
        <w:t>：</w:t>
      </w:r>
    </w:p>
    <w:p w14:paraId="0D9BA78E" w14:textId="77777777" w:rsidR="00401786" w:rsidRDefault="00C64FB3" w:rsidP="0009639E">
      <w:pPr>
        <w:spacing w:line="300" w:lineRule="exact"/>
        <w:ind w:left="991" w:hanging="245"/>
        <w:rPr>
          <w:rFonts w:ascii="標楷體" w:eastAsia="標楷體" w:hAnsi="標楷體"/>
        </w:rPr>
      </w:pPr>
      <w:r>
        <w:rPr>
          <w:rFonts w:ascii="標楷體" w:eastAsia="標楷體" w:hAnsi="標楷體"/>
        </w:rPr>
        <w:t>(1)內視鏡檢查證實有</w:t>
      </w:r>
      <w:proofErr w:type="gramStart"/>
      <w:r>
        <w:rPr>
          <w:rFonts w:ascii="標楷體" w:eastAsia="標楷體" w:hAnsi="標楷體"/>
        </w:rPr>
        <w:t>假膜性</w:t>
      </w:r>
      <w:proofErr w:type="gramEnd"/>
      <w:r>
        <w:rPr>
          <w:rFonts w:ascii="標楷體" w:eastAsia="標楷體" w:hAnsi="標楷體"/>
        </w:rPr>
        <w:t>結腸炎之病理變化。</w:t>
      </w:r>
    </w:p>
    <w:p w14:paraId="2777B473"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lastRenderedPageBreak/>
        <w:t>(2)臨床上有腸炎、結腸炎之相關症狀，如腹瀉、腹痛、腸阻塞(ileus)等，加上下列任一種條件：</w:t>
      </w:r>
    </w:p>
    <w:p w14:paraId="36526CA8" w14:textId="77777777" w:rsidR="00401786" w:rsidRDefault="00C64FB3" w:rsidP="0009639E">
      <w:pPr>
        <w:spacing w:line="300" w:lineRule="exact"/>
        <w:ind w:left="1275" w:hanging="245"/>
        <w:rPr>
          <w:rFonts w:ascii="標楷體" w:eastAsia="標楷體" w:hAnsi="標楷體"/>
        </w:rPr>
      </w:pPr>
      <w:r>
        <w:rPr>
          <w:rFonts w:ascii="標楷體" w:eastAsia="標楷體" w:hAnsi="標楷體"/>
        </w:rPr>
        <w:t>I.糞便檢驗證實</w:t>
      </w:r>
      <w:proofErr w:type="gramStart"/>
      <w:r>
        <w:rPr>
          <w:rFonts w:ascii="標楷體" w:eastAsia="標楷體" w:hAnsi="標楷體"/>
        </w:rPr>
        <w:t>有梭狀</w:t>
      </w:r>
      <w:proofErr w:type="gramEnd"/>
      <w:r>
        <w:rPr>
          <w:rFonts w:ascii="標楷體" w:eastAsia="標楷體" w:hAnsi="標楷體"/>
        </w:rPr>
        <w:t>桿菌之toxin A或toxin B存在、或其毒素基因存在。</w:t>
      </w:r>
    </w:p>
    <w:p w14:paraId="131F2A72" w14:textId="77777777" w:rsidR="00401786" w:rsidRDefault="00C64FB3" w:rsidP="0009639E">
      <w:pPr>
        <w:spacing w:line="300" w:lineRule="exact"/>
        <w:ind w:left="1275" w:hanging="245"/>
        <w:rPr>
          <w:rFonts w:ascii="標楷體" w:eastAsia="標楷體" w:hAnsi="標楷體"/>
        </w:rPr>
      </w:pPr>
      <w:r>
        <w:rPr>
          <w:rFonts w:ascii="標楷體" w:eastAsia="標楷體" w:hAnsi="標楷體"/>
        </w:rPr>
        <w:t>II.糞便細菌培養證實</w:t>
      </w:r>
      <w:proofErr w:type="gramStart"/>
      <w:r>
        <w:rPr>
          <w:rFonts w:ascii="標楷體" w:eastAsia="標楷體" w:hAnsi="標楷體"/>
        </w:rPr>
        <w:t>有梭狀</w:t>
      </w:r>
      <w:proofErr w:type="gramEnd"/>
      <w:r>
        <w:rPr>
          <w:rFonts w:ascii="標楷體" w:eastAsia="標楷體" w:hAnsi="標楷體"/>
        </w:rPr>
        <w:t>桿菌或糞便之抗原檢測證實有GDH(glutamate dehydrogenase)存在。</w:t>
      </w:r>
    </w:p>
    <w:p w14:paraId="2DAC20D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申報時應檢附下列報告之</w:t>
      </w:r>
      <w:proofErr w:type="gramStart"/>
      <w:r>
        <w:rPr>
          <w:rFonts w:ascii="標楷體" w:eastAsia="標楷體" w:hAnsi="標楷體"/>
        </w:rPr>
        <w:t>一</w:t>
      </w:r>
      <w:proofErr w:type="gramEnd"/>
      <w:r>
        <w:rPr>
          <w:rFonts w:ascii="標楷體" w:eastAsia="標楷體" w:hAnsi="標楷體"/>
        </w:rPr>
        <w:t>：</w:t>
      </w:r>
    </w:p>
    <w:p w14:paraId="3F74D89C" w14:textId="77777777" w:rsidR="00401786" w:rsidRDefault="00C64FB3" w:rsidP="0009639E">
      <w:pPr>
        <w:spacing w:line="300" w:lineRule="exact"/>
        <w:ind w:left="991" w:hanging="245"/>
        <w:rPr>
          <w:rFonts w:ascii="標楷體" w:eastAsia="標楷體" w:hAnsi="標楷體"/>
        </w:rPr>
      </w:pPr>
      <w:r>
        <w:rPr>
          <w:rFonts w:ascii="標楷體" w:eastAsia="標楷體" w:hAnsi="標楷體"/>
        </w:rPr>
        <w:t>(1)內視鏡檢查報告。</w:t>
      </w:r>
    </w:p>
    <w:p w14:paraId="00A69FDC" w14:textId="77777777" w:rsidR="00401786" w:rsidRDefault="00C64FB3" w:rsidP="0009639E">
      <w:pPr>
        <w:spacing w:line="300" w:lineRule="exact"/>
        <w:ind w:left="1077" w:hanging="331"/>
        <w:rPr>
          <w:rFonts w:ascii="標楷體" w:eastAsia="標楷體" w:hAnsi="標楷體"/>
        </w:rPr>
      </w:pPr>
      <w:r>
        <w:rPr>
          <w:rFonts w:ascii="標楷體" w:eastAsia="標楷體" w:hAnsi="標楷體"/>
        </w:rPr>
        <w:t>(2)臨床症狀敘述，加上Toxin A+B檢測報告、糞便細菌培養結果、糞便細菌抗原檢測(GDH)結果或PCR基因檢測結果。</w:t>
      </w:r>
    </w:p>
    <w:p w14:paraId="134F5D78" w14:textId="77777777" w:rsidR="00401786" w:rsidRDefault="00C64FB3" w:rsidP="0009639E">
      <w:pPr>
        <w:spacing w:line="300" w:lineRule="exact"/>
        <w:ind w:left="672" w:hanging="386"/>
      </w:pPr>
      <w:r>
        <w:rPr>
          <w:rFonts w:ascii="標楷體" w:eastAsia="標楷體" w:hAnsi="標楷體"/>
        </w:rPr>
        <w:t>10.8.2.</w:t>
      </w:r>
      <w:r>
        <w:t xml:space="preserve"> </w:t>
      </w:r>
      <w:r>
        <w:rPr>
          <w:rFonts w:ascii="標楷體" w:eastAsia="標楷體" w:hAnsi="標楷體"/>
        </w:rPr>
        <w:t>Quinolone類：（96/9/1、97/9/1、107/1/1、108/12/1）</w:t>
      </w:r>
    </w:p>
    <w:p w14:paraId="66C16DF4"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限使用於下列疾病，若使用於結核病不予給付，請向衛生福利部疾病管制署申請並依</w:t>
      </w:r>
      <w:proofErr w:type="gramStart"/>
      <w:r>
        <w:rPr>
          <w:rFonts w:ascii="標楷體" w:eastAsia="標楷體" w:hAnsi="標楷體"/>
        </w:rPr>
        <w:t>最</w:t>
      </w:r>
      <w:proofErr w:type="gramEnd"/>
      <w:r>
        <w:rPr>
          <w:rFonts w:ascii="標楷體" w:eastAsia="標楷體" w:hAnsi="標楷體"/>
        </w:rPr>
        <w:t>新版「結核病診治指引」辦理。(96/9/1、108/12/1)</w:t>
      </w:r>
    </w:p>
    <w:p w14:paraId="25A4192C"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10.8.2.1.Moxifloxacin (如</w:t>
      </w:r>
      <w:proofErr w:type="spellStart"/>
      <w:r>
        <w:rPr>
          <w:rFonts w:ascii="標楷體" w:eastAsia="標楷體" w:hAnsi="標楷體"/>
        </w:rPr>
        <w:t>Avelox</w:t>
      </w:r>
      <w:proofErr w:type="spellEnd"/>
      <w:r>
        <w:rPr>
          <w:rFonts w:ascii="標楷體" w:eastAsia="標楷體" w:hAnsi="標楷體"/>
        </w:rPr>
        <w:t>)：(91/2/1、92/11/1、94/3/1、97/9/1、105/8/1)</w:t>
      </w:r>
    </w:p>
    <w:p w14:paraId="236681F5"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限用於成人(18歲以上)之下列感染症：</w:t>
      </w:r>
    </w:p>
    <w:p w14:paraId="2E9446BB" w14:textId="77777777" w:rsidR="00401786" w:rsidRDefault="00C64FB3" w:rsidP="0009639E">
      <w:pPr>
        <w:spacing w:line="300" w:lineRule="exact"/>
        <w:ind w:left="851" w:hanging="285"/>
        <w:rPr>
          <w:rFonts w:ascii="標楷體" w:eastAsia="標楷體" w:hAnsi="標楷體"/>
        </w:rPr>
      </w:pPr>
      <w:r>
        <w:rPr>
          <w:rFonts w:ascii="標楷體" w:eastAsia="標楷體" w:hAnsi="標楷體"/>
        </w:rPr>
        <w:t>1.慢性支氣管炎的急性惡化、社區性肺炎、複雜性腹腔內感染。</w:t>
      </w:r>
    </w:p>
    <w:p w14:paraId="096A4CA7" w14:textId="77777777" w:rsidR="00401786" w:rsidRDefault="00C64FB3" w:rsidP="0009639E">
      <w:pPr>
        <w:spacing w:line="300" w:lineRule="exact"/>
        <w:ind w:left="849" w:hanging="283"/>
        <w:rPr>
          <w:rFonts w:ascii="標楷體" w:eastAsia="標楷體" w:hAnsi="標楷體"/>
        </w:rPr>
      </w:pPr>
      <w:r>
        <w:rPr>
          <w:rFonts w:ascii="標楷體" w:eastAsia="標楷體" w:hAnsi="標楷體"/>
        </w:rPr>
        <w:t>2.急性鼻竇炎或複雜性皮膚和軟組織感染，因抗藥性細菌感染及病情需要，經感染科醫師會診確認需要使用者。</w:t>
      </w:r>
    </w:p>
    <w:p w14:paraId="4E0B588A"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10.8.2.2.Gemifloxacin (如</w:t>
      </w:r>
      <w:proofErr w:type="spellStart"/>
      <w:r>
        <w:rPr>
          <w:rFonts w:ascii="標楷體" w:eastAsia="標楷體" w:hAnsi="標楷體"/>
        </w:rPr>
        <w:t>Factive</w:t>
      </w:r>
      <w:proofErr w:type="spellEnd"/>
      <w:r>
        <w:rPr>
          <w:rFonts w:ascii="標楷體" w:eastAsia="標楷體" w:hAnsi="標楷體"/>
        </w:rPr>
        <w:t>)：(96/6/1、97/9/1)</w:t>
      </w:r>
    </w:p>
    <w:p w14:paraId="245096F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限用於成人(18歲以上)之慢性支氣管炎的急性惡化、社區性肺炎。</w:t>
      </w:r>
    </w:p>
    <w:p w14:paraId="42BCBD6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10.8.2.3.Levofloxacin（如</w:t>
      </w:r>
      <w:proofErr w:type="spellStart"/>
      <w:r>
        <w:rPr>
          <w:rFonts w:ascii="標楷體" w:eastAsia="標楷體" w:hAnsi="標楷體"/>
        </w:rPr>
        <w:t>Cravit</w:t>
      </w:r>
      <w:proofErr w:type="spellEnd"/>
      <w:r>
        <w:rPr>
          <w:rFonts w:ascii="標楷體" w:eastAsia="標楷體" w:hAnsi="標楷體"/>
        </w:rPr>
        <w:t>）（97/9/1）</w:t>
      </w:r>
    </w:p>
    <w:p w14:paraId="5DBBD8CF"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限用於成人(18歲以上)之慢性支氣管炎的急性惡化、社區性肺炎、複雜性泌尿道感染。</w:t>
      </w:r>
    </w:p>
    <w:p w14:paraId="0A7971B7" w14:textId="77777777" w:rsidR="00401786" w:rsidRDefault="00C64FB3" w:rsidP="0009639E">
      <w:pPr>
        <w:spacing w:line="300" w:lineRule="exact"/>
        <w:ind w:left="282" w:hanging="1"/>
        <w:rPr>
          <w:rFonts w:ascii="標楷體" w:eastAsia="標楷體" w:hAnsi="標楷體"/>
        </w:rPr>
      </w:pPr>
      <w:r>
        <w:rPr>
          <w:rFonts w:ascii="標楷體" w:eastAsia="標楷體" w:hAnsi="標楷體"/>
        </w:rPr>
        <w:t>10.8.2.4.Nemonoxacin膠囊劑及注射劑(如</w:t>
      </w:r>
      <w:proofErr w:type="spellStart"/>
      <w:r>
        <w:rPr>
          <w:rFonts w:ascii="標楷體" w:eastAsia="標楷體" w:hAnsi="標楷體"/>
        </w:rPr>
        <w:t>Taigexyn</w:t>
      </w:r>
      <w:proofErr w:type="spellEnd"/>
      <w:r>
        <w:rPr>
          <w:rFonts w:ascii="標楷體" w:eastAsia="標楷體" w:hAnsi="標楷體"/>
        </w:rPr>
        <w:t>)：(107/1/1、111/3/1)</w:t>
      </w:r>
    </w:p>
    <w:p w14:paraId="700C3E43"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1.</w:t>
      </w:r>
      <w:proofErr w:type="gramStart"/>
      <w:r>
        <w:rPr>
          <w:rFonts w:ascii="標楷體" w:eastAsia="標楷體" w:hAnsi="標楷體"/>
        </w:rPr>
        <w:t>膠囊劑限用於</w:t>
      </w:r>
      <w:proofErr w:type="gramEnd"/>
      <w:r>
        <w:rPr>
          <w:rFonts w:ascii="標楷體" w:eastAsia="標楷體" w:hAnsi="標楷體"/>
        </w:rPr>
        <w:t>18歲以上適合於門診治療之輕度社區性肺炎。</w:t>
      </w:r>
    </w:p>
    <w:p w14:paraId="20BD86CE"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2.</w:t>
      </w:r>
      <w:proofErr w:type="gramStart"/>
      <w:r>
        <w:rPr>
          <w:rFonts w:ascii="標楷體" w:eastAsia="標楷體" w:hAnsi="標楷體"/>
        </w:rPr>
        <w:t>注射劑限用</w:t>
      </w:r>
      <w:proofErr w:type="gramEnd"/>
      <w:r>
        <w:rPr>
          <w:rFonts w:ascii="標楷體" w:eastAsia="標楷體" w:hAnsi="標楷體"/>
        </w:rPr>
        <w:t>治療對</w:t>
      </w:r>
      <w:proofErr w:type="spellStart"/>
      <w:r>
        <w:rPr>
          <w:rFonts w:ascii="標楷體" w:eastAsia="標楷體" w:hAnsi="標楷體"/>
        </w:rPr>
        <w:t>Nemonoxacin</w:t>
      </w:r>
      <w:proofErr w:type="spellEnd"/>
      <w:r>
        <w:rPr>
          <w:rFonts w:ascii="標楷體" w:eastAsia="標楷體" w:hAnsi="標楷體"/>
        </w:rPr>
        <w:t xml:space="preserve"> 有感受性的致病菌所引起之18歲以上社區型肺炎。(111/3/1)</w:t>
      </w:r>
    </w:p>
    <w:p w14:paraId="21E9470F"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10.8.3.Linezolid（如</w:t>
      </w:r>
      <w:proofErr w:type="spellStart"/>
      <w:r>
        <w:rPr>
          <w:rFonts w:ascii="標楷體" w:eastAsia="標楷體" w:hAnsi="標楷體"/>
        </w:rPr>
        <w:t>Zyvox</w:t>
      </w:r>
      <w:proofErr w:type="spellEnd"/>
      <w:r>
        <w:rPr>
          <w:rFonts w:ascii="標楷體" w:eastAsia="標楷體" w:hAnsi="標楷體"/>
        </w:rPr>
        <w:t xml:space="preserve"> Injection及Tablets）：（91/4/1、100/7/1、105/2/1、108/4/1）</w:t>
      </w:r>
    </w:p>
    <w:p w14:paraId="0D57C31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1.限下列條件之</w:t>
      </w:r>
      <w:proofErr w:type="gramStart"/>
      <w:r>
        <w:rPr>
          <w:rFonts w:ascii="標楷體" w:eastAsia="標楷體" w:hAnsi="標楷體"/>
        </w:rPr>
        <w:t>一</w:t>
      </w:r>
      <w:proofErr w:type="gramEnd"/>
      <w:r>
        <w:rPr>
          <w:rFonts w:ascii="標楷體" w:eastAsia="標楷體" w:hAnsi="標楷體"/>
        </w:rPr>
        <w:t>使用：</w:t>
      </w:r>
    </w:p>
    <w:p w14:paraId="7AE455D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(1)確定或高度懷疑為MRSA肺炎（痰液培養出MRSA，伴隨全身發炎反應，且CXR出現新的浸潤或痰液性狀改變或氧氣需求增加），並符合下列危險因子之</w:t>
      </w:r>
      <w:proofErr w:type="gramStart"/>
      <w:r>
        <w:rPr>
          <w:rFonts w:ascii="標楷體" w:eastAsia="標楷體" w:hAnsi="標楷體"/>
        </w:rPr>
        <w:t>一</w:t>
      </w:r>
      <w:proofErr w:type="gramEnd"/>
      <w:r>
        <w:rPr>
          <w:rFonts w:ascii="標楷體" w:eastAsia="標楷體" w:hAnsi="標楷體"/>
        </w:rPr>
        <w:t>：（105/2/1、108/4/1）</w:t>
      </w:r>
    </w:p>
    <w:p w14:paraId="24BE2F6A"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Ⅰ.65歲以上。</w:t>
      </w:r>
    </w:p>
    <w:p w14:paraId="2F2DB75F"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Ⅱ.BMI</w:t>
      </w:r>
      <w:proofErr w:type="gramStart"/>
      <w:r>
        <w:rPr>
          <w:rFonts w:ascii="標楷體" w:eastAsia="標楷體" w:hAnsi="標楷體"/>
        </w:rPr>
        <w:t>≧</w:t>
      </w:r>
      <w:proofErr w:type="gramEnd"/>
      <w:r>
        <w:rPr>
          <w:rFonts w:ascii="標楷體" w:eastAsia="標楷體" w:hAnsi="標楷體"/>
        </w:rPr>
        <w:t>30。</w:t>
      </w:r>
    </w:p>
    <w:p w14:paraId="07E08464"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Ⅲ.急性腎衰竭、腎功能不穩定時。</w:t>
      </w:r>
    </w:p>
    <w:p w14:paraId="4B43B1BD"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Ⅳ.過去90天內曾使用glycopeptides者。（108/4/1）</w:t>
      </w:r>
    </w:p>
    <w:p w14:paraId="7F068F7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(2)因嚴重肺炎致呼吸衰竭或合併嚴重敗血症之患者，同時有其他部位懷疑或證實為MRSA感染，得以經驗性使用；</w:t>
      </w:r>
      <w:proofErr w:type="gramStart"/>
      <w:r>
        <w:rPr>
          <w:rFonts w:ascii="標楷體" w:eastAsia="標楷體" w:hAnsi="標楷體"/>
        </w:rPr>
        <w:t>惟</w:t>
      </w:r>
      <w:proofErr w:type="gramEnd"/>
      <w:r>
        <w:rPr>
          <w:rFonts w:ascii="標楷體" w:eastAsia="標楷體" w:hAnsi="標楷體"/>
        </w:rPr>
        <w:t>後續呼吸道微生物學檢查結果無MRSA呼吸道感染證據時，應停止使用。（108/4/1）</w:t>
      </w:r>
    </w:p>
    <w:p w14:paraId="39BA2F4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(3)證實為MRSA複雜性皮膚和皮膚構造感染，並符合下列條件之</w:t>
      </w:r>
      <w:proofErr w:type="gramStart"/>
      <w:r>
        <w:rPr>
          <w:rFonts w:ascii="標楷體" w:eastAsia="標楷體" w:hAnsi="標楷體"/>
        </w:rPr>
        <w:t>一</w:t>
      </w:r>
      <w:proofErr w:type="gramEnd"/>
      <w:r>
        <w:rPr>
          <w:rFonts w:ascii="標楷體" w:eastAsia="標楷體" w:hAnsi="標楷體"/>
        </w:rPr>
        <w:t>：（108/4/1）</w:t>
      </w:r>
    </w:p>
    <w:p w14:paraId="36B4A46A"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Ⅰ.有全身性感染徵兆且白血球數異常（&gt;12,000或&lt;4,000 cells/</w:t>
      </w:r>
      <w:proofErr w:type="spellStart"/>
      <w:r>
        <w:rPr>
          <w:rFonts w:ascii="標楷體" w:eastAsia="標楷體" w:hAnsi="標楷體"/>
        </w:rPr>
        <w:t>mcL</w:t>
      </w:r>
      <w:proofErr w:type="spellEnd"/>
      <w:r>
        <w:rPr>
          <w:rFonts w:ascii="標楷體" w:eastAsia="標楷體" w:hAnsi="標楷體"/>
        </w:rPr>
        <w:t>）。</w:t>
      </w:r>
    </w:p>
    <w:p w14:paraId="4B144662"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Ⅱ.免疫功能不全。</w:t>
      </w:r>
    </w:p>
    <w:p w14:paraId="63DCE934"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(4)證實為VRE</w:t>
      </w:r>
      <w:proofErr w:type="gramStart"/>
      <w:r>
        <w:rPr>
          <w:rFonts w:ascii="標楷體" w:eastAsia="標楷體" w:hAnsi="標楷體"/>
        </w:rPr>
        <w:t>（</w:t>
      </w:r>
      <w:proofErr w:type="gramEnd"/>
      <w:r>
        <w:rPr>
          <w:rFonts w:ascii="標楷體" w:eastAsia="標楷體" w:hAnsi="標楷體"/>
        </w:rPr>
        <w:t>vancomycin-resistant enterococci)感染，且其VRE菌株對ampicillin為抗藥者。（108/4/1）</w:t>
      </w:r>
    </w:p>
    <w:p w14:paraId="2CEB544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(5)其他抗藥性革蘭氏陽性球菌感染，因病情需要，經感染症專科醫師會診確認需要使用者。</w:t>
      </w:r>
    </w:p>
    <w:p w14:paraId="5B0DAA5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2.心內膜炎（endocarditis）病患不建議使用。（108/4/1）</w:t>
      </w:r>
    </w:p>
    <w:p w14:paraId="364DD24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3.申報費用時需檢附會診紀錄或相關之病歷資料。</w:t>
      </w:r>
    </w:p>
    <w:p w14:paraId="6288F0D7" w14:textId="77777777" w:rsidR="00401786" w:rsidRDefault="00C64FB3" w:rsidP="0009639E">
      <w:pPr>
        <w:spacing w:line="300" w:lineRule="exact"/>
        <w:ind w:left="672" w:hanging="386"/>
      </w:pPr>
      <w:r>
        <w:rPr>
          <w:rFonts w:ascii="標楷體" w:eastAsia="標楷體" w:hAnsi="標楷體"/>
        </w:rPr>
        <w:lastRenderedPageBreak/>
        <w:t>10.8.4.</w:t>
      </w:r>
      <w:r>
        <w:t xml:space="preserve"> </w:t>
      </w:r>
      <w:r>
        <w:rPr>
          <w:rFonts w:ascii="標楷體" w:eastAsia="標楷體" w:hAnsi="標楷體"/>
        </w:rPr>
        <w:t>(本項刪除)。</w:t>
      </w:r>
    </w:p>
    <w:p w14:paraId="3A8C5C65"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10.8.5.Tigecycline（如</w:t>
      </w:r>
      <w:proofErr w:type="spellStart"/>
      <w:r>
        <w:rPr>
          <w:rFonts w:ascii="標楷體" w:eastAsia="標楷體" w:hAnsi="標楷體"/>
        </w:rPr>
        <w:t>Tygacil</w:t>
      </w:r>
      <w:proofErr w:type="spellEnd"/>
      <w:r>
        <w:rPr>
          <w:rFonts w:ascii="標楷體" w:eastAsia="標楷體" w:hAnsi="標楷體"/>
        </w:rPr>
        <w:t xml:space="preserve">）：(95/12/1、100/7/1) </w:t>
      </w:r>
    </w:p>
    <w:p w14:paraId="35C164E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1.限下列條件之</w:t>
      </w:r>
      <w:proofErr w:type="gramStart"/>
      <w:r>
        <w:rPr>
          <w:rFonts w:ascii="標楷體" w:eastAsia="標楷體" w:hAnsi="標楷體"/>
        </w:rPr>
        <w:t>一</w:t>
      </w:r>
      <w:proofErr w:type="gramEnd"/>
      <w:r>
        <w:rPr>
          <w:rFonts w:ascii="標楷體" w:eastAsia="標楷體" w:hAnsi="標楷體"/>
        </w:rPr>
        <w:t>使用：</w:t>
      </w:r>
    </w:p>
    <w:p w14:paraId="574A014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(1)經細菌培養證實有意義之致病菌且對其他抗微生物製</w:t>
      </w:r>
      <w:proofErr w:type="gramStart"/>
      <w:r>
        <w:rPr>
          <w:rFonts w:ascii="標楷體" w:eastAsia="標楷體" w:hAnsi="標楷體"/>
        </w:rPr>
        <w:t>劑均具抗藥性</w:t>
      </w:r>
      <w:proofErr w:type="gramEnd"/>
      <w:r>
        <w:rPr>
          <w:rFonts w:ascii="標楷體" w:eastAsia="標楷體" w:hAnsi="標楷體"/>
        </w:rPr>
        <w:t>或對其他具有感受性抗微生物製劑過敏，而對tigecycline具有感受性(sensitivity)之複雜性皮膚及皮膚結構感染或複雜性腹腔內感染症使用。</w:t>
      </w:r>
    </w:p>
    <w:p w14:paraId="4D202CE7"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(2)其他經感染症專科醫師會診，認定需使用之下列感染症：複雜性皮膚及皮膚結構感染、複雜性腹腔內感染、社區感染性肺炎。(100/7/1)</w:t>
      </w:r>
    </w:p>
    <w:p w14:paraId="66677C8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2.申報費用時需檢附會診紀錄或相關之病歷資料。</w:t>
      </w:r>
    </w:p>
    <w:p w14:paraId="2B20FC05"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10.8.6.Colistin可用於靜脈注射劑(97/9/1、98/9/1、99/2/1)</w:t>
      </w:r>
    </w:p>
    <w:p w14:paraId="2B710F67" w14:textId="77777777" w:rsidR="00401786" w:rsidRDefault="00C64FB3" w:rsidP="0009639E">
      <w:pPr>
        <w:spacing w:line="300" w:lineRule="exact"/>
        <w:ind w:left="798" w:hanging="1"/>
        <w:rPr>
          <w:rFonts w:ascii="標楷體" w:eastAsia="標楷體" w:hAnsi="標楷體"/>
        </w:rPr>
      </w:pPr>
      <w:proofErr w:type="gramStart"/>
      <w:r>
        <w:rPr>
          <w:rFonts w:ascii="標楷體" w:eastAsia="標楷體" w:hAnsi="標楷體"/>
        </w:rPr>
        <w:t>限經感染</w:t>
      </w:r>
      <w:proofErr w:type="gramEnd"/>
      <w:r>
        <w:rPr>
          <w:rFonts w:ascii="標楷體" w:eastAsia="標楷體" w:hAnsi="標楷體"/>
        </w:rPr>
        <w:t>症專科醫師會診，確定使用於一般抗生素無效，且具多重抗藥性</w:t>
      </w:r>
      <w:proofErr w:type="gramStart"/>
      <w:r>
        <w:rPr>
          <w:rFonts w:ascii="標楷體" w:eastAsia="標楷體" w:hAnsi="標楷體"/>
        </w:rPr>
        <w:t>之革蘭氏陰性菌之</w:t>
      </w:r>
      <w:proofErr w:type="gramEnd"/>
      <w:r>
        <w:rPr>
          <w:rFonts w:ascii="標楷體" w:eastAsia="標楷體" w:hAnsi="標楷體"/>
        </w:rPr>
        <w:t>嚴重感染。</w:t>
      </w:r>
    </w:p>
    <w:p w14:paraId="2B68B61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10.8.7.Daptomycin注射劑：(98/1/1)</w:t>
      </w:r>
    </w:p>
    <w:p w14:paraId="6B1F4C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1.證實為MRSA (methicillin-resistant staphylococcus aureus)複雜皮膚和皮膚組織感染，且證明為vancomycin抗</w:t>
      </w:r>
      <w:proofErr w:type="gramStart"/>
      <w:r>
        <w:rPr>
          <w:rFonts w:ascii="標楷體" w:eastAsia="標楷體" w:hAnsi="標楷體"/>
        </w:rPr>
        <w:t>藥菌株或</w:t>
      </w:r>
      <w:proofErr w:type="gramEnd"/>
      <w:r>
        <w:rPr>
          <w:rFonts w:ascii="標楷體" w:eastAsia="標楷體" w:hAnsi="標楷體"/>
        </w:rPr>
        <w:t>使用vancomycin、teicoplanin治療失敗者或對vancomycin、teicoplanin治療無法耐受者。</w:t>
      </w:r>
    </w:p>
    <w:p w14:paraId="2ABD2BA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2.其他抗藥性革蘭氏陽性</w:t>
      </w:r>
      <w:proofErr w:type="gramStart"/>
      <w:r>
        <w:rPr>
          <w:rFonts w:ascii="標楷體" w:eastAsia="標楷體" w:hAnsi="標楷體"/>
        </w:rPr>
        <w:t>菌</w:t>
      </w:r>
      <w:proofErr w:type="gramEnd"/>
      <w:r>
        <w:rPr>
          <w:rFonts w:ascii="標楷體" w:eastAsia="標楷體" w:hAnsi="標楷體"/>
        </w:rPr>
        <w:t>引起的複雜皮膚和皮膚組織感染或MRSA菌血症(含右側感染性心內膜炎)，因病情需要經感染症專科醫師會診確認需要使用者(申報費用時需檢附會診及相關之病歷資料)。</w:t>
      </w:r>
    </w:p>
    <w:p w14:paraId="3640C857" w14:textId="77777777" w:rsidR="00401786" w:rsidRDefault="00C64FB3" w:rsidP="0009639E">
      <w:pPr>
        <w:spacing w:line="300" w:lineRule="exact"/>
        <w:ind w:left="283"/>
        <w:rPr>
          <w:rFonts w:ascii="標楷體" w:eastAsia="標楷體" w:hAnsi="標楷體"/>
        </w:rPr>
      </w:pPr>
      <w:r>
        <w:rPr>
          <w:rFonts w:ascii="標楷體" w:eastAsia="標楷體" w:hAnsi="標楷體"/>
        </w:rPr>
        <w:t>10.8.8.Fidaxomicin(如</w:t>
      </w:r>
      <w:proofErr w:type="spellStart"/>
      <w:r>
        <w:rPr>
          <w:rFonts w:ascii="標楷體" w:eastAsia="標楷體" w:hAnsi="標楷體"/>
        </w:rPr>
        <w:t>Dificid</w:t>
      </w:r>
      <w:proofErr w:type="spellEnd"/>
      <w:r>
        <w:rPr>
          <w:rFonts w:ascii="標楷體" w:eastAsia="標楷體" w:hAnsi="標楷體"/>
        </w:rPr>
        <w:t>)：(103/9/1)</w:t>
      </w:r>
    </w:p>
    <w:p w14:paraId="6E52723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1.限用於經第一線藥物metronidazole及vancomycin治療無效或復發，且細菌培養或毒素分析(toxin assay)報告證實為</w:t>
      </w:r>
      <w:proofErr w:type="gramStart"/>
      <w:r>
        <w:rPr>
          <w:rFonts w:ascii="標楷體" w:eastAsia="標楷體" w:hAnsi="標楷體"/>
        </w:rPr>
        <w:t>困難梭狀</w:t>
      </w:r>
      <w:proofErr w:type="gramEnd"/>
      <w:r>
        <w:rPr>
          <w:rFonts w:ascii="標楷體" w:eastAsia="標楷體" w:hAnsi="標楷體"/>
        </w:rPr>
        <w:t xml:space="preserve">桿菌相關腹瀉(C. difficile-associated </w:t>
      </w:r>
      <w:proofErr w:type="spellStart"/>
      <w:r>
        <w:rPr>
          <w:rFonts w:ascii="標楷體" w:eastAsia="標楷體" w:hAnsi="標楷體"/>
        </w:rPr>
        <w:t>diarrhoea</w:t>
      </w:r>
      <w:proofErr w:type="spellEnd"/>
      <w:r>
        <w:rPr>
          <w:rFonts w:ascii="標楷體" w:eastAsia="標楷體" w:hAnsi="標楷體"/>
        </w:rPr>
        <w:t>, CDAD)，並經感染症專科醫師會診，確認有</w:t>
      </w:r>
      <w:proofErr w:type="gramStart"/>
      <w:r>
        <w:rPr>
          <w:rFonts w:ascii="標楷體" w:eastAsia="標楷體" w:hAnsi="標楷體"/>
        </w:rPr>
        <w:t>感染症需使用者</w:t>
      </w:r>
      <w:proofErr w:type="gramEnd"/>
      <w:r>
        <w:rPr>
          <w:rFonts w:ascii="標楷體" w:eastAsia="標楷體" w:hAnsi="標楷體"/>
        </w:rPr>
        <w:t>。</w:t>
      </w:r>
    </w:p>
    <w:p w14:paraId="6BF3B1AB" w14:textId="77777777" w:rsidR="00401786" w:rsidRDefault="00C64FB3" w:rsidP="0009639E">
      <w:pPr>
        <w:spacing w:line="300" w:lineRule="exact"/>
        <w:ind w:left="814" w:hanging="245"/>
        <w:rPr>
          <w:rFonts w:ascii="標楷體" w:eastAsia="標楷體" w:hAnsi="標楷體"/>
        </w:rPr>
      </w:pPr>
      <w:r>
        <w:rPr>
          <w:rFonts w:ascii="標楷體" w:eastAsia="標楷體" w:hAnsi="標楷體"/>
        </w:rPr>
        <w:t>2.申報費用時需檢附會診紀錄及相關之病歷資料。</w:t>
      </w:r>
    </w:p>
    <w:p w14:paraId="7EF3CE4D" w14:textId="77777777" w:rsidR="00401786" w:rsidRDefault="00C64FB3" w:rsidP="0009639E">
      <w:pPr>
        <w:spacing w:line="300" w:lineRule="exact"/>
        <w:ind w:left="283"/>
        <w:rPr>
          <w:rFonts w:ascii="標楷體" w:eastAsia="標楷體" w:hAnsi="標楷體"/>
        </w:rPr>
      </w:pPr>
      <w:bookmarkStart w:id="84" w:name="_Hlk185945241"/>
      <w:r>
        <w:rPr>
          <w:rFonts w:ascii="標楷體" w:eastAsia="標楷體" w:hAnsi="標楷體"/>
        </w:rPr>
        <w:t>10.8.9.Minocycline注射劑：(112/4/1、114/1/1)</w:t>
      </w:r>
    </w:p>
    <w:p w14:paraId="6A3E5070" w14:textId="77777777" w:rsidR="00401786" w:rsidRDefault="00C64FB3" w:rsidP="0009639E">
      <w:pPr>
        <w:suppressAutoHyphens w:val="0"/>
        <w:spacing w:line="300" w:lineRule="exact"/>
        <w:ind w:left="814" w:hanging="245"/>
        <w:textAlignment w:val="auto"/>
        <w:rPr>
          <w:rFonts w:ascii="標楷體" w:eastAsia="標楷體" w:hAnsi="標楷體"/>
        </w:rPr>
      </w:pPr>
      <w:proofErr w:type="gramStart"/>
      <w:r>
        <w:rPr>
          <w:rFonts w:ascii="標楷體" w:eastAsia="標楷體" w:hAnsi="標楷體"/>
        </w:rPr>
        <w:t>限經感染</w:t>
      </w:r>
      <w:proofErr w:type="gramEnd"/>
      <w:r>
        <w:rPr>
          <w:rFonts w:ascii="標楷體" w:eastAsia="標楷體" w:hAnsi="標楷體"/>
        </w:rPr>
        <w:t>症專科醫師會診，且符合下列條件之</w:t>
      </w:r>
      <w:proofErr w:type="gramStart"/>
      <w:r>
        <w:rPr>
          <w:rFonts w:ascii="標楷體" w:eastAsia="標楷體" w:hAnsi="標楷體"/>
        </w:rPr>
        <w:t>一</w:t>
      </w:r>
      <w:proofErr w:type="gramEnd"/>
      <w:r>
        <w:rPr>
          <w:rFonts w:ascii="標楷體" w:eastAsia="標楷體" w:hAnsi="標楷體"/>
        </w:rPr>
        <w:t>使用:</w:t>
      </w:r>
    </w:p>
    <w:p w14:paraId="73A0CB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對Carbapenem具抗藥性之Acinetobacter baumannii感染(CRAB)。</w:t>
      </w:r>
    </w:p>
    <w:p w14:paraId="7AA24C0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CRAB以外具敏感性之抗藥性菌株。(114/1/1)</w:t>
      </w:r>
    </w:p>
    <w:p w14:paraId="3F4BE3C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3.其他臨床上懷疑或確定由立</w:t>
      </w:r>
      <w:proofErr w:type="gramStart"/>
      <w:r>
        <w:rPr>
          <w:rFonts w:ascii="標楷體" w:eastAsia="標楷體" w:hAnsi="標楷體"/>
        </w:rPr>
        <w:t>克次氏體</w:t>
      </w:r>
      <w:proofErr w:type="gramEnd"/>
      <w:r>
        <w:rPr>
          <w:rFonts w:ascii="標楷體" w:eastAsia="標楷體" w:hAnsi="標楷體"/>
        </w:rPr>
        <w:t>、披衣菌等引起之感染。(114/1/1)</w:t>
      </w:r>
    </w:p>
    <w:bookmarkEnd w:id="84"/>
    <w:p w14:paraId="5D6E9339" w14:textId="77777777" w:rsidR="00401786" w:rsidRDefault="00C64FB3" w:rsidP="0009639E">
      <w:pPr>
        <w:spacing w:line="300" w:lineRule="exact"/>
        <w:ind w:left="283"/>
        <w:rPr>
          <w:rFonts w:ascii="標楷體" w:eastAsia="標楷體" w:hAnsi="標楷體"/>
        </w:rPr>
      </w:pPr>
      <w:r>
        <w:rPr>
          <w:rFonts w:ascii="標楷體" w:eastAsia="標楷體" w:hAnsi="標楷體"/>
        </w:rPr>
        <w:t>10.8.10.Polymyxin B sulfate靜脈注射劑：(113/12/1)</w:t>
      </w:r>
    </w:p>
    <w:p w14:paraId="7612DF8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確定使用於一般抗生素無效，用於患有對Polymyxin B 具感受性且具多重</w:t>
      </w:r>
      <w:proofErr w:type="gramStart"/>
      <w:r>
        <w:rPr>
          <w:rFonts w:ascii="標楷體" w:eastAsia="標楷體" w:hAnsi="標楷體"/>
        </w:rPr>
        <w:t>抗藥性之革蘭氏</w:t>
      </w:r>
      <w:proofErr w:type="gramEnd"/>
      <w:r>
        <w:rPr>
          <w:rFonts w:ascii="標楷體" w:eastAsia="標楷體" w:hAnsi="標楷體"/>
        </w:rPr>
        <w:t>陰性</w:t>
      </w:r>
      <w:proofErr w:type="gramStart"/>
      <w:r>
        <w:rPr>
          <w:rFonts w:ascii="標楷體" w:eastAsia="標楷體" w:hAnsi="標楷體"/>
        </w:rPr>
        <w:t>菌</w:t>
      </w:r>
      <w:proofErr w:type="gramEnd"/>
      <w:r>
        <w:rPr>
          <w:rFonts w:ascii="標楷體" w:eastAsia="標楷體" w:hAnsi="標楷體"/>
        </w:rPr>
        <w:t>引起之嚴重感染成人病人，不適合用於治療泌尿道感染。</w:t>
      </w:r>
    </w:p>
    <w:p w14:paraId="4D17090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需經會診感染科醫師同意後使用，申報費用時需檢附會診紀錄及相關之病歷資料。</w:t>
      </w:r>
    </w:p>
    <w:p w14:paraId="07C12AAE" w14:textId="77777777" w:rsidR="00401786" w:rsidRDefault="00C64FB3" w:rsidP="0009639E">
      <w:pPr>
        <w:spacing w:line="300" w:lineRule="exact"/>
        <w:ind w:left="283"/>
        <w:rPr>
          <w:rFonts w:ascii="標楷體" w:eastAsia="標楷體" w:hAnsi="標楷體"/>
        </w:rPr>
      </w:pPr>
      <w:r>
        <w:rPr>
          <w:rFonts w:ascii="標楷體" w:eastAsia="標楷體" w:hAnsi="標楷體"/>
        </w:rPr>
        <w:t>10.9.抗人類免疫缺乏病毒藥品使用規定(106/2/4)</w:t>
      </w:r>
    </w:p>
    <w:p w14:paraId="188F1B5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1.限在台灣地區</w:t>
      </w:r>
      <w:proofErr w:type="gramStart"/>
      <w:r>
        <w:rPr>
          <w:rFonts w:ascii="標楷體" w:eastAsia="標楷體" w:hAnsi="標楷體"/>
        </w:rPr>
        <w:t>確診且服藥</w:t>
      </w:r>
      <w:proofErr w:type="gramEnd"/>
      <w:r>
        <w:rPr>
          <w:rFonts w:ascii="標楷體" w:eastAsia="標楷體" w:hAnsi="標楷體"/>
        </w:rPr>
        <w:t>兩年以上之病患使用。</w:t>
      </w:r>
    </w:p>
    <w:p w14:paraId="4518D96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2.依衛生福利部疾病管制署</w:t>
      </w:r>
      <w:proofErr w:type="gramStart"/>
      <w:r>
        <w:rPr>
          <w:rFonts w:ascii="標楷體" w:eastAsia="標楷體" w:hAnsi="標楷體"/>
        </w:rPr>
        <w:t>最</w:t>
      </w:r>
      <w:proofErr w:type="gramEnd"/>
      <w:r>
        <w:rPr>
          <w:rFonts w:ascii="標楷體" w:eastAsia="標楷體" w:hAnsi="標楷體"/>
        </w:rPr>
        <w:t>新版「抗人類免疫缺乏病毒藥品處方使用規範」之建議辦理。</w:t>
      </w:r>
    </w:p>
    <w:p w14:paraId="65594DD6" w14:textId="77777777" w:rsidR="00CC252C" w:rsidRDefault="00CC252C" w:rsidP="0009639E">
      <w:pPr>
        <w:spacing w:line="300" w:lineRule="exact"/>
        <w:ind w:left="811" w:hanging="245"/>
        <w:rPr>
          <w:rFonts w:ascii="標楷體" w:eastAsia="標楷體" w:hAnsi="標楷體"/>
        </w:rPr>
      </w:pPr>
    </w:p>
    <w:p w14:paraId="2E0BE987" w14:textId="77777777" w:rsidR="00CC252C" w:rsidRDefault="00CC252C">
      <w:pPr>
        <w:widowControl/>
        <w:suppressAutoHyphens w:val="0"/>
        <w:rPr>
          <w:rFonts w:ascii="標楷體" w:eastAsia="標楷體" w:hAnsi="標楷體"/>
          <w:b/>
          <w:sz w:val="32"/>
          <w:szCs w:val="32"/>
        </w:rPr>
      </w:pPr>
      <w:r>
        <w:br w:type="page"/>
      </w:r>
    </w:p>
    <w:p w14:paraId="1A0AB145" w14:textId="77777777" w:rsidR="00401786" w:rsidRDefault="00C64FB3" w:rsidP="0009639E">
      <w:pPr>
        <w:pStyle w:val="2"/>
        <w:spacing w:line="300" w:lineRule="exact"/>
      </w:pPr>
      <w:r>
        <w:lastRenderedPageBreak/>
        <w:t>第11節 解毒劑 Antidotes in poisoning</w:t>
      </w:r>
    </w:p>
    <w:p w14:paraId="273F53A6"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4378C7E5"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 xml:space="preserve">11.1.一般解毒劑  General antidotes </w:t>
      </w:r>
    </w:p>
    <w:p w14:paraId="0B9965B3"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11.1.1.Carbomix限藥物中毒急救使用。</w:t>
      </w:r>
    </w:p>
    <w:p w14:paraId="16DF3EC6"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11.2.特定解毒劑  Specific antidotes</w:t>
      </w:r>
    </w:p>
    <w:p w14:paraId="0D77F4FE"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11.2.1.Flumazenil (如</w:t>
      </w:r>
      <w:proofErr w:type="spellStart"/>
      <w:r>
        <w:rPr>
          <w:rFonts w:ascii="標楷體" w:eastAsia="標楷體" w:hAnsi="標楷體"/>
          <w:color w:val="000000"/>
        </w:rPr>
        <w:t>Anexate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xml:space="preserve"> )限使用於：</w:t>
      </w:r>
    </w:p>
    <w:p w14:paraId="4DFE7D8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1.全身麻醉病例</w:t>
      </w:r>
    </w:p>
    <w:p w14:paraId="37237CCA"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2.Benzodiazepine類藥物中毒之鑑別診斷與治療病例。</w:t>
      </w:r>
    </w:p>
    <w:p w14:paraId="677720CE"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11.2.2.Edrophonium chloride（如</w:t>
      </w:r>
      <w:proofErr w:type="spellStart"/>
      <w:r>
        <w:rPr>
          <w:rFonts w:ascii="標楷體" w:eastAsia="標楷體" w:hAnsi="標楷體"/>
          <w:color w:val="000000"/>
        </w:rPr>
        <w:t>Enlon</w:t>
      </w:r>
      <w:proofErr w:type="spellEnd"/>
      <w:r>
        <w:rPr>
          <w:rFonts w:ascii="標楷體" w:eastAsia="標楷體" w:hAnsi="標楷體"/>
          <w:color w:val="000000"/>
        </w:rPr>
        <w:t>）：</w:t>
      </w:r>
    </w:p>
    <w:p w14:paraId="60326D5B"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限使用於手術麻醉病例，作為神經肌肉阻斷劑之</w:t>
      </w:r>
      <w:proofErr w:type="gramStart"/>
      <w:r>
        <w:rPr>
          <w:rFonts w:ascii="標楷體" w:eastAsia="標楷體" w:hAnsi="標楷體"/>
          <w:color w:val="000000"/>
        </w:rPr>
        <w:t>拮抗劑</w:t>
      </w:r>
      <w:proofErr w:type="gramEnd"/>
      <w:r>
        <w:rPr>
          <w:rFonts w:ascii="標楷體" w:eastAsia="標楷體" w:hAnsi="標楷體"/>
          <w:color w:val="000000"/>
        </w:rPr>
        <w:t>。</w:t>
      </w:r>
    </w:p>
    <w:p w14:paraId="099A12D4"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11.2.3.Mesna（如</w:t>
      </w:r>
      <w:proofErr w:type="spellStart"/>
      <w:r>
        <w:rPr>
          <w:rFonts w:ascii="標楷體" w:eastAsia="標楷體" w:hAnsi="標楷體"/>
          <w:color w:val="000000"/>
        </w:rPr>
        <w:t>Uromitexan</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w:t>
      </w:r>
    </w:p>
    <w:p w14:paraId="76D10F87"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限癌症或骨髓移植病例使用大量</w:t>
      </w:r>
      <w:proofErr w:type="spellStart"/>
      <w:r>
        <w:rPr>
          <w:rFonts w:ascii="標楷體" w:eastAsia="標楷體" w:hAnsi="標楷體"/>
          <w:color w:val="000000"/>
        </w:rPr>
        <w:t>Endoxan</w:t>
      </w:r>
      <w:proofErr w:type="spellEnd"/>
      <w:r>
        <w:rPr>
          <w:rFonts w:ascii="標楷體" w:eastAsia="標楷體" w:hAnsi="標楷體"/>
          <w:color w:val="000000"/>
        </w:rPr>
        <w:t>；</w:t>
      </w:r>
      <w:proofErr w:type="spellStart"/>
      <w:r>
        <w:rPr>
          <w:rFonts w:ascii="標楷體" w:eastAsia="標楷體" w:hAnsi="標楷體"/>
          <w:color w:val="000000"/>
        </w:rPr>
        <w:t>Ifosphamide</w:t>
      </w:r>
      <w:proofErr w:type="spellEnd"/>
      <w:r>
        <w:rPr>
          <w:rFonts w:ascii="標楷體" w:eastAsia="標楷體" w:hAnsi="標楷體"/>
          <w:color w:val="000000"/>
        </w:rPr>
        <w:t>類藥物時使用。</w:t>
      </w:r>
    </w:p>
    <w:p w14:paraId="4D4D96F1" w14:textId="77777777" w:rsidR="00401786" w:rsidRDefault="00C64FB3" w:rsidP="0009639E">
      <w:pPr>
        <w:snapToGrid w:val="0"/>
        <w:spacing w:line="300" w:lineRule="exact"/>
        <w:ind w:left="283"/>
        <w:rPr>
          <w:rFonts w:ascii="標楷體" w:eastAsia="標楷體" w:hAnsi="標楷體"/>
          <w:color w:val="000000"/>
        </w:rPr>
      </w:pPr>
      <w:r>
        <w:rPr>
          <w:rFonts w:ascii="標楷體" w:eastAsia="標楷體" w:hAnsi="標楷體"/>
          <w:color w:val="000000"/>
        </w:rPr>
        <w:t>11.2.4.Trientine dihydrochloride (104/1/1</w:t>
      </w:r>
      <w:proofErr w:type="gramStart"/>
      <w:r>
        <w:rPr>
          <w:rFonts w:ascii="標楷體" w:eastAsia="標楷體" w:hAnsi="標楷體"/>
          <w:color w:val="000000"/>
        </w:rPr>
        <w:t>）</w:t>
      </w:r>
      <w:proofErr w:type="gramEnd"/>
    </w:p>
    <w:p w14:paraId="34A480C8"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1.使用於經d-penicillamine治療耐受不佳之威爾森氏患者。</w:t>
      </w:r>
    </w:p>
    <w:p w14:paraId="25ED3B58"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2.需經事前審查核准後使用。</w:t>
      </w:r>
    </w:p>
    <w:p w14:paraId="190A6BC6" w14:textId="77777777" w:rsidR="00401786" w:rsidRDefault="00C64FB3" w:rsidP="0009639E">
      <w:pPr>
        <w:snapToGrid w:val="0"/>
        <w:spacing w:line="300" w:lineRule="exact"/>
        <w:ind w:left="283"/>
        <w:rPr>
          <w:rFonts w:ascii="標楷體" w:eastAsia="標楷體" w:hAnsi="標楷體"/>
          <w:color w:val="000000"/>
        </w:rPr>
      </w:pPr>
      <w:r>
        <w:rPr>
          <w:rFonts w:ascii="標楷體" w:eastAsia="標楷體" w:hAnsi="標楷體"/>
          <w:color w:val="000000"/>
        </w:rPr>
        <w:t>11.2.5.Fomepizole (如</w:t>
      </w:r>
      <w:proofErr w:type="spellStart"/>
      <w:r>
        <w:rPr>
          <w:rFonts w:ascii="標楷體" w:eastAsia="標楷體" w:hAnsi="標楷體"/>
          <w:color w:val="000000"/>
        </w:rPr>
        <w:t>Fomeject</w:t>
      </w:r>
      <w:proofErr w:type="spellEnd"/>
      <w:r>
        <w:rPr>
          <w:rFonts w:ascii="標楷體" w:eastAsia="標楷體" w:hAnsi="標楷體"/>
          <w:color w:val="000000"/>
        </w:rPr>
        <w:t>)：（107/11/1）</w:t>
      </w:r>
    </w:p>
    <w:p w14:paraId="3FD54560"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1.限下列病例使用：</w:t>
      </w:r>
    </w:p>
    <w:p w14:paraId="73D3416C"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(1)甲醇中毒：</w:t>
      </w:r>
    </w:p>
    <w:p w14:paraId="0A81CC5E"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確認甲醇服用病史。</w:t>
      </w:r>
    </w:p>
    <w:p w14:paraId="3089D6A4"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血中甲醇濃度&gt;20mg/dL。</w:t>
      </w:r>
    </w:p>
    <w:p w14:paraId="32FC16AA"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食入已達中毒劑量的甲醇且</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0BFE3D5F"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Ⅳ.</w:t>
      </w:r>
      <w:r>
        <w:rPr>
          <w:rFonts w:ascii="標楷體" w:eastAsia="標楷體" w:hAnsi="標楷體"/>
          <w:color w:val="000000"/>
        </w:rPr>
        <w:tab/>
        <w:t>臨床高度懷疑為甲醇中毒且下面三項指標中至少符合兩項：</w:t>
      </w:r>
    </w:p>
    <w:p w14:paraId="33850F2C" w14:textId="77777777" w:rsidR="00401786" w:rsidRDefault="00C64FB3" w:rsidP="0009639E">
      <w:pPr>
        <w:snapToGrid w:val="0"/>
        <w:spacing w:line="300" w:lineRule="exact"/>
        <w:ind w:left="12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.血液pH &lt;7.3；</w:t>
      </w:r>
    </w:p>
    <w:p w14:paraId="12A3E487"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ii.血中bicarbonate &lt;20meq/L；</w:t>
      </w:r>
    </w:p>
    <w:p w14:paraId="3482C4D8"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 xml:space="preserve">iii. </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17C655FB"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(2)乙二醇中毒：</w:t>
      </w:r>
    </w:p>
    <w:p w14:paraId="2EDD4AE9"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確認乙二醇服用病史。</w:t>
      </w:r>
    </w:p>
    <w:p w14:paraId="7A8FA67B"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血中乙二醇濃度&gt;20mg/dL。</w:t>
      </w:r>
    </w:p>
    <w:p w14:paraId="73F2B4B7"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食入已達中毒劑量的乙二醇且</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410BD062"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Ⅳ.</w:t>
      </w:r>
      <w:r>
        <w:rPr>
          <w:rFonts w:ascii="標楷體" w:eastAsia="標楷體" w:hAnsi="標楷體"/>
          <w:color w:val="000000"/>
        </w:rPr>
        <w:tab/>
        <w:t>臨床高度懷疑食入乙二醇且造成下列四項表徵中之三項：</w:t>
      </w:r>
    </w:p>
    <w:p w14:paraId="7D461BD6" w14:textId="77777777" w:rsidR="00401786" w:rsidRDefault="00C64FB3" w:rsidP="0009639E">
      <w:pPr>
        <w:snapToGrid w:val="0"/>
        <w:spacing w:line="300" w:lineRule="exact"/>
        <w:ind w:left="12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.血液pH &lt;7.3；</w:t>
      </w:r>
    </w:p>
    <w:p w14:paraId="05A6D197"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ii.血中 bicarbonate &lt;20meq/L；</w:t>
      </w:r>
    </w:p>
    <w:p w14:paraId="6BC3303F"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 xml:space="preserve">iii. </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3A1EC90A"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iv.尿液檢查結果有草酸結晶。</w:t>
      </w:r>
    </w:p>
    <w:p w14:paraId="4A134AB1"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(3)上述檢驗資料應於病歷詳細記載。</w:t>
      </w:r>
    </w:p>
    <w:p w14:paraId="61253BC5"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2.需排除或停止使用之情形如下：</w:t>
      </w:r>
    </w:p>
    <w:p w14:paraId="6C72DBBE"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(1)血中甲醇或乙二醇</w:t>
      </w:r>
      <w:proofErr w:type="gramStart"/>
      <w:r>
        <w:rPr>
          <w:rFonts w:ascii="標楷體" w:eastAsia="標楷體" w:hAnsi="標楷體"/>
          <w:color w:val="000000"/>
        </w:rPr>
        <w:t>濃度濃度</w:t>
      </w:r>
      <w:proofErr w:type="gramEnd"/>
      <w:r>
        <w:rPr>
          <w:rFonts w:ascii="標楷體" w:eastAsia="標楷體" w:hAnsi="標楷體"/>
          <w:color w:val="000000"/>
        </w:rPr>
        <w:t>低於20mg/dL；</w:t>
      </w:r>
    </w:p>
    <w:p w14:paraId="0D64E670"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已知對</w:t>
      </w:r>
      <w:proofErr w:type="gramEnd"/>
      <w:r>
        <w:rPr>
          <w:rFonts w:ascii="標楷體" w:eastAsia="標楷體" w:hAnsi="標楷體"/>
          <w:color w:val="000000"/>
        </w:rPr>
        <w:t>fomepizole或其他pyrazoles過敏。</w:t>
      </w:r>
    </w:p>
    <w:p w14:paraId="72E90511" w14:textId="77777777" w:rsidR="00CC252C" w:rsidRDefault="00CC252C" w:rsidP="0009639E">
      <w:pPr>
        <w:snapToGrid w:val="0"/>
        <w:spacing w:line="300" w:lineRule="exact"/>
        <w:ind w:left="806"/>
        <w:rPr>
          <w:rFonts w:ascii="標楷體" w:eastAsia="標楷體" w:hAnsi="標楷體"/>
          <w:color w:val="000000"/>
        </w:rPr>
      </w:pPr>
    </w:p>
    <w:p w14:paraId="707447B9" w14:textId="77777777" w:rsidR="00CC252C" w:rsidRDefault="00CC252C" w:rsidP="0009639E">
      <w:pPr>
        <w:snapToGrid w:val="0"/>
        <w:spacing w:line="300" w:lineRule="exact"/>
        <w:ind w:left="806"/>
        <w:rPr>
          <w:rFonts w:ascii="標楷體" w:eastAsia="標楷體" w:hAnsi="標楷體"/>
          <w:color w:val="000000"/>
        </w:rPr>
      </w:pPr>
    </w:p>
    <w:p w14:paraId="37F06970" w14:textId="77777777" w:rsidR="00CC252C" w:rsidRDefault="00CC252C">
      <w:pPr>
        <w:widowControl/>
        <w:suppressAutoHyphens w:val="0"/>
        <w:rPr>
          <w:rFonts w:ascii="標楷體" w:eastAsia="標楷體" w:hAnsi="標楷體"/>
          <w:b/>
          <w:sz w:val="32"/>
          <w:szCs w:val="32"/>
        </w:rPr>
      </w:pPr>
      <w:r>
        <w:br w:type="page"/>
      </w:r>
    </w:p>
    <w:p w14:paraId="1D09B073" w14:textId="77777777" w:rsidR="00401786" w:rsidRDefault="00C64FB3" w:rsidP="0009639E">
      <w:pPr>
        <w:pStyle w:val="2"/>
        <w:spacing w:line="300" w:lineRule="exact"/>
      </w:pPr>
      <w:r>
        <w:lastRenderedPageBreak/>
        <w:t>第12節 耳鼻喉科製劑 ENT and dental preparations</w:t>
      </w:r>
    </w:p>
    <w:p w14:paraId="17C2FF8D" w14:textId="77777777" w:rsidR="00401786" w:rsidRDefault="00401786" w:rsidP="0009639E">
      <w:pPr>
        <w:snapToGrid w:val="0"/>
        <w:spacing w:line="300" w:lineRule="exact"/>
        <w:rPr>
          <w:rFonts w:ascii="標楷體" w:eastAsia="標楷體" w:hAnsi="標楷體"/>
          <w:b/>
          <w:bCs/>
          <w:color w:val="000000"/>
          <w:sz w:val="32"/>
          <w:szCs w:val="32"/>
        </w:rPr>
      </w:pPr>
    </w:p>
    <w:p w14:paraId="2ED27A8C"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w:t>
      </w:r>
      <w:proofErr w:type="gramStart"/>
      <w:r>
        <w:rPr>
          <w:rFonts w:ascii="標楷體" w:eastAsia="標楷體" w:hAnsi="標楷體"/>
          <w:color w:val="000000"/>
        </w:rPr>
        <w:t>1.Beclomethasone</w:t>
      </w:r>
      <w:proofErr w:type="gramEnd"/>
      <w:r>
        <w:rPr>
          <w:rFonts w:ascii="標楷體" w:eastAsia="標楷體" w:hAnsi="標楷體"/>
          <w:color w:val="000000"/>
        </w:rPr>
        <w:t xml:space="preserve"> cap. for spray (如</w:t>
      </w:r>
      <w:proofErr w:type="spellStart"/>
      <w:r>
        <w:rPr>
          <w:rFonts w:ascii="標楷體" w:eastAsia="標楷體" w:hAnsi="標楷體"/>
          <w:color w:val="000000"/>
        </w:rPr>
        <w:t>Salcoat</w:t>
      </w:r>
      <w:proofErr w:type="spellEnd"/>
      <w:r>
        <w:rPr>
          <w:rFonts w:ascii="標楷體" w:eastAsia="標楷體" w:hAnsi="標楷體"/>
          <w:color w:val="000000"/>
        </w:rPr>
        <w:t>)（87/10/1）：</w:t>
      </w:r>
    </w:p>
    <w:p w14:paraId="5BB41AC9" w14:textId="77777777" w:rsidR="00401786" w:rsidRDefault="00C64FB3" w:rsidP="0009639E">
      <w:pPr>
        <w:snapToGrid w:val="0"/>
        <w:spacing w:line="300" w:lineRule="exact"/>
        <w:ind w:left="798" w:hanging="1"/>
        <w:rPr>
          <w:rFonts w:ascii="標楷體" w:eastAsia="標楷體" w:hAnsi="標楷體"/>
          <w:color w:val="000000"/>
        </w:rPr>
      </w:pPr>
      <w:proofErr w:type="gramStart"/>
      <w:r>
        <w:rPr>
          <w:rFonts w:ascii="標楷體" w:eastAsia="標楷體" w:hAnsi="標楷體"/>
          <w:color w:val="000000"/>
        </w:rPr>
        <w:t>限因口腔</w:t>
      </w:r>
      <w:proofErr w:type="gramEnd"/>
      <w:r>
        <w:rPr>
          <w:rFonts w:ascii="標楷體" w:eastAsia="標楷體" w:hAnsi="標楷體"/>
          <w:color w:val="000000"/>
        </w:rPr>
        <w:t>放射線治療或化學治療產生大面積口腔潰爛之病人使用。</w:t>
      </w:r>
    </w:p>
    <w:p w14:paraId="27746744"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w:t>
      </w:r>
      <w:proofErr w:type="gramStart"/>
      <w:r>
        <w:rPr>
          <w:rFonts w:ascii="標楷體" w:eastAsia="標楷體" w:hAnsi="標楷體"/>
          <w:color w:val="000000"/>
        </w:rPr>
        <w:t>2.Sod</w:t>
      </w:r>
      <w:proofErr w:type="gramEnd"/>
      <w:r>
        <w:rPr>
          <w:rFonts w:ascii="標楷體" w:eastAsia="標楷體" w:hAnsi="標楷體"/>
          <w:color w:val="000000"/>
        </w:rPr>
        <w:t xml:space="preserve">. </w:t>
      </w:r>
      <w:proofErr w:type="spellStart"/>
      <w:r>
        <w:rPr>
          <w:rFonts w:ascii="標楷體" w:eastAsia="標楷體" w:hAnsi="標楷體"/>
          <w:color w:val="000000"/>
        </w:rPr>
        <w:t>monofluorophosphate</w:t>
      </w:r>
      <w:proofErr w:type="spellEnd"/>
      <w:r>
        <w:rPr>
          <w:rFonts w:ascii="標楷體" w:eastAsia="標楷體" w:hAnsi="標楷體"/>
          <w:color w:val="000000"/>
        </w:rPr>
        <w:t>, sod. fluoride gel (如</w:t>
      </w:r>
      <w:proofErr w:type="spellStart"/>
      <w:r>
        <w:rPr>
          <w:rFonts w:ascii="標楷體" w:eastAsia="標楷體" w:hAnsi="標楷體"/>
          <w:color w:val="000000"/>
        </w:rPr>
        <w:t>Fluocaril</w:t>
      </w:r>
      <w:proofErr w:type="spellEnd"/>
      <w:r>
        <w:rPr>
          <w:rFonts w:ascii="標楷體" w:eastAsia="標楷體" w:hAnsi="標楷體"/>
          <w:color w:val="000000"/>
        </w:rPr>
        <w:t xml:space="preserve"> gel)：</w:t>
      </w:r>
    </w:p>
    <w:p w14:paraId="37AA51CD"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限住院治療及門診追蹤複查之口腔癌病例，以及放射治療之鼻咽癌或骨髓移植病例使用。</w:t>
      </w:r>
    </w:p>
    <w:p w14:paraId="1C1104DC"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12.3.Ofloxacin (如</w:t>
      </w:r>
      <w:proofErr w:type="spellStart"/>
      <w:r>
        <w:rPr>
          <w:rFonts w:ascii="標楷體" w:eastAsia="標楷體" w:hAnsi="標楷體"/>
          <w:color w:val="000000"/>
        </w:rPr>
        <w:t>Tarivid</w:t>
      </w:r>
      <w:proofErr w:type="spellEnd"/>
      <w:r>
        <w:rPr>
          <w:rFonts w:ascii="標楷體" w:eastAsia="標楷體" w:hAnsi="標楷體"/>
          <w:color w:val="000000"/>
        </w:rPr>
        <w:t xml:space="preserve"> </w:t>
      </w:r>
      <w:proofErr w:type="spellStart"/>
      <w:r>
        <w:rPr>
          <w:rFonts w:ascii="標楷體" w:eastAsia="標楷體" w:hAnsi="標楷體"/>
          <w:color w:val="000000"/>
        </w:rPr>
        <w:t>Otic</w:t>
      </w:r>
      <w:proofErr w:type="spellEnd"/>
      <w:r>
        <w:rPr>
          <w:rFonts w:ascii="標楷體" w:eastAsia="標楷體" w:hAnsi="標楷體"/>
          <w:color w:val="000000"/>
        </w:rPr>
        <w:t xml:space="preserve"> Solution)：(88/8/1)</w:t>
      </w:r>
    </w:p>
    <w:p w14:paraId="53F4282A"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1.有耳膜穿孔之急慢性中耳炎病患，每次處方以一瓶(十日)為原則。</w:t>
      </w:r>
    </w:p>
    <w:p w14:paraId="58B5AE98"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2.其他耳部感染症如外耳炎等，若經使用第一線抗微生物製劑無效，且有病歷詳細記載者方得使用。</w:t>
      </w:r>
    </w:p>
    <w:p w14:paraId="4CF7E72B"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12.4.Ciprofloxacin +hydrocortisone (如</w:t>
      </w:r>
      <w:proofErr w:type="spellStart"/>
      <w:r>
        <w:rPr>
          <w:rFonts w:ascii="標楷體" w:eastAsia="標楷體" w:hAnsi="標楷體"/>
          <w:color w:val="000000"/>
        </w:rPr>
        <w:t>Siproxan</w:t>
      </w:r>
      <w:proofErr w:type="spellEnd"/>
      <w:r>
        <w:rPr>
          <w:rFonts w:ascii="標楷體" w:eastAsia="標楷體" w:hAnsi="標楷體"/>
          <w:color w:val="000000"/>
        </w:rPr>
        <w:t xml:space="preserve"> </w:t>
      </w:r>
      <w:proofErr w:type="spellStart"/>
      <w:r>
        <w:rPr>
          <w:rFonts w:ascii="標楷體" w:eastAsia="標楷體" w:hAnsi="標楷體"/>
          <w:color w:val="000000"/>
        </w:rPr>
        <w:t>Otic</w:t>
      </w:r>
      <w:proofErr w:type="spellEnd"/>
      <w:r>
        <w:rPr>
          <w:rFonts w:ascii="標楷體" w:eastAsia="標楷體" w:hAnsi="標楷體"/>
          <w:color w:val="000000"/>
        </w:rPr>
        <w:t xml:space="preserve"> Drops)(97/4/1)</w:t>
      </w:r>
    </w:p>
    <w:p w14:paraId="5D6C3051"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1.耳部感染症如外耳炎等，若經使用第一線抗微生物製劑無效，且有病歷詳細記載者方得使用</w:t>
      </w:r>
    </w:p>
    <w:p w14:paraId="1A866925" w14:textId="77777777" w:rsidR="00CC252C" w:rsidRDefault="00C64FB3" w:rsidP="00CC252C">
      <w:pPr>
        <w:snapToGrid w:val="0"/>
        <w:spacing w:line="300" w:lineRule="exact"/>
        <w:ind w:left="811" w:hanging="245"/>
        <w:rPr>
          <w:rFonts w:ascii="標楷體" w:eastAsia="標楷體" w:hAnsi="標楷體"/>
          <w:color w:val="000000"/>
        </w:rPr>
      </w:pPr>
      <w:r>
        <w:rPr>
          <w:rFonts w:ascii="標楷體" w:eastAsia="標楷體" w:hAnsi="標楷體"/>
          <w:color w:val="000000"/>
        </w:rPr>
        <w:t>2.每次處方以一瓶為原則。</w:t>
      </w:r>
    </w:p>
    <w:p w14:paraId="317C827D" w14:textId="77777777" w:rsidR="00CC252C" w:rsidRDefault="00CC252C" w:rsidP="00CC252C">
      <w:pPr>
        <w:snapToGrid w:val="0"/>
        <w:spacing w:line="300" w:lineRule="exact"/>
        <w:ind w:left="811" w:hanging="245"/>
      </w:pPr>
    </w:p>
    <w:p w14:paraId="10A6CB48" w14:textId="77777777" w:rsidR="00CC252C" w:rsidRDefault="00CC252C" w:rsidP="00CC252C">
      <w:pPr>
        <w:snapToGrid w:val="0"/>
        <w:spacing w:line="300" w:lineRule="exact"/>
        <w:ind w:left="811" w:hanging="245"/>
        <w:rPr>
          <w:rFonts w:ascii="標楷體" w:eastAsia="標楷體" w:hAnsi="標楷體"/>
          <w:b/>
          <w:sz w:val="32"/>
          <w:szCs w:val="32"/>
        </w:rPr>
      </w:pPr>
      <w:r>
        <w:br w:type="page"/>
      </w:r>
    </w:p>
    <w:p w14:paraId="69D142C6" w14:textId="77777777" w:rsidR="00401786" w:rsidRDefault="00C64FB3" w:rsidP="0009639E">
      <w:pPr>
        <w:pStyle w:val="2"/>
        <w:spacing w:line="300" w:lineRule="exact"/>
      </w:pPr>
      <w:r>
        <w:lastRenderedPageBreak/>
        <w:t>第13節 皮膚科製劑 Dermatological preparations</w:t>
      </w:r>
    </w:p>
    <w:p w14:paraId="1BFB99EC" w14:textId="77777777" w:rsidR="00401786" w:rsidRDefault="00401786" w:rsidP="0009639E">
      <w:pPr>
        <w:spacing w:line="300" w:lineRule="exact"/>
        <w:jc w:val="center"/>
        <w:rPr>
          <w:rFonts w:ascii="標楷體" w:eastAsia="標楷體" w:hAnsi="標楷體"/>
          <w:b/>
          <w:bCs/>
          <w:color w:val="000000"/>
          <w:sz w:val="32"/>
          <w:szCs w:val="32"/>
        </w:rPr>
      </w:pPr>
    </w:p>
    <w:p w14:paraId="1E4CAD1B"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13.1.(刪除)(104/6/1)</w:t>
      </w:r>
    </w:p>
    <w:p w14:paraId="7E99AB63"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13.2.Cadexomer iodine（如</w:t>
      </w:r>
      <w:proofErr w:type="spellStart"/>
      <w:r>
        <w:rPr>
          <w:rFonts w:ascii="標楷體" w:eastAsia="標楷體" w:hAnsi="標楷體"/>
          <w:color w:val="000000"/>
        </w:rPr>
        <w:t>Iodosorb</w:t>
      </w:r>
      <w:proofErr w:type="spellEnd"/>
      <w:r>
        <w:rPr>
          <w:rFonts w:ascii="標楷體" w:eastAsia="標楷體" w:hAnsi="標楷體"/>
          <w:color w:val="000000"/>
        </w:rPr>
        <w:t xml:space="preserve"> powder）：（87/4/1）</w:t>
      </w:r>
    </w:p>
    <w:p w14:paraId="6850F936"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w:t>
      </w:r>
      <w:proofErr w:type="gramStart"/>
      <w:r>
        <w:rPr>
          <w:rFonts w:ascii="標楷體" w:eastAsia="標楷體" w:hAnsi="標楷體"/>
          <w:color w:val="000000"/>
        </w:rPr>
        <w:t>慢性腿部</w:t>
      </w:r>
      <w:proofErr w:type="gramEnd"/>
      <w:r>
        <w:rPr>
          <w:rFonts w:ascii="標楷體" w:eastAsia="標楷體" w:hAnsi="標楷體"/>
          <w:color w:val="000000"/>
        </w:rPr>
        <w:t>潰瘍病例及慢性感染性潰瘍傷口使用，每日用量超過</w:t>
      </w:r>
      <w:proofErr w:type="gramStart"/>
      <w:r>
        <w:rPr>
          <w:rFonts w:ascii="標楷體" w:eastAsia="標楷體" w:hAnsi="標楷體"/>
          <w:color w:val="000000"/>
        </w:rPr>
        <w:t>一</w:t>
      </w:r>
      <w:proofErr w:type="gramEnd"/>
      <w:r>
        <w:rPr>
          <w:rFonts w:ascii="標楷體" w:eastAsia="標楷體" w:hAnsi="標楷體"/>
          <w:color w:val="000000"/>
        </w:rPr>
        <w:t>包時，需檢附傷口照片以利審查。</w:t>
      </w:r>
    </w:p>
    <w:p w14:paraId="05757D63"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13.3.Calcipotriol外用製劑：（87/4/1、89/2/1、94/3/1、94/5/1、99/12/1、109/10/1）</w:t>
      </w:r>
    </w:p>
    <w:p w14:paraId="0758009B"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13.3.1.Calcipotriol外用單方製劑（87/4/1、89/2/1、94/3/1、99/12/1）</w:t>
      </w:r>
    </w:p>
    <w:p w14:paraId="561BF247" w14:textId="77777777" w:rsidR="00401786" w:rsidRDefault="00C64FB3" w:rsidP="0009639E">
      <w:pPr>
        <w:spacing w:line="300" w:lineRule="exact"/>
        <w:ind w:left="798" w:hanging="1"/>
        <w:rPr>
          <w:rFonts w:ascii="標楷體" w:eastAsia="標楷體" w:hAnsi="標楷體"/>
          <w:color w:val="000000"/>
        </w:rPr>
      </w:pPr>
      <w:proofErr w:type="gramStart"/>
      <w:r>
        <w:rPr>
          <w:rFonts w:ascii="標楷體" w:eastAsia="標楷體" w:hAnsi="標楷體"/>
          <w:color w:val="000000"/>
        </w:rPr>
        <w:t>限確經</w:t>
      </w:r>
      <w:proofErr w:type="gramEnd"/>
      <w:r>
        <w:rPr>
          <w:rFonts w:ascii="標楷體" w:eastAsia="標楷體" w:hAnsi="標楷體"/>
          <w:color w:val="000000"/>
        </w:rPr>
        <w:t>診斷為尋常性牛皮癬（psoriasis）之病例使用，使用量以每星期不高於30gm或30mL為原則，若因病情需要使用量需超過每星期 30gm或30mL者，應於病歷詳細記錄理由。</w:t>
      </w:r>
    </w:p>
    <w:p w14:paraId="092A81EF" w14:textId="77777777" w:rsidR="00FE7D5A" w:rsidRDefault="00FE7D5A" w:rsidP="00FE7D5A">
      <w:pPr>
        <w:spacing w:line="300" w:lineRule="exact"/>
        <w:ind w:left="526" w:hanging="480"/>
        <w:rPr>
          <w:rFonts w:ascii="標楷體" w:eastAsia="標楷體" w:hAnsi="標楷體"/>
          <w:color w:val="000000"/>
        </w:rPr>
      </w:pPr>
      <w:r>
        <w:rPr>
          <w:rFonts w:ascii="標楷體" w:eastAsia="標楷體" w:hAnsi="標楷體"/>
          <w:color w:val="000000"/>
        </w:rPr>
        <w:t>13.3.2.含calcipotriol及類固醇之外用複方製劑（如</w:t>
      </w:r>
      <w:proofErr w:type="spellStart"/>
      <w:r>
        <w:rPr>
          <w:rFonts w:ascii="標楷體" w:eastAsia="標楷體" w:hAnsi="標楷體"/>
          <w:color w:val="000000"/>
        </w:rPr>
        <w:t>Daivobet</w:t>
      </w:r>
      <w:proofErr w:type="spellEnd"/>
      <w:r>
        <w:rPr>
          <w:rFonts w:ascii="標楷體" w:eastAsia="標楷體" w:hAnsi="標楷體" w:hint="eastAsia"/>
          <w:color w:val="000000"/>
        </w:rPr>
        <w:t>、En</w:t>
      </w:r>
      <w:r>
        <w:rPr>
          <w:rFonts w:ascii="標楷體" w:eastAsia="標楷體" w:hAnsi="標楷體"/>
          <w:color w:val="000000"/>
        </w:rPr>
        <w:t>stilar）（94/5/1、99/12/1、109/10/1</w:t>
      </w:r>
      <w:r>
        <w:rPr>
          <w:rFonts w:ascii="標楷體" w:eastAsia="標楷體" w:hAnsi="標楷體" w:hint="eastAsia"/>
          <w:color w:val="000000"/>
        </w:rPr>
        <w:t>、115/1/1</w:t>
      </w:r>
      <w:r>
        <w:rPr>
          <w:rFonts w:ascii="標楷體" w:eastAsia="標楷體" w:hAnsi="標楷體"/>
          <w:color w:val="000000"/>
        </w:rPr>
        <w:t>）</w:t>
      </w:r>
    </w:p>
    <w:p w14:paraId="3EC77621" w14:textId="77777777" w:rsidR="00401786" w:rsidRDefault="00FE7D5A" w:rsidP="00FE7D5A">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限確</w:t>
      </w:r>
      <w:r>
        <w:rPr>
          <w:rFonts w:ascii="標楷體" w:eastAsia="標楷體" w:hAnsi="標楷體" w:hint="eastAsia"/>
          <w:color w:val="000000"/>
        </w:rPr>
        <w:t>診</w:t>
      </w:r>
      <w:proofErr w:type="gramEnd"/>
      <w:r>
        <w:rPr>
          <w:rFonts w:ascii="標楷體" w:eastAsia="標楷體" w:hAnsi="標楷體"/>
          <w:color w:val="000000"/>
        </w:rPr>
        <w:t>為</w:t>
      </w:r>
      <w:proofErr w:type="gramStart"/>
      <w:r>
        <w:rPr>
          <w:rFonts w:ascii="標楷體" w:eastAsia="標楷體" w:hAnsi="標楷體"/>
          <w:color w:val="000000"/>
        </w:rPr>
        <w:t>尋常性</w:t>
      </w:r>
      <w:r>
        <w:rPr>
          <w:rFonts w:ascii="標楷體" w:eastAsia="標楷體" w:hAnsi="標楷體" w:hint="eastAsia"/>
          <w:color w:val="000000"/>
        </w:rPr>
        <w:t>乾</w:t>
      </w:r>
      <w:r>
        <w:rPr>
          <w:rFonts w:ascii="標楷體" w:eastAsia="標楷體" w:hAnsi="標楷體"/>
          <w:color w:val="000000"/>
        </w:rPr>
        <w:t>癬</w:t>
      </w:r>
      <w:proofErr w:type="gramEnd"/>
      <w:r>
        <w:rPr>
          <w:rFonts w:ascii="標楷體" w:eastAsia="標楷體" w:hAnsi="標楷體"/>
          <w:color w:val="000000"/>
        </w:rPr>
        <w:t>（psoriasis）之病</w:t>
      </w:r>
      <w:r>
        <w:rPr>
          <w:rFonts w:ascii="標楷體" w:eastAsia="標楷體" w:hAnsi="標楷體" w:hint="eastAsia"/>
          <w:color w:val="000000"/>
        </w:rPr>
        <w:t>人</w:t>
      </w:r>
      <w:r>
        <w:rPr>
          <w:rFonts w:ascii="標楷體" w:eastAsia="標楷體" w:hAnsi="標楷體"/>
          <w:color w:val="000000"/>
        </w:rPr>
        <w:t>使用，使用量以每星期不高於30gm為原則，若因病情需要使用量需超過每星期30gm者，應於病歷詳細記錄理由。（94/5/1、99/12/1、</w:t>
      </w:r>
      <w:r>
        <w:rPr>
          <w:rFonts w:ascii="標楷體" w:eastAsia="標楷體" w:hAnsi="標楷體" w:hint="eastAsia"/>
          <w:color w:val="000000"/>
        </w:rPr>
        <w:t>115/1/1</w:t>
      </w:r>
      <w:r>
        <w:rPr>
          <w:rFonts w:ascii="標楷體" w:eastAsia="標楷體" w:hAnsi="標楷體"/>
          <w:color w:val="000000"/>
        </w:rPr>
        <w:t>）</w:t>
      </w:r>
    </w:p>
    <w:p w14:paraId="050BB4B2" w14:textId="77777777" w:rsidR="007342BF" w:rsidRDefault="007342BF" w:rsidP="007342BF">
      <w:pPr>
        <w:ind w:left="811" w:hanging="245"/>
        <w:rPr>
          <w:rFonts w:ascii="標楷體" w:eastAsia="標楷體" w:hAnsi="標楷體"/>
          <w:color w:val="000000"/>
        </w:rPr>
      </w:pPr>
      <w:r>
        <w:rPr>
          <w:rFonts w:ascii="標楷體" w:eastAsia="標楷體" w:hAnsi="標楷體"/>
          <w:color w:val="000000"/>
        </w:rPr>
        <w:t>2.若因病情需要需連續使用超過8</w:t>
      </w:r>
      <w:proofErr w:type="gramStart"/>
      <w:r>
        <w:rPr>
          <w:rFonts w:ascii="標楷體" w:eastAsia="標楷體" w:hAnsi="標楷體"/>
          <w:color w:val="000000"/>
        </w:rPr>
        <w:t>週</w:t>
      </w:r>
      <w:proofErr w:type="gramEnd"/>
      <w:r>
        <w:rPr>
          <w:rFonts w:ascii="標楷體" w:eastAsia="標楷體" w:hAnsi="標楷體"/>
          <w:color w:val="000000"/>
        </w:rPr>
        <w:t>者，應於病歷詳細記錄理由。（109/10/1）</w:t>
      </w:r>
    </w:p>
    <w:p w14:paraId="2D1FC8F0"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13.3.3與tazarotene</w:t>
      </w:r>
      <w:proofErr w:type="gramStart"/>
      <w:r>
        <w:rPr>
          <w:rFonts w:ascii="標楷體" w:eastAsia="標楷體" w:hAnsi="標楷體"/>
          <w:color w:val="000000"/>
        </w:rPr>
        <w:t>併</w:t>
      </w:r>
      <w:proofErr w:type="gramEnd"/>
      <w:r>
        <w:rPr>
          <w:rFonts w:ascii="標楷體" w:eastAsia="標楷體" w:hAnsi="標楷體"/>
          <w:color w:val="000000"/>
        </w:rPr>
        <w:t>用，兩者合計總量每星期不超過30gm或30mL，若因病情需要兩者合併使用量需超過每星期30gm 者，應於病歷詳細記錄理由。(99/12/1)</w:t>
      </w:r>
    </w:p>
    <w:p w14:paraId="376C6279"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13.4.Isotretinoin口服製劑 (如Roaccutane)：（86/9/1、87/4/1、94/3/1）</w:t>
      </w:r>
    </w:p>
    <w:p w14:paraId="540A9A2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1.限皮膚科專科醫師使用。</w:t>
      </w:r>
    </w:p>
    <w:p w14:paraId="35C83D4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2.需檢附病人之服藥同意書 (詳附表十)，以及經傳統治療無效之病歷資料或治療前之照片，經事前審查核准後使用。</w:t>
      </w:r>
    </w:p>
    <w:p w14:paraId="5DE3C3B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3.每次申請以一療程為限，若需再次療程，請檢附原來照片與最近照片再次申請事前審查核准後使用</w:t>
      </w:r>
      <w:proofErr w:type="gramStart"/>
      <w:r>
        <w:rPr>
          <w:rFonts w:ascii="標楷體" w:eastAsia="標楷體" w:hAnsi="標楷體"/>
          <w:color w:val="000000"/>
        </w:rPr>
        <w:t>（</w:t>
      </w:r>
      <w:proofErr w:type="gramEnd"/>
      <w:r>
        <w:rPr>
          <w:rFonts w:ascii="標楷體" w:eastAsia="標楷體" w:hAnsi="標楷體"/>
          <w:color w:val="000000"/>
        </w:rPr>
        <w:t xml:space="preserve">每一療程最高總劑量為100 mg </w:t>
      </w:r>
      <w:proofErr w:type="gramStart"/>
      <w:r>
        <w:rPr>
          <w:rFonts w:ascii="標楷體" w:eastAsia="標楷體" w:hAnsi="標楷體"/>
          <w:color w:val="000000"/>
        </w:rPr>
        <w:t>–</w:t>
      </w:r>
      <w:proofErr w:type="gramEnd"/>
      <w:r>
        <w:rPr>
          <w:rFonts w:ascii="標楷體" w:eastAsia="標楷體" w:hAnsi="標楷體"/>
          <w:color w:val="000000"/>
        </w:rPr>
        <w:t>120 mg/kg，於四至六個月完成)。</w:t>
      </w:r>
    </w:p>
    <w:p w14:paraId="05D7B459"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13.5.Acitretin（如</w:t>
      </w:r>
      <w:proofErr w:type="spellStart"/>
      <w:r>
        <w:rPr>
          <w:rFonts w:ascii="標楷體" w:eastAsia="標楷體" w:hAnsi="標楷體"/>
          <w:color w:val="000000"/>
        </w:rPr>
        <w:t>Neotigason</w:t>
      </w:r>
      <w:proofErr w:type="spellEnd"/>
      <w:r>
        <w:rPr>
          <w:rFonts w:ascii="標楷體" w:eastAsia="標楷體" w:hAnsi="標楷體"/>
          <w:color w:val="000000"/>
        </w:rPr>
        <w:t>）：(87/11/1)</w:t>
      </w:r>
    </w:p>
    <w:p w14:paraId="3F2E79A6"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申報費用時需檢具病患同意書 (附表十一)，並</w:t>
      </w:r>
      <w:proofErr w:type="gramStart"/>
      <w:r>
        <w:rPr>
          <w:rFonts w:ascii="標楷體" w:eastAsia="標楷體" w:hAnsi="標楷體"/>
          <w:color w:val="000000"/>
        </w:rPr>
        <w:t>檢送含確定</w:t>
      </w:r>
      <w:proofErr w:type="gramEnd"/>
      <w:r>
        <w:rPr>
          <w:rFonts w:ascii="標楷體" w:eastAsia="標楷體" w:hAnsi="標楷體"/>
          <w:color w:val="000000"/>
        </w:rPr>
        <w:t>診斷之詳細病歷資料，</w:t>
      </w:r>
      <w:proofErr w:type="gramStart"/>
      <w:r>
        <w:rPr>
          <w:rFonts w:ascii="標楷體" w:eastAsia="標楷體" w:hAnsi="標楷體"/>
          <w:color w:val="000000"/>
        </w:rPr>
        <w:t>俾</w:t>
      </w:r>
      <w:proofErr w:type="gramEnd"/>
      <w:r>
        <w:rPr>
          <w:rFonts w:ascii="標楷體" w:eastAsia="標楷體" w:hAnsi="標楷體"/>
          <w:color w:val="000000"/>
        </w:rPr>
        <w:t>利審查。</w:t>
      </w:r>
    </w:p>
    <w:p w14:paraId="74FD9B6F"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13.6.Methoxsalen製劑：(87/11/1)</w:t>
      </w:r>
    </w:p>
    <w:p w14:paraId="4040F220"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限皮膚科專科醫師使用於PUVA治療 (配合紫外線照射)，申報費用時需</w:t>
      </w:r>
      <w:proofErr w:type="gramStart"/>
      <w:r>
        <w:rPr>
          <w:rFonts w:ascii="標楷體" w:eastAsia="標楷體" w:hAnsi="標楷體"/>
          <w:color w:val="000000"/>
        </w:rPr>
        <w:t>檢送含確定</w:t>
      </w:r>
      <w:proofErr w:type="gramEnd"/>
      <w:r>
        <w:rPr>
          <w:rFonts w:ascii="標楷體" w:eastAsia="標楷體" w:hAnsi="標楷體"/>
          <w:color w:val="000000"/>
        </w:rPr>
        <w:t>診斷之詳細病歷資料，</w:t>
      </w:r>
      <w:proofErr w:type="gramStart"/>
      <w:r>
        <w:rPr>
          <w:rFonts w:ascii="標楷體" w:eastAsia="標楷體" w:hAnsi="標楷體"/>
          <w:color w:val="000000"/>
        </w:rPr>
        <w:t>俾</w:t>
      </w:r>
      <w:proofErr w:type="gramEnd"/>
      <w:r>
        <w:rPr>
          <w:rFonts w:ascii="標楷體" w:eastAsia="標楷體" w:hAnsi="標楷體"/>
          <w:color w:val="000000"/>
        </w:rPr>
        <w:t>利審查。</w:t>
      </w:r>
    </w:p>
    <w:p w14:paraId="169598C2"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13.7.Doxepin HCl cream (如</w:t>
      </w:r>
      <w:proofErr w:type="spellStart"/>
      <w:r>
        <w:rPr>
          <w:rFonts w:ascii="標楷體" w:eastAsia="標楷體" w:hAnsi="標楷體"/>
          <w:color w:val="000000"/>
        </w:rPr>
        <w:t>Ichderm</w:t>
      </w:r>
      <w:proofErr w:type="spellEnd"/>
      <w:r>
        <w:rPr>
          <w:rFonts w:ascii="標楷體" w:eastAsia="標楷體" w:hAnsi="標楷體"/>
          <w:color w:val="000000"/>
        </w:rPr>
        <w:t>)：(88/6/1)</w:t>
      </w:r>
    </w:p>
    <w:p w14:paraId="041209DF"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限成人使用，每次處方不超過七天。</w:t>
      </w:r>
    </w:p>
    <w:p w14:paraId="431156C0"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13.8.Tazarotene外用製劑：(91/4/1、99/12/1、101/2/1)</w:t>
      </w:r>
    </w:p>
    <w:p w14:paraId="0B39DA1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限乾癬</w:t>
      </w:r>
      <w:proofErr w:type="gramEnd"/>
      <w:r>
        <w:rPr>
          <w:rFonts w:ascii="標楷體" w:eastAsia="標楷體" w:hAnsi="標楷體"/>
          <w:color w:val="000000"/>
        </w:rPr>
        <w:t>之病例使用。</w:t>
      </w:r>
    </w:p>
    <w:p w14:paraId="456FA1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2.使用量以每星期不高於30gm為原則。若因病情需要，使用量需超過每星期30gm者，應於病歷詳細記載理由。(99/12/1)</w:t>
      </w:r>
    </w:p>
    <w:p w14:paraId="6697929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3.與calcitriol (或calcipotriol)</w:t>
      </w:r>
      <w:proofErr w:type="gramStart"/>
      <w:r>
        <w:rPr>
          <w:rFonts w:ascii="標楷體" w:eastAsia="標楷體" w:hAnsi="標楷體"/>
          <w:color w:val="000000"/>
        </w:rPr>
        <w:t>併</w:t>
      </w:r>
      <w:proofErr w:type="gramEnd"/>
      <w:r>
        <w:rPr>
          <w:rFonts w:ascii="標楷體" w:eastAsia="標楷體" w:hAnsi="標楷體"/>
          <w:color w:val="000000"/>
        </w:rPr>
        <w:t>用，兩者合計總量每星期不超過30gm或30mL，若因病情需要兩者合併使用量需超過每星期30gm 者，應於病歷詳細記載理由。(99/12/1)</w:t>
      </w:r>
    </w:p>
    <w:p w14:paraId="5FDECE05"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13.9.Calcitriol (如</w:t>
      </w:r>
      <w:proofErr w:type="spellStart"/>
      <w:r>
        <w:rPr>
          <w:rFonts w:ascii="標楷體" w:eastAsia="標楷體" w:hAnsi="標楷體"/>
          <w:color w:val="000000"/>
        </w:rPr>
        <w:t>Silkis</w:t>
      </w:r>
      <w:proofErr w:type="spellEnd"/>
      <w:r>
        <w:rPr>
          <w:rFonts w:ascii="標楷體" w:eastAsia="標楷體" w:hAnsi="標楷體"/>
          <w:color w:val="000000"/>
        </w:rPr>
        <w:t xml:space="preserve"> ointment)：(92/11/1、93/9/1、99/12/1)</w:t>
      </w:r>
    </w:p>
    <w:p w14:paraId="01926DA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1.限用於小於35%體表面積之輕度至中</w:t>
      </w:r>
      <w:proofErr w:type="gramStart"/>
      <w:r>
        <w:rPr>
          <w:rFonts w:ascii="標楷體" w:eastAsia="標楷體" w:hAnsi="標楷體"/>
          <w:color w:val="000000"/>
        </w:rPr>
        <w:t>重度乾癬</w:t>
      </w:r>
      <w:proofErr w:type="gramEnd"/>
      <w:r>
        <w:rPr>
          <w:rFonts w:ascii="標楷體" w:eastAsia="標楷體" w:hAnsi="標楷體"/>
          <w:color w:val="000000"/>
        </w:rPr>
        <w:t>之病例，使用量以每星期不高於30gm為原則，若因病情需要使用量需超過每星期30gm者，應於病歷詳細記錄理由。其面積計算:依照rule of nines計算法。（同13.10備註1）</w:t>
      </w:r>
    </w:p>
    <w:p w14:paraId="6984B53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2.與tazarotene</w:t>
      </w:r>
      <w:proofErr w:type="gramStart"/>
      <w:r>
        <w:rPr>
          <w:rFonts w:ascii="標楷體" w:eastAsia="標楷體" w:hAnsi="標楷體"/>
          <w:color w:val="000000"/>
        </w:rPr>
        <w:t>併</w:t>
      </w:r>
      <w:proofErr w:type="gramEnd"/>
      <w:r>
        <w:rPr>
          <w:rFonts w:ascii="標楷體" w:eastAsia="標楷體" w:hAnsi="標楷體"/>
          <w:color w:val="000000"/>
        </w:rPr>
        <w:t>用，兩者合計總量每星期不超過30gm或30mL，若因病情需要兩者合併使用量需超過每星期30gm者，應於病歷詳細記錄理由。</w:t>
      </w:r>
    </w:p>
    <w:p w14:paraId="232814B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(99/12/1)</w:t>
      </w:r>
    </w:p>
    <w:p w14:paraId="53B03FDF"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lastRenderedPageBreak/>
        <w:t>13.10.Tacrolimus (如</w:t>
      </w:r>
      <w:proofErr w:type="spellStart"/>
      <w:r>
        <w:rPr>
          <w:rFonts w:ascii="標楷體" w:eastAsia="標楷體" w:hAnsi="標楷體"/>
          <w:color w:val="000000"/>
        </w:rPr>
        <w:t>Protopic</w:t>
      </w:r>
      <w:proofErr w:type="spellEnd"/>
      <w:r>
        <w:rPr>
          <w:rFonts w:ascii="標楷體" w:eastAsia="標楷體" w:hAnsi="標楷體"/>
          <w:color w:val="000000"/>
        </w:rPr>
        <w:t xml:space="preserve"> Ointment )：(91/12/1、93/8/1、95/7/1、99/12/1、111/2/1) </w:t>
      </w:r>
    </w:p>
    <w:p w14:paraId="2B8F241B" w14:textId="77777777" w:rsidR="00401786" w:rsidRDefault="00C64FB3" w:rsidP="0009639E">
      <w:pPr>
        <w:spacing w:line="300" w:lineRule="exact"/>
        <w:ind w:left="558" w:hanging="1"/>
        <w:rPr>
          <w:rFonts w:ascii="標楷體" w:eastAsia="標楷體" w:hAnsi="標楷體"/>
          <w:color w:val="000000"/>
        </w:rPr>
      </w:pPr>
      <w:r>
        <w:rPr>
          <w:rFonts w:ascii="標楷體" w:eastAsia="標楷體" w:hAnsi="標楷體"/>
          <w:color w:val="000000"/>
        </w:rPr>
        <w:t>限2歲以上因為潛在危險而不宜使用其他傳統治療、或對其他傳統治療反應不充分、或無法耐受其他傳統治療且患部面積&gt;30%之中、</w:t>
      </w:r>
      <w:proofErr w:type="gramStart"/>
      <w:r>
        <w:rPr>
          <w:rFonts w:ascii="標楷體" w:eastAsia="標楷體" w:hAnsi="標楷體"/>
          <w:color w:val="000000"/>
        </w:rPr>
        <w:t>重度異位</w:t>
      </w:r>
      <w:proofErr w:type="gramEnd"/>
      <w:r>
        <w:rPr>
          <w:rFonts w:ascii="標楷體" w:eastAsia="標楷體" w:hAnsi="標楷體"/>
          <w:color w:val="000000"/>
        </w:rPr>
        <w:t>性皮膚炎之下列病患第二線使用(95/7/1、111/2/1)</w:t>
      </w:r>
    </w:p>
    <w:p w14:paraId="2D68EE5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1.成人患部面積30%~50%，每星期不超過30gm；患部面積&gt;50%，每星期不超過60gm。(99/12/1)</w:t>
      </w:r>
    </w:p>
    <w:p w14:paraId="2D8C1A8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2.孩童患部面積30%~50%，每兩星期不超過30gm；患部面積&gt;50%，每星期不超過30gm。(99/12/1)</w:t>
      </w:r>
    </w:p>
    <w:p w14:paraId="72E1A8B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3.面積計算：成人依照 rule of nines(詳備註1)，由</w:t>
      </w:r>
      <w:proofErr w:type="gramStart"/>
      <w:r>
        <w:rPr>
          <w:rFonts w:ascii="標楷體" w:eastAsia="標楷體" w:hAnsi="標楷體"/>
          <w:color w:val="000000"/>
        </w:rPr>
        <w:t>部位乘予大約</w:t>
      </w:r>
      <w:proofErr w:type="gramEnd"/>
      <w:r>
        <w:rPr>
          <w:rFonts w:ascii="標楷體" w:eastAsia="標楷體" w:hAnsi="標楷體"/>
          <w:color w:val="000000"/>
        </w:rPr>
        <w:t>比例之總和，兒童依比例 (備註2，</w:t>
      </w:r>
      <w:proofErr w:type="spellStart"/>
      <w:r>
        <w:rPr>
          <w:rFonts w:ascii="標楷體" w:eastAsia="標楷體" w:hAnsi="標楷體"/>
          <w:color w:val="000000"/>
        </w:rPr>
        <w:t>Barkin</w:t>
      </w:r>
      <w:proofErr w:type="spellEnd"/>
      <w:r>
        <w:rPr>
          <w:rFonts w:ascii="標楷體" w:eastAsia="標楷體" w:hAnsi="標楷體"/>
          <w:color w:val="000000"/>
        </w:rPr>
        <w:t>公式) 修訂。</w:t>
      </w:r>
    </w:p>
    <w:p w14:paraId="56127D3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4.使用一個月後，症狀若無改善，應改用其他藥物治療。</w:t>
      </w:r>
    </w:p>
    <w:p w14:paraId="1E5AE09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5.以三個月為一個療程，作間歇性長期治療者，若需繼續治療，每月限使用30公克。（93/8 /1）</w:t>
      </w:r>
    </w:p>
    <w:p w14:paraId="1F6664A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6.不可合併紫外線治療。（93/8 /1）</w:t>
      </w:r>
    </w:p>
    <w:p w14:paraId="36315C0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7.與pimecrolimus</w:t>
      </w:r>
      <w:proofErr w:type="gramStart"/>
      <w:r>
        <w:rPr>
          <w:rFonts w:ascii="標楷體" w:eastAsia="標楷體" w:hAnsi="標楷體"/>
          <w:color w:val="000000"/>
        </w:rPr>
        <w:t>併</w:t>
      </w:r>
      <w:proofErr w:type="gramEnd"/>
      <w:r>
        <w:rPr>
          <w:rFonts w:ascii="標楷體" w:eastAsia="標楷體" w:hAnsi="標楷體"/>
          <w:color w:val="000000"/>
        </w:rPr>
        <w:t>用時 (99/12/1)：</w:t>
      </w:r>
    </w:p>
    <w:p w14:paraId="1EA432D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(1)成人：患部面積30%~50%，每星期兩者合併用量不超過30gm；患部面積&gt;50%，兩者每星期合併用量不超過60gm。</w:t>
      </w:r>
    </w:p>
    <w:p w14:paraId="1C3F21B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(2)孩童：患部面積30%~50%，每兩星期兩者合併用量不超過30gm；患部面積&gt;50%，每星期兩者合併用量不超過30gm。</w:t>
      </w:r>
    </w:p>
    <w:p w14:paraId="3CFD71D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(3)若因病情需要兩者合併使用量需超過限制者，應於病歷詳細記錄理由。</w:t>
      </w:r>
    </w:p>
    <w:p w14:paraId="62058226" w14:textId="77777777" w:rsidR="00401786" w:rsidRDefault="00C64FB3" w:rsidP="0009639E">
      <w:pPr>
        <w:spacing w:line="300" w:lineRule="exact"/>
        <w:ind w:left="1438" w:hanging="874"/>
        <w:rPr>
          <w:rFonts w:ascii="標楷體" w:eastAsia="標楷體" w:hAnsi="標楷體"/>
          <w:color w:val="000000"/>
        </w:rPr>
      </w:pPr>
      <w:r>
        <w:rPr>
          <w:rFonts w:ascii="標楷體" w:eastAsia="標楷體" w:hAnsi="標楷體"/>
          <w:color w:val="000000"/>
        </w:rPr>
        <w:t>備註1：Rule of nines計算法：頭頸9%，兩上肢18%，軀幹18%，背18%，兩下肢36%，陰部1%。</w:t>
      </w:r>
    </w:p>
    <w:p w14:paraId="085ED05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備註2：兒童患部面積計算如附表十七 (From Roger M. </w:t>
      </w:r>
      <w:proofErr w:type="spellStart"/>
      <w:r>
        <w:rPr>
          <w:rFonts w:ascii="標楷體" w:eastAsia="標楷體" w:hAnsi="標楷體"/>
          <w:color w:val="000000"/>
        </w:rPr>
        <w:t>Barkin</w:t>
      </w:r>
      <w:proofErr w:type="spellEnd"/>
      <w:r>
        <w:rPr>
          <w:rFonts w:ascii="標楷體" w:eastAsia="標楷體" w:hAnsi="標楷體"/>
          <w:color w:val="000000"/>
        </w:rPr>
        <w:t>)</w:t>
      </w:r>
    </w:p>
    <w:p w14:paraId="386C2A1F" w14:textId="77777777" w:rsidR="00401786" w:rsidRDefault="00C64FB3" w:rsidP="0009639E">
      <w:pPr>
        <w:spacing w:line="300" w:lineRule="exact"/>
        <w:ind w:left="682" w:hanging="600"/>
        <w:rPr>
          <w:rFonts w:ascii="標楷體" w:eastAsia="標楷體" w:hAnsi="標楷體"/>
          <w:color w:val="000000"/>
        </w:rPr>
      </w:pPr>
      <w:r>
        <w:rPr>
          <w:rFonts w:ascii="標楷體" w:eastAsia="標楷體" w:hAnsi="標楷體"/>
          <w:color w:val="000000"/>
        </w:rPr>
        <w:t>13.11.Pimecrolimus (</w:t>
      </w:r>
      <w:proofErr w:type="spellStart"/>
      <w:r>
        <w:rPr>
          <w:rFonts w:ascii="標楷體" w:eastAsia="標楷體" w:hAnsi="標楷體"/>
          <w:color w:val="000000"/>
        </w:rPr>
        <w:t>Elidel</w:t>
      </w:r>
      <w:proofErr w:type="spellEnd"/>
      <w:r>
        <w:rPr>
          <w:rFonts w:ascii="標楷體" w:eastAsia="標楷體" w:hAnsi="標楷體"/>
          <w:color w:val="000000"/>
        </w:rPr>
        <w:t xml:space="preserve"> 1% )：(92/11/1、93/8/1、94/3/1、95/7/1、99/12/1、110/12/1、111/2/1)</w:t>
      </w:r>
    </w:p>
    <w:p w14:paraId="2898B2CB" w14:textId="77777777" w:rsidR="00401786" w:rsidRDefault="00C64FB3" w:rsidP="0009639E">
      <w:pPr>
        <w:spacing w:line="300" w:lineRule="exact"/>
        <w:ind w:left="809" w:hanging="101"/>
        <w:rPr>
          <w:rFonts w:ascii="標楷體" w:eastAsia="標楷體" w:hAnsi="標楷體"/>
          <w:color w:val="000000"/>
        </w:rPr>
      </w:pPr>
      <w:r>
        <w:rPr>
          <w:rFonts w:ascii="標楷體" w:eastAsia="標楷體" w:hAnsi="標楷體"/>
          <w:color w:val="000000"/>
        </w:rPr>
        <w:t>限2歲以上且患部面積&gt;30%之中、</w:t>
      </w:r>
      <w:proofErr w:type="gramStart"/>
      <w:r>
        <w:rPr>
          <w:rFonts w:ascii="標楷體" w:eastAsia="標楷體" w:hAnsi="標楷體"/>
          <w:color w:val="000000"/>
        </w:rPr>
        <w:t>重度異位</w:t>
      </w:r>
      <w:proofErr w:type="gramEnd"/>
      <w:r>
        <w:rPr>
          <w:rFonts w:ascii="標楷體" w:eastAsia="標楷體" w:hAnsi="標楷體"/>
          <w:color w:val="000000"/>
        </w:rPr>
        <w:t>性皮膚炎，或敏感性皮膚部位(頭頸部、眼瞼、</w:t>
      </w:r>
      <w:proofErr w:type="gramStart"/>
      <w:r>
        <w:rPr>
          <w:rFonts w:ascii="標楷體" w:eastAsia="標楷體" w:hAnsi="標楷體"/>
          <w:color w:val="000000"/>
        </w:rPr>
        <w:t>耳後區</w:t>
      </w:r>
      <w:proofErr w:type="gramEnd"/>
      <w:r>
        <w:rPr>
          <w:rFonts w:ascii="標楷體" w:eastAsia="標楷體" w:hAnsi="標楷體"/>
          <w:color w:val="000000"/>
        </w:rPr>
        <w:t>、生殖器、皮膚彎曲處、腋下、鼠蹊部)異位性皮膚炎之下列病患第二線使用：(94/3/1、95/7/1、110/12/1、111/2/1)</w:t>
      </w:r>
    </w:p>
    <w:p w14:paraId="050FCCD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1.成人患部面積30%~50%，每星期不超過30gm；患部面積&gt;50%，每星期不超過60gm。(94/3/1、99/12/1)</w:t>
      </w:r>
    </w:p>
    <w:p w14:paraId="4A315B2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2.孩童患部面積30%~50%，每兩星期不超過30gm；患部面積&gt;50%，每星期不超過30gm。(99/12/1)</w:t>
      </w:r>
    </w:p>
    <w:p w14:paraId="62837A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3.敏感性皮膚部位(頭頸部、眼瞼、</w:t>
      </w:r>
      <w:proofErr w:type="gramStart"/>
      <w:r>
        <w:rPr>
          <w:rFonts w:ascii="標楷體" w:eastAsia="標楷體" w:hAnsi="標楷體"/>
          <w:color w:val="000000"/>
        </w:rPr>
        <w:t>耳後區</w:t>
      </w:r>
      <w:proofErr w:type="gramEnd"/>
      <w:r>
        <w:rPr>
          <w:rFonts w:ascii="標楷體" w:eastAsia="標楷體" w:hAnsi="標楷體"/>
          <w:color w:val="000000"/>
        </w:rPr>
        <w:t>、生殖器、皮膚彎曲處、腋下、鼠蹊部)異位性皮膚炎部分：成人每月不超過30gm，孩童每月不超過不超過20gm，且不得與全身用藥分開計算。(110/12/1)</w:t>
      </w:r>
    </w:p>
    <w:p w14:paraId="68FABB7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4.使用一個月後，症狀若無改善，應改用其他藥物治療。</w:t>
      </w:r>
    </w:p>
    <w:p w14:paraId="75F5E6F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5.以三個月為一個療程，作間歇性長期治療者，若需繼續治療，每月限使用30公克。（93/8/1）</w:t>
      </w:r>
    </w:p>
    <w:p w14:paraId="75A9A64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6.不可合併紫外線治療。（93/8/1）</w:t>
      </w:r>
    </w:p>
    <w:p w14:paraId="085D06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7.與tacrolimus</w:t>
      </w:r>
      <w:proofErr w:type="gramStart"/>
      <w:r>
        <w:rPr>
          <w:rFonts w:ascii="標楷體" w:eastAsia="標楷體" w:hAnsi="標楷體"/>
          <w:color w:val="000000"/>
        </w:rPr>
        <w:t>併</w:t>
      </w:r>
      <w:proofErr w:type="gramEnd"/>
      <w:r>
        <w:rPr>
          <w:rFonts w:ascii="標楷體" w:eastAsia="標楷體" w:hAnsi="標楷體"/>
          <w:color w:val="000000"/>
        </w:rPr>
        <w:t>用時(99/12/1)：</w:t>
      </w:r>
    </w:p>
    <w:p w14:paraId="73CA723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(1)成人：患部面積30%~50%，每星期兩者合併用量不超過30gm；患部面積&gt;50%，兩者每星期合併用量不超過60gm。</w:t>
      </w:r>
    </w:p>
    <w:p w14:paraId="388C333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(2)孩童：患部面積30%~50%，每兩星期兩者合併用量不超過30gm；患部面積&gt;50%，每星期兩者合併用量不超過30gm。</w:t>
      </w:r>
    </w:p>
    <w:p w14:paraId="7595CEC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(3)若因病情需要兩者合併使用量需超過限制者，應於病歷詳細記錄理由。</w:t>
      </w:r>
    </w:p>
    <w:p w14:paraId="0F2A5D32"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13.12.Amorolfine (如</w:t>
      </w:r>
      <w:proofErr w:type="spellStart"/>
      <w:r>
        <w:rPr>
          <w:rFonts w:ascii="標楷體" w:eastAsia="標楷體" w:hAnsi="標楷體"/>
          <w:color w:val="000000"/>
        </w:rPr>
        <w:t>Amocoat</w:t>
      </w:r>
      <w:proofErr w:type="spellEnd"/>
      <w:r>
        <w:rPr>
          <w:rFonts w:ascii="標楷體" w:eastAsia="標楷體" w:hAnsi="標楷體"/>
          <w:color w:val="000000"/>
        </w:rPr>
        <w:t>)：(99/4/1)</w:t>
      </w:r>
    </w:p>
    <w:p w14:paraId="674603E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1.限用於皮真菌、酵母菌及黴菌引起之甲癬。</w:t>
      </w:r>
    </w:p>
    <w:p w14:paraId="0411A73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lastRenderedPageBreak/>
        <w:t>2.每年限使用一瓶5mL。</w:t>
      </w:r>
    </w:p>
    <w:p w14:paraId="3448B61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3.許可證類別若變更為指示用藥，將不予給付。</w:t>
      </w:r>
    </w:p>
    <w:p w14:paraId="647E19F2"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 xml:space="preserve">13.13.Podophyllotoxin (如Wart Del Cream)：(102/9/1) </w:t>
      </w:r>
    </w:p>
    <w:p w14:paraId="54B63C5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1.限皮膚、泌尿、婦產專科醫師或經病理診斷確認，使用於生殖器疣 (包括外生殖器及肛門附近)之治療。</w:t>
      </w:r>
    </w:p>
    <w:p w14:paraId="6E35D73B" w14:textId="77777777" w:rsidR="00401786" w:rsidRDefault="00C64FB3" w:rsidP="0009639E">
      <w:pPr>
        <w:spacing w:line="300" w:lineRule="exact"/>
        <w:ind w:left="782" w:hanging="216"/>
        <w:rPr>
          <w:rFonts w:ascii="標楷體" w:eastAsia="標楷體" w:hAnsi="標楷體"/>
          <w:color w:val="000000"/>
        </w:rPr>
      </w:pPr>
      <w:r>
        <w:rPr>
          <w:rFonts w:ascii="標楷體" w:eastAsia="標楷體" w:hAnsi="標楷體"/>
          <w:color w:val="000000"/>
        </w:rPr>
        <w:t>2.每次限給付乙支(5gm)，一個月內不得重複處方，每次療程</w:t>
      </w:r>
      <w:proofErr w:type="gramStart"/>
      <w:r>
        <w:rPr>
          <w:rFonts w:ascii="標楷體" w:eastAsia="標楷體" w:hAnsi="標楷體"/>
          <w:color w:val="000000"/>
        </w:rPr>
        <w:t>間應相隔</w:t>
      </w:r>
      <w:proofErr w:type="gramEnd"/>
      <w:r>
        <w:rPr>
          <w:rFonts w:ascii="標楷體" w:eastAsia="標楷體" w:hAnsi="標楷體"/>
          <w:color w:val="000000"/>
        </w:rPr>
        <w:t>至少3個月，治療期間不得與其它冷凍、電燒、雷射治療合併申報。</w:t>
      </w:r>
    </w:p>
    <w:p w14:paraId="228ED56A" w14:textId="77777777" w:rsidR="00401786" w:rsidRDefault="00C64FB3" w:rsidP="0009639E">
      <w:pPr>
        <w:spacing w:line="300" w:lineRule="exact"/>
        <w:ind w:left="780" w:hanging="216"/>
        <w:rPr>
          <w:rFonts w:ascii="標楷體" w:eastAsia="標楷體" w:hAnsi="標楷體"/>
          <w:color w:val="000000"/>
        </w:rPr>
      </w:pPr>
      <w:r>
        <w:rPr>
          <w:rFonts w:ascii="標楷體" w:eastAsia="標楷體" w:hAnsi="標楷體"/>
          <w:color w:val="000000"/>
        </w:rPr>
        <w:t>3.若病灶侵犯生殖器部位超過50%，每療程處方之總劑量以10gm為上限，並且需於</w:t>
      </w:r>
      <w:proofErr w:type="gramStart"/>
      <w:r>
        <w:rPr>
          <w:rFonts w:ascii="標楷體" w:eastAsia="標楷體" w:hAnsi="標楷體"/>
          <w:color w:val="000000"/>
        </w:rPr>
        <w:t>病歷上詳載</w:t>
      </w:r>
      <w:proofErr w:type="gramEnd"/>
      <w:r>
        <w:rPr>
          <w:rFonts w:ascii="標楷體" w:eastAsia="標楷體" w:hAnsi="標楷體"/>
          <w:color w:val="000000"/>
        </w:rPr>
        <w:t>，</w:t>
      </w:r>
      <w:proofErr w:type="gramStart"/>
      <w:r>
        <w:rPr>
          <w:rFonts w:ascii="標楷體" w:eastAsia="標楷體" w:hAnsi="標楷體"/>
          <w:color w:val="000000"/>
        </w:rPr>
        <w:t>併</w:t>
      </w:r>
      <w:proofErr w:type="gramEnd"/>
      <w:r>
        <w:rPr>
          <w:rFonts w:ascii="標楷體" w:eastAsia="標楷體" w:hAnsi="標楷體"/>
          <w:color w:val="000000"/>
        </w:rPr>
        <w:t>得合併申報冷凍、電燒或雷射治療。</w:t>
      </w:r>
    </w:p>
    <w:p w14:paraId="5C9E1B66"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13.14.Ingenol (如</w:t>
      </w:r>
      <w:proofErr w:type="spellStart"/>
      <w:r>
        <w:rPr>
          <w:rFonts w:ascii="標楷體" w:eastAsia="標楷體" w:hAnsi="標楷體"/>
          <w:color w:val="000000"/>
        </w:rPr>
        <w:t>Picato</w:t>
      </w:r>
      <w:proofErr w:type="spellEnd"/>
      <w:r>
        <w:rPr>
          <w:rFonts w:ascii="標楷體" w:eastAsia="標楷體" w:hAnsi="標楷體"/>
          <w:color w:val="000000"/>
        </w:rPr>
        <w:t>) ：(105/11/1)</w:t>
      </w:r>
    </w:p>
    <w:p w14:paraId="388DF45E" w14:textId="77777777" w:rsidR="00401786" w:rsidRDefault="00C64FB3" w:rsidP="0009639E">
      <w:pPr>
        <w:spacing w:line="300" w:lineRule="exact"/>
        <w:ind w:left="848" w:hanging="1"/>
        <w:rPr>
          <w:rFonts w:ascii="標楷體" w:eastAsia="標楷體" w:hAnsi="標楷體"/>
          <w:color w:val="000000"/>
        </w:rPr>
      </w:pPr>
      <w:r>
        <w:rPr>
          <w:rFonts w:ascii="標楷體" w:eastAsia="標楷體" w:hAnsi="標楷體"/>
          <w:color w:val="000000"/>
        </w:rPr>
        <w:t>限用於治療局部性、非過度角化 (non-hyperkeratotic)、非肥厚型(non-hypertrophic)光</w:t>
      </w:r>
      <w:proofErr w:type="gramStart"/>
      <w:r>
        <w:rPr>
          <w:rFonts w:ascii="標楷體" w:eastAsia="標楷體" w:hAnsi="標楷體"/>
          <w:color w:val="000000"/>
        </w:rPr>
        <w:t>化性角</w:t>
      </w:r>
      <w:proofErr w:type="gramEnd"/>
      <w:r>
        <w:rPr>
          <w:rFonts w:ascii="標楷體" w:eastAsia="標楷體" w:hAnsi="標楷體"/>
          <w:color w:val="000000"/>
        </w:rPr>
        <w:t>化症</w:t>
      </w:r>
    </w:p>
    <w:p w14:paraId="38E48B99" w14:textId="77777777" w:rsidR="00401786" w:rsidRDefault="00C64FB3" w:rsidP="0009639E">
      <w:pPr>
        <w:spacing w:line="300" w:lineRule="exact"/>
        <w:ind w:left="796" w:hanging="230"/>
      </w:pPr>
      <w:r>
        <w:rPr>
          <w:rFonts w:ascii="標楷體" w:eastAsia="標楷體" w:hAnsi="標楷體"/>
          <w:color w:val="000000"/>
        </w:rPr>
        <w:t>1.限用於局部性治療25cm</w:t>
      </w:r>
      <w:r>
        <w:rPr>
          <w:rFonts w:ascii="標楷體" w:eastAsia="標楷體" w:hAnsi="標楷體"/>
          <w:color w:val="000000"/>
          <w:vertAlign w:val="superscript"/>
        </w:rPr>
        <w:t>2</w:t>
      </w:r>
      <w:r>
        <w:rPr>
          <w:rFonts w:ascii="標楷體" w:eastAsia="標楷體" w:hAnsi="標楷體"/>
          <w:color w:val="000000"/>
        </w:rPr>
        <w:t xml:space="preserve">的連續治療面積內，4個(含)以上病灶數量。 </w:t>
      </w:r>
    </w:p>
    <w:p w14:paraId="32CC3111"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2.須經皮膚科醫師診斷為光</w:t>
      </w:r>
      <w:proofErr w:type="gramStart"/>
      <w:r>
        <w:rPr>
          <w:rFonts w:ascii="標楷體" w:eastAsia="標楷體" w:hAnsi="標楷體"/>
          <w:color w:val="000000"/>
        </w:rPr>
        <w:t>化性角</w:t>
      </w:r>
      <w:proofErr w:type="gramEnd"/>
      <w:r>
        <w:rPr>
          <w:rFonts w:ascii="標楷體" w:eastAsia="標楷體" w:hAnsi="標楷體"/>
          <w:color w:val="000000"/>
        </w:rPr>
        <w:t>化症，並附照片備查。</w:t>
      </w:r>
    </w:p>
    <w:p w14:paraId="5E8333C3"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 xml:space="preserve">3.療程: </w:t>
      </w:r>
    </w:p>
    <w:p w14:paraId="6A65B0D4"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(1)150微克/克(0.015%)用於臉部或頭皮，每天一次、連續塗抹3天，每部位每一次療程限處方3支； 500微克/克(0.05%)用於身軀或四肢，每天一次，連續塗抹2天，每部位每一次療程限處方2支。</w:t>
      </w:r>
    </w:p>
    <w:p w14:paraId="5A3DB1EB"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(2)若未達完全清除、或病灶復發或出現新病灶，須進行第二次療程，須距第一次療程八</w:t>
      </w:r>
      <w:proofErr w:type="gramStart"/>
      <w:r>
        <w:rPr>
          <w:rFonts w:ascii="標楷體" w:eastAsia="標楷體" w:hAnsi="標楷體"/>
          <w:color w:val="000000"/>
        </w:rPr>
        <w:t>週</w:t>
      </w:r>
      <w:proofErr w:type="gramEnd"/>
      <w:r>
        <w:rPr>
          <w:rFonts w:ascii="標楷體" w:eastAsia="標楷體" w:hAnsi="標楷體"/>
          <w:color w:val="000000"/>
        </w:rPr>
        <w:t>以上，</w:t>
      </w:r>
      <w:proofErr w:type="gramStart"/>
      <w:r>
        <w:rPr>
          <w:rFonts w:ascii="標楷體" w:eastAsia="標楷體" w:hAnsi="標楷體"/>
          <w:color w:val="000000"/>
        </w:rPr>
        <w:t>一</w:t>
      </w:r>
      <w:proofErr w:type="gramEnd"/>
      <w:r>
        <w:rPr>
          <w:rFonts w:ascii="標楷體" w:eastAsia="標楷體" w:hAnsi="標楷體"/>
          <w:color w:val="000000"/>
        </w:rPr>
        <w:t>年內以兩療程為限。</w:t>
      </w:r>
    </w:p>
    <w:p w14:paraId="0BDF7CB6"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(3)於局部治療範圍處，八</w:t>
      </w:r>
      <w:proofErr w:type="gramStart"/>
      <w:r>
        <w:rPr>
          <w:rFonts w:ascii="標楷體" w:eastAsia="標楷體" w:hAnsi="標楷體"/>
          <w:color w:val="000000"/>
        </w:rPr>
        <w:t>週</w:t>
      </w:r>
      <w:proofErr w:type="gramEnd"/>
      <w:r>
        <w:rPr>
          <w:rFonts w:ascii="標楷體" w:eastAsia="標楷體" w:hAnsi="標楷體"/>
          <w:color w:val="000000"/>
        </w:rPr>
        <w:t>內不得同時</w:t>
      </w:r>
      <w:proofErr w:type="gramStart"/>
      <w:r>
        <w:rPr>
          <w:rFonts w:ascii="標楷體" w:eastAsia="標楷體" w:hAnsi="標楷體"/>
          <w:color w:val="000000"/>
        </w:rPr>
        <w:t>併</w:t>
      </w:r>
      <w:proofErr w:type="gramEnd"/>
      <w:r>
        <w:rPr>
          <w:rFonts w:ascii="標楷體" w:eastAsia="標楷體" w:hAnsi="標楷體"/>
          <w:color w:val="000000"/>
        </w:rPr>
        <w:t>用其他光</w:t>
      </w:r>
      <w:proofErr w:type="gramStart"/>
      <w:r>
        <w:rPr>
          <w:rFonts w:ascii="標楷體" w:eastAsia="標楷體" w:hAnsi="標楷體"/>
          <w:color w:val="000000"/>
        </w:rPr>
        <w:t>化性角</w:t>
      </w:r>
      <w:proofErr w:type="gramEnd"/>
      <w:r>
        <w:rPr>
          <w:rFonts w:ascii="標楷體" w:eastAsia="標楷體" w:hAnsi="標楷體"/>
          <w:color w:val="000000"/>
        </w:rPr>
        <w:t>化症治療，如冷凍治療、雷射、電燒等。</w:t>
      </w:r>
    </w:p>
    <w:p w14:paraId="17BFFAA8"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13.15.Permethrin外用製劑：（106/9/1、111/6/1、113/12/1）</w:t>
      </w:r>
    </w:p>
    <w:p w14:paraId="3AFFBCC6"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1.每人每次處方使用30gm一支，需要時得於7天後再處方使用一支(限30gm)；若第1次處方使用60gm一支，則7天後之第2次治療不得再處方一支(30gm或60gm)。（106/9/1、111/6/1、113/12/1）</w:t>
      </w:r>
    </w:p>
    <w:p w14:paraId="7FF9C52D"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2.半年內需使用第3次時，須經皮膚科醫師確診處方。</w:t>
      </w:r>
    </w:p>
    <w:p w14:paraId="2C0E59F7" w14:textId="77777777" w:rsidR="00401786" w:rsidRDefault="00C64FB3" w:rsidP="0009639E">
      <w:pPr>
        <w:spacing w:line="300" w:lineRule="exact"/>
        <w:ind w:left="43"/>
      </w:pPr>
      <w:r>
        <w:rPr>
          <w:rFonts w:ascii="標楷體" w:eastAsia="標楷體" w:hAnsi="標楷體"/>
          <w:color w:val="000000"/>
        </w:rPr>
        <w:t>13.16.Ivermectin (如</w:t>
      </w:r>
      <w:proofErr w:type="spellStart"/>
      <w:r>
        <w:rPr>
          <w:rFonts w:ascii="標楷體" w:eastAsia="標楷體" w:hAnsi="標楷體"/>
          <w:color w:val="000000"/>
        </w:rPr>
        <w:t>Stromectol</w:t>
      </w:r>
      <w:proofErr w:type="spellEnd"/>
      <w:r>
        <w:rPr>
          <w:rFonts w:ascii="標楷體" w:eastAsia="標楷體" w:hAnsi="標楷體"/>
          <w:color w:val="000000"/>
        </w:rPr>
        <w:t>)：（107/8/1</w:t>
      </w:r>
      <w:r>
        <w:rPr>
          <w:rFonts w:ascii="標楷體" w:eastAsia="標楷體" w:hAnsi="標楷體"/>
          <w:color w:val="000000"/>
          <w:szCs w:val="24"/>
        </w:rPr>
        <w:t>、112/12/1</w:t>
      </w:r>
      <w:r>
        <w:rPr>
          <w:rFonts w:ascii="標楷體" w:eastAsia="標楷體" w:hAnsi="標楷體"/>
          <w:color w:val="000000"/>
        </w:rPr>
        <w:t>、113/4/1）</w:t>
      </w:r>
    </w:p>
    <w:p w14:paraId="3D9E3412"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限鏡檢</w:t>
      </w:r>
      <w:proofErr w:type="gramEnd"/>
      <w:r>
        <w:rPr>
          <w:rFonts w:ascii="標楷體" w:eastAsia="標楷體" w:hAnsi="標楷體"/>
          <w:color w:val="000000"/>
        </w:rPr>
        <w:t>呈陽性之確診的疥瘡病患使用，須附照片備查。</w:t>
      </w:r>
    </w:p>
    <w:p w14:paraId="79405A1F"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結痂性疥瘡</w:t>
      </w:r>
      <w:proofErr w:type="gramEnd"/>
      <w:r>
        <w:rPr>
          <w:rFonts w:ascii="標楷體" w:eastAsia="標楷體" w:hAnsi="標楷體"/>
          <w:color w:val="000000"/>
        </w:rPr>
        <w:t>患者，可合併外用疥瘡藥物治療，但需附照片備查，且每次處方時，限仍有新典型臨床病灶</w:t>
      </w:r>
      <w:proofErr w:type="gramStart"/>
      <w:r>
        <w:rPr>
          <w:rFonts w:ascii="標楷體" w:eastAsia="標楷體" w:hAnsi="標楷體"/>
          <w:color w:val="000000"/>
        </w:rPr>
        <w:t>及鏡檢呈</w:t>
      </w:r>
      <w:proofErr w:type="gramEnd"/>
      <w:r>
        <w:rPr>
          <w:rFonts w:ascii="標楷體" w:eastAsia="標楷體" w:hAnsi="標楷體"/>
          <w:color w:val="000000"/>
        </w:rPr>
        <w:t>陽性者。</w:t>
      </w:r>
    </w:p>
    <w:p w14:paraId="34CE5152" w14:textId="77777777" w:rsidR="00401786" w:rsidRDefault="00C64FB3" w:rsidP="0009639E">
      <w:pPr>
        <w:spacing w:line="300" w:lineRule="exact"/>
        <w:ind w:left="796" w:hanging="230"/>
        <w:rPr>
          <w:rFonts w:ascii="標楷體" w:eastAsia="標楷體" w:hAnsi="標楷體"/>
          <w:color w:val="000000"/>
          <w:kern w:val="0"/>
          <w:szCs w:val="24"/>
        </w:rPr>
      </w:pPr>
      <w:r>
        <w:rPr>
          <w:rFonts w:ascii="標楷體" w:eastAsia="標楷體" w:hAnsi="標楷體"/>
          <w:color w:val="000000"/>
          <w:kern w:val="0"/>
          <w:szCs w:val="24"/>
        </w:rPr>
        <w:t>3.保險對象收容於矯正機關者，依據「全民健康保險提供保險對象收容於矯正機關者醫療服務計畫」辦理。（112/12/1）</w:t>
      </w:r>
    </w:p>
    <w:p w14:paraId="6A128C94" w14:textId="77777777" w:rsidR="00401786" w:rsidRDefault="00C64FB3" w:rsidP="0009639E">
      <w:pPr>
        <w:spacing w:line="300" w:lineRule="exact"/>
        <w:ind w:left="796" w:hanging="230"/>
      </w:pPr>
      <w:r>
        <w:rPr>
          <w:rFonts w:ascii="標楷體" w:eastAsia="標楷體" w:hAnsi="標楷體"/>
          <w:color w:val="000000"/>
          <w:kern w:val="0"/>
        </w:rPr>
        <w:t>4.醫師於住宿型長期照顧機構為住民處方時，不</w:t>
      </w:r>
      <w:proofErr w:type="gramStart"/>
      <w:r>
        <w:rPr>
          <w:rFonts w:ascii="標楷體" w:eastAsia="標楷體" w:hAnsi="標楷體"/>
          <w:color w:val="000000"/>
          <w:kern w:val="0"/>
        </w:rPr>
        <w:t>限鏡檢確</w:t>
      </w:r>
      <w:proofErr w:type="gramEnd"/>
      <w:r>
        <w:rPr>
          <w:rFonts w:ascii="標楷體" w:eastAsia="標楷體" w:hAnsi="標楷體"/>
          <w:color w:val="000000"/>
          <w:kern w:val="0"/>
        </w:rPr>
        <w:t>診者使用，惟須附照片備查。（113/4/1）</w:t>
      </w:r>
    </w:p>
    <w:p w14:paraId="64A80924" w14:textId="795D35C8" w:rsidR="00401786" w:rsidRDefault="00AB4566" w:rsidP="00AB4566">
      <w:pPr>
        <w:spacing w:line="300" w:lineRule="exact"/>
        <w:ind w:left="480" w:hanging="480"/>
        <w:rPr>
          <w:rFonts w:ascii="標楷體" w:eastAsia="標楷體" w:hAnsi="標楷體"/>
          <w:color w:val="000000"/>
          <w:szCs w:val="24"/>
        </w:rPr>
      </w:pPr>
      <w:bookmarkStart w:id="85" w:name="_Hlk191288397"/>
      <w:r>
        <w:rPr>
          <w:rFonts w:ascii="標楷體" w:eastAsia="標楷體" w:hAnsi="標楷體"/>
          <w:color w:val="000000"/>
          <w:szCs w:val="24"/>
        </w:rPr>
        <w:t>13.17.</w:t>
      </w:r>
      <w:bookmarkEnd w:id="85"/>
      <w:r>
        <w:rPr>
          <w:rFonts w:ascii="標楷體" w:eastAsia="標楷體" w:hAnsi="標楷體"/>
          <w:color w:val="000000"/>
          <w:szCs w:val="24"/>
        </w:rPr>
        <w:t xml:space="preserve">Dupilumab (如Dupixent) ; </w:t>
      </w:r>
      <w:proofErr w:type="spellStart"/>
      <w:r>
        <w:rPr>
          <w:rFonts w:ascii="標楷體" w:eastAsia="標楷體" w:hAnsi="標楷體"/>
          <w:color w:val="000000"/>
          <w:szCs w:val="24"/>
        </w:rPr>
        <w:t>upadacitinib</w:t>
      </w:r>
      <w:proofErr w:type="spellEnd"/>
      <w:r>
        <w:rPr>
          <w:rFonts w:ascii="標楷體" w:eastAsia="標楷體" w:hAnsi="標楷體"/>
          <w:color w:val="000000"/>
          <w:szCs w:val="24"/>
        </w:rPr>
        <w:t>(如</w:t>
      </w:r>
      <w:proofErr w:type="spellStart"/>
      <w:r>
        <w:rPr>
          <w:rFonts w:ascii="標楷體" w:eastAsia="標楷體" w:hAnsi="標楷體"/>
          <w:color w:val="000000"/>
          <w:szCs w:val="24"/>
        </w:rPr>
        <w:t>Rinvoq</w:t>
      </w:r>
      <w:proofErr w:type="spellEnd"/>
      <w:r>
        <w:rPr>
          <w:rFonts w:ascii="標楷體" w:eastAsia="標楷體" w:hAnsi="標楷體"/>
          <w:color w:val="000000"/>
          <w:szCs w:val="24"/>
        </w:rPr>
        <w:t xml:space="preserve">) ; </w:t>
      </w:r>
      <w:proofErr w:type="spellStart"/>
      <w:r>
        <w:rPr>
          <w:rFonts w:ascii="標楷體" w:eastAsia="標楷體" w:hAnsi="標楷體"/>
          <w:color w:val="000000"/>
          <w:szCs w:val="24"/>
        </w:rPr>
        <w:t>abrocitinib</w:t>
      </w:r>
      <w:proofErr w:type="spellEnd"/>
      <w:r>
        <w:rPr>
          <w:rFonts w:ascii="標楷體" w:eastAsia="標楷體" w:hAnsi="標楷體"/>
          <w:color w:val="000000"/>
          <w:szCs w:val="24"/>
        </w:rPr>
        <w:t xml:space="preserve"> (如</w:t>
      </w:r>
      <w:proofErr w:type="spellStart"/>
      <w:r>
        <w:rPr>
          <w:rFonts w:ascii="標楷體" w:eastAsia="標楷體" w:hAnsi="標楷體"/>
          <w:color w:val="000000"/>
          <w:szCs w:val="24"/>
        </w:rPr>
        <w:t>Cibinqo</w:t>
      </w:r>
      <w:proofErr w:type="spellEnd"/>
      <w:r>
        <w:rPr>
          <w:rFonts w:ascii="標楷體" w:eastAsia="標楷體" w:hAnsi="標楷體"/>
          <w:color w:val="000000"/>
          <w:szCs w:val="24"/>
        </w:rPr>
        <w:t>)</w:t>
      </w:r>
      <w:r w:rsidRPr="00F94FED">
        <w:t xml:space="preserve"> </w:t>
      </w:r>
      <w:r w:rsidRPr="00F94FED">
        <w:rPr>
          <w:rFonts w:ascii="標楷體" w:eastAsia="標楷體" w:hAnsi="標楷體"/>
          <w:color w:val="000000"/>
          <w:szCs w:val="24"/>
        </w:rPr>
        <w:t>;</w:t>
      </w:r>
      <w:r w:rsidRPr="00F94FED">
        <w:rPr>
          <w:rFonts w:ascii="標楷體" w:eastAsia="標楷體" w:hAnsi="標楷體" w:hint="eastAsia"/>
          <w:color w:val="000000"/>
          <w:szCs w:val="24"/>
        </w:rPr>
        <w:t>lebrikizumab (如</w:t>
      </w:r>
      <w:proofErr w:type="spellStart"/>
      <w:r w:rsidRPr="00F94FED">
        <w:rPr>
          <w:rFonts w:ascii="標楷體" w:eastAsia="標楷體" w:hAnsi="標楷體" w:hint="eastAsia"/>
          <w:color w:val="000000"/>
          <w:szCs w:val="24"/>
        </w:rPr>
        <w:t>Ebglyss</w:t>
      </w:r>
      <w:proofErr w:type="spellEnd"/>
      <w:r w:rsidRPr="00F94FED">
        <w:rPr>
          <w:rFonts w:ascii="標楷體" w:eastAsia="標楷體" w:hAnsi="標楷體" w:hint="eastAsia"/>
          <w:color w:val="000000"/>
          <w:szCs w:val="24"/>
        </w:rPr>
        <w:t>)</w:t>
      </w:r>
      <w:r>
        <w:rPr>
          <w:rFonts w:ascii="標楷體" w:eastAsia="標楷體" w:hAnsi="標楷體"/>
          <w:color w:val="000000"/>
          <w:szCs w:val="24"/>
        </w:rPr>
        <w:t>：（108/12/1、109/8/1、111/8/1、112/4/1、112/6/1、112/8/1、113/2/1、113/8/1、114/6/1、11</w:t>
      </w:r>
      <w:r>
        <w:rPr>
          <w:rFonts w:ascii="標楷體" w:eastAsia="標楷體" w:hAnsi="標楷體" w:hint="eastAsia"/>
          <w:color w:val="000000"/>
          <w:szCs w:val="24"/>
        </w:rPr>
        <w:t>5</w:t>
      </w:r>
      <w:r>
        <w:rPr>
          <w:rFonts w:ascii="標楷體" w:eastAsia="標楷體" w:hAnsi="標楷體"/>
          <w:color w:val="000000"/>
          <w:szCs w:val="24"/>
        </w:rPr>
        <w:t>/6/1）</w:t>
      </w:r>
    </w:p>
    <w:p w14:paraId="3358AFE6" w14:textId="77777777" w:rsidR="00AB4566" w:rsidRDefault="00AB4566" w:rsidP="00AB4566">
      <w:pPr>
        <w:snapToGrid w:val="0"/>
        <w:spacing w:line="300" w:lineRule="exact"/>
        <w:ind w:left="284" w:hanging="283"/>
      </w:pPr>
      <w:bookmarkStart w:id="86" w:name="_Hlk191288427"/>
      <w:r>
        <w:rPr>
          <w:rFonts w:ascii="標楷體" w:eastAsia="標楷體" w:hAnsi="標楷體"/>
          <w:szCs w:val="24"/>
        </w:rPr>
        <w:t xml:space="preserve">13.17.1.Dupilumab(如Dupixent) ; </w:t>
      </w:r>
      <w:proofErr w:type="spellStart"/>
      <w:r>
        <w:rPr>
          <w:rFonts w:ascii="標楷體" w:eastAsia="標楷體" w:hAnsi="標楷體"/>
          <w:szCs w:val="24"/>
        </w:rPr>
        <w:t>upadacitinib</w:t>
      </w:r>
      <w:proofErr w:type="spellEnd"/>
      <w:r>
        <w:rPr>
          <w:rFonts w:ascii="標楷體" w:eastAsia="標楷體" w:hAnsi="標楷體"/>
          <w:szCs w:val="24"/>
        </w:rPr>
        <w:t>(如</w:t>
      </w:r>
      <w:proofErr w:type="spellStart"/>
      <w:r>
        <w:rPr>
          <w:rFonts w:ascii="標楷體" w:eastAsia="標楷體" w:hAnsi="標楷體"/>
          <w:szCs w:val="24"/>
        </w:rPr>
        <w:t>Rinvoq</w:t>
      </w:r>
      <w:proofErr w:type="spellEnd"/>
      <w:r>
        <w:rPr>
          <w:rFonts w:ascii="標楷體" w:eastAsia="標楷體" w:hAnsi="標楷體"/>
          <w:szCs w:val="24"/>
        </w:rPr>
        <w:t xml:space="preserve">) ; </w:t>
      </w:r>
      <w:proofErr w:type="spellStart"/>
      <w:r>
        <w:rPr>
          <w:rFonts w:ascii="標楷體" w:eastAsia="標楷體" w:hAnsi="標楷體"/>
          <w:szCs w:val="24"/>
        </w:rPr>
        <w:t>abrocitinib</w:t>
      </w:r>
      <w:proofErr w:type="spellEnd"/>
      <w:r>
        <w:rPr>
          <w:rFonts w:ascii="標楷體" w:eastAsia="標楷體" w:hAnsi="標楷體"/>
          <w:szCs w:val="24"/>
        </w:rPr>
        <w:t>(如</w:t>
      </w:r>
      <w:proofErr w:type="spellStart"/>
      <w:r>
        <w:rPr>
          <w:rFonts w:ascii="標楷體" w:eastAsia="標楷體" w:hAnsi="標楷體"/>
          <w:szCs w:val="24"/>
        </w:rPr>
        <w:t>Cibinqo</w:t>
      </w:r>
      <w:proofErr w:type="spellEnd"/>
      <w:r>
        <w:rPr>
          <w:rFonts w:ascii="標楷體" w:eastAsia="標楷體" w:hAnsi="標楷體"/>
          <w:szCs w:val="24"/>
        </w:rPr>
        <w:t>)</w:t>
      </w:r>
      <w:r w:rsidRPr="00F94FED">
        <w:rPr>
          <w:rFonts w:ascii="標楷體" w:eastAsia="標楷體" w:hAnsi="標楷體"/>
          <w:color w:val="000000"/>
          <w:szCs w:val="24"/>
        </w:rPr>
        <w:t xml:space="preserve"> ;</w:t>
      </w:r>
      <w:r w:rsidRPr="00F94FED">
        <w:rPr>
          <w:rFonts w:ascii="標楷體" w:eastAsia="標楷體" w:hAnsi="標楷體" w:hint="eastAsia"/>
          <w:color w:val="000000"/>
          <w:szCs w:val="24"/>
        </w:rPr>
        <w:t>lebrikizumab (如</w:t>
      </w:r>
      <w:proofErr w:type="spellStart"/>
      <w:r w:rsidRPr="00F94FED">
        <w:rPr>
          <w:rFonts w:ascii="標楷體" w:eastAsia="標楷體" w:hAnsi="標楷體" w:hint="eastAsia"/>
          <w:color w:val="000000"/>
          <w:szCs w:val="24"/>
        </w:rPr>
        <w:t>Ebglyss</w:t>
      </w:r>
      <w:proofErr w:type="spellEnd"/>
      <w:r w:rsidRPr="00F94FED">
        <w:rPr>
          <w:rFonts w:ascii="標楷體" w:eastAsia="標楷體" w:hAnsi="標楷體" w:hint="eastAsia"/>
          <w:color w:val="000000"/>
          <w:szCs w:val="24"/>
        </w:rPr>
        <w:t>)</w:t>
      </w:r>
      <w:r>
        <w:rPr>
          <w:rFonts w:ascii="標楷體" w:eastAsia="標楷體" w:hAnsi="標楷體"/>
          <w:szCs w:val="24"/>
        </w:rPr>
        <w:t>（113/2/1、113/8/1、114/6/1</w:t>
      </w:r>
      <w:r>
        <w:rPr>
          <w:rFonts w:ascii="標楷體" w:eastAsia="標楷體" w:hAnsi="標楷體"/>
          <w:color w:val="000000"/>
          <w:szCs w:val="24"/>
        </w:rPr>
        <w:t>、11</w:t>
      </w:r>
      <w:r>
        <w:rPr>
          <w:rFonts w:ascii="標楷體" w:eastAsia="標楷體" w:hAnsi="標楷體" w:hint="eastAsia"/>
          <w:color w:val="000000"/>
          <w:szCs w:val="24"/>
        </w:rPr>
        <w:t>5</w:t>
      </w:r>
      <w:r>
        <w:rPr>
          <w:rFonts w:ascii="標楷體" w:eastAsia="標楷體" w:hAnsi="標楷體"/>
          <w:color w:val="000000"/>
          <w:szCs w:val="24"/>
        </w:rPr>
        <w:t>/6/1</w:t>
      </w:r>
      <w:r>
        <w:rPr>
          <w:rFonts w:ascii="標楷體" w:eastAsia="標楷體" w:hAnsi="標楷體"/>
          <w:szCs w:val="24"/>
        </w:rPr>
        <w:t>）(12歲以上病人治療部分)</w:t>
      </w:r>
    </w:p>
    <w:bookmarkEnd w:id="86"/>
    <w:p w14:paraId="6C60DDF3"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1.處方科別如下：(111/8/1)</w:t>
      </w:r>
    </w:p>
    <w:p w14:paraId="5B2F937C"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(1)18歲以上患者：限皮膚科及風濕免疫科專科醫師處方。</w:t>
      </w:r>
    </w:p>
    <w:p w14:paraId="4B39DE94"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(2)12歲以上至未滿18歲患者：限皮膚科專科醫師，或具兒童過敏免疫風濕專長之兒科專科醫師處方。</w:t>
      </w:r>
    </w:p>
    <w:p w14:paraId="061CA824"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2.限用於經照光治療及其他系統性(全身性)治療無效(治療需6個月的完整療程，得合併它院就診病歷)，或因醫療因素而無法接受照光治療及其他系統性(全身性)治療之全身慢性中重度之異位性皮膚炎患者。(111/8/1)</w:t>
      </w:r>
    </w:p>
    <w:p w14:paraId="146B0E6D"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lastRenderedPageBreak/>
        <w:t xml:space="preserve">(1)所稱慢性中重度之異位性皮膚炎，指病灶持續至少6個月，且Eczema area severity index (EASI) </w:t>
      </w:r>
      <w:proofErr w:type="gramStart"/>
      <w:r>
        <w:rPr>
          <w:rFonts w:ascii="標楷體" w:eastAsia="標楷體" w:hAnsi="標楷體"/>
          <w:color w:val="000000"/>
          <w:szCs w:val="24"/>
        </w:rPr>
        <w:t>≧</w:t>
      </w:r>
      <w:proofErr w:type="gramEnd"/>
      <w:r>
        <w:rPr>
          <w:rFonts w:ascii="標楷體" w:eastAsia="標楷體" w:hAnsi="標楷體"/>
          <w:color w:val="000000"/>
          <w:szCs w:val="24"/>
        </w:rPr>
        <w:t>16且異位性皮膚炎皮膚紅腫體表面積需</w:t>
      </w:r>
      <w:proofErr w:type="gramStart"/>
      <w:r>
        <w:rPr>
          <w:rFonts w:ascii="標楷體" w:eastAsia="標楷體" w:hAnsi="標楷體"/>
          <w:color w:val="000000"/>
          <w:szCs w:val="24"/>
        </w:rPr>
        <w:t>≧</w:t>
      </w:r>
      <w:proofErr w:type="gramEnd"/>
      <w:r>
        <w:rPr>
          <w:rFonts w:ascii="標楷體" w:eastAsia="標楷體" w:hAnsi="標楷體"/>
          <w:color w:val="000000"/>
          <w:szCs w:val="24"/>
        </w:rPr>
        <w:t>30%且Investigator's  Global Assessment (IGA):3~4。(111/8/1)</w:t>
      </w:r>
    </w:p>
    <w:p w14:paraId="6A15188D" w14:textId="77777777" w:rsidR="00AB4566" w:rsidRDefault="00AB4566" w:rsidP="00AB4566">
      <w:pPr>
        <w:suppressAutoHyphens w:val="0"/>
        <w:spacing w:line="300" w:lineRule="exact"/>
        <w:ind w:left="1133" w:hanging="425"/>
        <w:textAlignment w:val="auto"/>
        <w:rPr>
          <w:rFonts w:ascii="標楷體" w:eastAsia="標楷體" w:hAnsi="標楷體"/>
          <w:color w:val="000000"/>
          <w:szCs w:val="24"/>
        </w:rPr>
      </w:pPr>
      <w:proofErr w:type="gramStart"/>
      <w:r>
        <w:rPr>
          <w:rFonts w:ascii="標楷體" w:eastAsia="標楷體" w:hAnsi="標楷體"/>
          <w:color w:val="000000"/>
          <w:szCs w:val="24"/>
        </w:rPr>
        <w:t>註</w:t>
      </w:r>
      <w:proofErr w:type="gramEnd"/>
      <w:r>
        <w:rPr>
          <w:rFonts w:ascii="標楷體" w:eastAsia="標楷體" w:hAnsi="標楷體"/>
          <w:color w:val="000000"/>
          <w:szCs w:val="24"/>
        </w:rPr>
        <w:t>：Eczema area severity index (EASI)之異位性皮膚炎面積計算，只含皮膚紅腫濕疹部位，單純的皮膚</w:t>
      </w:r>
      <w:proofErr w:type="gramStart"/>
      <w:r>
        <w:rPr>
          <w:rFonts w:ascii="標楷體" w:eastAsia="標楷體" w:hAnsi="標楷體"/>
          <w:color w:val="000000"/>
          <w:szCs w:val="24"/>
        </w:rPr>
        <w:t>乾燥、</w:t>
      </w:r>
      <w:proofErr w:type="gramEnd"/>
      <w:r>
        <w:rPr>
          <w:rFonts w:ascii="標楷體" w:eastAsia="標楷體" w:hAnsi="標楷體"/>
          <w:color w:val="000000"/>
          <w:szCs w:val="24"/>
        </w:rPr>
        <w:t>脫皮、抓痕，不可列入計算。</w:t>
      </w:r>
    </w:p>
    <w:p w14:paraId="465BD8D3"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(2)所稱治療無效，指經完整療程後，3個月內連續兩次評估，嚴重度均符合</w:t>
      </w:r>
      <w:proofErr w:type="gramStart"/>
      <w:r>
        <w:rPr>
          <w:rFonts w:ascii="標楷體" w:eastAsia="標楷體" w:hAnsi="標楷體"/>
          <w:color w:val="000000"/>
          <w:szCs w:val="24"/>
        </w:rPr>
        <w:t>上列第</w:t>
      </w:r>
      <w:proofErr w:type="gramEnd"/>
      <w:r>
        <w:rPr>
          <w:rFonts w:ascii="標楷體" w:eastAsia="標楷體" w:hAnsi="標楷體"/>
          <w:color w:val="000000"/>
          <w:szCs w:val="24"/>
        </w:rPr>
        <w:t>(1)點情況，且兩次評估</w:t>
      </w:r>
      <w:proofErr w:type="gramStart"/>
      <w:r>
        <w:rPr>
          <w:rFonts w:ascii="標楷體" w:eastAsia="標楷體" w:hAnsi="標楷體"/>
          <w:color w:val="000000"/>
          <w:szCs w:val="24"/>
        </w:rPr>
        <w:t>之間相隔至少</w:t>
      </w:r>
      <w:proofErr w:type="gramEnd"/>
      <w:r>
        <w:rPr>
          <w:rFonts w:ascii="標楷體" w:eastAsia="標楷體" w:hAnsi="標楷體"/>
          <w:color w:val="000000"/>
          <w:szCs w:val="24"/>
        </w:rPr>
        <w:t>4</w:t>
      </w:r>
      <w:proofErr w:type="gramStart"/>
      <w:r>
        <w:rPr>
          <w:rFonts w:ascii="標楷體" w:eastAsia="標楷體" w:hAnsi="標楷體"/>
          <w:color w:val="000000"/>
          <w:szCs w:val="24"/>
        </w:rPr>
        <w:t>週</w:t>
      </w:r>
      <w:proofErr w:type="gramEnd"/>
      <w:r>
        <w:rPr>
          <w:rFonts w:ascii="標楷體" w:eastAsia="標楷體" w:hAnsi="標楷體"/>
          <w:color w:val="000000"/>
          <w:szCs w:val="24"/>
        </w:rPr>
        <w:t>。。</w:t>
      </w:r>
    </w:p>
    <w:p w14:paraId="4C99FD4E"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Ⅰ.治療必須包括足量之照光治療及包括以下三種系統性(全身性)治療之至少二種，包括methotrexate、azathioprine、cyclosporin。</w:t>
      </w:r>
    </w:p>
    <w:p w14:paraId="4A976D55"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Ⅱ.照光治療應依學理，如光化療法(PUVA)及窄頻UVB(</w:t>
      </w:r>
      <w:proofErr w:type="spellStart"/>
      <w:r>
        <w:rPr>
          <w:rFonts w:ascii="標楷體" w:eastAsia="標楷體" w:hAnsi="標楷體"/>
          <w:color w:val="000000"/>
          <w:szCs w:val="24"/>
        </w:rPr>
        <w:t>nb</w:t>
      </w:r>
      <w:proofErr w:type="spellEnd"/>
      <w:r>
        <w:rPr>
          <w:rFonts w:ascii="標楷體" w:eastAsia="標楷體" w:hAnsi="標楷體"/>
          <w:color w:val="000000"/>
          <w:szCs w:val="24"/>
        </w:rPr>
        <w:t>-UVB)必須每週至少2次，療程達12</w:t>
      </w:r>
      <w:proofErr w:type="gramStart"/>
      <w:r>
        <w:rPr>
          <w:rFonts w:ascii="標楷體" w:eastAsia="標楷體" w:hAnsi="標楷體"/>
          <w:color w:val="000000"/>
          <w:szCs w:val="24"/>
        </w:rPr>
        <w:t>週</w:t>
      </w:r>
      <w:proofErr w:type="gramEnd"/>
      <w:r>
        <w:rPr>
          <w:rFonts w:ascii="標楷體" w:eastAsia="標楷體" w:hAnsi="標楷體"/>
          <w:color w:val="000000"/>
          <w:szCs w:val="24"/>
        </w:rPr>
        <w:t>。申請時必須附病歷影印及詳細照光劑量紀錄。</w:t>
      </w:r>
    </w:p>
    <w:p w14:paraId="2E4A211C"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Ⅲ.前開免疫抑制劑之劑量：</w:t>
      </w:r>
    </w:p>
    <w:p w14:paraId="6CE4F0BB"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i.18歲以上患者：Methotrexate合理劑量需達每週15mg、azathioprine為2mg/kg/d、cyclosporin為5mg/kg/d，足量治療至少各分別使用12</w:t>
      </w:r>
      <w:proofErr w:type="gramStart"/>
      <w:r>
        <w:rPr>
          <w:rFonts w:ascii="標楷體" w:eastAsia="標楷體" w:hAnsi="標楷體"/>
          <w:color w:val="000000"/>
          <w:szCs w:val="24"/>
        </w:rPr>
        <w:t>週</w:t>
      </w:r>
      <w:proofErr w:type="gramEnd"/>
      <w:r>
        <w:rPr>
          <w:rFonts w:ascii="標楷體" w:eastAsia="標楷體" w:hAnsi="標楷體"/>
          <w:color w:val="000000"/>
          <w:szCs w:val="24"/>
        </w:rPr>
        <w:t>無效或是有客觀證據產生不良反應(</w:t>
      </w:r>
      <w:proofErr w:type="gramStart"/>
      <w:r>
        <w:rPr>
          <w:rFonts w:ascii="標楷體" w:eastAsia="標楷體" w:hAnsi="標楷體"/>
          <w:color w:val="000000"/>
          <w:szCs w:val="24"/>
        </w:rPr>
        <w:t>如相隔</w:t>
      </w:r>
      <w:proofErr w:type="gramEnd"/>
      <w:r>
        <w:rPr>
          <w:rFonts w:ascii="標楷體" w:eastAsia="標楷體" w:hAnsi="標楷體"/>
          <w:color w:val="000000"/>
          <w:szCs w:val="24"/>
        </w:rPr>
        <w:t>至少4</w:t>
      </w:r>
      <w:proofErr w:type="gramStart"/>
      <w:r>
        <w:rPr>
          <w:rFonts w:ascii="標楷體" w:eastAsia="標楷體" w:hAnsi="標楷體"/>
          <w:color w:val="000000"/>
          <w:szCs w:val="24"/>
        </w:rPr>
        <w:t>週</w:t>
      </w:r>
      <w:proofErr w:type="gramEnd"/>
      <w:r>
        <w:rPr>
          <w:rFonts w:ascii="標楷體" w:eastAsia="標楷體" w:hAnsi="標楷體"/>
          <w:color w:val="000000"/>
          <w:szCs w:val="24"/>
        </w:rPr>
        <w:t>，兩次肝功能AST/ALT &gt;2.5 UNL，白血球低於4000/</w:t>
      </w:r>
      <w:proofErr w:type="spellStart"/>
      <w:r>
        <w:rPr>
          <w:rFonts w:ascii="標楷體" w:eastAsia="標楷體" w:hAnsi="標楷體"/>
          <w:color w:val="000000"/>
          <w:szCs w:val="24"/>
        </w:rPr>
        <w:t>μL</w:t>
      </w:r>
      <w:proofErr w:type="spellEnd"/>
      <w:r>
        <w:rPr>
          <w:rFonts w:ascii="標楷體" w:eastAsia="標楷體" w:hAnsi="標楷體"/>
          <w:color w:val="000000"/>
          <w:szCs w:val="24"/>
        </w:rPr>
        <w:t>，高血壓或腎功能異常，或是至少兩次經培養確診之皰疹性皮膚炎)或有禁忌症後，且不應同時合併使用兩種或以上傳統用藥。</w:t>
      </w:r>
    </w:p>
    <w:p w14:paraId="25F433AA"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ii.12歲以上至未滿18歲患者：Methotrexate合理劑量需達每週10mg、azathioprine為1.0mg/kg/d、cyclosporin為2.5mg/kg/d，足量治療至少各分別使用12</w:t>
      </w:r>
      <w:proofErr w:type="gramStart"/>
      <w:r>
        <w:rPr>
          <w:rFonts w:ascii="標楷體" w:eastAsia="標楷體" w:hAnsi="標楷體"/>
          <w:color w:val="000000"/>
          <w:szCs w:val="24"/>
        </w:rPr>
        <w:t>週</w:t>
      </w:r>
      <w:proofErr w:type="gramEnd"/>
      <w:r>
        <w:rPr>
          <w:rFonts w:ascii="標楷體" w:eastAsia="標楷體" w:hAnsi="標楷體"/>
          <w:color w:val="000000"/>
          <w:szCs w:val="24"/>
        </w:rPr>
        <w:t>治療無效或是有客觀證據產生不良反應(如肝功能AST/ALT &gt;2.5 UNL，白血球低於4000/</w:t>
      </w:r>
      <w:proofErr w:type="spellStart"/>
      <w:r>
        <w:rPr>
          <w:rFonts w:ascii="標楷體" w:eastAsia="標楷體" w:hAnsi="標楷體"/>
          <w:color w:val="000000"/>
          <w:szCs w:val="24"/>
        </w:rPr>
        <w:t>μL</w:t>
      </w:r>
      <w:proofErr w:type="spellEnd"/>
      <w:r>
        <w:rPr>
          <w:rFonts w:ascii="標楷體" w:eastAsia="標楷體" w:hAnsi="標楷體"/>
          <w:color w:val="000000"/>
          <w:szCs w:val="24"/>
        </w:rPr>
        <w:t>，高血壓或腎功能異常，或是經培養確診之皰疹性皮膚炎)或有禁忌症後，且不應同時合併使用兩種或以上傳統用藥。</w:t>
      </w:r>
    </w:p>
    <w:p w14:paraId="246ED2CE"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iii.若臨床上發生無法耐受或特殊體質者(例如NUDT15或TPMT代謝不良基因變異型、肝腎功能不佳、或曾因服用上述藥物發生嚴重感染)，得降低前述系統性治療藥物之合理劑量(病歷中須詳述說明及紀載)。</w:t>
      </w:r>
    </w:p>
    <w:p w14:paraId="4A99FEB4"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(3)所稱醫療因素，係指如光過敏(經photo patch test)、白化症（Albinism）及多形性日光疹(PMLE)，或光照會使原有疾病惡化者(如紅斑性狼瘡(LE)、</w:t>
      </w:r>
      <w:proofErr w:type="gramStart"/>
      <w:r>
        <w:rPr>
          <w:rFonts w:ascii="標楷體" w:eastAsia="標楷體" w:hAnsi="標楷體"/>
          <w:color w:val="000000"/>
          <w:szCs w:val="24"/>
        </w:rPr>
        <w:t>皮肌炎</w:t>
      </w:r>
      <w:proofErr w:type="gramEnd"/>
      <w:r>
        <w:rPr>
          <w:rFonts w:ascii="標楷體" w:eastAsia="標楷體" w:hAnsi="標楷體"/>
          <w:color w:val="000000"/>
          <w:szCs w:val="24"/>
        </w:rPr>
        <w:t>(DM)、</w:t>
      </w:r>
      <w:proofErr w:type="gramStart"/>
      <w:r>
        <w:rPr>
          <w:rFonts w:ascii="標楷體" w:eastAsia="標楷體" w:hAnsi="標楷體"/>
          <w:color w:val="000000"/>
          <w:szCs w:val="24"/>
        </w:rPr>
        <w:t>著色性乾皮</w:t>
      </w:r>
      <w:proofErr w:type="gramEnd"/>
      <w:r>
        <w:rPr>
          <w:rFonts w:ascii="標楷體" w:eastAsia="標楷體" w:hAnsi="標楷體"/>
          <w:color w:val="000000"/>
          <w:szCs w:val="24"/>
        </w:rPr>
        <w:t>症(XP)、</w:t>
      </w:r>
      <w:proofErr w:type="gramStart"/>
      <w:r>
        <w:rPr>
          <w:rFonts w:ascii="標楷體" w:eastAsia="標楷體" w:hAnsi="標楷體"/>
          <w:color w:val="000000"/>
          <w:szCs w:val="24"/>
        </w:rPr>
        <w:t>紫質症</w:t>
      </w:r>
      <w:proofErr w:type="gramEnd"/>
      <w:r>
        <w:rPr>
          <w:rFonts w:ascii="標楷體" w:eastAsia="標楷體" w:hAnsi="標楷體"/>
          <w:color w:val="000000"/>
          <w:szCs w:val="24"/>
        </w:rPr>
        <w:t xml:space="preserve">(PCT)及基底細胞母斑症候群(NBCCS))，或經皮膚科醫師確診之光敏感性疾病〔慢性光激性皮炎(chronic actinic dermatitis)、日光性蕁麻疹(solar urticaria)〕、皮膚癌(skin cancer) 或有皮膚癌家族史。 </w:t>
      </w:r>
    </w:p>
    <w:p w14:paraId="10CD1F61"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3.需經事前審查核准後使用。</w:t>
      </w:r>
    </w:p>
    <w:p w14:paraId="28397381"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(1)初次申請時，以6個月為1個療程。經</w:t>
      </w:r>
      <w:proofErr w:type="gramStart"/>
      <w:r>
        <w:rPr>
          <w:rFonts w:ascii="標楷體" w:eastAsia="標楷體" w:hAnsi="標楷體"/>
          <w:color w:val="000000"/>
          <w:szCs w:val="24"/>
        </w:rPr>
        <w:t>評估需續用</w:t>
      </w:r>
      <w:proofErr w:type="gramEnd"/>
      <w:r>
        <w:rPr>
          <w:rFonts w:ascii="標楷體" w:eastAsia="標楷體" w:hAnsi="標楷體"/>
          <w:color w:val="000000"/>
          <w:szCs w:val="24"/>
        </w:rPr>
        <w:t>者，每6個月需再次提出事前審查申請續用評估，且應於期滿前1個月提出，並於</w:t>
      </w:r>
      <w:proofErr w:type="gramStart"/>
      <w:r>
        <w:rPr>
          <w:rFonts w:ascii="標楷體" w:eastAsia="標楷體" w:hAnsi="標楷體"/>
          <w:color w:val="000000"/>
          <w:szCs w:val="24"/>
        </w:rPr>
        <w:t>申請時檢附</w:t>
      </w:r>
      <w:proofErr w:type="gramEnd"/>
      <w:r>
        <w:rPr>
          <w:rFonts w:ascii="標楷體" w:eastAsia="標楷體" w:hAnsi="標楷體"/>
          <w:color w:val="000000"/>
          <w:szCs w:val="24"/>
        </w:rPr>
        <w:t>照片。</w:t>
      </w:r>
    </w:p>
    <w:p w14:paraId="3F10D63C"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(2)初次申請經核准，於治療滿6個月後，經</w:t>
      </w:r>
      <w:proofErr w:type="gramStart"/>
      <w:r>
        <w:rPr>
          <w:rFonts w:ascii="標楷體" w:eastAsia="標楷體" w:hAnsi="標楷體"/>
          <w:color w:val="000000"/>
          <w:szCs w:val="24"/>
        </w:rPr>
        <w:t>評估需續用</w:t>
      </w:r>
      <w:proofErr w:type="gramEnd"/>
      <w:r>
        <w:rPr>
          <w:rFonts w:ascii="標楷體" w:eastAsia="標楷體" w:hAnsi="標楷體"/>
          <w:color w:val="000000"/>
          <w:szCs w:val="24"/>
        </w:rPr>
        <w:t xml:space="preserve">者，申請續用時，需檢附照片證明初次申請治療6個月後，與初次治療前之療效達EASI 50方可申請使用。停藥超過3個月再申請者，視同新申請案件，否則視為續用案件。 </w:t>
      </w:r>
    </w:p>
    <w:p w14:paraId="03F78262"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(3)使用劑量：(112/4/1、112/6/1、112/8/1、113/8/1)</w:t>
      </w:r>
    </w:p>
    <w:p w14:paraId="4951A120" w14:textId="77777777" w:rsidR="00AB4566" w:rsidRDefault="00AB4566" w:rsidP="00AB4566">
      <w:pPr>
        <w:spacing w:line="300" w:lineRule="exact"/>
        <w:ind w:left="1276" w:hanging="383"/>
        <w:rPr>
          <w:rFonts w:ascii="標楷體" w:eastAsia="標楷體" w:hAnsi="標楷體"/>
          <w:color w:val="000000"/>
          <w:szCs w:val="24"/>
        </w:rPr>
      </w:pPr>
      <w:proofErr w:type="spellStart"/>
      <w:r>
        <w:rPr>
          <w:rFonts w:ascii="標楷體" w:eastAsia="標楷體" w:hAnsi="標楷體"/>
          <w:color w:val="000000"/>
          <w:szCs w:val="24"/>
        </w:rPr>
        <w:t>I.dupilumab</w:t>
      </w:r>
      <w:proofErr w:type="spellEnd"/>
      <w:r>
        <w:rPr>
          <w:rFonts w:ascii="標楷體" w:eastAsia="標楷體" w:hAnsi="標楷體"/>
          <w:color w:val="000000"/>
          <w:szCs w:val="24"/>
        </w:rPr>
        <w:t>：</w:t>
      </w:r>
    </w:p>
    <w:p w14:paraId="5B9F12F4"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i.18歲以上:起始劑量600mg (限300mg注射2劑)，接著以300mg隔</w:t>
      </w:r>
      <w:proofErr w:type="gramStart"/>
      <w:r>
        <w:rPr>
          <w:rFonts w:ascii="標楷體" w:eastAsia="標楷體" w:hAnsi="標楷體"/>
          <w:color w:val="000000"/>
          <w:szCs w:val="24"/>
        </w:rPr>
        <w:t>週</w:t>
      </w:r>
      <w:proofErr w:type="gramEnd"/>
      <w:r>
        <w:rPr>
          <w:rFonts w:ascii="標楷體" w:eastAsia="標楷體" w:hAnsi="標楷體"/>
          <w:color w:val="000000"/>
          <w:szCs w:val="24"/>
        </w:rPr>
        <w:t>注射一次，且於16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00A6FBAD"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ii.12歲以上至未滿18歲：</w:t>
      </w:r>
    </w:p>
    <w:p w14:paraId="2111D7F1" w14:textId="77777777" w:rsidR="00AB4566" w:rsidRDefault="00AB4566" w:rsidP="00AB4566">
      <w:pPr>
        <w:spacing w:line="300" w:lineRule="exact"/>
        <w:ind w:left="1701" w:hanging="513"/>
      </w:pPr>
      <w:r>
        <w:rPr>
          <w:rFonts w:ascii="標楷體" w:eastAsia="標楷體" w:hAnsi="標楷體"/>
          <w:color w:val="000000"/>
          <w:szCs w:val="24"/>
        </w:rPr>
        <w:t>(</w:t>
      </w:r>
      <w:r>
        <w:rPr>
          <w:rFonts w:ascii="新細明體" w:hAnsi="新細明體" w:cs="新細明體"/>
          <w:color w:val="000000"/>
          <w:szCs w:val="24"/>
        </w:rPr>
        <w:t>ⅰ</w:t>
      </w:r>
      <w:r>
        <w:rPr>
          <w:rFonts w:ascii="標楷體" w:eastAsia="標楷體" w:hAnsi="標楷體"/>
          <w:color w:val="000000"/>
          <w:szCs w:val="24"/>
        </w:rPr>
        <w:t>)</w:t>
      </w:r>
      <w:r>
        <w:rPr>
          <w:rFonts w:ascii="標楷體" w:eastAsia="標楷體" w:hAnsi="標楷體"/>
          <w:szCs w:val="24"/>
        </w:rPr>
        <w:t>體重</w:t>
      </w:r>
      <w:r>
        <w:rPr>
          <w:rFonts w:ascii="標楷體" w:eastAsia="標楷體" w:hAnsi="標楷體"/>
          <w:color w:val="000000"/>
          <w:szCs w:val="24"/>
        </w:rPr>
        <w:t>15公斤以上至未滿30公斤：起始劑量600mg (限300mg注射兩劑) ，接著以300mg隔4</w:t>
      </w:r>
      <w:proofErr w:type="gramStart"/>
      <w:r>
        <w:rPr>
          <w:rFonts w:ascii="標楷體" w:eastAsia="標楷體" w:hAnsi="標楷體"/>
          <w:color w:val="000000"/>
          <w:szCs w:val="24"/>
        </w:rPr>
        <w:t>週</w:t>
      </w:r>
      <w:proofErr w:type="gramEnd"/>
      <w:r>
        <w:rPr>
          <w:rFonts w:ascii="標楷體" w:eastAsia="標楷體" w:hAnsi="標楷體"/>
          <w:color w:val="000000"/>
          <w:szCs w:val="24"/>
        </w:rPr>
        <w:t>注射一次，且於16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449605F4" w14:textId="77777777" w:rsidR="00AB4566" w:rsidRDefault="00AB4566" w:rsidP="00AB4566">
      <w:pPr>
        <w:spacing w:line="300" w:lineRule="exact"/>
        <w:ind w:left="1701" w:hanging="513"/>
      </w:pPr>
      <w:r>
        <w:rPr>
          <w:rFonts w:ascii="標楷體" w:eastAsia="標楷體" w:hAnsi="標楷體"/>
          <w:color w:val="000000"/>
          <w:szCs w:val="24"/>
        </w:rPr>
        <w:t>(</w:t>
      </w:r>
      <w:r>
        <w:rPr>
          <w:rFonts w:ascii="新細明體" w:hAnsi="新細明體" w:cs="新細明體"/>
          <w:color w:val="000000"/>
          <w:szCs w:val="24"/>
        </w:rPr>
        <w:t>ⅱ</w:t>
      </w:r>
      <w:r>
        <w:rPr>
          <w:rFonts w:ascii="標楷體" w:eastAsia="標楷體" w:hAnsi="標楷體"/>
          <w:color w:val="000000"/>
          <w:szCs w:val="24"/>
        </w:rPr>
        <w:t>)體重</w:t>
      </w:r>
      <w:r>
        <w:rPr>
          <w:rFonts w:ascii="標楷體" w:eastAsia="標楷體" w:hAnsi="標楷體"/>
          <w:szCs w:val="24"/>
        </w:rPr>
        <w:t>30公斤以上至未滿60公斤：起始劑量400mg (限200mg注射兩劑) ，接著以200mg隔</w:t>
      </w:r>
      <w:proofErr w:type="gramStart"/>
      <w:r>
        <w:rPr>
          <w:rFonts w:ascii="標楷體" w:eastAsia="標楷體" w:hAnsi="標楷體"/>
          <w:szCs w:val="24"/>
        </w:rPr>
        <w:t>週</w:t>
      </w:r>
      <w:proofErr w:type="gramEnd"/>
      <w:r>
        <w:rPr>
          <w:rFonts w:ascii="標楷體" w:eastAsia="標楷體" w:hAnsi="標楷體"/>
          <w:szCs w:val="24"/>
        </w:rPr>
        <w:t>注射一次，且於16</w:t>
      </w:r>
      <w:proofErr w:type="gramStart"/>
      <w:r>
        <w:rPr>
          <w:rFonts w:ascii="標楷體" w:eastAsia="標楷體" w:hAnsi="標楷體"/>
          <w:szCs w:val="24"/>
        </w:rPr>
        <w:t>週</w:t>
      </w:r>
      <w:proofErr w:type="gramEnd"/>
      <w:r>
        <w:rPr>
          <w:rFonts w:ascii="標楷體" w:eastAsia="標楷體" w:hAnsi="標楷體"/>
          <w:szCs w:val="24"/>
        </w:rPr>
        <w:t>時，須先行評估，至少有EASI 50療效方可使用。</w:t>
      </w:r>
    </w:p>
    <w:p w14:paraId="4A6F38F8" w14:textId="77777777" w:rsidR="00AB4566" w:rsidRDefault="00AB4566" w:rsidP="00AB4566">
      <w:pPr>
        <w:spacing w:line="300" w:lineRule="exact"/>
        <w:ind w:left="1701" w:hanging="513"/>
      </w:pPr>
      <w:r>
        <w:rPr>
          <w:rFonts w:ascii="標楷體" w:eastAsia="標楷體" w:hAnsi="標楷體"/>
          <w:szCs w:val="24"/>
        </w:rPr>
        <w:lastRenderedPageBreak/>
        <w:t>(</w:t>
      </w:r>
      <w:r>
        <w:rPr>
          <w:rFonts w:ascii="新細明體" w:hAnsi="新細明體" w:cs="新細明體"/>
          <w:szCs w:val="24"/>
        </w:rPr>
        <w:t>ⅲ</w:t>
      </w:r>
      <w:r>
        <w:rPr>
          <w:rFonts w:ascii="標楷體" w:eastAsia="標楷體" w:hAnsi="標楷體"/>
          <w:szCs w:val="24"/>
        </w:rPr>
        <w:t>)體重6</w:t>
      </w:r>
      <w:r>
        <w:rPr>
          <w:rFonts w:ascii="標楷體" w:eastAsia="標楷體" w:hAnsi="標楷體"/>
          <w:color w:val="000000"/>
          <w:szCs w:val="24"/>
        </w:rPr>
        <w:t>0公斤以上：起始劑量600mg (限300mg注射兩劑) ，接著以300mg隔</w:t>
      </w:r>
      <w:proofErr w:type="gramStart"/>
      <w:r>
        <w:rPr>
          <w:rFonts w:ascii="標楷體" w:eastAsia="標楷體" w:hAnsi="標楷體"/>
          <w:color w:val="000000"/>
          <w:szCs w:val="24"/>
        </w:rPr>
        <w:t>週</w:t>
      </w:r>
      <w:proofErr w:type="gramEnd"/>
      <w:r>
        <w:rPr>
          <w:rFonts w:ascii="標楷體" w:eastAsia="標楷體" w:hAnsi="標楷體"/>
          <w:color w:val="000000"/>
          <w:szCs w:val="24"/>
        </w:rPr>
        <w:t>注射一次，且於16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27E963A7" w14:textId="77777777" w:rsidR="00AB4566" w:rsidRDefault="00AB4566" w:rsidP="00AB4566">
      <w:pPr>
        <w:spacing w:line="300" w:lineRule="exact"/>
        <w:ind w:left="1276" w:hanging="383"/>
        <w:rPr>
          <w:rFonts w:ascii="標楷體" w:eastAsia="標楷體" w:hAnsi="標楷體"/>
          <w:color w:val="000000"/>
          <w:szCs w:val="24"/>
        </w:rPr>
      </w:pPr>
      <w:proofErr w:type="spellStart"/>
      <w:r>
        <w:rPr>
          <w:rFonts w:ascii="標楷體" w:eastAsia="標楷體" w:hAnsi="標楷體"/>
          <w:color w:val="000000"/>
          <w:szCs w:val="24"/>
        </w:rPr>
        <w:t>Ⅱ.upadacitinib</w:t>
      </w:r>
      <w:proofErr w:type="spellEnd"/>
      <w:r>
        <w:rPr>
          <w:rFonts w:ascii="標楷體" w:eastAsia="標楷體" w:hAnsi="標楷體"/>
          <w:color w:val="000000"/>
          <w:szCs w:val="24"/>
        </w:rPr>
        <w:t>：每日1次15mg或30mg。(112/4/1)</w:t>
      </w:r>
    </w:p>
    <w:p w14:paraId="3FA0C42D" w14:textId="77777777" w:rsidR="00AB4566" w:rsidRDefault="00AB4566" w:rsidP="00AB4566">
      <w:pPr>
        <w:spacing w:line="300" w:lineRule="exact"/>
        <w:ind w:left="1560" w:hanging="383"/>
      </w:pPr>
      <w:proofErr w:type="spellStart"/>
      <w:r>
        <w:rPr>
          <w:rFonts w:ascii="新細明體" w:hAnsi="新細明體" w:cs="新細明體"/>
          <w:color w:val="000000"/>
          <w:szCs w:val="24"/>
        </w:rPr>
        <w:t>ⅰ</w:t>
      </w:r>
      <w:r>
        <w:rPr>
          <w:rFonts w:ascii="標楷體" w:eastAsia="標楷體" w:hAnsi="標楷體"/>
          <w:color w:val="000000"/>
          <w:szCs w:val="24"/>
        </w:rPr>
        <w:t>.EASI</w:t>
      </w:r>
      <w:proofErr w:type="spellEnd"/>
      <w:r>
        <w:rPr>
          <w:rFonts w:ascii="標楷體" w:eastAsia="標楷體" w:hAnsi="標楷體"/>
          <w:color w:val="000000"/>
          <w:szCs w:val="24"/>
        </w:rPr>
        <w:t xml:space="preserve"> 16~20者：限每日使用15mg。</w:t>
      </w:r>
    </w:p>
    <w:p w14:paraId="1592C944" w14:textId="77777777" w:rsidR="00AB4566" w:rsidRDefault="00AB4566" w:rsidP="00AB4566">
      <w:pPr>
        <w:spacing w:line="300" w:lineRule="exact"/>
        <w:ind w:left="1560" w:hanging="383"/>
      </w:pPr>
      <w:r>
        <w:rPr>
          <w:rFonts w:ascii="新細明體" w:hAnsi="新細明體" w:cs="新細明體"/>
          <w:color w:val="000000"/>
          <w:szCs w:val="24"/>
        </w:rPr>
        <w:t>ⅱ</w:t>
      </w:r>
      <w:r>
        <w:rPr>
          <w:rFonts w:ascii="標楷體" w:eastAsia="標楷體" w:hAnsi="標楷體"/>
          <w:color w:val="000000"/>
          <w:szCs w:val="24"/>
        </w:rPr>
        <w:t>.18歲以上，且EASI 20以上者：每日得使用30mg。</w:t>
      </w:r>
    </w:p>
    <w:p w14:paraId="3B400427" w14:textId="77777777" w:rsidR="00AB4566" w:rsidRDefault="00AB4566" w:rsidP="00AB4566">
      <w:pPr>
        <w:spacing w:line="300" w:lineRule="exact"/>
        <w:ind w:left="1276" w:hanging="383"/>
        <w:rPr>
          <w:rFonts w:ascii="標楷體" w:eastAsia="標楷體" w:hAnsi="標楷體"/>
          <w:color w:val="000000"/>
          <w:szCs w:val="24"/>
        </w:rPr>
      </w:pPr>
      <w:proofErr w:type="spellStart"/>
      <w:r>
        <w:rPr>
          <w:rFonts w:ascii="標楷體" w:eastAsia="標楷體" w:hAnsi="標楷體"/>
          <w:color w:val="000000"/>
          <w:szCs w:val="24"/>
        </w:rPr>
        <w:t>Ⅲ.abrocitinib</w:t>
      </w:r>
      <w:proofErr w:type="spellEnd"/>
      <w:r>
        <w:rPr>
          <w:rFonts w:ascii="標楷體" w:eastAsia="標楷體" w:hAnsi="標楷體"/>
          <w:color w:val="000000"/>
          <w:szCs w:val="24"/>
        </w:rPr>
        <w:t>：(112/6/1、113/8/1)</w:t>
      </w:r>
    </w:p>
    <w:p w14:paraId="21EC2CD4" w14:textId="77777777" w:rsidR="00AB4566" w:rsidRDefault="00AB4566" w:rsidP="00AB4566">
      <w:pPr>
        <w:spacing w:line="300" w:lineRule="exact"/>
        <w:ind w:left="1560" w:hanging="383"/>
      </w:pPr>
      <w:r>
        <w:rPr>
          <w:rFonts w:ascii="新細明體" w:hAnsi="新細明體" w:cs="新細明體"/>
          <w:color w:val="000000"/>
          <w:szCs w:val="24"/>
        </w:rPr>
        <w:t>ⅰ</w:t>
      </w:r>
      <w:r>
        <w:rPr>
          <w:rFonts w:ascii="標楷體" w:eastAsia="標楷體" w:hAnsi="標楷體"/>
          <w:color w:val="000000"/>
          <w:szCs w:val="24"/>
        </w:rPr>
        <w:t>.限使用於12歲以上，每日1次100mg或200mg。</w:t>
      </w:r>
    </w:p>
    <w:p w14:paraId="7C8080A0" w14:textId="77777777" w:rsidR="00AB4566" w:rsidRDefault="00AB4566" w:rsidP="00AB4566">
      <w:pPr>
        <w:spacing w:line="300" w:lineRule="exact"/>
        <w:ind w:left="1560" w:hanging="383"/>
        <w:rPr>
          <w:rFonts w:ascii="標楷體" w:eastAsia="標楷體" w:hAnsi="標楷體"/>
          <w:color w:val="000000"/>
          <w:szCs w:val="24"/>
        </w:rPr>
      </w:pPr>
      <w:r>
        <w:rPr>
          <w:rFonts w:ascii="新細明體" w:hAnsi="新細明體" w:cs="新細明體"/>
          <w:color w:val="000000"/>
          <w:szCs w:val="24"/>
        </w:rPr>
        <w:t>ⅱ</w:t>
      </w:r>
      <w:r>
        <w:rPr>
          <w:rFonts w:ascii="標楷體" w:eastAsia="標楷體" w:hAnsi="標楷體"/>
          <w:color w:val="000000"/>
          <w:szCs w:val="24"/>
        </w:rPr>
        <w:t>.於16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68D3827E" w14:textId="77777777" w:rsidR="00AB4566" w:rsidRPr="00F94FED" w:rsidRDefault="00AB4566" w:rsidP="00AB4566">
      <w:pPr>
        <w:spacing w:line="300" w:lineRule="exact"/>
        <w:ind w:left="1276" w:hanging="383"/>
        <w:rPr>
          <w:rFonts w:ascii="標楷體" w:eastAsia="標楷體" w:hAnsi="標楷體"/>
          <w:color w:val="000000"/>
          <w:szCs w:val="24"/>
        </w:rPr>
      </w:pPr>
      <w:proofErr w:type="spellStart"/>
      <w:r w:rsidRPr="00F94FED">
        <w:rPr>
          <w:rFonts w:ascii="標楷體" w:eastAsia="標楷體" w:hAnsi="標楷體" w:hint="eastAsia"/>
          <w:color w:val="000000"/>
          <w:szCs w:val="24"/>
        </w:rPr>
        <w:t>IV.lebrikizumab</w:t>
      </w:r>
      <w:proofErr w:type="spellEnd"/>
      <w:r w:rsidRPr="00F94FED">
        <w:rPr>
          <w:rFonts w:ascii="標楷體" w:eastAsia="標楷體" w:hAnsi="標楷體" w:hint="eastAsia"/>
          <w:color w:val="000000"/>
          <w:szCs w:val="24"/>
        </w:rPr>
        <w:t>：（115/6/1）</w:t>
      </w:r>
    </w:p>
    <w:p w14:paraId="15420C18" w14:textId="77777777" w:rsidR="00AB4566" w:rsidRPr="00F94FED" w:rsidRDefault="00AB4566" w:rsidP="00AB4566">
      <w:pPr>
        <w:spacing w:line="300" w:lineRule="exact"/>
        <w:ind w:left="1560" w:hanging="383"/>
        <w:rPr>
          <w:rFonts w:ascii="標楷體" w:eastAsia="標楷體" w:hAnsi="標楷體"/>
          <w:color w:val="000000"/>
          <w:szCs w:val="24"/>
        </w:rPr>
      </w:pPr>
      <w:r w:rsidRPr="00F94FED">
        <w:rPr>
          <w:rFonts w:ascii="新細明體" w:hAnsi="新細明體" w:cs="新細明體" w:hint="eastAsia"/>
          <w:color w:val="000000"/>
          <w:szCs w:val="24"/>
        </w:rPr>
        <w:t>ⅰ</w:t>
      </w:r>
      <w:r w:rsidRPr="00F94FED">
        <w:rPr>
          <w:rFonts w:ascii="標楷體" w:eastAsia="標楷體" w:hAnsi="標楷體"/>
          <w:color w:val="000000"/>
          <w:szCs w:val="24"/>
        </w:rPr>
        <w:t>.</w:t>
      </w:r>
      <w:r w:rsidRPr="00F94FED">
        <w:rPr>
          <w:rFonts w:ascii="標楷體" w:eastAsia="標楷體" w:hAnsi="標楷體" w:hint="eastAsia"/>
          <w:color w:val="000000"/>
          <w:szCs w:val="24"/>
        </w:rPr>
        <w:t>限使用於</w:t>
      </w:r>
      <w:r w:rsidRPr="00F94FED">
        <w:rPr>
          <w:rFonts w:ascii="標楷體" w:eastAsia="標楷體" w:hAnsi="標楷體"/>
          <w:color w:val="000000"/>
          <w:szCs w:val="24"/>
        </w:rPr>
        <w:t>12</w:t>
      </w:r>
      <w:r w:rsidRPr="00F94FED">
        <w:rPr>
          <w:rFonts w:ascii="標楷體" w:eastAsia="標楷體" w:hAnsi="標楷體" w:hint="eastAsia"/>
          <w:color w:val="000000"/>
          <w:szCs w:val="24"/>
        </w:rPr>
        <w:t>歲以上且體重至少</w:t>
      </w:r>
      <w:r w:rsidRPr="00F94FED">
        <w:rPr>
          <w:rFonts w:ascii="標楷體" w:eastAsia="標楷體" w:hAnsi="標楷體"/>
          <w:color w:val="000000"/>
          <w:szCs w:val="24"/>
        </w:rPr>
        <w:t>40</w:t>
      </w:r>
      <w:r w:rsidRPr="00F94FED">
        <w:rPr>
          <w:rFonts w:ascii="標楷體" w:eastAsia="標楷體" w:hAnsi="標楷體" w:hint="eastAsia"/>
          <w:color w:val="000000"/>
          <w:szCs w:val="24"/>
        </w:rPr>
        <w:t>公斤。</w:t>
      </w:r>
    </w:p>
    <w:p w14:paraId="21D6B2E9" w14:textId="77777777" w:rsidR="00AB4566" w:rsidRPr="00F94FED" w:rsidRDefault="00AB4566" w:rsidP="00AB4566">
      <w:pPr>
        <w:spacing w:line="300" w:lineRule="exact"/>
        <w:ind w:left="1560" w:hanging="383"/>
        <w:rPr>
          <w:rFonts w:ascii="標楷體" w:eastAsia="標楷體" w:hAnsi="標楷體"/>
          <w:color w:val="000000"/>
          <w:szCs w:val="24"/>
        </w:rPr>
      </w:pPr>
      <w:r w:rsidRPr="00F94FED">
        <w:rPr>
          <w:rFonts w:ascii="新細明體" w:hAnsi="新細明體" w:cs="新細明體" w:hint="eastAsia"/>
          <w:color w:val="000000"/>
          <w:szCs w:val="24"/>
        </w:rPr>
        <w:t>ⅱ</w:t>
      </w:r>
      <w:r w:rsidRPr="00F94FED">
        <w:rPr>
          <w:rFonts w:ascii="標楷體" w:eastAsia="標楷體" w:hAnsi="標楷體"/>
          <w:color w:val="000000"/>
          <w:szCs w:val="24"/>
        </w:rPr>
        <w:t>.</w:t>
      </w:r>
      <w:r w:rsidRPr="00F94FED">
        <w:rPr>
          <w:rFonts w:ascii="標楷體" w:eastAsia="標楷體" w:hAnsi="標楷體" w:hint="eastAsia"/>
          <w:color w:val="000000"/>
          <w:szCs w:val="24"/>
        </w:rPr>
        <w:t>起始劑量為第</w:t>
      </w:r>
      <w:r w:rsidRPr="00F94FED">
        <w:rPr>
          <w:rFonts w:ascii="標楷體" w:eastAsia="標楷體" w:hAnsi="標楷體"/>
          <w:color w:val="000000"/>
          <w:szCs w:val="24"/>
        </w:rPr>
        <w:t>0</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及第</w:t>
      </w:r>
      <w:r w:rsidRPr="00F94FED">
        <w:rPr>
          <w:rFonts w:ascii="標楷體" w:eastAsia="標楷體" w:hAnsi="標楷體"/>
          <w:color w:val="000000"/>
          <w:szCs w:val="24"/>
        </w:rPr>
        <w:t>2</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以皮下注射給予</w:t>
      </w:r>
      <w:r w:rsidRPr="00F94FED">
        <w:rPr>
          <w:rFonts w:ascii="標楷體" w:eastAsia="標楷體" w:hAnsi="標楷體"/>
          <w:color w:val="000000"/>
          <w:szCs w:val="24"/>
        </w:rPr>
        <w:t>500mg (</w:t>
      </w:r>
      <w:r w:rsidRPr="00F94FED">
        <w:rPr>
          <w:rFonts w:ascii="標楷體" w:eastAsia="標楷體" w:hAnsi="標楷體" w:hint="eastAsia"/>
          <w:color w:val="000000"/>
          <w:szCs w:val="24"/>
        </w:rPr>
        <w:t>限</w:t>
      </w:r>
      <w:r w:rsidRPr="00F94FED">
        <w:rPr>
          <w:rFonts w:ascii="標楷體" w:eastAsia="標楷體" w:hAnsi="標楷體"/>
          <w:color w:val="000000"/>
          <w:szCs w:val="24"/>
        </w:rPr>
        <w:t>250mg</w:t>
      </w:r>
      <w:r w:rsidRPr="00F94FED">
        <w:rPr>
          <w:rFonts w:ascii="標楷體" w:eastAsia="標楷體" w:hAnsi="標楷體" w:hint="eastAsia"/>
          <w:color w:val="000000"/>
          <w:szCs w:val="24"/>
        </w:rPr>
        <w:t>注射兩劑</w:t>
      </w:r>
      <w:r w:rsidRPr="00F94FED">
        <w:rPr>
          <w:rFonts w:ascii="標楷體" w:eastAsia="標楷體" w:hAnsi="標楷體"/>
          <w:color w:val="000000"/>
          <w:szCs w:val="24"/>
        </w:rPr>
        <w:t>)</w:t>
      </w:r>
      <w:r w:rsidRPr="00F94FED">
        <w:rPr>
          <w:rFonts w:ascii="標楷體" w:eastAsia="標楷體" w:hAnsi="標楷體" w:hint="eastAsia"/>
          <w:color w:val="000000"/>
          <w:szCs w:val="24"/>
        </w:rPr>
        <w:t>，第</w:t>
      </w:r>
      <w:r w:rsidRPr="00F94FED">
        <w:rPr>
          <w:rFonts w:ascii="標楷體" w:eastAsia="標楷體" w:hAnsi="標楷體"/>
          <w:color w:val="000000"/>
          <w:szCs w:val="24"/>
        </w:rPr>
        <w:t>4</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起皮下注射給予</w:t>
      </w:r>
      <w:r w:rsidRPr="00F94FED">
        <w:rPr>
          <w:rFonts w:ascii="標楷體" w:eastAsia="標楷體" w:hAnsi="標楷體"/>
          <w:color w:val="000000"/>
          <w:szCs w:val="24"/>
        </w:rPr>
        <w:t>250mg</w:t>
      </w:r>
      <w:r w:rsidRPr="00F94FED">
        <w:rPr>
          <w:rFonts w:ascii="標楷體" w:eastAsia="標楷體" w:hAnsi="標楷體" w:hint="eastAsia"/>
          <w:color w:val="000000"/>
          <w:szCs w:val="24"/>
        </w:rPr>
        <w:t>，每</w:t>
      </w:r>
      <w:r w:rsidRPr="00F94FED">
        <w:rPr>
          <w:rFonts w:ascii="標楷體" w:eastAsia="標楷體" w:hAnsi="標楷體"/>
          <w:color w:val="000000"/>
          <w:szCs w:val="24"/>
        </w:rPr>
        <w:t>2</w:t>
      </w:r>
      <w:r w:rsidRPr="00F94FED">
        <w:rPr>
          <w:rFonts w:ascii="標楷體" w:eastAsia="標楷體" w:hAnsi="標楷體" w:hint="eastAsia"/>
          <w:color w:val="000000"/>
          <w:szCs w:val="24"/>
        </w:rPr>
        <w:t>週一次直到第</w:t>
      </w:r>
      <w:r w:rsidRPr="00F94FED">
        <w:rPr>
          <w:rFonts w:ascii="標楷體" w:eastAsia="標楷體" w:hAnsi="標楷體"/>
          <w:color w:val="000000"/>
          <w:szCs w:val="24"/>
        </w:rPr>
        <w:t>16</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，之後維持劑量</w:t>
      </w:r>
      <w:r w:rsidRPr="00F94FED">
        <w:rPr>
          <w:rFonts w:ascii="標楷體" w:eastAsia="標楷體" w:hAnsi="標楷體"/>
          <w:color w:val="000000"/>
          <w:szCs w:val="24"/>
        </w:rPr>
        <w:t>250mg</w:t>
      </w:r>
      <w:r w:rsidRPr="00F94FED">
        <w:rPr>
          <w:rFonts w:ascii="標楷體" w:eastAsia="標楷體" w:hAnsi="標楷體" w:hint="eastAsia"/>
          <w:color w:val="000000"/>
          <w:szCs w:val="24"/>
        </w:rPr>
        <w:t>每</w:t>
      </w:r>
      <w:r w:rsidRPr="00F94FED">
        <w:rPr>
          <w:rFonts w:ascii="標楷體" w:eastAsia="標楷體" w:hAnsi="標楷體"/>
          <w:color w:val="000000"/>
          <w:szCs w:val="24"/>
        </w:rPr>
        <w:t>4</w:t>
      </w:r>
      <w:r w:rsidRPr="00F94FED">
        <w:rPr>
          <w:rFonts w:ascii="標楷體" w:eastAsia="標楷體" w:hAnsi="標楷體" w:hint="eastAsia"/>
          <w:color w:val="000000"/>
          <w:szCs w:val="24"/>
        </w:rPr>
        <w:t>週一次。</w:t>
      </w:r>
    </w:p>
    <w:p w14:paraId="449A6558" w14:textId="77777777" w:rsidR="00AB4566" w:rsidRPr="00F94FED" w:rsidRDefault="00AB4566" w:rsidP="00AB4566">
      <w:pPr>
        <w:spacing w:line="300" w:lineRule="exact"/>
        <w:ind w:left="1560" w:hanging="383"/>
        <w:rPr>
          <w:rFonts w:ascii="標楷體" w:eastAsia="標楷體" w:hAnsi="標楷體"/>
          <w:color w:val="000000"/>
          <w:szCs w:val="24"/>
        </w:rPr>
      </w:pPr>
      <w:r w:rsidRPr="00F94FED">
        <w:rPr>
          <w:rFonts w:ascii="標楷體" w:eastAsia="標楷體" w:hAnsi="標楷體" w:hint="eastAsia"/>
          <w:color w:val="000000"/>
          <w:szCs w:val="24"/>
        </w:rPr>
        <w:t>iii.於16</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時，須先行評估，至少有EASI 50療效方可使用。</w:t>
      </w:r>
    </w:p>
    <w:p w14:paraId="722EAC7E"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(4)若患者曾核准使用治療乾癬之生物製劑，需等到乾癬症狀消失後，至少兩年才能提出申請。或申請前須切片確定排除乾癬診斷並經皮膚科專科醫師確立診斷。</w:t>
      </w:r>
    </w:p>
    <w:p w14:paraId="039C6194"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(5)使用</w:t>
      </w:r>
      <w:proofErr w:type="spellStart"/>
      <w:r>
        <w:rPr>
          <w:rFonts w:ascii="標楷體" w:eastAsia="標楷體" w:hAnsi="標楷體"/>
          <w:color w:val="000000"/>
          <w:szCs w:val="24"/>
        </w:rPr>
        <w:t>abrocitinib</w:t>
      </w:r>
      <w:proofErr w:type="spellEnd"/>
      <w:r>
        <w:rPr>
          <w:rFonts w:ascii="標楷體" w:eastAsia="標楷體" w:hAnsi="標楷體"/>
          <w:color w:val="000000"/>
          <w:szCs w:val="24"/>
        </w:rPr>
        <w:t>時，宜紀錄患者HBsAg、B型肝炎核心抗體 （anti-HBc Ab）及anti-HCV資料（若HBsAg 檢驗為陽性，宜加作HBV DNA）。(112/6/1)</w:t>
      </w:r>
    </w:p>
    <w:p w14:paraId="21580B5D"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(6)Upadacitinib及</w:t>
      </w:r>
      <w:proofErr w:type="spellStart"/>
      <w:r>
        <w:rPr>
          <w:rFonts w:ascii="標楷體" w:eastAsia="標楷體" w:hAnsi="標楷體"/>
          <w:color w:val="000000"/>
          <w:szCs w:val="24"/>
        </w:rPr>
        <w:t>abrocitinib</w:t>
      </w:r>
      <w:proofErr w:type="spellEnd"/>
      <w:r>
        <w:rPr>
          <w:rFonts w:ascii="標楷體" w:eastAsia="標楷體" w:hAnsi="標楷體"/>
          <w:color w:val="000000"/>
          <w:szCs w:val="24"/>
        </w:rPr>
        <w:t>僅能擇</w:t>
      </w:r>
      <w:proofErr w:type="gramStart"/>
      <w:r>
        <w:rPr>
          <w:rFonts w:ascii="標楷體" w:eastAsia="標楷體" w:hAnsi="標楷體"/>
          <w:color w:val="000000"/>
          <w:szCs w:val="24"/>
        </w:rPr>
        <w:t>一</w:t>
      </w:r>
      <w:proofErr w:type="gramEnd"/>
      <w:r>
        <w:rPr>
          <w:rFonts w:ascii="標楷體" w:eastAsia="標楷體" w:hAnsi="標楷體"/>
          <w:color w:val="000000"/>
          <w:szCs w:val="24"/>
        </w:rPr>
        <w:t>使用。唯有在出現無法忍受其副作用時方可互換。</w:t>
      </w:r>
      <w:proofErr w:type="gramStart"/>
      <w:r>
        <w:rPr>
          <w:rFonts w:ascii="標楷體" w:eastAsia="標楷體" w:hAnsi="標楷體"/>
          <w:color w:val="000000"/>
          <w:szCs w:val="24"/>
        </w:rPr>
        <w:t>（</w:t>
      </w:r>
      <w:proofErr w:type="gramEnd"/>
      <w:r>
        <w:rPr>
          <w:rFonts w:ascii="標楷體" w:eastAsia="標楷體" w:hAnsi="標楷體"/>
          <w:color w:val="000000"/>
          <w:szCs w:val="24"/>
        </w:rPr>
        <w:t>113/8/1)。</w:t>
      </w:r>
    </w:p>
    <w:p w14:paraId="49B8A2C9"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4.需排除使用的情形應參照藥物仿單資訊，重要之排除使用狀況包括：</w:t>
      </w:r>
    </w:p>
    <w:p w14:paraId="4B49D51B"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(1)懷孕或</w:t>
      </w:r>
      <w:proofErr w:type="gramStart"/>
      <w:r>
        <w:rPr>
          <w:rFonts w:ascii="標楷體" w:eastAsia="標楷體" w:hAnsi="標楷體"/>
          <w:color w:val="000000"/>
          <w:szCs w:val="24"/>
        </w:rPr>
        <w:t>正在授乳的</w:t>
      </w:r>
      <w:proofErr w:type="gramEnd"/>
      <w:r>
        <w:rPr>
          <w:rFonts w:ascii="標楷體" w:eastAsia="標楷體" w:hAnsi="標楷體"/>
          <w:color w:val="000000"/>
          <w:szCs w:val="24"/>
        </w:rPr>
        <w:t>婦女。</w:t>
      </w:r>
    </w:p>
    <w:p w14:paraId="6A814FB6"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(2)寄生蟲 (蠕蟲) 感染。</w:t>
      </w:r>
    </w:p>
    <w:p w14:paraId="7DDBF053"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(3)活動性嚴重全身性感染(使用</w:t>
      </w:r>
      <w:proofErr w:type="spellStart"/>
      <w:r>
        <w:rPr>
          <w:rFonts w:ascii="標楷體" w:eastAsia="標楷體" w:hAnsi="標楷體"/>
          <w:color w:val="000000"/>
          <w:szCs w:val="24"/>
        </w:rPr>
        <w:t>abrocitnib</w:t>
      </w:r>
      <w:proofErr w:type="spellEnd"/>
      <w:r>
        <w:rPr>
          <w:rFonts w:ascii="標楷體" w:eastAsia="標楷體" w:hAnsi="標楷體"/>
          <w:color w:val="000000"/>
          <w:szCs w:val="24"/>
        </w:rPr>
        <w:t>者)。(112/6/1)</w:t>
      </w:r>
    </w:p>
    <w:p w14:paraId="799F9FFA"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5.需停止治療應參照藥物仿單之禁忌情形，如果發生下列現象應停止治療：</w:t>
      </w:r>
    </w:p>
    <w:p w14:paraId="7BC93586"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(1)不良事件，包括：</w:t>
      </w:r>
    </w:p>
    <w:p w14:paraId="711751AF"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Ⅰ.惡性腫瘤。</w:t>
      </w:r>
    </w:p>
    <w:p w14:paraId="26A59818"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Ⅱ.懷孕與</w:t>
      </w:r>
      <w:proofErr w:type="gramStart"/>
      <w:r>
        <w:rPr>
          <w:rFonts w:ascii="標楷體" w:eastAsia="標楷體" w:hAnsi="標楷體"/>
          <w:color w:val="000000"/>
          <w:szCs w:val="24"/>
        </w:rPr>
        <w:t>授乳期間</w:t>
      </w:r>
      <w:proofErr w:type="gramEnd"/>
      <w:r>
        <w:rPr>
          <w:rFonts w:ascii="標楷體" w:eastAsia="標楷體" w:hAnsi="標楷體"/>
          <w:color w:val="000000"/>
          <w:szCs w:val="24"/>
        </w:rPr>
        <w:t>。</w:t>
      </w:r>
    </w:p>
    <w:p w14:paraId="39C88B63"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Ⅲ.寄生蟲 (蠕蟲) 感染。</w:t>
      </w:r>
    </w:p>
    <w:p w14:paraId="5D98376B"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Ⅳ.使用</w:t>
      </w:r>
      <w:proofErr w:type="spellStart"/>
      <w:r>
        <w:rPr>
          <w:rFonts w:ascii="標楷體" w:eastAsia="標楷體" w:hAnsi="標楷體"/>
          <w:color w:val="000000"/>
          <w:szCs w:val="24"/>
        </w:rPr>
        <w:t>abrocitnib</w:t>
      </w:r>
      <w:proofErr w:type="spellEnd"/>
      <w:r>
        <w:rPr>
          <w:rFonts w:ascii="標楷體" w:eastAsia="標楷體" w:hAnsi="標楷體"/>
          <w:color w:val="000000"/>
          <w:szCs w:val="24"/>
        </w:rPr>
        <w:t>者發生嚴重</w:t>
      </w:r>
      <w:proofErr w:type="gramStart"/>
      <w:r>
        <w:rPr>
          <w:rFonts w:ascii="標楷體" w:eastAsia="標楷體" w:hAnsi="標楷體"/>
          <w:color w:val="000000"/>
          <w:szCs w:val="24"/>
        </w:rPr>
        <w:t>的間發性</w:t>
      </w:r>
      <w:proofErr w:type="gramEnd"/>
      <w:r>
        <w:rPr>
          <w:rFonts w:ascii="標楷體" w:eastAsia="標楷體" w:hAnsi="標楷體"/>
          <w:color w:val="000000"/>
          <w:szCs w:val="24"/>
        </w:rPr>
        <w:t>感染症(帶狀皰疹) (暫時停藥即可)。(112/6/1)</w:t>
      </w:r>
    </w:p>
    <w:p w14:paraId="3392F7A3"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(2)療效</w:t>
      </w:r>
      <w:proofErr w:type="gramStart"/>
      <w:r>
        <w:rPr>
          <w:rFonts w:ascii="標楷體" w:eastAsia="標楷體" w:hAnsi="標楷體"/>
          <w:color w:val="000000"/>
          <w:szCs w:val="24"/>
        </w:rPr>
        <w:t>不</w:t>
      </w:r>
      <w:proofErr w:type="gramEnd"/>
      <w:r>
        <w:rPr>
          <w:rFonts w:ascii="標楷體" w:eastAsia="標楷體" w:hAnsi="標楷體"/>
          <w:color w:val="000000"/>
          <w:szCs w:val="24"/>
        </w:rPr>
        <w:t>彰：患者經過6個月治療（初次療程）後未達療效者，療效定義指EASI改善未達50%。</w:t>
      </w:r>
    </w:p>
    <w:p w14:paraId="2832F40B"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6.暫緩續用之相關規定：</w:t>
      </w:r>
    </w:p>
    <w:p w14:paraId="45C91CF1" w14:textId="74CF363E" w:rsidR="00AB4566" w:rsidRPr="0068126A" w:rsidRDefault="00AB4566" w:rsidP="00AB4566">
      <w:pPr>
        <w:suppressAutoHyphens w:val="0"/>
        <w:spacing w:line="300" w:lineRule="exact"/>
        <w:ind w:left="1077" w:hanging="367"/>
        <w:textAlignment w:val="auto"/>
        <w:rPr>
          <w:rFonts w:ascii="標楷體" w:eastAsia="標楷體" w:hAnsi="標楷體"/>
          <w:szCs w:val="24"/>
        </w:rPr>
      </w:pPr>
      <w:r>
        <w:rPr>
          <w:rFonts w:ascii="標楷體" w:eastAsia="標楷體" w:hAnsi="標楷體"/>
          <w:color w:val="000000"/>
          <w:szCs w:val="24"/>
        </w:rPr>
        <w:t>(1)</w:t>
      </w:r>
      <w:r w:rsidRPr="0068126A">
        <w:rPr>
          <w:rFonts w:ascii="標楷體" w:eastAsia="標楷體" w:hAnsi="標楷體"/>
          <w:szCs w:val="24"/>
        </w:rPr>
        <w:t>暫緩續用時機：使用</w:t>
      </w:r>
      <w:r w:rsidR="00327618" w:rsidRPr="0068126A">
        <w:rPr>
          <w:rFonts w:ascii="標楷體" w:eastAsia="標楷體" w:hAnsi="標楷體" w:hint="eastAsia"/>
          <w:szCs w:val="24"/>
        </w:rPr>
        <w:t>dupilumab</w:t>
      </w:r>
      <w:r w:rsidRPr="0068126A">
        <w:rPr>
          <w:rFonts w:ascii="標楷體" w:eastAsia="標楷體" w:hAnsi="標楷體"/>
          <w:szCs w:val="24"/>
        </w:rPr>
        <w:t>治療1年後，或使用</w:t>
      </w:r>
      <w:proofErr w:type="spellStart"/>
      <w:r w:rsidRPr="0068126A">
        <w:rPr>
          <w:rFonts w:ascii="標楷體" w:eastAsia="標楷體" w:hAnsi="標楷體"/>
          <w:szCs w:val="24"/>
        </w:rPr>
        <w:t>abrocitinib</w:t>
      </w:r>
      <w:proofErr w:type="spellEnd"/>
      <w:r w:rsidRPr="0068126A">
        <w:rPr>
          <w:rFonts w:ascii="標楷體" w:eastAsia="標楷體" w:hAnsi="標楷體"/>
          <w:szCs w:val="24"/>
        </w:rPr>
        <w:t>、</w:t>
      </w:r>
      <w:proofErr w:type="spellStart"/>
      <w:r w:rsidRPr="0068126A">
        <w:rPr>
          <w:rFonts w:ascii="標楷體" w:eastAsia="標楷體" w:hAnsi="標楷體"/>
          <w:szCs w:val="24"/>
        </w:rPr>
        <w:t>upadacitinib</w:t>
      </w:r>
      <w:proofErr w:type="spellEnd"/>
      <w:r w:rsidR="00327618" w:rsidRPr="0068126A">
        <w:rPr>
          <w:rFonts w:ascii="標楷體" w:eastAsia="標楷體" w:hAnsi="標楷體" w:hint="eastAsia"/>
          <w:szCs w:val="24"/>
        </w:rPr>
        <w:t>、lebrikizumab</w:t>
      </w:r>
      <w:r w:rsidRPr="0068126A">
        <w:rPr>
          <w:rFonts w:ascii="標楷體" w:eastAsia="標楷體" w:hAnsi="標楷體"/>
          <w:szCs w:val="24"/>
        </w:rPr>
        <w:t xml:space="preserve"> 2年後符合EASI</w:t>
      </w:r>
      <w:proofErr w:type="gramStart"/>
      <w:r w:rsidRPr="0068126A">
        <w:rPr>
          <w:rFonts w:ascii="標楷體" w:eastAsia="標楷體" w:hAnsi="標楷體"/>
          <w:szCs w:val="24"/>
        </w:rPr>
        <w:t>≦</w:t>
      </w:r>
      <w:proofErr w:type="gramEnd"/>
      <w:r w:rsidRPr="0068126A">
        <w:rPr>
          <w:rFonts w:ascii="標楷體" w:eastAsia="標楷體" w:hAnsi="標楷體"/>
          <w:szCs w:val="24"/>
        </w:rPr>
        <w:t>16者。(111/8/1、114/6/1</w:t>
      </w:r>
      <w:r w:rsidR="00327618" w:rsidRPr="0068126A">
        <w:rPr>
          <w:rFonts w:ascii="標楷體" w:eastAsia="標楷體" w:hAnsi="標楷體" w:hint="eastAsia"/>
          <w:szCs w:val="24"/>
        </w:rPr>
        <w:t>、115/6/1</w:t>
      </w:r>
      <w:r w:rsidRPr="0068126A">
        <w:rPr>
          <w:rFonts w:ascii="標楷體" w:eastAsia="標楷體" w:hAnsi="標楷體"/>
          <w:szCs w:val="24"/>
        </w:rPr>
        <w:t>)</w:t>
      </w:r>
    </w:p>
    <w:p w14:paraId="4F682650"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(2)暫緩續用後若疾病再復發，可重新申請使用，須符合至少有50%復發或EASI</w:t>
      </w:r>
      <w:proofErr w:type="gramStart"/>
      <w:r>
        <w:rPr>
          <w:rFonts w:ascii="標楷體" w:eastAsia="標楷體" w:hAnsi="標楷體"/>
          <w:color w:val="000000"/>
          <w:szCs w:val="24"/>
        </w:rPr>
        <w:t>≧</w:t>
      </w:r>
      <w:proofErr w:type="gramEnd"/>
      <w:r>
        <w:rPr>
          <w:rFonts w:ascii="標楷體" w:eastAsia="標楷體" w:hAnsi="標楷體"/>
          <w:color w:val="000000"/>
          <w:szCs w:val="24"/>
        </w:rPr>
        <w:t>16 (需附上次療程治療前、後，及本次照片)。(111/8/1)</w:t>
      </w:r>
    </w:p>
    <w:p w14:paraId="69929FF4"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7.</w:t>
      </w:r>
      <w:r w:rsidRPr="00F94FED">
        <w:rPr>
          <w:rFonts w:hint="eastAsia"/>
        </w:rPr>
        <w:t xml:space="preserve"> </w:t>
      </w:r>
      <w:r w:rsidRPr="00F94FED">
        <w:rPr>
          <w:rFonts w:ascii="標楷體" w:eastAsia="標楷體" w:hAnsi="標楷體" w:hint="eastAsia"/>
          <w:color w:val="000000"/>
          <w:szCs w:val="24"/>
        </w:rPr>
        <w:t>Dupilumab、</w:t>
      </w:r>
      <w:proofErr w:type="spellStart"/>
      <w:r w:rsidRPr="00F94FED">
        <w:rPr>
          <w:rFonts w:ascii="標楷體" w:eastAsia="標楷體" w:hAnsi="標楷體" w:hint="eastAsia"/>
          <w:color w:val="000000"/>
          <w:szCs w:val="24"/>
        </w:rPr>
        <w:t>upadacitinib</w:t>
      </w:r>
      <w:proofErr w:type="spellEnd"/>
      <w:r w:rsidRPr="00F94FED">
        <w:rPr>
          <w:rFonts w:ascii="標楷體" w:eastAsia="標楷體" w:hAnsi="標楷體" w:hint="eastAsia"/>
          <w:color w:val="000000"/>
          <w:szCs w:val="24"/>
        </w:rPr>
        <w:t>、</w:t>
      </w:r>
      <w:proofErr w:type="spellStart"/>
      <w:r w:rsidRPr="00F94FED">
        <w:rPr>
          <w:rFonts w:ascii="標楷體" w:eastAsia="標楷體" w:hAnsi="標楷體" w:hint="eastAsia"/>
          <w:color w:val="000000"/>
          <w:szCs w:val="24"/>
        </w:rPr>
        <w:t>abrocitinib</w:t>
      </w:r>
      <w:proofErr w:type="spellEnd"/>
      <w:r w:rsidRPr="00F94FED">
        <w:rPr>
          <w:rFonts w:ascii="標楷體" w:eastAsia="標楷體" w:hAnsi="標楷體" w:hint="eastAsia"/>
          <w:color w:val="000000"/>
          <w:szCs w:val="24"/>
        </w:rPr>
        <w:t>及lebrikizumab不得</w:t>
      </w:r>
      <w:proofErr w:type="gramStart"/>
      <w:r w:rsidRPr="00F94FED">
        <w:rPr>
          <w:rFonts w:ascii="標楷體" w:eastAsia="標楷體" w:hAnsi="標楷體" w:hint="eastAsia"/>
          <w:color w:val="000000"/>
          <w:szCs w:val="24"/>
        </w:rPr>
        <w:t>併</w:t>
      </w:r>
      <w:proofErr w:type="gramEnd"/>
      <w:r w:rsidRPr="00F94FED">
        <w:rPr>
          <w:rFonts w:ascii="標楷體" w:eastAsia="標楷體" w:hAnsi="標楷體" w:hint="eastAsia"/>
          <w:color w:val="000000"/>
          <w:szCs w:val="24"/>
        </w:rPr>
        <w:t>用；</w:t>
      </w:r>
      <w:proofErr w:type="spellStart"/>
      <w:r w:rsidRPr="00F94FED">
        <w:rPr>
          <w:rFonts w:ascii="標楷體" w:eastAsia="標楷體" w:hAnsi="標楷體" w:hint="eastAsia"/>
          <w:color w:val="000000"/>
          <w:szCs w:val="24"/>
        </w:rPr>
        <w:t>upadacitinib</w:t>
      </w:r>
      <w:proofErr w:type="spellEnd"/>
      <w:r w:rsidRPr="00F94FED">
        <w:rPr>
          <w:rFonts w:ascii="標楷體" w:eastAsia="標楷體" w:hAnsi="標楷體" w:hint="eastAsia"/>
          <w:color w:val="000000"/>
          <w:szCs w:val="24"/>
        </w:rPr>
        <w:t>及</w:t>
      </w:r>
      <w:proofErr w:type="spellStart"/>
      <w:r w:rsidRPr="00F94FED">
        <w:rPr>
          <w:rFonts w:ascii="標楷體" w:eastAsia="標楷體" w:hAnsi="標楷體" w:hint="eastAsia"/>
          <w:color w:val="000000"/>
          <w:szCs w:val="24"/>
        </w:rPr>
        <w:t>abrocitinib</w:t>
      </w:r>
      <w:proofErr w:type="spellEnd"/>
      <w:r w:rsidRPr="00F94FED">
        <w:rPr>
          <w:rFonts w:ascii="標楷體" w:eastAsia="標楷體" w:hAnsi="標楷體" w:hint="eastAsia"/>
          <w:color w:val="000000"/>
          <w:szCs w:val="24"/>
        </w:rPr>
        <w:t>不得</w:t>
      </w:r>
      <w:proofErr w:type="gramStart"/>
      <w:r w:rsidRPr="00F94FED">
        <w:rPr>
          <w:rFonts w:ascii="標楷體" w:eastAsia="標楷體" w:hAnsi="標楷體" w:hint="eastAsia"/>
          <w:color w:val="000000"/>
          <w:szCs w:val="24"/>
        </w:rPr>
        <w:t>併</w:t>
      </w:r>
      <w:proofErr w:type="gramEnd"/>
      <w:r w:rsidRPr="00F94FED">
        <w:rPr>
          <w:rFonts w:ascii="標楷體" w:eastAsia="標楷體" w:hAnsi="標楷體" w:hint="eastAsia"/>
          <w:color w:val="000000"/>
          <w:szCs w:val="24"/>
        </w:rPr>
        <w:t>用</w:t>
      </w:r>
      <w:r>
        <w:rPr>
          <w:rFonts w:ascii="標楷體" w:eastAsia="標楷體" w:hAnsi="標楷體"/>
          <w:color w:val="000000"/>
          <w:szCs w:val="24"/>
        </w:rPr>
        <w:t>cyclosporin。</w:t>
      </w:r>
      <w:r w:rsidRPr="00F94FED">
        <w:rPr>
          <w:rFonts w:ascii="標楷體" w:eastAsia="標楷體" w:hAnsi="標楷體" w:hint="eastAsia"/>
          <w:color w:val="000000"/>
          <w:szCs w:val="24"/>
        </w:rPr>
        <w:t>（112/4/1、112/6/1、115/6/1）</w:t>
      </w:r>
    </w:p>
    <w:p w14:paraId="390F4C20" w14:textId="77777777" w:rsidR="00AB4566" w:rsidRDefault="00AB4566" w:rsidP="00AB4566">
      <w:pPr>
        <w:suppressAutoHyphens w:val="0"/>
        <w:spacing w:line="300" w:lineRule="exact"/>
        <w:ind w:left="991" w:hanging="240"/>
        <w:textAlignment w:val="auto"/>
        <w:rPr>
          <w:rFonts w:ascii="標楷體" w:eastAsia="標楷體" w:hAnsi="標楷體"/>
          <w:color w:val="000000"/>
          <w:szCs w:val="24"/>
        </w:rPr>
      </w:pPr>
      <w:r>
        <w:rPr>
          <w:rFonts w:ascii="標楷體" w:eastAsia="標楷體" w:hAnsi="標楷體"/>
          <w:color w:val="000000"/>
          <w:szCs w:val="24"/>
        </w:rPr>
        <w:t>◎附表三十二：異位性皮膚炎面積暨嚴重度指數【Eczema Area and Severity Index (EASI)】(108/12/1)</w:t>
      </w:r>
    </w:p>
    <w:p w14:paraId="5E1C64B0" w14:textId="1AE84477" w:rsidR="00401786" w:rsidRDefault="00AB4566" w:rsidP="00AB4566">
      <w:pPr>
        <w:spacing w:line="300" w:lineRule="exact"/>
        <w:ind w:left="480" w:hanging="480"/>
      </w:pPr>
      <w:r>
        <w:rPr>
          <w:rFonts w:ascii="標楷體" w:eastAsia="標楷體" w:hAnsi="標楷體"/>
          <w:color w:val="000000"/>
          <w:szCs w:val="24"/>
        </w:rPr>
        <w:t>◎附表三十二之</w:t>
      </w:r>
      <w:proofErr w:type="gramStart"/>
      <w:r>
        <w:rPr>
          <w:rFonts w:ascii="標楷體" w:eastAsia="標楷體" w:hAnsi="標楷體"/>
          <w:color w:val="000000"/>
          <w:szCs w:val="24"/>
        </w:rPr>
        <w:t>一</w:t>
      </w:r>
      <w:proofErr w:type="gramEnd"/>
      <w:r>
        <w:rPr>
          <w:rFonts w:ascii="標楷體" w:eastAsia="標楷體" w:hAnsi="標楷體"/>
          <w:color w:val="000000"/>
          <w:szCs w:val="24"/>
        </w:rPr>
        <w:t>：全民健康保險12歲以上病人異位性皮膚炎使用生物製劑申請表(109/8/1、111/8/1、113/2/1</w:t>
      </w:r>
      <w:r>
        <w:rPr>
          <w:rFonts w:ascii="標楷體" w:eastAsia="標楷體" w:hAnsi="標楷體"/>
          <w:szCs w:val="24"/>
        </w:rPr>
        <w:t>)</w:t>
      </w:r>
    </w:p>
    <w:p w14:paraId="024F9918" w14:textId="77777777" w:rsidR="00401786" w:rsidRDefault="00C64FB3" w:rsidP="0009639E">
      <w:pPr>
        <w:snapToGrid w:val="0"/>
        <w:spacing w:line="300" w:lineRule="exact"/>
        <w:ind w:left="535" w:hanging="283"/>
        <w:rPr>
          <w:rFonts w:ascii="標楷體" w:eastAsia="標楷體" w:hAnsi="標楷體"/>
        </w:rPr>
      </w:pPr>
      <w:r>
        <w:rPr>
          <w:rFonts w:ascii="標楷體" w:eastAsia="標楷體" w:hAnsi="標楷體"/>
        </w:rPr>
        <w:t>13.17.2. Dupilumab (如Dupixent)：（113/2/1）(6歲以上未滿12歲兒童治療部分)</w:t>
      </w:r>
    </w:p>
    <w:p w14:paraId="42B0E970"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限皮膚科專科醫師，或具兒童過敏免疫風濕專長之兒科專科醫師處方。</w:t>
      </w:r>
    </w:p>
    <w:p w14:paraId="17F83E9D"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lastRenderedPageBreak/>
        <w:t>限用於經外用藥物及一種全身性免疫抑制劑治療無效(需治療3個月完整療程，得合併他院就診病歷)，且適合以全身性療法治療之全身慢性中重度之異位性皮膚炎患者。</w:t>
      </w:r>
    </w:p>
    <w:p w14:paraId="2986DE1C" w14:textId="77777777" w:rsidR="00401786" w:rsidRDefault="00C64FB3">
      <w:pPr>
        <w:pStyle w:val="af"/>
        <w:widowControl/>
        <w:numPr>
          <w:ilvl w:val="0"/>
          <w:numId w:val="30"/>
        </w:numPr>
        <w:snapToGrid w:val="0"/>
        <w:spacing w:line="300" w:lineRule="exact"/>
        <w:ind w:left="991" w:hanging="425"/>
        <w:rPr>
          <w:rFonts w:ascii="標楷體" w:eastAsia="標楷體" w:hAnsi="標楷體"/>
        </w:rPr>
      </w:pPr>
      <w:r>
        <w:rPr>
          <w:rFonts w:ascii="標楷體" w:eastAsia="標楷體" w:hAnsi="標楷體"/>
        </w:rPr>
        <w:t xml:space="preserve">所稱慢性中重度之異位性皮膚炎，指病灶持續至少6個月，且符合Eczema area severity index (EASI) </w:t>
      </w:r>
      <w:proofErr w:type="gramStart"/>
      <w:r>
        <w:rPr>
          <w:rFonts w:ascii="標楷體" w:eastAsia="標楷體" w:hAnsi="標楷體"/>
        </w:rPr>
        <w:t>≧</w:t>
      </w:r>
      <w:proofErr w:type="gramEnd"/>
      <w:r>
        <w:rPr>
          <w:rFonts w:ascii="標楷體" w:eastAsia="標楷體" w:hAnsi="標楷體"/>
        </w:rPr>
        <w:t>16及Investigator</w:t>
      </w:r>
      <w:proofErr w:type="gramStart"/>
      <w:r>
        <w:rPr>
          <w:rFonts w:ascii="標楷體" w:eastAsia="標楷體" w:hAnsi="標楷體"/>
        </w:rPr>
        <w:t>’</w:t>
      </w:r>
      <w:proofErr w:type="gramEnd"/>
      <w:r>
        <w:rPr>
          <w:rFonts w:ascii="標楷體" w:eastAsia="標楷體" w:hAnsi="標楷體"/>
        </w:rPr>
        <w:t>s Global Assessment (IGA)</w:t>
      </w:r>
      <w:proofErr w:type="gramStart"/>
      <w:r>
        <w:rPr>
          <w:rFonts w:ascii="標楷體" w:eastAsia="標楷體" w:hAnsi="標楷體"/>
        </w:rPr>
        <w:t>≧</w:t>
      </w:r>
      <w:proofErr w:type="gramEnd"/>
      <w:r>
        <w:rPr>
          <w:rFonts w:ascii="標楷體" w:eastAsia="標楷體" w:hAnsi="標楷體"/>
        </w:rPr>
        <w:t>3。</w:t>
      </w:r>
    </w:p>
    <w:p w14:paraId="3603A02E" w14:textId="77777777" w:rsidR="00401786" w:rsidRDefault="00C64FB3" w:rsidP="0009639E">
      <w:pPr>
        <w:snapToGrid w:val="0"/>
        <w:spacing w:line="300" w:lineRule="exact"/>
        <w:ind w:left="1544" w:hanging="498"/>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：Eczema area severity index (EASI)之異位性皮膚炎面積計算，只含皮膚紅腫濕疹部位，單純的皮膚</w:t>
      </w:r>
      <w:proofErr w:type="gramStart"/>
      <w:r>
        <w:rPr>
          <w:rFonts w:ascii="標楷體" w:eastAsia="標楷體" w:hAnsi="標楷體"/>
        </w:rPr>
        <w:t>乾燥、</w:t>
      </w:r>
      <w:proofErr w:type="gramEnd"/>
      <w:r>
        <w:rPr>
          <w:rFonts w:ascii="標楷體" w:eastAsia="標楷體" w:hAnsi="標楷體"/>
        </w:rPr>
        <w:t>脫皮、抓痕，不可列入計算。</w:t>
      </w:r>
    </w:p>
    <w:p w14:paraId="4424CD8B" w14:textId="77777777" w:rsidR="00401786" w:rsidRDefault="00C64FB3">
      <w:pPr>
        <w:pStyle w:val="af"/>
        <w:widowControl/>
        <w:numPr>
          <w:ilvl w:val="0"/>
          <w:numId w:val="30"/>
        </w:numPr>
        <w:snapToGrid w:val="0"/>
        <w:spacing w:line="300" w:lineRule="exact"/>
        <w:ind w:left="991" w:hanging="425"/>
        <w:rPr>
          <w:rFonts w:ascii="標楷體" w:eastAsia="標楷體" w:hAnsi="標楷體"/>
        </w:rPr>
      </w:pPr>
      <w:r>
        <w:rPr>
          <w:rFonts w:ascii="標楷體" w:eastAsia="標楷體" w:hAnsi="標楷體"/>
        </w:rPr>
        <w:t>所稱治療無效，指經完整療程後，3個月內連續兩次評估，嚴重度均符合</w:t>
      </w:r>
      <w:proofErr w:type="gramStart"/>
      <w:r>
        <w:rPr>
          <w:rFonts w:ascii="標楷體" w:eastAsia="標楷體" w:hAnsi="標楷體"/>
        </w:rPr>
        <w:t>上列第</w:t>
      </w:r>
      <w:proofErr w:type="gramEnd"/>
      <w:r>
        <w:rPr>
          <w:rFonts w:ascii="標楷體" w:eastAsia="標楷體" w:hAnsi="標楷體"/>
        </w:rPr>
        <w:t>(1)點情況，且兩次評估</w:t>
      </w:r>
      <w:proofErr w:type="gramStart"/>
      <w:r>
        <w:rPr>
          <w:rFonts w:ascii="標楷體" w:eastAsia="標楷體" w:hAnsi="標楷體"/>
        </w:rPr>
        <w:t>之間相隔至少</w:t>
      </w:r>
      <w:proofErr w:type="gramEnd"/>
      <w:r>
        <w:rPr>
          <w:rFonts w:ascii="標楷體" w:eastAsia="標楷體" w:hAnsi="標楷體"/>
        </w:rPr>
        <w:t>4</w:t>
      </w:r>
      <w:proofErr w:type="gramStart"/>
      <w:r>
        <w:rPr>
          <w:rFonts w:ascii="標楷體" w:eastAsia="標楷體" w:hAnsi="標楷體"/>
        </w:rPr>
        <w:t>週</w:t>
      </w:r>
      <w:proofErr w:type="gramEnd"/>
      <w:r>
        <w:rPr>
          <w:rFonts w:ascii="標楷體" w:eastAsia="標楷體" w:hAnsi="標楷體"/>
        </w:rPr>
        <w:t>。</w:t>
      </w:r>
    </w:p>
    <w:p w14:paraId="52EE1640" w14:textId="77777777" w:rsidR="00401786" w:rsidRDefault="00C64FB3" w:rsidP="0009639E">
      <w:pPr>
        <w:snapToGrid w:val="0"/>
        <w:spacing w:line="300" w:lineRule="exact"/>
        <w:ind w:left="1196" w:hanging="390"/>
      </w:pPr>
      <w:r>
        <w:rPr>
          <w:rFonts w:ascii="標楷體" w:eastAsia="標楷體" w:hAnsi="標楷體"/>
          <w:color w:val="000000"/>
        </w:rPr>
        <w:t>Ⅰ.</w:t>
      </w:r>
      <w:r>
        <w:rPr>
          <w:rFonts w:ascii="標楷體" w:eastAsia="標楷體" w:hAnsi="標楷體"/>
        </w:rPr>
        <w:t>治療必須</w:t>
      </w:r>
      <w:proofErr w:type="gramStart"/>
      <w:r>
        <w:rPr>
          <w:rFonts w:ascii="標楷體" w:eastAsia="標楷體" w:hAnsi="標楷體"/>
        </w:rPr>
        <w:t>包括中效強度</w:t>
      </w:r>
      <w:proofErr w:type="gramEnd"/>
      <w:r>
        <w:rPr>
          <w:rFonts w:ascii="標楷體" w:eastAsia="標楷體" w:hAnsi="標楷體"/>
        </w:rPr>
        <w:t xml:space="preserve"> (medium potency)</w:t>
      </w:r>
      <w:proofErr w:type="gramStart"/>
      <w:r>
        <w:rPr>
          <w:rFonts w:ascii="標楷體" w:eastAsia="標楷體" w:hAnsi="標楷體"/>
        </w:rPr>
        <w:t>或中效強度</w:t>
      </w:r>
      <w:proofErr w:type="gramEnd"/>
      <w:r>
        <w:rPr>
          <w:rFonts w:ascii="標楷體" w:eastAsia="標楷體" w:hAnsi="標楷體"/>
        </w:rPr>
        <w:t>以上之外用類固醇(topical corticosteroid)，及</w:t>
      </w:r>
      <w:proofErr w:type="gramStart"/>
      <w:r>
        <w:rPr>
          <w:rFonts w:ascii="標楷體" w:eastAsia="標楷體" w:hAnsi="標楷體"/>
        </w:rPr>
        <w:t>外用鈣調磷酸</w:t>
      </w:r>
      <w:proofErr w:type="gramEnd"/>
      <w:r>
        <w:rPr>
          <w:rFonts w:ascii="標楷體" w:eastAsia="標楷體" w:hAnsi="標楷體"/>
        </w:rPr>
        <w:t>酶抑制劑(topical calcineurin inhibitor)，規律使用達12週。</w:t>
      </w:r>
    </w:p>
    <w:p w14:paraId="12D87D67" w14:textId="77777777" w:rsidR="00401786" w:rsidRDefault="00C64FB3" w:rsidP="0009639E">
      <w:pPr>
        <w:snapToGrid w:val="0"/>
        <w:spacing w:line="300" w:lineRule="exact"/>
        <w:ind w:left="1268" w:hanging="462"/>
      </w:pPr>
      <w:r>
        <w:rPr>
          <w:rFonts w:ascii="標楷體" w:eastAsia="標楷體" w:hAnsi="標楷體"/>
          <w:color w:val="000000"/>
        </w:rPr>
        <w:t>Ⅱ.</w:t>
      </w:r>
      <w:r>
        <w:rPr>
          <w:rFonts w:ascii="標楷體" w:eastAsia="標楷體" w:hAnsi="標楷體"/>
        </w:rPr>
        <w:t>治療必須包括以下三種系統性(全身性)治療至少一種，包括methotrexate、azathioprine、cyclosporin，且可與前開外用藥物合併使用。</w:t>
      </w:r>
    </w:p>
    <w:p w14:paraId="164F9E54" w14:textId="77777777" w:rsidR="00401786" w:rsidRDefault="00C64FB3" w:rsidP="0009639E">
      <w:pPr>
        <w:snapToGrid w:val="0"/>
        <w:spacing w:line="300" w:lineRule="exact"/>
        <w:ind w:left="1167" w:hanging="361"/>
      </w:pPr>
      <w:r>
        <w:rPr>
          <w:rFonts w:ascii="標楷體" w:eastAsia="標楷體" w:hAnsi="標楷體"/>
          <w:color w:val="000000"/>
        </w:rPr>
        <w:t>Ⅲ.</w:t>
      </w:r>
      <w:r>
        <w:rPr>
          <w:rFonts w:ascii="標楷體" w:eastAsia="標楷體" w:hAnsi="標楷體"/>
        </w:rPr>
        <w:t>若臨床上使用上述外用藥物發生皮膚萎縮或感染，得停止使用外用藥物，惟須於病歷中詳述說明。</w:t>
      </w:r>
    </w:p>
    <w:p w14:paraId="0779C20E" w14:textId="77777777" w:rsidR="00401786" w:rsidRDefault="00C64FB3" w:rsidP="0009639E">
      <w:pPr>
        <w:snapToGrid w:val="0"/>
        <w:spacing w:line="300" w:lineRule="exact"/>
        <w:ind w:left="1089" w:hanging="283"/>
        <w:rPr>
          <w:rFonts w:ascii="標楷體" w:eastAsia="標楷體" w:hAnsi="標楷體"/>
        </w:rPr>
      </w:pPr>
      <w:r>
        <w:rPr>
          <w:rFonts w:ascii="標楷體" w:eastAsia="標楷體" w:hAnsi="標楷體"/>
        </w:rPr>
        <w:t>Ⅳ.前開免疫抑制劑之劑量：Methotrexate合理劑量需達每週10mg、azathioprine為1.0mg/kg/d、cyclosporin為2.5mg/kg/d，足量治療至少使用12</w:t>
      </w:r>
      <w:proofErr w:type="gramStart"/>
      <w:r>
        <w:rPr>
          <w:rFonts w:ascii="標楷體" w:eastAsia="標楷體" w:hAnsi="標楷體"/>
        </w:rPr>
        <w:t>週</w:t>
      </w:r>
      <w:proofErr w:type="gramEnd"/>
      <w:r>
        <w:rPr>
          <w:rFonts w:ascii="標楷體" w:eastAsia="標楷體" w:hAnsi="標楷體"/>
        </w:rPr>
        <w:t>無效或是有客觀證據產生不良反應(如肝功能異常、白血球低下、高血壓或腎功能異常，或是經培養確診之皰疹性皮膚炎)或有禁忌症。</w:t>
      </w:r>
    </w:p>
    <w:p w14:paraId="651635C7" w14:textId="77777777" w:rsidR="00401786" w:rsidRDefault="00C64FB3" w:rsidP="0009639E">
      <w:pPr>
        <w:snapToGrid w:val="0"/>
        <w:spacing w:line="300" w:lineRule="exact"/>
        <w:ind w:left="1194" w:hanging="388"/>
        <w:rPr>
          <w:rFonts w:ascii="標楷體" w:eastAsia="標楷體" w:hAnsi="標楷體"/>
        </w:rPr>
      </w:pPr>
      <w:r>
        <w:rPr>
          <w:rFonts w:ascii="標楷體" w:eastAsia="標楷體" w:hAnsi="標楷體"/>
        </w:rPr>
        <w:t>V.若臨床上發生無法耐受或特殊體質者(例如NUDT15或TPMT代謝不良基因變異型、肝腎功能不佳、或曾因服用上述藥物發生嚴重感染)，得降低前述系統性治療藥物之合理劑量(病歷中須詳述說明及記載)。</w:t>
      </w:r>
    </w:p>
    <w:p w14:paraId="2019F0F5"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需經事前審查核准後使用。</w:t>
      </w:r>
    </w:p>
    <w:p w14:paraId="1E3D9C6E"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初次申請時，以6個月為1個療程。經</w:t>
      </w:r>
      <w:proofErr w:type="gramStart"/>
      <w:r>
        <w:rPr>
          <w:rFonts w:ascii="標楷體" w:eastAsia="標楷體" w:hAnsi="標楷體"/>
        </w:rPr>
        <w:t>評估需續用</w:t>
      </w:r>
      <w:proofErr w:type="gramEnd"/>
      <w:r>
        <w:rPr>
          <w:rFonts w:ascii="標楷體" w:eastAsia="標楷體" w:hAnsi="標楷體"/>
        </w:rPr>
        <w:t>者，每6個月需再次提出事前審查申請續用評估，且應於期滿前1個月提出，並於</w:t>
      </w:r>
      <w:proofErr w:type="gramStart"/>
      <w:r>
        <w:rPr>
          <w:rFonts w:ascii="標楷體" w:eastAsia="標楷體" w:hAnsi="標楷體"/>
        </w:rPr>
        <w:t>申請時檢附</w:t>
      </w:r>
      <w:proofErr w:type="gramEnd"/>
      <w:r>
        <w:rPr>
          <w:rFonts w:ascii="標楷體" w:eastAsia="標楷體" w:hAnsi="標楷體"/>
        </w:rPr>
        <w:t>照片。</w:t>
      </w:r>
    </w:p>
    <w:p w14:paraId="3CA6EEFE"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初次申請經核准，於治療滿6個月後，經</w:t>
      </w:r>
      <w:proofErr w:type="gramStart"/>
      <w:r>
        <w:rPr>
          <w:rFonts w:ascii="標楷體" w:eastAsia="標楷體" w:hAnsi="標楷體"/>
        </w:rPr>
        <w:t>評估需續用</w:t>
      </w:r>
      <w:proofErr w:type="gramEnd"/>
      <w:r>
        <w:rPr>
          <w:rFonts w:ascii="標楷體" w:eastAsia="標楷體" w:hAnsi="標楷體"/>
        </w:rPr>
        <w:t xml:space="preserve">者，申請續用時，需檢附照片證明初次申請治療6個月後，與初次治療前之療效達EASI 50方可申請使用。停藥超過3個月再申請者，視同新申請案件，否則視為續用案件。 </w:t>
      </w:r>
    </w:p>
    <w:p w14:paraId="6B2B679A"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使用劑量：</w:t>
      </w:r>
    </w:p>
    <w:p w14:paraId="7B327D45" w14:textId="77777777" w:rsidR="00401786" w:rsidRDefault="00C64FB3" w:rsidP="0009639E">
      <w:pPr>
        <w:snapToGrid w:val="0"/>
        <w:spacing w:line="300" w:lineRule="exact"/>
        <w:ind w:left="1241" w:hanging="435"/>
        <w:rPr>
          <w:rFonts w:ascii="標楷體" w:eastAsia="標楷體" w:hAnsi="標楷體"/>
        </w:rPr>
      </w:pPr>
      <w:r>
        <w:rPr>
          <w:rFonts w:ascii="標楷體" w:eastAsia="標楷體" w:hAnsi="標楷體"/>
        </w:rPr>
        <w:t>Ⅰ.體重15公斤以上至未滿30公斤：起始劑量600mg (限300mg注射兩劑) ，接著以300mg隔4</w:t>
      </w:r>
      <w:proofErr w:type="gramStart"/>
      <w:r>
        <w:rPr>
          <w:rFonts w:ascii="標楷體" w:eastAsia="標楷體" w:hAnsi="標楷體"/>
        </w:rPr>
        <w:t>週</w:t>
      </w:r>
      <w:proofErr w:type="gramEnd"/>
      <w:r>
        <w:rPr>
          <w:rFonts w:ascii="標楷體" w:eastAsia="標楷體" w:hAnsi="標楷體"/>
        </w:rPr>
        <w:t>注射一次，且於16</w:t>
      </w:r>
      <w:proofErr w:type="gramStart"/>
      <w:r>
        <w:rPr>
          <w:rFonts w:ascii="標楷體" w:eastAsia="標楷體" w:hAnsi="標楷體"/>
        </w:rPr>
        <w:t>週</w:t>
      </w:r>
      <w:proofErr w:type="gramEnd"/>
      <w:r>
        <w:rPr>
          <w:rFonts w:ascii="標楷體" w:eastAsia="標楷體" w:hAnsi="標楷體"/>
        </w:rPr>
        <w:t>時，須先行評估，至少有EASI 50療效方可使用。</w:t>
      </w:r>
    </w:p>
    <w:p w14:paraId="5AFCC9DC" w14:textId="77777777" w:rsidR="00401786" w:rsidRDefault="00C64FB3" w:rsidP="0009639E">
      <w:pPr>
        <w:snapToGrid w:val="0"/>
        <w:spacing w:line="300" w:lineRule="exact"/>
        <w:ind w:left="1265" w:hanging="459"/>
        <w:rPr>
          <w:rFonts w:ascii="標楷體" w:eastAsia="標楷體" w:hAnsi="標楷體"/>
        </w:rPr>
      </w:pPr>
      <w:r>
        <w:rPr>
          <w:rFonts w:ascii="標楷體" w:eastAsia="標楷體" w:hAnsi="標楷體"/>
        </w:rPr>
        <w:t>Ⅱ.體重30公斤以上至未滿60公斤：起始劑量400mg (限200mg注射兩劑) ，接著以200mg隔</w:t>
      </w:r>
      <w:proofErr w:type="gramStart"/>
      <w:r>
        <w:rPr>
          <w:rFonts w:ascii="標楷體" w:eastAsia="標楷體" w:hAnsi="標楷體"/>
        </w:rPr>
        <w:t>週</w:t>
      </w:r>
      <w:proofErr w:type="gramEnd"/>
      <w:r>
        <w:rPr>
          <w:rFonts w:ascii="標楷體" w:eastAsia="標楷體" w:hAnsi="標楷體"/>
        </w:rPr>
        <w:t>注射一次，且於16</w:t>
      </w:r>
      <w:proofErr w:type="gramStart"/>
      <w:r>
        <w:rPr>
          <w:rFonts w:ascii="標楷體" w:eastAsia="標楷體" w:hAnsi="標楷體"/>
        </w:rPr>
        <w:t>週</w:t>
      </w:r>
      <w:proofErr w:type="gramEnd"/>
      <w:r>
        <w:rPr>
          <w:rFonts w:ascii="標楷體" w:eastAsia="標楷體" w:hAnsi="標楷體"/>
        </w:rPr>
        <w:t>時，須先行評估，至少有EASI 50療效方可使用。</w:t>
      </w:r>
    </w:p>
    <w:p w14:paraId="2ED8D843" w14:textId="77777777" w:rsidR="00401786" w:rsidRDefault="00C64FB3" w:rsidP="0009639E">
      <w:pPr>
        <w:snapToGrid w:val="0"/>
        <w:spacing w:line="300" w:lineRule="exact"/>
        <w:ind w:left="1125" w:hanging="319"/>
        <w:rPr>
          <w:rFonts w:ascii="標楷體" w:eastAsia="標楷體" w:hAnsi="標楷體"/>
        </w:rPr>
      </w:pPr>
      <w:r>
        <w:rPr>
          <w:rFonts w:ascii="標楷體" w:eastAsia="標楷體" w:hAnsi="標楷體"/>
        </w:rPr>
        <w:t>Ⅲ.體重60公斤以上：起始劑量600mg (限300mg注射兩劑) ，接著以300mg隔</w:t>
      </w:r>
      <w:proofErr w:type="gramStart"/>
      <w:r>
        <w:rPr>
          <w:rFonts w:ascii="標楷體" w:eastAsia="標楷體" w:hAnsi="標楷體"/>
        </w:rPr>
        <w:t>週</w:t>
      </w:r>
      <w:proofErr w:type="gramEnd"/>
      <w:r>
        <w:rPr>
          <w:rFonts w:ascii="標楷體" w:eastAsia="標楷體" w:hAnsi="標楷體"/>
        </w:rPr>
        <w:t>注射一次，且於16</w:t>
      </w:r>
      <w:proofErr w:type="gramStart"/>
      <w:r>
        <w:rPr>
          <w:rFonts w:ascii="標楷體" w:eastAsia="標楷體" w:hAnsi="標楷體"/>
        </w:rPr>
        <w:t>週</w:t>
      </w:r>
      <w:proofErr w:type="gramEnd"/>
      <w:r>
        <w:rPr>
          <w:rFonts w:ascii="標楷體" w:eastAsia="標楷體" w:hAnsi="標楷體"/>
        </w:rPr>
        <w:t>時，須先行評估，至少有EASI 50療效方可使用。</w:t>
      </w:r>
    </w:p>
    <w:p w14:paraId="4FED45ED"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若患者曾核准使用治療乾癬之生物製劑，需等到乾癬症狀消失後，至少兩年才能提出申請。或申請前須切片確定排除乾癬診斷並經皮膚科專科醫師確立診斷。</w:t>
      </w:r>
    </w:p>
    <w:p w14:paraId="5CA068CB"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需排除使用的情形應參照藥物仿單資訊，重要之排除使用狀況包括：寄生蟲 (蠕蟲) 感染。</w:t>
      </w:r>
    </w:p>
    <w:p w14:paraId="10E10978"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如果發生下列現象應停止治療：</w:t>
      </w:r>
    </w:p>
    <w:p w14:paraId="2434EC47" w14:textId="77777777" w:rsidR="00401786" w:rsidRDefault="00C64FB3">
      <w:pPr>
        <w:pStyle w:val="af"/>
        <w:widowControl/>
        <w:numPr>
          <w:ilvl w:val="0"/>
          <w:numId w:val="32"/>
        </w:numPr>
        <w:snapToGrid w:val="0"/>
        <w:spacing w:line="300" w:lineRule="exact"/>
        <w:ind w:left="991" w:hanging="425"/>
        <w:rPr>
          <w:rFonts w:ascii="標楷體" w:eastAsia="標楷體" w:hAnsi="標楷體"/>
        </w:rPr>
      </w:pPr>
      <w:r>
        <w:rPr>
          <w:rFonts w:ascii="標楷體" w:eastAsia="標楷體" w:hAnsi="標楷體"/>
        </w:rPr>
        <w:t>不良事件，包括：</w:t>
      </w:r>
    </w:p>
    <w:p w14:paraId="1D5935AA" w14:textId="77777777" w:rsidR="00401786" w:rsidRDefault="00C64FB3" w:rsidP="0009639E">
      <w:pPr>
        <w:snapToGrid w:val="0"/>
        <w:spacing w:line="300" w:lineRule="exact"/>
        <w:ind w:left="566" w:firstLine="427"/>
      </w:pPr>
      <w:bookmarkStart w:id="87" w:name="_Hlk156320877"/>
      <w:r>
        <w:rPr>
          <w:rFonts w:ascii="標楷體" w:eastAsia="標楷體" w:hAnsi="標楷體"/>
          <w:color w:val="000000"/>
        </w:rPr>
        <w:t>Ⅰ.</w:t>
      </w:r>
      <w:bookmarkEnd w:id="87"/>
      <w:r>
        <w:rPr>
          <w:rFonts w:ascii="標楷體" w:eastAsia="標楷體" w:hAnsi="標楷體"/>
        </w:rPr>
        <w:t>惡性腫瘤。</w:t>
      </w:r>
    </w:p>
    <w:p w14:paraId="026C7462" w14:textId="77777777" w:rsidR="00401786" w:rsidRDefault="00C64FB3" w:rsidP="0009639E">
      <w:pPr>
        <w:snapToGrid w:val="0"/>
        <w:spacing w:line="300" w:lineRule="exact"/>
        <w:ind w:left="566" w:firstLine="484"/>
        <w:rPr>
          <w:rFonts w:ascii="標楷體" w:eastAsia="標楷體" w:hAnsi="標楷體"/>
        </w:rPr>
      </w:pPr>
      <w:r>
        <w:rPr>
          <w:rFonts w:ascii="標楷體" w:eastAsia="標楷體" w:hAnsi="標楷體"/>
        </w:rPr>
        <w:t>Ⅱ.寄生蟲 (蠕蟲) 感染。</w:t>
      </w:r>
    </w:p>
    <w:p w14:paraId="15B97ADE" w14:textId="77777777" w:rsidR="00401786" w:rsidRDefault="00C64FB3">
      <w:pPr>
        <w:pStyle w:val="af"/>
        <w:widowControl/>
        <w:numPr>
          <w:ilvl w:val="0"/>
          <w:numId w:val="32"/>
        </w:numPr>
        <w:snapToGrid w:val="0"/>
        <w:spacing w:line="300" w:lineRule="exact"/>
        <w:ind w:left="991" w:hanging="425"/>
        <w:rPr>
          <w:rFonts w:ascii="標楷體" w:eastAsia="標楷體" w:hAnsi="標楷體"/>
        </w:rPr>
      </w:pPr>
      <w:r>
        <w:rPr>
          <w:rFonts w:ascii="標楷體" w:eastAsia="標楷體" w:hAnsi="標楷體"/>
        </w:rPr>
        <w:lastRenderedPageBreak/>
        <w:t>療效</w:t>
      </w:r>
      <w:proofErr w:type="gramStart"/>
      <w:r>
        <w:rPr>
          <w:rFonts w:ascii="標楷體" w:eastAsia="標楷體" w:hAnsi="標楷體"/>
        </w:rPr>
        <w:t>不</w:t>
      </w:r>
      <w:proofErr w:type="gramEnd"/>
      <w:r>
        <w:rPr>
          <w:rFonts w:ascii="標楷體" w:eastAsia="標楷體" w:hAnsi="標楷體"/>
        </w:rPr>
        <w:t>彰：患者經過6個月治療（初次療程）後未達療效者，療效定義指EASI改善未達50%。</w:t>
      </w:r>
    </w:p>
    <w:p w14:paraId="07AB5106"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暫緩續用之相關規定：</w:t>
      </w:r>
    </w:p>
    <w:p w14:paraId="52500A67" w14:textId="77777777" w:rsidR="00401786" w:rsidRDefault="00C64FB3">
      <w:pPr>
        <w:pStyle w:val="af"/>
        <w:widowControl/>
        <w:numPr>
          <w:ilvl w:val="0"/>
          <w:numId w:val="33"/>
        </w:numPr>
        <w:snapToGrid w:val="0"/>
        <w:spacing w:line="300" w:lineRule="exact"/>
        <w:ind w:left="991" w:hanging="425"/>
        <w:rPr>
          <w:rFonts w:ascii="標楷體" w:eastAsia="標楷體" w:hAnsi="標楷體"/>
        </w:rPr>
      </w:pPr>
      <w:r>
        <w:rPr>
          <w:rFonts w:ascii="標楷體" w:eastAsia="標楷體" w:hAnsi="標楷體"/>
        </w:rPr>
        <w:t>暫緩續用時機：使用生物製劑治療1年後符合EASI</w:t>
      </w:r>
      <w:proofErr w:type="gramStart"/>
      <w:r>
        <w:rPr>
          <w:rFonts w:ascii="標楷體" w:eastAsia="標楷體" w:hAnsi="標楷體"/>
        </w:rPr>
        <w:t>≦</w:t>
      </w:r>
      <w:proofErr w:type="gramEnd"/>
      <w:r>
        <w:rPr>
          <w:rFonts w:ascii="標楷體" w:eastAsia="標楷體" w:hAnsi="標楷體"/>
        </w:rPr>
        <w:t>16者。</w:t>
      </w:r>
    </w:p>
    <w:p w14:paraId="63ABE63C" w14:textId="77777777" w:rsidR="00401786" w:rsidRDefault="00C64FB3">
      <w:pPr>
        <w:pStyle w:val="af"/>
        <w:widowControl/>
        <w:numPr>
          <w:ilvl w:val="0"/>
          <w:numId w:val="33"/>
        </w:numPr>
        <w:snapToGrid w:val="0"/>
        <w:spacing w:line="300" w:lineRule="exact"/>
        <w:ind w:left="991" w:hanging="425"/>
        <w:rPr>
          <w:rFonts w:ascii="標楷體" w:eastAsia="標楷體" w:hAnsi="標楷體"/>
        </w:rPr>
      </w:pPr>
      <w:r>
        <w:rPr>
          <w:rFonts w:ascii="標楷體" w:eastAsia="標楷體" w:hAnsi="標楷體"/>
        </w:rPr>
        <w:t>暫緩續用後若疾病再復發，可重新申請使用，須符合至少有50%復發或EASI</w:t>
      </w:r>
      <w:proofErr w:type="gramStart"/>
      <w:r>
        <w:rPr>
          <w:rFonts w:ascii="標楷體" w:eastAsia="標楷體" w:hAnsi="標楷體"/>
        </w:rPr>
        <w:t>≧</w:t>
      </w:r>
      <w:proofErr w:type="gramEnd"/>
      <w:r>
        <w:rPr>
          <w:rFonts w:ascii="標楷體" w:eastAsia="標楷體" w:hAnsi="標楷體"/>
        </w:rPr>
        <w:t>16 (需附上次療程治療前、後，及本次照片)。</w:t>
      </w:r>
    </w:p>
    <w:p w14:paraId="54AC7D50" w14:textId="77777777" w:rsidR="00401786" w:rsidRDefault="00C64FB3" w:rsidP="0009639E">
      <w:pPr>
        <w:snapToGrid w:val="0"/>
        <w:spacing w:line="300" w:lineRule="exact"/>
        <w:ind w:left="835" w:hanging="269"/>
        <w:rPr>
          <w:rFonts w:ascii="標楷體" w:eastAsia="標楷體" w:hAnsi="標楷體"/>
        </w:rPr>
      </w:pPr>
      <w:r>
        <w:rPr>
          <w:rFonts w:ascii="標楷體" w:eastAsia="標楷體" w:hAnsi="標楷體"/>
        </w:rPr>
        <w:t>◎附表三十二：異位性皮膚炎面積暨嚴重度指數【Eczema Area and Severity Index (EASI)】(108/12/1、113/2/1)</w:t>
      </w:r>
    </w:p>
    <w:p w14:paraId="78504704" w14:textId="77777777" w:rsidR="00401786" w:rsidRDefault="00C64FB3" w:rsidP="0009639E">
      <w:pPr>
        <w:snapToGrid w:val="0"/>
        <w:spacing w:line="300" w:lineRule="exact"/>
        <w:ind w:left="874" w:hanging="308"/>
      </w:pPr>
      <w:r>
        <w:rPr>
          <w:rFonts w:ascii="標楷體" w:eastAsia="標楷體" w:hAnsi="標楷體"/>
        </w:rPr>
        <w:t>◎附表三十二之</w:t>
      </w:r>
      <w:proofErr w:type="gramStart"/>
      <w:r>
        <w:rPr>
          <w:rFonts w:ascii="標楷體" w:eastAsia="標楷體" w:hAnsi="標楷體"/>
        </w:rPr>
        <w:t>一</w:t>
      </w:r>
      <w:proofErr w:type="gramEnd"/>
      <w:r>
        <w:rPr>
          <w:rFonts w:ascii="標楷體" w:eastAsia="標楷體" w:hAnsi="標楷體"/>
        </w:rPr>
        <w:t>：全民健康保險</w:t>
      </w:r>
      <w:r>
        <w:rPr>
          <w:rFonts w:ascii="標楷體" w:eastAsia="標楷體" w:hAnsi="標楷體"/>
          <w:bCs/>
          <w:szCs w:val="24"/>
        </w:rPr>
        <w:t>12歲以上病人</w:t>
      </w:r>
      <w:r>
        <w:rPr>
          <w:rFonts w:ascii="標楷體" w:eastAsia="標楷體" w:hAnsi="標楷體"/>
        </w:rPr>
        <w:t>異位性皮膚炎使用生物製劑申請表(109/8/1、111/8/1、113/2/1)</w:t>
      </w:r>
    </w:p>
    <w:p w14:paraId="3AC1664E" w14:textId="77777777" w:rsidR="00401786" w:rsidRDefault="00C64FB3" w:rsidP="0009639E">
      <w:pPr>
        <w:snapToGrid w:val="0"/>
        <w:spacing w:line="300" w:lineRule="exact"/>
        <w:ind w:left="861" w:hanging="295"/>
        <w:rPr>
          <w:rFonts w:ascii="標楷體" w:eastAsia="標楷體" w:hAnsi="標楷體"/>
        </w:rPr>
      </w:pPr>
      <w:r>
        <w:rPr>
          <w:rFonts w:ascii="標楷體" w:eastAsia="標楷體" w:hAnsi="標楷體"/>
        </w:rPr>
        <w:t>◎附表三十二之二：全民健康保險6歲以上未滿12歲兒童異位性皮膚炎使用生物製劑申請表(113/2/1)</w:t>
      </w:r>
    </w:p>
    <w:p w14:paraId="287E8FEF"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13.18.Nadifloxacin外用製劑(如</w:t>
      </w:r>
      <w:proofErr w:type="spellStart"/>
      <w:r>
        <w:rPr>
          <w:rFonts w:ascii="標楷體" w:eastAsia="標楷體" w:hAnsi="標楷體"/>
          <w:color w:val="000000"/>
        </w:rPr>
        <w:t>Nadixa</w:t>
      </w:r>
      <w:proofErr w:type="spellEnd"/>
      <w:r>
        <w:rPr>
          <w:rFonts w:ascii="標楷體" w:eastAsia="標楷體" w:hAnsi="標楷體"/>
          <w:color w:val="000000"/>
        </w:rPr>
        <w:t>) (110/6/1)</w:t>
      </w:r>
    </w:p>
    <w:p w14:paraId="1A64963F"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1.限用於傳統外用抗生素治療無效之毛囊炎及尋常性鬚瘡，不得合併其他局部抗生素藥膏使用。</w:t>
      </w:r>
    </w:p>
    <w:p w14:paraId="1FE4C13C"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2.臉部每</w:t>
      </w:r>
      <w:proofErr w:type="gramStart"/>
      <w:r>
        <w:rPr>
          <w:rFonts w:ascii="標楷體" w:eastAsia="標楷體" w:hAnsi="標楷體"/>
          <w:color w:val="000000"/>
        </w:rPr>
        <w:t>個月限</w:t>
      </w:r>
      <w:proofErr w:type="gramEnd"/>
      <w:r>
        <w:rPr>
          <w:rFonts w:ascii="標楷體" w:eastAsia="標楷體" w:hAnsi="標楷體"/>
          <w:color w:val="000000"/>
        </w:rPr>
        <w:t>用一條（25gm）。</w:t>
      </w:r>
    </w:p>
    <w:p w14:paraId="25D5E62D" w14:textId="77777777" w:rsidR="00401786" w:rsidRDefault="00C64FB3" w:rsidP="0009639E">
      <w:pPr>
        <w:spacing w:line="300" w:lineRule="exact"/>
        <w:ind w:left="566" w:hanging="480"/>
        <w:rPr>
          <w:rFonts w:ascii="標楷體" w:eastAsia="標楷體" w:hAnsi="標楷體"/>
          <w:color w:val="000000"/>
        </w:rPr>
      </w:pPr>
      <w:r>
        <w:rPr>
          <w:rFonts w:ascii="標楷體" w:eastAsia="標楷體" w:hAnsi="標楷體"/>
          <w:color w:val="000000"/>
        </w:rPr>
        <w:t xml:space="preserve">13.19.Centella asiatica extract, </w:t>
      </w:r>
      <w:proofErr w:type="spellStart"/>
      <w:r>
        <w:rPr>
          <w:rFonts w:ascii="標楷體" w:eastAsia="標楷體" w:hAnsi="標楷體"/>
          <w:color w:val="000000"/>
        </w:rPr>
        <w:t>plectranthus</w:t>
      </w:r>
      <w:proofErr w:type="spellEnd"/>
      <w:r>
        <w:rPr>
          <w:rFonts w:ascii="標楷體" w:eastAsia="標楷體" w:hAnsi="標楷體"/>
          <w:color w:val="000000"/>
        </w:rPr>
        <w:t xml:space="preserve"> </w:t>
      </w:r>
      <w:proofErr w:type="spellStart"/>
      <w:r>
        <w:rPr>
          <w:rFonts w:ascii="標楷體" w:eastAsia="標楷體" w:hAnsi="標楷體"/>
          <w:color w:val="000000"/>
        </w:rPr>
        <w:t>amboinicus</w:t>
      </w:r>
      <w:proofErr w:type="spellEnd"/>
      <w:r>
        <w:rPr>
          <w:rFonts w:ascii="標楷體" w:eastAsia="標楷體" w:hAnsi="標楷體"/>
          <w:color w:val="000000"/>
        </w:rPr>
        <w:t xml:space="preserve"> extract外用製劑(如</w:t>
      </w:r>
      <w:proofErr w:type="spellStart"/>
      <w:r>
        <w:rPr>
          <w:rFonts w:ascii="標楷體" w:eastAsia="標楷體" w:hAnsi="標楷體"/>
          <w:color w:val="000000"/>
        </w:rPr>
        <w:t>Fespixon</w:t>
      </w:r>
      <w:proofErr w:type="spellEnd"/>
      <w:r>
        <w:rPr>
          <w:rFonts w:ascii="標楷體" w:eastAsia="標楷體" w:hAnsi="標楷體"/>
          <w:color w:val="000000"/>
        </w:rPr>
        <w:t xml:space="preserve"> cream)：(112/8/1)</w:t>
      </w:r>
    </w:p>
    <w:p w14:paraId="19EC1BD9"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1.限整形外科或皮膚科專科醫師使用。</w:t>
      </w:r>
    </w:p>
    <w:p w14:paraId="11F522F6" w14:textId="77777777" w:rsidR="00401786" w:rsidRDefault="00C64FB3" w:rsidP="0009639E">
      <w:pPr>
        <w:spacing w:line="300" w:lineRule="exact"/>
        <w:ind w:left="806" w:hanging="240"/>
        <w:rPr>
          <w:rFonts w:ascii="標楷體" w:eastAsia="標楷體" w:hAnsi="標楷體"/>
          <w:color w:val="000000"/>
        </w:rPr>
      </w:pPr>
      <w:r>
        <w:rPr>
          <w:rFonts w:ascii="標楷體" w:eastAsia="標楷體" w:hAnsi="標楷體"/>
          <w:color w:val="000000"/>
        </w:rPr>
        <w:t>2.限用於糖尿病足部傷口潰瘍(Wagner grade 2級)，接受積極血糖控制</w:t>
      </w:r>
      <w:proofErr w:type="gramStart"/>
      <w:r>
        <w:rPr>
          <w:rFonts w:ascii="標楷體" w:eastAsia="標楷體" w:hAnsi="標楷體"/>
          <w:color w:val="000000"/>
        </w:rPr>
        <w:t>及清創手術</w:t>
      </w:r>
      <w:proofErr w:type="gramEnd"/>
      <w:r>
        <w:rPr>
          <w:rFonts w:ascii="標楷體" w:eastAsia="標楷體" w:hAnsi="標楷體"/>
          <w:color w:val="000000"/>
        </w:rPr>
        <w:t>後，其治療最大傷口面積不超過5cm2，且應符合下列所有條件：</w:t>
      </w:r>
    </w:p>
    <w:p w14:paraId="044AE3A7" w14:textId="77777777" w:rsidR="00401786" w:rsidRDefault="00C64FB3" w:rsidP="0009639E">
      <w:pPr>
        <w:spacing w:line="300" w:lineRule="exact"/>
        <w:ind w:left="1046" w:hanging="240"/>
        <w:rPr>
          <w:rFonts w:ascii="標楷體" w:eastAsia="標楷體" w:hAnsi="標楷體"/>
          <w:color w:val="000000"/>
        </w:rPr>
      </w:pPr>
      <w:r>
        <w:rPr>
          <w:rFonts w:ascii="標楷體" w:eastAsia="標楷體" w:hAnsi="標楷體"/>
          <w:color w:val="000000"/>
        </w:rPr>
        <w:t>(1)糖尿病足部傷口潰瘍，傷口深及</w:t>
      </w:r>
      <w:proofErr w:type="gramStart"/>
      <w:r>
        <w:rPr>
          <w:rFonts w:ascii="標楷體" w:eastAsia="標楷體" w:hAnsi="標楷體"/>
          <w:color w:val="000000"/>
        </w:rPr>
        <w:t>肌肉層且經</w:t>
      </w:r>
      <w:proofErr w:type="gramEnd"/>
      <w:r>
        <w:rPr>
          <w:rFonts w:ascii="標楷體" w:eastAsia="標楷體" w:hAnsi="標楷體"/>
          <w:color w:val="000000"/>
        </w:rPr>
        <w:t>抗生素藥膏或燙傷藥膏治療及使用傷口敷料12</w:t>
      </w:r>
      <w:proofErr w:type="gramStart"/>
      <w:r>
        <w:rPr>
          <w:rFonts w:ascii="標楷體" w:eastAsia="標楷體" w:hAnsi="標楷體"/>
          <w:color w:val="000000"/>
        </w:rPr>
        <w:t>週</w:t>
      </w:r>
      <w:proofErr w:type="gramEnd"/>
      <w:r>
        <w:rPr>
          <w:rFonts w:ascii="標楷體" w:eastAsia="標楷體" w:hAnsi="標楷體"/>
          <w:color w:val="000000"/>
        </w:rPr>
        <w:t>後，該傷口癒合面積小於50%。</w:t>
      </w:r>
    </w:p>
    <w:p w14:paraId="480C3E8E"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 xml:space="preserve">(2)HbA1c&lt;8.5%、albumin </w:t>
      </w:r>
      <w:proofErr w:type="gramStart"/>
      <w:r>
        <w:rPr>
          <w:rFonts w:ascii="標楷體" w:eastAsia="標楷體" w:hAnsi="標楷體"/>
          <w:color w:val="000000"/>
        </w:rPr>
        <w:t>≧</w:t>
      </w:r>
      <w:proofErr w:type="gramEnd"/>
      <w:r>
        <w:rPr>
          <w:rFonts w:ascii="標楷體" w:eastAsia="標楷體" w:hAnsi="標楷體"/>
          <w:color w:val="000000"/>
        </w:rPr>
        <w:t xml:space="preserve"> 3.0 g/dL。</w:t>
      </w:r>
    </w:p>
    <w:p w14:paraId="18C8B2F7"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(3)治療前ABI（Ankle Brachial Index）</w:t>
      </w:r>
      <w:proofErr w:type="gramStart"/>
      <w:r>
        <w:rPr>
          <w:rFonts w:ascii="標楷體" w:eastAsia="標楷體" w:hAnsi="標楷體"/>
          <w:color w:val="000000"/>
        </w:rPr>
        <w:t>≧</w:t>
      </w:r>
      <w:proofErr w:type="gramEnd"/>
      <w:r>
        <w:rPr>
          <w:rFonts w:ascii="標楷體" w:eastAsia="標楷體" w:hAnsi="標楷體"/>
          <w:color w:val="000000"/>
        </w:rPr>
        <w:t>0.9。</w:t>
      </w:r>
    </w:p>
    <w:p w14:paraId="66867E5A"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3.每年限申請1次，每次申請為2支，每次處方限1支。</w:t>
      </w:r>
    </w:p>
    <w:p w14:paraId="50AA2D9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4.排除條件:</w:t>
      </w:r>
    </w:p>
    <w:p w14:paraId="2BA4E7F5"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(1)急性發炎感染不穩定之傷口。</w:t>
      </w:r>
    </w:p>
    <w:p w14:paraId="70636882" w14:textId="77777777" w:rsidR="00401786" w:rsidRDefault="00C64FB3" w:rsidP="0009639E">
      <w:pPr>
        <w:spacing w:line="300" w:lineRule="exact"/>
        <w:ind w:left="1166" w:hanging="360"/>
        <w:rPr>
          <w:rFonts w:ascii="標楷體" w:eastAsia="標楷體" w:hAnsi="標楷體"/>
          <w:color w:val="000000"/>
        </w:rPr>
      </w:pPr>
      <w:r>
        <w:rPr>
          <w:rFonts w:ascii="標楷體" w:eastAsia="標楷體" w:hAnsi="標楷體"/>
          <w:color w:val="000000"/>
        </w:rPr>
        <w:t xml:space="preserve">(2)周邊動脈阻塞(peripheral artery </w:t>
      </w:r>
      <w:proofErr w:type="spellStart"/>
      <w:r>
        <w:rPr>
          <w:rFonts w:ascii="標楷體" w:eastAsia="標楷體" w:hAnsi="標楷體"/>
          <w:color w:val="000000"/>
        </w:rPr>
        <w:t>disease,PAD</w:t>
      </w:r>
      <w:proofErr w:type="spellEnd"/>
      <w:r>
        <w:rPr>
          <w:rFonts w:ascii="標楷體" w:eastAsia="標楷體" w:hAnsi="標楷體"/>
          <w:color w:val="000000"/>
        </w:rPr>
        <w:t xml:space="preserve">)病人未施行經皮血管擴張術 (percutaneous transluminal </w:t>
      </w:r>
      <w:proofErr w:type="spellStart"/>
      <w:r>
        <w:rPr>
          <w:rFonts w:ascii="標楷體" w:eastAsia="標楷體" w:hAnsi="標楷體"/>
          <w:color w:val="000000"/>
        </w:rPr>
        <w:t>angioplasty,PTA</w:t>
      </w:r>
      <w:proofErr w:type="spellEnd"/>
      <w:r>
        <w:rPr>
          <w:rFonts w:ascii="標楷體" w:eastAsia="標楷體" w:hAnsi="標楷體"/>
          <w:color w:val="000000"/>
        </w:rPr>
        <w:t>)治療者。</w:t>
      </w:r>
    </w:p>
    <w:p w14:paraId="30AD4082" w14:textId="77777777" w:rsidR="00401786" w:rsidRDefault="00C64FB3" w:rsidP="0009639E">
      <w:pPr>
        <w:spacing w:line="300" w:lineRule="exact"/>
        <w:ind w:left="806" w:hanging="240"/>
        <w:rPr>
          <w:rFonts w:ascii="標楷體" w:eastAsia="標楷體" w:hAnsi="標楷體"/>
          <w:color w:val="000000"/>
        </w:rPr>
      </w:pPr>
      <w:r>
        <w:rPr>
          <w:rFonts w:ascii="標楷體" w:eastAsia="標楷體" w:hAnsi="標楷體"/>
          <w:color w:val="000000"/>
        </w:rPr>
        <w:t>5.需經事前審查核准後使用；應附有HbA1c、albumin、ABI資料及</w:t>
      </w:r>
      <w:proofErr w:type="gramStart"/>
      <w:r>
        <w:rPr>
          <w:rFonts w:ascii="標楷體" w:eastAsia="標楷體" w:hAnsi="標楷體"/>
          <w:color w:val="000000"/>
        </w:rPr>
        <w:t>相隔12週以上清創前後</w:t>
      </w:r>
      <w:proofErr w:type="gramEnd"/>
      <w:r>
        <w:rPr>
          <w:rFonts w:ascii="標楷體" w:eastAsia="標楷體" w:hAnsi="標楷體"/>
          <w:color w:val="000000"/>
        </w:rPr>
        <w:t>照片。</w:t>
      </w:r>
    </w:p>
    <w:p w14:paraId="019089A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6.再次申請時除前條所需資料外，需加附前次治療後該傷口完全癒合之照片。</w:t>
      </w:r>
    </w:p>
    <w:p w14:paraId="20FE9282" w14:textId="77777777" w:rsidR="00401786" w:rsidRDefault="00C64FB3" w:rsidP="00CC252C">
      <w:pPr>
        <w:spacing w:line="300" w:lineRule="exact"/>
        <w:ind w:left="566"/>
        <w:rPr>
          <w:rFonts w:ascii="標楷體" w:eastAsia="標楷體" w:hAnsi="標楷體"/>
          <w:b/>
          <w:sz w:val="32"/>
          <w:szCs w:val="32"/>
        </w:rPr>
      </w:pPr>
      <w:r>
        <w:rPr>
          <w:rFonts w:ascii="標楷體" w:eastAsia="標楷體" w:hAnsi="標楷體"/>
          <w:color w:val="000000"/>
        </w:rPr>
        <w:t>備註:積極血糖控制，係指糖化血色素不高於個別目標值1.5%以上，惟一般病人的糖化血色素目標值為7.0%以下，因此8.5%為指標。</w:t>
      </w:r>
    </w:p>
    <w:p w14:paraId="614744D7" w14:textId="77777777" w:rsidR="00CC252C" w:rsidRDefault="00CC252C">
      <w:pPr>
        <w:widowControl/>
        <w:suppressAutoHyphens w:val="0"/>
        <w:rPr>
          <w:rFonts w:ascii="標楷體" w:eastAsia="標楷體" w:hAnsi="標楷體"/>
          <w:b/>
          <w:sz w:val="32"/>
          <w:szCs w:val="32"/>
        </w:rPr>
      </w:pPr>
      <w:r>
        <w:br w:type="page"/>
      </w:r>
    </w:p>
    <w:p w14:paraId="0628D99E" w14:textId="77777777" w:rsidR="00401786" w:rsidRDefault="00C64FB3" w:rsidP="0009639E">
      <w:pPr>
        <w:pStyle w:val="2"/>
        <w:spacing w:line="300" w:lineRule="exact"/>
      </w:pPr>
      <w:r>
        <w:lastRenderedPageBreak/>
        <w:t>第14節 眼科製劑 Ophthalmic preparations</w:t>
      </w:r>
    </w:p>
    <w:p w14:paraId="68313499"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42BBC63F" w14:textId="77777777" w:rsidR="00401786" w:rsidRDefault="00C64FB3" w:rsidP="0009639E">
      <w:pPr>
        <w:spacing w:line="300" w:lineRule="exact"/>
        <w:ind w:left="851" w:hanging="567"/>
      </w:pPr>
      <w:r>
        <w:rPr>
          <w:rFonts w:ascii="標楷體" w:eastAsia="標楷體" w:hAnsi="標楷體"/>
          <w:bCs/>
          <w:color w:val="000000"/>
        </w:rPr>
        <w:t>14.1.高眼壓及青光眼眼用製劑(101/12/1、102/8/1、104/4/1、106/2/1、110/5/1、111/7/1、114/6/1)</w:t>
      </w:r>
    </w:p>
    <w:p w14:paraId="38B1319C" w14:textId="77777777" w:rsidR="00401786" w:rsidRDefault="00C64FB3" w:rsidP="0009639E">
      <w:pPr>
        <w:spacing w:line="300" w:lineRule="exact"/>
        <w:ind w:left="1078" w:hanging="370"/>
        <w:rPr>
          <w:rFonts w:ascii="標楷體" w:eastAsia="標楷體" w:hAnsi="標楷體"/>
          <w:bCs/>
          <w:color w:val="000000"/>
          <w:szCs w:val="24"/>
        </w:rPr>
      </w:pPr>
      <w:r>
        <w:rPr>
          <w:rFonts w:ascii="標楷體" w:eastAsia="標楷體" w:hAnsi="標楷體"/>
          <w:bCs/>
          <w:color w:val="000000"/>
          <w:szCs w:val="24"/>
        </w:rPr>
        <w:t>1.</w:t>
      </w:r>
      <w:proofErr w:type="gramStart"/>
      <w:r>
        <w:rPr>
          <w:rFonts w:ascii="標楷體" w:eastAsia="標楷體" w:hAnsi="標楷體"/>
          <w:bCs/>
          <w:color w:val="000000"/>
          <w:szCs w:val="24"/>
        </w:rPr>
        <w:t>本類藥物</w:t>
      </w:r>
      <w:proofErr w:type="gramEnd"/>
      <w:r>
        <w:rPr>
          <w:rFonts w:ascii="標楷體" w:eastAsia="標楷體" w:hAnsi="標楷體"/>
          <w:bCs/>
          <w:color w:val="000000"/>
          <w:szCs w:val="24"/>
        </w:rPr>
        <w:t>療程劑量如下：(106/2/1、111/7/1)</w:t>
      </w:r>
    </w:p>
    <w:p w14:paraId="00C8F588" w14:textId="77777777" w:rsidR="00401786" w:rsidRDefault="00C64FB3" w:rsidP="0009639E">
      <w:pPr>
        <w:spacing w:line="300" w:lineRule="exact"/>
        <w:ind w:left="1133" w:hanging="509"/>
        <w:rPr>
          <w:rFonts w:ascii="標楷體" w:eastAsia="標楷體" w:hAnsi="標楷體"/>
          <w:bCs/>
          <w:color w:val="000000"/>
          <w:szCs w:val="24"/>
        </w:rPr>
      </w:pPr>
      <w:r>
        <w:rPr>
          <w:rFonts w:ascii="標楷體" w:eastAsia="標楷體" w:hAnsi="標楷體"/>
          <w:bCs/>
          <w:color w:val="000000"/>
          <w:szCs w:val="24"/>
        </w:rPr>
        <w:t>(1)多次使用包裝(規格量</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2.5mL):</w:t>
      </w:r>
    </w:p>
    <w:p w14:paraId="38801D4D" w14:textId="77777777" w:rsidR="00401786" w:rsidRDefault="00C64FB3" w:rsidP="0009639E">
      <w:pPr>
        <w:spacing w:line="300" w:lineRule="exact"/>
        <w:ind w:left="1275" w:hanging="370"/>
      </w:pPr>
      <w:r>
        <w:rPr>
          <w:rFonts w:ascii="標楷體" w:eastAsia="標楷體" w:hAnsi="標楷體"/>
          <w:color w:val="000000"/>
          <w:szCs w:val="24"/>
        </w:rPr>
        <w:t>Ⅰ.</w:t>
      </w:r>
      <w:r>
        <w:rPr>
          <w:rFonts w:ascii="標楷體" w:eastAsia="標楷體" w:hAnsi="標楷體"/>
          <w:bCs/>
          <w:color w:val="000000"/>
          <w:szCs w:val="24"/>
        </w:rPr>
        <w:tab/>
      </w:r>
      <w:bookmarkStart w:id="88" w:name="_Hlk90375412"/>
      <w:r>
        <w:rPr>
          <w:rFonts w:ascii="標楷體" w:eastAsia="標楷體" w:hAnsi="標楷體"/>
          <w:bCs/>
          <w:color w:val="000000"/>
          <w:szCs w:val="24"/>
        </w:rPr>
        <w:t>規格量</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3mL：一天點一次者(如</w:t>
      </w:r>
      <w:proofErr w:type="spellStart"/>
      <w:r>
        <w:rPr>
          <w:rFonts w:ascii="標楷體" w:eastAsia="標楷體" w:hAnsi="標楷體"/>
          <w:bCs/>
          <w:color w:val="000000"/>
          <w:kern w:val="0"/>
          <w:szCs w:val="24"/>
        </w:rPr>
        <w:t>Mikelan</w:t>
      </w:r>
      <w:proofErr w:type="spellEnd"/>
      <w:r>
        <w:rPr>
          <w:rFonts w:ascii="標楷體" w:eastAsia="標楷體" w:hAnsi="標楷體"/>
          <w:bCs/>
          <w:color w:val="000000"/>
          <w:kern w:val="0"/>
          <w:szCs w:val="24"/>
        </w:rPr>
        <w:t>、</w:t>
      </w:r>
      <w:r>
        <w:rPr>
          <w:rFonts w:ascii="標楷體" w:eastAsia="標楷體" w:hAnsi="標楷體"/>
          <w:bCs/>
          <w:color w:val="000000"/>
          <w:szCs w:val="24"/>
        </w:rPr>
        <w:t>Xalatan、</w:t>
      </w:r>
      <w:proofErr w:type="spellStart"/>
      <w:r>
        <w:rPr>
          <w:rFonts w:ascii="標楷體" w:eastAsia="標楷體" w:hAnsi="標楷體"/>
          <w:bCs/>
          <w:color w:val="000000"/>
          <w:szCs w:val="24"/>
        </w:rPr>
        <w:t>Travatan</w:t>
      </w:r>
      <w:proofErr w:type="spellEnd"/>
      <w:r>
        <w:rPr>
          <w:rFonts w:ascii="標楷體" w:eastAsia="標楷體" w:hAnsi="標楷體"/>
          <w:bCs/>
          <w:color w:val="000000"/>
          <w:szCs w:val="24"/>
        </w:rPr>
        <w:t>、Lumigan，</w:t>
      </w:r>
      <w:proofErr w:type="spellStart"/>
      <w:r>
        <w:rPr>
          <w:rFonts w:ascii="標楷體" w:eastAsia="標楷體" w:hAnsi="標楷體"/>
          <w:bCs/>
          <w:color w:val="000000"/>
          <w:szCs w:val="24"/>
        </w:rPr>
        <w:t>Taflotan</w:t>
      </w:r>
      <w:proofErr w:type="spellEnd"/>
      <w:r>
        <w:rPr>
          <w:rFonts w:ascii="標楷體" w:eastAsia="標楷體" w:hAnsi="標楷體"/>
          <w:bCs/>
          <w:color w:val="000000"/>
          <w:szCs w:val="24"/>
        </w:rPr>
        <w:t>、</w:t>
      </w:r>
      <w:proofErr w:type="spellStart"/>
      <w:r>
        <w:rPr>
          <w:rFonts w:ascii="標楷體" w:eastAsia="標楷體" w:hAnsi="標楷體"/>
          <w:bCs/>
          <w:color w:val="000000"/>
          <w:szCs w:val="24"/>
        </w:rPr>
        <w:t>Eybelis</w:t>
      </w:r>
      <w:proofErr w:type="spellEnd"/>
      <w:r>
        <w:rPr>
          <w:rFonts w:ascii="標楷體" w:eastAsia="標楷體" w:hAnsi="標楷體"/>
          <w:bCs/>
          <w:color w:val="000000"/>
          <w:szCs w:val="24"/>
        </w:rPr>
        <w:t>等)，</w:t>
      </w:r>
      <w:bookmarkEnd w:id="88"/>
      <w:r>
        <w:rPr>
          <w:rFonts w:ascii="標楷體" w:eastAsia="標楷體" w:hAnsi="標楷體"/>
          <w:bCs/>
          <w:color w:val="000000"/>
          <w:szCs w:val="24"/>
        </w:rPr>
        <w:t>單眼每4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3</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處方1瓶，3個月處方4瓶。(101/12/1、102/8/1、104/4/1、111/7/1)</w:t>
      </w:r>
    </w:p>
    <w:p w14:paraId="25F0E3F9" w14:textId="77777777" w:rsidR="00401786" w:rsidRDefault="00C64FB3" w:rsidP="0009639E">
      <w:pPr>
        <w:spacing w:line="300" w:lineRule="exact"/>
        <w:ind w:left="1275" w:hanging="370"/>
      </w:pPr>
      <w:r>
        <w:rPr>
          <w:rFonts w:ascii="標楷體" w:eastAsia="標楷體" w:hAnsi="標楷體"/>
          <w:color w:val="000000"/>
          <w:szCs w:val="24"/>
        </w:rPr>
        <w:t>Ⅱ.</w:t>
      </w:r>
      <w:r>
        <w:rPr>
          <w:rFonts w:ascii="標楷體" w:eastAsia="標楷體" w:hAnsi="標楷體"/>
          <w:bCs/>
          <w:color w:val="000000"/>
          <w:szCs w:val="24"/>
        </w:rPr>
        <w:t>規格量</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5mL：</w:t>
      </w:r>
    </w:p>
    <w:p w14:paraId="256693F6" w14:textId="77777777" w:rsidR="00401786" w:rsidRDefault="00C64FB3" w:rsidP="0009639E">
      <w:pPr>
        <w:spacing w:line="300" w:lineRule="exact"/>
        <w:ind w:left="1275" w:hanging="370"/>
      </w:pPr>
      <w:bookmarkStart w:id="89" w:name="_Hlk90375461"/>
      <w:proofErr w:type="spellStart"/>
      <w:r>
        <w:rPr>
          <w:rFonts w:ascii="標楷體" w:eastAsia="標楷體" w:hAnsi="標楷體"/>
          <w:bCs/>
          <w:color w:val="000000"/>
          <w:szCs w:val="24"/>
        </w:rPr>
        <w:t>i</w:t>
      </w:r>
      <w:proofErr w:type="spellEnd"/>
      <w:r>
        <w:rPr>
          <w:rFonts w:ascii="標楷體" w:eastAsia="標楷體" w:hAnsi="標楷體"/>
          <w:bCs/>
          <w:color w:val="000000"/>
          <w:szCs w:val="24"/>
        </w:rPr>
        <w:t>.一天點一次者</w:t>
      </w:r>
      <w:bookmarkEnd w:id="89"/>
      <w:r>
        <w:rPr>
          <w:rFonts w:ascii="標楷體" w:eastAsia="標楷體" w:hAnsi="標楷體"/>
          <w:bCs/>
          <w:color w:val="000000"/>
          <w:szCs w:val="24"/>
        </w:rPr>
        <w:t>(如</w:t>
      </w:r>
      <w:proofErr w:type="spellStart"/>
      <w:r>
        <w:rPr>
          <w:rFonts w:ascii="標楷體" w:eastAsia="標楷體" w:hAnsi="標楷體"/>
          <w:bCs/>
          <w:color w:val="000000"/>
          <w:szCs w:val="24"/>
        </w:rPr>
        <w:t>Vyzulta</w:t>
      </w:r>
      <w:proofErr w:type="spellEnd"/>
      <w:r>
        <w:rPr>
          <w:rFonts w:ascii="標楷體" w:eastAsia="標楷體" w:hAnsi="標楷體"/>
          <w:bCs/>
          <w:color w:val="000000"/>
          <w:szCs w:val="24"/>
        </w:rPr>
        <w:t>)，單眼每8</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6</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處方為1瓶，3個月處方2瓶。(110/5/1、111/7/1)</w:t>
      </w:r>
    </w:p>
    <w:p w14:paraId="6B47094D" w14:textId="77777777" w:rsidR="00401786" w:rsidRDefault="00C64FB3" w:rsidP="0009639E">
      <w:pPr>
        <w:spacing w:line="300" w:lineRule="exact"/>
        <w:ind w:left="1275" w:hanging="370"/>
      </w:pPr>
      <w:bookmarkStart w:id="90" w:name="_Hlk90375581"/>
      <w:r>
        <w:rPr>
          <w:rFonts w:ascii="新細明體" w:hAnsi="新細明體"/>
          <w:bCs/>
          <w:color w:val="000000"/>
          <w:szCs w:val="24"/>
        </w:rPr>
        <w:t>ⅱ</w:t>
      </w:r>
      <w:r>
        <w:rPr>
          <w:rFonts w:ascii="標楷體" w:eastAsia="標楷體" w:hAnsi="標楷體"/>
          <w:bCs/>
          <w:color w:val="000000"/>
          <w:szCs w:val="24"/>
        </w:rPr>
        <w:t>.一天點兩次者(如Timolol、</w:t>
      </w:r>
      <w:proofErr w:type="spellStart"/>
      <w:r>
        <w:rPr>
          <w:rFonts w:ascii="標楷體" w:eastAsia="標楷體" w:hAnsi="標楷體"/>
          <w:bCs/>
          <w:color w:val="000000"/>
          <w:szCs w:val="24"/>
        </w:rPr>
        <w:t>Cosopt</w:t>
      </w:r>
      <w:proofErr w:type="spellEnd"/>
      <w:r>
        <w:rPr>
          <w:rFonts w:ascii="標楷體" w:eastAsia="標楷體" w:hAnsi="標楷體"/>
          <w:bCs/>
          <w:color w:val="000000"/>
          <w:szCs w:val="24"/>
        </w:rPr>
        <w:t>、</w:t>
      </w:r>
      <w:proofErr w:type="spellStart"/>
      <w:r>
        <w:rPr>
          <w:rFonts w:ascii="標楷體" w:eastAsia="標楷體" w:hAnsi="標楷體"/>
          <w:bCs/>
          <w:color w:val="000000"/>
          <w:szCs w:val="24"/>
        </w:rPr>
        <w:t>Combigan</w:t>
      </w:r>
      <w:proofErr w:type="spellEnd"/>
      <w:r>
        <w:rPr>
          <w:rFonts w:ascii="標楷體" w:eastAsia="標楷體" w:hAnsi="標楷體"/>
          <w:bCs/>
          <w:color w:val="000000"/>
          <w:szCs w:val="24"/>
        </w:rPr>
        <w:t>等)，</w:t>
      </w:r>
      <w:bookmarkEnd w:id="90"/>
      <w:r>
        <w:rPr>
          <w:rFonts w:ascii="標楷體" w:eastAsia="標楷體" w:hAnsi="標楷體"/>
          <w:bCs/>
          <w:color w:val="000000"/>
          <w:szCs w:val="24"/>
        </w:rPr>
        <w:t>單眼每4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3</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處方1瓶，3個月處方4瓶。(111/7/1)</w:t>
      </w:r>
    </w:p>
    <w:p w14:paraId="1F3CAD03" w14:textId="77777777" w:rsidR="00401786" w:rsidRDefault="00C64FB3" w:rsidP="0009639E">
      <w:pPr>
        <w:spacing w:line="300" w:lineRule="exact"/>
        <w:ind w:left="1275" w:hanging="370"/>
      </w:pPr>
      <w:r>
        <w:rPr>
          <w:rFonts w:ascii="新細明體" w:hAnsi="新細明體"/>
        </w:rPr>
        <w:t>ⅲ</w:t>
      </w:r>
      <w:r>
        <w:t>.</w:t>
      </w:r>
      <w:r>
        <w:rPr>
          <w:rFonts w:ascii="標楷體" w:eastAsia="標楷體" w:hAnsi="標楷體"/>
          <w:bCs/>
          <w:color w:val="000000"/>
          <w:szCs w:val="24"/>
        </w:rPr>
        <w:t>一天點三次者(如</w:t>
      </w:r>
      <w:proofErr w:type="spellStart"/>
      <w:r>
        <w:rPr>
          <w:rFonts w:ascii="標楷體" w:eastAsia="標楷體" w:hAnsi="標楷體"/>
          <w:bCs/>
          <w:color w:val="000000"/>
          <w:szCs w:val="24"/>
        </w:rPr>
        <w:t>Alphagan</w:t>
      </w:r>
      <w:proofErr w:type="spellEnd"/>
      <w:r>
        <w:rPr>
          <w:rFonts w:ascii="標楷體" w:eastAsia="標楷體" w:hAnsi="標楷體"/>
          <w:bCs/>
          <w:color w:val="000000"/>
          <w:szCs w:val="24"/>
        </w:rPr>
        <w:t xml:space="preserve"> P)，單眼每4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或3</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處方1瓶，3個月內總用量最高6瓶。(114/6/1)</w:t>
      </w:r>
    </w:p>
    <w:p w14:paraId="75C5FE10" w14:textId="77777777" w:rsidR="00401786" w:rsidRDefault="00C64FB3" w:rsidP="0009639E">
      <w:pPr>
        <w:spacing w:line="300" w:lineRule="exact"/>
        <w:ind w:left="1078" w:hanging="370"/>
        <w:rPr>
          <w:rFonts w:ascii="標楷體" w:eastAsia="標楷體" w:hAnsi="標楷體"/>
          <w:bCs/>
          <w:color w:val="000000"/>
          <w:szCs w:val="24"/>
        </w:rPr>
      </w:pPr>
      <w:r>
        <w:rPr>
          <w:rFonts w:ascii="標楷體" w:eastAsia="標楷體" w:hAnsi="標楷體"/>
          <w:bCs/>
          <w:color w:val="000000"/>
          <w:szCs w:val="24"/>
        </w:rPr>
        <w:t>(2)單次使用包裝(不含防腐劑)，單眼或雙</w:t>
      </w:r>
      <w:proofErr w:type="gramStart"/>
      <w:r>
        <w:rPr>
          <w:rFonts w:ascii="標楷體" w:eastAsia="標楷體" w:hAnsi="標楷體"/>
          <w:bCs/>
          <w:color w:val="000000"/>
          <w:szCs w:val="24"/>
        </w:rPr>
        <w:t>眼每4週</w:t>
      </w:r>
      <w:proofErr w:type="gramEnd"/>
      <w:r>
        <w:rPr>
          <w:rFonts w:ascii="標楷體" w:eastAsia="標楷體" w:hAnsi="標楷體"/>
          <w:bCs/>
          <w:color w:val="000000"/>
          <w:szCs w:val="24"/>
        </w:rPr>
        <w:t>限</w:t>
      </w:r>
      <w:proofErr w:type="gramStart"/>
      <w:r>
        <w:rPr>
          <w:rFonts w:ascii="標楷體" w:eastAsia="標楷體" w:hAnsi="標楷體"/>
          <w:bCs/>
          <w:color w:val="000000"/>
          <w:szCs w:val="24"/>
        </w:rPr>
        <w:t>處方支數如下</w:t>
      </w:r>
      <w:proofErr w:type="gramEnd"/>
      <w:r>
        <w:rPr>
          <w:rFonts w:ascii="標楷體" w:eastAsia="標楷體" w:hAnsi="標楷體"/>
          <w:bCs/>
          <w:color w:val="000000"/>
          <w:szCs w:val="24"/>
        </w:rPr>
        <w:t>(106/2/1)：</w:t>
      </w:r>
    </w:p>
    <w:p w14:paraId="47B0B1EF" w14:textId="77777777" w:rsidR="00401786" w:rsidRDefault="00C64FB3" w:rsidP="0009639E">
      <w:pPr>
        <w:spacing w:line="300" w:lineRule="exact"/>
        <w:ind w:left="1275" w:hanging="370"/>
      </w:pPr>
      <w:r>
        <w:rPr>
          <w:rFonts w:ascii="標楷體" w:eastAsia="標楷體" w:hAnsi="標楷體"/>
          <w:color w:val="000000"/>
          <w:szCs w:val="24"/>
        </w:rPr>
        <w:t>Ⅰ.</w:t>
      </w:r>
      <w:r>
        <w:rPr>
          <w:rFonts w:ascii="標楷體" w:eastAsia="標楷體" w:hAnsi="標楷體"/>
          <w:bCs/>
          <w:color w:val="000000"/>
          <w:szCs w:val="24"/>
        </w:rPr>
        <w:tab/>
        <w:t>每日使用1次者，限30支(含)以下。</w:t>
      </w:r>
    </w:p>
    <w:p w14:paraId="60A6FD0E" w14:textId="77777777" w:rsidR="00401786" w:rsidRDefault="00C64FB3" w:rsidP="0009639E">
      <w:pPr>
        <w:spacing w:line="300" w:lineRule="exact"/>
        <w:ind w:left="1275" w:hanging="370"/>
      </w:pPr>
      <w:r>
        <w:rPr>
          <w:rFonts w:ascii="標楷體" w:eastAsia="標楷體" w:hAnsi="標楷體"/>
          <w:color w:val="000000"/>
          <w:szCs w:val="24"/>
        </w:rPr>
        <w:t>Ⅱ.</w:t>
      </w:r>
      <w:r>
        <w:rPr>
          <w:rFonts w:ascii="標楷體" w:eastAsia="標楷體" w:hAnsi="標楷體"/>
          <w:bCs/>
          <w:color w:val="000000"/>
          <w:szCs w:val="24"/>
        </w:rPr>
        <w:tab/>
        <w:t>每日使用2次者，限60支(含)以下。</w:t>
      </w:r>
    </w:p>
    <w:p w14:paraId="0146FD1F" w14:textId="77777777" w:rsidR="00401786" w:rsidRDefault="00C64FB3" w:rsidP="0009639E">
      <w:pPr>
        <w:spacing w:line="300" w:lineRule="exact"/>
        <w:ind w:left="1275" w:hanging="370"/>
      </w:pPr>
      <w:r>
        <w:rPr>
          <w:rFonts w:ascii="新細明體" w:hAnsi="新細明體"/>
          <w:bCs/>
          <w:color w:val="000000"/>
          <w:szCs w:val="24"/>
        </w:rPr>
        <w:t>Ⅲ.</w:t>
      </w:r>
      <w:r>
        <w:rPr>
          <w:rFonts w:ascii="標楷體" w:eastAsia="標楷體" w:hAnsi="標楷體"/>
          <w:bCs/>
          <w:color w:val="000000"/>
          <w:szCs w:val="24"/>
        </w:rPr>
        <w:t>每日使用3次者，限90(含)支以下。</w:t>
      </w:r>
    </w:p>
    <w:p w14:paraId="1B694B7B" w14:textId="77777777" w:rsidR="00401786" w:rsidRDefault="00C64FB3" w:rsidP="0009639E">
      <w:pPr>
        <w:spacing w:line="300" w:lineRule="exact"/>
        <w:ind w:left="1275" w:hanging="370"/>
        <w:rPr>
          <w:rFonts w:ascii="標楷體" w:eastAsia="標楷體" w:hAnsi="標楷體"/>
          <w:bCs/>
          <w:color w:val="000000"/>
          <w:szCs w:val="24"/>
        </w:rPr>
      </w:pPr>
      <w:r>
        <w:rPr>
          <w:rFonts w:ascii="標楷體" w:eastAsia="標楷體" w:hAnsi="標楷體"/>
          <w:bCs/>
          <w:color w:val="000000"/>
          <w:szCs w:val="24"/>
        </w:rPr>
        <w:t>Ⅳ.每日使用4次者，限120(含)支以下。</w:t>
      </w:r>
    </w:p>
    <w:p w14:paraId="31817086" w14:textId="77777777" w:rsidR="00401786" w:rsidRDefault="00C64FB3" w:rsidP="0009639E">
      <w:pPr>
        <w:spacing w:line="300" w:lineRule="exact"/>
        <w:ind w:left="1078" w:hanging="369"/>
      </w:pPr>
      <w:r>
        <w:rPr>
          <w:rFonts w:ascii="標楷體" w:eastAsia="標楷體" w:hAnsi="標楷體"/>
          <w:bCs/>
          <w:color w:val="000000"/>
          <w:szCs w:val="24"/>
        </w:rPr>
        <w:t>(3)治療時，不得</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用其他同類藥品。另</w:t>
      </w:r>
      <w:proofErr w:type="spellStart"/>
      <w:r>
        <w:rPr>
          <w:rFonts w:ascii="標楷體" w:eastAsia="標楷體" w:hAnsi="標楷體"/>
          <w:color w:val="000000"/>
          <w:szCs w:val="24"/>
        </w:rPr>
        <w:t>Omidenepag</w:t>
      </w:r>
      <w:proofErr w:type="spellEnd"/>
      <w:r>
        <w:rPr>
          <w:rFonts w:ascii="標楷體" w:eastAsia="標楷體" w:hAnsi="標楷體"/>
          <w:color w:val="000000"/>
          <w:szCs w:val="24"/>
        </w:rPr>
        <w:t>(如</w:t>
      </w:r>
      <w:proofErr w:type="spellStart"/>
      <w:r>
        <w:rPr>
          <w:rFonts w:ascii="標楷體" w:eastAsia="標楷體" w:hAnsi="標楷體"/>
          <w:color w:val="000000"/>
          <w:szCs w:val="24"/>
        </w:rPr>
        <w:t>Eybelis</w:t>
      </w:r>
      <w:proofErr w:type="spellEnd"/>
      <w:r>
        <w:rPr>
          <w:rFonts w:ascii="標楷體" w:eastAsia="標楷體" w:hAnsi="標楷體"/>
          <w:color w:val="000000"/>
          <w:szCs w:val="24"/>
        </w:rPr>
        <w:t>)不得</w:t>
      </w:r>
      <w:proofErr w:type="gramStart"/>
      <w:r>
        <w:rPr>
          <w:rFonts w:ascii="標楷體" w:eastAsia="標楷體" w:hAnsi="標楷體"/>
          <w:color w:val="000000"/>
          <w:szCs w:val="24"/>
        </w:rPr>
        <w:t>併</w:t>
      </w:r>
      <w:proofErr w:type="gramEnd"/>
      <w:r>
        <w:rPr>
          <w:rFonts w:ascii="標楷體" w:eastAsia="標楷體" w:hAnsi="標楷體"/>
          <w:color w:val="000000"/>
          <w:szCs w:val="24"/>
        </w:rPr>
        <w:t>用前列腺素衍生物類。(111/7/1)</w:t>
      </w:r>
    </w:p>
    <w:p w14:paraId="4DC6848E" w14:textId="77777777" w:rsidR="00401786" w:rsidRDefault="00C64FB3" w:rsidP="0009639E">
      <w:pPr>
        <w:spacing w:line="300" w:lineRule="exact"/>
        <w:ind w:left="993" w:hanging="284"/>
      </w:pPr>
      <w:r>
        <w:rPr>
          <w:rFonts w:ascii="標楷體" w:eastAsia="標楷體" w:hAnsi="標楷體"/>
          <w:bCs/>
          <w:sz w:val="28"/>
          <w:szCs w:val="28"/>
        </w:rPr>
        <w:t>2</w:t>
      </w:r>
      <w:r>
        <w:rPr>
          <w:rFonts w:ascii="標楷體" w:eastAsia="標楷體" w:hAnsi="標楷體"/>
          <w:bCs/>
          <w:color w:val="000000"/>
          <w:szCs w:val="24"/>
        </w:rPr>
        <w:t>.限眼科醫師開</w:t>
      </w:r>
      <w:proofErr w:type="gramStart"/>
      <w:r>
        <w:rPr>
          <w:rFonts w:ascii="標楷體" w:eastAsia="標楷體" w:hAnsi="標楷體"/>
          <w:bCs/>
          <w:color w:val="000000"/>
          <w:szCs w:val="24"/>
        </w:rPr>
        <w:t>立本類藥品</w:t>
      </w:r>
      <w:proofErr w:type="gramEnd"/>
      <w:r>
        <w:rPr>
          <w:rFonts w:ascii="標楷體" w:eastAsia="標楷體" w:hAnsi="標楷體"/>
          <w:bCs/>
          <w:color w:val="000000"/>
          <w:szCs w:val="24"/>
        </w:rPr>
        <w:t>慢性病連續處方箋，且應</w:t>
      </w:r>
      <w:proofErr w:type="gramStart"/>
      <w:r>
        <w:rPr>
          <w:rFonts w:ascii="標楷體" w:eastAsia="標楷體" w:hAnsi="標楷體"/>
          <w:bCs/>
          <w:color w:val="000000"/>
          <w:szCs w:val="24"/>
        </w:rPr>
        <w:t>檢附當次</w:t>
      </w:r>
      <w:proofErr w:type="gramEnd"/>
      <w:r>
        <w:rPr>
          <w:rFonts w:ascii="標楷體" w:eastAsia="標楷體" w:hAnsi="標楷體"/>
          <w:bCs/>
          <w:color w:val="000000"/>
          <w:szCs w:val="24"/>
        </w:rPr>
        <w:t>眼壓數據。(114/6/1)</w:t>
      </w:r>
    </w:p>
    <w:p w14:paraId="53D822CC" w14:textId="77777777" w:rsidR="00401786" w:rsidRDefault="00C64FB3" w:rsidP="0009639E">
      <w:pPr>
        <w:spacing w:line="300" w:lineRule="exact"/>
        <w:ind w:left="993" w:hanging="284"/>
        <w:rPr>
          <w:rFonts w:ascii="標楷體" w:eastAsia="標楷體" w:hAnsi="標楷體"/>
          <w:bCs/>
          <w:color w:val="000000"/>
          <w:szCs w:val="24"/>
        </w:rPr>
      </w:pPr>
      <w:r>
        <w:rPr>
          <w:rFonts w:ascii="標楷體" w:eastAsia="標楷體" w:hAnsi="標楷體"/>
          <w:bCs/>
          <w:color w:val="000000"/>
          <w:szCs w:val="24"/>
        </w:rPr>
        <w:t>3.非眼科醫師限開立</w:t>
      </w:r>
      <w:proofErr w:type="gramStart"/>
      <w:r>
        <w:rPr>
          <w:rFonts w:ascii="標楷體" w:eastAsia="標楷體" w:hAnsi="標楷體"/>
          <w:bCs/>
          <w:color w:val="000000"/>
          <w:szCs w:val="24"/>
        </w:rPr>
        <w:t>1個月本類藥品</w:t>
      </w:r>
      <w:proofErr w:type="gramEnd"/>
      <w:r>
        <w:rPr>
          <w:rFonts w:ascii="標楷體" w:eastAsia="標楷體" w:hAnsi="標楷體"/>
          <w:bCs/>
          <w:color w:val="000000"/>
          <w:szCs w:val="24"/>
        </w:rPr>
        <w:t xml:space="preserve">，並指導病人應量眼壓，且至少3個月內須會診眼科量眼壓(眼壓限眼科專科醫師申報)，及定期追蹤視神經及視野。(114/6/1)                                                                                                                                                                                                                                                                                                                                                                                                                                                                                                                                                                                                                                         </w:t>
      </w:r>
    </w:p>
    <w:p w14:paraId="25BBE126" w14:textId="77777777" w:rsidR="00401786" w:rsidRDefault="00C64FB3" w:rsidP="0009639E">
      <w:pPr>
        <w:spacing w:line="300" w:lineRule="exact"/>
        <w:ind w:left="993" w:hanging="285"/>
      </w:pPr>
      <w:r>
        <w:rPr>
          <w:rFonts w:ascii="標楷體" w:eastAsia="標楷體" w:hAnsi="標楷體"/>
          <w:bCs/>
          <w:color w:val="000000"/>
          <w:szCs w:val="24"/>
        </w:rPr>
        <w:t>4.全民健保公告之醫療資源缺乏地區及山地離島地區之就醫病人，倘符合「全民健康保險遠距醫療給付計畫」，由當地醫師與眼科醫師透過視訊方式共同診察，經評估診斷符合規定開立處方，並檢附相關眼壓數據資料，亦得由當地醫師開</w:t>
      </w:r>
      <w:proofErr w:type="gramStart"/>
      <w:r>
        <w:rPr>
          <w:rFonts w:ascii="標楷體" w:eastAsia="標楷體" w:hAnsi="標楷體"/>
          <w:bCs/>
          <w:color w:val="000000"/>
          <w:szCs w:val="24"/>
        </w:rPr>
        <w:t>立本類藥品</w:t>
      </w:r>
      <w:proofErr w:type="gramEnd"/>
      <w:r>
        <w:rPr>
          <w:rFonts w:ascii="標楷體" w:eastAsia="標楷體" w:hAnsi="標楷體"/>
          <w:bCs/>
          <w:color w:val="000000"/>
          <w:szCs w:val="24"/>
        </w:rPr>
        <w:t>慢性病連續處方箋。(114/6/1)</w:t>
      </w:r>
    </w:p>
    <w:p w14:paraId="33B93E01" w14:textId="77777777" w:rsidR="00401786" w:rsidRDefault="00C64FB3" w:rsidP="0009639E">
      <w:pPr>
        <w:spacing w:line="300" w:lineRule="exact"/>
        <w:ind w:left="672" w:hanging="386"/>
        <w:rPr>
          <w:rFonts w:ascii="標楷體" w:eastAsia="標楷體" w:hAnsi="標楷體"/>
          <w:bCs/>
          <w:color w:val="000000"/>
          <w:szCs w:val="24"/>
        </w:rPr>
      </w:pPr>
      <w:r>
        <w:rPr>
          <w:rFonts w:ascii="標楷體" w:eastAsia="標楷體" w:hAnsi="標楷體"/>
          <w:bCs/>
          <w:color w:val="000000"/>
          <w:szCs w:val="24"/>
        </w:rPr>
        <w:t>14.1.1.單方製劑(90/10/1、101/12/1、104/4/1、106/2/1、111/7/1):</w:t>
      </w:r>
    </w:p>
    <w:p w14:paraId="648C85FA"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1.β-交感神經阻斷劑(β-blockers )</w:t>
      </w:r>
    </w:p>
    <w:p w14:paraId="7DFCAAF2"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2.碳酸酐酶抑制劑(Carbonic anhydrase inhibitor) :</w:t>
      </w:r>
    </w:p>
    <w:p w14:paraId="61371207"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 xml:space="preserve">  </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β-blockers有禁忌、不適或使用效果不佳之病患使用。</w:t>
      </w:r>
    </w:p>
    <w:p w14:paraId="18BB8A29"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3.前列腺素衍生物類：(Prostaglandin analogues)：(93/2/1、101/12/1)</w:t>
      </w:r>
    </w:p>
    <w:p w14:paraId="6DB004C8" w14:textId="77777777" w:rsidR="00401786" w:rsidRDefault="00C64FB3" w:rsidP="0009639E">
      <w:pPr>
        <w:spacing w:line="300" w:lineRule="exact"/>
        <w:ind w:left="1231" w:hanging="379"/>
        <w:rPr>
          <w:rFonts w:ascii="標楷體" w:eastAsia="標楷體" w:hAnsi="標楷體"/>
          <w:bCs/>
          <w:color w:val="000000"/>
          <w:szCs w:val="24"/>
        </w:rPr>
      </w:pPr>
      <w:r>
        <w:rPr>
          <w:rFonts w:ascii="標楷體" w:eastAsia="標楷體" w:hAnsi="標楷體"/>
          <w:bCs/>
          <w:color w:val="000000"/>
          <w:szCs w:val="24"/>
        </w:rPr>
        <w:t>(1)</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β-blockers使用效果不佳或不適用之病患使用。宜先以單獨使用為原則。</w:t>
      </w:r>
    </w:p>
    <w:p w14:paraId="14B46E36" w14:textId="77777777" w:rsidR="00401786" w:rsidRDefault="00C64FB3" w:rsidP="0009639E">
      <w:pPr>
        <w:spacing w:line="300" w:lineRule="exact"/>
        <w:ind w:left="1231" w:hanging="379"/>
        <w:rPr>
          <w:rFonts w:ascii="標楷體" w:eastAsia="標楷體" w:hAnsi="標楷體"/>
          <w:bCs/>
          <w:color w:val="000000"/>
          <w:szCs w:val="24"/>
        </w:rPr>
      </w:pPr>
      <w:r>
        <w:rPr>
          <w:rFonts w:ascii="標楷體" w:eastAsia="標楷體" w:hAnsi="標楷體"/>
          <w:bCs/>
          <w:color w:val="000000"/>
          <w:szCs w:val="24"/>
        </w:rPr>
        <w:t>(2)療效仍不足時，得</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用其他降眼壓用藥(含複方製劑)。</w:t>
      </w:r>
    </w:p>
    <w:p w14:paraId="68F4C357" w14:textId="77777777" w:rsidR="00401786" w:rsidRDefault="00C64FB3" w:rsidP="0009639E">
      <w:pPr>
        <w:spacing w:line="300" w:lineRule="exact"/>
        <w:ind w:left="811" w:hanging="245"/>
      </w:pPr>
      <w:r>
        <w:rPr>
          <w:rFonts w:ascii="標楷體" w:eastAsia="標楷體" w:hAnsi="標楷體"/>
          <w:color w:val="000000"/>
          <w:szCs w:val="24"/>
        </w:rPr>
        <w:t>4.</w:t>
      </w:r>
      <w:r>
        <w:rPr>
          <w:rFonts w:ascii="標楷體" w:eastAsia="標楷體" w:hAnsi="標楷體"/>
          <w:bCs/>
          <w:color w:val="000000"/>
          <w:szCs w:val="24"/>
        </w:rPr>
        <w:t>腎上腺激性作用劑(α-2    adrenergic agonist)：</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β-blockers有禁忌、不適或使用效果不佳之病患使用。</w:t>
      </w:r>
      <w:r>
        <w:rPr>
          <w:rFonts w:ascii="標楷體" w:eastAsia="標楷體" w:hAnsi="標楷體"/>
          <w:color w:val="000000"/>
          <w:szCs w:val="24"/>
        </w:rPr>
        <w:t>(111/7/1)</w:t>
      </w:r>
    </w:p>
    <w:p w14:paraId="10F6C384"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5.Omidenepag(如</w:t>
      </w:r>
      <w:proofErr w:type="spellStart"/>
      <w:r>
        <w:rPr>
          <w:rFonts w:ascii="標楷體" w:eastAsia="標楷體" w:hAnsi="標楷體"/>
          <w:color w:val="000000"/>
          <w:szCs w:val="24"/>
        </w:rPr>
        <w:t>Eybelis</w:t>
      </w:r>
      <w:proofErr w:type="spellEnd"/>
      <w:r>
        <w:rPr>
          <w:rFonts w:ascii="標楷體" w:eastAsia="標楷體" w:hAnsi="標楷體"/>
          <w:color w:val="000000"/>
          <w:szCs w:val="24"/>
        </w:rPr>
        <w:t>)：(111/7/1)</w:t>
      </w:r>
    </w:p>
    <w:p w14:paraId="65B7496F" w14:textId="77777777" w:rsidR="00401786" w:rsidRDefault="00C64FB3" w:rsidP="0009639E">
      <w:pPr>
        <w:spacing w:line="300" w:lineRule="exact"/>
        <w:ind w:left="1231" w:hanging="379"/>
        <w:rPr>
          <w:rFonts w:ascii="標楷體" w:eastAsia="標楷體" w:hAnsi="標楷體"/>
          <w:bCs/>
          <w:color w:val="000000"/>
          <w:szCs w:val="24"/>
        </w:rPr>
      </w:pPr>
      <w:r>
        <w:rPr>
          <w:rFonts w:ascii="標楷體" w:eastAsia="標楷體" w:hAnsi="標楷體"/>
          <w:bCs/>
          <w:color w:val="000000"/>
          <w:szCs w:val="24"/>
        </w:rPr>
        <w:t>(1)</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β-blockers有禁忌、不適或使用效果不佳之病患使用。宜先以單獨使用為原則。</w:t>
      </w:r>
    </w:p>
    <w:p w14:paraId="43892727" w14:textId="77777777" w:rsidR="00401786" w:rsidRDefault="00C64FB3" w:rsidP="0009639E">
      <w:pPr>
        <w:spacing w:line="300" w:lineRule="exact"/>
        <w:ind w:left="1231" w:hanging="379"/>
      </w:pPr>
      <w:r>
        <w:rPr>
          <w:rFonts w:ascii="標楷體" w:eastAsia="標楷體" w:hAnsi="標楷體"/>
          <w:bCs/>
          <w:color w:val="000000"/>
          <w:szCs w:val="24"/>
        </w:rPr>
        <w:t>(2)療效仍不足時，得</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用其他降眼壓用藥(含複方製劑)</w:t>
      </w:r>
      <w:r>
        <w:rPr>
          <w:rFonts w:ascii="標楷體" w:eastAsia="標楷體" w:hAnsi="標楷體"/>
          <w:color w:val="000000"/>
          <w:szCs w:val="24"/>
        </w:rPr>
        <w:t>，但不得</w:t>
      </w:r>
      <w:proofErr w:type="gramStart"/>
      <w:r>
        <w:rPr>
          <w:rFonts w:ascii="標楷體" w:eastAsia="標楷體" w:hAnsi="標楷體"/>
          <w:color w:val="000000"/>
          <w:szCs w:val="24"/>
        </w:rPr>
        <w:t>併</w:t>
      </w:r>
      <w:proofErr w:type="gramEnd"/>
      <w:r>
        <w:rPr>
          <w:rFonts w:ascii="標楷體" w:eastAsia="標楷體" w:hAnsi="標楷體"/>
          <w:color w:val="000000"/>
          <w:szCs w:val="24"/>
        </w:rPr>
        <w:t>用前列腺素衍生物類。</w:t>
      </w:r>
    </w:p>
    <w:p w14:paraId="7FAFD85C" w14:textId="77777777" w:rsidR="00401786" w:rsidRDefault="00C64FB3" w:rsidP="0009639E">
      <w:pPr>
        <w:spacing w:line="300" w:lineRule="exact"/>
        <w:ind w:left="672" w:hanging="386"/>
        <w:rPr>
          <w:rFonts w:ascii="標楷體" w:eastAsia="標楷體" w:hAnsi="標楷體"/>
          <w:bCs/>
        </w:rPr>
      </w:pPr>
      <w:r>
        <w:rPr>
          <w:rFonts w:ascii="標楷體" w:eastAsia="標楷體" w:hAnsi="標楷體"/>
          <w:bCs/>
        </w:rPr>
        <w:t>14.1.2.複方製劑：(92/2/1、101/12/1、104/4/1、106/2/1)</w:t>
      </w:r>
    </w:p>
    <w:p w14:paraId="180C2F6B" w14:textId="77777777" w:rsidR="00401786" w:rsidRDefault="00C64FB3" w:rsidP="0009639E">
      <w:pPr>
        <w:spacing w:line="300" w:lineRule="exact"/>
        <w:ind w:left="566"/>
        <w:rPr>
          <w:rFonts w:ascii="標楷體" w:eastAsia="標楷體" w:hAnsi="標楷體"/>
          <w:bCs/>
        </w:rPr>
      </w:pPr>
      <w:proofErr w:type="gramStart"/>
      <w:r>
        <w:rPr>
          <w:rFonts w:ascii="標楷體" w:eastAsia="標楷體" w:hAnsi="標楷體"/>
          <w:bCs/>
        </w:rPr>
        <w:t>限經單一</w:t>
      </w:r>
      <w:proofErr w:type="gramEnd"/>
      <w:r>
        <w:rPr>
          <w:rFonts w:ascii="標楷體" w:eastAsia="標楷體" w:hAnsi="標楷體"/>
          <w:bCs/>
        </w:rPr>
        <w:t>降眼壓藥物治療後，眼壓仍控制不良之患者第二線(含)以上用藥。(91/12/1、97/8/1、97/9/1、101/12/1)</w:t>
      </w:r>
    </w:p>
    <w:p w14:paraId="2683E83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14.2.Acyclovir眼用製劑：限下列病例使用</w:t>
      </w:r>
    </w:p>
    <w:p w14:paraId="2D70B01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1.帶狀疱疹或單純性疱疹侵犯三叉神經第一分枝V1皮節，可能危及眼角膜者。</w:t>
      </w:r>
    </w:p>
    <w:p w14:paraId="571F627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2.帶狀疱疹或單純性疱疹所引起之角膜炎或角膜潰瘍者。</w:t>
      </w:r>
    </w:p>
    <w:p w14:paraId="6A10D3A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3.急性視網膜壞死症 (acute retina necrosis)。</w:t>
      </w:r>
    </w:p>
    <w:p w14:paraId="2294B3D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本品不宜</w:t>
      </w:r>
      <w:proofErr w:type="gramEnd"/>
      <w:r>
        <w:rPr>
          <w:rFonts w:ascii="標楷體" w:eastAsia="標楷體" w:hAnsi="標楷體"/>
          <w:color w:val="000000"/>
        </w:rPr>
        <w:t>與口服、外用或注射製劑合併使用。</w:t>
      </w:r>
    </w:p>
    <w:p w14:paraId="3DC50B5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14.3.Maxitrol </w:t>
      </w:r>
      <w:proofErr w:type="spellStart"/>
      <w:r>
        <w:rPr>
          <w:rFonts w:ascii="標楷體" w:eastAsia="標楷體" w:hAnsi="標楷體"/>
          <w:color w:val="000000"/>
        </w:rPr>
        <w:t>oph</w:t>
      </w:r>
      <w:proofErr w:type="spellEnd"/>
      <w:r>
        <w:rPr>
          <w:rFonts w:ascii="標楷體" w:eastAsia="標楷體" w:hAnsi="標楷體"/>
          <w:color w:val="000000"/>
        </w:rPr>
        <w:t xml:space="preserve"> </w:t>
      </w:r>
      <w:proofErr w:type="spellStart"/>
      <w:r>
        <w:rPr>
          <w:rFonts w:ascii="標楷體" w:eastAsia="標楷體" w:hAnsi="標楷體"/>
          <w:color w:val="000000"/>
        </w:rPr>
        <w:t>oint</w:t>
      </w:r>
      <w:proofErr w:type="spellEnd"/>
      <w:r>
        <w:rPr>
          <w:rFonts w:ascii="標楷體" w:eastAsia="標楷體" w:hAnsi="標楷體"/>
          <w:color w:val="000000"/>
        </w:rPr>
        <w:t>；</w:t>
      </w:r>
      <w:proofErr w:type="spellStart"/>
      <w:r>
        <w:rPr>
          <w:rFonts w:ascii="標楷體" w:eastAsia="標楷體" w:hAnsi="標楷體"/>
          <w:color w:val="000000"/>
        </w:rPr>
        <w:t>pimafucin</w:t>
      </w:r>
      <w:proofErr w:type="spellEnd"/>
      <w:r>
        <w:rPr>
          <w:rFonts w:ascii="標楷體" w:eastAsia="標楷體" w:hAnsi="標楷體"/>
          <w:color w:val="000000"/>
        </w:rPr>
        <w:t xml:space="preserve"> </w:t>
      </w:r>
      <w:proofErr w:type="spellStart"/>
      <w:r>
        <w:rPr>
          <w:rFonts w:ascii="標楷體" w:eastAsia="標楷體" w:hAnsi="標楷體"/>
          <w:color w:val="000000"/>
        </w:rPr>
        <w:t>oint</w:t>
      </w:r>
      <w:proofErr w:type="spellEnd"/>
      <w:r>
        <w:rPr>
          <w:rFonts w:ascii="標楷體" w:eastAsia="標楷體" w:hAnsi="標楷體"/>
          <w:color w:val="000000"/>
        </w:rPr>
        <w:t>：</w:t>
      </w:r>
    </w:p>
    <w:p w14:paraId="4B50CB37"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門診處方限一支。</w:t>
      </w:r>
    </w:p>
    <w:p w14:paraId="7590E92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14.4.Quinolone</w:t>
      </w:r>
      <w:proofErr w:type="gramStart"/>
      <w:r>
        <w:rPr>
          <w:rFonts w:ascii="標楷體" w:eastAsia="標楷體" w:hAnsi="標楷體"/>
          <w:color w:val="000000"/>
        </w:rPr>
        <w:t>類眼用</w:t>
      </w:r>
      <w:proofErr w:type="gramEnd"/>
      <w:r>
        <w:rPr>
          <w:rFonts w:ascii="標楷體" w:eastAsia="標楷體" w:hAnsi="標楷體"/>
          <w:color w:val="000000"/>
        </w:rPr>
        <w:t>製劑：（87/4/1、90/12/1、93/2/1、94/7/1）</w:t>
      </w:r>
    </w:p>
    <w:p w14:paraId="534E484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14.4.1.Ofloxacin, norfloxacin, ciprofloxacin, moxifloxacin, levofloxacin眼用製劑：（87/4/1、93/2/1、94/7/1、96/5/1）</w:t>
      </w:r>
    </w:p>
    <w:p w14:paraId="7D37990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1.限用於角膜潰瘍或嚴重角膜炎病例。</w:t>
      </w:r>
    </w:p>
    <w:p w14:paraId="58F71F4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2.其餘眼科疾患，則列為第二線用藥，申報費用時需檢附細菌敏感試驗報告。</w:t>
      </w:r>
    </w:p>
    <w:p w14:paraId="1B76B59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14.4.2.Lomefloxacin (</w:t>
      </w:r>
      <w:proofErr w:type="spellStart"/>
      <w:r>
        <w:rPr>
          <w:rFonts w:ascii="標楷體" w:eastAsia="標楷體" w:hAnsi="標楷體"/>
          <w:color w:val="000000"/>
        </w:rPr>
        <w:t>Okacin</w:t>
      </w:r>
      <w:proofErr w:type="spellEnd"/>
      <w:r>
        <w:rPr>
          <w:rFonts w:ascii="標楷體" w:eastAsia="標楷體" w:hAnsi="標楷體"/>
          <w:color w:val="000000"/>
        </w:rPr>
        <w:t>)：(90/12/1、93/2/1</w:t>
      </w:r>
      <w:proofErr w:type="gramStart"/>
      <w:r>
        <w:rPr>
          <w:rFonts w:ascii="標楷體" w:eastAsia="標楷體" w:hAnsi="標楷體"/>
          <w:color w:val="000000"/>
        </w:rPr>
        <w:t>）</w:t>
      </w:r>
      <w:proofErr w:type="gramEnd"/>
    </w:p>
    <w:p w14:paraId="3421257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1.對lomefloxacin hydrochloride易感性細菌所造成之結膜炎、眼瞼炎等之第二線用藥。</w:t>
      </w:r>
    </w:p>
    <w:p w14:paraId="76A633B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2.申報費用時需檢附細菌敏感試驗報告。</w:t>
      </w:r>
    </w:p>
    <w:p w14:paraId="611BFC1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14.5.人工淚液：（87/7/1、93/2/1、113/7/1）</w:t>
      </w:r>
    </w:p>
    <w:p w14:paraId="09A369DC" w14:textId="77777777" w:rsidR="00401786" w:rsidRDefault="00C64FB3" w:rsidP="0009639E">
      <w:pPr>
        <w:spacing w:line="300" w:lineRule="exact"/>
        <w:ind w:left="811" w:hanging="245"/>
      </w:pPr>
      <w:r>
        <w:rPr>
          <w:rFonts w:ascii="標楷體" w:eastAsia="標楷體" w:hAnsi="標楷體"/>
          <w:color w:val="000000"/>
        </w:rPr>
        <w:t>1.</w:t>
      </w:r>
      <w:r>
        <w:t xml:space="preserve"> </w:t>
      </w:r>
      <w:r>
        <w:rPr>
          <w:rFonts w:ascii="標楷體" w:eastAsia="標楷體" w:hAnsi="標楷體"/>
          <w:color w:val="000000"/>
        </w:rPr>
        <w:t>初次</w:t>
      </w:r>
      <w:proofErr w:type="gramStart"/>
      <w:r>
        <w:rPr>
          <w:rFonts w:ascii="標楷體" w:eastAsia="標楷體" w:hAnsi="標楷體"/>
          <w:color w:val="000000"/>
        </w:rPr>
        <w:t>使用限經眼科</w:t>
      </w:r>
      <w:proofErr w:type="gramEnd"/>
      <w:r>
        <w:rPr>
          <w:rFonts w:ascii="標楷體" w:eastAsia="標楷體" w:hAnsi="標楷體"/>
          <w:color w:val="000000"/>
        </w:rPr>
        <w:t>醫師診斷且符合下列條件之</w:t>
      </w:r>
      <w:proofErr w:type="gramStart"/>
      <w:r>
        <w:rPr>
          <w:rFonts w:ascii="標楷體" w:eastAsia="標楷體" w:hAnsi="標楷體"/>
          <w:color w:val="000000"/>
        </w:rPr>
        <w:t>一</w:t>
      </w:r>
      <w:proofErr w:type="gramEnd"/>
      <w:r>
        <w:rPr>
          <w:rFonts w:ascii="標楷體" w:eastAsia="標楷體" w:hAnsi="標楷體"/>
          <w:color w:val="000000"/>
        </w:rPr>
        <w:t>者使用，病歷上應附相關紀錄、照片或影片備查：(113/7/1</w:t>
      </w:r>
      <w:proofErr w:type="gramStart"/>
      <w:r>
        <w:rPr>
          <w:rFonts w:ascii="標楷體" w:eastAsia="標楷體" w:hAnsi="標楷體"/>
          <w:color w:val="000000"/>
        </w:rPr>
        <w:t>）</w:t>
      </w:r>
      <w:proofErr w:type="gramEnd"/>
    </w:p>
    <w:p w14:paraId="5D20CC6D" w14:textId="77777777" w:rsidR="00401786" w:rsidRDefault="00C64FB3" w:rsidP="0009639E">
      <w:pPr>
        <w:spacing w:line="300" w:lineRule="exact"/>
        <w:ind w:left="1231" w:hanging="380"/>
      </w:pPr>
      <w:r>
        <w:rPr>
          <w:rFonts w:ascii="標楷體" w:eastAsia="標楷體" w:hAnsi="標楷體"/>
          <w:color w:val="000000"/>
        </w:rPr>
        <w:t>(</w:t>
      </w:r>
      <w:r>
        <w:rPr>
          <w:rFonts w:ascii="標楷體" w:eastAsia="標楷體" w:hAnsi="標楷體"/>
          <w:bCs/>
          <w:color w:val="000000"/>
          <w:szCs w:val="24"/>
        </w:rPr>
        <w:t>1)乾眼症病患經淚液分泌機能檢查(basal Schirmer test)至少單眼淚液分泌＜5 mm者</w:t>
      </w:r>
      <w:proofErr w:type="gramStart"/>
      <w:r>
        <w:rPr>
          <w:rFonts w:ascii="標楷體" w:eastAsia="標楷體" w:hAnsi="標楷體"/>
          <w:bCs/>
          <w:color w:val="000000"/>
          <w:szCs w:val="24"/>
        </w:rPr>
        <w:t>或淚膜檢查淚膜</w:t>
      </w:r>
      <w:proofErr w:type="gramEnd"/>
      <w:r>
        <w:rPr>
          <w:rFonts w:ascii="標楷體" w:eastAsia="標楷體" w:hAnsi="標楷體"/>
          <w:bCs/>
          <w:color w:val="000000"/>
          <w:szCs w:val="24"/>
        </w:rPr>
        <w:t>破裂時間(TBUT)＜5秒。（87/7/1、93/2/1、113/7/1）</w:t>
      </w:r>
    </w:p>
    <w:p w14:paraId="4E4F5195" w14:textId="77777777" w:rsidR="00401786" w:rsidRDefault="00C64FB3" w:rsidP="0009639E">
      <w:pPr>
        <w:spacing w:line="300" w:lineRule="exact"/>
        <w:ind w:left="1231" w:hanging="380"/>
      </w:pPr>
      <w:r>
        <w:rPr>
          <w:rFonts w:ascii="標楷體" w:eastAsia="標楷體" w:hAnsi="標楷體"/>
          <w:bCs/>
          <w:color w:val="000000"/>
          <w:szCs w:val="24"/>
        </w:rPr>
        <w:t>(2)</w:t>
      </w:r>
      <w:proofErr w:type="gramStart"/>
      <w:r>
        <w:rPr>
          <w:rFonts w:ascii="標楷體" w:eastAsia="標楷體" w:hAnsi="標楷體"/>
          <w:bCs/>
          <w:color w:val="000000"/>
          <w:szCs w:val="24"/>
        </w:rPr>
        <w:t>因乾眼</w:t>
      </w:r>
      <w:proofErr w:type="gramEnd"/>
      <w:r>
        <w:rPr>
          <w:rFonts w:ascii="標楷體" w:eastAsia="標楷體" w:hAnsi="標楷體"/>
          <w:color w:val="000000"/>
        </w:rPr>
        <w:t>症導致角膜病變、暴露性角膜病變或其它相關之角膜病變必須時之使用。(93/2/1)</w:t>
      </w:r>
    </w:p>
    <w:p w14:paraId="53F98EC1" w14:textId="77777777" w:rsidR="00401786" w:rsidRDefault="00C64FB3" w:rsidP="0009639E">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規格量15mL者，每</w:t>
      </w:r>
      <w:proofErr w:type="gramStart"/>
      <w:r>
        <w:rPr>
          <w:rFonts w:ascii="標楷體" w:eastAsia="標楷體" w:hAnsi="標楷體"/>
          <w:color w:val="000000"/>
        </w:rPr>
        <w:t>個月限</w:t>
      </w:r>
      <w:proofErr w:type="gramEnd"/>
      <w:r>
        <w:rPr>
          <w:rFonts w:ascii="標楷體" w:eastAsia="標楷體" w:hAnsi="標楷體"/>
          <w:color w:val="000000"/>
        </w:rPr>
        <w:t>處方1瓶；規格量</w:t>
      </w:r>
      <w:proofErr w:type="gramStart"/>
      <w:r>
        <w:rPr>
          <w:rFonts w:ascii="標楷體" w:eastAsia="標楷體" w:hAnsi="標楷體"/>
          <w:color w:val="000000"/>
        </w:rPr>
        <w:t>≦</w:t>
      </w:r>
      <w:proofErr w:type="gramEnd"/>
      <w:r>
        <w:rPr>
          <w:rFonts w:ascii="標楷體" w:eastAsia="標楷體" w:hAnsi="標楷體"/>
          <w:color w:val="000000"/>
        </w:rPr>
        <w:t>10mL者，3個月限處方4瓶。(113/7/1</w:t>
      </w:r>
      <w:proofErr w:type="gramStart"/>
      <w:r>
        <w:rPr>
          <w:rFonts w:ascii="標楷體" w:eastAsia="標楷體" w:hAnsi="標楷體"/>
          <w:color w:val="000000"/>
        </w:rPr>
        <w:t>）</w:t>
      </w:r>
      <w:proofErr w:type="gramEnd"/>
    </w:p>
    <w:p w14:paraId="27E662D9" w14:textId="77777777" w:rsidR="00401786" w:rsidRDefault="00C64FB3" w:rsidP="0009639E">
      <w:pPr>
        <w:spacing w:line="300" w:lineRule="exact"/>
        <w:ind w:left="672" w:hanging="386"/>
        <w:rPr>
          <w:rFonts w:ascii="標楷體" w:eastAsia="標楷體" w:hAnsi="標楷體"/>
          <w:bCs/>
        </w:rPr>
      </w:pPr>
      <w:r>
        <w:rPr>
          <w:rFonts w:ascii="標楷體" w:eastAsia="標楷體" w:hAnsi="標楷體"/>
          <w:bCs/>
        </w:rPr>
        <w:t>14.6.(刪除)(101/12/1)</w:t>
      </w:r>
    </w:p>
    <w:p w14:paraId="4C6AE56A" w14:textId="77777777" w:rsidR="00401786" w:rsidRDefault="00C64FB3" w:rsidP="0009639E">
      <w:pPr>
        <w:spacing w:line="300" w:lineRule="exact"/>
        <w:ind w:left="672" w:hanging="386"/>
      </w:pPr>
      <w:r>
        <w:rPr>
          <w:rFonts w:ascii="標楷體" w:eastAsia="標楷體" w:hAnsi="標楷體"/>
          <w:bCs/>
        </w:rPr>
        <w:t>14.7.(刪除)(101/12/1)</w:t>
      </w:r>
    </w:p>
    <w:p w14:paraId="3BEFF16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14.8.Ketorolac tromethamine（如</w:t>
      </w:r>
      <w:proofErr w:type="spellStart"/>
      <w:r>
        <w:rPr>
          <w:rFonts w:ascii="標楷體" w:eastAsia="標楷體" w:hAnsi="標楷體"/>
          <w:color w:val="000000"/>
        </w:rPr>
        <w:t>Acular</w:t>
      </w:r>
      <w:proofErr w:type="spellEnd"/>
      <w:r>
        <w:rPr>
          <w:rFonts w:ascii="標楷體" w:eastAsia="標楷體" w:hAnsi="標楷體"/>
          <w:color w:val="000000"/>
        </w:rPr>
        <w:t xml:space="preserve"> Ophthalmic Solution）：(89/11/1)</w:t>
      </w:r>
    </w:p>
    <w:p w14:paraId="7F0C7A04"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限白內障手術後之眼部發炎使用。</w:t>
      </w:r>
    </w:p>
    <w:p w14:paraId="1CB1F2D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14.9.其他  Miscellaneous</w:t>
      </w:r>
    </w:p>
    <w:p w14:paraId="71BE515C"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14.9.1.(刪除) (95/6/1、104/5/1)</w:t>
      </w:r>
    </w:p>
    <w:p w14:paraId="2C26EA53" w14:textId="77777777" w:rsidR="000507E9" w:rsidRPr="000A46FE" w:rsidRDefault="000507E9" w:rsidP="000507E9">
      <w:pPr>
        <w:spacing w:line="300" w:lineRule="exact"/>
        <w:ind w:left="643" w:hanging="360"/>
        <w:rPr>
          <w:rFonts w:ascii="標楷體" w:eastAsia="標楷體" w:hAnsi="標楷體"/>
          <w:color w:val="000000"/>
        </w:rPr>
      </w:pPr>
      <w:r w:rsidRPr="000A46FE">
        <w:rPr>
          <w:rFonts w:ascii="標楷體" w:eastAsia="標楷體" w:hAnsi="標楷體"/>
          <w:color w:val="000000"/>
        </w:rPr>
        <w:t>14.9.2.新生血管抑制劑 (Anti-angiogenic agents) : ranibizumab (如Lucentis)、aflibercept (如Eylea)、</w:t>
      </w:r>
      <w:proofErr w:type="spellStart"/>
      <w:r w:rsidRPr="000A46FE">
        <w:rPr>
          <w:rFonts w:ascii="標楷體" w:eastAsia="標楷體" w:hAnsi="標楷體"/>
          <w:color w:val="000000"/>
        </w:rPr>
        <w:t>faricimab</w:t>
      </w:r>
      <w:proofErr w:type="spellEnd"/>
      <w:r w:rsidRPr="000A46FE">
        <w:rPr>
          <w:rFonts w:ascii="標楷體" w:eastAsia="標楷體" w:hAnsi="標楷體"/>
          <w:color w:val="000000"/>
        </w:rPr>
        <w:t xml:space="preserve"> (如</w:t>
      </w:r>
      <w:proofErr w:type="spellStart"/>
      <w:r w:rsidRPr="000A46FE">
        <w:rPr>
          <w:rFonts w:ascii="標楷體" w:eastAsia="標楷體" w:hAnsi="標楷體"/>
          <w:color w:val="000000"/>
        </w:rPr>
        <w:t>Vabysmo</w:t>
      </w:r>
      <w:proofErr w:type="spellEnd"/>
      <w:r w:rsidRPr="000A46FE">
        <w:rPr>
          <w:rFonts w:ascii="標楷體" w:eastAsia="標楷體" w:hAnsi="標楷體"/>
          <w:color w:val="000000"/>
        </w:rPr>
        <w:t>) (100/1/1、 101/5/1、102/2/1、103/8/1、104/5/1、105/2/1、105/7/1、105/11/1、105/12/1、106/4/1、106/12/1、108/4/1、109/2/1、109/3/1、109/6/1、109/12/1、112/2/1、112/3/1、113/1/1、114/5/1</w:t>
      </w:r>
      <w:r w:rsidRPr="000A46FE">
        <w:rPr>
          <w:rFonts w:ascii="標楷體" w:eastAsia="標楷體" w:hAnsi="標楷體" w:hint="eastAsia"/>
          <w:color w:val="000000"/>
        </w:rPr>
        <w:t>、</w:t>
      </w:r>
      <w:r w:rsidRPr="000A46FE">
        <w:rPr>
          <w:rFonts w:ascii="標楷體" w:eastAsia="標楷體" w:hAnsi="標楷體"/>
          <w:color w:val="000000"/>
        </w:rPr>
        <w:t>115/5/1)</w:t>
      </w:r>
    </w:p>
    <w:p w14:paraId="6BF846BE" w14:textId="77777777" w:rsidR="000507E9" w:rsidRPr="000A46FE" w:rsidRDefault="000507E9" w:rsidP="000507E9">
      <w:pPr>
        <w:spacing w:line="300" w:lineRule="exact"/>
        <w:ind w:left="811" w:hanging="245"/>
        <w:rPr>
          <w:rFonts w:ascii="標楷體" w:eastAsia="標楷體" w:hAnsi="標楷體"/>
          <w:color w:val="000000"/>
        </w:rPr>
      </w:pPr>
      <w:proofErr w:type="gramStart"/>
      <w:r w:rsidRPr="000A46FE">
        <w:rPr>
          <w:rFonts w:ascii="標楷體" w:eastAsia="標楷體" w:hAnsi="標楷體"/>
          <w:color w:val="000000"/>
        </w:rPr>
        <w:t>本類藥品</w:t>
      </w:r>
      <w:proofErr w:type="gramEnd"/>
      <w:r w:rsidRPr="000A46FE">
        <w:rPr>
          <w:rFonts w:ascii="標楷體" w:eastAsia="標楷體" w:hAnsi="標楷體"/>
          <w:color w:val="000000"/>
        </w:rPr>
        <w:t>使用須符合下列條件:</w:t>
      </w:r>
    </w:p>
    <w:p w14:paraId="2EBEEA00"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1.未曾申請</w:t>
      </w:r>
      <w:proofErr w:type="gramStart"/>
      <w:r w:rsidRPr="000A46FE">
        <w:rPr>
          <w:rFonts w:ascii="標楷體" w:eastAsia="標楷體" w:hAnsi="標楷體"/>
          <w:color w:val="000000"/>
        </w:rPr>
        <w:t>給付本類藥品</w:t>
      </w:r>
      <w:proofErr w:type="gramEnd"/>
      <w:r w:rsidRPr="000A46FE">
        <w:rPr>
          <w:rFonts w:ascii="標楷體" w:eastAsia="標楷體" w:hAnsi="標楷體"/>
          <w:color w:val="000000"/>
        </w:rPr>
        <w:t>者。</w:t>
      </w:r>
    </w:p>
    <w:p w14:paraId="6D23C8F4"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2.須經事前審查核准後使用。</w:t>
      </w:r>
    </w:p>
    <w:p w14:paraId="10E1395F"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(1)第一次申請時需檢附一個月內</w:t>
      </w:r>
      <w:proofErr w:type="gramStart"/>
      <w:r w:rsidRPr="000A46FE">
        <w:rPr>
          <w:rFonts w:ascii="標楷體" w:eastAsia="標楷體" w:hAnsi="標楷體"/>
          <w:color w:val="000000"/>
        </w:rPr>
        <w:t>之病眼最佳</w:t>
      </w:r>
      <w:proofErr w:type="gramEnd"/>
      <w:r w:rsidRPr="000A46FE">
        <w:rPr>
          <w:rFonts w:ascii="標楷體" w:eastAsia="標楷體" w:hAnsi="標楷體"/>
          <w:color w:val="000000"/>
        </w:rPr>
        <w:t>矯正視力(介於0.05~0.5(含)</w:t>
      </w:r>
      <w:proofErr w:type="gramStart"/>
      <w:r w:rsidRPr="000A46FE">
        <w:rPr>
          <w:rFonts w:ascii="標楷體" w:eastAsia="標楷體" w:hAnsi="標楷體"/>
          <w:color w:val="000000"/>
        </w:rPr>
        <w:t>之間)</w:t>
      </w:r>
      <w:proofErr w:type="gramEnd"/>
      <w:r w:rsidRPr="000A46FE">
        <w:rPr>
          <w:rFonts w:ascii="標楷體" w:eastAsia="標楷體" w:hAnsi="標楷體"/>
          <w:color w:val="000000"/>
        </w:rPr>
        <w:t>、眼底彩色照片、FAG (fluorescein angiography)、OCT (optical coherence tomography)、及相關病歷紀錄資料。</w:t>
      </w:r>
    </w:p>
    <w:p w14:paraId="2B62A763"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(2)經</w:t>
      </w:r>
      <w:proofErr w:type="gramStart"/>
      <w:r w:rsidRPr="000A46FE">
        <w:rPr>
          <w:rFonts w:ascii="標楷體" w:eastAsia="標楷體" w:hAnsi="標楷體"/>
          <w:color w:val="000000"/>
        </w:rPr>
        <w:t>評估需續用</w:t>
      </w:r>
      <w:proofErr w:type="gramEnd"/>
      <w:r w:rsidRPr="000A46FE">
        <w:rPr>
          <w:rFonts w:ascii="標楷體" w:eastAsia="標楷體" w:hAnsi="標楷體"/>
          <w:color w:val="000000"/>
        </w:rPr>
        <w:t>者，再次申請時需檢附第一次申請資料及再次申請前一個月內有改善證明之相關資料。</w:t>
      </w:r>
    </w:p>
    <w:p w14:paraId="02BC4B73"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3.限眼科專科醫師施行。</w:t>
      </w:r>
    </w:p>
    <w:p w14:paraId="0CA71D06"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4.已產生</w:t>
      </w:r>
      <w:proofErr w:type="gramStart"/>
      <w:r w:rsidRPr="000A46FE">
        <w:rPr>
          <w:rFonts w:ascii="標楷體" w:eastAsia="標楷體" w:hAnsi="標楷體"/>
          <w:color w:val="000000"/>
        </w:rPr>
        <w:t>中央窩下</w:t>
      </w:r>
      <w:proofErr w:type="gramEnd"/>
      <w:r w:rsidRPr="000A46FE">
        <w:rPr>
          <w:rFonts w:ascii="標楷體" w:eastAsia="標楷體" w:hAnsi="標楷體"/>
          <w:color w:val="000000"/>
        </w:rPr>
        <w:t>(</w:t>
      </w:r>
      <w:proofErr w:type="spellStart"/>
      <w:r w:rsidRPr="000A46FE">
        <w:rPr>
          <w:rFonts w:ascii="標楷體" w:eastAsia="標楷體" w:hAnsi="標楷體"/>
          <w:color w:val="000000"/>
        </w:rPr>
        <w:t>subfoveal</w:t>
      </w:r>
      <w:proofErr w:type="spellEnd"/>
      <w:r w:rsidRPr="000A46FE">
        <w:rPr>
          <w:rFonts w:ascii="標楷體" w:eastAsia="標楷體" w:hAnsi="標楷體"/>
          <w:color w:val="000000"/>
        </w:rPr>
        <w:t>)</w:t>
      </w:r>
      <w:proofErr w:type="gramStart"/>
      <w:r w:rsidRPr="000A46FE">
        <w:rPr>
          <w:rFonts w:ascii="標楷體" w:eastAsia="標楷體" w:hAnsi="標楷體"/>
          <w:color w:val="000000"/>
        </w:rPr>
        <w:t>結痂者不得</w:t>
      </w:r>
      <w:proofErr w:type="gramEnd"/>
      <w:r w:rsidRPr="000A46FE">
        <w:rPr>
          <w:rFonts w:ascii="標楷體" w:eastAsia="標楷體" w:hAnsi="標楷體"/>
          <w:color w:val="000000"/>
        </w:rPr>
        <w:t>申請使用。</w:t>
      </w:r>
    </w:p>
    <w:p w14:paraId="02112309" w14:textId="77777777" w:rsidR="000507E9" w:rsidRPr="000A46FE" w:rsidRDefault="000507E9" w:rsidP="000507E9">
      <w:pPr>
        <w:spacing w:line="300" w:lineRule="exact"/>
        <w:ind w:left="811" w:hanging="245"/>
      </w:pPr>
      <w:r w:rsidRPr="000A46FE">
        <w:rPr>
          <w:rFonts w:ascii="標楷體" w:eastAsia="標楷體" w:hAnsi="標楷體"/>
          <w:color w:val="000000"/>
        </w:rPr>
        <w:t>5.限ranibizumab、aflibercept及</w:t>
      </w:r>
      <w:proofErr w:type="spellStart"/>
      <w:r w:rsidRPr="000A46FE">
        <w:rPr>
          <w:rFonts w:ascii="標楷體" w:eastAsia="標楷體" w:hAnsi="標楷體"/>
          <w:color w:val="000000"/>
        </w:rPr>
        <w:t>faricimab</w:t>
      </w:r>
      <w:proofErr w:type="spellEnd"/>
      <w:r w:rsidRPr="000A46FE">
        <w:rPr>
          <w:rFonts w:ascii="標楷體" w:eastAsia="標楷體" w:hAnsi="標楷體"/>
          <w:color w:val="000000"/>
        </w:rPr>
        <w:t>擇</w:t>
      </w:r>
      <w:proofErr w:type="gramStart"/>
      <w:r w:rsidRPr="000A46FE">
        <w:rPr>
          <w:rFonts w:ascii="標楷體" w:eastAsia="標楷體" w:hAnsi="標楷體"/>
          <w:color w:val="000000"/>
        </w:rPr>
        <w:t>一</w:t>
      </w:r>
      <w:proofErr w:type="gramEnd"/>
      <w:r w:rsidRPr="000A46FE">
        <w:rPr>
          <w:rFonts w:ascii="標楷體" w:eastAsia="標楷體" w:hAnsi="標楷體"/>
          <w:color w:val="000000"/>
        </w:rPr>
        <w:t>申請，且未曾申請給付dexamethasone眼後</w:t>
      </w:r>
      <w:proofErr w:type="gramStart"/>
      <w:r w:rsidRPr="000A46FE">
        <w:rPr>
          <w:rFonts w:ascii="標楷體" w:eastAsia="標楷體" w:hAnsi="標楷體"/>
          <w:color w:val="000000"/>
        </w:rPr>
        <w:t>段植入劑者</w:t>
      </w:r>
      <w:proofErr w:type="gramEnd"/>
      <w:r w:rsidRPr="000A46FE">
        <w:rPr>
          <w:rFonts w:ascii="標楷體" w:eastAsia="標楷體" w:hAnsi="標楷體"/>
          <w:color w:val="000000"/>
        </w:rPr>
        <w:t>(DME及CRVO除外)、或verteporfin(PCV)。另</w:t>
      </w:r>
      <w:proofErr w:type="spellStart"/>
      <w:r w:rsidRPr="000A46FE">
        <w:rPr>
          <w:rFonts w:ascii="標楷體" w:eastAsia="標楷體" w:hAnsi="標楷體"/>
          <w:color w:val="000000"/>
        </w:rPr>
        <w:lastRenderedPageBreak/>
        <w:t>faricimab</w:t>
      </w:r>
      <w:proofErr w:type="spellEnd"/>
      <w:r w:rsidRPr="000A46FE">
        <w:rPr>
          <w:rFonts w:ascii="標楷體" w:eastAsia="標楷體" w:hAnsi="標楷體"/>
          <w:color w:val="000000"/>
        </w:rPr>
        <w:t>僅</w:t>
      </w:r>
      <w:r w:rsidRPr="000A46FE">
        <w:rPr>
          <w:rFonts w:ascii="標楷體" w:eastAsia="標楷體" w:hAnsi="標楷體" w:hint="eastAsia"/>
          <w:color w:val="000000"/>
        </w:rPr>
        <w:t>限用於</w:t>
      </w:r>
      <w:proofErr w:type="spellStart"/>
      <w:r w:rsidRPr="000A46FE">
        <w:rPr>
          <w:rFonts w:ascii="標楷體" w:eastAsia="標楷體" w:hAnsi="標楷體"/>
          <w:color w:val="000000"/>
        </w:rPr>
        <w:t>wAMD</w:t>
      </w:r>
      <w:proofErr w:type="spellEnd"/>
      <w:r w:rsidRPr="000A46FE">
        <w:rPr>
          <w:rFonts w:ascii="標楷體" w:eastAsia="標楷體" w:hAnsi="標楷體" w:hint="eastAsia"/>
          <w:color w:val="000000"/>
        </w:rPr>
        <w:t>、</w:t>
      </w:r>
      <w:r w:rsidRPr="000A46FE">
        <w:rPr>
          <w:rFonts w:ascii="標楷體" w:eastAsia="標楷體" w:hAnsi="標楷體"/>
          <w:color w:val="000000"/>
        </w:rPr>
        <w:t>DME</w:t>
      </w:r>
      <w:r w:rsidRPr="000A46FE">
        <w:rPr>
          <w:rFonts w:ascii="標楷體" w:eastAsia="標楷體" w:hAnsi="標楷體" w:hint="eastAsia"/>
          <w:color w:val="000000"/>
        </w:rPr>
        <w:t>、</w:t>
      </w:r>
      <w:r w:rsidRPr="000A46FE">
        <w:rPr>
          <w:rFonts w:ascii="標楷體" w:eastAsia="標楷體" w:hAnsi="標楷體"/>
          <w:color w:val="000000"/>
        </w:rPr>
        <w:t>PCV</w:t>
      </w:r>
      <w:r w:rsidRPr="000A46FE">
        <w:rPr>
          <w:rFonts w:ascii="標楷體" w:eastAsia="標楷體" w:hAnsi="標楷體" w:hint="eastAsia"/>
          <w:color w:val="000000"/>
        </w:rPr>
        <w:t>、</w:t>
      </w:r>
      <w:r w:rsidRPr="000A46FE">
        <w:rPr>
          <w:rFonts w:ascii="標楷體" w:eastAsia="標楷體" w:hAnsi="標楷體"/>
          <w:color w:val="000000"/>
        </w:rPr>
        <w:t xml:space="preserve">CRVO </w:t>
      </w:r>
      <w:r w:rsidRPr="000A46FE">
        <w:rPr>
          <w:rFonts w:ascii="標楷體" w:eastAsia="標楷體" w:hAnsi="標楷體" w:hint="eastAsia"/>
          <w:color w:val="000000"/>
        </w:rPr>
        <w:t>及</w:t>
      </w:r>
      <w:r w:rsidRPr="000A46FE">
        <w:rPr>
          <w:rFonts w:ascii="標楷體" w:eastAsia="標楷體" w:hAnsi="標楷體"/>
          <w:color w:val="000000"/>
        </w:rPr>
        <w:t>BRVO疾病；aflibercept 8mg僅限用於</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、DME及PCV疾病。(109/2/1、109/3/1、113/1/1、114/5/1</w:t>
      </w:r>
      <w:r w:rsidRPr="000A46FE">
        <w:rPr>
          <w:rFonts w:ascii="標楷體" w:eastAsia="標楷體" w:hAnsi="標楷體" w:hint="eastAsia"/>
          <w:color w:val="000000"/>
        </w:rPr>
        <w:t>、</w:t>
      </w:r>
      <w:r w:rsidRPr="000A46FE">
        <w:rPr>
          <w:rFonts w:ascii="標楷體" w:eastAsia="標楷體" w:hAnsi="標楷體"/>
          <w:color w:val="000000"/>
        </w:rPr>
        <w:t>115/5/1)</w:t>
      </w:r>
    </w:p>
    <w:p w14:paraId="6679CF0C"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6.須於第一次申請核准後5年內使用完畢。(109/2/1)</w:t>
      </w:r>
    </w:p>
    <w:p w14:paraId="6A08F88C"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7.依</w:t>
      </w:r>
      <w:proofErr w:type="gramStart"/>
      <w:r w:rsidRPr="000A46FE">
        <w:rPr>
          <w:rFonts w:ascii="標楷體" w:eastAsia="標楷體" w:hAnsi="標楷體"/>
          <w:color w:val="000000"/>
        </w:rPr>
        <w:t>疾病別另規定</w:t>
      </w:r>
      <w:proofErr w:type="gramEnd"/>
      <w:r w:rsidRPr="000A46FE">
        <w:rPr>
          <w:rFonts w:ascii="標楷體" w:eastAsia="標楷體" w:hAnsi="標楷體"/>
          <w:color w:val="000000"/>
        </w:rPr>
        <w:t>如下:</w:t>
      </w:r>
    </w:p>
    <w:p w14:paraId="7534001A"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(1) 50歲以上血管新生型(濕性)年齡相關性黃斑部退化病變(</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 (101/5/1、105/12/1、109/2/1、109/6/1、109/12/1)</w:t>
      </w:r>
    </w:p>
    <w:p w14:paraId="66F4DF34"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Ⅰ.第一次申請時以8支為限，第二次申請為3支，第三次申請3支，每眼給付以14支為限。(105/12/1、109/2/1、109/6/1)</w:t>
      </w:r>
    </w:p>
    <w:p w14:paraId="5B23AE2C"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Ⅱ.必須排除下列情況：(109/2/1)</w:t>
      </w:r>
    </w:p>
    <w:p w14:paraId="02DDB77D" w14:textId="77777777" w:rsidR="000507E9" w:rsidRPr="000A46FE" w:rsidRDefault="000507E9" w:rsidP="000507E9">
      <w:pPr>
        <w:spacing w:line="300" w:lineRule="exact"/>
        <w:ind w:left="153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.血管新生型</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進展至視網膜下纖維化或advanced geographic atrophy者反應不佳。</w:t>
      </w:r>
    </w:p>
    <w:p w14:paraId="0ED4E04C" w14:textId="77777777" w:rsidR="000507E9" w:rsidRPr="000A46FE" w:rsidRDefault="000507E9" w:rsidP="000507E9">
      <w:pPr>
        <w:spacing w:line="300" w:lineRule="exact"/>
        <w:ind w:left="1531" w:hanging="245"/>
        <w:rPr>
          <w:rFonts w:ascii="標楷體" w:eastAsia="標楷體" w:hAnsi="標楷體"/>
          <w:color w:val="000000"/>
        </w:rPr>
      </w:pPr>
      <w:r w:rsidRPr="000A46FE">
        <w:rPr>
          <w:rFonts w:ascii="標楷體" w:eastAsia="標楷體" w:hAnsi="標楷體"/>
          <w:color w:val="000000"/>
        </w:rPr>
        <w:t>ii.高度</w:t>
      </w:r>
      <w:proofErr w:type="gramStart"/>
      <w:r w:rsidRPr="000A46FE">
        <w:rPr>
          <w:rFonts w:ascii="標楷體" w:eastAsia="標楷體" w:hAnsi="標楷體"/>
          <w:color w:val="000000"/>
        </w:rPr>
        <w:t>近視，</w:t>
      </w:r>
      <w:proofErr w:type="gramEnd"/>
      <w:r w:rsidRPr="000A46FE">
        <w:rPr>
          <w:rFonts w:ascii="標楷體" w:eastAsia="標楷體" w:hAnsi="標楷體"/>
          <w:color w:val="000000"/>
        </w:rPr>
        <w:t>類血管狀破裂症(</w:t>
      </w:r>
      <w:proofErr w:type="spellStart"/>
      <w:r w:rsidRPr="000A46FE">
        <w:rPr>
          <w:rFonts w:ascii="標楷體" w:eastAsia="標楷體" w:hAnsi="標楷體"/>
          <w:color w:val="000000"/>
        </w:rPr>
        <w:t>angioid</w:t>
      </w:r>
      <w:proofErr w:type="spellEnd"/>
      <w:r w:rsidRPr="000A46FE">
        <w:rPr>
          <w:rFonts w:ascii="標楷體" w:eastAsia="標楷體" w:hAnsi="標楷體"/>
          <w:color w:val="000000"/>
        </w:rPr>
        <w:t xml:space="preserve"> streaks)，或其他非</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所造成視網膜中央窩（fovea）下之脈絡膜新生血管</w:t>
      </w:r>
      <w:proofErr w:type="gramStart"/>
      <w:r w:rsidRPr="000A46FE">
        <w:rPr>
          <w:rFonts w:ascii="標楷體" w:eastAsia="標楷體" w:hAnsi="標楷體"/>
          <w:color w:val="000000"/>
        </w:rPr>
        <w:t>（</w:t>
      </w:r>
      <w:proofErr w:type="gramEnd"/>
      <w:r w:rsidRPr="000A46FE">
        <w:rPr>
          <w:rFonts w:ascii="標楷體" w:eastAsia="標楷體" w:hAnsi="標楷體"/>
          <w:color w:val="000000"/>
        </w:rPr>
        <w:t>Choroidal neovascularization；CNV</w:t>
      </w:r>
      <w:proofErr w:type="gramStart"/>
      <w:r w:rsidRPr="000A46FE">
        <w:rPr>
          <w:rFonts w:ascii="標楷體" w:eastAsia="標楷體" w:hAnsi="標楷體"/>
          <w:color w:val="000000"/>
        </w:rPr>
        <w:t>）</w:t>
      </w:r>
      <w:proofErr w:type="gramEnd"/>
      <w:r w:rsidRPr="000A46FE">
        <w:rPr>
          <w:rFonts w:ascii="標楷體" w:eastAsia="標楷體" w:hAnsi="標楷體"/>
          <w:color w:val="000000"/>
        </w:rPr>
        <w:t>(101/5/1)。</w:t>
      </w:r>
    </w:p>
    <w:p w14:paraId="17AD8BB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Ⅲ.第二次及第三次申請時，需檢附與第一次申請項目相同之各項最近檢查紀錄外，並檢附有改善證明及須持續治療需求之相關資料。且符合下列情況者方得以繼續治療：(109/12/1、112/2/1)</w:t>
      </w:r>
    </w:p>
    <w:p w14:paraId="77D4EC19" w14:textId="77777777" w:rsidR="000507E9" w:rsidRPr="000A46FE" w:rsidRDefault="000507E9" w:rsidP="000507E9">
      <w:pPr>
        <w:spacing w:line="300" w:lineRule="exact"/>
        <w:ind w:left="153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w:t>
      </w:r>
      <w:proofErr w:type="gramStart"/>
      <w:r w:rsidRPr="000A46FE">
        <w:rPr>
          <w:rFonts w:ascii="標楷體" w:eastAsia="標楷體" w:hAnsi="標楷體"/>
          <w:color w:val="000000"/>
        </w:rPr>
        <w:t>患眼最佳</w:t>
      </w:r>
      <w:proofErr w:type="gramEnd"/>
      <w:r w:rsidRPr="000A46FE">
        <w:rPr>
          <w:rFonts w:ascii="標楷體" w:eastAsia="標楷體" w:hAnsi="標楷體"/>
          <w:color w:val="000000"/>
        </w:rPr>
        <w:t>矯正視力與前次申請之治療期間比較有進步至少一行。(109/12/1、112/2/1)</w:t>
      </w:r>
    </w:p>
    <w:p w14:paraId="3E728361" w14:textId="77777777" w:rsidR="000507E9" w:rsidRPr="000A46FE" w:rsidRDefault="000507E9" w:rsidP="000507E9">
      <w:pPr>
        <w:spacing w:line="300" w:lineRule="exact"/>
        <w:ind w:left="1531" w:hanging="245"/>
        <w:rPr>
          <w:rFonts w:ascii="標楷體" w:eastAsia="標楷體" w:hAnsi="標楷體"/>
          <w:color w:val="000000"/>
        </w:rPr>
      </w:pPr>
      <w:r w:rsidRPr="000A46FE">
        <w:rPr>
          <w:rFonts w:ascii="標楷體" w:eastAsia="標楷體" w:hAnsi="標楷體"/>
          <w:color w:val="000000"/>
        </w:rPr>
        <w:t>ii.彩色眼底照片及OCT(或OCTA)檢查呈現視網膜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血管等病灶與第一次申請之治療期間比較有改善。(112/2/1)</w:t>
      </w:r>
    </w:p>
    <w:p w14:paraId="4A26E34C" w14:textId="77777777" w:rsidR="000507E9" w:rsidRPr="000A46FE" w:rsidRDefault="000507E9" w:rsidP="000507E9">
      <w:pPr>
        <w:spacing w:line="300" w:lineRule="exact"/>
        <w:ind w:left="1531" w:hanging="245"/>
        <w:rPr>
          <w:rFonts w:ascii="標楷體" w:eastAsia="標楷體" w:hAnsi="標楷體"/>
          <w:color w:val="000000"/>
        </w:rPr>
      </w:pPr>
      <w:r w:rsidRPr="000A46FE">
        <w:rPr>
          <w:rFonts w:ascii="標楷體" w:eastAsia="標楷體" w:hAnsi="標楷體"/>
          <w:color w:val="000000"/>
        </w:rPr>
        <w:t>iii.解剖學上仍有疾病活性者(如視網膜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血管等病灶)。(109/12/1、112/2/1)</w:t>
      </w:r>
    </w:p>
    <w:p w14:paraId="50EACA40" w14:textId="77777777" w:rsidR="000507E9" w:rsidRPr="000A46FE" w:rsidRDefault="000507E9" w:rsidP="000507E9">
      <w:pPr>
        <w:spacing w:line="300" w:lineRule="exact"/>
        <w:ind w:left="1531" w:hanging="245"/>
        <w:rPr>
          <w:rFonts w:ascii="標楷體" w:eastAsia="標楷體" w:hAnsi="標楷體"/>
          <w:color w:val="000000"/>
        </w:rPr>
      </w:pPr>
      <w:proofErr w:type="spellStart"/>
      <w:r w:rsidRPr="000A46FE">
        <w:rPr>
          <w:rFonts w:ascii="標楷體" w:eastAsia="標楷體" w:hAnsi="標楷體"/>
          <w:color w:val="000000"/>
        </w:rPr>
        <w:t>iv.FAG</w:t>
      </w:r>
      <w:proofErr w:type="spellEnd"/>
      <w:r w:rsidRPr="000A46FE">
        <w:rPr>
          <w:rFonts w:ascii="標楷體" w:eastAsia="標楷體" w:hAnsi="標楷體"/>
          <w:color w:val="000000"/>
        </w:rPr>
        <w:t>事前審查時要求</w:t>
      </w:r>
      <w:proofErr w:type="gramStart"/>
      <w:r w:rsidRPr="000A46FE">
        <w:rPr>
          <w:rFonts w:ascii="標楷體" w:eastAsia="標楷體" w:hAnsi="標楷體"/>
          <w:color w:val="000000"/>
        </w:rPr>
        <w:t>補附才</w:t>
      </w:r>
      <w:proofErr w:type="gramEnd"/>
      <w:r w:rsidRPr="000A46FE">
        <w:rPr>
          <w:rFonts w:ascii="標楷體" w:eastAsia="標楷體" w:hAnsi="標楷體"/>
          <w:color w:val="000000"/>
        </w:rPr>
        <w:t>需檢</w:t>
      </w:r>
      <w:proofErr w:type="gramStart"/>
      <w:r w:rsidRPr="000A46FE">
        <w:rPr>
          <w:rFonts w:ascii="標楷體" w:eastAsia="標楷體" w:hAnsi="標楷體"/>
          <w:color w:val="000000"/>
        </w:rPr>
        <w:t>附</w:t>
      </w:r>
      <w:proofErr w:type="gramEnd"/>
      <w:r w:rsidRPr="000A46FE">
        <w:rPr>
          <w:rFonts w:ascii="標楷體" w:eastAsia="標楷體" w:hAnsi="標楷體"/>
          <w:color w:val="000000"/>
        </w:rPr>
        <w:t xml:space="preserve">。(109/12/1) </w:t>
      </w:r>
    </w:p>
    <w:p w14:paraId="5A5DEBD0"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(2)糖尿病引起黃斑部水腫 (diabetic macular edema, DME)之病變：(102/2/1、103/8/1、105/2/1、105/11/1、105/12/1、106/4/1、108/4/1、109/2/1、109/3/1、112/2/1、112/3/1)</w:t>
      </w:r>
    </w:p>
    <w:p w14:paraId="602C805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Ⅰ.第一次申請以5支為限，第二次申請5支，第三次申請4支，每眼給付以14支為限。 (105/2/1、105/12/1、109/2/1、112/2/1)</w:t>
      </w:r>
    </w:p>
    <w:p w14:paraId="2644C4DA"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Ⅱ.中央視網膜厚度(central retinal </w:t>
      </w:r>
      <w:proofErr w:type="spellStart"/>
      <w:r w:rsidRPr="000A46FE">
        <w:rPr>
          <w:rFonts w:ascii="標楷體" w:eastAsia="標楷體" w:hAnsi="標楷體"/>
          <w:color w:val="000000"/>
        </w:rPr>
        <w:t>thickness,CRT</w:t>
      </w:r>
      <w:proofErr w:type="spellEnd"/>
      <w:r w:rsidRPr="000A46FE">
        <w:rPr>
          <w:rFonts w:ascii="標楷體" w:eastAsia="標楷體" w:hAnsi="標楷體"/>
          <w:color w:val="000000"/>
        </w:rPr>
        <w: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w:t>
      </w:r>
    </w:p>
    <w:p w14:paraId="3740B5F7"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Ⅲ.第一次申請時，需檢附近三個月內之糖化血色素(HbA1c)數值低於10%。</w:t>
      </w:r>
    </w:p>
    <w:p w14:paraId="4891853E"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Ⅳ.第二次及第三次申請時，需檢附與第一次申請項目相同之各項最近檢查紀錄外，並檢附有改善證明或須持續治療需求之相關資料。符合下列情況者方得以繼續治療：(112/2/1)</w:t>
      </w:r>
    </w:p>
    <w:p w14:paraId="11B1846D"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.最佳矯正視力低於0.8(不含)。(112/2/1)</w:t>
      </w:r>
    </w:p>
    <w:p w14:paraId="62320876"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ii.OCT</w:t>
      </w:r>
      <w:proofErr w:type="spellEnd"/>
      <w:r w:rsidRPr="000A46FE">
        <w:rPr>
          <w:rFonts w:ascii="標楷體" w:eastAsia="標楷體" w:hAnsi="標楷體"/>
          <w:color w:val="000000"/>
        </w:rPr>
        <w:t>檢查仍有黃斑部水腫(central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300μm)，且OCT所測得黃斑中心厚度在治療</w:t>
      </w:r>
      <w:proofErr w:type="gramStart"/>
      <w:r w:rsidRPr="000A46FE">
        <w:rPr>
          <w:rFonts w:ascii="標楷體" w:eastAsia="標楷體" w:hAnsi="標楷體"/>
          <w:color w:val="000000"/>
        </w:rPr>
        <w:t>期間，曾比</w:t>
      </w:r>
      <w:proofErr w:type="gramEnd"/>
      <w:r w:rsidRPr="000A46FE">
        <w:rPr>
          <w:rFonts w:ascii="標楷體" w:eastAsia="標楷體" w:hAnsi="標楷體"/>
          <w:color w:val="000000"/>
        </w:rPr>
        <w:t>前一次申請所測厚度至少減少10%。(112/2/1)</w:t>
      </w:r>
    </w:p>
    <w:p w14:paraId="347B7FE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iii.近三</w:t>
      </w:r>
      <w:proofErr w:type="gramStart"/>
      <w:r w:rsidRPr="000A46FE">
        <w:rPr>
          <w:rFonts w:ascii="標楷體" w:eastAsia="標楷體" w:hAnsi="標楷體"/>
          <w:color w:val="000000"/>
        </w:rPr>
        <w:t>個</w:t>
      </w:r>
      <w:proofErr w:type="gramEnd"/>
      <w:r w:rsidRPr="000A46FE">
        <w:rPr>
          <w:rFonts w:ascii="標楷體" w:eastAsia="標楷體" w:hAnsi="標楷體"/>
          <w:color w:val="000000"/>
        </w:rPr>
        <w:t>月內之糖化血色素(HbA1c)數值應</w:t>
      </w:r>
      <w:proofErr w:type="gramStart"/>
      <w:r w:rsidRPr="000A46FE">
        <w:rPr>
          <w:rFonts w:ascii="標楷體" w:eastAsia="標楷體" w:hAnsi="標楷體"/>
          <w:color w:val="000000"/>
        </w:rPr>
        <w:t>≦</w:t>
      </w:r>
      <w:proofErr w:type="gramEnd"/>
      <w:r w:rsidRPr="000A46FE">
        <w:rPr>
          <w:rFonts w:ascii="標楷體" w:eastAsia="標楷體" w:hAnsi="標楷體"/>
          <w:color w:val="000000"/>
        </w:rPr>
        <w:t>8.0%。(112/2/1)</w:t>
      </w:r>
    </w:p>
    <w:p w14:paraId="00E7272D" w14:textId="77777777" w:rsidR="000507E9" w:rsidRPr="000A46FE" w:rsidRDefault="000507E9" w:rsidP="000507E9">
      <w:pPr>
        <w:spacing w:line="300" w:lineRule="exact"/>
        <w:ind w:left="1291" w:hanging="245"/>
      </w:pPr>
      <w:r w:rsidRPr="000A46FE">
        <w:rPr>
          <w:rFonts w:ascii="標楷體" w:eastAsia="標楷體" w:hAnsi="標楷體"/>
          <w:color w:val="000000"/>
        </w:rPr>
        <w:t>Ⅴ.第一次申請治療後，患者治療成果</w:t>
      </w:r>
      <w:proofErr w:type="gramStart"/>
      <w:r w:rsidRPr="000A46FE">
        <w:rPr>
          <w:rFonts w:ascii="標楷體" w:eastAsia="標楷體" w:hAnsi="標楷體"/>
          <w:color w:val="000000"/>
        </w:rPr>
        <w:t>不</w:t>
      </w:r>
      <w:proofErr w:type="gramEnd"/>
      <w:r w:rsidRPr="000A46FE">
        <w:rPr>
          <w:rFonts w:ascii="標楷體" w:eastAsia="標楷體" w:hAnsi="標楷體"/>
          <w:color w:val="000000"/>
        </w:rPr>
        <w:t>彰或對原申請藥物產生不良反應者，得申請更換給付不同作用機轉藥物</w:t>
      </w:r>
      <w:r w:rsidRPr="000A46FE">
        <w:rPr>
          <w:rFonts w:ascii="標楷體" w:eastAsia="標楷體" w:hAnsi="標楷體"/>
        </w:rPr>
        <w:t>(</w:t>
      </w:r>
      <w:proofErr w:type="spellStart"/>
      <w:r w:rsidRPr="000A46FE">
        <w:rPr>
          <w:rFonts w:ascii="標楷體" w:eastAsia="標楷體" w:hAnsi="標楷體"/>
        </w:rPr>
        <w:t>faricimab</w:t>
      </w:r>
      <w:proofErr w:type="spellEnd"/>
      <w:r w:rsidRPr="000A46FE">
        <w:rPr>
          <w:rFonts w:ascii="標楷體" w:eastAsia="標楷體" w:hAnsi="標楷體"/>
        </w:rPr>
        <w:t>、ranibizumab、aflibercept僅能擇</w:t>
      </w:r>
      <w:proofErr w:type="gramStart"/>
      <w:r w:rsidRPr="000A46FE">
        <w:rPr>
          <w:rFonts w:ascii="標楷體" w:eastAsia="標楷體" w:hAnsi="標楷體"/>
        </w:rPr>
        <w:t>一</w:t>
      </w:r>
      <w:proofErr w:type="gramEnd"/>
      <w:r w:rsidRPr="000A46FE">
        <w:rPr>
          <w:rFonts w:ascii="標楷體" w:eastAsia="標楷體" w:hAnsi="標楷體"/>
        </w:rPr>
        <w:t>使用，不得申請互為轉換)，申請時需檢送第一次申請資料及再次申請前一個月內有黃斑水腫仍具臨床活性且中央視網膜厚度(central retinal thickness, CRT)</w:t>
      </w:r>
      <w:proofErr w:type="gramStart"/>
      <w:r w:rsidRPr="000A46FE">
        <w:rPr>
          <w:rFonts w:ascii="標楷體" w:eastAsia="標楷體" w:hAnsi="標楷體"/>
        </w:rPr>
        <w:t>≧</w:t>
      </w:r>
      <w:proofErr w:type="gramEnd"/>
      <w:r w:rsidRPr="000A46FE">
        <w:rPr>
          <w:rFonts w:ascii="標楷體" w:eastAsia="標楷體" w:hAnsi="標楷體"/>
        </w:rPr>
        <w:t xml:space="preserve"> 300μm之相關資料。(109/3/1、113/1/1)</w:t>
      </w:r>
    </w:p>
    <w:p w14:paraId="3ED6A3C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Ⅵ.每人每眼申請更換給付不同作用機轉藥物以一次為限。(109/3/1)</w:t>
      </w:r>
    </w:p>
    <w:p w14:paraId="4B56704C"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Ⅶ.申請更換給付dexamethasone眼後</w:t>
      </w:r>
      <w:proofErr w:type="gramStart"/>
      <w:r w:rsidRPr="000A46FE">
        <w:rPr>
          <w:rFonts w:ascii="標楷體" w:eastAsia="標楷體" w:hAnsi="標楷體"/>
          <w:color w:val="000000"/>
        </w:rPr>
        <w:t>段植入劑者</w:t>
      </w:r>
      <w:proofErr w:type="gramEnd"/>
      <w:r w:rsidRPr="000A46FE">
        <w:rPr>
          <w:rFonts w:ascii="標楷體" w:eastAsia="標楷體" w:hAnsi="標楷體"/>
          <w:color w:val="000000"/>
        </w:rPr>
        <w:t>，以2支為限。(109/3/1)</w:t>
      </w:r>
    </w:p>
    <w:p w14:paraId="4E1EF8D6"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Ⅷ.因其他因素(如玻璃體牽引)所造成之黃斑部水腫不得申請使用。(108/4/1) </w:t>
      </w:r>
    </w:p>
    <w:p w14:paraId="153D12C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lastRenderedPageBreak/>
        <w:t>Ⅸ.若患者腎功能不全(eGFR＜45mL/min/1.73m2或serum creatinine</w:t>
      </w:r>
      <w:proofErr w:type="gramStart"/>
      <w:r w:rsidRPr="000A46FE">
        <w:rPr>
          <w:rFonts w:ascii="標楷體" w:eastAsia="標楷體" w:hAnsi="標楷體"/>
          <w:color w:val="000000"/>
        </w:rPr>
        <w:t>≧</w:t>
      </w:r>
      <w:proofErr w:type="gramEnd"/>
      <w:r w:rsidRPr="000A46FE">
        <w:rPr>
          <w:rFonts w:ascii="標楷體" w:eastAsia="標楷體" w:hAnsi="標楷體"/>
          <w:color w:val="000000"/>
        </w:rPr>
        <w:t>1.5mg/dL)或腎臟移植患者(但排除已洗腎個案)，或具有藥物過敏史者，需檢附近三個月內有關腎功能檢查(如BUN, creatinine)報告及彩色眼底照片可看出典型糖尿病視網膜病變及OCT呈現網膜水腫等相關資料，並檢附足以證明其</w:t>
      </w:r>
      <w:proofErr w:type="gramStart"/>
      <w:r w:rsidRPr="000A46FE">
        <w:rPr>
          <w:rFonts w:ascii="標楷體" w:eastAsia="標楷體" w:hAnsi="標楷體"/>
          <w:color w:val="000000"/>
        </w:rPr>
        <w:t>罹</w:t>
      </w:r>
      <w:proofErr w:type="gramEnd"/>
      <w:r w:rsidRPr="000A46FE">
        <w:rPr>
          <w:rFonts w:ascii="標楷體" w:eastAsia="標楷體" w:hAnsi="標楷體"/>
          <w:color w:val="000000"/>
        </w:rPr>
        <w:t>患疾病之光學共</w:t>
      </w:r>
      <w:proofErr w:type="gramStart"/>
      <w:r w:rsidRPr="000A46FE">
        <w:rPr>
          <w:rFonts w:ascii="標楷體" w:eastAsia="標楷體" w:hAnsi="標楷體"/>
          <w:color w:val="000000"/>
        </w:rPr>
        <w:t>軛</w:t>
      </w:r>
      <w:proofErr w:type="gramEnd"/>
      <w:r w:rsidRPr="000A46FE">
        <w:rPr>
          <w:rFonts w:ascii="標楷體" w:eastAsia="標楷體" w:hAnsi="標楷體"/>
          <w:color w:val="000000"/>
        </w:rPr>
        <w:t xml:space="preserve">斷層血管掃描儀(optical coherence tomography </w:t>
      </w:r>
      <w:proofErr w:type="spellStart"/>
      <w:r w:rsidRPr="000A46FE">
        <w:rPr>
          <w:rFonts w:ascii="標楷體" w:eastAsia="標楷體" w:hAnsi="標楷體"/>
          <w:color w:val="000000"/>
        </w:rPr>
        <w:t>angiography,OCTA</w:t>
      </w:r>
      <w:proofErr w:type="spellEnd"/>
      <w:r w:rsidRPr="000A46FE">
        <w:rPr>
          <w:rFonts w:ascii="標楷體" w:eastAsia="標楷體" w:hAnsi="標楷體"/>
          <w:color w:val="000000"/>
        </w:rPr>
        <w:t>)檢查結果［例如OCTA檢查結果須顯示血管灌流不全區域、中央微血管灌流缺損 (Dropout)、中央無血管區域(Avascular zone)變大等變化］，則得以OCTA檢查結果代替FAG資料。(112/3/1)</w:t>
      </w:r>
    </w:p>
    <w:p w14:paraId="6306C28C"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(3)</w:t>
      </w:r>
      <w:proofErr w:type="gramStart"/>
      <w:r w:rsidRPr="000A46FE">
        <w:rPr>
          <w:rFonts w:ascii="標楷體" w:eastAsia="標楷體" w:hAnsi="標楷體"/>
          <w:color w:val="000000"/>
        </w:rPr>
        <w:t>多足型脈絡</w:t>
      </w:r>
      <w:proofErr w:type="gramEnd"/>
      <w:r w:rsidRPr="000A46FE">
        <w:rPr>
          <w:rFonts w:ascii="標楷體" w:eastAsia="標楷體" w:hAnsi="標楷體"/>
          <w:color w:val="000000"/>
        </w:rPr>
        <w:t>膜血管病變型黃斑部病變(polypoidal choroidal vasculopathy, PCV)之用藥：(104/5/1、105/11/1、105/12/1、106/12/1、109/2/1、109/6/1、109/12/1、112/2/1)</w:t>
      </w:r>
    </w:p>
    <w:p w14:paraId="156255A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I.第一次申請時以8支為限，第二次申請為3支，第三次申請3支，每眼給付以14支為限。 (106/12/1、109/2/1、109/6/1)</w:t>
      </w:r>
    </w:p>
    <w:p w14:paraId="787D4EA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Ⅱ.必須排除PCV進展至視網膜下纖維化或者反應不佳。(109/12/1)</w:t>
      </w:r>
    </w:p>
    <w:p w14:paraId="7A3FF63F"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Ⅲ.第二次及第三次申請時，需檢附與第一次申請項目相同之各項最近檢查紀錄外，並檢附有改善證明及須持續治療需求之相關資料。且符合下列情況者方得以繼續治療：(109/12/1、112/2/1)</w:t>
      </w:r>
    </w:p>
    <w:p w14:paraId="02D6C01C"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w:t>
      </w:r>
      <w:proofErr w:type="gramStart"/>
      <w:r w:rsidRPr="000A46FE">
        <w:rPr>
          <w:rFonts w:ascii="標楷體" w:eastAsia="標楷體" w:hAnsi="標楷體"/>
          <w:color w:val="000000"/>
        </w:rPr>
        <w:t>患眼最佳</w:t>
      </w:r>
      <w:proofErr w:type="gramEnd"/>
      <w:r w:rsidRPr="000A46FE">
        <w:rPr>
          <w:rFonts w:ascii="標楷體" w:eastAsia="標楷體" w:hAnsi="標楷體"/>
          <w:color w:val="000000"/>
        </w:rPr>
        <w:t>矯正視力與前次申請之治療期間比較有進步至少一行。(109/12/1、112/2/1)</w:t>
      </w:r>
    </w:p>
    <w:p w14:paraId="039490F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ii.彩色眼底照片及OCT(或OCTA)檢查呈現視網膜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血管等病灶與第一次申請之治療期間比較有改善。(112/2/1)</w:t>
      </w:r>
    </w:p>
    <w:p w14:paraId="758A46A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iii.解剖學上仍有疾病活性者(如視網膜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血管等病灶)。(109/12/1、112/2/1)</w:t>
      </w:r>
    </w:p>
    <w:p w14:paraId="54C61761"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iv.ICGA</w:t>
      </w:r>
      <w:proofErr w:type="spellEnd"/>
      <w:r w:rsidRPr="000A46FE">
        <w:rPr>
          <w:rFonts w:ascii="標楷體" w:eastAsia="標楷體" w:hAnsi="標楷體"/>
          <w:color w:val="000000"/>
        </w:rPr>
        <w:t>、FAG事前審查時要求</w:t>
      </w:r>
      <w:proofErr w:type="gramStart"/>
      <w:r w:rsidRPr="000A46FE">
        <w:rPr>
          <w:rFonts w:ascii="標楷體" w:eastAsia="標楷體" w:hAnsi="標楷體"/>
          <w:color w:val="000000"/>
        </w:rPr>
        <w:t>補附才</w:t>
      </w:r>
      <w:proofErr w:type="gramEnd"/>
      <w:r w:rsidRPr="000A46FE">
        <w:rPr>
          <w:rFonts w:ascii="標楷體" w:eastAsia="標楷體" w:hAnsi="標楷體"/>
          <w:color w:val="000000"/>
        </w:rPr>
        <w:t>需檢</w:t>
      </w:r>
      <w:proofErr w:type="gramStart"/>
      <w:r w:rsidRPr="000A46FE">
        <w:rPr>
          <w:rFonts w:ascii="標楷體" w:eastAsia="標楷體" w:hAnsi="標楷體"/>
          <w:color w:val="000000"/>
        </w:rPr>
        <w:t>附</w:t>
      </w:r>
      <w:proofErr w:type="gramEnd"/>
      <w:r w:rsidRPr="000A46FE">
        <w:rPr>
          <w:rFonts w:ascii="標楷體" w:eastAsia="標楷體" w:hAnsi="標楷體"/>
          <w:color w:val="000000"/>
        </w:rPr>
        <w:t>。</w:t>
      </w:r>
    </w:p>
    <w:p w14:paraId="4E7BCC50"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(4)中央視網膜靜脈阻塞(CRVO)續發黃斑部水腫所導致的視力損害：(105/7/1、105/11/1、105/12/1、108/4/1、109/2/1、109/3/1、112/2/1)</w:t>
      </w:r>
    </w:p>
    <w:p w14:paraId="7E59FE5D"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I.限18歲以上患者。</w:t>
      </w:r>
    </w:p>
    <w:p w14:paraId="5D8025CD"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Ⅱ.中央視網膜厚度(central retinal </w:t>
      </w:r>
      <w:proofErr w:type="spellStart"/>
      <w:r w:rsidRPr="000A46FE">
        <w:rPr>
          <w:rFonts w:ascii="標楷體" w:eastAsia="標楷體" w:hAnsi="標楷體"/>
          <w:color w:val="000000"/>
        </w:rPr>
        <w:t>thickness,CRT</w:t>
      </w:r>
      <w:proofErr w:type="spellEnd"/>
      <w:r w:rsidRPr="000A46FE">
        <w:rPr>
          <w:rFonts w:ascii="標楷體" w:eastAsia="標楷體" w:hAnsi="標楷體"/>
          <w:color w:val="000000"/>
        </w:rPr>
        <w: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w:t>
      </w:r>
    </w:p>
    <w:p w14:paraId="18371898"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Ⅲ.第一次申請以5支為限，第二次申請5支，第三次申請4支，每眼給付以14支為限。(105/12/1、112/2/1)</w:t>
      </w:r>
    </w:p>
    <w:p w14:paraId="14B7410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IV.第一次申請治療後，患者治療成果</w:t>
      </w:r>
      <w:proofErr w:type="gramStart"/>
      <w:r w:rsidRPr="000A46FE">
        <w:rPr>
          <w:rFonts w:ascii="標楷體" w:eastAsia="標楷體" w:hAnsi="標楷體"/>
          <w:color w:val="000000"/>
        </w:rPr>
        <w:t>不</w:t>
      </w:r>
      <w:proofErr w:type="gramEnd"/>
      <w:r w:rsidRPr="000A46FE">
        <w:rPr>
          <w:rFonts w:ascii="標楷體" w:eastAsia="標楷體" w:hAnsi="標楷體"/>
          <w:color w:val="000000"/>
        </w:rPr>
        <w:t>彰或對原申請藥物產生不良反應者，得申請更換給付不同作用機轉藥物，申請時需檢送第一次申請資料及再次申請前一個月內有黃斑水腫仍具臨床活性且中央視網膜厚度(central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300μm之相關資料。(109/3/1) </w:t>
      </w:r>
    </w:p>
    <w:p w14:paraId="5545AFA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V.若患者腎功能不全(eGFR＜45mL/min/1.73m2或serum creatinine</w:t>
      </w:r>
      <w:proofErr w:type="gramStart"/>
      <w:r w:rsidRPr="000A46FE">
        <w:rPr>
          <w:rFonts w:ascii="標楷體" w:eastAsia="標楷體" w:hAnsi="標楷體"/>
          <w:color w:val="000000"/>
        </w:rPr>
        <w:t>≧</w:t>
      </w:r>
      <w:proofErr w:type="gramEnd"/>
      <w:r w:rsidRPr="000A46FE">
        <w:rPr>
          <w:rFonts w:ascii="標楷體" w:eastAsia="標楷體" w:hAnsi="標楷體"/>
          <w:color w:val="000000"/>
        </w:rPr>
        <w:t>1.5mg/dL)，或具有藥物過敏史者需檢附相關資料，得檢附足以證明其</w:t>
      </w:r>
      <w:proofErr w:type="gramStart"/>
      <w:r w:rsidRPr="000A46FE">
        <w:rPr>
          <w:rFonts w:ascii="標楷體" w:eastAsia="標楷體" w:hAnsi="標楷體"/>
          <w:color w:val="000000"/>
        </w:rPr>
        <w:t>罹</w:t>
      </w:r>
      <w:proofErr w:type="gramEnd"/>
      <w:r w:rsidRPr="000A46FE">
        <w:rPr>
          <w:rFonts w:ascii="標楷體" w:eastAsia="標楷體" w:hAnsi="標楷體"/>
          <w:color w:val="000000"/>
        </w:rPr>
        <w:t>患疾病之光學共</w:t>
      </w:r>
      <w:proofErr w:type="gramStart"/>
      <w:r w:rsidRPr="000A46FE">
        <w:rPr>
          <w:rFonts w:ascii="標楷體" w:eastAsia="標楷體" w:hAnsi="標楷體"/>
          <w:color w:val="000000"/>
        </w:rPr>
        <w:t>軛</w:t>
      </w:r>
      <w:proofErr w:type="gramEnd"/>
      <w:r w:rsidRPr="000A46FE">
        <w:rPr>
          <w:rFonts w:ascii="標楷體" w:eastAsia="標楷體" w:hAnsi="標楷體"/>
          <w:color w:val="000000"/>
        </w:rPr>
        <w:t xml:space="preserve">斷層血管掃描儀(optical coherence tomography </w:t>
      </w:r>
      <w:proofErr w:type="spellStart"/>
      <w:r w:rsidRPr="000A46FE">
        <w:rPr>
          <w:rFonts w:ascii="標楷體" w:eastAsia="標楷體" w:hAnsi="標楷體"/>
          <w:color w:val="000000"/>
        </w:rPr>
        <w:t>angiography,OCTA</w:t>
      </w:r>
      <w:proofErr w:type="spellEnd"/>
      <w:r w:rsidRPr="000A46FE">
        <w:rPr>
          <w:rFonts w:ascii="標楷體" w:eastAsia="標楷體" w:hAnsi="標楷體"/>
          <w:color w:val="000000"/>
        </w:rPr>
        <w:t>)檢查結果代替FAG資料。(108/4/1)</w:t>
      </w:r>
    </w:p>
    <w:p w14:paraId="6D6FC5BF"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Ⅵ.每人每眼申請更換給付不同作用機轉藥物以一次為限。(109/3/1)</w:t>
      </w:r>
    </w:p>
    <w:p w14:paraId="74021FCD"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Ⅶ.申請更換給付dexamethasone眼後</w:t>
      </w:r>
      <w:proofErr w:type="gramStart"/>
      <w:r w:rsidRPr="000A46FE">
        <w:rPr>
          <w:rFonts w:ascii="標楷體" w:eastAsia="標楷體" w:hAnsi="標楷體"/>
          <w:color w:val="000000"/>
        </w:rPr>
        <w:t>段植入劑者</w:t>
      </w:r>
      <w:proofErr w:type="gramEnd"/>
      <w:r w:rsidRPr="000A46FE">
        <w:rPr>
          <w:rFonts w:ascii="標楷體" w:eastAsia="標楷體" w:hAnsi="標楷體"/>
          <w:color w:val="000000"/>
        </w:rPr>
        <w:t>，以2支為限。(109/3/1)</w:t>
      </w:r>
    </w:p>
    <w:p w14:paraId="108AFF93"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Ⅷ.第二次及第三次申請時，需檢附與第一次申請項目相同之各項最近檢查紀錄外，並檢附有改善證明或須持續治療需求之相關資料。符合下列情況者方得以繼續治療：(112/2/1)</w:t>
      </w:r>
    </w:p>
    <w:p w14:paraId="3F7B66DF"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.最佳矯正視力低於0.8(不含)。(112/2/1)</w:t>
      </w:r>
    </w:p>
    <w:p w14:paraId="7C2642E3"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ii.OCT</w:t>
      </w:r>
      <w:proofErr w:type="spellEnd"/>
      <w:r w:rsidRPr="000A46FE">
        <w:rPr>
          <w:rFonts w:ascii="標楷體" w:eastAsia="標楷體" w:hAnsi="標楷體"/>
          <w:color w:val="000000"/>
        </w:rPr>
        <w:t>檢查仍有黃斑部水腫(central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300μm)，且OCT所測得黃斑中心厚度在治療</w:t>
      </w:r>
      <w:proofErr w:type="gramStart"/>
      <w:r w:rsidRPr="000A46FE">
        <w:rPr>
          <w:rFonts w:ascii="標楷體" w:eastAsia="標楷體" w:hAnsi="標楷體"/>
          <w:color w:val="000000"/>
        </w:rPr>
        <w:t>期間，曾比</w:t>
      </w:r>
      <w:proofErr w:type="gramEnd"/>
      <w:r w:rsidRPr="000A46FE">
        <w:rPr>
          <w:rFonts w:ascii="標楷體" w:eastAsia="標楷體" w:hAnsi="標楷體"/>
          <w:color w:val="000000"/>
        </w:rPr>
        <w:t>前一次申請所測厚度至少減少10%。(112/2/1)</w:t>
      </w:r>
    </w:p>
    <w:p w14:paraId="62E10269"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lastRenderedPageBreak/>
        <w:t>(5)病理性</w:t>
      </w:r>
      <w:proofErr w:type="gramStart"/>
      <w:r w:rsidRPr="000A46FE">
        <w:rPr>
          <w:rFonts w:ascii="標楷體" w:eastAsia="標楷體" w:hAnsi="標楷體"/>
          <w:color w:val="000000"/>
        </w:rPr>
        <w:t>近視續</w:t>
      </w:r>
      <w:proofErr w:type="gramEnd"/>
      <w:r w:rsidRPr="000A46FE">
        <w:rPr>
          <w:rFonts w:ascii="標楷體" w:eastAsia="標楷體" w:hAnsi="標楷體"/>
          <w:color w:val="000000"/>
        </w:rPr>
        <w:t>發的脈絡膜血管新生所導致的視力損害：(105/7/1、105/12/1、106/12/1、109/2/1)</w:t>
      </w:r>
    </w:p>
    <w:p w14:paraId="6D267166"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Ⅰ.限超過600度近視。</w:t>
      </w:r>
    </w:p>
    <w:p w14:paraId="76D94E8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Ⅱ.眼軸長大於26mm。</w:t>
      </w:r>
    </w:p>
    <w:p w14:paraId="09A6E0F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Ⅲ.因CNV病變而導致動態滲漏或中央視網膜內或</w:t>
      </w:r>
      <w:proofErr w:type="gramStart"/>
      <w:r w:rsidRPr="000A46FE">
        <w:rPr>
          <w:rFonts w:ascii="標楷體" w:eastAsia="標楷體" w:hAnsi="標楷體"/>
          <w:color w:val="000000"/>
        </w:rPr>
        <w:t>視網膜下液</w:t>
      </w:r>
      <w:proofErr w:type="gramEnd"/>
      <w:r w:rsidRPr="000A46FE">
        <w:rPr>
          <w:rFonts w:ascii="標楷體" w:eastAsia="標楷體" w:hAnsi="標楷體"/>
          <w:color w:val="000000"/>
        </w:rPr>
        <w:t>。</w:t>
      </w:r>
    </w:p>
    <w:p w14:paraId="62116607"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IV.申請以一次為限，每眼最多給付3支。(109/2/1)</w:t>
      </w:r>
    </w:p>
    <w:p w14:paraId="508415E0"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V.有下列情況者不得申請使用：</w:t>
      </w:r>
    </w:p>
    <w:p w14:paraId="76480B76"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.有中風病史。</w:t>
      </w:r>
    </w:p>
    <w:p w14:paraId="44ECACF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ii.三個月內曾使用過類固醇眼內治療者。</w:t>
      </w:r>
    </w:p>
    <w:p w14:paraId="46B39C27"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(6)分支視網膜靜脈阻塞(BRVO)續發黃斑部水腫所導致的視力損害：(106/12/1、108/4/1、109/2/1、112/2/1)</w:t>
      </w:r>
    </w:p>
    <w:p w14:paraId="737A4EA5"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Ⅰ.限18歲以上患者。</w:t>
      </w:r>
    </w:p>
    <w:p w14:paraId="3627FEE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Ⅱ.第一次申請以3支為限，第二次申請4支，第三次申請2支，每眼給付以9支為限。 (109/2/1、112/2/1)</w:t>
      </w:r>
    </w:p>
    <w:p w14:paraId="376B0AEF"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Ⅲ.中央視網膜厚度(central retinal </w:t>
      </w:r>
      <w:proofErr w:type="spellStart"/>
      <w:r w:rsidRPr="000A46FE">
        <w:rPr>
          <w:rFonts w:ascii="標楷體" w:eastAsia="標楷體" w:hAnsi="標楷體"/>
          <w:color w:val="000000"/>
        </w:rPr>
        <w:t>thickness,CRT</w:t>
      </w:r>
      <w:proofErr w:type="spellEnd"/>
      <w:r w:rsidRPr="000A46FE">
        <w:rPr>
          <w:rFonts w:ascii="標楷體" w:eastAsia="標楷體" w:hAnsi="標楷體"/>
          <w:color w:val="000000"/>
        </w:rPr>
        <w: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w:t>
      </w:r>
    </w:p>
    <w:p w14:paraId="208F47F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IV.若患者腎功能不全(eGFR＜45mL/min/1.73m2或serumcreatinine</w:t>
      </w:r>
      <w:proofErr w:type="gramStart"/>
      <w:r w:rsidRPr="000A46FE">
        <w:rPr>
          <w:rFonts w:ascii="標楷體" w:eastAsia="標楷體" w:hAnsi="標楷體"/>
          <w:color w:val="000000"/>
        </w:rPr>
        <w:t>≧</w:t>
      </w:r>
      <w:proofErr w:type="gramEnd"/>
      <w:r w:rsidRPr="000A46FE">
        <w:rPr>
          <w:rFonts w:ascii="標楷體" w:eastAsia="標楷體" w:hAnsi="標楷體"/>
          <w:color w:val="000000"/>
        </w:rPr>
        <w:t>1.5mg/dL)，或具有藥物過敏史者需檢附相關資料，得檢附足以證明其</w:t>
      </w:r>
      <w:proofErr w:type="gramStart"/>
      <w:r w:rsidRPr="000A46FE">
        <w:rPr>
          <w:rFonts w:ascii="標楷體" w:eastAsia="標楷體" w:hAnsi="標楷體"/>
          <w:color w:val="000000"/>
        </w:rPr>
        <w:t>罹</w:t>
      </w:r>
      <w:proofErr w:type="gramEnd"/>
      <w:r w:rsidRPr="000A46FE">
        <w:rPr>
          <w:rFonts w:ascii="標楷體" w:eastAsia="標楷體" w:hAnsi="標楷體"/>
          <w:color w:val="000000"/>
        </w:rPr>
        <w:t>患疾病之光學共</w:t>
      </w:r>
      <w:proofErr w:type="gramStart"/>
      <w:r w:rsidRPr="000A46FE">
        <w:rPr>
          <w:rFonts w:ascii="標楷體" w:eastAsia="標楷體" w:hAnsi="標楷體"/>
          <w:color w:val="000000"/>
        </w:rPr>
        <w:t>軛</w:t>
      </w:r>
      <w:proofErr w:type="gramEnd"/>
      <w:r w:rsidRPr="000A46FE">
        <w:rPr>
          <w:rFonts w:ascii="標楷體" w:eastAsia="標楷體" w:hAnsi="標楷體"/>
          <w:color w:val="000000"/>
        </w:rPr>
        <w:t>斷層血管掃描儀(optical coherence tomography angiography, OCTA)檢查結果代替FAG資料。(108/4/1)</w:t>
      </w:r>
    </w:p>
    <w:p w14:paraId="33C7CF94"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Ⅴ.第二次及第三次申請時，需檢附與第一次申請項目相同之各項最近檢查紀錄外，並檢送使用後有改善證明之相關資料。符合下列情況者方得以繼續治療：(112/2/1)</w:t>
      </w:r>
    </w:p>
    <w:p w14:paraId="1373313E"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.最佳矯正視力低於0.8(不含)。(112/2/1)</w:t>
      </w:r>
    </w:p>
    <w:p w14:paraId="4534CE25"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ii.OCT</w:t>
      </w:r>
      <w:proofErr w:type="spellEnd"/>
      <w:r w:rsidRPr="000A46FE">
        <w:rPr>
          <w:rFonts w:ascii="標楷體" w:eastAsia="標楷體" w:hAnsi="標楷體"/>
          <w:color w:val="000000"/>
        </w:rPr>
        <w:t>檢查仍有黃斑部水腫(central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300μm)，且OCT所測得黃斑中心厚度在治療</w:t>
      </w:r>
      <w:proofErr w:type="gramStart"/>
      <w:r w:rsidRPr="000A46FE">
        <w:rPr>
          <w:rFonts w:ascii="標楷體" w:eastAsia="標楷體" w:hAnsi="標楷體"/>
          <w:color w:val="000000"/>
        </w:rPr>
        <w:t>期間，曾比</w:t>
      </w:r>
      <w:proofErr w:type="gramEnd"/>
      <w:r w:rsidRPr="000A46FE">
        <w:rPr>
          <w:rFonts w:ascii="標楷體" w:eastAsia="標楷體" w:hAnsi="標楷體"/>
          <w:color w:val="000000"/>
        </w:rPr>
        <w:t>前一次申請所測厚度至少減少10%。(112/2/1)</w:t>
      </w:r>
    </w:p>
    <w:p w14:paraId="15D54B3E"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備註1:DME、CRVO、CNV及BRVO事前審查申請表以附表二十九之</w:t>
      </w:r>
      <w:proofErr w:type="gramStart"/>
      <w:r w:rsidRPr="000A46FE">
        <w:rPr>
          <w:rFonts w:ascii="標楷體" w:eastAsia="標楷體" w:hAnsi="標楷體"/>
          <w:color w:val="000000"/>
        </w:rPr>
        <w:t>一</w:t>
      </w:r>
      <w:proofErr w:type="gramEnd"/>
      <w:r w:rsidRPr="000A46FE">
        <w:rPr>
          <w:rFonts w:ascii="標楷體" w:eastAsia="標楷體" w:hAnsi="標楷體"/>
          <w:color w:val="000000"/>
        </w:rPr>
        <w:t>。(109/12/1</w:t>
      </w:r>
      <w:r w:rsidRPr="000A46FE">
        <w:rPr>
          <w:rFonts w:ascii="標楷體" w:eastAsia="標楷體" w:hAnsi="標楷體" w:hint="eastAsia"/>
          <w:color w:val="000000"/>
        </w:rPr>
        <w:t>、</w:t>
      </w:r>
      <w:r w:rsidRPr="000A46FE">
        <w:rPr>
          <w:rFonts w:ascii="標楷體" w:eastAsia="標楷體" w:hAnsi="標楷體"/>
          <w:color w:val="000000"/>
        </w:rPr>
        <w:t>115/5/1)</w:t>
      </w:r>
    </w:p>
    <w:p w14:paraId="0950D9F4" w14:textId="32B44F48" w:rsidR="00401786"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備註2:wAMD及PCV事前審查申請表以附表二十九之二。(109/12/1</w:t>
      </w:r>
      <w:r w:rsidRPr="000A46FE">
        <w:rPr>
          <w:rFonts w:ascii="標楷體" w:eastAsia="標楷體" w:hAnsi="標楷體" w:hint="eastAsia"/>
          <w:color w:val="000000"/>
        </w:rPr>
        <w:t>、</w:t>
      </w:r>
      <w:r w:rsidRPr="000A46FE">
        <w:rPr>
          <w:rFonts w:ascii="標楷體" w:eastAsia="標楷體" w:hAnsi="標楷體"/>
          <w:color w:val="000000"/>
        </w:rPr>
        <w:t>115/5/1)</w:t>
      </w:r>
    </w:p>
    <w:p w14:paraId="7DC6284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14.9.3.Cyclosporine眼用製劑 (如Restasis)  (100/08/1、103/4/1、105/5/1) (附表二十七)</w:t>
      </w:r>
    </w:p>
    <w:p w14:paraId="36030B73" w14:textId="77777777" w:rsidR="00401786" w:rsidRDefault="00C64FB3" w:rsidP="0009639E">
      <w:pPr>
        <w:spacing w:line="300" w:lineRule="exact"/>
        <w:ind w:left="798" w:hanging="1"/>
        <w:rPr>
          <w:rFonts w:ascii="標楷體" w:eastAsia="標楷體" w:hAnsi="標楷體"/>
          <w:color w:val="000000"/>
        </w:rPr>
      </w:pPr>
      <w:proofErr w:type="gramStart"/>
      <w:r>
        <w:rPr>
          <w:rFonts w:ascii="標楷體" w:eastAsia="標楷體" w:hAnsi="標楷體"/>
          <w:color w:val="000000"/>
        </w:rPr>
        <w:t>限乾眼</w:t>
      </w:r>
      <w:proofErr w:type="gramEnd"/>
      <w:r>
        <w:rPr>
          <w:rFonts w:ascii="標楷體" w:eastAsia="標楷體" w:hAnsi="標楷體"/>
          <w:color w:val="000000"/>
        </w:rPr>
        <w:t>症嚴重程度為Level 3以上且符合下列各項條件之病患使用：(103/4/1、105/5/1)</w:t>
      </w:r>
    </w:p>
    <w:p w14:paraId="2DDAF95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1.淚液分泌測試（Schirmer’s test without anesthesia）少於5mm/5min，需附檢查試紙。(103/4/1、105/5/1)</w:t>
      </w:r>
    </w:p>
    <w:p w14:paraId="449C722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淚膜崩裂</w:t>
      </w:r>
      <w:proofErr w:type="gramEnd"/>
      <w:r>
        <w:rPr>
          <w:rFonts w:ascii="標楷體" w:eastAsia="標楷體" w:hAnsi="標楷體"/>
          <w:color w:val="000000"/>
        </w:rPr>
        <w:t>時間（Tear Film Break-Up Time）小於或等於5秒。(103/4/1、105/5/1)</w:t>
      </w:r>
    </w:p>
    <w:p w14:paraId="40D3D2B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3.送審時需檢附</w:t>
      </w:r>
      <w:proofErr w:type="gramStart"/>
      <w:r>
        <w:rPr>
          <w:rFonts w:ascii="標楷體" w:eastAsia="標楷體" w:hAnsi="標楷體"/>
          <w:color w:val="000000"/>
        </w:rPr>
        <w:t>彩色外眼照片</w:t>
      </w:r>
      <w:proofErr w:type="gramEnd"/>
      <w:r>
        <w:rPr>
          <w:rFonts w:ascii="標楷體" w:eastAsia="標楷體" w:hAnsi="標楷體"/>
          <w:color w:val="000000"/>
        </w:rPr>
        <w:t>及螢光染色之照片(顯示有嚴重角膜點狀上皮缺損，結膜充血染色且有絲狀角膜炎，角膜潰瘍，或眼瞼結膜粘連，角膜結膜角質化之情形)。</w:t>
      </w:r>
    </w:p>
    <w:p w14:paraId="194808E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4.曾使用局部抗發炎藥物</w:t>
      </w:r>
      <w:proofErr w:type="gramStart"/>
      <w:r>
        <w:rPr>
          <w:rFonts w:ascii="標楷體" w:eastAsia="標楷體" w:hAnsi="標楷體"/>
          <w:color w:val="000000"/>
        </w:rPr>
        <w:t>或淚點塞或</w:t>
      </w:r>
      <w:proofErr w:type="gramEnd"/>
      <w:r>
        <w:rPr>
          <w:rFonts w:ascii="標楷體" w:eastAsia="標楷體" w:hAnsi="標楷體"/>
          <w:color w:val="000000"/>
        </w:rPr>
        <w:t>人工淚液未見改善。(105/5/1)</w:t>
      </w:r>
    </w:p>
    <w:p w14:paraId="7B897B5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5.須經事前審查核准後使用，六個月審查一次。病人必須符合下列條件，方能續用：(105/5/1)</w:t>
      </w:r>
    </w:p>
    <w:p w14:paraId="644EF155"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(1)主述症狀改善：乾澀、畏光或產生眼睛分泌物。</w:t>
      </w:r>
    </w:p>
    <w:p w14:paraId="438D339A"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(2)合併以下任</w:t>
      </w:r>
      <w:proofErr w:type="gramStart"/>
      <w:r>
        <w:rPr>
          <w:rFonts w:ascii="標楷體" w:eastAsia="標楷體" w:hAnsi="標楷體"/>
          <w:color w:val="000000"/>
        </w:rPr>
        <w:t>一</w:t>
      </w:r>
      <w:proofErr w:type="gramEnd"/>
      <w:r>
        <w:rPr>
          <w:rFonts w:ascii="標楷體" w:eastAsia="標楷體" w:hAnsi="標楷體"/>
          <w:color w:val="000000"/>
        </w:rPr>
        <w:t>條件改善：</w:t>
      </w:r>
    </w:p>
    <w:p w14:paraId="1B01801A" w14:textId="77777777" w:rsidR="00401786" w:rsidRDefault="00C64FB3" w:rsidP="0009639E">
      <w:pPr>
        <w:spacing w:line="300" w:lineRule="exact"/>
        <w:ind w:left="1416" w:hanging="283"/>
        <w:rPr>
          <w:rFonts w:ascii="標楷體" w:eastAsia="標楷體" w:hAnsi="標楷體"/>
          <w:color w:val="000000"/>
        </w:rPr>
      </w:pPr>
      <w:r>
        <w:rPr>
          <w:rFonts w:ascii="標楷體" w:eastAsia="標楷體" w:hAnsi="標楷體"/>
          <w:color w:val="000000"/>
        </w:rPr>
        <w:t>Ⅰ淚液分泌測試。</w:t>
      </w:r>
    </w:p>
    <w:p w14:paraId="239C212A" w14:textId="77777777" w:rsidR="00401786" w:rsidRDefault="00C64FB3" w:rsidP="0009639E">
      <w:pPr>
        <w:spacing w:line="300" w:lineRule="exact"/>
        <w:ind w:left="1416" w:hanging="283"/>
        <w:rPr>
          <w:rFonts w:ascii="標楷體" w:eastAsia="標楷體" w:hAnsi="標楷體"/>
          <w:color w:val="000000"/>
        </w:rPr>
      </w:pPr>
      <w:proofErr w:type="gramStart"/>
      <w:r>
        <w:rPr>
          <w:rFonts w:ascii="標楷體" w:eastAsia="標楷體" w:hAnsi="標楷體"/>
          <w:color w:val="000000"/>
        </w:rPr>
        <w:t>Ⅱ淚膜</w:t>
      </w:r>
      <w:proofErr w:type="gramEnd"/>
      <w:r>
        <w:rPr>
          <w:rFonts w:ascii="標楷體" w:eastAsia="標楷體" w:hAnsi="標楷體"/>
          <w:color w:val="000000"/>
        </w:rPr>
        <w:t>崩裂時間。</w:t>
      </w:r>
    </w:p>
    <w:p w14:paraId="37B1192E" w14:textId="77777777" w:rsidR="00401786" w:rsidRDefault="00C64FB3" w:rsidP="0009639E">
      <w:pPr>
        <w:spacing w:line="300" w:lineRule="exact"/>
        <w:ind w:left="1416" w:hanging="283"/>
        <w:rPr>
          <w:rFonts w:ascii="標楷體" w:eastAsia="標楷體" w:hAnsi="標楷體"/>
          <w:color w:val="000000"/>
        </w:rPr>
      </w:pPr>
      <w:r>
        <w:rPr>
          <w:rFonts w:ascii="標楷體" w:eastAsia="標楷體" w:hAnsi="標楷體"/>
          <w:color w:val="000000"/>
        </w:rPr>
        <w:t>Ⅲ角膜病變-螢光染色照片。</w:t>
      </w:r>
    </w:p>
    <w:p w14:paraId="201FDA25" w14:textId="77777777" w:rsidR="00401786" w:rsidRDefault="00C64FB3" w:rsidP="0009639E">
      <w:pPr>
        <w:spacing w:line="300" w:lineRule="exact"/>
        <w:ind w:left="1416" w:hanging="283"/>
        <w:rPr>
          <w:rFonts w:ascii="標楷體" w:eastAsia="標楷體" w:hAnsi="標楷體"/>
          <w:color w:val="000000"/>
        </w:rPr>
      </w:pPr>
      <w:r>
        <w:rPr>
          <w:rFonts w:ascii="標楷體" w:eastAsia="標楷體" w:hAnsi="標楷體"/>
          <w:color w:val="000000"/>
        </w:rPr>
        <w:t>Ⅳ結膜充血或結膜染色-症狀改善。</w:t>
      </w:r>
    </w:p>
    <w:p w14:paraId="11241F3B" w14:textId="77777777" w:rsidR="00346ADE" w:rsidRPr="00346ADE" w:rsidRDefault="00346ADE" w:rsidP="00F06183">
      <w:pPr>
        <w:spacing w:line="300" w:lineRule="exact"/>
        <w:ind w:left="851" w:hanging="567"/>
        <w:rPr>
          <w:rFonts w:ascii="標楷體" w:eastAsia="標楷體" w:hAnsi="標楷體"/>
          <w:color w:val="000000"/>
        </w:rPr>
      </w:pPr>
      <w:r w:rsidRPr="00346ADE">
        <w:rPr>
          <w:rFonts w:ascii="標楷體" w:eastAsia="標楷體" w:hAnsi="標楷體"/>
          <w:color w:val="000000"/>
        </w:rPr>
        <w:t>14.9.4.Dexamethasone intravitreal implant (如</w:t>
      </w:r>
      <w:proofErr w:type="spellStart"/>
      <w:r w:rsidRPr="00346ADE">
        <w:rPr>
          <w:rFonts w:ascii="標楷體" w:eastAsia="標楷體" w:hAnsi="標楷體"/>
          <w:color w:val="000000"/>
        </w:rPr>
        <w:t>Ozurdex</w:t>
      </w:r>
      <w:proofErr w:type="spellEnd"/>
      <w:r w:rsidRPr="00346ADE">
        <w:rPr>
          <w:rFonts w:ascii="標楷體" w:eastAsia="標楷體" w:hAnsi="標楷體"/>
          <w:color w:val="000000"/>
        </w:rPr>
        <w:t>) (104/05/1、105/8/1、</w:t>
      </w:r>
      <w:r w:rsidRPr="00346ADE">
        <w:rPr>
          <w:rFonts w:ascii="標楷體" w:eastAsia="標楷體" w:hAnsi="標楷體"/>
          <w:color w:val="000000"/>
        </w:rPr>
        <w:lastRenderedPageBreak/>
        <w:t>106/4/1、108/4/1、109/2/1、109/3/1</w:t>
      </w:r>
      <w:r w:rsidRPr="00346ADE">
        <w:rPr>
          <w:rFonts w:ascii="標楷體" w:eastAsia="標楷體" w:hAnsi="標楷體" w:hint="eastAsia"/>
          <w:color w:val="000000"/>
        </w:rPr>
        <w:t>、115/6/1</w:t>
      </w:r>
      <w:r w:rsidRPr="00346ADE">
        <w:rPr>
          <w:rFonts w:ascii="標楷體" w:eastAsia="標楷體" w:hAnsi="標楷體"/>
          <w:color w:val="000000"/>
        </w:rPr>
        <w:t>)</w:t>
      </w:r>
    </w:p>
    <w:p w14:paraId="31CEC405" w14:textId="77777777" w:rsidR="00346ADE" w:rsidRPr="00346ADE" w:rsidRDefault="00346ADE" w:rsidP="00772C9E">
      <w:pPr>
        <w:spacing w:line="300" w:lineRule="exact"/>
        <w:ind w:left="1021" w:hanging="454"/>
        <w:rPr>
          <w:rFonts w:ascii="標楷體" w:eastAsia="標楷體" w:hAnsi="標楷體"/>
          <w:color w:val="000000"/>
        </w:rPr>
      </w:pPr>
      <w:r w:rsidRPr="00346ADE">
        <w:rPr>
          <w:rFonts w:ascii="標楷體" w:eastAsia="標楷體" w:hAnsi="標楷體"/>
          <w:color w:val="000000"/>
        </w:rPr>
        <w:t>1.限眼科專科醫師施行。(109/2/1)</w:t>
      </w:r>
    </w:p>
    <w:p w14:paraId="6442C663" w14:textId="77777777" w:rsidR="00346ADE" w:rsidRPr="00346ADE" w:rsidRDefault="00346ADE" w:rsidP="00772C9E">
      <w:pPr>
        <w:spacing w:line="300" w:lineRule="exact"/>
        <w:ind w:left="851" w:hanging="284"/>
        <w:rPr>
          <w:rFonts w:ascii="標楷體" w:eastAsia="標楷體" w:hAnsi="標楷體"/>
          <w:color w:val="000000"/>
        </w:rPr>
      </w:pPr>
      <w:r w:rsidRPr="00346ADE">
        <w:rPr>
          <w:rFonts w:ascii="標楷體" w:eastAsia="標楷體" w:hAnsi="標楷體"/>
          <w:color w:val="000000"/>
        </w:rPr>
        <w:t>2.須於第一次申請核准後5年內使用完畢。(109/2/1)</w:t>
      </w:r>
    </w:p>
    <w:p w14:paraId="70C1A43F" w14:textId="77777777" w:rsidR="00346ADE" w:rsidRPr="00346ADE" w:rsidRDefault="00346ADE" w:rsidP="00772C9E">
      <w:pPr>
        <w:spacing w:line="300" w:lineRule="exact"/>
        <w:ind w:left="851" w:hanging="284"/>
        <w:rPr>
          <w:rFonts w:ascii="標楷體" w:eastAsia="標楷體" w:hAnsi="標楷體"/>
          <w:color w:val="000000"/>
        </w:rPr>
      </w:pPr>
      <w:r w:rsidRPr="00346ADE">
        <w:rPr>
          <w:rFonts w:ascii="標楷體" w:eastAsia="標楷體" w:hAnsi="標楷體"/>
          <w:color w:val="000000"/>
        </w:rPr>
        <w:t>3.用於非</w:t>
      </w:r>
      <w:proofErr w:type="gramStart"/>
      <w:r w:rsidRPr="00346ADE">
        <w:rPr>
          <w:rFonts w:ascii="標楷體" w:eastAsia="標楷體" w:hAnsi="標楷體"/>
          <w:color w:val="000000"/>
        </w:rPr>
        <w:t>感染性眼後</w:t>
      </w:r>
      <w:proofErr w:type="gramEnd"/>
      <w:r w:rsidRPr="00346ADE">
        <w:rPr>
          <w:rFonts w:ascii="標楷體" w:eastAsia="標楷體" w:hAnsi="標楷體"/>
          <w:color w:val="000000"/>
        </w:rPr>
        <w:t>房</w:t>
      </w:r>
      <w:proofErr w:type="gramStart"/>
      <w:r w:rsidRPr="00346ADE">
        <w:rPr>
          <w:rFonts w:ascii="標楷體" w:eastAsia="標楷體" w:hAnsi="標楷體"/>
          <w:color w:val="000000"/>
        </w:rPr>
        <w:t>葡萄膜炎病人</w:t>
      </w:r>
      <w:proofErr w:type="gramEnd"/>
      <w:r w:rsidRPr="00346ADE">
        <w:rPr>
          <w:rFonts w:ascii="標楷體" w:eastAsia="標楷體" w:hAnsi="標楷體"/>
          <w:color w:val="000000"/>
        </w:rPr>
        <w:t>，需符合下列條件：</w:t>
      </w:r>
    </w:p>
    <w:p w14:paraId="4FC6EE63" w14:textId="77777777" w:rsidR="00346ADE" w:rsidRPr="00346ADE" w:rsidRDefault="00346ADE" w:rsidP="00F06183">
      <w:pPr>
        <w:spacing w:line="300" w:lineRule="exact"/>
        <w:ind w:left="1133" w:hanging="425"/>
        <w:rPr>
          <w:rFonts w:ascii="標楷體" w:eastAsia="標楷體" w:hAnsi="標楷體"/>
          <w:color w:val="000000"/>
        </w:rPr>
      </w:pPr>
      <w:r w:rsidRPr="00346ADE">
        <w:rPr>
          <w:rFonts w:ascii="標楷體" w:eastAsia="標楷體" w:hAnsi="標楷體"/>
          <w:color w:val="000000"/>
        </w:rPr>
        <w:t>(1)限地區醫院以上層級(含)施行。(109/2/1)</w:t>
      </w:r>
    </w:p>
    <w:p w14:paraId="1DB41C37" w14:textId="77777777" w:rsidR="00346ADE" w:rsidRPr="00346ADE" w:rsidRDefault="00346ADE" w:rsidP="00F06183">
      <w:pPr>
        <w:spacing w:line="300" w:lineRule="exact"/>
        <w:ind w:left="1133" w:hanging="425"/>
        <w:rPr>
          <w:rFonts w:ascii="標楷體" w:eastAsia="標楷體" w:hAnsi="標楷體"/>
          <w:color w:val="000000"/>
        </w:rPr>
      </w:pPr>
      <w:r w:rsidRPr="00346ADE">
        <w:rPr>
          <w:rFonts w:ascii="標楷體" w:eastAsia="標楷體" w:hAnsi="標楷體"/>
          <w:color w:val="000000"/>
        </w:rPr>
        <w:t>(2)</w:t>
      </w:r>
      <w:r w:rsidRPr="00346ADE">
        <w:rPr>
          <w:rFonts w:ascii="標楷體" w:eastAsia="標楷體" w:hAnsi="標楷體" w:hint="eastAsia"/>
          <w:color w:val="000000"/>
        </w:rPr>
        <w:t>必須排除下列情況：</w:t>
      </w:r>
    </w:p>
    <w:p w14:paraId="21AB3210" w14:textId="1ADB54CD" w:rsidR="00346ADE" w:rsidRPr="00346ADE" w:rsidRDefault="00F06183" w:rsidP="00F06183">
      <w:pPr>
        <w:spacing w:line="300" w:lineRule="exact"/>
        <w:ind w:left="1560" w:hanging="567"/>
        <w:rPr>
          <w:rFonts w:ascii="標楷體" w:eastAsia="標楷體" w:hAnsi="標楷體"/>
          <w:color w:val="000000"/>
        </w:rPr>
      </w:pPr>
      <w:r w:rsidRPr="00346ADE">
        <w:rPr>
          <w:rFonts w:ascii="標楷體" w:eastAsia="標楷體" w:hAnsi="標楷體"/>
          <w:color w:val="000000"/>
        </w:rPr>
        <w:t>Ⅰ</w:t>
      </w:r>
      <w:r w:rsidR="00346ADE" w:rsidRPr="00346ADE">
        <w:rPr>
          <w:rFonts w:ascii="標楷體" w:eastAsia="標楷體" w:hAnsi="標楷體" w:hint="eastAsia"/>
          <w:color w:val="000000"/>
        </w:rPr>
        <w:t>.因感染性引起之眼後房葡萄</w:t>
      </w:r>
      <w:proofErr w:type="gramStart"/>
      <w:r w:rsidR="00346ADE" w:rsidRPr="00346ADE">
        <w:rPr>
          <w:rFonts w:ascii="標楷體" w:eastAsia="標楷體" w:hAnsi="標楷體" w:hint="eastAsia"/>
          <w:color w:val="000000"/>
        </w:rPr>
        <w:t>膜炎如</w:t>
      </w:r>
      <w:proofErr w:type="gramEnd"/>
      <w:r w:rsidR="00346ADE" w:rsidRPr="00346ADE">
        <w:rPr>
          <w:rFonts w:ascii="標楷體" w:eastAsia="標楷體" w:hAnsi="標楷體" w:hint="eastAsia"/>
          <w:color w:val="000000"/>
        </w:rPr>
        <w:t>肺結核、梅毒、</w:t>
      </w:r>
      <w:proofErr w:type="gramStart"/>
      <w:r w:rsidR="00346ADE" w:rsidRPr="00346ADE">
        <w:rPr>
          <w:rFonts w:ascii="標楷體" w:eastAsia="標楷體" w:hAnsi="標楷體" w:hint="eastAsia"/>
          <w:color w:val="000000"/>
        </w:rPr>
        <w:t>弓漿蟲</w:t>
      </w:r>
      <w:proofErr w:type="gramEnd"/>
      <w:r w:rsidR="00346ADE" w:rsidRPr="00346ADE">
        <w:rPr>
          <w:rFonts w:ascii="標楷體" w:eastAsia="標楷體" w:hAnsi="標楷體" w:hint="eastAsia"/>
          <w:color w:val="000000"/>
        </w:rPr>
        <w:t>等之感染。</w:t>
      </w:r>
    </w:p>
    <w:p w14:paraId="3FAC5F9D" w14:textId="5923910A" w:rsidR="00346ADE" w:rsidRPr="00346ADE" w:rsidRDefault="00F06183" w:rsidP="00F06183">
      <w:pPr>
        <w:tabs>
          <w:tab w:val="left" w:pos="1418"/>
        </w:tabs>
        <w:spacing w:line="300" w:lineRule="exact"/>
        <w:ind w:left="1276" w:hanging="283"/>
        <w:rPr>
          <w:rFonts w:ascii="標楷體" w:eastAsia="標楷體" w:hAnsi="標楷體"/>
          <w:color w:val="000000"/>
        </w:rPr>
      </w:pPr>
      <w:r w:rsidRPr="00F06183">
        <w:rPr>
          <w:rFonts w:ascii="標楷體" w:eastAsia="標楷體" w:hAnsi="標楷體" w:hint="eastAsia"/>
          <w:color w:val="000000"/>
        </w:rPr>
        <w:t>Ⅱ</w:t>
      </w:r>
      <w:r w:rsidR="00346ADE" w:rsidRPr="00346ADE">
        <w:rPr>
          <w:rFonts w:ascii="標楷體" w:eastAsia="標楷體" w:hAnsi="標楷體" w:hint="eastAsia"/>
          <w:color w:val="000000"/>
        </w:rPr>
        <w:t>.使用類固醇時或第一次申請dexamethasone intravitreal implant使用後，致不可控制的高眼壓青光眼。(115/6/1)</w:t>
      </w:r>
      <w:r w:rsidR="00346ADE" w:rsidRPr="00346ADE">
        <w:rPr>
          <w:rFonts w:ascii="標楷體" w:eastAsia="標楷體" w:hAnsi="標楷體"/>
          <w:color w:val="000000"/>
        </w:rPr>
        <w:t xml:space="preserve"> </w:t>
      </w:r>
    </w:p>
    <w:p w14:paraId="52DCCEAB" w14:textId="7C763D81" w:rsidR="00346ADE" w:rsidRPr="00346ADE" w:rsidRDefault="00346ADE" w:rsidP="00F06183">
      <w:pPr>
        <w:spacing w:line="300" w:lineRule="exact"/>
        <w:ind w:left="851" w:hanging="142"/>
        <w:rPr>
          <w:rFonts w:ascii="標楷體" w:eastAsia="標楷體" w:hAnsi="標楷體"/>
          <w:color w:val="000000"/>
        </w:rPr>
      </w:pPr>
      <w:r w:rsidRPr="00346ADE">
        <w:rPr>
          <w:rFonts w:ascii="標楷體" w:eastAsia="標楷體" w:hAnsi="標楷體"/>
          <w:color w:val="000000"/>
        </w:rPr>
        <w:t>(3)</w:t>
      </w:r>
      <w:r w:rsidRPr="00346ADE">
        <w:rPr>
          <w:rFonts w:ascii="標楷體" w:eastAsia="標楷體" w:hAnsi="標楷體" w:hint="eastAsia"/>
          <w:color w:val="000000"/>
        </w:rPr>
        <w:t>矯正後視力介於0.05和0.5(含)之間。(104/5/1、115/6/1)</w:t>
      </w:r>
    </w:p>
    <w:p w14:paraId="7BF15EA5"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(4)需符合下列治療方式之</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w:t>
      </w:r>
    </w:p>
    <w:p w14:paraId="75C8C8B0" w14:textId="77777777" w:rsidR="00346ADE" w:rsidRPr="00346ADE" w:rsidRDefault="00346ADE" w:rsidP="00F06183">
      <w:pPr>
        <w:spacing w:line="300" w:lineRule="exact"/>
        <w:ind w:left="1418" w:hanging="425"/>
        <w:rPr>
          <w:rFonts w:ascii="標楷體" w:eastAsia="標楷體" w:hAnsi="標楷體"/>
          <w:color w:val="000000"/>
        </w:rPr>
      </w:pPr>
      <w:bookmarkStart w:id="91" w:name="_Hlk235454278"/>
      <w:r w:rsidRPr="00346ADE">
        <w:rPr>
          <w:rFonts w:ascii="標楷體" w:eastAsia="標楷體" w:hAnsi="標楷體"/>
          <w:color w:val="000000"/>
        </w:rPr>
        <w:t>Ⅰ</w:t>
      </w:r>
      <w:bookmarkEnd w:id="91"/>
      <w:r w:rsidRPr="00346ADE">
        <w:rPr>
          <w:rFonts w:ascii="標楷體" w:eastAsia="標楷體" w:hAnsi="標楷體"/>
          <w:color w:val="000000"/>
        </w:rPr>
        <w:t>.</w:t>
      </w:r>
      <w:proofErr w:type="gramStart"/>
      <w:r w:rsidRPr="00346ADE">
        <w:rPr>
          <w:rFonts w:ascii="標楷體" w:eastAsia="標楷體" w:hAnsi="標楷體"/>
          <w:color w:val="000000"/>
        </w:rPr>
        <w:t>葡萄膜炎之</w:t>
      </w:r>
      <w:proofErr w:type="gramEnd"/>
      <w:r w:rsidRPr="00346ADE">
        <w:rPr>
          <w:rFonts w:ascii="標楷體" w:eastAsia="標楷體" w:hAnsi="標楷體"/>
          <w:color w:val="000000"/>
        </w:rPr>
        <w:t>患者以口服類固醇控制病情，反應不良或仍有發炎與黃斑部水腫者，</w:t>
      </w:r>
      <w:proofErr w:type="gramStart"/>
      <w:r w:rsidRPr="00346ADE">
        <w:rPr>
          <w:rFonts w:ascii="標楷體" w:eastAsia="標楷體" w:hAnsi="標楷體"/>
          <w:color w:val="000000"/>
        </w:rPr>
        <w:t>需輔以</w:t>
      </w:r>
      <w:proofErr w:type="gramEnd"/>
      <w:r w:rsidRPr="00346ADE">
        <w:rPr>
          <w:rFonts w:ascii="標楷體" w:eastAsia="標楷體" w:hAnsi="標楷體"/>
          <w:color w:val="000000"/>
        </w:rPr>
        <w:t>cyclosporin或其他全身性免疫抑制劑，經前述治療眼睛發炎仍無法控制者。</w:t>
      </w:r>
    </w:p>
    <w:p w14:paraId="32C805BE" w14:textId="77777777" w:rsidR="00346ADE" w:rsidRPr="00346ADE" w:rsidRDefault="00346ADE" w:rsidP="00F06183">
      <w:pPr>
        <w:spacing w:line="300" w:lineRule="exact"/>
        <w:ind w:left="1483" w:hanging="490"/>
        <w:rPr>
          <w:rFonts w:ascii="標楷體" w:eastAsia="標楷體" w:hAnsi="標楷體"/>
          <w:color w:val="000000"/>
        </w:rPr>
      </w:pPr>
      <w:bookmarkStart w:id="92" w:name="_Hlk235454171"/>
      <w:r w:rsidRPr="00346ADE">
        <w:rPr>
          <w:rFonts w:ascii="標楷體" w:eastAsia="標楷體" w:hAnsi="標楷體"/>
          <w:color w:val="000000"/>
        </w:rPr>
        <w:t>Ⅱ</w:t>
      </w:r>
      <w:bookmarkEnd w:id="92"/>
      <w:r w:rsidRPr="00346ADE">
        <w:rPr>
          <w:rFonts w:ascii="標楷體" w:eastAsia="標楷體" w:hAnsi="標楷體"/>
          <w:color w:val="000000"/>
        </w:rPr>
        <w:t>.</w:t>
      </w:r>
      <w:r w:rsidRPr="00346ADE">
        <w:rPr>
          <w:rFonts w:ascii="標楷體" w:eastAsia="標楷體" w:hAnsi="標楷體" w:hint="eastAsia"/>
          <w:color w:val="000000"/>
        </w:rPr>
        <w:t>無法口服全身性藥物(例如：類固醇)控制者：(104/5/1、115/6/1)</w:t>
      </w:r>
    </w:p>
    <w:p w14:paraId="3E9122F7" w14:textId="77777777" w:rsidR="00346ADE" w:rsidRPr="00346ADE" w:rsidRDefault="00346ADE" w:rsidP="00F06183">
      <w:pPr>
        <w:spacing w:line="300" w:lineRule="exact"/>
        <w:ind w:left="1483" w:hanging="349"/>
        <w:rPr>
          <w:rFonts w:ascii="標楷體" w:eastAsia="標楷體" w:hAnsi="標楷體"/>
          <w:color w:val="000000"/>
        </w:rPr>
      </w:pPr>
      <w:proofErr w:type="spellStart"/>
      <w:r w:rsidRPr="00346ADE">
        <w:rPr>
          <w:rFonts w:ascii="標楷體" w:eastAsia="標楷體" w:hAnsi="標楷體"/>
          <w:color w:val="000000"/>
        </w:rPr>
        <w:t>i</w:t>
      </w:r>
      <w:proofErr w:type="spellEnd"/>
      <w:r w:rsidRPr="00346ADE">
        <w:rPr>
          <w:rFonts w:ascii="標楷體" w:eastAsia="標楷體" w:hAnsi="標楷體"/>
          <w:color w:val="000000"/>
        </w:rPr>
        <w:t>.懷孕或</w:t>
      </w:r>
      <w:proofErr w:type="gramStart"/>
      <w:r w:rsidRPr="00346ADE">
        <w:rPr>
          <w:rFonts w:ascii="標楷體" w:eastAsia="標楷體" w:hAnsi="標楷體"/>
          <w:color w:val="000000"/>
        </w:rPr>
        <w:t>正在授乳的</w:t>
      </w:r>
      <w:proofErr w:type="gramEnd"/>
      <w:r w:rsidRPr="00346ADE">
        <w:rPr>
          <w:rFonts w:ascii="標楷體" w:eastAsia="標楷體" w:hAnsi="標楷體"/>
          <w:color w:val="000000"/>
        </w:rPr>
        <w:t>婦女。</w:t>
      </w:r>
    </w:p>
    <w:p w14:paraId="60F72882"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ii.</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患活動性的感染症的病患。</w:t>
      </w:r>
    </w:p>
    <w:p w14:paraId="04D9E7B6" w14:textId="77777777" w:rsidR="00346ADE" w:rsidRPr="00346ADE" w:rsidRDefault="00346ADE" w:rsidP="00F06183">
      <w:pPr>
        <w:spacing w:line="300" w:lineRule="exact"/>
        <w:ind w:left="1483" w:hanging="632"/>
        <w:rPr>
          <w:rFonts w:ascii="標楷體" w:eastAsia="標楷體" w:hAnsi="標楷體"/>
          <w:color w:val="000000"/>
        </w:rPr>
      </w:pPr>
      <w:r w:rsidRPr="00346ADE">
        <w:rPr>
          <w:rFonts w:ascii="標楷體" w:eastAsia="標楷體" w:hAnsi="標楷體"/>
          <w:color w:val="000000"/>
        </w:rPr>
        <w:t>iii.身上帶有人工關節者，</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患或先前曾</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患過嚴重的敗血症(sepsis)者。</w:t>
      </w:r>
    </w:p>
    <w:p w14:paraId="369AD47C"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iv.惡性腫瘤或具有癌症前兆(pre-malignancy)的病患。</w:t>
      </w:r>
    </w:p>
    <w:p w14:paraId="6CD668B1" w14:textId="77777777" w:rsidR="00346ADE" w:rsidRPr="00346ADE" w:rsidRDefault="00346ADE" w:rsidP="00F06183">
      <w:pPr>
        <w:spacing w:line="300" w:lineRule="exact"/>
        <w:ind w:left="1483" w:hanging="349"/>
        <w:rPr>
          <w:rFonts w:ascii="標楷體" w:eastAsia="標楷體" w:hAnsi="標楷體"/>
          <w:color w:val="000000"/>
        </w:rPr>
      </w:pPr>
      <w:r w:rsidRPr="00346ADE">
        <w:rPr>
          <w:rFonts w:ascii="標楷體" w:eastAsia="標楷體" w:hAnsi="標楷體"/>
          <w:color w:val="000000"/>
        </w:rPr>
        <w:t>v.免疫功能不全者(Immunodeficiency)。</w:t>
      </w:r>
    </w:p>
    <w:p w14:paraId="787B51B9"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vi.曾因其他疾病服用上述口服全身性藥物，有嚴重併發症或後遺症者。</w:t>
      </w:r>
    </w:p>
    <w:p w14:paraId="2DFB1720" w14:textId="3C659C56"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(5)</w:t>
      </w:r>
      <w:r w:rsidRPr="00346ADE">
        <w:rPr>
          <w:rFonts w:ascii="標楷體" w:eastAsia="標楷體" w:hAnsi="標楷體" w:hint="eastAsia"/>
          <w:color w:val="000000"/>
        </w:rPr>
        <w:t>第一次申請時以1支為限，第二次申請2支，第三次申請3支，每眼給付以6支為限。(104/5/1、115/6/1)</w:t>
      </w:r>
    </w:p>
    <w:p w14:paraId="14B2F647"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(6)給付後六</w:t>
      </w:r>
      <w:proofErr w:type="gramStart"/>
      <w:r w:rsidRPr="00346ADE">
        <w:rPr>
          <w:rFonts w:ascii="標楷體" w:eastAsia="標楷體" w:hAnsi="標楷體"/>
          <w:color w:val="000000"/>
        </w:rPr>
        <w:t>個</w:t>
      </w:r>
      <w:proofErr w:type="gramEnd"/>
      <w:r w:rsidRPr="00346ADE">
        <w:rPr>
          <w:rFonts w:ascii="標楷體" w:eastAsia="標楷體" w:hAnsi="標楷體"/>
          <w:color w:val="000000"/>
        </w:rPr>
        <w:t>月內不得使用cyclosporin藥品。</w:t>
      </w:r>
    </w:p>
    <w:p w14:paraId="309EB87E"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(7)需事前審查，並檢附病歷摘要及符合下列條件之</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之診斷依據。</w:t>
      </w:r>
    </w:p>
    <w:p w14:paraId="5418842D"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Ⅰ.一個月內有效之OCT 顯示中央視網膜厚度(central retinal thickness, CRT)</w:t>
      </w:r>
      <w:proofErr w:type="gramStart"/>
      <w:r w:rsidRPr="00346ADE">
        <w:rPr>
          <w:rFonts w:ascii="標楷體" w:eastAsia="標楷體" w:hAnsi="標楷體"/>
          <w:color w:val="000000"/>
        </w:rPr>
        <w:t>≧</w:t>
      </w:r>
      <w:proofErr w:type="gramEnd"/>
      <w:r w:rsidRPr="00346ADE">
        <w:rPr>
          <w:rFonts w:ascii="標楷體" w:eastAsia="標楷體" w:hAnsi="標楷體"/>
          <w:color w:val="000000"/>
        </w:rPr>
        <w:t>300μm。</w:t>
      </w:r>
    </w:p>
    <w:p w14:paraId="4B939A59"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Ⅱ.一個月內有效之FAG (fluorescein angiography)看到血管明顯滲漏現象或黃斑</w:t>
      </w:r>
      <w:proofErr w:type="gramStart"/>
      <w:r w:rsidRPr="00346ADE">
        <w:rPr>
          <w:rFonts w:ascii="標楷體" w:eastAsia="標楷體" w:hAnsi="標楷體"/>
          <w:color w:val="000000"/>
        </w:rPr>
        <w:t>部囊狀</w:t>
      </w:r>
      <w:proofErr w:type="gramEnd"/>
      <w:r w:rsidRPr="00346ADE">
        <w:rPr>
          <w:rFonts w:ascii="標楷體" w:eastAsia="標楷體" w:hAnsi="標楷體"/>
          <w:color w:val="000000"/>
        </w:rPr>
        <w:t>水腫。</w:t>
      </w:r>
    </w:p>
    <w:p w14:paraId="789526AA" w14:textId="77777777" w:rsidR="00346ADE" w:rsidRPr="00346ADE" w:rsidRDefault="00346ADE" w:rsidP="00F06183">
      <w:pPr>
        <w:spacing w:line="300" w:lineRule="exact"/>
        <w:ind w:left="1483" w:hanging="490"/>
        <w:rPr>
          <w:rFonts w:ascii="標楷體" w:eastAsia="標楷體" w:hAnsi="標楷體"/>
          <w:color w:val="000000"/>
        </w:rPr>
      </w:pPr>
      <w:proofErr w:type="spellStart"/>
      <w:r w:rsidRPr="00346ADE">
        <w:rPr>
          <w:rFonts w:ascii="標楷體" w:eastAsia="標楷體" w:hAnsi="標楷體"/>
          <w:color w:val="000000"/>
        </w:rPr>
        <w:t>Ⅲ.</w:t>
      </w:r>
      <w:r w:rsidRPr="00346ADE">
        <w:rPr>
          <w:rFonts w:ascii="標楷體" w:eastAsia="標楷體" w:hAnsi="標楷體" w:hint="eastAsia"/>
          <w:color w:val="000000"/>
        </w:rPr>
        <w:t>Vitreous</w:t>
      </w:r>
      <w:proofErr w:type="spellEnd"/>
      <w:r w:rsidRPr="00346ADE">
        <w:rPr>
          <w:rFonts w:ascii="標楷體" w:eastAsia="標楷體" w:hAnsi="標楷體" w:hint="eastAsia"/>
          <w:color w:val="000000"/>
        </w:rPr>
        <w:t xml:space="preserve"> haze score值大於等於1。</w:t>
      </w:r>
      <w:r w:rsidRPr="00346ADE">
        <w:rPr>
          <w:rFonts w:ascii="標楷體" w:eastAsia="標楷體" w:hAnsi="標楷體"/>
          <w:color w:val="000000"/>
        </w:rPr>
        <w:t>(</w:t>
      </w:r>
      <w:r w:rsidRPr="00346ADE">
        <w:rPr>
          <w:rFonts w:ascii="標楷體" w:eastAsia="標楷體" w:hAnsi="標楷體" w:hint="eastAsia"/>
          <w:color w:val="000000"/>
        </w:rPr>
        <w:t>115/6/1</w:t>
      </w:r>
      <w:r w:rsidRPr="00346ADE">
        <w:rPr>
          <w:rFonts w:ascii="標楷體" w:eastAsia="標楷體" w:hAnsi="標楷體"/>
          <w:color w:val="000000"/>
        </w:rPr>
        <w:t>)</w:t>
      </w:r>
    </w:p>
    <w:p w14:paraId="0CF93BE6"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hint="eastAsia"/>
          <w:color w:val="000000"/>
        </w:rPr>
        <w:t>(8)第二次及第三次申請時，需檢附與第一次申請項目相同之各項最近檢查紀錄外，並檢附有改善證明及須持續治療需求之相關資料。符合下列情況者方得以繼續治療：</w:t>
      </w:r>
      <w:r w:rsidRPr="00346ADE">
        <w:rPr>
          <w:rFonts w:ascii="標楷體" w:eastAsia="標楷體" w:hAnsi="標楷體"/>
          <w:color w:val="000000"/>
        </w:rPr>
        <w:t>(</w:t>
      </w:r>
      <w:r w:rsidRPr="00346ADE">
        <w:rPr>
          <w:rFonts w:ascii="標楷體" w:eastAsia="標楷體" w:hAnsi="標楷體" w:hint="eastAsia"/>
          <w:color w:val="000000"/>
        </w:rPr>
        <w:t>115/6/1</w:t>
      </w:r>
      <w:r w:rsidRPr="00346ADE">
        <w:rPr>
          <w:rFonts w:ascii="標楷體" w:eastAsia="標楷體" w:hAnsi="標楷體"/>
          <w:color w:val="000000"/>
        </w:rPr>
        <w:t>)</w:t>
      </w:r>
    </w:p>
    <w:p w14:paraId="507BAF02"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hint="eastAsia"/>
          <w:color w:val="000000"/>
        </w:rPr>
        <w:t>I.治療期間的中央視網膜厚度(central retinal thickness, CRT)與治療前相比，減少10%</w:t>
      </w:r>
      <w:proofErr w:type="gramStart"/>
      <w:r w:rsidRPr="00346ADE">
        <w:rPr>
          <w:rFonts w:ascii="標楷體" w:eastAsia="標楷體" w:hAnsi="標楷體" w:hint="eastAsia"/>
          <w:color w:val="000000"/>
        </w:rPr>
        <w:t>或降幅</w:t>
      </w:r>
      <w:proofErr w:type="gramEnd"/>
      <w:r w:rsidRPr="00346ADE">
        <w:rPr>
          <w:rFonts w:ascii="標楷體" w:eastAsia="標楷體" w:hAnsi="標楷體" w:hint="eastAsia"/>
          <w:color w:val="000000"/>
        </w:rPr>
        <w:t>&gt;50μm。</w:t>
      </w:r>
    </w:p>
    <w:p w14:paraId="33F5D25E"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hint="eastAsia"/>
          <w:color w:val="000000"/>
        </w:rPr>
        <w:t>II.一個月內有效之OCT顯示中央視網膜厚度</w:t>
      </w:r>
      <w:proofErr w:type="gramStart"/>
      <w:r w:rsidRPr="00346ADE">
        <w:rPr>
          <w:rFonts w:ascii="標楷體" w:eastAsia="標楷體" w:hAnsi="標楷體" w:hint="eastAsia"/>
          <w:color w:val="000000"/>
        </w:rPr>
        <w:t>≧</w:t>
      </w:r>
      <w:proofErr w:type="gramEnd"/>
      <w:r w:rsidRPr="00346ADE">
        <w:rPr>
          <w:rFonts w:ascii="標楷體" w:eastAsia="標楷體" w:hAnsi="標楷體" w:hint="eastAsia"/>
          <w:color w:val="000000"/>
        </w:rPr>
        <w:t>300μm。</w:t>
      </w:r>
    </w:p>
    <w:p w14:paraId="7894368A" w14:textId="77777777" w:rsidR="00346ADE" w:rsidRPr="00346ADE" w:rsidRDefault="00346ADE" w:rsidP="003F77CB">
      <w:pPr>
        <w:spacing w:line="300" w:lineRule="exact"/>
        <w:ind w:left="1483" w:hanging="632"/>
        <w:rPr>
          <w:rFonts w:ascii="標楷體" w:eastAsia="標楷體" w:hAnsi="標楷體"/>
          <w:color w:val="000000"/>
        </w:rPr>
      </w:pPr>
      <w:r w:rsidRPr="00346ADE">
        <w:rPr>
          <w:rFonts w:ascii="標楷體" w:eastAsia="標楷體" w:hAnsi="標楷體" w:hint="eastAsia"/>
          <w:color w:val="000000"/>
        </w:rPr>
        <w:t>III.一個月內有效之FAG看到血管明顯滲漏現象或黃斑</w:t>
      </w:r>
      <w:proofErr w:type="gramStart"/>
      <w:r w:rsidRPr="00346ADE">
        <w:rPr>
          <w:rFonts w:ascii="標楷體" w:eastAsia="標楷體" w:hAnsi="標楷體" w:hint="eastAsia"/>
          <w:color w:val="000000"/>
        </w:rPr>
        <w:t>部囊狀</w:t>
      </w:r>
      <w:proofErr w:type="gramEnd"/>
      <w:r w:rsidRPr="00346ADE">
        <w:rPr>
          <w:rFonts w:ascii="標楷體" w:eastAsia="標楷體" w:hAnsi="標楷體" w:hint="eastAsia"/>
          <w:color w:val="000000"/>
        </w:rPr>
        <w:t>水腫。</w:t>
      </w:r>
    </w:p>
    <w:p w14:paraId="68FD3687" w14:textId="77777777" w:rsidR="00346ADE" w:rsidRPr="00346ADE" w:rsidRDefault="00346ADE" w:rsidP="003F77CB">
      <w:pPr>
        <w:spacing w:line="300" w:lineRule="exact"/>
        <w:ind w:left="1276" w:hanging="348"/>
        <w:rPr>
          <w:rFonts w:ascii="標楷體" w:eastAsia="標楷體" w:hAnsi="標楷體"/>
          <w:color w:val="000000"/>
        </w:rPr>
      </w:pPr>
      <w:proofErr w:type="spellStart"/>
      <w:r w:rsidRPr="00346ADE">
        <w:rPr>
          <w:rFonts w:ascii="標楷體" w:eastAsia="標楷體" w:hAnsi="標楷體" w:hint="eastAsia"/>
          <w:color w:val="000000"/>
        </w:rPr>
        <w:t>IV.Vitreous</w:t>
      </w:r>
      <w:proofErr w:type="spellEnd"/>
      <w:r w:rsidRPr="00346ADE">
        <w:rPr>
          <w:rFonts w:ascii="標楷體" w:eastAsia="標楷體" w:hAnsi="標楷體" w:hint="eastAsia"/>
          <w:color w:val="000000"/>
        </w:rPr>
        <w:t xml:space="preserve"> haze score值大於等於1。</w:t>
      </w:r>
    </w:p>
    <w:p w14:paraId="5521D68C" w14:textId="77777777" w:rsidR="00346ADE" w:rsidRPr="00346ADE" w:rsidRDefault="00346ADE" w:rsidP="003F77CB">
      <w:pPr>
        <w:spacing w:line="300" w:lineRule="exact"/>
        <w:ind w:left="1134" w:hanging="141"/>
        <w:rPr>
          <w:rFonts w:ascii="標楷體" w:eastAsia="標楷體" w:hAnsi="標楷體"/>
          <w:color w:val="000000"/>
        </w:rPr>
      </w:pPr>
      <w:r w:rsidRPr="00346ADE">
        <w:rPr>
          <w:rFonts w:ascii="標楷體" w:eastAsia="標楷體" w:hAnsi="標楷體" w:hint="eastAsia"/>
          <w:color w:val="000000"/>
        </w:rPr>
        <w:t>V.矯正後視力介於0.05</w:t>
      </w:r>
      <w:r w:rsidRPr="00346ADE">
        <w:rPr>
          <w:rFonts w:ascii="標楷體" w:eastAsia="標楷體" w:hAnsi="標楷體"/>
          <w:color w:val="000000"/>
        </w:rPr>
        <w:t>和0.5</w:t>
      </w:r>
      <w:r w:rsidRPr="00346ADE">
        <w:rPr>
          <w:rFonts w:ascii="標楷體" w:eastAsia="標楷體" w:hAnsi="標楷體" w:hint="eastAsia"/>
          <w:color w:val="000000"/>
        </w:rPr>
        <w:t>(含)之間。</w:t>
      </w:r>
    </w:p>
    <w:p w14:paraId="0E309C38" w14:textId="77777777" w:rsidR="00346ADE" w:rsidRPr="00346ADE" w:rsidRDefault="00346ADE" w:rsidP="00295596">
      <w:pPr>
        <w:spacing w:line="300" w:lineRule="exact"/>
        <w:ind w:leftChars="236" w:left="849" w:hangingChars="118" w:hanging="283"/>
        <w:rPr>
          <w:rFonts w:ascii="標楷體" w:eastAsia="標楷體" w:hAnsi="標楷體"/>
          <w:color w:val="000000"/>
        </w:rPr>
      </w:pPr>
      <w:r w:rsidRPr="00346ADE">
        <w:rPr>
          <w:rFonts w:ascii="標楷體" w:eastAsia="標楷體" w:hAnsi="標楷體"/>
          <w:color w:val="000000"/>
        </w:rPr>
        <w:t>4.用於中央視網膜靜脈阻塞(CRVO)導致黃斑部水腫，需符合下列條件：(105/8/1、106/4/1、108/4/1、109/2/1、109/3/1)</w:t>
      </w:r>
    </w:p>
    <w:p w14:paraId="79E5BE46" w14:textId="212B7213"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(1)限18歲以上患者。</w:t>
      </w:r>
    </w:p>
    <w:p w14:paraId="7DC16A87" w14:textId="1AC40CC9"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(2)中央視網膜厚度(central retinal thickness, CRT)</w:t>
      </w:r>
      <w:proofErr w:type="gramStart"/>
      <w:r w:rsidRPr="00346ADE">
        <w:rPr>
          <w:rFonts w:ascii="標楷體" w:eastAsia="標楷體" w:hAnsi="標楷體"/>
          <w:color w:val="000000"/>
        </w:rPr>
        <w:t>≧</w:t>
      </w:r>
      <w:proofErr w:type="gramEnd"/>
      <w:r w:rsidRPr="00346ADE">
        <w:rPr>
          <w:rFonts w:ascii="標楷體" w:eastAsia="標楷體" w:hAnsi="標楷體"/>
          <w:color w:val="000000"/>
        </w:rPr>
        <w:t>300μm。</w:t>
      </w:r>
    </w:p>
    <w:p w14:paraId="0020BADA" w14:textId="6E2B323D"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(3)已產生</w:t>
      </w:r>
      <w:proofErr w:type="gramStart"/>
      <w:r w:rsidRPr="00346ADE">
        <w:rPr>
          <w:rFonts w:ascii="標楷體" w:eastAsia="標楷體" w:hAnsi="標楷體"/>
          <w:color w:val="000000"/>
        </w:rPr>
        <w:t>中央窩下</w:t>
      </w:r>
      <w:proofErr w:type="gramEnd"/>
      <w:r w:rsidRPr="00346ADE">
        <w:rPr>
          <w:rFonts w:ascii="標楷體" w:eastAsia="標楷體" w:hAnsi="標楷體"/>
          <w:color w:val="000000"/>
        </w:rPr>
        <w:t>(</w:t>
      </w:r>
      <w:proofErr w:type="spellStart"/>
      <w:r w:rsidRPr="00346ADE">
        <w:rPr>
          <w:rFonts w:ascii="標楷體" w:eastAsia="標楷體" w:hAnsi="標楷體"/>
          <w:color w:val="000000"/>
        </w:rPr>
        <w:t>subfoveal</w:t>
      </w:r>
      <w:proofErr w:type="spellEnd"/>
      <w:r w:rsidRPr="00346ADE">
        <w:rPr>
          <w:rFonts w:ascii="標楷體" w:eastAsia="標楷體" w:hAnsi="標楷體"/>
          <w:color w:val="000000"/>
        </w:rPr>
        <w:t>)</w:t>
      </w:r>
      <w:proofErr w:type="gramStart"/>
      <w:r w:rsidRPr="00346ADE">
        <w:rPr>
          <w:rFonts w:ascii="標楷體" w:eastAsia="標楷體" w:hAnsi="標楷體"/>
          <w:color w:val="000000"/>
        </w:rPr>
        <w:t>結痂者不得</w:t>
      </w:r>
      <w:proofErr w:type="gramEnd"/>
      <w:r w:rsidRPr="00346ADE">
        <w:rPr>
          <w:rFonts w:ascii="標楷體" w:eastAsia="標楷體" w:hAnsi="標楷體"/>
          <w:color w:val="000000"/>
        </w:rPr>
        <w:t>申請使用。</w:t>
      </w:r>
    </w:p>
    <w:p w14:paraId="02ACEFC7" w14:textId="0A334959"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(4)須經事前審查核准後使用。</w:t>
      </w:r>
    </w:p>
    <w:p w14:paraId="3F7749B6"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Ⅰ.第一次申請以2支為限，第一次申請時需檢附一個月內</w:t>
      </w:r>
      <w:proofErr w:type="gramStart"/>
      <w:r w:rsidRPr="00346ADE">
        <w:rPr>
          <w:rFonts w:ascii="標楷體" w:eastAsia="標楷體" w:hAnsi="標楷體"/>
          <w:color w:val="000000"/>
        </w:rPr>
        <w:t>之病眼最佳</w:t>
      </w:r>
      <w:proofErr w:type="gramEnd"/>
      <w:r w:rsidRPr="00346ADE">
        <w:rPr>
          <w:rFonts w:ascii="標楷體" w:eastAsia="標楷體" w:hAnsi="標楷體"/>
          <w:color w:val="000000"/>
        </w:rPr>
        <w:t>矯正視力(介於0.05~0.5(含)</w:t>
      </w:r>
      <w:proofErr w:type="gramStart"/>
      <w:r w:rsidRPr="00346ADE">
        <w:rPr>
          <w:rFonts w:ascii="標楷體" w:eastAsia="標楷體" w:hAnsi="標楷體"/>
          <w:color w:val="000000"/>
        </w:rPr>
        <w:t>之間)</w:t>
      </w:r>
      <w:proofErr w:type="gramEnd"/>
      <w:r w:rsidRPr="00346ADE">
        <w:rPr>
          <w:rFonts w:ascii="標楷體" w:eastAsia="標楷體" w:hAnsi="標楷體"/>
          <w:color w:val="000000"/>
        </w:rPr>
        <w:t>、眼底彩色照片、FAG (fluorescein angiography)、OCT (optical coherence tomography)及相關病歷紀錄資料。若患者腎功能</w:t>
      </w:r>
      <w:r w:rsidRPr="00346ADE">
        <w:rPr>
          <w:rFonts w:ascii="標楷體" w:eastAsia="標楷體" w:hAnsi="標楷體"/>
          <w:color w:val="000000"/>
        </w:rPr>
        <w:lastRenderedPageBreak/>
        <w:t>不全(eGFR＜45mL/min/1.73m2或serum creatinine</w:t>
      </w:r>
      <w:proofErr w:type="gramStart"/>
      <w:r w:rsidRPr="00346ADE">
        <w:rPr>
          <w:rFonts w:ascii="標楷體" w:eastAsia="標楷體" w:hAnsi="標楷體"/>
          <w:color w:val="000000"/>
        </w:rPr>
        <w:t>≧</w:t>
      </w:r>
      <w:proofErr w:type="gramEnd"/>
      <w:r w:rsidRPr="00346ADE">
        <w:rPr>
          <w:rFonts w:ascii="標楷體" w:eastAsia="標楷體" w:hAnsi="標楷體"/>
          <w:color w:val="000000"/>
        </w:rPr>
        <w:t>1.5mg/dL)，或具有藥物過敏史者需檢附相關資料，得檢附足以證明其</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患疾病之光學共</w:t>
      </w:r>
      <w:proofErr w:type="gramStart"/>
      <w:r w:rsidRPr="00346ADE">
        <w:rPr>
          <w:rFonts w:ascii="標楷體" w:eastAsia="標楷體" w:hAnsi="標楷體"/>
          <w:color w:val="000000"/>
        </w:rPr>
        <w:t>軛</w:t>
      </w:r>
      <w:proofErr w:type="gramEnd"/>
      <w:r w:rsidRPr="00346ADE">
        <w:rPr>
          <w:rFonts w:ascii="標楷體" w:eastAsia="標楷體" w:hAnsi="標楷體"/>
          <w:color w:val="000000"/>
        </w:rPr>
        <w:t>斷層血管掃描儀(optical coherence tomography angiography, OCTA)檢查結果代替FAG資料。(108/4/1、109/2/1)</w:t>
      </w:r>
    </w:p>
    <w:p w14:paraId="5E53979B"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Ⅱ.經</w:t>
      </w:r>
      <w:proofErr w:type="gramStart"/>
      <w:r w:rsidRPr="00346ADE">
        <w:rPr>
          <w:rFonts w:ascii="標楷體" w:eastAsia="標楷體" w:hAnsi="標楷體"/>
          <w:color w:val="000000"/>
        </w:rPr>
        <w:t>評估需續用</w:t>
      </w:r>
      <w:proofErr w:type="gramEnd"/>
      <w:r w:rsidRPr="00346ADE">
        <w:rPr>
          <w:rFonts w:ascii="標楷體" w:eastAsia="標楷體" w:hAnsi="標楷體"/>
          <w:color w:val="000000"/>
        </w:rPr>
        <w:t>者，再次申請時需檢附第一次申請資料及再次申請前一個月內有改善證明之相關資料，每眼給付以 4支為限 。(109/2/1)</w:t>
      </w:r>
    </w:p>
    <w:p w14:paraId="47EC00AE"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Ⅲ.第一次申請治療後，患者治療成果</w:t>
      </w:r>
      <w:proofErr w:type="gramStart"/>
      <w:r w:rsidRPr="00346ADE">
        <w:rPr>
          <w:rFonts w:ascii="標楷體" w:eastAsia="標楷體" w:hAnsi="標楷體"/>
          <w:color w:val="000000"/>
        </w:rPr>
        <w:t>不</w:t>
      </w:r>
      <w:proofErr w:type="gramEnd"/>
      <w:r w:rsidRPr="00346ADE">
        <w:rPr>
          <w:rFonts w:ascii="標楷體" w:eastAsia="標楷體" w:hAnsi="標楷體"/>
          <w:color w:val="000000"/>
        </w:rPr>
        <w:t>彰或對原申請藥物產生不良反應者，得申請更換給付新生血管抑制劑(限ranibizumab及aflibercept擇</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 xml:space="preserve">申請)，申請時需檢送第一次申請資料及再次申請前一個月內有黃斑水腫仍具臨床活性且中央視網膜厚度(central retinal </w:t>
      </w:r>
      <w:proofErr w:type="spellStart"/>
      <w:r w:rsidRPr="00346ADE">
        <w:rPr>
          <w:rFonts w:ascii="標楷體" w:eastAsia="標楷體" w:hAnsi="標楷體"/>
          <w:color w:val="000000"/>
        </w:rPr>
        <w:t>thickness,CRT</w:t>
      </w:r>
      <w:proofErr w:type="spellEnd"/>
      <w:r w:rsidRPr="00346ADE">
        <w:rPr>
          <w:rFonts w:ascii="標楷體" w:eastAsia="標楷體" w:hAnsi="標楷體"/>
          <w:color w:val="000000"/>
        </w:rPr>
        <w:t>)</w:t>
      </w:r>
      <w:proofErr w:type="gramStart"/>
      <w:r w:rsidRPr="00346ADE">
        <w:rPr>
          <w:rFonts w:ascii="標楷體" w:eastAsia="標楷體" w:hAnsi="標楷體"/>
          <w:color w:val="000000"/>
        </w:rPr>
        <w:t>≧</w:t>
      </w:r>
      <w:proofErr w:type="gramEnd"/>
      <w:r w:rsidRPr="00346ADE">
        <w:rPr>
          <w:rFonts w:ascii="標楷體" w:eastAsia="標楷體" w:hAnsi="標楷體"/>
          <w:color w:val="000000"/>
        </w:rPr>
        <w:t xml:space="preserve"> 300μm之相關資料。(109/3/1)</w:t>
      </w:r>
    </w:p>
    <w:p w14:paraId="43E2F837"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Ⅳ.每人每眼申請更換給付不同作用機轉藥物以一次為限，申請更換給付新生血管抑制劑(如aflibercept或ranibizumab)者，以4支為限。(109/3/1)</w:t>
      </w:r>
    </w:p>
    <w:p w14:paraId="75592A1F" w14:textId="77777777" w:rsidR="00346ADE" w:rsidRPr="00346ADE" w:rsidRDefault="00346ADE" w:rsidP="00772C9E">
      <w:pPr>
        <w:spacing w:line="300" w:lineRule="exact"/>
        <w:ind w:left="709" w:hanging="142"/>
        <w:rPr>
          <w:rFonts w:ascii="標楷體" w:eastAsia="標楷體" w:hAnsi="標楷體"/>
          <w:color w:val="000000"/>
        </w:rPr>
      </w:pPr>
      <w:r w:rsidRPr="00346ADE">
        <w:rPr>
          <w:rFonts w:ascii="標楷體" w:eastAsia="標楷體" w:hAnsi="標楷體"/>
          <w:color w:val="000000"/>
        </w:rPr>
        <w:t>5.用於糖尿病引起黃斑部水腫 (diabetic macular edema, DME)之病變，需符合下列條件：(106/4/1、108/4/1、109/2/1、109/3/1)</w:t>
      </w:r>
    </w:p>
    <w:p w14:paraId="78B1E6C9"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(1)中央視網膜厚度(central retinal thickness, CRT)</w:t>
      </w:r>
      <w:proofErr w:type="gramStart"/>
      <w:r w:rsidRPr="00346ADE">
        <w:rPr>
          <w:rFonts w:ascii="標楷體" w:eastAsia="標楷體" w:hAnsi="標楷體"/>
          <w:color w:val="000000"/>
        </w:rPr>
        <w:t>≧</w:t>
      </w:r>
      <w:proofErr w:type="gramEnd"/>
      <w:r w:rsidRPr="00346ADE">
        <w:rPr>
          <w:rFonts w:ascii="標楷體" w:eastAsia="標楷體" w:hAnsi="標楷體"/>
          <w:color w:val="000000"/>
        </w:rPr>
        <w:t>300μm。</w:t>
      </w:r>
    </w:p>
    <w:p w14:paraId="5BEFB337"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(2)已產生</w:t>
      </w:r>
      <w:proofErr w:type="gramStart"/>
      <w:r w:rsidRPr="00346ADE">
        <w:rPr>
          <w:rFonts w:ascii="標楷體" w:eastAsia="標楷體" w:hAnsi="標楷體"/>
          <w:color w:val="000000"/>
        </w:rPr>
        <w:t>中央窩下</w:t>
      </w:r>
      <w:proofErr w:type="gramEnd"/>
      <w:r w:rsidRPr="00346ADE">
        <w:rPr>
          <w:rFonts w:ascii="標楷體" w:eastAsia="標楷體" w:hAnsi="標楷體"/>
          <w:color w:val="000000"/>
        </w:rPr>
        <w:t>(</w:t>
      </w:r>
      <w:proofErr w:type="spellStart"/>
      <w:r w:rsidRPr="00346ADE">
        <w:rPr>
          <w:rFonts w:ascii="標楷體" w:eastAsia="標楷體" w:hAnsi="標楷體"/>
          <w:color w:val="000000"/>
        </w:rPr>
        <w:t>subfoveal</w:t>
      </w:r>
      <w:proofErr w:type="spellEnd"/>
      <w:r w:rsidRPr="00346ADE">
        <w:rPr>
          <w:rFonts w:ascii="標楷體" w:eastAsia="標楷體" w:hAnsi="標楷體"/>
          <w:color w:val="000000"/>
        </w:rPr>
        <w:t>)</w:t>
      </w:r>
      <w:proofErr w:type="gramStart"/>
      <w:r w:rsidRPr="00346ADE">
        <w:rPr>
          <w:rFonts w:ascii="標楷體" w:eastAsia="標楷體" w:hAnsi="標楷體"/>
          <w:color w:val="000000"/>
        </w:rPr>
        <w:t>結痂者不得</w:t>
      </w:r>
      <w:proofErr w:type="gramEnd"/>
      <w:r w:rsidRPr="00346ADE">
        <w:rPr>
          <w:rFonts w:ascii="標楷體" w:eastAsia="標楷體" w:hAnsi="標楷體"/>
          <w:color w:val="000000"/>
        </w:rPr>
        <w:t>申請使用。</w:t>
      </w:r>
    </w:p>
    <w:p w14:paraId="15BB2B1C" w14:textId="77777777" w:rsidR="00346ADE" w:rsidRPr="00346ADE" w:rsidRDefault="00346ADE" w:rsidP="003F77CB">
      <w:pPr>
        <w:spacing w:line="300" w:lineRule="exact"/>
        <w:ind w:left="993" w:hanging="284"/>
        <w:rPr>
          <w:rFonts w:ascii="標楷體" w:eastAsia="標楷體" w:hAnsi="標楷體"/>
          <w:color w:val="000000"/>
        </w:rPr>
      </w:pPr>
      <w:r w:rsidRPr="00346ADE">
        <w:rPr>
          <w:rFonts w:ascii="標楷體" w:eastAsia="標楷體" w:hAnsi="標楷體"/>
          <w:color w:val="000000"/>
        </w:rPr>
        <w:t>(3)近三</w:t>
      </w:r>
      <w:proofErr w:type="gramStart"/>
      <w:r w:rsidRPr="00346ADE">
        <w:rPr>
          <w:rFonts w:ascii="標楷體" w:eastAsia="標楷體" w:hAnsi="標楷體"/>
          <w:color w:val="000000"/>
        </w:rPr>
        <w:t>個</w:t>
      </w:r>
      <w:proofErr w:type="gramEnd"/>
      <w:r w:rsidRPr="00346ADE">
        <w:rPr>
          <w:rFonts w:ascii="標楷體" w:eastAsia="標楷體" w:hAnsi="標楷體"/>
          <w:color w:val="000000"/>
        </w:rPr>
        <w:t>月內之糖化血色素(HbA1c)數值低於10%，並於每次申請</w:t>
      </w:r>
      <w:proofErr w:type="gramStart"/>
      <w:r w:rsidRPr="00346ADE">
        <w:rPr>
          <w:rFonts w:ascii="標楷體" w:eastAsia="標楷體" w:hAnsi="標楷體"/>
          <w:color w:val="000000"/>
        </w:rPr>
        <w:t>時檢附近</w:t>
      </w:r>
      <w:proofErr w:type="gramEnd"/>
      <w:r w:rsidRPr="00346ADE">
        <w:rPr>
          <w:rFonts w:ascii="標楷體" w:eastAsia="標楷體" w:hAnsi="標楷體"/>
          <w:color w:val="000000"/>
        </w:rPr>
        <w:t>三個月內之檢查結果。</w:t>
      </w:r>
    </w:p>
    <w:p w14:paraId="48719AC0"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(4)須經事前審查核准後使用。</w:t>
      </w:r>
    </w:p>
    <w:p w14:paraId="494A9FD3"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Ⅰ.未曾申請給付新生血管抑制劑(anti-angiogenic agents)者，第一次申請以3支為限，第一次申請時需檢附一個月內</w:t>
      </w:r>
      <w:proofErr w:type="gramStart"/>
      <w:r w:rsidRPr="00346ADE">
        <w:rPr>
          <w:rFonts w:ascii="標楷體" w:eastAsia="標楷體" w:hAnsi="標楷體"/>
          <w:color w:val="000000"/>
        </w:rPr>
        <w:t>之病眼最佳</w:t>
      </w:r>
      <w:proofErr w:type="gramEnd"/>
      <w:r w:rsidRPr="00346ADE">
        <w:rPr>
          <w:rFonts w:ascii="標楷體" w:eastAsia="標楷體" w:hAnsi="標楷體"/>
          <w:color w:val="000000"/>
        </w:rPr>
        <w:t>矯正視力(介於0.05~0.5(含)</w:t>
      </w:r>
      <w:proofErr w:type="gramStart"/>
      <w:r w:rsidRPr="00346ADE">
        <w:rPr>
          <w:rFonts w:ascii="標楷體" w:eastAsia="標楷體" w:hAnsi="標楷體"/>
          <w:color w:val="000000"/>
        </w:rPr>
        <w:t>之間)</w:t>
      </w:r>
      <w:proofErr w:type="gramEnd"/>
      <w:r w:rsidRPr="00346ADE">
        <w:rPr>
          <w:rFonts w:ascii="標楷體" w:eastAsia="標楷體" w:hAnsi="標楷體"/>
          <w:color w:val="000000"/>
        </w:rPr>
        <w:t>、眼底彩色照片、FAG (fluorescein angiography)、OCT (optical coherence tomography)、及相關病歷紀錄資料。(109/2/1)</w:t>
      </w:r>
    </w:p>
    <w:p w14:paraId="4EE246F4"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Ⅱ.經</w:t>
      </w:r>
      <w:proofErr w:type="gramStart"/>
      <w:r w:rsidRPr="00346ADE">
        <w:rPr>
          <w:rFonts w:ascii="標楷體" w:eastAsia="標楷體" w:hAnsi="標楷體"/>
          <w:color w:val="000000"/>
        </w:rPr>
        <w:t>評估需續用</w:t>
      </w:r>
      <w:proofErr w:type="gramEnd"/>
      <w:r w:rsidRPr="00346ADE">
        <w:rPr>
          <w:rFonts w:ascii="標楷體" w:eastAsia="標楷體" w:hAnsi="標楷體"/>
          <w:color w:val="000000"/>
        </w:rPr>
        <w:t>者，再次申請時需檢附與第一次申請項目相同之各項最近檢查紀錄外，並檢送使用後有改善證明之相關資料，每眼給付以5支為限。(109/2/1)</w:t>
      </w:r>
    </w:p>
    <w:p w14:paraId="59C8EEA8"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Ⅲ.第一次申請治療後，患者治療成果</w:t>
      </w:r>
      <w:proofErr w:type="gramStart"/>
      <w:r w:rsidRPr="00346ADE">
        <w:rPr>
          <w:rFonts w:ascii="標楷體" w:eastAsia="標楷體" w:hAnsi="標楷體"/>
          <w:color w:val="000000"/>
        </w:rPr>
        <w:t>不</w:t>
      </w:r>
      <w:proofErr w:type="gramEnd"/>
      <w:r w:rsidRPr="00346ADE">
        <w:rPr>
          <w:rFonts w:ascii="標楷體" w:eastAsia="標楷體" w:hAnsi="標楷體"/>
          <w:color w:val="000000"/>
        </w:rPr>
        <w:t>彰或對原申請藥物產生不良反應者，得申請更換給付新生血管抑制劑(限ranibizumab及aflibercept擇</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 xml:space="preserve">申請)，申請時需檢送第一次申請資料及再次申請前一個月內有黃斑水腫仍具臨床活性且中央視網膜厚度(central retinal </w:t>
      </w:r>
      <w:proofErr w:type="spellStart"/>
      <w:r w:rsidRPr="00346ADE">
        <w:rPr>
          <w:rFonts w:ascii="標楷體" w:eastAsia="標楷體" w:hAnsi="標楷體"/>
          <w:color w:val="000000"/>
        </w:rPr>
        <w:t>thickness,CRT</w:t>
      </w:r>
      <w:proofErr w:type="spellEnd"/>
      <w:r w:rsidRPr="00346ADE">
        <w:rPr>
          <w:rFonts w:ascii="標楷體" w:eastAsia="標楷體" w:hAnsi="標楷體"/>
          <w:color w:val="000000"/>
        </w:rPr>
        <w:t>)</w:t>
      </w:r>
      <w:proofErr w:type="gramStart"/>
      <w:r w:rsidRPr="00346ADE">
        <w:rPr>
          <w:rFonts w:ascii="標楷體" w:eastAsia="標楷體" w:hAnsi="標楷體"/>
          <w:color w:val="000000"/>
        </w:rPr>
        <w:t>≧</w:t>
      </w:r>
      <w:proofErr w:type="gramEnd"/>
      <w:r w:rsidRPr="00346ADE">
        <w:rPr>
          <w:rFonts w:ascii="標楷體" w:eastAsia="標楷體" w:hAnsi="標楷體"/>
          <w:color w:val="000000"/>
        </w:rPr>
        <w:t xml:space="preserve"> 300μm之相關資料。(109/3/1)</w:t>
      </w:r>
    </w:p>
    <w:p w14:paraId="0C789214"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Ⅳ.每人每眼申請更換給付不同作用機轉藥物以一次為限，申請更換給付新生血管抑制劑者，以3支為限。(109/3/1)</w:t>
      </w:r>
    </w:p>
    <w:p w14:paraId="0888C417"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(5)有下列情況不得申請使用：</w:t>
      </w:r>
    </w:p>
    <w:p w14:paraId="01D74A07"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Ⅰ.因其他因素(如玻璃體牽引)所造成之黃斑部水腫。(108/4/1)</w:t>
      </w:r>
    </w:p>
    <w:p w14:paraId="122B108E" w14:textId="3B3F8D57" w:rsidR="00401786"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Ⅱ.青光眼。</w:t>
      </w:r>
    </w:p>
    <w:p w14:paraId="1926D122"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14.9.5.Verteporfin(如</w:t>
      </w:r>
      <w:proofErr w:type="spellStart"/>
      <w:r>
        <w:rPr>
          <w:rFonts w:ascii="標楷體" w:eastAsia="標楷體" w:hAnsi="標楷體"/>
          <w:color w:val="000000"/>
        </w:rPr>
        <w:t>Visudyne</w:t>
      </w:r>
      <w:proofErr w:type="spellEnd"/>
      <w:r>
        <w:rPr>
          <w:rFonts w:ascii="標楷體" w:eastAsia="標楷體" w:hAnsi="標楷體"/>
          <w:color w:val="000000"/>
        </w:rPr>
        <w:t>)(109/2/1)</w:t>
      </w:r>
    </w:p>
    <w:p w14:paraId="0131CC03"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使用於</w:t>
      </w:r>
      <w:proofErr w:type="gramStart"/>
      <w:r>
        <w:rPr>
          <w:rFonts w:ascii="標楷體" w:eastAsia="標楷體" w:hAnsi="標楷體"/>
          <w:color w:val="000000"/>
        </w:rPr>
        <w:t>多足型脈絡</w:t>
      </w:r>
      <w:proofErr w:type="gramEnd"/>
      <w:r>
        <w:rPr>
          <w:rFonts w:ascii="標楷體" w:eastAsia="標楷體" w:hAnsi="標楷體"/>
          <w:color w:val="000000"/>
        </w:rPr>
        <w:t xml:space="preserve">膜血管病變型黃斑部病變(polypoidal choroidal </w:t>
      </w:r>
      <w:proofErr w:type="spellStart"/>
      <w:r>
        <w:rPr>
          <w:rFonts w:ascii="標楷體" w:eastAsia="標楷體" w:hAnsi="標楷體"/>
          <w:color w:val="000000"/>
        </w:rPr>
        <w:t>vasculopathy,PCV</w:t>
      </w:r>
      <w:proofErr w:type="spellEnd"/>
      <w:r>
        <w:rPr>
          <w:rFonts w:ascii="標楷體" w:eastAsia="標楷體" w:hAnsi="標楷體"/>
          <w:color w:val="000000"/>
        </w:rPr>
        <w:t>)，並符合下列條件:</w:t>
      </w:r>
    </w:p>
    <w:p w14:paraId="6E6C4D9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1.未曾申請給付新生血管抑制劑(anti-angiogenic agents)者。</w:t>
      </w:r>
    </w:p>
    <w:p w14:paraId="4BE91356"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2.須經事前審查核准後使用。</w:t>
      </w:r>
    </w:p>
    <w:p w14:paraId="4797B743"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(1)第一次申請時需檢附一個月內</w:t>
      </w:r>
      <w:proofErr w:type="gramStart"/>
      <w:r>
        <w:rPr>
          <w:rFonts w:ascii="標楷體" w:eastAsia="標楷體" w:hAnsi="標楷體"/>
          <w:color w:val="000000"/>
        </w:rPr>
        <w:t>之病眼最佳</w:t>
      </w:r>
      <w:proofErr w:type="gramEnd"/>
      <w:r>
        <w:rPr>
          <w:rFonts w:ascii="標楷體" w:eastAsia="標楷體" w:hAnsi="標楷體"/>
          <w:color w:val="000000"/>
        </w:rPr>
        <w:t>矯正視力(介於0.05~0.5(含)</w:t>
      </w:r>
      <w:proofErr w:type="gramStart"/>
      <w:r>
        <w:rPr>
          <w:rFonts w:ascii="標楷體" w:eastAsia="標楷體" w:hAnsi="標楷體"/>
          <w:color w:val="000000"/>
        </w:rPr>
        <w:t>之間)</w:t>
      </w:r>
      <w:proofErr w:type="gramEnd"/>
      <w:r>
        <w:rPr>
          <w:rFonts w:ascii="標楷體" w:eastAsia="標楷體" w:hAnsi="標楷體"/>
          <w:color w:val="000000"/>
        </w:rPr>
        <w:t>、眼底彩色照片、FAG (fluorescein angiography)、OCT (optical coherence tomography)及相關病歷紀錄資料。</w:t>
      </w:r>
    </w:p>
    <w:p w14:paraId="225E6A32"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(2)經</w:t>
      </w:r>
      <w:proofErr w:type="gramStart"/>
      <w:r>
        <w:rPr>
          <w:rFonts w:ascii="標楷體" w:eastAsia="標楷體" w:hAnsi="標楷體"/>
          <w:color w:val="000000"/>
        </w:rPr>
        <w:t>評估需續用</w:t>
      </w:r>
      <w:proofErr w:type="gramEnd"/>
      <w:r>
        <w:rPr>
          <w:rFonts w:ascii="標楷體" w:eastAsia="標楷體" w:hAnsi="標楷體"/>
          <w:color w:val="000000"/>
        </w:rPr>
        <w:t>者，再次申請時需檢附第一次申請資料及再次申請前一個月內有改善證明之相關資料。</w:t>
      </w:r>
    </w:p>
    <w:p w14:paraId="1B1CC660"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3.限眼科專科醫師施行。</w:t>
      </w:r>
    </w:p>
    <w:p w14:paraId="39F30BE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lastRenderedPageBreak/>
        <w:t>4.已產生</w:t>
      </w:r>
      <w:proofErr w:type="gramStart"/>
      <w:r>
        <w:rPr>
          <w:rFonts w:ascii="標楷體" w:eastAsia="標楷體" w:hAnsi="標楷體"/>
          <w:color w:val="000000"/>
        </w:rPr>
        <w:t>中央窩下</w:t>
      </w:r>
      <w:proofErr w:type="gramEnd"/>
      <w:r>
        <w:rPr>
          <w:rFonts w:ascii="標楷體" w:eastAsia="標楷體" w:hAnsi="標楷體"/>
          <w:color w:val="000000"/>
        </w:rPr>
        <w:t>(</w:t>
      </w:r>
      <w:proofErr w:type="spellStart"/>
      <w:r>
        <w:rPr>
          <w:rFonts w:ascii="標楷體" w:eastAsia="標楷體" w:hAnsi="標楷體"/>
          <w:color w:val="000000"/>
        </w:rPr>
        <w:t>subfoveal</w:t>
      </w:r>
      <w:proofErr w:type="spellEnd"/>
      <w:r>
        <w:rPr>
          <w:rFonts w:ascii="標楷體" w:eastAsia="標楷體" w:hAnsi="標楷體"/>
          <w:color w:val="000000"/>
        </w:rPr>
        <w:t>)</w:t>
      </w:r>
      <w:proofErr w:type="gramStart"/>
      <w:r>
        <w:rPr>
          <w:rFonts w:ascii="標楷體" w:eastAsia="標楷體" w:hAnsi="標楷體"/>
          <w:color w:val="000000"/>
        </w:rPr>
        <w:t>結痂者不得</w:t>
      </w:r>
      <w:proofErr w:type="gramEnd"/>
      <w:r>
        <w:rPr>
          <w:rFonts w:ascii="標楷體" w:eastAsia="標楷體" w:hAnsi="標楷體"/>
          <w:color w:val="000000"/>
        </w:rPr>
        <w:t>申請使用。</w:t>
      </w:r>
    </w:p>
    <w:p w14:paraId="3C1D154E"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5.須於第一次申請核准後5年內使用。</w:t>
      </w:r>
    </w:p>
    <w:p w14:paraId="42C7307F"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6.病灶限位於大</w:t>
      </w:r>
      <w:proofErr w:type="gramStart"/>
      <w:r>
        <w:rPr>
          <w:rFonts w:ascii="標楷體" w:eastAsia="標楷體" w:hAnsi="標楷體"/>
          <w:color w:val="000000"/>
        </w:rPr>
        <w:t>血管弓內</w:t>
      </w:r>
      <w:proofErr w:type="gramEnd"/>
      <w:r>
        <w:rPr>
          <w:rFonts w:ascii="標楷體" w:eastAsia="標楷體" w:hAnsi="標楷體"/>
          <w:color w:val="000000"/>
        </w:rPr>
        <w:t xml:space="preserve">(major vessels </w:t>
      </w:r>
      <w:proofErr w:type="spellStart"/>
      <w:r>
        <w:rPr>
          <w:rFonts w:ascii="標楷體" w:eastAsia="標楷體" w:hAnsi="標楷體"/>
          <w:color w:val="000000"/>
        </w:rPr>
        <w:t>archade</w:t>
      </w:r>
      <w:proofErr w:type="spellEnd"/>
      <w:r>
        <w:rPr>
          <w:rFonts w:ascii="標楷體" w:eastAsia="標楷體" w:hAnsi="標楷體"/>
          <w:color w:val="000000"/>
        </w:rPr>
        <w:t>)。</w:t>
      </w:r>
    </w:p>
    <w:p w14:paraId="6E9C45D6"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7.每次申請給付1支，每次治療間隔至少3個月，每人每眼給付以3次為上限。</w:t>
      </w:r>
    </w:p>
    <w:p w14:paraId="7C300A71"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8.每次申請時需另檢附一個月內有效之ICGA照片、治療紀錄及病歷等資料。</w:t>
      </w:r>
    </w:p>
    <w:p w14:paraId="5A0D79E0" w14:textId="02E01CDF" w:rsidR="00401786" w:rsidRDefault="00C64FB3" w:rsidP="00530FF6">
      <w:pPr>
        <w:spacing w:line="300" w:lineRule="exact"/>
        <w:ind w:leftChars="-58" w:left="283" w:hangingChars="176" w:hanging="422"/>
        <w:rPr>
          <w:rFonts w:ascii="標楷體" w:eastAsia="標楷體" w:hAnsi="標楷體"/>
          <w:color w:val="000000"/>
        </w:rPr>
      </w:pPr>
      <w:r>
        <w:rPr>
          <w:rFonts w:ascii="標楷體" w:eastAsia="標楷體" w:hAnsi="標楷體"/>
          <w:color w:val="000000"/>
        </w:rPr>
        <w:t xml:space="preserve">   14.9.6.Atropine sulfate  0.1 mg/mL</w:t>
      </w:r>
      <w:r w:rsidR="00530FF6" w:rsidRPr="00530FF6">
        <w:rPr>
          <w:rFonts w:ascii="標楷體" w:eastAsia="標楷體" w:hAnsi="標楷體" w:hint="eastAsia"/>
          <w:color w:val="000000"/>
        </w:rPr>
        <w:t>- 0.5 mg/mL眼用製劑</w:t>
      </w:r>
      <w:r>
        <w:rPr>
          <w:rFonts w:ascii="標楷體" w:eastAsia="標楷體" w:hAnsi="標楷體"/>
          <w:color w:val="000000"/>
        </w:rPr>
        <w:t>：(112/5/1、113/10/1</w:t>
      </w:r>
      <w:r w:rsidR="00530FF6" w:rsidRPr="00530FF6">
        <w:rPr>
          <w:rFonts w:ascii="標楷體" w:eastAsia="標楷體" w:hAnsi="標楷體" w:hint="eastAsia"/>
          <w:color w:val="000000"/>
        </w:rPr>
        <w:t>、115/8/1</w:t>
      </w:r>
      <w:r>
        <w:rPr>
          <w:rFonts w:ascii="標楷體" w:eastAsia="標楷體" w:hAnsi="標楷體"/>
          <w:color w:val="000000"/>
        </w:rPr>
        <w:t>)</w:t>
      </w:r>
    </w:p>
    <w:p w14:paraId="520964B5" w14:textId="3A16DCE5"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限用於18歲以下兒童及青少年，規格量</w:t>
      </w:r>
      <w:proofErr w:type="gramStart"/>
      <w:r>
        <w:rPr>
          <w:rFonts w:ascii="標楷體" w:eastAsia="標楷體" w:hAnsi="標楷體"/>
          <w:color w:val="000000"/>
        </w:rPr>
        <w:t>≧</w:t>
      </w:r>
      <w:proofErr w:type="gramEnd"/>
      <w:r>
        <w:rPr>
          <w:rFonts w:ascii="標楷體" w:eastAsia="標楷體" w:hAnsi="標楷體"/>
          <w:color w:val="000000"/>
        </w:rPr>
        <w:t xml:space="preserve"> 3.5 mL</w:t>
      </w:r>
      <w:r w:rsidR="00840A45" w:rsidRPr="00840A45">
        <w:rPr>
          <w:rFonts w:ascii="標楷體" w:eastAsia="標楷體" w:hAnsi="標楷體" w:hint="eastAsia"/>
          <w:color w:val="000000"/>
        </w:rPr>
        <w:t>項目</w:t>
      </w:r>
      <w:r>
        <w:rPr>
          <w:rFonts w:ascii="標楷體" w:eastAsia="標楷體" w:hAnsi="標楷體"/>
          <w:color w:val="000000"/>
        </w:rPr>
        <w:t>，每4</w:t>
      </w:r>
      <w:proofErr w:type="gramStart"/>
      <w:r>
        <w:rPr>
          <w:rFonts w:ascii="標楷體" w:eastAsia="標楷體" w:hAnsi="標楷體"/>
          <w:color w:val="000000"/>
        </w:rPr>
        <w:t>週</w:t>
      </w:r>
      <w:proofErr w:type="gramEnd"/>
      <w:r>
        <w:rPr>
          <w:rFonts w:ascii="標楷體" w:eastAsia="標楷體" w:hAnsi="標楷體"/>
          <w:color w:val="000000"/>
        </w:rPr>
        <w:t>處方為1瓶。</w:t>
      </w:r>
    </w:p>
    <w:p w14:paraId="4D6967E4" w14:textId="77777777" w:rsidR="00401786" w:rsidRDefault="00C64FB3" w:rsidP="0009639E">
      <w:pPr>
        <w:suppressAutoHyphens w:val="0"/>
        <w:spacing w:line="300" w:lineRule="exact"/>
        <w:ind w:left="566" w:hanging="283"/>
        <w:textAlignment w:val="auto"/>
        <w:rPr>
          <w:rFonts w:ascii="標楷體" w:eastAsia="標楷體" w:hAnsi="標楷體"/>
          <w:color w:val="000000"/>
        </w:rPr>
      </w:pPr>
      <w:r>
        <w:rPr>
          <w:rFonts w:ascii="標楷體" w:eastAsia="標楷體" w:hAnsi="標楷體"/>
          <w:color w:val="000000"/>
        </w:rPr>
        <w:t xml:space="preserve">14.9.7.新生血管抑制劑 (Anti-angiogenic agents) : ranibizumab (如Lucentis)、aflibercept (如Eylea)、bevacizumab (如Avastin) (114/3/1)： </w:t>
      </w:r>
    </w:p>
    <w:p w14:paraId="5FC3847F" w14:textId="77777777" w:rsidR="00401786" w:rsidRDefault="00C64FB3" w:rsidP="0009639E">
      <w:pPr>
        <w:suppressAutoHyphens w:val="0"/>
        <w:spacing w:line="300" w:lineRule="exact"/>
        <w:ind w:left="849" w:hanging="283"/>
        <w:textAlignment w:val="auto"/>
        <w:rPr>
          <w:rFonts w:ascii="標楷體" w:eastAsia="標楷體" w:hAnsi="標楷體"/>
          <w:color w:val="000000"/>
        </w:rPr>
      </w:pPr>
      <w:proofErr w:type="gramStart"/>
      <w:r>
        <w:rPr>
          <w:rFonts w:ascii="標楷體" w:eastAsia="標楷體" w:hAnsi="標楷體"/>
          <w:color w:val="000000"/>
        </w:rPr>
        <w:t>本類藥品</w:t>
      </w:r>
      <w:proofErr w:type="gramEnd"/>
      <w:r>
        <w:rPr>
          <w:rFonts w:ascii="標楷體" w:eastAsia="標楷體" w:hAnsi="標楷體"/>
          <w:color w:val="000000"/>
        </w:rPr>
        <w:t>使用早產兒視網膜病變(Retinopathy of prematurity, ROP)須符合下列條件：</w:t>
      </w:r>
    </w:p>
    <w:p w14:paraId="6ABEE0D7"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限曾接受</w:t>
      </w:r>
      <w:proofErr w:type="gramEnd"/>
      <w:r>
        <w:rPr>
          <w:rFonts w:ascii="標楷體" w:eastAsia="標楷體" w:hAnsi="標楷體"/>
          <w:color w:val="000000"/>
        </w:rPr>
        <w:t>過訓練之眼科專科醫師施行。</w:t>
      </w:r>
    </w:p>
    <w:p w14:paraId="37C476BE"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2.早產兒視網膜病變，病人應在小兒科新生兒病房(含新生兒加護病房)照護。且病人早產兒視網膜病變之嚴重程度需符合以下條件之</w:t>
      </w:r>
      <w:proofErr w:type="gramStart"/>
      <w:r>
        <w:rPr>
          <w:rFonts w:ascii="標楷體" w:eastAsia="標楷體" w:hAnsi="標楷體"/>
          <w:color w:val="000000"/>
        </w:rPr>
        <w:t>一</w:t>
      </w:r>
      <w:proofErr w:type="gramEnd"/>
      <w:r>
        <w:rPr>
          <w:rFonts w:ascii="標楷體" w:eastAsia="標楷體" w:hAnsi="標楷體"/>
          <w:color w:val="000000"/>
        </w:rPr>
        <w:t>：</w:t>
      </w:r>
    </w:p>
    <w:p w14:paraId="070C1A50"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(1)第一區，疾病為第一期+、第二期+、第三期、第三期+(zone I stage 1+, 2+, 3, or 3+)。</w:t>
      </w:r>
    </w:p>
    <w:p w14:paraId="765A26E2"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(2)第二區，疾病為第二期+、第三期+ (</w:t>
      </w:r>
      <w:proofErr w:type="spellStart"/>
      <w:r>
        <w:rPr>
          <w:rFonts w:ascii="標楷體" w:eastAsia="標楷體" w:hAnsi="標楷體"/>
          <w:color w:val="000000"/>
        </w:rPr>
        <w:t>ZoneⅡ</w:t>
      </w:r>
      <w:proofErr w:type="spellEnd"/>
      <w:r>
        <w:rPr>
          <w:rFonts w:ascii="標楷體" w:eastAsia="標楷體" w:hAnsi="標楷體"/>
          <w:color w:val="000000"/>
        </w:rPr>
        <w:t xml:space="preserve"> stage 2+, </w:t>
      </w:r>
      <w:proofErr w:type="spellStart"/>
      <w:r>
        <w:rPr>
          <w:rFonts w:ascii="標楷體" w:eastAsia="標楷體" w:hAnsi="標楷體"/>
          <w:color w:val="000000"/>
        </w:rPr>
        <w:t>zoneⅡ</w:t>
      </w:r>
      <w:proofErr w:type="spellEnd"/>
      <w:r>
        <w:rPr>
          <w:rFonts w:ascii="標楷體" w:eastAsia="標楷體" w:hAnsi="標楷體"/>
          <w:color w:val="000000"/>
        </w:rPr>
        <w:t xml:space="preserve"> stage 3+)。</w:t>
      </w:r>
    </w:p>
    <w:p w14:paraId="7B92924D"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(3)急進型早產兒視網膜病變(aggressive posterior ROP， AP-ROP)。</w:t>
      </w:r>
    </w:p>
    <w:p w14:paraId="41038AE2"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 xml:space="preserve">3.可選用藥物及給藥劑量： </w:t>
      </w:r>
    </w:p>
    <w:p w14:paraId="3FF3E422"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(1)給藥劑量：</w:t>
      </w:r>
    </w:p>
    <w:p w14:paraId="0A83B2A3" w14:textId="77777777" w:rsidR="00401786" w:rsidRDefault="00C64FB3" w:rsidP="0009639E">
      <w:pPr>
        <w:suppressAutoHyphens w:val="0"/>
        <w:spacing w:line="300" w:lineRule="exact"/>
        <w:ind w:left="1483" w:hanging="348"/>
        <w:textAlignment w:val="auto"/>
        <w:rPr>
          <w:rFonts w:ascii="標楷體" w:eastAsia="標楷體" w:hAnsi="標楷體"/>
          <w:color w:val="000000"/>
        </w:rPr>
      </w:pPr>
      <w:proofErr w:type="spellStart"/>
      <w:r>
        <w:rPr>
          <w:rFonts w:ascii="標楷體" w:eastAsia="標楷體" w:hAnsi="標楷體"/>
          <w:color w:val="000000"/>
        </w:rPr>
        <w:t>Ⅰ.Bevacizumab</w:t>
      </w:r>
      <w:proofErr w:type="spellEnd"/>
      <w:r>
        <w:rPr>
          <w:rFonts w:ascii="標楷體" w:eastAsia="標楷體" w:hAnsi="標楷體"/>
          <w:color w:val="000000"/>
        </w:rPr>
        <w:t xml:space="preserve"> (如Avastin，但</w:t>
      </w:r>
      <w:proofErr w:type="spellStart"/>
      <w:r>
        <w:rPr>
          <w:rFonts w:ascii="標楷體" w:eastAsia="標楷體" w:hAnsi="標楷體"/>
          <w:color w:val="000000"/>
        </w:rPr>
        <w:t>Mvasi</w:t>
      </w:r>
      <w:proofErr w:type="spellEnd"/>
      <w:r>
        <w:rPr>
          <w:rFonts w:ascii="標楷體" w:eastAsia="標楷體" w:hAnsi="標楷體"/>
          <w:color w:val="000000"/>
        </w:rPr>
        <w:t xml:space="preserve">除外): 0.625 mg in 0.025mL。 </w:t>
      </w:r>
    </w:p>
    <w:p w14:paraId="7968D939" w14:textId="77777777" w:rsidR="00401786" w:rsidRDefault="00C64FB3" w:rsidP="0009639E">
      <w:pPr>
        <w:suppressAutoHyphens w:val="0"/>
        <w:spacing w:line="300" w:lineRule="exact"/>
        <w:ind w:left="1483" w:hanging="348"/>
        <w:textAlignment w:val="auto"/>
        <w:rPr>
          <w:rFonts w:ascii="標楷體" w:eastAsia="標楷體" w:hAnsi="標楷體"/>
          <w:color w:val="000000"/>
        </w:rPr>
      </w:pPr>
      <w:proofErr w:type="spellStart"/>
      <w:r>
        <w:rPr>
          <w:rFonts w:ascii="標楷體" w:eastAsia="標楷體" w:hAnsi="標楷體"/>
          <w:color w:val="000000"/>
        </w:rPr>
        <w:t>Ⅱ.Ranibizumab</w:t>
      </w:r>
      <w:proofErr w:type="spellEnd"/>
      <w:r>
        <w:rPr>
          <w:rFonts w:ascii="標楷體" w:eastAsia="標楷體" w:hAnsi="標楷體"/>
          <w:color w:val="000000"/>
        </w:rPr>
        <w:t xml:space="preserve"> (如Lucentis): 0.25mg in 0.025mL。</w:t>
      </w:r>
    </w:p>
    <w:p w14:paraId="466260E2" w14:textId="77777777" w:rsidR="00401786" w:rsidRDefault="00C64FB3" w:rsidP="0009639E">
      <w:pPr>
        <w:suppressAutoHyphens w:val="0"/>
        <w:spacing w:line="300" w:lineRule="exact"/>
        <w:ind w:left="1483" w:hanging="348"/>
        <w:textAlignment w:val="auto"/>
        <w:rPr>
          <w:rFonts w:ascii="標楷體" w:eastAsia="標楷體" w:hAnsi="標楷體"/>
          <w:color w:val="000000"/>
        </w:rPr>
      </w:pPr>
      <w:proofErr w:type="spellStart"/>
      <w:r>
        <w:rPr>
          <w:rFonts w:ascii="標楷體" w:eastAsia="標楷體" w:hAnsi="標楷體"/>
          <w:color w:val="000000"/>
        </w:rPr>
        <w:t>Ⅲ.Aflibercept</w:t>
      </w:r>
      <w:proofErr w:type="spellEnd"/>
      <w:r>
        <w:rPr>
          <w:rFonts w:ascii="標楷體" w:eastAsia="標楷體" w:hAnsi="標楷體"/>
          <w:color w:val="000000"/>
        </w:rPr>
        <w:t xml:space="preserve"> (如Eylea): 1 mg in 0.025 mL。</w:t>
      </w:r>
    </w:p>
    <w:p w14:paraId="472B9DA3"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(2)每1小瓶(支)只限單一病人，若同時施打兩眼，僅限申報1小瓶(支)。</w:t>
      </w:r>
    </w:p>
    <w:p w14:paraId="6F4B4064"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4.每人以3小瓶(支)為限，第一小瓶(支)得由眼科專科醫師專業判斷後先行注射治療及事後報備。申請第二小瓶(支)或第三瓶(支)時，須檢附詳細病歷資料與事前審查申請表(或專用申請表)，經事前審查核准後使用。</w:t>
      </w:r>
    </w:p>
    <w:p w14:paraId="34F235CA"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5.給藥方式全程</w:t>
      </w:r>
      <w:proofErr w:type="gramStart"/>
      <w:r>
        <w:rPr>
          <w:rFonts w:ascii="標楷體" w:eastAsia="標楷體" w:hAnsi="標楷體"/>
          <w:color w:val="000000"/>
        </w:rPr>
        <w:t>採</w:t>
      </w:r>
      <w:proofErr w:type="gramEnd"/>
      <w:r>
        <w:rPr>
          <w:rFonts w:ascii="標楷體" w:eastAsia="標楷體" w:hAnsi="標楷體"/>
          <w:color w:val="000000"/>
        </w:rPr>
        <w:t>無菌操作，並於無菌空間的地方執行且在注射操作期間須執行生命徵象監測。</w:t>
      </w:r>
    </w:p>
    <w:p w14:paraId="4B064ACB"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6.具下列情況之</w:t>
      </w:r>
      <w:proofErr w:type="gramStart"/>
      <w:r>
        <w:rPr>
          <w:rFonts w:ascii="標楷體" w:eastAsia="標楷體" w:hAnsi="標楷體"/>
          <w:color w:val="000000"/>
        </w:rPr>
        <w:t>一</w:t>
      </w:r>
      <w:proofErr w:type="gramEnd"/>
      <w:r>
        <w:rPr>
          <w:rFonts w:ascii="標楷體" w:eastAsia="標楷體" w:hAnsi="標楷體"/>
          <w:color w:val="000000"/>
        </w:rPr>
        <w:t>者，不應使用：</w:t>
      </w:r>
    </w:p>
    <w:p w14:paraId="4B70215E"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 xml:space="preserve">(1)早產兒患有活動性嚴重眼內發炎，或者是打針時受孕後週數(postmenstrual </w:t>
      </w:r>
      <w:proofErr w:type="spellStart"/>
      <w:r>
        <w:rPr>
          <w:rFonts w:ascii="標楷體" w:eastAsia="標楷體" w:hAnsi="標楷體"/>
          <w:color w:val="000000"/>
        </w:rPr>
        <w:t>age,PMA</w:t>
      </w:r>
      <w:proofErr w:type="spellEnd"/>
      <w:r>
        <w:rPr>
          <w:rFonts w:ascii="標楷體" w:eastAsia="標楷體" w:hAnsi="標楷體"/>
          <w:color w:val="000000"/>
        </w:rPr>
        <w:t>)太大。</w:t>
      </w:r>
    </w:p>
    <w:p w14:paraId="27BCE1E6"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(2)早產兒患活動性或疑似眼</w:t>
      </w:r>
      <w:proofErr w:type="gramStart"/>
      <w:r>
        <w:rPr>
          <w:rFonts w:ascii="標楷體" w:eastAsia="標楷體" w:hAnsi="標楷體"/>
          <w:color w:val="000000"/>
        </w:rPr>
        <w:t>部或眼周</w:t>
      </w:r>
      <w:proofErr w:type="gramEnd"/>
      <w:r>
        <w:rPr>
          <w:rFonts w:ascii="標楷體" w:eastAsia="標楷體" w:hAnsi="標楷體"/>
          <w:color w:val="000000"/>
        </w:rPr>
        <w:t>感染者。</w:t>
      </w:r>
    </w:p>
    <w:p w14:paraId="14330ABA"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(3)早產兒對</w:t>
      </w:r>
      <w:proofErr w:type="gramStart"/>
      <w:r>
        <w:rPr>
          <w:rFonts w:ascii="標楷體" w:eastAsia="標楷體" w:hAnsi="標楷體"/>
          <w:color w:val="000000"/>
        </w:rPr>
        <w:t>任何賦形劑</w:t>
      </w:r>
      <w:proofErr w:type="gramEnd"/>
      <w:r>
        <w:rPr>
          <w:rFonts w:ascii="標楷體" w:eastAsia="標楷體" w:hAnsi="標楷體"/>
          <w:color w:val="000000"/>
        </w:rPr>
        <w:t>過敏。</w:t>
      </w:r>
    </w:p>
    <w:p w14:paraId="052F30B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7.使用本藥品需填具病人藥物使用同意書，以示瞭解藥品之潛在益處及風險。</w:t>
      </w:r>
    </w:p>
    <w:p w14:paraId="7E6C2687"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8.早產兒視網膜病變眼內注射anti-VEGF治療，須依臺灣兒科醫學會</w:t>
      </w:r>
      <w:proofErr w:type="gramStart"/>
      <w:r>
        <w:rPr>
          <w:rFonts w:ascii="標楷體" w:eastAsia="標楷體" w:hAnsi="標楷體"/>
          <w:color w:val="000000"/>
        </w:rPr>
        <w:t>最</w:t>
      </w:r>
      <w:proofErr w:type="gramEnd"/>
      <w:r>
        <w:rPr>
          <w:rFonts w:ascii="標楷體" w:eastAsia="標楷體" w:hAnsi="標楷體"/>
          <w:color w:val="000000"/>
        </w:rPr>
        <w:t>新版治療指引內容。</w:t>
      </w:r>
    </w:p>
    <w:p w14:paraId="160F11A4" w14:textId="77777777" w:rsidR="00401786" w:rsidRDefault="00C64FB3" w:rsidP="0009639E">
      <w:pPr>
        <w:suppressAutoHyphens w:val="0"/>
        <w:spacing w:line="300" w:lineRule="exact"/>
        <w:jc w:val="both"/>
        <w:textAlignment w:val="auto"/>
        <w:rPr>
          <w:rFonts w:ascii="標楷體" w:eastAsia="標楷體" w:hAnsi="標楷體"/>
          <w:szCs w:val="24"/>
        </w:rPr>
      </w:pPr>
      <w:r>
        <w:rPr>
          <w:rFonts w:ascii="標楷體" w:eastAsia="標楷體" w:hAnsi="標楷體"/>
          <w:szCs w:val="24"/>
        </w:rPr>
        <w:t>14.9.8.Idebenone(如</w:t>
      </w:r>
      <w:proofErr w:type="spellStart"/>
      <w:r>
        <w:rPr>
          <w:rFonts w:ascii="標楷體" w:eastAsia="標楷體" w:hAnsi="標楷體"/>
          <w:szCs w:val="24"/>
        </w:rPr>
        <w:t>Raxone</w:t>
      </w:r>
      <w:proofErr w:type="spellEnd"/>
      <w:r>
        <w:rPr>
          <w:rFonts w:ascii="標楷體" w:eastAsia="標楷體" w:hAnsi="標楷體"/>
          <w:szCs w:val="24"/>
        </w:rPr>
        <w:t>)：（114/6/1）</w:t>
      </w:r>
    </w:p>
    <w:p w14:paraId="5B247926" w14:textId="77777777" w:rsidR="00401786" w:rsidRDefault="00C64FB3">
      <w:pPr>
        <w:numPr>
          <w:ilvl w:val="0"/>
          <w:numId w:val="34"/>
        </w:numPr>
        <w:suppressAutoHyphens w:val="0"/>
        <w:spacing w:line="300" w:lineRule="exact"/>
        <w:ind w:left="316" w:hanging="198"/>
        <w:jc w:val="both"/>
        <w:textAlignment w:val="auto"/>
        <w:rPr>
          <w:rFonts w:ascii="標楷體" w:eastAsia="標楷體" w:hAnsi="標楷體"/>
          <w:kern w:val="0"/>
          <w:szCs w:val="24"/>
        </w:rPr>
      </w:pPr>
      <w:r>
        <w:rPr>
          <w:rFonts w:ascii="標楷體" w:eastAsia="標楷體" w:hAnsi="標楷體"/>
          <w:kern w:val="0"/>
          <w:szCs w:val="24"/>
        </w:rPr>
        <w:t>限用於經衛生福利部國民</w:t>
      </w:r>
      <w:proofErr w:type="gramStart"/>
      <w:r>
        <w:rPr>
          <w:rFonts w:ascii="標楷體" w:eastAsia="標楷體" w:hAnsi="標楷體"/>
          <w:kern w:val="0"/>
          <w:szCs w:val="24"/>
        </w:rPr>
        <w:t>健康署</w:t>
      </w:r>
      <w:proofErr w:type="gramEnd"/>
      <w:r>
        <w:rPr>
          <w:rFonts w:ascii="標楷體" w:eastAsia="標楷體" w:hAnsi="標楷體"/>
          <w:kern w:val="0"/>
          <w:szCs w:val="24"/>
        </w:rPr>
        <w:t>認定之</w:t>
      </w:r>
      <w:proofErr w:type="gramStart"/>
      <w:r>
        <w:rPr>
          <w:rFonts w:ascii="標楷體" w:eastAsia="標楷體" w:hAnsi="標楷體"/>
          <w:kern w:val="0"/>
          <w:szCs w:val="24"/>
        </w:rPr>
        <w:t>雷伯氏遺傳</w:t>
      </w:r>
      <w:proofErr w:type="gramEnd"/>
      <w:r>
        <w:rPr>
          <w:rFonts w:ascii="標楷體" w:eastAsia="標楷體" w:hAnsi="標楷體"/>
          <w:kern w:val="0"/>
          <w:szCs w:val="24"/>
        </w:rPr>
        <w:t>視神經病變(Leber</w:t>
      </w:r>
      <w:proofErr w:type="gramStart"/>
      <w:r>
        <w:rPr>
          <w:rFonts w:ascii="標楷體" w:eastAsia="標楷體" w:hAnsi="標楷體"/>
          <w:kern w:val="0"/>
          <w:szCs w:val="24"/>
        </w:rPr>
        <w:t>’</w:t>
      </w:r>
      <w:proofErr w:type="gramEnd"/>
      <w:r>
        <w:rPr>
          <w:rFonts w:ascii="標楷體" w:eastAsia="標楷體" w:hAnsi="標楷體"/>
          <w:kern w:val="0"/>
          <w:szCs w:val="24"/>
        </w:rPr>
        <w:t>s hereditary optic neuropathy, LHON)之12歲以上病人，並符合下列條件：</w:t>
      </w:r>
    </w:p>
    <w:p w14:paraId="214885F7"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具有下列一項眼科症狀：</w:t>
      </w:r>
    </w:p>
    <w:p w14:paraId="7648226E" w14:textId="77777777" w:rsidR="00401786" w:rsidRDefault="00C64FB3">
      <w:pPr>
        <w:numPr>
          <w:ilvl w:val="0"/>
          <w:numId w:val="36"/>
        </w:numPr>
        <w:suppressAutoHyphens w:val="0"/>
        <w:spacing w:line="300" w:lineRule="exact"/>
        <w:ind w:left="993" w:hanging="315"/>
        <w:jc w:val="both"/>
        <w:textAlignment w:val="auto"/>
        <w:rPr>
          <w:rFonts w:ascii="標楷體" w:eastAsia="標楷體" w:hAnsi="標楷體"/>
          <w:kern w:val="0"/>
          <w:szCs w:val="24"/>
        </w:rPr>
      </w:pPr>
      <w:r>
        <w:rPr>
          <w:rFonts w:ascii="標楷體" w:eastAsia="標楷體" w:hAnsi="標楷體"/>
          <w:kern w:val="0"/>
          <w:szCs w:val="24"/>
        </w:rPr>
        <w:t>視力減退(Visual acuity decreased)：至少有一發病眼為最佳矯正視力萬國視力表0.6以下。</w:t>
      </w:r>
    </w:p>
    <w:p w14:paraId="485DBDA9" w14:textId="77777777" w:rsidR="00401786" w:rsidRDefault="00C64FB3">
      <w:pPr>
        <w:numPr>
          <w:ilvl w:val="0"/>
          <w:numId w:val="36"/>
        </w:numPr>
        <w:suppressAutoHyphens w:val="0"/>
        <w:spacing w:line="300" w:lineRule="exact"/>
        <w:ind w:left="883" w:hanging="340"/>
        <w:jc w:val="both"/>
        <w:textAlignment w:val="auto"/>
        <w:rPr>
          <w:rFonts w:ascii="標楷體" w:eastAsia="標楷體" w:hAnsi="標楷體"/>
          <w:kern w:val="0"/>
          <w:szCs w:val="24"/>
        </w:rPr>
      </w:pPr>
      <w:r>
        <w:rPr>
          <w:rFonts w:ascii="標楷體" w:eastAsia="標楷體" w:hAnsi="標楷體"/>
          <w:kern w:val="0"/>
          <w:szCs w:val="24"/>
        </w:rPr>
        <w:t>視野缺損(Visual field defect)。</w:t>
      </w:r>
    </w:p>
    <w:p w14:paraId="4F41E538"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具有下列一項眼底檢查(Fundus examination)徵兆：</w:t>
      </w:r>
    </w:p>
    <w:p w14:paraId="2E03739B"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Disc swelling or hyperemia</w:t>
      </w:r>
    </w:p>
    <w:p w14:paraId="5576C81D"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Peripapillary telangiectasia</w:t>
      </w:r>
    </w:p>
    <w:p w14:paraId="48E7F353"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lastRenderedPageBreak/>
        <w:t>Disc atrophy</w:t>
      </w:r>
    </w:p>
    <w:p w14:paraId="056E9B7C"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Others</w:t>
      </w:r>
    </w:p>
    <w:p w14:paraId="7F4F9FD6"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24/30度自動視野檢查呈現視野缺損(scotoma)。</w:t>
      </w:r>
    </w:p>
    <w:p w14:paraId="2CB3D2FF"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proofErr w:type="gramStart"/>
      <w:r>
        <w:rPr>
          <w:rFonts w:ascii="標楷體" w:eastAsia="標楷體" w:hAnsi="標楷體"/>
          <w:kern w:val="0"/>
          <w:szCs w:val="24"/>
        </w:rPr>
        <w:t>具雷伯氏</w:t>
      </w:r>
      <w:proofErr w:type="gramEnd"/>
      <w:r>
        <w:rPr>
          <w:rFonts w:ascii="標楷體" w:eastAsia="標楷體" w:hAnsi="標楷體"/>
          <w:kern w:val="0"/>
          <w:szCs w:val="24"/>
        </w:rPr>
        <w:t>遺傳性視神經病變(LHON)相關致病基因變異，並檢附認證實驗室報告：</w:t>
      </w:r>
    </w:p>
    <w:p w14:paraId="09B25D07" w14:textId="77777777" w:rsidR="00401786" w:rsidRDefault="00C64FB3">
      <w:pPr>
        <w:numPr>
          <w:ilvl w:val="0"/>
          <w:numId w:val="38"/>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主要致病基因變異，mt3460G&gt;A，mt11778G&gt;A，mt14484T&gt;C。</w:t>
      </w:r>
    </w:p>
    <w:p w14:paraId="1AA78799" w14:textId="77777777" w:rsidR="00401786" w:rsidRDefault="00C64FB3">
      <w:pPr>
        <w:numPr>
          <w:ilvl w:val="0"/>
          <w:numId w:val="38"/>
        </w:numPr>
        <w:suppressAutoHyphens w:val="0"/>
        <w:spacing w:line="300" w:lineRule="exact"/>
        <w:ind w:left="827" w:hanging="401"/>
        <w:jc w:val="both"/>
        <w:textAlignment w:val="auto"/>
        <w:rPr>
          <w:rFonts w:ascii="標楷體" w:eastAsia="標楷體" w:hAnsi="標楷體"/>
          <w:kern w:val="0"/>
          <w:szCs w:val="24"/>
        </w:rPr>
      </w:pPr>
      <w:r>
        <w:rPr>
          <w:rFonts w:ascii="標楷體" w:eastAsia="標楷體" w:hAnsi="標楷體"/>
          <w:kern w:val="0"/>
          <w:szCs w:val="24"/>
        </w:rPr>
        <w:t>其他致病基因變異，如mt3635G&gt;A等，請檢附相關文獻報告。</w:t>
      </w:r>
    </w:p>
    <w:p w14:paraId="2809B8F2" w14:textId="77777777" w:rsidR="00401786" w:rsidRDefault="00C64FB3">
      <w:pPr>
        <w:numPr>
          <w:ilvl w:val="0"/>
          <w:numId w:val="34"/>
        </w:numPr>
        <w:suppressAutoHyphens w:val="0"/>
        <w:spacing w:line="300" w:lineRule="exact"/>
        <w:ind w:hanging="362"/>
        <w:jc w:val="both"/>
        <w:textAlignment w:val="auto"/>
        <w:rPr>
          <w:rFonts w:ascii="標楷體" w:eastAsia="標楷體" w:hAnsi="標楷體"/>
          <w:kern w:val="0"/>
          <w:szCs w:val="24"/>
        </w:rPr>
      </w:pPr>
      <w:r>
        <w:rPr>
          <w:rFonts w:ascii="標楷體" w:eastAsia="標楷體" w:hAnsi="標楷體"/>
          <w:kern w:val="0"/>
          <w:szCs w:val="24"/>
        </w:rPr>
        <w:t>需經事前審查核准使用：</w:t>
      </w:r>
    </w:p>
    <w:p w14:paraId="1808F6E1"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第一次申請以12個月為1個療程，初次療程結束後得再申請12個月的療程。</w:t>
      </w:r>
    </w:p>
    <w:p w14:paraId="2AF3DCD9"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第一次申請時，需檢附三個月內</w:t>
      </w:r>
      <w:proofErr w:type="gramStart"/>
      <w:r>
        <w:rPr>
          <w:rFonts w:ascii="標楷體" w:eastAsia="標楷體" w:hAnsi="標楷體"/>
          <w:kern w:val="0"/>
          <w:szCs w:val="24"/>
        </w:rPr>
        <w:t>之患眼最佳</w:t>
      </w:r>
      <w:proofErr w:type="gramEnd"/>
      <w:r>
        <w:rPr>
          <w:rFonts w:ascii="標楷體" w:eastAsia="標楷體" w:hAnsi="標楷體"/>
          <w:kern w:val="0"/>
          <w:szCs w:val="24"/>
        </w:rPr>
        <w:t>矯正視力、眼底彩色照片、視野檢查、OCT(optical coherence tomography)及相關病歷紀錄資料。</w:t>
      </w:r>
    </w:p>
    <w:p w14:paraId="686C32C4"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提報之病歷資料須</w:t>
      </w:r>
      <w:proofErr w:type="gramStart"/>
      <w:r>
        <w:rPr>
          <w:rFonts w:ascii="標楷體" w:eastAsia="標楷體" w:hAnsi="標楷體"/>
          <w:kern w:val="0"/>
          <w:szCs w:val="24"/>
        </w:rPr>
        <w:t>註明各眼發病</w:t>
      </w:r>
      <w:proofErr w:type="gramEnd"/>
      <w:r>
        <w:rPr>
          <w:rFonts w:ascii="標楷體" w:eastAsia="標楷體" w:hAnsi="標楷體"/>
          <w:kern w:val="0"/>
          <w:szCs w:val="24"/>
        </w:rPr>
        <w:t>時間，最近之發病眼發病時間需在申請</w:t>
      </w:r>
      <w:proofErr w:type="gramStart"/>
      <w:r>
        <w:rPr>
          <w:rFonts w:ascii="標楷體" w:eastAsia="標楷體" w:hAnsi="標楷體"/>
          <w:kern w:val="0"/>
          <w:szCs w:val="24"/>
        </w:rPr>
        <w:t>一</w:t>
      </w:r>
      <w:proofErr w:type="gramEnd"/>
      <w:r>
        <w:rPr>
          <w:rFonts w:ascii="標楷體" w:eastAsia="標楷體" w:hAnsi="標楷體"/>
          <w:kern w:val="0"/>
          <w:szCs w:val="24"/>
        </w:rPr>
        <w:t>年內。</w:t>
      </w:r>
    </w:p>
    <w:p w14:paraId="19E4836A"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第二次申請時，需檢附三個月內與第一次申請項目相同之各項檢查紀錄外，須包含經治療後最佳矯正視力進步可達換算</w:t>
      </w:r>
      <w:proofErr w:type="spellStart"/>
      <w:r>
        <w:rPr>
          <w:rFonts w:ascii="標楷體" w:eastAsia="標楷體" w:hAnsi="標楷體"/>
          <w:kern w:val="0"/>
          <w:szCs w:val="24"/>
        </w:rPr>
        <w:t>LogMAR</w:t>
      </w:r>
      <w:proofErr w:type="spellEnd"/>
      <w:r>
        <w:rPr>
          <w:rFonts w:ascii="標楷體" w:eastAsia="標楷體" w:hAnsi="標楷體"/>
          <w:kern w:val="0"/>
          <w:szCs w:val="24"/>
        </w:rPr>
        <w:t xml:space="preserve"> 0.1以上之檢查證明，必要時得要求檢附相關資料。</w:t>
      </w:r>
    </w:p>
    <w:p w14:paraId="6E9236CC" w14:textId="77777777" w:rsidR="00401786" w:rsidRDefault="00C64FB3">
      <w:pPr>
        <w:numPr>
          <w:ilvl w:val="0"/>
          <w:numId w:val="34"/>
        </w:numPr>
        <w:suppressAutoHyphens w:val="0"/>
        <w:spacing w:line="300" w:lineRule="exact"/>
        <w:ind w:hanging="362"/>
        <w:jc w:val="both"/>
        <w:textAlignment w:val="auto"/>
        <w:rPr>
          <w:rFonts w:ascii="標楷體" w:eastAsia="標楷體" w:hAnsi="標楷體"/>
          <w:kern w:val="0"/>
          <w:szCs w:val="24"/>
        </w:rPr>
      </w:pPr>
      <w:r>
        <w:rPr>
          <w:rFonts w:ascii="標楷體" w:eastAsia="標楷體" w:hAnsi="標楷體"/>
          <w:kern w:val="0"/>
          <w:szCs w:val="24"/>
        </w:rPr>
        <w:t>應參照藥物仿單之禁忌情形，如果發生下列現象應停止治療：</w:t>
      </w:r>
    </w:p>
    <w:p w14:paraId="7A4D2046" w14:textId="77777777" w:rsidR="00401786" w:rsidRDefault="00C64FB3">
      <w:pPr>
        <w:numPr>
          <w:ilvl w:val="0"/>
          <w:numId w:val="40"/>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對藥物有無法克服之嚴重不良反應或嚴重過敏反應者。</w:t>
      </w:r>
    </w:p>
    <w:p w14:paraId="7BDC1A7B" w14:textId="77777777" w:rsidR="00401786" w:rsidRPr="00A44991" w:rsidRDefault="00C64FB3">
      <w:pPr>
        <w:numPr>
          <w:ilvl w:val="0"/>
          <w:numId w:val="40"/>
        </w:numPr>
        <w:suppressAutoHyphens w:val="0"/>
        <w:spacing w:line="300" w:lineRule="exact"/>
        <w:ind w:left="648" w:hanging="360"/>
        <w:textAlignment w:val="auto"/>
      </w:pPr>
      <w:r>
        <w:rPr>
          <w:rFonts w:ascii="標楷體" w:eastAsia="標楷體" w:hAnsi="標楷體"/>
          <w:szCs w:val="24"/>
        </w:rPr>
        <w:t>初次療程治療效果</w:t>
      </w:r>
      <w:proofErr w:type="gramStart"/>
      <w:r>
        <w:rPr>
          <w:rFonts w:ascii="標楷體" w:eastAsia="標楷體" w:hAnsi="標楷體"/>
          <w:szCs w:val="24"/>
        </w:rPr>
        <w:t>不</w:t>
      </w:r>
      <w:proofErr w:type="gramEnd"/>
      <w:r>
        <w:rPr>
          <w:rFonts w:ascii="標楷體" w:eastAsia="標楷體" w:hAnsi="標楷體"/>
          <w:szCs w:val="24"/>
        </w:rPr>
        <w:t>彰：矯正視力從「on-chart」退步到「off-chart」，或於「on-chart」視力退步至少15個字母以上。</w:t>
      </w:r>
    </w:p>
    <w:p w14:paraId="45F0E708" w14:textId="77777777" w:rsidR="00A44991" w:rsidRDefault="00A44991" w:rsidP="00A44991">
      <w:pPr>
        <w:suppressAutoHyphens w:val="0"/>
        <w:spacing w:line="300" w:lineRule="exact"/>
        <w:textAlignment w:val="auto"/>
      </w:pPr>
    </w:p>
    <w:p w14:paraId="45DBEB9B" w14:textId="77777777" w:rsidR="00A44991" w:rsidRPr="00A44991" w:rsidRDefault="00A44991" w:rsidP="00A44991">
      <w:pPr>
        <w:suppressAutoHyphens w:val="0"/>
        <w:spacing w:line="300" w:lineRule="exact"/>
        <w:textAlignment w:val="auto"/>
        <w:rPr>
          <w:rFonts w:ascii="標楷體" w:eastAsia="標楷體" w:hAnsi="標楷體"/>
        </w:rPr>
      </w:pPr>
      <w:r w:rsidRPr="00A44991">
        <w:rPr>
          <w:rFonts w:ascii="標楷體" w:eastAsia="標楷體" w:hAnsi="標楷體"/>
        </w:rPr>
        <w:t>14.9.</w:t>
      </w:r>
      <w:r w:rsidRPr="00A44991">
        <w:rPr>
          <w:rFonts w:ascii="標楷體" w:eastAsia="標楷體" w:hAnsi="標楷體" w:hint="eastAsia"/>
        </w:rPr>
        <w:t>9</w:t>
      </w:r>
      <w:r w:rsidRPr="00A44991">
        <w:rPr>
          <w:rFonts w:ascii="標楷體" w:eastAsia="標楷體" w:hAnsi="標楷體"/>
        </w:rPr>
        <w:t>.Cysteamine（如</w:t>
      </w:r>
      <w:proofErr w:type="spellStart"/>
      <w:r w:rsidRPr="00A44991">
        <w:rPr>
          <w:rFonts w:ascii="標楷體" w:eastAsia="標楷體" w:hAnsi="標楷體"/>
        </w:rPr>
        <w:t>Cystadrops</w:t>
      </w:r>
      <w:proofErr w:type="spellEnd"/>
      <w:r w:rsidRPr="00A44991">
        <w:rPr>
          <w:rFonts w:ascii="標楷體" w:eastAsia="標楷體" w:hAnsi="標楷體"/>
        </w:rPr>
        <w:t>）：（114/7/1）</w:t>
      </w:r>
    </w:p>
    <w:p w14:paraId="20EA8103"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1.限用於經衛生福利部國民</w:t>
      </w:r>
      <w:proofErr w:type="gramStart"/>
      <w:r w:rsidRPr="00A44991">
        <w:rPr>
          <w:rFonts w:ascii="標楷體" w:eastAsia="標楷體" w:hAnsi="標楷體"/>
        </w:rPr>
        <w:t>健康署</w:t>
      </w:r>
      <w:proofErr w:type="gramEnd"/>
      <w:r w:rsidRPr="00A44991">
        <w:rPr>
          <w:rFonts w:ascii="標楷體" w:eastAsia="標楷體" w:hAnsi="標楷體"/>
        </w:rPr>
        <w:t>認定之2歲以上兒童及成人</w:t>
      </w:r>
      <w:proofErr w:type="gramStart"/>
      <w:r w:rsidRPr="00A44991">
        <w:rPr>
          <w:rFonts w:ascii="標楷體" w:eastAsia="標楷體" w:hAnsi="標楷體"/>
        </w:rPr>
        <w:t>胱胺酸血症</w:t>
      </w:r>
      <w:proofErr w:type="gramEnd"/>
      <w:r w:rsidRPr="00A44991">
        <w:rPr>
          <w:rFonts w:ascii="標楷體" w:eastAsia="標楷體" w:hAnsi="標楷體"/>
        </w:rPr>
        <w:t>（cystinosis）之病人，且符合下列所有條件：</w:t>
      </w:r>
    </w:p>
    <w:p w14:paraId="5F64128D"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(1)經基因檢測確診為</w:t>
      </w:r>
      <w:proofErr w:type="gramStart"/>
      <w:r w:rsidRPr="00A44991">
        <w:rPr>
          <w:rFonts w:ascii="標楷體" w:eastAsia="標楷體" w:hAnsi="標楷體"/>
        </w:rPr>
        <w:t>胱胺酸血症</w:t>
      </w:r>
      <w:bookmarkStart w:id="93" w:name="_Hlk180416325"/>
      <w:proofErr w:type="gramEnd"/>
      <w:r w:rsidRPr="00A44991">
        <w:rPr>
          <w:rFonts w:ascii="標楷體" w:eastAsia="標楷體" w:hAnsi="標楷體"/>
        </w:rPr>
        <w:t>CTNS基因</w:t>
      </w:r>
      <w:bookmarkEnd w:id="93"/>
      <w:r w:rsidRPr="00A44991">
        <w:rPr>
          <w:rFonts w:ascii="標楷體" w:eastAsia="標楷體" w:hAnsi="標楷體"/>
        </w:rPr>
        <w:t>發生致病變異(Pathogenic Variants)。</w:t>
      </w:r>
    </w:p>
    <w:p w14:paraId="1D28897C"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(2)裂隙燈生體顯微鏡檢查(slit lamp biomicroscope)有角膜</w:t>
      </w:r>
      <w:proofErr w:type="gramStart"/>
      <w:r w:rsidRPr="00A44991">
        <w:rPr>
          <w:rFonts w:ascii="標楷體" w:eastAsia="標楷體" w:hAnsi="標楷體"/>
        </w:rPr>
        <w:t>胱</w:t>
      </w:r>
      <w:proofErr w:type="gramEnd"/>
      <w:r w:rsidRPr="00A44991">
        <w:rPr>
          <w:rFonts w:ascii="標楷體" w:eastAsia="標楷體" w:hAnsi="標楷體"/>
        </w:rPr>
        <w:t>胺酸（cystine）結晶堆積且角膜</w:t>
      </w:r>
      <w:proofErr w:type="gramStart"/>
      <w:r w:rsidRPr="00A44991">
        <w:rPr>
          <w:rFonts w:ascii="標楷體" w:eastAsia="標楷體" w:hAnsi="標楷體"/>
        </w:rPr>
        <w:t>胱</w:t>
      </w:r>
      <w:proofErr w:type="gramEnd"/>
      <w:r w:rsidRPr="00A44991">
        <w:rPr>
          <w:rFonts w:ascii="標楷體" w:eastAsia="標楷體" w:hAnsi="標楷體"/>
        </w:rPr>
        <w:t>胺酸晶體裂隙燈檢查分級(CCCS)2.0(含)以上。</w:t>
      </w:r>
    </w:p>
    <w:p w14:paraId="372F20DB"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(3)病人自我評估畏光度及醫師檢測畏光度2.0(含)以上。</w:t>
      </w:r>
    </w:p>
    <w:p w14:paraId="260C3DFD"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2.限由眼科專科醫師處方和評估療效及副作用。</w:t>
      </w:r>
    </w:p>
    <w:p w14:paraId="3EB2D0E0"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3.需經事前審查核准後使用，期滿需提出療效評估項目資料再次申請並經核准後使用：</w:t>
      </w:r>
    </w:p>
    <w:p w14:paraId="6D040387" w14:textId="77777777" w:rsidR="00A44991" w:rsidRPr="00A44991" w:rsidRDefault="00A44991" w:rsidP="00A44991">
      <w:pPr>
        <w:suppressAutoHyphens w:val="0"/>
        <w:spacing w:line="300" w:lineRule="exact"/>
        <w:ind w:leftChars="177" w:left="850" w:hangingChars="177" w:hanging="425"/>
        <w:textAlignment w:val="auto"/>
        <w:rPr>
          <w:rFonts w:ascii="標楷體" w:eastAsia="標楷體" w:hAnsi="標楷體"/>
        </w:rPr>
      </w:pPr>
      <w:r w:rsidRPr="00A44991">
        <w:rPr>
          <w:rFonts w:ascii="標楷體" w:eastAsia="標楷體" w:hAnsi="標楷體"/>
        </w:rPr>
        <w:t>(1)第一次申請，核給3個月(12瓶)的藥量，期滿需經裂隙燈生體顯微鏡證實CCCS降低0.5(含)以上，得第二次申請，並核給6個月(24瓶)的藥量。</w:t>
      </w:r>
    </w:p>
    <w:p w14:paraId="4E08504C" w14:textId="77777777" w:rsidR="00A44991" w:rsidRPr="00A44991" w:rsidRDefault="00A44991" w:rsidP="00A44991">
      <w:pPr>
        <w:suppressAutoHyphens w:val="0"/>
        <w:spacing w:line="300" w:lineRule="exact"/>
        <w:ind w:leftChars="178" w:left="849" w:hangingChars="176" w:hanging="422"/>
        <w:textAlignment w:val="auto"/>
        <w:rPr>
          <w:rFonts w:ascii="標楷體" w:eastAsia="標楷體" w:hAnsi="標楷體"/>
        </w:rPr>
      </w:pPr>
      <w:r w:rsidRPr="00A44991">
        <w:rPr>
          <w:rFonts w:ascii="標楷體" w:eastAsia="標楷體" w:hAnsi="標楷體"/>
        </w:rPr>
        <w:t>(2)</w:t>
      </w:r>
      <w:bookmarkStart w:id="94" w:name="_Hlk181785771"/>
      <w:r w:rsidRPr="00A44991">
        <w:rPr>
          <w:rFonts w:ascii="標楷體" w:eastAsia="標楷體" w:hAnsi="標楷體"/>
        </w:rPr>
        <w:t>第三次(含)後申請</w:t>
      </w:r>
      <w:bookmarkEnd w:id="94"/>
      <w:r w:rsidRPr="00A44991">
        <w:rPr>
          <w:rFonts w:ascii="標楷體" w:eastAsia="標楷體" w:hAnsi="標楷體"/>
        </w:rPr>
        <w:t>，需與前次申請間隔至少半年始得提出，每次申請核給24瓶的藥量並符合下列所有條件，始得續用：</w:t>
      </w:r>
    </w:p>
    <w:p w14:paraId="2FFD4FFF" w14:textId="77777777" w:rsidR="00A44991" w:rsidRPr="00A44991" w:rsidRDefault="00A44991" w:rsidP="002144EC">
      <w:pPr>
        <w:numPr>
          <w:ilvl w:val="0"/>
          <w:numId w:val="123"/>
        </w:numPr>
        <w:suppressAutoHyphens w:val="0"/>
        <w:spacing w:line="300" w:lineRule="exact"/>
        <w:ind w:left="1276"/>
        <w:textAlignment w:val="auto"/>
        <w:rPr>
          <w:rFonts w:ascii="標楷體" w:eastAsia="標楷體" w:hAnsi="標楷體"/>
        </w:rPr>
      </w:pPr>
      <w:r w:rsidRPr="00A44991">
        <w:rPr>
          <w:rFonts w:ascii="標楷體" w:eastAsia="標楷體" w:hAnsi="標楷體"/>
        </w:rPr>
        <w:t>經裂隙燈生體顯微鏡證實</w:t>
      </w:r>
      <w:bookmarkStart w:id="95" w:name="_Hlk181785782"/>
      <w:r w:rsidRPr="00A44991">
        <w:rPr>
          <w:rFonts w:ascii="標楷體" w:eastAsia="標楷體" w:hAnsi="標楷體"/>
        </w:rPr>
        <w:t>CCCS仍在2.0(含)以上且較第一次申請時降低1.0(含)以上。</w:t>
      </w:r>
      <w:bookmarkEnd w:id="95"/>
    </w:p>
    <w:p w14:paraId="23F2C20E" w14:textId="77777777" w:rsidR="00A44991" w:rsidRPr="00A44991" w:rsidRDefault="00A44991" w:rsidP="002144EC">
      <w:pPr>
        <w:numPr>
          <w:ilvl w:val="0"/>
          <w:numId w:val="123"/>
        </w:numPr>
        <w:suppressAutoHyphens w:val="0"/>
        <w:spacing w:line="300" w:lineRule="exact"/>
        <w:ind w:left="1276"/>
        <w:textAlignment w:val="auto"/>
        <w:rPr>
          <w:rFonts w:ascii="標楷體" w:eastAsia="標楷體" w:hAnsi="標楷體"/>
        </w:rPr>
      </w:pPr>
      <w:r w:rsidRPr="00A44991">
        <w:rPr>
          <w:rFonts w:ascii="標楷體" w:eastAsia="標楷體" w:hAnsi="標楷體"/>
        </w:rPr>
        <w:t>病人自我評估畏光度及醫師檢測畏光度仍在2.0(含)以上且較第一次申請時降低1.0(含)以上。</w:t>
      </w:r>
    </w:p>
    <w:p w14:paraId="330B5373" w14:textId="77777777" w:rsidR="00A44991" w:rsidRPr="00A44991" w:rsidRDefault="00A44991" w:rsidP="00A44991">
      <w:pPr>
        <w:suppressAutoHyphens w:val="0"/>
        <w:spacing w:line="300" w:lineRule="exact"/>
        <w:ind w:leftChars="119" w:left="567" w:hangingChars="117" w:hanging="281"/>
        <w:textAlignment w:val="auto"/>
        <w:rPr>
          <w:rFonts w:ascii="標楷體" w:eastAsia="標楷體" w:hAnsi="標楷體"/>
        </w:rPr>
      </w:pPr>
      <w:bookmarkStart w:id="96" w:name="_Hlk180416683"/>
      <w:r w:rsidRPr="00A44991">
        <w:rPr>
          <w:rFonts w:ascii="標楷體" w:eastAsia="標楷體" w:hAnsi="標楷體"/>
        </w:rPr>
        <w:t>4.經裂隙燈生體顯微鏡證實CCCS在1.0(含)以</w:t>
      </w:r>
      <w:bookmarkEnd w:id="96"/>
      <w:r w:rsidRPr="00A44991">
        <w:rPr>
          <w:rFonts w:ascii="標楷體" w:eastAsia="標楷體" w:hAnsi="標楷體"/>
        </w:rPr>
        <w:t>下且病人自我評估畏光度及醫師檢測畏光度1.0(含)以下應先暫停用藥，得視病情需要重新申請使用。</w:t>
      </w:r>
    </w:p>
    <w:p w14:paraId="548D3DBD"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5.每年最多給付52瓶。</w:t>
      </w:r>
    </w:p>
    <w:p w14:paraId="49866921"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6.療效評估項目：</w:t>
      </w:r>
    </w:p>
    <w:p w14:paraId="447BFF4A" w14:textId="77777777" w:rsidR="00A44991" w:rsidRPr="00A44991" w:rsidRDefault="00A44991" w:rsidP="00A44991">
      <w:pPr>
        <w:suppressAutoHyphens w:val="0"/>
        <w:spacing w:line="300" w:lineRule="exact"/>
        <w:ind w:leftChars="178" w:left="708" w:hangingChars="117" w:hanging="281"/>
        <w:textAlignment w:val="auto"/>
        <w:rPr>
          <w:rFonts w:ascii="標楷體" w:eastAsia="標楷體" w:hAnsi="標楷體"/>
        </w:rPr>
      </w:pPr>
      <w:r w:rsidRPr="00A44991">
        <w:rPr>
          <w:rFonts w:ascii="標楷體" w:eastAsia="標楷體" w:hAnsi="標楷體"/>
        </w:rPr>
        <w:t>(1)角膜</w:t>
      </w:r>
      <w:proofErr w:type="gramStart"/>
      <w:r w:rsidRPr="00A44991">
        <w:rPr>
          <w:rFonts w:ascii="標楷體" w:eastAsia="標楷體" w:hAnsi="標楷體"/>
        </w:rPr>
        <w:t>胱</w:t>
      </w:r>
      <w:proofErr w:type="gramEnd"/>
      <w:r w:rsidRPr="00A44991">
        <w:rPr>
          <w:rFonts w:ascii="標楷體" w:eastAsia="標楷體" w:hAnsi="標楷體"/>
        </w:rPr>
        <w:t>胺酸晶體裂隙燈檢查分級（</w:t>
      </w:r>
      <w:proofErr w:type="spellStart"/>
      <w:r w:rsidRPr="00A44991">
        <w:rPr>
          <w:rFonts w:ascii="標楷體" w:eastAsia="標楷體" w:hAnsi="標楷體"/>
        </w:rPr>
        <w:t>Gahl’s</w:t>
      </w:r>
      <w:proofErr w:type="spellEnd"/>
      <w:r w:rsidRPr="00A44991">
        <w:rPr>
          <w:rFonts w:ascii="標楷體" w:eastAsia="標楷體" w:hAnsi="標楷體"/>
        </w:rPr>
        <w:t xml:space="preserve"> Corneal Cystine Crystal Score, CCCS）。</w:t>
      </w:r>
    </w:p>
    <w:p w14:paraId="63FD8DBA"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(2)病人自我評估畏光度（Self-Assessed Photophobia）。</w:t>
      </w:r>
    </w:p>
    <w:p w14:paraId="1132FC3A"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(3)</w:t>
      </w:r>
      <w:bookmarkStart w:id="97" w:name="_Hlk179567795"/>
      <w:r w:rsidRPr="00A44991">
        <w:rPr>
          <w:rFonts w:ascii="標楷體" w:eastAsia="標楷體" w:hAnsi="標楷體"/>
        </w:rPr>
        <w:t>醫師檢測畏光度</w:t>
      </w:r>
      <w:bookmarkEnd w:id="97"/>
      <w:r w:rsidRPr="00A44991">
        <w:rPr>
          <w:rFonts w:ascii="標楷體" w:eastAsia="標楷體" w:hAnsi="標楷體"/>
        </w:rPr>
        <w:t>（Clinician-Assessed Photophobia）。</w:t>
      </w:r>
    </w:p>
    <w:p w14:paraId="6C0306DF"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7.停藥條件：</w:t>
      </w:r>
    </w:p>
    <w:p w14:paraId="4B2B95FE"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(1)產生不良反應。</w:t>
      </w:r>
    </w:p>
    <w:p w14:paraId="62260A36"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(2)無法忍受局部藥物不良反應(如：眼睛刺激、灼熱、刺痛等)。</w:t>
      </w:r>
    </w:p>
    <w:p w14:paraId="6862AAC2" w14:textId="77777777" w:rsidR="00A44991" w:rsidRPr="00A44991" w:rsidRDefault="00A44991" w:rsidP="00A44991">
      <w:pPr>
        <w:suppressAutoHyphens w:val="0"/>
        <w:spacing w:line="300" w:lineRule="exact"/>
        <w:textAlignment w:val="auto"/>
        <w:rPr>
          <w:rFonts w:ascii="標楷體" w:eastAsia="標楷體" w:hAnsi="標楷體"/>
        </w:rPr>
      </w:pPr>
      <w:r w:rsidRPr="00A44991">
        <w:rPr>
          <w:rFonts w:ascii="標楷體" w:eastAsia="標楷體" w:hAnsi="標楷體"/>
        </w:rPr>
        <w:t>備註：</w:t>
      </w:r>
    </w:p>
    <w:p w14:paraId="2C3DB8F5" w14:textId="77777777" w:rsidR="00A44991" w:rsidRPr="00A44991" w:rsidRDefault="00A44991" w:rsidP="00A44991">
      <w:pPr>
        <w:suppressAutoHyphens w:val="0"/>
        <w:spacing w:line="300" w:lineRule="exact"/>
        <w:ind w:leftChars="119" w:left="567" w:hangingChars="117" w:hanging="281"/>
        <w:textAlignment w:val="auto"/>
        <w:rPr>
          <w:rFonts w:ascii="標楷體" w:eastAsia="標楷體" w:hAnsi="標楷體"/>
        </w:rPr>
      </w:pPr>
      <w:r w:rsidRPr="00A44991">
        <w:rPr>
          <w:rFonts w:ascii="標楷體" w:eastAsia="標楷體" w:hAnsi="標楷體"/>
        </w:rPr>
        <w:lastRenderedPageBreak/>
        <w:t>1.病人自我評估畏光度分級：等級 0，無畏光，無不適；等級 1，輕微對光線敏感導致偶爾眨眼；等級 2，輕微對光線敏感導致經常眨眼；等級 3，中度對光線</w:t>
      </w:r>
      <w:proofErr w:type="gramStart"/>
      <w:r w:rsidRPr="00A44991">
        <w:rPr>
          <w:rFonts w:ascii="標楷體" w:eastAsia="標楷體" w:hAnsi="標楷體"/>
        </w:rPr>
        <w:t>敏感需戴太陽眼鏡</w:t>
      </w:r>
      <w:proofErr w:type="gramEnd"/>
      <w:r w:rsidRPr="00A44991">
        <w:rPr>
          <w:rFonts w:ascii="標楷體" w:eastAsia="標楷體" w:hAnsi="標楷體"/>
        </w:rPr>
        <w:t>；等級 4，嚴重對光線敏感需長期戴太陽眼鏡；等級 5，極端對光線敏感需待在室內，即便戴太陽眼鏡也無法忍受自然光。</w:t>
      </w:r>
    </w:p>
    <w:p w14:paraId="56ED58BB" w14:textId="77777777" w:rsidR="00A44991" w:rsidRDefault="00A44991" w:rsidP="00A44991">
      <w:pPr>
        <w:suppressAutoHyphens w:val="0"/>
        <w:spacing w:line="300" w:lineRule="exact"/>
        <w:ind w:leftChars="119" w:left="567" w:hangingChars="117" w:hanging="281"/>
        <w:textAlignment w:val="auto"/>
        <w:rPr>
          <w:rFonts w:ascii="標楷體" w:eastAsia="標楷體" w:hAnsi="標楷體"/>
        </w:rPr>
      </w:pPr>
      <w:r w:rsidRPr="00A44991">
        <w:rPr>
          <w:rFonts w:ascii="標楷體" w:eastAsia="標楷體" w:hAnsi="標楷體"/>
        </w:rPr>
        <w:t>2.醫師檢測畏光度分級：等級 0，即使在裂隙燈生體顯微鏡檢查使用最大狹縫光束下也無畏光；等級 1，對裂隙燈生體顯微鏡檢查使用中等狹縫燈光有畏光反應；等級 2，對裂隙燈生體顯微鏡檢查使用最輕微狹縫燈光有畏光反應；等級 3，無法忍受裂隙燈生體顯微鏡檢查使用藍色狹縫燈光的畏光；等級 4，需要戴深色眼鏡且在照明的診療室內無法睜開眼睛的畏光；等級 5，即使在黑暗的房間內也無法睜開眼睛</w:t>
      </w:r>
      <w:r>
        <w:rPr>
          <w:rFonts w:ascii="標楷體" w:eastAsia="標楷體" w:hAnsi="標楷體" w:hint="eastAsia"/>
        </w:rPr>
        <w:t>。</w:t>
      </w:r>
    </w:p>
    <w:p w14:paraId="6A71F3F2" w14:textId="77777777" w:rsidR="00CC252C" w:rsidRDefault="00CC252C" w:rsidP="00A44991">
      <w:pPr>
        <w:suppressAutoHyphens w:val="0"/>
        <w:spacing w:line="300" w:lineRule="exact"/>
        <w:ind w:leftChars="119" w:left="567" w:hangingChars="117" w:hanging="281"/>
        <w:textAlignment w:val="auto"/>
        <w:rPr>
          <w:rFonts w:ascii="標楷體" w:eastAsia="標楷體" w:hAnsi="標楷體"/>
        </w:rPr>
      </w:pPr>
    </w:p>
    <w:p w14:paraId="30A867FA" w14:textId="77777777" w:rsidR="00CC252C" w:rsidRDefault="00CC252C">
      <w:pPr>
        <w:widowControl/>
        <w:suppressAutoHyphens w:val="0"/>
        <w:rPr>
          <w:rFonts w:ascii="標楷體" w:eastAsia="標楷體" w:hAnsi="標楷體"/>
          <w:b/>
          <w:sz w:val="32"/>
          <w:szCs w:val="32"/>
        </w:rPr>
      </w:pPr>
      <w:r>
        <w:br w:type="page"/>
      </w:r>
    </w:p>
    <w:p w14:paraId="47A9AC39" w14:textId="77777777" w:rsidR="00401786" w:rsidRDefault="00C64FB3" w:rsidP="0009639E">
      <w:pPr>
        <w:pStyle w:val="2"/>
        <w:spacing w:line="300" w:lineRule="exact"/>
      </w:pPr>
      <w:r>
        <w:lastRenderedPageBreak/>
        <w:t>第15節 婦科製劑 Gynecological preparations</w:t>
      </w:r>
    </w:p>
    <w:p w14:paraId="5340EEB5"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7D127416"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15.1.Prostaglandin E 栓劑 (如</w:t>
      </w:r>
      <w:proofErr w:type="spellStart"/>
      <w:r>
        <w:rPr>
          <w:rFonts w:ascii="標楷體" w:eastAsia="標楷體" w:hAnsi="標楷體"/>
          <w:color w:val="000000"/>
        </w:rPr>
        <w:t>Prostin</w:t>
      </w:r>
      <w:proofErr w:type="spellEnd"/>
      <w:r>
        <w:rPr>
          <w:rFonts w:ascii="標楷體" w:eastAsia="標楷體" w:hAnsi="標楷體"/>
          <w:color w:val="000000"/>
        </w:rPr>
        <w:t xml:space="preserve"> E VT )：</w:t>
      </w:r>
    </w:p>
    <w:p w14:paraId="47FC6422"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限產科引產時使用。</w:t>
      </w:r>
    </w:p>
    <w:p w14:paraId="389A34CF" w14:textId="77777777" w:rsidR="00D45776" w:rsidRPr="00B20927" w:rsidRDefault="00D45776" w:rsidP="00D45776">
      <w:pPr>
        <w:spacing w:line="300" w:lineRule="exact"/>
        <w:ind w:left="283"/>
        <w:rPr>
          <w:rFonts w:ascii="標楷體" w:eastAsia="標楷體" w:hAnsi="標楷體"/>
          <w:color w:val="000000"/>
        </w:rPr>
      </w:pPr>
      <w:r w:rsidRPr="00B20927">
        <w:rPr>
          <w:rFonts w:ascii="標楷體" w:eastAsia="標楷體" w:hAnsi="標楷體"/>
          <w:color w:val="000000"/>
        </w:rPr>
        <w:t>15.2.Atosiban(如</w:t>
      </w:r>
      <w:proofErr w:type="spellStart"/>
      <w:r w:rsidRPr="00B20927">
        <w:rPr>
          <w:rFonts w:ascii="標楷體" w:eastAsia="標楷體" w:hAnsi="標楷體"/>
          <w:color w:val="000000"/>
        </w:rPr>
        <w:t>Betosiban</w:t>
      </w:r>
      <w:proofErr w:type="spellEnd"/>
      <w:r w:rsidRPr="00B20927">
        <w:rPr>
          <w:rFonts w:ascii="標楷體" w:eastAsia="標楷體" w:hAnsi="標楷體"/>
          <w:color w:val="000000"/>
        </w:rPr>
        <w:t>、</w:t>
      </w:r>
      <w:proofErr w:type="spellStart"/>
      <w:r w:rsidRPr="00B20927">
        <w:rPr>
          <w:rFonts w:ascii="標楷體" w:eastAsia="標楷體" w:hAnsi="標楷體"/>
          <w:color w:val="000000"/>
        </w:rPr>
        <w:t>Tractocile</w:t>
      </w:r>
      <w:proofErr w:type="spellEnd"/>
      <w:r w:rsidRPr="00B20927">
        <w:rPr>
          <w:rFonts w:ascii="標楷體" w:eastAsia="標楷體" w:hAnsi="標楷體"/>
          <w:color w:val="000000"/>
        </w:rPr>
        <w:t>)：(111/9/1、114/2/1</w:t>
      </w:r>
      <w:r w:rsidRPr="00B20927">
        <w:rPr>
          <w:rFonts w:ascii="標楷體" w:eastAsia="標楷體" w:hAnsi="標楷體" w:hint="eastAsia"/>
          <w:color w:val="000000"/>
        </w:rPr>
        <w:t>、114/8/1</w:t>
      </w:r>
      <w:r w:rsidRPr="00B20927">
        <w:rPr>
          <w:rFonts w:ascii="標楷體" w:eastAsia="標楷體" w:hAnsi="標楷體"/>
          <w:color w:val="000000"/>
        </w:rPr>
        <w:t>)</w:t>
      </w:r>
    </w:p>
    <w:p w14:paraId="0EE8B57B" w14:textId="77777777" w:rsidR="00D45776" w:rsidRPr="00B20927" w:rsidRDefault="00D45776" w:rsidP="00D45776">
      <w:pPr>
        <w:spacing w:line="300" w:lineRule="exact"/>
        <w:ind w:left="426" w:firstLineChars="117" w:firstLine="281"/>
        <w:rPr>
          <w:rFonts w:ascii="標楷體" w:eastAsia="標楷體" w:hAnsi="標楷體"/>
          <w:color w:val="000000"/>
        </w:rPr>
      </w:pPr>
      <w:r w:rsidRPr="00B20927">
        <w:rPr>
          <w:rFonts w:ascii="標楷體" w:eastAsia="標楷體" w:hAnsi="標楷體"/>
          <w:color w:val="000000"/>
        </w:rPr>
        <w:t>1.限用於延遲妊娠婦女迫切的早產，並符合下列所有條件者：</w:t>
      </w:r>
    </w:p>
    <w:p w14:paraId="1086DFB7"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(1)18歲以上之婦女且妊娠週數在24</w:t>
      </w:r>
      <w:proofErr w:type="gramStart"/>
      <w:r w:rsidRPr="00B20927">
        <w:rPr>
          <w:rFonts w:ascii="標楷體" w:eastAsia="標楷體" w:hAnsi="標楷體"/>
          <w:color w:val="000000"/>
        </w:rPr>
        <w:t>週</w:t>
      </w:r>
      <w:proofErr w:type="gramEnd"/>
      <w:r w:rsidRPr="00B20927">
        <w:rPr>
          <w:rFonts w:ascii="標楷體" w:eastAsia="標楷體" w:hAnsi="標楷體"/>
          <w:color w:val="000000"/>
        </w:rPr>
        <w:t>至33</w:t>
      </w:r>
      <w:proofErr w:type="gramStart"/>
      <w:r w:rsidRPr="00B20927">
        <w:rPr>
          <w:rFonts w:ascii="標楷體" w:eastAsia="標楷體" w:hAnsi="標楷體"/>
          <w:color w:val="000000"/>
        </w:rPr>
        <w:t>週</w:t>
      </w:r>
      <w:proofErr w:type="gramEnd"/>
      <w:r w:rsidRPr="00B20927">
        <w:rPr>
          <w:rFonts w:ascii="標楷體" w:eastAsia="標楷體" w:hAnsi="標楷體"/>
          <w:color w:val="000000"/>
        </w:rPr>
        <w:t>。</w:t>
      </w:r>
    </w:p>
    <w:p w14:paraId="21413384"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(2)</w:t>
      </w:r>
      <w:proofErr w:type="gramStart"/>
      <w:r w:rsidRPr="00B20927">
        <w:rPr>
          <w:rFonts w:ascii="標楷體" w:eastAsia="標楷體" w:hAnsi="標楷體"/>
          <w:color w:val="000000"/>
        </w:rPr>
        <w:t>規律宮縮至少</w:t>
      </w:r>
      <w:proofErr w:type="gramEnd"/>
      <w:r w:rsidRPr="00B20927">
        <w:rPr>
          <w:rFonts w:ascii="標楷體" w:eastAsia="標楷體" w:hAnsi="標楷體"/>
          <w:color w:val="000000"/>
        </w:rPr>
        <w:t>持續30秒，頻率大於等於每30分鐘4次。</w:t>
      </w:r>
    </w:p>
    <w:p w14:paraId="5D622618" w14:textId="77777777" w:rsidR="00D45776" w:rsidRPr="00B20927" w:rsidRDefault="00D45776" w:rsidP="00D45776">
      <w:pPr>
        <w:spacing w:line="300" w:lineRule="exact"/>
        <w:ind w:left="1131" w:hanging="286"/>
      </w:pPr>
      <w:r w:rsidRPr="00B20927">
        <w:rPr>
          <w:rFonts w:ascii="標楷體" w:eastAsia="標楷體" w:hAnsi="標楷體"/>
          <w:color w:val="000000"/>
        </w:rPr>
        <w:t>(3)子宮頸擴張1至3公分（初產婦0至3公分）和</w:t>
      </w:r>
      <w:proofErr w:type="gramStart"/>
      <w:r w:rsidRPr="00B20927">
        <w:rPr>
          <w:rFonts w:ascii="標楷體" w:eastAsia="標楷體" w:hAnsi="標楷體"/>
          <w:color w:val="000000"/>
        </w:rPr>
        <w:t>子宮頸展平</w:t>
      </w:r>
      <w:proofErr w:type="gramEnd"/>
      <w:r w:rsidRPr="00B20927">
        <w:rPr>
          <w:rFonts w:ascii="標楷體" w:eastAsia="標楷體" w:hAnsi="標楷體"/>
          <w:color w:val="000000"/>
        </w:rPr>
        <w:t xml:space="preserve">(cervical effacement) </w:t>
      </w:r>
      <w:r w:rsidRPr="00B20927">
        <w:rPr>
          <w:rFonts w:ascii="Times New Roman" w:eastAsia="標楷體" w:hAnsi="Times New Roman"/>
          <w:color w:val="000000"/>
        </w:rPr>
        <w:t>≥</w:t>
      </w:r>
      <w:r w:rsidRPr="00B20927">
        <w:rPr>
          <w:rFonts w:ascii="標楷體" w:eastAsia="標楷體" w:hAnsi="標楷體"/>
          <w:color w:val="000000"/>
        </w:rPr>
        <w:t>50%。</w:t>
      </w:r>
    </w:p>
    <w:p w14:paraId="195C4A14"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(4)胎兒心律正常。</w:t>
      </w:r>
    </w:p>
    <w:p w14:paraId="04928F33" w14:textId="77777777" w:rsidR="00D45776" w:rsidRPr="00B20927" w:rsidRDefault="00D45776" w:rsidP="00D45776">
      <w:pPr>
        <w:spacing w:line="300" w:lineRule="exact"/>
        <w:ind w:left="1131" w:hanging="286"/>
        <w:rPr>
          <w:rFonts w:ascii="標楷體" w:eastAsia="標楷體" w:hAnsi="標楷體"/>
          <w:color w:val="000000"/>
        </w:rPr>
      </w:pPr>
      <w:r w:rsidRPr="00B20927">
        <w:rPr>
          <w:rFonts w:ascii="標楷體" w:eastAsia="標楷體" w:hAnsi="標楷體"/>
          <w:color w:val="000000"/>
        </w:rPr>
        <w:t>(5)經使用ritodrine療效</w:t>
      </w:r>
      <w:proofErr w:type="gramStart"/>
      <w:r w:rsidRPr="00B20927">
        <w:rPr>
          <w:rFonts w:ascii="標楷體" w:eastAsia="標楷體" w:hAnsi="標楷體"/>
          <w:color w:val="000000"/>
        </w:rPr>
        <w:t>不</w:t>
      </w:r>
      <w:proofErr w:type="gramEnd"/>
      <w:r w:rsidRPr="00B20927">
        <w:rPr>
          <w:rFonts w:ascii="標楷體" w:eastAsia="標楷體" w:hAnsi="標楷體"/>
          <w:color w:val="000000"/>
        </w:rPr>
        <w:t>彰或無法耐受其副作用、或是屬易出現嚴重副作用的高危險群孕婦，無安胎禁忌症者。「易出現嚴重副作用的高危險群孕婦」，指符合下列任1項高風險條件者：(114/2/1)</w:t>
      </w:r>
    </w:p>
    <w:p w14:paraId="058C5845"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Ⅰ.多胞胎妊娠。</w:t>
      </w:r>
    </w:p>
    <w:p w14:paraId="74230024"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Ⅱ.心血管疾病(如心臟衰竭、缺血性心臟病、心律不整、</w:t>
      </w:r>
      <w:proofErr w:type="gramStart"/>
      <w:r w:rsidRPr="00B20927">
        <w:rPr>
          <w:rFonts w:ascii="標楷體" w:eastAsia="標楷體" w:hAnsi="標楷體"/>
          <w:color w:val="000000"/>
        </w:rPr>
        <w:t>心搏過速</w:t>
      </w:r>
      <w:proofErr w:type="gramEnd"/>
      <w:r w:rsidRPr="00B20927">
        <w:rPr>
          <w:rFonts w:ascii="標楷體" w:eastAsia="標楷體" w:hAnsi="標楷體"/>
          <w:color w:val="000000"/>
        </w:rPr>
        <w:t>)。</w:t>
      </w:r>
    </w:p>
    <w:p w14:paraId="7DC9644E"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Ⅲ.高血壓疾患（如慢性高血壓、妊娠高血壓、子</w:t>
      </w:r>
      <w:proofErr w:type="gramStart"/>
      <w:r w:rsidRPr="00B20927">
        <w:rPr>
          <w:rFonts w:ascii="標楷體" w:eastAsia="標楷體" w:hAnsi="標楷體"/>
          <w:color w:val="000000"/>
        </w:rPr>
        <w:t>癲前症</w:t>
      </w:r>
      <w:proofErr w:type="gramEnd"/>
      <w:r w:rsidRPr="00B20927">
        <w:rPr>
          <w:rFonts w:ascii="標楷體" w:eastAsia="標楷體" w:hAnsi="標楷體"/>
          <w:color w:val="000000"/>
        </w:rPr>
        <w:t>）。</w:t>
      </w:r>
    </w:p>
    <w:p w14:paraId="3219EEA9"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Ⅳ.糖尿病(包括孕前糖尿病及妊娠糖尿病)。(114/2/1)</w:t>
      </w:r>
    </w:p>
    <w:p w14:paraId="27E599A5"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Ⅴ.甲狀腺功能異常。</w:t>
      </w:r>
    </w:p>
    <w:p w14:paraId="2E441706"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Ⅵ.肺部功能異常、或氣喘。</w:t>
      </w:r>
    </w:p>
    <w:p w14:paraId="053410FB" w14:textId="77777777" w:rsidR="00D45776" w:rsidRPr="00B20927" w:rsidRDefault="00D45776" w:rsidP="00D45776">
      <w:pPr>
        <w:spacing w:line="300" w:lineRule="exact"/>
        <w:ind w:left="1486" w:hanging="636"/>
      </w:pPr>
      <w:r w:rsidRPr="00B20927">
        <w:rPr>
          <w:rFonts w:ascii="標楷體" w:eastAsia="標楷體" w:hAnsi="標楷體"/>
          <w:color w:val="000000"/>
        </w:rPr>
        <w:t xml:space="preserve">  Ⅶ.腎功能異常(eGFR&lt;60mL/min/1.73m</w:t>
      </w:r>
      <w:r w:rsidRPr="00B20927">
        <w:rPr>
          <w:rFonts w:ascii="標楷體" w:eastAsia="標楷體" w:hAnsi="標楷體"/>
          <w:color w:val="000000"/>
          <w:vertAlign w:val="superscript"/>
        </w:rPr>
        <w:t>2</w:t>
      </w:r>
      <w:r w:rsidRPr="00B20927">
        <w:rPr>
          <w:rFonts w:ascii="標楷體" w:eastAsia="標楷體" w:hAnsi="標楷體"/>
          <w:color w:val="000000"/>
        </w:rPr>
        <w:t>)。</w:t>
      </w:r>
    </w:p>
    <w:p w14:paraId="397C31D2"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Ⅷ.自體免疫疾病。</w:t>
      </w:r>
    </w:p>
    <w:p w14:paraId="6C900773"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Ⅸ.孕前肥胖(BMI</w:t>
      </w:r>
      <w:proofErr w:type="gramStart"/>
      <w:r w:rsidRPr="00B20927">
        <w:rPr>
          <w:rFonts w:ascii="標楷體" w:eastAsia="標楷體" w:hAnsi="標楷體"/>
          <w:color w:val="000000"/>
        </w:rPr>
        <w:t>≧</w:t>
      </w:r>
      <w:proofErr w:type="gramEnd"/>
      <w:r w:rsidRPr="00B20927">
        <w:rPr>
          <w:rFonts w:ascii="標楷體" w:eastAsia="標楷體" w:hAnsi="標楷體"/>
          <w:color w:val="000000"/>
        </w:rPr>
        <w:t>30)。</w:t>
      </w:r>
    </w:p>
    <w:p w14:paraId="6C7AAF86" w14:textId="77777777" w:rsidR="00D45776" w:rsidRPr="00B20927" w:rsidRDefault="00D45776" w:rsidP="00D45776">
      <w:pPr>
        <w:spacing w:line="300" w:lineRule="exact"/>
        <w:ind w:left="1486" w:hanging="636"/>
        <w:rPr>
          <w:rFonts w:ascii="標楷體" w:eastAsia="標楷體" w:hAnsi="標楷體"/>
          <w:color w:val="000000"/>
        </w:rPr>
      </w:pPr>
      <w:r w:rsidRPr="00B20927">
        <w:rPr>
          <w:rFonts w:ascii="標楷體" w:eastAsia="標楷體" w:hAnsi="標楷體"/>
          <w:color w:val="000000"/>
        </w:rPr>
        <w:t xml:space="preserve">  Ⅹ.電解質失調(包含低血鉀：血漿鉀離子濃度低於&lt;3.5mEq/L、</w:t>
      </w:r>
      <w:proofErr w:type="gramStart"/>
      <w:r w:rsidRPr="00B20927">
        <w:rPr>
          <w:rFonts w:ascii="標楷體" w:eastAsia="標楷體" w:hAnsi="標楷體"/>
          <w:color w:val="000000"/>
        </w:rPr>
        <w:t>低血鎂</w:t>
      </w:r>
      <w:proofErr w:type="gramEnd"/>
      <w:r w:rsidRPr="00B20927">
        <w:rPr>
          <w:rFonts w:ascii="標楷體" w:eastAsia="標楷體" w:hAnsi="標楷體"/>
          <w:color w:val="000000"/>
        </w:rPr>
        <w:t xml:space="preserve">：血漿鎂離子濃度低於&lt;1.7 </w:t>
      </w:r>
      <w:proofErr w:type="spellStart"/>
      <w:r w:rsidRPr="00B20927">
        <w:rPr>
          <w:rFonts w:ascii="標楷體" w:eastAsia="標楷體" w:hAnsi="標楷體"/>
          <w:color w:val="000000"/>
        </w:rPr>
        <w:t>mEq</w:t>
      </w:r>
      <w:proofErr w:type="spellEnd"/>
      <w:r w:rsidRPr="00B20927">
        <w:rPr>
          <w:rFonts w:ascii="標楷體" w:eastAsia="標楷體" w:hAnsi="標楷體"/>
          <w:color w:val="000000"/>
        </w:rPr>
        <w:t xml:space="preserve">/L)。  </w:t>
      </w:r>
    </w:p>
    <w:p w14:paraId="39ACA57C" w14:textId="77777777" w:rsidR="00D45776" w:rsidRPr="00B20927" w:rsidRDefault="00D45776" w:rsidP="00D45776">
      <w:pPr>
        <w:spacing w:line="300" w:lineRule="exact"/>
        <w:ind w:left="426" w:firstLineChars="117" w:firstLine="281"/>
        <w:rPr>
          <w:rFonts w:ascii="標楷體" w:eastAsia="標楷體" w:hAnsi="標楷體"/>
          <w:color w:val="000000"/>
        </w:rPr>
      </w:pPr>
      <w:r w:rsidRPr="00B20927">
        <w:rPr>
          <w:rFonts w:ascii="標楷體" w:eastAsia="標楷體" w:hAnsi="標楷體"/>
          <w:color w:val="000000"/>
        </w:rPr>
        <w:t>2.</w:t>
      </w:r>
      <w:r w:rsidRPr="00B20927">
        <w:rPr>
          <w:rFonts w:ascii="標楷體" w:eastAsia="標楷體" w:hAnsi="標楷體" w:hint="eastAsia"/>
          <w:color w:val="000000"/>
        </w:rPr>
        <w:t>療程劑量：(114/8/1)</w:t>
      </w:r>
    </w:p>
    <w:p w14:paraId="2F555EFD" w14:textId="77777777" w:rsidR="00D45776" w:rsidRPr="00B20927" w:rsidRDefault="00D45776" w:rsidP="00D45776">
      <w:pPr>
        <w:spacing w:line="300" w:lineRule="exact"/>
        <w:ind w:left="1486" w:hanging="636"/>
        <w:rPr>
          <w:rFonts w:ascii="標楷體" w:eastAsia="標楷體" w:hAnsi="標楷體"/>
          <w:color w:val="000000"/>
        </w:rPr>
      </w:pPr>
      <w:r w:rsidRPr="00B20927">
        <w:rPr>
          <w:rFonts w:ascii="標楷體" w:eastAsia="標楷體" w:hAnsi="標楷體" w:hint="eastAsia"/>
          <w:color w:val="000000"/>
        </w:rPr>
        <w:t xml:space="preserve">  Ⅰ.一次療程時間以48小時為上限，總劑量上限為330mg。每次懷孕以一次療程為限。</w:t>
      </w:r>
    </w:p>
    <w:p w14:paraId="7929DAAF" w14:textId="77777777" w:rsidR="00401786" w:rsidRDefault="00D45776" w:rsidP="00D45776">
      <w:pPr>
        <w:spacing w:line="300" w:lineRule="exact"/>
        <w:ind w:left="850"/>
        <w:rPr>
          <w:rFonts w:ascii="標楷體" w:eastAsia="標楷體" w:hAnsi="標楷體"/>
          <w:color w:val="000000"/>
        </w:rPr>
      </w:pPr>
      <w:r w:rsidRPr="00B20927">
        <w:rPr>
          <w:rFonts w:ascii="標楷體" w:eastAsia="標楷體" w:hAnsi="標楷體" w:hint="eastAsia"/>
          <w:color w:val="000000"/>
        </w:rPr>
        <w:t xml:space="preserve">  Ⅱ.</w:t>
      </w:r>
      <w:proofErr w:type="gramStart"/>
      <w:r w:rsidRPr="00B20927">
        <w:rPr>
          <w:rFonts w:ascii="標楷體" w:eastAsia="標楷體" w:hAnsi="標楷體" w:hint="eastAsia"/>
          <w:color w:val="000000"/>
        </w:rPr>
        <w:t>惟</w:t>
      </w:r>
      <w:proofErr w:type="gramEnd"/>
      <w:r w:rsidRPr="00B20927">
        <w:rPr>
          <w:rFonts w:ascii="標楷體" w:eastAsia="標楷體" w:hAnsi="標楷體" w:hint="eastAsia"/>
          <w:color w:val="000000"/>
        </w:rPr>
        <w:t>符合延遲妊娠婦女迫切的早產第(1)至(4)項，且妊娠週數介於24-28</w:t>
      </w:r>
      <w:proofErr w:type="gramStart"/>
      <w:r w:rsidRPr="00B20927">
        <w:rPr>
          <w:rFonts w:ascii="標楷體" w:eastAsia="標楷體" w:hAnsi="標楷體" w:hint="eastAsia"/>
          <w:color w:val="000000"/>
        </w:rPr>
        <w:t>週</w:t>
      </w:r>
      <w:proofErr w:type="gramEnd"/>
      <w:r w:rsidRPr="00B20927">
        <w:rPr>
          <w:rFonts w:ascii="標楷體" w:eastAsia="標楷體" w:hAnsi="標楷體" w:hint="eastAsia"/>
          <w:color w:val="000000"/>
        </w:rPr>
        <w:t>之極度早產者，得使用至滿28</w:t>
      </w:r>
      <w:proofErr w:type="gramStart"/>
      <w:r w:rsidRPr="00B20927">
        <w:rPr>
          <w:rFonts w:ascii="標楷體" w:eastAsia="標楷體" w:hAnsi="標楷體" w:hint="eastAsia"/>
          <w:color w:val="000000"/>
        </w:rPr>
        <w:t>週</w:t>
      </w:r>
      <w:proofErr w:type="gramEnd"/>
      <w:r w:rsidRPr="00B20927">
        <w:rPr>
          <w:rFonts w:ascii="標楷體" w:eastAsia="標楷體" w:hAnsi="標楷體" w:hint="eastAsia"/>
          <w:color w:val="000000"/>
        </w:rPr>
        <w:t>(即28</w:t>
      </w:r>
      <w:proofErr w:type="gramStart"/>
      <w:r w:rsidRPr="00B20927">
        <w:rPr>
          <w:rFonts w:ascii="標楷體" w:eastAsia="標楷體" w:hAnsi="標楷體" w:hint="eastAsia"/>
          <w:color w:val="000000"/>
        </w:rPr>
        <w:t>週</w:t>
      </w:r>
      <w:proofErr w:type="gramEnd"/>
      <w:r w:rsidRPr="00B20927">
        <w:rPr>
          <w:rFonts w:ascii="標楷體" w:eastAsia="標楷體" w:hAnsi="標楷體" w:hint="eastAsia"/>
          <w:color w:val="000000"/>
        </w:rPr>
        <w:t>+0天)，不受每次懷孕一次療程之限制。</w:t>
      </w:r>
    </w:p>
    <w:p w14:paraId="55B7766A" w14:textId="77777777" w:rsidR="00CC252C" w:rsidRDefault="00CC252C" w:rsidP="0009639E">
      <w:pPr>
        <w:spacing w:line="300" w:lineRule="exact"/>
        <w:ind w:left="850"/>
      </w:pPr>
    </w:p>
    <w:p w14:paraId="7A46B0AC" w14:textId="77777777" w:rsidR="00CC252C" w:rsidRDefault="00CC252C">
      <w:pPr>
        <w:widowControl/>
        <w:suppressAutoHyphens w:val="0"/>
        <w:rPr>
          <w:rFonts w:ascii="標楷體" w:eastAsia="標楷體" w:hAnsi="標楷體"/>
          <w:sz w:val="32"/>
          <w:szCs w:val="32"/>
        </w:rPr>
      </w:pPr>
      <w:r>
        <w:rPr>
          <w:b/>
        </w:rPr>
        <w:br w:type="page"/>
      </w:r>
    </w:p>
    <w:p w14:paraId="04F4B378" w14:textId="633D0668" w:rsidR="00401786" w:rsidRPr="00B9726C" w:rsidRDefault="00C64FB3" w:rsidP="00B9726C">
      <w:pPr>
        <w:pStyle w:val="2"/>
        <w:spacing w:line="300" w:lineRule="exact"/>
        <w:jc w:val="left"/>
        <w:rPr>
          <w:bCs/>
          <w:sz w:val="24"/>
          <w:szCs w:val="24"/>
        </w:rPr>
      </w:pPr>
      <w:r w:rsidRPr="00B9726C">
        <w:rPr>
          <w:bCs/>
          <w:sz w:val="24"/>
          <w:szCs w:val="24"/>
        </w:rPr>
        <w:lastRenderedPageBreak/>
        <w:t>附表</w:t>
      </w:r>
      <w:proofErr w:type="gramStart"/>
      <w:r w:rsidRPr="00B9726C">
        <w:rPr>
          <w:bCs/>
          <w:sz w:val="24"/>
          <w:szCs w:val="24"/>
        </w:rPr>
        <w:t>一</w:t>
      </w:r>
      <w:proofErr w:type="gramEnd"/>
      <w:r w:rsidR="00B9726C">
        <w:rPr>
          <w:rFonts w:hint="eastAsia"/>
          <w:bCs/>
          <w:sz w:val="24"/>
          <w:szCs w:val="24"/>
        </w:rPr>
        <w:t xml:space="preserve"> </w:t>
      </w:r>
      <w:r w:rsidRPr="00B9726C">
        <w:rPr>
          <w:bCs/>
          <w:sz w:val="24"/>
          <w:szCs w:val="24"/>
        </w:rPr>
        <w:t>全民健康保險醫療常用第一線抗微生物製劑品名表</w:t>
      </w:r>
    </w:p>
    <w:p w14:paraId="3A95B52C" w14:textId="77777777" w:rsidR="00401786" w:rsidRDefault="00401786" w:rsidP="0009639E">
      <w:pPr>
        <w:snapToGrid w:val="0"/>
        <w:spacing w:line="300" w:lineRule="exact"/>
        <w:ind w:right="-106"/>
        <w:jc w:val="both"/>
        <w:rPr>
          <w:rFonts w:ascii="標楷體" w:eastAsia="標楷體" w:hAnsi="標楷體"/>
          <w:color w:val="000000"/>
        </w:rPr>
      </w:pPr>
    </w:p>
    <w:tbl>
      <w:tblPr>
        <w:tblW w:w="9463" w:type="dxa"/>
        <w:tblLayout w:type="fixed"/>
        <w:tblCellMar>
          <w:left w:w="10" w:type="dxa"/>
          <w:right w:w="10" w:type="dxa"/>
        </w:tblCellMar>
        <w:tblLook w:val="0000" w:firstRow="0" w:lastRow="0" w:firstColumn="0" w:lastColumn="0" w:noHBand="0" w:noVBand="0"/>
      </w:tblPr>
      <w:tblGrid>
        <w:gridCol w:w="4731"/>
        <w:gridCol w:w="4732"/>
      </w:tblGrid>
      <w:tr w:rsidR="00401786" w14:paraId="329A1785" w14:textId="77777777">
        <w:tc>
          <w:tcPr>
            <w:tcW w:w="4731" w:type="dxa"/>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1C5423C4" w14:textId="77777777" w:rsidR="00401786" w:rsidRDefault="00C64FB3" w:rsidP="0009639E">
            <w:pPr>
              <w:snapToGrid w:val="0"/>
              <w:spacing w:line="300" w:lineRule="exact"/>
              <w:jc w:val="center"/>
            </w:pPr>
            <w:r>
              <w:rPr>
                <w:rFonts w:ascii="標楷體" w:eastAsia="標楷體" w:hAnsi="標楷體"/>
                <w:color w:val="000000"/>
              </w:rPr>
              <w:t>口服</w:t>
            </w:r>
          </w:p>
        </w:tc>
        <w:tc>
          <w:tcPr>
            <w:tcW w:w="4732" w:type="dxa"/>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62ECD451" w14:textId="77777777" w:rsidR="00401786" w:rsidRDefault="00C64FB3" w:rsidP="0009639E">
            <w:pPr>
              <w:snapToGrid w:val="0"/>
              <w:spacing w:line="300" w:lineRule="exact"/>
              <w:jc w:val="center"/>
            </w:pPr>
            <w:r>
              <w:rPr>
                <w:rFonts w:ascii="標楷體" w:eastAsia="標楷體" w:hAnsi="標楷體"/>
                <w:color w:val="000000"/>
              </w:rPr>
              <w:t>注射</w:t>
            </w:r>
          </w:p>
        </w:tc>
      </w:tr>
      <w:tr w:rsidR="00401786" w14:paraId="32C16E27"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C8518F7"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Amoxicillin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791B98CA"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AmphotericinB</w:t>
            </w:r>
            <w:proofErr w:type="spellEnd"/>
          </w:p>
        </w:tc>
      </w:tr>
      <w:tr w:rsidR="00401786" w14:paraId="4F91BFA6"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41AB8FE1"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Ampicillin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DBB900A"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Ampicillin</w:t>
            </w:r>
          </w:p>
        </w:tc>
      </w:tr>
      <w:tr w:rsidR="00401786" w14:paraId="49AA38DF"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572326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Bacampicillin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9054163"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Benzathinepenicillin</w:t>
            </w:r>
            <w:proofErr w:type="spellEnd"/>
          </w:p>
        </w:tc>
      </w:tr>
      <w:tr w:rsidR="00401786" w14:paraId="5B0055B0"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254AEE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Cefadroxil</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5C6E9B4"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Cefazolin</w:t>
            </w:r>
          </w:p>
        </w:tc>
      </w:tr>
      <w:tr w:rsidR="00401786" w14:paraId="67523F46"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6E41CBA"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Cephalexin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82ED29A" w14:textId="77777777" w:rsidR="00401786" w:rsidRDefault="00C64FB3" w:rsidP="0009639E">
            <w:pPr>
              <w:snapToGrid w:val="0"/>
              <w:spacing w:line="300" w:lineRule="exact"/>
            </w:pPr>
            <w:r>
              <w:rPr>
                <w:rFonts w:ascii="標楷體" w:eastAsia="標楷體" w:hAnsi="標楷體"/>
                <w:color w:val="000000"/>
              </w:rPr>
              <w:t>Cephalexin（87/7/1）</w:t>
            </w:r>
          </w:p>
        </w:tc>
      </w:tr>
      <w:tr w:rsidR="00401786" w14:paraId="46D7AECD"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9525EC2"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Cephradine</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80A1BC2"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Cephaloridine</w:t>
            </w:r>
          </w:p>
        </w:tc>
      </w:tr>
      <w:tr w:rsidR="00401786" w14:paraId="4BB5DA52"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B59D9B2"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Clindamycin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10158BC"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Cephalothin</w:t>
            </w:r>
          </w:p>
        </w:tc>
      </w:tr>
      <w:tr w:rsidR="00401786" w14:paraId="71A1C95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A855435"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Cloxacillin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7FC359F"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Cephapirin</w:t>
            </w:r>
            <w:proofErr w:type="spellEnd"/>
          </w:p>
        </w:tc>
      </w:tr>
      <w:tr w:rsidR="00401786" w14:paraId="0A885FB5"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66B6BBE4"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Colistin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B530235"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Cephradine</w:t>
            </w:r>
            <w:proofErr w:type="spellEnd"/>
          </w:p>
        </w:tc>
      </w:tr>
      <w:tr w:rsidR="00401786" w14:paraId="17DA3FE4"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CCC5BE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Dicloxacillin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36EF5D47"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Clindamycin</w:t>
            </w:r>
          </w:p>
        </w:tc>
      </w:tr>
      <w:tr w:rsidR="00401786" w14:paraId="7B50FA83"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AD1D22A"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Doxycyclin</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E7861E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Cloxacillin</w:t>
            </w:r>
          </w:p>
        </w:tc>
      </w:tr>
      <w:tr w:rsidR="00401786" w14:paraId="5E68E01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6CA76FBE" w14:textId="77777777" w:rsidR="00401786" w:rsidRDefault="00C64FB3" w:rsidP="0009639E">
            <w:pPr>
              <w:snapToGrid w:val="0"/>
              <w:spacing w:line="300" w:lineRule="exact"/>
            </w:pPr>
            <w:r>
              <w:rPr>
                <w:rFonts w:ascii="標楷體" w:eastAsia="標楷體" w:hAnsi="標楷體"/>
                <w:color w:val="000000"/>
              </w:rPr>
              <w:t>Ethambutol（EMB）</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E76CB7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Doxycycline</w:t>
            </w:r>
          </w:p>
        </w:tc>
      </w:tr>
      <w:tr w:rsidR="00401786" w14:paraId="5F06B074"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786A7573"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Flucloxacillin（102/10/1）</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728B078"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Gentamicin</w:t>
            </w:r>
          </w:p>
        </w:tc>
      </w:tr>
      <w:tr w:rsidR="00401786" w14:paraId="4E9315FE"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EAC2936"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Griseofulvin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DB5B2A4"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Hetacillin</w:t>
            </w:r>
          </w:p>
        </w:tc>
      </w:tr>
      <w:tr w:rsidR="00401786" w14:paraId="5BDF54F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7BBF97FF"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Hetacillin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03712F8"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Kanamycin</w:t>
            </w:r>
          </w:p>
        </w:tc>
      </w:tr>
      <w:tr w:rsidR="00401786" w14:paraId="30048656"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1CC3DCA" w14:textId="77777777" w:rsidR="00401786" w:rsidRDefault="00C64FB3" w:rsidP="0009639E">
            <w:pPr>
              <w:snapToGrid w:val="0"/>
              <w:spacing w:line="300" w:lineRule="exact"/>
              <w:rPr>
                <w:rFonts w:ascii="標楷體" w:eastAsia="標楷體" w:hAnsi="標楷體"/>
                <w:color w:val="000000"/>
              </w:rPr>
            </w:pPr>
            <w:proofErr w:type="gramStart"/>
            <w:r>
              <w:rPr>
                <w:rFonts w:ascii="標楷體" w:eastAsia="標楷體" w:hAnsi="標楷體"/>
                <w:color w:val="000000"/>
              </w:rPr>
              <w:t>Isoniazid(</w:t>
            </w:r>
            <w:proofErr w:type="gramEnd"/>
            <w:r>
              <w:rPr>
                <w:rFonts w:ascii="標楷體" w:eastAsia="標楷體" w:hAnsi="標楷體"/>
                <w:color w:val="000000"/>
              </w:rPr>
              <w:t>INH)</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336B2202" w14:textId="77777777" w:rsidR="00401786" w:rsidRDefault="00C64FB3" w:rsidP="0009639E">
            <w:pPr>
              <w:snapToGrid w:val="0"/>
              <w:spacing w:line="300" w:lineRule="exact"/>
            </w:pPr>
            <w:r>
              <w:rPr>
                <w:rFonts w:ascii="標楷體" w:eastAsia="標楷體" w:hAnsi="標楷體"/>
                <w:color w:val="000000"/>
              </w:rPr>
              <w:t>Lincomycin（限用10mL包裝）</w:t>
            </w:r>
          </w:p>
        </w:tc>
      </w:tr>
      <w:tr w:rsidR="00401786" w14:paraId="0C2C260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8A26264" w14:textId="77777777" w:rsidR="00401786" w:rsidRDefault="00C64FB3" w:rsidP="0009639E">
            <w:pPr>
              <w:snapToGrid w:val="0"/>
              <w:spacing w:line="300" w:lineRule="exact"/>
            </w:pPr>
            <w:r>
              <w:rPr>
                <w:rFonts w:ascii="標楷體" w:eastAsia="標楷體" w:hAnsi="標楷體"/>
                <w:strike/>
                <w:color w:val="000000"/>
              </w:rPr>
              <w:t>Ketoconazole</w:t>
            </w:r>
            <w:r>
              <w:rPr>
                <w:rFonts w:ascii="標楷體" w:eastAsia="標楷體" w:hAnsi="標楷體"/>
                <w:color w:val="000000"/>
              </w:rPr>
              <w:t>(104/1/1刪除)</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8A5654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Metronidazole</w:t>
            </w:r>
          </w:p>
        </w:tc>
      </w:tr>
      <w:tr w:rsidR="00401786" w14:paraId="614C324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4BC637E"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Methacycline</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1A41970B"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Oxacillin</w:t>
            </w:r>
          </w:p>
        </w:tc>
      </w:tr>
      <w:tr w:rsidR="00401786" w14:paraId="51BEB415"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43327B61"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Metronidazole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2B4160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Oxytetracycline</w:t>
            </w:r>
          </w:p>
        </w:tc>
      </w:tr>
      <w:tr w:rsidR="00401786" w14:paraId="57DC2BE1"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C0F6EC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Minocycline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1719E7BE"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Penicillin</w:t>
            </w:r>
          </w:p>
        </w:tc>
      </w:tr>
      <w:tr w:rsidR="00401786" w14:paraId="5F6AE840"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48C37FF"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Mycostatin</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24D02A3" w14:textId="77777777" w:rsidR="00401786" w:rsidRDefault="00C64FB3" w:rsidP="0009639E">
            <w:pPr>
              <w:snapToGrid w:val="0"/>
              <w:spacing w:line="300" w:lineRule="exact"/>
            </w:pPr>
            <w:proofErr w:type="spellStart"/>
            <w:r>
              <w:rPr>
                <w:rFonts w:ascii="標楷體" w:eastAsia="標楷體" w:hAnsi="標楷體"/>
                <w:color w:val="000000"/>
              </w:rPr>
              <w:t>Rifamycinsvinj</w:t>
            </w:r>
            <w:proofErr w:type="spellEnd"/>
            <w:r>
              <w:rPr>
                <w:rFonts w:ascii="標楷體" w:eastAsia="標楷體" w:hAnsi="標楷體"/>
                <w:color w:val="000000"/>
              </w:rPr>
              <w:t>(限用於結核</w:t>
            </w:r>
            <w:proofErr w:type="gramStart"/>
            <w:r>
              <w:rPr>
                <w:rFonts w:ascii="標楷體" w:eastAsia="標楷體" w:hAnsi="標楷體"/>
                <w:color w:val="000000"/>
              </w:rPr>
              <w:t>菌</w:t>
            </w:r>
            <w:proofErr w:type="gramEnd"/>
            <w:r>
              <w:rPr>
                <w:rFonts w:ascii="標楷體" w:eastAsia="標楷體" w:hAnsi="標楷體"/>
                <w:color w:val="000000"/>
              </w:rPr>
              <w:t>感染症)</w:t>
            </w:r>
          </w:p>
        </w:tc>
      </w:tr>
      <w:tr w:rsidR="00401786" w14:paraId="1267F60F"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35CD292"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Nalidixicacid</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3B06E40F"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Rolitetracycline</w:t>
            </w:r>
          </w:p>
        </w:tc>
      </w:tr>
      <w:tr w:rsidR="00401786" w14:paraId="717555C4"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957526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Neomycin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601E32E"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Streptomycin</w:t>
            </w:r>
          </w:p>
        </w:tc>
      </w:tr>
      <w:tr w:rsidR="00401786" w14:paraId="68B3268B"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D683C4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Nitrofurantoin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2DD8E90" w14:textId="77777777" w:rsidR="00401786" w:rsidRDefault="00C64FB3" w:rsidP="0009639E">
            <w:pPr>
              <w:snapToGrid w:val="0"/>
              <w:spacing w:line="300" w:lineRule="exact"/>
            </w:pPr>
            <w:r>
              <w:rPr>
                <w:rFonts w:ascii="標楷體" w:eastAsia="標楷體" w:hAnsi="標楷體"/>
                <w:color w:val="000000"/>
              </w:rPr>
              <w:t>Flucloxacillin（94/3/1）</w:t>
            </w:r>
          </w:p>
        </w:tc>
      </w:tr>
      <w:tr w:rsidR="00401786" w14:paraId="66E3956E"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BDA827B"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Nitroxoline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8CC764F" w14:textId="77777777" w:rsidR="00401786" w:rsidRDefault="00401786" w:rsidP="0009639E">
            <w:pPr>
              <w:snapToGrid w:val="0"/>
              <w:spacing w:line="300" w:lineRule="exact"/>
              <w:rPr>
                <w:rFonts w:ascii="標楷體" w:eastAsia="標楷體" w:hAnsi="標楷體"/>
                <w:color w:val="000000"/>
              </w:rPr>
            </w:pPr>
          </w:p>
        </w:tc>
      </w:tr>
      <w:tr w:rsidR="00401786" w14:paraId="4325A6F3"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43E889E8"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Oxytetracycline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AFF672B" w14:textId="77777777" w:rsidR="00401786" w:rsidRDefault="00401786" w:rsidP="0009639E">
            <w:pPr>
              <w:snapToGrid w:val="0"/>
              <w:spacing w:line="300" w:lineRule="exact"/>
              <w:rPr>
                <w:rFonts w:ascii="標楷體" w:eastAsia="標楷體" w:hAnsi="標楷體"/>
                <w:color w:val="000000"/>
              </w:rPr>
            </w:pPr>
          </w:p>
        </w:tc>
      </w:tr>
      <w:tr w:rsidR="00401786" w14:paraId="5D0321EE"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6829950"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Penicillin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B404E28" w14:textId="77777777" w:rsidR="00401786" w:rsidRDefault="00401786" w:rsidP="0009639E">
            <w:pPr>
              <w:snapToGrid w:val="0"/>
              <w:spacing w:line="300" w:lineRule="exact"/>
              <w:rPr>
                <w:rFonts w:ascii="標楷體" w:eastAsia="標楷體" w:hAnsi="標楷體"/>
                <w:color w:val="000000"/>
              </w:rPr>
            </w:pPr>
          </w:p>
        </w:tc>
      </w:tr>
      <w:tr w:rsidR="00401786" w14:paraId="2C4859C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C3999A6" w14:textId="77777777" w:rsidR="00401786" w:rsidRDefault="00C64FB3" w:rsidP="0009639E">
            <w:pPr>
              <w:snapToGrid w:val="0"/>
              <w:spacing w:line="300" w:lineRule="exact"/>
            </w:pPr>
            <w:r>
              <w:rPr>
                <w:rFonts w:ascii="標楷體" w:eastAsia="標楷體" w:hAnsi="標楷體"/>
                <w:color w:val="000000"/>
              </w:rPr>
              <w:t>Pyrazinamide（PZA）</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8C86E9E" w14:textId="77777777" w:rsidR="00401786" w:rsidRDefault="00401786" w:rsidP="0009639E">
            <w:pPr>
              <w:snapToGrid w:val="0"/>
              <w:spacing w:line="300" w:lineRule="exact"/>
              <w:rPr>
                <w:rFonts w:ascii="標楷體" w:eastAsia="標楷體" w:hAnsi="標楷體"/>
                <w:color w:val="000000"/>
              </w:rPr>
            </w:pPr>
          </w:p>
        </w:tc>
      </w:tr>
      <w:tr w:rsidR="00401786" w14:paraId="52B625E2"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6EA9BC00" w14:textId="77777777" w:rsidR="00401786" w:rsidRDefault="00C64FB3" w:rsidP="0009639E">
            <w:pPr>
              <w:snapToGrid w:val="0"/>
              <w:spacing w:line="300" w:lineRule="exact"/>
            </w:pPr>
            <w:r>
              <w:rPr>
                <w:rFonts w:ascii="標楷體" w:eastAsia="標楷體" w:hAnsi="標楷體"/>
                <w:color w:val="000000"/>
              </w:rPr>
              <w:t>Rifampicin(限用於結核</w:t>
            </w:r>
            <w:proofErr w:type="gramStart"/>
            <w:r>
              <w:rPr>
                <w:rFonts w:ascii="標楷體" w:eastAsia="標楷體" w:hAnsi="標楷體"/>
                <w:color w:val="000000"/>
              </w:rPr>
              <w:t>菌</w:t>
            </w:r>
            <w:proofErr w:type="gramEnd"/>
            <w:r>
              <w:rPr>
                <w:rFonts w:ascii="標楷體" w:eastAsia="標楷體" w:hAnsi="標楷體"/>
                <w:color w:val="000000"/>
              </w:rPr>
              <w:t>感染症)</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09E447D" w14:textId="77777777" w:rsidR="00401786" w:rsidRDefault="00401786" w:rsidP="0009639E">
            <w:pPr>
              <w:snapToGrid w:val="0"/>
              <w:spacing w:line="300" w:lineRule="exact"/>
              <w:rPr>
                <w:rFonts w:ascii="標楷體" w:eastAsia="標楷體" w:hAnsi="標楷體"/>
                <w:color w:val="000000"/>
              </w:rPr>
            </w:pPr>
          </w:p>
        </w:tc>
      </w:tr>
      <w:tr w:rsidR="00401786" w14:paraId="29BA965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0D82AF7"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Tetracycline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FF51F31" w14:textId="77777777" w:rsidR="00401786" w:rsidRDefault="00401786" w:rsidP="0009639E">
            <w:pPr>
              <w:snapToGrid w:val="0"/>
              <w:spacing w:line="300" w:lineRule="exact"/>
              <w:rPr>
                <w:rFonts w:ascii="標楷體" w:eastAsia="標楷體" w:hAnsi="標楷體"/>
                <w:color w:val="000000"/>
              </w:rPr>
            </w:pPr>
          </w:p>
        </w:tc>
      </w:tr>
      <w:tr w:rsidR="00401786" w14:paraId="5F8907F0"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76270F20"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Trimethoprime</w:t>
            </w:r>
            <w:proofErr w:type="spellEnd"/>
            <w:r>
              <w:rPr>
                <w:rFonts w:ascii="標楷體" w:eastAsia="標楷體" w:hAnsi="標楷體"/>
                <w:color w:val="000000"/>
              </w:rPr>
              <w:t>/sulfamethoxazole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537C384F" w14:textId="77777777" w:rsidR="00401786" w:rsidRDefault="00401786" w:rsidP="0009639E">
            <w:pPr>
              <w:snapToGrid w:val="0"/>
              <w:spacing w:line="300" w:lineRule="exact"/>
              <w:rPr>
                <w:rFonts w:ascii="標楷體" w:eastAsia="標楷體" w:hAnsi="標楷體"/>
                <w:color w:val="000000"/>
              </w:rPr>
            </w:pPr>
          </w:p>
        </w:tc>
      </w:tr>
      <w:tr w:rsidR="00401786" w14:paraId="29E1B4AD" w14:textId="77777777">
        <w:tc>
          <w:tcPr>
            <w:tcW w:w="4731" w:type="dxa"/>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0268D7" w14:textId="77777777" w:rsidR="00401786" w:rsidRDefault="00C64FB3" w:rsidP="0009639E">
            <w:pPr>
              <w:snapToGrid w:val="0"/>
              <w:spacing w:line="300" w:lineRule="exact"/>
            </w:pPr>
            <w:proofErr w:type="spellStart"/>
            <w:r>
              <w:rPr>
                <w:rFonts w:ascii="標楷體" w:eastAsia="標楷體" w:hAnsi="標楷體"/>
                <w:color w:val="000000"/>
              </w:rPr>
              <w:t>Cefatrizine</w:t>
            </w:r>
            <w:proofErr w:type="spellEnd"/>
            <w:r>
              <w:rPr>
                <w:rFonts w:ascii="標楷體" w:eastAsia="標楷體" w:hAnsi="標楷體"/>
                <w:color w:val="000000"/>
              </w:rPr>
              <w:t>（97/9/1）</w:t>
            </w:r>
          </w:p>
        </w:tc>
        <w:tc>
          <w:tcPr>
            <w:tcW w:w="4732" w:type="dxa"/>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7CD41A" w14:textId="77777777" w:rsidR="00401786" w:rsidRDefault="00401786" w:rsidP="0009639E">
            <w:pPr>
              <w:snapToGrid w:val="0"/>
              <w:spacing w:line="300" w:lineRule="exact"/>
              <w:rPr>
                <w:rFonts w:ascii="標楷體" w:eastAsia="標楷體" w:hAnsi="標楷體"/>
                <w:color w:val="000000"/>
              </w:rPr>
            </w:pPr>
          </w:p>
        </w:tc>
      </w:tr>
    </w:tbl>
    <w:p w14:paraId="52DD1269" w14:textId="77777777" w:rsidR="00401786" w:rsidRDefault="00401786" w:rsidP="0009639E">
      <w:pPr>
        <w:snapToGrid w:val="0"/>
        <w:spacing w:line="300" w:lineRule="exact"/>
        <w:rPr>
          <w:rFonts w:ascii="標楷體" w:eastAsia="標楷體" w:hAnsi="標楷體"/>
        </w:rPr>
      </w:pPr>
    </w:p>
    <w:p w14:paraId="06181D84" w14:textId="77777777" w:rsidR="00401786" w:rsidRPr="00732189" w:rsidRDefault="00401786" w:rsidP="0009639E">
      <w:pPr>
        <w:pageBreakBefore/>
        <w:widowControl/>
        <w:suppressAutoHyphens w:val="0"/>
        <w:spacing w:line="300" w:lineRule="exact"/>
        <w:rPr>
          <w:rFonts w:eastAsia="標楷體"/>
          <w:b/>
          <w:bCs/>
          <w:color w:val="000000"/>
        </w:rPr>
      </w:pPr>
    </w:p>
    <w:p w14:paraId="6630FC7C" w14:textId="77777777" w:rsidR="00401786" w:rsidRPr="00732189" w:rsidRDefault="00C64FB3" w:rsidP="00B9726C">
      <w:pPr>
        <w:tabs>
          <w:tab w:val="left" w:pos="720"/>
          <w:tab w:val="left" w:pos="960"/>
        </w:tabs>
        <w:snapToGrid w:val="0"/>
        <w:spacing w:line="240" w:lineRule="atLeast"/>
        <w:ind w:left="840" w:hanging="840"/>
        <w:jc w:val="center"/>
        <w:rPr>
          <w:b/>
          <w:bCs/>
        </w:rPr>
      </w:pPr>
      <w:r w:rsidRPr="00732189">
        <w:rPr>
          <w:rFonts w:eastAsia="標楷體"/>
          <w:b/>
          <w:bCs/>
          <w:color w:val="000000"/>
        </w:rPr>
        <w:t>附表二</w:t>
      </w:r>
      <w:r w:rsidRPr="00732189">
        <w:rPr>
          <w:rFonts w:eastAsia="標楷體"/>
          <w:b/>
          <w:bCs/>
          <w:color w:val="000000"/>
        </w:rPr>
        <w:t>-A</w:t>
      </w:r>
      <w:r w:rsidRPr="00732189">
        <w:rPr>
          <w:rFonts w:eastAsia="標楷體"/>
          <w:b/>
          <w:bCs/>
          <w:color w:val="000000"/>
        </w:rPr>
        <w:t xml:space="preserve">　全民健康保險使用</w:t>
      </w:r>
      <w:r w:rsidRPr="00732189">
        <w:rPr>
          <w:rFonts w:eastAsia="標楷體"/>
          <w:b/>
          <w:bCs/>
          <w:color w:val="000000"/>
        </w:rPr>
        <w:t>rt-PA(</w:t>
      </w:r>
      <w:proofErr w:type="spellStart"/>
      <w:r w:rsidRPr="00732189">
        <w:rPr>
          <w:rFonts w:eastAsia="標楷體"/>
          <w:b/>
          <w:bCs/>
          <w:color w:val="000000"/>
        </w:rPr>
        <w:t>Actilyse</w:t>
      </w:r>
      <w:proofErr w:type="spellEnd"/>
      <w:r w:rsidRPr="00732189">
        <w:rPr>
          <w:rFonts w:eastAsia="標楷體"/>
          <w:b/>
          <w:bCs/>
          <w:color w:val="000000"/>
        </w:rPr>
        <w:t>)</w:t>
      </w:r>
      <w:r w:rsidRPr="00732189">
        <w:rPr>
          <w:rFonts w:eastAsia="標楷體"/>
          <w:b/>
          <w:bCs/>
          <w:color w:val="000000"/>
        </w:rPr>
        <w:t>或</w:t>
      </w:r>
      <w:r w:rsidRPr="00732189">
        <w:rPr>
          <w:rFonts w:eastAsia="標楷體"/>
          <w:b/>
          <w:bCs/>
          <w:color w:val="000000"/>
        </w:rPr>
        <w:t>Tenecteplase (</w:t>
      </w:r>
      <w:proofErr w:type="spellStart"/>
      <w:r w:rsidRPr="00732189">
        <w:rPr>
          <w:rFonts w:eastAsia="標楷體"/>
          <w:b/>
          <w:bCs/>
          <w:color w:val="000000"/>
        </w:rPr>
        <w:t>Metalyse</w:t>
      </w:r>
      <w:proofErr w:type="spellEnd"/>
      <w:r w:rsidRPr="00732189">
        <w:rPr>
          <w:rFonts w:eastAsia="標楷體"/>
          <w:b/>
          <w:bCs/>
          <w:color w:val="000000"/>
        </w:rPr>
        <w:t>)</w:t>
      </w:r>
      <w:r w:rsidRPr="00732189">
        <w:rPr>
          <w:rFonts w:eastAsia="標楷體"/>
          <w:b/>
          <w:bCs/>
          <w:color w:val="000000"/>
        </w:rPr>
        <w:t>申報表</w:t>
      </w:r>
      <w:proofErr w:type="gramStart"/>
      <w:r w:rsidRPr="00732189">
        <w:rPr>
          <w:rFonts w:eastAsia="標楷體"/>
          <w:b/>
          <w:bCs/>
          <w:color w:val="000000"/>
        </w:rPr>
        <w:t>（</w:t>
      </w:r>
      <w:proofErr w:type="gramEnd"/>
      <w:r w:rsidRPr="00732189">
        <w:rPr>
          <w:rFonts w:eastAsia="標楷體"/>
          <w:b/>
          <w:bCs/>
          <w:color w:val="000000"/>
        </w:rPr>
        <w:t>血管</w:t>
      </w:r>
      <w:proofErr w:type="gramStart"/>
      <w:r w:rsidRPr="00732189">
        <w:rPr>
          <w:rFonts w:eastAsia="標楷體"/>
          <w:b/>
          <w:bCs/>
          <w:color w:val="000000"/>
        </w:rPr>
        <w:t>（</w:t>
      </w:r>
      <w:proofErr w:type="gramEnd"/>
      <w:r w:rsidRPr="00732189">
        <w:rPr>
          <w:rFonts w:eastAsia="標楷體"/>
          <w:b/>
          <w:bCs/>
          <w:color w:val="000000"/>
        </w:rPr>
        <w:t>不含腦血管</w:t>
      </w:r>
      <w:proofErr w:type="gramStart"/>
      <w:r w:rsidRPr="00732189">
        <w:rPr>
          <w:rFonts w:eastAsia="標楷體"/>
          <w:b/>
          <w:bCs/>
          <w:color w:val="000000"/>
        </w:rPr>
        <w:t>）</w:t>
      </w:r>
      <w:proofErr w:type="gramEnd"/>
      <w:r w:rsidRPr="00732189">
        <w:rPr>
          <w:rFonts w:eastAsia="標楷體"/>
          <w:b/>
          <w:bCs/>
          <w:color w:val="000000"/>
        </w:rPr>
        <w:t>血栓病患用</w:t>
      </w:r>
      <w:proofErr w:type="gramStart"/>
      <w:r w:rsidRPr="00732189">
        <w:rPr>
          <w:rFonts w:eastAsia="標楷體"/>
          <w:b/>
          <w:bCs/>
          <w:color w:val="000000"/>
        </w:rPr>
        <w:t>）</w:t>
      </w:r>
      <w:proofErr w:type="gramEnd"/>
    </w:p>
    <w:p w14:paraId="00530F58" w14:textId="77777777" w:rsidR="00401786" w:rsidRDefault="00401786" w:rsidP="000E757E">
      <w:pPr>
        <w:snapToGrid w:val="0"/>
        <w:spacing w:line="240" w:lineRule="atLeast"/>
        <w:rPr>
          <w:rFonts w:ascii="標楷體" w:eastAsia="標楷體" w:hAnsi="標楷體"/>
          <w:color w:val="000000"/>
        </w:rPr>
      </w:pPr>
    </w:p>
    <w:tbl>
      <w:tblPr>
        <w:tblW w:w="9028" w:type="dxa"/>
        <w:tblLayout w:type="fixed"/>
        <w:tblCellMar>
          <w:left w:w="10" w:type="dxa"/>
          <w:right w:w="10" w:type="dxa"/>
        </w:tblCellMar>
        <w:tblLook w:val="0000" w:firstRow="0" w:lastRow="0" w:firstColumn="0" w:lastColumn="0" w:noHBand="0" w:noVBand="0"/>
      </w:tblPr>
      <w:tblGrid>
        <w:gridCol w:w="1393"/>
        <w:gridCol w:w="1695"/>
        <w:gridCol w:w="720"/>
        <w:gridCol w:w="540"/>
        <w:gridCol w:w="720"/>
        <w:gridCol w:w="900"/>
        <w:gridCol w:w="1393"/>
        <w:gridCol w:w="1667"/>
      </w:tblGrid>
      <w:tr w:rsidR="00401786" w14:paraId="26F00262" w14:textId="77777777">
        <w:trPr>
          <w:cantSplit/>
        </w:trPr>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D8064D6" w14:textId="77777777" w:rsidR="00401786" w:rsidRDefault="00C64FB3" w:rsidP="000E757E">
            <w:pPr>
              <w:snapToGrid w:val="0"/>
              <w:spacing w:line="240" w:lineRule="atLeast"/>
            </w:pPr>
            <w:r>
              <w:rPr>
                <w:rFonts w:ascii="標楷體" w:eastAsia="標楷體" w:hAnsi="標楷體" w:cs="標楷體"/>
                <w:color w:val="000000"/>
              </w:rPr>
              <w:t>醫院代號</w:t>
            </w:r>
          </w:p>
        </w:tc>
        <w:tc>
          <w:tcPr>
            <w:tcW w:w="1695" w:type="dxa"/>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11A90C43"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D480FC2" w14:textId="77777777" w:rsidR="00401786" w:rsidRDefault="00C64FB3" w:rsidP="000E757E">
            <w:pPr>
              <w:snapToGrid w:val="0"/>
              <w:spacing w:line="240" w:lineRule="atLeast"/>
            </w:pPr>
            <w:r>
              <w:rPr>
                <w:rFonts w:ascii="標楷體" w:eastAsia="標楷體" w:hAnsi="標楷體" w:cs="標楷體"/>
                <w:color w:val="000000"/>
              </w:rPr>
              <w:t>醫院名稱</w:t>
            </w:r>
          </w:p>
        </w:tc>
        <w:tc>
          <w:tcPr>
            <w:tcW w:w="1620" w:type="dxa"/>
            <w:gridSpan w:val="2"/>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709151F5" w14:textId="77777777" w:rsidR="00401786" w:rsidRDefault="00401786" w:rsidP="000E757E">
            <w:pPr>
              <w:snapToGrid w:val="0"/>
              <w:spacing w:line="240" w:lineRule="atLeast"/>
              <w:rPr>
                <w:rFonts w:ascii="標楷體" w:eastAsia="標楷體" w:hAnsi="標楷體"/>
                <w:color w:val="000000"/>
              </w:rPr>
            </w:pPr>
          </w:p>
        </w:tc>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202172C" w14:textId="77777777" w:rsidR="00401786" w:rsidRDefault="00C64FB3" w:rsidP="000E757E">
            <w:pPr>
              <w:snapToGrid w:val="0"/>
              <w:spacing w:line="240" w:lineRule="atLeast"/>
            </w:pPr>
            <w:r>
              <w:rPr>
                <w:rFonts w:ascii="標楷體" w:eastAsia="標楷體" w:hAnsi="標楷體" w:cs="標楷體"/>
                <w:color w:val="000000"/>
              </w:rPr>
              <w:t>申請日期</w:t>
            </w:r>
          </w:p>
        </w:tc>
        <w:tc>
          <w:tcPr>
            <w:tcW w:w="1667"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53FAD80" w14:textId="77777777" w:rsidR="00401786" w:rsidRDefault="00401786" w:rsidP="000E757E">
            <w:pPr>
              <w:snapToGrid w:val="0"/>
              <w:spacing w:line="240" w:lineRule="atLeast"/>
              <w:rPr>
                <w:rFonts w:ascii="標楷體" w:eastAsia="標楷體" w:hAnsi="標楷體"/>
                <w:color w:val="000000"/>
              </w:rPr>
            </w:pPr>
          </w:p>
        </w:tc>
      </w:tr>
      <w:tr w:rsidR="00401786" w14:paraId="73AB41CF"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0983F3E" w14:textId="77777777" w:rsidR="00401786" w:rsidRDefault="00C64FB3" w:rsidP="000E757E">
            <w:pPr>
              <w:snapToGrid w:val="0"/>
              <w:spacing w:line="240" w:lineRule="atLeast"/>
            </w:pPr>
            <w:r>
              <w:rPr>
                <w:rFonts w:ascii="標楷體" w:eastAsia="標楷體" w:hAnsi="標楷體" w:cs="標楷體"/>
                <w:color w:val="000000"/>
              </w:rPr>
              <w:t>病人姓名</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BBF1EF7"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E13C3B7" w14:textId="77777777" w:rsidR="00401786" w:rsidRDefault="00C64FB3" w:rsidP="000E757E">
            <w:pPr>
              <w:snapToGrid w:val="0"/>
              <w:spacing w:line="240" w:lineRule="atLeast"/>
            </w:pPr>
            <w:r>
              <w:rPr>
                <w:rFonts w:ascii="標楷體" w:eastAsia="標楷體" w:hAnsi="標楷體" w:cs="標楷體"/>
                <w:color w:val="000000"/>
              </w:rPr>
              <w:t>性別</w:t>
            </w:r>
          </w:p>
        </w:tc>
        <w:tc>
          <w:tcPr>
            <w:tcW w:w="54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7484973"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36B84B" w14:textId="77777777" w:rsidR="00401786" w:rsidRDefault="00C64FB3" w:rsidP="000E757E">
            <w:pPr>
              <w:snapToGrid w:val="0"/>
              <w:spacing w:line="240" w:lineRule="atLeast"/>
            </w:pPr>
            <w:r>
              <w:rPr>
                <w:rFonts w:ascii="標楷體" w:eastAsia="標楷體" w:hAnsi="標楷體" w:cs="標楷體"/>
                <w:color w:val="000000"/>
              </w:rPr>
              <w:t>年齡</w:t>
            </w:r>
          </w:p>
        </w:tc>
        <w:tc>
          <w:tcPr>
            <w:tcW w:w="90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D48BDDB"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AA865A1" w14:textId="77777777" w:rsidR="00401786" w:rsidRDefault="00C64FB3" w:rsidP="000E757E">
            <w:pPr>
              <w:snapToGrid w:val="0"/>
              <w:spacing w:line="240" w:lineRule="atLeast"/>
            </w:pPr>
            <w:r>
              <w:rPr>
                <w:rFonts w:ascii="標楷體" w:eastAsia="標楷體" w:hAnsi="標楷體" w:cs="標楷體"/>
                <w:color w:val="000000"/>
              </w:rPr>
              <w:t>出生日期</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94FC0FC" w14:textId="77777777" w:rsidR="00401786" w:rsidRDefault="00401786" w:rsidP="000E757E">
            <w:pPr>
              <w:snapToGrid w:val="0"/>
              <w:spacing w:line="240" w:lineRule="atLeast"/>
              <w:rPr>
                <w:rFonts w:ascii="標楷體" w:eastAsia="標楷體" w:hAnsi="標楷體"/>
                <w:color w:val="000000"/>
              </w:rPr>
            </w:pPr>
          </w:p>
        </w:tc>
      </w:tr>
      <w:tr w:rsidR="00401786" w14:paraId="6F9455A3"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C08A03B" w14:textId="77777777" w:rsidR="00401786" w:rsidRDefault="00C64FB3" w:rsidP="000E757E">
            <w:pPr>
              <w:snapToGrid w:val="0"/>
              <w:spacing w:line="240" w:lineRule="atLeast"/>
            </w:pPr>
            <w:r>
              <w:rPr>
                <w:rFonts w:ascii="標楷體" w:eastAsia="標楷體" w:hAnsi="標楷體" w:cs="標楷體"/>
                <w:color w:val="000000"/>
              </w:rPr>
              <w:t>身份證號</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1F7BEFE"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866DBA8" w14:textId="77777777" w:rsidR="00401786" w:rsidRDefault="00C64FB3" w:rsidP="000E757E">
            <w:pPr>
              <w:snapToGrid w:val="0"/>
              <w:spacing w:line="240" w:lineRule="atLeast"/>
            </w:pPr>
            <w:r>
              <w:rPr>
                <w:rFonts w:ascii="標楷體" w:eastAsia="標楷體" w:hAnsi="標楷體" w:cs="標楷體"/>
                <w:color w:val="000000"/>
              </w:rPr>
              <w:t>病歷號碼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7D059D82"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B78907E" w14:textId="77777777" w:rsidR="00401786" w:rsidRDefault="00C64FB3" w:rsidP="000E757E">
            <w:pPr>
              <w:snapToGrid w:val="0"/>
              <w:spacing w:line="240" w:lineRule="atLeast"/>
            </w:pPr>
            <w:r>
              <w:rPr>
                <w:rFonts w:ascii="標楷體" w:eastAsia="標楷體" w:hAnsi="標楷體" w:cs="標楷體"/>
                <w:color w:val="000000"/>
              </w:rPr>
              <w:t>體重</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B4C0CD0" w14:textId="77777777" w:rsidR="00401786" w:rsidRDefault="00401786" w:rsidP="000E757E">
            <w:pPr>
              <w:snapToGrid w:val="0"/>
              <w:spacing w:line="240" w:lineRule="atLeast"/>
              <w:rPr>
                <w:rFonts w:ascii="標楷體" w:eastAsia="標楷體" w:hAnsi="標楷體"/>
                <w:color w:val="000000"/>
              </w:rPr>
            </w:pPr>
          </w:p>
        </w:tc>
      </w:tr>
      <w:tr w:rsidR="00401786" w14:paraId="3D7429D6"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8A63265" w14:textId="77777777" w:rsidR="00401786" w:rsidRDefault="00C64FB3" w:rsidP="000E757E">
            <w:pPr>
              <w:snapToGrid w:val="0"/>
              <w:spacing w:line="240" w:lineRule="atLeast"/>
            </w:pPr>
            <w:r>
              <w:rPr>
                <w:rFonts w:ascii="標楷體" w:eastAsia="標楷體" w:hAnsi="標楷體" w:cs="標楷體"/>
                <w:color w:val="000000"/>
              </w:rPr>
              <w:t>藥品名稱</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0AE820FD"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6464AA7" w14:textId="77777777" w:rsidR="00401786" w:rsidRDefault="00C64FB3" w:rsidP="000E757E">
            <w:pPr>
              <w:snapToGrid w:val="0"/>
              <w:spacing w:line="240" w:lineRule="atLeast"/>
            </w:pPr>
            <w:r>
              <w:rPr>
                <w:rFonts w:ascii="標楷體" w:eastAsia="標楷體" w:hAnsi="標楷體" w:cs="標楷體"/>
                <w:color w:val="000000"/>
              </w:rPr>
              <w:t>藥品代碼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1AA99BF"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8D90D41" w14:textId="77777777" w:rsidR="00401786" w:rsidRDefault="00C64FB3" w:rsidP="000E757E">
            <w:pPr>
              <w:snapToGrid w:val="0"/>
              <w:spacing w:line="240" w:lineRule="atLeast"/>
            </w:pPr>
            <w:r>
              <w:rPr>
                <w:rFonts w:ascii="標楷體" w:eastAsia="標楷體" w:hAnsi="標楷體" w:cs="標楷體"/>
                <w:color w:val="000000"/>
              </w:rPr>
              <w:t>申請數量</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9DE3A6C" w14:textId="77777777" w:rsidR="00401786" w:rsidRDefault="00401786" w:rsidP="000E757E">
            <w:pPr>
              <w:snapToGrid w:val="0"/>
              <w:spacing w:line="240" w:lineRule="atLeast"/>
              <w:rPr>
                <w:rFonts w:ascii="標楷體" w:eastAsia="標楷體" w:hAnsi="標楷體"/>
                <w:color w:val="000000"/>
              </w:rPr>
            </w:pPr>
          </w:p>
        </w:tc>
      </w:tr>
      <w:tr w:rsidR="00401786" w14:paraId="76567629" w14:textId="77777777">
        <w:trPr>
          <w:cantSplit/>
        </w:trPr>
        <w:tc>
          <w:tcPr>
            <w:tcW w:w="1393" w:type="dxa"/>
            <w:tcBorders>
              <w:top w:val="single" w:sz="6" w:space="0" w:color="000000"/>
              <w:left w:val="double" w:sz="6" w:space="0" w:color="000000"/>
              <w:bottom w:val="double" w:sz="6" w:space="0" w:color="000000"/>
            </w:tcBorders>
            <w:shd w:val="clear" w:color="auto" w:fill="auto"/>
            <w:tcMar>
              <w:top w:w="0" w:type="dxa"/>
              <w:left w:w="28" w:type="dxa"/>
              <w:bottom w:w="0" w:type="dxa"/>
              <w:right w:w="28" w:type="dxa"/>
            </w:tcMar>
          </w:tcPr>
          <w:p w14:paraId="2C75C019" w14:textId="77777777" w:rsidR="00401786" w:rsidRDefault="00C64FB3" w:rsidP="000E757E">
            <w:pPr>
              <w:snapToGrid w:val="0"/>
              <w:spacing w:line="240" w:lineRule="atLeast"/>
            </w:pPr>
            <w:r>
              <w:rPr>
                <w:rFonts w:ascii="標楷體" w:eastAsia="標楷體" w:hAnsi="標楷體" w:cs="標楷體"/>
                <w:color w:val="000000"/>
              </w:rPr>
              <w:t>使用期間</w:t>
            </w:r>
          </w:p>
        </w:tc>
        <w:tc>
          <w:tcPr>
            <w:tcW w:w="4575" w:type="dxa"/>
            <w:gridSpan w:val="5"/>
            <w:tcBorders>
              <w:top w:val="single" w:sz="6" w:space="0" w:color="000000"/>
              <w:left w:val="single" w:sz="6" w:space="0" w:color="000000"/>
              <w:bottom w:val="double" w:sz="6" w:space="0" w:color="000000"/>
            </w:tcBorders>
            <w:shd w:val="clear" w:color="auto" w:fill="auto"/>
            <w:tcMar>
              <w:top w:w="0" w:type="dxa"/>
              <w:left w:w="28" w:type="dxa"/>
              <w:bottom w:w="0" w:type="dxa"/>
              <w:right w:w="28" w:type="dxa"/>
            </w:tcMar>
          </w:tcPr>
          <w:p w14:paraId="3C575241" w14:textId="77777777" w:rsidR="00401786" w:rsidRDefault="00C64FB3" w:rsidP="000E757E">
            <w:pPr>
              <w:snapToGrid w:val="0"/>
              <w:spacing w:line="240" w:lineRule="atLeast"/>
            </w:pPr>
            <w:r>
              <w:rPr>
                <w:rFonts w:ascii="標楷體" w:eastAsia="標楷體" w:hAnsi="標楷體" w:cs="標楷體"/>
                <w:color w:val="000000"/>
              </w:rPr>
              <w:t>自　年　月　日　至　年　月　日</w:t>
            </w:r>
          </w:p>
        </w:tc>
        <w:tc>
          <w:tcPr>
            <w:tcW w:w="1393"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CFB52EA" w14:textId="77777777" w:rsidR="00401786" w:rsidRDefault="00C64FB3" w:rsidP="000E757E">
            <w:pPr>
              <w:snapToGrid w:val="0"/>
              <w:spacing w:line="240" w:lineRule="atLeast"/>
            </w:pPr>
            <w:r>
              <w:rPr>
                <w:rFonts w:ascii="標楷體" w:eastAsia="標楷體" w:hAnsi="標楷體" w:cs="標楷體"/>
                <w:color w:val="000000"/>
              </w:rPr>
              <w:t>用法用量</w:t>
            </w:r>
          </w:p>
        </w:tc>
        <w:tc>
          <w:tcPr>
            <w:tcW w:w="1667"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50A8C9E7" w14:textId="77777777" w:rsidR="00401786" w:rsidRDefault="00401786" w:rsidP="000E757E">
            <w:pPr>
              <w:snapToGrid w:val="0"/>
              <w:spacing w:line="240" w:lineRule="atLeast"/>
              <w:rPr>
                <w:rFonts w:ascii="標楷體" w:eastAsia="標楷體" w:hAnsi="標楷體"/>
                <w:color w:val="000000"/>
              </w:rPr>
            </w:pPr>
          </w:p>
        </w:tc>
      </w:tr>
    </w:tbl>
    <w:p w14:paraId="6DFFFB87" w14:textId="77777777" w:rsidR="00401786" w:rsidRDefault="00401786" w:rsidP="000E757E">
      <w:pPr>
        <w:snapToGrid w:val="0"/>
        <w:spacing w:line="240" w:lineRule="atLeast"/>
        <w:rPr>
          <w:rFonts w:ascii="標楷體" w:eastAsia="標楷體" w:hAnsi="標楷體"/>
          <w:color w:val="000000"/>
        </w:rPr>
      </w:pPr>
    </w:p>
    <w:tbl>
      <w:tblPr>
        <w:tblW w:w="8974" w:type="dxa"/>
        <w:tblInd w:w="54" w:type="dxa"/>
        <w:tblLayout w:type="fixed"/>
        <w:tblCellMar>
          <w:left w:w="10" w:type="dxa"/>
          <w:right w:w="10" w:type="dxa"/>
        </w:tblCellMar>
        <w:tblLook w:val="0000" w:firstRow="0" w:lastRow="0" w:firstColumn="0" w:lastColumn="0" w:noHBand="0" w:noVBand="0"/>
      </w:tblPr>
      <w:tblGrid>
        <w:gridCol w:w="8974"/>
      </w:tblGrid>
      <w:tr w:rsidR="00401786" w14:paraId="0E9FF724" w14:textId="77777777">
        <w:trPr>
          <w:trHeight w:val="1084"/>
        </w:trPr>
        <w:tc>
          <w:tcPr>
            <w:tcW w:w="89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6154F8"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急性心肌梗塞</w:t>
            </w:r>
          </w:p>
          <w:p w14:paraId="0105695E"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懷疑有急性肺動脈栓塞</w:t>
            </w:r>
          </w:p>
          <w:p w14:paraId="47A7E243"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周邊血管血栓</w:t>
            </w:r>
          </w:p>
        </w:tc>
      </w:tr>
    </w:tbl>
    <w:p w14:paraId="29D8D401" w14:textId="77777777" w:rsidR="00401786" w:rsidRDefault="00401786" w:rsidP="000E757E">
      <w:pPr>
        <w:snapToGrid w:val="0"/>
        <w:spacing w:line="240" w:lineRule="atLeast"/>
        <w:rPr>
          <w:rFonts w:ascii="標楷體" w:eastAsia="標楷體" w:hAnsi="標楷體"/>
          <w:color w:val="000000"/>
        </w:rPr>
      </w:pPr>
    </w:p>
    <w:tbl>
      <w:tblPr>
        <w:tblW w:w="9124" w:type="dxa"/>
        <w:tblLayout w:type="fixed"/>
        <w:tblCellMar>
          <w:left w:w="10" w:type="dxa"/>
          <w:right w:w="10" w:type="dxa"/>
        </w:tblCellMar>
        <w:tblLook w:val="0000" w:firstRow="0" w:lastRow="0" w:firstColumn="0" w:lastColumn="0" w:noHBand="0" w:noVBand="0"/>
      </w:tblPr>
      <w:tblGrid>
        <w:gridCol w:w="568"/>
        <w:gridCol w:w="5760"/>
        <w:gridCol w:w="2796"/>
      </w:tblGrid>
      <w:tr w:rsidR="00401786" w14:paraId="425C04B5" w14:textId="77777777">
        <w:trPr>
          <w:cantSplit/>
          <w:trHeight w:val="371"/>
        </w:trPr>
        <w:tc>
          <w:tcPr>
            <w:tcW w:w="568" w:type="dxa"/>
            <w:vMerge w:val="restart"/>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7E49FF7A" w14:textId="77777777" w:rsidR="00401786" w:rsidRDefault="00401786" w:rsidP="000E757E">
            <w:pPr>
              <w:snapToGrid w:val="0"/>
              <w:spacing w:line="240" w:lineRule="atLeast"/>
              <w:jc w:val="center"/>
              <w:rPr>
                <w:rFonts w:ascii="標楷體" w:eastAsia="標楷體" w:hAnsi="標楷體"/>
                <w:color w:val="000000"/>
              </w:rPr>
            </w:pPr>
          </w:p>
          <w:p w14:paraId="77DAF8B5" w14:textId="77777777" w:rsidR="00401786" w:rsidRDefault="00401786" w:rsidP="000E757E">
            <w:pPr>
              <w:snapToGrid w:val="0"/>
              <w:spacing w:line="240" w:lineRule="atLeast"/>
              <w:jc w:val="center"/>
              <w:rPr>
                <w:rFonts w:ascii="標楷體" w:eastAsia="標楷體" w:hAnsi="標楷體"/>
                <w:color w:val="000000"/>
              </w:rPr>
            </w:pPr>
          </w:p>
          <w:p w14:paraId="26842EAB" w14:textId="77777777" w:rsidR="00401786" w:rsidRDefault="00401786" w:rsidP="000E757E">
            <w:pPr>
              <w:snapToGrid w:val="0"/>
              <w:spacing w:line="240" w:lineRule="atLeast"/>
              <w:jc w:val="center"/>
              <w:rPr>
                <w:rFonts w:ascii="標楷體" w:eastAsia="標楷體" w:hAnsi="標楷體"/>
                <w:color w:val="000000"/>
              </w:rPr>
            </w:pPr>
          </w:p>
          <w:p w14:paraId="37FF13CA" w14:textId="77777777" w:rsidR="00401786" w:rsidRDefault="00C64FB3" w:rsidP="000E757E">
            <w:pPr>
              <w:snapToGrid w:val="0"/>
              <w:spacing w:line="240" w:lineRule="atLeast"/>
              <w:jc w:val="center"/>
            </w:pPr>
            <w:proofErr w:type="gramStart"/>
            <w:r>
              <w:rPr>
                <w:rFonts w:ascii="標楷體" w:eastAsia="標楷體" w:hAnsi="標楷體" w:cs="標楷體"/>
                <w:color w:val="000000"/>
              </w:rPr>
              <w:t>診</w:t>
            </w:r>
            <w:proofErr w:type="gramEnd"/>
          </w:p>
          <w:p w14:paraId="4FA6F2AA" w14:textId="77777777" w:rsidR="00401786" w:rsidRDefault="00401786" w:rsidP="000E757E">
            <w:pPr>
              <w:snapToGrid w:val="0"/>
              <w:spacing w:line="240" w:lineRule="atLeast"/>
              <w:jc w:val="center"/>
              <w:rPr>
                <w:rFonts w:ascii="標楷體" w:eastAsia="標楷體" w:hAnsi="標楷體"/>
                <w:color w:val="000000"/>
              </w:rPr>
            </w:pPr>
          </w:p>
          <w:p w14:paraId="52B84C22" w14:textId="77777777" w:rsidR="00401786" w:rsidRDefault="00401786" w:rsidP="000E757E">
            <w:pPr>
              <w:snapToGrid w:val="0"/>
              <w:spacing w:line="240" w:lineRule="atLeast"/>
              <w:jc w:val="center"/>
              <w:rPr>
                <w:rFonts w:ascii="標楷體" w:eastAsia="標楷體" w:hAnsi="標楷體"/>
                <w:color w:val="000000"/>
              </w:rPr>
            </w:pPr>
          </w:p>
          <w:p w14:paraId="034D8F2B" w14:textId="77777777" w:rsidR="00401786" w:rsidRDefault="00401786" w:rsidP="000E757E">
            <w:pPr>
              <w:snapToGrid w:val="0"/>
              <w:spacing w:line="240" w:lineRule="atLeast"/>
              <w:jc w:val="center"/>
              <w:rPr>
                <w:rFonts w:ascii="標楷體" w:eastAsia="標楷體" w:hAnsi="標楷體"/>
                <w:color w:val="000000"/>
              </w:rPr>
            </w:pPr>
          </w:p>
          <w:p w14:paraId="517A1DCA" w14:textId="77777777" w:rsidR="00401786" w:rsidRDefault="00401786" w:rsidP="000E757E">
            <w:pPr>
              <w:snapToGrid w:val="0"/>
              <w:spacing w:line="240" w:lineRule="atLeast"/>
              <w:jc w:val="center"/>
              <w:rPr>
                <w:rFonts w:ascii="標楷體" w:eastAsia="標楷體" w:hAnsi="標楷體"/>
                <w:color w:val="000000"/>
              </w:rPr>
            </w:pPr>
          </w:p>
          <w:p w14:paraId="54D5BEED" w14:textId="77777777" w:rsidR="00401786" w:rsidRDefault="00401786" w:rsidP="000E757E">
            <w:pPr>
              <w:snapToGrid w:val="0"/>
              <w:spacing w:line="240" w:lineRule="atLeast"/>
              <w:jc w:val="center"/>
              <w:rPr>
                <w:rFonts w:ascii="標楷體" w:eastAsia="標楷體" w:hAnsi="標楷體"/>
                <w:color w:val="000000"/>
              </w:rPr>
            </w:pPr>
          </w:p>
          <w:p w14:paraId="270A7433" w14:textId="77777777" w:rsidR="00401786" w:rsidRDefault="00401786" w:rsidP="000E757E">
            <w:pPr>
              <w:snapToGrid w:val="0"/>
              <w:spacing w:line="240" w:lineRule="atLeast"/>
              <w:jc w:val="center"/>
              <w:rPr>
                <w:rFonts w:ascii="標楷體" w:eastAsia="標楷體" w:hAnsi="標楷體"/>
                <w:color w:val="000000"/>
              </w:rPr>
            </w:pPr>
          </w:p>
          <w:p w14:paraId="571883CB" w14:textId="77777777" w:rsidR="00401786" w:rsidRDefault="00C64FB3" w:rsidP="000E757E">
            <w:pPr>
              <w:snapToGrid w:val="0"/>
              <w:spacing w:line="240" w:lineRule="atLeast"/>
              <w:jc w:val="center"/>
            </w:pPr>
            <w:r>
              <w:rPr>
                <w:rFonts w:ascii="標楷體" w:eastAsia="標楷體" w:hAnsi="標楷體" w:cs="標楷體"/>
                <w:color w:val="000000"/>
              </w:rPr>
              <w:t>斷</w:t>
            </w: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284F695" w14:textId="77777777" w:rsidR="00401786" w:rsidRDefault="00C64FB3" w:rsidP="000E757E">
            <w:pPr>
              <w:snapToGrid w:val="0"/>
              <w:spacing w:line="240" w:lineRule="atLeast"/>
            </w:pPr>
            <w:r>
              <w:rPr>
                <w:rFonts w:ascii="標楷體" w:eastAsia="標楷體" w:hAnsi="標楷體" w:cs="標楷體"/>
                <w:color w:val="000000"/>
              </w:rPr>
              <w:t>□急性心肌梗塞，符合以下各條件</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F4AB4A" w14:textId="77777777" w:rsidR="00401786" w:rsidRDefault="00C64FB3" w:rsidP="000E757E">
            <w:pPr>
              <w:snapToGrid w:val="0"/>
              <w:spacing w:line="240" w:lineRule="atLeast"/>
            </w:pPr>
            <w:r>
              <w:rPr>
                <w:rFonts w:ascii="標楷體" w:eastAsia="標楷體" w:hAnsi="標楷體" w:cs="標楷體"/>
                <w:color w:val="000000"/>
              </w:rPr>
              <w:t>診斷根據</w:t>
            </w:r>
          </w:p>
        </w:tc>
      </w:tr>
      <w:tr w:rsidR="00401786" w14:paraId="204C58D9" w14:textId="77777777">
        <w:trPr>
          <w:cantSplit/>
          <w:trHeight w:val="2327"/>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5F2D70E3" w14:textId="77777777" w:rsidR="00401786" w:rsidRDefault="00401786" w:rsidP="000E757E">
            <w:pPr>
              <w:snapToGrid w:val="0"/>
              <w:spacing w:line="240" w:lineRule="atLeast"/>
              <w:rPr>
                <w:rFonts w:ascii="標楷體" w:eastAsia="標楷體" w:hAnsi="標楷體"/>
                <w:color w:val="000000"/>
              </w:rPr>
            </w:pP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D50AC33" w14:textId="77777777" w:rsidR="00401786" w:rsidRDefault="00C64FB3" w:rsidP="000E757E">
            <w:pPr>
              <w:snapToGrid w:val="0"/>
              <w:spacing w:line="240" w:lineRule="atLeast"/>
            </w:pPr>
            <w:r>
              <w:rPr>
                <w:rFonts w:ascii="標楷體" w:eastAsia="標楷體" w:hAnsi="標楷體" w:cs="標楷體"/>
                <w:color w:val="000000"/>
              </w:rPr>
              <w:t>□確定診斷</w:t>
            </w:r>
          </w:p>
          <w:p w14:paraId="4AEB0468" w14:textId="77777777" w:rsidR="00401786" w:rsidRDefault="00C64FB3" w:rsidP="000E757E">
            <w:pPr>
              <w:snapToGrid w:val="0"/>
              <w:spacing w:line="240" w:lineRule="atLeast"/>
            </w:pPr>
            <w:r>
              <w:rPr>
                <w:rFonts w:ascii="標楷體" w:eastAsia="標楷體" w:hAnsi="標楷體" w:cs="標楷體"/>
                <w:color w:val="000000"/>
              </w:rPr>
              <w:t>□發作在十二小時以內</w:t>
            </w:r>
          </w:p>
          <w:p w14:paraId="3514E891" w14:textId="77777777" w:rsidR="00401786" w:rsidRDefault="00C64FB3" w:rsidP="000E757E">
            <w:pPr>
              <w:snapToGrid w:val="0"/>
              <w:spacing w:line="240" w:lineRule="atLeast"/>
            </w:pPr>
            <w:r>
              <w:rPr>
                <w:rFonts w:ascii="標楷體" w:eastAsia="標楷體" w:hAnsi="標楷體" w:cs="標楷體"/>
                <w:color w:val="000000"/>
              </w:rPr>
              <w:t>□無出血性疾病</w:t>
            </w:r>
          </w:p>
          <w:p w14:paraId="7E2AD3E5" w14:textId="77777777" w:rsidR="00401786" w:rsidRDefault="00C64FB3" w:rsidP="000E757E">
            <w:pPr>
              <w:snapToGrid w:val="0"/>
              <w:spacing w:line="240" w:lineRule="atLeast"/>
            </w:pPr>
            <w:r>
              <w:rPr>
                <w:rFonts w:ascii="標楷體" w:eastAsia="標楷體" w:hAnsi="標楷體" w:cs="標楷體"/>
                <w:color w:val="000000"/>
              </w:rPr>
              <w:t>□近期中無腦血管疾病，手術及出血現象</w:t>
            </w:r>
          </w:p>
          <w:p w14:paraId="4C0FF47F" w14:textId="77777777" w:rsidR="00401786" w:rsidRDefault="00C64FB3" w:rsidP="000E757E">
            <w:pPr>
              <w:snapToGrid w:val="0"/>
              <w:spacing w:line="240" w:lineRule="atLeast"/>
            </w:pPr>
            <w:r>
              <w:rPr>
                <w:rFonts w:ascii="標楷體" w:eastAsia="標楷體" w:hAnsi="標楷體" w:cs="標楷體"/>
                <w:color w:val="000000"/>
              </w:rPr>
              <w:t>□無禁忌症</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23932A"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臨床症狀</w:t>
            </w:r>
          </w:p>
          <w:p w14:paraId="3ED182BB"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心電圖變化</w:t>
            </w:r>
          </w:p>
          <w:p w14:paraId="06911CEC" w14:textId="77777777" w:rsidR="00401786" w:rsidRDefault="00C64FB3">
            <w:pPr>
              <w:numPr>
                <w:ilvl w:val="0"/>
                <w:numId w:val="43"/>
              </w:numPr>
              <w:suppressAutoHyphens w:val="0"/>
              <w:snapToGrid w:val="0"/>
              <w:spacing w:line="240" w:lineRule="atLeast"/>
              <w:textAlignment w:val="auto"/>
            </w:pPr>
            <w:r>
              <w:rPr>
                <w:rFonts w:eastAsia="標楷體"/>
                <w:color w:val="000000"/>
              </w:rPr>
              <w:t>SGOT</w:t>
            </w:r>
            <w:r>
              <w:rPr>
                <w:rFonts w:eastAsia="標楷體"/>
                <w:color w:val="000000"/>
              </w:rPr>
              <w:t>升高</w:t>
            </w:r>
          </w:p>
          <w:p w14:paraId="080F4D2C" w14:textId="77777777" w:rsidR="00401786" w:rsidRDefault="00C64FB3">
            <w:pPr>
              <w:numPr>
                <w:ilvl w:val="0"/>
                <w:numId w:val="43"/>
              </w:numPr>
              <w:suppressAutoHyphens w:val="0"/>
              <w:snapToGrid w:val="0"/>
              <w:spacing w:line="240" w:lineRule="atLeast"/>
              <w:textAlignment w:val="auto"/>
            </w:pPr>
            <w:r>
              <w:rPr>
                <w:rFonts w:eastAsia="標楷體"/>
                <w:color w:val="000000"/>
              </w:rPr>
              <w:t>CPK</w:t>
            </w:r>
            <w:r>
              <w:rPr>
                <w:rFonts w:eastAsia="標楷體"/>
                <w:color w:val="000000"/>
              </w:rPr>
              <w:t>升高</w:t>
            </w:r>
          </w:p>
          <w:p w14:paraId="4E1056BE"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冠狀動脈照影</w:t>
            </w:r>
          </w:p>
          <w:p w14:paraId="63DC94FB"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其他</w:t>
            </w:r>
          </w:p>
        </w:tc>
      </w:tr>
      <w:tr w:rsidR="00401786" w14:paraId="2F4F169B" w14:textId="77777777">
        <w:trPr>
          <w:cantSplit/>
          <w:trHeight w:val="2328"/>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2BF93362" w14:textId="77777777" w:rsidR="00401786" w:rsidRDefault="00401786" w:rsidP="000E757E">
            <w:pPr>
              <w:snapToGrid w:val="0"/>
              <w:spacing w:line="240" w:lineRule="atLeast"/>
              <w:rPr>
                <w:rFonts w:ascii="標楷體" w:eastAsia="標楷體" w:hAnsi="標楷體"/>
                <w:color w:val="000000"/>
              </w:rPr>
            </w:pPr>
          </w:p>
        </w:tc>
        <w:tc>
          <w:tcPr>
            <w:tcW w:w="8556" w:type="dxa"/>
            <w:gridSpan w:val="2"/>
            <w:tcBorders>
              <w:top w:val="single" w:sz="6" w:space="0" w:color="000000"/>
              <w:right w:val="single" w:sz="6" w:space="0" w:color="000000"/>
            </w:tcBorders>
            <w:shd w:val="clear" w:color="auto" w:fill="auto"/>
            <w:tcMar>
              <w:top w:w="0" w:type="dxa"/>
              <w:left w:w="28" w:type="dxa"/>
              <w:bottom w:w="0" w:type="dxa"/>
              <w:right w:w="28" w:type="dxa"/>
            </w:tcMar>
            <w:vAlign w:val="center"/>
          </w:tcPr>
          <w:p w14:paraId="1234F312"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在梗塞發作十二小時以內注射</w:t>
            </w:r>
          </w:p>
          <w:p w14:paraId="145DC36C" w14:textId="77777777" w:rsidR="00401786" w:rsidRDefault="00C64FB3" w:rsidP="000E757E">
            <w:pPr>
              <w:snapToGrid w:val="0"/>
              <w:spacing w:line="240" w:lineRule="atLeast"/>
            </w:pPr>
            <w:r>
              <w:rPr>
                <w:rFonts w:ascii="標楷體" w:eastAsia="標楷體" w:hAnsi="標楷體" w:cs="標楷體"/>
                <w:color w:val="000000"/>
              </w:rPr>
              <w:t>發作時刻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6C1EBD74" w14:textId="77777777" w:rsidR="00401786" w:rsidRDefault="00C64FB3" w:rsidP="000E757E">
            <w:pPr>
              <w:snapToGrid w:val="0"/>
              <w:spacing w:line="240" w:lineRule="atLeast"/>
            </w:pPr>
            <w:r>
              <w:rPr>
                <w:rFonts w:ascii="標楷體" w:eastAsia="標楷體" w:hAnsi="標楷體" w:cs="標楷體"/>
                <w:color w:val="000000"/>
              </w:rPr>
              <w:t>來診時刻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72570652" w14:textId="77777777" w:rsidR="00401786" w:rsidRDefault="00C64FB3" w:rsidP="000E757E">
            <w:pPr>
              <w:snapToGrid w:val="0"/>
              <w:spacing w:line="240" w:lineRule="atLeast"/>
            </w:pPr>
            <w:r>
              <w:rPr>
                <w:rFonts w:ascii="標楷體" w:eastAsia="標楷體" w:hAnsi="標楷體" w:cs="標楷體"/>
                <w:color w:val="000000"/>
              </w:rPr>
              <w:t>開始注射時間</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0F9A694F" w14:textId="77777777" w:rsidR="00401786" w:rsidRDefault="00C64FB3" w:rsidP="000E757E">
            <w:pPr>
              <w:snapToGrid w:val="0"/>
              <w:spacing w:line="240" w:lineRule="atLeast"/>
            </w:pPr>
            <w:r>
              <w:rPr>
                <w:rFonts w:ascii="標楷體" w:eastAsia="標楷體" w:hAnsi="標楷體" w:cs="標楷體"/>
                <w:color w:val="000000"/>
              </w:rPr>
              <w:t>間隔 □</w:t>
            </w:r>
            <w:r>
              <w:rPr>
                <w:rFonts w:eastAsia="標楷體"/>
                <w:color w:val="000000"/>
              </w:rPr>
              <w:t>1</w:t>
            </w:r>
            <w:r>
              <w:rPr>
                <w:rFonts w:eastAsia="標楷體"/>
                <w:color w:val="000000"/>
              </w:rPr>
              <w:t>小時以內</w:t>
            </w:r>
            <w:r>
              <w:rPr>
                <w:rFonts w:ascii="標楷體" w:eastAsia="標楷體" w:hAnsi="標楷體" w:cs="標楷體"/>
                <w:color w:val="000000"/>
              </w:rPr>
              <w:t xml:space="preserve"> □</w:t>
            </w:r>
            <w:r>
              <w:rPr>
                <w:rFonts w:eastAsia="標楷體"/>
                <w:color w:val="000000"/>
              </w:rPr>
              <w:t>1-2</w:t>
            </w:r>
            <w:r>
              <w:rPr>
                <w:rFonts w:eastAsia="標楷體"/>
                <w:color w:val="000000"/>
              </w:rPr>
              <w:t>小時</w:t>
            </w:r>
            <w:r>
              <w:rPr>
                <w:rFonts w:ascii="標楷體" w:eastAsia="標楷體" w:hAnsi="標楷體" w:cs="標楷體"/>
                <w:color w:val="000000"/>
              </w:rPr>
              <w:t xml:space="preserve"> □</w:t>
            </w:r>
            <w:r>
              <w:rPr>
                <w:rFonts w:eastAsia="標楷體"/>
                <w:color w:val="000000"/>
              </w:rPr>
              <w:t>2-4</w:t>
            </w:r>
            <w:r>
              <w:rPr>
                <w:rFonts w:eastAsia="標楷體"/>
                <w:color w:val="000000"/>
              </w:rPr>
              <w:t>小時</w:t>
            </w:r>
            <w:r>
              <w:rPr>
                <w:rFonts w:ascii="標楷體" w:eastAsia="標楷體" w:hAnsi="標楷體" w:cs="標楷體"/>
                <w:color w:val="000000"/>
              </w:rPr>
              <w:t xml:space="preserve"> □</w:t>
            </w:r>
            <w:r>
              <w:rPr>
                <w:rFonts w:eastAsia="標楷體"/>
                <w:color w:val="000000"/>
              </w:rPr>
              <w:t>4-6</w:t>
            </w:r>
            <w:r>
              <w:rPr>
                <w:rFonts w:eastAsia="標楷體"/>
                <w:color w:val="000000"/>
              </w:rPr>
              <w:t>小時</w:t>
            </w:r>
          </w:p>
          <w:p w14:paraId="31C6B65F" w14:textId="77777777" w:rsidR="00401786" w:rsidRDefault="00C64FB3" w:rsidP="000E757E">
            <w:pPr>
              <w:snapToGrid w:val="0"/>
              <w:spacing w:line="240" w:lineRule="atLeast"/>
            </w:pPr>
            <w:r>
              <w:rPr>
                <w:rFonts w:ascii="標楷體" w:eastAsia="標楷體" w:hAnsi="標楷體" w:cs="標楷體"/>
                <w:color w:val="000000"/>
              </w:rPr>
              <w:t xml:space="preserve">　　 □</w:t>
            </w:r>
            <w:r>
              <w:rPr>
                <w:rFonts w:eastAsia="標楷體"/>
                <w:color w:val="000000"/>
              </w:rPr>
              <w:t>6-12</w:t>
            </w:r>
            <w:r>
              <w:rPr>
                <w:rFonts w:eastAsia="標楷體"/>
                <w:color w:val="000000"/>
              </w:rPr>
              <w:t>小時</w:t>
            </w:r>
          </w:p>
        </w:tc>
      </w:tr>
      <w:tr w:rsidR="00401786" w14:paraId="429EE2F2" w14:textId="77777777">
        <w:trPr>
          <w:cantSplit/>
          <w:trHeight w:val="503"/>
        </w:trPr>
        <w:tc>
          <w:tcPr>
            <w:tcW w:w="912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2305B7" w14:textId="77777777" w:rsidR="00401786" w:rsidRDefault="00C64FB3" w:rsidP="000E757E">
            <w:pPr>
              <w:snapToGrid w:val="0"/>
              <w:spacing w:line="240" w:lineRule="atLeast"/>
            </w:pPr>
            <w:r>
              <w:rPr>
                <w:rFonts w:ascii="標楷體" w:eastAsia="標楷體" w:hAnsi="標楷體" w:cs="標楷體"/>
                <w:color w:val="000000"/>
              </w:rPr>
              <w:t>用量　　□</w:t>
            </w:r>
            <w:r>
              <w:rPr>
                <w:rFonts w:eastAsia="標楷體"/>
                <w:color w:val="000000"/>
              </w:rPr>
              <w:t>2</w:t>
            </w:r>
            <w:r>
              <w:rPr>
                <w:rFonts w:ascii="標楷體" w:eastAsia="標楷體" w:hAnsi="標楷體" w:cs="標楷體"/>
                <w:color w:val="000000"/>
              </w:rPr>
              <w:t>瓶</w:t>
            </w:r>
            <w:r>
              <w:rPr>
                <w:rFonts w:eastAsia="標楷體"/>
                <w:color w:val="000000"/>
              </w:rPr>
              <w:t>(100mg)</w:t>
            </w:r>
            <w:r>
              <w:rPr>
                <w:rFonts w:ascii="標楷體" w:eastAsia="標楷體" w:hAnsi="標楷體" w:cs="標楷體"/>
                <w:color w:val="000000"/>
              </w:rPr>
              <w:t xml:space="preserve">　　　□</w:t>
            </w:r>
            <w:r>
              <w:rPr>
                <w:rFonts w:eastAsia="標楷體"/>
                <w:color w:val="000000"/>
              </w:rPr>
              <w:t>1</w:t>
            </w:r>
            <w:r>
              <w:rPr>
                <w:rFonts w:eastAsia="標楷體"/>
                <w:color w:val="000000"/>
              </w:rPr>
              <w:t>瓶</w:t>
            </w:r>
            <w:r>
              <w:rPr>
                <w:rFonts w:eastAsia="標楷體"/>
                <w:color w:val="000000"/>
              </w:rPr>
              <w:t>(50mg)</w:t>
            </w:r>
          </w:p>
        </w:tc>
      </w:tr>
      <w:tr w:rsidR="00401786" w14:paraId="7CB7C277" w14:textId="77777777">
        <w:trPr>
          <w:cantSplit/>
          <w:trHeight w:val="1859"/>
        </w:trPr>
        <w:tc>
          <w:tcPr>
            <w:tcW w:w="9124" w:type="dxa"/>
            <w:gridSpan w:val="3"/>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7530DC" w14:textId="77777777" w:rsidR="00401786" w:rsidRDefault="00C64FB3" w:rsidP="000E757E">
            <w:pPr>
              <w:snapToGrid w:val="0"/>
              <w:spacing w:line="240" w:lineRule="atLeast"/>
            </w:pPr>
            <w:r>
              <w:rPr>
                <w:rFonts w:ascii="標楷體" w:eastAsia="標楷體" w:hAnsi="標楷體" w:cs="標楷體"/>
                <w:color w:val="000000"/>
              </w:rPr>
              <w:t>心肌梗塞部位</w:t>
            </w:r>
          </w:p>
          <w:p w14:paraId="7EE044AE" w14:textId="77777777" w:rsidR="00401786" w:rsidRDefault="00C64FB3" w:rsidP="000E757E">
            <w:pPr>
              <w:snapToGrid w:val="0"/>
              <w:spacing w:line="240" w:lineRule="atLeast"/>
            </w:pPr>
            <w:r>
              <w:rPr>
                <w:rFonts w:ascii="標楷體" w:eastAsia="標楷體" w:hAnsi="標楷體" w:cs="標楷體"/>
                <w:color w:val="000000"/>
              </w:rPr>
              <w:t>□</w:t>
            </w:r>
            <w:proofErr w:type="gramStart"/>
            <w:r>
              <w:rPr>
                <w:rFonts w:ascii="標楷體" w:eastAsia="標楷體" w:hAnsi="標楷體" w:cs="標楷體"/>
                <w:color w:val="000000"/>
              </w:rPr>
              <w:t>前壁</w:t>
            </w:r>
            <w:proofErr w:type="gramEnd"/>
            <w:r>
              <w:rPr>
                <w:rFonts w:ascii="標楷體" w:eastAsia="標楷體" w:hAnsi="標楷體" w:cs="標楷體"/>
                <w:color w:val="000000"/>
              </w:rPr>
              <w:t xml:space="preserve"> □</w:t>
            </w:r>
            <w:proofErr w:type="gramStart"/>
            <w:r>
              <w:rPr>
                <w:rFonts w:ascii="標楷體" w:eastAsia="標楷體" w:hAnsi="標楷體" w:cs="標楷體"/>
                <w:color w:val="000000"/>
              </w:rPr>
              <w:t>側壁</w:t>
            </w:r>
            <w:proofErr w:type="gramEnd"/>
            <w:r>
              <w:rPr>
                <w:rFonts w:ascii="標楷體" w:eastAsia="標楷體" w:hAnsi="標楷體" w:cs="標楷體"/>
                <w:color w:val="000000"/>
              </w:rPr>
              <w:t xml:space="preserve"> □中隔部 □後壁</w:t>
            </w:r>
          </w:p>
        </w:tc>
      </w:tr>
    </w:tbl>
    <w:p w14:paraId="30AC47CB" w14:textId="77777777" w:rsidR="00401786" w:rsidRDefault="00C64FB3" w:rsidP="000E757E">
      <w:pPr>
        <w:snapToGrid w:val="0"/>
        <w:spacing w:line="240" w:lineRule="atLeast"/>
      </w:pPr>
      <w:r>
        <w:rPr>
          <w:rFonts w:ascii="標楷體" w:eastAsia="標楷體" w:hAnsi="標楷體" w:cs="標楷體"/>
          <w:color w:val="000000"/>
        </w:rPr>
        <w:t>申報醫師：                     本表請</w:t>
      </w:r>
      <w:proofErr w:type="gramStart"/>
      <w:r>
        <w:rPr>
          <w:rFonts w:ascii="標楷體" w:eastAsia="標楷體" w:hAnsi="標楷體" w:cs="標楷體"/>
          <w:color w:val="000000"/>
        </w:rPr>
        <w:t>併</w:t>
      </w:r>
      <w:proofErr w:type="gramEnd"/>
      <w:r>
        <w:rPr>
          <w:rFonts w:ascii="標楷體" w:eastAsia="標楷體" w:hAnsi="標楷體" w:cs="標楷體"/>
          <w:color w:val="000000"/>
        </w:rPr>
        <w:t>醫療費用申報</w:t>
      </w:r>
    </w:p>
    <w:p w14:paraId="5C4AF443" w14:textId="77777777" w:rsidR="00401786" w:rsidRDefault="00401786" w:rsidP="000E757E">
      <w:pPr>
        <w:widowControl/>
        <w:suppressAutoHyphens w:val="0"/>
        <w:snapToGrid w:val="0"/>
        <w:spacing w:line="240" w:lineRule="atLeast"/>
        <w:rPr>
          <w:rFonts w:ascii="標楷體" w:eastAsia="標楷體" w:hAnsi="標楷體"/>
          <w:color w:val="000000"/>
        </w:rPr>
      </w:pPr>
    </w:p>
    <w:p w14:paraId="42898D0D" w14:textId="77777777" w:rsidR="00401786" w:rsidRDefault="00401786" w:rsidP="000E757E">
      <w:pPr>
        <w:pageBreakBefore/>
        <w:widowControl/>
        <w:suppressAutoHyphens w:val="0"/>
        <w:spacing w:line="240" w:lineRule="atLeast"/>
        <w:rPr>
          <w:rFonts w:eastAsia="標楷體"/>
          <w:color w:val="000000"/>
        </w:rPr>
      </w:pPr>
    </w:p>
    <w:p w14:paraId="31F4F5FA" w14:textId="77777777" w:rsidR="00401786" w:rsidRPr="00732189" w:rsidRDefault="00C64FB3" w:rsidP="000E757E">
      <w:pPr>
        <w:snapToGrid w:val="0"/>
        <w:spacing w:line="240" w:lineRule="atLeast"/>
        <w:ind w:left="1274" w:hanging="1274"/>
        <w:jc w:val="both"/>
        <w:rPr>
          <w:b/>
          <w:bCs/>
        </w:rPr>
      </w:pPr>
      <w:r w:rsidRPr="00732189">
        <w:rPr>
          <w:rFonts w:eastAsia="標楷體"/>
          <w:b/>
          <w:bCs/>
          <w:color w:val="000000"/>
        </w:rPr>
        <w:t>附表二</w:t>
      </w:r>
      <w:r w:rsidRPr="00732189">
        <w:rPr>
          <w:rFonts w:eastAsia="標楷體"/>
          <w:b/>
          <w:bCs/>
          <w:color w:val="000000"/>
        </w:rPr>
        <w:t>-B</w:t>
      </w:r>
      <w:r w:rsidRPr="00732189">
        <w:rPr>
          <w:rFonts w:eastAsia="標楷體"/>
          <w:b/>
          <w:bCs/>
          <w:color w:val="000000"/>
        </w:rPr>
        <w:t xml:space="preserve">　全民健康保險使用</w:t>
      </w:r>
      <w:r w:rsidRPr="00732189">
        <w:rPr>
          <w:rFonts w:eastAsia="標楷體"/>
          <w:b/>
          <w:bCs/>
          <w:color w:val="000000"/>
        </w:rPr>
        <w:t>rt-PA(</w:t>
      </w:r>
      <w:proofErr w:type="spellStart"/>
      <w:r w:rsidRPr="00732189">
        <w:rPr>
          <w:rFonts w:eastAsia="標楷體"/>
          <w:b/>
          <w:bCs/>
          <w:color w:val="000000"/>
        </w:rPr>
        <w:t>Actilyse</w:t>
      </w:r>
      <w:proofErr w:type="spellEnd"/>
      <w:r w:rsidRPr="00732189">
        <w:rPr>
          <w:rFonts w:eastAsia="標楷體"/>
          <w:b/>
          <w:bCs/>
          <w:color w:val="000000"/>
        </w:rPr>
        <w:t>)</w:t>
      </w:r>
      <w:r w:rsidRPr="00732189">
        <w:rPr>
          <w:rFonts w:eastAsia="標楷體"/>
          <w:b/>
          <w:bCs/>
          <w:color w:val="000000"/>
        </w:rPr>
        <w:t>申報表（急性缺血性腦中風病患用）</w:t>
      </w:r>
    </w:p>
    <w:p w14:paraId="1D8D51E3" w14:textId="77777777" w:rsidR="00401786" w:rsidRDefault="00401786" w:rsidP="000E757E">
      <w:pPr>
        <w:snapToGrid w:val="0"/>
        <w:spacing w:line="240" w:lineRule="atLeast"/>
        <w:rPr>
          <w:rFonts w:ascii="標楷體" w:eastAsia="標楷體" w:hAnsi="標楷體"/>
          <w:color w:val="000000"/>
        </w:rPr>
      </w:pPr>
    </w:p>
    <w:tbl>
      <w:tblPr>
        <w:tblW w:w="9028" w:type="dxa"/>
        <w:tblLayout w:type="fixed"/>
        <w:tblCellMar>
          <w:left w:w="10" w:type="dxa"/>
          <w:right w:w="10" w:type="dxa"/>
        </w:tblCellMar>
        <w:tblLook w:val="0000" w:firstRow="0" w:lastRow="0" w:firstColumn="0" w:lastColumn="0" w:noHBand="0" w:noVBand="0"/>
      </w:tblPr>
      <w:tblGrid>
        <w:gridCol w:w="1393"/>
        <w:gridCol w:w="1695"/>
        <w:gridCol w:w="720"/>
        <w:gridCol w:w="540"/>
        <w:gridCol w:w="720"/>
        <w:gridCol w:w="900"/>
        <w:gridCol w:w="1393"/>
        <w:gridCol w:w="1667"/>
      </w:tblGrid>
      <w:tr w:rsidR="00401786" w14:paraId="296A0E0A" w14:textId="77777777">
        <w:trPr>
          <w:cantSplit/>
        </w:trPr>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18B31AD" w14:textId="77777777" w:rsidR="00401786" w:rsidRDefault="00C64FB3" w:rsidP="000E757E">
            <w:pPr>
              <w:snapToGrid w:val="0"/>
              <w:spacing w:line="240" w:lineRule="atLeast"/>
            </w:pPr>
            <w:r>
              <w:rPr>
                <w:rFonts w:ascii="標楷體" w:eastAsia="標楷體" w:hAnsi="標楷體" w:cs="標楷體"/>
                <w:color w:val="000000"/>
              </w:rPr>
              <w:t>醫院代號</w:t>
            </w:r>
          </w:p>
        </w:tc>
        <w:tc>
          <w:tcPr>
            <w:tcW w:w="1695" w:type="dxa"/>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63FDAD3C"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5EBCC83" w14:textId="77777777" w:rsidR="00401786" w:rsidRDefault="00C64FB3" w:rsidP="000E757E">
            <w:pPr>
              <w:snapToGrid w:val="0"/>
              <w:spacing w:line="240" w:lineRule="atLeast"/>
            </w:pPr>
            <w:r>
              <w:rPr>
                <w:rFonts w:ascii="標楷體" w:eastAsia="標楷體" w:hAnsi="標楷體" w:cs="標楷體"/>
                <w:color w:val="000000"/>
              </w:rPr>
              <w:t>醫院名稱</w:t>
            </w:r>
          </w:p>
        </w:tc>
        <w:tc>
          <w:tcPr>
            <w:tcW w:w="1620" w:type="dxa"/>
            <w:gridSpan w:val="2"/>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12117EC8" w14:textId="77777777" w:rsidR="00401786" w:rsidRDefault="00401786" w:rsidP="000E757E">
            <w:pPr>
              <w:snapToGrid w:val="0"/>
              <w:spacing w:line="240" w:lineRule="atLeast"/>
              <w:rPr>
                <w:rFonts w:ascii="標楷體" w:eastAsia="標楷體" w:hAnsi="標楷體"/>
                <w:color w:val="000000"/>
              </w:rPr>
            </w:pPr>
          </w:p>
        </w:tc>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439732E" w14:textId="77777777" w:rsidR="00401786" w:rsidRDefault="00C64FB3" w:rsidP="000E757E">
            <w:pPr>
              <w:snapToGrid w:val="0"/>
              <w:spacing w:line="240" w:lineRule="atLeast"/>
            </w:pPr>
            <w:r>
              <w:rPr>
                <w:rFonts w:ascii="標楷體" w:eastAsia="標楷體" w:hAnsi="標楷體" w:cs="標楷體"/>
                <w:color w:val="000000"/>
              </w:rPr>
              <w:t>申請日期</w:t>
            </w:r>
          </w:p>
        </w:tc>
        <w:tc>
          <w:tcPr>
            <w:tcW w:w="1667"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B049236" w14:textId="77777777" w:rsidR="00401786" w:rsidRDefault="00401786" w:rsidP="000E757E">
            <w:pPr>
              <w:snapToGrid w:val="0"/>
              <w:spacing w:line="240" w:lineRule="atLeast"/>
              <w:rPr>
                <w:rFonts w:ascii="標楷體" w:eastAsia="標楷體" w:hAnsi="標楷體"/>
                <w:color w:val="000000"/>
              </w:rPr>
            </w:pPr>
          </w:p>
        </w:tc>
      </w:tr>
      <w:tr w:rsidR="00401786" w14:paraId="1C3D9082"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4A9692D" w14:textId="77777777" w:rsidR="00401786" w:rsidRDefault="00C64FB3" w:rsidP="000E757E">
            <w:pPr>
              <w:snapToGrid w:val="0"/>
              <w:spacing w:line="240" w:lineRule="atLeast"/>
            </w:pPr>
            <w:r>
              <w:rPr>
                <w:rFonts w:ascii="標楷體" w:eastAsia="標楷體" w:hAnsi="標楷體" w:cs="標楷體"/>
                <w:color w:val="000000"/>
              </w:rPr>
              <w:t>病人姓名</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234D17E"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F55A910" w14:textId="77777777" w:rsidR="00401786" w:rsidRDefault="00C64FB3" w:rsidP="000E757E">
            <w:pPr>
              <w:snapToGrid w:val="0"/>
              <w:spacing w:line="240" w:lineRule="atLeast"/>
            </w:pPr>
            <w:r>
              <w:rPr>
                <w:rFonts w:ascii="標楷體" w:eastAsia="標楷體" w:hAnsi="標楷體" w:cs="標楷體"/>
                <w:color w:val="000000"/>
              </w:rPr>
              <w:t>性別</w:t>
            </w:r>
          </w:p>
        </w:tc>
        <w:tc>
          <w:tcPr>
            <w:tcW w:w="54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24439FEF"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15B547D" w14:textId="77777777" w:rsidR="00401786" w:rsidRDefault="00C64FB3" w:rsidP="000E757E">
            <w:pPr>
              <w:snapToGrid w:val="0"/>
              <w:spacing w:line="240" w:lineRule="atLeast"/>
            </w:pPr>
            <w:r>
              <w:rPr>
                <w:rFonts w:ascii="標楷體" w:eastAsia="標楷體" w:hAnsi="標楷體" w:cs="標楷體"/>
                <w:color w:val="000000"/>
              </w:rPr>
              <w:t>年齡</w:t>
            </w:r>
          </w:p>
        </w:tc>
        <w:tc>
          <w:tcPr>
            <w:tcW w:w="90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37C50FE2"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DFF2E17" w14:textId="77777777" w:rsidR="00401786" w:rsidRDefault="00C64FB3" w:rsidP="000E757E">
            <w:pPr>
              <w:snapToGrid w:val="0"/>
              <w:spacing w:line="240" w:lineRule="atLeast"/>
            </w:pPr>
            <w:r>
              <w:rPr>
                <w:rFonts w:ascii="標楷體" w:eastAsia="標楷體" w:hAnsi="標楷體" w:cs="標楷體"/>
                <w:color w:val="000000"/>
              </w:rPr>
              <w:t>出生日期</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197EBCA" w14:textId="77777777" w:rsidR="00401786" w:rsidRDefault="00401786" w:rsidP="000E757E">
            <w:pPr>
              <w:snapToGrid w:val="0"/>
              <w:spacing w:line="240" w:lineRule="atLeast"/>
              <w:rPr>
                <w:rFonts w:ascii="標楷體" w:eastAsia="標楷體" w:hAnsi="標楷體"/>
                <w:color w:val="000000"/>
              </w:rPr>
            </w:pPr>
          </w:p>
        </w:tc>
      </w:tr>
      <w:tr w:rsidR="00401786" w14:paraId="65FEBF49"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0DD82D4" w14:textId="77777777" w:rsidR="00401786" w:rsidRDefault="00C64FB3" w:rsidP="000E757E">
            <w:pPr>
              <w:snapToGrid w:val="0"/>
              <w:spacing w:line="240" w:lineRule="atLeast"/>
            </w:pPr>
            <w:r>
              <w:rPr>
                <w:rFonts w:ascii="標楷體" w:eastAsia="標楷體" w:hAnsi="標楷體" w:cs="標楷體"/>
                <w:color w:val="000000"/>
              </w:rPr>
              <w:t>身份證號</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CF0A9F3"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7B4AC30" w14:textId="77777777" w:rsidR="00401786" w:rsidRDefault="00C64FB3" w:rsidP="000E757E">
            <w:pPr>
              <w:snapToGrid w:val="0"/>
              <w:spacing w:line="240" w:lineRule="atLeast"/>
            </w:pPr>
            <w:r>
              <w:rPr>
                <w:rFonts w:ascii="標楷體" w:eastAsia="標楷體" w:hAnsi="標楷體" w:cs="標楷體"/>
                <w:color w:val="000000"/>
              </w:rPr>
              <w:t>病歷號碼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793E9BBB"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1E93D28" w14:textId="77777777" w:rsidR="00401786" w:rsidRDefault="00C64FB3" w:rsidP="000E757E">
            <w:pPr>
              <w:snapToGrid w:val="0"/>
              <w:spacing w:line="240" w:lineRule="atLeast"/>
            </w:pPr>
            <w:r>
              <w:rPr>
                <w:rFonts w:ascii="標楷體" w:eastAsia="標楷體" w:hAnsi="標楷體" w:cs="標楷體"/>
                <w:color w:val="000000"/>
              </w:rPr>
              <w:t>體重</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BDC1AD9" w14:textId="77777777" w:rsidR="00401786" w:rsidRDefault="00401786" w:rsidP="000E757E">
            <w:pPr>
              <w:snapToGrid w:val="0"/>
              <w:spacing w:line="240" w:lineRule="atLeast"/>
              <w:rPr>
                <w:rFonts w:ascii="標楷體" w:eastAsia="標楷體" w:hAnsi="標楷體"/>
                <w:color w:val="000000"/>
              </w:rPr>
            </w:pPr>
          </w:p>
        </w:tc>
      </w:tr>
      <w:tr w:rsidR="00401786" w14:paraId="3CAB6098"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8FD4628" w14:textId="77777777" w:rsidR="00401786" w:rsidRDefault="00C64FB3" w:rsidP="000E757E">
            <w:pPr>
              <w:snapToGrid w:val="0"/>
              <w:spacing w:line="240" w:lineRule="atLeast"/>
            </w:pPr>
            <w:r>
              <w:rPr>
                <w:rFonts w:ascii="標楷體" w:eastAsia="標楷體" w:hAnsi="標楷體" w:cs="標楷體"/>
                <w:color w:val="000000"/>
              </w:rPr>
              <w:t>藥品名稱</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2779694A"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7C8FFFD" w14:textId="77777777" w:rsidR="00401786" w:rsidRDefault="00C64FB3" w:rsidP="000E757E">
            <w:pPr>
              <w:snapToGrid w:val="0"/>
              <w:spacing w:line="240" w:lineRule="atLeast"/>
            </w:pPr>
            <w:r>
              <w:rPr>
                <w:rFonts w:ascii="標楷體" w:eastAsia="標楷體" w:hAnsi="標楷體" w:cs="標楷體"/>
                <w:color w:val="000000"/>
              </w:rPr>
              <w:t>藥品代碼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75119161"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E033BD6" w14:textId="77777777" w:rsidR="00401786" w:rsidRDefault="00C64FB3" w:rsidP="000E757E">
            <w:pPr>
              <w:snapToGrid w:val="0"/>
              <w:spacing w:line="240" w:lineRule="atLeast"/>
            </w:pPr>
            <w:r>
              <w:rPr>
                <w:rFonts w:ascii="標楷體" w:eastAsia="標楷體" w:hAnsi="標楷體" w:cs="標楷體"/>
                <w:color w:val="000000"/>
              </w:rPr>
              <w:t>申請數量</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D1B557D" w14:textId="77777777" w:rsidR="00401786" w:rsidRDefault="00401786" w:rsidP="000E757E">
            <w:pPr>
              <w:snapToGrid w:val="0"/>
              <w:spacing w:line="240" w:lineRule="atLeast"/>
              <w:rPr>
                <w:rFonts w:ascii="標楷體" w:eastAsia="標楷體" w:hAnsi="標楷體"/>
                <w:color w:val="000000"/>
              </w:rPr>
            </w:pPr>
          </w:p>
        </w:tc>
      </w:tr>
      <w:tr w:rsidR="00401786" w14:paraId="56FDE64B" w14:textId="77777777">
        <w:trPr>
          <w:cantSplit/>
        </w:trPr>
        <w:tc>
          <w:tcPr>
            <w:tcW w:w="1393" w:type="dxa"/>
            <w:tcBorders>
              <w:top w:val="single" w:sz="6" w:space="0" w:color="000000"/>
              <w:left w:val="double" w:sz="6" w:space="0" w:color="000000"/>
              <w:bottom w:val="double" w:sz="6" w:space="0" w:color="000000"/>
            </w:tcBorders>
            <w:shd w:val="clear" w:color="auto" w:fill="auto"/>
            <w:tcMar>
              <w:top w:w="0" w:type="dxa"/>
              <w:left w:w="28" w:type="dxa"/>
              <w:bottom w:w="0" w:type="dxa"/>
              <w:right w:w="28" w:type="dxa"/>
            </w:tcMar>
          </w:tcPr>
          <w:p w14:paraId="15A58C4D" w14:textId="77777777" w:rsidR="00401786" w:rsidRDefault="00C64FB3" w:rsidP="000E757E">
            <w:pPr>
              <w:snapToGrid w:val="0"/>
              <w:spacing w:line="240" w:lineRule="atLeast"/>
            </w:pPr>
            <w:r>
              <w:rPr>
                <w:rFonts w:ascii="標楷體" w:eastAsia="標楷體" w:hAnsi="標楷體" w:cs="標楷體"/>
                <w:color w:val="000000"/>
              </w:rPr>
              <w:t>使用期間</w:t>
            </w:r>
          </w:p>
        </w:tc>
        <w:tc>
          <w:tcPr>
            <w:tcW w:w="4575" w:type="dxa"/>
            <w:gridSpan w:val="5"/>
            <w:tcBorders>
              <w:top w:val="single" w:sz="6" w:space="0" w:color="000000"/>
              <w:left w:val="single" w:sz="6" w:space="0" w:color="000000"/>
              <w:bottom w:val="double" w:sz="6" w:space="0" w:color="000000"/>
            </w:tcBorders>
            <w:shd w:val="clear" w:color="auto" w:fill="auto"/>
            <w:tcMar>
              <w:top w:w="0" w:type="dxa"/>
              <w:left w:w="28" w:type="dxa"/>
              <w:bottom w:w="0" w:type="dxa"/>
              <w:right w:w="28" w:type="dxa"/>
            </w:tcMar>
          </w:tcPr>
          <w:p w14:paraId="0B041ABA" w14:textId="77777777" w:rsidR="00401786" w:rsidRDefault="00C64FB3" w:rsidP="000E757E">
            <w:pPr>
              <w:snapToGrid w:val="0"/>
              <w:spacing w:line="240" w:lineRule="atLeast"/>
            </w:pPr>
            <w:r>
              <w:rPr>
                <w:rFonts w:ascii="標楷體" w:eastAsia="標楷體" w:hAnsi="標楷體" w:cs="標楷體"/>
                <w:color w:val="000000"/>
              </w:rPr>
              <w:t>自　年　月　日　至　年　月　日</w:t>
            </w:r>
          </w:p>
        </w:tc>
        <w:tc>
          <w:tcPr>
            <w:tcW w:w="1393"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7820040" w14:textId="77777777" w:rsidR="00401786" w:rsidRDefault="00C64FB3" w:rsidP="000E757E">
            <w:pPr>
              <w:snapToGrid w:val="0"/>
              <w:spacing w:line="240" w:lineRule="atLeast"/>
            </w:pPr>
            <w:r>
              <w:rPr>
                <w:rFonts w:ascii="標楷體" w:eastAsia="標楷體" w:hAnsi="標楷體" w:cs="標楷體"/>
                <w:color w:val="000000"/>
              </w:rPr>
              <w:t>用法用量</w:t>
            </w:r>
          </w:p>
        </w:tc>
        <w:tc>
          <w:tcPr>
            <w:tcW w:w="1667"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11507750" w14:textId="77777777" w:rsidR="00401786" w:rsidRDefault="00401786" w:rsidP="000E757E">
            <w:pPr>
              <w:snapToGrid w:val="0"/>
              <w:spacing w:line="240" w:lineRule="atLeast"/>
              <w:rPr>
                <w:rFonts w:ascii="標楷體" w:eastAsia="標楷體" w:hAnsi="標楷體"/>
                <w:color w:val="000000"/>
              </w:rPr>
            </w:pPr>
          </w:p>
        </w:tc>
      </w:tr>
    </w:tbl>
    <w:p w14:paraId="6578A7DB" w14:textId="77777777" w:rsidR="00401786" w:rsidRDefault="00401786" w:rsidP="000E757E">
      <w:pPr>
        <w:snapToGrid w:val="0"/>
        <w:spacing w:line="240" w:lineRule="atLeast"/>
        <w:rPr>
          <w:rFonts w:ascii="標楷體" w:eastAsia="標楷體" w:hAnsi="標楷體"/>
          <w:color w:val="000000"/>
        </w:rPr>
      </w:pPr>
    </w:p>
    <w:tbl>
      <w:tblPr>
        <w:tblW w:w="8974" w:type="dxa"/>
        <w:tblInd w:w="54" w:type="dxa"/>
        <w:tblLayout w:type="fixed"/>
        <w:tblCellMar>
          <w:left w:w="10" w:type="dxa"/>
          <w:right w:w="10" w:type="dxa"/>
        </w:tblCellMar>
        <w:tblLook w:val="0000" w:firstRow="0" w:lastRow="0" w:firstColumn="0" w:lastColumn="0" w:noHBand="0" w:noVBand="0"/>
      </w:tblPr>
      <w:tblGrid>
        <w:gridCol w:w="8974"/>
      </w:tblGrid>
      <w:tr w:rsidR="00401786" w14:paraId="1D06B71B" w14:textId="77777777">
        <w:trPr>
          <w:trHeight w:val="544"/>
        </w:trPr>
        <w:tc>
          <w:tcPr>
            <w:tcW w:w="89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CC69E1"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急性缺血性腦中風</w:t>
            </w:r>
          </w:p>
        </w:tc>
      </w:tr>
    </w:tbl>
    <w:p w14:paraId="25AB3C89" w14:textId="77777777" w:rsidR="00401786" w:rsidRDefault="00401786" w:rsidP="000E757E">
      <w:pPr>
        <w:snapToGrid w:val="0"/>
        <w:spacing w:line="240" w:lineRule="atLeast"/>
        <w:rPr>
          <w:rFonts w:ascii="標楷體" w:eastAsia="標楷體" w:hAnsi="標楷體"/>
          <w:color w:val="000000"/>
        </w:rPr>
      </w:pPr>
    </w:p>
    <w:tbl>
      <w:tblPr>
        <w:tblW w:w="9124" w:type="dxa"/>
        <w:tblLayout w:type="fixed"/>
        <w:tblCellMar>
          <w:left w:w="10" w:type="dxa"/>
          <w:right w:w="10" w:type="dxa"/>
        </w:tblCellMar>
        <w:tblLook w:val="0000" w:firstRow="0" w:lastRow="0" w:firstColumn="0" w:lastColumn="0" w:noHBand="0" w:noVBand="0"/>
      </w:tblPr>
      <w:tblGrid>
        <w:gridCol w:w="568"/>
        <w:gridCol w:w="5760"/>
        <w:gridCol w:w="2796"/>
      </w:tblGrid>
      <w:tr w:rsidR="00401786" w14:paraId="12FA03A3" w14:textId="77777777">
        <w:trPr>
          <w:cantSplit/>
          <w:trHeight w:val="371"/>
        </w:trPr>
        <w:tc>
          <w:tcPr>
            <w:tcW w:w="568" w:type="dxa"/>
            <w:vMerge w:val="restart"/>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353E1050" w14:textId="77777777" w:rsidR="00401786" w:rsidRDefault="00401786" w:rsidP="000E757E">
            <w:pPr>
              <w:snapToGrid w:val="0"/>
              <w:spacing w:line="240" w:lineRule="atLeast"/>
              <w:jc w:val="center"/>
              <w:rPr>
                <w:rFonts w:ascii="標楷體" w:eastAsia="標楷體" w:hAnsi="標楷體"/>
                <w:color w:val="000000"/>
              </w:rPr>
            </w:pPr>
          </w:p>
          <w:p w14:paraId="29049DE9" w14:textId="77777777" w:rsidR="00401786" w:rsidRDefault="00401786" w:rsidP="000E757E">
            <w:pPr>
              <w:snapToGrid w:val="0"/>
              <w:spacing w:line="240" w:lineRule="atLeast"/>
              <w:jc w:val="center"/>
              <w:rPr>
                <w:rFonts w:ascii="標楷體" w:eastAsia="標楷體" w:hAnsi="標楷體"/>
                <w:color w:val="000000"/>
              </w:rPr>
            </w:pPr>
          </w:p>
          <w:p w14:paraId="312ACD1C" w14:textId="77777777" w:rsidR="00401786" w:rsidRDefault="00401786" w:rsidP="000E757E">
            <w:pPr>
              <w:snapToGrid w:val="0"/>
              <w:spacing w:line="240" w:lineRule="atLeast"/>
              <w:jc w:val="center"/>
              <w:rPr>
                <w:rFonts w:ascii="標楷體" w:eastAsia="標楷體" w:hAnsi="標楷體"/>
                <w:color w:val="000000"/>
              </w:rPr>
            </w:pPr>
          </w:p>
          <w:p w14:paraId="520B805D" w14:textId="77777777" w:rsidR="00401786" w:rsidRDefault="00C64FB3" w:rsidP="000E757E">
            <w:pPr>
              <w:snapToGrid w:val="0"/>
              <w:spacing w:line="240" w:lineRule="atLeast"/>
              <w:jc w:val="center"/>
            </w:pPr>
            <w:proofErr w:type="gramStart"/>
            <w:r>
              <w:rPr>
                <w:rFonts w:ascii="標楷體" w:eastAsia="標楷體" w:hAnsi="標楷體" w:cs="標楷體"/>
                <w:color w:val="000000"/>
              </w:rPr>
              <w:t>診</w:t>
            </w:r>
            <w:proofErr w:type="gramEnd"/>
          </w:p>
          <w:p w14:paraId="1E485DC8" w14:textId="77777777" w:rsidR="00401786" w:rsidRDefault="00401786" w:rsidP="000E757E">
            <w:pPr>
              <w:snapToGrid w:val="0"/>
              <w:spacing w:line="240" w:lineRule="atLeast"/>
              <w:jc w:val="center"/>
              <w:rPr>
                <w:rFonts w:ascii="標楷體" w:eastAsia="標楷體" w:hAnsi="標楷體"/>
                <w:color w:val="000000"/>
              </w:rPr>
            </w:pPr>
          </w:p>
          <w:p w14:paraId="59428E02" w14:textId="77777777" w:rsidR="00401786" w:rsidRDefault="00401786" w:rsidP="000E757E">
            <w:pPr>
              <w:snapToGrid w:val="0"/>
              <w:spacing w:line="240" w:lineRule="atLeast"/>
              <w:jc w:val="center"/>
              <w:rPr>
                <w:rFonts w:ascii="標楷體" w:eastAsia="標楷體" w:hAnsi="標楷體"/>
                <w:color w:val="000000"/>
              </w:rPr>
            </w:pPr>
          </w:p>
          <w:p w14:paraId="694EC016" w14:textId="77777777" w:rsidR="00401786" w:rsidRDefault="00401786" w:rsidP="000E757E">
            <w:pPr>
              <w:snapToGrid w:val="0"/>
              <w:spacing w:line="240" w:lineRule="atLeast"/>
              <w:jc w:val="center"/>
              <w:rPr>
                <w:rFonts w:ascii="標楷體" w:eastAsia="標楷體" w:hAnsi="標楷體"/>
                <w:color w:val="000000"/>
              </w:rPr>
            </w:pPr>
          </w:p>
          <w:p w14:paraId="0D2BF246" w14:textId="77777777" w:rsidR="00401786" w:rsidRDefault="00401786" w:rsidP="000E757E">
            <w:pPr>
              <w:snapToGrid w:val="0"/>
              <w:spacing w:line="240" w:lineRule="atLeast"/>
              <w:jc w:val="center"/>
              <w:rPr>
                <w:rFonts w:ascii="標楷體" w:eastAsia="標楷體" w:hAnsi="標楷體"/>
                <w:color w:val="000000"/>
              </w:rPr>
            </w:pPr>
          </w:p>
          <w:p w14:paraId="69FA1895" w14:textId="77777777" w:rsidR="00401786" w:rsidRDefault="00401786" w:rsidP="000E757E">
            <w:pPr>
              <w:snapToGrid w:val="0"/>
              <w:spacing w:line="240" w:lineRule="atLeast"/>
              <w:jc w:val="center"/>
              <w:rPr>
                <w:rFonts w:ascii="標楷體" w:eastAsia="標楷體" w:hAnsi="標楷體"/>
                <w:color w:val="000000"/>
              </w:rPr>
            </w:pPr>
          </w:p>
          <w:p w14:paraId="3A8DEBF6" w14:textId="77777777" w:rsidR="00401786" w:rsidRDefault="00401786" w:rsidP="000E757E">
            <w:pPr>
              <w:snapToGrid w:val="0"/>
              <w:spacing w:line="240" w:lineRule="atLeast"/>
              <w:jc w:val="center"/>
              <w:rPr>
                <w:rFonts w:ascii="標楷體" w:eastAsia="標楷體" w:hAnsi="標楷體"/>
                <w:color w:val="000000"/>
              </w:rPr>
            </w:pPr>
          </w:p>
          <w:p w14:paraId="71A2226B" w14:textId="77777777" w:rsidR="00401786" w:rsidRDefault="00C64FB3" w:rsidP="000E757E">
            <w:pPr>
              <w:snapToGrid w:val="0"/>
              <w:spacing w:line="240" w:lineRule="atLeast"/>
              <w:jc w:val="center"/>
            </w:pPr>
            <w:r>
              <w:rPr>
                <w:rFonts w:ascii="標楷體" w:eastAsia="標楷體" w:hAnsi="標楷體" w:cs="標楷體"/>
                <w:color w:val="000000"/>
              </w:rPr>
              <w:t>斷</w:t>
            </w: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0F4BD8" w14:textId="77777777" w:rsidR="00401786" w:rsidRDefault="00C64FB3" w:rsidP="000E757E">
            <w:pPr>
              <w:snapToGrid w:val="0"/>
              <w:spacing w:line="240" w:lineRule="atLeast"/>
            </w:pPr>
            <w:r>
              <w:rPr>
                <w:rFonts w:ascii="標楷體" w:eastAsia="標楷體" w:hAnsi="標楷體" w:cs="標楷體"/>
                <w:color w:val="000000"/>
              </w:rPr>
              <w:t>□急性缺血性腦中風，符合以下各條件</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DD89BE" w14:textId="77777777" w:rsidR="00401786" w:rsidRDefault="00C64FB3" w:rsidP="000E757E">
            <w:pPr>
              <w:snapToGrid w:val="0"/>
              <w:spacing w:line="240" w:lineRule="atLeast"/>
            </w:pPr>
            <w:r>
              <w:rPr>
                <w:rFonts w:ascii="標楷體" w:eastAsia="標楷體" w:hAnsi="標楷體" w:cs="標楷體"/>
                <w:color w:val="000000"/>
              </w:rPr>
              <w:t>診斷根據</w:t>
            </w:r>
          </w:p>
        </w:tc>
      </w:tr>
      <w:tr w:rsidR="00401786" w14:paraId="415E14D8" w14:textId="77777777">
        <w:trPr>
          <w:cantSplit/>
          <w:trHeight w:val="2327"/>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1C6A2DE1" w14:textId="77777777" w:rsidR="00401786" w:rsidRDefault="00401786" w:rsidP="000E757E">
            <w:pPr>
              <w:snapToGrid w:val="0"/>
              <w:spacing w:line="240" w:lineRule="atLeast"/>
              <w:rPr>
                <w:rFonts w:ascii="標楷體" w:eastAsia="標楷體" w:hAnsi="標楷體"/>
                <w:color w:val="000000"/>
              </w:rPr>
            </w:pP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6EC3EA" w14:textId="77777777" w:rsidR="00401786" w:rsidRDefault="00C64FB3" w:rsidP="000E757E">
            <w:pPr>
              <w:snapToGrid w:val="0"/>
              <w:spacing w:line="240" w:lineRule="atLeast"/>
            </w:pPr>
            <w:r>
              <w:rPr>
                <w:rFonts w:ascii="標楷體" w:eastAsia="標楷體" w:hAnsi="標楷體" w:cs="標楷體"/>
                <w:color w:val="000000"/>
              </w:rPr>
              <w:t>□確定診斷</w:t>
            </w:r>
          </w:p>
          <w:p w14:paraId="245EC42C" w14:textId="77777777" w:rsidR="00401786" w:rsidRDefault="00C64FB3" w:rsidP="000E757E">
            <w:pPr>
              <w:snapToGrid w:val="0"/>
              <w:spacing w:line="240" w:lineRule="atLeast"/>
            </w:pPr>
            <w:r>
              <w:rPr>
                <w:rFonts w:ascii="標楷體" w:eastAsia="標楷體" w:hAnsi="標楷體" w:cs="標楷體"/>
                <w:color w:val="000000"/>
              </w:rPr>
              <w:t>□發作在4.5小時</w:t>
            </w:r>
            <w:proofErr w:type="gramStart"/>
            <w:r>
              <w:rPr>
                <w:rFonts w:ascii="標楷體" w:eastAsia="標楷體" w:hAnsi="標楷體" w:cs="標楷體"/>
                <w:color w:val="000000"/>
              </w:rPr>
              <w:t>以內(</w:t>
            </w:r>
            <w:proofErr w:type="gramEnd"/>
            <w:r>
              <w:rPr>
                <w:rFonts w:ascii="標楷體" w:eastAsia="標楷體" w:hAnsi="標楷體" w:cs="標楷體"/>
                <w:color w:val="000000"/>
              </w:rPr>
              <w:t>112/10/1)</w:t>
            </w:r>
          </w:p>
          <w:p w14:paraId="62988F7E" w14:textId="77777777" w:rsidR="00401786" w:rsidRDefault="00C64FB3" w:rsidP="000E757E">
            <w:pPr>
              <w:snapToGrid w:val="0"/>
              <w:spacing w:line="240" w:lineRule="atLeast"/>
            </w:pPr>
            <w:r>
              <w:rPr>
                <w:rFonts w:ascii="標楷體" w:eastAsia="標楷體" w:hAnsi="標楷體" w:cs="標楷體"/>
                <w:color w:val="000000"/>
              </w:rPr>
              <w:t>□無出血性疾病</w:t>
            </w:r>
          </w:p>
          <w:p w14:paraId="11C5C7DE" w14:textId="77777777" w:rsidR="00401786" w:rsidRDefault="00C64FB3" w:rsidP="000E757E">
            <w:pPr>
              <w:snapToGrid w:val="0"/>
              <w:spacing w:line="240" w:lineRule="atLeast"/>
            </w:pPr>
            <w:r>
              <w:rPr>
                <w:rFonts w:ascii="標楷體" w:eastAsia="標楷體" w:hAnsi="標楷體" w:cs="標楷體"/>
                <w:color w:val="000000"/>
              </w:rPr>
              <w:t>□符合適應症</w:t>
            </w:r>
          </w:p>
          <w:p w14:paraId="6B91431F" w14:textId="77777777" w:rsidR="00401786" w:rsidRDefault="00C64FB3" w:rsidP="000E757E">
            <w:pPr>
              <w:snapToGrid w:val="0"/>
              <w:spacing w:line="240" w:lineRule="atLeast"/>
            </w:pPr>
            <w:r>
              <w:rPr>
                <w:rFonts w:ascii="標楷體" w:eastAsia="標楷體" w:hAnsi="標楷體" w:cs="標楷體"/>
                <w:color w:val="000000"/>
              </w:rPr>
              <w:t>□無禁忌症</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C8F44C"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電腦斷層</w:t>
            </w:r>
          </w:p>
          <w:p w14:paraId="3E50E126"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核磁共振</w:t>
            </w:r>
          </w:p>
          <w:p w14:paraId="3FDA4AF8" w14:textId="77777777" w:rsidR="00401786" w:rsidRDefault="00C64FB3">
            <w:pPr>
              <w:numPr>
                <w:ilvl w:val="0"/>
                <w:numId w:val="43"/>
              </w:numPr>
              <w:suppressAutoHyphens w:val="0"/>
              <w:snapToGrid w:val="0"/>
              <w:spacing w:line="240" w:lineRule="atLeast"/>
              <w:textAlignment w:val="auto"/>
            </w:pPr>
            <w:r>
              <w:rPr>
                <w:rFonts w:eastAsia="標楷體"/>
                <w:color w:val="000000"/>
              </w:rPr>
              <w:t>神經檢查</w:t>
            </w:r>
            <w:r>
              <w:rPr>
                <w:rFonts w:eastAsia="標楷體"/>
                <w:color w:val="000000"/>
              </w:rPr>
              <w:t>(</w:t>
            </w:r>
            <w:r>
              <w:rPr>
                <w:rFonts w:eastAsia="標楷體"/>
                <w:color w:val="000000"/>
              </w:rPr>
              <w:t>含</w:t>
            </w:r>
            <w:r>
              <w:rPr>
                <w:rFonts w:eastAsia="標楷體"/>
                <w:color w:val="000000"/>
              </w:rPr>
              <w:t>NIHSS)</w:t>
            </w:r>
          </w:p>
          <w:p w14:paraId="347ACF9B"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實驗室檢查</w:t>
            </w:r>
          </w:p>
          <w:p w14:paraId="667B3A08"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心電圖</w:t>
            </w:r>
          </w:p>
          <w:p w14:paraId="206E451C"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其他</w:t>
            </w:r>
          </w:p>
        </w:tc>
      </w:tr>
      <w:tr w:rsidR="00401786" w14:paraId="74791D3C" w14:textId="77777777">
        <w:trPr>
          <w:cantSplit/>
          <w:trHeight w:val="2328"/>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51527BDC" w14:textId="77777777" w:rsidR="00401786" w:rsidRDefault="00401786" w:rsidP="000E757E">
            <w:pPr>
              <w:snapToGrid w:val="0"/>
              <w:spacing w:line="240" w:lineRule="atLeast"/>
              <w:rPr>
                <w:rFonts w:ascii="標楷體" w:eastAsia="標楷體" w:hAnsi="標楷體"/>
                <w:color w:val="000000"/>
              </w:rPr>
            </w:pPr>
          </w:p>
        </w:tc>
        <w:tc>
          <w:tcPr>
            <w:tcW w:w="8556" w:type="dxa"/>
            <w:gridSpan w:val="2"/>
            <w:tcBorders>
              <w:top w:val="single" w:sz="6" w:space="0" w:color="000000"/>
              <w:right w:val="single" w:sz="6" w:space="0" w:color="000000"/>
            </w:tcBorders>
            <w:shd w:val="clear" w:color="auto" w:fill="auto"/>
            <w:tcMar>
              <w:top w:w="0" w:type="dxa"/>
              <w:left w:w="28" w:type="dxa"/>
              <w:bottom w:w="0" w:type="dxa"/>
              <w:right w:w="28" w:type="dxa"/>
            </w:tcMar>
            <w:vAlign w:val="center"/>
          </w:tcPr>
          <w:p w14:paraId="64667525"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在腦梗塞發作三小時以內注射</w:t>
            </w:r>
          </w:p>
          <w:p w14:paraId="49A8FE8F" w14:textId="77777777" w:rsidR="00401786" w:rsidRDefault="00C64FB3" w:rsidP="000E757E">
            <w:pPr>
              <w:snapToGrid w:val="0"/>
              <w:spacing w:line="240" w:lineRule="atLeast"/>
            </w:pPr>
            <w:r>
              <w:rPr>
                <w:rFonts w:ascii="標楷體" w:eastAsia="標楷體" w:hAnsi="標楷體" w:cs="標楷體"/>
                <w:color w:val="000000"/>
              </w:rPr>
              <w:t>發作時刻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733A7FEC" w14:textId="77777777" w:rsidR="00401786" w:rsidRDefault="00C64FB3" w:rsidP="000E757E">
            <w:pPr>
              <w:snapToGrid w:val="0"/>
              <w:spacing w:line="240" w:lineRule="atLeast"/>
            </w:pPr>
            <w:r>
              <w:rPr>
                <w:rFonts w:ascii="標楷體" w:eastAsia="標楷體" w:hAnsi="標楷體" w:cs="標楷體"/>
                <w:color w:val="000000"/>
              </w:rPr>
              <w:t>來診時刻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264A87FB" w14:textId="77777777" w:rsidR="00401786" w:rsidRDefault="00C64FB3" w:rsidP="000E757E">
            <w:pPr>
              <w:snapToGrid w:val="0"/>
              <w:spacing w:line="240" w:lineRule="atLeast"/>
            </w:pPr>
            <w:r>
              <w:rPr>
                <w:rFonts w:ascii="標楷體" w:eastAsia="標楷體" w:hAnsi="標楷體" w:cs="標楷體"/>
                <w:color w:val="000000"/>
              </w:rPr>
              <w:t>電腦斷層和核磁共振完成時間</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144F7CC8" w14:textId="77777777" w:rsidR="00401786" w:rsidRDefault="00C64FB3" w:rsidP="000E757E">
            <w:pPr>
              <w:snapToGrid w:val="0"/>
              <w:spacing w:line="240" w:lineRule="atLeast"/>
            </w:pPr>
            <w:r>
              <w:rPr>
                <w:rFonts w:ascii="標楷體" w:eastAsia="標楷體" w:hAnsi="標楷體" w:cs="標楷體"/>
                <w:color w:val="000000"/>
              </w:rPr>
              <w:t>開始注射時間</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4872BAE7" w14:textId="77777777" w:rsidR="00401786" w:rsidRDefault="00401786" w:rsidP="000E757E">
            <w:pPr>
              <w:snapToGrid w:val="0"/>
              <w:spacing w:line="240" w:lineRule="atLeast"/>
              <w:rPr>
                <w:rFonts w:ascii="標楷體" w:eastAsia="標楷體" w:hAnsi="標楷體"/>
                <w:color w:val="000000"/>
              </w:rPr>
            </w:pPr>
          </w:p>
        </w:tc>
      </w:tr>
      <w:tr w:rsidR="00401786" w14:paraId="3652FBEB" w14:textId="77777777">
        <w:trPr>
          <w:cantSplit/>
          <w:trHeight w:val="503"/>
        </w:trPr>
        <w:tc>
          <w:tcPr>
            <w:tcW w:w="912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638786" w14:textId="77777777" w:rsidR="00401786" w:rsidRDefault="00C64FB3" w:rsidP="000E757E">
            <w:pPr>
              <w:snapToGrid w:val="0"/>
              <w:spacing w:line="240" w:lineRule="atLeast"/>
            </w:pPr>
            <w:r>
              <w:rPr>
                <w:rFonts w:ascii="標楷體" w:eastAsia="標楷體" w:hAnsi="標楷體" w:cs="標楷體"/>
                <w:color w:val="000000"/>
              </w:rPr>
              <w:t>實際用量：</w:t>
            </w:r>
            <w:r>
              <w:rPr>
                <w:rFonts w:ascii="標楷體" w:eastAsia="標楷體" w:hAnsi="標楷體" w:cs="標楷體"/>
                <w:color w:val="000000"/>
                <w:u w:val="single"/>
              </w:rPr>
              <w:t xml:space="preserve">          </w:t>
            </w:r>
            <w:r>
              <w:rPr>
                <w:rFonts w:ascii="標楷體" w:eastAsia="標楷體" w:hAnsi="標楷體" w:cs="標楷體"/>
                <w:color w:val="000000"/>
              </w:rPr>
              <w:t xml:space="preserve"> </w:t>
            </w:r>
            <w:r>
              <w:rPr>
                <w:rFonts w:eastAsia="標楷體"/>
                <w:color w:val="000000"/>
              </w:rPr>
              <w:t>mg</w:t>
            </w:r>
          </w:p>
        </w:tc>
      </w:tr>
    </w:tbl>
    <w:p w14:paraId="289730DA" w14:textId="77777777" w:rsidR="00401786" w:rsidRDefault="00C64FB3" w:rsidP="000E757E">
      <w:pPr>
        <w:snapToGrid w:val="0"/>
        <w:spacing w:line="240" w:lineRule="atLeast"/>
      </w:pPr>
      <w:r>
        <w:rPr>
          <w:rFonts w:ascii="標楷體" w:eastAsia="標楷體" w:hAnsi="標楷體" w:cs="標楷體"/>
          <w:color w:val="000000"/>
        </w:rPr>
        <w:t>申報醫師：                     本表請</w:t>
      </w:r>
      <w:proofErr w:type="gramStart"/>
      <w:r>
        <w:rPr>
          <w:rFonts w:ascii="標楷體" w:eastAsia="標楷體" w:hAnsi="標楷體" w:cs="標楷體"/>
          <w:color w:val="000000"/>
        </w:rPr>
        <w:t>併</w:t>
      </w:r>
      <w:proofErr w:type="gramEnd"/>
      <w:r>
        <w:rPr>
          <w:rFonts w:ascii="標楷體" w:eastAsia="標楷體" w:hAnsi="標楷體" w:cs="標楷體"/>
          <w:color w:val="000000"/>
        </w:rPr>
        <w:t>醫療費用申報</w:t>
      </w:r>
    </w:p>
    <w:p w14:paraId="4B39E3CD" w14:textId="77777777" w:rsidR="00401786" w:rsidRDefault="00401786" w:rsidP="000E757E">
      <w:pPr>
        <w:snapToGrid w:val="0"/>
        <w:spacing w:line="240" w:lineRule="atLeast"/>
      </w:pPr>
    </w:p>
    <w:p w14:paraId="06E509B1" w14:textId="77777777" w:rsidR="00401786" w:rsidRDefault="00401786" w:rsidP="000E757E">
      <w:pPr>
        <w:snapToGrid w:val="0"/>
        <w:spacing w:line="240" w:lineRule="atLeast"/>
        <w:rPr>
          <w:rFonts w:ascii="標楷體" w:eastAsia="標楷體" w:hAnsi="標楷體"/>
        </w:rPr>
      </w:pPr>
    </w:p>
    <w:p w14:paraId="1BB17317" w14:textId="77777777" w:rsidR="00401786" w:rsidRDefault="00401786" w:rsidP="000E757E">
      <w:pPr>
        <w:pageBreakBefore/>
        <w:widowControl/>
        <w:suppressAutoHyphens w:val="0"/>
        <w:spacing w:line="240" w:lineRule="atLeast"/>
      </w:pPr>
    </w:p>
    <w:p w14:paraId="0198FE25" w14:textId="77777777" w:rsidR="00401786" w:rsidRPr="00692FEF" w:rsidRDefault="00C64FB3" w:rsidP="00732189">
      <w:pPr>
        <w:pStyle w:val="ab"/>
        <w:snapToGrid w:val="0"/>
        <w:spacing w:line="300" w:lineRule="exact"/>
        <w:jc w:val="both"/>
        <w:rPr>
          <w:b/>
          <w:bCs/>
        </w:rPr>
      </w:pPr>
      <w:r w:rsidRPr="00692FEF">
        <w:rPr>
          <w:rFonts w:eastAsia="標楷體"/>
          <w:b/>
          <w:bCs/>
          <w:color w:val="000000"/>
        </w:rPr>
        <w:t>附表二</w:t>
      </w:r>
      <w:r w:rsidRPr="00692FEF">
        <w:rPr>
          <w:rFonts w:eastAsia="標楷體"/>
          <w:b/>
          <w:bCs/>
          <w:color w:val="000000"/>
        </w:rPr>
        <w:t xml:space="preserve">-C  </w:t>
      </w:r>
      <w:r w:rsidRPr="00692FEF">
        <w:rPr>
          <w:rFonts w:eastAsia="標楷體"/>
          <w:b/>
          <w:bCs/>
          <w:color w:val="000000"/>
        </w:rPr>
        <w:t>急性缺血性腦中風之血栓溶解治療檢查表</w:t>
      </w:r>
    </w:p>
    <w:p w14:paraId="655A7B2D" w14:textId="77777777" w:rsidR="00401786" w:rsidRDefault="00401786" w:rsidP="00732189">
      <w:pPr>
        <w:pStyle w:val="ab"/>
        <w:snapToGrid w:val="0"/>
        <w:spacing w:line="300" w:lineRule="exact"/>
        <w:jc w:val="center"/>
        <w:rPr>
          <w:rFonts w:eastAsia="標楷體"/>
          <w:color w:val="000000"/>
        </w:rPr>
      </w:pPr>
    </w:p>
    <w:p w14:paraId="5B344DDB" w14:textId="77777777" w:rsidR="00401786" w:rsidRDefault="00C64FB3">
      <w:pPr>
        <w:pStyle w:val="ab"/>
        <w:widowControl/>
        <w:numPr>
          <w:ilvl w:val="0"/>
          <w:numId w:val="44"/>
        </w:numPr>
        <w:tabs>
          <w:tab w:val="left" w:pos="-31680"/>
        </w:tabs>
        <w:snapToGrid w:val="0"/>
        <w:spacing w:line="300" w:lineRule="exact"/>
        <w:jc w:val="both"/>
      </w:pPr>
      <w:r>
        <w:rPr>
          <w:rFonts w:ascii="標楷體" w:eastAsia="標楷體" w:hAnsi="標楷體" w:cs="標楷體"/>
          <w:color w:val="000000"/>
        </w:rPr>
        <w:t>收案條件 （必須均為”是”）</w:t>
      </w:r>
    </w:p>
    <w:p w14:paraId="009BAE11" w14:textId="77777777" w:rsidR="00401786" w:rsidRDefault="00C64FB3" w:rsidP="00732189">
      <w:pPr>
        <w:pStyle w:val="ab"/>
        <w:snapToGrid w:val="0"/>
        <w:spacing w:line="300" w:lineRule="exact"/>
        <w:ind w:left="480"/>
      </w:pPr>
      <w:r>
        <w:rPr>
          <w:rFonts w:ascii="標楷體" w:eastAsia="標楷體" w:hAnsi="標楷體" w:cs="標楷體"/>
          <w:color w:val="000000"/>
        </w:rPr>
        <w:t>是      否</w:t>
      </w:r>
    </w:p>
    <w:p w14:paraId="6F717E0A" w14:textId="77777777" w:rsidR="00401786" w:rsidRDefault="00C64FB3" w:rsidP="00732189">
      <w:pPr>
        <w:pStyle w:val="ab"/>
        <w:snapToGrid w:val="0"/>
        <w:spacing w:line="300" w:lineRule="exact"/>
        <w:ind w:left="1930" w:hanging="1452"/>
      </w:pPr>
      <w:r>
        <w:rPr>
          <w:rFonts w:ascii="標楷體" w:eastAsia="標楷體" w:hAnsi="標楷體" w:cs="標楷體"/>
          <w:color w:val="000000"/>
        </w:rPr>
        <w:t>□　　　□  臨床懷疑是急性缺血性腦中風，中風時間明確在4.5小時內並已完成各項檢查。(112/10/1)</w:t>
      </w:r>
    </w:p>
    <w:p w14:paraId="6FFD4ADB" w14:textId="77777777" w:rsidR="00401786" w:rsidRDefault="00C64FB3" w:rsidP="00732189">
      <w:pPr>
        <w:pStyle w:val="ab"/>
        <w:snapToGrid w:val="0"/>
        <w:spacing w:line="300" w:lineRule="exact"/>
        <w:ind w:left="475"/>
      </w:pPr>
      <w:r>
        <w:rPr>
          <w:rFonts w:ascii="標楷體" w:eastAsia="標楷體" w:hAnsi="標楷體" w:cs="標楷體"/>
          <w:color w:val="000000"/>
        </w:rPr>
        <w:t>□　　　□  腦部電腦斷層沒有</w:t>
      </w:r>
      <w:proofErr w:type="gramStart"/>
      <w:r>
        <w:rPr>
          <w:rFonts w:ascii="標楷體" w:eastAsia="標楷體" w:hAnsi="標楷體" w:cs="標楷體"/>
          <w:color w:val="000000"/>
        </w:rPr>
        <w:t>顱</w:t>
      </w:r>
      <w:proofErr w:type="gramEnd"/>
      <w:r>
        <w:rPr>
          <w:rFonts w:ascii="標楷體" w:eastAsia="標楷體" w:hAnsi="標楷體" w:cs="標楷體"/>
          <w:color w:val="000000"/>
        </w:rPr>
        <w:t>內出血。</w:t>
      </w:r>
    </w:p>
    <w:p w14:paraId="632D9749" w14:textId="77777777" w:rsidR="00401786" w:rsidRDefault="00C64FB3" w:rsidP="00732189">
      <w:pPr>
        <w:pStyle w:val="ab"/>
        <w:snapToGrid w:val="0"/>
        <w:spacing w:line="300" w:lineRule="exact"/>
        <w:ind w:left="475"/>
      </w:pPr>
      <w:r>
        <w:rPr>
          <w:rFonts w:ascii="標楷體" w:eastAsia="標楷體" w:hAnsi="標楷體" w:cs="標楷體"/>
          <w:color w:val="000000"/>
        </w:rPr>
        <w:t>□　　　□  年齡在18歲以上。(107/11/1)</w:t>
      </w:r>
    </w:p>
    <w:p w14:paraId="6711C2BA" w14:textId="77777777" w:rsidR="00401786" w:rsidRDefault="00C64FB3">
      <w:pPr>
        <w:pStyle w:val="ab"/>
        <w:widowControl/>
        <w:numPr>
          <w:ilvl w:val="0"/>
          <w:numId w:val="44"/>
        </w:numPr>
        <w:tabs>
          <w:tab w:val="left" w:pos="-31680"/>
        </w:tabs>
        <w:snapToGrid w:val="0"/>
        <w:spacing w:line="300" w:lineRule="exact"/>
        <w:jc w:val="both"/>
      </w:pPr>
      <w:r>
        <w:rPr>
          <w:rFonts w:ascii="標楷體" w:eastAsia="標楷體" w:hAnsi="標楷體" w:cs="標楷體"/>
          <w:color w:val="000000"/>
        </w:rPr>
        <w:t>排除條件 （必須均為”否”）</w:t>
      </w:r>
    </w:p>
    <w:p w14:paraId="2F685966" w14:textId="77777777" w:rsidR="00401786" w:rsidRDefault="00C64FB3" w:rsidP="00732189">
      <w:pPr>
        <w:pStyle w:val="ab"/>
        <w:snapToGrid w:val="0"/>
        <w:spacing w:line="300" w:lineRule="exact"/>
        <w:ind w:left="480"/>
      </w:pPr>
      <w:r>
        <w:rPr>
          <w:rFonts w:ascii="標楷體" w:eastAsia="標楷體" w:hAnsi="標楷體" w:cs="標楷體"/>
          <w:color w:val="000000"/>
        </w:rPr>
        <w:t>是      否</w:t>
      </w:r>
    </w:p>
    <w:p w14:paraId="513A733F" w14:textId="77777777" w:rsidR="00401786" w:rsidRDefault="00C64FB3" w:rsidP="00732189">
      <w:pPr>
        <w:pStyle w:val="ab"/>
        <w:snapToGrid w:val="0"/>
        <w:spacing w:line="300" w:lineRule="exact"/>
        <w:ind w:left="480"/>
      </w:pPr>
      <w:r>
        <w:rPr>
          <w:rFonts w:ascii="標楷體" w:eastAsia="標楷體" w:hAnsi="標楷體" w:cs="標楷體"/>
          <w:color w:val="000000"/>
        </w:rPr>
        <w:t xml:space="preserve">□　　　□  </w:t>
      </w:r>
      <w:proofErr w:type="gramStart"/>
      <w:r>
        <w:rPr>
          <w:rFonts w:ascii="標楷體" w:eastAsia="標楷體" w:hAnsi="標楷體" w:cs="標楷體"/>
          <w:color w:val="000000"/>
        </w:rPr>
        <w:t>輸注本藥</w:t>
      </w:r>
      <w:proofErr w:type="gramEnd"/>
      <w:r>
        <w:rPr>
          <w:rFonts w:ascii="標楷體" w:eastAsia="標楷體" w:hAnsi="標楷體" w:cs="標楷體"/>
          <w:color w:val="000000"/>
        </w:rPr>
        <w:t>前，缺血性發作的時間已超過4.5小時或症狀發作時間不明。</w:t>
      </w:r>
      <w:r>
        <w:rPr>
          <w:rFonts w:ascii="標楷體" w:eastAsia="標楷體" w:hAnsi="標楷體" w:cs="標楷體"/>
          <w:color w:val="000000"/>
        </w:rPr>
        <w:tab/>
      </w:r>
      <w:r>
        <w:rPr>
          <w:rFonts w:ascii="標楷體" w:eastAsia="標楷體" w:hAnsi="標楷體" w:cs="標楷體"/>
          <w:color w:val="000000"/>
        </w:rPr>
        <w:tab/>
      </w:r>
      <w:r>
        <w:rPr>
          <w:rFonts w:ascii="標楷體" w:eastAsia="標楷體" w:hAnsi="標楷體" w:cs="標楷體"/>
          <w:color w:val="000000"/>
        </w:rPr>
        <w:tab/>
      </w:r>
      <w:r>
        <w:rPr>
          <w:rFonts w:ascii="標楷體" w:eastAsia="標楷體" w:hAnsi="標楷體" w:cs="標楷體"/>
          <w:color w:val="000000"/>
        </w:rPr>
        <w:tab/>
        <w:t>(112/10/1)</w:t>
      </w:r>
    </w:p>
    <w:p w14:paraId="4A6425E2" w14:textId="77777777" w:rsidR="00401786" w:rsidRDefault="00C64FB3" w:rsidP="00732189">
      <w:pPr>
        <w:pStyle w:val="ab"/>
        <w:snapToGrid w:val="0"/>
        <w:spacing w:line="300" w:lineRule="exact"/>
        <w:ind w:left="1944" w:hanging="1464"/>
      </w:pPr>
      <w:r>
        <w:rPr>
          <w:rFonts w:ascii="標楷體" w:eastAsia="標楷體" w:hAnsi="標楷體" w:cs="標楷體"/>
          <w:color w:val="000000"/>
        </w:rPr>
        <w:t xml:space="preserve">□　　　□  </w:t>
      </w:r>
      <w:proofErr w:type="gramStart"/>
      <w:r>
        <w:rPr>
          <w:rFonts w:eastAsia="標楷體"/>
          <w:color w:val="000000"/>
        </w:rPr>
        <w:t>輸注本藥</w:t>
      </w:r>
      <w:proofErr w:type="gramEnd"/>
      <w:r>
        <w:rPr>
          <w:rFonts w:eastAsia="標楷體"/>
          <w:color w:val="000000"/>
        </w:rPr>
        <w:t>前，急性缺血性腦中風的症狀已迅速改善或症狀輕微。（例如</w:t>
      </w:r>
      <w:r>
        <w:rPr>
          <w:rFonts w:eastAsia="標楷體"/>
          <w:color w:val="000000"/>
        </w:rPr>
        <w:t>NIHSS&lt;4</w:t>
      </w:r>
      <w:r>
        <w:rPr>
          <w:rFonts w:eastAsia="標楷體"/>
          <w:color w:val="000000"/>
        </w:rPr>
        <w:t>分）</w:t>
      </w:r>
      <w:r>
        <w:rPr>
          <w:rFonts w:ascii="標楷體" w:eastAsia="標楷體" w:hAnsi="標楷體" w:cs="標楷體"/>
          <w:color w:val="000000"/>
        </w:rPr>
        <w:t>(104/11/1)</w:t>
      </w:r>
    </w:p>
    <w:p w14:paraId="7F0E1B73" w14:textId="77777777" w:rsidR="00401786" w:rsidRDefault="00C64FB3" w:rsidP="00732189">
      <w:pPr>
        <w:pStyle w:val="ab"/>
        <w:snapToGrid w:val="0"/>
        <w:spacing w:line="300" w:lineRule="exact"/>
        <w:ind w:left="1930" w:hanging="1452"/>
      </w:pPr>
      <w:r>
        <w:rPr>
          <w:rFonts w:ascii="標楷體" w:eastAsia="標楷體" w:hAnsi="標楷體" w:cs="標楷體"/>
          <w:color w:val="000000"/>
        </w:rPr>
        <w:t>□　　　□  臨床（例如NIHSS&gt;25分）及/或適當之影像術評估為嚴重之中風（電</w:t>
      </w:r>
      <w:r>
        <w:rPr>
          <w:rFonts w:eastAsia="標楷體"/>
          <w:color w:val="000000"/>
        </w:rPr>
        <w:t>腦斷層大於</w:t>
      </w:r>
      <w:r>
        <w:rPr>
          <w:rFonts w:eastAsia="標楷體"/>
          <w:color w:val="000000"/>
        </w:rPr>
        <w:t>1/3</w:t>
      </w:r>
      <w:r>
        <w:rPr>
          <w:rFonts w:eastAsia="標楷體"/>
          <w:color w:val="000000"/>
        </w:rPr>
        <w:t>中大腦動脈灌流區之低密度變化）。</w:t>
      </w:r>
    </w:p>
    <w:p w14:paraId="5B400E80"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中風發作時併發癲癇。</w:t>
      </w:r>
    </w:p>
    <w:p w14:paraId="43792AED"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最近3個月內有中風</w:t>
      </w:r>
      <w:proofErr w:type="gramStart"/>
      <w:r>
        <w:rPr>
          <w:rFonts w:ascii="標楷體" w:eastAsia="標楷體" w:hAnsi="標楷體" w:cs="標楷體"/>
          <w:color w:val="000000"/>
        </w:rPr>
        <w:t>病史或有</w:t>
      </w:r>
      <w:proofErr w:type="gramEnd"/>
      <w:r>
        <w:rPr>
          <w:rFonts w:ascii="標楷體" w:eastAsia="標楷體" w:hAnsi="標楷體" w:cs="標楷體"/>
          <w:color w:val="000000"/>
        </w:rPr>
        <w:t>嚴重性頭部創傷</w:t>
      </w:r>
      <w:r>
        <w:rPr>
          <w:rFonts w:eastAsia="標楷體"/>
          <w:color w:val="000000"/>
        </w:rPr>
        <w:t>。</w:t>
      </w:r>
    </w:p>
    <w:p w14:paraId="1A70AB8E"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過去曾中風且合併糖尿病。</w:t>
      </w:r>
    </w:p>
    <w:p w14:paraId="6F7217D0" w14:textId="77777777" w:rsidR="00401786" w:rsidRDefault="00C64FB3" w:rsidP="00732189">
      <w:pPr>
        <w:pStyle w:val="ab"/>
        <w:snapToGrid w:val="0"/>
        <w:spacing w:line="300" w:lineRule="exact"/>
        <w:ind w:left="1918" w:hanging="1438"/>
        <w:jc w:val="both"/>
      </w:pPr>
      <w:r>
        <w:rPr>
          <w:rFonts w:ascii="標楷體" w:eastAsia="標楷體" w:hAnsi="標楷體" w:cs="標楷體"/>
          <w:color w:val="000000"/>
        </w:rPr>
        <w:t xml:space="preserve">□　　　□  </w:t>
      </w:r>
      <w:r>
        <w:rPr>
          <w:rFonts w:eastAsia="標楷體"/>
          <w:color w:val="000000"/>
        </w:rPr>
        <w:t>中風發作前</w:t>
      </w:r>
      <w:r>
        <w:rPr>
          <w:rFonts w:eastAsia="標楷體"/>
          <w:color w:val="000000"/>
        </w:rPr>
        <w:t>48</w:t>
      </w:r>
      <w:r>
        <w:rPr>
          <w:rFonts w:eastAsia="標楷體"/>
          <w:color w:val="000000"/>
        </w:rPr>
        <w:t>小時內使用</w:t>
      </w:r>
      <w:r>
        <w:rPr>
          <w:rFonts w:eastAsia="標楷體"/>
          <w:color w:val="000000"/>
        </w:rPr>
        <w:t>heparin</w:t>
      </w:r>
      <w:r>
        <w:rPr>
          <w:rFonts w:eastAsia="標楷體"/>
          <w:color w:val="000000"/>
        </w:rPr>
        <w:t>，目前病人活化部分凝</w:t>
      </w:r>
      <w:proofErr w:type="gramStart"/>
      <w:r>
        <w:rPr>
          <w:rFonts w:eastAsia="標楷體"/>
          <w:color w:val="000000"/>
        </w:rPr>
        <w:t>血脢原時</w:t>
      </w:r>
      <w:r>
        <w:rPr>
          <w:rFonts w:ascii="標楷體" w:eastAsia="標楷體" w:hAnsi="標楷體" w:cs="標楷體"/>
          <w:color w:val="000000"/>
        </w:rPr>
        <w:t>間</w:t>
      </w:r>
      <w:proofErr w:type="gramEnd"/>
      <w:r>
        <w:rPr>
          <w:rFonts w:ascii="標楷體" w:eastAsia="標楷體" w:hAnsi="標楷體" w:cs="標楷體"/>
          <w:color w:val="000000"/>
        </w:rPr>
        <w:t>(</w:t>
      </w:r>
      <w:proofErr w:type="spellStart"/>
      <w:r>
        <w:rPr>
          <w:rFonts w:ascii="標楷體" w:eastAsia="標楷體" w:hAnsi="標楷體" w:cs="標楷體"/>
          <w:color w:val="000000"/>
        </w:rPr>
        <w:t>aPTT</w:t>
      </w:r>
      <w:proofErr w:type="spellEnd"/>
      <w:r>
        <w:rPr>
          <w:rFonts w:ascii="標楷體" w:eastAsia="標楷體" w:hAnsi="標楷體" w:cs="標楷體"/>
          <w:color w:val="000000"/>
        </w:rPr>
        <w:t>)之值過高。</w:t>
      </w:r>
    </w:p>
    <w:p w14:paraId="07086D5E"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xml:space="preserve">□　　　□  </w:t>
      </w:r>
      <w:r>
        <w:rPr>
          <w:rFonts w:eastAsia="標楷體"/>
          <w:color w:val="000000"/>
        </w:rPr>
        <w:t>血小板</w:t>
      </w:r>
      <w:r>
        <w:rPr>
          <w:rFonts w:eastAsia="標楷體"/>
          <w:color w:val="000000"/>
        </w:rPr>
        <w:t>&lt;100,000/mm</w:t>
      </w:r>
      <w:r>
        <w:rPr>
          <w:rFonts w:eastAsia="標楷體"/>
          <w:color w:val="000000"/>
          <w:position w:val="24"/>
          <w:sz w:val="16"/>
        </w:rPr>
        <w:t>3</w:t>
      </w:r>
      <w:r>
        <w:rPr>
          <w:rFonts w:eastAsia="標楷體"/>
          <w:color w:val="000000"/>
        </w:rPr>
        <w:t>。</w:t>
      </w:r>
    </w:p>
    <w:p w14:paraId="69586AB7"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活動性內出血。</w:t>
      </w:r>
    </w:p>
    <w:p w14:paraId="0002D7D5"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顱內腫瘤、動靜脈畸形或血管瘤。</w:t>
      </w:r>
    </w:p>
    <w:p w14:paraId="081EC8B2" w14:textId="77777777" w:rsidR="00401786" w:rsidRDefault="00C64FB3" w:rsidP="00732189">
      <w:pPr>
        <w:pStyle w:val="ab"/>
        <w:snapToGrid w:val="0"/>
        <w:spacing w:line="300" w:lineRule="exact"/>
        <w:ind w:left="1932" w:hanging="1452"/>
        <w:jc w:val="both"/>
      </w:pPr>
      <w:r>
        <w:rPr>
          <w:rFonts w:ascii="標楷體" w:eastAsia="標楷體" w:hAnsi="標楷體" w:cs="標楷體"/>
          <w:color w:val="000000"/>
        </w:rPr>
        <w:t xml:space="preserve">□　　　□  </w:t>
      </w:r>
      <w:r>
        <w:rPr>
          <w:rFonts w:eastAsia="標楷體"/>
          <w:color w:val="000000"/>
        </w:rPr>
        <w:t>收縮壓</w:t>
      </w:r>
      <w:r>
        <w:rPr>
          <w:rFonts w:eastAsia="標楷體"/>
          <w:color w:val="000000"/>
        </w:rPr>
        <w:t>&gt;185mmHg</w:t>
      </w:r>
      <w:r>
        <w:rPr>
          <w:rFonts w:eastAsia="標楷體"/>
          <w:color w:val="000000"/>
        </w:rPr>
        <w:t>或舒張壓</w:t>
      </w:r>
      <w:r>
        <w:rPr>
          <w:rFonts w:eastAsia="標楷體"/>
          <w:color w:val="000000"/>
        </w:rPr>
        <w:t>&gt;110mmHg</w:t>
      </w:r>
      <w:r>
        <w:rPr>
          <w:rFonts w:eastAsia="標楷體"/>
          <w:color w:val="000000"/>
        </w:rPr>
        <w:t>，或需要積極的治療（靜脈給藥）以降低血壓至前述界限以下。</w:t>
      </w:r>
    </w:p>
    <w:p w14:paraId="2005FEA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血糖&lt;50mg/dL或&gt;400mg/dL</w:t>
      </w:r>
      <w:r>
        <w:rPr>
          <w:rFonts w:eastAsia="標楷體"/>
          <w:color w:val="000000"/>
        </w:rPr>
        <w:t>。</w:t>
      </w:r>
    </w:p>
    <w:p w14:paraId="21061D03"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xml:space="preserve">□　　　□  </w:t>
      </w:r>
      <w:r>
        <w:rPr>
          <w:rFonts w:eastAsia="標楷體"/>
          <w:color w:val="000000"/>
        </w:rPr>
        <w:t>目前或過去</w:t>
      </w:r>
      <w:r>
        <w:rPr>
          <w:rFonts w:eastAsia="標楷體"/>
          <w:color w:val="000000"/>
        </w:rPr>
        <w:t>6</w:t>
      </w:r>
      <w:r>
        <w:rPr>
          <w:rFonts w:eastAsia="標楷體"/>
          <w:color w:val="000000"/>
        </w:rPr>
        <w:t>個月內有顯著的出血障礙、易出血體質。</w:t>
      </w:r>
    </w:p>
    <w:p w14:paraId="0293B125"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病人正接受口服抗凝血劑，如warfarin sodium（INR&gt;1.3）</w:t>
      </w:r>
      <w:r>
        <w:rPr>
          <w:rFonts w:eastAsia="標楷體"/>
          <w:color w:val="000000"/>
        </w:rPr>
        <w:t>。</w:t>
      </w:r>
    </w:p>
    <w:p w14:paraId="76FF7CA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中樞神經系統損害之病史（腫瘤、血管瘤、顱內或脊柱的手術）。</w:t>
      </w:r>
    </w:p>
    <w:p w14:paraId="425D226E"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懷疑或證實包括蜘蛛膜下腔出血之顱內出血或其病史。</w:t>
      </w:r>
    </w:p>
    <w:p w14:paraId="09FE9CC6"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嚴重且未被控制的動脈高血壓。</w:t>
      </w:r>
    </w:p>
    <w:p w14:paraId="07D0FDFF" w14:textId="77777777" w:rsidR="00401786" w:rsidRDefault="00C64FB3" w:rsidP="00732189">
      <w:pPr>
        <w:pStyle w:val="ab"/>
        <w:snapToGrid w:val="0"/>
        <w:spacing w:line="300" w:lineRule="exact"/>
        <w:ind w:left="1932" w:hanging="1452"/>
        <w:jc w:val="both"/>
      </w:pPr>
      <w:r>
        <w:rPr>
          <w:rFonts w:ascii="標楷體" w:eastAsia="標楷體" w:hAnsi="標楷體" w:cs="標楷體"/>
          <w:color w:val="000000"/>
        </w:rPr>
        <w:t>□　　　□  過去10天內曾動過大手術或嚴重創傷（包括最近之急性心肌梗塞所伴隨的任何創傷）、最近頭部或顱部曾發生創傷。</w:t>
      </w:r>
    </w:p>
    <w:p w14:paraId="77ACDD99" w14:textId="77777777" w:rsidR="00401786" w:rsidRDefault="00C64FB3" w:rsidP="00732189">
      <w:pPr>
        <w:pStyle w:val="ab"/>
        <w:snapToGrid w:val="0"/>
        <w:spacing w:line="300" w:lineRule="exact"/>
        <w:ind w:left="1932" w:hanging="1452"/>
        <w:jc w:val="both"/>
      </w:pPr>
      <w:r>
        <w:rPr>
          <w:rFonts w:ascii="標楷體" w:eastAsia="標楷體" w:hAnsi="標楷體" w:cs="標楷體"/>
          <w:color w:val="000000"/>
        </w:rPr>
        <w:t>□　　　□  過久的或創傷性的心肺復甦術（超過2分鐘）、分娩、過去10天內曾</w:t>
      </w:r>
      <w:r>
        <w:rPr>
          <w:rFonts w:eastAsia="標楷體"/>
          <w:color w:val="000000"/>
        </w:rPr>
        <w:t>對無法壓制之部位施行血管穿刺（如鎖骨下靜脈或頸靜脈穿刺）。</w:t>
      </w:r>
    </w:p>
    <w:p w14:paraId="3DBE3F1A" w14:textId="77777777" w:rsidR="00401786" w:rsidRDefault="00C64FB3" w:rsidP="00732189">
      <w:pPr>
        <w:pStyle w:val="ab"/>
        <w:snapToGrid w:val="0"/>
        <w:spacing w:line="300" w:lineRule="exact"/>
        <w:ind w:left="1918" w:hanging="1438"/>
        <w:jc w:val="both"/>
      </w:pPr>
      <w:r>
        <w:rPr>
          <w:rFonts w:ascii="標楷體" w:eastAsia="標楷體" w:hAnsi="標楷體" w:cs="標楷體"/>
          <w:color w:val="000000"/>
        </w:rPr>
        <w:lastRenderedPageBreak/>
        <w:t>□　　　□  嚴重肝病，包括肝衰竭、肝硬化、肝門脈高壓（食道靜脈曲張）及急性肝炎。</w:t>
      </w:r>
    </w:p>
    <w:p w14:paraId="4687A07C" w14:textId="77777777" w:rsidR="00401786" w:rsidRDefault="00C64FB3" w:rsidP="00732189">
      <w:pPr>
        <w:pStyle w:val="ab"/>
        <w:snapToGrid w:val="0"/>
        <w:spacing w:line="300" w:lineRule="exact"/>
        <w:ind w:left="1973" w:hanging="1493"/>
        <w:jc w:val="both"/>
      </w:pPr>
      <w:r>
        <w:rPr>
          <w:rFonts w:ascii="標楷體" w:eastAsia="標楷體" w:hAnsi="標楷體" w:cs="標楷體"/>
          <w:color w:val="000000"/>
        </w:rPr>
        <w:t>□　　　□  出血性視網膜病變，如糖尿病性（視覺障礙可能為出血性視網膜病變的指標）或其他出血性眼疾。</w:t>
      </w:r>
    </w:p>
    <w:p w14:paraId="5C249F4B"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細菌性心內膜炎，心包炎。</w:t>
      </w:r>
    </w:p>
    <w:p w14:paraId="03FFEFD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急性胰臟炎。</w:t>
      </w:r>
    </w:p>
    <w:p w14:paraId="0C9FEA2A"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xml:space="preserve">□　　　□  </w:t>
      </w:r>
      <w:r>
        <w:rPr>
          <w:rFonts w:eastAsia="標楷體"/>
          <w:color w:val="000000"/>
        </w:rPr>
        <w:t>最近</w:t>
      </w:r>
      <w:r>
        <w:rPr>
          <w:rFonts w:eastAsia="標楷體"/>
          <w:color w:val="000000"/>
        </w:rPr>
        <w:t>3</w:t>
      </w:r>
      <w:r>
        <w:rPr>
          <w:rFonts w:eastAsia="標楷體"/>
          <w:color w:val="000000"/>
        </w:rPr>
        <w:t>個月內曾患胃腸道潰瘍。</w:t>
      </w:r>
    </w:p>
    <w:p w14:paraId="6DE6FA70"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動脈瘤，靜/動脈畸形。</w:t>
      </w:r>
    </w:p>
    <w:p w14:paraId="512288D5"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易出血之腫瘤。</w:t>
      </w:r>
    </w:p>
    <w:p w14:paraId="34E82DD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對本藥之主成分</w:t>
      </w:r>
      <w:proofErr w:type="gramStart"/>
      <w:r>
        <w:rPr>
          <w:rFonts w:ascii="標楷體" w:eastAsia="標楷體" w:hAnsi="標楷體" w:cs="標楷體"/>
          <w:color w:val="000000"/>
        </w:rPr>
        <w:t>或賦型劑</w:t>
      </w:r>
      <w:proofErr w:type="gramEnd"/>
      <w:r>
        <w:rPr>
          <w:rFonts w:ascii="標楷體" w:eastAsia="標楷體" w:hAnsi="標楷體" w:cs="標楷體"/>
          <w:color w:val="000000"/>
        </w:rPr>
        <w:t>過敏者。</w:t>
      </w:r>
    </w:p>
    <w:p w14:paraId="4A328DFB" w14:textId="77777777" w:rsidR="00401786" w:rsidRDefault="00C64FB3" w:rsidP="00732189">
      <w:pPr>
        <w:pStyle w:val="ab"/>
        <w:snapToGrid w:val="0"/>
        <w:spacing w:line="300" w:lineRule="exact"/>
        <w:ind w:left="1932" w:hanging="1452"/>
        <w:jc w:val="both"/>
        <w:rPr>
          <w:rFonts w:ascii="標楷體" w:eastAsia="標楷體" w:hAnsi="標楷體" w:cs="標楷體"/>
          <w:color w:val="000000"/>
        </w:rPr>
      </w:pPr>
      <w:r>
        <w:rPr>
          <w:rFonts w:ascii="標楷體" w:eastAsia="標楷體" w:hAnsi="標楷體" w:cs="標楷體"/>
          <w:color w:val="000000"/>
        </w:rPr>
        <w:t>□　　　□  其他（例如在排除條件未提到但會增加出血危險狀況，如洗腎患者、嚴重心衰竭或身體太衰弱者）。</w:t>
      </w:r>
    </w:p>
    <w:p w14:paraId="107DB4F9" w14:textId="77777777" w:rsidR="00401786" w:rsidRDefault="00401786" w:rsidP="000E757E">
      <w:pPr>
        <w:pStyle w:val="ab"/>
        <w:snapToGrid w:val="0"/>
        <w:spacing w:line="240" w:lineRule="atLeast"/>
        <w:ind w:left="1932" w:hanging="1452"/>
        <w:jc w:val="both"/>
        <w:rPr>
          <w:rFonts w:ascii="標楷體" w:eastAsia="標楷體" w:hAnsi="標楷體" w:cs="標楷體"/>
          <w:color w:val="000000"/>
        </w:rPr>
      </w:pPr>
    </w:p>
    <w:p w14:paraId="41945F51" w14:textId="77777777" w:rsidR="006C55F5" w:rsidRDefault="006C55F5" w:rsidP="00FA0AC8">
      <w:pPr>
        <w:widowControl/>
        <w:jc w:val="center"/>
        <w:rPr>
          <w:rFonts w:ascii="標楷體" w:eastAsia="標楷體" w:hAnsi="標楷體"/>
          <w:sz w:val="28"/>
          <w:szCs w:val="28"/>
        </w:rPr>
      </w:pPr>
    </w:p>
    <w:p w14:paraId="74197C5E" w14:textId="77777777" w:rsidR="006C55F5" w:rsidRDefault="006C55F5">
      <w:pPr>
        <w:widowControl/>
        <w:suppressAutoHyphens w:val="0"/>
        <w:rPr>
          <w:rFonts w:ascii="標楷體" w:eastAsia="標楷體" w:hAnsi="標楷體"/>
          <w:sz w:val="28"/>
          <w:szCs w:val="28"/>
        </w:rPr>
      </w:pPr>
      <w:r>
        <w:rPr>
          <w:rFonts w:ascii="標楷體" w:eastAsia="標楷體" w:hAnsi="標楷體"/>
          <w:sz w:val="28"/>
          <w:szCs w:val="28"/>
        </w:rPr>
        <w:br w:type="page"/>
      </w:r>
    </w:p>
    <w:p w14:paraId="10C5091A" w14:textId="77777777" w:rsidR="00FA0AC8" w:rsidRPr="00692FEF" w:rsidRDefault="00FA0AC8" w:rsidP="00FA0AC8">
      <w:pPr>
        <w:widowControl/>
        <w:jc w:val="center"/>
        <w:rPr>
          <w:b/>
          <w:bCs/>
          <w:szCs w:val="24"/>
        </w:rPr>
      </w:pPr>
      <w:r w:rsidRPr="00692FEF">
        <w:rPr>
          <w:rFonts w:ascii="標楷體" w:eastAsia="標楷體" w:hAnsi="標楷體" w:hint="eastAsia"/>
          <w:b/>
          <w:bCs/>
          <w:szCs w:val="24"/>
        </w:rPr>
        <w:lastRenderedPageBreak/>
        <w:t xml:space="preserve">附表二-D </w:t>
      </w:r>
      <w:r w:rsidRPr="00692FEF">
        <w:rPr>
          <w:rFonts w:ascii="標楷體" w:eastAsia="標楷體" w:hAnsi="標楷體"/>
          <w:b/>
          <w:bCs/>
          <w:color w:val="000000"/>
          <w:szCs w:val="24"/>
        </w:rPr>
        <w:t>使用健保給付PCSK9血脂調節劑事前審查申請表</w:t>
      </w:r>
    </w:p>
    <w:p w14:paraId="71FAF419" w14:textId="77777777" w:rsidR="00FA0AC8" w:rsidRPr="00692FEF" w:rsidRDefault="00FA0AC8" w:rsidP="00FA0AC8">
      <w:pPr>
        <w:widowControl/>
        <w:snapToGrid w:val="0"/>
        <w:spacing w:line="240" w:lineRule="atLeast"/>
        <w:contextualSpacing/>
        <w:jc w:val="right"/>
        <w:rPr>
          <w:szCs w:val="24"/>
        </w:rPr>
      </w:pPr>
      <w:r w:rsidRPr="00692FEF">
        <w:rPr>
          <w:rFonts w:ascii="標楷體" w:eastAsia="標楷體" w:hAnsi="標楷體"/>
          <w:bCs/>
          <w:szCs w:val="24"/>
        </w:rPr>
        <w:t>修訂日期：109/4/1、</w:t>
      </w:r>
      <w:r w:rsidRPr="00692FEF">
        <w:rPr>
          <w:rFonts w:ascii="標楷體" w:eastAsia="標楷體" w:hAnsi="標楷體"/>
          <w:kern w:val="0"/>
          <w:szCs w:val="24"/>
        </w:rPr>
        <w:t>114/9/1</w:t>
      </w:r>
    </w:p>
    <w:tbl>
      <w:tblPr>
        <w:tblW w:w="5476" w:type="pct"/>
        <w:tblInd w:w="-318" w:type="dxa"/>
        <w:tblCellMar>
          <w:left w:w="10" w:type="dxa"/>
          <w:right w:w="10" w:type="dxa"/>
        </w:tblCellMar>
        <w:tblLook w:val="04A0" w:firstRow="1" w:lastRow="0" w:firstColumn="1" w:lastColumn="0" w:noHBand="0" w:noVBand="1"/>
      </w:tblPr>
      <w:tblGrid>
        <w:gridCol w:w="10545"/>
      </w:tblGrid>
      <w:tr w:rsidR="00FA0AC8" w:rsidRPr="00732189" w14:paraId="5A7E50C0" w14:textId="77777777" w:rsidTr="00DF18F3">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735220"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一、申請者資料</w:t>
            </w:r>
          </w:p>
          <w:p w14:paraId="3A2276F5" w14:textId="77777777" w:rsidR="00FA0AC8" w:rsidRPr="00732189" w:rsidRDefault="00FA0AC8" w:rsidP="00DF18F3">
            <w:pPr>
              <w:snapToGrid w:val="0"/>
              <w:spacing w:line="240" w:lineRule="atLeast"/>
              <w:rPr>
                <w:szCs w:val="24"/>
              </w:rPr>
            </w:pPr>
            <w:r w:rsidRPr="00732189">
              <w:rPr>
                <w:rFonts w:ascii="標楷體" w:eastAsia="標楷體" w:hAnsi="標楷體"/>
                <w:szCs w:val="24"/>
              </w:rPr>
              <w:t>申請醫院：</w:t>
            </w:r>
            <w:r w:rsidRPr="00732189">
              <w:rPr>
                <w:rFonts w:ascii="標楷體" w:eastAsia="標楷體" w:hAnsi="標楷體"/>
                <w:szCs w:val="24"/>
                <w:u w:val="single"/>
              </w:rPr>
              <w:t xml:space="preserve">　　　　　　　</w:t>
            </w:r>
            <w:r w:rsidRPr="00732189">
              <w:rPr>
                <w:rFonts w:ascii="標楷體" w:eastAsia="標楷體" w:hAnsi="標楷體"/>
                <w:szCs w:val="24"/>
              </w:rPr>
              <w:t>醫院代碼：</w:t>
            </w:r>
            <w:r w:rsidRPr="00732189">
              <w:rPr>
                <w:rFonts w:ascii="標楷體" w:eastAsia="標楷體" w:hAnsi="標楷體"/>
                <w:szCs w:val="24"/>
                <w:u w:val="single"/>
              </w:rPr>
              <w:t xml:space="preserve">　　　　　　　</w:t>
            </w:r>
          </w:p>
          <w:p w14:paraId="573A6CF8" w14:textId="77777777" w:rsidR="00FA0AC8" w:rsidRPr="00732189" w:rsidRDefault="00FA0AC8" w:rsidP="00DF18F3">
            <w:pPr>
              <w:snapToGrid w:val="0"/>
              <w:spacing w:line="240" w:lineRule="atLeast"/>
              <w:rPr>
                <w:szCs w:val="24"/>
              </w:rPr>
            </w:pPr>
            <w:r w:rsidRPr="00732189">
              <w:rPr>
                <w:rFonts w:ascii="標楷體" w:eastAsia="標楷體" w:hAnsi="標楷體"/>
                <w:szCs w:val="24"/>
              </w:rPr>
              <w:t>填表日期：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填表人員：</w:t>
            </w:r>
            <w:r w:rsidRPr="00732189">
              <w:rPr>
                <w:rFonts w:ascii="標楷體" w:eastAsia="標楷體" w:hAnsi="標楷體"/>
                <w:szCs w:val="24"/>
                <w:u w:val="single"/>
              </w:rPr>
              <w:t xml:space="preserve">　　　　　</w:t>
            </w:r>
            <w:r w:rsidRPr="00732189">
              <w:rPr>
                <w:rFonts w:ascii="標楷體" w:eastAsia="標楷體" w:hAnsi="標楷體"/>
                <w:szCs w:val="24"/>
              </w:rPr>
              <w:t>聯絡電話：</w:t>
            </w:r>
            <w:r w:rsidRPr="00732189">
              <w:rPr>
                <w:rFonts w:ascii="標楷體" w:eastAsia="標楷體" w:hAnsi="標楷體"/>
                <w:szCs w:val="24"/>
                <w:u w:val="single"/>
              </w:rPr>
              <w:t xml:space="preserve">　　　　　　　　</w:t>
            </w:r>
          </w:p>
          <w:p w14:paraId="7773495F" w14:textId="77777777" w:rsidR="00FA0AC8" w:rsidRPr="00732189" w:rsidRDefault="00FA0AC8" w:rsidP="00DF18F3">
            <w:pPr>
              <w:snapToGrid w:val="0"/>
              <w:spacing w:line="240" w:lineRule="atLeast"/>
              <w:rPr>
                <w:szCs w:val="24"/>
              </w:rPr>
            </w:pPr>
            <w:r w:rsidRPr="00732189">
              <w:rPr>
                <w:rFonts w:ascii="標楷體" w:eastAsia="標楷體" w:hAnsi="標楷體"/>
                <w:szCs w:val="24"/>
              </w:rPr>
              <w:t>申請醫師：</w:t>
            </w:r>
            <w:r w:rsidRPr="00732189">
              <w:rPr>
                <w:rFonts w:ascii="標楷體" w:eastAsia="標楷體" w:hAnsi="標楷體"/>
                <w:szCs w:val="24"/>
                <w:u w:val="single"/>
              </w:rPr>
              <w:t xml:space="preserve">　　　　　</w:t>
            </w:r>
            <w:r w:rsidRPr="00732189">
              <w:rPr>
                <w:rFonts w:ascii="標楷體" w:eastAsia="標楷體" w:hAnsi="標楷體"/>
                <w:szCs w:val="24"/>
              </w:rPr>
              <w:t>（醫師證書字號</w:t>
            </w:r>
            <w:r w:rsidRPr="00732189">
              <w:rPr>
                <w:rFonts w:ascii="標楷體" w:eastAsia="標楷體" w:hAnsi="標楷體"/>
                <w:szCs w:val="24"/>
                <w:u w:val="single"/>
              </w:rPr>
              <w:t xml:space="preserve">　　　　　　</w:t>
            </w:r>
            <w:r w:rsidRPr="00732189">
              <w:rPr>
                <w:rFonts w:ascii="標楷體" w:eastAsia="標楷體" w:hAnsi="標楷體"/>
                <w:szCs w:val="24"/>
              </w:rPr>
              <w:t>）</w:t>
            </w:r>
          </w:p>
          <w:p w14:paraId="1CD2B534" w14:textId="77777777" w:rsidR="00FA0AC8" w:rsidRPr="00732189" w:rsidRDefault="00FA0AC8" w:rsidP="00DF18F3">
            <w:pPr>
              <w:snapToGrid w:val="0"/>
              <w:spacing w:line="240" w:lineRule="atLeast"/>
              <w:rPr>
                <w:szCs w:val="24"/>
              </w:rPr>
            </w:pPr>
            <w:r w:rsidRPr="00732189">
              <w:rPr>
                <w:rFonts w:ascii="標楷體" w:eastAsia="標楷體" w:hAnsi="標楷體"/>
                <w:szCs w:val="24"/>
              </w:rPr>
              <w:t>本次申請日期：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首次申請日期：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tc>
      </w:tr>
      <w:tr w:rsidR="00FA0AC8" w:rsidRPr="00732189" w14:paraId="7F0E1846" w14:textId="77777777" w:rsidTr="00DF18F3">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ECACD1"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二、病人資料</w:t>
            </w:r>
          </w:p>
          <w:p w14:paraId="24AEAA50" w14:textId="77777777" w:rsidR="00FA0AC8" w:rsidRPr="00732189" w:rsidRDefault="00FA0AC8" w:rsidP="00DF18F3">
            <w:pPr>
              <w:snapToGrid w:val="0"/>
              <w:spacing w:line="240" w:lineRule="atLeast"/>
              <w:jc w:val="both"/>
              <w:rPr>
                <w:szCs w:val="24"/>
              </w:rPr>
            </w:pPr>
            <w:r w:rsidRPr="00732189">
              <w:rPr>
                <w:rFonts w:ascii="標楷體" w:eastAsia="標楷體" w:hAnsi="標楷體"/>
                <w:szCs w:val="24"/>
              </w:rPr>
              <w:t>姓名：</w:t>
            </w:r>
            <w:r w:rsidRPr="00732189">
              <w:rPr>
                <w:rFonts w:ascii="標楷體" w:eastAsia="標楷體" w:hAnsi="標楷體"/>
                <w:szCs w:val="24"/>
                <w:u w:val="single"/>
              </w:rPr>
              <w:t xml:space="preserve">　　　　　　　　　</w:t>
            </w:r>
            <w:r w:rsidRPr="00732189">
              <w:rPr>
                <w:rFonts w:ascii="標楷體" w:eastAsia="標楷體" w:hAnsi="標楷體"/>
                <w:szCs w:val="24"/>
              </w:rPr>
              <w:t>性別：□男　□女　身分證（護照）字號：</w:t>
            </w:r>
            <w:r w:rsidRPr="00732189">
              <w:rPr>
                <w:rFonts w:ascii="標楷體" w:eastAsia="標楷體" w:hAnsi="標楷體"/>
                <w:szCs w:val="24"/>
                <w:u w:val="single"/>
              </w:rPr>
              <w:t xml:space="preserve">　　　　　　　　　　　　　　</w:t>
            </w:r>
          </w:p>
          <w:p w14:paraId="5BC8977A" w14:textId="77777777" w:rsidR="00FA0AC8" w:rsidRPr="00732189" w:rsidRDefault="00FA0AC8" w:rsidP="00DF18F3">
            <w:pPr>
              <w:snapToGrid w:val="0"/>
              <w:spacing w:line="240" w:lineRule="atLeast"/>
              <w:jc w:val="both"/>
              <w:rPr>
                <w:szCs w:val="24"/>
              </w:rPr>
            </w:pPr>
            <w:r w:rsidRPr="00732189">
              <w:rPr>
                <w:rFonts w:ascii="標楷體" w:eastAsia="標楷體" w:hAnsi="標楷體"/>
                <w:szCs w:val="24"/>
              </w:rPr>
              <w:t>出生日期：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 xml:space="preserve">日　保險身分：□健保 □非健保  </w:t>
            </w:r>
          </w:p>
          <w:p w14:paraId="39680A0C" w14:textId="77777777" w:rsidR="00FA0AC8" w:rsidRPr="00732189" w:rsidRDefault="00FA0AC8" w:rsidP="00DF18F3">
            <w:pPr>
              <w:snapToGrid w:val="0"/>
              <w:spacing w:line="240" w:lineRule="atLeast"/>
              <w:jc w:val="both"/>
              <w:rPr>
                <w:szCs w:val="24"/>
              </w:rPr>
            </w:pPr>
            <w:r w:rsidRPr="00732189">
              <w:rPr>
                <w:rFonts w:ascii="標楷體" w:eastAsia="標楷體" w:hAnsi="標楷體"/>
                <w:szCs w:val="24"/>
              </w:rPr>
              <w:t>醫院病歷號碼：</w:t>
            </w:r>
            <w:r w:rsidRPr="00732189">
              <w:rPr>
                <w:rFonts w:ascii="標楷體" w:eastAsia="標楷體" w:hAnsi="標楷體"/>
                <w:szCs w:val="24"/>
                <w:u w:val="single"/>
              </w:rPr>
              <w:t xml:space="preserve">　　　　　　　　　　</w:t>
            </w:r>
            <w:r w:rsidRPr="00732189">
              <w:rPr>
                <w:rFonts w:ascii="標楷體" w:eastAsia="標楷體" w:hAnsi="標楷體"/>
                <w:szCs w:val="24"/>
              </w:rPr>
              <w:t xml:space="preserve">　</w:t>
            </w:r>
          </w:p>
          <w:p w14:paraId="67564952" w14:textId="77777777" w:rsidR="00FA0AC8" w:rsidRPr="00732189" w:rsidRDefault="00FA0AC8" w:rsidP="00DF18F3">
            <w:pPr>
              <w:snapToGrid w:val="0"/>
              <w:spacing w:line="240" w:lineRule="atLeast"/>
              <w:rPr>
                <w:szCs w:val="24"/>
              </w:rPr>
            </w:pPr>
            <w:r w:rsidRPr="00732189">
              <w:rPr>
                <w:rFonts w:ascii="標楷體" w:eastAsia="標楷體" w:hAnsi="標楷體"/>
                <w:szCs w:val="24"/>
              </w:rPr>
              <w:t>聯絡電話：</w:t>
            </w:r>
            <w:r w:rsidRPr="00732189">
              <w:rPr>
                <w:rFonts w:ascii="標楷體" w:eastAsia="標楷體" w:hAnsi="標楷體"/>
                <w:szCs w:val="24"/>
                <w:u w:val="single"/>
              </w:rPr>
              <w:t xml:space="preserve">　　　　　　　　　、　　　　　　　　　、　　　　　　　　　、　　　　　　　　　</w:t>
            </w:r>
          </w:p>
          <w:p w14:paraId="7447BC42" w14:textId="77777777" w:rsidR="00FA0AC8" w:rsidRPr="00732189" w:rsidRDefault="00FA0AC8" w:rsidP="00DF18F3">
            <w:pPr>
              <w:snapToGrid w:val="0"/>
              <w:spacing w:line="240" w:lineRule="atLeast"/>
              <w:rPr>
                <w:szCs w:val="24"/>
              </w:rPr>
            </w:pPr>
            <w:r w:rsidRPr="00732189">
              <w:rPr>
                <w:rFonts w:ascii="標楷體" w:eastAsia="標楷體" w:hAnsi="標楷體"/>
                <w:szCs w:val="24"/>
              </w:rPr>
              <w:t>居住地址：</w:t>
            </w:r>
            <w:proofErr w:type="gramStart"/>
            <w:r w:rsidRPr="00732189">
              <w:rPr>
                <w:rFonts w:ascii="標楷體" w:eastAsia="標楷體" w:hAnsi="標楷體"/>
                <w:szCs w:val="24"/>
              </w:rPr>
              <w:t>（</w:t>
            </w:r>
            <w:proofErr w:type="gramEnd"/>
            <w:r w:rsidRPr="00732189">
              <w:rPr>
                <w:rFonts w:ascii="標楷體" w:eastAsia="標楷體" w:hAnsi="標楷體"/>
                <w:szCs w:val="24"/>
              </w:rPr>
              <w:t>縣市：</w:t>
            </w:r>
            <w:r w:rsidRPr="00732189">
              <w:rPr>
                <w:rFonts w:ascii="標楷體" w:eastAsia="標楷體" w:hAnsi="標楷體"/>
                <w:szCs w:val="24"/>
                <w:u w:val="single"/>
              </w:rPr>
              <w:t xml:space="preserve">　　　　</w:t>
            </w:r>
            <w:r w:rsidRPr="00732189">
              <w:rPr>
                <w:rFonts w:ascii="標楷體" w:eastAsia="標楷體" w:hAnsi="標楷體"/>
                <w:szCs w:val="24"/>
              </w:rPr>
              <w:t>）</w:t>
            </w:r>
            <w:r w:rsidRPr="00732189">
              <w:rPr>
                <w:rFonts w:ascii="標楷體" w:eastAsia="標楷體" w:hAnsi="標楷體"/>
                <w:szCs w:val="24"/>
                <w:u w:val="single"/>
              </w:rPr>
              <w:t xml:space="preserve">　　　　　　　　　　　　　　　　　　　　　　　　　　　　　　　　　</w:t>
            </w:r>
          </w:p>
        </w:tc>
      </w:tr>
      <w:tr w:rsidR="00FA0AC8" w:rsidRPr="00732189" w14:paraId="27F98103" w14:textId="77777777" w:rsidTr="00DF18F3">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C62FA3"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三、申請使用PCSK9血脂調節劑原因</w:t>
            </w:r>
          </w:p>
          <w:p w14:paraId="001E63F3"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3.1 重大心血管疾病</w:t>
            </w:r>
            <w:r w:rsidRPr="00732189">
              <w:rPr>
                <w:rFonts w:ascii="標楷體" w:eastAsia="標楷體" w:hAnsi="標楷體"/>
                <w:szCs w:val="24"/>
              </w:rPr>
              <w:t>（必要條件）</w:t>
            </w:r>
            <w:r w:rsidRPr="00732189">
              <w:rPr>
                <w:rFonts w:ascii="標楷體" w:eastAsia="標楷體" w:hAnsi="標楷體"/>
                <w:bCs/>
                <w:iCs/>
                <w:szCs w:val="24"/>
              </w:rPr>
              <w:br/>
            </w:r>
            <w:r w:rsidRPr="00732189">
              <w:rPr>
                <w:rFonts w:ascii="標楷體" w:eastAsia="標楷體" w:hAnsi="標楷體"/>
                <w:szCs w:val="24"/>
              </w:rPr>
              <w:t>以下診斷至少需符合一項，首次申請限給付於在發病後一年內開始使用最大耐受劑量statin之病人</w:t>
            </w:r>
          </w:p>
          <w:p w14:paraId="28ED0BB0" w14:textId="77777777" w:rsidR="00FA0AC8" w:rsidRPr="00732189" w:rsidRDefault="00FA0AC8" w:rsidP="00DF18F3">
            <w:pPr>
              <w:snapToGrid w:val="0"/>
              <w:spacing w:line="240" w:lineRule="atLeast"/>
              <w:rPr>
                <w:szCs w:val="24"/>
              </w:rPr>
            </w:pPr>
            <w:r w:rsidRPr="00732189">
              <w:rPr>
                <w:rFonts w:ascii="標楷體" w:eastAsia="標楷體" w:hAnsi="標楷體"/>
                <w:szCs w:val="24"/>
              </w:rPr>
              <w:t>□心肌梗塞</w:t>
            </w:r>
          </w:p>
          <w:p w14:paraId="28E63170" w14:textId="77777777" w:rsidR="00FA0AC8" w:rsidRPr="00732189" w:rsidRDefault="00FA0AC8" w:rsidP="00DF18F3">
            <w:pPr>
              <w:snapToGrid w:val="0"/>
              <w:spacing w:line="240" w:lineRule="atLeast"/>
              <w:rPr>
                <w:szCs w:val="24"/>
              </w:rPr>
            </w:pPr>
            <w:r w:rsidRPr="00732189">
              <w:rPr>
                <w:rFonts w:ascii="標楷體" w:eastAsia="標楷體" w:hAnsi="標楷體"/>
                <w:szCs w:val="24"/>
              </w:rPr>
              <w:t>□動脈硬化相關之缺血性腦中風發作</w:t>
            </w:r>
          </w:p>
          <w:p w14:paraId="22035707" w14:textId="77777777" w:rsidR="00FA0AC8" w:rsidRPr="00732189" w:rsidRDefault="00FA0AC8" w:rsidP="00DF18F3">
            <w:pPr>
              <w:snapToGrid w:val="0"/>
              <w:spacing w:line="240" w:lineRule="atLeast"/>
              <w:rPr>
                <w:szCs w:val="24"/>
              </w:rPr>
            </w:pPr>
            <w:r w:rsidRPr="00732189">
              <w:rPr>
                <w:rFonts w:ascii="標楷體" w:eastAsia="標楷體" w:hAnsi="標楷體"/>
                <w:szCs w:val="24"/>
              </w:rPr>
              <w:t>□接受冠狀動脈或其他動脈血管</w:t>
            </w:r>
            <w:proofErr w:type="gramStart"/>
            <w:r w:rsidRPr="00732189">
              <w:rPr>
                <w:rFonts w:ascii="標楷體" w:eastAsia="標楷體" w:hAnsi="標楷體"/>
                <w:szCs w:val="24"/>
              </w:rPr>
              <w:t>再通術</w:t>
            </w:r>
            <w:proofErr w:type="gramEnd"/>
            <w:r w:rsidRPr="00732189">
              <w:rPr>
                <w:rFonts w:ascii="標楷體" w:eastAsia="標楷體" w:hAnsi="標楷體"/>
                <w:szCs w:val="24"/>
              </w:rPr>
              <w:t xml:space="preserve">（Revascularization）　</w:t>
            </w:r>
          </w:p>
          <w:p w14:paraId="752E6A00" w14:textId="77777777" w:rsidR="00FA0AC8" w:rsidRPr="00732189" w:rsidRDefault="00FA0AC8" w:rsidP="00DF18F3">
            <w:pPr>
              <w:snapToGrid w:val="0"/>
              <w:spacing w:line="240" w:lineRule="atLeast"/>
              <w:rPr>
                <w:szCs w:val="24"/>
              </w:rPr>
            </w:pPr>
            <w:r w:rsidRPr="00732189">
              <w:rPr>
                <w:rFonts w:ascii="標楷體" w:eastAsia="標楷體" w:hAnsi="標楷體"/>
                <w:szCs w:val="24"/>
              </w:rPr>
              <w:t>發病日期：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10A586A0"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 xml:space="preserve">3.2 符合PCSK9血脂調節劑原因 </w:t>
            </w:r>
            <w:r w:rsidRPr="00732189">
              <w:rPr>
                <w:rFonts w:ascii="標楷體" w:eastAsia="標楷體" w:hAnsi="標楷體"/>
                <w:szCs w:val="24"/>
              </w:rPr>
              <w:t>以下條件至少需符合一項 （必要條件）</w:t>
            </w:r>
          </w:p>
          <w:p w14:paraId="392A6F15" w14:textId="77777777" w:rsidR="00FA0AC8" w:rsidRPr="00732189" w:rsidRDefault="00FA0AC8" w:rsidP="00DF18F3">
            <w:pPr>
              <w:snapToGrid w:val="0"/>
              <w:spacing w:after="180" w:line="240" w:lineRule="atLeast"/>
              <w:ind w:left="1028" w:hanging="848"/>
              <w:rPr>
                <w:szCs w:val="24"/>
              </w:rPr>
            </w:pPr>
            <w:r w:rsidRPr="00732189">
              <w:rPr>
                <w:rFonts w:ascii="標楷體" w:eastAsia="標楷體" w:hAnsi="標楷體" w:cs="Wingdings 2"/>
                <w:szCs w:val="24"/>
              </w:rPr>
              <w:t></w:t>
            </w:r>
            <w:r w:rsidRPr="00732189">
              <w:rPr>
                <w:rFonts w:ascii="標楷體" w:eastAsia="標楷體" w:hAnsi="標楷體"/>
                <w:szCs w:val="24"/>
              </w:rPr>
              <w:t xml:space="preserve"> (1)經使用高強度statin </w:t>
            </w:r>
            <w:proofErr w:type="gramStart"/>
            <w:r w:rsidRPr="00732189">
              <w:rPr>
                <w:rFonts w:ascii="標楷體" w:eastAsia="標楷體" w:hAnsi="標楷體"/>
                <w:szCs w:val="24"/>
              </w:rPr>
              <w:t>（</w:t>
            </w:r>
            <w:proofErr w:type="gramEnd"/>
            <w:r w:rsidRPr="00732189">
              <w:rPr>
                <w:rFonts w:ascii="標楷體" w:eastAsia="標楷體" w:hAnsi="標楷體"/>
                <w:szCs w:val="24"/>
              </w:rPr>
              <w:t>如 rosuvastatin 20mg 或atorvastatin 40 mg</w:t>
            </w:r>
            <w:proofErr w:type="gramStart"/>
            <w:r w:rsidRPr="00732189">
              <w:rPr>
                <w:rFonts w:ascii="標楷體" w:eastAsia="標楷體" w:hAnsi="標楷體"/>
                <w:szCs w:val="24"/>
              </w:rPr>
              <w:t>（</w:t>
            </w:r>
            <w:proofErr w:type="gramEnd"/>
            <w:r w:rsidRPr="00732189">
              <w:rPr>
                <w:rFonts w:ascii="標楷體" w:eastAsia="標楷體" w:hAnsi="標楷體"/>
                <w:szCs w:val="24"/>
              </w:rPr>
              <w:t>含</w:t>
            </w:r>
            <w:proofErr w:type="gramStart"/>
            <w:r w:rsidRPr="00732189">
              <w:rPr>
                <w:rFonts w:ascii="標楷體" w:eastAsia="標楷體" w:hAnsi="標楷體"/>
                <w:szCs w:val="24"/>
              </w:rPr>
              <w:t>）</w:t>
            </w:r>
            <w:proofErr w:type="gramEnd"/>
            <w:r w:rsidRPr="00732189">
              <w:rPr>
                <w:rFonts w:ascii="標楷體" w:eastAsia="標楷體" w:hAnsi="標楷體"/>
                <w:szCs w:val="24"/>
              </w:rPr>
              <w:t>以上</w:t>
            </w:r>
            <w:proofErr w:type="gramStart"/>
            <w:r w:rsidRPr="00732189">
              <w:rPr>
                <w:rFonts w:ascii="標楷體" w:eastAsia="標楷體" w:hAnsi="標楷體"/>
                <w:szCs w:val="24"/>
              </w:rPr>
              <w:t>）</w:t>
            </w:r>
            <w:proofErr w:type="gramEnd"/>
            <w:r w:rsidRPr="00732189">
              <w:rPr>
                <w:rFonts w:ascii="標楷體" w:eastAsia="標楷體" w:hAnsi="標楷體"/>
                <w:szCs w:val="24"/>
              </w:rPr>
              <w:t>或病人可耐受之最大劑量的statin三個月（含）以上且之後再合併使用ezetimibe 10 mg 三個月（含）以上, LDL-C 仍高於100 mg/dL之成人病人。</w:t>
            </w:r>
            <w:r w:rsidRPr="00732189">
              <w:rPr>
                <w:rFonts w:ascii="標楷體" w:eastAsia="標楷體" w:hAnsi="標楷體"/>
                <w:kern w:val="0"/>
                <w:szCs w:val="24"/>
              </w:rPr>
              <w:t>(114/9/1</w:t>
            </w:r>
            <w:proofErr w:type="gramStart"/>
            <w:r w:rsidRPr="00732189">
              <w:rPr>
                <w:rFonts w:ascii="標楷體" w:eastAsia="標楷體" w:hAnsi="標楷體"/>
                <w:kern w:val="0"/>
                <w:szCs w:val="24"/>
              </w:rPr>
              <w:t>）</w:t>
            </w:r>
            <w:proofErr w:type="gramEnd"/>
          </w:p>
          <w:p w14:paraId="2BF452FE" w14:textId="77777777" w:rsidR="00FA0AC8" w:rsidRPr="00732189" w:rsidRDefault="00FA0AC8" w:rsidP="00DF18F3">
            <w:pPr>
              <w:snapToGrid w:val="0"/>
              <w:spacing w:line="240" w:lineRule="atLeast"/>
              <w:ind w:left="1067" w:hanging="1067"/>
              <w:rPr>
                <w:szCs w:val="24"/>
              </w:rPr>
            </w:pPr>
            <w:r w:rsidRPr="00732189">
              <w:rPr>
                <w:rFonts w:ascii="標楷體" w:eastAsia="標楷體" w:hAnsi="標楷體"/>
                <w:szCs w:val="24"/>
              </w:rPr>
              <w:t xml:space="preserve">    甲、所使用最大耐受劑量之statin三個月(含)以上，之後加上ezetimibe三個月（含）以上</w:t>
            </w:r>
          </w:p>
          <w:p w14:paraId="5720B65C" w14:textId="77777777" w:rsidR="00FA0AC8" w:rsidRPr="00732189" w:rsidRDefault="00FA0AC8" w:rsidP="00DF18F3">
            <w:pPr>
              <w:snapToGrid w:val="0"/>
              <w:spacing w:line="240" w:lineRule="atLeast"/>
              <w:ind w:left="2046" w:hanging="1336"/>
              <w:rPr>
                <w:szCs w:val="24"/>
              </w:rPr>
            </w:pPr>
            <w:r w:rsidRPr="00732189">
              <w:rPr>
                <w:rFonts w:ascii="標楷體" w:eastAsia="標楷體" w:hAnsi="標楷體" w:cs="Wingdings 2"/>
                <w:szCs w:val="24"/>
              </w:rPr>
              <w:t></w:t>
            </w:r>
            <w:r w:rsidRPr="00732189">
              <w:rPr>
                <w:rFonts w:ascii="標楷體" w:eastAsia="標楷體" w:hAnsi="標楷體"/>
                <w:szCs w:val="24"/>
              </w:rPr>
              <w:t xml:space="preserve">□ Rosuvastatin 20 mg □ Atorvastatin 40 mg（含）以上 </w:t>
            </w:r>
          </w:p>
          <w:p w14:paraId="1D00CA54" w14:textId="77777777" w:rsidR="00FA0AC8" w:rsidRPr="00732189" w:rsidRDefault="00FA0AC8" w:rsidP="00DF18F3">
            <w:pPr>
              <w:snapToGrid w:val="0"/>
              <w:spacing w:line="240" w:lineRule="atLeast"/>
              <w:ind w:left="2046" w:hanging="1336"/>
              <w:rPr>
                <w:szCs w:val="24"/>
              </w:rPr>
            </w:pPr>
            <w:r w:rsidRPr="00732189">
              <w:rPr>
                <w:rFonts w:ascii="標楷體" w:eastAsia="標楷體" w:hAnsi="標楷體"/>
                <w:szCs w:val="24"/>
              </w:rPr>
              <w:t xml:space="preserve">  治療期間：</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425EC95D" w14:textId="77777777" w:rsidR="00FA0AC8" w:rsidRPr="00732189" w:rsidRDefault="00FA0AC8" w:rsidP="00DF18F3">
            <w:pPr>
              <w:snapToGrid w:val="0"/>
              <w:spacing w:line="240" w:lineRule="atLeast"/>
              <w:ind w:left="2046" w:hanging="1336"/>
              <w:rPr>
                <w:szCs w:val="24"/>
              </w:rPr>
            </w:pPr>
            <w:r w:rsidRPr="00732189">
              <w:rPr>
                <w:rFonts w:ascii="標楷體" w:eastAsia="標楷體" w:hAnsi="標楷體"/>
                <w:szCs w:val="24"/>
              </w:rPr>
              <w:t xml:space="preserve">  如未達上述劑量，請詳述最大耐受劑量之statin和原因</w:t>
            </w:r>
            <w:r w:rsidRPr="00732189">
              <w:rPr>
                <w:rFonts w:ascii="標楷體" w:eastAsia="標楷體" w:hAnsi="標楷體"/>
                <w:szCs w:val="24"/>
                <w:u w:val="single"/>
              </w:rPr>
              <w:t xml:space="preserve">　　　　　　　　　　　　　　　　　　</w:t>
            </w:r>
          </w:p>
          <w:p w14:paraId="495FCE40" w14:textId="77777777" w:rsidR="00FA0AC8" w:rsidRPr="00732189" w:rsidRDefault="00FA0AC8" w:rsidP="00DF18F3">
            <w:pPr>
              <w:snapToGrid w:val="0"/>
              <w:spacing w:line="240" w:lineRule="atLeast"/>
              <w:rPr>
                <w:szCs w:val="24"/>
              </w:rPr>
            </w:pPr>
            <w:r w:rsidRPr="00732189">
              <w:rPr>
                <w:rFonts w:ascii="標楷體" w:eastAsia="標楷體" w:hAnsi="標楷體"/>
                <w:szCs w:val="24"/>
              </w:rPr>
              <w:t xml:space="preserve">    乙、Ezetimibe治療期間：</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7B784271" w14:textId="77777777" w:rsidR="00FA0AC8" w:rsidRPr="00732189" w:rsidRDefault="00FA0AC8" w:rsidP="00DF18F3">
            <w:pPr>
              <w:snapToGrid w:val="0"/>
              <w:spacing w:line="240" w:lineRule="atLeast"/>
              <w:ind w:left="1025" w:hanging="1025"/>
              <w:rPr>
                <w:szCs w:val="24"/>
              </w:rPr>
            </w:pPr>
            <w:r w:rsidRPr="00732189">
              <w:rPr>
                <w:rFonts w:ascii="標楷體" w:eastAsia="標楷體" w:hAnsi="標楷體" w:cs="Wingdings 2"/>
                <w:szCs w:val="24"/>
              </w:rPr>
              <w:t></w:t>
            </w:r>
            <w:r w:rsidRPr="00732189">
              <w:rPr>
                <w:rFonts w:ascii="標楷體" w:eastAsia="標楷體" w:hAnsi="標楷體"/>
                <w:szCs w:val="24"/>
              </w:rPr>
              <w:t xml:space="preserve">  (2)病人有下列statin禁忌症且持續使用Ezetimibe治療三個月，LDL-C仍高於100 mg/dL。</w:t>
            </w:r>
            <w:r w:rsidRPr="00732189">
              <w:rPr>
                <w:rFonts w:ascii="標楷體" w:eastAsia="標楷體" w:hAnsi="標楷體"/>
                <w:kern w:val="0"/>
                <w:szCs w:val="24"/>
              </w:rPr>
              <w:t>(114/9/1</w:t>
            </w:r>
            <w:proofErr w:type="gramStart"/>
            <w:r w:rsidRPr="00732189">
              <w:rPr>
                <w:rFonts w:ascii="標楷體" w:eastAsia="標楷體" w:hAnsi="標楷體"/>
                <w:kern w:val="0"/>
                <w:szCs w:val="24"/>
              </w:rPr>
              <w:t>）</w:t>
            </w:r>
            <w:proofErr w:type="gramEnd"/>
          </w:p>
          <w:p w14:paraId="4F99D70B" w14:textId="77777777" w:rsidR="00FA0AC8" w:rsidRPr="00732189" w:rsidRDefault="00FA0AC8" w:rsidP="00DF18F3">
            <w:pPr>
              <w:pStyle w:val="af"/>
              <w:snapToGrid w:val="0"/>
              <w:spacing w:line="240" w:lineRule="atLeast"/>
              <w:ind w:left="945" w:hanging="465"/>
              <w:rPr>
                <w:szCs w:val="24"/>
              </w:rPr>
            </w:pPr>
            <w:r w:rsidRPr="00732189">
              <w:rPr>
                <w:rFonts w:ascii="標楷體" w:eastAsia="標楷體" w:hAnsi="標楷體"/>
                <w:szCs w:val="24"/>
              </w:rPr>
              <w:t>□ 藥物過敏，請說明使用之成分名稱、藥品名稱及健保代碼，和所提報之過敏反應及其發病過程佐證資料</w:t>
            </w:r>
            <w:r w:rsidRPr="00732189">
              <w:rPr>
                <w:rFonts w:ascii="標楷體" w:eastAsia="標楷體" w:hAnsi="標楷體"/>
                <w:szCs w:val="24"/>
                <w:u w:val="single"/>
              </w:rPr>
              <w:t xml:space="preserve">　　　　　　　　　　　        　</w:t>
            </w:r>
          </w:p>
          <w:p w14:paraId="5BDBB3B6" w14:textId="77777777" w:rsidR="00FA0AC8" w:rsidRPr="00732189" w:rsidRDefault="00FA0AC8" w:rsidP="00DF18F3">
            <w:pPr>
              <w:pStyle w:val="af"/>
              <w:snapToGrid w:val="0"/>
              <w:spacing w:line="240" w:lineRule="atLeast"/>
              <w:ind w:left="945" w:hanging="465"/>
              <w:rPr>
                <w:szCs w:val="24"/>
              </w:rPr>
            </w:pPr>
            <w:r w:rsidRPr="00732189">
              <w:rPr>
                <w:rFonts w:ascii="標楷體" w:eastAsia="標楷體" w:hAnsi="標楷體"/>
                <w:szCs w:val="24"/>
              </w:rPr>
              <w:t>□ 活動性肝病變，</w:t>
            </w:r>
            <w:proofErr w:type="gramStart"/>
            <w:r w:rsidRPr="00732189">
              <w:rPr>
                <w:rFonts w:ascii="標楷體" w:eastAsia="標楷體" w:hAnsi="標楷體"/>
                <w:szCs w:val="24"/>
              </w:rPr>
              <w:t>請詳附佐證</w:t>
            </w:r>
            <w:proofErr w:type="gramEnd"/>
            <w:r w:rsidRPr="00732189">
              <w:rPr>
                <w:rFonts w:ascii="標楷體" w:eastAsia="標楷體" w:hAnsi="標楷體"/>
                <w:szCs w:val="24"/>
              </w:rPr>
              <w:t>資料</w:t>
            </w:r>
            <w:r w:rsidRPr="00732189">
              <w:rPr>
                <w:rFonts w:ascii="標楷體" w:eastAsia="標楷體" w:hAnsi="標楷體"/>
                <w:szCs w:val="24"/>
                <w:u w:val="single"/>
              </w:rPr>
              <w:t xml:space="preserve">　　　                                                            　　</w:t>
            </w:r>
          </w:p>
          <w:p w14:paraId="168A2A7B" w14:textId="77777777" w:rsidR="00FA0AC8" w:rsidRPr="00732189" w:rsidRDefault="00FA0AC8" w:rsidP="00DF18F3">
            <w:pPr>
              <w:pStyle w:val="af"/>
              <w:snapToGrid w:val="0"/>
              <w:spacing w:line="240" w:lineRule="atLeast"/>
              <w:rPr>
                <w:szCs w:val="24"/>
              </w:rPr>
            </w:pPr>
            <w:r w:rsidRPr="00732189">
              <w:rPr>
                <w:rFonts w:ascii="標楷體" w:eastAsia="標楷體" w:hAnsi="標楷體"/>
                <w:szCs w:val="24"/>
              </w:rPr>
              <w:t>Ezetimibe治療期間：</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 xml:space="preserve">日 ~ </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00843145" w:rsidRPr="00732189">
              <w:rPr>
                <w:rFonts w:ascii="標楷體" w:eastAsia="標楷體" w:hAnsi="標楷體"/>
                <w:szCs w:val="24"/>
                <w:u w:val="single"/>
              </w:rPr>
              <w:t xml:space="preserve">　　</w:t>
            </w:r>
            <w:r w:rsidRPr="00732189">
              <w:rPr>
                <w:rFonts w:ascii="標楷體" w:eastAsia="標楷體" w:hAnsi="標楷體"/>
                <w:szCs w:val="24"/>
              </w:rPr>
              <w:t>日</w:t>
            </w:r>
          </w:p>
          <w:p w14:paraId="4D8C7099" w14:textId="77777777" w:rsidR="00FA0AC8" w:rsidRPr="00732189" w:rsidRDefault="00FA0AC8" w:rsidP="00DF18F3">
            <w:pPr>
              <w:snapToGrid w:val="0"/>
              <w:spacing w:line="240" w:lineRule="atLeast"/>
              <w:ind w:left="1025" w:hanging="1025"/>
              <w:rPr>
                <w:szCs w:val="24"/>
              </w:rPr>
            </w:pPr>
            <w:r w:rsidRPr="00732189">
              <w:rPr>
                <w:rFonts w:ascii="標楷體" w:eastAsia="標楷體" w:hAnsi="標楷體" w:cs="Wingdings 2"/>
                <w:szCs w:val="24"/>
              </w:rPr>
              <w:t></w:t>
            </w:r>
            <w:r w:rsidRPr="00732189">
              <w:rPr>
                <w:rFonts w:ascii="標楷體" w:eastAsia="標楷體" w:hAnsi="標楷體"/>
                <w:szCs w:val="24"/>
              </w:rPr>
              <w:t xml:space="preserve">  (3)診斷為對statin不耐受之患者，且持續使用Ezetimibe治療三個月，LDL-C仍高於100 mg/dL。</w:t>
            </w:r>
            <w:r w:rsidRPr="00732189">
              <w:rPr>
                <w:rFonts w:ascii="標楷體" w:eastAsia="標楷體" w:hAnsi="標楷體"/>
                <w:kern w:val="0"/>
                <w:szCs w:val="24"/>
              </w:rPr>
              <w:t>(114/9/1</w:t>
            </w:r>
            <w:proofErr w:type="gramStart"/>
            <w:r w:rsidRPr="00732189">
              <w:rPr>
                <w:rFonts w:ascii="標楷體" w:eastAsia="標楷體" w:hAnsi="標楷體"/>
                <w:kern w:val="0"/>
                <w:szCs w:val="24"/>
              </w:rPr>
              <w:t>）</w:t>
            </w:r>
            <w:proofErr w:type="gramEnd"/>
          </w:p>
          <w:p w14:paraId="1FC8751A" w14:textId="77777777" w:rsidR="00FA0AC8" w:rsidRPr="00732189" w:rsidRDefault="00FA0AC8" w:rsidP="002144EC">
            <w:pPr>
              <w:pStyle w:val="af"/>
              <w:numPr>
                <w:ilvl w:val="1"/>
                <w:numId w:val="138"/>
              </w:numPr>
              <w:snapToGrid w:val="0"/>
              <w:spacing w:line="240" w:lineRule="atLeast"/>
              <w:ind w:left="560" w:hanging="560"/>
              <w:rPr>
                <w:szCs w:val="24"/>
              </w:rPr>
            </w:pPr>
            <w:r w:rsidRPr="00732189">
              <w:rPr>
                <w:rFonts w:ascii="標楷體" w:eastAsia="標楷體" w:hAnsi="標楷體"/>
                <w:szCs w:val="24"/>
              </w:rPr>
              <w:t>Statin之副作用為何？</w:t>
            </w:r>
          </w:p>
          <w:p w14:paraId="68411FEA" w14:textId="77777777" w:rsidR="00FA0AC8" w:rsidRPr="00732189" w:rsidRDefault="00FA0AC8" w:rsidP="00DF18F3">
            <w:pPr>
              <w:pStyle w:val="af"/>
              <w:snapToGrid w:val="0"/>
              <w:spacing w:line="240" w:lineRule="atLeast"/>
              <w:ind w:left="782" w:hanging="302"/>
              <w:rPr>
                <w:szCs w:val="24"/>
              </w:rPr>
            </w:pPr>
            <w:r w:rsidRPr="00732189">
              <w:rPr>
                <w:rFonts w:ascii="標楷體" w:eastAsia="標楷體" w:hAnsi="標楷體"/>
                <w:szCs w:val="24"/>
              </w:rPr>
              <w:t>□確認為嚴重橫紋肌溶解症，只需一種statin即可以診斷statin不耐受（請詳附佐證資料）</w:t>
            </w:r>
          </w:p>
          <w:p w14:paraId="25723A10" w14:textId="77777777" w:rsidR="00FA0AC8" w:rsidRPr="00732189" w:rsidRDefault="00FA0AC8" w:rsidP="00DF18F3">
            <w:pPr>
              <w:pStyle w:val="af"/>
              <w:snapToGrid w:val="0"/>
              <w:spacing w:line="240" w:lineRule="atLeast"/>
              <w:ind w:left="782" w:hanging="302"/>
              <w:rPr>
                <w:szCs w:val="24"/>
              </w:rPr>
            </w:pPr>
            <w:r w:rsidRPr="00732189">
              <w:rPr>
                <w:rFonts w:ascii="標楷體" w:eastAsia="標楷體" w:hAnsi="標楷體"/>
                <w:szCs w:val="24"/>
              </w:rPr>
              <w:t>□肌肉或肝臟相關副作用或疾病（需符合中華民國血脂及動脈硬化學會2019年之共識規定</w:t>
            </w:r>
            <w:r w:rsidRPr="00732189">
              <w:rPr>
                <w:rFonts w:ascii="標楷體" w:eastAsia="標楷體" w:hAnsi="標楷體"/>
                <w:szCs w:val="24"/>
                <w:vertAlign w:val="superscript"/>
              </w:rPr>
              <w:t>1</w:t>
            </w:r>
            <w:r w:rsidRPr="00732189">
              <w:rPr>
                <w:rFonts w:ascii="標楷體" w:eastAsia="標楷體" w:hAnsi="標楷體"/>
                <w:szCs w:val="24"/>
              </w:rPr>
              <w:t>，Myalgia score for statin intolerance須大於8分，請附相關佐證資料）</w:t>
            </w:r>
          </w:p>
          <w:p w14:paraId="2A2A3A6D" w14:textId="77777777" w:rsidR="00FA0AC8" w:rsidRPr="00732189" w:rsidRDefault="00FA0AC8" w:rsidP="00DF18F3">
            <w:pPr>
              <w:pStyle w:val="af"/>
              <w:snapToGrid w:val="0"/>
              <w:spacing w:line="240" w:lineRule="atLeast"/>
              <w:ind w:left="782" w:hanging="302"/>
              <w:rPr>
                <w:szCs w:val="24"/>
                <w:u w:val="single" w:color="000000" w:themeColor="text1"/>
              </w:rPr>
            </w:pPr>
            <w:r w:rsidRPr="00732189">
              <w:rPr>
                <w:rFonts w:ascii="標楷體" w:eastAsia="標楷體" w:hAnsi="標楷體"/>
                <w:szCs w:val="24"/>
              </w:rPr>
              <w:t>□其他</w:t>
            </w:r>
            <w:r w:rsidR="00382B7F" w:rsidRPr="00732189">
              <w:rPr>
                <w:rFonts w:ascii="標楷體" w:eastAsia="標楷體" w:hAnsi="標楷體" w:hint="eastAsia"/>
                <w:szCs w:val="24"/>
              </w:rPr>
              <w:t>_______________________________________</w:t>
            </w:r>
            <w:r w:rsidRPr="00732189">
              <w:rPr>
                <w:rFonts w:ascii="標楷體" w:eastAsia="標楷體" w:hAnsi="標楷體"/>
                <w:szCs w:val="24"/>
                <w:u w:val="single" w:color="000000" w:themeColor="text1"/>
              </w:rPr>
              <w:t xml:space="preserve">　　　　</w:t>
            </w:r>
          </w:p>
          <w:p w14:paraId="31102D6F" w14:textId="77777777" w:rsidR="00FA0AC8" w:rsidRPr="00732189" w:rsidRDefault="00FA0AC8" w:rsidP="002144EC">
            <w:pPr>
              <w:pStyle w:val="af"/>
              <w:numPr>
                <w:ilvl w:val="1"/>
                <w:numId w:val="138"/>
              </w:numPr>
              <w:snapToGrid w:val="0"/>
              <w:spacing w:line="240" w:lineRule="atLeast"/>
              <w:ind w:left="560" w:hanging="560"/>
              <w:rPr>
                <w:szCs w:val="24"/>
              </w:rPr>
            </w:pPr>
            <w:r w:rsidRPr="00732189">
              <w:rPr>
                <w:rFonts w:ascii="標楷體" w:eastAsia="標楷體" w:hAnsi="標楷體"/>
                <w:szCs w:val="24"/>
              </w:rPr>
              <w:t>同時是否有確認對</w:t>
            </w:r>
            <w:r w:rsidRPr="00732189">
              <w:rPr>
                <w:rFonts w:ascii="標楷體" w:eastAsia="標楷體" w:hAnsi="標楷體" w:cs="Arial"/>
                <w:szCs w:val="24"/>
              </w:rPr>
              <w:t>“兩種”statin</w:t>
            </w:r>
            <w:r w:rsidRPr="00732189">
              <w:rPr>
                <w:rFonts w:ascii="標楷體" w:eastAsia="標楷體" w:hAnsi="標楷體"/>
                <w:szCs w:val="24"/>
              </w:rPr>
              <w:t>產生上述副作用（檢附病歷紀錄）</w:t>
            </w:r>
            <w:r w:rsidRPr="00732189">
              <w:rPr>
                <w:rFonts w:ascii="標楷體" w:eastAsia="標楷體" w:hAnsi="標楷體" w:cs="Arial"/>
                <w:szCs w:val="24"/>
              </w:rPr>
              <w:t>，其中一種是在最低有效劑量</w:t>
            </w:r>
            <w:proofErr w:type="gramStart"/>
            <w:r w:rsidRPr="00732189">
              <w:rPr>
                <w:rFonts w:ascii="標楷體" w:eastAsia="標楷體" w:hAnsi="標楷體" w:cs="Arial"/>
                <w:szCs w:val="24"/>
                <w:vertAlign w:val="superscript"/>
              </w:rPr>
              <w:t>2</w:t>
            </w:r>
            <w:r w:rsidRPr="00732189">
              <w:rPr>
                <w:rFonts w:ascii="標楷體" w:eastAsia="標楷體" w:hAnsi="標楷體" w:cs="Arial"/>
                <w:szCs w:val="24"/>
              </w:rPr>
              <w:t>下均有不</w:t>
            </w:r>
            <w:proofErr w:type="gramEnd"/>
            <w:r w:rsidRPr="00732189">
              <w:rPr>
                <w:rFonts w:ascii="標楷體" w:eastAsia="標楷體" w:hAnsi="標楷體" w:cs="Arial"/>
                <w:szCs w:val="24"/>
              </w:rPr>
              <w:t>耐受之情況？</w:t>
            </w:r>
            <w:r w:rsidRPr="00732189">
              <w:rPr>
                <w:rFonts w:ascii="標楷體" w:eastAsia="標楷體" w:hAnsi="標楷體"/>
                <w:szCs w:val="24"/>
              </w:rPr>
              <w:t>（需註明藥品成分、藥品名稱及健保代碼）</w:t>
            </w:r>
          </w:p>
          <w:p w14:paraId="54ABB9E3" w14:textId="77777777" w:rsidR="00FA0AC8" w:rsidRPr="00732189" w:rsidRDefault="00FA0AC8" w:rsidP="00DF18F3">
            <w:pPr>
              <w:snapToGrid w:val="0"/>
              <w:spacing w:line="240" w:lineRule="atLeast"/>
              <w:ind w:left="709"/>
              <w:rPr>
                <w:szCs w:val="24"/>
              </w:rPr>
            </w:pPr>
            <w:r w:rsidRPr="00732189">
              <w:rPr>
                <w:rFonts w:ascii="標楷體" w:eastAsia="標楷體" w:hAnsi="標楷體"/>
                <w:szCs w:val="24"/>
              </w:rPr>
              <w:lastRenderedPageBreak/>
              <w:t>第1種statin</w:t>
            </w:r>
            <w:r w:rsidRPr="00732189">
              <w:rPr>
                <w:rFonts w:ascii="標楷體" w:eastAsia="標楷體" w:hAnsi="標楷體"/>
                <w:szCs w:val="24"/>
                <w:u w:val="single"/>
              </w:rPr>
              <w:t xml:space="preserve">　　　　　　　　　　　　　　　　</w:t>
            </w:r>
            <w:r w:rsidRPr="00732189">
              <w:rPr>
                <w:rFonts w:ascii="標楷體" w:eastAsia="標楷體" w:hAnsi="標楷體"/>
                <w:szCs w:val="24"/>
              </w:rPr>
              <w:t>劑量</w:t>
            </w:r>
            <w:r w:rsidRPr="00732189">
              <w:rPr>
                <w:rFonts w:ascii="標楷體" w:eastAsia="標楷體" w:hAnsi="標楷體"/>
                <w:szCs w:val="24"/>
                <w:u w:val="single"/>
              </w:rPr>
              <w:t xml:space="preserve">　　　　　　　　</w:t>
            </w:r>
            <w:r w:rsidRPr="00732189">
              <w:rPr>
                <w:rFonts w:ascii="標楷體" w:eastAsia="標楷體" w:hAnsi="標楷體"/>
                <w:szCs w:val="24"/>
              </w:rPr>
              <w:t>。</w:t>
            </w:r>
          </w:p>
          <w:p w14:paraId="5B072D01" w14:textId="77777777" w:rsidR="00FA0AC8" w:rsidRPr="00732189" w:rsidRDefault="00FA0AC8" w:rsidP="00DF18F3">
            <w:pPr>
              <w:snapToGrid w:val="0"/>
              <w:spacing w:line="240" w:lineRule="atLeast"/>
              <w:ind w:left="709"/>
              <w:rPr>
                <w:szCs w:val="24"/>
              </w:rPr>
            </w:pPr>
            <w:r w:rsidRPr="00732189">
              <w:rPr>
                <w:rFonts w:ascii="標楷體" w:eastAsia="標楷體" w:hAnsi="標楷體"/>
                <w:szCs w:val="24"/>
              </w:rPr>
              <w:t>第2種statin</w:t>
            </w:r>
            <w:r w:rsidRPr="00732189">
              <w:rPr>
                <w:rFonts w:ascii="標楷體" w:eastAsia="標楷體" w:hAnsi="標楷體"/>
                <w:szCs w:val="24"/>
                <w:u w:val="single"/>
              </w:rPr>
              <w:t xml:space="preserve">　　　　　　　　　　　　　　　　</w:t>
            </w:r>
            <w:r w:rsidRPr="00732189">
              <w:rPr>
                <w:rFonts w:ascii="標楷體" w:eastAsia="標楷體" w:hAnsi="標楷體"/>
                <w:szCs w:val="24"/>
              </w:rPr>
              <w:t>劑量</w:t>
            </w:r>
            <w:r w:rsidRPr="00732189">
              <w:rPr>
                <w:rFonts w:ascii="標楷體" w:eastAsia="標楷體" w:hAnsi="標楷體"/>
                <w:szCs w:val="24"/>
                <w:u w:val="single"/>
              </w:rPr>
              <w:t xml:space="preserve">　　　　　　　　</w:t>
            </w:r>
            <w:r w:rsidRPr="00732189">
              <w:rPr>
                <w:rFonts w:ascii="標楷體" w:eastAsia="標楷體" w:hAnsi="標楷體"/>
                <w:szCs w:val="24"/>
              </w:rPr>
              <w:t>。</w:t>
            </w:r>
          </w:p>
          <w:p w14:paraId="3D565CA6" w14:textId="77777777" w:rsidR="00FA0AC8" w:rsidRPr="00732189" w:rsidRDefault="00FA0AC8" w:rsidP="00DF18F3">
            <w:pPr>
              <w:snapToGrid w:val="0"/>
              <w:spacing w:line="240" w:lineRule="atLeast"/>
              <w:rPr>
                <w:szCs w:val="24"/>
              </w:rPr>
            </w:pPr>
            <w:r w:rsidRPr="00732189">
              <w:rPr>
                <w:rFonts w:ascii="標楷體" w:eastAsia="標楷體" w:hAnsi="標楷體"/>
                <w:szCs w:val="24"/>
              </w:rPr>
              <w:t>備註：</w:t>
            </w:r>
          </w:p>
          <w:p w14:paraId="352D2B9D" w14:textId="77777777" w:rsidR="00FA0AC8" w:rsidRPr="00732189" w:rsidRDefault="00FA0AC8" w:rsidP="00DF18F3">
            <w:pPr>
              <w:snapToGrid w:val="0"/>
              <w:spacing w:line="240" w:lineRule="atLeast"/>
              <w:ind w:left="179" w:hanging="179"/>
              <w:rPr>
                <w:szCs w:val="24"/>
              </w:rPr>
            </w:pPr>
            <w:r w:rsidRPr="00732189">
              <w:rPr>
                <w:rFonts w:ascii="標楷體" w:eastAsia="標楷體" w:hAnsi="標楷體"/>
                <w:szCs w:val="24"/>
              </w:rPr>
              <w:t xml:space="preserve">1.中華民國血脂及動脈硬化學會2019年之共識規定: Chien S-C et al., 2019 Taiwan Society of Lipids and Atherosclerosis expert consensus statement on statin intolerance, Journal of the Formosan Medical Association, </w:t>
            </w:r>
            <w:hyperlink r:id="rId9" w:history="1">
              <w:r w:rsidRPr="00732189">
                <w:rPr>
                  <w:rStyle w:val="af2"/>
                  <w:rFonts w:ascii="標楷體" w:eastAsia="標楷體" w:hAnsi="標楷體"/>
                  <w:szCs w:val="24"/>
                </w:rPr>
                <w:t>https://doi.org/10.1016/j.jfma.2018.11.017</w:t>
              </w:r>
            </w:hyperlink>
          </w:p>
          <w:p w14:paraId="20EF01AD" w14:textId="77777777" w:rsidR="00FA0AC8" w:rsidRPr="00732189" w:rsidRDefault="00FA0AC8" w:rsidP="00DF18F3">
            <w:pPr>
              <w:snapToGrid w:val="0"/>
              <w:spacing w:line="240" w:lineRule="atLeast"/>
              <w:ind w:left="179" w:hanging="179"/>
              <w:rPr>
                <w:szCs w:val="24"/>
              </w:rPr>
            </w:pPr>
            <w:r w:rsidRPr="00732189">
              <w:rPr>
                <w:rFonts w:ascii="標楷體" w:eastAsia="標楷體" w:hAnsi="標楷體"/>
                <w:szCs w:val="24"/>
              </w:rPr>
              <w:t xml:space="preserve">2.每日最低有效劑量之定義依2019臺灣statin intolerance共識會議為仿單上最低劑量，定義為rosuvastatin 5 mg, atorvastatin 10 mg, pravastatin 10 mg, lovastatin 20 mg, fluvastatin 20 mg, </w:t>
            </w:r>
            <w:proofErr w:type="spellStart"/>
            <w:r w:rsidRPr="00732189">
              <w:rPr>
                <w:rFonts w:ascii="標楷體" w:eastAsia="標楷體" w:hAnsi="標楷體"/>
                <w:szCs w:val="24"/>
              </w:rPr>
              <w:t>pitavastatin</w:t>
            </w:r>
            <w:proofErr w:type="spellEnd"/>
            <w:r w:rsidRPr="00732189">
              <w:rPr>
                <w:rFonts w:ascii="標楷體" w:eastAsia="標楷體" w:hAnsi="標楷體"/>
                <w:szCs w:val="24"/>
              </w:rPr>
              <w:t xml:space="preserve"> 1 mg, simvastatin 5 mg。另最低有效劑量可</w:t>
            </w:r>
            <w:proofErr w:type="gramStart"/>
            <w:r w:rsidRPr="00732189">
              <w:rPr>
                <w:rFonts w:ascii="標楷體" w:eastAsia="標楷體" w:hAnsi="標楷體"/>
                <w:szCs w:val="24"/>
              </w:rPr>
              <w:t>採</w:t>
            </w:r>
            <w:proofErr w:type="gramEnd"/>
            <w:r w:rsidRPr="00732189">
              <w:rPr>
                <w:rFonts w:ascii="標楷體" w:eastAsia="標楷體" w:hAnsi="標楷體"/>
                <w:szCs w:val="24"/>
              </w:rPr>
              <w:t xml:space="preserve">每週累積之最低劑量計算結果。reference: J </w:t>
            </w:r>
            <w:proofErr w:type="spellStart"/>
            <w:r w:rsidRPr="00732189">
              <w:rPr>
                <w:rFonts w:ascii="標楷體" w:eastAsia="標楷體" w:hAnsi="標楷體"/>
                <w:szCs w:val="24"/>
              </w:rPr>
              <w:t>Formos</w:t>
            </w:r>
            <w:proofErr w:type="spellEnd"/>
            <w:r w:rsidRPr="00732189">
              <w:rPr>
                <w:rFonts w:ascii="標楷體" w:eastAsia="標楷體" w:hAnsi="標楷體"/>
                <w:szCs w:val="24"/>
              </w:rPr>
              <w:t xml:space="preserve"> Med Assoc.2018.doi: 10.1016/j.jfma.2018.11.017.</w:t>
            </w:r>
          </w:p>
          <w:p w14:paraId="0C2002F2"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3.3 申請前一年內所有LDL-C之報告（首次申請者填寫）</w:t>
            </w:r>
          </w:p>
          <w:p w14:paraId="431DC120" w14:textId="77777777" w:rsidR="00FA0AC8" w:rsidRPr="00732189" w:rsidRDefault="00FA0AC8" w:rsidP="00DF18F3">
            <w:pPr>
              <w:pStyle w:val="af"/>
              <w:snapToGrid w:val="0"/>
              <w:spacing w:line="240" w:lineRule="atLeast"/>
              <w:rPr>
                <w:szCs w:val="24"/>
              </w:rPr>
            </w:pPr>
            <w:r w:rsidRPr="00732189">
              <w:rPr>
                <w:rFonts w:ascii="標楷體" w:eastAsia="標楷體" w:hAnsi="標楷體"/>
                <w:szCs w:val="24"/>
              </w:rPr>
              <w:t>第一次LDL-C為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r w:rsidRPr="00732189">
              <w:rPr>
                <w:rFonts w:ascii="標楷體" w:eastAsia="標楷體" w:hAnsi="標楷體"/>
                <w:szCs w:val="24"/>
              </w:rPr>
              <w:br/>
              <w:t>第二次LDL-C為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r w:rsidRPr="00732189">
              <w:rPr>
                <w:rFonts w:ascii="標楷體" w:eastAsia="標楷體" w:hAnsi="標楷體"/>
                <w:szCs w:val="24"/>
              </w:rPr>
              <w:br/>
              <w:t>第三次LDL-C為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r w:rsidRPr="00732189">
              <w:rPr>
                <w:rFonts w:ascii="標楷體" w:eastAsia="標楷體" w:hAnsi="標楷體"/>
                <w:szCs w:val="24"/>
              </w:rPr>
              <w:br/>
              <w:t>第四次LDL-C為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6786BFD7" w14:textId="77777777" w:rsidR="00FA0AC8" w:rsidRPr="00732189" w:rsidRDefault="00FA0AC8" w:rsidP="00DF18F3">
            <w:pPr>
              <w:snapToGrid w:val="0"/>
              <w:spacing w:line="240" w:lineRule="atLeast"/>
              <w:ind w:left="496" w:hanging="496"/>
              <w:rPr>
                <w:szCs w:val="24"/>
              </w:rPr>
            </w:pPr>
            <w:r w:rsidRPr="00732189">
              <w:rPr>
                <w:rFonts w:ascii="標楷體" w:eastAsia="標楷體" w:hAnsi="標楷體"/>
                <w:bCs/>
                <w:iCs/>
                <w:szCs w:val="24"/>
              </w:rPr>
              <w:t>3.4 首次使用PCSK9調節劑治療前之LDL-C報告及前次治療期間所有LDL-C之報告（再次申請者填寫）</w:t>
            </w:r>
          </w:p>
          <w:p w14:paraId="377A856E" w14:textId="77777777" w:rsidR="00FA0AC8" w:rsidRPr="00732189" w:rsidRDefault="00FA0AC8" w:rsidP="00DF18F3">
            <w:pPr>
              <w:snapToGrid w:val="0"/>
              <w:spacing w:before="108" w:line="240" w:lineRule="atLeast"/>
              <w:ind w:left="-120"/>
              <w:rPr>
                <w:szCs w:val="24"/>
              </w:rPr>
            </w:pPr>
            <w:r w:rsidRPr="00732189">
              <w:rPr>
                <w:rFonts w:ascii="標楷體" w:eastAsia="標楷體" w:hAnsi="標楷體"/>
                <w:szCs w:val="24"/>
              </w:rPr>
              <w:t xml:space="preserve">     首次使用前LDL-C為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725D9D22" w14:textId="77777777" w:rsidR="00FA0AC8" w:rsidRPr="00732189" w:rsidRDefault="00FA0AC8" w:rsidP="00DF18F3">
            <w:pPr>
              <w:snapToGrid w:val="0"/>
              <w:spacing w:before="108" w:line="240" w:lineRule="atLeast"/>
              <w:ind w:left="-360" w:firstLine="700"/>
              <w:rPr>
                <w:szCs w:val="24"/>
              </w:rPr>
            </w:pPr>
            <w:r w:rsidRPr="00732189">
              <w:rPr>
                <w:rFonts w:ascii="標楷體" w:eastAsia="標楷體" w:hAnsi="標楷體"/>
                <w:szCs w:val="24"/>
              </w:rPr>
              <w:t>治療後: 第一次LDL-C為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0C6208D5" w14:textId="77777777" w:rsidR="00FA0AC8" w:rsidRPr="00732189" w:rsidRDefault="00FA0AC8" w:rsidP="00DF18F3">
            <w:pPr>
              <w:snapToGrid w:val="0"/>
              <w:spacing w:line="240" w:lineRule="atLeast"/>
              <w:ind w:left="-240" w:firstLine="1680"/>
              <w:rPr>
                <w:szCs w:val="24"/>
              </w:rPr>
            </w:pPr>
            <w:r w:rsidRPr="00732189">
              <w:rPr>
                <w:rFonts w:ascii="標楷體" w:eastAsia="標楷體" w:hAnsi="標楷體"/>
                <w:szCs w:val="24"/>
              </w:rPr>
              <w:t>第二次LDL-C為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tc>
      </w:tr>
      <w:tr w:rsidR="00FA0AC8" w:rsidRPr="00732189" w14:paraId="53183F1F" w14:textId="77777777" w:rsidTr="00DF18F3">
        <w:trPr>
          <w:trHeight w:val="70"/>
        </w:trPr>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71B52"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lastRenderedPageBreak/>
              <w:t>四、申請使用PCSK9血脂調節劑種類</w:t>
            </w:r>
          </w:p>
          <w:p w14:paraId="3C3FDA5A" w14:textId="77777777" w:rsidR="00FA0AC8" w:rsidRPr="00732189" w:rsidRDefault="00FA0AC8" w:rsidP="00DF18F3">
            <w:pPr>
              <w:snapToGrid w:val="0"/>
              <w:spacing w:line="240" w:lineRule="atLeast"/>
              <w:rPr>
                <w:szCs w:val="24"/>
              </w:rPr>
            </w:pPr>
            <w:r w:rsidRPr="00732189">
              <w:rPr>
                <w:rFonts w:ascii="標楷體" w:eastAsia="標楷體" w:hAnsi="標楷體"/>
                <w:szCs w:val="24"/>
              </w:rPr>
              <w:t>因上述原因得申請PCSK9血脂調節劑治療，最高劑量為每兩</w:t>
            </w:r>
            <w:proofErr w:type="gramStart"/>
            <w:r w:rsidRPr="00732189">
              <w:rPr>
                <w:rFonts w:ascii="標楷體" w:eastAsia="標楷體" w:hAnsi="標楷體"/>
                <w:szCs w:val="24"/>
              </w:rPr>
              <w:t>週</w:t>
            </w:r>
            <w:proofErr w:type="gramEnd"/>
            <w:r w:rsidRPr="00732189">
              <w:rPr>
                <w:rFonts w:ascii="標楷體" w:eastAsia="標楷體" w:hAnsi="標楷體"/>
                <w:szCs w:val="24"/>
              </w:rPr>
              <w:t>使用1支。</w:t>
            </w:r>
            <w:proofErr w:type="gramStart"/>
            <w:r w:rsidRPr="00732189">
              <w:rPr>
                <w:rFonts w:ascii="標楷體" w:eastAsia="標楷體" w:hAnsi="標楷體"/>
                <w:szCs w:val="24"/>
              </w:rPr>
              <w:t>本類藥品</w:t>
            </w:r>
            <w:proofErr w:type="gramEnd"/>
            <w:r w:rsidRPr="00732189">
              <w:rPr>
                <w:rFonts w:ascii="標楷體" w:eastAsia="標楷體" w:hAnsi="標楷體"/>
                <w:szCs w:val="24"/>
              </w:rPr>
              <w:t>不可同時使用，僅得擇</w:t>
            </w:r>
            <w:proofErr w:type="gramStart"/>
            <w:r w:rsidRPr="00732189">
              <w:rPr>
                <w:rFonts w:ascii="標楷體" w:eastAsia="標楷體" w:hAnsi="標楷體"/>
                <w:szCs w:val="24"/>
              </w:rPr>
              <w:t>一</w:t>
            </w:r>
            <w:proofErr w:type="gramEnd"/>
            <w:r w:rsidRPr="00732189">
              <w:rPr>
                <w:rFonts w:ascii="標楷體" w:eastAsia="標楷體" w:hAnsi="標楷體"/>
                <w:szCs w:val="24"/>
              </w:rPr>
              <w:t>申請。申請藥物為</w:t>
            </w:r>
          </w:p>
          <w:p w14:paraId="78A8860F" w14:textId="77777777" w:rsidR="00FA0AC8" w:rsidRPr="00732189" w:rsidRDefault="00FA0AC8" w:rsidP="00DF18F3">
            <w:pPr>
              <w:snapToGrid w:val="0"/>
              <w:spacing w:line="240" w:lineRule="atLeast"/>
              <w:rPr>
                <w:szCs w:val="24"/>
              </w:rPr>
            </w:pPr>
            <w:r w:rsidRPr="00732189">
              <w:rPr>
                <w:rFonts w:ascii="標楷體" w:eastAsia="標楷體" w:hAnsi="標楷體"/>
                <w:szCs w:val="24"/>
              </w:rPr>
              <w:t xml:space="preserve">□ </w:t>
            </w:r>
            <w:proofErr w:type="spellStart"/>
            <w:r w:rsidRPr="00732189">
              <w:rPr>
                <w:rFonts w:ascii="標楷體" w:eastAsia="標楷體" w:hAnsi="標楷體"/>
                <w:szCs w:val="24"/>
              </w:rPr>
              <w:t>Praluent</w:t>
            </w:r>
            <w:proofErr w:type="spellEnd"/>
            <w:r w:rsidRPr="00732189">
              <w:rPr>
                <w:rFonts w:ascii="標楷體" w:eastAsia="標楷體" w:hAnsi="標楷體"/>
                <w:szCs w:val="24"/>
              </w:rPr>
              <w:t xml:space="preserve"> </w:t>
            </w:r>
            <w:proofErr w:type="gramStart"/>
            <w:r w:rsidRPr="00732189">
              <w:rPr>
                <w:rFonts w:ascii="標楷體" w:eastAsia="標楷體" w:hAnsi="標楷體"/>
                <w:szCs w:val="24"/>
              </w:rPr>
              <w:t>保脂通</w:t>
            </w:r>
            <w:proofErr w:type="gramEnd"/>
            <w:r w:rsidRPr="00732189">
              <w:rPr>
                <w:rFonts w:ascii="標楷體" w:eastAsia="標楷體" w:hAnsi="標楷體"/>
                <w:szCs w:val="24"/>
              </w:rPr>
              <w:t xml:space="preserve"> （Alirocumab），兩</w:t>
            </w:r>
            <w:proofErr w:type="gramStart"/>
            <w:r w:rsidRPr="00732189">
              <w:rPr>
                <w:rFonts w:ascii="標楷體" w:eastAsia="標楷體" w:hAnsi="標楷體"/>
                <w:szCs w:val="24"/>
              </w:rPr>
              <w:t>週</w:t>
            </w:r>
            <w:proofErr w:type="gramEnd"/>
            <w:r w:rsidRPr="00732189">
              <w:rPr>
                <w:rFonts w:ascii="標楷體" w:eastAsia="標楷體" w:hAnsi="標楷體"/>
                <w:szCs w:val="24"/>
              </w:rPr>
              <w:t>限使用1支</w:t>
            </w:r>
          </w:p>
          <w:p w14:paraId="742BE5B5" w14:textId="77777777" w:rsidR="00FA0AC8" w:rsidRPr="00732189" w:rsidRDefault="00FA0AC8" w:rsidP="00DF18F3">
            <w:pPr>
              <w:snapToGrid w:val="0"/>
              <w:spacing w:line="240" w:lineRule="atLeast"/>
              <w:rPr>
                <w:szCs w:val="24"/>
              </w:rPr>
            </w:pPr>
            <w:r w:rsidRPr="00732189">
              <w:rPr>
                <w:rFonts w:ascii="標楷體" w:eastAsia="標楷體" w:hAnsi="標楷體"/>
                <w:szCs w:val="24"/>
              </w:rPr>
              <w:t xml:space="preserve">□ Repatha </w:t>
            </w:r>
            <w:proofErr w:type="gramStart"/>
            <w:r w:rsidRPr="00732189">
              <w:rPr>
                <w:rFonts w:ascii="標楷體" w:eastAsia="標楷體" w:hAnsi="標楷體"/>
                <w:szCs w:val="24"/>
              </w:rPr>
              <w:t>瑞百安</w:t>
            </w:r>
            <w:proofErr w:type="gramEnd"/>
            <w:r w:rsidRPr="00732189">
              <w:rPr>
                <w:rFonts w:ascii="標楷體" w:eastAsia="標楷體" w:hAnsi="標楷體"/>
                <w:szCs w:val="24"/>
              </w:rPr>
              <w:t xml:space="preserve"> （</w:t>
            </w:r>
            <w:proofErr w:type="spellStart"/>
            <w:r w:rsidRPr="00732189">
              <w:rPr>
                <w:rFonts w:ascii="標楷體" w:eastAsia="標楷體" w:hAnsi="標楷體"/>
                <w:szCs w:val="24"/>
              </w:rPr>
              <w:t>Evolocumab</w:t>
            </w:r>
            <w:proofErr w:type="spellEnd"/>
            <w:r w:rsidRPr="00732189">
              <w:rPr>
                <w:rFonts w:ascii="標楷體" w:eastAsia="標楷體" w:hAnsi="標楷體"/>
                <w:szCs w:val="24"/>
              </w:rPr>
              <w:t>），兩</w:t>
            </w:r>
            <w:proofErr w:type="gramStart"/>
            <w:r w:rsidRPr="00732189">
              <w:rPr>
                <w:rFonts w:ascii="標楷體" w:eastAsia="標楷體" w:hAnsi="標楷體"/>
                <w:szCs w:val="24"/>
              </w:rPr>
              <w:t>週</w:t>
            </w:r>
            <w:proofErr w:type="gramEnd"/>
            <w:r w:rsidRPr="00732189">
              <w:rPr>
                <w:rFonts w:ascii="標楷體" w:eastAsia="標楷體" w:hAnsi="標楷體"/>
                <w:szCs w:val="24"/>
              </w:rPr>
              <w:t>限使用1支</w:t>
            </w:r>
          </w:p>
        </w:tc>
      </w:tr>
    </w:tbl>
    <w:p w14:paraId="643A7787" w14:textId="12378FC4" w:rsidR="00401786" w:rsidRPr="00692FEF" w:rsidRDefault="00C64FB3" w:rsidP="000E757E">
      <w:pPr>
        <w:pageBreakBefore/>
        <w:snapToGrid w:val="0"/>
        <w:spacing w:line="240" w:lineRule="atLeast"/>
        <w:jc w:val="both"/>
        <w:rPr>
          <w:b/>
          <w:bCs/>
          <w:szCs w:val="24"/>
        </w:rPr>
      </w:pPr>
      <w:r w:rsidRPr="00692FEF">
        <w:rPr>
          <w:rFonts w:ascii="標楷體" w:eastAsia="標楷體" w:hAnsi="標楷體" w:cs="標楷體"/>
          <w:b/>
          <w:bCs/>
          <w:color w:val="000000"/>
          <w:szCs w:val="24"/>
        </w:rPr>
        <w:lastRenderedPageBreak/>
        <w:t>附表三-</w:t>
      </w:r>
      <w:proofErr w:type="gramStart"/>
      <w:r w:rsidRPr="00692FEF">
        <w:rPr>
          <w:rFonts w:ascii="標楷體" w:eastAsia="標楷體" w:hAnsi="標楷體" w:cs="標楷體"/>
          <w:b/>
          <w:bCs/>
          <w:color w:val="000000"/>
          <w:szCs w:val="24"/>
        </w:rPr>
        <w:t>Ａ</w:t>
      </w:r>
      <w:proofErr w:type="gramEnd"/>
      <w:r w:rsidR="00692FEF">
        <w:rPr>
          <w:rFonts w:ascii="標楷體" w:eastAsia="標楷體" w:hAnsi="標楷體" w:cs="標楷體" w:hint="eastAsia"/>
          <w:b/>
          <w:bCs/>
          <w:color w:val="000000"/>
          <w:szCs w:val="24"/>
        </w:rPr>
        <w:t xml:space="preserve"> </w:t>
      </w:r>
      <w:r w:rsidRPr="00692FEF">
        <w:rPr>
          <w:rFonts w:ascii="標楷體" w:eastAsia="標楷體" w:hAnsi="標楷體" w:cs="標楷體"/>
          <w:b/>
          <w:bCs/>
          <w:color w:val="000000"/>
          <w:szCs w:val="24"/>
        </w:rPr>
        <w:t>全民健康保險使用維生素之醫治病症</w:t>
      </w:r>
    </w:p>
    <w:tbl>
      <w:tblPr>
        <w:tblW w:w="9072" w:type="dxa"/>
        <w:tblLayout w:type="fixed"/>
        <w:tblCellMar>
          <w:left w:w="10" w:type="dxa"/>
          <w:right w:w="10" w:type="dxa"/>
        </w:tblCellMar>
        <w:tblLook w:val="0000" w:firstRow="0" w:lastRow="0" w:firstColumn="0" w:lastColumn="0" w:noHBand="0" w:noVBand="0"/>
      </w:tblPr>
      <w:tblGrid>
        <w:gridCol w:w="2268"/>
        <w:gridCol w:w="6804"/>
      </w:tblGrid>
      <w:tr w:rsidR="00401786" w:rsidRPr="00732189" w14:paraId="2AA5101A" w14:textId="77777777">
        <w:tc>
          <w:tcPr>
            <w:tcW w:w="2268" w:type="dxa"/>
            <w:tcBorders>
              <w:top w:val="doub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2086C22"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藥品名稱</w:t>
            </w:r>
          </w:p>
        </w:tc>
        <w:tc>
          <w:tcPr>
            <w:tcW w:w="6804" w:type="dxa"/>
            <w:tcBorders>
              <w:top w:val="doub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8291205"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醫治病症</w:t>
            </w:r>
          </w:p>
        </w:tc>
      </w:tr>
      <w:tr w:rsidR="00401786" w:rsidRPr="00732189" w14:paraId="15EC68F6" w14:textId="77777777">
        <w:tc>
          <w:tcPr>
            <w:tcW w:w="2268"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9677776"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維生素A</w:t>
            </w:r>
          </w:p>
        </w:tc>
        <w:tc>
          <w:tcPr>
            <w:tcW w:w="6804"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15E9E51"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夜盲症、眼球乾燥症、角膜軟化症、皮膚角化異常症</w:t>
            </w:r>
          </w:p>
        </w:tc>
      </w:tr>
      <w:tr w:rsidR="00401786" w:rsidRPr="00732189" w14:paraId="6D0C1B56" w14:textId="77777777">
        <w:tc>
          <w:tcPr>
            <w:tcW w:w="2268"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9836F8C"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1</w:t>
            </w:r>
            <w:r w:rsidRPr="00732189">
              <w:rPr>
                <w:rFonts w:ascii="標楷體" w:eastAsia="標楷體" w:hAnsi="標楷體"/>
                <w:color w:val="000000"/>
                <w:szCs w:val="24"/>
              </w:rPr>
              <w:t>（89/2/1）</w:t>
            </w:r>
          </w:p>
        </w:tc>
        <w:tc>
          <w:tcPr>
            <w:tcW w:w="6804"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25B20F5"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1</w:t>
            </w:r>
            <w:r w:rsidRPr="00732189">
              <w:rPr>
                <w:rFonts w:ascii="標楷體" w:eastAsia="標楷體" w:hAnsi="標楷體"/>
                <w:color w:val="000000"/>
                <w:szCs w:val="24"/>
              </w:rPr>
              <w:t>（thiamine）缺乏症、營養吸收障礙症候群（</w:t>
            </w:r>
            <w:proofErr w:type="spellStart"/>
            <w:r w:rsidRPr="00732189">
              <w:rPr>
                <w:rFonts w:ascii="標楷體" w:eastAsia="標楷體" w:hAnsi="標楷體"/>
                <w:color w:val="000000"/>
                <w:szCs w:val="24"/>
              </w:rPr>
              <w:t>malabsorptionsyndrome</w:t>
            </w:r>
            <w:proofErr w:type="spellEnd"/>
            <w:r w:rsidRPr="00732189">
              <w:rPr>
                <w:rFonts w:ascii="標楷體" w:eastAsia="標楷體" w:hAnsi="標楷體"/>
                <w:color w:val="000000"/>
                <w:szCs w:val="24"/>
              </w:rPr>
              <w:t>）、或胰臟炎等需以全靜脈營養劑（</w:t>
            </w:r>
            <w:proofErr w:type="spellStart"/>
            <w:r w:rsidRPr="00732189">
              <w:rPr>
                <w:rFonts w:ascii="標楷體" w:eastAsia="標楷體" w:hAnsi="標楷體"/>
                <w:color w:val="000000"/>
                <w:szCs w:val="24"/>
              </w:rPr>
              <w:t>totalparenteralnutrition,TPN</w:t>
            </w:r>
            <w:proofErr w:type="spellEnd"/>
            <w:r w:rsidRPr="00732189">
              <w:rPr>
                <w:rFonts w:ascii="標楷體" w:eastAsia="標楷體" w:hAnsi="標楷體"/>
                <w:color w:val="000000"/>
                <w:szCs w:val="24"/>
              </w:rPr>
              <w:t>）提供營養支持之病患、酒精戒斷症候群（</w:t>
            </w:r>
            <w:proofErr w:type="spellStart"/>
            <w:r w:rsidRPr="00732189">
              <w:rPr>
                <w:rFonts w:ascii="標楷體" w:eastAsia="標楷體" w:hAnsi="標楷體"/>
                <w:color w:val="000000"/>
                <w:szCs w:val="24"/>
              </w:rPr>
              <w:t>alcoholwithdrawalsyndrome</w:t>
            </w:r>
            <w:proofErr w:type="spellEnd"/>
            <w:r w:rsidRPr="00732189">
              <w:rPr>
                <w:rFonts w:ascii="標楷體" w:eastAsia="標楷體" w:hAnsi="標楷體"/>
                <w:color w:val="000000"/>
                <w:szCs w:val="24"/>
              </w:rPr>
              <w:t>）。</w:t>
            </w:r>
          </w:p>
        </w:tc>
      </w:tr>
      <w:tr w:rsidR="00401786" w:rsidRPr="00732189" w14:paraId="2D0FE57F"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481A543"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2</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CADA7EB"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口角炎、維生素B</w:t>
            </w:r>
            <w:r w:rsidRPr="00732189">
              <w:rPr>
                <w:rFonts w:ascii="標楷體" w:eastAsia="標楷體" w:hAnsi="標楷體"/>
                <w:color w:val="000000"/>
                <w:szCs w:val="24"/>
                <w:vertAlign w:val="subscript"/>
              </w:rPr>
              <w:t>2</w:t>
            </w:r>
            <w:r w:rsidRPr="00732189">
              <w:rPr>
                <w:rFonts w:ascii="標楷體" w:eastAsia="標楷體" w:hAnsi="標楷體"/>
                <w:color w:val="000000"/>
                <w:szCs w:val="24"/>
              </w:rPr>
              <w:t>有效之皮膚病</w:t>
            </w:r>
          </w:p>
        </w:tc>
      </w:tr>
      <w:tr w:rsidR="00401786" w:rsidRPr="00732189" w14:paraId="20D58C2A"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5E40E2E"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6</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900DAC5"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妊娠嘔吐、維生素B</w:t>
            </w:r>
            <w:r w:rsidRPr="00732189">
              <w:rPr>
                <w:rFonts w:ascii="標楷體" w:eastAsia="標楷體" w:hAnsi="標楷體"/>
                <w:color w:val="000000"/>
                <w:szCs w:val="24"/>
                <w:vertAlign w:val="subscript"/>
              </w:rPr>
              <w:t>6</w:t>
            </w:r>
            <w:r w:rsidRPr="00732189">
              <w:rPr>
                <w:rFonts w:ascii="標楷體" w:eastAsia="標楷體" w:hAnsi="標楷體"/>
                <w:color w:val="000000"/>
                <w:szCs w:val="24"/>
              </w:rPr>
              <w:t>有效之皮膚炎、預防及治療其他藥品所引起神經病變。</w:t>
            </w:r>
          </w:p>
        </w:tc>
      </w:tr>
      <w:tr w:rsidR="00401786" w:rsidRPr="00732189" w14:paraId="25CC6471"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B6EDD82"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12</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7348B2F" w14:textId="77777777" w:rsidR="00401786" w:rsidRPr="00732189" w:rsidRDefault="00C64FB3" w:rsidP="000E757E">
            <w:pPr>
              <w:snapToGrid w:val="0"/>
              <w:spacing w:line="240" w:lineRule="atLeast"/>
              <w:rPr>
                <w:szCs w:val="24"/>
              </w:rPr>
            </w:pPr>
            <w:proofErr w:type="gramStart"/>
            <w:r w:rsidRPr="00732189">
              <w:rPr>
                <w:rFonts w:ascii="標楷體" w:eastAsia="標楷體" w:hAnsi="標楷體"/>
                <w:color w:val="000000"/>
                <w:szCs w:val="24"/>
              </w:rPr>
              <w:t>巨球性</w:t>
            </w:r>
            <w:proofErr w:type="gramEnd"/>
            <w:r w:rsidRPr="00732189">
              <w:rPr>
                <w:rFonts w:ascii="標楷體" w:eastAsia="標楷體" w:hAnsi="標楷體"/>
                <w:color w:val="000000"/>
                <w:szCs w:val="24"/>
              </w:rPr>
              <w:t>貧血、缺乏維生素B</w:t>
            </w:r>
            <w:r w:rsidRPr="00732189">
              <w:rPr>
                <w:rFonts w:ascii="標楷體" w:eastAsia="標楷體" w:hAnsi="標楷體"/>
                <w:color w:val="000000"/>
                <w:szCs w:val="24"/>
                <w:vertAlign w:val="subscript"/>
              </w:rPr>
              <w:t>12</w:t>
            </w:r>
            <w:r w:rsidRPr="00732189">
              <w:rPr>
                <w:rFonts w:ascii="標楷體" w:eastAsia="標楷體" w:hAnsi="標楷體"/>
                <w:color w:val="000000"/>
                <w:szCs w:val="24"/>
              </w:rPr>
              <w:t>引起之血液或神經病變。</w:t>
            </w:r>
          </w:p>
        </w:tc>
      </w:tr>
      <w:tr w:rsidR="00401786" w:rsidRPr="00732189" w14:paraId="2A2E3097"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D35F8C7"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維生素C</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A95A6D7"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壞血病</w:t>
            </w:r>
          </w:p>
        </w:tc>
      </w:tr>
      <w:tr w:rsidR="00401786" w:rsidRPr="00732189" w14:paraId="2C1A2B2E"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90AEA52"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維生素D</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2CC20FC"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佝僂病、骨軟化症、</w:t>
            </w:r>
            <w:proofErr w:type="gramStart"/>
            <w:r w:rsidRPr="00732189">
              <w:rPr>
                <w:rFonts w:ascii="標楷體" w:eastAsia="標楷體" w:hAnsi="標楷體"/>
                <w:color w:val="000000"/>
                <w:szCs w:val="24"/>
              </w:rPr>
              <w:t>尿毒症腎性骨質</w:t>
            </w:r>
            <w:proofErr w:type="gramEnd"/>
            <w:r w:rsidRPr="00732189">
              <w:rPr>
                <w:rFonts w:ascii="標楷體" w:eastAsia="標楷體" w:hAnsi="標楷體"/>
                <w:color w:val="000000"/>
                <w:szCs w:val="24"/>
              </w:rPr>
              <w:t>病變、副甲狀腺機能低下</w:t>
            </w:r>
          </w:p>
        </w:tc>
      </w:tr>
      <w:tr w:rsidR="00401786" w:rsidRPr="00732189" w14:paraId="4DCEA543"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2F75011"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維生素K</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4C7532C"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缺乏維生素K所致之出血症</w:t>
            </w:r>
          </w:p>
        </w:tc>
      </w:tr>
      <w:tr w:rsidR="00401786" w:rsidRPr="00732189" w14:paraId="7E710DD0"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A6E9DD"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菸鹼酸</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D6673B1" w14:textId="77777777" w:rsidR="00401786" w:rsidRPr="00732189" w:rsidRDefault="00C64FB3" w:rsidP="000E757E">
            <w:pPr>
              <w:snapToGrid w:val="0"/>
              <w:spacing w:line="240" w:lineRule="atLeast"/>
              <w:rPr>
                <w:szCs w:val="24"/>
              </w:rPr>
            </w:pPr>
            <w:proofErr w:type="gramStart"/>
            <w:r w:rsidRPr="00732189">
              <w:rPr>
                <w:rFonts w:ascii="標楷體" w:eastAsia="標楷體" w:hAnsi="標楷體"/>
                <w:color w:val="000000"/>
                <w:szCs w:val="24"/>
              </w:rPr>
              <w:t>癩皮症</w:t>
            </w:r>
            <w:proofErr w:type="gramEnd"/>
            <w:r w:rsidRPr="00732189">
              <w:rPr>
                <w:rFonts w:ascii="標楷體" w:eastAsia="標楷體" w:hAnsi="標楷體"/>
                <w:color w:val="000000"/>
                <w:szCs w:val="24"/>
              </w:rPr>
              <w:t>、血脂過高症</w:t>
            </w:r>
          </w:p>
        </w:tc>
      </w:tr>
      <w:tr w:rsidR="00401786" w:rsidRPr="00732189" w14:paraId="4CE13AC5" w14:textId="77777777">
        <w:tc>
          <w:tcPr>
            <w:tcW w:w="2268"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522BCD76"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葉酸</w:t>
            </w:r>
          </w:p>
        </w:tc>
        <w:tc>
          <w:tcPr>
            <w:tcW w:w="6804"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5760D18"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巨大紅血球貧血症、服用抗</w:t>
            </w:r>
            <w:proofErr w:type="gramStart"/>
            <w:r w:rsidRPr="00732189">
              <w:rPr>
                <w:rFonts w:ascii="標楷體" w:eastAsia="標楷體" w:hAnsi="標楷體"/>
                <w:color w:val="000000"/>
                <w:szCs w:val="24"/>
              </w:rPr>
              <w:t>痙</w:t>
            </w:r>
            <w:proofErr w:type="gramEnd"/>
            <w:r w:rsidRPr="00732189">
              <w:rPr>
                <w:rFonts w:ascii="標楷體" w:eastAsia="標楷體" w:hAnsi="標楷體"/>
                <w:color w:val="000000"/>
                <w:szCs w:val="24"/>
              </w:rPr>
              <w:t>劑phenytoin引起之葉酸缺乏或其預防。</w:t>
            </w:r>
          </w:p>
        </w:tc>
      </w:tr>
    </w:tbl>
    <w:p w14:paraId="77986484" w14:textId="77777777" w:rsidR="00401786" w:rsidRPr="00732189" w:rsidRDefault="00401786" w:rsidP="000E757E">
      <w:pPr>
        <w:snapToGrid w:val="0"/>
        <w:spacing w:line="240" w:lineRule="atLeast"/>
        <w:rPr>
          <w:rFonts w:ascii="標楷體" w:eastAsia="標楷體" w:hAnsi="標楷體"/>
          <w:color w:val="000000"/>
          <w:szCs w:val="24"/>
        </w:rPr>
      </w:pPr>
    </w:p>
    <w:p w14:paraId="2C550AB3" w14:textId="16994D4F" w:rsidR="00401786" w:rsidRPr="00692FEF" w:rsidRDefault="00C64FB3" w:rsidP="000E757E">
      <w:pPr>
        <w:pageBreakBefore/>
        <w:snapToGrid w:val="0"/>
        <w:spacing w:line="240" w:lineRule="atLeast"/>
        <w:jc w:val="both"/>
        <w:rPr>
          <w:b/>
          <w:bCs/>
        </w:rPr>
      </w:pPr>
      <w:r w:rsidRPr="00692FEF">
        <w:rPr>
          <w:rFonts w:ascii="標楷體" w:eastAsia="標楷體" w:hAnsi="標楷體" w:cs="標楷體"/>
          <w:b/>
          <w:bCs/>
          <w:color w:val="000000"/>
        </w:rPr>
        <w:lastRenderedPageBreak/>
        <w:t>附表三-</w:t>
      </w:r>
      <w:proofErr w:type="gramStart"/>
      <w:r w:rsidRPr="00692FEF">
        <w:rPr>
          <w:rFonts w:ascii="標楷體" w:eastAsia="標楷體" w:hAnsi="標楷體" w:cs="標楷體"/>
          <w:b/>
          <w:bCs/>
          <w:color w:val="000000"/>
        </w:rPr>
        <w:t>Ｂ</w:t>
      </w:r>
      <w:proofErr w:type="gramEnd"/>
      <w:r w:rsidR="00692FEF">
        <w:rPr>
          <w:rFonts w:ascii="標楷體" w:eastAsia="標楷體" w:hAnsi="標楷體" w:cs="標楷體" w:hint="eastAsia"/>
          <w:b/>
          <w:bCs/>
          <w:color w:val="000000"/>
        </w:rPr>
        <w:t xml:space="preserve"> </w:t>
      </w:r>
      <w:r w:rsidRPr="00692FEF">
        <w:rPr>
          <w:rFonts w:ascii="標楷體" w:eastAsia="標楷體" w:hAnsi="標楷體" w:cs="標楷體"/>
          <w:b/>
          <w:bCs/>
          <w:color w:val="000000"/>
        </w:rPr>
        <w:t>全民健康保險使用荷爾蒙之醫治病症</w:t>
      </w:r>
    </w:p>
    <w:tbl>
      <w:tblPr>
        <w:tblW w:w="9072" w:type="dxa"/>
        <w:tblLayout w:type="fixed"/>
        <w:tblCellMar>
          <w:left w:w="10" w:type="dxa"/>
          <w:right w:w="10" w:type="dxa"/>
        </w:tblCellMar>
        <w:tblLook w:val="0000" w:firstRow="0" w:lastRow="0" w:firstColumn="0" w:lastColumn="0" w:noHBand="0" w:noVBand="0"/>
      </w:tblPr>
      <w:tblGrid>
        <w:gridCol w:w="2268"/>
        <w:gridCol w:w="6804"/>
      </w:tblGrid>
      <w:tr w:rsidR="00401786" w14:paraId="22E5DCEC" w14:textId="77777777">
        <w:tc>
          <w:tcPr>
            <w:tcW w:w="2268" w:type="dxa"/>
            <w:tcBorders>
              <w:top w:val="doub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55883A7C" w14:textId="77777777" w:rsidR="00401786" w:rsidRDefault="00C64FB3" w:rsidP="000E757E">
            <w:pPr>
              <w:snapToGrid w:val="0"/>
              <w:spacing w:line="240" w:lineRule="atLeast"/>
            </w:pPr>
            <w:r>
              <w:rPr>
                <w:rFonts w:ascii="標楷體" w:eastAsia="標楷體" w:hAnsi="標楷體" w:cs="標楷體"/>
                <w:color w:val="000000"/>
              </w:rPr>
              <w:t>藥品名稱</w:t>
            </w:r>
          </w:p>
        </w:tc>
        <w:tc>
          <w:tcPr>
            <w:tcW w:w="6804" w:type="dxa"/>
            <w:tcBorders>
              <w:top w:val="doub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6388F7F" w14:textId="77777777" w:rsidR="00401786" w:rsidRDefault="00C64FB3" w:rsidP="000E757E">
            <w:pPr>
              <w:snapToGrid w:val="0"/>
              <w:spacing w:line="240" w:lineRule="atLeast"/>
            </w:pPr>
            <w:r>
              <w:rPr>
                <w:rFonts w:ascii="標楷體" w:eastAsia="標楷體" w:hAnsi="標楷體" w:cs="標楷體"/>
                <w:color w:val="000000"/>
              </w:rPr>
              <w:t>醫治病症</w:t>
            </w:r>
          </w:p>
        </w:tc>
      </w:tr>
      <w:tr w:rsidR="00401786" w14:paraId="32B4E9FA" w14:textId="77777777">
        <w:tc>
          <w:tcPr>
            <w:tcW w:w="2268"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758FEC8" w14:textId="77777777" w:rsidR="00401786" w:rsidRDefault="00C64FB3" w:rsidP="000E757E">
            <w:pPr>
              <w:snapToGrid w:val="0"/>
              <w:spacing w:line="240" w:lineRule="atLeast"/>
            </w:pPr>
            <w:r>
              <w:rPr>
                <w:rFonts w:ascii="標楷體" w:eastAsia="標楷體" w:hAnsi="標楷體" w:cs="標楷體"/>
                <w:color w:val="000000"/>
              </w:rPr>
              <w:t>女性荷爾蒙</w:t>
            </w:r>
          </w:p>
        </w:tc>
        <w:tc>
          <w:tcPr>
            <w:tcW w:w="6804"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C332F92" w14:textId="77777777" w:rsidR="00401786" w:rsidRDefault="00C64FB3" w:rsidP="000E757E">
            <w:pPr>
              <w:snapToGrid w:val="0"/>
              <w:spacing w:line="240" w:lineRule="atLeast"/>
            </w:pPr>
            <w:r>
              <w:rPr>
                <w:rFonts w:ascii="標楷體" w:eastAsia="標楷體" w:hAnsi="標楷體" w:cs="標楷體"/>
                <w:color w:val="000000"/>
              </w:rPr>
              <w:t>閉經、不孕症、乳癌、前列腺癌、子宮機能性出血、停經後荷爾蒙之補充、腦下垂體疾病引起之</w:t>
            </w:r>
            <w:proofErr w:type="gramStart"/>
            <w:r>
              <w:rPr>
                <w:rFonts w:ascii="標楷體" w:eastAsia="標楷體" w:hAnsi="標楷體" w:cs="標楷體"/>
                <w:color w:val="000000"/>
              </w:rPr>
              <w:t>無經症</w:t>
            </w:r>
            <w:proofErr w:type="gramEnd"/>
            <w:r>
              <w:rPr>
                <w:rFonts w:ascii="標楷體" w:eastAsia="標楷體" w:hAnsi="標楷體" w:cs="標楷體"/>
                <w:color w:val="000000"/>
              </w:rPr>
              <w:t>、有症狀之更年期症候群</w:t>
            </w:r>
          </w:p>
        </w:tc>
      </w:tr>
      <w:tr w:rsidR="00401786" w14:paraId="25C98509"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180F1E9" w14:textId="77777777" w:rsidR="00401786" w:rsidRDefault="00C64FB3" w:rsidP="000E757E">
            <w:pPr>
              <w:snapToGrid w:val="0"/>
              <w:spacing w:line="240" w:lineRule="atLeast"/>
            </w:pPr>
            <w:r>
              <w:rPr>
                <w:rFonts w:ascii="標楷體" w:eastAsia="標楷體" w:hAnsi="標楷體" w:cs="標楷體"/>
                <w:color w:val="000000"/>
              </w:rPr>
              <w:t>黃體荷爾蒙</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ACD6C89" w14:textId="77777777" w:rsidR="00401786" w:rsidRDefault="00C64FB3" w:rsidP="000E757E">
            <w:pPr>
              <w:snapToGrid w:val="0"/>
              <w:spacing w:line="240" w:lineRule="atLeast"/>
            </w:pPr>
            <w:r>
              <w:rPr>
                <w:rFonts w:ascii="標楷體" w:eastAsia="標楷體" w:hAnsi="標楷體" w:cs="標楷體"/>
                <w:color w:val="000000"/>
              </w:rPr>
              <w:t>流產、子宮機能性出血、不孕症、乳癌、子宮內膜異位、停經後婦女</w:t>
            </w:r>
          </w:p>
        </w:tc>
      </w:tr>
      <w:tr w:rsidR="00401786" w14:paraId="140C6D25" w14:textId="77777777">
        <w:tc>
          <w:tcPr>
            <w:tcW w:w="2268"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F0165C3" w14:textId="77777777" w:rsidR="00401786" w:rsidRDefault="00C64FB3" w:rsidP="000E757E">
            <w:pPr>
              <w:snapToGrid w:val="0"/>
              <w:spacing w:line="240" w:lineRule="atLeast"/>
            </w:pPr>
            <w:r>
              <w:rPr>
                <w:rFonts w:ascii="標楷體" w:eastAsia="標楷體" w:hAnsi="標楷體" w:cs="標楷體"/>
                <w:color w:val="000000"/>
              </w:rPr>
              <w:t>男性荷爾蒙</w:t>
            </w:r>
          </w:p>
        </w:tc>
        <w:tc>
          <w:tcPr>
            <w:tcW w:w="6804"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3A9CC39" w14:textId="77777777" w:rsidR="00401786" w:rsidRDefault="00C64FB3" w:rsidP="000E757E">
            <w:pPr>
              <w:snapToGrid w:val="0"/>
              <w:spacing w:line="240" w:lineRule="atLeast"/>
            </w:pPr>
            <w:r>
              <w:rPr>
                <w:rFonts w:ascii="標楷體" w:eastAsia="標楷體" w:hAnsi="標楷體" w:cs="標楷體"/>
                <w:color w:val="000000"/>
              </w:rPr>
              <w:t>乳癌、子宮機能性出血、再生不良性貧血、血小板低下症、腦下垂體功能不足</w:t>
            </w:r>
          </w:p>
        </w:tc>
      </w:tr>
    </w:tbl>
    <w:p w14:paraId="3BC3CE07" w14:textId="77777777" w:rsidR="00401786" w:rsidRDefault="00401786" w:rsidP="000E757E">
      <w:pPr>
        <w:snapToGrid w:val="0"/>
        <w:spacing w:line="240" w:lineRule="atLeast"/>
        <w:jc w:val="both"/>
        <w:rPr>
          <w:rFonts w:ascii="標楷體" w:eastAsia="標楷體" w:hAnsi="標楷體" w:cs="Arial"/>
        </w:rPr>
      </w:pPr>
    </w:p>
    <w:p w14:paraId="61C3B51D" w14:textId="1A10EE79" w:rsidR="00401786" w:rsidRPr="00692FEF" w:rsidRDefault="00C64FB3" w:rsidP="000E757E">
      <w:pPr>
        <w:pageBreakBefore/>
        <w:snapToGrid w:val="0"/>
        <w:spacing w:line="240" w:lineRule="atLeast"/>
        <w:jc w:val="both"/>
        <w:rPr>
          <w:b/>
          <w:bCs/>
        </w:rPr>
      </w:pPr>
      <w:r w:rsidRPr="00692FEF">
        <w:rPr>
          <w:rFonts w:ascii="標楷體" w:eastAsia="標楷體" w:hAnsi="標楷體"/>
          <w:b/>
          <w:bCs/>
          <w:color w:val="000000"/>
        </w:rPr>
        <w:lastRenderedPageBreak/>
        <w:t>附表四</w:t>
      </w:r>
      <w:r w:rsidR="00692FEF">
        <w:rPr>
          <w:rFonts w:ascii="標楷體" w:eastAsia="標楷體" w:hAnsi="標楷體" w:hint="eastAsia"/>
          <w:b/>
          <w:bCs/>
          <w:color w:val="000000"/>
        </w:rPr>
        <w:t xml:space="preserve"> </w:t>
      </w:r>
      <w:r w:rsidRPr="00692FEF">
        <w:rPr>
          <w:rFonts w:ascii="標楷體" w:eastAsia="標楷體" w:hAnsi="標楷體"/>
          <w:b/>
          <w:bCs/>
          <w:color w:val="000000"/>
        </w:rPr>
        <w:t>全民健康保險使用</w:t>
      </w:r>
      <w:proofErr w:type="spellStart"/>
      <w:r w:rsidRPr="00692FEF">
        <w:rPr>
          <w:rFonts w:ascii="標楷體" w:eastAsia="標楷體" w:hAnsi="標楷體"/>
          <w:b/>
          <w:bCs/>
          <w:color w:val="000000"/>
        </w:rPr>
        <w:t>HumanAlbumin</w:t>
      </w:r>
      <w:proofErr w:type="spellEnd"/>
      <w:r w:rsidRPr="00692FEF">
        <w:rPr>
          <w:rFonts w:ascii="標楷體" w:eastAsia="標楷體" w:hAnsi="標楷體"/>
          <w:b/>
          <w:bCs/>
          <w:color w:val="000000"/>
        </w:rPr>
        <w:t>申報表</w:t>
      </w:r>
    </w:p>
    <w:p w14:paraId="2C07F9D2" w14:textId="77777777" w:rsidR="00401786" w:rsidRDefault="00401786" w:rsidP="000E757E">
      <w:pPr>
        <w:snapToGrid w:val="0"/>
        <w:spacing w:line="240" w:lineRule="atLeast"/>
        <w:rPr>
          <w:rFonts w:ascii="標楷體" w:eastAsia="標楷體" w:hAnsi="標楷體"/>
          <w:color w:val="000000"/>
        </w:rPr>
      </w:pPr>
    </w:p>
    <w:tbl>
      <w:tblPr>
        <w:tblW w:w="9099" w:type="dxa"/>
        <w:tblLayout w:type="fixed"/>
        <w:tblCellMar>
          <w:left w:w="10" w:type="dxa"/>
          <w:right w:w="10" w:type="dxa"/>
        </w:tblCellMar>
        <w:tblLook w:val="0000" w:firstRow="0" w:lastRow="0" w:firstColumn="0" w:lastColumn="0" w:noHBand="0" w:noVBand="0"/>
      </w:tblPr>
      <w:tblGrid>
        <w:gridCol w:w="2008"/>
        <w:gridCol w:w="1080"/>
        <w:gridCol w:w="6011"/>
      </w:tblGrid>
      <w:tr w:rsidR="00401786" w14:paraId="1BC5F9CF" w14:textId="77777777">
        <w:tc>
          <w:tcPr>
            <w:tcW w:w="2008" w:type="dxa"/>
            <w:shd w:val="clear" w:color="auto" w:fill="auto"/>
            <w:tcMar>
              <w:top w:w="0" w:type="dxa"/>
              <w:left w:w="28" w:type="dxa"/>
              <w:bottom w:w="0" w:type="dxa"/>
              <w:right w:w="28" w:type="dxa"/>
            </w:tcMar>
          </w:tcPr>
          <w:p w14:paraId="4907B06D" w14:textId="77777777" w:rsidR="00401786" w:rsidRDefault="00401786" w:rsidP="000E757E">
            <w:pPr>
              <w:snapToGrid w:val="0"/>
              <w:spacing w:line="240" w:lineRule="atLeast"/>
              <w:rPr>
                <w:rFonts w:ascii="標楷體" w:eastAsia="標楷體" w:hAnsi="標楷體"/>
                <w:color w:val="000000"/>
              </w:rPr>
            </w:pPr>
          </w:p>
        </w:tc>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0815D9" w14:textId="77777777" w:rsidR="00401786" w:rsidRDefault="00C64FB3" w:rsidP="000E757E">
            <w:pPr>
              <w:snapToGrid w:val="0"/>
              <w:spacing w:line="240" w:lineRule="atLeast"/>
              <w:jc w:val="center"/>
            </w:pPr>
            <w:r>
              <w:rPr>
                <w:rFonts w:ascii="標楷體" w:eastAsia="標楷體" w:hAnsi="標楷體" w:cs="標楷體"/>
                <w:color w:val="000000"/>
              </w:rPr>
              <w:t>醫院</w:t>
            </w:r>
          </w:p>
        </w:tc>
        <w:tc>
          <w:tcPr>
            <w:tcW w:w="601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3AEDEA" w14:textId="77777777" w:rsidR="00401786" w:rsidRDefault="00401786" w:rsidP="000E757E">
            <w:pPr>
              <w:snapToGrid w:val="0"/>
              <w:spacing w:line="240" w:lineRule="atLeast"/>
              <w:rPr>
                <w:rFonts w:ascii="標楷體" w:eastAsia="標楷體" w:hAnsi="標楷體"/>
                <w:color w:val="000000"/>
              </w:rPr>
            </w:pPr>
          </w:p>
        </w:tc>
      </w:tr>
    </w:tbl>
    <w:p w14:paraId="150D3ED6" w14:textId="77777777" w:rsidR="00401786" w:rsidRDefault="00401786" w:rsidP="000E757E">
      <w:pPr>
        <w:snapToGrid w:val="0"/>
        <w:spacing w:line="240" w:lineRule="atLeast"/>
        <w:rPr>
          <w:rFonts w:ascii="標楷體" w:eastAsia="標楷體" w:hAnsi="標楷體"/>
          <w:color w:val="000000"/>
        </w:rPr>
      </w:pPr>
    </w:p>
    <w:tbl>
      <w:tblPr>
        <w:tblW w:w="9124" w:type="dxa"/>
        <w:tblLayout w:type="fixed"/>
        <w:tblCellMar>
          <w:left w:w="10" w:type="dxa"/>
          <w:right w:w="10" w:type="dxa"/>
        </w:tblCellMar>
        <w:tblLook w:val="0000" w:firstRow="0" w:lastRow="0" w:firstColumn="0" w:lastColumn="0" w:noHBand="0" w:noVBand="0"/>
      </w:tblPr>
      <w:tblGrid>
        <w:gridCol w:w="734"/>
        <w:gridCol w:w="734"/>
        <w:gridCol w:w="900"/>
        <w:gridCol w:w="900"/>
        <w:gridCol w:w="1464"/>
        <w:gridCol w:w="1956"/>
        <w:gridCol w:w="1218"/>
        <w:gridCol w:w="1218"/>
      </w:tblGrid>
      <w:tr w:rsidR="00401786" w14:paraId="55A2FEFD" w14:textId="77777777">
        <w:trPr>
          <w:cantSplit/>
        </w:trPr>
        <w:tc>
          <w:tcPr>
            <w:tcW w:w="1468"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3059E8" w14:textId="77777777" w:rsidR="00401786" w:rsidRDefault="00C64FB3" w:rsidP="000E757E">
            <w:pPr>
              <w:snapToGrid w:val="0"/>
              <w:spacing w:line="240" w:lineRule="atLeast"/>
            </w:pPr>
            <w:r>
              <w:rPr>
                <w:rFonts w:ascii="標楷體" w:eastAsia="標楷體" w:hAnsi="標楷體" w:cs="標楷體"/>
                <w:color w:val="000000"/>
              </w:rPr>
              <w:t>病人姓名</w:t>
            </w:r>
          </w:p>
        </w:tc>
        <w:tc>
          <w:tcPr>
            <w:tcW w:w="180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1F5DBAB" w14:textId="77777777" w:rsidR="00401786" w:rsidRDefault="00401786" w:rsidP="000E757E">
            <w:pPr>
              <w:snapToGrid w:val="0"/>
              <w:spacing w:line="240" w:lineRule="atLeast"/>
              <w:rPr>
                <w:rFonts w:ascii="標楷體" w:eastAsia="標楷體" w:hAnsi="標楷體"/>
                <w:color w:val="000000"/>
              </w:rPr>
            </w:pPr>
          </w:p>
        </w:tc>
        <w:tc>
          <w:tcPr>
            <w:tcW w:w="146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FF9066A" w14:textId="77777777" w:rsidR="00401786" w:rsidRDefault="00C64FB3" w:rsidP="000E757E">
            <w:pPr>
              <w:snapToGrid w:val="0"/>
              <w:spacing w:line="240" w:lineRule="atLeast"/>
            </w:pPr>
            <w:r>
              <w:rPr>
                <w:rFonts w:ascii="標楷體" w:eastAsia="標楷體" w:hAnsi="標楷體" w:cs="標楷體"/>
                <w:color w:val="000000"/>
              </w:rPr>
              <w:t>身分證號</w:t>
            </w:r>
          </w:p>
        </w:tc>
        <w:tc>
          <w:tcPr>
            <w:tcW w:w="195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F77DB6F" w14:textId="77777777" w:rsidR="00401786" w:rsidRDefault="00401786" w:rsidP="000E757E">
            <w:pPr>
              <w:snapToGrid w:val="0"/>
              <w:spacing w:line="240" w:lineRule="atLeast"/>
              <w:rPr>
                <w:rFonts w:ascii="標楷體" w:eastAsia="標楷體" w:hAnsi="標楷體"/>
                <w:color w:val="000000"/>
              </w:rPr>
            </w:pP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2A23BD" w14:textId="77777777" w:rsidR="00401786" w:rsidRDefault="00C64FB3" w:rsidP="000E757E">
            <w:pPr>
              <w:snapToGrid w:val="0"/>
              <w:spacing w:line="240" w:lineRule="atLeast"/>
            </w:pPr>
            <w:r>
              <w:rPr>
                <w:rFonts w:ascii="標楷體" w:eastAsia="標楷體" w:hAnsi="標楷體" w:cs="標楷體"/>
                <w:color w:val="000000"/>
              </w:rPr>
              <w:t>科別</w:t>
            </w: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FA9F183" w14:textId="77777777" w:rsidR="00401786" w:rsidRDefault="00401786" w:rsidP="000E757E">
            <w:pPr>
              <w:snapToGrid w:val="0"/>
              <w:spacing w:line="240" w:lineRule="atLeast"/>
              <w:rPr>
                <w:rFonts w:ascii="標楷體" w:eastAsia="標楷體" w:hAnsi="標楷體"/>
                <w:color w:val="000000"/>
              </w:rPr>
            </w:pPr>
          </w:p>
        </w:tc>
      </w:tr>
      <w:tr w:rsidR="00401786" w14:paraId="52CBDE3A" w14:textId="77777777">
        <w:tc>
          <w:tcPr>
            <w:tcW w:w="7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1D05ED" w14:textId="77777777" w:rsidR="00401786" w:rsidRDefault="00C64FB3" w:rsidP="000E757E">
            <w:pPr>
              <w:snapToGrid w:val="0"/>
              <w:spacing w:line="240" w:lineRule="atLeast"/>
            </w:pPr>
            <w:r>
              <w:rPr>
                <w:rFonts w:ascii="標楷體" w:eastAsia="標楷體" w:hAnsi="標楷體" w:cs="標楷體"/>
                <w:color w:val="000000"/>
              </w:rPr>
              <w:t>年齡</w:t>
            </w:r>
          </w:p>
        </w:tc>
        <w:tc>
          <w:tcPr>
            <w:tcW w:w="7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794305" w14:textId="77777777" w:rsidR="00401786" w:rsidRDefault="00401786" w:rsidP="000E757E">
            <w:pPr>
              <w:snapToGrid w:val="0"/>
              <w:spacing w:line="240" w:lineRule="atLeast"/>
              <w:rPr>
                <w:rFonts w:ascii="標楷體" w:eastAsia="標楷體" w:hAnsi="標楷體"/>
                <w:color w:val="000000"/>
              </w:rPr>
            </w:pPr>
          </w:p>
        </w:tc>
        <w:tc>
          <w:tcPr>
            <w:tcW w:w="90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0CDC33" w14:textId="77777777" w:rsidR="00401786" w:rsidRDefault="00C64FB3" w:rsidP="000E757E">
            <w:pPr>
              <w:snapToGrid w:val="0"/>
              <w:spacing w:line="240" w:lineRule="atLeast"/>
            </w:pPr>
            <w:r>
              <w:rPr>
                <w:rFonts w:ascii="標楷體" w:eastAsia="標楷體" w:hAnsi="標楷體" w:cs="標楷體"/>
                <w:color w:val="000000"/>
              </w:rPr>
              <w:t>性別</w:t>
            </w:r>
          </w:p>
        </w:tc>
        <w:tc>
          <w:tcPr>
            <w:tcW w:w="90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687202" w14:textId="77777777" w:rsidR="00401786" w:rsidRDefault="00401786" w:rsidP="000E757E">
            <w:pPr>
              <w:snapToGrid w:val="0"/>
              <w:spacing w:line="240" w:lineRule="atLeast"/>
              <w:rPr>
                <w:rFonts w:ascii="標楷體" w:eastAsia="標楷體" w:hAnsi="標楷體"/>
                <w:color w:val="000000"/>
              </w:rPr>
            </w:pPr>
          </w:p>
        </w:tc>
        <w:tc>
          <w:tcPr>
            <w:tcW w:w="146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EA9CA1" w14:textId="77777777" w:rsidR="00401786" w:rsidRDefault="00C64FB3" w:rsidP="000E757E">
            <w:pPr>
              <w:snapToGrid w:val="0"/>
              <w:spacing w:line="240" w:lineRule="atLeast"/>
            </w:pPr>
            <w:r>
              <w:rPr>
                <w:rFonts w:ascii="標楷體" w:eastAsia="標楷體" w:hAnsi="標楷體" w:cs="標楷體"/>
                <w:color w:val="000000"/>
              </w:rPr>
              <w:t>病房號</w:t>
            </w:r>
          </w:p>
        </w:tc>
        <w:tc>
          <w:tcPr>
            <w:tcW w:w="195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87A786" w14:textId="77777777" w:rsidR="00401786" w:rsidRDefault="00401786" w:rsidP="000E757E">
            <w:pPr>
              <w:snapToGrid w:val="0"/>
              <w:spacing w:line="240" w:lineRule="atLeast"/>
              <w:rPr>
                <w:rFonts w:ascii="標楷體" w:eastAsia="標楷體" w:hAnsi="標楷體"/>
                <w:color w:val="000000"/>
              </w:rPr>
            </w:pP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32B41F" w14:textId="77777777" w:rsidR="00401786" w:rsidRDefault="00C64FB3" w:rsidP="000E757E">
            <w:pPr>
              <w:snapToGrid w:val="0"/>
              <w:spacing w:line="240" w:lineRule="atLeast"/>
            </w:pPr>
            <w:r>
              <w:rPr>
                <w:rFonts w:ascii="標楷體" w:eastAsia="標楷體" w:hAnsi="標楷體" w:cs="標楷體"/>
                <w:color w:val="000000"/>
              </w:rPr>
              <w:t>門診</w:t>
            </w: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B34C73B" w14:textId="77777777" w:rsidR="00401786" w:rsidRDefault="00401786" w:rsidP="000E757E">
            <w:pPr>
              <w:snapToGrid w:val="0"/>
              <w:spacing w:line="240" w:lineRule="atLeast"/>
              <w:rPr>
                <w:rFonts w:ascii="標楷體" w:eastAsia="標楷體" w:hAnsi="標楷體"/>
                <w:color w:val="000000"/>
              </w:rPr>
            </w:pPr>
          </w:p>
        </w:tc>
      </w:tr>
    </w:tbl>
    <w:p w14:paraId="72192EF5" w14:textId="77777777" w:rsidR="00401786" w:rsidRDefault="00C64FB3" w:rsidP="000E757E">
      <w:pPr>
        <w:snapToGrid w:val="0"/>
        <w:spacing w:line="240" w:lineRule="atLeast"/>
      </w:pPr>
      <w:r>
        <w:rPr>
          <w:rFonts w:ascii="標楷體" w:eastAsia="標楷體" w:hAnsi="標楷體" w:cs="標楷體"/>
          <w:color w:val="000000"/>
        </w:rPr>
        <w:t>使用日期</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日至</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p>
    <w:p w14:paraId="4B2B6FAE" w14:textId="77777777" w:rsidR="00401786" w:rsidRDefault="00C64FB3" w:rsidP="000E757E">
      <w:pPr>
        <w:snapToGrid w:val="0"/>
        <w:spacing w:after="120" w:line="240" w:lineRule="atLeast"/>
      </w:pPr>
      <w:r>
        <w:rPr>
          <w:rFonts w:ascii="標楷體" w:eastAsia="標楷體" w:hAnsi="標楷體" w:cs="標楷體"/>
          <w:color w:val="000000"/>
        </w:rPr>
        <w:t>使用藥劑名稱及代碼</w:t>
      </w:r>
      <w:r>
        <w:rPr>
          <w:rFonts w:ascii="標楷體" w:eastAsia="標楷體" w:hAnsi="標楷體" w:cs="標楷體"/>
          <w:color w:val="000000"/>
          <w:u w:val="single"/>
        </w:rPr>
        <w:t xml:space="preserve">　　　　　　　　　　　　　　　</w:t>
      </w:r>
    </w:p>
    <w:tbl>
      <w:tblPr>
        <w:tblW w:w="9126" w:type="dxa"/>
        <w:tblLayout w:type="fixed"/>
        <w:tblCellMar>
          <w:left w:w="10" w:type="dxa"/>
          <w:right w:w="10" w:type="dxa"/>
        </w:tblCellMar>
        <w:tblLook w:val="0000" w:firstRow="0" w:lastRow="0" w:firstColumn="0" w:lastColumn="0" w:noHBand="0" w:noVBand="0"/>
      </w:tblPr>
      <w:tblGrid>
        <w:gridCol w:w="568"/>
        <w:gridCol w:w="4279"/>
        <w:gridCol w:w="4279"/>
      </w:tblGrid>
      <w:tr w:rsidR="00401786" w14:paraId="62629099" w14:textId="77777777">
        <w:trPr>
          <w:cantSplit/>
        </w:trPr>
        <w:tc>
          <w:tcPr>
            <w:tcW w:w="5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6837A8" w14:textId="77777777" w:rsidR="00401786" w:rsidRDefault="00C64FB3" w:rsidP="000E757E">
            <w:pPr>
              <w:snapToGrid w:val="0"/>
              <w:spacing w:line="240" w:lineRule="atLeast"/>
              <w:jc w:val="center"/>
            </w:pPr>
            <w:proofErr w:type="gramStart"/>
            <w:r>
              <w:rPr>
                <w:rFonts w:ascii="標楷體" w:eastAsia="標楷體" w:hAnsi="標楷體" w:cs="標楷體"/>
                <w:color w:val="000000"/>
              </w:rPr>
              <w:t>適</w:t>
            </w:r>
            <w:proofErr w:type="gramEnd"/>
          </w:p>
          <w:p w14:paraId="252C12E2" w14:textId="77777777" w:rsidR="00401786" w:rsidRDefault="00401786" w:rsidP="000E757E">
            <w:pPr>
              <w:snapToGrid w:val="0"/>
              <w:spacing w:line="240" w:lineRule="atLeast"/>
              <w:jc w:val="center"/>
              <w:rPr>
                <w:rFonts w:ascii="標楷體" w:eastAsia="標楷體" w:hAnsi="標楷體"/>
                <w:color w:val="000000"/>
              </w:rPr>
            </w:pPr>
          </w:p>
          <w:p w14:paraId="26DD1C54" w14:textId="77777777" w:rsidR="00401786" w:rsidRDefault="00401786" w:rsidP="000E757E">
            <w:pPr>
              <w:snapToGrid w:val="0"/>
              <w:spacing w:line="240" w:lineRule="atLeast"/>
              <w:jc w:val="center"/>
              <w:rPr>
                <w:rFonts w:ascii="標楷體" w:eastAsia="標楷體" w:hAnsi="標楷體"/>
                <w:color w:val="000000"/>
              </w:rPr>
            </w:pPr>
          </w:p>
          <w:p w14:paraId="0B948D26" w14:textId="77777777" w:rsidR="00401786" w:rsidRDefault="00C64FB3" w:rsidP="000E757E">
            <w:pPr>
              <w:snapToGrid w:val="0"/>
              <w:spacing w:line="240" w:lineRule="atLeast"/>
              <w:jc w:val="center"/>
            </w:pPr>
            <w:r>
              <w:rPr>
                <w:rFonts w:ascii="標楷體" w:eastAsia="標楷體" w:hAnsi="標楷體" w:cs="標楷體"/>
                <w:color w:val="000000"/>
              </w:rPr>
              <w:t>應</w:t>
            </w:r>
          </w:p>
          <w:p w14:paraId="5CF79AFB" w14:textId="77777777" w:rsidR="00401786" w:rsidRDefault="00401786" w:rsidP="000E757E">
            <w:pPr>
              <w:snapToGrid w:val="0"/>
              <w:spacing w:line="240" w:lineRule="atLeast"/>
              <w:jc w:val="center"/>
              <w:rPr>
                <w:rFonts w:ascii="標楷體" w:eastAsia="標楷體" w:hAnsi="標楷體"/>
                <w:color w:val="000000"/>
              </w:rPr>
            </w:pPr>
          </w:p>
          <w:p w14:paraId="22018785" w14:textId="77777777" w:rsidR="00401786" w:rsidRDefault="00401786" w:rsidP="000E757E">
            <w:pPr>
              <w:snapToGrid w:val="0"/>
              <w:spacing w:line="240" w:lineRule="atLeast"/>
              <w:jc w:val="center"/>
              <w:rPr>
                <w:rFonts w:ascii="標楷體" w:eastAsia="標楷體" w:hAnsi="標楷體"/>
                <w:color w:val="000000"/>
              </w:rPr>
            </w:pPr>
          </w:p>
          <w:p w14:paraId="2FB8C838" w14:textId="77777777" w:rsidR="00401786" w:rsidRDefault="00C64FB3" w:rsidP="000E757E">
            <w:pPr>
              <w:snapToGrid w:val="0"/>
              <w:spacing w:line="240" w:lineRule="atLeast"/>
              <w:jc w:val="center"/>
            </w:pPr>
            <w:r>
              <w:rPr>
                <w:rFonts w:ascii="標楷體" w:eastAsia="標楷體" w:hAnsi="標楷體" w:cs="標楷體"/>
                <w:color w:val="000000"/>
              </w:rPr>
              <w:t>症</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E5CA15" w14:textId="77777777" w:rsidR="00401786" w:rsidRDefault="00C64FB3" w:rsidP="000E757E">
            <w:pPr>
              <w:snapToGrid w:val="0"/>
              <w:spacing w:line="240" w:lineRule="atLeast"/>
            </w:pPr>
            <w:r>
              <w:rPr>
                <w:rFonts w:ascii="標楷體" w:eastAsia="標楷體" w:hAnsi="標楷體" w:cs="標楷體"/>
                <w:color w:val="000000"/>
              </w:rPr>
              <w:t>□</w:t>
            </w:r>
            <w:r>
              <w:rPr>
                <w:rFonts w:ascii="標楷體" w:eastAsia="標楷體" w:hAnsi="標楷體"/>
                <w:color w:val="000000"/>
              </w:rPr>
              <w:t>休克(限50gm)</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867B3F" w14:textId="77777777" w:rsidR="00401786" w:rsidRDefault="00C64FB3">
            <w:pPr>
              <w:numPr>
                <w:ilvl w:val="0"/>
                <w:numId w:val="45"/>
              </w:numPr>
              <w:snapToGrid w:val="0"/>
              <w:spacing w:line="240" w:lineRule="atLeast"/>
            </w:pPr>
            <w:r>
              <w:rPr>
                <w:rFonts w:ascii="標楷體" w:eastAsia="標楷體" w:hAnsi="標楷體"/>
                <w:color w:val="000000"/>
              </w:rPr>
              <w:t>A七十歲老人</w:t>
            </w:r>
          </w:p>
          <w:p w14:paraId="3232DDC7" w14:textId="77777777" w:rsidR="00401786" w:rsidRDefault="00C64FB3">
            <w:pPr>
              <w:numPr>
                <w:ilvl w:val="0"/>
                <w:numId w:val="45"/>
              </w:numPr>
              <w:snapToGrid w:val="0"/>
              <w:spacing w:line="240" w:lineRule="atLeast"/>
            </w:pPr>
            <w:r>
              <w:rPr>
                <w:rFonts w:ascii="標楷體" w:eastAsia="標楷體" w:hAnsi="標楷體"/>
                <w:color w:val="000000"/>
              </w:rPr>
              <w:t>B嬰幼兒</w:t>
            </w:r>
          </w:p>
          <w:p w14:paraId="6472F67B" w14:textId="77777777" w:rsidR="00401786" w:rsidRDefault="00C64FB3">
            <w:pPr>
              <w:numPr>
                <w:ilvl w:val="0"/>
                <w:numId w:val="45"/>
              </w:numPr>
              <w:snapToGrid w:val="0"/>
              <w:spacing w:line="240" w:lineRule="atLeast"/>
            </w:pPr>
            <w:r>
              <w:rPr>
                <w:rFonts w:ascii="標楷體" w:eastAsia="標楷體" w:hAnsi="標楷體"/>
                <w:color w:val="000000"/>
              </w:rPr>
              <w:t>C合併心衰竭</w:t>
            </w:r>
          </w:p>
          <w:p w14:paraId="2966A8B2" w14:textId="77777777" w:rsidR="00401786" w:rsidRDefault="00C64FB3">
            <w:pPr>
              <w:numPr>
                <w:ilvl w:val="0"/>
                <w:numId w:val="46"/>
              </w:numPr>
              <w:snapToGrid w:val="0"/>
              <w:spacing w:line="240" w:lineRule="atLeast"/>
            </w:pPr>
            <w:r>
              <w:rPr>
                <w:rFonts w:ascii="標楷體" w:eastAsia="標楷體" w:hAnsi="標楷體"/>
                <w:color w:val="000000"/>
              </w:rPr>
              <w:t>D其他休克病人已給生理鹽水等</w:t>
            </w:r>
          </w:p>
        </w:tc>
      </w:tr>
      <w:tr w:rsidR="00401786" w14:paraId="00F20AB2" w14:textId="77777777">
        <w:trPr>
          <w:cantSplit/>
        </w:trPr>
        <w:tc>
          <w:tcPr>
            <w:tcW w:w="5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5238E9" w14:textId="77777777" w:rsidR="00401786" w:rsidRDefault="00401786" w:rsidP="000E757E">
            <w:pPr>
              <w:snapToGrid w:val="0"/>
              <w:spacing w:line="240" w:lineRule="atLeast"/>
              <w:rPr>
                <w:rFonts w:ascii="標楷體" w:eastAsia="標楷體" w:hAnsi="標楷體"/>
                <w:color w:val="000000"/>
              </w:rPr>
            </w:pP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5E4219" w14:textId="77777777" w:rsidR="00401786" w:rsidRDefault="00C64FB3" w:rsidP="000E757E">
            <w:pPr>
              <w:snapToGrid w:val="0"/>
              <w:spacing w:line="240" w:lineRule="atLeast"/>
            </w:pPr>
            <w:r>
              <w:rPr>
                <w:rFonts w:ascii="標楷體" w:eastAsia="標楷體" w:hAnsi="標楷體" w:cs="標楷體"/>
                <w:color w:val="000000"/>
              </w:rPr>
              <w:t>□蛋白嚴重流失小</w:t>
            </w:r>
            <w:r>
              <w:rPr>
                <w:rFonts w:ascii="標楷體" w:eastAsia="標楷體" w:hAnsi="標楷體"/>
                <w:color w:val="000000"/>
              </w:rPr>
              <w:t>於2.5gm/dL</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1A91E0" w14:textId="77777777" w:rsidR="00401786" w:rsidRDefault="00C64FB3">
            <w:pPr>
              <w:numPr>
                <w:ilvl w:val="0"/>
                <w:numId w:val="45"/>
              </w:numPr>
              <w:snapToGrid w:val="0"/>
              <w:spacing w:line="240" w:lineRule="atLeast"/>
            </w:pPr>
            <w:r>
              <w:rPr>
                <w:rFonts w:ascii="標楷體" w:eastAsia="標楷體" w:hAnsi="標楷體"/>
                <w:color w:val="000000"/>
              </w:rPr>
              <w:t>E肝硬化症(每日限25gm)</w:t>
            </w:r>
          </w:p>
          <w:p w14:paraId="7C5AFB37" w14:textId="77777777" w:rsidR="00401786" w:rsidRDefault="00C64FB3">
            <w:pPr>
              <w:numPr>
                <w:ilvl w:val="0"/>
                <w:numId w:val="45"/>
              </w:numPr>
              <w:snapToGrid w:val="0"/>
              <w:spacing w:line="240" w:lineRule="atLeast"/>
              <w:rPr>
                <w:rFonts w:ascii="標楷體" w:eastAsia="標楷體" w:hAnsi="標楷體"/>
                <w:color w:val="000000"/>
              </w:rPr>
            </w:pPr>
            <w:r>
              <w:rPr>
                <w:rFonts w:ascii="標楷體" w:eastAsia="標楷體" w:hAnsi="標楷體"/>
                <w:color w:val="000000"/>
              </w:rPr>
              <w:t>F腎症候群(每日限25gm)</w:t>
            </w:r>
          </w:p>
          <w:p w14:paraId="496459B4" w14:textId="77777777" w:rsidR="00401786" w:rsidRDefault="00C64FB3">
            <w:pPr>
              <w:numPr>
                <w:ilvl w:val="0"/>
                <w:numId w:val="45"/>
              </w:numPr>
              <w:snapToGrid w:val="0"/>
              <w:spacing w:line="240" w:lineRule="atLeast"/>
            </w:pPr>
            <w:r>
              <w:rPr>
                <w:rFonts w:ascii="標楷體" w:eastAsia="標楷體" w:hAnsi="標楷體"/>
                <w:color w:val="000000"/>
              </w:rPr>
              <w:t>G嚴重燒、燙傷</w:t>
            </w:r>
          </w:p>
          <w:p w14:paraId="29D21773" w14:textId="77777777" w:rsidR="00401786" w:rsidRDefault="00C64FB3">
            <w:pPr>
              <w:numPr>
                <w:ilvl w:val="0"/>
                <w:numId w:val="47"/>
              </w:numPr>
              <w:snapToGrid w:val="0"/>
              <w:spacing w:line="240" w:lineRule="atLeast"/>
            </w:pPr>
            <w:r>
              <w:rPr>
                <w:rFonts w:ascii="標楷體" w:eastAsia="標楷體" w:hAnsi="標楷體"/>
                <w:color w:val="000000"/>
              </w:rPr>
              <w:t>H肝移植</w:t>
            </w:r>
          </w:p>
          <w:p w14:paraId="7BDA4E12" w14:textId="77777777" w:rsidR="00401786" w:rsidRDefault="00C64FB3">
            <w:pPr>
              <w:numPr>
                <w:ilvl w:val="0"/>
                <w:numId w:val="47"/>
              </w:numPr>
              <w:snapToGrid w:val="0"/>
              <w:spacing w:line="240" w:lineRule="atLeast"/>
              <w:rPr>
                <w:rFonts w:ascii="標楷體" w:eastAsia="標楷體" w:hAnsi="標楷體"/>
                <w:color w:val="000000"/>
              </w:rPr>
            </w:pPr>
            <w:r>
              <w:rPr>
                <w:rFonts w:ascii="標楷體" w:eastAsia="標楷體" w:hAnsi="標楷體"/>
                <w:color w:val="000000"/>
              </w:rPr>
              <w:t>I蛋白質</w:t>
            </w:r>
            <w:proofErr w:type="gramStart"/>
            <w:r>
              <w:rPr>
                <w:rFonts w:ascii="標楷體" w:eastAsia="標楷體" w:hAnsi="標楷體"/>
                <w:color w:val="000000"/>
              </w:rPr>
              <w:t>流失性腸症</w:t>
            </w:r>
            <w:proofErr w:type="gramEnd"/>
          </w:p>
        </w:tc>
      </w:tr>
      <w:tr w:rsidR="00401786" w14:paraId="7416811C" w14:textId="77777777">
        <w:trPr>
          <w:cantSplit/>
        </w:trPr>
        <w:tc>
          <w:tcPr>
            <w:tcW w:w="5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90EF68" w14:textId="77777777" w:rsidR="00401786" w:rsidRDefault="00401786" w:rsidP="000E757E">
            <w:pPr>
              <w:snapToGrid w:val="0"/>
              <w:spacing w:line="240" w:lineRule="atLeast"/>
              <w:rPr>
                <w:rFonts w:ascii="標楷體" w:eastAsia="標楷體" w:hAnsi="標楷體"/>
                <w:color w:val="000000"/>
              </w:rPr>
            </w:pP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3D5115" w14:textId="77777777" w:rsidR="00401786" w:rsidRDefault="00C64FB3" w:rsidP="000E757E">
            <w:pPr>
              <w:snapToGrid w:val="0"/>
              <w:spacing w:line="240" w:lineRule="atLeast"/>
            </w:pPr>
            <w:r>
              <w:rPr>
                <w:rFonts w:ascii="標楷體" w:eastAsia="標楷體" w:hAnsi="標楷體" w:cs="標楷體"/>
                <w:color w:val="000000"/>
              </w:rPr>
              <w:t>□蛋白嚴重流失小於</w:t>
            </w:r>
            <w:r>
              <w:rPr>
                <w:rFonts w:ascii="標楷體" w:eastAsia="標楷體" w:hAnsi="標楷體"/>
                <w:color w:val="000000"/>
              </w:rPr>
              <w:t>3.0gm/dL</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5C71F0" w14:textId="77777777" w:rsidR="00401786" w:rsidRDefault="00C64FB3">
            <w:pPr>
              <w:numPr>
                <w:ilvl w:val="0"/>
                <w:numId w:val="45"/>
              </w:numPr>
              <w:snapToGrid w:val="0"/>
              <w:spacing w:line="240" w:lineRule="atLeast"/>
            </w:pPr>
            <w:r>
              <w:rPr>
                <w:rFonts w:ascii="標楷體" w:eastAsia="標楷體" w:hAnsi="標楷體"/>
                <w:color w:val="000000"/>
              </w:rPr>
              <w:t>J嚴重肺水腫</w:t>
            </w:r>
          </w:p>
          <w:p w14:paraId="3F8BDFD3" w14:textId="77777777" w:rsidR="00401786" w:rsidRDefault="00C64FB3">
            <w:pPr>
              <w:numPr>
                <w:ilvl w:val="0"/>
                <w:numId w:val="48"/>
              </w:numPr>
              <w:snapToGrid w:val="0"/>
              <w:spacing w:line="240" w:lineRule="atLeast"/>
            </w:pPr>
            <w:r>
              <w:rPr>
                <w:rFonts w:ascii="標楷體" w:eastAsia="標楷體" w:hAnsi="標楷體"/>
                <w:color w:val="000000"/>
              </w:rPr>
              <w:t>K</w:t>
            </w:r>
            <w:proofErr w:type="gramStart"/>
            <w:r>
              <w:rPr>
                <w:rFonts w:ascii="標楷體" w:eastAsia="標楷體" w:hAnsi="標楷體"/>
                <w:color w:val="000000"/>
              </w:rPr>
              <w:t>大量肝</w:t>
            </w:r>
            <w:proofErr w:type="gramEnd"/>
            <w:r>
              <w:rPr>
                <w:rFonts w:ascii="標楷體" w:eastAsia="標楷體" w:hAnsi="標楷體"/>
                <w:color w:val="000000"/>
              </w:rPr>
              <w:t>切除</w:t>
            </w:r>
          </w:p>
        </w:tc>
      </w:tr>
      <w:tr w:rsidR="00401786" w14:paraId="53507423" w14:textId="77777777">
        <w:trPr>
          <w:cantSplit/>
        </w:trPr>
        <w:tc>
          <w:tcPr>
            <w:tcW w:w="5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3F8C0" w14:textId="77777777" w:rsidR="00401786" w:rsidRDefault="00401786" w:rsidP="000E757E">
            <w:pPr>
              <w:snapToGrid w:val="0"/>
              <w:spacing w:line="240" w:lineRule="atLeast"/>
              <w:rPr>
                <w:rFonts w:ascii="標楷體" w:eastAsia="標楷體" w:hAnsi="標楷體"/>
                <w:color w:val="000000"/>
              </w:rPr>
            </w:pPr>
          </w:p>
        </w:tc>
        <w:tc>
          <w:tcPr>
            <w:tcW w:w="85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4A8EAD" w14:textId="77777777" w:rsidR="00401786" w:rsidRDefault="00C64FB3" w:rsidP="000E757E">
            <w:pPr>
              <w:snapToGrid w:val="0"/>
              <w:spacing w:line="240" w:lineRule="atLeast"/>
            </w:pPr>
            <w:r>
              <w:rPr>
                <w:rFonts w:ascii="標楷體" w:eastAsia="標楷體" w:hAnsi="標楷體" w:cs="標楷體"/>
                <w:color w:val="000000"/>
              </w:rPr>
              <w:t>□</w:t>
            </w:r>
            <w:r>
              <w:rPr>
                <w:rFonts w:ascii="標楷體" w:eastAsia="標楷體" w:hAnsi="標楷體"/>
                <w:color w:val="000000"/>
              </w:rPr>
              <w:t>開心手術(限37.5gm)</w:t>
            </w:r>
          </w:p>
        </w:tc>
      </w:tr>
    </w:tbl>
    <w:p w14:paraId="50845521" w14:textId="77777777" w:rsidR="00401786" w:rsidRDefault="00401786" w:rsidP="000E757E">
      <w:pPr>
        <w:snapToGrid w:val="0"/>
        <w:spacing w:line="240" w:lineRule="atLeast"/>
        <w:rPr>
          <w:rFonts w:ascii="標楷體" w:eastAsia="標楷體" w:hAnsi="標楷體"/>
          <w:color w:val="000000"/>
        </w:rPr>
      </w:pPr>
    </w:p>
    <w:tbl>
      <w:tblPr>
        <w:tblW w:w="9126" w:type="dxa"/>
        <w:tblLayout w:type="fixed"/>
        <w:tblCellMar>
          <w:left w:w="10" w:type="dxa"/>
          <w:right w:w="10" w:type="dxa"/>
        </w:tblCellMar>
        <w:tblLook w:val="0000" w:firstRow="0" w:lastRow="0" w:firstColumn="0" w:lastColumn="0" w:noHBand="0" w:noVBand="0"/>
      </w:tblPr>
      <w:tblGrid>
        <w:gridCol w:w="568"/>
        <w:gridCol w:w="2474"/>
        <w:gridCol w:w="1521"/>
        <w:gridCol w:w="1521"/>
        <w:gridCol w:w="1521"/>
        <w:gridCol w:w="1521"/>
      </w:tblGrid>
      <w:tr w:rsidR="00401786" w14:paraId="58145FDC" w14:textId="77777777">
        <w:trPr>
          <w:cantSplit/>
          <w:trHeight w:val="292"/>
        </w:trPr>
        <w:tc>
          <w:tcPr>
            <w:tcW w:w="56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C2BAD6" w14:textId="77777777" w:rsidR="00401786" w:rsidRDefault="00C64FB3" w:rsidP="000E757E">
            <w:pPr>
              <w:snapToGrid w:val="0"/>
              <w:spacing w:line="240" w:lineRule="atLeast"/>
              <w:jc w:val="center"/>
            </w:pPr>
            <w:r>
              <w:rPr>
                <w:rFonts w:ascii="標楷體" w:eastAsia="標楷體" w:hAnsi="標楷體" w:cs="標楷體"/>
                <w:color w:val="000000"/>
              </w:rPr>
              <w:t>用</w:t>
            </w:r>
          </w:p>
          <w:p w14:paraId="6C869A80" w14:textId="77777777" w:rsidR="00401786" w:rsidRDefault="00401786" w:rsidP="000E757E">
            <w:pPr>
              <w:snapToGrid w:val="0"/>
              <w:spacing w:line="240" w:lineRule="atLeast"/>
              <w:jc w:val="center"/>
              <w:rPr>
                <w:rFonts w:ascii="標楷體" w:eastAsia="標楷體" w:hAnsi="標楷體"/>
                <w:color w:val="000000"/>
              </w:rPr>
            </w:pPr>
          </w:p>
          <w:p w14:paraId="02E21CF6" w14:textId="77777777" w:rsidR="00401786" w:rsidRDefault="00401786" w:rsidP="000E757E">
            <w:pPr>
              <w:snapToGrid w:val="0"/>
              <w:spacing w:line="240" w:lineRule="atLeast"/>
              <w:jc w:val="center"/>
              <w:rPr>
                <w:rFonts w:ascii="標楷體" w:eastAsia="標楷體" w:hAnsi="標楷體"/>
                <w:color w:val="000000"/>
              </w:rPr>
            </w:pPr>
          </w:p>
          <w:p w14:paraId="377DB19B" w14:textId="77777777" w:rsidR="00401786" w:rsidRDefault="00C64FB3" w:rsidP="000E757E">
            <w:pPr>
              <w:snapToGrid w:val="0"/>
              <w:spacing w:line="240" w:lineRule="atLeast"/>
              <w:jc w:val="center"/>
            </w:pPr>
            <w:r>
              <w:rPr>
                <w:rFonts w:ascii="標楷體" w:eastAsia="標楷體" w:hAnsi="標楷體" w:cs="標楷體"/>
                <w:color w:val="000000"/>
              </w:rPr>
              <w:t>量</w:t>
            </w: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134F8A" w14:textId="77777777" w:rsidR="00401786" w:rsidRDefault="00C64FB3" w:rsidP="000E757E">
            <w:pPr>
              <w:snapToGrid w:val="0"/>
              <w:spacing w:line="240" w:lineRule="atLeast"/>
              <w:jc w:val="center"/>
            </w:pPr>
            <w:r>
              <w:rPr>
                <w:rFonts w:ascii="標楷體" w:eastAsia="標楷體" w:hAnsi="標楷體" w:cs="標楷體"/>
                <w:color w:val="000000"/>
              </w:rPr>
              <w:t>日　　期</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DF55DF" w14:textId="77777777" w:rsidR="00401786" w:rsidRDefault="00C64FB3" w:rsidP="000E757E">
            <w:pPr>
              <w:snapToGrid w:val="0"/>
              <w:spacing w:line="240" w:lineRule="atLeast"/>
              <w:jc w:val="center"/>
            </w:pPr>
            <w:r>
              <w:rPr>
                <w:rFonts w:ascii="標楷體" w:eastAsia="標楷體" w:hAnsi="標楷體" w:cs="標楷體"/>
                <w:color w:val="000000"/>
              </w:rPr>
              <w:t>用量（瓶）</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EE25DB" w14:textId="77777777" w:rsidR="00401786" w:rsidRDefault="00C64FB3" w:rsidP="000E757E">
            <w:pPr>
              <w:snapToGrid w:val="0"/>
              <w:spacing w:line="240" w:lineRule="atLeast"/>
              <w:jc w:val="center"/>
            </w:pPr>
            <w:r>
              <w:rPr>
                <w:rFonts w:ascii="標楷體" w:eastAsia="標楷體" w:hAnsi="標楷體"/>
                <w:color w:val="000000"/>
              </w:rPr>
              <w:t>檢驗結果A/G(gm/dL)</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2EEDDE" w14:textId="77777777" w:rsidR="00401786" w:rsidRDefault="00C64FB3" w:rsidP="000E757E">
            <w:pPr>
              <w:snapToGrid w:val="0"/>
              <w:spacing w:line="240" w:lineRule="atLeast"/>
              <w:jc w:val="center"/>
            </w:pPr>
            <w:r>
              <w:rPr>
                <w:rFonts w:ascii="標楷體" w:eastAsia="標楷體" w:hAnsi="標楷體" w:cs="標楷體"/>
                <w:color w:val="000000"/>
              </w:rPr>
              <w:t>檢查日期</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68370B" w14:textId="77777777" w:rsidR="00401786" w:rsidRDefault="00C64FB3" w:rsidP="000E757E">
            <w:pPr>
              <w:snapToGrid w:val="0"/>
              <w:spacing w:line="240" w:lineRule="atLeast"/>
              <w:jc w:val="center"/>
            </w:pPr>
            <w:r>
              <w:rPr>
                <w:rFonts w:ascii="標楷體" w:eastAsia="標楷體" w:hAnsi="標楷體" w:cs="標楷體"/>
                <w:color w:val="000000"/>
              </w:rPr>
              <w:t>審核結果</w:t>
            </w:r>
          </w:p>
        </w:tc>
      </w:tr>
      <w:tr w:rsidR="00401786" w14:paraId="087B1EB9" w14:textId="77777777">
        <w:trPr>
          <w:cantSplit/>
          <w:trHeight w:val="370"/>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AE63F9"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3E1442" w14:textId="77777777" w:rsidR="00401786" w:rsidRDefault="00C64FB3" w:rsidP="000E757E">
            <w:pPr>
              <w:snapToGrid w:val="0"/>
              <w:spacing w:line="240" w:lineRule="atLeast"/>
            </w:pPr>
            <w:r>
              <w:rPr>
                <w:rFonts w:ascii="標楷體" w:eastAsia="標楷體" w:hAnsi="標楷體" w:cs="標楷體"/>
                <w:color w:val="000000"/>
              </w:rPr>
              <w:t xml:space="preserve">　　年　　月　　日</w:t>
            </w: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19C08C9" w14:textId="77777777" w:rsidR="00401786" w:rsidRDefault="00401786" w:rsidP="000E757E">
            <w:pPr>
              <w:snapToGrid w:val="0"/>
              <w:spacing w:line="240" w:lineRule="atLeast"/>
              <w:rPr>
                <w:rFonts w:ascii="標楷體" w:eastAsia="標楷體" w:hAnsi="標楷體"/>
                <w:color w:val="000000"/>
              </w:rPr>
            </w:pP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A09D492" w14:textId="77777777" w:rsidR="00401786" w:rsidRDefault="00401786" w:rsidP="000E757E">
            <w:pPr>
              <w:snapToGrid w:val="0"/>
              <w:spacing w:line="240" w:lineRule="atLeast"/>
              <w:rPr>
                <w:rFonts w:ascii="標楷體" w:eastAsia="標楷體" w:hAnsi="標楷體"/>
                <w:color w:val="000000"/>
              </w:rPr>
            </w:pP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2CBECD" w14:textId="77777777" w:rsidR="00401786" w:rsidRDefault="00401786" w:rsidP="000E757E">
            <w:pPr>
              <w:snapToGrid w:val="0"/>
              <w:spacing w:line="240" w:lineRule="atLeast"/>
              <w:rPr>
                <w:rFonts w:ascii="標楷體" w:eastAsia="標楷體" w:hAnsi="標楷體"/>
                <w:color w:val="000000"/>
              </w:rPr>
            </w:pP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A0AF8A" w14:textId="77777777" w:rsidR="00401786" w:rsidRDefault="00401786" w:rsidP="000E757E">
            <w:pPr>
              <w:snapToGrid w:val="0"/>
              <w:spacing w:line="240" w:lineRule="atLeast"/>
              <w:rPr>
                <w:rFonts w:ascii="標楷體" w:eastAsia="標楷體" w:hAnsi="標楷體"/>
                <w:color w:val="000000"/>
              </w:rPr>
            </w:pPr>
          </w:p>
        </w:tc>
      </w:tr>
      <w:tr w:rsidR="00401786" w14:paraId="168CD85C" w14:textId="77777777">
        <w:trPr>
          <w:cantSplit/>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564DA9"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EE3DE9"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C9F4A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BC734E"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A044B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279D27E" w14:textId="77777777" w:rsidR="00401786" w:rsidRDefault="00401786" w:rsidP="000E757E">
            <w:pPr>
              <w:snapToGrid w:val="0"/>
              <w:spacing w:line="240" w:lineRule="atLeast"/>
              <w:rPr>
                <w:rFonts w:ascii="標楷體" w:eastAsia="標楷體" w:hAnsi="標楷體"/>
                <w:color w:val="000000"/>
              </w:rPr>
            </w:pPr>
          </w:p>
        </w:tc>
      </w:tr>
      <w:tr w:rsidR="00401786" w14:paraId="65635501" w14:textId="77777777">
        <w:trPr>
          <w:cantSplit/>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454F7D3"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AB41F30"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1D3D7F"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CCE870"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FDC61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A60D92" w14:textId="77777777" w:rsidR="00401786" w:rsidRDefault="00401786" w:rsidP="000E757E">
            <w:pPr>
              <w:snapToGrid w:val="0"/>
              <w:spacing w:line="240" w:lineRule="atLeast"/>
              <w:rPr>
                <w:rFonts w:ascii="標楷體" w:eastAsia="標楷體" w:hAnsi="標楷體"/>
                <w:color w:val="000000"/>
              </w:rPr>
            </w:pPr>
          </w:p>
        </w:tc>
      </w:tr>
      <w:tr w:rsidR="00401786" w14:paraId="0820D18C" w14:textId="77777777">
        <w:trPr>
          <w:cantSplit/>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C105B2"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043A95"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483374"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EAD45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E1CADB"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2FE995" w14:textId="77777777" w:rsidR="00401786" w:rsidRDefault="00401786" w:rsidP="000E757E">
            <w:pPr>
              <w:snapToGrid w:val="0"/>
              <w:spacing w:line="240" w:lineRule="atLeast"/>
              <w:rPr>
                <w:rFonts w:ascii="標楷體" w:eastAsia="標楷體" w:hAnsi="標楷體"/>
                <w:color w:val="000000"/>
              </w:rPr>
            </w:pPr>
          </w:p>
        </w:tc>
      </w:tr>
      <w:tr w:rsidR="00401786" w14:paraId="58335829" w14:textId="77777777">
        <w:trPr>
          <w:cantSplit/>
          <w:trHeight w:val="979"/>
        </w:trPr>
        <w:tc>
          <w:tcPr>
            <w:tcW w:w="56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13A838" w14:textId="77777777" w:rsidR="00401786" w:rsidRDefault="00C64FB3" w:rsidP="000E757E">
            <w:pPr>
              <w:snapToGrid w:val="0"/>
              <w:spacing w:line="240" w:lineRule="atLeast"/>
              <w:jc w:val="center"/>
            </w:pPr>
            <w:r>
              <w:rPr>
                <w:rFonts w:ascii="標楷體" w:eastAsia="標楷體" w:hAnsi="標楷體" w:cs="標楷體"/>
                <w:color w:val="000000"/>
              </w:rPr>
              <w:t>注意</w:t>
            </w:r>
          </w:p>
          <w:p w14:paraId="03296DAD" w14:textId="77777777" w:rsidR="00401786" w:rsidRDefault="00C64FB3" w:rsidP="000E757E">
            <w:pPr>
              <w:snapToGrid w:val="0"/>
              <w:spacing w:line="240" w:lineRule="atLeast"/>
              <w:jc w:val="center"/>
            </w:pPr>
            <w:r>
              <w:rPr>
                <w:rFonts w:ascii="標楷體" w:eastAsia="標楷體" w:hAnsi="標楷體" w:cs="標楷體"/>
                <w:color w:val="000000"/>
              </w:rPr>
              <w:t>事項</w:t>
            </w:r>
          </w:p>
        </w:tc>
        <w:tc>
          <w:tcPr>
            <w:tcW w:w="8558"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6126BD"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Albumin</w:t>
            </w:r>
            <w:proofErr w:type="gramStart"/>
            <w:r>
              <w:rPr>
                <w:rFonts w:ascii="標楷體" w:eastAsia="標楷體" w:hAnsi="標楷體"/>
                <w:color w:val="000000"/>
              </w:rPr>
              <w:t>值限最近</w:t>
            </w:r>
            <w:proofErr w:type="gramEnd"/>
            <w:r>
              <w:rPr>
                <w:rFonts w:ascii="標楷體" w:eastAsia="標楷體" w:hAnsi="標楷體"/>
                <w:color w:val="000000"/>
              </w:rPr>
              <w:t>3天</w:t>
            </w:r>
            <w:proofErr w:type="gramStart"/>
            <w:r>
              <w:rPr>
                <w:rFonts w:ascii="標楷體" w:eastAsia="標楷體" w:hAnsi="標楷體"/>
                <w:color w:val="000000"/>
              </w:rPr>
              <w:t>以內，</w:t>
            </w:r>
            <w:proofErr w:type="gramEnd"/>
            <w:r>
              <w:rPr>
                <w:rFonts w:ascii="標楷體" w:eastAsia="標楷體" w:hAnsi="標楷體"/>
                <w:color w:val="000000"/>
              </w:rPr>
              <w:t>如係多次注射限上次注射後，最近3天內之結果。</w:t>
            </w:r>
          </w:p>
          <w:p w14:paraId="151816E7" w14:textId="77777777" w:rsidR="00401786" w:rsidRDefault="00C64FB3" w:rsidP="000E757E">
            <w:pPr>
              <w:snapToGrid w:val="0"/>
              <w:spacing w:line="240" w:lineRule="atLeast"/>
            </w:pPr>
            <w:r>
              <w:rPr>
                <w:rFonts w:ascii="標楷體" w:eastAsia="標楷體" w:hAnsi="標楷體"/>
                <w:color w:val="000000"/>
              </w:rPr>
              <w:t>每次注射前，務必檢查Albumin值，符合條件方可以再注射。</w:t>
            </w:r>
          </w:p>
        </w:tc>
      </w:tr>
    </w:tbl>
    <w:p w14:paraId="44C9F83B" w14:textId="77777777" w:rsidR="00401786" w:rsidRDefault="00401786" w:rsidP="000E757E">
      <w:pPr>
        <w:snapToGrid w:val="0"/>
        <w:spacing w:line="240" w:lineRule="atLeast"/>
        <w:rPr>
          <w:rFonts w:ascii="標楷體" w:eastAsia="標楷體" w:hAnsi="標楷體"/>
          <w:color w:val="000000"/>
        </w:rPr>
      </w:pPr>
    </w:p>
    <w:tbl>
      <w:tblPr>
        <w:tblW w:w="9125" w:type="dxa"/>
        <w:tblLayout w:type="fixed"/>
        <w:tblCellMar>
          <w:left w:w="10" w:type="dxa"/>
          <w:right w:w="10" w:type="dxa"/>
        </w:tblCellMar>
        <w:tblLook w:val="0000" w:firstRow="0" w:lastRow="0" w:firstColumn="0" w:lastColumn="0" w:noHBand="0" w:noVBand="0"/>
      </w:tblPr>
      <w:tblGrid>
        <w:gridCol w:w="568"/>
        <w:gridCol w:w="4860"/>
        <w:gridCol w:w="502"/>
        <w:gridCol w:w="3195"/>
      </w:tblGrid>
      <w:tr w:rsidR="00401786" w14:paraId="5102D49A" w14:textId="77777777">
        <w:trPr>
          <w:cantSplit/>
          <w:trHeight w:val="2121"/>
        </w:trPr>
        <w:tc>
          <w:tcPr>
            <w:tcW w:w="56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44D963" w14:textId="77777777" w:rsidR="00401786" w:rsidRDefault="00C64FB3" w:rsidP="000E757E">
            <w:pPr>
              <w:snapToGrid w:val="0"/>
              <w:spacing w:line="240" w:lineRule="atLeast"/>
            </w:pPr>
            <w:r>
              <w:rPr>
                <w:rFonts w:ascii="標楷體" w:eastAsia="標楷體" w:hAnsi="標楷體" w:cs="標楷體"/>
                <w:color w:val="000000"/>
              </w:rPr>
              <w:t>使</w:t>
            </w:r>
          </w:p>
          <w:p w14:paraId="5354584C" w14:textId="77777777" w:rsidR="00401786" w:rsidRDefault="00C64FB3" w:rsidP="000E757E">
            <w:pPr>
              <w:snapToGrid w:val="0"/>
              <w:spacing w:line="240" w:lineRule="atLeast"/>
            </w:pPr>
            <w:r>
              <w:rPr>
                <w:rFonts w:ascii="標楷體" w:eastAsia="標楷體" w:hAnsi="標楷體" w:cs="標楷體"/>
                <w:color w:val="000000"/>
              </w:rPr>
              <w:t>用</w:t>
            </w:r>
          </w:p>
          <w:p w14:paraId="65CC3153" w14:textId="77777777" w:rsidR="00401786" w:rsidRDefault="00C64FB3" w:rsidP="000E757E">
            <w:pPr>
              <w:snapToGrid w:val="0"/>
              <w:spacing w:line="240" w:lineRule="atLeast"/>
            </w:pPr>
            <w:proofErr w:type="gramStart"/>
            <w:r>
              <w:rPr>
                <w:rFonts w:ascii="標楷體" w:eastAsia="標楷體" w:hAnsi="標楷體" w:cs="標楷體"/>
                <w:color w:val="000000"/>
              </w:rPr>
              <w:t>效</w:t>
            </w:r>
            <w:proofErr w:type="gramEnd"/>
          </w:p>
          <w:p w14:paraId="658D358F" w14:textId="77777777" w:rsidR="00401786" w:rsidRDefault="00C64FB3" w:rsidP="000E757E">
            <w:pPr>
              <w:snapToGrid w:val="0"/>
              <w:spacing w:line="240" w:lineRule="atLeast"/>
            </w:pPr>
            <w:r>
              <w:rPr>
                <w:rFonts w:ascii="標楷體" w:eastAsia="標楷體" w:hAnsi="標楷體" w:cs="標楷體"/>
                <w:color w:val="000000"/>
              </w:rPr>
              <w:t>果</w:t>
            </w:r>
          </w:p>
          <w:p w14:paraId="754CAB2D" w14:textId="77777777" w:rsidR="00401786" w:rsidRDefault="00C64FB3" w:rsidP="000E757E">
            <w:pPr>
              <w:snapToGrid w:val="0"/>
              <w:spacing w:line="240" w:lineRule="atLeast"/>
            </w:pPr>
            <w:r>
              <w:rPr>
                <w:rFonts w:ascii="標楷體" w:eastAsia="標楷體" w:hAnsi="標楷體" w:cs="標楷體"/>
                <w:color w:val="000000"/>
              </w:rPr>
              <w:t>評</w:t>
            </w:r>
          </w:p>
          <w:p w14:paraId="194FE3B2" w14:textId="77777777" w:rsidR="00401786" w:rsidRDefault="00C64FB3" w:rsidP="000E757E">
            <w:pPr>
              <w:snapToGrid w:val="0"/>
              <w:spacing w:line="240" w:lineRule="atLeast"/>
            </w:pPr>
            <w:r>
              <w:rPr>
                <w:rFonts w:ascii="標楷體" w:eastAsia="標楷體" w:hAnsi="標楷體" w:cs="標楷體"/>
                <w:color w:val="000000"/>
              </w:rPr>
              <w:t>估</w:t>
            </w:r>
          </w:p>
        </w:tc>
        <w:tc>
          <w:tcPr>
            <w:tcW w:w="48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DEF15E" w14:textId="77777777" w:rsidR="00401786" w:rsidRDefault="00C64FB3" w:rsidP="000E757E">
            <w:pPr>
              <w:snapToGrid w:val="0"/>
              <w:spacing w:line="240" w:lineRule="atLeast"/>
            </w:pPr>
            <w:r>
              <w:rPr>
                <w:rFonts w:ascii="標楷體" w:eastAsia="標楷體" w:hAnsi="標楷體" w:cs="標楷體"/>
                <w:color w:val="000000"/>
              </w:rPr>
              <w:t>□</w:t>
            </w:r>
            <w:r>
              <w:rPr>
                <w:rFonts w:ascii="標楷體" w:eastAsia="標楷體" w:hAnsi="標楷體"/>
                <w:color w:val="000000"/>
              </w:rPr>
              <w:t>Albumin值提升至gm/dL</w:t>
            </w:r>
          </w:p>
        </w:tc>
        <w:tc>
          <w:tcPr>
            <w:tcW w:w="50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BDE647D" w14:textId="77777777" w:rsidR="00401786" w:rsidRDefault="00C64FB3" w:rsidP="000E757E">
            <w:pPr>
              <w:snapToGrid w:val="0"/>
              <w:spacing w:line="240" w:lineRule="atLeast"/>
              <w:jc w:val="center"/>
            </w:pPr>
            <w:r>
              <w:rPr>
                <w:rFonts w:ascii="標楷體" w:eastAsia="標楷體" w:hAnsi="標楷體" w:cs="標楷體"/>
                <w:color w:val="000000"/>
              </w:rPr>
              <w:t>審</w:t>
            </w:r>
          </w:p>
          <w:p w14:paraId="6DC1D1DE" w14:textId="77777777" w:rsidR="00401786" w:rsidRDefault="00C64FB3" w:rsidP="000E757E">
            <w:pPr>
              <w:snapToGrid w:val="0"/>
              <w:spacing w:line="240" w:lineRule="atLeast"/>
              <w:jc w:val="center"/>
            </w:pPr>
            <w:r>
              <w:rPr>
                <w:rFonts w:ascii="標楷體" w:eastAsia="標楷體" w:hAnsi="標楷體" w:cs="標楷體"/>
                <w:color w:val="000000"/>
              </w:rPr>
              <w:t>核</w:t>
            </w:r>
          </w:p>
          <w:p w14:paraId="3F9D3646" w14:textId="77777777" w:rsidR="00401786" w:rsidRDefault="00C64FB3" w:rsidP="000E757E">
            <w:pPr>
              <w:snapToGrid w:val="0"/>
              <w:spacing w:line="240" w:lineRule="atLeast"/>
              <w:jc w:val="center"/>
            </w:pPr>
            <w:r>
              <w:rPr>
                <w:rFonts w:ascii="標楷體" w:eastAsia="標楷體" w:hAnsi="標楷體" w:cs="標楷體"/>
                <w:color w:val="000000"/>
              </w:rPr>
              <w:t>意</w:t>
            </w:r>
          </w:p>
          <w:p w14:paraId="0D37E264" w14:textId="77777777" w:rsidR="00401786" w:rsidRDefault="00C64FB3" w:rsidP="000E757E">
            <w:pPr>
              <w:snapToGrid w:val="0"/>
              <w:spacing w:line="240" w:lineRule="atLeast"/>
              <w:jc w:val="center"/>
            </w:pPr>
            <w:r>
              <w:rPr>
                <w:rFonts w:ascii="標楷體" w:eastAsia="標楷體" w:hAnsi="標楷體" w:cs="標楷體"/>
                <w:color w:val="000000"/>
              </w:rPr>
              <w:t>見</w:t>
            </w:r>
          </w:p>
        </w:tc>
        <w:tc>
          <w:tcPr>
            <w:tcW w:w="319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F4CA54" w14:textId="77777777" w:rsidR="00401786" w:rsidRDefault="00401786" w:rsidP="000E757E">
            <w:pPr>
              <w:snapToGrid w:val="0"/>
              <w:spacing w:line="240" w:lineRule="atLeast"/>
              <w:rPr>
                <w:rFonts w:ascii="標楷體" w:eastAsia="標楷體" w:hAnsi="標楷體"/>
                <w:color w:val="000000"/>
              </w:rPr>
            </w:pPr>
          </w:p>
        </w:tc>
      </w:tr>
    </w:tbl>
    <w:p w14:paraId="74A2FAD9" w14:textId="18A36B24" w:rsidR="009E653D" w:rsidRDefault="009E653D" w:rsidP="000E757E">
      <w:pPr>
        <w:snapToGrid w:val="0"/>
        <w:spacing w:after="240" w:line="240" w:lineRule="atLeast"/>
        <w:jc w:val="both"/>
        <w:rPr>
          <w:rFonts w:eastAsia="標楷體"/>
          <w:color w:val="000000"/>
        </w:rPr>
      </w:pPr>
    </w:p>
    <w:p w14:paraId="5051F89A" w14:textId="77777777" w:rsidR="009E653D" w:rsidRDefault="009E653D">
      <w:pPr>
        <w:widowControl/>
        <w:suppressAutoHyphens w:val="0"/>
        <w:rPr>
          <w:rFonts w:eastAsia="標楷體"/>
          <w:color w:val="000000"/>
        </w:rPr>
      </w:pPr>
      <w:r>
        <w:rPr>
          <w:rFonts w:eastAsia="標楷體"/>
          <w:color w:val="000000"/>
        </w:rPr>
        <w:br w:type="page"/>
      </w:r>
    </w:p>
    <w:p w14:paraId="2B7E4E0B" w14:textId="77777777" w:rsidR="00401786" w:rsidRDefault="00C64FB3" w:rsidP="000E757E">
      <w:pPr>
        <w:snapToGrid w:val="0"/>
        <w:spacing w:after="240" w:line="240" w:lineRule="atLeast"/>
        <w:jc w:val="both"/>
      </w:pPr>
      <w:r>
        <w:rPr>
          <w:rFonts w:eastAsia="標楷體"/>
          <w:color w:val="000000"/>
        </w:rPr>
        <w:lastRenderedPageBreak/>
        <w:t>附表五：全民健康保險使用</w:t>
      </w:r>
      <w:r>
        <w:rPr>
          <w:rFonts w:eastAsia="標楷體"/>
          <w:b/>
          <w:color w:val="000000"/>
          <w:u w:val="single"/>
        </w:rPr>
        <w:t>繞徑治療藥物</w:t>
      </w:r>
      <w:r>
        <w:rPr>
          <w:rFonts w:eastAsia="標楷體"/>
          <w:color w:val="000000"/>
        </w:rPr>
        <w:t>申報表</w:t>
      </w:r>
    </w:p>
    <w:tbl>
      <w:tblPr>
        <w:tblW w:w="9384" w:type="dxa"/>
        <w:tblLayout w:type="fixed"/>
        <w:tblCellMar>
          <w:left w:w="10" w:type="dxa"/>
          <w:right w:w="10" w:type="dxa"/>
        </w:tblCellMar>
        <w:tblLook w:val="0000" w:firstRow="0" w:lastRow="0" w:firstColumn="0" w:lastColumn="0" w:noHBand="0" w:noVBand="0"/>
      </w:tblPr>
      <w:tblGrid>
        <w:gridCol w:w="508"/>
        <w:gridCol w:w="240"/>
        <w:gridCol w:w="480"/>
        <w:gridCol w:w="106"/>
        <w:gridCol w:w="134"/>
        <w:gridCol w:w="120"/>
        <w:gridCol w:w="720"/>
        <w:gridCol w:w="360"/>
        <w:gridCol w:w="360"/>
        <w:gridCol w:w="352"/>
        <w:gridCol w:w="8"/>
        <w:gridCol w:w="480"/>
        <w:gridCol w:w="480"/>
        <w:gridCol w:w="240"/>
        <w:gridCol w:w="120"/>
        <w:gridCol w:w="600"/>
        <w:gridCol w:w="240"/>
        <w:gridCol w:w="480"/>
        <w:gridCol w:w="225"/>
        <w:gridCol w:w="255"/>
        <w:gridCol w:w="240"/>
        <w:gridCol w:w="480"/>
        <w:gridCol w:w="480"/>
        <w:gridCol w:w="1676"/>
      </w:tblGrid>
      <w:tr w:rsidR="00401786" w14:paraId="2964C9AD" w14:textId="77777777">
        <w:trPr>
          <w:cantSplit/>
          <w:trHeight w:val="527"/>
        </w:trPr>
        <w:tc>
          <w:tcPr>
            <w:tcW w:w="1334"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84D58A" w14:textId="77777777" w:rsidR="00401786" w:rsidRDefault="00C64FB3" w:rsidP="000E757E">
            <w:pPr>
              <w:snapToGrid w:val="0"/>
              <w:spacing w:line="240" w:lineRule="atLeast"/>
              <w:ind w:right="283"/>
              <w:jc w:val="center"/>
            </w:pPr>
            <w:r>
              <w:rPr>
                <w:rFonts w:ascii="標楷體" w:eastAsia="標楷體" w:hAnsi="標楷體" w:cs="標楷體"/>
                <w:color w:val="000000"/>
              </w:rPr>
              <w:t>醫院代號</w:t>
            </w:r>
          </w:p>
        </w:tc>
        <w:tc>
          <w:tcPr>
            <w:tcW w:w="1334"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00C4EF" w14:textId="77777777" w:rsidR="00401786" w:rsidRDefault="00401786" w:rsidP="000E757E">
            <w:pPr>
              <w:snapToGrid w:val="0"/>
              <w:spacing w:line="240" w:lineRule="atLeast"/>
              <w:rPr>
                <w:rFonts w:ascii="標楷體" w:eastAsia="標楷體" w:hAnsi="標楷體"/>
                <w:color w:val="000000"/>
              </w:rPr>
            </w:pPr>
          </w:p>
        </w:tc>
        <w:tc>
          <w:tcPr>
            <w:tcW w:w="120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8FC855" w14:textId="77777777" w:rsidR="00401786" w:rsidRDefault="00C64FB3" w:rsidP="000E757E">
            <w:pPr>
              <w:snapToGrid w:val="0"/>
              <w:spacing w:line="240" w:lineRule="atLeast"/>
            </w:pPr>
            <w:r>
              <w:rPr>
                <w:rFonts w:ascii="標楷體" w:eastAsia="標楷體" w:hAnsi="標楷體" w:cs="標楷體"/>
                <w:color w:val="000000"/>
              </w:rPr>
              <w:t>醫院名稱</w:t>
            </w:r>
          </w:p>
        </w:tc>
        <w:tc>
          <w:tcPr>
            <w:tcW w:w="2640"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0557F9" w14:textId="77777777" w:rsidR="00401786" w:rsidRDefault="00401786" w:rsidP="000E757E">
            <w:pPr>
              <w:snapToGrid w:val="0"/>
              <w:spacing w:line="240" w:lineRule="atLeast"/>
              <w:rPr>
                <w:rFonts w:ascii="標楷體" w:eastAsia="標楷體" w:hAnsi="標楷體"/>
                <w:color w:val="000000"/>
              </w:rPr>
            </w:pPr>
          </w:p>
        </w:tc>
        <w:tc>
          <w:tcPr>
            <w:tcW w:w="120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0C9EEE" w14:textId="77777777" w:rsidR="00401786" w:rsidRDefault="00C64FB3" w:rsidP="000E757E">
            <w:pPr>
              <w:snapToGrid w:val="0"/>
              <w:spacing w:line="240" w:lineRule="atLeast"/>
              <w:jc w:val="center"/>
            </w:pPr>
            <w:r>
              <w:rPr>
                <w:rFonts w:ascii="標楷體" w:eastAsia="標楷體" w:hAnsi="標楷體" w:cs="標楷體"/>
                <w:color w:val="000000"/>
              </w:rPr>
              <w:t>病歷號碼</w:t>
            </w:r>
          </w:p>
        </w:tc>
        <w:tc>
          <w:tcPr>
            <w:tcW w:w="16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3A0880" w14:textId="77777777" w:rsidR="00401786" w:rsidRDefault="00401786" w:rsidP="000E757E">
            <w:pPr>
              <w:snapToGrid w:val="0"/>
              <w:spacing w:line="240" w:lineRule="atLeast"/>
              <w:rPr>
                <w:rFonts w:ascii="標楷體" w:eastAsia="標楷體" w:hAnsi="標楷體"/>
                <w:color w:val="000000"/>
              </w:rPr>
            </w:pPr>
          </w:p>
        </w:tc>
      </w:tr>
      <w:tr w:rsidR="00401786" w14:paraId="001031D9" w14:textId="77777777">
        <w:trPr>
          <w:cantSplit/>
          <w:trHeight w:val="520"/>
        </w:trPr>
        <w:tc>
          <w:tcPr>
            <w:tcW w:w="748"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99CE03" w14:textId="77777777" w:rsidR="00401786" w:rsidRDefault="00C64FB3" w:rsidP="000E757E">
            <w:pPr>
              <w:snapToGrid w:val="0"/>
              <w:spacing w:line="240" w:lineRule="atLeast"/>
              <w:jc w:val="center"/>
            </w:pPr>
            <w:r>
              <w:rPr>
                <w:rFonts w:ascii="標楷體" w:eastAsia="標楷體" w:hAnsi="標楷體" w:cs="標楷體"/>
                <w:color w:val="000000"/>
              </w:rPr>
              <w:t>姓名</w:t>
            </w:r>
          </w:p>
        </w:tc>
        <w:tc>
          <w:tcPr>
            <w:tcW w:w="1560"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810C9A" w14:textId="77777777" w:rsidR="00401786" w:rsidRDefault="00401786" w:rsidP="000E757E">
            <w:pPr>
              <w:snapToGrid w:val="0"/>
              <w:spacing w:line="240" w:lineRule="atLeast"/>
              <w:rPr>
                <w:rFonts w:ascii="標楷體" w:eastAsia="標楷體" w:hAnsi="標楷體"/>
                <w:color w:val="000000"/>
              </w:rPr>
            </w:pPr>
          </w:p>
        </w:tc>
        <w:tc>
          <w:tcPr>
            <w:tcW w:w="72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CD3CAD" w14:textId="77777777" w:rsidR="00401786" w:rsidRDefault="00C64FB3" w:rsidP="000E757E">
            <w:pPr>
              <w:snapToGrid w:val="0"/>
              <w:spacing w:line="240" w:lineRule="atLeast"/>
              <w:jc w:val="center"/>
            </w:pPr>
            <w:r>
              <w:rPr>
                <w:rFonts w:ascii="標楷體" w:eastAsia="標楷體" w:hAnsi="標楷體" w:cs="標楷體"/>
                <w:color w:val="000000"/>
              </w:rPr>
              <w:t>性別</w:t>
            </w:r>
          </w:p>
        </w:tc>
        <w:tc>
          <w:tcPr>
            <w:tcW w:w="84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9D6C54" w14:textId="77777777" w:rsidR="00401786" w:rsidRDefault="00401786" w:rsidP="000E757E">
            <w:pPr>
              <w:snapToGrid w:val="0"/>
              <w:spacing w:line="240" w:lineRule="atLeast"/>
              <w:rPr>
                <w:rFonts w:ascii="標楷體" w:eastAsia="標楷體" w:hAnsi="標楷體"/>
                <w:color w:val="000000"/>
              </w:rPr>
            </w:pPr>
          </w:p>
        </w:tc>
        <w:tc>
          <w:tcPr>
            <w:tcW w:w="72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517DD3" w14:textId="77777777" w:rsidR="00401786" w:rsidRDefault="00C64FB3" w:rsidP="000E757E">
            <w:pPr>
              <w:snapToGrid w:val="0"/>
              <w:spacing w:line="240" w:lineRule="atLeast"/>
              <w:jc w:val="center"/>
            </w:pPr>
            <w:r>
              <w:rPr>
                <w:rFonts w:ascii="標楷體" w:eastAsia="標楷體" w:hAnsi="標楷體" w:cs="標楷體"/>
                <w:color w:val="000000"/>
              </w:rPr>
              <w:t>年齡</w:t>
            </w:r>
          </w:p>
        </w:tc>
        <w:tc>
          <w:tcPr>
            <w:tcW w:w="96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54E10A" w14:textId="77777777" w:rsidR="00401786" w:rsidRDefault="00401786" w:rsidP="000E757E">
            <w:pPr>
              <w:snapToGrid w:val="0"/>
              <w:spacing w:line="240" w:lineRule="atLeast"/>
              <w:rPr>
                <w:rFonts w:ascii="標楷體" w:eastAsia="標楷體" w:hAnsi="標楷體"/>
                <w:color w:val="000000"/>
              </w:rPr>
            </w:pPr>
          </w:p>
        </w:tc>
        <w:tc>
          <w:tcPr>
            <w:tcW w:w="120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4A3139" w14:textId="77777777" w:rsidR="00401786" w:rsidRDefault="00C64FB3" w:rsidP="000E757E">
            <w:pPr>
              <w:snapToGrid w:val="0"/>
              <w:spacing w:line="240" w:lineRule="atLeast"/>
              <w:jc w:val="center"/>
            </w:pPr>
            <w:r>
              <w:rPr>
                <w:rFonts w:ascii="標楷體" w:eastAsia="標楷體" w:hAnsi="標楷體" w:cs="標楷體"/>
                <w:color w:val="000000"/>
              </w:rPr>
              <w:t>身分證號</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4F2376" w14:textId="77777777" w:rsidR="00401786" w:rsidRDefault="00401786" w:rsidP="000E757E">
            <w:pPr>
              <w:snapToGrid w:val="0"/>
              <w:spacing w:line="240" w:lineRule="atLeast"/>
              <w:rPr>
                <w:rFonts w:ascii="標楷體" w:eastAsia="標楷體" w:hAnsi="標楷體"/>
                <w:color w:val="000000"/>
              </w:rPr>
            </w:pPr>
          </w:p>
        </w:tc>
      </w:tr>
      <w:tr w:rsidR="00401786" w14:paraId="4CEFAC7C" w14:textId="77777777">
        <w:trPr>
          <w:cantSplit/>
          <w:trHeight w:val="722"/>
        </w:trPr>
        <w:tc>
          <w:tcPr>
            <w:tcW w:w="1228"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550C5B" w14:textId="77777777" w:rsidR="00401786" w:rsidRDefault="00C64FB3" w:rsidP="000E757E">
            <w:pPr>
              <w:snapToGrid w:val="0"/>
              <w:spacing w:line="240" w:lineRule="atLeast"/>
              <w:jc w:val="center"/>
            </w:pPr>
            <w:r>
              <w:rPr>
                <w:rFonts w:ascii="標楷體" w:eastAsia="標楷體" w:hAnsi="標楷體" w:cs="標楷體"/>
                <w:color w:val="000000"/>
              </w:rPr>
              <w:t>門診時間</w:t>
            </w:r>
          </w:p>
        </w:tc>
        <w:tc>
          <w:tcPr>
            <w:tcW w:w="2160"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C7AD37" w14:textId="77777777" w:rsidR="00401786" w:rsidRDefault="00C64FB3" w:rsidP="000E757E">
            <w:pPr>
              <w:snapToGrid w:val="0"/>
              <w:spacing w:line="240" w:lineRule="atLeast"/>
            </w:pPr>
            <w:r>
              <w:rPr>
                <w:rFonts w:ascii="標楷體" w:eastAsia="標楷體" w:hAnsi="標楷體" w:cs="標楷體"/>
                <w:color w:val="000000"/>
              </w:rPr>
              <w:t xml:space="preserve">   年   月   日</w:t>
            </w:r>
          </w:p>
        </w:tc>
        <w:tc>
          <w:tcPr>
            <w:tcW w:w="132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4CFA48" w14:textId="77777777" w:rsidR="00401786" w:rsidRDefault="00C64FB3" w:rsidP="000E757E">
            <w:pPr>
              <w:snapToGrid w:val="0"/>
              <w:spacing w:line="240" w:lineRule="atLeast"/>
              <w:jc w:val="center"/>
            </w:pPr>
            <w:r>
              <w:rPr>
                <w:rFonts w:ascii="標楷體" w:eastAsia="標楷體" w:hAnsi="標楷體" w:cs="標楷體"/>
                <w:color w:val="000000"/>
              </w:rPr>
              <w:t>住院期間</w:t>
            </w:r>
          </w:p>
        </w:tc>
        <w:tc>
          <w:tcPr>
            <w:tcW w:w="4676" w:type="dxa"/>
            <w:gridSpan w:val="9"/>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2A619E" w14:textId="77777777" w:rsidR="00401786" w:rsidRDefault="00C64FB3" w:rsidP="000E757E">
            <w:pPr>
              <w:snapToGrid w:val="0"/>
              <w:spacing w:line="240" w:lineRule="atLeast"/>
            </w:pPr>
            <w:r>
              <w:rPr>
                <w:rFonts w:ascii="標楷體" w:eastAsia="標楷體" w:hAnsi="標楷體" w:cs="標楷體"/>
                <w:color w:val="000000"/>
              </w:rPr>
              <w:t xml:space="preserve">   年   月   日 至   年   月   日</w:t>
            </w:r>
          </w:p>
        </w:tc>
      </w:tr>
      <w:tr w:rsidR="00401786" w14:paraId="63469422" w14:textId="77777777">
        <w:trPr>
          <w:cantSplit/>
          <w:trHeight w:val="590"/>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B8F2D5" w14:textId="77777777" w:rsidR="00401786" w:rsidRDefault="00401786" w:rsidP="000E757E">
            <w:pPr>
              <w:pStyle w:val="ab"/>
              <w:snapToGrid w:val="0"/>
              <w:spacing w:line="240" w:lineRule="atLeast"/>
              <w:ind w:left="980" w:hanging="980"/>
              <w:rPr>
                <w:rFonts w:ascii="標楷體" w:hAnsi="標楷體"/>
                <w:color w:val="000000"/>
              </w:rPr>
            </w:pPr>
          </w:p>
          <w:p w14:paraId="4F488A6D" w14:textId="77777777" w:rsidR="00401786" w:rsidRDefault="00401786" w:rsidP="000E757E">
            <w:pPr>
              <w:pStyle w:val="ab"/>
              <w:snapToGrid w:val="0"/>
              <w:spacing w:line="240" w:lineRule="atLeast"/>
              <w:ind w:left="980" w:hanging="980"/>
              <w:rPr>
                <w:rFonts w:ascii="標楷體" w:hAnsi="標楷體"/>
                <w:color w:val="000000"/>
              </w:rPr>
            </w:pPr>
          </w:p>
          <w:p w14:paraId="2CF36884" w14:textId="77777777" w:rsidR="00401786" w:rsidRDefault="00C64FB3" w:rsidP="000E757E">
            <w:pPr>
              <w:snapToGrid w:val="0"/>
              <w:spacing w:line="240" w:lineRule="atLeast"/>
              <w:jc w:val="center"/>
            </w:pPr>
            <w:r>
              <w:rPr>
                <w:rFonts w:ascii="標楷體" w:eastAsia="標楷體" w:hAnsi="標楷體" w:cs="標楷體"/>
                <w:color w:val="000000"/>
              </w:rPr>
              <w:t>主要</w:t>
            </w:r>
            <w:r>
              <w:rPr>
                <w:rFonts w:ascii="標楷體" w:eastAsia="標楷體" w:hAnsi="標楷體"/>
                <w:color w:val="000000"/>
              </w:rPr>
              <w:t>症狀</w:t>
            </w:r>
          </w:p>
        </w:tc>
        <w:tc>
          <w:tcPr>
            <w:tcW w:w="8876" w:type="dxa"/>
            <w:gridSpan w:val="2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0FD5F88" w14:textId="77777777" w:rsidR="00401786" w:rsidRDefault="00C64FB3" w:rsidP="000E757E">
            <w:pPr>
              <w:snapToGrid w:val="0"/>
              <w:spacing w:line="240" w:lineRule="atLeast"/>
            </w:pPr>
            <w:r>
              <w:rPr>
                <w:rFonts w:ascii="標楷體" w:eastAsia="標楷體" w:hAnsi="標楷體" w:cs="標楷體"/>
                <w:color w:val="000000"/>
              </w:rPr>
              <w:t>□ 缺乏第七凝血因子之患者</w:t>
            </w:r>
          </w:p>
        </w:tc>
      </w:tr>
      <w:tr w:rsidR="00401786" w14:paraId="530CBE42" w14:textId="77777777">
        <w:trPr>
          <w:cantSplit/>
          <w:trHeight w:val="3403"/>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ADD13E" w14:textId="77777777" w:rsidR="00401786" w:rsidRDefault="00401786" w:rsidP="000E757E">
            <w:pPr>
              <w:pStyle w:val="ab"/>
              <w:snapToGrid w:val="0"/>
              <w:spacing w:line="240" w:lineRule="atLeast"/>
              <w:ind w:left="980" w:hanging="980"/>
              <w:rPr>
                <w:rFonts w:ascii="標楷體" w:hAnsi="標楷體"/>
                <w:color w:val="000000"/>
              </w:rPr>
            </w:pPr>
          </w:p>
        </w:tc>
        <w:tc>
          <w:tcPr>
            <w:tcW w:w="8876" w:type="dxa"/>
            <w:gridSpan w:val="2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40F8CA" w14:textId="77777777" w:rsidR="00401786" w:rsidRDefault="00C64FB3" w:rsidP="000E757E">
            <w:pPr>
              <w:snapToGrid w:val="0"/>
              <w:spacing w:line="240" w:lineRule="atLeast"/>
              <w:ind w:left="280" w:hanging="280"/>
            </w:pPr>
            <w:r>
              <w:rPr>
                <w:rFonts w:ascii="標楷體" w:eastAsia="標楷體" w:hAnsi="標楷體" w:cs="標楷體"/>
                <w:color w:val="000000"/>
              </w:rPr>
              <w:t>□發生第八因子和第九因子抗體者(抗體濃度超過5</w:t>
            </w:r>
            <w:r>
              <w:rPr>
                <w:rFonts w:eastAsia="標楷體"/>
                <w:color w:val="000000"/>
              </w:rPr>
              <w:t xml:space="preserve"> BU)</w:t>
            </w:r>
            <w:r>
              <w:rPr>
                <w:rFonts w:ascii="標楷體" w:eastAsia="標楷體" w:hAnsi="標楷體" w:cs="標楷體"/>
                <w:color w:val="000000"/>
              </w:rPr>
              <w:t>，出現下列情況時（請敘明）：</w:t>
            </w:r>
          </w:p>
          <w:p w14:paraId="0F9518E1" w14:textId="77777777" w:rsidR="00401786" w:rsidRDefault="00C64FB3" w:rsidP="000E757E">
            <w:pPr>
              <w:snapToGrid w:val="0"/>
              <w:spacing w:line="240" w:lineRule="atLeast"/>
              <w:ind w:left="485"/>
            </w:pPr>
            <w:r>
              <w:rPr>
                <w:rFonts w:ascii="標楷體" w:eastAsia="標楷體" w:hAnsi="標楷體" w:cs="標楷體"/>
              </w:rPr>
              <w:t>□ 明顯肌肉關節等處出血：</w:t>
            </w:r>
          </w:p>
          <w:p w14:paraId="65E82BC1" w14:textId="77777777" w:rsidR="00401786" w:rsidRDefault="00C64FB3" w:rsidP="000E757E">
            <w:pPr>
              <w:snapToGrid w:val="0"/>
              <w:spacing w:line="240" w:lineRule="atLeast"/>
              <w:ind w:left="485"/>
            </w:pPr>
            <w:r>
              <w:rPr>
                <w:rFonts w:ascii="標楷體" w:eastAsia="標楷體" w:hAnsi="標楷體" w:cs="標楷體"/>
              </w:rPr>
              <w:t>□ 手術時：</w:t>
            </w:r>
          </w:p>
          <w:p w14:paraId="16E377E9" w14:textId="77777777" w:rsidR="00401786" w:rsidRDefault="00C64FB3" w:rsidP="000E757E">
            <w:pPr>
              <w:snapToGrid w:val="0"/>
              <w:spacing w:line="240" w:lineRule="atLeast"/>
              <w:ind w:left="343" w:firstLine="142"/>
              <w:rPr>
                <w:rFonts w:ascii="標楷體" w:eastAsia="標楷體" w:hAnsi="標楷體" w:cs="標楷體"/>
              </w:rPr>
            </w:pPr>
            <w:r>
              <w:rPr>
                <w:rFonts w:ascii="標楷體" w:eastAsia="標楷體" w:hAnsi="標楷體" w:cs="標楷體"/>
              </w:rPr>
              <w:t>□ 嚴重出血(如外傷、內出血或顱內出血等)：</w:t>
            </w:r>
          </w:p>
          <w:p w14:paraId="2F7BF598" w14:textId="77777777" w:rsidR="00401786" w:rsidRDefault="00C64FB3" w:rsidP="000E757E">
            <w:pPr>
              <w:snapToGrid w:val="0"/>
              <w:spacing w:line="240" w:lineRule="atLeast"/>
              <w:ind w:firstLine="480"/>
            </w:pPr>
            <w:r>
              <w:rPr>
                <w:rFonts w:ascii="標楷體" w:eastAsia="標楷體" w:hAnsi="標楷體" w:cs="標楷體"/>
                <w:u w:val="single"/>
              </w:rPr>
              <w:t xml:space="preserve">□ </w:t>
            </w:r>
            <w:r>
              <w:rPr>
                <w:rFonts w:ascii="標楷體" w:eastAsia="標楷體" w:hAnsi="標楷體" w:cs="標楷體"/>
                <w:b/>
                <w:u w:val="single"/>
              </w:rPr>
              <w:t>檢附患處影像報告或照片</w:t>
            </w:r>
            <w:r>
              <w:rPr>
                <w:rFonts w:ascii="新細明體" w:hAnsi="新細明體" w:cs="標楷體"/>
                <w:b/>
                <w:u w:val="single"/>
              </w:rPr>
              <w:t>。</w:t>
            </w:r>
            <w:r>
              <w:rPr>
                <w:rFonts w:ascii="標楷體" w:eastAsia="標楷體" w:hAnsi="標楷體" w:cs="標楷體"/>
                <w:u w:val="single"/>
              </w:rPr>
              <w:t>(○○○/○○/1)</w:t>
            </w:r>
            <w:r>
              <w:rPr>
                <w:rFonts w:ascii="新細明體" w:hAnsi="新細明體" w:cs="標楷體"/>
                <w:u w:val="single"/>
              </w:rPr>
              <w:t xml:space="preserve"> </w:t>
            </w:r>
          </w:p>
          <w:p w14:paraId="41899ACA" w14:textId="77777777" w:rsidR="00401786" w:rsidRDefault="00C64FB3" w:rsidP="000E757E">
            <w:pPr>
              <w:snapToGrid w:val="0"/>
              <w:spacing w:line="240" w:lineRule="atLeast"/>
            </w:pPr>
            <w:r>
              <w:rPr>
                <w:rFonts w:ascii="標楷體" w:eastAsia="標楷體" w:hAnsi="標楷體"/>
              </w:rPr>
              <w:t xml:space="preserve">      </w:t>
            </w:r>
            <w:r>
              <w:rPr>
                <w:rFonts w:ascii="標楷體" w:eastAsia="標楷體" w:hAnsi="標楷體" w:cs="標楷體"/>
                <w:u w:val="single"/>
              </w:rPr>
              <w:t xml:space="preserve"> </w:t>
            </w:r>
            <w:r>
              <w:rPr>
                <w:rFonts w:ascii="標楷體" w:eastAsia="標楷體" w:hAnsi="標楷體"/>
                <w:b/>
                <w:u w:val="single"/>
              </w:rPr>
              <w:t>門診病人親自</w:t>
            </w:r>
            <w:proofErr w:type="gramStart"/>
            <w:r>
              <w:rPr>
                <w:rFonts w:ascii="標楷體" w:eastAsia="標楷體" w:hAnsi="標楷體"/>
                <w:b/>
                <w:u w:val="single"/>
              </w:rPr>
              <w:t>到診由</w:t>
            </w:r>
            <w:proofErr w:type="gramEnd"/>
            <w:r>
              <w:rPr>
                <w:rFonts w:ascii="標楷體" w:eastAsia="標楷體" w:hAnsi="標楷體"/>
                <w:b/>
                <w:u w:val="single"/>
              </w:rPr>
              <w:t>醫師</w:t>
            </w:r>
            <w:proofErr w:type="gramStart"/>
            <w:r>
              <w:rPr>
                <w:rFonts w:ascii="標楷體" w:eastAsia="標楷體" w:hAnsi="標楷體"/>
                <w:b/>
                <w:u w:val="single"/>
              </w:rPr>
              <w:t>診視始能</w:t>
            </w:r>
            <w:proofErr w:type="gramEnd"/>
            <w:r>
              <w:rPr>
                <w:rFonts w:ascii="標楷體" w:eastAsia="標楷體" w:hAnsi="標楷體"/>
                <w:b/>
                <w:u w:val="single"/>
              </w:rPr>
              <w:t>領藥</w:t>
            </w:r>
            <w:r>
              <w:rPr>
                <w:rFonts w:ascii="新細明體" w:hAnsi="新細明體"/>
                <w:b/>
                <w:u w:val="single"/>
              </w:rPr>
              <w:t>，</w:t>
            </w:r>
            <w:r>
              <w:rPr>
                <w:rFonts w:ascii="標楷體" w:eastAsia="標楷體" w:hAnsi="標楷體"/>
                <w:b/>
                <w:u w:val="single"/>
              </w:rPr>
              <w:t>不得代領</w:t>
            </w:r>
            <w:r>
              <w:rPr>
                <w:rFonts w:ascii="新細明體" w:hAnsi="新細明體" w:cs="標楷體"/>
                <w:b/>
                <w:u w:val="single"/>
              </w:rPr>
              <w:t>。</w:t>
            </w:r>
            <w:r>
              <w:rPr>
                <w:rFonts w:ascii="標楷體" w:eastAsia="標楷體" w:hAnsi="標楷體"/>
                <w:u w:val="single"/>
              </w:rPr>
              <w:t>(○○○/○○/1)</w:t>
            </w:r>
            <w:r>
              <w:rPr>
                <w:rFonts w:ascii="新細明體" w:hAnsi="新細明體" w:cs="標楷體"/>
                <w:u w:val="single"/>
              </w:rPr>
              <w:t xml:space="preserve"> </w:t>
            </w:r>
          </w:p>
          <w:p w14:paraId="570417AA" w14:textId="77777777" w:rsidR="00401786" w:rsidRDefault="00C64FB3" w:rsidP="000E757E">
            <w:pPr>
              <w:snapToGrid w:val="0"/>
              <w:spacing w:line="240" w:lineRule="atLeast"/>
            </w:pPr>
            <w:r>
              <w:rPr>
                <w:rFonts w:ascii="標楷體" w:eastAsia="標楷體" w:hAnsi="標楷體" w:cs="標楷體"/>
              </w:rPr>
              <w:t xml:space="preserve">    </w:t>
            </w:r>
            <w:r>
              <w:rPr>
                <w:rFonts w:ascii="標楷體" w:eastAsia="標楷體" w:hAnsi="標楷體" w:cs="標楷體"/>
                <w:u w:val="single"/>
              </w:rPr>
              <w:t>□</w:t>
            </w:r>
            <w:r>
              <w:rPr>
                <w:rFonts w:ascii="標楷體" w:eastAsia="標楷體" w:hAnsi="標楷體" w:cs="標楷體"/>
                <w:b/>
                <w:u w:val="single"/>
              </w:rPr>
              <w:t>每3個月追蹤</w:t>
            </w:r>
            <w:proofErr w:type="gramStart"/>
            <w:r>
              <w:rPr>
                <w:rFonts w:ascii="標楷體" w:eastAsia="標楷體" w:hAnsi="標楷體" w:cs="標楷體"/>
                <w:b/>
                <w:u w:val="single"/>
              </w:rPr>
              <w:t>抗體力價變化</w:t>
            </w:r>
            <w:proofErr w:type="gramEnd"/>
            <w:r>
              <w:rPr>
                <w:rFonts w:ascii="新細明體" w:hAnsi="新細明體" w:cs="標楷體"/>
                <w:b/>
                <w:u w:val="single"/>
              </w:rPr>
              <w:t>。</w:t>
            </w:r>
            <w:r>
              <w:rPr>
                <w:rFonts w:ascii="標楷體" w:eastAsia="標楷體" w:hAnsi="標楷體"/>
                <w:u w:val="single"/>
              </w:rPr>
              <w:t>(○○○/○○/1)</w:t>
            </w:r>
          </w:p>
        </w:tc>
      </w:tr>
      <w:tr w:rsidR="00401786" w14:paraId="7A5E4664" w14:textId="77777777">
        <w:trPr>
          <w:cantSplit/>
          <w:trHeight w:val="880"/>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EBBA3A" w14:textId="77777777" w:rsidR="00401786" w:rsidRDefault="00C64FB3" w:rsidP="000E757E">
            <w:pPr>
              <w:snapToGrid w:val="0"/>
              <w:spacing w:line="240" w:lineRule="atLeast"/>
              <w:jc w:val="center"/>
            </w:pPr>
            <w:r>
              <w:rPr>
                <w:rFonts w:ascii="標楷體" w:eastAsia="標楷體" w:hAnsi="標楷體" w:cs="標楷體"/>
                <w:color w:val="000000"/>
              </w:rPr>
              <w:t>檢驗結果</w:t>
            </w:r>
          </w:p>
        </w:tc>
        <w:tc>
          <w:tcPr>
            <w:tcW w:w="96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540B27"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PT:                       </w:t>
            </w:r>
          </w:p>
        </w:tc>
        <w:tc>
          <w:tcPr>
            <w:tcW w:w="1912"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3CA6F8"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                </w:t>
            </w:r>
          </w:p>
        </w:tc>
        <w:tc>
          <w:tcPr>
            <w:tcW w:w="968"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DE3CBA"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PTT:  </w:t>
            </w:r>
          </w:p>
        </w:tc>
        <w:tc>
          <w:tcPr>
            <w:tcW w:w="1905"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CC9419" w14:textId="77777777" w:rsidR="00401786" w:rsidRDefault="00401786" w:rsidP="000E757E">
            <w:pPr>
              <w:snapToGrid w:val="0"/>
              <w:spacing w:line="240" w:lineRule="atLeast"/>
              <w:jc w:val="center"/>
              <w:rPr>
                <w:rFonts w:eastAsia="標楷體"/>
                <w:color w:val="000000"/>
              </w:rPr>
            </w:pPr>
          </w:p>
        </w:tc>
        <w:tc>
          <w:tcPr>
            <w:tcW w:w="97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5A4578"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VII:C  </w:t>
            </w:r>
          </w:p>
        </w:tc>
        <w:tc>
          <w:tcPr>
            <w:tcW w:w="215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927E3E3" w14:textId="77777777" w:rsidR="00401786" w:rsidRDefault="00401786" w:rsidP="000E757E">
            <w:pPr>
              <w:snapToGrid w:val="0"/>
              <w:spacing w:line="240" w:lineRule="atLeast"/>
              <w:rPr>
                <w:rFonts w:eastAsia="標楷體"/>
                <w:color w:val="000000"/>
              </w:rPr>
            </w:pPr>
          </w:p>
        </w:tc>
      </w:tr>
      <w:tr w:rsidR="00401786" w14:paraId="18F047E4" w14:textId="77777777">
        <w:trPr>
          <w:cantSplit/>
          <w:trHeight w:val="880"/>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BF5CBF" w14:textId="77777777" w:rsidR="00401786" w:rsidRDefault="00401786" w:rsidP="000E757E">
            <w:pPr>
              <w:snapToGrid w:val="0"/>
              <w:spacing w:line="240" w:lineRule="atLeast"/>
              <w:jc w:val="center"/>
              <w:rPr>
                <w:rFonts w:ascii="標楷體" w:eastAsia="標楷體" w:hAnsi="標楷體"/>
                <w:color w:val="000000"/>
              </w:rPr>
            </w:pPr>
          </w:p>
        </w:tc>
        <w:tc>
          <w:tcPr>
            <w:tcW w:w="96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55CCF4" w14:textId="77777777" w:rsidR="00401786" w:rsidRDefault="00C64FB3" w:rsidP="000E757E">
            <w:pPr>
              <w:snapToGrid w:val="0"/>
              <w:spacing w:line="240" w:lineRule="atLeast"/>
              <w:jc w:val="center"/>
              <w:rPr>
                <w:rFonts w:eastAsia="標楷體"/>
                <w:color w:val="000000"/>
              </w:rPr>
            </w:pPr>
            <w:r>
              <w:rPr>
                <w:rFonts w:eastAsia="標楷體"/>
                <w:color w:val="000000"/>
              </w:rPr>
              <w:t>VIII:C</w:t>
            </w:r>
          </w:p>
        </w:tc>
        <w:tc>
          <w:tcPr>
            <w:tcW w:w="1912"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A45DA5" w14:textId="77777777" w:rsidR="00401786" w:rsidRDefault="00401786" w:rsidP="000E757E">
            <w:pPr>
              <w:snapToGrid w:val="0"/>
              <w:spacing w:line="240" w:lineRule="atLeast"/>
              <w:jc w:val="center"/>
              <w:rPr>
                <w:rFonts w:eastAsia="標楷體"/>
                <w:color w:val="000000"/>
              </w:rPr>
            </w:pPr>
          </w:p>
        </w:tc>
        <w:tc>
          <w:tcPr>
            <w:tcW w:w="968"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A954D6" w14:textId="77777777" w:rsidR="00401786" w:rsidRDefault="00C64FB3" w:rsidP="000E757E">
            <w:pPr>
              <w:snapToGrid w:val="0"/>
              <w:spacing w:line="240" w:lineRule="atLeast"/>
              <w:jc w:val="center"/>
              <w:rPr>
                <w:rFonts w:eastAsia="標楷體"/>
                <w:color w:val="000000"/>
              </w:rPr>
            </w:pPr>
            <w:r>
              <w:rPr>
                <w:rFonts w:eastAsia="標楷體"/>
                <w:color w:val="000000"/>
              </w:rPr>
              <w:t>IX</w:t>
            </w:r>
            <w:r>
              <w:rPr>
                <w:rFonts w:eastAsia="標楷體"/>
                <w:color w:val="000000"/>
              </w:rPr>
              <w:t>：</w:t>
            </w:r>
            <w:r>
              <w:rPr>
                <w:rFonts w:eastAsia="標楷體"/>
                <w:color w:val="000000"/>
              </w:rPr>
              <w:t>C</w:t>
            </w:r>
          </w:p>
        </w:tc>
        <w:tc>
          <w:tcPr>
            <w:tcW w:w="1905"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2288F7F" w14:textId="77777777" w:rsidR="00401786" w:rsidRDefault="00401786" w:rsidP="000E757E">
            <w:pPr>
              <w:snapToGrid w:val="0"/>
              <w:spacing w:line="240" w:lineRule="atLeast"/>
              <w:jc w:val="center"/>
              <w:rPr>
                <w:rFonts w:eastAsia="標楷體"/>
                <w:color w:val="000000"/>
              </w:rPr>
            </w:pPr>
          </w:p>
        </w:tc>
        <w:tc>
          <w:tcPr>
            <w:tcW w:w="97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1601B6" w14:textId="77777777" w:rsidR="00401786" w:rsidRDefault="00C64FB3" w:rsidP="000E757E">
            <w:pPr>
              <w:snapToGrid w:val="0"/>
              <w:spacing w:line="240" w:lineRule="atLeast"/>
              <w:jc w:val="center"/>
              <w:rPr>
                <w:rFonts w:eastAsia="標楷體"/>
                <w:color w:val="000000"/>
              </w:rPr>
            </w:pPr>
            <w:r>
              <w:rPr>
                <w:rFonts w:eastAsia="標楷體"/>
                <w:color w:val="000000"/>
              </w:rPr>
              <w:t>其他</w:t>
            </w:r>
            <w:r>
              <w:rPr>
                <w:rFonts w:eastAsia="標楷體"/>
                <w:color w:val="000000"/>
              </w:rPr>
              <w:t>:</w:t>
            </w:r>
          </w:p>
        </w:tc>
        <w:tc>
          <w:tcPr>
            <w:tcW w:w="215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C4C5F48" w14:textId="77777777" w:rsidR="00401786" w:rsidRDefault="00401786" w:rsidP="000E757E">
            <w:pPr>
              <w:snapToGrid w:val="0"/>
              <w:spacing w:line="240" w:lineRule="atLeast"/>
              <w:rPr>
                <w:rFonts w:eastAsia="標楷體"/>
                <w:color w:val="000000"/>
              </w:rPr>
            </w:pPr>
          </w:p>
        </w:tc>
      </w:tr>
      <w:tr w:rsidR="00401786" w14:paraId="4543BDBF" w14:textId="77777777">
        <w:trPr>
          <w:cantSplit/>
          <w:trHeight w:val="880"/>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02BDAF" w14:textId="77777777" w:rsidR="00401786" w:rsidRDefault="00C64FB3" w:rsidP="000E757E">
            <w:pPr>
              <w:snapToGrid w:val="0"/>
              <w:spacing w:line="240" w:lineRule="atLeast"/>
              <w:jc w:val="center"/>
            </w:pPr>
            <w:proofErr w:type="gramStart"/>
            <w:r>
              <w:rPr>
                <w:rFonts w:ascii="標楷體" w:eastAsia="標楷體" w:hAnsi="標楷體" w:cs="標楷體"/>
                <w:color w:val="000000"/>
              </w:rPr>
              <w:t>抗體力價</w:t>
            </w:r>
            <w:proofErr w:type="gramEnd"/>
          </w:p>
        </w:tc>
        <w:tc>
          <w:tcPr>
            <w:tcW w:w="1080"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33C3D4" w14:textId="77777777" w:rsidR="00401786" w:rsidRDefault="00C64FB3" w:rsidP="000E757E">
            <w:pPr>
              <w:pStyle w:val="1"/>
              <w:keepNext w:val="0"/>
              <w:snapToGrid w:val="0"/>
              <w:spacing w:line="240" w:lineRule="atLeast"/>
              <w:rPr>
                <w:b w:val="0"/>
                <w:bCs w:val="0"/>
                <w:color w:val="000000"/>
                <w:sz w:val="24"/>
                <w:szCs w:val="24"/>
              </w:rPr>
            </w:pPr>
            <w:bookmarkStart w:id="98" w:name="_Toc697228"/>
            <w:bookmarkStart w:id="99" w:name="_Toc700817"/>
            <w:bookmarkStart w:id="100" w:name="_Toc1883000"/>
            <w:r>
              <w:rPr>
                <w:b w:val="0"/>
                <w:bCs w:val="0"/>
                <w:color w:val="000000"/>
                <w:sz w:val="24"/>
                <w:szCs w:val="24"/>
              </w:rPr>
              <w:t>VIII Ab</w:t>
            </w:r>
            <w:bookmarkEnd w:id="98"/>
            <w:bookmarkEnd w:id="99"/>
            <w:bookmarkEnd w:id="100"/>
          </w:p>
        </w:tc>
        <w:tc>
          <w:tcPr>
            <w:tcW w:w="3720" w:type="dxa"/>
            <w:gridSpan w:val="10"/>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EC9361" w14:textId="77777777" w:rsidR="00401786" w:rsidRDefault="00C64FB3" w:rsidP="000E757E">
            <w:pPr>
              <w:snapToGrid w:val="0"/>
              <w:spacing w:line="240" w:lineRule="atLeast"/>
            </w:pPr>
            <w:r>
              <w:rPr>
                <w:rFonts w:eastAsia="標楷體"/>
                <w:color w:val="000000"/>
              </w:rPr>
              <w:t xml:space="preserve">(1)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w:t>
            </w:r>
            <w:r>
              <w:t xml:space="preserve"> </w:t>
            </w:r>
            <w:r>
              <w:rPr>
                <w:rFonts w:eastAsia="標楷體"/>
                <w:color w:val="000000"/>
              </w:rPr>
              <w:t>mL</w:t>
            </w:r>
          </w:p>
        </w:tc>
        <w:tc>
          <w:tcPr>
            <w:tcW w:w="4076"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DEB147" w14:textId="77777777" w:rsidR="00401786" w:rsidRDefault="00C64FB3" w:rsidP="000E757E">
            <w:pPr>
              <w:snapToGrid w:val="0"/>
              <w:spacing w:line="240" w:lineRule="atLeast"/>
              <w:rPr>
                <w:rFonts w:eastAsia="標楷體"/>
                <w:color w:val="000000"/>
              </w:rPr>
            </w:pPr>
            <w:r>
              <w:rPr>
                <w:rFonts w:eastAsia="標楷體"/>
                <w:color w:val="000000"/>
              </w:rPr>
              <w:t xml:space="preserve">(2)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BU/mL</w:t>
            </w:r>
          </w:p>
        </w:tc>
      </w:tr>
      <w:tr w:rsidR="00401786" w14:paraId="7D549112" w14:textId="77777777">
        <w:trPr>
          <w:cantSplit/>
          <w:trHeight w:val="880"/>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D310C4" w14:textId="77777777" w:rsidR="00401786" w:rsidRDefault="00401786" w:rsidP="000E757E">
            <w:pPr>
              <w:snapToGrid w:val="0"/>
              <w:spacing w:line="240" w:lineRule="atLeast"/>
              <w:jc w:val="center"/>
              <w:rPr>
                <w:rFonts w:ascii="標楷體" w:eastAsia="標楷體" w:hAnsi="標楷體"/>
                <w:color w:val="000000"/>
              </w:rPr>
            </w:pPr>
          </w:p>
        </w:tc>
        <w:tc>
          <w:tcPr>
            <w:tcW w:w="1080"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371AE1" w14:textId="77777777" w:rsidR="00401786" w:rsidRDefault="00C64FB3" w:rsidP="000E757E">
            <w:pPr>
              <w:pStyle w:val="1"/>
              <w:keepNext w:val="0"/>
              <w:snapToGrid w:val="0"/>
              <w:spacing w:line="240" w:lineRule="atLeast"/>
              <w:rPr>
                <w:b w:val="0"/>
                <w:bCs w:val="0"/>
                <w:color w:val="000000"/>
                <w:sz w:val="24"/>
                <w:szCs w:val="24"/>
              </w:rPr>
            </w:pPr>
            <w:bookmarkStart w:id="101" w:name="_Toc697229"/>
            <w:bookmarkStart w:id="102" w:name="_Toc700818"/>
            <w:bookmarkStart w:id="103" w:name="_Toc1883001"/>
            <w:r>
              <w:rPr>
                <w:b w:val="0"/>
                <w:bCs w:val="0"/>
                <w:color w:val="000000"/>
                <w:sz w:val="24"/>
                <w:szCs w:val="24"/>
              </w:rPr>
              <w:t>IX Ab</w:t>
            </w:r>
            <w:bookmarkEnd w:id="101"/>
            <w:bookmarkEnd w:id="102"/>
            <w:bookmarkEnd w:id="103"/>
          </w:p>
        </w:tc>
        <w:tc>
          <w:tcPr>
            <w:tcW w:w="3720" w:type="dxa"/>
            <w:gridSpan w:val="10"/>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0EDDE4" w14:textId="77777777" w:rsidR="00401786" w:rsidRDefault="00C64FB3" w:rsidP="000E757E">
            <w:pPr>
              <w:snapToGrid w:val="0"/>
              <w:spacing w:line="240" w:lineRule="atLeast"/>
            </w:pPr>
            <w:r>
              <w:rPr>
                <w:rFonts w:eastAsia="標楷體"/>
                <w:color w:val="000000"/>
              </w:rPr>
              <w:t xml:space="preserve">(1)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w:t>
            </w:r>
            <w:r>
              <w:t xml:space="preserve"> </w:t>
            </w:r>
            <w:r>
              <w:rPr>
                <w:rFonts w:eastAsia="標楷體"/>
                <w:color w:val="000000"/>
              </w:rPr>
              <w:t>mL</w:t>
            </w:r>
          </w:p>
        </w:tc>
        <w:tc>
          <w:tcPr>
            <w:tcW w:w="4076"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63377D" w14:textId="77777777" w:rsidR="00401786" w:rsidRDefault="00C64FB3" w:rsidP="000E757E">
            <w:pPr>
              <w:snapToGrid w:val="0"/>
              <w:spacing w:line="240" w:lineRule="atLeast"/>
            </w:pPr>
            <w:r>
              <w:rPr>
                <w:rFonts w:eastAsia="標楷體"/>
                <w:color w:val="000000"/>
              </w:rPr>
              <w:t xml:space="preserve">(2)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w:t>
            </w:r>
            <w:r>
              <w:t xml:space="preserve"> </w:t>
            </w:r>
            <w:r>
              <w:rPr>
                <w:rFonts w:eastAsia="標楷體"/>
                <w:color w:val="000000"/>
              </w:rPr>
              <w:t>mL</w:t>
            </w:r>
          </w:p>
        </w:tc>
      </w:tr>
      <w:tr w:rsidR="00401786" w14:paraId="600E3790" w14:textId="77777777">
        <w:trPr>
          <w:cantSplit/>
          <w:trHeight w:val="588"/>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4E5780" w14:textId="77777777" w:rsidR="00401786" w:rsidRDefault="00C64FB3" w:rsidP="000E757E">
            <w:pPr>
              <w:snapToGrid w:val="0"/>
              <w:spacing w:line="240" w:lineRule="atLeast"/>
              <w:jc w:val="center"/>
            </w:pPr>
            <w:r>
              <w:rPr>
                <w:rFonts w:ascii="標楷體" w:eastAsia="標楷體" w:hAnsi="標楷體" w:cs="標楷體"/>
                <w:color w:val="000000"/>
              </w:rPr>
              <w:t>治療情形</w:t>
            </w:r>
          </w:p>
        </w:tc>
        <w:tc>
          <w:tcPr>
            <w:tcW w:w="3360" w:type="dxa"/>
            <w:gridSpan w:val="11"/>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7F9BFF" w14:textId="77777777" w:rsidR="00401786" w:rsidRDefault="00C64FB3" w:rsidP="000E757E">
            <w:pPr>
              <w:snapToGrid w:val="0"/>
              <w:spacing w:line="240" w:lineRule="atLeast"/>
            </w:pPr>
            <w:r>
              <w:rPr>
                <w:rFonts w:eastAsia="標楷體"/>
                <w:color w:val="000000"/>
              </w:rPr>
              <w:t>(1)</w:t>
            </w:r>
            <w:r>
              <w:rPr>
                <w:rFonts w:eastAsia="標楷體"/>
                <w:color w:val="000000"/>
              </w:rPr>
              <w:t>藥物及劑量：</w:t>
            </w:r>
          </w:p>
        </w:tc>
        <w:tc>
          <w:tcPr>
            <w:tcW w:w="21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2905EF3" w14:textId="77777777" w:rsidR="00401786" w:rsidRDefault="00C64FB3" w:rsidP="000E757E">
            <w:pPr>
              <w:snapToGrid w:val="0"/>
              <w:spacing w:line="240" w:lineRule="atLeast"/>
            </w:pPr>
            <w:r>
              <w:rPr>
                <w:rFonts w:ascii="標楷體" w:eastAsia="標楷體" w:hAnsi="標楷體" w:cs="標楷體"/>
                <w:color w:val="000000"/>
              </w:rPr>
              <w:t xml:space="preserve">    年  月  日至  年  月  日</w:t>
            </w:r>
          </w:p>
        </w:tc>
        <w:tc>
          <w:tcPr>
            <w:tcW w:w="7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7977DE5" w14:textId="77777777" w:rsidR="00401786" w:rsidRDefault="00C64FB3" w:rsidP="000E757E">
            <w:pPr>
              <w:snapToGrid w:val="0"/>
              <w:spacing w:line="240" w:lineRule="atLeast"/>
              <w:jc w:val="center"/>
            </w:pPr>
            <w:r>
              <w:rPr>
                <w:rFonts w:ascii="標楷體" w:eastAsia="標楷體" w:hAnsi="標楷體" w:cs="標楷體"/>
                <w:color w:val="000000"/>
              </w:rPr>
              <w:t>療效</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C5B06D" w14:textId="77777777" w:rsidR="00401786" w:rsidRDefault="00401786" w:rsidP="000E757E">
            <w:pPr>
              <w:snapToGrid w:val="0"/>
              <w:spacing w:line="240" w:lineRule="atLeast"/>
              <w:rPr>
                <w:rFonts w:ascii="標楷體" w:eastAsia="標楷體" w:hAnsi="標楷體"/>
                <w:color w:val="000000"/>
              </w:rPr>
            </w:pPr>
          </w:p>
        </w:tc>
      </w:tr>
      <w:tr w:rsidR="00401786" w14:paraId="6C08CBEA" w14:textId="77777777">
        <w:trPr>
          <w:cantSplit/>
          <w:trHeight w:val="586"/>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7673B8" w14:textId="77777777" w:rsidR="00401786" w:rsidRDefault="00401786" w:rsidP="000E757E">
            <w:pPr>
              <w:snapToGrid w:val="0"/>
              <w:spacing w:line="240" w:lineRule="atLeast"/>
              <w:jc w:val="center"/>
              <w:rPr>
                <w:rFonts w:ascii="標楷體" w:eastAsia="標楷體" w:hAnsi="標楷體"/>
                <w:color w:val="000000"/>
              </w:rPr>
            </w:pPr>
          </w:p>
        </w:tc>
        <w:tc>
          <w:tcPr>
            <w:tcW w:w="3360" w:type="dxa"/>
            <w:gridSpan w:val="11"/>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421C9C" w14:textId="77777777" w:rsidR="00401786" w:rsidRDefault="00C64FB3" w:rsidP="000E757E">
            <w:pPr>
              <w:snapToGrid w:val="0"/>
              <w:spacing w:line="240" w:lineRule="atLeast"/>
            </w:pPr>
            <w:r>
              <w:rPr>
                <w:rFonts w:eastAsia="標楷體"/>
                <w:color w:val="000000"/>
              </w:rPr>
              <w:t>(2)</w:t>
            </w:r>
            <w:r>
              <w:rPr>
                <w:rFonts w:eastAsia="標楷體"/>
                <w:color w:val="000000"/>
              </w:rPr>
              <w:t>藥物及劑量：</w:t>
            </w:r>
          </w:p>
        </w:tc>
        <w:tc>
          <w:tcPr>
            <w:tcW w:w="21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E503A15" w14:textId="77777777" w:rsidR="00401786" w:rsidRDefault="00C64FB3" w:rsidP="000E757E">
            <w:pPr>
              <w:snapToGrid w:val="0"/>
              <w:spacing w:line="240" w:lineRule="atLeast"/>
            </w:pPr>
            <w:r>
              <w:rPr>
                <w:rFonts w:ascii="標楷體" w:eastAsia="標楷體" w:hAnsi="標楷體" w:cs="標楷體"/>
                <w:color w:val="000000"/>
              </w:rPr>
              <w:t xml:space="preserve">    年  月  日至  年  月  日</w:t>
            </w:r>
          </w:p>
        </w:tc>
        <w:tc>
          <w:tcPr>
            <w:tcW w:w="7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6D0EDF4" w14:textId="77777777" w:rsidR="00401786" w:rsidRDefault="00C64FB3" w:rsidP="000E757E">
            <w:pPr>
              <w:snapToGrid w:val="0"/>
              <w:spacing w:line="240" w:lineRule="atLeast"/>
              <w:jc w:val="center"/>
            </w:pPr>
            <w:r>
              <w:rPr>
                <w:rFonts w:ascii="標楷體" w:eastAsia="標楷體" w:hAnsi="標楷體" w:cs="標楷體"/>
                <w:color w:val="000000"/>
              </w:rPr>
              <w:t>療效</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457792" w14:textId="77777777" w:rsidR="00401786" w:rsidRDefault="00401786" w:rsidP="000E757E">
            <w:pPr>
              <w:snapToGrid w:val="0"/>
              <w:spacing w:line="240" w:lineRule="atLeast"/>
              <w:rPr>
                <w:rFonts w:ascii="標楷體" w:eastAsia="標楷體" w:hAnsi="標楷體"/>
                <w:color w:val="000000"/>
              </w:rPr>
            </w:pPr>
          </w:p>
        </w:tc>
      </w:tr>
      <w:tr w:rsidR="00401786" w14:paraId="5A3F1354" w14:textId="77777777">
        <w:trPr>
          <w:cantSplit/>
          <w:trHeight w:val="586"/>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83D2D6" w14:textId="77777777" w:rsidR="00401786" w:rsidRDefault="00401786" w:rsidP="000E757E">
            <w:pPr>
              <w:snapToGrid w:val="0"/>
              <w:spacing w:line="240" w:lineRule="atLeast"/>
              <w:jc w:val="center"/>
              <w:rPr>
                <w:rFonts w:ascii="標楷體" w:eastAsia="標楷體" w:hAnsi="標楷體"/>
                <w:color w:val="000000"/>
              </w:rPr>
            </w:pPr>
          </w:p>
        </w:tc>
        <w:tc>
          <w:tcPr>
            <w:tcW w:w="3360" w:type="dxa"/>
            <w:gridSpan w:val="11"/>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3C14E9" w14:textId="77777777" w:rsidR="00401786" w:rsidRDefault="00C64FB3" w:rsidP="000E757E">
            <w:pPr>
              <w:snapToGrid w:val="0"/>
              <w:spacing w:line="240" w:lineRule="atLeast"/>
            </w:pPr>
            <w:r>
              <w:rPr>
                <w:rFonts w:eastAsia="標楷體"/>
                <w:color w:val="000000"/>
              </w:rPr>
              <w:t>(3)</w:t>
            </w:r>
            <w:r>
              <w:rPr>
                <w:rFonts w:eastAsia="標楷體"/>
                <w:color w:val="000000"/>
              </w:rPr>
              <w:t>藥物及劑量：</w:t>
            </w:r>
          </w:p>
        </w:tc>
        <w:tc>
          <w:tcPr>
            <w:tcW w:w="21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FB1F2F" w14:textId="77777777" w:rsidR="00401786" w:rsidRDefault="00C64FB3" w:rsidP="000E757E">
            <w:pPr>
              <w:snapToGrid w:val="0"/>
              <w:spacing w:line="240" w:lineRule="atLeast"/>
            </w:pPr>
            <w:r>
              <w:rPr>
                <w:rFonts w:ascii="標楷體" w:eastAsia="標楷體" w:hAnsi="標楷體" w:cs="標楷體"/>
                <w:color w:val="000000"/>
              </w:rPr>
              <w:t xml:space="preserve">    年  月  日至  年  月  日</w:t>
            </w:r>
          </w:p>
        </w:tc>
        <w:tc>
          <w:tcPr>
            <w:tcW w:w="7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FE84789" w14:textId="77777777" w:rsidR="00401786" w:rsidRDefault="00C64FB3" w:rsidP="000E757E">
            <w:pPr>
              <w:snapToGrid w:val="0"/>
              <w:spacing w:line="240" w:lineRule="atLeast"/>
              <w:jc w:val="center"/>
            </w:pPr>
            <w:r>
              <w:rPr>
                <w:rFonts w:ascii="標楷體" w:eastAsia="標楷體" w:hAnsi="標楷體" w:cs="標楷體"/>
                <w:color w:val="000000"/>
              </w:rPr>
              <w:t>療效</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0D172D" w14:textId="77777777" w:rsidR="00401786" w:rsidRDefault="00401786" w:rsidP="000E757E">
            <w:pPr>
              <w:snapToGrid w:val="0"/>
              <w:spacing w:line="240" w:lineRule="atLeast"/>
              <w:rPr>
                <w:rFonts w:ascii="標楷體" w:eastAsia="標楷體" w:hAnsi="標楷體"/>
                <w:color w:val="000000"/>
              </w:rPr>
            </w:pPr>
          </w:p>
        </w:tc>
      </w:tr>
    </w:tbl>
    <w:p w14:paraId="40D572A1" w14:textId="77777777" w:rsidR="00401786" w:rsidRDefault="00C64FB3" w:rsidP="000E757E">
      <w:pPr>
        <w:snapToGrid w:val="0"/>
        <w:spacing w:line="240" w:lineRule="atLeast"/>
      </w:pPr>
      <w:r>
        <w:rPr>
          <w:rFonts w:ascii="標楷體" w:eastAsia="標楷體" w:hAnsi="標楷體" w:cs="標楷體"/>
          <w:b/>
          <w:u w:val="single"/>
        </w:rPr>
        <w:t>備註：檢送之</w:t>
      </w:r>
      <w:proofErr w:type="gramStart"/>
      <w:r>
        <w:rPr>
          <w:rFonts w:ascii="標楷體" w:eastAsia="標楷體" w:hAnsi="標楷體" w:cs="標楷體"/>
          <w:b/>
          <w:u w:val="single"/>
        </w:rPr>
        <w:t>抗體力價報告</w:t>
      </w:r>
      <w:proofErr w:type="gramEnd"/>
      <w:r>
        <w:rPr>
          <w:rFonts w:ascii="標楷體" w:eastAsia="標楷體" w:hAnsi="標楷體" w:cs="標楷體"/>
          <w:b/>
          <w:u w:val="single"/>
        </w:rPr>
        <w:t>為最近3個月。</w:t>
      </w:r>
    </w:p>
    <w:p w14:paraId="579B60A8" w14:textId="77777777" w:rsidR="00401786" w:rsidRDefault="00401786" w:rsidP="000E757E">
      <w:pPr>
        <w:snapToGrid w:val="0"/>
        <w:spacing w:line="240" w:lineRule="atLeast"/>
        <w:rPr>
          <w:rFonts w:ascii="標楷體" w:eastAsia="標楷體" w:hAnsi="標楷體" w:cs="標楷體"/>
          <w:color w:val="000000"/>
        </w:rPr>
      </w:pPr>
    </w:p>
    <w:p w14:paraId="7ED7E285" w14:textId="77777777" w:rsidR="00401786" w:rsidRDefault="00C64FB3" w:rsidP="000E757E">
      <w:pPr>
        <w:snapToGrid w:val="0"/>
        <w:spacing w:line="240" w:lineRule="atLeast"/>
        <w:rPr>
          <w:rFonts w:ascii="標楷體" w:eastAsia="標楷體" w:hAnsi="標楷體" w:cs="標楷體"/>
          <w:color w:val="000000"/>
        </w:rPr>
      </w:pPr>
      <w:r>
        <w:rPr>
          <w:rFonts w:ascii="標楷體" w:eastAsia="標楷體" w:hAnsi="標楷體" w:cs="標楷體"/>
          <w:color w:val="000000"/>
        </w:rPr>
        <w:t>申報醫師：</w:t>
      </w:r>
    </w:p>
    <w:p w14:paraId="3B1A122F" w14:textId="77777777" w:rsidR="00401786" w:rsidRDefault="00401786" w:rsidP="000E757E">
      <w:pPr>
        <w:snapToGrid w:val="0"/>
        <w:spacing w:line="240" w:lineRule="atLeast"/>
        <w:rPr>
          <w:rFonts w:ascii="標楷體" w:eastAsia="標楷體" w:hAnsi="標楷體"/>
          <w:color w:val="000000"/>
        </w:rPr>
      </w:pPr>
    </w:p>
    <w:p w14:paraId="7238774D" w14:textId="1676D149" w:rsidR="00401786" w:rsidRPr="00692FEF" w:rsidRDefault="00C64FB3" w:rsidP="000E757E">
      <w:pPr>
        <w:pageBreakBefore/>
        <w:snapToGrid w:val="0"/>
        <w:spacing w:line="240" w:lineRule="atLeast"/>
        <w:jc w:val="center"/>
        <w:rPr>
          <w:sz w:val="22"/>
          <w:szCs w:val="20"/>
        </w:rPr>
      </w:pPr>
      <w:r w:rsidRPr="00692FEF">
        <w:rPr>
          <w:rFonts w:ascii="標楷體" w:eastAsia="標楷體" w:hAnsi="標楷體"/>
          <w:color w:val="000000"/>
          <w:sz w:val="28"/>
          <w:szCs w:val="28"/>
        </w:rPr>
        <w:lastRenderedPageBreak/>
        <w:t>附表六</w:t>
      </w:r>
      <w:r w:rsidR="00455C9A">
        <w:rPr>
          <w:rFonts w:ascii="標楷體" w:eastAsia="標楷體" w:hAnsi="標楷體" w:hint="eastAsia"/>
          <w:color w:val="000000"/>
          <w:sz w:val="28"/>
          <w:szCs w:val="28"/>
        </w:rPr>
        <w:t xml:space="preserve"> </w:t>
      </w:r>
      <w:r w:rsidRPr="00692FEF">
        <w:rPr>
          <w:rFonts w:ascii="標楷體" w:eastAsia="標楷體" w:hAnsi="標楷體"/>
          <w:color w:val="000000"/>
          <w:sz w:val="28"/>
          <w:szCs w:val="28"/>
        </w:rPr>
        <w:t>全民健康保險使用</w:t>
      </w:r>
      <w:proofErr w:type="spellStart"/>
      <w:r w:rsidRPr="00692FEF">
        <w:rPr>
          <w:rFonts w:ascii="標楷體" w:eastAsia="標楷體" w:hAnsi="標楷體"/>
          <w:b/>
          <w:color w:val="000000"/>
          <w:szCs w:val="24"/>
        </w:rPr>
        <w:t>IntravenousImmuneGlobulin</w:t>
      </w:r>
      <w:proofErr w:type="spellEnd"/>
      <w:r w:rsidRPr="00692FEF">
        <w:rPr>
          <w:rFonts w:ascii="標楷體" w:eastAsia="標楷體" w:hAnsi="標楷體"/>
          <w:b/>
          <w:color w:val="000000"/>
          <w:szCs w:val="24"/>
        </w:rPr>
        <w:t>(IVIG)</w:t>
      </w:r>
    </w:p>
    <w:p w14:paraId="7B45CA31" w14:textId="77777777" w:rsidR="00401786" w:rsidRPr="00692FEF" w:rsidRDefault="00C64FB3" w:rsidP="000E757E">
      <w:pPr>
        <w:snapToGrid w:val="0"/>
        <w:spacing w:line="240" w:lineRule="atLeast"/>
        <w:jc w:val="center"/>
        <w:rPr>
          <w:sz w:val="22"/>
          <w:szCs w:val="20"/>
        </w:rPr>
      </w:pPr>
      <w:r w:rsidRPr="00692FEF">
        <w:rPr>
          <w:rFonts w:ascii="標楷體" w:eastAsia="標楷體" w:hAnsi="標楷體"/>
          <w:color w:val="000000"/>
          <w:sz w:val="28"/>
          <w:szCs w:val="28"/>
        </w:rPr>
        <w:t>治療川崎病(</w:t>
      </w:r>
      <w:proofErr w:type="spellStart"/>
      <w:r w:rsidRPr="00692FEF">
        <w:rPr>
          <w:rFonts w:ascii="標楷體" w:eastAsia="標楷體" w:hAnsi="標楷體"/>
          <w:color w:val="000000"/>
          <w:sz w:val="28"/>
          <w:szCs w:val="28"/>
        </w:rPr>
        <w:t>KawasakiDisease</w:t>
      </w:r>
      <w:proofErr w:type="spellEnd"/>
      <w:r w:rsidRPr="00692FEF">
        <w:rPr>
          <w:rFonts w:ascii="標楷體" w:eastAsia="標楷體" w:hAnsi="標楷體"/>
          <w:color w:val="000000"/>
          <w:sz w:val="28"/>
          <w:szCs w:val="28"/>
        </w:rPr>
        <w:t>)申請表</w:t>
      </w:r>
    </w:p>
    <w:tbl>
      <w:tblPr>
        <w:tblW w:w="9028" w:type="dxa"/>
        <w:tblLayout w:type="fixed"/>
        <w:tblCellMar>
          <w:left w:w="10" w:type="dxa"/>
          <w:right w:w="10" w:type="dxa"/>
        </w:tblCellMar>
        <w:tblLook w:val="0000" w:firstRow="0" w:lastRow="0" w:firstColumn="0" w:lastColumn="0" w:noHBand="0" w:noVBand="0"/>
      </w:tblPr>
      <w:tblGrid>
        <w:gridCol w:w="1393"/>
        <w:gridCol w:w="1695"/>
        <w:gridCol w:w="720"/>
        <w:gridCol w:w="540"/>
        <w:gridCol w:w="720"/>
        <w:gridCol w:w="900"/>
        <w:gridCol w:w="1393"/>
        <w:gridCol w:w="1667"/>
      </w:tblGrid>
      <w:tr w:rsidR="00401786" w:rsidRPr="007B31F0" w14:paraId="344AA24F" w14:textId="77777777">
        <w:trPr>
          <w:cantSplit/>
        </w:trPr>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F6AB88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醫院代號</w:t>
            </w:r>
          </w:p>
        </w:tc>
        <w:tc>
          <w:tcPr>
            <w:tcW w:w="1695" w:type="dxa"/>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7C350CB1" w14:textId="77777777" w:rsidR="00401786" w:rsidRPr="007B31F0" w:rsidRDefault="00401786" w:rsidP="000E757E">
            <w:pPr>
              <w:snapToGrid w:val="0"/>
              <w:spacing w:line="240" w:lineRule="atLeast"/>
              <w:rPr>
                <w:rFonts w:ascii="標楷體" w:eastAsia="標楷體" w:hAnsi="標楷體"/>
                <w:color w:val="000000"/>
                <w:szCs w:val="24"/>
              </w:rPr>
            </w:pPr>
          </w:p>
        </w:tc>
        <w:tc>
          <w:tcPr>
            <w:tcW w:w="1260"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A34EEB8"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醫院名稱</w:t>
            </w:r>
          </w:p>
        </w:tc>
        <w:tc>
          <w:tcPr>
            <w:tcW w:w="1620" w:type="dxa"/>
            <w:gridSpan w:val="2"/>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7BB6CB9A"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EADCD14"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申請日期</w:t>
            </w:r>
          </w:p>
        </w:tc>
        <w:tc>
          <w:tcPr>
            <w:tcW w:w="1667"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CA1551A"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28CB814F"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E417EB3"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病人姓名</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21A6763E" w14:textId="77777777" w:rsidR="00401786" w:rsidRPr="007B31F0" w:rsidRDefault="00401786" w:rsidP="000E757E">
            <w:pPr>
              <w:snapToGrid w:val="0"/>
              <w:spacing w:line="240" w:lineRule="atLeast"/>
              <w:rPr>
                <w:rFonts w:ascii="標楷體" w:eastAsia="標楷體" w:hAnsi="標楷體"/>
                <w:color w:val="000000"/>
                <w:szCs w:val="24"/>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A12DA8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性別</w:t>
            </w:r>
          </w:p>
        </w:tc>
        <w:tc>
          <w:tcPr>
            <w:tcW w:w="54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0554043" w14:textId="77777777" w:rsidR="00401786" w:rsidRPr="007B31F0" w:rsidRDefault="00401786" w:rsidP="000E757E">
            <w:pPr>
              <w:snapToGrid w:val="0"/>
              <w:spacing w:line="240" w:lineRule="atLeast"/>
              <w:rPr>
                <w:rFonts w:ascii="標楷體" w:eastAsia="標楷體" w:hAnsi="標楷體"/>
                <w:color w:val="000000"/>
                <w:szCs w:val="24"/>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18F0310"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年齡</w:t>
            </w:r>
          </w:p>
        </w:tc>
        <w:tc>
          <w:tcPr>
            <w:tcW w:w="90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675438B"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BAD175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出生日期</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A6466E0"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006C8C96"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22C76B0"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身份證號</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ED20040" w14:textId="77777777" w:rsidR="00401786" w:rsidRPr="007B31F0" w:rsidRDefault="00401786" w:rsidP="000E757E">
            <w:pPr>
              <w:snapToGrid w:val="0"/>
              <w:spacing w:line="240" w:lineRule="atLeast"/>
              <w:rPr>
                <w:rFonts w:ascii="標楷體" w:eastAsia="標楷體" w:hAnsi="標楷體"/>
                <w:color w:val="000000"/>
                <w:szCs w:val="24"/>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9606792"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病歷號碼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02724175"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445CAE4"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體重</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4857F2C"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4EA9E9A1"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F5A028C"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藥品名稱</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B20AD93" w14:textId="77777777" w:rsidR="00401786" w:rsidRPr="007B31F0" w:rsidRDefault="00401786" w:rsidP="000E757E">
            <w:pPr>
              <w:snapToGrid w:val="0"/>
              <w:spacing w:line="240" w:lineRule="atLeast"/>
              <w:rPr>
                <w:rFonts w:ascii="標楷體" w:eastAsia="標楷體" w:hAnsi="標楷體"/>
                <w:color w:val="000000"/>
                <w:szCs w:val="24"/>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FAF90E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藥品代碼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D55F596"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5BB39E9"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申請數量</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AA95EE1"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1F5B115C" w14:textId="77777777">
        <w:trPr>
          <w:cantSplit/>
        </w:trPr>
        <w:tc>
          <w:tcPr>
            <w:tcW w:w="1393" w:type="dxa"/>
            <w:tcBorders>
              <w:top w:val="single" w:sz="6" w:space="0" w:color="000000"/>
              <w:left w:val="double" w:sz="6" w:space="0" w:color="000000"/>
              <w:bottom w:val="double" w:sz="6" w:space="0" w:color="000000"/>
            </w:tcBorders>
            <w:shd w:val="clear" w:color="auto" w:fill="auto"/>
            <w:tcMar>
              <w:top w:w="0" w:type="dxa"/>
              <w:left w:w="28" w:type="dxa"/>
              <w:bottom w:w="0" w:type="dxa"/>
              <w:right w:w="28" w:type="dxa"/>
            </w:tcMar>
          </w:tcPr>
          <w:p w14:paraId="6774A41F"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使用期間</w:t>
            </w:r>
          </w:p>
        </w:tc>
        <w:tc>
          <w:tcPr>
            <w:tcW w:w="4575" w:type="dxa"/>
            <w:gridSpan w:val="5"/>
            <w:tcBorders>
              <w:top w:val="single" w:sz="6" w:space="0" w:color="000000"/>
              <w:left w:val="single" w:sz="6" w:space="0" w:color="000000"/>
              <w:bottom w:val="double" w:sz="6" w:space="0" w:color="000000"/>
            </w:tcBorders>
            <w:shd w:val="clear" w:color="auto" w:fill="auto"/>
            <w:tcMar>
              <w:top w:w="0" w:type="dxa"/>
              <w:left w:w="28" w:type="dxa"/>
              <w:bottom w:w="0" w:type="dxa"/>
              <w:right w:w="28" w:type="dxa"/>
            </w:tcMar>
          </w:tcPr>
          <w:p w14:paraId="00C922EA"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自　年　月　日　至　年　月　日</w:t>
            </w:r>
          </w:p>
        </w:tc>
        <w:tc>
          <w:tcPr>
            <w:tcW w:w="1393"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F4D22D4"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用法用量</w:t>
            </w:r>
          </w:p>
        </w:tc>
        <w:tc>
          <w:tcPr>
            <w:tcW w:w="1667"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D3E0539" w14:textId="77777777" w:rsidR="00401786" w:rsidRPr="007B31F0" w:rsidRDefault="00401786" w:rsidP="000E757E">
            <w:pPr>
              <w:snapToGrid w:val="0"/>
              <w:spacing w:line="240" w:lineRule="atLeast"/>
              <w:rPr>
                <w:rFonts w:ascii="標楷體" w:eastAsia="標楷體" w:hAnsi="標楷體"/>
                <w:color w:val="000000"/>
                <w:szCs w:val="24"/>
              </w:rPr>
            </w:pPr>
          </w:p>
        </w:tc>
      </w:tr>
    </w:tbl>
    <w:p w14:paraId="03B5AC00" w14:textId="77777777" w:rsidR="00401786" w:rsidRPr="007B31F0" w:rsidRDefault="00C64FB3">
      <w:pPr>
        <w:numPr>
          <w:ilvl w:val="0"/>
          <w:numId w:val="49"/>
        </w:numPr>
        <w:snapToGrid w:val="0"/>
        <w:spacing w:line="240" w:lineRule="atLeast"/>
        <w:rPr>
          <w:szCs w:val="24"/>
        </w:rPr>
      </w:pPr>
      <w:r w:rsidRPr="007B31F0">
        <w:rPr>
          <w:rFonts w:ascii="標楷體" w:eastAsia="標楷體" w:hAnsi="標楷體"/>
          <w:color w:val="000000"/>
          <w:szCs w:val="24"/>
        </w:rPr>
        <w:t>臨床症狀</w:t>
      </w:r>
    </w:p>
    <w:p w14:paraId="6B942A9A"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 xml:space="preserve">　</w:t>
      </w:r>
      <w:r w:rsidRPr="007B31F0">
        <w:rPr>
          <w:rFonts w:ascii="標楷體" w:eastAsia="標楷體" w:hAnsi="標楷體" w:cs="標楷體"/>
          <w:color w:val="000000"/>
          <w:szCs w:val="24"/>
        </w:rPr>
        <w:t>□</w:t>
      </w:r>
      <w:r w:rsidRPr="007B31F0">
        <w:rPr>
          <w:rFonts w:ascii="標楷體" w:eastAsia="標楷體" w:hAnsi="標楷體"/>
          <w:color w:val="000000"/>
          <w:szCs w:val="24"/>
        </w:rPr>
        <w:t>發燒五天或五天以上</w:t>
      </w:r>
    </w:p>
    <w:p w14:paraId="2E335566"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且合併下列五項臨床症狀中至少四項：</w:t>
      </w:r>
    </w:p>
    <w:p w14:paraId="026002D9"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w:t>
      </w:r>
      <w:proofErr w:type="gramStart"/>
      <w:r w:rsidRPr="007B31F0">
        <w:rPr>
          <w:rFonts w:ascii="標楷體" w:eastAsia="標楷體" w:hAnsi="標楷體" w:cs="標楷體"/>
          <w:color w:val="000000"/>
          <w:szCs w:val="24"/>
        </w:rPr>
        <w:t>肢端病變</w:t>
      </w:r>
      <w:proofErr w:type="gramEnd"/>
      <w:r w:rsidRPr="007B31F0">
        <w:rPr>
          <w:rFonts w:ascii="標楷體" w:eastAsia="標楷體" w:hAnsi="標楷體" w:cs="標楷體"/>
          <w:color w:val="000000"/>
          <w:szCs w:val="24"/>
        </w:rPr>
        <w:t>：急性期手掌</w:t>
      </w:r>
      <w:proofErr w:type="gramStart"/>
      <w:r w:rsidRPr="007B31F0">
        <w:rPr>
          <w:rFonts w:ascii="標楷體" w:eastAsia="標楷體" w:hAnsi="標楷體" w:cs="標楷體"/>
          <w:color w:val="000000"/>
          <w:szCs w:val="24"/>
        </w:rPr>
        <w:t>足底變</w:t>
      </w:r>
      <w:proofErr w:type="gramEnd"/>
      <w:r w:rsidRPr="007B31F0">
        <w:rPr>
          <w:rFonts w:ascii="標楷體" w:eastAsia="標楷體" w:hAnsi="標楷體" w:cs="標楷體"/>
          <w:color w:val="000000"/>
          <w:szCs w:val="24"/>
        </w:rPr>
        <w:t>紅、腫</w:t>
      </w:r>
    </w:p>
    <w:p w14:paraId="3859FBAD"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恢復期從指（</w:t>
      </w:r>
      <w:proofErr w:type="gramStart"/>
      <w:r w:rsidRPr="007B31F0">
        <w:rPr>
          <w:rFonts w:ascii="標楷體" w:eastAsia="標楷體" w:hAnsi="標楷體" w:cs="標楷體"/>
          <w:color w:val="000000"/>
          <w:szCs w:val="24"/>
        </w:rPr>
        <w:t>趾</w:t>
      </w:r>
      <w:proofErr w:type="gramEnd"/>
      <w:r w:rsidRPr="007B31F0">
        <w:rPr>
          <w:rFonts w:ascii="標楷體" w:eastAsia="標楷體" w:hAnsi="標楷體" w:cs="標楷體"/>
          <w:color w:val="000000"/>
          <w:szCs w:val="24"/>
        </w:rPr>
        <w:t>）尖開始脫皮</w:t>
      </w:r>
    </w:p>
    <w:p w14:paraId="6F18E235"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□多行性皮疹</w:t>
      </w:r>
    </w:p>
    <w:p w14:paraId="28AAEB3D"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□兩眼眼球結膜充血</w:t>
      </w:r>
      <w:r w:rsidRPr="007B31F0">
        <w:rPr>
          <w:rFonts w:ascii="標楷體" w:eastAsia="標楷體" w:hAnsi="標楷體"/>
          <w:color w:val="000000"/>
          <w:szCs w:val="24"/>
        </w:rPr>
        <w:t>(</w:t>
      </w:r>
      <w:proofErr w:type="spellStart"/>
      <w:r w:rsidRPr="007B31F0">
        <w:rPr>
          <w:rFonts w:ascii="標楷體" w:eastAsia="標楷體" w:hAnsi="標楷體"/>
          <w:color w:val="000000"/>
          <w:szCs w:val="24"/>
        </w:rPr>
        <w:t>bulbarconjunctiva</w:t>
      </w:r>
      <w:proofErr w:type="spellEnd"/>
      <w:r w:rsidRPr="007B31F0">
        <w:rPr>
          <w:rFonts w:ascii="標楷體" w:eastAsia="標楷體" w:hAnsi="標楷體"/>
          <w:color w:val="000000"/>
          <w:szCs w:val="24"/>
        </w:rPr>
        <w:t>)</w:t>
      </w:r>
    </w:p>
    <w:p w14:paraId="400F50DC"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□嘴唇及口腔的變化：紅唇、乾裂或</w:t>
      </w:r>
      <w:proofErr w:type="gramStart"/>
      <w:r w:rsidRPr="007B31F0">
        <w:rPr>
          <w:rFonts w:ascii="標楷體" w:eastAsia="標楷體" w:hAnsi="標楷體" w:cs="標楷體"/>
          <w:color w:val="000000"/>
          <w:szCs w:val="24"/>
        </w:rPr>
        <w:t>草莓舌或咽喉</w:t>
      </w:r>
      <w:proofErr w:type="gramEnd"/>
      <w:r w:rsidRPr="007B31F0">
        <w:rPr>
          <w:rFonts w:ascii="標楷體" w:eastAsia="標楷體" w:hAnsi="標楷體" w:cs="標楷體"/>
          <w:color w:val="000000"/>
          <w:szCs w:val="24"/>
        </w:rPr>
        <w:t>泛紅</w:t>
      </w:r>
    </w:p>
    <w:p w14:paraId="269DEFA0"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□頸部淋巴腺</w:t>
      </w:r>
      <w:proofErr w:type="gramStart"/>
      <w:r w:rsidRPr="007B31F0">
        <w:rPr>
          <w:rFonts w:ascii="標楷體" w:eastAsia="標楷體" w:hAnsi="標楷體" w:cs="標楷體"/>
          <w:color w:val="000000"/>
          <w:szCs w:val="24"/>
        </w:rPr>
        <w:t>腫</w:t>
      </w:r>
      <w:proofErr w:type="gramEnd"/>
    </w:p>
    <w:p w14:paraId="13FE8F97"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B.</w:t>
      </w:r>
      <w:r w:rsidRPr="007B31F0">
        <w:rPr>
          <w:rFonts w:ascii="標楷體" w:eastAsia="標楷體" w:hAnsi="標楷體" w:cs="標楷體"/>
          <w:color w:val="000000"/>
          <w:szCs w:val="24"/>
        </w:rPr>
        <w:t xml:space="preserve">實驗檢查數值　　　　　　　</w:t>
      </w:r>
    </w:p>
    <w:p w14:paraId="27D74BC1" w14:textId="77777777" w:rsidR="00401786" w:rsidRPr="007B31F0" w:rsidRDefault="00C64FB3" w:rsidP="000E757E">
      <w:pPr>
        <w:tabs>
          <w:tab w:val="left" w:pos="4680"/>
        </w:tabs>
        <w:snapToGrid w:val="0"/>
        <w:spacing w:line="240" w:lineRule="atLeast"/>
        <w:rPr>
          <w:szCs w:val="24"/>
        </w:rPr>
      </w:pPr>
      <w:r w:rsidRPr="007B31F0">
        <w:rPr>
          <w:rFonts w:ascii="標楷體" w:eastAsia="標楷體" w:hAnsi="標楷體" w:cs="標楷體"/>
          <w:color w:val="000000"/>
          <w:szCs w:val="24"/>
        </w:rPr>
        <w:t xml:space="preserve">　紅血球</w:t>
      </w:r>
      <w:proofErr w:type="gramStart"/>
      <w:r w:rsidRPr="007B31F0">
        <w:rPr>
          <w:rFonts w:ascii="標楷體" w:eastAsia="標楷體" w:hAnsi="標楷體" w:cs="標楷體"/>
          <w:color w:val="000000"/>
          <w:szCs w:val="24"/>
        </w:rPr>
        <w:t>沉</w:t>
      </w:r>
      <w:proofErr w:type="gramEnd"/>
      <w:r w:rsidRPr="007B31F0">
        <w:rPr>
          <w:rFonts w:ascii="標楷體" w:eastAsia="標楷體" w:hAnsi="標楷體" w:cs="標楷體"/>
          <w:color w:val="000000"/>
          <w:szCs w:val="24"/>
        </w:rPr>
        <w:t>降速率</w:t>
      </w:r>
      <w:r w:rsidRPr="007B31F0">
        <w:rPr>
          <w:rFonts w:ascii="標楷體" w:eastAsia="標楷體" w:hAnsi="標楷體"/>
          <w:color w:val="000000"/>
          <w:szCs w:val="24"/>
        </w:rPr>
        <w:t>(ESR)</w:t>
      </w:r>
      <w:r w:rsidRPr="007B31F0">
        <w:rPr>
          <w:rFonts w:ascii="標楷體" w:eastAsia="標楷體" w:hAnsi="標楷體" w:cs="標楷體"/>
          <w:color w:val="000000"/>
          <w:szCs w:val="24"/>
          <w:u w:val="single"/>
        </w:rPr>
        <w:t xml:space="preserve">　　　　　</w:t>
      </w:r>
      <w:r w:rsidRPr="007B31F0">
        <w:rPr>
          <w:rFonts w:ascii="標楷體" w:eastAsia="標楷體" w:hAnsi="標楷體" w:cs="標楷體"/>
          <w:color w:val="000000"/>
          <w:szCs w:val="24"/>
        </w:rPr>
        <w:t xml:space="preserve">　</w:t>
      </w:r>
      <w:r w:rsidRPr="007B31F0">
        <w:rPr>
          <w:rFonts w:ascii="標楷體" w:eastAsia="標楷體" w:hAnsi="標楷體"/>
          <w:color w:val="000000"/>
          <w:szCs w:val="24"/>
        </w:rPr>
        <w:t>C-</w:t>
      </w:r>
      <w:r w:rsidRPr="007B31F0">
        <w:rPr>
          <w:rFonts w:ascii="標楷體" w:eastAsia="標楷體" w:hAnsi="標楷體" w:cs="標楷體"/>
          <w:color w:val="000000"/>
          <w:szCs w:val="24"/>
        </w:rPr>
        <w:t>反應蛋白</w:t>
      </w:r>
      <w:r w:rsidRPr="007B31F0">
        <w:rPr>
          <w:rFonts w:ascii="標楷體" w:eastAsia="標楷體" w:hAnsi="標楷體" w:cs="標楷體"/>
          <w:color w:val="000000"/>
          <w:szCs w:val="24"/>
          <w:u w:val="single"/>
        </w:rPr>
        <w:t xml:space="preserve">　　　　　　　　</w:t>
      </w:r>
    </w:p>
    <w:p w14:paraId="0981F1ED"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血色素(</w:t>
      </w:r>
      <w:proofErr w:type="gramStart"/>
      <w:r w:rsidRPr="007B31F0">
        <w:rPr>
          <w:rFonts w:ascii="標楷體" w:eastAsia="標楷體" w:hAnsi="標楷體" w:cs="標楷體"/>
          <w:color w:val="000000"/>
          <w:szCs w:val="24"/>
        </w:rPr>
        <w:t>血比容</w:t>
      </w:r>
      <w:proofErr w:type="gramEnd"/>
      <w:r w:rsidRPr="007B31F0">
        <w:rPr>
          <w:rFonts w:ascii="標楷體" w:eastAsia="標楷體" w:hAnsi="標楷體" w:cs="標楷體"/>
          <w:color w:val="000000"/>
          <w:szCs w:val="24"/>
        </w:rPr>
        <w:t>)</w:t>
      </w:r>
      <w:r w:rsidRPr="007B31F0">
        <w:rPr>
          <w:rFonts w:ascii="標楷體" w:eastAsia="標楷體" w:hAnsi="標楷體" w:cs="標楷體"/>
          <w:color w:val="000000"/>
          <w:szCs w:val="24"/>
          <w:u w:val="single"/>
        </w:rPr>
        <w:t xml:space="preserve">　　　　　　　　　</w:t>
      </w:r>
      <w:r w:rsidRPr="007B31F0">
        <w:rPr>
          <w:rFonts w:ascii="標楷體" w:eastAsia="標楷體" w:hAnsi="標楷體" w:cs="標楷體"/>
          <w:color w:val="000000"/>
          <w:szCs w:val="24"/>
        </w:rPr>
        <w:t xml:space="preserve">　血小板</w:t>
      </w:r>
      <w:r w:rsidRPr="007B31F0">
        <w:rPr>
          <w:rFonts w:ascii="標楷體" w:eastAsia="標楷體" w:hAnsi="標楷體" w:cs="標楷體"/>
          <w:color w:val="000000"/>
          <w:szCs w:val="24"/>
          <w:u w:val="single"/>
        </w:rPr>
        <w:t xml:space="preserve">　　　　　　　　　　</w:t>
      </w:r>
    </w:p>
    <w:p w14:paraId="592AB729"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C.</w:t>
      </w:r>
      <w:r w:rsidRPr="007B31F0">
        <w:rPr>
          <w:rFonts w:ascii="標楷體" w:eastAsia="標楷體" w:hAnsi="標楷體" w:cs="標楷體"/>
          <w:color w:val="000000"/>
          <w:szCs w:val="24"/>
        </w:rPr>
        <w:t>□只符合三項臨床症狀，但心臟超音波有冠狀動脈病變</w:t>
      </w:r>
    </w:p>
    <w:p w14:paraId="56C18439" w14:textId="77777777" w:rsidR="00401786" w:rsidRPr="007B31F0" w:rsidRDefault="00C64FB3">
      <w:pPr>
        <w:numPr>
          <w:ilvl w:val="0"/>
          <w:numId w:val="50"/>
        </w:numPr>
        <w:snapToGrid w:val="0"/>
        <w:spacing w:line="240" w:lineRule="atLeast"/>
        <w:rPr>
          <w:szCs w:val="24"/>
        </w:rPr>
      </w:pPr>
      <w:r w:rsidRPr="007B31F0">
        <w:rPr>
          <w:rFonts w:ascii="標楷體" w:eastAsia="標楷體" w:hAnsi="標楷體" w:cs="標楷體"/>
          <w:color w:val="000000"/>
          <w:szCs w:val="24"/>
        </w:rPr>
        <w:t>請注意是否有下列疾病再使用</w:t>
      </w:r>
    </w:p>
    <w:tbl>
      <w:tblPr>
        <w:tblW w:w="8288" w:type="dxa"/>
        <w:tblInd w:w="388" w:type="dxa"/>
        <w:tblLayout w:type="fixed"/>
        <w:tblCellMar>
          <w:left w:w="10" w:type="dxa"/>
          <w:right w:w="10" w:type="dxa"/>
        </w:tblCellMar>
        <w:tblLook w:val="0000" w:firstRow="0" w:lastRow="0" w:firstColumn="0" w:lastColumn="0" w:noHBand="0" w:noVBand="0"/>
      </w:tblPr>
      <w:tblGrid>
        <w:gridCol w:w="454"/>
        <w:gridCol w:w="454"/>
        <w:gridCol w:w="7380"/>
      </w:tblGrid>
      <w:tr w:rsidR="00401786" w:rsidRPr="007B31F0" w14:paraId="21B91CD8" w14:textId="77777777">
        <w:tc>
          <w:tcPr>
            <w:tcW w:w="454"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8FA60DD"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有</w:t>
            </w:r>
          </w:p>
        </w:tc>
        <w:tc>
          <w:tcPr>
            <w:tcW w:w="454"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62D62E"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無</w:t>
            </w:r>
          </w:p>
        </w:tc>
        <w:tc>
          <w:tcPr>
            <w:tcW w:w="7380"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2BF58A9"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疾　病　或　症　狀</w:t>
            </w:r>
          </w:p>
        </w:tc>
      </w:tr>
      <w:tr w:rsidR="00401786" w:rsidRPr="007B31F0" w14:paraId="25989F5B" w14:textId="77777777">
        <w:tc>
          <w:tcPr>
            <w:tcW w:w="454"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5944EF4"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5A5C13B"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2F2BF10" w14:textId="77777777" w:rsidR="00401786" w:rsidRPr="007B31F0" w:rsidRDefault="00C64FB3" w:rsidP="000E757E">
            <w:pPr>
              <w:snapToGrid w:val="0"/>
              <w:spacing w:line="240" w:lineRule="atLeast"/>
              <w:rPr>
                <w:szCs w:val="24"/>
              </w:rPr>
            </w:pPr>
            <w:proofErr w:type="spellStart"/>
            <w:proofErr w:type="gramStart"/>
            <w:r w:rsidRPr="007B31F0">
              <w:rPr>
                <w:rFonts w:ascii="標楷體" w:eastAsia="標楷體" w:hAnsi="標楷體"/>
                <w:color w:val="000000"/>
                <w:szCs w:val="24"/>
              </w:rPr>
              <w:t>StreptococcalInf</w:t>
            </w:r>
            <w:proofErr w:type="spellEnd"/>
            <w:r w:rsidRPr="007B31F0">
              <w:rPr>
                <w:rFonts w:ascii="標楷體" w:eastAsia="標楷體" w:hAnsi="標楷體"/>
                <w:color w:val="000000"/>
                <w:szCs w:val="24"/>
              </w:rPr>
              <w:t>.(</w:t>
            </w:r>
            <w:proofErr w:type="gramEnd"/>
            <w:r w:rsidRPr="007B31F0">
              <w:rPr>
                <w:rFonts w:ascii="標楷體" w:eastAsia="標楷體" w:hAnsi="標楷體"/>
                <w:color w:val="000000"/>
                <w:szCs w:val="24"/>
              </w:rPr>
              <w:t>如</w:t>
            </w:r>
            <w:proofErr w:type="spellStart"/>
            <w:r w:rsidRPr="007B31F0">
              <w:rPr>
                <w:rFonts w:ascii="標楷體" w:eastAsia="標楷體" w:hAnsi="標楷體"/>
                <w:color w:val="000000"/>
                <w:szCs w:val="24"/>
              </w:rPr>
              <w:t>scarletfever</w:t>
            </w:r>
            <w:proofErr w:type="spellEnd"/>
            <w:r w:rsidRPr="007B31F0">
              <w:rPr>
                <w:rFonts w:ascii="標楷體" w:eastAsia="標楷體" w:hAnsi="標楷體"/>
                <w:color w:val="000000"/>
                <w:szCs w:val="24"/>
              </w:rPr>
              <w:t>)</w:t>
            </w:r>
          </w:p>
        </w:tc>
      </w:tr>
      <w:tr w:rsidR="00401786" w:rsidRPr="007B31F0" w14:paraId="682025AC"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B263807"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4059CF"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3C21804"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Viral&amp;rickettsialexanthems</w:t>
            </w:r>
            <w:proofErr w:type="spellEnd"/>
          </w:p>
        </w:tc>
      </w:tr>
      <w:tr w:rsidR="00401786" w:rsidRPr="007B31F0" w14:paraId="39C3BB41"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452179E"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C60E3F6"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C162CDC"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Drugreaction</w:t>
            </w:r>
            <w:proofErr w:type="spellEnd"/>
            <w:r w:rsidRPr="007B31F0">
              <w:rPr>
                <w:rFonts w:ascii="標楷體" w:eastAsia="標楷體" w:hAnsi="標楷體"/>
                <w:color w:val="000000"/>
                <w:szCs w:val="24"/>
              </w:rPr>
              <w:t>(</w:t>
            </w:r>
            <w:proofErr w:type="spellStart"/>
            <w:proofErr w:type="gramStart"/>
            <w:r w:rsidRPr="007B31F0">
              <w:rPr>
                <w:rFonts w:ascii="標楷體" w:eastAsia="標楷體" w:hAnsi="標楷體"/>
                <w:color w:val="000000"/>
                <w:szCs w:val="24"/>
              </w:rPr>
              <w:t>eg.Stevens</w:t>
            </w:r>
            <w:proofErr w:type="gramEnd"/>
            <w:r w:rsidRPr="007B31F0">
              <w:rPr>
                <w:rFonts w:ascii="標楷體" w:eastAsia="標楷體" w:hAnsi="標楷體"/>
                <w:color w:val="000000"/>
                <w:szCs w:val="24"/>
              </w:rPr>
              <w:t>-Johnsonsyndrome</w:t>
            </w:r>
            <w:proofErr w:type="spellEnd"/>
            <w:r w:rsidRPr="007B31F0">
              <w:rPr>
                <w:rFonts w:ascii="標楷體" w:eastAsia="標楷體" w:hAnsi="標楷體"/>
                <w:color w:val="000000"/>
                <w:szCs w:val="24"/>
              </w:rPr>
              <w:t>)</w:t>
            </w:r>
          </w:p>
        </w:tc>
      </w:tr>
      <w:tr w:rsidR="00401786" w:rsidRPr="007B31F0" w14:paraId="0DA8F3C2"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4F38375"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06E6FD"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CD83652"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Juvenilerheumatoidarthritis</w:t>
            </w:r>
            <w:proofErr w:type="spellEnd"/>
          </w:p>
        </w:tc>
      </w:tr>
      <w:tr w:rsidR="00401786" w:rsidRPr="007B31F0" w14:paraId="1BF4FC13"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59C18A5"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6A2A23"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3DF6365"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Staphylococcalscaldedskinsyndrome</w:t>
            </w:r>
            <w:proofErr w:type="spellEnd"/>
          </w:p>
        </w:tc>
      </w:tr>
      <w:tr w:rsidR="00401786" w:rsidRPr="007B31F0" w14:paraId="69EAC0CB" w14:textId="77777777">
        <w:tc>
          <w:tcPr>
            <w:tcW w:w="454"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20772B56"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6C65232"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514BF45F"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Toxicshocksyndrome</w:t>
            </w:r>
            <w:proofErr w:type="spellEnd"/>
          </w:p>
        </w:tc>
      </w:tr>
    </w:tbl>
    <w:p w14:paraId="6DF3153E"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附註</w:t>
      </w:r>
    </w:p>
    <w:p w14:paraId="2182E223" w14:textId="77777777" w:rsidR="00401786" w:rsidRPr="007B31F0" w:rsidRDefault="00C64FB3" w:rsidP="000E757E">
      <w:pPr>
        <w:snapToGrid w:val="0"/>
        <w:spacing w:line="240" w:lineRule="atLeast"/>
        <w:rPr>
          <w:szCs w:val="24"/>
        </w:rPr>
      </w:pPr>
      <w:r w:rsidRPr="007B31F0">
        <w:rPr>
          <w:noProof/>
          <w:szCs w:val="24"/>
        </w:rPr>
        <mc:AlternateContent>
          <mc:Choice Requires="wps">
            <w:drawing>
              <wp:anchor distT="0" distB="0" distL="114300" distR="114300" simplePos="0" relativeHeight="251641856" behindDoc="0" locked="0" layoutInCell="1" allowOverlap="1" wp14:anchorId="4FCE169C" wp14:editId="30464D58">
                <wp:simplePos x="0" y="0"/>
                <wp:positionH relativeFrom="column">
                  <wp:posOffset>4495803</wp:posOffset>
                </wp:positionH>
                <wp:positionV relativeFrom="paragraph">
                  <wp:posOffset>67308</wp:posOffset>
                </wp:positionV>
                <wp:extent cx="1714500" cy="1395731"/>
                <wp:effectExtent l="0" t="0" r="19050" b="13969"/>
                <wp:wrapNone/>
                <wp:docPr id="1" name="Rectangle 24"/>
                <wp:cNvGraphicFramePr/>
                <a:graphic xmlns:a="http://schemas.openxmlformats.org/drawingml/2006/main">
                  <a:graphicData uri="http://schemas.microsoft.com/office/word/2010/wordprocessingShape">
                    <wps:wsp>
                      <wps:cNvSpPr/>
                      <wps:spPr>
                        <a:xfrm>
                          <a:off x="0" y="0"/>
                          <a:ext cx="1714500" cy="1395731"/>
                        </a:xfrm>
                        <a:prstGeom prst="rect">
                          <a:avLst/>
                        </a:prstGeom>
                        <a:noFill/>
                        <a:ln w="9528" cap="flat">
                          <a:solidFill>
                            <a:srgbClr val="000000"/>
                          </a:solidFill>
                          <a:prstDash val="solid"/>
                          <a:miter/>
                        </a:ln>
                      </wps:spPr>
                      <wps:txbx>
                        <w:txbxContent>
                          <w:p w14:paraId="2EADB44B" w14:textId="2500EC1A" w:rsidR="00C6448D" w:rsidRPr="007B31F0" w:rsidRDefault="007B31F0">
                            <w:pPr>
                              <w:rPr>
                                <w:rFonts w:ascii="標楷體" w:eastAsia="標楷體" w:hAnsi="標楷體"/>
                                <w:b/>
                                <w:bCs/>
                              </w:rPr>
                            </w:pPr>
                            <w:r w:rsidRPr="007B31F0">
                              <w:rPr>
                                <w:rFonts w:ascii="標楷體" w:eastAsia="標楷體" w:hAnsi="標楷體" w:hint="eastAsia"/>
                                <w:b/>
                                <w:bCs/>
                              </w:rPr>
                              <w:t>審核意見：</w:t>
                            </w:r>
                          </w:p>
                        </w:txbxContent>
                      </wps:txbx>
                      <wps:bodyPr vert="horz" wrap="square" lIns="0" tIns="0" rIns="0" bIns="0" anchor="t" anchorCtr="0" compatLnSpc="0">
                        <a:noAutofit/>
                      </wps:bodyPr>
                    </wps:wsp>
                  </a:graphicData>
                </a:graphic>
              </wp:anchor>
            </w:drawing>
          </mc:Choice>
          <mc:Fallback>
            <w:pict>
              <v:rect w14:anchorId="4FCE169C" id="Rectangle 24" o:spid="_x0000_s1026" style="position:absolute;margin-left:354pt;margin-top:5.3pt;width:135pt;height:109.9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" filled="f" strokeweight=".26467mm">
                <v:textbox inset="0,0,0,0">
                  <w:txbxContent>
                    <w:p w14:paraId="2EADB44B" w14:textId="2500EC1A" w:rsidR="00C6448D" w:rsidRPr="007B31F0" w:rsidRDefault="007B31F0">
                      <w:pPr>
                        <w:rPr>
                          <w:rFonts w:ascii="標楷體" w:eastAsia="標楷體" w:hAnsi="標楷體"/>
                          <w:b/>
                          <w:bCs/>
                        </w:rPr>
                      </w:pPr>
                      <w:r w:rsidRPr="007B31F0">
                        <w:rPr>
                          <w:rFonts w:ascii="標楷體" w:eastAsia="標楷體" w:hAnsi="標楷體" w:hint="eastAsia"/>
                          <w:b/>
                          <w:bCs/>
                        </w:rPr>
                        <w:t>審核意見：</w:t>
                      </w:r>
                    </w:p>
                  </w:txbxContent>
                </v:textbox>
              </v:rect>
            </w:pict>
          </mc:Fallback>
        </mc:AlternateContent>
      </w:r>
      <w:r w:rsidRPr="007B31F0">
        <w:rPr>
          <w:rFonts w:ascii="標楷體" w:eastAsia="標楷體" w:hAnsi="標楷體"/>
          <w:color w:val="000000"/>
          <w:szCs w:val="24"/>
        </w:rPr>
        <w:t>川崎病診斷標準請參考IVIG使用規定</w:t>
      </w:r>
    </w:p>
    <w:p w14:paraId="352A20DF" w14:textId="77777777" w:rsidR="00401786" w:rsidRPr="007B31F0" w:rsidRDefault="00C64FB3" w:rsidP="000E757E">
      <w:pPr>
        <w:snapToGrid w:val="0"/>
        <w:spacing w:line="240" w:lineRule="atLeast"/>
        <w:rPr>
          <w:rFonts w:ascii="標楷體" w:eastAsia="標楷體" w:hAnsi="標楷體"/>
          <w:color w:val="000000"/>
          <w:szCs w:val="24"/>
        </w:rPr>
      </w:pPr>
      <w:r w:rsidRPr="007B31F0">
        <w:rPr>
          <w:rFonts w:ascii="標楷體" w:eastAsia="標楷體" w:hAnsi="標楷體"/>
          <w:color w:val="000000"/>
          <w:szCs w:val="24"/>
        </w:rPr>
        <w:t>IVIG限</w:t>
      </w:r>
    </w:p>
    <w:p w14:paraId="2C3BE1C8" w14:textId="77777777" w:rsidR="00401786" w:rsidRPr="007B31F0" w:rsidRDefault="00C64FB3" w:rsidP="000E757E">
      <w:pPr>
        <w:snapToGrid w:val="0"/>
        <w:spacing w:line="240" w:lineRule="atLeast"/>
        <w:ind w:firstLine="480"/>
        <w:rPr>
          <w:rFonts w:ascii="標楷體" w:eastAsia="標楷體" w:hAnsi="標楷體"/>
          <w:color w:val="000000"/>
          <w:szCs w:val="24"/>
        </w:rPr>
      </w:pPr>
      <w:r w:rsidRPr="007B31F0">
        <w:rPr>
          <w:rFonts w:ascii="標楷體" w:eastAsia="標楷體" w:hAnsi="標楷體"/>
          <w:color w:val="000000"/>
          <w:szCs w:val="24"/>
        </w:rPr>
        <w:t>1.區域醫院(含)以上教學醫院使用，或</w:t>
      </w:r>
    </w:p>
    <w:p w14:paraId="1051762C" w14:textId="77777777" w:rsidR="00401786" w:rsidRPr="007B31F0" w:rsidRDefault="00C64FB3" w:rsidP="000E757E">
      <w:pPr>
        <w:snapToGrid w:val="0"/>
        <w:spacing w:line="240" w:lineRule="atLeast"/>
        <w:rPr>
          <w:szCs w:val="24"/>
        </w:rPr>
      </w:pPr>
      <w:r w:rsidRPr="007B31F0">
        <w:rPr>
          <w:szCs w:val="24"/>
        </w:rPr>
        <w:tab/>
        <w:t>2.</w:t>
      </w:r>
      <w:r w:rsidRPr="007B31F0">
        <w:rPr>
          <w:rFonts w:ascii="標楷體" w:eastAsia="標楷體" w:hAnsi="標楷體"/>
          <w:szCs w:val="24"/>
        </w:rPr>
        <w:t xml:space="preserve"> 具有小兒心臟醫師證書之小兒科醫師，</w:t>
      </w:r>
    </w:p>
    <w:p w14:paraId="202F3886" w14:textId="77777777" w:rsidR="00401786" w:rsidRPr="007B31F0" w:rsidRDefault="00C64FB3" w:rsidP="000E757E">
      <w:pPr>
        <w:snapToGrid w:val="0"/>
        <w:spacing w:line="240" w:lineRule="atLeast"/>
        <w:ind w:firstLine="480"/>
        <w:rPr>
          <w:szCs w:val="24"/>
        </w:rPr>
      </w:pPr>
      <w:r w:rsidRPr="007B31F0">
        <w:rPr>
          <w:rFonts w:ascii="標楷體" w:eastAsia="標楷體" w:hAnsi="標楷體"/>
          <w:szCs w:val="24"/>
        </w:rPr>
        <w:t>並有小兒心臟超音波儀器之醫院實施。</w:t>
      </w:r>
    </w:p>
    <w:p w14:paraId="4E982B8B"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IVIG</w:t>
      </w:r>
      <w:proofErr w:type="gramStart"/>
      <w:r w:rsidRPr="007B31F0">
        <w:rPr>
          <w:rFonts w:ascii="標楷體" w:eastAsia="標楷體" w:hAnsi="標楷體"/>
          <w:color w:val="000000"/>
          <w:szCs w:val="24"/>
        </w:rPr>
        <w:t>限病發</w:t>
      </w:r>
      <w:proofErr w:type="gramEnd"/>
      <w:r w:rsidRPr="007B31F0">
        <w:rPr>
          <w:rFonts w:ascii="標楷體" w:eastAsia="標楷體" w:hAnsi="標楷體"/>
          <w:color w:val="000000"/>
          <w:szCs w:val="24"/>
        </w:rPr>
        <w:t>十天內使用</w:t>
      </w:r>
    </w:p>
    <w:p w14:paraId="3ECB5C8C" w14:textId="0DE473FF" w:rsidR="00401786" w:rsidRDefault="00C64FB3" w:rsidP="007B31F0">
      <w:pPr>
        <w:snapToGrid w:val="0"/>
        <w:spacing w:line="300" w:lineRule="exact"/>
        <w:sectPr w:rsidR="00401786">
          <w:headerReference w:type="default" r:id="rId10"/>
          <w:footerReference w:type="default" r:id="rId11"/>
          <w:pgSz w:w="11906" w:h="16838"/>
          <w:pgMar w:top="1134" w:right="1134" w:bottom="1134" w:left="1134" w:header="720" w:footer="720" w:gutter="0"/>
          <w:cols w:space="720"/>
          <w:docGrid w:type="lines"/>
        </w:sectPr>
      </w:pPr>
      <w:r w:rsidRPr="007B31F0">
        <w:rPr>
          <w:rFonts w:ascii="標楷體" w:eastAsia="標楷體" w:hAnsi="標楷體" w:cs="標楷體"/>
          <w:color w:val="000000"/>
          <w:szCs w:val="24"/>
        </w:rPr>
        <w:t>申請醫師</w:t>
      </w:r>
      <w:bookmarkStart w:id="106" w:name="_Hlk239088283"/>
      <w:r w:rsidRPr="007B31F0">
        <w:rPr>
          <w:rFonts w:ascii="標楷體" w:eastAsia="標楷體" w:hAnsi="標楷體" w:cs="標楷體"/>
          <w:color w:val="000000"/>
          <w:szCs w:val="24"/>
          <w:u w:val="single"/>
        </w:rPr>
        <w:t xml:space="preserve">　　　　　　　</w:t>
      </w:r>
      <w:bookmarkEnd w:id="106"/>
      <w:proofErr w:type="gramStart"/>
      <w:r w:rsidRPr="007B31F0">
        <w:rPr>
          <w:rFonts w:ascii="標楷體" w:eastAsia="標楷體" w:hAnsi="標楷體" w:cs="標楷體"/>
          <w:color w:val="000000"/>
          <w:szCs w:val="24"/>
        </w:rPr>
        <w:t>醫</w:t>
      </w:r>
      <w:proofErr w:type="gramEnd"/>
      <w:r w:rsidRPr="007B31F0">
        <w:rPr>
          <w:rFonts w:ascii="標楷體" w:eastAsia="標楷體" w:hAnsi="標楷體" w:cs="標楷體"/>
          <w:color w:val="000000"/>
          <w:szCs w:val="24"/>
        </w:rPr>
        <w:t>事機構章戳</w:t>
      </w:r>
      <w:r w:rsidR="00692FEF" w:rsidRPr="007B31F0">
        <w:rPr>
          <w:rFonts w:ascii="標楷體" w:eastAsia="標楷體" w:hAnsi="標楷體" w:cs="標楷體"/>
          <w:color w:val="000000"/>
          <w:szCs w:val="24"/>
          <w:u w:val="single"/>
        </w:rPr>
        <w:t xml:space="preserve">　</w:t>
      </w:r>
      <w:r w:rsidR="00692FEF" w:rsidRPr="00692FEF">
        <w:rPr>
          <w:rFonts w:ascii="標楷體" w:eastAsia="標楷體" w:hAnsi="標楷體" w:cs="標楷體"/>
          <w:color w:val="000000"/>
          <w:sz w:val="26"/>
          <w:szCs w:val="26"/>
          <w:u w:val="single"/>
        </w:rPr>
        <w:t xml:space="preserve">　　　　</w:t>
      </w:r>
      <w:r>
        <w:rPr>
          <w:rFonts w:ascii="標楷體" w:eastAsia="標楷體" w:hAnsi="標楷體" w:cs="標楷體"/>
          <w:color w:val="000000"/>
          <w:sz w:val="26"/>
          <w:szCs w:val="26"/>
          <w:u w:val="single"/>
        </w:rPr>
        <w:t xml:space="preserve">　　</w:t>
      </w:r>
    </w:p>
    <w:p w14:paraId="1AAA33AA" w14:textId="69665925" w:rsidR="00401786" w:rsidRDefault="00C64FB3" w:rsidP="000E757E">
      <w:pPr>
        <w:pStyle w:val="Web"/>
        <w:widowControl w:val="0"/>
        <w:snapToGrid w:val="0"/>
        <w:spacing w:before="0" w:after="0" w:line="240" w:lineRule="atLeast"/>
        <w:jc w:val="both"/>
      </w:pPr>
      <w:r>
        <w:rPr>
          <w:rFonts w:ascii="標楷體" w:eastAsia="標楷體" w:hAnsi="標楷體" w:cs="標楷體"/>
          <w:color w:val="000000"/>
        </w:rPr>
        <w:lastRenderedPageBreak/>
        <w:t>附表七之</w:t>
      </w:r>
      <w:proofErr w:type="gramStart"/>
      <w:r>
        <w:rPr>
          <w:rFonts w:ascii="標楷體" w:eastAsia="標楷體" w:hAnsi="標楷體" w:cs="標楷體"/>
          <w:color w:val="000000"/>
        </w:rPr>
        <w:t>一</w:t>
      </w:r>
      <w:proofErr w:type="gramEnd"/>
      <w:r w:rsidR="00455C9A">
        <w:rPr>
          <w:rFonts w:ascii="標楷體" w:eastAsia="標楷體" w:hAnsi="標楷體" w:cs="標楷體" w:hint="eastAsia"/>
          <w:color w:val="000000"/>
        </w:rPr>
        <w:t xml:space="preserve"> </w:t>
      </w:r>
      <w:r>
        <w:rPr>
          <w:rFonts w:ascii="標楷體" w:eastAsia="標楷體" w:hAnsi="標楷體" w:cs="標楷體"/>
          <w:color w:val="000000"/>
        </w:rPr>
        <w:t>全民健康保險使用抗癌藥品</w:t>
      </w:r>
      <w:r>
        <w:rPr>
          <w:rFonts w:ascii="標楷體" w:eastAsia="標楷體" w:hAnsi="標楷體" w:cs="Times New Roman"/>
          <w:color w:val="000000"/>
        </w:rPr>
        <w:t>Trastuzumab</w:t>
      </w:r>
      <w:r>
        <w:rPr>
          <w:rFonts w:ascii="標楷體" w:eastAsia="標楷體" w:hAnsi="標楷體" w:cs="標楷體"/>
          <w:color w:val="000000"/>
        </w:rPr>
        <w:t>申請表(刪除)</w:t>
      </w:r>
    </w:p>
    <w:p w14:paraId="0E8CBB35" w14:textId="77777777" w:rsidR="00401786" w:rsidRDefault="00401786" w:rsidP="000E757E">
      <w:pPr>
        <w:pStyle w:val="Web"/>
        <w:widowControl w:val="0"/>
        <w:snapToGrid w:val="0"/>
        <w:spacing w:before="0" w:after="0" w:line="240" w:lineRule="atLeast"/>
        <w:jc w:val="both"/>
        <w:rPr>
          <w:rFonts w:eastAsia="新細明體" w:hint="eastAsia"/>
        </w:rPr>
      </w:pPr>
    </w:p>
    <w:p w14:paraId="47F68771" w14:textId="2C58AB7F" w:rsidR="009E653D" w:rsidRDefault="009E653D">
      <w:pPr>
        <w:widowControl/>
        <w:suppressAutoHyphens w:val="0"/>
        <w:rPr>
          <w:rFonts w:ascii="Arial Unicode MS" w:hAnsi="Arial Unicode MS" w:cs="Arial Unicode MS" w:hint="eastAsia"/>
          <w:kern w:val="0"/>
          <w:szCs w:val="24"/>
        </w:rPr>
      </w:pPr>
      <w:r>
        <w:rPr>
          <w:rFonts w:hint="eastAsia"/>
        </w:rPr>
        <w:br w:type="page"/>
      </w:r>
    </w:p>
    <w:p w14:paraId="1BE8C3A2" w14:textId="1042AFFE" w:rsidR="00401786" w:rsidRPr="00455C9A" w:rsidRDefault="00C64FB3" w:rsidP="000E757E">
      <w:pPr>
        <w:widowControl/>
        <w:suppressAutoHyphens w:val="0"/>
        <w:spacing w:line="240" w:lineRule="atLeast"/>
        <w:rPr>
          <w:rFonts w:ascii="標楷體" w:eastAsia="標楷體" w:hAnsi="標楷體"/>
          <w:b/>
          <w:bCs/>
          <w:color w:val="000000"/>
        </w:rPr>
      </w:pPr>
      <w:r w:rsidRPr="00455C9A">
        <w:rPr>
          <w:rFonts w:ascii="標楷體" w:eastAsia="標楷體" w:hAnsi="標楷體"/>
          <w:b/>
          <w:bCs/>
          <w:color w:val="000000"/>
        </w:rPr>
        <w:lastRenderedPageBreak/>
        <w:t>附表七之二</w:t>
      </w:r>
      <w:r w:rsidR="00455C9A">
        <w:rPr>
          <w:rFonts w:ascii="標楷體" w:eastAsia="標楷體" w:hAnsi="標楷體" w:hint="eastAsia"/>
          <w:b/>
          <w:bCs/>
          <w:color w:val="000000"/>
        </w:rPr>
        <w:t xml:space="preserve"> </w:t>
      </w:r>
      <w:r w:rsidRPr="00455C9A">
        <w:rPr>
          <w:rFonts w:ascii="標楷體" w:eastAsia="標楷體" w:hAnsi="標楷體"/>
          <w:b/>
          <w:bCs/>
          <w:color w:val="000000"/>
        </w:rPr>
        <w:t>全民健康保險使用抗癌藥品Rituximab申請表</w:t>
      </w:r>
    </w:p>
    <w:tbl>
      <w:tblPr>
        <w:tblW w:w="14432" w:type="dxa"/>
        <w:tblLayout w:type="fixed"/>
        <w:tblCellMar>
          <w:left w:w="10" w:type="dxa"/>
          <w:right w:w="10" w:type="dxa"/>
        </w:tblCellMar>
        <w:tblLook w:val="0000" w:firstRow="0" w:lastRow="0" w:firstColumn="0" w:lastColumn="0" w:noHBand="0" w:noVBand="0"/>
      </w:tblPr>
      <w:tblGrid>
        <w:gridCol w:w="388"/>
        <w:gridCol w:w="404"/>
        <w:gridCol w:w="654"/>
        <w:gridCol w:w="742"/>
        <w:gridCol w:w="600"/>
        <w:gridCol w:w="75"/>
        <w:gridCol w:w="285"/>
        <w:gridCol w:w="488"/>
        <w:gridCol w:w="680"/>
        <w:gridCol w:w="274"/>
        <w:gridCol w:w="1318"/>
        <w:gridCol w:w="600"/>
        <w:gridCol w:w="360"/>
        <w:gridCol w:w="960"/>
        <w:gridCol w:w="840"/>
        <w:gridCol w:w="255"/>
        <w:gridCol w:w="589"/>
        <w:gridCol w:w="356"/>
        <w:gridCol w:w="139"/>
        <w:gridCol w:w="701"/>
        <w:gridCol w:w="360"/>
        <w:gridCol w:w="11"/>
        <w:gridCol w:w="473"/>
        <w:gridCol w:w="11"/>
        <w:gridCol w:w="345"/>
        <w:gridCol w:w="219"/>
        <w:gridCol w:w="141"/>
        <w:gridCol w:w="244"/>
        <w:gridCol w:w="600"/>
        <w:gridCol w:w="375"/>
        <w:gridCol w:w="945"/>
      </w:tblGrid>
      <w:tr w:rsidR="00401786" w14:paraId="22433E30" w14:textId="77777777">
        <w:trPr>
          <w:cantSplit/>
          <w:trHeight w:val="523"/>
        </w:trPr>
        <w:tc>
          <w:tcPr>
            <w:tcW w:w="2188"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4BA5D500" w14:textId="77777777" w:rsidR="00401786" w:rsidRDefault="00C64FB3" w:rsidP="000E757E">
            <w:pPr>
              <w:snapToGrid w:val="0"/>
              <w:spacing w:line="240" w:lineRule="atLeast"/>
              <w:jc w:val="both"/>
              <w:rPr>
                <w:rFonts w:ascii="標楷體" w:eastAsia="標楷體" w:hAnsi="標楷體"/>
                <w:color w:val="000000"/>
                <w:sz w:val="20"/>
                <w:szCs w:val="20"/>
              </w:rPr>
            </w:pPr>
            <w:r>
              <w:rPr>
                <w:rFonts w:ascii="標楷體" w:eastAsia="標楷體" w:hAnsi="標楷體"/>
                <w:color w:val="000000"/>
                <w:sz w:val="20"/>
                <w:szCs w:val="20"/>
              </w:rPr>
              <w:t>申請類別:</w:t>
            </w:r>
          </w:p>
        </w:tc>
        <w:tc>
          <w:tcPr>
            <w:tcW w:w="432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E92EDA"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□送核□補資料□申復□資料異動</w:t>
            </w:r>
          </w:p>
        </w:tc>
        <w:tc>
          <w:tcPr>
            <w:tcW w:w="24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B73079"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受理日期：</w:t>
            </w:r>
          </w:p>
        </w:tc>
        <w:tc>
          <w:tcPr>
            <w:tcW w:w="264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CB4C2C" w14:textId="77777777" w:rsidR="00401786" w:rsidRDefault="00C64FB3" w:rsidP="000E757E">
            <w:pPr>
              <w:snapToGrid w:val="0"/>
              <w:spacing w:line="240" w:lineRule="atLeast"/>
              <w:ind w:left="15"/>
              <w:rPr>
                <w:rFonts w:ascii="標楷體" w:eastAsia="標楷體" w:hAnsi="標楷體"/>
                <w:color w:val="000000"/>
                <w:sz w:val="20"/>
                <w:szCs w:val="20"/>
              </w:rPr>
            </w:pPr>
            <w:r>
              <w:rPr>
                <w:rFonts w:ascii="標楷體" w:eastAsia="標楷體" w:hAnsi="標楷體"/>
                <w:color w:val="000000"/>
                <w:sz w:val="20"/>
                <w:szCs w:val="20"/>
              </w:rPr>
              <w:t>受理編號：</w:t>
            </w:r>
          </w:p>
        </w:tc>
        <w:tc>
          <w:tcPr>
            <w:tcW w:w="286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36395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緊急傳真日期：</w:t>
            </w:r>
          </w:p>
        </w:tc>
      </w:tr>
      <w:tr w:rsidR="00401786" w14:paraId="3D2A5B04" w14:textId="77777777">
        <w:trPr>
          <w:cantSplit/>
          <w:trHeight w:val="517"/>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B58105"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醫療機構</w:t>
            </w: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235E88"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名稱</w:t>
            </w:r>
          </w:p>
        </w:tc>
        <w:tc>
          <w:tcPr>
            <w:tcW w:w="13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EE465A"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0D8DFD"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保</w:t>
            </w:r>
          </w:p>
          <w:p w14:paraId="200CEB98"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險</w:t>
            </w:r>
          </w:p>
          <w:p w14:paraId="2AB6E10A"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對</w:t>
            </w:r>
          </w:p>
          <w:p w14:paraId="44E406A9" w14:textId="77777777" w:rsidR="00401786" w:rsidRDefault="00C64FB3" w:rsidP="000E757E">
            <w:pPr>
              <w:snapToGrid w:val="0"/>
              <w:spacing w:line="240" w:lineRule="atLeast"/>
              <w:jc w:val="center"/>
              <w:rPr>
                <w:rFonts w:ascii="標楷體" w:eastAsia="標楷體" w:hAnsi="標楷體"/>
                <w:color w:val="000000"/>
                <w:sz w:val="20"/>
                <w:szCs w:val="20"/>
              </w:rPr>
            </w:pPr>
            <w:proofErr w:type="gramStart"/>
            <w:r>
              <w:rPr>
                <w:rFonts w:ascii="標楷體" w:eastAsia="標楷體" w:hAnsi="標楷體"/>
                <w:color w:val="000000"/>
                <w:sz w:val="20"/>
                <w:szCs w:val="20"/>
              </w:rPr>
              <w:t>象</w:t>
            </w:r>
            <w:proofErr w:type="gramEnd"/>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E06CEA"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BF3FF3"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051954"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出生</w:t>
            </w:r>
          </w:p>
        </w:tc>
        <w:tc>
          <w:tcPr>
            <w:tcW w:w="13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A9935F" w14:textId="77777777" w:rsidR="00401786" w:rsidRDefault="00401786" w:rsidP="000E757E">
            <w:pPr>
              <w:snapToGrid w:val="0"/>
              <w:spacing w:line="240" w:lineRule="atLeast"/>
              <w:rPr>
                <w:rFonts w:ascii="標楷體" w:eastAsia="標楷體" w:hAnsi="標楷體"/>
                <w:color w:val="000000"/>
                <w:sz w:val="20"/>
                <w:szCs w:val="20"/>
              </w:rPr>
            </w:pPr>
          </w:p>
        </w:tc>
        <w:tc>
          <w:tcPr>
            <w:tcW w:w="16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874D8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原受理編號</w:t>
            </w:r>
          </w:p>
          <w:p w14:paraId="65B6C9E0"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（申復時填用）</w:t>
            </w:r>
          </w:p>
        </w:tc>
        <w:tc>
          <w:tcPr>
            <w:tcW w:w="156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6B844C" w14:textId="77777777" w:rsidR="00401786" w:rsidRDefault="00401786" w:rsidP="000E757E">
            <w:pPr>
              <w:snapToGrid w:val="0"/>
              <w:spacing w:line="240" w:lineRule="atLeast"/>
              <w:rPr>
                <w:rFonts w:ascii="標楷體" w:eastAsia="標楷體" w:hAnsi="標楷體"/>
                <w:color w:val="000000"/>
                <w:sz w:val="20"/>
                <w:szCs w:val="20"/>
              </w:rPr>
            </w:pPr>
          </w:p>
        </w:tc>
        <w:tc>
          <w:tcPr>
            <w:tcW w:w="10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BF1CFF"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預定實施日期</w:t>
            </w:r>
          </w:p>
        </w:tc>
        <w:tc>
          <w:tcPr>
            <w:tcW w:w="230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C81DC1"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FD23EF4" w14:textId="77777777">
        <w:trPr>
          <w:cantSplit/>
          <w:trHeight w:val="530"/>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F2837E" w14:textId="77777777" w:rsidR="00401786" w:rsidRDefault="00401786" w:rsidP="000E757E">
            <w:pPr>
              <w:snapToGrid w:val="0"/>
              <w:spacing w:line="240" w:lineRule="atLeast"/>
              <w:rPr>
                <w:rFonts w:ascii="標楷體" w:eastAsia="標楷體" w:hAnsi="標楷體"/>
                <w:color w:val="000000"/>
                <w:sz w:val="20"/>
                <w:szCs w:val="20"/>
              </w:rPr>
            </w:pP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AB46DA"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代號</w:t>
            </w:r>
          </w:p>
        </w:tc>
        <w:tc>
          <w:tcPr>
            <w:tcW w:w="13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C9D703"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4A624E" w14:textId="77777777" w:rsidR="00401786" w:rsidRDefault="00401786" w:rsidP="000E757E">
            <w:pPr>
              <w:snapToGrid w:val="0"/>
              <w:spacing w:line="240" w:lineRule="atLeast"/>
              <w:rPr>
                <w:rFonts w:ascii="標楷體" w:eastAsia="標楷體" w:hAnsi="標楷體"/>
                <w:color w:val="000000"/>
                <w:sz w:val="20"/>
                <w:szCs w:val="20"/>
              </w:rPr>
            </w:pPr>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AA50D5"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身分證</w:t>
            </w:r>
          </w:p>
          <w:p w14:paraId="61EBD704"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統一編號</w:t>
            </w:r>
          </w:p>
        </w:tc>
        <w:tc>
          <w:tcPr>
            <w:tcW w:w="21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A493EA"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B3B38"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科</w:t>
            </w:r>
          </w:p>
          <w:p w14:paraId="2AABAA90"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別</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BB1A46" w14:textId="77777777" w:rsidR="00401786" w:rsidRDefault="00401786" w:rsidP="000E757E">
            <w:pPr>
              <w:snapToGrid w:val="0"/>
              <w:spacing w:line="240" w:lineRule="atLeast"/>
              <w:rPr>
                <w:rFonts w:ascii="標楷體" w:eastAsia="標楷體" w:hAnsi="標楷體"/>
                <w:color w:val="000000"/>
                <w:sz w:val="20"/>
                <w:szCs w:val="20"/>
              </w:rPr>
            </w:pPr>
          </w:p>
        </w:tc>
        <w:tc>
          <w:tcPr>
            <w:tcW w:w="16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EBBF9B"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□門診□住院</w:t>
            </w:r>
          </w:p>
        </w:tc>
        <w:tc>
          <w:tcPr>
            <w:tcW w:w="4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225E6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病歷號碼</w:t>
            </w:r>
          </w:p>
        </w:tc>
        <w:tc>
          <w:tcPr>
            <w:tcW w:w="154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8D2927"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70A7CB"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申請醫師身分證號</w:t>
            </w:r>
          </w:p>
        </w:tc>
        <w:tc>
          <w:tcPr>
            <w:tcW w:w="19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E1DC6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ABEEB4D" w14:textId="77777777">
        <w:trPr>
          <w:cantSplit/>
          <w:trHeight w:val="613"/>
        </w:trPr>
        <w:tc>
          <w:tcPr>
            <w:tcW w:w="14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C5EC23"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19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00B7DB" w14:textId="77777777" w:rsidR="00401786" w:rsidRDefault="00401786" w:rsidP="000E757E">
            <w:pPr>
              <w:snapToGrid w:val="0"/>
              <w:spacing w:line="240" w:lineRule="atLeast"/>
              <w:rPr>
                <w:rFonts w:ascii="標楷體" w:eastAsia="標楷體" w:hAnsi="標楷體"/>
                <w:color w:val="000000"/>
                <w:sz w:val="20"/>
                <w:szCs w:val="20"/>
              </w:rPr>
            </w:pPr>
          </w:p>
        </w:tc>
        <w:tc>
          <w:tcPr>
            <w:tcW w:w="95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A2ECA"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疾病名稱</w:t>
            </w:r>
          </w:p>
        </w:tc>
        <w:tc>
          <w:tcPr>
            <w:tcW w:w="323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01DA3E" w14:textId="77777777" w:rsidR="00401786" w:rsidRDefault="00401786" w:rsidP="000E757E">
            <w:pPr>
              <w:snapToGrid w:val="0"/>
              <w:spacing w:line="240" w:lineRule="atLeast"/>
              <w:rPr>
                <w:rFonts w:ascii="標楷體" w:eastAsia="標楷體" w:hAnsi="標楷體"/>
                <w:color w:val="000000"/>
                <w:sz w:val="20"/>
                <w:szCs w:val="20"/>
              </w:rPr>
            </w:pPr>
          </w:p>
        </w:tc>
        <w:tc>
          <w:tcPr>
            <w:tcW w:w="16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1E54B7"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使用日期</w:t>
            </w:r>
          </w:p>
        </w:tc>
        <w:tc>
          <w:tcPr>
            <w:tcW w:w="4920"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BA4C24E"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年月日至年月日</w:t>
            </w:r>
          </w:p>
        </w:tc>
      </w:tr>
      <w:tr w:rsidR="00401786" w14:paraId="2220C02F" w14:textId="77777777">
        <w:trPr>
          <w:cantSplit/>
        </w:trPr>
        <w:tc>
          <w:tcPr>
            <w:tcW w:w="14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55AEF5"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藥品名稱及</w:t>
            </w:r>
            <w:r>
              <w:rPr>
                <w:rFonts w:ascii="標楷體" w:eastAsia="標楷體" w:hAnsi="標楷體"/>
                <w:color w:val="000000"/>
                <w:sz w:val="20"/>
                <w:szCs w:val="20"/>
              </w:rPr>
              <w:br/>
              <w:t>代碼</w:t>
            </w:r>
          </w:p>
        </w:tc>
        <w:tc>
          <w:tcPr>
            <w:tcW w:w="14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25B981"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申請類別</w:t>
            </w:r>
          </w:p>
        </w:tc>
        <w:tc>
          <w:tcPr>
            <w:tcW w:w="496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4A7528"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給付規定</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7D83EE"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用法</w:t>
            </w:r>
          </w:p>
          <w:p w14:paraId="663B19CD"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用量</w:t>
            </w:r>
          </w:p>
        </w:tc>
        <w:tc>
          <w:tcPr>
            <w:tcW w:w="84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59AD3C"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申請</w:t>
            </w:r>
          </w:p>
          <w:p w14:paraId="7F578F84"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數量</w:t>
            </w:r>
          </w:p>
        </w:tc>
        <w:tc>
          <w:tcPr>
            <w:tcW w:w="4920"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D29A80C"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保險人核定欄</w:t>
            </w:r>
          </w:p>
        </w:tc>
      </w:tr>
      <w:tr w:rsidR="00401786" w14:paraId="315EBE7C" w14:textId="77777777">
        <w:trPr>
          <w:cantSplit/>
          <w:trHeight w:val="3214"/>
        </w:trPr>
        <w:tc>
          <w:tcPr>
            <w:tcW w:w="14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798D29"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proofErr w:type="spellStart"/>
            <w:r>
              <w:rPr>
                <w:rFonts w:ascii="標楷體" w:eastAsia="標楷體" w:hAnsi="標楷體"/>
                <w:color w:val="000000"/>
                <w:sz w:val="20"/>
                <w:szCs w:val="20"/>
              </w:rPr>
              <w:t>Mabthera</w:t>
            </w:r>
            <w:proofErr w:type="spellEnd"/>
          </w:p>
          <w:p w14:paraId="1B293FAE"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K000699229</w:t>
            </w:r>
          </w:p>
          <w:p w14:paraId="187CAB43"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K000699248</w:t>
            </w:r>
          </w:p>
          <w:p w14:paraId="01C2F3E6" w14:textId="77777777" w:rsidR="00401786" w:rsidRDefault="00401786" w:rsidP="000E757E">
            <w:pPr>
              <w:snapToGrid w:val="0"/>
              <w:spacing w:line="240" w:lineRule="atLeast"/>
              <w:rPr>
                <w:rFonts w:ascii="標楷體" w:eastAsia="標楷體" w:hAnsi="標楷體"/>
                <w:color w:val="000000"/>
                <w:sz w:val="18"/>
                <w:szCs w:val="18"/>
              </w:rPr>
            </w:pPr>
          </w:p>
        </w:tc>
        <w:tc>
          <w:tcPr>
            <w:tcW w:w="14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1367C4"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1680A04D"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496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926923" w14:textId="77777777" w:rsidR="00401786" w:rsidRDefault="00C64FB3" w:rsidP="000E757E">
            <w:pPr>
              <w:pStyle w:val="a7"/>
              <w:tabs>
                <w:tab w:val="clear" w:pos="4153"/>
                <w:tab w:val="clear" w:pos="8306"/>
              </w:tabs>
              <w:spacing w:before="180" w:after="180" w:line="240" w:lineRule="atLeast"/>
              <w:rPr>
                <w:rFonts w:ascii="標楷體" w:eastAsia="標楷體" w:hAnsi="標楷體"/>
                <w:color w:val="000000"/>
              </w:rPr>
            </w:pPr>
            <w:r>
              <w:rPr>
                <w:rFonts w:ascii="標楷體" w:eastAsia="標楷體" w:hAnsi="標楷體"/>
                <w:color w:val="000000"/>
              </w:rPr>
              <w:t>限用於</w:t>
            </w:r>
          </w:p>
          <w:p w14:paraId="0ED84247" w14:textId="77777777" w:rsidR="00401786" w:rsidRDefault="00C64FB3" w:rsidP="000E757E">
            <w:pPr>
              <w:snapToGrid w:val="0"/>
              <w:spacing w:line="240" w:lineRule="atLeast"/>
              <w:ind w:left="118" w:hanging="118"/>
              <w:rPr>
                <w:rFonts w:ascii="標楷體" w:eastAsia="標楷體" w:hAnsi="標楷體"/>
                <w:color w:val="000000"/>
                <w:sz w:val="20"/>
                <w:szCs w:val="20"/>
              </w:rPr>
            </w:pPr>
            <w:r>
              <w:rPr>
                <w:rFonts w:ascii="標楷體" w:eastAsia="標楷體" w:hAnsi="標楷體"/>
                <w:color w:val="000000"/>
                <w:sz w:val="20"/>
                <w:szCs w:val="20"/>
              </w:rPr>
              <w:t>□復發或對化學療效有抗性之</w:t>
            </w:r>
            <w:proofErr w:type="gramStart"/>
            <w:r>
              <w:rPr>
                <w:rFonts w:ascii="標楷體" w:eastAsia="標楷體" w:hAnsi="標楷體"/>
                <w:color w:val="000000"/>
                <w:sz w:val="20"/>
                <w:szCs w:val="20"/>
              </w:rPr>
              <w:t>低惡度</w:t>
            </w:r>
            <w:proofErr w:type="gramEnd"/>
            <w:r>
              <w:rPr>
                <w:rFonts w:ascii="標楷體" w:eastAsia="標楷體" w:hAnsi="標楷體"/>
                <w:color w:val="000000"/>
                <w:sz w:val="20"/>
                <w:szCs w:val="20"/>
              </w:rPr>
              <w:t>B細胞非何</w:t>
            </w:r>
            <w:proofErr w:type="gramStart"/>
            <w:r>
              <w:rPr>
                <w:rFonts w:ascii="標楷體" w:eastAsia="標楷體" w:hAnsi="標楷體"/>
                <w:color w:val="000000"/>
                <w:sz w:val="20"/>
                <w:szCs w:val="20"/>
              </w:rPr>
              <w:t>杰</w:t>
            </w:r>
            <w:proofErr w:type="gramEnd"/>
            <w:r>
              <w:rPr>
                <w:rFonts w:ascii="標楷體" w:eastAsia="標楷體" w:hAnsi="標楷體"/>
                <w:color w:val="000000"/>
                <w:sz w:val="20"/>
                <w:szCs w:val="20"/>
              </w:rPr>
              <w:t>金氏淋巴瘤。</w:t>
            </w:r>
          </w:p>
          <w:p w14:paraId="19735A1D" w14:textId="77777777" w:rsidR="00401786" w:rsidRDefault="00C64FB3" w:rsidP="000E757E">
            <w:pPr>
              <w:snapToGrid w:val="0"/>
              <w:spacing w:line="240" w:lineRule="atLeast"/>
              <w:ind w:left="118" w:hanging="118"/>
              <w:rPr>
                <w:rFonts w:ascii="標楷體" w:eastAsia="標楷體" w:hAnsi="標楷體"/>
                <w:color w:val="000000"/>
                <w:sz w:val="20"/>
                <w:szCs w:val="20"/>
              </w:rPr>
            </w:pPr>
            <w:r>
              <w:rPr>
                <w:rFonts w:ascii="標楷體" w:eastAsia="標楷體" w:hAnsi="標楷體"/>
                <w:color w:val="000000"/>
                <w:sz w:val="20"/>
                <w:szCs w:val="20"/>
              </w:rPr>
              <w:t>□用於做為</w:t>
            </w:r>
            <w:proofErr w:type="gramStart"/>
            <w:r>
              <w:rPr>
                <w:rFonts w:ascii="標楷體" w:eastAsia="標楷體" w:hAnsi="標楷體"/>
                <w:color w:val="000000"/>
                <w:sz w:val="20"/>
                <w:szCs w:val="20"/>
              </w:rPr>
              <w:t>濾泡性淋巴</w:t>
            </w:r>
            <w:proofErr w:type="gramEnd"/>
            <w:r>
              <w:rPr>
                <w:rFonts w:ascii="標楷體" w:eastAsia="標楷體" w:hAnsi="標楷體"/>
                <w:color w:val="000000"/>
                <w:sz w:val="20"/>
                <w:szCs w:val="20"/>
              </w:rPr>
              <w:t>瘤患者對誘導療法產生反應之後的維持治療用藥。限用八劑，每三</w:t>
            </w:r>
            <w:proofErr w:type="gramStart"/>
            <w:r>
              <w:rPr>
                <w:rFonts w:ascii="標楷體" w:eastAsia="標楷體" w:hAnsi="標楷體"/>
                <w:color w:val="000000"/>
                <w:sz w:val="20"/>
                <w:szCs w:val="20"/>
              </w:rPr>
              <w:t>個</w:t>
            </w:r>
            <w:proofErr w:type="gramEnd"/>
            <w:r>
              <w:rPr>
                <w:rFonts w:ascii="標楷體" w:eastAsia="標楷體" w:hAnsi="標楷體"/>
                <w:color w:val="000000"/>
                <w:sz w:val="20"/>
                <w:szCs w:val="20"/>
              </w:rPr>
              <w:t>月使用一劑，最多不超過二年。</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54C67A" w14:textId="77777777" w:rsidR="00401786" w:rsidRDefault="00401786" w:rsidP="000E757E">
            <w:pPr>
              <w:snapToGrid w:val="0"/>
              <w:spacing w:line="240" w:lineRule="atLeast"/>
              <w:rPr>
                <w:rFonts w:ascii="標楷體" w:eastAsia="標楷體" w:hAnsi="標楷體"/>
                <w:color w:val="000000"/>
                <w:sz w:val="20"/>
                <w:szCs w:val="20"/>
              </w:rPr>
            </w:pPr>
          </w:p>
        </w:tc>
        <w:tc>
          <w:tcPr>
            <w:tcW w:w="84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4F1C26" w14:textId="77777777" w:rsidR="00401786" w:rsidRDefault="00401786" w:rsidP="000E757E">
            <w:pPr>
              <w:snapToGrid w:val="0"/>
              <w:spacing w:line="240" w:lineRule="atLeast"/>
              <w:rPr>
                <w:rFonts w:ascii="標楷體" w:eastAsia="標楷體" w:hAnsi="標楷體"/>
                <w:color w:val="000000"/>
                <w:sz w:val="20"/>
                <w:szCs w:val="20"/>
              </w:rPr>
            </w:pPr>
          </w:p>
        </w:tc>
        <w:tc>
          <w:tcPr>
            <w:tcW w:w="4920" w:type="dxa"/>
            <w:gridSpan w:val="14"/>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9F7B1F3" w14:textId="77777777" w:rsidR="00401786" w:rsidRDefault="00C64FB3">
            <w:pPr>
              <w:numPr>
                <w:ilvl w:val="0"/>
                <w:numId w:val="51"/>
              </w:numPr>
              <w:tabs>
                <w:tab w:val="left" w:pos="240"/>
              </w:tabs>
              <w:snapToGrid w:val="0"/>
              <w:spacing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同意備查。</w:t>
            </w:r>
          </w:p>
          <w:p w14:paraId="1E729072" w14:textId="77777777" w:rsidR="00401786" w:rsidRDefault="00C64FB3">
            <w:pPr>
              <w:numPr>
                <w:ilvl w:val="0"/>
                <w:numId w:val="51"/>
              </w:numPr>
              <w:tabs>
                <w:tab w:val="left" w:pos="240"/>
              </w:tabs>
              <w:snapToGrid w:val="0"/>
              <w:spacing w:line="240" w:lineRule="atLeast"/>
              <w:ind w:left="478" w:hanging="238"/>
            </w:pPr>
            <w:r>
              <w:rPr>
                <w:rFonts w:ascii="標楷體" w:eastAsia="標楷體" w:hAnsi="標楷體"/>
                <w:color w:val="000000"/>
                <w:sz w:val="20"/>
                <w:szCs w:val="20"/>
              </w:rPr>
              <w:t>使用劑量不符合常規，核定量為</w:t>
            </w:r>
          </w:p>
          <w:p w14:paraId="2C1C1EB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□不同意</w:t>
            </w:r>
          </w:p>
          <w:p w14:paraId="4DD3EA69"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不符合適應症。</w:t>
            </w:r>
          </w:p>
          <w:p w14:paraId="55D4AF5C" w14:textId="77777777" w:rsidR="00401786" w:rsidRDefault="00C64FB3">
            <w:pPr>
              <w:numPr>
                <w:ilvl w:val="0"/>
                <w:numId w:val="51"/>
              </w:numPr>
              <w:tabs>
                <w:tab w:val="left" w:pos="240"/>
              </w:tabs>
              <w:snapToGrid w:val="0"/>
              <w:spacing w:line="240" w:lineRule="atLeast"/>
              <w:ind w:left="478" w:hanging="238"/>
            </w:pPr>
            <w:r>
              <w:rPr>
                <w:rFonts w:ascii="標楷體" w:eastAsia="標楷體" w:hAnsi="標楷體"/>
                <w:color w:val="000000"/>
                <w:sz w:val="20"/>
                <w:szCs w:val="20"/>
              </w:rPr>
              <w:t>不符合併用二種此類藥物之適應症</w:t>
            </w:r>
          </w:p>
          <w:p w14:paraId="5B5847DE"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未附病理切片報告或細胞學檢查報告</w:t>
            </w:r>
          </w:p>
          <w:p w14:paraId="64C9FB9E"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未附使用其他抗癌藥物無效之記錄</w:t>
            </w:r>
          </w:p>
          <w:p w14:paraId="33C6D2C9"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未附目前是否為晚期或轉移之病歷</w:t>
            </w:r>
          </w:p>
          <w:p w14:paraId="6D91428E"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未附治療計劃(預計使用上述藥物之劑量及預計使用次數)</w:t>
            </w:r>
          </w:p>
          <w:p w14:paraId="78B3441C"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相關檢驗、檢查報告不全(如影像診斷報告或腫瘤標誌)</w:t>
            </w:r>
          </w:p>
          <w:p w14:paraId="1048D033" w14:textId="77777777" w:rsidR="00401786" w:rsidRDefault="00C64FB3">
            <w:pPr>
              <w:numPr>
                <w:ilvl w:val="0"/>
                <w:numId w:val="51"/>
              </w:numPr>
              <w:tabs>
                <w:tab w:val="left" w:pos="240"/>
              </w:tabs>
              <w:snapToGrid w:val="0"/>
              <w:spacing w:line="240" w:lineRule="atLeast"/>
              <w:ind w:left="478" w:hanging="238"/>
            </w:pPr>
            <w:proofErr w:type="gramStart"/>
            <w:r>
              <w:rPr>
                <w:rFonts w:ascii="標楷體" w:eastAsia="標楷體" w:hAnsi="標楷體"/>
                <w:color w:val="000000"/>
                <w:sz w:val="20"/>
                <w:szCs w:val="20"/>
              </w:rPr>
              <w:t>補附資料</w:t>
            </w:r>
            <w:proofErr w:type="gramEnd"/>
            <w:r>
              <w:rPr>
                <w:rFonts w:ascii="標楷體" w:eastAsia="標楷體" w:hAnsi="標楷體"/>
                <w:color w:val="000000"/>
                <w:sz w:val="20"/>
                <w:szCs w:val="20"/>
              </w:rPr>
              <w:t>再審，請補充以下資料</w:t>
            </w:r>
          </w:p>
          <w:p w14:paraId="5467E8E7" w14:textId="77777777" w:rsidR="00401786" w:rsidRDefault="00C64FB3">
            <w:pPr>
              <w:numPr>
                <w:ilvl w:val="0"/>
                <w:numId w:val="51"/>
              </w:numPr>
              <w:tabs>
                <w:tab w:val="left" w:pos="240"/>
              </w:tabs>
              <w:snapToGrid w:val="0"/>
              <w:spacing w:line="240" w:lineRule="atLeast"/>
              <w:ind w:left="478" w:hanging="238"/>
            </w:pPr>
            <w:r>
              <w:rPr>
                <w:rFonts w:ascii="標楷體" w:eastAsia="標楷體" w:hAnsi="標楷體"/>
                <w:color w:val="000000"/>
                <w:sz w:val="20"/>
                <w:szCs w:val="20"/>
              </w:rPr>
              <w:t>其他：</w:t>
            </w:r>
          </w:p>
        </w:tc>
      </w:tr>
      <w:tr w:rsidR="00401786" w14:paraId="61336030" w14:textId="77777777">
        <w:trPr>
          <w:cantSplit/>
          <w:trHeight w:val="487"/>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BE6959"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注意事項</w:t>
            </w:r>
          </w:p>
          <w:p w14:paraId="15DC4E0E" w14:textId="77777777" w:rsidR="00401786" w:rsidRDefault="00401786" w:rsidP="000E757E">
            <w:pPr>
              <w:snapToGrid w:val="0"/>
              <w:spacing w:line="240" w:lineRule="atLeast"/>
              <w:ind w:hanging="211"/>
              <w:rPr>
                <w:rFonts w:ascii="標楷體" w:eastAsia="標楷體" w:hAnsi="標楷體"/>
                <w:color w:val="000000"/>
                <w:sz w:val="20"/>
                <w:szCs w:val="20"/>
              </w:rPr>
            </w:pPr>
          </w:p>
        </w:tc>
        <w:tc>
          <w:tcPr>
            <w:tcW w:w="9124"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AB36F1"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26679CCF"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「原受理編號」申復時填寫，初次送核不需填寫。</w:t>
            </w:r>
          </w:p>
          <w:p w14:paraId="6FF78232"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054A9F92"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1AD84AA1"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對複核結果如有異議，得於收到複核通知之日起六十日內向全民健康保險爭議審議會申請審議。</w:t>
            </w:r>
          </w:p>
          <w:p w14:paraId="76B3CADE"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6A7A9251"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事服務機構如因事出緊急，得以書面說明電傳保險人報備後，先行處理治療，並立即備齊應附文件備查。經報備後未及經審查回復即因急迫需要而施行者，應依專業審查核定結果辦理。</w:t>
            </w:r>
          </w:p>
          <w:p w14:paraId="7B4C2E60" w14:textId="77777777" w:rsidR="00401786" w:rsidRDefault="00401786" w:rsidP="000E757E">
            <w:pPr>
              <w:snapToGrid w:val="0"/>
              <w:spacing w:line="240" w:lineRule="atLeast"/>
              <w:rPr>
                <w:rFonts w:ascii="標楷體" w:eastAsia="標楷體" w:hAnsi="標楷體"/>
                <w:color w:val="000000"/>
                <w:kern w:val="0"/>
                <w:sz w:val="20"/>
                <w:szCs w:val="20"/>
              </w:rPr>
            </w:pPr>
          </w:p>
        </w:tc>
        <w:tc>
          <w:tcPr>
            <w:tcW w:w="4920" w:type="dxa"/>
            <w:gridSpan w:val="14"/>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49C09D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EF1D859" w14:textId="77777777">
        <w:trPr>
          <w:cantSplit/>
          <w:trHeight w:val="1132"/>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FE09C7" w14:textId="77777777" w:rsidR="00401786" w:rsidRDefault="00401786" w:rsidP="000E757E">
            <w:pPr>
              <w:snapToGrid w:val="0"/>
              <w:spacing w:line="240" w:lineRule="atLeast"/>
              <w:ind w:left="211" w:hanging="211"/>
              <w:rPr>
                <w:rFonts w:ascii="標楷體" w:eastAsia="標楷體" w:hAnsi="標楷體"/>
                <w:color w:val="000000"/>
              </w:rPr>
            </w:pPr>
          </w:p>
        </w:tc>
        <w:tc>
          <w:tcPr>
            <w:tcW w:w="9124"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C9BFD4" w14:textId="77777777" w:rsidR="00401786" w:rsidRDefault="00401786" w:rsidP="000E757E">
            <w:pPr>
              <w:snapToGrid w:val="0"/>
              <w:spacing w:line="240" w:lineRule="atLeast"/>
              <w:ind w:left="211" w:hanging="211"/>
              <w:rPr>
                <w:rFonts w:ascii="標楷體" w:eastAsia="標楷體" w:hAnsi="標楷體"/>
                <w:color w:val="000000"/>
              </w:rPr>
            </w:pPr>
          </w:p>
        </w:tc>
        <w:tc>
          <w:tcPr>
            <w:tcW w:w="3600"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D10C1F" w14:textId="77777777" w:rsidR="00401786" w:rsidRDefault="00401786" w:rsidP="000E757E">
            <w:pPr>
              <w:snapToGrid w:val="0"/>
              <w:spacing w:line="240" w:lineRule="atLeast"/>
              <w:jc w:val="both"/>
              <w:rPr>
                <w:rFonts w:ascii="標楷體" w:eastAsia="標楷體" w:hAnsi="標楷體"/>
                <w:color w:val="000000"/>
              </w:rPr>
            </w:pPr>
          </w:p>
          <w:p w14:paraId="6ACACE83" w14:textId="77777777" w:rsidR="00401786" w:rsidRDefault="00401786" w:rsidP="000E757E">
            <w:pPr>
              <w:snapToGrid w:val="0"/>
              <w:spacing w:line="240" w:lineRule="atLeast"/>
              <w:jc w:val="both"/>
              <w:rPr>
                <w:rFonts w:ascii="標楷體" w:eastAsia="標楷體" w:hAnsi="標楷體"/>
                <w:color w:val="000000"/>
              </w:rPr>
            </w:pPr>
          </w:p>
          <w:p w14:paraId="01615BD9" w14:textId="77777777" w:rsidR="00401786" w:rsidRDefault="00C64FB3" w:rsidP="000E757E">
            <w:pPr>
              <w:snapToGrid w:val="0"/>
              <w:spacing w:line="240" w:lineRule="atLeast"/>
              <w:jc w:val="both"/>
              <w:rPr>
                <w:rFonts w:ascii="標楷體" w:eastAsia="標楷體" w:hAnsi="標楷體"/>
                <w:color w:val="000000"/>
                <w:sz w:val="20"/>
                <w:szCs w:val="20"/>
              </w:rPr>
            </w:pPr>
            <w:r>
              <w:rPr>
                <w:rFonts w:ascii="標楷體" w:eastAsia="標楷體" w:hAnsi="標楷體"/>
                <w:color w:val="000000"/>
                <w:sz w:val="20"/>
                <w:szCs w:val="20"/>
              </w:rPr>
              <w:t>保險人日期章戳</w:t>
            </w:r>
          </w:p>
          <w:p w14:paraId="0F0D48CF"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AEF0CA"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審查醫師</w:t>
            </w:r>
          </w:p>
        </w:tc>
        <w:tc>
          <w:tcPr>
            <w:tcW w:w="9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582E37" w14:textId="77777777" w:rsidR="00401786" w:rsidRDefault="00401786" w:rsidP="000E757E">
            <w:pPr>
              <w:snapToGrid w:val="0"/>
              <w:spacing w:line="240" w:lineRule="atLeast"/>
              <w:rPr>
                <w:rFonts w:ascii="標楷體" w:eastAsia="標楷體" w:hAnsi="標楷體"/>
                <w:color w:val="000000"/>
              </w:rPr>
            </w:pPr>
          </w:p>
        </w:tc>
      </w:tr>
      <w:tr w:rsidR="00401786" w14:paraId="5401E9C9" w14:textId="77777777">
        <w:trPr>
          <w:cantSplit/>
          <w:trHeight w:val="938"/>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05A0C0" w14:textId="77777777" w:rsidR="00401786" w:rsidRDefault="00401786" w:rsidP="000E757E">
            <w:pPr>
              <w:snapToGrid w:val="0"/>
              <w:spacing w:line="240" w:lineRule="atLeast"/>
              <w:ind w:left="211" w:hanging="211"/>
              <w:rPr>
                <w:rFonts w:ascii="標楷體" w:eastAsia="標楷體" w:hAnsi="標楷體"/>
                <w:color w:val="000000"/>
              </w:rPr>
            </w:pPr>
          </w:p>
        </w:tc>
        <w:tc>
          <w:tcPr>
            <w:tcW w:w="9124"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F4DE75" w14:textId="77777777" w:rsidR="00401786" w:rsidRDefault="00401786" w:rsidP="000E757E">
            <w:pPr>
              <w:snapToGrid w:val="0"/>
              <w:spacing w:line="240" w:lineRule="atLeast"/>
              <w:ind w:left="211" w:hanging="211"/>
              <w:rPr>
                <w:rFonts w:ascii="標楷體" w:eastAsia="標楷體" w:hAnsi="標楷體"/>
                <w:color w:val="000000"/>
              </w:rPr>
            </w:pPr>
          </w:p>
        </w:tc>
        <w:tc>
          <w:tcPr>
            <w:tcW w:w="3600"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07203F" w14:textId="77777777" w:rsidR="00401786" w:rsidRDefault="00401786" w:rsidP="000E757E">
            <w:pPr>
              <w:snapToGrid w:val="0"/>
              <w:spacing w:line="240" w:lineRule="atLeast"/>
              <w:rPr>
                <w:rFonts w:ascii="標楷體" w:eastAsia="標楷體" w:hAnsi="標楷體"/>
                <w:color w:val="000000"/>
              </w:rPr>
            </w:pPr>
          </w:p>
        </w:tc>
        <w:tc>
          <w:tcPr>
            <w:tcW w:w="37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6CE08A" w14:textId="77777777" w:rsidR="00401786" w:rsidRDefault="00401786" w:rsidP="000E757E">
            <w:pPr>
              <w:snapToGrid w:val="0"/>
              <w:spacing w:line="240" w:lineRule="atLeast"/>
              <w:rPr>
                <w:rFonts w:ascii="標楷體" w:eastAsia="標楷體" w:hAnsi="標楷體"/>
                <w:color w:val="000000"/>
              </w:rPr>
            </w:pPr>
          </w:p>
        </w:tc>
        <w:tc>
          <w:tcPr>
            <w:tcW w:w="9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EEC4D5" w14:textId="77777777" w:rsidR="00401786" w:rsidRDefault="00401786" w:rsidP="000E757E">
            <w:pPr>
              <w:snapToGrid w:val="0"/>
              <w:spacing w:line="240" w:lineRule="atLeast"/>
              <w:rPr>
                <w:rFonts w:ascii="標楷體" w:eastAsia="標楷體" w:hAnsi="標楷體"/>
                <w:color w:val="000000"/>
              </w:rPr>
            </w:pPr>
          </w:p>
        </w:tc>
      </w:tr>
      <w:tr w:rsidR="00401786" w14:paraId="63278C0B" w14:textId="77777777">
        <w:trPr>
          <w:cantSplit/>
          <w:trHeight w:val="740"/>
        </w:trPr>
        <w:tc>
          <w:tcPr>
            <w:tcW w:w="7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29CA8" w14:textId="77777777" w:rsidR="00401786" w:rsidRDefault="00401786" w:rsidP="000E757E">
            <w:pPr>
              <w:snapToGrid w:val="0"/>
              <w:spacing w:line="240" w:lineRule="atLeast"/>
              <w:rPr>
                <w:rFonts w:ascii="標楷體" w:eastAsia="標楷體" w:hAnsi="標楷體"/>
                <w:color w:val="000000"/>
              </w:rPr>
            </w:pPr>
          </w:p>
          <w:p w14:paraId="0FF0D4AB" w14:textId="77777777" w:rsidR="00401786" w:rsidRDefault="00C64FB3" w:rsidP="000E757E">
            <w:pPr>
              <w:snapToGrid w:val="0"/>
              <w:spacing w:line="240" w:lineRule="atLeast"/>
              <w:rPr>
                <w:rFonts w:ascii="標楷體" w:eastAsia="標楷體" w:hAnsi="標楷體"/>
                <w:color w:val="000000"/>
              </w:rPr>
            </w:pPr>
            <w:proofErr w:type="gramStart"/>
            <w:r>
              <w:rPr>
                <w:rFonts w:ascii="標楷體" w:eastAsia="標楷體" w:hAnsi="標楷體"/>
                <w:color w:val="000000"/>
              </w:rPr>
              <w:t>醫</w:t>
            </w:r>
            <w:proofErr w:type="gramEnd"/>
            <w:r>
              <w:rPr>
                <w:rFonts w:ascii="標楷體" w:eastAsia="標楷體" w:hAnsi="標楷體"/>
                <w:color w:val="000000"/>
              </w:rPr>
              <w:t>事服務機構</w:t>
            </w:r>
          </w:p>
        </w:tc>
        <w:tc>
          <w:tcPr>
            <w:tcW w:w="8720"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1B4C5C"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醫院申請日期：  年  月  日</w:t>
            </w:r>
          </w:p>
          <w:p w14:paraId="234D2DA8" w14:textId="77777777" w:rsidR="00401786" w:rsidRDefault="00401786" w:rsidP="000E757E">
            <w:pPr>
              <w:snapToGrid w:val="0"/>
              <w:spacing w:line="240" w:lineRule="atLeast"/>
              <w:rPr>
                <w:rFonts w:ascii="標楷體" w:eastAsia="標楷體" w:hAnsi="標楷體"/>
                <w:color w:val="000000"/>
              </w:rPr>
            </w:pPr>
          </w:p>
          <w:p w14:paraId="62DD3D67"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t>文號：</w:t>
            </w:r>
          </w:p>
        </w:tc>
        <w:tc>
          <w:tcPr>
            <w:tcW w:w="35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897B2C"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承辦人</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473043" w14:textId="77777777" w:rsidR="00401786" w:rsidRDefault="00401786" w:rsidP="000E757E">
            <w:pPr>
              <w:widowControl/>
              <w:snapToGrid w:val="0"/>
              <w:spacing w:line="240" w:lineRule="atLeast"/>
              <w:rPr>
                <w:rFonts w:ascii="標楷體" w:eastAsia="標楷體" w:hAnsi="標楷體"/>
                <w:color w:val="000000"/>
              </w:rPr>
            </w:pPr>
          </w:p>
          <w:p w14:paraId="431335AF"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F4F04"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複核</w:t>
            </w:r>
          </w:p>
          <w:p w14:paraId="2787417E" w14:textId="77777777" w:rsidR="00401786" w:rsidRDefault="00401786" w:rsidP="000E757E">
            <w:pPr>
              <w:widowControl/>
              <w:snapToGrid w:val="0"/>
              <w:spacing w:line="240" w:lineRule="atLeast"/>
              <w:rPr>
                <w:rFonts w:ascii="標楷體" w:eastAsia="標楷體" w:hAnsi="標楷體"/>
                <w:color w:val="000000"/>
              </w:rPr>
            </w:pPr>
          </w:p>
        </w:tc>
        <w:tc>
          <w:tcPr>
            <w:tcW w:w="840"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E84DFA" w14:textId="77777777" w:rsidR="00401786" w:rsidRDefault="00401786" w:rsidP="000E757E">
            <w:pPr>
              <w:widowControl/>
              <w:snapToGrid w:val="0"/>
              <w:spacing w:line="240" w:lineRule="atLeast"/>
              <w:rPr>
                <w:rFonts w:ascii="標楷體" w:eastAsia="標楷體" w:hAnsi="標楷體"/>
                <w:color w:val="000000"/>
              </w:rPr>
            </w:pPr>
          </w:p>
          <w:p w14:paraId="0D042313" w14:textId="77777777" w:rsidR="00401786" w:rsidRDefault="00401786" w:rsidP="000E757E">
            <w:pPr>
              <w:snapToGrid w:val="0"/>
              <w:spacing w:line="240" w:lineRule="atLeast"/>
              <w:rPr>
                <w:rFonts w:ascii="標楷體" w:eastAsia="標楷體" w:hAnsi="標楷體"/>
                <w:color w:val="00000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C24CAB"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科長</w:t>
            </w:r>
          </w:p>
        </w:tc>
        <w:tc>
          <w:tcPr>
            <w:tcW w:w="8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0421E0" w14:textId="77777777" w:rsidR="00401786" w:rsidRDefault="00401786" w:rsidP="000E757E">
            <w:pPr>
              <w:widowControl/>
              <w:snapToGrid w:val="0"/>
              <w:spacing w:line="240" w:lineRule="atLeast"/>
              <w:rPr>
                <w:rFonts w:ascii="標楷體" w:eastAsia="標楷體" w:hAnsi="標楷體"/>
                <w:color w:val="000000"/>
              </w:rPr>
            </w:pPr>
          </w:p>
          <w:p w14:paraId="70945BA0" w14:textId="77777777" w:rsidR="00401786" w:rsidRDefault="00401786" w:rsidP="000E757E">
            <w:pPr>
              <w:snapToGrid w:val="0"/>
              <w:spacing w:line="240" w:lineRule="atLeast"/>
              <w:rPr>
                <w:rFonts w:ascii="標楷體" w:eastAsia="標楷體" w:hAnsi="標楷體"/>
                <w:color w:val="00000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8BED62"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決行</w:t>
            </w:r>
          </w:p>
          <w:p w14:paraId="411E7D93" w14:textId="77777777" w:rsidR="00401786" w:rsidRDefault="00401786" w:rsidP="000E757E">
            <w:pPr>
              <w:widowControl/>
              <w:snapToGrid w:val="0"/>
              <w:spacing w:line="240" w:lineRule="atLeast"/>
              <w:rPr>
                <w:rFonts w:ascii="標楷體" w:eastAsia="標楷體" w:hAnsi="標楷體"/>
                <w:color w:val="000000"/>
              </w:rPr>
            </w:pPr>
          </w:p>
        </w:tc>
        <w:tc>
          <w:tcPr>
            <w:tcW w:w="94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45A5A" w14:textId="77777777" w:rsidR="00401786" w:rsidRDefault="00401786" w:rsidP="000E757E">
            <w:pPr>
              <w:widowControl/>
              <w:snapToGrid w:val="0"/>
              <w:spacing w:line="240" w:lineRule="atLeast"/>
              <w:rPr>
                <w:rFonts w:ascii="標楷體" w:eastAsia="標楷體" w:hAnsi="標楷體"/>
                <w:color w:val="000000"/>
              </w:rPr>
            </w:pPr>
          </w:p>
          <w:p w14:paraId="0CCB0265" w14:textId="77777777" w:rsidR="00401786" w:rsidRDefault="00401786" w:rsidP="000E757E">
            <w:pPr>
              <w:snapToGrid w:val="0"/>
              <w:spacing w:line="240" w:lineRule="atLeast"/>
              <w:rPr>
                <w:rFonts w:ascii="標楷體" w:eastAsia="標楷體" w:hAnsi="標楷體"/>
                <w:color w:val="000000"/>
              </w:rPr>
            </w:pPr>
          </w:p>
        </w:tc>
      </w:tr>
    </w:tbl>
    <w:p w14:paraId="78B38D33" w14:textId="59EF69BF" w:rsidR="009E653D" w:rsidRDefault="009E653D" w:rsidP="000E757E">
      <w:pPr>
        <w:pStyle w:val="Web"/>
        <w:widowControl w:val="0"/>
        <w:snapToGrid w:val="0"/>
        <w:spacing w:before="0" w:after="0" w:line="240" w:lineRule="atLeast"/>
        <w:jc w:val="both"/>
        <w:rPr>
          <w:rFonts w:ascii="標楷體" w:eastAsia="標楷體" w:hAnsi="標楷體" w:cs="標楷體"/>
          <w:color w:val="000000"/>
        </w:rPr>
      </w:pPr>
    </w:p>
    <w:p w14:paraId="05F9C461" w14:textId="54FFAFBA" w:rsidR="009E653D" w:rsidRPr="009E653D" w:rsidRDefault="009E653D" w:rsidP="009E653D">
      <w:pPr>
        <w:widowControl/>
        <w:suppressAutoHyphens w:val="0"/>
        <w:rPr>
          <w:rFonts w:ascii="標楷體" w:eastAsia="標楷體" w:hAnsi="標楷體" w:cs="標楷體"/>
          <w:color w:val="000000"/>
          <w:kern w:val="0"/>
          <w:szCs w:val="24"/>
        </w:rPr>
      </w:pPr>
      <w:r>
        <w:rPr>
          <w:rFonts w:ascii="標楷體" w:eastAsia="標楷體" w:hAnsi="標楷體" w:cs="標楷體"/>
          <w:color w:val="000000"/>
        </w:rPr>
        <w:br w:type="page"/>
      </w:r>
    </w:p>
    <w:p w14:paraId="7F347A67" w14:textId="6747A61F" w:rsidR="00401786" w:rsidRPr="00455C9A" w:rsidRDefault="00C64FB3" w:rsidP="000E757E">
      <w:pPr>
        <w:pStyle w:val="Web"/>
        <w:widowControl w:val="0"/>
        <w:snapToGrid w:val="0"/>
        <w:spacing w:before="0" w:after="0" w:line="240" w:lineRule="atLeast"/>
        <w:jc w:val="both"/>
        <w:rPr>
          <w:b/>
          <w:bCs/>
        </w:rPr>
      </w:pPr>
      <w:r w:rsidRPr="00455C9A">
        <w:rPr>
          <w:rFonts w:ascii="標楷體" w:eastAsia="標楷體" w:hAnsi="標楷體" w:cs="標楷體"/>
          <w:b/>
          <w:bCs/>
          <w:color w:val="000000"/>
        </w:rPr>
        <w:lastRenderedPageBreak/>
        <w:t>附表八之</w:t>
      </w:r>
      <w:proofErr w:type="gramStart"/>
      <w:r w:rsidRPr="00455C9A">
        <w:rPr>
          <w:rFonts w:ascii="標楷體" w:eastAsia="標楷體" w:hAnsi="標楷體" w:cs="標楷體"/>
          <w:b/>
          <w:bCs/>
          <w:color w:val="000000"/>
        </w:rPr>
        <w:t>一</w:t>
      </w:r>
      <w:proofErr w:type="gramEnd"/>
      <w:r w:rsidR="00455C9A" w:rsidRPr="00455C9A">
        <w:rPr>
          <w:rFonts w:ascii="標楷體" w:eastAsia="標楷體" w:hAnsi="標楷體" w:cs="標楷體" w:hint="eastAsia"/>
          <w:b/>
          <w:bCs/>
          <w:color w:val="000000"/>
        </w:rPr>
        <w:t xml:space="preserve"> </w:t>
      </w:r>
      <w:r w:rsidRPr="00455C9A">
        <w:rPr>
          <w:rFonts w:ascii="標楷體" w:eastAsia="標楷體" w:hAnsi="標楷體" w:cs="標楷體"/>
          <w:b/>
          <w:bCs/>
          <w:color w:val="000000"/>
        </w:rPr>
        <w:t>全民健康保險使用抗癌藥品</w:t>
      </w:r>
      <w:r w:rsidRPr="00455C9A">
        <w:rPr>
          <w:rFonts w:ascii="標楷體" w:eastAsia="標楷體" w:hAnsi="標楷體" w:cs="Times New Roman"/>
          <w:b/>
          <w:bCs/>
          <w:color w:val="000000"/>
        </w:rPr>
        <w:t>Fludarabine</w:t>
      </w:r>
      <w:r w:rsidRPr="00455C9A">
        <w:rPr>
          <w:rFonts w:ascii="標楷體" w:eastAsia="標楷體" w:hAnsi="標楷體" w:cs="標楷體"/>
          <w:b/>
          <w:bCs/>
          <w:color w:val="000000"/>
        </w:rPr>
        <w:t>申請表</w:t>
      </w:r>
    </w:p>
    <w:tbl>
      <w:tblPr>
        <w:tblW w:w="14436" w:type="dxa"/>
        <w:tblLayout w:type="fixed"/>
        <w:tblCellMar>
          <w:left w:w="10" w:type="dxa"/>
          <w:right w:w="10" w:type="dxa"/>
        </w:tblCellMar>
        <w:tblLook w:val="0000" w:firstRow="0" w:lastRow="0" w:firstColumn="0" w:lastColumn="0" w:noHBand="0" w:noVBand="0"/>
      </w:tblPr>
      <w:tblGrid>
        <w:gridCol w:w="383"/>
        <w:gridCol w:w="401"/>
        <w:gridCol w:w="795"/>
        <w:gridCol w:w="825"/>
        <w:gridCol w:w="360"/>
        <w:gridCol w:w="240"/>
        <w:gridCol w:w="120"/>
        <w:gridCol w:w="499"/>
        <w:gridCol w:w="666"/>
        <w:gridCol w:w="286"/>
        <w:gridCol w:w="1303"/>
        <w:gridCol w:w="599"/>
        <w:gridCol w:w="360"/>
        <w:gridCol w:w="970"/>
        <w:gridCol w:w="838"/>
        <w:gridCol w:w="362"/>
        <w:gridCol w:w="476"/>
        <w:gridCol w:w="360"/>
        <w:gridCol w:w="228"/>
        <w:gridCol w:w="606"/>
        <w:gridCol w:w="360"/>
        <w:gridCol w:w="471"/>
        <w:gridCol w:w="15"/>
        <w:gridCol w:w="352"/>
        <w:gridCol w:w="208"/>
        <w:gridCol w:w="152"/>
        <w:gridCol w:w="232"/>
        <w:gridCol w:w="613"/>
        <w:gridCol w:w="358"/>
        <w:gridCol w:w="958"/>
        <w:gridCol w:w="40"/>
      </w:tblGrid>
      <w:tr w:rsidR="00401786" w14:paraId="545ADE66" w14:textId="77777777">
        <w:trPr>
          <w:cantSplit/>
          <w:trHeight w:val="388"/>
        </w:trPr>
        <w:tc>
          <w:tcPr>
            <w:tcW w:w="2404"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1B48BDA7" w14:textId="77777777" w:rsidR="00401786" w:rsidRDefault="00C64FB3" w:rsidP="000E757E">
            <w:pPr>
              <w:snapToGrid w:val="0"/>
              <w:spacing w:line="240" w:lineRule="atLeast"/>
              <w:jc w:val="both"/>
            </w:pPr>
            <w:r>
              <w:rPr>
                <w:rFonts w:ascii="標楷體" w:eastAsia="標楷體" w:hAnsi="標楷體" w:cs="標楷體"/>
                <w:color w:val="000000"/>
                <w:sz w:val="20"/>
                <w:szCs w:val="20"/>
              </w:rPr>
              <w:t>申請類別：</w:t>
            </w:r>
          </w:p>
        </w:tc>
        <w:tc>
          <w:tcPr>
            <w:tcW w:w="407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A06970"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3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F9C940"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16"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AA74BD"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4D645B"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70FCDE7" w14:textId="77777777" w:rsidR="00401786" w:rsidRDefault="00401786" w:rsidP="000E757E">
            <w:pPr>
              <w:snapToGrid w:val="0"/>
              <w:spacing w:line="240" w:lineRule="atLeast"/>
            </w:pPr>
          </w:p>
        </w:tc>
      </w:tr>
      <w:tr w:rsidR="00401786" w14:paraId="584805CB" w14:textId="77777777">
        <w:trPr>
          <w:cantSplit/>
          <w:trHeight w:val="517"/>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12D3D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1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5577FC"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1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E8BDB6"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C2CDAD"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A594887"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2E40455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2B14D28"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E9F1F8"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F46314"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89C1A4"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D6A670" w14:textId="77777777" w:rsidR="00401786" w:rsidRDefault="00401786" w:rsidP="000E757E">
            <w:pPr>
              <w:pStyle w:val="a7"/>
              <w:tabs>
                <w:tab w:val="clear" w:pos="4153"/>
                <w:tab w:val="clear" w:pos="8306"/>
              </w:tabs>
              <w:spacing w:line="240" w:lineRule="atLeast"/>
              <w:rPr>
                <w:rFonts w:ascii="標楷體" w:eastAsia="標楷體" w:hAnsi="標楷體"/>
                <w:color w:val="000000"/>
              </w:rPr>
            </w:pPr>
          </w:p>
        </w:tc>
        <w:tc>
          <w:tcPr>
            <w:tcW w:w="167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BC0C2C"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A2BECFE"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2FB39A"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09E0EE"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31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06D6F6"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027186A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09763CF" w14:textId="77777777">
        <w:trPr>
          <w:cantSplit/>
          <w:trHeight w:val="530"/>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131503" w14:textId="77777777" w:rsidR="00401786" w:rsidRDefault="00401786" w:rsidP="000E757E">
            <w:pPr>
              <w:snapToGrid w:val="0"/>
              <w:spacing w:line="240" w:lineRule="atLeast"/>
              <w:rPr>
                <w:rFonts w:ascii="標楷體" w:eastAsia="標楷體" w:hAnsi="標楷體"/>
                <w:color w:val="000000"/>
                <w:sz w:val="20"/>
                <w:szCs w:val="20"/>
              </w:rPr>
            </w:pPr>
          </w:p>
        </w:tc>
        <w:tc>
          <w:tcPr>
            <w:tcW w:w="11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1A03E3"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1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13CF3E"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0244B5" w14:textId="77777777" w:rsidR="00401786" w:rsidRDefault="00401786" w:rsidP="000E757E">
            <w:pPr>
              <w:snapToGrid w:val="0"/>
              <w:spacing w:line="240" w:lineRule="atLeast"/>
              <w:rPr>
                <w:rFonts w:ascii="標楷體" w:eastAsia="標楷體" w:hAnsi="標楷體"/>
                <w:color w:val="000000"/>
                <w:sz w:val="20"/>
                <w:szCs w:val="20"/>
              </w:rPr>
            </w:pPr>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129CA9"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C10CF1E"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E695ED"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1291D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3B70EE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71A3C1" w14:textId="77777777" w:rsidR="00401786" w:rsidRDefault="00401786" w:rsidP="000E757E">
            <w:pPr>
              <w:snapToGrid w:val="0"/>
              <w:spacing w:line="240" w:lineRule="atLeast"/>
              <w:rPr>
                <w:rFonts w:ascii="標楷體" w:eastAsia="標楷體" w:hAnsi="標楷體"/>
                <w:color w:val="000000"/>
                <w:sz w:val="20"/>
                <w:szCs w:val="20"/>
              </w:rPr>
            </w:pPr>
          </w:p>
        </w:tc>
        <w:tc>
          <w:tcPr>
            <w:tcW w:w="167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A42964"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D481A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病歷號碼</w:t>
            </w:r>
          </w:p>
        </w:tc>
        <w:tc>
          <w:tcPr>
            <w:tcW w:w="143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7D959E"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E1A01D"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C81BE6"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18E33C9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089568C" w14:textId="77777777">
        <w:trPr>
          <w:cantSplit/>
          <w:trHeight w:val="374"/>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DCF3F0"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04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86FBB3"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73071A"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23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E43AB3" w14:textId="77777777" w:rsidR="00401786" w:rsidRDefault="00401786" w:rsidP="000E757E">
            <w:pPr>
              <w:snapToGrid w:val="0"/>
              <w:spacing w:line="240" w:lineRule="atLeast"/>
              <w:rPr>
                <w:rFonts w:ascii="標楷體" w:eastAsia="標楷體" w:hAnsi="標楷體"/>
                <w:color w:val="000000"/>
                <w:sz w:val="20"/>
                <w:szCs w:val="20"/>
              </w:rPr>
            </w:pPr>
          </w:p>
        </w:tc>
        <w:tc>
          <w:tcPr>
            <w:tcW w:w="167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ACBF18"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13"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52BBBEF"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49D58CDA" w14:textId="77777777" w:rsidR="00401786" w:rsidRDefault="00401786" w:rsidP="000E757E">
            <w:pPr>
              <w:snapToGrid w:val="0"/>
              <w:spacing w:line="240" w:lineRule="atLeast"/>
            </w:pPr>
          </w:p>
        </w:tc>
      </w:tr>
      <w:tr w:rsidR="00401786" w14:paraId="385AF5AB" w14:textId="77777777">
        <w:trPr>
          <w:cantSplit/>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C9FA0C"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藥品名稱及代碼</w:t>
            </w:r>
          </w:p>
        </w:tc>
        <w:tc>
          <w:tcPr>
            <w:tcW w:w="14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8A794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480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5A4C6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315E6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04FECF7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68BC8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531458E9"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13"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4EA3B763"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79BF3B82" w14:textId="77777777" w:rsidR="00401786" w:rsidRDefault="00401786" w:rsidP="000E757E">
            <w:pPr>
              <w:snapToGrid w:val="0"/>
              <w:spacing w:line="240" w:lineRule="atLeast"/>
              <w:jc w:val="center"/>
            </w:pPr>
          </w:p>
        </w:tc>
      </w:tr>
      <w:tr w:rsidR="00401786" w14:paraId="170CE09E" w14:textId="77777777">
        <w:trPr>
          <w:cantSplit/>
          <w:trHeight w:val="1013"/>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8F7C50" w14:textId="77777777" w:rsidR="00401786" w:rsidRDefault="00C64FB3" w:rsidP="000E757E">
            <w:pPr>
              <w:snapToGrid w:val="0"/>
              <w:spacing w:line="240" w:lineRule="atLeast"/>
              <w:rPr>
                <w:rFonts w:ascii="標楷體" w:eastAsia="標楷體" w:hAnsi="標楷體"/>
                <w:color w:val="000000"/>
                <w:sz w:val="20"/>
                <w:szCs w:val="20"/>
              </w:rPr>
            </w:pPr>
            <w:proofErr w:type="spellStart"/>
            <w:proofErr w:type="gramStart"/>
            <w:r>
              <w:rPr>
                <w:rFonts w:ascii="標楷體" w:eastAsia="標楷體" w:hAnsi="標楷體"/>
                <w:color w:val="000000"/>
                <w:sz w:val="20"/>
                <w:szCs w:val="20"/>
              </w:rPr>
              <w:t>FludaraOral,Film</w:t>
            </w:r>
            <w:proofErr w:type="gramEnd"/>
            <w:r>
              <w:rPr>
                <w:rFonts w:ascii="標楷體" w:eastAsia="標楷體" w:hAnsi="標楷體"/>
                <w:color w:val="000000"/>
                <w:sz w:val="20"/>
                <w:szCs w:val="20"/>
              </w:rPr>
              <w:t>-CoatedTablets</w:t>
            </w:r>
            <w:proofErr w:type="spellEnd"/>
          </w:p>
          <w:p w14:paraId="5FA0BEB6" w14:textId="77777777" w:rsidR="00401786" w:rsidRDefault="00C64FB3">
            <w:pPr>
              <w:numPr>
                <w:ilvl w:val="0"/>
                <w:numId w:val="53"/>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B023585100</w:t>
            </w:r>
          </w:p>
        </w:tc>
        <w:tc>
          <w:tcPr>
            <w:tcW w:w="14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C1280E" w14:textId="77777777" w:rsidR="00401786" w:rsidRDefault="00C64FB3" w:rsidP="000E757E">
            <w:pPr>
              <w:snapToGrid w:val="0"/>
              <w:spacing w:line="240" w:lineRule="atLeast"/>
              <w:ind w:left="212" w:hanging="212"/>
              <w:rPr>
                <w:rFonts w:ascii="標楷體" w:eastAsia="標楷體" w:hAnsi="標楷體" w:cs="標楷體"/>
                <w:color w:val="000000"/>
                <w:sz w:val="20"/>
                <w:szCs w:val="20"/>
              </w:rPr>
            </w:pPr>
            <w:r>
              <w:rPr>
                <w:rFonts w:ascii="標楷體" w:eastAsia="標楷體" w:hAnsi="標楷體" w:cs="標楷體"/>
                <w:color w:val="000000"/>
                <w:sz w:val="20"/>
                <w:szCs w:val="20"/>
              </w:rPr>
              <w:t>□第一次申請</w:t>
            </w:r>
          </w:p>
          <w:p w14:paraId="712A760D" w14:textId="77777777" w:rsidR="00401786" w:rsidRDefault="00401786" w:rsidP="000E757E">
            <w:pPr>
              <w:snapToGrid w:val="0"/>
              <w:spacing w:line="240" w:lineRule="atLeast"/>
              <w:ind w:left="212" w:hanging="212"/>
              <w:rPr>
                <w:rFonts w:ascii="標楷體" w:eastAsia="標楷體" w:hAnsi="標楷體" w:cs="標楷體"/>
                <w:color w:val="000000"/>
                <w:sz w:val="20"/>
                <w:szCs w:val="20"/>
              </w:rPr>
            </w:pPr>
          </w:p>
          <w:p w14:paraId="04FFD02E" w14:textId="77777777" w:rsidR="00401786" w:rsidRDefault="00C64FB3" w:rsidP="000E757E">
            <w:pPr>
              <w:snapToGrid w:val="0"/>
              <w:spacing w:line="240" w:lineRule="atLeast"/>
              <w:ind w:left="212" w:hanging="212"/>
              <w:rPr>
                <w:rFonts w:ascii="標楷體" w:eastAsia="標楷體" w:hAnsi="標楷體" w:cs="標楷體"/>
                <w:color w:val="000000"/>
                <w:sz w:val="20"/>
                <w:szCs w:val="20"/>
              </w:rPr>
            </w:pPr>
            <w:r>
              <w:rPr>
                <w:rFonts w:ascii="標楷體" w:eastAsia="標楷體" w:hAnsi="標楷體" w:cs="標楷體"/>
                <w:color w:val="000000"/>
                <w:sz w:val="20"/>
                <w:szCs w:val="20"/>
              </w:rPr>
              <w:t>□治療後再次申請</w:t>
            </w:r>
          </w:p>
        </w:tc>
        <w:tc>
          <w:tcPr>
            <w:tcW w:w="4803" w:type="dxa"/>
            <w:gridSpan w:val="8"/>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E22723" w14:textId="77777777" w:rsidR="00401786" w:rsidRDefault="00C64FB3">
            <w:pPr>
              <w:numPr>
                <w:ilvl w:val="0"/>
                <w:numId w:val="53"/>
              </w:numPr>
              <w:tabs>
                <w:tab w:val="left" w:pos="240"/>
              </w:tabs>
              <w:snapToGrid w:val="0"/>
              <w:spacing w:before="50" w:line="240" w:lineRule="atLeast"/>
              <w:ind w:left="238" w:hanging="238"/>
              <w:rPr>
                <w:rFonts w:ascii="標楷體" w:eastAsia="標楷體" w:hAnsi="標楷體"/>
                <w:color w:val="000000"/>
                <w:sz w:val="20"/>
                <w:szCs w:val="20"/>
              </w:rPr>
            </w:pPr>
            <w:r>
              <w:rPr>
                <w:rFonts w:ascii="標楷體" w:eastAsia="標楷體" w:hAnsi="標楷體"/>
                <w:color w:val="000000"/>
                <w:sz w:val="20"/>
                <w:szCs w:val="20"/>
              </w:rPr>
              <w:t>用於β細胞慢性淋巴性白血病(CLL)病患的起始治療及CLL與低惡性</w:t>
            </w:r>
            <w:proofErr w:type="gramStart"/>
            <w:r>
              <w:rPr>
                <w:rFonts w:ascii="標楷體" w:eastAsia="標楷體" w:hAnsi="標楷體"/>
                <w:color w:val="000000"/>
                <w:sz w:val="20"/>
                <w:szCs w:val="20"/>
              </w:rPr>
              <w:t>度非何杰</w:t>
            </w:r>
            <w:proofErr w:type="gramEnd"/>
            <w:r>
              <w:rPr>
                <w:rFonts w:ascii="標楷體" w:eastAsia="標楷體" w:hAnsi="標楷體"/>
                <w:color w:val="000000"/>
                <w:sz w:val="20"/>
                <w:szCs w:val="20"/>
              </w:rPr>
              <w:t>金氏淋巴瘤(LG-NHL)病患，歷經至少一種標準內容</w:t>
            </w:r>
            <w:proofErr w:type="gramStart"/>
            <w:r>
              <w:rPr>
                <w:rFonts w:ascii="標楷體" w:eastAsia="標楷體" w:hAnsi="標楷體"/>
                <w:color w:val="000000"/>
                <w:sz w:val="20"/>
                <w:szCs w:val="20"/>
              </w:rPr>
              <w:t>的烷化基</w:t>
            </w:r>
            <w:proofErr w:type="gramEnd"/>
            <w:r>
              <w:rPr>
                <w:rFonts w:ascii="標楷體" w:eastAsia="標楷體" w:hAnsi="標楷體"/>
                <w:color w:val="000000"/>
                <w:sz w:val="20"/>
                <w:szCs w:val="20"/>
              </w:rPr>
              <w:t>藥劑(</w:t>
            </w:r>
            <w:proofErr w:type="spellStart"/>
            <w:r>
              <w:rPr>
                <w:rFonts w:ascii="標楷體" w:eastAsia="標楷體" w:hAnsi="標楷體"/>
                <w:color w:val="000000"/>
                <w:sz w:val="20"/>
                <w:szCs w:val="20"/>
              </w:rPr>
              <w:t>alkylatingagent</w:t>
            </w:r>
            <w:proofErr w:type="spellEnd"/>
            <w:r>
              <w:rPr>
                <w:rFonts w:ascii="標楷體" w:eastAsia="標楷體" w:hAnsi="標楷體"/>
                <w:color w:val="000000"/>
                <w:sz w:val="20"/>
                <w:szCs w:val="20"/>
              </w:rPr>
              <w:t>)的治療方法都無效，或治療後雖有效但隨後疾病又繼續惡化的病人。</w:t>
            </w:r>
          </w:p>
          <w:p w14:paraId="53044CEB" w14:textId="77777777" w:rsidR="00401786" w:rsidRDefault="00C64FB3">
            <w:pPr>
              <w:numPr>
                <w:ilvl w:val="0"/>
                <w:numId w:val="53"/>
              </w:numPr>
              <w:tabs>
                <w:tab w:val="left" w:pos="240"/>
              </w:tabs>
              <w:snapToGrid w:val="0"/>
              <w:spacing w:before="50" w:line="240" w:lineRule="atLeast"/>
              <w:ind w:left="238" w:hanging="238"/>
            </w:pPr>
            <w:r>
              <w:rPr>
                <w:rFonts w:ascii="標楷體" w:eastAsia="標楷體" w:hAnsi="標楷體"/>
                <w:color w:val="000000"/>
                <w:sz w:val="20"/>
                <w:szCs w:val="20"/>
              </w:rPr>
              <w:t>作為第一線治療，限用於</w:t>
            </w:r>
            <w:proofErr w:type="spellStart"/>
            <w:r>
              <w:rPr>
                <w:rFonts w:ascii="標楷體" w:eastAsia="標楷體" w:hAnsi="標楷體"/>
                <w:color w:val="000000"/>
                <w:sz w:val="20"/>
                <w:szCs w:val="20"/>
              </w:rPr>
              <w:t>RaiStageⅢ</w:t>
            </w:r>
            <w:proofErr w:type="spellEnd"/>
            <w:r>
              <w:rPr>
                <w:rFonts w:ascii="標楷體" w:eastAsia="標楷體" w:hAnsi="標楷體"/>
                <w:color w:val="000000"/>
                <w:sz w:val="20"/>
                <w:szCs w:val="20"/>
              </w:rPr>
              <w:t>/IV(或</w:t>
            </w:r>
            <w:proofErr w:type="spellStart"/>
            <w:r>
              <w:rPr>
                <w:rFonts w:ascii="標楷體" w:eastAsia="標楷體" w:hAnsi="標楷體"/>
                <w:color w:val="000000"/>
                <w:sz w:val="20"/>
                <w:szCs w:val="20"/>
              </w:rPr>
              <w:t>BinetC</w:t>
            </w:r>
            <w:proofErr w:type="spellEnd"/>
            <w:r>
              <w:rPr>
                <w:rFonts w:ascii="標楷體" w:eastAsia="標楷體" w:hAnsi="標楷體"/>
                <w:color w:val="000000"/>
                <w:sz w:val="20"/>
                <w:szCs w:val="20"/>
              </w:rPr>
              <w:t>級)之CLL病人。若用於</w:t>
            </w:r>
            <w:proofErr w:type="spellStart"/>
            <w:r>
              <w:rPr>
                <w:rFonts w:ascii="標楷體" w:eastAsia="標楷體" w:hAnsi="標楷體"/>
                <w:color w:val="000000"/>
                <w:sz w:val="20"/>
                <w:szCs w:val="20"/>
              </w:rPr>
              <w:t>RaiStageI</w:t>
            </w:r>
            <w:proofErr w:type="spellEnd"/>
            <w:r>
              <w:rPr>
                <w:rFonts w:ascii="標楷體" w:eastAsia="標楷體" w:hAnsi="標楷體"/>
                <w:color w:val="000000"/>
                <w:sz w:val="20"/>
                <w:szCs w:val="20"/>
              </w:rPr>
              <w:t>/II(或</w:t>
            </w:r>
            <w:proofErr w:type="spellStart"/>
            <w:r>
              <w:rPr>
                <w:rFonts w:ascii="標楷體" w:eastAsia="標楷體" w:hAnsi="標楷體"/>
                <w:color w:val="000000"/>
                <w:sz w:val="20"/>
                <w:szCs w:val="20"/>
              </w:rPr>
              <w:t>BinetA</w:t>
            </w:r>
            <w:proofErr w:type="spellEnd"/>
            <w:r>
              <w:rPr>
                <w:rFonts w:ascii="標楷體" w:eastAsia="標楷體" w:hAnsi="標楷體"/>
                <w:color w:val="000000"/>
                <w:sz w:val="20"/>
                <w:szCs w:val="20"/>
              </w:rPr>
              <w:t>/B級)</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有疾病相關免疫性症候(如自體免疫性溶血、免疫性血小板低下紫</w:t>
            </w:r>
            <w:proofErr w:type="gramStart"/>
            <w:r>
              <w:rPr>
                <w:rFonts w:ascii="標楷體" w:eastAsia="標楷體" w:hAnsi="標楷體"/>
                <w:color w:val="000000"/>
                <w:sz w:val="20"/>
                <w:szCs w:val="20"/>
              </w:rPr>
              <w:t>瘢</w:t>
            </w:r>
            <w:proofErr w:type="gramEnd"/>
            <w:r>
              <w:rPr>
                <w:rFonts w:ascii="標楷體" w:eastAsia="標楷體" w:hAnsi="標楷體"/>
                <w:color w:val="000000"/>
                <w:sz w:val="20"/>
                <w:szCs w:val="20"/>
              </w:rPr>
              <w:t>症等)的病人時，需經過至少一種標準的</w:t>
            </w:r>
            <w:proofErr w:type="gramStart"/>
            <w:r>
              <w:rPr>
                <w:rFonts w:ascii="標楷體" w:eastAsia="標楷體" w:hAnsi="標楷體"/>
                <w:color w:val="000000"/>
                <w:sz w:val="20"/>
                <w:szCs w:val="20"/>
              </w:rPr>
              <w:t>烷化基劑</w:t>
            </w:r>
            <w:proofErr w:type="gramEnd"/>
            <w:r>
              <w:rPr>
                <w:rFonts w:ascii="標楷體" w:eastAsia="標楷體" w:hAnsi="標楷體"/>
                <w:color w:val="000000"/>
                <w:sz w:val="20"/>
                <w:szCs w:val="20"/>
              </w:rPr>
              <w:t>治療無效或病情惡化者。每次申請最多六個（月）療程，再次申請以三個療程為限。</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07C017" w14:textId="77777777" w:rsidR="00401786" w:rsidRDefault="00401786" w:rsidP="000E757E">
            <w:pPr>
              <w:snapToGrid w:val="0"/>
              <w:spacing w:line="240" w:lineRule="atLeast"/>
              <w:rPr>
                <w:rFonts w:ascii="標楷體" w:eastAsia="標楷體" w:hAnsi="標楷體"/>
                <w:color w:val="000000"/>
                <w:sz w:val="20"/>
                <w:szCs w:val="20"/>
              </w:rPr>
            </w:pPr>
          </w:p>
        </w:tc>
        <w:tc>
          <w:tcPr>
            <w:tcW w:w="8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6121B3" w14:textId="77777777" w:rsidR="00401786" w:rsidRDefault="00401786" w:rsidP="000E757E">
            <w:pPr>
              <w:snapToGrid w:val="0"/>
              <w:spacing w:line="240" w:lineRule="atLeast"/>
              <w:rPr>
                <w:rFonts w:ascii="標楷體" w:eastAsia="標楷體" w:hAnsi="標楷體"/>
                <w:color w:val="000000"/>
                <w:sz w:val="20"/>
                <w:szCs w:val="20"/>
              </w:rPr>
            </w:pPr>
          </w:p>
        </w:tc>
        <w:tc>
          <w:tcPr>
            <w:tcW w:w="4913" w:type="dxa"/>
            <w:gridSpan w:val="13"/>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C56A6B8" w14:textId="77777777" w:rsidR="00401786" w:rsidRDefault="00C64FB3">
            <w:pPr>
              <w:numPr>
                <w:ilvl w:val="0"/>
                <w:numId w:val="53"/>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6346C0C0"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2C5D72C6"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1808D46C"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25C9F972"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50734575"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713C786F"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37E53FD9"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70CF35AE" w14:textId="77777777" w:rsidR="00401786" w:rsidRDefault="00C64FB3">
            <w:pPr>
              <w:numPr>
                <w:ilvl w:val="0"/>
                <w:numId w:val="5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584B49D9" w14:textId="77777777" w:rsidR="00401786" w:rsidRDefault="00C64FB3">
            <w:pPr>
              <w:numPr>
                <w:ilvl w:val="0"/>
                <w:numId w:val="5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5B5CEA90" w14:textId="77777777" w:rsidR="00401786" w:rsidRDefault="00C64FB3">
            <w:pPr>
              <w:numPr>
                <w:ilvl w:val="0"/>
                <w:numId w:val="53"/>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169F8343"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007B58DE" w14:textId="77777777" w:rsidR="00401786" w:rsidRDefault="00401786" w:rsidP="000E757E">
            <w:pPr>
              <w:tabs>
                <w:tab w:val="left" w:pos="240"/>
              </w:tabs>
              <w:snapToGrid w:val="0"/>
              <w:spacing w:line="240" w:lineRule="atLeast"/>
              <w:ind w:left="478" w:hanging="238"/>
            </w:pPr>
          </w:p>
        </w:tc>
      </w:tr>
      <w:tr w:rsidR="00401786" w14:paraId="53AEC370" w14:textId="77777777">
        <w:trPr>
          <w:cantSplit/>
          <w:trHeight w:val="1562"/>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11C811" w14:textId="77777777" w:rsidR="00401786" w:rsidRDefault="00C64FB3" w:rsidP="000E757E">
            <w:pPr>
              <w:snapToGrid w:val="0"/>
              <w:spacing w:line="240" w:lineRule="atLeast"/>
              <w:rPr>
                <w:rFonts w:ascii="標楷體" w:eastAsia="標楷體" w:hAnsi="標楷體"/>
                <w:color w:val="000000"/>
                <w:sz w:val="20"/>
                <w:szCs w:val="20"/>
              </w:rPr>
            </w:pPr>
            <w:proofErr w:type="spellStart"/>
            <w:r>
              <w:rPr>
                <w:rFonts w:ascii="標楷體" w:eastAsia="標楷體" w:hAnsi="標楷體"/>
                <w:color w:val="000000"/>
                <w:sz w:val="20"/>
                <w:szCs w:val="20"/>
              </w:rPr>
              <w:t>FludaraLyophilizedIVInjection</w:t>
            </w:r>
            <w:proofErr w:type="spellEnd"/>
          </w:p>
          <w:p w14:paraId="19352223" w14:textId="77777777" w:rsidR="00401786" w:rsidRDefault="00C64FB3">
            <w:pPr>
              <w:numPr>
                <w:ilvl w:val="0"/>
                <w:numId w:val="53"/>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B022732248</w:t>
            </w:r>
          </w:p>
        </w:tc>
        <w:tc>
          <w:tcPr>
            <w:tcW w:w="14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6B4E5E" w14:textId="77777777" w:rsidR="00401786" w:rsidRDefault="00C64FB3" w:rsidP="000E757E">
            <w:pPr>
              <w:snapToGrid w:val="0"/>
              <w:spacing w:line="240" w:lineRule="atLeast"/>
              <w:ind w:left="214" w:hanging="238"/>
              <w:rPr>
                <w:rFonts w:ascii="標楷體" w:eastAsia="標楷體" w:hAnsi="標楷體"/>
                <w:color w:val="000000"/>
                <w:sz w:val="20"/>
                <w:szCs w:val="20"/>
              </w:rPr>
            </w:pPr>
            <w:r>
              <w:rPr>
                <w:rFonts w:ascii="標楷體" w:eastAsia="標楷體" w:hAnsi="標楷體"/>
                <w:color w:val="000000"/>
                <w:sz w:val="20"/>
                <w:szCs w:val="20"/>
              </w:rPr>
              <w:t>□第一次申請</w:t>
            </w:r>
          </w:p>
          <w:p w14:paraId="7DAA21B8" w14:textId="77777777" w:rsidR="00401786" w:rsidRDefault="00401786" w:rsidP="000E757E">
            <w:pPr>
              <w:snapToGrid w:val="0"/>
              <w:spacing w:line="240" w:lineRule="atLeast"/>
              <w:ind w:left="214" w:hanging="238"/>
              <w:rPr>
                <w:rFonts w:ascii="標楷體" w:eastAsia="標楷體" w:hAnsi="標楷體"/>
                <w:color w:val="000000"/>
                <w:sz w:val="20"/>
                <w:szCs w:val="20"/>
              </w:rPr>
            </w:pPr>
          </w:p>
          <w:p w14:paraId="02DC8B2E" w14:textId="77777777" w:rsidR="00401786" w:rsidRDefault="00C64FB3" w:rsidP="000E757E">
            <w:pPr>
              <w:snapToGrid w:val="0"/>
              <w:spacing w:line="240" w:lineRule="atLeast"/>
              <w:ind w:left="214" w:hanging="238"/>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4803" w:type="dxa"/>
            <w:gridSpan w:val="8"/>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D41696" w14:textId="77777777" w:rsidR="00401786" w:rsidRDefault="00401786">
            <w:pPr>
              <w:numPr>
                <w:ilvl w:val="0"/>
                <w:numId w:val="53"/>
              </w:numPr>
              <w:tabs>
                <w:tab w:val="left" w:pos="240"/>
              </w:tabs>
              <w:snapToGrid w:val="0"/>
              <w:spacing w:before="50" w:line="240" w:lineRule="atLeast"/>
              <w:ind w:left="238" w:hanging="238"/>
              <w:rPr>
                <w:rFonts w:ascii="標楷體" w:eastAsia="標楷體" w:hAnsi="標楷體"/>
                <w:color w:val="000000"/>
                <w:sz w:val="20"/>
                <w:szCs w:val="20"/>
              </w:rPr>
            </w:pP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735F26" w14:textId="77777777" w:rsidR="00401786" w:rsidRDefault="00401786" w:rsidP="000E757E">
            <w:pPr>
              <w:snapToGrid w:val="0"/>
              <w:spacing w:line="240" w:lineRule="atLeast"/>
              <w:rPr>
                <w:rFonts w:ascii="標楷體" w:eastAsia="標楷體" w:hAnsi="標楷體"/>
                <w:color w:val="000000"/>
                <w:sz w:val="20"/>
                <w:szCs w:val="20"/>
              </w:rPr>
            </w:pPr>
          </w:p>
        </w:tc>
        <w:tc>
          <w:tcPr>
            <w:tcW w:w="8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15F971" w14:textId="77777777" w:rsidR="00401786" w:rsidRDefault="00401786" w:rsidP="000E757E">
            <w:pPr>
              <w:snapToGrid w:val="0"/>
              <w:spacing w:line="240" w:lineRule="atLeast"/>
              <w:rPr>
                <w:rFonts w:ascii="標楷體" w:eastAsia="標楷體" w:hAnsi="標楷體"/>
                <w:color w:val="000000"/>
                <w:sz w:val="20"/>
                <w:szCs w:val="20"/>
              </w:rPr>
            </w:pPr>
          </w:p>
        </w:tc>
        <w:tc>
          <w:tcPr>
            <w:tcW w:w="4913"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70F2637" w14:textId="77777777" w:rsidR="00401786" w:rsidRDefault="00401786">
            <w:pPr>
              <w:numPr>
                <w:ilvl w:val="0"/>
                <w:numId w:val="53"/>
              </w:numPr>
              <w:tabs>
                <w:tab w:val="left" w:pos="240"/>
              </w:tabs>
              <w:snapToGrid w:val="0"/>
              <w:spacing w:line="240" w:lineRule="atLeast"/>
              <w:ind w:left="240" w:hanging="240"/>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5B39CE5E" w14:textId="77777777" w:rsidR="00401786" w:rsidRDefault="00401786" w:rsidP="000E757E">
            <w:pPr>
              <w:tabs>
                <w:tab w:val="left" w:pos="240"/>
              </w:tabs>
              <w:snapToGrid w:val="0"/>
              <w:spacing w:line="240" w:lineRule="atLeast"/>
              <w:ind w:left="240" w:hanging="240"/>
              <w:rPr>
                <w:rFonts w:ascii="標楷體" w:eastAsia="標楷體" w:hAnsi="標楷體"/>
                <w:color w:val="000000"/>
                <w:sz w:val="20"/>
                <w:szCs w:val="20"/>
              </w:rPr>
            </w:pPr>
          </w:p>
        </w:tc>
      </w:tr>
      <w:tr w:rsidR="00401786" w14:paraId="32764904" w14:textId="77777777">
        <w:trPr>
          <w:cantSplit/>
          <w:trHeight w:val="477"/>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8C90FA"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15A2B93D"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0"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A91ABA"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58730292"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「原受理編號」申復時填寫，初次送核不需填寫。</w:t>
            </w:r>
          </w:p>
          <w:p w14:paraId="4F36934C"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7BBDB8E7"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86B5E25"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0A077E65"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C88B112"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13"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2FDEB37"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62355121"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5A7AAF5" w14:textId="77777777">
        <w:trPr>
          <w:cantSplit/>
          <w:trHeight w:val="805"/>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DBE9C1" w14:textId="77777777" w:rsidR="00401786" w:rsidRDefault="00401786" w:rsidP="000E757E">
            <w:pPr>
              <w:snapToGrid w:val="0"/>
              <w:spacing w:line="240" w:lineRule="atLeast"/>
              <w:ind w:left="211" w:hanging="211"/>
              <w:rPr>
                <w:rFonts w:ascii="標楷體" w:eastAsia="標楷體" w:hAnsi="標楷體"/>
                <w:color w:val="000000"/>
              </w:rPr>
            </w:pPr>
          </w:p>
        </w:tc>
        <w:tc>
          <w:tcPr>
            <w:tcW w:w="9100"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A38002" w14:textId="77777777" w:rsidR="00401786" w:rsidRDefault="00401786" w:rsidP="000E757E">
            <w:pPr>
              <w:snapToGrid w:val="0"/>
              <w:spacing w:line="240" w:lineRule="atLeast"/>
              <w:ind w:left="211" w:hanging="211"/>
              <w:rPr>
                <w:rFonts w:ascii="標楷體" w:eastAsia="標楷體" w:hAnsi="標楷體"/>
                <w:color w:val="000000"/>
              </w:rPr>
            </w:pPr>
          </w:p>
        </w:tc>
        <w:tc>
          <w:tcPr>
            <w:tcW w:w="3597" w:type="dxa"/>
            <w:gridSpan w:val="11"/>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729FF8" w14:textId="77777777" w:rsidR="00401786" w:rsidRDefault="00401786" w:rsidP="000E757E">
            <w:pPr>
              <w:snapToGrid w:val="0"/>
              <w:spacing w:line="240" w:lineRule="atLeast"/>
              <w:jc w:val="both"/>
              <w:rPr>
                <w:rFonts w:ascii="標楷體" w:eastAsia="標楷體" w:hAnsi="標楷體"/>
                <w:color w:val="000000"/>
              </w:rPr>
            </w:pPr>
          </w:p>
          <w:p w14:paraId="546FE5BA" w14:textId="77777777" w:rsidR="00401786" w:rsidRDefault="00401786" w:rsidP="000E757E">
            <w:pPr>
              <w:snapToGrid w:val="0"/>
              <w:spacing w:line="240" w:lineRule="atLeast"/>
              <w:jc w:val="both"/>
              <w:rPr>
                <w:rFonts w:ascii="標楷體" w:eastAsia="標楷體" w:hAnsi="標楷體"/>
                <w:color w:val="000000"/>
              </w:rPr>
            </w:pPr>
          </w:p>
          <w:p w14:paraId="63CCFB7E"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49D8F254"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5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D56D63" w14:textId="77777777" w:rsidR="00401786" w:rsidRDefault="00C64FB3" w:rsidP="000E757E">
            <w:pPr>
              <w:snapToGrid w:val="0"/>
              <w:spacing w:line="240" w:lineRule="atLeast"/>
              <w:jc w:val="both"/>
            </w:pPr>
            <w:r>
              <w:rPr>
                <w:rFonts w:ascii="標楷體" w:eastAsia="標楷體" w:hAnsi="標楷體" w:cs="標楷體"/>
                <w:color w:val="000000"/>
              </w:rPr>
              <w:t>審查醫師</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D245E1"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4DCFBD8D" w14:textId="77777777" w:rsidR="00401786" w:rsidRDefault="00401786" w:rsidP="000E757E">
            <w:pPr>
              <w:snapToGrid w:val="0"/>
              <w:spacing w:line="240" w:lineRule="atLeast"/>
              <w:rPr>
                <w:rFonts w:ascii="標楷體" w:eastAsia="標楷體" w:hAnsi="標楷體"/>
                <w:color w:val="000000"/>
              </w:rPr>
            </w:pPr>
          </w:p>
        </w:tc>
      </w:tr>
      <w:tr w:rsidR="00401786" w14:paraId="18070750" w14:textId="77777777">
        <w:trPr>
          <w:cantSplit/>
          <w:trHeight w:val="538"/>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63F95" w14:textId="77777777" w:rsidR="00401786" w:rsidRDefault="00401786" w:rsidP="000E757E">
            <w:pPr>
              <w:snapToGrid w:val="0"/>
              <w:spacing w:line="240" w:lineRule="atLeast"/>
              <w:ind w:left="211" w:hanging="211"/>
              <w:rPr>
                <w:rFonts w:ascii="標楷體" w:eastAsia="標楷體" w:hAnsi="標楷體"/>
                <w:color w:val="000000"/>
              </w:rPr>
            </w:pPr>
          </w:p>
        </w:tc>
        <w:tc>
          <w:tcPr>
            <w:tcW w:w="9100"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D23B61" w14:textId="77777777" w:rsidR="00401786" w:rsidRDefault="00401786" w:rsidP="000E757E">
            <w:pPr>
              <w:snapToGrid w:val="0"/>
              <w:spacing w:line="240" w:lineRule="atLeast"/>
              <w:ind w:left="211" w:hanging="211"/>
              <w:rPr>
                <w:rFonts w:ascii="標楷體" w:eastAsia="標楷體" w:hAnsi="標楷體"/>
                <w:color w:val="000000"/>
              </w:rPr>
            </w:pPr>
          </w:p>
        </w:tc>
        <w:tc>
          <w:tcPr>
            <w:tcW w:w="3597" w:type="dxa"/>
            <w:gridSpan w:val="11"/>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3CC2A5" w14:textId="77777777" w:rsidR="00401786" w:rsidRDefault="00401786" w:rsidP="000E757E">
            <w:pPr>
              <w:snapToGrid w:val="0"/>
              <w:spacing w:line="240" w:lineRule="atLeast"/>
              <w:jc w:val="both"/>
              <w:rPr>
                <w:rFonts w:ascii="標楷體" w:eastAsia="標楷體" w:hAnsi="標楷體"/>
                <w:color w:val="000000"/>
              </w:rPr>
            </w:pPr>
          </w:p>
        </w:tc>
        <w:tc>
          <w:tcPr>
            <w:tcW w:w="35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03F594" w14:textId="77777777" w:rsidR="00401786" w:rsidRDefault="00401786" w:rsidP="000E757E">
            <w:pPr>
              <w:snapToGrid w:val="0"/>
              <w:spacing w:line="240" w:lineRule="atLeast"/>
              <w:jc w:val="both"/>
              <w:rPr>
                <w:rFonts w:ascii="標楷體" w:eastAsia="標楷體" w:hAnsi="標楷體" w:cs="標楷體"/>
                <w:color w:val="000000"/>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F10D1B"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59908339" w14:textId="77777777" w:rsidR="00401786" w:rsidRDefault="00401786" w:rsidP="000E757E">
            <w:pPr>
              <w:snapToGrid w:val="0"/>
              <w:spacing w:line="240" w:lineRule="atLeast"/>
              <w:rPr>
                <w:rFonts w:ascii="標楷體" w:eastAsia="標楷體" w:hAnsi="標楷體"/>
                <w:color w:val="000000"/>
              </w:rPr>
            </w:pPr>
          </w:p>
        </w:tc>
      </w:tr>
      <w:tr w:rsidR="00401786" w14:paraId="44B2B31A" w14:textId="77777777">
        <w:trPr>
          <w:cantSplit/>
          <w:trHeight w:val="729"/>
        </w:trPr>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B0473A" w14:textId="77777777" w:rsidR="00401786" w:rsidRDefault="00401786" w:rsidP="000E757E">
            <w:pPr>
              <w:snapToGrid w:val="0"/>
              <w:spacing w:line="240" w:lineRule="atLeast"/>
              <w:rPr>
                <w:rFonts w:ascii="標楷體" w:eastAsia="標楷體" w:hAnsi="標楷體" w:cs="標楷體"/>
                <w:color w:val="000000"/>
              </w:rPr>
            </w:pPr>
          </w:p>
          <w:p w14:paraId="65A95AA1" w14:textId="77777777" w:rsidR="00401786" w:rsidRDefault="00C64FB3" w:rsidP="000E757E">
            <w:pPr>
              <w:snapToGrid w:val="0"/>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699"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06B52C"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756114ED" w14:textId="77777777" w:rsidR="00401786" w:rsidRDefault="00401786" w:rsidP="000E757E">
            <w:pPr>
              <w:snapToGrid w:val="0"/>
              <w:spacing w:line="240" w:lineRule="atLeast"/>
              <w:rPr>
                <w:rFonts w:ascii="標楷體" w:eastAsia="標楷體" w:hAnsi="標楷體"/>
                <w:color w:val="000000"/>
              </w:rPr>
            </w:pPr>
          </w:p>
          <w:p w14:paraId="286CADED"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59313D"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C2F0B0" w14:textId="77777777" w:rsidR="00401786" w:rsidRDefault="00401786" w:rsidP="000E757E">
            <w:pPr>
              <w:widowControl/>
              <w:snapToGrid w:val="0"/>
              <w:spacing w:line="240" w:lineRule="atLeast"/>
              <w:rPr>
                <w:rFonts w:ascii="標楷體" w:eastAsia="標楷體" w:hAnsi="標楷體"/>
                <w:color w:val="000000"/>
              </w:rPr>
            </w:pPr>
          </w:p>
          <w:p w14:paraId="35986FC6"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04BE9F"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35119C60" w14:textId="77777777" w:rsidR="00401786" w:rsidRDefault="00401786" w:rsidP="000E757E">
            <w:pPr>
              <w:widowControl/>
              <w:snapToGrid w:val="0"/>
              <w:spacing w:line="240" w:lineRule="atLeast"/>
              <w:rPr>
                <w:rFonts w:ascii="標楷體" w:eastAsia="標楷體" w:hAnsi="標楷體"/>
                <w:color w:val="000000"/>
              </w:rPr>
            </w:pPr>
          </w:p>
        </w:tc>
        <w:tc>
          <w:tcPr>
            <w:tcW w:w="83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A8D4B4" w14:textId="77777777" w:rsidR="00401786" w:rsidRDefault="00401786" w:rsidP="000E757E">
            <w:pPr>
              <w:widowControl/>
              <w:snapToGrid w:val="0"/>
              <w:spacing w:line="240" w:lineRule="atLeast"/>
              <w:rPr>
                <w:rFonts w:ascii="標楷體" w:eastAsia="標楷體" w:hAnsi="標楷體"/>
                <w:color w:val="000000"/>
              </w:rPr>
            </w:pPr>
          </w:p>
          <w:p w14:paraId="0AF508B0" w14:textId="77777777" w:rsidR="00401786" w:rsidRDefault="00401786" w:rsidP="000E757E">
            <w:pPr>
              <w:snapToGrid w:val="0"/>
              <w:spacing w:line="240" w:lineRule="atLeast"/>
              <w:rPr>
                <w:rFonts w:ascii="標楷體" w:eastAsia="標楷體" w:hAnsi="標楷體"/>
                <w:color w:val="00000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5AEED3" w14:textId="77777777" w:rsidR="00401786" w:rsidRDefault="00C64FB3" w:rsidP="000E757E">
            <w:pPr>
              <w:snapToGrid w:val="0"/>
              <w:spacing w:line="240" w:lineRule="atLeast"/>
            </w:pPr>
            <w:r>
              <w:rPr>
                <w:rFonts w:ascii="標楷體" w:eastAsia="標楷體" w:hAnsi="標楷體" w:cs="標楷體"/>
                <w:color w:val="000000"/>
              </w:rPr>
              <w:t>科長</w:t>
            </w:r>
          </w:p>
        </w:tc>
        <w:tc>
          <w:tcPr>
            <w:tcW w:w="845"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8F8E8" w14:textId="77777777" w:rsidR="00401786" w:rsidRDefault="00401786" w:rsidP="000E757E">
            <w:pPr>
              <w:widowControl/>
              <w:snapToGrid w:val="0"/>
              <w:spacing w:line="240" w:lineRule="atLeast"/>
              <w:rPr>
                <w:rFonts w:ascii="標楷體" w:eastAsia="標楷體" w:hAnsi="標楷體"/>
                <w:color w:val="000000"/>
              </w:rPr>
            </w:pPr>
          </w:p>
          <w:p w14:paraId="6DC1B79E" w14:textId="77777777" w:rsidR="00401786" w:rsidRDefault="00401786" w:rsidP="000E757E">
            <w:pPr>
              <w:snapToGrid w:val="0"/>
              <w:spacing w:line="240" w:lineRule="atLeast"/>
              <w:rPr>
                <w:rFonts w:ascii="標楷體" w:eastAsia="標楷體" w:hAnsi="標楷體"/>
                <w:color w:val="000000"/>
              </w:rPr>
            </w:pPr>
          </w:p>
        </w:tc>
        <w:tc>
          <w:tcPr>
            <w:tcW w:w="35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AE1259"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2002B42E" w14:textId="77777777" w:rsidR="00401786" w:rsidRDefault="00401786" w:rsidP="000E757E">
            <w:pPr>
              <w:widowControl/>
              <w:snapToGrid w:val="0"/>
              <w:spacing w:line="240" w:lineRule="atLeast"/>
              <w:rPr>
                <w:rFonts w:ascii="標楷體" w:eastAsia="標楷體" w:hAnsi="標楷體"/>
                <w:color w:val="000000"/>
              </w:rPr>
            </w:pPr>
          </w:p>
        </w:tc>
        <w:tc>
          <w:tcPr>
            <w:tcW w:w="95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C70601" w14:textId="77777777" w:rsidR="00401786" w:rsidRDefault="00401786" w:rsidP="000E757E">
            <w:pPr>
              <w:widowControl/>
              <w:snapToGrid w:val="0"/>
              <w:spacing w:line="240" w:lineRule="atLeast"/>
              <w:rPr>
                <w:rFonts w:ascii="標楷體" w:eastAsia="標楷體" w:hAnsi="標楷體"/>
                <w:color w:val="000000"/>
              </w:rPr>
            </w:pPr>
          </w:p>
          <w:p w14:paraId="483E1E2B"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12182E3E" w14:textId="77777777" w:rsidR="00401786" w:rsidRDefault="00401786" w:rsidP="000E757E">
            <w:pPr>
              <w:snapToGrid w:val="0"/>
              <w:spacing w:line="240" w:lineRule="atLeast"/>
              <w:rPr>
                <w:rFonts w:ascii="標楷體" w:eastAsia="標楷體" w:hAnsi="標楷體"/>
                <w:color w:val="000000"/>
              </w:rPr>
            </w:pPr>
          </w:p>
        </w:tc>
      </w:tr>
    </w:tbl>
    <w:p w14:paraId="31E2CC3B" w14:textId="77777777" w:rsidR="009E653D" w:rsidRDefault="009E653D">
      <w:r>
        <w:br w:type="page"/>
      </w:r>
    </w:p>
    <w:tbl>
      <w:tblPr>
        <w:tblW w:w="14436" w:type="dxa"/>
        <w:tblLayout w:type="fixed"/>
        <w:tblCellMar>
          <w:left w:w="10" w:type="dxa"/>
          <w:right w:w="10" w:type="dxa"/>
        </w:tblCellMar>
        <w:tblLook w:val="0000" w:firstRow="0" w:lastRow="0" w:firstColumn="0" w:lastColumn="0" w:noHBand="0" w:noVBand="0"/>
      </w:tblPr>
      <w:tblGrid>
        <w:gridCol w:w="383"/>
        <w:gridCol w:w="401"/>
        <w:gridCol w:w="645"/>
        <w:gridCol w:w="1353"/>
        <w:gridCol w:w="342"/>
        <w:gridCol w:w="1153"/>
        <w:gridCol w:w="12"/>
        <w:gridCol w:w="1589"/>
        <w:gridCol w:w="599"/>
        <w:gridCol w:w="360"/>
        <w:gridCol w:w="956"/>
        <w:gridCol w:w="836"/>
        <w:gridCol w:w="843"/>
        <w:gridCol w:w="359"/>
        <w:gridCol w:w="240"/>
        <w:gridCol w:w="596"/>
        <w:gridCol w:w="359"/>
        <w:gridCol w:w="838"/>
        <w:gridCol w:w="52"/>
        <w:gridCol w:w="310"/>
        <w:gridCol w:w="682"/>
        <w:gridCol w:w="157"/>
        <w:gridCol w:w="15"/>
        <w:gridCol w:w="335"/>
        <w:gridCol w:w="9"/>
        <w:gridCol w:w="950"/>
        <w:gridCol w:w="62"/>
      </w:tblGrid>
      <w:tr w:rsidR="00401786" w14:paraId="0E222FB1" w14:textId="77777777" w:rsidTr="009E653D">
        <w:trPr>
          <w:cantSplit/>
          <w:trHeight w:val="374"/>
        </w:trPr>
        <w:tc>
          <w:tcPr>
            <w:tcW w:w="278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66BA274E" w14:textId="77777777" w:rsidR="00401786" w:rsidRDefault="00C64FB3" w:rsidP="000E757E">
            <w:pPr>
              <w:spacing w:line="240" w:lineRule="atLeast"/>
              <w:jc w:val="both"/>
            </w:pPr>
            <w:r>
              <w:rPr>
                <w:noProof/>
              </w:rPr>
              <w:lastRenderedPageBreak/>
              <mc:AlternateContent>
                <mc:Choice Requires="wps">
                  <w:drawing>
                    <wp:anchor distT="0" distB="0" distL="114300" distR="114300" simplePos="0" relativeHeight="251665408" behindDoc="0" locked="0" layoutInCell="1" allowOverlap="1" wp14:anchorId="1411E750" wp14:editId="30BA5644">
                      <wp:simplePos x="0" y="0"/>
                      <wp:positionH relativeFrom="column">
                        <wp:posOffset>-90170</wp:posOffset>
                      </wp:positionH>
                      <wp:positionV relativeFrom="paragraph">
                        <wp:posOffset>-369570</wp:posOffset>
                      </wp:positionV>
                      <wp:extent cx="5673090" cy="328295"/>
                      <wp:effectExtent l="0" t="0" r="3807" b="0"/>
                      <wp:wrapNone/>
                      <wp:docPr id="2" name="文字方塊 2"/>
                      <wp:cNvGraphicFramePr/>
                      <a:graphic xmlns:a="http://schemas.openxmlformats.org/drawingml/2006/main">
                        <a:graphicData uri="http://schemas.microsoft.com/office/word/2010/wordprocessingShape">
                          <wps:wsp>
                            <wps:cNvSpPr txBox="1"/>
                            <wps:spPr>
                              <a:xfrm>
                                <a:off x="0" y="0"/>
                                <a:ext cx="5673090" cy="328295"/>
                              </a:xfrm>
                              <a:prstGeom prst="rect">
                                <a:avLst/>
                              </a:prstGeom>
                              <a:solidFill>
                                <a:srgbClr val="FFFFFF"/>
                              </a:solidFill>
                              <a:ln>
                                <a:noFill/>
                                <a:prstDash/>
                              </a:ln>
                            </wps:spPr>
                            <wps:txbx>
                              <w:txbxContent>
                                <w:p w14:paraId="3669CDB3" w14:textId="77777777" w:rsidR="00C6448D" w:rsidRPr="00455C9A" w:rsidRDefault="00C6448D">
                                  <w:pPr>
                                    <w:rPr>
                                      <w:b/>
                                      <w:bCs/>
                                    </w:rPr>
                                  </w:pPr>
                                  <w:r w:rsidRPr="00455C9A">
                                    <w:rPr>
                                      <w:rFonts w:ascii="標楷體" w:eastAsia="標楷體" w:hAnsi="標楷體" w:cs="標楷體"/>
                                      <w:b/>
                                      <w:bCs/>
                                      <w:color w:val="000000"/>
                                    </w:rPr>
                                    <w:t>附表八之二  全民健康保險使用抗癌藥品</w:t>
                                  </w:r>
                                  <w:r w:rsidRPr="00455C9A">
                                    <w:rPr>
                                      <w:rFonts w:eastAsia="標楷體"/>
                                      <w:b/>
                                      <w:bCs/>
                                      <w:color w:val="000000"/>
                                    </w:rPr>
                                    <w:t>Temozolomide</w:t>
                                  </w:r>
                                  <w:r w:rsidRPr="00455C9A">
                                    <w:rPr>
                                      <w:rFonts w:ascii="標楷體" w:eastAsia="標楷體" w:hAnsi="標楷體" w:cs="標楷體"/>
                                      <w:b/>
                                      <w:bCs/>
                                      <w:color w:val="000000"/>
                                    </w:rPr>
                                    <w:t>申請表</w:t>
                                  </w:r>
                                </w:p>
                              </w:txbxContent>
                            </wps:txbx>
                            <wps:bodyPr vert="horz" wrap="square" lIns="91440" tIns="45720" rIns="91440" bIns="45720" anchor="t" anchorCtr="0" compatLnSpc="0">
                              <a:spAutoFit/>
                            </wps:bodyPr>
                          </wps:wsp>
                        </a:graphicData>
                      </a:graphic>
                      <wp14:sizeRelH relativeFrom="margin">
                        <wp14:pctWidth>0</wp14:pctWidth>
                      </wp14:sizeRelH>
                      <wp14:sizeRelV relativeFrom="margin">
                        <wp14:pctHeight>0</wp14:pctHeight>
                      </wp14:sizeRelV>
                    </wp:anchor>
                  </w:drawing>
                </mc:Choice>
                <mc:Fallback>
                  <w:pict>
                    <v:shapetype w14:anchorId="1411E750" id="_x0000_t202" coordsize="21600,21600" o:spt="202" path="m,l,21600r21600,l21600,xe">
                      <v:stroke joinstyle="miter"/>
                      <v:path gradientshapeok="t" o:connecttype="rect"/>
                    </v:shapetype>
                    <v:shape id="文字方塊 2" o:spid="_x0000_s1027" type="#_x0000_t202" style="position:absolute;left:0;text-align:left;margin-left:-7.1pt;margin-top:-29.1pt;width:446.7pt;height:2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" stroked="f">
                      <v:textbox style="mso-fit-shape-to-text:t">
                        <w:txbxContent>
                          <w:p w14:paraId="3669CDB3" w14:textId="77777777" w:rsidR="00C6448D" w:rsidRPr="00455C9A" w:rsidRDefault="00C6448D">
                            <w:pPr>
                              <w:rPr>
                                <w:b/>
                                <w:bCs/>
                              </w:rPr>
                            </w:pPr>
                            <w:r w:rsidRPr="00455C9A">
                              <w:rPr>
                                <w:rFonts w:ascii="標楷體" w:eastAsia="標楷體" w:hAnsi="標楷體" w:cs="標楷體"/>
                                <w:b/>
                                <w:bCs/>
                                <w:color w:val="000000"/>
                              </w:rPr>
                              <w:t>附表八之二  全民健康保險使用抗癌藥品</w:t>
                            </w:r>
                            <w:r w:rsidRPr="00455C9A">
                              <w:rPr>
                                <w:rFonts w:eastAsia="標楷體"/>
                                <w:b/>
                                <w:bCs/>
                                <w:color w:val="000000"/>
                              </w:rPr>
                              <w:t>Temozolomide</w:t>
                            </w:r>
                            <w:r w:rsidRPr="00455C9A">
                              <w:rPr>
                                <w:rFonts w:ascii="標楷體" w:eastAsia="標楷體" w:hAnsi="標楷體" w:cs="標楷體"/>
                                <w:b/>
                                <w:bCs/>
                                <w:color w:val="000000"/>
                              </w:rPr>
                              <w:t>申請表</w:t>
                            </w:r>
                          </w:p>
                        </w:txbxContent>
                      </v:textbox>
                    </v:shape>
                  </w:pict>
                </mc:Fallback>
              </mc:AlternateContent>
            </w:r>
            <w:r>
              <w:rPr>
                <w:rFonts w:ascii="標楷體" w:eastAsia="標楷體" w:hAnsi="標楷體" w:cs="標楷體"/>
                <w:color w:val="000000"/>
                <w:sz w:val="20"/>
                <w:szCs w:val="20"/>
              </w:rPr>
              <w:t>申請類別:</w:t>
            </w:r>
          </w:p>
        </w:tc>
        <w:tc>
          <w:tcPr>
            <w:tcW w:w="36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82BEC5" w14:textId="77777777" w:rsidR="00401786" w:rsidRDefault="00C64FB3" w:rsidP="000E757E">
            <w:pPr>
              <w:spacing w:line="240" w:lineRule="atLeast"/>
              <w:jc w:val="center"/>
            </w:pPr>
            <w:r>
              <w:rPr>
                <w:rFonts w:ascii="標楷體" w:eastAsia="標楷體" w:hAnsi="標楷體" w:cs="標楷體"/>
                <w:color w:val="000000"/>
                <w:sz w:val="20"/>
                <w:szCs w:val="20"/>
              </w:rPr>
              <w:t>□送核  □補資料□申復 □資料異動</w:t>
            </w:r>
          </w:p>
        </w:tc>
        <w:tc>
          <w:tcPr>
            <w:tcW w:w="29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DD4077" w14:textId="77777777" w:rsidR="00401786" w:rsidRDefault="00C64FB3" w:rsidP="000E757E">
            <w:pPr>
              <w:spacing w:line="240" w:lineRule="atLeast"/>
            </w:pPr>
            <w:r>
              <w:rPr>
                <w:rFonts w:ascii="標楷體" w:eastAsia="標楷體" w:hAnsi="標楷體" w:cs="標楷體"/>
                <w:color w:val="000000"/>
                <w:sz w:val="20"/>
                <w:szCs w:val="20"/>
              </w:rPr>
              <w:t>受理日期：</w:t>
            </w:r>
          </w:p>
        </w:tc>
        <w:tc>
          <w:tcPr>
            <w:tcW w:w="244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FEF835" w14:textId="77777777" w:rsidR="00401786" w:rsidRDefault="00C64FB3" w:rsidP="000E757E">
            <w:pPr>
              <w:spacing w:line="240" w:lineRule="atLeast"/>
            </w:pPr>
            <w:r>
              <w:rPr>
                <w:rFonts w:ascii="標楷體" w:eastAsia="標楷體" w:hAnsi="標楷體" w:cs="標楷體"/>
                <w:color w:val="000000"/>
                <w:sz w:val="20"/>
                <w:szCs w:val="20"/>
              </w:rPr>
              <w:t>受理編號：</w:t>
            </w:r>
          </w:p>
        </w:tc>
        <w:tc>
          <w:tcPr>
            <w:tcW w:w="245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85076F" w14:textId="77777777" w:rsidR="00401786" w:rsidRDefault="00C64FB3" w:rsidP="000E757E">
            <w:pPr>
              <w:spacing w:line="240" w:lineRule="atLeast"/>
            </w:pPr>
            <w:r>
              <w:rPr>
                <w:rFonts w:ascii="標楷體" w:eastAsia="標楷體" w:hAnsi="標楷體" w:cs="標楷體"/>
                <w:color w:val="000000"/>
                <w:sz w:val="20"/>
                <w:szCs w:val="20"/>
              </w:rPr>
              <w:t>緊急傳真日期：</w:t>
            </w:r>
          </w:p>
        </w:tc>
        <w:tc>
          <w:tcPr>
            <w:tcW w:w="62" w:type="dxa"/>
            <w:shd w:val="clear" w:color="auto" w:fill="auto"/>
            <w:tcMar>
              <w:top w:w="0" w:type="dxa"/>
              <w:left w:w="10" w:type="dxa"/>
              <w:bottom w:w="0" w:type="dxa"/>
              <w:right w:w="10" w:type="dxa"/>
            </w:tcMar>
          </w:tcPr>
          <w:p w14:paraId="547B02AB" w14:textId="77777777" w:rsidR="00401786" w:rsidRDefault="00401786" w:rsidP="000E757E">
            <w:pPr>
              <w:spacing w:line="240" w:lineRule="atLeast"/>
            </w:pPr>
          </w:p>
        </w:tc>
      </w:tr>
      <w:tr w:rsidR="00401786" w14:paraId="1D06DE8F" w14:textId="77777777" w:rsidTr="009E653D">
        <w:trPr>
          <w:cantSplit/>
          <w:trHeight w:val="517"/>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8C5D6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E86341"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3493D8" w14:textId="77777777" w:rsidR="00401786" w:rsidRDefault="00401786" w:rsidP="000E757E">
            <w:pPr>
              <w:snapToGrid w:val="0"/>
              <w:spacing w:line="240" w:lineRule="atLeast"/>
              <w:rPr>
                <w:rFonts w:ascii="標楷體" w:eastAsia="標楷體" w:hAnsi="標楷體"/>
                <w:color w:val="000000"/>
                <w:sz w:val="20"/>
                <w:szCs w:val="20"/>
              </w:rPr>
            </w:pPr>
          </w:p>
        </w:tc>
        <w:tc>
          <w:tcPr>
            <w:tcW w:w="34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8C07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399DD23B"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7696F247"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17D98DA0"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1AE21C"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60FB60"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987C5A"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E74085" w14:textId="77777777" w:rsidR="00401786" w:rsidRDefault="00401786" w:rsidP="000E757E">
            <w:pPr>
              <w:snapToGrid w:val="0"/>
              <w:spacing w:line="240" w:lineRule="atLeast"/>
              <w:rPr>
                <w:rFonts w:ascii="標楷體" w:eastAsia="標楷體" w:hAnsi="標楷體"/>
                <w:color w:val="000000"/>
                <w:sz w:val="20"/>
                <w:szCs w:val="20"/>
              </w:rPr>
            </w:pP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A2EE28"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54974514"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244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41F438" w14:textId="77777777" w:rsidR="00401786" w:rsidRDefault="00401786" w:rsidP="000E757E">
            <w:pPr>
              <w:snapToGrid w:val="0"/>
              <w:spacing w:line="240" w:lineRule="atLeast"/>
              <w:rPr>
                <w:rFonts w:ascii="標楷體" w:eastAsia="標楷體" w:hAnsi="標楷體"/>
                <w:color w:val="000000"/>
                <w:sz w:val="20"/>
                <w:szCs w:val="20"/>
              </w:rPr>
            </w:pP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42EE05"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146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B22251" w14:textId="77777777" w:rsidR="00401786" w:rsidRDefault="00401786" w:rsidP="000E757E">
            <w:pPr>
              <w:snapToGrid w:val="0"/>
              <w:spacing w:line="240" w:lineRule="atLeast"/>
              <w:rPr>
                <w:rFonts w:ascii="標楷體" w:eastAsia="標楷體" w:hAnsi="標楷體"/>
                <w:color w:val="000000"/>
                <w:sz w:val="20"/>
                <w:szCs w:val="20"/>
              </w:rPr>
            </w:pPr>
          </w:p>
        </w:tc>
        <w:tc>
          <w:tcPr>
            <w:tcW w:w="62" w:type="dxa"/>
            <w:shd w:val="clear" w:color="auto" w:fill="auto"/>
            <w:tcMar>
              <w:top w:w="0" w:type="dxa"/>
              <w:left w:w="10" w:type="dxa"/>
              <w:bottom w:w="0" w:type="dxa"/>
              <w:right w:w="10" w:type="dxa"/>
            </w:tcMar>
          </w:tcPr>
          <w:p w14:paraId="3DDB318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BB0A1D1" w14:textId="77777777" w:rsidTr="009E653D">
        <w:trPr>
          <w:cantSplit/>
          <w:trHeight w:val="530"/>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94CC5F"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7129BD"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5AE73D" w14:textId="77777777" w:rsidR="00401786" w:rsidRDefault="00401786" w:rsidP="000E757E">
            <w:pPr>
              <w:snapToGrid w:val="0"/>
              <w:spacing w:line="240" w:lineRule="atLeast"/>
              <w:rPr>
                <w:rFonts w:ascii="標楷體" w:eastAsia="標楷體" w:hAnsi="標楷體"/>
                <w:color w:val="000000"/>
                <w:sz w:val="20"/>
                <w:szCs w:val="20"/>
              </w:rPr>
            </w:pPr>
          </w:p>
        </w:tc>
        <w:tc>
          <w:tcPr>
            <w:tcW w:w="34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65F61D" w14:textId="77777777" w:rsidR="00401786" w:rsidRDefault="00401786" w:rsidP="000E757E">
            <w:pPr>
              <w:snapToGrid w:val="0"/>
              <w:spacing w:line="240" w:lineRule="atLeast"/>
              <w:rPr>
                <w:rFonts w:ascii="標楷體" w:eastAsia="標楷體" w:hAnsi="標楷體"/>
                <w:color w:val="000000"/>
                <w:sz w:val="20"/>
                <w:szCs w:val="20"/>
              </w:rPr>
            </w:pPr>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9F800B"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5BFFE0BD"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5D9C17"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39C1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2EB866A3"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463B47" w14:textId="77777777" w:rsidR="00401786" w:rsidRDefault="00401786" w:rsidP="000E757E">
            <w:pPr>
              <w:snapToGrid w:val="0"/>
              <w:spacing w:line="240" w:lineRule="atLeast"/>
              <w:rPr>
                <w:rFonts w:ascii="標楷體" w:eastAsia="標楷體" w:hAnsi="標楷體"/>
                <w:color w:val="000000"/>
                <w:sz w:val="20"/>
                <w:szCs w:val="20"/>
              </w:rPr>
            </w:pP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5CF83E" w14:textId="77777777" w:rsidR="00401786" w:rsidRDefault="00C64FB3" w:rsidP="000E757E">
            <w:pPr>
              <w:snapToGrid w:val="0"/>
              <w:spacing w:line="240" w:lineRule="atLeast"/>
            </w:pPr>
            <w:r>
              <w:rPr>
                <w:rFonts w:ascii="標楷體" w:eastAsia="標楷體" w:hAnsi="標楷體" w:cs="標楷體"/>
                <w:color w:val="000000"/>
                <w:sz w:val="20"/>
                <w:szCs w:val="20"/>
              </w:rPr>
              <w:t>□ 門診  □ 住院</w:t>
            </w:r>
          </w:p>
        </w:tc>
        <w:tc>
          <w:tcPr>
            <w:tcW w:w="59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AC60A1"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84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03CEDD" w14:textId="77777777" w:rsidR="00401786" w:rsidRDefault="00401786" w:rsidP="000E757E">
            <w:pPr>
              <w:snapToGrid w:val="0"/>
              <w:spacing w:line="240" w:lineRule="atLeast"/>
              <w:rPr>
                <w:rFonts w:ascii="標楷體" w:eastAsia="標楷體" w:hAnsi="標楷體"/>
                <w:color w:val="000000"/>
                <w:sz w:val="20"/>
                <w:szCs w:val="20"/>
              </w:rPr>
            </w:pP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23CDF9"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46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A1B38E" w14:textId="77777777" w:rsidR="00401786" w:rsidRDefault="00401786" w:rsidP="000E757E">
            <w:pPr>
              <w:snapToGrid w:val="0"/>
              <w:spacing w:line="240" w:lineRule="atLeast"/>
              <w:rPr>
                <w:rFonts w:ascii="標楷體" w:eastAsia="標楷體" w:hAnsi="標楷體"/>
                <w:color w:val="000000"/>
                <w:sz w:val="20"/>
                <w:szCs w:val="20"/>
              </w:rPr>
            </w:pPr>
          </w:p>
        </w:tc>
        <w:tc>
          <w:tcPr>
            <w:tcW w:w="62" w:type="dxa"/>
            <w:shd w:val="clear" w:color="auto" w:fill="auto"/>
            <w:tcMar>
              <w:top w:w="0" w:type="dxa"/>
              <w:left w:w="10" w:type="dxa"/>
              <w:bottom w:w="0" w:type="dxa"/>
              <w:right w:w="10" w:type="dxa"/>
            </w:tcMar>
          </w:tcPr>
          <w:p w14:paraId="1472303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4F7EBC6" w14:textId="77777777" w:rsidTr="009E653D">
        <w:trPr>
          <w:cantSplit/>
          <w:trHeight w:val="360"/>
        </w:trPr>
        <w:tc>
          <w:tcPr>
            <w:tcW w:w="1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3CC816" w14:textId="77777777" w:rsidR="00401786" w:rsidRDefault="00C64FB3" w:rsidP="000E757E">
            <w:pPr>
              <w:pStyle w:val="a7"/>
              <w:tabs>
                <w:tab w:val="clear" w:pos="4153"/>
                <w:tab w:val="clear" w:pos="8306"/>
              </w:tabs>
              <w:spacing w:line="240" w:lineRule="atLeast"/>
            </w:pPr>
            <w:r>
              <w:rPr>
                <w:rFonts w:eastAsia="標楷體"/>
                <w:color w:val="000000"/>
              </w:rPr>
              <w:t>ICD-10</w:t>
            </w:r>
            <w:r>
              <w:rPr>
                <w:rFonts w:eastAsia="標楷體"/>
                <w:color w:val="000000"/>
              </w:rPr>
              <w:t>代碼</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D4C2E5" w14:textId="77777777" w:rsidR="00401786" w:rsidRDefault="00401786" w:rsidP="000E757E">
            <w:pPr>
              <w:snapToGrid w:val="0"/>
              <w:spacing w:line="240" w:lineRule="atLeast"/>
              <w:rPr>
                <w:rFonts w:ascii="標楷體" w:eastAsia="標楷體" w:hAnsi="標楷體"/>
                <w:color w:val="000000"/>
                <w:sz w:val="20"/>
                <w:szCs w:val="20"/>
              </w:rPr>
            </w:pPr>
          </w:p>
        </w:tc>
        <w:tc>
          <w:tcPr>
            <w:tcW w:w="14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588EE"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5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A30614" w14:textId="77777777" w:rsidR="00401786" w:rsidRDefault="00401786" w:rsidP="000E757E">
            <w:pPr>
              <w:snapToGrid w:val="0"/>
              <w:spacing w:line="240" w:lineRule="atLeast"/>
              <w:rPr>
                <w:rFonts w:ascii="標楷體" w:eastAsia="標楷體" w:hAnsi="標楷體"/>
                <w:color w:val="000000"/>
                <w:sz w:val="20"/>
                <w:szCs w:val="20"/>
              </w:rPr>
            </w:pP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2CEB3B"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2"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2491896" w14:textId="77777777" w:rsidR="00401786" w:rsidRDefault="00C64FB3" w:rsidP="000E757E">
            <w:pPr>
              <w:snapToGrid w:val="0"/>
              <w:spacing w:line="240" w:lineRule="atLeast"/>
            </w:pPr>
            <w:r>
              <w:rPr>
                <w:rFonts w:ascii="標楷體" w:eastAsia="標楷體" w:hAnsi="標楷體" w:cs="標楷體"/>
                <w:color w:val="000000"/>
                <w:sz w:val="20"/>
                <w:szCs w:val="20"/>
              </w:rPr>
              <w:t xml:space="preserve">       年    月    日至      年    月    日</w:t>
            </w:r>
          </w:p>
        </w:tc>
        <w:tc>
          <w:tcPr>
            <w:tcW w:w="62" w:type="dxa"/>
            <w:shd w:val="clear" w:color="auto" w:fill="auto"/>
            <w:tcMar>
              <w:top w:w="0" w:type="dxa"/>
              <w:left w:w="10" w:type="dxa"/>
              <w:bottom w:w="0" w:type="dxa"/>
              <w:right w:w="10" w:type="dxa"/>
            </w:tcMar>
          </w:tcPr>
          <w:p w14:paraId="794130BE" w14:textId="77777777" w:rsidR="00401786" w:rsidRDefault="00401786" w:rsidP="000E757E">
            <w:pPr>
              <w:snapToGrid w:val="0"/>
              <w:spacing w:line="240" w:lineRule="atLeast"/>
            </w:pPr>
          </w:p>
        </w:tc>
      </w:tr>
      <w:tr w:rsidR="00401786" w14:paraId="6936C687" w14:textId="77777777" w:rsidTr="009E653D">
        <w:trPr>
          <w:cantSplit/>
        </w:trPr>
        <w:tc>
          <w:tcPr>
            <w:tcW w:w="1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1CE36C"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4D6D9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011"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712A8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78F7C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79C7320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D776C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09F5C0A3"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2"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3EBF41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62" w:type="dxa"/>
            <w:shd w:val="clear" w:color="auto" w:fill="auto"/>
            <w:tcMar>
              <w:top w:w="0" w:type="dxa"/>
              <w:left w:w="10" w:type="dxa"/>
              <w:bottom w:w="0" w:type="dxa"/>
              <w:right w:w="10" w:type="dxa"/>
            </w:tcMar>
          </w:tcPr>
          <w:p w14:paraId="7E003679" w14:textId="77777777" w:rsidR="00401786" w:rsidRDefault="00401786" w:rsidP="000E757E">
            <w:pPr>
              <w:snapToGrid w:val="0"/>
              <w:spacing w:line="240" w:lineRule="atLeast"/>
              <w:jc w:val="center"/>
            </w:pPr>
          </w:p>
        </w:tc>
      </w:tr>
      <w:tr w:rsidR="00401786" w14:paraId="7F596A95" w14:textId="77777777" w:rsidTr="009E653D">
        <w:trPr>
          <w:cantSplit/>
          <w:trHeight w:val="2702"/>
        </w:trPr>
        <w:tc>
          <w:tcPr>
            <w:tcW w:w="1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6B0B92" w14:textId="77777777" w:rsidR="00401786" w:rsidRDefault="00401786" w:rsidP="000E757E">
            <w:pPr>
              <w:tabs>
                <w:tab w:val="left" w:pos="240"/>
              </w:tabs>
              <w:spacing w:before="180" w:after="180" w:line="240" w:lineRule="atLeast"/>
              <w:rPr>
                <w:rFonts w:ascii="標楷體" w:eastAsia="標楷體" w:hAnsi="標楷體"/>
                <w:color w:val="000000"/>
                <w:sz w:val="20"/>
                <w:szCs w:val="20"/>
              </w:rPr>
            </w:pP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A7DAC6" w14:textId="77777777" w:rsidR="00401786" w:rsidRDefault="00C64FB3" w:rsidP="000E757E">
            <w:pPr>
              <w:spacing w:before="180" w:line="240" w:lineRule="atLeast"/>
              <w:ind w:left="200" w:hanging="200"/>
            </w:pPr>
            <w:r>
              <w:rPr>
                <w:rFonts w:ascii="Wingdings 2" w:eastAsia="Wingdings 2" w:hAnsi="Wingdings 2" w:cs="Wingdings 2"/>
                <w:color w:val="000000"/>
                <w:sz w:val="20"/>
                <w:szCs w:val="20"/>
              </w:rPr>
              <w:t></w:t>
            </w:r>
            <w:r>
              <w:rPr>
                <w:rFonts w:ascii="標楷體" w:eastAsia="標楷體" w:hAnsi="標楷體" w:cs="標楷體"/>
                <w:color w:val="000000"/>
                <w:sz w:val="20"/>
                <w:szCs w:val="20"/>
              </w:rPr>
              <w:t>第一次申請</w:t>
            </w:r>
          </w:p>
          <w:p w14:paraId="1080A5CA" w14:textId="77777777" w:rsidR="00401786" w:rsidRDefault="00C64FB3" w:rsidP="000E757E">
            <w:pPr>
              <w:spacing w:before="180" w:line="240" w:lineRule="atLeast"/>
              <w:ind w:left="200" w:hanging="20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治療後再次申請</w:t>
            </w:r>
          </w:p>
        </w:tc>
        <w:tc>
          <w:tcPr>
            <w:tcW w:w="5011"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64F147" w14:textId="77777777" w:rsidR="00401786" w:rsidRDefault="00C64FB3" w:rsidP="000E757E">
            <w:pPr>
              <w:tabs>
                <w:tab w:val="left" w:pos="293"/>
              </w:tabs>
              <w:spacing w:after="90" w:line="240" w:lineRule="atLeast"/>
            </w:pPr>
            <w:r>
              <w:rPr>
                <w:rFonts w:ascii="Wingdings 2" w:eastAsia="Wingdings 2" w:hAnsi="Wingdings 2" w:cs="Wingdings 2"/>
                <w:color w:val="000000"/>
                <w:sz w:val="20"/>
                <w:szCs w:val="20"/>
              </w:rPr>
              <w:t></w:t>
            </w:r>
            <w:r>
              <w:rPr>
                <w:rFonts w:eastAsia="標楷體"/>
                <w:color w:val="000000"/>
                <w:sz w:val="20"/>
                <w:szCs w:val="20"/>
              </w:rPr>
              <w:tab/>
              <w:t>1.</w:t>
            </w:r>
            <w:r>
              <w:rPr>
                <w:rFonts w:eastAsia="標楷體"/>
                <w:color w:val="000000"/>
                <w:sz w:val="20"/>
                <w:szCs w:val="20"/>
              </w:rPr>
              <w:t>經手術或放射線治療後復發之下列病人</w:t>
            </w:r>
            <w:r>
              <w:rPr>
                <w:rFonts w:eastAsia="標楷體"/>
                <w:color w:val="000000"/>
                <w:sz w:val="20"/>
                <w:szCs w:val="20"/>
              </w:rPr>
              <w:t>:</w:t>
            </w:r>
          </w:p>
          <w:p w14:paraId="658901CA" w14:textId="77777777" w:rsidR="00401786" w:rsidRDefault="00C64FB3" w:rsidP="000E757E">
            <w:pPr>
              <w:tabs>
                <w:tab w:val="left" w:pos="240"/>
                <w:tab w:val="left" w:pos="653"/>
              </w:tabs>
              <w:spacing w:after="90" w:line="240" w:lineRule="atLeast"/>
              <w:ind w:left="943" w:hanging="60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(1)</w:t>
            </w:r>
            <w:r>
              <w:rPr>
                <w:rFonts w:eastAsia="標楷體"/>
                <w:color w:val="000000"/>
                <w:sz w:val="20"/>
                <w:szCs w:val="20"/>
              </w:rPr>
              <w:t>退</w:t>
            </w:r>
            <w:proofErr w:type="gramStart"/>
            <w:r>
              <w:rPr>
                <w:rFonts w:eastAsia="標楷體"/>
                <w:color w:val="000000"/>
                <w:sz w:val="20"/>
                <w:szCs w:val="20"/>
              </w:rPr>
              <w:t>行性星狀</w:t>
            </w:r>
            <w:proofErr w:type="gramEnd"/>
            <w:r>
              <w:rPr>
                <w:rFonts w:eastAsia="標楷體"/>
                <w:color w:val="000000"/>
                <w:sz w:val="20"/>
                <w:szCs w:val="20"/>
              </w:rPr>
              <w:t>細胞瘤</w:t>
            </w:r>
          </w:p>
          <w:p w14:paraId="541689C8" w14:textId="77777777" w:rsidR="00401786" w:rsidRDefault="00C64FB3" w:rsidP="000E757E">
            <w:pPr>
              <w:tabs>
                <w:tab w:val="left" w:pos="240"/>
                <w:tab w:val="left" w:pos="653"/>
              </w:tabs>
              <w:spacing w:after="90" w:line="240" w:lineRule="atLeast"/>
              <w:ind w:left="1560" w:hanging="600"/>
            </w:pPr>
            <w:r>
              <w:rPr>
                <w:rFonts w:eastAsia="標楷體"/>
                <w:color w:val="000000"/>
                <w:sz w:val="20"/>
                <w:szCs w:val="20"/>
              </w:rPr>
              <w:t>(AA- anaplastic astrocytoma)</w:t>
            </w:r>
          </w:p>
          <w:p w14:paraId="7FB0B0F8" w14:textId="77777777" w:rsidR="00401786" w:rsidRDefault="00C64FB3" w:rsidP="000E757E">
            <w:pPr>
              <w:tabs>
                <w:tab w:val="left" w:pos="240"/>
                <w:tab w:val="left" w:pos="653"/>
              </w:tabs>
              <w:spacing w:after="90" w:line="240" w:lineRule="atLeast"/>
              <w:ind w:left="943" w:hanging="60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(2)</w:t>
            </w:r>
            <w:r>
              <w:rPr>
                <w:rFonts w:eastAsia="標楷體"/>
                <w:color w:val="000000"/>
                <w:sz w:val="20"/>
                <w:szCs w:val="20"/>
              </w:rPr>
              <w:t>多形</w:t>
            </w:r>
            <w:proofErr w:type="gramStart"/>
            <w:r>
              <w:rPr>
                <w:rFonts w:eastAsia="標楷體"/>
                <w:color w:val="000000"/>
                <w:sz w:val="20"/>
                <w:szCs w:val="20"/>
              </w:rPr>
              <w:t>神經膠母細胞</w:t>
            </w:r>
            <w:proofErr w:type="gramEnd"/>
            <w:r>
              <w:rPr>
                <w:rFonts w:eastAsia="標楷體"/>
                <w:color w:val="000000"/>
                <w:sz w:val="20"/>
                <w:szCs w:val="20"/>
              </w:rPr>
              <w:t>瘤</w:t>
            </w:r>
          </w:p>
          <w:p w14:paraId="388208D7" w14:textId="77777777" w:rsidR="00401786" w:rsidRDefault="00C64FB3" w:rsidP="000E757E">
            <w:pPr>
              <w:tabs>
                <w:tab w:val="left" w:pos="240"/>
                <w:tab w:val="left" w:pos="653"/>
              </w:tabs>
              <w:spacing w:after="90" w:line="240" w:lineRule="atLeast"/>
              <w:ind w:left="1560" w:hanging="600"/>
            </w:pPr>
            <w:r>
              <w:rPr>
                <w:rFonts w:eastAsia="標楷體"/>
                <w:color w:val="000000"/>
                <w:sz w:val="20"/>
                <w:szCs w:val="20"/>
              </w:rPr>
              <w:t>(GBM-Glioblastoma multiforme)</w:t>
            </w:r>
          </w:p>
          <w:p w14:paraId="6F99E590" w14:textId="77777777" w:rsidR="00401786" w:rsidRDefault="00C64FB3" w:rsidP="000E757E">
            <w:pPr>
              <w:tabs>
                <w:tab w:val="left" w:pos="240"/>
                <w:tab w:val="left" w:pos="653"/>
              </w:tabs>
              <w:spacing w:after="90" w:line="240" w:lineRule="atLeast"/>
              <w:ind w:left="943" w:hanging="60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(3)</w:t>
            </w:r>
            <w:r>
              <w:rPr>
                <w:rFonts w:eastAsia="標楷體"/>
                <w:color w:val="000000"/>
                <w:sz w:val="20"/>
                <w:szCs w:val="20"/>
              </w:rPr>
              <w:t>退行性</w:t>
            </w:r>
            <w:proofErr w:type="gramStart"/>
            <w:r>
              <w:rPr>
                <w:rFonts w:eastAsia="標楷體"/>
                <w:color w:val="000000"/>
                <w:sz w:val="20"/>
                <w:szCs w:val="20"/>
              </w:rPr>
              <w:t>寡</w:t>
            </w:r>
            <w:proofErr w:type="gramEnd"/>
            <w:r>
              <w:rPr>
                <w:rFonts w:eastAsia="標楷體"/>
                <w:color w:val="000000"/>
                <w:sz w:val="20"/>
                <w:szCs w:val="20"/>
              </w:rPr>
              <w:t>樹突膠質細胞瘤</w:t>
            </w:r>
          </w:p>
          <w:p w14:paraId="7E08ADC2" w14:textId="77777777" w:rsidR="00401786" w:rsidRDefault="00C64FB3" w:rsidP="000E757E">
            <w:pPr>
              <w:tabs>
                <w:tab w:val="left" w:pos="240"/>
                <w:tab w:val="left" w:pos="653"/>
              </w:tabs>
              <w:spacing w:after="90" w:line="240" w:lineRule="atLeast"/>
              <w:ind w:left="1560" w:hanging="600"/>
            </w:pPr>
            <w:r>
              <w:rPr>
                <w:rFonts w:eastAsia="標楷體"/>
                <w:color w:val="000000"/>
                <w:sz w:val="20"/>
                <w:szCs w:val="20"/>
              </w:rPr>
              <w:t>(anaplastic oligodendroglioma)</w:t>
            </w:r>
          </w:p>
          <w:p w14:paraId="2DFEF3C6" w14:textId="77777777" w:rsidR="00401786" w:rsidRDefault="00C64FB3" w:rsidP="000E757E">
            <w:pPr>
              <w:tabs>
                <w:tab w:val="left" w:pos="293"/>
              </w:tabs>
              <w:spacing w:after="90" w:line="240" w:lineRule="atLeast"/>
              <w:ind w:left="440" w:hanging="44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2.</w:t>
            </w:r>
            <w:r>
              <w:rPr>
                <w:rFonts w:eastAsia="標楷體"/>
                <w:color w:val="000000"/>
                <w:sz w:val="20"/>
                <w:szCs w:val="20"/>
              </w:rPr>
              <w:t>新診斷的多形</w:t>
            </w:r>
            <w:proofErr w:type="gramStart"/>
            <w:r>
              <w:rPr>
                <w:rFonts w:eastAsia="標楷體"/>
                <w:color w:val="000000"/>
                <w:sz w:val="20"/>
                <w:szCs w:val="20"/>
              </w:rPr>
              <w:t>神經膠母細胞</w:t>
            </w:r>
            <w:proofErr w:type="gramEnd"/>
            <w:r>
              <w:rPr>
                <w:rFonts w:eastAsia="標楷體"/>
                <w:color w:val="000000"/>
                <w:sz w:val="20"/>
                <w:szCs w:val="20"/>
              </w:rPr>
              <w:t>瘤，與放射線治療同步進行，然後作為輔助性治療。</w:t>
            </w:r>
          </w:p>
          <w:p w14:paraId="28DAB5FE" w14:textId="77777777" w:rsidR="00401786" w:rsidRDefault="00C64FB3" w:rsidP="000E757E">
            <w:pPr>
              <w:tabs>
                <w:tab w:val="left" w:pos="293"/>
              </w:tabs>
              <w:spacing w:after="90" w:line="240" w:lineRule="atLeast"/>
              <w:ind w:left="440" w:hanging="44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3.</w:t>
            </w:r>
            <w:r>
              <w:rPr>
                <w:rFonts w:eastAsia="標楷體"/>
                <w:color w:val="000000"/>
                <w:sz w:val="20"/>
                <w:szCs w:val="20"/>
              </w:rPr>
              <w:t>需經事前審查核准後使用，每日最大劑量</w:t>
            </w:r>
            <w:r>
              <w:rPr>
                <w:rFonts w:eastAsia="標楷體"/>
                <w:color w:val="000000"/>
                <w:sz w:val="20"/>
                <w:szCs w:val="20"/>
              </w:rPr>
              <w:t>200mg/m</w:t>
            </w:r>
            <w:r>
              <w:rPr>
                <w:rFonts w:eastAsia="標楷體"/>
                <w:color w:val="000000"/>
                <w:sz w:val="20"/>
                <w:szCs w:val="20"/>
                <w:vertAlign w:val="superscript"/>
              </w:rPr>
              <w:t>2</w:t>
            </w:r>
            <w:r>
              <w:rPr>
                <w:rFonts w:eastAsia="標楷體"/>
                <w:color w:val="000000"/>
                <w:sz w:val="20"/>
                <w:szCs w:val="20"/>
              </w:rPr>
              <w:t>。每次申請事前審查之療程以三</w:t>
            </w:r>
            <w:proofErr w:type="gramStart"/>
            <w:r>
              <w:rPr>
                <w:rFonts w:eastAsia="標楷體"/>
                <w:color w:val="000000"/>
                <w:sz w:val="20"/>
                <w:szCs w:val="20"/>
              </w:rPr>
              <w:t>個</w:t>
            </w:r>
            <w:proofErr w:type="gramEnd"/>
            <w:r>
              <w:rPr>
                <w:rFonts w:eastAsia="標楷體"/>
                <w:color w:val="000000"/>
                <w:sz w:val="20"/>
                <w:szCs w:val="20"/>
              </w:rPr>
              <w:t>月為限，再次申請必須提出客觀證據</w:t>
            </w:r>
            <w:proofErr w:type="gramStart"/>
            <w:r>
              <w:rPr>
                <w:rFonts w:eastAsia="標楷體"/>
                <w:color w:val="000000"/>
                <w:sz w:val="20"/>
                <w:szCs w:val="20"/>
              </w:rPr>
              <w:t>（</w:t>
            </w:r>
            <w:proofErr w:type="gramEnd"/>
            <w:r>
              <w:rPr>
                <w:rFonts w:eastAsia="標楷體"/>
                <w:color w:val="000000"/>
                <w:sz w:val="20"/>
                <w:szCs w:val="20"/>
              </w:rPr>
              <w:t>如：影像學</w:t>
            </w:r>
            <w:proofErr w:type="gramStart"/>
            <w:r>
              <w:rPr>
                <w:rFonts w:eastAsia="標楷體"/>
                <w:color w:val="000000"/>
                <w:sz w:val="20"/>
                <w:szCs w:val="20"/>
              </w:rPr>
              <w:t>）</w:t>
            </w:r>
            <w:proofErr w:type="gramEnd"/>
            <w:r>
              <w:rPr>
                <w:rFonts w:eastAsia="標楷體"/>
                <w:color w:val="000000"/>
                <w:sz w:val="20"/>
                <w:szCs w:val="20"/>
              </w:rPr>
              <w:t>證實無惡化，才可繼續使用。</w:t>
            </w:r>
          </w:p>
        </w:tc>
        <w:tc>
          <w:tcPr>
            <w:tcW w:w="83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849A8D" w14:textId="77777777" w:rsidR="00401786" w:rsidRDefault="00401786" w:rsidP="000E757E">
            <w:pPr>
              <w:spacing w:line="240" w:lineRule="atLeast"/>
              <w:rPr>
                <w:rFonts w:ascii="標楷體" w:eastAsia="標楷體" w:hAnsi="標楷體"/>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2A05CA" w14:textId="77777777" w:rsidR="00401786" w:rsidRDefault="00401786" w:rsidP="000E757E">
            <w:pPr>
              <w:spacing w:line="240" w:lineRule="atLeast"/>
              <w:rPr>
                <w:rFonts w:ascii="標楷體" w:eastAsia="標楷體" w:hAnsi="標楷體"/>
                <w:color w:val="000000"/>
                <w:sz w:val="20"/>
                <w:szCs w:val="20"/>
              </w:rPr>
            </w:pPr>
          </w:p>
        </w:tc>
        <w:tc>
          <w:tcPr>
            <w:tcW w:w="4902" w:type="dxa"/>
            <w:gridSpan w:val="13"/>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A2CE5CF" w14:textId="77777777" w:rsidR="00401786" w:rsidRDefault="00C64FB3" w:rsidP="000E757E">
            <w:pPr>
              <w:tabs>
                <w:tab w:val="left" w:pos="240"/>
              </w:tabs>
              <w:spacing w:line="240" w:lineRule="atLeast"/>
            </w:pPr>
            <w:r>
              <w:rPr>
                <w:rFonts w:ascii="Wingdings 2" w:eastAsia="Wingdings 2" w:hAnsi="Wingdings 2" w:cs="Wingdings 2"/>
                <w:color w:val="000000"/>
                <w:sz w:val="20"/>
                <w:szCs w:val="20"/>
              </w:rPr>
              <w:t></w:t>
            </w:r>
            <w:r>
              <w:rPr>
                <w:rFonts w:ascii="標楷體" w:eastAsia="標楷體" w:hAnsi="標楷體" w:cs="標楷體"/>
                <w:color w:val="000000"/>
                <w:sz w:val="20"/>
                <w:szCs w:val="20"/>
              </w:rPr>
              <w:t>同意備查。</w:t>
            </w:r>
          </w:p>
          <w:p w14:paraId="1778FE5C"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使用劑量不符合常規，核定量為</w:t>
            </w:r>
            <w:r>
              <w:rPr>
                <w:rFonts w:ascii="標楷體" w:eastAsia="標楷體" w:hAnsi="標楷體" w:cs="標楷體"/>
                <w:color w:val="000000"/>
                <w:sz w:val="20"/>
                <w:szCs w:val="20"/>
                <w:u w:val="single"/>
              </w:rPr>
              <w:t xml:space="preserve">               </w:t>
            </w:r>
          </w:p>
          <w:p w14:paraId="17C2BFD4" w14:textId="77777777" w:rsidR="00401786" w:rsidRDefault="00C64FB3" w:rsidP="000E757E">
            <w:pPr>
              <w:spacing w:line="240" w:lineRule="atLeast"/>
            </w:pPr>
            <w:r>
              <w:rPr>
                <w:rFonts w:ascii="Wingdings 2" w:eastAsia="Wingdings 2" w:hAnsi="Wingdings 2" w:cs="Wingdings 2"/>
                <w:color w:val="000000"/>
                <w:sz w:val="20"/>
                <w:szCs w:val="20"/>
              </w:rPr>
              <w:t></w:t>
            </w:r>
            <w:r>
              <w:rPr>
                <w:rFonts w:ascii="標楷體" w:eastAsia="標楷體" w:hAnsi="標楷體" w:cs="標楷體"/>
                <w:color w:val="000000"/>
                <w:sz w:val="20"/>
                <w:szCs w:val="20"/>
              </w:rPr>
              <w:t>不同意</w:t>
            </w:r>
          </w:p>
          <w:p w14:paraId="2545E888"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不符合適應症。</w:t>
            </w:r>
          </w:p>
          <w:p w14:paraId="05F66BF2"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 xml:space="preserve">不符合併用二種此類藥物之適應症             </w:t>
            </w:r>
          </w:p>
          <w:p w14:paraId="5997E1C7"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未附病理切片報告或細胞學檢查報告</w:t>
            </w:r>
          </w:p>
          <w:p w14:paraId="32BD7858"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未附使用其他抗癌藥物無效之記錄</w:t>
            </w:r>
          </w:p>
          <w:p w14:paraId="29BE94C6"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未附目前是否為晚期或轉移之病歷</w:t>
            </w:r>
          </w:p>
          <w:p w14:paraId="0F5E2A61" w14:textId="77777777" w:rsidR="00401786" w:rsidRDefault="00C64FB3" w:rsidP="000E757E">
            <w:pPr>
              <w:tabs>
                <w:tab w:val="left" w:pos="240"/>
              </w:tabs>
              <w:spacing w:line="240" w:lineRule="atLeast"/>
              <w:ind w:left="420" w:hanging="18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未附治療計劃(預計使用上述藥物之劑量及預計使用次數)</w:t>
            </w:r>
          </w:p>
          <w:p w14:paraId="2A8C726D" w14:textId="77777777" w:rsidR="00401786" w:rsidRDefault="00C64FB3" w:rsidP="000E757E">
            <w:pPr>
              <w:tabs>
                <w:tab w:val="left" w:pos="240"/>
              </w:tabs>
              <w:spacing w:line="240" w:lineRule="atLeast"/>
              <w:ind w:left="420" w:hanging="180"/>
            </w:pPr>
            <w:r>
              <w:rPr>
                <w:rFonts w:ascii="Wingdings 2" w:eastAsia="Wingdings 2" w:hAnsi="Wingdings 2" w:cs="Wingdings 2"/>
                <w:color w:val="000000"/>
                <w:sz w:val="20"/>
                <w:szCs w:val="20"/>
              </w:rPr>
              <w:t></w:t>
            </w:r>
            <w:r>
              <w:rPr>
                <w:rFonts w:ascii="標楷體" w:eastAsia="標楷體" w:hAnsi="標楷體" w:cs="標楷體"/>
                <w:color w:val="000000"/>
                <w:sz w:val="20"/>
                <w:szCs w:val="20"/>
              </w:rPr>
              <w:t>相關檢驗、檢查報告不全(如影像診斷報告或腫瘤標誌)</w:t>
            </w:r>
          </w:p>
          <w:p w14:paraId="690E995C"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 xml:space="preserve">再審，請補充以下資料               </w:t>
            </w:r>
          </w:p>
          <w:p w14:paraId="701E4F7C"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其他：</w:t>
            </w:r>
            <w:r>
              <w:rPr>
                <w:rFonts w:ascii="標楷體" w:eastAsia="標楷體" w:hAnsi="標楷體" w:cs="標楷體"/>
                <w:color w:val="000000"/>
                <w:sz w:val="20"/>
                <w:szCs w:val="20"/>
                <w:u w:val="single"/>
              </w:rPr>
              <w:t xml:space="preserve">                 </w:t>
            </w:r>
          </w:p>
        </w:tc>
        <w:tc>
          <w:tcPr>
            <w:tcW w:w="62" w:type="dxa"/>
            <w:shd w:val="clear" w:color="auto" w:fill="auto"/>
            <w:tcMar>
              <w:top w:w="0" w:type="dxa"/>
              <w:left w:w="10" w:type="dxa"/>
              <w:bottom w:w="0" w:type="dxa"/>
              <w:right w:w="10" w:type="dxa"/>
            </w:tcMar>
          </w:tcPr>
          <w:p w14:paraId="55DC4BEB" w14:textId="77777777" w:rsidR="00401786" w:rsidRDefault="00401786" w:rsidP="000E757E">
            <w:pPr>
              <w:tabs>
                <w:tab w:val="left" w:pos="240"/>
              </w:tabs>
              <w:spacing w:line="240" w:lineRule="atLeast"/>
              <w:ind w:left="478" w:hanging="238"/>
            </w:pPr>
          </w:p>
        </w:tc>
      </w:tr>
      <w:tr w:rsidR="00401786" w14:paraId="5E9674E9" w14:textId="77777777" w:rsidTr="009E653D">
        <w:trPr>
          <w:cantSplit/>
          <w:trHeight w:val="916"/>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5ACBC5" w14:textId="77777777" w:rsidR="00401786" w:rsidRDefault="00C64FB3" w:rsidP="000E757E">
            <w:pPr>
              <w:spacing w:line="240" w:lineRule="atLeast"/>
              <w:ind w:left="113" w:right="113"/>
            </w:pPr>
            <w:r>
              <w:rPr>
                <w:rFonts w:ascii="標楷體" w:eastAsia="標楷體" w:hAnsi="標楷體" w:cs="標楷體"/>
                <w:color w:val="000000"/>
              </w:rPr>
              <w:t xml:space="preserve">  注  意  事  項</w:t>
            </w:r>
          </w:p>
          <w:p w14:paraId="4A47FEEF" w14:textId="77777777" w:rsidR="00401786" w:rsidRDefault="00401786" w:rsidP="000E757E">
            <w:pPr>
              <w:spacing w:line="240" w:lineRule="atLeast"/>
              <w:ind w:left="324" w:right="113" w:hanging="211"/>
              <w:rPr>
                <w:rFonts w:ascii="標楷體" w:eastAsia="標楷體" w:hAnsi="標楷體"/>
                <w:color w:val="000000"/>
                <w:sz w:val="20"/>
                <w:szCs w:val="20"/>
              </w:rPr>
            </w:pPr>
          </w:p>
        </w:tc>
        <w:tc>
          <w:tcPr>
            <w:tcW w:w="9089"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0C03C5" w14:textId="77777777" w:rsidR="00401786" w:rsidRDefault="00C64FB3">
            <w:pPr>
              <w:numPr>
                <w:ilvl w:val="0"/>
                <w:numId w:val="55"/>
              </w:numPr>
              <w:spacing w:line="240" w:lineRule="atLeast"/>
            </w:pPr>
            <w:r>
              <w:rPr>
                <w:rFonts w:eastAsia="標楷體"/>
                <w:color w:val="000000"/>
                <w:kern w:val="0"/>
                <w:sz w:val="20"/>
                <w:szCs w:val="20"/>
              </w:rPr>
              <w:t>本申請書限一人一案，由本保險特約</w:t>
            </w:r>
            <w:proofErr w:type="gramStart"/>
            <w:r>
              <w:rPr>
                <w:rFonts w:eastAsia="標楷體"/>
                <w:color w:val="000000"/>
                <w:kern w:val="0"/>
                <w:sz w:val="20"/>
                <w:szCs w:val="20"/>
              </w:rPr>
              <w:t>醫</w:t>
            </w:r>
            <w:proofErr w:type="gramEnd"/>
            <w:r>
              <w:rPr>
                <w:rFonts w:eastAsia="標楷體"/>
                <w:color w:val="000000"/>
                <w:kern w:val="0"/>
                <w:sz w:val="20"/>
                <w:szCs w:val="20"/>
              </w:rPr>
              <w:t>事服務機構填報，</w:t>
            </w:r>
            <w:proofErr w:type="gramStart"/>
            <w:r>
              <w:rPr>
                <w:rFonts w:eastAsia="標楷體"/>
                <w:color w:val="000000"/>
                <w:kern w:val="0"/>
                <w:sz w:val="20"/>
                <w:szCs w:val="20"/>
              </w:rPr>
              <w:t>不</w:t>
            </w:r>
            <w:proofErr w:type="gramEnd"/>
            <w:r>
              <w:rPr>
                <w:rFonts w:eastAsia="標楷體"/>
                <w:color w:val="000000"/>
                <w:kern w:val="0"/>
                <w:sz w:val="20"/>
                <w:szCs w:val="20"/>
              </w:rPr>
              <w:t>必備文，請</w:t>
            </w:r>
            <w:proofErr w:type="gramStart"/>
            <w:r>
              <w:rPr>
                <w:rFonts w:eastAsia="標楷體"/>
                <w:color w:val="000000"/>
                <w:kern w:val="0"/>
                <w:sz w:val="20"/>
                <w:szCs w:val="20"/>
              </w:rPr>
              <w:t>逕</w:t>
            </w:r>
            <w:proofErr w:type="gramEnd"/>
            <w:r>
              <w:rPr>
                <w:rFonts w:eastAsia="標楷體"/>
                <w:color w:val="000000"/>
                <w:kern w:val="0"/>
                <w:sz w:val="20"/>
                <w:szCs w:val="20"/>
              </w:rPr>
              <w:t>向保險人各分區業務組申請審核。</w:t>
            </w:r>
          </w:p>
          <w:p w14:paraId="32F97A74" w14:textId="77777777" w:rsidR="00401786" w:rsidRDefault="00C64FB3">
            <w:pPr>
              <w:numPr>
                <w:ilvl w:val="0"/>
                <w:numId w:val="55"/>
              </w:numPr>
              <w:spacing w:line="240" w:lineRule="atLeast"/>
            </w:pPr>
            <w:r>
              <w:rPr>
                <w:rFonts w:eastAsia="標楷體"/>
                <w:color w:val="000000"/>
                <w:kern w:val="0"/>
                <w:sz w:val="20"/>
                <w:szCs w:val="20"/>
              </w:rPr>
              <w:t>「原受理編號」申復時填寫，初次送核不需填寫。</w:t>
            </w:r>
          </w:p>
          <w:p w14:paraId="27DB7E79" w14:textId="77777777" w:rsidR="00401786" w:rsidRDefault="00C64FB3">
            <w:pPr>
              <w:numPr>
                <w:ilvl w:val="0"/>
                <w:numId w:val="55"/>
              </w:numPr>
              <w:spacing w:line="240" w:lineRule="atLeast"/>
            </w:pPr>
            <w:r>
              <w:rPr>
                <w:rFonts w:eastAsia="標楷體"/>
                <w:color w:val="000000"/>
                <w:kern w:val="0"/>
                <w:sz w:val="20"/>
                <w:szCs w:val="20"/>
              </w:rPr>
              <w:t>應事前審查之項目未依規定事前申請核准者，不予給付費用；事前申請核准之個案，日後如經審定保險對象或</w:t>
            </w:r>
            <w:proofErr w:type="gramStart"/>
            <w:r>
              <w:rPr>
                <w:rFonts w:eastAsia="標楷體"/>
                <w:color w:val="000000"/>
                <w:kern w:val="0"/>
                <w:sz w:val="20"/>
                <w:szCs w:val="20"/>
              </w:rPr>
              <w:t>醫</w:t>
            </w:r>
            <w:proofErr w:type="gramEnd"/>
            <w:r>
              <w:rPr>
                <w:rFonts w:eastAsia="標楷體"/>
                <w:color w:val="000000"/>
                <w:kern w:val="0"/>
                <w:sz w:val="20"/>
                <w:szCs w:val="20"/>
              </w:rPr>
              <w:t>事服務機構有不符全民健康保險給付規定者，亦不予給付費用。</w:t>
            </w:r>
          </w:p>
          <w:p w14:paraId="2A8FA2A1" w14:textId="77777777" w:rsidR="00401786" w:rsidRDefault="00C64FB3">
            <w:pPr>
              <w:numPr>
                <w:ilvl w:val="0"/>
                <w:numId w:val="55"/>
              </w:numPr>
              <w:spacing w:line="240" w:lineRule="atLeast"/>
            </w:pPr>
            <w:r>
              <w:rPr>
                <w:rFonts w:eastAsia="標楷體"/>
                <w:color w:val="000000"/>
                <w:kern w:val="0"/>
                <w:sz w:val="20"/>
                <w:szCs w:val="20"/>
              </w:rPr>
              <w:t>對核定結果如有異議，得於收到核定通知之日起六十日內，重行填寫乙份申請書</w:t>
            </w:r>
            <w:r>
              <w:rPr>
                <w:rFonts w:eastAsia="標楷體"/>
                <w:color w:val="000000"/>
                <w:kern w:val="0"/>
                <w:sz w:val="20"/>
                <w:szCs w:val="20"/>
              </w:rPr>
              <w:t>(</w:t>
            </w:r>
            <w:r>
              <w:rPr>
                <w:rFonts w:eastAsia="標楷體"/>
                <w:color w:val="000000"/>
                <w:kern w:val="0"/>
                <w:sz w:val="20"/>
                <w:szCs w:val="20"/>
              </w:rPr>
              <w:t>應勾</w:t>
            </w:r>
            <w:proofErr w:type="gramStart"/>
            <w:r>
              <w:rPr>
                <w:rFonts w:eastAsia="標楷體"/>
                <w:color w:val="000000"/>
                <w:kern w:val="0"/>
                <w:sz w:val="20"/>
                <w:szCs w:val="20"/>
              </w:rPr>
              <w:t>註</w:t>
            </w:r>
            <w:proofErr w:type="gramEnd"/>
            <w:r>
              <w:rPr>
                <w:rFonts w:eastAsia="標楷體"/>
                <w:color w:val="000000"/>
                <w:kern w:val="0"/>
                <w:sz w:val="20"/>
                <w:szCs w:val="20"/>
              </w:rPr>
              <w:t>申復，</w:t>
            </w:r>
            <w:proofErr w:type="gramStart"/>
            <w:r>
              <w:rPr>
                <w:rFonts w:eastAsia="標楷體"/>
                <w:color w:val="000000"/>
                <w:kern w:val="0"/>
                <w:sz w:val="20"/>
                <w:szCs w:val="20"/>
              </w:rPr>
              <w:t>並填明原</w:t>
            </w:r>
            <w:proofErr w:type="gramEnd"/>
            <w:r>
              <w:rPr>
                <w:rFonts w:eastAsia="標楷體"/>
                <w:color w:val="000000"/>
                <w:kern w:val="0"/>
                <w:sz w:val="20"/>
                <w:szCs w:val="20"/>
              </w:rPr>
              <w:t>受理編號</w:t>
            </w:r>
            <w:r>
              <w:rPr>
                <w:rFonts w:eastAsia="標楷體"/>
                <w:color w:val="000000"/>
                <w:kern w:val="0"/>
                <w:sz w:val="20"/>
                <w:szCs w:val="20"/>
              </w:rPr>
              <w:t>)</w:t>
            </w:r>
            <w:r>
              <w:rPr>
                <w:rFonts w:eastAsia="標楷體"/>
                <w:color w:val="000000"/>
                <w:kern w:val="0"/>
                <w:sz w:val="20"/>
                <w:szCs w:val="20"/>
              </w:rPr>
              <w:t>向原核定單位申請複核。</w:t>
            </w:r>
          </w:p>
          <w:p w14:paraId="635EB694" w14:textId="77777777" w:rsidR="00401786" w:rsidRDefault="00C64FB3">
            <w:pPr>
              <w:numPr>
                <w:ilvl w:val="0"/>
                <w:numId w:val="55"/>
              </w:numPr>
              <w:spacing w:line="240" w:lineRule="atLeast"/>
            </w:pPr>
            <w:r>
              <w:rPr>
                <w:rFonts w:eastAsia="標楷體"/>
                <w:color w:val="000000"/>
                <w:kern w:val="0"/>
                <w:sz w:val="20"/>
                <w:szCs w:val="20"/>
              </w:rPr>
              <w:t>對複核結果如有異議，得於收到複核通知之日起六十日內向全民健康保險爭議審議會申請審議。</w:t>
            </w:r>
          </w:p>
          <w:p w14:paraId="438F3F88" w14:textId="77777777" w:rsidR="00401786" w:rsidRDefault="00C64FB3">
            <w:pPr>
              <w:numPr>
                <w:ilvl w:val="0"/>
                <w:numId w:val="55"/>
              </w:numPr>
              <w:spacing w:line="240" w:lineRule="atLeast"/>
            </w:pPr>
            <w:r>
              <w:rPr>
                <w:rFonts w:eastAsia="標楷體"/>
                <w:color w:val="000000"/>
                <w:kern w:val="0"/>
                <w:sz w:val="20"/>
                <w:szCs w:val="20"/>
              </w:rPr>
              <w:t>對核定結果有異議者，應循上述申</w:t>
            </w:r>
            <w:proofErr w:type="gramStart"/>
            <w:r>
              <w:rPr>
                <w:rFonts w:eastAsia="標楷體"/>
                <w:color w:val="000000"/>
                <w:kern w:val="0"/>
                <w:sz w:val="20"/>
                <w:szCs w:val="20"/>
              </w:rPr>
              <w:t>複</w:t>
            </w:r>
            <w:proofErr w:type="gramEnd"/>
            <w:r>
              <w:rPr>
                <w:rFonts w:eastAsia="標楷體"/>
                <w:color w:val="000000"/>
                <w:kern w:val="0"/>
                <w:sz w:val="20"/>
                <w:szCs w:val="20"/>
              </w:rPr>
              <w:t>及爭議審議途徑申請複核或審議，不得以新個案重新申請送核，否則不予受理。</w:t>
            </w:r>
          </w:p>
          <w:p w14:paraId="6985103B" w14:textId="77777777" w:rsidR="00401786" w:rsidRDefault="00C64FB3">
            <w:pPr>
              <w:numPr>
                <w:ilvl w:val="0"/>
                <w:numId w:val="55"/>
              </w:numPr>
              <w:spacing w:line="240" w:lineRule="atLeast"/>
            </w:pPr>
            <w:r>
              <w:rPr>
                <w:rFonts w:eastAsia="標楷體"/>
                <w:color w:val="000000"/>
                <w:kern w:val="0"/>
                <w:sz w:val="20"/>
                <w:szCs w:val="20"/>
              </w:rPr>
              <w:t>保險</w:t>
            </w:r>
            <w:proofErr w:type="gramStart"/>
            <w:r>
              <w:rPr>
                <w:rFonts w:eastAsia="標楷體"/>
                <w:color w:val="000000"/>
                <w:kern w:val="0"/>
                <w:sz w:val="20"/>
                <w:szCs w:val="20"/>
              </w:rPr>
              <w:t>醫</w:t>
            </w:r>
            <w:proofErr w:type="gramEnd"/>
            <w:r>
              <w:rPr>
                <w:rFonts w:eastAsia="標楷體"/>
                <w:color w:val="000000"/>
                <w:kern w:val="0"/>
                <w:sz w:val="20"/>
                <w:szCs w:val="20"/>
              </w:rPr>
              <w:t>事服務機構如因事出緊急，得以書面說明電傳保險人報備後，先行處理治療，並立即備齊應附文件備查。</w:t>
            </w:r>
          </w:p>
        </w:tc>
        <w:tc>
          <w:tcPr>
            <w:tcW w:w="4902"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0CCA0BE" w14:textId="77777777" w:rsidR="00401786" w:rsidRDefault="00401786" w:rsidP="000E757E">
            <w:pPr>
              <w:spacing w:line="240" w:lineRule="atLeast"/>
              <w:rPr>
                <w:rFonts w:ascii="標楷體" w:eastAsia="標楷體" w:hAnsi="標楷體"/>
                <w:color w:val="000000"/>
                <w:sz w:val="20"/>
                <w:szCs w:val="20"/>
              </w:rPr>
            </w:pPr>
          </w:p>
        </w:tc>
        <w:tc>
          <w:tcPr>
            <w:tcW w:w="62" w:type="dxa"/>
            <w:shd w:val="clear" w:color="auto" w:fill="auto"/>
            <w:tcMar>
              <w:top w:w="0" w:type="dxa"/>
              <w:left w:w="10" w:type="dxa"/>
              <w:bottom w:w="0" w:type="dxa"/>
              <w:right w:w="10" w:type="dxa"/>
            </w:tcMar>
          </w:tcPr>
          <w:p w14:paraId="353F75C9" w14:textId="77777777" w:rsidR="00401786" w:rsidRDefault="00401786" w:rsidP="000E757E">
            <w:pPr>
              <w:spacing w:line="240" w:lineRule="atLeast"/>
              <w:rPr>
                <w:rFonts w:ascii="標楷體" w:eastAsia="標楷體" w:hAnsi="標楷體"/>
                <w:color w:val="000000"/>
                <w:sz w:val="20"/>
                <w:szCs w:val="20"/>
              </w:rPr>
            </w:pPr>
          </w:p>
        </w:tc>
      </w:tr>
      <w:tr w:rsidR="00401786" w14:paraId="04D92B99" w14:textId="77777777" w:rsidTr="009E653D">
        <w:trPr>
          <w:cantSplit/>
          <w:trHeight w:val="973"/>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100721" w14:textId="77777777" w:rsidR="00401786" w:rsidRDefault="00401786" w:rsidP="000E757E">
            <w:pPr>
              <w:spacing w:line="240" w:lineRule="atLeast"/>
              <w:ind w:left="211" w:hanging="211"/>
              <w:rPr>
                <w:rFonts w:ascii="標楷體" w:eastAsia="標楷體" w:hAnsi="標楷體"/>
                <w:color w:val="000000"/>
              </w:rPr>
            </w:pPr>
          </w:p>
        </w:tc>
        <w:tc>
          <w:tcPr>
            <w:tcW w:w="9089"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EE59D2" w14:textId="77777777" w:rsidR="00401786" w:rsidRDefault="00401786" w:rsidP="000E757E">
            <w:pPr>
              <w:spacing w:line="240" w:lineRule="atLeast"/>
              <w:ind w:left="211" w:hanging="211"/>
              <w:rPr>
                <w:rFonts w:ascii="標楷體" w:eastAsia="標楷體" w:hAnsi="標楷體"/>
                <w:color w:val="000000"/>
              </w:rPr>
            </w:pPr>
          </w:p>
        </w:tc>
        <w:tc>
          <w:tcPr>
            <w:tcW w:w="3608"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F8CF84" w14:textId="77777777" w:rsidR="00401786" w:rsidRDefault="00C64FB3" w:rsidP="000E757E">
            <w:pPr>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        日期章戳</w:t>
            </w:r>
          </w:p>
          <w:p w14:paraId="783DC91A" w14:textId="77777777" w:rsidR="00401786" w:rsidRDefault="00401786" w:rsidP="000E757E">
            <w:pPr>
              <w:spacing w:line="240" w:lineRule="atLeast"/>
              <w:jc w:val="both"/>
              <w:rPr>
                <w:rFonts w:ascii="標楷體" w:eastAsia="標楷體" w:hAnsi="標楷體"/>
                <w:color w:val="000000"/>
              </w:rPr>
            </w:pP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58D597" w14:textId="77777777" w:rsidR="00401786" w:rsidRDefault="00C64FB3" w:rsidP="000E757E">
            <w:pPr>
              <w:spacing w:line="240" w:lineRule="atLeast"/>
            </w:pPr>
            <w:r>
              <w:rPr>
                <w:rFonts w:ascii="標楷體" w:eastAsia="標楷體" w:hAnsi="標楷體" w:cs="標楷體"/>
                <w:color w:val="000000"/>
              </w:rPr>
              <w:t>審查醫師</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06F877" w14:textId="77777777" w:rsidR="00401786" w:rsidRDefault="00401786" w:rsidP="000E757E">
            <w:pPr>
              <w:spacing w:line="240" w:lineRule="atLeast"/>
              <w:rPr>
                <w:rFonts w:ascii="標楷體" w:eastAsia="標楷體" w:hAnsi="標楷體"/>
                <w:color w:val="000000"/>
              </w:rPr>
            </w:pPr>
          </w:p>
        </w:tc>
        <w:tc>
          <w:tcPr>
            <w:tcW w:w="62" w:type="dxa"/>
            <w:shd w:val="clear" w:color="auto" w:fill="auto"/>
            <w:tcMar>
              <w:top w:w="0" w:type="dxa"/>
              <w:left w:w="10" w:type="dxa"/>
              <w:bottom w:w="0" w:type="dxa"/>
              <w:right w:w="10" w:type="dxa"/>
            </w:tcMar>
          </w:tcPr>
          <w:p w14:paraId="6276DBBF" w14:textId="77777777" w:rsidR="00401786" w:rsidRDefault="00401786" w:rsidP="000E757E">
            <w:pPr>
              <w:spacing w:line="240" w:lineRule="atLeast"/>
              <w:rPr>
                <w:rFonts w:ascii="標楷體" w:eastAsia="標楷體" w:hAnsi="標楷體"/>
                <w:color w:val="000000"/>
              </w:rPr>
            </w:pPr>
          </w:p>
        </w:tc>
      </w:tr>
      <w:tr w:rsidR="00401786" w14:paraId="052E93DF" w14:textId="77777777" w:rsidTr="009E653D">
        <w:trPr>
          <w:cantSplit/>
          <w:trHeight w:val="792"/>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6A2DB4" w14:textId="77777777" w:rsidR="00401786" w:rsidRDefault="00401786" w:rsidP="000E757E">
            <w:pPr>
              <w:spacing w:line="240" w:lineRule="atLeast"/>
              <w:ind w:left="211" w:hanging="211"/>
              <w:rPr>
                <w:rFonts w:ascii="標楷體" w:eastAsia="標楷體" w:hAnsi="標楷體"/>
                <w:color w:val="000000"/>
              </w:rPr>
            </w:pPr>
          </w:p>
        </w:tc>
        <w:tc>
          <w:tcPr>
            <w:tcW w:w="9089"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6810CE" w14:textId="77777777" w:rsidR="00401786" w:rsidRDefault="00401786" w:rsidP="000E757E">
            <w:pPr>
              <w:spacing w:line="240" w:lineRule="atLeast"/>
              <w:ind w:left="211" w:hanging="211"/>
              <w:rPr>
                <w:rFonts w:ascii="標楷體" w:eastAsia="標楷體" w:hAnsi="標楷體"/>
                <w:color w:val="000000"/>
              </w:rPr>
            </w:pPr>
          </w:p>
        </w:tc>
        <w:tc>
          <w:tcPr>
            <w:tcW w:w="3608"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599471" w14:textId="77777777" w:rsidR="00401786" w:rsidRDefault="00401786" w:rsidP="000E757E">
            <w:pPr>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A07237" w14:textId="77777777" w:rsidR="00401786" w:rsidRDefault="00401786" w:rsidP="000E757E">
            <w:pPr>
              <w:spacing w:line="240" w:lineRule="atLeast"/>
              <w:rPr>
                <w:rFonts w:ascii="標楷體" w:eastAsia="標楷體" w:hAnsi="標楷體" w:cs="標楷體"/>
                <w:color w:val="000000"/>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4A868B" w14:textId="77777777" w:rsidR="00401786" w:rsidRDefault="00401786" w:rsidP="000E757E">
            <w:pPr>
              <w:spacing w:line="240" w:lineRule="atLeast"/>
              <w:rPr>
                <w:rFonts w:ascii="標楷體" w:eastAsia="標楷體" w:hAnsi="標楷體"/>
                <w:color w:val="000000"/>
              </w:rPr>
            </w:pPr>
          </w:p>
        </w:tc>
        <w:tc>
          <w:tcPr>
            <w:tcW w:w="62" w:type="dxa"/>
            <w:shd w:val="clear" w:color="auto" w:fill="auto"/>
            <w:tcMar>
              <w:top w:w="0" w:type="dxa"/>
              <w:left w:w="10" w:type="dxa"/>
              <w:bottom w:w="0" w:type="dxa"/>
              <w:right w:w="10" w:type="dxa"/>
            </w:tcMar>
          </w:tcPr>
          <w:p w14:paraId="68183ED0" w14:textId="77777777" w:rsidR="00401786" w:rsidRDefault="00401786" w:rsidP="000E757E">
            <w:pPr>
              <w:spacing w:line="240" w:lineRule="atLeast"/>
              <w:rPr>
                <w:rFonts w:ascii="標楷體" w:eastAsia="標楷體" w:hAnsi="標楷體"/>
                <w:color w:val="000000"/>
              </w:rPr>
            </w:pPr>
          </w:p>
        </w:tc>
      </w:tr>
      <w:tr w:rsidR="008B5915" w14:paraId="351724A3" w14:textId="77777777" w:rsidTr="009E653D">
        <w:trPr>
          <w:cantSplit/>
          <w:trHeight w:val="706"/>
        </w:trPr>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7AE3CA" w14:textId="77777777" w:rsidR="008B5915" w:rsidRDefault="008B5915" w:rsidP="008B5915">
            <w:pPr>
              <w:snapToGrid w:val="0"/>
              <w:spacing w:line="240" w:lineRule="atLeast"/>
              <w:rPr>
                <w:rFonts w:ascii="標楷體" w:eastAsia="標楷體" w:hAnsi="標楷體" w:cs="標楷體"/>
                <w:color w:val="000000"/>
              </w:rPr>
            </w:pPr>
          </w:p>
          <w:p w14:paraId="66EB9179" w14:textId="3C817C99" w:rsidR="008B5915" w:rsidRDefault="008B5915" w:rsidP="008B5915">
            <w:pPr>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688"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F11E05" w14:textId="77777777" w:rsidR="008B5915" w:rsidRDefault="008B5915" w:rsidP="008B5915">
            <w:pPr>
              <w:snapToGrid w:val="0"/>
              <w:spacing w:line="240" w:lineRule="atLeast"/>
            </w:pPr>
            <w:r>
              <w:rPr>
                <w:rFonts w:ascii="標楷體" w:eastAsia="標楷體" w:hAnsi="標楷體" w:cs="標楷體"/>
                <w:color w:val="000000"/>
              </w:rPr>
              <w:t>醫院申請日期：  年  月  日</w:t>
            </w:r>
          </w:p>
          <w:p w14:paraId="57198D5E" w14:textId="77777777" w:rsidR="008B5915" w:rsidRDefault="008B5915" w:rsidP="008B5915">
            <w:pPr>
              <w:snapToGrid w:val="0"/>
              <w:spacing w:line="240" w:lineRule="atLeast"/>
              <w:rPr>
                <w:rFonts w:ascii="標楷體" w:eastAsia="標楷體" w:hAnsi="標楷體"/>
                <w:color w:val="000000"/>
              </w:rPr>
            </w:pPr>
          </w:p>
          <w:p w14:paraId="4AC99F8F" w14:textId="0A512A0A" w:rsidR="008B5915" w:rsidRDefault="008B5915" w:rsidP="008B5915">
            <w:pPr>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FB0FBC" w14:textId="686D4EFC" w:rsidR="008B5915" w:rsidRDefault="008B5915" w:rsidP="008B5915">
            <w:pPr>
              <w:widowControl/>
              <w:spacing w:line="240" w:lineRule="atLeast"/>
            </w:pPr>
            <w:r>
              <w:rPr>
                <w:rFonts w:ascii="標楷體" w:eastAsia="標楷體" w:hAnsi="標楷體" w:cs="標楷體"/>
                <w:color w:val="000000"/>
              </w:rPr>
              <w:t>承辦人</w:t>
            </w:r>
          </w:p>
        </w:tc>
        <w:tc>
          <w:tcPr>
            <w:tcW w:w="83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7C1361" w14:textId="77777777" w:rsidR="008B5915" w:rsidRDefault="008B5915" w:rsidP="008B5915">
            <w:pPr>
              <w:widowControl/>
              <w:snapToGrid w:val="0"/>
              <w:spacing w:line="240" w:lineRule="atLeast"/>
              <w:rPr>
                <w:rFonts w:ascii="標楷體" w:eastAsia="標楷體" w:hAnsi="標楷體"/>
                <w:color w:val="000000"/>
              </w:rPr>
            </w:pPr>
          </w:p>
          <w:p w14:paraId="69C47442" w14:textId="77777777" w:rsidR="008B5915" w:rsidRDefault="008B5915" w:rsidP="008B5915">
            <w:pPr>
              <w:spacing w:line="240" w:lineRule="atLeast"/>
              <w:rPr>
                <w:rFonts w:ascii="標楷體" w:eastAsia="標楷體" w:hAnsi="標楷體"/>
                <w:color w:val="00000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265BEC" w14:textId="77777777" w:rsidR="008B5915" w:rsidRDefault="008B5915" w:rsidP="008B5915">
            <w:pPr>
              <w:widowControl/>
              <w:snapToGrid w:val="0"/>
              <w:spacing w:line="240" w:lineRule="atLeast"/>
            </w:pPr>
            <w:r>
              <w:rPr>
                <w:rFonts w:ascii="標楷體" w:eastAsia="標楷體" w:hAnsi="標楷體" w:cs="標楷體"/>
                <w:color w:val="000000"/>
              </w:rPr>
              <w:t>複核</w:t>
            </w:r>
          </w:p>
          <w:p w14:paraId="30ACEEEE" w14:textId="6700576A" w:rsidR="008B5915" w:rsidRDefault="008B5915" w:rsidP="008B5915">
            <w:pPr>
              <w:widowControl/>
              <w:spacing w:line="240" w:lineRule="atLeast"/>
            </w:pPr>
          </w:p>
        </w:tc>
        <w:tc>
          <w:tcPr>
            <w:tcW w:w="83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A11B1D" w14:textId="77777777" w:rsidR="008B5915" w:rsidRDefault="008B5915" w:rsidP="008B5915">
            <w:pPr>
              <w:widowControl/>
              <w:snapToGrid w:val="0"/>
              <w:spacing w:line="240" w:lineRule="atLeast"/>
              <w:rPr>
                <w:rFonts w:ascii="標楷體" w:eastAsia="標楷體" w:hAnsi="標楷體"/>
                <w:color w:val="000000"/>
              </w:rPr>
            </w:pPr>
          </w:p>
          <w:p w14:paraId="225A89D7" w14:textId="77777777" w:rsidR="008B5915" w:rsidRDefault="008B5915" w:rsidP="008B5915">
            <w:pPr>
              <w:spacing w:line="240" w:lineRule="atLeast"/>
              <w:rPr>
                <w:rFonts w:ascii="標楷體" w:eastAsia="標楷體" w:hAnsi="標楷體"/>
                <w:color w:val="00000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66C02C" w14:textId="1DB494B6" w:rsidR="008B5915" w:rsidRDefault="008B5915" w:rsidP="008B5915">
            <w:pPr>
              <w:spacing w:line="240" w:lineRule="atLeast"/>
            </w:pPr>
            <w:r>
              <w:rPr>
                <w:rFonts w:ascii="標楷體" w:eastAsia="標楷體" w:hAnsi="標楷體" w:cs="標楷體"/>
                <w:color w:val="000000"/>
              </w:rPr>
              <w:t>科長</w:t>
            </w:r>
          </w:p>
        </w:tc>
        <w:tc>
          <w:tcPr>
            <w:tcW w:w="83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B9BEDE" w14:textId="77777777" w:rsidR="008B5915" w:rsidRDefault="008B5915" w:rsidP="008B5915">
            <w:pPr>
              <w:widowControl/>
              <w:snapToGrid w:val="0"/>
              <w:spacing w:line="240" w:lineRule="atLeast"/>
              <w:rPr>
                <w:rFonts w:ascii="標楷體" w:eastAsia="標楷體" w:hAnsi="標楷體"/>
                <w:color w:val="000000"/>
              </w:rPr>
            </w:pPr>
          </w:p>
          <w:p w14:paraId="6E343C1E" w14:textId="77777777" w:rsidR="008B5915" w:rsidRDefault="008B5915" w:rsidP="008B5915">
            <w:pPr>
              <w:spacing w:line="240" w:lineRule="atLeast"/>
              <w:rPr>
                <w:rFonts w:ascii="標楷體" w:eastAsia="標楷體" w:hAnsi="標楷體"/>
                <w:color w:val="00000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8A95C" w14:textId="77777777" w:rsidR="008B5915" w:rsidRDefault="008B5915" w:rsidP="008B5915">
            <w:pPr>
              <w:widowControl/>
              <w:snapToGrid w:val="0"/>
              <w:spacing w:line="240" w:lineRule="atLeast"/>
            </w:pPr>
            <w:r>
              <w:rPr>
                <w:rFonts w:ascii="標楷體" w:eastAsia="標楷體" w:hAnsi="標楷體" w:cs="標楷體"/>
                <w:color w:val="000000"/>
              </w:rPr>
              <w:t>決行</w:t>
            </w:r>
          </w:p>
          <w:p w14:paraId="64F340AF" w14:textId="77DC1FB0" w:rsidR="008B5915" w:rsidRDefault="008B5915" w:rsidP="008B5915">
            <w:pPr>
              <w:widowControl/>
              <w:spacing w:line="240" w:lineRule="atLeast"/>
            </w:pPr>
          </w:p>
        </w:tc>
        <w:tc>
          <w:tcPr>
            <w:tcW w:w="95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46032B" w14:textId="77777777" w:rsidR="008B5915" w:rsidRDefault="008B5915" w:rsidP="008B5915">
            <w:pPr>
              <w:widowControl/>
              <w:snapToGrid w:val="0"/>
              <w:spacing w:line="240" w:lineRule="atLeast"/>
              <w:rPr>
                <w:rFonts w:ascii="標楷體" w:eastAsia="標楷體" w:hAnsi="標楷體"/>
                <w:color w:val="000000"/>
              </w:rPr>
            </w:pPr>
          </w:p>
          <w:p w14:paraId="6177377C" w14:textId="77777777" w:rsidR="008B5915" w:rsidRDefault="008B5915" w:rsidP="008B5915">
            <w:pPr>
              <w:spacing w:line="240" w:lineRule="atLeast"/>
              <w:rPr>
                <w:rFonts w:ascii="標楷體" w:eastAsia="標楷體" w:hAnsi="標楷體"/>
                <w:color w:val="000000"/>
              </w:rPr>
            </w:pPr>
          </w:p>
        </w:tc>
        <w:tc>
          <w:tcPr>
            <w:tcW w:w="62" w:type="dxa"/>
            <w:shd w:val="clear" w:color="auto" w:fill="auto"/>
            <w:tcMar>
              <w:top w:w="0" w:type="dxa"/>
              <w:left w:w="10" w:type="dxa"/>
              <w:bottom w:w="0" w:type="dxa"/>
              <w:right w:w="10" w:type="dxa"/>
            </w:tcMar>
          </w:tcPr>
          <w:p w14:paraId="359876ED" w14:textId="77777777" w:rsidR="008B5915" w:rsidRDefault="008B5915" w:rsidP="008B5915">
            <w:pPr>
              <w:spacing w:line="240" w:lineRule="atLeast"/>
              <w:rPr>
                <w:rFonts w:ascii="標楷體" w:eastAsia="標楷體" w:hAnsi="標楷體"/>
                <w:color w:val="000000"/>
              </w:rPr>
            </w:pPr>
          </w:p>
        </w:tc>
      </w:tr>
    </w:tbl>
    <w:p w14:paraId="53E54014" w14:textId="42BCF3D7" w:rsidR="00401786" w:rsidRPr="00455C9A" w:rsidRDefault="00C64FB3" w:rsidP="009E653D">
      <w:pPr>
        <w:pStyle w:val="Web"/>
        <w:pageBreakBefore/>
        <w:widowControl w:val="0"/>
        <w:snapToGrid w:val="0"/>
        <w:spacing w:before="0" w:after="0" w:line="240" w:lineRule="atLeast"/>
        <w:ind w:firstLineChars="177" w:firstLine="425"/>
        <w:jc w:val="both"/>
        <w:rPr>
          <w:b/>
          <w:bCs/>
        </w:rPr>
      </w:pPr>
      <w:r w:rsidRPr="00455C9A">
        <w:rPr>
          <w:rFonts w:ascii="標楷體" w:eastAsia="標楷體" w:hAnsi="標楷體" w:cs="標楷體"/>
          <w:b/>
          <w:bCs/>
          <w:color w:val="000000"/>
        </w:rPr>
        <w:lastRenderedPageBreak/>
        <w:t>附表八之三</w:t>
      </w:r>
      <w:r w:rsidR="00455C9A">
        <w:rPr>
          <w:rFonts w:ascii="標楷體" w:eastAsia="標楷體" w:hAnsi="標楷體" w:cs="標楷體" w:hint="eastAsia"/>
          <w:b/>
          <w:bCs/>
          <w:color w:val="000000"/>
        </w:rPr>
        <w:t xml:space="preserve"> </w:t>
      </w:r>
      <w:r w:rsidRPr="00455C9A">
        <w:rPr>
          <w:rFonts w:ascii="標楷體" w:eastAsia="標楷體" w:hAnsi="標楷體" w:cs="標楷體"/>
          <w:b/>
          <w:bCs/>
          <w:color w:val="000000"/>
        </w:rPr>
        <w:t>全民健康保險使用抗癌藥</w:t>
      </w:r>
      <w:r w:rsidRPr="00455C9A">
        <w:rPr>
          <w:rFonts w:ascii="標楷體" w:eastAsia="標楷體" w:hAnsi="標楷體" w:cs="Times New Roman"/>
          <w:b/>
          <w:bCs/>
          <w:color w:val="000000"/>
        </w:rPr>
        <w:t>品Pemetrexed</w:t>
      </w:r>
      <w:r w:rsidRPr="00455C9A">
        <w:rPr>
          <w:rFonts w:ascii="標楷體" w:eastAsia="標楷體" w:hAnsi="標楷體" w:cs="標楷體"/>
          <w:b/>
          <w:bCs/>
          <w:color w:val="000000"/>
        </w:rPr>
        <w:t>申請表</w:t>
      </w:r>
    </w:p>
    <w:tbl>
      <w:tblPr>
        <w:tblW w:w="14015" w:type="dxa"/>
        <w:tblInd w:w="421" w:type="dxa"/>
        <w:tblLayout w:type="fixed"/>
        <w:tblCellMar>
          <w:left w:w="10" w:type="dxa"/>
          <w:right w:w="10" w:type="dxa"/>
        </w:tblCellMar>
        <w:tblLook w:val="0000" w:firstRow="0" w:lastRow="0" w:firstColumn="0" w:lastColumn="0" w:noHBand="0" w:noVBand="0"/>
      </w:tblPr>
      <w:tblGrid>
        <w:gridCol w:w="850"/>
        <w:gridCol w:w="425"/>
        <w:gridCol w:w="726"/>
        <w:gridCol w:w="359"/>
        <w:gridCol w:w="75"/>
        <w:gridCol w:w="284"/>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39CECB3D" w14:textId="77777777">
        <w:trPr>
          <w:cantSplit/>
          <w:trHeight w:val="416"/>
        </w:trPr>
        <w:tc>
          <w:tcPr>
            <w:tcW w:w="2001" w:type="dxa"/>
            <w:gridSpan w:val="3"/>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1CD82851"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8F783B"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0429E1"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C76A4A"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4572A6"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84C1503" w14:textId="77777777" w:rsidR="00401786" w:rsidRDefault="00401786" w:rsidP="000E757E">
            <w:pPr>
              <w:snapToGrid w:val="0"/>
              <w:spacing w:line="240" w:lineRule="atLeast"/>
              <w:rPr>
                <w:rFonts w:ascii="標楷體" w:eastAsia="標楷體" w:hAnsi="標楷體"/>
              </w:rPr>
            </w:pPr>
          </w:p>
        </w:tc>
      </w:tr>
      <w:tr w:rsidR="00401786" w14:paraId="690C96FB" w14:textId="77777777">
        <w:trPr>
          <w:cantSplit/>
          <w:trHeight w:val="517"/>
        </w:trPr>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57B10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2E8F5D"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0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3EC35E"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D9CC2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0D7A00A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C781CF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46FC6488"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A99AB5"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101C6"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CDD19B"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EF2EDB"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E551AA"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5F7AB2E2"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2D76ED"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380803"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98317C"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1AF318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38FF837" w14:textId="77777777">
        <w:trPr>
          <w:cantSplit/>
          <w:trHeight w:val="530"/>
        </w:trPr>
        <w:tc>
          <w:tcPr>
            <w:tcW w:w="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091432" w14:textId="77777777" w:rsidR="00401786" w:rsidRDefault="00401786" w:rsidP="000E757E">
            <w:pPr>
              <w:snapToGrid w:val="0"/>
              <w:spacing w:line="240" w:lineRule="atLeast"/>
              <w:rPr>
                <w:rFonts w:ascii="標楷體" w:eastAsia="標楷體" w:hAnsi="標楷體"/>
                <w:color w:val="000000"/>
                <w:sz w:val="20"/>
                <w:szCs w:val="2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58830E"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0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86F1B"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BB0912"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57BC19"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16D7ECA4"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9E1615"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C220E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05755919"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E7CE75"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E7FEB9"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23DD18"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E5C30D"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78A1AF"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FC039"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EDDF1B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52DC2B5" w14:textId="77777777">
        <w:trPr>
          <w:cantSplit/>
          <w:trHeight w:val="401"/>
        </w:trPr>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3228ED"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04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58E8DC"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EA14D0"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2D680D"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FD7133"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5EC6707"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4939458B" w14:textId="77777777" w:rsidR="00401786" w:rsidRDefault="00401786" w:rsidP="000E757E">
            <w:pPr>
              <w:snapToGrid w:val="0"/>
              <w:spacing w:line="240" w:lineRule="atLeast"/>
              <w:rPr>
                <w:rFonts w:ascii="標楷體" w:eastAsia="標楷體" w:hAnsi="標楷體"/>
              </w:rPr>
            </w:pPr>
          </w:p>
        </w:tc>
      </w:tr>
      <w:tr w:rsidR="00401786" w14:paraId="121C0C64" w14:textId="77777777">
        <w:trPr>
          <w:cantSplit/>
        </w:trPr>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937218"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8CE27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4954"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D9416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AEF98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4DA7026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145E9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777DCEFF"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07B0E6A"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7BE4C30F" w14:textId="77777777" w:rsidR="00401786" w:rsidRDefault="00401786" w:rsidP="000E757E">
            <w:pPr>
              <w:snapToGrid w:val="0"/>
              <w:spacing w:line="240" w:lineRule="atLeast"/>
              <w:jc w:val="center"/>
              <w:rPr>
                <w:rFonts w:ascii="標楷體" w:eastAsia="標楷體" w:hAnsi="標楷體"/>
              </w:rPr>
            </w:pPr>
          </w:p>
        </w:tc>
      </w:tr>
      <w:tr w:rsidR="00401786" w14:paraId="40E2A756" w14:textId="77777777">
        <w:trPr>
          <w:cantSplit/>
          <w:trHeight w:val="2910"/>
        </w:trPr>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140835"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r>
              <w:rPr>
                <w:rFonts w:ascii="標楷體" w:eastAsia="標楷體" w:hAnsi="標楷體"/>
                <w:color w:val="000000"/>
                <w:sz w:val="20"/>
                <w:szCs w:val="20"/>
              </w:rPr>
              <w:t>Alimta</w:t>
            </w:r>
          </w:p>
          <w:p w14:paraId="708BB5B6"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B024084277</w:t>
            </w:r>
          </w:p>
          <w:p w14:paraId="3AC70CDD"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B024874255</w:t>
            </w:r>
          </w:p>
          <w:p w14:paraId="01455CF8" w14:textId="77777777" w:rsidR="00401786" w:rsidRDefault="00401786" w:rsidP="000E757E">
            <w:pPr>
              <w:snapToGrid w:val="0"/>
              <w:spacing w:line="240" w:lineRule="atLeast"/>
              <w:rPr>
                <w:rFonts w:ascii="標楷體" w:eastAsia="標楷體" w:hAnsi="標楷體"/>
                <w:color w:val="000000"/>
                <w:sz w:val="20"/>
                <w:szCs w:val="20"/>
              </w:rPr>
            </w:pPr>
          </w:p>
        </w:tc>
        <w:tc>
          <w:tcPr>
            <w:tcW w:w="1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0C5209"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3CB40919"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p w14:paraId="61CDE39D" w14:textId="77777777" w:rsidR="00401786" w:rsidRDefault="00401786" w:rsidP="000E757E">
            <w:pPr>
              <w:snapToGrid w:val="0"/>
              <w:spacing w:before="180" w:line="240" w:lineRule="atLeast"/>
              <w:ind w:left="168" w:hanging="142"/>
              <w:rPr>
                <w:rFonts w:ascii="標楷體" w:eastAsia="標楷體" w:hAnsi="標楷體"/>
                <w:color w:val="000000"/>
                <w:sz w:val="20"/>
                <w:szCs w:val="20"/>
              </w:rPr>
            </w:pPr>
          </w:p>
        </w:tc>
        <w:tc>
          <w:tcPr>
            <w:tcW w:w="4954"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A1EE94" w14:textId="77777777" w:rsidR="00401786" w:rsidRDefault="00C64FB3" w:rsidP="000E757E">
            <w:pPr>
              <w:snapToGrid w:val="0"/>
              <w:spacing w:before="180" w:after="180" w:line="240" w:lineRule="atLeast"/>
            </w:pPr>
            <w:r>
              <w:rPr>
                <w:rFonts w:ascii="標楷體" w:eastAsia="標楷體" w:hAnsi="標楷體" w:cs="標楷體"/>
                <w:color w:val="000000"/>
                <w:sz w:val="20"/>
                <w:szCs w:val="20"/>
              </w:rPr>
              <w:t>□</w:t>
            </w:r>
            <w:r>
              <w:rPr>
                <w:rFonts w:ascii="標楷體" w:eastAsia="標楷體" w:hAnsi="標楷體"/>
                <w:color w:val="000000"/>
                <w:sz w:val="20"/>
                <w:szCs w:val="20"/>
              </w:rPr>
              <w:t>與cisplatin</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用於惡性</w:t>
            </w:r>
            <w:proofErr w:type="gramStart"/>
            <w:r>
              <w:rPr>
                <w:rFonts w:ascii="標楷體" w:eastAsia="標楷體" w:hAnsi="標楷體"/>
                <w:color w:val="000000"/>
                <w:sz w:val="20"/>
                <w:szCs w:val="20"/>
              </w:rPr>
              <w:t>肋膜間質細胞</w:t>
            </w:r>
            <w:proofErr w:type="gramEnd"/>
            <w:r>
              <w:rPr>
                <w:rFonts w:ascii="標楷體" w:eastAsia="標楷體" w:hAnsi="標楷體"/>
                <w:color w:val="000000"/>
                <w:sz w:val="20"/>
                <w:szCs w:val="20"/>
              </w:rPr>
              <w:t>瘤</w:t>
            </w:r>
          </w:p>
          <w:p w14:paraId="094A76DD" w14:textId="77777777" w:rsidR="00401786" w:rsidRDefault="00C64FB3" w:rsidP="000E757E">
            <w:pPr>
              <w:snapToGrid w:val="0"/>
              <w:spacing w:after="180" w:line="240" w:lineRule="atLeast"/>
              <w:ind w:left="200" w:hanging="200"/>
            </w:pPr>
            <w:r>
              <w:rPr>
                <w:rFonts w:ascii="標楷體" w:eastAsia="標楷體" w:hAnsi="標楷體" w:cs="標楷體"/>
                <w:color w:val="000000"/>
                <w:sz w:val="20"/>
                <w:szCs w:val="20"/>
              </w:rPr>
              <w:t>□以含鉑之化學療法治療</w:t>
            </w:r>
            <w:r>
              <w:rPr>
                <w:rFonts w:ascii="標楷體" w:eastAsia="標楷體" w:hAnsi="標楷體"/>
                <w:color w:val="000000"/>
                <w:sz w:val="20"/>
                <w:szCs w:val="20"/>
              </w:rPr>
              <w:t>或70歲(含)以上接受過第一線化學治療，但仍失敗之局部晚期或</w:t>
            </w:r>
            <w:proofErr w:type="gramStart"/>
            <w:r>
              <w:rPr>
                <w:rFonts w:ascii="標楷體" w:eastAsia="標楷體" w:hAnsi="標楷體"/>
                <w:color w:val="000000"/>
                <w:sz w:val="20"/>
                <w:szCs w:val="20"/>
              </w:rPr>
              <w:t>轉移性非小</w:t>
            </w:r>
            <w:proofErr w:type="gramEnd"/>
            <w:r>
              <w:rPr>
                <w:rFonts w:ascii="標楷體" w:eastAsia="標楷體" w:hAnsi="標楷體"/>
                <w:color w:val="000000"/>
                <w:sz w:val="20"/>
                <w:szCs w:val="20"/>
              </w:rPr>
              <w:t>細胞肺癌病患（顯著鱗狀細胞組織型除外）之單一藥物治療。</w:t>
            </w:r>
          </w:p>
          <w:p w14:paraId="08BEC0A0" w14:textId="77777777" w:rsidR="00401786" w:rsidRDefault="00C64FB3" w:rsidP="000E757E">
            <w:pPr>
              <w:snapToGrid w:val="0"/>
              <w:spacing w:after="180" w:line="240" w:lineRule="atLeast"/>
              <w:ind w:left="200" w:hanging="200"/>
            </w:pPr>
            <w:r>
              <w:rPr>
                <w:rFonts w:ascii="標楷體" w:eastAsia="標楷體" w:hAnsi="標楷體" w:cs="標楷體"/>
                <w:color w:val="000000"/>
                <w:sz w:val="20"/>
                <w:szCs w:val="20"/>
              </w:rPr>
              <w:t>□</w:t>
            </w:r>
            <w:r>
              <w:rPr>
                <w:rFonts w:ascii="標楷體" w:eastAsia="標楷體" w:hAnsi="標楷體"/>
                <w:color w:val="000000"/>
                <w:sz w:val="20"/>
                <w:szCs w:val="20"/>
              </w:rPr>
              <w:t>與</w:t>
            </w:r>
            <w:proofErr w:type="gramStart"/>
            <w:r>
              <w:rPr>
                <w:rFonts w:ascii="標楷體" w:eastAsia="標楷體" w:hAnsi="標楷體"/>
                <w:color w:val="000000"/>
                <w:sz w:val="20"/>
                <w:szCs w:val="20"/>
              </w:rPr>
              <w:t>含鉑類之</w:t>
            </w:r>
            <w:proofErr w:type="gramEnd"/>
            <w:r>
              <w:rPr>
                <w:rFonts w:ascii="標楷體" w:eastAsia="標楷體" w:hAnsi="標楷體"/>
                <w:color w:val="000000"/>
                <w:sz w:val="20"/>
                <w:szCs w:val="20"/>
              </w:rPr>
              <w:t>化學療法</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用，作為治療局部晚期或</w:t>
            </w:r>
            <w:proofErr w:type="gramStart"/>
            <w:r>
              <w:rPr>
                <w:rFonts w:ascii="標楷體" w:eastAsia="標楷體" w:hAnsi="標楷體"/>
                <w:color w:val="000000"/>
                <w:sz w:val="20"/>
                <w:szCs w:val="20"/>
              </w:rPr>
              <w:t>轉移性非小</w:t>
            </w:r>
            <w:proofErr w:type="gramEnd"/>
            <w:r>
              <w:rPr>
                <w:rFonts w:ascii="標楷體" w:eastAsia="標楷體" w:hAnsi="標楷體"/>
                <w:color w:val="000000"/>
                <w:sz w:val="20"/>
                <w:szCs w:val="20"/>
              </w:rPr>
              <w:t>細胞肺癌（顯著鱗狀細胞組織型除外）之第一線化療用藥，且限用於</w:t>
            </w:r>
            <w:proofErr w:type="spellStart"/>
            <w:r>
              <w:rPr>
                <w:rFonts w:ascii="標楷體" w:eastAsia="標楷體" w:hAnsi="標楷體"/>
                <w:color w:val="000000"/>
                <w:sz w:val="20"/>
                <w:szCs w:val="20"/>
              </w:rPr>
              <w:t>ECOGperformancestatus</w:t>
            </w:r>
            <w:proofErr w:type="spellEnd"/>
            <w:r>
              <w:rPr>
                <w:rFonts w:ascii="標楷體" w:eastAsia="標楷體" w:hAnsi="標楷體"/>
                <w:color w:val="000000"/>
                <w:sz w:val="20"/>
                <w:szCs w:val="20"/>
              </w:rPr>
              <w:t>為0~1之</w:t>
            </w:r>
            <w:r>
              <w:rPr>
                <w:rFonts w:ascii="標楷體" w:eastAsia="標楷體" w:hAnsi="標楷體" w:cs="標楷體"/>
                <w:color w:val="000000"/>
                <w:sz w:val="20"/>
                <w:szCs w:val="20"/>
              </w:rPr>
              <w:t>病患。</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F0606B"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AF9561"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3028008" w14:textId="77777777" w:rsidR="00401786" w:rsidRDefault="00C64FB3">
            <w:pPr>
              <w:numPr>
                <w:ilvl w:val="0"/>
                <w:numId w:val="56"/>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71F68BEB"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1A62AE7C"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56CC851E"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F1BA0F8"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61FB3876"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7DB1F622"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2F3C6C71"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3C18E8B8" w14:textId="77777777" w:rsidR="00401786" w:rsidRDefault="00C64FB3">
            <w:pPr>
              <w:numPr>
                <w:ilvl w:val="0"/>
                <w:numId w:val="5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2A4A121" w14:textId="77777777" w:rsidR="00401786" w:rsidRDefault="00C64FB3">
            <w:pPr>
              <w:numPr>
                <w:ilvl w:val="0"/>
                <w:numId w:val="5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20C63101" w14:textId="77777777" w:rsidR="00401786" w:rsidRDefault="00C64FB3">
            <w:pPr>
              <w:numPr>
                <w:ilvl w:val="0"/>
                <w:numId w:val="56"/>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6E52A7D0"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73FCB618"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413462A8" w14:textId="77777777">
        <w:trPr>
          <w:cantSplit/>
          <w:trHeight w:val="916"/>
        </w:trPr>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A6861"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25C33EC9"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8219"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4C6DED"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521ECD2"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「原受理編號」申復時填寫，初次送核不需填寫。</w:t>
            </w:r>
          </w:p>
          <w:p w14:paraId="61871851"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16BCC813"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635442EA"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3297E5D2"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085888D4"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785D0D5"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3A94E79"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7FB0521" w14:textId="77777777">
        <w:trPr>
          <w:cantSplit/>
          <w:trHeight w:val="960"/>
        </w:trPr>
        <w:tc>
          <w:tcPr>
            <w:tcW w:w="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B993B0" w14:textId="77777777" w:rsidR="00401786" w:rsidRDefault="00401786" w:rsidP="000E757E">
            <w:pPr>
              <w:snapToGrid w:val="0"/>
              <w:spacing w:line="240" w:lineRule="atLeast"/>
              <w:ind w:left="211" w:hanging="211"/>
              <w:rPr>
                <w:rFonts w:ascii="標楷體" w:eastAsia="標楷體" w:hAnsi="標楷體"/>
                <w:color w:val="000000"/>
              </w:rPr>
            </w:pPr>
          </w:p>
        </w:tc>
        <w:tc>
          <w:tcPr>
            <w:tcW w:w="8219"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637373"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50B235" w14:textId="77777777" w:rsidR="00401786" w:rsidRDefault="00401786" w:rsidP="000E757E">
            <w:pPr>
              <w:snapToGrid w:val="0"/>
              <w:spacing w:line="240" w:lineRule="atLeast"/>
              <w:jc w:val="both"/>
              <w:rPr>
                <w:rFonts w:ascii="標楷體" w:eastAsia="標楷體" w:hAnsi="標楷體"/>
                <w:color w:val="000000"/>
              </w:rPr>
            </w:pPr>
          </w:p>
          <w:p w14:paraId="7BD17444"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2D664CD1"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489DA7FF"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6342B2B5"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CEB820"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7A6C74"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249F8D43" w14:textId="77777777" w:rsidR="00401786" w:rsidRDefault="00401786" w:rsidP="000E757E">
            <w:pPr>
              <w:snapToGrid w:val="0"/>
              <w:spacing w:line="240" w:lineRule="atLeast"/>
              <w:rPr>
                <w:rFonts w:ascii="標楷體" w:eastAsia="標楷體" w:hAnsi="標楷體"/>
                <w:color w:val="000000"/>
              </w:rPr>
            </w:pPr>
          </w:p>
        </w:tc>
      </w:tr>
      <w:tr w:rsidR="00401786" w14:paraId="2934FFCF" w14:textId="77777777">
        <w:trPr>
          <w:cantSplit/>
          <w:trHeight w:val="779"/>
        </w:trPr>
        <w:tc>
          <w:tcPr>
            <w:tcW w:w="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0088E6" w14:textId="77777777" w:rsidR="00401786" w:rsidRDefault="00401786" w:rsidP="000E757E">
            <w:pPr>
              <w:snapToGrid w:val="0"/>
              <w:spacing w:line="240" w:lineRule="atLeast"/>
              <w:ind w:left="211" w:hanging="211"/>
              <w:rPr>
                <w:rFonts w:ascii="標楷體" w:eastAsia="標楷體" w:hAnsi="標楷體"/>
                <w:color w:val="000000"/>
              </w:rPr>
            </w:pPr>
          </w:p>
        </w:tc>
        <w:tc>
          <w:tcPr>
            <w:tcW w:w="8219"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0A516"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1A2C6A"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2695E0"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50BB7F"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535BA32" w14:textId="77777777" w:rsidR="00401786" w:rsidRDefault="00401786" w:rsidP="000E757E">
            <w:pPr>
              <w:snapToGrid w:val="0"/>
              <w:spacing w:line="240" w:lineRule="atLeast"/>
              <w:rPr>
                <w:rFonts w:ascii="標楷體" w:eastAsia="標楷體" w:hAnsi="標楷體"/>
                <w:color w:val="000000"/>
              </w:rPr>
            </w:pPr>
          </w:p>
        </w:tc>
      </w:tr>
      <w:tr w:rsidR="00401786" w14:paraId="3CF1F8AA" w14:textId="77777777">
        <w:trPr>
          <w:cantSplit/>
          <w:trHeight w:val="706"/>
        </w:trPr>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46748C" w14:textId="77777777" w:rsidR="00401786" w:rsidRDefault="00401786" w:rsidP="000E757E">
            <w:pPr>
              <w:snapToGrid w:val="0"/>
              <w:spacing w:line="240" w:lineRule="atLeast"/>
              <w:rPr>
                <w:rFonts w:ascii="標楷體" w:eastAsia="標楷體" w:hAnsi="標楷體" w:cs="標楷體"/>
                <w:color w:val="000000"/>
              </w:rPr>
            </w:pPr>
          </w:p>
          <w:p w14:paraId="36F22296"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p w14:paraId="0225948F" w14:textId="77777777" w:rsidR="00401786" w:rsidRDefault="00401786" w:rsidP="000E757E">
            <w:pPr>
              <w:snapToGrid w:val="0"/>
              <w:spacing w:line="240" w:lineRule="atLeast"/>
              <w:rPr>
                <w:rFonts w:ascii="標楷體" w:eastAsia="標楷體" w:hAnsi="標楷體"/>
                <w:color w:val="000000"/>
              </w:rPr>
            </w:pPr>
          </w:p>
        </w:tc>
        <w:tc>
          <w:tcPr>
            <w:tcW w:w="8219"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C0F109"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62EBE439" w14:textId="77777777" w:rsidR="00401786" w:rsidRDefault="00401786" w:rsidP="000E757E">
            <w:pPr>
              <w:snapToGrid w:val="0"/>
              <w:spacing w:line="240" w:lineRule="atLeast"/>
              <w:rPr>
                <w:rFonts w:ascii="標楷體" w:eastAsia="標楷體" w:hAnsi="標楷體"/>
                <w:color w:val="000000"/>
              </w:rPr>
            </w:pPr>
          </w:p>
          <w:p w14:paraId="0E9F5C84"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ACE675"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11DA51" w14:textId="77777777" w:rsidR="00401786" w:rsidRDefault="00401786" w:rsidP="000E757E">
            <w:pPr>
              <w:widowControl/>
              <w:snapToGrid w:val="0"/>
              <w:spacing w:line="240" w:lineRule="atLeast"/>
              <w:rPr>
                <w:rFonts w:ascii="標楷體" w:eastAsia="標楷體" w:hAnsi="標楷體"/>
                <w:color w:val="000000"/>
              </w:rPr>
            </w:pPr>
          </w:p>
          <w:p w14:paraId="5DF117A9" w14:textId="77777777" w:rsidR="00401786" w:rsidRDefault="00401786" w:rsidP="000E757E">
            <w:pPr>
              <w:snapToGrid w:val="0"/>
              <w:spacing w:line="240" w:lineRule="atLeast"/>
              <w:rPr>
                <w:rFonts w:ascii="標楷體" w:eastAsia="標楷體" w:hAnsi="標楷體"/>
                <w:color w:val="00000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259E1E"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0F2F91B5" w14:textId="77777777" w:rsidR="00401786" w:rsidRDefault="00401786" w:rsidP="000E757E">
            <w:pPr>
              <w:widowControl/>
              <w:snapToGrid w:val="0"/>
              <w:spacing w:line="240" w:lineRule="atLeast"/>
              <w:rPr>
                <w:rFonts w:ascii="標楷體" w:eastAsia="標楷體" w:hAnsi="標楷體"/>
                <w:color w:val="00000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F5980F" w14:textId="77777777" w:rsidR="00401786" w:rsidRDefault="00401786" w:rsidP="000E757E">
            <w:pPr>
              <w:widowControl/>
              <w:snapToGrid w:val="0"/>
              <w:spacing w:line="240" w:lineRule="atLeast"/>
              <w:rPr>
                <w:rFonts w:ascii="標楷體" w:eastAsia="標楷體" w:hAnsi="標楷體"/>
                <w:color w:val="000000"/>
              </w:rPr>
            </w:pPr>
          </w:p>
          <w:p w14:paraId="1ED73FFB" w14:textId="77777777" w:rsidR="00401786" w:rsidRDefault="00401786" w:rsidP="000E757E">
            <w:pPr>
              <w:snapToGrid w:val="0"/>
              <w:spacing w:line="240" w:lineRule="atLeast"/>
              <w:rPr>
                <w:rFonts w:ascii="標楷體" w:eastAsia="標楷體" w:hAnsi="標楷體"/>
                <w:color w:val="00000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BE536E" w14:textId="77777777" w:rsidR="00401786" w:rsidRDefault="00C64FB3" w:rsidP="000E757E">
            <w:pPr>
              <w:snapToGrid w:val="0"/>
              <w:spacing w:line="240" w:lineRule="atLeast"/>
            </w:pPr>
            <w:r>
              <w:rPr>
                <w:rFonts w:ascii="標楷體" w:eastAsia="標楷體" w:hAnsi="標楷體" w:cs="標楷體"/>
                <w:color w:val="00000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93753C" w14:textId="77777777" w:rsidR="00401786" w:rsidRDefault="00401786" w:rsidP="000E757E">
            <w:pPr>
              <w:widowControl/>
              <w:snapToGrid w:val="0"/>
              <w:spacing w:line="240" w:lineRule="atLeast"/>
              <w:rPr>
                <w:rFonts w:ascii="標楷體" w:eastAsia="標楷體" w:hAnsi="標楷體"/>
                <w:color w:val="000000"/>
              </w:rPr>
            </w:pPr>
          </w:p>
          <w:p w14:paraId="26054335" w14:textId="77777777" w:rsidR="00401786" w:rsidRDefault="00401786" w:rsidP="000E757E">
            <w:pPr>
              <w:snapToGrid w:val="0"/>
              <w:spacing w:line="240" w:lineRule="atLeast"/>
              <w:rPr>
                <w:rFonts w:ascii="標楷體" w:eastAsia="標楷體" w:hAnsi="標楷體"/>
                <w:color w:val="00000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F01BE0"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406A2F20" w14:textId="77777777" w:rsidR="00401786" w:rsidRDefault="00401786" w:rsidP="000E757E">
            <w:pPr>
              <w:widowControl/>
              <w:snapToGrid w:val="0"/>
              <w:spacing w:line="240" w:lineRule="atLeast"/>
              <w:rPr>
                <w:rFonts w:ascii="標楷體" w:eastAsia="標楷體" w:hAnsi="標楷體"/>
                <w:color w:val="00000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9EB4CB" w14:textId="77777777" w:rsidR="00401786" w:rsidRDefault="00401786" w:rsidP="000E757E">
            <w:pPr>
              <w:widowControl/>
              <w:snapToGrid w:val="0"/>
              <w:spacing w:line="240" w:lineRule="atLeast"/>
              <w:rPr>
                <w:rFonts w:ascii="標楷體" w:eastAsia="標楷體" w:hAnsi="標楷體"/>
                <w:color w:val="000000"/>
              </w:rPr>
            </w:pPr>
          </w:p>
          <w:p w14:paraId="178AA53E" w14:textId="77777777" w:rsidR="00401786" w:rsidRDefault="00401786" w:rsidP="000E757E">
            <w:pPr>
              <w:snapToGrid w:val="0"/>
              <w:spacing w:line="240" w:lineRule="atLeast"/>
              <w:rPr>
                <w:rFonts w:ascii="標楷體" w:eastAsia="標楷體" w:hAnsi="標楷體"/>
                <w:color w:val="000000"/>
              </w:rPr>
            </w:pPr>
          </w:p>
        </w:tc>
      </w:tr>
    </w:tbl>
    <w:p w14:paraId="29DD73FE" w14:textId="0941143C" w:rsidR="00401786" w:rsidRPr="00F37647" w:rsidRDefault="00C64FB3" w:rsidP="009E653D">
      <w:pPr>
        <w:pStyle w:val="Web"/>
        <w:pageBreakBefore/>
        <w:widowControl w:val="0"/>
        <w:snapToGrid w:val="0"/>
        <w:spacing w:before="0" w:after="0" w:line="240" w:lineRule="atLeast"/>
        <w:ind w:firstLineChars="177" w:firstLine="425"/>
        <w:jc w:val="both"/>
        <w:rPr>
          <w:b/>
          <w:bCs/>
        </w:rPr>
      </w:pPr>
      <w:r w:rsidRPr="00F37647">
        <w:rPr>
          <w:rFonts w:ascii="標楷體" w:eastAsia="標楷體" w:hAnsi="標楷體" w:cs="標楷體"/>
          <w:b/>
          <w:bCs/>
          <w:color w:val="000000"/>
        </w:rPr>
        <w:lastRenderedPageBreak/>
        <w:t>附表八之四</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proofErr w:type="spellStart"/>
      <w:r w:rsidRPr="00F37647">
        <w:rPr>
          <w:rFonts w:ascii="標楷體" w:eastAsia="標楷體" w:hAnsi="標楷體" w:cs="Times New Roman"/>
          <w:b/>
          <w:bCs/>
          <w:color w:val="000000"/>
        </w:rPr>
        <w:t>Carmustine</w:t>
      </w:r>
      <w:proofErr w:type="spellEnd"/>
      <w:proofErr w:type="gramStart"/>
      <w:r w:rsidRPr="00F37647">
        <w:rPr>
          <w:rFonts w:ascii="標楷體" w:eastAsia="標楷體" w:hAnsi="標楷體" w:cs="Times New Roman"/>
          <w:b/>
          <w:bCs/>
          <w:color w:val="000000"/>
        </w:rPr>
        <w:t>植入劑</w:t>
      </w:r>
      <w:r w:rsidRPr="00F37647">
        <w:rPr>
          <w:rFonts w:ascii="標楷體" w:eastAsia="標楷體" w:hAnsi="標楷體" w:cs="標楷體"/>
          <w:b/>
          <w:bCs/>
          <w:color w:val="000000"/>
        </w:rPr>
        <w:t>申請表</w:t>
      </w:r>
      <w:proofErr w:type="gramEnd"/>
    </w:p>
    <w:tbl>
      <w:tblPr>
        <w:tblW w:w="14007" w:type="dxa"/>
        <w:tblInd w:w="421" w:type="dxa"/>
        <w:tblLayout w:type="fixed"/>
        <w:tblCellMar>
          <w:left w:w="10" w:type="dxa"/>
          <w:right w:w="10" w:type="dxa"/>
        </w:tblCellMar>
        <w:tblLook w:val="0000" w:firstRow="0" w:lastRow="0" w:firstColumn="0" w:lastColumn="0" w:noHBand="0" w:noVBand="0"/>
      </w:tblPr>
      <w:tblGrid>
        <w:gridCol w:w="567"/>
        <w:gridCol w:w="141"/>
        <w:gridCol w:w="459"/>
        <w:gridCol w:w="828"/>
        <w:gridCol w:w="360"/>
        <w:gridCol w:w="360"/>
        <w:gridCol w:w="500"/>
        <w:gridCol w:w="668"/>
        <w:gridCol w:w="286"/>
        <w:gridCol w:w="1306"/>
        <w:gridCol w:w="600"/>
        <w:gridCol w:w="360"/>
        <w:gridCol w:w="972"/>
        <w:gridCol w:w="840"/>
        <w:gridCol w:w="363"/>
        <w:gridCol w:w="477"/>
        <w:gridCol w:w="360"/>
        <w:gridCol w:w="228"/>
        <w:gridCol w:w="608"/>
        <w:gridCol w:w="360"/>
        <w:gridCol w:w="472"/>
        <w:gridCol w:w="15"/>
        <w:gridCol w:w="353"/>
        <w:gridCol w:w="208"/>
        <w:gridCol w:w="152"/>
        <w:gridCol w:w="232"/>
        <w:gridCol w:w="614"/>
        <w:gridCol w:w="358"/>
        <w:gridCol w:w="960"/>
      </w:tblGrid>
      <w:tr w:rsidR="00401786" w14:paraId="5572CB5B" w14:textId="77777777">
        <w:trPr>
          <w:cantSplit/>
          <w:trHeight w:val="523"/>
        </w:trPr>
        <w:tc>
          <w:tcPr>
            <w:tcW w:w="1995"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2FB78FC5" w14:textId="77777777" w:rsidR="00401786" w:rsidRDefault="00C64FB3" w:rsidP="000E757E">
            <w:pPr>
              <w:snapToGrid w:val="0"/>
              <w:spacing w:line="240" w:lineRule="atLeast"/>
              <w:jc w:val="both"/>
            </w:pPr>
            <w:r>
              <w:rPr>
                <w:rFonts w:ascii="標楷體" w:eastAsia="標楷體" w:hAnsi="標楷體" w:cs="標楷體"/>
                <w:color w:val="000000"/>
                <w:sz w:val="20"/>
                <w:szCs w:val="20"/>
              </w:rPr>
              <w:t>申請類別：</w:t>
            </w:r>
          </w:p>
        </w:tc>
        <w:tc>
          <w:tcPr>
            <w:tcW w:w="4080"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1350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0DF44C"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20"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61EEEF"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18333E"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7AD9492E" w14:textId="77777777">
        <w:trPr>
          <w:cantSplit/>
          <w:trHeight w:val="517"/>
        </w:trPr>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F0493C"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6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366135"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1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3C0300"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4BDB2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07247F28"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E2ED648"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05DF5D34"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074D95"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384816"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32509A"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4B1144" w14:textId="77777777" w:rsidR="00401786" w:rsidRDefault="00401786" w:rsidP="000E757E">
            <w:pPr>
              <w:pStyle w:val="a7"/>
              <w:tabs>
                <w:tab w:val="clear" w:pos="4153"/>
                <w:tab w:val="clear" w:pos="8306"/>
              </w:tabs>
              <w:spacing w:line="240" w:lineRule="atLeast"/>
              <w:rPr>
                <w:rFonts w:ascii="標楷體" w:eastAsia="標楷體" w:hAnsi="標楷體"/>
                <w:color w:val="00000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E23812"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168DC044"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15AD3E" w14:textId="77777777" w:rsidR="00401786" w:rsidRDefault="00401786" w:rsidP="000E757E">
            <w:pPr>
              <w:snapToGrid w:val="0"/>
              <w:spacing w:line="240" w:lineRule="atLeast"/>
              <w:rPr>
                <w:rFonts w:ascii="標楷體" w:eastAsia="標楷體" w:hAnsi="標楷體"/>
                <w:color w:val="000000"/>
                <w:sz w:val="20"/>
                <w:szCs w:val="20"/>
              </w:rPr>
            </w:pPr>
          </w:p>
        </w:tc>
        <w:tc>
          <w:tcPr>
            <w:tcW w:w="10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A41ABB"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3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A277C3"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5B74F12" w14:textId="77777777">
        <w:trPr>
          <w:cantSplit/>
          <w:trHeight w:val="530"/>
        </w:trPr>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D965A4"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1D2F34"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1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A8A3A6"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9AF545" w14:textId="77777777" w:rsidR="00401786" w:rsidRDefault="00401786" w:rsidP="000E757E">
            <w:pPr>
              <w:snapToGrid w:val="0"/>
              <w:spacing w:line="240" w:lineRule="atLeast"/>
              <w:rPr>
                <w:rFonts w:ascii="標楷體" w:eastAsia="標楷體" w:hAnsi="標楷體"/>
                <w:color w:val="000000"/>
                <w:sz w:val="20"/>
                <w:szCs w:val="20"/>
              </w:rPr>
            </w:pPr>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C00301"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753FF3E8"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7D147A"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87564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31059FFC"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7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D7573F"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3AD76A"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66DAF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病歷號碼</w:t>
            </w:r>
          </w:p>
        </w:tc>
        <w:tc>
          <w:tcPr>
            <w:tcW w:w="14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EA3CCB"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2B3181"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17021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D4B3D85" w14:textId="77777777">
        <w:trPr>
          <w:cantSplit/>
          <w:trHeight w:val="527"/>
        </w:trPr>
        <w:tc>
          <w:tcPr>
            <w:tcW w:w="11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139E8"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0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F7675A" w14:textId="77777777" w:rsidR="00401786" w:rsidRDefault="00401786" w:rsidP="000E757E">
            <w:pPr>
              <w:snapToGrid w:val="0"/>
              <w:spacing w:line="240" w:lineRule="atLeast"/>
              <w:rPr>
                <w:rFonts w:ascii="標楷體" w:eastAsia="標楷體" w:hAnsi="標楷體"/>
                <w:color w:val="000000"/>
                <w:sz w:val="20"/>
                <w:szCs w:val="20"/>
              </w:rPr>
            </w:pPr>
          </w:p>
        </w:tc>
        <w:tc>
          <w:tcPr>
            <w:tcW w:w="95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44BB05"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23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C761B1"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FBA9F3"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20"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5B3C9A2"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4A18F15F" w14:textId="77777777">
        <w:trPr>
          <w:cantSplit/>
        </w:trPr>
        <w:tc>
          <w:tcPr>
            <w:tcW w:w="11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83DFED"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藥品名稱及代碼</w:t>
            </w:r>
          </w:p>
        </w:tc>
        <w:tc>
          <w:tcPr>
            <w:tcW w:w="6240"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323A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0C4A6E"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1C9022B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91C97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53EB7A8E"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20"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BC971A1"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06ECABB2" w14:textId="77777777">
        <w:trPr>
          <w:cantSplit/>
          <w:trHeight w:val="1456"/>
        </w:trPr>
        <w:tc>
          <w:tcPr>
            <w:tcW w:w="11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F0B915" w14:textId="77777777" w:rsidR="00401786" w:rsidRDefault="00C64FB3" w:rsidP="000E757E">
            <w:pPr>
              <w:snapToGrid w:val="0"/>
              <w:spacing w:line="240" w:lineRule="atLeast"/>
              <w:rPr>
                <w:rFonts w:ascii="標楷體" w:eastAsia="標楷體" w:hAnsi="標楷體"/>
                <w:color w:val="000000"/>
                <w:sz w:val="20"/>
                <w:szCs w:val="20"/>
              </w:rPr>
            </w:pPr>
            <w:proofErr w:type="spellStart"/>
            <w:r>
              <w:rPr>
                <w:rFonts w:ascii="標楷體" w:eastAsia="標楷體" w:hAnsi="標楷體"/>
                <w:color w:val="000000"/>
                <w:sz w:val="20"/>
                <w:szCs w:val="20"/>
              </w:rPr>
              <w:t>GliadelWafer</w:t>
            </w:r>
            <w:proofErr w:type="spellEnd"/>
          </w:p>
          <w:p w14:paraId="62F91FDC" w14:textId="77777777" w:rsidR="00401786" w:rsidRDefault="00C64FB3">
            <w:pPr>
              <w:numPr>
                <w:ilvl w:val="0"/>
                <w:numId w:val="58"/>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B0247772BG</w:t>
            </w:r>
          </w:p>
        </w:tc>
        <w:tc>
          <w:tcPr>
            <w:tcW w:w="6240"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4834D5" w14:textId="77777777" w:rsidR="00401786" w:rsidRDefault="00C64FB3">
            <w:pPr>
              <w:numPr>
                <w:ilvl w:val="0"/>
                <w:numId w:val="58"/>
              </w:numPr>
              <w:tabs>
                <w:tab w:val="left" w:pos="240"/>
              </w:tabs>
              <w:snapToGrid w:val="0"/>
              <w:spacing w:before="50" w:line="240" w:lineRule="atLeast"/>
              <w:ind w:left="238" w:hanging="238"/>
              <w:rPr>
                <w:rFonts w:ascii="標楷體" w:eastAsia="標楷體" w:hAnsi="標楷體"/>
                <w:color w:val="000000"/>
                <w:sz w:val="20"/>
                <w:szCs w:val="20"/>
              </w:rPr>
            </w:pPr>
            <w:r>
              <w:rPr>
                <w:rFonts w:ascii="標楷體" w:eastAsia="標楷體" w:hAnsi="標楷體"/>
                <w:color w:val="000000"/>
                <w:sz w:val="20"/>
                <w:szCs w:val="20"/>
              </w:rPr>
              <w:t>作為復發性多形</w:t>
            </w:r>
            <w:proofErr w:type="gramStart"/>
            <w:r>
              <w:rPr>
                <w:rFonts w:ascii="標楷體" w:eastAsia="標楷體" w:hAnsi="標楷體"/>
                <w:color w:val="000000"/>
                <w:sz w:val="20"/>
                <w:szCs w:val="20"/>
              </w:rPr>
              <w:t>神經膠母細胞</w:t>
            </w:r>
            <w:proofErr w:type="gramEnd"/>
            <w:r>
              <w:rPr>
                <w:rFonts w:ascii="標楷體" w:eastAsia="標楷體" w:hAnsi="標楷體"/>
                <w:color w:val="000000"/>
                <w:sz w:val="20"/>
                <w:szCs w:val="20"/>
              </w:rPr>
              <w:t>瘤病人的手術輔助，且不得與temozolomide</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1F972A" w14:textId="77777777" w:rsidR="00401786" w:rsidRDefault="00401786" w:rsidP="000E757E">
            <w:pPr>
              <w:snapToGrid w:val="0"/>
              <w:spacing w:line="240" w:lineRule="atLeast"/>
              <w:rPr>
                <w:rFonts w:ascii="標楷體" w:eastAsia="標楷體" w:hAnsi="標楷體"/>
                <w:color w:val="000000"/>
                <w:sz w:val="20"/>
                <w:szCs w:val="20"/>
              </w:rPr>
            </w:pPr>
          </w:p>
        </w:tc>
        <w:tc>
          <w:tcPr>
            <w:tcW w:w="8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F6DA2F" w14:textId="77777777" w:rsidR="00401786" w:rsidRDefault="00401786" w:rsidP="000E757E">
            <w:pPr>
              <w:snapToGrid w:val="0"/>
              <w:spacing w:line="240" w:lineRule="atLeast"/>
              <w:rPr>
                <w:rFonts w:ascii="標楷體" w:eastAsia="標楷體" w:hAnsi="標楷體"/>
                <w:color w:val="000000"/>
                <w:sz w:val="20"/>
                <w:szCs w:val="20"/>
              </w:rPr>
            </w:pPr>
          </w:p>
        </w:tc>
        <w:tc>
          <w:tcPr>
            <w:tcW w:w="4920" w:type="dxa"/>
            <w:gridSpan w:val="13"/>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E1D1232" w14:textId="77777777" w:rsidR="00401786" w:rsidRDefault="00C64FB3">
            <w:pPr>
              <w:numPr>
                <w:ilvl w:val="0"/>
                <w:numId w:val="58"/>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C4FC8D3"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7BD83D7C"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1BBC166"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0AF72992"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47026C67"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43058542"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45D606A6"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3EC9E7B2" w14:textId="77777777" w:rsidR="00401786" w:rsidRDefault="00C64FB3">
            <w:pPr>
              <w:numPr>
                <w:ilvl w:val="0"/>
                <w:numId w:val="58"/>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62CA65E3" w14:textId="77777777" w:rsidR="00401786" w:rsidRDefault="00C64FB3">
            <w:pPr>
              <w:numPr>
                <w:ilvl w:val="0"/>
                <w:numId w:val="58"/>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09B3A796" w14:textId="77777777" w:rsidR="00401786" w:rsidRDefault="00C64FB3">
            <w:pPr>
              <w:numPr>
                <w:ilvl w:val="0"/>
                <w:numId w:val="58"/>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4C30CB1B"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5DDAA23B" w14:textId="77777777">
        <w:trPr>
          <w:cantSplit/>
          <w:trHeight w:val="2397"/>
        </w:trPr>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8379D2"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0EE542EF"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8520"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4595E8" w14:textId="77777777" w:rsidR="00401786" w:rsidRDefault="00C64FB3" w:rsidP="000E757E">
            <w:pPr>
              <w:snapToGrid w:val="0"/>
              <w:spacing w:line="240" w:lineRule="atLeast"/>
              <w:ind w:left="160" w:hanging="160"/>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49498E8"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2.「原受理編號」申復時填寫，初次送核不需填寫。</w:t>
            </w:r>
          </w:p>
          <w:p w14:paraId="33BADBE4"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22928AFA"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6AEA67CB"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3D9CC1D2"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41C45E7F"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p w14:paraId="2569F35F" w14:textId="77777777" w:rsidR="00401786" w:rsidRDefault="00401786" w:rsidP="000E757E">
            <w:pPr>
              <w:snapToGrid w:val="0"/>
              <w:spacing w:line="240" w:lineRule="atLeast"/>
              <w:rPr>
                <w:rFonts w:ascii="標楷體" w:eastAsia="標楷體" w:hAnsi="標楷體"/>
                <w:color w:val="000000"/>
                <w:kern w:val="0"/>
                <w:sz w:val="20"/>
                <w:szCs w:val="20"/>
              </w:rPr>
            </w:pPr>
          </w:p>
        </w:tc>
        <w:tc>
          <w:tcPr>
            <w:tcW w:w="4920"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CAA570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5EB8351" w14:textId="77777777">
        <w:trPr>
          <w:cantSplit/>
          <w:trHeight w:val="844"/>
        </w:trPr>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8E8BE0" w14:textId="77777777" w:rsidR="00401786" w:rsidRDefault="00401786" w:rsidP="000E757E">
            <w:pPr>
              <w:snapToGrid w:val="0"/>
              <w:spacing w:line="240" w:lineRule="atLeast"/>
              <w:ind w:left="211" w:hanging="211"/>
              <w:rPr>
                <w:rFonts w:ascii="標楷體" w:eastAsia="標楷體" w:hAnsi="標楷體"/>
                <w:color w:val="000000"/>
              </w:rPr>
            </w:pPr>
          </w:p>
        </w:tc>
        <w:tc>
          <w:tcPr>
            <w:tcW w:w="852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98CD12" w14:textId="77777777" w:rsidR="00401786" w:rsidRDefault="00401786" w:rsidP="000E757E">
            <w:pPr>
              <w:snapToGrid w:val="0"/>
              <w:spacing w:line="240" w:lineRule="atLeast"/>
              <w:ind w:left="211" w:hanging="211"/>
              <w:rPr>
                <w:rFonts w:ascii="標楷體" w:eastAsia="標楷體" w:hAnsi="標楷體"/>
                <w:color w:val="000000"/>
              </w:rPr>
            </w:pPr>
          </w:p>
        </w:tc>
        <w:tc>
          <w:tcPr>
            <w:tcW w:w="3602" w:type="dxa"/>
            <w:gridSpan w:val="11"/>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FFE3F5"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25D92597"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5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83E7CD" w14:textId="77777777" w:rsidR="00401786" w:rsidRDefault="00C64FB3" w:rsidP="000E757E">
            <w:pPr>
              <w:snapToGrid w:val="0"/>
              <w:spacing w:line="240" w:lineRule="atLeast"/>
              <w:jc w:val="both"/>
            </w:pPr>
            <w:r>
              <w:rPr>
                <w:rFonts w:ascii="標楷體" w:eastAsia="標楷體" w:hAnsi="標楷體" w:cs="標楷體"/>
                <w:color w:val="000000"/>
              </w:rPr>
              <w:t>審查醫師</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60640F" w14:textId="77777777" w:rsidR="00401786" w:rsidRDefault="00401786" w:rsidP="000E757E">
            <w:pPr>
              <w:snapToGrid w:val="0"/>
              <w:spacing w:line="240" w:lineRule="atLeast"/>
              <w:rPr>
                <w:rFonts w:ascii="標楷體" w:eastAsia="標楷體" w:hAnsi="標楷體"/>
                <w:color w:val="000000"/>
              </w:rPr>
            </w:pPr>
          </w:p>
        </w:tc>
      </w:tr>
      <w:tr w:rsidR="00401786" w14:paraId="71E381E1" w14:textId="77777777">
        <w:trPr>
          <w:cantSplit/>
          <w:trHeight w:val="1122"/>
        </w:trPr>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199B88" w14:textId="77777777" w:rsidR="00401786" w:rsidRDefault="00401786" w:rsidP="000E757E">
            <w:pPr>
              <w:snapToGrid w:val="0"/>
              <w:spacing w:line="240" w:lineRule="atLeast"/>
              <w:ind w:left="211" w:hanging="211"/>
              <w:rPr>
                <w:rFonts w:ascii="標楷體" w:eastAsia="標楷體" w:hAnsi="標楷體"/>
                <w:color w:val="000000"/>
              </w:rPr>
            </w:pPr>
          </w:p>
        </w:tc>
        <w:tc>
          <w:tcPr>
            <w:tcW w:w="852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7099D5" w14:textId="77777777" w:rsidR="00401786" w:rsidRDefault="00401786" w:rsidP="000E757E">
            <w:pPr>
              <w:snapToGrid w:val="0"/>
              <w:spacing w:line="240" w:lineRule="atLeast"/>
              <w:ind w:left="211" w:hanging="211"/>
              <w:rPr>
                <w:rFonts w:ascii="標楷體" w:eastAsia="標楷體" w:hAnsi="標楷體"/>
                <w:color w:val="000000"/>
              </w:rPr>
            </w:pPr>
          </w:p>
        </w:tc>
        <w:tc>
          <w:tcPr>
            <w:tcW w:w="3602" w:type="dxa"/>
            <w:gridSpan w:val="11"/>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CA49A9" w14:textId="77777777" w:rsidR="00401786" w:rsidRDefault="00401786" w:rsidP="000E757E">
            <w:pPr>
              <w:snapToGrid w:val="0"/>
              <w:spacing w:line="240" w:lineRule="atLeast"/>
              <w:jc w:val="both"/>
              <w:rPr>
                <w:rFonts w:ascii="標楷體" w:eastAsia="標楷體" w:hAnsi="標楷體"/>
                <w:color w:val="000000"/>
              </w:rPr>
            </w:pPr>
          </w:p>
        </w:tc>
        <w:tc>
          <w:tcPr>
            <w:tcW w:w="35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78A498" w14:textId="77777777" w:rsidR="00401786" w:rsidRDefault="00401786" w:rsidP="000E757E">
            <w:pPr>
              <w:snapToGrid w:val="0"/>
              <w:spacing w:line="240" w:lineRule="atLeast"/>
              <w:jc w:val="both"/>
              <w:rPr>
                <w:rFonts w:ascii="標楷體" w:eastAsia="標楷體" w:hAnsi="標楷體" w:cs="標楷體"/>
                <w:color w:val="000000"/>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4F5103" w14:textId="77777777" w:rsidR="00401786" w:rsidRDefault="00401786" w:rsidP="000E757E">
            <w:pPr>
              <w:snapToGrid w:val="0"/>
              <w:spacing w:line="240" w:lineRule="atLeast"/>
              <w:rPr>
                <w:rFonts w:ascii="標楷體" w:eastAsia="標楷體" w:hAnsi="標楷體"/>
                <w:color w:val="000000"/>
              </w:rPr>
            </w:pPr>
          </w:p>
        </w:tc>
      </w:tr>
      <w:tr w:rsidR="00401786" w14:paraId="3C5C0341" w14:textId="77777777">
        <w:trPr>
          <w:cantSplit/>
          <w:trHeight w:val="706"/>
        </w:trPr>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FA91DE" w14:textId="77777777" w:rsidR="00401786" w:rsidRDefault="00C64FB3" w:rsidP="000E757E">
            <w:pPr>
              <w:snapToGrid w:val="0"/>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379" w:type="dxa"/>
            <w:gridSpan w:val="1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BAD8AE"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3D173552" w14:textId="77777777" w:rsidR="00401786" w:rsidRDefault="00401786" w:rsidP="000E757E">
            <w:pPr>
              <w:snapToGrid w:val="0"/>
              <w:spacing w:line="240" w:lineRule="atLeast"/>
              <w:rPr>
                <w:rFonts w:ascii="標楷體" w:eastAsia="標楷體" w:hAnsi="標楷體"/>
                <w:color w:val="000000"/>
              </w:rPr>
            </w:pPr>
          </w:p>
          <w:p w14:paraId="3E6567C7"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4B00BA"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7CBB0" w14:textId="77777777" w:rsidR="00401786" w:rsidRDefault="00401786" w:rsidP="000E757E">
            <w:pPr>
              <w:widowControl/>
              <w:snapToGrid w:val="0"/>
              <w:spacing w:line="240" w:lineRule="atLeast"/>
              <w:rPr>
                <w:rFonts w:ascii="標楷體" w:eastAsia="標楷體" w:hAnsi="標楷體"/>
                <w:color w:val="000000"/>
              </w:rPr>
            </w:pPr>
          </w:p>
          <w:p w14:paraId="4BFE2343"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9B92C9" w14:textId="77777777" w:rsidR="00401786" w:rsidRDefault="00C64FB3" w:rsidP="000E757E">
            <w:pPr>
              <w:widowControl/>
              <w:snapToGrid w:val="0"/>
              <w:spacing w:line="240" w:lineRule="atLeast"/>
            </w:pPr>
            <w:r>
              <w:rPr>
                <w:rFonts w:ascii="標楷體" w:eastAsia="標楷體" w:hAnsi="標楷體" w:cs="標楷體"/>
                <w:color w:val="000000"/>
              </w:rPr>
              <w:t>複核</w:t>
            </w: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5B13DE" w14:textId="77777777" w:rsidR="00401786" w:rsidRDefault="00401786" w:rsidP="000E757E">
            <w:pPr>
              <w:widowControl/>
              <w:snapToGrid w:val="0"/>
              <w:spacing w:line="240" w:lineRule="atLeast"/>
              <w:rPr>
                <w:rFonts w:ascii="標楷體" w:eastAsia="標楷體" w:hAnsi="標楷體"/>
                <w:color w:val="000000"/>
              </w:rPr>
            </w:pPr>
          </w:p>
          <w:p w14:paraId="47160663" w14:textId="77777777" w:rsidR="00401786" w:rsidRDefault="00401786" w:rsidP="000E757E">
            <w:pPr>
              <w:snapToGrid w:val="0"/>
              <w:spacing w:line="240" w:lineRule="atLeast"/>
              <w:rPr>
                <w:rFonts w:ascii="標楷體" w:eastAsia="標楷體" w:hAnsi="標楷體"/>
                <w:color w:val="00000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FFDC88" w14:textId="77777777" w:rsidR="00401786" w:rsidRDefault="00C64FB3" w:rsidP="000E757E">
            <w:pPr>
              <w:snapToGrid w:val="0"/>
              <w:spacing w:line="240" w:lineRule="atLeast"/>
            </w:pPr>
            <w:r>
              <w:rPr>
                <w:rFonts w:ascii="標楷體" w:eastAsia="標楷體" w:hAnsi="標楷體" w:cs="標楷體"/>
                <w:color w:val="000000"/>
              </w:rPr>
              <w:t>科長</w:t>
            </w:r>
          </w:p>
        </w:tc>
        <w:tc>
          <w:tcPr>
            <w:tcW w:w="84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BC1BB5" w14:textId="77777777" w:rsidR="00401786" w:rsidRDefault="00401786" w:rsidP="000E757E">
            <w:pPr>
              <w:widowControl/>
              <w:snapToGrid w:val="0"/>
              <w:spacing w:line="240" w:lineRule="atLeast"/>
              <w:rPr>
                <w:rFonts w:ascii="標楷體" w:eastAsia="標楷體" w:hAnsi="標楷體"/>
                <w:color w:val="000000"/>
              </w:rPr>
            </w:pPr>
          </w:p>
          <w:p w14:paraId="777FC179" w14:textId="77777777" w:rsidR="00401786" w:rsidRDefault="00401786" w:rsidP="000E757E">
            <w:pPr>
              <w:snapToGrid w:val="0"/>
              <w:spacing w:line="240" w:lineRule="atLeast"/>
              <w:rPr>
                <w:rFonts w:ascii="標楷體" w:eastAsia="標楷體" w:hAnsi="標楷體"/>
                <w:color w:val="000000"/>
              </w:rPr>
            </w:pPr>
          </w:p>
        </w:tc>
        <w:tc>
          <w:tcPr>
            <w:tcW w:w="35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2E2D2C" w14:textId="77777777" w:rsidR="00401786" w:rsidRDefault="00C64FB3" w:rsidP="000E757E">
            <w:pPr>
              <w:widowControl/>
              <w:snapToGrid w:val="0"/>
              <w:spacing w:line="240" w:lineRule="atLeast"/>
            </w:pPr>
            <w:r>
              <w:rPr>
                <w:rFonts w:ascii="標楷體" w:eastAsia="標楷體" w:hAnsi="標楷體" w:cs="標楷體"/>
                <w:color w:val="000000"/>
              </w:rPr>
              <w:t>決行</w:t>
            </w:r>
          </w:p>
        </w:tc>
        <w:tc>
          <w:tcPr>
            <w:tcW w:w="9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87F8AE" w14:textId="77777777" w:rsidR="00401786" w:rsidRDefault="00401786" w:rsidP="000E757E">
            <w:pPr>
              <w:snapToGrid w:val="0"/>
              <w:spacing w:line="240" w:lineRule="atLeast"/>
              <w:rPr>
                <w:rFonts w:ascii="標楷體" w:eastAsia="標楷體" w:hAnsi="標楷體"/>
                <w:color w:val="000000"/>
              </w:rPr>
            </w:pPr>
          </w:p>
        </w:tc>
      </w:tr>
    </w:tbl>
    <w:p w14:paraId="30F59880" w14:textId="0709424C" w:rsidR="00401786" w:rsidRPr="00F37647" w:rsidRDefault="00C64FB3" w:rsidP="000E757E">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w:t>
      </w:r>
      <w:proofErr w:type="gramStart"/>
      <w:r w:rsidRPr="00F37647">
        <w:rPr>
          <w:rFonts w:ascii="標楷體" w:eastAsia="標楷體" w:hAnsi="標楷體" w:cs="標楷體"/>
          <w:b/>
          <w:bCs/>
          <w:color w:val="000000"/>
        </w:rPr>
        <w:t>一</w:t>
      </w:r>
      <w:proofErr w:type="gramEnd"/>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Gefitinib</w:t>
      </w:r>
      <w:r w:rsidRPr="00F37647">
        <w:rPr>
          <w:rFonts w:ascii="標楷體" w:eastAsia="標楷體" w:hAnsi="標楷體" w:cs="標楷體"/>
          <w:b/>
          <w:bCs/>
          <w:color w:val="000000"/>
        </w:rPr>
        <w:t>申請表</w:t>
      </w:r>
    </w:p>
    <w:tbl>
      <w:tblPr>
        <w:tblW w:w="14775" w:type="dxa"/>
        <w:tblInd w:w="-5" w:type="dxa"/>
        <w:tblLayout w:type="fixed"/>
        <w:tblCellMar>
          <w:left w:w="10" w:type="dxa"/>
          <w:right w:w="10" w:type="dxa"/>
        </w:tblCellMar>
        <w:tblLook w:val="0000" w:firstRow="0" w:lastRow="0" w:firstColumn="0" w:lastColumn="0" w:noHBand="0" w:noVBand="0"/>
      </w:tblPr>
      <w:tblGrid>
        <w:gridCol w:w="391"/>
        <w:gridCol w:w="403"/>
        <w:gridCol w:w="657"/>
        <w:gridCol w:w="737"/>
        <w:gridCol w:w="365"/>
        <w:gridCol w:w="235"/>
        <w:gridCol w:w="360"/>
        <w:gridCol w:w="489"/>
        <w:gridCol w:w="678"/>
        <w:gridCol w:w="278"/>
        <w:gridCol w:w="1313"/>
        <w:gridCol w:w="600"/>
        <w:gridCol w:w="360"/>
        <w:gridCol w:w="959"/>
        <w:gridCol w:w="1094"/>
        <w:gridCol w:w="105"/>
        <w:gridCol w:w="484"/>
        <w:gridCol w:w="125"/>
        <w:gridCol w:w="235"/>
        <w:gridCol w:w="905"/>
        <w:gridCol w:w="419"/>
        <w:gridCol w:w="7"/>
        <w:gridCol w:w="353"/>
        <w:gridCol w:w="9"/>
        <w:gridCol w:w="349"/>
        <w:gridCol w:w="362"/>
        <w:gridCol w:w="11"/>
        <w:gridCol w:w="229"/>
        <w:gridCol w:w="602"/>
        <w:gridCol w:w="375"/>
        <w:gridCol w:w="1286"/>
      </w:tblGrid>
      <w:tr w:rsidR="00401786" w14:paraId="45136451" w14:textId="77777777">
        <w:trPr>
          <w:cantSplit/>
          <w:trHeight w:hRule="exact" w:val="348"/>
        </w:trPr>
        <w:tc>
          <w:tcPr>
            <w:tcW w:w="2188"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58E82FB4"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18"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7AF7FC"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887875"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42"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81E849"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3214"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B912CF"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14F15B65" w14:textId="77777777">
        <w:trPr>
          <w:cantSplit/>
          <w:trHeight w:val="517"/>
        </w:trPr>
        <w:tc>
          <w:tcPr>
            <w:tcW w:w="3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FC5E7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C0589D"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33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145C06"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1B159D"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2F191428"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7027207D"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28165313"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7DB686"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D01C7B"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E16071"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3DAD02"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231D89"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6E30FB9D"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31B6FC" w14:textId="77777777" w:rsidR="00401786" w:rsidRDefault="00401786" w:rsidP="000E757E">
            <w:pPr>
              <w:snapToGrid w:val="0"/>
              <w:spacing w:line="240" w:lineRule="atLeast"/>
              <w:rPr>
                <w:rFonts w:ascii="標楷體" w:eastAsia="標楷體" w:hAnsi="標楷體"/>
                <w:color w:val="000000"/>
                <w:sz w:val="20"/>
                <w:szCs w:val="20"/>
              </w:rPr>
            </w:pPr>
          </w:p>
        </w:tc>
        <w:tc>
          <w:tcPr>
            <w:tcW w:w="109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45D29D"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4FADAE8C"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0DFEB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B2E48CF" w14:textId="77777777">
        <w:trPr>
          <w:cantSplit/>
          <w:trHeight w:val="530"/>
        </w:trPr>
        <w:tc>
          <w:tcPr>
            <w:tcW w:w="3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4BEBEA" w14:textId="77777777" w:rsidR="00401786" w:rsidRDefault="00401786" w:rsidP="000E757E">
            <w:pPr>
              <w:snapToGrid w:val="0"/>
              <w:spacing w:line="240" w:lineRule="atLeast"/>
              <w:rPr>
                <w:rFonts w:ascii="標楷體" w:eastAsia="標楷體" w:hAnsi="標楷體"/>
                <w:color w:val="000000"/>
                <w:sz w:val="20"/>
                <w:szCs w:val="20"/>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A628A8"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33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7274CC"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F77FB0" w14:textId="77777777" w:rsidR="00401786" w:rsidRDefault="00401786" w:rsidP="000E757E">
            <w:pPr>
              <w:snapToGrid w:val="0"/>
              <w:spacing w:line="240" w:lineRule="atLeast"/>
              <w:rPr>
                <w:rFonts w:ascii="標楷體" w:eastAsia="標楷體" w:hAnsi="標楷體"/>
                <w:color w:val="000000"/>
                <w:sz w:val="20"/>
                <w:szCs w:val="20"/>
              </w:rPr>
            </w:pPr>
          </w:p>
        </w:tc>
        <w:tc>
          <w:tcPr>
            <w:tcW w:w="11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EA6B04"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44183765"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9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11E758"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E50A0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62BDF66B"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A36547"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7118AE"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1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CC946A"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6766921A"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FFE95A"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80FD7"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226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748564"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A343651" w14:textId="77777777">
        <w:trPr>
          <w:cantSplit/>
          <w:trHeight w:hRule="exact" w:val="340"/>
        </w:trPr>
        <w:tc>
          <w:tcPr>
            <w:tcW w:w="14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AC143A"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18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90C59F" w14:textId="77777777" w:rsidR="00401786" w:rsidRDefault="00401786" w:rsidP="000E757E">
            <w:pPr>
              <w:snapToGrid w:val="0"/>
              <w:spacing w:line="240" w:lineRule="atLeast"/>
              <w:rPr>
                <w:rFonts w:ascii="標楷體" w:eastAsia="標楷體" w:hAnsi="標楷體"/>
                <w:color w:val="000000"/>
                <w:sz w:val="20"/>
                <w:szCs w:val="20"/>
              </w:rPr>
            </w:pPr>
          </w:p>
        </w:tc>
        <w:tc>
          <w:tcPr>
            <w:tcW w:w="9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FA225A"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43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04BC5F" w14:textId="77777777" w:rsidR="00401786" w:rsidRDefault="00401786" w:rsidP="000E757E">
            <w:pPr>
              <w:snapToGrid w:val="0"/>
              <w:spacing w:line="240" w:lineRule="atLeast"/>
              <w:rPr>
                <w:rFonts w:ascii="標楷體" w:eastAsia="標楷體" w:hAnsi="標楷體"/>
                <w:color w:val="000000"/>
                <w:sz w:val="20"/>
                <w:szCs w:val="20"/>
              </w:rPr>
            </w:pPr>
          </w:p>
        </w:tc>
        <w:tc>
          <w:tcPr>
            <w:tcW w:w="217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BB7502"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3576"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684A82A"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02CD705D" w14:textId="77777777">
        <w:trPr>
          <w:cantSplit/>
        </w:trPr>
        <w:tc>
          <w:tcPr>
            <w:tcW w:w="14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1479D8"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1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934B0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6471"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B32E0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6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F9A97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39E836A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1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8512B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382AAD00"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3576"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83BA247"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08D58838" w14:textId="77777777">
        <w:trPr>
          <w:cantSplit/>
          <w:trHeight w:val="4433"/>
        </w:trPr>
        <w:tc>
          <w:tcPr>
            <w:tcW w:w="14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5C48D9"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proofErr w:type="spellStart"/>
            <w:r>
              <w:rPr>
                <w:rFonts w:ascii="標楷體" w:eastAsia="標楷體" w:hAnsi="標楷體"/>
                <w:color w:val="000000"/>
                <w:sz w:val="20"/>
                <w:szCs w:val="20"/>
              </w:rPr>
              <w:t>Iressa</w:t>
            </w:r>
            <w:proofErr w:type="spellEnd"/>
          </w:p>
          <w:p w14:paraId="556374FD" w14:textId="77777777" w:rsidR="00401786" w:rsidRDefault="00C64FB3">
            <w:pPr>
              <w:numPr>
                <w:ilvl w:val="0"/>
                <w:numId w:val="59"/>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B023808100</w:t>
            </w:r>
          </w:p>
          <w:p w14:paraId="638BFBAE" w14:textId="77777777" w:rsidR="00401786" w:rsidRDefault="00401786" w:rsidP="000E757E">
            <w:pPr>
              <w:snapToGrid w:val="0"/>
              <w:spacing w:before="180" w:after="180" w:line="240" w:lineRule="atLeast"/>
              <w:rPr>
                <w:rFonts w:ascii="標楷體" w:eastAsia="標楷體" w:hAnsi="標楷體"/>
                <w:color w:val="000000"/>
                <w:sz w:val="20"/>
                <w:szCs w:val="20"/>
              </w:rPr>
            </w:pPr>
          </w:p>
          <w:p w14:paraId="0C432006" w14:textId="77777777" w:rsidR="00401786" w:rsidRDefault="00401786" w:rsidP="000E757E">
            <w:pPr>
              <w:snapToGrid w:val="0"/>
              <w:spacing w:line="240" w:lineRule="atLeast"/>
              <w:rPr>
                <w:rFonts w:ascii="標楷體" w:eastAsia="標楷體" w:hAnsi="標楷體"/>
                <w:color w:val="000000"/>
                <w:sz w:val="20"/>
                <w:szCs w:val="20"/>
              </w:rPr>
            </w:pPr>
          </w:p>
        </w:tc>
        <w:tc>
          <w:tcPr>
            <w:tcW w:w="11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0498B" w14:textId="77777777" w:rsidR="00401786" w:rsidRDefault="00C64FB3">
            <w:pPr>
              <w:numPr>
                <w:ilvl w:val="0"/>
                <w:numId w:val="59"/>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0582184A" w14:textId="77777777" w:rsidR="00401786" w:rsidRDefault="00C64FB3">
            <w:pPr>
              <w:numPr>
                <w:ilvl w:val="0"/>
                <w:numId w:val="59"/>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p w14:paraId="6AEA8A99" w14:textId="77777777" w:rsidR="00401786" w:rsidRDefault="00401786" w:rsidP="000E757E">
            <w:pPr>
              <w:snapToGrid w:val="0"/>
              <w:spacing w:before="180" w:line="240" w:lineRule="atLeast"/>
              <w:ind w:left="168" w:hanging="142"/>
              <w:rPr>
                <w:rFonts w:ascii="標楷體" w:eastAsia="標楷體" w:hAnsi="標楷體"/>
                <w:color w:val="000000"/>
                <w:sz w:val="20"/>
                <w:szCs w:val="20"/>
              </w:rPr>
            </w:pPr>
          </w:p>
        </w:tc>
        <w:tc>
          <w:tcPr>
            <w:tcW w:w="6471"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D406DE" w14:textId="77777777" w:rsidR="00401786" w:rsidRDefault="00C64FB3" w:rsidP="000E757E">
            <w:pPr>
              <w:snapToGrid w:val="0"/>
              <w:spacing w:before="100" w:line="240" w:lineRule="atLeast"/>
              <w:ind w:left="362" w:hanging="242"/>
              <w:jc w:val="both"/>
            </w:pPr>
            <w:r>
              <w:rPr>
                <w:rFonts w:ascii="標楷體" w:eastAsia="標楷體" w:hAnsi="標楷體"/>
                <w:color w:val="000000"/>
                <w:sz w:val="20"/>
                <w:szCs w:val="20"/>
              </w:rPr>
              <w:t>A.限單獨使用於</w:t>
            </w:r>
          </w:p>
          <w:p w14:paraId="5B185314" w14:textId="77777777" w:rsidR="00401786" w:rsidRDefault="00C64FB3" w:rsidP="000E757E">
            <w:pPr>
              <w:snapToGrid w:val="0"/>
              <w:spacing w:line="240" w:lineRule="atLeast"/>
              <w:ind w:left="504" w:hanging="226"/>
              <w:jc w:val="both"/>
              <w:rPr>
                <w:rFonts w:ascii="標楷體" w:eastAsia="標楷體" w:hAnsi="標楷體"/>
                <w:color w:val="000000"/>
                <w:sz w:val="20"/>
                <w:szCs w:val="20"/>
              </w:rPr>
            </w:pPr>
            <w:r>
              <w:rPr>
                <w:rFonts w:ascii="標楷體" w:eastAsia="標楷體" w:hAnsi="標楷體"/>
                <w:color w:val="000000"/>
                <w:sz w:val="20"/>
                <w:szCs w:val="20"/>
              </w:rPr>
              <w:t>(1)具有EGFR-TK基因突變之局部侵犯性或轉移性(即第</w:t>
            </w:r>
            <w:proofErr w:type="spellStart"/>
            <w:r>
              <w:rPr>
                <w:rFonts w:ascii="標楷體" w:eastAsia="標楷體" w:hAnsi="標楷體"/>
                <w:color w:val="000000"/>
                <w:sz w:val="20"/>
                <w:szCs w:val="20"/>
              </w:rPr>
              <w:t>ⅢB</w:t>
            </w:r>
            <w:proofErr w:type="spellEnd"/>
            <w:r>
              <w:rPr>
                <w:rFonts w:ascii="標楷體" w:eastAsia="標楷體" w:hAnsi="標楷體"/>
                <w:color w:val="000000"/>
                <w:sz w:val="20"/>
                <w:szCs w:val="20"/>
              </w:rPr>
              <w:t>期或</w:t>
            </w:r>
            <w:proofErr w:type="gramStart"/>
            <w:r>
              <w:rPr>
                <w:rFonts w:ascii="標楷體" w:eastAsia="標楷體" w:hAnsi="標楷體"/>
                <w:color w:val="000000"/>
                <w:sz w:val="20"/>
                <w:szCs w:val="20"/>
              </w:rPr>
              <w:t>第Ⅳ期</w:t>
            </w:r>
            <w:proofErr w:type="gramEnd"/>
            <w:r>
              <w:rPr>
                <w:rFonts w:ascii="標楷體" w:eastAsia="標楷體" w:hAnsi="標楷體"/>
                <w:color w:val="000000"/>
                <w:sz w:val="20"/>
                <w:szCs w:val="20"/>
              </w:rPr>
              <w:t>)之肺腺癌病患之第一線治療。</w:t>
            </w:r>
          </w:p>
          <w:p w14:paraId="4F381DB3" w14:textId="77777777" w:rsidR="00401786" w:rsidRDefault="00C64FB3" w:rsidP="000E757E">
            <w:pPr>
              <w:snapToGrid w:val="0"/>
              <w:spacing w:before="50" w:line="240" w:lineRule="atLeast"/>
              <w:ind w:left="504" w:hanging="226"/>
            </w:pPr>
            <w:r>
              <w:rPr>
                <w:rFonts w:ascii="標楷體" w:eastAsia="標楷體" w:hAnsi="標楷體"/>
                <w:color w:val="000000"/>
                <w:sz w:val="20"/>
                <w:szCs w:val="20"/>
              </w:rPr>
              <w:t>(2)先前已使用過第一線含鉑化學治療，或70歲(含)以上接受過第一線化學治療，但仍局部惡化或轉移之肺腺癌。</w:t>
            </w:r>
            <w:r>
              <w:rPr>
                <w:rFonts w:ascii="標楷體" w:eastAsia="標楷體" w:hAnsi="標楷體" w:cs="標楷體"/>
                <w:color w:val="000000"/>
                <w:sz w:val="20"/>
                <w:szCs w:val="20"/>
              </w:rPr>
              <w:t>影像診斷證明（如胸</w:t>
            </w:r>
            <w:r>
              <w:rPr>
                <w:rFonts w:ascii="標楷體" w:eastAsia="標楷體" w:hAnsi="標楷體"/>
                <w:color w:val="000000"/>
                <w:sz w:val="20"/>
                <w:szCs w:val="20"/>
              </w:rPr>
              <w:t>部X光</w:t>
            </w:r>
            <w:r>
              <w:rPr>
                <w:rFonts w:ascii="標楷體" w:eastAsia="標楷體" w:hAnsi="標楷體" w:cs="標楷體"/>
                <w:color w:val="000000"/>
                <w:sz w:val="20"/>
                <w:szCs w:val="20"/>
              </w:rPr>
              <w:t>、電腦斷層或其他可作為評估的影像）</w:t>
            </w:r>
          </w:p>
          <w:p w14:paraId="36D84A66" w14:textId="77777777" w:rsidR="00401786" w:rsidRDefault="00C64FB3" w:rsidP="000E757E">
            <w:pPr>
              <w:snapToGrid w:val="0"/>
              <w:spacing w:before="50" w:line="240" w:lineRule="atLeast"/>
              <w:ind w:left="338" w:hanging="218"/>
              <w:rPr>
                <w:rFonts w:ascii="標楷體" w:eastAsia="標楷體" w:hAnsi="標楷體"/>
                <w:color w:val="000000"/>
                <w:sz w:val="20"/>
                <w:szCs w:val="20"/>
              </w:rPr>
            </w:pPr>
            <w:r>
              <w:rPr>
                <w:rFonts w:ascii="標楷體" w:eastAsia="標楷體" w:hAnsi="標楷體"/>
                <w:color w:val="000000"/>
                <w:sz w:val="20"/>
                <w:szCs w:val="20"/>
              </w:rPr>
              <w:t>B.需經事前審查核准後使用：</w:t>
            </w:r>
          </w:p>
          <w:p w14:paraId="22AAF3E3" w14:textId="77777777" w:rsidR="00401786" w:rsidRDefault="00C64FB3" w:rsidP="000E757E">
            <w:pPr>
              <w:snapToGrid w:val="0"/>
              <w:spacing w:before="50" w:line="240" w:lineRule="atLeast"/>
              <w:ind w:left="516" w:hanging="240"/>
              <w:rPr>
                <w:rFonts w:ascii="標楷體" w:eastAsia="標楷體" w:hAnsi="標楷體"/>
                <w:color w:val="000000"/>
                <w:sz w:val="20"/>
                <w:szCs w:val="20"/>
              </w:rPr>
            </w:pPr>
            <w:r>
              <w:rPr>
                <w:rFonts w:ascii="標楷體" w:eastAsia="標楷體" w:hAnsi="標楷體"/>
                <w:color w:val="000000"/>
                <w:sz w:val="20"/>
                <w:szCs w:val="20"/>
              </w:rPr>
              <w:t>(1)用於第一線用藥：檢具確實患有肺腺癌之病理或細胞檢查報告，及EGFR-TK基因突變檢測報告。</w:t>
            </w:r>
          </w:p>
          <w:p w14:paraId="135B1439" w14:textId="77777777" w:rsidR="00401786" w:rsidRDefault="00C64FB3" w:rsidP="000E757E">
            <w:pPr>
              <w:snapToGrid w:val="0"/>
              <w:spacing w:before="50" w:line="240" w:lineRule="atLeast"/>
              <w:ind w:left="516" w:hanging="240"/>
              <w:rPr>
                <w:rFonts w:ascii="標楷體" w:eastAsia="標楷體" w:hAnsi="標楷體"/>
                <w:color w:val="000000"/>
                <w:sz w:val="20"/>
                <w:szCs w:val="20"/>
              </w:rPr>
            </w:pPr>
            <w:r>
              <w:rPr>
                <w:rFonts w:ascii="標楷體" w:eastAsia="標楷體" w:hAnsi="標楷體"/>
                <w:color w:val="000000"/>
                <w:sz w:val="20"/>
                <w:szCs w:val="20"/>
              </w:rPr>
              <w:t>(2)用於第二線用藥：檢具確實患有肺腺癌之病理或細胞檢查報告，並附曾經接受第一線含鉑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w:t>
            </w:r>
          </w:p>
          <w:p w14:paraId="2823907F" w14:textId="77777777" w:rsidR="00401786" w:rsidRDefault="00C64FB3" w:rsidP="000E757E">
            <w:pPr>
              <w:snapToGrid w:val="0"/>
              <w:spacing w:before="50" w:line="240" w:lineRule="atLeast"/>
              <w:ind w:left="238" w:hanging="118"/>
            </w:pPr>
            <w:r>
              <w:rPr>
                <w:rFonts w:ascii="標楷體" w:eastAsia="標楷體" w:hAnsi="標楷體"/>
                <w:color w:val="000000"/>
                <w:sz w:val="20"/>
                <w:szCs w:val="20"/>
              </w:rPr>
              <w:t>C.</w:t>
            </w:r>
            <w:r>
              <w:rPr>
                <w:rFonts w:ascii="標楷體" w:eastAsia="標楷體" w:hAnsi="標楷體" w:cs="標楷體"/>
                <w:color w:val="000000"/>
                <w:sz w:val="20"/>
                <w:szCs w:val="20"/>
              </w:rPr>
              <w:t>每次申請事前審查之療程以三</w:t>
            </w:r>
            <w:proofErr w:type="gramStart"/>
            <w:r>
              <w:rPr>
                <w:rFonts w:ascii="標楷體" w:eastAsia="標楷體" w:hAnsi="標楷體" w:cs="標楷體"/>
                <w:color w:val="000000"/>
                <w:sz w:val="20"/>
                <w:szCs w:val="20"/>
              </w:rPr>
              <w:t>個</w:t>
            </w:r>
            <w:proofErr w:type="gramEnd"/>
            <w:r>
              <w:rPr>
                <w:rFonts w:ascii="標楷體" w:eastAsia="標楷體" w:hAnsi="標楷體" w:cs="標楷體"/>
                <w:color w:val="000000"/>
                <w:sz w:val="20"/>
                <w:szCs w:val="20"/>
              </w:rPr>
              <w:t>月為限，每三</w:t>
            </w:r>
            <w:proofErr w:type="gramStart"/>
            <w:r>
              <w:rPr>
                <w:rFonts w:ascii="標楷體" w:eastAsia="標楷體" w:hAnsi="標楷體" w:cs="標楷體"/>
                <w:color w:val="000000"/>
                <w:sz w:val="20"/>
                <w:szCs w:val="20"/>
              </w:rPr>
              <w:t>個</w:t>
            </w:r>
            <w:proofErr w:type="gramEnd"/>
            <w:r>
              <w:rPr>
                <w:rFonts w:ascii="標楷體" w:eastAsia="標楷體" w:hAnsi="標楷體" w:cs="標楷體"/>
                <w:color w:val="000000"/>
                <w:sz w:val="20"/>
                <w:szCs w:val="20"/>
              </w:rPr>
              <w:t>月需再次申請，再次申請時並需附上治療後相關臨床資料，如給藥四</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後，需追蹤胸部X光或電腦斷層等影像檢查一遍，評估療效，往後每四</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做胸部X光檢查，每隔八</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需追蹤其作為評估藥效的影像（如胸部X光或電腦斷層）。</w:t>
            </w:r>
          </w:p>
          <w:p w14:paraId="776B1E0B" w14:textId="77777777" w:rsidR="00401786" w:rsidRDefault="00C64FB3" w:rsidP="000E757E">
            <w:pPr>
              <w:snapToGrid w:val="0"/>
              <w:spacing w:before="50" w:line="240" w:lineRule="atLeast"/>
              <w:ind w:left="238" w:hanging="118"/>
              <w:rPr>
                <w:rFonts w:ascii="標楷體" w:eastAsia="標楷體" w:hAnsi="標楷體" w:cs="標楷體"/>
                <w:color w:val="000000"/>
                <w:sz w:val="20"/>
                <w:szCs w:val="20"/>
              </w:rPr>
            </w:pPr>
            <w:r>
              <w:rPr>
                <w:rFonts w:ascii="標楷體" w:eastAsia="標楷體" w:hAnsi="標楷體" w:cs="標楷體"/>
                <w:color w:val="000000"/>
                <w:sz w:val="20"/>
                <w:szCs w:val="20"/>
              </w:rPr>
              <w:t>D.醫師每次開藥以4</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為限。</w:t>
            </w:r>
          </w:p>
          <w:p w14:paraId="636C77E4" w14:textId="77777777" w:rsidR="00401786" w:rsidRDefault="00C64FB3" w:rsidP="000E757E">
            <w:pPr>
              <w:snapToGrid w:val="0"/>
              <w:spacing w:before="50" w:line="240" w:lineRule="atLeast"/>
              <w:ind w:left="238" w:hanging="118"/>
              <w:rPr>
                <w:rFonts w:ascii="標楷體" w:eastAsia="標楷體" w:hAnsi="標楷體" w:cs="標楷體"/>
                <w:color w:val="000000"/>
                <w:sz w:val="20"/>
                <w:szCs w:val="20"/>
              </w:rPr>
            </w:pPr>
            <w:r>
              <w:rPr>
                <w:rFonts w:ascii="標楷體" w:eastAsia="標楷體" w:hAnsi="標楷體" w:cs="標楷體"/>
                <w:color w:val="000000"/>
                <w:sz w:val="20"/>
                <w:szCs w:val="20"/>
              </w:rPr>
              <w:t>E.本藥品與erlotinib(如</w:t>
            </w:r>
            <w:proofErr w:type="spellStart"/>
            <w:r>
              <w:rPr>
                <w:rFonts w:ascii="標楷體" w:eastAsia="標楷體" w:hAnsi="標楷體" w:cs="標楷體"/>
                <w:color w:val="000000"/>
                <w:sz w:val="20"/>
                <w:szCs w:val="20"/>
              </w:rPr>
              <w:t>Tarceva</w:t>
            </w:r>
            <w:proofErr w:type="spellEnd"/>
            <w:r>
              <w:rPr>
                <w:rFonts w:ascii="標楷體" w:eastAsia="標楷體" w:hAnsi="標楷體" w:cs="標楷體"/>
                <w:color w:val="000000"/>
                <w:sz w:val="20"/>
                <w:szCs w:val="20"/>
              </w:rPr>
              <w:t>)及afatinib(如</w:t>
            </w:r>
            <w:proofErr w:type="spellStart"/>
            <w:r>
              <w:rPr>
                <w:rFonts w:ascii="標楷體" w:eastAsia="標楷體" w:hAnsi="標楷體" w:cs="標楷體"/>
                <w:color w:val="000000"/>
                <w:sz w:val="20"/>
                <w:szCs w:val="20"/>
              </w:rPr>
              <w:t>Giotrif</w:t>
            </w:r>
            <w:proofErr w:type="spellEnd"/>
            <w:r>
              <w:rPr>
                <w:rFonts w:ascii="標楷體" w:eastAsia="標楷體" w:hAnsi="標楷體" w:cs="標楷體"/>
                <w:color w:val="000000"/>
                <w:sz w:val="20"/>
                <w:szCs w:val="20"/>
              </w:rPr>
              <w:t>)不得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w:t>
            </w:r>
          </w:p>
        </w:tc>
        <w:tc>
          <w:tcPr>
            <w:tcW w:w="6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40553F" w14:textId="77777777" w:rsidR="00401786" w:rsidRDefault="00401786" w:rsidP="000E757E">
            <w:pPr>
              <w:snapToGrid w:val="0"/>
              <w:spacing w:line="240" w:lineRule="atLeast"/>
              <w:rPr>
                <w:rFonts w:ascii="標楷體" w:eastAsia="標楷體" w:hAnsi="標楷體"/>
                <w:color w:val="000000"/>
                <w:sz w:val="20"/>
                <w:szCs w:val="20"/>
              </w:rPr>
            </w:pPr>
          </w:p>
        </w:tc>
        <w:tc>
          <w:tcPr>
            <w:tcW w:w="1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132F8C" w14:textId="77777777" w:rsidR="00401786" w:rsidRDefault="00401786" w:rsidP="000E757E">
            <w:pPr>
              <w:snapToGrid w:val="0"/>
              <w:spacing w:line="240" w:lineRule="atLeast"/>
              <w:rPr>
                <w:rFonts w:ascii="標楷體" w:eastAsia="標楷體" w:hAnsi="標楷體"/>
                <w:color w:val="000000"/>
                <w:sz w:val="20"/>
                <w:szCs w:val="20"/>
              </w:rPr>
            </w:pPr>
          </w:p>
        </w:tc>
        <w:tc>
          <w:tcPr>
            <w:tcW w:w="3576" w:type="dxa"/>
            <w:gridSpan w:val="9"/>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913E9A6" w14:textId="77777777" w:rsidR="00401786" w:rsidRDefault="00C64FB3">
            <w:pPr>
              <w:numPr>
                <w:ilvl w:val="0"/>
                <w:numId w:val="59"/>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BF74C56"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39386093"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42DDBF5E"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50035C6E"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2BFDB54A"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3F209CBE"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6129FC17"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22B8DABF" w14:textId="77777777" w:rsidR="00401786" w:rsidRDefault="00C64FB3">
            <w:pPr>
              <w:numPr>
                <w:ilvl w:val="0"/>
                <w:numId w:val="5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8AC8371" w14:textId="77777777" w:rsidR="00401786" w:rsidRDefault="00C64FB3">
            <w:pPr>
              <w:numPr>
                <w:ilvl w:val="0"/>
                <w:numId w:val="5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7D3B4669" w14:textId="77777777" w:rsidR="00401786" w:rsidRDefault="00C64FB3">
            <w:pPr>
              <w:numPr>
                <w:ilvl w:val="0"/>
                <w:numId w:val="59"/>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66092B78"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3E2A2F8C" w14:textId="77777777">
        <w:trPr>
          <w:cantSplit/>
          <w:trHeight w:val="360"/>
        </w:trPr>
        <w:tc>
          <w:tcPr>
            <w:tcW w:w="3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D775DC" w14:textId="77777777" w:rsidR="00401786" w:rsidRDefault="00C64FB3" w:rsidP="000E757E">
            <w:pPr>
              <w:snapToGrid w:val="0"/>
              <w:spacing w:line="240" w:lineRule="atLeast"/>
              <w:ind w:left="113" w:right="113"/>
            </w:pPr>
            <w:r>
              <w:rPr>
                <w:rFonts w:ascii="標楷體" w:eastAsia="標楷體" w:hAnsi="標楷體" w:cs="標楷體"/>
                <w:color w:val="000000"/>
              </w:rPr>
              <w:t>注</w:t>
            </w:r>
            <w:r>
              <w:rPr>
                <w:rFonts w:ascii="標楷體" w:eastAsia="標楷體" w:hAnsi="標楷體" w:cs="標楷體"/>
                <w:color w:val="000000"/>
              </w:rPr>
              <w:lastRenderedPageBreak/>
              <w:t>意事項</w:t>
            </w:r>
          </w:p>
        </w:tc>
        <w:tc>
          <w:tcPr>
            <w:tcW w:w="10808" w:type="dxa"/>
            <w:gridSpan w:val="21"/>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D11E2A"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lastRenderedPageBreak/>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577EEF4D"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lastRenderedPageBreak/>
              <w:t>「原受理編號」申復時填寫，初次送核不需填寫。</w:t>
            </w:r>
          </w:p>
          <w:p w14:paraId="3BAF36BD"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4BD3BB5D"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14C7BC4C"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對複核結果如有異議，得於收到複核通知之日起六十日內向全民健康保險爭議審議會申請審議。</w:t>
            </w:r>
          </w:p>
          <w:p w14:paraId="4D8F7D76"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14CCE725" w14:textId="77777777" w:rsidR="00401786" w:rsidRDefault="00C64FB3">
            <w:pPr>
              <w:numPr>
                <w:ilvl w:val="0"/>
                <w:numId w:val="60"/>
              </w:numPr>
              <w:snapToGrid w:val="0"/>
              <w:spacing w:line="240" w:lineRule="atLeast"/>
              <w:ind w:left="181" w:hanging="181"/>
            </w:pPr>
            <w:proofErr w:type="spellStart"/>
            <w:r>
              <w:rPr>
                <w:rFonts w:ascii="標楷體" w:eastAsia="標楷體" w:hAnsi="標楷體"/>
                <w:color w:val="000000"/>
                <w:kern w:val="0"/>
                <w:sz w:val="20"/>
                <w:szCs w:val="20"/>
              </w:rPr>
              <w:t>Iressa</w:t>
            </w:r>
            <w:proofErr w:type="spellEnd"/>
            <w:r>
              <w:rPr>
                <w:rFonts w:ascii="標楷體" w:eastAsia="標楷體" w:hAnsi="標楷體"/>
                <w:color w:val="000000"/>
                <w:sz w:val="20"/>
                <w:szCs w:val="20"/>
              </w:rPr>
              <w:t>每使用三個月需作療效評估，且需再經專業審查後始能繼續使用。</w:t>
            </w:r>
          </w:p>
          <w:p w14:paraId="13CC30AA"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3576" w:type="dxa"/>
            <w:gridSpan w:val="9"/>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B73A26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73E5EC8" w14:textId="77777777">
        <w:trPr>
          <w:cantSplit/>
          <w:trHeight w:val="553"/>
        </w:trPr>
        <w:tc>
          <w:tcPr>
            <w:tcW w:w="3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6ED770" w14:textId="77777777" w:rsidR="00401786" w:rsidRDefault="00401786" w:rsidP="000E757E">
            <w:pPr>
              <w:snapToGrid w:val="0"/>
              <w:spacing w:line="240" w:lineRule="atLeast"/>
              <w:ind w:left="211" w:hanging="211"/>
              <w:rPr>
                <w:rFonts w:ascii="標楷體" w:eastAsia="標楷體" w:hAnsi="標楷體"/>
                <w:color w:val="000000"/>
              </w:rPr>
            </w:pPr>
          </w:p>
        </w:tc>
        <w:tc>
          <w:tcPr>
            <w:tcW w:w="10808"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4BCBC2" w14:textId="77777777" w:rsidR="00401786" w:rsidRDefault="00401786" w:rsidP="000E757E">
            <w:pPr>
              <w:snapToGrid w:val="0"/>
              <w:spacing w:line="240" w:lineRule="atLeast"/>
              <w:ind w:left="211" w:hanging="211"/>
              <w:rPr>
                <w:rFonts w:ascii="標楷體" w:eastAsia="標楷體" w:hAnsi="標楷體"/>
                <w:color w:val="000000"/>
              </w:rPr>
            </w:pPr>
          </w:p>
        </w:tc>
        <w:tc>
          <w:tcPr>
            <w:tcW w:w="1915" w:type="dxa"/>
            <w:gridSpan w:val="7"/>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D4DD38"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4D377E0B"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EB3786"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12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DED1E" w14:textId="77777777" w:rsidR="00401786" w:rsidRDefault="00401786" w:rsidP="000E757E">
            <w:pPr>
              <w:snapToGrid w:val="0"/>
              <w:spacing w:line="240" w:lineRule="atLeast"/>
              <w:rPr>
                <w:rFonts w:ascii="標楷體" w:eastAsia="標楷體" w:hAnsi="標楷體"/>
                <w:color w:val="000000"/>
              </w:rPr>
            </w:pPr>
          </w:p>
        </w:tc>
      </w:tr>
      <w:tr w:rsidR="00401786" w14:paraId="58C0D3BC" w14:textId="77777777">
        <w:trPr>
          <w:cantSplit/>
          <w:trHeight w:val="545"/>
        </w:trPr>
        <w:tc>
          <w:tcPr>
            <w:tcW w:w="79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6F20D"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1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40BCEE"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5B9CD8FE" w14:textId="77777777" w:rsidR="00401786" w:rsidRDefault="00401786" w:rsidP="000E757E">
            <w:pPr>
              <w:snapToGrid w:val="0"/>
              <w:spacing w:line="240" w:lineRule="atLeast"/>
              <w:rPr>
                <w:rFonts w:ascii="標楷體" w:eastAsia="標楷體" w:hAnsi="標楷體"/>
                <w:color w:val="000000"/>
                <w:sz w:val="20"/>
                <w:szCs w:val="20"/>
              </w:rPr>
            </w:pPr>
          </w:p>
          <w:p w14:paraId="2B3D5CB8"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ACD84"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90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4B3684" w14:textId="77777777" w:rsidR="00401786" w:rsidRDefault="00401786" w:rsidP="000E757E">
            <w:pPr>
              <w:widowControl/>
              <w:snapToGrid w:val="0"/>
              <w:spacing w:line="240" w:lineRule="atLeast"/>
              <w:rPr>
                <w:rFonts w:ascii="標楷體" w:eastAsia="標楷體" w:hAnsi="標楷體"/>
                <w:color w:val="000000"/>
                <w:sz w:val="20"/>
                <w:szCs w:val="20"/>
              </w:rPr>
            </w:pPr>
          </w:p>
          <w:p w14:paraId="6F773FA4" w14:textId="77777777" w:rsidR="00401786" w:rsidRDefault="00401786" w:rsidP="000E757E">
            <w:pPr>
              <w:snapToGrid w:val="0"/>
              <w:spacing w:line="240" w:lineRule="atLeast"/>
              <w:rPr>
                <w:rFonts w:ascii="標楷體" w:eastAsia="標楷體" w:hAnsi="標楷體"/>
                <w:color w:val="000000"/>
                <w:sz w:val="20"/>
                <w:szCs w:val="20"/>
              </w:rPr>
            </w:pPr>
          </w:p>
        </w:tc>
        <w:tc>
          <w:tcPr>
            <w:tcW w:w="42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D160AD"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tc>
        <w:tc>
          <w:tcPr>
            <w:tcW w:w="711"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76AE7B" w14:textId="77777777" w:rsidR="00401786" w:rsidRDefault="00401786" w:rsidP="000E757E">
            <w:pPr>
              <w:widowControl/>
              <w:snapToGrid w:val="0"/>
              <w:spacing w:line="240" w:lineRule="atLeast"/>
              <w:rPr>
                <w:rFonts w:ascii="標楷體" w:eastAsia="標楷體" w:hAnsi="標楷體"/>
                <w:color w:val="000000"/>
                <w:sz w:val="20"/>
                <w:szCs w:val="20"/>
              </w:rPr>
            </w:pPr>
          </w:p>
          <w:p w14:paraId="3F107229"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F861B0"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2"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C8921F" w14:textId="77777777" w:rsidR="00401786" w:rsidRDefault="00401786" w:rsidP="000E757E">
            <w:pPr>
              <w:widowControl/>
              <w:snapToGrid w:val="0"/>
              <w:spacing w:line="240" w:lineRule="atLeast"/>
              <w:rPr>
                <w:rFonts w:ascii="標楷體" w:eastAsia="標楷體" w:hAnsi="標楷體"/>
                <w:color w:val="000000"/>
                <w:sz w:val="20"/>
                <w:szCs w:val="20"/>
              </w:rPr>
            </w:pPr>
          </w:p>
          <w:p w14:paraId="649AB2C2" w14:textId="77777777" w:rsidR="00401786" w:rsidRDefault="00401786" w:rsidP="000E757E">
            <w:pPr>
              <w:snapToGrid w:val="0"/>
              <w:spacing w:line="240" w:lineRule="atLeast"/>
              <w:rPr>
                <w:rFonts w:ascii="標楷體" w:eastAsia="標楷體" w:hAnsi="標楷體"/>
                <w:color w:val="000000"/>
                <w:sz w:val="20"/>
                <w:szCs w:val="2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C8B44A"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tc>
        <w:tc>
          <w:tcPr>
            <w:tcW w:w="128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B93F5E" w14:textId="77777777" w:rsidR="00401786" w:rsidRDefault="00401786" w:rsidP="000E757E">
            <w:pPr>
              <w:snapToGrid w:val="0"/>
              <w:spacing w:line="240" w:lineRule="atLeast"/>
              <w:rPr>
                <w:rFonts w:ascii="標楷體" w:eastAsia="標楷體" w:hAnsi="標楷體"/>
                <w:color w:val="000000"/>
                <w:sz w:val="20"/>
                <w:szCs w:val="20"/>
              </w:rPr>
            </w:pPr>
          </w:p>
        </w:tc>
      </w:tr>
    </w:tbl>
    <w:p w14:paraId="7887C449" w14:textId="666D37F9" w:rsidR="00401786" w:rsidRPr="00F37647" w:rsidRDefault="00C64FB3" w:rsidP="000E757E">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附表九之二</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Erlotinib</w:t>
      </w:r>
      <w:r w:rsidRPr="00F37647">
        <w:rPr>
          <w:rFonts w:ascii="標楷體" w:eastAsia="標楷體" w:hAnsi="標楷體" w:cs="標楷體"/>
          <w:b/>
          <w:bCs/>
          <w:color w:val="000000"/>
        </w:rPr>
        <w:t>申請表</w:t>
      </w:r>
    </w:p>
    <w:tbl>
      <w:tblPr>
        <w:tblW w:w="15877" w:type="dxa"/>
        <w:tblInd w:w="-714" w:type="dxa"/>
        <w:tblLayout w:type="fixed"/>
        <w:tblCellMar>
          <w:left w:w="10" w:type="dxa"/>
          <w:right w:w="10" w:type="dxa"/>
        </w:tblCellMar>
        <w:tblLook w:val="0000" w:firstRow="0" w:lastRow="0" w:firstColumn="0" w:lastColumn="0" w:noHBand="0" w:noVBand="0"/>
      </w:tblPr>
      <w:tblGrid>
        <w:gridCol w:w="1100"/>
        <w:gridCol w:w="402"/>
        <w:gridCol w:w="658"/>
        <w:gridCol w:w="735"/>
        <w:gridCol w:w="224"/>
        <w:gridCol w:w="376"/>
        <w:gridCol w:w="360"/>
        <w:gridCol w:w="489"/>
        <w:gridCol w:w="679"/>
        <w:gridCol w:w="275"/>
        <w:gridCol w:w="1317"/>
        <w:gridCol w:w="600"/>
        <w:gridCol w:w="360"/>
        <w:gridCol w:w="960"/>
        <w:gridCol w:w="1095"/>
        <w:gridCol w:w="293"/>
        <w:gridCol w:w="284"/>
        <w:gridCol w:w="283"/>
        <w:gridCol w:w="88"/>
        <w:gridCol w:w="763"/>
        <w:gridCol w:w="141"/>
        <w:gridCol w:w="142"/>
        <w:gridCol w:w="646"/>
        <w:gridCol w:w="115"/>
        <w:gridCol w:w="237"/>
        <w:gridCol w:w="120"/>
        <w:gridCol w:w="240"/>
        <w:gridCol w:w="360"/>
        <w:gridCol w:w="480"/>
        <w:gridCol w:w="375"/>
        <w:gridCol w:w="1680"/>
      </w:tblGrid>
      <w:tr w:rsidR="00401786" w14:paraId="1B9B3EC2" w14:textId="77777777">
        <w:trPr>
          <w:cantSplit/>
          <w:trHeight w:hRule="exact" w:val="490"/>
        </w:trPr>
        <w:tc>
          <w:tcPr>
            <w:tcW w:w="2895"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B82216E"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2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4924A6"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1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0FA3D0"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4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0C1C30"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3607"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A204B5"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772DF7CF" w14:textId="77777777">
        <w:trPr>
          <w:cantSplit/>
          <w:trHeight w:val="517"/>
        </w:trPr>
        <w:tc>
          <w:tcPr>
            <w:tcW w:w="11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C346B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7DDA4D"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3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2C940C"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38913D"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1C2894D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5BE216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0B97603E"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53D695"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5BE47A"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58E7B3"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BD8D86" w14:textId="77777777" w:rsidR="00401786" w:rsidRDefault="00401786" w:rsidP="000E757E">
            <w:pPr>
              <w:snapToGrid w:val="0"/>
              <w:spacing w:line="240" w:lineRule="atLeast"/>
              <w:rPr>
                <w:rFonts w:ascii="標楷體" w:eastAsia="標楷體" w:hAnsi="標楷體"/>
                <w:color w:val="000000"/>
                <w:sz w:val="20"/>
                <w:szCs w:val="20"/>
              </w:rPr>
            </w:pPr>
          </w:p>
        </w:tc>
        <w:tc>
          <w:tcPr>
            <w:tcW w:w="195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B432A"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3B7C9B45"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13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5D6708" w14:textId="77777777" w:rsidR="00401786" w:rsidRDefault="00401786" w:rsidP="000E757E">
            <w:pPr>
              <w:snapToGrid w:val="0"/>
              <w:spacing w:line="240" w:lineRule="atLeast"/>
              <w:rPr>
                <w:rFonts w:ascii="標楷體" w:eastAsia="標楷體" w:hAnsi="標楷體"/>
                <w:color w:val="000000"/>
                <w:sz w:val="20"/>
                <w:szCs w:val="20"/>
              </w:rPr>
            </w:pPr>
          </w:p>
        </w:tc>
        <w:tc>
          <w:tcPr>
            <w:tcW w:w="111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4663E4"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313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72EE54"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6DE8499" w14:textId="77777777">
        <w:trPr>
          <w:cantSplit/>
          <w:trHeight w:val="530"/>
        </w:trPr>
        <w:tc>
          <w:tcPr>
            <w:tcW w:w="11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88C499" w14:textId="77777777" w:rsidR="00401786" w:rsidRDefault="00401786" w:rsidP="000E757E">
            <w:pPr>
              <w:snapToGrid w:val="0"/>
              <w:spacing w:line="240" w:lineRule="atLeast"/>
              <w:rPr>
                <w:rFonts w:ascii="標楷體" w:eastAsia="標楷體" w:hAnsi="標楷體"/>
                <w:color w:val="000000"/>
                <w:sz w:val="20"/>
                <w:szCs w:val="20"/>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EAF9EC"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3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82B27F"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66ADB" w14:textId="77777777" w:rsidR="00401786" w:rsidRDefault="00401786" w:rsidP="000E757E">
            <w:pPr>
              <w:snapToGrid w:val="0"/>
              <w:spacing w:line="240" w:lineRule="atLeast"/>
              <w:rPr>
                <w:rFonts w:ascii="標楷體" w:eastAsia="標楷體" w:hAnsi="標楷體"/>
                <w:color w:val="000000"/>
                <w:sz w:val="20"/>
                <w:szCs w:val="20"/>
              </w:rPr>
            </w:pPr>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3E40A7"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5843327D"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F4CDF0"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8D329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69DA08B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8C5F97" w14:textId="77777777" w:rsidR="00401786" w:rsidRDefault="00401786" w:rsidP="000E757E">
            <w:pPr>
              <w:snapToGrid w:val="0"/>
              <w:spacing w:line="240" w:lineRule="atLeast"/>
              <w:rPr>
                <w:rFonts w:ascii="標楷體" w:eastAsia="標楷體" w:hAnsi="標楷體"/>
                <w:color w:val="000000"/>
                <w:sz w:val="20"/>
                <w:szCs w:val="20"/>
              </w:rPr>
            </w:pPr>
          </w:p>
        </w:tc>
        <w:tc>
          <w:tcPr>
            <w:tcW w:w="195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3C1645"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113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2F3CFD"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3B43B3A4"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7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4F6CA0" w14:textId="77777777" w:rsidR="00401786" w:rsidRDefault="00401786" w:rsidP="000E757E">
            <w:pPr>
              <w:snapToGrid w:val="0"/>
              <w:spacing w:line="240" w:lineRule="atLeast"/>
              <w:rPr>
                <w:rFonts w:ascii="標楷體" w:eastAsia="標楷體" w:hAnsi="標楷體"/>
                <w:color w:val="000000"/>
                <w:sz w:val="20"/>
                <w:szCs w:val="20"/>
              </w:rPr>
            </w:pPr>
          </w:p>
        </w:tc>
        <w:tc>
          <w:tcPr>
            <w:tcW w:w="95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070BFF"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25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63EF4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7CDB5FE" w14:textId="77777777">
        <w:trPr>
          <w:cantSplit/>
          <w:trHeight w:hRule="exact" w:val="483"/>
        </w:trPr>
        <w:tc>
          <w:tcPr>
            <w:tcW w:w="2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1E8AD"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18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9821DE" w14:textId="77777777" w:rsidR="00401786" w:rsidRDefault="00401786" w:rsidP="000E757E">
            <w:pPr>
              <w:snapToGrid w:val="0"/>
              <w:spacing w:line="240" w:lineRule="atLeast"/>
              <w:rPr>
                <w:rFonts w:ascii="標楷體" w:eastAsia="標楷體" w:hAnsi="標楷體"/>
                <w:color w:val="000000"/>
                <w:sz w:val="20"/>
                <w:szCs w:val="20"/>
              </w:rPr>
            </w:pPr>
          </w:p>
        </w:tc>
        <w:tc>
          <w:tcPr>
            <w:tcW w:w="95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582681"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62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C9E913" w14:textId="77777777" w:rsidR="00401786" w:rsidRDefault="00401786" w:rsidP="000E757E">
            <w:pPr>
              <w:snapToGrid w:val="0"/>
              <w:spacing w:line="240" w:lineRule="atLeast"/>
              <w:rPr>
                <w:rFonts w:ascii="標楷體" w:eastAsia="標楷體" w:hAnsi="標楷體"/>
                <w:color w:val="000000"/>
                <w:sz w:val="20"/>
                <w:szCs w:val="20"/>
              </w:rPr>
            </w:pPr>
          </w:p>
        </w:tc>
        <w:tc>
          <w:tcPr>
            <w:tcW w:w="170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FF38F2"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253"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E387ADA"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14CD6E6B" w14:textId="77777777">
        <w:trPr>
          <w:cantSplit/>
        </w:trPr>
        <w:tc>
          <w:tcPr>
            <w:tcW w:w="2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CB9EFA"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9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9E9E2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6804"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264D5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727A5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19CB629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113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92540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4AADB50E"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253"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507BC3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76935FAF" w14:textId="77777777">
        <w:trPr>
          <w:cantSplit/>
          <w:trHeight w:val="4152"/>
        </w:trPr>
        <w:tc>
          <w:tcPr>
            <w:tcW w:w="2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11B4D2"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proofErr w:type="spellStart"/>
            <w:r>
              <w:rPr>
                <w:rFonts w:ascii="標楷體" w:eastAsia="標楷體" w:hAnsi="標楷體"/>
                <w:color w:val="000000"/>
                <w:sz w:val="20"/>
                <w:szCs w:val="20"/>
              </w:rPr>
              <w:t>Tarceva</w:t>
            </w:r>
            <w:proofErr w:type="spellEnd"/>
          </w:p>
          <w:p w14:paraId="4A52ADBC"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B024407100</w:t>
            </w:r>
          </w:p>
          <w:p w14:paraId="60DFF025"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B024410100</w:t>
            </w:r>
          </w:p>
          <w:p w14:paraId="0A0C9609"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E47B8A"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1B640D50"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p w14:paraId="685F8808" w14:textId="77777777" w:rsidR="00401786" w:rsidRDefault="00401786" w:rsidP="000E757E">
            <w:pPr>
              <w:snapToGrid w:val="0"/>
              <w:spacing w:before="180" w:line="240" w:lineRule="atLeast"/>
              <w:ind w:left="168" w:hanging="142"/>
              <w:rPr>
                <w:rFonts w:ascii="標楷體" w:eastAsia="標楷體" w:hAnsi="標楷體"/>
                <w:color w:val="000000"/>
                <w:sz w:val="20"/>
                <w:szCs w:val="20"/>
              </w:rPr>
            </w:pPr>
          </w:p>
        </w:tc>
        <w:tc>
          <w:tcPr>
            <w:tcW w:w="6804"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F2902C" w14:textId="77777777" w:rsidR="00401786" w:rsidRDefault="00C64FB3" w:rsidP="000E757E">
            <w:pPr>
              <w:snapToGrid w:val="0"/>
              <w:spacing w:before="100" w:line="240" w:lineRule="atLeast"/>
              <w:ind w:left="362" w:hanging="242"/>
              <w:jc w:val="both"/>
            </w:pPr>
            <w:r>
              <w:rPr>
                <w:rFonts w:ascii="標楷體" w:eastAsia="標楷體" w:hAnsi="標楷體"/>
                <w:color w:val="000000"/>
                <w:sz w:val="20"/>
                <w:szCs w:val="20"/>
              </w:rPr>
              <w:t>□A.</w:t>
            </w:r>
            <w:r>
              <w:rPr>
                <w:rFonts w:ascii="標楷體" w:eastAsia="標楷體" w:hAnsi="標楷體" w:cs="標楷體"/>
                <w:color w:val="000000"/>
                <w:sz w:val="20"/>
                <w:szCs w:val="20"/>
              </w:rPr>
              <w:t>限單獨使用先前已使用過第一線含鉑化學治療，或</w:t>
            </w:r>
            <w:r>
              <w:rPr>
                <w:rFonts w:ascii="標楷體" w:eastAsia="標楷體" w:hAnsi="標楷體"/>
                <w:color w:val="000000"/>
                <w:sz w:val="20"/>
                <w:szCs w:val="20"/>
              </w:rPr>
              <w:t>70</w:t>
            </w:r>
            <w:r>
              <w:rPr>
                <w:rFonts w:ascii="標楷體" w:eastAsia="標楷體" w:hAnsi="標楷體" w:cs="標楷體"/>
                <w:color w:val="000000"/>
                <w:sz w:val="20"/>
                <w:szCs w:val="20"/>
              </w:rPr>
              <w:t>歲(含)以上接受過第一線化學治療，但仍局部惡化或轉移</w:t>
            </w:r>
            <w:proofErr w:type="gramStart"/>
            <w:r>
              <w:rPr>
                <w:rFonts w:ascii="標楷體" w:eastAsia="標楷體" w:hAnsi="標楷體" w:cs="標楷體"/>
                <w:color w:val="000000"/>
                <w:sz w:val="20"/>
                <w:szCs w:val="20"/>
              </w:rPr>
              <w:t>之腺性非</w:t>
            </w:r>
            <w:proofErr w:type="gramEnd"/>
            <w:r>
              <w:rPr>
                <w:rFonts w:ascii="標楷體" w:eastAsia="標楷體" w:hAnsi="標楷體" w:cs="標楷體"/>
                <w:color w:val="000000"/>
                <w:sz w:val="20"/>
                <w:szCs w:val="20"/>
              </w:rPr>
              <w:t>小細胞肺癌之第二線用藥。</w:t>
            </w:r>
          </w:p>
          <w:p w14:paraId="7B91A5B9" w14:textId="77777777" w:rsidR="00401786" w:rsidRDefault="00C64FB3" w:rsidP="000E757E">
            <w:pPr>
              <w:snapToGrid w:val="0"/>
              <w:spacing w:before="50" w:line="240" w:lineRule="atLeast"/>
              <w:ind w:left="120" w:firstLine="200"/>
            </w:pPr>
            <w:r>
              <w:rPr>
                <w:rFonts w:ascii="標楷體" w:eastAsia="標楷體" w:hAnsi="標楷體" w:cs="標楷體"/>
                <w:color w:val="000000"/>
                <w:sz w:val="20"/>
                <w:szCs w:val="20"/>
              </w:rPr>
              <w:t>※檢附資料</w:t>
            </w:r>
          </w:p>
          <w:p w14:paraId="1D8F9DD3"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非小細胞肺癌之病理或細胞檢查報告</w:t>
            </w:r>
          </w:p>
          <w:p w14:paraId="29A6659F"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曾經接受第一線含鉑化學治療，</w:t>
            </w:r>
            <w:r>
              <w:rPr>
                <w:rFonts w:ascii="標楷體" w:eastAsia="標楷體" w:hAnsi="標楷體"/>
                <w:color w:val="000000"/>
                <w:sz w:val="20"/>
                <w:szCs w:val="20"/>
              </w:rPr>
              <w:t>或70歲(含</w:t>
            </w:r>
            <w:r>
              <w:rPr>
                <w:rFonts w:ascii="標楷體" w:eastAsia="標楷體" w:hAnsi="標楷體" w:cs="標楷體"/>
                <w:color w:val="000000"/>
                <w:sz w:val="20"/>
                <w:szCs w:val="20"/>
              </w:rPr>
              <w:t>)以上接受過第一線化學治療之證明</w:t>
            </w:r>
          </w:p>
          <w:p w14:paraId="6F95408D"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影像診斷證明（如胸部</w:t>
            </w:r>
            <w:r>
              <w:rPr>
                <w:rFonts w:ascii="標楷體" w:eastAsia="標楷體" w:hAnsi="標楷體"/>
                <w:color w:val="000000"/>
                <w:sz w:val="20"/>
                <w:szCs w:val="20"/>
              </w:rPr>
              <w:t>X</w:t>
            </w:r>
            <w:r>
              <w:rPr>
                <w:rFonts w:ascii="標楷體" w:eastAsia="標楷體" w:hAnsi="標楷體" w:cs="標楷體"/>
                <w:color w:val="000000"/>
                <w:sz w:val="20"/>
                <w:szCs w:val="20"/>
              </w:rPr>
              <w:t>光、電腦斷層或其他可作為評估的影像）</w:t>
            </w:r>
          </w:p>
          <w:p w14:paraId="4BDA5F7A" w14:textId="77777777" w:rsidR="00401786" w:rsidRDefault="00C64FB3" w:rsidP="000E757E">
            <w:pPr>
              <w:snapToGrid w:val="0"/>
              <w:spacing w:before="50" w:line="240" w:lineRule="atLeast"/>
              <w:ind w:left="338" w:hanging="218"/>
            </w:pPr>
            <w:r>
              <w:rPr>
                <w:rFonts w:ascii="標楷體" w:eastAsia="標楷體" w:hAnsi="標楷體"/>
                <w:color w:val="000000"/>
                <w:sz w:val="20"/>
                <w:szCs w:val="20"/>
              </w:rPr>
              <w:t>□B.</w:t>
            </w:r>
            <w:r>
              <w:rPr>
                <w:rFonts w:ascii="標楷體" w:eastAsia="標楷體" w:hAnsi="標楷體" w:cs="標楷體"/>
                <w:color w:val="000000"/>
                <w:sz w:val="20"/>
                <w:szCs w:val="20"/>
              </w:rPr>
              <w:t>限單獨使用於先前已使用過</w:t>
            </w:r>
            <w:r>
              <w:rPr>
                <w:rFonts w:ascii="標楷體" w:eastAsia="標楷體" w:hAnsi="標楷體"/>
                <w:color w:val="000000"/>
                <w:sz w:val="20"/>
                <w:szCs w:val="20"/>
              </w:rPr>
              <w:t>platinum類及docetaxel或paclitaxel</w:t>
            </w:r>
            <w:r>
              <w:rPr>
                <w:rFonts w:ascii="標楷體" w:eastAsia="標楷體" w:hAnsi="標楷體" w:cs="標楷體"/>
                <w:color w:val="000000"/>
                <w:sz w:val="20"/>
                <w:szCs w:val="20"/>
              </w:rPr>
              <w:t>化學治療後，但仍局部惡化或轉移之非小細胞肺癌之第三線用藥。</w:t>
            </w:r>
          </w:p>
          <w:p w14:paraId="138DA7B6" w14:textId="77777777" w:rsidR="00401786" w:rsidRDefault="00C64FB3" w:rsidP="000E757E">
            <w:pPr>
              <w:snapToGrid w:val="0"/>
              <w:spacing w:before="50" w:line="240" w:lineRule="atLeast"/>
              <w:ind w:left="120"/>
            </w:pPr>
            <w:r>
              <w:rPr>
                <w:rFonts w:ascii="標楷體" w:eastAsia="標楷體" w:hAnsi="標楷體" w:cs="標楷體"/>
                <w:color w:val="000000"/>
                <w:sz w:val="20"/>
                <w:szCs w:val="20"/>
              </w:rPr>
              <w:t>※檢附資料</w:t>
            </w:r>
          </w:p>
          <w:p w14:paraId="3C67A32B"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非小細胞肺癌之病理或細胞檢查報告</w:t>
            </w:r>
          </w:p>
          <w:p w14:paraId="6EEB8F58"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olor w:val="000000"/>
                <w:sz w:val="20"/>
                <w:szCs w:val="20"/>
              </w:rPr>
              <w:t>曾經接受第一線及第二線化學藥物如platinum（cisplatin或carboplatin）與</w:t>
            </w:r>
            <w:proofErr w:type="spellStart"/>
            <w:r>
              <w:rPr>
                <w:rFonts w:ascii="標楷體" w:eastAsia="標楷體" w:hAnsi="標楷體"/>
                <w:color w:val="000000"/>
                <w:sz w:val="20"/>
                <w:szCs w:val="20"/>
              </w:rPr>
              <w:t>taxanes</w:t>
            </w:r>
            <w:proofErr w:type="spellEnd"/>
            <w:r>
              <w:rPr>
                <w:rFonts w:ascii="標楷體" w:eastAsia="標楷體" w:hAnsi="標楷體"/>
                <w:color w:val="000000"/>
                <w:sz w:val="20"/>
                <w:szCs w:val="20"/>
              </w:rPr>
              <w:t>（paclitaxel或docetaxel）治療之證明.</w:t>
            </w:r>
          </w:p>
          <w:p w14:paraId="5DE7244B"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影像診斷證明（如胸部</w:t>
            </w:r>
            <w:r>
              <w:rPr>
                <w:rFonts w:ascii="標楷體" w:eastAsia="標楷體" w:hAnsi="標楷體"/>
                <w:color w:val="000000"/>
                <w:sz w:val="20"/>
                <w:szCs w:val="20"/>
              </w:rPr>
              <w:t>X光</w:t>
            </w:r>
            <w:r>
              <w:rPr>
                <w:rFonts w:ascii="標楷體" w:eastAsia="標楷體" w:hAnsi="標楷體" w:cs="標楷體"/>
                <w:color w:val="000000"/>
                <w:sz w:val="20"/>
                <w:szCs w:val="20"/>
              </w:rPr>
              <w:t>、電腦斷層或其他可作為評估的影像），</w:t>
            </w:r>
          </w:p>
          <w:p w14:paraId="07683EDF" w14:textId="77777777" w:rsidR="00401786" w:rsidRDefault="00C64FB3" w:rsidP="000E757E">
            <w:pPr>
              <w:snapToGrid w:val="0"/>
              <w:spacing w:before="50" w:line="240" w:lineRule="atLeast"/>
              <w:ind w:left="238" w:hanging="118"/>
            </w:pPr>
            <w:r>
              <w:rPr>
                <w:rFonts w:ascii="標楷體" w:eastAsia="標楷體" w:hAnsi="標楷體"/>
                <w:color w:val="000000"/>
                <w:sz w:val="20"/>
                <w:szCs w:val="20"/>
              </w:rPr>
              <w:t>□C.</w:t>
            </w:r>
            <w:r>
              <w:rPr>
                <w:rFonts w:ascii="標楷體" w:eastAsia="標楷體" w:hAnsi="標楷體" w:cs="標楷體"/>
                <w:color w:val="000000"/>
                <w:sz w:val="20"/>
                <w:szCs w:val="20"/>
              </w:rPr>
              <w:t>治療後再次申請之相關臨床資料</w:t>
            </w:r>
          </w:p>
          <w:p w14:paraId="45409A86" w14:textId="77777777" w:rsidR="00401786" w:rsidRDefault="00C64FB3" w:rsidP="000E757E">
            <w:pPr>
              <w:snapToGrid w:val="0"/>
              <w:spacing w:before="50" w:line="240" w:lineRule="atLeast"/>
              <w:ind w:left="478" w:hanging="118"/>
            </w:pPr>
            <w:r>
              <w:rPr>
                <w:rFonts w:ascii="標楷體" w:eastAsia="標楷體" w:hAnsi="標楷體" w:cs="標楷體"/>
                <w:color w:val="000000"/>
                <w:sz w:val="20"/>
                <w:szCs w:val="20"/>
              </w:rPr>
              <w:t>□胸部</w:t>
            </w:r>
            <w:r>
              <w:rPr>
                <w:rFonts w:ascii="標楷體" w:eastAsia="標楷體" w:hAnsi="標楷體"/>
                <w:color w:val="000000"/>
                <w:sz w:val="20"/>
                <w:szCs w:val="20"/>
              </w:rPr>
              <w:t>X</w:t>
            </w:r>
            <w:r>
              <w:rPr>
                <w:rFonts w:ascii="標楷體" w:eastAsia="標楷體" w:hAnsi="標楷體" w:cs="標楷體"/>
                <w:color w:val="000000"/>
                <w:sz w:val="20"/>
                <w:szCs w:val="20"/>
              </w:rPr>
              <w:t>光□電腦斷層□其他</w:t>
            </w:r>
          </w:p>
          <w:p w14:paraId="5A74D248" w14:textId="77777777" w:rsidR="00401786" w:rsidRDefault="00C64FB3" w:rsidP="000E757E">
            <w:pPr>
              <w:snapToGrid w:val="0"/>
              <w:spacing w:before="50" w:line="240" w:lineRule="atLeast"/>
              <w:ind w:firstLine="110"/>
              <w:rPr>
                <w:rFonts w:ascii="標楷體" w:eastAsia="標楷體" w:hAnsi="標楷體"/>
                <w:color w:val="000000"/>
                <w:sz w:val="20"/>
                <w:szCs w:val="20"/>
              </w:rPr>
            </w:pPr>
            <w:r>
              <w:rPr>
                <w:rFonts w:ascii="標楷體" w:eastAsia="標楷體" w:hAnsi="標楷體"/>
                <w:color w:val="000000"/>
                <w:sz w:val="20"/>
                <w:szCs w:val="20"/>
              </w:rPr>
              <w:t>□D.不得與gefitinib（如</w:t>
            </w:r>
            <w:proofErr w:type="spellStart"/>
            <w:r>
              <w:rPr>
                <w:rFonts w:ascii="標楷體" w:eastAsia="標楷體" w:hAnsi="標楷體"/>
                <w:color w:val="000000"/>
                <w:sz w:val="20"/>
                <w:szCs w:val="20"/>
              </w:rPr>
              <w:t>Iressa</w:t>
            </w:r>
            <w:proofErr w:type="spellEnd"/>
            <w:r>
              <w:rPr>
                <w:rFonts w:ascii="標楷體" w:eastAsia="標楷體" w:hAnsi="標楷體"/>
                <w:color w:val="000000"/>
                <w:sz w:val="20"/>
                <w:szCs w:val="20"/>
              </w:rPr>
              <w:t>）及afatinib(如</w:t>
            </w:r>
            <w:proofErr w:type="spellStart"/>
            <w:r>
              <w:rPr>
                <w:rFonts w:ascii="標楷體" w:eastAsia="標楷體" w:hAnsi="標楷體"/>
                <w:color w:val="000000"/>
                <w:sz w:val="20"/>
                <w:szCs w:val="20"/>
              </w:rPr>
              <w:t>Giotrif</w:t>
            </w:r>
            <w:proofErr w:type="spellEnd"/>
            <w:r>
              <w:rPr>
                <w:rFonts w:ascii="標楷體" w:eastAsia="標楷體" w:hAnsi="標楷體"/>
                <w:color w:val="000000"/>
                <w:sz w:val="20"/>
                <w:szCs w:val="20"/>
              </w:rPr>
              <w:t>)</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w:t>
            </w:r>
          </w:p>
        </w:tc>
        <w:tc>
          <w:tcPr>
            <w:tcW w:w="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B3F88F" w14:textId="77777777" w:rsidR="00401786" w:rsidRDefault="00401786" w:rsidP="000E757E">
            <w:pPr>
              <w:snapToGrid w:val="0"/>
              <w:spacing w:line="240" w:lineRule="atLeast"/>
              <w:rPr>
                <w:rFonts w:ascii="標楷體" w:eastAsia="標楷體" w:hAnsi="標楷體"/>
                <w:color w:val="000000"/>
                <w:sz w:val="20"/>
                <w:szCs w:val="20"/>
              </w:rPr>
            </w:pPr>
          </w:p>
        </w:tc>
        <w:tc>
          <w:tcPr>
            <w:tcW w:w="9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536F12" w14:textId="77777777" w:rsidR="00401786" w:rsidRDefault="00401786" w:rsidP="000E757E">
            <w:pPr>
              <w:snapToGrid w:val="0"/>
              <w:spacing w:line="240" w:lineRule="atLeast"/>
              <w:rPr>
                <w:rFonts w:ascii="標楷體" w:eastAsia="標楷體" w:hAnsi="標楷體"/>
                <w:color w:val="000000"/>
                <w:sz w:val="20"/>
                <w:szCs w:val="20"/>
              </w:rPr>
            </w:pPr>
          </w:p>
        </w:tc>
        <w:tc>
          <w:tcPr>
            <w:tcW w:w="4395" w:type="dxa"/>
            <w:gridSpan w:val="10"/>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0D8FFAC" w14:textId="77777777" w:rsidR="00401786" w:rsidRDefault="00C64FB3">
            <w:pPr>
              <w:numPr>
                <w:ilvl w:val="0"/>
                <w:numId w:val="61"/>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FD5462B"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13F1D3EA"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F5B67E3"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30AD4BED"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0346A27C"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47D42B4A"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318D9139"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1F09124C" w14:textId="77777777" w:rsidR="00401786" w:rsidRDefault="00C64FB3">
            <w:pPr>
              <w:numPr>
                <w:ilvl w:val="0"/>
                <w:numId w:val="61"/>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3A0FB83D" w14:textId="77777777" w:rsidR="00401786" w:rsidRDefault="00C64FB3">
            <w:pPr>
              <w:numPr>
                <w:ilvl w:val="0"/>
                <w:numId w:val="61"/>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081BD2B5" w14:textId="77777777" w:rsidR="00401786" w:rsidRDefault="00C64FB3">
            <w:pPr>
              <w:numPr>
                <w:ilvl w:val="0"/>
                <w:numId w:val="61"/>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2E6F155D"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06CC9324" w14:textId="77777777">
        <w:trPr>
          <w:cantSplit/>
          <w:trHeight w:val="270"/>
        </w:trPr>
        <w:tc>
          <w:tcPr>
            <w:tcW w:w="11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CAA0AF" w14:textId="77777777" w:rsidR="00401786" w:rsidRDefault="00C64FB3" w:rsidP="000E757E">
            <w:pPr>
              <w:snapToGrid w:val="0"/>
              <w:spacing w:line="240" w:lineRule="atLeast"/>
            </w:pPr>
            <w:r>
              <w:rPr>
                <w:rFonts w:ascii="標楷體" w:eastAsia="標楷體" w:hAnsi="標楷體" w:cs="標楷體"/>
                <w:color w:val="000000"/>
              </w:rPr>
              <w:t>注意事項</w:t>
            </w:r>
          </w:p>
          <w:p w14:paraId="0E830077" w14:textId="77777777" w:rsidR="00401786" w:rsidRDefault="00401786" w:rsidP="000E757E">
            <w:pPr>
              <w:snapToGrid w:val="0"/>
              <w:spacing w:line="240" w:lineRule="atLeast"/>
              <w:ind w:hanging="211"/>
              <w:rPr>
                <w:rFonts w:ascii="標楷體" w:eastAsia="標楷體" w:hAnsi="標楷體"/>
                <w:color w:val="000000"/>
                <w:sz w:val="20"/>
                <w:szCs w:val="20"/>
              </w:rPr>
            </w:pPr>
          </w:p>
        </w:tc>
        <w:tc>
          <w:tcPr>
            <w:tcW w:w="10524" w:type="dxa"/>
            <w:gridSpan w:val="21"/>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5931F"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1AD9E774"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「原受理編號」申復時填寫，初次送核不需填寫。</w:t>
            </w:r>
          </w:p>
          <w:p w14:paraId="349102CA"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3A24DB52"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lastRenderedPageBreak/>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2FEADC2"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對複核結果如有異議，得於收到複核通知之日起六十日內向全民健康保險爭議審議會申請審議。</w:t>
            </w:r>
          </w:p>
          <w:p w14:paraId="6F5CC490"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4EDC764" w14:textId="77777777" w:rsidR="00401786" w:rsidRDefault="00C64FB3">
            <w:pPr>
              <w:numPr>
                <w:ilvl w:val="0"/>
                <w:numId w:val="62"/>
              </w:numPr>
              <w:snapToGrid w:val="0"/>
              <w:spacing w:line="240" w:lineRule="atLeast"/>
              <w:ind w:left="0"/>
            </w:pPr>
            <w:proofErr w:type="spellStart"/>
            <w:r>
              <w:rPr>
                <w:rFonts w:ascii="標楷體" w:eastAsia="標楷體" w:hAnsi="標楷體"/>
                <w:color w:val="000000"/>
                <w:kern w:val="0"/>
                <w:sz w:val="20"/>
                <w:szCs w:val="20"/>
              </w:rPr>
              <w:t>Tarceva</w:t>
            </w:r>
            <w:proofErr w:type="spellEnd"/>
            <w:r>
              <w:rPr>
                <w:rFonts w:ascii="標楷體" w:eastAsia="標楷體" w:hAnsi="標楷體"/>
                <w:color w:val="000000"/>
                <w:sz w:val="20"/>
                <w:szCs w:val="20"/>
              </w:rPr>
              <w:t>每使用三個月需作療效評估，且需再經專業審查後始能繼續使用。</w:t>
            </w:r>
          </w:p>
          <w:p w14:paraId="41072391"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253"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9EC3C27"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39309DF" w14:textId="77777777">
        <w:trPr>
          <w:cantSplit/>
          <w:trHeight w:val="965"/>
        </w:trPr>
        <w:tc>
          <w:tcPr>
            <w:tcW w:w="11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357FED" w14:textId="77777777" w:rsidR="00401786" w:rsidRDefault="00401786" w:rsidP="000E757E">
            <w:pPr>
              <w:snapToGrid w:val="0"/>
              <w:spacing w:line="240" w:lineRule="atLeast"/>
              <w:ind w:left="211" w:hanging="211"/>
              <w:rPr>
                <w:rFonts w:ascii="標楷體" w:eastAsia="標楷體" w:hAnsi="標楷體"/>
                <w:color w:val="000000"/>
              </w:rPr>
            </w:pPr>
          </w:p>
        </w:tc>
        <w:tc>
          <w:tcPr>
            <w:tcW w:w="10524"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99B9D" w14:textId="77777777" w:rsidR="00401786" w:rsidRDefault="00401786" w:rsidP="000E757E">
            <w:pPr>
              <w:snapToGrid w:val="0"/>
              <w:spacing w:line="240" w:lineRule="atLeast"/>
              <w:ind w:left="211" w:hanging="211"/>
              <w:rPr>
                <w:rFonts w:ascii="標楷體" w:eastAsia="標楷體" w:hAnsi="標楷體"/>
                <w:color w:val="000000"/>
              </w:rPr>
            </w:pPr>
          </w:p>
        </w:tc>
        <w:tc>
          <w:tcPr>
            <w:tcW w:w="2198" w:type="dxa"/>
            <w:gridSpan w:val="7"/>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539AE5" w14:textId="77777777" w:rsidR="00401786" w:rsidRDefault="00401786" w:rsidP="000E757E">
            <w:pPr>
              <w:snapToGrid w:val="0"/>
              <w:spacing w:line="240" w:lineRule="atLeast"/>
              <w:jc w:val="both"/>
              <w:rPr>
                <w:rFonts w:ascii="標楷體" w:eastAsia="標楷體" w:hAnsi="標楷體"/>
                <w:color w:val="000000"/>
              </w:rPr>
            </w:pPr>
          </w:p>
          <w:p w14:paraId="326A1A42" w14:textId="77777777" w:rsidR="00401786" w:rsidRDefault="00401786" w:rsidP="000E757E">
            <w:pPr>
              <w:snapToGrid w:val="0"/>
              <w:spacing w:line="240" w:lineRule="atLeast"/>
              <w:jc w:val="both"/>
              <w:rPr>
                <w:rFonts w:ascii="標楷體" w:eastAsia="標楷體" w:hAnsi="標楷體"/>
                <w:color w:val="000000"/>
              </w:rPr>
            </w:pPr>
          </w:p>
          <w:p w14:paraId="2B7E325D"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235EF234"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7E7542" w14:textId="77777777" w:rsidR="00401786" w:rsidRDefault="00C64FB3" w:rsidP="000E757E">
            <w:pPr>
              <w:snapToGrid w:val="0"/>
              <w:spacing w:line="240" w:lineRule="atLeast"/>
            </w:pPr>
            <w:r>
              <w:rPr>
                <w:rFonts w:ascii="標楷體" w:eastAsia="標楷體" w:hAnsi="標楷體" w:cs="標楷體"/>
                <w:color w:val="000000"/>
              </w:rPr>
              <w:lastRenderedPageBreak/>
              <w:t>審查醫</w:t>
            </w:r>
            <w:r>
              <w:rPr>
                <w:rFonts w:ascii="標楷體" w:eastAsia="標楷體" w:hAnsi="標楷體" w:cs="標楷體"/>
                <w:color w:val="000000"/>
              </w:rPr>
              <w:lastRenderedPageBreak/>
              <w:t>師</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651993" w14:textId="77777777" w:rsidR="00401786" w:rsidRDefault="00401786" w:rsidP="000E757E">
            <w:pPr>
              <w:snapToGrid w:val="0"/>
              <w:spacing w:line="240" w:lineRule="atLeast"/>
              <w:rPr>
                <w:rFonts w:ascii="標楷體" w:eastAsia="標楷體" w:hAnsi="標楷體"/>
                <w:color w:val="000000"/>
              </w:rPr>
            </w:pPr>
          </w:p>
        </w:tc>
      </w:tr>
      <w:tr w:rsidR="00401786" w14:paraId="7DFE6D0B" w14:textId="77777777">
        <w:trPr>
          <w:cantSplit/>
          <w:trHeight w:val="513"/>
        </w:trPr>
        <w:tc>
          <w:tcPr>
            <w:tcW w:w="11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EE984F" w14:textId="77777777" w:rsidR="00401786" w:rsidRDefault="00401786" w:rsidP="000E757E">
            <w:pPr>
              <w:snapToGrid w:val="0"/>
              <w:spacing w:line="240" w:lineRule="atLeast"/>
              <w:ind w:left="211" w:hanging="211"/>
              <w:rPr>
                <w:rFonts w:ascii="標楷體" w:eastAsia="標楷體" w:hAnsi="標楷體"/>
                <w:color w:val="000000"/>
              </w:rPr>
            </w:pPr>
          </w:p>
        </w:tc>
        <w:tc>
          <w:tcPr>
            <w:tcW w:w="10524"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5608E9" w14:textId="77777777" w:rsidR="00401786" w:rsidRDefault="00401786" w:rsidP="000E757E">
            <w:pPr>
              <w:snapToGrid w:val="0"/>
              <w:spacing w:line="240" w:lineRule="atLeast"/>
              <w:ind w:left="211" w:hanging="211"/>
              <w:rPr>
                <w:rFonts w:ascii="標楷體" w:eastAsia="標楷體" w:hAnsi="標楷體"/>
                <w:color w:val="000000"/>
              </w:rPr>
            </w:pPr>
          </w:p>
        </w:tc>
        <w:tc>
          <w:tcPr>
            <w:tcW w:w="2198" w:type="dxa"/>
            <w:gridSpan w:val="7"/>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A09003" w14:textId="77777777" w:rsidR="00401786" w:rsidRDefault="00401786" w:rsidP="000E757E">
            <w:pPr>
              <w:snapToGrid w:val="0"/>
              <w:spacing w:line="240" w:lineRule="atLeast"/>
              <w:rPr>
                <w:rFonts w:ascii="標楷體" w:eastAsia="標楷體" w:hAnsi="標楷體"/>
                <w:color w:val="000000"/>
              </w:rPr>
            </w:pPr>
          </w:p>
        </w:tc>
        <w:tc>
          <w:tcPr>
            <w:tcW w:w="37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C193DC" w14:textId="77777777" w:rsidR="00401786" w:rsidRDefault="00401786" w:rsidP="000E757E">
            <w:pPr>
              <w:snapToGrid w:val="0"/>
              <w:spacing w:line="240" w:lineRule="atLeast"/>
              <w:rPr>
                <w:rFonts w:ascii="標楷體" w:eastAsia="標楷體" w:hAnsi="標楷體"/>
                <w:color w:val="000000"/>
              </w:rPr>
            </w:pP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257C7" w14:textId="77777777" w:rsidR="00401786" w:rsidRDefault="00401786" w:rsidP="000E757E">
            <w:pPr>
              <w:snapToGrid w:val="0"/>
              <w:spacing w:line="240" w:lineRule="atLeast"/>
              <w:rPr>
                <w:rFonts w:ascii="標楷體" w:eastAsia="標楷體" w:hAnsi="標楷體"/>
                <w:color w:val="000000"/>
              </w:rPr>
            </w:pPr>
          </w:p>
        </w:tc>
      </w:tr>
      <w:tr w:rsidR="00401786" w14:paraId="0E330212" w14:textId="77777777">
        <w:trPr>
          <w:cantSplit/>
          <w:trHeight w:val="624"/>
        </w:trPr>
        <w:tc>
          <w:tcPr>
            <w:tcW w:w="15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AA33A9"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05"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8CAD31"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1FDCFFA1" w14:textId="77777777" w:rsidR="00401786" w:rsidRDefault="00401786" w:rsidP="000E757E">
            <w:pPr>
              <w:snapToGrid w:val="0"/>
              <w:spacing w:line="240" w:lineRule="atLeast"/>
              <w:rPr>
                <w:rFonts w:ascii="標楷體" w:eastAsia="標楷體" w:hAnsi="標楷體"/>
                <w:color w:val="000000"/>
                <w:sz w:val="20"/>
                <w:szCs w:val="20"/>
              </w:rPr>
            </w:pPr>
          </w:p>
          <w:p w14:paraId="7C477A42"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71"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2A2DB6"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76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288326" w14:textId="77777777" w:rsidR="00401786" w:rsidRDefault="00401786" w:rsidP="000E757E">
            <w:pPr>
              <w:widowControl/>
              <w:snapToGrid w:val="0"/>
              <w:spacing w:line="240" w:lineRule="atLeast"/>
              <w:rPr>
                <w:rFonts w:ascii="標楷體" w:eastAsia="標楷體" w:hAnsi="標楷體"/>
                <w:color w:val="000000"/>
                <w:sz w:val="20"/>
                <w:szCs w:val="20"/>
              </w:rPr>
            </w:pPr>
          </w:p>
          <w:p w14:paraId="4B3C0F16"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1BA75E"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F09BF5" w14:textId="77777777" w:rsidR="00401786" w:rsidRDefault="00401786" w:rsidP="000E757E">
            <w:pPr>
              <w:widowControl/>
              <w:snapToGrid w:val="0"/>
              <w:spacing w:line="240" w:lineRule="atLeast"/>
              <w:rPr>
                <w:rFonts w:ascii="標楷體" w:eastAsia="標楷體" w:hAnsi="標楷體"/>
                <w:color w:val="000000"/>
                <w:sz w:val="20"/>
                <w:szCs w:val="20"/>
              </w:rPr>
            </w:pPr>
          </w:p>
          <w:p w14:paraId="369C0BE7"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81672D"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5FDD0C" w14:textId="77777777" w:rsidR="00401786" w:rsidRDefault="00401786" w:rsidP="000E757E">
            <w:pPr>
              <w:widowControl/>
              <w:snapToGrid w:val="0"/>
              <w:spacing w:line="240" w:lineRule="atLeast"/>
              <w:rPr>
                <w:rFonts w:ascii="標楷體" w:eastAsia="標楷體" w:hAnsi="標楷體"/>
                <w:color w:val="000000"/>
                <w:sz w:val="20"/>
                <w:szCs w:val="20"/>
              </w:rPr>
            </w:pPr>
          </w:p>
          <w:p w14:paraId="4EAFFBF0" w14:textId="77777777" w:rsidR="00401786" w:rsidRDefault="00401786" w:rsidP="000E757E">
            <w:pPr>
              <w:snapToGrid w:val="0"/>
              <w:spacing w:line="240" w:lineRule="atLeast"/>
              <w:rPr>
                <w:rFonts w:ascii="標楷體" w:eastAsia="標楷體" w:hAnsi="標楷體"/>
                <w:color w:val="000000"/>
                <w:sz w:val="20"/>
                <w:szCs w:val="2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60F337"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tc>
        <w:tc>
          <w:tcPr>
            <w:tcW w:w="168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5F5455" w14:textId="77777777" w:rsidR="00401786" w:rsidRDefault="00401786" w:rsidP="000E757E">
            <w:pPr>
              <w:snapToGrid w:val="0"/>
              <w:spacing w:line="240" w:lineRule="atLeast"/>
              <w:rPr>
                <w:rFonts w:ascii="標楷體" w:eastAsia="標楷體" w:hAnsi="標楷體"/>
                <w:color w:val="000000"/>
                <w:sz w:val="20"/>
                <w:szCs w:val="20"/>
              </w:rPr>
            </w:pPr>
          </w:p>
        </w:tc>
      </w:tr>
    </w:tbl>
    <w:p w14:paraId="55E32110" w14:textId="37A23F90" w:rsidR="00401786" w:rsidRPr="00F37647" w:rsidRDefault="00C64FB3" w:rsidP="000E757E">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附表九之三</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Bortezomib</w:t>
      </w:r>
      <w:r w:rsidRPr="00F37647">
        <w:rPr>
          <w:rFonts w:ascii="標楷體" w:eastAsia="標楷體" w:hAnsi="標楷體" w:cs="標楷體"/>
          <w:b/>
          <w:bCs/>
          <w:color w:val="000000"/>
        </w:rPr>
        <w:t>申請表</w:t>
      </w:r>
    </w:p>
    <w:tbl>
      <w:tblPr>
        <w:tblW w:w="15877" w:type="dxa"/>
        <w:tblInd w:w="-714" w:type="dxa"/>
        <w:tblLayout w:type="fixed"/>
        <w:tblCellMar>
          <w:left w:w="10" w:type="dxa"/>
          <w:right w:w="10" w:type="dxa"/>
        </w:tblCellMar>
        <w:tblLook w:val="0000" w:firstRow="0" w:lastRow="0" w:firstColumn="0" w:lastColumn="0" w:noHBand="0" w:noVBand="0"/>
      </w:tblPr>
      <w:tblGrid>
        <w:gridCol w:w="708"/>
        <w:gridCol w:w="283"/>
        <w:gridCol w:w="991"/>
        <w:gridCol w:w="629"/>
        <w:gridCol w:w="564"/>
        <w:gridCol w:w="354"/>
        <w:gridCol w:w="630"/>
        <w:gridCol w:w="516"/>
        <w:gridCol w:w="430"/>
        <w:gridCol w:w="1162"/>
        <w:gridCol w:w="642"/>
        <w:gridCol w:w="321"/>
        <w:gridCol w:w="1840"/>
        <w:gridCol w:w="850"/>
        <w:gridCol w:w="848"/>
        <w:gridCol w:w="567"/>
        <w:gridCol w:w="714"/>
        <w:gridCol w:w="284"/>
        <w:gridCol w:w="173"/>
        <w:gridCol w:w="536"/>
        <w:gridCol w:w="283"/>
        <w:gridCol w:w="848"/>
        <w:gridCol w:w="425"/>
        <w:gridCol w:w="1279"/>
      </w:tblGrid>
      <w:tr w:rsidR="00401786" w14:paraId="02C7BE95" w14:textId="77777777">
        <w:trPr>
          <w:cantSplit/>
          <w:trHeight w:hRule="exact" w:val="348"/>
        </w:trPr>
        <w:tc>
          <w:tcPr>
            <w:tcW w:w="2611"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5784951"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29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A16E7B"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301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185E85"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340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EED547"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78F123"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4EBD1F11" w14:textId="77777777">
        <w:trPr>
          <w:cantSplit/>
          <w:trHeight w:val="517"/>
        </w:trPr>
        <w:tc>
          <w:tcPr>
            <w:tcW w:w="7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E71F10"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2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9F86DA"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21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05221A" w14:textId="77777777" w:rsidR="00401786" w:rsidRDefault="00401786" w:rsidP="000E757E">
            <w:pPr>
              <w:snapToGrid w:val="0"/>
              <w:spacing w:line="240" w:lineRule="atLeast"/>
              <w:rPr>
                <w:rFonts w:ascii="標楷體" w:eastAsia="標楷體" w:hAnsi="標楷體"/>
                <w:color w:val="000000"/>
                <w:sz w:val="20"/>
                <w:szCs w:val="20"/>
              </w:rPr>
            </w:pPr>
          </w:p>
        </w:tc>
        <w:tc>
          <w:tcPr>
            <w:tcW w:w="35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FA0F2C"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624C8A6"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5C3274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16BD76A8"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7DBF7A"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27B137" w14:textId="77777777" w:rsidR="00401786" w:rsidRDefault="00401786" w:rsidP="000E757E">
            <w:pPr>
              <w:snapToGrid w:val="0"/>
              <w:spacing w:line="240" w:lineRule="atLeast"/>
              <w:rPr>
                <w:rFonts w:ascii="標楷體" w:eastAsia="標楷體" w:hAnsi="標楷體"/>
                <w:color w:val="000000"/>
                <w:sz w:val="20"/>
                <w:szCs w:val="20"/>
              </w:rPr>
            </w:pPr>
          </w:p>
        </w:tc>
        <w:tc>
          <w:tcPr>
            <w:tcW w:w="6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C67B98"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21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8076A5" w14:textId="77777777" w:rsidR="00401786" w:rsidRDefault="00401786" w:rsidP="000E757E">
            <w:pPr>
              <w:snapToGrid w:val="0"/>
              <w:spacing w:line="240" w:lineRule="atLeast"/>
              <w:rPr>
                <w:rFonts w:ascii="標楷體" w:eastAsia="標楷體" w:hAnsi="標楷體"/>
                <w:color w:val="000000"/>
                <w:sz w:val="20"/>
                <w:szCs w:val="20"/>
              </w:rPr>
            </w:pPr>
          </w:p>
        </w:tc>
        <w:tc>
          <w:tcPr>
            <w:tcW w:w="16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547EAB"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118C4116"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2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A9B019" w14:textId="77777777" w:rsidR="00401786" w:rsidRDefault="00401786" w:rsidP="000E757E">
            <w:pPr>
              <w:snapToGrid w:val="0"/>
              <w:spacing w:line="240" w:lineRule="atLeast"/>
              <w:rPr>
                <w:rFonts w:ascii="標楷體" w:eastAsia="標楷體" w:hAnsi="標楷體"/>
                <w:color w:val="000000"/>
                <w:sz w:val="20"/>
                <w:szCs w:val="20"/>
              </w:rPr>
            </w:pPr>
          </w:p>
        </w:tc>
        <w:tc>
          <w:tcPr>
            <w:tcW w:w="45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D59762"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33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1D5E73"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34723F4" w14:textId="77777777">
        <w:trPr>
          <w:cantSplit/>
          <w:trHeight w:val="530"/>
        </w:trPr>
        <w:tc>
          <w:tcPr>
            <w:tcW w:w="7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5DBF58"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826996"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21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19786E" w14:textId="77777777" w:rsidR="00401786" w:rsidRDefault="00401786" w:rsidP="000E757E">
            <w:pPr>
              <w:snapToGrid w:val="0"/>
              <w:spacing w:line="240" w:lineRule="atLeast"/>
              <w:rPr>
                <w:rFonts w:ascii="標楷體" w:eastAsia="標楷體" w:hAnsi="標楷體"/>
                <w:color w:val="000000"/>
                <w:sz w:val="20"/>
                <w:szCs w:val="20"/>
              </w:rPr>
            </w:pPr>
          </w:p>
        </w:tc>
        <w:tc>
          <w:tcPr>
            <w:tcW w:w="35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2E051A" w14:textId="77777777" w:rsidR="00401786" w:rsidRDefault="00401786" w:rsidP="000E757E">
            <w:pPr>
              <w:snapToGrid w:val="0"/>
              <w:spacing w:line="240" w:lineRule="atLeast"/>
              <w:rPr>
                <w:rFonts w:ascii="標楷體" w:eastAsia="標楷體" w:hAnsi="標楷體"/>
                <w:color w:val="000000"/>
                <w:sz w:val="20"/>
                <w:szCs w:val="20"/>
              </w:rPr>
            </w:pPr>
          </w:p>
        </w:tc>
        <w:tc>
          <w:tcPr>
            <w:tcW w:w="11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869AED"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4FF23FD4"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23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8777AB" w14:textId="77777777" w:rsidR="00401786" w:rsidRDefault="00401786" w:rsidP="000E757E">
            <w:pPr>
              <w:snapToGrid w:val="0"/>
              <w:spacing w:line="240" w:lineRule="atLeast"/>
              <w:rPr>
                <w:rFonts w:ascii="標楷體" w:eastAsia="標楷體" w:hAnsi="標楷體"/>
                <w:color w:val="000000"/>
                <w:sz w:val="20"/>
                <w:szCs w:val="20"/>
              </w:rPr>
            </w:pPr>
          </w:p>
        </w:tc>
        <w:tc>
          <w:tcPr>
            <w:tcW w:w="3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0691D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1214EFB2"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1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3C414D" w14:textId="77777777" w:rsidR="00401786" w:rsidRDefault="00401786" w:rsidP="000E757E">
            <w:pPr>
              <w:snapToGrid w:val="0"/>
              <w:spacing w:line="240" w:lineRule="atLeast"/>
              <w:rPr>
                <w:rFonts w:ascii="標楷體" w:eastAsia="標楷體" w:hAnsi="標楷體"/>
                <w:color w:val="000000"/>
                <w:sz w:val="20"/>
                <w:szCs w:val="20"/>
              </w:rPr>
            </w:pPr>
          </w:p>
        </w:tc>
        <w:tc>
          <w:tcPr>
            <w:tcW w:w="16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A2054F"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B2757A"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99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5191A1" w14:textId="77777777" w:rsidR="00401786" w:rsidRDefault="00401786" w:rsidP="000E757E">
            <w:pPr>
              <w:snapToGrid w:val="0"/>
              <w:spacing w:line="240" w:lineRule="atLeast"/>
              <w:rPr>
                <w:rFonts w:ascii="標楷體" w:eastAsia="標楷體" w:hAnsi="標楷體"/>
                <w:color w:val="000000"/>
                <w:sz w:val="20"/>
                <w:szCs w:val="20"/>
              </w:rPr>
            </w:pPr>
          </w:p>
        </w:tc>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4C8BD5"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9D22A6"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B67C638" w14:textId="77777777">
        <w:trPr>
          <w:cantSplit/>
          <w:trHeight w:val="416"/>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3B25D4"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316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6F5DB" w14:textId="77777777" w:rsidR="00401786" w:rsidRDefault="00401786" w:rsidP="000E757E">
            <w:pPr>
              <w:snapToGrid w:val="0"/>
              <w:spacing w:line="240" w:lineRule="atLeast"/>
              <w:rPr>
                <w:rFonts w:ascii="標楷體" w:eastAsia="標楷體" w:hAnsi="標楷體"/>
                <w:color w:val="000000"/>
                <w:sz w:val="20"/>
                <w:szCs w:val="20"/>
              </w:rPr>
            </w:pPr>
          </w:p>
        </w:tc>
        <w:tc>
          <w:tcPr>
            <w:tcW w:w="9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B2A31B"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96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2826C4" w14:textId="77777777" w:rsidR="00401786" w:rsidRDefault="00401786" w:rsidP="000E757E">
            <w:pPr>
              <w:snapToGrid w:val="0"/>
              <w:spacing w:line="240" w:lineRule="atLeast"/>
              <w:rPr>
                <w:rFonts w:ascii="標楷體" w:eastAsia="標楷體" w:hAnsi="標楷體"/>
                <w:color w:val="000000"/>
                <w:sz w:val="20"/>
                <w:szCs w:val="20"/>
              </w:rPr>
            </w:pPr>
          </w:p>
        </w:tc>
        <w:tc>
          <w:tcPr>
            <w:tcW w:w="16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63EC85"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5109"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3757073"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652FF75D" w14:textId="77777777">
        <w:trPr>
          <w:cantSplit/>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C0F09"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藥品名稱及代碼</w:t>
            </w: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49AB0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7088"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34094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55F1A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742415E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699D1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19BBF7D6"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5109"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B1F91F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18797CED" w14:textId="77777777">
        <w:trPr>
          <w:cantSplit/>
          <w:trHeight w:val="4349"/>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3198ED" w14:textId="77777777" w:rsidR="00401786" w:rsidRDefault="00401786" w:rsidP="000E757E">
            <w:pPr>
              <w:snapToGrid w:val="0"/>
              <w:spacing w:line="240" w:lineRule="atLeast"/>
              <w:rPr>
                <w:rFonts w:ascii="標楷體" w:eastAsia="標楷體" w:hAnsi="標楷體"/>
                <w:color w:val="000000"/>
                <w:sz w:val="18"/>
                <w:szCs w:val="18"/>
              </w:rPr>
            </w:pP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C4BCC1" w14:textId="77777777" w:rsidR="00401786" w:rsidRDefault="00C64FB3">
            <w:pPr>
              <w:numPr>
                <w:ilvl w:val="0"/>
                <w:numId w:val="63"/>
              </w:num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第一次申請</w:t>
            </w:r>
          </w:p>
          <w:p w14:paraId="3789E6F2" w14:textId="77777777" w:rsidR="00401786" w:rsidRDefault="00C64FB3">
            <w:pPr>
              <w:numPr>
                <w:ilvl w:val="0"/>
                <w:numId w:val="63"/>
              </w:num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7088"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6D998C" w14:textId="77777777" w:rsidR="00401786" w:rsidRDefault="00C64FB3" w:rsidP="000E757E">
            <w:pPr>
              <w:snapToGrid w:val="0"/>
              <w:spacing w:line="240" w:lineRule="atLeast"/>
              <w:ind w:left="222" w:hanging="222"/>
              <w:rPr>
                <w:rFonts w:ascii="標楷體" w:eastAsia="標楷體" w:hAnsi="標楷體"/>
                <w:color w:val="000000"/>
                <w:sz w:val="18"/>
                <w:szCs w:val="18"/>
              </w:rPr>
            </w:pPr>
            <w:r>
              <w:rPr>
                <w:rFonts w:ascii="標楷體" w:eastAsia="標楷體" w:hAnsi="標楷體"/>
                <w:color w:val="000000"/>
                <w:sz w:val="18"/>
                <w:szCs w:val="18"/>
              </w:rPr>
              <w:t>□合併其他癌症治療藥品使用於多發性骨髓瘤病人：</w:t>
            </w:r>
          </w:p>
          <w:p w14:paraId="47A85C36" w14:textId="77777777" w:rsidR="00401786" w:rsidRDefault="00C64FB3" w:rsidP="000E757E">
            <w:pPr>
              <w:snapToGrid w:val="0"/>
              <w:spacing w:line="240" w:lineRule="atLeast"/>
              <w:ind w:left="222" w:hanging="222"/>
              <w:rPr>
                <w:rFonts w:ascii="標楷體" w:eastAsia="標楷體" w:hAnsi="標楷體"/>
                <w:color w:val="000000"/>
                <w:sz w:val="18"/>
                <w:szCs w:val="18"/>
              </w:rPr>
            </w:pPr>
            <w:r>
              <w:rPr>
                <w:rFonts w:ascii="標楷體" w:eastAsia="標楷體" w:hAnsi="標楷體"/>
                <w:color w:val="000000"/>
                <w:sz w:val="18"/>
                <w:szCs w:val="18"/>
              </w:rPr>
              <w:t>(1)每人終生以16個療程為上限。</w:t>
            </w:r>
          </w:p>
          <w:p w14:paraId="20E660FB"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(2)需經事前申請後使用，每次申請4個療程。</w:t>
            </w:r>
          </w:p>
          <w:p w14:paraId="41233D19" w14:textId="77777777" w:rsidR="00401786" w:rsidRDefault="00C64FB3" w:rsidP="000E757E">
            <w:pPr>
              <w:pStyle w:val="11"/>
              <w:snapToGrid w:val="0"/>
              <w:spacing w:line="240" w:lineRule="atLeast"/>
              <w:ind w:left="0" w:firstLine="0"/>
            </w:pPr>
            <w:r>
              <w:rPr>
                <w:rFonts w:ascii="標楷體" w:hAnsi="標楷體"/>
                <w:sz w:val="18"/>
                <w:szCs w:val="18"/>
              </w:rPr>
              <w:t>(3)</w:t>
            </w:r>
            <w:r>
              <w:rPr>
                <w:rFonts w:ascii="標楷體" w:hAnsi="標楷體"/>
                <w:color w:val="auto"/>
                <w:sz w:val="18"/>
                <w:szCs w:val="18"/>
              </w:rPr>
              <w:t>開始治療時病患須同時符合下列Ⅰ.與Ⅱ.的條件</w:t>
            </w:r>
            <w:r>
              <w:rPr>
                <w:rFonts w:ascii="新細明體" w:eastAsia="新細明體" w:hAnsi="新細明體"/>
                <w:color w:val="auto"/>
                <w:sz w:val="18"/>
                <w:szCs w:val="18"/>
              </w:rPr>
              <w:t>：</w:t>
            </w:r>
          </w:p>
          <w:p w14:paraId="7FEBBF98"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Ⅰ.骨髓</w:t>
            </w:r>
            <w:proofErr w:type="gramStart"/>
            <w:r>
              <w:rPr>
                <w:rFonts w:ascii="標楷體" w:eastAsia="標楷體" w:hAnsi="標楷體"/>
                <w:sz w:val="18"/>
                <w:szCs w:val="18"/>
              </w:rPr>
              <w:t>漿</w:t>
            </w:r>
            <w:proofErr w:type="gramEnd"/>
            <w:r>
              <w:rPr>
                <w:rFonts w:ascii="標楷體" w:eastAsia="標楷體" w:hAnsi="標楷體"/>
                <w:sz w:val="18"/>
                <w:szCs w:val="18"/>
              </w:rPr>
              <w:t>細胞(plasma cells)比例</w:t>
            </w:r>
            <w:proofErr w:type="gramStart"/>
            <w:r>
              <w:rPr>
                <w:rFonts w:ascii="標楷體" w:eastAsia="標楷體" w:hAnsi="標楷體"/>
                <w:sz w:val="18"/>
                <w:szCs w:val="18"/>
              </w:rPr>
              <w:t>≧</w:t>
            </w:r>
            <w:proofErr w:type="gramEnd"/>
            <w:r>
              <w:rPr>
                <w:rFonts w:ascii="標楷體" w:eastAsia="標楷體" w:hAnsi="標楷體"/>
                <w:sz w:val="18"/>
                <w:szCs w:val="18"/>
              </w:rPr>
              <w:t>10%，或是經切片確認且有</w:t>
            </w:r>
            <w:proofErr w:type="gramStart"/>
            <w:r>
              <w:rPr>
                <w:rFonts w:ascii="標楷體" w:eastAsia="標楷體" w:hAnsi="標楷體"/>
                <w:sz w:val="18"/>
                <w:szCs w:val="18"/>
              </w:rPr>
              <w:t>≧</w:t>
            </w:r>
            <w:proofErr w:type="gramEnd"/>
            <w:r>
              <w:rPr>
                <w:rFonts w:ascii="標楷體" w:eastAsia="標楷體" w:hAnsi="標楷體"/>
                <w:sz w:val="18"/>
                <w:szCs w:val="18"/>
              </w:rPr>
              <w:t>1顆的plasmacytoma。</w:t>
            </w:r>
          </w:p>
          <w:p w14:paraId="1222306B"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Ⅱ.出現下列任</w:t>
            </w:r>
            <w:proofErr w:type="gramStart"/>
            <w:r>
              <w:rPr>
                <w:rFonts w:ascii="標楷體" w:eastAsia="標楷體" w:hAnsi="標楷體"/>
                <w:sz w:val="18"/>
                <w:szCs w:val="18"/>
              </w:rPr>
              <w:t>一</w:t>
            </w:r>
            <w:proofErr w:type="gramEnd"/>
            <w:r>
              <w:rPr>
                <w:rFonts w:ascii="標楷體" w:eastAsia="標楷體" w:hAnsi="標楷體"/>
                <w:sz w:val="18"/>
                <w:szCs w:val="18"/>
              </w:rPr>
              <w:t>臨床症狀：</w:t>
            </w:r>
          </w:p>
          <w:p w14:paraId="44A838A3" w14:textId="77777777" w:rsidR="00401786" w:rsidRDefault="00C64FB3" w:rsidP="000E757E">
            <w:pPr>
              <w:spacing w:line="240" w:lineRule="atLeast"/>
              <w:ind w:left="270" w:hanging="270"/>
            </w:pPr>
            <w:r>
              <w:rPr>
                <w:rFonts w:ascii="新細明體" w:hAnsi="新細明體" w:cs="新細明體"/>
                <w:sz w:val="18"/>
                <w:szCs w:val="18"/>
              </w:rPr>
              <w:t>ⅰ</w:t>
            </w:r>
            <w:r>
              <w:rPr>
                <w:rFonts w:ascii="標楷體" w:eastAsia="標楷體" w:hAnsi="標楷體"/>
                <w:sz w:val="18"/>
                <w:szCs w:val="18"/>
              </w:rPr>
              <w:t>.腎功能不全：serum creatinine＞2.0mg/dL或estimated GFR (eGFR)＜40 ml/min，且無其他原因可以解釋。</w:t>
            </w:r>
          </w:p>
          <w:p w14:paraId="04918ECC" w14:textId="77777777" w:rsidR="00401786" w:rsidRDefault="00C64FB3" w:rsidP="000E757E">
            <w:pPr>
              <w:spacing w:line="240" w:lineRule="atLeast"/>
              <w:ind w:left="270" w:hanging="270"/>
            </w:pPr>
            <w:r>
              <w:rPr>
                <w:rFonts w:ascii="新細明體" w:hAnsi="新細明體" w:cs="新細明體"/>
                <w:sz w:val="18"/>
                <w:szCs w:val="18"/>
              </w:rPr>
              <w:t>ⅱ</w:t>
            </w:r>
            <w:r>
              <w:rPr>
                <w:rFonts w:ascii="標楷體" w:eastAsia="標楷體" w:hAnsi="標楷體"/>
                <w:sz w:val="18"/>
                <w:szCs w:val="18"/>
              </w:rPr>
              <w:t>.高血鈣(corrected serum calcium＞11.0 mg/dL 或 2.75 mmol/L)。</w:t>
            </w:r>
          </w:p>
          <w:p w14:paraId="5F1FE9D2" w14:textId="77777777" w:rsidR="00401786" w:rsidRDefault="00C64FB3" w:rsidP="000E757E">
            <w:pPr>
              <w:spacing w:line="240" w:lineRule="atLeast"/>
              <w:rPr>
                <w:rFonts w:ascii="標楷體" w:eastAsia="標楷體" w:hAnsi="標楷體"/>
                <w:sz w:val="18"/>
                <w:szCs w:val="18"/>
              </w:rPr>
            </w:pPr>
            <w:r>
              <w:rPr>
                <w:rFonts w:ascii="標楷體" w:eastAsia="標楷體" w:hAnsi="標楷體"/>
                <w:sz w:val="18"/>
                <w:szCs w:val="18"/>
              </w:rPr>
              <w:t>iii.貧血(Hemoglobin＜10 gm/dL且無其他原因可以解釋)。</w:t>
            </w:r>
          </w:p>
          <w:p w14:paraId="665A0297" w14:textId="77777777" w:rsidR="00401786" w:rsidRDefault="00C64FB3" w:rsidP="000E757E">
            <w:pPr>
              <w:spacing w:line="240" w:lineRule="atLeast"/>
              <w:rPr>
                <w:rFonts w:ascii="標楷體" w:eastAsia="標楷體" w:hAnsi="標楷體"/>
                <w:sz w:val="18"/>
                <w:szCs w:val="18"/>
              </w:rPr>
            </w:pPr>
            <w:r>
              <w:rPr>
                <w:rFonts w:ascii="標楷體" w:eastAsia="標楷體" w:hAnsi="標楷體"/>
                <w:sz w:val="18"/>
                <w:szCs w:val="18"/>
              </w:rPr>
              <w:t>iv.影像檢查確認之osteolytic bone lesion(s)。</w:t>
            </w:r>
          </w:p>
          <w:p w14:paraId="26224AE0" w14:textId="77777777" w:rsidR="00401786" w:rsidRDefault="00C64FB3" w:rsidP="000E757E">
            <w:pPr>
              <w:spacing w:line="240" w:lineRule="atLeast"/>
              <w:rPr>
                <w:rFonts w:ascii="標楷體" w:eastAsia="標楷體" w:hAnsi="標楷體"/>
                <w:sz w:val="18"/>
                <w:szCs w:val="18"/>
              </w:rPr>
            </w:pPr>
            <w:r>
              <w:rPr>
                <w:rFonts w:ascii="標楷體" w:eastAsia="標楷體" w:hAnsi="標楷體"/>
                <w:sz w:val="18"/>
                <w:szCs w:val="18"/>
              </w:rPr>
              <w:t>v.骨髓</w:t>
            </w:r>
            <w:proofErr w:type="gramStart"/>
            <w:r>
              <w:rPr>
                <w:rFonts w:ascii="標楷體" w:eastAsia="標楷體" w:hAnsi="標楷體"/>
                <w:sz w:val="18"/>
                <w:szCs w:val="18"/>
              </w:rPr>
              <w:t>漿</w:t>
            </w:r>
            <w:proofErr w:type="gramEnd"/>
            <w:r>
              <w:rPr>
                <w:rFonts w:ascii="標楷體" w:eastAsia="標楷體" w:hAnsi="標楷體"/>
                <w:sz w:val="18"/>
                <w:szCs w:val="18"/>
              </w:rPr>
              <w:t>細胞(plasma cells)比例</w:t>
            </w:r>
            <w:proofErr w:type="gramStart"/>
            <w:r>
              <w:rPr>
                <w:rFonts w:ascii="標楷體" w:eastAsia="標楷體" w:hAnsi="標楷體"/>
                <w:sz w:val="18"/>
                <w:szCs w:val="18"/>
              </w:rPr>
              <w:t>≧</w:t>
            </w:r>
            <w:proofErr w:type="gramEnd"/>
            <w:r>
              <w:rPr>
                <w:rFonts w:ascii="標楷體" w:eastAsia="標楷體" w:hAnsi="標楷體"/>
                <w:sz w:val="18"/>
                <w:szCs w:val="18"/>
              </w:rPr>
              <w:t>60%。</w:t>
            </w:r>
          </w:p>
          <w:p w14:paraId="0C9F3C0F" w14:textId="77777777" w:rsidR="00401786" w:rsidRDefault="00C64FB3" w:rsidP="000E757E">
            <w:pPr>
              <w:spacing w:line="240" w:lineRule="atLeast"/>
              <w:rPr>
                <w:rFonts w:ascii="標楷體" w:eastAsia="標楷體" w:hAnsi="標楷體"/>
                <w:sz w:val="18"/>
                <w:szCs w:val="18"/>
              </w:rPr>
            </w:pPr>
            <w:proofErr w:type="spellStart"/>
            <w:r>
              <w:rPr>
                <w:rFonts w:ascii="標楷體" w:eastAsia="標楷體" w:hAnsi="標楷體"/>
                <w:sz w:val="18"/>
                <w:szCs w:val="18"/>
              </w:rPr>
              <w:t>vi.Serum</w:t>
            </w:r>
            <w:proofErr w:type="spellEnd"/>
            <w:r>
              <w:rPr>
                <w:rFonts w:ascii="標楷體" w:eastAsia="標楷體" w:hAnsi="標楷體"/>
                <w:sz w:val="18"/>
                <w:szCs w:val="18"/>
              </w:rPr>
              <w:t xml:space="preserve"> free light-chain ratio</w:t>
            </w:r>
            <w:proofErr w:type="gramStart"/>
            <w:r>
              <w:rPr>
                <w:rFonts w:ascii="標楷體" w:eastAsia="標楷體" w:hAnsi="標楷體"/>
                <w:sz w:val="18"/>
                <w:szCs w:val="18"/>
              </w:rPr>
              <w:t>≧</w:t>
            </w:r>
            <w:proofErr w:type="gramEnd"/>
            <w:r>
              <w:rPr>
                <w:rFonts w:ascii="標楷體" w:eastAsia="標楷體" w:hAnsi="標楷體"/>
                <w:sz w:val="18"/>
                <w:szCs w:val="18"/>
              </w:rPr>
              <w:t>100。</w:t>
            </w:r>
          </w:p>
          <w:p w14:paraId="53CFC644"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(4)使用4個療程後，必須確定藥物使用後paraprotein (M-protein)未上升 (即表示為response或stable status)，或對部分non-secretory type MM病人以骨髓檢查plasma cell之比率為療效依據，方可繼續使用。</w:t>
            </w:r>
          </w:p>
          <w:p w14:paraId="64F60F18"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(5)若病患於前線療程符合前項規定(4)之療效而醫師決定可暫時停藥，則後續療程可保留，於疾病復發時，再行申請使用。</w:t>
            </w:r>
          </w:p>
          <w:p w14:paraId="4EADF73E" w14:textId="77777777" w:rsidR="00401786" w:rsidRDefault="00C64FB3" w:rsidP="000E757E">
            <w:pPr>
              <w:spacing w:line="240" w:lineRule="atLeast"/>
              <w:ind w:left="270" w:hanging="270"/>
            </w:pPr>
            <w:r>
              <w:rPr>
                <w:rFonts w:ascii="標楷體" w:eastAsia="標楷體" w:hAnsi="標楷體"/>
                <w:sz w:val="18"/>
                <w:szCs w:val="18"/>
              </w:rPr>
              <w:t>(6)112年3月31日以前已核定用藥之病人，得經事前審查核准後，使用至總療程上限（即終生16個療程）或使用期間發生疾病惡化為止。</w:t>
            </w:r>
          </w:p>
          <w:p w14:paraId="02F2D21B" w14:textId="77777777" w:rsidR="00401786" w:rsidRDefault="00C64FB3" w:rsidP="000E757E">
            <w:pPr>
              <w:snapToGrid w:val="0"/>
              <w:spacing w:line="240" w:lineRule="atLeast"/>
              <w:ind w:left="208" w:hanging="208"/>
            </w:pPr>
            <w:r>
              <w:rPr>
                <w:rFonts w:ascii="標楷體" w:eastAsia="標楷體" w:hAnsi="標楷體"/>
                <w:color w:val="000000"/>
                <w:kern w:val="0"/>
                <w:sz w:val="18"/>
                <w:szCs w:val="18"/>
              </w:rPr>
              <w:t>□被套細胞淋巴瘤Mantle Cell L</w:t>
            </w:r>
            <w:r>
              <w:rPr>
                <w:rFonts w:ascii="標楷體" w:eastAsia="標楷體" w:hAnsi="標楷體"/>
                <w:color w:val="000000"/>
                <w:sz w:val="18"/>
                <w:szCs w:val="18"/>
              </w:rPr>
              <w:t>ymphoma（MCL）病人。</w:t>
            </w:r>
          </w:p>
          <w:p w14:paraId="3872FB59"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(1)每人以8個療程為上限。</w:t>
            </w:r>
          </w:p>
          <w:p w14:paraId="2E215F40" w14:textId="77777777" w:rsidR="00401786" w:rsidRDefault="00C64FB3" w:rsidP="000E757E">
            <w:pPr>
              <w:pStyle w:val="11"/>
              <w:snapToGrid w:val="0"/>
              <w:spacing w:line="240" w:lineRule="atLeast"/>
              <w:ind w:left="270" w:hanging="270"/>
            </w:pPr>
            <w:r>
              <w:rPr>
                <w:rFonts w:ascii="標楷體" w:hAnsi="標楷體"/>
                <w:sz w:val="18"/>
                <w:szCs w:val="18"/>
              </w:rPr>
              <w:t>(2)每日最大劑量1.5mg/m</w:t>
            </w:r>
            <w:r>
              <w:rPr>
                <w:rFonts w:ascii="標楷體" w:hAnsi="標楷體"/>
                <w:sz w:val="18"/>
                <w:szCs w:val="18"/>
                <w:vertAlign w:val="superscript"/>
              </w:rPr>
              <w:t>2</w:t>
            </w:r>
            <w:r>
              <w:rPr>
                <w:rFonts w:ascii="標楷體" w:hAnsi="標楷體"/>
                <w:sz w:val="18"/>
                <w:szCs w:val="18"/>
              </w:rPr>
              <w:t>/day；每</w:t>
            </w:r>
            <w:proofErr w:type="gramStart"/>
            <w:r>
              <w:rPr>
                <w:rFonts w:ascii="標楷體" w:hAnsi="標楷體"/>
                <w:sz w:val="18"/>
                <w:szCs w:val="18"/>
              </w:rPr>
              <w:t>個</w:t>
            </w:r>
            <w:proofErr w:type="gramEnd"/>
            <w:r>
              <w:rPr>
                <w:rFonts w:ascii="標楷體" w:hAnsi="標楷體"/>
                <w:sz w:val="18"/>
                <w:szCs w:val="18"/>
              </w:rPr>
              <w:t>療程第1,4,8,11日給藥。</w:t>
            </w:r>
          </w:p>
          <w:p w14:paraId="514FE387"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(3)第一線使用過復發者，不得申請再次使用。</w:t>
            </w:r>
          </w:p>
          <w:p w14:paraId="00D8A49D"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(4)需經事前審查核准後使用。</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2FC419" w14:textId="77777777" w:rsidR="00401786" w:rsidRDefault="00401786" w:rsidP="000E757E">
            <w:pPr>
              <w:snapToGrid w:val="0"/>
              <w:spacing w:line="240" w:lineRule="atLeast"/>
              <w:rPr>
                <w:rFonts w:ascii="標楷體" w:eastAsia="標楷體" w:hAnsi="標楷體"/>
                <w:color w:val="000000"/>
                <w:sz w:val="20"/>
                <w:szCs w:val="20"/>
              </w:rPr>
            </w:pPr>
          </w:p>
        </w:tc>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82BB3D" w14:textId="77777777" w:rsidR="00401786" w:rsidRDefault="00401786" w:rsidP="000E757E">
            <w:pPr>
              <w:snapToGrid w:val="0"/>
              <w:spacing w:line="240" w:lineRule="atLeast"/>
              <w:rPr>
                <w:rFonts w:ascii="標楷體" w:eastAsia="標楷體" w:hAnsi="標楷體"/>
                <w:color w:val="000000"/>
                <w:sz w:val="20"/>
                <w:szCs w:val="20"/>
              </w:rPr>
            </w:pPr>
          </w:p>
        </w:tc>
        <w:tc>
          <w:tcPr>
            <w:tcW w:w="5109"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B55F56E" w14:textId="77777777" w:rsidR="00401786" w:rsidRDefault="00C64FB3">
            <w:pPr>
              <w:numPr>
                <w:ilvl w:val="0"/>
                <w:numId w:val="64"/>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1BB54C16"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使用劑量不符合常規，核定量為</w:t>
            </w:r>
          </w:p>
          <w:p w14:paraId="1534BAA4"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22E8E678"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不符合適應症。</w:t>
            </w:r>
          </w:p>
          <w:p w14:paraId="5BDE489B"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不符合併用二種此類藥物之適應症</w:t>
            </w:r>
          </w:p>
          <w:p w14:paraId="7994594B"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未附病理切片報告或細胞學檢查報告</w:t>
            </w:r>
          </w:p>
          <w:p w14:paraId="4B327D2B"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未附使用其他抗癌藥物無效之記錄</w:t>
            </w:r>
          </w:p>
          <w:p w14:paraId="6AF8BC40"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未附目前是否為晚期或轉移之病歷</w:t>
            </w:r>
          </w:p>
          <w:p w14:paraId="635AD716" w14:textId="77777777" w:rsidR="00401786" w:rsidRDefault="00C64FB3">
            <w:pPr>
              <w:numPr>
                <w:ilvl w:val="0"/>
                <w:numId w:val="64"/>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EFA604D" w14:textId="77777777" w:rsidR="00401786" w:rsidRDefault="00C64FB3">
            <w:pPr>
              <w:numPr>
                <w:ilvl w:val="0"/>
                <w:numId w:val="64"/>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564D46BC" w14:textId="77777777" w:rsidR="00401786" w:rsidRDefault="00C64FB3">
            <w:pPr>
              <w:numPr>
                <w:ilvl w:val="0"/>
                <w:numId w:val="64"/>
              </w:numPr>
              <w:tabs>
                <w:tab w:val="left" w:pos="240"/>
              </w:tabs>
              <w:snapToGrid w:val="0"/>
              <w:spacing w:line="240" w:lineRule="atLeast"/>
              <w:ind w:left="408" w:hanging="170"/>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6D9F6F30"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其他：</w:t>
            </w:r>
          </w:p>
        </w:tc>
      </w:tr>
      <w:tr w:rsidR="00401786" w14:paraId="6DD28B2C" w14:textId="77777777">
        <w:trPr>
          <w:cantSplit/>
          <w:trHeight w:val="487"/>
        </w:trPr>
        <w:tc>
          <w:tcPr>
            <w:tcW w:w="7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BA4693" w14:textId="77777777" w:rsidR="00401786" w:rsidRDefault="00C64FB3" w:rsidP="000E757E">
            <w:pPr>
              <w:snapToGrid w:val="0"/>
              <w:spacing w:line="240" w:lineRule="atLeast"/>
            </w:pPr>
            <w:r>
              <w:rPr>
                <w:rFonts w:ascii="標楷體" w:eastAsia="標楷體" w:hAnsi="標楷體" w:cs="標楷體"/>
                <w:color w:val="000000"/>
              </w:rPr>
              <w:t>注意</w:t>
            </w:r>
            <w:r>
              <w:rPr>
                <w:rFonts w:ascii="標楷體" w:eastAsia="標楷體" w:hAnsi="標楷體" w:cs="標楷體"/>
                <w:color w:val="000000"/>
              </w:rPr>
              <w:lastRenderedPageBreak/>
              <w:t>事項</w:t>
            </w:r>
          </w:p>
          <w:p w14:paraId="10322AE8" w14:textId="77777777" w:rsidR="00401786" w:rsidRDefault="00401786" w:rsidP="000E757E">
            <w:pPr>
              <w:snapToGrid w:val="0"/>
              <w:spacing w:line="240" w:lineRule="atLeast"/>
              <w:ind w:hanging="211"/>
              <w:rPr>
                <w:rFonts w:ascii="標楷體" w:eastAsia="標楷體" w:hAnsi="標楷體"/>
                <w:color w:val="000000"/>
                <w:sz w:val="20"/>
                <w:szCs w:val="20"/>
              </w:rPr>
            </w:pPr>
          </w:p>
        </w:tc>
        <w:tc>
          <w:tcPr>
            <w:tcW w:w="10060" w:type="dxa"/>
            <w:gridSpan w:val="1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A4ADEA"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lastRenderedPageBreak/>
              <w:t>本申請書限一人一案，由本保險特約</w:t>
            </w:r>
            <w:proofErr w:type="gramStart"/>
            <w:r>
              <w:rPr>
                <w:rFonts w:ascii="標楷體" w:eastAsia="標楷體" w:hAnsi="標楷體"/>
                <w:color w:val="000000"/>
                <w:kern w:val="0"/>
                <w:sz w:val="18"/>
                <w:szCs w:val="18"/>
              </w:rPr>
              <w:t>醫</w:t>
            </w:r>
            <w:proofErr w:type="gramEnd"/>
            <w:r>
              <w:rPr>
                <w:rFonts w:ascii="標楷體" w:eastAsia="標楷體" w:hAnsi="標楷體"/>
                <w:color w:val="000000"/>
                <w:kern w:val="0"/>
                <w:sz w:val="18"/>
                <w:szCs w:val="18"/>
              </w:rPr>
              <w:t>事服務機構填報，</w:t>
            </w:r>
            <w:proofErr w:type="gramStart"/>
            <w:r>
              <w:rPr>
                <w:rFonts w:ascii="標楷體" w:eastAsia="標楷體" w:hAnsi="標楷體"/>
                <w:color w:val="000000"/>
                <w:kern w:val="0"/>
                <w:sz w:val="18"/>
                <w:szCs w:val="18"/>
              </w:rPr>
              <w:t>不</w:t>
            </w:r>
            <w:proofErr w:type="gramEnd"/>
            <w:r>
              <w:rPr>
                <w:rFonts w:ascii="標楷體" w:eastAsia="標楷體" w:hAnsi="標楷體"/>
                <w:color w:val="000000"/>
                <w:kern w:val="0"/>
                <w:sz w:val="18"/>
                <w:szCs w:val="18"/>
              </w:rPr>
              <w:t>必備文，請</w:t>
            </w:r>
            <w:proofErr w:type="gramStart"/>
            <w:r>
              <w:rPr>
                <w:rFonts w:ascii="標楷體" w:eastAsia="標楷體" w:hAnsi="標楷體"/>
                <w:color w:val="000000"/>
                <w:kern w:val="0"/>
                <w:sz w:val="18"/>
                <w:szCs w:val="18"/>
              </w:rPr>
              <w:t>逕</w:t>
            </w:r>
            <w:proofErr w:type="gramEnd"/>
            <w:r>
              <w:rPr>
                <w:rFonts w:ascii="標楷體" w:eastAsia="標楷體" w:hAnsi="標楷體"/>
                <w:color w:val="000000"/>
                <w:kern w:val="0"/>
                <w:sz w:val="18"/>
                <w:szCs w:val="18"/>
              </w:rPr>
              <w:t>向保險人各分區業務組申請審核。</w:t>
            </w:r>
          </w:p>
          <w:p w14:paraId="1BB0ED96"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lastRenderedPageBreak/>
              <w:t>「原受理編號」申復時填寫，初次送核不須填寫。</w:t>
            </w:r>
          </w:p>
          <w:p w14:paraId="6D974578"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應事前審查之項目未依規定事前申請核准者，不予給付費用；事前申請核准之個案，日後如經審定保險對象或</w:t>
            </w:r>
            <w:proofErr w:type="gramStart"/>
            <w:r>
              <w:rPr>
                <w:rFonts w:ascii="標楷體" w:eastAsia="標楷體" w:hAnsi="標楷體"/>
                <w:color w:val="000000"/>
                <w:kern w:val="0"/>
                <w:sz w:val="18"/>
                <w:szCs w:val="18"/>
              </w:rPr>
              <w:t>醫</w:t>
            </w:r>
            <w:proofErr w:type="gramEnd"/>
            <w:r>
              <w:rPr>
                <w:rFonts w:ascii="標楷體" w:eastAsia="標楷體" w:hAnsi="標楷體"/>
                <w:color w:val="000000"/>
                <w:kern w:val="0"/>
                <w:sz w:val="18"/>
                <w:szCs w:val="18"/>
              </w:rPr>
              <w:t>事服務機構有不符全民健康保險給付規定者，亦不予給付費用。</w:t>
            </w:r>
          </w:p>
          <w:p w14:paraId="5F50EC5A"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對核定結果如有異議，得於收到核定通知之日起六十日內，重行填寫乙份申請書(應勾</w:t>
            </w:r>
            <w:proofErr w:type="gramStart"/>
            <w:r>
              <w:rPr>
                <w:rFonts w:ascii="標楷體" w:eastAsia="標楷體" w:hAnsi="標楷體"/>
                <w:color w:val="000000"/>
                <w:kern w:val="0"/>
                <w:sz w:val="18"/>
                <w:szCs w:val="18"/>
              </w:rPr>
              <w:t>註</w:t>
            </w:r>
            <w:proofErr w:type="gramEnd"/>
            <w:r>
              <w:rPr>
                <w:rFonts w:ascii="標楷體" w:eastAsia="標楷體" w:hAnsi="標楷體"/>
                <w:color w:val="000000"/>
                <w:kern w:val="0"/>
                <w:sz w:val="18"/>
                <w:szCs w:val="18"/>
              </w:rPr>
              <w:t>申復，</w:t>
            </w:r>
            <w:proofErr w:type="gramStart"/>
            <w:r>
              <w:rPr>
                <w:rFonts w:ascii="標楷體" w:eastAsia="標楷體" w:hAnsi="標楷體"/>
                <w:color w:val="000000"/>
                <w:kern w:val="0"/>
                <w:sz w:val="18"/>
                <w:szCs w:val="18"/>
              </w:rPr>
              <w:t>並填明原</w:t>
            </w:r>
            <w:proofErr w:type="gramEnd"/>
            <w:r>
              <w:rPr>
                <w:rFonts w:ascii="標楷體" w:eastAsia="標楷體" w:hAnsi="標楷體"/>
                <w:color w:val="000000"/>
                <w:kern w:val="0"/>
                <w:sz w:val="18"/>
                <w:szCs w:val="18"/>
              </w:rPr>
              <w:t>受理編號)向原核定單位申請複核。</w:t>
            </w:r>
          </w:p>
          <w:p w14:paraId="3E8817EE"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對複核結果如有異議，得於收到複核通知之日起六十日內向全民健康保險爭議審議會申請審議。</w:t>
            </w:r>
          </w:p>
          <w:p w14:paraId="060ADA22"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對核定結果有異議者，應循</w:t>
            </w:r>
            <w:proofErr w:type="gramStart"/>
            <w:r>
              <w:rPr>
                <w:rFonts w:ascii="標楷體" w:eastAsia="標楷體" w:hAnsi="標楷體"/>
                <w:color w:val="000000"/>
                <w:kern w:val="0"/>
                <w:sz w:val="18"/>
                <w:szCs w:val="18"/>
              </w:rPr>
              <w:t>上述申</w:t>
            </w:r>
            <w:proofErr w:type="gramEnd"/>
            <w:r>
              <w:rPr>
                <w:rFonts w:ascii="標楷體" w:eastAsia="標楷體" w:hAnsi="標楷體"/>
                <w:color w:val="000000"/>
                <w:kern w:val="0"/>
                <w:sz w:val="18"/>
                <w:szCs w:val="18"/>
              </w:rPr>
              <w:t>復及爭議審議途徑申請複核或審議，不得以新個案重新申請送核，否則不予受理。</w:t>
            </w:r>
          </w:p>
          <w:p w14:paraId="695F0791"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保險</w:t>
            </w:r>
            <w:proofErr w:type="gramStart"/>
            <w:r>
              <w:rPr>
                <w:rFonts w:ascii="標楷體" w:eastAsia="標楷體" w:hAnsi="標楷體"/>
                <w:color w:val="000000"/>
                <w:kern w:val="0"/>
                <w:sz w:val="18"/>
                <w:szCs w:val="18"/>
              </w:rPr>
              <w:t>醫</w:t>
            </w:r>
            <w:proofErr w:type="gramEnd"/>
            <w:r>
              <w:rPr>
                <w:rFonts w:ascii="標楷體" w:eastAsia="標楷體" w:hAnsi="標楷體"/>
                <w:color w:val="000000"/>
                <w:kern w:val="0"/>
                <w:sz w:val="18"/>
                <w:szCs w:val="18"/>
              </w:rPr>
              <w:t>事服務機構如因事出緊急，得以書面說明電傳保險人報備後，先行處理治療，並立即備齊應附文件備查。</w:t>
            </w:r>
          </w:p>
        </w:tc>
        <w:tc>
          <w:tcPr>
            <w:tcW w:w="5109" w:type="dxa"/>
            <w:gridSpan w:val="9"/>
            <w:tcBorders>
              <w:left w:val="single" w:sz="4" w:space="0" w:color="000000"/>
              <w:right w:val="single" w:sz="4" w:space="0" w:color="000000"/>
            </w:tcBorders>
            <w:shd w:val="clear" w:color="auto" w:fill="auto"/>
            <w:tcMar>
              <w:top w:w="0" w:type="dxa"/>
              <w:left w:w="28" w:type="dxa"/>
              <w:bottom w:w="0" w:type="dxa"/>
              <w:right w:w="28" w:type="dxa"/>
            </w:tcMar>
          </w:tcPr>
          <w:p w14:paraId="7DB22EDF" w14:textId="77777777" w:rsidR="00401786" w:rsidRDefault="00401786" w:rsidP="000E757E">
            <w:pPr>
              <w:snapToGrid w:val="0"/>
              <w:spacing w:line="240" w:lineRule="atLeast"/>
              <w:rPr>
                <w:rFonts w:ascii="標楷體" w:eastAsia="標楷體" w:hAnsi="標楷體"/>
                <w:color w:val="000000"/>
                <w:sz w:val="20"/>
                <w:szCs w:val="20"/>
              </w:rPr>
            </w:pPr>
          </w:p>
          <w:p w14:paraId="37BD221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6ED808D" w14:textId="77777777">
        <w:trPr>
          <w:cantSplit/>
          <w:trHeight w:val="965"/>
        </w:trPr>
        <w:tc>
          <w:tcPr>
            <w:tcW w:w="7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32129E" w14:textId="77777777" w:rsidR="00401786" w:rsidRDefault="00401786" w:rsidP="000E757E">
            <w:pPr>
              <w:snapToGrid w:val="0"/>
              <w:spacing w:line="240" w:lineRule="atLeast"/>
              <w:ind w:left="211" w:hanging="211"/>
              <w:rPr>
                <w:rFonts w:ascii="標楷體" w:eastAsia="標楷體" w:hAnsi="標楷體"/>
                <w:color w:val="000000"/>
              </w:rPr>
            </w:pPr>
          </w:p>
        </w:tc>
        <w:tc>
          <w:tcPr>
            <w:tcW w:w="1006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010626" w14:textId="77777777" w:rsidR="00401786" w:rsidRDefault="00401786" w:rsidP="000E757E">
            <w:pPr>
              <w:snapToGrid w:val="0"/>
              <w:spacing w:line="240" w:lineRule="atLeast"/>
              <w:ind w:left="211" w:hanging="211"/>
              <w:rPr>
                <w:rFonts w:ascii="標楷體" w:eastAsia="標楷體" w:hAnsi="標楷體"/>
                <w:color w:val="000000"/>
                <w:sz w:val="20"/>
                <w:szCs w:val="18"/>
              </w:rPr>
            </w:pPr>
          </w:p>
        </w:tc>
        <w:tc>
          <w:tcPr>
            <w:tcW w:w="3405" w:type="dxa"/>
            <w:gridSpan w:val="7"/>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55B5F8" w14:textId="77777777" w:rsidR="00401786" w:rsidRDefault="00C64FB3" w:rsidP="000E757E">
            <w:pPr>
              <w:snapToGrid w:val="0"/>
              <w:spacing w:line="240" w:lineRule="atLeast"/>
              <w:jc w:val="both"/>
            </w:pPr>
            <w:r>
              <w:rPr>
                <w:rFonts w:ascii="標楷體" w:eastAsia="標楷體" w:hAnsi="標楷體"/>
                <w:color w:val="000000"/>
                <w:sz w:val="20"/>
                <w:szCs w:val="20"/>
              </w:rPr>
              <w:t>保險人</w:t>
            </w:r>
            <w:r>
              <w:rPr>
                <w:rFonts w:ascii="標楷體" w:eastAsia="標楷體" w:hAnsi="標楷體" w:cs="標楷體"/>
                <w:color w:val="000000"/>
                <w:sz w:val="20"/>
                <w:szCs w:val="20"/>
              </w:rPr>
              <w:t>日期章戳</w:t>
            </w:r>
          </w:p>
          <w:p w14:paraId="2E32E6F4"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71D2DBDB"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4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4949C2" w14:textId="77777777" w:rsidR="00401786" w:rsidRDefault="00C64FB3" w:rsidP="000E757E">
            <w:pPr>
              <w:snapToGrid w:val="0"/>
              <w:spacing w:line="240" w:lineRule="atLeast"/>
            </w:pPr>
            <w:r>
              <w:rPr>
                <w:rFonts w:ascii="標楷體" w:eastAsia="標楷體" w:hAnsi="標楷體" w:cs="標楷體"/>
                <w:color w:val="000000"/>
                <w:sz w:val="20"/>
              </w:rPr>
              <w:t>審查醫師</w:t>
            </w:r>
          </w:p>
        </w:tc>
        <w:tc>
          <w:tcPr>
            <w:tcW w:w="1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9F7237" w14:textId="77777777" w:rsidR="00401786" w:rsidRDefault="00401786" w:rsidP="000E757E">
            <w:pPr>
              <w:snapToGrid w:val="0"/>
              <w:spacing w:line="240" w:lineRule="atLeast"/>
              <w:rPr>
                <w:rFonts w:ascii="標楷體" w:eastAsia="標楷體" w:hAnsi="標楷體"/>
                <w:color w:val="000000"/>
                <w:sz w:val="20"/>
              </w:rPr>
            </w:pPr>
          </w:p>
        </w:tc>
      </w:tr>
      <w:tr w:rsidR="00401786" w14:paraId="70389320" w14:textId="77777777">
        <w:trPr>
          <w:cantSplit/>
          <w:trHeight w:val="407"/>
        </w:trPr>
        <w:tc>
          <w:tcPr>
            <w:tcW w:w="7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694928" w14:textId="77777777" w:rsidR="00401786" w:rsidRDefault="00401786" w:rsidP="000E757E">
            <w:pPr>
              <w:snapToGrid w:val="0"/>
              <w:spacing w:line="240" w:lineRule="atLeast"/>
              <w:ind w:left="211" w:hanging="211"/>
              <w:rPr>
                <w:rFonts w:ascii="標楷體" w:eastAsia="標楷體" w:hAnsi="標楷體"/>
                <w:color w:val="000000"/>
              </w:rPr>
            </w:pPr>
          </w:p>
        </w:tc>
        <w:tc>
          <w:tcPr>
            <w:tcW w:w="1006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287C9E" w14:textId="77777777" w:rsidR="00401786" w:rsidRDefault="00401786" w:rsidP="000E757E">
            <w:pPr>
              <w:snapToGrid w:val="0"/>
              <w:spacing w:line="240" w:lineRule="atLeast"/>
              <w:ind w:left="211" w:hanging="211"/>
              <w:rPr>
                <w:rFonts w:ascii="標楷體" w:eastAsia="標楷體" w:hAnsi="標楷體"/>
                <w:color w:val="000000"/>
                <w:sz w:val="20"/>
                <w:szCs w:val="18"/>
              </w:rPr>
            </w:pPr>
          </w:p>
        </w:tc>
        <w:tc>
          <w:tcPr>
            <w:tcW w:w="3405" w:type="dxa"/>
            <w:gridSpan w:val="7"/>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418142" w14:textId="77777777" w:rsidR="00401786" w:rsidRDefault="00401786" w:rsidP="000E757E">
            <w:pPr>
              <w:snapToGrid w:val="0"/>
              <w:spacing w:line="240" w:lineRule="atLeast"/>
              <w:rPr>
                <w:rFonts w:ascii="標楷體" w:eastAsia="標楷體" w:hAnsi="標楷體"/>
                <w:color w:val="000000"/>
                <w:sz w:val="20"/>
              </w:rPr>
            </w:pPr>
          </w:p>
        </w:tc>
        <w:tc>
          <w:tcPr>
            <w:tcW w:w="4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087BDF" w14:textId="77777777" w:rsidR="00401786" w:rsidRDefault="00401786" w:rsidP="000E757E">
            <w:pPr>
              <w:snapToGrid w:val="0"/>
              <w:spacing w:line="240" w:lineRule="atLeast"/>
              <w:rPr>
                <w:rFonts w:ascii="標楷體" w:eastAsia="標楷體" w:hAnsi="標楷體"/>
                <w:color w:val="000000"/>
                <w:sz w:val="20"/>
              </w:rPr>
            </w:pPr>
          </w:p>
        </w:tc>
        <w:tc>
          <w:tcPr>
            <w:tcW w:w="1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84EB02" w14:textId="77777777" w:rsidR="00401786" w:rsidRDefault="00401786" w:rsidP="000E757E">
            <w:pPr>
              <w:snapToGrid w:val="0"/>
              <w:spacing w:line="240" w:lineRule="atLeast"/>
              <w:rPr>
                <w:rFonts w:ascii="標楷體" w:eastAsia="標楷體" w:hAnsi="標楷體"/>
                <w:color w:val="000000"/>
                <w:sz w:val="20"/>
              </w:rPr>
            </w:pPr>
          </w:p>
        </w:tc>
      </w:tr>
      <w:tr w:rsidR="00401786" w14:paraId="34B2F605" w14:textId="77777777">
        <w:trPr>
          <w:cantSplit/>
          <w:trHeight w:val="722"/>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7125F1" w14:textId="77777777" w:rsidR="00401786" w:rsidRDefault="00C64FB3" w:rsidP="000E757E">
            <w:pPr>
              <w:snapToGrid w:val="0"/>
              <w:spacing w:line="240" w:lineRule="atLeast"/>
              <w:rPr>
                <w:rFonts w:ascii="標楷體" w:eastAsia="標楷體" w:hAnsi="標楷體" w:cs="標楷體"/>
                <w:color w:val="000000"/>
                <w:sz w:val="20"/>
                <w:szCs w:val="20"/>
              </w:rPr>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9777"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C95702" w14:textId="77777777" w:rsidR="00401786" w:rsidRDefault="00C64FB3" w:rsidP="000E757E">
            <w:pPr>
              <w:snapToGrid w:val="0"/>
              <w:spacing w:line="240" w:lineRule="atLeast"/>
            </w:pPr>
            <w:r>
              <w:rPr>
                <w:rFonts w:ascii="標楷體" w:eastAsia="標楷體" w:hAnsi="標楷體" w:cs="標楷體"/>
                <w:color w:val="000000"/>
                <w:sz w:val="20"/>
                <w:szCs w:val="18"/>
              </w:rPr>
              <w:t>醫院申請日期：   年   月   日</w:t>
            </w:r>
          </w:p>
          <w:p w14:paraId="671BB400" w14:textId="77777777" w:rsidR="00401786" w:rsidRDefault="00401786" w:rsidP="000E757E">
            <w:pPr>
              <w:snapToGrid w:val="0"/>
              <w:spacing w:line="240" w:lineRule="atLeast"/>
              <w:rPr>
                <w:rFonts w:ascii="標楷體" w:eastAsia="標楷體" w:hAnsi="標楷體"/>
                <w:color w:val="000000"/>
                <w:sz w:val="20"/>
                <w:szCs w:val="18"/>
              </w:rPr>
            </w:pPr>
          </w:p>
          <w:p w14:paraId="2CD560C2" w14:textId="77777777" w:rsidR="00401786" w:rsidRDefault="00C64FB3" w:rsidP="000E757E">
            <w:pPr>
              <w:snapToGrid w:val="0"/>
              <w:spacing w:line="240" w:lineRule="atLeast"/>
            </w:pPr>
            <w:r>
              <w:rPr>
                <w:rFonts w:ascii="標楷體" w:eastAsia="標楷體" w:hAnsi="標楷體" w:cs="標楷體"/>
                <w:color w:val="000000"/>
                <w:sz w:val="20"/>
                <w:szCs w:val="18"/>
              </w:rPr>
              <w:t>印信</w:t>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s="標楷體"/>
                <w:color w:val="000000"/>
                <w:sz w:val="20"/>
                <w:szCs w:val="18"/>
              </w:rPr>
              <w:t>文號：</w:t>
            </w:r>
          </w:p>
        </w:tc>
        <w:tc>
          <w:tcPr>
            <w:tcW w:w="56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EDB684"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71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7F96BC" w14:textId="77777777" w:rsidR="00401786" w:rsidRDefault="00401786" w:rsidP="000E757E">
            <w:pPr>
              <w:widowControl/>
              <w:snapToGrid w:val="0"/>
              <w:spacing w:line="240" w:lineRule="atLeast"/>
              <w:rPr>
                <w:rFonts w:ascii="標楷體" w:eastAsia="標楷體" w:hAnsi="標楷體"/>
                <w:color w:val="000000"/>
                <w:sz w:val="20"/>
                <w:szCs w:val="20"/>
              </w:rPr>
            </w:pPr>
          </w:p>
          <w:p w14:paraId="5BC6674A" w14:textId="77777777" w:rsidR="00401786" w:rsidRDefault="00401786" w:rsidP="000E757E">
            <w:pPr>
              <w:snapToGrid w:val="0"/>
              <w:spacing w:line="240" w:lineRule="atLeast"/>
              <w:rPr>
                <w:rFonts w:ascii="標楷體" w:eastAsia="標楷體" w:hAnsi="標楷體"/>
                <w:color w:val="000000"/>
                <w:sz w:val="20"/>
                <w:szCs w:val="20"/>
              </w:rPr>
            </w:pPr>
          </w:p>
        </w:tc>
        <w:tc>
          <w:tcPr>
            <w:tcW w:w="28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75562D" w14:textId="77777777" w:rsidR="00401786" w:rsidRDefault="00C64FB3" w:rsidP="000E757E">
            <w:pPr>
              <w:widowControl/>
              <w:snapToGrid w:val="0"/>
              <w:spacing w:line="240" w:lineRule="atLeast"/>
              <w:rPr>
                <w:rFonts w:ascii="標楷體" w:eastAsia="標楷體" w:hAnsi="標楷體" w:cs="標楷體"/>
                <w:color w:val="000000"/>
                <w:sz w:val="20"/>
                <w:szCs w:val="20"/>
              </w:rPr>
            </w:pPr>
            <w:proofErr w:type="gramStart"/>
            <w:r>
              <w:rPr>
                <w:rFonts w:ascii="標楷體" w:eastAsia="標楷體" w:hAnsi="標楷體" w:cs="標楷體"/>
                <w:color w:val="000000"/>
                <w:sz w:val="20"/>
                <w:szCs w:val="20"/>
              </w:rPr>
              <w:t>複</w:t>
            </w:r>
            <w:proofErr w:type="gramEnd"/>
          </w:p>
          <w:p w14:paraId="6177E373" w14:textId="77777777" w:rsidR="00401786" w:rsidRDefault="00C64FB3" w:rsidP="000E757E">
            <w:pPr>
              <w:widowControl/>
              <w:snapToGrid w:val="0"/>
              <w:spacing w:line="240" w:lineRule="atLeast"/>
            </w:pPr>
            <w:r>
              <w:rPr>
                <w:rFonts w:ascii="標楷體" w:eastAsia="標楷體" w:hAnsi="標楷體" w:cs="標楷體"/>
                <w:color w:val="000000"/>
                <w:sz w:val="20"/>
                <w:szCs w:val="20"/>
              </w:rPr>
              <w:t>核</w:t>
            </w:r>
          </w:p>
        </w:tc>
        <w:tc>
          <w:tcPr>
            <w:tcW w:w="70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5D8A38" w14:textId="77777777" w:rsidR="00401786" w:rsidRDefault="00401786" w:rsidP="000E757E">
            <w:pPr>
              <w:widowControl/>
              <w:snapToGrid w:val="0"/>
              <w:spacing w:line="240" w:lineRule="atLeast"/>
              <w:rPr>
                <w:rFonts w:ascii="標楷體" w:eastAsia="標楷體" w:hAnsi="標楷體"/>
                <w:color w:val="000000"/>
                <w:sz w:val="20"/>
                <w:szCs w:val="20"/>
              </w:rPr>
            </w:pPr>
          </w:p>
          <w:p w14:paraId="528C5F35"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2D5E6D"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科</w:t>
            </w:r>
          </w:p>
          <w:p w14:paraId="5D8C6432" w14:textId="77777777" w:rsidR="00401786" w:rsidRDefault="00C64FB3" w:rsidP="000E757E">
            <w:pPr>
              <w:snapToGrid w:val="0"/>
              <w:spacing w:line="240" w:lineRule="atLeast"/>
            </w:pPr>
            <w:r>
              <w:rPr>
                <w:rFonts w:ascii="標楷體" w:eastAsia="標楷體" w:hAnsi="標楷體" w:cs="標楷體"/>
                <w:color w:val="000000"/>
                <w:sz w:val="20"/>
                <w:szCs w:val="20"/>
              </w:rPr>
              <w:t>長</w:t>
            </w:r>
          </w:p>
        </w:tc>
        <w:tc>
          <w:tcPr>
            <w:tcW w:w="84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ECC1E1" w14:textId="77777777" w:rsidR="00401786" w:rsidRDefault="00401786" w:rsidP="000E757E">
            <w:pPr>
              <w:widowControl/>
              <w:snapToGrid w:val="0"/>
              <w:spacing w:line="240" w:lineRule="atLeast"/>
              <w:rPr>
                <w:rFonts w:ascii="標楷體" w:eastAsia="標楷體" w:hAnsi="標楷體"/>
                <w:color w:val="000000"/>
                <w:sz w:val="20"/>
                <w:szCs w:val="20"/>
              </w:rPr>
            </w:pPr>
          </w:p>
          <w:p w14:paraId="2ED6CE46" w14:textId="77777777" w:rsidR="00401786" w:rsidRDefault="00401786" w:rsidP="000E757E">
            <w:pPr>
              <w:snapToGrid w:val="0"/>
              <w:spacing w:line="240" w:lineRule="atLeast"/>
              <w:rPr>
                <w:rFonts w:ascii="標楷體" w:eastAsia="標楷體" w:hAnsi="標楷體"/>
                <w:color w:val="000000"/>
                <w:sz w:val="20"/>
                <w:szCs w:val="20"/>
              </w:rPr>
            </w:pPr>
          </w:p>
        </w:tc>
        <w:tc>
          <w:tcPr>
            <w:tcW w:w="42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41EE3" w14:textId="77777777" w:rsidR="00401786" w:rsidRDefault="00C64FB3" w:rsidP="000E757E">
            <w:pPr>
              <w:widowControl/>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決</w:t>
            </w:r>
          </w:p>
          <w:p w14:paraId="76119A91" w14:textId="77777777" w:rsidR="00401786" w:rsidRDefault="00C64FB3" w:rsidP="000E757E">
            <w:pPr>
              <w:widowControl/>
              <w:snapToGrid w:val="0"/>
              <w:spacing w:line="240" w:lineRule="atLeast"/>
            </w:pPr>
            <w:r>
              <w:rPr>
                <w:rFonts w:ascii="標楷體" w:eastAsia="標楷體" w:hAnsi="標楷體" w:cs="標楷體"/>
                <w:color w:val="000000"/>
                <w:sz w:val="20"/>
                <w:szCs w:val="20"/>
              </w:rPr>
              <w:t>行</w:t>
            </w:r>
          </w:p>
        </w:tc>
        <w:tc>
          <w:tcPr>
            <w:tcW w:w="127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639E0C" w14:textId="77777777" w:rsidR="00401786" w:rsidRDefault="00401786" w:rsidP="000E757E">
            <w:pPr>
              <w:snapToGrid w:val="0"/>
              <w:spacing w:line="240" w:lineRule="atLeast"/>
              <w:rPr>
                <w:rFonts w:ascii="標楷體" w:eastAsia="標楷體" w:hAnsi="標楷體"/>
                <w:color w:val="000000"/>
                <w:sz w:val="20"/>
                <w:szCs w:val="20"/>
              </w:rPr>
            </w:pPr>
          </w:p>
        </w:tc>
      </w:tr>
    </w:tbl>
    <w:p w14:paraId="5094F87B" w14:textId="20B2053C" w:rsidR="00401786" w:rsidRPr="00F37647" w:rsidRDefault="00C64FB3" w:rsidP="00F37647">
      <w:pPr>
        <w:pStyle w:val="Web"/>
        <w:pageBreakBefore/>
        <w:widowControl w:val="0"/>
        <w:snapToGrid w:val="0"/>
        <w:spacing w:before="0" w:after="0" w:line="240" w:lineRule="atLeast"/>
        <w:ind w:leftChars="59" w:left="142" w:firstLine="120"/>
        <w:jc w:val="both"/>
        <w:rPr>
          <w:b/>
          <w:bCs/>
        </w:rPr>
      </w:pPr>
      <w:r w:rsidRPr="00F37647">
        <w:rPr>
          <w:rFonts w:ascii="標楷體" w:eastAsia="標楷體" w:hAnsi="標楷體" w:cs="標楷體"/>
          <w:b/>
          <w:bCs/>
          <w:color w:val="000000"/>
        </w:rPr>
        <w:lastRenderedPageBreak/>
        <w:t>附表九之四</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proofErr w:type="spellStart"/>
      <w:r w:rsidRPr="00F37647">
        <w:rPr>
          <w:rFonts w:ascii="標楷體" w:eastAsia="標楷體" w:hAnsi="標楷體" w:cs="Times New Roman"/>
          <w:b/>
          <w:bCs/>
          <w:color w:val="000000"/>
        </w:rPr>
        <w:t>Dasatinib</w:t>
      </w:r>
      <w:proofErr w:type="spellEnd"/>
      <w:r w:rsidRPr="00F37647">
        <w:rPr>
          <w:rFonts w:ascii="標楷體" w:eastAsia="標楷體" w:hAnsi="標楷體" w:cs="標楷體"/>
          <w:b/>
          <w:bCs/>
          <w:color w:val="000000"/>
        </w:rPr>
        <w:t>申請表</w:t>
      </w:r>
    </w:p>
    <w:tbl>
      <w:tblPr>
        <w:tblW w:w="14504" w:type="dxa"/>
        <w:tblInd w:w="227" w:type="dxa"/>
        <w:tblLayout w:type="fixed"/>
        <w:tblCellMar>
          <w:left w:w="10" w:type="dxa"/>
          <w:right w:w="10" w:type="dxa"/>
        </w:tblCellMar>
        <w:tblLook w:val="0000" w:firstRow="0" w:lastRow="0" w:firstColumn="0" w:lastColumn="0" w:noHBand="0" w:noVBand="0"/>
      </w:tblPr>
      <w:tblGrid>
        <w:gridCol w:w="387"/>
        <w:gridCol w:w="90"/>
        <w:gridCol w:w="315"/>
        <w:gridCol w:w="575"/>
        <w:gridCol w:w="826"/>
        <w:gridCol w:w="741"/>
        <w:gridCol w:w="285"/>
        <w:gridCol w:w="431"/>
        <w:gridCol w:w="852"/>
        <w:gridCol w:w="109"/>
        <w:gridCol w:w="1320"/>
        <w:gridCol w:w="604"/>
        <w:gridCol w:w="362"/>
        <w:gridCol w:w="964"/>
        <w:gridCol w:w="773"/>
        <w:gridCol w:w="327"/>
        <w:gridCol w:w="386"/>
        <w:gridCol w:w="204"/>
        <w:gridCol w:w="127"/>
        <w:gridCol w:w="235"/>
        <w:gridCol w:w="146"/>
        <w:gridCol w:w="698"/>
        <w:gridCol w:w="362"/>
        <w:gridCol w:w="126"/>
        <w:gridCol w:w="362"/>
        <w:gridCol w:w="10"/>
        <w:gridCol w:w="348"/>
        <w:gridCol w:w="364"/>
        <w:gridCol w:w="13"/>
        <w:gridCol w:w="230"/>
        <w:gridCol w:w="605"/>
        <w:gridCol w:w="377"/>
        <w:gridCol w:w="950"/>
      </w:tblGrid>
      <w:tr w:rsidR="00401786" w14:paraId="67C9B917" w14:textId="77777777">
        <w:trPr>
          <w:cantSplit/>
          <w:trHeight w:val="327"/>
        </w:trPr>
        <w:tc>
          <w:tcPr>
            <w:tcW w:w="2193"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E0D5847"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42"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00949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50C41C"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5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8057EA"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8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B97BA7"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1261CB73" w14:textId="77777777">
        <w:trPr>
          <w:cantSplit/>
          <w:trHeight w:val="435"/>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CE9846"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9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B48501"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5F4D75"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2B5008"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07AA042C"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206EC77B"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54E775B3"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9B40D3"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12AE9A" w14:textId="77777777" w:rsidR="00401786" w:rsidRDefault="00401786" w:rsidP="000E757E">
            <w:pPr>
              <w:snapToGrid w:val="0"/>
              <w:spacing w:line="240" w:lineRule="atLeast"/>
              <w:rPr>
                <w:rFonts w:ascii="標楷體" w:eastAsia="標楷體" w:hAnsi="標楷體"/>
                <w:color w:val="000000"/>
                <w:sz w:val="20"/>
                <w:szCs w:val="20"/>
              </w:rPr>
            </w:pPr>
          </w:p>
        </w:tc>
        <w:tc>
          <w:tcPr>
            <w:tcW w:w="6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C11C85"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2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6FD43D" w14:textId="77777777" w:rsidR="00401786" w:rsidRDefault="00401786" w:rsidP="000E757E">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2DEB4C"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30A892DC"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16CA01" w14:textId="77777777" w:rsidR="00401786" w:rsidRDefault="00401786" w:rsidP="000E757E">
            <w:pPr>
              <w:snapToGrid w:val="0"/>
              <w:spacing w:line="240" w:lineRule="atLeast"/>
              <w:rPr>
                <w:rFonts w:ascii="標楷體" w:eastAsia="標楷體" w:hAnsi="標楷體"/>
                <w:color w:val="000000"/>
                <w:sz w:val="20"/>
                <w:szCs w:val="20"/>
              </w:rPr>
            </w:pPr>
          </w:p>
        </w:tc>
        <w:tc>
          <w:tcPr>
            <w:tcW w:w="109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505829"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345307E5"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1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629E5A"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0E9AD8A" w14:textId="77777777">
        <w:trPr>
          <w:cantSplit/>
          <w:trHeight w:val="412"/>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C6ABDB" w14:textId="77777777" w:rsidR="00401786" w:rsidRDefault="00401786" w:rsidP="000E757E">
            <w:pPr>
              <w:snapToGrid w:val="0"/>
              <w:spacing w:line="240" w:lineRule="atLeast"/>
              <w:rPr>
                <w:rFonts w:ascii="標楷體" w:eastAsia="標楷體" w:hAnsi="標楷體"/>
                <w:color w:val="000000"/>
                <w:sz w:val="20"/>
                <w:szCs w:val="20"/>
              </w:rPr>
            </w:pPr>
          </w:p>
        </w:tc>
        <w:tc>
          <w:tcPr>
            <w:tcW w:w="9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BBC96C"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2B1E68"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3A6475" w14:textId="77777777" w:rsidR="00401786" w:rsidRDefault="00401786" w:rsidP="000E757E">
            <w:pPr>
              <w:snapToGrid w:val="0"/>
              <w:spacing w:line="240" w:lineRule="atLeast"/>
              <w:rPr>
                <w:rFonts w:ascii="標楷體" w:eastAsia="標楷體" w:hAnsi="標楷體"/>
                <w:color w:val="000000"/>
                <w:sz w:val="20"/>
                <w:szCs w:val="20"/>
              </w:rPr>
            </w:pPr>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2CACD3"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2BEF1011"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03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4827EF"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30A17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78AE269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0A838F" w14:textId="77777777" w:rsidR="00401786" w:rsidRDefault="00401786" w:rsidP="000E757E">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65DA98"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3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7FC44C"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009A719A"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15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04DA31" w14:textId="77777777" w:rsidR="00401786" w:rsidRDefault="00401786" w:rsidP="000E757E">
            <w:pPr>
              <w:snapToGrid w:val="0"/>
              <w:spacing w:line="240" w:lineRule="atLeast"/>
              <w:rPr>
                <w:rFonts w:ascii="標楷體" w:eastAsia="標楷體" w:hAnsi="標楷體"/>
                <w:color w:val="000000"/>
                <w:sz w:val="20"/>
                <w:szCs w:val="20"/>
              </w:rPr>
            </w:pPr>
          </w:p>
        </w:tc>
        <w:tc>
          <w:tcPr>
            <w:tcW w:w="9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335AF4"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34F6B7"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39BB719" w14:textId="77777777">
        <w:trPr>
          <w:cantSplit/>
          <w:trHeight w:hRule="exact" w:val="413"/>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B33FB5"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28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9FBB8D" w14:textId="77777777" w:rsidR="00401786" w:rsidRDefault="00401786" w:rsidP="000E757E">
            <w:pPr>
              <w:snapToGrid w:val="0"/>
              <w:spacing w:line="240" w:lineRule="atLeast"/>
              <w:rPr>
                <w:rFonts w:ascii="標楷體" w:eastAsia="標楷體" w:hAnsi="標楷體"/>
                <w:color w:val="000000"/>
                <w:sz w:val="20"/>
                <w:szCs w:val="20"/>
              </w:rPr>
            </w:pPr>
          </w:p>
        </w:tc>
        <w:tc>
          <w:tcPr>
            <w:tcW w:w="9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EAE96D"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02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09CA9E" w14:textId="77777777" w:rsidR="00401786" w:rsidRDefault="00401786" w:rsidP="000E757E">
            <w:pPr>
              <w:snapToGrid w:val="0"/>
              <w:spacing w:line="240" w:lineRule="atLeast"/>
              <w:rPr>
                <w:rFonts w:ascii="標楷體" w:eastAsia="標楷體" w:hAnsi="標楷體"/>
                <w:color w:val="000000"/>
                <w:sz w:val="20"/>
                <w:szCs w:val="20"/>
              </w:rPr>
            </w:pPr>
          </w:p>
        </w:tc>
        <w:tc>
          <w:tcPr>
            <w:tcW w:w="142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AF0F4D"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3EAD935"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2484A1D0" w14:textId="77777777">
        <w:trPr>
          <w:cantSplit/>
          <w:trHeight w:val="399"/>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C02D6"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8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95B3E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41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231E1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4690F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1634B63E"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401FD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5A119713"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FDDA15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7C4A5D07" w14:textId="77777777">
        <w:trPr>
          <w:cantSplit/>
          <w:trHeight w:val="2518"/>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407C69" w14:textId="77777777" w:rsidR="00401786" w:rsidRDefault="00C64FB3" w:rsidP="000E757E">
            <w:pPr>
              <w:snapToGrid w:val="0"/>
              <w:spacing w:line="240" w:lineRule="atLeast"/>
            </w:pPr>
            <w:proofErr w:type="spellStart"/>
            <w:r>
              <w:rPr>
                <w:rFonts w:ascii="標楷體" w:eastAsia="標楷體" w:hAnsi="標楷體"/>
                <w:color w:val="000000"/>
                <w:sz w:val="18"/>
                <w:szCs w:val="18"/>
              </w:rPr>
              <w:t>Sprycel</w:t>
            </w:r>
            <w:proofErr w:type="spellEnd"/>
          </w:p>
          <w:p w14:paraId="37F18570" w14:textId="77777777" w:rsidR="00401786" w:rsidRDefault="00C64FB3" w:rsidP="000E757E">
            <w:pPr>
              <w:snapToGrid w:val="0"/>
              <w:spacing w:line="240" w:lineRule="atLeast"/>
            </w:pPr>
            <w:r>
              <w:rPr>
                <w:rFonts w:ascii="標楷體" w:eastAsia="標楷體" w:hAnsi="標楷體"/>
                <w:color w:val="000000"/>
                <w:sz w:val="18"/>
                <w:szCs w:val="18"/>
              </w:rPr>
              <w:t>□B024813100</w:t>
            </w:r>
          </w:p>
          <w:p w14:paraId="4798E37E" w14:textId="77777777" w:rsidR="00401786" w:rsidRDefault="00C64FB3" w:rsidP="000E757E">
            <w:pPr>
              <w:snapToGrid w:val="0"/>
              <w:spacing w:line="240" w:lineRule="atLeast"/>
            </w:pPr>
            <w:r>
              <w:rPr>
                <w:rFonts w:ascii="標楷體" w:eastAsia="標楷體" w:hAnsi="標楷體"/>
                <w:color w:val="000000"/>
                <w:sz w:val="18"/>
                <w:szCs w:val="18"/>
              </w:rPr>
              <w:t>□B024794100</w:t>
            </w:r>
          </w:p>
          <w:p w14:paraId="4F5C2F64" w14:textId="77777777" w:rsidR="00401786" w:rsidRDefault="00C64FB3" w:rsidP="000E757E">
            <w:pPr>
              <w:snapToGrid w:val="0"/>
              <w:spacing w:line="240" w:lineRule="atLeast"/>
            </w:pPr>
            <w:r>
              <w:rPr>
                <w:rFonts w:ascii="標楷體" w:eastAsia="標楷體" w:hAnsi="標楷體"/>
                <w:color w:val="000000"/>
                <w:sz w:val="18"/>
                <w:szCs w:val="18"/>
              </w:rPr>
              <w:t>□B024800100</w:t>
            </w:r>
          </w:p>
        </w:tc>
        <w:tc>
          <w:tcPr>
            <w:tcW w:w="18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92E845" w14:textId="77777777" w:rsidR="00401786" w:rsidRDefault="00401786" w:rsidP="000E757E">
            <w:pPr>
              <w:snapToGrid w:val="0"/>
              <w:spacing w:line="240" w:lineRule="atLeast"/>
              <w:rPr>
                <w:rFonts w:ascii="標楷體" w:eastAsia="標楷體" w:hAnsi="標楷體"/>
                <w:color w:val="000000"/>
                <w:sz w:val="20"/>
                <w:szCs w:val="20"/>
              </w:rPr>
            </w:pPr>
          </w:p>
          <w:p w14:paraId="04E569D9" w14:textId="77777777" w:rsidR="00401786" w:rsidRDefault="00C64FB3" w:rsidP="000E757E">
            <w:pPr>
              <w:snapToGrid w:val="0"/>
              <w:spacing w:line="240" w:lineRule="atLeast"/>
              <w:ind w:left="320" w:hanging="200"/>
            </w:pPr>
            <w:r>
              <w:rPr>
                <w:rFonts w:ascii="標楷體" w:eastAsia="標楷體" w:hAnsi="標楷體" w:cs="標楷體"/>
                <w:color w:val="000000"/>
                <w:sz w:val="20"/>
                <w:szCs w:val="20"/>
              </w:rPr>
              <w:t>□第一次申請</w:t>
            </w:r>
          </w:p>
          <w:p w14:paraId="701A67F2"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40129F02" w14:textId="77777777" w:rsidR="00401786" w:rsidRDefault="00C64FB3" w:rsidP="000E757E">
            <w:pPr>
              <w:snapToGrid w:val="0"/>
              <w:spacing w:line="240" w:lineRule="atLeast"/>
              <w:ind w:left="320" w:hanging="200"/>
            </w:pPr>
            <w:r>
              <w:rPr>
                <w:rFonts w:ascii="標楷體" w:eastAsia="標楷體" w:hAnsi="標楷體" w:cs="標楷體"/>
                <w:color w:val="000000"/>
                <w:sz w:val="20"/>
                <w:szCs w:val="20"/>
              </w:rPr>
              <w:t>□治療後再次申請</w:t>
            </w:r>
          </w:p>
          <w:p w14:paraId="256ADF61" w14:textId="77777777" w:rsidR="00401786" w:rsidRDefault="00401786" w:rsidP="000E757E">
            <w:pPr>
              <w:pStyle w:val="a7"/>
              <w:spacing w:line="240" w:lineRule="atLeast"/>
              <w:rPr>
                <w:rFonts w:ascii="標楷體" w:eastAsia="標楷體" w:hAnsi="標楷體"/>
                <w:color w:val="000000"/>
              </w:rPr>
            </w:pPr>
          </w:p>
        </w:tc>
        <w:tc>
          <w:tcPr>
            <w:tcW w:w="541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0842F0" w14:textId="77777777" w:rsidR="00401786" w:rsidRDefault="00C64FB3" w:rsidP="000E757E">
            <w:pPr>
              <w:snapToGrid w:val="0"/>
              <w:spacing w:before="180" w:line="240" w:lineRule="atLeast"/>
              <w:ind w:left="362" w:hanging="242"/>
              <w:jc w:val="both"/>
              <w:rPr>
                <w:rFonts w:ascii="標楷體" w:eastAsia="標楷體" w:hAnsi="標楷體"/>
                <w:color w:val="000000"/>
                <w:sz w:val="20"/>
                <w:szCs w:val="20"/>
              </w:rPr>
            </w:pPr>
            <w:r>
              <w:rPr>
                <w:rFonts w:ascii="標楷體" w:eastAsia="標楷體" w:hAnsi="標楷體"/>
                <w:color w:val="000000"/>
                <w:sz w:val="20"/>
                <w:szCs w:val="20"/>
              </w:rPr>
              <w:t>限用於</w:t>
            </w:r>
          </w:p>
          <w:p w14:paraId="27FCBB98"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1.治療患有慢性、加速或急性期慢性骨髓性白血病，對先前經imatinib400mg(含)以上治療後有抗藥性或無耐受性的成人。</w:t>
            </w:r>
          </w:p>
          <w:p w14:paraId="25B577DC"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2.治療患有費城染色體陽性急性淋巴性白血病，且對先前經imatinib400mg(含)以上治療後有抗藥性或無耐受性的成人。</w:t>
            </w:r>
          </w:p>
          <w:p w14:paraId="3DC3EAE5" w14:textId="77777777" w:rsidR="00401786" w:rsidRDefault="00C64FB3" w:rsidP="000E757E">
            <w:pPr>
              <w:snapToGrid w:val="0"/>
              <w:spacing w:line="240" w:lineRule="atLeast"/>
              <w:ind w:left="320" w:hanging="200"/>
              <w:jc w:val="both"/>
            </w:pPr>
            <w:r>
              <w:rPr>
                <w:rFonts w:ascii="標楷體" w:eastAsia="標楷體" w:hAnsi="標楷體"/>
                <w:color w:val="000000"/>
                <w:sz w:val="20"/>
                <w:szCs w:val="20"/>
              </w:rPr>
              <w:t>3.需經事前審查核准後使用，送審時需檢送病歷及對imatinib耐受性不良或無效的證明。</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1720F8" w14:textId="77777777" w:rsidR="00401786" w:rsidRDefault="00401786" w:rsidP="000E757E">
            <w:pPr>
              <w:snapToGrid w:val="0"/>
              <w:spacing w:line="240" w:lineRule="atLeast"/>
              <w:rPr>
                <w:rFonts w:ascii="標楷體" w:eastAsia="標楷體" w:hAnsi="標楷體"/>
                <w:color w:val="000000"/>
                <w:sz w:val="20"/>
                <w:szCs w:val="20"/>
              </w:rPr>
            </w:pP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589267" w14:textId="77777777" w:rsidR="00401786" w:rsidRDefault="00401786" w:rsidP="000E757E">
            <w:pPr>
              <w:snapToGrid w:val="0"/>
              <w:spacing w:line="240" w:lineRule="atLeast"/>
              <w:rPr>
                <w:rFonts w:ascii="標楷體" w:eastAsia="標楷體" w:hAnsi="標楷體"/>
                <w:color w:val="000000"/>
                <w:sz w:val="20"/>
                <w:szCs w:val="20"/>
              </w:rPr>
            </w:pPr>
          </w:p>
        </w:tc>
        <w:tc>
          <w:tcPr>
            <w:tcW w:w="4445"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AF537C3" w14:textId="77777777" w:rsidR="00401786" w:rsidRDefault="00C64FB3">
            <w:pPr>
              <w:numPr>
                <w:ilvl w:val="0"/>
                <w:numId w:val="66"/>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7C68EC1C"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6036D7D2"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30271A0"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FCDD4E6"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166D6A3A"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7E90F17B"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198D07A7" w14:textId="77777777" w:rsidR="00401786" w:rsidRDefault="00C64FB3">
            <w:pPr>
              <w:numPr>
                <w:ilvl w:val="0"/>
                <w:numId w:val="6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526B50D5" w14:textId="77777777" w:rsidR="00401786" w:rsidRDefault="00C64FB3">
            <w:pPr>
              <w:numPr>
                <w:ilvl w:val="0"/>
                <w:numId w:val="6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7A08D9EF" w14:textId="77777777" w:rsidR="00401786" w:rsidRDefault="00C64FB3">
            <w:pPr>
              <w:numPr>
                <w:ilvl w:val="0"/>
                <w:numId w:val="66"/>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409DAEDE"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436C0DF4" w14:textId="77777777">
        <w:trPr>
          <w:cantSplit/>
          <w:trHeight w:val="857"/>
        </w:trPr>
        <w:tc>
          <w:tcPr>
            <w:tcW w:w="477"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DFC257"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622F538D"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582" w:type="dxa"/>
            <w:gridSpan w:val="19"/>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A54128" w14:textId="77777777" w:rsidR="00401786" w:rsidRDefault="00C64FB3">
            <w:pPr>
              <w:numPr>
                <w:ilvl w:val="0"/>
                <w:numId w:val="67"/>
              </w:numPr>
              <w:snapToGrid w:val="0"/>
              <w:spacing w:before="180"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7AC17BD0"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「原受理編號」申復時填寫，初次送核不需填寫。</w:t>
            </w:r>
          </w:p>
          <w:p w14:paraId="6BB7C40F"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03E96A11"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2C96AFF8"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2BE993DD"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lastRenderedPageBreak/>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3ADA45CD"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5"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2B48C0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7DE15BD" w14:textId="77777777">
        <w:trPr>
          <w:cantSplit/>
          <w:trHeight w:val="1139"/>
        </w:trPr>
        <w:tc>
          <w:tcPr>
            <w:tcW w:w="477"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6032B1" w14:textId="77777777" w:rsidR="00401786" w:rsidRDefault="00401786" w:rsidP="000E757E">
            <w:pPr>
              <w:snapToGrid w:val="0"/>
              <w:spacing w:line="240" w:lineRule="atLeast"/>
              <w:ind w:left="211" w:hanging="211"/>
              <w:rPr>
                <w:rFonts w:ascii="標楷體" w:eastAsia="標楷體" w:hAnsi="標楷體"/>
                <w:color w:val="000000"/>
              </w:rPr>
            </w:pPr>
          </w:p>
        </w:tc>
        <w:tc>
          <w:tcPr>
            <w:tcW w:w="9582" w:type="dxa"/>
            <w:gridSpan w:val="19"/>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57D1A" w14:textId="77777777" w:rsidR="00401786" w:rsidRDefault="00401786" w:rsidP="000E757E">
            <w:pPr>
              <w:snapToGrid w:val="0"/>
              <w:spacing w:line="240" w:lineRule="atLeast"/>
              <w:ind w:left="211" w:hanging="211"/>
              <w:rPr>
                <w:rFonts w:ascii="標楷體" w:eastAsia="標楷體" w:hAnsi="標楷體"/>
                <w:color w:val="000000"/>
              </w:rPr>
            </w:pPr>
          </w:p>
        </w:tc>
        <w:tc>
          <w:tcPr>
            <w:tcW w:w="3118"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1D2F40" w14:textId="77777777" w:rsidR="00401786" w:rsidRDefault="00401786" w:rsidP="000E757E">
            <w:pPr>
              <w:snapToGrid w:val="0"/>
              <w:spacing w:line="240" w:lineRule="atLeast"/>
              <w:jc w:val="both"/>
              <w:rPr>
                <w:rFonts w:ascii="標楷體" w:eastAsia="標楷體" w:hAnsi="標楷體"/>
                <w:color w:val="000000"/>
              </w:rPr>
            </w:pPr>
          </w:p>
          <w:p w14:paraId="42AA9E2A" w14:textId="77777777" w:rsidR="00401786" w:rsidRDefault="00401786" w:rsidP="000E757E">
            <w:pPr>
              <w:snapToGrid w:val="0"/>
              <w:spacing w:line="240" w:lineRule="atLeast"/>
              <w:jc w:val="both"/>
              <w:rPr>
                <w:rFonts w:ascii="標楷體" w:eastAsia="標楷體" w:hAnsi="標楷體"/>
                <w:color w:val="000000"/>
              </w:rPr>
            </w:pPr>
          </w:p>
          <w:p w14:paraId="26828B06"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791C2FE1"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65CE9D" w14:textId="77777777" w:rsidR="00401786" w:rsidRDefault="00C64FB3" w:rsidP="000E757E">
            <w:pPr>
              <w:snapToGrid w:val="0"/>
              <w:spacing w:line="240" w:lineRule="atLeast"/>
            </w:pPr>
            <w:r>
              <w:rPr>
                <w:rFonts w:ascii="標楷體" w:eastAsia="標楷體" w:hAnsi="標楷體" w:cs="標楷體"/>
                <w:color w:val="000000"/>
              </w:rPr>
              <w:lastRenderedPageBreak/>
              <w:t>審查醫</w:t>
            </w:r>
            <w:r>
              <w:rPr>
                <w:rFonts w:ascii="標楷體" w:eastAsia="標楷體" w:hAnsi="標楷體" w:cs="標楷體"/>
                <w:color w:val="000000"/>
              </w:rPr>
              <w:lastRenderedPageBreak/>
              <w:t>師</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B42AE2" w14:textId="77777777" w:rsidR="00401786" w:rsidRDefault="00401786" w:rsidP="000E757E">
            <w:pPr>
              <w:snapToGrid w:val="0"/>
              <w:spacing w:line="240" w:lineRule="atLeast"/>
              <w:rPr>
                <w:rFonts w:ascii="標楷體" w:eastAsia="標楷體" w:hAnsi="標楷體"/>
                <w:color w:val="000000"/>
              </w:rPr>
            </w:pPr>
          </w:p>
        </w:tc>
      </w:tr>
      <w:tr w:rsidR="00401786" w14:paraId="60DBBA15" w14:textId="77777777">
        <w:trPr>
          <w:cantSplit/>
          <w:trHeight w:val="1765"/>
        </w:trPr>
        <w:tc>
          <w:tcPr>
            <w:tcW w:w="477"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F4D43D" w14:textId="77777777" w:rsidR="00401786" w:rsidRDefault="00401786" w:rsidP="000E757E">
            <w:pPr>
              <w:snapToGrid w:val="0"/>
              <w:spacing w:line="240" w:lineRule="atLeast"/>
              <w:ind w:left="211" w:hanging="211"/>
              <w:rPr>
                <w:rFonts w:ascii="標楷體" w:eastAsia="標楷體" w:hAnsi="標楷體"/>
                <w:color w:val="000000"/>
              </w:rPr>
            </w:pPr>
          </w:p>
        </w:tc>
        <w:tc>
          <w:tcPr>
            <w:tcW w:w="9582" w:type="dxa"/>
            <w:gridSpan w:val="19"/>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7F2D89" w14:textId="77777777" w:rsidR="00401786" w:rsidRDefault="00401786" w:rsidP="000E757E">
            <w:pPr>
              <w:snapToGrid w:val="0"/>
              <w:spacing w:line="240" w:lineRule="atLeast"/>
              <w:ind w:left="211" w:hanging="211"/>
              <w:rPr>
                <w:rFonts w:ascii="標楷體" w:eastAsia="標楷體" w:hAnsi="標楷體"/>
                <w:color w:val="000000"/>
              </w:rPr>
            </w:pPr>
          </w:p>
        </w:tc>
        <w:tc>
          <w:tcPr>
            <w:tcW w:w="3118"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02A089" w14:textId="77777777" w:rsidR="00401786" w:rsidRDefault="00401786" w:rsidP="000E757E">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D5715A" w14:textId="77777777" w:rsidR="00401786" w:rsidRDefault="00401786" w:rsidP="000E757E">
            <w:pPr>
              <w:snapToGrid w:val="0"/>
              <w:spacing w:line="240" w:lineRule="atLeast"/>
              <w:rPr>
                <w:rFonts w:ascii="標楷體" w:eastAsia="標楷體" w:hAnsi="標楷體" w:cs="標楷體"/>
                <w:color w:val="000000"/>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6A4B69" w14:textId="77777777" w:rsidR="00401786" w:rsidRDefault="00401786" w:rsidP="000E757E">
            <w:pPr>
              <w:snapToGrid w:val="0"/>
              <w:spacing w:line="240" w:lineRule="atLeast"/>
              <w:rPr>
                <w:rFonts w:ascii="標楷體" w:eastAsia="標楷體" w:hAnsi="標楷體"/>
                <w:color w:val="000000"/>
              </w:rPr>
            </w:pPr>
          </w:p>
        </w:tc>
      </w:tr>
      <w:tr w:rsidR="00401786" w14:paraId="4FD015AE" w14:textId="77777777">
        <w:trPr>
          <w:cantSplit/>
          <w:trHeight w:val="369"/>
        </w:trPr>
        <w:tc>
          <w:tcPr>
            <w:tcW w:w="7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EA7A5"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p w14:paraId="5DF253FC" w14:textId="77777777" w:rsidR="00401786" w:rsidRDefault="00401786" w:rsidP="000E757E">
            <w:pPr>
              <w:snapToGrid w:val="0"/>
              <w:spacing w:line="240" w:lineRule="atLeast"/>
              <w:rPr>
                <w:rFonts w:ascii="標楷體" w:eastAsia="標楷體" w:hAnsi="標楷體"/>
                <w:color w:val="000000"/>
              </w:rPr>
            </w:pPr>
          </w:p>
        </w:tc>
        <w:tc>
          <w:tcPr>
            <w:tcW w:w="8759"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8CCBBB"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18708EF7" w14:textId="77777777" w:rsidR="00401786" w:rsidRDefault="00401786" w:rsidP="000E757E">
            <w:pPr>
              <w:snapToGrid w:val="0"/>
              <w:spacing w:line="240" w:lineRule="atLeast"/>
              <w:rPr>
                <w:rFonts w:ascii="標楷體" w:eastAsia="標楷體" w:hAnsi="標楷體"/>
                <w:color w:val="000000"/>
              </w:rPr>
            </w:pPr>
          </w:p>
          <w:p w14:paraId="31295EE4"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2A1D68"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B6EAAF" w14:textId="77777777" w:rsidR="00401786" w:rsidRDefault="00401786" w:rsidP="000E757E">
            <w:pPr>
              <w:widowControl/>
              <w:snapToGrid w:val="0"/>
              <w:spacing w:line="240" w:lineRule="atLeast"/>
              <w:rPr>
                <w:rFonts w:ascii="標楷體" w:eastAsia="標楷體" w:hAnsi="標楷體"/>
                <w:color w:val="000000"/>
              </w:rPr>
            </w:pPr>
          </w:p>
          <w:p w14:paraId="3956157D" w14:textId="77777777" w:rsidR="00401786" w:rsidRDefault="00401786" w:rsidP="000E757E">
            <w:pPr>
              <w:snapToGrid w:val="0"/>
              <w:spacing w:line="240" w:lineRule="atLeast"/>
              <w:rPr>
                <w:rFonts w:ascii="標楷體" w:eastAsia="標楷體" w:hAnsi="標楷體"/>
                <w:color w:val="000000"/>
              </w:rPr>
            </w:pPr>
          </w:p>
        </w:tc>
        <w:tc>
          <w:tcPr>
            <w:tcW w:w="36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83350D"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629708FD" w14:textId="77777777" w:rsidR="00401786" w:rsidRDefault="00401786" w:rsidP="000E757E">
            <w:pPr>
              <w:widowControl/>
              <w:snapToGrid w:val="0"/>
              <w:spacing w:line="240" w:lineRule="atLeast"/>
              <w:rPr>
                <w:rFonts w:ascii="標楷體" w:eastAsia="標楷體" w:hAnsi="標楷體"/>
                <w:color w:val="000000"/>
              </w:rPr>
            </w:pPr>
          </w:p>
        </w:tc>
        <w:tc>
          <w:tcPr>
            <w:tcW w:w="846"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40C6DF" w14:textId="77777777" w:rsidR="00401786" w:rsidRDefault="00401786" w:rsidP="000E757E">
            <w:pPr>
              <w:widowControl/>
              <w:snapToGrid w:val="0"/>
              <w:spacing w:line="240" w:lineRule="atLeast"/>
              <w:rPr>
                <w:rFonts w:ascii="標楷體" w:eastAsia="標楷體" w:hAnsi="標楷體"/>
                <w:color w:val="000000"/>
              </w:rPr>
            </w:pPr>
          </w:p>
          <w:p w14:paraId="6B1A479B" w14:textId="77777777" w:rsidR="00401786" w:rsidRDefault="00401786" w:rsidP="000E757E">
            <w:pPr>
              <w:snapToGrid w:val="0"/>
              <w:spacing w:line="240" w:lineRule="atLeast"/>
              <w:rPr>
                <w:rFonts w:ascii="標楷體" w:eastAsia="標楷體" w:hAnsi="標楷體"/>
                <w:color w:val="000000"/>
              </w:rPr>
            </w:pPr>
          </w:p>
        </w:tc>
        <w:tc>
          <w:tcPr>
            <w:tcW w:w="36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9E30B" w14:textId="77777777" w:rsidR="00401786" w:rsidRDefault="00C64FB3" w:rsidP="000E757E">
            <w:pPr>
              <w:snapToGrid w:val="0"/>
              <w:spacing w:line="240" w:lineRule="atLeast"/>
            </w:pPr>
            <w:r>
              <w:rPr>
                <w:rFonts w:ascii="標楷體" w:eastAsia="標楷體" w:hAnsi="標楷體" w:cs="標楷體"/>
                <w:color w:val="000000"/>
              </w:rPr>
              <w:t>科長</w:t>
            </w:r>
          </w:p>
        </w:tc>
        <w:tc>
          <w:tcPr>
            <w:tcW w:w="84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7FFD4" w14:textId="77777777" w:rsidR="00401786" w:rsidRDefault="00401786" w:rsidP="000E757E">
            <w:pPr>
              <w:widowControl/>
              <w:snapToGrid w:val="0"/>
              <w:spacing w:line="240" w:lineRule="atLeast"/>
              <w:rPr>
                <w:rFonts w:ascii="標楷體" w:eastAsia="標楷體" w:hAnsi="標楷體"/>
                <w:color w:val="000000"/>
              </w:rPr>
            </w:pPr>
          </w:p>
          <w:p w14:paraId="18AE31E6" w14:textId="77777777" w:rsidR="00401786" w:rsidRDefault="00401786" w:rsidP="000E757E">
            <w:pPr>
              <w:snapToGrid w:val="0"/>
              <w:spacing w:line="240" w:lineRule="atLeast"/>
              <w:rPr>
                <w:rFonts w:ascii="標楷體" w:eastAsia="標楷體" w:hAnsi="標楷體"/>
                <w:color w:val="000000"/>
              </w:rPr>
            </w:pPr>
          </w:p>
        </w:tc>
        <w:tc>
          <w:tcPr>
            <w:tcW w:w="37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BCFBC6"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0613D61E" w14:textId="77777777" w:rsidR="00401786" w:rsidRDefault="00401786" w:rsidP="000E757E">
            <w:pPr>
              <w:widowControl/>
              <w:snapToGrid w:val="0"/>
              <w:spacing w:line="240" w:lineRule="atLeast"/>
              <w:rPr>
                <w:rFonts w:ascii="標楷體" w:eastAsia="標楷體" w:hAnsi="標楷體"/>
                <w:color w:val="000000"/>
              </w:rPr>
            </w:pPr>
          </w:p>
        </w:tc>
        <w:tc>
          <w:tcPr>
            <w:tcW w:w="95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09E1B0" w14:textId="77777777" w:rsidR="00401786" w:rsidRDefault="00401786" w:rsidP="000E757E">
            <w:pPr>
              <w:widowControl/>
              <w:snapToGrid w:val="0"/>
              <w:spacing w:line="240" w:lineRule="atLeast"/>
              <w:rPr>
                <w:rFonts w:ascii="標楷體" w:eastAsia="標楷體" w:hAnsi="標楷體"/>
                <w:color w:val="000000"/>
              </w:rPr>
            </w:pPr>
          </w:p>
          <w:p w14:paraId="1023FDE6" w14:textId="77777777" w:rsidR="00401786" w:rsidRDefault="00401786" w:rsidP="000E757E">
            <w:pPr>
              <w:snapToGrid w:val="0"/>
              <w:spacing w:line="240" w:lineRule="atLeast"/>
              <w:rPr>
                <w:rFonts w:ascii="標楷體" w:eastAsia="標楷體" w:hAnsi="標楷體"/>
                <w:color w:val="000000"/>
              </w:rPr>
            </w:pPr>
          </w:p>
        </w:tc>
      </w:tr>
    </w:tbl>
    <w:p w14:paraId="17ABF6E6" w14:textId="687F948E" w:rsidR="002C2DF7" w:rsidRPr="00F37647" w:rsidRDefault="00C64FB3" w:rsidP="000E757E">
      <w:pPr>
        <w:pStyle w:val="Web"/>
        <w:pageBreakBefore/>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附表九之五</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Sunitinib</w:t>
      </w:r>
      <w:r w:rsidRPr="00F37647">
        <w:rPr>
          <w:rFonts w:ascii="標楷體" w:eastAsia="標楷體" w:hAnsi="標楷體" w:cs="標楷體"/>
          <w:b/>
          <w:bCs/>
          <w:color w:val="000000"/>
        </w:rPr>
        <w:t>申請表</w:t>
      </w:r>
    </w:p>
    <w:tbl>
      <w:tblPr>
        <w:tblW w:w="14504" w:type="dxa"/>
        <w:tblInd w:w="227" w:type="dxa"/>
        <w:tblLayout w:type="fixed"/>
        <w:tblCellMar>
          <w:left w:w="10" w:type="dxa"/>
          <w:right w:w="10" w:type="dxa"/>
        </w:tblCellMar>
        <w:tblLook w:val="04A0" w:firstRow="1" w:lastRow="0" w:firstColumn="1" w:lastColumn="0" w:noHBand="0" w:noVBand="1"/>
      </w:tblPr>
      <w:tblGrid>
        <w:gridCol w:w="313"/>
        <w:gridCol w:w="74"/>
        <w:gridCol w:w="405"/>
        <w:gridCol w:w="575"/>
        <w:gridCol w:w="826"/>
        <w:gridCol w:w="741"/>
        <w:gridCol w:w="269"/>
        <w:gridCol w:w="16"/>
        <w:gridCol w:w="431"/>
        <w:gridCol w:w="852"/>
        <w:gridCol w:w="109"/>
        <w:gridCol w:w="1320"/>
        <w:gridCol w:w="604"/>
        <w:gridCol w:w="362"/>
        <w:gridCol w:w="964"/>
        <w:gridCol w:w="773"/>
        <w:gridCol w:w="327"/>
        <w:gridCol w:w="386"/>
        <w:gridCol w:w="204"/>
        <w:gridCol w:w="127"/>
        <w:gridCol w:w="235"/>
        <w:gridCol w:w="146"/>
        <w:gridCol w:w="698"/>
        <w:gridCol w:w="362"/>
        <w:gridCol w:w="126"/>
        <w:gridCol w:w="362"/>
        <w:gridCol w:w="10"/>
        <w:gridCol w:w="348"/>
        <w:gridCol w:w="364"/>
        <w:gridCol w:w="13"/>
        <w:gridCol w:w="230"/>
        <w:gridCol w:w="605"/>
        <w:gridCol w:w="377"/>
        <w:gridCol w:w="950"/>
      </w:tblGrid>
      <w:tr w:rsidR="002C2DF7" w14:paraId="3CF6F951" w14:textId="77777777" w:rsidTr="006C315D">
        <w:trPr>
          <w:cantSplit/>
          <w:trHeight w:val="327"/>
        </w:trPr>
        <w:tc>
          <w:tcPr>
            <w:tcW w:w="2193"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3B2BA055" w14:textId="77777777" w:rsidR="002C2DF7" w:rsidRDefault="002C2DF7" w:rsidP="006C315D">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42"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B2C15C" w14:textId="77777777" w:rsidR="002C2DF7" w:rsidRDefault="002C2DF7" w:rsidP="006C315D">
            <w:pPr>
              <w:snapToGrid w:val="0"/>
              <w:spacing w:line="240" w:lineRule="atLeast"/>
              <w:jc w:val="center"/>
            </w:pPr>
            <w:r>
              <w:rPr>
                <w:rFonts w:ascii="標楷體" w:eastAsia="標楷體" w:hAnsi="標楷體" w:cs="標楷體"/>
                <w:color w:val="000000"/>
                <w:sz w:val="20"/>
                <w:szCs w:val="20"/>
              </w:rPr>
              <w:t>□送核□補資料□申復□資料異動</w:t>
            </w:r>
          </w:p>
        </w:tc>
        <w:tc>
          <w:tcPr>
            <w:tcW w:w="24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0B027" w14:textId="77777777" w:rsidR="002C2DF7" w:rsidRDefault="002C2DF7" w:rsidP="006C315D">
            <w:pPr>
              <w:snapToGrid w:val="0"/>
              <w:spacing w:line="240" w:lineRule="atLeast"/>
            </w:pPr>
            <w:r>
              <w:rPr>
                <w:rFonts w:ascii="標楷體" w:eastAsia="標楷體" w:hAnsi="標楷體" w:cs="標楷體"/>
                <w:color w:val="000000"/>
                <w:sz w:val="20"/>
                <w:szCs w:val="20"/>
              </w:rPr>
              <w:t>受理日期：</w:t>
            </w:r>
          </w:p>
        </w:tc>
        <w:tc>
          <w:tcPr>
            <w:tcW w:w="265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297D1" w14:textId="77777777" w:rsidR="002C2DF7" w:rsidRDefault="002C2DF7" w:rsidP="006C315D">
            <w:pPr>
              <w:snapToGrid w:val="0"/>
              <w:spacing w:line="240" w:lineRule="atLeast"/>
              <w:ind w:left="15"/>
            </w:pPr>
            <w:r>
              <w:rPr>
                <w:rFonts w:ascii="標楷體" w:eastAsia="標楷體" w:hAnsi="標楷體" w:cs="標楷體"/>
                <w:color w:val="000000"/>
                <w:sz w:val="20"/>
                <w:szCs w:val="20"/>
              </w:rPr>
              <w:t>受理編號：</w:t>
            </w:r>
          </w:p>
        </w:tc>
        <w:tc>
          <w:tcPr>
            <w:tcW w:w="288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6709FC" w14:textId="77777777" w:rsidR="002C2DF7" w:rsidRDefault="002C2DF7" w:rsidP="006C315D">
            <w:pPr>
              <w:snapToGrid w:val="0"/>
              <w:spacing w:line="240" w:lineRule="atLeast"/>
            </w:pPr>
            <w:r>
              <w:rPr>
                <w:rFonts w:ascii="標楷體" w:eastAsia="標楷體" w:hAnsi="標楷體" w:cs="標楷體"/>
                <w:color w:val="000000"/>
                <w:sz w:val="20"/>
                <w:szCs w:val="20"/>
              </w:rPr>
              <w:t>緊急傳真日期：</w:t>
            </w:r>
          </w:p>
        </w:tc>
      </w:tr>
      <w:tr w:rsidR="002C2DF7" w14:paraId="1EA73FAD" w14:textId="77777777" w:rsidTr="006C315D">
        <w:trPr>
          <w:cantSplit/>
          <w:trHeight w:val="435"/>
        </w:trPr>
        <w:tc>
          <w:tcPr>
            <w:tcW w:w="387"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C75A10" w14:textId="77777777" w:rsidR="002C2DF7" w:rsidRDefault="002C2DF7" w:rsidP="006C315D">
            <w:pPr>
              <w:snapToGrid w:val="0"/>
              <w:spacing w:line="240" w:lineRule="atLeast"/>
              <w:jc w:val="center"/>
            </w:pPr>
            <w:r>
              <w:rPr>
                <w:rFonts w:ascii="標楷體" w:eastAsia="標楷體" w:hAnsi="標楷體" w:cs="標楷體"/>
                <w:color w:val="000000"/>
                <w:sz w:val="20"/>
                <w:szCs w:val="20"/>
              </w:rPr>
              <w:t>醫療機構</w:t>
            </w:r>
          </w:p>
        </w:tc>
        <w:tc>
          <w:tcPr>
            <w:tcW w:w="9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D6F626" w14:textId="77777777" w:rsidR="002C2DF7" w:rsidRDefault="002C2DF7" w:rsidP="006C315D">
            <w:pPr>
              <w:snapToGrid w:val="0"/>
              <w:spacing w:line="240" w:lineRule="atLeast"/>
            </w:pPr>
            <w:r>
              <w:rPr>
                <w:rFonts w:ascii="標楷體" w:eastAsia="標楷體" w:hAnsi="標楷體" w:cs="標楷體"/>
                <w:color w:val="000000"/>
                <w:sz w:val="20"/>
                <w:szCs w:val="20"/>
              </w:rPr>
              <w:t>名稱</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DDD95" w14:textId="77777777" w:rsidR="002C2DF7" w:rsidRDefault="002C2DF7" w:rsidP="006C315D">
            <w:pPr>
              <w:snapToGrid w:val="0"/>
              <w:spacing w:line="240" w:lineRule="atLeast"/>
              <w:rPr>
                <w:rFonts w:ascii="標楷體" w:eastAsia="標楷體" w:hAnsi="標楷體"/>
                <w:color w:val="000000"/>
                <w:sz w:val="20"/>
                <w:szCs w:val="20"/>
              </w:rPr>
            </w:pPr>
          </w:p>
        </w:tc>
        <w:tc>
          <w:tcPr>
            <w:tcW w:w="28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1A656F" w14:textId="77777777" w:rsidR="002C2DF7" w:rsidRDefault="002C2DF7" w:rsidP="006C315D">
            <w:pPr>
              <w:snapToGrid w:val="0"/>
              <w:spacing w:line="240" w:lineRule="atLeast"/>
              <w:jc w:val="center"/>
            </w:pPr>
            <w:r>
              <w:rPr>
                <w:rFonts w:ascii="標楷體" w:eastAsia="標楷體" w:hAnsi="標楷體" w:cs="標楷體"/>
                <w:color w:val="000000"/>
                <w:sz w:val="20"/>
                <w:szCs w:val="20"/>
              </w:rPr>
              <w:t>保</w:t>
            </w:r>
          </w:p>
          <w:p w14:paraId="28B23808" w14:textId="77777777" w:rsidR="002C2DF7" w:rsidRDefault="002C2DF7" w:rsidP="006C315D">
            <w:pPr>
              <w:snapToGrid w:val="0"/>
              <w:spacing w:line="240" w:lineRule="atLeast"/>
              <w:jc w:val="center"/>
            </w:pPr>
            <w:r>
              <w:rPr>
                <w:rFonts w:ascii="標楷體" w:eastAsia="標楷體" w:hAnsi="標楷體" w:cs="標楷體"/>
                <w:color w:val="000000"/>
                <w:sz w:val="20"/>
                <w:szCs w:val="20"/>
              </w:rPr>
              <w:t>險</w:t>
            </w:r>
          </w:p>
          <w:p w14:paraId="581C432D" w14:textId="77777777" w:rsidR="002C2DF7" w:rsidRDefault="002C2DF7" w:rsidP="006C315D">
            <w:pPr>
              <w:snapToGrid w:val="0"/>
              <w:spacing w:line="240" w:lineRule="atLeast"/>
              <w:jc w:val="center"/>
            </w:pPr>
            <w:r>
              <w:rPr>
                <w:rFonts w:ascii="標楷體" w:eastAsia="標楷體" w:hAnsi="標楷體" w:cs="標楷體"/>
                <w:color w:val="000000"/>
                <w:sz w:val="20"/>
                <w:szCs w:val="20"/>
              </w:rPr>
              <w:t>對</w:t>
            </w:r>
          </w:p>
          <w:p w14:paraId="4F49FEFF" w14:textId="77777777" w:rsidR="002C2DF7" w:rsidRDefault="002C2DF7" w:rsidP="006C315D">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C85AD2" w14:textId="77777777" w:rsidR="002C2DF7" w:rsidRDefault="002C2DF7" w:rsidP="006C315D">
            <w:pPr>
              <w:snapToGrid w:val="0"/>
              <w:spacing w:line="240" w:lineRule="atLeast"/>
            </w:pPr>
            <w:r>
              <w:rPr>
                <w:rFonts w:ascii="標楷體" w:eastAsia="標楷體" w:hAnsi="標楷體" w:cs="標楷體"/>
                <w:color w:val="000000"/>
                <w:sz w:val="20"/>
                <w:szCs w:val="20"/>
              </w:rPr>
              <w:t>姓名</w:t>
            </w:r>
          </w:p>
        </w:tc>
        <w:tc>
          <w:tcPr>
            <w:tcW w:w="14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1107D" w14:textId="77777777" w:rsidR="002C2DF7" w:rsidRDefault="002C2DF7" w:rsidP="006C315D">
            <w:pPr>
              <w:snapToGrid w:val="0"/>
              <w:spacing w:line="240" w:lineRule="atLeast"/>
              <w:rPr>
                <w:rFonts w:ascii="標楷體" w:eastAsia="標楷體" w:hAnsi="標楷體"/>
                <w:color w:val="000000"/>
                <w:sz w:val="20"/>
                <w:szCs w:val="20"/>
              </w:rPr>
            </w:pPr>
          </w:p>
        </w:tc>
        <w:tc>
          <w:tcPr>
            <w:tcW w:w="6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F28252" w14:textId="77777777" w:rsidR="002C2DF7" w:rsidRDefault="002C2DF7" w:rsidP="006C315D">
            <w:pPr>
              <w:snapToGrid w:val="0"/>
              <w:spacing w:line="240" w:lineRule="atLeast"/>
            </w:pPr>
            <w:r>
              <w:rPr>
                <w:rFonts w:ascii="標楷體" w:eastAsia="標楷體" w:hAnsi="標楷體" w:cs="標楷體"/>
                <w:color w:val="000000"/>
                <w:sz w:val="20"/>
                <w:szCs w:val="20"/>
              </w:rPr>
              <w:t>出生</w:t>
            </w:r>
          </w:p>
        </w:tc>
        <w:tc>
          <w:tcPr>
            <w:tcW w:w="132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7E67D2" w14:textId="77777777" w:rsidR="002C2DF7" w:rsidRDefault="002C2DF7" w:rsidP="006C315D">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61A991" w14:textId="77777777" w:rsidR="002C2DF7" w:rsidRDefault="002C2DF7" w:rsidP="006C315D">
            <w:pPr>
              <w:snapToGrid w:val="0"/>
              <w:spacing w:line="240" w:lineRule="atLeast"/>
            </w:pPr>
            <w:r>
              <w:rPr>
                <w:rFonts w:ascii="標楷體" w:eastAsia="標楷體" w:hAnsi="標楷體" w:cs="標楷體"/>
                <w:color w:val="000000"/>
                <w:sz w:val="20"/>
                <w:szCs w:val="20"/>
              </w:rPr>
              <w:t>原受理編號</w:t>
            </w:r>
          </w:p>
          <w:p w14:paraId="60B32E6A" w14:textId="77777777" w:rsidR="002C2DF7" w:rsidRDefault="002C2DF7" w:rsidP="006C315D">
            <w:pPr>
              <w:snapToGrid w:val="0"/>
              <w:spacing w:line="240" w:lineRule="atLeast"/>
            </w:pPr>
            <w:r>
              <w:rPr>
                <w:rFonts w:ascii="標楷體" w:eastAsia="標楷體" w:hAnsi="標楷體" w:cs="標楷體"/>
                <w:color w:val="000000"/>
                <w:sz w:val="20"/>
                <w:szCs w:val="20"/>
              </w:rPr>
              <w:t>（申復時填用）</w:t>
            </w:r>
          </w:p>
        </w:tc>
        <w:tc>
          <w:tcPr>
            <w:tcW w:w="156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087365" w14:textId="77777777" w:rsidR="002C2DF7" w:rsidRDefault="002C2DF7" w:rsidP="006C315D">
            <w:pPr>
              <w:snapToGrid w:val="0"/>
              <w:spacing w:line="240" w:lineRule="atLeast"/>
              <w:rPr>
                <w:rFonts w:ascii="標楷體" w:eastAsia="標楷體" w:hAnsi="標楷體"/>
                <w:color w:val="000000"/>
                <w:sz w:val="20"/>
                <w:szCs w:val="20"/>
              </w:rPr>
            </w:pPr>
          </w:p>
        </w:tc>
        <w:tc>
          <w:tcPr>
            <w:tcW w:w="109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3FD032" w14:textId="77777777" w:rsidR="002C2DF7" w:rsidRDefault="002C2DF7" w:rsidP="006C315D">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6B22D438" w14:textId="77777777" w:rsidR="002C2DF7" w:rsidRDefault="002C2DF7" w:rsidP="006C315D">
            <w:pPr>
              <w:snapToGrid w:val="0"/>
              <w:spacing w:line="240" w:lineRule="atLeast"/>
            </w:pPr>
            <w:r>
              <w:rPr>
                <w:rFonts w:ascii="標楷體" w:eastAsia="標楷體" w:hAnsi="標楷體" w:cs="標楷體"/>
                <w:color w:val="000000"/>
                <w:sz w:val="20"/>
                <w:szCs w:val="20"/>
              </w:rPr>
              <w:t>日期</w:t>
            </w:r>
          </w:p>
        </w:tc>
        <w:tc>
          <w:tcPr>
            <w:tcW w:w="21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34622E" w14:textId="77777777" w:rsidR="002C2DF7" w:rsidRDefault="002C2DF7" w:rsidP="006C315D">
            <w:pPr>
              <w:snapToGrid w:val="0"/>
              <w:spacing w:line="240" w:lineRule="atLeast"/>
              <w:rPr>
                <w:rFonts w:ascii="標楷體" w:eastAsia="標楷體" w:hAnsi="標楷體"/>
                <w:color w:val="000000"/>
                <w:sz w:val="20"/>
                <w:szCs w:val="20"/>
              </w:rPr>
            </w:pPr>
          </w:p>
        </w:tc>
      </w:tr>
      <w:tr w:rsidR="002C2DF7" w14:paraId="187A1FD7" w14:textId="77777777" w:rsidTr="006C315D">
        <w:trPr>
          <w:cantSplit/>
          <w:trHeight w:val="412"/>
        </w:trPr>
        <w:tc>
          <w:tcPr>
            <w:tcW w:w="387"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4295D5" w14:textId="77777777" w:rsidR="002C2DF7" w:rsidRDefault="002C2DF7" w:rsidP="006C315D">
            <w:pPr>
              <w:snapToGrid w:val="0"/>
              <w:spacing w:line="240" w:lineRule="atLeast"/>
              <w:rPr>
                <w:rFonts w:ascii="標楷體" w:eastAsia="標楷體" w:hAnsi="標楷體"/>
                <w:color w:val="000000"/>
                <w:sz w:val="20"/>
                <w:szCs w:val="20"/>
              </w:rPr>
            </w:pPr>
          </w:p>
        </w:tc>
        <w:tc>
          <w:tcPr>
            <w:tcW w:w="9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7AD8E2" w14:textId="77777777" w:rsidR="002C2DF7" w:rsidRDefault="002C2DF7" w:rsidP="006C315D">
            <w:pPr>
              <w:snapToGrid w:val="0"/>
              <w:spacing w:line="240" w:lineRule="atLeast"/>
            </w:pPr>
            <w:r>
              <w:rPr>
                <w:rFonts w:ascii="標楷體" w:eastAsia="標楷體" w:hAnsi="標楷體" w:cs="標楷體"/>
                <w:color w:val="000000"/>
                <w:sz w:val="20"/>
                <w:szCs w:val="20"/>
              </w:rPr>
              <w:t>代號</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DF1B08" w14:textId="77777777" w:rsidR="002C2DF7" w:rsidRDefault="002C2DF7" w:rsidP="006C315D">
            <w:pPr>
              <w:snapToGrid w:val="0"/>
              <w:spacing w:line="240" w:lineRule="atLeast"/>
              <w:rPr>
                <w:rFonts w:ascii="標楷體" w:eastAsia="標楷體" w:hAnsi="標楷體"/>
                <w:color w:val="000000"/>
                <w:sz w:val="20"/>
                <w:szCs w:val="20"/>
              </w:rPr>
            </w:pPr>
          </w:p>
        </w:tc>
        <w:tc>
          <w:tcPr>
            <w:tcW w:w="285"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1D064D" w14:textId="77777777" w:rsidR="002C2DF7" w:rsidRDefault="002C2DF7" w:rsidP="006C315D">
            <w:pPr>
              <w:snapToGrid w:val="0"/>
              <w:spacing w:line="240" w:lineRule="atLeast"/>
              <w:rPr>
                <w:rFonts w:ascii="標楷體" w:eastAsia="標楷體" w:hAnsi="標楷體"/>
                <w:color w:val="000000"/>
                <w:sz w:val="20"/>
                <w:szCs w:val="20"/>
              </w:rPr>
            </w:pPr>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87B6AD" w14:textId="77777777" w:rsidR="002C2DF7" w:rsidRDefault="002C2DF7" w:rsidP="006C315D">
            <w:pPr>
              <w:snapToGrid w:val="0"/>
              <w:spacing w:line="240" w:lineRule="atLeast"/>
            </w:pPr>
            <w:r>
              <w:rPr>
                <w:rFonts w:ascii="標楷體" w:eastAsia="標楷體" w:hAnsi="標楷體" w:cs="標楷體"/>
                <w:color w:val="000000"/>
                <w:sz w:val="20"/>
                <w:szCs w:val="20"/>
              </w:rPr>
              <w:t>身分證</w:t>
            </w:r>
          </w:p>
          <w:p w14:paraId="6077EAAE" w14:textId="77777777" w:rsidR="002C2DF7" w:rsidRDefault="002C2DF7" w:rsidP="006C315D">
            <w:pPr>
              <w:snapToGrid w:val="0"/>
              <w:spacing w:line="240" w:lineRule="atLeast"/>
            </w:pPr>
            <w:r>
              <w:rPr>
                <w:rFonts w:ascii="標楷體" w:eastAsia="標楷體" w:hAnsi="標楷體" w:cs="標楷體"/>
                <w:color w:val="000000"/>
                <w:sz w:val="20"/>
                <w:szCs w:val="20"/>
              </w:rPr>
              <w:t>統一編號</w:t>
            </w:r>
          </w:p>
        </w:tc>
        <w:tc>
          <w:tcPr>
            <w:tcW w:w="203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72FB43" w14:textId="77777777" w:rsidR="002C2DF7" w:rsidRDefault="002C2DF7" w:rsidP="006C315D">
            <w:pPr>
              <w:snapToGrid w:val="0"/>
              <w:spacing w:line="240" w:lineRule="atLeast"/>
              <w:rPr>
                <w:rFonts w:ascii="標楷體" w:eastAsia="標楷體" w:hAnsi="標楷體"/>
                <w:color w:val="000000"/>
                <w:sz w:val="20"/>
                <w:szCs w:val="20"/>
              </w:rPr>
            </w:pPr>
          </w:p>
        </w:tc>
        <w:tc>
          <w:tcPr>
            <w:tcW w:w="36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1E2251" w14:textId="77777777" w:rsidR="002C2DF7" w:rsidRDefault="002C2DF7" w:rsidP="006C315D">
            <w:pPr>
              <w:snapToGrid w:val="0"/>
              <w:spacing w:line="240" w:lineRule="atLeast"/>
              <w:jc w:val="center"/>
            </w:pPr>
            <w:r>
              <w:rPr>
                <w:rFonts w:ascii="標楷體" w:eastAsia="標楷體" w:hAnsi="標楷體" w:cs="標楷體"/>
                <w:color w:val="000000"/>
                <w:sz w:val="20"/>
                <w:szCs w:val="20"/>
              </w:rPr>
              <w:t>科</w:t>
            </w:r>
          </w:p>
          <w:p w14:paraId="28174356" w14:textId="77777777" w:rsidR="002C2DF7" w:rsidRDefault="002C2DF7" w:rsidP="006C315D">
            <w:pPr>
              <w:snapToGrid w:val="0"/>
              <w:spacing w:line="240" w:lineRule="atLeast"/>
              <w:jc w:val="center"/>
            </w:pPr>
            <w:r>
              <w:rPr>
                <w:rFonts w:ascii="標楷體" w:eastAsia="標楷體" w:hAnsi="標楷體" w:cs="標楷體"/>
                <w:color w:val="000000"/>
                <w:sz w:val="20"/>
                <w:szCs w:val="20"/>
              </w:rPr>
              <w:t>別</w:t>
            </w:r>
          </w:p>
        </w:tc>
        <w:tc>
          <w:tcPr>
            <w:tcW w:w="9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7EFFC7" w14:textId="77777777" w:rsidR="002C2DF7" w:rsidRDefault="002C2DF7" w:rsidP="006C315D">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273E59" w14:textId="77777777" w:rsidR="002C2DF7" w:rsidRDefault="002C2DF7" w:rsidP="006C315D">
            <w:pPr>
              <w:snapToGrid w:val="0"/>
              <w:spacing w:line="240" w:lineRule="atLeast"/>
            </w:pPr>
            <w:r>
              <w:rPr>
                <w:rFonts w:ascii="標楷體" w:eastAsia="標楷體" w:hAnsi="標楷體" w:cs="標楷體"/>
                <w:color w:val="000000"/>
                <w:sz w:val="20"/>
                <w:szCs w:val="20"/>
              </w:rPr>
              <w:t>□門診□住院</w:t>
            </w:r>
          </w:p>
        </w:tc>
        <w:tc>
          <w:tcPr>
            <w:tcW w:w="3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8FB9FF" w14:textId="77777777" w:rsidR="002C2DF7" w:rsidRDefault="002C2DF7" w:rsidP="006C315D">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46DF210F" w14:textId="77777777" w:rsidR="002C2DF7" w:rsidRDefault="002C2DF7" w:rsidP="006C315D">
            <w:pPr>
              <w:snapToGrid w:val="0"/>
              <w:spacing w:line="240" w:lineRule="atLeast"/>
              <w:jc w:val="center"/>
            </w:pPr>
            <w:r>
              <w:rPr>
                <w:rFonts w:ascii="標楷體" w:eastAsia="標楷體" w:hAnsi="標楷體" w:cs="標楷體"/>
                <w:color w:val="000000"/>
                <w:sz w:val="20"/>
                <w:szCs w:val="20"/>
              </w:rPr>
              <w:t>號碼</w:t>
            </w:r>
          </w:p>
        </w:tc>
        <w:tc>
          <w:tcPr>
            <w:tcW w:w="15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0429D7" w14:textId="77777777" w:rsidR="002C2DF7" w:rsidRDefault="002C2DF7" w:rsidP="006C315D">
            <w:pPr>
              <w:snapToGrid w:val="0"/>
              <w:spacing w:line="240" w:lineRule="atLeast"/>
              <w:rPr>
                <w:rFonts w:ascii="標楷體" w:eastAsia="標楷體" w:hAnsi="標楷體"/>
                <w:color w:val="000000"/>
                <w:sz w:val="20"/>
                <w:szCs w:val="20"/>
              </w:rPr>
            </w:pPr>
          </w:p>
        </w:tc>
        <w:tc>
          <w:tcPr>
            <w:tcW w:w="9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C624CD" w14:textId="77777777" w:rsidR="002C2DF7" w:rsidRDefault="002C2DF7" w:rsidP="006C315D">
            <w:pPr>
              <w:snapToGrid w:val="0"/>
              <w:spacing w:line="240" w:lineRule="atLeast"/>
            </w:pPr>
            <w:r>
              <w:rPr>
                <w:rFonts w:ascii="標楷體" w:eastAsia="標楷體" w:hAnsi="標楷體" w:cs="標楷體"/>
                <w:color w:val="000000"/>
                <w:sz w:val="20"/>
                <w:szCs w:val="20"/>
              </w:rPr>
              <w:t>申請醫師身分證號</w:t>
            </w:r>
          </w:p>
        </w:tc>
        <w:tc>
          <w:tcPr>
            <w:tcW w:w="19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7EA483" w14:textId="77777777" w:rsidR="002C2DF7" w:rsidRDefault="002C2DF7" w:rsidP="006C315D">
            <w:pPr>
              <w:snapToGrid w:val="0"/>
              <w:spacing w:line="240" w:lineRule="atLeast"/>
              <w:rPr>
                <w:rFonts w:ascii="標楷體" w:eastAsia="標楷體" w:hAnsi="標楷體"/>
                <w:color w:val="000000"/>
                <w:sz w:val="20"/>
                <w:szCs w:val="20"/>
              </w:rPr>
            </w:pPr>
          </w:p>
        </w:tc>
      </w:tr>
      <w:tr w:rsidR="002C2DF7" w14:paraId="121F5198" w14:textId="77777777" w:rsidTr="006C315D">
        <w:trPr>
          <w:cantSplit/>
          <w:trHeight w:hRule="exact" w:val="271"/>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244450" w14:textId="77777777" w:rsidR="002C2DF7" w:rsidRDefault="002C2DF7" w:rsidP="006C315D">
            <w:pPr>
              <w:pStyle w:val="a7"/>
              <w:tabs>
                <w:tab w:val="clear" w:pos="4153"/>
                <w:tab w:val="clear" w:pos="8306"/>
              </w:tabs>
              <w:spacing w:line="240" w:lineRule="atLeast"/>
            </w:pPr>
            <w:r>
              <w:rPr>
                <w:rFonts w:ascii="標楷體" w:eastAsia="標楷體" w:hAnsi="標楷體"/>
                <w:color w:val="000000"/>
              </w:rPr>
              <w:t>ICD-10代碼</w:t>
            </w:r>
          </w:p>
        </w:tc>
        <w:tc>
          <w:tcPr>
            <w:tcW w:w="228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5D764C" w14:textId="77777777" w:rsidR="002C2DF7" w:rsidRDefault="002C2DF7" w:rsidP="006C315D">
            <w:pPr>
              <w:snapToGrid w:val="0"/>
              <w:spacing w:line="240" w:lineRule="atLeast"/>
              <w:rPr>
                <w:rFonts w:ascii="標楷體" w:eastAsia="標楷體" w:hAnsi="標楷體"/>
                <w:color w:val="000000"/>
                <w:sz w:val="20"/>
                <w:szCs w:val="20"/>
              </w:rPr>
            </w:pPr>
          </w:p>
        </w:tc>
        <w:tc>
          <w:tcPr>
            <w:tcW w:w="9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901527" w14:textId="77777777" w:rsidR="002C2DF7" w:rsidRDefault="002C2DF7" w:rsidP="006C315D">
            <w:pPr>
              <w:snapToGrid w:val="0"/>
              <w:spacing w:line="240" w:lineRule="atLeast"/>
            </w:pPr>
            <w:r>
              <w:rPr>
                <w:rFonts w:ascii="標楷體" w:eastAsia="標楷體" w:hAnsi="標楷體" w:cs="標楷體"/>
                <w:color w:val="000000"/>
                <w:sz w:val="20"/>
                <w:szCs w:val="20"/>
              </w:rPr>
              <w:t>疾病名稱</w:t>
            </w:r>
          </w:p>
        </w:tc>
        <w:tc>
          <w:tcPr>
            <w:tcW w:w="402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886750" w14:textId="77777777" w:rsidR="002C2DF7" w:rsidRDefault="002C2DF7" w:rsidP="006C315D">
            <w:pPr>
              <w:snapToGrid w:val="0"/>
              <w:spacing w:line="240" w:lineRule="atLeast"/>
              <w:rPr>
                <w:rFonts w:ascii="標楷體" w:eastAsia="標楷體" w:hAnsi="標楷體"/>
                <w:color w:val="000000"/>
                <w:sz w:val="20"/>
                <w:szCs w:val="20"/>
              </w:rPr>
            </w:pPr>
          </w:p>
        </w:tc>
        <w:tc>
          <w:tcPr>
            <w:tcW w:w="142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F0425B" w14:textId="77777777" w:rsidR="002C2DF7" w:rsidRDefault="002C2DF7" w:rsidP="006C315D">
            <w:pPr>
              <w:snapToGrid w:val="0"/>
              <w:spacing w:line="240" w:lineRule="atLeast"/>
            </w:pPr>
            <w:r>
              <w:rPr>
                <w:rFonts w:ascii="標楷體" w:eastAsia="標楷體" w:hAnsi="標楷體" w:cs="標楷體"/>
                <w:color w:val="000000"/>
                <w:sz w:val="20"/>
                <w:szCs w:val="20"/>
              </w:rPr>
              <w:t>使用日期</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32E4BD1" w14:textId="77777777" w:rsidR="002C2DF7" w:rsidRDefault="002C2DF7" w:rsidP="006C315D">
            <w:pPr>
              <w:snapToGrid w:val="0"/>
              <w:spacing w:line="240" w:lineRule="atLeast"/>
            </w:pPr>
            <w:r>
              <w:rPr>
                <w:rFonts w:ascii="標楷體" w:eastAsia="標楷體" w:hAnsi="標楷體" w:cs="標楷體"/>
                <w:color w:val="000000"/>
                <w:sz w:val="20"/>
                <w:szCs w:val="20"/>
              </w:rPr>
              <w:t>年月日至年月日</w:t>
            </w:r>
          </w:p>
        </w:tc>
      </w:tr>
      <w:tr w:rsidR="002C2DF7" w14:paraId="61F80D20" w14:textId="77777777" w:rsidTr="006C315D">
        <w:trPr>
          <w:cantSplit/>
          <w:trHeight w:val="399"/>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89DE54" w14:textId="77777777" w:rsidR="002C2DF7" w:rsidRDefault="002C2DF7" w:rsidP="006C315D">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83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231981"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申請類別</w:t>
            </w:r>
          </w:p>
        </w:tc>
        <w:tc>
          <w:tcPr>
            <w:tcW w:w="543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962D4D" w14:textId="77777777" w:rsidR="002C2DF7" w:rsidRDefault="002C2DF7" w:rsidP="006C315D">
            <w:pPr>
              <w:snapToGrid w:val="0"/>
              <w:spacing w:line="240" w:lineRule="atLeast"/>
              <w:jc w:val="center"/>
            </w:pPr>
            <w:r>
              <w:rPr>
                <w:rFonts w:ascii="標楷體" w:eastAsia="標楷體" w:hAnsi="標楷體" w:cs="標楷體"/>
                <w:color w:val="000000"/>
                <w:sz w:val="20"/>
                <w:szCs w:val="20"/>
              </w:rPr>
              <w:t>給付規定</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54A8BB"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用法</w:t>
            </w:r>
          </w:p>
          <w:p w14:paraId="05DA02E7"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用量</w:t>
            </w: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ADF9DD"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申請</w:t>
            </w:r>
          </w:p>
          <w:p w14:paraId="085751A1" w14:textId="77777777" w:rsidR="002C2DF7" w:rsidRDefault="002C2DF7" w:rsidP="006C315D">
            <w:pPr>
              <w:snapToGrid w:val="0"/>
              <w:spacing w:line="240" w:lineRule="atLeast"/>
              <w:jc w:val="center"/>
            </w:pPr>
            <w:r>
              <w:rPr>
                <w:rFonts w:ascii="標楷體" w:eastAsia="標楷體" w:hAnsi="標楷體" w:cs="標楷體"/>
                <w:color w:val="000000"/>
                <w:sz w:val="20"/>
                <w:szCs w:val="20"/>
              </w:rPr>
              <w:t>數量</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8E345C3" w14:textId="77777777" w:rsidR="002C2DF7" w:rsidRDefault="002C2DF7" w:rsidP="006C315D">
            <w:pPr>
              <w:snapToGrid w:val="0"/>
              <w:spacing w:line="240" w:lineRule="atLeast"/>
              <w:jc w:val="center"/>
            </w:pPr>
            <w:r>
              <w:rPr>
                <w:rFonts w:ascii="標楷體" w:eastAsia="標楷體" w:hAnsi="標楷體" w:cs="標楷體"/>
                <w:color w:val="000000"/>
                <w:sz w:val="20"/>
                <w:szCs w:val="20"/>
              </w:rPr>
              <w:t>保險人核定欄</w:t>
            </w:r>
          </w:p>
        </w:tc>
      </w:tr>
      <w:tr w:rsidR="002C2DF7" w14:paraId="68D3FB39" w14:textId="77777777" w:rsidTr="006C315D">
        <w:trPr>
          <w:cantSplit/>
          <w:trHeight w:val="2942"/>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1C62D0" w14:textId="77777777" w:rsidR="002C2DF7" w:rsidRDefault="002C2DF7" w:rsidP="006C315D">
            <w:pPr>
              <w:snapToGrid w:val="0"/>
              <w:spacing w:line="240" w:lineRule="atLeast"/>
            </w:pPr>
            <w:proofErr w:type="spellStart"/>
            <w:r>
              <w:rPr>
                <w:rFonts w:ascii="標楷體" w:eastAsia="標楷體" w:hAnsi="標楷體"/>
                <w:color w:val="000000"/>
                <w:sz w:val="18"/>
                <w:szCs w:val="18"/>
              </w:rPr>
              <w:t>Sutent</w:t>
            </w:r>
            <w:proofErr w:type="spellEnd"/>
          </w:p>
          <w:p w14:paraId="50078567" w14:textId="77777777" w:rsidR="002C2DF7" w:rsidRDefault="002C2DF7" w:rsidP="006C315D">
            <w:pPr>
              <w:snapToGrid w:val="0"/>
              <w:spacing w:line="240" w:lineRule="atLeast"/>
            </w:pPr>
            <w:r>
              <w:rPr>
                <w:rFonts w:ascii="標楷體" w:eastAsia="標楷體" w:hAnsi="標楷體"/>
                <w:color w:val="000000"/>
                <w:sz w:val="18"/>
                <w:szCs w:val="18"/>
              </w:rPr>
              <w:t>□B024593100</w:t>
            </w:r>
          </w:p>
          <w:p w14:paraId="4B9590F7" w14:textId="77777777" w:rsidR="002C2DF7" w:rsidRDefault="002C2DF7" w:rsidP="006C315D">
            <w:pPr>
              <w:snapToGrid w:val="0"/>
              <w:spacing w:line="240" w:lineRule="atLeast"/>
            </w:pPr>
            <w:r>
              <w:rPr>
                <w:rFonts w:ascii="標楷體" w:eastAsia="標楷體" w:hAnsi="標楷體"/>
                <w:color w:val="000000"/>
                <w:sz w:val="18"/>
                <w:szCs w:val="18"/>
              </w:rPr>
              <w:t>□B024594100</w:t>
            </w:r>
          </w:p>
          <w:p w14:paraId="43E737AF" w14:textId="77777777" w:rsidR="002C2DF7" w:rsidRDefault="002C2DF7" w:rsidP="006C315D">
            <w:pPr>
              <w:snapToGrid w:val="0"/>
              <w:spacing w:line="240" w:lineRule="atLeast"/>
            </w:pPr>
            <w:r>
              <w:rPr>
                <w:rFonts w:ascii="標楷體" w:eastAsia="標楷體" w:hAnsi="標楷體"/>
                <w:color w:val="000000"/>
                <w:sz w:val="18"/>
                <w:szCs w:val="18"/>
              </w:rPr>
              <w:t>□B024595100</w:t>
            </w:r>
          </w:p>
        </w:tc>
        <w:tc>
          <w:tcPr>
            <w:tcW w:w="183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501A41" w14:textId="77777777" w:rsidR="002C2DF7" w:rsidRDefault="002C2DF7" w:rsidP="006C315D">
            <w:pPr>
              <w:snapToGrid w:val="0"/>
              <w:spacing w:line="240" w:lineRule="atLeast"/>
              <w:rPr>
                <w:rFonts w:ascii="標楷體" w:eastAsia="標楷體" w:hAnsi="標楷體"/>
                <w:color w:val="000000"/>
                <w:sz w:val="20"/>
                <w:szCs w:val="20"/>
              </w:rPr>
            </w:pPr>
          </w:p>
          <w:p w14:paraId="540BF5BF" w14:textId="77777777" w:rsidR="002C2DF7" w:rsidRDefault="002C2DF7" w:rsidP="006C315D">
            <w:pPr>
              <w:snapToGrid w:val="0"/>
              <w:spacing w:line="240" w:lineRule="atLeast"/>
              <w:ind w:left="320" w:hanging="200"/>
            </w:pPr>
            <w:r>
              <w:rPr>
                <w:rFonts w:ascii="標楷體" w:eastAsia="標楷體" w:hAnsi="標楷體" w:cs="標楷體"/>
                <w:color w:val="000000"/>
                <w:sz w:val="20"/>
                <w:szCs w:val="20"/>
              </w:rPr>
              <w:t>□第一次申請</w:t>
            </w:r>
          </w:p>
          <w:p w14:paraId="69DF7AD3" w14:textId="77777777" w:rsidR="002C2DF7" w:rsidRDefault="002C2DF7" w:rsidP="006C315D">
            <w:pPr>
              <w:snapToGrid w:val="0"/>
              <w:spacing w:line="240" w:lineRule="atLeast"/>
              <w:ind w:left="220" w:hanging="100"/>
              <w:rPr>
                <w:rFonts w:ascii="標楷體" w:eastAsia="標楷體" w:hAnsi="標楷體" w:cs="標楷體"/>
                <w:color w:val="000000"/>
                <w:sz w:val="20"/>
                <w:szCs w:val="20"/>
              </w:rPr>
            </w:pPr>
          </w:p>
          <w:p w14:paraId="3D77D3B5" w14:textId="77777777" w:rsidR="002C2DF7" w:rsidRDefault="002C2DF7" w:rsidP="006C315D">
            <w:pPr>
              <w:snapToGrid w:val="0"/>
              <w:spacing w:line="240" w:lineRule="atLeast"/>
              <w:ind w:left="320" w:hanging="200"/>
            </w:pPr>
            <w:r>
              <w:rPr>
                <w:rFonts w:ascii="標楷體" w:eastAsia="標楷體" w:hAnsi="標楷體" w:cs="標楷體"/>
                <w:color w:val="000000"/>
                <w:sz w:val="20"/>
                <w:szCs w:val="20"/>
              </w:rPr>
              <w:t>□治療後再次申請</w:t>
            </w:r>
          </w:p>
          <w:p w14:paraId="3901A58A" w14:textId="77777777" w:rsidR="002C2DF7" w:rsidRDefault="002C2DF7" w:rsidP="006C315D">
            <w:pPr>
              <w:pStyle w:val="a7"/>
              <w:spacing w:line="240" w:lineRule="atLeast"/>
              <w:rPr>
                <w:rFonts w:ascii="標楷體" w:eastAsia="標楷體" w:hAnsi="標楷體"/>
                <w:color w:val="000000"/>
              </w:rPr>
            </w:pPr>
          </w:p>
        </w:tc>
        <w:tc>
          <w:tcPr>
            <w:tcW w:w="543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38705C" w14:textId="77777777" w:rsidR="002C2DF7" w:rsidRDefault="002C2DF7" w:rsidP="006C315D">
            <w:pPr>
              <w:snapToGrid w:val="0"/>
              <w:spacing w:line="240" w:lineRule="atLeast"/>
              <w:ind w:left="382" w:hanging="284"/>
              <w:jc w:val="both"/>
              <w:rPr>
                <w:rFonts w:ascii="標楷體" w:eastAsia="標楷體" w:hAnsi="標楷體"/>
                <w:color w:val="000000"/>
                <w:sz w:val="20"/>
                <w:szCs w:val="20"/>
              </w:rPr>
            </w:pPr>
            <w:r>
              <w:rPr>
                <w:rFonts w:ascii="標楷體" w:eastAsia="標楷體" w:hAnsi="標楷體"/>
                <w:color w:val="000000"/>
                <w:sz w:val="20"/>
                <w:szCs w:val="20"/>
              </w:rPr>
              <w:t>□1.</w:t>
            </w:r>
            <w:proofErr w:type="gramStart"/>
            <w:r>
              <w:rPr>
                <w:rFonts w:ascii="標楷體" w:eastAsia="標楷體" w:hAnsi="標楷體"/>
                <w:color w:val="000000"/>
                <w:sz w:val="20"/>
                <w:szCs w:val="20"/>
              </w:rPr>
              <w:t>腸胃道間質腫瘤</w:t>
            </w:r>
            <w:proofErr w:type="gramEnd"/>
            <w:r>
              <w:rPr>
                <w:rFonts w:ascii="標楷體" w:eastAsia="標楷體" w:hAnsi="標楷體"/>
                <w:color w:val="000000"/>
                <w:sz w:val="20"/>
                <w:szCs w:val="20"/>
              </w:rPr>
              <w:t>：</w:t>
            </w:r>
          </w:p>
          <w:p w14:paraId="033B2901"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(1)限用於以imatinib治療期間出現疾病惡化或對該藥出現不能忍受之</w:t>
            </w:r>
            <w:proofErr w:type="gramStart"/>
            <w:r>
              <w:rPr>
                <w:rFonts w:ascii="標楷體" w:eastAsia="標楷體" w:hAnsi="標楷體"/>
                <w:color w:val="000000"/>
                <w:sz w:val="20"/>
                <w:szCs w:val="20"/>
              </w:rPr>
              <w:t>腸胃道間質腫瘤</w:t>
            </w:r>
            <w:proofErr w:type="gramEnd"/>
            <w:r>
              <w:rPr>
                <w:rFonts w:ascii="標楷體" w:eastAsia="標楷體" w:hAnsi="標楷體"/>
                <w:color w:val="000000"/>
                <w:sz w:val="20"/>
                <w:szCs w:val="20"/>
              </w:rPr>
              <w:t>。(2)若使用本藥品出現疾病惡化或無法忍受其副作用，不得替換使用imatinib治療。</w:t>
            </w:r>
          </w:p>
          <w:p w14:paraId="0FA0CBF4"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(3)需經事前審查核准後使用，送審時須檢送病歷及對imatinib耐受性不良或無效之證明。</w:t>
            </w:r>
          </w:p>
          <w:p w14:paraId="26BD1926" w14:textId="77777777" w:rsidR="002C2DF7" w:rsidRPr="00EE6887" w:rsidRDefault="002C2DF7" w:rsidP="006C315D">
            <w:pPr>
              <w:snapToGrid w:val="0"/>
              <w:spacing w:line="240" w:lineRule="atLeast"/>
              <w:ind w:left="382" w:hanging="284"/>
              <w:jc w:val="both"/>
              <w:rPr>
                <w:rFonts w:ascii="標楷體" w:eastAsia="標楷體" w:hAnsi="標楷體"/>
                <w:sz w:val="20"/>
                <w:szCs w:val="20"/>
              </w:rPr>
            </w:pPr>
            <w:r w:rsidRPr="00EE6887">
              <w:rPr>
                <w:rFonts w:ascii="標楷體" w:eastAsia="標楷體" w:hAnsi="標楷體"/>
                <w:sz w:val="20"/>
                <w:szCs w:val="20"/>
              </w:rPr>
              <w:t>□2.</w:t>
            </w:r>
            <w:proofErr w:type="gramStart"/>
            <w:r w:rsidRPr="00EE6887">
              <w:rPr>
                <w:rFonts w:ascii="標楷體" w:eastAsia="標楷體" w:hAnsi="標楷體"/>
                <w:sz w:val="20"/>
                <w:szCs w:val="20"/>
              </w:rPr>
              <w:t>晚期腎</w:t>
            </w:r>
            <w:proofErr w:type="gramEnd"/>
            <w:r w:rsidRPr="00EE6887">
              <w:rPr>
                <w:rFonts w:ascii="標楷體" w:eastAsia="標楷體" w:hAnsi="標楷體"/>
                <w:sz w:val="20"/>
                <w:szCs w:val="20"/>
              </w:rPr>
              <w:t>細胞癌：</w:t>
            </w:r>
            <w:r w:rsidRPr="00EE6887">
              <w:rPr>
                <w:rFonts w:ascii="標楷體" w:eastAsia="標楷體" w:hAnsi="標楷體" w:hint="eastAsia"/>
                <w:sz w:val="20"/>
                <w:szCs w:val="20"/>
              </w:rPr>
              <w:t>免事前審查。</w:t>
            </w:r>
          </w:p>
          <w:p w14:paraId="3F7A988D" w14:textId="77777777" w:rsidR="002C2DF7" w:rsidRDefault="002C2DF7" w:rsidP="006C315D">
            <w:pPr>
              <w:snapToGrid w:val="0"/>
              <w:spacing w:line="240" w:lineRule="atLeast"/>
              <w:ind w:left="382" w:hanging="284"/>
              <w:jc w:val="both"/>
              <w:rPr>
                <w:rFonts w:ascii="標楷體" w:eastAsia="標楷體" w:hAnsi="標楷體"/>
                <w:color w:val="000000"/>
                <w:sz w:val="20"/>
                <w:szCs w:val="20"/>
              </w:rPr>
            </w:pPr>
            <w:r>
              <w:rPr>
                <w:rFonts w:ascii="標楷體" w:eastAsia="標楷體" w:hAnsi="標楷體"/>
                <w:color w:val="000000"/>
                <w:sz w:val="20"/>
                <w:szCs w:val="20"/>
              </w:rPr>
              <w:t>□3.進展性，無法切除或轉移性分化良好之胰臟神經內分泌腫瘤的成人病患，須同時符合下列條件：</w:t>
            </w:r>
          </w:p>
          <w:p w14:paraId="5D3B3994"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(1)符合WHO2010分類方式之G1orG2胰臟神經內分泌瘤。</w:t>
            </w:r>
          </w:p>
          <w:p w14:paraId="441CD33C"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(2)於</w:t>
            </w:r>
            <w:proofErr w:type="gramStart"/>
            <w:r>
              <w:rPr>
                <w:rFonts w:ascii="標楷體" w:eastAsia="標楷體" w:hAnsi="標楷體"/>
                <w:color w:val="000000"/>
                <w:sz w:val="20"/>
                <w:szCs w:val="20"/>
              </w:rPr>
              <w:t>一</w:t>
            </w:r>
            <w:proofErr w:type="gramEnd"/>
            <w:r>
              <w:rPr>
                <w:rFonts w:ascii="標楷體" w:eastAsia="標楷體" w:hAnsi="標楷體"/>
                <w:color w:val="000000"/>
                <w:sz w:val="20"/>
                <w:szCs w:val="20"/>
              </w:rPr>
              <w:t>年內影像檢查證實有明顯惡化者。</w:t>
            </w:r>
          </w:p>
          <w:p w14:paraId="20E070ED"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(3)不可合併使用化學治療或相關標靶藥物。</w:t>
            </w:r>
          </w:p>
          <w:p w14:paraId="5D58FC8D"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(4)經事前專案審查核准後使用，且需每3個月評估一次。</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DD9FDD" w14:textId="77777777" w:rsidR="002C2DF7" w:rsidRDefault="002C2DF7" w:rsidP="006C315D">
            <w:pPr>
              <w:snapToGrid w:val="0"/>
              <w:spacing w:line="240" w:lineRule="atLeast"/>
              <w:rPr>
                <w:rFonts w:ascii="標楷體" w:eastAsia="標楷體" w:hAnsi="標楷體"/>
                <w:color w:val="000000"/>
                <w:sz w:val="20"/>
                <w:szCs w:val="20"/>
              </w:rPr>
            </w:pP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4AB7AE" w14:textId="77777777" w:rsidR="002C2DF7" w:rsidRDefault="002C2DF7" w:rsidP="006C315D">
            <w:pPr>
              <w:snapToGrid w:val="0"/>
              <w:spacing w:line="240" w:lineRule="atLeast"/>
              <w:rPr>
                <w:rFonts w:ascii="標楷體" w:eastAsia="標楷體" w:hAnsi="標楷體"/>
                <w:color w:val="000000"/>
                <w:sz w:val="20"/>
                <w:szCs w:val="20"/>
              </w:rPr>
            </w:pPr>
          </w:p>
        </w:tc>
        <w:tc>
          <w:tcPr>
            <w:tcW w:w="4445"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7B75523E" w14:textId="77777777" w:rsidR="002C2DF7" w:rsidRDefault="002C2DF7" w:rsidP="002144EC">
            <w:pPr>
              <w:numPr>
                <w:ilvl w:val="0"/>
                <w:numId w:val="193"/>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EE11207" w14:textId="77777777" w:rsidR="002C2DF7" w:rsidRDefault="002C2DF7" w:rsidP="002144EC">
            <w:pPr>
              <w:numPr>
                <w:ilvl w:val="0"/>
                <w:numId w:val="193"/>
              </w:numPr>
              <w:tabs>
                <w:tab w:val="left" w:pos="240"/>
              </w:tabs>
              <w:snapToGrid w:val="0"/>
              <w:spacing w:line="240" w:lineRule="atLeast"/>
              <w:ind w:left="454" w:hanging="238"/>
            </w:pPr>
            <w:r>
              <w:rPr>
                <w:rFonts w:ascii="標楷體" w:eastAsia="標楷體" w:hAnsi="標楷體" w:cs="標楷體"/>
                <w:color w:val="000000"/>
                <w:sz w:val="20"/>
                <w:szCs w:val="20"/>
              </w:rPr>
              <w:t>使用劑量不符合常規，核定量為</w:t>
            </w:r>
          </w:p>
          <w:p w14:paraId="7B7D79F8" w14:textId="77777777" w:rsidR="002C2DF7" w:rsidRDefault="002C2DF7" w:rsidP="006C315D">
            <w:pPr>
              <w:snapToGrid w:val="0"/>
              <w:spacing w:line="240" w:lineRule="atLeast"/>
            </w:pPr>
            <w:r>
              <w:rPr>
                <w:rFonts w:ascii="標楷體" w:eastAsia="標楷體" w:hAnsi="標楷體" w:cs="標楷體"/>
                <w:color w:val="000000"/>
                <w:sz w:val="20"/>
                <w:szCs w:val="20"/>
              </w:rPr>
              <w:t>□不同意</w:t>
            </w:r>
          </w:p>
          <w:p w14:paraId="17BD20B9" w14:textId="77777777" w:rsidR="002C2DF7" w:rsidRDefault="002C2DF7" w:rsidP="002144EC">
            <w:pPr>
              <w:numPr>
                <w:ilvl w:val="0"/>
                <w:numId w:val="193"/>
              </w:numPr>
              <w:tabs>
                <w:tab w:val="left" w:pos="240"/>
              </w:tabs>
              <w:snapToGrid w:val="0"/>
              <w:spacing w:line="240" w:lineRule="atLeast"/>
              <w:ind w:left="454" w:hanging="238"/>
            </w:pPr>
            <w:r>
              <w:rPr>
                <w:rFonts w:ascii="標楷體" w:eastAsia="標楷體" w:hAnsi="標楷體" w:cs="標楷體"/>
                <w:color w:val="000000"/>
                <w:sz w:val="20"/>
                <w:szCs w:val="20"/>
              </w:rPr>
              <w:t>不符合適應症。</w:t>
            </w:r>
          </w:p>
          <w:p w14:paraId="4D9D15F9" w14:textId="77777777" w:rsidR="002C2DF7" w:rsidRDefault="002C2DF7" w:rsidP="002144EC">
            <w:pPr>
              <w:numPr>
                <w:ilvl w:val="0"/>
                <w:numId w:val="193"/>
              </w:numPr>
              <w:tabs>
                <w:tab w:val="left" w:pos="240"/>
              </w:tabs>
              <w:snapToGrid w:val="0"/>
              <w:spacing w:line="240" w:lineRule="atLeast"/>
              <w:ind w:left="453"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1E60D736" w14:textId="77777777" w:rsidR="002C2DF7" w:rsidRDefault="002C2DF7" w:rsidP="002144EC">
            <w:pPr>
              <w:numPr>
                <w:ilvl w:val="0"/>
                <w:numId w:val="193"/>
              </w:numPr>
              <w:tabs>
                <w:tab w:val="left" w:pos="240"/>
              </w:tabs>
              <w:snapToGrid w:val="0"/>
              <w:spacing w:line="240" w:lineRule="atLeast"/>
              <w:ind w:left="453"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042CFFB9" w14:textId="77777777" w:rsidR="002C2DF7" w:rsidRDefault="002C2DF7" w:rsidP="002144EC">
            <w:pPr>
              <w:numPr>
                <w:ilvl w:val="0"/>
                <w:numId w:val="193"/>
              </w:numPr>
              <w:tabs>
                <w:tab w:val="left" w:pos="240"/>
              </w:tabs>
              <w:snapToGrid w:val="0"/>
              <w:spacing w:line="240" w:lineRule="atLeast"/>
              <w:ind w:left="453" w:hanging="238"/>
            </w:pPr>
            <w:r w:rsidRPr="00EE6887">
              <w:rPr>
                <w:rFonts w:ascii="標楷體" w:eastAsia="標楷體" w:hAnsi="標楷體" w:cs="標楷體"/>
                <w:color w:val="000000"/>
                <w:sz w:val="20"/>
                <w:szCs w:val="20"/>
              </w:rPr>
              <w:t>未附目前是否為晚期或轉移之病歷</w:t>
            </w:r>
          </w:p>
          <w:p w14:paraId="4D5B0C29" w14:textId="77777777" w:rsidR="002C2DF7" w:rsidRDefault="002C2DF7" w:rsidP="002144EC">
            <w:pPr>
              <w:numPr>
                <w:ilvl w:val="0"/>
                <w:numId w:val="193"/>
              </w:numPr>
              <w:tabs>
                <w:tab w:val="left" w:pos="240"/>
              </w:tabs>
              <w:snapToGrid w:val="0"/>
              <w:spacing w:line="240" w:lineRule="atLeast"/>
              <w:ind w:left="453" w:hanging="238"/>
            </w:pPr>
            <w:r w:rsidRPr="00EE6887">
              <w:rPr>
                <w:rFonts w:ascii="標楷體" w:eastAsia="標楷體" w:hAnsi="標楷體" w:cs="標楷體"/>
                <w:color w:val="000000"/>
                <w:sz w:val="20"/>
                <w:szCs w:val="20"/>
              </w:rPr>
              <w:t>未附治療計劃(預計使用上述藥物之劑量及預計使用次數)</w:t>
            </w:r>
          </w:p>
          <w:p w14:paraId="38EE6453" w14:textId="77777777" w:rsidR="002C2DF7" w:rsidRDefault="002C2DF7" w:rsidP="002144EC">
            <w:pPr>
              <w:numPr>
                <w:ilvl w:val="0"/>
                <w:numId w:val="193"/>
              </w:numPr>
              <w:tabs>
                <w:tab w:val="left" w:pos="240"/>
              </w:tabs>
              <w:snapToGrid w:val="0"/>
              <w:spacing w:line="240" w:lineRule="atLeast"/>
              <w:ind w:left="453" w:hanging="238"/>
            </w:pPr>
            <w:r w:rsidRPr="00EE6887">
              <w:rPr>
                <w:rFonts w:ascii="標楷體" w:eastAsia="標楷體" w:hAnsi="標楷體" w:cs="標楷體"/>
                <w:color w:val="000000"/>
                <w:sz w:val="20"/>
                <w:szCs w:val="20"/>
              </w:rPr>
              <w:t>相關檢驗、檢查報告不全(如影像診斷報告或腫瘤標誌、病理切片、細胞學檢查報告)</w:t>
            </w:r>
          </w:p>
          <w:p w14:paraId="2C8B9F6B" w14:textId="77777777" w:rsidR="002C2DF7" w:rsidRDefault="002C2DF7" w:rsidP="002144EC">
            <w:pPr>
              <w:numPr>
                <w:ilvl w:val="0"/>
                <w:numId w:val="193"/>
              </w:numPr>
              <w:tabs>
                <w:tab w:val="left" w:pos="240"/>
              </w:tabs>
              <w:snapToGrid w:val="0"/>
              <w:spacing w:line="240" w:lineRule="atLeast"/>
              <w:ind w:left="453" w:hanging="238"/>
            </w:pPr>
            <w:proofErr w:type="gramStart"/>
            <w:r w:rsidRPr="00EE6887">
              <w:rPr>
                <w:rFonts w:ascii="標楷體" w:eastAsia="標楷體" w:hAnsi="標楷體" w:cs="標楷體"/>
                <w:color w:val="000000"/>
                <w:sz w:val="20"/>
                <w:szCs w:val="20"/>
              </w:rPr>
              <w:t>補附資料</w:t>
            </w:r>
            <w:proofErr w:type="gramEnd"/>
            <w:r w:rsidRPr="00EE6887">
              <w:rPr>
                <w:rFonts w:ascii="標楷體" w:eastAsia="標楷體" w:hAnsi="標楷體" w:cs="標楷體"/>
                <w:color w:val="000000"/>
                <w:sz w:val="20"/>
                <w:szCs w:val="20"/>
              </w:rPr>
              <w:t>再審，請補充以下資料</w:t>
            </w:r>
          </w:p>
          <w:p w14:paraId="036F887E" w14:textId="77777777" w:rsidR="002C2DF7" w:rsidRDefault="002C2DF7" w:rsidP="002144EC">
            <w:pPr>
              <w:numPr>
                <w:ilvl w:val="0"/>
                <w:numId w:val="193"/>
              </w:numPr>
              <w:tabs>
                <w:tab w:val="left" w:pos="240"/>
              </w:tabs>
              <w:snapToGrid w:val="0"/>
              <w:spacing w:line="240" w:lineRule="atLeast"/>
              <w:ind w:left="453" w:hanging="238"/>
            </w:pPr>
            <w:r w:rsidRPr="00EE6887">
              <w:rPr>
                <w:rFonts w:ascii="標楷體" w:eastAsia="標楷體" w:hAnsi="標楷體" w:cs="標楷體"/>
                <w:color w:val="000000"/>
                <w:sz w:val="20"/>
                <w:szCs w:val="20"/>
              </w:rPr>
              <w:t>其他：</w:t>
            </w:r>
          </w:p>
        </w:tc>
      </w:tr>
      <w:tr w:rsidR="002C2DF7" w14:paraId="108F8700" w14:textId="77777777" w:rsidTr="006C315D">
        <w:trPr>
          <w:cantSplit/>
          <w:trHeight w:val="422"/>
        </w:trPr>
        <w:tc>
          <w:tcPr>
            <w:tcW w:w="31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59B56A" w14:textId="77777777" w:rsidR="002C2DF7" w:rsidRDefault="002C2DF7" w:rsidP="006C315D">
            <w:pPr>
              <w:snapToGrid w:val="0"/>
              <w:spacing w:line="240" w:lineRule="atLeast"/>
            </w:pPr>
            <w:r>
              <w:rPr>
                <w:rFonts w:ascii="標楷體" w:eastAsia="標楷體" w:hAnsi="標楷體" w:cs="標楷體"/>
                <w:color w:val="000000"/>
              </w:rPr>
              <w:t>注意事項</w:t>
            </w:r>
          </w:p>
        </w:tc>
        <w:tc>
          <w:tcPr>
            <w:tcW w:w="9746" w:type="dxa"/>
            <w:gridSpan w:val="21"/>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17914" w14:textId="77777777" w:rsidR="002C2DF7" w:rsidRDefault="002C2DF7" w:rsidP="002144EC">
            <w:pPr>
              <w:numPr>
                <w:ilvl w:val="0"/>
                <w:numId w:val="194"/>
              </w:numPr>
              <w:snapToGrid w:val="0"/>
              <w:spacing w:line="240" w:lineRule="atLeast"/>
              <w:ind w:left="0" w:hanging="312"/>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2DEB860" w14:textId="77777777" w:rsidR="002C2DF7" w:rsidRDefault="002C2DF7" w:rsidP="002144EC">
            <w:pPr>
              <w:numPr>
                <w:ilvl w:val="0"/>
                <w:numId w:val="194"/>
              </w:numPr>
              <w:snapToGrid w:val="0"/>
              <w:spacing w:line="240" w:lineRule="atLeast"/>
              <w:ind w:left="0" w:hanging="312"/>
            </w:pPr>
            <w:r>
              <w:rPr>
                <w:rFonts w:ascii="標楷體" w:eastAsia="標楷體" w:hAnsi="標楷體"/>
                <w:color w:val="000000"/>
                <w:kern w:val="0"/>
                <w:sz w:val="20"/>
                <w:szCs w:val="20"/>
              </w:rPr>
              <w:t>「原受理編號」申復時填寫，初次送核不需填寫。</w:t>
            </w:r>
          </w:p>
          <w:p w14:paraId="155418FD" w14:textId="77777777" w:rsidR="002C2DF7" w:rsidRDefault="002C2DF7" w:rsidP="002144EC">
            <w:pPr>
              <w:numPr>
                <w:ilvl w:val="0"/>
                <w:numId w:val="194"/>
              </w:numPr>
              <w:snapToGrid w:val="0"/>
              <w:spacing w:line="240" w:lineRule="atLeast"/>
              <w:ind w:left="0" w:hanging="312"/>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564F5AC8" w14:textId="77777777" w:rsidR="002C2DF7" w:rsidRDefault="002C2DF7" w:rsidP="002144EC">
            <w:pPr>
              <w:numPr>
                <w:ilvl w:val="0"/>
                <w:numId w:val="194"/>
              </w:numPr>
              <w:snapToGrid w:val="0"/>
              <w:spacing w:line="240" w:lineRule="atLeast"/>
              <w:ind w:left="0" w:hanging="312"/>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D5A7F53" w14:textId="77777777" w:rsidR="002C2DF7" w:rsidRDefault="002C2DF7" w:rsidP="002144EC">
            <w:pPr>
              <w:numPr>
                <w:ilvl w:val="0"/>
                <w:numId w:val="194"/>
              </w:numPr>
              <w:snapToGrid w:val="0"/>
              <w:spacing w:line="240" w:lineRule="atLeast"/>
              <w:ind w:left="0" w:hanging="312"/>
            </w:pPr>
            <w:r>
              <w:rPr>
                <w:rFonts w:ascii="標楷體" w:eastAsia="標楷體" w:hAnsi="標楷體"/>
                <w:color w:val="000000"/>
                <w:kern w:val="0"/>
                <w:sz w:val="20"/>
                <w:szCs w:val="20"/>
              </w:rPr>
              <w:t>對複核結果如有異議，得於收到複核通知之日起六十日內向全民健康保險爭議審議會申請審議。</w:t>
            </w:r>
          </w:p>
          <w:p w14:paraId="53D376BB" w14:textId="77777777" w:rsidR="002C2DF7" w:rsidRDefault="002C2DF7" w:rsidP="002144EC">
            <w:pPr>
              <w:numPr>
                <w:ilvl w:val="0"/>
                <w:numId w:val="194"/>
              </w:numPr>
              <w:snapToGrid w:val="0"/>
              <w:spacing w:line="240" w:lineRule="atLeast"/>
              <w:ind w:left="0" w:hanging="312"/>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727ECD21" w14:textId="77777777" w:rsidR="002C2DF7" w:rsidRDefault="002C2DF7" w:rsidP="002144EC">
            <w:pPr>
              <w:numPr>
                <w:ilvl w:val="0"/>
                <w:numId w:val="194"/>
              </w:numPr>
              <w:snapToGrid w:val="0"/>
              <w:spacing w:line="240" w:lineRule="atLeast"/>
              <w:ind w:left="0" w:hanging="312"/>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5"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5906C18" w14:textId="77777777" w:rsidR="002C2DF7" w:rsidRDefault="002C2DF7" w:rsidP="006C315D">
            <w:pPr>
              <w:snapToGrid w:val="0"/>
              <w:spacing w:line="240" w:lineRule="atLeast"/>
              <w:rPr>
                <w:rFonts w:ascii="標楷體" w:eastAsia="標楷體" w:hAnsi="標楷體"/>
                <w:color w:val="000000"/>
                <w:sz w:val="20"/>
                <w:szCs w:val="20"/>
              </w:rPr>
            </w:pPr>
          </w:p>
        </w:tc>
      </w:tr>
      <w:tr w:rsidR="002C2DF7" w14:paraId="1726C8E2" w14:textId="77777777" w:rsidTr="006C315D">
        <w:trPr>
          <w:cantSplit/>
          <w:trHeight w:val="1139"/>
        </w:trPr>
        <w:tc>
          <w:tcPr>
            <w:tcW w:w="31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AB9E7" w14:textId="77777777" w:rsidR="002C2DF7" w:rsidRDefault="002C2DF7" w:rsidP="006C315D">
            <w:pPr>
              <w:snapToGrid w:val="0"/>
              <w:spacing w:line="240" w:lineRule="atLeast"/>
              <w:ind w:left="211" w:hanging="211"/>
              <w:rPr>
                <w:rFonts w:ascii="標楷體" w:eastAsia="標楷體" w:hAnsi="標楷體"/>
                <w:color w:val="000000"/>
              </w:rPr>
            </w:pPr>
          </w:p>
        </w:tc>
        <w:tc>
          <w:tcPr>
            <w:tcW w:w="9746"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FAC7E3" w14:textId="77777777" w:rsidR="002C2DF7" w:rsidRDefault="002C2DF7" w:rsidP="006C315D">
            <w:pPr>
              <w:snapToGrid w:val="0"/>
              <w:spacing w:line="240" w:lineRule="atLeast"/>
              <w:ind w:left="211" w:hanging="211"/>
              <w:rPr>
                <w:rFonts w:ascii="標楷體" w:eastAsia="標楷體" w:hAnsi="標楷體"/>
                <w:color w:val="000000"/>
              </w:rPr>
            </w:pPr>
          </w:p>
        </w:tc>
        <w:tc>
          <w:tcPr>
            <w:tcW w:w="3118"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D2F169" w14:textId="77777777" w:rsidR="002C2DF7" w:rsidRDefault="002C2DF7" w:rsidP="006C315D">
            <w:pPr>
              <w:snapToGrid w:val="0"/>
              <w:spacing w:line="240" w:lineRule="atLeast"/>
              <w:jc w:val="both"/>
              <w:rPr>
                <w:rFonts w:ascii="標楷體" w:eastAsia="標楷體" w:hAnsi="標楷體"/>
                <w:color w:val="000000"/>
              </w:rPr>
            </w:pPr>
          </w:p>
          <w:p w14:paraId="4A84077C" w14:textId="77777777" w:rsidR="002C2DF7" w:rsidRDefault="002C2DF7" w:rsidP="006C315D">
            <w:pPr>
              <w:snapToGrid w:val="0"/>
              <w:spacing w:line="240" w:lineRule="atLeast"/>
              <w:jc w:val="both"/>
              <w:rPr>
                <w:rFonts w:ascii="標楷體" w:eastAsia="標楷體" w:hAnsi="標楷體"/>
                <w:color w:val="000000"/>
              </w:rPr>
            </w:pPr>
          </w:p>
          <w:p w14:paraId="46200A2F" w14:textId="77777777" w:rsidR="002C2DF7" w:rsidRDefault="002C2DF7" w:rsidP="006C315D">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56337F0B" w14:textId="77777777" w:rsidR="002C2DF7" w:rsidRDefault="002C2DF7" w:rsidP="006C315D">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DBE43" w14:textId="77777777" w:rsidR="002C2DF7" w:rsidRDefault="002C2DF7" w:rsidP="006C315D">
            <w:pPr>
              <w:snapToGrid w:val="0"/>
              <w:spacing w:line="240" w:lineRule="atLeast"/>
            </w:pPr>
            <w:r>
              <w:rPr>
                <w:rFonts w:ascii="標楷體" w:eastAsia="標楷體" w:hAnsi="標楷體" w:cs="標楷體"/>
                <w:color w:val="000000"/>
              </w:rPr>
              <w:t>審查醫師</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98CE16" w14:textId="77777777" w:rsidR="002C2DF7" w:rsidRDefault="002C2DF7" w:rsidP="006C315D">
            <w:pPr>
              <w:snapToGrid w:val="0"/>
              <w:spacing w:line="240" w:lineRule="atLeast"/>
              <w:rPr>
                <w:rFonts w:ascii="標楷體" w:eastAsia="標楷體" w:hAnsi="標楷體"/>
                <w:color w:val="000000"/>
              </w:rPr>
            </w:pPr>
          </w:p>
        </w:tc>
      </w:tr>
      <w:tr w:rsidR="002C2DF7" w14:paraId="3DC9472A" w14:textId="77777777" w:rsidTr="006C315D">
        <w:trPr>
          <w:cantSplit/>
          <w:trHeight w:val="539"/>
        </w:trPr>
        <w:tc>
          <w:tcPr>
            <w:tcW w:w="31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F543FE" w14:textId="77777777" w:rsidR="002C2DF7" w:rsidRDefault="002C2DF7" w:rsidP="006C315D">
            <w:pPr>
              <w:snapToGrid w:val="0"/>
              <w:spacing w:line="240" w:lineRule="atLeast"/>
              <w:ind w:left="211" w:hanging="211"/>
              <w:rPr>
                <w:rFonts w:ascii="標楷體" w:eastAsia="標楷體" w:hAnsi="標楷體"/>
                <w:color w:val="000000"/>
              </w:rPr>
            </w:pPr>
          </w:p>
        </w:tc>
        <w:tc>
          <w:tcPr>
            <w:tcW w:w="9746"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E4275" w14:textId="77777777" w:rsidR="002C2DF7" w:rsidRDefault="002C2DF7" w:rsidP="006C315D">
            <w:pPr>
              <w:snapToGrid w:val="0"/>
              <w:spacing w:line="240" w:lineRule="atLeast"/>
              <w:ind w:left="211" w:hanging="211"/>
              <w:rPr>
                <w:rFonts w:ascii="標楷體" w:eastAsia="標楷體" w:hAnsi="標楷體"/>
                <w:color w:val="000000"/>
              </w:rPr>
            </w:pPr>
          </w:p>
        </w:tc>
        <w:tc>
          <w:tcPr>
            <w:tcW w:w="3118"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8884E2" w14:textId="77777777" w:rsidR="002C2DF7" w:rsidRDefault="002C2DF7" w:rsidP="006C315D">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5E87AC" w14:textId="77777777" w:rsidR="002C2DF7" w:rsidRDefault="002C2DF7" w:rsidP="006C315D">
            <w:pPr>
              <w:snapToGrid w:val="0"/>
              <w:spacing w:line="240" w:lineRule="atLeast"/>
              <w:rPr>
                <w:rFonts w:ascii="標楷體" w:eastAsia="標楷體" w:hAnsi="標楷體" w:cs="標楷體"/>
                <w:color w:val="000000"/>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87CCD1" w14:textId="77777777" w:rsidR="002C2DF7" w:rsidRDefault="002C2DF7" w:rsidP="006C315D">
            <w:pPr>
              <w:snapToGrid w:val="0"/>
              <w:spacing w:line="240" w:lineRule="atLeast"/>
              <w:rPr>
                <w:rFonts w:ascii="標楷體" w:eastAsia="標楷體" w:hAnsi="標楷體"/>
                <w:color w:val="000000"/>
              </w:rPr>
            </w:pPr>
          </w:p>
        </w:tc>
      </w:tr>
      <w:tr w:rsidR="002C2DF7" w14:paraId="54B9E2BF" w14:textId="77777777" w:rsidTr="006C315D">
        <w:trPr>
          <w:cantSplit/>
          <w:trHeight w:val="721"/>
        </w:trPr>
        <w:tc>
          <w:tcPr>
            <w:tcW w:w="7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BBFCE8" w14:textId="77777777" w:rsidR="002C2DF7" w:rsidRDefault="002C2DF7" w:rsidP="006C315D">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lastRenderedPageBreak/>
              <w:t>醫</w:t>
            </w:r>
            <w:proofErr w:type="gramEnd"/>
            <w:r>
              <w:rPr>
                <w:rFonts w:ascii="標楷體" w:eastAsia="標楷體" w:hAnsi="標楷體" w:cs="標楷體"/>
                <w:color w:val="000000"/>
              </w:rPr>
              <w:t>事服務機構</w:t>
            </w:r>
          </w:p>
          <w:p w14:paraId="5FE24AA3" w14:textId="77777777" w:rsidR="002C2DF7" w:rsidRDefault="002C2DF7" w:rsidP="006C315D">
            <w:pPr>
              <w:snapToGrid w:val="0"/>
              <w:spacing w:line="240" w:lineRule="atLeast"/>
              <w:rPr>
                <w:rFonts w:ascii="標楷體" w:eastAsia="標楷體" w:hAnsi="標楷體"/>
                <w:color w:val="000000"/>
              </w:rPr>
            </w:pPr>
          </w:p>
        </w:tc>
        <w:tc>
          <w:tcPr>
            <w:tcW w:w="8759" w:type="dxa"/>
            <w:gridSpan w:val="16"/>
            <w:tcBorders>
              <w:top w:val="single" w:sz="4" w:space="0" w:color="000000"/>
              <w:left w:val="single" w:sz="4" w:space="0" w:color="000000"/>
              <w:bottom w:val="single" w:sz="4" w:space="0" w:color="000000"/>
              <w:right w:val="single" w:sz="4" w:space="0" w:color="auto"/>
            </w:tcBorders>
            <w:shd w:val="clear" w:color="auto" w:fill="auto"/>
            <w:tcMar>
              <w:top w:w="0" w:type="dxa"/>
              <w:left w:w="28" w:type="dxa"/>
              <w:bottom w:w="0" w:type="dxa"/>
              <w:right w:w="28" w:type="dxa"/>
            </w:tcMar>
          </w:tcPr>
          <w:p w14:paraId="075640E3" w14:textId="77777777" w:rsidR="002C2DF7" w:rsidRDefault="002C2DF7" w:rsidP="006C315D">
            <w:pPr>
              <w:snapToGrid w:val="0"/>
              <w:spacing w:line="240" w:lineRule="atLeast"/>
            </w:pPr>
            <w:r>
              <w:rPr>
                <w:rFonts w:ascii="標楷體" w:eastAsia="標楷體" w:hAnsi="標楷體" w:cs="標楷體"/>
                <w:color w:val="000000"/>
              </w:rPr>
              <w:t>醫院申請日期：  年  月  日</w:t>
            </w:r>
          </w:p>
          <w:p w14:paraId="1303E6A3" w14:textId="77777777" w:rsidR="002C2DF7" w:rsidRDefault="002C2DF7" w:rsidP="006C315D">
            <w:pPr>
              <w:snapToGrid w:val="0"/>
              <w:spacing w:line="240" w:lineRule="atLeast"/>
              <w:rPr>
                <w:rFonts w:ascii="標楷體" w:eastAsia="標楷體" w:hAnsi="標楷體"/>
                <w:color w:val="000000"/>
              </w:rPr>
            </w:pPr>
          </w:p>
          <w:p w14:paraId="17B3A81A" w14:textId="77777777" w:rsidR="002C2DF7" w:rsidRDefault="002C2DF7" w:rsidP="006C315D">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2"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244995A" w14:textId="77777777" w:rsidR="002C2DF7" w:rsidRDefault="002C2DF7" w:rsidP="006C315D">
            <w:pPr>
              <w:widowControl/>
              <w:snapToGrid w:val="0"/>
              <w:spacing w:line="240" w:lineRule="atLeast"/>
            </w:pPr>
            <w:r>
              <w:rPr>
                <w:rFonts w:ascii="標楷體" w:eastAsia="標楷體" w:hAnsi="標楷體" w:cs="標楷體"/>
                <w:color w:val="000000"/>
              </w:rPr>
              <w:t>承辦人</w:t>
            </w:r>
          </w:p>
        </w:tc>
        <w:tc>
          <w:tcPr>
            <w:tcW w:w="844"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CBBFC77" w14:textId="77777777" w:rsidR="002C2DF7" w:rsidRDefault="002C2DF7" w:rsidP="006C315D">
            <w:pPr>
              <w:widowControl/>
              <w:snapToGrid w:val="0"/>
              <w:spacing w:line="240" w:lineRule="atLeast"/>
              <w:rPr>
                <w:rFonts w:ascii="標楷體" w:eastAsia="標楷體" w:hAnsi="標楷體"/>
                <w:color w:val="000000"/>
              </w:rPr>
            </w:pPr>
          </w:p>
          <w:p w14:paraId="52D15B37" w14:textId="77777777" w:rsidR="002C2DF7" w:rsidRDefault="002C2DF7" w:rsidP="006C315D">
            <w:pPr>
              <w:snapToGrid w:val="0"/>
              <w:spacing w:line="240" w:lineRule="atLeast"/>
              <w:rPr>
                <w:rFonts w:ascii="標楷體" w:eastAsia="標楷體" w:hAnsi="標楷體"/>
                <w:color w:val="000000"/>
              </w:rPr>
            </w:pPr>
          </w:p>
        </w:tc>
        <w:tc>
          <w:tcPr>
            <w:tcW w:w="362"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4A51BBB" w14:textId="77777777" w:rsidR="002C2DF7" w:rsidRDefault="002C2DF7" w:rsidP="006C315D">
            <w:pPr>
              <w:widowControl/>
              <w:snapToGrid w:val="0"/>
              <w:spacing w:line="240" w:lineRule="atLeast"/>
            </w:pPr>
            <w:r>
              <w:rPr>
                <w:rFonts w:ascii="標楷體" w:eastAsia="標楷體" w:hAnsi="標楷體" w:cs="標楷體"/>
                <w:color w:val="000000"/>
              </w:rPr>
              <w:t>複核</w:t>
            </w:r>
          </w:p>
          <w:p w14:paraId="0D25AB1B" w14:textId="77777777" w:rsidR="002C2DF7" w:rsidRDefault="002C2DF7" w:rsidP="006C315D">
            <w:pPr>
              <w:widowControl/>
              <w:snapToGrid w:val="0"/>
              <w:spacing w:line="240" w:lineRule="atLeast"/>
              <w:rPr>
                <w:rFonts w:ascii="標楷體" w:eastAsia="標楷體" w:hAnsi="標楷體"/>
                <w:color w:val="000000"/>
              </w:rPr>
            </w:pPr>
          </w:p>
        </w:tc>
        <w:tc>
          <w:tcPr>
            <w:tcW w:w="846" w:type="dxa"/>
            <w:gridSpan w:val="4"/>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921D9EF" w14:textId="77777777" w:rsidR="002C2DF7" w:rsidRDefault="002C2DF7" w:rsidP="006C315D">
            <w:pPr>
              <w:widowControl/>
              <w:snapToGrid w:val="0"/>
              <w:spacing w:line="240" w:lineRule="atLeast"/>
              <w:rPr>
                <w:rFonts w:ascii="標楷體" w:eastAsia="標楷體" w:hAnsi="標楷體"/>
                <w:color w:val="000000"/>
              </w:rPr>
            </w:pPr>
          </w:p>
          <w:p w14:paraId="22B2AFB2" w14:textId="77777777" w:rsidR="002C2DF7" w:rsidRDefault="002C2DF7" w:rsidP="006C315D">
            <w:pPr>
              <w:snapToGrid w:val="0"/>
              <w:spacing w:line="240" w:lineRule="atLeast"/>
              <w:rPr>
                <w:rFonts w:ascii="標楷體" w:eastAsia="標楷體" w:hAnsi="標楷體"/>
                <w:color w:val="000000"/>
              </w:rPr>
            </w:pPr>
          </w:p>
        </w:tc>
        <w:tc>
          <w:tcPr>
            <w:tcW w:w="364"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C0AFB88" w14:textId="77777777" w:rsidR="002C2DF7" w:rsidRDefault="002C2DF7" w:rsidP="006C315D">
            <w:pPr>
              <w:snapToGrid w:val="0"/>
              <w:spacing w:line="240" w:lineRule="atLeast"/>
            </w:pPr>
            <w:r>
              <w:rPr>
                <w:rFonts w:ascii="標楷體" w:eastAsia="標楷體" w:hAnsi="標楷體" w:cs="標楷體"/>
                <w:color w:val="000000"/>
              </w:rPr>
              <w:t>科長</w:t>
            </w:r>
          </w:p>
        </w:tc>
        <w:tc>
          <w:tcPr>
            <w:tcW w:w="848"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C606F45" w14:textId="77777777" w:rsidR="002C2DF7" w:rsidRDefault="002C2DF7" w:rsidP="006C315D">
            <w:pPr>
              <w:widowControl/>
              <w:snapToGrid w:val="0"/>
              <w:spacing w:line="240" w:lineRule="atLeast"/>
              <w:rPr>
                <w:rFonts w:ascii="標楷體" w:eastAsia="標楷體" w:hAnsi="標楷體"/>
                <w:color w:val="000000"/>
              </w:rPr>
            </w:pPr>
          </w:p>
          <w:p w14:paraId="6A995BE4" w14:textId="77777777" w:rsidR="002C2DF7" w:rsidRDefault="002C2DF7" w:rsidP="006C315D">
            <w:pPr>
              <w:snapToGrid w:val="0"/>
              <w:spacing w:line="240" w:lineRule="atLeast"/>
              <w:rPr>
                <w:rFonts w:ascii="標楷體" w:eastAsia="標楷體" w:hAnsi="標楷體"/>
                <w:color w:val="000000"/>
              </w:rPr>
            </w:pPr>
          </w:p>
        </w:tc>
        <w:tc>
          <w:tcPr>
            <w:tcW w:w="377"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8673204" w14:textId="77777777" w:rsidR="002C2DF7" w:rsidRDefault="002C2DF7" w:rsidP="006C315D">
            <w:pPr>
              <w:widowControl/>
              <w:snapToGrid w:val="0"/>
              <w:spacing w:line="240" w:lineRule="atLeast"/>
            </w:pPr>
            <w:r>
              <w:rPr>
                <w:rFonts w:ascii="標楷體" w:eastAsia="標楷體" w:hAnsi="標楷體" w:cs="標楷體"/>
                <w:color w:val="000000"/>
              </w:rPr>
              <w:t>決行</w:t>
            </w:r>
          </w:p>
          <w:p w14:paraId="49F6846A" w14:textId="77777777" w:rsidR="002C2DF7" w:rsidRDefault="002C2DF7" w:rsidP="006C315D">
            <w:pPr>
              <w:widowControl/>
              <w:snapToGrid w:val="0"/>
              <w:spacing w:line="240" w:lineRule="atLeast"/>
              <w:rPr>
                <w:rFonts w:ascii="標楷體" w:eastAsia="標楷體" w:hAnsi="標楷體"/>
                <w:color w:val="000000"/>
              </w:rPr>
            </w:pPr>
          </w:p>
        </w:tc>
        <w:tc>
          <w:tcPr>
            <w:tcW w:w="95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142C2DB" w14:textId="77777777" w:rsidR="002C2DF7" w:rsidRDefault="002C2DF7" w:rsidP="006C315D">
            <w:pPr>
              <w:widowControl/>
              <w:snapToGrid w:val="0"/>
              <w:spacing w:line="240" w:lineRule="atLeast"/>
              <w:rPr>
                <w:rFonts w:ascii="標楷體" w:eastAsia="標楷體" w:hAnsi="標楷體"/>
                <w:color w:val="000000"/>
              </w:rPr>
            </w:pPr>
          </w:p>
          <w:p w14:paraId="493A180F" w14:textId="77777777" w:rsidR="002C2DF7" w:rsidRDefault="002C2DF7" w:rsidP="006C315D">
            <w:pPr>
              <w:snapToGrid w:val="0"/>
              <w:spacing w:line="240" w:lineRule="atLeast"/>
              <w:rPr>
                <w:rFonts w:ascii="標楷體" w:eastAsia="標楷體" w:hAnsi="標楷體"/>
                <w:color w:val="000000"/>
              </w:rPr>
            </w:pPr>
          </w:p>
        </w:tc>
      </w:tr>
    </w:tbl>
    <w:p w14:paraId="63A32AA7" w14:textId="0172E98D" w:rsidR="00401786" w:rsidRPr="00F37647" w:rsidRDefault="00C64FB3" w:rsidP="005839D7">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附表九之六</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全民健康保險使用抗癌藥品Nilotinib申請表</w:t>
      </w:r>
    </w:p>
    <w:tbl>
      <w:tblPr>
        <w:tblW w:w="14660" w:type="dxa"/>
        <w:tblInd w:w="-5" w:type="dxa"/>
        <w:tblLayout w:type="fixed"/>
        <w:tblCellMar>
          <w:left w:w="10" w:type="dxa"/>
          <w:right w:w="10" w:type="dxa"/>
        </w:tblCellMar>
        <w:tblLook w:val="0000" w:firstRow="0" w:lastRow="0" w:firstColumn="0" w:lastColumn="0" w:noHBand="0" w:noVBand="0"/>
      </w:tblPr>
      <w:tblGrid>
        <w:gridCol w:w="544"/>
        <w:gridCol w:w="74"/>
        <w:gridCol w:w="403"/>
        <w:gridCol w:w="572"/>
        <w:gridCol w:w="822"/>
        <w:gridCol w:w="737"/>
        <w:gridCol w:w="283"/>
        <w:gridCol w:w="429"/>
        <w:gridCol w:w="847"/>
        <w:gridCol w:w="109"/>
        <w:gridCol w:w="1313"/>
        <w:gridCol w:w="600"/>
        <w:gridCol w:w="360"/>
        <w:gridCol w:w="959"/>
        <w:gridCol w:w="770"/>
        <w:gridCol w:w="324"/>
        <w:gridCol w:w="385"/>
        <w:gridCol w:w="204"/>
        <w:gridCol w:w="125"/>
        <w:gridCol w:w="235"/>
        <w:gridCol w:w="144"/>
        <w:gridCol w:w="696"/>
        <w:gridCol w:w="360"/>
        <w:gridCol w:w="124"/>
        <w:gridCol w:w="360"/>
        <w:gridCol w:w="9"/>
        <w:gridCol w:w="349"/>
        <w:gridCol w:w="362"/>
        <w:gridCol w:w="11"/>
        <w:gridCol w:w="229"/>
        <w:gridCol w:w="602"/>
        <w:gridCol w:w="375"/>
        <w:gridCol w:w="944"/>
      </w:tblGrid>
      <w:tr w:rsidR="00401786" w14:paraId="6B3A3C16" w14:textId="77777777">
        <w:trPr>
          <w:cantSplit/>
          <w:trHeight w:val="320"/>
        </w:trPr>
        <w:tc>
          <w:tcPr>
            <w:tcW w:w="2415"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5A82ECD"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1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1811B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1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6B7503"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4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74D964"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72"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C4C158"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54805F1F" w14:textId="77777777">
        <w:trPr>
          <w:cantSplit/>
          <w:trHeight w:val="426"/>
        </w:trPr>
        <w:tc>
          <w:tcPr>
            <w:tcW w:w="618"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20002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9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B25180"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ED6EF9"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C70744"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1E6EC07A"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9DADD1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C5F995B"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8B437F"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A960B0"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EF1C06"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12F515"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11DD6"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3F29A92"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20A862" w14:textId="77777777" w:rsidR="00401786" w:rsidRDefault="00401786" w:rsidP="000E757E">
            <w:pPr>
              <w:snapToGrid w:val="0"/>
              <w:spacing w:line="240" w:lineRule="atLeast"/>
              <w:rPr>
                <w:rFonts w:ascii="標楷體" w:eastAsia="標楷體" w:hAnsi="標楷體"/>
                <w:color w:val="000000"/>
                <w:sz w:val="20"/>
                <w:szCs w:val="20"/>
              </w:rPr>
            </w:pPr>
          </w:p>
        </w:tc>
        <w:tc>
          <w:tcPr>
            <w:tcW w:w="109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E88D2B"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0C7C9519"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15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7097E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B600283" w14:textId="77777777">
        <w:trPr>
          <w:cantSplit/>
          <w:trHeight w:val="403"/>
        </w:trPr>
        <w:tc>
          <w:tcPr>
            <w:tcW w:w="618"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CDF8CF" w14:textId="77777777" w:rsidR="00401786" w:rsidRDefault="00401786" w:rsidP="000E757E">
            <w:pPr>
              <w:snapToGrid w:val="0"/>
              <w:spacing w:line="240" w:lineRule="atLeast"/>
              <w:rPr>
                <w:rFonts w:ascii="標楷體" w:eastAsia="標楷體" w:hAnsi="標楷體"/>
                <w:color w:val="000000"/>
                <w:sz w:val="20"/>
                <w:szCs w:val="20"/>
              </w:rPr>
            </w:pPr>
          </w:p>
        </w:tc>
        <w:tc>
          <w:tcPr>
            <w:tcW w:w="9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CF0128"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6C1AD9"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EBCF6" w14:textId="77777777" w:rsidR="00401786" w:rsidRDefault="00401786" w:rsidP="000E757E">
            <w:pPr>
              <w:snapToGrid w:val="0"/>
              <w:spacing w:line="240" w:lineRule="atLeast"/>
              <w:rPr>
                <w:rFonts w:ascii="標楷體" w:eastAsia="標楷體" w:hAnsi="標楷體"/>
                <w:color w:val="000000"/>
                <w:sz w:val="20"/>
                <w:szCs w:val="20"/>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B42A2C"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1AC296C1"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02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1E2981"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2B127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1570443D"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F685F2"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7D47B8"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3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35172A"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7EC67E5F"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154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EAF3BB"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51218"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2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E3EF4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FA51761" w14:textId="77777777">
        <w:trPr>
          <w:cantSplit/>
          <w:trHeight w:val="410"/>
        </w:trPr>
        <w:tc>
          <w:tcPr>
            <w:tcW w:w="15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D3580"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27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0A6E81" w14:textId="77777777" w:rsidR="00401786" w:rsidRDefault="00401786" w:rsidP="000E757E">
            <w:pPr>
              <w:snapToGrid w:val="0"/>
              <w:spacing w:line="240" w:lineRule="atLeast"/>
              <w:rPr>
                <w:rFonts w:ascii="標楷體" w:eastAsia="標楷體" w:hAnsi="標楷體"/>
                <w:color w:val="000000"/>
                <w:sz w:val="20"/>
                <w:szCs w:val="20"/>
              </w:rPr>
            </w:pPr>
          </w:p>
        </w:tc>
        <w:tc>
          <w:tcPr>
            <w:tcW w:w="9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3E2036"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00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6666D2" w14:textId="77777777" w:rsidR="00401786" w:rsidRDefault="00401786" w:rsidP="000E757E">
            <w:pPr>
              <w:snapToGrid w:val="0"/>
              <w:spacing w:line="240" w:lineRule="atLeast"/>
              <w:rPr>
                <w:rFonts w:ascii="標楷體" w:eastAsia="標楷體" w:hAnsi="標楷體"/>
                <w:color w:val="000000"/>
                <w:sz w:val="20"/>
                <w:szCs w:val="20"/>
              </w:rPr>
            </w:pPr>
          </w:p>
        </w:tc>
        <w:tc>
          <w:tcPr>
            <w:tcW w:w="1417"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8370C4"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21"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4B89C706"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3D05E5A3" w14:textId="77777777">
        <w:trPr>
          <w:cantSplit/>
        </w:trPr>
        <w:tc>
          <w:tcPr>
            <w:tcW w:w="15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7EDB25"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84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AA24D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387"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53EC1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956A6D"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用法</w:t>
            </w:r>
          </w:p>
          <w:p w14:paraId="1B20AE4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7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CB2CC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40822E67"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421"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D3B0A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1CAF7BE4" w14:textId="77777777">
        <w:trPr>
          <w:cantSplit/>
          <w:trHeight w:val="2701"/>
        </w:trPr>
        <w:tc>
          <w:tcPr>
            <w:tcW w:w="15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477FA0" w14:textId="77777777" w:rsidR="00401786" w:rsidRDefault="00C64FB3" w:rsidP="000E757E">
            <w:pPr>
              <w:snapToGrid w:val="0"/>
              <w:spacing w:before="180" w:line="240" w:lineRule="atLeast"/>
              <w:rPr>
                <w:rFonts w:ascii="標楷體" w:eastAsia="標楷體" w:hAnsi="標楷體"/>
                <w:color w:val="000000"/>
                <w:sz w:val="20"/>
                <w:szCs w:val="20"/>
              </w:rPr>
            </w:pPr>
            <w:proofErr w:type="spellStart"/>
            <w:r>
              <w:rPr>
                <w:rFonts w:ascii="標楷體" w:eastAsia="標楷體" w:hAnsi="標楷體"/>
                <w:color w:val="000000"/>
                <w:sz w:val="20"/>
                <w:szCs w:val="20"/>
              </w:rPr>
              <w:t>TasignaCapsules</w:t>
            </w:r>
            <w:proofErr w:type="spellEnd"/>
          </w:p>
          <w:p w14:paraId="1FF7D5B3" w14:textId="77777777" w:rsidR="00401786" w:rsidRDefault="00C64FB3">
            <w:pPr>
              <w:numPr>
                <w:ilvl w:val="0"/>
                <w:numId w:val="68"/>
              </w:numPr>
              <w:snapToGrid w:val="0"/>
              <w:spacing w:before="180" w:line="240" w:lineRule="atLeast"/>
              <w:ind w:left="340" w:hanging="338"/>
              <w:rPr>
                <w:rFonts w:ascii="標楷體" w:eastAsia="標楷體" w:hAnsi="標楷體"/>
                <w:color w:val="000000"/>
                <w:sz w:val="18"/>
                <w:szCs w:val="18"/>
              </w:rPr>
            </w:pPr>
            <w:r>
              <w:rPr>
                <w:rFonts w:ascii="標楷體" w:eastAsia="標楷體" w:hAnsi="標楷體"/>
                <w:color w:val="000000"/>
                <w:sz w:val="18"/>
                <w:szCs w:val="18"/>
              </w:rPr>
              <w:t>B024834100</w:t>
            </w:r>
          </w:p>
          <w:p w14:paraId="01CDECD4" w14:textId="77777777" w:rsidR="00401786" w:rsidRDefault="00C64FB3">
            <w:pPr>
              <w:numPr>
                <w:ilvl w:val="0"/>
                <w:numId w:val="68"/>
              </w:numPr>
              <w:snapToGrid w:val="0"/>
              <w:spacing w:before="180" w:line="240" w:lineRule="atLeast"/>
              <w:ind w:left="340" w:hanging="338"/>
              <w:rPr>
                <w:rFonts w:ascii="標楷體" w:eastAsia="標楷體" w:hAnsi="標楷體"/>
                <w:color w:val="000000"/>
                <w:sz w:val="18"/>
                <w:szCs w:val="18"/>
              </w:rPr>
            </w:pPr>
            <w:r>
              <w:rPr>
                <w:rFonts w:ascii="標楷體" w:eastAsia="標楷體" w:hAnsi="標楷體"/>
                <w:color w:val="000000"/>
                <w:sz w:val="18"/>
                <w:szCs w:val="18"/>
              </w:rPr>
              <w:t>B025317100</w:t>
            </w:r>
          </w:p>
          <w:p w14:paraId="5403285A"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84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2FEC67" w14:textId="77777777" w:rsidR="00401786" w:rsidRDefault="00C64FB3" w:rsidP="000E757E">
            <w:pPr>
              <w:snapToGrid w:val="0"/>
              <w:spacing w:before="180" w:line="240" w:lineRule="atLeast"/>
              <w:ind w:left="320" w:hanging="200"/>
            </w:pPr>
            <w:r>
              <w:rPr>
                <w:rFonts w:ascii="標楷體" w:eastAsia="標楷體" w:hAnsi="標楷體" w:cs="標楷體"/>
                <w:color w:val="000000"/>
                <w:sz w:val="20"/>
                <w:szCs w:val="20"/>
              </w:rPr>
              <w:t>□第一次申請</w:t>
            </w:r>
          </w:p>
          <w:p w14:paraId="018CDE86" w14:textId="77777777" w:rsidR="00401786" w:rsidRDefault="00401786" w:rsidP="000E757E">
            <w:pPr>
              <w:snapToGrid w:val="0"/>
              <w:spacing w:before="180" w:line="240" w:lineRule="atLeast"/>
              <w:ind w:left="220" w:hanging="100"/>
              <w:rPr>
                <w:rFonts w:ascii="標楷體" w:eastAsia="標楷體" w:hAnsi="標楷體" w:cs="標楷體"/>
                <w:color w:val="000000"/>
                <w:sz w:val="20"/>
                <w:szCs w:val="20"/>
              </w:rPr>
            </w:pPr>
          </w:p>
          <w:p w14:paraId="14416983" w14:textId="77777777" w:rsidR="00401786" w:rsidRDefault="00C64FB3" w:rsidP="000E757E">
            <w:pPr>
              <w:snapToGrid w:val="0"/>
              <w:spacing w:before="180" w:line="240" w:lineRule="atLeast"/>
              <w:ind w:left="220" w:hanging="100"/>
            </w:pPr>
            <w:r>
              <w:rPr>
                <w:rFonts w:ascii="標楷體" w:eastAsia="標楷體" w:hAnsi="標楷體" w:cs="標楷體"/>
                <w:color w:val="000000"/>
                <w:sz w:val="20"/>
                <w:szCs w:val="20"/>
              </w:rPr>
              <w:t>□治療後再次申請</w:t>
            </w:r>
          </w:p>
          <w:p w14:paraId="2C798E39" w14:textId="77777777" w:rsidR="00401786" w:rsidRDefault="00401786" w:rsidP="000E757E">
            <w:pPr>
              <w:pStyle w:val="a7"/>
              <w:spacing w:before="50" w:line="240" w:lineRule="atLeast"/>
              <w:rPr>
                <w:rFonts w:ascii="標楷體" w:eastAsia="標楷體" w:hAnsi="標楷體"/>
                <w:color w:val="000000"/>
              </w:rPr>
            </w:pPr>
          </w:p>
        </w:tc>
        <w:tc>
          <w:tcPr>
            <w:tcW w:w="5387"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51F88F" w14:textId="77777777" w:rsidR="00401786" w:rsidRDefault="00401786" w:rsidP="000E757E">
            <w:pPr>
              <w:snapToGrid w:val="0"/>
              <w:spacing w:line="240" w:lineRule="atLeast"/>
              <w:ind w:left="320" w:hanging="200"/>
              <w:jc w:val="both"/>
              <w:rPr>
                <w:rFonts w:ascii="標楷體" w:eastAsia="標楷體" w:hAnsi="標楷體"/>
                <w:color w:val="000000"/>
                <w:sz w:val="20"/>
                <w:szCs w:val="20"/>
              </w:rPr>
            </w:pPr>
          </w:p>
          <w:p w14:paraId="39B971F6"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9.32.1.Nilotinib200mg(如Tasigna200mg)（98/6/1、99/1/1）</w:t>
            </w:r>
          </w:p>
          <w:p w14:paraId="1A55AAA9"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1.限用於治療對imatinib400MG(含)</w:t>
            </w:r>
            <w:proofErr w:type="gramStart"/>
            <w:r>
              <w:rPr>
                <w:rFonts w:ascii="標楷體" w:eastAsia="標楷體" w:hAnsi="標楷體"/>
                <w:color w:val="000000"/>
                <w:sz w:val="20"/>
                <w:szCs w:val="20"/>
              </w:rPr>
              <w:t>以上耐</w:t>
            </w:r>
            <w:proofErr w:type="gramEnd"/>
            <w:r>
              <w:rPr>
                <w:rFonts w:ascii="標楷體" w:eastAsia="標楷體" w:hAnsi="標楷體"/>
                <w:color w:val="000000"/>
                <w:sz w:val="20"/>
                <w:szCs w:val="20"/>
              </w:rPr>
              <w:t>受性不良或治療無效的「慢性期或加速期費城染色體(</w:t>
            </w:r>
            <w:proofErr w:type="spellStart"/>
            <w:r>
              <w:rPr>
                <w:rFonts w:ascii="標楷體" w:eastAsia="標楷體" w:hAnsi="標楷體"/>
                <w:color w:val="000000"/>
                <w:sz w:val="20"/>
                <w:szCs w:val="20"/>
              </w:rPr>
              <w:t>Philadelphiachromosome</w:t>
            </w:r>
            <w:proofErr w:type="spellEnd"/>
            <w:r>
              <w:rPr>
                <w:rFonts w:ascii="標楷體" w:eastAsia="標楷體" w:hAnsi="標楷體"/>
                <w:color w:val="000000"/>
                <w:sz w:val="20"/>
                <w:szCs w:val="20"/>
              </w:rPr>
              <w:t>)陽性的慢性骨髓性白血病(CML)成年患者」。</w:t>
            </w:r>
          </w:p>
          <w:p w14:paraId="6380C306"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2.經事前審查核准後使用，送審時必須</w:t>
            </w:r>
            <w:proofErr w:type="gramStart"/>
            <w:r>
              <w:rPr>
                <w:rFonts w:ascii="標楷體" w:eastAsia="標楷體" w:hAnsi="標楷體"/>
                <w:color w:val="000000"/>
                <w:sz w:val="20"/>
                <w:szCs w:val="20"/>
              </w:rPr>
              <w:t>檢附耐受</w:t>
            </w:r>
            <w:proofErr w:type="gramEnd"/>
            <w:r>
              <w:rPr>
                <w:rFonts w:ascii="標楷體" w:eastAsia="標楷體" w:hAnsi="標楷體"/>
                <w:color w:val="000000"/>
                <w:sz w:val="20"/>
                <w:szCs w:val="20"/>
              </w:rPr>
              <w:t>性不良或治療無效的證明。</w:t>
            </w:r>
          </w:p>
          <w:p w14:paraId="5DC6AEC5"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3.Nilotinib與</w:t>
            </w:r>
            <w:proofErr w:type="spellStart"/>
            <w:r>
              <w:rPr>
                <w:rFonts w:ascii="標楷體" w:eastAsia="標楷體" w:hAnsi="標楷體"/>
                <w:color w:val="000000"/>
                <w:sz w:val="20"/>
                <w:szCs w:val="20"/>
              </w:rPr>
              <w:t>dasatinib</w:t>
            </w:r>
            <w:proofErr w:type="spellEnd"/>
            <w:r>
              <w:rPr>
                <w:rFonts w:ascii="標楷體" w:eastAsia="標楷體" w:hAnsi="標楷體"/>
                <w:color w:val="000000"/>
                <w:sz w:val="20"/>
                <w:szCs w:val="20"/>
              </w:rPr>
              <w:t>不得合併使用。</w:t>
            </w:r>
          </w:p>
          <w:p w14:paraId="2A2BA37E" w14:textId="77777777" w:rsidR="00401786" w:rsidRDefault="00C64FB3" w:rsidP="000E757E">
            <w:pPr>
              <w:snapToGrid w:val="0"/>
              <w:spacing w:before="180"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9.32.2.Nilotinib150mg(如Tasigna150mg)：</w:t>
            </w:r>
          </w:p>
          <w:p w14:paraId="672BF023"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1.</w:t>
            </w:r>
            <w:r>
              <w:rPr>
                <w:rFonts w:ascii="標楷體" w:eastAsia="標楷體" w:hAnsi="標楷體"/>
                <w:color w:val="000000"/>
                <w:sz w:val="20"/>
                <w:szCs w:val="20"/>
              </w:rPr>
              <w:tab/>
            </w:r>
            <w:proofErr w:type="gramStart"/>
            <w:r>
              <w:rPr>
                <w:rFonts w:ascii="標楷體" w:eastAsia="標楷體" w:hAnsi="標楷體"/>
                <w:color w:val="000000"/>
                <w:sz w:val="20"/>
                <w:szCs w:val="20"/>
              </w:rPr>
              <w:t>新確診</w:t>
            </w:r>
            <w:proofErr w:type="gramEnd"/>
            <w:r>
              <w:rPr>
                <w:rFonts w:ascii="標楷體" w:eastAsia="標楷體" w:hAnsi="標楷體"/>
                <w:color w:val="000000"/>
                <w:sz w:val="20"/>
                <w:szCs w:val="20"/>
              </w:rPr>
              <w:t>之慢性期費城染色體陽性的慢性骨髓性白血病。</w:t>
            </w:r>
          </w:p>
          <w:p w14:paraId="1BA866FA" w14:textId="77777777" w:rsidR="00401786" w:rsidRDefault="00C64FB3" w:rsidP="000E757E">
            <w:pPr>
              <w:snapToGrid w:val="0"/>
              <w:spacing w:before="50" w:line="240" w:lineRule="atLeast"/>
              <w:ind w:left="320" w:hanging="200"/>
              <w:jc w:val="both"/>
            </w:pPr>
            <w:r>
              <w:rPr>
                <w:rFonts w:ascii="標楷體" w:eastAsia="標楷體" w:hAnsi="標楷體"/>
                <w:color w:val="000000"/>
                <w:sz w:val="20"/>
                <w:szCs w:val="20"/>
              </w:rPr>
              <w:t>2.</w:t>
            </w:r>
            <w:r>
              <w:rPr>
                <w:rFonts w:ascii="標楷體" w:eastAsia="標楷體" w:hAnsi="標楷體"/>
                <w:color w:val="000000"/>
                <w:sz w:val="20"/>
                <w:szCs w:val="20"/>
              </w:rPr>
              <w:tab/>
              <w:t>經事前審查核准後使用。</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834CC1" w14:textId="77777777" w:rsidR="00401786" w:rsidRDefault="00401786" w:rsidP="000E757E">
            <w:pPr>
              <w:snapToGrid w:val="0"/>
              <w:spacing w:line="240" w:lineRule="atLeast"/>
              <w:rPr>
                <w:rFonts w:ascii="標楷體" w:eastAsia="標楷體" w:hAnsi="標楷體"/>
                <w:color w:val="000000"/>
                <w:sz w:val="20"/>
                <w:szCs w:val="20"/>
              </w:rPr>
            </w:pPr>
          </w:p>
        </w:tc>
        <w:tc>
          <w:tcPr>
            <w:tcW w:w="7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2449FA" w14:textId="77777777" w:rsidR="00401786" w:rsidRDefault="00401786" w:rsidP="000E757E">
            <w:pPr>
              <w:snapToGrid w:val="0"/>
              <w:spacing w:line="240" w:lineRule="atLeast"/>
              <w:rPr>
                <w:rFonts w:ascii="標楷體" w:eastAsia="標楷體" w:hAnsi="標楷體"/>
                <w:color w:val="000000"/>
                <w:sz w:val="20"/>
                <w:szCs w:val="20"/>
              </w:rPr>
            </w:pPr>
          </w:p>
        </w:tc>
        <w:tc>
          <w:tcPr>
            <w:tcW w:w="4421"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936C8B3" w14:textId="77777777" w:rsidR="00401786" w:rsidRDefault="00C64FB3">
            <w:pPr>
              <w:numPr>
                <w:ilvl w:val="0"/>
                <w:numId w:val="69"/>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15BE3C71"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3E21847B"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26E43CD3"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1CFE31D6"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5ECAA7A5"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1F8E5B08"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3346FF93" w14:textId="77777777" w:rsidR="00401786" w:rsidRDefault="00C64FB3">
            <w:pPr>
              <w:numPr>
                <w:ilvl w:val="0"/>
                <w:numId w:val="6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45C770AF" w14:textId="77777777" w:rsidR="00401786" w:rsidRDefault="00C64FB3">
            <w:pPr>
              <w:numPr>
                <w:ilvl w:val="0"/>
                <w:numId w:val="6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0F3AD1F4" w14:textId="77777777" w:rsidR="00401786" w:rsidRDefault="00C64FB3">
            <w:pPr>
              <w:numPr>
                <w:ilvl w:val="0"/>
                <w:numId w:val="69"/>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5E953217"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5FC4A2B0" w14:textId="77777777">
        <w:trPr>
          <w:cantSplit/>
          <w:trHeight w:val="839"/>
        </w:trPr>
        <w:tc>
          <w:tcPr>
            <w:tcW w:w="54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30A403"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4C10B3D2"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695" w:type="dxa"/>
            <w:gridSpan w:val="20"/>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CF69FD"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向保險人各地分局申請審核。</w:t>
            </w:r>
          </w:p>
          <w:p w14:paraId="2B21DB90"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4CF0F62F"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53213EDE"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D75A3AA"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65148281"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EDF6F38" w14:textId="77777777" w:rsidR="00401786" w:rsidRDefault="00C64FB3" w:rsidP="000E757E">
            <w:pPr>
              <w:snapToGrid w:val="0"/>
              <w:spacing w:line="240" w:lineRule="atLeast"/>
              <w:ind w:left="174" w:hanging="174"/>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21"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CBAA7D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034CA09" w14:textId="77777777">
        <w:trPr>
          <w:cantSplit/>
          <w:trHeight w:val="1115"/>
        </w:trPr>
        <w:tc>
          <w:tcPr>
            <w:tcW w:w="54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A228C2" w14:textId="77777777" w:rsidR="00401786" w:rsidRDefault="00401786" w:rsidP="000E757E">
            <w:pPr>
              <w:snapToGrid w:val="0"/>
              <w:spacing w:line="240" w:lineRule="atLeast"/>
              <w:ind w:left="211" w:hanging="211"/>
              <w:rPr>
                <w:rFonts w:ascii="標楷體" w:eastAsia="標楷體" w:hAnsi="標楷體"/>
                <w:color w:val="000000"/>
              </w:rPr>
            </w:pPr>
          </w:p>
        </w:tc>
        <w:tc>
          <w:tcPr>
            <w:tcW w:w="9695"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0266C2" w14:textId="77777777" w:rsidR="00401786" w:rsidRDefault="00401786" w:rsidP="000E757E">
            <w:pPr>
              <w:snapToGrid w:val="0"/>
              <w:spacing w:line="240" w:lineRule="atLeast"/>
              <w:ind w:left="211" w:hanging="211"/>
              <w:rPr>
                <w:rFonts w:ascii="標楷體" w:eastAsia="標楷體" w:hAnsi="標楷體"/>
                <w:color w:val="000000"/>
              </w:rPr>
            </w:pPr>
          </w:p>
        </w:tc>
        <w:tc>
          <w:tcPr>
            <w:tcW w:w="3102"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2CD082" w14:textId="77777777" w:rsidR="00401786" w:rsidRDefault="00401786" w:rsidP="000E757E">
            <w:pPr>
              <w:snapToGrid w:val="0"/>
              <w:spacing w:line="240" w:lineRule="atLeast"/>
              <w:jc w:val="both"/>
              <w:rPr>
                <w:rFonts w:ascii="標楷體" w:eastAsia="標楷體" w:hAnsi="標楷體"/>
                <w:color w:val="000000"/>
              </w:rPr>
            </w:pPr>
          </w:p>
          <w:p w14:paraId="1E47CF44" w14:textId="77777777" w:rsidR="00401786" w:rsidRDefault="00401786" w:rsidP="000E757E">
            <w:pPr>
              <w:snapToGrid w:val="0"/>
              <w:spacing w:line="240" w:lineRule="atLeast"/>
              <w:jc w:val="both"/>
              <w:rPr>
                <w:rFonts w:ascii="標楷體" w:eastAsia="標楷體" w:hAnsi="標楷體"/>
                <w:color w:val="000000"/>
              </w:rPr>
            </w:pPr>
          </w:p>
          <w:p w14:paraId="43E7147B" w14:textId="77777777" w:rsidR="00401786" w:rsidRDefault="00401786" w:rsidP="000E757E">
            <w:pPr>
              <w:snapToGrid w:val="0"/>
              <w:spacing w:line="240" w:lineRule="atLeast"/>
              <w:jc w:val="both"/>
              <w:rPr>
                <w:rFonts w:ascii="標楷體" w:eastAsia="標楷體" w:hAnsi="標楷體"/>
                <w:color w:val="000000"/>
              </w:rPr>
            </w:pPr>
          </w:p>
          <w:p w14:paraId="1309960B"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71CDD1ED"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7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FB5832"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373F7" w14:textId="77777777" w:rsidR="00401786" w:rsidRDefault="00401786" w:rsidP="000E757E">
            <w:pPr>
              <w:snapToGrid w:val="0"/>
              <w:spacing w:line="240" w:lineRule="atLeast"/>
              <w:rPr>
                <w:rFonts w:ascii="標楷體" w:eastAsia="標楷體" w:hAnsi="標楷體"/>
                <w:color w:val="000000"/>
              </w:rPr>
            </w:pPr>
          </w:p>
        </w:tc>
      </w:tr>
      <w:tr w:rsidR="00401786" w14:paraId="665B57EF" w14:textId="77777777">
        <w:trPr>
          <w:cantSplit/>
          <w:trHeight w:val="618"/>
        </w:trPr>
        <w:tc>
          <w:tcPr>
            <w:tcW w:w="54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37860C" w14:textId="77777777" w:rsidR="00401786" w:rsidRDefault="00401786" w:rsidP="000E757E">
            <w:pPr>
              <w:snapToGrid w:val="0"/>
              <w:spacing w:line="240" w:lineRule="atLeast"/>
              <w:ind w:left="211" w:hanging="211"/>
              <w:rPr>
                <w:rFonts w:ascii="標楷體" w:eastAsia="標楷體" w:hAnsi="標楷體"/>
                <w:color w:val="000000"/>
              </w:rPr>
            </w:pPr>
          </w:p>
        </w:tc>
        <w:tc>
          <w:tcPr>
            <w:tcW w:w="9695"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1E5ED7" w14:textId="77777777" w:rsidR="00401786" w:rsidRDefault="00401786" w:rsidP="000E757E">
            <w:pPr>
              <w:snapToGrid w:val="0"/>
              <w:spacing w:line="240" w:lineRule="atLeast"/>
              <w:ind w:left="211" w:hanging="211"/>
              <w:rPr>
                <w:rFonts w:ascii="標楷體" w:eastAsia="標楷體" w:hAnsi="標楷體"/>
                <w:color w:val="000000"/>
              </w:rPr>
            </w:pPr>
          </w:p>
        </w:tc>
        <w:tc>
          <w:tcPr>
            <w:tcW w:w="3102"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2927E9" w14:textId="77777777" w:rsidR="00401786" w:rsidRDefault="00401786" w:rsidP="000E757E">
            <w:pPr>
              <w:snapToGrid w:val="0"/>
              <w:spacing w:line="240" w:lineRule="atLeast"/>
              <w:jc w:val="both"/>
              <w:rPr>
                <w:rFonts w:ascii="標楷體" w:eastAsia="標楷體" w:hAnsi="標楷體"/>
                <w:color w:val="000000"/>
              </w:rPr>
            </w:pPr>
          </w:p>
        </w:tc>
        <w:tc>
          <w:tcPr>
            <w:tcW w:w="37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CEC43" w14:textId="77777777" w:rsidR="00401786" w:rsidRDefault="00401786" w:rsidP="000E757E">
            <w:pPr>
              <w:snapToGrid w:val="0"/>
              <w:spacing w:line="240" w:lineRule="atLeast"/>
              <w:rPr>
                <w:rFonts w:ascii="標楷體" w:eastAsia="標楷體" w:hAnsi="標楷體" w:cs="標楷體"/>
                <w:color w:val="000000"/>
              </w:rPr>
            </w:pPr>
          </w:p>
        </w:tc>
        <w:tc>
          <w:tcPr>
            <w:tcW w:w="9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09F47" w14:textId="77777777" w:rsidR="00401786" w:rsidRDefault="00401786" w:rsidP="000E757E">
            <w:pPr>
              <w:snapToGrid w:val="0"/>
              <w:spacing w:line="240" w:lineRule="atLeast"/>
              <w:rPr>
                <w:rFonts w:ascii="標楷體" w:eastAsia="標楷體" w:hAnsi="標楷體"/>
                <w:color w:val="000000"/>
              </w:rPr>
            </w:pPr>
          </w:p>
        </w:tc>
      </w:tr>
      <w:tr w:rsidR="00401786" w14:paraId="5594C2B0" w14:textId="77777777">
        <w:trPr>
          <w:cantSplit/>
          <w:trHeight w:val="706"/>
        </w:trPr>
        <w:tc>
          <w:tcPr>
            <w:tcW w:w="102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49504D"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lastRenderedPageBreak/>
              <w:t>醫</w:t>
            </w:r>
            <w:proofErr w:type="gramEnd"/>
            <w:r>
              <w:rPr>
                <w:rFonts w:ascii="標楷體" w:eastAsia="標楷體" w:hAnsi="標楷體" w:cs="標楷體"/>
                <w:color w:val="000000"/>
              </w:rPr>
              <w:t>事服務機構</w:t>
            </w:r>
          </w:p>
          <w:p w14:paraId="6C9A8A10" w14:textId="77777777" w:rsidR="00401786" w:rsidRDefault="00401786" w:rsidP="000E757E">
            <w:pPr>
              <w:snapToGrid w:val="0"/>
              <w:spacing w:line="240" w:lineRule="atLeast"/>
              <w:rPr>
                <w:rFonts w:ascii="標楷體" w:eastAsia="標楷體" w:hAnsi="標楷體"/>
                <w:color w:val="000000"/>
              </w:rPr>
            </w:pPr>
          </w:p>
        </w:tc>
        <w:tc>
          <w:tcPr>
            <w:tcW w:w="871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AF7DD2"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0A7AE4CB" w14:textId="77777777" w:rsidR="00401786" w:rsidRDefault="00401786" w:rsidP="000E757E">
            <w:pPr>
              <w:snapToGrid w:val="0"/>
              <w:spacing w:line="240" w:lineRule="atLeast"/>
              <w:rPr>
                <w:rFonts w:ascii="標楷體" w:eastAsia="標楷體" w:hAnsi="標楷體"/>
                <w:color w:val="000000"/>
              </w:rPr>
            </w:pPr>
          </w:p>
          <w:p w14:paraId="27A7EAD5"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E8B1DC"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FC45DF" w14:textId="77777777" w:rsidR="00401786" w:rsidRDefault="00401786" w:rsidP="000E757E">
            <w:pPr>
              <w:widowControl/>
              <w:snapToGrid w:val="0"/>
              <w:spacing w:line="240" w:lineRule="atLeast"/>
              <w:rPr>
                <w:rFonts w:ascii="標楷體" w:eastAsia="標楷體" w:hAnsi="標楷體"/>
                <w:color w:val="000000"/>
              </w:rPr>
            </w:pPr>
          </w:p>
          <w:p w14:paraId="05116D15"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9275C8"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75BD2124" w14:textId="77777777" w:rsidR="00401786" w:rsidRDefault="00401786" w:rsidP="000E757E">
            <w:pPr>
              <w:widowControl/>
              <w:snapToGrid w:val="0"/>
              <w:spacing w:line="240" w:lineRule="atLeast"/>
              <w:rPr>
                <w:rFonts w:ascii="標楷體" w:eastAsia="標楷體" w:hAnsi="標楷體"/>
                <w:color w:val="000000"/>
              </w:rPr>
            </w:pPr>
          </w:p>
        </w:tc>
        <w:tc>
          <w:tcPr>
            <w:tcW w:w="842"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AD57B6" w14:textId="77777777" w:rsidR="00401786" w:rsidRDefault="00401786" w:rsidP="000E757E">
            <w:pPr>
              <w:widowControl/>
              <w:snapToGrid w:val="0"/>
              <w:spacing w:line="240" w:lineRule="atLeast"/>
              <w:rPr>
                <w:rFonts w:ascii="標楷體" w:eastAsia="標楷體" w:hAnsi="標楷體"/>
                <w:color w:val="000000"/>
              </w:rPr>
            </w:pPr>
          </w:p>
          <w:p w14:paraId="5C0AE836" w14:textId="77777777" w:rsidR="00401786" w:rsidRDefault="00401786" w:rsidP="000E757E">
            <w:pPr>
              <w:snapToGrid w:val="0"/>
              <w:spacing w:line="240" w:lineRule="atLeast"/>
              <w:rPr>
                <w:rFonts w:ascii="標楷體" w:eastAsia="標楷體" w:hAnsi="標楷體"/>
                <w:color w:val="000000"/>
              </w:rPr>
            </w:pPr>
          </w:p>
        </w:tc>
        <w:tc>
          <w:tcPr>
            <w:tcW w:w="36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7B4CA4" w14:textId="77777777" w:rsidR="00401786" w:rsidRDefault="00C64FB3" w:rsidP="000E757E">
            <w:pPr>
              <w:snapToGrid w:val="0"/>
              <w:spacing w:line="240" w:lineRule="atLeast"/>
            </w:pPr>
            <w:r>
              <w:rPr>
                <w:rFonts w:ascii="標楷體" w:eastAsia="標楷體" w:hAnsi="標楷體" w:cs="標楷體"/>
                <w:color w:val="000000"/>
              </w:rPr>
              <w:t>科課長</w:t>
            </w:r>
          </w:p>
        </w:tc>
        <w:tc>
          <w:tcPr>
            <w:tcW w:w="842"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37EE11" w14:textId="77777777" w:rsidR="00401786" w:rsidRDefault="00401786" w:rsidP="000E757E">
            <w:pPr>
              <w:widowControl/>
              <w:snapToGrid w:val="0"/>
              <w:spacing w:line="240" w:lineRule="atLeast"/>
              <w:rPr>
                <w:rFonts w:ascii="標楷體" w:eastAsia="標楷體" w:hAnsi="標楷體"/>
                <w:color w:val="000000"/>
              </w:rPr>
            </w:pPr>
          </w:p>
          <w:p w14:paraId="4EB4EEBF" w14:textId="77777777" w:rsidR="00401786" w:rsidRDefault="00401786" w:rsidP="000E757E">
            <w:pPr>
              <w:snapToGrid w:val="0"/>
              <w:spacing w:line="240" w:lineRule="atLeast"/>
              <w:rPr>
                <w:rFonts w:ascii="標楷體" w:eastAsia="標楷體" w:hAnsi="標楷體"/>
                <w:color w:val="00000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37F6DF"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1406888E" w14:textId="77777777" w:rsidR="00401786" w:rsidRDefault="00401786" w:rsidP="000E757E">
            <w:pPr>
              <w:widowControl/>
              <w:snapToGrid w:val="0"/>
              <w:spacing w:line="240" w:lineRule="atLeast"/>
              <w:rPr>
                <w:rFonts w:ascii="標楷體" w:eastAsia="標楷體" w:hAnsi="標楷體"/>
                <w:color w:val="000000"/>
              </w:rPr>
            </w:pPr>
          </w:p>
        </w:tc>
        <w:tc>
          <w:tcPr>
            <w:tcW w:w="94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B16442" w14:textId="77777777" w:rsidR="00401786" w:rsidRDefault="00401786" w:rsidP="000E757E">
            <w:pPr>
              <w:widowControl/>
              <w:snapToGrid w:val="0"/>
              <w:spacing w:line="240" w:lineRule="atLeast"/>
              <w:rPr>
                <w:rFonts w:ascii="標楷體" w:eastAsia="標楷體" w:hAnsi="標楷體"/>
                <w:color w:val="000000"/>
              </w:rPr>
            </w:pPr>
          </w:p>
          <w:p w14:paraId="05602C6B" w14:textId="77777777" w:rsidR="00401786" w:rsidRDefault="00401786" w:rsidP="000E757E">
            <w:pPr>
              <w:snapToGrid w:val="0"/>
              <w:spacing w:line="240" w:lineRule="atLeast"/>
              <w:rPr>
                <w:rFonts w:ascii="標楷體" w:eastAsia="標楷體" w:hAnsi="標楷體"/>
                <w:color w:val="000000"/>
              </w:rPr>
            </w:pPr>
          </w:p>
        </w:tc>
      </w:tr>
    </w:tbl>
    <w:p w14:paraId="46FDAE28" w14:textId="77777777" w:rsidR="00401786" w:rsidRPr="00F37647" w:rsidRDefault="00C64FB3" w:rsidP="000E757E">
      <w:pPr>
        <w:pStyle w:val="Web"/>
        <w:pageBreakBefore/>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附表九之七：全民健康保險使用抗癌藥品</w:t>
      </w:r>
      <w:r w:rsidRPr="00F37647">
        <w:rPr>
          <w:rFonts w:ascii="標楷體" w:eastAsia="標楷體" w:hAnsi="標楷體" w:cs="Times New Roman"/>
          <w:b/>
          <w:bCs/>
          <w:color w:val="000000"/>
        </w:rPr>
        <w:t>Sorafenib</w:t>
      </w:r>
      <w:r w:rsidRPr="00F37647">
        <w:rPr>
          <w:rFonts w:ascii="標楷體" w:eastAsia="標楷體" w:hAnsi="標楷體" w:cs="標楷體"/>
          <w:b/>
          <w:bCs/>
          <w:color w:val="000000"/>
        </w:rPr>
        <w:t>申請表</w:t>
      </w:r>
    </w:p>
    <w:tbl>
      <w:tblPr>
        <w:tblW w:w="14545" w:type="dxa"/>
        <w:tblInd w:w="170" w:type="dxa"/>
        <w:tblLayout w:type="fixed"/>
        <w:tblCellMar>
          <w:left w:w="10" w:type="dxa"/>
          <w:right w:w="10" w:type="dxa"/>
        </w:tblCellMar>
        <w:tblLook w:val="0000" w:firstRow="0" w:lastRow="0" w:firstColumn="0" w:lastColumn="0" w:noHBand="0" w:noVBand="0"/>
      </w:tblPr>
      <w:tblGrid>
        <w:gridCol w:w="369"/>
        <w:gridCol w:w="75"/>
        <w:gridCol w:w="404"/>
        <w:gridCol w:w="575"/>
        <w:gridCol w:w="825"/>
        <w:gridCol w:w="740"/>
        <w:gridCol w:w="285"/>
        <w:gridCol w:w="430"/>
        <w:gridCol w:w="851"/>
        <w:gridCol w:w="109"/>
        <w:gridCol w:w="1319"/>
        <w:gridCol w:w="602"/>
        <w:gridCol w:w="361"/>
        <w:gridCol w:w="963"/>
        <w:gridCol w:w="774"/>
        <w:gridCol w:w="325"/>
        <w:gridCol w:w="387"/>
        <w:gridCol w:w="204"/>
        <w:gridCol w:w="126"/>
        <w:gridCol w:w="235"/>
        <w:gridCol w:w="146"/>
        <w:gridCol w:w="697"/>
        <w:gridCol w:w="361"/>
        <w:gridCol w:w="126"/>
        <w:gridCol w:w="362"/>
        <w:gridCol w:w="9"/>
        <w:gridCol w:w="349"/>
        <w:gridCol w:w="364"/>
        <w:gridCol w:w="12"/>
        <w:gridCol w:w="230"/>
        <w:gridCol w:w="605"/>
        <w:gridCol w:w="377"/>
        <w:gridCol w:w="948"/>
      </w:tblGrid>
      <w:tr w:rsidR="00401786" w14:paraId="27F9FB19" w14:textId="77777777">
        <w:trPr>
          <w:cantSplit/>
          <w:trHeight w:hRule="exact" w:val="348"/>
        </w:trPr>
        <w:tc>
          <w:tcPr>
            <w:tcW w:w="2248"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D0F14AB"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36"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98995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3EB747"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53"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0A0C7D"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8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8DEE40"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366F03CF" w14:textId="77777777">
        <w:trPr>
          <w:cantSplit/>
          <w:trHeight w:val="436"/>
        </w:trPr>
        <w:tc>
          <w:tcPr>
            <w:tcW w:w="4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22AC7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9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4069BE"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255D30"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74D8F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0B5915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6094B2BB"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439995C3"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132DE8"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D515D7" w14:textId="77777777" w:rsidR="00401786" w:rsidRDefault="00401786" w:rsidP="000E757E">
            <w:pPr>
              <w:snapToGrid w:val="0"/>
              <w:spacing w:line="240" w:lineRule="atLeast"/>
              <w:rPr>
                <w:rFonts w:ascii="標楷體" w:eastAsia="標楷體" w:hAnsi="標楷體"/>
                <w:color w:val="000000"/>
                <w:sz w:val="20"/>
                <w:szCs w:val="20"/>
              </w:rPr>
            </w:pP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B3BCFD"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2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65EE41" w14:textId="77777777" w:rsidR="00401786" w:rsidRDefault="00401786" w:rsidP="000E757E">
            <w:pPr>
              <w:snapToGrid w:val="0"/>
              <w:spacing w:line="240" w:lineRule="atLeast"/>
              <w:rPr>
                <w:rFonts w:ascii="標楷體" w:eastAsia="標楷體" w:hAnsi="標楷體"/>
                <w:color w:val="000000"/>
                <w:sz w:val="20"/>
                <w:szCs w:val="20"/>
              </w:rPr>
            </w:pPr>
          </w:p>
        </w:tc>
        <w:tc>
          <w:tcPr>
            <w:tcW w:w="18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72243B"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51E4DC80"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EBF802" w14:textId="77777777" w:rsidR="00401786" w:rsidRDefault="00401786" w:rsidP="000E757E">
            <w:pPr>
              <w:snapToGrid w:val="0"/>
              <w:spacing w:line="240" w:lineRule="atLeast"/>
              <w:rPr>
                <w:rFonts w:ascii="標楷體" w:eastAsia="標楷體" w:hAnsi="標楷體"/>
                <w:color w:val="000000"/>
                <w:sz w:val="20"/>
                <w:szCs w:val="20"/>
              </w:rPr>
            </w:pPr>
          </w:p>
        </w:tc>
        <w:tc>
          <w:tcPr>
            <w:tcW w:w="109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9658F1"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08DEE4D4"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16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FD533C"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2FEB8DE" w14:textId="77777777">
        <w:trPr>
          <w:cantSplit/>
          <w:trHeight w:val="413"/>
        </w:trPr>
        <w:tc>
          <w:tcPr>
            <w:tcW w:w="4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F1DBF6" w14:textId="77777777" w:rsidR="00401786" w:rsidRDefault="00401786" w:rsidP="000E757E">
            <w:pPr>
              <w:snapToGrid w:val="0"/>
              <w:spacing w:line="240" w:lineRule="atLeast"/>
              <w:rPr>
                <w:rFonts w:ascii="標楷體" w:eastAsia="標楷體" w:hAnsi="標楷體"/>
                <w:color w:val="000000"/>
                <w:sz w:val="20"/>
                <w:szCs w:val="20"/>
              </w:rPr>
            </w:pPr>
          </w:p>
        </w:tc>
        <w:tc>
          <w:tcPr>
            <w:tcW w:w="9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905C4F"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322AC7"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9FD33B" w14:textId="77777777" w:rsidR="00401786" w:rsidRDefault="00401786" w:rsidP="000E757E">
            <w:pPr>
              <w:snapToGrid w:val="0"/>
              <w:spacing w:line="240" w:lineRule="atLeast"/>
              <w:rPr>
                <w:rFonts w:ascii="標楷體" w:eastAsia="標楷體" w:hAnsi="標楷體"/>
                <w:color w:val="000000"/>
                <w:sz w:val="20"/>
                <w:szCs w:val="20"/>
              </w:rPr>
            </w:pPr>
          </w:p>
        </w:tc>
        <w:tc>
          <w:tcPr>
            <w:tcW w:w="12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776E74"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06D520E6"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0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5BD958" w14:textId="77777777" w:rsidR="00401786" w:rsidRDefault="00401786" w:rsidP="000E757E">
            <w:pPr>
              <w:snapToGrid w:val="0"/>
              <w:spacing w:line="240" w:lineRule="atLeast"/>
              <w:rPr>
                <w:rFonts w:ascii="標楷體" w:eastAsia="標楷體" w:hAnsi="標楷體"/>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ADCAE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0D4CDF46"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1E497C" w14:textId="77777777" w:rsidR="00401786" w:rsidRDefault="00401786" w:rsidP="000E757E">
            <w:pPr>
              <w:snapToGrid w:val="0"/>
              <w:spacing w:line="240" w:lineRule="atLeast"/>
              <w:rPr>
                <w:rFonts w:ascii="標楷體" w:eastAsia="標楷體" w:hAnsi="標楷體"/>
                <w:color w:val="000000"/>
                <w:sz w:val="20"/>
                <w:szCs w:val="20"/>
              </w:rPr>
            </w:pPr>
          </w:p>
        </w:tc>
        <w:tc>
          <w:tcPr>
            <w:tcW w:w="18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F5F7B4"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3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2CB68A"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0A63B99B"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15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D43152" w14:textId="77777777" w:rsidR="00401786" w:rsidRDefault="00401786" w:rsidP="000E757E">
            <w:pPr>
              <w:snapToGrid w:val="0"/>
              <w:spacing w:line="240" w:lineRule="atLeast"/>
              <w:rPr>
                <w:rFonts w:ascii="標楷體" w:eastAsia="標楷體" w:hAnsi="標楷體"/>
                <w:color w:val="000000"/>
                <w:sz w:val="20"/>
                <w:szCs w:val="20"/>
              </w:rPr>
            </w:pPr>
          </w:p>
        </w:tc>
        <w:tc>
          <w:tcPr>
            <w:tcW w:w="96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74F19B"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65807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9EBCD77" w14:textId="77777777">
        <w:trPr>
          <w:cantSplit/>
          <w:trHeight w:val="420"/>
        </w:trPr>
        <w:tc>
          <w:tcPr>
            <w:tcW w:w="1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06C961"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28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6878F1"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F45BD7"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01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7419FA" w14:textId="77777777" w:rsidR="00401786" w:rsidRDefault="00401786" w:rsidP="000E757E">
            <w:pPr>
              <w:snapToGrid w:val="0"/>
              <w:spacing w:line="240" w:lineRule="atLeast"/>
              <w:rPr>
                <w:rFonts w:ascii="標楷體" w:eastAsia="標楷體" w:hAnsi="標楷體"/>
                <w:color w:val="000000"/>
                <w:sz w:val="20"/>
                <w:szCs w:val="20"/>
              </w:rPr>
            </w:pPr>
          </w:p>
        </w:tc>
        <w:tc>
          <w:tcPr>
            <w:tcW w:w="1423"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5619D"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40"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34E9D0E"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5464E4F5" w14:textId="77777777">
        <w:trPr>
          <w:cantSplit/>
          <w:trHeight w:val="415"/>
        </w:trPr>
        <w:tc>
          <w:tcPr>
            <w:tcW w:w="1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3654F4"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85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65F5D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409"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9469AE"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A723BB"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用法</w:t>
            </w:r>
          </w:p>
          <w:p w14:paraId="1212AFE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F1F046"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699BADB4"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440"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463D166"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4959DCF2" w14:textId="77777777">
        <w:trPr>
          <w:cantSplit/>
          <w:trHeight w:val="2942"/>
        </w:trPr>
        <w:tc>
          <w:tcPr>
            <w:tcW w:w="1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B07FF8" w14:textId="77777777" w:rsidR="00401786" w:rsidRDefault="00C64FB3" w:rsidP="000E757E">
            <w:pPr>
              <w:snapToGrid w:val="0"/>
              <w:spacing w:before="180" w:line="240" w:lineRule="atLeast"/>
              <w:rPr>
                <w:rFonts w:ascii="標楷體" w:eastAsia="標楷體" w:hAnsi="標楷體"/>
              </w:rPr>
            </w:pPr>
            <w:proofErr w:type="spellStart"/>
            <w:r>
              <w:rPr>
                <w:rFonts w:ascii="標楷體" w:eastAsia="標楷體" w:hAnsi="標楷體"/>
              </w:rPr>
              <w:t>Nexavar</w:t>
            </w:r>
            <w:proofErr w:type="spellEnd"/>
          </w:p>
          <w:p w14:paraId="372A1553" w14:textId="77777777" w:rsidR="00401786" w:rsidRDefault="00C64FB3" w:rsidP="000E757E">
            <w:pPr>
              <w:snapToGrid w:val="0"/>
              <w:spacing w:before="180" w:line="240" w:lineRule="atLeast"/>
            </w:pPr>
            <w:r>
              <w:rPr>
                <w:rFonts w:ascii="標楷體" w:eastAsia="標楷體" w:hAnsi="標楷體"/>
                <w:color w:val="000000"/>
                <w:sz w:val="20"/>
                <w:szCs w:val="20"/>
              </w:rPr>
              <w:t>□B024727100</w:t>
            </w:r>
          </w:p>
          <w:p w14:paraId="6480EEE3" w14:textId="77777777" w:rsidR="00401786" w:rsidRDefault="00401786" w:rsidP="000E757E">
            <w:pPr>
              <w:snapToGrid w:val="0"/>
              <w:spacing w:before="50" w:line="240" w:lineRule="atLeast"/>
              <w:rPr>
                <w:rFonts w:ascii="標楷體" w:eastAsia="標楷體" w:hAnsi="標楷體"/>
                <w:color w:val="000000"/>
                <w:sz w:val="20"/>
                <w:szCs w:val="20"/>
              </w:rPr>
            </w:pPr>
          </w:p>
          <w:p w14:paraId="41595D38"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85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5A169F" w14:textId="77777777" w:rsidR="00401786" w:rsidRDefault="00C64FB3" w:rsidP="000E757E">
            <w:pPr>
              <w:snapToGrid w:val="0"/>
              <w:spacing w:before="180" w:line="240" w:lineRule="atLeast"/>
              <w:ind w:left="320" w:hanging="200"/>
            </w:pPr>
            <w:r>
              <w:rPr>
                <w:rFonts w:ascii="標楷體" w:eastAsia="標楷體" w:hAnsi="標楷體" w:cs="標楷體"/>
                <w:color w:val="000000"/>
                <w:sz w:val="20"/>
                <w:szCs w:val="20"/>
              </w:rPr>
              <w:t>□第一次申請</w:t>
            </w:r>
          </w:p>
          <w:p w14:paraId="47228D1B" w14:textId="77777777" w:rsidR="00401786" w:rsidRDefault="00401786" w:rsidP="000E757E">
            <w:pPr>
              <w:snapToGrid w:val="0"/>
              <w:spacing w:before="180" w:line="240" w:lineRule="atLeast"/>
              <w:ind w:left="220" w:hanging="100"/>
              <w:rPr>
                <w:rFonts w:ascii="標楷體" w:eastAsia="標楷體" w:hAnsi="標楷體" w:cs="標楷體"/>
                <w:color w:val="000000"/>
                <w:sz w:val="20"/>
                <w:szCs w:val="20"/>
              </w:rPr>
            </w:pPr>
          </w:p>
          <w:p w14:paraId="138C1941" w14:textId="77777777" w:rsidR="00401786" w:rsidRDefault="00C64FB3" w:rsidP="000E757E">
            <w:pPr>
              <w:snapToGrid w:val="0"/>
              <w:spacing w:before="180" w:line="240" w:lineRule="atLeast"/>
              <w:ind w:left="220" w:hanging="100"/>
            </w:pPr>
            <w:r>
              <w:rPr>
                <w:rFonts w:ascii="標楷體" w:eastAsia="標楷體" w:hAnsi="標楷體" w:cs="標楷體"/>
                <w:color w:val="000000"/>
                <w:sz w:val="20"/>
                <w:szCs w:val="20"/>
              </w:rPr>
              <w:t>□治療後再次申請</w:t>
            </w:r>
          </w:p>
          <w:p w14:paraId="00B1A14B" w14:textId="77777777" w:rsidR="00401786" w:rsidRDefault="00401786" w:rsidP="000E757E">
            <w:pPr>
              <w:pStyle w:val="a7"/>
              <w:spacing w:before="50" w:line="240" w:lineRule="atLeast"/>
              <w:rPr>
                <w:rFonts w:ascii="標楷體" w:eastAsia="標楷體" w:hAnsi="標楷體"/>
                <w:color w:val="000000"/>
              </w:rPr>
            </w:pPr>
          </w:p>
        </w:tc>
        <w:tc>
          <w:tcPr>
            <w:tcW w:w="5409"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56315" w14:textId="77777777" w:rsidR="00401786" w:rsidRDefault="00C64FB3" w:rsidP="000E757E">
            <w:pPr>
              <w:snapToGrid w:val="0"/>
              <w:spacing w:line="240" w:lineRule="atLeast"/>
              <w:ind w:hanging="200"/>
              <w:jc w:val="both"/>
              <w:rPr>
                <w:rFonts w:ascii="標楷體" w:eastAsia="標楷體" w:hAnsi="標楷體"/>
                <w:color w:val="000000"/>
                <w:sz w:val="20"/>
                <w:szCs w:val="20"/>
              </w:rPr>
            </w:pPr>
            <w:r>
              <w:rPr>
                <w:rFonts w:ascii="標楷體" w:eastAsia="標楷體" w:hAnsi="標楷體"/>
                <w:color w:val="000000"/>
                <w:sz w:val="20"/>
                <w:szCs w:val="20"/>
              </w:rPr>
              <w:t>1.</w:t>
            </w:r>
            <w:proofErr w:type="gramStart"/>
            <w:r>
              <w:rPr>
                <w:rFonts w:ascii="標楷體" w:eastAsia="標楷體" w:hAnsi="標楷體"/>
                <w:color w:val="000000"/>
                <w:sz w:val="20"/>
                <w:szCs w:val="20"/>
              </w:rPr>
              <w:t>晚期腎</w:t>
            </w:r>
            <w:proofErr w:type="gramEnd"/>
            <w:r>
              <w:rPr>
                <w:rFonts w:ascii="標楷體" w:eastAsia="標楷體" w:hAnsi="標楷體"/>
                <w:color w:val="000000"/>
                <w:sz w:val="20"/>
                <w:szCs w:val="20"/>
              </w:rPr>
              <w:t>細胞癌部分：</w:t>
            </w:r>
          </w:p>
          <w:p w14:paraId="4D36F63E" w14:textId="77777777" w:rsidR="00401786" w:rsidRDefault="00C64FB3" w:rsidP="000E757E">
            <w:pPr>
              <w:snapToGrid w:val="0"/>
              <w:spacing w:line="240" w:lineRule="atLeast"/>
              <w:ind w:hanging="324"/>
            </w:pPr>
            <w:r>
              <w:rPr>
                <w:rFonts w:ascii="標楷體" w:eastAsia="標楷體" w:hAnsi="標楷體"/>
                <w:kern w:val="0"/>
                <w:sz w:val="20"/>
                <w:szCs w:val="20"/>
              </w:rPr>
              <w:t>(1)</w:t>
            </w:r>
            <w:proofErr w:type="gramStart"/>
            <w:r>
              <w:rPr>
                <w:rFonts w:ascii="標楷體" w:eastAsia="標楷體" w:hAnsi="標楷體"/>
                <w:kern w:val="0"/>
                <w:sz w:val="20"/>
                <w:szCs w:val="20"/>
              </w:rPr>
              <w:t>晚期腎細胞癌且</w:t>
            </w:r>
            <w:proofErr w:type="gramEnd"/>
            <w:r>
              <w:rPr>
                <w:rFonts w:ascii="標楷體" w:eastAsia="標楷體" w:hAnsi="標楷體"/>
                <w:kern w:val="0"/>
                <w:sz w:val="20"/>
                <w:szCs w:val="20"/>
              </w:rPr>
              <w:t>已接受interferon-alpha或interleukin-2治療失敗，或不適合以上兩種藥物治療之病患。</w:t>
            </w:r>
            <w:r>
              <w:rPr>
                <w:rFonts w:ascii="標楷體" w:eastAsia="標楷體" w:hAnsi="標楷體"/>
                <w:sz w:val="20"/>
                <w:szCs w:val="20"/>
              </w:rPr>
              <w:t>不適合以上兩種藥物治療之病患，須符合cytokine禁忌症者得直接使用sorafenib。但須列舉出所符合之禁忌症及檢附相關證明。</w:t>
            </w:r>
          </w:p>
          <w:p w14:paraId="5091971E" w14:textId="77777777" w:rsidR="00401786" w:rsidRDefault="00C64FB3" w:rsidP="000E757E">
            <w:pPr>
              <w:snapToGrid w:val="0"/>
              <w:spacing w:line="240" w:lineRule="atLeast"/>
              <w:ind w:hanging="308"/>
              <w:jc w:val="both"/>
            </w:pPr>
            <w:r>
              <w:rPr>
                <w:rFonts w:ascii="標楷體" w:eastAsia="標楷體" w:hAnsi="標楷體"/>
                <w:color w:val="000000"/>
                <w:sz w:val="20"/>
                <w:szCs w:val="20"/>
              </w:rPr>
              <w:t>(2)</w:t>
            </w:r>
            <w:r>
              <w:rPr>
                <w:rFonts w:ascii="標楷體" w:eastAsia="標楷體" w:hAnsi="標楷體"/>
                <w:kern w:val="0"/>
                <w:sz w:val="20"/>
                <w:szCs w:val="20"/>
              </w:rPr>
              <w:t>無效</w:t>
            </w:r>
            <w:r>
              <w:rPr>
                <w:rFonts w:ascii="標楷體" w:eastAsia="標楷體" w:hAnsi="標楷體"/>
                <w:sz w:val="20"/>
                <w:szCs w:val="20"/>
              </w:rPr>
              <w:t>後則</w:t>
            </w:r>
            <w:proofErr w:type="gramStart"/>
            <w:r>
              <w:rPr>
                <w:rFonts w:ascii="標楷體" w:eastAsia="標楷體" w:hAnsi="標楷體"/>
                <w:sz w:val="20"/>
                <w:szCs w:val="20"/>
              </w:rPr>
              <w:t>不</w:t>
            </w:r>
            <w:proofErr w:type="gramEnd"/>
            <w:r>
              <w:rPr>
                <w:rFonts w:ascii="標楷體" w:eastAsia="標楷體" w:hAnsi="標楷體"/>
                <w:sz w:val="20"/>
                <w:szCs w:val="20"/>
              </w:rPr>
              <w:t>給付</w:t>
            </w:r>
            <w:proofErr w:type="spellStart"/>
            <w:r>
              <w:rPr>
                <w:rFonts w:ascii="標楷體" w:eastAsia="標楷體" w:hAnsi="標楷體"/>
                <w:sz w:val="20"/>
                <w:szCs w:val="20"/>
              </w:rPr>
              <w:t>temsirolimus</w:t>
            </w:r>
            <w:proofErr w:type="spellEnd"/>
            <w:r>
              <w:rPr>
                <w:rFonts w:ascii="標楷體" w:eastAsia="標楷體" w:hAnsi="標楷體"/>
                <w:sz w:val="20"/>
                <w:szCs w:val="20"/>
              </w:rPr>
              <w:t>及</w:t>
            </w:r>
            <w:proofErr w:type="gramStart"/>
            <w:r>
              <w:rPr>
                <w:rFonts w:ascii="標楷體" w:eastAsia="標楷體" w:hAnsi="標楷體"/>
                <w:sz w:val="20"/>
                <w:szCs w:val="20"/>
              </w:rPr>
              <w:t>其他酪胺酸激酶</w:t>
            </w:r>
            <w:proofErr w:type="gramEnd"/>
            <w:r>
              <w:rPr>
                <w:rFonts w:ascii="標楷體" w:eastAsia="標楷體" w:hAnsi="標楷體"/>
                <w:sz w:val="20"/>
                <w:szCs w:val="20"/>
              </w:rPr>
              <w:t>阻斷劑（</w:t>
            </w:r>
            <w:proofErr w:type="spellStart"/>
            <w:r>
              <w:rPr>
                <w:rFonts w:ascii="標楷體" w:eastAsia="標楷體" w:hAnsi="標楷體"/>
                <w:sz w:val="20"/>
                <w:szCs w:val="20"/>
              </w:rPr>
              <w:t>tyrosinekinaseinhibitor,TKI</w:t>
            </w:r>
            <w:proofErr w:type="spellEnd"/>
            <w:r>
              <w:rPr>
                <w:rFonts w:ascii="標楷體" w:eastAsia="標楷體" w:hAnsi="標楷體"/>
                <w:sz w:val="20"/>
                <w:szCs w:val="20"/>
              </w:rPr>
              <w:t>）。</w:t>
            </w:r>
          </w:p>
          <w:p w14:paraId="7C5F37A1" w14:textId="77777777" w:rsidR="00401786" w:rsidRDefault="00C64FB3" w:rsidP="000E757E">
            <w:pPr>
              <w:snapToGrid w:val="0"/>
              <w:spacing w:line="240" w:lineRule="atLeast"/>
              <w:ind w:hanging="310"/>
              <w:jc w:val="both"/>
            </w:pPr>
            <w:r>
              <w:rPr>
                <w:rFonts w:ascii="標楷體" w:eastAsia="標楷體" w:hAnsi="標楷體"/>
                <w:color w:val="000000"/>
                <w:sz w:val="20"/>
                <w:szCs w:val="20"/>
              </w:rPr>
              <w:t>(3)需經事前審查</w:t>
            </w:r>
            <w:r>
              <w:rPr>
                <w:rFonts w:ascii="標楷體" w:eastAsia="標楷體" w:hAnsi="標楷體"/>
                <w:kern w:val="0"/>
                <w:sz w:val="20"/>
                <w:szCs w:val="20"/>
              </w:rPr>
              <w:t>核准</w:t>
            </w:r>
            <w:r>
              <w:rPr>
                <w:rFonts w:ascii="標楷體" w:eastAsia="標楷體" w:hAnsi="標楷體"/>
                <w:color w:val="000000"/>
                <w:sz w:val="20"/>
                <w:szCs w:val="20"/>
              </w:rPr>
              <w:t>後使用，每次申請之療程以3個月為限，送審時需檢送影像資料，每3個月評估一次。</w:t>
            </w:r>
          </w:p>
          <w:p w14:paraId="6BE6249B" w14:textId="77777777" w:rsidR="00401786" w:rsidRDefault="00C64FB3" w:rsidP="000E757E">
            <w:pPr>
              <w:snapToGrid w:val="0"/>
              <w:spacing w:line="240" w:lineRule="atLeast"/>
              <w:ind w:hanging="236"/>
              <w:jc w:val="both"/>
              <w:rPr>
                <w:rFonts w:ascii="標楷體" w:eastAsia="標楷體" w:hAnsi="標楷體"/>
                <w:color w:val="000000"/>
                <w:sz w:val="20"/>
                <w:szCs w:val="20"/>
              </w:rPr>
            </w:pPr>
            <w:r>
              <w:rPr>
                <w:rFonts w:ascii="標楷體" w:eastAsia="標楷體" w:hAnsi="標楷體"/>
                <w:color w:val="000000"/>
                <w:sz w:val="20"/>
                <w:szCs w:val="20"/>
              </w:rPr>
              <w:t>2.</w:t>
            </w:r>
            <w:proofErr w:type="gramStart"/>
            <w:r>
              <w:rPr>
                <w:rFonts w:ascii="標楷體" w:eastAsia="標楷體" w:hAnsi="標楷體"/>
                <w:color w:val="000000"/>
                <w:sz w:val="20"/>
                <w:szCs w:val="20"/>
              </w:rPr>
              <w:t>晚期肝</w:t>
            </w:r>
            <w:proofErr w:type="gramEnd"/>
            <w:r>
              <w:rPr>
                <w:rFonts w:ascii="標楷體" w:eastAsia="標楷體" w:hAnsi="標楷體"/>
                <w:color w:val="000000"/>
                <w:sz w:val="20"/>
                <w:szCs w:val="20"/>
              </w:rPr>
              <w:t>細胞癌部分：</w:t>
            </w:r>
          </w:p>
          <w:p w14:paraId="771737BB" w14:textId="77777777" w:rsidR="00401786" w:rsidRDefault="00C64FB3" w:rsidP="000E757E">
            <w:pPr>
              <w:snapToGrid w:val="0"/>
              <w:spacing w:line="240" w:lineRule="atLeast"/>
              <w:ind w:hanging="306"/>
              <w:jc w:val="both"/>
              <w:rPr>
                <w:rFonts w:ascii="標楷體" w:eastAsia="標楷體" w:hAnsi="標楷體"/>
                <w:color w:val="000000"/>
                <w:sz w:val="20"/>
                <w:szCs w:val="20"/>
              </w:rPr>
            </w:pPr>
            <w:r>
              <w:rPr>
                <w:rFonts w:ascii="標楷體" w:eastAsia="標楷體" w:hAnsi="標楷體"/>
                <w:color w:val="000000"/>
                <w:sz w:val="20"/>
                <w:szCs w:val="20"/>
              </w:rPr>
              <w:t>(1)轉移性或無法手術切除且不適合局部治療或局部治療失敗之</w:t>
            </w:r>
            <w:proofErr w:type="gramStart"/>
            <w:r>
              <w:rPr>
                <w:rFonts w:ascii="標楷體" w:eastAsia="標楷體" w:hAnsi="標楷體"/>
                <w:color w:val="000000"/>
                <w:sz w:val="20"/>
                <w:szCs w:val="20"/>
              </w:rPr>
              <w:t>晚期肝</w:t>
            </w:r>
            <w:proofErr w:type="gramEnd"/>
            <w:r>
              <w:rPr>
                <w:rFonts w:ascii="標楷體" w:eastAsia="標楷體" w:hAnsi="標楷體"/>
                <w:color w:val="000000"/>
                <w:sz w:val="20"/>
                <w:szCs w:val="20"/>
              </w:rPr>
              <w:t>細胞癌，並符合下列條件之</w:t>
            </w:r>
            <w:proofErr w:type="gramStart"/>
            <w:r>
              <w:rPr>
                <w:rFonts w:ascii="標楷體" w:eastAsia="標楷體" w:hAnsi="標楷體"/>
                <w:color w:val="000000"/>
                <w:sz w:val="20"/>
                <w:szCs w:val="20"/>
              </w:rPr>
              <w:t>一</w:t>
            </w:r>
            <w:proofErr w:type="gramEnd"/>
            <w:r>
              <w:rPr>
                <w:rFonts w:ascii="標楷體" w:eastAsia="標楷體" w:hAnsi="標楷體"/>
                <w:color w:val="000000"/>
                <w:sz w:val="20"/>
                <w:szCs w:val="20"/>
              </w:rPr>
              <w:t>：</w:t>
            </w:r>
          </w:p>
          <w:p w14:paraId="50C1F0A7" w14:textId="77777777" w:rsidR="00401786" w:rsidRDefault="00C64FB3" w:rsidP="000E757E">
            <w:pPr>
              <w:snapToGrid w:val="0"/>
              <w:spacing w:line="240" w:lineRule="atLeast"/>
              <w:ind w:hanging="306"/>
              <w:jc w:val="both"/>
            </w:pPr>
            <w:r>
              <w:rPr>
                <w:rFonts w:ascii="標楷體" w:eastAsia="標楷體" w:hAnsi="標楷體" w:cs="新細明體"/>
                <w:color w:val="000000"/>
                <w:sz w:val="20"/>
                <w:szCs w:val="28"/>
              </w:rPr>
              <w:t>Ⅰ</w:t>
            </w:r>
            <w:r>
              <w:rPr>
                <w:rFonts w:ascii="標楷體" w:eastAsia="標楷體" w:hAnsi="標楷體"/>
                <w:color w:val="000000"/>
                <w:sz w:val="20"/>
                <w:szCs w:val="20"/>
              </w:rPr>
              <w:t>.</w:t>
            </w:r>
            <w:proofErr w:type="gramStart"/>
            <w:r>
              <w:rPr>
                <w:rFonts w:ascii="標楷體" w:eastAsia="標楷體" w:hAnsi="標楷體"/>
                <w:color w:val="000000"/>
                <w:sz w:val="20"/>
                <w:szCs w:val="20"/>
              </w:rPr>
              <w:t>肝外轉移</w:t>
            </w:r>
            <w:proofErr w:type="gramEnd"/>
            <w:r>
              <w:rPr>
                <w:rFonts w:ascii="標楷體" w:eastAsia="標楷體" w:hAnsi="標楷體"/>
                <w:color w:val="000000"/>
                <w:sz w:val="20"/>
                <w:szCs w:val="20"/>
              </w:rPr>
              <w:t>（遠端轉移或肝外淋巴結侵犯）的Child-</w:t>
            </w:r>
            <w:proofErr w:type="spellStart"/>
            <w:r>
              <w:rPr>
                <w:rFonts w:ascii="標楷體" w:eastAsia="標楷體" w:hAnsi="標楷體"/>
                <w:color w:val="000000"/>
                <w:sz w:val="20"/>
                <w:szCs w:val="20"/>
              </w:rPr>
              <w:t>PughAclass</w:t>
            </w:r>
            <w:proofErr w:type="spellEnd"/>
            <w:r>
              <w:rPr>
                <w:rFonts w:ascii="標楷體" w:eastAsia="標楷體" w:hAnsi="標楷體"/>
                <w:color w:val="000000"/>
                <w:sz w:val="20"/>
                <w:szCs w:val="20"/>
              </w:rPr>
              <w:t>患者。</w:t>
            </w:r>
          </w:p>
          <w:p w14:paraId="3B3A09EA" w14:textId="77777777" w:rsidR="00401786" w:rsidRDefault="00C64FB3" w:rsidP="000E757E">
            <w:pPr>
              <w:snapToGrid w:val="0"/>
              <w:spacing w:line="240" w:lineRule="atLeast"/>
              <w:ind w:hanging="304"/>
              <w:jc w:val="both"/>
            </w:pPr>
            <w:r>
              <w:rPr>
                <w:rFonts w:ascii="標楷體" w:eastAsia="標楷體" w:hAnsi="標楷體" w:cs="新細明體"/>
                <w:color w:val="000000"/>
                <w:sz w:val="20"/>
              </w:rPr>
              <w:t>Ⅱ</w:t>
            </w:r>
            <w:r>
              <w:rPr>
                <w:rFonts w:ascii="標楷體" w:eastAsia="標楷體" w:hAnsi="標楷體"/>
                <w:color w:val="000000"/>
                <w:sz w:val="20"/>
                <w:szCs w:val="20"/>
              </w:rPr>
              <w:t>.大血管侵犯（腫瘤侵犯主門靜脈或侵犯左/右靜脈第一分支）的Child-</w:t>
            </w:r>
            <w:proofErr w:type="spellStart"/>
            <w:r>
              <w:rPr>
                <w:rFonts w:ascii="標楷體" w:eastAsia="標楷體" w:hAnsi="標楷體"/>
                <w:color w:val="000000"/>
                <w:sz w:val="20"/>
                <w:szCs w:val="20"/>
              </w:rPr>
              <w:t>PughAclass</w:t>
            </w:r>
            <w:proofErr w:type="spellEnd"/>
            <w:r>
              <w:rPr>
                <w:rFonts w:ascii="標楷體" w:eastAsia="標楷體" w:hAnsi="標楷體"/>
                <w:color w:val="000000"/>
                <w:sz w:val="20"/>
                <w:szCs w:val="20"/>
              </w:rPr>
              <w:t>患者。</w:t>
            </w:r>
          </w:p>
          <w:p w14:paraId="3C9B2848" w14:textId="77777777" w:rsidR="00401786" w:rsidRDefault="00C64FB3" w:rsidP="000E757E">
            <w:pPr>
              <w:snapToGrid w:val="0"/>
              <w:spacing w:line="240" w:lineRule="atLeast"/>
              <w:ind w:hanging="306"/>
              <w:jc w:val="both"/>
            </w:pPr>
            <w:r>
              <w:rPr>
                <w:rFonts w:ascii="標楷體" w:eastAsia="標楷體" w:hAnsi="標楷體"/>
                <w:color w:val="000000"/>
                <w:sz w:val="20"/>
                <w:szCs w:val="20"/>
              </w:rPr>
              <w:t>(2)需經事前審查核准後使用，每次申請之療程以2個月為限，送審時需檢送影像資料，每2個月評估一次。</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651691" w14:textId="77777777" w:rsidR="00401786" w:rsidRDefault="00401786" w:rsidP="000E757E">
            <w:pPr>
              <w:snapToGrid w:val="0"/>
              <w:spacing w:line="240" w:lineRule="atLeast"/>
              <w:rPr>
                <w:rFonts w:ascii="標楷體" w:eastAsia="標楷體" w:hAnsi="標楷體"/>
                <w:color w:val="000000"/>
                <w:sz w:val="20"/>
                <w:szCs w:val="20"/>
              </w:rPr>
            </w:pPr>
          </w:p>
        </w:tc>
        <w:tc>
          <w:tcPr>
            <w:tcW w:w="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F8C4B" w14:textId="77777777" w:rsidR="00401786" w:rsidRDefault="00401786" w:rsidP="000E757E">
            <w:pPr>
              <w:snapToGrid w:val="0"/>
              <w:spacing w:line="240" w:lineRule="atLeast"/>
              <w:rPr>
                <w:rFonts w:ascii="標楷體" w:eastAsia="標楷體" w:hAnsi="標楷體"/>
                <w:color w:val="000000"/>
                <w:sz w:val="20"/>
                <w:szCs w:val="20"/>
              </w:rPr>
            </w:pPr>
          </w:p>
        </w:tc>
        <w:tc>
          <w:tcPr>
            <w:tcW w:w="4440"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1560E5D" w14:textId="77777777" w:rsidR="00401786" w:rsidRDefault="00C64FB3">
            <w:pPr>
              <w:numPr>
                <w:ilvl w:val="0"/>
                <w:numId w:val="70"/>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2D71B5AA"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7E531737"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54AE9EBA"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4A0C2840"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4F71018E"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3D558A6A"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15ABD895" w14:textId="77777777" w:rsidR="00401786" w:rsidRDefault="00C64FB3">
            <w:pPr>
              <w:numPr>
                <w:ilvl w:val="0"/>
                <w:numId w:val="70"/>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7CA077F5" w14:textId="77777777" w:rsidR="00401786" w:rsidRDefault="00C64FB3">
            <w:pPr>
              <w:numPr>
                <w:ilvl w:val="0"/>
                <w:numId w:val="70"/>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3326FC2C" w14:textId="77777777" w:rsidR="00401786" w:rsidRDefault="00C64FB3">
            <w:pPr>
              <w:numPr>
                <w:ilvl w:val="0"/>
                <w:numId w:val="70"/>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79A4FBB9"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317EAFFD" w14:textId="77777777">
        <w:trPr>
          <w:cantSplit/>
          <w:trHeight w:val="564"/>
        </w:trPr>
        <w:tc>
          <w:tcPr>
            <w:tcW w:w="3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7E09C2" w14:textId="77777777" w:rsidR="00401786" w:rsidRDefault="00C64FB3" w:rsidP="009E653D">
            <w:pPr>
              <w:snapToGrid w:val="0"/>
              <w:spacing w:line="240" w:lineRule="atLeast"/>
              <w:ind w:left="113" w:right="113"/>
            </w:pPr>
            <w:r>
              <w:rPr>
                <w:rFonts w:ascii="標楷體" w:eastAsia="標楷體" w:hAnsi="標楷體" w:cs="標楷體"/>
                <w:color w:val="000000"/>
              </w:rPr>
              <w:t>注意事項</w:t>
            </w:r>
          </w:p>
        </w:tc>
        <w:tc>
          <w:tcPr>
            <w:tcW w:w="9736" w:type="dxa"/>
            <w:gridSpan w:val="20"/>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4902C9"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0FCB268"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「原受理編號」申復時填寫，初次送核不需填寫。</w:t>
            </w:r>
          </w:p>
          <w:p w14:paraId="5955345E"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w:t>
            </w:r>
            <w:r>
              <w:rPr>
                <w:rFonts w:ascii="標楷體" w:eastAsia="標楷體" w:hAnsi="標楷體"/>
                <w:color w:val="000000"/>
                <w:kern w:val="0"/>
                <w:sz w:val="20"/>
                <w:szCs w:val="20"/>
              </w:rPr>
              <w:lastRenderedPageBreak/>
              <w:t>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34C6EC44"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E62B8AE"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3C53CC18"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75C9893C"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0"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FA2BEC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E1E99F7" w14:textId="77777777">
        <w:trPr>
          <w:cantSplit/>
          <w:trHeight w:val="757"/>
        </w:trPr>
        <w:tc>
          <w:tcPr>
            <w:tcW w:w="3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325DDE" w14:textId="77777777" w:rsidR="00401786" w:rsidRDefault="00401786" w:rsidP="000E757E">
            <w:pPr>
              <w:snapToGrid w:val="0"/>
              <w:spacing w:line="240" w:lineRule="atLeast"/>
              <w:ind w:left="211" w:hanging="211"/>
              <w:rPr>
                <w:rFonts w:ascii="標楷體" w:eastAsia="標楷體" w:hAnsi="標楷體"/>
                <w:color w:val="000000"/>
              </w:rPr>
            </w:pPr>
          </w:p>
        </w:tc>
        <w:tc>
          <w:tcPr>
            <w:tcW w:w="9736"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7E922"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C7B53D" w14:textId="77777777" w:rsidR="00401786" w:rsidRDefault="00401786" w:rsidP="000E757E">
            <w:pPr>
              <w:snapToGrid w:val="0"/>
              <w:spacing w:line="240" w:lineRule="atLeast"/>
              <w:jc w:val="both"/>
              <w:rPr>
                <w:rFonts w:ascii="標楷體" w:eastAsia="標楷體" w:hAnsi="標楷體"/>
                <w:color w:val="000000"/>
              </w:rPr>
            </w:pPr>
          </w:p>
          <w:p w14:paraId="5880B09D" w14:textId="77777777" w:rsidR="00401786" w:rsidRDefault="00401786" w:rsidP="000E757E">
            <w:pPr>
              <w:snapToGrid w:val="0"/>
              <w:spacing w:line="240" w:lineRule="atLeast"/>
              <w:jc w:val="both"/>
              <w:rPr>
                <w:rFonts w:ascii="標楷體" w:eastAsia="標楷體" w:hAnsi="標楷體"/>
                <w:color w:val="000000"/>
              </w:rPr>
            </w:pPr>
          </w:p>
          <w:p w14:paraId="5C044D80"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lastRenderedPageBreak/>
              <w:t>保險人日期章戳</w:t>
            </w:r>
          </w:p>
          <w:p w14:paraId="2C1E18DE"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ACCFAC" w14:textId="77777777" w:rsidR="00401786" w:rsidRDefault="00C64FB3" w:rsidP="000E757E">
            <w:pPr>
              <w:snapToGrid w:val="0"/>
              <w:spacing w:line="240" w:lineRule="atLeast"/>
            </w:pPr>
            <w:r>
              <w:rPr>
                <w:rFonts w:ascii="標楷體" w:eastAsia="標楷體" w:hAnsi="標楷體" w:cs="標楷體"/>
                <w:color w:val="000000"/>
              </w:rPr>
              <w:lastRenderedPageBreak/>
              <w:t>審查</w:t>
            </w:r>
            <w:r>
              <w:rPr>
                <w:rFonts w:ascii="標楷體" w:eastAsia="標楷體" w:hAnsi="標楷體" w:cs="標楷體"/>
                <w:color w:val="000000"/>
              </w:rPr>
              <w:lastRenderedPageBreak/>
              <w:t>醫師</w:t>
            </w:r>
          </w:p>
        </w:tc>
        <w:tc>
          <w:tcPr>
            <w:tcW w:w="9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A7B6DB" w14:textId="77777777" w:rsidR="00401786" w:rsidRDefault="00401786" w:rsidP="000E757E">
            <w:pPr>
              <w:snapToGrid w:val="0"/>
              <w:spacing w:line="240" w:lineRule="atLeast"/>
              <w:rPr>
                <w:rFonts w:ascii="標楷體" w:eastAsia="標楷體" w:hAnsi="標楷體"/>
                <w:color w:val="000000"/>
              </w:rPr>
            </w:pPr>
          </w:p>
        </w:tc>
      </w:tr>
      <w:tr w:rsidR="00401786" w14:paraId="7426716F" w14:textId="77777777">
        <w:trPr>
          <w:cantSplit/>
          <w:trHeight w:val="1066"/>
        </w:trPr>
        <w:tc>
          <w:tcPr>
            <w:tcW w:w="3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059197" w14:textId="77777777" w:rsidR="00401786" w:rsidRDefault="00401786" w:rsidP="000E757E">
            <w:pPr>
              <w:snapToGrid w:val="0"/>
              <w:spacing w:line="240" w:lineRule="atLeast"/>
              <w:ind w:left="211" w:hanging="211"/>
              <w:rPr>
                <w:rFonts w:ascii="標楷體" w:eastAsia="標楷體" w:hAnsi="標楷體"/>
                <w:color w:val="000000"/>
              </w:rPr>
            </w:pPr>
          </w:p>
        </w:tc>
        <w:tc>
          <w:tcPr>
            <w:tcW w:w="9736"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AF272C"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7E8A3D" w14:textId="77777777" w:rsidR="00401786" w:rsidRDefault="00401786" w:rsidP="000E757E">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8A3C65" w14:textId="77777777" w:rsidR="00401786" w:rsidRDefault="00401786" w:rsidP="000E757E">
            <w:pPr>
              <w:snapToGrid w:val="0"/>
              <w:spacing w:line="240" w:lineRule="atLeast"/>
              <w:rPr>
                <w:rFonts w:ascii="標楷體" w:eastAsia="標楷體" w:hAnsi="標楷體" w:cs="標楷體"/>
                <w:color w:val="000000"/>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3BE0A8" w14:textId="77777777" w:rsidR="00401786" w:rsidRDefault="00401786" w:rsidP="000E757E">
            <w:pPr>
              <w:snapToGrid w:val="0"/>
              <w:spacing w:line="240" w:lineRule="atLeast"/>
              <w:rPr>
                <w:rFonts w:ascii="標楷體" w:eastAsia="標楷體" w:hAnsi="標楷體"/>
                <w:color w:val="000000"/>
              </w:rPr>
            </w:pPr>
          </w:p>
        </w:tc>
      </w:tr>
      <w:tr w:rsidR="00401786" w14:paraId="08D49626" w14:textId="77777777">
        <w:trPr>
          <w:cantSplit/>
          <w:trHeight w:val="639"/>
        </w:trPr>
        <w:tc>
          <w:tcPr>
            <w:tcW w:w="84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DA9874"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50"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17479F"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2A23826C" w14:textId="77777777" w:rsidR="00401786" w:rsidRDefault="00401786" w:rsidP="000E757E">
            <w:pPr>
              <w:snapToGrid w:val="0"/>
              <w:spacing w:line="240" w:lineRule="atLeast"/>
              <w:rPr>
                <w:rFonts w:ascii="標楷體" w:eastAsia="標楷體" w:hAnsi="標楷體"/>
                <w:color w:val="000000"/>
                <w:sz w:val="20"/>
                <w:szCs w:val="20"/>
              </w:rPr>
            </w:pPr>
          </w:p>
          <w:p w14:paraId="2F4F23AE"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61"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1897C4"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84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82ED9A" w14:textId="77777777" w:rsidR="00401786" w:rsidRDefault="00401786" w:rsidP="000E757E">
            <w:pPr>
              <w:widowControl/>
              <w:snapToGrid w:val="0"/>
              <w:spacing w:line="240" w:lineRule="atLeast"/>
              <w:rPr>
                <w:rFonts w:ascii="標楷體" w:eastAsia="標楷體" w:hAnsi="標楷體"/>
                <w:color w:val="000000"/>
                <w:sz w:val="20"/>
                <w:szCs w:val="20"/>
              </w:rPr>
            </w:pPr>
          </w:p>
          <w:p w14:paraId="75E21E02" w14:textId="77777777" w:rsidR="00401786" w:rsidRDefault="00401786" w:rsidP="000E757E">
            <w:pPr>
              <w:snapToGrid w:val="0"/>
              <w:spacing w:line="240" w:lineRule="atLeast"/>
              <w:rPr>
                <w:rFonts w:ascii="標楷體" w:eastAsia="標楷體" w:hAnsi="標楷體"/>
                <w:color w:val="000000"/>
                <w:sz w:val="20"/>
                <w:szCs w:val="20"/>
              </w:rPr>
            </w:pPr>
          </w:p>
        </w:tc>
        <w:tc>
          <w:tcPr>
            <w:tcW w:w="361"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636AC"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tc>
        <w:tc>
          <w:tcPr>
            <w:tcW w:w="846"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8C5FBE" w14:textId="77777777" w:rsidR="00401786" w:rsidRDefault="00401786" w:rsidP="000E757E">
            <w:pPr>
              <w:widowControl/>
              <w:snapToGrid w:val="0"/>
              <w:spacing w:line="240" w:lineRule="atLeast"/>
              <w:rPr>
                <w:rFonts w:ascii="標楷體" w:eastAsia="標楷體" w:hAnsi="標楷體"/>
                <w:color w:val="000000"/>
                <w:sz w:val="20"/>
                <w:szCs w:val="20"/>
              </w:rPr>
            </w:pPr>
          </w:p>
          <w:p w14:paraId="2941CE39" w14:textId="77777777" w:rsidR="00401786" w:rsidRDefault="00401786" w:rsidP="000E757E">
            <w:pPr>
              <w:snapToGrid w:val="0"/>
              <w:spacing w:line="240" w:lineRule="atLeast"/>
              <w:rPr>
                <w:rFonts w:ascii="標楷體" w:eastAsia="標楷體" w:hAnsi="標楷體"/>
                <w:color w:val="000000"/>
                <w:sz w:val="20"/>
                <w:szCs w:val="20"/>
              </w:rPr>
            </w:pPr>
          </w:p>
        </w:tc>
        <w:tc>
          <w:tcPr>
            <w:tcW w:w="36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911E26"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7"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3E6F8C" w14:textId="77777777" w:rsidR="00401786" w:rsidRDefault="00401786" w:rsidP="000E757E">
            <w:pPr>
              <w:snapToGrid w:val="0"/>
              <w:spacing w:line="240" w:lineRule="atLeast"/>
              <w:rPr>
                <w:rFonts w:ascii="標楷體" w:eastAsia="標楷體" w:hAnsi="標楷體"/>
                <w:color w:val="000000"/>
                <w:sz w:val="20"/>
                <w:szCs w:val="20"/>
              </w:rPr>
            </w:pPr>
          </w:p>
        </w:tc>
        <w:tc>
          <w:tcPr>
            <w:tcW w:w="37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4A1C3C"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tc>
        <w:tc>
          <w:tcPr>
            <w:tcW w:w="94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2A037D" w14:textId="77777777" w:rsidR="00401786" w:rsidRDefault="00401786" w:rsidP="000E757E">
            <w:pPr>
              <w:snapToGrid w:val="0"/>
              <w:spacing w:line="240" w:lineRule="atLeast"/>
              <w:rPr>
                <w:rFonts w:ascii="標楷體" w:eastAsia="標楷體" w:hAnsi="標楷體"/>
                <w:color w:val="000000"/>
                <w:sz w:val="20"/>
                <w:szCs w:val="20"/>
              </w:rPr>
            </w:pPr>
          </w:p>
        </w:tc>
      </w:tr>
    </w:tbl>
    <w:p w14:paraId="5E90EB12" w14:textId="30767128" w:rsidR="00401786" w:rsidRPr="00F37647" w:rsidRDefault="00C64FB3" w:rsidP="000E757E">
      <w:pPr>
        <w:pStyle w:val="Web"/>
        <w:pageBreakBefore/>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附表九之八</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cs="Times New Roman"/>
          <w:b/>
          <w:bCs/>
          <w:color w:val="000000"/>
        </w:rPr>
        <w:t>品Imatinib</w:t>
      </w:r>
      <w:r w:rsidRPr="00F37647">
        <w:rPr>
          <w:rFonts w:ascii="標楷體" w:eastAsia="標楷體" w:hAnsi="標楷體" w:cs="標楷體"/>
          <w:b/>
          <w:bCs/>
          <w:color w:val="000000"/>
        </w:rPr>
        <w:t>申請表</w:t>
      </w:r>
    </w:p>
    <w:tbl>
      <w:tblPr>
        <w:tblW w:w="14436" w:type="dxa"/>
        <w:tblInd w:w="227" w:type="dxa"/>
        <w:tblLayout w:type="fixed"/>
        <w:tblCellMar>
          <w:left w:w="10" w:type="dxa"/>
          <w:right w:w="10" w:type="dxa"/>
        </w:tblCellMar>
        <w:tblLook w:val="0000" w:firstRow="0" w:lastRow="0" w:firstColumn="0" w:lastColumn="0" w:noHBand="0" w:noVBand="0"/>
      </w:tblPr>
      <w:tblGrid>
        <w:gridCol w:w="387"/>
        <w:gridCol w:w="401"/>
        <w:gridCol w:w="428"/>
        <w:gridCol w:w="1206"/>
        <w:gridCol w:w="239"/>
        <w:gridCol w:w="120"/>
        <w:gridCol w:w="359"/>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02F521D6" w14:textId="77777777">
        <w:trPr>
          <w:cantSplit/>
          <w:trHeight w:val="328"/>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8970560"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B62D08"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A812B"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A32BA"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28D6D2"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8C61A8C" w14:textId="77777777" w:rsidR="00401786" w:rsidRDefault="00401786" w:rsidP="000E757E">
            <w:pPr>
              <w:snapToGrid w:val="0"/>
              <w:spacing w:line="240" w:lineRule="atLeast"/>
              <w:rPr>
                <w:rFonts w:ascii="標楷體" w:eastAsia="標楷體" w:hAnsi="標楷體"/>
              </w:rPr>
            </w:pPr>
          </w:p>
        </w:tc>
      </w:tr>
      <w:tr w:rsidR="00401786" w14:paraId="2AAC867A" w14:textId="77777777">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1FD25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4B437"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126856"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399A95"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4EC432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06DA4210"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E250712"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8D44A2"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8EE7DF"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623AF2"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7BFCBA"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9B48DC"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646D8DE"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FA984A"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B107FA"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8BEB66"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12D258FC"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8FEFE03" w14:textId="77777777">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AFCDE0" w14:textId="77777777" w:rsidR="00401786" w:rsidRDefault="00401786" w:rsidP="000E757E">
            <w:pPr>
              <w:snapToGrid w:val="0"/>
              <w:spacing w:line="240" w:lineRule="atLeast"/>
              <w:rPr>
                <w:rFonts w:ascii="標楷體" w:eastAsia="標楷體" w:hAnsi="標楷體"/>
                <w:color w:val="000000"/>
                <w:sz w:val="20"/>
                <w:szCs w:val="20"/>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79DA82"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C0A45D"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6E566F"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F6A136"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79379FE"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BBFC43"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C95AE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0CB10B1D"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041E0A"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162E9"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3C7975"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0C5E29"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530E0"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B0BD19"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175312A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4A4748B" w14:textId="77777777">
        <w:trPr>
          <w:cantSplit/>
          <w:trHeight w:val="306"/>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6395AB"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717161"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1748D1"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5144B4"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C591DF"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979E1BE"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73D605AB" w14:textId="77777777" w:rsidR="00401786" w:rsidRDefault="00401786" w:rsidP="000E757E">
            <w:pPr>
              <w:snapToGrid w:val="0"/>
              <w:spacing w:line="240" w:lineRule="atLeast"/>
              <w:rPr>
                <w:rFonts w:ascii="標楷體" w:eastAsia="標楷體" w:hAnsi="標楷體"/>
              </w:rPr>
            </w:pPr>
          </w:p>
        </w:tc>
      </w:tr>
      <w:tr w:rsidR="00401786" w14:paraId="51399ADB" w14:textId="77777777">
        <w:trPr>
          <w:cantSplit/>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17E969"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62572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6769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F06FA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6FF70E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FE2D2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7917E532"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24C0A4E1"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0D820D01" w14:textId="77777777" w:rsidR="00401786" w:rsidRDefault="00401786" w:rsidP="000E757E">
            <w:pPr>
              <w:snapToGrid w:val="0"/>
              <w:spacing w:line="240" w:lineRule="atLeast"/>
              <w:jc w:val="center"/>
              <w:rPr>
                <w:rFonts w:ascii="標楷體" w:eastAsia="標楷體" w:hAnsi="標楷體"/>
              </w:rPr>
            </w:pPr>
          </w:p>
        </w:tc>
      </w:tr>
      <w:tr w:rsidR="00401786" w14:paraId="723F13C3" w14:textId="77777777">
        <w:trPr>
          <w:cantSplit/>
          <w:trHeight w:val="2910"/>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F6A5F1" w14:textId="77777777" w:rsidR="00401786" w:rsidRDefault="00401786" w:rsidP="000E757E">
            <w:pPr>
              <w:snapToGrid w:val="0"/>
              <w:spacing w:line="240" w:lineRule="atLeast"/>
              <w:rPr>
                <w:rFonts w:ascii="標楷體" w:eastAsia="標楷體" w:hAnsi="標楷體"/>
                <w:u w:val="single"/>
              </w:rPr>
            </w:pPr>
          </w:p>
          <w:p w14:paraId="7648D4FB" w14:textId="77777777" w:rsidR="00401786" w:rsidRDefault="00C64FB3" w:rsidP="000E757E">
            <w:pPr>
              <w:snapToGrid w:val="0"/>
              <w:spacing w:line="240" w:lineRule="atLeast"/>
              <w:rPr>
                <w:rFonts w:ascii="標楷體" w:eastAsia="標楷體" w:hAnsi="標楷體"/>
              </w:rPr>
            </w:pPr>
            <w:proofErr w:type="spellStart"/>
            <w:r>
              <w:rPr>
                <w:rFonts w:ascii="標楷體" w:eastAsia="標楷體" w:hAnsi="標楷體"/>
              </w:rPr>
              <w:t>Glivec</w:t>
            </w:r>
            <w:proofErr w:type="spellEnd"/>
          </w:p>
          <w:p w14:paraId="631F977E" w14:textId="77777777" w:rsidR="00401786" w:rsidRDefault="00401786" w:rsidP="000E757E">
            <w:pPr>
              <w:snapToGrid w:val="0"/>
              <w:spacing w:line="240" w:lineRule="atLeast"/>
              <w:rPr>
                <w:rFonts w:ascii="標楷體" w:eastAsia="標楷體" w:hAnsi="標楷體"/>
                <w:u w:val="single"/>
              </w:rPr>
            </w:pPr>
          </w:p>
          <w:p w14:paraId="4E03B5C8" w14:textId="77777777" w:rsidR="00401786" w:rsidRDefault="00C64FB3" w:rsidP="000E757E">
            <w:pPr>
              <w:snapToGrid w:val="0"/>
              <w:spacing w:line="240" w:lineRule="atLeast"/>
              <w:rPr>
                <w:rFonts w:ascii="標楷體" w:eastAsia="標楷體" w:hAnsi="標楷體"/>
              </w:rPr>
            </w:pPr>
            <w:r>
              <w:rPr>
                <w:rFonts w:ascii="標楷體" w:eastAsia="標楷體" w:hAnsi="標楷體"/>
              </w:rPr>
              <w:t>100mg</w:t>
            </w:r>
          </w:p>
          <w:p w14:paraId="7F61A0E7" w14:textId="77777777" w:rsidR="00401786" w:rsidRDefault="00401786" w:rsidP="000E757E">
            <w:pPr>
              <w:snapToGrid w:val="0"/>
              <w:spacing w:line="240" w:lineRule="atLeast"/>
              <w:rPr>
                <w:rFonts w:ascii="標楷體" w:eastAsia="標楷體" w:hAnsi="標楷體"/>
                <w:u w:val="single"/>
              </w:rPr>
            </w:pPr>
          </w:p>
          <w:p w14:paraId="5F66C9A8" w14:textId="77777777" w:rsidR="00401786" w:rsidRDefault="00C64FB3" w:rsidP="000E757E">
            <w:pPr>
              <w:snapToGrid w:val="0"/>
              <w:spacing w:line="240" w:lineRule="atLeast"/>
            </w:pPr>
            <w:r>
              <w:rPr>
                <w:rFonts w:ascii="標楷體" w:eastAsia="標楷體" w:hAnsi="標楷體" w:cs="標楷體"/>
                <w:color w:val="000000"/>
                <w:sz w:val="20"/>
                <w:szCs w:val="20"/>
              </w:rPr>
              <w:t>□</w:t>
            </w:r>
            <w:hyperlink r:id="rId12" w:tooltip="藥政處網站(開新窗)" w:history="1">
              <w:r>
                <w:rPr>
                  <w:rFonts w:ascii="標楷體" w:eastAsia="標楷體" w:hAnsi="標楷體" w:cs="新細明體"/>
                  <w:color w:val="000000"/>
                  <w:kern w:val="0"/>
                  <w:sz w:val="16"/>
                  <w:szCs w:val="16"/>
                </w:rPr>
                <w:t>B023291100</w:t>
              </w:r>
            </w:hyperlink>
          </w:p>
          <w:p w14:paraId="05532919"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hyperlink r:id="rId13" w:tooltip="藥政處網站(開新窗)" w:history="1">
              <w:r>
                <w:rPr>
                  <w:rFonts w:ascii="標楷體" w:eastAsia="標楷體" w:hAnsi="標楷體" w:cs="新細明體"/>
                  <w:color w:val="000000"/>
                  <w:kern w:val="0"/>
                  <w:sz w:val="16"/>
                  <w:szCs w:val="16"/>
                </w:rPr>
                <w:t>B024027100</w:t>
              </w:r>
            </w:hyperlink>
          </w:p>
          <w:p w14:paraId="625C493F" w14:textId="77777777" w:rsidR="00401786" w:rsidRDefault="00401786" w:rsidP="000E757E">
            <w:pPr>
              <w:snapToGrid w:val="0"/>
              <w:spacing w:line="240" w:lineRule="atLeast"/>
              <w:rPr>
                <w:rFonts w:ascii="標楷體" w:eastAsia="標楷體" w:hAnsi="標楷體"/>
                <w:color w:val="000000"/>
                <w:sz w:val="20"/>
                <w:szCs w:val="20"/>
              </w:rPr>
            </w:pP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72D353" w14:textId="77777777" w:rsidR="00401786" w:rsidRDefault="00401786" w:rsidP="000E757E">
            <w:pPr>
              <w:snapToGrid w:val="0"/>
              <w:spacing w:before="180" w:line="240" w:lineRule="atLeast"/>
              <w:ind w:left="269" w:hanging="269"/>
              <w:rPr>
                <w:rFonts w:ascii="標楷體" w:eastAsia="標楷體" w:hAnsi="標楷體"/>
                <w:u w:val="single"/>
              </w:rPr>
            </w:pPr>
          </w:p>
          <w:p w14:paraId="1521DE0A"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4F4FD2AA"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4451A3F7"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0B0C1D44"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CB67B5" w14:textId="77777777" w:rsidR="00401786" w:rsidRDefault="00C64FB3" w:rsidP="000E757E">
            <w:pPr>
              <w:snapToGrid w:val="0"/>
              <w:spacing w:before="180" w:after="180"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下列適應症患者必須在第一線的藥物如hydroxyurea，corticosteroid等無效後,經事前審查核准才可使用，且每6個月需重新申請審查。</w:t>
            </w:r>
          </w:p>
          <w:p w14:paraId="185678D4" w14:textId="77777777" w:rsidR="00401786" w:rsidRDefault="00C64FB3" w:rsidP="000E757E">
            <w:pPr>
              <w:pStyle w:val="ad"/>
              <w:snapToGrid w:val="0"/>
              <w:spacing w:before="180" w:after="180" w:line="240" w:lineRule="atLeast"/>
              <w:ind w:left="200" w:hanging="200"/>
            </w:pPr>
            <w:r>
              <w:t>□治療患有與血小板衍生生長因子受體</w:t>
            </w:r>
            <w:proofErr w:type="gramStart"/>
            <w:r>
              <w:t>（</w:t>
            </w:r>
            <w:proofErr w:type="gramEnd"/>
            <w:r>
              <w:t>PDGFR)基因重組相關之骨髓發育不全症候群(MDS)/骨髓增生性疾病(MPD)之成人。</w:t>
            </w:r>
          </w:p>
          <w:p w14:paraId="48660A0C" w14:textId="77777777" w:rsidR="00401786" w:rsidRDefault="00C64FB3" w:rsidP="000E757E">
            <w:pPr>
              <w:pStyle w:val="ad"/>
              <w:snapToGrid w:val="0"/>
              <w:spacing w:before="180" w:after="180" w:line="240" w:lineRule="atLeast"/>
              <w:ind w:left="200" w:hanging="200"/>
            </w:pPr>
            <w:r>
              <w:t>□治療</w:t>
            </w:r>
            <w:proofErr w:type="gramStart"/>
            <w:r>
              <w:t>嗜伊紅性</w:t>
            </w:r>
            <w:proofErr w:type="gramEnd"/>
            <w:r>
              <w:t>白血球增加症候群(HES)與/或慢性</w:t>
            </w:r>
            <w:proofErr w:type="gramStart"/>
            <w:r>
              <w:t>嗜伊紅性</w:t>
            </w:r>
            <w:proofErr w:type="gramEnd"/>
            <w:r>
              <w:t>白血病(CEL)且有血小板衍生生長因子受體(PDGFR)基因重組之成人患者，且存在器官侵犯</w:t>
            </w:r>
            <w:proofErr w:type="gramStart"/>
            <w:r>
              <w:t>証據者</w:t>
            </w:r>
            <w:proofErr w:type="gramEnd"/>
            <w:r>
              <w:t>。</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9C4E92"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7EF335"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1450C9F" w14:textId="77777777" w:rsidR="00401786" w:rsidRDefault="00C64FB3">
            <w:pPr>
              <w:numPr>
                <w:ilvl w:val="0"/>
                <w:numId w:val="72"/>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31021DD5"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393F47B3"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4BAE7744"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F22525A"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62BE410D"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37D28164"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21BAA1DC"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0FE0482C" w14:textId="77777777" w:rsidR="00401786" w:rsidRDefault="00C64FB3">
            <w:pPr>
              <w:numPr>
                <w:ilvl w:val="0"/>
                <w:numId w:val="72"/>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A3D6BE5" w14:textId="77777777" w:rsidR="00401786" w:rsidRDefault="00C64FB3">
            <w:pPr>
              <w:numPr>
                <w:ilvl w:val="0"/>
                <w:numId w:val="72"/>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1160F49B" w14:textId="77777777" w:rsidR="00401786" w:rsidRDefault="00C64FB3">
            <w:pPr>
              <w:numPr>
                <w:ilvl w:val="0"/>
                <w:numId w:val="72"/>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4F948B91"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10BB086E"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2D0D2C34" w14:textId="77777777">
        <w:trPr>
          <w:cantSplit/>
          <w:trHeight w:val="916"/>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E61BB1"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2EC15F3F"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6FB6CC"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17C491D2"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6B1AD35E"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7F2BB22F"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A5FAAC9"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5327C8A5"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384943CC"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DBACB7D"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321D673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8DD92B4" w14:textId="77777777">
        <w:trPr>
          <w:cantSplit/>
          <w:trHeight w:val="362"/>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659976"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BD2426"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20AF62" w14:textId="77777777" w:rsidR="00401786" w:rsidRDefault="00401786" w:rsidP="000E757E">
            <w:pPr>
              <w:snapToGrid w:val="0"/>
              <w:spacing w:line="240" w:lineRule="atLeast"/>
              <w:jc w:val="both"/>
              <w:rPr>
                <w:rFonts w:ascii="標楷體" w:eastAsia="標楷體" w:hAnsi="標楷體"/>
                <w:color w:val="000000"/>
              </w:rPr>
            </w:pPr>
          </w:p>
          <w:p w14:paraId="5CF4F387"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3C2F7356"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68764C"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8F0318"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5E76A67B" w14:textId="77777777" w:rsidR="00401786" w:rsidRDefault="00401786" w:rsidP="000E757E">
            <w:pPr>
              <w:snapToGrid w:val="0"/>
              <w:spacing w:line="240" w:lineRule="atLeast"/>
              <w:rPr>
                <w:rFonts w:ascii="標楷體" w:eastAsia="標楷體" w:hAnsi="標楷體"/>
                <w:color w:val="000000"/>
              </w:rPr>
            </w:pPr>
          </w:p>
        </w:tc>
      </w:tr>
      <w:tr w:rsidR="00401786" w14:paraId="3A716D52" w14:textId="77777777">
        <w:trPr>
          <w:cantSplit/>
          <w:trHeight w:val="224"/>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51CAF3"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E391A9"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57E1E0"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813447"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BF62D5"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A3F5375" w14:textId="77777777" w:rsidR="00401786" w:rsidRDefault="00401786" w:rsidP="000E757E">
            <w:pPr>
              <w:snapToGrid w:val="0"/>
              <w:spacing w:line="240" w:lineRule="atLeast"/>
              <w:rPr>
                <w:rFonts w:ascii="標楷體" w:eastAsia="標楷體" w:hAnsi="標楷體"/>
                <w:color w:val="000000"/>
              </w:rPr>
            </w:pPr>
          </w:p>
        </w:tc>
      </w:tr>
      <w:tr w:rsidR="00401786" w14:paraId="78ED18D1" w14:textId="77777777">
        <w:trPr>
          <w:cantSplit/>
          <w:trHeight w:val="706"/>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BB703" w14:textId="77777777" w:rsidR="00401786" w:rsidRDefault="00401786" w:rsidP="000E757E">
            <w:pPr>
              <w:snapToGrid w:val="0"/>
              <w:spacing w:line="240" w:lineRule="atLeast"/>
              <w:rPr>
                <w:rFonts w:ascii="標楷體" w:eastAsia="標楷體" w:hAnsi="標楷體" w:cs="標楷體"/>
                <w:color w:val="000000"/>
              </w:rPr>
            </w:pPr>
          </w:p>
          <w:p w14:paraId="2128A7DD"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p w14:paraId="2FBC7E7C" w14:textId="77777777" w:rsidR="00401786" w:rsidRDefault="00401786" w:rsidP="000E757E">
            <w:pPr>
              <w:snapToGrid w:val="0"/>
              <w:spacing w:line="240" w:lineRule="atLeast"/>
              <w:rPr>
                <w:rFonts w:ascii="標楷體" w:eastAsia="標楷體" w:hAnsi="標楷體"/>
                <w:color w:val="000000"/>
              </w:rPr>
            </w:pP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4D3389"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45BEFC77" w14:textId="77777777" w:rsidR="00401786" w:rsidRDefault="00401786" w:rsidP="000E757E">
            <w:pPr>
              <w:snapToGrid w:val="0"/>
              <w:spacing w:line="240" w:lineRule="atLeast"/>
              <w:rPr>
                <w:rFonts w:ascii="標楷體" w:eastAsia="標楷體" w:hAnsi="標楷體"/>
                <w:color w:val="000000"/>
              </w:rPr>
            </w:pPr>
          </w:p>
          <w:p w14:paraId="4AE83812"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BBF862"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34AC61" w14:textId="77777777" w:rsidR="00401786" w:rsidRDefault="00401786" w:rsidP="000E757E">
            <w:pPr>
              <w:widowControl/>
              <w:snapToGrid w:val="0"/>
              <w:spacing w:line="240" w:lineRule="atLeast"/>
              <w:rPr>
                <w:rFonts w:ascii="標楷體" w:eastAsia="標楷體" w:hAnsi="標楷體"/>
                <w:color w:val="000000"/>
              </w:rPr>
            </w:pPr>
          </w:p>
          <w:p w14:paraId="3EC5EAD7" w14:textId="77777777" w:rsidR="00401786" w:rsidRDefault="00401786" w:rsidP="000E757E">
            <w:pPr>
              <w:snapToGrid w:val="0"/>
              <w:spacing w:line="240" w:lineRule="atLeast"/>
              <w:rPr>
                <w:rFonts w:ascii="標楷體" w:eastAsia="標楷體" w:hAnsi="標楷體"/>
                <w:color w:val="00000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F1FA2"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29FD686A" w14:textId="77777777" w:rsidR="00401786" w:rsidRDefault="00401786" w:rsidP="000E757E">
            <w:pPr>
              <w:widowControl/>
              <w:snapToGrid w:val="0"/>
              <w:spacing w:line="240" w:lineRule="atLeast"/>
              <w:rPr>
                <w:rFonts w:ascii="標楷體" w:eastAsia="標楷體" w:hAnsi="標楷體"/>
                <w:color w:val="00000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9B66D2" w14:textId="77777777" w:rsidR="00401786" w:rsidRDefault="00401786" w:rsidP="000E757E">
            <w:pPr>
              <w:widowControl/>
              <w:snapToGrid w:val="0"/>
              <w:spacing w:line="240" w:lineRule="atLeast"/>
              <w:rPr>
                <w:rFonts w:ascii="標楷體" w:eastAsia="標楷體" w:hAnsi="標楷體"/>
                <w:color w:val="000000"/>
              </w:rPr>
            </w:pPr>
          </w:p>
          <w:p w14:paraId="59C48EF5" w14:textId="77777777" w:rsidR="00401786" w:rsidRDefault="00401786" w:rsidP="000E757E">
            <w:pPr>
              <w:snapToGrid w:val="0"/>
              <w:spacing w:line="240" w:lineRule="atLeast"/>
              <w:rPr>
                <w:rFonts w:ascii="標楷體" w:eastAsia="標楷體" w:hAnsi="標楷體"/>
                <w:color w:val="00000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AD32D4" w14:textId="77777777" w:rsidR="00401786" w:rsidRDefault="00C64FB3" w:rsidP="000E757E">
            <w:pPr>
              <w:snapToGrid w:val="0"/>
              <w:spacing w:line="240" w:lineRule="atLeast"/>
            </w:pPr>
            <w:r>
              <w:rPr>
                <w:rFonts w:ascii="標楷體" w:eastAsia="標楷體" w:hAnsi="標楷體" w:cs="標楷體"/>
                <w:color w:val="00000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83E972" w14:textId="77777777" w:rsidR="00401786" w:rsidRDefault="00401786" w:rsidP="000E757E">
            <w:pPr>
              <w:widowControl/>
              <w:snapToGrid w:val="0"/>
              <w:spacing w:line="240" w:lineRule="atLeast"/>
              <w:rPr>
                <w:rFonts w:ascii="標楷體" w:eastAsia="標楷體" w:hAnsi="標楷體"/>
                <w:color w:val="000000"/>
              </w:rPr>
            </w:pPr>
          </w:p>
          <w:p w14:paraId="569FB2F9" w14:textId="77777777" w:rsidR="00401786" w:rsidRDefault="00401786" w:rsidP="000E757E">
            <w:pPr>
              <w:snapToGrid w:val="0"/>
              <w:spacing w:line="240" w:lineRule="atLeast"/>
              <w:rPr>
                <w:rFonts w:ascii="標楷體" w:eastAsia="標楷體" w:hAnsi="標楷體"/>
                <w:color w:val="00000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A1DE43"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27D88815" w14:textId="77777777" w:rsidR="00401786" w:rsidRDefault="00401786" w:rsidP="000E757E">
            <w:pPr>
              <w:widowControl/>
              <w:snapToGrid w:val="0"/>
              <w:spacing w:line="240" w:lineRule="atLeast"/>
              <w:rPr>
                <w:rFonts w:ascii="標楷體" w:eastAsia="標楷體" w:hAnsi="標楷體"/>
                <w:color w:val="00000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E95C01" w14:textId="77777777" w:rsidR="00401786" w:rsidRDefault="00401786" w:rsidP="000E757E">
            <w:pPr>
              <w:widowControl/>
              <w:snapToGrid w:val="0"/>
              <w:spacing w:line="240" w:lineRule="atLeast"/>
              <w:rPr>
                <w:rFonts w:ascii="標楷體" w:eastAsia="標楷體" w:hAnsi="標楷體"/>
                <w:color w:val="000000"/>
              </w:rPr>
            </w:pPr>
          </w:p>
          <w:p w14:paraId="6B7B6C0D" w14:textId="77777777" w:rsidR="00401786" w:rsidRDefault="00401786" w:rsidP="000E757E">
            <w:pPr>
              <w:snapToGrid w:val="0"/>
              <w:spacing w:line="240" w:lineRule="atLeast"/>
              <w:rPr>
                <w:rFonts w:ascii="標楷體" w:eastAsia="標楷體" w:hAnsi="標楷體"/>
                <w:color w:val="000000"/>
              </w:rPr>
            </w:pPr>
          </w:p>
        </w:tc>
      </w:tr>
    </w:tbl>
    <w:p w14:paraId="3ADE11EC" w14:textId="0BAA762E" w:rsidR="005A05DF" w:rsidRDefault="005A05DF" w:rsidP="000E757E">
      <w:pPr>
        <w:pStyle w:val="Web"/>
        <w:widowControl w:val="0"/>
        <w:snapToGrid w:val="0"/>
        <w:spacing w:before="0" w:after="0" w:line="240" w:lineRule="atLeast"/>
        <w:jc w:val="both"/>
        <w:rPr>
          <w:rFonts w:ascii="標楷體" w:eastAsia="標楷體" w:hAnsi="標楷體"/>
        </w:rPr>
      </w:pPr>
    </w:p>
    <w:p w14:paraId="0C0298EB" w14:textId="77777777" w:rsidR="005A05DF" w:rsidRDefault="005A05DF">
      <w:pPr>
        <w:widowControl/>
        <w:suppressAutoHyphens w:val="0"/>
        <w:rPr>
          <w:rFonts w:ascii="標楷體" w:eastAsia="標楷體" w:hAnsi="標楷體" w:cs="標楷體"/>
          <w:color w:val="000000"/>
          <w:kern w:val="0"/>
          <w:szCs w:val="24"/>
        </w:rPr>
      </w:pPr>
      <w:r>
        <w:rPr>
          <w:rFonts w:ascii="標楷體" w:eastAsia="標楷體" w:hAnsi="標楷體" w:cs="標楷體"/>
          <w:color w:val="000000"/>
        </w:rPr>
        <w:br w:type="page"/>
      </w:r>
    </w:p>
    <w:p w14:paraId="74625848" w14:textId="4ADFE871" w:rsidR="00401786" w:rsidRPr="00F37647" w:rsidRDefault="00C64FB3" w:rsidP="000E757E">
      <w:pPr>
        <w:pStyle w:val="Web"/>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附表九之九</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cs="Times New Roman"/>
          <w:b/>
          <w:bCs/>
          <w:color w:val="000000"/>
        </w:rPr>
        <w:t>品</w:t>
      </w:r>
      <w:proofErr w:type="spellStart"/>
      <w:r w:rsidRPr="00F37647">
        <w:rPr>
          <w:rFonts w:ascii="標楷體" w:eastAsia="標楷體" w:hAnsi="標楷體" w:cs="Times New Roman"/>
          <w:b/>
          <w:bCs/>
          <w:color w:val="000000"/>
        </w:rPr>
        <w:t>everolimus</w:t>
      </w:r>
      <w:proofErr w:type="spellEnd"/>
      <w:r w:rsidRPr="00F37647">
        <w:rPr>
          <w:rFonts w:ascii="標楷體" w:eastAsia="標楷體" w:hAnsi="標楷體" w:cs="標楷體"/>
          <w:b/>
          <w:bCs/>
          <w:color w:val="000000"/>
        </w:rPr>
        <w:t>申請表</w:t>
      </w:r>
    </w:p>
    <w:tbl>
      <w:tblPr>
        <w:tblW w:w="14436" w:type="dxa"/>
        <w:tblInd w:w="227" w:type="dxa"/>
        <w:tblLayout w:type="fixed"/>
        <w:tblCellMar>
          <w:left w:w="10" w:type="dxa"/>
          <w:right w:w="10" w:type="dxa"/>
        </w:tblCellMar>
        <w:tblLook w:val="0000" w:firstRow="0" w:lastRow="0" w:firstColumn="0" w:lastColumn="0" w:noHBand="0" w:noVBand="0"/>
      </w:tblPr>
      <w:tblGrid>
        <w:gridCol w:w="387"/>
        <w:gridCol w:w="401"/>
        <w:gridCol w:w="428"/>
        <w:gridCol w:w="1206"/>
        <w:gridCol w:w="239"/>
        <w:gridCol w:w="120"/>
        <w:gridCol w:w="359"/>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18F14021" w14:textId="77777777">
        <w:trPr>
          <w:cantSplit/>
          <w:trHeight w:val="523"/>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BE1C248"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E73560"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F76909"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854AD8"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9532BD"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6C8304A" w14:textId="77777777" w:rsidR="00401786" w:rsidRDefault="00401786" w:rsidP="000E757E">
            <w:pPr>
              <w:snapToGrid w:val="0"/>
              <w:spacing w:line="240" w:lineRule="atLeast"/>
              <w:rPr>
                <w:rFonts w:ascii="標楷體" w:eastAsia="標楷體" w:hAnsi="標楷體"/>
              </w:rPr>
            </w:pPr>
          </w:p>
        </w:tc>
      </w:tr>
      <w:tr w:rsidR="00401786" w14:paraId="3201FD62" w14:textId="77777777">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360322"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2324B1"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435F29"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A67EF7"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45617FC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486EE787"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61B50CC5"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B7BC87"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C87484"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2AADF7"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60B78B"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E2F08"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040F1017"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E8EF16"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2909B1"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6597F4"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5C833E83"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FBF74DC" w14:textId="77777777">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62719F" w14:textId="77777777" w:rsidR="00401786" w:rsidRDefault="00401786" w:rsidP="000E757E">
            <w:pPr>
              <w:snapToGrid w:val="0"/>
              <w:spacing w:line="240" w:lineRule="atLeast"/>
              <w:rPr>
                <w:rFonts w:ascii="標楷體" w:eastAsia="標楷體" w:hAnsi="標楷體"/>
                <w:color w:val="000000"/>
                <w:sz w:val="20"/>
                <w:szCs w:val="20"/>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AD8C26"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E647CE"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5D4D94"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75F2E5"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1EF403A6"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3CC396"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280186"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59CF35B7"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4C849E"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88AB1D"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197258"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4468B7"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723102"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CF15BC"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D81985F"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FF79FF8" w14:textId="77777777">
        <w:trPr>
          <w:cantSplit/>
          <w:trHeight w:val="613"/>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F321F9"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6AFF48"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D06557"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CCA1EE"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6D13CE"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09DB8D9"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1DC95612" w14:textId="77777777" w:rsidR="00401786" w:rsidRDefault="00401786" w:rsidP="000E757E">
            <w:pPr>
              <w:snapToGrid w:val="0"/>
              <w:spacing w:line="240" w:lineRule="atLeast"/>
              <w:rPr>
                <w:rFonts w:ascii="標楷體" w:eastAsia="標楷體" w:hAnsi="標楷體"/>
              </w:rPr>
            </w:pPr>
          </w:p>
        </w:tc>
      </w:tr>
      <w:tr w:rsidR="00401786" w14:paraId="36BCE659" w14:textId="77777777">
        <w:trPr>
          <w:cantSplit/>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C0C61B"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7CF1E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59A4B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11640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7B379F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8C44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258F63F7"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8FAB1BB"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148112DA" w14:textId="77777777" w:rsidR="00401786" w:rsidRDefault="00401786" w:rsidP="000E757E">
            <w:pPr>
              <w:snapToGrid w:val="0"/>
              <w:spacing w:line="240" w:lineRule="atLeast"/>
              <w:jc w:val="center"/>
              <w:rPr>
                <w:rFonts w:ascii="標楷體" w:eastAsia="標楷體" w:hAnsi="標楷體"/>
              </w:rPr>
            </w:pPr>
          </w:p>
        </w:tc>
      </w:tr>
      <w:tr w:rsidR="00401786" w14:paraId="40D3FFE0" w14:textId="77777777">
        <w:trPr>
          <w:cantSplit/>
          <w:trHeight w:val="2910"/>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DDC42B" w14:textId="77777777" w:rsidR="00401786" w:rsidRDefault="00401786" w:rsidP="000E757E">
            <w:pPr>
              <w:snapToGrid w:val="0"/>
              <w:spacing w:line="240" w:lineRule="atLeast"/>
              <w:rPr>
                <w:rFonts w:ascii="標楷體" w:eastAsia="標楷體" w:hAnsi="標楷體"/>
                <w:u w:val="single"/>
              </w:rPr>
            </w:pPr>
          </w:p>
          <w:p w14:paraId="61BB654F" w14:textId="77777777" w:rsidR="00401786" w:rsidRDefault="00C64FB3" w:rsidP="000E757E">
            <w:pPr>
              <w:snapToGrid w:val="0"/>
              <w:spacing w:line="240" w:lineRule="atLeast"/>
              <w:rPr>
                <w:rFonts w:ascii="標楷體" w:eastAsia="標楷體" w:hAnsi="標楷體"/>
                <w:sz w:val="20"/>
                <w:szCs w:val="20"/>
              </w:rPr>
            </w:pPr>
            <w:r>
              <w:rPr>
                <w:rFonts w:ascii="標楷體" w:eastAsia="標楷體" w:hAnsi="標楷體"/>
                <w:sz w:val="20"/>
                <w:szCs w:val="20"/>
              </w:rPr>
              <w:t>Afinitor5mg&amp;10mgtablets</w:t>
            </w:r>
          </w:p>
          <w:p w14:paraId="6D2A70AC" w14:textId="77777777" w:rsidR="00401786" w:rsidRDefault="00401786" w:rsidP="000E757E">
            <w:pPr>
              <w:snapToGrid w:val="0"/>
              <w:spacing w:line="240" w:lineRule="atLeast"/>
              <w:rPr>
                <w:rFonts w:ascii="標楷體" w:eastAsia="標楷體" w:hAnsi="標楷體"/>
                <w:u w:val="single"/>
              </w:rPr>
            </w:pPr>
          </w:p>
          <w:p w14:paraId="103162AF" w14:textId="77777777" w:rsidR="00401786" w:rsidRDefault="00C64FB3" w:rsidP="000E757E">
            <w:pPr>
              <w:snapToGrid w:val="0"/>
              <w:spacing w:line="240" w:lineRule="atLeast"/>
            </w:pPr>
            <w:r>
              <w:rPr>
                <w:rFonts w:ascii="標楷體" w:eastAsia="標楷體" w:hAnsi="標楷體" w:cs="標楷體"/>
                <w:color w:val="000000"/>
                <w:sz w:val="20"/>
                <w:szCs w:val="20"/>
              </w:rPr>
              <w:t>□</w:t>
            </w:r>
            <w:r>
              <w:rPr>
                <w:rFonts w:ascii="標楷體" w:eastAsia="標楷體" w:hAnsi="標楷體" w:cs="新細明體"/>
                <w:kern w:val="0"/>
                <w:sz w:val="16"/>
                <w:szCs w:val="16"/>
              </w:rPr>
              <w:t>B025165100</w:t>
            </w:r>
          </w:p>
          <w:p w14:paraId="51A39223"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r>
              <w:rPr>
                <w:rFonts w:ascii="標楷體" w:eastAsia="標楷體" w:hAnsi="標楷體" w:cs="新細明體"/>
                <w:kern w:val="0"/>
                <w:sz w:val="16"/>
                <w:szCs w:val="16"/>
              </w:rPr>
              <w:t>B025166100</w:t>
            </w:r>
          </w:p>
          <w:p w14:paraId="0B2A3C42"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r>
              <w:rPr>
                <w:rFonts w:ascii="標楷體" w:eastAsia="標楷體" w:hAnsi="標楷體"/>
                <w:color w:val="000000"/>
                <w:sz w:val="16"/>
                <w:szCs w:val="16"/>
              </w:rPr>
              <w:t>V000020100</w:t>
            </w:r>
          </w:p>
          <w:p w14:paraId="6E5666E6"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r>
              <w:rPr>
                <w:rFonts w:ascii="標楷體" w:eastAsia="標楷體" w:hAnsi="標楷體"/>
                <w:color w:val="000000"/>
                <w:sz w:val="16"/>
                <w:szCs w:val="16"/>
              </w:rPr>
              <w:t>V000021100</w:t>
            </w:r>
          </w:p>
          <w:p w14:paraId="03B664DE" w14:textId="77777777" w:rsidR="00401786" w:rsidRDefault="00401786" w:rsidP="000E757E">
            <w:pPr>
              <w:snapToGrid w:val="0"/>
              <w:spacing w:line="240" w:lineRule="atLeast"/>
              <w:rPr>
                <w:rFonts w:ascii="標楷體" w:eastAsia="標楷體" w:hAnsi="標楷體"/>
                <w:color w:val="000000"/>
                <w:sz w:val="20"/>
                <w:szCs w:val="20"/>
              </w:rPr>
            </w:pP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484DED" w14:textId="77777777" w:rsidR="00401786" w:rsidRDefault="00401786" w:rsidP="000E757E">
            <w:pPr>
              <w:snapToGrid w:val="0"/>
              <w:spacing w:before="180" w:line="240" w:lineRule="atLeast"/>
              <w:ind w:left="269" w:hanging="269"/>
              <w:rPr>
                <w:rFonts w:ascii="標楷體" w:eastAsia="標楷體" w:hAnsi="標楷體"/>
                <w:u w:val="single"/>
              </w:rPr>
            </w:pPr>
          </w:p>
          <w:p w14:paraId="7BE23631"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3045DF60"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03973D2C"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5C12658C"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CE9E46" w14:textId="77777777" w:rsidR="00401786" w:rsidRDefault="00401786" w:rsidP="000E757E">
            <w:pPr>
              <w:pStyle w:val="ad"/>
              <w:snapToGrid w:val="0"/>
              <w:spacing w:before="180" w:after="180" w:line="240" w:lineRule="atLeast"/>
              <w:ind w:left="200" w:hanging="200"/>
            </w:pP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9ACB48"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75598F"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AF9729A" w14:textId="77777777" w:rsidR="00401786" w:rsidRDefault="00C64FB3">
            <w:pPr>
              <w:numPr>
                <w:ilvl w:val="0"/>
                <w:numId w:val="73"/>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7EAE6BDD"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046D000A"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64A731C2"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D2CCD2B"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3AC7E7D4"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22157793"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2C9907CA"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05CC8B81" w14:textId="77777777" w:rsidR="00401786" w:rsidRDefault="00C64FB3">
            <w:pPr>
              <w:numPr>
                <w:ilvl w:val="0"/>
                <w:numId w:val="7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13109368" w14:textId="77777777" w:rsidR="00401786" w:rsidRDefault="00C64FB3">
            <w:pPr>
              <w:numPr>
                <w:ilvl w:val="0"/>
                <w:numId w:val="7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7DF3B174" w14:textId="77777777" w:rsidR="00401786" w:rsidRDefault="00C64FB3">
            <w:pPr>
              <w:numPr>
                <w:ilvl w:val="0"/>
                <w:numId w:val="73"/>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08EBA395"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52EF4918"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16030A56" w14:textId="77777777">
        <w:trPr>
          <w:cantSplit/>
          <w:trHeight w:val="916"/>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0C0C45"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093F6905"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AC8FE6"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57195567"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01EE2B03"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28F4B65B"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F04979A"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7E38D7EB"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65C03E91"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B2D259B"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2E08787C"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65DEBE4" w14:textId="77777777">
        <w:trPr>
          <w:cantSplit/>
          <w:trHeight w:val="789"/>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B03E31"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4E9313"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6D1F5D" w14:textId="77777777" w:rsidR="00401786" w:rsidRDefault="00401786" w:rsidP="000E757E">
            <w:pPr>
              <w:snapToGrid w:val="0"/>
              <w:spacing w:line="240" w:lineRule="atLeast"/>
              <w:jc w:val="both"/>
              <w:rPr>
                <w:rFonts w:ascii="標楷體" w:eastAsia="標楷體" w:hAnsi="標楷體"/>
                <w:color w:val="000000"/>
              </w:rPr>
            </w:pPr>
          </w:p>
          <w:p w14:paraId="1758F600"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E20EDA"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60AB84"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60A0DD7D" w14:textId="77777777" w:rsidR="00401786" w:rsidRDefault="00401786" w:rsidP="000E757E">
            <w:pPr>
              <w:snapToGrid w:val="0"/>
              <w:spacing w:line="240" w:lineRule="atLeast"/>
              <w:rPr>
                <w:rFonts w:ascii="標楷體" w:eastAsia="標楷體" w:hAnsi="標楷體"/>
                <w:color w:val="000000"/>
              </w:rPr>
            </w:pPr>
          </w:p>
        </w:tc>
      </w:tr>
      <w:tr w:rsidR="00401786" w14:paraId="645E18A9" w14:textId="77777777">
        <w:trPr>
          <w:cantSplit/>
          <w:trHeight w:val="71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2F3763"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6C953A"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A597C1"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BB9E1B"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AD473A"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1792589C" w14:textId="77777777" w:rsidR="00401786" w:rsidRDefault="00401786" w:rsidP="000E757E">
            <w:pPr>
              <w:snapToGrid w:val="0"/>
              <w:spacing w:line="240" w:lineRule="atLeast"/>
              <w:rPr>
                <w:rFonts w:ascii="標楷體" w:eastAsia="標楷體" w:hAnsi="標楷體"/>
                <w:color w:val="000000"/>
              </w:rPr>
            </w:pPr>
          </w:p>
        </w:tc>
      </w:tr>
      <w:tr w:rsidR="00401786" w14:paraId="5AE42DBC" w14:textId="77777777">
        <w:trPr>
          <w:cantSplit/>
          <w:trHeight w:val="611"/>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E4E9E2" w14:textId="77777777" w:rsidR="00401786" w:rsidRDefault="00401786" w:rsidP="000E757E">
            <w:pPr>
              <w:snapToGrid w:val="0"/>
              <w:spacing w:line="240" w:lineRule="atLeast"/>
              <w:rPr>
                <w:rFonts w:ascii="標楷體" w:eastAsia="標楷體" w:hAnsi="標楷體" w:cs="標楷體"/>
                <w:color w:val="000000"/>
                <w:sz w:val="20"/>
                <w:szCs w:val="20"/>
              </w:rPr>
            </w:pPr>
          </w:p>
          <w:p w14:paraId="50ED3873"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B7A35"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62AC0257" w14:textId="77777777" w:rsidR="00401786" w:rsidRDefault="00401786" w:rsidP="000E757E">
            <w:pPr>
              <w:snapToGrid w:val="0"/>
              <w:spacing w:line="240" w:lineRule="atLeast"/>
              <w:rPr>
                <w:rFonts w:ascii="標楷體" w:eastAsia="標楷體" w:hAnsi="標楷體"/>
                <w:color w:val="000000"/>
                <w:sz w:val="20"/>
                <w:szCs w:val="20"/>
              </w:rPr>
            </w:pPr>
          </w:p>
          <w:p w14:paraId="7BE2C18E"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2871C0"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A0B4AF" w14:textId="77777777" w:rsidR="00401786" w:rsidRDefault="00401786" w:rsidP="000E757E">
            <w:pPr>
              <w:widowControl/>
              <w:snapToGrid w:val="0"/>
              <w:spacing w:line="240" w:lineRule="atLeast"/>
              <w:rPr>
                <w:rFonts w:ascii="標楷體" w:eastAsia="標楷體" w:hAnsi="標楷體"/>
                <w:color w:val="000000"/>
                <w:sz w:val="20"/>
                <w:szCs w:val="20"/>
              </w:rPr>
            </w:pPr>
          </w:p>
          <w:p w14:paraId="1F406090"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C536A1"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p w14:paraId="3FCD6873"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2CD2D4" w14:textId="77777777" w:rsidR="00401786" w:rsidRDefault="00401786" w:rsidP="000E757E">
            <w:pPr>
              <w:widowControl/>
              <w:snapToGrid w:val="0"/>
              <w:spacing w:line="240" w:lineRule="atLeast"/>
              <w:rPr>
                <w:rFonts w:ascii="標楷體" w:eastAsia="標楷體" w:hAnsi="標楷體"/>
                <w:color w:val="000000"/>
                <w:sz w:val="20"/>
                <w:szCs w:val="20"/>
              </w:rPr>
            </w:pPr>
          </w:p>
          <w:p w14:paraId="40A0DAB2"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F2A3AC"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7DE27C" w14:textId="77777777" w:rsidR="00401786" w:rsidRDefault="00401786" w:rsidP="000E757E">
            <w:pPr>
              <w:widowControl/>
              <w:snapToGrid w:val="0"/>
              <w:spacing w:line="240" w:lineRule="atLeast"/>
              <w:rPr>
                <w:rFonts w:ascii="標楷體" w:eastAsia="標楷體" w:hAnsi="標楷體"/>
                <w:color w:val="000000"/>
                <w:sz w:val="20"/>
                <w:szCs w:val="20"/>
              </w:rPr>
            </w:pPr>
          </w:p>
          <w:p w14:paraId="1066A98F" w14:textId="77777777" w:rsidR="00401786" w:rsidRDefault="00401786" w:rsidP="000E757E">
            <w:pPr>
              <w:snapToGrid w:val="0"/>
              <w:spacing w:line="240" w:lineRule="atLeast"/>
              <w:rPr>
                <w:rFonts w:ascii="標楷體" w:eastAsia="標楷體" w:hAnsi="標楷體"/>
                <w:color w:val="000000"/>
                <w:sz w:val="20"/>
                <w:szCs w:val="2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8385D3"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p w14:paraId="49B1D64E"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774255" w14:textId="77777777" w:rsidR="00401786" w:rsidRDefault="00401786" w:rsidP="000E757E">
            <w:pPr>
              <w:widowControl/>
              <w:snapToGrid w:val="0"/>
              <w:spacing w:line="240" w:lineRule="atLeast"/>
              <w:rPr>
                <w:rFonts w:ascii="標楷體" w:eastAsia="標楷體" w:hAnsi="標楷體"/>
                <w:color w:val="000000"/>
                <w:sz w:val="20"/>
                <w:szCs w:val="20"/>
              </w:rPr>
            </w:pPr>
          </w:p>
          <w:p w14:paraId="6838821B" w14:textId="77777777" w:rsidR="00401786" w:rsidRDefault="00401786" w:rsidP="000E757E">
            <w:pPr>
              <w:snapToGrid w:val="0"/>
              <w:spacing w:line="240" w:lineRule="atLeast"/>
              <w:rPr>
                <w:rFonts w:ascii="標楷體" w:eastAsia="標楷體" w:hAnsi="標楷體"/>
                <w:color w:val="000000"/>
                <w:sz w:val="20"/>
                <w:szCs w:val="20"/>
              </w:rPr>
            </w:pPr>
          </w:p>
        </w:tc>
      </w:tr>
    </w:tbl>
    <w:p w14:paraId="74DEB7A7" w14:textId="0AE52563" w:rsidR="00401786" w:rsidRPr="00F37647" w:rsidRDefault="00C64FB3" w:rsidP="000E757E">
      <w:pPr>
        <w:snapToGrid w:val="0"/>
        <w:spacing w:line="240" w:lineRule="atLeast"/>
        <w:rPr>
          <w:b/>
          <w:bCs/>
        </w:rPr>
      </w:pPr>
      <w:r w:rsidRPr="00F37647">
        <w:rPr>
          <w:rFonts w:ascii="標楷體" w:eastAsia="標楷體" w:hAnsi="標楷體" w:cs="標楷體"/>
          <w:b/>
          <w:bCs/>
          <w:color w:val="000000"/>
        </w:rPr>
        <w:lastRenderedPageBreak/>
        <w:t>附表九之十一</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b/>
          <w:bCs/>
          <w:color w:val="000000"/>
        </w:rPr>
        <w:t>品</w:t>
      </w:r>
      <w:proofErr w:type="spellStart"/>
      <w:r w:rsidRPr="00F37647">
        <w:rPr>
          <w:rFonts w:ascii="標楷體" w:eastAsia="標楷體" w:hAnsi="標楷體"/>
          <w:b/>
          <w:bCs/>
          <w:color w:val="000000"/>
        </w:rPr>
        <w:t>temsirolimus</w:t>
      </w:r>
      <w:proofErr w:type="spellEnd"/>
      <w:r w:rsidRPr="00F37647">
        <w:rPr>
          <w:rFonts w:ascii="標楷體" w:eastAsia="標楷體" w:hAnsi="標楷體" w:cs="標楷體"/>
          <w:b/>
          <w:bCs/>
          <w:color w:val="000000"/>
        </w:rPr>
        <w:t>申請表</w:t>
      </w:r>
    </w:p>
    <w:tbl>
      <w:tblPr>
        <w:tblW w:w="5000" w:type="pct"/>
        <w:tblCellMar>
          <w:left w:w="10" w:type="dxa"/>
          <w:right w:w="10" w:type="dxa"/>
        </w:tblCellMar>
        <w:tblLook w:val="0000" w:firstRow="0" w:lastRow="0" w:firstColumn="0" w:lastColumn="0" w:noHBand="0" w:noVBand="0"/>
      </w:tblPr>
      <w:tblGrid>
        <w:gridCol w:w="657"/>
        <w:gridCol w:w="409"/>
        <w:gridCol w:w="292"/>
        <w:gridCol w:w="1323"/>
        <w:gridCol w:w="351"/>
        <w:gridCol w:w="364"/>
        <w:gridCol w:w="595"/>
        <w:gridCol w:w="569"/>
        <w:gridCol w:w="378"/>
        <w:gridCol w:w="1184"/>
        <w:gridCol w:w="608"/>
        <w:gridCol w:w="365"/>
        <w:gridCol w:w="1080"/>
        <w:gridCol w:w="1060"/>
        <w:gridCol w:w="472"/>
        <w:gridCol w:w="363"/>
        <w:gridCol w:w="233"/>
        <w:gridCol w:w="582"/>
        <w:gridCol w:w="371"/>
        <w:gridCol w:w="467"/>
        <w:gridCol w:w="366"/>
        <w:gridCol w:w="208"/>
        <w:gridCol w:w="155"/>
        <w:gridCol w:w="224"/>
        <w:gridCol w:w="601"/>
        <w:gridCol w:w="364"/>
        <w:gridCol w:w="919"/>
      </w:tblGrid>
      <w:tr w:rsidR="00401786" w14:paraId="602C983D" w14:textId="77777777">
        <w:trPr>
          <w:cantSplit/>
          <w:trHeight w:val="523"/>
        </w:trPr>
        <w:tc>
          <w:tcPr>
            <w:tcW w:w="2681"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1F38700A"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4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2EF88A"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0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0195DB"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48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DED696"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3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DB2523"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67098651" w14:textId="77777777">
        <w:trPr>
          <w:cantSplit/>
          <w:trHeight w:val="517"/>
        </w:trPr>
        <w:tc>
          <w:tcPr>
            <w:tcW w:w="6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D944E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3575F0"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FA431E" w14:textId="77777777" w:rsidR="00401786" w:rsidRDefault="00401786" w:rsidP="000E757E">
            <w:pPr>
              <w:snapToGrid w:val="0"/>
              <w:spacing w:line="240" w:lineRule="atLeast"/>
              <w:rPr>
                <w:rFonts w:ascii="標楷體" w:eastAsia="標楷體" w:hAnsi="標楷體"/>
                <w:color w:val="000000"/>
                <w:sz w:val="20"/>
                <w:szCs w:val="20"/>
              </w:rPr>
            </w:pPr>
          </w:p>
        </w:tc>
        <w:tc>
          <w:tcPr>
            <w:tcW w:w="36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DA1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166ACF2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A98F58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9106CB9"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27DAE3"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04FCAC" w14:textId="77777777" w:rsidR="00401786" w:rsidRDefault="00401786" w:rsidP="000E757E">
            <w:pPr>
              <w:snapToGrid w:val="0"/>
              <w:spacing w:line="240" w:lineRule="atLeast"/>
              <w:rPr>
                <w:rFonts w:ascii="標楷體" w:eastAsia="標楷體" w:hAnsi="標楷體"/>
                <w:color w:val="000000"/>
                <w:sz w:val="20"/>
                <w:szCs w:val="20"/>
              </w:rPr>
            </w:pPr>
          </w:p>
        </w:tc>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5E33E4"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F990C3" w14:textId="77777777" w:rsidR="00401786" w:rsidRDefault="00401786" w:rsidP="000E757E">
            <w:pPr>
              <w:snapToGrid w:val="0"/>
              <w:spacing w:line="240" w:lineRule="atLeast"/>
              <w:rPr>
                <w:rFonts w:ascii="標楷體" w:eastAsia="標楷體" w:hAnsi="標楷體"/>
                <w:color w:val="000000"/>
                <w:sz w:val="20"/>
                <w:szCs w:val="20"/>
              </w:rPr>
            </w:pP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336800"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82995B3"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4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60DBBA" w14:textId="77777777" w:rsidR="00401786" w:rsidRDefault="00401786" w:rsidP="000E757E">
            <w:pPr>
              <w:snapToGrid w:val="0"/>
              <w:spacing w:line="240" w:lineRule="atLeast"/>
              <w:rPr>
                <w:rFonts w:ascii="標楷體" w:eastAsia="標楷體" w:hAnsi="標楷體"/>
                <w:color w:val="000000"/>
                <w:sz w:val="20"/>
                <w:szCs w:val="20"/>
              </w:rPr>
            </w:pPr>
          </w:p>
        </w:tc>
        <w:tc>
          <w:tcPr>
            <w:tcW w:w="104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DA5765"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579C07"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A0C2903" w14:textId="77777777">
        <w:trPr>
          <w:cantSplit/>
          <w:trHeight w:val="530"/>
        </w:trPr>
        <w:tc>
          <w:tcPr>
            <w:tcW w:w="6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72C018" w14:textId="77777777" w:rsidR="00401786" w:rsidRDefault="00401786" w:rsidP="000E757E">
            <w:pPr>
              <w:snapToGrid w:val="0"/>
              <w:spacing w:line="240" w:lineRule="atLeast"/>
              <w:rPr>
                <w:rFonts w:ascii="標楷體" w:eastAsia="標楷體" w:hAnsi="標楷體"/>
                <w:color w:val="000000"/>
                <w:sz w:val="20"/>
                <w:szCs w:val="20"/>
              </w:rPr>
            </w:pPr>
          </w:p>
        </w:tc>
        <w:tc>
          <w:tcPr>
            <w:tcW w:w="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403D6D"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8136DE" w14:textId="77777777" w:rsidR="00401786" w:rsidRDefault="00401786" w:rsidP="000E757E">
            <w:pPr>
              <w:snapToGrid w:val="0"/>
              <w:spacing w:line="240" w:lineRule="atLeast"/>
              <w:rPr>
                <w:rFonts w:ascii="標楷體" w:eastAsia="標楷體" w:hAnsi="標楷體"/>
                <w:color w:val="000000"/>
                <w:sz w:val="20"/>
                <w:szCs w:val="20"/>
              </w:rPr>
            </w:pPr>
          </w:p>
        </w:tc>
        <w:tc>
          <w:tcPr>
            <w:tcW w:w="36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22CC4D" w14:textId="77777777" w:rsidR="00401786" w:rsidRDefault="00401786" w:rsidP="000E757E">
            <w:pPr>
              <w:snapToGrid w:val="0"/>
              <w:spacing w:line="240" w:lineRule="atLeast"/>
              <w:rPr>
                <w:rFonts w:ascii="標楷體" w:eastAsia="標楷體" w:hAnsi="標楷體"/>
                <w:color w:val="000000"/>
                <w:sz w:val="20"/>
                <w:szCs w:val="20"/>
              </w:rPr>
            </w:pPr>
          </w:p>
        </w:tc>
        <w:tc>
          <w:tcPr>
            <w:tcW w:w="116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045DF2"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3F94DAB1"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96809B" w14:textId="77777777" w:rsidR="00401786" w:rsidRDefault="00401786" w:rsidP="000E757E">
            <w:pPr>
              <w:snapToGrid w:val="0"/>
              <w:spacing w:line="240" w:lineRule="atLeast"/>
              <w:rPr>
                <w:rFonts w:ascii="標楷體" w:eastAsia="標楷體" w:hAnsi="標楷體"/>
                <w:color w:val="000000"/>
                <w:sz w:val="20"/>
                <w:szCs w:val="20"/>
              </w:rPr>
            </w:pPr>
          </w:p>
        </w:tc>
        <w:tc>
          <w:tcPr>
            <w:tcW w:w="3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D09F0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127114B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34E6DC" w14:textId="77777777" w:rsidR="00401786" w:rsidRDefault="00401786" w:rsidP="000E757E">
            <w:pPr>
              <w:snapToGrid w:val="0"/>
              <w:spacing w:line="240" w:lineRule="atLeast"/>
              <w:rPr>
                <w:rFonts w:ascii="標楷體" w:eastAsia="標楷體" w:hAnsi="標楷體"/>
                <w:color w:val="000000"/>
                <w:sz w:val="20"/>
                <w:szCs w:val="20"/>
              </w:rPr>
            </w:pP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893DBE"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12883A"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00E99F" w14:textId="77777777" w:rsidR="00401786" w:rsidRDefault="00401786" w:rsidP="000E757E">
            <w:pPr>
              <w:snapToGrid w:val="0"/>
              <w:spacing w:line="240" w:lineRule="atLeast"/>
              <w:rPr>
                <w:rFonts w:ascii="標楷體" w:eastAsia="標楷體" w:hAnsi="標楷體"/>
                <w:color w:val="000000"/>
                <w:sz w:val="20"/>
                <w:szCs w:val="20"/>
              </w:rPr>
            </w:pPr>
          </w:p>
        </w:tc>
        <w:tc>
          <w:tcPr>
            <w:tcW w:w="95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0F365A"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8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A5006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112FAA4" w14:textId="77777777">
        <w:trPr>
          <w:cantSplit/>
          <w:trHeight w:val="421"/>
        </w:trPr>
        <w:tc>
          <w:tcPr>
            <w:tcW w:w="135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8E0C2A"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63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758A50" w14:textId="77777777" w:rsidR="00401786" w:rsidRDefault="00401786" w:rsidP="000E757E">
            <w:pPr>
              <w:snapToGrid w:val="0"/>
              <w:spacing w:line="240" w:lineRule="atLeast"/>
              <w:rPr>
                <w:rFonts w:ascii="標楷體" w:eastAsia="標楷體" w:hAnsi="標楷體"/>
                <w:color w:val="000000"/>
                <w:sz w:val="20"/>
                <w:szCs w:val="20"/>
              </w:rPr>
            </w:pPr>
          </w:p>
        </w:tc>
        <w:tc>
          <w:tcPr>
            <w:tcW w:w="94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47FDD9"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2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E23F0F" w14:textId="77777777" w:rsidR="00401786" w:rsidRDefault="00401786" w:rsidP="000E757E">
            <w:pPr>
              <w:snapToGrid w:val="0"/>
              <w:spacing w:line="240" w:lineRule="atLeast"/>
              <w:rPr>
                <w:rFonts w:ascii="標楷體" w:eastAsia="標楷體" w:hAnsi="標楷體"/>
                <w:color w:val="000000"/>
                <w:sz w:val="20"/>
                <w:szCs w:val="20"/>
              </w:rPr>
            </w:pP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9D207"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853"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51B3D7F"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2BD098FD" w14:textId="77777777">
        <w:trPr>
          <w:cantSplit/>
        </w:trPr>
        <w:tc>
          <w:tcPr>
            <w:tcW w:w="135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2646AF"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72910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494"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31764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93745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療程劑量</w:t>
            </w:r>
          </w:p>
        </w:tc>
        <w:tc>
          <w:tcPr>
            <w:tcW w:w="4853"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0E3BCD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4FFF2273" w14:textId="77777777">
        <w:trPr>
          <w:cantSplit/>
          <w:trHeight w:val="2910"/>
        </w:trPr>
        <w:tc>
          <w:tcPr>
            <w:tcW w:w="135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89F8AC" w14:textId="77777777" w:rsidR="00401786" w:rsidRDefault="00C64FB3" w:rsidP="000E757E">
            <w:p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成分</w:t>
            </w:r>
          </w:p>
          <w:p w14:paraId="5415EBB9" w14:textId="77777777" w:rsidR="00401786" w:rsidRDefault="00C64FB3" w:rsidP="000E757E">
            <w:pPr>
              <w:snapToGrid w:val="0"/>
              <w:spacing w:before="180" w:after="180" w:line="240" w:lineRule="atLeast"/>
            </w:pPr>
            <w:proofErr w:type="spellStart"/>
            <w:r>
              <w:rPr>
                <w:rFonts w:ascii="標楷體" w:eastAsia="標楷體" w:hAnsi="標楷體"/>
                <w:color w:val="000000"/>
                <w:sz w:val="20"/>
                <w:szCs w:val="20"/>
              </w:rPr>
              <w:t>temsirolimus</w:t>
            </w:r>
            <w:proofErr w:type="spellEnd"/>
          </w:p>
          <w:p w14:paraId="6801012E" w14:textId="77777777" w:rsidR="00401786" w:rsidRDefault="00C64FB3" w:rsidP="000E757E">
            <w:p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劑型</w:t>
            </w:r>
          </w:p>
          <w:p w14:paraId="09972DE9" w14:textId="77777777" w:rsidR="00401786" w:rsidRDefault="00C64FB3">
            <w:pPr>
              <w:numPr>
                <w:ilvl w:val="0"/>
                <w:numId w:val="74"/>
              </w:numPr>
              <w:snapToGrid w:val="0"/>
              <w:spacing w:before="180" w:after="180" w:line="240" w:lineRule="atLeast"/>
              <w:ind w:left="284" w:hanging="284"/>
              <w:rPr>
                <w:rFonts w:ascii="標楷體" w:eastAsia="標楷體" w:hAnsi="標楷體"/>
                <w:color w:val="000000"/>
                <w:sz w:val="20"/>
                <w:szCs w:val="20"/>
              </w:rPr>
            </w:pPr>
            <w:r>
              <w:rPr>
                <w:rFonts w:ascii="標楷體" w:eastAsia="標楷體" w:hAnsi="標楷體"/>
                <w:color w:val="000000"/>
                <w:sz w:val="20"/>
                <w:szCs w:val="20"/>
              </w:rPr>
              <w:t>注射劑型</w:t>
            </w:r>
          </w:p>
          <w:p w14:paraId="07C90237" w14:textId="77777777" w:rsidR="00401786" w:rsidRDefault="00C64FB3">
            <w:pPr>
              <w:widowControl/>
              <w:numPr>
                <w:ilvl w:val="0"/>
                <w:numId w:val="74"/>
              </w:numPr>
              <w:tabs>
                <w:tab w:val="left" w:pos="240"/>
              </w:tabs>
              <w:snapToGrid w:val="0"/>
              <w:spacing w:line="240" w:lineRule="atLeast"/>
              <w:ind w:left="240" w:hanging="240"/>
            </w:pPr>
            <w:r>
              <w:rPr>
                <w:rFonts w:ascii="標楷體" w:eastAsia="標楷體" w:hAnsi="標楷體"/>
                <w:color w:val="000000"/>
                <w:sz w:val="20"/>
                <w:szCs w:val="20"/>
              </w:rPr>
              <w:t>口服劑型</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669ECB" w14:textId="77777777" w:rsidR="00401786" w:rsidRDefault="00401786" w:rsidP="000E757E">
            <w:pPr>
              <w:snapToGrid w:val="0"/>
              <w:spacing w:before="180" w:line="240" w:lineRule="atLeast"/>
              <w:ind w:left="269" w:hanging="269"/>
              <w:rPr>
                <w:rFonts w:ascii="標楷體" w:eastAsia="標楷體" w:hAnsi="標楷體"/>
                <w:u w:val="single"/>
              </w:rPr>
            </w:pPr>
          </w:p>
          <w:p w14:paraId="0CE6AF09"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08D5A538"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07300A9F"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59142EDB"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494"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567121" w14:textId="77777777" w:rsidR="00401786" w:rsidRDefault="00C64FB3" w:rsidP="000E757E">
            <w:pPr>
              <w:pStyle w:val="ad"/>
              <w:snapToGrid w:val="0"/>
              <w:spacing w:before="0" w:after="0" w:line="240" w:lineRule="atLeast"/>
              <w:ind w:left="200" w:hanging="200"/>
            </w:pPr>
            <w:r>
              <w:t>一、需經事前審查核准後使用，每次給付3個月藥量，送審時需檢送影像資料，每3個月評估一次。</w:t>
            </w:r>
          </w:p>
          <w:p w14:paraId="6D3EFC91" w14:textId="77777777" w:rsidR="00401786" w:rsidRDefault="00C64FB3" w:rsidP="000E757E">
            <w:pPr>
              <w:pStyle w:val="ad"/>
              <w:snapToGrid w:val="0"/>
              <w:spacing w:before="0" w:after="0" w:line="240" w:lineRule="atLeast"/>
              <w:ind w:left="200" w:hanging="200"/>
            </w:pPr>
            <w:r>
              <w:t>(1)治療不限細胞型的高風險</w:t>
            </w:r>
            <w:proofErr w:type="gramStart"/>
            <w:r>
              <w:t>晚期腎</w:t>
            </w:r>
            <w:proofErr w:type="gramEnd"/>
            <w:r>
              <w:t>細胞癌。</w:t>
            </w:r>
          </w:p>
          <w:p w14:paraId="246C3100" w14:textId="77777777" w:rsidR="00401786" w:rsidRDefault="00C64FB3" w:rsidP="000E757E">
            <w:pPr>
              <w:pStyle w:val="ad"/>
              <w:snapToGrid w:val="0"/>
              <w:spacing w:before="0" w:after="0" w:line="240" w:lineRule="atLeast"/>
              <w:ind w:left="200" w:hanging="200"/>
            </w:pPr>
            <w:r>
              <w:t>(2)需具有下列六個風險因子中至少3個以上因子：</w:t>
            </w:r>
          </w:p>
          <w:p w14:paraId="65A09D3F" w14:textId="77777777" w:rsidR="00401786" w:rsidRDefault="00C64FB3" w:rsidP="000E757E">
            <w:pPr>
              <w:pStyle w:val="ad"/>
              <w:snapToGrid w:val="0"/>
              <w:spacing w:before="0" w:after="0" w:line="240" w:lineRule="atLeast"/>
              <w:ind w:left="200" w:hanging="200"/>
            </w:pPr>
            <w:r>
              <w:t>I.</w:t>
            </w:r>
            <w:r>
              <w:tab/>
              <w:t>距離初次診斷出腎細胞癌之時間未達一年</w:t>
            </w:r>
          </w:p>
          <w:p w14:paraId="5DBD6854" w14:textId="77777777" w:rsidR="00401786" w:rsidRDefault="00C64FB3" w:rsidP="000E757E">
            <w:pPr>
              <w:pStyle w:val="ad"/>
              <w:snapToGrid w:val="0"/>
              <w:spacing w:before="0" w:after="0" w:line="240" w:lineRule="atLeast"/>
              <w:ind w:left="200" w:hanging="200"/>
            </w:pPr>
            <w:proofErr w:type="spellStart"/>
            <w:r>
              <w:t>II.KarnofskyPerformancescale</w:t>
            </w:r>
            <w:proofErr w:type="spellEnd"/>
            <w:r>
              <w:t>界於60至70之間</w:t>
            </w:r>
          </w:p>
          <w:p w14:paraId="465854AD" w14:textId="77777777" w:rsidR="00401786" w:rsidRDefault="00C64FB3" w:rsidP="000E757E">
            <w:pPr>
              <w:pStyle w:val="ad"/>
              <w:snapToGrid w:val="0"/>
              <w:spacing w:before="0" w:after="0" w:line="240" w:lineRule="atLeast"/>
              <w:ind w:left="200" w:hanging="200"/>
            </w:pPr>
            <w:r>
              <w:t>III.血色素低於正常值12gm/dL</w:t>
            </w:r>
          </w:p>
          <w:p w14:paraId="45B55BD8" w14:textId="77777777" w:rsidR="00401786" w:rsidRDefault="00C64FB3" w:rsidP="000E757E">
            <w:pPr>
              <w:pStyle w:val="ad"/>
              <w:snapToGrid w:val="0"/>
              <w:spacing w:before="0" w:after="0" w:line="240" w:lineRule="atLeast"/>
              <w:ind w:left="200" w:hanging="200"/>
            </w:pPr>
            <w:r>
              <w:t>IV.矯正</w:t>
            </w:r>
            <w:proofErr w:type="gramStart"/>
            <w:r>
              <w:t>後血鈣值</w:t>
            </w:r>
            <w:proofErr w:type="gramEnd"/>
            <w:r>
              <w:t>超過10mg/dL</w:t>
            </w:r>
          </w:p>
          <w:p w14:paraId="599155FE" w14:textId="77777777" w:rsidR="00401786" w:rsidRDefault="00C64FB3" w:rsidP="000E757E">
            <w:pPr>
              <w:pStyle w:val="ad"/>
              <w:snapToGrid w:val="0"/>
              <w:spacing w:before="0" w:after="0" w:line="240" w:lineRule="atLeast"/>
              <w:ind w:left="200" w:hanging="200"/>
            </w:pPr>
            <w:r>
              <w:t>V.</w:t>
            </w:r>
            <w:r>
              <w:tab/>
              <w:t>乳酸脫氫酶(</w:t>
            </w:r>
            <w:proofErr w:type="spellStart"/>
            <w:r>
              <w:t>lactatedehydrogenase</w:t>
            </w:r>
            <w:proofErr w:type="spellEnd"/>
            <w:r>
              <w:t>)超過1.5倍正常值上限</w:t>
            </w:r>
          </w:p>
          <w:p w14:paraId="379CDA06" w14:textId="77777777" w:rsidR="00401786" w:rsidRDefault="00C64FB3" w:rsidP="000E757E">
            <w:pPr>
              <w:pStyle w:val="ad"/>
              <w:snapToGrid w:val="0"/>
              <w:spacing w:before="0" w:after="0" w:line="240" w:lineRule="atLeast"/>
              <w:ind w:left="200" w:hanging="200"/>
            </w:pPr>
            <w:r>
              <w:t>VI.超過一個以上的器官有轉移病灶。</w:t>
            </w:r>
          </w:p>
          <w:p w14:paraId="1764EF79" w14:textId="77777777" w:rsidR="00401786" w:rsidRDefault="00C64FB3" w:rsidP="000E757E">
            <w:pPr>
              <w:pStyle w:val="ad"/>
              <w:snapToGrid w:val="0"/>
              <w:spacing w:before="0" w:after="0" w:line="240" w:lineRule="atLeast"/>
              <w:ind w:left="200" w:hanging="200"/>
            </w:pPr>
            <w:r>
              <w:t>(3)無效後則</w:t>
            </w:r>
            <w:proofErr w:type="gramStart"/>
            <w:r>
              <w:t>不</w:t>
            </w:r>
            <w:proofErr w:type="gramEnd"/>
            <w:r>
              <w:t>給付其他TKI。</w:t>
            </w:r>
          </w:p>
          <w:p w14:paraId="1643BFE3" w14:textId="77777777" w:rsidR="00401786" w:rsidRDefault="00C64FB3" w:rsidP="000E757E">
            <w:pPr>
              <w:pStyle w:val="ad"/>
              <w:snapToGrid w:val="0"/>
              <w:spacing w:before="0" w:after="0" w:line="240" w:lineRule="atLeast"/>
              <w:ind w:left="200" w:hanging="200"/>
            </w:pPr>
            <w:r>
              <w:t>二、病人若對藥物產生耐受性不佳（intolerance），則以原來藥物減量為原則，若嚴重耐受性不佳，可以換</w:t>
            </w:r>
            <w:proofErr w:type="gramStart"/>
            <w:r>
              <w:t>其他酪胺酸激酶</w:t>
            </w:r>
            <w:proofErr w:type="gramEnd"/>
            <w:r>
              <w:t>阻斷劑（</w:t>
            </w:r>
            <w:proofErr w:type="spellStart"/>
            <w:r>
              <w:t>tyrosinekinaseinhibitor,TKI</w:t>
            </w:r>
            <w:proofErr w:type="spellEnd"/>
            <w:r>
              <w:t>）。</w:t>
            </w: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253384" w14:textId="77777777" w:rsidR="00401786" w:rsidRDefault="00401786" w:rsidP="000E757E">
            <w:pPr>
              <w:snapToGrid w:val="0"/>
              <w:spacing w:line="240" w:lineRule="atLeast"/>
              <w:rPr>
                <w:rFonts w:ascii="標楷體" w:eastAsia="標楷體" w:hAnsi="標楷體"/>
                <w:color w:val="000000"/>
                <w:sz w:val="20"/>
                <w:szCs w:val="20"/>
              </w:rPr>
            </w:pPr>
          </w:p>
        </w:tc>
        <w:tc>
          <w:tcPr>
            <w:tcW w:w="4853"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E3636CD" w14:textId="77777777" w:rsidR="00401786" w:rsidRDefault="00C64FB3">
            <w:pPr>
              <w:numPr>
                <w:ilvl w:val="0"/>
                <w:numId w:val="74"/>
              </w:numPr>
              <w:snapToGrid w:val="0"/>
              <w:spacing w:line="240" w:lineRule="atLeast"/>
            </w:pPr>
            <w:r>
              <w:rPr>
                <w:rFonts w:ascii="標楷體" w:eastAsia="標楷體" w:hAnsi="標楷體" w:cs="標楷體"/>
                <w:color w:val="000000"/>
                <w:sz w:val="20"/>
                <w:szCs w:val="20"/>
              </w:rPr>
              <w:t>同意備查(下列二者擇</w:t>
            </w:r>
            <w:proofErr w:type="gramStart"/>
            <w:r>
              <w:rPr>
                <w:rFonts w:ascii="標楷體" w:eastAsia="標楷體" w:hAnsi="標楷體" w:cs="標楷體"/>
                <w:color w:val="000000"/>
                <w:sz w:val="20"/>
                <w:szCs w:val="20"/>
              </w:rPr>
              <w:t>一</w:t>
            </w:r>
            <w:proofErr w:type="gramEnd"/>
            <w:r>
              <w:rPr>
                <w:rFonts w:ascii="標楷體" w:eastAsia="標楷體" w:hAnsi="標楷體" w:cs="標楷體"/>
                <w:color w:val="000000"/>
                <w:sz w:val="20"/>
                <w:szCs w:val="20"/>
              </w:rPr>
              <w:t>核定)：</w:t>
            </w:r>
          </w:p>
          <w:p w14:paraId="30E14D3C" w14:textId="77777777" w:rsidR="00401786" w:rsidRDefault="00C64FB3">
            <w:pPr>
              <w:numPr>
                <w:ilvl w:val="0"/>
                <w:numId w:val="74"/>
              </w:numPr>
              <w:snapToGrid w:val="0"/>
              <w:spacing w:line="240" w:lineRule="atLeast"/>
              <w:ind w:left="478" w:hanging="238"/>
            </w:pPr>
            <w:r>
              <w:rPr>
                <w:rFonts w:ascii="標楷體" w:eastAsia="標楷體" w:hAnsi="標楷體" w:cs="標楷體"/>
                <w:sz w:val="20"/>
                <w:szCs w:val="20"/>
              </w:rPr>
              <w:t>核定使用</w:t>
            </w:r>
            <w:proofErr w:type="gramStart"/>
            <w:r>
              <w:rPr>
                <w:rFonts w:ascii="標楷體" w:eastAsia="標楷體" w:hAnsi="標楷體" w:cs="標楷體"/>
                <w:sz w:val="20"/>
                <w:szCs w:val="20"/>
              </w:rPr>
              <w:t>起迄</w:t>
            </w:r>
            <w:proofErr w:type="gramEnd"/>
            <w:r>
              <w:rPr>
                <w:rFonts w:ascii="標楷體" w:eastAsia="標楷體" w:hAnsi="標楷體" w:cs="標楷體"/>
                <w:sz w:val="20"/>
                <w:szCs w:val="20"/>
              </w:rPr>
              <w:t xml:space="preserve">期間：共　　　月（共　　　　</w:t>
            </w:r>
            <w:proofErr w:type="gramStart"/>
            <w:r>
              <w:rPr>
                <w:rFonts w:ascii="標楷體" w:eastAsia="標楷體" w:hAnsi="標楷體" w:cs="標楷體"/>
                <w:sz w:val="20"/>
                <w:szCs w:val="20"/>
              </w:rPr>
              <w:t>週</w:t>
            </w:r>
            <w:proofErr w:type="gramEnd"/>
            <w:r>
              <w:rPr>
                <w:rFonts w:ascii="標楷體" w:eastAsia="標楷體" w:hAnsi="標楷體" w:cs="標楷體"/>
                <w:sz w:val="20"/>
                <w:szCs w:val="20"/>
              </w:rPr>
              <w:t>）</w:t>
            </w:r>
          </w:p>
          <w:p w14:paraId="4E5CCCE4" w14:textId="77777777" w:rsidR="00401786" w:rsidRDefault="00C64FB3">
            <w:pPr>
              <w:numPr>
                <w:ilvl w:val="0"/>
                <w:numId w:val="74"/>
              </w:numPr>
              <w:snapToGrid w:val="0"/>
              <w:spacing w:line="240" w:lineRule="atLeast"/>
              <w:ind w:left="478" w:hanging="238"/>
              <w:rPr>
                <w:rFonts w:ascii="標楷體" w:eastAsia="標楷體" w:hAnsi="標楷體" w:cs="標楷體"/>
                <w:sz w:val="20"/>
                <w:szCs w:val="20"/>
              </w:rPr>
            </w:pPr>
            <w:r>
              <w:rPr>
                <w:rFonts w:ascii="標楷體" w:eastAsia="標楷體" w:hAnsi="標楷體" w:cs="標楷體"/>
                <w:sz w:val="20"/>
                <w:szCs w:val="20"/>
              </w:rPr>
              <w:t>核定使用療程：共　　　　　療程</w:t>
            </w:r>
          </w:p>
          <w:p w14:paraId="592D155A"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1990553"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不符合適應症。</w:t>
            </w:r>
          </w:p>
          <w:p w14:paraId="566DFCA5"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54822852"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2051BE96"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7B095070"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2F5FD1A0" w14:textId="77777777" w:rsidR="00401786" w:rsidRDefault="00C64FB3">
            <w:pPr>
              <w:numPr>
                <w:ilvl w:val="0"/>
                <w:numId w:val="74"/>
              </w:numPr>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09F9A133" w14:textId="77777777" w:rsidR="00401786" w:rsidRDefault="00C64FB3">
            <w:pPr>
              <w:numPr>
                <w:ilvl w:val="0"/>
                <w:numId w:val="74"/>
              </w:numPr>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48A9CC3C" w14:textId="77777777" w:rsidR="00401786" w:rsidRDefault="00C64FB3">
            <w:pPr>
              <w:numPr>
                <w:ilvl w:val="0"/>
                <w:numId w:val="74"/>
              </w:numPr>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350D082B"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其他：</w:t>
            </w:r>
          </w:p>
        </w:tc>
      </w:tr>
      <w:tr w:rsidR="00401786" w14:paraId="4B9B774F" w14:textId="77777777">
        <w:trPr>
          <w:cantSplit/>
          <w:trHeight w:val="400"/>
        </w:trPr>
        <w:tc>
          <w:tcPr>
            <w:tcW w:w="6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D984E6"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78CC2D57"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050" w:type="dxa"/>
            <w:gridSpan w:val="1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F44EE0"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7682D358"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13F2CD5C"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64BCF599"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026CABF"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2B3CC4E6"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55A7848"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853"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AC53C0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B5BA7CB" w14:textId="77777777">
        <w:trPr>
          <w:cantSplit/>
          <w:trHeight w:val="1129"/>
        </w:trPr>
        <w:tc>
          <w:tcPr>
            <w:tcW w:w="6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3CEB17" w14:textId="77777777" w:rsidR="00401786" w:rsidRDefault="00401786" w:rsidP="000E757E">
            <w:pPr>
              <w:snapToGrid w:val="0"/>
              <w:spacing w:line="240" w:lineRule="atLeast"/>
              <w:ind w:left="211" w:hanging="211"/>
              <w:rPr>
                <w:rFonts w:ascii="標楷體" w:eastAsia="標楷體" w:hAnsi="標楷體"/>
                <w:color w:val="000000"/>
              </w:rPr>
            </w:pPr>
          </w:p>
        </w:tc>
        <w:tc>
          <w:tcPr>
            <w:tcW w:w="905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139F96" w14:textId="77777777" w:rsidR="00401786" w:rsidRDefault="00401786" w:rsidP="000E757E">
            <w:pPr>
              <w:snapToGrid w:val="0"/>
              <w:spacing w:line="240" w:lineRule="atLeast"/>
              <w:ind w:left="211" w:hanging="211"/>
              <w:rPr>
                <w:rFonts w:ascii="標楷體" w:eastAsia="標楷體" w:hAnsi="標楷體"/>
                <w:color w:val="000000"/>
              </w:rPr>
            </w:pPr>
          </w:p>
        </w:tc>
        <w:tc>
          <w:tcPr>
            <w:tcW w:w="3570"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DDE2E2"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3455C414"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6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501426"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1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21CA52" w14:textId="77777777" w:rsidR="00401786" w:rsidRDefault="00401786" w:rsidP="000E757E">
            <w:pPr>
              <w:snapToGrid w:val="0"/>
              <w:spacing w:line="240" w:lineRule="atLeast"/>
              <w:rPr>
                <w:rFonts w:ascii="標楷體" w:eastAsia="標楷體" w:hAnsi="標楷體"/>
                <w:color w:val="000000"/>
              </w:rPr>
            </w:pPr>
          </w:p>
        </w:tc>
      </w:tr>
      <w:tr w:rsidR="00401786" w14:paraId="32576E62" w14:textId="77777777">
        <w:trPr>
          <w:cantSplit/>
          <w:trHeight w:val="835"/>
        </w:trPr>
        <w:tc>
          <w:tcPr>
            <w:tcW w:w="6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410843" w14:textId="77777777" w:rsidR="00401786" w:rsidRDefault="00401786" w:rsidP="000E757E">
            <w:pPr>
              <w:snapToGrid w:val="0"/>
              <w:spacing w:line="240" w:lineRule="atLeast"/>
              <w:ind w:left="211" w:hanging="211"/>
              <w:rPr>
                <w:rFonts w:ascii="標楷體" w:eastAsia="標楷體" w:hAnsi="標楷體"/>
                <w:color w:val="000000"/>
              </w:rPr>
            </w:pPr>
          </w:p>
        </w:tc>
        <w:tc>
          <w:tcPr>
            <w:tcW w:w="905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E6D34C" w14:textId="77777777" w:rsidR="00401786" w:rsidRDefault="00401786" w:rsidP="000E757E">
            <w:pPr>
              <w:snapToGrid w:val="0"/>
              <w:spacing w:line="240" w:lineRule="atLeast"/>
              <w:ind w:left="211" w:hanging="211"/>
              <w:rPr>
                <w:rFonts w:ascii="標楷體" w:eastAsia="標楷體" w:hAnsi="標楷體"/>
                <w:color w:val="000000"/>
              </w:rPr>
            </w:pPr>
          </w:p>
        </w:tc>
        <w:tc>
          <w:tcPr>
            <w:tcW w:w="3570"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44E619" w14:textId="77777777" w:rsidR="00401786" w:rsidRDefault="00401786" w:rsidP="000E757E">
            <w:pPr>
              <w:snapToGrid w:val="0"/>
              <w:spacing w:line="240" w:lineRule="atLeast"/>
              <w:jc w:val="both"/>
              <w:rPr>
                <w:rFonts w:ascii="標楷體" w:eastAsia="標楷體" w:hAnsi="標楷體"/>
                <w:color w:val="000000"/>
              </w:rPr>
            </w:pPr>
          </w:p>
        </w:tc>
        <w:tc>
          <w:tcPr>
            <w:tcW w:w="36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3C1E9A" w14:textId="77777777" w:rsidR="00401786" w:rsidRDefault="00401786" w:rsidP="000E757E">
            <w:pPr>
              <w:snapToGrid w:val="0"/>
              <w:spacing w:line="240" w:lineRule="atLeast"/>
              <w:rPr>
                <w:rFonts w:ascii="標楷體" w:eastAsia="標楷體" w:hAnsi="標楷體" w:cs="標楷體"/>
                <w:color w:val="000000"/>
              </w:rPr>
            </w:pPr>
          </w:p>
        </w:tc>
        <w:tc>
          <w:tcPr>
            <w:tcW w:w="91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6EEBC3" w14:textId="77777777" w:rsidR="00401786" w:rsidRDefault="00401786" w:rsidP="000E757E">
            <w:pPr>
              <w:snapToGrid w:val="0"/>
              <w:spacing w:line="240" w:lineRule="atLeast"/>
              <w:rPr>
                <w:rFonts w:ascii="標楷體" w:eastAsia="標楷體" w:hAnsi="標楷體"/>
                <w:color w:val="000000"/>
              </w:rPr>
            </w:pPr>
          </w:p>
        </w:tc>
      </w:tr>
      <w:tr w:rsidR="00401786" w14:paraId="6246168B" w14:textId="77777777">
        <w:trPr>
          <w:cantSplit/>
          <w:trHeight w:val="676"/>
        </w:trPr>
        <w:tc>
          <w:tcPr>
            <w:tcW w:w="10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327792" w14:textId="77777777" w:rsidR="00401786" w:rsidRDefault="00401786" w:rsidP="000E757E">
            <w:pPr>
              <w:snapToGrid w:val="0"/>
              <w:spacing w:line="240" w:lineRule="atLeast"/>
              <w:rPr>
                <w:rFonts w:ascii="標楷體" w:eastAsia="標楷體" w:hAnsi="標楷體" w:cs="標楷體"/>
                <w:color w:val="000000"/>
              </w:rPr>
            </w:pPr>
          </w:p>
          <w:p w14:paraId="2E22114E"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641"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FE9B13"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21901B85" w14:textId="77777777" w:rsidR="00401786" w:rsidRDefault="00401786" w:rsidP="000E757E">
            <w:pPr>
              <w:snapToGrid w:val="0"/>
              <w:spacing w:line="240" w:lineRule="atLeast"/>
              <w:rPr>
                <w:rFonts w:ascii="標楷體" w:eastAsia="標楷體" w:hAnsi="標楷體"/>
                <w:color w:val="000000"/>
              </w:rPr>
            </w:pPr>
          </w:p>
          <w:p w14:paraId="307C7B49"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925B50"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15"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C5E3F4" w14:textId="77777777" w:rsidR="00401786" w:rsidRDefault="00401786" w:rsidP="000E757E">
            <w:pPr>
              <w:widowControl/>
              <w:snapToGrid w:val="0"/>
              <w:spacing w:line="240" w:lineRule="atLeast"/>
              <w:rPr>
                <w:rFonts w:ascii="標楷體" w:eastAsia="標楷體" w:hAnsi="標楷體"/>
                <w:color w:val="000000"/>
              </w:rPr>
            </w:pPr>
          </w:p>
          <w:p w14:paraId="49C6E3F4" w14:textId="77777777" w:rsidR="00401786" w:rsidRDefault="00401786" w:rsidP="000E757E">
            <w:pPr>
              <w:snapToGrid w:val="0"/>
              <w:spacing w:line="240" w:lineRule="atLeast"/>
              <w:rPr>
                <w:rFonts w:ascii="標楷體" w:eastAsia="標楷體" w:hAnsi="標楷體"/>
                <w:color w:val="000000"/>
              </w:rPr>
            </w:pPr>
          </w:p>
        </w:tc>
        <w:tc>
          <w:tcPr>
            <w:tcW w:w="371"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23D916"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704C0BD6" w14:textId="77777777" w:rsidR="00401786" w:rsidRDefault="00401786" w:rsidP="000E757E">
            <w:pPr>
              <w:widowControl/>
              <w:snapToGrid w:val="0"/>
              <w:spacing w:line="240" w:lineRule="atLeast"/>
              <w:rPr>
                <w:rFonts w:ascii="標楷體" w:eastAsia="標楷體" w:hAnsi="標楷體"/>
                <w:color w:val="000000"/>
              </w:rPr>
            </w:pPr>
          </w:p>
        </w:tc>
        <w:tc>
          <w:tcPr>
            <w:tcW w:w="83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6F11D8" w14:textId="77777777" w:rsidR="00401786" w:rsidRDefault="00401786" w:rsidP="000E757E">
            <w:pPr>
              <w:widowControl/>
              <w:snapToGrid w:val="0"/>
              <w:spacing w:line="240" w:lineRule="atLeast"/>
              <w:rPr>
                <w:rFonts w:ascii="標楷體" w:eastAsia="標楷體" w:hAnsi="標楷體"/>
                <w:color w:val="000000"/>
              </w:rPr>
            </w:pPr>
          </w:p>
          <w:p w14:paraId="300C641C" w14:textId="77777777" w:rsidR="00401786" w:rsidRDefault="00401786" w:rsidP="000E757E">
            <w:pPr>
              <w:snapToGrid w:val="0"/>
              <w:spacing w:line="240" w:lineRule="atLeast"/>
              <w:rPr>
                <w:rFonts w:ascii="標楷體" w:eastAsia="標楷體" w:hAnsi="標楷體"/>
                <w:color w:val="000000"/>
              </w:rPr>
            </w:pPr>
          </w:p>
        </w:tc>
        <w:tc>
          <w:tcPr>
            <w:tcW w:w="36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695B70" w14:textId="77777777" w:rsidR="00401786" w:rsidRDefault="00C64FB3" w:rsidP="000E757E">
            <w:pPr>
              <w:snapToGrid w:val="0"/>
              <w:spacing w:line="240" w:lineRule="atLeast"/>
            </w:pPr>
            <w:r>
              <w:rPr>
                <w:rFonts w:ascii="標楷體" w:eastAsia="標楷體" w:hAnsi="標楷體" w:cs="標楷體"/>
                <w:color w:val="000000"/>
              </w:rPr>
              <w:t>科長</w:t>
            </w:r>
          </w:p>
        </w:tc>
        <w:tc>
          <w:tcPr>
            <w:tcW w:w="825"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E5CCA6" w14:textId="77777777" w:rsidR="00401786" w:rsidRDefault="00401786" w:rsidP="000E757E">
            <w:pPr>
              <w:widowControl/>
              <w:snapToGrid w:val="0"/>
              <w:spacing w:line="240" w:lineRule="atLeast"/>
              <w:rPr>
                <w:rFonts w:ascii="標楷體" w:eastAsia="標楷體" w:hAnsi="標楷體"/>
                <w:color w:val="000000"/>
              </w:rPr>
            </w:pPr>
          </w:p>
          <w:p w14:paraId="74E8EAE5" w14:textId="77777777" w:rsidR="00401786" w:rsidRDefault="00401786" w:rsidP="000E757E">
            <w:pPr>
              <w:snapToGrid w:val="0"/>
              <w:spacing w:line="240" w:lineRule="atLeast"/>
              <w:rPr>
                <w:rFonts w:ascii="標楷體" w:eastAsia="標楷體" w:hAnsi="標楷體"/>
                <w:color w:val="000000"/>
              </w:rPr>
            </w:pPr>
          </w:p>
        </w:tc>
        <w:tc>
          <w:tcPr>
            <w:tcW w:w="36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88574B"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578994B6" w14:textId="77777777" w:rsidR="00401786" w:rsidRDefault="00401786" w:rsidP="000E757E">
            <w:pPr>
              <w:widowControl/>
              <w:snapToGrid w:val="0"/>
              <w:spacing w:line="240" w:lineRule="atLeast"/>
              <w:rPr>
                <w:rFonts w:ascii="標楷體" w:eastAsia="標楷體" w:hAnsi="標楷體"/>
                <w:color w:val="000000"/>
              </w:rPr>
            </w:pPr>
          </w:p>
        </w:tc>
        <w:tc>
          <w:tcPr>
            <w:tcW w:w="91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1AFA5C" w14:textId="77777777" w:rsidR="00401786" w:rsidRDefault="00401786" w:rsidP="000E757E">
            <w:pPr>
              <w:widowControl/>
              <w:snapToGrid w:val="0"/>
              <w:spacing w:line="240" w:lineRule="atLeast"/>
              <w:rPr>
                <w:rFonts w:ascii="標楷體" w:eastAsia="標楷體" w:hAnsi="標楷體"/>
                <w:color w:val="000000"/>
              </w:rPr>
            </w:pPr>
          </w:p>
          <w:p w14:paraId="2A037902" w14:textId="77777777" w:rsidR="00401786" w:rsidRDefault="00401786" w:rsidP="000E757E">
            <w:pPr>
              <w:snapToGrid w:val="0"/>
              <w:spacing w:line="240" w:lineRule="atLeast"/>
              <w:rPr>
                <w:rFonts w:ascii="標楷體" w:eastAsia="標楷體" w:hAnsi="標楷體"/>
                <w:color w:val="000000"/>
              </w:rPr>
            </w:pPr>
          </w:p>
        </w:tc>
      </w:tr>
    </w:tbl>
    <w:p w14:paraId="35DBC403" w14:textId="13D7F92B" w:rsidR="00401786" w:rsidRPr="00F37647" w:rsidRDefault="00C64FB3" w:rsidP="005839D7">
      <w:pPr>
        <w:pStyle w:val="Web"/>
        <w:pageBreakBefore/>
        <w:widowControl w:val="0"/>
        <w:snapToGrid w:val="0"/>
        <w:spacing w:before="0" w:after="0" w:line="240" w:lineRule="atLeast"/>
        <w:ind w:firstLineChars="118" w:firstLine="283"/>
        <w:jc w:val="both"/>
        <w:rPr>
          <w:b/>
          <w:bCs/>
        </w:rPr>
      </w:pPr>
      <w:r w:rsidRPr="00F37647">
        <w:rPr>
          <w:rFonts w:ascii="標楷體" w:eastAsia="標楷體" w:hAnsi="標楷體" w:cs="標楷體"/>
          <w:b/>
          <w:bCs/>
          <w:color w:val="000000"/>
        </w:rPr>
        <w:lastRenderedPageBreak/>
        <w:t>附表九之十二</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cs="Times New Roman"/>
          <w:b/>
          <w:bCs/>
          <w:color w:val="000000"/>
        </w:rPr>
        <w:t>品vinorelbine</w:t>
      </w:r>
      <w:r w:rsidRPr="00F37647">
        <w:rPr>
          <w:rFonts w:ascii="標楷體" w:eastAsia="標楷體" w:hAnsi="標楷體" w:cs="標楷體"/>
          <w:b/>
          <w:bCs/>
          <w:color w:val="000000"/>
        </w:rPr>
        <w:t>申請表</w:t>
      </w:r>
    </w:p>
    <w:tbl>
      <w:tblPr>
        <w:tblW w:w="14436" w:type="dxa"/>
        <w:tblInd w:w="227" w:type="dxa"/>
        <w:tblLayout w:type="fixed"/>
        <w:tblCellMar>
          <w:left w:w="10" w:type="dxa"/>
          <w:right w:w="10" w:type="dxa"/>
        </w:tblCellMar>
        <w:tblLook w:val="0000" w:firstRow="0" w:lastRow="0" w:firstColumn="0" w:lastColumn="0" w:noHBand="0" w:noVBand="0"/>
      </w:tblPr>
      <w:tblGrid>
        <w:gridCol w:w="387"/>
        <w:gridCol w:w="401"/>
        <w:gridCol w:w="428"/>
        <w:gridCol w:w="1206"/>
        <w:gridCol w:w="239"/>
        <w:gridCol w:w="120"/>
        <w:gridCol w:w="359"/>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27830DE8" w14:textId="77777777">
        <w:trPr>
          <w:cantSplit/>
          <w:trHeight w:val="523"/>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4AFB880C"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9F0FD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2FC95B"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4C7382"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F83F0E"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6897ED9A" w14:textId="77777777" w:rsidR="00401786" w:rsidRDefault="00401786" w:rsidP="000E757E">
            <w:pPr>
              <w:snapToGrid w:val="0"/>
              <w:spacing w:line="240" w:lineRule="atLeast"/>
              <w:rPr>
                <w:rFonts w:ascii="標楷體" w:eastAsia="標楷體" w:hAnsi="標楷體"/>
              </w:rPr>
            </w:pPr>
          </w:p>
        </w:tc>
      </w:tr>
      <w:tr w:rsidR="00401786" w14:paraId="6C1870B1" w14:textId="77777777">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B93267"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CF914F"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0628CA"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57A3DA"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2E35B8AA"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5DFA1C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5F2E37DC"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21D6A8"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349571"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55E28B"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E0EE2D"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DFB9A"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024A3930"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808BD3"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811000"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F7B3C"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00377F39"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09579CB" w14:textId="77777777">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A81EFB" w14:textId="77777777" w:rsidR="00401786" w:rsidRDefault="00401786" w:rsidP="000E757E">
            <w:pPr>
              <w:snapToGrid w:val="0"/>
              <w:spacing w:line="240" w:lineRule="atLeast"/>
              <w:rPr>
                <w:rFonts w:ascii="標楷體" w:eastAsia="標楷體" w:hAnsi="標楷體"/>
                <w:color w:val="000000"/>
                <w:sz w:val="20"/>
                <w:szCs w:val="20"/>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B93B9B"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307A87"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D994D0"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2ECE7F"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7B4BD4B"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CEDA50"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99F066"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51A861E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BFD300"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0E6DCF"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976AA1"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E26073"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9B244D"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CC4FA7"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42187D8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EAAFC27" w14:textId="77777777">
        <w:trPr>
          <w:cantSplit/>
          <w:trHeight w:val="613"/>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6E25FB" w14:textId="77777777" w:rsidR="00401786" w:rsidRDefault="00C64FB3" w:rsidP="000E757E">
            <w:pPr>
              <w:pStyle w:val="a7"/>
              <w:tabs>
                <w:tab w:val="clear" w:pos="4153"/>
                <w:tab w:val="clear" w:pos="8306"/>
              </w:tabs>
              <w:spacing w:before="180" w:after="180" w:line="240" w:lineRule="atLeast"/>
              <w:ind w:left="200" w:hanging="200"/>
              <w:rPr>
                <w:rFonts w:ascii="標楷體" w:eastAsia="標楷體" w:hAnsi="標楷體"/>
                <w:color w:val="000000"/>
              </w:rPr>
            </w:pPr>
            <w:r>
              <w:rPr>
                <w:rFonts w:ascii="標楷體" w:eastAsia="標楷體" w:hAnsi="標楷體"/>
                <w:color w:val="000000"/>
              </w:rPr>
              <w:t>ICD-10代碼</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B3E1BB"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E78AB7"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C168C6"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DD22AF"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5887A9B"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5FD44D6B" w14:textId="77777777" w:rsidR="00401786" w:rsidRDefault="00401786" w:rsidP="000E757E">
            <w:pPr>
              <w:snapToGrid w:val="0"/>
              <w:spacing w:line="240" w:lineRule="atLeast"/>
              <w:rPr>
                <w:rFonts w:ascii="標楷體" w:eastAsia="標楷體" w:hAnsi="標楷體"/>
              </w:rPr>
            </w:pPr>
          </w:p>
        </w:tc>
      </w:tr>
      <w:tr w:rsidR="00401786" w14:paraId="638B9BF1" w14:textId="77777777">
        <w:trPr>
          <w:cantSplit/>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984ECB"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13878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423DD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4A98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4EDA7F3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4E37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66AB1BF2"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4D5BF080"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5B263351" w14:textId="77777777" w:rsidR="00401786" w:rsidRDefault="00401786" w:rsidP="000E757E">
            <w:pPr>
              <w:snapToGrid w:val="0"/>
              <w:spacing w:line="240" w:lineRule="atLeast"/>
              <w:jc w:val="center"/>
              <w:rPr>
                <w:rFonts w:ascii="標楷體" w:eastAsia="標楷體" w:hAnsi="標楷體"/>
              </w:rPr>
            </w:pPr>
          </w:p>
        </w:tc>
      </w:tr>
      <w:tr w:rsidR="00401786" w14:paraId="556F5268" w14:textId="77777777">
        <w:trPr>
          <w:cantSplit/>
          <w:trHeight w:val="2647"/>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EA4D81" w14:textId="77777777" w:rsidR="00401786" w:rsidRDefault="00401786" w:rsidP="000E757E">
            <w:pPr>
              <w:snapToGrid w:val="0"/>
              <w:spacing w:line="240" w:lineRule="atLeast"/>
              <w:rPr>
                <w:rFonts w:ascii="標楷體" w:eastAsia="標楷體" w:hAnsi="標楷體"/>
                <w:u w:val="single"/>
              </w:rPr>
            </w:pPr>
          </w:p>
          <w:p w14:paraId="20AC4FB7" w14:textId="77777777" w:rsidR="00401786" w:rsidRDefault="00C64FB3" w:rsidP="000E757E">
            <w:pPr>
              <w:snapToGrid w:val="0"/>
              <w:spacing w:line="240" w:lineRule="atLeast"/>
              <w:rPr>
                <w:rFonts w:ascii="標楷體" w:eastAsia="標楷體" w:hAnsi="標楷體"/>
              </w:rPr>
            </w:pPr>
            <w:r>
              <w:rPr>
                <w:rFonts w:ascii="標楷體" w:eastAsia="標楷體" w:hAnsi="標楷體"/>
              </w:rPr>
              <w:t>成分</w:t>
            </w:r>
          </w:p>
          <w:p w14:paraId="0D7AF115" w14:textId="77777777" w:rsidR="00401786" w:rsidRDefault="00C64FB3" w:rsidP="000E757E">
            <w:pPr>
              <w:snapToGrid w:val="0"/>
              <w:spacing w:line="240" w:lineRule="atLeast"/>
              <w:rPr>
                <w:rFonts w:ascii="標楷體" w:eastAsia="標楷體" w:hAnsi="標楷體"/>
                <w:sz w:val="20"/>
                <w:szCs w:val="20"/>
              </w:rPr>
            </w:pPr>
            <w:r>
              <w:rPr>
                <w:rFonts w:ascii="標楷體" w:eastAsia="標楷體" w:hAnsi="標楷體"/>
                <w:sz w:val="20"/>
                <w:szCs w:val="20"/>
              </w:rPr>
              <w:t>Vinorelbine</w:t>
            </w:r>
          </w:p>
          <w:p w14:paraId="407F5EB0" w14:textId="77777777" w:rsidR="00401786" w:rsidRDefault="00401786" w:rsidP="000E757E">
            <w:pPr>
              <w:snapToGrid w:val="0"/>
              <w:spacing w:line="240" w:lineRule="atLeast"/>
              <w:rPr>
                <w:rFonts w:ascii="標楷體" w:eastAsia="標楷體" w:hAnsi="標楷體"/>
                <w:u w:val="single"/>
              </w:rPr>
            </w:pPr>
          </w:p>
          <w:p w14:paraId="71605848" w14:textId="77777777" w:rsidR="00401786" w:rsidRDefault="00C64FB3" w:rsidP="000E757E">
            <w:pPr>
              <w:snapToGrid w:val="0"/>
              <w:spacing w:line="240" w:lineRule="atLeast"/>
              <w:rPr>
                <w:rFonts w:ascii="標楷體" w:eastAsia="標楷體" w:hAnsi="標楷體"/>
              </w:rPr>
            </w:pPr>
            <w:r>
              <w:rPr>
                <w:rFonts w:ascii="標楷體" w:eastAsia="標楷體" w:hAnsi="標楷體"/>
              </w:rPr>
              <w:t>劑型</w:t>
            </w:r>
          </w:p>
          <w:p w14:paraId="1827B3E6"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□口服劑型</w:t>
            </w:r>
          </w:p>
          <w:p w14:paraId="462D4E34" w14:textId="77777777" w:rsidR="00401786" w:rsidRDefault="00C64FB3" w:rsidP="000E757E">
            <w:pPr>
              <w:snapToGrid w:val="0"/>
              <w:spacing w:line="240" w:lineRule="atLeast"/>
            </w:pPr>
            <w:r>
              <w:rPr>
                <w:rFonts w:ascii="標楷體" w:eastAsia="標楷體" w:hAnsi="標楷體" w:cs="標楷體"/>
                <w:color w:val="000000"/>
                <w:sz w:val="20"/>
                <w:szCs w:val="20"/>
              </w:rPr>
              <w:t>□注射劑</w:t>
            </w:r>
          </w:p>
          <w:p w14:paraId="531DFDF3"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代碼</w:t>
            </w:r>
          </w:p>
          <w:p w14:paraId="40A4440B"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(醫院自行填寫)</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D341FE" w14:textId="77777777" w:rsidR="00401786" w:rsidRDefault="00401786" w:rsidP="000E757E">
            <w:pPr>
              <w:snapToGrid w:val="0"/>
              <w:spacing w:line="240" w:lineRule="atLeast"/>
              <w:ind w:left="320" w:hanging="320"/>
              <w:rPr>
                <w:rFonts w:ascii="標楷體" w:eastAsia="標楷體" w:hAnsi="標楷體" w:cs="標楷體"/>
                <w:color w:val="000000"/>
                <w:sz w:val="20"/>
                <w:szCs w:val="20"/>
              </w:rPr>
            </w:pPr>
          </w:p>
          <w:p w14:paraId="5B97B1F8"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65936B4E"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638884F9"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0762250B"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33CFA4" w14:textId="77777777" w:rsidR="00401786" w:rsidRDefault="00C64FB3" w:rsidP="000E757E">
            <w:pPr>
              <w:snapToGrid w:val="0"/>
              <w:spacing w:line="240" w:lineRule="atLeast"/>
              <w:ind w:left="82"/>
              <w:rPr>
                <w:rFonts w:ascii="標楷體" w:eastAsia="標楷體" w:hAnsi="標楷體" w:cs="標楷體"/>
                <w:color w:val="000000"/>
                <w:sz w:val="20"/>
                <w:szCs w:val="20"/>
              </w:rPr>
            </w:pPr>
            <w:r>
              <w:rPr>
                <w:rFonts w:ascii="標楷體" w:eastAsia="標楷體" w:hAnsi="標楷體" w:cs="標楷體"/>
                <w:color w:val="000000"/>
                <w:sz w:val="20"/>
                <w:szCs w:val="20"/>
              </w:rPr>
              <w:t>1.</w:t>
            </w:r>
            <w:r>
              <w:rPr>
                <w:rFonts w:ascii="標楷體" w:eastAsia="標楷體" w:hAnsi="標楷體" w:cs="標楷體"/>
                <w:color w:val="000000"/>
                <w:sz w:val="20"/>
                <w:szCs w:val="20"/>
              </w:rPr>
              <w:tab/>
              <w:t>限用於：</w:t>
            </w:r>
          </w:p>
          <w:p w14:paraId="6DB1ACB4" w14:textId="77777777" w:rsidR="00401786" w:rsidRDefault="00C64FB3" w:rsidP="000E757E">
            <w:pPr>
              <w:snapToGrid w:val="0"/>
              <w:spacing w:line="240" w:lineRule="atLeast"/>
              <w:ind w:left="933" w:hanging="398"/>
              <w:rPr>
                <w:rFonts w:ascii="標楷體" w:eastAsia="標楷體" w:hAnsi="標楷體" w:cs="標楷體"/>
                <w:color w:val="000000"/>
                <w:sz w:val="20"/>
                <w:szCs w:val="20"/>
              </w:rPr>
            </w:pPr>
            <w:r>
              <w:rPr>
                <w:rFonts w:ascii="標楷體" w:eastAsia="標楷體" w:hAnsi="標楷體" w:cs="標楷體"/>
                <w:color w:val="000000"/>
                <w:sz w:val="20"/>
                <w:szCs w:val="20"/>
              </w:rPr>
              <w:t>(1)晚期或無法手術切除之非小細胞肺癌及轉移性乳癌病患。</w:t>
            </w:r>
          </w:p>
          <w:p w14:paraId="543B6555" w14:textId="77777777" w:rsidR="00401786" w:rsidRDefault="00C64FB3" w:rsidP="000E757E">
            <w:pPr>
              <w:snapToGrid w:val="0"/>
              <w:spacing w:line="240" w:lineRule="atLeast"/>
              <w:ind w:left="716" w:hanging="394"/>
              <w:rPr>
                <w:rFonts w:ascii="標楷體" w:eastAsia="標楷體" w:hAnsi="標楷體" w:cs="標楷體"/>
                <w:color w:val="000000"/>
                <w:sz w:val="20"/>
                <w:szCs w:val="20"/>
              </w:rPr>
            </w:pPr>
            <w:r>
              <w:rPr>
                <w:rFonts w:ascii="標楷體" w:eastAsia="標楷體" w:hAnsi="標楷體" w:cs="標楷體"/>
                <w:color w:val="000000"/>
                <w:sz w:val="20"/>
                <w:szCs w:val="20"/>
              </w:rPr>
              <w:t>□(2)病理分期第二期及第三期前半(</w:t>
            </w:r>
            <w:proofErr w:type="spellStart"/>
            <w:r>
              <w:rPr>
                <w:rFonts w:ascii="標楷體" w:eastAsia="標楷體" w:hAnsi="標楷體" w:cs="標楷體"/>
                <w:color w:val="000000"/>
                <w:sz w:val="20"/>
                <w:szCs w:val="20"/>
              </w:rPr>
              <w:t>stageII&amp;stageIIIA</w:t>
            </w:r>
            <w:proofErr w:type="spellEnd"/>
            <w:r>
              <w:rPr>
                <w:rFonts w:ascii="標楷體" w:eastAsia="標楷體" w:hAnsi="標楷體" w:cs="標楷體"/>
                <w:color w:val="000000"/>
                <w:sz w:val="20"/>
                <w:szCs w:val="20"/>
              </w:rPr>
              <w:t>)非小細胞肺癌於接受根治性手術後與</w:t>
            </w:r>
            <w:proofErr w:type="gramStart"/>
            <w:r>
              <w:rPr>
                <w:rFonts w:ascii="標楷體" w:eastAsia="標楷體" w:hAnsi="標楷體" w:cs="標楷體"/>
                <w:color w:val="000000"/>
                <w:sz w:val="20"/>
                <w:szCs w:val="20"/>
              </w:rPr>
              <w:t>鉑金類藥品併</w:t>
            </w:r>
            <w:proofErr w:type="gramEnd"/>
            <w:r>
              <w:rPr>
                <w:rFonts w:ascii="標楷體" w:eastAsia="標楷體" w:hAnsi="標楷體" w:cs="標楷體"/>
                <w:color w:val="000000"/>
                <w:sz w:val="20"/>
                <w:szCs w:val="20"/>
              </w:rPr>
              <w:t>用之輔助治療，需事前審查後使用，最長以4療程為限。</w:t>
            </w:r>
          </w:p>
          <w:p w14:paraId="05AB561C"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2.本成分之口服劑型與注射劑型不得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1316B0"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5A1F5A"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7871891F" w14:textId="77777777" w:rsidR="00401786" w:rsidRDefault="00C64FB3">
            <w:pPr>
              <w:numPr>
                <w:ilvl w:val="0"/>
                <w:numId w:val="75"/>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36A66AC4"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295AA876"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15FD86BE"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3A26F2A0"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0336C888"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67B7CC2A"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11206165"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22452D05" w14:textId="77777777" w:rsidR="00401786" w:rsidRDefault="00C64FB3">
            <w:pPr>
              <w:numPr>
                <w:ilvl w:val="0"/>
                <w:numId w:val="75"/>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52DCDDAD" w14:textId="77777777" w:rsidR="00401786" w:rsidRDefault="00C64FB3">
            <w:pPr>
              <w:numPr>
                <w:ilvl w:val="0"/>
                <w:numId w:val="75"/>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7E310CE9" w14:textId="77777777" w:rsidR="00401786" w:rsidRDefault="00C64FB3">
            <w:pPr>
              <w:numPr>
                <w:ilvl w:val="0"/>
                <w:numId w:val="75"/>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3AC94965"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5711802E"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3FDC4FA5" w14:textId="77777777">
        <w:trPr>
          <w:cantSplit/>
          <w:trHeight w:val="916"/>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B936A0"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1E715F9C"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6DA215"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4EF00B98"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69F9ABBF"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2A3E9CF3"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F17D298"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0FF6F387"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0FE94183"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282EC4D"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3AFF1C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88343F0" w14:textId="77777777">
        <w:trPr>
          <w:cantSplit/>
          <w:trHeight w:val="362"/>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E83567"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55655"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DDD147" w14:textId="77777777" w:rsidR="00401786" w:rsidRDefault="00401786" w:rsidP="000E757E">
            <w:pPr>
              <w:snapToGrid w:val="0"/>
              <w:spacing w:line="240" w:lineRule="atLeast"/>
              <w:jc w:val="both"/>
              <w:rPr>
                <w:rFonts w:ascii="標楷體" w:eastAsia="標楷體" w:hAnsi="標楷體"/>
                <w:color w:val="000000"/>
              </w:rPr>
            </w:pPr>
          </w:p>
          <w:p w14:paraId="10B24579"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1FDAAC"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14B64D"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24A27C32" w14:textId="77777777" w:rsidR="00401786" w:rsidRDefault="00401786" w:rsidP="000E757E">
            <w:pPr>
              <w:snapToGrid w:val="0"/>
              <w:spacing w:line="240" w:lineRule="atLeast"/>
              <w:rPr>
                <w:rFonts w:ascii="標楷體" w:eastAsia="標楷體" w:hAnsi="標楷體"/>
                <w:color w:val="000000"/>
              </w:rPr>
            </w:pPr>
          </w:p>
        </w:tc>
      </w:tr>
      <w:tr w:rsidR="00401786" w14:paraId="43E45537" w14:textId="77777777">
        <w:trPr>
          <w:cantSplit/>
          <w:trHeight w:val="1531"/>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D20363"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D8C574"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1BE0D7"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8D4895"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2669F9"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3BBC5A63" w14:textId="77777777" w:rsidR="00401786" w:rsidRDefault="00401786" w:rsidP="000E757E">
            <w:pPr>
              <w:snapToGrid w:val="0"/>
              <w:spacing w:line="240" w:lineRule="atLeast"/>
              <w:rPr>
                <w:rFonts w:ascii="標楷體" w:eastAsia="標楷體" w:hAnsi="標楷體"/>
                <w:color w:val="000000"/>
              </w:rPr>
            </w:pPr>
          </w:p>
        </w:tc>
      </w:tr>
      <w:tr w:rsidR="00401786" w14:paraId="72063DA0" w14:textId="77777777">
        <w:trPr>
          <w:cantSplit/>
          <w:trHeight w:val="681"/>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A6033C"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lastRenderedPageBreak/>
              <w:t>醫</w:t>
            </w:r>
            <w:proofErr w:type="gramEnd"/>
            <w:r>
              <w:rPr>
                <w:rFonts w:ascii="標楷體" w:eastAsia="標楷體" w:hAnsi="標楷體" w:cs="標楷體"/>
                <w:color w:val="000000"/>
                <w:sz w:val="20"/>
                <w:szCs w:val="20"/>
              </w:rPr>
              <w:t>事服務機構</w:t>
            </w: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D6EFFC"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30C1728F" w14:textId="77777777" w:rsidR="00401786" w:rsidRDefault="00401786" w:rsidP="000E757E">
            <w:pPr>
              <w:snapToGrid w:val="0"/>
              <w:spacing w:line="240" w:lineRule="atLeast"/>
              <w:rPr>
                <w:rFonts w:ascii="標楷體" w:eastAsia="標楷體" w:hAnsi="標楷體"/>
                <w:color w:val="000000"/>
                <w:sz w:val="20"/>
                <w:szCs w:val="20"/>
              </w:rPr>
            </w:pPr>
          </w:p>
          <w:p w14:paraId="0854B3E4"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85E06F"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FFDB6B" w14:textId="77777777" w:rsidR="00401786" w:rsidRDefault="00401786" w:rsidP="000E757E">
            <w:pPr>
              <w:widowControl/>
              <w:snapToGrid w:val="0"/>
              <w:spacing w:line="240" w:lineRule="atLeast"/>
              <w:rPr>
                <w:rFonts w:ascii="標楷體" w:eastAsia="標楷體" w:hAnsi="標楷體"/>
                <w:color w:val="000000"/>
                <w:sz w:val="20"/>
                <w:szCs w:val="20"/>
              </w:rPr>
            </w:pPr>
          </w:p>
          <w:p w14:paraId="08914A3A"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D948F2"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p w14:paraId="52D03664"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C3894D" w14:textId="77777777" w:rsidR="00401786" w:rsidRDefault="00401786" w:rsidP="000E757E">
            <w:pPr>
              <w:widowControl/>
              <w:snapToGrid w:val="0"/>
              <w:spacing w:line="240" w:lineRule="atLeast"/>
              <w:rPr>
                <w:rFonts w:ascii="標楷體" w:eastAsia="標楷體" w:hAnsi="標楷體"/>
                <w:color w:val="000000"/>
                <w:sz w:val="20"/>
                <w:szCs w:val="20"/>
              </w:rPr>
            </w:pPr>
          </w:p>
          <w:p w14:paraId="207702D3"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B426CE"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41719E" w14:textId="77777777" w:rsidR="00401786" w:rsidRDefault="00401786" w:rsidP="000E757E">
            <w:pPr>
              <w:widowControl/>
              <w:snapToGrid w:val="0"/>
              <w:spacing w:line="240" w:lineRule="atLeast"/>
              <w:rPr>
                <w:rFonts w:ascii="標楷體" w:eastAsia="標楷體" w:hAnsi="標楷體"/>
                <w:color w:val="000000"/>
                <w:sz w:val="20"/>
                <w:szCs w:val="20"/>
              </w:rPr>
            </w:pPr>
          </w:p>
          <w:p w14:paraId="6BB0B0DC" w14:textId="77777777" w:rsidR="00401786" w:rsidRDefault="00401786" w:rsidP="000E757E">
            <w:pPr>
              <w:snapToGrid w:val="0"/>
              <w:spacing w:line="240" w:lineRule="atLeast"/>
              <w:rPr>
                <w:rFonts w:ascii="標楷體" w:eastAsia="標楷體" w:hAnsi="標楷體"/>
                <w:color w:val="000000"/>
                <w:sz w:val="20"/>
                <w:szCs w:val="2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7DC86D"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p w14:paraId="187EFC01"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967652" w14:textId="77777777" w:rsidR="00401786" w:rsidRDefault="00401786" w:rsidP="000E757E">
            <w:pPr>
              <w:widowControl/>
              <w:snapToGrid w:val="0"/>
              <w:spacing w:line="240" w:lineRule="atLeast"/>
              <w:rPr>
                <w:rFonts w:ascii="標楷體" w:eastAsia="標楷體" w:hAnsi="標楷體"/>
                <w:color w:val="000000"/>
                <w:sz w:val="20"/>
                <w:szCs w:val="20"/>
              </w:rPr>
            </w:pPr>
          </w:p>
          <w:p w14:paraId="59461E53" w14:textId="77777777" w:rsidR="00401786" w:rsidRDefault="00401786" w:rsidP="000E757E">
            <w:pPr>
              <w:snapToGrid w:val="0"/>
              <w:spacing w:line="240" w:lineRule="atLeast"/>
              <w:rPr>
                <w:rFonts w:ascii="標楷體" w:eastAsia="標楷體" w:hAnsi="標楷體"/>
                <w:color w:val="000000"/>
                <w:sz w:val="20"/>
                <w:szCs w:val="20"/>
              </w:rPr>
            </w:pPr>
          </w:p>
        </w:tc>
      </w:tr>
    </w:tbl>
    <w:p w14:paraId="74771D68" w14:textId="77777777" w:rsidR="00401786" w:rsidRDefault="00401786" w:rsidP="000E757E">
      <w:pPr>
        <w:pStyle w:val="Web"/>
        <w:widowControl w:val="0"/>
        <w:snapToGrid w:val="0"/>
        <w:spacing w:before="0" w:after="0" w:line="240" w:lineRule="atLeast"/>
        <w:ind w:firstLine="240"/>
        <w:jc w:val="both"/>
        <w:rPr>
          <w:rFonts w:ascii="標楷體" w:eastAsia="標楷體" w:hAnsi="標楷體"/>
        </w:rPr>
      </w:pPr>
    </w:p>
    <w:p w14:paraId="0E1D0ACD" w14:textId="0B3407BC" w:rsidR="00401786" w:rsidRPr="009E653D" w:rsidRDefault="009E653D" w:rsidP="009E653D">
      <w:pPr>
        <w:widowControl/>
        <w:suppressAutoHyphens w:val="0"/>
        <w:rPr>
          <w:rFonts w:ascii="標楷體" w:eastAsia="標楷體" w:hAnsi="標楷體" w:cs="Arial Unicode MS"/>
          <w:kern w:val="0"/>
          <w:szCs w:val="24"/>
        </w:rPr>
      </w:pPr>
      <w:r>
        <w:rPr>
          <w:rFonts w:ascii="標楷體" w:eastAsia="標楷體" w:hAnsi="標楷體"/>
        </w:rPr>
        <w:br w:type="page"/>
      </w:r>
    </w:p>
    <w:p w14:paraId="3465A08A" w14:textId="77777777" w:rsidR="00401786" w:rsidRPr="00F37647" w:rsidRDefault="00C64FB3" w:rsidP="000E757E">
      <w:pPr>
        <w:pStyle w:val="Web"/>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附表九之十三：全民健康保險使用抗癌藥品</w:t>
      </w:r>
      <w:r w:rsidRPr="00F37647">
        <w:rPr>
          <w:rFonts w:ascii="標楷體" w:eastAsia="標楷體" w:hAnsi="標楷體" w:cs="Times New Roman"/>
          <w:b/>
          <w:bCs/>
          <w:color w:val="000000"/>
        </w:rPr>
        <w:t>pazopanib</w:t>
      </w:r>
      <w:r w:rsidRPr="00F37647">
        <w:rPr>
          <w:rFonts w:ascii="標楷體" w:eastAsia="標楷體" w:hAnsi="標楷體" w:cs="標楷體"/>
          <w:b/>
          <w:bCs/>
          <w:color w:val="000000"/>
        </w:rPr>
        <w:t>申請表</w:t>
      </w:r>
    </w:p>
    <w:tbl>
      <w:tblPr>
        <w:tblW w:w="14545" w:type="dxa"/>
        <w:tblInd w:w="170" w:type="dxa"/>
        <w:tblLayout w:type="fixed"/>
        <w:tblCellMar>
          <w:left w:w="10" w:type="dxa"/>
          <w:right w:w="10" w:type="dxa"/>
        </w:tblCellMar>
        <w:tblLook w:val="0000" w:firstRow="0" w:lastRow="0" w:firstColumn="0" w:lastColumn="0" w:noHBand="0" w:noVBand="0"/>
      </w:tblPr>
      <w:tblGrid>
        <w:gridCol w:w="359"/>
        <w:gridCol w:w="71"/>
        <w:gridCol w:w="402"/>
        <w:gridCol w:w="279"/>
        <w:gridCol w:w="574"/>
        <w:gridCol w:w="1278"/>
        <w:gridCol w:w="284"/>
        <w:gridCol w:w="1006"/>
        <w:gridCol w:w="1417"/>
        <w:gridCol w:w="567"/>
        <w:gridCol w:w="836"/>
        <w:gridCol w:w="582"/>
        <w:gridCol w:w="1417"/>
        <w:gridCol w:w="507"/>
        <w:gridCol w:w="325"/>
        <w:gridCol w:w="195"/>
        <w:gridCol w:w="684"/>
        <w:gridCol w:w="311"/>
        <w:gridCol w:w="556"/>
        <w:gridCol w:w="8"/>
        <w:gridCol w:w="332"/>
        <w:gridCol w:w="293"/>
        <w:gridCol w:w="332"/>
        <w:gridCol w:w="599"/>
        <w:gridCol w:w="377"/>
        <w:gridCol w:w="954"/>
      </w:tblGrid>
      <w:tr w:rsidR="00401786" w14:paraId="1D64B261" w14:textId="77777777">
        <w:trPr>
          <w:cantSplit/>
          <w:trHeight w:val="328"/>
        </w:trPr>
        <w:tc>
          <w:tcPr>
            <w:tcW w:w="1111"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39CCAC18"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5126"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F2E603" w14:textId="77777777" w:rsidR="00401786" w:rsidRDefault="00C64FB3" w:rsidP="000E757E">
            <w:pPr>
              <w:snapToGrid w:val="0"/>
              <w:spacing w:line="240" w:lineRule="atLeast"/>
            </w:pPr>
            <w:r>
              <w:rPr>
                <w:rFonts w:ascii="標楷體" w:eastAsia="標楷體" w:hAnsi="標楷體" w:cs="標楷體"/>
                <w:color w:val="000000"/>
                <w:sz w:val="20"/>
                <w:szCs w:val="20"/>
              </w:rPr>
              <w:t>□送核□補資料□申復□資料異動</w:t>
            </w:r>
          </w:p>
        </w:tc>
        <w:tc>
          <w:tcPr>
            <w:tcW w:w="28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6F045E"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7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07469E"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9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2CE547"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4F4E0C26" w14:textId="77777777">
        <w:trPr>
          <w:cantSplit/>
          <w:trHeight w:val="436"/>
        </w:trPr>
        <w:tc>
          <w:tcPr>
            <w:tcW w:w="43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1C080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6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6DF29A"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8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00DEE7" w14:textId="77777777" w:rsidR="00401786" w:rsidRDefault="00401786" w:rsidP="000E757E">
            <w:pPr>
              <w:snapToGrid w:val="0"/>
              <w:spacing w:line="240" w:lineRule="atLeast"/>
              <w:rPr>
                <w:rFonts w:ascii="標楷體" w:eastAsia="標楷體" w:hAnsi="標楷體"/>
                <w:color w:val="000000"/>
                <w:sz w:val="20"/>
                <w:szCs w:val="20"/>
              </w:rPr>
            </w:pPr>
          </w:p>
        </w:tc>
        <w:tc>
          <w:tcPr>
            <w:tcW w:w="28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741F68"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保險對象</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E5AA4D"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C33DCA" w14:textId="77777777" w:rsidR="00401786" w:rsidRDefault="00401786" w:rsidP="000E757E">
            <w:pPr>
              <w:snapToGrid w:val="0"/>
              <w:spacing w:line="240" w:lineRule="atLeast"/>
              <w:rPr>
                <w:rFonts w:ascii="標楷體" w:eastAsia="標楷體" w:hAnsi="標楷體"/>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2644ED" w14:textId="77777777" w:rsidR="00401786" w:rsidRDefault="00C64FB3" w:rsidP="000E757E">
            <w:pPr>
              <w:snapToGrid w:val="0"/>
              <w:spacing w:line="240" w:lineRule="atLeast"/>
            </w:pPr>
            <w:r>
              <w:rPr>
                <w:rFonts w:ascii="標楷體" w:eastAsia="標楷體" w:hAnsi="標楷體" w:cs="標楷體"/>
                <w:color w:val="000000"/>
                <w:sz w:val="20"/>
                <w:szCs w:val="20"/>
              </w:rPr>
              <w:t>出生日期</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2F0A11" w14:textId="77777777" w:rsidR="00401786" w:rsidRDefault="00401786" w:rsidP="000E757E">
            <w:pPr>
              <w:snapToGrid w:val="0"/>
              <w:spacing w:line="240" w:lineRule="atLeast"/>
              <w:rPr>
                <w:rFonts w:ascii="標楷體" w:eastAsia="標楷體" w:hAnsi="標楷體"/>
                <w:color w:val="000000"/>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A22370"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263663DE"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2586"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A20FDF" w14:textId="77777777" w:rsidR="00401786" w:rsidRDefault="00401786" w:rsidP="000E757E">
            <w:pPr>
              <w:snapToGrid w:val="0"/>
              <w:spacing w:line="240" w:lineRule="atLeast"/>
              <w:rPr>
                <w:rFonts w:ascii="標楷體" w:eastAsia="標楷體" w:hAnsi="標楷體"/>
                <w:color w:val="000000"/>
                <w:sz w:val="20"/>
                <w:szCs w:val="20"/>
              </w:rPr>
            </w:pPr>
          </w:p>
        </w:tc>
        <w:tc>
          <w:tcPr>
            <w:tcW w:w="95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4797C8"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7096AF37"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19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CCCFD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DE9A74C" w14:textId="77777777">
        <w:trPr>
          <w:cantSplit/>
          <w:trHeight w:val="413"/>
        </w:trPr>
        <w:tc>
          <w:tcPr>
            <w:tcW w:w="430"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34EB9E" w14:textId="77777777" w:rsidR="00401786" w:rsidRDefault="00401786" w:rsidP="000E757E">
            <w:pPr>
              <w:snapToGrid w:val="0"/>
              <w:spacing w:line="240" w:lineRule="atLeast"/>
              <w:rPr>
                <w:rFonts w:ascii="標楷體" w:eastAsia="標楷體" w:hAnsi="標楷體"/>
                <w:color w:val="000000"/>
                <w:sz w:val="20"/>
                <w:szCs w:val="20"/>
              </w:rPr>
            </w:pPr>
          </w:p>
        </w:tc>
        <w:tc>
          <w:tcPr>
            <w:tcW w:w="6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3FCFC3"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8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122AA1" w14:textId="77777777" w:rsidR="00401786" w:rsidRDefault="00401786" w:rsidP="000E757E">
            <w:pPr>
              <w:snapToGrid w:val="0"/>
              <w:spacing w:line="240" w:lineRule="atLeast"/>
              <w:rPr>
                <w:rFonts w:ascii="標楷體" w:eastAsia="標楷體" w:hAnsi="標楷體"/>
                <w:color w:val="000000"/>
                <w:sz w:val="20"/>
                <w:szCs w:val="20"/>
              </w:rPr>
            </w:pPr>
          </w:p>
        </w:tc>
        <w:tc>
          <w:tcPr>
            <w:tcW w:w="28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FA52F3" w14:textId="77777777" w:rsidR="00401786" w:rsidRDefault="00401786" w:rsidP="000E757E">
            <w:pPr>
              <w:snapToGrid w:val="0"/>
              <w:spacing w:line="240" w:lineRule="atLeast"/>
              <w:rPr>
                <w:rFonts w:ascii="標楷體" w:eastAsia="標楷體" w:hAnsi="標楷體"/>
                <w:color w:val="000000"/>
                <w:sz w:val="20"/>
                <w:szCs w:val="20"/>
              </w:rPr>
            </w:pP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4CF132"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3CDD87D"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F71EA1" w14:textId="77777777" w:rsidR="00401786" w:rsidRDefault="00401786" w:rsidP="000E757E">
            <w:pPr>
              <w:snapToGrid w:val="0"/>
              <w:spacing w:line="240" w:lineRule="atLeast"/>
              <w:rPr>
                <w:rFonts w:ascii="標楷體" w:eastAsia="標楷體" w:hAnsi="標楷體"/>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5F03EC" w14:textId="77777777" w:rsidR="00401786" w:rsidRDefault="00C64FB3" w:rsidP="000E757E">
            <w:pPr>
              <w:snapToGrid w:val="0"/>
              <w:spacing w:line="240" w:lineRule="atLeast"/>
            </w:pPr>
            <w:r>
              <w:rPr>
                <w:rFonts w:ascii="標楷體" w:eastAsia="標楷體" w:hAnsi="標楷體" w:cs="標楷體"/>
                <w:color w:val="000000"/>
                <w:sz w:val="20"/>
                <w:szCs w:val="20"/>
              </w:rPr>
              <w:t>科別</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262AE8" w14:textId="77777777" w:rsidR="00401786" w:rsidRDefault="00401786" w:rsidP="000E757E">
            <w:pPr>
              <w:snapToGrid w:val="0"/>
              <w:spacing w:line="240" w:lineRule="atLeast"/>
              <w:rPr>
                <w:rFonts w:ascii="標楷體" w:eastAsia="標楷體" w:hAnsi="標楷體"/>
                <w:color w:val="000000"/>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48ECA2"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AAE157"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5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937BF5" w14:textId="77777777" w:rsidR="00401786" w:rsidRDefault="00401786" w:rsidP="000E757E">
            <w:pPr>
              <w:snapToGrid w:val="0"/>
              <w:spacing w:line="240" w:lineRule="atLeast"/>
              <w:rPr>
                <w:rFonts w:ascii="標楷體" w:eastAsia="標楷體" w:hAnsi="標楷體"/>
                <w:color w:val="000000"/>
                <w:sz w:val="20"/>
                <w:szCs w:val="20"/>
              </w:rPr>
            </w:pPr>
          </w:p>
        </w:tc>
        <w:tc>
          <w:tcPr>
            <w:tcW w:w="96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072611"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4C4B1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B902873" w14:textId="77777777">
        <w:trPr>
          <w:cantSplit/>
          <w:trHeight w:val="527"/>
        </w:trPr>
        <w:tc>
          <w:tcPr>
            <w:tcW w:w="11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3BE56"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18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69DE22" w14:textId="77777777" w:rsidR="00401786" w:rsidRDefault="00401786" w:rsidP="000E757E">
            <w:pPr>
              <w:snapToGrid w:val="0"/>
              <w:spacing w:line="240" w:lineRule="atLeast"/>
              <w:rPr>
                <w:rFonts w:ascii="標楷體" w:eastAsia="標楷體" w:hAnsi="標楷體"/>
                <w:color w:val="000000"/>
                <w:sz w:val="20"/>
                <w:szCs w:val="20"/>
              </w:rPr>
            </w:pPr>
          </w:p>
        </w:tc>
        <w:tc>
          <w:tcPr>
            <w:tcW w:w="12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7B7F9C"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81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DB8BE4" w14:textId="77777777" w:rsidR="00401786" w:rsidRDefault="00401786" w:rsidP="000E757E">
            <w:pPr>
              <w:snapToGrid w:val="0"/>
              <w:spacing w:line="240" w:lineRule="atLeast"/>
              <w:rPr>
                <w:rFonts w:ascii="標楷體" w:eastAsia="標楷體" w:hAnsi="標楷體"/>
                <w:color w:val="000000"/>
                <w:sz w:val="20"/>
                <w:szCs w:val="20"/>
              </w:rPr>
            </w:pP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928C5C"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4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1F79CB" w14:textId="77777777" w:rsidR="00401786" w:rsidRDefault="00C64FB3" w:rsidP="000E757E">
            <w:pPr>
              <w:snapToGrid w:val="0"/>
              <w:spacing w:line="240" w:lineRule="atLeast"/>
            </w:pPr>
            <w:r>
              <w:rPr>
                <w:rFonts w:ascii="標楷體" w:eastAsia="標楷體" w:hAnsi="標楷體" w:cs="標楷體"/>
                <w:color w:val="000000"/>
                <w:sz w:val="20"/>
                <w:szCs w:val="20"/>
              </w:rPr>
              <w:t xml:space="preserve">    年    月    日   至     年    月    日</w:t>
            </w:r>
          </w:p>
        </w:tc>
      </w:tr>
      <w:tr w:rsidR="00401786" w14:paraId="5582F1AF" w14:textId="77777777">
        <w:trPr>
          <w:cantSplit/>
          <w:trHeight w:val="287"/>
        </w:trPr>
        <w:tc>
          <w:tcPr>
            <w:tcW w:w="168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6CBD76" w14:textId="77777777" w:rsidR="00401786" w:rsidRDefault="00C64FB3" w:rsidP="000E757E">
            <w:pPr>
              <w:snapToGrid w:val="0"/>
              <w:spacing w:line="240" w:lineRule="atLeast"/>
            </w:pPr>
            <w:r>
              <w:rPr>
                <w:rFonts w:ascii="標楷體" w:eastAsia="標楷體" w:hAnsi="標楷體" w:cs="標楷體"/>
                <w:color w:val="000000"/>
                <w:sz w:val="20"/>
                <w:szCs w:val="20"/>
              </w:rPr>
              <w:t>申請藥品名稱</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AD311C" w14:textId="77777777" w:rsidR="00401786" w:rsidRDefault="00C64FB3" w:rsidP="000E757E">
            <w:pPr>
              <w:snapToGrid w:val="0"/>
              <w:spacing w:line="240" w:lineRule="atLeast"/>
            </w:pPr>
            <w:r>
              <w:rPr>
                <w:rFonts w:ascii="標楷體" w:eastAsia="標楷體" w:hAnsi="標楷體" w:cs="標楷體"/>
                <w:color w:val="000000"/>
                <w:sz w:val="20"/>
                <w:szCs w:val="20"/>
              </w:rPr>
              <w:t>藥品健保代碼</w:t>
            </w:r>
          </w:p>
        </w:tc>
        <w:tc>
          <w:tcPr>
            <w:tcW w:w="12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41BF76" w14:textId="77777777" w:rsidR="00401786" w:rsidRDefault="00C64FB3" w:rsidP="000E757E">
            <w:pPr>
              <w:snapToGrid w:val="0"/>
              <w:spacing w:line="240" w:lineRule="atLeast"/>
            </w:pPr>
            <w:r>
              <w:rPr>
                <w:rFonts w:ascii="標楷體" w:eastAsia="標楷體" w:hAnsi="標楷體" w:cs="標楷體"/>
                <w:color w:val="000000"/>
                <w:sz w:val="20"/>
                <w:szCs w:val="20"/>
              </w:rPr>
              <w:t>申請類別</w:t>
            </w:r>
          </w:p>
        </w:tc>
        <w:tc>
          <w:tcPr>
            <w:tcW w:w="28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5AE5DC" w14:textId="77777777" w:rsidR="00401786" w:rsidRDefault="00C64FB3" w:rsidP="000E757E">
            <w:pPr>
              <w:snapToGrid w:val="0"/>
              <w:spacing w:line="240" w:lineRule="atLeast"/>
            </w:pPr>
            <w:r>
              <w:rPr>
                <w:rFonts w:ascii="標楷體" w:eastAsia="標楷體" w:hAnsi="標楷體" w:cs="標楷體"/>
                <w:color w:val="000000"/>
                <w:sz w:val="20"/>
                <w:szCs w:val="20"/>
              </w:rPr>
              <w:t>申請給付範圍</w:t>
            </w:r>
          </w:p>
        </w:tc>
        <w:tc>
          <w:tcPr>
            <w:tcW w:w="199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311A84" w14:textId="77777777" w:rsidR="00401786" w:rsidRDefault="00C64FB3" w:rsidP="000E757E">
            <w:pPr>
              <w:snapToGrid w:val="0"/>
              <w:spacing w:line="240" w:lineRule="atLeast"/>
            </w:pPr>
            <w:r>
              <w:rPr>
                <w:rFonts w:ascii="標楷體" w:eastAsia="標楷體" w:hAnsi="標楷體" w:cs="標楷體"/>
                <w:color w:val="000000"/>
                <w:sz w:val="20"/>
                <w:szCs w:val="20"/>
              </w:rPr>
              <w:t>用法用量</w:t>
            </w: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D2FB85" w14:textId="77777777" w:rsidR="00401786" w:rsidRDefault="00C64FB3" w:rsidP="000E757E">
            <w:pPr>
              <w:snapToGrid w:val="0"/>
              <w:spacing w:line="240" w:lineRule="atLeast"/>
            </w:pPr>
            <w:r>
              <w:rPr>
                <w:rFonts w:ascii="標楷體" w:eastAsia="標楷體" w:hAnsi="標楷體" w:cs="標楷體"/>
                <w:color w:val="000000"/>
                <w:sz w:val="20"/>
                <w:szCs w:val="20"/>
              </w:rPr>
              <w:t>申請數量</w:t>
            </w:r>
          </w:p>
        </w:tc>
        <w:tc>
          <w:tcPr>
            <w:tcW w:w="4446" w:type="dxa"/>
            <w:gridSpan w:val="10"/>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B07CE51"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2ABAFD16" w14:textId="77777777">
        <w:trPr>
          <w:cantSplit/>
          <w:trHeight w:val="1647"/>
        </w:trPr>
        <w:tc>
          <w:tcPr>
            <w:tcW w:w="168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7EB4DF"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D90DF"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2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DBAE40" w14:textId="77777777" w:rsidR="00401786" w:rsidRDefault="00C64FB3" w:rsidP="000E757E">
            <w:pPr>
              <w:snapToGrid w:val="0"/>
              <w:spacing w:before="180" w:line="240" w:lineRule="atLeast"/>
            </w:pPr>
            <w:r>
              <w:rPr>
                <w:rFonts w:ascii="標楷體" w:eastAsia="標楷體" w:hAnsi="標楷體" w:cs="標楷體"/>
                <w:color w:val="000000"/>
                <w:sz w:val="20"/>
                <w:szCs w:val="20"/>
              </w:rPr>
              <w:t>□第</w:t>
            </w:r>
            <w:r>
              <w:rPr>
                <w:rFonts w:ascii="標楷體" w:eastAsia="標楷體" w:hAnsi="標楷體"/>
                <w:color w:val="000000"/>
                <w:sz w:val="20"/>
                <w:szCs w:val="20"/>
              </w:rPr>
              <w:t>一次申請</w:t>
            </w:r>
          </w:p>
          <w:p w14:paraId="00B8B508" w14:textId="77777777" w:rsidR="00401786" w:rsidRDefault="00C64FB3" w:rsidP="000E757E">
            <w:pPr>
              <w:snapToGrid w:val="0"/>
              <w:spacing w:before="180" w:line="240" w:lineRule="atLeast"/>
              <w:ind w:left="206" w:hanging="206"/>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28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0596F9" w14:textId="77777777" w:rsidR="00401786" w:rsidRDefault="00401786" w:rsidP="000E757E">
            <w:pPr>
              <w:snapToGrid w:val="0"/>
              <w:spacing w:line="240" w:lineRule="atLeast"/>
              <w:rPr>
                <w:rFonts w:ascii="標楷體" w:eastAsia="標楷體" w:hAnsi="標楷體" w:cs="標楷體"/>
                <w:color w:val="000000"/>
                <w:sz w:val="20"/>
                <w:szCs w:val="20"/>
              </w:rPr>
            </w:pPr>
          </w:p>
          <w:p w14:paraId="767DA898" w14:textId="77777777" w:rsidR="00401786" w:rsidRDefault="00C64FB3" w:rsidP="000E757E">
            <w:pPr>
              <w:snapToGrid w:val="0"/>
              <w:spacing w:line="240" w:lineRule="atLeast"/>
            </w:pPr>
            <w:r>
              <w:rPr>
                <w:rFonts w:ascii="標楷體" w:eastAsia="標楷體" w:hAnsi="標楷體" w:cs="標楷體"/>
                <w:color w:val="000000"/>
                <w:sz w:val="20"/>
                <w:szCs w:val="20"/>
              </w:rPr>
              <w:t>□</w:t>
            </w:r>
            <w:r>
              <w:rPr>
                <w:rFonts w:ascii="標楷體" w:eastAsia="標楷體" w:hAnsi="標楷體" w:cs="標楷體"/>
                <w:sz w:val="20"/>
                <w:szCs w:val="20"/>
              </w:rPr>
              <w:t>晚期軟</w:t>
            </w:r>
            <w:r>
              <w:rPr>
                <w:rFonts w:ascii="標楷體" w:eastAsia="標楷體" w:hAnsi="標楷體" w:cs="標楷體"/>
                <w:color w:val="000000"/>
                <w:sz w:val="20"/>
                <w:szCs w:val="20"/>
              </w:rPr>
              <w:t>組織肉瘤</w:t>
            </w:r>
          </w:p>
          <w:p w14:paraId="4DB9C83A" w14:textId="77777777" w:rsidR="00401786" w:rsidRDefault="00401786" w:rsidP="000E757E">
            <w:pPr>
              <w:snapToGrid w:val="0"/>
              <w:spacing w:before="180" w:line="240" w:lineRule="atLeast"/>
            </w:pPr>
          </w:p>
        </w:tc>
        <w:tc>
          <w:tcPr>
            <w:tcW w:w="199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434065" w14:textId="77777777" w:rsidR="00401786" w:rsidRDefault="00401786" w:rsidP="000E757E">
            <w:pPr>
              <w:snapToGrid w:val="0"/>
              <w:spacing w:line="240" w:lineRule="atLeast"/>
              <w:rPr>
                <w:rFonts w:ascii="標楷體" w:eastAsia="標楷體" w:hAnsi="標楷體"/>
                <w:color w:val="000000"/>
                <w:sz w:val="20"/>
                <w:szCs w:val="20"/>
              </w:rPr>
            </w:pP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0A4F0B" w14:textId="77777777" w:rsidR="00401786" w:rsidRDefault="00401786" w:rsidP="000E757E">
            <w:pPr>
              <w:snapToGrid w:val="0"/>
              <w:spacing w:line="240" w:lineRule="atLeast"/>
              <w:rPr>
                <w:rFonts w:ascii="標楷體" w:eastAsia="標楷體" w:hAnsi="標楷體"/>
                <w:color w:val="000000"/>
                <w:sz w:val="20"/>
                <w:szCs w:val="20"/>
              </w:rPr>
            </w:pPr>
          </w:p>
        </w:tc>
        <w:tc>
          <w:tcPr>
            <w:tcW w:w="4446" w:type="dxa"/>
            <w:gridSpan w:val="10"/>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C86FF49" w14:textId="77777777" w:rsidR="00401786" w:rsidRDefault="00C64FB3">
            <w:pPr>
              <w:numPr>
                <w:ilvl w:val="0"/>
                <w:numId w:val="76"/>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21FC6664"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使用劑量不符合常規，核定量為</w:t>
            </w:r>
          </w:p>
          <w:p w14:paraId="6AF0E01E"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5D2DE47"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不符合適應症。</w:t>
            </w:r>
          </w:p>
          <w:p w14:paraId="75A61B89"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007B5D7F"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17BE7508"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未附目前是否為晚期或轉移之病歷</w:t>
            </w:r>
          </w:p>
          <w:p w14:paraId="009C679D" w14:textId="77777777" w:rsidR="00401786" w:rsidRDefault="00C64FB3">
            <w:pPr>
              <w:numPr>
                <w:ilvl w:val="0"/>
                <w:numId w:val="7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0B3F9764" w14:textId="77777777" w:rsidR="00401786" w:rsidRDefault="00C64FB3">
            <w:pPr>
              <w:numPr>
                <w:ilvl w:val="0"/>
                <w:numId w:val="7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219F8CA5" w14:textId="77777777" w:rsidR="00401786" w:rsidRDefault="00C64FB3">
            <w:pPr>
              <w:numPr>
                <w:ilvl w:val="0"/>
                <w:numId w:val="76"/>
              </w:numPr>
              <w:tabs>
                <w:tab w:val="left" w:pos="240"/>
              </w:tabs>
              <w:snapToGrid w:val="0"/>
              <w:spacing w:line="240" w:lineRule="atLeast"/>
              <w:ind w:left="408" w:hanging="170"/>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00E34AD8"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其他：</w:t>
            </w:r>
          </w:p>
        </w:tc>
      </w:tr>
      <w:tr w:rsidR="00401786" w14:paraId="63F723CC" w14:textId="77777777">
        <w:trPr>
          <w:cantSplit/>
          <w:trHeight w:val="1544"/>
        </w:trPr>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8C0CCF"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31D4420C"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740"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F68440"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2A3C6670"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2.「原受理編號」申復時填寫，初次送核不需填寫。</w:t>
            </w:r>
          </w:p>
          <w:p w14:paraId="6A32B2B2"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35FE58F7"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79A7D0B2"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35FE3C1E"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755523AF"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6" w:type="dxa"/>
            <w:gridSpan w:val="10"/>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5E46FA24"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75B4E4E" w14:textId="77777777">
        <w:trPr>
          <w:cantSplit/>
          <w:trHeight w:val="757"/>
        </w:trPr>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253875" w14:textId="77777777" w:rsidR="00401786" w:rsidRDefault="00401786" w:rsidP="000E757E">
            <w:pPr>
              <w:snapToGrid w:val="0"/>
              <w:spacing w:line="240" w:lineRule="atLeast"/>
              <w:ind w:left="211" w:hanging="211"/>
              <w:rPr>
                <w:rFonts w:ascii="標楷體" w:eastAsia="標楷體" w:hAnsi="標楷體"/>
                <w:color w:val="000000"/>
              </w:rPr>
            </w:pPr>
          </w:p>
        </w:tc>
        <w:tc>
          <w:tcPr>
            <w:tcW w:w="974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F390D4"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8"/>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081B4B"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460BAC8A"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E70EFC"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36C61E" w14:textId="77777777" w:rsidR="00401786" w:rsidRDefault="00401786" w:rsidP="000E757E">
            <w:pPr>
              <w:snapToGrid w:val="0"/>
              <w:spacing w:line="240" w:lineRule="atLeast"/>
              <w:rPr>
                <w:rFonts w:ascii="標楷體" w:eastAsia="標楷體" w:hAnsi="標楷體"/>
                <w:color w:val="000000"/>
              </w:rPr>
            </w:pPr>
          </w:p>
        </w:tc>
      </w:tr>
      <w:tr w:rsidR="00401786" w14:paraId="38975BCE" w14:textId="77777777">
        <w:trPr>
          <w:cantSplit/>
          <w:trHeight w:val="90"/>
        </w:trPr>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D7E546" w14:textId="77777777" w:rsidR="00401786" w:rsidRDefault="00401786" w:rsidP="000E757E">
            <w:pPr>
              <w:snapToGrid w:val="0"/>
              <w:spacing w:line="240" w:lineRule="atLeast"/>
              <w:ind w:left="211" w:hanging="211"/>
              <w:rPr>
                <w:rFonts w:ascii="標楷體" w:eastAsia="標楷體" w:hAnsi="標楷體"/>
                <w:color w:val="000000"/>
              </w:rPr>
            </w:pPr>
          </w:p>
        </w:tc>
        <w:tc>
          <w:tcPr>
            <w:tcW w:w="974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3673A"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8"/>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1BE9C6" w14:textId="77777777" w:rsidR="00401786" w:rsidRDefault="00401786" w:rsidP="000E757E">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41245" w14:textId="77777777" w:rsidR="00401786" w:rsidRDefault="00401786" w:rsidP="000E757E">
            <w:pPr>
              <w:snapToGrid w:val="0"/>
              <w:spacing w:line="240" w:lineRule="atLeast"/>
              <w:rPr>
                <w:rFonts w:ascii="標楷體" w:eastAsia="標楷體" w:hAnsi="標楷體" w:cs="標楷體"/>
                <w:color w:val="000000"/>
              </w:rPr>
            </w:pPr>
          </w:p>
        </w:tc>
        <w:tc>
          <w:tcPr>
            <w:tcW w:w="9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9DA388" w14:textId="77777777" w:rsidR="00401786" w:rsidRDefault="00401786" w:rsidP="000E757E">
            <w:pPr>
              <w:snapToGrid w:val="0"/>
              <w:spacing w:line="240" w:lineRule="atLeast"/>
              <w:rPr>
                <w:rFonts w:ascii="標楷體" w:eastAsia="標楷體" w:hAnsi="標楷體"/>
                <w:color w:val="000000"/>
              </w:rPr>
            </w:pPr>
          </w:p>
        </w:tc>
      </w:tr>
      <w:tr w:rsidR="00401786" w14:paraId="3CA7FB80" w14:textId="77777777">
        <w:trPr>
          <w:cantSplit/>
          <w:trHeight w:val="705"/>
        </w:trPr>
        <w:tc>
          <w:tcPr>
            <w:tcW w:w="8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A9C34B" w14:textId="77777777" w:rsidR="00401786" w:rsidRDefault="00C64FB3" w:rsidP="000E757E">
            <w:pPr>
              <w:snapToGrid w:val="0"/>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747"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B5E120"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448A4A0A" w14:textId="77777777" w:rsidR="00401786" w:rsidRDefault="00401786" w:rsidP="000E757E">
            <w:pPr>
              <w:snapToGrid w:val="0"/>
              <w:spacing w:line="240" w:lineRule="atLeast"/>
              <w:rPr>
                <w:rFonts w:ascii="標楷體" w:eastAsia="標楷體" w:hAnsi="標楷體"/>
                <w:color w:val="000000"/>
              </w:rPr>
            </w:pPr>
          </w:p>
          <w:p w14:paraId="08472B11"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2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4BDEF4"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7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4FDD2" w14:textId="77777777" w:rsidR="00401786" w:rsidRDefault="00401786" w:rsidP="000E757E">
            <w:pPr>
              <w:widowControl/>
              <w:snapToGrid w:val="0"/>
              <w:spacing w:line="240" w:lineRule="atLeast"/>
              <w:rPr>
                <w:rFonts w:ascii="標楷體" w:eastAsia="標楷體" w:hAnsi="標楷體"/>
                <w:color w:val="000000"/>
              </w:rPr>
            </w:pPr>
          </w:p>
          <w:p w14:paraId="047A5090" w14:textId="77777777" w:rsidR="00401786" w:rsidRDefault="00401786" w:rsidP="000E757E">
            <w:pPr>
              <w:snapToGrid w:val="0"/>
              <w:spacing w:line="240" w:lineRule="atLeast"/>
              <w:rPr>
                <w:rFonts w:ascii="標楷體" w:eastAsia="標楷體" w:hAnsi="標楷體"/>
                <w:color w:val="000000"/>
              </w:rPr>
            </w:pPr>
          </w:p>
        </w:tc>
        <w:tc>
          <w:tcPr>
            <w:tcW w:w="311"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714DAC"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0CBDA384" w14:textId="77777777" w:rsidR="00401786" w:rsidRDefault="00401786" w:rsidP="000E757E">
            <w:pPr>
              <w:widowControl/>
              <w:snapToGrid w:val="0"/>
              <w:spacing w:line="240" w:lineRule="atLeast"/>
              <w:rPr>
                <w:rFonts w:ascii="標楷體" w:eastAsia="標楷體" w:hAnsi="標楷體"/>
                <w:color w:val="000000"/>
              </w:rPr>
            </w:pPr>
          </w:p>
        </w:tc>
        <w:tc>
          <w:tcPr>
            <w:tcW w:w="896"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36C53C" w14:textId="77777777" w:rsidR="00401786" w:rsidRDefault="00401786" w:rsidP="000E757E">
            <w:pPr>
              <w:widowControl/>
              <w:snapToGrid w:val="0"/>
              <w:spacing w:line="240" w:lineRule="atLeast"/>
              <w:rPr>
                <w:rFonts w:ascii="標楷體" w:eastAsia="標楷體" w:hAnsi="標楷體"/>
                <w:color w:val="000000"/>
              </w:rPr>
            </w:pPr>
          </w:p>
          <w:p w14:paraId="6A39772B" w14:textId="77777777" w:rsidR="00401786" w:rsidRDefault="00401786" w:rsidP="000E757E">
            <w:pPr>
              <w:snapToGrid w:val="0"/>
              <w:spacing w:line="240" w:lineRule="atLeast"/>
              <w:rPr>
                <w:rFonts w:ascii="標楷體" w:eastAsia="標楷體" w:hAnsi="標楷體"/>
                <w:color w:val="000000"/>
              </w:rPr>
            </w:pPr>
          </w:p>
        </w:tc>
        <w:tc>
          <w:tcPr>
            <w:tcW w:w="29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9DADCC" w14:textId="77777777" w:rsidR="00401786" w:rsidRDefault="00C64FB3" w:rsidP="000E757E">
            <w:pPr>
              <w:snapToGrid w:val="0"/>
              <w:spacing w:line="240" w:lineRule="atLeast"/>
            </w:pPr>
            <w:r>
              <w:rPr>
                <w:rFonts w:ascii="標楷體" w:eastAsia="標楷體" w:hAnsi="標楷體" w:cs="標楷體"/>
                <w:color w:val="000000"/>
              </w:rPr>
              <w:t>科長</w:t>
            </w:r>
          </w:p>
        </w:tc>
        <w:tc>
          <w:tcPr>
            <w:tcW w:w="931"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14AA4" w14:textId="77777777" w:rsidR="00401786" w:rsidRDefault="00401786" w:rsidP="000E757E">
            <w:pPr>
              <w:snapToGrid w:val="0"/>
              <w:spacing w:line="240" w:lineRule="atLeast"/>
              <w:rPr>
                <w:rFonts w:ascii="標楷體" w:eastAsia="標楷體" w:hAnsi="標楷體"/>
                <w:color w:val="000000"/>
              </w:rPr>
            </w:pPr>
          </w:p>
        </w:tc>
        <w:tc>
          <w:tcPr>
            <w:tcW w:w="37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39661F" w14:textId="77777777" w:rsidR="00401786" w:rsidRDefault="00C64FB3" w:rsidP="000E757E">
            <w:pPr>
              <w:widowControl/>
              <w:snapToGrid w:val="0"/>
              <w:spacing w:line="240" w:lineRule="atLeast"/>
            </w:pPr>
            <w:r>
              <w:rPr>
                <w:rFonts w:ascii="標楷體" w:eastAsia="標楷體" w:hAnsi="標楷體" w:cs="標楷體"/>
                <w:color w:val="000000"/>
              </w:rPr>
              <w:t>決行</w:t>
            </w:r>
          </w:p>
        </w:tc>
        <w:tc>
          <w:tcPr>
            <w:tcW w:w="95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0F8682" w14:textId="77777777" w:rsidR="00401786" w:rsidRDefault="00401786" w:rsidP="000E757E">
            <w:pPr>
              <w:snapToGrid w:val="0"/>
              <w:spacing w:line="240" w:lineRule="atLeast"/>
              <w:rPr>
                <w:rFonts w:ascii="標楷體" w:eastAsia="標楷體" w:hAnsi="標楷體"/>
                <w:color w:val="000000"/>
              </w:rPr>
            </w:pPr>
          </w:p>
        </w:tc>
      </w:tr>
    </w:tbl>
    <w:p w14:paraId="136821EA" w14:textId="77777777" w:rsidR="0016529A" w:rsidRDefault="0016529A" w:rsidP="000E757E">
      <w:pPr>
        <w:spacing w:line="240" w:lineRule="atLeast"/>
        <w:sectPr w:rsidR="0016529A">
          <w:footerReference w:type="default" r:id="rId14"/>
          <w:pgSz w:w="16838" w:h="11906" w:orient="landscape"/>
          <w:pgMar w:top="567" w:right="1134" w:bottom="568" w:left="1134" w:header="720" w:footer="720" w:gutter="0"/>
          <w:cols w:space="720"/>
          <w:docGrid w:type="linesAndChars" w:linePitch="360"/>
        </w:sectPr>
      </w:pPr>
    </w:p>
    <w:p w14:paraId="1CE9BB44" w14:textId="77777777" w:rsidR="00401786" w:rsidRDefault="00401786" w:rsidP="000E757E">
      <w:pPr>
        <w:snapToGrid w:val="0"/>
        <w:spacing w:line="240" w:lineRule="atLeast"/>
        <w:rPr>
          <w:rFonts w:ascii="標楷體" w:eastAsia="標楷體" w:hAnsi="標楷體"/>
        </w:rPr>
      </w:pPr>
    </w:p>
    <w:tbl>
      <w:tblPr>
        <w:tblW w:w="8188" w:type="dxa"/>
        <w:jc w:val="center"/>
        <w:tblLayout w:type="fixed"/>
        <w:tblCellMar>
          <w:left w:w="10" w:type="dxa"/>
          <w:right w:w="10" w:type="dxa"/>
        </w:tblCellMar>
        <w:tblLook w:val="0000" w:firstRow="0" w:lastRow="0" w:firstColumn="0" w:lastColumn="0" w:noHBand="0" w:noVBand="0"/>
      </w:tblPr>
      <w:tblGrid>
        <w:gridCol w:w="8188"/>
      </w:tblGrid>
      <w:tr w:rsidR="00401786" w14:paraId="23E5AE4F" w14:textId="77777777">
        <w:trPr>
          <w:cantSplit/>
          <w:trHeight w:val="184"/>
          <w:jc w:val="center"/>
        </w:trPr>
        <w:tc>
          <w:tcPr>
            <w:tcW w:w="8188" w:type="dxa"/>
            <w:shd w:val="clear" w:color="auto" w:fill="auto"/>
            <w:tcMar>
              <w:top w:w="0" w:type="dxa"/>
              <w:left w:w="28" w:type="dxa"/>
              <w:bottom w:w="0" w:type="dxa"/>
              <w:right w:w="28" w:type="dxa"/>
            </w:tcMar>
          </w:tcPr>
          <w:p w14:paraId="4DC1EE74" w14:textId="77777777" w:rsidR="00401786" w:rsidRPr="00F37647" w:rsidRDefault="00C64FB3" w:rsidP="000E757E">
            <w:pPr>
              <w:widowControl/>
              <w:autoSpaceDE w:val="0"/>
              <w:snapToGrid w:val="0"/>
              <w:spacing w:line="240" w:lineRule="atLeast"/>
              <w:ind w:left="1" w:firstLine="39"/>
              <w:jc w:val="both"/>
              <w:textAlignment w:val="bottom"/>
              <w:rPr>
                <w:b/>
                <w:bCs/>
              </w:rPr>
            </w:pPr>
            <w:r w:rsidRPr="00F37647">
              <w:rPr>
                <w:rFonts w:ascii="標楷體" w:eastAsia="標楷體" w:hAnsi="標楷體"/>
                <w:b/>
                <w:bCs/>
                <w:color w:val="000000"/>
                <w:sz w:val="28"/>
                <w:szCs w:val="24"/>
              </w:rPr>
              <w:t>附表十患者服用Isotretinoin口服製劑同意書</w:t>
            </w:r>
          </w:p>
        </w:tc>
      </w:tr>
    </w:tbl>
    <w:p w14:paraId="3D5CE231" w14:textId="77777777" w:rsidR="00401786" w:rsidRDefault="00401786" w:rsidP="000E757E">
      <w:pPr>
        <w:widowControl/>
        <w:autoSpaceDE w:val="0"/>
        <w:snapToGrid w:val="0"/>
        <w:spacing w:line="240" w:lineRule="atLeast"/>
        <w:jc w:val="center"/>
        <w:textAlignment w:val="bottom"/>
        <w:rPr>
          <w:rFonts w:ascii="標楷體" w:eastAsia="標楷體" w:hAnsi="標楷體"/>
          <w:color w:val="000000"/>
        </w:rPr>
      </w:pPr>
    </w:p>
    <w:p w14:paraId="2F5E554F"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病歷號碼：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50FB7391"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598D6089"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茲證明本人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年齡</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出生日期</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月</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日</w:t>
      </w:r>
    </w:p>
    <w:p w14:paraId="1FBD3FF6"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身分證號碼: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3A4B9231"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地址:</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003422C5"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確認經由</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醫院</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醫師詳細告知服用</w:t>
      </w:r>
    </w:p>
    <w:p w14:paraId="6B267F2F" w14:textId="77777777" w:rsidR="00401786" w:rsidRDefault="00401786" w:rsidP="000E757E">
      <w:pPr>
        <w:widowControl/>
        <w:autoSpaceDE w:val="0"/>
        <w:snapToGrid w:val="0"/>
        <w:spacing w:line="240" w:lineRule="atLeast"/>
        <w:textAlignment w:val="bottom"/>
        <w:rPr>
          <w:rFonts w:ascii="標楷體" w:eastAsia="標楷體" w:hAnsi="標楷體"/>
          <w:b/>
          <w:bCs/>
          <w:color w:val="000000"/>
        </w:rPr>
      </w:pPr>
    </w:p>
    <w:p w14:paraId="3EEA20F1"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isotretinoin口服製劑之主要可能副作用和處置方式。</w:t>
      </w:r>
    </w:p>
    <w:p w14:paraId="36FE90F2"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本人完全瞭解isotretinoin口服製劑可能對本人的其他療法無效的嚴重性</w:t>
      </w:r>
      <w:proofErr w:type="gramStart"/>
      <w:r>
        <w:rPr>
          <w:rFonts w:ascii="標楷體" w:eastAsia="標楷體" w:hAnsi="標楷體"/>
          <w:color w:val="000000"/>
        </w:rPr>
        <w:t>囊腫型及</w:t>
      </w:r>
      <w:proofErr w:type="gramEnd"/>
      <w:r>
        <w:rPr>
          <w:rFonts w:ascii="標楷體" w:eastAsia="標楷體" w:hAnsi="標楷體"/>
          <w:color w:val="000000"/>
        </w:rPr>
        <w:t>結節狀痤瘡有所幫助，但服用時必須要小心，特別要注意下列事項：</w:t>
      </w:r>
    </w:p>
    <w:p w14:paraId="5F0B741F"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ind w:left="482" w:hanging="482"/>
        <w:textAlignment w:val="bottom"/>
        <w:rPr>
          <w:rFonts w:ascii="標楷體" w:eastAsia="標楷體" w:hAnsi="標楷體"/>
          <w:color w:val="000000"/>
        </w:rPr>
      </w:pPr>
      <w:r>
        <w:rPr>
          <w:rFonts w:ascii="標楷體" w:eastAsia="標楷體" w:hAnsi="標楷體"/>
          <w:color w:val="000000"/>
        </w:rPr>
        <w:t>1.女性患者服藥期間及停藥後至少4個星期內，絕對不可懷孕，因為在上述期間發生懷孕，則很可能產生胎兒畸形。</w:t>
      </w:r>
    </w:p>
    <w:p w14:paraId="5572ABCB"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2.服藥期間及停藥至少四個星期內，請勿捐血以免受血者產生</w:t>
      </w:r>
      <w:proofErr w:type="gramStart"/>
      <w:r>
        <w:rPr>
          <w:rFonts w:ascii="標楷體" w:eastAsia="標楷體" w:hAnsi="標楷體"/>
          <w:color w:val="000000"/>
        </w:rPr>
        <w:t>畸</w:t>
      </w:r>
      <w:proofErr w:type="gramEnd"/>
      <w:r>
        <w:rPr>
          <w:rFonts w:ascii="標楷體" w:eastAsia="標楷體" w:hAnsi="標楷體"/>
          <w:color w:val="000000"/>
        </w:rPr>
        <w:t>胎。</w:t>
      </w:r>
    </w:p>
    <w:p w14:paraId="2B355F1E"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ind w:left="482" w:hanging="482"/>
        <w:textAlignment w:val="bottom"/>
        <w:rPr>
          <w:rFonts w:ascii="標楷體" w:eastAsia="標楷體" w:hAnsi="標楷體"/>
          <w:color w:val="000000"/>
        </w:rPr>
      </w:pPr>
      <w:r>
        <w:rPr>
          <w:rFonts w:ascii="標楷體" w:eastAsia="標楷體" w:hAnsi="標楷體"/>
          <w:color w:val="000000"/>
        </w:rPr>
        <w:t>3.因為對肝腎功能不全之病人為禁忌，請病人需依醫師指示定期做血液、肝功能、血脂肪等方面之檢查。</w:t>
      </w:r>
    </w:p>
    <w:p w14:paraId="398EC99B"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4.未經醫師許可，絕對不可將isotretinoin口服</w:t>
      </w:r>
      <w:proofErr w:type="gramStart"/>
      <w:r>
        <w:rPr>
          <w:rFonts w:ascii="標楷體" w:eastAsia="標楷體" w:hAnsi="標楷體"/>
          <w:color w:val="000000"/>
        </w:rPr>
        <w:t>製劑轉予</w:t>
      </w:r>
      <w:proofErr w:type="gramEnd"/>
      <w:r>
        <w:rPr>
          <w:rFonts w:ascii="標楷體" w:eastAsia="標楷體" w:hAnsi="標楷體"/>
          <w:color w:val="000000"/>
        </w:rPr>
        <w:t>他人使用。</w:t>
      </w:r>
    </w:p>
    <w:p w14:paraId="35D912A1"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本人確實瞭解採取下列方法為絕對需要:</w:t>
      </w:r>
    </w:p>
    <w:p w14:paraId="63AC83BA"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tabs>
          <w:tab w:val="right" w:pos="9413"/>
        </w:tabs>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1.女性患者在服用isotretinoin口服</w:t>
      </w:r>
      <w:proofErr w:type="gramStart"/>
      <w:r>
        <w:rPr>
          <w:rFonts w:ascii="標楷體" w:eastAsia="標楷體" w:hAnsi="標楷體"/>
          <w:color w:val="000000"/>
        </w:rPr>
        <w:t>製劑前必須</w:t>
      </w:r>
      <w:proofErr w:type="gramEnd"/>
      <w:r>
        <w:rPr>
          <w:rFonts w:ascii="標楷體" w:eastAsia="標楷體" w:hAnsi="標楷體"/>
          <w:color w:val="000000"/>
        </w:rPr>
        <w:t>驗孕以確定尚未懷孕。</w:t>
      </w:r>
      <w:r>
        <w:rPr>
          <w:rFonts w:ascii="標楷體" w:eastAsia="標楷體" w:hAnsi="標楷體"/>
          <w:color w:val="000000"/>
        </w:rPr>
        <w:tab/>
      </w:r>
    </w:p>
    <w:p w14:paraId="6C465D38"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ind w:left="357" w:hanging="357"/>
        <w:textAlignment w:val="bottom"/>
        <w:rPr>
          <w:rFonts w:ascii="標楷體" w:eastAsia="標楷體" w:hAnsi="標楷體"/>
          <w:color w:val="000000"/>
        </w:rPr>
      </w:pPr>
      <w:r>
        <w:rPr>
          <w:rFonts w:ascii="標楷體" w:eastAsia="標楷體" w:hAnsi="標楷體"/>
          <w:color w:val="000000"/>
        </w:rPr>
        <w:t>2.女性患者在服用isotretinoin口服製劑之前的四個星期，治療期間及停藥後至少4個星期內，必須使用有效之避孕方法。</w:t>
      </w:r>
    </w:p>
    <w:p w14:paraId="627327B3"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pPr>
      <w:r>
        <w:rPr>
          <w:rFonts w:ascii="標楷體" w:eastAsia="標楷體" w:hAnsi="標楷體"/>
          <w:color w:val="000000"/>
        </w:rPr>
        <w:t>3.萬一在上述期間發生懷孕，本人保證立刻通知</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醫師。</w:t>
      </w:r>
    </w:p>
    <w:p w14:paraId="76C6EFB1"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雖然本人充分瞭解假使在上述期間發生懷孕可能導致之後果，本人仍然願意接受isotretinoin口服製劑治療，並且願意承受這種危險性及有關注意事項。</w:t>
      </w:r>
    </w:p>
    <w:p w14:paraId="48E64832"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為慎重計，特立此同意書。</w:t>
      </w:r>
    </w:p>
    <w:p w14:paraId="456C7969" w14:textId="77777777" w:rsidR="00401786" w:rsidRDefault="00C64FB3" w:rsidP="000E757E">
      <w:pPr>
        <w:widowControl/>
        <w:autoSpaceDE w:val="0"/>
        <w:snapToGrid w:val="0"/>
        <w:spacing w:line="240" w:lineRule="atLeast"/>
        <w:textAlignment w:val="bottom"/>
      </w:pPr>
      <w:r>
        <w:rPr>
          <w:rFonts w:ascii="標楷體" w:eastAsia="標楷體" w:hAnsi="標楷體"/>
          <w:color w:val="000000"/>
        </w:rPr>
        <w:t>日期:民國</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年</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月</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日，地點:</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6D7A836A" w14:textId="77777777" w:rsidR="00401786" w:rsidRDefault="00C64FB3" w:rsidP="000E757E">
      <w:pPr>
        <w:widowControl/>
        <w:autoSpaceDE w:val="0"/>
        <w:snapToGrid w:val="0"/>
        <w:spacing w:line="240" w:lineRule="atLeast"/>
        <w:textAlignment w:val="bottom"/>
      </w:pPr>
      <w:r>
        <w:rPr>
          <w:rFonts w:ascii="標楷體" w:eastAsia="標楷體" w:hAnsi="標楷體"/>
          <w:color w:val="000000"/>
        </w:rPr>
        <w:t>立同意書人: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10106449" w14:textId="77777777" w:rsidR="00401786" w:rsidRDefault="00C64FB3" w:rsidP="000E757E">
      <w:pPr>
        <w:snapToGrid w:val="0"/>
        <w:spacing w:line="240" w:lineRule="atLeast"/>
      </w:pPr>
      <w:r>
        <w:rPr>
          <w:rFonts w:ascii="標楷體" w:eastAsia="標楷體" w:hAnsi="標楷體"/>
          <w:color w:val="000000"/>
        </w:rPr>
        <w:t>（未成年人需經法定代理人之同意）</w:t>
      </w:r>
    </w:p>
    <w:p w14:paraId="5FE3F1D9" w14:textId="77777777" w:rsidR="00401786" w:rsidRDefault="00401786" w:rsidP="000E757E">
      <w:pPr>
        <w:snapToGrid w:val="0"/>
        <w:spacing w:line="240" w:lineRule="atLeast"/>
        <w:rPr>
          <w:rFonts w:ascii="標楷體" w:eastAsia="標楷體" w:hAnsi="標楷體"/>
        </w:rPr>
      </w:pPr>
    </w:p>
    <w:p w14:paraId="46C20DEA" w14:textId="77777777" w:rsidR="00401786" w:rsidRDefault="00401786" w:rsidP="000E757E">
      <w:pPr>
        <w:snapToGrid w:val="0"/>
        <w:spacing w:line="240" w:lineRule="atLeast"/>
        <w:rPr>
          <w:rFonts w:ascii="標楷體" w:eastAsia="標楷體" w:hAnsi="標楷體" w:cs="Arial"/>
        </w:rPr>
      </w:pPr>
    </w:p>
    <w:p w14:paraId="1D9C9C0F" w14:textId="77777777" w:rsidR="00401786" w:rsidRPr="00F37647" w:rsidRDefault="00401786" w:rsidP="000E757E">
      <w:pPr>
        <w:pageBreakBefore/>
        <w:snapToGrid w:val="0"/>
        <w:spacing w:line="240" w:lineRule="atLeast"/>
        <w:rPr>
          <w:rFonts w:ascii="標楷體" w:eastAsia="標楷體" w:hAnsi="標楷體"/>
          <w:b/>
          <w:bCs/>
          <w:sz w:val="22"/>
          <w:szCs w:val="20"/>
        </w:rPr>
      </w:pPr>
    </w:p>
    <w:tbl>
      <w:tblPr>
        <w:tblW w:w="8188" w:type="dxa"/>
        <w:tblLayout w:type="fixed"/>
        <w:tblCellMar>
          <w:left w:w="10" w:type="dxa"/>
          <w:right w:w="10" w:type="dxa"/>
        </w:tblCellMar>
        <w:tblLook w:val="0000" w:firstRow="0" w:lastRow="0" w:firstColumn="0" w:lastColumn="0" w:noHBand="0" w:noVBand="0"/>
      </w:tblPr>
      <w:tblGrid>
        <w:gridCol w:w="8188"/>
      </w:tblGrid>
      <w:tr w:rsidR="00401786" w:rsidRPr="00F37647" w14:paraId="6A14629F" w14:textId="77777777">
        <w:trPr>
          <w:cantSplit/>
        </w:trPr>
        <w:tc>
          <w:tcPr>
            <w:tcW w:w="8188" w:type="dxa"/>
            <w:shd w:val="clear" w:color="auto" w:fill="auto"/>
            <w:tcMar>
              <w:top w:w="0" w:type="dxa"/>
              <w:left w:w="28" w:type="dxa"/>
              <w:bottom w:w="0" w:type="dxa"/>
              <w:right w:w="28" w:type="dxa"/>
            </w:tcMar>
          </w:tcPr>
          <w:p w14:paraId="1C1B9AF5" w14:textId="77777777" w:rsidR="00401786" w:rsidRPr="00F37647" w:rsidRDefault="00C64FB3" w:rsidP="000E757E">
            <w:pPr>
              <w:widowControl/>
              <w:autoSpaceDE w:val="0"/>
              <w:snapToGrid w:val="0"/>
              <w:spacing w:line="240" w:lineRule="atLeast"/>
              <w:ind w:left="1" w:firstLine="39"/>
              <w:jc w:val="center"/>
              <w:textAlignment w:val="bottom"/>
              <w:rPr>
                <w:b/>
                <w:bCs/>
                <w:sz w:val="22"/>
                <w:szCs w:val="20"/>
              </w:rPr>
            </w:pPr>
            <w:r w:rsidRPr="00F37647">
              <w:rPr>
                <w:rFonts w:ascii="標楷體" w:eastAsia="標楷體" w:hAnsi="標楷體"/>
                <w:b/>
                <w:bCs/>
                <w:color w:val="000000"/>
                <w:sz w:val="28"/>
                <w:szCs w:val="28"/>
              </w:rPr>
              <w:t>附表十一患者服用Acitretin製劑同意書</w:t>
            </w:r>
          </w:p>
        </w:tc>
      </w:tr>
    </w:tbl>
    <w:p w14:paraId="2B1861C1"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616AE37B"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病歷號碼：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5CA5D2A1"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608E485F"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茲證明本人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年齡</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出生日期</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月</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日</w:t>
      </w:r>
    </w:p>
    <w:p w14:paraId="4D7B5534"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身分證號碼: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0F808CED"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地址:</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51AB1C30"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確認經由</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醫院</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醫師詳細告知服用</w:t>
      </w:r>
    </w:p>
    <w:p w14:paraId="2C655134"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acitretin製劑之主要可能副作用和處置方式。</w:t>
      </w:r>
    </w:p>
    <w:p w14:paraId="45E903B8"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本人完全瞭解acitretin製劑可能對本人的嚴重性牛皮癬或皮膚角化症有所幫助，但服用時必須要小心，特別要注意下列事項：</w:t>
      </w:r>
    </w:p>
    <w:p w14:paraId="17407CCB" w14:textId="77777777" w:rsidR="00401786" w:rsidRDefault="00C64FB3">
      <w:pPr>
        <w:widowControl/>
        <w:numPr>
          <w:ilvl w:val="0"/>
          <w:numId w:val="77"/>
        </w:numPr>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女性患者服藥期間及停藥後至少24個月內，絕對不可懷孕，因為在上述期間發生懷孕，則很可能產生胎兒畸形。</w:t>
      </w:r>
    </w:p>
    <w:p w14:paraId="20002E25"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2.服藥期間及停藥至少</w:t>
      </w:r>
      <w:proofErr w:type="gramStart"/>
      <w:r>
        <w:rPr>
          <w:rFonts w:ascii="標楷體" w:eastAsia="標楷體" w:hAnsi="標楷體"/>
          <w:color w:val="000000"/>
        </w:rPr>
        <w:t>廿</w:t>
      </w:r>
      <w:proofErr w:type="gramEnd"/>
      <w:r>
        <w:rPr>
          <w:rFonts w:ascii="標楷體" w:eastAsia="標楷體" w:hAnsi="標楷體"/>
          <w:color w:val="000000"/>
        </w:rPr>
        <w:t>四個月內，請勿捐血以免受血者產生</w:t>
      </w:r>
      <w:proofErr w:type="gramStart"/>
      <w:r>
        <w:rPr>
          <w:rFonts w:ascii="標楷體" w:eastAsia="標楷體" w:hAnsi="標楷體"/>
          <w:color w:val="000000"/>
        </w:rPr>
        <w:t>畸</w:t>
      </w:r>
      <w:proofErr w:type="gramEnd"/>
      <w:r>
        <w:rPr>
          <w:rFonts w:ascii="標楷體" w:eastAsia="標楷體" w:hAnsi="標楷體"/>
          <w:color w:val="000000"/>
        </w:rPr>
        <w:t>胎。</w:t>
      </w:r>
    </w:p>
    <w:p w14:paraId="41F71656"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ind w:left="227" w:hanging="227"/>
        <w:textAlignment w:val="bottom"/>
        <w:rPr>
          <w:rFonts w:ascii="標楷體" w:eastAsia="標楷體" w:hAnsi="標楷體"/>
          <w:color w:val="000000"/>
        </w:rPr>
      </w:pPr>
      <w:r>
        <w:rPr>
          <w:rFonts w:ascii="標楷體" w:eastAsia="標楷體" w:hAnsi="標楷體"/>
          <w:color w:val="000000"/>
        </w:rPr>
        <w:t>3.因為對肝腎功能不全之病人為禁忌，請病人需依醫師指示定期做血液、肝功能、血脂肪等方面之檢查。</w:t>
      </w:r>
    </w:p>
    <w:p w14:paraId="3F20B35D"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4.未經醫師許可，絕對不可將acitretin</w:t>
      </w:r>
      <w:proofErr w:type="gramStart"/>
      <w:r>
        <w:rPr>
          <w:rFonts w:ascii="標楷體" w:eastAsia="標楷體" w:hAnsi="標楷體"/>
          <w:color w:val="000000"/>
        </w:rPr>
        <w:t>製劑轉予</w:t>
      </w:r>
      <w:proofErr w:type="gramEnd"/>
      <w:r>
        <w:rPr>
          <w:rFonts w:ascii="標楷體" w:eastAsia="標楷體" w:hAnsi="標楷體"/>
          <w:color w:val="000000"/>
        </w:rPr>
        <w:t>他人使用。</w:t>
      </w:r>
    </w:p>
    <w:p w14:paraId="648DD39F" w14:textId="77777777" w:rsidR="00401786" w:rsidRDefault="00401786"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p>
    <w:p w14:paraId="2FFC56A0"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本人確實瞭解採取下列方法為絕對需要:</w:t>
      </w:r>
    </w:p>
    <w:p w14:paraId="7E94061F"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1.女性患者在服用acitretin</w:t>
      </w:r>
      <w:proofErr w:type="gramStart"/>
      <w:r>
        <w:rPr>
          <w:rFonts w:ascii="標楷體" w:eastAsia="標楷體" w:hAnsi="標楷體"/>
          <w:color w:val="000000"/>
        </w:rPr>
        <w:t>製劑前必須</w:t>
      </w:r>
      <w:proofErr w:type="gramEnd"/>
      <w:r>
        <w:rPr>
          <w:rFonts w:ascii="標楷體" w:eastAsia="標楷體" w:hAnsi="標楷體"/>
          <w:color w:val="000000"/>
        </w:rPr>
        <w:t>驗孕以確定尚未懷孕。</w:t>
      </w:r>
    </w:p>
    <w:p w14:paraId="0FBBD6D7"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ind w:left="227" w:hanging="227"/>
        <w:textAlignment w:val="bottom"/>
        <w:rPr>
          <w:rFonts w:ascii="標楷體" w:eastAsia="標楷體" w:hAnsi="標楷體"/>
          <w:color w:val="000000"/>
        </w:rPr>
      </w:pPr>
      <w:r>
        <w:rPr>
          <w:rFonts w:ascii="標楷體" w:eastAsia="標楷體" w:hAnsi="標楷體"/>
          <w:color w:val="000000"/>
        </w:rPr>
        <w:t>2.女性患者在服用acitretin製劑之前的四個星期，治療期間及停藥後至少24個月內，必須使用有效之避孕方法。</w:t>
      </w:r>
    </w:p>
    <w:p w14:paraId="342DA815"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pPr>
      <w:r>
        <w:rPr>
          <w:rFonts w:ascii="標楷體" w:eastAsia="標楷體" w:hAnsi="標楷體"/>
          <w:color w:val="000000"/>
        </w:rPr>
        <w:t>3.萬一在上述期間發生懷孕，本人保證立刻通知</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醫師。</w:t>
      </w:r>
    </w:p>
    <w:p w14:paraId="56960D63"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雖然本人充分瞭解假使在上述期間發生懷孕可能導致之後果，本人仍然願意接受acitretin製劑治療，並且願意承受這種危險性及有關注意事項。</w:t>
      </w:r>
    </w:p>
    <w:p w14:paraId="558C6E0C"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為慎重計，特立此同意書。</w:t>
      </w:r>
    </w:p>
    <w:p w14:paraId="0766AF75"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0965E0F7" w14:textId="77777777" w:rsidR="00401786" w:rsidRDefault="00C64FB3" w:rsidP="000E757E">
      <w:pPr>
        <w:widowControl/>
        <w:autoSpaceDE w:val="0"/>
        <w:snapToGrid w:val="0"/>
        <w:spacing w:line="240" w:lineRule="atLeast"/>
        <w:textAlignment w:val="bottom"/>
      </w:pPr>
      <w:r>
        <w:rPr>
          <w:rFonts w:ascii="標楷體" w:eastAsia="標楷體" w:hAnsi="標楷體"/>
          <w:color w:val="000000"/>
        </w:rPr>
        <w:t>日期:民國</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年</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月</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日，地點:</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247425D2"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16DBA4B6"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立同意書人: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034A8F2C" w14:textId="77777777" w:rsidR="00401786" w:rsidRDefault="00C64FB3" w:rsidP="000E757E">
      <w:pPr>
        <w:snapToGrid w:val="0"/>
        <w:spacing w:line="240" w:lineRule="atLeast"/>
      </w:pPr>
      <w:r>
        <w:rPr>
          <w:rFonts w:ascii="標楷體" w:eastAsia="標楷體" w:hAnsi="標楷體" w:cs="標楷體"/>
          <w:color w:val="000000"/>
        </w:rPr>
        <w:t>（未成年人需經法定代理人之同意</w:t>
      </w:r>
      <w:r>
        <w:rPr>
          <w:rFonts w:ascii="標楷體" w:eastAsia="標楷體" w:hAnsi="標楷體"/>
          <w:color w:val="000000"/>
        </w:rPr>
        <w:t>）</w:t>
      </w:r>
    </w:p>
    <w:p w14:paraId="5E632F2C" w14:textId="77777777" w:rsidR="00401786" w:rsidRDefault="00401786" w:rsidP="000E757E">
      <w:pPr>
        <w:snapToGrid w:val="0"/>
        <w:spacing w:line="240" w:lineRule="atLeast"/>
        <w:rPr>
          <w:rFonts w:ascii="標楷體" w:eastAsia="標楷體" w:hAnsi="標楷體"/>
        </w:rPr>
      </w:pPr>
    </w:p>
    <w:p w14:paraId="1E15A0ED" w14:textId="77777777" w:rsidR="00401786" w:rsidRPr="00F37647" w:rsidRDefault="00C64FB3" w:rsidP="00F37647">
      <w:pPr>
        <w:pageBreakBefore/>
        <w:snapToGrid w:val="0"/>
        <w:spacing w:line="240" w:lineRule="atLeast"/>
        <w:jc w:val="center"/>
        <w:rPr>
          <w:b/>
          <w:bCs/>
          <w:sz w:val="22"/>
          <w:szCs w:val="20"/>
        </w:rPr>
      </w:pPr>
      <w:r w:rsidRPr="00F37647">
        <w:rPr>
          <w:rFonts w:ascii="標楷體" w:eastAsia="標楷體" w:hAnsi="標楷體"/>
          <w:b/>
          <w:bCs/>
          <w:color w:val="000000"/>
          <w:sz w:val="28"/>
          <w:szCs w:val="28"/>
        </w:rPr>
        <w:lastRenderedPageBreak/>
        <w:t>附表十三：全民健康保險類風濕關節炎病患28處關節疾病活動度(DiseaseActivityScore,DAS28)評估表</w:t>
      </w:r>
    </w:p>
    <w:p w14:paraId="3ECB6AD5" w14:textId="77777777" w:rsidR="00401786" w:rsidRDefault="00401786" w:rsidP="000E757E">
      <w:pPr>
        <w:snapToGrid w:val="0"/>
        <w:spacing w:line="240" w:lineRule="atLeast"/>
        <w:jc w:val="both"/>
        <w:rPr>
          <w:rFonts w:ascii="標楷體" w:eastAsia="標楷體" w:hAnsi="標楷體"/>
          <w:b/>
          <w:bCs/>
          <w:color w:val="000000"/>
          <w:sz w:val="28"/>
          <w:szCs w:val="28"/>
          <w:u w:val="single"/>
        </w:rPr>
      </w:pPr>
    </w:p>
    <w:tbl>
      <w:tblPr>
        <w:tblW w:w="8280" w:type="dxa"/>
        <w:tblLayout w:type="fixed"/>
        <w:tblCellMar>
          <w:left w:w="10" w:type="dxa"/>
          <w:right w:w="10" w:type="dxa"/>
        </w:tblCellMar>
        <w:tblLook w:val="0000" w:firstRow="0" w:lastRow="0" w:firstColumn="0" w:lastColumn="0" w:noHBand="0" w:noVBand="0"/>
      </w:tblPr>
      <w:tblGrid>
        <w:gridCol w:w="1980"/>
        <w:gridCol w:w="1620"/>
        <w:gridCol w:w="1620"/>
        <w:gridCol w:w="1620"/>
        <w:gridCol w:w="1440"/>
      </w:tblGrid>
      <w:tr w:rsidR="00401786" w14:paraId="5FEB288A" w14:textId="77777777">
        <w:trPr>
          <w:cantSplit/>
          <w:trHeight w:hRule="exact" w:val="361"/>
        </w:trPr>
        <w:tc>
          <w:tcPr>
            <w:tcW w:w="1980" w:type="dxa"/>
            <w:vMerge w:val="restart"/>
            <w:tcBorders>
              <w:top w:val="single" w:sz="4" w:space="0" w:color="000000"/>
              <w:bottom w:val="double" w:sz="4" w:space="0" w:color="000000"/>
            </w:tcBorders>
            <w:shd w:val="clear" w:color="auto" w:fill="auto"/>
            <w:tcMar>
              <w:top w:w="0" w:type="dxa"/>
              <w:left w:w="28" w:type="dxa"/>
              <w:bottom w:w="0" w:type="dxa"/>
              <w:right w:w="28" w:type="dxa"/>
            </w:tcMar>
          </w:tcPr>
          <w:p w14:paraId="1CCE32D7" w14:textId="77777777" w:rsidR="00401786" w:rsidRDefault="00401786" w:rsidP="000E757E">
            <w:pPr>
              <w:pStyle w:val="a7"/>
              <w:tabs>
                <w:tab w:val="clear" w:pos="4153"/>
                <w:tab w:val="clear" w:pos="8306"/>
              </w:tabs>
              <w:spacing w:line="240" w:lineRule="atLeast"/>
              <w:rPr>
                <w:rFonts w:ascii="標楷體" w:eastAsia="標楷體" w:hAnsi="標楷體"/>
                <w:color w:val="000000"/>
              </w:rPr>
            </w:pPr>
          </w:p>
        </w:tc>
        <w:tc>
          <w:tcPr>
            <w:tcW w:w="3240" w:type="dxa"/>
            <w:gridSpan w:val="2"/>
            <w:tcBorders>
              <w:top w:val="single" w:sz="4" w:space="0" w:color="000000"/>
            </w:tcBorders>
            <w:shd w:val="clear" w:color="auto" w:fill="auto"/>
            <w:tcMar>
              <w:top w:w="0" w:type="dxa"/>
              <w:left w:w="28" w:type="dxa"/>
              <w:bottom w:w="0" w:type="dxa"/>
              <w:right w:w="28" w:type="dxa"/>
            </w:tcMar>
          </w:tcPr>
          <w:p w14:paraId="2D812432" w14:textId="77777777" w:rsidR="00401786" w:rsidRDefault="00C64FB3" w:rsidP="000E757E">
            <w:pPr>
              <w:snapToGrid w:val="0"/>
              <w:spacing w:line="240" w:lineRule="atLeast"/>
              <w:jc w:val="center"/>
            </w:pPr>
            <w:r>
              <w:rPr>
                <w:rFonts w:ascii="標楷體" w:eastAsia="標楷體" w:hAnsi="標楷體" w:cs="標楷體"/>
                <w:color w:val="000000"/>
                <w:sz w:val="28"/>
                <w:szCs w:val="28"/>
              </w:rPr>
              <w:t>右</w:t>
            </w:r>
          </w:p>
        </w:tc>
        <w:tc>
          <w:tcPr>
            <w:tcW w:w="3060" w:type="dxa"/>
            <w:gridSpan w:val="2"/>
            <w:tcBorders>
              <w:top w:val="single" w:sz="4" w:space="0" w:color="000000"/>
            </w:tcBorders>
            <w:shd w:val="clear" w:color="auto" w:fill="auto"/>
            <w:tcMar>
              <w:top w:w="0" w:type="dxa"/>
              <w:left w:w="28" w:type="dxa"/>
              <w:bottom w:w="0" w:type="dxa"/>
              <w:right w:w="28" w:type="dxa"/>
            </w:tcMar>
          </w:tcPr>
          <w:p w14:paraId="4E564D95" w14:textId="77777777" w:rsidR="00401786" w:rsidRDefault="00C64FB3" w:rsidP="000E757E">
            <w:pPr>
              <w:snapToGrid w:val="0"/>
              <w:spacing w:line="240" w:lineRule="atLeast"/>
              <w:jc w:val="center"/>
            </w:pPr>
            <w:r>
              <w:rPr>
                <w:rFonts w:ascii="標楷體" w:eastAsia="標楷體" w:hAnsi="標楷體" w:cs="標楷體"/>
                <w:color w:val="000000"/>
                <w:sz w:val="28"/>
                <w:szCs w:val="28"/>
              </w:rPr>
              <w:t>左</w:t>
            </w:r>
          </w:p>
        </w:tc>
      </w:tr>
      <w:tr w:rsidR="00401786" w14:paraId="0C89FBB0" w14:textId="77777777">
        <w:trPr>
          <w:cantSplit/>
          <w:trHeight w:hRule="exact" w:val="708"/>
        </w:trPr>
        <w:tc>
          <w:tcPr>
            <w:tcW w:w="1980" w:type="dxa"/>
            <w:vMerge/>
            <w:tcBorders>
              <w:top w:val="single" w:sz="4" w:space="0" w:color="000000"/>
              <w:bottom w:val="double" w:sz="4" w:space="0" w:color="000000"/>
            </w:tcBorders>
            <w:shd w:val="clear" w:color="auto" w:fill="auto"/>
            <w:tcMar>
              <w:top w:w="0" w:type="dxa"/>
              <w:left w:w="28" w:type="dxa"/>
              <w:bottom w:w="0" w:type="dxa"/>
              <w:right w:w="28" w:type="dxa"/>
            </w:tcMar>
          </w:tcPr>
          <w:p w14:paraId="5B7F270C" w14:textId="77777777" w:rsidR="00401786" w:rsidRDefault="00401786" w:rsidP="000E757E">
            <w:pPr>
              <w:snapToGrid w:val="0"/>
              <w:spacing w:line="240" w:lineRule="atLeast"/>
              <w:rPr>
                <w:rFonts w:ascii="標楷體" w:eastAsia="標楷體" w:hAnsi="標楷體"/>
                <w:color w:val="000000"/>
                <w:sz w:val="20"/>
                <w:szCs w:val="20"/>
              </w:rPr>
            </w:pPr>
          </w:p>
        </w:tc>
        <w:tc>
          <w:tcPr>
            <w:tcW w:w="1620" w:type="dxa"/>
            <w:tcBorders>
              <w:bottom w:val="double" w:sz="4" w:space="0" w:color="000000"/>
            </w:tcBorders>
            <w:shd w:val="clear" w:color="auto" w:fill="auto"/>
            <w:tcMar>
              <w:top w:w="0" w:type="dxa"/>
              <w:left w:w="28" w:type="dxa"/>
              <w:bottom w:w="0" w:type="dxa"/>
              <w:right w:w="28" w:type="dxa"/>
            </w:tcMar>
          </w:tcPr>
          <w:p w14:paraId="3809ED4C"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觸痛</w:t>
            </w:r>
          </w:p>
          <w:p w14:paraId="6FE152B3" w14:textId="77777777" w:rsidR="00401786" w:rsidRDefault="00C64FB3" w:rsidP="000E757E">
            <w:pPr>
              <w:snapToGrid w:val="0"/>
              <w:spacing w:line="240" w:lineRule="atLeast"/>
              <w:ind w:left="-52"/>
              <w:jc w:val="center"/>
            </w:pPr>
            <w:r>
              <w:rPr>
                <w:rFonts w:ascii="標楷體" w:eastAsia="標楷體" w:hAnsi="標楷體"/>
                <w:color w:val="000000"/>
                <w:sz w:val="20"/>
                <w:szCs w:val="20"/>
              </w:rPr>
              <w:t>TENDERNESS</w:t>
            </w:r>
          </w:p>
        </w:tc>
        <w:tc>
          <w:tcPr>
            <w:tcW w:w="1620" w:type="dxa"/>
            <w:tcBorders>
              <w:bottom w:val="double" w:sz="4" w:space="0" w:color="000000"/>
            </w:tcBorders>
            <w:shd w:val="clear" w:color="auto" w:fill="auto"/>
            <w:tcMar>
              <w:top w:w="0" w:type="dxa"/>
              <w:left w:w="28" w:type="dxa"/>
              <w:bottom w:w="0" w:type="dxa"/>
              <w:right w:w="28" w:type="dxa"/>
            </w:tcMar>
          </w:tcPr>
          <w:p w14:paraId="322E91EB"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腫脹</w:t>
            </w:r>
          </w:p>
          <w:p w14:paraId="3FA0A5A2" w14:textId="77777777" w:rsidR="00401786" w:rsidRDefault="00C64FB3" w:rsidP="000E757E">
            <w:pPr>
              <w:snapToGrid w:val="0"/>
              <w:spacing w:line="240" w:lineRule="atLeast"/>
              <w:jc w:val="center"/>
            </w:pPr>
            <w:r>
              <w:rPr>
                <w:rFonts w:ascii="標楷體" w:eastAsia="標楷體" w:hAnsi="標楷體"/>
                <w:color w:val="000000"/>
                <w:sz w:val="20"/>
                <w:szCs w:val="20"/>
              </w:rPr>
              <w:t>SWELLING</w:t>
            </w:r>
          </w:p>
        </w:tc>
        <w:tc>
          <w:tcPr>
            <w:tcW w:w="1620" w:type="dxa"/>
            <w:tcBorders>
              <w:bottom w:val="double" w:sz="4" w:space="0" w:color="000000"/>
            </w:tcBorders>
            <w:shd w:val="clear" w:color="auto" w:fill="auto"/>
            <w:tcMar>
              <w:top w:w="0" w:type="dxa"/>
              <w:left w:w="28" w:type="dxa"/>
              <w:bottom w:w="0" w:type="dxa"/>
              <w:right w:w="28" w:type="dxa"/>
            </w:tcMar>
          </w:tcPr>
          <w:p w14:paraId="10FF19B6"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觸痛</w:t>
            </w:r>
          </w:p>
          <w:p w14:paraId="258A1723" w14:textId="77777777" w:rsidR="00401786" w:rsidRDefault="00C64FB3" w:rsidP="000E757E">
            <w:pPr>
              <w:snapToGrid w:val="0"/>
              <w:spacing w:line="240" w:lineRule="atLeast"/>
              <w:jc w:val="center"/>
            </w:pPr>
            <w:r>
              <w:rPr>
                <w:rFonts w:ascii="標楷體" w:eastAsia="標楷體" w:hAnsi="標楷體"/>
                <w:color w:val="000000"/>
                <w:sz w:val="20"/>
                <w:szCs w:val="20"/>
              </w:rPr>
              <w:t>TENDERNESS</w:t>
            </w:r>
          </w:p>
        </w:tc>
        <w:tc>
          <w:tcPr>
            <w:tcW w:w="1440" w:type="dxa"/>
            <w:tcBorders>
              <w:bottom w:val="double" w:sz="4" w:space="0" w:color="000000"/>
            </w:tcBorders>
            <w:shd w:val="clear" w:color="auto" w:fill="auto"/>
            <w:tcMar>
              <w:top w:w="0" w:type="dxa"/>
              <w:left w:w="28" w:type="dxa"/>
              <w:bottom w:w="0" w:type="dxa"/>
              <w:right w:w="28" w:type="dxa"/>
            </w:tcMar>
          </w:tcPr>
          <w:p w14:paraId="3DA66026"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腫脹</w:t>
            </w:r>
          </w:p>
          <w:p w14:paraId="32C361C1"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SWELLING</w:t>
            </w:r>
          </w:p>
        </w:tc>
      </w:tr>
      <w:tr w:rsidR="00401786" w14:paraId="5D9AC317" w14:textId="77777777">
        <w:trPr>
          <w:cantSplit/>
          <w:trHeight w:val="300"/>
        </w:trPr>
        <w:tc>
          <w:tcPr>
            <w:tcW w:w="1980" w:type="dxa"/>
            <w:shd w:val="clear" w:color="auto" w:fill="auto"/>
            <w:tcMar>
              <w:top w:w="0" w:type="dxa"/>
              <w:left w:w="28" w:type="dxa"/>
              <w:bottom w:w="0" w:type="dxa"/>
              <w:right w:w="28" w:type="dxa"/>
            </w:tcMar>
          </w:tcPr>
          <w:p w14:paraId="248948DC" w14:textId="77777777" w:rsidR="00401786" w:rsidRDefault="00C64FB3" w:rsidP="000E757E">
            <w:pPr>
              <w:pStyle w:val="a7"/>
              <w:tabs>
                <w:tab w:val="clear" w:pos="4153"/>
                <w:tab w:val="clear" w:pos="8306"/>
              </w:tabs>
              <w:spacing w:line="240" w:lineRule="atLeast"/>
              <w:rPr>
                <w:rFonts w:ascii="標楷體" w:eastAsia="標楷體" w:hAnsi="標楷體"/>
                <w:color w:val="000000"/>
                <w:sz w:val="22"/>
                <w:szCs w:val="22"/>
              </w:rPr>
            </w:pPr>
            <w:proofErr w:type="gramStart"/>
            <w:r>
              <w:rPr>
                <w:rFonts w:ascii="標楷體" w:eastAsia="標楷體" w:hAnsi="標楷體"/>
                <w:color w:val="000000"/>
                <w:sz w:val="22"/>
                <w:szCs w:val="22"/>
              </w:rPr>
              <w:t>肩</w:t>
            </w:r>
            <w:proofErr w:type="gramEnd"/>
            <w:r>
              <w:rPr>
                <w:rFonts w:ascii="標楷體" w:eastAsia="標楷體" w:hAnsi="標楷體"/>
                <w:color w:val="000000"/>
                <w:sz w:val="22"/>
                <w:szCs w:val="22"/>
              </w:rPr>
              <w:t>關節</w:t>
            </w:r>
          </w:p>
        </w:tc>
        <w:tc>
          <w:tcPr>
            <w:tcW w:w="1620" w:type="dxa"/>
            <w:shd w:val="clear" w:color="auto" w:fill="auto"/>
            <w:tcMar>
              <w:top w:w="0" w:type="dxa"/>
              <w:left w:w="28" w:type="dxa"/>
              <w:bottom w:w="0" w:type="dxa"/>
              <w:right w:w="28" w:type="dxa"/>
            </w:tcMar>
          </w:tcPr>
          <w:p w14:paraId="41BCE30F"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065F86B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9BF491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5A6486F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7F3B7BF4" w14:textId="77777777">
        <w:trPr>
          <w:cantSplit/>
          <w:trHeight w:val="300"/>
        </w:trPr>
        <w:tc>
          <w:tcPr>
            <w:tcW w:w="1980" w:type="dxa"/>
            <w:shd w:val="clear" w:color="auto" w:fill="auto"/>
            <w:tcMar>
              <w:top w:w="0" w:type="dxa"/>
              <w:left w:w="28" w:type="dxa"/>
              <w:bottom w:w="0" w:type="dxa"/>
              <w:right w:w="28" w:type="dxa"/>
            </w:tcMar>
          </w:tcPr>
          <w:p w14:paraId="153B31E2"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手肘關節</w:t>
            </w:r>
          </w:p>
        </w:tc>
        <w:tc>
          <w:tcPr>
            <w:tcW w:w="1620" w:type="dxa"/>
            <w:shd w:val="clear" w:color="auto" w:fill="auto"/>
            <w:tcMar>
              <w:top w:w="0" w:type="dxa"/>
              <w:left w:w="28" w:type="dxa"/>
              <w:bottom w:w="0" w:type="dxa"/>
              <w:right w:w="28" w:type="dxa"/>
            </w:tcMar>
          </w:tcPr>
          <w:p w14:paraId="1AF56D7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4762BB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477635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032A0CD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3BA080B" w14:textId="77777777">
        <w:trPr>
          <w:cantSplit/>
          <w:trHeight w:val="300"/>
        </w:trPr>
        <w:tc>
          <w:tcPr>
            <w:tcW w:w="1980" w:type="dxa"/>
            <w:shd w:val="clear" w:color="auto" w:fill="auto"/>
            <w:tcMar>
              <w:top w:w="0" w:type="dxa"/>
              <w:left w:w="28" w:type="dxa"/>
              <w:bottom w:w="0" w:type="dxa"/>
              <w:right w:w="28" w:type="dxa"/>
            </w:tcMar>
          </w:tcPr>
          <w:p w14:paraId="280F3668"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手腕關節</w:t>
            </w:r>
          </w:p>
        </w:tc>
        <w:tc>
          <w:tcPr>
            <w:tcW w:w="1620" w:type="dxa"/>
            <w:shd w:val="clear" w:color="auto" w:fill="auto"/>
            <w:tcMar>
              <w:top w:w="0" w:type="dxa"/>
              <w:left w:w="28" w:type="dxa"/>
              <w:bottom w:w="0" w:type="dxa"/>
              <w:right w:w="28" w:type="dxa"/>
            </w:tcMar>
          </w:tcPr>
          <w:p w14:paraId="6AA6FA70"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22E27F8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643BDB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4FD183C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69CBE7B9" w14:textId="77777777">
        <w:trPr>
          <w:cantSplit/>
          <w:trHeight w:val="300"/>
        </w:trPr>
        <w:tc>
          <w:tcPr>
            <w:tcW w:w="1980" w:type="dxa"/>
            <w:shd w:val="clear" w:color="auto" w:fill="auto"/>
            <w:tcMar>
              <w:top w:w="0" w:type="dxa"/>
              <w:left w:w="28" w:type="dxa"/>
              <w:bottom w:w="0" w:type="dxa"/>
              <w:right w:w="28" w:type="dxa"/>
            </w:tcMar>
          </w:tcPr>
          <w:p w14:paraId="02D36D29"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w:t>
            </w:r>
          </w:p>
        </w:tc>
        <w:tc>
          <w:tcPr>
            <w:tcW w:w="1620" w:type="dxa"/>
            <w:shd w:val="clear" w:color="auto" w:fill="auto"/>
            <w:tcMar>
              <w:top w:w="0" w:type="dxa"/>
              <w:left w:w="28" w:type="dxa"/>
              <w:bottom w:w="0" w:type="dxa"/>
              <w:right w:w="28" w:type="dxa"/>
            </w:tcMar>
          </w:tcPr>
          <w:p w14:paraId="040F653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DAB702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4F9C82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4D8105E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0FC2510" w14:textId="77777777">
        <w:trPr>
          <w:cantSplit/>
          <w:trHeight w:val="300"/>
        </w:trPr>
        <w:tc>
          <w:tcPr>
            <w:tcW w:w="1980" w:type="dxa"/>
            <w:shd w:val="clear" w:color="auto" w:fill="auto"/>
            <w:tcMar>
              <w:top w:w="0" w:type="dxa"/>
              <w:left w:w="28" w:type="dxa"/>
              <w:bottom w:w="0" w:type="dxa"/>
              <w:right w:w="28" w:type="dxa"/>
            </w:tcMar>
          </w:tcPr>
          <w:p w14:paraId="4E8593A0"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MCP關節II</w:t>
            </w:r>
          </w:p>
        </w:tc>
        <w:tc>
          <w:tcPr>
            <w:tcW w:w="1620" w:type="dxa"/>
            <w:shd w:val="clear" w:color="auto" w:fill="auto"/>
            <w:tcMar>
              <w:top w:w="0" w:type="dxa"/>
              <w:left w:w="28" w:type="dxa"/>
              <w:bottom w:w="0" w:type="dxa"/>
              <w:right w:w="28" w:type="dxa"/>
            </w:tcMar>
          </w:tcPr>
          <w:p w14:paraId="757D3EC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0DE80C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3004C4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4D7C34A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67389041" w14:textId="77777777">
        <w:trPr>
          <w:cantSplit/>
          <w:trHeight w:val="300"/>
        </w:trPr>
        <w:tc>
          <w:tcPr>
            <w:tcW w:w="1980" w:type="dxa"/>
            <w:shd w:val="clear" w:color="auto" w:fill="auto"/>
            <w:tcMar>
              <w:top w:w="0" w:type="dxa"/>
              <w:left w:w="28" w:type="dxa"/>
              <w:bottom w:w="0" w:type="dxa"/>
              <w:right w:w="28" w:type="dxa"/>
            </w:tcMar>
          </w:tcPr>
          <w:p w14:paraId="5426941A"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MCP關節III</w:t>
            </w:r>
          </w:p>
        </w:tc>
        <w:tc>
          <w:tcPr>
            <w:tcW w:w="1620" w:type="dxa"/>
            <w:shd w:val="clear" w:color="auto" w:fill="auto"/>
            <w:tcMar>
              <w:top w:w="0" w:type="dxa"/>
              <w:left w:w="28" w:type="dxa"/>
              <w:bottom w:w="0" w:type="dxa"/>
              <w:right w:w="28" w:type="dxa"/>
            </w:tcMar>
          </w:tcPr>
          <w:p w14:paraId="670C999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96DF2A6"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A02C99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17FD307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F3EEB80" w14:textId="77777777">
        <w:trPr>
          <w:cantSplit/>
          <w:trHeight w:val="300"/>
        </w:trPr>
        <w:tc>
          <w:tcPr>
            <w:tcW w:w="1980" w:type="dxa"/>
            <w:shd w:val="clear" w:color="auto" w:fill="auto"/>
            <w:tcMar>
              <w:top w:w="0" w:type="dxa"/>
              <w:left w:w="28" w:type="dxa"/>
              <w:bottom w:w="0" w:type="dxa"/>
              <w:right w:w="28" w:type="dxa"/>
            </w:tcMar>
          </w:tcPr>
          <w:p w14:paraId="0002FDB6"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MCP關節IV</w:t>
            </w:r>
          </w:p>
        </w:tc>
        <w:tc>
          <w:tcPr>
            <w:tcW w:w="1620" w:type="dxa"/>
            <w:shd w:val="clear" w:color="auto" w:fill="auto"/>
            <w:tcMar>
              <w:top w:w="0" w:type="dxa"/>
              <w:left w:w="28" w:type="dxa"/>
              <w:bottom w:w="0" w:type="dxa"/>
              <w:right w:w="28" w:type="dxa"/>
            </w:tcMar>
          </w:tcPr>
          <w:p w14:paraId="0DCBD86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039C47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23337AEA"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08FF2519"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190A51DD" w14:textId="77777777">
        <w:trPr>
          <w:cantSplit/>
          <w:trHeight w:val="300"/>
        </w:trPr>
        <w:tc>
          <w:tcPr>
            <w:tcW w:w="1980" w:type="dxa"/>
            <w:shd w:val="clear" w:color="auto" w:fill="auto"/>
            <w:tcMar>
              <w:top w:w="0" w:type="dxa"/>
              <w:left w:w="28" w:type="dxa"/>
              <w:bottom w:w="0" w:type="dxa"/>
              <w:right w:w="28" w:type="dxa"/>
            </w:tcMar>
          </w:tcPr>
          <w:p w14:paraId="6BDD68E9"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MCP關節V</w:t>
            </w:r>
          </w:p>
        </w:tc>
        <w:tc>
          <w:tcPr>
            <w:tcW w:w="1620" w:type="dxa"/>
            <w:shd w:val="clear" w:color="auto" w:fill="auto"/>
            <w:tcMar>
              <w:top w:w="0" w:type="dxa"/>
              <w:left w:w="28" w:type="dxa"/>
              <w:bottom w:w="0" w:type="dxa"/>
              <w:right w:w="28" w:type="dxa"/>
            </w:tcMar>
          </w:tcPr>
          <w:p w14:paraId="280EA390"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4A59AF6"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7036AC6D"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7C81C25D"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26FBCCE3" w14:textId="77777777">
        <w:trPr>
          <w:cantSplit/>
          <w:trHeight w:val="300"/>
        </w:trPr>
        <w:tc>
          <w:tcPr>
            <w:tcW w:w="1980" w:type="dxa"/>
            <w:shd w:val="clear" w:color="auto" w:fill="auto"/>
            <w:tcMar>
              <w:top w:w="0" w:type="dxa"/>
              <w:left w:w="28" w:type="dxa"/>
              <w:bottom w:w="0" w:type="dxa"/>
              <w:right w:w="28" w:type="dxa"/>
            </w:tcMar>
          </w:tcPr>
          <w:p w14:paraId="3BF34A4D" w14:textId="77777777" w:rsidR="00401786" w:rsidRDefault="00C64FB3" w:rsidP="000E757E">
            <w:pPr>
              <w:snapToGrid w:val="0"/>
              <w:spacing w:line="240" w:lineRule="atLeast"/>
              <w:rPr>
                <w:rFonts w:ascii="標楷體" w:eastAsia="標楷體" w:hAnsi="標楷體"/>
                <w:color w:val="000000"/>
                <w:sz w:val="22"/>
              </w:rPr>
            </w:pPr>
            <w:proofErr w:type="gramStart"/>
            <w:r>
              <w:rPr>
                <w:rFonts w:ascii="標楷體" w:eastAsia="標楷體" w:hAnsi="標楷體"/>
                <w:color w:val="000000"/>
                <w:sz w:val="22"/>
              </w:rPr>
              <w:t>姆指指</w:t>
            </w:r>
            <w:proofErr w:type="gramEnd"/>
            <w:r>
              <w:rPr>
                <w:rFonts w:ascii="標楷體" w:eastAsia="標楷體" w:hAnsi="標楷體"/>
                <w:color w:val="000000"/>
                <w:sz w:val="22"/>
              </w:rPr>
              <w:t>間關節</w:t>
            </w:r>
          </w:p>
        </w:tc>
        <w:tc>
          <w:tcPr>
            <w:tcW w:w="1620" w:type="dxa"/>
            <w:shd w:val="clear" w:color="auto" w:fill="auto"/>
            <w:tcMar>
              <w:top w:w="0" w:type="dxa"/>
              <w:left w:w="28" w:type="dxa"/>
              <w:bottom w:w="0" w:type="dxa"/>
              <w:right w:w="28" w:type="dxa"/>
            </w:tcMar>
          </w:tcPr>
          <w:p w14:paraId="7F763C9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75FF7E2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5970CB5"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6ECF6FAA"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2A77B201" w14:textId="77777777">
        <w:trPr>
          <w:cantSplit/>
          <w:trHeight w:val="300"/>
        </w:trPr>
        <w:tc>
          <w:tcPr>
            <w:tcW w:w="1980" w:type="dxa"/>
            <w:shd w:val="clear" w:color="auto" w:fill="auto"/>
            <w:tcMar>
              <w:top w:w="0" w:type="dxa"/>
              <w:left w:w="28" w:type="dxa"/>
              <w:bottom w:w="0" w:type="dxa"/>
              <w:right w:w="28" w:type="dxa"/>
            </w:tcMar>
          </w:tcPr>
          <w:p w14:paraId="24EFEB52"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PIP關節II</w:t>
            </w:r>
          </w:p>
        </w:tc>
        <w:tc>
          <w:tcPr>
            <w:tcW w:w="1620" w:type="dxa"/>
            <w:shd w:val="clear" w:color="auto" w:fill="auto"/>
            <w:tcMar>
              <w:top w:w="0" w:type="dxa"/>
              <w:left w:w="28" w:type="dxa"/>
              <w:bottom w:w="0" w:type="dxa"/>
              <w:right w:w="28" w:type="dxa"/>
            </w:tcMar>
          </w:tcPr>
          <w:p w14:paraId="23236DE0"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213AEFF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D15669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690CC89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2502353" w14:textId="77777777">
        <w:trPr>
          <w:cantSplit/>
          <w:trHeight w:val="300"/>
        </w:trPr>
        <w:tc>
          <w:tcPr>
            <w:tcW w:w="1980" w:type="dxa"/>
            <w:shd w:val="clear" w:color="auto" w:fill="auto"/>
            <w:tcMar>
              <w:top w:w="0" w:type="dxa"/>
              <w:left w:w="28" w:type="dxa"/>
              <w:bottom w:w="0" w:type="dxa"/>
              <w:right w:w="28" w:type="dxa"/>
            </w:tcMar>
          </w:tcPr>
          <w:p w14:paraId="4CF49AD7"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PIP關節III</w:t>
            </w:r>
          </w:p>
        </w:tc>
        <w:tc>
          <w:tcPr>
            <w:tcW w:w="1620" w:type="dxa"/>
            <w:shd w:val="clear" w:color="auto" w:fill="auto"/>
            <w:tcMar>
              <w:top w:w="0" w:type="dxa"/>
              <w:left w:w="28" w:type="dxa"/>
              <w:bottom w:w="0" w:type="dxa"/>
              <w:right w:w="28" w:type="dxa"/>
            </w:tcMar>
          </w:tcPr>
          <w:p w14:paraId="5EE5191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5FFC81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0ACF50D"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5641B88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0C1D7E9C" w14:textId="77777777">
        <w:trPr>
          <w:cantSplit/>
          <w:trHeight w:val="300"/>
        </w:trPr>
        <w:tc>
          <w:tcPr>
            <w:tcW w:w="1980" w:type="dxa"/>
            <w:shd w:val="clear" w:color="auto" w:fill="auto"/>
            <w:tcMar>
              <w:top w:w="0" w:type="dxa"/>
              <w:left w:w="28" w:type="dxa"/>
              <w:bottom w:w="0" w:type="dxa"/>
              <w:right w:w="28" w:type="dxa"/>
            </w:tcMar>
          </w:tcPr>
          <w:p w14:paraId="476807A9"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PIP關節IV</w:t>
            </w:r>
          </w:p>
        </w:tc>
        <w:tc>
          <w:tcPr>
            <w:tcW w:w="1620" w:type="dxa"/>
            <w:shd w:val="clear" w:color="auto" w:fill="auto"/>
            <w:tcMar>
              <w:top w:w="0" w:type="dxa"/>
              <w:left w:w="28" w:type="dxa"/>
              <w:bottom w:w="0" w:type="dxa"/>
              <w:right w:w="28" w:type="dxa"/>
            </w:tcMar>
          </w:tcPr>
          <w:p w14:paraId="7CFAB66F"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935AA9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ADD92C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0153EFA7"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22FA8E23" w14:textId="77777777">
        <w:trPr>
          <w:cantSplit/>
          <w:trHeight w:val="300"/>
        </w:trPr>
        <w:tc>
          <w:tcPr>
            <w:tcW w:w="1980" w:type="dxa"/>
            <w:shd w:val="clear" w:color="auto" w:fill="auto"/>
            <w:tcMar>
              <w:top w:w="0" w:type="dxa"/>
              <w:left w:w="28" w:type="dxa"/>
              <w:bottom w:w="0" w:type="dxa"/>
              <w:right w:w="28" w:type="dxa"/>
            </w:tcMar>
          </w:tcPr>
          <w:p w14:paraId="628EEF34"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PIP關節V</w:t>
            </w:r>
          </w:p>
        </w:tc>
        <w:tc>
          <w:tcPr>
            <w:tcW w:w="1620" w:type="dxa"/>
            <w:shd w:val="clear" w:color="auto" w:fill="auto"/>
            <w:tcMar>
              <w:top w:w="0" w:type="dxa"/>
              <w:left w:w="28" w:type="dxa"/>
              <w:bottom w:w="0" w:type="dxa"/>
              <w:right w:w="28" w:type="dxa"/>
            </w:tcMar>
          </w:tcPr>
          <w:p w14:paraId="207B7CA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C695A2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0B52579"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306B647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1B4D19B6" w14:textId="77777777">
        <w:trPr>
          <w:cantSplit/>
          <w:trHeight w:val="300"/>
        </w:trPr>
        <w:tc>
          <w:tcPr>
            <w:tcW w:w="1980" w:type="dxa"/>
            <w:tcBorders>
              <w:bottom w:val="single" w:sz="4" w:space="0" w:color="000000"/>
            </w:tcBorders>
            <w:shd w:val="clear" w:color="auto" w:fill="auto"/>
            <w:tcMar>
              <w:top w:w="0" w:type="dxa"/>
              <w:left w:w="28" w:type="dxa"/>
              <w:bottom w:w="0" w:type="dxa"/>
              <w:right w:w="28" w:type="dxa"/>
            </w:tcMar>
          </w:tcPr>
          <w:p w14:paraId="012BAB30"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膝關節</w:t>
            </w:r>
          </w:p>
        </w:tc>
        <w:tc>
          <w:tcPr>
            <w:tcW w:w="1620" w:type="dxa"/>
            <w:tcBorders>
              <w:bottom w:val="single" w:sz="4" w:space="0" w:color="000000"/>
            </w:tcBorders>
            <w:shd w:val="clear" w:color="auto" w:fill="auto"/>
            <w:tcMar>
              <w:top w:w="0" w:type="dxa"/>
              <w:left w:w="28" w:type="dxa"/>
              <w:bottom w:w="0" w:type="dxa"/>
              <w:right w:w="28" w:type="dxa"/>
            </w:tcMar>
          </w:tcPr>
          <w:p w14:paraId="0352F515"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tcBorders>
              <w:bottom w:val="single" w:sz="4" w:space="0" w:color="000000"/>
            </w:tcBorders>
            <w:shd w:val="clear" w:color="auto" w:fill="auto"/>
            <w:tcMar>
              <w:top w:w="0" w:type="dxa"/>
              <w:left w:w="28" w:type="dxa"/>
              <w:bottom w:w="0" w:type="dxa"/>
              <w:right w:w="28" w:type="dxa"/>
            </w:tcMar>
          </w:tcPr>
          <w:p w14:paraId="2090D34A"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tcBorders>
              <w:bottom w:val="single" w:sz="4" w:space="0" w:color="000000"/>
            </w:tcBorders>
            <w:shd w:val="clear" w:color="auto" w:fill="auto"/>
            <w:tcMar>
              <w:top w:w="0" w:type="dxa"/>
              <w:left w:w="28" w:type="dxa"/>
              <w:bottom w:w="0" w:type="dxa"/>
              <w:right w:w="28" w:type="dxa"/>
            </w:tcMar>
          </w:tcPr>
          <w:p w14:paraId="6F0686BF"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tcBorders>
              <w:bottom w:val="single" w:sz="4" w:space="0" w:color="000000"/>
            </w:tcBorders>
            <w:shd w:val="clear" w:color="auto" w:fill="auto"/>
            <w:tcMar>
              <w:top w:w="0" w:type="dxa"/>
              <w:left w:w="28" w:type="dxa"/>
              <w:bottom w:w="0" w:type="dxa"/>
              <w:right w:w="28" w:type="dxa"/>
            </w:tcMar>
          </w:tcPr>
          <w:p w14:paraId="686C3C2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0FB971A6" w14:textId="77777777">
        <w:trPr>
          <w:cantSplit/>
          <w:trHeight w:hRule="exact" w:val="812"/>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77E017A8" w14:textId="77777777" w:rsidR="00401786" w:rsidRDefault="00C64FB3" w:rsidP="000E757E">
            <w:pPr>
              <w:snapToGrid w:val="0"/>
              <w:spacing w:line="240" w:lineRule="atLeast"/>
            </w:pPr>
            <w:r>
              <w:rPr>
                <w:rFonts w:ascii="標楷體" w:eastAsia="標楷體" w:hAnsi="標楷體"/>
                <w:color w:val="000000"/>
              </w:rPr>
              <w:t>觸痛關節之總數</w:t>
            </w:r>
          </w:p>
          <w:p w14:paraId="6AF87F3D" w14:textId="77777777" w:rsidR="00401786" w:rsidRDefault="00C64FB3" w:rsidP="000E757E">
            <w:pPr>
              <w:snapToGrid w:val="0"/>
              <w:spacing w:line="240" w:lineRule="atLeast"/>
            </w:pPr>
            <w:r>
              <w:rPr>
                <w:rFonts w:ascii="標楷體" w:eastAsia="標楷體" w:hAnsi="標楷體"/>
                <w:color w:val="000000"/>
              </w:rPr>
              <w:t>(左邊+</w:t>
            </w:r>
            <w:proofErr w:type="gramStart"/>
            <w:r>
              <w:rPr>
                <w:rFonts w:ascii="標楷體" w:eastAsia="標楷體" w:hAnsi="標楷體"/>
                <w:color w:val="000000"/>
              </w:rPr>
              <w:t>右邊)</w:t>
            </w:r>
            <w:proofErr w:type="gramEnd"/>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5A364710" w14:textId="77777777" w:rsidR="00401786" w:rsidRDefault="00401786" w:rsidP="000E757E">
            <w:pPr>
              <w:snapToGrid w:val="0"/>
              <w:spacing w:line="240" w:lineRule="atLeast"/>
              <w:rPr>
                <w:rFonts w:ascii="標楷體" w:eastAsia="標楷體" w:hAnsi="標楷體"/>
                <w:color w:val="000000"/>
                <w:sz w:val="20"/>
                <w:szCs w:val="20"/>
                <w:u w:val="single"/>
              </w:rPr>
            </w:pPr>
          </w:p>
          <w:p w14:paraId="6F510D0C" w14:textId="77777777" w:rsidR="00401786" w:rsidRDefault="00401786" w:rsidP="000E757E">
            <w:pPr>
              <w:snapToGrid w:val="0"/>
              <w:spacing w:line="240" w:lineRule="atLeast"/>
              <w:rPr>
                <w:rFonts w:ascii="標楷體" w:eastAsia="標楷體" w:hAnsi="標楷體"/>
                <w:color w:val="000000"/>
                <w:sz w:val="20"/>
                <w:szCs w:val="20"/>
                <w:u w:val="single"/>
              </w:rPr>
            </w:pPr>
          </w:p>
          <w:p w14:paraId="136E7634" w14:textId="77777777" w:rsidR="00401786" w:rsidRDefault="00401786" w:rsidP="000E757E">
            <w:pPr>
              <w:snapToGrid w:val="0"/>
              <w:spacing w:line="240" w:lineRule="atLeast"/>
              <w:rPr>
                <w:rFonts w:ascii="標楷體" w:eastAsia="標楷體" w:hAnsi="標楷體" w:cs="標楷體"/>
                <w:color w:val="000000"/>
                <w:sz w:val="20"/>
                <w:szCs w:val="20"/>
                <w:u w:val="single"/>
              </w:rPr>
            </w:pPr>
          </w:p>
        </w:tc>
      </w:tr>
      <w:tr w:rsidR="00401786" w14:paraId="3FD49971" w14:textId="77777777">
        <w:trPr>
          <w:cantSplit/>
          <w:trHeight w:hRule="exact" w:val="900"/>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5849AF17" w14:textId="77777777" w:rsidR="00401786" w:rsidRDefault="00C64FB3" w:rsidP="000E757E">
            <w:pPr>
              <w:snapToGrid w:val="0"/>
              <w:spacing w:line="240" w:lineRule="atLeast"/>
            </w:pPr>
            <w:r>
              <w:rPr>
                <w:rFonts w:ascii="標楷體" w:eastAsia="標楷體" w:hAnsi="標楷體" w:cs="標楷體"/>
                <w:color w:val="000000"/>
              </w:rPr>
              <w:t>腫脹關節之總數</w:t>
            </w:r>
          </w:p>
          <w:p w14:paraId="1DCEF1A1" w14:textId="77777777" w:rsidR="00401786" w:rsidRDefault="00C64FB3" w:rsidP="000E757E">
            <w:pPr>
              <w:snapToGrid w:val="0"/>
              <w:spacing w:line="240" w:lineRule="atLeast"/>
            </w:pPr>
            <w:r>
              <w:rPr>
                <w:rFonts w:ascii="標楷體" w:eastAsia="標楷體" w:hAnsi="標楷體" w:cs="標楷體"/>
                <w:color w:val="000000"/>
              </w:rPr>
              <w:t>(左邊+</w:t>
            </w:r>
            <w:proofErr w:type="gramStart"/>
            <w:r>
              <w:rPr>
                <w:rFonts w:ascii="標楷體" w:eastAsia="標楷體" w:hAnsi="標楷體" w:cs="標楷體"/>
                <w:color w:val="000000"/>
              </w:rPr>
              <w:t>右邊)</w:t>
            </w:r>
            <w:proofErr w:type="gramEnd"/>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27187306" w14:textId="77777777" w:rsidR="00401786" w:rsidRDefault="00401786" w:rsidP="000E757E">
            <w:pPr>
              <w:snapToGrid w:val="0"/>
              <w:spacing w:line="240" w:lineRule="atLeast"/>
              <w:rPr>
                <w:rFonts w:ascii="標楷體" w:eastAsia="標楷體" w:hAnsi="標楷體"/>
                <w:color w:val="000000"/>
                <w:sz w:val="20"/>
                <w:szCs w:val="20"/>
                <w:u w:val="single"/>
              </w:rPr>
            </w:pPr>
          </w:p>
          <w:p w14:paraId="7001763B" w14:textId="77777777" w:rsidR="00401786" w:rsidRDefault="00401786" w:rsidP="000E757E">
            <w:pPr>
              <w:snapToGrid w:val="0"/>
              <w:spacing w:line="240" w:lineRule="atLeast"/>
              <w:rPr>
                <w:rFonts w:ascii="標楷體" w:eastAsia="標楷體" w:hAnsi="標楷體"/>
                <w:color w:val="000000"/>
                <w:sz w:val="20"/>
                <w:szCs w:val="20"/>
                <w:u w:val="single"/>
              </w:rPr>
            </w:pPr>
          </w:p>
          <w:p w14:paraId="0321B976" w14:textId="77777777" w:rsidR="00401786" w:rsidRDefault="00401786" w:rsidP="000E757E">
            <w:pPr>
              <w:snapToGrid w:val="0"/>
              <w:spacing w:line="240" w:lineRule="atLeast"/>
              <w:rPr>
                <w:rFonts w:ascii="標楷體" w:eastAsia="標楷體" w:hAnsi="標楷體" w:cs="標楷體"/>
                <w:color w:val="000000"/>
                <w:sz w:val="20"/>
                <w:szCs w:val="20"/>
                <w:u w:val="single"/>
              </w:rPr>
            </w:pPr>
          </w:p>
        </w:tc>
      </w:tr>
      <w:tr w:rsidR="00401786" w14:paraId="14D0D04F" w14:textId="77777777">
        <w:trPr>
          <w:cantSplit/>
          <w:trHeight w:hRule="exact" w:val="807"/>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5A0F5905" w14:textId="77777777" w:rsidR="00401786" w:rsidRDefault="00C64FB3" w:rsidP="000E757E">
            <w:pPr>
              <w:snapToGrid w:val="0"/>
              <w:spacing w:line="240" w:lineRule="atLeast"/>
              <w:rPr>
                <w:rFonts w:ascii="標楷體" w:eastAsia="標楷體" w:hAnsi="標楷體" w:cs="標楷體"/>
                <w:color w:val="000000"/>
              </w:rPr>
            </w:pPr>
            <w:r>
              <w:rPr>
                <w:rFonts w:ascii="標楷體" w:eastAsia="標楷體" w:hAnsi="標楷體" w:cs="標楷體"/>
                <w:color w:val="000000"/>
              </w:rPr>
              <w:t>紅血球</w:t>
            </w:r>
            <w:proofErr w:type="gramStart"/>
            <w:r>
              <w:rPr>
                <w:rFonts w:ascii="標楷體" w:eastAsia="標楷體" w:hAnsi="標楷體" w:cs="標楷體"/>
                <w:color w:val="000000"/>
              </w:rPr>
              <w:t>沉</w:t>
            </w:r>
            <w:proofErr w:type="gramEnd"/>
            <w:r>
              <w:rPr>
                <w:rFonts w:ascii="標楷體" w:eastAsia="標楷體" w:hAnsi="標楷體" w:cs="標楷體"/>
                <w:color w:val="000000"/>
              </w:rPr>
              <w:t>降速率</w:t>
            </w:r>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19D704E9" w14:textId="77777777" w:rsidR="00401786" w:rsidRDefault="00401786" w:rsidP="000E757E">
            <w:pPr>
              <w:snapToGrid w:val="0"/>
              <w:spacing w:line="240" w:lineRule="atLeast"/>
              <w:rPr>
                <w:rFonts w:ascii="標楷體" w:eastAsia="標楷體" w:hAnsi="標楷體"/>
                <w:color w:val="000000"/>
                <w:sz w:val="20"/>
                <w:szCs w:val="20"/>
                <w:u w:val="single"/>
              </w:rPr>
            </w:pPr>
          </w:p>
          <w:p w14:paraId="68E42E4B" w14:textId="77777777" w:rsidR="00401786" w:rsidRDefault="00C64FB3" w:rsidP="000E757E">
            <w:pPr>
              <w:snapToGrid w:val="0"/>
              <w:spacing w:line="240" w:lineRule="atLeast"/>
            </w:pPr>
            <w:r>
              <w:rPr>
                <w:rFonts w:ascii="標楷體" w:eastAsia="標楷體" w:hAnsi="標楷體" w:cs="標楷體"/>
                <w:color w:val="000000"/>
              </w:rPr>
              <w:t>毫米/小時</w:t>
            </w:r>
          </w:p>
        </w:tc>
      </w:tr>
      <w:tr w:rsidR="00401786" w14:paraId="7C13C486" w14:textId="77777777">
        <w:trPr>
          <w:cantSplit/>
          <w:trHeight w:hRule="exact" w:val="898"/>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29D4311B" w14:textId="77777777" w:rsidR="00401786" w:rsidRDefault="00C64FB3" w:rsidP="000E757E">
            <w:pPr>
              <w:snapToGrid w:val="0"/>
              <w:spacing w:line="240" w:lineRule="atLeast"/>
            </w:pPr>
            <w:r>
              <w:rPr>
                <w:rFonts w:ascii="標楷體" w:eastAsia="標楷體" w:hAnsi="標楷體" w:cs="標楷體"/>
                <w:color w:val="000000"/>
              </w:rPr>
              <w:t>整體健康狀態評估</w:t>
            </w:r>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4C6C9A72" w14:textId="77777777" w:rsidR="00401786" w:rsidRDefault="00401786" w:rsidP="000E757E">
            <w:pPr>
              <w:snapToGrid w:val="0"/>
              <w:spacing w:line="240" w:lineRule="atLeast"/>
              <w:rPr>
                <w:rFonts w:ascii="標楷體" w:eastAsia="標楷體" w:hAnsi="標楷體"/>
                <w:color w:val="000000"/>
                <w:sz w:val="20"/>
                <w:szCs w:val="20"/>
                <w:u w:val="single"/>
              </w:rPr>
            </w:pPr>
          </w:p>
          <w:p w14:paraId="7D6DE5BF" w14:textId="77777777" w:rsidR="00401786" w:rsidRDefault="00401786" w:rsidP="000E757E">
            <w:pPr>
              <w:snapToGrid w:val="0"/>
              <w:spacing w:line="240" w:lineRule="atLeast"/>
              <w:rPr>
                <w:rFonts w:ascii="標楷體" w:eastAsia="標楷體" w:hAnsi="標楷體"/>
              </w:rPr>
            </w:pPr>
          </w:p>
        </w:tc>
      </w:tr>
    </w:tbl>
    <w:p w14:paraId="1D673780" w14:textId="77777777" w:rsidR="00401786" w:rsidRDefault="00401786" w:rsidP="000E757E">
      <w:pPr>
        <w:snapToGrid w:val="0"/>
        <w:spacing w:line="240" w:lineRule="atLeast"/>
        <w:rPr>
          <w:rFonts w:ascii="標楷體" w:eastAsia="標楷體" w:hAnsi="標楷體"/>
          <w:color w:val="000000"/>
          <w:sz w:val="22"/>
        </w:rPr>
      </w:pPr>
    </w:p>
    <w:p w14:paraId="1BC8F5DB"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MCP關節：掌骨與</w:t>
      </w:r>
      <w:proofErr w:type="gramStart"/>
      <w:r>
        <w:rPr>
          <w:rFonts w:ascii="標楷體" w:eastAsia="標楷體" w:hAnsi="標楷體"/>
          <w:color w:val="000000"/>
          <w:sz w:val="20"/>
          <w:szCs w:val="20"/>
        </w:rPr>
        <w:t>指骨間的關節</w:t>
      </w:r>
      <w:proofErr w:type="gramEnd"/>
      <w:r>
        <w:rPr>
          <w:rFonts w:ascii="標楷體" w:eastAsia="標楷體" w:hAnsi="標楷體"/>
          <w:color w:val="000000"/>
          <w:sz w:val="20"/>
          <w:szCs w:val="20"/>
        </w:rPr>
        <w:t>(</w:t>
      </w:r>
      <w:proofErr w:type="spellStart"/>
      <w:r>
        <w:rPr>
          <w:rFonts w:ascii="標楷體" w:eastAsia="標楷體" w:hAnsi="標楷體"/>
          <w:color w:val="000000"/>
          <w:sz w:val="20"/>
          <w:szCs w:val="20"/>
        </w:rPr>
        <w:t>MCP:Metacarpophalangeal</w:t>
      </w:r>
      <w:proofErr w:type="spellEnd"/>
      <w:r>
        <w:rPr>
          <w:rFonts w:ascii="標楷體" w:eastAsia="標楷體" w:hAnsi="標楷體"/>
          <w:color w:val="000000"/>
          <w:sz w:val="20"/>
          <w:szCs w:val="20"/>
        </w:rPr>
        <w:t>)</w:t>
      </w:r>
    </w:p>
    <w:p w14:paraId="078C898F"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PIP關節：</w:t>
      </w:r>
      <w:proofErr w:type="gramStart"/>
      <w:r>
        <w:rPr>
          <w:rFonts w:ascii="標楷體" w:eastAsia="標楷體" w:hAnsi="標楷體"/>
          <w:color w:val="000000"/>
          <w:sz w:val="20"/>
          <w:szCs w:val="20"/>
        </w:rPr>
        <w:t>近側的</w:t>
      </w:r>
      <w:proofErr w:type="gramEnd"/>
      <w:r>
        <w:rPr>
          <w:rFonts w:ascii="標楷體" w:eastAsia="標楷體" w:hAnsi="標楷體"/>
          <w:color w:val="000000"/>
          <w:sz w:val="20"/>
          <w:szCs w:val="20"/>
        </w:rPr>
        <w:t>指骨間關節(</w:t>
      </w:r>
      <w:proofErr w:type="spellStart"/>
      <w:r>
        <w:rPr>
          <w:rFonts w:ascii="標楷體" w:eastAsia="標楷體" w:hAnsi="標楷體"/>
          <w:color w:val="000000"/>
          <w:sz w:val="20"/>
          <w:szCs w:val="20"/>
        </w:rPr>
        <w:t>PIP:ProximalInterphalangeal</w:t>
      </w:r>
      <w:proofErr w:type="spellEnd"/>
      <w:r>
        <w:rPr>
          <w:rFonts w:ascii="標楷體" w:eastAsia="標楷體" w:hAnsi="標楷體"/>
          <w:color w:val="000000"/>
          <w:sz w:val="20"/>
          <w:szCs w:val="20"/>
        </w:rPr>
        <w:t>)</w:t>
      </w:r>
    </w:p>
    <w:p w14:paraId="3585F2DD" w14:textId="77777777" w:rsidR="00401786" w:rsidRDefault="00C64FB3" w:rsidP="000E757E">
      <w:pPr>
        <w:snapToGrid w:val="0"/>
        <w:spacing w:line="240" w:lineRule="atLeast"/>
        <w:ind w:right="6"/>
        <w:jc w:val="both"/>
      </w:pPr>
      <w:r>
        <w:rPr>
          <w:rFonts w:ascii="標楷體" w:eastAsia="標楷體" w:hAnsi="標楷體"/>
          <w:color w:val="000000"/>
          <w:sz w:val="20"/>
          <w:szCs w:val="20"/>
        </w:rPr>
        <w:t>整體健康狀態評估：即在100mm圖像模擬量表中所呈現的整體健康狀態</w:t>
      </w:r>
    </w:p>
    <w:p w14:paraId="6EC2DFCD" w14:textId="77777777" w:rsidR="00401786" w:rsidRDefault="00401786" w:rsidP="000E757E">
      <w:pPr>
        <w:snapToGrid w:val="0"/>
        <w:spacing w:line="240" w:lineRule="atLeast"/>
        <w:rPr>
          <w:rFonts w:ascii="標楷體" w:eastAsia="標楷體" w:hAnsi="標楷體"/>
        </w:rPr>
      </w:pPr>
    </w:p>
    <w:p w14:paraId="45109B4E" w14:textId="77777777" w:rsidR="00401786" w:rsidRDefault="00401786" w:rsidP="000E757E">
      <w:pPr>
        <w:pageBreakBefore/>
        <w:snapToGrid w:val="0"/>
        <w:spacing w:line="240" w:lineRule="atLeast"/>
        <w:jc w:val="both"/>
        <w:rPr>
          <w:rFonts w:ascii="標楷體" w:eastAsia="標楷體" w:hAnsi="標楷體"/>
        </w:rPr>
      </w:pPr>
    </w:p>
    <w:p w14:paraId="2922E577" w14:textId="77777777" w:rsidR="00401786" w:rsidRPr="00F37647" w:rsidRDefault="00C64FB3" w:rsidP="000E757E">
      <w:pPr>
        <w:snapToGrid w:val="0"/>
        <w:spacing w:line="240" w:lineRule="atLeast"/>
        <w:jc w:val="center"/>
        <w:rPr>
          <w:b/>
          <w:bCs/>
          <w:sz w:val="22"/>
          <w:szCs w:val="20"/>
        </w:rPr>
      </w:pPr>
      <w:r w:rsidRPr="00F37647">
        <w:rPr>
          <w:rFonts w:ascii="標楷體" w:eastAsia="標楷體" w:hAnsi="標楷體"/>
          <w:b/>
          <w:bCs/>
          <w:color w:val="000000"/>
          <w:sz w:val="28"/>
          <w:szCs w:val="28"/>
        </w:rPr>
        <w:t>附表十四：全民健康保險疾病修飾抗風濕病藥物(DMARDs)</w:t>
      </w:r>
    </w:p>
    <w:p w14:paraId="3AC9CFD0" w14:textId="77777777" w:rsidR="00401786" w:rsidRPr="00F37647" w:rsidRDefault="00C64FB3" w:rsidP="000E757E">
      <w:pPr>
        <w:snapToGrid w:val="0"/>
        <w:spacing w:line="240" w:lineRule="atLeast"/>
        <w:jc w:val="center"/>
        <w:rPr>
          <w:b/>
          <w:bCs/>
          <w:sz w:val="22"/>
          <w:szCs w:val="20"/>
        </w:rPr>
      </w:pPr>
      <w:r w:rsidRPr="00F37647">
        <w:rPr>
          <w:rFonts w:ascii="標楷體" w:eastAsia="標楷體" w:hAnsi="標楷體"/>
          <w:b/>
          <w:bCs/>
          <w:color w:val="000000"/>
          <w:sz w:val="28"/>
          <w:szCs w:val="28"/>
        </w:rPr>
        <w:t>之標準目標劑量暨治療劑量表</w:t>
      </w:r>
    </w:p>
    <w:tbl>
      <w:tblPr>
        <w:tblW w:w="9421" w:type="dxa"/>
        <w:tblInd w:w="28" w:type="dxa"/>
        <w:tblLayout w:type="fixed"/>
        <w:tblCellMar>
          <w:left w:w="10" w:type="dxa"/>
          <w:right w:w="10" w:type="dxa"/>
        </w:tblCellMar>
        <w:tblLook w:val="0000" w:firstRow="0" w:lastRow="0" w:firstColumn="0" w:lastColumn="0" w:noHBand="0" w:noVBand="0"/>
      </w:tblPr>
      <w:tblGrid>
        <w:gridCol w:w="3140"/>
        <w:gridCol w:w="3140"/>
        <w:gridCol w:w="3141"/>
      </w:tblGrid>
      <w:tr w:rsidR="00401786" w14:paraId="5C61684D" w14:textId="77777777">
        <w:trPr>
          <w:cantSplit/>
          <w:trHeight w:val="894"/>
        </w:trPr>
        <w:tc>
          <w:tcPr>
            <w:tcW w:w="3140" w:type="dxa"/>
            <w:tcBorders>
              <w:top w:val="single" w:sz="4" w:space="0" w:color="000000"/>
              <w:bottom w:val="double" w:sz="4" w:space="0" w:color="000000"/>
            </w:tcBorders>
            <w:shd w:val="clear" w:color="auto" w:fill="auto"/>
            <w:tcMar>
              <w:top w:w="0" w:type="dxa"/>
              <w:left w:w="28" w:type="dxa"/>
              <w:bottom w:w="0" w:type="dxa"/>
              <w:right w:w="28" w:type="dxa"/>
            </w:tcMar>
            <w:vAlign w:val="center"/>
          </w:tcPr>
          <w:p w14:paraId="6B362046" w14:textId="77777777" w:rsidR="00401786" w:rsidRDefault="00C64FB3" w:rsidP="000E757E">
            <w:pPr>
              <w:snapToGrid w:val="0"/>
              <w:spacing w:line="240" w:lineRule="atLeast"/>
              <w:ind w:left="92"/>
              <w:jc w:val="center"/>
              <w:textAlignment w:val="center"/>
            </w:pPr>
            <w:r>
              <w:rPr>
                <w:rFonts w:ascii="標楷體" w:eastAsia="標楷體" w:hAnsi="標楷體"/>
                <w:b/>
                <w:bCs/>
                <w:color w:val="000000"/>
              </w:rPr>
              <w:t>DMARDs名稱</w:t>
            </w:r>
          </w:p>
        </w:tc>
        <w:tc>
          <w:tcPr>
            <w:tcW w:w="3140" w:type="dxa"/>
            <w:tcBorders>
              <w:top w:val="single" w:sz="4" w:space="0" w:color="000000"/>
              <w:bottom w:val="double" w:sz="4" w:space="0" w:color="000000"/>
            </w:tcBorders>
            <w:shd w:val="clear" w:color="auto" w:fill="auto"/>
            <w:tcMar>
              <w:top w:w="0" w:type="dxa"/>
              <w:left w:w="28" w:type="dxa"/>
              <w:bottom w:w="0" w:type="dxa"/>
              <w:right w:w="28" w:type="dxa"/>
            </w:tcMar>
            <w:vAlign w:val="center"/>
          </w:tcPr>
          <w:p w14:paraId="168102BC" w14:textId="77777777" w:rsidR="00401786" w:rsidRDefault="00C64FB3" w:rsidP="000E757E">
            <w:pPr>
              <w:snapToGrid w:val="0"/>
              <w:spacing w:line="240" w:lineRule="atLeast"/>
              <w:ind w:left="92"/>
              <w:jc w:val="center"/>
              <w:textAlignment w:val="center"/>
            </w:pPr>
            <w:r>
              <w:rPr>
                <w:rFonts w:ascii="標楷體" w:eastAsia="標楷體" w:hAnsi="標楷體"/>
                <w:b/>
                <w:bCs/>
                <w:color w:val="000000"/>
              </w:rPr>
              <w:t>標準目標劑量</w:t>
            </w:r>
          </w:p>
          <w:p w14:paraId="6E52AFF3" w14:textId="77777777" w:rsidR="00401786" w:rsidRDefault="00C64FB3" w:rsidP="000E757E">
            <w:pPr>
              <w:snapToGrid w:val="0"/>
              <w:spacing w:line="240" w:lineRule="atLeast"/>
              <w:textAlignment w:val="center"/>
            </w:pPr>
            <w:proofErr w:type="spellStart"/>
            <w:r>
              <w:rPr>
                <w:rFonts w:ascii="標楷體" w:eastAsia="標楷體" w:hAnsi="標楷體"/>
                <w:b/>
                <w:bCs/>
                <w:color w:val="000000"/>
                <w:sz w:val="20"/>
                <w:szCs w:val="20"/>
              </w:rPr>
              <w:t>StandardTargetDose</w:t>
            </w:r>
            <w:proofErr w:type="spellEnd"/>
          </w:p>
        </w:tc>
        <w:tc>
          <w:tcPr>
            <w:tcW w:w="3141" w:type="dxa"/>
            <w:tcBorders>
              <w:top w:val="single" w:sz="4" w:space="0" w:color="000000"/>
              <w:bottom w:val="double" w:sz="4" w:space="0" w:color="000000"/>
            </w:tcBorders>
            <w:shd w:val="clear" w:color="auto" w:fill="auto"/>
            <w:tcMar>
              <w:top w:w="0" w:type="dxa"/>
              <w:left w:w="28" w:type="dxa"/>
              <w:bottom w:w="0" w:type="dxa"/>
              <w:right w:w="28" w:type="dxa"/>
            </w:tcMar>
            <w:vAlign w:val="center"/>
          </w:tcPr>
          <w:p w14:paraId="7534EC51" w14:textId="77777777" w:rsidR="00401786" w:rsidRDefault="00C64FB3" w:rsidP="000E757E">
            <w:pPr>
              <w:snapToGrid w:val="0"/>
              <w:spacing w:line="240" w:lineRule="atLeast"/>
              <w:jc w:val="center"/>
              <w:textAlignment w:val="center"/>
            </w:pPr>
            <w:r>
              <w:rPr>
                <w:rFonts w:ascii="標楷體" w:eastAsia="標楷體" w:hAnsi="標楷體"/>
                <w:b/>
                <w:bCs/>
                <w:color w:val="000000"/>
              </w:rPr>
              <w:t>治療劑量</w:t>
            </w:r>
          </w:p>
          <w:p w14:paraId="0A5AE720" w14:textId="77777777" w:rsidR="00401786" w:rsidRDefault="00C64FB3" w:rsidP="000E757E">
            <w:pPr>
              <w:snapToGrid w:val="0"/>
              <w:spacing w:line="240" w:lineRule="atLeast"/>
              <w:jc w:val="center"/>
              <w:textAlignment w:val="center"/>
            </w:pPr>
            <w:proofErr w:type="spellStart"/>
            <w:r>
              <w:rPr>
                <w:rFonts w:ascii="標楷體" w:eastAsia="標楷體" w:hAnsi="標楷體"/>
                <w:b/>
                <w:bCs/>
                <w:color w:val="000000"/>
                <w:sz w:val="20"/>
                <w:szCs w:val="20"/>
              </w:rPr>
              <w:t>TherapeuticDose</w:t>
            </w:r>
            <w:proofErr w:type="spellEnd"/>
          </w:p>
        </w:tc>
      </w:tr>
      <w:tr w:rsidR="00401786" w14:paraId="5EB83311" w14:textId="77777777">
        <w:trPr>
          <w:cantSplit/>
          <w:trHeight w:val="456"/>
        </w:trPr>
        <w:tc>
          <w:tcPr>
            <w:tcW w:w="3140" w:type="dxa"/>
            <w:shd w:val="clear" w:color="auto" w:fill="auto"/>
            <w:tcMar>
              <w:top w:w="0" w:type="dxa"/>
              <w:left w:w="28" w:type="dxa"/>
              <w:bottom w:w="0" w:type="dxa"/>
              <w:right w:w="28" w:type="dxa"/>
            </w:tcMar>
            <w:vAlign w:val="center"/>
          </w:tcPr>
          <w:p w14:paraId="1FEB3C39" w14:textId="77777777" w:rsidR="00401786" w:rsidRDefault="00C64FB3" w:rsidP="000E757E">
            <w:pPr>
              <w:snapToGrid w:val="0"/>
              <w:spacing w:line="240" w:lineRule="atLeast"/>
              <w:ind w:left="92"/>
              <w:textAlignment w:val="center"/>
              <w:rPr>
                <w:rFonts w:ascii="標楷體" w:eastAsia="標楷體" w:hAnsi="標楷體"/>
                <w:color w:val="000000"/>
              </w:rPr>
            </w:pPr>
            <w:r>
              <w:rPr>
                <w:rFonts w:ascii="標楷體" w:eastAsia="標楷體" w:hAnsi="標楷體"/>
                <w:color w:val="000000"/>
              </w:rPr>
              <w:t>Methotrexate</w:t>
            </w:r>
          </w:p>
        </w:tc>
        <w:tc>
          <w:tcPr>
            <w:tcW w:w="3140" w:type="dxa"/>
            <w:shd w:val="clear" w:color="auto" w:fill="auto"/>
            <w:tcMar>
              <w:top w:w="0" w:type="dxa"/>
              <w:left w:w="28" w:type="dxa"/>
              <w:bottom w:w="0" w:type="dxa"/>
              <w:right w:w="28" w:type="dxa"/>
            </w:tcMar>
            <w:vAlign w:val="center"/>
          </w:tcPr>
          <w:p w14:paraId="1E721FEA" w14:textId="77777777" w:rsidR="00401786" w:rsidRDefault="00C64FB3" w:rsidP="000E757E">
            <w:pPr>
              <w:tabs>
                <w:tab w:val="left" w:pos="332"/>
              </w:tabs>
              <w:snapToGrid w:val="0"/>
              <w:spacing w:line="240" w:lineRule="atLeast"/>
              <w:ind w:left="-52" w:firstLine="268"/>
              <w:jc w:val="right"/>
              <w:textAlignment w:val="center"/>
            </w:pPr>
            <w:r>
              <w:rPr>
                <w:rFonts w:ascii="標楷體" w:eastAsia="標楷體" w:hAnsi="標楷體"/>
                <w:color w:val="000000"/>
              </w:rPr>
              <w:t>15-20毫克/</w:t>
            </w:r>
            <w:proofErr w:type="gramStart"/>
            <w:r>
              <w:rPr>
                <w:rFonts w:ascii="標楷體" w:eastAsia="標楷體" w:hAnsi="標楷體"/>
                <w:color w:val="000000"/>
              </w:rPr>
              <w:t>週</w:t>
            </w:r>
            <w:proofErr w:type="gramEnd"/>
          </w:p>
        </w:tc>
        <w:tc>
          <w:tcPr>
            <w:tcW w:w="3141" w:type="dxa"/>
            <w:shd w:val="clear" w:color="auto" w:fill="auto"/>
            <w:tcMar>
              <w:top w:w="0" w:type="dxa"/>
              <w:left w:w="28" w:type="dxa"/>
              <w:bottom w:w="0" w:type="dxa"/>
              <w:right w:w="28" w:type="dxa"/>
            </w:tcMar>
            <w:vAlign w:val="center"/>
          </w:tcPr>
          <w:p w14:paraId="1B3F193E" w14:textId="77777777" w:rsidR="00401786" w:rsidRDefault="00C64FB3" w:rsidP="000E757E">
            <w:pPr>
              <w:snapToGrid w:val="0"/>
              <w:spacing w:line="240" w:lineRule="atLeast"/>
              <w:ind w:left="92"/>
              <w:jc w:val="right"/>
              <w:textAlignment w:val="center"/>
            </w:pPr>
            <w:r>
              <w:rPr>
                <w:rFonts w:ascii="標楷體" w:eastAsia="標楷體" w:hAnsi="標楷體"/>
                <w:color w:val="000000"/>
              </w:rPr>
              <w:t>7.5毫克/</w:t>
            </w:r>
            <w:proofErr w:type="gramStart"/>
            <w:r>
              <w:rPr>
                <w:rFonts w:ascii="標楷體" w:eastAsia="標楷體" w:hAnsi="標楷體"/>
                <w:color w:val="000000"/>
              </w:rPr>
              <w:t>週</w:t>
            </w:r>
            <w:proofErr w:type="gramEnd"/>
          </w:p>
        </w:tc>
      </w:tr>
      <w:tr w:rsidR="00401786" w14:paraId="7928E3A0" w14:textId="77777777">
        <w:trPr>
          <w:cantSplit/>
          <w:trHeight w:val="483"/>
        </w:trPr>
        <w:tc>
          <w:tcPr>
            <w:tcW w:w="3140" w:type="dxa"/>
            <w:shd w:val="clear" w:color="auto" w:fill="auto"/>
            <w:tcMar>
              <w:top w:w="0" w:type="dxa"/>
              <w:left w:w="28" w:type="dxa"/>
              <w:bottom w:w="0" w:type="dxa"/>
              <w:right w:w="28" w:type="dxa"/>
            </w:tcMar>
            <w:vAlign w:val="center"/>
          </w:tcPr>
          <w:p w14:paraId="5B8C0152" w14:textId="77777777" w:rsidR="00401786" w:rsidRDefault="00C64FB3" w:rsidP="000E757E">
            <w:pPr>
              <w:snapToGrid w:val="0"/>
              <w:spacing w:line="240" w:lineRule="atLeast"/>
              <w:ind w:left="92"/>
              <w:textAlignment w:val="center"/>
              <w:rPr>
                <w:rFonts w:ascii="標楷體" w:eastAsia="標楷體" w:hAnsi="標楷體"/>
                <w:color w:val="000000"/>
              </w:rPr>
            </w:pPr>
            <w:r>
              <w:rPr>
                <w:rFonts w:ascii="標楷體" w:eastAsia="標楷體" w:hAnsi="標楷體"/>
                <w:color w:val="000000"/>
              </w:rPr>
              <w:t>Hydroxychloroquine</w:t>
            </w:r>
          </w:p>
        </w:tc>
        <w:tc>
          <w:tcPr>
            <w:tcW w:w="3140" w:type="dxa"/>
            <w:shd w:val="clear" w:color="auto" w:fill="auto"/>
            <w:tcMar>
              <w:top w:w="0" w:type="dxa"/>
              <w:left w:w="28" w:type="dxa"/>
              <w:bottom w:w="0" w:type="dxa"/>
              <w:right w:w="28" w:type="dxa"/>
            </w:tcMar>
            <w:vAlign w:val="center"/>
          </w:tcPr>
          <w:p w14:paraId="251B8114"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6.5毫克/公斤/天</w:t>
            </w:r>
          </w:p>
        </w:tc>
        <w:tc>
          <w:tcPr>
            <w:tcW w:w="3141" w:type="dxa"/>
            <w:shd w:val="clear" w:color="auto" w:fill="auto"/>
            <w:tcMar>
              <w:top w:w="0" w:type="dxa"/>
              <w:left w:w="28" w:type="dxa"/>
              <w:bottom w:w="0" w:type="dxa"/>
              <w:right w:w="28" w:type="dxa"/>
            </w:tcMar>
            <w:vAlign w:val="center"/>
          </w:tcPr>
          <w:p w14:paraId="2B33B163" w14:textId="77777777" w:rsidR="00401786" w:rsidRDefault="00C64FB3" w:rsidP="000E757E">
            <w:pPr>
              <w:snapToGrid w:val="0"/>
              <w:spacing w:line="240" w:lineRule="atLeast"/>
              <w:ind w:left="92"/>
              <w:jc w:val="right"/>
              <w:textAlignment w:val="center"/>
            </w:pPr>
            <w:r>
              <w:rPr>
                <w:rFonts w:ascii="標楷體" w:eastAsia="標楷體" w:hAnsi="標楷體"/>
                <w:color w:val="000000"/>
              </w:rPr>
              <w:t>200-400毫克/天</w:t>
            </w:r>
          </w:p>
        </w:tc>
      </w:tr>
      <w:tr w:rsidR="00401786" w14:paraId="02B3BCAE" w14:textId="77777777">
        <w:trPr>
          <w:cantSplit/>
          <w:trHeight w:val="587"/>
        </w:trPr>
        <w:tc>
          <w:tcPr>
            <w:tcW w:w="3140" w:type="dxa"/>
            <w:shd w:val="clear" w:color="auto" w:fill="auto"/>
            <w:tcMar>
              <w:top w:w="0" w:type="dxa"/>
              <w:left w:w="28" w:type="dxa"/>
              <w:bottom w:w="0" w:type="dxa"/>
              <w:right w:w="28" w:type="dxa"/>
            </w:tcMar>
            <w:vAlign w:val="center"/>
          </w:tcPr>
          <w:p w14:paraId="30B167F6"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Sulphasalazine</w:t>
            </w:r>
            <w:proofErr w:type="spellEnd"/>
          </w:p>
        </w:tc>
        <w:tc>
          <w:tcPr>
            <w:tcW w:w="3140" w:type="dxa"/>
            <w:shd w:val="clear" w:color="auto" w:fill="auto"/>
            <w:tcMar>
              <w:top w:w="0" w:type="dxa"/>
              <w:left w:w="28" w:type="dxa"/>
              <w:bottom w:w="0" w:type="dxa"/>
              <w:right w:w="28" w:type="dxa"/>
            </w:tcMar>
            <w:vAlign w:val="center"/>
          </w:tcPr>
          <w:p w14:paraId="20EE2581"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40毫克/公斤/天</w:t>
            </w:r>
          </w:p>
        </w:tc>
        <w:tc>
          <w:tcPr>
            <w:tcW w:w="3141" w:type="dxa"/>
            <w:shd w:val="clear" w:color="auto" w:fill="auto"/>
            <w:tcMar>
              <w:top w:w="0" w:type="dxa"/>
              <w:left w:w="28" w:type="dxa"/>
              <w:bottom w:w="0" w:type="dxa"/>
              <w:right w:w="28" w:type="dxa"/>
            </w:tcMar>
            <w:vAlign w:val="center"/>
          </w:tcPr>
          <w:p w14:paraId="6B21973C" w14:textId="77777777" w:rsidR="00401786" w:rsidRDefault="00C64FB3" w:rsidP="000E757E">
            <w:pPr>
              <w:snapToGrid w:val="0"/>
              <w:spacing w:line="240" w:lineRule="atLeast"/>
              <w:ind w:left="92"/>
              <w:jc w:val="right"/>
              <w:textAlignment w:val="center"/>
            </w:pPr>
            <w:r>
              <w:rPr>
                <w:rFonts w:ascii="標楷體" w:eastAsia="標楷體" w:hAnsi="標楷體"/>
                <w:color w:val="000000"/>
              </w:rPr>
              <w:t>2公克/天</w:t>
            </w:r>
          </w:p>
        </w:tc>
      </w:tr>
      <w:tr w:rsidR="00401786" w14:paraId="0EB83EB8" w14:textId="77777777">
        <w:trPr>
          <w:cantSplit/>
          <w:trHeight w:val="539"/>
        </w:trPr>
        <w:tc>
          <w:tcPr>
            <w:tcW w:w="3140" w:type="dxa"/>
            <w:shd w:val="clear" w:color="auto" w:fill="auto"/>
            <w:tcMar>
              <w:top w:w="0" w:type="dxa"/>
              <w:left w:w="28" w:type="dxa"/>
              <w:bottom w:w="0" w:type="dxa"/>
              <w:right w:w="28" w:type="dxa"/>
            </w:tcMar>
            <w:vAlign w:val="center"/>
          </w:tcPr>
          <w:p w14:paraId="445A17A2"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IntramuscularGold</w:t>
            </w:r>
            <w:proofErr w:type="spellEnd"/>
          </w:p>
        </w:tc>
        <w:tc>
          <w:tcPr>
            <w:tcW w:w="3140" w:type="dxa"/>
            <w:shd w:val="clear" w:color="auto" w:fill="auto"/>
            <w:tcMar>
              <w:top w:w="0" w:type="dxa"/>
              <w:left w:w="28" w:type="dxa"/>
              <w:bottom w:w="0" w:type="dxa"/>
              <w:right w:w="28" w:type="dxa"/>
            </w:tcMar>
            <w:vAlign w:val="center"/>
          </w:tcPr>
          <w:p w14:paraId="4F497313"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50毫克/</w:t>
            </w:r>
            <w:proofErr w:type="gramStart"/>
            <w:r>
              <w:rPr>
                <w:rFonts w:ascii="標楷體" w:eastAsia="標楷體" w:hAnsi="標楷體"/>
                <w:color w:val="000000"/>
              </w:rPr>
              <w:t>週</w:t>
            </w:r>
            <w:proofErr w:type="gramEnd"/>
          </w:p>
        </w:tc>
        <w:tc>
          <w:tcPr>
            <w:tcW w:w="3141" w:type="dxa"/>
            <w:shd w:val="clear" w:color="auto" w:fill="auto"/>
            <w:tcMar>
              <w:top w:w="0" w:type="dxa"/>
              <w:left w:w="28" w:type="dxa"/>
              <w:bottom w:w="0" w:type="dxa"/>
              <w:right w:w="28" w:type="dxa"/>
            </w:tcMar>
            <w:vAlign w:val="center"/>
          </w:tcPr>
          <w:p w14:paraId="4FD08CD9" w14:textId="77777777" w:rsidR="00401786" w:rsidRDefault="00C64FB3" w:rsidP="000E757E">
            <w:pPr>
              <w:snapToGrid w:val="0"/>
              <w:spacing w:line="240" w:lineRule="atLeast"/>
              <w:ind w:left="92"/>
              <w:jc w:val="right"/>
              <w:textAlignment w:val="center"/>
            </w:pPr>
            <w:r>
              <w:rPr>
                <w:rFonts w:ascii="標楷體" w:eastAsia="標楷體" w:hAnsi="標楷體"/>
                <w:color w:val="000000"/>
              </w:rPr>
              <w:t>50毫克/</w:t>
            </w:r>
            <w:proofErr w:type="gramStart"/>
            <w:r>
              <w:rPr>
                <w:rFonts w:ascii="標楷體" w:eastAsia="標楷體" w:hAnsi="標楷體"/>
                <w:color w:val="000000"/>
              </w:rPr>
              <w:t>週</w:t>
            </w:r>
            <w:proofErr w:type="gramEnd"/>
          </w:p>
        </w:tc>
      </w:tr>
      <w:tr w:rsidR="00401786" w14:paraId="75C4D70B" w14:textId="77777777">
        <w:trPr>
          <w:cantSplit/>
          <w:trHeight w:val="547"/>
        </w:trPr>
        <w:tc>
          <w:tcPr>
            <w:tcW w:w="3140" w:type="dxa"/>
            <w:shd w:val="clear" w:color="auto" w:fill="auto"/>
            <w:tcMar>
              <w:top w:w="0" w:type="dxa"/>
              <w:left w:w="28" w:type="dxa"/>
              <w:bottom w:w="0" w:type="dxa"/>
              <w:right w:w="28" w:type="dxa"/>
            </w:tcMar>
            <w:vAlign w:val="center"/>
          </w:tcPr>
          <w:p w14:paraId="4D4AE32C" w14:textId="77777777" w:rsidR="00401786" w:rsidRDefault="00C64FB3" w:rsidP="000E757E">
            <w:pPr>
              <w:snapToGrid w:val="0"/>
              <w:spacing w:line="240" w:lineRule="atLeast"/>
              <w:ind w:left="92"/>
              <w:textAlignment w:val="center"/>
              <w:rPr>
                <w:rFonts w:ascii="標楷體" w:eastAsia="標楷體" w:hAnsi="標楷體"/>
                <w:color w:val="000000"/>
              </w:rPr>
            </w:pPr>
            <w:r>
              <w:rPr>
                <w:rFonts w:ascii="標楷體" w:eastAsia="標楷體" w:hAnsi="標楷體"/>
                <w:color w:val="000000"/>
              </w:rPr>
              <w:t>D-penicillamine</w:t>
            </w:r>
          </w:p>
        </w:tc>
        <w:tc>
          <w:tcPr>
            <w:tcW w:w="3140" w:type="dxa"/>
            <w:shd w:val="clear" w:color="auto" w:fill="auto"/>
            <w:tcMar>
              <w:top w:w="0" w:type="dxa"/>
              <w:left w:w="28" w:type="dxa"/>
              <w:bottom w:w="0" w:type="dxa"/>
              <w:right w:w="28" w:type="dxa"/>
            </w:tcMar>
            <w:vAlign w:val="center"/>
          </w:tcPr>
          <w:p w14:paraId="4CF9F004"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500-750毫克/天</w:t>
            </w:r>
          </w:p>
        </w:tc>
        <w:tc>
          <w:tcPr>
            <w:tcW w:w="3141" w:type="dxa"/>
            <w:shd w:val="clear" w:color="auto" w:fill="auto"/>
            <w:tcMar>
              <w:top w:w="0" w:type="dxa"/>
              <w:left w:w="28" w:type="dxa"/>
              <w:bottom w:w="0" w:type="dxa"/>
              <w:right w:w="28" w:type="dxa"/>
            </w:tcMar>
            <w:vAlign w:val="center"/>
          </w:tcPr>
          <w:p w14:paraId="2B79ABE9" w14:textId="77777777" w:rsidR="00401786" w:rsidRDefault="00C64FB3" w:rsidP="000E757E">
            <w:pPr>
              <w:snapToGrid w:val="0"/>
              <w:spacing w:line="240" w:lineRule="atLeast"/>
              <w:ind w:left="92"/>
              <w:jc w:val="right"/>
              <w:textAlignment w:val="center"/>
            </w:pPr>
            <w:r>
              <w:rPr>
                <w:rFonts w:ascii="標楷體" w:eastAsia="標楷體" w:hAnsi="標楷體"/>
                <w:color w:val="000000"/>
              </w:rPr>
              <w:t>500-750毫克/天</w:t>
            </w:r>
          </w:p>
        </w:tc>
      </w:tr>
      <w:tr w:rsidR="00401786" w14:paraId="7ECD43AD" w14:textId="77777777">
        <w:trPr>
          <w:cantSplit/>
          <w:trHeight w:val="541"/>
        </w:trPr>
        <w:tc>
          <w:tcPr>
            <w:tcW w:w="3140" w:type="dxa"/>
            <w:shd w:val="clear" w:color="auto" w:fill="auto"/>
            <w:tcMar>
              <w:top w:w="0" w:type="dxa"/>
              <w:left w:w="28" w:type="dxa"/>
              <w:bottom w:w="0" w:type="dxa"/>
              <w:right w:w="28" w:type="dxa"/>
            </w:tcMar>
            <w:vAlign w:val="center"/>
          </w:tcPr>
          <w:p w14:paraId="1B7AB330"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Aazathioprine</w:t>
            </w:r>
            <w:proofErr w:type="spellEnd"/>
          </w:p>
        </w:tc>
        <w:tc>
          <w:tcPr>
            <w:tcW w:w="3140" w:type="dxa"/>
            <w:shd w:val="clear" w:color="auto" w:fill="auto"/>
            <w:tcMar>
              <w:top w:w="0" w:type="dxa"/>
              <w:left w:w="28" w:type="dxa"/>
              <w:bottom w:w="0" w:type="dxa"/>
              <w:right w:w="28" w:type="dxa"/>
            </w:tcMar>
            <w:vAlign w:val="center"/>
          </w:tcPr>
          <w:p w14:paraId="4D390B62"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2毫克/公斤/天</w:t>
            </w:r>
          </w:p>
        </w:tc>
        <w:tc>
          <w:tcPr>
            <w:tcW w:w="3141" w:type="dxa"/>
            <w:shd w:val="clear" w:color="auto" w:fill="auto"/>
            <w:tcMar>
              <w:top w:w="0" w:type="dxa"/>
              <w:left w:w="28" w:type="dxa"/>
              <w:bottom w:w="0" w:type="dxa"/>
              <w:right w:w="28" w:type="dxa"/>
            </w:tcMar>
            <w:vAlign w:val="center"/>
          </w:tcPr>
          <w:p w14:paraId="20768B5D" w14:textId="77777777" w:rsidR="00401786" w:rsidRDefault="00C64FB3" w:rsidP="000E757E">
            <w:pPr>
              <w:snapToGrid w:val="0"/>
              <w:spacing w:line="240" w:lineRule="atLeast"/>
              <w:ind w:left="92"/>
              <w:jc w:val="right"/>
              <w:textAlignment w:val="center"/>
            </w:pPr>
            <w:r>
              <w:rPr>
                <w:rFonts w:ascii="標楷體" w:eastAsia="標楷體" w:hAnsi="標楷體"/>
                <w:color w:val="000000"/>
              </w:rPr>
              <w:t>100毫克/天</w:t>
            </w:r>
          </w:p>
        </w:tc>
      </w:tr>
      <w:tr w:rsidR="00401786" w14:paraId="6CAD72F7" w14:textId="77777777">
        <w:trPr>
          <w:cantSplit/>
          <w:trHeight w:val="541"/>
        </w:trPr>
        <w:tc>
          <w:tcPr>
            <w:tcW w:w="3140" w:type="dxa"/>
            <w:tcBorders>
              <w:bottom w:val="single" w:sz="4" w:space="0" w:color="000000"/>
            </w:tcBorders>
            <w:shd w:val="clear" w:color="auto" w:fill="auto"/>
            <w:tcMar>
              <w:top w:w="0" w:type="dxa"/>
              <w:left w:w="28" w:type="dxa"/>
              <w:bottom w:w="0" w:type="dxa"/>
              <w:right w:w="28" w:type="dxa"/>
            </w:tcMar>
            <w:vAlign w:val="center"/>
          </w:tcPr>
          <w:p w14:paraId="23AA3C56"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Cyclosporines</w:t>
            </w:r>
            <w:proofErr w:type="spellEnd"/>
          </w:p>
        </w:tc>
        <w:tc>
          <w:tcPr>
            <w:tcW w:w="3140" w:type="dxa"/>
            <w:tcBorders>
              <w:bottom w:val="single" w:sz="4" w:space="0" w:color="000000"/>
            </w:tcBorders>
            <w:shd w:val="clear" w:color="auto" w:fill="auto"/>
            <w:tcMar>
              <w:top w:w="0" w:type="dxa"/>
              <w:left w:w="28" w:type="dxa"/>
              <w:bottom w:w="0" w:type="dxa"/>
              <w:right w:w="28" w:type="dxa"/>
            </w:tcMar>
            <w:vAlign w:val="center"/>
          </w:tcPr>
          <w:p w14:paraId="54D965B7"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2.5-5.0毫克/公斤/天</w:t>
            </w:r>
          </w:p>
        </w:tc>
        <w:tc>
          <w:tcPr>
            <w:tcW w:w="3141" w:type="dxa"/>
            <w:tcBorders>
              <w:bottom w:val="single" w:sz="4" w:space="0" w:color="000000"/>
            </w:tcBorders>
            <w:shd w:val="clear" w:color="auto" w:fill="auto"/>
            <w:tcMar>
              <w:top w:w="0" w:type="dxa"/>
              <w:left w:w="28" w:type="dxa"/>
              <w:bottom w:w="0" w:type="dxa"/>
              <w:right w:w="28" w:type="dxa"/>
            </w:tcMar>
            <w:vAlign w:val="center"/>
          </w:tcPr>
          <w:p w14:paraId="331FF958" w14:textId="77777777" w:rsidR="00401786" w:rsidRDefault="00C64FB3" w:rsidP="000E757E">
            <w:pPr>
              <w:snapToGrid w:val="0"/>
              <w:spacing w:line="240" w:lineRule="atLeast"/>
              <w:ind w:left="92"/>
              <w:jc w:val="right"/>
              <w:textAlignment w:val="center"/>
            </w:pPr>
            <w:r>
              <w:rPr>
                <w:rFonts w:ascii="標楷體" w:eastAsia="標楷體" w:hAnsi="標楷體"/>
                <w:color w:val="000000"/>
              </w:rPr>
              <w:t>2.5毫克/公斤/天</w:t>
            </w:r>
          </w:p>
        </w:tc>
      </w:tr>
    </w:tbl>
    <w:p w14:paraId="5520714E" w14:textId="77777777" w:rsidR="00401786" w:rsidRDefault="00401786" w:rsidP="000E757E">
      <w:pPr>
        <w:snapToGrid w:val="0"/>
        <w:spacing w:line="240" w:lineRule="atLeast"/>
        <w:jc w:val="both"/>
        <w:rPr>
          <w:rFonts w:ascii="標楷體" w:eastAsia="標楷體" w:hAnsi="標楷體"/>
          <w:color w:val="000000"/>
          <w:sz w:val="21"/>
          <w:szCs w:val="21"/>
        </w:rPr>
      </w:pPr>
    </w:p>
    <w:p w14:paraId="58A795AD" w14:textId="77777777" w:rsidR="00401786" w:rsidRDefault="00401786" w:rsidP="000E757E">
      <w:pPr>
        <w:snapToGrid w:val="0"/>
        <w:spacing w:line="240" w:lineRule="atLeast"/>
        <w:jc w:val="both"/>
        <w:rPr>
          <w:rFonts w:ascii="標楷體" w:eastAsia="標楷體" w:hAnsi="標楷體"/>
          <w:b/>
          <w:bCs/>
          <w:color w:val="000000"/>
        </w:rPr>
      </w:pPr>
    </w:p>
    <w:p w14:paraId="3025ED9B" w14:textId="77777777" w:rsidR="00401786" w:rsidRDefault="00401786" w:rsidP="000E757E">
      <w:pPr>
        <w:snapToGrid w:val="0"/>
        <w:spacing w:line="240" w:lineRule="atLeast"/>
        <w:jc w:val="both"/>
        <w:rPr>
          <w:rFonts w:ascii="標楷體" w:eastAsia="標楷體" w:hAnsi="標楷體"/>
          <w:b/>
          <w:bCs/>
          <w:color w:val="000000"/>
        </w:rPr>
      </w:pPr>
    </w:p>
    <w:p w14:paraId="3A193265" w14:textId="77777777" w:rsidR="00401786" w:rsidRDefault="00401786" w:rsidP="000E757E">
      <w:pPr>
        <w:snapToGrid w:val="0"/>
        <w:spacing w:line="240" w:lineRule="atLeast"/>
        <w:jc w:val="both"/>
        <w:rPr>
          <w:rFonts w:ascii="標楷體" w:eastAsia="標楷體" w:hAnsi="標楷體"/>
          <w:b/>
          <w:bCs/>
          <w:color w:val="000000"/>
        </w:rPr>
      </w:pPr>
    </w:p>
    <w:p w14:paraId="73AF136C" w14:textId="77777777" w:rsidR="00401786" w:rsidRPr="00F37647" w:rsidRDefault="00C64FB3" w:rsidP="000E757E">
      <w:pPr>
        <w:snapToGrid w:val="0"/>
        <w:spacing w:line="240" w:lineRule="atLeast"/>
        <w:jc w:val="both"/>
        <w:rPr>
          <w:sz w:val="22"/>
          <w:szCs w:val="20"/>
        </w:rPr>
      </w:pPr>
      <w:r w:rsidRPr="00F37647">
        <w:rPr>
          <w:rFonts w:ascii="標楷體" w:eastAsia="標楷體" w:hAnsi="標楷體"/>
          <w:b/>
          <w:bCs/>
          <w:color w:val="000000"/>
          <w:sz w:val="28"/>
          <w:szCs w:val="28"/>
        </w:rPr>
        <w:t>圖一</w:t>
      </w:r>
      <w:r w:rsidRPr="00F37647">
        <w:rPr>
          <w:rFonts w:ascii="標楷體" w:eastAsia="標楷體" w:hAnsi="標楷體"/>
          <w:bCs/>
          <w:color w:val="000000"/>
          <w:sz w:val="28"/>
          <w:szCs w:val="28"/>
        </w:rPr>
        <w:t>：</w:t>
      </w:r>
      <w:r w:rsidRPr="00F37647">
        <w:rPr>
          <w:rFonts w:ascii="標楷體" w:eastAsia="標楷體" w:hAnsi="標楷體"/>
          <w:b/>
          <w:bCs/>
          <w:color w:val="000000"/>
          <w:sz w:val="28"/>
          <w:szCs w:val="28"/>
        </w:rPr>
        <w:t>整體健康狀態(</w:t>
      </w:r>
      <w:proofErr w:type="spellStart"/>
      <w:r w:rsidRPr="00F37647">
        <w:rPr>
          <w:rFonts w:ascii="標楷體" w:eastAsia="標楷體" w:hAnsi="標楷體"/>
          <w:b/>
          <w:bCs/>
          <w:color w:val="000000"/>
          <w:sz w:val="28"/>
          <w:szCs w:val="28"/>
        </w:rPr>
        <w:t>GeneralHealthStatus</w:t>
      </w:r>
      <w:proofErr w:type="spellEnd"/>
      <w:r w:rsidRPr="00F37647">
        <w:rPr>
          <w:rFonts w:ascii="標楷體" w:eastAsia="標楷體" w:hAnsi="標楷體"/>
          <w:b/>
          <w:bCs/>
          <w:color w:val="000000"/>
          <w:sz w:val="28"/>
          <w:szCs w:val="28"/>
        </w:rPr>
        <w:t>)</w:t>
      </w:r>
    </w:p>
    <w:p w14:paraId="1E89020F" w14:textId="77777777" w:rsidR="00401786" w:rsidRDefault="00C64FB3" w:rsidP="000E757E">
      <w:pPr>
        <w:snapToGrid w:val="0"/>
        <w:spacing w:line="240" w:lineRule="atLeast"/>
        <w:jc w:val="both"/>
      </w:pPr>
      <w:r>
        <w:rPr>
          <w:noProof/>
        </w:rPr>
        <mc:AlternateContent>
          <mc:Choice Requires="wps">
            <w:drawing>
              <wp:anchor distT="0" distB="0" distL="114300" distR="114300" simplePos="0" relativeHeight="251648000" behindDoc="0" locked="0" layoutInCell="1" allowOverlap="1" wp14:anchorId="6AF52258" wp14:editId="593387D9">
                <wp:simplePos x="0" y="0"/>
                <wp:positionH relativeFrom="column">
                  <wp:posOffset>4650108</wp:posOffset>
                </wp:positionH>
                <wp:positionV relativeFrom="paragraph">
                  <wp:posOffset>157477</wp:posOffset>
                </wp:positionV>
                <wp:extent cx="685800" cy="514350"/>
                <wp:effectExtent l="0" t="0" r="0" b="0"/>
                <wp:wrapNone/>
                <wp:docPr id="4" name="Text Box 54"/>
                <wp:cNvGraphicFramePr/>
                <a:graphic xmlns:a="http://schemas.openxmlformats.org/drawingml/2006/main">
                  <a:graphicData uri="http://schemas.microsoft.com/office/word/2010/wordprocessingShape">
                    <wps:wsp>
                      <wps:cNvSpPr txBox="1"/>
                      <wps:spPr>
                        <a:xfrm>
                          <a:off x="0" y="0"/>
                          <a:ext cx="685800" cy="514350"/>
                        </a:xfrm>
                        <a:prstGeom prst="rect">
                          <a:avLst/>
                        </a:prstGeom>
                        <a:noFill/>
                        <a:ln>
                          <a:noFill/>
                          <a:prstDash/>
                        </a:ln>
                      </wps:spPr>
                      <wps:txbx>
                        <w:txbxContent>
                          <w:p w14:paraId="5C95F91E" w14:textId="77777777" w:rsidR="00C6448D" w:rsidRDefault="00C6448D">
                            <w:pPr>
                              <w:rPr>
                                <w:rFonts w:ascii="Arial" w:hAnsi="Arial" w:cs="Arial"/>
                                <w:sz w:val="20"/>
                                <w:szCs w:val="20"/>
                              </w:rPr>
                            </w:pPr>
                            <w:r>
                              <w:rPr>
                                <w:rFonts w:ascii="Arial" w:hAnsi="Arial" w:cs="Arial"/>
                                <w:sz w:val="20"/>
                                <w:szCs w:val="20"/>
                              </w:rPr>
                              <w:t>100</w:t>
                            </w:r>
                          </w:p>
                        </w:txbxContent>
                      </wps:txbx>
                      <wps:bodyPr vert="horz" wrap="square" lIns="91440" tIns="45720" rIns="91440" bIns="45720" anchor="t" anchorCtr="0" compatLnSpc="0">
                        <a:noAutofit/>
                      </wps:bodyPr>
                    </wps:wsp>
                  </a:graphicData>
                </a:graphic>
              </wp:anchor>
            </w:drawing>
          </mc:Choice>
          <mc:Fallback>
            <w:pict>
              <v:shape w14:anchorId="6AF52258" id="Text Box 54" o:spid="_x0000_s1028" type="#_x0000_t202" style="position:absolute;left:0;text-align:left;margin-left:366.15pt;margin-top:12.4pt;width:54pt;height:4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" filled="f" stroked="f">
                <v:textbox>
                  <w:txbxContent>
                    <w:p w14:paraId="5C95F91E" w14:textId="77777777" w:rsidR="00C6448D" w:rsidRDefault="00C6448D">
                      <w:pPr>
                        <w:rPr>
                          <w:rFonts w:ascii="Arial" w:hAnsi="Arial" w:cs="Arial"/>
                          <w:sz w:val="20"/>
                          <w:szCs w:val="20"/>
                        </w:rPr>
                      </w:pPr>
                      <w:r>
                        <w:rPr>
                          <w:rFonts w:ascii="Arial" w:hAnsi="Arial" w:cs="Arial"/>
                          <w:sz w:val="20"/>
                          <w:szCs w:val="20"/>
                        </w:rPr>
                        <w:t>100</w:t>
                      </w:r>
                    </w:p>
                  </w:txbxContent>
                </v:textbox>
              </v:shape>
            </w:pict>
          </mc:Fallback>
        </mc:AlternateContent>
      </w:r>
      <w:r>
        <w:rPr>
          <w:noProof/>
        </w:rPr>
        <mc:AlternateContent>
          <mc:Choice Requires="wps">
            <w:drawing>
              <wp:anchor distT="0" distB="0" distL="114300" distR="114300" simplePos="0" relativeHeight="251646976" behindDoc="0" locked="0" layoutInCell="1" allowOverlap="1" wp14:anchorId="28EF6FAB" wp14:editId="049BB2D0">
                <wp:simplePos x="0" y="0"/>
                <wp:positionH relativeFrom="column">
                  <wp:posOffset>1068705</wp:posOffset>
                </wp:positionH>
                <wp:positionV relativeFrom="paragraph">
                  <wp:posOffset>138431</wp:posOffset>
                </wp:positionV>
                <wp:extent cx="304166" cy="447041"/>
                <wp:effectExtent l="0" t="0" r="0" b="0"/>
                <wp:wrapNone/>
                <wp:docPr id="5" name="Text Box 53"/>
                <wp:cNvGraphicFramePr/>
                <a:graphic xmlns:a="http://schemas.openxmlformats.org/drawingml/2006/main">
                  <a:graphicData uri="http://schemas.microsoft.com/office/word/2010/wordprocessingShape">
                    <wps:wsp>
                      <wps:cNvSpPr txBox="1"/>
                      <wps:spPr>
                        <a:xfrm>
                          <a:off x="0" y="0"/>
                          <a:ext cx="304166" cy="447041"/>
                        </a:xfrm>
                        <a:prstGeom prst="rect">
                          <a:avLst/>
                        </a:prstGeom>
                        <a:noFill/>
                        <a:ln>
                          <a:noFill/>
                          <a:prstDash/>
                        </a:ln>
                      </wps:spPr>
                      <wps:txbx>
                        <w:txbxContent>
                          <w:p w14:paraId="39AAA8D4" w14:textId="77777777" w:rsidR="00C6448D" w:rsidRDefault="00C6448D">
                            <w:pPr>
                              <w:rPr>
                                <w:rFonts w:ascii="Arial" w:hAnsi="Arial" w:cs="Arial"/>
                              </w:rPr>
                            </w:pPr>
                            <w:r>
                              <w:rPr>
                                <w:rFonts w:ascii="Arial" w:hAnsi="Arial" w:cs="Arial"/>
                              </w:rPr>
                              <w:t>0</w:t>
                            </w:r>
                          </w:p>
                        </w:txbxContent>
                      </wps:txbx>
                      <wps:bodyPr vert="horz" wrap="square" lIns="91440" tIns="45720" rIns="91440" bIns="45720" anchor="t" anchorCtr="0" compatLnSpc="0">
                        <a:noAutofit/>
                      </wps:bodyPr>
                    </wps:wsp>
                  </a:graphicData>
                </a:graphic>
              </wp:anchor>
            </w:drawing>
          </mc:Choice>
          <mc:Fallback>
            <w:pict>
              <v:shape w14:anchorId="28EF6FAB" id="Text Box 53" o:spid="_x0000_s1029" type="#_x0000_t202" style="position:absolute;left:0;text-align:left;margin-left:84.15pt;margin-top:10.9pt;width:23.95pt;height:35.2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" filled="f" stroked="f">
                <v:textbox>
                  <w:txbxContent>
                    <w:p w14:paraId="39AAA8D4" w14:textId="77777777" w:rsidR="00C6448D" w:rsidRDefault="00C6448D">
                      <w:pPr>
                        <w:rPr>
                          <w:rFonts w:ascii="Arial" w:hAnsi="Arial" w:cs="Arial"/>
                        </w:rPr>
                      </w:pPr>
                      <w:r>
                        <w:rPr>
                          <w:rFonts w:ascii="Arial" w:hAnsi="Arial" w:cs="Arial"/>
                        </w:rPr>
                        <w:t>0</w:t>
                      </w:r>
                    </w:p>
                  </w:txbxContent>
                </v:textbox>
              </v:shape>
            </w:pict>
          </mc:Fallback>
        </mc:AlternateContent>
      </w:r>
    </w:p>
    <w:p w14:paraId="0920BB9D" w14:textId="77777777" w:rsidR="00401786" w:rsidRDefault="00401786" w:rsidP="000E757E">
      <w:pPr>
        <w:snapToGrid w:val="0"/>
        <w:spacing w:line="240" w:lineRule="atLeast"/>
        <w:jc w:val="both"/>
        <w:rPr>
          <w:rFonts w:ascii="標楷體" w:eastAsia="標楷體" w:hAnsi="標楷體"/>
        </w:rPr>
      </w:pPr>
    </w:p>
    <w:p w14:paraId="47CA386C" w14:textId="77777777" w:rsidR="00401786" w:rsidRDefault="00C64FB3" w:rsidP="000E757E">
      <w:pPr>
        <w:snapToGrid w:val="0"/>
        <w:spacing w:line="240" w:lineRule="atLeast"/>
        <w:jc w:val="both"/>
      </w:pPr>
      <w:r>
        <w:rPr>
          <w:noProof/>
        </w:rPr>
        <mc:AlternateContent>
          <mc:Choice Requires="wps">
            <w:drawing>
              <wp:anchor distT="0" distB="0" distL="114300" distR="114300" simplePos="0" relativeHeight="251645952" behindDoc="0" locked="0" layoutInCell="1" allowOverlap="1" wp14:anchorId="6427982C" wp14:editId="5E05BC2E">
                <wp:simplePos x="0" y="0"/>
                <wp:positionH relativeFrom="column">
                  <wp:posOffset>4876796</wp:posOffset>
                </wp:positionH>
                <wp:positionV relativeFrom="paragraph">
                  <wp:posOffset>114300</wp:posOffset>
                </wp:positionV>
                <wp:extent cx="0" cy="228600"/>
                <wp:effectExtent l="0" t="0" r="38100" b="19050"/>
                <wp:wrapNone/>
                <wp:docPr id="6" name="Line 52"/>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9528" cap="flat">
                          <a:solidFill>
                            <a:srgbClr val="000000"/>
                          </a:solidFill>
                          <a:prstDash val="solid"/>
                          <a:round/>
                        </a:ln>
                      </wps:spPr>
                      <wps:bodyPr/>
                    </wps:wsp>
                  </a:graphicData>
                </a:graphic>
              </wp:anchor>
            </w:drawing>
          </mc:Choice>
          <mc:Fallback>
            <w:pict>
              <v:shapetype w14:anchorId="4FA0BAEB" id="_x0000_t32" coordsize="21600,21600" o:spt="32" o:oned="t" path="m,l21600,21600e" filled="f">
                <v:path arrowok="t" fillok="f" o:connecttype="none"/>
                <o:lock v:ext="edit" shapetype="t"/>
              </v:shapetype>
              <v:shape id="Line 52" o:spid="_x0000_s1026" type="#_x0000_t32" style="position:absolute;margin-left:384pt;margin-top:9pt;width:0;height:18pt;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" strokeweight=".26467mm"/>
            </w:pict>
          </mc:Fallback>
        </mc:AlternateContent>
      </w:r>
      <w:r>
        <w:rPr>
          <w:noProof/>
        </w:rPr>
        <mc:AlternateContent>
          <mc:Choice Requires="wps">
            <w:drawing>
              <wp:anchor distT="0" distB="0" distL="114300" distR="114300" simplePos="0" relativeHeight="251644928" behindDoc="0" locked="0" layoutInCell="1" allowOverlap="1" wp14:anchorId="1D1115A4" wp14:editId="337801C1">
                <wp:simplePos x="0" y="0"/>
                <wp:positionH relativeFrom="column">
                  <wp:posOffset>1219196</wp:posOffset>
                </wp:positionH>
                <wp:positionV relativeFrom="paragraph">
                  <wp:posOffset>114300</wp:posOffset>
                </wp:positionV>
                <wp:extent cx="0" cy="228600"/>
                <wp:effectExtent l="0" t="0" r="38100" b="19050"/>
                <wp:wrapNone/>
                <wp:docPr id="7" name="Line 51"/>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9528" cap="flat">
                          <a:solidFill>
                            <a:srgbClr val="000000"/>
                          </a:solidFill>
                          <a:prstDash val="solid"/>
                          <a:round/>
                        </a:ln>
                      </wps:spPr>
                      <wps:bodyPr/>
                    </wps:wsp>
                  </a:graphicData>
                </a:graphic>
              </wp:anchor>
            </w:drawing>
          </mc:Choice>
          <mc:Fallback>
            <w:pict>
              <v:shape w14:anchorId="09739D24" id="Line 51" o:spid="_x0000_s1026" type="#_x0000_t32" style="position:absolute;margin-left:96pt;margin-top:9pt;width:0;height:18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" strokeweight=".26467mm"/>
            </w:pict>
          </mc:Fallback>
        </mc:AlternateContent>
      </w:r>
    </w:p>
    <w:p w14:paraId="33E35E87" w14:textId="77777777" w:rsidR="00401786" w:rsidRDefault="00C64FB3" w:rsidP="000E757E">
      <w:pPr>
        <w:snapToGrid w:val="0"/>
        <w:spacing w:line="240" w:lineRule="atLeast"/>
        <w:jc w:val="both"/>
      </w:pPr>
      <w:r>
        <w:rPr>
          <w:noProof/>
        </w:rPr>
        <mc:AlternateContent>
          <mc:Choice Requires="wps">
            <w:drawing>
              <wp:anchor distT="0" distB="0" distL="114300" distR="114300" simplePos="0" relativeHeight="251654144" behindDoc="0" locked="0" layoutInCell="1" allowOverlap="1" wp14:anchorId="1DE82667" wp14:editId="6E15F65C">
                <wp:simplePos x="0" y="0"/>
                <wp:positionH relativeFrom="column">
                  <wp:posOffset>4345301</wp:posOffset>
                </wp:positionH>
                <wp:positionV relativeFrom="paragraph">
                  <wp:posOffset>109856</wp:posOffset>
                </wp:positionV>
                <wp:extent cx="989966" cy="571500"/>
                <wp:effectExtent l="0" t="0" r="0" b="0"/>
                <wp:wrapNone/>
                <wp:docPr id="8" name="Text Box 56"/>
                <wp:cNvGraphicFramePr/>
                <a:graphic xmlns:a="http://schemas.openxmlformats.org/drawingml/2006/main">
                  <a:graphicData uri="http://schemas.microsoft.com/office/word/2010/wordprocessingShape">
                    <wps:wsp>
                      <wps:cNvSpPr txBox="1"/>
                      <wps:spPr>
                        <a:xfrm>
                          <a:off x="0" y="0"/>
                          <a:ext cx="989966" cy="571500"/>
                        </a:xfrm>
                        <a:prstGeom prst="rect">
                          <a:avLst/>
                        </a:prstGeom>
                        <a:noFill/>
                        <a:ln>
                          <a:noFill/>
                          <a:prstDash/>
                        </a:ln>
                      </wps:spPr>
                      <wps:txbx>
                        <w:txbxContent>
                          <w:p w14:paraId="33452614" w14:textId="77777777" w:rsidR="00C6448D" w:rsidRDefault="00C6448D">
                            <w:r>
                              <w:rPr>
                                <w:rFonts w:ascii="標楷體" w:eastAsia="標楷體" w:hAnsi="標楷體" w:cs="新細明體"/>
                              </w:rPr>
                              <w:t>非常不舒服</w:t>
                            </w:r>
                          </w:p>
                        </w:txbxContent>
                      </wps:txbx>
                      <wps:bodyPr vert="horz" wrap="square" lIns="91440" tIns="45720" rIns="91440" bIns="45720" anchor="t" anchorCtr="0" compatLnSpc="0">
                        <a:noAutofit/>
                      </wps:bodyPr>
                    </wps:wsp>
                  </a:graphicData>
                </a:graphic>
              </wp:anchor>
            </w:drawing>
          </mc:Choice>
          <mc:Fallback>
            <w:pict>
              <v:shape w14:anchorId="1DE82667" id="Text Box 56" o:spid="_x0000_s1030" type="#_x0000_t202" style="position:absolute;left:0;text-align:left;margin-left:342.15pt;margin-top:8.65pt;width:77.95pt;height:4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" filled="f" stroked="f">
                <v:textbox>
                  <w:txbxContent>
                    <w:p w14:paraId="33452614" w14:textId="77777777" w:rsidR="00C6448D" w:rsidRDefault="00C6448D">
                      <w:r>
                        <w:rPr>
                          <w:rFonts w:ascii="標楷體" w:eastAsia="標楷體" w:hAnsi="標楷體" w:cs="新細明體"/>
                        </w:rPr>
                        <w:t>非常不舒服</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5B99296C" wp14:editId="1DD6F3C5">
                <wp:simplePos x="0" y="0"/>
                <wp:positionH relativeFrom="column">
                  <wp:posOffset>763908</wp:posOffset>
                </wp:positionH>
                <wp:positionV relativeFrom="paragraph">
                  <wp:posOffset>109856</wp:posOffset>
                </wp:positionV>
                <wp:extent cx="1295403" cy="571500"/>
                <wp:effectExtent l="0" t="0" r="0" b="0"/>
                <wp:wrapNone/>
                <wp:docPr id="9" name="Text Box 55"/>
                <wp:cNvGraphicFramePr/>
                <a:graphic xmlns:a="http://schemas.openxmlformats.org/drawingml/2006/main">
                  <a:graphicData uri="http://schemas.microsoft.com/office/word/2010/wordprocessingShape">
                    <wps:wsp>
                      <wps:cNvSpPr txBox="1"/>
                      <wps:spPr>
                        <a:xfrm>
                          <a:off x="0" y="0"/>
                          <a:ext cx="1295403" cy="571500"/>
                        </a:xfrm>
                        <a:prstGeom prst="rect">
                          <a:avLst/>
                        </a:prstGeom>
                        <a:noFill/>
                        <a:ln>
                          <a:noFill/>
                          <a:prstDash/>
                        </a:ln>
                      </wps:spPr>
                      <wps:txbx>
                        <w:txbxContent>
                          <w:p w14:paraId="73449E43" w14:textId="77777777" w:rsidR="00C6448D" w:rsidRDefault="00C6448D">
                            <w:r>
                              <w:rPr>
                                <w:rFonts w:ascii="標楷體" w:eastAsia="標楷體" w:hAnsi="標楷體" w:cs="新細明體"/>
                              </w:rPr>
                              <w:t>完全沒有不舒服</w:t>
                            </w:r>
                          </w:p>
                        </w:txbxContent>
                      </wps:txbx>
                      <wps:bodyPr vert="horz" wrap="square" lIns="91440" tIns="45720" rIns="91440" bIns="45720" anchor="t" anchorCtr="0" compatLnSpc="0">
                        <a:noAutofit/>
                      </wps:bodyPr>
                    </wps:wsp>
                  </a:graphicData>
                </a:graphic>
              </wp:anchor>
            </w:drawing>
          </mc:Choice>
          <mc:Fallback>
            <w:pict>
              <v:shape w14:anchorId="5B99296C" id="Text Box 55" o:spid="_x0000_s1031" type="#_x0000_t202" style="position:absolute;left:0;text-align:left;margin-left:60.15pt;margin-top:8.65pt;width:102pt;height:4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" filled="f" stroked="f">
                <v:textbox>
                  <w:txbxContent>
                    <w:p w14:paraId="73449E43" w14:textId="77777777" w:rsidR="00C6448D" w:rsidRDefault="00C6448D">
                      <w:r>
                        <w:rPr>
                          <w:rFonts w:ascii="標楷體" w:eastAsia="標楷體" w:hAnsi="標楷體" w:cs="新細明體"/>
                        </w:rPr>
                        <w:t>完全沒有不舒服</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5A5296BE" wp14:editId="2D6DF07C">
                <wp:simplePos x="0" y="0"/>
                <wp:positionH relativeFrom="column">
                  <wp:posOffset>1219196</wp:posOffset>
                </wp:positionH>
                <wp:positionV relativeFrom="paragraph">
                  <wp:posOffset>114300</wp:posOffset>
                </wp:positionV>
                <wp:extent cx="3657600" cy="0"/>
                <wp:effectExtent l="0" t="0" r="0" b="0"/>
                <wp:wrapNone/>
                <wp:docPr id="10" name="Line 50"/>
                <wp:cNvGraphicFramePr/>
                <a:graphic xmlns:a="http://schemas.openxmlformats.org/drawingml/2006/main">
                  <a:graphicData uri="http://schemas.microsoft.com/office/word/2010/wordprocessingShape">
                    <wps:wsp>
                      <wps:cNvCnPr/>
                      <wps:spPr>
                        <a:xfrm>
                          <a:off x="0" y="0"/>
                          <a:ext cx="3657600" cy="0"/>
                        </a:xfrm>
                        <a:prstGeom prst="straightConnector1">
                          <a:avLst/>
                        </a:prstGeom>
                        <a:noFill/>
                        <a:ln w="9528" cap="flat">
                          <a:solidFill>
                            <a:srgbClr val="000000"/>
                          </a:solidFill>
                          <a:prstDash val="solid"/>
                          <a:round/>
                        </a:ln>
                      </wps:spPr>
                      <wps:bodyPr/>
                    </wps:wsp>
                  </a:graphicData>
                </a:graphic>
              </wp:anchor>
            </w:drawing>
          </mc:Choice>
          <mc:Fallback>
            <w:pict>
              <v:shape w14:anchorId="37873B91" id="Line 50" o:spid="_x0000_s1026" type="#_x0000_t32" style="position:absolute;margin-left:96pt;margin-top:9pt;width:4in;height:0;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" strokeweight=".26467mm"/>
            </w:pict>
          </mc:Fallback>
        </mc:AlternateContent>
      </w:r>
    </w:p>
    <w:p w14:paraId="34AE2BF9" w14:textId="77777777" w:rsidR="00401786" w:rsidRDefault="00401786" w:rsidP="000E757E">
      <w:pPr>
        <w:snapToGrid w:val="0"/>
        <w:spacing w:line="240" w:lineRule="atLeast"/>
        <w:jc w:val="both"/>
        <w:rPr>
          <w:rFonts w:ascii="標楷體" w:eastAsia="標楷體" w:hAnsi="標楷體"/>
          <w:color w:val="000000"/>
          <w:sz w:val="21"/>
          <w:szCs w:val="21"/>
        </w:rPr>
      </w:pPr>
    </w:p>
    <w:p w14:paraId="18D9BB83" w14:textId="77777777" w:rsidR="00401786" w:rsidRDefault="00401786" w:rsidP="000E757E">
      <w:pPr>
        <w:snapToGrid w:val="0"/>
        <w:spacing w:line="240" w:lineRule="atLeast"/>
        <w:jc w:val="both"/>
        <w:rPr>
          <w:rFonts w:ascii="標楷體" w:eastAsia="標楷體" w:hAnsi="標楷體"/>
          <w:color w:val="000000"/>
          <w:sz w:val="21"/>
          <w:szCs w:val="21"/>
        </w:rPr>
      </w:pPr>
    </w:p>
    <w:p w14:paraId="73FB5213" w14:textId="77777777" w:rsidR="00401786" w:rsidRDefault="00401786" w:rsidP="000E757E">
      <w:pPr>
        <w:snapToGrid w:val="0"/>
        <w:spacing w:line="240" w:lineRule="atLeast"/>
        <w:jc w:val="both"/>
        <w:rPr>
          <w:rFonts w:ascii="標楷體" w:eastAsia="標楷體" w:hAnsi="標楷體"/>
          <w:color w:val="000000"/>
          <w:sz w:val="21"/>
          <w:szCs w:val="21"/>
        </w:rPr>
      </w:pPr>
    </w:p>
    <w:p w14:paraId="0B8899AB" w14:textId="77777777" w:rsidR="00401786" w:rsidRDefault="00401786" w:rsidP="000E757E">
      <w:pPr>
        <w:snapToGrid w:val="0"/>
        <w:spacing w:line="240" w:lineRule="atLeast"/>
        <w:jc w:val="both"/>
        <w:rPr>
          <w:rFonts w:ascii="標楷體" w:eastAsia="標楷體" w:hAnsi="標楷體"/>
          <w:color w:val="000000"/>
          <w:sz w:val="21"/>
          <w:szCs w:val="21"/>
        </w:rPr>
      </w:pPr>
    </w:p>
    <w:p w14:paraId="127BE4DB" w14:textId="77777777" w:rsidR="00401786" w:rsidRDefault="00401786" w:rsidP="000E757E">
      <w:pPr>
        <w:snapToGrid w:val="0"/>
        <w:spacing w:line="240" w:lineRule="atLeast"/>
        <w:ind w:left="9780" w:right="-286" w:hanging="10320"/>
        <w:jc w:val="center"/>
        <w:rPr>
          <w:rFonts w:ascii="標楷體" w:eastAsia="標楷體" w:hAnsi="標楷體"/>
        </w:rPr>
      </w:pPr>
    </w:p>
    <w:p w14:paraId="36074DB9" w14:textId="77777777" w:rsidR="00401786" w:rsidRDefault="00401786" w:rsidP="000E757E">
      <w:pPr>
        <w:snapToGrid w:val="0"/>
        <w:spacing w:line="240" w:lineRule="atLeast"/>
        <w:ind w:left="9780" w:right="-286" w:hanging="10320"/>
        <w:jc w:val="center"/>
        <w:rPr>
          <w:rFonts w:ascii="標楷體" w:eastAsia="標楷體" w:hAnsi="標楷體"/>
        </w:rPr>
      </w:pPr>
    </w:p>
    <w:p w14:paraId="513D7378" w14:textId="77777777" w:rsidR="00401786" w:rsidRDefault="00401786" w:rsidP="000E757E">
      <w:pPr>
        <w:snapToGrid w:val="0"/>
        <w:spacing w:line="240" w:lineRule="atLeast"/>
        <w:ind w:left="9780" w:right="-286" w:hanging="10320"/>
        <w:jc w:val="center"/>
        <w:rPr>
          <w:rFonts w:ascii="標楷體" w:eastAsia="標楷體" w:hAnsi="標楷體"/>
        </w:rPr>
      </w:pPr>
    </w:p>
    <w:p w14:paraId="3D83A473" w14:textId="77777777" w:rsidR="00401786" w:rsidRDefault="00401786" w:rsidP="000E757E">
      <w:pPr>
        <w:snapToGrid w:val="0"/>
        <w:spacing w:line="240" w:lineRule="atLeast"/>
        <w:ind w:left="9780" w:right="-286" w:hanging="10320"/>
        <w:jc w:val="center"/>
        <w:rPr>
          <w:rFonts w:ascii="標楷體" w:eastAsia="標楷體" w:hAnsi="標楷體"/>
        </w:rPr>
      </w:pPr>
    </w:p>
    <w:p w14:paraId="7E48B228" w14:textId="77777777" w:rsidR="00401786" w:rsidRDefault="00401786" w:rsidP="000E757E">
      <w:pPr>
        <w:snapToGrid w:val="0"/>
        <w:spacing w:line="240" w:lineRule="atLeast"/>
        <w:ind w:left="9780" w:right="-286" w:hanging="10320"/>
        <w:jc w:val="center"/>
        <w:rPr>
          <w:rFonts w:ascii="標楷體" w:eastAsia="標楷體" w:hAnsi="標楷體"/>
        </w:rPr>
      </w:pPr>
    </w:p>
    <w:p w14:paraId="45E79554" w14:textId="77777777" w:rsidR="00401786" w:rsidRDefault="00401786" w:rsidP="000E757E">
      <w:pPr>
        <w:snapToGrid w:val="0"/>
        <w:spacing w:line="240" w:lineRule="atLeast"/>
        <w:ind w:left="9780" w:right="-286" w:hanging="10320"/>
        <w:jc w:val="center"/>
        <w:rPr>
          <w:rFonts w:ascii="標楷體" w:eastAsia="標楷體" w:hAnsi="標楷體"/>
        </w:rPr>
      </w:pPr>
    </w:p>
    <w:p w14:paraId="60588776" w14:textId="77777777" w:rsidR="00401786" w:rsidRDefault="00401786" w:rsidP="000E757E">
      <w:pPr>
        <w:snapToGrid w:val="0"/>
        <w:spacing w:line="240" w:lineRule="atLeast"/>
        <w:ind w:left="9780" w:right="-286" w:hanging="10320"/>
        <w:jc w:val="center"/>
        <w:rPr>
          <w:rFonts w:ascii="標楷體" w:eastAsia="標楷體" w:hAnsi="標楷體"/>
        </w:rPr>
      </w:pPr>
    </w:p>
    <w:p w14:paraId="3F51B2CD" w14:textId="77777777" w:rsidR="00401786" w:rsidRDefault="00401786" w:rsidP="000E757E">
      <w:pPr>
        <w:snapToGrid w:val="0"/>
        <w:spacing w:line="240" w:lineRule="atLeast"/>
        <w:ind w:left="9780" w:right="-286" w:hanging="10320"/>
        <w:jc w:val="center"/>
        <w:rPr>
          <w:rFonts w:ascii="標楷體" w:eastAsia="標楷體" w:hAnsi="標楷體"/>
        </w:rPr>
      </w:pPr>
    </w:p>
    <w:p w14:paraId="3C4542C2" w14:textId="77777777" w:rsidR="00401786" w:rsidRDefault="00401786" w:rsidP="000E757E">
      <w:pPr>
        <w:snapToGrid w:val="0"/>
        <w:spacing w:line="240" w:lineRule="atLeast"/>
        <w:ind w:left="9780" w:right="-286" w:hanging="10320"/>
        <w:jc w:val="center"/>
        <w:rPr>
          <w:rFonts w:ascii="標楷體" w:eastAsia="標楷體" w:hAnsi="標楷體"/>
        </w:rPr>
      </w:pPr>
    </w:p>
    <w:p w14:paraId="481ECF9D" w14:textId="77777777" w:rsidR="00401786" w:rsidRDefault="00C64FB3" w:rsidP="000E757E">
      <w:pPr>
        <w:snapToGrid w:val="0"/>
        <w:spacing w:line="240" w:lineRule="atLeast"/>
        <w:ind w:left="9780" w:right="-286" w:hanging="10320"/>
        <w:jc w:val="center"/>
      </w:pPr>
      <w:r>
        <w:rPr>
          <w:rFonts w:ascii="標楷體" w:eastAsia="標楷體" w:hAnsi="標楷體"/>
          <w:noProof/>
        </w:rPr>
        <w:lastRenderedPageBreak/>
        <w:drawing>
          <wp:anchor distT="0" distB="0" distL="114300" distR="114300" simplePos="0" relativeHeight="251667456" behindDoc="0" locked="0" layoutInCell="1" allowOverlap="1" wp14:anchorId="6DAF8961" wp14:editId="02364142">
            <wp:simplePos x="0" y="0"/>
            <wp:positionH relativeFrom="column">
              <wp:posOffset>230501</wp:posOffset>
            </wp:positionH>
            <wp:positionV relativeFrom="paragraph">
              <wp:posOffset>0</wp:posOffset>
            </wp:positionV>
            <wp:extent cx="6263009" cy="9251954"/>
            <wp:effectExtent l="0" t="0" r="4441" b="6346"/>
            <wp:wrapThrough wrapText="bothSides">
              <wp:wrapPolygon edited="0">
                <wp:start x="0" y="0"/>
                <wp:lineTo x="0" y="21570"/>
                <wp:lineTo x="21550" y="21570"/>
                <wp:lineTo x="21550" y="0"/>
                <wp:lineTo x="0" y="0"/>
              </wp:wrapPolygon>
            </wp:wrapThrough>
            <wp:docPr id="11" name="圖片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63009" cy="9251954"/>
                    </a:xfrm>
                    <a:prstGeom prst="rect">
                      <a:avLst/>
                    </a:prstGeom>
                    <a:noFill/>
                    <a:ln>
                      <a:noFill/>
                      <a:prstDash/>
                    </a:ln>
                  </pic:spPr>
                </pic:pic>
              </a:graphicData>
            </a:graphic>
          </wp:anchor>
        </w:drawing>
      </w:r>
    </w:p>
    <w:p w14:paraId="610F8A48" w14:textId="77777777" w:rsidR="00401786" w:rsidRPr="00F37647" w:rsidRDefault="00C64FB3" w:rsidP="000E757E">
      <w:pPr>
        <w:pageBreakBefore/>
        <w:snapToGrid w:val="0"/>
        <w:spacing w:line="240" w:lineRule="atLeast"/>
        <w:jc w:val="center"/>
        <w:rPr>
          <w:b/>
          <w:bCs/>
        </w:rPr>
      </w:pPr>
      <w:r w:rsidRPr="00F37647">
        <w:rPr>
          <w:rFonts w:ascii="標楷體" w:eastAsia="標楷體" w:hAnsi="標楷體"/>
          <w:b/>
          <w:bCs/>
          <w:color w:val="000000"/>
        </w:rPr>
        <w:lastRenderedPageBreak/>
        <w:t>附表十六：全民健康保險活動性多關節幼年型慢性關節炎使用藥品申請表</w:t>
      </w:r>
    </w:p>
    <w:tbl>
      <w:tblPr>
        <w:tblW w:w="9112" w:type="dxa"/>
        <w:jc w:val="center"/>
        <w:tblCellMar>
          <w:left w:w="10" w:type="dxa"/>
          <w:right w:w="10" w:type="dxa"/>
        </w:tblCellMar>
        <w:tblLook w:val="0000" w:firstRow="0" w:lastRow="0" w:firstColumn="0" w:lastColumn="0" w:noHBand="0" w:noVBand="0"/>
      </w:tblPr>
      <w:tblGrid>
        <w:gridCol w:w="40"/>
        <w:gridCol w:w="1006"/>
        <w:gridCol w:w="416"/>
        <w:gridCol w:w="900"/>
        <w:gridCol w:w="720"/>
        <w:gridCol w:w="1080"/>
        <w:gridCol w:w="540"/>
        <w:gridCol w:w="1260"/>
        <w:gridCol w:w="1080"/>
        <w:gridCol w:w="2030"/>
        <w:gridCol w:w="40"/>
      </w:tblGrid>
      <w:tr w:rsidR="00401786" w14:paraId="07404C34" w14:textId="77777777">
        <w:trPr>
          <w:jc w:val="center"/>
        </w:trPr>
        <w:tc>
          <w:tcPr>
            <w:tcW w:w="40" w:type="dxa"/>
            <w:shd w:val="clear" w:color="auto" w:fill="auto"/>
            <w:tcMar>
              <w:top w:w="0" w:type="dxa"/>
              <w:left w:w="10" w:type="dxa"/>
              <w:bottom w:w="0" w:type="dxa"/>
              <w:right w:w="10" w:type="dxa"/>
            </w:tcMar>
          </w:tcPr>
          <w:p w14:paraId="2C38DA9A"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2715BF" w14:textId="77777777" w:rsidR="00401786" w:rsidRDefault="00C64FB3" w:rsidP="000E757E">
            <w:pPr>
              <w:snapToGrid w:val="0"/>
              <w:spacing w:line="240" w:lineRule="atLeast"/>
            </w:pPr>
            <w:r>
              <w:rPr>
                <w:rFonts w:ascii="標楷體" w:eastAsia="標楷體" w:hAnsi="標楷體" w:cs="標楷體"/>
                <w:color w:val="000000"/>
                <w:sz w:val="20"/>
                <w:szCs w:val="20"/>
              </w:rPr>
              <w:t>醫院代號</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7A0506"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1F7958" w14:textId="77777777" w:rsidR="00401786" w:rsidRDefault="00C64FB3" w:rsidP="000E757E">
            <w:pPr>
              <w:snapToGrid w:val="0"/>
              <w:spacing w:line="240" w:lineRule="atLeast"/>
            </w:pPr>
            <w:r>
              <w:rPr>
                <w:rFonts w:ascii="標楷體" w:eastAsia="標楷體" w:hAnsi="標楷體" w:cs="標楷體"/>
                <w:color w:val="000000"/>
                <w:sz w:val="20"/>
                <w:szCs w:val="20"/>
              </w:rPr>
              <w:t>醫院名稱</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7EE75B"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7E655A" w14:textId="77777777" w:rsidR="00401786" w:rsidRDefault="00C64FB3" w:rsidP="000E757E">
            <w:pPr>
              <w:snapToGrid w:val="0"/>
              <w:spacing w:line="240" w:lineRule="atLeast"/>
            </w:pPr>
            <w:r>
              <w:rPr>
                <w:rFonts w:ascii="標楷體" w:eastAsia="標楷體" w:hAnsi="標楷體" w:cs="標楷體"/>
                <w:color w:val="000000"/>
                <w:sz w:val="20"/>
                <w:szCs w:val="20"/>
              </w:rPr>
              <w:t>申請日期</w:t>
            </w: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02F89F"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808DE2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FC15A9C" w14:textId="77777777">
        <w:trPr>
          <w:jc w:val="center"/>
        </w:trPr>
        <w:tc>
          <w:tcPr>
            <w:tcW w:w="40" w:type="dxa"/>
            <w:shd w:val="clear" w:color="auto" w:fill="auto"/>
            <w:tcMar>
              <w:top w:w="0" w:type="dxa"/>
              <w:left w:w="10" w:type="dxa"/>
              <w:bottom w:w="0" w:type="dxa"/>
              <w:right w:w="10" w:type="dxa"/>
            </w:tcMar>
          </w:tcPr>
          <w:p w14:paraId="48B81113"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73E9DB" w14:textId="77777777" w:rsidR="00401786" w:rsidRDefault="00C64FB3" w:rsidP="000E757E">
            <w:pPr>
              <w:snapToGrid w:val="0"/>
              <w:spacing w:line="240" w:lineRule="atLeast"/>
            </w:pPr>
            <w:r>
              <w:rPr>
                <w:rFonts w:ascii="標楷體" w:eastAsia="標楷體" w:hAnsi="標楷體" w:cs="標楷體"/>
                <w:color w:val="000000"/>
                <w:sz w:val="20"/>
                <w:szCs w:val="20"/>
              </w:rPr>
              <w:t>病人姓名</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DF5C3C"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E2564C" w14:textId="77777777" w:rsidR="00401786" w:rsidRDefault="00C64FB3" w:rsidP="000E757E">
            <w:pPr>
              <w:snapToGrid w:val="0"/>
              <w:spacing w:line="240" w:lineRule="atLeast"/>
            </w:pPr>
            <w:r>
              <w:rPr>
                <w:rFonts w:ascii="標楷體" w:eastAsia="標楷體" w:hAnsi="標楷體" w:cs="標楷體"/>
                <w:color w:val="000000"/>
                <w:sz w:val="20"/>
                <w:szCs w:val="20"/>
              </w:rPr>
              <w:t>性别</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1555B0"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84FDA2" w14:textId="77777777" w:rsidR="00401786" w:rsidRDefault="00C64FB3" w:rsidP="000E757E">
            <w:pPr>
              <w:snapToGrid w:val="0"/>
              <w:spacing w:line="240" w:lineRule="atLeast"/>
            </w:pPr>
            <w:r>
              <w:rPr>
                <w:rFonts w:ascii="標楷體" w:eastAsia="標楷體" w:hAnsi="標楷體" w:cs="標楷體"/>
                <w:color w:val="000000"/>
                <w:sz w:val="20"/>
                <w:szCs w:val="20"/>
              </w:rPr>
              <w:t>出生日期</w:t>
            </w: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02E845"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029596A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B252F90" w14:textId="77777777">
        <w:trPr>
          <w:cantSplit/>
          <w:jc w:val="center"/>
        </w:trPr>
        <w:tc>
          <w:tcPr>
            <w:tcW w:w="40" w:type="dxa"/>
            <w:shd w:val="clear" w:color="auto" w:fill="auto"/>
            <w:tcMar>
              <w:top w:w="0" w:type="dxa"/>
              <w:left w:w="10" w:type="dxa"/>
              <w:bottom w:w="0" w:type="dxa"/>
              <w:right w:w="10" w:type="dxa"/>
            </w:tcMar>
          </w:tcPr>
          <w:p w14:paraId="77BDF99F"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1E4FA2" w14:textId="77777777" w:rsidR="00401786" w:rsidRDefault="00C64FB3" w:rsidP="000E757E">
            <w:pPr>
              <w:snapToGrid w:val="0"/>
              <w:spacing w:line="240" w:lineRule="atLeast"/>
            </w:pPr>
            <w:r>
              <w:rPr>
                <w:rFonts w:ascii="標楷體" w:eastAsia="標楷體" w:hAnsi="標楷體" w:cs="標楷體"/>
                <w:color w:val="000000"/>
                <w:sz w:val="20"/>
                <w:szCs w:val="20"/>
              </w:rPr>
              <w:t>身份證號</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E1D1E4"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3E0214"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E2829E"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B9E0EF" w14:textId="77777777" w:rsidR="00401786" w:rsidRDefault="00C64FB3" w:rsidP="000E757E">
            <w:pPr>
              <w:snapToGrid w:val="0"/>
              <w:spacing w:line="240" w:lineRule="atLeast"/>
              <w:jc w:val="both"/>
            </w:pPr>
            <w:r>
              <w:rPr>
                <w:rFonts w:ascii="標楷體" w:eastAsia="標楷體" w:hAnsi="標楷體" w:cs="標楷體"/>
                <w:sz w:val="20"/>
                <w:szCs w:val="20"/>
              </w:rPr>
              <w:t>使用期間</w:t>
            </w: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F6FC21" w14:textId="77777777" w:rsidR="00401786" w:rsidRDefault="00C64FB3" w:rsidP="000E757E">
            <w:pPr>
              <w:snapToGrid w:val="0"/>
              <w:spacing w:line="240" w:lineRule="atLeast"/>
            </w:pPr>
            <w:r>
              <w:rPr>
                <w:rFonts w:ascii="標楷體" w:eastAsia="標楷體" w:hAnsi="標楷體" w:cs="標楷體"/>
                <w:color w:val="000000"/>
                <w:sz w:val="20"/>
                <w:szCs w:val="20"/>
              </w:rPr>
              <w:t>自年月日</w:t>
            </w:r>
          </w:p>
        </w:tc>
        <w:tc>
          <w:tcPr>
            <w:tcW w:w="40" w:type="dxa"/>
            <w:shd w:val="clear" w:color="auto" w:fill="auto"/>
            <w:tcMar>
              <w:top w:w="0" w:type="dxa"/>
              <w:left w:w="10" w:type="dxa"/>
              <w:bottom w:w="0" w:type="dxa"/>
              <w:right w:w="10" w:type="dxa"/>
            </w:tcMar>
          </w:tcPr>
          <w:p w14:paraId="75334684" w14:textId="77777777" w:rsidR="00401786" w:rsidRDefault="00401786" w:rsidP="000E757E">
            <w:pPr>
              <w:snapToGrid w:val="0"/>
              <w:spacing w:line="240" w:lineRule="atLeast"/>
              <w:rPr>
                <w:rFonts w:ascii="標楷體" w:eastAsia="標楷體" w:hAnsi="標楷體"/>
              </w:rPr>
            </w:pPr>
          </w:p>
        </w:tc>
      </w:tr>
      <w:tr w:rsidR="00401786" w14:paraId="0C21A27B" w14:textId="77777777">
        <w:trPr>
          <w:cantSplit/>
          <w:jc w:val="center"/>
        </w:trPr>
        <w:tc>
          <w:tcPr>
            <w:tcW w:w="40" w:type="dxa"/>
            <w:shd w:val="clear" w:color="auto" w:fill="auto"/>
            <w:tcMar>
              <w:top w:w="0" w:type="dxa"/>
              <w:left w:w="10" w:type="dxa"/>
              <w:bottom w:w="0" w:type="dxa"/>
              <w:right w:w="10" w:type="dxa"/>
            </w:tcMar>
          </w:tcPr>
          <w:p w14:paraId="6C9E79A8"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AE13C6" w14:textId="77777777" w:rsidR="00401786" w:rsidRDefault="00C64FB3" w:rsidP="000E757E">
            <w:pPr>
              <w:snapToGrid w:val="0"/>
              <w:spacing w:line="240" w:lineRule="atLeast"/>
            </w:pPr>
            <w:r>
              <w:rPr>
                <w:rFonts w:ascii="標楷體" w:eastAsia="標楷體" w:hAnsi="標楷體" w:cs="標楷體"/>
                <w:color w:val="000000"/>
                <w:sz w:val="20"/>
                <w:szCs w:val="20"/>
              </w:rPr>
              <w:t>藥品代碼</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396294"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87A4D4" w14:textId="77777777" w:rsidR="00401786" w:rsidRDefault="00C64FB3" w:rsidP="000E757E">
            <w:pPr>
              <w:snapToGrid w:val="0"/>
              <w:spacing w:line="240" w:lineRule="atLeast"/>
            </w:pPr>
            <w:r>
              <w:rPr>
                <w:rFonts w:ascii="標楷體" w:eastAsia="標楷體" w:hAnsi="標楷體" w:cs="標楷體"/>
                <w:color w:val="000000"/>
                <w:sz w:val="20"/>
                <w:szCs w:val="20"/>
              </w:rPr>
              <w:t>用法用量</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CB236C"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1AA7DF" w14:textId="77777777" w:rsidR="00401786" w:rsidRDefault="00401786" w:rsidP="000E757E">
            <w:pPr>
              <w:snapToGrid w:val="0"/>
              <w:spacing w:line="240" w:lineRule="atLeast"/>
              <w:rPr>
                <w:rFonts w:ascii="標楷體" w:eastAsia="標楷體" w:hAnsi="標楷體"/>
                <w:color w:val="000000"/>
                <w:sz w:val="20"/>
                <w:szCs w:val="20"/>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A6F459" w14:textId="77777777" w:rsidR="00401786" w:rsidRDefault="00C64FB3" w:rsidP="000E757E">
            <w:pPr>
              <w:snapToGrid w:val="0"/>
              <w:spacing w:line="240" w:lineRule="atLeast"/>
            </w:pPr>
            <w:r>
              <w:rPr>
                <w:rFonts w:ascii="標楷體" w:eastAsia="標楷體" w:hAnsi="標楷體" w:cs="標楷體"/>
                <w:color w:val="000000"/>
                <w:sz w:val="20"/>
                <w:szCs w:val="20"/>
              </w:rPr>
              <w:t>至年月日</w:t>
            </w:r>
          </w:p>
        </w:tc>
        <w:tc>
          <w:tcPr>
            <w:tcW w:w="40" w:type="dxa"/>
            <w:shd w:val="clear" w:color="auto" w:fill="auto"/>
            <w:tcMar>
              <w:top w:w="0" w:type="dxa"/>
              <w:left w:w="10" w:type="dxa"/>
              <w:bottom w:w="0" w:type="dxa"/>
              <w:right w:w="10" w:type="dxa"/>
            </w:tcMar>
          </w:tcPr>
          <w:p w14:paraId="3DF8C81C" w14:textId="77777777" w:rsidR="00401786" w:rsidRDefault="00401786" w:rsidP="000E757E">
            <w:pPr>
              <w:snapToGrid w:val="0"/>
              <w:spacing w:line="240" w:lineRule="atLeast"/>
              <w:rPr>
                <w:rFonts w:ascii="標楷體" w:eastAsia="標楷體" w:hAnsi="標楷體"/>
              </w:rPr>
            </w:pPr>
          </w:p>
        </w:tc>
      </w:tr>
      <w:tr w:rsidR="00401786" w14:paraId="22612D14" w14:textId="77777777">
        <w:trPr>
          <w:cantSplit/>
          <w:trHeight w:val="2664"/>
          <w:jc w:val="center"/>
        </w:trPr>
        <w:tc>
          <w:tcPr>
            <w:tcW w:w="40" w:type="dxa"/>
            <w:shd w:val="clear" w:color="auto" w:fill="auto"/>
            <w:tcMar>
              <w:top w:w="0" w:type="dxa"/>
              <w:left w:w="10" w:type="dxa"/>
              <w:bottom w:w="0" w:type="dxa"/>
              <w:right w:w="10" w:type="dxa"/>
            </w:tcMar>
          </w:tcPr>
          <w:p w14:paraId="01630707" w14:textId="77777777" w:rsidR="00401786" w:rsidRDefault="00401786" w:rsidP="000E757E">
            <w:pPr>
              <w:snapToGrid w:val="0"/>
              <w:spacing w:line="240" w:lineRule="atLeast"/>
              <w:rPr>
                <w:rFonts w:ascii="標楷體" w:eastAsia="標楷體" w:hAnsi="標楷體"/>
              </w:rPr>
            </w:pPr>
          </w:p>
        </w:tc>
        <w:tc>
          <w:tcPr>
            <w:tcW w:w="9032"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114FD0" w14:textId="77777777" w:rsidR="00401786" w:rsidRDefault="00C64FB3">
            <w:pPr>
              <w:numPr>
                <w:ilvl w:val="0"/>
                <w:numId w:val="79"/>
              </w:numPr>
              <w:snapToGrid w:val="0"/>
              <w:spacing w:line="240" w:lineRule="atLeast"/>
            </w:pPr>
            <w:r>
              <w:rPr>
                <w:rFonts w:ascii="標楷體" w:eastAsia="標楷體" w:hAnsi="標楷體" w:cs="標楷體"/>
                <w:color w:val="000000"/>
              </w:rPr>
              <w:t>符合活動性多關節幼年型慢性關節炎之診斷：</w:t>
            </w:r>
          </w:p>
          <w:p w14:paraId="662FC836" w14:textId="77777777" w:rsidR="00401786" w:rsidRDefault="00C64FB3" w:rsidP="000E757E">
            <w:pPr>
              <w:autoSpaceDE w:val="0"/>
              <w:snapToGrid w:val="0"/>
              <w:spacing w:line="240" w:lineRule="atLeast"/>
              <w:ind w:left="360"/>
              <w:jc w:val="both"/>
            </w:pPr>
            <w:r>
              <w:rPr>
                <w:rFonts w:ascii="標楷體" w:eastAsia="標楷體" w:hAnsi="標楷體" w:cs="標楷體"/>
                <w:color w:val="000000"/>
              </w:rPr>
              <w:t>□</w:t>
            </w:r>
            <w:r>
              <w:rPr>
                <w:rFonts w:ascii="標楷體" w:eastAsia="標楷體" w:hAnsi="標楷體"/>
                <w:color w:val="000000"/>
              </w:rPr>
              <w:t>1.</w:t>
            </w:r>
            <w:r>
              <w:rPr>
                <w:rFonts w:ascii="標楷體" w:eastAsia="標楷體" w:hAnsi="標楷體" w:cs="標楷體"/>
                <w:color w:val="000000"/>
              </w:rPr>
              <w:t>全身性</w:t>
            </w:r>
            <w:r>
              <w:rPr>
                <w:rFonts w:ascii="標楷體" w:eastAsia="標楷體" w:hAnsi="標楷體"/>
                <w:color w:val="000000"/>
              </w:rPr>
              <w:t>(systemic)</w:t>
            </w:r>
          </w:p>
          <w:p w14:paraId="5220A944" w14:textId="77777777" w:rsidR="00401786" w:rsidRDefault="00C64FB3" w:rsidP="000E757E">
            <w:pPr>
              <w:autoSpaceDE w:val="0"/>
              <w:snapToGrid w:val="0"/>
              <w:spacing w:line="240" w:lineRule="atLeast"/>
              <w:ind w:left="360"/>
              <w:jc w:val="both"/>
            </w:pPr>
            <w:r>
              <w:rPr>
                <w:rFonts w:ascii="標楷體" w:eastAsia="標楷體" w:hAnsi="標楷體" w:cs="標楷體"/>
                <w:color w:val="000000"/>
              </w:rPr>
              <w:t>□</w:t>
            </w:r>
            <w:r>
              <w:rPr>
                <w:rFonts w:ascii="標楷體" w:eastAsia="標楷體" w:hAnsi="標楷體"/>
                <w:color w:val="000000"/>
              </w:rPr>
              <w:t>2.</w:t>
            </w:r>
            <w:r>
              <w:rPr>
                <w:rFonts w:ascii="標楷體" w:eastAsia="標楷體" w:hAnsi="標楷體" w:cs="標楷體"/>
                <w:color w:val="000000"/>
              </w:rPr>
              <w:t>多發性關節</w:t>
            </w:r>
            <w:r>
              <w:rPr>
                <w:rFonts w:ascii="標楷體" w:eastAsia="標楷體" w:hAnsi="標楷體"/>
                <w:color w:val="000000"/>
              </w:rPr>
              <w:t>炎(polyarticular)(</w:t>
            </w:r>
            <w:r>
              <w:rPr>
                <w:rFonts w:ascii="標楷體" w:eastAsia="標楷體" w:hAnsi="標楷體" w:cs="標楷體"/>
                <w:color w:val="000000"/>
              </w:rPr>
              <w:t>類風濕性因子陽性或陰性者皆可)</w:t>
            </w:r>
          </w:p>
          <w:p w14:paraId="4A0A73E3" w14:textId="77777777" w:rsidR="00401786" w:rsidRDefault="00C64FB3" w:rsidP="000E757E">
            <w:pPr>
              <w:autoSpaceDE w:val="0"/>
              <w:snapToGrid w:val="0"/>
              <w:spacing w:line="240" w:lineRule="atLeast"/>
              <w:ind w:left="360"/>
              <w:jc w:val="both"/>
            </w:pPr>
            <w:r>
              <w:rPr>
                <w:rFonts w:ascii="標楷體" w:eastAsia="標楷體" w:hAnsi="標楷體" w:cs="標楷體"/>
                <w:color w:val="000000"/>
              </w:rPr>
              <w:t>□</w:t>
            </w:r>
            <w:r>
              <w:rPr>
                <w:rFonts w:ascii="標楷體" w:eastAsia="標楷體" w:hAnsi="標楷體"/>
                <w:color w:val="000000"/>
              </w:rPr>
              <w:t>3.</w:t>
            </w:r>
            <w:r>
              <w:rPr>
                <w:rFonts w:ascii="標楷體" w:eastAsia="標楷體" w:hAnsi="標楷體" w:cs="標楷體"/>
                <w:color w:val="000000"/>
              </w:rPr>
              <w:t>擴散型的嚴</w:t>
            </w:r>
            <w:r>
              <w:rPr>
                <w:rFonts w:ascii="標楷體" w:eastAsia="標楷體" w:hAnsi="標楷體"/>
                <w:color w:val="000000"/>
              </w:rPr>
              <w:t>重少數關節炎(</w:t>
            </w:r>
            <w:proofErr w:type="spellStart"/>
            <w:r>
              <w:rPr>
                <w:rFonts w:ascii="標楷體" w:eastAsia="標楷體" w:hAnsi="標楷體"/>
                <w:color w:val="000000"/>
              </w:rPr>
              <w:t>extendedoligoarticular</w:t>
            </w:r>
            <w:proofErr w:type="spellEnd"/>
            <w:r>
              <w:rPr>
                <w:rFonts w:ascii="標楷體" w:eastAsia="標楷體" w:hAnsi="標楷體"/>
                <w:color w:val="000000"/>
              </w:rPr>
              <w:t>)</w:t>
            </w:r>
          </w:p>
          <w:p w14:paraId="0E0CB1AC" w14:textId="77777777" w:rsidR="00401786" w:rsidRDefault="00C64FB3" w:rsidP="000E757E">
            <w:pPr>
              <w:autoSpaceDE w:val="0"/>
              <w:snapToGrid w:val="0"/>
              <w:spacing w:line="240" w:lineRule="atLeast"/>
              <w:ind w:left="360"/>
              <w:jc w:val="both"/>
              <w:rPr>
                <w:rFonts w:ascii="標楷體" w:eastAsia="標楷體" w:hAnsi="標楷體"/>
                <w:color w:val="000000"/>
              </w:rPr>
            </w:pPr>
            <w:r>
              <w:rPr>
                <w:rFonts w:ascii="標楷體" w:eastAsia="標楷體" w:hAnsi="標楷體"/>
                <w:color w:val="000000"/>
              </w:rPr>
              <w:t>診斷條件：(請列出符合之臨床、血液及X光條件)</w:t>
            </w:r>
          </w:p>
        </w:tc>
        <w:tc>
          <w:tcPr>
            <w:tcW w:w="40" w:type="dxa"/>
            <w:shd w:val="clear" w:color="auto" w:fill="auto"/>
            <w:tcMar>
              <w:top w:w="0" w:type="dxa"/>
              <w:left w:w="10" w:type="dxa"/>
              <w:bottom w:w="0" w:type="dxa"/>
              <w:right w:w="10" w:type="dxa"/>
            </w:tcMar>
          </w:tcPr>
          <w:p w14:paraId="1808BDAC" w14:textId="77777777" w:rsidR="00401786" w:rsidRDefault="00401786" w:rsidP="000E757E">
            <w:pPr>
              <w:autoSpaceDE w:val="0"/>
              <w:snapToGrid w:val="0"/>
              <w:spacing w:line="240" w:lineRule="atLeast"/>
              <w:ind w:left="360"/>
              <w:jc w:val="both"/>
              <w:rPr>
                <w:rFonts w:ascii="標楷體" w:eastAsia="標楷體" w:hAnsi="標楷體"/>
                <w:color w:val="000000"/>
              </w:rPr>
            </w:pPr>
          </w:p>
        </w:tc>
      </w:tr>
      <w:tr w:rsidR="00401786" w14:paraId="2F446659" w14:textId="77777777">
        <w:trPr>
          <w:cantSplit/>
          <w:jc w:val="center"/>
        </w:trPr>
        <w:tc>
          <w:tcPr>
            <w:tcW w:w="40" w:type="dxa"/>
            <w:shd w:val="clear" w:color="auto" w:fill="auto"/>
            <w:tcMar>
              <w:top w:w="0" w:type="dxa"/>
              <w:left w:w="10" w:type="dxa"/>
              <w:bottom w:w="0" w:type="dxa"/>
              <w:right w:w="10" w:type="dxa"/>
            </w:tcMar>
          </w:tcPr>
          <w:p w14:paraId="050B1795" w14:textId="77777777" w:rsidR="00401786" w:rsidRDefault="00401786" w:rsidP="000E757E">
            <w:pPr>
              <w:snapToGrid w:val="0"/>
              <w:spacing w:line="240" w:lineRule="atLeast"/>
              <w:rPr>
                <w:rFonts w:ascii="標楷體" w:eastAsia="標楷體" w:hAnsi="標楷體"/>
              </w:rPr>
            </w:pPr>
          </w:p>
        </w:tc>
        <w:tc>
          <w:tcPr>
            <w:tcW w:w="9032"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947544" w14:textId="77777777" w:rsidR="00401786" w:rsidRDefault="00C64FB3" w:rsidP="000E757E">
            <w:pPr>
              <w:snapToGrid w:val="0"/>
              <w:spacing w:line="240" w:lineRule="atLeast"/>
            </w:pPr>
            <w:r>
              <w:rPr>
                <w:rFonts w:ascii="標楷體" w:eastAsia="標楷體" w:hAnsi="標楷體" w:cs="標楷體"/>
                <w:color w:val="000000"/>
              </w:rPr>
              <w:t>符合活動性多關節炎標準</w:t>
            </w:r>
            <w:r>
              <w:rPr>
                <w:rFonts w:ascii="標楷體" w:eastAsia="標楷體" w:hAnsi="標楷體" w:cs="標楷體"/>
                <w:color w:val="000000"/>
                <w:sz w:val="20"/>
                <w:szCs w:val="20"/>
              </w:rPr>
              <w:t>（請附治療前後關節腫脹之相關照片或關節X光檢查報告）</w:t>
            </w:r>
          </w:p>
        </w:tc>
        <w:tc>
          <w:tcPr>
            <w:tcW w:w="40" w:type="dxa"/>
            <w:shd w:val="clear" w:color="auto" w:fill="auto"/>
            <w:tcMar>
              <w:top w:w="0" w:type="dxa"/>
              <w:left w:w="10" w:type="dxa"/>
              <w:bottom w:w="0" w:type="dxa"/>
              <w:right w:w="10" w:type="dxa"/>
            </w:tcMar>
          </w:tcPr>
          <w:p w14:paraId="7B6365C6" w14:textId="77777777" w:rsidR="00401786" w:rsidRDefault="00401786" w:rsidP="000E757E">
            <w:pPr>
              <w:snapToGrid w:val="0"/>
              <w:spacing w:line="240" w:lineRule="atLeast"/>
              <w:rPr>
                <w:rFonts w:ascii="標楷體" w:eastAsia="標楷體" w:hAnsi="標楷體"/>
              </w:rPr>
            </w:pPr>
          </w:p>
        </w:tc>
      </w:tr>
      <w:tr w:rsidR="00401786" w14:paraId="0A38F987" w14:textId="77777777">
        <w:trPr>
          <w:trHeight w:val="315"/>
          <w:jc w:val="center"/>
        </w:trPr>
        <w:tc>
          <w:tcPr>
            <w:tcW w:w="40" w:type="dxa"/>
            <w:shd w:val="clear" w:color="auto" w:fill="auto"/>
            <w:tcMar>
              <w:top w:w="0" w:type="dxa"/>
              <w:left w:w="10" w:type="dxa"/>
              <w:bottom w:w="0" w:type="dxa"/>
              <w:right w:w="10" w:type="dxa"/>
            </w:tcMar>
          </w:tcPr>
          <w:p w14:paraId="6E174344" w14:textId="77777777" w:rsidR="00401786" w:rsidRDefault="00401786" w:rsidP="000E757E">
            <w:pPr>
              <w:snapToGrid w:val="0"/>
              <w:spacing w:line="240" w:lineRule="atLeast"/>
              <w:rPr>
                <w:rFonts w:ascii="標楷體" w:eastAsia="標楷體" w:hAnsi="標楷體"/>
                <w:color w:val="000000"/>
                <w:sz w:val="20"/>
                <w:szCs w:val="20"/>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7C66DE" w14:textId="77777777" w:rsidR="00401786" w:rsidRDefault="00401786" w:rsidP="000E757E">
            <w:pPr>
              <w:snapToGrid w:val="0"/>
              <w:spacing w:line="240" w:lineRule="atLeast"/>
              <w:rPr>
                <w:rFonts w:ascii="標楷體" w:eastAsia="標楷體" w:hAnsi="標楷體"/>
                <w:color w:val="000000"/>
                <w:sz w:val="20"/>
                <w:szCs w:val="2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82FA22" w14:textId="77777777" w:rsidR="00401786" w:rsidRDefault="00C64FB3" w:rsidP="000E757E">
            <w:pPr>
              <w:snapToGrid w:val="0"/>
              <w:spacing w:line="240" w:lineRule="atLeast"/>
            </w:pPr>
            <w:r>
              <w:rPr>
                <w:rFonts w:ascii="標楷體" w:eastAsia="標楷體" w:hAnsi="標楷體" w:cs="標楷體"/>
                <w:color w:val="000000"/>
                <w:sz w:val="20"/>
                <w:szCs w:val="20"/>
              </w:rPr>
              <w:t>評估時間____年____月____日</w:t>
            </w: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C2DFFD" w14:textId="77777777" w:rsidR="00401786" w:rsidRDefault="00C64FB3" w:rsidP="000E757E">
            <w:pPr>
              <w:snapToGrid w:val="0"/>
              <w:spacing w:line="240" w:lineRule="atLeast"/>
            </w:pPr>
            <w:r>
              <w:rPr>
                <w:rFonts w:ascii="標楷體" w:eastAsia="標楷體" w:hAnsi="標楷體" w:cs="標楷體"/>
                <w:color w:val="000000"/>
                <w:sz w:val="20"/>
                <w:szCs w:val="20"/>
              </w:rPr>
              <w:t>評估時間____年____月____日</w:t>
            </w:r>
          </w:p>
        </w:tc>
        <w:tc>
          <w:tcPr>
            <w:tcW w:w="40" w:type="dxa"/>
            <w:shd w:val="clear" w:color="auto" w:fill="auto"/>
            <w:tcMar>
              <w:top w:w="0" w:type="dxa"/>
              <w:left w:w="10" w:type="dxa"/>
              <w:bottom w:w="0" w:type="dxa"/>
              <w:right w:w="10" w:type="dxa"/>
            </w:tcMar>
          </w:tcPr>
          <w:p w14:paraId="7617CDA4" w14:textId="77777777" w:rsidR="00401786" w:rsidRDefault="00401786" w:rsidP="000E757E">
            <w:pPr>
              <w:snapToGrid w:val="0"/>
              <w:spacing w:line="240" w:lineRule="atLeast"/>
              <w:rPr>
                <w:rFonts w:ascii="標楷體" w:eastAsia="標楷體" w:hAnsi="標楷體"/>
              </w:rPr>
            </w:pPr>
          </w:p>
        </w:tc>
      </w:tr>
      <w:tr w:rsidR="00401786" w14:paraId="3682F89E" w14:textId="77777777">
        <w:trPr>
          <w:cantSplit/>
          <w:trHeight w:val="1380"/>
          <w:jc w:val="center"/>
        </w:trPr>
        <w:tc>
          <w:tcPr>
            <w:tcW w:w="40" w:type="dxa"/>
            <w:shd w:val="clear" w:color="auto" w:fill="auto"/>
            <w:tcMar>
              <w:top w:w="0" w:type="dxa"/>
              <w:left w:w="10" w:type="dxa"/>
              <w:bottom w:w="0" w:type="dxa"/>
              <w:right w:w="10" w:type="dxa"/>
            </w:tcMar>
          </w:tcPr>
          <w:p w14:paraId="46C967B7"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CAFBF" w14:textId="77777777" w:rsidR="00401786" w:rsidRDefault="00C64FB3" w:rsidP="000E757E">
            <w:pPr>
              <w:snapToGrid w:val="0"/>
              <w:spacing w:line="240" w:lineRule="atLeast"/>
            </w:pPr>
            <w:r>
              <w:rPr>
                <w:rFonts w:ascii="標楷體" w:eastAsia="標楷體" w:hAnsi="標楷體" w:cs="標楷體"/>
                <w:color w:val="000000"/>
              </w:rPr>
              <w:t>腫脹關節</w:t>
            </w:r>
          </w:p>
          <w:p w14:paraId="110F0B2E" w14:textId="77777777" w:rsidR="00401786" w:rsidRDefault="00401786" w:rsidP="000E757E">
            <w:pPr>
              <w:snapToGrid w:val="0"/>
              <w:spacing w:line="240" w:lineRule="atLeast"/>
              <w:rPr>
                <w:rFonts w:ascii="標楷體" w:eastAsia="標楷體" w:hAnsi="標楷體"/>
                <w:color w:val="000000"/>
              </w:rPr>
            </w:pPr>
          </w:p>
          <w:p w14:paraId="092CA08E" w14:textId="77777777" w:rsidR="00401786" w:rsidRDefault="00401786" w:rsidP="000E757E">
            <w:pPr>
              <w:snapToGrid w:val="0"/>
              <w:spacing w:line="240" w:lineRule="atLeast"/>
              <w:rPr>
                <w:rFonts w:ascii="標楷體" w:eastAsia="標楷體" w:hAnsi="標楷體"/>
                <w:color w:val="000000"/>
              </w:rPr>
            </w:pPr>
          </w:p>
          <w:p w14:paraId="10182DF2" w14:textId="77777777" w:rsidR="00401786" w:rsidRDefault="00401786" w:rsidP="000E757E">
            <w:pPr>
              <w:snapToGrid w:val="0"/>
              <w:spacing w:line="240" w:lineRule="atLeast"/>
              <w:rPr>
                <w:rFonts w:ascii="標楷體" w:eastAsia="標楷體" w:hAnsi="標楷體"/>
                <w:color w:val="000000"/>
              </w:rPr>
            </w:pPr>
          </w:p>
          <w:p w14:paraId="0AA765E6" w14:textId="77777777" w:rsidR="00401786" w:rsidRDefault="00401786" w:rsidP="000E757E">
            <w:pPr>
              <w:snapToGrid w:val="0"/>
              <w:spacing w:line="240" w:lineRule="atLeast"/>
              <w:rPr>
                <w:rFonts w:ascii="標楷體" w:eastAsia="標楷體" w:hAnsi="標楷體"/>
                <w:color w:val="00000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CD8E2"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49193602" w14:textId="77777777" w:rsidR="00401786" w:rsidRDefault="00401786" w:rsidP="000E757E">
            <w:pPr>
              <w:snapToGrid w:val="0"/>
              <w:spacing w:line="240" w:lineRule="atLeast"/>
              <w:rPr>
                <w:rFonts w:ascii="標楷體" w:eastAsia="標楷體" w:hAnsi="標楷體"/>
                <w:color w:val="000000"/>
              </w:rPr>
            </w:pPr>
          </w:p>
          <w:p w14:paraId="6739D7BF" w14:textId="77777777" w:rsidR="00401786" w:rsidRDefault="00401786" w:rsidP="000E757E">
            <w:pPr>
              <w:snapToGrid w:val="0"/>
              <w:spacing w:line="240" w:lineRule="atLeast"/>
              <w:rPr>
                <w:rFonts w:ascii="標楷體" w:eastAsia="標楷體" w:hAnsi="標楷體"/>
                <w:color w:val="000000"/>
              </w:rPr>
            </w:pPr>
          </w:p>
          <w:p w14:paraId="31169F3E"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E7D3BB"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17B28E58" w14:textId="77777777" w:rsidR="00401786" w:rsidRDefault="00401786" w:rsidP="000E757E">
            <w:pPr>
              <w:snapToGrid w:val="0"/>
              <w:spacing w:line="240" w:lineRule="atLeast"/>
              <w:rPr>
                <w:rFonts w:ascii="標楷體" w:eastAsia="標楷體" w:hAnsi="標楷體"/>
                <w:color w:val="000000"/>
              </w:rPr>
            </w:pPr>
          </w:p>
          <w:p w14:paraId="380B7E8A" w14:textId="77777777" w:rsidR="00401786" w:rsidRDefault="00401786" w:rsidP="000E757E">
            <w:pPr>
              <w:snapToGrid w:val="0"/>
              <w:spacing w:line="240" w:lineRule="atLeast"/>
              <w:rPr>
                <w:rFonts w:ascii="標楷體" w:eastAsia="標楷體" w:hAnsi="標楷體"/>
                <w:color w:val="000000"/>
              </w:rPr>
            </w:pPr>
          </w:p>
          <w:p w14:paraId="2C02534B"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04231F2" w14:textId="77777777" w:rsidR="00401786" w:rsidRDefault="00401786" w:rsidP="000E757E">
            <w:pPr>
              <w:snapToGrid w:val="0"/>
              <w:spacing w:line="240" w:lineRule="atLeast"/>
              <w:rPr>
                <w:rFonts w:ascii="標楷體" w:eastAsia="標楷體" w:hAnsi="標楷體"/>
                <w:color w:val="000000"/>
              </w:rPr>
            </w:pPr>
          </w:p>
        </w:tc>
      </w:tr>
      <w:tr w:rsidR="00401786" w14:paraId="1E22366F" w14:textId="77777777">
        <w:trPr>
          <w:cantSplit/>
          <w:trHeight w:val="1346"/>
          <w:jc w:val="center"/>
        </w:trPr>
        <w:tc>
          <w:tcPr>
            <w:tcW w:w="40" w:type="dxa"/>
            <w:shd w:val="clear" w:color="auto" w:fill="auto"/>
            <w:tcMar>
              <w:top w:w="0" w:type="dxa"/>
              <w:left w:w="10" w:type="dxa"/>
              <w:bottom w:w="0" w:type="dxa"/>
              <w:right w:w="10" w:type="dxa"/>
            </w:tcMar>
          </w:tcPr>
          <w:p w14:paraId="598887DC"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D0E12E" w14:textId="77777777" w:rsidR="00401786" w:rsidRDefault="00C64FB3" w:rsidP="000E757E">
            <w:pPr>
              <w:snapToGrid w:val="0"/>
              <w:spacing w:line="240" w:lineRule="atLeast"/>
            </w:pPr>
            <w:r>
              <w:rPr>
                <w:rFonts w:ascii="標楷體" w:eastAsia="標楷體" w:hAnsi="標楷體" w:cs="標楷體"/>
                <w:color w:val="000000"/>
              </w:rPr>
              <w:t>疼痛或壓痛關節</w:t>
            </w:r>
          </w:p>
          <w:p w14:paraId="195B8EE2" w14:textId="77777777" w:rsidR="00401786" w:rsidRDefault="00401786" w:rsidP="000E757E">
            <w:pPr>
              <w:snapToGrid w:val="0"/>
              <w:spacing w:line="240" w:lineRule="atLeast"/>
              <w:rPr>
                <w:rFonts w:ascii="標楷體" w:eastAsia="標楷體" w:hAnsi="標楷體"/>
                <w:color w:val="000000"/>
              </w:rPr>
            </w:pPr>
          </w:p>
          <w:p w14:paraId="68854087" w14:textId="77777777" w:rsidR="00401786" w:rsidRDefault="00401786" w:rsidP="000E757E">
            <w:pPr>
              <w:snapToGrid w:val="0"/>
              <w:spacing w:line="240" w:lineRule="atLeast"/>
              <w:rPr>
                <w:rFonts w:ascii="標楷體" w:eastAsia="標楷體" w:hAnsi="標楷體"/>
                <w:color w:val="000000"/>
              </w:rPr>
            </w:pPr>
          </w:p>
          <w:p w14:paraId="5B095F5F" w14:textId="77777777" w:rsidR="00401786" w:rsidRDefault="00401786" w:rsidP="000E757E">
            <w:pPr>
              <w:snapToGrid w:val="0"/>
              <w:spacing w:line="240" w:lineRule="atLeast"/>
              <w:rPr>
                <w:rFonts w:ascii="標楷體" w:eastAsia="標楷體" w:hAnsi="標楷體"/>
                <w:color w:val="000000"/>
              </w:rPr>
            </w:pPr>
          </w:p>
          <w:p w14:paraId="119CA1AC" w14:textId="77777777" w:rsidR="00401786" w:rsidRDefault="00401786" w:rsidP="000E757E">
            <w:pPr>
              <w:snapToGrid w:val="0"/>
              <w:spacing w:line="240" w:lineRule="atLeast"/>
              <w:rPr>
                <w:rFonts w:ascii="標楷體" w:eastAsia="標楷體" w:hAnsi="標楷體"/>
                <w:color w:val="00000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F2F503"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43AE5067" w14:textId="77777777" w:rsidR="00401786" w:rsidRDefault="00401786" w:rsidP="000E757E">
            <w:pPr>
              <w:snapToGrid w:val="0"/>
              <w:spacing w:line="240" w:lineRule="atLeast"/>
              <w:rPr>
                <w:rFonts w:ascii="標楷體" w:eastAsia="標楷體" w:hAnsi="標楷體"/>
                <w:color w:val="000000"/>
              </w:rPr>
            </w:pPr>
          </w:p>
          <w:p w14:paraId="114F50DE" w14:textId="77777777" w:rsidR="00401786" w:rsidRDefault="00401786" w:rsidP="000E757E">
            <w:pPr>
              <w:snapToGrid w:val="0"/>
              <w:spacing w:line="240" w:lineRule="atLeast"/>
              <w:rPr>
                <w:rFonts w:ascii="標楷體" w:eastAsia="標楷體" w:hAnsi="標楷體"/>
                <w:color w:val="000000"/>
              </w:rPr>
            </w:pPr>
          </w:p>
          <w:p w14:paraId="2ADE1922"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7707F1"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6278732D" w14:textId="77777777" w:rsidR="00401786" w:rsidRDefault="00401786" w:rsidP="000E757E">
            <w:pPr>
              <w:snapToGrid w:val="0"/>
              <w:spacing w:line="240" w:lineRule="atLeast"/>
              <w:rPr>
                <w:rFonts w:ascii="標楷體" w:eastAsia="標楷體" w:hAnsi="標楷體"/>
                <w:color w:val="000000"/>
              </w:rPr>
            </w:pPr>
          </w:p>
          <w:p w14:paraId="41E78241" w14:textId="77777777" w:rsidR="00401786" w:rsidRDefault="00401786" w:rsidP="000E757E">
            <w:pPr>
              <w:snapToGrid w:val="0"/>
              <w:spacing w:line="240" w:lineRule="atLeast"/>
              <w:rPr>
                <w:rFonts w:ascii="標楷體" w:eastAsia="標楷體" w:hAnsi="標楷體"/>
                <w:color w:val="000000"/>
              </w:rPr>
            </w:pPr>
          </w:p>
          <w:p w14:paraId="697CC995"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34E4E64" w14:textId="77777777" w:rsidR="00401786" w:rsidRDefault="00401786" w:rsidP="000E757E">
            <w:pPr>
              <w:snapToGrid w:val="0"/>
              <w:spacing w:line="240" w:lineRule="atLeast"/>
              <w:rPr>
                <w:rFonts w:ascii="標楷體" w:eastAsia="標楷體" w:hAnsi="標楷體"/>
                <w:color w:val="000000"/>
              </w:rPr>
            </w:pPr>
          </w:p>
        </w:tc>
      </w:tr>
      <w:tr w:rsidR="00401786" w14:paraId="07DD5C36" w14:textId="77777777">
        <w:trPr>
          <w:cantSplit/>
          <w:trHeight w:val="1310"/>
          <w:jc w:val="center"/>
        </w:trPr>
        <w:tc>
          <w:tcPr>
            <w:tcW w:w="40" w:type="dxa"/>
            <w:shd w:val="clear" w:color="auto" w:fill="auto"/>
            <w:tcMar>
              <w:top w:w="0" w:type="dxa"/>
              <w:left w:w="10" w:type="dxa"/>
              <w:bottom w:w="0" w:type="dxa"/>
              <w:right w:w="10" w:type="dxa"/>
            </w:tcMar>
          </w:tcPr>
          <w:p w14:paraId="218F0D94"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08A4A9" w14:textId="77777777" w:rsidR="00401786" w:rsidRDefault="00C64FB3" w:rsidP="000E757E">
            <w:pPr>
              <w:snapToGrid w:val="0"/>
              <w:spacing w:line="240" w:lineRule="atLeast"/>
            </w:pPr>
            <w:r>
              <w:rPr>
                <w:rFonts w:ascii="標楷體" w:eastAsia="標楷體" w:hAnsi="標楷體" w:cs="標楷體"/>
                <w:color w:val="000000"/>
              </w:rPr>
              <w:t>活動範圍受到限制關節</w:t>
            </w:r>
          </w:p>
          <w:p w14:paraId="4EA19C38" w14:textId="77777777" w:rsidR="00401786" w:rsidRDefault="00401786" w:rsidP="000E757E">
            <w:pPr>
              <w:snapToGrid w:val="0"/>
              <w:spacing w:line="240" w:lineRule="atLeast"/>
              <w:rPr>
                <w:rFonts w:ascii="標楷體" w:eastAsia="標楷體" w:hAnsi="標楷體"/>
                <w:color w:val="000000"/>
              </w:rPr>
            </w:pPr>
          </w:p>
          <w:p w14:paraId="28F2EC5C" w14:textId="77777777" w:rsidR="00401786" w:rsidRDefault="00401786" w:rsidP="000E757E">
            <w:pPr>
              <w:snapToGrid w:val="0"/>
              <w:spacing w:line="240" w:lineRule="atLeast"/>
              <w:rPr>
                <w:rFonts w:ascii="標楷體" w:eastAsia="標楷體" w:hAnsi="標楷體"/>
                <w:color w:val="000000"/>
              </w:rPr>
            </w:pPr>
          </w:p>
          <w:p w14:paraId="0A623B00" w14:textId="77777777" w:rsidR="00401786" w:rsidRDefault="00401786" w:rsidP="000E757E">
            <w:pPr>
              <w:snapToGrid w:val="0"/>
              <w:spacing w:line="240" w:lineRule="atLeast"/>
              <w:rPr>
                <w:rFonts w:ascii="標楷體" w:eastAsia="標楷體" w:hAnsi="標楷體"/>
                <w:color w:val="000000"/>
              </w:rPr>
            </w:pPr>
          </w:p>
          <w:p w14:paraId="757E1D9A" w14:textId="77777777" w:rsidR="00401786" w:rsidRDefault="00401786" w:rsidP="000E757E">
            <w:pPr>
              <w:snapToGrid w:val="0"/>
              <w:spacing w:line="240" w:lineRule="atLeast"/>
              <w:rPr>
                <w:rFonts w:ascii="標楷體" w:eastAsia="標楷體" w:hAnsi="標楷體"/>
                <w:color w:val="00000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429C67" w14:textId="77777777" w:rsidR="00401786" w:rsidRDefault="00C64FB3" w:rsidP="000E757E">
            <w:pPr>
              <w:snapToGrid w:val="0"/>
              <w:spacing w:line="240" w:lineRule="atLeast"/>
            </w:pPr>
            <w:r>
              <w:rPr>
                <w:rFonts w:ascii="標楷體" w:eastAsia="標楷體" w:hAnsi="標楷體" w:cs="標楷體"/>
                <w:color w:val="000000"/>
              </w:rPr>
              <w:t>請詳列關節於下</w:t>
            </w: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6CDD8" w14:textId="77777777" w:rsidR="00401786" w:rsidRDefault="00C64FB3" w:rsidP="000E757E">
            <w:pPr>
              <w:snapToGrid w:val="0"/>
              <w:spacing w:line="240" w:lineRule="atLeast"/>
            </w:pPr>
            <w:r>
              <w:rPr>
                <w:rFonts w:ascii="標楷體" w:eastAsia="標楷體" w:hAnsi="標楷體" w:cs="標楷體"/>
                <w:color w:val="000000"/>
              </w:rPr>
              <w:t>請詳列關節於下</w:t>
            </w:r>
          </w:p>
        </w:tc>
        <w:tc>
          <w:tcPr>
            <w:tcW w:w="40" w:type="dxa"/>
            <w:shd w:val="clear" w:color="auto" w:fill="auto"/>
            <w:tcMar>
              <w:top w:w="0" w:type="dxa"/>
              <w:left w:w="10" w:type="dxa"/>
              <w:bottom w:w="0" w:type="dxa"/>
              <w:right w:w="10" w:type="dxa"/>
            </w:tcMar>
          </w:tcPr>
          <w:p w14:paraId="78C3BAAC" w14:textId="77777777" w:rsidR="00401786" w:rsidRDefault="00401786" w:rsidP="000E757E">
            <w:pPr>
              <w:snapToGrid w:val="0"/>
              <w:spacing w:line="240" w:lineRule="atLeast"/>
              <w:rPr>
                <w:rFonts w:ascii="標楷體" w:eastAsia="標楷體" w:hAnsi="標楷體"/>
              </w:rPr>
            </w:pPr>
          </w:p>
        </w:tc>
      </w:tr>
      <w:tr w:rsidR="00401786" w14:paraId="458B7E81" w14:textId="77777777">
        <w:trPr>
          <w:cantSplit/>
          <w:trHeight w:val="632"/>
          <w:jc w:val="center"/>
        </w:trPr>
        <w:tc>
          <w:tcPr>
            <w:tcW w:w="40" w:type="dxa"/>
            <w:shd w:val="clear" w:color="auto" w:fill="auto"/>
            <w:tcMar>
              <w:top w:w="0" w:type="dxa"/>
              <w:left w:w="10" w:type="dxa"/>
              <w:bottom w:w="0" w:type="dxa"/>
              <w:right w:w="10" w:type="dxa"/>
            </w:tcMar>
          </w:tcPr>
          <w:p w14:paraId="522743AE"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5C4FAA" w14:textId="77777777" w:rsidR="00401786" w:rsidRDefault="00C64FB3" w:rsidP="000E757E">
            <w:pPr>
              <w:snapToGrid w:val="0"/>
              <w:spacing w:line="240" w:lineRule="atLeast"/>
            </w:pPr>
            <w:r>
              <w:rPr>
                <w:rFonts w:ascii="標楷體" w:eastAsia="標楷體" w:hAnsi="標楷體" w:cs="標楷體"/>
                <w:color w:val="000000"/>
              </w:rPr>
              <w:t>腫脹關節的總數</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690459"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D8B122"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2104749" w14:textId="77777777" w:rsidR="00401786" w:rsidRDefault="00401786" w:rsidP="000E757E">
            <w:pPr>
              <w:snapToGrid w:val="0"/>
              <w:spacing w:line="240" w:lineRule="atLeast"/>
              <w:rPr>
                <w:rFonts w:ascii="標楷體" w:eastAsia="標楷體" w:hAnsi="標楷體"/>
                <w:color w:val="000000"/>
              </w:rPr>
            </w:pPr>
          </w:p>
        </w:tc>
      </w:tr>
      <w:tr w:rsidR="00401786" w14:paraId="17C4B568" w14:textId="77777777">
        <w:trPr>
          <w:cantSplit/>
          <w:trHeight w:val="708"/>
          <w:jc w:val="center"/>
        </w:trPr>
        <w:tc>
          <w:tcPr>
            <w:tcW w:w="40" w:type="dxa"/>
            <w:shd w:val="clear" w:color="auto" w:fill="auto"/>
            <w:tcMar>
              <w:top w:w="0" w:type="dxa"/>
              <w:left w:w="10" w:type="dxa"/>
              <w:bottom w:w="0" w:type="dxa"/>
              <w:right w:w="10" w:type="dxa"/>
            </w:tcMar>
          </w:tcPr>
          <w:p w14:paraId="1381038B"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71AC75" w14:textId="77777777" w:rsidR="00401786" w:rsidRDefault="00C64FB3" w:rsidP="000E757E">
            <w:pPr>
              <w:snapToGrid w:val="0"/>
              <w:spacing w:line="240" w:lineRule="atLeast"/>
            </w:pPr>
            <w:r>
              <w:rPr>
                <w:rFonts w:ascii="標楷體" w:eastAsia="標楷體" w:hAnsi="標楷體" w:cs="標楷體"/>
                <w:color w:val="000000"/>
              </w:rPr>
              <w:t>疼痛或壓痛關節的總數</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F1F0DA"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B1A7B2"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547B42F6" w14:textId="77777777" w:rsidR="00401786" w:rsidRDefault="00401786" w:rsidP="000E757E">
            <w:pPr>
              <w:snapToGrid w:val="0"/>
              <w:spacing w:line="240" w:lineRule="atLeast"/>
              <w:rPr>
                <w:rFonts w:ascii="標楷體" w:eastAsia="標楷體" w:hAnsi="標楷體"/>
                <w:color w:val="000000"/>
              </w:rPr>
            </w:pPr>
          </w:p>
        </w:tc>
      </w:tr>
      <w:tr w:rsidR="00401786" w14:paraId="0A62BF47" w14:textId="77777777">
        <w:trPr>
          <w:cantSplit/>
          <w:trHeight w:val="360"/>
          <w:jc w:val="center"/>
        </w:trPr>
        <w:tc>
          <w:tcPr>
            <w:tcW w:w="40" w:type="dxa"/>
            <w:shd w:val="clear" w:color="auto" w:fill="auto"/>
            <w:tcMar>
              <w:top w:w="0" w:type="dxa"/>
              <w:left w:w="10" w:type="dxa"/>
              <w:bottom w:w="0" w:type="dxa"/>
              <w:right w:w="10" w:type="dxa"/>
            </w:tcMar>
          </w:tcPr>
          <w:p w14:paraId="707008AE"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09FA5E" w14:textId="77777777" w:rsidR="00401786" w:rsidRDefault="00C64FB3" w:rsidP="000E757E">
            <w:pPr>
              <w:snapToGrid w:val="0"/>
              <w:spacing w:line="240" w:lineRule="atLeast"/>
            </w:pPr>
            <w:r>
              <w:rPr>
                <w:rFonts w:ascii="標楷體" w:eastAsia="標楷體" w:hAnsi="標楷體" w:cs="標楷體"/>
                <w:color w:val="000000"/>
              </w:rPr>
              <w:t>活動範圍受到限制的關節總數</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D6A511"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874A80"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C41FBB8" w14:textId="77777777" w:rsidR="00401786" w:rsidRDefault="00401786" w:rsidP="000E757E">
            <w:pPr>
              <w:snapToGrid w:val="0"/>
              <w:spacing w:line="240" w:lineRule="atLeast"/>
              <w:rPr>
                <w:rFonts w:ascii="標楷體" w:eastAsia="標楷體" w:hAnsi="標楷體"/>
                <w:color w:val="000000"/>
              </w:rPr>
            </w:pPr>
          </w:p>
        </w:tc>
      </w:tr>
      <w:tr w:rsidR="00401786" w14:paraId="0270E569" w14:textId="77777777">
        <w:trPr>
          <w:cantSplit/>
          <w:trHeight w:val="614"/>
          <w:jc w:val="center"/>
        </w:trPr>
        <w:tc>
          <w:tcPr>
            <w:tcW w:w="40" w:type="dxa"/>
            <w:shd w:val="clear" w:color="auto" w:fill="auto"/>
            <w:tcMar>
              <w:top w:w="0" w:type="dxa"/>
              <w:left w:w="10" w:type="dxa"/>
              <w:bottom w:w="0" w:type="dxa"/>
              <w:right w:w="10" w:type="dxa"/>
            </w:tcMar>
          </w:tcPr>
          <w:p w14:paraId="0950BCF8"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6E3614" w14:textId="77777777" w:rsidR="00401786" w:rsidRDefault="00C64FB3" w:rsidP="000E757E">
            <w:pPr>
              <w:snapToGrid w:val="0"/>
              <w:spacing w:line="240" w:lineRule="atLeast"/>
            </w:pPr>
            <w:r>
              <w:rPr>
                <w:rFonts w:ascii="標楷體" w:eastAsia="標楷體" w:hAnsi="標楷體" w:cs="標楷體"/>
                <w:color w:val="000000"/>
              </w:rPr>
              <w:t>醫師的整體評估</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1DA21E"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E10E52"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7EF4D30" w14:textId="77777777" w:rsidR="00401786" w:rsidRDefault="00401786" w:rsidP="000E757E">
            <w:pPr>
              <w:snapToGrid w:val="0"/>
              <w:spacing w:line="240" w:lineRule="atLeast"/>
              <w:rPr>
                <w:rFonts w:ascii="標楷體" w:eastAsia="標楷體" w:hAnsi="標楷體"/>
                <w:color w:val="000000"/>
              </w:rPr>
            </w:pPr>
          </w:p>
        </w:tc>
      </w:tr>
      <w:tr w:rsidR="00401786" w14:paraId="685811CA" w14:textId="77777777">
        <w:trPr>
          <w:trHeight w:val="553"/>
          <w:jc w:val="center"/>
        </w:trPr>
        <w:tc>
          <w:tcPr>
            <w:tcW w:w="40" w:type="dxa"/>
            <w:shd w:val="clear" w:color="auto" w:fill="auto"/>
            <w:tcMar>
              <w:top w:w="0" w:type="dxa"/>
              <w:left w:w="10" w:type="dxa"/>
              <w:bottom w:w="0" w:type="dxa"/>
              <w:right w:w="10" w:type="dxa"/>
            </w:tcMar>
          </w:tcPr>
          <w:p w14:paraId="401D9EBF" w14:textId="77777777" w:rsidR="00401786" w:rsidRDefault="00401786" w:rsidP="000E757E">
            <w:pPr>
              <w:snapToGrid w:val="0"/>
              <w:spacing w:line="240" w:lineRule="atLeast"/>
              <w:rPr>
                <w:rFonts w:ascii="標楷體" w:eastAsia="標楷體" w:hAnsi="標楷體"/>
                <w:color w:val="000000"/>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5FE8AB"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紅血球沈降速率(ESR)</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6DCC73" w14:textId="77777777" w:rsidR="00401786" w:rsidRDefault="00401786" w:rsidP="000E757E">
            <w:pPr>
              <w:snapToGrid w:val="0"/>
              <w:spacing w:line="240" w:lineRule="atLeast"/>
              <w:rPr>
                <w:rFonts w:ascii="標楷體" w:eastAsia="標楷體" w:hAnsi="標楷體" w:cs="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4939EF" w14:textId="77777777" w:rsidR="00401786" w:rsidRDefault="00401786" w:rsidP="000E757E">
            <w:pPr>
              <w:snapToGrid w:val="0"/>
              <w:spacing w:line="240" w:lineRule="atLeast"/>
              <w:rPr>
                <w:rFonts w:ascii="標楷體" w:eastAsia="標楷體" w:hAnsi="標楷體" w:cs="標楷體"/>
                <w:color w:val="000000"/>
              </w:rPr>
            </w:pPr>
          </w:p>
        </w:tc>
        <w:tc>
          <w:tcPr>
            <w:tcW w:w="40" w:type="dxa"/>
            <w:shd w:val="clear" w:color="auto" w:fill="auto"/>
            <w:tcMar>
              <w:top w:w="0" w:type="dxa"/>
              <w:left w:w="10" w:type="dxa"/>
              <w:bottom w:w="0" w:type="dxa"/>
              <w:right w:w="10" w:type="dxa"/>
            </w:tcMar>
          </w:tcPr>
          <w:p w14:paraId="48405DB7" w14:textId="77777777" w:rsidR="00401786" w:rsidRDefault="00401786" w:rsidP="000E757E">
            <w:pPr>
              <w:snapToGrid w:val="0"/>
              <w:spacing w:line="240" w:lineRule="atLeast"/>
              <w:rPr>
                <w:rFonts w:ascii="標楷體" w:eastAsia="標楷體" w:hAnsi="標楷體" w:cs="標楷體"/>
                <w:color w:val="000000"/>
              </w:rPr>
            </w:pPr>
          </w:p>
        </w:tc>
      </w:tr>
      <w:tr w:rsidR="00401786" w14:paraId="1425EC5A" w14:textId="77777777">
        <w:trPr>
          <w:trHeight w:val="716"/>
          <w:jc w:val="center"/>
        </w:trPr>
        <w:tc>
          <w:tcPr>
            <w:tcW w:w="40" w:type="dxa"/>
            <w:tcBorders>
              <w:bottom w:val="single" w:sz="4" w:space="0" w:color="000000"/>
            </w:tcBorders>
            <w:shd w:val="clear" w:color="auto" w:fill="auto"/>
            <w:tcMar>
              <w:top w:w="0" w:type="dxa"/>
              <w:left w:w="10" w:type="dxa"/>
              <w:bottom w:w="0" w:type="dxa"/>
              <w:right w:w="10" w:type="dxa"/>
            </w:tcMar>
          </w:tcPr>
          <w:p w14:paraId="15AF6A32" w14:textId="77777777" w:rsidR="00401786" w:rsidRDefault="00401786" w:rsidP="000E757E">
            <w:pPr>
              <w:snapToGrid w:val="0"/>
              <w:spacing w:line="240" w:lineRule="atLeast"/>
              <w:rPr>
                <w:rFonts w:ascii="標楷體" w:eastAsia="標楷體" w:hAnsi="標楷體"/>
                <w:color w:val="000000"/>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89C4A7" w14:textId="77777777" w:rsidR="00401786" w:rsidRDefault="00C64FB3" w:rsidP="000E757E">
            <w:pPr>
              <w:snapToGrid w:val="0"/>
              <w:spacing w:line="240" w:lineRule="atLeast"/>
              <w:rPr>
                <w:rFonts w:ascii="標楷體" w:eastAsia="標楷體" w:hAnsi="標楷體"/>
                <w:color w:val="000000"/>
              </w:rPr>
            </w:pPr>
            <w:proofErr w:type="gramStart"/>
            <w:r>
              <w:rPr>
                <w:rFonts w:ascii="標楷體" w:eastAsia="標楷體" w:hAnsi="標楷體"/>
                <w:color w:val="000000"/>
              </w:rPr>
              <w:t>CRP(</w:t>
            </w:r>
            <w:proofErr w:type="gramEnd"/>
            <w:r>
              <w:rPr>
                <w:rFonts w:ascii="標楷體" w:eastAsia="標楷體" w:hAnsi="標楷體"/>
                <w:color w:val="000000"/>
              </w:rPr>
              <w:t>mg/dL)</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49EEE5" w14:textId="77777777" w:rsidR="00401786" w:rsidRDefault="00401786" w:rsidP="000E757E">
            <w:pPr>
              <w:snapToGrid w:val="0"/>
              <w:spacing w:line="240" w:lineRule="atLeast"/>
              <w:rPr>
                <w:rFonts w:ascii="標楷體" w:eastAsia="標楷體" w:hAnsi="標楷體" w:cs="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5E91D2" w14:textId="77777777" w:rsidR="00401786" w:rsidRDefault="00401786" w:rsidP="000E757E">
            <w:pPr>
              <w:snapToGrid w:val="0"/>
              <w:spacing w:line="240" w:lineRule="atLeast"/>
              <w:rPr>
                <w:rFonts w:ascii="標楷體" w:eastAsia="標楷體" w:hAnsi="標楷體" w:cs="標楷體"/>
                <w:color w:val="000000"/>
              </w:rPr>
            </w:pPr>
          </w:p>
        </w:tc>
        <w:tc>
          <w:tcPr>
            <w:tcW w:w="40" w:type="dxa"/>
            <w:shd w:val="clear" w:color="auto" w:fill="auto"/>
            <w:tcMar>
              <w:top w:w="0" w:type="dxa"/>
              <w:left w:w="10" w:type="dxa"/>
              <w:bottom w:w="0" w:type="dxa"/>
              <w:right w:w="10" w:type="dxa"/>
            </w:tcMar>
          </w:tcPr>
          <w:p w14:paraId="330CFBD5" w14:textId="77777777" w:rsidR="00401786" w:rsidRDefault="00401786" w:rsidP="000E757E">
            <w:pPr>
              <w:snapToGrid w:val="0"/>
              <w:spacing w:line="240" w:lineRule="atLeast"/>
              <w:rPr>
                <w:rFonts w:ascii="標楷體" w:eastAsia="標楷體" w:hAnsi="標楷體" w:cs="標楷體"/>
                <w:color w:val="000000"/>
              </w:rPr>
            </w:pPr>
          </w:p>
        </w:tc>
      </w:tr>
      <w:tr w:rsidR="00401786" w14:paraId="7191DB67" w14:textId="77777777">
        <w:trPr>
          <w:cantSplit/>
          <w:trHeight w:val="354"/>
          <w:jc w:val="center"/>
        </w:trPr>
        <w:tc>
          <w:tcPr>
            <w:tcW w:w="9072" w:type="dxa"/>
            <w:gridSpan w:val="10"/>
            <w:tcBorders>
              <w:top w:val="single" w:sz="4" w:space="0" w:color="000000"/>
            </w:tcBorders>
            <w:shd w:val="clear" w:color="auto" w:fill="auto"/>
            <w:tcMar>
              <w:top w:w="0" w:type="dxa"/>
              <w:left w:w="28" w:type="dxa"/>
              <w:bottom w:w="0" w:type="dxa"/>
              <w:right w:w="28" w:type="dxa"/>
            </w:tcMar>
          </w:tcPr>
          <w:p w14:paraId="0DE90799" w14:textId="77777777" w:rsidR="00401786" w:rsidRDefault="00401786" w:rsidP="000E757E">
            <w:pPr>
              <w:snapToGrid w:val="0"/>
              <w:spacing w:line="240" w:lineRule="atLeast"/>
              <w:rPr>
                <w:rFonts w:ascii="標楷體" w:eastAsia="標楷體" w:hAnsi="標楷體" w:cs="標楷體"/>
                <w:color w:val="000000"/>
                <w:sz w:val="26"/>
                <w:szCs w:val="26"/>
              </w:rPr>
            </w:pPr>
          </w:p>
        </w:tc>
        <w:tc>
          <w:tcPr>
            <w:tcW w:w="40" w:type="dxa"/>
            <w:shd w:val="clear" w:color="auto" w:fill="auto"/>
            <w:tcMar>
              <w:top w:w="0" w:type="dxa"/>
              <w:left w:w="10" w:type="dxa"/>
              <w:bottom w:w="0" w:type="dxa"/>
              <w:right w:w="10" w:type="dxa"/>
            </w:tcMar>
          </w:tcPr>
          <w:p w14:paraId="3FD53653" w14:textId="77777777" w:rsidR="00401786" w:rsidRDefault="00401786" w:rsidP="000E757E">
            <w:pPr>
              <w:snapToGrid w:val="0"/>
              <w:spacing w:line="240" w:lineRule="atLeast"/>
              <w:rPr>
                <w:rFonts w:ascii="標楷體" w:eastAsia="標楷體" w:hAnsi="標楷體" w:cs="標楷體"/>
                <w:color w:val="000000"/>
                <w:sz w:val="26"/>
                <w:szCs w:val="26"/>
              </w:rPr>
            </w:pPr>
          </w:p>
        </w:tc>
      </w:tr>
      <w:tr w:rsidR="00401786" w14:paraId="7F90513C" w14:textId="77777777">
        <w:trPr>
          <w:cantSplit/>
          <w:trHeight w:val="354"/>
          <w:jc w:val="center"/>
        </w:trPr>
        <w:tc>
          <w:tcPr>
            <w:tcW w:w="9072" w:type="dxa"/>
            <w:gridSpan w:val="10"/>
            <w:tcBorders>
              <w:bottom w:val="single" w:sz="4" w:space="0" w:color="000000"/>
            </w:tcBorders>
            <w:shd w:val="clear" w:color="auto" w:fill="auto"/>
            <w:tcMar>
              <w:top w:w="0" w:type="dxa"/>
              <w:left w:w="28" w:type="dxa"/>
              <w:bottom w:w="0" w:type="dxa"/>
              <w:right w:w="28" w:type="dxa"/>
            </w:tcMar>
          </w:tcPr>
          <w:p w14:paraId="039AE2AD" w14:textId="77777777" w:rsidR="00401786" w:rsidRDefault="00401786" w:rsidP="000E757E">
            <w:pPr>
              <w:snapToGrid w:val="0"/>
              <w:spacing w:line="240" w:lineRule="atLeast"/>
              <w:rPr>
                <w:rFonts w:ascii="標楷體" w:eastAsia="標楷體" w:hAnsi="標楷體" w:cs="標楷體"/>
                <w:color w:val="000000"/>
                <w:sz w:val="26"/>
                <w:szCs w:val="26"/>
              </w:rPr>
            </w:pPr>
          </w:p>
        </w:tc>
        <w:tc>
          <w:tcPr>
            <w:tcW w:w="40" w:type="dxa"/>
            <w:shd w:val="clear" w:color="auto" w:fill="auto"/>
            <w:tcMar>
              <w:top w:w="0" w:type="dxa"/>
              <w:left w:w="10" w:type="dxa"/>
              <w:bottom w:w="0" w:type="dxa"/>
              <w:right w:w="10" w:type="dxa"/>
            </w:tcMar>
          </w:tcPr>
          <w:p w14:paraId="67F6BBD2" w14:textId="77777777" w:rsidR="00401786" w:rsidRDefault="00401786" w:rsidP="000E757E">
            <w:pPr>
              <w:snapToGrid w:val="0"/>
              <w:spacing w:line="240" w:lineRule="atLeast"/>
              <w:rPr>
                <w:rFonts w:ascii="標楷體" w:eastAsia="標楷體" w:hAnsi="標楷體" w:cs="標楷體"/>
                <w:color w:val="000000"/>
                <w:sz w:val="26"/>
                <w:szCs w:val="26"/>
              </w:rPr>
            </w:pPr>
          </w:p>
        </w:tc>
      </w:tr>
      <w:tr w:rsidR="00401786" w14:paraId="062D84B7" w14:textId="77777777">
        <w:trPr>
          <w:cantSplit/>
          <w:trHeight w:val="354"/>
          <w:jc w:val="center"/>
        </w:trPr>
        <w:tc>
          <w:tcPr>
            <w:tcW w:w="907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8964DB" w14:textId="77777777" w:rsidR="00401786" w:rsidRDefault="00C64FB3" w:rsidP="000E757E">
            <w:pPr>
              <w:snapToGrid w:val="0"/>
              <w:spacing w:line="240" w:lineRule="atLeast"/>
            </w:pPr>
            <w:r>
              <w:rPr>
                <w:rFonts w:ascii="標楷體" w:eastAsia="標楷體" w:hAnsi="標楷體" w:cs="標楷體"/>
                <w:color w:val="000000"/>
                <w:sz w:val="26"/>
                <w:szCs w:val="26"/>
              </w:rPr>
              <w:lastRenderedPageBreak/>
              <w:t>□符合標準療法失敗</w:t>
            </w:r>
          </w:p>
        </w:tc>
        <w:tc>
          <w:tcPr>
            <w:tcW w:w="40" w:type="dxa"/>
            <w:shd w:val="clear" w:color="auto" w:fill="auto"/>
            <w:tcMar>
              <w:top w:w="0" w:type="dxa"/>
              <w:left w:w="10" w:type="dxa"/>
              <w:bottom w:w="0" w:type="dxa"/>
              <w:right w:w="10" w:type="dxa"/>
            </w:tcMar>
          </w:tcPr>
          <w:p w14:paraId="57EEFB5A" w14:textId="77777777" w:rsidR="00401786" w:rsidRDefault="00401786" w:rsidP="000E757E">
            <w:pPr>
              <w:snapToGrid w:val="0"/>
              <w:spacing w:line="240" w:lineRule="atLeast"/>
            </w:pPr>
          </w:p>
        </w:tc>
      </w:tr>
      <w:tr w:rsidR="00401786" w14:paraId="734A50DD" w14:textId="77777777">
        <w:trPr>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490BDE" w14:textId="77777777" w:rsidR="00401786" w:rsidRDefault="00C64FB3" w:rsidP="000E757E">
            <w:pPr>
              <w:snapToGrid w:val="0"/>
              <w:spacing w:line="240" w:lineRule="atLeast"/>
              <w:jc w:val="center"/>
            </w:pPr>
            <w:r>
              <w:rPr>
                <w:rFonts w:ascii="標楷體" w:eastAsia="標楷體" w:hAnsi="標楷體" w:cs="標楷體"/>
                <w:color w:val="000000"/>
              </w:rPr>
              <w:t>藥物名稱</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58FDA4" w14:textId="77777777" w:rsidR="00401786" w:rsidRDefault="00C64FB3" w:rsidP="000E757E">
            <w:pPr>
              <w:snapToGrid w:val="0"/>
              <w:spacing w:line="240" w:lineRule="atLeast"/>
              <w:jc w:val="center"/>
            </w:pPr>
            <w:r>
              <w:rPr>
                <w:rFonts w:ascii="標楷體" w:eastAsia="標楷體" w:hAnsi="標楷體" w:cs="標楷體"/>
                <w:color w:val="000000"/>
              </w:rPr>
              <w:t>劑量</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076D0B" w14:textId="77777777" w:rsidR="00401786" w:rsidRDefault="00C64FB3" w:rsidP="000E757E">
            <w:pPr>
              <w:snapToGrid w:val="0"/>
              <w:spacing w:line="240" w:lineRule="atLeast"/>
              <w:jc w:val="center"/>
            </w:pPr>
            <w:r>
              <w:rPr>
                <w:rFonts w:ascii="標楷體" w:eastAsia="標楷體" w:hAnsi="標楷體" w:cs="標楷體"/>
                <w:color w:val="000000"/>
              </w:rPr>
              <w:t>使用期間</w:t>
            </w:r>
          </w:p>
        </w:tc>
        <w:tc>
          <w:tcPr>
            <w:tcW w:w="40" w:type="dxa"/>
            <w:shd w:val="clear" w:color="auto" w:fill="auto"/>
            <w:tcMar>
              <w:top w:w="0" w:type="dxa"/>
              <w:left w:w="10" w:type="dxa"/>
              <w:bottom w:w="0" w:type="dxa"/>
              <w:right w:w="10" w:type="dxa"/>
            </w:tcMar>
          </w:tcPr>
          <w:p w14:paraId="00EF317E" w14:textId="77777777" w:rsidR="00401786" w:rsidRDefault="00401786" w:rsidP="000E757E">
            <w:pPr>
              <w:snapToGrid w:val="0"/>
              <w:spacing w:line="240" w:lineRule="atLeast"/>
              <w:jc w:val="center"/>
            </w:pPr>
          </w:p>
        </w:tc>
      </w:tr>
      <w:tr w:rsidR="00401786" w14:paraId="201B8730" w14:textId="77777777">
        <w:trPr>
          <w:trHeight w:val="519"/>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0D20EE" w14:textId="77777777" w:rsidR="00401786" w:rsidRDefault="00C64FB3" w:rsidP="000E757E">
            <w:pPr>
              <w:pStyle w:val="Web"/>
              <w:widowControl w:val="0"/>
              <w:snapToGrid w:val="0"/>
              <w:spacing w:before="0" w:after="0" w:line="240" w:lineRule="atLeast"/>
              <w:rPr>
                <w:rFonts w:ascii="標楷體" w:eastAsia="標楷體" w:hAnsi="標楷體" w:cs="Times New Roman"/>
                <w:color w:val="000000"/>
                <w:kern w:val="3"/>
              </w:rPr>
            </w:pPr>
            <w:r>
              <w:rPr>
                <w:rFonts w:ascii="標楷體" w:eastAsia="標楷體" w:hAnsi="標楷體" w:cs="Times New Roman"/>
                <w:color w:val="000000"/>
                <w:kern w:val="3"/>
              </w:rPr>
              <w:t>Methotrexate</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B50607" w14:textId="77777777" w:rsidR="00401786" w:rsidRDefault="00C64FB3" w:rsidP="000E757E">
            <w:pPr>
              <w:snapToGrid w:val="0"/>
              <w:spacing w:line="240" w:lineRule="atLeast"/>
            </w:pPr>
            <w:r>
              <w:rPr>
                <w:rFonts w:ascii="標楷體" w:eastAsia="標楷體" w:hAnsi="標楷體"/>
                <w:color w:val="000000"/>
              </w:rPr>
              <w:t>______mg/m</w:t>
            </w:r>
            <w:r>
              <w:rPr>
                <w:rFonts w:ascii="標楷體" w:eastAsia="標楷體" w:hAnsi="標楷體"/>
                <w:color w:val="000000"/>
                <w:vertAlign w:val="superscript"/>
              </w:rPr>
              <w:t>2</w:t>
            </w:r>
            <w:r>
              <w:rPr>
                <w:rFonts w:ascii="標楷體" w:eastAsia="標楷體" w:hAnsi="標楷體"/>
                <w:color w:val="000000"/>
              </w:rPr>
              <w:t>/week</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B523E5"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___年___月___日至___年___月___日</w:t>
            </w:r>
          </w:p>
        </w:tc>
        <w:tc>
          <w:tcPr>
            <w:tcW w:w="40" w:type="dxa"/>
            <w:shd w:val="clear" w:color="auto" w:fill="auto"/>
            <w:tcMar>
              <w:top w:w="0" w:type="dxa"/>
              <w:left w:w="10" w:type="dxa"/>
              <w:bottom w:w="0" w:type="dxa"/>
              <w:right w:w="10" w:type="dxa"/>
            </w:tcMar>
          </w:tcPr>
          <w:p w14:paraId="6A2ECA80" w14:textId="77777777" w:rsidR="00401786" w:rsidRDefault="00401786" w:rsidP="000E757E">
            <w:pPr>
              <w:snapToGrid w:val="0"/>
              <w:spacing w:line="240" w:lineRule="atLeast"/>
              <w:rPr>
                <w:rFonts w:ascii="標楷體" w:eastAsia="標楷體" w:hAnsi="標楷體"/>
                <w:color w:val="000000"/>
              </w:rPr>
            </w:pPr>
          </w:p>
        </w:tc>
      </w:tr>
      <w:tr w:rsidR="00401786" w14:paraId="78C1EA86" w14:textId="77777777">
        <w:trPr>
          <w:trHeight w:val="513"/>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1E0B7C"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類固醇(藥名)</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AB8617"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______mg/kg/day</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43E55E"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___年___月___日至___年___月___日</w:t>
            </w:r>
          </w:p>
        </w:tc>
        <w:tc>
          <w:tcPr>
            <w:tcW w:w="40" w:type="dxa"/>
            <w:shd w:val="clear" w:color="auto" w:fill="auto"/>
            <w:tcMar>
              <w:top w:w="0" w:type="dxa"/>
              <w:left w:w="10" w:type="dxa"/>
              <w:bottom w:w="0" w:type="dxa"/>
              <w:right w:w="10" w:type="dxa"/>
            </w:tcMar>
          </w:tcPr>
          <w:p w14:paraId="74C305C9" w14:textId="77777777" w:rsidR="00401786" w:rsidRDefault="00401786" w:rsidP="000E757E">
            <w:pPr>
              <w:snapToGrid w:val="0"/>
              <w:spacing w:line="240" w:lineRule="atLeast"/>
              <w:rPr>
                <w:rFonts w:ascii="標楷體" w:eastAsia="標楷體" w:hAnsi="標楷體"/>
                <w:color w:val="000000"/>
              </w:rPr>
            </w:pPr>
          </w:p>
        </w:tc>
      </w:tr>
      <w:tr w:rsidR="00401786" w14:paraId="60A64032" w14:textId="77777777">
        <w:trPr>
          <w:trHeight w:val="522"/>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4F1648"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其他</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16AEE1"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______mg/day</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3FEF10"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___年___月___日至___年___月___日</w:t>
            </w:r>
          </w:p>
        </w:tc>
        <w:tc>
          <w:tcPr>
            <w:tcW w:w="40" w:type="dxa"/>
            <w:shd w:val="clear" w:color="auto" w:fill="auto"/>
            <w:tcMar>
              <w:top w:w="0" w:type="dxa"/>
              <w:left w:w="10" w:type="dxa"/>
              <w:bottom w:w="0" w:type="dxa"/>
              <w:right w:w="10" w:type="dxa"/>
            </w:tcMar>
          </w:tcPr>
          <w:p w14:paraId="33C3266F" w14:textId="77777777" w:rsidR="00401786" w:rsidRDefault="00401786" w:rsidP="000E757E">
            <w:pPr>
              <w:snapToGrid w:val="0"/>
              <w:spacing w:line="240" w:lineRule="atLeast"/>
              <w:rPr>
                <w:rFonts w:ascii="標楷體" w:eastAsia="標楷體" w:hAnsi="標楷體"/>
                <w:color w:val="000000"/>
              </w:rPr>
            </w:pPr>
          </w:p>
        </w:tc>
      </w:tr>
      <w:tr w:rsidR="00401786" w14:paraId="489DDCE9" w14:textId="77777777">
        <w:trPr>
          <w:cantSplit/>
          <w:trHeight w:val="1496"/>
          <w:jc w:val="center"/>
        </w:trPr>
        <w:tc>
          <w:tcPr>
            <w:tcW w:w="907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F9B021" w14:textId="77777777" w:rsidR="00401786" w:rsidRDefault="00C64FB3" w:rsidP="000E757E">
            <w:pPr>
              <w:snapToGrid w:val="0"/>
              <w:spacing w:line="240" w:lineRule="atLeast"/>
              <w:rPr>
                <w:rFonts w:ascii="標楷體" w:eastAsia="標楷體" w:hAnsi="標楷體" w:cs="標楷體"/>
                <w:color w:val="000000"/>
              </w:rPr>
            </w:pPr>
            <w:r>
              <w:rPr>
                <w:rFonts w:ascii="標楷體" w:eastAsia="標楷體" w:hAnsi="標楷體" w:cs="標楷體"/>
                <w:color w:val="000000"/>
              </w:rPr>
              <w:t>若藥物治療未達標準目標劑量，請說明藥物引起之副作用：</w:t>
            </w:r>
          </w:p>
          <w:p w14:paraId="59E6C664"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555D375" w14:textId="77777777" w:rsidR="00401786" w:rsidRDefault="00401786" w:rsidP="000E757E">
            <w:pPr>
              <w:snapToGrid w:val="0"/>
              <w:spacing w:line="240" w:lineRule="atLeast"/>
              <w:rPr>
                <w:rFonts w:ascii="標楷體" w:eastAsia="標楷體" w:hAnsi="標楷體"/>
                <w:color w:val="000000"/>
              </w:rPr>
            </w:pPr>
          </w:p>
        </w:tc>
      </w:tr>
      <w:tr w:rsidR="00401786" w14:paraId="68526214" w14:textId="77777777">
        <w:trPr>
          <w:cantSplit/>
          <w:jc w:val="center"/>
        </w:trPr>
        <w:tc>
          <w:tcPr>
            <w:tcW w:w="907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30B354" w14:textId="77777777" w:rsidR="00401786" w:rsidRDefault="00C64FB3" w:rsidP="000E757E">
            <w:pPr>
              <w:snapToGrid w:val="0"/>
              <w:spacing w:line="240" w:lineRule="atLeast"/>
            </w:pPr>
            <w:r>
              <w:rPr>
                <w:rFonts w:ascii="標楷體" w:eastAsia="標楷體" w:hAnsi="標楷體" w:cs="標楷體"/>
                <w:color w:val="000000"/>
              </w:rPr>
              <w:t>□符合「需排除或停</w:t>
            </w:r>
            <w:r>
              <w:rPr>
                <w:rFonts w:ascii="標楷體" w:eastAsia="標楷體" w:hAnsi="標楷體"/>
                <w:color w:val="000000"/>
              </w:rPr>
              <w:t>止</w:t>
            </w:r>
            <w:r>
              <w:rPr>
                <w:rFonts w:ascii="標楷體" w:eastAsia="標楷體" w:hAnsi="標楷體" w:cs="標楷體"/>
                <w:color w:val="000000"/>
              </w:rPr>
              <w:t>使用之情形」</w:t>
            </w:r>
          </w:p>
        </w:tc>
        <w:tc>
          <w:tcPr>
            <w:tcW w:w="40" w:type="dxa"/>
            <w:shd w:val="clear" w:color="auto" w:fill="auto"/>
            <w:tcMar>
              <w:top w:w="0" w:type="dxa"/>
              <w:left w:w="10" w:type="dxa"/>
              <w:bottom w:w="0" w:type="dxa"/>
              <w:right w:w="10" w:type="dxa"/>
            </w:tcMar>
          </w:tcPr>
          <w:p w14:paraId="465C91CE" w14:textId="77777777" w:rsidR="00401786" w:rsidRDefault="00401786" w:rsidP="000E757E">
            <w:pPr>
              <w:snapToGrid w:val="0"/>
              <w:spacing w:line="240" w:lineRule="atLeast"/>
            </w:pPr>
          </w:p>
        </w:tc>
      </w:tr>
      <w:tr w:rsidR="00401786" w14:paraId="69B896A7"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8975BA" w14:textId="77777777" w:rsidR="00401786" w:rsidRDefault="00C64FB3" w:rsidP="000E757E">
            <w:pPr>
              <w:snapToGrid w:val="0"/>
              <w:spacing w:line="240" w:lineRule="atLeast"/>
              <w:jc w:val="center"/>
            </w:pPr>
            <w:r>
              <w:rPr>
                <w:rFonts w:ascii="標楷體" w:eastAsia="標楷體" w:hAnsi="標楷體" w:cs="標楷體"/>
                <w:color w:val="000000"/>
              </w:rPr>
              <w:t>□是</w:t>
            </w:r>
          </w:p>
          <w:p w14:paraId="23763FF5"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805640" w14:textId="77777777" w:rsidR="00401786" w:rsidRDefault="00C64FB3" w:rsidP="000E757E">
            <w:pPr>
              <w:snapToGrid w:val="0"/>
              <w:spacing w:line="240" w:lineRule="atLeast"/>
              <w:jc w:val="both"/>
            </w:pPr>
            <w:r>
              <w:rPr>
                <w:rFonts w:ascii="標楷體" w:eastAsia="標楷體" w:hAnsi="標楷體" w:cs="標楷體"/>
              </w:rPr>
              <w:t>是否有</w:t>
            </w:r>
            <w:r>
              <w:rPr>
                <w:rFonts w:ascii="標楷體" w:eastAsia="標楷體" w:hAnsi="標楷體"/>
              </w:rPr>
              <w:t>仿</w:t>
            </w:r>
            <w:r>
              <w:rPr>
                <w:rFonts w:ascii="標楷體" w:eastAsia="標楷體" w:hAnsi="標楷體" w:cs="標楷體"/>
              </w:rPr>
              <w:t>單記載之禁忌情形</w:t>
            </w:r>
          </w:p>
        </w:tc>
        <w:tc>
          <w:tcPr>
            <w:tcW w:w="40" w:type="dxa"/>
            <w:shd w:val="clear" w:color="auto" w:fill="auto"/>
            <w:tcMar>
              <w:top w:w="0" w:type="dxa"/>
              <w:left w:w="10" w:type="dxa"/>
              <w:bottom w:w="0" w:type="dxa"/>
              <w:right w:w="10" w:type="dxa"/>
            </w:tcMar>
          </w:tcPr>
          <w:p w14:paraId="78798A39" w14:textId="77777777" w:rsidR="00401786" w:rsidRDefault="00401786" w:rsidP="000E757E">
            <w:pPr>
              <w:snapToGrid w:val="0"/>
              <w:spacing w:line="240" w:lineRule="atLeast"/>
              <w:jc w:val="both"/>
            </w:pPr>
          </w:p>
        </w:tc>
      </w:tr>
      <w:tr w:rsidR="00401786" w14:paraId="1A4B343D"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787EE0" w14:textId="77777777" w:rsidR="00401786" w:rsidRDefault="00C64FB3" w:rsidP="000E757E">
            <w:pPr>
              <w:snapToGrid w:val="0"/>
              <w:spacing w:line="240" w:lineRule="atLeast"/>
              <w:jc w:val="center"/>
            </w:pPr>
            <w:r>
              <w:rPr>
                <w:rFonts w:ascii="標楷體" w:eastAsia="標楷體" w:hAnsi="標楷體" w:cs="標楷體"/>
                <w:color w:val="000000"/>
              </w:rPr>
              <w:t>□是</w:t>
            </w:r>
          </w:p>
          <w:p w14:paraId="4EA83B07"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ED6BB6" w14:textId="77777777" w:rsidR="00401786" w:rsidRDefault="00C64FB3" w:rsidP="000E757E">
            <w:pPr>
              <w:snapToGrid w:val="0"/>
              <w:spacing w:line="240" w:lineRule="atLeast"/>
              <w:jc w:val="both"/>
            </w:pPr>
            <w:r>
              <w:rPr>
                <w:rFonts w:ascii="標楷體" w:eastAsia="標楷體" w:hAnsi="標楷體" w:cs="標楷體"/>
              </w:rPr>
              <w:t>病患是否懷孕或</w:t>
            </w:r>
            <w:proofErr w:type="gramStart"/>
            <w:r>
              <w:rPr>
                <w:rFonts w:ascii="標楷體" w:eastAsia="標楷體" w:hAnsi="標楷體" w:cs="標楷體"/>
              </w:rPr>
              <w:t>正在授乳</w:t>
            </w:r>
            <w:proofErr w:type="gramEnd"/>
            <w:r>
              <w:rPr>
                <w:rFonts w:ascii="標楷體" w:eastAsia="標楷體" w:hAnsi="標楷體" w:cs="標楷體"/>
              </w:rPr>
              <w:t>。</w:t>
            </w:r>
          </w:p>
        </w:tc>
        <w:tc>
          <w:tcPr>
            <w:tcW w:w="40" w:type="dxa"/>
            <w:shd w:val="clear" w:color="auto" w:fill="auto"/>
            <w:tcMar>
              <w:top w:w="0" w:type="dxa"/>
              <w:left w:w="10" w:type="dxa"/>
              <w:bottom w:w="0" w:type="dxa"/>
              <w:right w:w="10" w:type="dxa"/>
            </w:tcMar>
          </w:tcPr>
          <w:p w14:paraId="7D49FBBB" w14:textId="77777777" w:rsidR="00401786" w:rsidRDefault="00401786" w:rsidP="000E757E">
            <w:pPr>
              <w:snapToGrid w:val="0"/>
              <w:spacing w:line="240" w:lineRule="atLeast"/>
              <w:jc w:val="both"/>
            </w:pPr>
          </w:p>
        </w:tc>
      </w:tr>
      <w:tr w:rsidR="00401786" w14:paraId="12A18EE7"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1FD303" w14:textId="77777777" w:rsidR="00401786" w:rsidRDefault="00C64FB3" w:rsidP="000E757E">
            <w:pPr>
              <w:snapToGrid w:val="0"/>
              <w:spacing w:line="240" w:lineRule="atLeast"/>
              <w:jc w:val="center"/>
            </w:pPr>
            <w:r>
              <w:rPr>
                <w:rFonts w:ascii="標楷體" w:eastAsia="標楷體" w:hAnsi="標楷體" w:cs="標楷體"/>
                <w:color w:val="000000"/>
              </w:rPr>
              <w:t>□是</w:t>
            </w:r>
          </w:p>
          <w:p w14:paraId="29EF058A"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B444BE" w14:textId="77777777" w:rsidR="00401786" w:rsidRDefault="00C64FB3" w:rsidP="000E757E">
            <w:pPr>
              <w:snapToGrid w:val="0"/>
              <w:spacing w:line="240" w:lineRule="atLeast"/>
              <w:jc w:val="both"/>
            </w:pPr>
            <w:r>
              <w:rPr>
                <w:rFonts w:ascii="標楷體" w:eastAsia="標楷體" w:hAnsi="標楷體" w:cs="標楷體"/>
              </w:rPr>
              <w:t>病患是否</w:t>
            </w:r>
            <w:proofErr w:type="gramStart"/>
            <w:r>
              <w:rPr>
                <w:rFonts w:ascii="標楷體" w:eastAsia="標楷體" w:hAnsi="標楷體" w:cs="標楷體"/>
              </w:rPr>
              <w:t>罹</w:t>
            </w:r>
            <w:proofErr w:type="gramEnd"/>
            <w:r>
              <w:rPr>
                <w:rFonts w:ascii="標楷體" w:eastAsia="標楷體" w:hAnsi="標楷體" w:cs="標楷體"/>
              </w:rPr>
              <w:t>患活動性的感染疾病。</w:t>
            </w:r>
          </w:p>
        </w:tc>
        <w:tc>
          <w:tcPr>
            <w:tcW w:w="40" w:type="dxa"/>
            <w:shd w:val="clear" w:color="auto" w:fill="auto"/>
            <w:tcMar>
              <w:top w:w="0" w:type="dxa"/>
              <w:left w:w="10" w:type="dxa"/>
              <w:bottom w:w="0" w:type="dxa"/>
              <w:right w:w="10" w:type="dxa"/>
            </w:tcMar>
          </w:tcPr>
          <w:p w14:paraId="0BBDFD0D" w14:textId="77777777" w:rsidR="00401786" w:rsidRDefault="00401786" w:rsidP="000E757E">
            <w:pPr>
              <w:snapToGrid w:val="0"/>
              <w:spacing w:line="240" w:lineRule="atLeast"/>
              <w:jc w:val="both"/>
            </w:pPr>
          </w:p>
        </w:tc>
      </w:tr>
      <w:tr w:rsidR="00401786" w14:paraId="6827EF97"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F3E9B7" w14:textId="77777777" w:rsidR="00401786" w:rsidRDefault="00C64FB3" w:rsidP="000E757E">
            <w:pPr>
              <w:snapToGrid w:val="0"/>
              <w:spacing w:line="240" w:lineRule="atLeast"/>
              <w:jc w:val="center"/>
            </w:pPr>
            <w:r>
              <w:rPr>
                <w:rFonts w:ascii="標楷體" w:eastAsia="標楷體" w:hAnsi="標楷體" w:cs="標楷體"/>
                <w:color w:val="000000"/>
              </w:rPr>
              <w:t>□是</w:t>
            </w:r>
          </w:p>
          <w:p w14:paraId="5A59FB5A"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0C9EC9" w14:textId="77777777" w:rsidR="00401786" w:rsidRDefault="00C64FB3" w:rsidP="000E757E">
            <w:pPr>
              <w:snapToGrid w:val="0"/>
              <w:spacing w:line="240" w:lineRule="atLeast"/>
              <w:jc w:val="both"/>
            </w:pPr>
            <w:r>
              <w:rPr>
                <w:rFonts w:ascii="標楷體" w:eastAsia="標楷體" w:hAnsi="標楷體" w:cs="標楷體"/>
              </w:rPr>
              <w:t>未經完整治療之結核病的病患（包括潛伏結核感染治療未達四</w:t>
            </w:r>
            <w:proofErr w:type="gramStart"/>
            <w:r>
              <w:rPr>
                <w:rFonts w:ascii="標楷體" w:eastAsia="標楷體" w:hAnsi="標楷體" w:cs="標楷體"/>
              </w:rPr>
              <w:t>週</w:t>
            </w:r>
            <w:proofErr w:type="gramEnd"/>
            <w:r>
              <w:rPr>
                <w:rFonts w:ascii="標楷體" w:eastAsia="標楷體" w:hAnsi="標楷體" w:cs="標楷體"/>
              </w:rPr>
              <w:t>者，申請時應檢附潛伏結核感染篩檢紀錄及治療紀錄供審查）。</w:t>
            </w:r>
          </w:p>
        </w:tc>
        <w:tc>
          <w:tcPr>
            <w:tcW w:w="40" w:type="dxa"/>
            <w:shd w:val="clear" w:color="auto" w:fill="auto"/>
            <w:tcMar>
              <w:top w:w="0" w:type="dxa"/>
              <w:left w:w="10" w:type="dxa"/>
              <w:bottom w:w="0" w:type="dxa"/>
              <w:right w:w="10" w:type="dxa"/>
            </w:tcMar>
          </w:tcPr>
          <w:p w14:paraId="04345EDD" w14:textId="77777777" w:rsidR="00401786" w:rsidRDefault="00401786" w:rsidP="000E757E">
            <w:pPr>
              <w:snapToGrid w:val="0"/>
              <w:spacing w:line="240" w:lineRule="atLeast"/>
              <w:jc w:val="both"/>
            </w:pPr>
          </w:p>
        </w:tc>
      </w:tr>
      <w:tr w:rsidR="00401786" w14:paraId="3A4F0BBB"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1F739B" w14:textId="77777777" w:rsidR="00401786" w:rsidRDefault="00C64FB3" w:rsidP="000E757E">
            <w:pPr>
              <w:snapToGrid w:val="0"/>
              <w:spacing w:line="240" w:lineRule="atLeast"/>
              <w:jc w:val="center"/>
            </w:pPr>
            <w:r>
              <w:rPr>
                <w:rFonts w:ascii="標楷體" w:eastAsia="標楷體" w:hAnsi="標楷體" w:cs="標楷體"/>
                <w:color w:val="000000"/>
              </w:rPr>
              <w:t>□是</w:t>
            </w:r>
          </w:p>
          <w:p w14:paraId="54A2F5E5"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C04450" w14:textId="77777777" w:rsidR="00401786" w:rsidRDefault="00C64FB3" w:rsidP="000E757E">
            <w:pPr>
              <w:snapToGrid w:val="0"/>
              <w:spacing w:line="240" w:lineRule="atLeast"/>
              <w:jc w:val="both"/>
            </w:pPr>
            <w:r>
              <w:rPr>
                <w:rFonts w:ascii="標楷體" w:eastAsia="標楷體" w:hAnsi="標楷體" w:cs="標楷體"/>
              </w:rPr>
              <w:t>病患身上是否帶有人工關節，</w:t>
            </w:r>
            <w:proofErr w:type="gramStart"/>
            <w:r>
              <w:rPr>
                <w:rFonts w:ascii="標楷體" w:eastAsia="標楷體" w:hAnsi="標楷體" w:cs="標楷體"/>
              </w:rPr>
              <w:t>罹</w:t>
            </w:r>
            <w:proofErr w:type="gramEnd"/>
            <w:r>
              <w:rPr>
                <w:rFonts w:ascii="標楷體" w:eastAsia="標楷體" w:hAnsi="標楷體" w:cs="標楷體"/>
              </w:rPr>
              <w:t>患或先前曾</w:t>
            </w:r>
            <w:proofErr w:type="gramStart"/>
            <w:r>
              <w:rPr>
                <w:rFonts w:ascii="標楷體" w:eastAsia="標楷體" w:hAnsi="標楷體" w:cs="標楷體"/>
              </w:rPr>
              <w:t>罹</w:t>
            </w:r>
            <w:proofErr w:type="gramEnd"/>
            <w:r>
              <w:rPr>
                <w:rFonts w:ascii="標楷體" w:eastAsia="標楷體" w:hAnsi="標楷體" w:cs="標楷體"/>
              </w:rPr>
              <w:t>患敗血症</w:t>
            </w:r>
            <w:r>
              <w:rPr>
                <w:rFonts w:ascii="標楷體" w:eastAsia="標楷體" w:hAnsi="標楷體"/>
              </w:rPr>
              <w:t>(sepsis)。</w:t>
            </w:r>
          </w:p>
        </w:tc>
        <w:tc>
          <w:tcPr>
            <w:tcW w:w="40" w:type="dxa"/>
            <w:shd w:val="clear" w:color="auto" w:fill="auto"/>
            <w:tcMar>
              <w:top w:w="0" w:type="dxa"/>
              <w:left w:w="10" w:type="dxa"/>
              <w:bottom w:w="0" w:type="dxa"/>
              <w:right w:w="10" w:type="dxa"/>
            </w:tcMar>
          </w:tcPr>
          <w:p w14:paraId="0D0956AE" w14:textId="77777777" w:rsidR="00401786" w:rsidRDefault="00401786" w:rsidP="000E757E">
            <w:pPr>
              <w:snapToGrid w:val="0"/>
              <w:spacing w:line="240" w:lineRule="atLeast"/>
              <w:jc w:val="both"/>
            </w:pPr>
          </w:p>
        </w:tc>
      </w:tr>
      <w:tr w:rsidR="00401786" w14:paraId="55211D26"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81D975" w14:textId="77777777" w:rsidR="00401786" w:rsidRDefault="00C64FB3" w:rsidP="000E757E">
            <w:pPr>
              <w:snapToGrid w:val="0"/>
              <w:spacing w:line="240" w:lineRule="atLeast"/>
              <w:jc w:val="center"/>
            </w:pPr>
            <w:r>
              <w:rPr>
                <w:rFonts w:ascii="標楷體" w:eastAsia="標楷體" w:hAnsi="標楷體" w:cs="標楷體"/>
                <w:color w:val="000000"/>
              </w:rPr>
              <w:t>□是</w:t>
            </w:r>
          </w:p>
          <w:p w14:paraId="61800CC8"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77461A" w14:textId="77777777" w:rsidR="00401786" w:rsidRDefault="00C64FB3" w:rsidP="000E757E">
            <w:pPr>
              <w:snapToGrid w:val="0"/>
              <w:spacing w:line="240" w:lineRule="atLeast"/>
              <w:jc w:val="both"/>
            </w:pPr>
            <w:r>
              <w:rPr>
                <w:rFonts w:ascii="標楷體" w:eastAsia="標楷體" w:hAnsi="標楷體" w:cs="標楷體"/>
              </w:rPr>
              <w:t>病患是否</w:t>
            </w:r>
            <w:proofErr w:type="gramStart"/>
            <w:r>
              <w:rPr>
                <w:rFonts w:ascii="標楷體" w:eastAsia="標楷體" w:hAnsi="標楷體" w:cs="標楷體"/>
              </w:rPr>
              <w:t>罹</w:t>
            </w:r>
            <w:proofErr w:type="gramEnd"/>
            <w:r>
              <w:rPr>
                <w:rFonts w:ascii="標楷體" w:eastAsia="標楷體" w:hAnsi="標楷體" w:cs="標楷體"/>
              </w:rPr>
              <w:t>患惡性腫瘤或具有癌症前兆</w:t>
            </w:r>
            <w:r>
              <w:rPr>
                <w:rFonts w:ascii="標楷體" w:eastAsia="標楷體" w:hAnsi="標楷體"/>
              </w:rPr>
              <w:t>(pre-malignancy)</w:t>
            </w:r>
            <w:r>
              <w:rPr>
                <w:rFonts w:ascii="標楷體" w:eastAsia="標楷體" w:hAnsi="標楷體" w:cs="標楷體"/>
              </w:rPr>
              <w:t>。</w:t>
            </w:r>
          </w:p>
        </w:tc>
        <w:tc>
          <w:tcPr>
            <w:tcW w:w="40" w:type="dxa"/>
            <w:shd w:val="clear" w:color="auto" w:fill="auto"/>
            <w:tcMar>
              <w:top w:w="0" w:type="dxa"/>
              <w:left w:w="10" w:type="dxa"/>
              <w:bottom w:w="0" w:type="dxa"/>
              <w:right w:w="10" w:type="dxa"/>
            </w:tcMar>
          </w:tcPr>
          <w:p w14:paraId="62C90712" w14:textId="77777777" w:rsidR="00401786" w:rsidRDefault="00401786" w:rsidP="000E757E">
            <w:pPr>
              <w:snapToGrid w:val="0"/>
              <w:spacing w:line="240" w:lineRule="atLeast"/>
              <w:jc w:val="both"/>
            </w:pPr>
          </w:p>
        </w:tc>
      </w:tr>
      <w:tr w:rsidR="00401786" w14:paraId="2266C963"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680BF3" w14:textId="77777777" w:rsidR="00401786" w:rsidRDefault="00C64FB3" w:rsidP="000E757E">
            <w:pPr>
              <w:snapToGrid w:val="0"/>
              <w:spacing w:line="240" w:lineRule="atLeast"/>
              <w:jc w:val="center"/>
            </w:pPr>
            <w:r>
              <w:rPr>
                <w:rFonts w:ascii="標楷體" w:eastAsia="標楷體" w:hAnsi="標楷體" w:cs="標楷體"/>
                <w:color w:val="000000"/>
              </w:rPr>
              <w:t>□是</w:t>
            </w:r>
          </w:p>
          <w:p w14:paraId="1C9F5E9E"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FD9842" w14:textId="77777777" w:rsidR="00401786" w:rsidRDefault="00C64FB3" w:rsidP="000E757E">
            <w:pPr>
              <w:snapToGrid w:val="0"/>
              <w:spacing w:line="240" w:lineRule="atLeast"/>
              <w:jc w:val="both"/>
            </w:pPr>
            <w:r>
              <w:rPr>
                <w:rFonts w:ascii="標楷體" w:eastAsia="標楷體" w:hAnsi="標楷體" w:cs="標楷體"/>
              </w:rPr>
              <w:t>病患是否有免疫功能不全。</w:t>
            </w:r>
          </w:p>
        </w:tc>
        <w:tc>
          <w:tcPr>
            <w:tcW w:w="40" w:type="dxa"/>
            <w:shd w:val="clear" w:color="auto" w:fill="auto"/>
            <w:tcMar>
              <w:top w:w="0" w:type="dxa"/>
              <w:left w:w="10" w:type="dxa"/>
              <w:bottom w:w="0" w:type="dxa"/>
              <w:right w:w="10" w:type="dxa"/>
            </w:tcMar>
          </w:tcPr>
          <w:p w14:paraId="23C6F30C" w14:textId="77777777" w:rsidR="00401786" w:rsidRDefault="00401786" w:rsidP="000E757E">
            <w:pPr>
              <w:snapToGrid w:val="0"/>
              <w:spacing w:line="240" w:lineRule="atLeast"/>
              <w:jc w:val="both"/>
            </w:pPr>
          </w:p>
        </w:tc>
      </w:tr>
      <w:tr w:rsidR="00401786" w14:paraId="499013F1"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488D04" w14:textId="77777777" w:rsidR="00401786" w:rsidRDefault="00C64FB3" w:rsidP="000E757E">
            <w:pPr>
              <w:snapToGrid w:val="0"/>
              <w:spacing w:line="240" w:lineRule="atLeast"/>
              <w:jc w:val="center"/>
            </w:pPr>
            <w:r>
              <w:rPr>
                <w:rFonts w:ascii="標楷體" w:eastAsia="標楷體" w:hAnsi="標楷體" w:cs="標楷體"/>
                <w:color w:val="000000"/>
              </w:rPr>
              <w:t>□是</w:t>
            </w:r>
          </w:p>
          <w:p w14:paraId="6656B92E"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0AF4AD" w14:textId="77777777" w:rsidR="00401786" w:rsidRDefault="00C64FB3" w:rsidP="000E757E">
            <w:pPr>
              <w:snapToGrid w:val="0"/>
              <w:spacing w:line="240" w:lineRule="atLeast"/>
              <w:jc w:val="both"/>
              <w:rPr>
                <w:rFonts w:ascii="標楷體" w:eastAsia="標楷體" w:hAnsi="標楷體"/>
                <w:color w:val="000000"/>
              </w:rPr>
            </w:pPr>
            <w:r>
              <w:rPr>
                <w:rFonts w:ascii="標楷體" w:eastAsia="標楷體" w:hAnsi="標楷體"/>
                <w:color w:val="000000"/>
              </w:rPr>
              <w:t>使用後療效</w:t>
            </w:r>
            <w:proofErr w:type="gramStart"/>
            <w:r>
              <w:rPr>
                <w:rFonts w:ascii="標楷體" w:eastAsia="標楷體" w:hAnsi="標楷體"/>
                <w:color w:val="000000"/>
              </w:rPr>
              <w:t>不</w:t>
            </w:r>
            <w:proofErr w:type="gramEnd"/>
            <w:r>
              <w:rPr>
                <w:rFonts w:ascii="標楷體" w:eastAsia="標楷體" w:hAnsi="標楷體"/>
                <w:color w:val="000000"/>
              </w:rPr>
              <w:t>彰：經過六個月治療後，未達療效反應標準或有惡化現象。</w:t>
            </w:r>
          </w:p>
        </w:tc>
        <w:tc>
          <w:tcPr>
            <w:tcW w:w="40" w:type="dxa"/>
            <w:shd w:val="clear" w:color="auto" w:fill="auto"/>
            <w:tcMar>
              <w:top w:w="0" w:type="dxa"/>
              <w:left w:w="10" w:type="dxa"/>
              <w:bottom w:w="0" w:type="dxa"/>
              <w:right w:w="10" w:type="dxa"/>
            </w:tcMar>
          </w:tcPr>
          <w:p w14:paraId="475957F4" w14:textId="77777777" w:rsidR="00401786" w:rsidRDefault="00401786" w:rsidP="000E757E">
            <w:pPr>
              <w:snapToGrid w:val="0"/>
              <w:spacing w:line="240" w:lineRule="atLeast"/>
              <w:jc w:val="both"/>
              <w:rPr>
                <w:rFonts w:ascii="標楷體" w:eastAsia="標楷體" w:hAnsi="標楷體"/>
                <w:color w:val="000000"/>
              </w:rPr>
            </w:pPr>
          </w:p>
        </w:tc>
      </w:tr>
      <w:tr w:rsidR="00401786" w14:paraId="4569CCD2"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59D865" w14:textId="77777777" w:rsidR="00401786" w:rsidRDefault="00C64FB3" w:rsidP="000E757E">
            <w:pPr>
              <w:snapToGrid w:val="0"/>
              <w:spacing w:line="240" w:lineRule="atLeast"/>
              <w:jc w:val="center"/>
            </w:pPr>
            <w:r>
              <w:rPr>
                <w:rFonts w:ascii="標楷體" w:eastAsia="標楷體" w:hAnsi="標楷體" w:cs="標楷體"/>
                <w:color w:val="000000"/>
              </w:rPr>
              <w:t>□是</w:t>
            </w:r>
          </w:p>
          <w:p w14:paraId="0CCF7E59"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2EE624" w14:textId="77777777" w:rsidR="00401786" w:rsidRDefault="00C64FB3" w:rsidP="000E757E">
            <w:pPr>
              <w:snapToGrid w:val="0"/>
              <w:spacing w:line="240" w:lineRule="atLeast"/>
              <w:jc w:val="both"/>
              <w:rPr>
                <w:rFonts w:ascii="標楷體" w:eastAsia="標楷體" w:hAnsi="標楷體"/>
                <w:color w:val="000000"/>
              </w:rPr>
            </w:pPr>
            <w:r>
              <w:rPr>
                <w:rFonts w:ascii="標楷體" w:eastAsia="標楷體" w:hAnsi="標楷體"/>
                <w:color w:val="000000"/>
              </w:rPr>
              <w:t>使用後發生懷孕或不良事件(包括：惡性腫瘤、該藥物引起的嚴重毒性、嚴重的感染性疾病)。</w:t>
            </w:r>
          </w:p>
        </w:tc>
        <w:tc>
          <w:tcPr>
            <w:tcW w:w="40" w:type="dxa"/>
            <w:shd w:val="clear" w:color="auto" w:fill="auto"/>
            <w:tcMar>
              <w:top w:w="0" w:type="dxa"/>
              <w:left w:w="10" w:type="dxa"/>
              <w:bottom w:w="0" w:type="dxa"/>
              <w:right w:w="10" w:type="dxa"/>
            </w:tcMar>
          </w:tcPr>
          <w:p w14:paraId="153FA356" w14:textId="77777777" w:rsidR="00401786" w:rsidRDefault="00401786" w:rsidP="000E757E">
            <w:pPr>
              <w:snapToGrid w:val="0"/>
              <w:spacing w:line="240" w:lineRule="atLeast"/>
              <w:jc w:val="both"/>
              <w:rPr>
                <w:rFonts w:ascii="標楷體" w:eastAsia="標楷體" w:hAnsi="標楷體"/>
                <w:color w:val="000000"/>
              </w:rPr>
            </w:pPr>
          </w:p>
        </w:tc>
      </w:tr>
    </w:tbl>
    <w:p w14:paraId="06E35F12" w14:textId="77777777" w:rsidR="00401786" w:rsidRDefault="00401786" w:rsidP="000E757E">
      <w:pPr>
        <w:snapToGrid w:val="0"/>
        <w:spacing w:line="240" w:lineRule="atLeast"/>
        <w:ind w:left="720" w:firstLine="120"/>
        <w:rPr>
          <w:rFonts w:ascii="標楷體" w:eastAsia="標楷體" w:hAnsi="標楷體" w:cs="標楷體"/>
          <w:color w:val="000000"/>
        </w:rPr>
      </w:pPr>
    </w:p>
    <w:p w14:paraId="5BC2F3A7" w14:textId="77777777" w:rsidR="00401786" w:rsidRDefault="00C64FB3" w:rsidP="000E757E">
      <w:pPr>
        <w:snapToGrid w:val="0"/>
        <w:spacing w:line="240" w:lineRule="atLeast"/>
        <w:ind w:left="720" w:firstLine="120"/>
      </w:pPr>
      <w:r>
        <w:rPr>
          <w:rFonts w:ascii="標楷體" w:eastAsia="標楷體" w:hAnsi="標楷體" w:cs="標楷體"/>
          <w:color w:val="000000"/>
        </w:rPr>
        <w:t>申請醫師(簽名蓋章)：</w:t>
      </w:r>
    </w:p>
    <w:p w14:paraId="610A3DC2" w14:textId="77777777" w:rsidR="00401786" w:rsidRDefault="00C64FB3" w:rsidP="000E757E">
      <w:pPr>
        <w:snapToGrid w:val="0"/>
        <w:spacing w:line="240" w:lineRule="atLeast"/>
        <w:ind w:left="720" w:firstLine="120"/>
      </w:pPr>
      <w:r>
        <w:rPr>
          <w:rFonts w:ascii="標楷體" w:eastAsia="標楷體" w:hAnsi="標楷體" w:cs="標楷體"/>
          <w:color w:val="000000"/>
        </w:rPr>
        <w:t>內科專科醫師證書：內專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
    <w:p w14:paraId="60F0317D" w14:textId="77777777" w:rsidR="00401786" w:rsidRDefault="00C64FB3" w:rsidP="000E757E">
      <w:pPr>
        <w:snapToGrid w:val="0"/>
        <w:spacing w:line="240" w:lineRule="atLeast"/>
        <w:ind w:left="720" w:firstLine="120"/>
      </w:pPr>
      <w:r>
        <w:rPr>
          <w:rFonts w:ascii="標楷體" w:eastAsia="標楷體" w:hAnsi="標楷體" w:cs="標楷體"/>
          <w:color w:val="000000"/>
        </w:rPr>
        <w:t>風濕病專科醫師證書：中</w:t>
      </w:r>
      <w:proofErr w:type="gramStart"/>
      <w:r>
        <w:rPr>
          <w:rFonts w:ascii="標楷體" w:eastAsia="標楷體" w:hAnsi="標楷體" w:cs="標楷體"/>
          <w:color w:val="000000"/>
        </w:rPr>
        <w:t>僂</w:t>
      </w:r>
      <w:proofErr w:type="gramEnd"/>
      <w:r>
        <w:rPr>
          <w:rFonts w:ascii="標楷體" w:eastAsia="標楷體" w:hAnsi="標楷體" w:cs="標楷體"/>
          <w:color w:val="000000"/>
        </w:rPr>
        <w:t>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roofErr w:type="gramStart"/>
      <w:r>
        <w:rPr>
          <w:rFonts w:ascii="標楷體" w:eastAsia="標楷體" w:hAnsi="標楷體" w:cs="標楷體"/>
          <w:color w:val="000000"/>
        </w:rPr>
        <w:t>醫</w:t>
      </w:r>
      <w:proofErr w:type="gramEnd"/>
      <w:r>
        <w:rPr>
          <w:rFonts w:ascii="標楷體" w:eastAsia="標楷體" w:hAnsi="標楷體" w:cs="標楷體"/>
          <w:color w:val="000000"/>
        </w:rPr>
        <w:t>事機構章戳：</w:t>
      </w:r>
    </w:p>
    <w:p w14:paraId="79A76578" w14:textId="77777777" w:rsidR="00401786" w:rsidRDefault="00C64FB3" w:rsidP="000E757E">
      <w:pPr>
        <w:snapToGrid w:val="0"/>
        <w:spacing w:line="240" w:lineRule="atLeast"/>
        <w:ind w:left="720" w:firstLine="120"/>
      </w:pPr>
      <w:r>
        <w:rPr>
          <w:rFonts w:ascii="標楷體" w:eastAsia="標楷體" w:hAnsi="標楷體" w:cs="標楷體"/>
          <w:color w:val="000000"/>
        </w:rPr>
        <w:t>小兒科專科醫師證書：兒專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
    <w:p w14:paraId="25EC9D5D" w14:textId="77777777" w:rsidR="00401786" w:rsidRDefault="00C64FB3" w:rsidP="000E757E">
      <w:pPr>
        <w:snapToGrid w:val="0"/>
        <w:spacing w:line="240" w:lineRule="atLeast"/>
        <w:ind w:left="720" w:firstLine="120"/>
      </w:pPr>
      <w:r>
        <w:rPr>
          <w:rFonts w:ascii="標楷體" w:eastAsia="標楷體" w:hAnsi="標楷體" w:cs="標楷體"/>
          <w:color w:val="000000"/>
        </w:rPr>
        <w:t>小兒過敏免疫專科醫師證書:專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
    <w:p w14:paraId="015DBA80" w14:textId="77777777" w:rsidR="00401786" w:rsidRDefault="00401786" w:rsidP="000E757E">
      <w:pPr>
        <w:snapToGrid w:val="0"/>
        <w:spacing w:line="240" w:lineRule="atLeast"/>
        <w:jc w:val="center"/>
        <w:rPr>
          <w:rFonts w:ascii="標楷體" w:eastAsia="標楷體" w:hAnsi="標楷體"/>
          <w:color w:val="000000"/>
          <w:sz w:val="32"/>
          <w:szCs w:val="32"/>
        </w:rPr>
      </w:pPr>
    </w:p>
    <w:p w14:paraId="03C87F72" w14:textId="77777777" w:rsidR="00401786" w:rsidRDefault="00C64FB3" w:rsidP="000E757E">
      <w:pPr>
        <w:pageBreakBefore/>
        <w:widowControl/>
        <w:snapToGrid w:val="0"/>
        <w:spacing w:line="240" w:lineRule="atLeast"/>
        <w:jc w:val="center"/>
      </w:pPr>
      <w:r>
        <w:rPr>
          <w:rFonts w:ascii="標楷體" w:eastAsia="標楷體" w:hAnsi="標楷體"/>
          <w:color w:val="000000"/>
        </w:rPr>
        <w:lastRenderedPageBreak/>
        <w:t>附表十七全民健康保險使用Tacrolimus兒童患部面積計算圖</w:t>
      </w:r>
    </w:p>
    <w:p w14:paraId="3DCDDBB5" w14:textId="77777777" w:rsidR="00401786" w:rsidRDefault="00C64FB3" w:rsidP="000E757E">
      <w:pPr>
        <w:snapToGrid w:val="0"/>
        <w:spacing w:line="240" w:lineRule="atLeast"/>
        <w:jc w:val="center"/>
      </w:pPr>
      <w:proofErr w:type="spellStart"/>
      <w:r>
        <w:rPr>
          <w:rFonts w:ascii="標楷體" w:eastAsia="標楷體" w:hAnsi="標楷體"/>
          <w:color w:val="000000"/>
        </w:rPr>
        <w:t>Barkin</w:t>
      </w:r>
      <w:proofErr w:type="spellEnd"/>
      <w:r>
        <w:rPr>
          <w:rFonts w:ascii="標楷體" w:eastAsia="標楷體" w:hAnsi="標楷體"/>
          <w:b/>
          <w:bCs/>
          <w:color w:val="000000"/>
        </w:rPr>
        <w:t>公式</w:t>
      </w:r>
    </w:p>
    <w:p w14:paraId="1D7282EF" w14:textId="77777777" w:rsidR="00401786" w:rsidRDefault="00C64FB3" w:rsidP="000E757E">
      <w:pPr>
        <w:snapToGrid w:val="0"/>
        <w:spacing w:line="240" w:lineRule="atLeast"/>
        <w:jc w:val="center"/>
        <w:sectPr w:rsidR="00401786">
          <w:headerReference w:type="default" r:id="rId16"/>
          <w:footerReference w:type="default" r:id="rId17"/>
          <w:pgSz w:w="11906" w:h="16838"/>
          <w:pgMar w:top="1134" w:right="567" w:bottom="1134" w:left="567" w:header="720" w:footer="720" w:gutter="0"/>
          <w:cols w:space="720"/>
          <w:docGrid w:type="linesAndChars"/>
        </w:sectPr>
      </w:pPr>
      <w:r>
        <w:rPr>
          <w:rFonts w:ascii="標楷體" w:eastAsia="標楷體" w:hAnsi="標楷體"/>
          <w:b/>
          <w:noProof/>
          <w:color w:val="000000"/>
          <w:sz w:val="36"/>
          <w:szCs w:val="36"/>
        </w:rPr>
        <w:drawing>
          <wp:inline distT="0" distB="0" distL="0" distR="0" wp14:anchorId="76722D8E" wp14:editId="154AA3B7">
            <wp:extent cx="5096508" cy="6583680"/>
            <wp:effectExtent l="0" t="0" r="8892" b="7620"/>
            <wp:docPr id="12" name="圖片 1" descr="兒童"/>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096508" cy="6583680"/>
                    </a:xfrm>
                    <a:prstGeom prst="rect">
                      <a:avLst/>
                    </a:prstGeom>
                    <a:noFill/>
                    <a:ln>
                      <a:noFill/>
                      <a:prstDash/>
                    </a:ln>
                  </pic:spPr>
                </pic:pic>
              </a:graphicData>
            </a:graphic>
          </wp:inline>
        </w:drawing>
      </w:r>
    </w:p>
    <w:p w14:paraId="4D15CCB0" w14:textId="77777777" w:rsidR="00401786" w:rsidRDefault="00401786" w:rsidP="000E757E">
      <w:pPr>
        <w:spacing w:line="240" w:lineRule="atLeast"/>
      </w:pPr>
    </w:p>
    <w:p w14:paraId="585A48D0" w14:textId="77777777" w:rsidR="00401786" w:rsidRPr="00F37647" w:rsidRDefault="00C64FB3" w:rsidP="000E757E">
      <w:pPr>
        <w:spacing w:line="240" w:lineRule="atLeast"/>
        <w:jc w:val="center"/>
        <w:rPr>
          <w:sz w:val="22"/>
          <w:szCs w:val="20"/>
        </w:rPr>
      </w:pPr>
      <w:r w:rsidRPr="00F37647">
        <w:rPr>
          <w:noProof/>
          <w:sz w:val="20"/>
          <w:szCs w:val="18"/>
        </w:rPr>
        <mc:AlternateContent>
          <mc:Choice Requires="wps">
            <w:drawing>
              <wp:anchor distT="0" distB="0" distL="114300" distR="114300" simplePos="0" relativeHeight="251655168" behindDoc="0" locked="0" layoutInCell="1" allowOverlap="1" wp14:anchorId="6B776916" wp14:editId="5F076761">
                <wp:simplePos x="0" y="0"/>
                <wp:positionH relativeFrom="column">
                  <wp:posOffset>-369573</wp:posOffset>
                </wp:positionH>
                <wp:positionV relativeFrom="paragraph">
                  <wp:posOffset>-737235</wp:posOffset>
                </wp:positionV>
                <wp:extent cx="2209803" cy="805815"/>
                <wp:effectExtent l="0" t="0" r="0" b="0"/>
                <wp:wrapNone/>
                <wp:docPr id="13" name="文字方塊 6"/>
                <wp:cNvGraphicFramePr/>
                <a:graphic xmlns:a="http://schemas.openxmlformats.org/drawingml/2006/main">
                  <a:graphicData uri="http://schemas.microsoft.com/office/word/2010/wordprocessingShape">
                    <wps:wsp>
                      <wps:cNvSpPr txBox="1"/>
                      <wps:spPr>
                        <a:xfrm>
                          <a:off x="0" y="0"/>
                          <a:ext cx="2209803" cy="805815"/>
                        </a:xfrm>
                        <a:prstGeom prst="rect">
                          <a:avLst/>
                        </a:prstGeom>
                        <a:noFill/>
                        <a:ln>
                          <a:noFill/>
                          <a:prstDash/>
                        </a:ln>
                      </wps:spPr>
                      <wps:txbx>
                        <w:txbxContent>
                          <w:p w14:paraId="66A8371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E5658A7"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p w14:paraId="3193DCB4" w14:textId="77777777" w:rsidR="00C6448D" w:rsidRDefault="00C6448D">
                            <w:pPr>
                              <w:numPr>
                                <w:ilvl w:val="0"/>
                                <w:numId w:val="80"/>
                              </w:numPr>
                              <w:spacing w:line="360" w:lineRule="exact"/>
                              <w:rPr>
                                <w:rFonts w:eastAsia="標楷體"/>
                                <w:b/>
                                <w:sz w:val="28"/>
                                <w:szCs w:val="28"/>
                              </w:rPr>
                            </w:pPr>
                            <w:r>
                              <w:rPr>
                                <w:rFonts w:eastAsia="標楷體"/>
                                <w:b/>
                                <w:sz w:val="28"/>
                                <w:szCs w:val="28"/>
                              </w:rPr>
                              <w:t>免疫耐受治療</w:t>
                            </w:r>
                          </w:p>
                        </w:txbxContent>
                      </wps:txbx>
                      <wps:bodyPr vert="horz" wrap="square" lIns="91440" tIns="45720" rIns="91440" bIns="45720" anchor="t" anchorCtr="0" compatLnSpc="0">
                        <a:noAutofit/>
                      </wps:bodyPr>
                    </wps:wsp>
                  </a:graphicData>
                </a:graphic>
              </wp:anchor>
            </w:drawing>
          </mc:Choice>
          <mc:Fallback>
            <w:pict>
              <v:shape w14:anchorId="6B776916" id="文字方塊 6" o:spid="_x0000_s1032" type="#_x0000_t202" style="position:absolute;left:0;text-align:left;margin-left:-29.1pt;margin-top:-58.05pt;width:174pt;height:63.4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" filled="f" stroked="f">
                <v:textbox>
                  <w:txbxContent>
                    <w:p w14:paraId="66A8371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E5658A7"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p w14:paraId="3193DCB4" w14:textId="77777777" w:rsidR="00C6448D" w:rsidRDefault="00C6448D">
                      <w:pPr>
                        <w:numPr>
                          <w:ilvl w:val="0"/>
                          <w:numId w:val="80"/>
                        </w:numPr>
                        <w:spacing w:line="360" w:lineRule="exact"/>
                        <w:rPr>
                          <w:rFonts w:eastAsia="標楷體"/>
                          <w:b/>
                          <w:sz w:val="28"/>
                          <w:szCs w:val="28"/>
                        </w:rPr>
                      </w:pPr>
                      <w:r>
                        <w:rPr>
                          <w:rFonts w:eastAsia="標楷體"/>
                          <w:b/>
                          <w:sz w:val="28"/>
                          <w:szCs w:val="28"/>
                        </w:rPr>
                        <w:t>免疫耐受治療</w:t>
                      </w:r>
                    </w:p>
                  </w:txbxContent>
                </v:textbox>
              </v:shape>
            </w:pict>
          </mc:Fallback>
        </mc:AlternateContent>
      </w:r>
      <w:r w:rsidRPr="00F37647">
        <w:rPr>
          <w:rFonts w:ascii="標楷體" w:eastAsia="標楷體" w:hAnsi="標楷體"/>
          <w:sz w:val="28"/>
          <w:szCs w:val="18"/>
        </w:rPr>
        <w:t>附表十八之</w:t>
      </w:r>
      <w:proofErr w:type="gramStart"/>
      <w:r w:rsidRPr="00F37647">
        <w:rPr>
          <w:rFonts w:ascii="標楷體" w:eastAsia="標楷體" w:hAnsi="標楷體"/>
          <w:sz w:val="28"/>
          <w:szCs w:val="18"/>
        </w:rPr>
        <w:t>一</w:t>
      </w:r>
      <w:proofErr w:type="gramEnd"/>
      <w:r w:rsidRPr="00F37647">
        <w:rPr>
          <w:rFonts w:ascii="標楷體" w:eastAsia="標楷體" w:hAnsi="標楷體"/>
          <w:sz w:val="28"/>
          <w:szCs w:val="18"/>
        </w:rPr>
        <w:t xml:space="preserve">  全民健康保險血友病患者使用「第八、第九凝血因子」在家治療紀錄表</w:t>
      </w:r>
    </w:p>
    <w:p w14:paraId="30C15FDD" w14:textId="77777777" w:rsidR="00E76E04" w:rsidRDefault="00E76E04" w:rsidP="000E757E">
      <w:pPr>
        <w:spacing w:line="240" w:lineRule="atLeast"/>
        <w:rPr>
          <w:rFonts w:ascii="標楷體" w:eastAsia="標楷體" w:hAnsi="標楷體"/>
          <w:szCs w:val="24"/>
        </w:rPr>
      </w:pPr>
    </w:p>
    <w:p w14:paraId="1AA83B57" w14:textId="3AA6EC3B" w:rsidR="00401786" w:rsidRPr="005839D7" w:rsidRDefault="00C64FB3" w:rsidP="000E757E">
      <w:pPr>
        <w:spacing w:line="240" w:lineRule="atLeast"/>
        <w:rPr>
          <w:szCs w:val="24"/>
        </w:rPr>
      </w:pPr>
      <w:r w:rsidRPr="005839D7">
        <w:rPr>
          <w:rFonts w:ascii="標楷體" w:eastAsia="標楷體" w:hAnsi="標楷體"/>
          <w:szCs w:val="24"/>
        </w:rPr>
        <w:t>姓名：</w:t>
      </w:r>
      <w:r w:rsidRPr="005839D7">
        <w:rPr>
          <w:rFonts w:ascii="標楷體" w:eastAsia="標楷體" w:hAnsi="標楷體"/>
          <w:szCs w:val="24"/>
          <w:u w:val="single"/>
        </w:rPr>
        <w:t xml:space="preserve">　　　　　　　</w:t>
      </w:r>
      <w:r w:rsidRPr="005839D7">
        <w:rPr>
          <w:rFonts w:ascii="標楷體" w:eastAsia="標楷體" w:hAnsi="標楷體"/>
          <w:szCs w:val="24"/>
        </w:rPr>
        <w:t xml:space="preserve">　　　體重：</w:t>
      </w:r>
      <w:r w:rsidRPr="005839D7">
        <w:rPr>
          <w:rFonts w:ascii="標楷體" w:eastAsia="標楷體" w:hAnsi="標楷體"/>
          <w:szCs w:val="24"/>
          <w:u w:val="single"/>
        </w:rPr>
        <w:t xml:space="preserve">　　　　　</w:t>
      </w:r>
      <w:r w:rsidRPr="005839D7">
        <w:rPr>
          <w:rFonts w:ascii="標楷體" w:eastAsia="標楷體" w:hAnsi="標楷體"/>
          <w:szCs w:val="24"/>
        </w:rPr>
        <w:t>公斤    診斷：□</w:t>
      </w:r>
      <w:proofErr w:type="gramStart"/>
      <w:r w:rsidRPr="005839D7">
        <w:rPr>
          <w:rFonts w:ascii="標楷體" w:eastAsia="標楷體" w:hAnsi="標楷體"/>
          <w:szCs w:val="24"/>
        </w:rPr>
        <w:t>Ａ</w:t>
      </w:r>
      <w:proofErr w:type="gramEnd"/>
      <w:r w:rsidRPr="005839D7">
        <w:rPr>
          <w:rFonts w:ascii="標楷體" w:eastAsia="標楷體" w:hAnsi="標楷體"/>
          <w:szCs w:val="24"/>
        </w:rPr>
        <w:t>型血友病　□輕度　□中度　□重度　□其他</w:t>
      </w:r>
    </w:p>
    <w:p w14:paraId="42F94209" w14:textId="77777777" w:rsidR="00401786" w:rsidRPr="005839D7" w:rsidRDefault="00C64FB3" w:rsidP="000E757E">
      <w:pPr>
        <w:spacing w:line="240" w:lineRule="atLeast"/>
        <w:ind w:firstLine="280"/>
        <w:rPr>
          <w:rFonts w:ascii="標楷體" w:eastAsia="標楷體" w:hAnsi="標楷體"/>
          <w:szCs w:val="24"/>
        </w:rPr>
      </w:pPr>
      <w:r w:rsidRPr="005839D7">
        <w:rPr>
          <w:rFonts w:ascii="標楷體" w:eastAsia="標楷體" w:hAnsi="標楷體"/>
          <w:szCs w:val="24"/>
        </w:rPr>
        <w:t xml:space="preserve">　　　　　　　　　　　　　　　　　　　　　　　　　    □</w:t>
      </w:r>
      <w:proofErr w:type="gramStart"/>
      <w:r w:rsidRPr="005839D7">
        <w:rPr>
          <w:rFonts w:ascii="標楷體" w:eastAsia="標楷體" w:hAnsi="標楷體"/>
          <w:szCs w:val="24"/>
        </w:rPr>
        <w:t>Ｂ</w:t>
      </w:r>
      <w:proofErr w:type="gramEnd"/>
      <w:r w:rsidRPr="005839D7">
        <w:rPr>
          <w:rFonts w:ascii="標楷體" w:eastAsia="標楷體" w:hAnsi="標楷體"/>
          <w:szCs w:val="24"/>
        </w:rPr>
        <w:t>型血友病　□輕度　□中度　□重度</w:t>
      </w:r>
    </w:p>
    <w:p w14:paraId="6F672D68" w14:textId="77777777" w:rsidR="00401786" w:rsidRPr="005839D7" w:rsidRDefault="00C64FB3" w:rsidP="000E757E">
      <w:pPr>
        <w:spacing w:line="240" w:lineRule="atLeast"/>
        <w:rPr>
          <w:szCs w:val="24"/>
        </w:rPr>
      </w:pPr>
      <w:r w:rsidRPr="005839D7">
        <w:rPr>
          <w:rFonts w:ascii="標楷體" w:eastAsia="標楷體" w:hAnsi="標楷體"/>
          <w:szCs w:val="24"/>
        </w:rPr>
        <w:t>領藥日(年/月/日</w:t>
      </w:r>
      <w:proofErr w:type="gramStart"/>
      <w:r w:rsidRPr="005839D7">
        <w:rPr>
          <w:rFonts w:ascii="標楷體" w:eastAsia="標楷體" w:hAnsi="標楷體"/>
          <w:szCs w:val="24"/>
        </w:rPr>
        <w:t>）</w:t>
      </w:r>
      <w:proofErr w:type="gramEnd"/>
      <w:r w:rsidRPr="005839D7">
        <w:rPr>
          <w:rFonts w:ascii="標楷體" w:eastAsia="標楷體" w:hAnsi="標楷體"/>
          <w:szCs w:val="24"/>
        </w:rPr>
        <w:t>：</w:t>
      </w:r>
      <w:r w:rsidRPr="005839D7">
        <w:rPr>
          <w:rFonts w:ascii="標楷體" w:eastAsia="標楷體" w:hAnsi="標楷體"/>
          <w:szCs w:val="24"/>
          <w:u w:val="single"/>
        </w:rPr>
        <w:t xml:space="preserve">　　／　　／　　</w:t>
      </w:r>
      <w:r w:rsidRPr="005839D7">
        <w:rPr>
          <w:rFonts w:ascii="標楷體" w:eastAsia="標楷體" w:hAnsi="標楷體"/>
          <w:szCs w:val="24"/>
        </w:rPr>
        <w:t xml:space="preserve">      </w:t>
      </w:r>
      <w:r w:rsidRPr="005839D7">
        <w:rPr>
          <w:rFonts w:ascii="標楷體" w:eastAsia="標楷體" w:hAnsi="標楷體"/>
          <w:color w:val="000000"/>
          <w:szCs w:val="24"/>
        </w:rPr>
        <w:t>領藥量(瓶)：</w:t>
      </w:r>
      <w:r w:rsidRPr="005839D7">
        <w:rPr>
          <w:rFonts w:ascii="標楷體" w:eastAsia="標楷體" w:hAnsi="標楷體"/>
          <w:color w:val="000000"/>
          <w:szCs w:val="24"/>
          <w:u w:val="single"/>
        </w:rPr>
        <w:t xml:space="preserve">               </w:t>
      </w:r>
      <w:r w:rsidRPr="005839D7">
        <w:rPr>
          <w:rFonts w:ascii="標楷體" w:eastAsia="標楷體" w:hAnsi="標楷體"/>
          <w:color w:val="000000"/>
          <w:szCs w:val="24"/>
        </w:rPr>
        <w:t xml:space="preserve">      藥品名稱及批號：</w:t>
      </w:r>
      <w:r w:rsidRPr="005839D7">
        <w:rPr>
          <w:rFonts w:ascii="標楷體" w:eastAsia="標楷體" w:hAnsi="標楷體"/>
          <w:color w:val="000000"/>
          <w:szCs w:val="24"/>
          <w:u w:val="single"/>
        </w:rPr>
        <w:t xml:space="preserve">　</w:t>
      </w:r>
      <w:r w:rsidRPr="005839D7">
        <w:rPr>
          <w:rFonts w:ascii="標楷體" w:eastAsia="標楷體" w:hAnsi="標楷體"/>
          <w:szCs w:val="24"/>
          <w:u w:val="single"/>
        </w:rPr>
        <w:t xml:space="preserve">　              </w:t>
      </w:r>
    </w:p>
    <w:p w14:paraId="6445DC53" w14:textId="77777777" w:rsidR="00401786" w:rsidRPr="005839D7" w:rsidRDefault="00C64FB3" w:rsidP="000E757E">
      <w:pPr>
        <w:spacing w:line="240" w:lineRule="atLeast"/>
        <w:rPr>
          <w:szCs w:val="24"/>
        </w:rPr>
      </w:pPr>
      <w:r w:rsidRPr="005839D7">
        <w:rPr>
          <w:rFonts w:ascii="標楷體" w:eastAsia="標楷體" w:hAnsi="標楷體"/>
          <w:szCs w:val="24"/>
        </w:rPr>
        <w:t>繳回空瓶數量及批號：</w:t>
      </w:r>
      <w:r w:rsidRPr="005839D7">
        <w:rPr>
          <w:rFonts w:ascii="標楷體" w:eastAsia="標楷體" w:hAnsi="標楷體"/>
          <w:szCs w:val="24"/>
          <w:u w:val="single"/>
        </w:rPr>
        <w:t xml:space="preserve">                   </w:t>
      </w:r>
      <w:r w:rsidRPr="005839D7">
        <w:rPr>
          <w:rFonts w:ascii="標楷體" w:eastAsia="標楷體" w:hAnsi="標楷體"/>
          <w:szCs w:val="24"/>
        </w:rPr>
        <w:t xml:space="preserve"> 上次家中剩餘藥量</w:t>
      </w:r>
      <w:r w:rsidRPr="005839D7">
        <w:rPr>
          <w:rFonts w:ascii="標楷體" w:eastAsia="標楷體" w:hAnsi="標楷體"/>
          <w:color w:val="000000"/>
          <w:szCs w:val="24"/>
        </w:rPr>
        <w:t>(瓶)</w:t>
      </w:r>
      <w:r w:rsidRPr="005839D7">
        <w:rPr>
          <w:rFonts w:ascii="標楷體" w:eastAsia="標楷體" w:hAnsi="標楷體"/>
          <w:szCs w:val="24"/>
        </w:rPr>
        <w:t>：</w:t>
      </w:r>
      <w:r w:rsidRPr="005839D7">
        <w:rPr>
          <w:rFonts w:ascii="標楷體" w:eastAsia="標楷體" w:hAnsi="標楷體"/>
          <w:szCs w:val="24"/>
          <w:u w:val="single"/>
        </w:rPr>
        <w:t xml:space="preserve">         </w:t>
      </w:r>
      <w:r w:rsidRPr="005839D7">
        <w:rPr>
          <w:rFonts w:ascii="標楷體" w:eastAsia="標楷體" w:hAnsi="標楷體"/>
          <w:szCs w:val="24"/>
        </w:rPr>
        <w:t xml:space="preserve">  確認人員簽名(章)：</w:t>
      </w:r>
      <w:r w:rsidRPr="005839D7">
        <w:rPr>
          <w:rFonts w:ascii="標楷體" w:eastAsia="標楷體" w:hAnsi="標楷體"/>
          <w:szCs w:val="24"/>
          <w:u w:val="single"/>
        </w:rPr>
        <w:t xml:space="preserve">                  </w:t>
      </w:r>
    </w:p>
    <w:tbl>
      <w:tblPr>
        <w:tblW w:w="15168" w:type="dxa"/>
        <w:tblInd w:w="-162" w:type="dxa"/>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968"/>
        <w:gridCol w:w="1134"/>
      </w:tblGrid>
      <w:tr w:rsidR="00401786" w:rsidRPr="005839D7" w14:paraId="5D828BA7" w14:textId="77777777">
        <w:trPr>
          <w:cantSplit/>
          <w:trHeight w:val="727"/>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224B92"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B9FDB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4697D0" w14:textId="77777777" w:rsidR="00401786" w:rsidRPr="005839D7" w:rsidRDefault="00C64FB3" w:rsidP="000E757E">
            <w:pPr>
              <w:spacing w:line="240" w:lineRule="atLeast"/>
              <w:ind w:left="113" w:right="113"/>
              <w:jc w:val="center"/>
              <w:rPr>
                <w:szCs w:val="24"/>
              </w:rPr>
            </w:pPr>
            <w:proofErr w:type="gramStart"/>
            <w:r w:rsidRPr="005839D7">
              <w:rPr>
                <w:rFonts w:ascii="標楷體" w:eastAsia="標楷體" w:hAnsi="標楷體"/>
                <w:szCs w:val="24"/>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3AF3F5"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ADDF57"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5DBE36"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出血部位</w:t>
            </w:r>
          </w:p>
          <w:p w14:paraId="7656DA88"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0A8718"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注射後效果</w:t>
            </w:r>
          </w:p>
        </w:tc>
        <w:tc>
          <w:tcPr>
            <w:tcW w:w="19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ED8EF2"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918AB2"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注射者簽名(章)</w:t>
            </w:r>
          </w:p>
        </w:tc>
      </w:tr>
      <w:tr w:rsidR="00401786" w:rsidRPr="005839D7" w14:paraId="0BD70D4E" w14:textId="77777777">
        <w:trPr>
          <w:cantSplit/>
          <w:trHeight w:val="42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34805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2BD742"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EDB00E"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87E1F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時間</w:t>
            </w:r>
          </w:p>
          <w:p w14:paraId="49F4117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4E5174"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979F76" w14:textId="77777777" w:rsidR="00401786" w:rsidRPr="005839D7"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CD6747"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0000D5" w14:textId="77777777" w:rsidR="00401786" w:rsidRPr="005839D7" w:rsidRDefault="00401786" w:rsidP="000E757E">
            <w:pPr>
              <w:spacing w:line="240" w:lineRule="atLeast"/>
              <w:jc w:val="center"/>
              <w:rPr>
                <w:rFonts w:ascii="標楷體" w:eastAsia="標楷體" w:hAnsi="標楷體"/>
                <w:szCs w:val="24"/>
              </w:rPr>
            </w:pPr>
          </w:p>
          <w:p w14:paraId="132CD6E7"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受傷後出血</w:t>
            </w:r>
          </w:p>
          <w:p w14:paraId="3A3D287F" w14:textId="77777777" w:rsidR="00401786" w:rsidRPr="005839D7"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475C0A"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A2C58B"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81647F"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F957C6"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A8EF2A"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未改善</w:t>
            </w:r>
          </w:p>
        </w:tc>
        <w:tc>
          <w:tcPr>
            <w:tcW w:w="19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EC0CDB" w14:textId="77777777" w:rsidR="00401786" w:rsidRPr="005839D7" w:rsidRDefault="00401786" w:rsidP="000E757E">
            <w:pPr>
              <w:spacing w:line="240" w:lineRule="atLeast"/>
              <w:rPr>
                <w:rFonts w:ascii="標楷體" w:eastAsia="標楷體" w:hAnsi="標楷體"/>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B5F079" w14:textId="77777777" w:rsidR="00401786" w:rsidRPr="005839D7" w:rsidRDefault="00401786" w:rsidP="000E757E">
            <w:pPr>
              <w:spacing w:line="240" w:lineRule="atLeast"/>
              <w:rPr>
                <w:rFonts w:ascii="標楷體" w:eastAsia="標楷體" w:hAnsi="標楷體"/>
                <w:szCs w:val="24"/>
              </w:rPr>
            </w:pPr>
          </w:p>
        </w:tc>
      </w:tr>
      <w:tr w:rsidR="00401786" w:rsidRPr="005839D7" w14:paraId="74E3A332" w14:textId="77777777">
        <w:trPr>
          <w:trHeight w:val="458"/>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26176A"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5D328B"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68F410"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67BD10"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CCF1F1"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6A904E"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2ECD6F"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8C1802"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81C1CB"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F46401"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AD83B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A28EA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472C41"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798B0F"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D8A94C" w14:textId="77777777" w:rsidR="00401786" w:rsidRPr="005839D7" w:rsidRDefault="00401786" w:rsidP="000E757E">
            <w:pPr>
              <w:spacing w:line="240" w:lineRule="atLeast"/>
              <w:rPr>
                <w:rFonts w:ascii="標楷體" w:eastAsia="標楷體" w:hAnsi="標楷體"/>
                <w:szCs w:val="24"/>
              </w:rPr>
            </w:pPr>
          </w:p>
        </w:tc>
      </w:tr>
      <w:tr w:rsidR="00401786" w:rsidRPr="005839D7" w14:paraId="0FDC0294" w14:textId="77777777">
        <w:trPr>
          <w:trHeight w:val="536"/>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F8A628"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0B2312"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4D61DF"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B09D6D"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942A47"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26AACD"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735F7A"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229F76"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4C7165"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A70F61"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05ADFF"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F0B420"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3B1B13"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8A6D83"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980A9E" w14:textId="77777777" w:rsidR="00401786" w:rsidRPr="005839D7" w:rsidRDefault="00401786" w:rsidP="000E757E">
            <w:pPr>
              <w:spacing w:line="240" w:lineRule="atLeast"/>
              <w:rPr>
                <w:rFonts w:ascii="標楷體" w:eastAsia="標楷體" w:hAnsi="標楷體"/>
                <w:szCs w:val="24"/>
              </w:rPr>
            </w:pPr>
          </w:p>
        </w:tc>
      </w:tr>
      <w:tr w:rsidR="00401786" w:rsidRPr="005839D7" w14:paraId="4D569BE1" w14:textId="77777777">
        <w:trPr>
          <w:trHeight w:val="57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5B9D91"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B88731"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27092A"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976A19"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CE12C1"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B24F82"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A0D617"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41FC1C"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718A27"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CDB4AF"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99987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7A962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DEFAE2"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4B8A18"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FD73F7" w14:textId="77777777" w:rsidR="00401786" w:rsidRPr="005839D7" w:rsidRDefault="00401786" w:rsidP="000E757E">
            <w:pPr>
              <w:spacing w:line="240" w:lineRule="atLeast"/>
              <w:rPr>
                <w:rFonts w:ascii="標楷體" w:eastAsia="標楷體" w:hAnsi="標楷體"/>
                <w:szCs w:val="24"/>
              </w:rPr>
            </w:pPr>
          </w:p>
        </w:tc>
      </w:tr>
      <w:tr w:rsidR="00401786" w:rsidRPr="005839D7" w14:paraId="7EDB173E" w14:textId="77777777">
        <w:trPr>
          <w:trHeight w:val="56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A6D5B7"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619231"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322AEF"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A5D117"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533706"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72A896"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BA604E"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0D53B3"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50B8D2"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CF0C02"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0C79A6"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A3B5BD"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7FE4BB"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76C84E"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F213D" w14:textId="77777777" w:rsidR="00401786" w:rsidRPr="005839D7" w:rsidRDefault="00401786" w:rsidP="000E757E">
            <w:pPr>
              <w:spacing w:line="240" w:lineRule="atLeast"/>
              <w:rPr>
                <w:rFonts w:ascii="標楷體" w:eastAsia="標楷體" w:hAnsi="標楷體"/>
                <w:szCs w:val="24"/>
              </w:rPr>
            </w:pPr>
          </w:p>
        </w:tc>
      </w:tr>
      <w:tr w:rsidR="00401786" w:rsidRPr="005839D7" w14:paraId="24D3E123" w14:textId="77777777">
        <w:trPr>
          <w:trHeight w:val="53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17AFEB"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C490BB"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F11EEA"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3BCDB3"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4F2BEF"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555CD9"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D7AF53"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6DC95D"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D2AFD4"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B036F4"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8E76F"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38163"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579AAA"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D55496"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1AB664" w14:textId="77777777" w:rsidR="00401786" w:rsidRPr="005839D7" w:rsidRDefault="00401786" w:rsidP="000E757E">
            <w:pPr>
              <w:spacing w:line="240" w:lineRule="atLeast"/>
              <w:rPr>
                <w:rFonts w:ascii="標楷體" w:eastAsia="標楷體" w:hAnsi="標楷體"/>
                <w:szCs w:val="24"/>
              </w:rPr>
            </w:pPr>
          </w:p>
        </w:tc>
      </w:tr>
    </w:tbl>
    <w:p w14:paraId="6F70C824" w14:textId="77777777" w:rsidR="00401786" w:rsidRPr="005839D7" w:rsidRDefault="00C64FB3" w:rsidP="000E757E">
      <w:pPr>
        <w:spacing w:line="240" w:lineRule="atLeast"/>
        <w:rPr>
          <w:rFonts w:ascii="標楷體" w:eastAsia="標楷體" w:hAnsi="標楷體"/>
          <w:szCs w:val="24"/>
        </w:rPr>
      </w:pPr>
      <w:r w:rsidRPr="005839D7">
        <w:rPr>
          <w:rFonts w:ascii="標楷體" w:eastAsia="標楷體" w:hAnsi="標楷體"/>
          <w:szCs w:val="24"/>
        </w:rPr>
        <w:t>備註：</w:t>
      </w:r>
    </w:p>
    <w:p w14:paraId="54BAF168" w14:textId="77777777" w:rsidR="00401786" w:rsidRPr="005839D7" w:rsidRDefault="00C64FB3" w:rsidP="000E757E">
      <w:pPr>
        <w:spacing w:line="240" w:lineRule="atLeast"/>
        <w:rPr>
          <w:rFonts w:ascii="標楷體" w:eastAsia="標楷體" w:hAnsi="標楷體"/>
          <w:szCs w:val="24"/>
        </w:rPr>
      </w:pPr>
      <w:r w:rsidRPr="005839D7">
        <w:rPr>
          <w:rFonts w:ascii="標楷體" w:eastAsia="標楷體" w:hAnsi="標楷體"/>
          <w:szCs w:val="24"/>
        </w:rPr>
        <w:t xml:space="preserve">  1.病人於下次</w:t>
      </w:r>
      <w:proofErr w:type="gramStart"/>
      <w:r w:rsidRPr="005839D7">
        <w:rPr>
          <w:rFonts w:ascii="標楷體" w:eastAsia="標楷體" w:hAnsi="標楷體"/>
          <w:szCs w:val="24"/>
        </w:rPr>
        <w:t>回診需攜帶</w:t>
      </w:r>
      <w:proofErr w:type="gramEnd"/>
      <w:r w:rsidRPr="005839D7">
        <w:rPr>
          <w:rFonts w:ascii="標楷體" w:eastAsia="標楷體" w:hAnsi="標楷體"/>
          <w:szCs w:val="24"/>
        </w:rPr>
        <w:t>此紀錄表，並請黏貼於病歷，同時繳回已注射後之空瓶備查。紀錄表未黏貼於回</w:t>
      </w:r>
      <w:proofErr w:type="gramStart"/>
      <w:r w:rsidRPr="005839D7">
        <w:rPr>
          <w:rFonts w:ascii="標楷體" w:eastAsia="標楷體" w:hAnsi="標楷體"/>
          <w:szCs w:val="24"/>
        </w:rPr>
        <w:t>診病歷及未</w:t>
      </w:r>
      <w:proofErr w:type="gramEnd"/>
      <w:r w:rsidRPr="005839D7">
        <w:rPr>
          <w:rFonts w:ascii="標楷體" w:eastAsia="標楷體" w:hAnsi="標楷體"/>
          <w:szCs w:val="24"/>
        </w:rPr>
        <w:t>繳回空瓶，則該項費用不予支付。</w:t>
      </w:r>
    </w:p>
    <w:p w14:paraId="22CC0504" w14:textId="77777777" w:rsidR="00401786" w:rsidRPr="005839D7" w:rsidRDefault="00C64FB3" w:rsidP="000E757E">
      <w:pPr>
        <w:spacing w:line="240" w:lineRule="atLeast"/>
        <w:rPr>
          <w:rFonts w:ascii="標楷體" w:eastAsia="標楷體" w:hAnsi="標楷體"/>
          <w:szCs w:val="24"/>
        </w:rPr>
      </w:pPr>
      <w:r w:rsidRPr="005839D7">
        <w:rPr>
          <w:rFonts w:ascii="標楷體" w:eastAsia="標楷體" w:hAnsi="標楷體"/>
          <w:szCs w:val="24"/>
        </w:rPr>
        <w:t xml:space="preserve">  2.領藥量請詳記藥品規格量</w:t>
      </w:r>
      <w:proofErr w:type="gramStart"/>
      <w:r w:rsidRPr="005839D7">
        <w:rPr>
          <w:rFonts w:ascii="標楷體" w:eastAsia="標楷體" w:hAnsi="標楷體"/>
          <w:szCs w:val="24"/>
        </w:rPr>
        <w:t>及瓶數</w:t>
      </w:r>
      <w:proofErr w:type="gramEnd"/>
      <w:r w:rsidRPr="005839D7">
        <w:rPr>
          <w:rFonts w:ascii="標楷體" w:eastAsia="標楷體" w:hAnsi="標楷體"/>
          <w:szCs w:val="24"/>
        </w:rPr>
        <w:t>，例如：500IU×2瓶，使用空瓶於繳回時，請由醫療院所相關人員進行確認(包含回收空瓶日期及總結存量等)，並請確認人員簽名(章)。</w:t>
      </w:r>
    </w:p>
    <w:p w14:paraId="07E922F4" w14:textId="13212EBD" w:rsidR="00401786" w:rsidRDefault="00C64FB3" w:rsidP="000E757E">
      <w:pPr>
        <w:spacing w:line="240" w:lineRule="atLeast"/>
        <w:sectPr w:rsidR="00401786">
          <w:footerReference w:type="default" r:id="rId19"/>
          <w:pgSz w:w="16838" w:h="11906" w:orient="landscape"/>
          <w:pgMar w:top="1247" w:right="1134" w:bottom="1247" w:left="1134" w:header="851" w:footer="964" w:gutter="0"/>
          <w:cols w:space="720"/>
          <w:docGrid w:type="linesAndChars"/>
        </w:sectPr>
      </w:pPr>
      <w:r w:rsidRPr="005839D7">
        <w:rPr>
          <w:rFonts w:ascii="標楷體" w:eastAsia="標楷體" w:hAnsi="標楷體"/>
          <w:szCs w:val="24"/>
        </w:rPr>
        <w:t xml:space="preserve">  3.出血部位說明請見背面圖示。               回收空瓶日期：</w:t>
      </w:r>
      <w:r w:rsidRPr="005839D7">
        <w:rPr>
          <w:rFonts w:ascii="標楷體" w:eastAsia="標楷體" w:hAnsi="標楷體"/>
          <w:szCs w:val="24"/>
          <w:u w:val="single"/>
        </w:rPr>
        <w:t xml:space="preserve">                </w:t>
      </w:r>
      <w:r w:rsidRPr="005839D7">
        <w:rPr>
          <w:rFonts w:ascii="標楷體" w:eastAsia="標楷體" w:hAnsi="標楷體"/>
          <w:szCs w:val="24"/>
        </w:rPr>
        <w:t xml:space="preserve">       總結存量</w:t>
      </w:r>
      <w:r w:rsidRPr="005839D7">
        <w:rPr>
          <w:rFonts w:ascii="標楷體" w:eastAsia="標楷體" w:hAnsi="標楷體"/>
          <w:color w:val="000000"/>
          <w:szCs w:val="24"/>
        </w:rPr>
        <w:t>(瓶)</w:t>
      </w:r>
      <w:r w:rsidRPr="005839D7">
        <w:rPr>
          <w:rFonts w:ascii="標楷體" w:eastAsia="標楷體" w:hAnsi="標楷體"/>
          <w:szCs w:val="24"/>
        </w:rPr>
        <w:t>：</w:t>
      </w:r>
      <w:r>
        <w:rPr>
          <w:rFonts w:ascii="標楷體" w:eastAsia="標楷體" w:hAnsi="標楷體"/>
          <w:sz w:val="28"/>
          <w:u w:val="single"/>
        </w:rPr>
        <w:t xml:space="preserve">                </w:t>
      </w:r>
      <w:r>
        <w:rPr>
          <w:rFonts w:ascii="標楷體" w:eastAsia="標楷體" w:hAnsi="標楷體"/>
          <w:sz w:val="28"/>
          <w:u w:val="single"/>
          <w:shd w:val="clear" w:color="auto" w:fill="FFFFFF"/>
        </w:rPr>
        <w:t xml:space="preserve"> </w:t>
      </w:r>
    </w:p>
    <w:p w14:paraId="15EE9C79" w14:textId="77777777" w:rsidR="00401786" w:rsidRDefault="00000000" w:rsidP="000E757E">
      <w:pPr>
        <w:snapToGrid w:val="0"/>
        <w:spacing w:line="240" w:lineRule="atLeast"/>
        <w:sectPr w:rsidR="00401786">
          <w:footerReference w:type="default" r:id="rId20"/>
          <w:pgSz w:w="11906" w:h="16838"/>
          <w:pgMar w:top="1134" w:right="1247" w:bottom="1134" w:left="1247" w:header="720" w:footer="720" w:gutter="0"/>
          <w:cols w:space="720"/>
          <w:docGrid w:type="linesAndChars"/>
        </w:sectPr>
      </w:pPr>
      <w:r>
        <w:rPr>
          <w:rFonts w:ascii="標楷體" w:eastAsia="標楷體" w:hAnsi="標楷體"/>
          <w:color w:val="000000"/>
        </w:rPr>
        <w:lastRenderedPageBreak/>
        <w:object w:dxaOrig="1440" w:dyaOrig="1440" w14:anchorId="75EA77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5" o:spid="_x0000_s2051" type="#_x0000_t75" style="position:absolute;margin-left:-43.5pt;margin-top:-9pt;width:564.2pt;height:700.35pt;z-index:251673600;visibility:visible;mso-wrap-style:square;mso-position-horizontal-relative:margin;mso-position-vertical-relative:margin">
            <v:imagedata r:id="rId21" o:title=""/>
            <w10:wrap type="square" anchorx="margin" anchory="margin"/>
          </v:shape>
          <o:OLEObject Type="Embed" ProgID="Word.Picture.8" ShapeID="Object 65" DrawAspect="Content" ObjectID="_1854627328" r:id="rId22"/>
        </w:object>
      </w:r>
      <w:r w:rsidR="00C64FB3">
        <w:rPr>
          <w:noProof/>
        </w:rPr>
        <mc:AlternateContent>
          <mc:Choice Requires="wps">
            <w:drawing>
              <wp:anchor distT="0" distB="0" distL="114300" distR="114300" simplePos="0" relativeHeight="251652096" behindDoc="0" locked="0" layoutInCell="1" allowOverlap="1" wp14:anchorId="3EE4A141" wp14:editId="640B1B7E">
                <wp:simplePos x="0" y="0"/>
                <wp:positionH relativeFrom="column">
                  <wp:posOffset>-32388</wp:posOffset>
                </wp:positionH>
                <wp:positionV relativeFrom="paragraph">
                  <wp:posOffset>1575438</wp:posOffset>
                </wp:positionV>
                <wp:extent cx="1752603" cy="1943100"/>
                <wp:effectExtent l="0" t="0" r="0" b="0"/>
                <wp:wrapSquare wrapText="bothSides"/>
                <wp:docPr id="15" name="Text Box 66"/>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2340D598" w14:textId="77777777" w:rsidR="00C6448D" w:rsidRDefault="00C6448D">
                            <w:pPr>
                              <w:rPr>
                                <w:rFonts w:ascii="標楷體" w:eastAsia="標楷體" w:hAnsi="標楷體"/>
                              </w:rPr>
                            </w:pPr>
                            <w:r>
                              <w:rPr>
                                <w:rFonts w:ascii="標楷體" w:eastAsia="標楷體" w:hAnsi="標楷體"/>
                              </w:rPr>
                              <w:t xml:space="preserve">9  肌肉出血 </w:t>
                            </w:r>
                          </w:p>
                          <w:p w14:paraId="094EE1C4" w14:textId="77777777" w:rsidR="00C6448D" w:rsidRDefault="00C6448D">
                            <w:pPr>
                              <w:rPr>
                                <w:rFonts w:ascii="標楷體" w:eastAsia="標楷體" w:hAnsi="標楷體"/>
                              </w:rPr>
                            </w:pPr>
                            <w:r>
                              <w:rPr>
                                <w:rFonts w:ascii="標楷體" w:eastAsia="標楷體" w:hAnsi="標楷體"/>
                              </w:rPr>
                              <w:t>10 皮下出血</w:t>
                            </w:r>
                          </w:p>
                          <w:p w14:paraId="3237E2DD" w14:textId="77777777" w:rsidR="00C6448D" w:rsidRDefault="00C6448D">
                            <w:pPr>
                              <w:rPr>
                                <w:rFonts w:ascii="標楷體" w:eastAsia="標楷體" w:hAnsi="標楷體"/>
                              </w:rPr>
                            </w:pPr>
                            <w:r>
                              <w:rPr>
                                <w:rFonts w:ascii="標楷體" w:eastAsia="標楷體" w:hAnsi="標楷體"/>
                              </w:rPr>
                              <w:t>11 腸胃道出血</w:t>
                            </w:r>
                          </w:p>
                          <w:p w14:paraId="2506F6C7" w14:textId="77777777" w:rsidR="00C6448D" w:rsidRDefault="00C6448D">
                            <w:pPr>
                              <w:rPr>
                                <w:rFonts w:ascii="標楷體" w:eastAsia="標楷體" w:hAnsi="標楷體"/>
                              </w:rPr>
                            </w:pPr>
                            <w:r>
                              <w:rPr>
                                <w:rFonts w:ascii="標楷體" w:eastAsia="標楷體" w:hAnsi="標楷體"/>
                              </w:rPr>
                              <w:t>12 血尿</w:t>
                            </w:r>
                          </w:p>
                          <w:p w14:paraId="1735F681" w14:textId="77777777" w:rsidR="00C6448D" w:rsidRDefault="00C6448D">
                            <w:pPr>
                              <w:rPr>
                                <w:rFonts w:ascii="標楷體" w:eastAsia="標楷體" w:hAnsi="標楷體"/>
                              </w:rPr>
                            </w:pPr>
                            <w:r>
                              <w:rPr>
                                <w:rFonts w:ascii="標楷體" w:eastAsia="標楷體" w:hAnsi="標楷體"/>
                              </w:rPr>
                              <w:t>13 鼻腔出血</w:t>
                            </w:r>
                          </w:p>
                          <w:p w14:paraId="0C3E6DE9" w14:textId="77777777" w:rsidR="00C6448D" w:rsidRDefault="00C6448D">
                            <w:pPr>
                              <w:rPr>
                                <w:rFonts w:ascii="標楷體" w:eastAsia="標楷體" w:hAnsi="標楷體"/>
                              </w:rPr>
                            </w:pPr>
                            <w:r>
                              <w:rPr>
                                <w:rFonts w:ascii="標楷體" w:eastAsia="標楷體" w:hAnsi="標楷體"/>
                              </w:rPr>
                              <w:t>14 牙齦出血</w:t>
                            </w:r>
                          </w:p>
                          <w:p w14:paraId="520B3C37" w14:textId="77777777" w:rsidR="00C6448D" w:rsidRDefault="00C6448D">
                            <w:pPr>
                              <w:rPr>
                                <w:rFonts w:ascii="標楷體" w:eastAsia="標楷體" w:hAnsi="標楷體"/>
                              </w:rPr>
                            </w:pPr>
                            <w:r>
                              <w:rPr>
                                <w:rFonts w:ascii="標楷體" w:eastAsia="標楷體" w:hAnsi="標楷體"/>
                              </w:rPr>
                              <w:t>15 口腔內出血</w:t>
                            </w:r>
                          </w:p>
                          <w:p w14:paraId="1411E924" w14:textId="77777777" w:rsidR="00C6448D" w:rsidRDefault="00C6448D">
                            <w:pPr>
                              <w:rPr>
                                <w:rFonts w:ascii="標楷體" w:eastAsia="標楷體" w:hAnsi="標楷體"/>
                              </w:rPr>
                            </w:pPr>
                            <w:r>
                              <w:rPr>
                                <w:rFonts w:ascii="標楷體" w:eastAsia="標楷體" w:hAnsi="標楷體"/>
                              </w:rPr>
                              <w:t>16 腦部出血</w:t>
                            </w:r>
                          </w:p>
                          <w:p w14:paraId="0E29D7C8"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3EE4A141" id="Text Box 66" o:spid="_x0000_s1033" type="#_x0000_t202" style="position:absolute;margin-left:-2.55pt;margin-top:124.05pt;width:138pt;height:153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" filled="f" stroked="f">
                <v:textbox>
                  <w:txbxContent>
                    <w:p w14:paraId="2340D598" w14:textId="77777777" w:rsidR="00C6448D" w:rsidRDefault="00C6448D">
                      <w:pPr>
                        <w:rPr>
                          <w:rFonts w:ascii="標楷體" w:eastAsia="標楷體" w:hAnsi="標楷體"/>
                        </w:rPr>
                      </w:pPr>
                      <w:r>
                        <w:rPr>
                          <w:rFonts w:ascii="標楷體" w:eastAsia="標楷體" w:hAnsi="標楷體"/>
                        </w:rPr>
                        <w:t xml:space="preserve">9  肌肉出血 </w:t>
                      </w:r>
                    </w:p>
                    <w:p w14:paraId="094EE1C4" w14:textId="77777777" w:rsidR="00C6448D" w:rsidRDefault="00C6448D">
                      <w:pPr>
                        <w:rPr>
                          <w:rFonts w:ascii="標楷體" w:eastAsia="標楷體" w:hAnsi="標楷體"/>
                        </w:rPr>
                      </w:pPr>
                      <w:r>
                        <w:rPr>
                          <w:rFonts w:ascii="標楷體" w:eastAsia="標楷體" w:hAnsi="標楷體"/>
                        </w:rPr>
                        <w:t>10 皮下出血</w:t>
                      </w:r>
                    </w:p>
                    <w:p w14:paraId="3237E2DD" w14:textId="77777777" w:rsidR="00C6448D" w:rsidRDefault="00C6448D">
                      <w:pPr>
                        <w:rPr>
                          <w:rFonts w:ascii="標楷體" w:eastAsia="標楷體" w:hAnsi="標楷體"/>
                        </w:rPr>
                      </w:pPr>
                      <w:r>
                        <w:rPr>
                          <w:rFonts w:ascii="標楷體" w:eastAsia="標楷體" w:hAnsi="標楷體"/>
                        </w:rPr>
                        <w:t>11 腸胃道出血</w:t>
                      </w:r>
                    </w:p>
                    <w:p w14:paraId="2506F6C7" w14:textId="77777777" w:rsidR="00C6448D" w:rsidRDefault="00C6448D">
                      <w:pPr>
                        <w:rPr>
                          <w:rFonts w:ascii="標楷體" w:eastAsia="標楷體" w:hAnsi="標楷體"/>
                        </w:rPr>
                      </w:pPr>
                      <w:r>
                        <w:rPr>
                          <w:rFonts w:ascii="標楷體" w:eastAsia="標楷體" w:hAnsi="標楷體"/>
                        </w:rPr>
                        <w:t>12 血尿</w:t>
                      </w:r>
                    </w:p>
                    <w:p w14:paraId="1735F681" w14:textId="77777777" w:rsidR="00C6448D" w:rsidRDefault="00C6448D">
                      <w:pPr>
                        <w:rPr>
                          <w:rFonts w:ascii="標楷體" w:eastAsia="標楷體" w:hAnsi="標楷體"/>
                        </w:rPr>
                      </w:pPr>
                      <w:r>
                        <w:rPr>
                          <w:rFonts w:ascii="標楷體" w:eastAsia="標楷體" w:hAnsi="標楷體"/>
                        </w:rPr>
                        <w:t>13 鼻腔出血</w:t>
                      </w:r>
                    </w:p>
                    <w:p w14:paraId="0C3E6DE9" w14:textId="77777777" w:rsidR="00C6448D" w:rsidRDefault="00C6448D">
                      <w:pPr>
                        <w:rPr>
                          <w:rFonts w:ascii="標楷體" w:eastAsia="標楷體" w:hAnsi="標楷體"/>
                        </w:rPr>
                      </w:pPr>
                      <w:r>
                        <w:rPr>
                          <w:rFonts w:ascii="標楷體" w:eastAsia="標楷體" w:hAnsi="標楷體"/>
                        </w:rPr>
                        <w:t>14 牙齦出血</w:t>
                      </w:r>
                    </w:p>
                    <w:p w14:paraId="520B3C37" w14:textId="77777777" w:rsidR="00C6448D" w:rsidRDefault="00C6448D">
                      <w:pPr>
                        <w:rPr>
                          <w:rFonts w:ascii="標楷體" w:eastAsia="標楷體" w:hAnsi="標楷體"/>
                        </w:rPr>
                      </w:pPr>
                      <w:r>
                        <w:rPr>
                          <w:rFonts w:ascii="標楷體" w:eastAsia="標楷體" w:hAnsi="標楷體"/>
                        </w:rPr>
                        <w:t>15 口腔內出血</w:t>
                      </w:r>
                    </w:p>
                    <w:p w14:paraId="1411E924" w14:textId="77777777" w:rsidR="00C6448D" w:rsidRDefault="00C6448D">
                      <w:pPr>
                        <w:rPr>
                          <w:rFonts w:ascii="標楷體" w:eastAsia="標楷體" w:hAnsi="標楷體"/>
                        </w:rPr>
                      </w:pPr>
                      <w:r>
                        <w:rPr>
                          <w:rFonts w:ascii="標楷體" w:eastAsia="標楷體" w:hAnsi="標楷體"/>
                        </w:rPr>
                        <w:t>16 腦部出血</w:t>
                      </w:r>
                    </w:p>
                    <w:p w14:paraId="0E29D7C8" w14:textId="77777777" w:rsidR="00C6448D" w:rsidRDefault="00C6448D">
                      <w:pPr>
                        <w:rPr>
                          <w:rFonts w:ascii="標楷體" w:eastAsia="標楷體" w:hAnsi="標楷體"/>
                        </w:rPr>
                      </w:pPr>
                    </w:p>
                  </w:txbxContent>
                </v:textbox>
                <w10:wrap type="square"/>
              </v:shape>
            </w:pict>
          </mc:Fallback>
        </mc:AlternateContent>
      </w:r>
    </w:p>
    <w:p w14:paraId="7DF57969" w14:textId="77777777" w:rsidR="00401786" w:rsidRPr="00F37647" w:rsidRDefault="00C64FB3" w:rsidP="000E757E">
      <w:pPr>
        <w:spacing w:line="240" w:lineRule="atLeast"/>
        <w:jc w:val="center"/>
        <w:rPr>
          <w:rFonts w:ascii="標楷體" w:eastAsia="標楷體" w:hAnsi="標楷體"/>
          <w:sz w:val="28"/>
          <w:szCs w:val="18"/>
        </w:rPr>
      </w:pPr>
      <w:r w:rsidRPr="00F37647">
        <w:rPr>
          <w:noProof/>
          <w:sz w:val="20"/>
          <w:szCs w:val="18"/>
        </w:rPr>
        <w:lastRenderedPageBreak/>
        <mc:AlternateContent>
          <mc:Choice Requires="wps">
            <w:drawing>
              <wp:anchor distT="0" distB="0" distL="114300" distR="114300" simplePos="0" relativeHeight="251657216" behindDoc="0" locked="0" layoutInCell="1" allowOverlap="1" wp14:anchorId="192AABA9" wp14:editId="150821AD">
                <wp:simplePos x="0" y="0"/>
                <wp:positionH relativeFrom="column">
                  <wp:posOffset>-369573</wp:posOffset>
                </wp:positionH>
                <wp:positionV relativeFrom="paragraph">
                  <wp:posOffset>-616589</wp:posOffset>
                </wp:positionV>
                <wp:extent cx="2209803" cy="685800"/>
                <wp:effectExtent l="0" t="0" r="0" b="0"/>
                <wp:wrapNone/>
                <wp:docPr id="16" name="文字方塊 4"/>
                <wp:cNvGraphicFramePr/>
                <a:graphic xmlns:a="http://schemas.openxmlformats.org/drawingml/2006/main">
                  <a:graphicData uri="http://schemas.microsoft.com/office/word/2010/wordprocessingShape">
                    <wps:wsp>
                      <wps:cNvSpPr txBox="1"/>
                      <wps:spPr>
                        <a:xfrm>
                          <a:off x="0" y="0"/>
                          <a:ext cx="2209803" cy="685800"/>
                        </a:xfrm>
                        <a:prstGeom prst="rect">
                          <a:avLst/>
                        </a:prstGeom>
                        <a:noFill/>
                        <a:ln>
                          <a:noFill/>
                          <a:prstDash/>
                        </a:ln>
                      </wps:spPr>
                      <wps:txbx>
                        <w:txbxContent>
                          <w:p w14:paraId="3CC2FD19"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1F74866B"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wps:txbx>
                      <wps:bodyPr vert="horz" wrap="square" lIns="91440" tIns="45720" rIns="91440" bIns="45720" anchor="t" anchorCtr="0" compatLnSpc="0">
                        <a:noAutofit/>
                      </wps:bodyPr>
                    </wps:wsp>
                  </a:graphicData>
                </a:graphic>
              </wp:anchor>
            </w:drawing>
          </mc:Choice>
          <mc:Fallback>
            <w:pict>
              <v:shape w14:anchorId="192AABA9" id="文字方塊 4" o:spid="_x0000_s1034" type="#_x0000_t202" style="position:absolute;left:0;text-align:left;margin-left:-29.1pt;margin-top:-48.55pt;width:174pt;height:5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" filled="f" stroked="f">
                <v:textbox>
                  <w:txbxContent>
                    <w:p w14:paraId="3CC2FD19"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1F74866B"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v:textbox>
              </v:shape>
            </w:pict>
          </mc:Fallback>
        </mc:AlternateContent>
      </w:r>
      <w:r w:rsidRPr="00F37647">
        <w:rPr>
          <w:rFonts w:ascii="標楷體" w:eastAsia="標楷體" w:hAnsi="標楷體"/>
          <w:sz w:val="28"/>
          <w:szCs w:val="18"/>
        </w:rPr>
        <w:t>附表十八之二  全民健康保險血友病患者使用「繞徑治療藥物」在家治療紀錄表</w:t>
      </w:r>
    </w:p>
    <w:p w14:paraId="3B989B8A" w14:textId="77777777" w:rsidR="00706D1E" w:rsidRDefault="00706D1E" w:rsidP="000E757E">
      <w:pPr>
        <w:spacing w:line="240" w:lineRule="atLeast"/>
        <w:jc w:val="center"/>
      </w:pPr>
    </w:p>
    <w:p w14:paraId="4D3FBED5" w14:textId="77777777" w:rsidR="00401786" w:rsidRDefault="00C64FB3" w:rsidP="000E757E">
      <w:pPr>
        <w:spacing w:line="240" w:lineRule="atLeast"/>
      </w:pPr>
      <w:r>
        <w:rPr>
          <w:rFonts w:ascii="標楷體" w:eastAsia="標楷體" w:hAnsi="標楷體"/>
          <w:sz w:val="28"/>
        </w:rPr>
        <w:t>姓名：</w:t>
      </w:r>
      <w:r>
        <w:rPr>
          <w:rFonts w:ascii="標楷體" w:eastAsia="標楷體" w:hAnsi="標楷體"/>
          <w:sz w:val="28"/>
          <w:u w:val="single"/>
        </w:rPr>
        <w:t xml:space="preserve">　　　　　　　</w:t>
      </w:r>
      <w:r>
        <w:rPr>
          <w:rFonts w:ascii="標楷體" w:eastAsia="標楷體" w:hAnsi="標楷體"/>
          <w:sz w:val="28"/>
        </w:rPr>
        <w:t xml:space="preserve">　　　體重：</w:t>
      </w:r>
      <w:r>
        <w:rPr>
          <w:rFonts w:ascii="標楷體" w:eastAsia="標楷體" w:hAnsi="標楷體"/>
          <w:sz w:val="28"/>
          <w:u w:val="single"/>
        </w:rPr>
        <w:t xml:space="preserve">　　　　　</w:t>
      </w:r>
      <w:r>
        <w:rPr>
          <w:rFonts w:ascii="標楷體" w:eastAsia="標楷體" w:hAnsi="標楷體"/>
          <w:sz w:val="28"/>
        </w:rPr>
        <w:t>公斤        診斷：□</w:t>
      </w:r>
      <w:r>
        <w:rPr>
          <w:rFonts w:ascii="標楷體" w:eastAsia="標楷體" w:hAnsi="標楷體"/>
          <w:color w:val="000000"/>
          <w:sz w:val="28"/>
        </w:rPr>
        <w:t>A</w:t>
      </w:r>
      <w:r>
        <w:rPr>
          <w:rFonts w:ascii="標楷體" w:eastAsia="標楷體" w:hAnsi="標楷體"/>
          <w:sz w:val="28"/>
        </w:rPr>
        <w:t>型血友病</w:t>
      </w:r>
      <w:r>
        <w:rPr>
          <w:rFonts w:ascii="標楷體" w:eastAsia="標楷體" w:hAnsi="標楷體"/>
          <w:color w:val="000000"/>
          <w:sz w:val="28"/>
        </w:rPr>
        <w:t>合併第八因子抗體</w:t>
      </w:r>
      <w:r>
        <w:rPr>
          <w:rFonts w:ascii="標楷體" w:eastAsia="標楷體" w:hAnsi="標楷體"/>
          <w:sz w:val="28"/>
        </w:rPr>
        <w:t xml:space="preserve">　□其他</w:t>
      </w:r>
    </w:p>
    <w:p w14:paraId="2188DDCD" w14:textId="77777777" w:rsidR="00401786" w:rsidRDefault="00C64FB3" w:rsidP="000E757E">
      <w:pPr>
        <w:spacing w:line="240" w:lineRule="atLeast"/>
        <w:ind w:firstLine="280"/>
      </w:pPr>
      <w:r>
        <w:rPr>
          <w:rFonts w:ascii="標楷體" w:eastAsia="標楷體" w:hAnsi="標楷體"/>
          <w:sz w:val="28"/>
        </w:rPr>
        <w:t xml:space="preserve">　　　　　　　　　　　　　　　　　　　　　　　　　        □</w:t>
      </w:r>
      <w:r>
        <w:rPr>
          <w:rFonts w:ascii="標楷體" w:eastAsia="標楷體" w:hAnsi="標楷體"/>
          <w:color w:val="000000"/>
          <w:sz w:val="28"/>
        </w:rPr>
        <w:t>B型血友病合併第九因子抗體</w:t>
      </w:r>
    </w:p>
    <w:p w14:paraId="1AB1D4F2" w14:textId="77777777" w:rsidR="00401786" w:rsidRDefault="00C64FB3" w:rsidP="000E757E">
      <w:pPr>
        <w:spacing w:line="240" w:lineRule="atLeast"/>
      </w:pPr>
      <w:r>
        <w:rPr>
          <w:rFonts w:ascii="標楷體" w:eastAsia="標楷體" w:hAnsi="標楷體"/>
          <w:sz w:val="28"/>
        </w:rPr>
        <w:t>領藥日(年/月/日</w:t>
      </w:r>
      <w:proofErr w:type="gramStart"/>
      <w:r>
        <w:rPr>
          <w:rFonts w:ascii="標楷體" w:eastAsia="標楷體" w:hAnsi="標楷體"/>
          <w:sz w:val="28"/>
        </w:rPr>
        <w:t>）</w:t>
      </w:r>
      <w:proofErr w:type="gramEnd"/>
      <w:r>
        <w:rPr>
          <w:rFonts w:ascii="標楷體" w:eastAsia="標楷體" w:hAnsi="標楷體"/>
          <w:sz w:val="28"/>
        </w:rPr>
        <w:t>：</w:t>
      </w:r>
      <w:r>
        <w:rPr>
          <w:rFonts w:ascii="標楷體" w:eastAsia="標楷體" w:hAnsi="標楷體"/>
          <w:sz w:val="28"/>
          <w:u w:val="single"/>
        </w:rPr>
        <w:t xml:space="preserve">　　／　　／　　</w:t>
      </w:r>
      <w:r>
        <w:rPr>
          <w:rFonts w:ascii="標楷體" w:eastAsia="標楷體" w:hAnsi="標楷體"/>
          <w:sz w:val="28"/>
        </w:rPr>
        <w:t xml:space="preserve">      </w:t>
      </w:r>
      <w:r>
        <w:rPr>
          <w:rFonts w:ascii="標楷體" w:eastAsia="標楷體" w:hAnsi="標楷體"/>
          <w:color w:val="000000"/>
          <w:sz w:val="28"/>
        </w:rPr>
        <w:t>領藥量(瓶)：</w:t>
      </w:r>
      <w:r>
        <w:rPr>
          <w:rFonts w:ascii="標楷體" w:eastAsia="標楷體" w:hAnsi="標楷體"/>
          <w:color w:val="000000"/>
          <w:sz w:val="28"/>
          <w:u w:val="single"/>
        </w:rPr>
        <w:t xml:space="preserve">               </w:t>
      </w:r>
      <w:r>
        <w:rPr>
          <w:rFonts w:ascii="標楷體" w:eastAsia="標楷體" w:hAnsi="標楷體"/>
          <w:color w:val="000000"/>
          <w:sz w:val="28"/>
        </w:rPr>
        <w:t xml:space="preserve">      藥品名稱及批號：</w:t>
      </w:r>
      <w:r>
        <w:rPr>
          <w:rFonts w:ascii="標楷體" w:eastAsia="標楷體" w:hAnsi="標楷體"/>
          <w:color w:val="000000"/>
          <w:sz w:val="28"/>
          <w:u w:val="single"/>
        </w:rPr>
        <w:t xml:space="preserve">　</w:t>
      </w:r>
      <w:r>
        <w:rPr>
          <w:rFonts w:ascii="標楷體" w:eastAsia="標楷體" w:hAnsi="標楷體"/>
          <w:sz w:val="28"/>
          <w:u w:val="single"/>
        </w:rPr>
        <w:t xml:space="preserve">　              </w:t>
      </w:r>
    </w:p>
    <w:p w14:paraId="334308BA" w14:textId="77777777" w:rsidR="00401786" w:rsidRDefault="00C64FB3" w:rsidP="000E757E">
      <w:pPr>
        <w:spacing w:line="240" w:lineRule="atLeast"/>
      </w:pPr>
      <w:r>
        <w:rPr>
          <w:rFonts w:ascii="標楷體" w:eastAsia="標楷體" w:hAnsi="標楷體"/>
          <w:sz w:val="28"/>
        </w:rPr>
        <w:t>繳回空瓶數量及批號：</w:t>
      </w:r>
      <w:r>
        <w:rPr>
          <w:rFonts w:ascii="標楷體" w:eastAsia="標楷體" w:hAnsi="標楷體"/>
          <w:sz w:val="28"/>
          <w:u w:val="single"/>
        </w:rPr>
        <w:t xml:space="preserve">                   </w:t>
      </w:r>
      <w:r>
        <w:rPr>
          <w:rFonts w:ascii="標楷體" w:eastAsia="標楷體" w:hAnsi="標楷體"/>
          <w:sz w:val="28"/>
        </w:rPr>
        <w:t xml:space="preserve"> 上次家中剩餘藥量</w:t>
      </w:r>
      <w:r>
        <w:rPr>
          <w:rFonts w:ascii="標楷體" w:eastAsia="標楷體" w:hAnsi="標楷體"/>
          <w:color w:val="000000"/>
          <w:sz w:val="28"/>
        </w:rPr>
        <w:t>(瓶)</w:t>
      </w:r>
      <w:r>
        <w:rPr>
          <w:rFonts w:ascii="標楷體" w:eastAsia="標楷體" w:hAnsi="標楷體"/>
          <w:sz w:val="28"/>
        </w:rPr>
        <w:t>：</w:t>
      </w:r>
      <w:r>
        <w:rPr>
          <w:rFonts w:ascii="標楷體" w:eastAsia="標楷體" w:hAnsi="標楷體"/>
          <w:sz w:val="28"/>
          <w:u w:val="single"/>
        </w:rPr>
        <w:t xml:space="preserve">         </w:t>
      </w:r>
      <w:r>
        <w:rPr>
          <w:rFonts w:ascii="標楷體" w:eastAsia="標楷體" w:hAnsi="標楷體"/>
          <w:sz w:val="28"/>
        </w:rPr>
        <w:t xml:space="preserve">  確認人員簽名(章)：</w:t>
      </w:r>
      <w:r>
        <w:rPr>
          <w:rFonts w:ascii="標楷體" w:eastAsia="標楷體" w:hAnsi="標楷體"/>
          <w:sz w:val="28"/>
          <w:u w:val="single"/>
        </w:rPr>
        <w:t xml:space="preserve">                  </w:t>
      </w:r>
    </w:p>
    <w:tbl>
      <w:tblPr>
        <w:tblW w:w="15027" w:type="dxa"/>
        <w:tblInd w:w="-162" w:type="dxa"/>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827"/>
        <w:gridCol w:w="1134"/>
      </w:tblGrid>
      <w:tr w:rsidR="00401786" w14:paraId="6D4AFFAE" w14:textId="77777777">
        <w:trPr>
          <w:cantSplit/>
          <w:trHeight w:val="727"/>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B2A5FB"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9662EE"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5E08A5" w14:textId="77777777" w:rsidR="00401786" w:rsidRDefault="00C64FB3" w:rsidP="000E757E">
            <w:pPr>
              <w:spacing w:line="240" w:lineRule="atLeast"/>
              <w:ind w:left="113" w:right="113"/>
              <w:jc w:val="center"/>
            </w:pPr>
            <w:proofErr w:type="gramStart"/>
            <w:r>
              <w:rPr>
                <w:rFonts w:ascii="標楷體" w:eastAsia="標楷體" w:hAnsi="標楷體"/>
                <w:sz w:val="22"/>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7E8706"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0EA5EF" w14:textId="77777777" w:rsidR="00401786" w:rsidRDefault="00C64FB3" w:rsidP="000E757E">
            <w:pPr>
              <w:spacing w:line="240" w:lineRule="atLeast"/>
              <w:jc w:val="center"/>
              <w:rPr>
                <w:rFonts w:ascii="標楷體" w:eastAsia="標楷體" w:hAnsi="標楷體"/>
              </w:rPr>
            </w:pPr>
            <w:r>
              <w:rPr>
                <w:rFonts w:ascii="標楷體" w:eastAsia="標楷體" w:hAnsi="標楷體"/>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007080" w14:textId="77777777" w:rsidR="00401786" w:rsidRDefault="00C64FB3" w:rsidP="000E757E">
            <w:pPr>
              <w:spacing w:line="240" w:lineRule="atLeast"/>
              <w:jc w:val="center"/>
              <w:rPr>
                <w:rFonts w:ascii="標楷體" w:eastAsia="標楷體" w:hAnsi="標楷體"/>
              </w:rPr>
            </w:pPr>
            <w:r>
              <w:rPr>
                <w:rFonts w:ascii="標楷體" w:eastAsia="標楷體" w:hAnsi="標楷體"/>
              </w:rPr>
              <w:t>出血部位</w:t>
            </w:r>
          </w:p>
          <w:p w14:paraId="20E8E4EC" w14:textId="77777777" w:rsidR="00401786" w:rsidRDefault="00C64FB3" w:rsidP="000E757E">
            <w:pPr>
              <w:spacing w:line="240" w:lineRule="atLeast"/>
              <w:jc w:val="center"/>
              <w:rPr>
                <w:rFonts w:ascii="標楷體" w:eastAsia="標楷體" w:hAnsi="標楷體"/>
              </w:rPr>
            </w:pPr>
            <w:r>
              <w:rPr>
                <w:rFonts w:ascii="標楷體" w:eastAsia="標楷體" w:hAnsi="標楷體"/>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A3067B"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注射後效果</w:t>
            </w:r>
          </w:p>
        </w:tc>
        <w:tc>
          <w:tcPr>
            <w:tcW w:w="18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3C60DF"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5D09BA"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注射者簽名(章)</w:t>
            </w:r>
          </w:p>
        </w:tc>
      </w:tr>
      <w:tr w:rsidR="00401786" w14:paraId="3DE078A6" w14:textId="77777777">
        <w:trPr>
          <w:cantSplit/>
          <w:trHeight w:val="42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3FB19D" w14:textId="77777777" w:rsidR="00401786" w:rsidRDefault="00C64FB3" w:rsidP="000E757E">
            <w:pPr>
              <w:spacing w:line="240" w:lineRule="atLeast"/>
              <w:jc w:val="center"/>
              <w:rPr>
                <w:rFonts w:ascii="標楷體" w:eastAsia="標楷體" w:hAnsi="標楷體"/>
              </w:rPr>
            </w:pPr>
            <w:r>
              <w:rPr>
                <w:rFonts w:ascii="標楷體" w:eastAsia="標楷體" w:hAnsi="標楷體"/>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8DDA88"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056F0B"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81D875" w14:textId="77777777" w:rsidR="00401786" w:rsidRDefault="00C64FB3" w:rsidP="000E757E">
            <w:pPr>
              <w:spacing w:line="240" w:lineRule="atLeast"/>
              <w:jc w:val="center"/>
              <w:rPr>
                <w:rFonts w:ascii="標楷體" w:eastAsia="標楷體" w:hAnsi="標楷體"/>
              </w:rPr>
            </w:pPr>
            <w:r>
              <w:rPr>
                <w:rFonts w:ascii="標楷體" w:eastAsia="標楷體" w:hAnsi="標楷體"/>
              </w:rPr>
              <w:t>時間</w:t>
            </w:r>
          </w:p>
          <w:p w14:paraId="7359C3B6" w14:textId="77777777" w:rsidR="00401786" w:rsidRDefault="00C64FB3" w:rsidP="000E757E">
            <w:pPr>
              <w:spacing w:line="240" w:lineRule="atLeast"/>
              <w:jc w:val="center"/>
              <w:rPr>
                <w:rFonts w:ascii="標楷體" w:eastAsia="標楷體" w:hAnsi="標楷體"/>
              </w:rPr>
            </w:pPr>
            <w:r>
              <w:rPr>
                <w:rFonts w:ascii="標楷體" w:eastAsia="標楷體" w:hAnsi="標楷體"/>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B61AB2" w14:textId="77777777" w:rsidR="00401786" w:rsidRDefault="00C64FB3" w:rsidP="000E757E">
            <w:pPr>
              <w:spacing w:line="240" w:lineRule="atLeast"/>
              <w:jc w:val="center"/>
              <w:rPr>
                <w:rFonts w:ascii="標楷體" w:eastAsia="標楷體" w:hAnsi="標楷體"/>
              </w:rPr>
            </w:pPr>
            <w:r>
              <w:rPr>
                <w:rFonts w:ascii="標楷體" w:eastAsia="標楷體" w:hAnsi="標楷體"/>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2B08FD" w14:textId="77777777" w:rsidR="00401786" w:rsidRDefault="00401786" w:rsidP="000E757E">
            <w:pPr>
              <w:spacing w:line="240" w:lineRule="atLeast"/>
              <w:jc w:val="center"/>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04A215" w14:textId="77777777" w:rsidR="00401786" w:rsidRDefault="00C64FB3" w:rsidP="000E757E">
            <w:pPr>
              <w:spacing w:line="240" w:lineRule="atLeast"/>
              <w:jc w:val="center"/>
              <w:rPr>
                <w:rFonts w:ascii="標楷體" w:eastAsia="標楷體" w:hAnsi="標楷體"/>
              </w:rPr>
            </w:pPr>
            <w:r>
              <w:rPr>
                <w:rFonts w:ascii="標楷體" w:eastAsia="標楷體" w:hAnsi="標楷體"/>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CAE71B" w14:textId="77777777" w:rsidR="00401786" w:rsidRDefault="00401786" w:rsidP="000E757E">
            <w:pPr>
              <w:spacing w:line="240" w:lineRule="atLeast"/>
              <w:jc w:val="center"/>
              <w:rPr>
                <w:rFonts w:ascii="標楷體" w:eastAsia="標楷體" w:hAnsi="標楷體"/>
              </w:rPr>
            </w:pPr>
          </w:p>
          <w:p w14:paraId="7B10CACD" w14:textId="77777777" w:rsidR="00401786" w:rsidRDefault="00C64FB3" w:rsidP="000E757E">
            <w:pPr>
              <w:spacing w:line="240" w:lineRule="atLeast"/>
              <w:jc w:val="center"/>
              <w:rPr>
                <w:rFonts w:ascii="標楷體" w:eastAsia="標楷體" w:hAnsi="標楷體"/>
              </w:rPr>
            </w:pPr>
            <w:r>
              <w:rPr>
                <w:rFonts w:ascii="標楷體" w:eastAsia="標楷體" w:hAnsi="標楷體"/>
              </w:rPr>
              <w:t>受傷後出血</w:t>
            </w:r>
          </w:p>
          <w:p w14:paraId="4E410C10" w14:textId="77777777" w:rsidR="00401786" w:rsidRDefault="00401786" w:rsidP="000E757E">
            <w:pPr>
              <w:spacing w:line="240" w:lineRule="atLeast"/>
              <w:jc w:val="center"/>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78A9BD" w14:textId="77777777" w:rsidR="00401786" w:rsidRDefault="00C64FB3" w:rsidP="000E757E">
            <w:pPr>
              <w:spacing w:line="240" w:lineRule="atLeast"/>
              <w:jc w:val="center"/>
              <w:rPr>
                <w:rFonts w:ascii="標楷體" w:eastAsia="標楷體" w:hAnsi="標楷體"/>
              </w:rPr>
            </w:pPr>
            <w:r>
              <w:rPr>
                <w:rFonts w:ascii="標楷體" w:eastAsia="標楷體" w:hAnsi="標楷體"/>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148F07" w14:textId="77777777" w:rsidR="00401786" w:rsidRDefault="00C64FB3" w:rsidP="000E757E">
            <w:pPr>
              <w:spacing w:line="240" w:lineRule="atLeast"/>
              <w:jc w:val="center"/>
              <w:rPr>
                <w:rFonts w:ascii="標楷體" w:eastAsia="標楷體" w:hAnsi="標楷體"/>
              </w:rPr>
            </w:pPr>
            <w:r>
              <w:rPr>
                <w:rFonts w:ascii="標楷體" w:eastAsia="標楷體" w:hAnsi="標楷體"/>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BFD170" w14:textId="77777777" w:rsidR="00401786" w:rsidRDefault="00C64FB3" w:rsidP="000E757E">
            <w:pPr>
              <w:spacing w:line="240" w:lineRule="atLeast"/>
              <w:jc w:val="center"/>
              <w:rPr>
                <w:rFonts w:ascii="標楷體" w:eastAsia="標楷體" w:hAnsi="標楷體"/>
              </w:rPr>
            </w:pPr>
            <w:r>
              <w:rPr>
                <w:rFonts w:ascii="標楷體" w:eastAsia="標楷體" w:hAnsi="標楷體"/>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2A3FC"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E9BC6A"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未改善</w:t>
            </w:r>
          </w:p>
        </w:tc>
        <w:tc>
          <w:tcPr>
            <w:tcW w:w="18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EDD506" w14:textId="77777777" w:rsidR="00401786" w:rsidRDefault="00401786" w:rsidP="000E757E">
            <w:pPr>
              <w:spacing w:line="240" w:lineRule="atLeast"/>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120898" w14:textId="77777777" w:rsidR="00401786" w:rsidRDefault="00401786" w:rsidP="000E757E">
            <w:pPr>
              <w:spacing w:line="240" w:lineRule="atLeast"/>
              <w:rPr>
                <w:rFonts w:ascii="標楷體" w:eastAsia="標楷體" w:hAnsi="標楷體"/>
              </w:rPr>
            </w:pPr>
          </w:p>
        </w:tc>
      </w:tr>
      <w:tr w:rsidR="00401786" w14:paraId="1965987B" w14:textId="77777777">
        <w:trPr>
          <w:trHeight w:val="458"/>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815271"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44A698"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B8047D"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90FF22"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989F62"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2738E3"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BE1E79"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A40922"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FF3CE3"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CF9AB7"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6F5EE8"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98D102"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9714B1"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019169"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342B16" w14:textId="77777777" w:rsidR="00401786" w:rsidRDefault="00401786" w:rsidP="000E757E">
            <w:pPr>
              <w:spacing w:line="240" w:lineRule="atLeast"/>
              <w:rPr>
                <w:rFonts w:ascii="標楷體" w:eastAsia="標楷體" w:hAnsi="標楷體"/>
              </w:rPr>
            </w:pPr>
          </w:p>
        </w:tc>
      </w:tr>
      <w:tr w:rsidR="00401786" w14:paraId="4E7F38E3" w14:textId="77777777">
        <w:trPr>
          <w:trHeight w:val="536"/>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97549D"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95F222"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70028"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4DD778"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5007BD"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459BEC"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7BAAC3"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52F427"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6D3291"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39B992"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90E829"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2749BB"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4466CB"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286E1B"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150574" w14:textId="77777777" w:rsidR="00401786" w:rsidRDefault="00401786" w:rsidP="000E757E">
            <w:pPr>
              <w:spacing w:line="240" w:lineRule="atLeast"/>
              <w:rPr>
                <w:rFonts w:ascii="標楷體" w:eastAsia="標楷體" w:hAnsi="標楷體"/>
              </w:rPr>
            </w:pPr>
          </w:p>
        </w:tc>
      </w:tr>
      <w:tr w:rsidR="00401786" w14:paraId="03E977DB" w14:textId="77777777">
        <w:trPr>
          <w:trHeight w:val="57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63F26"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A150BF"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A39538"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A04A0E"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45C438"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85569D"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587656"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C0AF03"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06E3FA"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64B826"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F96AD7"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847633"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B74FEE"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822949"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76CED4" w14:textId="77777777" w:rsidR="00401786" w:rsidRDefault="00401786" w:rsidP="000E757E">
            <w:pPr>
              <w:spacing w:line="240" w:lineRule="atLeast"/>
              <w:rPr>
                <w:rFonts w:ascii="標楷體" w:eastAsia="標楷體" w:hAnsi="標楷體"/>
              </w:rPr>
            </w:pPr>
          </w:p>
        </w:tc>
      </w:tr>
      <w:tr w:rsidR="00401786" w14:paraId="23135EAA" w14:textId="77777777">
        <w:trPr>
          <w:trHeight w:val="56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A7C20F"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CC8772"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7523FC"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F27940"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226C02"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9667D0"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195D4B"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1CF211"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7F5EB4"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60E1C8"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C26696"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E6536C"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1B2249"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FF325F"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C36E8" w14:textId="77777777" w:rsidR="00401786" w:rsidRDefault="00401786" w:rsidP="000E757E">
            <w:pPr>
              <w:spacing w:line="240" w:lineRule="atLeast"/>
              <w:rPr>
                <w:rFonts w:ascii="標楷體" w:eastAsia="標楷體" w:hAnsi="標楷體"/>
              </w:rPr>
            </w:pPr>
          </w:p>
        </w:tc>
      </w:tr>
      <w:tr w:rsidR="00401786" w14:paraId="4B5CF9FD" w14:textId="77777777">
        <w:trPr>
          <w:trHeight w:val="53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236751"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3F53D0"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7F0DAD"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3CB21C"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89DD93"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061E8D"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EF25E"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34F69D"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E59F2D"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187FC0"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E9D2FF"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50705B"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F3264D"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11509B"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4E353B" w14:textId="77777777" w:rsidR="00401786" w:rsidRDefault="00401786" w:rsidP="000E757E">
            <w:pPr>
              <w:spacing w:line="240" w:lineRule="atLeast"/>
              <w:rPr>
                <w:rFonts w:ascii="標楷體" w:eastAsia="標楷體" w:hAnsi="標楷體"/>
              </w:rPr>
            </w:pPr>
          </w:p>
        </w:tc>
      </w:tr>
    </w:tbl>
    <w:p w14:paraId="48EF4BC8"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備註：</w:t>
      </w:r>
    </w:p>
    <w:p w14:paraId="1F3B0E93"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 xml:space="preserve">  1.病人於下次</w:t>
      </w:r>
      <w:proofErr w:type="gramStart"/>
      <w:r>
        <w:rPr>
          <w:rFonts w:ascii="標楷體" w:eastAsia="標楷體" w:hAnsi="標楷體"/>
          <w:sz w:val="22"/>
        </w:rPr>
        <w:t>回診需攜帶</w:t>
      </w:r>
      <w:proofErr w:type="gramEnd"/>
      <w:r>
        <w:rPr>
          <w:rFonts w:ascii="標楷體" w:eastAsia="標楷體" w:hAnsi="標楷體"/>
          <w:sz w:val="22"/>
        </w:rPr>
        <w:t>此紀錄表，並請黏貼於病歷，同時繳回已注射後之空瓶備查。紀錄表未黏貼於回</w:t>
      </w:r>
      <w:proofErr w:type="gramStart"/>
      <w:r>
        <w:rPr>
          <w:rFonts w:ascii="標楷體" w:eastAsia="標楷體" w:hAnsi="標楷體"/>
          <w:sz w:val="22"/>
        </w:rPr>
        <w:t>診病歷及未</w:t>
      </w:r>
      <w:proofErr w:type="gramEnd"/>
      <w:r>
        <w:rPr>
          <w:rFonts w:ascii="標楷體" w:eastAsia="標楷體" w:hAnsi="標楷體"/>
          <w:sz w:val="22"/>
        </w:rPr>
        <w:t>繳回空瓶，則該項費用不予支付。</w:t>
      </w:r>
    </w:p>
    <w:p w14:paraId="37AAEBDA"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 xml:space="preserve">  2.領藥量請詳記藥品規格量</w:t>
      </w:r>
      <w:proofErr w:type="gramStart"/>
      <w:r>
        <w:rPr>
          <w:rFonts w:ascii="標楷體" w:eastAsia="標楷體" w:hAnsi="標楷體"/>
          <w:sz w:val="22"/>
        </w:rPr>
        <w:t>及瓶數</w:t>
      </w:r>
      <w:proofErr w:type="gramEnd"/>
      <w:r>
        <w:rPr>
          <w:rFonts w:ascii="標楷體" w:eastAsia="標楷體" w:hAnsi="標楷體"/>
          <w:sz w:val="22"/>
        </w:rPr>
        <w:t>，例如：500IU×2瓶，使用空瓶於繳回時，請由醫療院所相關人員進行確認(包含回收空瓶日期及總結存量等)，並請確認人員簽名(章)。</w:t>
      </w:r>
    </w:p>
    <w:p w14:paraId="3326EADB"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 xml:space="preserve">  3.出血部位說明請見背面圖示。</w:t>
      </w:r>
    </w:p>
    <w:p w14:paraId="770C932B" w14:textId="6893DF96" w:rsidR="00401786" w:rsidRDefault="00C64FB3" w:rsidP="000E757E">
      <w:pPr>
        <w:spacing w:line="240" w:lineRule="atLeast"/>
        <w:sectPr w:rsidR="00401786">
          <w:footerReference w:type="default" r:id="rId23"/>
          <w:pgSz w:w="16838" w:h="11906" w:orient="landscape"/>
          <w:pgMar w:top="1247" w:right="1134" w:bottom="1247" w:left="1134" w:header="720" w:footer="720" w:gutter="0"/>
          <w:cols w:space="720"/>
          <w:docGrid w:type="linesAndChars"/>
        </w:sectPr>
      </w:pPr>
      <w:r>
        <w:rPr>
          <w:rFonts w:ascii="標楷體" w:eastAsia="標楷體" w:hAnsi="標楷體"/>
          <w:sz w:val="28"/>
        </w:rPr>
        <w:t xml:space="preserve">                                   回收空瓶日期：</w:t>
      </w:r>
      <w:r>
        <w:rPr>
          <w:rFonts w:ascii="標楷體" w:eastAsia="標楷體" w:hAnsi="標楷體"/>
          <w:sz w:val="28"/>
          <w:u w:val="single"/>
        </w:rPr>
        <w:t xml:space="preserve">                </w:t>
      </w:r>
      <w:r>
        <w:rPr>
          <w:rFonts w:ascii="標楷體" w:eastAsia="標楷體" w:hAnsi="標楷體"/>
          <w:sz w:val="28"/>
        </w:rPr>
        <w:t xml:space="preserve">       總結存量</w:t>
      </w:r>
      <w:r>
        <w:rPr>
          <w:rFonts w:ascii="標楷體" w:eastAsia="標楷體" w:hAnsi="標楷體"/>
          <w:color w:val="000000"/>
          <w:sz w:val="28"/>
        </w:rPr>
        <w:t>(瓶)</w:t>
      </w:r>
      <w:r>
        <w:rPr>
          <w:rFonts w:ascii="標楷體" w:eastAsia="標楷體" w:hAnsi="標楷體"/>
          <w:sz w:val="28"/>
        </w:rPr>
        <w:t>：</w:t>
      </w:r>
      <w:r>
        <w:rPr>
          <w:rFonts w:ascii="標楷體" w:eastAsia="標楷體" w:hAnsi="標楷體"/>
          <w:sz w:val="28"/>
          <w:u w:val="single"/>
        </w:rPr>
        <w:t xml:space="preserve">                </w:t>
      </w:r>
      <w:r>
        <w:rPr>
          <w:rFonts w:ascii="標楷體" w:eastAsia="標楷體" w:hAnsi="標楷體"/>
          <w:sz w:val="28"/>
          <w:u w:val="single"/>
          <w:shd w:val="clear" w:color="auto" w:fill="FFFFFF"/>
        </w:rPr>
        <w:t xml:space="preserve"> </w:t>
      </w:r>
    </w:p>
    <w:p w14:paraId="3876E0FE" w14:textId="77777777" w:rsidR="00401786" w:rsidRDefault="00000000" w:rsidP="000E757E">
      <w:pPr>
        <w:snapToGrid w:val="0"/>
        <w:spacing w:line="240" w:lineRule="atLeast"/>
        <w:sectPr w:rsidR="00401786">
          <w:footerReference w:type="default" r:id="rId24"/>
          <w:pgSz w:w="11906" w:h="16838"/>
          <w:pgMar w:top="1134" w:right="1247" w:bottom="1134" w:left="1247" w:header="720" w:footer="720" w:gutter="0"/>
          <w:cols w:space="720"/>
          <w:docGrid w:type="linesAndChars"/>
        </w:sectPr>
      </w:pPr>
      <w:r>
        <w:rPr>
          <w:rFonts w:ascii="標楷體" w:eastAsia="標楷體" w:hAnsi="標楷體"/>
          <w:color w:val="000000"/>
        </w:rPr>
        <w:lastRenderedPageBreak/>
        <w:object w:dxaOrig="1440" w:dyaOrig="1440" w14:anchorId="0F07A5AE">
          <v:shape id="Object 69" o:spid="_x0000_s2052" type="#_x0000_t75" style="position:absolute;margin-left:-32.25pt;margin-top:3pt;width:564.2pt;height:698.7pt;z-index:251672576;visibility:visible;mso-wrap-style:square;mso-position-horizontal-relative:margin;mso-position-vertical-relative:margin">
            <v:imagedata r:id="rId25" o:title=""/>
            <w10:wrap type="square" anchorx="margin" anchory="margin"/>
          </v:shape>
          <o:OLEObject Type="Embed" ProgID="Word.Picture.8" ShapeID="Object 69" DrawAspect="Content" ObjectID="_1854627329" r:id="rId26"/>
        </w:object>
      </w:r>
      <w:r w:rsidR="00C64FB3">
        <w:rPr>
          <w:noProof/>
        </w:rPr>
        <mc:AlternateContent>
          <mc:Choice Requires="wps">
            <w:drawing>
              <wp:anchor distT="0" distB="0" distL="114300" distR="114300" simplePos="0" relativeHeight="251653120" behindDoc="0" locked="0" layoutInCell="1" allowOverlap="1" wp14:anchorId="336BB5F7" wp14:editId="46308F95">
                <wp:simplePos x="0" y="0"/>
                <wp:positionH relativeFrom="column">
                  <wp:posOffset>110486</wp:posOffset>
                </wp:positionH>
                <wp:positionV relativeFrom="paragraph">
                  <wp:posOffset>1727831</wp:posOffset>
                </wp:positionV>
                <wp:extent cx="1752603" cy="1943100"/>
                <wp:effectExtent l="0" t="0" r="0" b="0"/>
                <wp:wrapSquare wrapText="bothSides"/>
                <wp:docPr id="18" name="Text Box 70"/>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503C818F" w14:textId="77777777" w:rsidR="00C6448D" w:rsidRDefault="00C6448D">
                            <w:pPr>
                              <w:rPr>
                                <w:rFonts w:ascii="標楷體" w:eastAsia="標楷體" w:hAnsi="標楷體"/>
                              </w:rPr>
                            </w:pPr>
                            <w:r>
                              <w:rPr>
                                <w:rFonts w:ascii="標楷體" w:eastAsia="標楷體" w:hAnsi="標楷體"/>
                              </w:rPr>
                              <w:t xml:space="preserve">9  肌肉出血 </w:t>
                            </w:r>
                          </w:p>
                          <w:p w14:paraId="3C433127" w14:textId="77777777" w:rsidR="00C6448D" w:rsidRDefault="00C6448D">
                            <w:pPr>
                              <w:rPr>
                                <w:rFonts w:ascii="標楷體" w:eastAsia="標楷體" w:hAnsi="標楷體"/>
                              </w:rPr>
                            </w:pPr>
                            <w:r>
                              <w:rPr>
                                <w:rFonts w:ascii="標楷體" w:eastAsia="標楷體" w:hAnsi="標楷體"/>
                              </w:rPr>
                              <w:t>10 皮下出血</w:t>
                            </w:r>
                          </w:p>
                          <w:p w14:paraId="78C175B6" w14:textId="77777777" w:rsidR="00C6448D" w:rsidRDefault="00C6448D">
                            <w:pPr>
                              <w:rPr>
                                <w:rFonts w:ascii="標楷體" w:eastAsia="標楷體" w:hAnsi="標楷體"/>
                              </w:rPr>
                            </w:pPr>
                            <w:r>
                              <w:rPr>
                                <w:rFonts w:ascii="標楷體" w:eastAsia="標楷體" w:hAnsi="標楷體"/>
                              </w:rPr>
                              <w:t>11 腸胃道出血</w:t>
                            </w:r>
                          </w:p>
                          <w:p w14:paraId="30CDD170" w14:textId="77777777" w:rsidR="00C6448D" w:rsidRDefault="00C6448D">
                            <w:pPr>
                              <w:rPr>
                                <w:rFonts w:ascii="標楷體" w:eastAsia="標楷體" w:hAnsi="標楷體"/>
                              </w:rPr>
                            </w:pPr>
                            <w:r>
                              <w:rPr>
                                <w:rFonts w:ascii="標楷體" w:eastAsia="標楷體" w:hAnsi="標楷體"/>
                              </w:rPr>
                              <w:t>12 血尿</w:t>
                            </w:r>
                          </w:p>
                          <w:p w14:paraId="62E87526" w14:textId="77777777" w:rsidR="00C6448D" w:rsidRDefault="00C6448D">
                            <w:pPr>
                              <w:rPr>
                                <w:rFonts w:ascii="標楷體" w:eastAsia="標楷體" w:hAnsi="標楷體"/>
                              </w:rPr>
                            </w:pPr>
                            <w:r>
                              <w:rPr>
                                <w:rFonts w:ascii="標楷體" w:eastAsia="標楷體" w:hAnsi="標楷體"/>
                              </w:rPr>
                              <w:t>13 鼻腔出血</w:t>
                            </w:r>
                          </w:p>
                          <w:p w14:paraId="0AE32D3E" w14:textId="77777777" w:rsidR="00C6448D" w:rsidRDefault="00C6448D">
                            <w:pPr>
                              <w:rPr>
                                <w:rFonts w:ascii="標楷體" w:eastAsia="標楷體" w:hAnsi="標楷體"/>
                              </w:rPr>
                            </w:pPr>
                            <w:r>
                              <w:rPr>
                                <w:rFonts w:ascii="標楷體" w:eastAsia="標楷體" w:hAnsi="標楷體"/>
                              </w:rPr>
                              <w:t>14 牙齦出血</w:t>
                            </w:r>
                          </w:p>
                          <w:p w14:paraId="484B4F5B" w14:textId="77777777" w:rsidR="00C6448D" w:rsidRDefault="00C6448D">
                            <w:pPr>
                              <w:rPr>
                                <w:rFonts w:ascii="標楷體" w:eastAsia="標楷體" w:hAnsi="標楷體"/>
                              </w:rPr>
                            </w:pPr>
                            <w:r>
                              <w:rPr>
                                <w:rFonts w:ascii="標楷體" w:eastAsia="標楷體" w:hAnsi="標楷體"/>
                              </w:rPr>
                              <w:t>15 口腔內出血</w:t>
                            </w:r>
                          </w:p>
                          <w:p w14:paraId="0C3039DE" w14:textId="77777777" w:rsidR="00C6448D" w:rsidRDefault="00C6448D">
                            <w:pPr>
                              <w:rPr>
                                <w:rFonts w:ascii="標楷體" w:eastAsia="標楷體" w:hAnsi="標楷體"/>
                              </w:rPr>
                            </w:pPr>
                            <w:r>
                              <w:rPr>
                                <w:rFonts w:ascii="標楷體" w:eastAsia="標楷體" w:hAnsi="標楷體"/>
                              </w:rPr>
                              <w:t>16 腦部出血</w:t>
                            </w:r>
                          </w:p>
                          <w:p w14:paraId="3128AB07"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336BB5F7" id="Text Box 70" o:spid="_x0000_s1035" type="#_x0000_t202" style="position:absolute;margin-left:8.7pt;margin-top:136.05pt;width:138pt;height:15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" filled="f" stroked="f">
                <v:textbox>
                  <w:txbxContent>
                    <w:p w14:paraId="503C818F" w14:textId="77777777" w:rsidR="00C6448D" w:rsidRDefault="00C6448D">
                      <w:pPr>
                        <w:rPr>
                          <w:rFonts w:ascii="標楷體" w:eastAsia="標楷體" w:hAnsi="標楷體"/>
                        </w:rPr>
                      </w:pPr>
                      <w:r>
                        <w:rPr>
                          <w:rFonts w:ascii="標楷體" w:eastAsia="標楷體" w:hAnsi="標楷體"/>
                        </w:rPr>
                        <w:t xml:space="preserve">9  肌肉出血 </w:t>
                      </w:r>
                    </w:p>
                    <w:p w14:paraId="3C433127" w14:textId="77777777" w:rsidR="00C6448D" w:rsidRDefault="00C6448D">
                      <w:pPr>
                        <w:rPr>
                          <w:rFonts w:ascii="標楷體" w:eastAsia="標楷體" w:hAnsi="標楷體"/>
                        </w:rPr>
                      </w:pPr>
                      <w:r>
                        <w:rPr>
                          <w:rFonts w:ascii="標楷體" w:eastAsia="標楷體" w:hAnsi="標楷體"/>
                        </w:rPr>
                        <w:t>10 皮下出血</w:t>
                      </w:r>
                    </w:p>
                    <w:p w14:paraId="78C175B6" w14:textId="77777777" w:rsidR="00C6448D" w:rsidRDefault="00C6448D">
                      <w:pPr>
                        <w:rPr>
                          <w:rFonts w:ascii="標楷體" w:eastAsia="標楷體" w:hAnsi="標楷體"/>
                        </w:rPr>
                      </w:pPr>
                      <w:r>
                        <w:rPr>
                          <w:rFonts w:ascii="標楷體" w:eastAsia="標楷體" w:hAnsi="標楷體"/>
                        </w:rPr>
                        <w:t>11 腸胃道出血</w:t>
                      </w:r>
                    </w:p>
                    <w:p w14:paraId="30CDD170" w14:textId="77777777" w:rsidR="00C6448D" w:rsidRDefault="00C6448D">
                      <w:pPr>
                        <w:rPr>
                          <w:rFonts w:ascii="標楷體" w:eastAsia="標楷體" w:hAnsi="標楷體"/>
                        </w:rPr>
                      </w:pPr>
                      <w:r>
                        <w:rPr>
                          <w:rFonts w:ascii="標楷體" w:eastAsia="標楷體" w:hAnsi="標楷體"/>
                        </w:rPr>
                        <w:t>12 血尿</w:t>
                      </w:r>
                    </w:p>
                    <w:p w14:paraId="62E87526" w14:textId="77777777" w:rsidR="00C6448D" w:rsidRDefault="00C6448D">
                      <w:pPr>
                        <w:rPr>
                          <w:rFonts w:ascii="標楷體" w:eastAsia="標楷體" w:hAnsi="標楷體"/>
                        </w:rPr>
                      </w:pPr>
                      <w:r>
                        <w:rPr>
                          <w:rFonts w:ascii="標楷體" w:eastAsia="標楷體" w:hAnsi="標楷體"/>
                        </w:rPr>
                        <w:t>13 鼻腔出血</w:t>
                      </w:r>
                    </w:p>
                    <w:p w14:paraId="0AE32D3E" w14:textId="77777777" w:rsidR="00C6448D" w:rsidRDefault="00C6448D">
                      <w:pPr>
                        <w:rPr>
                          <w:rFonts w:ascii="標楷體" w:eastAsia="標楷體" w:hAnsi="標楷體"/>
                        </w:rPr>
                      </w:pPr>
                      <w:r>
                        <w:rPr>
                          <w:rFonts w:ascii="標楷體" w:eastAsia="標楷體" w:hAnsi="標楷體"/>
                        </w:rPr>
                        <w:t>14 牙齦出血</w:t>
                      </w:r>
                    </w:p>
                    <w:p w14:paraId="484B4F5B" w14:textId="77777777" w:rsidR="00C6448D" w:rsidRDefault="00C6448D">
                      <w:pPr>
                        <w:rPr>
                          <w:rFonts w:ascii="標楷體" w:eastAsia="標楷體" w:hAnsi="標楷體"/>
                        </w:rPr>
                      </w:pPr>
                      <w:r>
                        <w:rPr>
                          <w:rFonts w:ascii="標楷體" w:eastAsia="標楷體" w:hAnsi="標楷體"/>
                        </w:rPr>
                        <w:t>15 口腔內出血</w:t>
                      </w:r>
                    </w:p>
                    <w:p w14:paraId="0C3039DE" w14:textId="77777777" w:rsidR="00C6448D" w:rsidRDefault="00C6448D">
                      <w:pPr>
                        <w:rPr>
                          <w:rFonts w:ascii="標楷體" w:eastAsia="標楷體" w:hAnsi="標楷體"/>
                        </w:rPr>
                      </w:pPr>
                      <w:r>
                        <w:rPr>
                          <w:rFonts w:ascii="標楷體" w:eastAsia="標楷體" w:hAnsi="標楷體"/>
                        </w:rPr>
                        <w:t>16 腦部出血</w:t>
                      </w:r>
                    </w:p>
                    <w:p w14:paraId="3128AB07" w14:textId="77777777" w:rsidR="00C6448D" w:rsidRDefault="00C6448D">
                      <w:pPr>
                        <w:rPr>
                          <w:rFonts w:ascii="標楷體" w:eastAsia="標楷體" w:hAnsi="標楷體"/>
                        </w:rPr>
                      </w:pPr>
                    </w:p>
                  </w:txbxContent>
                </v:textbox>
                <w10:wrap type="square"/>
              </v:shape>
            </w:pict>
          </mc:Fallback>
        </mc:AlternateContent>
      </w:r>
    </w:p>
    <w:p w14:paraId="43A23A3A" w14:textId="77777777" w:rsidR="00401786" w:rsidRPr="00F37647" w:rsidRDefault="00C64FB3" w:rsidP="000E757E">
      <w:pPr>
        <w:spacing w:after="240" w:line="240" w:lineRule="atLeast"/>
        <w:jc w:val="center"/>
        <w:rPr>
          <w:b/>
          <w:bCs/>
        </w:rPr>
      </w:pPr>
      <w:r w:rsidRPr="00F37647">
        <w:rPr>
          <w:rFonts w:eastAsia="標楷體"/>
          <w:b/>
          <w:bCs/>
        </w:rPr>
        <w:lastRenderedPageBreak/>
        <w:t>附表十八之三</w:t>
      </w:r>
      <w:r w:rsidRPr="00F37647">
        <w:rPr>
          <w:rFonts w:eastAsia="標楷體"/>
          <w:b/>
          <w:bCs/>
        </w:rPr>
        <w:t xml:space="preserve">  </w:t>
      </w:r>
      <w:r w:rsidRPr="00F37647">
        <w:rPr>
          <w:rFonts w:eastAsia="標楷體"/>
          <w:b/>
          <w:bCs/>
        </w:rPr>
        <w:t>全民健康保險一般型血友病患需要時</w:t>
      </w:r>
      <w:proofErr w:type="gramStart"/>
      <w:r w:rsidRPr="00F37647">
        <w:rPr>
          <w:rFonts w:eastAsia="標楷體"/>
          <w:b/>
          <w:bCs/>
        </w:rPr>
        <w:t>治療之凝血</w:t>
      </w:r>
      <w:proofErr w:type="gramEnd"/>
      <w:r w:rsidRPr="00F37647">
        <w:rPr>
          <w:rFonts w:eastAsia="標楷體"/>
          <w:b/>
          <w:bCs/>
        </w:rPr>
        <w:t>因子建議劑量</w:t>
      </w:r>
    </w:p>
    <w:tbl>
      <w:tblPr>
        <w:tblW w:w="10206" w:type="dxa"/>
        <w:tblInd w:w="5" w:type="dxa"/>
        <w:tblLayout w:type="fixed"/>
        <w:tblCellMar>
          <w:left w:w="10" w:type="dxa"/>
          <w:right w:w="10" w:type="dxa"/>
        </w:tblCellMar>
        <w:tblLook w:val="0000" w:firstRow="0" w:lastRow="0" w:firstColumn="0" w:lastColumn="0" w:noHBand="0" w:noVBand="0"/>
      </w:tblPr>
      <w:tblGrid>
        <w:gridCol w:w="1843"/>
        <w:gridCol w:w="992"/>
        <w:gridCol w:w="992"/>
        <w:gridCol w:w="993"/>
        <w:gridCol w:w="992"/>
        <w:gridCol w:w="992"/>
        <w:gridCol w:w="993"/>
        <w:gridCol w:w="2409"/>
      </w:tblGrid>
      <w:tr w:rsidR="00401786" w14:paraId="710E75AF"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A0A7A0" w14:textId="77777777" w:rsidR="00401786" w:rsidRDefault="00401786" w:rsidP="000E757E">
            <w:pPr>
              <w:pStyle w:val="ab"/>
              <w:spacing w:line="240" w:lineRule="atLeast"/>
              <w:jc w:val="center"/>
              <w:rPr>
                <w:rFonts w:ascii="標楷體" w:eastAsia="標楷體" w:hAnsi="標楷體"/>
                <w:color w:val="000000"/>
                <w:sz w:val="20"/>
                <w:szCs w:val="20"/>
              </w:rPr>
            </w:pPr>
          </w:p>
        </w:tc>
        <w:tc>
          <w:tcPr>
            <w:tcW w:w="29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4B75D3" w14:textId="77777777" w:rsidR="00401786" w:rsidRDefault="00C64FB3" w:rsidP="000E757E">
            <w:pPr>
              <w:pStyle w:val="ab"/>
              <w:spacing w:line="240" w:lineRule="atLeast"/>
              <w:jc w:val="center"/>
            </w:pPr>
            <w:r>
              <w:rPr>
                <w:rFonts w:ascii="標楷體" w:eastAsia="標楷體" w:hAnsi="標楷體"/>
                <w:color w:val="000000"/>
                <w:sz w:val="20"/>
                <w:szCs w:val="20"/>
              </w:rPr>
              <w:t>第八</w:t>
            </w:r>
            <w:r>
              <w:rPr>
                <w:rFonts w:eastAsia="標楷體"/>
                <w:sz w:val="20"/>
                <w:szCs w:val="20"/>
              </w:rPr>
              <w:t>凝血</w:t>
            </w:r>
            <w:r>
              <w:rPr>
                <w:rFonts w:ascii="標楷體" w:eastAsia="標楷體" w:hAnsi="標楷體"/>
                <w:color w:val="000000"/>
                <w:sz w:val="20"/>
                <w:szCs w:val="20"/>
              </w:rPr>
              <w:t>因子</w:t>
            </w:r>
          </w:p>
        </w:tc>
        <w:tc>
          <w:tcPr>
            <w:tcW w:w="29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F3EB2F" w14:textId="77777777" w:rsidR="00401786" w:rsidRDefault="00C64FB3" w:rsidP="000E757E">
            <w:pPr>
              <w:pStyle w:val="ab"/>
              <w:spacing w:line="240" w:lineRule="atLeast"/>
              <w:jc w:val="center"/>
            </w:pPr>
            <w:r>
              <w:rPr>
                <w:rFonts w:ascii="標楷體" w:eastAsia="標楷體" w:hAnsi="標楷體"/>
                <w:color w:val="000000"/>
                <w:sz w:val="20"/>
                <w:szCs w:val="20"/>
              </w:rPr>
              <w:t>第九</w:t>
            </w:r>
            <w:r>
              <w:rPr>
                <w:rFonts w:eastAsia="標楷體"/>
                <w:sz w:val="20"/>
                <w:szCs w:val="20"/>
              </w:rPr>
              <w:t>凝血</w:t>
            </w:r>
            <w:r>
              <w:rPr>
                <w:rFonts w:ascii="標楷體" w:eastAsia="標楷體" w:hAnsi="標楷體"/>
                <w:color w:val="000000"/>
                <w:sz w:val="20"/>
                <w:szCs w:val="20"/>
              </w:rPr>
              <w:t>因子</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22126" w14:textId="77777777" w:rsidR="00401786" w:rsidRDefault="00401786" w:rsidP="000E757E">
            <w:pPr>
              <w:pStyle w:val="ab"/>
              <w:spacing w:line="240" w:lineRule="atLeast"/>
              <w:jc w:val="center"/>
              <w:rPr>
                <w:rFonts w:ascii="標楷體" w:eastAsia="標楷體" w:hAnsi="標楷體"/>
                <w:color w:val="000000"/>
                <w:sz w:val="20"/>
                <w:szCs w:val="20"/>
              </w:rPr>
            </w:pPr>
          </w:p>
        </w:tc>
      </w:tr>
      <w:tr w:rsidR="00401786" w14:paraId="21036F57" w14:textId="77777777">
        <w:trPr>
          <w:trHeight w:val="1062"/>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C5B455" w14:textId="77777777" w:rsidR="00401786" w:rsidRDefault="00C64FB3" w:rsidP="000E757E">
            <w:pPr>
              <w:pStyle w:val="ab"/>
              <w:spacing w:line="240" w:lineRule="atLeast"/>
              <w:jc w:val="center"/>
            </w:pPr>
            <w:r>
              <w:rPr>
                <w:rFonts w:ascii="Arial Narrow" w:eastAsia="標楷體" w:hAnsi="Arial Narrow"/>
                <w:color w:val="000000"/>
                <w:sz w:val="20"/>
                <w:szCs w:val="20"/>
              </w:rPr>
              <w:t>出血部位</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A4012A" w14:textId="77777777" w:rsidR="00401786" w:rsidRDefault="00C64FB3" w:rsidP="000E757E">
            <w:pPr>
              <w:pStyle w:val="ab"/>
              <w:spacing w:line="240" w:lineRule="atLeast"/>
              <w:jc w:val="center"/>
            </w:pPr>
            <w:r>
              <w:rPr>
                <w:rFonts w:ascii="Arial Narrow" w:eastAsia="標楷體" w:hAnsi="Arial Narrow"/>
                <w:color w:val="000000"/>
                <w:sz w:val="20"/>
                <w:szCs w:val="20"/>
              </w:rPr>
              <w:t>欲達到濃度</w:t>
            </w:r>
          </w:p>
          <w:p w14:paraId="7FCD6B64" w14:textId="77777777" w:rsidR="00401786" w:rsidRDefault="00C64FB3" w:rsidP="000E757E">
            <w:pPr>
              <w:pStyle w:val="ab"/>
              <w:spacing w:line="240" w:lineRule="atLeast"/>
              <w:jc w:val="center"/>
            </w:pPr>
            <w:r>
              <w:rPr>
                <w:rFonts w:ascii="Arial Narrow" w:eastAsia="標楷體" w:hAnsi="Arial Narrow"/>
                <w:color w:val="000000"/>
                <w:sz w:val="20"/>
                <w:szCs w:val="20"/>
              </w:rPr>
              <w:t>(IU/dL)</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9DD1F2" w14:textId="77777777" w:rsidR="00401786" w:rsidRDefault="00C64FB3" w:rsidP="000E757E">
            <w:pPr>
              <w:pStyle w:val="ab"/>
              <w:spacing w:line="240" w:lineRule="atLeast"/>
              <w:jc w:val="center"/>
            </w:pPr>
            <w:r>
              <w:rPr>
                <w:rFonts w:ascii="Arial Narrow" w:eastAsia="標楷體" w:hAnsi="Arial Narrow"/>
                <w:color w:val="000000"/>
                <w:sz w:val="20"/>
                <w:szCs w:val="20"/>
              </w:rPr>
              <w:t>建議注射劑量</w:t>
            </w:r>
            <w:proofErr w:type="gramStart"/>
            <w:r>
              <w:rPr>
                <w:rFonts w:ascii="標楷體" w:eastAsia="標楷體" w:hAnsi="標楷體"/>
                <w:color w:val="000000"/>
                <w:sz w:val="20"/>
                <w:szCs w:val="20"/>
                <w:vertAlign w:val="superscript"/>
              </w:rPr>
              <w:t>＊</w:t>
            </w:r>
            <w:proofErr w:type="gramEnd"/>
            <w:r>
              <w:rPr>
                <w:rFonts w:ascii="Arial Narrow" w:eastAsia="標楷體" w:hAnsi="Arial Narrow"/>
                <w:color w:val="000000"/>
                <w:sz w:val="20"/>
                <w:szCs w:val="20"/>
              </w:rPr>
              <w:t>(IU/Kg)</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8BD2B4" w14:textId="77777777" w:rsidR="00401786" w:rsidRDefault="00C64FB3" w:rsidP="000E757E">
            <w:pPr>
              <w:pStyle w:val="ab"/>
              <w:spacing w:line="240" w:lineRule="atLeast"/>
              <w:jc w:val="center"/>
            </w:pPr>
            <w:r>
              <w:rPr>
                <w:rFonts w:ascii="Arial Narrow" w:eastAsia="標楷體" w:hAnsi="Arial Narrow"/>
                <w:color w:val="000000"/>
                <w:sz w:val="20"/>
                <w:szCs w:val="20"/>
              </w:rPr>
              <w:t>使用期間</w:t>
            </w:r>
          </w:p>
          <w:p w14:paraId="621F4085" w14:textId="77777777" w:rsidR="00401786" w:rsidRDefault="00C64FB3" w:rsidP="000E757E">
            <w:pPr>
              <w:pStyle w:val="ab"/>
              <w:spacing w:line="240" w:lineRule="atLeast"/>
              <w:jc w:val="center"/>
            </w:pPr>
            <w:r>
              <w:rPr>
                <w:rFonts w:ascii="Arial Narrow" w:eastAsia="標楷體" w:hAnsi="Arial Narrow"/>
                <w:color w:val="000000"/>
                <w:sz w:val="20"/>
                <w:szCs w:val="20"/>
              </w:rPr>
              <w:t>(</w:t>
            </w:r>
            <w:r>
              <w:rPr>
                <w:rFonts w:ascii="Arial Narrow" w:eastAsia="標楷體" w:hAnsi="Arial Narrow"/>
                <w:color w:val="000000"/>
                <w:sz w:val="20"/>
                <w:szCs w:val="20"/>
              </w:rPr>
              <w:t>天</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FB1557" w14:textId="77777777" w:rsidR="00401786" w:rsidRDefault="00C64FB3" w:rsidP="000E757E">
            <w:pPr>
              <w:pStyle w:val="ab"/>
              <w:spacing w:line="240" w:lineRule="atLeast"/>
              <w:jc w:val="center"/>
            </w:pPr>
            <w:r>
              <w:rPr>
                <w:rFonts w:ascii="Arial Narrow" w:eastAsia="標楷體" w:hAnsi="Arial Narrow"/>
                <w:color w:val="000000"/>
                <w:sz w:val="20"/>
                <w:szCs w:val="20"/>
              </w:rPr>
              <w:t>欲達到濃度</w:t>
            </w:r>
          </w:p>
          <w:p w14:paraId="326EA171" w14:textId="77777777" w:rsidR="00401786" w:rsidRDefault="00C64FB3" w:rsidP="000E757E">
            <w:pPr>
              <w:pStyle w:val="ab"/>
              <w:spacing w:line="240" w:lineRule="atLeast"/>
              <w:jc w:val="center"/>
            </w:pPr>
            <w:r>
              <w:rPr>
                <w:rFonts w:ascii="Arial Narrow" w:eastAsia="標楷體" w:hAnsi="Arial Narrow"/>
                <w:color w:val="000000"/>
                <w:sz w:val="20"/>
                <w:szCs w:val="20"/>
              </w:rPr>
              <w:t>(IU/dL)</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44909" w14:textId="77777777" w:rsidR="00401786" w:rsidRDefault="00C64FB3" w:rsidP="000E757E">
            <w:pPr>
              <w:pStyle w:val="ab"/>
              <w:spacing w:line="240" w:lineRule="atLeast"/>
              <w:jc w:val="center"/>
            </w:pPr>
            <w:r>
              <w:rPr>
                <w:rFonts w:ascii="Arial Narrow" w:eastAsia="標楷體" w:hAnsi="Arial Narrow"/>
                <w:color w:val="000000"/>
                <w:sz w:val="20"/>
                <w:szCs w:val="20"/>
              </w:rPr>
              <w:t>建議注射劑量</w:t>
            </w:r>
            <w:proofErr w:type="gramStart"/>
            <w:r>
              <w:rPr>
                <w:rFonts w:ascii="標楷體" w:eastAsia="標楷體" w:hAnsi="標楷體"/>
                <w:color w:val="000000"/>
                <w:sz w:val="20"/>
                <w:szCs w:val="20"/>
                <w:vertAlign w:val="superscript"/>
              </w:rPr>
              <w:t>＊</w:t>
            </w:r>
            <w:proofErr w:type="gramEnd"/>
            <w:r>
              <w:rPr>
                <w:rFonts w:ascii="Arial Narrow" w:eastAsia="標楷體" w:hAnsi="Arial Narrow"/>
                <w:color w:val="000000"/>
                <w:sz w:val="20"/>
                <w:szCs w:val="20"/>
              </w:rPr>
              <w:t xml:space="preserve"> (IU/kg)</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E2C811" w14:textId="77777777" w:rsidR="00401786" w:rsidRDefault="00C64FB3" w:rsidP="000E757E">
            <w:pPr>
              <w:pStyle w:val="ab"/>
              <w:spacing w:line="240" w:lineRule="atLeast"/>
              <w:jc w:val="center"/>
            </w:pPr>
            <w:r>
              <w:rPr>
                <w:rFonts w:ascii="Arial Narrow" w:eastAsia="標楷體" w:hAnsi="Arial Narrow"/>
                <w:color w:val="000000"/>
                <w:sz w:val="20"/>
                <w:szCs w:val="20"/>
              </w:rPr>
              <w:t>使用期間</w:t>
            </w:r>
          </w:p>
          <w:p w14:paraId="2822204D" w14:textId="77777777" w:rsidR="00401786" w:rsidRDefault="00C64FB3" w:rsidP="000E757E">
            <w:pPr>
              <w:pStyle w:val="ab"/>
              <w:spacing w:line="240" w:lineRule="atLeast"/>
              <w:jc w:val="center"/>
            </w:pPr>
            <w:r>
              <w:rPr>
                <w:rFonts w:ascii="Arial Narrow" w:eastAsia="標楷體" w:hAnsi="Arial Narrow"/>
                <w:color w:val="000000"/>
                <w:sz w:val="20"/>
                <w:szCs w:val="20"/>
              </w:rPr>
              <w:t>(</w:t>
            </w:r>
            <w:r>
              <w:rPr>
                <w:rFonts w:ascii="Arial Narrow" w:eastAsia="標楷體" w:hAnsi="Arial Narrow"/>
                <w:color w:val="000000"/>
                <w:sz w:val="20"/>
                <w:szCs w:val="20"/>
              </w:rPr>
              <w:t>天</w:t>
            </w:r>
            <w:r>
              <w:rPr>
                <w:rFonts w:ascii="Arial Narrow" w:eastAsia="標楷體" w:hAnsi="Arial Narrow"/>
                <w:color w:val="000000"/>
                <w:sz w:val="20"/>
                <w:szCs w:val="20"/>
              </w:rPr>
              <w:t>)</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DE192" w14:textId="77777777" w:rsidR="00401786" w:rsidRDefault="00C64FB3" w:rsidP="000E757E">
            <w:pPr>
              <w:pStyle w:val="ab"/>
              <w:spacing w:line="240" w:lineRule="atLeast"/>
              <w:jc w:val="center"/>
            </w:pPr>
            <w:r>
              <w:rPr>
                <w:rFonts w:ascii="Arial Narrow" w:eastAsia="標楷體" w:hAnsi="Arial Narrow"/>
                <w:color w:val="000000"/>
                <w:sz w:val="20"/>
                <w:szCs w:val="20"/>
              </w:rPr>
              <w:t>備註事項</w:t>
            </w:r>
          </w:p>
        </w:tc>
      </w:tr>
      <w:tr w:rsidR="00401786" w14:paraId="0C8D2716" w14:textId="77777777">
        <w:trPr>
          <w:trHeight w:val="106"/>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31328" w14:textId="77777777" w:rsidR="00401786" w:rsidRDefault="00C64FB3" w:rsidP="000E757E">
            <w:pPr>
              <w:pStyle w:val="ab"/>
              <w:spacing w:line="240" w:lineRule="atLeast"/>
              <w:jc w:val="center"/>
            </w:pPr>
            <w:r>
              <w:rPr>
                <w:rFonts w:ascii="Arial Narrow" w:eastAsia="標楷體" w:hAnsi="Arial Narrow"/>
                <w:color w:val="000000"/>
                <w:sz w:val="20"/>
                <w:szCs w:val="20"/>
              </w:rPr>
              <w:t>關節</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92A200"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5DA3E2" w14:textId="77777777" w:rsidR="00401786" w:rsidRDefault="00C64FB3" w:rsidP="000E757E">
            <w:pPr>
              <w:pStyle w:val="ab"/>
              <w:spacing w:line="240" w:lineRule="atLeast"/>
              <w:jc w:val="center"/>
            </w:pPr>
            <w:r>
              <w:rPr>
                <w:rFonts w:ascii="Arial Narrow" w:eastAsia="標楷體" w:hAnsi="Arial Narrow"/>
                <w:color w:val="000000"/>
                <w:sz w:val="20"/>
                <w:szCs w:val="20"/>
              </w:rPr>
              <w:t>20-30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64CC54"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F60F8"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37FB9B"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BC70A1"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39AC20" w14:textId="77777777" w:rsidR="00401786" w:rsidRDefault="00C64FB3" w:rsidP="000E757E">
            <w:pPr>
              <w:pStyle w:val="ab"/>
              <w:spacing w:line="240" w:lineRule="atLeast"/>
            </w:pPr>
            <w:r>
              <w:rPr>
                <w:rFonts w:ascii="Arial Narrow" w:eastAsia="標楷體" w:hAnsi="Arial Narrow"/>
                <w:b/>
                <w:color w:val="000000"/>
                <w:sz w:val="20"/>
                <w:szCs w:val="20"/>
              </w:rPr>
              <w:t>如治療效果不佳時，得視病情況延長凝血因子使用</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r w:rsidR="00401786" w14:paraId="73AF55B6" w14:textId="77777777">
        <w:trPr>
          <w:trHeight w:val="508"/>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213A35" w14:textId="77777777" w:rsidR="00401786" w:rsidRDefault="00C64FB3" w:rsidP="000E757E">
            <w:pPr>
              <w:pStyle w:val="ab"/>
              <w:spacing w:line="240" w:lineRule="atLeast"/>
            </w:pPr>
            <w:r>
              <w:rPr>
                <w:rFonts w:ascii="Arial Narrow" w:eastAsia="標楷體" w:hAnsi="Arial Narrow"/>
                <w:color w:val="000000"/>
                <w:sz w:val="20"/>
                <w:szCs w:val="20"/>
              </w:rPr>
              <w:t>表在肌肉，沒有神經傷害</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2B41B"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45A21" w14:textId="77777777" w:rsidR="00401786" w:rsidRDefault="00C64FB3" w:rsidP="000E757E">
            <w:pPr>
              <w:pStyle w:val="ab"/>
              <w:spacing w:line="240" w:lineRule="atLeast"/>
              <w:jc w:val="center"/>
            </w:pPr>
            <w:r>
              <w:rPr>
                <w:rFonts w:ascii="Arial Narrow" w:eastAsia="標楷體" w:hAnsi="Arial Narrow"/>
                <w:color w:val="000000"/>
                <w:sz w:val="20"/>
                <w:szCs w:val="20"/>
              </w:rPr>
              <w:t>20-30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29A9A" w14:textId="77777777" w:rsidR="00401786" w:rsidRDefault="00C64FB3" w:rsidP="000E757E">
            <w:pPr>
              <w:pStyle w:val="ab"/>
              <w:spacing w:line="240" w:lineRule="atLeast"/>
              <w:jc w:val="center"/>
            </w:pPr>
            <w:r>
              <w:rPr>
                <w:rFonts w:ascii="Arial Narrow" w:eastAsia="標楷體" w:hAnsi="Arial Narrow"/>
                <w:color w:val="000000"/>
                <w:sz w:val="20"/>
                <w:szCs w:val="20"/>
              </w:rPr>
              <w:t>2-3</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71CE1A"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FC9236"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2087F" w14:textId="77777777" w:rsidR="00401786" w:rsidRDefault="00C64FB3" w:rsidP="000E757E">
            <w:pPr>
              <w:pStyle w:val="ab"/>
              <w:spacing w:line="240" w:lineRule="atLeast"/>
              <w:jc w:val="center"/>
            </w:pPr>
            <w:r>
              <w:rPr>
                <w:rFonts w:ascii="Arial Narrow" w:eastAsia="標楷體" w:hAnsi="Arial Narrow"/>
                <w:color w:val="000000"/>
                <w:sz w:val="20"/>
                <w:szCs w:val="20"/>
              </w:rPr>
              <w:t>2-3</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8CB2AD" w14:textId="77777777" w:rsidR="00401786" w:rsidRDefault="00C64FB3" w:rsidP="000E757E">
            <w:pPr>
              <w:pStyle w:val="ab"/>
              <w:spacing w:line="240" w:lineRule="atLeast"/>
            </w:pPr>
            <w:r>
              <w:rPr>
                <w:rFonts w:ascii="Arial Narrow" w:eastAsia="標楷體" w:hAnsi="Arial Narrow"/>
                <w:b/>
                <w:color w:val="000000"/>
                <w:sz w:val="20"/>
                <w:szCs w:val="20"/>
              </w:rPr>
              <w:t>如治療效果不佳時，得視病情況延長凝血因子使用</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r w:rsidR="00401786" w14:paraId="0A48A951" w14:textId="77777777">
        <w:trPr>
          <w:trHeight w:val="50"/>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78102B" w14:textId="77777777" w:rsidR="00401786" w:rsidRDefault="00C64FB3" w:rsidP="000E757E">
            <w:pPr>
              <w:pStyle w:val="ab"/>
              <w:spacing w:line="240" w:lineRule="atLeast"/>
            </w:pPr>
            <w:proofErr w:type="gramStart"/>
            <w:r>
              <w:rPr>
                <w:rFonts w:ascii="Arial Narrow" w:eastAsia="標楷體" w:hAnsi="Arial Narrow"/>
                <w:color w:val="000000"/>
                <w:sz w:val="20"/>
                <w:szCs w:val="20"/>
              </w:rPr>
              <w:t>髂腰肌和</w:t>
            </w:r>
            <w:proofErr w:type="gramEnd"/>
            <w:r>
              <w:rPr>
                <w:rFonts w:ascii="Arial Narrow" w:eastAsia="標楷體" w:hAnsi="Arial Narrow"/>
                <w:color w:val="000000"/>
                <w:sz w:val="20"/>
                <w:szCs w:val="20"/>
              </w:rPr>
              <w:t>深部肌肉，有神經傷害和相當出血</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110E93"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68E5C9"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441555"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31207"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078091"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DC1558"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2B7C33"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14DBAF32" w14:textId="77777777">
        <w:trPr>
          <w:trHeight w:val="855"/>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943469" w14:textId="77777777" w:rsidR="00401786" w:rsidRDefault="00C64FB3" w:rsidP="000E757E">
            <w:pPr>
              <w:pStyle w:val="ab"/>
              <w:spacing w:line="240" w:lineRule="atLeast"/>
            </w:pPr>
            <w:proofErr w:type="gramStart"/>
            <w:r>
              <w:rPr>
                <w:rFonts w:ascii="Arial Narrow" w:eastAsia="標楷體" w:hAnsi="Arial Narrow"/>
                <w:color w:val="000000"/>
                <w:sz w:val="20"/>
                <w:szCs w:val="20"/>
              </w:rPr>
              <w:t>髂腰肌</w:t>
            </w:r>
            <w:r>
              <w:rPr>
                <w:rFonts w:ascii="Arial Narrow" w:eastAsia="標楷體" w:hAnsi="Arial Narrow"/>
                <w:color w:val="000000"/>
                <w:sz w:val="20"/>
                <w:szCs w:val="20"/>
              </w:rPr>
              <w:t>(</w:t>
            </w:r>
            <w:proofErr w:type="gramEnd"/>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AB6B85" w14:textId="77777777" w:rsidR="00401786" w:rsidRDefault="00C64FB3" w:rsidP="000E757E">
            <w:pPr>
              <w:pStyle w:val="ab"/>
              <w:spacing w:line="240" w:lineRule="atLeast"/>
              <w:jc w:val="center"/>
            </w:pPr>
            <w:r>
              <w:rPr>
                <w:rFonts w:ascii="Arial Narrow" w:eastAsia="標楷體" w:hAnsi="Arial Narrow"/>
                <w:color w:val="000000"/>
                <w:sz w:val="20"/>
                <w:szCs w:val="20"/>
              </w:rPr>
              <w:t>30-60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48C32D" w14:textId="77777777" w:rsidR="00401786" w:rsidRDefault="00C64FB3" w:rsidP="000E757E">
            <w:pPr>
              <w:pStyle w:val="ab"/>
              <w:spacing w:line="240" w:lineRule="atLeast"/>
              <w:jc w:val="center"/>
            </w:pPr>
            <w:r>
              <w:rPr>
                <w:rFonts w:ascii="Arial Narrow" w:eastAsia="標楷體" w:hAnsi="Arial Narrow"/>
                <w:color w:val="000000"/>
                <w:sz w:val="20"/>
                <w:szCs w:val="20"/>
              </w:rPr>
              <w:t>15-30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748AE9"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01E655" w14:textId="77777777" w:rsidR="00401786" w:rsidRDefault="00C64FB3" w:rsidP="000E757E">
            <w:pPr>
              <w:pStyle w:val="ab"/>
              <w:spacing w:line="240" w:lineRule="atLeast"/>
              <w:jc w:val="center"/>
            </w:pPr>
            <w:r>
              <w:rPr>
                <w:rFonts w:ascii="Arial Narrow" w:eastAsia="標楷體" w:hAnsi="Arial Narrow"/>
                <w:color w:val="000000"/>
                <w:sz w:val="20"/>
                <w:szCs w:val="20"/>
              </w:rPr>
              <w:t>30-60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E34FA" w14:textId="77777777" w:rsidR="00401786" w:rsidRDefault="00C64FB3" w:rsidP="000E757E">
            <w:pPr>
              <w:pStyle w:val="ab"/>
              <w:spacing w:line="240" w:lineRule="atLeast"/>
              <w:jc w:val="center"/>
            </w:pPr>
            <w:r>
              <w:rPr>
                <w:rFonts w:ascii="Arial Narrow" w:eastAsia="標楷體" w:hAnsi="Arial Narrow"/>
                <w:color w:val="000000"/>
                <w:sz w:val="20"/>
                <w:szCs w:val="20"/>
              </w:rPr>
              <w:t>30-60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33C73"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E2FB9D" w14:textId="77777777" w:rsidR="00401786" w:rsidRDefault="00C64FB3" w:rsidP="000E757E">
            <w:pPr>
              <w:pStyle w:val="ab"/>
              <w:spacing w:line="240" w:lineRule="atLeast"/>
            </w:pPr>
            <w:r>
              <w:rPr>
                <w:rFonts w:ascii="Arial Narrow" w:eastAsia="標楷體" w:hAnsi="Arial Narrow"/>
                <w:b/>
                <w:color w:val="000000"/>
                <w:sz w:val="20"/>
                <w:szCs w:val="20"/>
              </w:rPr>
              <w:t>復健之次級性預防用藥得延長使用</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r w:rsidR="00401786" w14:paraId="56A15992" w14:textId="77777777">
        <w:trPr>
          <w:trHeight w:val="123"/>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DCE010" w14:textId="77777777" w:rsidR="00401786" w:rsidRDefault="00C64FB3" w:rsidP="000E757E">
            <w:pPr>
              <w:pStyle w:val="ab"/>
              <w:spacing w:line="240" w:lineRule="atLeast"/>
            </w:pPr>
            <w:r>
              <w:rPr>
                <w:rFonts w:ascii="Arial Narrow" w:eastAsia="標楷體" w:hAnsi="Arial Narrow"/>
                <w:color w:val="000000"/>
                <w:sz w:val="20"/>
                <w:szCs w:val="20"/>
              </w:rPr>
              <w:t>中樞神經</w:t>
            </w:r>
            <w:r>
              <w:rPr>
                <w:rFonts w:ascii="Arial Narrow" w:eastAsia="標楷體" w:hAnsi="Arial Narrow"/>
                <w:color w:val="000000"/>
                <w:sz w:val="20"/>
                <w:szCs w:val="20"/>
              </w:rPr>
              <w:t>/</w:t>
            </w:r>
            <w:r>
              <w:rPr>
                <w:rFonts w:ascii="Arial Narrow" w:eastAsia="標楷體" w:hAnsi="Arial Narrow"/>
                <w:color w:val="000000"/>
                <w:sz w:val="20"/>
                <w:szCs w:val="20"/>
              </w:rPr>
              <w:t>頭部</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8CA9EB"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5F69A0"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63DD04"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22BDA4"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D21898"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0634CB"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2424B8"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313E8BDA" w14:textId="77777777">
        <w:trPr>
          <w:trHeight w:val="248"/>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F60EC2" w14:textId="77777777" w:rsidR="00401786" w:rsidRDefault="00C64FB3" w:rsidP="000E757E">
            <w:pPr>
              <w:pStyle w:val="ab"/>
              <w:spacing w:line="240" w:lineRule="atLeast"/>
            </w:pPr>
            <w:r>
              <w:rPr>
                <w:rFonts w:ascii="Arial Narrow" w:eastAsia="標楷體" w:hAnsi="Arial Narrow"/>
                <w:color w:val="000000"/>
                <w:sz w:val="20"/>
                <w:szCs w:val="20"/>
              </w:rPr>
              <w:t>中樞神經</w:t>
            </w:r>
            <w:r>
              <w:rPr>
                <w:rFonts w:ascii="Arial Narrow" w:eastAsia="標楷體" w:hAnsi="Arial Narrow"/>
                <w:color w:val="000000"/>
                <w:sz w:val="20"/>
                <w:szCs w:val="20"/>
              </w:rPr>
              <w:t>/</w:t>
            </w:r>
            <w:r>
              <w:rPr>
                <w:rFonts w:ascii="Arial Narrow" w:eastAsia="標楷體" w:hAnsi="Arial Narrow"/>
                <w:color w:val="000000"/>
                <w:sz w:val="20"/>
                <w:szCs w:val="20"/>
              </w:rPr>
              <w:t>頭部</w:t>
            </w:r>
            <w:r>
              <w:rPr>
                <w:rFonts w:ascii="Arial Narrow" w:eastAsia="標楷體" w:hAnsi="Arial Narrow"/>
                <w:color w:val="000000"/>
                <w:sz w:val="20"/>
                <w:szCs w:val="20"/>
              </w:rPr>
              <w:t>(</w:t>
            </w:r>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A0DE5A"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7EED2D"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9FF4" w14:textId="77777777" w:rsidR="00401786" w:rsidRDefault="00C64FB3" w:rsidP="000E757E">
            <w:pPr>
              <w:pStyle w:val="ab"/>
              <w:spacing w:line="240" w:lineRule="atLeast"/>
              <w:jc w:val="center"/>
            </w:pPr>
            <w:r>
              <w:rPr>
                <w:rFonts w:ascii="Arial Narrow" w:eastAsia="標楷體" w:hAnsi="Arial Narrow"/>
                <w:color w:val="000000"/>
                <w:sz w:val="20"/>
                <w:szCs w:val="20"/>
              </w:rPr>
              <w:t>8-21</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E2DDA"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C1F8B6"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6F22FB" w14:textId="77777777" w:rsidR="00401786" w:rsidRDefault="00C64FB3" w:rsidP="000E757E">
            <w:pPr>
              <w:pStyle w:val="ab"/>
              <w:spacing w:line="240" w:lineRule="atLeast"/>
              <w:jc w:val="center"/>
            </w:pPr>
            <w:r>
              <w:rPr>
                <w:rFonts w:ascii="Arial Narrow" w:eastAsia="標楷體" w:hAnsi="Arial Narrow"/>
                <w:color w:val="000000"/>
                <w:sz w:val="20"/>
                <w:szCs w:val="20"/>
              </w:rPr>
              <w:t>8-21</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9DA7E2"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3406BA28" w14:textId="77777777">
        <w:trPr>
          <w:trHeight w:val="101"/>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8802AF" w14:textId="77777777" w:rsidR="00401786" w:rsidRDefault="00C64FB3" w:rsidP="000E757E">
            <w:pPr>
              <w:pStyle w:val="ab"/>
              <w:spacing w:line="240" w:lineRule="atLeast"/>
            </w:pPr>
            <w:r>
              <w:rPr>
                <w:rFonts w:ascii="Arial Narrow" w:eastAsia="標楷體" w:hAnsi="Arial Narrow"/>
                <w:color w:val="000000"/>
                <w:sz w:val="20"/>
                <w:szCs w:val="20"/>
              </w:rPr>
              <w:t>咽喉及頸部</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DBE145"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5DEAE8"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09B421"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01468"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2B9905"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9A5159"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2F98D3"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66F75836" w14:textId="77777777">
        <w:trPr>
          <w:trHeight w:val="50"/>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2072C4" w14:textId="77777777" w:rsidR="00401786" w:rsidRDefault="00C64FB3" w:rsidP="000E757E">
            <w:pPr>
              <w:pStyle w:val="ab"/>
              <w:spacing w:line="240" w:lineRule="atLeast"/>
            </w:pPr>
            <w:r>
              <w:rPr>
                <w:rFonts w:ascii="Arial Narrow" w:eastAsia="標楷體" w:hAnsi="Arial Narrow"/>
                <w:color w:val="000000"/>
                <w:sz w:val="20"/>
                <w:szCs w:val="20"/>
              </w:rPr>
              <w:t>咽喉及頸部</w:t>
            </w:r>
            <w:r>
              <w:rPr>
                <w:rFonts w:ascii="Arial Narrow" w:eastAsia="標楷體" w:hAnsi="Arial Narrow"/>
                <w:color w:val="000000"/>
                <w:sz w:val="20"/>
                <w:szCs w:val="20"/>
              </w:rPr>
              <w:t>(</w:t>
            </w:r>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DF81B3"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7F8839"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99A9A1" w14:textId="77777777" w:rsidR="00401786" w:rsidRDefault="00C64FB3" w:rsidP="000E757E">
            <w:pPr>
              <w:pStyle w:val="ab"/>
              <w:spacing w:line="240" w:lineRule="atLeast"/>
              <w:jc w:val="center"/>
            </w:pPr>
            <w:r>
              <w:rPr>
                <w:rFonts w:ascii="Arial Narrow" w:eastAsia="標楷體" w:hAnsi="Arial Narrow"/>
                <w:color w:val="000000"/>
                <w:sz w:val="20"/>
                <w:szCs w:val="20"/>
              </w:rPr>
              <w:t>8-14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D64CC"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E0C1BF"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759BD8" w14:textId="77777777" w:rsidR="00401786" w:rsidRDefault="00C64FB3" w:rsidP="000E757E">
            <w:pPr>
              <w:pStyle w:val="ab"/>
              <w:spacing w:line="240" w:lineRule="atLeast"/>
              <w:jc w:val="center"/>
            </w:pPr>
            <w:r>
              <w:rPr>
                <w:rFonts w:ascii="Arial Narrow" w:eastAsia="標楷體" w:hAnsi="Arial Narrow"/>
                <w:color w:val="000000"/>
                <w:sz w:val="20"/>
                <w:szCs w:val="20"/>
              </w:rPr>
              <w:t>8-14</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E8970B"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1979CA88"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FFF9F1" w14:textId="77777777" w:rsidR="00401786" w:rsidRDefault="00C64FB3" w:rsidP="000E757E">
            <w:pPr>
              <w:pStyle w:val="ab"/>
              <w:spacing w:line="240" w:lineRule="atLeast"/>
            </w:pPr>
            <w:r>
              <w:rPr>
                <w:rFonts w:ascii="Arial Narrow" w:eastAsia="標楷體" w:hAnsi="Arial Narrow"/>
                <w:color w:val="000000"/>
                <w:sz w:val="20"/>
                <w:szCs w:val="20"/>
              </w:rPr>
              <w:t>腸胃道</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2462BA"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C3AB0"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941F7F"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890F66"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2081BE"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1E06A8"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F20A17"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4902273B"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5B8364" w14:textId="77777777" w:rsidR="00401786" w:rsidRDefault="00C64FB3" w:rsidP="000E757E">
            <w:pPr>
              <w:pStyle w:val="ab"/>
              <w:spacing w:line="240" w:lineRule="atLeast"/>
            </w:pPr>
            <w:r>
              <w:rPr>
                <w:rFonts w:ascii="Arial Narrow" w:eastAsia="標楷體" w:hAnsi="Arial Narrow"/>
                <w:color w:val="000000"/>
                <w:sz w:val="20"/>
                <w:szCs w:val="20"/>
              </w:rPr>
              <w:t>腸胃道</w:t>
            </w:r>
            <w:r>
              <w:rPr>
                <w:rFonts w:ascii="Arial Narrow" w:eastAsia="標楷體" w:hAnsi="Arial Narrow"/>
                <w:color w:val="000000"/>
                <w:sz w:val="20"/>
                <w:szCs w:val="20"/>
              </w:rPr>
              <w:t>(</w:t>
            </w:r>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CC982E"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F6D223"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E84FC0"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484AB8"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676A1A"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5E71E9"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44EB43"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705584CE"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A7DD9E" w14:textId="77777777" w:rsidR="00401786" w:rsidRDefault="00C64FB3" w:rsidP="000E757E">
            <w:pPr>
              <w:pStyle w:val="ab"/>
              <w:spacing w:line="240" w:lineRule="atLeast"/>
            </w:pPr>
            <w:r>
              <w:rPr>
                <w:rFonts w:ascii="Arial Narrow" w:eastAsia="標楷體" w:hAnsi="Arial Narrow"/>
                <w:color w:val="000000"/>
                <w:sz w:val="20"/>
                <w:szCs w:val="20"/>
              </w:rPr>
              <w:t>腎臟</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DF8C6"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6D9FDE"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9ADC9E"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0E727C"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4AFE20"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03EDDD"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C901C4"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7D84D497" w14:textId="77777777">
        <w:trPr>
          <w:trHeight w:val="363"/>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4D36A" w14:textId="77777777" w:rsidR="00401786" w:rsidRDefault="00C64FB3" w:rsidP="000E757E">
            <w:pPr>
              <w:pStyle w:val="ab"/>
              <w:spacing w:line="240" w:lineRule="atLeast"/>
            </w:pPr>
            <w:r>
              <w:rPr>
                <w:rFonts w:ascii="Arial Narrow" w:eastAsia="標楷體" w:hAnsi="Arial Narrow"/>
                <w:color w:val="000000"/>
                <w:sz w:val="20"/>
                <w:szCs w:val="20"/>
              </w:rPr>
              <w:t>深部撕裂傷</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BF57A8"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92B32E"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F0BBD0" w14:textId="77777777" w:rsidR="00401786" w:rsidRDefault="00C64FB3" w:rsidP="000E757E">
            <w:pPr>
              <w:pStyle w:val="ab"/>
              <w:spacing w:line="240" w:lineRule="atLeast"/>
              <w:jc w:val="center"/>
            </w:pPr>
            <w:r>
              <w:rPr>
                <w:rFonts w:ascii="Arial Narrow" w:eastAsia="標楷體" w:hAnsi="Arial Narrow"/>
                <w:color w:val="000000"/>
                <w:sz w:val="20"/>
                <w:szCs w:val="20"/>
              </w:rPr>
              <w:t>5-7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61D4B4"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29FBCB"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D8512" w14:textId="77777777" w:rsidR="00401786" w:rsidRDefault="00C64FB3" w:rsidP="000E757E">
            <w:pPr>
              <w:pStyle w:val="ab"/>
              <w:spacing w:line="240" w:lineRule="atLeast"/>
              <w:jc w:val="center"/>
            </w:pPr>
            <w:r>
              <w:rPr>
                <w:rFonts w:ascii="Arial Narrow" w:eastAsia="標楷體" w:hAnsi="Arial Narrow"/>
                <w:color w:val="000000"/>
                <w:sz w:val="20"/>
                <w:szCs w:val="20"/>
              </w:rPr>
              <w:t>5-7</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D6D3B6"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18B6F0DB"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DC9F23" w14:textId="77777777" w:rsidR="00401786" w:rsidRDefault="00C64FB3" w:rsidP="000E757E">
            <w:pPr>
              <w:pStyle w:val="ab"/>
              <w:spacing w:line="240" w:lineRule="atLeast"/>
            </w:pPr>
            <w:r>
              <w:rPr>
                <w:rFonts w:ascii="Arial Narrow" w:eastAsia="標楷體" w:hAnsi="Arial Narrow"/>
                <w:color w:val="000000"/>
                <w:sz w:val="20"/>
                <w:szCs w:val="20"/>
              </w:rPr>
              <w:t>重大手術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術前</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D1EC57"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648B5D"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434CC0"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E40CAF"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C7727C"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7FE1E1"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093EB1"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37C7FB03" w14:textId="77777777">
        <w:trPr>
          <w:trHeight w:val="1062"/>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42D242" w14:textId="77777777" w:rsidR="00401786" w:rsidRDefault="00C64FB3" w:rsidP="000E757E">
            <w:pPr>
              <w:pStyle w:val="ab"/>
              <w:spacing w:line="240" w:lineRule="atLeast"/>
            </w:pPr>
            <w:r>
              <w:rPr>
                <w:rFonts w:ascii="Arial Narrow" w:eastAsia="標楷體" w:hAnsi="Arial Narrow"/>
                <w:color w:val="000000"/>
                <w:sz w:val="20"/>
                <w:szCs w:val="20"/>
              </w:rPr>
              <w:t>重大手術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術後</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88F981"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p w14:paraId="6CD8A74C"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p w14:paraId="4E96FBDB" w14:textId="77777777" w:rsidR="00401786" w:rsidRDefault="00C64FB3" w:rsidP="000E757E">
            <w:pPr>
              <w:pStyle w:val="ab"/>
              <w:spacing w:line="240" w:lineRule="atLeast"/>
              <w:jc w:val="center"/>
            </w:pPr>
            <w:r>
              <w:rPr>
                <w:rFonts w:ascii="Arial Narrow" w:eastAsia="標楷體" w:hAnsi="Arial Narrow"/>
                <w:color w:val="000000"/>
                <w:sz w:val="20"/>
                <w:szCs w:val="20"/>
              </w:rPr>
              <w:t>30-50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48D41B" w14:textId="77777777" w:rsidR="00401786" w:rsidRDefault="00C64FB3" w:rsidP="000E757E">
            <w:pPr>
              <w:pStyle w:val="ab"/>
              <w:spacing w:line="240" w:lineRule="atLeast"/>
              <w:jc w:val="center"/>
            </w:pPr>
            <w:r>
              <w:rPr>
                <w:rFonts w:ascii="Arial Narrow" w:eastAsia="標楷體" w:hAnsi="Arial Narrow"/>
                <w:color w:val="000000"/>
                <w:sz w:val="20"/>
                <w:szCs w:val="20"/>
              </w:rPr>
              <w:t>30-40</w:t>
            </w:r>
          </w:p>
          <w:p w14:paraId="31FDD797" w14:textId="77777777" w:rsidR="00401786" w:rsidRDefault="00C64FB3" w:rsidP="000E757E">
            <w:pPr>
              <w:pStyle w:val="ab"/>
              <w:spacing w:line="240" w:lineRule="atLeast"/>
              <w:jc w:val="center"/>
            </w:pPr>
            <w:r>
              <w:rPr>
                <w:rFonts w:ascii="Arial Narrow" w:eastAsia="標楷體" w:hAnsi="Arial Narrow"/>
                <w:color w:val="000000"/>
                <w:sz w:val="20"/>
                <w:szCs w:val="20"/>
              </w:rPr>
              <w:t>20-30</w:t>
            </w:r>
          </w:p>
          <w:p w14:paraId="72449624" w14:textId="77777777" w:rsidR="00401786" w:rsidRDefault="00C64FB3" w:rsidP="000E757E">
            <w:pPr>
              <w:pStyle w:val="ab"/>
              <w:spacing w:line="240" w:lineRule="atLeast"/>
              <w:jc w:val="center"/>
            </w:pPr>
            <w:r>
              <w:rPr>
                <w:rFonts w:ascii="Arial Narrow" w:eastAsia="標楷體" w:hAnsi="Arial Narrow"/>
                <w:color w:val="000000"/>
                <w:sz w:val="20"/>
                <w:szCs w:val="20"/>
              </w:rPr>
              <w:t>15-25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0DE8F" w14:textId="77777777" w:rsidR="00401786" w:rsidRDefault="00C64FB3" w:rsidP="000E757E">
            <w:pPr>
              <w:pStyle w:val="ab"/>
              <w:spacing w:line="240" w:lineRule="atLeast"/>
              <w:jc w:val="center"/>
            </w:pPr>
            <w:r>
              <w:rPr>
                <w:rFonts w:ascii="Arial Narrow" w:eastAsia="標楷體" w:hAnsi="Arial Narrow"/>
                <w:color w:val="000000"/>
                <w:sz w:val="20"/>
                <w:szCs w:val="20"/>
              </w:rPr>
              <w:t>1-3</w:t>
            </w:r>
          </w:p>
          <w:p w14:paraId="6FA6FAF9" w14:textId="77777777" w:rsidR="00401786" w:rsidRDefault="00C64FB3" w:rsidP="000E757E">
            <w:pPr>
              <w:pStyle w:val="ab"/>
              <w:spacing w:line="240" w:lineRule="atLeast"/>
              <w:jc w:val="center"/>
            </w:pPr>
            <w:r>
              <w:rPr>
                <w:rFonts w:ascii="Arial Narrow" w:eastAsia="標楷體" w:hAnsi="Arial Narrow"/>
                <w:color w:val="000000"/>
                <w:sz w:val="20"/>
                <w:szCs w:val="20"/>
              </w:rPr>
              <w:t>4-6</w:t>
            </w:r>
          </w:p>
          <w:p w14:paraId="73F7194A"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922F61"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p w14:paraId="2830940D" w14:textId="77777777" w:rsidR="00401786" w:rsidRDefault="00C64FB3" w:rsidP="000E757E">
            <w:pPr>
              <w:pStyle w:val="ab"/>
              <w:spacing w:line="240" w:lineRule="atLeast"/>
              <w:jc w:val="center"/>
            </w:pPr>
            <w:r>
              <w:rPr>
                <w:rFonts w:ascii="Arial Narrow" w:eastAsia="標楷體" w:hAnsi="Arial Narrow"/>
                <w:color w:val="000000"/>
                <w:sz w:val="20"/>
                <w:szCs w:val="20"/>
              </w:rPr>
              <w:t>30-50</w:t>
            </w:r>
          </w:p>
          <w:p w14:paraId="6AAC7B34" w14:textId="77777777" w:rsidR="00401786" w:rsidRDefault="00C64FB3" w:rsidP="000E757E">
            <w:pPr>
              <w:pStyle w:val="ab"/>
              <w:spacing w:line="240" w:lineRule="atLeast"/>
              <w:jc w:val="center"/>
            </w:pPr>
            <w:r>
              <w:rPr>
                <w:rFonts w:ascii="Arial Narrow" w:eastAsia="標楷體" w:hAnsi="Arial Narrow"/>
                <w:color w:val="000000"/>
                <w:sz w:val="20"/>
                <w:szCs w:val="20"/>
              </w:rPr>
              <w:t>20-40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F7AD7"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p w14:paraId="65187B18" w14:textId="77777777" w:rsidR="00401786" w:rsidRDefault="00C64FB3" w:rsidP="000E757E">
            <w:pPr>
              <w:pStyle w:val="ab"/>
              <w:spacing w:line="240" w:lineRule="atLeast"/>
              <w:jc w:val="center"/>
            </w:pPr>
            <w:r>
              <w:rPr>
                <w:rFonts w:ascii="Arial Narrow" w:eastAsia="標楷體" w:hAnsi="Arial Narrow"/>
                <w:color w:val="000000"/>
                <w:sz w:val="20"/>
                <w:szCs w:val="20"/>
              </w:rPr>
              <w:t>30-50</w:t>
            </w:r>
          </w:p>
          <w:p w14:paraId="7737449F" w14:textId="77777777" w:rsidR="00401786" w:rsidRDefault="00C64FB3" w:rsidP="000E757E">
            <w:pPr>
              <w:pStyle w:val="ab"/>
              <w:spacing w:line="240" w:lineRule="atLeast"/>
              <w:jc w:val="center"/>
            </w:pPr>
            <w:r>
              <w:rPr>
                <w:rFonts w:ascii="Arial Narrow" w:eastAsia="標楷體" w:hAnsi="Arial Narrow"/>
                <w:color w:val="000000"/>
                <w:sz w:val="20"/>
                <w:szCs w:val="20"/>
              </w:rPr>
              <w:t>20-40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508019" w14:textId="77777777" w:rsidR="00401786" w:rsidRDefault="00C64FB3" w:rsidP="000E757E">
            <w:pPr>
              <w:pStyle w:val="ab"/>
              <w:spacing w:line="240" w:lineRule="atLeast"/>
              <w:jc w:val="center"/>
            </w:pPr>
            <w:r>
              <w:rPr>
                <w:rFonts w:ascii="Arial Narrow" w:eastAsia="標楷體" w:hAnsi="Arial Narrow"/>
                <w:color w:val="000000"/>
                <w:sz w:val="20"/>
                <w:szCs w:val="20"/>
              </w:rPr>
              <w:t>1-3</w:t>
            </w:r>
          </w:p>
          <w:p w14:paraId="114F0E22" w14:textId="77777777" w:rsidR="00401786" w:rsidRDefault="00C64FB3" w:rsidP="000E757E">
            <w:pPr>
              <w:pStyle w:val="ab"/>
              <w:spacing w:line="240" w:lineRule="atLeast"/>
              <w:jc w:val="center"/>
            </w:pPr>
            <w:r>
              <w:rPr>
                <w:rFonts w:ascii="Arial Narrow" w:eastAsia="標楷體" w:hAnsi="Arial Narrow"/>
                <w:color w:val="000000"/>
                <w:sz w:val="20"/>
                <w:szCs w:val="20"/>
              </w:rPr>
              <w:t>4-6</w:t>
            </w:r>
          </w:p>
          <w:p w14:paraId="20DDFA08"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CDC9E9"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02284C79" w14:textId="77777777">
        <w:trPr>
          <w:trHeight w:val="341"/>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F5763D" w14:textId="77777777" w:rsidR="00401786" w:rsidRDefault="00C64FB3" w:rsidP="000E757E">
            <w:pPr>
              <w:pStyle w:val="ab"/>
              <w:spacing w:line="240" w:lineRule="atLeast"/>
            </w:pPr>
            <w:r>
              <w:rPr>
                <w:rFonts w:ascii="Arial Narrow" w:eastAsia="標楷體" w:hAnsi="Arial Narrow"/>
                <w:color w:val="000000"/>
                <w:sz w:val="20"/>
                <w:szCs w:val="20"/>
              </w:rPr>
              <w:t>小手術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術前</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C5B4F7" w14:textId="77777777" w:rsidR="00401786" w:rsidRDefault="00C64FB3" w:rsidP="000E757E">
            <w:pPr>
              <w:pStyle w:val="ab"/>
              <w:spacing w:line="240" w:lineRule="atLeast"/>
              <w:jc w:val="center"/>
            </w:pPr>
            <w:r>
              <w:rPr>
                <w:rFonts w:ascii="Arial Narrow" w:eastAsia="標楷體" w:hAnsi="Arial Narrow"/>
                <w:color w:val="000000"/>
                <w:sz w:val="20"/>
                <w:szCs w:val="20"/>
              </w:rPr>
              <w:t>50-80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C210C" w14:textId="77777777" w:rsidR="00401786" w:rsidRDefault="00C64FB3" w:rsidP="000E757E">
            <w:pPr>
              <w:pStyle w:val="ab"/>
              <w:spacing w:line="240" w:lineRule="atLeast"/>
              <w:jc w:val="center"/>
            </w:pPr>
            <w:r>
              <w:rPr>
                <w:rFonts w:ascii="Arial Narrow" w:eastAsia="標楷體" w:hAnsi="Arial Narrow"/>
                <w:color w:val="000000"/>
                <w:sz w:val="20"/>
                <w:szCs w:val="20"/>
              </w:rPr>
              <w:t>25-40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4CC7D7"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9B4DF6" w14:textId="77777777" w:rsidR="00401786" w:rsidRDefault="00C64FB3" w:rsidP="000E757E">
            <w:pPr>
              <w:pStyle w:val="ab"/>
              <w:spacing w:line="240" w:lineRule="atLeast"/>
              <w:jc w:val="center"/>
            </w:pPr>
            <w:r>
              <w:rPr>
                <w:rFonts w:ascii="Arial Narrow" w:eastAsia="標楷體" w:hAnsi="Arial Narrow"/>
                <w:color w:val="000000"/>
                <w:sz w:val="20"/>
                <w:szCs w:val="20"/>
              </w:rPr>
              <w:t>50-80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A9B74" w14:textId="77777777" w:rsidR="00401786" w:rsidRDefault="00C64FB3" w:rsidP="000E757E">
            <w:pPr>
              <w:pStyle w:val="ab"/>
              <w:spacing w:line="240" w:lineRule="atLeast"/>
              <w:jc w:val="center"/>
            </w:pPr>
            <w:r>
              <w:rPr>
                <w:rFonts w:ascii="Arial Narrow" w:eastAsia="標楷體" w:hAnsi="Arial Narrow"/>
                <w:color w:val="000000"/>
                <w:sz w:val="20"/>
                <w:szCs w:val="20"/>
              </w:rPr>
              <w:t>50-80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FA76BF"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AA73C7"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74575695" w14:textId="77777777">
        <w:trPr>
          <w:trHeight w:val="908"/>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0A73C1" w14:textId="77777777" w:rsidR="00401786" w:rsidRDefault="00C64FB3" w:rsidP="000E757E">
            <w:pPr>
              <w:pStyle w:val="ab"/>
              <w:spacing w:line="240" w:lineRule="atLeast"/>
            </w:pPr>
            <w:r>
              <w:rPr>
                <w:rFonts w:ascii="Arial Narrow" w:eastAsia="標楷體" w:hAnsi="Arial Narrow"/>
                <w:color w:val="000000"/>
                <w:sz w:val="20"/>
                <w:szCs w:val="20"/>
              </w:rPr>
              <w:t>小手術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術後</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79CFE" w14:textId="77777777" w:rsidR="00401786" w:rsidRDefault="00C64FB3" w:rsidP="000E757E">
            <w:pPr>
              <w:pStyle w:val="ab"/>
              <w:spacing w:line="240" w:lineRule="atLeast"/>
              <w:jc w:val="center"/>
            </w:pPr>
            <w:r>
              <w:rPr>
                <w:rFonts w:ascii="Arial Narrow" w:eastAsia="標楷體" w:hAnsi="Arial Narrow"/>
                <w:color w:val="000000"/>
                <w:sz w:val="20"/>
                <w:szCs w:val="20"/>
              </w:rPr>
              <w:t>30-80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1E79A4" w14:textId="77777777" w:rsidR="00401786" w:rsidRDefault="00C64FB3" w:rsidP="000E757E">
            <w:pPr>
              <w:pStyle w:val="ab"/>
              <w:spacing w:line="240" w:lineRule="atLeast"/>
              <w:jc w:val="center"/>
            </w:pPr>
            <w:r>
              <w:rPr>
                <w:rFonts w:ascii="Arial Narrow" w:eastAsia="標楷體" w:hAnsi="Arial Narrow"/>
                <w:color w:val="000000"/>
                <w:sz w:val="20"/>
                <w:szCs w:val="20"/>
              </w:rPr>
              <w:t>15-40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2D5959" w14:textId="77777777" w:rsidR="00401786" w:rsidRDefault="00C64FB3" w:rsidP="000E757E">
            <w:pPr>
              <w:pStyle w:val="ab"/>
              <w:spacing w:line="240" w:lineRule="atLeast"/>
              <w:jc w:val="center"/>
            </w:pPr>
            <w:r>
              <w:rPr>
                <w:rFonts w:ascii="Arial Narrow" w:eastAsia="標楷體" w:hAnsi="Arial Narrow"/>
                <w:color w:val="000000"/>
                <w:sz w:val="20"/>
                <w:szCs w:val="20"/>
              </w:rPr>
              <w:t>1-5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C9A431" w14:textId="77777777" w:rsidR="00401786" w:rsidRDefault="00C64FB3" w:rsidP="000E757E">
            <w:pPr>
              <w:pStyle w:val="ab"/>
              <w:spacing w:line="240" w:lineRule="atLeast"/>
              <w:jc w:val="center"/>
            </w:pPr>
            <w:r>
              <w:rPr>
                <w:rFonts w:ascii="Arial Narrow" w:eastAsia="標楷體" w:hAnsi="Arial Narrow"/>
                <w:color w:val="000000"/>
                <w:sz w:val="20"/>
                <w:szCs w:val="20"/>
              </w:rPr>
              <w:t>30-80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ACC532" w14:textId="77777777" w:rsidR="00401786" w:rsidRDefault="00C64FB3" w:rsidP="000E757E">
            <w:pPr>
              <w:pStyle w:val="ab"/>
              <w:spacing w:line="240" w:lineRule="atLeast"/>
              <w:jc w:val="center"/>
            </w:pPr>
            <w:r>
              <w:rPr>
                <w:rFonts w:ascii="Arial Narrow" w:eastAsia="標楷體" w:hAnsi="Arial Narrow"/>
                <w:color w:val="000000"/>
                <w:sz w:val="20"/>
                <w:szCs w:val="20"/>
              </w:rPr>
              <w:t>30-80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15B707" w14:textId="77777777" w:rsidR="00401786" w:rsidRDefault="00C64FB3" w:rsidP="000E757E">
            <w:pPr>
              <w:pStyle w:val="ab"/>
              <w:spacing w:line="240" w:lineRule="atLeast"/>
              <w:jc w:val="center"/>
            </w:pPr>
            <w:r>
              <w:rPr>
                <w:rFonts w:ascii="Arial Narrow" w:eastAsia="標楷體" w:hAnsi="Arial Narrow"/>
                <w:color w:val="000000"/>
                <w:sz w:val="20"/>
                <w:szCs w:val="20"/>
              </w:rPr>
              <w:t>1-5</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1B534C" w14:textId="77777777" w:rsidR="00401786" w:rsidRDefault="00C64FB3" w:rsidP="000E757E">
            <w:pPr>
              <w:pStyle w:val="ab"/>
              <w:spacing w:line="240" w:lineRule="atLeast"/>
            </w:pPr>
            <w:r>
              <w:rPr>
                <w:rFonts w:ascii="Arial Narrow" w:eastAsia="標楷體" w:hAnsi="Arial Narrow"/>
                <w:b/>
                <w:color w:val="000000"/>
                <w:sz w:val="20"/>
                <w:szCs w:val="20"/>
              </w:rPr>
              <w:t>得視手術方式延長治療</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bl>
    <w:p w14:paraId="55A19960" w14:textId="77777777" w:rsidR="00401786" w:rsidRDefault="00C64FB3" w:rsidP="000E757E">
      <w:pPr>
        <w:spacing w:line="240" w:lineRule="atLeast"/>
        <w:rPr>
          <w:rFonts w:ascii="標楷體" w:eastAsia="標楷體" w:hAnsi="標楷體"/>
        </w:rPr>
        <w:sectPr w:rsidR="00401786">
          <w:footerReference w:type="default" r:id="rId27"/>
          <w:pgSz w:w="11906" w:h="16838"/>
          <w:pgMar w:top="426" w:right="1077" w:bottom="1134" w:left="1077" w:header="851" w:footer="992" w:gutter="0"/>
          <w:cols w:space="720"/>
          <w:docGrid w:type="lines"/>
        </w:sectPr>
      </w:pPr>
      <w:proofErr w:type="gramStart"/>
      <w:r>
        <w:rPr>
          <w:rFonts w:ascii="標楷體" w:eastAsia="標楷體" w:hAnsi="標楷體"/>
        </w:rPr>
        <w:t>＊</w:t>
      </w:r>
      <w:proofErr w:type="gramEnd"/>
      <w:r>
        <w:rPr>
          <w:rFonts w:ascii="標楷體" w:eastAsia="標楷體" w:hAnsi="標楷體"/>
        </w:rPr>
        <w:t>：Eloctate、</w:t>
      </w:r>
      <w:proofErr w:type="spellStart"/>
      <w:r>
        <w:rPr>
          <w:rFonts w:ascii="標楷體" w:eastAsia="標楷體" w:hAnsi="標楷體"/>
        </w:rPr>
        <w:t>Adynovate</w:t>
      </w:r>
      <w:proofErr w:type="spellEnd"/>
      <w:r>
        <w:rPr>
          <w:rFonts w:ascii="標楷體" w:eastAsia="標楷體" w:hAnsi="標楷體"/>
        </w:rPr>
        <w:t>、</w:t>
      </w:r>
      <w:proofErr w:type="spellStart"/>
      <w:r>
        <w:rPr>
          <w:rFonts w:ascii="標楷體" w:eastAsia="標楷體" w:hAnsi="標楷體"/>
        </w:rPr>
        <w:t>Kovaltry</w:t>
      </w:r>
      <w:proofErr w:type="spellEnd"/>
      <w:r>
        <w:rPr>
          <w:rFonts w:ascii="標楷體" w:eastAsia="標楷體" w:hAnsi="標楷體"/>
        </w:rPr>
        <w:t>、</w:t>
      </w:r>
      <w:proofErr w:type="spellStart"/>
      <w:r>
        <w:rPr>
          <w:rFonts w:ascii="標楷體" w:eastAsia="標楷體" w:hAnsi="標楷體"/>
        </w:rPr>
        <w:t>Afstyla</w:t>
      </w:r>
      <w:proofErr w:type="spellEnd"/>
      <w:r>
        <w:rPr>
          <w:rFonts w:ascii="標楷體" w:eastAsia="標楷體" w:hAnsi="標楷體"/>
        </w:rPr>
        <w:t>、</w:t>
      </w:r>
      <w:proofErr w:type="spellStart"/>
      <w:r>
        <w:rPr>
          <w:rFonts w:ascii="標楷體" w:eastAsia="標楷體" w:hAnsi="標楷體"/>
        </w:rPr>
        <w:t>Jivi</w:t>
      </w:r>
      <w:proofErr w:type="spellEnd"/>
      <w:r>
        <w:rPr>
          <w:rFonts w:ascii="標楷體" w:eastAsia="標楷體" w:hAnsi="標楷體"/>
        </w:rPr>
        <w:t>、</w:t>
      </w:r>
      <w:proofErr w:type="spellStart"/>
      <w:r>
        <w:rPr>
          <w:rFonts w:ascii="標楷體" w:eastAsia="標楷體" w:hAnsi="標楷體"/>
        </w:rPr>
        <w:t>Altuviiio</w:t>
      </w:r>
      <w:proofErr w:type="spellEnd"/>
      <w:r>
        <w:rPr>
          <w:rFonts w:ascii="標楷體" w:eastAsia="標楷體" w:hAnsi="標楷體"/>
        </w:rPr>
        <w:t>、</w:t>
      </w:r>
      <w:proofErr w:type="spellStart"/>
      <w:r>
        <w:rPr>
          <w:rFonts w:ascii="標楷體" w:eastAsia="標楷體" w:hAnsi="標楷體"/>
        </w:rPr>
        <w:t>Idelvion</w:t>
      </w:r>
      <w:proofErr w:type="spellEnd"/>
      <w:r>
        <w:rPr>
          <w:rFonts w:ascii="標楷體" w:eastAsia="標楷體" w:hAnsi="標楷體"/>
        </w:rPr>
        <w:t>、</w:t>
      </w:r>
      <w:proofErr w:type="spellStart"/>
      <w:r>
        <w:rPr>
          <w:rFonts w:ascii="標楷體" w:eastAsia="標楷體" w:hAnsi="標楷體"/>
        </w:rPr>
        <w:t>Alprolix</w:t>
      </w:r>
      <w:proofErr w:type="spellEnd"/>
      <w:r>
        <w:rPr>
          <w:rFonts w:ascii="標楷體" w:eastAsia="標楷體" w:hAnsi="標楷體"/>
        </w:rPr>
        <w:t>、</w:t>
      </w:r>
      <w:proofErr w:type="spellStart"/>
      <w:r>
        <w:rPr>
          <w:rFonts w:ascii="標楷體" w:eastAsia="標楷體" w:hAnsi="標楷體"/>
        </w:rPr>
        <w:t>Refixia</w:t>
      </w:r>
      <w:proofErr w:type="spellEnd"/>
      <w:r>
        <w:rPr>
          <w:rFonts w:ascii="標楷體" w:eastAsia="標楷體" w:hAnsi="標楷體"/>
        </w:rPr>
        <w:t>等請參照仿單建議劑量，其他</w:t>
      </w:r>
      <w:proofErr w:type="gramStart"/>
      <w:r>
        <w:rPr>
          <w:rFonts w:ascii="標楷體" w:eastAsia="標楷體" w:hAnsi="標楷體"/>
        </w:rPr>
        <w:t>製劑依本</w:t>
      </w:r>
      <w:proofErr w:type="gramEnd"/>
      <w:r>
        <w:rPr>
          <w:rFonts w:ascii="標楷體" w:eastAsia="標楷體" w:hAnsi="標楷體"/>
        </w:rPr>
        <w:t>表建議劑量使用。</w:t>
      </w:r>
    </w:p>
    <w:p w14:paraId="3385CC78" w14:textId="77777777" w:rsidR="00401786" w:rsidRPr="00F37647" w:rsidRDefault="00C64FB3" w:rsidP="000E757E">
      <w:pPr>
        <w:spacing w:line="240" w:lineRule="atLeast"/>
        <w:jc w:val="center"/>
        <w:rPr>
          <w:rFonts w:ascii="標楷體" w:eastAsia="標楷體" w:hAnsi="標楷體"/>
          <w:sz w:val="28"/>
          <w:szCs w:val="28"/>
        </w:rPr>
      </w:pPr>
      <w:r w:rsidRPr="00F37647">
        <w:rPr>
          <w:noProof/>
          <w:sz w:val="28"/>
          <w:szCs w:val="28"/>
        </w:rPr>
        <w:lastRenderedPageBreak/>
        <mc:AlternateContent>
          <mc:Choice Requires="wps">
            <w:drawing>
              <wp:anchor distT="0" distB="0" distL="114300" distR="114300" simplePos="0" relativeHeight="251659264" behindDoc="0" locked="0" layoutInCell="1" allowOverlap="1" wp14:anchorId="50013293" wp14:editId="58FE1D5F">
                <wp:simplePos x="0" y="0"/>
                <wp:positionH relativeFrom="column">
                  <wp:posOffset>-369573</wp:posOffset>
                </wp:positionH>
                <wp:positionV relativeFrom="paragraph">
                  <wp:posOffset>-616589</wp:posOffset>
                </wp:positionV>
                <wp:extent cx="2209803" cy="685800"/>
                <wp:effectExtent l="0" t="0" r="0" b="0"/>
                <wp:wrapNone/>
                <wp:docPr id="19" name="文字方塊 3"/>
                <wp:cNvGraphicFramePr/>
                <a:graphic xmlns:a="http://schemas.openxmlformats.org/drawingml/2006/main">
                  <a:graphicData uri="http://schemas.microsoft.com/office/word/2010/wordprocessingShape">
                    <wps:wsp>
                      <wps:cNvSpPr txBox="1"/>
                      <wps:spPr>
                        <a:xfrm>
                          <a:off x="0" y="0"/>
                          <a:ext cx="2209803" cy="685800"/>
                        </a:xfrm>
                        <a:prstGeom prst="rect">
                          <a:avLst/>
                        </a:prstGeom>
                        <a:noFill/>
                        <a:ln>
                          <a:noFill/>
                          <a:prstDash/>
                        </a:ln>
                      </wps:spPr>
                      <wps:txbx>
                        <w:txbxContent>
                          <w:p w14:paraId="31C18610"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6840D78C"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wps:txbx>
                      <wps:bodyPr vert="horz" wrap="square" lIns="91440" tIns="45720" rIns="91440" bIns="45720" anchor="t" anchorCtr="0" compatLnSpc="0">
                        <a:noAutofit/>
                      </wps:bodyPr>
                    </wps:wsp>
                  </a:graphicData>
                </a:graphic>
              </wp:anchor>
            </w:drawing>
          </mc:Choice>
          <mc:Fallback>
            <w:pict>
              <v:shape w14:anchorId="50013293" id="文字方塊 3" o:spid="_x0000_s1036" type="#_x0000_t202" style="position:absolute;left:0;text-align:left;margin-left:-29.1pt;margin-top:-48.55pt;width:174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" filled="f" stroked="f">
                <v:textbox>
                  <w:txbxContent>
                    <w:p w14:paraId="31C18610"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6840D78C"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v:textbox>
              </v:shape>
            </w:pict>
          </mc:Fallback>
        </mc:AlternateContent>
      </w:r>
      <w:r w:rsidRPr="00F37647">
        <w:rPr>
          <w:rFonts w:ascii="標楷體" w:eastAsia="標楷體" w:hAnsi="標楷體"/>
          <w:sz w:val="28"/>
          <w:szCs w:val="28"/>
        </w:rPr>
        <w:t>附表十八之四  全民健康保險血友病患者使用「第十三凝血因子」在家治療紀錄表</w:t>
      </w:r>
    </w:p>
    <w:p w14:paraId="3C1F1179" w14:textId="77777777" w:rsidR="00471F0B" w:rsidRPr="009E653D" w:rsidRDefault="00471F0B" w:rsidP="000E757E">
      <w:pPr>
        <w:spacing w:line="240" w:lineRule="atLeast"/>
        <w:jc w:val="center"/>
        <w:rPr>
          <w:szCs w:val="24"/>
        </w:rPr>
      </w:pPr>
    </w:p>
    <w:p w14:paraId="2F01F435" w14:textId="77777777" w:rsidR="00401786" w:rsidRPr="009E653D" w:rsidRDefault="00C64FB3" w:rsidP="000E757E">
      <w:pPr>
        <w:spacing w:line="240" w:lineRule="atLeast"/>
        <w:rPr>
          <w:szCs w:val="24"/>
        </w:rPr>
      </w:pPr>
      <w:r w:rsidRPr="009E653D">
        <w:rPr>
          <w:rFonts w:ascii="標楷體" w:eastAsia="標楷體" w:hAnsi="標楷體"/>
          <w:szCs w:val="24"/>
        </w:rPr>
        <w:t>姓名：</w:t>
      </w:r>
      <w:r w:rsidRPr="009E653D">
        <w:rPr>
          <w:rFonts w:ascii="標楷體" w:eastAsia="標楷體" w:hAnsi="標楷體"/>
          <w:szCs w:val="24"/>
          <w:u w:val="single"/>
        </w:rPr>
        <w:t xml:space="preserve">　　　　　　　</w:t>
      </w:r>
      <w:r w:rsidRPr="009E653D">
        <w:rPr>
          <w:rFonts w:ascii="標楷體" w:eastAsia="標楷體" w:hAnsi="標楷體"/>
          <w:szCs w:val="24"/>
        </w:rPr>
        <w:t xml:space="preserve">　　　體重：</w:t>
      </w:r>
      <w:r w:rsidRPr="009E653D">
        <w:rPr>
          <w:rFonts w:ascii="標楷體" w:eastAsia="標楷體" w:hAnsi="標楷體"/>
          <w:szCs w:val="24"/>
          <w:u w:val="single"/>
        </w:rPr>
        <w:t xml:space="preserve">　　　　　</w:t>
      </w:r>
      <w:r w:rsidRPr="009E653D">
        <w:rPr>
          <w:rFonts w:ascii="標楷體" w:eastAsia="標楷體" w:hAnsi="標楷體"/>
          <w:szCs w:val="24"/>
        </w:rPr>
        <w:t>公斤       診斷：□</w:t>
      </w:r>
      <w:r w:rsidRPr="009E653D">
        <w:rPr>
          <w:rFonts w:ascii="標楷體" w:eastAsia="標楷體" w:hAnsi="標楷體"/>
          <w:color w:val="000000"/>
          <w:szCs w:val="24"/>
        </w:rPr>
        <w:t>第十三凝血因子缺乏之病人</w:t>
      </w:r>
    </w:p>
    <w:p w14:paraId="79025C35" w14:textId="77777777" w:rsidR="00401786" w:rsidRPr="009E653D" w:rsidRDefault="00C64FB3" w:rsidP="000E757E">
      <w:pPr>
        <w:spacing w:line="240" w:lineRule="atLeast"/>
        <w:ind w:firstLine="280"/>
        <w:rPr>
          <w:szCs w:val="24"/>
        </w:rPr>
      </w:pPr>
      <w:r w:rsidRPr="009E653D">
        <w:rPr>
          <w:rFonts w:ascii="標楷體" w:eastAsia="標楷體" w:hAnsi="標楷體"/>
          <w:szCs w:val="24"/>
        </w:rPr>
        <w:t xml:space="preserve">　　　　　　　　　　　　　　　　　　　　　　　　　       □</w:t>
      </w:r>
      <w:r w:rsidRPr="009E653D">
        <w:rPr>
          <w:rFonts w:ascii="標楷體" w:eastAsia="標楷體" w:hAnsi="標楷體"/>
          <w:color w:val="000000"/>
          <w:szCs w:val="24"/>
        </w:rPr>
        <w:t>輕度 □中度 □重度　□其他</w:t>
      </w:r>
    </w:p>
    <w:p w14:paraId="6A985DFA" w14:textId="77777777" w:rsidR="00401786" w:rsidRPr="009E653D" w:rsidRDefault="00C64FB3" w:rsidP="000E757E">
      <w:pPr>
        <w:spacing w:line="240" w:lineRule="atLeast"/>
        <w:rPr>
          <w:szCs w:val="24"/>
        </w:rPr>
      </w:pPr>
      <w:r w:rsidRPr="009E653D">
        <w:rPr>
          <w:rFonts w:ascii="標楷體" w:eastAsia="標楷體" w:hAnsi="標楷體"/>
          <w:szCs w:val="24"/>
        </w:rPr>
        <w:t>領藥日(年/月/日</w:t>
      </w:r>
      <w:proofErr w:type="gramStart"/>
      <w:r w:rsidRPr="009E653D">
        <w:rPr>
          <w:rFonts w:ascii="標楷體" w:eastAsia="標楷體" w:hAnsi="標楷體"/>
          <w:szCs w:val="24"/>
        </w:rPr>
        <w:t>）</w:t>
      </w:r>
      <w:proofErr w:type="gramEnd"/>
      <w:r w:rsidRPr="009E653D">
        <w:rPr>
          <w:rFonts w:ascii="標楷體" w:eastAsia="標楷體" w:hAnsi="標楷體"/>
          <w:szCs w:val="24"/>
        </w:rPr>
        <w:t>：</w:t>
      </w:r>
      <w:r w:rsidRPr="009E653D">
        <w:rPr>
          <w:rFonts w:ascii="標楷體" w:eastAsia="標楷體" w:hAnsi="標楷體"/>
          <w:szCs w:val="24"/>
          <w:u w:val="single"/>
        </w:rPr>
        <w:t xml:space="preserve">　　／　　／　　</w:t>
      </w:r>
      <w:r w:rsidRPr="009E653D">
        <w:rPr>
          <w:rFonts w:ascii="標楷體" w:eastAsia="標楷體" w:hAnsi="標楷體"/>
          <w:szCs w:val="24"/>
        </w:rPr>
        <w:t xml:space="preserve">      </w:t>
      </w:r>
      <w:r w:rsidRPr="009E653D">
        <w:rPr>
          <w:rFonts w:ascii="標楷體" w:eastAsia="標楷體" w:hAnsi="標楷體"/>
          <w:color w:val="000000"/>
          <w:szCs w:val="24"/>
        </w:rPr>
        <w:t>領藥量(瓶)：</w:t>
      </w:r>
      <w:r w:rsidRPr="009E653D">
        <w:rPr>
          <w:rFonts w:ascii="標楷體" w:eastAsia="標楷體" w:hAnsi="標楷體"/>
          <w:color w:val="000000"/>
          <w:szCs w:val="24"/>
          <w:u w:val="single"/>
        </w:rPr>
        <w:t xml:space="preserve">               </w:t>
      </w:r>
      <w:r w:rsidRPr="009E653D">
        <w:rPr>
          <w:rFonts w:ascii="標楷體" w:eastAsia="標楷體" w:hAnsi="標楷體"/>
          <w:color w:val="000000"/>
          <w:szCs w:val="24"/>
        </w:rPr>
        <w:t xml:space="preserve">      藥品名稱及批號：</w:t>
      </w:r>
      <w:r w:rsidRPr="009E653D">
        <w:rPr>
          <w:rFonts w:ascii="標楷體" w:eastAsia="標楷體" w:hAnsi="標楷體"/>
          <w:color w:val="000000"/>
          <w:szCs w:val="24"/>
          <w:u w:val="single"/>
        </w:rPr>
        <w:t xml:space="preserve">　</w:t>
      </w:r>
      <w:r w:rsidRPr="009E653D">
        <w:rPr>
          <w:rFonts w:ascii="標楷體" w:eastAsia="標楷體" w:hAnsi="標楷體"/>
          <w:szCs w:val="24"/>
          <w:u w:val="single"/>
        </w:rPr>
        <w:t xml:space="preserve">　              </w:t>
      </w:r>
    </w:p>
    <w:p w14:paraId="725A426B" w14:textId="77777777" w:rsidR="00401786" w:rsidRPr="009E653D" w:rsidRDefault="00C64FB3" w:rsidP="000E757E">
      <w:pPr>
        <w:spacing w:line="240" w:lineRule="atLeast"/>
        <w:rPr>
          <w:szCs w:val="24"/>
        </w:rPr>
      </w:pPr>
      <w:r w:rsidRPr="009E653D">
        <w:rPr>
          <w:rFonts w:ascii="標楷體" w:eastAsia="標楷體" w:hAnsi="標楷體"/>
          <w:szCs w:val="24"/>
        </w:rPr>
        <w:t>繳回空瓶數量及批號：</w:t>
      </w:r>
      <w:r w:rsidRPr="009E653D">
        <w:rPr>
          <w:rFonts w:ascii="標楷體" w:eastAsia="標楷體" w:hAnsi="標楷體"/>
          <w:szCs w:val="24"/>
          <w:u w:val="single"/>
        </w:rPr>
        <w:t xml:space="preserve">                   </w:t>
      </w:r>
      <w:r w:rsidRPr="009E653D">
        <w:rPr>
          <w:rFonts w:ascii="標楷體" w:eastAsia="標楷體" w:hAnsi="標楷體"/>
          <w:szCs w:val="24"/>
        </w:rPr>
        <w:t xml:space="preserve"> 上次家中剩餘藥量</w:t>
      </w:r>
      <w:r w:rsidRPr="009E653D">
        <w:rPr>
          <w:rFonts w:ascii="標楷體" w:eastAsia="標楷體" w:hAnsi="標楷體"/>
          <w:color w:val="000000"/>
          <w:szCs w:val="24"/>
        </w:rPr>
        <w:t>(瓶)</w:t>
      </w:r>
      <w:r w:rsidRPr="009E653D">
        <w:rPr>
          <w:rFonts w:ascii="標楷體" w:eastAsia="標楷體" w:hAnsi="標楷體"/>
          <w:szCs w:val="24"/>
        </w:rPr>
        <w:t>：</w:t>
      </w:r>
      <w:r w:rsidRPr="009E653D">
        <w:rPr>
          <w:rFonts w:ascii="標楷體" w:eastAsia="標楷體" w:hAnsi="標楷體"/>
          <w:szCs w:val="24"/>
          <w:u w:val="single"/>
        </w:rPr>
        <w:t xml:space="preserve">         </w:t>
      </w:r>
      <w:r w:rsidRPr="009E653D">
        <w:rPr>
          <w:rFonts w:ascii="標楷體" w:eastAsia="標楷體" w:hAnsi="標楷體"/>
          <w:szCs w:val="24"/>
        </w:rPr>
        <w:t xml:space="preserve">  確認人員簽名(章)：</w:t>
      </w:r>
      <w:r w:rsidRPr="009E653D">
        <w:rPr>
          <w:rFonts w:ascii="標楷體" w:eastAsia="標楷體" w:hAnsi="標楷體"/>
          <w:szCs w:val="24"/>
          <w:u w:val="single"/>
        </w:rPr>
        <w:t xml:space="preserve">                  </w:t>
      </w:r>
    </w:p>
    <w:tbl>
      <w:tblPr>
        <w:tblW w:w="15027" w:type="dxa"/>
        <w:tblInd w:w="-162" w:type="dxa"/>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827"/>
        <w:gridCol w:w="1134"/>
      </w:tblGrid>
      <w:tr w:rsidR="00401786" w:rsidRPr="009E653D" w14:paraId="27A37260" w14:textId="77777777">
        <w:trPr>
          <w:cantSplit/>
          <w:trHeight w:val="727"/>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B2F3B7"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3C7C3C"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76F1F3" w14:textId="77777777" w:rsidR="00401786" w:rsidRPr="009E653D" w:rsidRDefault="00C64FB3" w:rsidP="000E757E">
            <w:pPr>
              <w:spacing w:line="240" w:lineRule="atLeast"/>
              <w:ind w:left="113" w:right="113"/>
              <w:jc w:val="center"/>
              <w:rPr>
                <w:szCs w:val="24"/>
              </w:rPr>
            </w:pPr>
            <w:proofErr w:type="gramStart"/>
            <w:r w:rsidRPr="009E653D">
              <w:rPr>
                <w:rFonts w:ascii="標楷體" w:eastAsia="標楷體" w:hAnsi="標楷體"/>
                <w:szCs w:val="24"/>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2CBD57"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685FB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2CB04C"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出血部位</w:t>
            </w:r>
          </w:p>
          <w:p w14:paraId="07740BA9"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F000C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注射後效果</w:t>
            </w:r>
          </w:p>
        </w:tc>
        <w:tc>
          <w:tcPr>
            <w:tcW w:w="18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5AAD7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BDC7B6"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注射者簽名(章)</w:t>
            </w:r>
          </w:p>
        </w:tc>
      </w:tr>
      <w:tr w:rsidR="00401786" w:rsidRPr="009E653D" w14:paraId="334FB057" w14:textId="77777777">
        <w:trPr>
          <w:cantSplit/>
          <w:trHeight w:val="42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679DDF"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205B69"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5FBE76"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1A7D40"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時間</w:t>
            </w:r>
          </w:p>
          <w:p w14:paraId="7943C58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FED97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E96DE4"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299E7F"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2195F" w14:textId="77777777" w:rsidR="00401786" w:rsidRPr="009E653D" w:rsidRDefault="00401786" w:rsidP="000E757E">
            <w:pPr>
              <w:spacing w:line="240" w:lineRule="atLeast"/>
              <w:jc w:val="center"/>
              <w:rPr>
                <w:rFonts w:ascii="標楷體" w:eastAsia="標楷體" w:hAnsi="標楷體"/>
                <w:szCs w:val="24"/>
              </w:rPr>
            </w:pPr>
          </w:p>
          <w:p w14:paraId="0A8423F0"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受傷後出血</w:t>
            </w:r>
          </w:p>
          <w:p w14:paraId="0A635A2D"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87155D"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4B604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B99FA4"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2E4F96"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B014BE"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未改善</w:t>
            </w:r>
          </w:p>
        </w:tc>
        <w:tc>
          <w:tcPr>
            <w:tcW w:w="18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18A28E" w14:textId="77777777" w:rsidR="00401786" w:rsidRPr="009E653D" w:rsidRDefault="00401786" w:rsidP="000E757E">
            <w:pPr>
              <w:spacing w:line="240" w:lineRule="atLeast"/>
              <w:rPr>
                <w:rFonts w:ascii="標楷體" w:eastAsia="標楷體" w:hAnsi="標楷體"/>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20D9C9" w14:textId="77777777" w:rsidR="00401786" w:rsidRPr="009E653D" w:rsidRDefault="00401786" w:rsidP="000E757E">
            <w:pPr>
              <w:spacing w:line="240" w:lineRule="atLeast"/>
              <w:rPr>
                <w:rFonts w:ascii="標楷體" w:eastAsia="標楷體" w:hAnsi="標楷體"/>
                <w:szCs w:val="24"/>
              </w:rPr>
            </w:pPr>
          </w:p>
        </w:tc>
      </w:tr>
      <w:tr w:rsidR="00401786" w:rsidRPr="009E653D" w14:paraId="46E44ECB" w14:textId="77777777">
        <w:trPr>
          <w:trHeight w:val="458"/>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2CB58D"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3DA1B0"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70B103"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436BEC"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90208A"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3D25DF"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E2D0C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6F2F7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7BC5CA"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5F91A6"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638125"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E3B3C"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1361FC"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A2DDAF"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1F53F2" w14:textId="77777777" w:rsidR="00401786" w:rsidRPr="009E653D" w:rsidRDefault="00401786" w:rsidP="000E757E">
            <w:pPr>
              <w:spacing w:line="240" w:lineRule="atLeast"/>
              <w:rPr>
                <w:rFonts w:ascii="標楷體" w:eastAsia="標楷體" w:hAnsi="標楷體"/>
                <w:szCs w:val="24"/>
              </w:rPr>
            </w:pPr>
          </w:p>
        </w:tc>
      </w:tr>
      <w:tr w:rsidR="00401786" w:rsidRPr="009E653D" w14:paraId="35E01E35" w14:textId="77777777">
        <w:trPr>
          <w:trHeight w:val="536"/>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AFA075"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AB72C2"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E5689"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2AD2B5"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E25D38"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1F03AA"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DC4DD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A272EB"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1F697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1EC6E0"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C05521"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8EBBBD"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C518F3"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5B1392"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0A9417" w14:textId="77777777" w:rsidR="00401786" w:rsidRPr="009E653D" w:rsidRDefault="00401786" w:rsidP="000E757E">
            <w:pPr>
              <w:spacing w:line="240" w:lineRule="atLeast"/>
              <w:rPr>
                <w:rFonts w:ascii="標楷體" w:eastAsia="標楷體" w:hAnsi="標楷體"/>
                <w:szCs w:val="24"/>
              </w:rPr>
            </w:pPr>
          </w:p>
        </w:tc>
      </w:tr>
      <w:tr w:rsidR="00401786" w:rsidRPr="009E653D" w14:paraId="316386A4" w14:textId="77777777">
        <w:trPr>
          <w:trHeight w:val="569"/>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F3A7A6"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7387B0"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29327F"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82F785"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5E8ACC"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FF9A0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C4402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DD001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5849F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1B697F"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AAE6E7"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692DD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10901B"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755772"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A858CE" w14:textId="77777777" w:rsidR="00401786" w:rsidRPr="009E653D" w:rsidRDefault="00401786" w:rsidP="000E757E">
            <w:pPr>
              <w:spacing w:line="240" w:lineRule="atLeast"/>
              <w:rPr>
                <w:rFonts w:ascii="標楷體" w:eastAsia="標楷體" w:hAnsi="標楷體"/>
                <w:szCs w:val="24"/>
              </w:rPr>
            </w:pPr>
          </w:p>
        </w:tc>
      </w:tr>
      <w:tr w:rsidR="00401786" w:rsidRPr="009E653D" w14:paraId="7001724B" w14:textId="77777777">
        <w:trPr>
          <w:trHeight w:val="56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11712"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4EF10B"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82153A"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530EE"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2F2A7"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83C27D"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C91CBD"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6044B9"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91A51"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B3563D"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004093"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B9F5C9"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16E434"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3D83F8"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FC9C35" w14:textId="77777777" w:rsidR="00401786" w:rsidRPr="009E653D" w:rsidRDefault="00401786" w:rsidP="000E757E">
            <w:pPr>
              <w:spacing w:line="240" w:lineRule="atLeast"/>
              <w:rPr>
                <w:rFonts w:ascii="標楷體" w:eastAsia="標楷體" w:hAnsi="標楷體"/>
                <w:szCs w:val="24"/>
              </w:rPr>
            </w:pPr>
          </w:p>
        </w:tc>
      </w:tr>
      <w:tr w:rsidR="00401786" w:rsidRPr="009E653D" w14:paraId="3F903554" w14:textId="77777777">
        <w:trPr>
          <w:trHeight w:val="53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8AADAC"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354DDE"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F901D6"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C84477"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F734EB"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5CAE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34D35C"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9D3E0C"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623317"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4EE64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5F602"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1B82FE"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7D2310"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B70006"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88862C" w14:textId="77777777" w:rsidR="00401786" w:rsidRPr="009E653D" w:rsidRDefault="00401786" w:rsidP="000E757E">
            <w:pPr>
              <w:spacing w:line="240" w:lineRule="atLeast"/>
              <w:rPr>
                <w:rFonts w:ascii="標楷體" w:eastAsia="標楷體" w:hAnsi="標楷體"/>
                <w:szCs w:val="24"/>
              </w:rPr>
            </w:pPr>
          </w:p>
        </w:tc>
      </w:tr>
    </w:tbl>
    <w:p w14:paraId="1A5AAE5C"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備註：</w:t>
      </w:r>
    </w:p>
    <w:p w14:paraId="23DFC6E8"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 xml:space="preserve">  1.病人於下次</w:t>
      </w:r>
      <w:proofErr w:type="gramStart"/>
      <w:r w:rsidRPr="009E653D">
        <w:rPr>
          <w:rFonts w:ascii="標楷體" w:eastAsia="標楷體" w:hAnsi="標楷體"/>
          <w:szCs w:val="24"/>
        </w:rPr>
        <w:t>回診需攜帶</w:t>
      </w:r>
      <w:proofErr w:type="gramEnd"/>
      <w:r w:rsidRPr="009E653D">
        <w:rPr>
          <w:rFonts w:ascii="標楷體" w:eastAsia="標楷體" w:hAnsi="標楷體"/>
          <w:szCs w:val="24"/>
        </w:rPr>
        <w:t>此紀錄表，並請黏貼於病歷，同時繳回已注射後之空瓶備查。紀錄表未黏貼於回</w:t>
      </w:r>
      <w:proofErr w:type="gramStart"/>
      <w:r w:rsidRPr="009E653D">
        <w:rPr>
          <w:rFonts w:ascii="標楷體" w:eastAsia="標楷體" w:hAnsi="標楷體"/>
          <w:szCs w:val="24"/>
        </w:rPr>
        <w:t>診病歷及未</w:t>
      </w:r>
      <w:proofErr w:type="gramEnd"/>
      <w:r w:rsidRPr="009E653D">
        <w:rPr>
          <w:rFonts w:ascii="標楷體" w:eastAsia="標楷體" w:hAnsi="標楷體"/>
          <w:szCs w:val="24"/>
        </w:rPr>
        <w:t>繳回空瓶，則該項費用不予支付。</w:t>
      </w:r>
    </w:p>
    <w:p w14:paraId="5ADE70B2"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 xml:space="preserve">  2.領藥量請詳記藥品規格量</w:t>
      </w:r>
      <w:proofErr w:type="gramStart"/>
      <w:r w:rsidRPr="009E653D">
        <w:rPr>
          <w:rFonts w:ascii="標楷體" w:eastAsia="標楷體" w:hAnsi="標楷體"/>
          <w:szCs w:val="24"/>
        </w:rPr>
        <w:t>及瓶數</w:t>
      </w:r>
      <w:proofErr w:type="gramEnd"/>
      <w:r w:rsidRPr="009E653D">
        <w:rPr>
          <w:rFonts w:ascii="標楷體" w:eastAsia="標楷體" w:hAnsi="標楷體"/>
          <w:szCs w:val="24"/>
        </w:rPr>
        <w:t>，例如：500IU×2瓶，使用空瓶於繳回時，請由醫療院所相關人員進行確認(包含回收空瓶日期及總結存量等)，並請確認人員簽名(章)。</w:t>
      </w:r>
    </w:p>
    <w:p w14:paraId="22964245"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 xml:space="preserve">  3.出血部位說明請見背面圖示。</w:t>
      </w:r>
    </w:p>
    <w:p w14:paraId="7979103A" w14:textId="77777777" w:rsidR="00401786" w:rsidRPr="009E653D" w:rsidRDefault="00C64FB3" w:rsidP="000E757E">
      <w:pPr>
        <w:spacing w:line="240" w:lineRule="atLeast"/>
        <w:ind w:left="708" w:hanging="708"/>
        <w:rPr>
          <w:rFonts w:ascii="標楷體" w:eastAsia="標楷體" w:hAnsi="標楷體"/>
          <w:szCs w:val="24"/>
        </w:rPr>
      </w:pPr>
      <w:r w:rsidRPr="009E653D">
        <w:rPr>
          <w:rFonts w:ascii="標楷體" w:eastAsia="標楷體" w:hAnsi="標楷體"/>
          <w:szCs w:val="24"/>
        </w:rPr>
        <w:t xml:space="preserve">  4.初次使用十三凝血因子，須經事前審查核准後方予給付。</w:t>
      </w:r>
    </w:p>
    <w:p w14:paraId="347085FF" w14:textId="229C388B" w:rsidR="00401786" w:rsidRDefault="00C64FB3" w:rsidP="000E757E">
      <w:pPr>
        <w:spacing w:line="240" w:lineRule="atLeast"/>
        <w:sectPr w:rsidR="00401786">
          <w:footerReference w:type="default" r:id="rId28"/>
          <w:pgSz w:w="16838" w:h="11906" w:orient="landscape"/>
          <w:pgMar w:top="1021" w:right="1134" w:bottom="1021" w:left="1134" w:header="720" w:footer="720" w:gutter="0"/>
          <w:cols w:space="720"/>
        </w:sectPr>
      </w:pPr>
      <w:r w:rsidRPr="009E653D">
        <w:rPr>
          <w:rFonts w:ascii="標楷體" w:eastAsia="標楷體" w:hAnsi="標楷體"/>
          <w:szCs w:val="24"/>
        </w:rPr>
        <w:t xml:space="preserve">                                   回收空瓶日期：</w:t>
      </w:r>
      <w:r w:rsidRPr="009E653D">
        <w:rPr>
          <w:rFonts w:ascii="標楷體" w:eastAsia="標楷體" w:hAnsi="標楷體"/>
          <w:szCs w:val="24"/>
          <w:u w:val="single"/>
        </w:rPr>
        <w:t xml:space="preserve">                </w:t>
      </w:r>
      <w:r w:rsidRPr="009E653D">
        <w:rPr>
          <w:rFonts w:ascii="標楷體" w:eastAsia="標楷體" w:hAnsi="標楷體"/>
          <w:szCs w:val="24"/>
        </w:rPr>
        <w:t xml:space="preserve">       總結存量</w:t>
      </w:r>
      <w:r w:rsidRPr="009E653D">
        <w:rPr>
          <w:rFonts w:ascii="標楷體" w:eastAsia="標楷體" w:hAnsi="標楷體"/>
          <w:color w:val="000000"/>
          <w:szCs w:val="24"/>
        </w:rPr>
        <w:t>(瓶)</w:t>
      </w:r>
      <w:r w:rsidRPr="009E653D">
        <w:rPr>
          <w:rFonts w:ascii="標楷體" w:eastAsia="標楷體" w:hAnsi="標楷體"/>
          <w:szCs w:val="24"/>
        </w:rPr>
        <w:t>：</w:t>
      </w:r>
      <w:r>
        <w:rPr>
          <w:rFonts w:ascii="標楷體" w:eastAsia="標楷體" w:hAnsi="標楷體"/>
          <w:sz w:val="28"/>
          <w:u w:val="single"/>
        </w:rPr>
        <w:t xml:space="preserve">                 </w:t>
      </w:r>
    </w:p>
    <w:p w14:paraId="5BD1441A" w14:textId="77777777" w:rsidR="00401786" w:rsidRDefault="00000000" w:rsidP="000E757E">
      <w:pPr>
        <w:snapToGrid w:val="0"/>
        <w:spacing w:line="240" w:lineRule="atLeast"/>
        <w:ind w:left="708" w:hanging="708"/>
      </w:pPr>
      <w:r>
        <w:lastRenderedPageBreak/>
        <w:object w:dxaOrig="1440" w:dyaOrig="1440" w14:anchorId="5629B4E1">
          <v:shape id="Object 10" o:spid="_x0000_s2053" type="#_x0000_t75" style="position:absolute;left:0;text-align:left;margin-left:14.8pt;margin-top:24.55pt;width:564.2pt;height:698.7pt;z-index:251670528;visibility:visible;mso-wrap-style:square;mso-position-horizontal-relative:margin;mso-position-vertical-relative:margin">
            <v:imagedata r:id="rId25" o:title=""/>
            <w10:wrap type="square" anchorx="margin" anchory="margin"/>
          </v:shape>
          <o:OLEObject Type="Embed" ProgID="Word.Picture.8" ShapeID="Object 10" DrawAspect="Content" ObjectID="_1854627330" r:id="rId29"/>
        </w:object>
      </w:r>
      <w:r w:rsidR="00C64FB3">
        <w:rPr>
          <w:noProof/>
        </w:rPr>
        <mc:AlternateContent>
          <mc:Choice Requires="wps">
            <w:drawing>
              <wp:anchor distT="0" distB="0" distL="114300" distR="114300" simplePos="0" relativeHeight="251650048" behindDoc="0" locked="0" layoutInCell="1" allowOverlap="1" wp14:anchorId="190D059D" wp14:editId="239D24C4">
                <wp:simplePos x="0" y="0"/>
                <wp:positionH relativeFrom="column">
                  <wp:posOffset>708029</wp:posOffset>
                </wp:positionH>
                <wp:positionV relativeFrom="paragraph">
                  <wp:posOffset>2001521</wp:posOffset>
                </wp:positionV>
                <wp:extent cx="1752603" cy="1943100"/>
                <wp:effectExtent l="0" t="0" r="0" b="0"/>
                <wp:wrapSquare wrapText="bothSides"/>
                <wp:docPr id="21" name="Text Box 11"/>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1ECDAE07" w14:textId="77777777" w:rsidR="00C6448D" w:rsidRDefault="00C6448D">
                            <w:pPr>
                              <w:rPr>
                                <w:rFonts w:ascii="標楷體" w:eastAsia="標楷體" w:hAnsi="標楷體"/>
                              </w:rPr>
                            </w:pPr>
                            <w:r>
                              <w:rPr>
                                <w:rFonts w:ascii="標楷體" w:eastAsia="標楷體" w:hAnsi="標楷體"/>
                              </w:rPr>
                              <w:t xml:space="preserve">9  肌肉出血 </w:t>
                            </w:r>
                          </w:p>
                          <w:p w14:paraId="539A0E72" w14:textId="77777777" w:rsidR="00C6448D" w:rsidRDefault="00C6448D">
                            <w:pPr>
                              <w:rPr>
                                <w:rFonts w:ascii="標楷體" w:eastAsia="標楷體" w:hAnsi="標楷體"/>
                              </w:rPr>
                            </w:pPr>
                            <w:r>
                              <w:rPr>
                                <w:rFonts w:ascii="標楷體" w:eastAsia="標楷體" w:hAnsi="標楷體"/>
                              </w:rPr>
                              <w:t>10 皮下出血</w:t>
                            </w:r>
                          </w:p>
                          <w:p w14:paraId="58290554" w14:textId="77777777" w:rsidR="00C6448D" w:rsidRDefault="00C6448D">
                            <w:pPr>
                              <w:rPr>
                                <w:rFonts w:ascii="標楷體" w:eastAsia="標楷體" w:hAnsi="標楷體"/>
                              </w:rPr>
                            </w:pPr>
                            <w:r>
                              <w:rPr>
                                <w:rFonts w:ascii="標楷體" w:eastAsia="標楷體" w:hAnsi="標楷體"/>
                              </w:rPr>
                              <w:t>11 腸胃道出血</w:t>
                            </w:r>
                          </w:p>
                          <w:p w14:paraId="38BE4028" w14:textId="77777777" w:rsidR="00C6448D" w:rsidRDefault="00C6448D">
                            <w:pPr>
                              <w:rPr>
                                <w:rFonts w:ascii="標楷體" w:eastAsia="標楷體" w:hAnsi="標楷體"/>
                              </w:rPr>
                            </w:pPr>
                            <w:r>
                              <w:rPr>
                                <w:rFonts w:ascii="標楷體" w:eastAsia="標楷體" w:hAnsi="標楷體"/>
                              </w:rPr>
                              <w:t>12 血尿</w:t>
                            </w:r>
                          </w:p>
                          <w:p w14:paraId="75B013CC" w14:textId="77777777" w:rsidR="00C6448D" w:rsidRDefault="00C6448D">
                            <w:pPr>
                              <w:rPr>
                                <w:rFonts w:ascii="標楷體" w:eastAsia="標楷體" w:hAnsi="標楷體"/>
                              </w:rPr>
                            </w:pPr>
                            <w:r>
                              <w:rPr>
                                <w:rFonts w:ascii="標楷體" w:eastAsia="標楷體" w:hAnsi="標楷體"/>
                              </w:rPr>
                              <w:t>13 鼻腔出血</w:t>
                            </w:r>
                          </w:p>
                          <w:p w14:paraId="7EF46E12" w14:textId="77777777" w:rsidR="00C6448D" w:rsidRDefault="00C6448D">
                            <w:pPr>
                              <w:rPr>
                                <w:rFonts w:ascii="標楷體" w:eastAsia="標楷體" w:hAnsi="標楷體"/>
                              </w:rPr>
                            </w:pPr>
                            <w:r>
                              <w:rPr>
                                <w:rFonts w:ascii="標楷體" w:eastAsia="標楷體" w:hAnsi="標楷體"/>
                              </w:rPr>
                              <w:t>14 牙齦出血</w:t>
                            </w:r>
                          </w:p>
                          <w:p w14:paraId="022F9736" w14:textId="77777777" w:rsidR="00C6448D" w:rsidRDefault="00C6448D">
                            <w:pPr>
                              <w:rPr>
                                <w:rFonts w:ascii="標楷體" w:eastAsia="標楷體" w:hAnsi="標楷體"/>
                              </w:rPr>
                            </w:pPr>
                            <w:r>
                              <w:rPr>
                                <w:rFonts w:ascii="標楷體" w:eastAsia="標楷體" w:hAnsi="標楷體"/>
                              </w:rPr>
                              <w:t>15 口腔內出血</w:t>
                            </w:r>
                          </w:p>
                          <w:p w14:paraId="76C8B108" w14:textId="77777777" w:rsidR="00C6448D" w:rsidRDefault="00C6448D">
                            <w:pPr>
                              <w:rPr>
                                <w:rFonts w:ascii="標楷體" w:eastAsia="標楷體" w:hAnsi="標楷體"/>
                              </w:rPr>
                            </w:pPr>
                            <w:r>
                              <w:rPr>
                                <w:rFonts w:ascii="標楷體" w:eastAsia="標楷體" w:hAnsi="標楷體"/>
                              </w:rPr>
                              <w:t>16 腦部出血</w:t>
                            </w:r>
                          </w:p>
                          <w:p w14:paraId="0C3C6584"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190D059D" id="Text Box 11" o:spid="_x0000_s1037" type="#_x0000_t202" style="position:absolute;left:0;text-align:left;margin-left:55.75pt;margin-top:157.6pt;width:138pt;height:153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" filled="f" stroked="f">
                <v:textbox>
                  <w:txbxContent>
                    <w:p w14:paraId="1ECDAE07" w14:textId="77777777" w:rsidR="00C6448D" w:rsidRDefault="00C6448D">
                      <w:pPr>
                        <w:rPr>
                          <w:rFonts w:ascii="標楷體" w:eastAsia="標楷體" w:hAnsi="標楷體"/>
                        </w:rPr>
                      </w:pPr>
                      <w:r>
                        <w:rPr>
                          <w:rFonts w:ascii="標楷體" w:eastAsia="標楷體" w:hAnsi="標楷體"/>
                        </w:rPr>
                        <w:t xml:space="preserve">9  肌肉出血 </w:t>
                      </w:r>
                    </w:p>
                    <w:p w14:paraId="539A0E72" w14:textId="77777777" w:rsidR="00C6448D" w:rsidRDefault="00C6448D">
                      <w:pPr>
                        <w:rPr>
                          <w:rFonts w:ascii="標楷體" w:eastAsia="標楷體" w:hAnsi="標楷體"/>
                        </w:rPr>
                      </w:pPr>
                      <w:r>
                        <w:rPr>
                          <w:rFonts w:ascii="標楷體" w:eastAsia="標楷體" w:hAnsi="標楷體"/>
                        </w:rPr>
                        <w:t>10 皮下出血</w:t>
                      </w:r>
                    </w:p>
                    <w:p w14:paraId="58290554" w14:textId="77777777" w:rsidR="00C6448D" w:rsidRDefault="00C6448D">
                      <w:pPr>
                        <w:rPr>
                          <w:rFonts w:ascii="標楷體" w:eastAsia="標楷體" w:hAnsi="標楷體"/>
                        </w:rPr>
                      </w:pPr>
                      <w:r>
                        <w:rPr>
                          <w:rFonts w:ascii="標楷體" w:eastAsia="標楷體" w:hAnsi="標楷體"/>
                        </w:rPr>
                        <w:t>11 腸胃道出血</w:t>
                      </w:r>
                    </w:p>
                    <w:p w14:paraId="38BE4028" w14:textId="77777777" w:rsidR="00C6448D" w:rsidRDefault="00C6448D">
                      <w:pPr>
                        <w:rPr>
                          <w:rFonts w:ascii="標楷體" w:eastAsia="標楷體" w:hAnsi="標楷體"/>
                        </w:rPr>
                      </w:pPr>
                      <w:r>
                        <w:rPr>
                          <w:rFonts w:ascii="標楷體" w:eastAsia="標楷體" w:hAnsi="標楷體"/>
                        </w:rPr>
                        <w:t>12 血尿</w:t>
                      </w:r>
                    </w:p>
                    <w:p w14:paraId="75B013CC" w14:textId="77777777" w:rsidR="00C6448D" w:rsidRDefault="00C6448D">
                      <w:pPr>
                        <w:rPr>
                          <w:rFonts w:ascii="標楷體" w:eastAsia="標楷體" w:hAnsi="標楷體"/>
                        </w:rPr>
                      </w:pPr>
                      <w:r>
                        <w:rPr>
                          <w:rFonts w:ascii="標楷體" w:eastAsia="標楷體" w:hAnsi="標楷體"/>
                        </w:rPr>
                        <w:t>13 鼻腔出血</w:t>
                      </w:r>
                    </w:p>
                    <w:p w14:paraId="7EF46E12" w14:textId="77777777" w:rsidR="00C6448D" w:rsidRDefault="00C6448D">
                      <w:pPr>
                        <w:rPr>
                          <w:rFonts w:ascii="標楷體" w:eastAsia="標楷體" w:hAnsi="標楷體"/>
                        </w:rPr>
                      </w:pPr>
                      <w:r>
                        <w:rPr>
                          <w:rFonts w:ascii="標楷體" w:eastAsia="標楷體" w:hAnsi="標楷體"/>
                        </w:rPr>
                        <w:t>14 牙齦出血</w:t>
                      </w:r>
                    </w:p>
                    <w:p w14:paraId="022F9736" w14:textId="77777777" w:rsidR="00C6448D" w:rsidRDefault="00C6448D">
                      <w:pPr>
                        <w:rPr>
                          <w:rFonts w:ascii="標楷體" w:eastAsia="標楷體" w:hAnsi="標楷體"/>
                        </w:rPr>
                      </w:pPr>
                      <w:r>
                        <w:rPr>
                          <w:rFonts w:ascii="標楷體" w:eastAsia="標楷體" w:hAnsi="標楷體"/>
                        </w:rPr>
                        <w:t>15 口腔內出血</w:t>
                      </w:r>
                    </w:p>
                    <w:p w14:paraId="76C8B108" w14:textId="77777777" w:rsidR="00C6448D" w:rsidRDefault="00C6448D">
                      <w:pPr>
                        <w:rPr>
                          <w:rFonts w:ascii="標楷體" w:eastAsia="標楷體" w:hAnsi="標楷體"/>
                        </w:rPr>
                      </w:pPr>
                      <w:r>
                        <w:rPr>
                          <w:rFonts w:ascii="標楷體" w:eastAsia="標楷體" w:hAnsi="標楷體"/>
                        </w:rPr>
                        <w:t>16 腦部出血</w:t>
                      </w:r>
                    </w:p>
                    <w:p w14:paraId="0C3C6584" w14:textId="77777777" w:rsidR="00C6448D" w:rsidRDefault="00C6448D">
                      <w:pPr>
                        <w:rPr>
                          <w:rFonts w:ascii="標楷體" w:eastAsia="標楷體" w:hAnsi="標楷體"/>
                        </w:rPr>
                      </w:pPr>
                    </w:p>
                  </w:txbxContent>
                </v:textbox>
                <w10:wrap type="square"/>
              </v:shape>
            </w:pict>
          </mc:Fallback>
        </mc:AlternateContent>
      </w:r>
    </w:p>
    <w:p w14:paraId="70A39D80" w14:textId="77777777" w:rsidR="008D30B3" w:rsidRPr="008D30B3" w:rsidRDefault="008D30B3" w:rsidP="008D30B3">
      <w:pPr>
        <w:widowControl/>
        <w:suppressAutoHyphens w:val="0"/>
        <w:autoSpaceDN/>
        <w:spacing w:after="180" w:line="300" w:lineRule="exact"/>
        <w:jc w:val="center"/>
        <w:textAlignment w:val="auto"/>
        <w:rPr>
          <w:rFonts w:ascii="新細明體" w:hAnsi="新細明體" w:cs="新細明體"/>
          <w:kern w:val="0"/>
          <w:sz w:val="22"/>
          <w:szCs w:val="20"/>
        </w:rPr>
      </w:pPr>
      <w:r w:rsidRPr="008D30B3">
        <w:rPr>
          <w:rFonts w:ascii="標楷體" w:eastAsia="標楷體" w:hAnsi="標楷體" w:cs="BiauKai" w:hint="eastAsia"/>
          <w:b/>
          <w:kern w:val="0"/>
          <w:sz w:val="28"/>
          <w:szCs w:val="28"/>
        </w:rPr>
        <w:lastRenderedPageBreak/>
        <w:t>附表十八之五 重型血友病患「醫療評估追蹤紀錄表」</w:t>
      </w:r>
    </w:p>
    <w:p w14:paraId="39107BF7" w14:textId="77777777" w:rsidR="00DF208B" w:rsidRDefault="00DF208B" w:rsidP="00DF208B">
      <w:pPr>
        <w:spacing w:line="300" w:lineRule="exact"/>
        <w:rPr>
          <w:rFonts w:ascii="標楷體" w:eastAsia="標楷體" w:hAnsi="標楷體" w:cs="BiauKai"/>
          <w:color w:val="000000"/>
          <w:kern w:val="2"/>
          <w:szCs w:val="24"/>
        </w:rPr>
      </w:pPr>
      <w:r>
        <w:rPr>
          <w:rFonts w:ascii="標楷體" w:eastAsia="標楷體" w:hAnsi="標楷體" w:cs="BiauKai" w:hint="eastAsia"/>
          <w:color w:val="000000"/>
        </w:rPr>
        <w:t xml:space="preserve">病人本人至少需於3個月回診時由醫師填寫一次醫療評估追蹤紀錄表 </w:t>
      </w:r>
    </w:p>
    <w:p w14:paraId="487094D0" w14:textId="77777777" w:rsidR="00DF208B" w:rsidRDefault="00DF208B" w:rsidP="00DF208B">
      <w:pPr>
        <w:spacing w:line="300" w:lineRule="exact"/>
        <w:jc w:val="both"/>
        <w:rPr>
          <w:rFonts w:ascii="標楷體" w:eastAsia="標楷體" w:hAnsi="標楷體" w:cs="BiauKai"/>
        </w:rPr>
      </w:pPr>
      <w:r>
        <w:rPr>
          <w:rFonts w:ascii="標楷體" w:eastAsia="標楷體" w:hAnsi="標楷體" w:cs="BiauKai" w:hint="eastAsia"/>
        </w:rPr>
        <w:t xml:space="preserve">基本資料: </w:t>
      </w:r>
    </w:p>
    <w:p w14:paraId="2209C07D" w14:textId="77777777" w:rsidR="00DF208B" w:rsidRDefault="00DF208B" w:rsidP="00DF208B">
      <w:pPr>
        <w:spacing w:line="300" w:lineRule="exact"/>
        <w:ind w:right="-88"/>
        <w:jc w:val="both"/>
        <w:rPr>
          <w:rFonts w:ascii="新細明體" w:hAnsi="新細明體" w:cs="新細明體"/>
        </w:rPr>
      </w:pPr>
      <w:r>
        <w:rPr>
          <w:rFonts w:ascii="標楷體" w:eastAsia="標楷體" w:hAnsi="標楷體" w:cs="BiauKai" w:hint="eastAsia"/>
          <w:bCs/>
        </w:rPr>
        <w:t>姓名: ________病歷號碼:__________年</w:t>
      </w:r>
      <w:r>
        <w:rPr>
          <w:rFonts w:ascii="標楷體" w:eastAsia="標楷體" w:hAnsi="標楷體" w:cs="BiauKai" w:hint="eastAsia"/>
        </w:rPr>
        <w:t>齡:______ 歲 體重: _______ 公斤 身高: ______ 公分</w:t>
      </w:r>
    </w:p>
    <w:p w14:paraId="6B2A357A" w14:textId="77777777" w:rsidR="00DF208B" w:rsidRDefault="00DF208B" w:rsidP="00DF208B">
      <w:pPr>
        <w:spacing w:line="300" w:lineRule="exact"/>
        <w:jc w:val="both"/>
        <w:rPr>
          <w:rFonts w:ascii="Times New Roman" w:hAnsi="Times New Roman"/>
        </w:rPr>
      </w:pPr>
      <w:r>
        <w:rPr>
          <w:rFonts w:ascii="標楷體" w:eastAsia="標楷體" w:hAnsi="標楷體" w:cs="BiauKai" w:hint="eastAsia"/>
        </w:rPr>
        <w:t>血友病: □A型 □B型</w:t>
      </w:r>
      <w:r>
        <w:rPr>
          <w:rFonts w:ascii="標楷體" w:eastAsia="標楷體" w:hAnsi="標楷體" w:cs="BiauKai" w:hint="eastAsia"/>
          <w:color w:val="FF0000"/>
        </w:rPr>
        <w:t xml:space="preserve"> </w:t>
      </w:r>
      <w:r>
        <w:rPr>
          <w:rFonts w:ascii="標楷體" w:eastAsia="標楷體" w:hAnsi="標楷體" w:hint="eastAsia"/>
          <w:color w:val="000000"/>
        </w:rPr>
        <w:t>□其他</w:t>
      </w:r>
      <w:r>
        <w:rPr>
          <w:rFonts w:ascii="標楷體" w:eastAsia="標楷體" w:hAnsi="標楷體" w:hint="eastAsia"/>
          <w:b/>
          <w:color w:val="000000"/>
        </w:rPr>
        <w:t>______</w:t>
      </w:r>
    </w:p>
    <w:p w14:paraId="4D5280C1" w14:textId="77777777" w:rsidR="00DF208B" w:rsidRDefault="00DF208B" w:rsidP="00DF208B">
      <w:pPr>
        <w:spacing w:line="300" w:lineRule="exact"/>
        <w:jc w:val="both"/>
        <w:rPr>
          <w:rFonts w:ascii="標楷體" w:eastAsia="標楷體" w:hAnsi="標楷體" w:cs="BiauKai"/>
        </w:rPr>
      </w:pPr>
      <w:r>
        <w:rPr>
          <w:rFonts w:ascii="標楷體" w:eastAsia="標楷體" w:hAnsi="標楷體" w:cs="BiauKai" w:hint="eastAsia"/>
        </w:rPr>
        <w:t>回診分類:</w:t>
      </w:r>
    </w:p>
    <w:p w14:paraId="71225AA1" w14:textId="77777777" w:rsidR="00DF208B" w:rsidRDefault="00DF208B" w:rsidP="00DF208B">
      <w:pPr>
        <w:spacing w:line="300" w:lineRule="exact"/>
        <w:jc w:val="both"/>
        <w:rPr>
          <w:rFonts w:ascii="新細明體" w:hAnsi="新細明體" w:cs="新細明體"/>
        </w:rPr>
      </w:pPr>
      <w:r>
        <w:rPr>
          <w:rFonts w:ascii="標楷體" w:eastAsia="標楷體" w:hAnsi="標楷體" w:cs="BiauKai" w:hint="eastAsia"/>
        </w:rPr>
        <w:t xml:space="preserve">□ </w:t>
      </w:r>
      <w:r>
        <w:rPr>
          <w:rFonts w:ascii="標楷體" w:eastAsia="標楷體" w:hAnsi="標楷體" w:cs="BiauKai" w:hint="eastAsia"/>
          <w:b/>
          <w:color w:val="000000"/>
        </w:rPr>
        <w:t>預防性注射</w:t>
      </w:r>
      <w:r>
        <w:rPr>
          <w:rFonts w:ascii="標楷體" w:eastAsia="標楷體" w:hAnsi="標楷體" w:cs="BiauKai" w:hint="eastAsia"/>
          <w:color w:val="000000"/>
        </w:rPr>
        <w:t>4歲及以下之病人，每2至4</w:t>
      </w:r>
      <w:proofErr w:type="gramStart"/>
      <w:r>
        <w:rPr>
          <w:rFonts w:ascii="標楷體" w:eastAsia="標楷體" w:hAnsi="標楷體" w:cs="BiauKai" w:hint="eastAsia"/>
          <w:color w:val="000000"/>
        </w:rPr>
        <w:t>週</w:t>
      </w:r>
      <w:proofErr w:type="gramEnd"/>
      <w:r>
        <w:rPr>
          <w:rFonts w:ascii="標楷體" w:eastAsia="標楷體" w:hAnsi="標楷體" w:cs="BiauKai" w:hint="eastAsia"/>
          <w:color w:val="000000"/>
        </w:rPr>
        <w:t>應至少回診一次。</w:t>
      </w:r>
    </w:p>
    <w:p w14:paraId="4DFBCF9E" w14:textId="77777777" w:rsidR="00DF208B" w:rsidRDefault="00DF208B" w:rsidP="00DF208B">
      <w:pPr>
        <w:spacing w:line="300" w:lineRule="exact"/>
        <w:jc w:val="both"/>
        <w:rPr>
          <w:rFonts w:ascii="Times New Roman" w:hAnsi="Times New Roman"/>
        </w:rPr>
      </w:pPr>
      <w:r>
        <w:rPr>
          <w:rFonts w:ascii="標楷體" w:eastAsia="標楷體" w:hAnsi="標楷體" w:cs="BiauKai" w:hint="eastAsia"/>
          <w:color w:val="000000"/>
        </w:rPr>
        <w:t xml:space="preserve">□ </w:t>
      </w:r>
      <w:r>
        <w:rPr>
          <w:rFonts w:ascii="標楷體" w:eastAsia="標楷體" w:hAnsi="標楷體" w:cs="BiauKai" w:hint="eastAsia"/>
          <w:b/>
          <w:color w:val="000000"/>
        </w:rPr>
        <w:t>預防性注射</w:t>
      </w:r>
      <w:r>
        <w:rPr>
          <w:rFonts w:ascii="標楷體" w:eastAsia="標楷體" w:hAnsi="標楷體" w:cs="BiauKai" w:hint="eastAsia"/>
          <w:color w:val="000000"/>
        </w:rPr>
        <w:t>4歲以上至12歲之病人，每4至6</w:t>
      </w:r>
      <w:proofErr w:type="gramStart"/>
      <w:r>
        <w:rPr>
          <w:rFonts w:ascii="標楷體" w:eastAsia="標楷體" w:hAnsi="標楷體" w:cs="BiauKai" w:hint="eastAsia"/>
          <w:color w:val="000000"/>
        </w:rPr>
        <w:t>週</w:t>
      </w:r>
      <w:proofErr w:type="gramEnd"/>
      <w:r>
        <w:rPr>
          <w:rFonts w:ascii="標楷體" w:eastAsia="標楷體" w:hAnsi="標楷體" w:cs="BiauKai" w:hint="eastAsia"/>
          <w:color w:val="000000"/>
        </w:rPr>
        <w:t>應至少回診一次。</w:t>
      </w:r>
    </w:p>
    <w:p w14:paraId="5058C76D" w14:textId="77777777" w:rsidR="00DF208B" w:rsidRDefault="00DF208B" w:rsidP="00DF208B">
      <w:pPr>
        <w:spacing w:line="300" w:lineRule="exact"/>
        <w:jc w:val="both"/>
      </w:pPr>
      <w:r>
        <w:rPr>
          <w:rFonts w:ascii="標楷體" w:eastAsia="標楷體" w:hAnsi="標楷體" w:cs="BiauKai" w:hint="eastAsia"/>
          <w:color w:val="000000"/>
        </w:rPr>
        <w:t xml:space="preserve">□ </w:t>
      </w:r>
      <w:r>
        <w:rPr>
          <w:rFonts w:ascii="標楷體" w:eastAsia="標楷體" w:hAnsi="標楷體" w:cs="BiauKai" w:hint="eastAsia"/>
          <w:b/>
          <w:color w:val="000000"/>
        </w:rPr>
        <w:t>預防性注射</w:t>
      </w:r>
      <w:r>
        <w:rPr>
          <w:rFonts w:ascii="標楷體" w:eastAsia="標楷體" w:hAnsi="標楷體" w:cs="BiauKai" w:hint="eastAsia"/>
        </w:rPr>
        <w:t>12歲以上之病人，每6至8</w:t>
      </w:r>
      <w:proofErr w:type="gramStart"/>
      <w:r>
        <w:rPr>
          <w:rFonts w:ascii="標楷體" w:eastAsia="標楷體" w:hAnsi="標楷體" w:cs="BiauKai" w:hint="eastAsia"/>
        </w:rPr>
        <w:t>週</w:t>
      </w:r>
      <w:proofErr w:type="gramEnd"/>
      <w:r>
        <w:rPr>
          <w:rFonts w:ascii="標楷體" w:eastAsia="標楷體" w:hAnsi="標楷體" w:cs="BiauKai" w:hint="eastAsia"/>
        </w:rPr>
        <w:t>應至少回診一次。</w:t>
      </w:r>
    </w:p>
    <w:p w14:paraId="78E77111" w14:textId="77777777" w:rsidR="00DF208B" w:rsidRDefault="00DF208B" w:rsidP="00DF208B">
      <w:pPr>
        <w:spacing w:line="300" w:lineRule="exact"/>
        <w:jc w:val="both"/>
      </w:pPr>
      <w:r>
        <w:rPr>
          <w:rFonts w:ascii="標楷體" w:eastAsia="標楷體" w:hAnsi="標楷體" w:cs="BiauKai" w:hint="eastAsia"/>
        </w:rPr>
        <w:t>□ 有抗體之病人</w:t>
      </w:r>
      <w:r>
        <w:rPr>
          <w:rFonts w:ascii="標楷體" w:eastAsia="標楷體" w:hAnsi="標楷體" w:cs="BiauKai" w:hint="eastAsia"/>
          <w:b/>
          <w:color w:val="000000"/>
        </w:rPr>
        <w:t>治療時</w:t>
      </w:r>
      <w:r>
        <w:rPr>
          <w:rFonts w:ascii="標楷體" w:eastAsia="標楷體" w:hAnsi="標楷體" w:cs="BiauKai" w:hint="eastAsia"/>
        </w:rPr>
        <w:t>(抗體最高歷史數值:</w:t>
      </w:r>
      <w:r>
        <w:rPr>
          <w:rFonts w:ascii="標楷體" w:eastAsia="標楷體" w:hAnsi="標楷體" w:cs="BiauKai" w:hint="eastAsia"/>
          <w:u w:val="single"/>
        </w:rPr>
        <w:t xml:space="preserve">     </w:t>
      </w:r>
      <w:r>
        <w:rPr>
          <w:rFonts w:ascii="標楷體" w:eastAsia="標楷體" w:hAnsi="標楷體" w:cs="BiauKai" w:hint="eastAsia"/>
        </w:rPr>
        <w:t>BU/mL)，應該每4-8</w:t>
      </w:r>
      <w:proofErr w:type="gramStart"/>
      <w:r>
        <w:rPr>
          <w:rFonts w:ascii="標楷體" w:eastAsia="標楷體" w:hAnsi="標楷體" w:cs="BiauKai" w:hint="eastAsia"/>
        </w:rPr>
        <w:t>週</w:t>
      </w:r>
      <w:proofErr w:type="gramEnd"/>
      <w:r>
        <w:rPr>
          <w:rFonts w:ascii="標楷體" w:eastAsia="標楷體" w:hAnsi="標楷體" w:cs="BiauKai" w:hint="eastAsia"/>
        </w:rPr>
        <w:t>至少回診一次</w:t>
      </w:r>
    </w:p>
    <w:p w14:paraId="61E99C86" w14:textId="77777777" w:rsidR="00DF208B" w:rsidRDefault="00DF208B" w:rsidP="00DF208B">
      <w:pPr>
        <w:spacing w:line="300" w:lineRule="exact"/>
        <w:ind w:left="2160" w:hanging="2160"/>
      </w:pPr>
      <w:r>
        <w:rPr>
          <w:rFonts w:ascii="標楷體" w:eastAsia="標楷體" w:hAnsi="標楷體" w:cs="BiauKai" w:hint="eastAsia"/>
        </w:rPr>
        <w:t xml:space="preserve">□ </w:t>
      </w:r>
      <w:r>
        <w:rPr>
          <w:rFonts w:ascii="標楷體" w:eastAsia="標楷體" w:hAnsi="標楷體" w:hint="eastAsia"/>
          <w:b/>
          <w:color w:val="000000"/>
        </w:rPr>
        <w:t>需要時治療之無抗體重型血友病患，每3個月</w:t>
      </w:r>
      <w:r>
        <w:rPr>
          <w:rFonts w:ascii="標楷體" w:eastAsia="標楷體" w:hAnsi="標楷體" w:cs="BiauKai" w:hint="eastAsia"/>
          <w:b/>
          <w:color w:val="000000"/>
        </w:rPr>
        <w:t>應至少回診一次</w:t>
      </w:r>
    </w:p>
    <w:p w14:paraId="5A26AA8D" w14:textId="77777777" w:rsidR="00DF208B" w:rsidRDefault="00DF208B" w:rsidP="00DF208B">
      <w:pPr>
        <w:spacing w:line="300" w:lineRule="exact"/>
        <w:jc w:val="both"/>
      </w:pPr>
      <w:r>
        <w:rPr>
          <w:rFonts w:ascii="標楷體" w:eastAsia="標楷體" w:hAnsi="標楷體" w:cs="BiauKai" w:hint="eastAsia"/>
          <w:color w:val="000000"/>
        </w:rPr>
        <w:t xml:space="preserve">□ </w:t>
      </w:r>
      <w:r>
        <w:rPr>
          <w:rFonts w:ascii="標楷體" w:eastAsia="標楷體" w:hAnsi="標楷體" w:cs="BiauKai" w:hint="eastAsia"/>
          <w:b/>
          <w:color w:val="000000"/>
        </w:rPr>
        <w:t>接受「皮下非補充製劑」的治療時，視同Prophylaxis 追蹤</w:t>
      </w:r>
    </w:p>
    <w:p w14:paraId="1869D651" w14:textId="77777777" w:rsidR="00DF208B" w:rsidRDefault="00DF208B" w:rsidP="00DF208B">
      <w:pPr>
        <w:spacing w:line="300" w:lineRule="exact"/>
      </w:pPr>
      <w:r>
        <w:rPr>
          <w:rFonts w:ascii="標楷體" w:eastAsia="標楷體" w:hAnsi="標楷體" w:hint="eastAsia"/>
        </w:rPr>
        <w:t>治療期間：</w:t>
      </w:r>
      <w:r>
        <w:rPr>
          <w:rFonts w:ascii="標楷體" w:eastAsia="標楷體" w:hAnsi="標楷體" w:hint="eastAsia"/>
          <w:u w:val="single"/>
        </w:rPr>
        <w:t xml:space="preserve">    </w:t>
      </w:r>
      <w:r>
        <w:rPr>
          <w:rFonts w:ascii="標楷體" w:eastAsia="標楷體" w:hAnsi="標楷體" w:hint="eastAsia"/>
        </w:rPr>
        <w:t>年</w:t>
      </w:r>
      <w:r>
        <w:rPr>
          <w:rFonts w:ascii="標楷體" w:eastAsia="標楷體" w:hAnsi="標楷體" w:hint="eastAsia"/>
          <w:u w:val="single"/>
        </w:rPr>
        <w:t xml:space="preserve">   </w:t>
      </w:r>
      <w:r>
        <w:rPr>
          <w:rFonts w:ascii="標楷體" w:eastAsia="標楷體" w:hAnsi="標楷體" w:hint="eastAsia"/>
        </w:rPr>
        <w:t>月</w:t>
      </w:r>
      <w:r>
        <w:rPr>
          <w:rFonts w:ascii="標楷體" w:eastAsia="標楷體" w:hAnsi="標楷體" w:hint="eastAsia"/>
          <w:u w:val="single"/>
        </w:rPr>
        <w:t xml:space="preserve">   </w:t>
      </w:r>
      <w:r>
        <w:rPr>
          <w:rFonts w:ascii="標楷體" w:eastAsia="標楷體" w:hAnsi="標楷體" w:hint="eastAsia"/>
        </w:rPr>
        <w:t xml:space="preserve">日 至 </w:t>
      </w:r>
      <w:r>
        <w:rPr>
          <w:rFonts w:ascii="標楷體" w:eastAsia="標楷體" w:hAnsi="標楷體" w:hint="eastAsia"/>
          <w:u w:val="single"/>
        </w:rPr>
        <w:t xml:space="preserve">    </w:t>
      </w:r>
      <w:r>
        <w:rPr>
          <w:rFonts w:ascii="標楷體" w:eastAsia="標楷體" w:hAnsi="標楷體" w:hint="eastAsia"/>
        </w:rPr>
        <w:t>年</w:t>
      </w:r>
      <w:r>
        <w:rPr>
          <w:rFonts w:ascii="標楷體" w:eastAsia="標楷體" w:hAnsi="標楷體" w:hint="eastAsia"/>
          <w:u w:val="single"/>
        </w:rPr>
        <w:t xml:space="preserve">   </w:t>
      </w:r>
      <w:r>
        <w:rPr>
          <w:rFonts w:ascii="標楷體" w:eastAsia="標楷體" w:hAnsi="標楷體" w:hint="eastAsia"/>
        </w:rPr>
        <w:t>月</w:t>
      </w:r>
      <w:r>
        <w:rPr>
          <w:rFonts w:ascii="標楷體" w:eastAsia="標楷體" w:hAnsi="標楷體" w:hint="eastAsia"/>
          <w:u w:val="single"/>
        </w:rPr>
        <w:t xml:space="preserve">    </w:t>
      </w:r>
      <w:r>
        <w:rPr>
          <w:rFonts w:ascii="標楷體" w:eastAsia="標楷體" w:hAnsi="標楷體" w:hint="eastAsia"/>
        </w:rPr>
        <w:t>日</w:t>
      </w:r>
    </w:p>
    <w:p w14:paraId="2F4F94E7" w14:textId="77777777" w:rsidR="00DF208B" w:rsidRDefault="00DF208B" w:rsidP="002144EC">
      <w:pPr>
        <w:pStyle w:val="af"/>
        <w:numPr>
          <w:ilvl w:val="0"/>
          <w:numId w:val="218"/>
        </w:numPr>
        <w:spacing w:before="180" w:line="300" w:lineRule="exact"/>
        <w:ind w:left="482" w:hanging="482"/>
        <w:contextualSpacing/>
        <w:textAlignment w:val="auto"/>
      </w:pPr>
      <w:r>
        <w:rPr>
          <w:rFonts w:ascii="標楷體" w:eastAsia="標楷體" w:hAnsi="標楷體" w:hint="eastAsia"/>
        </w:rPr>
        <w:t>預防注射：使用劑量: 每公斤</w:t>
      </w:r>
      <w:r>
        <w:rPr>
          <w:rFonts w:ascii="標楷體" w:eastAsia="標楷體" w:hAnsi="標楷體" w:hint="eastAsia"/>
          <w:u w:val="single"/>
        </w:rPr>
        <w:t xml:space="preserve">       </w:t>
      </w:r>
      <w:r>
        <w:rPr>
          <w:rFonts w:ascii="標楷體" w:eastAsia="標楷體" w:hAnsi="標楷體" w:hint="eastAsia"/>
          <w:color w:val="000000"/>
        </w:rPr>
        <w:t xml:space="preserve">(單位:IU/μg/mg) </w:t>
      </w:r>
    </w:p>
    <w:p w14:paraId="1B103398" w14:textId="77777777" w:rsidR="00DF208B" w:rsidRDefault="00DF208B" w:rsidP="00DF208B">
      <w:pPr>
        <w:pStyle w:val="af"/>
        <w:spacing w:line="300" w:lineRule="exact"/>
        <w:ind w:firstLine="1219"/>
      </w:pPr>
      <w:r>
        <w:rPr>
          <w:rFonts w:ascii="標楷體" w:eastAsia="標楷體" w:hAnsi="標楷體" w:hint="eastAsia"/>
        </w:rPr>
        <w:t>使用頻次：每</w:t>
      </w:r>
      <w:r>
        <w:rPr>
          <w:rFonts w:ascii="標楷體" w:eastAsia="標楷體" w:hAnsi="標楷體" w:hint="eastAsia"/>
          <w:u w:val="single"/>
        </w:rPr>
        <w:t xml:space="preserve">       </w:t>
      </w:r>
      <w:proofErr w:type="gramStart"/>
      <w:r>
        <w:rPr>
          <w:rFonts w:ascii="標楷體" w:eastAsia="標楷體" w:hAnsi="標楷體" w:hint="eastAsia"/>
        </w:rPr>
        <w:t>週</w:t>
      </w:r>
      <w:proofErr w:type="gramEnd"/>
      <w:r>
        <w:rPr>
          <w:rFonts w:ascii="標楷體" w:eastAsia="標楷體" w:hAnsi="標楷體" w:hint="eastAsia"/>
        </w:rPr>
        <w:t>使用</w:t>
      </w:r>
      <w:r>
        <w:rPr>
          <w:rFonts w:ascii="標楷體" w:eastAsia="標楷體" w:hAnsi="標楷體" w:hint="eastAsia"/>
          <w:u w:val="single"/>
        </w:rPr>
        <w:t xml:space="preserve">       </w:t>
      </w:r>
      <w:r>
        <w:rPr>
          <w:rFonts w:ascii="標楷體" w:eastAsia="標楷體" w:hAnsi="標楷體" w:hint="eastAsia"/>
        </w:rPr>
        <w:t xml:space="preserve">次 共 </w:t>
      </w: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單位/月</w:t>
      </w:r>
    </w:p>
    <w:p w14:paraId="41F7D58D" w14:textId="77777777" w:rsidR="007B506F" w:rsidRPr="007B506F" w:rsidRDefault="00DF208B" w:rsidP="007B506F">
      <w:pPr>
        <w:pStyle w:val="af"/>
        <w:spacing w:line="300" w:lineRule="exact"/>
        <w:ind w:firstLine="1219"/>
        <w:rPr>
          <w:rFonts w:ascii="標楷體" w:eastAsia="標楷體" w:hAnsi="標楷體"/>
        </w:rPr>
      </w:pPr>
      <w:r>
        <w:rPr>
          <w:rFonts w:ascii="標楷體" w:eastAsia="標楷體" w:hAnsi="標楷體" w:hint="eastAsia"/>
        </w:rPr>
        <w:t>□</w:t>
      </w:r>
      <w:proofErr w:type="spellStart"/>
      <w:r>
        <w:rPr>
          <w:rFonts w:ascii="標楷體" w:eastAsia="標楷體" w:hAnsi="標楷體" w:hint="eastAsia"/>
        </w:rPr>
        <w:t>fitusiran</w:t>
      </w:r>
      <w:proofErr w:type="spellEnd"/>
      <w:r>
        <w:rPr>
          <w:rFonts w:ascii="標楷體" w:eastAsia="標楷體" w:hAnsi="標楷體" w:hint="eastAsia"/>
        </w:rPr>
        <w:t xml:space="preserve"> 每____月____mg</w:t>
      </w:r>
    </w:p>
    <w:p w14:paraId="5798013E" w14:textId="319D36AF" w:rsidR="00DF208B" w:rsidRDefault="007B506F" w:rsidP="007B506F">
      <w:pPr>
        <w:pStyle w:val="af"/>
        <w:spacing w:line="300" w:lineRule="exact"/>
        <w:ind w:firstLine="1219"/>
        <w:rPr>
          <w:rFonts w:ascii="標楷體" w:eastAsia="標楷體" w:hAnsi="標楷體"/>
        </w:rPr>
      </w:pPr>
      <w:r w:rsidRPr="007B506F">
        <w:rPr>
          <w:rFonts w:ascii="標楷體" w:eastAsia="標楷體" w:hAnsi="標楷體" w:hint="eastAsia"/>
        </w:rPr>
        <w:t>□</w:t>
      </w:r>
      <w:proofErr w:type="spellStart"/>
      <w:r w:rsidRPr="007B506F">
        <w:rPr>
          <w:rFonts w:ascii="標楷體" w:eastAsia="標楷體" w:hAnsi="標楷體" w:hint="eastAsia"/>
        </w:rPr>
        <w:t>concizumab</w:t>
      </w:r>
      <w:proofErr w:type="spellEnd"/>
      <w:r w:rsidRPr="007B506F">
        <w:rPr>
          <w:rFonts w:ascii="標楷體" w:eastAsia="標楷體" w:hAnsi="標楷體" w:hint="eastAsia"/>
        </w:rPr>
        <w:t>每天____mg</w:t>
      </w:r>
    </w:p>
    <w:p w14:paraId="7D749C1C" w14:textId="77777777" w:rsidR="00DF208B" w:rsidRDefault="00DF208B" w:rsidP="00DF208B">
      <w:pPr>
        <w:pStyle w:val="af"/>
        <w:spacing w:line="300" w:lineRule="exact"/>
        <w:ind w:firstLine="1219"/>
        <w:rPr>
          <w:rFonts w:ascii="新細明體" w:hAnsi="新細明體"/>
        </w:rPr>
      </w:pPr>
      <w:r>
        <w:rPr>
          <w:rFonts w:ascii="標楷體" w:eastAsia="標楷體" w:hAnsi="標楷體" w:hint="eastAsia"/>
        </w:rPr>
        <w:t>□第八因子</w:t>
      </w:r>
      <w:r>
        <w:rPr>
          <w:rFonts w:ascii="標楷體" w:eastAsia="標楷體" w:hAnsi="標楷體" w:hint="eastAsia"/>
          <w:color w:val="000000"/>
        </w:rPr>
        <w:t>(藥名：______)</w:t>
      </w:r>
    </w:p>
    <w:p w14:paraId="7D95D049" w14:textId="77777777" w:rsidR="00DF208B" w:rsidRDefault="00DF208B" w:rsidP="00DF208B">
      <w:pPr>
        <w:pStyle w:val="af"/>
        <w:spacing w:line="300" w:lineRule="exact"/>
        <w:ind w:firstLine="1219"/>
        <w:rPr>
          <w:rFonts w:ascii="Times New Roman" w:hAnsi="Times New Roman"/>
        </w:rPr>
      </w:pPr>
      <w:r>
        <w:rPr>
          <w:rFonts w:ascii="標楷體" w:eastAsia="標楷體" w:hAnsi="標楷體" w:hint="eastAsia"/>
        </w:rPr>
        <w:t>□第九因子</w:t>
      </w:r>
      <w:r>
        <w:rPr>
          <w:rFonts w:ascii="標楷體" w:eastAsia="標楷體" w:hAnsi="標楷體" w:hint="eastAsia"/>
          <w:color w:val="000000"/>
        </w:rPr>
        <w:t>(藥名：______)</w:t>
      </w:r>
    </w:p>
    <w:p w14:paraId="776472EF" w14:textId="77777777" w:rsidR="00DF208B" w:rsidRDefault="00DF208B" w:rsidP="00DF208B">
      <w:pPr>
        <w:pStyle w:val="af"/>
        <w:spacing w:line="300" w:lineRule="exact"/>
        <w:ind w:firstLine="1219"/>
      </w:pPr>
      <w:r>
        <w:rPr>
          <w:rFonts w:ascii="標楷體" w:eastAsia="標楷體" w:hAnsi="標楷體" w:hint="eastAsia"/>
        </w:rPr>
        <w:t>□其他</w:t>
      </w:r>
      <w:r>
        <w:rPr>
          <w:rFonts w:ascii="標楷體" w:eastAsia="標楷體" w:hAnsi="標楷體" w:hint="eastAsia"/>
          <w:color w:val="000000"/>
        </w:rPr>
        <w:t>(藥名：______)</w:t>
      </w:r>
    </w:p>
    <w:p w14:paraId="639A22BF" w14:textId="77777777" w:rsidR="00DF208B" w:rsidRDefault="00DF208B" w:rsidP="00DF208B">
      <w:pPr>
        <w:spacing w:line="300" w:lineRule="exact"/>
        <w:ind w:left="1985" w:firstLine="1"/>
      </w:pP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 (activated) PCC</w:t>
      </w:r>
      <w:r>
        <w:rPr>
          <w:rFonts w:ascii="標楷體" w:eastAsia="標楷體" w:hAnsi="標楷體" w:hint="eastAsia"/>
          <w:color w:val="000000"/>
        </w:rPr>
        <w:t>(藥名：______)</w:t>
      </w:r>
      <w:r>
        <w:rPr>
          <w:rFonts w:ascii="標楷體" w:eastAsia="標楷體" w:hAnsi="標楷體" w:hint="eastAsia"/>
        </w:rPr>
        <w:br/>
      </w: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 recombinant factor VII</w:t>
      </w:r>
      <w:r>
        <w:rPr>
          <w:rFonts w:ascii="標楷體" w:eastAsia="標楷體" w:hAnsi="標楷體" w:hint="eastAsia"/>
          <w:color w:val="000000"/>
        </w:rPr>
        <w:t>(藥名：______)</w:t>
      </w:r>
    </w:p>
    <w:p w14:paraId="2B33F731" w14:textId="77777777" w:rsidR="00DF208B" w:rsidRDefault="00DF208B" w:rsidP="00DF208B">
      <w:pPr>
        <w:spacing w:line="300" w:lineRule="exact"/>
        <w:ind w:left="1985" w:firstLine="1"/>
      </w:pP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 ___________________</w:t>
      </w:r>
      <w:r>
        <w:rPr>
          <w:rFonts w:ascii="標楷體" w:eastAsia="標楷體" w:hAnsi="標楷體" w:hint="eastAsia"/>
          <w:color w:val="000000"/>
        </w:rPr>
        <w:t>(藥名：______)</w:t>
      </w:r>
    </w:p>
    <w:p w14:paraId="039EEBAB" w14:textId="77777777" w:rsidR="00DF208B" w:rsidRDefault="00DF208B" w:rsidP="00DF208B">
      <w:pPr>
        <w:spacing w:line="300" w:lineRule="exact"/>
        <w:rPr>
          <w:rFonts w:ascii="標楷體" w:eastAsia="標楷體" w:hAnsi="標楷體"/>
        </w:rPr>
      </w:pPr>
      <w:r>
        <w:rPr>
          <w:rFonts w:ascii="標楷體" w:eastAsia="標楷體" w:hAnsi="標楷體" w:hint="eastAsia"/>
        </w:rPr>
        <w:t xml:space="preserve">二、出血時注射(突破性出血)：  </w:t>
      </w:r>
    </w:p>
    <w:p w14:paraId="02C3C2EF" w14:textId="77777777" w:rsidR="00DF208B" w:rsidRDefault="00DF208B" w:rsidP="00DF208B">
      <w:pPr>
        <w:spacing w:line="300" w:lineRule="exact"/>
        <w:rPr>
          <w:rFonts w:ascii="新細明體" w:hAnsi="新細明體"/>
        </w:rPr>
      </w:pPr>
      <w:r>
        <w:rPr>
          <w:rFonts w:ascii="標楷體" w:eastAsia="標楷體" w:hAnsi="標楷體" w:hint="eastAsia"/>
        </w:rPr>
        <w:t xml:space="preserve">    出血部位：□腦部 □腸胃道 □呼吸道 □肌肉 □關節 □其他:</w:t>
      </w:r>
      <w:r>
        <w:rPr>
          <w:rFonts w:ascii="標楷體" w:eastAsia="標楷體" w:hAnsi="標楷體" w:hint="eastAsia"/>
          <w:u w:val="single"/>
        </w:rPr>
        <w:t xml:space="preserve">           </w:t>
      </w:r>
    </w:p>
    <w:p w14:paraId="2B1A0D10" w14:textId="77777777" w:rsidR="00DF208B" w:rsidRDefault="00DF208B" w:rsidP="00DF208B">
      <w:pPr>
        <w:spacing w:line="300" w:lineRule="exact"/>
        <w:rPr>
          <w:rFonts w:ascii="Times New Roman" w:hAnsi="Times New Roman"/>
        </w:rPr>
      </w:pPr>
      <w:r>
        <w:rPr>
          <w:rFonts w:ascii="標楷體" w:eastAsia="標楷體" w:hAnsi="標楷體" w:hint="eastAsia"/>
        </w:rPr>
        <w:t xml:space="preserve">              </w:t>
      </w: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 □第八因子  □第九因子 □其他</w:t>
      </w:r>
    </w:p>
    <w:p w14:paraId="2173E82C" w14:textId="77777777" w:rsidR="00DF208B" w:rsidRDefault="00DF208B" w:rsidP="00DF208B">
      <w:pPr>
        <w:spacing w:line="300" w:lineRule="exact"/>
        <w:ind w:left="1699" w:firstLine="1"/>
      </w:pP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 (activated) PCC(藥名：            )</w:t>
      </w:r>
      <w:r>
        <w:rPr>
          <w:rFonts w:ascii="標楷體" w:eastAsia="標楷體" w:hAnsi="標楷體" w:hint="eastAsia"/>
        </w:rPr>
        <w:br/>
      </w: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 recombinant factor VII(藥名：       )</w:t>
      </w:r>
    </w:p>
    <w:p w14:paraId="769EA3CB" w14:textId="77777777" w:rsidR="00DF208B" w:rsidRDefault="00DF208B" w:rsidP="00DF208B">
      <w:pPr>
        <w:spacing w:line="300" w:lineRule="exact"/>
        <w:ind w:left="1699" w:firstLine="1"/>
      </w:pPr>
      <w:r>
        <w:rPr>
          <w:rFonts w:ascii="標楷體" w:eastAsia="標楷體" w:hAnsi="標楷體" w:hint="eastAsia"/>
          <w:u w:val="single"/>
        </w:rPr>
        <w:t xml:space="preserve">      </w:t>
      </w:r>
      <w:r>
        <w:rPr>
          <w:rFonts w:ascii="標楷體" w:eastAsia="標楷體" w:hAnsi="標楷體" w:hint="eastAsia"/>
        </w:rPr>
        <w:t xml:space="preserve">次數  共 </w:t>
      </w:r>
      <w:r>
        <w:rPr>
          <w:rFonts w:ascii="標楷體" w:eastAsia="標楷體" w:hAnsi="標楷體" w:hint="eastAsia"/>
          <w:u w:val="single"/>
        </w:rPr>
        <w:t xml:space="preserve">      </w:t>
      </w:r>
      <w:r>
        <w:rPr>
          <w:rFonts w:ascii="標楷體" w:eastAsia="標楷體" w:hAnsi="標楷體" w:hint="eastAsia"/>
        </w:rPr>
        <w:t>單位 ___________________(藥名：       )</w:t>
      </w:r>
    </w:p>
    <w:p w14:paraId="3EFE8B59" w14:textId="77777777" w:rsidR="00DF208B" w:rsidRDefault="00DF208B" w:rsidP="00DF208B">
      <w:pPr>
        <w:spacing w:line="300" w:lineRule="exact"/>
        <w:ind w:left="2160" w:hanging="2160"/>
      </w:pPr>
      <w:r>
        <w:rPr>
          <w:rFonts w:ascii="標楷體" w:eastAsia="標楷體" w:hAnsi="標楷體" w:hint="eastAsia"/>
        </w:rPr>
        <w:t>三、手術或侵入性處置: □  無  □ 有  請說明:</w:t>
      </w:r>
      <w:r>
        <w:rPr>
          <w:rFonts w:ascii="標楷體" w:eastAsia="標楷體" w:hAnsi="標楷體" w:hint="eastAsia"/>
          <w:u w:val="single"/>
        </w:rPr>
        <w:t xml:space="preserve">               </w:t>
      </w:r>
    </w:p>
    <w:p w14:paraId="46349EB0" w14:textId="77777777" w:rsidR="00DF208B" w:rsidRDefault="00DF208B" w:rsidP="00DF208B">
      <w:pPr>
        <w:spacing w:line="300" w:lineRule="exact"/>
      </w:pPr>
      <w:r>
        <w:rPr>
          <w:rFonts w:ascii="標楷體" w:eastAsia="標楷體" w:hAnsi="標楷體" w:hint="eastAsia"/>
        </w:rPr>
        <w:t>四、抗體數值：</w:t>
      </w:r>
      <w:r>
        <w:rPr>
          <w:rFonts w:ascii="標楷體" w:eastAsia="標楷體" w:hAnsi="標楷體" w:hint="eastAsia"/>
          <w:u w:val="single"/>
        </w:rPr>
        <w:t xml:space="preserve">       </w:t>
      </w:r>
      <w:r>
        <w:rPr>
          <w:rFonts w:ascii="標楷體" w:eastAsia="標楷體" w:hAnsi="標楷體" w:hint="eastAsia"/>
        </w:rPr>
        <w:t>BU /mL 檢驗日期:________________</w:t>
      </w:r>
    </w:p>
    <w:p w14:paraId="6BB8991B" w14:textId="77777777" w:rsidR="00DF208B" w:rsidRDefault="00DF208B" w:rsidP="00DF208B">
      <w:pPr>
        <w:spacing w:line="300" w:lineRule="exact"/>
        <w:rPr>
          <w:rFonts w:ascii="標楷體" w:eastAsia="標楷體" w:hAnsi="標楷體" w:cs="BiauKai"/>
          <w:color w:val="000000"/>
          <w:sz w:val="22"/>
        </w:rPr>
      </w:pPr>
      <w:r>
        <w:rPr>
          <w:rFonts w:ascii="標楷體" w:eastAsia="標楷體" w:hAnsi="標楷體" w:cs="BiauKai" w:hint="eastAsia"/>
          <w:color w:val="000000"/>
          <w:sz w:val="22"/>
        </w:rPr>
        <w:t xml:space="preserve">   (有抗體之病人請註明三個月內抗體檢測數值；無抗體之病人請註明</w:t>
      </w:r>
      <w:proofErr w:type="gramStart"/>
      <w:r>
        <w:rPr>
          <w:rFonts w:ascii="標楷體" w:eastAsia="標楷體" w:hAnsi="標楷體" w:cs="BiauKai" w:hint="eastAsia"/>
          <w:color w:val="000000"/>
          <w:sz w:val="22"/>
        </w:rPr>
        <w:t>一</w:t>
      </w:r>
      <w:proofErr w:type="gramEnd"/>
      <w:r>
        <w:rPr>
          <w:rFonts w:ascii="標楷體" w:eastAsia="標楷體" w:hAnsi="標楷體" w:cs="BiauKai" w:hint="eastAsia"/>
          <w:color w:val="000000"/>
          <w:sz w:val="22"/>
        </w:rPr>
        <w:t>年內抗體檢測數值)</w:t>
      </w:r>
    </w:p>
    <w:p w14:paraId="23D6927A" w14:textId="77777777" w:rsidR="00DF208B" w:rsidRDefault="00DF208B" w:rsidP="00DF208B">
      <w:pPr>
        <w:spacing w:line="300" w:lineRule="exact"/>
        <w:ind w:rightChars="-435" w:right="-1044"/>
        <w:rPr>
          <w:rFonts w:ascii="標楷體" w:eastAsia="標楷體" w:hAnsi="標楷體" w:cs="新細明體"/>
        </w:rPr>
      </w:pPr>
      <w:r>
        <w:rPr>
          <w:rFonts w:ascii="標楷體" w:eastAsia="標楷體" w:hAnsi="標楷體" w:cs="BiauKai" w:hint="eastAsia"/>
          <w:color w:val="000000"/>
        </w:rPr>
        <w:t>五、每</w:t>
      </w:r>
      <w:r>
        <w:rPr>
          <w:rFonts w:ascii="標楷體" w:eastAsia="標楷體" w:hAnsi="標楷體" w:hint="eastAsia"/>
        </w:rPr>
        <w:t>年至少一次檢測</w:t>
      </w:r>
      <w:proofErr w:type="gramStart"/>
      <w:r>
        <w:rPr>
          <w:rFonts w:ascii="標楷體" w:eastAsia="標楷體" w:hAnsi="標楷體" w:hint="eastAsia"/>
        </w:rPr>
        <w:t>最低凝</w:t>
      </w:r>
      <w:proofErr w:type="gramEnd"/>
      <w:r>
        <w:rPr>
          <w:rFonts w:ascii="標楷體" w:eastAsia="標楷體" w:hAnsi="標楷體" w:hint="eastAsia"/>
        </w:rPr>
        <w:t>血因子濃度(trough level)________ 檢驗日:________</w:t>
      </w:r>
    </w:p>
    <w:p w14:paraId="79BE1AEC" w14:textId="77777777" w:rsidR="00DF208B" w:rsidRDefault="00DF208B" w:rsidP="00DF208B">
      <w:pPr>
        <w:spacing w:line="300" w:lineRule="exact"/>
        <w:ind w:leftChars="177" w:left="425" w:rightChars="-435" w:right="-1044"/>
        <w:rPr>
          <w:rFonts w:ascii="標楷體" w:eastAsia="標楷體" w:hAnsi="標楷體"/>
        </w:rPr>
      </w:pPr>
      <w:r>
        <w:rPr>
          <w:rFonts w:ascii="標楷體" w:eastAsia="標楷體" w:hAnsi="標楷體" w:hint="eastAsia"/>
        </w:rPr>
        <w:t>(初次使用或更換預防性治療藥物時，需於第三</w:t>
      </w:r>
      <w:proofErr w:type="gramStart"/>
      <w:r>
        <w:rPr>
          <w:rFonts w:ascii="標楷體" w:eastAsia="標楷體" w:hAnsi="標楷體" w:hint="eastAsia"/>
        </w:rPr>
        <w:t>個</w:t>
      </w:r>
      <w:proofErr w:type="gramEnd"/>
      <w:r>
        <w:rPr>
          <w:rFonts w:ascii="標楷體" w:eastAsia="標楷體" w:hAnsi="標楷體" w:hint="eastAsia"/>
        </w:rPr>
        <w:t>月檢測</w:t>
      </w:r>
      <w:proofErr w:type="gramStart"/>
      <w:r>
        <w:rPr>
          <w:rFonts w:ascii="標楷體" w:eastAsia="標楷體" w:hAnsi="標楷體" w:hint="eastAsia"/>
        </w:rPr>
        <w:t>最低凝</w:t>
      </w:r>
      <w:proofErr w:type="gramEnd"/>
      <w:r>
        <w:rPr>
          <w:rFonts w:ascii="標楷體" w:eastAsia="標楷體" w:hAnsi="標楷體" w:hint="eastAsia"/>
        </w:rPr>
        <w:t>血因子濃度)；</w:t>
      </w:r>
    </w:p>
    <w:p w14:paraId="0D1BD051" w14:textId="77777777" w:rsidR="00DF208B" w:rsidRDefault="00DF208B" w:rsidP="00DF208B">
      <w:pPr>
        <w:spacing w:line="300" w:lineRule="exact"/>
        <w:ind w:rightChars="-435" w:right="-1044"/>
        <w:rPr>
          <w:rFonts w:ascii="標楷體" w:eastAsia="標楷體" w:hAnsi="標楷體"/>
        </w:rPr>
      </w:pPr>
      <w:r>
        <w:rPr>
          <w:rFonts w:ascii="標楷體" w:eastAsia="標楷體" w:hAnsi="標楷體" w:hint="eastAsia"/>
        </w:rPr>
        <w:t xml:space="preserve">    </w:t>
      </w:r>
      <w:proofErr w:type="spellStart"/>
      <w:r>
        <w:rPr>
          <w:rFonts w:ascii="標楷體" w:eastAsia="標楷體" w:hAnsi="標楷體" w:hint="eastAsia"/>
        </w:rPr>
        <w:t>fitusiran</w:t>
      </w:r>
      <w:proofErr w:type="spellEnd"/>
      <w:r>
        <w:rPr>
          <w:rFonts w:ascii="標楷體" w:eastAsia="標楷體" w:hAnsi="標楷體" w:hint="eastAsia"/>
        </w:rPr>
        <w:t>每兩</w:t>
      </w:r>
      <w:proofErr w:type="gramStart"/>
      <w:r>
        <w:rPr>
          <w:rFonts w:ascii="標楷體" w:eastAsia="標楷體" w:hAnsi="標楷體" w:hint="eastAsia"/>
        </w:rPr>
        <w:t>個</w:t>
      </w:r>
      <w:proofErr w:type="gramEnd"/>
      <w:r>
        <w:rPr>
          <w:rFonts w:ascii="標楷體" w:eastAsia="標楷體" w:hAnsi="標楷體" w:hint="eastAsia"/>
        </w:rPr>
        <w:t>月至少一次檢測抗凝血酵素(anti-thrombin)濃度________ 檢驗日:________</w:t>
      </w:r>
    </w:p>
    <w:p w14:paraId="7F135B36" w14:textId="77777777" w:rsidR="00DF208B" w:rsidRDefault="00DF208B" w:rsidP="00DF208B">
      <w:pPr>
        <w:spacing w:line="300" w:lineRule="exact"/>
        <w:rPr>
          <w:rFonts w:ascii="標楷體" w:eastAsia="標楷體" w:hAnsi="標楷體"/>
          <w:color w:val="000000"/>
        </w:rPr>
      </w:pPr>
      <w:r>
        <w:rPr>
          <w:rFonts w:ascii="標楷體" w:eastAsia="標楷體" w:hAnsi="標楷體" w:hint="eastAsia"/>
          <w:color w:val="000000"/>
        </w:rPr>
        <w:t>六、治療計畫：</w:t>
      </w:r>
    </w:p>
    <w:p w14:paraId="249F11C4" w14:textId="77777777" w:rsidR="00DF208B" w:rsidRDefault="00DF208B" w:rsidP="00DF208B">
      <w:pPr>
        <w:spacing w:line="300" w:lineRule="exact"/>
        <w:rPr>
          <w:rFonts w:ascii="標楷體" w:eastAsia="標楷體" w:hAnsi="標楷體"/>
          <w:color w:val="000000"/>
        </w:rPr>
      </w:pPr>
      <w:r>
        <w:rPr>
          <w:rFonts w:ascii="標楷體" w:eastAsia="標楷體" w:hAnsi="標楷體" w:hint="eastAsia"/>
          <w:color w:val="000000"/>
        </w:rPr>
        <w:t xml:space="preserve">□維持治療 </w:t>
      </w:r>
    </w:p>
    <w:p w14:paraId="05795C75" w14:textId="77777777" w:rsidR="00DF208B" w:rsidRDefault="00DF208B" w:rsidP="00DF208B">
      <w:pPr>
        <w:spacing w:line="300" w:lineRule="exact"/>
        <w:rPr>
          <w:rFonts w:ascii="標楷體" w:eastAsia="標楷體" w:hAnsi="標楷體"/>
          <w:color w:val="000000"/>
        </w:rPr>
      </w:pPr>
      <w:r>
        <w:rPr>
          <w:rFonts w:ascii="標楷體" w:eastAsia="標楷體" w:hAnsi="標楷體" w:hint="eastAsia"/>
          <w:color w:val="000000"/>
        </w:rPr>
        <w:t xml:space="preserve">□調整治療 </w:t>
      </w:r>
    </w:p>
    <w:p w14:paraId="1BDC9639" w14:textId="77777777" w:rsidR="00DF208B" w:rsidRDefault="00DF208B" w:rsidP="00DF208B">
      <w:pPr>
        <w:spacing w:line="300" w:lineRule="exact"/>
        <w:rPr>
          <w:rFonts w:ascii="新細明體" w:hAnsi="新細明體"/>
        </w:rPr>
      </w:pPr>
      <w:r>
        <w:rPr>
          <w:rFonts w:ascii="標楷體" w:eastAsia="標楷體" w:hAnsi="標楷體" w:hint="eastAsia"/>
          <w:color w:val="000000"/>
        </w:rPr>
        <w:t>請說明:</w:t>
      </w:r>
      <w:r>
        <w:rPr>
          <w:rFonts w:ascii="標楷體" w:eastAsia="標楷體" w:hAnsi="標楷體" w:hint="eastAsia"/>
          <w:color w:val="000000"/>
          <w:u w:val="single"/>
        </w:rPr>
        <w:t xml:space="preserve">                                                                                    </w:t>
      </w:r>
      <w:r>
        <w:rPr>
          <w:rFonts w:ascii="標楷體" w:eastAsia="標楷體" w:hAnsi="標楷體" w:hint="eastAsia"/>
          <w:color w:val="000000"/>
        </w:rPr>
        <w:t xml:space="preserve">        </w:t>
      </w:r>
    </w:p>
    <w:p w14:paraId="787BD881" w14:textId="77777777" w:rsidR="00DF208B" w:rsidRDefault="00DF208B" w:rsidP="00DF208B">
      <w:pPr>
        <w:spacing w:line="300" w:lineRule="exact"/>
        <w:rPr>
          <w:rFonts w:ascii="Times New Roman" w:hAnsi="Times New Roman"/>
        </w:rPr>
      </w:pPr>
      <w:r>
        <w:rPr>
          <w:rFonts w:ascii="標楷體" w:eastAsia="標楷體" w:hAnsi="標楷體" w:hint="eastAsia"/>
          <w:color w:val="000000"/>
        </w:rPr>
        <w:t>□進一步檢查(例如:藥物動力學檢測)</w:t>
      </w:r>
    </w:p>
    <w:p w14:paraId="422DB7DC" w14:textId="77777777" w:rsidR="00DF208B" w:rsidRDefault="00DF208B" w:rsidP="00DF208B">
      <w:pPr>
        <w:spacing w:line="300" w:lineRule="exact"/>
      </w:pPr>
      <w:r>
        <w:rPr>
          <w:rFonts w:ascii="標楷體" w:eastAsia="標楷體" w:hAnsi="標楷體" w:hint="eastAsia"/>
          <w:color w:val="000000"/>
        </w:rPr>
        <w:t>請說明:</w:t>
      </w:r>
      <w:r>
        <w:rPr>
          <w:rFonts w:ascii="標楷體" w:eastAsia="標楷體" w:hAnsi="標楷體" w:hint="eastAsia"/>
          <w:color w:val="000000"/>
          <w:u w:val="single"/>
        </w:rPr>
        <w:t xml:space="preserve">                                                                       </w:t>
      </w:r>
    </w:p>
    <w:p w14:paraId="6EF35B72" w14:textId="77777777" w:rsidR="00DF208B" w:rsidRDefault="00DF208B" w:rsidP="00DF208B">
      <w:pPr>
        <w:spacing w:line="300" w:lineRule="exact"/>
        <w:ind w:left="283" w:hanging="283"/>
      </w:pPr>
      <w:r>
        <w:rPr>
          <w:rFonts w:ascii="標楷體" w:eastAsia="標楷體" w:hAnsi="標楷體" w:hint="eastAsia"/>
          <w:color w:val="000000"/>
        </w:rPr>
        <w:t>□療效評估</w:t>
      </w:r>
      <w:r>
        <w:rPr>
          <w:rFonts w:ascii="標楷體" w:eastAsia="標楷體" w:hAnsi="標楷體" w:hint="eastAsia"/>
          <w:bCs/>
          <w:color w:val="000000"/>
        </w:rPr>
        <w:t>(每年評估一次)</w:t>
      </w:r>
    </w:p>
    <w:p w14:paraId="09080D2B"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1.Pettersson score、HJHS、肌肉骨骼超音波：</w:t>
      </w:r>
    </w:p>
    <w:p w14:paraId="14EDDBB4"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 xml:space="preserve">    請說明:______________________________________________________________________</w:t>
      </w:r>
    </w:p>
    <w:p w14:paraId="04123AE5"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 xml:space="preserve">    評估醫師:_______________</w:t>
      </w:r>
    </w:p>
    <w:p w14:paraId="4A6A2700"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 xml:space="preserve">          </w:t>
      </w:r>
    </w:p>
    <w:p w14:paraId="65671399"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lastRenderedPageBreak/>
        <w:t xml:space="preserve">2.HAL、QoL： </w:t>
      </w:r>
    </w:p>
    <w:p w14:paraId="3E67C44D"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 xml:space="preserve">    請說明: _____________________________________________________________________                                                                        </w:t>
      </w:r>
    </w:p>
    <w:p w14:paraId="2DE29125"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3.不良事件反應：</w:t>
      </w:r>
    </w:p>
    <w:p w14:paraId="67E703BE"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 xml:space="preserve">    請說明: _____________________________________________________________________                                                                        </w:t>
      </w:r>
    </w:p>
    <w:p w14:paraId="24877EEB"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4.併發症：</w:t>
      </w:r>
    </w:p>
    <w:p w14:paraId="7D1CD09D" w14:textId="77777777" w:rsidR="00DF208B" w:rsidRDefault="00DF208B" w:rsidP="00DF208B">
      <w:pPr>
        <w:spacing w:line="300" w:lineRule="exact"/>
        <w:ind w:left="283" w:hanging="283"/>
        <w:rPr>
          <w:rFonts w:ascii="標楷體" w:eastAsia="標楷體" w:hAnsi="標楷體"/>
          <w:color w:val="000000"/>
        </w:rPr>
      </w:pPr>
      <w:r>
        <w:rPr>
          <w:rFonts w:ascii="標楷體" w:eastAsia="標楷體" w:hAnsi="標楷體" w:hint="eastAsia"/>
          <w:color w:val="000000"/>
        </w:rPr>
        <w:t xml:space="preserve">    請說明: _____________________________________________________________________   </w:t>
      </w:r>
    </w:p>
    <w:p w14:paraId="3DCE150C" w14:textId="557C0FAB" w:rsidR="008D30B3" w:rsidRPr="008D30B3" w:rsidRDefault="00DF208B" w:rsidP="00DF208B">
      <w:pPr>
        <w:widowControl/>
        <w:suppressAutoHyphens w:val="0"/>
        <w:autoSpaceDN/>
        <w:spacing w:line="300" w:lineRule="exact"/>
        <w:ind w:left="283" w:hanging="283"/>
        <w:textAlignment w:val="auto"/>
        <w:rPr>
          <w:rFonts w:ascii="新細明體" w:hAnsi="新細明體" w:cs="新細明體"/>
          <w:bCs/>
          <w:kern w:val="0"/>
          <w:szCs w:val="24"/>
        </w:rPr>
      </w:pPr>
      <w:r>
        <w:rPr>
          <w:rFonts w:ascii="標楷體" w:eastAsia="標楷體" w:hAnsi="標楷體" w:hint="eastAsia"/>
          <w:color w:val="000000"/>
          <w:kern w:val="0"/>
        </w:rPr>
        <w:t xml:space="preserve">            </w:t>
      </w:r>
      <w:r>
        <w:rPr>
          <w:rFonts w:ascii="標楷體" w:eastAsia="標楷體" w:hAnsi="標楷體" w:hint="eastAsia"/>
          <w:b/>
          <w:color w:val="000000"/>
          <w:kern w:val="0"/>
          <w:u w:val="single"/>
        </w:rPr>
        <w:t xml:space="preserve">                                                                                                                       </w:t>
      </w:r>
      <w:r>
        <w:rPr>
          <w:rFonts w:ascii="標楷體" w:eastAsia="標楷體" w:hAnsi="標楷體" w:hint="eastAsia"/>
          <w:bCs/>
          <w:color w:val="000000"/>
          <w:kern w:val="0"/>
        </w:rPr>
        <w:t>評估醫師:</w:t>
      </w:r>
      <w:r w:rsidR="008D30B3" w:rsidRPr="008D30B3">
        <w:rPr>
          <w:rFonts w:ascii="標楷體" w:eastAsia="標楷體" w:hAnsi="標楷體" w:cs="新細明體" w:hint="eastAsia"/>
          <w:bCs/>
          <w:color w:val="000000"/>
          <w:kern w:val="0"/>
          <w:szCs w:val="24"/>
        </w:rPr>
        <w:t xml:space="preserve">                                    日期: </w:t>
      </w:r>
    </w:p>
    <w:p w14:paraId="260A3D16" w14:textId="77777777" w:rsidR="008D30B3" w:rsidRPr="008D30B3" w:rsidRDefault="008D30B3" w:rsidP="008D30B3">
      <w:pPr>
        <w:widowControl/>
        <w:suppressAutoHyphens w:val="0"/>
        <w:autoSpaceDN/>
        <w:textAlignment w:val="auto"/>
        <w:rPr>
          <w:rFonts w:ascii="新細明體" w:hAnsi="新細明體" w:cs="新細明體"/>
          <w:bCs/>
          <w:kern w:val="0"/>
          <w:szCs w:val="24"/>
        </w:rPr>
        <w:sectPr w:rsidR="008D30B3" w:rsidRPr="008D30B3" w:rsidSect="008D30B3">
          <w:pgSz w:w="11906" w:h="16838"/>
          <w:pgMar w:top="567" w:right="567" w:bottom="567" w:left="567" w:header="851" w:footer="992" w:gutter="0"/>
          <w:cols w:space="720"/>
          <w:docGrid w:type="lines"/>
        </w:sectPr>
      </w:pPr>
    </w:p>
    <w:p w14:paraId="7F0FB6DA" w14:textId="77777777" w:rsidR="00401786" w:rsidRDefault="00C64FB3" w:rsidP="00F37647">
      <w:pPr>
        <w:widowControl/>
        <w:spacing w:line="240" w:lineRule="atLeast"/>
        <w:jc w:val="center"/>
        <w:rPr>
          <w:rFonts w:ascii="標楷體" w:eastAsia="標楷體" w:hAnsi="標楷體"/>
          <w:szCs w:val="24"/>
        </w:rPr>
      </w:pPr>
      <w:r w:rsidRPr="00F37647">
        <w:rPr>
          <w:rFonts w:ascii="標楷體" w:eastAsia="標楷體" w:hAnsi="標楷體"/>
          <w:noProof/>
          <w:sz w:val="28"/>
          <w:szCs w:val="28"/>
        </w:rPr>
        <w:lastRenderedPageBreak/>
        <mc:AlternateContent>
          <mc:Choice Requires="wps">
            <w:drawing>
              <wp:anchor distT="0" distB="0" distL="114300" distR="114300" simplePos="0" relativeHeight="251661312" behindDoc="0" locked="0" layoutInCell="1" allowOverlap="1" wp14:anchorId="5E9826AD" wp14:editId="0E10B2E3">
                <wp:simplePos x="0" y="0"/>
                <wp:positionH relativeFrom="column">
                  <wp:posOffset>-369573</wp:posOffset>
                </wp:positionH>
                <wp:positionV relativeFrom="paragraph">
                  <wp:posOffset>-616589</wp:posOffset>
                </wp:positionV>
                <wp:extent cx="2209803" cy="685800"/>
                <wp:effectExtent l="0" t="0" r="0" b="0"/>
                <wp:wrapNone/>
                <wp:docPr id="22" name="文字方塊 17"/>
                <wp:cNvGraphicFramePr/>
                <a:graphic xmlns:a="http://schemas.openxmlformats.org/drawingml/2006/main">
                  <a:graphicData uri="http://schemas.microsoft.com/office/word/2010/wordprocessingShape">
                    <wps:wsp>
                      <wps:cNvSpPr txBox="1"/>
                      <wps:spPr>
                        <a:xfrm>
                          <a:off x="0" y="0"/>
                          <a:ext cx="2209803" cy="685800"/>
                        </a:xfrm>
                        <a:prstGeom prst="rect">
                          <a:avLst/>
                        </a:prstGeom>
                        <a:noFill/>
                        <a:ln>
                          <a:noFill/>
                          <a:prstDash/>
                        </a:ln>
                      </wps:spPr>
                      <wps:txbx>
                        <w:txbxContent>
                          <w:p w14:paraId="549E4FD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869CA7D"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wps:txbx>
                      <wps:bodyPr vert="horz" wrap="square" lIns="91440" tIns="45720" rIns="91440" bIns="45720" anchor="t" anchorCtr="0" compatLnSpc="0">
                        <a:noAutofit/>
                      </wps:bodyPr>
                    </wps:wsp>
                  </a:graphicData>
                </a:graphic>
              </wp:anchor>
            </w:drawing>
          </mc:Choice>
          <mc:Fallback>
            <w:pict>
              <v:shape w14:anchorId="5E9826AD" id="文字方塊 17" o:spid="_x0000_s1038" type="#_x0000_t202" style="position:absolute;left:0;text-align:left;margin-left:-29.1pt;margin-top:-48.55pt;width:174pt;height:5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" filled="f" stroked="f">
                <v:textbox>
                  <w:txbxContent>
                    <w:p w14:paraId="549E4FD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869CA7D"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v:textbox>
              </v:shape>
            </w:pict>
          </mc:Fallback>
        </mc:AlternateContent>
      </w:r>
      <w:r w:rsidRPr="00F37647">
        <w:rPr>
          <w:rFonts w:ascii="標楷體" w:eastAsia="標楷體" w:hAnsi="標楷體"/>
          <w:sz w:val="28"/>
          <w:szCs w:val="28"/>
        </w:rPr>
        <w:t>附表十八之六  全民健康保險血友病患者使用「雙特異性單株抗體藥物」在家治療紀錄表</w:t>
      </w:r>
    </w:p>
    <w:p w14:paraId="2B28C69F" w14:textId="77777777" w:rsidR="002D29A3" w:rsidRPr="009E653D" w:rsidRDefault="002D29A3" w:rsidP="000E757E">
      <w:pPr>
        <w:widowControl/>
        <w:spacing w:line="240" w:lineRule="atLeast"/>
        <w:rPr>
          <w:szCs w:val="24"/>
        </w:rPr>
      </w:pPr>
    </w:p>
    <w:p w14:paraId="18E6CF78" w14:textId="77777777" w:rsidR="00401786" w:rsidRPr="009E653D" w:rsidRDefault="00C64FB3" w:rsidP="000E757E">
      <w:pPr>
        <w:spacing w:line="240" w:lineRule="atLeast"/>
        <w:rPr>
          <w:szCs w:val="24"/>
        </w:rPr>
      </w:pPr>
      <w:r w:rsidRPr="009E653D">
        <w:rPr>
          <w:rFonts w:ascii="標楷體" w:eastAsia="標楷體" w:hAnsi="標楷體"/>
          <w:szCs w:val="24"/>
        </w:rPr>
        <w:t>姓名：</w:t>
      </w:r>
      <w:r w:rsidRPr="009E653D">
        <w:rPr>
          <w:rFonts w:ascii="標楷體" w:eastAsia="標楷體" w:hAnsi="標楷體"/>
          <w:szCs w:val="24"/>
          <w:u w:val="single"/>
        </w:rPr>
        <w:t xml:space="preserve">　　　　　　　</w:t>
      </w:r>
      <w:r w:rsidRPr="009E653D">
        <w:rPr>
          <w:rFonts w:ascii="標楷體" w:eastAsia="標楷體" w:hAnsi="標楷體"/>
          <w:szCs w:val="24"/>
        </w:rPr>
        <w:t xml:space="preserve">　　　體重：</w:t>
      </w:r>
      <w:r w:rsidRPr="009E653D">
        <w:rPr>
          <w:rFonts w:ascii="標楷體" w:eastAsia="標楷體" w:hAnsi="標楷體"/>
          <w:szCs w:val="24"/>
          <w:u w:val="single"/>
        </w:rPr>
        <w:t xml:space="preserve">　　　　　</w:t>
      </w:r>
      <w:r w:rsidRPr="009E653D">
        <w:rPr>
          <w:rFonts w:ascii="標楷體" w:eastAsia="標楷體" w:hAnsi="標楷體"/>
          <w:szCs w:val="24"/>
        </w:rPr>
        <w:t>公斤        診斷：□A型血友病合併第八因子抗體　□其他</w:t>
      </w:r>
    </w:p>
    <w:p w14:paraId="69B1F540" w14:textId="77777777" w:rsidR="00401786" w:rsidRPr="009E653D" w:rsidRDefault="00C64FB3" w:rsidP="000E757E">
      <w:pPr>
        <w:spacing w:line="240" w:lineRule="atLeast"/>
        <w:ind w:firstLine="280"/>
        <w:rPr>
          <w:rFonts w:ascii="標楷體" w:eastAsia="標楷體" w:hAnsi="標楷體"/>
          <w:szCs w:val="24"/>
        </w:rPr>
      </w:pPr>
      <w:r w:rsidRPr="009E653D">
        <w:rPr>
          <w:rFonts w:ascii="標楷體" w:eastAsia="標楷體" w:hAnsi="標楷體"/>
          <w:szCs w:val="24"/>
        </w:rPr>
        <w:t xml:space="preserve">　　　　　　　　　　　　　　　　　　　　　　　　　        □B型血友病合併第九因子抗體</w:t>
      </w:r>
    </w:p>
    <w:p w14:paraId="6B1A7D1A" w14:textId="77777777" w:rsidR="00401786" w:rsidRPr="009E653D" w:rsidRDefault="00C64FB3" w:rsidP="000E757E">
      <w:pPr>
        <w:spacing w:line="240" w:lineRule="atLeast"/>
        <w:rPr>
          <w:szCs w:val="24"/>
        </w:rPr>
      </w:pPr>
      <w:r w:rsidRPr="009E653D">
        <w:rPr>
          <w:rFonts w:ascii="標楷體" w:eastAsia="標楷體" w:hAnsi="標楷體"/>
          <w:szCs w:val="24"/>
        </w:rPr>
        <w:t>領藥日(年/月/日</w:t>
      </w:r>
      <w:proofErr w:type="gramStart"/>
      <w:r w:rsidRPr="009E653D">
        <w:rPr>
          <w:rFonts w:ascii="標楷體" w:eastAsia="標楷體" w:hAnsi="標楷體"/>
          <w:szCs w:val="24"/>
        </w:rPr>
        <w:t>）</w:t>
      </w:r>
      <w:proofErr w:type="gramEnd"/>
      <w:r w:rsidRPr="009E653D">
        <w:rPr>
          <w:rFonts w:ascii="標楷體" w:eastAsia="標楷體" w:hAnsi="標楷體"/>
          <w:szCs w:val="24"/>
        </w:rPr>
        <w:t>：</w:t>
      </w:r>
      <w:r w:rsidRPr="009E653D">
        <w:rPr>
          <w:rFonts w:ascii="標楷體" w:eastAsia="標楷體" w:hAnsi="標楷體"/>
          <w:szCs w:val="24"/>
          <w:u w:val="single"/>
        </w:rPr>
        <w:t xml:space="preserve">　　／　　／　　</w:t>
      </w:r>
      <w:r w:rsidRPr="009E653D">
        <w:rPr>
          <w:rFonts w:ascii="標楷體" w:eastAsia="標楷體" w:hAnsi="標楷體"/>
          <w:szCs w:val="24"/>
        </w:rPr>
        <w:t xml:space="preserve">      領藥量(瓶)：</w:t>
      </w:r>
      <w:r w:rsidRPr="009E653D">
        <w:rPr>
          <w:rFonts w:ascii="標楷體" w:eastAsia="標楷體" w:hAnsi="標楷體"/>
          <w:szCs w:val="24"/>
          <w:u w:val="single"/>
        </w:rPr>
        <w:t xml:space="preserve">               </w:t>
      </w:r>
      <w:r w:rsidRPr="009E653D">
        <w:rPr>
          <w:rFonts w:ascii="標楷體" w:eastAsia="標楷體" w:hAnsi="標楷體"/>
          <w:szCs w:val="24"/>
        </w:rPr>
        <w:t xml:space="preserve">      藥品名稱及批號：</w:t>
      </w:r>
      <w:r w:rsidRPr="009E653D">
        <w:rPr>
          <w:rFonts w:ascii="標楷體" w:eastAsia="標楷體" w:hAnsi="標楷體"/>
          <w:szCs w:val="24"/>
          <w:u w:val="single"/>
        </w:rPr>
        <w:t xml:space="preserve">　　              </w:t>
      </w:r>
    </w:p>
    <w:p w14:paraId="723E3B04" w14:textId="77777777" w:rsidR="00401786" w:rsidRPr="009E653D" w:rsidRDefault="00C64FB3" w:rsidP="000E757E">
      <w:pPr>
        <w:spacing w:line="240" w:lineRule="atLeast"/>
        <w:rPr>
          <w:szCs w:val="24"/>
        </w:rPr>
      </w:pPr>
      <w:r w:rsidRPr="009E653D">
        <w:rPr>
          <w:rFonts w:ascii="標楷體" w:eastAsia="標楷體" w:hAnsi="標楷體"/>
          <w:szCs w:val="24"/>
        </w:rPr>
        <w:t>繳回空瓶數量及批號：</w:t>
      </w:r>
      <w:r w:rsidRPr="009E653D">
        <w:rPr>
          <w:rFonts w:ascii="標楷體" w:eastAsia="標楷體" w:hAnsi="標楷體"/>
          <w:szCs w:val="24"/>
          <w:u w:val="single"/>
        </w:rPr>
        <w:t xml:space="preserve">                   </w:t>
      </w:r>
      <w:r w:rsidRPr="009E653D">
        <w:rPr>
          <w:rFonts w:ascii="標楷體" w:eastAsia="標楷體" w:hAnsi="標楷體"/>
          <w:szCs w:val="24"/>
        </w:rPr>
        <w:t xml:space="preserve"> 上次家中剩餘藥量(瓶)：</w:t>
      </w:r>
      <w:r w:rsidRPr="009E653D">
        <w:rPr>
          <w:rFonts w:ascii="標楷體" w:eastAsia="標楷體" w:hAnsi="標楷體"/>
          <w:szCs w:val="24"/>
          <w:u w:val="single"/>
        </w:rPr>
        <w:t xml:space="preserve">         </w:t>
      </w:r>
      <w:r w:rsidRPr="009E653D">
        <w:rPr>
          <w:rFonts w:ascii="標楷體" w:eastAsia="標楷體" w:hAnsi="標楷體"/>
          <w:szCs w:val="24"/>
        </w:rPr>
        <w:t xml:space="preserve">  確認人員簽名(章)：</w:t>
      </w:r>
      <w:r w:rsidRPr="009E653D">
        <w:rPr>
          <w:rFonts w:ascii="標楷體" w:eastAsia="標楷體" w:hAnsi="標楷體"/>
          <w:szCs w:val="24"/>
          <w:u w:val="single"/>
        </w:rPr>
        <w:t xml:space="preserve">                  </w:t>
      </w:r>
    </w:p>
    <w:tbl>
      <w:tblPr>
        <w:tblW w:w="15027" w:type="dxa"/>
        <w:jc w:val="center"/>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827"/>
        <w:gridCol w:w="1134"/>
      </w:tblGrid>
      <w:tr w:rsidR="00401786" w:rsidRPr="009E653D" w14:paraId="5B0DB745" w14:textId="77777777">
        <w:trPr>
          <w:cantSplit/>
          <w:trHeight w:val="727"/>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6AE9EF"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9D5BC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D7A97A" w14:textId="77777777" w:rsidR="00401786" w:rsidRPr="009E653D" w:rsidRDefault="00C64FB3" w:rsidP="000E757E">
            <w:pPr>
              <w:spacing w:line="240" w:lineRule="atLeast"/>
              <w:ind w:left="113" w:right="113"/>
              <w:jc w:val="center"/>
              <w:rPr>
                <w:szCs w:val="24"/>
              </w:rPr>
            </w:pPr>
            <w:proofErr w:type="gramStart"/>
            <w:r w:rsidRPr="009E653D">
              <w:rPr>
                <w:rFonts w:ascii="標楷體" w:eastAsia="標楷體" w:hAnsi="標楷體"/>
                <w:szCs w:val="24"/>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8D9DA3"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E55AC4"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D80843"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出血部位</w:t>
            </w:r>
          </w:p>
          <w:p w14:paraId="4DC1E44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6068D1"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注射後效果</w:t>
            </w:r>
          </w:p>
        </w:tc>
        <w:tc>
          <w:tcPr>
            <w:tcW w:w="18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A1E3A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773A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注射者簽名(章)</w:t>
            </w:r>
          </w:p>
        </w:tc>
      </w:tr>
      <w:tr w:rsidR="00401786" w:rsidRPr="009E653D" w14:paraId="0FA43634" w14:textId="77777777">
        <w:trPr>
          <w:cantSplit/>
          <w:trHeight w:val="424"/>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3CC2D6"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0B4D62"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A46092"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19B52D"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時間</w:t>
            </w:r>
          </w:p>
          <w:p w14:paraId="10486E05"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B1742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C2012A"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B391E9"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F14F77" w14:textId="77777777" w:rsidR="00401786" w:rsidRPr="009E653D" w:rsidRDefault="00401786" w:rsidP="000E757E">
            <w:pPr>
              <w:spacing w:line="240" w:lineRule="atLeast"/>
              <w:jc w:val="center"/>
              <w:rPr>
                <w:rFonts w:ascii="標楷體" w:eastAsia="標楷體" w:hAnsi="標楷體"/>
                <w:szCs w:val="24"/>
              </w:rPr>
            </w:pPr>
          </w:p>
          <w:p w14:paraId="7F826E6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受傷後出血</w:t>
            </w:r>
          </w:p>
          <w:p w14:paraId="49D368DF"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6B170A"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5FC74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6CD72B"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876783"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9ACCBB"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未改善</w:t>
            </w:r>
          </w:p>
        </w:tc>
        <w:tc>
          <w:tcPr>
            <w:tcW w:w="18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ACE7FF" w14:textId="77777777" w:rsidR="00401786" w:rsidRPr="009E653D" w:rsidRDefault="00401786" w:rsidP="000E757E">
            <w:pPr>
              <w:spacing w:line="240" w:lineRule="atLeast"/>
              <w:rPr>
                <w:rFonts w:ascii="標楷體" w:eastAsia="標楷體" w:hAnsi="標楷體"/>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4CCEBF" w14:textId="77777777" w:rsidR="00401786" w:rsidRPr="009E653D" w:rsidRDefault="00401786" w:rsidP="000E757E">
            <w:pPr>
              <w:spacing w:line="240" w:lineRule="atLeast"/>
              <w:rPr>
                <w:rFonts w:ascii="標楷體" w:eastAsia="標楷體" w:hAnsi="標楷體"/>
                <w:szCs w:val="24"/>
              </w:rPr>
            </w:pPr>
          </w:p>
        </w:tc>
      </w:tr>
      <w:tr w:rsidR="00401786" w:rsidRPr="009E653D" w14:paraId="55608258" w14:textId="77777777">
        <w:trPr>
          <w:trHeight w:val="458"/>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C020F0"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BC6BEE"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57402"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C055CE"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A89AF3"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4D315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69F6D9"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2FB79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A26CF3"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3A8B5A"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00FD2C"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FD560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DA2A9A"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A12A89"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E9CCBE" w14:textId="77777777" w:rsidR="00401786" w:rsidRPr="009E653D" w:rsidRDefault="00401786" w:rsidP="000E757E">
            <w:pPr>
              <w:spacing w:line="240" w:lineRule="atLeast"/>
              <w:rPr>
                <w:rFonts w:ascii="標楷體" w:eastAsia="標楷體" w:hAnsi="標楷體"/>
                <w:szCs w:val="24"/>
              </w:rPr>
            </w:pPr>
          </w:p>
        </w:tc>
      </w:tr>
      <w:tr w:rsidR="00401786" w:rsidRPr="009E653D" w14:paraId="2434D3E3" w14:textId="77777777">
        <w:trPr>
          <w:trHeight w:val="536"/>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754454"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CB4CF8"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5482B5"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2757EE"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65412B"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81E43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1BEFE9"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CF9BC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971A59"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DA9D00"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C5EC95"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11D2F7"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D72879"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385C29"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345F31" w14:textId="77777777" w:rsidR="00401786" w:rsidRPr="009E653D" w:rsidRDefault="00401786" w:rsidP="000E757E">
            <w:pPr>
              <w:spacing w:line="240" w:lineRule="atLeast"/>
              <w:rPr>
                <w:rFonts w:ascii="標楷體" w:eastAsia="標楷體" w:hAnsi="標楷體"/>
                <w:szCs w:val="24"/>
              </w:rPr>
            </w:pPr>
          </w:p>
        </w:tc>
      </w:tr>
      <w:tr w:rsidR="00401786" w:rsidRPr="009E653D" w14:paraId="7452166C" w14:textId="77777777">
        <w:trPr>
          <w:trHeight w:val="572"/>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B17353"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A1F20C"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CF875C"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889575"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DA9CD1"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BEECC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8D27BC"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3A5B05"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C2B53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AFF10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BF5E4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0D2D6"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F53E0C"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5A382F"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2A5D83" w14:textId="77777777" w:rsidR="00401786" w:rsidRPr="009E653D" w:rsidRDefault="00401786" w:rsidP="000E757E">
            <w:pPr>
              <w:spacing w:line="240" w:lineRule="atLeast"/>
              <w:rPr>
                <w:rFonts w:ascii="標楷體" w:eastAsia="標楷體" w:hAnsi="標楷體"/>
                <w:szCs w:val="24"/>
              </w:rPr>
            </w:pPr>
          </w:p>
        </w:tc>
      </w:tr>
      <w:tr w:rsidR="00401786" w:rsidRPr="009E653D" w14:paraId="5208A8BB" w14:textId="77777777">
        <w:trPr>
          <w:trHeight w:val="514"/>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33110B"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2192C3"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080C6C"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D14CF3"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1C538"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77BEFF"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E72BAE"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83936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BA53B8"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2AA55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16D3B9"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5527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F9C5DE"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28D4A6"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72E004" w14:textId="77777777" w:rsidR="00401786" w:rsidRPr="009E653D" w:rsidRDefault="00401786" w:rsidP="000E757E">
            <w:pPr>
              <w:spacing w:line="240" w:lineRule="atLeast"/>
              <w:rPr>
                <w:rFonts w:ascii="標楷體" w:eastAsia="標楷體" w:hAnsi="標楷體"/>
                <w:szCs w:val="24"/>
              </w:rPr>
            </w:pPr>
          </w:p>
        </w:tc>
      </w:tr>
      <w:tr w:rsidR="00401786" w:rsidRPr="009E653D" w14:paraId="694E03C2" w14:textId="77777777">
        <w:trPr>
          <w:trHeight w:val="564"/>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3DFF61"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7AEB54"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A2CD1C"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A36B9C"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64219A"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69FA5F"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B6D7CB"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8152F2"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5803B4"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2D88D"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8A49A0"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376601"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50F6FA"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1F9AA8"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7CDD98" w14:textId="77777777" w:rsidR="00401786" w:rsidRPr="009E653D" w:rsidRDefault="00401786" w:rsidP="000E757E">
            <w:pPr>
              <w:spacing w:line="240" w:lineRule="atLeast"/>
              <w:rPr>
                <w:rFonts w:ascii="標楷體" w:eastAsia="標楷體" w:hAnsi="標楷體"/>
                <w:szCs w:val="24"/>
              </w:rPr>
            </w:pPr>
          </w:p>
        </w:tc>
      </w:tr>
    </w:tbl>
    <w:p w14:paraId="70F306E9" w14:textId="77777777" w:rsidR="00401786" w:rsidRPr="009E653D" w:rsidRDefault="00C64FB3" w:rsidP="000E757E">
      <w:pPr>
        <w:spacing w:line="240" w:lineRule="atLeast"/>
        <w:ind w:left="1" w:hanging="284"/>
        <w:rPr>
          <w:rFonts w:ascii="標楷體" w:eastAsia="標楷體" w:hAnsi="標楷體"/>
          <w:szCs w:val="24"/>
        </w:rPr>
      </w:pPr>
      <w:r w:rsidRPr="009E653D">
        <w:rPr>
          <w:rFonts w:ascii="標楷體" w:eastAsia="標楷體" w:hAnsi="標楷體"/>
          <w:szCs w:val="24"/>
        </w:rPr>
        <w:t>備註：</w:t>
      </w:r>
    </w:p>
    <w:p w14:paraId="365D05E4" w14:textId="77777777" w:rsidR="00401786" w:rsidRPr="009E653D" w:rsidRDefault="00C64FB3" w:rsidP="000E757E">
      <w:pPr>
        <w:spacing w:line="240" w:lineRule="atLeast"/>
        <w:ind w:hanging="425"/>
        <w:rPr>
          <w:rFonts w:ascii="標楷體" w:eastAsia="標楷體" w:hAnsi="標楷體"/>
          <w:szCs w:val="24"/>
        </w:rPr>
      </w:pPr>
      <w:r w:rsidRPr="009E653D">
        <w:rPr>
          <w:rFonts w:ascii="標楷體" w:eastAsia="標楷體" w:hAnsi="標楷體"/>
          <w:szCs w:val="24"/>
        </w:rPr>
        <w:t xml:space="preserve"> 1.病人於下次</w:t>
      </w:r>
      <w:proofErr w:type="gramStart"/>
      <w:r w:rsidRPr="009E653D">
        <w:rPr>
          <w:rFonts w:ascii="標楷體" w:eastAsia="標楷體" w:hAnsi="標楷體"/>
          <w:szCs w:val="24"/>
        </w:rPr>
        <w:t>回診需攜帶</w:t>
      </w:r>
      <w:proofErr w:type="gramEnd"/>
      <w:r w:rsidRPr="009E653D">
        <w:rPr>
          <w:rFonts w:ascii="標楷體" w:eastAsia="標楷體" w:hAnsi="標楷體"/>
          <w:szCs w:val="24"/>
        </w:rPr>
        <w:t>此紀錄表，並請黏貼於病歷，同時繳回已注射後之空瓶備查。紀錄表未黏貼於回</w:t>
      </w:r>
      <w:proofErr w:type="gramStart"/>
      <w:r w:rsidRPr="009E653D">
        <w:rPr>
          <w:rFonts w:ascii="標楷體" w:eastAsia="標楷體" w:hAnsi="標楷體"/>
          <w:szCs w:val="24"/>
        </w:rPr>
        <w:t>診病歷及未</w:t>
      </w:r>
      <w:proofErr w:type="gramEnd"/>
      <w:r w:rsidRPr="009E653D">
        <w:rPr>
          <w:rFonts w:ascii="標楷體" w:eastAsia="標楷體" w:hAnsi="標楷體"/>
          <w:szCs w:val="24"/>
        </w:rPr>
        <w:t>繳回空瓶，則該項費用不予支付。</w:t>
      </w:r>
    </w:p>
    <w:p w14:paraId="29B7CF60" w14:textId="77777777" w:rsidR="00401786" w:rsidRPr="009E653D" w:rsidRDefault="00C64FB3" w:rsidP="000E757E">
      <w:pPr>
        <w:spacing w:line="240" w:lineRule="atLeast"/>
        <w:ind w:left="-143" w:hanging="282"/>
        <w:rPr>
          <w:rFonts w:ascii="標楷體" w:eastAsia="標楷體" w:hAnsi="標楷體"/>
          <w:szCs w:val="24"/>
        </w:rPr>
      </w:pPr>
      <w:r w:rsidRPr="009E653D">
        <w:rPr>
          <w:rFonts w:ascii="標楷體" w:eastAsia="標楷體" w:hAnsi="標楷體"/>
          <w:szCs w:val="24"/>
        </w:rPr>
        <w:t xml:space="preserve"> 2.領藥量請詳記藥品規格量</w:t>
      </w:r>
      <w:proofErr w:type="gramStart"/>
      <w:r w:rsidRPr="009E653D">
        <w:rPr>
          <w:rFonts w:ascii="標楷體" w:eastAsia="標楷體" w:hAnsi="標楷體"/>
          <w:szCs w:val="24"/>
        </w:rPr>
        <w:t>及瓶數</w:t>
      </w:r>
      <w:proofErr w:type="gramEnd"/>
      <w:r w:rsidRPr="009E653D">
        <w:rPr>
          <w:rFonts w:ascii="標楷體" w:eastAsia="標楷體" w:hAnsi="標楷體"/>
          <w:szCs w:val="24"/>
        </w:rPr>
        <w:t>，例如：500IU×2瓶，使用空瓶於繳回時，請由醫療院所相關人員進行確認(包含回收空瓶日期及總結存量等)，並請確認人員簽名(章)。</w:t>
      </w:r>
    </w:p>
    <w:p w14:paraId="0B9B5DA9" w14:textId="77777777" w:rsidR="00401786" w:rsidRPr="009E653D" w:rsidRDefault="00C64FB3" w:rsidP="000E757E">
      <w:pPr>
        <w:spacing w:line="240" w:lineRule="atLeast"/>
        <w:ind w:hanging="425"/>
        <w:rPr>
          <w:rFonts w:ascii="標楷體" w:eastAsia="標楷體" w:hAnsi="標楷體"/>
          <w:szCs w:val="24"/>
        </w:rPr>
      </w:pPr>
      <w:r w:rsidRPr="009E653D">
        <w:rPr>
          <w:rFonts w:ascii="標楷體" w:eastAsia="標楷體" w:hAnsi="標楷體"/>
          <w:szCs w:val="24"/>
        </w:rPr>
        <w:t xml:space="preserve"> 3.出血部位說明請見背面圖示。</w:t>
      </w:r>
    </w:p>
    <w:p w14:paraId="6264D051" w14:textId="77777777" w:rsidR="00401786" w:rsidRDefault="00C64FB3" w:rsidP="000E757E">
      <w:pPr>
        <w:spacing w:line="240" w:lineRule="atLeast"/>
        <w:sectPr w:rsidR="00401786">
          <w:footerReference w:type="default" r:id="rId30"/>
          <w:pgSz w:w="16838" w:h="11906" w:orient="landscape"/>
          <w:pgMar w:top="567" w:right="567" w:bottom="567" w:left="567" w:header="720" w:footer="720" w:gutter="0"/>
          <w:cols w:space="720"/>
          <w:docGrid w:type="lines" w:linePitch="317"/>
        </w:sectPr>
      </w:pPr>
      <w:r w:rsidRPr="009E653D">
        <w:rPr>
          <w:rFonts w:ascii="標楷體" w:eastAsia="標楷體" w:hAnsi="標楷體"/>
          <w:szCs w:val="24"/>
        </w:rPr>
        <w:t xml:space="preserve">                                   回收空瓶日期：</w:t>
      </w:r>
      <w:r w:rsidRPr="009E653D">
        <w:rPr>
          <w:rFonts w:ascii="標楷體" w:eastAsia="標楷體" w:hAnsi="標楷體"/>
          <w:szCs w:val="24"/>
          <w:u w:val="single"/>
        </w:rPr>
        <w:t xml:space="preserve">                </w:t>
      </w:r>
      <w:r w:rsidRPr="009E653D">
        <w:rPr>
          <w:rFonts w:ascii="標楷體" w:eastAsia="標楷體" w:hAnsi="標楷體"/>
          <w:szCs w:val="24"/>
        </w:rPr>
        <w:t xml:space="preserve">       總結存量(瓶)：</w:t>
      </w:r>
      <w:r w:rsidRPr="009E653D">
        <w:rPr>
          <w:rFonts w:ascii="標楷體" w:eastAsia="標楷體" w:hAnsi="標楷體"/>
          <w:szCs w:val="24"/>
          <w:u w:val="single"/>
        </w:rPr>
        <w:t xml:space="preserve">     </w:t>
      </w:r>
      <w:r>
        <w:rPr>
          <w:rFonts w:ascii="標楷體" w:eastAsia="標楷體" w:hAnsi="標楷體"/>
          <w:sz w:val="28"/>
          <w:u w:val="single"/>
        </w:rPr>
        <w:t xml:space="preserve">     </w:t>
      </w:r>
    </w:p>
    <w:p w14:paraId="5098AEE8" w14:textId="77777777" w:rsidR="00401786" w:rsidRDefault="00000000" w:rsidP="000E757E">
      <w:pPr>
        <w:widowControl/>
        <w:suppressAutoHyphens w:val="0"/>
        <w:snapToGrid w:val="0"/>
        <w:spacing w:line="240" w:lineRule="atLeast"/>
        <w:jc w:val="both"/>
      </w:pPr>
      <w:r>
        <w:rPr>
          <w:rFonts w:ascii="標楷體" w:eastAsia="標楷體" w:hAnsi="標楷體"/>
          <w:color w:val="000000"/>
        </w:rPr>
        <w:lastRenderedPageBreak/>
        <w:object w:dxaOrig="1440" w:dyaOrig="1440" w14:anchorId="31AB617E">
          <v:shape id="Object 20" o:spid="_x0000_s2054" type="#_x0000_t75" style="position:absolute;left:0;text-align:left;margin-left:-4.1pt;margin-top:-4.35pt;width:564.2pt;height:698.7pt;z-index:251671552;visibility:visible;mso-wrap-style:square;mso-position-horizontal-relative:margin;mso-position-vertical-relative:margin">
            <v:imagedata r:id="rId25" o:title=""/>
            <w10:wrap type="square" anchorx="margin" anchory="margin"/>
          </v:shape>
          <o:OLEObject Type="Embed" ProgID="Word.Picture.8" ShapeID="Object 20" DrawAspect="Content" ObjectID="_1854627331" r:id="rId31"/>
        </w:object>
      </w:r>
      <w:r w:rsidR="00C64FB3">
        <w:rPr>
          <w:rFonts w:ascii="標楷體" w:eastAsia="標楷體" w:hAnsi="標楷體"/>
          <w:noProof/>
          <w:color w:val="000000"/>
        </w:rPr>
        <mc:AlternateContent>
          <mc:Choice Requires="wps">
            <w:drawing>
              <wp:anchor distT="0" distB="0" distL="114300" distR="114300" simplePos="0" relativeHeight="251651072" behindDoc="0" locked="0" layoutInCell="1" allowOverlap="1" wp14:anchorId="16C7ED00" wp14:editId="0EDBE4C1">
                <wp:simplePos x="0" y="0"/>
                <wp:positionH relativeFrom="column">
                  <wp:posOffset>467999</wp:posOffset>
                </wp:positionH>
                <wp:positionV relativeFrom="paragraph">
                  <wp:posOffset>1634490</wp:posOffset>
                </wp:positionV>
                <wp:extent cx="1752603" cy="1943100"/>
                <wp:effectExtent l="0" t="0" r="0" b="0"/>
                <wp:wrapSquare wrapText="bothSides"/>
                <wp:docPr id="23" name="Text Box 21"/>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0EAC9773" w14:textId="77777777" w:rsidR="00C6448D" w:rsidRDefault="00C6448D">
                            <w:pPr>
                              <w:rPr>
                                <w:rFonts w:ascii="標楷體" w:eastAsia="標楷體" w:hAnsi="標楷體"/>
                              </w:rPr>
                            </w:pPr>
                            <w:r>
                              <w:rPr>
                                <w:rFonts w:ascii="標楷體" w:eastAsia="標楷體" w:hAnsi="標楷體"/>
                              </w:rPr>
                              <w:t xml:space="preserve">9  肌肉出血 </w:t>
                            </w:r>
                          </w:p>
                          <w:p w14:paraId="0E3AC204" w14:textId="77777777" w:rsidR="00C6448D" w:rsidRDefault="00C6448D">
                            <w:pPr>
                              <w:rPr>
                                <w:rFonts w:ascii="標楷體" w:eastAsia="標楷體" w:hAnsi="標楷體"/>
                              </w:rPr>
                            </w:pPr>
                            <w:r>
                              <w:rPr>
                                <w:rFonts w:ascii="標楷體" w:eastAsia="標楷體" w:hAnsi="標楷體"/>
                              </w:rPr>
                              <w:t>10 皮下出血</w:t>
                            </w:r>
                          </w:p>
                          <w:p w14:paraId="7F31BF82" w14:textId="77777777" w:rsidR="00C6448D" w:rsidRDefault="00C6448D">
                            <w:pPr>
                              <w:rPr>
                                <w:rFonts w:ascii="標楷體" w:eastAsia="標楷體" w:hAnsi="標楷體"/>
                              </w:rPr>
                            </w:pPr>
                            <w:r>
                              <w:rPr>
                                <w:rFonts w:ascii="標楷體" w:eastAsia="標楷體" w:hAnsi="標楷體"/>
                              </w:rPr>
                              <w:t>11 腸胃道出血</w:t>
                            </w:r>
                          </w:p>
                          <w:p w14:paraId="328CD6F0" w14:textId="77777777" w:rsidR="00C6448D" w:rsidRDefault="00C6448D">
                            <w:pPr>
                              <w:rPr>
                                <w:rFonts w:ascii="標楷體" w:eastAsia="標楷體" w:hAnsi="標楷體"/>
                              </w:rPr>
                            </w:pPr>
                            <w:r>
                              <w:rPr>
                                <w:rFonts w:ascii="標楷體" w:eastAsia="標楷體" w:hAnsi="標楷體"/>
                              </w:rPr>
                              <w:t>12 血尿</w:t>
                            </w:r>
                          </w:p>
                          <w:p w14:paraId="601E80A3" w14:textId="77777777" w:rsidR="00C6448D" w:rsidRDefault="00C6448D">
                            <w:pPr>
                              <w:rPr>
                                <w:rFonts w:ascii="標楷體" w:eastAsia="標楷體" w:hAnsi="標楷體"/>
                              </w:rPr>
                            </w:pPr>
                            <w:r>
                              <w:rPr>
                                <w:rFonts w:ascii="標楷體" w:eastAsia="標楷體" w:hAnsi="標楷體"/>
                              </w:rPr>
                              <w:t>13 鼻腔出血</w:t>
                            </w:r>
                          </w:p>
                          <w:p w14:paraId="0D39EA0C" w14:textId="77777777" w:rsidR="00C6448D" w:rsidRDefault="00C6448D">
                            <w:pPr>
                              <w:rPr>
                                <w:rFonts w:ascii="標楷體" w:eastAsia="標楷體" w:hAnsi="標楷體"/>
                              </w:rPr>
                            </w:pPr>
                            <w:r>
                              <w:rPr>
                                <w:rFonts w:ascii="標楷體" w:eastAsia="標楷體" w:hAnsi="標楷體"/>
                              </w:rPr>
                              <w:t>14 牙齦出血</w:t>
                            </w:r>
                          </w:p>
                          <w:p w14:paraId="01D4995E" w14:textId="77777777" w:rsidR="00C6448D" w:rsidRDefault="00C6448D">
                            <w:pPr>
                              <w:rPr>
                                <w:rFonts w:ascii="標楷體" w:eastAsia="標楷體" w:hAnsi="標楷體"/>
                              </w:rPr>
                            </w:pPr>
                            <w:r>
                              <w:rPr>
                                <w:rFonts w:ascii="標楷體" w:eastAsia="標楷體" w:hAnsi="標楷體"/>
                              </w:rPr>
                              <w:t>15 口腔內出血</w:t>
                            </w:r>
                          </w:p>
                          <w:p w14:paraId="540C57CE" w14:textId="77777777" w:rsidR="00C6448D" w:rsidRDefault="00C6448D">
                            <w:pPr>
                              <w:rPr>
                                <w:rFonts w:ascii="標楷體" w:eastAsia="標楷體" w:hAnsi="標楷體"/>
                              </w:rPr>
                            </w:pPr>
                            <w:r>
                              <w:rPr>
                                <w:rFonts w:ascii="標楷體" w:eastAsia="標楷體" w:hAnsi="標楷體"/>
                              </w:rPr>
                              <w:t>16 腦部出血</w:t>
                            </w:r>
                          </w:p>
                          <w:p w14:paraId="78915D91"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16C7ED00" id="Text Box 21" o:spid="_x0000_s1039" type="#_x0000_t202" style="position:absolute;left:0;text-align:left;margin-left:36.85pt;margin-top:128.7pt;width:138pt;height:153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" filled="f" stroked="f">
                <v:textbox>
                  <w:txbxContent>
                    <w:p w14:paraId="0EAC9773" w14:textId="77777777" w:rsidR="00C6448D" w:rsidRDefault="00C6448D">
                      <w:pPr>
                        <w:rPr>
                          <w:rFonts w:ascii="標楷體" w:eastAsia="標楷體" w:hAnsi="標楷體"/>
                        </w:rPr>
                      </w:pPr>
                      <w:r>
                        <w:rPr>
                          <w:rFonts w:ascii="標楷體" w:eastAsia="標楷體" w:hAnsi="標楷體"/>
                        </w:rPr>
                        <w:t xml:space="preserve">9  肌肉出血 </w:t>
                      </w:r>
                    </w:p>
                    <w:p w14:paraId="0E3AC204" w14:textId="77777777" w:rsidR="00C6448D" w:rsidRDefault="00C6448D">
                      <w:pPr>
                        <w:rPr>
                          <w:rFonts w:ascii="標楷體" w:eastAsia="標楷體" w:hAnsi="標楷體"/>
                        </w:rPr>
                      </w:pPr>
                      <w:r>
                        <w:rPr>
                          <w:rFonts w:ascii="標楷體" w:eastAsia="標楷體" w:hAnsi="標楷體"/>
                        </w:rPr>
                        <w:t>10 皮下出血</w:t>
                      </w:r>
                    </w:p>
                    <w:p w14:paraId="7F31BF82" w14:textId="77777777" w:rsidR="00C6448D" w:rsidRDefault="00C6448D">
                      <w:pPr>
                        <w:rPr>
                          <w:rFonts w:ascii="標楷體" w:eastAsia="標楷體" w:hAnsi="標楷體"/>
                        </w:rPr>
                      </w:pPr>
                      <w:r>
                        <w:rPr>
                          <w:rFonts w:ascii="標楷體" w:eastAsia="標楷體" w:hAnsi="標楷體"/>
                        </w:rPr>
                        <w:t>11 腸胃道出血</w:t>
                      </w:r>
                    </w:p>
                    <w:p w14:paraId="328CD6F0" w14:textId="77777777" w:rsidR="00C6448D" w:rsidRDefault="00C6448D">
                      <w:pPr>
                        <w:rPr>
                          <w:rFonts w:ascii="標楷體" w:eastAsia="標楷體" w:hAnsi="標楷體"/>
                        </w:rPr>
                      </w:pPr>
                      <w:r>
                        <w:rPr>
                          <w:rFonts w:ascii="標楷體" w:eastAsia="標楷體" w:hAnsi="標楷體"/>
                        </w:rPr>
                        <w:t>12 血尿</w:t>
                      </w:r>
                    </w:p>
                    <w:p w14:paraId="601E80A3" w14:textId="77777777" w:rsidR="00C6448D" w:rsidRDefault="00C6448D">
                      <w:pPr>
                        <w:rPr>
                          <w:rFonts w:ascii="標楷體" w:eastAsia="標楷體" w:hAnsi="標楷體"/>
                        </w:rPr>
                      </w:pPr>
                      <w:r>
                        <w:rPr>
                          <w:rFonts w:ascii="標楷體" w:eastAsia="標楷體" w:hAnsi="標楷體"/>
                        </w:rPr>
                        <w:t>13 鼻腔出血</w:t>
                      </w:r>
                    </w:p>
                    <w:p w14:paraId="0D39EA0C" w14:textId="77777777" w:rsidR="00C6448D" w:rsidRDefault="00C6448D">
                      <w:pPr>
                        <w:rPr>
                          <w:rFonts w:ascii="標楷體" w:eastAsia="標楷體" w:hAnsi="標楷體"/>
                        </w:rPr>
                      </w:pPr>
                      <w:r>
                        <w:rPr>
                          <w:rFonts w:ascii="標楷體" w:eastAsia="標楷體" w:hAnsi="標楷體"/>
                        </w:rPr>
                        <w:t>14 牙齦出血</w:t>
                      </w:r>
                    </w:p>
                    <w:p w14:paraId="01D4995E" w14:textId="77777777" w:rsidR="00C6448D" w:rsidRDefault="00C6448D">
                      <w:pPr>
                        <w:rPr>
                          <w:rFonts w:ascii="標楷體" w:eastAsia="標楷體" w:hAnsi="標楷體"/>
                        </w:rPr>
                      </w:pPr>
                      <w:r>
                        <w:rPr>
                          <w:rFonts w:ascii="標楷體" w:eastAsia="標楷體" w:hAnsi="標楷體"/>
                        </w:rPr>
                        <w:t>15 口腔內出血</w:t>
                      </w:r>
                    </w:p>
                    <w:p w14:paraId="540C57CE" w14:textId="77777777" w:rsidR="00C6448D" w:rsidRDefault="00C6448D">
                      <w:pPr>
                        <w:rPr>
                          <w:rFonts w:ascii="標楷體" w:eastAsia="標楷體" w:hAnsi="標楷體"/>
                        </w:rPr>
                      </w:pPr>
                      <w:r>
                        <w:rPr>
                          <w:rFonts w:ascii="標楷體" w:eastAsia="標楷體" w:hAnsi="標楷體"/>
                        </w:rPr>
                        <w:t>16 腦部出血</w:t>
                      </w:r>
                    </w:p>
                    <w:p w14:paraId="78915D91" w14:textId="77777777" w:rsidR="00C6448D" w:rsidRDefault="00C6448D">
                      <w:pPr>
                        <w:rPr>
                          <w:rFonts w:ascii="標楷體" w:eastAsia="標楷體" w:hAnsi="標楷體"/>
                        </w:rPr>
                      </w:pPr>
                    </w:p>
                  </w:txbxContent>
                </v:textbox>
                <w10:wrap type="square"/>
              </v:shape>
            </w:pict>
          </mc:Fallback>
        </mc:AlternateContent>
      </w:r>
    </w:p>
    <w:p w14:paraId="1E080995" w14:textId="29F52B88" w:rsidR="00655120" w:rsidRDefault="00655120">
      <w:pPr>
        <w:widowControl/>
        <w:suppressAutoHyphens w:val="0"/>
        <w:rPr>
          <w:rFonts w:ascii="標楷體" w:eastAsia="標楷體" w:hAnsi="標楷體"/>
          <w:color w:val="000000"/>
        </w:rPr>
        <w:sectPr w:rsidR="00655120">
          <w:footerReference w:type="default" r:id="rId32"/>
          <w:pgSz w:w="11906" w:h="16838"/>
          <w:pgMar w:top="567" w:right="567" w:bottom="567" w:left="567" w:header="720" w:footer="720" w:gutter="0"/>
          <w:cols w:space="720"/>
          <w:docGrid w:type="lines"/>
        </w:sectPr>
      </w:pPr>
    </w:p>
    <w:p w14:paraId="68289EEE" w14:textId="77777777" w:rsidR="00655120" w:rsidRDefault="00655120">
      <w:pPr>
        <w:widowControl/>
        <w:suppressAutoHyphens w:val="0"/>
        <w:rPr>
          <w:rFonts w:ascii="標楷體" w:eastAsia="標楷體" w:hAnsi="標楷體"/>
          <w:color w:val="000000"/>
        </w:rPr>
      </w:pPr>
    </w:p>
    <w:p w14:paraId="1BC4FEB1" w14:textId="152D7211" w:rsidR="00655120" w:rsidRPr="00655120" w:rsidRDefault="00655120" w:rsidP="00655120">
      <w:pPr>
        <w:widowControl/>
        <w:spacing w:line="240" w:lineRule="atLeast"/>
        <w:jc w:val="center"/>
        <w:rPr>
          <w:rFonts w:ascii="標楷體" w:eastAsia="標楷體" w:hAnsi="標楷體"/>
          <w:kern w:val="0"/>
          <w:sz w:val="28"/>
          <w:szCs w:val="28"/>
        </w:rPr>
      </w:pPr>
      <w:r w:rsidRPr="00655120">
        <w:rPr>
          <w:rFonts w:ascii="新細明體" w:hAnsi="新細明體" w:cs="新細明體"/>
          <w:noProof/>
          <w:kern w:val="0"/>
          <w:sz w:val="28"/>
          <w:szCs w:val="28"/>
        </w:rPr>
        <mc:AlternateContent>
          <mc:Choice Requires="wps">
            <w:drawing>
              <wp:anchor distT="0" distB="0" distL="114300" distR="114300" simplePos="0" relativeHeight="251688960" behindDoc="0" locked="0" layoutInCell="1" allowOverlap="1" wp14:anchorId="7C8060F5" wp14:editId="641486B8">
                <wp:simplePos x="0" y="0"/>
                <wp:positionH relativeFrom="column">
                  <wp:posOffset>-369570</wp:posOffset>
                </wp:positionH>
                <wp:positionV relativeFrom="paragraph">
                  <wp:posOffset>-616585</wp:posOffset>
                </wp:positionV>
                <wp:extent cx="2209800" cy="685800"/>
                <wp:effectExtent l="0" t="0" r="0" b="0"/>
                <wp:wrapNone/>
                <wp:docPr id="3"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685800"/>
                        </a:xfrm>
                        <a:prstGeom prst="rect">
                          <a:avLst/>
                        </a:prstGeom>
                        <a:noFill/>
                        <a:ln>
                          <a:noFill/>
                          <a:prstDash/>
                        </a:ln>
                      </wps:spPr>
                      <wps:txbx>
                        <w:txbxContent>
                          <w:p w14:paraId="57C7E826" w14:textId="77777777" w:rsidR="00655120" w:rsidRDefault="00655120" w:rsidP="00655120">
                            <w:pPr>
                              <w:numPr>
                                <w:ilvl w:val="0"/>
                                <w:numId w:val="233"/>
                              </w:numPr>
                              <w:spacing w:line="360" w:lineRule="exact"/>
                              <w:rPr>
                                <w:rFonts w:eastAsia="標楷體"/>
                                <w:b/>
                                <w:sz w:val="28"/>
                                <w:szCs w:val="28"/>
                              </w:rPr>
                            </w:pPr>
                            <w:r>
                              <w:rPr>
                                <w:rFonts w:eastAsia="標楷體" w:hint="eastAsia"/>
                                <w:b/>
                                <w:sz w:val="28"/>
                                <w:szCs w:val="28"/>
                              </w:rPr>
                              <w:t>預防性注射</w:t>
                            </w:r>
                          </w:p>
                          <w:p w14:paraId="2B21F19E" w14:textId="77777777" w:rsidR="00655120" w:rsidRDefault="00655120" w:rsidP="00655120">
                            <w:pPr>
                              <w:numPr>
                                <w:ilvl w:val="0"/>
                                <w:numId w:val="233"/>
                              </w:numPr>
                              <w:spacing w:line="360" w:lineRule="exact"/>
                              <w:rPr>
                                <w:rFonts w:eastAsia="標楷體"/>
                                <w:b/>
                                <w:sz w:val="28"/>
                                <w:szCs w:val="28"/>
                              </w:rPr>
                            </w:pPr>
                            <w:r>
                              <w:rPr>
                                <w:rFonts w:eastAsia="標楷體" w:hint="eastAsia"/>
                                <w:b/>
                                <w:sz w:val="28"/>
                                <w:szCs w:val="28"/>
                              </w:rPr>
                              <w:t>出血時注射</w:t>
                            </w:r>
                          </w:p>
                        </w:txbxContent>
                      </wps:txbx>
                      <wps:bodyPr vertOverflow="clip" horzOverflow="clip" vert="horz" wrap="square" lIns="91440" tIns="45720" rIns="91440" bIns="45720" anchor="t" anchorCtr="0" compatLnSpc="0"/>
                    </wps:wsp>
                  </a:graphicData>
                </a:graphic>
                <wp14:sizeRelH relativeFrom="page">
                  <wp14:pctWidth>0</wp14:pctWidth>
                </wp14:sizeRelH>
                <wp14:sizeRelV relativeFrom="page">
                  <wp14:pctHeight>0</wp14:pctHeight>
                </wp14:sizeRelV>
              </wp:anchor>
            </w:drawing>
          </mc:Choice>
          <mc:Fallback>
            <w:pict>
              <v:shape w14:anchorId="7C8060F5" id="文字方塊 20" o:spid="_x0000_s1040" type="#_x0000_t202" style="position:absolute;left:0;text-align:left;margin-left:-29.1pt;margin-top:-48.55pt;width:174pt;height:5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" filled="f" stroked="f">
                <v:textbox>
                  <w:txbxContent>
                    <w:p w14:paraId="57C7E826" w14:textId="77777777" w:rsidR="00655120" w:rsidRDefault="00655120" w:rsidP="00655120">
                      <w:pPr>
                        <w:numPr>
                          <w:ilvl w:val="0"/>
                          <w:numId w:val="233"/>
                        </w:numPr>
                        <w:spacing w:line="360" w:lineRule="exact"/>
                        <w:rPr>
                          <w:rFonts w:eastAsia="標楷體"/>
                          <w:b/>
                          <w:sz w:val="28"/>
                          <w:szCs w:val="28"/>
                        </w:rPr>
                      </w:pPr>
                      <w:r>
                        <w:rPr>
                          <w:rFonts w:eastAsia="標楷體" w:hint="eastAsia"/>
                          <w:b/>
                          <w:sz w:val="28"/>
                          <w:szCs w:val="28"/>
                        </w:rPr>
                        <w:t>預防性注射</w:t>
                      </w:r>
                    </w:p>
                    <w:p w14:paraId="2B21F19E" w14:textId="77777777" w:rsidR="00655120" w:rsidRDefault="00655120" w:rsidP="00655120">
                      <w:pPr>
                        <w:numPr>
                          <w:ilvl w:val="0"/>
                          <w:numId w:val="233"/>
                        </w:numPr>
                        <w:spacing w:line="360" w:lineRule="exact"/>
                        <w:rPr>
                          <w:rFonts w:eastAsia="標楷體"/>
                          <w:b/>
                          <w:sz w:val="28"/>
                          <w:szCs w:val="28"/>
                        </w:rPr>
                      </w:pPr>
                      <w:r>
                        <w:rPr>
                          <w:rFonts w:eastAsia="標楷體" w:hint="eastAsia"/>
                          <w:b/>
                          <w:sz w:val="28"/>
                          <w:szCs w:val="28"/>
                        </w:rPr>
                        <w:t>出血時注射</w:t>
                      </w:r>
                    </w:p>
                  </w:txbxContent>
                </v:textbox>
              </v:shape>
            </w:pict>
          </mc:Fallback>
        </mc:AlternateContent>
      </w:r>
      <w:r w:rsidRPr="00655120">
        <w:rPr>
          <w:rFonts w:ascii="標楷體" w:eastAsia="標楷體" w:hAnsi="標楷體" w:hint="eastAsia"/>
          <w:kern w:val="0"/>
          <w:sz w:val="28"/>
          <w:szCs w:val="28"/>
        </w:rPr>
        <w:t>附表十八之</w:t>
      </w:r>
      <w:r w:rsidR="00632B0D">
        <w:rPr>
          <w:rFonts w:ascii="標楷體" w:eastAsia="標楷體" w:hAnsi="標楷體" w:hint="eastAsia"/>
          <w:kern w:val="0"/>
          <w:sz w:val="28"/>
          <w:szCs w:val="28"/>
        </w:rPr>
        <w:t>七</w:t>
      </w:r>
      <w:r w:rsidRPr="00655120">
        <w:rPr>
          <w:rFonts w:ascii="標楷體" w:eastAsia="標楷體" w:hAnsi="標楷體" w:hint="eastAsia"/>
          <w:kern w:val="0"/>
          <w:sz w:val="28"/>
          <w:szCs w:val="28"/>
        </w:rPr>
        <w:t xml:space="preserve">  全民健康保險血友病</w:t>
      </w:r>
      <w:r w:rsidRPr="00655120">
        <w:rPr>
          <w:rFonts w:ascii="標楷體" w:eastAsia="標楷體" w:hAnsi="標楷體" w:hint="eastAsia"/>
          <w:sz w:val="28"/>
          <w:szCs w:val="28"/>
        </w:rPr>
        <w:t>患者</w:t>
      </w:r>
      <w:r w:rsidRPr="00655120">
        <w:rPr>
          <w:rFonts w:ascii="標楷體" w:eastAsia="標楷體" w:hAnsi="標楷體" w:hint="eastAsia"/>
          <w:kern w:val="0"/>
          <w:sz w:val="28"/>
          <w:szCs w:val="28"/>
        </w:rPr>
        <w:t>使用「</w:t>
      </w:r>
      <w:proofErr w:type="spellStart"/>
      <w:r w:rsidRPr="00655120">
        <w:rPr>
          <w:rFonts w:ascii="標楷體" w:eastAsia="標楷體" w:hAnsi="標楷體" w:hint="eastAsia"/>
          <w:kern w:val="0"/>
          <w:sz w:val="28"/>
          <w:szCs w:val="28"/>
        </w:rPr>
        <w:t>Alhemo</w:t>
      </w:r>
      <w:proofErr w:type="spellEnd"/>
      <w:r w:rsidRPr="00655120">
        <w:rPr>
          <w:rFonts w:ascii="標楷體" w:eastAsia="標楷體" w:hAnsi="標楷體" w:hint="eastAsia"/>
          <w:kern w:val="0"/>
          <w:sz w:val="28"/>
          <w:szCs w:val="28"/>
        </w:rPr>
        <w:t xml:space="preserve"> (</w:t>
      </w:r>
      <w:proofErr w:type="spellStart"/>
      <w:r w:rsidRPr="00655120">
        <w:rPr>
          <w:rFonts w:ascii="標楷體" w:eastAsia="標楷體" w:hAnsi="標楷體" w:hint="eastAsia"/>
          <w:kern w:val="0"/>
          <w:sz w:val="28"/>
          <w:szCs w:val="28"/>
        </w:rPr>
        <w:t>concizumab</w:t>
      </w:r>
      <w:proofErr w:type="spellEnd"/>
      <w:r w:rsidRPr="00655120">
        <w:rPr>
          <w:rFonts w:ascii="標楷體" w:eastAsia="標楷體" w:hAnsi="標楷體" w:hint="eastAsia"/>
          <w:kern w:val="0"/>
          <w:sz w:val="28"/>
          <w:szCs w:val="28"/>
        </w:rPr>
        <w:t>)」在家治療紀錄表</w:t>
      </w:r>
    </w:p>
    <w:p w14:paraId="6F6B96ED" w14:textId="77777777" w:rsidR="00655120" w:rsidRPr="00655120" w:rsidRDefault="00655120" w:rsidP="00655120">
      <w:pPr>
        <w:widowControl/>
        <w:suppressAutoHyphens w:val="0"/>
        <w:autoSpaceDN/>
        <w:spacing w:line="400" w:lineRule="exact"/>
        <w:textAlignment w:val="auto"/>
        <w:rPr>
          <w:rFonts w:ascii="標楷體" w:eastAsia="標楷體" w:hAnsi="標楷體"/>
          <w:kern w:val="0"/>
          <w:szCs w:val="24"/>
        </w:rPr>
      </w:pPr>
      <w:r w:rsidRPr="00655120">
        <w:rPr>
          <w:rFonts w:ascii="標楷體" w:eastAsia="標楷體" w:hAnsi="標楷體" w:hint="eastAsia"/>
          <w:kern w:val="0"/>
          <w:szCs w:val="24"/>
        </w:rPr>
        <w:t>姓名：</w:t>
      </w:r>
      <w:r w:rsidRPr="00655120">
        <w:rPr>
          <w:rFonts w:ascii="標楷體" w:eastAsia="標楷體" w:hAnsi="標楷體" w:hint="eastAsia"/>
          <w:kern w:val="0"/>
          <w:szCs w:val="24"/>
          <w:u w:val="single"/>
        </w:rPr>
        <w:t xml:space="preserve">　　　　　　　</w:t>
      </w:r>
      <w:r w:rsidRPr="00655120">
        <w:rPr>
          <w:rFonts w:ascii="標楷體" w:eastAsia="標楷體" w:hAnsi="標楷體" w:hint="eastAsia"/>
          <w:kern w:val="0"/>
          <w:szCs w:val="24"/>
        </w:rPr>
        <w:t xml:space="preserve">　　　體重：</w:t>
      </w:r>
      <w:r w:rsidRPr="00655120">
        <w:rPr>
          <w:rFonts w:ascii="標楷體" w:eastAsia="標楷體" w:hAnsi="標楷體" w:hint="eastAsia"/>
          <w:kern w:val="0"/>
          <w:szCs w:val="24"/>
          <w:u w:val="single"/>
        </w:rPr>
        <w:t xml:space="preserve">　　　　　</w:t>
      </w:r>
      <w:r w:rsidRPr="00655120">
        <w:rPr>
          <w:rFonts w:ascii="標楷體" w:eastAsia="標楷體" w:hAnsi="標楷體" w:hint="eastAsia"/>
          <w:kern w:val="0"/>
          <w:szCs w:val="24"/>
        </w:rPr>
        <w:t>公斤        診斷：□A型血友病合併第八因子抗體　□其他</w:t>
      </w:r>
    </w:p>
    <w:p w14:paraId="0D89FF02" w14:textId="77777777" w:rsidR="00655120" w:rsidRPr="00655120" w:rsidRDefault="00655120" w:rsidP="00655120">
      <w:pPr>
        <w:widowControl/>
        <w:suppressAutoHyphens w:val="0"/>
        <w:autoSpaceDN/>
        <w:spacing w:line="400" w:lineRule="exact"/>
        <w:ind w:firstLine="280"/>
        <w:textAlignment w:val="auto"/>
        <w:rPr>
          <w:rFonts w:ascii="標楷體" w:eastAsia="標楷體" w:hAnsi="標楷體"/>
          <w:kern w:val="0"/>
          <w:szCs w:val="24"/>
        </w:rPr>
      </w:pPr>
      <w:r w:rsidRPr="00655120">
        <w:rPr>
          <w:rFonts w:ascii="標楷體" w:eastAsia="標楷體" w:hAnsi="標楷體" w:hint="eastAsia"/>
          <w:kern w:val="0"/>
          <w:szCs w:val="24"/>
        </w:rPr>
        <w:t xml:space="preserve">　　　　　　　　　　　　　　　　　　　　　　　　　        □B型血友病合併第九因子抗體</w:t>
      </w:r>
    </w:p>
    <w:p w14:paraId="02089B6A" w14:textId="77777777" w:rsidR="00655120" w:rsidRPr="00655120" w:rsidRDefault="00655120" w:rsidP="00655120">
      <w:pPr>
        <w:widowControl/>
        <w:suppressAutoHyphens w:val="0"/>
        <w:autoSpaceDN/>
        <w:spacing w:line="520" w:lineRule="exact"/>
        <w:textAlignment w:val="auto"/>
        <w:rPr>
          <w:rFonts w:ascii="標楷體" w:eastAsia="標楷體" w:hAnsi="標楷體"/>
          <w:kern w:val="0"/>
          <w:szCs w:val="24"/>
        </w:rPr>
      </w:pPr>
      <w:r w:rsidRPr="00655120">
        <w:rPr>
          <w:rFonts w:ascii="標楷體" w:eastAsia="標楷體" w:hAnsi="標楷體" w:hint="eastAsia"/>
          <w:kern w:val="0"/>
          <w:szCs w:val="24"/>
        </w:rPr>
        <w:t>領藥日(年/月/日</w:t>
      </w:r>
      <w:proofErr w:type="gramStart"/>
      <w:r w:rsidRPr="00655120">
        <w:rPr>
          <w:rFonts w:ascii="標楷體" w:eastAsia="標楷體" w:hAnsi="標楷體" w:hint="eastAsia"/>
          <w:kern w:val="0"/>
          <w:szCs w:val="24"/>
        </w:rPr>
        <w:t>）</w:t>
      </w:r>
      <w:proofErr w:type="gramEnd"/>
      <w:r w:rsidRPr="00655120">
        <w:rPr>
          <w:rFonts w:ascii="標楷體" w:eastAsia="標楷體" w:hAnsi="標楷體" w:hint="eastAsia"/>
          <w:kern w:val="0"/>
          <w:szCs w:val="24"/>
        </w:rPr>
        <w:t>：</w:t>
      </w:r>
      <w:r w:rsidRPr="00655120">
        <w:rPr>
          <w:rFonts w:ascii="標楷體" w:eastAsia="標楷體" w:hAnsi="標楷體" w:hint="eastAsia"/>
          <w:kern w:val="0"/>
          <w:szCs w:val="24"/>
          <w:u w:val="single"/>
        </w:rPr>
        <w:t xml:space="preserve">　　／　　／　　</w:t>
      </w:r>
      <w:r w:rsidRPr="00655120">
        <w:rPr>
          <w:rFonts w:ascii="標楷體" w:eastAsia="標楷體" w:hAnsi="標楷體" w:hint="eastAsia"/>
          <w:kern w:val="0"/>
          <w:szCs w:val="24"/>
        </w:rPr>
        <w:t xml:space="preserve">      領藥量(支)：</w:t>
      </w:r>
      <w:r w:rsidRPr="00655120">
        <w:rPr>
          <w:rFonts w:ascii="標楷體" w:eastAsia="標楷體" w:hAnsi="標楷體" w:hint="eastAsia"/>
          <w:kern w:val="0"/>
          <w:szCs w:val="24"/>
          <w:u w:val="single"/>
        </w:rPr>
        <w:t xml:space="preserve">               </w:t>
      </w:r>
      <w:r w:rsidRPr="00655120">
        <w:rPr>
          <w:rFonts w:ascii="標楷體" w:eastAsia="標楷體" w:hAnsi="標楷體" w:hint="eastAsia"/>
          <w:kern w:val="0"/>
          <w:szCs w:val="24"/>
        </w:rPr>
        <w:t xml:space="preserve">      藥品名稱及批號：</w:t>
      </w:r>
      <w:r w:rsidRPr="00655120">
        <w:rPr>
          <w:rFonts w:ascii="標楷體" w:eastAsia="標楷體" w:hAnsi="標楷體" w:hint="eastAsia"/>
          <w:kern w:val="0"/>
          <w:szCs w:val="24"/>
          <w:u w:val="single"/>
        </w:rPr>
        <w:t xml:space="preserve">　　              </w:t>
      </w:r>
    </w:p>
    <w:p w14:paraId="1F3EE104" w14:textId="77777777" w:rsidR="00655120" w:rsidRPr="00655120" w:rsidRDefault="00655120" w:rsidP="00655120">
      <w:pPr>
        <w:widowControl/>
        <w:suppressAutoHyphens w:val="0"/>
        <w:autoSpaceDN/>
        <w:spacing w:line="520" w:lineRule="exact"/>
        <w:textAlignment w:val="auto"/>
        <w:rPr>
          <w:rFonts w:ascii="標楷體" w:eastAsia="標楷體" w:hAnsi="標楷體"/>
          <w:kern w:val="0"/>
          <w:szCs w:val="24"/>
        </w:rPr>
      </w:pPr>
      <w:r w:rsidRPr="00655120">
        <w:rPr>
          <w:rFonts w:ascii="標楷體" w:eastAsia="標楷體" w:hAnsi="標楷體" w:hint="eastAsia"/>
          <w:kern w:val="0"/>
          <w:szCs w:val="24"/>
        </w:rPr>
        <w:t>繳</w:t>
      </w:r>
      <w:proofErr w:type="gramStart"/>
      <w:r w:rsidRPr="00655120">
        <w:rPr>
          <w:rFonts w:ascii="標楷體" w:eastAsia="標楷體" w:hAnsi="標楷體" w:hint="eastAsia"/>
          <w:kern w:val="0"/>
          <w:szCs w:val="24"/>
        </w:rPr>
        <w:t>回空筆</w:t>
      </w:r>
      <w:proofErr w:type="gramEnd"/>
      <w:r w:rsidRPr="00655120">
        <w:rPr>
          <w:rFonts w:ascii="標楷體" w:eastAsia="標楷體" w:hAnsi="標楷體" w:hint="eastAsia"/>
          <w:kern w:val="0"/>
          <w:szCs w:val="24"/>
        </w:rPr>
        <w:t>數量及批號：</w:t>
      </w:r>
      <w:r w:rsidRPr="00655120">
        <w:rPr>
          <w:rFonts w:ascii="標楷體" w:eastAsia="標楷體" w:hAnsi="標楷體" w:hint="eastAsia"/>
          <w:kern w:val="0"/>
          <w:szCs w:val="24"/>
          <w:u w:val="single"/>
        </w:rPr>
        <w:t xml:space="preserve">                   </w:t>
      </w:r>
      <w:r w:rsidRPr="00655120">
        <w:rPr>
          <w:rFonts w:ascii="標楷體" w:eastAsia="標楷體" w:hAnsi="標楷體" w:hint="eastAsia"/>
          <w:kern w:val="0"/>
          <w:szCs w:val="24"/>
        </w:rPr>
        <w:t xml:space="preserve"> 上次家中剩餘藥量(支)：</w:t>
      </w:r>
      <w:r w:rsidRPr="00655120">
        <w:rPr>
          <w:rFonts w:ascii="標楷體" w:eastAsia="標楷體" w:hAnsi="標楷體" w:hint="eastAsia"/>
          <w:kern w:val="0"/>
          <w:szCs w:val="24"/>
          <w:u w:val="single"/>
        </w:rPr>
        <w:t xml:space="preserve">         </w:t>
      </w:r>
      <w:r w:rsidRPr="00655120">
        <w:rPr>
          <w:rFonts w:ascii="標楷體" w:eastAsia="標楷體" w:hAnsi="標楷體" w:hint="eastAsia"/>
          <w:kern w:val="0"/>
          <w:szCs w:val="24"/>
        </w:rPr>
        <w:t xml:space="preserve">  確認人員簽名(章)：</w:t>
      </w:r>
      <w:r w:rsidRPr="00655120">
        <w:rPr>
          <w:rFonts w:ascii="標楷體" w:eastAsia="標楷體" w:hAnsi="標楷體" w:hint="eastAsia"/>
          <w:kern w:val="0"/>
          <w:szCs w:val="24"/>
          <w:u w:val="single"/>
        </w:rPr>
        <w:t xml:space="preserve">                  </w:t>
      </w:r>
    </w:p>
    <w:tbl>
      <w:tblPr>
        <w:tblW w:w="5000" w:type="pct"/>
        <w:tblCellMar>
          <w:left w:w="10" w:type="dxa"/>
          <w:right w:w="10" w:type="dxa"/>
        </w:tblCellMar>
        <w:tblLook w:val="04A0" w:firstRow="1" w:lastRow="0" w:firstColumn="1" w:lastColumn="0" w:noHBand="0" w:noVBand="1"/>
      </w:tblPr>
      <w:tblGrid>
        <w:gridCol w:w="1203"/>
        <w:gridCol w:w="871"/>
        <w:gridCol w:w="1453"/>
        <w:gridCol w:w="1597"/>
        <w:gridCol w:w="1597"/>
        <w:gridCol w:w="1597"/>
        <w:gridCol w:w="726"/>
        <w:gridCol w:w="726"/>
        <w:gridCol w:w="1016"/>
        <w:gridCol w:w="1019"/>
        <w:gridCol w:w="2210"/>
        <w:gridCol w:w="1373"/>
      </w:tblGrid>
      <w:tr w:rsidR="00655120" w:rsidRPr="00655120" w14:paraId="5C96D3B5" w14:textId="77777777" w:rsidTr="00655120">
        <w:trPr>
          <w:cantSplit/>
          <w:trHeight w:val="727"/>
        </w:trPr>
        <w:tc>
          <w:tcPr>
            <w:tcW w:w="391"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4A4B1013" w14:textId="77777777" w:rsidR="00655120" w:rsidRPr="00655120" w:rsidRDefault="00655120" w:rsidP="00655120">
            <w:pPr>
              <w:widowControl/>
              <w:suppressAutoHyphens w:val="0"/>
              <w:autoSpaceDN/>
              <w:spacing w:line="300" w:lineRule="exact"/>
              <w:ind w:left="113" w:right="113"/>
              <w:jc w:val="center"/>
              <w:textAlignment w:val="auto"/>
              <w:rPr>
                <w:rFonts w:ascii="標楷體" w:eastAsia="標楷體" w:hAnsi="標楷體"/>
                <w:kern w:val="0"/>
                <w:szCs w:val="24"/>
              </w:rPr>
            </w:pPr>
            <w:r w:rsidRPr="00655120">
              <w:rPr>
                <w:rFonts w:ascii="標楷體" w:eastAsia="標楷體" w:hAnsi="標楷體" w:hint="eastAsia"/>
                <w:kern w:val="0"/>
                <w:szCs w:val="24"/>
              </w:rPr>
              <w:t>注射日</w:t>
            </w:r>
          </w:p>
        </w:tc>
        <w:tc>
          <w:tcPr>
            <w:tcW w:w="283"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3CB48D88" w14:textId="77777777" w:rsidR="00655120" w:rsidRPr="00655120" w:rsidRDefault="00655120" w:rsidP="00655120">
            <w:pPr>
              <w:widowControl/>
              <w:suppressAutoHyphens w:val="0"/>
              <w:autoSpaceDN/>
              <w:spacing w:line="300" w:lineRule="exact"/>
              <w:ind w:left="113" w:right="113"/>
              <w:jc w:val="center"/>
              <w:textAlignment w:val="auto"/>
              <w:rPr>
                <w:rFonts w:ascii="標楷體" w:eastAsia="標楷體" w:hAnsi="標楷體"/>
                <w:kern w:val="0"/>
                <w:szCs w:val="24"/>
              </w:rPr>
            </w:pPr>
            <w:r w:rsidRPr="00655120">
              <w:rPr>
                <w:rFonts w:ascii="標楷體" w:eastAsia="標楷體" w:hAnsi="標楷體" w:hint="eastAsia"/>
                <w:kern w:val="0"/>
                <w:szCs w:val="24"/>
              </w:rPr>
              <w:t>注射劑量</w:t>
            </w:r>
          </w:p>
        </w:tc>
        <w:tc>
          <w:tcPr>
            <w:tcW w:w="472" w:type="pct"/>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75A67212" w14:textId="77777777" w:rsidR="00655120" w:rsidRPr="00655120" w:rsidRDefault="00655120" w:rsidP="00655120">
            <w:pPr>
              <w:widowControl/>
              <w:suppressAutoHyphens w:val="0"/>
              <w:autoSpaceDN/>
              <w:spacing w:line="300" w:lineRule="exact"/>
              <w:ind w:left="113" w:right="113"/>
              <w:jc w:val="center"/>
              <w:textAlignment w:val="auto"/>
              <w:rPr>
                <w:rFonts w:ascii="標楷體" w:eastAsia="標楷體" w:hAnsi="標楷體"/>
                <w:kern w:val="0"/>
                <w:szCs w:val="24"/>
              </w:rPr>
            </w:pPr>
            <w:r w:rsidRPr="00655120">
              <w:rPr>
                <w:rFonts w:ascii="標楷體" w:eastAsia="標楷體" w:hAnsi="標楷體" w:hint="eastAsia"/>
                <w:kern w:val="0"/>
                <w:szCs w:val="24"/>
              </w:rPr>
              <w:t>每支含量</w:t>
            </w:r>
          </w:p>
        </w:tc>
        <w:tc>
          <w:tcPr>
            <w:tcW w:w="1038" w:type="pct"/>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0D730A50"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出血原因</w:t>
            </w:r>
          </w:p>
        </w:tc>
        <w:tc>
          <w:tcPr>
            <w:tcW w:w="991" w:type="pct"/>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115F5696"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出血部位</w:t>
            </w:r>
          </w:p>
          <w:p w14:paraId="118982D3"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(請依背面圖示填寫)</w:t>
            </w:r>
          </w:p>
        </w:tc>
        <w:tc>
          <w:tcPr>
            <w:tcW w:w="661" w:type="pct"/>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636C9352"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注射後效果</w:t>
            </w:r>
          </w:p>
        </w:tc>
        <w:tc>
          <w:tcPr>
            <w:tcW w:w="718" w:type="pct"/>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575C933E"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注射後發生之不適症狀</w:t>
            </w:r>
          </w:p>
        </w:tc>
        <w:tc>
          <w:tcPr>
            <w:tcW w:w="446" w:type="pct"/>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1589A54A"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注射者簽名(章)</w:t>
            </w:r>
          </w:p>
        </w:tc>
      </w:tr>
      <w:tr w:rsidR="00655120" w:rsidRPr="00655120" w14:paraId="3D756D1F" w14:textId="77777777" w:rsidTr="00655120">
        <w:trPr>
          <w:cantSplit/>
          <w:trHeight w:val="424"/>
        </w:trPr>
        <w:tc>
          <w:tcPr>
            <w:tcW w:w="391"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2144C011"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(月/日)</w:t>
            </w:r>
          </w:p>
        </w:tc>
        <w:tc>
          <w:tcPr>
            <w:tcW w:w="283"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65890292"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(mg)</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34964C" w14:textId="77777777" w:rsidR="00655120" w:rsidRPr="00655120" w:rsidRDefault="00655120" w:rsidP="00655120">
            <w:pPr>
              <w:widowControl/>
              <w:suppressAutoHyphens w:val="0"/>
              <w:autoSpaceDN/>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0076B3BC"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自發性出血</w:t>
            </w: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D9E9C5"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p>
          <w:p w14:paraId="16EA066F"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受傷後出血</w:t>
            </w:r>
          </w:p>
          <w:p w14:paraId="2B05836D"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0D8FC1CB"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代號或部位</w:t>
            </w: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5F0A5060"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左</w:t>
            </w: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29BA6598" w14:textId="77777777" w:rsidR="00655120" w:rsidRPr="00655120" w:rsidRDefault="00655120" w:rsidP="00655120">
            <w:pPr>
              <w:widowControl/>
              <w:suppressAutoHyphens w:val="0"/>
              <w:autoSpaceDN/>
              <w:spacing w:line="300" w:lineRule="exact"/>
              <w:jc w:val="center"/>
              <w:textAlignment w:val="auto"/>
              <w:rPr>
                <w:rFonts w:ascii="標楷體" w:eastAsia="標楷體" w:hAnsi="標楷體"/>
                <w:kern w:val="0"/>
                <w:szCs w:val="24"/>
              </w:rPr>
            </w:pPr>
            <w:r w:rsidRPr="00655120">
              <w:rPr>
                <w:rFonts w:ascii="標楷體" w:eastAsia="標楷體" w:hAnsi="標楷體" w:hint="eastAsia"/>
                <w:kern w:val="0"/>
                <w:szCs w:val="24"/>
              </w:rPr>
              <w:t>右</w:t>
            </w: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6ED82F37" w14:textId="77777777" w:rsidR="00655120" w:rsidRPr="00655120" w:rsidRDefault="00655120" w:rsidP="00655120">
            <w:pPr>
              <w:widowControl/>
              <w:suppressAutoHyphens w:val="0"/>
              <w:autoSpaceDN/>
              <w:spacing w:line="300" w:lineRule="exact"/>
              <w:ind w:left="113" w:right="113"/>
              <w:jc w:val="center"/>
              <w:textAlignment w:val="auto"/>
              <w:rPr>
                <w:rFonts w:ascii="標楷體" w:eastAsia="標楷體" w:hAnsi="標楷體"/>
                <w:kern w:val="0"/>
                <w:szCs w:val="24"/>
              </w:rPr>
            </w:pPr>
            <w:r w:rsidRPr="00655120">
              <w:rPr>
                <w:rFonts w:ascii="標楷體" w:eastAsia="標楷體" w:hAnsi="標楷體" w:hint="eastAsia"/>
                <w:kern w:val="0"/>
                <w:szCs w:val="24"/>
              </w:rPr>
              <w:t>改善</w:t>
            </w: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14:paraId="76983741" w14:textId="77777777" w:rsidR="00655120" w:rsidRPr="00655120" w:rsidRDefault="00655120" w:rsidP="00655120">
            <w:pPr>
              <w:widowControl/>
              <w:suppressAutoHyphens w:val="0"/>
              <w:autoSpaceDN/>
              <w:spacing w:line="300" w:lineRule="exact"/>
              <w:ind w:left="113" w:right="113"/>
              <w:jc w:val="center"/>
              <w:textAlignment w:val="auto"/>
              <w:rPr>
                <w:rFonts w:ascii="標楷體" w:eastAsia="標楷體" w:hAnsi="標楷體"/>
                <w:kern w:val="0"/>
                <w:szCs w:val="24"/>
              </w:rPr>
            </w:pPr>
            <w:r w:rsidRPr="00655120">
              <w:rPr>
                <w:rFonts w:ascii="標楷體" w:eastAsia="標楷體" w:hAnsi="標楷體" w:hint="eastAsia"/>
                <w:kern w:val="0"/>
                <w:szCs w:val="24"/>
              </w:rPr>
              <w:t>未改善</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8CB691" w14:textId="77777777" w:rsidR="00655120" w:rsidRPr="00655120" w:rsidRDefault="00655120" w:rsidP="00655120">
            <w:pPr>
              <w:widowControl/>
              <w:suppressAutoHyphens w:val="0"/>
              <w:autoSpaceDN/>
              <w:textAlignment w:val="auto"/>
              <w:rPr>
                <w:rFonts w:ascii="標楷體" w:eastAsia="標楷體" w:hAnsi="標楷體"/>
                <w:kern w:val="0"/>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44BF8D" w14:textId="77777777" w:rsidR="00655120" w:rsidRPr="00655120" w:rsidRDefault="00655120" w:rsidP="00655120">
            <w:pPr>
              <w:widowControl/>
              <w:suppressAutoHyphens w:val="0"/>
              <w:autoSpaceDN/>
              <w:textAlignment w:val="auto"/>
              <w:rPr>
                <w:rFonts w:ascii="標楷體" w:eastAsia="標楷體" w:hAnsi="標楷體"/>
                <w:kern w:val="0"/>
                <w:szCs w:val="24"/>
              </w:rPr>
            </w:pPr>
          </w:p>
        </w:tc>
      </w:tr>
      <w:tr w:rsidR="00655120" w:rsidRPr="00655120" w14:paraId="429AD402" w14:textId="77777777" w:rsidTr="00655120">
        <w:trPr>
          <w:trHeight w:val="458"/>
        </w:trPr>
        <w:tc>
          <w:tcPr>
            <w:tcW w:w="391"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CE8237D"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83"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0A65B75"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72"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90F8AAC"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447A2EF"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B425203"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A5116DB"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3E69A44"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0B8D9D9"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E8A4E0C"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AE0F1A3"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718"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2A2B46E"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4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6F0E555"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r>
      <w:tr w:rsidR="00655120" w:rsidRPr="00655120" w14:paraId="53057E81" w14:textId="77777777" w:rsidTr="00655120">
        <w:trPr>
          <w:trHeight w:val="536"/>
        </w:trPr>
        <w:tc>
          <w:tcPr>
            <w:tcW w:w="391"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8C41A4E"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83"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6320A6A"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72"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8C64372"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9165C6F"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9E4D702"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B19228C"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E4F1EE3"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C60D5FD"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9FE178F"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3DAC22F"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718"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A585ADF"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4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AA2CFA9"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r>
      <w:tr w:rsidR="00655120" w:rsidRPr="00655120" w14:paraId="20D7CFDD" w14:textId="77777777" w:rsidTr="00655120">
        <w:trPr>
          <w:trHeight w:val="572"/>
        </w:trPr>
        <w:tc>
          <w:tcPr>
            <w:tcW w:w="391"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4D2FB4D"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83"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CFF63AE"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72"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C9FF894"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0103509"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8CF6A12"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824F92C"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D77F582"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E1264FA"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2B8A244"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035BD34"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718"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8A85E11"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4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E2D746A"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r>
      <w:tr w:rsidR="00655120" w:rsidRPr="00655120" w14:paraId="2693D699" w14:textId="77777777" w:rsidTr="00655120">
        <w:trPr>
          <w:trHeight w:val="514"/>
        </w:trPr>
        <w:tc>
          <w:tcPr>
            <w:tcW w:w="391"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24E2475"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83"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AD967CE"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72"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17038BA"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93D312E"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B9483FC"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B981EF4"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5E870A0"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13578E1"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B6AFF8B"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2DA4CFD"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718"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BC8696A"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4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280E9BE"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r>
      <w:tr w:rsidR="00655120" w:rsidRPr="00655120" w14:paraId="4650D43F" w14:textId="77777777" w:rsidTr="00DC1408">
        <w:trPr>
          <w:trHeight w:val="365"/>
        </w:trPr>
        <w:tc>
          <w:tcPr>
            <w:tcW w:w="391"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09C6462"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83"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AC3C1F1"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72"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2F41930"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97709BA"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6BCDC65"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519"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65FCE89"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48307F5"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23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1D4FF98"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35E4FE5"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330"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42BF0B1"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718"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4BD6A61"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c>
          <w:tcPr>
            <w:tcW w:w="446" w:type="pc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1A6C7EF" w14:textId="77777777" w:rsidR="00655120" w:rsidRPr="00655120" w:rsidRDefault="00655120" w:rsidP="00655120">
            <w:pPr>
              <w:widowControl/>
              <w:suppressAutoHyphens w:val="0"/>
              <w:autoSpaceDN/>
              <w:spacing w:line="300" w:lineRule="exact"/>
              <w:textAlignment w:val="auto"/>
              <w:rPr>
                <w:rFonts w:ascii="標楷體" w:eastAsia="標楷體" w:hAnsi="標楷體"/>
                <w:kern w:val="0"/>
                <w:szCs w:val="24"/>
              </w:rPr>
            </w:pPr>
          </w:p>
        </w:tc>
      </w:tr>
    </w:tbl>
    <w:p w14:paraId="25EB461C" w14:textId="77777777" w:rsidR="00655120" w:rsidRPr="00655120" w:rsidRDefault="00655120" w:rsidP="00655120">
      <w:pPr>
        <w:widowControl/>
        <w:suppressAutoHyphens w:val="0"/>
        <w:autoSpaceDN/>
        <w:spacing w:line="300" w:lineRule="exact"/>
        <w:ind w:leftChars="-118" w:left="27" w:hangingChars="129" w:hanging="310"/>
        <w:textAlignment w:val="auto"/>
        <w:rPr>
          <w:rFonts w:ascii="標楷體" w:eastAsia="標楷體" w:hAnsi="標楷體"/>
          <w:kern w:val="0"/>
          <w:szCs w:val="24"/>
        </w:rPr>
      </w:pPr>
      <w:r w:rsidRPr="00655120">
        <w:rPr>
          <w:rFonts w:ascii="標楷體" w:eastAsia="標楷體" w:hAnsi="標楷體" w:hint="eastAsia"/>
          <w:kern w:val="0"/>
          <w:szCs w:val="24"/>
        </w:rPr>
        <w:t>備註：</w:t>
      </w:r>
    </w:p>
    <w:p w14:paraId="4DED761D" w14:textId="77777777" w:rsidR="00655120" w:rsidRPr="00655120" w:rsidRDefault="00655120" w:rsidP="00655120">
      <w:pPr>
        <w:widowControl/>
        <w:suppressAutoHyphens w:val="0"/>
        <w:autoSpaceDN/>
        <w:spacing w:line="300" w:lineRule="exact"/>
        <w:ind w:leftChars="-177" w:left="38" w:hangingChars="193" w:hanging="463"/>
        <w:textAlignment w:val="auto"/>
        <w:rPr>
          <w:rFonts w:ascii="標楷體" w:eastAsia="標楷體" w:hAnsi="標楷體"/>
          <w:kern w:val="0"/>
          <w:szCs w:val="24"/>
        </w:rPr>
      </w:pPr>
      <w:r w:rsidRPr="00655120">
        <w:rPr>
          <w:rFonts w:ascii="標楷體" w:eastAsia="標楷體" w:hAnsi="標楷體" w:hint="eastAsia"/>
          <w:kern w:val="0"/>
          <w:szCs w:val="24"/>
        </w:rPr>
        <w:t xml:space="preserve"> 1.病人於下次</w:t>
      </w:r>
      <w:proofErr w:type="gramStart"/>
      <w:r w:rsidRPr="00655120">
        <w:rPr>
          <w:rFonts w:ascii="標楷體" w:eastAsia="標楷體" w:hAnsi="標楷體" w:hint="eastAsia"/>
          <w:kern w:val="0"/>
          <w:szCs w:val="24"/>
        </w:rPr>
        <w:t>回診需攜帶</w:t>
      </w:r>
      <w:proofErr w:type="gramEnd"/>
      <w:r w:rsidRPr="00655120">
        <w:rPr>
          <w:rFonts w:ascii="標楷體" w:eastAsia="標楷體" w:hAnsi="標楷體" w:hint="eastAsia"/>
          <w:kern w:val="0"/>
          <w:szCs w:val="24"/>
        </w:rPr>
        <w:t>此紀錄表，並請黏貼於病歷，同時繳回已注射後</w:t>
      </w:r>
      <w:proofErr w:type="gramStart"/>
      <w:r w:rsidRPr="00655120">
        <w:rPr>
          <w:rFonts w:ascii="標楷體" w:eastAsia="標楷體" w:hAnsi="標楷體" w:hint="eastAsia"/>
          <w:kern w:val="0"/>
          <w:szCs w:val="24"/>
        </w:rPr>
        <w:t>之空筆備查</w:t>
      </w:r>
      <w:proofErr w:type="gramEnd"/>
      <w:r w:rsidRPr="00655120">
        <w:rPr>
          <w:rFonts w:ascii="標楷體" w:eastAsia="標楷體" w:hAnsi="標楷體" w:hint="eastAsia"/>
          <w:kern w:val="0"/>
          <w:szCs w:val="24"/>
        </w:rPr>
        <w:t>。紀錄表未黏貼於回</w:t>
      </w:r>
      <w:proofErr w:type="gramStart"/>
      <w:r w:rsidRPr="00655120">
        <w:rPr>
          <w:rFonts w:ascii="標楷體" w:eastAsia="標楷體" w:hAnsi="標楷體" w:hint="eastAsia"/>
          <w:kern w:val="0"/>
          <w:szCs w:val="24"/>
        </w:rPr>
        <w:t>診病歷及未</w:t>
      </w:r>
      <w:proofErr w:type="gramEnd"/>
      <w:r w:rsidRPr="00655120">
        <w:rPr>
          <w:rFonts w:ascii="標楷體" w:eastAsia="標楷體" w:hAnsi="標楷體" w:hint="eastAsia"/>
          <w:kern w:val="0"/>
          <w:szCs w:val="24"/>
        </w:rPr>
        <w:t>繳</w:t>
      </w:r>
      <w:proofErr w:type="gramStart"/>
      <w:r w:rsidRPr="00655120">
        <w:rPr>
          <w:rFonts w:ascii="標楷體" w:eastAsia="標楷體" w:hAnsi="標楷體" w:hint="eastAsia"/>
          <w:kern w:val="0"/>
          <w:szCs w:val="24"/>
        </w:rPr>
        <w:t>回空筆</w:t>
      </w:r>
      <w:proofErr w:type="gramEnd"/>
      <w:r w:rsidRPr="00655120">
        <w:rPr>
          <w:rFonts w:ascii="標楷體" w:eastAsia="標楷體" w:hAnsi="標楷體" w:hint="eastAsia"/>
          <w:kern w:val="0"/>
          <w:szCs w:val="24"/>
        </w:rPr>
        <w:t>，則該項費用不予支付。</w:t>
      </w:r>
    </w:p>
    <w:p w14:paraId="29D91D7D" w14:textId="77777777" w:rsidR="00655120" w:rsidRPr="00655120" w:rsidRDefault="00655120" w:rsidP="00655120">
      <w:pPr>
        <w:widowControl/>
        <w:suppressAutoHyphens w:val="0"/>
        <w:autoSpaceDN/>
        <w:spacing w:line="300" w:lineRule="exact"/>
        <w:ind w:leftChars="-177" w:left="-118" w:hangingChars="128" w:hanging="307"/>
        <w:textAlignment w:val="auto"/>
        <w:rPr>
          <w:rFonts w:ascii="標楷體" w:eastAsia="標楷體" w:hAnsi="標楷體"/>
          <w:kern w:val="0"/>
          <w:szCs w:val="24"/>
        </w:rPr>
      </w:pPr>
      <w:r w:rsidRPr="00655120">
        <w:rPr>
          <w:rFonts w:ascii="標楷體" w:eastAsia="標楷體" w:hAnsi="標楷體" w:hint="eastAsia"/>
          <w:kern w:val="0"/>
          <w:szCs w:val="24"/>
        </w:rPr>
        <w:t xml:space="preserve"> 2.領藥量請詳記藥品規格量</w:t>
      </w:r>
      <w:proofErr w:type="gramStart"/>
      <w:r w:rsidRPr="00655120">
        <w:rPr>
          <w:rFonts w:ascii="標楷體" w:eastAsia="標楷體" w:hAnsi="標楷體" w:hint="eastAsia"/>
          <w:kern w:val="0"/>
          <w:szCs w:val="24"/>
        </w:rPr>
        <w:t>及支數</w:t>
      </w:r>
      <w:proofErr w:type="gramEnd"/>
      <w:r w:rsidRPr="00655120">
        <w:rPr>
          <w:rFonts w:ascii="標楷體" w:eastAsia="標楷體" w:hAnsi="標楷體" w:hint="eastAsia"/>
          <w:kern w:val="0"/>
          <w:szCs w:val="24"/>
        </w:rPr>
        <w:t>，例如：150mg/1.5mL×2支，使用</w:t>
      </w:r>
      <w:proofErr w:type="gramStart"/>
      <w:r w:rsidRPr="00655120">
        <w:rPr>
          <w:rFonts w:ascii="標楷體" w:eastAsia="標楷體" w:hAnsi="標楷體" w:hint="eastAsia"/>
          <w:kern w:val="0"/>
          <w:szCs w:val="24"/>
        </w:rPr>
        <w:t>空筆於</w:t>
      </w:r>
      <w:proofErr w:type="gramEnd"/>
      <w:r w:rsidRPr="00655120">
        <w:rPr>
          <w:rFonts w:ascii="標楷體" w:eastAsia="標楷體" w:hAnsi="標楷體" w:hint="eastAsia"/>
          <w:kern w:val="0"/>
          <w:szCs w:val="24"/>
        </w:rPr>
        <w:t>繳回時，請由醫療院所相關人員進行確認(包含</w:t>
      </w:r>
      <w:proofErr w:type="gramStart"/>
      <w:r w:rsidRPr="00655120">
        <w:rPr>
          <w:rFonts w:ascii="標楷體" w:eastAsia="標楷體" w:hAnsi="標楷體" w:hint="eastAsia"/>
          <w:kern w:val="0"/>
          <w:szCs w:val="24"/>
        </w:rPr>
        <w:t>回收空筆日期</w:t>
      </w:r>
      <w:proofErr w:type="gramEnd"/>
      <w:r w:rsidRPr="00655120">
        <w:rPr>
          <w:rFonts w:ascii="標楷體" w:eastAsia="標楷體" w:hAnsi="標楷體" w:hint="eastAsia"/>
          <w:kern w:val="0"/>
          <w:szCs w:val="24"/>
        </w:rPr>
        <w:t>及總結存量等)，並請確認人員簽名(章)。</w:t>
      </w:r>
    </w:p>
    <w:p w14:paraId="45CF35A7" w14:textId="06BA0128" w:rsidR="00DC1408" w:rsidRPr="006D17CC" w:rsidRDefault="00655120" w:rsidP="006D17CC">
      <w:pPr>
        <w:widowControl/>
        <w:suppressAutoHyphens w:val="0"/>
        <w:autoSpaceDN/>
        <w:spacing w:line="300" w:lineRule="exact"/>
        <w:ind w:leftChars="-177" w:left="38" w:hangingChars="193" w:hanging="463"/>
        <w:textAlignment w:val="auto"/>
        <w:rPr>
          <w:rFonts w:ascii="標楷體" w:eastAsia="標楷體" w:hAnsi="標楷體" w:hint="eastAsia"/>
          <w:kern w:val="0"/>
          <w:szCs w:val="24"/>
        </w:rPr>
      </w:pPr>
      <w:r w:rsidRPr="00655120">
        <w:rPr>
          <w:rFonts w:ascii="標楷體" w:eastAsia="標楷體" w:hAnsi="標楷體" w:hint="eastAsia"/>
          <w:kern w:val="0"/>
          <w:szCs w:val="24"/>
        </w:rPr>
        <w:t xml:space="preserve"> 3.出血部位說明請見背面圖示。</w:t>
      </w:r>
    </w:p>
    <w:p w14:paraId="4F99F44B" w14:textId="1264E60A" w:rsidR="00655120" w:rsidRPr="00655120" w:rsidRDefault="00DC1408" w:rsidP="00DC1408">
      <w:pPr>
        <w:spacing w:line="240" w:lineRule="atLeast"/>
        <w:jc w:val="center"/>
        <w:rPr>
          <w:rFonts w:ascii="標楷體" w:eastAsia="標楷體" w:hAnsi="標楷體"/>
          <w:color w:val="000000"/>
          <w:szCs w:val="24"/>
        </w:rPr>
        <w:sectPr w:rsidR="00655120" w:rsidRPr="00655120" w:rsidSect="006D17CC">
          <w:pgSz w:w="16838" w:h="11906" w:orient="landscape"/>
          <w:pgMar w:top="567" w:right="720" w:bottom="567" w:left="720" w:header="720" w:footer="720" w:gutter="0"/>
          <w:cols w:space="720"/>
          <w:docGrid w:type="lines" w:linePitch="326"/>
        </w:sectPr>
      </w:pPr>
      <w:proofErr w:type="gramStart"/>
      <w:r w:rsidRPr="00655120">
        <w:rPr>
          <w:rFonts w:ascii="標楷體" w:eastAsia="標楷體" w:hAnsi="標楷體" w:hint="eastAsia"/>
          <w:kern w:val="0"/>
          <w:szCs w:val="24"/>
        </w:rPr>
        <w:t>回收空筆日期</w:t>
      </w:r>
      <w:proofErr w:type="gramEnd"/>
      <w:r w:rsidRPr="00655120">
        <w:rPr>
          <w:rFonts w:ascii="標楷體" w:eastAsia="標楷體" w:hAnsi="標楷體" w:hint="eastAsia"/>
          <w:kern w:val="0"/>
          <w:szCs w:val="24"/>
        </w:rPr>
        <w:t>：</w:t>
      </w:r>
      <w:r w:rsidRPr="00655120">
        <w:rPr>
          <w:rFonts w:ascii="標楷體" w:eastAsia="標楷體" w:hAnsi="標楷體" w:hint="eastAsia"/>
          <w:kern w:val="0"/>
          <w:szCs w:val="24"/>
          <w:u w:val="single"/>
        </w:rPr>
        <w:t xml:space="preserve">                </w:t>
      </w:r>
      <w:r w:rsidRPr="00655120">
        <w:rPr>
          <w:rFonts w:ascii="標楷體" w:eastAsia="標楷體" w:hAnsi="標楷體" w:hint="eastAsia"/>
          <w:kern w:val="0"/>
          <w:szCs w:val="24"/>
        </w:rPr>
        <w:t xml:space="preserve">       總結存量(支)</w:t>
      </w:r>
      <w:r w:rsidRPr="00DC1408">
        <w:rPr>
          <w:rFonts w:hint="eastAsia"/>
        </w:rPr>
        <w:t xml:space="preserve"> </w:t>
      </w:r>
      <w:r w:rsidRPr="00DC1408">
        <w:rPr>
          <w:rFonts w:ascii="標楷體" w:eastAsia="標楷體" w:hAnsi="標楷體" w:hint="eastAsia"/>
          <w:kern w:val="0"/>
          <w:szCs w:val="24"/>
        </w:rPr>
        <w:t>：</w:t>
      </w:r>
      <w:r w:rsidRPr="00DC1408">
        <w:rPr>
          <w:rFonts w:ascii="標楷體" w:eastAsia="標楷體" w:hAnsi="標楷體" w:hint="eastAsia"/>
          <w:kern w:val="0"/>
          <w:szCs w:val="24"/>
          <w:u w:val="single"/>
        </w:rPr>
        <w:t xml:space="preserve">          </w:t>
      </w:r>
      <w:r w:rsidR="00655120" w:rsidRPr="00DC1408">
        <w:rPr>
          <w:rFonts w:ascii="標楷體" w:eastAsia="標楷體" w:hAnsi="標楷體" w:hint="eastAsia"/>
          <w:kern w:val="0"/>
          <w:szCs w:val="24"/>
          <w:u w:val="single"/>
        </w:rPr>
        <w:t xml:space="preserve"> </w:t>
      </w:r>
    </w:p>
    <w:p w14:paraId="304B6F60" w14:textId="71C3F7C9" w:rsidR="00655120" w:rsidRDefault="00000000" w:rsidP="000E757E">
      <w:pPr>
        <w:pageBreakBefore/>
        <w:widowControl/>
        <w:suppressAutoHyphens w:val="0"/>
        <w:snapToGrid w:val="0"/>
        <w:spacing w:line="240" w:lineRule="atLeast"/>
        <w:rPr>
          <w:rFonts w:ascii="標楷體" w:eastAsia="標楷體" w:hAnsi="標楷體"/>
          <w:color w:val="000000"/>
        </w:rPr>
      </w:pPr>
      <w:r>
        <w:rPr>
          <w:rFonts w:ascii="標楷體" w:eastAsia="標楷體" w:hAnsi="標楷體"/>
          <w:noProof/>
          <w:color w:val="000000"/>
        </w:rPr>
        <w:lastRenderedPageBreak/>
        <w:object w:dxaOrig="1440" w:dyaOrig="1440" w14:anchorId="31AB617E">
          <v:shape id="_x0000_s2055" type="#_x0000_t75" style="position:absolute;margin-left:27.15pt;margin-top:31.5pt;width:544.95pt;height:674.85pt;z-index:251686912;visibility:visible;mso-wrap-style:square;mso-position-horizontal-relative:margin;mso-position-vertical-relative:margin">
            <v:imagedata r:id="rId25" o:title=""/>
            <w10:wrap type="square" anchorx="margin" anchory="margin"/>
          </v:shape>
          <o:OLEObject Type="Embed" ProgID="Word.Picture.8" ShapeID="_x0000_s2055" DrawAspect="Content" ObjectID="_1854627332" r:id="rId33"/>
        </w:object>
      </w:r>
    </w:p>
    <w:p w14:paraId="40B6A049" w14:textId="65E73408" w:rsidR="00655120" w:rsidRDefault="00655120">
      <w:pPr>
        <w:widowControl/>
        <w:suppressAutoHyphens w:val="0"/>
        <w:rPr>
          <w:rFonts w:ascii="標楷體" w:eastAsia="標楷體" w:hAnsi="標楷體"/>
          <w:color w:val="000000"/>
        </w:rPr>
      </w:pPr>
      <w:r>
        <w:rPr>
          <w:rFonts w:ascii="標楷體" w:eastAsia="標楷體" w:hAnsi="標楷體"/>
          <w:color w:val="000000"/>
        </w:rPr>
        <w:br w:type="page"/>
      </w:r>
    </w:p>
    <w:p w14:paraId="5BB11A65" w14:textId="77777777" w:rsidR="00401786" w:rsidRDefault="00401786" w:rsidP="000E757E">
      <w:pPr>
        <w:pageBreakBefore/>
        <w:widowControl/>
        <w:suppressAutoHyphens w:val="0"/>
        <w:snapToGrid w:val="0"/>
        <w:spacing w:line="240" w:lineRule="atLeast"/>
        <w:rPr>
          <w:rFonts w:ascii="標楷體" w:eastAsia="標楷體" w:hAnsi="標楷體"/>
          <w:color w:val="000000"/>
        </w:rPr>
      </w:pPr>
    </w:p>
    <w:p w14:paraId="6122642C" w14:textId="77777777" w:rsidR="00401786" w:rsidRPr="0008141B" w:rsidRDefault="00C64FB3" w:rsidP="000E757E">
      <w:pPr>
        <w:snapToGrid w:val="0"/>
        <w:spacing w:line="240" w:lineRule="atLeast"/>
        <w:ind w:left="1200" w:hanging="1200"/>
        <w:jc w:val="center"/>
        <w:rPr>
          <w:b/>
          <w:bCs/>
        </w:rPr>
      </w:pPr>
      <w:r w:rsidRPr="0008141B">
        <w:rPr>
          <w:rFonts w:ascii="標楷體" w:eastAsia="標楷體" w:hAnsi="標楷體"/>
          <w:b/>
          <w:bCs/>
          <w:color w:val="000000"/>
        </w:rPr>
        <w:t>附表十九全民健康保險使用</w:t>
      </w:r>
      <w:proofErr w:type="spellStart"/>
      <w:r w:rsidRPr="0008141B">
        <w:rPr>
          <w:rFonts w:ascii="標楷體" w:eastAsia="標楷體" w:hAnsi="標楷體"/>
          <w:b/>
          <w:bCs/>
          <w:color w:val="000000"/>
        </w:rPr>
        <w:t>Pilocarpinehydrochloride</w:t>
      </w:r>
      <w:proofErr w:type="spellEnd"/>
      <w:r w:rsidRPr="0008141B">
        <w:rPr>
          <w:rFonts w:ascii="標楷體" w:eastAsia="標楷體" w:hAnsi="標楷體"/>
          <w:b/>
          <w:bCs/>
          <w:color w:val="000000"/>
        </w:rPr>
        <w:t>口服劑型治療後，</w:t>
      </w:r>
    </w:p>
    <w:p w14:paraId="7F69C8F8" w14:textId="77777777" w:rsidR="00401786" w:rsidRPr="0008141B" w:rsidRDefault="00C64FB3" w:rsidP="000E757E">
      <w:pPr>
        <w:snapToGrid w:val="0"/>
        <w:spacing w:line="240" w:lineRule="atLeast"/>
        <w:ind w:left="1200" w:hanging="1200"/>
        <w:jc w:val="center"/>
        <w:rPr>
          <w:b/>
          <w:bCs/>
        </w:rPr>
      </w:pPr>
      <w:r w:rsidRPr="0008141B">
        <w:rPr>
          <w:rFonts w:ascii="標楷體" w:eastAsia="標楷體" w:hAnsi="標楷體"/>
          <w:b/>
          <w:bCs/>
          <w:color w:val="000000"/>
        </w:rPr>
        <w:t>症狀改善評量表</w:t>
      </w:r>
    </w:p>
    <w:p w14:paraId="184FBBE5" w14:textId="77777777" w:rsidR="00401786" w:rsidRDefault="00C64FB3" w:rsidP="000E757E">
      <w:pPr>
        <w:snapToGrid w:val="0"/>
        <w:spacing w:line="240" w:lineRule="atLeast"/>
        <w:ind w:firstLine="720"/>
        <w:jc w:val="both"/>
      </w:pPr>
      <w:r>
        <w:rPr>
          <w:rFonts w:ascii="標楷體" w:eastAsia="標楷體" w:hAnsi="標楷體" w:cs="標楷體"/>
          <w:color w:val="000000"/>
        </w:rPr>
        <w:t>病人姓名：病歷號碼：</w:t>
      </w:r>
    </w:p>
    <w:p w14:paraId="45E805F3" w14:textId="77777777" w:rsidR="00401786" w:rsidRDefault="00C64FB3" w:rsidP="000E757E">
      <w:pPr>
        <w:snapToGrid w:val="0"/>
        <w:spacing w:line="240" w:lineRule="atLeast"/>
        <w:ind w:left="958"/>
        <w:jc w:val="both"/>
      </w:pPr>
      <w:r>
        <w:rPr>
          <w:rFonts w:ascii="標楷體" w:eastAsia="標楷體" w:hAnsi="標楷體" w:cs="標楷體"/>
          <w:color w:val="000000"/>
        </w:rPr>
        <w:t>（請依自覺程度給分）：</w:t>
      </w:r>
    </w:p>
    <w:p w14:paraId="7139193C" w14:textId="77777777" w:rsidR="00401786" w:rsidRDefault="00C64FB3" w:rsidP="000E757E">
      <w:pPr>
        <w:snapToGrid w:val="0"/>
        <w:spacing w:line="240" w:lineRule="atLeast"/>
        <w:ind w:left="720"/>
        <w:jc w:val="both"/>
      </w:pPr>
      <w:r>
        <w:rPr>
          <w:rFonts w:ascii="標楷體" w:eastAsia="標楷體" w:hAnsi="標楷體"/>
          <w:color w:val="000000"/>
        </w:rPr>
        <w:t>1.使用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後，以前口腔乾燥的情形是否有改善？</w:t>
      </w:r>
    </w:p>
    <w:p w14:paraId="368A0A75"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68C0077D" w14:textId="77777777" w:rsidR="00401786" w:rsidRDefault="00C64FB3" w:rsidP="000E757E">
      <w:pPr>
        <w:snapToGrid w:val="0"/>
        <w:spacing w:line="240" w:lineRule="atLeast"/>
        <w:ind w:left="720"/>
        <w:jc w:val="both"/>
      </w:pPr>
      <w:r>
        <w:rPr>
          <w:rFonts w:ascii="標楷體" w:eastAsia="標楷體" w:hAnsi="標楷體"/>
          <w:color w:val="000000"/>
        </w:rPr>
        <w:t>2.使用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後，以前晚上睡覺時，需要起來喝水的次數是</w:t>
      </w:r>
    </w:p>
    <w:p w14:paraId="29EC3036" w14:textId="77777777" w:rsidR="00401786" w:rsidRDefault="00C64FB3" w:rsidP="000E757E">
      <w:pPr>
        <w:snapToGrid w:val="0"/>
        <w:spacing w:line="240" w:lineRule="atLeast"/>
        <w:ind w:left="831" w:firstLine="129"/>
        <w:jc w:val="both"/>
      </w:pPr>
      <w:r>
        <w:rPr>
          <w:rFonts w:ascii="標楷體" w:eastAsia="標楷體" w:hAnsi="標楷體" w:cs="標楷體"/>
          <w:color w:val="000000"/>
        </w:rPr>
        <w:t>否有改善？</w:t>
      </w:r>
    </w:p>
    <w:p w14:paraId="65024D60"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245F39D6" w14:textId="77777777" w:rsidR="00401786" w:rsidRDefault="00C64FB3" w:rsidP="000E757E">
      <w:pPr>
        <w:snapToGrid w:val="0"/>
        <w:spacing w:line="240" w:lineRule="atLeast"/>
        <w:ind w:left="720"/>
        <w:jc w:val="both"/>
      </w:pPr>
      <w:r>
        <w:rPr>
          <w:rFonts w:ascii="標楷體" w:eastAsia="標楷體" w:hAnsi="標楷體"/>
          <w:color w:val="000000"/>
        </w:rPr>
        <w:t>3.使用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後，以前隨身準備水的習慣是否有改善？</w:t>
      </w:r>
    </w:p>
    <w:p w14:paraId="743A9809"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06E7948C" w14:textId="77777777" w:rsidR="00401786" w:rsidRDefault="00C64FB3" w:rsidP="000E757E">
      <w:pPr>
        <w:snapToGrid w:val="0"/>
        <w:spacing w:line="240" w:lineRule="atLeast"/>
        <w:ind w:left="720"/>
        <w:jc w:val="both"/>
      </w:pPr>
      <w:r>
        <w:rPr>
          <w:rFonts w:ascii="標楷體" w:eastAsia="標楷體" w:hAnsi="標楷體"/>
          <w:color w:val="000000"/>
        </w:rPr>
        <w:t>4.使用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後，以前口渴的情況是否有改善？</w:t>
      </w:r>
    </w:p>
    <w:p w14:paraId="7D3A7B53"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79A0F65" w14:textId="77777777" w:rsidR="00401786" w:rsidRDefault="00C64FB3" w:rsidP="000E757E">
      <w:pPr>
        <w:snapToGrid w:val="0"/>
        <w:spacing w:line="240" w:lineRule="atLeast"/>
        <w:ind w:left="720"/>
        <w:jc w:val="both"/>
      </w:pPr>
      <w:r>
        <w:rPr>
          <w:rFonts w:ascii="標楷體" w:eastAsia="標楷體" w:hAnsi="標楷體"/>
          <w:color w:val="000000"/>
        </w:rPr>
        <w:t>5.使用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w:t>
      </w:r>
      <w:proofErr w:type="gramStart"/>
      <w:r>
        <w:rPr>
          <w:rFonts w:ascii="標楷體" w:eastAsia="標楷體" w:hAnsi="標楷體" w:cs="標楷體"/>
          <w:color w:val="000000"/>
        </w:rPr>
        <w:t>以前吞</w:t>
      </w:r>
      <w:proofErr w:type="gramEnd"/>
      <w:r>
        <w:rPr>
          <w:rFonts w:ascii="標楷體" w:eastAsia="標楷體" w:hAnsi="標楷體" w:cs="標楷體"/>
          <w:color w:val="000000"/>
        </w:rPr>
        <w:t>東西困難的情況是否有改善？</w:t>
      </w:r>
    </w:p>
    <w:p w14:paraId="7C4D736C"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251FF5A" w14:textId="77777777" w:rsidR="00401786" w:rsidRDefault="00C64FB3" w:rsidP="000E757E">
      <w:pPr>
        <w:snapToGrid w:val="0"/>
        <w:spacing w:line="240" w:lineRule="atLeast"/>
        <w:ind w:left="720"/>
        <w:jc w:val="both"/>
      </w:pPr>
      <w:r>
        <w:rPr>
          <w:rFonts w:ascii="標楷體" w:eastAsia="標楷體" w:hAnsi="標楷體"/>
          <w:color w:val="000000"/>
        </w:rPr>
        <w:t>6.使用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後，以前說話困難的情況是否有改善？</w:t>
      </w:r>
    </w:p>
    <w:p w14:paraId="5EBE091E"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3B70B38B" w14:textId="77777777" w:rsidR="00401786" w:rsidRDefault="00C64FB3" w:rsidP="000E757E">
      <w:pPr>
        <w:snapToGrid w:val="0"/>
        <w:spacing w:line="240" w:lineRule="atLeast"/>
        <w:ind w:left="720"/>
        <w:jc w:val="both"/>
      </w:pPr>
      <w:r>
        <w:rPr>
          <w:rFonts w:ascii="標楷體" w:eastAsia="標楷體" w:hAnsi="標楷體"/>
          <w:color w:val="000000"/>
        </w:rPr>
        <w:t>7.使用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後，以前舌頭燒灼的感覺是否有改善？</w:t>
      </w:r>
    </w:p>
    <w:p w14:paraId="6DA4A7B2"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60C24D73" w14:textId="77777777" w:rsidR="00401786" w:rsidRDefault="00C64FB3" w:rsidP="000E757E">
      <w:pPr>
        <w:snapToGrid w:val="0"/>
        <w:spacing w:line="240" w:lineRule="atLeast"/>
        <w:ind w:left="720"/>
        <w:jc w:val="both"/>
      </w:pPr>
      <w:r>
        <w:rPr>
          <w:rFonts w:ascii="標楷體" w:eastAsia="標楷體" w:hAnsi="標楷體"/>
          <w:color w:val="000000"/>
        </w:rPr>
        <w:t>8.使用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後，以前嘴唇</w:t>
      </w:r>
      <w:proofErr w:type="gramStart"/>
      <w:r>
        <w:rPr>
          <w:rFonts w:ascii="標楷體" w:eastAsia="標楷體" w:hAnsi="標楷體" w:cs="標楷體"/>
          <w:color w:val="000000"/>
        </w:rPr>
        <w:t>乾燥，</w:t>
      </w:r>
      <w:proofErr w:type="gramEnd"/>
      <w:r>
        <w:rPr>
          <w:rFonts w:ascii="標楷體" w:eastAsia="標楷體" w:hAnsi="標楷體" w:cs="標楷體"/>
          <w:color w:val="000000"/>
        </w:rPr>
        <w:t>龜裂的症狀是否有改善？</w:t>
      </w:r>
    </w:p>
    <w:p w14:paraId="1922234D"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DB0F160" w14:textId="77777777" w:rsidR="00401786" w:rsidRDefault="00C64FB3" w:rsidP="000E757E">
      <w:pPr>
        <w:snapToGrid w:val="0"/>
        <w:spacing w:line="240" w:lineRule="atLeast"/>
        <w:ind w:left="720"/>
        <w:jc w:val="both"/>
      </w:pPr>
      <w:r>
        <w:rPr>
          <w:rFonts w:ascii="標楷體" w:eastAsia="標楷體" w:hAnsi="標楷體"/>
          <w:color w:val="000000"/>
        </w:rPr>
        <w:t>9.</w:t>
      </w:r>
      <w:r>
        <w:rPr>
          <w:rFonts w:ascii="標楷體" w:eastAsia="標楷體" w:hAnsi="標楷體" w:cs="標楷體"/>
          <w:color w:val="000000"/>
        </w:rPr>
        <w:t>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後，以前感覺不到味覺的症狀是否有改善？</w:t>
      </w:r>
    </w:p>
    <w:p w14:paraId="1828D6C1"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71C36CA6" w14:textId="77777777" w:rsidR="00401786" w:rsidRDefault="00C64FB3" w:rsidP="000E757E">
      <w:pPr>
        <w:snapToGrid w:val="0"/>
        <w:spacing w:line="240" w:lineRule="atLeast"/>
        <w:ind w:left="1080" w:hanging="360"/>
        <w:jc w:val="both"/>
      </w:pPr>
      <w:r>
        <w:rPr>
          <w:rFonts w:ascii="標楷體" w:eastAsia="標楷體" w:hAnsi="標楷體"/>
          <w:color w:val="000000"/>
        </w:rPr>
        <w:t>10.</w:t>
      </w:r>
      <w:r>
        <w:rPr>
          <w:rFonts w:ascii="標楷體" w:eastAsia="標楷體" w:hAnsi="標楷體" w:cs="標楷體"/>
          <w:color w:val="000000"/>
        </w:rPr>
        <w:t>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後，以前聲音沙啞或改變的情形是否有改善？</w:t>
      </w:r>
    </w:p>
    <w:p w14:paraId="712C0188"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043A788" w14:textId="77777777" w:rsidR="00401786" w:rsidRDefault="00C64FB3" w:rsidP="000E757E">
      <w:pPr>
        <w:snapToGrid w:val="0"/>
        <w:spacing w:line="240" w:lineRule="atLeast"/>
        <w:jc w:val="both"/>
      </w:pPr>
      <w:r>
        <w:rPr>
          <w:rFonts w:ascii="標楷體" w:eastAsia="標楷體" w:hAnsi="標楷體" w:cs="標楷體"/>
          <w:color w:val="000000"/>
        </w:rPr>
        <w:t>勾選完後，</w:t>
      </w:r>
      <w:proofErr w:type="gramStart"/>
      <w:r>
        <w:rPr>
          <w:rFonts w:ascii="標楷體" w:eastAsia="標楷體" w:hAnsi="標楷體" w:cs="標楷體"/>
          <w:color w:val="000000"/>
        </w:rPr>
        <w:t>請交由</w:t>
      </w:r>
      <w:proofErr w:type="gramEnd"/>
      <w:r>
        <w:rPr>
          <w:rFonts w:ascii="標楷體" w:eastAsia="標楷體" w:hAnsi="標楷體" w:cs="標楷體"/>
          <w:color w:val="000000"/>
        </w:rPr>
        <w:t>醫師評量你口乾的症狀</w:t>
      </w:r>
    </w:p>
    <w:p w14:paraId="7E7EE03F" w14:textId="77777777" w:rsidR="00401786" w:rsidRPr="006529A9" w:rsidRDefault="00C64FB3" w:rsidP="000E757E">
      <w:pPr>
        <w:snapToGrid w:val="0"/>
        <w:spacing w:line="240" w:lineRule="atLeast"/>
        <w:ind w:left="7680" w:hanging="7680"/>
        <w:jc w:val="both"/>
        <w:rPr>
          <w:rFonts w:ascii="標楷體" w:eastAsia="標楷體" w:hAnsi="標楷體" w:cs="標楷體"/>
          <w:b/>
          <w:bCs/>
          <w:color w:val="000000"/>
        </w:rPr>
      </w:pPr>
      <w:r>
        <w:rPr>
          <w:rFonts w:ascii="標楷體" w:eastAsia="標楷體" w:hAnsi="標楷體" w:cs="標楷體"/>
          <w:b/>
          <w:bCs/>
          <w:color w:val="000000"/>
        </w:rPr>
        <w:t>總分：□繼續服用</w:t>
      </w:r>
      <w:proofErr w:type="spellStart"/>
      <w:r w:rsidRPr="006529A9">
        <w:rPr>
          <w:rFonts w:ascii="標楷體" w:eastAsia="標楷體" w:hAnsi="標楷體" w:cs="標楷體"/>
          <w:b/>
          <w:bCs/>
          <w:color w:val="000000"/>
        </w:rPr>
        <w:t>pilocarpinehydrochloride</w:t>
      </w:r>
      <w:proofErr w:type="spellEnd"/>
      <w:r w:rsidRPr="006529A9">
        <w:rPr>
          <w:rFonts w:ascii="標楷體" w:eastAsia="標楷體" w:hAnsi="標楷體" w:cs="標楷體"/>
          <w:b/>
          <w:bCs/>
          <w:color w:val="000000"/>
        </w:rPr>
        <w:t>口服劑型</w:t>
      </w:r>
    </w:p>
    <w:p w14:paraId="646DDAE7" w14:textId="77777777" w:rsidR="00401786" w:rsidRPr="006529A9" w:rsidRDefault="00C64FB3" w:rsidP="006529A9">
      <w:pPr>
        <w:snapToGrid w:val="0"/>
        <w:spacing w:line="240" w:lineRule="atLeast"/>
        <w:ind w:left="8505" w:hanging="7796"/>
        <w:jc w:val="both"/>
        <w:rPr>
          <w:rFonts w:ascii="標楷體" w:eastAsia="標楷體" w:hAnsi="標楷體" w:cs="標楷體"/>
          <w:b/>
          <w:bCs/>
          <w:color w:val="000000"/>
        </w:rPr>
      </w:pPr>
      <w:r>
        <w:rPr>
          <w:rFonts w:ascii="標楷體" w:eastAsia="標楷體" w:hAnsi="標楷體" w:cs="標楷體"/>
          <w:b/>
          <w:bCs/>
          <w:color w:val="000000"/>
        </w:rPr>
        <w:t>□不建議服用</w:t>
      </w:r>
      <w:proofErr w:type="spellStart"/>
      <w:r w:rsidRPr="006529A9">
        <w:rPr>
          <w:rFonts w:ascii="標楷體" w:eastAsia="標楷體" w:hAnsi="標楷體" w:cs="標楷體"/>
          <w:b/>
          <w:bCs/>
          <w:color w:val="000000"/>
        </w:rPr>
        <w:t>pilocarpinehydrochloride</w:t>
      </w:r>
      <w:proofErr w:type="spellEnd"/>
      <w:r w:rsidRPr="006529A9">
        <w:rPr>
          <w:rFonts w:ascii="標楷體" w:eastAsia="標楷體" w:hAnsi="標楷體" w:cs="標楷體"/>
          <w:b/>
          <w:bCs/>
          <w:color w:val="000000"/>
        </w:rPr>
        <w:t>口服劑型</w:t>
      </w:r>
    </w:p>
    <w:p w14:paraId="6573C03C" w14:textId="77777777" w:rsidR="00401786" w:rsidRDefault="00C64FB3" w:rsidP="000E757E">
      <w:pPr>
        <w:tabs>
          <w:tab w:val="left" w:pos="2520"/>
        </w:tabs>
        <w:snapToGrid w:val="0"/>
        <w:spacing w:line="240" w:lineRule="atLeast"/>
        <w:ind w:left="2880" w:firstLine="4584"/>
        <w:jc w:val="both"/>
      </w:pPr>
      <w:r>
        <w:rPr>
          <w:rFonts w:ascii="標楷體" w:eastAsia="標楷體" w:hAnsi="標楷體" w:cs="標楷體"/>
          <w:b/>
          <w:bCs/>
          <w:color w:val="000000"/>
        </w:rPr>
        <w:t>醫師簽章：</w:t>
      </w:r>
    </w:p>
    <w:p w14:paraId="24A2A25A" w14:textId="77777777" w:rsidR="00401786" w:rsidRDefault="00C64FB3" w:rsidP="000E757E">
      <w:pPr>
        <w:snapToGrid w:val="0"/>
        <w:spacing w:line="240" w:lineRule="atLeast"/>
        <w:jc w:val="both"/>
      </w:pPr>
      <w:r>
        <w:rPr>
          <w:rFonts w:ascii="標楷體" w:eastAsia="標楷體" w:hAnsi="標楷體" w:cs="標楷體"/>
          <w:b/>
          <w:bCs/>
          <w:color w:val="000000"/>
        </w:rPr>
        <w:t>日期：</w:t>
      </w:r>
    </w:p>
    <w:p w14:paraId="0E3B2765" w14:textId="77777777" w:rsidR="00401786" w:rsidRDefault="00C64FB3" w:rsidP="000E757E">
      <w:pPr>
        <w:snapToGrid w:val="0"/>
        <w:spacing w:line="240" w:lineRule="atLeast"/>
        <w:ind w:left="1200" w:hanging="1200"/>
        <w:jc w:val="both"/>
      </w:pPr>
      <w:r>
        <w:rPr>
          <w:rFonts w:ascii="標楷體" w:eastAsia="標楷體" w:hAnsi="標楷體"/>
          <w:color w:val="000000"/>
          <w:sz w:val="20"/>
          <w:szCs w:val="20"/>
        </w:rPr>
        <w:t>附註：總分大於十分（含）以上者，証明病人服用</w:t>
      </w:r>
      <w:proofErr w:type="spellStart"/>
      <w:r>
        <w:rPr>
          <w:rFonts w:ascii="標楷體" w:eastAsia="標楷體" w:hAnsi="標楷體"/>
          <w:color w:val="000000"/>
          <w:sz w:val="20"/>
          <w:szCs w:val="20"/>
          <w:u w:val="single"/>
        </w:rPr>
        <w:t>pilocarpinehydrochloride</w:t>
      </w:r>
      <w:proofErr w:type="spellEnd"/>
      <w:r>
        <w:rPr>
          <w:rFonts w:ascii="標楷體" w:eastAsia="標楷體" w:hAnsi="標楷體"/>
          <w:color w:val="000000"/>
          <w:sz w:val="20"/>
          <w:szCs w:val="20"/>
          <w:u w:val="single"/>
        </w:rPr>
        <w:t>口服劑型</w:t>
      </w:r>
      <w:r>
        <w:rPr>
          <w:rFonts w:ascii="標楷體" w:eastAsia="標楷體" w:hAnsi="標楷體"/>
          <w:color w:val="000000"/>
          <w:sz w:val="20"/>
          <w:szCs w:val="20"/>
        </w:rPr>
        <w:t>的確有改善，可以繼續服用。若低於10分，則不建議服用。</w:t>
      </w:r>
      <w:r>
        <w:rPr>
          <w:noProof/>
        </w:rPr>
        <mc:AlternateContent>
          <mc:Choice Requires="wps">
            <w:drawing>
              <wp:anchor distT="0" distB="0" distL="114300" distR="114300" simplePos="0" relativeHeight="251642880" behindDoc="0" locked="0" layoutInCell="1" allowOverlap="1" wp14:anchorId="24E38C18" wp14:editId="48822F3D">
                <wp:simplePos x="0" y="0"/>
                <wp:positionH relativeFrom="column">
                  <wp:posOffset>5181603</wp:posOffset>
                </wp:positionH>
                <wp:positionV relativeFrom="paragraph">
                  <wp:posOffset>7632697</wp:posOffset>
                </wp:positionV>
                <wp:extent cx="914400" cy="457200"/>
                <wp:effectExtent l="0" t="0" r="0" b="0"/>
                <wp:wrapNone/>
                <wp:docPr id="24" name="Rectangle 48"/>
                <wp:cNvGraphicFramePr/>
                <a:graphic xmlns:a="http://schemas.openxmlformats.org/drawingml/2006/main">
                  <a:graphicData uri="http://schemas.microsoft.com/office/word/2010/wordprocessingShape">
                    <wps:wsp>
                      <wps:cNvSpPr/>
                      <wps:spPr>
                        <a:xfrm>
                          <a:off x="0" y="0"/>
                          <a:ext cx="914400" cy="457200"/>
                        </a:xfrm>
                        <a:prstGeom prst="rect">
                          <a:avLst/>
                        </a:prstGeom>
                        <a:solidFill>
                          <a:srgbClr val="FFFFFF"/>
                        </a:solidFill>
                        <a:ln cap="flat">
                          <a:noFill/>
                          <a:prstDash val="solid"/>
                        </a:ln>
                      </wps:spPr>
                      <wps:bodyPr lIns="0" tIns="0" rIns="0" bIns="0"/>
                    </wps:wsp>
                  </a:graphicData>
                </a:graphic>
              </wp:anchor>
            </w:drawing>
          </mc:Choice>
          <mc:Fallback>
            <w:pict>
              <v:rect w14:anchorId="061C5175" id="Rectangle 48" o:spid="_x0000_s1026" style="position:absolute;margin-left:408pt;margin-top:601pt;width:1in;height:3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" stroked="f">
                <v:textbox inset="0,0,0,0"/>
              </v:rect>
            </w:pict>
          </mc:Fallback>
        </mc:AlternateContent>
      </w:r>
    </w:p>
    <w:p w14:paraId="0E631939" w14:textId="77777777" w:rsidR="00401786" w:rsidRPr="0008141B" w:rsidRDefault="00C64FB3" w:rsidP="000E757E">
      <w:pPr>
        <w:pageBreakBefore/>
        <w:snapToGrid w:val="0"/>
        <w:spacing w:line="240" w:lineRule="atLeast"/>
        <w:ind w:right="6"/>
        <w:jc w:val="center"/>
        <w:rPr>
          <w:b/>
          <w:bCs/>
        </w:rPr>
      </w:pPr>
      <w:r w:rsidRPr="0008141B">
        <w:rPr>
          <w:rFonts w:ascii="標楷體" w:eastAsia="標楷體" w:hAnsi="標楷體"/>
          <w:b/>
          <w:bCs/>
          <w:color w:val="000000"/>
        </w:rPr>
        <w:lastRenderedPageBreak/>
        <w:t>附表二十全民健康保險使用</w:t>
      </w:r>
      <w:proofErr w:type="spellStart"/>
      <w:r w:rsidRPr="0008141B">
        <w:rPr>
          <w:rFonts w:ascii="標楷體" w:eastAsia="標楷體" w:hAnsi="標楷體"/>
          <w:b/>
          <w:bCs/>
          <w:color w:val="000000"/>
          <w:kern w:val="0"/>
        </w:rPr>
        <w:t>Cevimelinehydrochloride</w:t>
      </w:r>
      <w:proofErr w:type="spellEnd"/>
      <w:r w:rsidRPr="0008141B">
        <w:rPr>
          <w:rFonts w:ascii="標楷體" w:eastAsia="標楷體" w:hAnsi="標楷體"/>
          <w:b/>
          <w:bCs/>
          <w:color w:val="000000"/>
        </w:rPr>
        <w:t>治療後，</w:t>
      </w:r>
    </w:p>
    <w:p w14:paraId="0ACB56C8" w14:textId="77777777" w:rsidR="00401786" w:rsidRPr="0008141B" w:rsidRDefault="00C64FB3" w:rsidP="000E757E">
      <w:pPr>
        <w:autoSpaceDE w:val="0"/>
        <w:snapToGrid w:val="0"/>
        <w:spacing w:line="240" w:lineRule="atLeast"/>
        <w:jc w:val="center"/>
        <w:rPr>
          <w:b/>
          <w:bCs/>
        </w:rPr>
      </w:pPr>
      <w:r w:rsidRPr="0008141B">
        <w:rPr>
          <w:rFonts w:ascii="標楷體" w:eastAsia="標楷體" w:hAnsi="標楷體"/>
          <w:b/>
          <w:bCs/>
          <w:color w:val="000000"/>
        </w:rPr>
        <w:t>症狀改善評量表</w:t>
      </w:r>
    </w:p>
    <w:p w14:paraId="35CCFD8A" w14:textId="77777777" w:rsidR="00401786" w:rsidRDefault="00C64FB3" w:rsidP="000E757E">
      <w:pPr>
        <w:snapToGrid w:val="0"/>
        <w:spacing w:line="240" w:lineRule="atLeast"/>
        <w:ind w:firstLine="720"/>
        <w:jc w:val="both"/>
      </w:pPr>
      <w:r>
        <w:rPr>
          <w:rFonts w:ascii="標楷體" w:eastAsia="標楷體" w:hAnsi="標楷體" w:cs="標楷體"/>
          <w:color w:val="000000"/>
        </w:rPr>
        <w:t>病人姓名：病歷號碼：</w:t>
      </w:r>
    </w:p>
    <w:p w14:paraId="14276A88" w14:textId="77777777" w:rsidR="00401786" w:rsidRDefault="00C64FB3" w:rsidP="000E757E">
      <w:pPr>
        <w:snapToGrid w:val="0"/>
        <w:spacing w:line="240" w:lineRule="atLeast"/>
        <w:ind w:left="958"/>
        <w:jc w:val="both"/>
      </w:pPr>
      <w:r>
        <w:rPr>
          <w:rFonts w:ascii="標楷體" w:eastAsia="標楷體" w:hAnsi="標楷體" w:cs="標楷體"/>
          <w:color w:val="000000"/>
        </w:rPr>
        <w:t>（請依自覺程度給分）：</w:t>
      </w:r>
    </w:p>
    <w:p w14:paraId="472E9D40" w14:textId="77777777" w:rsidR="00401786" w:rsidRDefault="00C64FB3" w:rsidP="000E757E">
      <w:pPr>
        <w:snapToGrid w:val="0"/>
        <w:spacing w:line="240" w:lineRule="atLeast"/>
        <w:ind w:left="720"/>
        <w:jc w:val="both"/>
      </w:pPr>
      <w:r>
        <w:rPr>
          <w:rFonts w:ascii="標楷體" w:eastAsia="標楷體" w:hAnsi="標楷體"/>
          <w:color w:val="000000"/>
        </w:rPr>
        <w:t>1.</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後，以前口腔乾燥的情形是否有改善？</w:t>
      </w:r>
    </w:p>
    <w:p w14:paraId="625382C7"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38CD0707" w14:textId="77777777" w:rsidR="00401786" w:rsidRDefault="00C64FB3" w:rsidP="000E757E">
      <w:pPr>
        <w:snapToGrid w:val="0"/>
        <w:spacing w:line="240" w:lineRule="atLeast"/>
        <w:ind w:left="924" w:hanging="209"/>
        <w:jc w:val="both"/>
      </w:pPr>
      <w:r>
        <w:rPr>
          <w:rFonts w:ascii="標楷體" w:eastAsia="標楷體" w:hAnsi="標楷體"/>
          <w:color w:val="000000"/>
        </w:rPr>
        <w:t>2.</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後，以前晚上睡覺時，需要起來喝水的次數是否有改善？</w:t>
      </w:r>
    </w:p>
    <w:p w14:paraId="2C935F40"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2CB9ED92" w14:textId="77777777" w:rsidR="00401786" w:rsidRDefault="00C64FB3" w:rsidP="000E757E">
      <w:pPr>
        <w:snapToGrid w:val="0"/>
        <w:spacing w:line="240" w:lineRule="atLeast"/>
        <w:ind w:left="720"/>
        <w:jc w:val="both"/>
      </w:pPr>
      <w:r>
        <w:rPr>
          <w:rFonts w:ascii="標楷體" w:eastAsia="標楷體" w:hAnsi="標楷體"/>
          <w:color w:val="000000"/>
        </w:rPr>
        <w:t>3.</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後，以前隨身準備水的習慣是否有改善？</w:t>
      </w:r>
    </w:p>
    <w:p w14:paraId="73DBD347"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完全改善（3）□明顯改善（2）□輕微改善（1）□沒有改善（0）□更加嚴重（-1）</w:t>
      </w:r>
    </w:p>
    <w:p w14:paraId="53453172" w14:textId="77777777" w:rsidR="00401786" w:rsidRDefault="00C64FB3" w:rsidP="000E757E">
      <w:pPr>
        <w:snapToGrid w:val="0"/>
        <w:spacing w:line="240" w:lineRule="atLeast"/>
        <w:ind w:left="720"/>
        <w:jc w:val="both"/>
      </w:pPr>
      <w:r>
        <w:rPr>
          <w:rFonts w:ascii="標楷體" w:eastAsia="標楷體" w:hAnsi="標楷體"/>
          <w:color w:val="000000"/>
        </w:rPr>
        <w:t>4.</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後，以前口渴的情況是否有改善？</w:t>
      </w:r>
    </w:p>
    <w:p w14:paraId="2086B690"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完全改善（3）□明顯改善（2）□輕微改善（1）□沒有改善（0）□更加嚴重（-1）</w:t>
      </w:r>
    </w:p>
    <w:p w14:paraId="6B16651D" w14:textId="77777777" w:rsidR="00401786" w:rsidRDefault="00C64FB3" w:rsidP="000E757E">
      <w:pPr>
        <w:snapToGrid w:val="0"/>
        <w:spacing w:line="240" w:lineRule="atLeast"/>
        <w:ind w:left="720"/>
        <w:jc w:val="both"/>
      </w:pPr>
      <w:r>
        <w:rPr>
          <w:rFonts w:ascii="標楷體" w:eastAsia="標楷體" w:hAnsi="標楷體"/>
          <w:color w:val="000000"/>
        </w:rPr>
        <w:t>5.</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w:t>
      </w:r>
      <w:proofErr w:type="gramStart"/>
      <w:r>
        <w:rPr>
          <w:rFonts w:ascii="標楷體" w:eastAsia="標楷體" w:hAnsi="標楷體" w:cs="標楷體"/>
          <w:color w:val="000000"/>
        </w:rPr>
        <w:t>以前吞</w:t>
      </w:r>
      <w:proofErr w:type="gramEnd"/>
      <w:r>
        <w:rPr>
          <w:rFonts w:ascii="標楷體" w:eastAsia="標楷體" w:hAnsi="標楷體" w:cs="標楷體"/>
          <w:color w:val="000000"/>
        </w:rPr>
        <w:t>東西困難的情況是否有改善？</w:t>
      </w:r>
    </w:p>
    <w:p w14:paraId="5531E938"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76CCE188" w14:textId="77777777" w:rsidR="00401786" w:rsidRDefault="00C64FB3" w:rsidP="000E757E">
      <w:pPr>
        <w:snapToGrid w:val="0"/>
        <w:spacing w:line="240" w:lineRule="atLeast"/>
        <w:ind w:left="720"/>
        <w:jc w:val="both"/>
      </w:pPr>
      <w:r>
        <w:rPr>
          <w:rFonts w:ascii="標楷體" w:eastAsia="標楷體" w:hAnsi="標楷體"/>
          <w:color w:val="000000"/>
        </w:rPr>
        <w:t>6.</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後，以前說話困難的情況是否有改善？</w:t>
      </w:r>
    </w:p>
    <w:p w14:paraId="2CF51698"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5170862E" w14:textId="77777777" w:rsidR="00401786" w:rsidRDefault="00C64FB3" w:rsidP="000E757E">
      <w:pPr>
        <w:snapToGrid w:val="0"/>
        <w:spacing w:line="240" w:lineRule="atLeast"/>
        <w:ind w:left="720"/>
        <w:jc w:val="both"/>
      </w:pPr>
      <w:r>
        <w:rPr>
          <w:rFonts w:ascii="標楷體" w:eastAsia="標楷體" w:hAnsi="標楷體"/>
          <w:color w:val="000000"/>
        </w:rPr>
        <w:t>7.</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後，以前舌頭燒灼的感覺是否有改善？</w:t>
      </w:r>
    </w:p>
    <w:p w14:paraId="64D87F0E"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608F2EF3" w14:textId="77777777" w:rsidR="00401786" w:rsidRDefault="00C64FB3" w:rsidP="000E757E">
      <w:pPr>
        <w:snapToGrid w:val="0"/>
        <w:spacing w:line="240" w:lineRule="atLeast"/>
        <w:ind w:left="720"/>
        <w:jc w:val="both"/>
      </w:pPr>
      <w:r>
        <w:rPr>
          <w:rFonts w:ascii="標楷體" w:eastAsia="標楷體" w:hAnsi="標楷體"/>
          <w:color w:val="000000"/>
        </w:rPr>
        <w:t>8.</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後，以前嘴唇</w:t>
      </w:r>
      <w:proofErr w:type="gramStart"/>
      <w:r>
        <w:rPr>
          <w:rFonts w:ascii="標楷體" w:eastAsia="標楷體" w:hAnsi="標楷體" w:cs="標楷體"/>
          <w:color w:val="000000"/>
        </w:rPr>
        <w:t>乾燥，</w:t>
      </w:r>
      <w:proofErr w:type="gramEnd"/>
      <w:r>
        <w:rPr>
          <w:rFonts w:ascii="標楷體" w:eastAsia="標楷體" w:hAnsi="標楷體" w:cs="標楷體"/>
          <w:color w:val="000000"/>
        </w:rPr>
        <w:t>龜裂的症狀是否有改善？</w:t>
      </w:r>
    </w:p>
    <w:p w14:paraId="70090B92"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260DE470" w14:textId="77777777" w:rsidR="00401786" w:rsidRDefault="00C64FB3" w:rsidP="000E757E">
      <w:pPr>
        <w:snapToGrid w:val="0"/>
        <w:spacing w:line="240" w:lineRule="atLeast"/>
        <w:ind w:left="720"/>
        <w:jc w:val="both"/>
      </w:pPr>
      <w:r>
        <w:rPr>
          <w:rFonts w:ascii="標楷體" w:eastAsia="標楷體" w:hAnsi="標楷體"/>
          <w:color w:val="000000"/>
        </w:rPr>
        <w:t>9.</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後，以前感覺不到味覺的症狀是否有改善？</w:t>
      </w:r>
    </w:p>
    <w:p w14:paraId="7E017506"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18F36D4E" w14:textId="77777777" w:rsidR="00401786" w:rsidRDefault="00C64FB3" w:rsidP="000E757E">
      <w:pPr>
        <w:snapToGrid w:val="0"/>
        <w:spacing w:line="240" w:lineRule="atLeast"/>
        <w:ind w:left="720"/>
        <w:jc w:val="both"/>
      </w:pPr>
      <w:r>
        <w:rPr>
          <w:rFonts w:ascii="標楷體" w:eastAsia="標楷體" w:hAnsi="標楷體"/>
          <w:color w:val="000000"/>
        </w:rPr>
        <w:t>10.使</w:t>
      </w:r>
      <w:r>
        <w:rPr>
          <w:rFonts w:ascii="標楷體" w:eastAsia="標楷體" w:hAnsi="標楷體" w:cs="標楷體"/>
          <w:color w:val="000000"/>
        </w:rPr>
        <w:t>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後，以前聲音沙啞或改變的情形是否有改善？</w:t>
      </w:r>
    </w:p>
    <w:p w14:paraId="4DB50235" w14:textId="77777777" w:rsidR="00401786" w:rsidRDefault="00C64FB3" w:rsidP="002144EC">
      <w:pPr>
        <w:numPr>
          <w:ilvl w:val="0"/>
          <w:numId w:val="81"/>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34227FED" w14:textId="77777777" w:rsidR="00401786" w:rsidRDefault="00C64FB3" w:rsidP="000E757E">
      <w:pPr>
        <w:snapToGrid w:val="0"/>
        <w:spacing w:line="240" w:lineRule="atLeast"/>
        <w:jc w:val="both"/>
      </w:pPr>
      <w:r>
        <w:rPr>
          <w:rFonts w:ascii="標楷體" w:eastAsia="標楷體" w:hAnsi="標楷體" w:cs="標楷體"/>
          <w:color w:val="000000"/>
        </w:rPr>
        <w:t>勾選完後，</w:t>
      </w:r>
      <w:proofErr w:type="gramStart"/>
      <w:r>
        <w:rPr>
          <w:rFonts w:ascii="標楷體" w:eastAsia="標楷體" w:hAnsi="標楷體" w:cs="標楷體"/>
          <w:color w:val="000000"/>
        </w:rPr>
        <w:t>請交由</w:t>
      </w:r>
      <w:proofErr w:type="gramEnd"/>
      <w:r>
        <w:rPr>
          <w:rFonts w:ascii="標楷體" w:eastAsia="標楷體" w:hAnsi="標楷體" w:cs="標楷體"/>
          <w:color w:val="000000"/>
        </w:rPr>
        <w:t>醫師評量你口乾的症狀</w:t>
      </w:r>
    </w:p>
    <w:p w14:paraId="2A926451" w14:textId="77777777" w:rsidR="00401786" w:rsidRDefault="00C64FB3" w:rsidP="000E757E">
      <w:pPr>
        <w:snapToGrid w:val="0"/>
        <w:spacing w:line="240" w:lineRule="atLeast"/>
        <w:ind w:left="7680" w:hanging="7680"/>
        <w:jc w:val="both"/>
      </w:pPr>
      <w:r>
        <w:rPr>
          <w:rFonts w:ascii="標楷體" w:eastAsia="標楷體" w:hAnsi="標楷體" w:cs="標楷體"/>
          <w:b/>
          <w:bCs/>
          <w:color w:val="000000"/>
        </w:rPr>
        <w:t>總分：□繼續服用</w:t>
      </w:r>
      <w:proofErr w:type="spellStart"/>
      <w:r>
        <w:rPr>
          <w:rFonts w:ascii="標楷體" w:eastAsia="標楷體" w:hAnsi="標楷體"/>
          <w:b/>
          <w:color w:val="000000"/>
          <w:kern w:val="0"/>
          <w:u w:val="single"/>
        </w:rPr>
        <w:t>cevimelinehydrochloride</w:t>
      </w:r>
      <w:proofErr w:type="spellEnd"/>
    </w:p>
    <w:p w14:paraId="4D1F3A43" w14:textId="77777777" w:rsidR="00401786" w:rsidRDefault="00C64FB3" w:rsidP="006529A9">
      <w:pPr>
        <w:tabs>
          <w:tab w:val="left" w:pos="2520"/>
        </w:tabs>
        <w:snapToGrid w:val="0"/>
        <w:spacing w:line="240" w:lineRule="atLeast"/>
        <w:ind w:left="709"/>
        <w:jc w:val="both"/>
      </w:pPr>
      <w:r>
        <w:rPr>
          <w:rFonts w:ascii="標楷體" w:eastAsia="標楷體" w:hAnsi="標楷體" w:cs="標楷體"/>
          <w:b/>
          <w:bCs/>
          <w:color w:val="000000"/>
        </w:rPr>
        <w:t>□不建議服用</w:t>
      </w:r>
      <w:proofErr w:type="spellStart"/>
      <w:r>
        <w:rPr>
          <w:rFonts w:ascii="標楷體" w:eastAsia="標楷體" w:hAnsi="標楷體"/>
          <w:b/>
          <w:color w:val="000000"/>
          <w:kern w:val="0"/>
          <w:u w:val="single"/>
        </w:rPr>
        <w:t>cevimelinehydrochloride</w:t>
      </w:r>
      <w:proofErr w:type="spellEnd"/>
    </w:p>
    <w:p w14:paraId="420AF714" w14:textId="77777777" w:rsidR="00401786" w:rsidRDefault="00C64FB3" w:rsidP="000E757E">
      <w:pPr>
        <w:tabs>
          <w:tab w:val="left" w:pos="2520"/>
        </w:tabs>
        <w:snapToGrid w:val="0"/>
        <w:spacing w:line="240" w:lineRule="atLeast"/>
        <w:ind w:left="2880" w:firstLine="4584"/>
        <w:jc w:val="both"/>
      </w:pPr>
      <w:r>
        <w:rPr>
          <w:rFonts w:ascii="標楷體" w:eastAsia="標楷體" w:hAnsi="標楷體" w:cs="標楷體"/>
          <w:b/>
          <w:bCs/>
          <w:color w:val="000000"/>
        </w:rPr>
        <w:t>醫師簽章：</w:t>
      </w:r>
    </w:p>
    <w:p w14:paraId="39B592D5" w14:textId="77777777" w:rsidR="00401786" w:rsidRDefault="00C64FB3" w:rsidP="000E757E">
      <w:pPr>
        <w:snapToGrid w:val="0"/>
        <w:spacing w:line="240" w:lineRule="atLeast"/>
        <w:jc w:val="both"/>
      </w:pPr>
      <w:r>
        <w:rPr>
          <w:rFonts w:ascii="標楷體" w:eastAsia="標楷體" w:hAnsi="標楷體" w:cs="標楷體"/>
          <w:b/>
          <w:bCs/>
          <w:color w:val="000000"/>
        </w:rPr>
        <w:t>日期：</w:t>
      </w:r>
    </w:p>
    <w:p w14:paraId="05CEC3AF" w14:textId="77777777" w:rsidR="00401786" w:rsidRDefault="00C64FB3" w:rsidP="000E757E">
      <w:pPr>
        <w:snapToGrid w:val="0"/>
        <w:spacing w:line="240" w:lineRule="atLeast"/>
        <w:ind w:left="1162" w:hanging="1162"/>
      </w:pPr>
      <w:r>
        <w:rPr>
          <w:rFonts w:ascii="標楷體" w:eastAsia="標楷體" w:hAnsi="標楷體"/>
          <w:color w:val="000000"/>
          <w:sz w:val="20"/>
          <w:szCs w:val="20"/>
        </w:rPr>
        <w:t>附註：總分大於十分（含）以上者，証明病人服用</w:t>
      </w:r>
      <w:proofErr w:type="spellStart"/>
      <w:r>
        <w:rPr>
          <w:rFonts w:ascii="標楷體" w:eastAsia="標楷體" w:hAnsi="標楷體"/>
          <w:color w:val="000000"/>
          <w:kern w:val="0"/>
          <w:u w:val="single"/>
        </w:rPr>
        <w:t>cevimelinehydrochloride</w:t>
      </w:r>
      <w:proofErr w:type="spellEnd"/>
      <w:r>
        <w:rPr>
          <w:rFonts w:ascii="標楷體" w:eastAsia="標楷體" w:hAnsi="標楷體"/>
          <w:color w:val="000000"/>
          <w:sz w:val="20"/>
          <w:szCs w:val="20"/>
        </w:rPr>
        <w:t>的確有改善，可以繼續服用。若低於10分，則不建議服用。</w:t>
      </w:r>
    </w:p>
    <w:p w14:paraId="6835BCEE" w14:textId="77777777" w:rsidR="00401786" w:rsidRPr="0008141B" w:rsidRDefault="00C64FB3" w:rsidP="000E757E">
      <w:pPr>
        <w:pageBreakBefore/>
        <w:snapToGrid w:val="0"/>
        <w:spacing w:line="240" w:lineRule="atLeast"/>
        <w:ind w:left="-130" w:right="-284"/>
        <w:jc w:val="center"/>
        <w:rPr>
          <w:rFonts w:ascii="標楷體" w:eastAsia="標楷體" w:hAnsi="標楷體"/>
          <w:b/>
          <w:bCs/>
        </w:rPr>
      </w:pPr>
      <w:r w:rsidRPr="0008141B">
        <w:rPr>
          <w:rFonts w:ascii="標楷體" w:eastAsia="標楷體" w:hAnsi="標楷體"/>
          <w:b/>
          <w:bCs/>
        </w:rPr>
        <w:lastRenderedPageBreak/>
        <w:t>附表二十一之</w:t>
      </w:r>
      <w:proofErr w:type="gramStart"/>
      <w:r w:rsidRPr="0008141B">
        <w:rPr>
          <w:rFonts w:ascii="標楷體" w:eastAsia="標楷體" w:hAnsi="標楷體"/>
          <w:b/>
          <w:bCs/>
        </w:rPr>
        <w:t>一</w:t>
      </w:r>
      <w:proofErr w:type="gramEnd"/>
      <w:r w:rsidRPr="0008141B">
        <w:rPr>
          <w:rFonts w:ascii="標楷體" w:eastAsia="標楷體" w:hAnsi="標楷體"/>
          <w:b/>
          <w:bCs/>
        </w:rPr>
        <w:t>全民健康保險僵直性脊椎炎使用生物製劑申請表</w:t>
      </w:r>
    </w:p>
    <w:p w14:paraId="709DE4AE" w14:textId="77777777" w:rsidR="00401786" w:rsidRDefault="00401786" w:rsidP="000E757E">
      <w:pPr>
        <w:snapToGrid w:val="0"/>
        <w:spacing w:line="240" w:lineRule="atLeast"/>
        <w:ind w:left="-130" w:right="-284"/>
        <w:jc w:val="center"/>
        <w:rPr>
          <w:rFonts w:ascii="標楷體" w:eastAsia="標楷體" w:hAnsi="標楷體"/>
        </w:rPr>
      </w:pPr>
    </w:p>
    <w:tbl>
      <w:tblPr>
        <w:tblW w:w="9575" w:type="dxa"/>
        <w:tblInd w:w="309" w:type="dxa"/>
        <w:tblLayout w:type="fixed"/>
        <w:tblCellMar>
          <w:left w:w="10" w:type="dxa"/>
          <w:right w:w="10" w:type="dxa"/>
        </w:tblCellMar>
        <w:tblLook w:val="0000" w:firstRow="0" w:lastRow="0" w:firstColumn="0" w:lastColumn="0" w:noHBand="0" w:noVBand="0"/>
      </w:tblPr>
      <w:tblGrid>
        <w:gridCol w:w="1477"/>
        <w:gridCol w:w="1547"/>
        <w:gridCol w:w="1408"/>
        <w:gridCol w:w="1601"/>
        <w:gridCol w:w="1050"/>
        <w:gridCol w:w="2492"/>
      </w:tblGrid>
      <w:tr w:rsidR="00401786" w14:paraId="1DBF1EFE" w14:textId="77777777">
        <w:trPr>
          <w:cantSplit/>
          <w:trHeight w:val="50"/>
        </w:trPr>
        <w:tc>
          <w:tcPr>
            <w:tcW w:w="147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45AC877"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C974BD" w14:textId="77777777" w:rsidR="00401786" w:rsidRDefault="00401786" w:rsidP="000E757E">
            <w:pPr>
              <w:snapToGrid w:val="0"/>
              <w:spacing w:line="240" w:lineRule="atLeast"/>
              <w:rPr>
                <w:rFonts w:ascii="標楷體" w:eastAsia="標楷體" w:hAnsi="標楷體"/>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0906C13"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F8EE094" w14:textId="77777777" w:rsidR="00401786" w:rsidRDefault="00401786" w:rsidP="000E757E">
            <w:pPr>
              <w:snapToGrid w:val="0"/>
              <w:spacing w:line="240" w:lineRule="atLeast"/>
              <w:rPr>
                <w:rFonts w:ascii="標楷體" w:eastAsia="標楷體" w:hAnsi="標楷體"/>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4A7924"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492"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F1618B8" w14:textId="77777777" w:rsidR="00401786" w:rsidRDefault="00401786" w:rsidP="000E757E">
            <w:pPr>
              <w:snapToGrid w:val="0"/>
              <w:spacing w:line="240" w:lineRule="atLeast"/>
              <w:rPr>
                <w:rFonts w:ascii="標楷體" w:eastAsia="標楷體" w:hAnsi="標楷體"/>
              </w:rPr>
            </w:pPr>
          </w:p>
        </w:tc>
      </w:tr>
      <w:tr w:rsidR="00401786" w14:paraId="5CC8DA9B" w14:textId="77777777">
        <w:trPr>
          <w:cantSplit/>
          <w:trHeight w:val="83"/>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814A913"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A71D96"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526DB9C"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C3BA87" w14:textId="77777777" w:rsidR="00401786" w:rsidRDefault="00401786" w:rsidP="000E757E">
            <w:pPr>
              <w:snapToGrid w:val="0"/>
              <w:spacing w:line="240" w:lineRule="atLeast"/>
              <w:rPr>
                <w:rFonts w:ascii="標楷體" w:eastAsia="標楷體" w:hAnsi="標楷體"/>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D79221"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A0DC198" w14:textId="77777777" w:rsidR="00401786" w:rsidRDefault="00401786" w:rsidP="000E757E">
            <w:pPr>
              <w:snapToGrid w:val="0"/>
              <w:spacing w:line="240" w:lineRule="atLeast"/>
              <w:rPr>
                <w:rFonts w:ascii="標楷體" w:eastAsia="標楷體" w:hAnsi="標楷體"/>
              </w:rPr>
            </w:pPr>
          </w:p>
        </w:tc>
      </w:tr>
      <w:tr w:rsidR="00401786" w14:paraId="0DE2C17E" w14:textId="77777777">
        <w:trPr>
          <w:cantSplit/>
          <w:trHeight w:val="51"/>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07745DA"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BF71FF"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D850726"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700988" w14:textId="77777777" w:rsidR="00401786" w:rsidRDefault="00401786" w:rsidP="000E757E">
            <w:pPr>
              <w:snapToGrid w:val="0"/>
              <w:spacing w:line="240" w:lineRule="atLeast"/>
              <w:rPr>
                <w:rFonts w:ascii="標楷體" w:eastAsia="標楷體" w:hAnsi="標楷體"/>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C2A803E"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586C28F"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0A18B54A" w14:textId="77777777">
        <w:trPr>
          <w:cantSplit/>
          <w:trHeight w:val="133"/>
        </w:trPr>
        <w:tc>
          <w:tcPr>
            <w:tcW w:w="147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4F25B492"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48D2EE9"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74D93BB"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6296D23" w14:textId="77777777" w:rsidR="00401786" w:rsidRDefault="00401786" w:rsidP="000E757E">
            <w:pPr>
              <w:snapToGrid w:val="0"/>
              <w:spacing w:line="240" w:lineRule="atLeast"/>
              <w:rPr>
                <w:rFonts w:ascii="標楷體" w:eastAsia="標楷體" w:hAnsi="標楷體"/>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E4CA964" w14:textId="77777777" w:rsidR="00401786" w:rsidRDefault="00401786" w:rsidP="000E757E">
            <w:pPr>
              <w:snapToGrid w:val="0"/>
              <w:spacing w:line="240" w:lineRule="atLeast"/>
              <w:rPr>
                <w:rFonts w:ascii="標楷體" w:eastAsia="標楷體" w:hAnsi="標楷體"/>
              </w:rPr>
            </w:pPr>
          </w:p>
        </w:tc>
        <w:tc>
          <w:tcPr>
            <w:tcW w:w="2492"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E0B145A"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70EF7D45" w14:textId="77777777" w:rsidR="00401786" w:rsidRDefault="00401786" w:rsidP="000E757E">
      <w:pPr>
        <w:snapToGrid w:val="0"/>
        <w:spacing w:line="240" w:lineRule="atLeast"/>
        <w:rPr>
          <w:rFonts w:ascii="標楷體" w:eastAsia="標楷體" w:hAnsi="標楷體"/>
          <w:sz w:val="20"/>
        </w:rPr>
      </w:pPr>
    </w:p>
    <w:tbl>
      <w:tblPr>
        <w:tblW w:w="9571" w:type="dxa"/>
        <w:tblInd w:w="392" w:type="dxa"/>
        <w:tblCellMar>
          <w:left w:w="10" w:type="dxa"/>
          <w:right w:w="10" w:type="dxa"/>
        </w:tblCellMar>
        <w:tblLook w:val="0000" w:firstRow="0" w:lastRow="0" w:firstColumn="0" w:lastColumn="0" w:noHBand="0" w:noVBand="0"/>
      </w:tblPr>
      <w:tblGrid>
        <w:gridCol w:w="9571"/>
      </w:tblGrid>
      <w:tr w:rsidR="00401786" w14:paraId="31FB4EAF" w14:textId="77777777">
        <w:trPr>
          <w:trHeight w:val="124"/>
        </w:trPr>
        <w:tc>
          <w:tcPr>
            <w:tcW w:w="9571"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EA5B269" w14:textId="77777777" w:rsidR="00401786" w:rsidRDefault="00C64FB3" w:rsidP="002144EC">
            <w:pPr>
              <w:numPr>
                <w:ilvl w:val="0"/>
                <w:numId w:val="82"/>
              </w:numPr>
              <w:snapToGrid w:val="0"/>
              <w:spacing w:before="180" w:line="240" w:lineRule="atLeast"/>
              <w:ind w:left="357" w:hanging="357"/>
            </w:pPr>
            <w:r>
              <w:rPr>
                <w:rFonts w:ascii="標楷體" w:eastAsia="標楷體" w:hAnsi="標楷體"/>
                <w:b/>
                <w:bCs/>
                <w:szCs w:val="17"/>
              </w:rPr>
              <w:t>符合下列所有條件：</w:t>
            </w:r>
          </w:p>
          <w:p w14:paraId="25BA20D1" w14:textId="77777777" w:rsidR="00401786" w:rsidRDefault="00C64FB3" w:rsidP="002144EC">
            <w:pPr>
              <w:numPr>
                <w:ilvl w:val="0"/>
                <w:numId w:val="83"/>
              </w:numPr>
              <w:tabs>
                <w:tab w:val="left" w:pos="657"/>
              </w:tabs>
              <w:snapToGrid w:val="0"/>
              <w:spacing w:line="240" w:lineRule="atLeast"/>
              <w:ind w:left="657" w:hanging="283"/>
            </w:pPr>
            <w:r>
              <w:rPr>
                <w:rFonts w:ascii="Webdings" w:eastAsia="Webdings" w:hAnsi="Webdings" w:cs="Webdings"/>
              </w:rPr>
              <w:t></w:t>
            </w:r>
            <w:r>
              <w:rPr>
                <w:rFonts w:ascii="標楷體" w:eastAsia="標楷體" w:hAnsi="標楷體"/>
              </w:rPr>
              <w:t>年齡18歲以上</w:t>
            </w:r>
          </w:p>
          <w:p w14:paraId="7089AE04" w14:textId="77777777" w:rsidR="00401786" w:rsidRDefault="00C64FB3" w:rsidP="002144EC">
            <w:pPr>
              <w:numPr>
                <w:ilvl w:val="0"/>
                <w:numId w:val="83"/>
              </w:numPr>
              <w:tabs>
                <w:tab w:val="left" w:pos="657"/>
              </w:tabs>
              <w:snapToGrid w:val="0"/>
              <w:spacing w:line="240" w:lineRule="atLeast"/>
              <w:ind w:left="657" w:hanging="283"/>
            </w:pPr>
            <w:r>
              <w:rPr>
                <w:rFonts w:ascii="Webdings" w:eastAsia="Webdings" w:hAnsi="Webdings" w:cs="Webdings"/>
              </w:rPr>
              <w:t></w:t>
            </w:r>
            <w:r>
              <w:rPr>
                <w:rFonts w:ascii="標楷體" w:eastAsia="標楷體" w:hAnsi="標楷體"/>
              </w:rPr>
              <w:t>HLAB27陽性(檢附報告影本)</w:t>
            </w:r>
          </w:p>
          <w:p w14:paraId="6CE5C337" w14:textId="77777777" w:rsidR="00401786" w:rsidRDefault="00C64FB3" w:rsidP="002144EC">
            <w:pPr>
              <w:numPr>
                <w:ilvl w:val="0"/>
                <w:numId w:val="83"/>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符合1984年修定的僵直性關節炎診斷條件(1984ModifiedNewYorkCriteria)：臨床症狀及身體檢查，下列</w:t>
            </w:r>
            <w:proofErr w:type="gramStart"/>
            <w:r>
              <w:rPr>
                <w:rFonts w:ascii="標楷體" w:eastAsia="標楷體" w:hAnsi="標楷體"/>
              </w:rPr>
              <w:t>三</w:t>
            </w:r>
            <w:proofErr w:type="gramEnd"/>
            <w:r>
              <w:rPr>
                <w:rFonts w:ascii="標楷體" w:eastAsia="標楷體" w:hAnsi="標楷體"/>
              </w:rPr>
              <w:t>條件至少需符合二項</w:t>
            </w:r>
          </w:p>
          <w:p w14:paraId="457F073F" w14:textId="77777777" w:rsidR="00401786" w:rsidRDefault="00C64FB3" w:rsidP="002144EC">
            <w:pPr>
              <w:numPr>
                <w:ilvl w:val="1"/>
                <w:numId w:val="83"/>
              </w:numPr>
              <w:tabs>
                <w:tab w:val="left" w:pos="1224"/>
              </w:tabs>
              <w:snapToGrid w:val="0"/>
              <w:spacing w:line="240" w:lineRule="atLeast"/>
              <w:ind w:left="1224" w:hanging="283"/>
            </w:pPr>
            <w:r>
              <w:rPr>
                <w:rFonts w:ascii="Webdings" w:eastAsia="Webdings" w:hAnsi="Webdings" w:cs="Webdings"/>
              </w:rPr>
              <w:t></w:t>
            </w:r>
            <w:r>
              <w:rPr>
                <w:rFonts w:ascii="標楷體" w:eastAsia="標楷體" w:hAnsi="標楷體"/>
              </w:rPr>
              <w:t>下背痛及晨間僵硬的症狀持續3個月以上</w:t>
            </w:r>
          </w:p>
          <w:p w14:paraId="3545D5E0" w14:textId="77777777" w:rsidR="00401786" w:rsidRDefault="00C64FB3" w:rsidP="002144EC">
            <w:pPr>
              <w:numPr>
                <w:ilvl w:val="1"/>
                <w:numId w:val="83"/>
              </w:numPr>
              <w:tabs>
                <w:tab w:val="left" w:pos="1224"/>
              </w:tabs>
              <w:snapToGrid w:val="0"/>
              <w:spacing w:line="240" w:lineRule="atLeast"/>
              <w:ind w:left="1224" w:hanging="283"/>
            </w:pPr>
            <w:r>
              <w:rPr>
                <w:rFonts w:ascii="Webdings" w:eastAsia="Webdings" w:hAnsi="Webdings" w:cs="Webdings"/>
              </w:rPr>
              <w:t></w:t>
            </w:r>
            <w:r>
              <w:rPr>
                <w:rFonts w:ascii="標楷體" w:eastAsia="標楷體" w:hAnsi="標楷體"/>
                <w:color w:val="000000"/>
              </w:rPr>
              <w:t>腰椎</w:t>
            </w:r>
            <w:proofErr w:type="gramStart"/>
            <w:r>
              <w:rPr>
                <w:rFonts w:ascii="標楷體" w:eastAsia="標楷體" w:hAnsi="標楷體"/>
                <w:color w:val="000000"/>
              </w:rPr>
              <w:t>額狀面與矢狀面</w:t>
            </w:r>
            <w:proofErr w:type="gramEnd"/>
            <w:r>
              <w:rPr>
                <w:rFonts w:ascii="標楷體" w:eastAsia="標楷體" w:hAnsi="標楷體"/>
                <w:color w:val="000000"/>
              </w:rPr>
              <w:t>活動受限</w:t>
            </w:r>
          </w:p>
          <w:p w14:paraId="532AD1FC" w14:textId="77777777" w:rsidR="00401786" w:rsidRDefault="00C64FB3" w:rsidP="002144EC">
            <w:pPr>
              <w:numPr>
                <w:ilvl w:val="1"/>
                <w:numId w:val="83"/>
              </w:numPr>
              <w:tabs>
                <w:tab w:val="left" w:pos="1224"/>
              </w:tabs>
              <w:snapToGrid w:val="0"/>
              <w:spacing w:line="240" w:lineRule="atLeast"/>
              <w:ind w:left="1224" w:hanging="283"/>
            </w:pPr>
            <w:r>
              <w:rPr>
                <w:rFonts w:ascii="Webdings" w:eastAsia="Webdings" w:hAnsi="Webdings" w:cs="Webdings"/>
              </w:rPr>
              <w:t></w:t>
            </w:r>
            <w:r>
              <w:rPr>
                <w:rFonts w:ascii="標楷體" w:eastAsia="標楷體" w:hAnsi="標楷體"/>
                <w:color w:val="000000"/>
              </w:rPr>
              <w:t>胸廓擴張受限</w:t>
            </w:r>
          </w:p>
          <w:p w14:paraId="2CC681B2" w14:textId="77777777" w:rsidR="00401786" w:rsidRDefault="00C64FB3" w:rsidP="002144EC">
            <w:pPr>
              <w:numPr>
                <w:ilvl w:val="0"/>
                <w:numId w:val="83"/>
              </w:numPr>
              <w:tabs>
                <w:tab w:val="left" w:pos="657"/>
              </w:tabs>
              <w:snapToGrid w:val="0"/>
              <w:spacing w:line="240" w:lineRule="atLeast"/>
              <w:ind w:left="941" w:hanging="567"/>
            </w:pPr>
            <w:r>
              <w:rPr>
                <w:rFonts w:ascii="Webdings" w:eastAsia="Webdings" w:hAnsi="Webdings" w:cs="Webdings"/>
              </w:rPr>
              <w:t></w:t>
            </w:r>
            <w:r>
              <w:rPr>
                <w:rFonts w:ascii="Webdings" w:eastAsia="Webdings" w:hAnsi="Webdings" w:cs="Webdings"/>
              </w:rPr>
              <w:t></w:t>
            </w:r>
            <w:r>
              <w:rPr>
                <w:rFonts w:ascii="標楷體" w:eastAsia="標楷體" w:hAnsi="標楷體"/>
              </w:rPr>
              <w:t>X光(</w:t>
            </w:r>
            <w:proofErr w:type="spellStart"/>
            <w:r>
              <w:rPr>
                <w:rFonts w:ascii="標楷體" w:eastAsia="標楷體" w:hAnsi="標楷體"/>
              </w:rPr>
              <w:t>plainXRay</w:t>
            </w:r>
            <w:proofErr w:type="spellEnd"/>
            <w:r>
              <w:rPr>
                <w:rFonts w:ascii="標楷體" w:eastAsia="標楷體" w:hAnsi="標楷體"/>
              </w:rPr>
              <w:t>)檢查需</w:t>
            </w:r>
            <w:proofErr w:type="gramStart"/>
            <w:r>
              <w:rPr>
                <w:rFonts w:ascii="標楷體" w:eastAsia="標楷體" w:hAnsi="標楷體"/>
              </w:rPr>
              <w:t>有薦腸</w:t>
            </w:r>
            <w:proofErr w:type="gramEnd"/>
            <w:r>
              <w:rPr>
                <w:rFonts w:ascii="標楷體" w:eastAsia="標楷體" w:hAnsi="標楷體"/>
              </w:rPr>
              <w:t>關節炎：</w:t>
            </w:r>
            <w:proofErr w:type="gramStart"/>
            <w:r>
              <w:rPr>
                <w:rFonts w:ascii="標楷體" w:eastAsia="標楷體" w:hAnsi="標楷體"/>
              </w:rPr>
              <w:t>雙側性</w:t>
            </w:r>
            <w:proofErr w:type="gramEnd"/>
            <w:r>
              <w:rPr>
                <w:rFonts w:ascii="標楷體" w:eastAsia="標楷體" w:hAnsi="標楷體"/>
              </w:rPr>
              <w:t>二級以上，或</w:t>
            </w:r>
            <w:proofErr w:type="gramStart"/>
            <w:r>
              <w:rPr>
                <w:rFonts w:ascii="標楷體" w:eastAsia="標楷體" w:hAnsi="標楷體"/>
              </w:rPr>
              <w:t>單側性三級</w:t>
            </w:r>
            <w:proofErr w:type="gramEnd"/>
            <w:r>
              <w:rPr>
                <w:rFonts w:ascii="標楷體" w:eastAsia="標楷體" w:hAnsi="標楷體"/>
              </w:rPr>
              <w:t>以上、附有報告影印或X光影像光碟。</w:t>
            </w:r>
          </w:p>
          <w:p w14:paraId="566A58A3" w14:textId="77777777" w:rsidR="00401786" w:rsidRDefault="00C64FB3" w:rsidP="002144EC">
            <w:pPr>
              <w:numPr>
                <w:ilvl w:val="0"/>
                <w:numId w:val="83"/>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所有的病患都必須曾經使用過至少2種(NSAIDs)進行充分的治療，但療效</w:t>
            </w:r>
            <w:proofErr w:type="gramStart"/>
            <w:r>
              <w:rPr>
                <w:rFonts w:ascii="標楷體" w:eastAsia="標楷體" w:hAnsi="標楷體"/>
              </w:rPr>
              <w:t>不</w:t>
            </w:r>
            <w:proofErr w:type="gramEnd"/>
            <w:r>
              <w:rPr>
                <w:rFonts w:ascii="標楷體" w:eastAsia="標楷體" w:hAnsi="標楷體"/>
              </w:rPr>
              <w:t>彰。充分治療的定義為：使用最高建議劑量或最高耐受劑量的NSAID抗發炎藥物在同一家醫院連續治療三個月以上，且每種NSAID至少使用四</w:t>
            </w:r>
            <w:proofErr w:type="gramStart"/>
            <w:r>
              <w:rPr>
                <w:rFonts w:ascii="標楷體" w:eastAsia="標楷體" w:hAnsi="標楷體"/>
              </w:rPr>
              <w:t>週</w:t>
            </w:r>
            <w:proofErr w:type="gramEnd"/>
            <w:r>
              <w:rPr>
                <w:rFonts w:ascii="標楷體" w:eastAsia="標楷體" w:hAnsi="標楷體"/>
              </w:rPr>
              <w:t>以上，除非出現毒性而停藥，需以附表二十一之二為根據記錄NSAID之毒性送審。</w:t>
            </w:r>
          </w:p>
          <w:p w14:paraId="48D7504A"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NSAID1藥名________劑量_______________使用期限___________________</w:t>
            </w:r>
          </w:p>
          <w:p w14:paraId="072FF004"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NSAID2藥名________劑量_______________使用期限___________________</w:t>
            </w:r>
          </w:p>
          <w:p w14:paraId="551787B8" w14:textId="77777777" w:rsidR="00401786" w:rsidRDefault="00C64FB3" w:rsidP="002144EC">
            <w:pPr>
              <w:numPr>
                <w:ilvl w:val="0"/>
                <w:numId w:val="83"/>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周邊關節炎患者必須曾經同時使用NSAIDs和sulfasalazine進行充分的治療，sulfasalazine需以2g/day之標準治療4個月或以上，除非有相関毒性發生而停藥，並有適當病歷記載者。</w:t>
            </w:r>
          </w:p>
          <w:p w14:paraId="02BE7584"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Sulfasalazine劑量_______________使用期限____________________________</w:t>
            </w:r>
          </w:p>
          <w:p w14:paraId="5FAEE9FF" w14:textId="77777777" w:rsidR="00401786" w:rsidRDefault="00C64FB3" w:rsidP="002144EC">
            <w:pPr>
              <w:numPr>
                <w:ilvl w:val="0"/>
                <w:numId w:val="83"/>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必須附有(1)</w:t>
            </w:r>
            <w:r>
              <w:rPr>
                <w:rFonts w:ascii="標楷體" w:eastAsia="標楷體" w:hAnsi="標楷體"/>
                <w:color w:val="000000"/>
              </w:rPr>
              <w:t>風</w:t>
            </w:r>
            <w:r>
              <w:rPr>
                <w:rFonts w:ascii="標楷體" w:eastAsia="標楷體" w:hAnsi="標楷體"/>
              </w:rPr>
              <w:t>濕或免疫專科醫師且具有保險人核定復健處方權之醫師所開立之運動衛教証明書和(2)病患自身在家運動狀况聲明書。</w:t>
            </w:r>
          </w:p>
          <w:p w14:paraId="5453B973" w14:textId="77777777" w:rsidR="00401786" w:rsidRDefault="00C64FB3" w:rsidP="002144EC">
            <w:pPr>
              <w:numPr>
                <w:ilvl w:val="0"/>
                <w:numId w:val="83"/>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活動性疾病持續四</w:t>
            </w:r>
            <w:proofErr w:type="gramStart"/>
            <w:r>
              <w:rPr>
                <w:rFonts w:ascii="標楷體" w:eastAsia="標楷體" w:hAnsi="標楷體"/>
              </w:rPr>
              <w:t>週</w:t>
            </w:r>
            <w:proofErr w:type="gramEnd"/>
            <w:r>
              <w:rPr>
                <w:rFonts w:ascii="標楷體" w:eastAsia="標楷體" w:hAnsi="標楷體"/>
              </w:rPr>
              <w:t>以上。（需連續二次檢查BASDAI</w:t>
            </w:r>
            <w:r>
              <w:rPr>
                <w:rFonts w:ascii="標楷體" w:eastAsia="標楷體" w:hAnsi="標楷體" w:cs="Symbol"/>
              </w:rPr>
              <w:t></w:t>
            </w:r>
            <w:r>
              <w:rPr>
                <w:rFonts w:ascii="標楷體" w:eastAsia="標楷體" w:hAnsi="標楷體"/>
              </w:rPr>
              <w:t>6、ESR&gt;28mm/1hr且CRP&gt;1mg/dL，且二次檢查之間隔需經過至少4周以上充分治療）</w:t>
            </w:r>
          </w:p>
          <w:p w14:paraId="2AFE4B24" w14:textId="77777777" w:rsidR="00401786" w:rsidRDefault="00C64FB3" w:rsidP="000E757E">
            <w:pPr>
              <w:snapToGrid w:val="0"/>
              <w:spacing w:line="240" w:lineRule="atLeast"/>
              <w:ind w:left="941"/>
            </w:pPr>
            <w:r>
              <w:rPr>
                <w:rFonts w:ascii="標楷體" w:eastAsia="標楷體" w:hAnsi="標楷體"/>
              </w:rPr>
              <w:t>評估日期</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日</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日</w:t>
            </w:r>
          </w:p>
          <w:p w14:paraId="78958029"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BASDAI分數_________________________________</w:t>
            </w:r>
          </w:p>
          <w:p w14:paraId="1A62AE2A" w14:textId="77777777" w:rsidR="00401786" w:rsidRDefault="00C64FB3" w:rsidP="000E757E">
            <w:pPr>
              <w:snapToGrid w:val="0"/>
              <w:spacing w:line="240" w:lineRule="atLeast"/>
              <w:ind w:left="941"/>
              <w:rPr>
                <w:rFonts w:ascii="標楷體" w:eastAsia="標楷體" w:hAnsi="標楷體"/>
              </w:rPr>
            </w:pPr>
            <w:proofErr w:type="gramStart"/>
            <w:r>
              <w:rPr>
                <w:rFonts w:ascii="標楷體" w:eastAsia="標楷體" w:hAnsi="標楷體"/>
              </w:rPr>
              <w:t>ESR(</w:t>
            </w:r>
            <w:proofErr w:type="gramEnd"/>
            <w:r>
              <w:rPr>
                <w:rFonts w:ascii="標楷體" w:eastAsia="標楷體" w:hAnsi="標楷體"/>
              </w:rPr>
              <w:t>mm/1hr)________________________________</w:t>
            </w:r>
          </w:p>
          <w:p w14:paraId="56C0521B" w14:textId="77777777" w:rsidR="00401786" w:rsidRDefault="00C64FB3" w:rsidP="000E757E">
            <w:pPr>
              <w:snapToGrid w:val="0"/>
              <w:spacing w:line="240" w:lineRule="atLeast"/>
              <w:ind w:left="941"/>
              <w:rPr>
                <w:rFonts w:ascii="標楷體" w:eastAsia="標楷體" w:hAnsi="標楷體"/>
              </w:rPr>
            </w:pPr>
            <w:proofErr w:type="gramStart"/>
            <w:r>
              <w:rPr>
                <w:rFonts w:ascii="標楷體" w:eastAsia="標楷體" w:hAnsi="標楷體"/>
              </w:rPr>
              <w:t>CRP(</w:t>
            </w:r>
            <w:proofErr w:type="gramEnd"/>
            <w:r>
              <w:rPr>
                <w:rFonts w:ascii="標楷體" w:eastAsia="標楷體" w:hAnsi="標楷體"/>
              </w:rPr>
              <w:t>mg/dL)_________________________________</w:t>
            </w:r>
          </w:p>
          <w:p w14:paraId="2B1AAF46" w14:textId="77777777" w:rsidR="00401786" w:rsidRDefault="00C64FB3" w:rsidP="002144EC">
            <w:pPr>
              <w:numPr>
                <w:ilvl w:val="0"/>
                <w:numId w:val="83"/>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病患需填具藥物使用同意書以示瞭解本藥物之適應症、禁忌及副作用。</w:t>
            </w:r>
          </w:p>
          <w:p w14:paraId="39C2E5A0" w14:textId="77777777" w:rsidR="00401786" w:rsidRDefault="00C64FB3" w:rsidP="000E757E">
            <w:pPr>
              <w:snapToGrid w:val="0"/>
              <w:spacing w:before="180" w:line="240" w:lineRule="atLeast"/>
            </w:pPr>
            <w:r>
              <w:rPr>
                <w:rFonts w:ascii="標楷體" w:eastAsia="標楷體" w:hAnsi="標楷體"/>
                <w:b/>
                <w:color w:val="292526"/>
              </w:rPr>
              <w:t>□</w:t>
            </w:r>
            <w:r>
              <w:rPr>
                <w:rFonts w:ascii="標楷體" w:eastAsia="標楷體" w:hAnsi="標楷體"/>
                <w:b/>
                <w:bCs/>
                <w:szCs w:val="17"/>
              </w:rPr>
              <w:t>符合</w:t>
            </w:r>
            <w:r>
              <w:rPr>
                <w:rFonts w:ascii="標楷體" w:eastAsia="標楷體" w:hAnsi="標楷體"/>
                <w:b/>
                <w:color w:val="292526"/>
              </w:rPr>
              <w:t>繼續使用之療效評估：</w:t>
            </w:r>
          </w:p>
          <w:p w14:paraId="04EFF2C3" w14:textId="77777777" w:rsidR="00401786" w:rsidRDefault="00C64FB3" w:rsidP="002144EC">
            <w:pPr>
              <w:numPr>
                <w:ilvl w:val="0"/>
                <w:numId w:val="84"/>
              </w:numPr>
              <w:snapToGrid w:val="0"/>
              <w:spacing w:line="240" w:lineRule="atLeast"/>
              <w:ind w:left="657" w:hanging="297"/>
            </w:pPr>
            <w:r>
              <w:rPr>
                <w:rFonts w:ascii="標楷體" w:eastAsia="標楷體" w:hAnsi="標楷體"/>
              </w:rPr>
              <w:t>初次使用者治療</w:t>
            </w:r>
            <w:r>
              <w:rPr>
                <w:rFonts w:ascii="標楷體" w:eastAsia="標楷體" w:hAnsi="標楷體"/>
                <w:kern w:val="0"/>
              </w:rPr>
              <w:t>12</w:t>
            </w:r>
            <w:proofErr w:type="gramStart"/>
            <w:r>
              <w:rPr>
                <w:rFonts w:ascii="標楷體" w:eastAsia="標楷體" w:hAnsi="標楷體"/>
                <w:kern w:val="0"/>
              </w:rPr>
              <w:t>週</w:t>
            </w:r>
            <w:proofErr w:type="gramEnd"/>
            <w:r>
              <w:rPr>
                <w:rFonts w:ascii="標楷體" w:eastAsia="標楷體" w:hAnsi="標楷體"/>
              </w:rPr>
              <w:t>評估BASDAI：與使用前比較，出現50%以上的進步或減少2分以上，方得繼續使用。</w:t>
            </w:r>
          </w:p>
          <w:p w14:paraId="0440C8D5" w14:textId="77777777" w:rsidR="00401786" w:rsidRDefault="00C64FB3" w:rsidP="002144EC">
            <w:pPr>
              <w:numPr>
                <w:ilvl w:val="0"/>
                <w:numId w:val="84"/>
              </w:numPr>
              <w:snapToGrid w:val="0"/>
              <w:spacing w:line="240" w:lineRule="atLeast"/>
              <w:ind w:left="657" w:hanging="297"/>
            </w:pPr>
            <w:r>
              <w:rPr>
                <w:rFonts w:ascii="標楷體" w:eastAsia="標楷體" w:hAnsi="標楷體"/>
              </w:rPr>
              <w:t>繼續使用者，</w:t>
            </w:r>
            <w:proofErr w:type="gramStart"/>
            <w:r>
              <w:rPr>
                <w:rFonts w:ascii="標楷體" w:eastAsia="標楷體" w:hAnsi="標楷體"/>
              </w:rPr>
              <w:t>需</w:t>
            </w:r>
            <w:r>
              <w:rPr>
                <w:rFonts w:ascii="標楷體" w:eastAsia="標楷體" w:hAnsi="標楷體"/>
                <w:kern w:val="0"/>
              </w:rPr>
              <w:t>每12週</w:t>
            </w:r>
            <w:proofErr w:type="gramEnd"/>
            <w:r>
              <w:rPr>
                <w:rFonts w:ascii="標楷體" w:eastAsia="標楷體" w:hAnsi="標楷體"/>
                <w:kern w:val="0"/>
              </w:rPr>
              <w:t>評估一次，再次提出申請續用</w:t>
            </w:r>
            <w:r>
              <w:rPr>
                <w:rFonts w:ascii="標楷體" w:eastAsia="標楷體" w:hAnsi="標楷體"/>
              </w:rPr>
              <w:t>。</w:t>
            </w:r>
          </w:p>
          <w:p w14:paraId="44654A60" w14:textId="77777777" w:rsidR="00401786" w:rsidRDefault="00C64FB3" w:rsidP="000E757E">
            <w:pPr>
              <w:snapToGrid w:val="0"/>
              <w:spacing w:line="240" w:lineRule="atLeast"/>
              <w:ind w:firstLine="372"/>
            </w:pPr>
            <w:r>
              <w:rPr>
                <w:rFonts w:ascii="標楷體" w:eastAsia="標楷體" w:hAnsi="標楷體"/>
                <w:kern w:val="0"/>
              </w:rPr>
              <w:t>請填寫初次</w:t>
            </w:r>
            <w:r>
              <w:rPr>
                <w:rFonts w:ascii="標楷體" w:eastAsia="標楷體" w:hAnsi="標楷體"/>
              </w:rPr>
              <w:t>使用adalimumab/etanercept/golimumab治療前之BASDAI分數</w:t>
            </w:r>
          </w:p>
          <w:p w14:paraId="7CE32B26" w14:textId="77777777" w:rsidR="00401786" w:rsidRDefault="00C64FB3" w:rsidP="000E757E">
            <w:pPr>
              <w:snapToGrid w:val="0"/>
              <w:spacing w:line="240" w:lineRule="atLeast"/>
              <w:ind w:left="372"/>
            </w:pPr>
            <w:r>
              <w:rPr>
                <w:rFonts w:ascii="標楷體" w:eastAsia="標楷體" w:hAnsi="標楷體"/>
              </w:rPr>
              <w:t>BASDAI分數：_______(評估日期：</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日)</w:t>
            </w:r>
          </w:p>
        </w:tc>
      </w:tr>
    </w:tbl>
    <w:p w14:paraId="11066F69" w14:textId="77777777" w:rsidR="00401786" w:rsidRPr="0008141B" w:rsidRDefault="00401786" w:rsidP="000E757E">
      <w:pPr>
        <w:pageBreakBefore/>
        <w:snapToGrid w:val="0"/>
        <w:spacing w:line="240" w:lineRule="atLeast"/>
        <w:rPr>
          <w:rFonts w:ascii="標楷體" w:eastAsia="標楷體" w:hAnsi="標楷體"/>
          <w:b/>
          <w:bCs/>
          <w:sz w:val="20"/>
        </w:rPr>
      </w:pPr>
    </w:p>
    <w:p w14:paraId="3EECCED5" w14:textId="77777777" w:rsidR="00401786" w:rsidRPr="0008141B" w:rsidRDefault="00C64FB3" w:rsidP="000E757E">
      <w:pPr>
        <w:snapToGrid w:val="0"/>
        <w:spacing w:line="240" w:lineRule="atLeast"/>
        <w:ind w:left="-132" w:right="18"/>
        <w:jc w:val="center"/>
        <w:rPr>
          <w:rFonts w:ascii="標楷體" w:eastAsia="標楷體" w:hAnsi="標楷體"/>
          <w:b/>
          <w:bCs/>
          <w:szCs w:val="24"/>
        </w:rPr>
      </w:pPr>
      <w:r w:rsidRPr="0008141B">
        <w:rPr>
          <w:rFonts w:ascii="標楷體" w:eastAsia="標楷體" w:hAnsi="標楷體"/>
          <w:b/>
          <w:bCs/>
          <w:szCs w:val="24"/>
        </w:rPr>
        <w:t>附表二十一之</w:t>
      </w:r>
      <w:proofErr w:type="gramStart"/>
      <w:r w:rsidRPr="0008141B">
        <w:rPr>
          <w:rFonts w:ascii="標楷體" w:eastAsia="標楷體" w:hAnsi="標楷體"/>
          <w:b/>
          <w:bCs/>
          <w:szCs w:val="24"/>
        </w:rPr>
        <w:t>一</w:t>
      </w:r>
      <w:proofErr w:type="gramEnd"/>
      <w:r w:rsidRPr="0008141B">
        <w:rPr>
          <w:rFonts w:ascii="標楷體" w:eastAsia="標楷體" w:hAnsi="標楷體"/>
          <w:b/>
          <w:bCs/>
          <w:szCs w:val="24"/>
        </w:rPr>
        <w:t>全民健康保險僵直性脊椎炎使用生物製劑申請表</w:t>
      </w:r>
    </w:p>
    <w:tbl>
      <w:tblPr>
        <w:tblW w:w="9533" w:type="dxa"/>
        <w:tblInd w:w="332" w:type="dxa"/>
        <w:tblCellMar>
          <w:left w:w="10" w:type="dxa"/>
          <w:right w:w="10" w:type="dxa"/>
        </w:tblCellMar>
        <w:tblLook w:val="0000" w:firstRow="0" w:lastRow="0" w:firstColumn="0" w:lastColumn="0" w:noHBand="0" w:noVBand="0"/>
      </w:tblPr>
      <w:tblGrid>
        <w:gridCol w:w="670"/>
        <w:gridCol w:w="1320"/>
        <w:gridCol w:w="7543"/>
      </w:tblGrid>
      <w:tr w:rsidR="00401786" w:rsidRPr="009E653D" w14:paraId="0FDF2AE5" w14:textId="77777777">
        <w:trPr>
          <w:cantSplit/>
          <w:trHeight w:val="281"/>
        </w:trPr>
        <w:tc>
          <w:tcPr>
            <w:tcW w:w="9533"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1DC7AA5B" w14:textId="77777777" w:rsidR="00401786" w:rsidRPr="009E653D" w:rsidRDefault="00C64FB3" w:rsidP="000E757E">
            <w:pPr>
              <w:snapToGrid w:val="0"/>
              <w:spacing w:before="180" w:line="240" w:lineRule="atLeast"/>
              <w:ind w:left="120"/>
              <w:rPr>
                <w:szCs w:val="24"/>
              </w:rPr>
            </w:pPr>
            <w:r w:rsidRPr="009E653D">
              <w:rPr>
                <w:rFonts w:ascii="標楷體" w:eastAsia="標楷體" w:hAnsi="標楷體" w:cs="Webdings"/>
                <w:szCs w:val="24"/>
              </w:rPr>
              <w:t></w:t>
            </w:r>
            <w:r w:rsidRPr="009E653D">
              <w:rPr>
                <w:rFonts w:ascii="標楷體" w:eastAsia="標楷體" w:hAnsi="標楷體"/>
                <w:b/>
                <w:szCs w:val="24"/>
              </w:rPr>
              <w:t>符合「需排除或停止生物製劑使用之情形」</w:t>
            </w:r>
          </w:p>
        </w:tc>
      </w:tr>
      <w:tr w:rsidR="00401786" w:rsidRPr="009E653D" w14:paraId="017323B3"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F7D51C1"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5B64CA8"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3DA7801B"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EA52B0"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是否有藥品仿單記載之禁忌情形。</w:t>
            </w:r>
          </w:p>
        </w:tc>
      </w:tr>
      <w:tr w:rsidR="00401786" w:rsidRPr="009E653D" w14:paraId="261F37A7"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92D43DF"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91A48C"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26624855"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37DA492"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婦女是否正在懷孕</w:t>
            </w:r>
            <w:proofErr w:type="gramStart"/>
            <w:r w:rsidRPr="009E653D">
              <w:rPr>
                <w:rFonts w:ascii="標楷體" w:eastAsia="標楷體" w:hAnsi="標楷體"/>
                <w:szCs w:val="24"/>
              </w:rPr>
              <w:t>或授乳</w:t>
            </w:r>
            <w:proofErr w:type="gramEnd"/>
            <w:r w:rsidRPr="009E653D">
              <w:rPr>
                <w:rFonts w:ascii="標楷體" w:eastAsia="標楷體" w:hAnsi="標楷體"/>
                <w:szCs w:val="24"/>
              </w:rPr>
              <w:t>。</w:t>
            </w:r>
          </w:p>
        </w:tc>
      </w:tr>
      <w:tr w:rsidR="00401786" w:rsidRPr="009E653D" w14:paraId="385E324F"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6A6C781"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405E6E"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1B736F24"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67B6F00" w14:textId="77777777" w:rsidR="00401786" w:rsidRPr="009E653D" w:rsidRDefault="00C64FB3" w:rsidP="000E757E">
            <w:pPr>
              <w:snapToGrid w:val="0"/>
              <w:spacing w:line="240" w:lineRule="atLeast"/>
              <w:textAlignment w:val="center"/>
              <w:rPr>
                <w:szCs w:val="24"/>
              </w:rPr>
            </w:pPr>
            <w:r w:rsidRPr="009E653D">
              <w:rPr>
                <w:rFonts w:ascii="標楷體" w:eastAsia="標楷體" w:hAnsi="標楷體"/>
                <w:szCs w:val="24"/>
              </w:rPr>
              <w:t>病患是否</w:t>
            </w:r>
            <w:proofErr w:type="gramStart"/>
            <w:r w:rsidRPr="009E653D">
              <w:rPr>
                <w:rFonts w:ascii="標楷體" w:eastAsia="標楷體" w:hAnsi="標楷體"/>
                <w:szCs w:val="24"/>
              </w:rPr>
              <w:t>罹</w:t>
            </w:r>
            <w:proofErr w:type="gramEnd"/>
            <w:r w:rsidRPr="009E653D">
              <w:rPr>
                <w:rFonts w:ascii="標楷體" w:eastAsia="標楷體" w:hAnsi="標楷體"/>
                <w:szCs w:val="24"/>
              </w:rPr>
              <w:t>患活動性感染之疾病</w:t>
            </w:r>
            <w:r w:rsidRPr="009E653D">
              <w:rPr>
                <w:rFonts w:ascii="標楷體" w:eastAsia="標楷體" w:hAnsi="標楷體"/>
                <w:bCs/>
                <w:szCs w:val="24"/>
              </w:rPr>
              <w:t>或有</w:t>
            </w:r>
            <w:proofErr w:type="gramStart"/>
            <w:r w:rsidRPr="009E653D">
              <w:rPr>
                <w:rFonts w:ascii="標楷體" w:eastAsia="標楷體" w:hAnsi="標楷體"/>
                <w:bCs/>
                <w:szCs w:val="24"/>
              </w:rPr>
              <w:t>Ｂ</w:t>
            </w:r>
            <w:proofErr w:type="gramEnd"/>
            <w:r w:rsidRPr="009E653D">
              <w:rPr>
                <w:rFonts w:ascii="標楷體" w:eastAsia="標楷體" w:hAnsi="標楷體"/>
                <w:bCs/>
                <w:szCs w:val="24"/>
              </w:rPr>
              <w:t>肝、</w:t>
            </w:r>
            <w:proofErr w:type="gramStart"/>
            <w:r w:rsidRPr="009E653D">
              <w:rPr>
                <w:rFonts w:ascii="標楷體" w:eastAsia="標楷體" w:hAnsi="標楷體"/>
                <w:bCs/>
                <w:szCs w:val="24"/>
              </w:rPr>
              <w:t>Ｃ</w:t>
            </w:r>
            <w:proofErr w:type="gramEnd"/>
            <w:r w:rsidRPr="009E653D">
              <w:rPr>
                <w:rFonts w:ascii="標楷體" w:eastAsia="標楷體" w:hAnsi="標楷體"/>
                <w:bCs/>
                <w:szCs w:val="24"/>
              </w:rPr>
              <w:t>肝活動性感染或結核病</w:t>
            </w:r>
            <w:r w:rsidRPr="009E653D">
              <w:rPr>
                <w:rFonts w:ascii="標楷體" w:eastAsia="標楷體" w:hAnsi="標楷體"/>
                <w:szCs w:val="24"/>
              </w:rPr>
              <w:t>。</w:t>
            </w:r>
          </w:p>
        </w:tc>
      </w:tr>
      <w:tr w:rsidR="00401786" w:rsidRPr="009E653D" w14:paraId="56DC2CB9"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0BCDC57"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5DAEB4"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7D03F299" w14:textId="77777777" w:rsidR="00401786" w:rsidRPr="009E653D" w:rsidRDefault="00401786" w:rsidP="000E757E">
            <w:pPr>
              <w:snapToGrid w:val="0"/>
              <w:spacing w:line="240" w:lineRule="atLeast"/>
              <w:ind w:left="92"/>
              <w:textAlignment w:val="center"/>
              <w:rPr>
                <w:rFonts w:ascii="標楷體" w:eastAsia="標楷體" w:hAnsi="標楷體"/>
                <w:szCs w:val="24"/>
              </w:rPr>
            </w:pPr>
          </w:p>
          <w:p w14:paraId="1B7ED52A"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BC47037"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病患是否具有高度感染機會之情形，其中包括：</w:t>
            </w:r>
          </w:p>
          <w:p w14:paraId="6A11E484"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1.</w:t>
            </w:r>
            <w:proofErr w:type="gramStart"/>
            <w:r w:rsidRPr="009E653D">
              <w:rPr>
                <w:rFonts w:ascii="標楷體" w:eastAsia="標楷體" w:hAnsi="標楷體"/>
                <w:szCs w:val="24"/>
              </w:rPr>
              <w:t>慢性腿部</w:t>
            </w:r>
            <w:proofErr w:type="gramEnd"/>
            <w:r w:rsidRPr="009E653D">
              <w:rPr>
                <w:rFonts w:ascii="標楷體" w:eastAsia="標楷體" w:hAnsi="標楷體"/>
                <w:szCs w:val="24"/>
              </w:rPr>
              <w:t>潰瘍。</w:t>
            </w:r>
          </w:p>
          <w:p w14:paraId="4B788394" w14:textId="77777777" w:rsidR="00401786" w:rsidRPr="009E653D" w:rsidRDefault="00C64FB3" w:rsidP="000E757E">
            <w:pPr>
              <w:snapToGrid w:val="0"/>
              <w:spacing w:line="240" w:lineRule="atLeast"/>
              <w:ind w:left="197" w:hanging="197"/>
              <w:textAlignment w:val="center"/>
              <w:rPr>
                <w:rFonts w:ascii="標楷體" w:eastAsia="標楷體" w:hAnsi="標楷體"/>
                <w:szCs w:val="24"/>
              </w:rPr>
            </w:pPr>
            <w:r w:rsidRPr="009E653D">
              <w:rPr>
                <w:rFonts w:ascii="標楷體" w:eastAsia="標楷體" w:hAnsi="標楷體"/>
                <w:szCs w:val="24"/>
              </w:rPr>
              <w:t>2.未經完整治療之結核病的病患（包括潛伏結核感染治療未達四</w:t>
            </w:r>
            <w:proofErr w:type="gramStart"/>
            <w:r w:rsidRPr="009E653D">
              <w:rPr>
                <w:rFonts w:ascii="標楷體" w:eastAsia="標楷體" w:hAnsi="標楷體"/>
                <w:szCs w:val="24"/>
              </w:rPr>
              <w:t>週</w:t>
            </w:r>
            <w:proofErr w:type="gramEnd"/>
            <w:r w:rsidRPr="009E653D">
              <w:rPr>
                <w:rFonts w:ascii="標楷體" w:eastAsia="標楷體" w:hAnsi="標楷體"/>
                <w:szCs w:val="24"/>
              </w:rPr>
              <w:t>者，申請時應檢附潛伏結核感染篩檢紀錄及治療紀錄供審查）。</w:t>
            </w:r>
          </w:p>
          <w:p w14:paraId="695CA69F"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3.過去12個月內曾</w:t>
            </w:r>
            <w:proofErr w:type="gramStart"/>
            <w:r w:rsidRPr="009E653D">
              <w:rPr>
                <w:rFonts w:ascii="標楷體" w:eastAsia="標楷體" w:hAnsi="標楷體"/>
                <w:szCs w:val="24"/>
              </w:rPr>
              <w:t>罹</w:t>
            </w:r>
            <w:proofErr w:type="gramEnd"/>
            <w:r w:rsidRPr="009E653D">
              <w:rPr>
                <w:rFonts w:ascii="標楷體" w:eastAsia="標楷體" w:hAnsi="標楷體"/>
                <w:szCs w:val="24"/>
              </w:rPr>
              <w:t>患感染性關節炎者。</w:t>
            </w:r>
          </w:p>
          <w:p w14:paraId="22710425"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4.曾有人工關節感染，若該人工關節未去除前，不可使用。</w:t>
            </w:r>
          </w:p>
          <w:p w14:paraId="64B8C5DF"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5.頑固性或復發性的胸腔感染疾病。</w:t>
            </w:r>
          </w:p>
          <w:p w14:paraId="1F8BF253"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6.具有留置導尿管之情形。</w:t>
            </w:r>
          </w:p>
        </w:tc>
      </w:tr>
      <w:tr w:rsidR="00401786" w:rsidRPr="009E653D" w14:paraId="634B453A"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7AC957D"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EFC5EA"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13884BE5"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ED45845"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病患是否</w:t>
            </w:r>
            <w:proofErr w:type="gramStart"/>
            <w:r w:rsidRPr="009E653D">
              <w:rPr>
                <w:rFonts w:ascii="標楷體" w:eastAsia="標楷體" w:hAnsi="標楷體"/>
                <w:szCs w:val="24"/>
              </w:rPr>
              <w:t>罹</w:t>
            </w:r>
            <w:proofErr w:type="gramEnd"/>
            <w:r w:rsidRPr="009E653D">
              <w:rPr>
                <w:rFonts w:ascii="標楷體" w:eastAsia="標楷體" w:hAnsi="標楷體"/>
                <w:szCs w:val="24"/>
              </w:rPr>
              <w:t>患</w:t>
            </w:r>
            <w:proofErr w:type="gramStart"/>
            <w:r w:rsidRPr="009E653D">
              <w:rPr>
                <w:rFonts w:ascii="標楷體" w:eastAsia="標楷體" w:hAnsi="標楷體"/>
                <w:szCs w:val="24"/>
              </w:rPr>
              <w:t>惡性腫瘤或癌前</w:t>
            </w:r>
            <w:proofErr w:type="gramEnd"/>
            <w:r w:rsidRPr="009E653D">
              <w:rPr>
                <w:rFonts w:ascii="標楷體" w:eastAsia="標楷體" w:hAnsi="標楷體"/>
                <w:szCs w:val="24"/>
              </w:rPr>
              <w:t>狀態之腫瘤</w:t>
            </w:r>
          </w:p>
        </w:tc>
      </w:tr>
      <w:tr w:rsidR="00401786" w:rsidRPr="009E653D" w14:paraId="1F4AD5CB"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9ABAD24"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1E2D93"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62C71EAA"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BF05DCA" w14:textId="77777777" w:rsidR="00401786" w:rsidRPr="009E653D" w:rsidRDefault="00C64FB3" w:rsidP="000E757E">
            <w:pPr>
              <w:snapToGrid w:val="0"/>
              <w:spacing w:line="240" w:lineRule="atLeast"/>
              <w:textAlignment w:val="center"/>
              <w:rPr>
                <w:szCs w:val="24"/>
              </w:rPr>
            </w:pPr>
            <w:r w:rsidRPr="009E653D">
              <w:rPr>
                <w:rFonts w:ascii="標楷體" w:eastAsia="標楷體" w:hAnsi="標楷體"/>
                <w:szCs w:val="24"/>
              </w:rPr>
              <w:t>病患是否</w:t>
            </w:r>
            <w:proofErr w:type="gramStart"/>
            <w:r w:rsidRPr="009E653D">
              <w:rPr>
                <w:rFonts w:ascii="標楷體" w:eastAsia="標楷體" w:hAnsi="標楷體"/>
                <w:szCs w:val="24"/>
              </w:rPr>
              <w:t>罹</w:t>
            </w:r>
            <w:proofErr w:type="gramEnd"/>
            <w:r w:rsidRPr="009E653D">
              <w:rPr>
                <w:rFonts w:ascii="標楷體" w:eastAsia="標楷體" w:hAnsi="標楷體"/>
                <w:szCs w:val="24"/>
              </w:rPr>
              <w:t>患</w:t>
            </w:r>
            <w:r w:rsidRPr="009E653D">
              <w:rPr>
                <w:rFonts w:ascii="標楷體" w:eastAsia="標楷體" w:hAnsi="標楷體"/>
                <w:bCs/>
                <w:szCs w:val="24"/>
              </w:rPr>
              <w:t>狼瘡或</w:t>
            </w:r>
            <w:r w:rsidRPr="009E653D">
              <w:rPr>
                <w:rFonts w:ascii="標楷體" w:eastAsia="標楷體" w:hAnsi="標楷體"/>
                <w:szCs w:val="24"/>
              </w:rPr>
              <w:t>多發性硬化症(</w:t>
            </w:r>
            <w:proofErr w:type="spellStart"/>
            <w:r w:rsidRPr="009E653D">
              <w:rPr>
                <w:rFonts w:ascii="標楷體" w:eastAsia="標楷體" w:hAnsi="標楷體"/>
                <w:szCs w:val="24"/>
              </w:rPr>
              <w:t>multiplesclerosis</w:t>
            </w:r>
            <w:proofErr w:type="spellEnd"/>
            <w:r w:rsidRPr="009E653D">
              <w:rPr>
                <w:rFonts w:ascii="標楷體" w:eastAsia="標楷體" w:hAnsi="標楷體"/>
                <w:szCs w:val="24"/>
              </w:rPr>
              <w:t>)</w:t>
            </w:r>
          </w:p>
        </w:tc>
      </w:tr>
      <w:tr w:rsidR="00401786" w:rsidRPr="009E653D" w14:paraId="15B882CB" w14:textId="77777777">
        <w:trPr>
          <w:cantSplit/>
          <w:trHeight w:val="400"/>
        </w:trPr>
        <w:tc>
          <w:tcPr>
            <w:tcW w:w="670"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14F88432"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1CF43587"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5FB63AD5" w14:textId="77777777" w:rsidR="00401786" w:rsidRPr="009E653D"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CFBDF75"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使用藥品懷孕或不良事件(包括：惡性腫瘤、該藥物引起的嚴重毒性、嚴重的感染性疾病)</w:t>
            </w:r>
          </w:p>
        </w:tc>
      </w:tr>
    </w:tbl>
    <w:p w14:paraId="627E5FD0" w14:textId="77777777" w:rsidR="00401786" w:rsidRPr="009E653D" w:rsidRDefault="00401786" w:rsidP="000E757E">
      <w:pPr>
        <w:snapToGrid w:val="0"/>
        <w:spacing w:line="240" w:lineRule="atLeast"/>
        <w:rPr>
          <w:rFonts w:ascii="標楷體" w:eastAsia="標楷體" w:hAnsi="標楷體"/>
          <w:szCs w:val="24"/>
        </w:rPr>
      </w:pPr>
    </w:p>
    <w:p w14:paraId="252EA600" w14:textId="77777777" w:rsidR="00401786" w:rsidRPr="009E653D" w:rsidRDefault="00C64FB3" w:rsidP="000E757E">
      <w:pPr>
        <w:pageBreakBefore/>
        <w:widowControl/>
        <w:snapToGrid w:val="0"/>
        <w:spacing w:line="240" w:lineRule="atLeast"/>
        <w:rPr>
          <w:sz w:val="22"/>
          <w:szCs w:val="20"/>
        </w:rPr>
      </w:pPr>
      <w:r w:rsidRPr="009E653D">
        <w:rPr>
          <w:rFonts w:ascii="標楷體" w:eastAsia="標楷體" w:hAnsi="標楷體"/>
          <w:b/>
          <w:bCs/>
          <w:color w:val="000000"/>
          <w:szCs w:val="24"/>
        </w:rPr>
        <w:lastRenderedPageBreak/>
        <w:t>附表二十一之二NSAID藥物副作用：</w:t>
      </w:r>
    </w:p>
    <w:p w14:paraId="09A31602" w14:textId="77777777" w:rsidR="00401786" w:rsidRPr="009E653D" w:rsidRDefault="00C64FB3" w:rsidP="000E757E">
      <w:pPr>
        <w:autoSpaceDE w:val="0"/>
        <w:snapToGrid w:val="0"/>
        <w:spacing w:line="240" w:lineRule="atLeast"/>
        <w:ind w:right="929"/>
        <w:rPr>
          <w:sz w:val="22"/>
          <w:szCs w:val="20"/>
        </w:rPr>
      </w:pPr>
      <w:r w:rsidRPr="009E653D">
        <w:rPr>
          <w:rFonts w:ascii="標楷體" w:eastAsia="標楷體" w:hAnsi="標楷體" w:cs="Arial"/>
          <w:b/>
          <w:kern w:val="0"/>
          <w:sz w:val="22"/>
          <w:szCs w:val="20"/>
        </w:rPr>
        <w:t>準備使用TNF</w:t>
      </w:r>
      <w:r w:rsidRPr="009E653D">
        <w:rPr>
          <w:rFonts w:ascii="標楷體" w:eastAsia="標楷體" w:hAnsi="標楷體" w:cs="Symbol"/>
          <w:b/>
          <w:kern w:val="0"/>
          <w:sz w:val="22"/>
          <w:szCs w:val="20"/>
        </w:rPr>
        <w:t></w:t>
      </w:r>
      <w:proofErr w:type="gramStart"/>
      <w:r w:rsidRPr="009E653D">
        <w:rPr>
          <w:rFonts w:ascii="標楷體" w:eastAsia="標楷體" w:hAnsi="標楷體" w:cs="Arial"/>
          <w:b/>
          <w:kern w:val="0"/>
          <w:sz w:val="22"/>
          <w:szCs w:val="20"/>
        </w:rPr>
        <w:t>拮抗劑</w:t>
      </w:r>
      <w:proofErr w:type="gramEnd"/>
      <w:r w:rsidRPr="009E653D">
        <w:rPr>
          <w:rFonts w:ascii="標楷體" w:eastAsia="標楷體" w:hAnsi="標楷體" w:cs="Arial"/>
          <w:b/>
          <w:kern w:val="0"/>
          <w:sz w:val="22"/>
          <w:szCs w:val="20"/>
        </w:rPr>
        <w:t>治療僵直性脊椎炎與</w:t>
      </w:r>
      <w:proofErr w:type="gramStart"/>
      <w:r w:rsidRPr="009E653D">
        <w:rPr>
          <w:rFonts w:ascii="標楷體" w:eastAsia="標楷體" w:hAnsi="標楷體" w:cs="Arial"/>
          <w:b/>
          <w:kern w:val="0"/>
          <w:sz w:val="22"/>
          <w:szCs w:val="20"/>
        </w:rPr>
        <w:t>乾癬性關節炎</w:t>
      </w:r>
      <w:proofErr w:type="gramEnd"/>
      <w:r w:rsidRPr="009E653D">
        <w:rPr>
          <w:rFonts w:ascii="標楷體" w:eastAsia="標楷體" w:hAnsi="標楷體" w:cs="Arial"/>
          <w:b/>
          <w:kern w:val="0"/>
          <w:sz w:val="22"/>
          <w:szCs w:val="20"/>
        </w:rPr>
        <w:t>時的非類固醇類消炎止痛劑(NSAIDs)毒性標準及嚴重度說明</w:t>
      </w:r>
    </w:p>
    <w:p w14:paraId="5090138E" w14:textId="77777777" w:rsidR="00401786" w:rsidRDefault="00401786" w:rsidP="000E757E">
      <w:pPr>
        <w:snapToGrid w:val="0"/>
        <w:spacing w:line="240" w:lineRule="atLeast"/>
        <w:rPr>
          <w:rFonts w:ascii="標楷體" w:eastAsia="標楷體" w:hAnsi="標楷體" w:cs="Arial"/>
        </w:rPr>
      </w:pPr>
    </w:p>
    <w:p w14:paraId="424B1DB4" w14:textId="77777777" w:rsidR="00401786" w:rsidRDefault="00C64FB3" w:rsidP="000E757E">
      <w:pPr>
        <w:snapToGrid w:val="0"/>
        <w:spacing w:line="240" w:lineRule="atLeast"/>
        <w:jc w:val="center"/>
      </w:pPr>
      <w:r>
        <w:rPr>
          <w:rFonts w:ascii="標楷體" w:eastAsia="標楷體" w:hAnsi="標楷體" w:cs="Arial"/>
          <w:b/>
          <w:bCs/>
          <w:kern w:val="0"/>
        </w:rPr>
        <w:t>ULN=正常值上限</w:t>
      </w:r>
      <w:r>
        <w:rPr>
          <w:rFonts w:ascii="標楷體" w:eastAsia="標楷體" w:hAnsi="標楷體" w:cs="Arial"/>
          <w:b/>
          <w:bCs/>
          <w:kern w:val="0"/>
        </w:rPr>
        <w:tab/>
      </w:r>
      <w:r>
        <w:rPr>
          <w:rFonts w:ascii="標楷體" w:eastAsia="標楷體" w:hAnsi="標楷體" w:cs="Arial"/>
          <w:b/>
          <w:bCs/>
          <w:kern w:val="0"/>
        </w:rPr>
        <w:tab/>
        <w:t>LLN=正常值下限</w:t>
      </w:r>
    </w:p>
    <w:tbl>
      <w:tblPr>
        <w:tblW w:w="10353" w:type="dxa"/>
        <w:tblCellMar>
          <w:left w:w="10" w:type="dxa"/>
          <w:right w:w="10" w:type="dxa"/>
        </w:tblCellMar>
        <w:tblLook w:val="0000" w:firstRow="0" w:lastRow="0" w:firstColumn="0" w:lastColumn="0" w:noHBand="0" w:noVBand="0"/>
      </w:tblPr>
      <w:tblGrid>
        <w:gridCol w:w="2285"/>
        <w:gridCol w:w="6792"/>
        <w:gridCol w:w="1276"/>
      </w:tblGrid>
      <w:tr w:rsidR="00401786" w14:paraId="4688F77B" w14:textId="77777777">
        <w:trPr>
          <w:trHeight w:val="515"/>
        </w:trPr>
        <w:tc>
          <w:tcPr>
            <w:tcW w:w="2285"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56BF6A8A" w14:textId="77777777" w:rsidR="00401786" w:rsidRDefault="00C64FB3" w:rsidP="000E757E">
            <w:pPr>
              <w:snapToGrid w:val="0"/>
              <w:spacing w:line="240" w:lineRule="atLeast"/>
              <w:ind w:left="113" w:right="113"/>
            </w:pPr>
            <w:r>
              <w:rPr>
                <w:rFonts w:ascii="標楷體" w:eastAsia="標楷體" w:hAnsi="標楷體" w:cs="Arial"/>
                <w:b/>
                <w:bCs/>
                <w:kern w:val="0"/>
              </w:rPr>
              <w:t>不良事件</w:t>
            </w:r>
          </w:p>
        </w:tc>
        <w:tc>
          <w:tcPr>
            <w:tcW w:w="6792"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08671C68" w14:textId="77777777" w:rsidR="00401786" w:rsidRDefault="00C64FB3" w:rsidP="000E757E">
            <w:pPr>
              <w:snapToGrid w:val="0"/>
              <w:spacing w:line="240" w:lineRule="atLeast"/>
              <w:ind w:left="113" w:right="113"/>
            </w:pPr>
            <w:r>
              <w:rPr>
                <w:rFonts w:ascii="標楷體" w:eastAsia="標楷體" w:hAnsi="標楷體" w:cs="Arial"/>
                <w:b/>
                <w:bCs/>
                <w:kern w:val="0"/>
              </w:rPr>
              <w:t>最低等級簡述</w:t>
            </w:r>
          </w:p>
        </w:tc>
        <w:tc>
          <w:tcPr>
            <w:tcW w:w="1276"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76B98750" w14:textId="77777777" w:rsidR="00401786" w:rsidRDefault="00C64FB3" w:rsidP="000E757E">
            <w:pPr>
              <w:snapToGrid w:val="0"/>
              <w:spacing w:line="240" w:lineRule="atLeast"/>
              <w:ind w:left="113" w:right="113"/>
            </w:pPr>
            <w:r>
              <w:rPr>
                <w:rFonts w:ascii="標楷體" w:eastAsia="標楷體" w:hAnsi="標楷體" w:cs="Arial"/>
                <w:b/>
                <w:bCs/>
                <w:kern w:val="0"/>
              </w:rPr>
              <w:t>毒性分級</w:t>
            </w:r>
          </w:p>
        </w:tc>
      </w:tr>
      <w:tr w:rsidR="00401786" w14:paraId="63A876A0"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0F8B076C"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消化道</w:t>
            </w:r>
          </w:p>
        </w:tc>
      </w:tr>
      <w:tr w:rsidR="00401786" w14:paraId="777E3731"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0DBC166" w14:textId="77777777" w:rsidR="00401786" w:rsidRDefault="00C64FB3" w:rsidP="000E757E">
            <w:pPr>
              <w:snapToGrid w:val="0"/>
              <w:spacing w:line="240" w:lineRule="atLeast"/>
              <w:ind w:left="113" w:right="113"/>
            </w:pPr>
            <w:r>
              <w:rPr>
                <w:rFonts w:ascii="標楷體" w:eastAsia="標楷體" w:hAnsi="標楷體" w:cs="Arial"/>
                <w:kern w:val="0"/>
                <w:sz w:val="22"/>
              </w:rPr>
              <w:t>厭食</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99747C4" w14:textId="77777777" w:rsidR="00401786" w:rsidRDefault="00C64FB3" w:rsidP="000E757E">
            <w:pPr>
              <w:snapToGrid w:val="0"/>
              <w:spacing w:line="240" w:lineRule="atLeast"/>
              <w:ind w:left="113" w:right="113"/>
            </w:pPr>
            <w:r>
              <w:rPr>
                <w:rFonts w:ascii="標楷體" w:eastAsia="標楷體" w:hAnsi="標楷體" w:cs="Arial"/>
                <w:kern w:val="0"/>
                <w:sz w:val="22"/>
              </w:rPr>
              <w:t>食量改變，但無體重明顯減輕的現象。需使用口服營養補充劑。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A8D848"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27448FB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18485D" w14:textId="77777777" w:rsidR="00401786" w:rsidRDefault="00C64FB3" w:rsidP="000E757E">
            <w:pPr>
              <w:snapToGrid w:val="0"/>
              <w:spacing w:line="240" w:lineRule="atLeast"/>
              <w:ind w:left="113" w:right="113"/>
            </w:pPr>
            <w:r>
              <w:rPr>
                <w:rFonts w:ascii="標楷體" w:eastAsia="標楷體" w:hAnsi="標楷體" w:cs="Arial"/>
                <w:kern w:val="0"/>
                <w:sz w:val="22"/>
              </w:rPr>
              <w:t>便秘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9CF179" w14:textId="77777777" w:rsidR="00401786" w:rsidRDefault="00C64FB3" w:rsidP="000E757E">
            <w:pPr>
              <w:snapToGrid w:val="0"/>
              <w:spacing w:line="240" w:lineRule="atLeast"/>
              <w:ind w:left="113" w:right="113"/>
            </w:pPr>
            <w:r>
              <w:rPr>
                <w:rFonts w:ascii="標楷體" w:eastAsia="標楷體" w:hAnsi="標楷體" w:cs="Arial"/>
                <w:kern w:val="0"/>
                <w:sz w:val="22"/>
              </w:rPr>
              <w:t>症狀會對日常生活(ADLs)造成干擾，需按時使用緩瀉劑或使用灌腸劑。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5E8990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F6F2090"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4A5353" w14:textId="77777777" w:rsidR="00401786" w:rsidRDefault="00C64FB3" w:rsidP="000E757E">
            <w:pPr>
              <w:snapToGrid w:val="0"/>
              <w:spacing w:line="240" w:lineRule="atLeast"/>
              <w:ind w:left="113" w:right="113"/>
            </w:pPr>
            <w:r>
              <w:rPr>
                <w:rFonts w:ascii="標楷體" w:eastAsia="標楷體" w:hAnsi="標楷體" w:cs="Arial"/>
                <w:kern w:val="0"/>
                <w:sz w:val="22"/>
              </w:rPr>
              <w:t>腹瀉</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6B4396" w14:textId="77777777" w:rsidR="00401786" w:rsidRDefault="00C64FB3" w:rsidP="000E757E">
            <w:pPr>
              <w:snapToGrid w:val="0"/>
              <w:spacing w:line="240" w:lineRule="atLeast"/>
              <w:ind w:left="113" w:right="113"/>
            </w:pPr>
            <w:r>
              <w:rPr>
                <w:rFonts w:ascii="標楷體" w:eastAsia="標楷體" w:hAnsi="標楷體" w:cs="Arial"/>
                <w:kern w:val="0"/>
                <w:sz w:val="22"/>
              </w:rPr>
              <w:t>比治療之前，每日排便次數增加4-6次。</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0CA052"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CF69373"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4105B0" w14:textId="77777777" w:rsidR="00401786" w:rsidRDefault="00C64FB3" w:rsidP="000E757E">
            <w:pPr>
              <w:snapToGrid w:val="0"/>
              <w:spacing w:line="240" w:lineRule="atLeast"/>
              <w:ind w:left="113" w:right="113"/>
            </w:pPr>
            <w:r>
              <w:rPr>
                <w:rFonts w:ascii="標楷體" w:eastAsia="標楷體" w:hAnsi="標楷體" w:cs="Arial"/>
                <w:kern w:val="0"/>
                <w:sz w:val="22"/>
              </w:rPr>
              <w:t>噁心</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83EE75" w14:textId="77777777" w:rsidR="00401786" w:rsidRDefault="00C64FB3" w:rsidP="000E757E">
            <w:pPr>
              <w:snapToGrid w:val="0"/>
              <w:spacing w:line="240" w:lineRule="atLeast"/>
              <w:ind w:left="113" w:right="113"/>
            </w:pPr>
            <w:r>
              <w:rPr>
                <w:rFonts w:ascii="標楷體" w:eastAsia="標楷體" w:hAnsi="標楷體" w:cs="Arial"/>
                <w:kern w:val="0"/>
                <w:sz w:val="22"/>
              </w:rPr>
              <w:t>食量明顯降低。</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5FB6D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C390B4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837CD8" w14:textId="77777777" w:rsidR="00401786" w:rsidRDefault="00C64FB3" w:rsidP="000E757E">
            <w:pPr>
              <w:snapToGrid w:val="0"/>
              <w:spacing w:line="240" w:lineRule="atLeast"/>
              <w:ind w:left="113" w:right="113"/>
            </w:pPr>
            <w:r>
              <w:rPr>
                <w:rFonts w:ascii="標楷體" w:eastAsia="標楷體" w:hAnsi="標楷體" w:cs="Arial"/>
                <w:kern w:val="0"/>
                <w:sz w:val="22"/>
              </w:rPr>
              <w:t>非潰瘍性消化不良</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592AAF" w14:textId="77777777" w:rsidR="00401786" w:rsidRDefault="00C64FB3" w:rsidP="000E757E">
            <w:pPr>
              <w:snapToGrid w:val="0"/>
              <w:spacing w:line="240" w:lineRule="atLeast"/>
              <w:ind w:left="113" w:right="113"/>
            </w:pPr>
            <w:r>
              <w:rPr>
                <w:rFonts w:ascii="標楷體" w:eastAsia="標楷體" w:hAnsi="標楷體" w:cs="Arial"/>
                <w:kern w:val="0"/>
                <w:sz w:val="22"/>
              </w:rPr>
              <w:t>每24小時發作大於2次，至少連續5天，且無法對同時施行的標準消化不良治療產生反應。重新使用NSAID治療至少一次，結果仍然失敗。</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C7489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85D2F2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7323CD" w14:textId="77777777" w:rsidR="00401786" w:rsidRDefault="00C64FB3" w:rsidP="000E757E">
            <w:pPr>
              <w:snapToGrid w:val="0"/>
              <w:spacing w:line="240" w:lineRule="atLeast"/>
              <w:ind w:left="113" w:right="113"/>
            </w:pPr>
            <w:r>
              <w:rPr>
                <w:rFonts w:ascii="標楷體" w:eastAsia="標楷體" w:hAnsi="標楷體" w:cs="Arial"/>
                <w:kern w:val="0"/>
                <w:sz w:val="22"/>
              </w:rPr>
              <w:t>口腔炎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33123FF"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出現疼痛性紅斑、水腫或潰瘍，但仍可進食或吞嚥。</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3ED42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F666423"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E6252F" w14:textId="77777777" w:rsidR="00401786" w:rsidRDefault="00C64FB3" w:rsidP="000E757E">
            <w:pPr>
              <w:snapToGrid w:val="0"/>
              <w:spacing w:line="240" w:lineRule="atLeast"/>
              <w:ind w:left="113" w:right="113"/>
            </w:pPr>
            <w:r>
              <w:rPr>
                <w:rFonts w:ascii="標楷體" w:eastAsia="標楷體" w:hAnsi="標楷體" w:cs="Arial"/>
                <w:kern w:val="0"/>
                <w:sz w:val="22"/>
              </w:rPr>
              <w:t>嘔吐</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2D633F" w14:textId="77777777" w:rsidR="00401786" w:rsidRDefault="00C64FB3" w:rsidP="000E757E">
            <w:pPr>
              <w:snapToGrid w:val="0"/>
              <w:spacing w:line="240" w:lineRule="atLeast"/>
              <w:ind w:left="113" w:right="113"/>
            </w:pPr>
            <w:r>
              <w:rPr>
                <w:rFonts w:ascii="標楷體" w:eastAsia="標楷體" w:hAnsi="標楷體" w:cs="Arial"/>
                <w:kern w:val="0"/>
                <w:sz w:val="22"/>
              </w:rPr>
              <w:t>24小時內發生兩次(含)以上。</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1456CAA"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4229309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1C7D43" w14:textId="77777777" w:rsidR="00401786" w:rsidRDefault="00C64FB3" w:rsidP="000E757E">
            <w:pPr>
              <w:snapToGrid w:val="0"/>
              <w:spacing w:line="240" w:lineRule="atLeast"/>
              <w:ind w:left="113" w:right="113"/>
            </w:pPr>
            <w:r>
              <w:rPr>
                <w:rFonts w:ascii="標楷體" w:eastAsia="標楷體" w:hAnsi="標楷體" w:cs="Arial"/>
                <w:kern w:val="0"/>
                <w:sz w:val="22"/>
              </w:rPr>
              <w:t>體重增加/減輕</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FE63E2" w14:textId="77777777" w:rsidR="00401786" w:rsidRDefault="00C64FB3" w:rsidP="000E757E">
            <w:pPr>
              <w:snapToGrid w:val="0"/>
              <w:spacing w:line="240" w:lineRule="atLeast"/>
              <w:ind w:left="113" w:right="113"/>
            </w:pPr>
            <w:r>
              <w:rPr>
                <w:rFonts w:ascii="標楷體" w:eastAsia="標楷體" w:hAnsi="標楷體" w:cs="Arial"/>
                <w:kern w:val="0"/>
                <w:sz w:val="22"/>
              </w:rPr>
              <w:t>體重增加或減輕20%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4AA85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9B65C76"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13A6EB8"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血液</w:t>
            </w:r>
          </w:p>
        </w:tc>
      </w:tr>
      <w:tr w:rsidR="00401786" w14:paraId="3D6FDED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060FFA" w14:textId="7F63168F" w:rsidR="00401786" w:rsidRDefault="00044792" w:rsidP="000E757E">
            <w:pPr>
              <w:snapToGrid w:val="0"/>
              <w:spacing w:line="240" w:lineRule="atLeast"/>
              <w:ind w:left="113" w:right="113"/>
            </w:pPr>
            <w:r>
              <w:rPr>
                <w:rFonts w:ascii="標楷體" w:eastAsia="標楷體" w:hAnsi="標楷體" w:cs="Wingdings" w:hint="eastAsia"/>
                <w:kern w:val="0"/>
                <w:sz w:val="22"/>
              </w:rPr>
              <w:t>↑</w:t>
            </w:r>
            <w:r w:rsidR="00C64FB3">
              <w:rPr>
                <w:rFonts w:ascii="標楷體" w:eastAsia="標楷體" w:hAnsi="標楷體" w:cs="Arial"/>
                <w:kern w:val="0"/>
                <w:sz w:val="22"/>
              </w:rPr>
              <w:t>凝血酶原時間(PT)</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79FE66D" w14:textId="77777777" w:rsidR="00401786" w:rsidRDefault="00C64FB3" w:rsidP="000E757E">
            <w:pPr>
              <w:snapToGrid w:val="0"/>
              <w:spacing w:line="240" w:lineRule="atLeast"/>
              <w:ind w:left="113" w:right="113"/>
            </w:pPr>
            <w:r>
              <w:rPr>
                <w:rFonts w:ascii="標楷體" w:eastAsia="標楷體" w:hAnsi="標楷體" w:cs="Arial"/>
                <w:kern w:val="0"/>
                <w:sz w:val="22"/>
              </w:rPr>
              <w:t>PT&gt;2xULN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C57C01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1CFBB6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C473FD" w14:textId="77777777" w:rsidR="00401786" w:rsidRDefault="00C64FB3" w:rsidP="000E757E">
            <w:pPr>
              <w:snapToGrid w:val="0"/>
              <w:spacing w:line="240" w:lineRule="atLeast"/>
              <w:ind w:left="113" w:right="113"/>
            </w:pPr>
            <w:r>
              <w:rPr>
                <w:rFonts w:ascii="標楷體" w:eastAsia="標楷體" w:hAnsi="標楷體" w:cs="Arial"/>
                <w:kern w:val="0"/>
                <w:sz w:val="22"/>
              </w:rPr>
              <w:t>貧血</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A265E3" w14:textId="77777777" w:rsidR="00401786" w:rsidRDefault="00C64FB3" w:rsidP="000E757E">
            <w:pPr>
              <w:snapToGrid w:val="0"/>
              <w:spacing w:line="240" w:lineRule="atLeast"/>
              <w:ind w:left="113" w:right="113"/>
            </w:pPr>
            <w:r>
              <w:rPr>
                <w:rFonts w:ascii="標楷體" w:eastAsia="標楷體" w:hAnsi="標楷體" w:cs="Arial"/>
                <w:kern w:val="0"/>
                <w:sz w:val="22"/>
              </w:rPr>
              <w:t>Hb&lt;8.0g/dL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2B790C"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DE0031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55CDAA" w14:textId="77777777" w:rsidR="00401786" w:rsidRDefault="00C64FB3" w:rsidP="000E757E">
            <w:pPr>
              <w:snapToGrid w:val="0"/>
              <w:spacing w:line="240" w:lineRule="atLeast"/>
              <w:ind w:left="113" w:right="113"/>
            </w:pPr>
            <w:r>
              <w:rPr>
                <w:rFonts w:ascii="標楷體" w:eastAsia="標楷體" w:hAnsi="標楷體" w:cs="Arial"/>
                <w:kern w:val="0"/>
                <w:sz w:val="22"/>
              </w:rPr>
              <w:t>溶血現象</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BFCBD8" w14:textId="77777777" w:rsidR="00401786" w:rsidRDefault="00C64FB3" w:rsidP="000E757E">
            <w:pPr>
              <w:snapToGrid w:val="0"/>
              <w:spacing w:line="240" w:lineRule="atLeast"/>
              <w:ind w:left="113" w:right="113"/>
            </w:pPr>
            <w:r>
              <w:rPr>
                <w:rFonts w:ascii="標楷體" w:eastAsia="標楷體" w:hAnsi="標楷體" w:cs="Arial"/>
                <w:kern w:val="0"/>
                <w:sz w:val="22"/>
              </w:rPr>
              <w:t>有證據顯示紅血球破壞程度且Hb下降</w:t>
            </w:r>
            <w:r>
              <w:rPr>
                <w:rFonts w:ascii="標楷體" w:eastAsia="標楷體" w:hAnsi="標楷體" w:cs="Symbol"/>
                <w:kern w:val="0"/>
                <w:sz w:val="22"/>
              </w:rPr>
              <w:t></w:t>
            </w:r>
            <w:r>
              <w:rPr>
                <w:rFonts w:ascii="標楷體" w:eastAsia="標楷體" w:hAnsi="標楷體" w:cs="Arial"/>
                <w:kern w:val="0"/>
                <w:sz w:val="22"/>
              </w:rPr>
              <w:t>2gm/dL，但不需輸血。</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FC1C8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D04A56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E3A090" w14:textId="77777777" w:rsidR="00401786" w:rsidRDefault="00C64FB3" w:rsidP="000E757E">
            <w:pPr>
              <w:snapToGrid w:val="0"/>
              <w:spacing w:line="240" w:lineRule="atLeast"/>
              <w:ind w:left="113" w:right="113"/>
            </w:pPr>
            <w:r>
              <w:rPr>
                <w:rFonts w:ascii="標楷體" w:eastAsia="標楷體" w:hAnsi="標楷體" w:cs="Arial"/>
                <w:kern w:val="0"/>
                <w:sz w:val="22"/>
              </w:rPr>
              <w:t>出血</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8937D11" w14:textId="77777777" w:rsidR="00401786" w:rsidRDefault="00C64FB3" w:rsidP="000E757E">
            <w:pPr>
              <w:snapToGrid w:val="0"/>
              <w:spacing w:line="240" w:lineRule="atLeast"/>
              <w:ind w:left="113" w:right="113"/>
            </w:pPr>
            <w:r>
              <w:rPr>
                <w:rFonts w:ascii="標楷體" w:eastAsia="標楷體" w:hAnsi="標楷體" w:cs="Arial"/>
                <w:kern w:val="0"/>
                <w:sz w:val="22"/>
              </w:rPr>
              <w:t>出現症狀，需進行輸血/手術或內視鏡治療。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31DD5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58376D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4B0C22" w14:textId="77777777" w:rsidR="00401786" w:rsidRDefault="00C64FB3" w:rsidP="000E757E">
            <w:pPr>
              <w:snapToGrid w:val="0"/>
              <w:spacing w:line="240" w:lineRule="atLeast"/>
              <w:ind w:left="113" w:right="113"/>
            </w:pPr>
            <w:r>
              <w:rPr>
                <w:rFonts w:ascii="標楷體" w:eastAsia="標楷體" w:hAnsi="標楷體" w:cs="Arial"/>
                <w:kern w:val="0"/>
                <w:sz w:val="22"/>
              </w:rPr>
              <w:t>白血球減少症</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1D3D68" w14:textId="77777777" w:rsidR="00401786" w:rsidRDefault="00C64FB3" w:rsidP="000E757E">
            <w:pPr>
              <w:snapToGrid w:val="0"/>
              <w:spacing w:line="240" w:lineRule="atLeast"/>
              <w:ind w:left="113" w:right="113"/>
            </w:pPr>
            <w:r>
              <w:rPr>
                <w:rFonts w:ascii="標楷體" w:eastAsia="標楷體" w:hAnsi="標楷體" w:cs="Arial"/>
                <w:kern w:val="0"/>
                <w:sz w:val="22"/>
              </w:rPr>
              <w:t>WBC&lt;3,000/mm</w:t>
            </w:r>
            <w:r>
              <w:rPr>
                <w:rFonts w:ascii="標楷體" w:eastAsia="標楷體" w:hAnsi="標楷體" w:cs="Arial"/>
                <w:kern w:val="0"/>
                <w:position w:val="6"/>
                <w:sz w:val="22"/>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C99C7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0117128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72DD36"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中性白血球低下症</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9D48FF"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中性白血球計數&lt;1,500/mm</w:t>
            </w:r>
            <w:r>
              <w:rPr>
                <w:rFonts w:ascii="標楷體" w:eastAsia="標楷體" w:hAnsi="標楷體" w:cs="Arial"/>
                <w:kern w:val="0"/>
                <w:position w:val="6"/>
                <w:sz w:val="22"/>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061317"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0ECF797"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2E8F38" w14:textId="77777777" w:rsidR="00401786" w:rsidRDefault="00C64FB3" w:rsidP="000E757E">
            <w:pPr>
              <w:snapToGrid w:val="0"/>
              <w:spacing w:line="240" w:lineRule="atLeast"/>
              <w:ind w:left="113" w:right="113"/>
            </w:pPr>
            <w:r>
              <w:rPr>
                <w:rFonts w:ascii="標楷體" w:eastAsia="標楷體" w:hAnsi="標楷體" w:cs="Arial"/>
                <w:kern w:val="0"/>
                <w:sz w:val="22"/>
              </w:rPr>
              <w:t>靜脈炎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3950CE" w14:textId="77777777" w:rsidR="00401786" w:rsidRDefault="00C64FB3" w:rsidP="000E757E">
            <w:pPr>
              <w:snapToGrid w:val="0"/>
              <w:spacing w:line="240" w:lineRule="atLeast"/>
              <w:ind w:left="113" w:right="113"/>
            </w:pPr>
            <w:r>
              <w:rPr>
                <w:rFonts w:ascii="標楷體" w:eastAsia="標楷體" w:hAnsi="標楷體" w:cs="Arial"/>
                <w:kern w:val="0"/>
                <w:sz w:val="22"/>
              </w:rPr>
              <w:t>發生靜脈炎。</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7DDBEC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2E9499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E33C23" w14:textId="77777777" w:rsidR="00401786" w:rsidRDefault="00C64FB3" w:rsidP="000E757E">
            <w:pPr>
              <w:snapToGrid w:val="0"/>
              <w:spacing w:line="240" w:lineRule="atLeast"/>
              <w:ind w:left="113" w:right="113"/>
            </w:pPr>
            <w:r>
              <w:rPr>
                <w:rFonts w:ascii="標楷體" w:eastAsia="標楷體" w:hAnsi="標楷體" w:cs="Arial"/>
                <w:kern w:val="0"/>
                <w:sz w:val="22"/>
              </w:rPr>
              <w:t>血小板減少症</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186F436" w14:textId="77777777" w:rsidR="00401786" w:rsidRDefault="00C64FB3" w:rsidP="000E757E">
            <w:pPr>
              <w:snapToGrid w:val="0"/>
              <w:spacing w:line="240" w:lineRule="atLeast"/>
              <w:ind w:left="113" w:right="113"/>
            </w:pPr>
            <w:r>
              <w:rPr>
                <w:rFonts w:ascii="標楷體" w:eastAsia="標楷體" w:hAnsi="標楷體" w:cs="Arial"/>
                <w:kern w:val="0"/>
                <w:sz w:val="22"/>
              </w:rPr>
              <w:t>血小板計數&lt;100,000/mm</w:t>
            </w:r>
            <w:r>
              <w:rPr>
                <w:rFonts w:ascii="標楷體" w:eastAsia="標楷體" w:hAnsi="標楷體" w:cs="Arial"/>
                <w:kern w:val="0"/>
                <w:position w:val="6"/>
                <w:sz w:val="22"/>
              </w:rPr>
              <w:t>3</w:t>
            </w:r>
            <w:r>
              <w:rPr>
                <w:rFonts w:ascii="標楷體" w:eastAsia="標楷體" w:hAnsi="標楷體" w:cs="Arial"/>
                <w:kern w:val="0"/>
                <w:sz w:val="22"/>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53B23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5C046A4"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2AB8FCA0"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心血管</w:t>
            </w:r>
          </w:p>
        </w:tc>
      </w:tr>
      <w:tr w:rsidR="00401786" w14:paraId="2B02ADA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62C41E" w14:textId="77777777" w:rsidR="00401786" w:rsidRDefault="00C64FB3" w:rsidP="000E757E">
            <w:pPr>
              <w:snapToGrid w:val="0"/>
              <w:spacing w:line="240" w:lineRule="atLeast"/>
              <w:ind w:left="113" w:right="113"/>
            </w:pPr>
            <w:r>
              <w:rPr>
                <w:rFonts w:ascii="標楷體" w:eastAsia="標楷體" w:hAnsi="標楷體" w:cs="Arial"/>
                <w:kern w:val="0"/>
                <w:sz w:val="22"/>
              </w:rPr>
              <w:t>心律不整</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0A71C3" w14:textId="77777777" w:rsidR="00401786" w:rsidRDefault="00C64FB3" w:rsidP="000E757E">
            <w:pPr>
              <w:snapToGrid w:val="0"/>
              <w:spacing w:line="240" w:lineRule="atLeast"/>
              <w:ind w:left="113" w:right="113"/>
            </w:pPr>
            <w:r>
              <w:rPr>
                <w:rFonts w:ascii="標楷體" w:eastAsia="標楷體" w:hAnsi="標楷體" w:cs="Arial"/>
                <w:kern w:val="0"/>
                <w:sz w:val="22"/>
              </w:rPr>
              <w:t>出現症狀且需接受治療。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BB2EE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08371F1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CBDA4C" w14:textId="77777777" w:rsidR="00401786" w:rsidRDefault="00C64FB3" w:rsidP="000E757E">
            <w:pPr>
              <w:snapToGrid w:val="0"/>
              <w:spacing w:line="240" w:lineRule="atLeast"/>
              <w:ind w:left="113" w:right="113"/>
            </w:pPr>
            <w:r>
              <w:rPr>
                <w:rFonts w:ascii="標楷體" w:eastAsia="標楷體" w:hAnsi="標楷體" w:cs="Arial"/>
                <w:kern w:val="0"/>
                <w:sz w:val="22"/>
              </w:rPr>
              <w:t>心臟功能</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826329" w14:textId="77777777" w:rsidR="00401786" w:rsidRDefault="00C64FB3" w:rsidP="000E757E">
            <w:pPr>
              <w:snapToGrid w:val="0"/>
              <w:spacing w:line="240" w:lineRule="atLeast"/>
              <w:ind w:left="113" w:right="113"/>
            </w:pPr>
            <w:r>
              <w:rPr>
                <w:rFonts w:ascii="標楷體" w:eastAsia="標楷體" w:hAnsi="標楷體" w:cs="Arial"/>
                <w:kern w:val="0"/>
                <w:sz w:val="22"/>
              </w:rPr>
              <w:t>對治療產生鬱血性心臟衰竭。</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022F5A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6DD9159"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B0DFAB" w14:textId="77777777" w:rsidR="00401786" w:rsidRDefault="00C64FB3" w:rsidP="000E757E">
            <w:pPr>
              <w:snapToGrid w:val="0"/>
              <w:spacing w:line="240" w:lineRule="atLeast"/>
              <w:ind w:left="113" w:right="113"/>
            </w:pPr>
            <w:r>
              <w:rPr>
                <w:rFonts w:ascii="標楷體" w:eastAsia="標楷體" w:hAnsi="標楷體" w:cs="Arial"/>
                <w:kern w:val="0"/>
                <w:sz w:val="22"/>
              </w:rPr>
              <w:t>高血壓</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8177F1" w14:textId="77777777" w:rsidR="00401786" w:rsidRDefault="00C64FB3" w:rsidP="000E757E">
            <w:pPr>
              <w:snapToGrid w:val="0"/>
              <w:spacing w:line="240" w:lineRule="atLeast"/>
              <w:ind w:left="113" w:right="113"/>
            </w:pPr>
            <w:r>
              <w:rPr>
                <w:rFonts w:ascii="標楷體" w:eastAsia="標楷體" w:hAnsi="標楷體" w:cs="Arial"/>
                <w:kern w:val="0"/>
                <w:sz w:val="22"/>
              </w:rPr>
              <w:t>收縮壓上升20mmHg，或原本正常的血壓升高至&gt;150/100。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E323B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05FD1E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1DDED3" w14:textId="77777777" w:rsidR="00401786" w:rsidRDefault="00C64FB3" w:rsidP="000E757E">
            <w:pPr>
              <w:snapToGrid w:val="0"/>
              <w:spacing w:line="240" w:lineRule="atLeast"/>
              <w:ind w:left="113" w:right="113"/>
            </w:pPr>
            <w:r>
              <w:rPr>
                <w:rFonts w:ascii="標楷體" w:eastAsia="標楷體" w:hAnsi="標楷體" w:cs="Arial"/>
                <w:kern w:val="0"/>
                <w:sz w:val="22"/>
              </w:rPr>
              <w:t>局部缺血</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F9EFCF" w14:textId="77777777" w:rsidR="00401786" w:rsidRDefault="00C64FB3" w:rsidP="000E757E">
            <w:pPr>
              <w:snapToGrid w:val="0"/>
              <w:spacing w:line="240" w:lineRule="atLeast"/>
              <w:ind w:left="113" w:right="113"/>
            </w:pPr>
            <w:r>
              <w:rPr>
                <w:rFonts w:ascii="標楷體" w:eastAsia="標楷體" w:hAnsi="標楷體" w:cs="Arial"/>
                <w:kern w:val="0"/>
                <w:sz w:val="22"/>
              </w:rPr>
              <w:t>需接受手術治療。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871CA05"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9FCC253"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0515BD" w14:textId="77777777" w:rsidR="00401786" w:rsidRDefault="00C64FB3" w:rsidP="000E757E">
            <w:pPr>
              <w:snapToGrid w:val="0"/>
              <w:spacing w:line="240" w:lineRule="atLeast"/>
              <w:ind w:left="113" w:right="113"/>
            </w:pPr>
            <w:r>
              <w:rPr>
                <w:rFonts w:ascii="標楷體" w:eastAsia="標楷體" w:hAnsi="標楷體" w:cs="Arial"/>
                <w:kern w:val="0"/>
                <w:sz w:val="22"/>
              </w:rPr>
              <w:t>心包積水/心包炎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91FC6AF" w14:textId="77777777" w:rsidR="00401786" w:rsidRDefault="00C64FB3" w:rsidP="000E757E">
            <w:pPr>
              <w:snapToGrid w:val="0"/>
              <w:spacing w:line="240" w:lineRule="atLeast"/>
              <w:ind w:left="113" w:right="113"/>
            </w:pPr>
            <w:r>
              <w:rPr>
                <w:rFonts w:ascii="標楷體" w:eastAsia="標楷體" w:hAnsi="標楷體" w:cs="Arial"/>
                <w:kern w:val="0"/>
                <w:sz w:val="22"/>
              </w:rPr>
              <w:t>心包炎(心包摩擦音、ECG出現變化、或胸痛)。</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15E4F1"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3CD059F"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0B7BCA6"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中樞神經系統</w:t>
            </w:r>
          </w:p>
        </w:tc>
      </w:tr>
      <w:tr w:rsidR="00401786" w14:paraId="68E9525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5D6C05" w14:textId="77777777" w:rsidR="00401786" w:rsidRDefault="00C64FB3" w:rsidP="000E757E">
            <w:pPr>
              <w:snapToGrid w:val="0"/>
              <w:spacing w:line="240" w:lineRule="atLeast"/>
              <w:ind w:left="113" w:right="113"/>
            </w:pPr>
            <w:r>
              <w:rPr>
                <w:rFonts w:ascii="標楷體" w:eastAsia="標楷體" w:hAnsi="標楷體" w:cs="Arial"/>
                <w:kern w:val="0"/>
                <w:sz w:val="22"/>
              </w:rPr>
              <w:t>運動失調</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A05CBB2"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6410E8"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527D912F"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07FCEA" w14:textId="77777777" w:rsidR="00401786" w:rsidRDefault="00C64FB3" w:rsidP="000E757E">
            <w:pPr>
              <w:snapToGrid w:val="0"/>
              <w:spacing w:line="240" w:lineRule="atLeast"/>
              <w:ind w:left="113" w:right="113"/>
            </w:pPr>
            <w:r>
              <w:rPr>
                <w:rFonts w:ascii="標楷體" w:eastAsia="標楷體" w:hAnsi="標楷體" w:cs="Arial"/>
                <w:kern w:val="0"/>
                <w:sz w:val="22"/>
              </w:rPr>
              <w:t>意識程度降低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7E70C6" w14:textId="77777777" w:rsidR="00401786" w:rsidRDefault="00C64FB3" w:rsidP="000E757E">
            <w:pPr>
              <w:snapToGrid w:val="0"/>
              <w:spacing w:line="240" w:lineRule="atLeast"/>
              <w:ind w:left="113" w:right="113"/>
            </w:pPr>
            <w:r>
              <w:rPr>
                <w:rFonts w:ascii="標楷體" w:eastAsia="標楷體" w:hAnsi="標楷體" w:cs="Arial"/>
                <w:kern w:val="0"/>
                <w:sz w:val="22"/>
              </w:rPr>
              <w:t>出現嗜睡或鎮靜反應，會干擾身體功能，但不影響日常活動。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0B95EF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F89FE4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6379549" w14:textId="77777777" w:rsidR="00401786" w:rsidRDefault="00C64FB3" w:rsidP="000E757E">
            <w:pPr>
              <w:snapToGrid w:val="0"/>
              <w:spacing w:line="240" w:lineRule="atLeast"/>
              <w:ind w:left="113" w:right="113"/>
            </w:pPr>
            <w:r>
              <w:rPr>
                <w:rFonts w:ascii="標楷體" w:eastAsia="標楷體" w:hAnsi="標楷體" w:cs="Arial"/>
                <w:kern w:val="0"/>
                <w:sz w:val="22"/>
              </w:rPr>
              <w:t>頭痛(嚴重)</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66E9DD" w14:textId="77777777" w:rsidR="00401786" w:rsidRDefault="00C64FB3" w:rsidP="000E757E">
            <w:pPr>
              <w:snapToGrid w:val="0"/>
              <w:spacing w:line="240" w:lineRule="atLeast"/>
              <w:ind w:left="113" w:right="113"/>
            </w:pPr>
            <w:r>
              <w:rPr>
                <w:rFonts w:ascii="標楷體" w:eastAsia="標楷體" w:hAnsi="標楷體" w:cs="Arial"/>
                <w:kern w:val="0"/>
                <w:sz w:val="22"/>
              </w:rPr>
              <w:t>嚴重頭痛(需使用複合鎮痛劑)，且疼痛程度或鎮痛劑的使用會對日常生活造成干擾。非細菌性腦膜炎。</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267CA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347C12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ED7058" w14:textId="77777777" w:rsidR="00401786" w:rsidRDefault="00C64FB3" w:rsidP="000E757E">
            <w:pPr>
              <w:snapToGrid w:val="0"/>
              <w:spacing w:line="240" w:lineRule="atLeast"/>
              <w:ind w:left="113" w:right="113"/>
            </w:pPr>
            <w:r>
              <w:rPr>
                <w:rFonts w:ascii="標楷體" w:eastAsia="標楷體" w:hAnsi="標楷體" w:cs="Arial"/>
                <w:kern w:val="0"/>
                <w:sz w:val="22"/>
              </w:rPr>
              <w:t>聽力</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FBA56E" w14:textId="77777777" w:rsidR="00401786" w:rsidRDefault="00C64FB3" w:rsidP="000E757E">
            <w:pPr>
              <w:snapToGrid w:val="0"/>
              <w:spacing w:line="240" w:lineRule="atLeast"/>
              <w:ind w:left="113" w:right="113"/>
            </w:pPr>
            <w:r>
              <w:rPr>
                <w:rFonts w:ascii="標楷體" w:eastAsia="標楷體" w:hAnsi="標楷體" w:cs="Arial"/>
                <w:kern w:val="0"/>
                <w:sz w:val="22"/>
              </w:rPr>
              <w:t>耳鳴或聽力減弱，但不需治療。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062F0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FDF337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C95D7E" w14:textId="77777777" w:rsidR="00401786" w:rsidRDefault="00C64FB3" w:rsidP="000E757E">
            <w:pPr>
              <w:snapToGrid w:val="0"/>
              <w:spacing w:line="240" w:lineRule="atLeast"/>
              <w:ind w:left="113" w:right="113"/>
            </w:pPr>
            <w:r>
              <w:rPr>
                <w:rFonts w:ascii="標楷體" w:eastAsia="標楷體" w:hAnsi="標楷體" w:cs="Arial"/>
                <w:kern w:val="0"/>
                <w:sz w:val="22"/>
              </w:rPr>
              <w:t>失眠</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147554" w14:textId="77777777" w:rsidR="00401786" w:rsidRDefault="00C64FB3" w:rsidP="000E757E">
            <w:pPr>
              <w:snapToGrid w:val="0"/>
              <w:spacing w:line="240" w:lineRule="atLeast"/>
              <w:ind w:left="113" w:right="113"/>
            </w:pPr>
            <w:r>
              <w:rPr>
                <w:rFonts w:ascii="標楷體" w:eastAsia="標楷體" w:hAnsi="標楷體" w:cs="Arial"/>
                <w:kern w:val="0"/>
                <w:sz w:val="22"/>
              </w:rPr>
              <w:t>經常難以入睡，並會對日常生活造成干擾。</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E5E717"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89B6C1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0C5914E" w14:textId="77777777" w:rsidR="00401786" w:rsidRDefault="00C64FB3" w:rsidP="000E757E">
            <w:pPr>
              <w:snapToGrid w:val="0"/>
              <w:spacing w:line="240" w:lineRule="atLeast"/>
              <w:ind w:left="113" w:right="113"/>
            </w:pPr>
            <w:r>
              <w:rPr>
                <w:rFonts w:ascii="標楷體" w:eastAsia="標楷體" w:hAnsi="標楷體" w:cs="Arial"/>
                <w:kern w:val="0"/>
                <w:sz w:val="22"/>
              </w:rPr>
              <w:t>情緒轉變</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641E9A" w14:textId="77777777" w:rsidR="00401786" w:rsidRDefault="00C64FB3" w:rsidP="000E757E">
            <w:pPr>
              <w:snapToGrid w:val="0"/>
              <w:spacing w:line="240" w:lineRule="atLeast"/>
              <w:ind w:left="113" w:right="113"/>
            </w:pPr>
            <w:r>
              <w:rPr>
                <w:rFonts w:ascii="標楷體" w:eastAsia="標楷體" w:hAnsi="標楷體" w:cs="Arial"/>
                <w:kern w:val="0"/>
                <w:sz w:val="22"/>
              </w:rPr>
              <w:t>情緒轉變，會干擾身體功能，但不影響日常活動。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F6B57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C3BC8F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8DB4F9" w14:textId="77777777" w:rsidR="00401786" w:rsidRDefault="00C64FB3" w:rsidP="000E757E">
            <w:pPr>
              <w:snapToGrid w:val="0"/>
              <w:spacing w:line="240" w:lineRule="atLeast"/>
              <w:ind w:left="113" w:right="113"/>
            </w:pPr>
            <w:r>
              <w:rPr>
                <w:rFonts w:ascii="標楷體" w:eastAsia="標楷體" w:hAnsi="標楷體" w:cs="Arial"/>
                <w:kern w:val="0"/>
                <w:sz w:val="22"/>
              </w:rPr>
              <w:t>感覺(神經病變)</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648469" w14:textId="77777777" w:rsidR="00401786" w:rsidRDefault="00C64FB3" w:rsidP="000E757E">
            <w:pPr>
              <w:snapToGrid w:val="0"/>
              <w:spacing w:line="240" w:lineRule="atLeast"/>
              <w:ind w:left="113" w:right="113"/>
            </w:pPr>
            <w:r>
              <w:rPr>
                <w:rFonts w:ascii="標楷體" w:eastAsia="標楷體" w:hAnsi="標楷體" w:cs="Arial"/>
                <w:kern w:val="0"/>
                <w:sz w:val="22"/>
              </w:rPr>
              <w:t>深部肌腱反射減弱或出現感覺異常的現象，但不影響身體功能。</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385C5B"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6947C03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9A16B6" w14:textId="77777777" w:rsidR="00401786" w:rsidRDefault="00C64FB3" w:rsidP="000E757E">
            <w:pPr>
              <w:snapToGrid w:val="0"/>
              <w:spacing w:line="240" w:lineRule="atLeast"/>
              <w:ind w:left="113" w:right="113"/>
            </w:pPr>
            <w:r>
              <w:rPr>
                <w:rFonts w:ascii="標楷體" w:eastAsia="標楷體" w:hAnsi="標楷體" w:cs="Arial"/>
                <w:kern w:val="0"/>
                <w:sz w:val="22"/>
              </w:rPr>
              <w:t>動作協調不良</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E65E936"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B06CB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2A7F440"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A5AAB8" w14:textId="77777777" w:rsidR="00401786" w:rsidRDefault="00C64FB3" w:rsidP="000E757E">
            <w:pPr>
              <w:snapToGrid w:val="0"/>
              <w:spacing w:line="240" w:lineRule="atLeast"/>
              <w:ind w:left="113" w:right="113"/>
            </w:pPr>
            <w:r>
              <w:rPr>
                <w:rFonts w:ascii="標楷體" w:eastAsia="標楷體" w:hAnsi="標楷體" w:cs="Arial"/>
                <w:kern w:val="0"/>
                <w:sz w:val="22"/>
              </w:rPr>
              <w:t>視力</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92F2D0" w14:textId="77777777" w:rsidR="00401786" w:rsidRDefault="00C64FB3" w:rsidP="000E757E">
            <w:pPr>
              <w:snapToGrid w:val="0"/>
              <w:spacing w:line="240" w:lineRule="atLeast"/>
              <w:ind w:left="113" w:right="113"/>
            </w:pPr>
            <w:r>
              <w:rPr>
                <w:rFonts w:ascii="標楷體" w:eastAsia="標楷體" w:hAnsi="標楷體" w:cs="Arial"/>
                <w:kern w:val="0"/>
                <w:sz w:val="22"/>
              </w:rPr>
              <w:t>出現症狀並會干擾身體功能，但不影響日常活動。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7A0895"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847C1CB"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605216F6"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lastRenderedPageBreak/>
              <w:t>皮膚</w:t>
            </w:r>
          </w:p>
        </w:tc>
      </w:tr>
      <w:tr w:rsidR="00401786" w14:paraId="0F74E7F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E26E34" w14:textId="77777777" w:rsidR="00401786" w:rsidRDefault="00C64FB3" w:rsidP="000E757E">
            <w:pPr>
              <w:snapToGrid w:val="0"/>
              <w:spacing w:line="240" w:lineRule="atLeast"/>
              <w:ind w:left="113" w:right="113"/>
            </w:pPr>
            <w:r>
              <w:rPr>
                <w:rFonts w:ascii="標楷體" w:eastAsia="標楷體" w:hAnsi="標楷體" w:cs="Arial"/>
                <w:kern w:val="0"/>
                <w:sz w:val="22"/>
              </w:rPr>
              <w:t>禿髮</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AA721F" w14:textId="77777777" w:rsidR="00401786" w:rsidRDefault="00C64FB3" w:rsidP="000E757E">
            <w:pPr>
              <w:snapToGrid w:val="0"/>
              <w:spacing w:line="240" w:lineRule="atLeast"/>
              <w:ind w:left="113" w:right="113"/>
            </w:pPr>
            <w:r>
              <w:rPr>
                <w:rFonts w:ascii="標楷體" w:eastAsia="標楷體" w:hAnsi="標楷體" w:cs="Arial"/>
                <w:kern w:val="0"/>
                <w:sz w:val="22"/>
              </w:rPr>
              <w:t>毛髮明顯減少。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E8CFB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B6C40C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F38B5B" w14:textId="77777777" w:rsidR="00401786" w:rsidRDefault="00C64FB3" w:rsidP="000E757E">
            <w:pPr>
              <w:snapToGrid w:val="0"/>
              <w:spacing w:line="240" w:lineRule="atLeast"/>
              <w:ind w:left="113" w:right="113"/>
            </w:pPr>
            <w:r>
              <w:rPr>
                <w:rFonts w:ascii="標楷體" w:eastAsia="標楷體" w:hAnsi="標楷體" w:cs="Arial"/>
                <w:kern w:val="0"/>
                <w:sz w:val="22"/>
              </w:rPr>
              <w:t>發癢</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35E45F" w14:textId="77777777" w:rsidR="00401786" w:rsidRDefault="00C64FB3" w:rsidP="000E757E">
            <w:pPr>
              <w:snapToGrid w:val="0"/>
              <w:spacing w:line="240" w:lineRule="atLeast"/>
              <w:ind w:left="113" w:right="113"/>
            </w:pPr>
            <w:r>
              <w:rPr>
                <w:rFonts w:ascii="標楷體" w:eastAsia="標楷體" w:hAnsi="標楷體" w:cs="Arial"/>
                <w:kern w:val="0"/>
                <w:sz w:val="22"/>
              </w:rPr>
              <w:t>症狀強烈且分佈範圍廣泛，並會對日常生活造成干擾。</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86E0D6"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0CDD13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FE776D" w14:textId="77777777" w:rsidR="00401786" w:rsidRDefault="00C64FB3" w:rsidP="000E757E">
            <w:pPr>
              <w:snapToGrid w:val="0"/>
              <w:spacing w:line="240" w:lineRule="atLeast"/>
              <w:ind w:left="113" w:right="113"/>
            </w:pPr>
            <w:r>
              <w:rPr>
                <w:rFonts w:ascii="標楷體" w:eastAsia="標楷體" w:hAnsi="標楷體" w:cs="Arial"/>
                <w:kern w:val="0"/>
                <w:sz w:val="22"/>
              </w:rPr>
              <w:t>光敏感</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38559B"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出現疼痛性紅斑及(或)水泡。</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739005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A77C23E"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DFB76B" w14:textId="77777777" w:rsidR="00401786" w:rsidRDefault="00C64FB3" w:rsidP="000E757E">
            <w:pPr>
              <w:snapToGrid w:val="0"/>
              <w:spacing w:line="240" w:lineRule="atLeast"/>
              <w:ind w:left="113" w:right="113"/>
            </w:pPr>
            <w:r>
              <w:rPr>
                <w:rFonts w:ascii="標楷體" w:eastAsia="標楷體" w:hAnsi="標楷體" w:cs="Arial"/>
                <w:kern w:val="0"/>
                <w:sz w:val="22"/>
              </w:rPr>
              <w:t>皮疹/脫皮</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8C638E" w14:textId="77777777" w:rsidR="00401786" w:rsidRDefault="00C64FB3" w:rsidP="000E757E">
            <w:pPr>
              <w:snapToGrid w:val="0"/>
              <w:spacing w:line="240" w:lineRule="atLeast"/>
              <w:ind w:left="113" w:right="113"/>
            </w:pPr>
            <w:r>
              <w:rPr>
                <w:rFonts w:ascii="標楷體" w:eastAsia="標楷體" w:hAnsi="標楷體" w:cs="Arial"/>
                <w:kern w:val="0"/>
                <w:sz w:val="22"/>
              </w:rPr>
              <w:t>出現分散的</w:t>
            </w:r>
            <w:proofErr w:type="gramStart"/>
            <w:r>
              <w:rPr>
                <w:rFonts w:ascii="標楷體" w:eastAsia="標楷體" w:hAnsi="標楷體" w:cs="Arial"/>
                <w:kern w:val="0"/>
                <w:sz w:val="22"/>
              </w:rPr>
              <w:t>斑狀或丘狀</w:t>
            </w:r>
            <w:proofErr w:type="gramEnd"/>
            <w:r>
              <w:rPr>
                <w:rFonts w:ascii="標楷體" w:eastAsia="標楷體" w:hAnsi="標楷體" w:cs="Arial"/>
                <w:kern w:val="0"/>
                <w:sz w:val="22"/>
              </w:rPr>
              <w:t>皮疹或紅斑，並有搔癢或其它相關症狀，分佈範圍&lt;50%體表面積；或出現局部脫皮的現象或其它病變，分佈範圍&lt;50%體表面積。</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D416B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08C9B11"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63AFF9" w14:textId="77777777" w:rsidR="00401786" w:rsidRDefault="00C64FB3" w:rsidP="000E757E">
            <w:pPr>
              <w:snapToGrid w:val="0"/>
              <w:spacing w:line="240" w:lineRule="atLeast"/>
              <w:ind w:left="113" w:right="113"/>
            </w:pPr>
            <w:r>
              <w:rPr>
                <w:rFonts w:ascii="標楷體" w:eastAsia="標楷體" w:hAnsi="標楷體" w:cs="Arial"/>
                <w:kern w:val="0"/>
                <w:sz w:val="22"/>
              </w:rPr>
              <w:t>蕁麻疹</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62A910" w14:textId="77777777" w:rsidR="00401786" w:rsidRDefault="00C64FB3" w:rsidP="000E757E">
            <w:pPr>
              <w:snapToGrid w:val="0"/>
              <w:spacing w:line="240" w:lineRule="atLeast"/>
              <w:ind w:left="113" w:right="113"/>
            </w:pPr>
            <w:r>
              <w:rPr>
                <w:rFonts w:ascii="標楷體" w:eastAsia="標楷體" w:hAnsi="標楷體" w:cs="Arial"/>
                <w:kern w:val="0"/>
                <w:sz w:val="22"/>
              </w:rPr>
              <w:t>需接受&lt;24小時的藥物治療。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FCC13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5DE9AF7"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25B757" w14:textId="77777777" w:rsidR="00401786" w:rsidRDefault="00C64FB3" w:rsidP="000E757E">
            <w:pPr>
              <w:snapToGrid w:val="0"/>
              <w:spacing w:line="240" w:lineRule="atLeast"/>
              <w:ind w:left="113" w:right="113"/>
            </w:pPr>
            <w:r>
              <w:rPr>
                <w:rFonts w:ascii="標楷體" w:eastAsia="標楷體" w:hAnsi="標楷體" w:cs="Arial"/>
                <w:kern w:val="0"/>
                <w:sz w:val="22"/>
              </w:rPr>
              <w:t>血管炎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F7481D"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9673A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B4D93CE"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07EBC768"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肝臟</w:t>
            </w:r>
          </w:p>
        </w:tc>
      </w:tr>
      <w:tr w:rsidR="00401786" w14:paraId="32CBDA5E"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2C3A6C" w14:textId="511F177F" w:rsidR="00401786" w:rsidRDefault="00044792" w:rsidP="000E757E">
            <w:pPr>
              <w:snapToGrid w:val="0"/>
              <w:spacing w:line="240" w:lineRule="atLeast"/>
              <w:ind w:left="113" w:right="113"/>
            </w:pPr>
            <w:r>
              <w:rPr>
                <w:rFonts w:ascii="標楷體" w:eastAsia="標楷體" w:hAnsi="標楷體" w:cs="Symbol" w:hint="eastAsia"/>
                <w:kern w:val="0"/>
                <w:sz w:val="22"/>
              </w:rPr>
              <w:t>↑</w:t>
            </w:r>
            <w:r w:rsidR="00C64FB3">
              <w:rPr>
                <w:rFonts w:ascii="標楷體" w:eastAsia="標楷體" w:hAnsi="標楷體" w:cs="Arial"/>
                <w:kern w:val="0"/>
                <w:sz w:val="22"/>
              </w:rPr>
              <w:t>血清鹼性磷酸酶</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CA335A" w14:textId="77777777" w:rsidR="00401786" w:rsidRDefault="00C64FB3" w:rsidP="000E757E">
            <w:pPr>
              <w:snapToGrid w:val="0"/>
              <w:spacing w:line="240" w:lineRule="atLeast"/>
              <w:ind w:left="113" w:right="113"/>
            </w:pPr>
            <w:r>
              <w:rPr>
                <w:rFonts w:ascii="標楷體" w:eastAsia="標楷體" w:hAnsi="標楷體" w:cs="Arial"/>
                <w:kern w:val="0"/>
                <w:sz w:val="22"/>
              </w:rPr>
              <w:t>2.5xULN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20CFA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5B14F4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851CAB" w14:textId="77777777" w:rsidR="00401786" w:rsidRDefault="00C64FB3" w:rsidP="000E757E">
            <w:pPr>
              <w:snapToGrid w:val="0"/>
              <w:spacing w:line="240" w:lineRule="atLeast"/>
              <w:ind w:left="113" w:right="113"/>
            </w:pPr>
            <w:r>
              <w:rPr>
                <w:rFonts w:ascii="標楷體" w:eastAsia="標楷體" w:hAnsi="標楷體" w:cs="Arial"/>
                <w:kern w:val="0"/>
                <w:sz w:val="22"/>
              </w:rPr>
              <w:t>膽紅素升高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A9A1C3" w14:textId="77777777" w:rsidR="00401786" w:rsidRDefault="00C64FB3" w:rsidP="000E757E">
            <w:pPr>
              <w:snapToGrid w:val="0"/>
              <w:spacing w:line="240" w:lineRule="atLeast"/>
              <w:ind w:left="113" w:right="113"/>
            </w:pPr>
            <w:r>
              <w:rPr>
                <w:rFonts w:ascii="標楷體" w:eastAsia="標楷體" w:hAnsi="標楷體" w:cs="Arial"/>
                <w:kern w:val="0"/>
                <w:sz w:val="22"/>
              </w:rPr>
              <w:t>&gt;1.5xULN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AFA74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EC1C35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3BDDCA" w14:textId="77777777" w:rsidR="00401786" w:rsidRDefault="00C64FB3" w:rsidP="000E757E">
            <w:pPr>
              <w:snapToGrid w:val="0"/>
              <w:spacing w:line="240" w:lineRule="atLeast"/>
              <w:ind w:left="113" w:right="113"/>
            </w:pPr>
            <w:r>
              <w:rPr>
                <w:rFonts w:ascii="標楷體" w:eastAsia="標楷體" w:hAnsi="標楷體" w:cs="Arial"/>
                <w:kern w:val="0"/>
                <w:sz w:val="22"/>
              </w:rPr>
              <w:t>轉胺酶升高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B87DA7" w14:textId="77777777" w:rsidR="00401786" w:rsidRDefault="00C64FB3" w:rsidP="000E757E">
            <w:pPr>
              <w:snapToGrid w:val="0"/>
              <w:spacing w:line="240" w:lineRule="atLeast"/>
              <w:ind w:left="113" w:right="113"/>
            </w:pPr>
            <w:r>
              <w:rPr>
                <w:rFonts w:ascii="標楷體" w:eastAsia="標楷體" w:hAnsi="標楷體" w:cs="Arial"/>
                <w:kern w:val="0"/>
                <w:sz w:val="22"/>
              </w:rPr>
              <w:t>一次檢查的結果顯示ALT及(或)AST&gt;2.5xULN，或3次檢查的結果顯示&gt;1.5xULN。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5B93F6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523CFA3"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A7066C7"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呼吸道</w:t>
            </w:r>
          </w:p>
        </w:tc>
      </w:tr>
      <w:tr w:rsidR="00401786" w14:paraId="75F4655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E176E8" w14:textId="77777777" w:rsidR="00401786" w:rsidRDefault="00C64FB3" w:rsidP="000E757E">
            <w:pPr>
              <w:snapToGrid w:val="0"/>
              <w:spacing w:line="240" w:lineRule="atLeast"/>
              <w:ind w:left="113" w:right="113"/>
            </w:pPr>
            <w:r>
              <w:rPr>
                <w:rFonts w:ascii="標楷體" w:eastAsia="標楷體" w:hAnsi="標楷體" w:cs="Arial"/>
                <w:kern w:val="0"/>
                <w:sz w:val="22"/>
              </w:rPr>
              <w:t>咳嗽(嚴重)</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9B8231" w14:textId="77777777" w:rsidR="00401786" w:rsidRDefault="00C64FB3" w:rsidP="000E757E">
            <w:pPr>
              <w:snapToGrid w:val="0"/>
              <w:spacing w:line="240" w:lineRule="atLeast"/>
              <w:ind w:left="113" w:right="113"/>
            </w:pPr>
            <w:r>
              <w:rPr>
                <w:rFonts w:ascii="標楷體" w:eastAsia="標楷體" w:hAnsi="標楷體" w:cs="Arial"/>
                <w:kern w:val="0"/>
                <w:sz w:val="22"/>
              </w:rPr>
              <w:t>嚴重咳嗽或咳嗽性痙攣，且治療控制效果不佳或無法對治療產生反應。證據顯示停止治療後可恢復正常。</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DDE5876"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0CD8DAD"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E140A1" w14:textId="77777777" w:rsidR="00401786" w:rsidRDefault="00C64FB3" w:rsidP="000E757E">
            <w:pPr>
              <w:snapToGrid w:val="0"/>
              <w:spacing w:line="240" w:lineRule="atLeast"/>
              <w:ind w:left="113" w:right="113"/>
            </w:pPr>
            <w:r>
              <w:rPr>
                <w:rFonts w:ascii="標楷體" w:eastAsia="標楷體" w:hAnsi="標楷體" w:cs="Arial"/>
                <w:kern w:val="0"/>
                <w:sz w:val="22"/>
              </w:rPr>
              <w:t>呼吸困難</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7941F8" w14:textId="77777777" w:rsidR="00401786" w:rsidRDefault="00C64FB3" w:rsidP="000E757E">
            <w:pPr>
              <w:snapToGrid w:val="0"/>
              <w:spacing w:line="240" w:lineRule="atLeast"/>
              <w:ind w:left="113" w:right="113"/>
            </w:pPr>
            <w:r>
              <w:rPr>
                <w:rFonts w:ascii="標楷體" w:eastAsia="標楷體" w:hAnsi="標楷體" w:cs="Arial"/>
                <w:kern w:val="0"/>
                <w:sz w:val="22"/>
              </w:rPr>
              <w:t>用力時會出現呼吸短促的現象，進行一般的日常活動時也會出現症狀。</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E4AD0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1F68A34"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C0F3EC" w14:textId="77777777" w:rsidR="00401786" w:rsidRDefault="00C64FB3" w:rsidP="000E757E">
            <w:pPr>
              <w:snapToGrid w:val="0"/>
              <w:spacing w:line="240" w:lineRule="atLeast"/>
              <w:ind w:left="113" w:right="113"/>
            </w:pPr>
            <w:r>
              <w:rPr>
                <w:rFonts w:ascii="標楷體" w:eastAsia="標楷體" w:hAnsi="標楷體" w:cs="Arial"/>
                <w:kern w:val="0"/>
                <w:sz w:val="22"/>
              </w:rPr>
              <w:t>肺炎/肺浸潤</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5A88E9" w14:textId="77777777" w:rsidR="00401786" w:rsidRDefault="00C64FB3" w:rsidP="000E757E">
            <w:pPr>
              <w:snapToGrid w:val="0"/>
              <w:spacing w:line="240" w:lineRule="atLeast"/>
              <w:ind w:left="113" w:right="113"/>
            </w:pPr>
            <w:r>
              <w:rPr>
                <w:rFonts w:ascii="標楷體" w:eastAsia="標楷體" w:hAnsi="標楷體" w:cs="Arial"/>
                <w:kern w:val="0"/>
                <w:sz w:val="22"/>
              </w:rPr>
              <w:t>X光檢查發現變化，且需使用類固醇或利尿劑治療。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434D3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01249C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20C873" w14:textId="77777777" w:rsidR="00401786" w:rsidRDefault="00C64FB3" w:rsidP="000E757E">
            <w:pPr>
              <w:snapToGrid w:val="0"/>
              <w:spacing w:line="240" w:lineRule="atLeast"/>
              <w:ind w:left="113" w:right="113"/>
            </w:pPr>
            <w:r>
              <w:rPr>
                <w:rFonts w:ascii="標楷體" w:eastAsia="標楷體" w:hAnsi="標楷體" w:cs="Arial"/>
                <w:kern w:val="0"/>
                <w:sz w:val="22"/>
              </w:rPr>
              <w:t>肺纖維化</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B6E2A1"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需使用類固醇或利尿劑治療。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1212842"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23B972E"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8A58DBE" w14:textId="77777777" w:rsidR="00401786" w:rsidRDefault="00C64FB3" w:rsidP="000E757E">
            <w:pPr>
              <w:snapToGrid w:val="0"/>
              <w:spacing w:before="60" w:after="60" w:line="240" w:lineRule="atLeast"/>
              <w:ind w:left="113" w:right="113"/>
              <w:rPr>
                <w:rFonts w:ascii="標楷體" w:eastAsia="標楷體" w:hAnsi="標楷體" w:cs="Arial"/>
                <w:b/>
                <w:sz w:val="28"/>
                <w:szCs w:val="28"/>
              </w:rPr>
            </w:pPr>
            <w:r>
              <w:rPr>
                <w:rFonts w:ascii="標楷體" w:eastAsia="標楷體" w:hAnsi="標楷體" w:cs="Arial"/>
                <w:b/>
                <w:sz w:val="28"/>
                <w:szCs w:val="28"/>
              </w:rPr>
              <w:t>腎臟</w:t>
            </w:r>
          </w:p>
        </w:tc>
      </w:tr>
      <w:tr w:rsidR="00401786" w14:paraId="033671D9"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3237B6F" w14:textId="6939E859" w:rsidR="00401786" w:rsidRDefault="00044792" w:rsidP="000E757E">
            <w:pPr>
              <w:snapToGrid w:val="0"/>
              <w:spacing w:line="240" w:lineRule="atLeast"/>
              <w:ind w:left="113" w:right="113"/>
            </w:pPr>
            <w:r>
              <w:rPr>
                <w:rFonts w:ascii="標楷體" w:eastAsia="標楷體" w:hAnsi="標楷體" w:cs="Symbol" w:hint="eastAsia"/>
                <w:kern w:val="0"/>
                <w:sz w:val="22"/>
              </w:rPr>
              <w:t>↑</w:t>
            </w:r>
            <w:r w:rsidR="00C64FB3">
              <w:rPr>
                <w:rFonts w:ascii="標楷體" w:eastAsia="標楷體" w:hAnsi="標楷體" w:cs="Arial"/>
                <w:kern w:val="0"/>
                <w:sz w:val="22"/>
              </w:rPr>
              <w:t>尿素</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42FBE2"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2.5xULN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C5ED8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893362E"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BA3379"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膀胱炎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559827"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經常排尿困難；有肉眼可見的血尿現象；細菌培養呈陰性反應。重新治療仍會再度發生。</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BAEFE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F2D966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926FCE"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血鉀升高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D81DA8"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6.0mmol/L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F69E8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FC4FB7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F01868"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E51497"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血尿現象肉眼明顯可見。</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53B14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0F9233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F0A633"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水腫</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24F0EF" w14:textId="77777777" w:rsidR="00401786" w:rsidRDefault="00C64FB3" w:rsidP="000E757E">
            <w:pPr>
              <w:snapToGrid w:val="0"/>
              <w:spacing w:line="240" w:lineRule="atLeast"/>
              <w:ind w:left="113" w:right="113"/>
              <w:rPr>
                <w:rFonts w:ascii="標楷體" w:eastAsia="標楷體" w:hAnsi="標楷體" w:cs="Arial"/>
                <w:kern w:val="0"/>
                <w:sz w:val="22"/>
              </w:rPr>
            </w:pPr>
            <w:proofErr w:type="gramStart"/>
            <w:r>
              <w:rPr>
                <w:rFonts w:ascii="標楷體" w:eastAsia="標楷體" w:hAnsi="標楷體" w:cs="Arial"/>
                <w:kern w:val="0"/>
                <w:sz w:val="22"/>
              </w:rPr>
              <w:t>膝部或較</w:t>
            </w:r>
            <w:proofErr w:type="gramEnd"/>
            <w:r>
              <w:rPr>
                <w:rFonts w:ascii="標楷體" w:eastAsia="標楷體" w:hAnsi="標楷體" w:cs="Arial"/>
                <w:kern w:val="0"/>
                <w:sz w:val="22"/>
              </w:rPr>
              <w:t>高的部位出現凹陷性水腫。</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3BC4C9"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F41EBB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C7F648"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蛋白尿</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3FD5B6"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2+級(含)以上(或1.0</w:t>
            </w:r>
            <w:proofErr w:type="gramStart"/>
            <w:r>
              <w:rPr>
                <w:rFonts w:ascii="標楷體" w:eastAsia="標楷體" w:hAnsi="標楷體" w:cs="Arial"/>
                <w:kern w:val="0"/>
                <w:sz w:val="22"/>
              </w:rPr>
              <w:t>–</w:t>
            </w:r>
            <w:proofErr w:type="gramEnd"/>
            <w:r>
              <w:rPr>
                <w:rFonts w:ascii="標楷體" w:eastAsia="標楷體" w:hAnsi="標楷體" w:cs="Arial"/>
                <w:kern w:val="0"/>
                <w:sz w:val="22"/>
              </w:rPr>
              <w:t>3.5克/24小時)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F691B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E45CEF0"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FC55BF" w14:textId="77777777" w:rsidR="00401786" w:rsidRDefault="00C64FB3" w:rsidP="000E757E">
            <w:pPr>
              <w:snapToGrid w:val="0"/>
              <w:spacing w:line="240" w:lineRule="atLeast"/>
              <w:ind w:left="113" w:right="113"/>
            </w:pPr>
            <w:r>
              <w:rPr>
                <w:rFonts w:ascii="標楷體" w:eastAsia="標楷體" w:hAnsi="標楷體" w:cs="Arial"/>
                <w:kern w:val="0"/>
                <w:sz w:val="22"/>
              </w:rPr>
              <w:t>腎功能損害</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17255CD"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肌</w:t>
            </w:r>
            <w:proofErr w:type="gramEnd"/>
            <w:r>
              <w:rPr>
                <w:rFonts w:ascii="標楷體" w:eastAsia="標楷體" w:hAnsi="標楷體" w:cs="Arial"/>
                <w:kern w:val="0"/>
                <w:sz w:val="22"/>
              </w:rPr>
              <w:t>酸酐廓清率&lt;30毫升/分鐘。</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A529C5F"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C72152A"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720B2A4" w14:textId="77777777" w:rsidR="00401786" w:rsidRDefault="00C64FB3" w:rsidP="000E757E">
            <w:pPr>
              <w:snapToGrid w:val="0"/>
              <w:spacing w:before="60" w:after="60" w:line="240" w:lineRule="atLeast"/>
              <w:ind w:left="113" w:right="113"/>
            </w:pPr>
            <w:r>
              <w:rPr>
                <w:rFonts w:ascii="標楷體" w:eastAsia="標楷體" w:hAnsi="標楷體" w:cs="Arial"/>
                <w:b/>
                <w:sz w:val="28"/>
                <w:szCs w:val="28"/>
              </w:rPr>
              <w:t>其它</w:t>
            </w:r>
          </w:p>
        </w:tc>
      </w:tr>
      <w:tr w:rsidR="00401786" w14:paraId="04EC3CFD"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A2F96C" w14:textId="77777777" w:rsidR="00401786" w:rsidRDefault="00C64FB3" w:rsidP="000E757E">
            <w:pPr>
              <w:snapToGrid w:val="0"/>
              <w:spacing w:line="240" w:lineRule="atLeast"/>
              <w:ind w:left="113" w:right="113"/>
            </w:pPr>
            <w:r>
              <w:rPr>
                <w:rFonts w:ascii="標楷體" w:eastAsia="標楷體" w:hAnsi="標楷體" w:cs="Arial"/>
                <w:kern w:val="0"/>
                <w:sz w:val="22"/>
              </w:rPr>
              <w:t>過敏</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47862A" w14:textId="77777777" w:rsidR="00401786" w:rsidRDefault="00C64FB3" w:rsidP="000E757E">
            <w:pPr>
              <w:snapToGrid w:val="0"/>
              <w:spacing w:line="240" w:lineRule="atLeast"/>
              <w:ind w:left="113" w:right="113"/>
            </w:pPr>
            <w:r>
              <w:rPr>
                <w:rFonts w:ascii="標楷體" w:eastAsia="標楷體" w:hAnsi="標楷體" w:cs="Arial"/>
                <w:kern w:val="0"/>
                <w:sz w:val="22"/>
              </w:rPr>
              <w:t>蕁麻疹、藥物熱&gt;38°C、或支氣管痙攣。</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F2E29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3E0B8A7"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5EC5FDE" w14:textId="77777777" w:rsidR="00401786" w:rsidRDefault="00C64FB3" w:rsidP="000E757E">
            <w:pPr>
              <w:snapToGrid w:val="0"/>
              <w:spacing w:line="240" w:lineRule="atLeast"/>
              <w:ind w:left="113" w:right="113"/>
            </w:pPr>
            <w:r>
              <w:rPr>
                <w:rFonts w:ascii="標楷體" w:eastAsia="標楷體" w:hAnsi="標楷體" w:cs="Arial"/>
                <w:kern w:val="0"/>
                <w:sz w:val="22"/>
              </w:rPr>
              <w:t>發燒(未出現</w:t>
            </w: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中性白血球減少的現象)</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826BD11" w14:textId="77777777" w:rsidR="00401786" w:rsidRDefault="00C64FB3" w:rsidP="000E757E">
            <w:pPr>
              <w:snapToGrid w:val="0"/>
              <w:spacing w:line="240" w:lineRule="atLeast"/>
              <w:ind w:left="113" w:right="113"/>
            </w:pPr>
            <w:r>
              <w:rPr>
                <w:rFonts w:ascii="標楷體" w:eastAsia="標楷體" w:hAnsi="標楷體" w:cs="Arial"/>
                <w:kern w:val="0"/>
                <w:sz w:val="22"/>
              </w:rPr>
              <w:t>體溫&gt;39°C(</w:t>
            </w:r>
            <w:proofErr w:type="gramStart"/>
            <w:r>
              <w:rPr>
                <w:rFonts w:ascii="標楷體" w:eastAsia="標楷體" w:hAnsi="標楷體" w:cs="Arial"/>
                <w:kern w:val="0"/>
                <w:sz w:val="22"/>
              </w:rPr>
              <w:t>口溫或耳</w:t>
            </w:r>
            <w:proofErr w:type="gramEnd"/>
            <w:r>
              <w:rPr>
                <w:rFonts w:ascii="標楷體" w:eastAsia="標楷體" w:hAnsi="標楷體" w:cs="Arial"/>
                <w:kern w:val="0"/>
                <w:sz w:val="22"/>
              </w:rPr>
              <w:t>溫)。</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2FDA9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2F9D934"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18BF8D" w14:textId="77777777" w:rsidR="00401786" w:rsidRDefault="00C64FB3" w:rsidP="000E757E">
            <w:pPr>
              <w:snapToGrid w:val="0"/>
              <w:spacing w:line="240" w:lineRule="atLeast"/>
              <w:ind w:left="113" w:right="113"/>
            </w:pPr>
            <w:r>
              <w:rPr>
                <w:rFonts w:ascii="標楷體" w:eastAsia="標楷體" w:hAnsi="標楷體" w:cs="Arial"/>
                <w:kern w:val="0"/>
                <w:sz w:val="22"/>
              </w:rPr>
              <w:t>感染</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7958BF" w14:textId="77777777" w:rsidR="00401786" w:rsidRDefault="00C64FB3" w:rsidP="000E757E">
            <w:pPr>
              <w:snapToGrid w:val="0"/>
              <w:spacing w:line="240" w:lineRule="atLeast"/>
              <w:ind w:left="113" w:right="113"/>
            </w:pPr>
            <w:r>
              <w:rPr>
                <w:rFonts w:ascii="標楷體" w:eastAsia="標楷體" w:hAnsi="標楷體" w:cs="Arial"/>
                <w:kern w:val="0"/>
                <w:sz w:val="22"/>
              </w:rPr>
              <w:t>嚴重的全身性感染，需接受IV抗菌治療或住院治療。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4E46A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AA8ECD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0E5385"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冒汗</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A6CE9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經常發生，並會汗濕全身，72小時內發生&gt;4次。</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4F3B7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bl>
    <w:p w14:paraId="5D92DF2D" w14:textId="77777777" w:rsidR="00401786" w:rsidRDefault="00401786" w:rsidP="000E757E">
      <w:pPr>
        <w:snapToGrid w:val="0"/>
        <w:spacing w:line="240" w:lineRule="atLeast"/>
        <w:rPr>
          <w:rFonts w:ascii="標楷體" w:eastAsia="標楷體" w:hAnsi="標楷體" w:cs="Arial"/>
        </w:rPr>
      </w:pPr>
    </w:p>
    <w:p w14:paraId="6688B0D7" w14:textId="77777777" w:rsidR="00401786" w:rsidRPr="00071B37" w:rsidRDefault="00C64FB3" w:rsidP="000E757E">
      <w:pPr>
        <w:pageBreakBefore/>
        <w:snapToGrid w:val="0"/>
        <w:spacing w:line="240" w:lineRule="atLeast"/>
        <w:ind w:left="-628" w:right="-352" w:firstLine="242"/>
        <w:jc w:val="center"/>
        <w:rPr>
          <w:b/>
          <w:bCs/>
          <w:sz w:val="22"/>
          <w:szCs w:val="20"/>
        </w:rPr>
      </w:pPr>
      <w:r w:rsidRPr="00071B37">
        <w:rPr>
          <w:rFonts w:ascii="標楷體" w:eastAsia="標楷體" w:hAnsi="標楷體"/>
          <w:b/>
          <w:bCs/>
          <w:szCs w:val="24"/>
        </w:rPr>
        <w:lastRenderedPageBreak/>
        <w:t>附表二十二之</w:t>
      </w:r>
      <w:proofErr w:type="gramStart"/>
      <w:r w:rsidRPr="00071B37">
        <w:rPr>
          <w:rFonts w:ascii="標楷體" w:eastAsia="標楷體" w:hAnsi="標楷體"/>
          <w:b/>
          <w:bCs/>
          <w:szCs w:val="24"/>
        </w:rPr>
        <w:t>一</w:t>
      </w:r>
      <w:proofErr w:type="gramEnd"/>
      <w:r w:rsidRPr="00071B37">
        <w:rPr>
          <w:rFonts w:ascii="標楷體" w:eastAsia="標楷體" w:hAnsi="標楷體"/>
          <w:b/>
          <w:bCs/>
          <w:szCs w:val="24"/>
        </w:rPr>
        <w:t>：全民健康保險</w:t>
      </w:r>
      <w:proofErr w:type="gramStart"/>
      <w:r w:rsidRPr="00071B37">
        <w:rPr>
          <w:rFonts w:ascii="標楷體" w:eastAsia="標楷體" w:hAnsi="標楷體"/>
          <w:b/>
          <w:bCs/>
          <w:szCs w:val="24"/>
        </w:rPr>
        <w:t>乾癬性周邊</w:t>
      </w:r>
      <w:proofErr w:type="gramEnd"/>
      <w:r w:rsidRPr="00071B37">
        <w:rPr>
          <w:rFonts w:ascii="標楷體" w:eastAsia="標楷體" w:hAnsi="標楷體"/>
          <w:b/>
          <w:bCs/>
          <w:szCs w:val="24"/>
        </w:rPr>
        <w:t>關節炎使用生物製劑</w:t>
      </w:r>
      <w:proofErr w:type="gramStart"/>
      <w:r w:rsidRPr="00071B37">
        <w:rPr>
          <w:rFonts w:ascii="標楷體" w:eastAsia="標楷體" w:hAnsi="標楷體"/>
          <w:b/>
          <w:bCs/>
          <w:szCs w:val="24"/>
          <w:vertAlign w:val="superscript"/>
        </w:rPr>
        <w:t>註</w:t>
      </w:r>
      <w:proofErr w:type="gramEnd"/>
      <w:r w:rsidRPr="00071B37">
        <w:rPr>
          <w:rFonts w:ascii="標楷體" w:eastAsia="標楷體" w:hAnsi="標楷體"/>
          <w:b/>
          <w:bCs/>
          <w:szCs w:val="24"/>
        </w:rPr>
        <w:t>申請表(第一頁)</w:t>
      </w:r>
    </w:p>
    <w:p w14:paraId="24F50CBC" w14:textId="77777777" w:rsidR="00401786" w:rsidRDefault="00401786" w:rsidP="000E757E">
      <w:pPr>
        <w:snapToGrid w:val="0"/>
        <w:spacing w:line="240" w:lineRule="atLeast"/>
        <w:ind w:right="-286"/>
        <w:rPr>
          <w:rFonts w:ascii="標楷體" w:eastAsia="標楷體" w:hAnsi="標楷體"/>
          <w:sz w:val="32"/>
        </w:rPr>
      </w:pPr>
    </w:p>
    <w:tbl>
      <w:tblPr>
        <w:tblW w:w="9547" w:type="dxa"/>
        <w:jc w:val="center"/>
        <w:tblLayout w:type="fixed"/>
        <w:tblCellMar>
          <w:left w:w="10" w:type="dxa"/>
          <w:right w:w="10" w:type="dxa"/>
        </w:tblCellMar>
        <w:tblLook w:val="0000" w:firstRow="0" w:lastRow="0" w:firstColumn="0" w:lastColumn="0" w:noHBand="0" w:noVBand="0"/>
      </w:tblPr>
      <w:tblGrid>
        <w:gridCol w:w="1449"/>
        <w:gridCol w:w="1547"/>
        <w:gridCol w:w="1408"/>
        <w:gridCol w:w="1601"/>
        <w:gridCol w:w="1050"/>
        <w:gridCol w:w="2492"/>
      </w:tblGrid>
      <w:tr w:rsidR="00401786" w14:paraId="7174602F" w14:textId="77777777">
        <w:trPr>
          <w:cantSplit/>
          <w:trHeight w:val="376"/>
          <w:jc w:val="center"/>
        </w:trPr>
        <w:tc>
          <w:tcPr>
            <w:tcW w:w="1449"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7F65FF6"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CC4E22" w14:textId="77777777" w:rsidR="00401786" w:rsidRDefault="00401786" w:rsidP="000E757E">
            <w:pPr>
              <w:snapToGrid w:val="0"/>
              <w:spacing w:line="240" w:lineRule="atLeast"/>
              <w:rPr>
                <w:rFonts w:ascii="標楷體" w:eastAsia="標楷體" w:hAnsi="標楷體"/>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DE7286"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DC6868" w14:textId="77777777" w:rsidR="00401786" w:rsidRDefault="00401786" w:rsidP="000E757E">
            <w:pPr>
              <w:snapToGrid w:val="0"/>
              <w:spacing w:line="240" w:lineRule="atLeast"/>
              <w:rPr>
                <w:rFonts w:ascii="標楷體" w:eastAsia="標楷體" w:hAnsi="標楷體"/>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9E1C91"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492"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FBAEF1F" w14:textId="77777777" w:rsidR="00401786" w:rsidRDefault="00401786" w:rsidP="000E757E">
            <w:pPr>
              <w:snapToGrid w:val="0"/>
              <w:spacing w:line="240" w:lineRule="atLeast"/>
              <w:rPr>
                <w:rFonts w:ascii="標楷體" w:eastAsia="標楷體" w:hAnsi="標楷體"/>
              </w:rPr>
            </w:pPr>
          </w:p>
        </w:tc>
      </w:tr>
      <w:tr w:rsidR="00401786" w14:paraId="27CEF038" w14:textId="77777777">
        <w:trPr>
          <w:cantSplit/>
          <w:trHeight w:val="332"/>
          <w:jc w:val="center"/>
        </w:trPr>
        <w:tc>
          <w:tcPr>
            <w:tcW w:w="144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89AE8E2"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E4D8AF"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5955FE"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44AF64" w14:textId="77777777" w:rsidR="00401786" w:rsidRDefault="00401786" w:rsidP="000E757E">
            <w:pPr>
              <w:snapToGrid w:val="0"/>
              <w:spacing w:line="240" w:lineRule="atLeast"/>
              <w:rPr>
                <w:rFonts w:ascii="標楷體" w:eastAsia="標楷體" w:hAnsi="標楷體"/>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09590E"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4AA6419" w14:textId="77777777" w:rsidR="00401786" w:rsidRDefault="00401786" w:rsidP="000E757E">
            <w:pPr>
              <w:snapToGrid w:val="0"/>
              <w:spacing w:line="240" w:lineRule="atLeast"/>
              <w:rPr>
                <w:rFonts w:ascii="標楷體" w:eastAsia="標楷體" w:hAnsi="標楷體"/>
              </w:rPr>
            </w:pPr>
          </w:p>
        </w:tc>
      </w:tr>
      <w:tr w:rsidR="00401786" w14:paraId="21B82962" w14:textId="77777777">
        <w:trPr>
          <w:cantSplit/>
          <w:trHeight w:val="356"/>
          <w:jc w:val="center"/>
        </w:trPr>
        <w:tc>
          <w:tcPr>
            <w:tcW w:w="144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8E265B7"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65015C"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F20522"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BBB39B" w14:textId="77777777" w:rsidR="00401786" w:rsidRDefault="00401786" w:rsidP="000E757E">
            <w:pPr>
              <w:snapToGrid w:val="0"/>
              <w:spacing w:line="240" w:lineRule="atLeast"/>
              <w:rPr>
                <w:rFonts w:ascii="標楷體" w:eastAsia="標楷體" w:hAnsi="標楷體"/>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3E61B60"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DB4F216"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6E4D8BA7" w14:textId="77777777">
        <w:trPr>
          <w:cantSplit/>
          <w:trHeight w:val="337"/>
          <w:jc w:val="center"/>
        </w:trPr>
        <w:tc>
          <w:tcPr>
            <w:tcW w:w="1449"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11863F4"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FBF48D5"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859C7E8"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756CF6B" w14:textId="77777777" w:rsidR="00401786" w:rsidRDefault="00401786" w:rsidP="000E757E">
            <w:pPr>
              <w:snapToGrid w:val="0"/>
              <w:spacing w:line="240" w:lineRule="atLeast"/>
              <w:rPr>
                <w:rFonts w:ascii="標楷體" w:eastAsia="標楷體" w:hAnsi="標楷體"/>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0860284C" w14:textId="77777777" w:rsidR="00401786" w:rsidRDefault="00401786" w:rsidP="000E757E">
            <w:pPr>
              <w:snapToGrid w:val="0"/>
              <w:spacing w:line="240" w:lineRule="atLeast"/>
              <w:rPr>
                <w:rFonts w:ascii="標楷體" w:eastAsia="標楷體" w:hAnsi="標楷體"/>
              </w:rPr>
            </w:pPr>
          </w:p>
        </w:tc>
        <w:tc>
          <w:tcPr>
            <w:tcW w:w="2492"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BF698B7"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2FF38A84" w14:textId="77777777" w:rsidR="00401786" w:rsidRDefault="00401786" w:rsidP="000E757E">
      <w:pPr>
        <w:snapToGrid w:val="0"/>
        <w:spacing w:line="240" w:lineRule="atLeast"/>
        <w:ind w:right="-286"/>
        <w:rPr>
          <w:rFonts w:ascii="標楷體" w:eastAsia="標楷體" w:hAnsi="標楷體"/>
          <w:sz w:val="20"/>
        </w:rPr>
      </w:pPr>
    </w:p>
    <w:tbl>
      <w:tblPr>
        <w:tblW w:w="9536" w:type="dxa"/>
        <w:jc w:val="center"/>
        <w:tblCellMar>
          <w:left w:w="10" w:type="dxa"/>
          <w:right w:w="10" w:type="dxa"/>
        </w:tblCellMar>
        <w:tblLook w:val="0000" w:firstRow="0" w:lastRow="0" w:firstColumn="0" w:lastColumn="0" w:noHBand="0" w:noVBand="0"/>
      </w:tblPr>
      <w:tblGrid>
        <w:gridCol w:w="9536"/>
      </w:tblGrid>
      <w:tr w:rsidR="00401786" w14:paraId="547BCC4E" w14:textId="77777777">
        <w:trPr>
          <w:trHeight w:val="9893"/>
          <w:jc w:val="center"/>
        </w:trPr>
        <w:tc>
          <w:tcPr>
            <w:tcW w:w="9536"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D15C5BE" w14:textId="77777777" w:rsidR="00401786" w:rsidRDefault="00C64FB3" w:rsidP="002144EC">
            <w:pPr>
              <w:numPr>
                <w:ilvl w:val="0"/>
                <w:numId w:val="86"/>
              </w:numPr>
              <w:snapToGrid w:val="0"/>
              <w:spacing w:before="180" w:line="240" w:lineRule="atLeast"/>
            </w:pPr>
            <w:r>
              <w:rPr>
                <w:rFonts w:ascii="標楷體" w:eastAsia="標楷體" w:hAnsi="標楷體"/>
                <w:b/>
                <w:bCs/>
                <w:szCs w:val="17"/>
              </w:rPr>
              <w:t>符合下列所有條件：</w:t>
            </w:r>
          </w:p>
          <w:p w14:paraId="374FD10E" w14:textId="77777777" w:rsidR="00401786" w:rsidRDefault="00C64FB3" w:rsidP="000E757E">
            <w:pPr>
              <w:snapToGrid w:val="0"/>
              <w:spacing w:line="240" w:lineRule="atLeast"/>
              <w:ind w:left="653" w:hanging="283"/>
            </w:pPr>
            <w:r>
              <w:rPr>
                <w:rFonts w:ascii="Webdings" w:eastAsia="Webdings" w:hAnsi="Webdings" w:cs="Webdings"/>
                <w:color w:val="000000"/>
              </w:rPr>
              <w:t></w:t>
            </w:r>
            <w:r>
              <w:rPr>
                <w:rFonts w:ascii="標楷體" w:eastAsia="標楷體" w:hAnsi="標楷體"/>
              </w:rPr>
              <w:t>經</w:t>
            </w:r>
            <w:r>
              <w:rPr>
                <w:rFonts w:ascii="標楷體" w:eastAsia="標楷體" w:hAnsi="標楷體"/>
                <w:szCs w:val="13"/>
              </w:rPr>
              <w:t>內科專科醫師且具有風濕或免疫專科醫師證書者診斷為</w:t>
            </w:r>
            <w:proofErr w:type="gramStart"/>
            <w:r>
              <w:rPr>
                <w:rFonts w:ascii="標楷體" w:eastAsia="標楷體" w:hAnsi="標楷體"/>
                <w:szCs w:val="13"/>
              </w:rPr>
              <w:t>乾癬性關節炎</w:t>
            </w:r>
            <w:proofErr w:type="gramEnd"/>
            <w:r>
              <w:rPr>
                <w:rFonts w:ascii="標楷體" w:eastAsia="標楷體" w:hAnsi="標楷體"/>
                <w:szCs w:val="13"/>
              </w:rPr>
              <w:t>患者。</w:t>
            </w:r>
          </w:p>
          <w:p w14:paraId="0C13E76C" w14:textId="77777777" w:rsidR="00401786" w:rsidRDefault="00C64FB3" w:rsidP="000E757E">
            <w:pPr>
              <w:snapToGrid w:val="0"/>
              <w:spacing w:line="240" w:lineRule="atLeast"/>
              <w:ind w:left="653" w:hanging="283"/>
            </w:pPr>
            <w:r>
              <w:rPr>
                <w:rFonts w:ascii="Webdings" w:eastAsia="Webdings" w:hAnsi="Webdings" w:cs="Webdings"/>
                <w:color w:val="000000"/>
              </w:rPr>
              <w:t></w:t>
            </w:r>
            <w:r>
              <w:rPr>
                <w:rFonts w:ascii="標楷體" w:eastAsia="標楷體" w:hAnsi="標楷體"/>
              </w:rPr>
              <w:t>曾</w:t>
            </w:r>
            <w:r>
              <w:rPr>
                <w:rFonts w:ascii="標楷體" w:eastAsia="標楷體" w:hAnsi="標楷體"/>
                <w:szCs w:val="13"/>
              </w:rPr>
              <w:t>經皮膚科醫師診斷為乾癬患者，或經皮膚切片診斷為乾癬患者。</w:t>
            </w:r>
          </w:p>
          <w:p w14:paraId="72A1CBD6" w14:textId="77777777" w:rsidR="00401786" w:rsidRDefault="00C64FB3" w:rsidP="000E757E">
            <w:pPr>
              <w:snapToGrid w:val="0"/>
              <w:spacing w:line="240" w:lineRule="atLeast"/>
              <w:ind w:left="653" w:hanging="283"/>
            </w:pPr>
            <w:r>
              <w:rPr>
                <w:rFonts w:ascii="Webdings" w:eastAsia="Webdings" w:hAnsi="Webdings" w:cs="Webdings"/>
                <w:color w:val="000000"/>
              </w:rPr>
              <w:t></w:t>
            </w:r>
            <w:r>
              <w:rPr>
                <w:rFonts w:ascii="標楷體" w:eastAsia="標楷體" w:hAnsi="標楷體"/>
              </w:rPr>
              <w:t>三個或是三個以上的疼痛關節及三個或三個以上的腫脹關節，且至少間隔一個月或一個月以上之連續兩次評估均符合上述條件。(需附關節腫脹相關X-光片或照片輔</w:t>
            </w:r>
            <w:proofErr w:type="gramStart"/>
            <w:r>
              <w:rPr>
                <w:rFonts w:ascii="標楷體" w:eastAsia="標楷體" w:hAnsi="標楷體"/>
              </w:rPr>
              <w:t>証</w:t>
            </w:r>
            <w:proofErr w:type="gramEnd"/>
            <w:r>
              <w:rPr>
                <w:rFonts w:ascii="標楷體" w:eastAsia="標楷體" w:hAnsi="標楷體"/>
              </w:rPr>
              <w:t>)。</w:t>
            </w:r>
          </w:p>
          <w:p w14:paraId="4415B406" w14:textId="77777777" w:rsidR="00401786" w:rsidRDefault="00C64FB3" w:rsidP="001A70C4">
            <w:pPr>
              <w:snapToGrid w:val="0"/>
              <w:spacing w:line="240" w:lineRule="atLeast"/>
              <w:ind w:leftChars="184" w:left="442"/>
            </w:pPr>
            <w:r>
              <w:rPr>
                <w:rFonts w:ascii="Webdings" w:eastAsia="Webdings" w:hAnsi="Webdings" w:cs="Webdings"/>
                <w:color w:val="000000"/>
              </w:rPr>
              <w:t></w:t>
            </w:r>
            <w:r>
              <w:rPr>
                <w:rFonts w:ascii="標楷體" w:eastAsia="標楷體" w:hAnsi="標楷體"/>
              </w:rPr>
              <w:t>已先使用非類固醇類消炎止痛劑(NSAIDs)及疾病修飾治療藥物(DMARDs)。</w:t>
            </w:r>
          </w:p>
          <w:p w14:paraId="0FA81795" w14:textId="77777777" w:rsidR="00401786" w:rsidRDefault="00C64FB3" w:rsidP="000E757E">
            <w:pPr>
              <w:snapToGrid w:val="0"/>
              <w:spacing w:line="240" w:lineRule="atLeast"/>
              <w:ind w:left="655" w:firstLine="2"/>
              <w:rPr>
                <w:rFonts w:ascii="標楷體" w:eastAsia="標楷體" w:hAnsi="標楷體"/>
              </w:rPr>
            </w:pPr>
            <w:r>
              <w:rPr>
                <w:rFonts w:ascii="標楷體" w:eastAsia="標楷體" w:hAnsi="標楷體"/>
              </w:rPr>
              <w:t>且曾經使用過至少2種疾病修飾治療藥物(DMARDs)進行充分的治療，但療效</w:t>
            </w:r>
            <w:proofErr w:type="gramStart"/>
            <w:r>
              <w:rPr>
                <w:rFonts w:ascii="標楷體" w:eastAsia="標楷體" w:hAnsi="標楷體"/>
              </w:rPr>
              <w:t>不</w:t>
            </w:r>
            <w:proofErr w:type="gramEnd"/>
            <w:r>
              <w:rPr>
                <w:rFonts w:ascii="標楷體" w:eastAsia="標楷體" w:hAnsi="標楷體"/>
              </w:rPr>
              <w:t>彰。（定義請參照給付規定）</w:t>
            </w:r>
          </w:p>
          <w:p w14:paraId="3E9D7AF5" w14:textId="77777777" w:rsidR="00401786" w:rsidRDefault="00C64FB3" w:rsidP="000E757E">
            <w:pPr>
              <w:snapToGrid w:val="0"/>
              <w:spacing w:line="240" w:lineRule="atLeast"/>
              <w:ind w:left="360"/>
            </w:pPr>
            <w:r>
              <w:rPr>
                <w:rFonts w:ascii="標楷體" w:eastAsia="標楷體" w:hAnsi="標楷體"/>
                <w:szCs w:val="13"/>
              </w:rPr>
              <w:t>(1)DMARD1藥名__________</w:t>
            </w:r>
            <w:r>
              <w:rPr>
                <w:rFonts w:ascii="標楷體" w:eastAsia="標楷體" w:hAnsi="標楷體"/>
                <w:szCs w:val="17"/>
              </w:rPr>
              <w:t>劑量</w:t>
            </w:r>
            <w:r>
              <w:rPr>
                <w:rFonts w:ascii="標楷體" w:eastAsia="標楷體" w:hAnsi="標楷體"/>
                <w:szCs w:val="13"/>
              </w:rPr>
              <w:t>_________使用期限___________________</w:t>
            </w:r>
          </w:p>
          <w:p w14:paraId="3A82DBF3" w14:textId="77777777" w:rsidR="00401786" w:rsidRDefault="00C64FB3" w:rsidP="00071B37">
            <w:pPr>
              <w:snapToGrid w:val="0"/>
              <w:spacing w:line="240" w:lineRule="atLeast"/>
              <w:ind w:left="1718"/>
            </w:pPr>
            <w:r>
              <w:rPr>
                <w:rFonts w:ascii="標楷體" w:eastAsia="標楷體" w:hAnsi="標楷體"/>
                <w:szCs w:val="13"/>
              </w:rPr>
              <w:t>副作用說明__________________________________________</w:t>
            </w:r>
          </w:p>
          <w:p w14:paraId="493CD60A" w14:textId="77777777" w:rsidR="00401786" w:rsidRDefault="00C64FB3" w:rsidP="000E757E">
            <w:pPr>
              <w:snapToGrid w:val="0"/>
              <w:spacing w:line="240" w:lineRule="atLeast"/>
              <w:ind w:left="360"/>
              <w:rPr>
                <w:rFonts w:ascii="標楷體" w:eastAsia="標楷體" w:hAnsi="標楷體"/>
                <w:szCs w:val="13"/>
              </w:rPr>
            </w:pPr>
            <w:r>
              <w:rPr>
                <w:rFonts w:ascii="標楷體" w:eastAsia="標楷體" w:hAnsi="標楷體"/>
                <w:szCs w:val="13"/>
              </w:rPr>
              <w:t>(2)DMARD2藥名__________劑量_________使用期限___________________</w:t>
            </w:r>
          </w:p>
          <w:p w14:paraId="3DEC1287" w14:textId="77777777" w:rsidR="00401786" w:rsidRDefault="00C64FB3" w:rsidP="00071B37">
            <w:pPr>
              <w:snapToGrid w:val="0"/>
              <w:spacing w:line="240" w:lineRule="atLeast"/>
              <w:ind w:left="1718"/>
            </w:pPr>
            <w:r>
              <w:rPr>
                <w:rFonts w:ascii="標楷體" w:eastAsia="標楷體" w:hAnsi="標楷體"/>
                <w:szCs w:val="13"/>
              </w:rPr>
              <w:t>副作用說明__________________________________________</w:t>
            </w:r>
          </w:p>
          <w:p w14:paraId="248F972B" w14:textId="77777777" w:rsidR="00401786" w:rsidRDefault="00C64FB3" w:rsidP="000E757E">
            <w:pPr>
              <w:snapToGrid w:val="0"/>
              <w:spacing w:line="240" w:lineRule="atLeast"/>
              <w:ind w:left="360"/>
            </w:pPr>
            <w:r>
              <w:rPr>
                <w:rFonts w:ascii="標楷體" w:eastAsia="標楷體" w:hAnsi="標楷體"/>
                <w:szCs w:val="13"/>
              </w:rPr>
              <w:t>(3)DMARD3藥名__________</w:t>
            </w:r>
            <w:r>
              <w:rPr>
                <w:rFonts w:ascii="標楷體" w:eastAsia="標楷體" w:hAnsi="標楷體"/>
                <w:szCs w:val="17"/>
              </w:rPr>
              <w:t>劑量</w:t>
            </w:r>
            <w:r>
              <w:rPr>
                <w:rFonts w:ascii="標楷體" w:eastAsia="標楷體" w:hAnsi="標楷體"/>
                <w:szCs w:val="13"/>
              </w:rPr>
              <w:t>_________使用期限___________________</w:t>
            </w:r>
          </w:p>
          <w:p w14:paraId="33A70318" w14:textId="77777777" w:rsidR="00401786" w:rsidRDefault="00C64FB3" w:rsidP="00071B37">
            <w:pPr>
              <w:snapToGrid w:val="0"/>
              <w:spacing w:line="240" w:lineRule="atLeast"/>
              <w:ind w:left="1718"/>
            </w:pPr>
            <w:r>
              <w:rPr>
                <w:rFonts w:ascii="標楷體" w:eastAsia="標楷體" w:hAnsi="標楷體"/>
                <w:szCs w:val="13"/>
              </w:rPr>
              <w:t>副作用說明__________________________________________</w:t>
            </w:r>
          </w:p>
          <w:p w14:paraId="292E8B95" w14:textId="77777777" w:rsidR="00401786" w:rsidRDefault="00C64FB3" w:rsidP="000E757E">
            <w:pPr>
              <w:snapToGrid w:val="0"/>
              <w:spacing w:before="180" w:line="240" w:lineRule="atLeast"/>
            </w:pPr>
            <w:r>
              <w:rPr>
                <w:rFonts w:ascii="標楷體" w:eastAsia="標楷體" w:hAnsi="標楷體"/>
                <w:b/>
                <w:color w:val="292526"/>
                <w:szCs w:val="13"/>
              </w:rPr>
              <w:t>□符合繼續使用之療效評估：</w:t>
            </w:r>
          </w:p>
          <w:p w14:paraId="79ADA120" w14:textId="77777777" w:rsidR="00401786" w:rsidRDefault="00C64FB3" w:rsidP="000E757E">
            <w:pPr>
              <w:snapToGrid w:val="0"/>
              <w:spacing w:line="240" w:lineRule="atLeast"/>
              <w:ind w:left="1648" w:hanging="1274"/>
            </w:pPr>
            <w:r>
              <w:rPr>
                <w:rFonts w:ascii="標楷體" w:eastAsia="標楷體" w:hAnsi="標楷體"/>
                <w:bCs/>
                <w:color w:val="000000"/>
              </w:rPr>
              <w:t>療效定義：</w:t>
            </w:r>
            <w:r>
              <w:rPr>
                <w:rFonts w:ascii="標楷體" w:eastAsia="標楷體" w:hAnsi="標楷體"/>
              </w:rPr>
              <w:t>治療12</w:t>
            </w:r>
            <w:proofErr w:type="gramStart"/>
            <w:r>
              <w:rPr>
                <w:rFonts w:ascii="標楷體" w:eastAsia="標楷體" w:hAnsi="標楷體"/>
              </w:rPr>
              <w:t>週</w:t>
            </w:r>
            <w:proofErr w:type="gramEnd"/>
            <w:r>
              <w:rPr>
                <w:rFonts w:ascii="標楷體" w:eastAsia="標楷體" w:hAnsi="標楷體"/>
              </w:rPr>
              <w:t>後，評估乾癬關節炎反應標準</w:t>
            </w:r>
            <w:proofErr w:type="gramStart"/>
            <w:r>
              <w:rPr>
                <w:rFonts w:ascii="標楷體" w:eastAsia="標楷體" w:hAnsi="標楷體"/>
              </w:rPr>
              <w:t>﹝</w:t>
            </w:r>
            <w:proofErr w:type="gramEnd"/>
            <w:r>
              <w:rPr>
                <w:rFonts w:ascii="標楷體" w:eastAsia="標楷體" w:hAnsi="標楷體"/>
              </w:rPr>
              <w:t>附表二十二之三</w:t>
            </w:r>
            <w:proofErr w:type="gramStart"/>
            <w:r>
              <w:rPr>
                <w:rFonts w:ascii="標楷體" w:eastAsia="標楷體" w:hAnsi="標楷體"/>
              </w:rPr>
              <w:t>﹞</w:t>
            </w:r>
            <w:proofErr w:type="gramEnd"/>
            <w:r>
              <w:rPr>
                <w:rFonts w:ascii="標楷體" w:eastAsia="標楷體" w:hAnsi="標楷體"/>
              </w:rPr>
              <w:t>，其標準為</w:t>
            </w:r>
            <w:r>
              <w:rPr>
                <w:rFonts w:ascii="標楷體" w:eastAsia="標楷體" w:hAnsi="標楷體"/>
                <w:color w:val="000000"/>
              </w:rPr>
              <w:t>下列四項中至少有二項較原基礎值改善，且其中一項需為疼痛關節或腫脹關節的關節總數，且下述各種指標不得有任一項惡化</w:t>
            </w:r>
            <w:r>
              <w:rPr>
                <w:rFonts w:ascii="標楷體" w:eastAsia="標楷體" w:hAnsi="標楷體"/>
              </w:rPr>
              <w:t>，方得繼續使用。</w:t>
            </w:r>
          </w:p>
          <w:p w14:paraId="150B4C34" w14:textId="77777777" w:rsidR="00401786" w:rsidRDefault="00C64FB3" w:rsidP="000E757E">
            <w:pPr>
              <w:snapToGrid w:val="0"/>
              <w:spacing w:line="240" w:lineRule="atLeast"/>
              <w:ind w:left="655" w:hanging="281"/>
            </w:pPr>
            <w:r>
              <w:rPr>
                <w:rFonts w:ascii="標楷體" w:eastAsia="標楷體" w:hAnsi="標楷體"/>
                <w:szCs w:val="13"/>
              </w:rPr>
              <w:t>□</w:t>
            </w:r>
            <w:r>
              <w:rPr>
                <w:rFonts w:ascii="標楷體" w:eastAsia="標楷體" w:hAnsi="標楷體"/>
                <w:color w:val="000000"/>
              </w:rPr>
              <w:t>疼痛關節的關節總數較原基礎值改善。</w:t>
            </w:r>
          </w:p>
          <w:p w14:paraId="6D7718DE" w14:textId="77777777" w:rsidR="00401786" w:rsidRDefault="00C64FB3" w:rsidP="000E757E">
            <w:pPr>
              <w:snapToGrid w:val="0"/>
              <w:spacing w:line="240" w:lineRule="atLeast"/>
              <w:ind w:left="655" w:hanging="281"/>
            </w:pPr>
            <w:r>
              <w:rPr>
                <w:rFonts w:ascii="標楷體" w:eastAsia="標楷體" w:hAnsi="標楷體"/>
                <w:szCs w:val="13"/>
              </w:rPr>
              <w:t>□</w:t>
            </w:r>
            <w:r>
              <w:rPr>
                <w:rFonts w:ascii="標楷體" w:eastAsia="標楷體" w:hAnsi="標楷體"/>
                <w:color w:val="000000"/>
              </w:rPr>
              <w:t>腫脹關節的關節總數較原基礎值改善</w:t>
            </w:r>
            <w:r>
              <w:rPr>
                <w:rFonts w:ascii="標楷體" w:eastAsia="標楷體" w:hAnsi="標楷體"/>
                <w:szCs w:val="13"/>
              </w:rPr>
              <w:t>。</w:t>
            </w:r>
          </w:p>
          <w:p w14:paraId="0D01DC69" w14:textId="77777777" w:rsidR="00401786" w:rsidRDefault="00C64FB3" w:rsidP="000E757E">
            <w:pPr>
              <w:snapToGrid w:val="0"/>
              <w:spacing w:line="240" w:lineRule="atLeast"/>
              <w:ind w:left="655" w:hanging="281"/>
            </w:pPr>
            <w:r>
              <w:rPr>
                <w:rFonts w:ascii="標楷體" w:eastAsia="標楷體" w:hAnsi="標楷體"/>
                <w:szCs w:val="13"/>
              </w:rPr>
              <w:t>□醫師的整體評估</w:t>
            </w:r>
            <w:r>
              <w:rPr>
                <w:rFonts w:ascii="標楷體" w:eastAsia="標楷體" w:hAnsi="標楷體"/>
                <w:color w:val="000000"/>
              </w:rPr>
              <w:t>較原基礎值改善</w:t>
            </w:r>
            <w:r>
              <w:rPr>
                <w:rFonts w:ascii="標楷體" w:eastAsia="標楷體" w:hAnsi="標楷體"/>
                <w:szCs w:val="13"/>
              </w:rPr>
              <w:t>。</w:t>
            </w:r>
          </w:p>
          <w:p w14:paraId="1B716105" w14:textId="77777777" w:rsidR="00401786" w:rsidRDefault="00C64FB3" w:rsidP="000E757E">
            <w:pPr>
              <w:snapToGrid w:val="0"/>
              <w:spacing w:line="240" w:lineRule="atLeast"/>
              <w:ind w:left="655" w:hanging="281"/>
            </w:pPr>
            <w:r>
              <w:rPr>
                <w:rFonts w:ascii="標楷體" w:eastAsia="標楷體" w:hAnsi="標楷體"/>
                <w:szCs w:val="13"/>
              </w:rPr>
              <w:t>□病患的整體評估</w:t>
            </w:r>
            <w:r>
              <w:rPr>
                <w:rFonts w:ascii="標楷體" w:eastAsia="標楷體" w:hAnsi="標楷體"/>
                <w:color w:val="000000"/>
              </w:rPr>
              <w:t>較原基礎值改善</w:t>
            </w:r>
            <w:r>
              <w:rPr>
                <w:rFonts w:ascii="標楷體" w:eastAsia="標楷體" w:hAnsi="標楷體"/>
                <w:szCs w:val="13"/>
              </w:rPr>
              <w:t>。</w:t>
            </w:r>
          </w:p>
          <w:p w14:paraId="67A3AB1F" w14:textId="77777777" w:rsidR="00401786" w:rsidRDefault="00C64FB3" w:rsidP="000E757E">
            <w:pPr>
              <w:snapToGrid w:val="0"/>
              <w:spacing w:line="240" w:lineRule="atLeast"/>
              <w:ind w:left="655" w:hanging="281"/>
            </w:pPr>
            <w:r>
              <w:rPr>
                <w:rFonts w:ascii="標楷體" w:eastAsia="標楷體" w:hAnsi="標楷體"/>
                <w:szCs w:val="13"/>
              </w:rPr>
              <w:t>□上述4種指標皆無惡化。</w:t>
            </w:r>
          </w:p>
          <w:p w14:paraId="0CE8A7D8" w14:textId="77777777" w:rsidR="00401786" w:rsidRDefault="00C64FB3" w:rsidP="000E757E">
            <w:pPr>
              <w:snapToGrid w:val="0"/>
              <w:spacing w:line="240" w:lineRule="atLeast"/>
              <w:ind w:left="372"/>
            </w:pPr>
            <w:proofErr w:type="gramStart"/>
            <w:r>
              <w:rPr>
                <w:rFonts w:ascii="標楷體" w:eastAsia="標楷體" w:hAnsi="標楷體"/>
              </w:rPr>
              <w:t>註</w:t>
            </w:r>
            <w:proofErr w:type="gramEnd"/>
            <w:r>
              <w:rPr>
                <w:rFonts w:ascii="標楷體" w:eastAsia="標楷體" w:hAnsi="標楷體"/>
              </w:rPr>
              <w:t>：</w:t>
            </w:r>
            <w:r>
              <w:rPr>
                <w:rFonts w:ascii="標楷體" w:eastAsia="標楷體" w:hAnsi="標楷體"/>
                <w:color w:val="000000"/>
              </w:rPr>
              <w:t>改善之</w:t>
            </w:r>
            <w:r>
              <w:rPr>
                <w:rFonts w:ascii="標楷體" w:eastAsia="標楷體" w:hAnsi="標楷體"/>
              </w:rPr>
              <w:t>定義請參照給付規定</w:t>
            </w:r>
          </w:p>
        </w:tc>
      </w:tr>
    </w:tbl>
    <w:p w14:paraId="2C59A713" w14:textId="77777777" w:rsidR="00401786" w:rsidRDefault="00C64FB3" w:rsidP="000E757E">
      <w:pPr>
        <w:snapToGrid w:val="0"/>
        <w:spacing w:line="240" w:lineRule="atLeast"/>
        <w:ind w:left="-628" w:right="-352" w:firstLine="283"/>
        <w:jc w:val="center"/>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：全民健康保險</w:t>
      </w:r>
      <w:proofErr w:type="gramStart"/>
      <w:r>
        <w:rPr>
          <w:rFonts w:ascii="標楷體" w:eastAsia="標楷體" w:hAnsi="標楷體"/>
          <w:szCs w:val="24"/>
        </w:rPr>
        <w:t>乾癬性周邊</w:t>
      </w:r>
      <w:proofErr w:type="gramEnd"/>
      <w:r>
        <w:rPr>
          <w:rFonts w:ascii="標楷體" w:eastAsia="標楷體" w:hAnsi="標楷體"/>
          <w:szCs w:val="24"/>
        </w:rPr>
        <w:t>關節炎申請Ustekinumab/</w:t>
      </w:r>
      <w:proofErr w:type="spellStart"/>
      <w:r>
        <w:rPr>
          <w:rFonts w:ascii="標楷體" w:eastAsia="標楷體" w:hAnsi="標楷體"/>
          <w:szCs w:val="24"/>
        </w:rPr>
        <w:t>ixekizumab</w:t>
      </w:r>
      <w:proofErr w:type="spellEnd"/>
      <w:r>
        <w:rPr>
          <w:rFonts w:ascii="標楷體" w:eastAsia="標楷體" w:hAnsi="標楷體"/>
          <w:szCs w:val="24"/>
        </w:rPr>
        <w:t>使用附表二十二之六</w:t>
      </w:r>
    </w:p>
    <w:p w14:paraId="066B5C79" w14:textId="77777777" w:rsidR="00401786" w:rsidRDefault="00401786" w:rsidP="000E757E">
      <w:pPr>
        <w:snapToGrid w:val="0"/>
        <w:spacing w:line="240" w:lineRule="atLeast"/>
        <w:ind w:left="-628" w:right="-352" w:firstLine="283"/>
        <w:jc w:val="center"/>
        <w:rPr>
          <w:rFonts w:ascii="標楷體" w:eastAsia="標楷體" w:hAnsi="標楷體"/>
          <w:sz w:val="28"/>
          <w:szCs w:val="28"/>
        </w:rPr>
      </w:pPr>
    </w:p>
    <w:p w14:paraId="5FC735E4" w14:textId="77777777" w:rsidR="00401786" w:rsidRDefault="00401786" w:rsidP="000E757E">
      <w:pPr>
        <w:snapToGrid w:val="0"/>
        <w:spacing w:line="240" w:lineRule="atLeast"/>
        <w:ind w:left="-628" w:right="-352" w:firstLine="283"/>
        <w:jc w:val="center"/>
        <w:rPr>
          <w:rFonts w:ascii="標楷體" w:eastAsia="標楷體" w:hAnsi="標楷體"/>
          <w:sz w:val="28"/>
          <w:szCs w:val="28"/>
        </w:rPr>
      </w:pPr>
    </w:p>
    <w:p w14:paraId="0CC934AF" w14:textId="1DF6D4F3" w:rsidR="00401786" w:rsidRDefault="009E653D" w:rsidP="009E653D">
      <w:pPr>
        <w:widowControl/>
        <w:suppressAutoHyphens w:val="0"/>
        <w:rPr>
          <w:rFonts w:ascii="標楷體" w:eastAsia="標楷體" w:hAnsi="標楷體"/>
          <w:sz w:val="28"/>
          <w:szCs w:val="28"/>
        </w:rPr>
      </w:pPr>
      <w:r>
        <w:rPr>
          <w:rFonts w:ascii="標楷體" w:eastAsia="標楷體" w:hAnsi="標楷體"/>
          <w:sz w:val="28"/>
          <w:szCs w:val="28"/>
        </w:rPr>
        <w:br w:type="page"/>
      </w:r>
    </w:p>
    <w:p w14:paraId="4B0B2CDD" w14:textId="77777777" w:rsidR="00401786" w:rsidRPr="00B9614E" w:rsidRDefault="00C64FB3" w:rsidP="000E757E">
      <w:pPr>
        <w:snapToGrid w:val="0"/>
        <w:spacing w:line="240" w:lineRule="atLeast"/>
        <w:ind w:left="-628" w:right="-352" w:firstLine="283"/>
        <w:jc w:val="center"/>
        <w:rPr>
          <w:rFonts w:ascii="標楷體" w:eastAsia="標楷體" w:hAnsi="標楷體"/>
          <w:b/>
          <w:bCs/>
          <w:szCs w:val="24"/>
        </w:rPr>
      </w:pPr>
      <w:r w:rsidRPr="00B9614E">
        <w:rPr>
          <w:rFonts w:ascii="標楷體" w:eastAsia="標楷體" w:hAnsi="標楷體"/>
          <w:b/>
          <w:bCs/>
          <w:szCs w:val="24"/>
        </w:rPr>
        <w:lastRenderedPageBreak/>
        <w:t>附表二十二之</w:t>
      </w:r>
      <w:proofErr w:type="gramStart"/>
      <w:r w:rsidRPr="00B9614E">
        <w:rPr>
          <w:rFonts w:ascii="標楷體" w:eastAsia="標楷體" w:hAnsi="標楷體"/>
          <w:b/>
          <w:bCs/>
          <w:szCs w:val="24"/>
        </w:rPr>
        <w:t>一</w:t>
      </w:r>
      <w:proofErr w:type="gramEnd"/>
      <w:r w:rsidRPr="00B9614E">
        <w:rPr>
          <w:rFonts w:ascii="標楷體" w:eastAsia="標楷體" w:hAnsi="標楷體"/>
          <w:b/>
          <w:bCs/>
          <w:szCs w:val="24"/>
        </w:rPr>
        <w:t>：全民健康保險</w:t>
      </w:r>
      <w:proofErr w:type="gramStart"/>
      <w:r w:rsidRPr="00B9614E">
        <w:rPr>
          <w:rFonts w:ascii="標楷體" w:eastAsia="標楷體" w:hAnsi="標楷體"/>
          <w:b/>
          <w:bCs/>
          <w:szCs w:val="24"/>
        </w:rPr>
        <w:t>乾癬性周邊</w:t>
      </w:r>
      <w:proofErr w:type="gramEnd"/>
      <w:r w:rsidRPr="00B9614E">
        <w:rPr>
          <w:rFonts w:ascii="標楷體" w:eastAsia="標楷體" w:hAnsi="標楷體"/>
          <w:b/>
          <w:bCs/>
          <w:szCs w:val="24"/>
        </w:rPr>
        <w:t>關節炎使用生物製劑申請表(第二頁)</w:t>
      </w:r>
    </w:p>
    <w:tbl>
      <w:tblPr>
        <w:tblW w:w="9536" w:type="dxa"/>
        <w:tblInd w:w="616" w:type="dxa"/>
        <w:tblCellMar>
          <w:left w:w="10" w:type="dxa"/>
          <w:right w:w="10" w:type="dxa"/>
        </w:tblCellMar>
        <w:tblLook w:val="0000" w:firstRow="0" w:lastRow="0" w:firstColumn="0" w:lastColumn="0" w:noHBand="0" w:noVBand="0"/>
      </w:tblPr>
      <w:tblGrid>
        <w:gridCol w:w="656"/>
        <w:gridCol w:w="1320"/>
        <w:gridCol w:w="4080"/>
        <w:gridCol w:w="3480"/>
      </w:tblGrid>
      <w:tr w:rsidR="00401786" w14:paraId="4DF5B45D" w14:textId="77777777">
        <w:trPr>
          <w:cantSplit/>
          <w:trHeight w:val="281"/>
        </w:trPr>
        <w:tc>
          <w:tcPr>
            <w:tcW w:w="9536"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06C4FB9F" w14:textId="77777777" w:rsidR="00401786" w:rsidRDefault="00C64FB3" w:rsidP="000E757E">
            <w:pPr>
              <w:snapToGrid w:val="0"/>
              <w:spacing w:before="180" w:line="240" w:lineRule="atLeast"/>
              <w:ind w:left="120"/>
            </w:pPr>
            <w:r>
              <w:rPr>
                <w:rFonts w:ascii="Webdings" w:eastAsia="Webdings" w:hAnsi="Webdings" w:cs="Webdings"/>
                <w:color w:val="000000"/>
              </w:rPr>
              <w:t></w:t>
            </w:r>
            <w:r>
              <w:rPr>
                <w:rFonts w:eastAsia="標楷體"/>
                <w:b/>
                <w:color w:val="000000"/>
                <w:szCs w:val="20"/>
              </w:rPr>
              <w:t>無「需排除或停止</w:t>
            </w:r>
            <w:r>
              <w:rPr>
                <w:rFonts w:eastAsia="標楷體"/>
                <w:b/>
                <w:szCs w:val="18"/>
                <w:u w:val="single"/>
              </w:rPr>
              <w:t>生物製劑</w:t>
            </w:r>
            <w:r>
              <w:rPr>
                <w:rFonts w:eastAsia="標楷體"/>
                <w:b/>
                <w:color w:val="000000"/>
                <w:szCs w:val="20"/>
              </w:rPr>
              <w:t>使用之情形」</w:t>
            </w:r>
          </w:p>
        </w:tc>
      </w:tr>
      <w:tr w:rsidR="00401786" w14:paraId="4423EED1"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6153710"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EE5480"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102C9DBA"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AB9947" w14:textId="77777777" w:rsidR="00401786" w:rsidRDefault="00C64FB3" w:rsidP="000E757E">
            <w:pPr>
              <w:snapToGrid w:val="0"/>
              <w:spacing w:line="240" w:lineRule="atLeast"/>
              <w:textAlignment w:val="center"/>
            </w:pPr>
            <w:r>
              <w:rPr>
                <w:rFonts w:eastAsia="標楷體"/>
                <w:color w:val="000000"/>
                <w:szCs w:val="20"/>
              </w:rPr>
              <w:t>是</w:t>
            </w:r>
            <w:r>
              <w:rPr>
                <w:rFonts w:eastAsia="標楷體"/>
                <w:szCs w:val="20"/>
              </w:rPr>
              <w:t>否有</w:t>
            </w:r>
            <w:r>
              <w:rPr>
                <w:rFonts w:eastAsia="標楷體"/>
                <w:szCs w:val="18"/>
              </w:rPr>
              <w:t>藥名</w:t>
            </w:r>
            <w:r>
              <w:rPr>
                <w:rFonts w:eastAsia="標楷體"/>
                <w:szCs w:val="18"/>
                <w:u w:val="single"/>
              </w:rPr>
              <w:t>_____________</w:t>
            </w:r>
            <w:r>
              <w:rPr>
                <w:rFonts w:eastAsia="標楷體"/>
                <w:szCs w:val="20"/>
              </w:rPr>
              <w:t>仿單記載之禁忌情形。</w:t>
            </w:r>
          </w:p>
        </w:tc>
      </w:tr>
      <w:tr w:rsidR="00401786" w14:paraId="0D9B3FB5"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18DA058"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4D1056"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247867D8"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A349094"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婦女是否正在懷孕</w:t>
            </w:r>
            <w:proofErr w:type="gramStart"/>
            <w:r>
              <w:rPr>
                <w:rFonts w:ascii="標楷體" w:eastAsia="標楷體" w:hAnsi="標楷體"/>
              </w:rPr>
              <w:t>或授乳</w:t>
            </w:r>
            <w:proofErr w:type="gramEnd"/>
            <w:r>
              <w:rPr>
                <w:rFonts w:ascii="標楷體" w:eastAsia="標楷體" w:hAnsi="標楷體"/>
              </w:rPr>
              <w:t>。</w:t>
            </w:r>
          </w:p>
        </w:tc>
      </w:tr>
      <w:tr w:rsidR="00401786" w14:paraId="396E8459"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7E7B03D"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60D174"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535018F2"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2D9D288"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患活動性感染之疾病</w:t>
            </w:r>
            <w:r>
              <w:rPr>
                <w:rFonts w:ascii="標楷體" w:eastAsia="標楷體" w:hAnsi="標楷體"/>
                <w:bCs/>
              </w:rPr>
              <w:t>或有</w:t>
            </w:r>
            <w:proofErr w:type="gramStart"/>
            <w:r>
              <w:rPr>
                <w:rFonts w:ascii="標楷體" w:eastAsia="標楷體" w:hAnsi="標楷體"/>
                <w:bCs/>
              </w:rPr>
              <w:t>Ｂ</w:t>
            </w:r>
            <w:proofErr w:type="gramEnd"/>
            <w:r>
              <w:rPr>
                <w:rFonts w:ascii="標楷體" w:eastAsia="標楷體" w:hAnsi="標楷體"/>
                <w:bCs/>
              </w:rPr>
              <w:t>肝、</w:t>
            </w:r>
            <w:proofErr w:type="gramStart"/>
            <w:r>
              <w:rPr>
                <w:rFonts w:ascii="標楷體" w:eastAsia="標楷體" w:hAnsi="標楷體"/>
                <w:bCs/>
              </w:rPr>
              <w:t>Ｃ</w:t>
            </w:r>
            <w:proofErr w:type="gramEnd"/>
            <w:r>
              <w:rPr>
                <w:rFonts w:ascii="標楷體" w:eastAsia="標楷體" w:hAnsi="標楷體"/>
                <w:bCs/>
              </w:rPr>
              <w:t>肝活動性感染或結核病</w:t>
            </w:r>
            <w:r>
              <w:rPr>
                <w:rFonts w:ascii="標楷體" w:eastAsia="標楷體" w:hAnsi="標楷體"/>
              </w:rPr>
              <w:t>。</w:t>
            </w:r>
          </w:p>
        </w:tc>
      </w:tr>
      <w:tr w:rsidR="00401786" w14:paraId="7883C2CD"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FD8151C"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AEB7A6"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6CC84B65"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B0157B4"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病患是否具有高度感染機會之情形，其中包括：</w:t>
            </w:r>
          </w:p>
          <w:p w14:paraId="5D8E7186"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3CA6196A" w14:textId="77777777" w:rsidR="00401786" w:rsidRDefault="00C64FB3" w:rsidP="000E757E">
            <w:pPr>
              <w:snapToGrid w:val="0"/>
              <w:spacing w:line="240" w:lineRule="atLeast"/>
              <w:ind w:left="290" w:hanging="290"/>
              <w:textAlignment w:val="center"/>
              <w:rPr>
                <w:rFonts w:ascii="標楷體" w:eastAsia="標楷體" w:hAnsi="標楷體"/>
              </w:rPr>
            </w:pPr>
            <w:r>
              <w:rPr>
                <w:rFonts w:ascii="標楷體" w:eastAsia="標楷體" w:hAnsi="標楷體"/>
              </w:rPr>
              <w:t>2.未經完整治療之結核病的病患（包括潛伏結核感染治療未達四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p w14:paraId="4B29DB63"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3.過去12個月內曾</w:t>
            </w:r>
            <w:proofErr w:type="gramStart"/>
            <w:r>
              <w:rPr>
                <w:rFonts w:ascii="標楷體" w:eastAsia="標楷體" w:hAnsi="標楷體"/>
              </w:rPr>
              <w:t>罹</w:t>
            </w:r>
            <w:proofErr w:type="gramEnd"/>
            <w:r>
              <w:rPr>
                <w:rFonts w:ascii="標楷體" w:eastAsia="標楷體" w:hAnsi="標楷體"/>
              </w:rPr>
              <w:t>患感染性關節炎者。</w:t>
            </w:r>
          </w:p>
          <w:p w14:paraId="1FD243AD" w14:textId="77777777" w:rsidR="00401786" w:rsidRDefault="00C64FB3" w:rsidP="000E757E">
            <w:pPr>
              <w:snapToGrid w:val="0"/>
              <w:spacing w:line="240" w:lineRule="atLeast"/>
              <w:ind w:left="240" w:hanging="240"/>
              <w:textAlignment w:val="center"/>
            </w:pPr>
            <w:r>
              <w:rPr>
                <w:rFonts w:ascii="標楷體" w:eastAsia="標楷體" w:hAnsi="標楷體"/>
              </w:rPr>
              <w:t>4.曾有</w:t>
            </w:r>
            <w:r>
              <w:rPr>
                <w:rFonts w:ascii="標楷體" w:eastAsia="標楷體" w:hAnsi="標楷體"/>
                <w:bCs/>
              </w:rPr>
              <w:t>人工關節感染，若該人工關節未去除前，不可使用。</w:t>
            </w:r>
          </w:p>
          <w:p w14:paraId="607B0E1A"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5.頑固性或復發性的胸腔感染疾病。</w:t>
            </w:r>
          </w:p>
          <w:p w14:paraId="6BD8D582"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6.具有留置導尿管之情形。</w:t>
            </w:r>
          </w:p>
        </w:tc>
      </w:tr>
      <w:tr w:rsidR="00401786" w14:paraId="45A9FE4D"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1D525EF"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1D3E95"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11F69E3E"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D216845"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proofErr w:type="gramStart"/>
            <w:r>
              <w:rPr>
                <w:rFonts w:ascii="標楷體" w:eastAsia="標楷體" w:hAnsi="標楷體"/>
              </w:rPr>
              <w:t>惡性腫瘤或癌前</w:t>
            </w:r>
            <w:proofErr w:type="gramEnd"/>
            <w:r>
              <w:rPr>
                <w:rFonts w:ascii="標楷體" w:eastAsia="標楷體" w:hAnsi="標楷體"/>
              </w:rPr>
              <w:t>狀態之腫瘤</w:t>
            </w:r>
          </w:p>
        </w:tc>
      </w:tr>
      <w:tr w:rsidR="00401786" w14:paraId="20F49520"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58DA4A5"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5F20B28"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71A2E6BA"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17A6EAD"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r>
              <w:rPr>
                <w:rFonts w:ascii="標楷體" w:eastAsia="標楷體" w:hAnsi="標楷體"/>
                <w:bCs/>
              </w:rPr>
              <w:t>狼瘡或</w:t>
            </w:r>
            <w:r>
              <w:rPr>
                <w:rFonts w:ascii="標楷體" w:eastAsia="標楷體" w:hAnsi="標楷體"/>
              </w:rPr>
              <w:t>多發性硬化症(</w:t>
            </w:r>
            <w:proofErr w:type="spellStart"/>
            <w:r>
              <w:rPr>
                <w:rFonts w:ascii="標楷體" w:eastAsia="標楷體" w:hAnsi="標楷體"/>
              </w:rPr>
              <w:t>multiplesclerosis</w:t>
            </w:r>
            <w:proofErr w:type="spellEnd"/>
            <w:r>
              <w:rPr>
                <w:rFonts w:ascii="標楷體" w:eastAsia="標楷體" w:hAnsi="標楷體"/>
              </w:rPr>
              <w:t>)</w:t>
            </w:r>
          </w:p>
        </w:tc>
      </w:tr>
      <w:tr w:rsidR="00401786" w14:paraId="3735E558" w14:textId="77777777">
        <w:trPr>
          <w:cantSplit/>
          <w:trHeight w:val="400"/>
        </w:trPr>
        <w:tc>
          <w:tcPr>
            <w:tcW w:w="656"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6209C1E4"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2B603CCB"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2608FFFB"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4250F78E" w14:textId="77777777" w:rsidR="00401786" w:rsidRDefault="00C64FB3" w:rsidP="000E757E">
            <w:pPr>
              <w:snapToGrid w:val="0"/>
              <w:spacing w:line="240" w:lineRule="atLeast"/>
              <w:textAlignment w:val="center"/>
            </w:pPr>
            <w:r>
              <w:rPr>
                <w:rFonts w:eastAsia="標楷體"/>
                <w:color w:val="000000"/>
                <w:szCs w:val="20"/>
              </w:rPr>
              <w:t>使</w:t>
            </w:r>
            <w:r>
              <w:rPr>
                <w:rFonts w:eastAsia="標楷體"/>
                <w:szCs w:val="20"/>
              </w:rPr>
              <w:t>用藥名</w:t>
            </w:r>
            <w:r>
              <w:rPr>
                <w:rFonts w:eastAsia="標楷體"/>
                <w:szCs w:val="20"/>
              </w:rPr>
              <w:t>____________</w:t>
            </w:r>
            <w:r>
              <w:rPr>
                <w:rFonts w:ascii="標楷體" w:eastAsia="標楷體" w:hAnsi="標楷體"/>
              </w:rPr>
              <w:t>發生懷孕或不良事件(包括：惡性腫瘤、該藥物引起的嚴重毒性、嚴重的感染性疾病)</w:t>
            </w:r>
          </w:p>
        </w:tc>
      </w:tr>
      <w:tr w:rsidR="00401786" w14:paraId="2F4098CF" w14:textId="77777777">
        <w:trPr>
          <w:cantSplit/>
          <w:trHeight w:val="1048"/>
        </w:trPr>
        <w:tc>
          <w:tcPr>
            <w:tcW w:w="6056" w:type="dxa"/>
            <w:gridSpan w:val="3"/>
            <w:shd w:val="clear" w:color="auto" w:fill="auto"/>
            <w:tcMar>
              <w:top w:w="0" w:type="dxa"/>
              <w:left w:w="28" w:type="dxa"/>
              <w:bottom w:w="0" w:type="dxa"/>
              <w:right w:w="28" w:type="dxa"/>
            </w:tcMar>
          </w:tcPr>
          <w:p w14:paraId="29AC23E2" w14:textId="77777777" w:rsidR="00401786" w:rsidRDefault="00401786" w:rsidP="000E757E">
            <w:pPr>
              <w:snapToGrid w:val="0"/>
              <w:spacing w:line="240" w:lineRule="atLeast"/>
              <w:textAlignment w:val="center"/>
              <w:rPr>
                <w:rFonts w:ascii="標楷體" w:eastAsia="標楷體" w:hAnsi="標楷體"/>
              </w:rPr>
            </w:pPr>
          </w:p>
          <w:p w14:paraId="4BE95072" w14:textId="77777777" w:rsidR="00401786" w:rsidRDefault="00C64FB3" w:rsidP="000E757E">
            <w:pPr>
              <w:snapToGrid w:val="0"/>
              <w:spacing w:line="240" w:lineRule="atLeast"/>
              <w:textAlignment w:val="center"/>
            </w:pPr>
            <w:r>
              <w:rPr>
                <w:rFonts w:ascii="標楷體" w:eastAsia="標楷體" w:hAnsi="標楷體"/>
              </w:rPr>
              <w:t>申請醫師（簽名蓋章）：</w:t>
            </w:r>
            <w:r>
              <w:rPr>
                <w:rFonts w:ascii="標楷體" w:eastAsia="標楷體" w:hAnsi="標楷體"/>
                <w:u w:val="single"/>
              </w:rPr>
              <w:t xml:space="preserve">　　　　　　　</w:t>
            </w:r>
          </w:p>
          <w:p w14:paraId="50BFF9DC" w14:textId="77777777" w:rsidR="00401786" w:rsidRDefault="00C64FB3" w:rsidP="000E757E">
            <w:pPr>
              <w:snapToGrid w:val="0"/>
              <w:spacing w:line="240" w:lineRule="atLeast"/>
              <w:textAlignment w:val="center"/>
            </w:pPr>
            <w:r>
              <w:rPr>
                <w:rFonts w:ascii="標楷體" w:eastAsia="標楷體" w:hAnsi="標楷體"/>
              </w:rPr>
              <w:t>內科專科醫師證書：內專字第</w:t>
            </w:r>
            <w:r>
              <w:rPr>
                <w:rFonts w:ascii="標楷體" w:eastAsia="標楷體" w:hAnsi="標楷體"/>
                <w:u w:val="single"/>
              </w:rPr>
              <w:t xml:space="preserve">　　　　　</w:t>
            </w:r>
            <w:r>
              <w:rPr>
                <w:rFonts w:ascii="標楷體" w:eastAsia="標楷體" w:hAnsi="標楷體"/>
              </w:rPr>
              <w:t>號</w:t>
            </w:r>
          </w:p>
          <w:p w14:paraId="6FE13B98" w14:textId="77777777" w:rsidR="00401786" w:rsidRDefault="00C64FB3" w:rsidP="000E757E">
            <w:pPr>
              <w:tabs>
                <w:tab w:val="left" w:pos="2912"/>
              </w:tabs>
              <w:snapToGrid w:val="0"/>
              <w:spacing w:line="240" w:lineRule="atLeast"/>
              <w:textAlignment w:val="center"/>
            </w:pPr>
            <w:r>
              <w:rPr>
                <w:rFonts w:ascii="標楷體" w:eastAsia="標楷體" w:hAnsi="標楷體"/>
              </w:rPr>
              <w:t>風濕病專科醫師證書：中</w:t>
            </w:r>
            <w:proofErr w:type="gramStart"/>
            <w:r>
              <w:rPr>
                <w:rFonts w:ascii="標楷體" w:eastAsia="標楷體" w:hAnsi="標楷體"/>
              </w:rPr>
              <w:t>僂</w:t>
            </w:r>
            <w:proofErr w:type="gramEnd"/>
            <w:r>
              <w:rPr>
                <w:rFonts w:ascii="標楷體" w:eastAsia="標楷體" w:hAnsi="標楷體"/>
              </w:rPr>
              <w:t>字第</w:t>
            </w:r>
            <w:r>
              <w:rPr>
                <w:rFonts w:ascii="標楷體" w:eastAsia="標楷體" w:hAnsi="標楷體"/>
                <w:u w:val="single"/>
              </w:rPr>
              <w:t xml:space="preserve">　　　　　　</w:t>
            </w:r>
            <w:r>
              <w:rPr>
                <w:rFonts w:ascii="標楷體" w:eastAsia="標楷體" w:hAnsi="標楷體"/>
              </w:rPr>
              <w:t>號</w:t>
            </w:r>
          </w:p>
          <w:p w14:paraId="2EB82BC8" w14:textId="77777777" w:rsidR="00401786" w:rsidRDefault="00C64FB3" w:rsidP="000E757E">
            <w:pPr>
              <w:tabs>
                <w:tab w:val="left" w:pos="2912"/>
              </w:tabs>
              <w:snapToGrid w:val="0"/>
              <w:spacing w:line="240" w:lineRule="atLeast"/>
              <w:textAlignment w:val="center"/>
            </w:pPr>
            <w:r>
              <w:rPr>
                <w:rFonts w:ascii="標楷體" w:eastAsia="標楷體" w:hAnsi="標楷體"/>
              </w:rPr>
              <w:t>免疫專科醫師證書：</w:t>
            </w:r>
            <w:proofErr w:type="gramStart"/>
            <w:r>
              <w:rPr>
                <w:rFonts w:ascii="標楷體" w:eastAsia="標楷體" w:hAnsi="標楷體"/>
              </w:rPr>
              <w:t>中免專字</w:t>
            </w:r>
            <w:proofErr w:type="gramEnd"/>
            <w:r>
              <w:rPr>
                <w:rFonts w:ascii="標楷體" w:eastAsia="標楷體" w:hAnsi="標楷體"/>
              </w:rPr>
              <w:t>第</w:t>
            </w:r>
            <w:r>
              <w:rPr>
                <w:rFonts w:ascii="標楷體" w:eastAsia="標楷體" w:hAnsi="標楷體"/>
                <w:u w:val="single"/>
              </w:rPr>
              <w:t xml:space="preserve">　　　　　　</w:t>
            </w:r>
            <w:r>
              <w:rPr>
                <w:rFonts w:ascii="標楷體" w:eastAsia="標楷體" w:hAnsi="標楷體"/>
              </w:rPr>
              <w:t>號</w:t>
            </w:r>
          </w:p>
        </w:tc>
        <w:tc>
          <w:tcPr>
            <w:tcW w:w="3480" w:type="dxa"/>
            <w:shd w:val="clear" w:color="auto" w:fill="auto"/>
            <w:tcMar>
              <w:top w:w="0" w:type="dxa"/>
              <w:left w:w="28" w:type="dxa"/>
              <w:bottom w:w="0" w:type="dxa"/>
              <w:right w:w="28" w:type="dxa"/>
            </w:tcMar>
          </w:tcPr>
          <w:p w14:paraId="6A747158" w14:textId="77777777" w:rsidR="00401786" w:rsidRDefault="00401786" w:rsidP="000E757E">
            <w:pPr>
              <w:snapToGrid w:val="0"/>
              <w:spacing w:line="240" w:lineRule="atLeast"/>
              <w:textAlignment w:val="center"/>
              <w:rPr>
                <w:rFonts w:ascii="標楷體" w:eastAsia="標楷體" w:hAnsi="標楷體"/>
              </w:rPr>
            </w:pPr>
          </w:p>
          <w:p w14:paraId="102D2712" w14:textId="77777777" w:rsidR="00401786" w:rsidRDefault="00C64FB3" w:rsidP="000E757E">
            <w:pPr>
              <w:snapToGrid w:val="0"/>
              <w:spacing w:line="240" w:lineRule="atLeast"/>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tc>
      </w:tr>
    </w:tbl>
    <w:p w14:paraId="5C330AAC" w14:textId="77777777" w:rsidR="00401786" w:rsidRDefault="00401786" w:rsidP="000E757E">
      <w:pPr>
        <w:snapToGrid w:val="0"/>
        <w:spacing w:line="240" w:lineRule="atLeast"/>
        <w:ind w:right="-286"/>
        <w:rPr>
          <w:rFonts w:ascii="標楷體" w:eastAsia="標楷體" w:hAnsi="標楷體"/>
          <w:sz w:val="32"/>
        </w:rPr>
      </w:pPr>
    </w:p>
    <w:p w14:paraId="2D2D61A5" w14:textId="77777777" w:rsidR="00401786" w:rsidRPr="00B9614E" w:rsidRDefault="00C64FB3" w:rsidP="00B9614E">
      <w:pPr>
        <w:pageBreakBefore/>
        <w:snapToGrid w:val="0"/>
        <w:spacing w:line="240" w:lineRule="atLeast"/>
        <w:rPr>
          <w:b/>
        </w:rPr>
      </w:pPr>
      <w:r w:rsidRPr="00B9614E">
        <w:rPr>
          <w:rFonts w:ascii="標楷體" w:eastAsia="標楷體" w:hAnsi="標楷體"/>
          <w:b/>
          <w:sz w:val="28"/>
          <w:szCs w:val="28"/>
        </w:rPr>
        <w:lastRenderedPageBreak/>
        <w:t>附表二十二之二：</w:t>
      </w:r>
      <w:proofErr w:type="gramStart"/>
      <w:r w:rsidRPr="00B9614E">
        <w:rPr>
          <w:rFonts w:ascii="標楷體" w:eastAsia="標楷體" w:hAnsi="標楷體"/>
          <w:b/>
          <w:sz w:val="28"/>
          <w:szCs w:val="28"/>
        </w:rPr>
        <w:t>乾癬性周邊</w:t>
      </w:r>
      <w:proofErr w:type="gramEnd"/>
      <w:r w:rsidRPr="00B9614E">
        <w:rPr>
          <w:rFonts w:ascii="標楷體" w:eastAsia="標楷體" w:hAnsi="標楷體"/>
          <w:b/>
          <w:sz w:val="28"/>
          <w:szCs w:val="28"/>
        </w:rPr>
        <w:t>關節炎使用DMARDs標準目標劑量及有效治療劑量的定義</w:t>
      </w:r>
    </w:p>
    <w:p w14:paraId="4107C5C4" w14:textId="77777777" w:rsidR="00401786" w:rsidRDefault="00401786" w:rsidP="000E757E">
      <w:pPr>
        <w:snapToGrid w:val="0"/>
        <w:spacing w:line="240" w:lineRule="atLeast"/>
        <w:rPr>
          <w:rFonts w:ascii="標楷體" w:eastAsia="標楷體" w:hAnsi="標楷體"/>
          <w:sz w:val="22"/>
        </w:rPr>
      </w:pPr>
    </w:p>
    <w:p w14:paraId="623ACD56" w14:textId="77777777" w:rsidR="00401786" w:rsidRDefault="00C64FB3" w:rsidP="002144EC">
      <w:pPr>
        <w:numPr>
          <w:ilvl w:val="0"/>
          <w:numId w:val="87"/>
        </w:numPr>
        <w:snapToGrid w:val="0"/>
        <w:spacing w:line="240" w:lineRule="atLeast"/>
        <w:rPr>
          <w:rFonts w:ascii="標楷體" w:eastAsia="標楷體" w:hAnsi="標楷體"/>
        </w:rPr>
      </w:pPr>
      <w:r>
        <w:rPr>
          <w:rFonts w:ascii="標楷體" w:eastAsia="標楷體" w:hAnsi="標楷體"/>
        </w:rPr>
        <w:t>符合標準疾病修飾類藥物(DMARDs)療法失敗的定義之前，應達到使用的標準目標劑量(</w:t>
      </w:r>
      <w:proofErr w:type="spellStart"/>
      <w:r>
        <w:rPr>
          <w:rFonts w:ascii="標楷體" w:eastAsia="標楷體" w:hAnsi="標楷體"/>
        </w:rPr>
        <w:t>standardtargetdoses</w:t>
      </w:r>
      <w:proofErr w:type="spellEnd"/>
      <w:r>
        <w:rPr>
          <w:rFonts w:ascii="標楷體" w:eastAsia="標楷體" w:hAnsi="標楷體"/>
        </w:rPr>
        <w:t>)：</w:t>
      </w:r>
    </w:p>
    <w:p w14:paraId="04E453FB" w14:textId="77777777" w:rsidR="00401786" w:rsidRDefault="00C64FB3" w:rsidP="002144EC">
      <w:pPr>
        <w:numPr>
          <w:ilvl w:val="0"/>
          <w:numId w:val="88"/>
        </w:numPr>
        <w:snapToGrid w:val="0"/>
        <w:spacing w:line="240" w:lineRule="atLeast"/>
        <w:ind w:hanging="120"/>
        <w:rPr>
          <w:rFonts w:ascii="標楷體" w:eastAsia="標楷體" w:hAnsi="標楷體"/>
        </w:rPr>
      </w:pPr>
      <w:r>
        <w:rPr>
          <w:rFonts w:ascii="標楷體" w:eastAsia="標楷體" w:hAnsi="標楷體"/>
        </w:rPr>
        <w:t>Sulphasalazine2g/天(分次使用)</w:t>
      </w:r>
    </w:p>
    <w:p w14:paraId="467681B3" w14:textId="77777777" w:rsidR="00401786" w:rsidRDefault="00C64FB3" w:rsidP="002144EC">
      <w:pPr>
        <w:numPr>
          <w:ilvl w:val="0"/>
          <w:numId w:val="88"/>
        </w:numPr>
        <w:snapToGrid w:val="0"/>
        <w:spacing w:line="240" w:lineRule="atLeast"/>
        <w:ind w:hanging="120"/>
        <w:rPr>
          <w:rFonts w:ascii="標楷體" w:eastAsia="標楷體" w:hAnsi="標楷體"/>
        </w:rPr>
      </w:pPr>
      <w:r>
        <w:rPr>
          <w:rFonts w:ascii="標楷體" w:eastAsia="標楷體" w:hAnsi="標楷體"/>
        </w:rPr>
        <w:t>Methotrexate15mg/</w:t>
      </w:r>
      <w:proofErr w:type="gramStart"/>
      <w:r>
        <w:rPr>
          <w:rFonts w:ascii="標楷體" w:eastAsia="標楷體" w:hAnsi="標楷體"/>
        </w:rPr>
        <w:t>週</w:t>
      </w:r>
      <w:proofErr w:type="gramEnd"/>
    </w:p>
    <w:p w14:paraId="4B5A8EBD" w14:textId="77777777" w:rsidR="00401786" w:rsidRDefault="00C64FB3" w:rsidP="002144EC">
      <w:pPr>
        <w:numPr>
          <w:ilvl w:val="0"/>
          <w:numId w:val="88"/>
        </w:numPr>
        <w:snapToGrid w:val="0"/>
        <w:spacing w:line="240" w:lineRule="atLeast"/>
        <w:ind w:hanging="120"/>
        <w:rPr>
          <w:rFonts w:ascii="標楷體" w:eastAsia="標楷體" w:hAnsi="標楷體"/>
        </w:rPr>
      </w:pPr>
      <w:r>
        <w:rPr>
          <w:rFonts w:ascii="標楷體" w:eastAsia="標楷體" w:hAnsi="標楷體"/>
        </w:rPr>
        <w:t>Cyclosporine3-5mg/kg/天</w:t>
      </w:r>
    </w:p>
    <w:p w14:paraId="6C22B2E9" w14:textId="77777777" w:rsidR="00401786" w:rsidRDefault="00C64FB3" w:rsidP="002144EC">
      <w:pPr>
        <w:numPr>
          <w:ilvl w:val="0"/>
          <w:numId w:val="88"/>
        </w:numPr>
        <w:snapToGrid w:val="0"/>
        <w:spacing w:line="240" w:lineRule="atLeast"/>
        <w:ind w:hanging="120"/>
        <w:rPr>
          <w:rFonts w:ascii="標楷體" w:eastAsia="標楷體" w:hAnsi="標楷體"/>
        </w:rPr>
      </w:pPr>
      <w:r>
        <w:rPr>
          <w:rFonts w:ascii="標楷體" w:eastAsia="標楷體" w:hAnsi="標楷體"/>
        </w:rPr>
        <w:t>Leflunomide20mg/天</w:t>
      </w:r>
    </w:p>
    <w:p w14:paraId="0A369513" w14:textId="77777777" w:rsidR="00401786" w:rsidRDefault="00401786" w:rsidP="000E757E">
      <w:pPr>
        <w:snapToGrid w:val="0"/>
        <w:spacing w:line="240" w:lineRule="atLeast"/>
        <w:rPr>
          <w:rFonts w:ascii="標楷體" w:eastAsia="標楷體" w:hAnsi="標楷體"/>
        </w:rPr>
      </w:pPr>
    </w:p>
    <w:p w14:paraId="6B01BA43" w14:textId="77777777" w:rsidR="00401786" w:rsidRDefault="00C64FB3" w:rsidP="000E757E">
      <w:pPr>
        <w:snapToGrid w:val="0"/>
        <w:spacing w:line="240" w:lineRule="atLeast"/>
        <w:rPr>
          <w:rFonts w:ascii="標楷體" w:eastAsia="標楷體" w:hAnsi="標楷體"/>
        </w:rPr>
      </w:pPr>
      <w:r>
        <w:rPr>
          <w:rFonts w:ascii="標楷體" w:eastAsia="標楷體" w:hAnsi="標楷體"/>
        </w:rPr>
        <w:t>(2)疾病修飾類藥物(DMARDs)有效治療劑量(</w:t>
      </w:r>
      <w:proofErr w:type="spellStart"/>
      <w:r>
        <w:rPr>
          <w:rFonts w:ascii="標楷體" w:eastAsia="標楷體" w:hAnsi="標楷體"/>
        </w:rPr>
        <w:t>therapeuticdoses</w:t>
      </w:r>
      <w:proofErr w:type="spellEnd"/>
      <w:r>
        <w:rPr>
          <w:rFonts w:ascii="標楷體" w:eastAsia="標楷體" w:hAnsi="標楷體"/>
        </w:rPr>
        <w:t>)的定義：</w:t>
      </w:r>
    </w:p>
    <w:p w14:paraId="3C539DAB" w14:textId="77777777" w:rsidR="00401786" w:rsidRDefault="00C64FB3" w:rsidP="002144EC">
      <w:pPr>
        <w:numPr>
          <w:ilvl w:val="0"/>
          <w:numId w:val="88"/>
        </w:numPr>
        <w:snapToGrid w:val="0"/>
        <w:spacing w:line="240" w:lineRule="atLeast"/>
        <w:ind w:hanging="120"/>
        <w:rPr>
          <w:rFonts w:ascii="標楷體" w:eastAsia="標楷體" w:hAnsi="標楷體"/>
        </w:rPr>
      </w:pPr>
      <w:r>
        <w:rPr>
          <w:rFonts w:ascii="標楷體" w:eastAsia="標楷體" w:hAnsi="標楷體"/>
        </w:rPr>
        <w:t>Sulphasalazine1-2g/天(分次使用)</w:t>
      </w:r>
    </w:p>
    <w:p w14:paraId="6ED47060" w14:textId="77777777" w:rsidR="00401786" w:rsidRDefault="00C64FB3" w:rsidP="002144EC">
      <w:pPr>
        <w:numPr>
          <w:ilvl w:val="0"/>
          <w:numId w:val="88"/>
        </w:numPr>
        <w:snapToGrid w:val="0"/>
        <w:spacing w:line="240" w:lineRule="atLeast"/>
        <w:ind w:hanging="120"/>
        <w:rPr>
          <w:rFonts w:ascii="標楷體" w:eastAsia="標楷體" w:hAnsi="標楷體"/>
        </w:rPr>
      </w:pPr>
      <w:r>
        <w:rPr>
          <w:rFonts w:ascii="標楷體" w:eastAsia="標楷體" w:hAnsi="標楷體"/>
        </w:rPr>
        <w:t>Methotrexate7.5mg/</w:t>
      </w:r>
      <w:proofErr w:type="gramStart"/>
      <w:r>
        <w:rPr>
          <w:rFonts w:ascii="標楷體" w:eastAsia="標楷體" w:hAnsi="標楷體"/>
        </w:rPr>
        <w:t>週</w:t>
      </w:r>
      <w:proofErr w:type="gramEnd"/>
    </w:p>
    <w:p w14:paraId="66E8091C" w14:textId="77777777" w:rsidR="00401786" w:rsidRDefault="00C64FB3" w:rsidP="002144EC">
      <w:pPr>
        <w:numPr>
          <w:ilvl w:val="0"/>
          <w:numId w:val="88"/>
        </w:numPr>
        <w:snapToGrid w:val="0"/>
        <w:spacing w:line="240" w:lineRule="atLeast"/>
        <w:ind w:hanging="120"/>
        <w:rPr>
          <w:rFonts w:ascii="標楷體" w:eastAsia="標楷體" w:hAnsi="標楷體"/>
        </w:rPr>
      </w:pPr>
      <w:r>
        <w:rPr>
          <w:rFonts w:ascii="標楷體" w:eastAsia="標楷體" w:hAnsi="標楷體"/>
        </w:rPr>
        <w:t>Cyclosporine3mg/kg/天</w:t>
      </w:r>
    </w:p>
    <w:p w14:paraId="6EB26949" w14:textId="77777777" w:rsidR="00401786" w:rsidRDefault="00C64FB3" w:rsidP="002144EC">
      <w:pPr>
        <w:numPr>
          <w:ilvl w:val="0"/>
          <w:numId w:val="88"/>
        </w:numPr>
        <w:snapToGrid w:val="0"/>
        <w:spacing w:line="240" w:lineRule="atLeast"/>
        <w:ind w:hanging="120"/>
        <w:rPr>
          <w:rFonts w:ascii="標楷體" w:eastAsia="標楷體" w:hAnsi="標楷體"/>
        </w:rPr>
        <w:sectPr w:rsidR="00401786" w:rsidSect="00655120">
          <w:pgSz w:w="11906" w:h="16838"/>
          <w:pgMar w:top="567" w:right="567" w:bottom="567" w:left="567" w:header="720" w:footer="720" w:gutter="0"/>
          <w:cols w:space="720"/>
          <w:docGrid w:type="lines"/>
        </w:sectPr>
      </w:pPr>
      <w:r>
        <w:rPr>
          <w:rFonts w:ascii="標楷體" w:eastAsia="標楷體" w:hAnsi="標楷體"/>
        </w:rPr>
        <w:t>Leflunomide10mg/天</w:t>
      </w:r>
    </w:p>
    <w:p w14:paraId="4D7E07DC" w14:textId="77777777" w:rsidR="00401786" w:rsidRPr="00B144D5" w:rsidRDefault="00C64FB3" w:rsidP="00B144D5">
      <w:pPr>
        <w:snapToGrid w:val="0"/>
        <w:spacing w:line="240" w:lineRule="atLeast"/>
        <w:ind w:right="-286"/>
        <w:rPr>
          <w:b/>
        </w:rPr>
      </w:pPr>
      <w:r w:rsidRPr="00B144D5">
        <w:rPr>
          <w:rFonts w:ascii="標楷體" w:eastAsia="標楷體" w:hAnsi="標楷體"/>
          <w:b/>
          <w:sz w:val="28"/>
          <w:szCs w:val="28"/>
        </w:rPr>
        <w:lastRenderedPageBreak/>
        <w:t>附表二十二之</w:t>
      </w:r>
      <w:proofErr w:type="gramStart"/>
      <w:r w:rsidRPr="00B144D5">
        <w:rPr>
          <w:rFonts w:ascii="標楷體" w:eastAsia="標楷體" w:hAnsi="標楷體"/>
          <w:b/>
          <w:sz w:val="28"/>
          <w:szCs w:val="28"/>
        </w:rPr>
        <w:t>三</w:t>
      </w:r>
      <w:proofErr w:type="gramEnd"/>
      <w:r w:rsidRPr="00B144D5">
        <w:rPr>
          <w:rFonts w:ascii="標楷體" w:eastAsia="標楷體" w:hAnsi="標楷體"/>
          <w:b/>
          <w:sz w:val="28"/>
          <w:szCs w:val="28"/>
        </w:rPr>
        <w:t>：</w:t>
      </w:r>
      <w:proofErr w:type="gramStart"/>
      <w:r w:rsidRPr="00B144D5">
        <w:rPr>
          <w:rFonts w:ascii="標楷體" w:eastAsia="標楷體" w:hAnsi="標楷體"/>
          <w:b/>
          <w:color w:val="000000"/>
          <w:sz w:val="28"/>
          <w:szCs w:val="28"/>
        </w:rPr>
        <w:t>乾癬性關節炎</w:t>
      </w:r>
      <w:proofErr w:type="gramEnd"/>
      <w:r w:rsidRPr="00B144D5">
        <w:rPr>
          <w:rFonts w:ascii="標楷體" w:eastAsia="標楷體" w:hAnsi="標楷體"/>
          <w:b/>
          <w:color w:val="000000"/>
          <w:sz w:val="28"/>
          <w:szCs w:val="28"/>
        </w:rPr>
        <w:t>評估表</w:t>
      </w:r>
    </w:p>
    <w:p w14:paraId="770063F3" w14:textId="77777777" w:rsidR="00401786" w:rsidRDefault="00C64FB3" w:rsidP="000E757E">
      <w:pPr>
        <w:snapToGrid w:val="0"/>
        <w:spacing w:line="240" w:lineRule="atLeast"/>
        <w:ind w:right="197"/>
      </w:pPr>
      <w:r>
        <w:rPr>
          <w:rFonts w:ascii="標楷體" w:eastAsia="標楷體" w:hAnsi="標楷體"/>
          <w:bCs/>
          <w:szCs w:val="20"/>
        </w:rPr>
        <w:t>有78個可能疼痛及76個可能腫脹關節，</w:t>
      </w:r>
      <w:r>
        <w:rPr>
          <w:rFonts w:ascii="標楷體" w:eastAsia="標楷體" w:hAnsi="標楷體"/>
          <w:bCs/>
          <w:color w:val="000000"/>
          <w:szCs w:val="20"/>
        </w:rPr>
        <w:t>應記錄其症狀；有症狀為1分，沒症狀為0分。</w:t>
      </w:r>
    </w:p>
    <w:p w14:paraId="65076A18" w14:textId="77777777" w:rsidR="00401786" w:rsidRDefault="00C64FB3" w:rsidP="000E757E">
      <w:pPr>
        <w:snapToGrid w:val="0"/>
        <w:spacing w:line="240" w:lineRule="atLeast"/>
        <w:ind w:right="197"/>
      </w:pPr>
      <w:r>
        <w:rPr>
          <w:rFonts w:ascii="標楷體" w:eastAsia="標楷體" w:hAnsi="標楷體"/>
          <w:bCs/>
          <w:szCs w:val="20"/>
        </w:rPr>
        <w:t>(申請續用</w:t>
      </w:r>
      <w:proofErr w:type="gramStart"/>
      <w:r>
        <w:rPr>
          <w:rFonts w:ascii="標楷體" w:eastAsia="標楷體" w:hAnsi="標楷體"/>
          <w:bCs/>
          <w:szCs w:val="20"/>
        </w:rPr>
        <w:t>時填原始</w:t>
      </w:r>
      <w:proofErr w:type="gramEnd"/>
      <w:r>
        <w:rPr>
          <w:rFonts w:ascii="標楷體" w:eastAsia="標楷體" w:hAnsi="標楷體"/>
          <w:bCs/>
          <w:szCs w:val="20"/>
        </w:rPr>
        <w:t>評估日期及分數)</w:t>
      </w:r>
    </w:p>
    <w:tbl>
      <w:tblPr>
        <w:tblW w:w="9388" w:type="dxa"/>
        <w:tblCellMar>
          <w:left w:w="10" w:type="dxa"/>
          <w:right w:w="10" w:type="dxa"/>
        </w:tblCellMar>
        <w:tblLook w:val="0000" w:firstRow="0" w:lastRow="0" w:firstColumn="0" w:lastColumn="0" w:noHBand="0" w:noVBand="0"/>
      </w:tblPr>
      <w:tblGrid>
        <w:gridCol w:w="2096"/>
        <w:gridCol w:w="1821"/>
        <w:gridCol w:w="1825"/>
        <w:gridCol w:w="1821"/>
        <w:gridCol w:w="1825"/>
      </w:tblGrid>
      <w:tr w:rsidR="00401786" w14:paraId="094CC0F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E0EA1"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JOINT</w:t>
            </w:r>
          </w:p>
        </w:tc>
        <w:tc>
          <w:tcPr>
            <w:tcW w:w="36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04369E"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RIGHT右邊</w:t>
            </w:r>
          </w:p>
        </w:tc>
        <w:tc>
          <w:tcPr>
            <w:tcW w:w="36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B0161B"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LEFT左邊</w:t>
            </w:r>
          </w:p>
        </w:tc>
      </w:tr>
      <w:tr w:rsidR="00401786" w14:paraId="00029BF3"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344DA"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C554D6"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Tender</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544FF7"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Swollen</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8C6F61"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Tender</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99C00"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Swollen</w:t>
            </w:r>
          </w:p>
        </w:tc>
      </w:tr>
      <w:tr w:rsidR="00401786" w14:paraId="1F35699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256BA0" w14:textId="77777777" w:rsidR="00401786" w:rsidRDefault="00C64FB3" w:rsidP="000E757E">
            <w:pPr>
              <w:snapToGrid w:val="0"/>
              <w:spacing w:line="240" w:lineRule="atLeast"/>
              <w:rPr>
                <w:rFonts w:ascii="標楷體" w:eastAsia="標楷體" w:hAnsi="標楷體"/>
                <w:szCs w:val="20"/>
              </w:rPr>
            </w:pPr>
            <w:proofErr w:type="spellStart"/>
            <w:r>
              <w:rPr>
                <w:rFonts w:ascii="標楷體" w:eastAsia="標楷體" w:hAnsi="標楷體"/>
                <w:szCs w:val="20"/>
              </w:rPr>
              <w:t>Temp.Mandibular</w:t>
            </w:r>
            <w:proofErr w:type="spellEnd"/>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9EDBB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6046E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8D3868"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B9A680" w14:textId="77777777" w:rsidR="00401786" w:rsidRDefault="00401786" w:rsidP="000E757E">
            <w:pPr>
              <w:snapToGrid w:val="0"/>
              <w:spacing w:line="240" w:lineRule="atLeast"/>
              <w:rPr>
                <w:rFonts w:ascii="標楷體" w:eastAsia="標楷體" w:hAnsi="標楷體"/>
                <w:color w:val="000000"/>
                <w:szCs w:val="20"/>
              </w:rPr>
            </w:pPr>
          </w:p>
        </w:tc>
      </w:tr>
      <w:tr w:rsidR="00401786" w14:paraId="4D370E7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20D80A"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Sternoclavicular</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0CE01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FD676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75028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EFF280" w14:textId="77777777" w:rsidR="00401786" w:rsidRDefault="00401786" w:rsidP="000E757E">
            <w:pPr>
              <w:snapToGrid w:val="0"/>
              <w:spacing w:line="240" w:lineRule="atLeast"/>
              <w:rPr>
                <w:rFonts w:ascii="標楷體" w:eastAsia="標楷體" w:hAnsi="標楷體"/>
                <w:color w:val="000000"/>
                <w:szCs w:val="20"/>
              </w:rPr>
            </w:pPr>
          </w:p>
        </w:tc>
      </w:tr>
      <w:tr w:rsidR="00401786" w14:paraId="61B59C67"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31B4C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Acromioclavicular</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F12B2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26B56"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ACA41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20359E" w14:textId="77777777" w:rsidR="00401786" w:rsidRDefault="00401786" w:rsidP="000E757E">
            <w:pPr>
              <w:snapToGrid w:val="0"/>
              <w:spacing w:line="240" w:lineRule="atLeast"/>
              <w:rPr>
                <w:rFonts w:ascii="標楷體" w:eastAsia="標楷體" w:hAnsi="標楷體"/>
                <w:color w:val="000000"/>
                <w:szCs w:val="20"/>
              </w:rPr>
            </w:pPr>
          </w:p>
        </w:tc>
      </w:tr>
      <w:tr w:rsidR="00401786" w14:paraId="4A8B0BD8"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3E097E"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Shoulder</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FED3B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0D862D"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E12CA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7A3D35" w14:textId="77777777" w:rsidR="00401786" w:rsidRDefault="00401786" w:rsidP="000E757E">
            <w:pPr>
              <w:snapToGrid w:val="0"/>
              <w:spacing w:line="240" w:lineRule="atLeast"/>
              <w:rPr>
                <w:rFonts w:ascii="標楷體" w:eastAsia="標楷體" w:hAnsi="標楷體"/>
                <w:color w:val="000000"/>
                <w:szCs w:val="20"/>
              </w:rPr>
            </w:pPr>
          </w:p>
        </w:tc>
      </w:tr>
      <w:tr w:rsidR="00401786" w14:paraId="32E24F8E"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524565"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Elbow</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3D0B10"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DE105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25EE4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326891" w14:textId="77777777" w:rsidR="00401786" w:rsidRDefault="00401786" w:rsidP="000E757E">
            <w:pPr>
              <w:snapToGrid w:val="0"/>
              <w:spacing w:line="240" w:lineRule="atLeast"/>
              <w:rPr>
                <w:rFonts w:ascii="標楷體" w:eastAsia="標楷體" w:hAnsi="標楷體"/>
                <w:color w:val="000000"/>
                <w:szCs w:val="20"/>
              </w:rPr>
            </w:pPr>
          </w:p>
        </w:tc>
      </w:tr>
      <w:tr w:rsidR="00401786" w14:paraId="10EDE075"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12BC00"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Wrist</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C3156D"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19F71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2967B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7C3444" w14:textId="77777777" w:rsidR="00401786" w:rsidRDefault="00401786" w:rsidP="000E757E">
            <w:pPr>
              <w:snapToGrid w:val="0"/>
              <w:spacing w:line="240" w:lineRule="atLeast"/>
              <w:rPr>
                <w:rFonts w:ascii="標楷體" w:eastAsia="標楷體" w:hAnsi="標楷體"/>
                <w:color w:val="000000"/>
                <w:szCs w:val="20"/>
              </w:rPr>
            </w:pPr>
          </w:p>
        </w:tc>
      </w:tr>
      <w:tr w:rsidR="00401786" w14:paraId="73DA26EE"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C8B47C"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CMC</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0B390"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B59632"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4FD1C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30BD48" w14:textId="77777777" w:rsidR="00401786" w:rsidRDefault="00401786" w:rsidP="000E757E">
            <w:pPr>
              <w:snapToGrid w:val="0"/>
              <w:spacing w:line="240" w:lineRule="atLeast"/>
              <w:rPr>
                <w:rFonts w:ascii="標楷體" w:eastAsia="標楷體" w:hAnsi="標楷體"/>
                <w:color w:val="000000"/>
                <w:szCs w:val="20"/>
              </w:rPr>
            </w:pPr>
          </w:p>
        </w:tc>
      </w:tr>
      <w:tr w:rsidR="00401786" w14:paraId="5F431D6C"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146602"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A23C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5B8D52"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49383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E5D03" w14:textId="77777777" w:rsidR="00401786" w:rsidRDefault="00401786" w:rsidP="000E757E">
            <w:pPr>
              <w:snapToGrid w:val="0"/>
              <w:spacing w:line="240" w:lineRule="atLeast"/>
              <w:rPr>
                <w:rFonts w:ascii="標楷體" w:eastAsia="標楷體" w:hAnsi="標楷體"/>
                <w:color w:val="000000"/>
                <w:szCs w:val="20"/>
              </w:rPr>
            </w:pPr>
          </w:p>
        </w:tc>
      </w:tr>
      <w:tr w:rsidR="00401786" w14:paraId="1BF29C1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CC9034"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4D7C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97ED87"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8018E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482CFB" w14:textId="77777777" w:rsidR="00401786" w:rsidRDefault="00401786" w:rsidP="000E757E">
            <w:pPr>
              <w:snapToGrid w:val="0"/>
              <w:spacing w:line="240" w:lineRule="atLeast"/>
              <w:rPr>
                <w:rFonts w:ascii="標楷體" w:eastAsia="標楷體" w:hAnsi="標楷體"/>
                <w:color w:val="000000"/>
                <w:szCs w:val="20"/>
              </w:rPr>
            </w:pPr>
          </w:p>
        </w:tc>
      </w:tr>
      <w:tr w:rsidR="00401786" w14:paraId="2EE4BB62"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5AB80E"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3D68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5A43B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E4F70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E4E9A8" w14:textId="77777777" w:rsidR="00401786" w:rsidRDefault="00401786" w:rsidP="000E757E">
            <w:pPr>
              <w:snapToGrid w:val="0"/>
              <w:spacing w:line="240" w:lineRule="atLeast"/>
              <w:rPr>
                <w:rFonts w:ascii="標楷體" w:eastAsia="標楷體" w:hAnsi="標楷體"/>
                <w:color w:val="000000"/>
                <w:szCs w:val="20"/>
              </w:rPr>
            </w:pPr>
          </w:p>
        </w:tc>
      </w:tr>
      <w:tr w:rsidR="00401786" w14:paraId="213BE6D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F56111"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99811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F97CB7"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321E8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CA9ED3" w14:textId="77777777" w:rsidR="00401786" w:rsidRDefault="00401786" w:rsidP="000E757E">
            <w:pPr>
              <w:snapToGrid w:val="0"/>
              <w:spacing w:line="240" w:lineRule="atLeast"/>
              <w:rPr>
                <w:rFonts w:ascii="標楷體" w:eastAsia="標楷體" w:hAnsi="標楷體"/>
                <w:color w:val="000000"/>
                <w:szCs w:val="20"/>
              </w:rPr>
            </w:pPr>
          </w:p>
        </w:tc>
      </w:tr>
      <w:tr w:rsidR="00401786" w14:paraId="6CED336F"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126B18"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A32DA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1BCA9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370787"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287A6B" w14:textId="77777777" w:rsidR="00401786" w:rsidRDefault="00401786" w:rsidP="000E757E">
            <w:pPr>
              <w:snapToGrid w:val="0"/>
              <w:spacing w:line="240" w:lineRule="atLeast"/>
              <w:rPr>
                <w:rFonts w:ascii="標楷體" w:eastAsia="標楷體" w:hAnsi="標楷體"/>
                <w:color w:val="000000"/>
                <w:szCs w:val="20"/>
              </w:rPr>
            </w:pPr>
          </w:p>
        </w:tc>
      </w:tr>
      <w:tr w:rsidR="00401786" w14:paraId="4E9F22E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DB1DFC"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1A45B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F0FF9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89ADE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E1484B" w14:textId="77777777" w:rsidR="00401786" w:rsidRDefault="00401786" w:rsidP="000E757E">
            <w:pPr>
              <w:snapToGrid w:val="0"/>
              <w:spacing w:line="240" w:lineRule="atLeast"/>
              <w:rPr>
                <w:rFonts w:ascii="標楷體" w:eastAsia="標楷體" w:hAnsi="標楷體"/>
                <w:color w:val="000000"/>
                <w:szCs w:val="20"/>
              </w:rPr>
            </w:pPr>
          </w:p>
        </w:tc>
      </w:tr>
      <w:tr w:rsidR="00401786" w14:paraId="4498B73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0B314A"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6ECC4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9EDAC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3C56E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DF3FA0" w14:textId="77777777" w:rsidR="00401786" w:rsidRDefault="00401786" w:rsidP="000E757E">
            <w:pPr>
              <w:snapToGrid w:val="0"/>
              <w:spacing w:line="240" w:lineRule="atLeast"/>
              <w:rPr>
                <w:rFonts w:ascii="標楷體" w:eastAsia="標楷體" w:hAnsi="標楷體"/>
                <w:color w:val="000000"/>
                <w:szCs w:val="20"/>
              </w:rPr>
            </w:pPr>
          </w:p>
        </w:tc>
      </w:tr>
      <w:tr w:rsidR="00401786" w14:paraId="46F6D6D4"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B89304"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ECCD7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93B70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E1957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F8464" w14:textId="77777777" w:rsidR="00401786" w:rsidRDefault="00401786" w:rsidP="000E757E">
            <w:pPr>
              <w:snapToGrid w:val="0"/>
              <w:spacing w:line="240" w:lineRule="atLeast"/>
              <w:rPr>
                <w:rFonts w:ascii="標楷體" w:eastAsia="標楷體" w:hAnsi="標楷體"/>
                <w:color w:val="000000"/>
                <w:szCs w:val="20"/>
              </w:rPr>
            </w:pPr>
          </w:p>
        </w:tc>
      </w:tr>
      <w:tr w:rsidR="00401786" w14:paraId="2B39908D"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9C6F71"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6BEF2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C2B8B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34D62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08DE00" w14:textId="77777777" w:rsidR="00401786" w:rsidRDefault="00401786" w:rsidP="000E757E">
            <w:pPr>
              <w:snapToGrid w:val="0"/>
              <w:spacing w:line="240" w:lineRule="atLeast"/>
              <w:rPr>
                <w:rFonts w:ascii="標楷體" w:eastAsia="標楷體" w:hAnsi="標楷體"/>
                <w:color w:val="000000"/>
                <w:szCs w:val="20"/>
              </w:rPr>
            </w:pPr>
          </w:p>
        </w:tc>
      </w:tr>
      <w:tr w:rsidR="00401786" w14:paraId="22E21C8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6B3016"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20A50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6863CC"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C969E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F129EC" w14:textId="77777777" w:rsidR="00401786" w:rsidRDefault="00401786" w:rsidP="000E757E">
            <w:pPr>
              <w:snapToGrid w:val="0"/>
              <w:spacing w:line="240" w:lineRule="atLeast"/>
              <w:rPr>
                <w:rFonts w:ascii="標楷體" w:eastAsia="標楷體" w:hAnsi="標楷體"/>
                <w:color w:val="000000"/>
                <w:szCs w:val="20"/>
              </w:rPr>
            </w:pPr>
          </w:p>
        </w:tc>
      </w:tr>
      <w:tr w:rsidR="00401786" w14:paraId="3AAFEC5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6C2534"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DC196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C7524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ABF06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32FA0F" w14:textId="77777777" w:rsidR="00401786" w:rsidRDefault="00401786" w:rsidP="000E757E">
            <w:pPr>
              <w:snapToGrid w:val="0"/>
              <w:spacing w:line="240" w:lineRule="atLeast"/>
              <w:rPr>
                <w:rFonts w:ascii="標楷體" w:eastAsia="標楷體" w:hAnsi="標楷體"/>
                <w:color w:val="000000"/>
                <w:szCs w:val="20"/>
              </w:rPr>
            </w:pPr>
          </w:p>
        </w:tc>
      </w:tr>
      <w:tr w:rsidR="00401786" w14:paraId="46C48481"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0A85BF"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B9B67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9906E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A9F348"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E6C948" w14:textId="77777777" w:rsidR="00401786" w:rsidRDefault="00401786" w:rsidP="000E757E">
            <w:pPr>
              <w:snapToGrid w:val="0"/>
              <w:spacing w:line="240" w:lineRule="atLeast"/>
              <w:rPr>
                <w:rFonts w:ascii="標楷體" w:eastAsia="標楷體" w:hAnsi="標楷體"/>
                <w:color w:val="000000"/>
                <w:szCs w:val="20"/>
              </w:rPr>
            </w:pPr>
          </w:p>
        </w:tc>
      </w:tr>
      <w:tr w:rsidR="00401786" w14:paraId="40F0CE68"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1C2F49"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4F0F5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0C2DFB"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4CEAE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DD396D" w14:textId="77777777" w:rsidR="00401786" w:rsidRDefault="00401786" w:rsidP="000E757E">
            <w:pPr>
              <w:snapToGrid w:val="0"/>
              <w:spacing w:line="240" w:lineRule="atLeast"/>
              <w:rPr>
                <w:rFonts w:ascii="標楷體" w:eastAsia="標楷體" w:hAnsi="標楷體"/>
                <w:color w:val="000000"/>
                <w:szCs w:val="20"/>
              </w:rPr>
            </w:pPr>
          </w:p>
        </w:tc>
      </w:tr>
      <w:tr w:rsidR="00401786" w14:paraId="549BF9F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B546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50FCF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05164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33678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174416" w14:textId="77777777" w:rsidR="00401786" w:rsidRDefault="00401786" w:rsidP="000E757E">
            <w:pPr>
              <w:snapToGrid w:val="0"/>
              <w:spacing w:line="240" w:lineRule="atLeast"/>
              <w:rPr>
                <w:rFonts w:ascii="標楷體" w:eastAsia="標楷體" w:hAnsi="標楷體"/>
                <w:color w:val="000000"/>
                <w:szCs w:val="20"/>
              </w:rPr>
            </w:pPr>
          </w:p>
        </w:tc>
      </w:tr>
      <w:tr w:rsidR="00401786" w14:paraId="401000B7"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D1BA9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Hip</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EF493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D84BE6"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不計</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E481A3" w14:textId="77777777" w:rsidR="00401786" w:rsidRDefault="00401786" w:rsidP="000E757E">
            <w:pPr>
              <w:snapToGrid w:val="0"/>
              <w:spacing w:line="240" w:lineRule="atLeast"/>
              <w:jc w:val="center"/>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4DFDD6"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不計</w:t>
            </w:r>
          </w:p>
        </w:tc>
      </w:tr>
      <w:tr w:rsidR="00401786" w14:paraId="263EF5C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F83DA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Knee</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611877"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F451F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F853A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AF1ED7" w14:textId="77777777" w:rsidR="00401786" w:rsidRDefault="00401786" w:rsidP="000E757E">
            <w:pPr>
              <w:snapToGrid w:val="0"/>
              <w:spacing w:line="240" w:lineRule="atLeast"/>
              <w:rPr>
                <w:rFonts w:ascii="標楷體" w:eastAsia="標楷體" w:hAnsi="標楷體"/>
                <w:color w:val="000000"/>
                <w:szCs w:val="20"/>
              </w:rPr>
            </w:pPr>
          </w:p>
        </w:tc>
      </w:tr>
      <w:tr w:rsidR="00401786" w14:paraId="48CE1A6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677456"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Ankle</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E6E50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EE0D73"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86B39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A3A3C2" w14:textId="77777777" w:rsidR="00401786" w:rsidRDefault="00401786" w:rsidP="000E757E">
            <w:pPr>
              <w:snapToGrid w:val="0"/>
              <w:spacing w:line="240" w:lineRule="atLeast"/>
              <w:rPr>
                <w:rFonts w:ascii="標楷體" w:eastAsia="標楷體" w:hAnsi="標楷體"/>
                <w:color w:val="000000"/>
                <w:szCs w:val="20"/>
              </w:rPr>
            </w:pPr>
          </w:p>
        </w:tc>
      </w:tr>
      <w:tr w:rsidR="00401786" w14:paraId="7315F8C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D79B7D"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Tarsi</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74DB7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14EC0E"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B09DE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A70921" w14:textId="77777777" w:rsidR="00401786" w:rsidRDefault="00401786" w:rsidP="000E757E">
            <w:pPr>
              <w:snapToGrid w:val="0"/>
              <w:spacing w:line="240" w:lineRule="atLeast"/>
              <w:rPr>
                <w:rFonts w:ascii="標楷體" w:eastAsia="標楷體" w:hAnsi="標楷體"/>
                <w:color w:val="000000"/>
                <w:szCs w:val="20"/>
              </w:rPr>
            </w:pPr>
          </w:p>
        </w:tc>
      </w:tr>
      <w:tr w:rsidR="00401786" w14:paraId="3669B2AF"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F5B034"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5807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F7E8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35B437"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4FA495" w14:textId="77777777" w:rsidR="00401786" w:rsidRDefault="00401786" w:rsidP="000E757E">
            <w:pPr>
              <w:snapToGrid w:val="0"/>
              <w:spacing w:line="240" w:lineRule="atLeast"/>
              <w:rPr>
                <w:rFonts w:ascii="標楷體" w:eastAsia="標楷體" w:hAnsi="標楷體"/>
                <w:color w:val="000000"/>
                <w:szCs w:val="20"/>
              </w:rPr>
            </w:pPr>
          </w:p>
        </w:tc>
      </w:tr>
      <w:tr w:rsidR="00401786" w14:paraId="3B0F59F5"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F8B32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D8EE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5FDC14"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8AD2E4"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C956B0" w14:textId="77777777" w:rsidR="00401786" w:rsidRDefault="00401786" w:rsidP="000E757E">
            <w:pPr>
              <w:snapToGrid w:val="0"/>
              <w:spacing w:line="240" w:lineRule="atLeast"/>
              <w:rPr>
                <w:rFonts w:ascii="標楷體" w:eastAsia="標楷體" w:hAnsi="標楷體"/>
                <w:color w:val="000000"/>
                <w:szCs w:val="20"/>
              </w:rPr>
            </w:pPr>
          </w:p>
        </w:tc>
      </w:tr>
      <w:tr w:rsidR="00401786" w14:paraId="525760DB"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FAD26F"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67E2A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E59C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775474"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EFB74A" w14:textId="77777777" w:rsidR="00401786" w:rsidRDefault="00401786" w:rsidP="000E757E">
            <w:pPr>
              <w:snapToGrid w:val="0"/>
              <w:spacing w:line="240" w:lineRule="atLeast"/>
              <w:rPr>
                <w:rFonts w:ascii="標楷體" w:eastAsia="標楷體" w:hAnsi="標楷體"/>
                <w:color w:val="000000"/>
                <w:szCs w:val="20"/>
              </w:rPr>
            </w:pPr>
          </w:p>
        </w:tc>
      </w:tr>
      <w:tr w:rsidR="00401786" w14:paraId="6A3F06FD"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2B9CA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24BBF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C70D0"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90B33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38A5D6" w14:textId="77777777" w:rsidR="00401786" w:rsidRDefault="00401786" w:rsidP="000E757E">
            <w:pPr>
              <w:snapToGrid w:val="0"/>
              <w:spacing w:line="240" w:lineRule="atLeast"/>
              <w:rPr>
                <w:rFonts w:ascii="標楷體" w:eastAsia="標楷體" w:hAnsi="標楷體"/>
                <w:color w:val="000000"/>
                <w:szCs w:val="20"/>
              </w:rPr>
            </w:pPr>
          </w:p>
        </w:tc>
      </w:tr>
      <w:tr w:rsidR="00401786" w14:paraId="4B262704"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FC08AE"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E5BCD8"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8AAF2C"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6ED27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8D3B3B" w14:textId="77777777" w:rsidR="00401786" w:rsidRDefault="00401786" w:rsidP="000E757E">
            <w:pPr>
              <w:snapToGrid w:val="0"/>
              <w:spacing w:line="240" w:lineRule="atLeast"/>
              <w:rPr>
                <w:rFonts w:ascii="標楷體" w:eastAsia="標楷體" w:hAnsi="標楷體"/>
                <w:color w:val="000000"/>
                <w:szCs w:val="20"/>
              </w:rPr>
            </w:pPr>
          </w:p>
        </w:tc>
      </w:tr>
      <w:tr w:rsidR="00401786" w14:paraId="4E6E9CFB"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B3A377" w14:textId="77777777" w:rsidR="00401786" w:rsidRDefault="00C64FB3" w:rsidP="000E757E">
            <w:pPr>
              <w:snapToGrid w:val="0"/>
              <w:spacing w:line="240" w:lineRule="atLeast"/>
              <w:rPr>
                <w:rFonts w:ascii="標楷體" w:eastAsia="標楷體" w:hAnsi="標楷體"/>
                <w:szCs w:val="20"/>
              </w:rPr>
            </w:pPr>
            <w:proofErr w:type="gramStart"/>
            <w:r>
              <w:rPr>
                <w:rFonts w:ascii="標楷體" w:eastAsia="標楷體" w:hAnsi="標楷體"/>
                <w:szCs w:val="20"/>
              </w:rPr>
              <w:t>Toes(</w:t>
            </w:r>
            <w:proofErr w:type="gramEnd"/>
            <w:r>
              <w:rPr>
                <w:rFonts w:ascii="標楷體" w:eastAsia="標楷體" w:hAnsi="標楷體"/>
                <w:szCs w:val="20"/>
              </w:rPr>
              <w:t>PIP)1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92CBF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A8BF3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BC890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E2C364" w14:textId="77777777" w:rsidR="00401786" w:rsidRDefault="00401786" w:rsidP="000E757E">
            <w:pPr>
              <w:snapToGrid w:val="0"/>
              <w:spacing w:line="240" w:lineRule="atLeast"/>
              <w:rPr>
                <w:rFonts w:ascii="標楷體" w:eastAsia="標楷體" w:hAnsi="標楷體"/>
                <w:color w:val="000000"/>
                <w:szCs w:val="20"/>
              </w:rPr>
            </w:pPr>
          </w:p>
        </w:tc>
      </w:tr>
      <w:tr w:rsidR="00401786" w14:paraId="2329C01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89383B"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3EEA41"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AD89A4"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86441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EF6606" w14:textId="77777777" w:rsidR="00401786" w:rsidRDefault="00401786" w:rsidP="000E757E">
            <w:pPr>
              <w:snapToGrid w:val="0"/>
              <w:spacing w:line="240" w:lineRule="atLeast"/>
              <w:rPr>
                <w:rFonts w:ascii="標楷體" w:eastAsia="標楷體" w:hAnsi="標楷體"/>
                <w:color w:val="000000"/>
                <w:szCs w:val="20"/>
              </w:rPr>
            </w:pPr>
          </w:p>
        </w:tc>
      </w:tr>
      <w:tr w:rsidR="00401786" w14:paraId="065E6DCA"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BABF8C"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53102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9EE3FB"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9D094D"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A7EC7" w14:textId="77777777" w:rsidR="00401786" w:rsidRDefault="00401786" w:rsidP="000E757E">
            <w:pPr>
              <w:snapToGrid w:val="0"/>
              <w:spacing w:line="240" w:lineRule="atLeast"/>
              <w:rPr>
                <w:rFonts w:ascii="標楷體" w:eastAsia="標楷體" w:hAnsi="標楷體"/>
                <w:color w:val="000000"/>
                <w:szCs w:val="20"/>
              </w:rPr>
            </w:pPr>
          </w:p>
        </w:tc>
      </w:tr>
      <w:tr w:rsidR="00401786" w14:paraId="0C0A94D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A69B86"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A945E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EBDA9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2D3EE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D3D7CC" w14:textId="77777777" w:rsidR="00401786" w:rsidRDefault="00401786" w:rsidP="000E757E">
            <w:pPr>
              <w:snapToGrid w:val="0"/>
              <w:spacing w:line="240" w:lineRule="atLeast"/>
              <w:rPr>
                <w:rFonts w:ascii="標楷體" w:eastAsia="標楷體" w:hAnsi="標楷體"/>
                <w:color w:val="000000"/>
                <w:szCs w:val="20"/>
              </w:rPr>
            </w:pPr>
          </w:p>
        </w:tc>
      </w:tr>
      <w:tr w:rsidR="00401786" w14:paraId="18BD828E"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FBB20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E96E71"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3EABDC"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53E35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45B1A8" w14:textId="77777777" w:rsidR="00401786" w:rsidRDefault="00401786" w:rsidP="000E757E">
            <w:pPr>
              <w:snapToGrid w:val="0"/>
              <w:spacing w:line="240" w:lineRule="atLeast"/>
              <w:rPr>
                <w:rFonts w:ascii="標楷體" w:eastAsia="標楷體" w:hAnsi="標楷體"/>
                <w:color w:val="000000"/>
                <w:szCs w:val="20"/>
              </w:rPr>
            </w:pPr>
          </w:p>
        </w:tc>
      </w:tr>
      <w:tr w:rsidR="00401786" w14:paraId="499C8F23"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463344" w14:textId="77777777" w:rsidR="00401786" w:rsidRDefault="00C64FB3" w:rsidP="000E757E">
            <w:pPr>
              <w:snapToGrid w:val="0"/>
              <w:spacing w:line="240" w:lineRule="atLeast"/>
              <w:rPr>
                <w:rFonts w:ascii="標楷體" w:eastAsia="標楷體" w:hAnsi="標楷體"/>
                <w:szCs w:val="20"/>
              </w:rPr>
            </w:pPr>
            <w:proofErr w:type="gramStart"/>
            <w:r>
              <w:rPr>
                <w:rFonts w:ascii="標楷體" w:eastAsia="標楷體" w:hAnsi="標楷體"/>
                <w:szCs w:val="20"/>
              </w:rPr>
              <w:t>Toes(</w:t>
            </w:r>
            <w:proofErr w:type="gramEnd"/>
            <w:r>
              <w:rPr>
                <w:rFonts w:ascii="標楷體" w:eastAsia="標楷體" w:hAnsi="標楷體"/>
                <w:szCs w:val="20"/>
              </w:rPr>
              <w:t>DIP)2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297B9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771910"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09400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EADFE8" w14:textId="77777777" w:rsidR="00401786" w:rsidRDefault="00401786" w:rsidP="000E757E">
            <w:pPr>
              <w:snapToGrid w:val="0"/>
              <w:spacing w:line="240" w:lineRule="atLeast"/>
              <w:rPr>
                <w:rFonts w:ascii="標楷體" w:eastAsia="標楷體" w:hAnsi="標楷體"/>
                <w:color w:val="000000"/>
                <w:szCs w:val="20"/>
              </w:rPr>
            </w:pPr>
          </w:p>
        </w:tc>
      </w:tr>
      <w:tr w:rsidR="00401786" w14:paraId="24AECF35"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2C12FA"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E0AB7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1E688B"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9D697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E32929" w14:textId="77777777" w:rsidR="00401786" w:rsidRDefault="00401786" w:rsidP="000E757E">
            <w:pPr>
              <w:snapToGrid w:val="0"/>
              <w:spacing w:line="240" w:lineRule="atLeast"/>
              <w:rPr>
                <w:rFonts w:ascii="標楷體" w:eastAsia="標楷體" w:hAnsi="標楷體"/>
                <w:color w:val="000000"/>
                <w:szCs w:val="20"/>
              </w:rPr>
            </w:pPr>
          </w:p>
        </w:tc>
      </w:tr>
      <w:tr w:rsidR="00401786" w14:paraId="3E665B4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4FD86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2DD171"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C8B6B7"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165C14"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D73DB0" w14:textId="77777777" w:rsidR="00401786" w:rsidRDefault="00401786" w:rsidP="000E757E">
            <w:pPr>
              <w:snapToGrid w:val="0"/>
              <w:spacing w:line="240" w:lineRule="atLeast"/>
              <w:rPr>
                <w:rFonts w:ascii="標楷體" w:eastAsia="標楷體" w:hAnsi="標楷體"/>
                <w:color w:val="000000"/>
                <w:szCs w:val="20"/>
              </w:rPr>
            </w:pPr>
          </w:p>
        </w:tc>
      </w:tr>
      <w:tr w:rsidR="00401786" w14:paraId="36F1E833"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C8CAE5"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1CA90D"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8E4D4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37C33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48B26E" w14:textId="77777777" w:rsidR="00401786" w:rsidRDefault="00401786" w:rsidP="000E757E">
            <w:pPr>
              <w:snapToGrid w:val="0"/>
              <w:spacing w:line="240" w:lineRule="atLeast"/>
              <w:rPr>
                <w:rFonts w:ascii="標楷體" w:eastAsia="標楷體" w:hAnsi="標楷體"/>
                <w:color w:val="000000"/>
                <w:szCs w:val="20"/>
              </w:rPr>
            </w:pPr>
          </w:p>
        </w:tc>
      </w:tr>
    </w:tbl>
    <w:p w14:paraId="7965B5E1" w14:textId="6CDC63E9" w:rsidR="00401786" w:rsidRDefault="00C64FB3" w:rsidP="002144EC">
      <w:pPr>
        <w:numPr>
          <w:ilvl w:val="0"/>
          <w:numId w:val="89"/>
        </w:numPr>
        <w:snapToGrid w:val="0"/>
        <w:spacing w:line="240" w:lineRule="atLeast"/>
        <w:ind w:left="284" w:right="-428" w:hanging="284"/>
      </w:pPr>
      <w:r>
        <w:rPr>
          <w:rFonts w:ascii="標楷體" w:eastAsia="標楷體" w:hAnsi="標楷體"/>
          <w:szCs w:val="20"/>
        </w:rPr>
        <w:t>目前評估日期：</w:t>
      </w:r>
      <w:r w:rsidR="00B144D5">
        <w:rPr>
          <w:rFonts w:ascii="標楷體" w:eastAsia="標楷體" w:hAnsi="標楷體" w:hint="eastAsia"/>
          <w:szCs w:val="20"/>
        </w:rPr>
        <w:t xml:space="preserve">  </w:t>
      </w:r>
      <w:r>
        <w:rPr>
          <w:rFonts w:ascii="標楷體" w:eastAsia="標楷體" w:hAnsi="標楷體"/>
          <w:szCs w:val="20"/>
        </w:rPr>
        <w:t>年</w:t>
      </w:r>
      <w:r w:rsidR="00B144D5">
        <w:rPr>
          <w:rFonts w:ascii="標楷體" w:eastAsia="標楷體" w:hAnsi="標楷體" w:hint="eastAsia"/>
          <w:szCs w:val="20"/>
        </w:rPr>
        <w:t xml:space="preserve">  </w:t>
      </w:r>
      <w:r>
        <w:rPr>
          <w:rFonts w:ascii="標楷體" w:eastAsia="標楷體" w:hAnsi="標楷體"/>
          <w:szCs w:val="20"/>
        </w:rPr>
        <w:t>月</w:t>
      </w:r>
      <w:r w:rsidR="00B144D5">
        <w:rPr>
          <w:rFonts w:ascii="標楷體" w:eastAsia="標楷體" w:hAnsi="標楷體" w:hint="eastAsia"/>
          <w:szCs w:val="20"/>
        </w:rPr>
        <w:t xml:space="preserve">  </w:t>
      </w:r>
      <w:r>
        <w:rPr>
          <w:rFonts w:ascii="標楷體" w:eastAsia="標楷體" w:hAnsi="標楷體"/>
          <w:szCs w:val="20"/>
        </w:rPr>
        <w:t>日1.</w:t>
      </w:r>
      <w:proofErr w:type="gramStart"/>
      <w:r>
        <w:rPr>
          <w:rFonts w:ascii="標楷體" w:eastAsia="標楷體" w:hAnsi="標楷體"/>
          <w:szCs w:val="20"/>
        </w:rPr>
        <w:t>Tenderjointscore:_</w:t>
      </w:r>
      <w:proofErr w:type="gramEnd"/>
      <w:r>
        <w:rPr>
          <w:rFonts w:ascii="標楷體" w:eastAsia="標楷體" w:hAnsi="標楷體"/>
          <w:szCs w:val="20"/>
        </w:rPr>
        <w:t>______</w:t>
      </w:r>
      <w:r w:rsidR="00B144D5">
        <w:rPr>
          <w:rFonts w:ascii="標楷體" w:eastAsia="標楷體" w:hAnsi="標楷體" w:hint="eastAsia"/>
          <w:szCs w:val="20"/>
        </w:rPr>
        <w:t xml:space="preserve"> </w:t>
      </w:r>
      <w:r>
        <w:rPr>
          <w:rFonts w:ascii="標楷體" w:eastAsia="標楷體" w:hAnsi="標楷體"/>
          <w:szCs w:val="20"/>
        </w:rPr>
        <w:t>2.Swollenjointscore:_______</w:t>
      </w:r>
    </w:p>
    <w:p w14:paraId="4DFF7245" w14:textId="01767920" w:rsidR="00401786" w:rsidRDefault="00C64FB3" w:rsidP="002144EC">
      <w:pPr>
        <w:numPr>
          <w:ilvl w:val="0"/>
          <w:numId w:val="89"/>
        </w:numPr>
        <w:snapToGrid w:val="0"/>
        <w:spacing w:line="240" w:lineRule="atLeast"/>
        <w:ind w:left="284" w:right="-428" w:hanging="284"/>
      </w:pPr>
      <w:r>
        <w:rPr>
          <w:rFonts w:ascii="標楷體" w:eastAsia="標楷體" w:hAnsi="標楷體"/>
          <w:szCs w:val="20"/>
        </w:rPr>
        <w:t>原始評估日期：</w:t>
      </w:r>
      <w:r w:rsidR="00B144D5">
        <w:rPr>
          <w:rFonts w:ascii="標楷體" w:eastAsia="標楷體" w:hAnsi="標楷體" w:hint="eastAsia"/>
          <w:szCs w:val="20"/>
        </w:rPr>
        <w:t xml:space="preserve">  </w:t>
      </w:r>
      <w:r>
        <w:rPr>
          <w:rFonts w:ascii="標楷體" w:eastAsia="標楷體" w:hAnsi="標楷體"/>
          <w:szCs w:val="20"/>
        </w:rPr>
        <w:t>年</w:t>
      </w:r>
      <w:r w:rsidR="00B144D5">
        <w:rPr>
          <w:rFonts w:ascii="標楷體" w:eastAsia="標楷體" w:hAnsi="標楷體" w:hint="eastAsia"/>
          <w:szCs w:val="20"/>
        </w:rPr>
        <w:t xml:space="preserve">  </w:t>
      </w:r>
      <w:r>
        <w:rPr>
          <w:rFonts w:ascii="標楷體" w:eastAsia="標楷體" w:hAnsi="標楷體"/>
          <w:szCs w:val="20"/>
        </w:rPr>
        <w:t>月</w:t>
      </w:r>
      <w:r w:rsidR="00B144D5">
        <w:rPr>
          <w:rFonts w:ascii="標楷體" w:eastAsia="標楷體" w:hAnsi="標楷體" w:hint="eastAsia"/>
          <w:szCs w:val="20"/>
        </w:rPr>
        <w:t xml:space="preserve">  </w:t>
      </w:r>
      <w:r>
        <w:rPr>
          <w:rFonts w:ascii="標楷體" w:eastAsia="標楷體" w:hAnsi="標楷體"/>
          <w:szCs w:val="20"/>
        </w:rPr>
        <w:t>日1.</w:t>
      </w:r>
      <w:proofErr w:type="gramStart"/>
      <w:r>
        <w:rPr>
          <w:rFonts w:ascii="標楷體" w:eastAsia="標楷體" w:hAnsi="標楷體"/>
          <w:szCs w:val="20"/>
        </w:rPr>
        <w:t>Tenderjointscore:_</w:t>
      </w:r>
      <w:proofErr w:type="gramEnd"/>
      <w:r>
        <w:rPr>
          <w:rFonts w:ascii="標楷體" w:eastAsia="標楷體" w:hAnsi="標楷體"/>
          <w:szCs w:val="20"/>
        </w:rPr>
        <w:t>______</w:t>
      </w:r>
      <w:r w:rsidR="00B144D5">
        <w:rPr>
          <w:rFonts w:ascii="標楷體" w:eastAsia="標楷體" w:hAnsi="標楷體" w:hint="eastAsia"/>
          <w:szCs w:val="20"/>
        </w:rPr>
        <w:t xml:space="preserve"> </w:t>
      </w:r>
      <w:r>
        <w:rPr>
          <w:rFonts w:ascii="標楷體" w:eastAsia="標楷體" w:hAnsi="標楷體"/>
          <w:szCs w:val="20"/>
        </w:rPr>
        <w:t>2.Swollenjointscore:_______</w:t>
      </w:r>
    </w:p>
    <w:p w14:paraId="44561DEE" w14:textId="77777777" w:rsidR="00B144D5" w:rsidRPr="00B144D5" w:rsidRDefault="00C64FB3" w:rsidP="002144EC">
      <w:pPr>
        <w:pStyle w:val="af"/>
        <w:numPr>
          <w:ilvl w:val="0"/>
          <w:numId w:val="217"/>
        </w:numPr>
        <w:snapToGrid w:val="0"/>
        <w:spacing w:line="240" w:lineRule="atLeast"/>
      </w:pPr>
      <w:r w:rsidRPr="00B144D5">
        <w:rPr>
          <w:rFonts w:ascii="標楷體" w:eastAsia="標楷體" w:hAnsi="標楷體"/>
          <w:szCs w:val="20"/>
        </w:rPr>
        <w:lastRenderedPageBreak/>
        <w:t>病人自我評估目前(0-5分)_______，評估日期：</w:t>
      </w:r>
      <w:r w:rsidR="00B144D5" w:rsidRPr="00B144D5">
        <w:rPr>
          <w:rFonts w:ascii="標楷體" w:eastAsia="標楷體" w:hAnsi="標楷體" w:hint="eastAsia"/>
          <w:szCs w:val="20"/>
        </w:rPr>
        <w:t xml:space="preserve">   </w:t>
      </w:r>
      <w:r w:rsidRPr="00B144D5">
        <w:rPr>
          <w:rFonts w:ascii="標楷體" w:eastAsia="標楷體" w:hAnsi="標楷體"/>
          <w:szCs w:val="20"/>
        </w:rPr>
        <w:t>年</w:t>
      </w:r>
      <w:r w:rsidR="00B144D5" w:rsidRPr="00B144D5">
        <w:rPr>
          <w:rFonts w:ascii="標楷體" w:eastAsia="標楷體" w:hAnsi="標楷體" w:hint="eastAsia"/>
          <w:szCs w:val="20"/>
        </w:rPr>
        <w:t xml:space="preserve">   </w:t>
      </w:r>
      <w:r w:rsidRPr="00B144D5">
        <w:rPr>
          <w:rFonts w:ascii="標楷體" w:eastAsia="標楷體" w:hAnsi="標楷體"/>
          <w:szCs w:val="20"/>
        </w:rPr>
        <w:t>月</w:t>
      </w:r>
      <w:r w:rsidR="00B144D5" w:rsidRPr="00B144D5">
        <w:rPr>
          <w:rFonts w:ascii="標楷體" w:eastAsia="標楷體" w:hAnsi="標楷體" w:hint="eastAsia"/>
          <w:szCs w:val="20"/>
        </w:rPr>
        <w:t xml:space="preserve">   </w:t>
      </w:r>
      <w:r w:rsidRPr="00B144D5">
        <w:rPr>
          <w:rFonts w:ascii="標楷體" w:eastAsia="標楷體" w:hAnsi="標楷體"/>
          <w:szCs w:val="20"/>
        </w:rPr>
        <w:t>日</w:t>
      </w:r>
    </w:p>
    <w:p w14:paraId="5BCFB2E2" w14:textId="03754148" w:rsidR="00401786" w:rsidRDefault="00C64FB3" w:rsidP="00B144D5">
      <w:pPr>
        <w:pStyle w:val="af"/>
        <w:snapToGrid w:val="0"/>
        <w:spacing w:line="240" w:lineRule="atLeast"/>
      </w:pPr>
      <w:r w:rsidRPr="00B144D5">
        <w:rPr>
          <w:rFonts w:ascii="標楷體" w:eastAsia="標楷體" w:hAnsi="標楷體"/>
          <w:szCs w:val="20"/>
        </w:rPr>
        <w:t>病人自我評估原始(0-5分)_______，評估日期：</w:t>
      </w:r>
      <w:r w:rsidR="00B144D5" w:rsidRPr="00B144D5">
        <w:rPr>
          <w:rFonts w:ascii="標楷體" w:eastAsia="標楷體" w:hAnsi="標楷體" w:hint="eastAsia"/>
          <w:szCs w:val="20"/>
        </w:rPr>
        <w:t xml:space="preserve">   年   月   日</w:t>
      </w:r>
    </w:p>
    <w:p w14:paraId="0D4E19B0" w14:textId="77777777" w:rsidR="00B144D5" w:rsidRPr="00B144D5" w:rsidRDefault="00C64FB3" w:rsidP="002144EC">
      <w:pPr>
        <w:pStyle w:val="af"/>
        <w:numPr>
          <w:ilvl w:val="0"/>
          <w:numId w:val="217"/>
        </w:numPr>
        <w:snapToGrid w:val="0"/>
        <w:spacing w:line="240" w:lineRule="atLeast"/>
      </w:pPr>
      <w:r w:rsidRPr="00B144D5">
        <w:rPr>
          <w:rFonts w:ascii="標楷體" w:eastAsia="標楷體" w:hAnsi="標楷體"/>
          <w:szCs w:val="20"/>
        </w:rPr>
        <w:t>醫師整體評估目前(0-5分)_______，評估日期：</w:t>
      </w:r>
      <w:r w:rsidR="00B144D5" w:rsidRPr="00B144D5">
        <w:rPr>
          <w:rFonts w:ascii="標楷體" w:eastAsia="標楷體" w:hAnsi="標楷體" w:hint="eastAsia"/>
          <w:szCs w:val="20"/>
        </w:rPr>
        <w:t xml:space="preserve">   年   月   日</w:t>
      </w:r>
    </w:p>
    <w:p w14:paraId="4A0E5E92" w14:textId="0C114343" w:rsidR="00401786" w:rsidRDefault="00C64FB3" w:rsidP="00B144D5">
      <w:pPr>
        <w:pStyle w:val="af"/>
        <w:snapToGrid w:val="0"/>
        <w:spacing w:line="240" w:lineRule="atLeast"/>
      </w:pPr>
      <w:r w:rsidRPr="00B144D5">
        <w:rPr>
          <w:rFonts w:ascii="標楷體" w:eastAsia="標楷體" w:hAnsi="標楷體"/>
          <w:szCs w:val="20"/>
        </w:rPr>
        <w:t>醫師整體評估原始(0-5分)_______，評估日期：</w:t>
      </w:r>
      <w:r w:rsidR="00B144D5" w:rsidRPr="00B144D5">
        <w:rPr>
          <w:rFonts w:ascii="標楷體" w:eastAsia="標楷體" w:hAnsi="標楷體" w:hint="eastAsia"/>
          <w:szCs w:val="20"/>
        </w:rPr>
        <w:t xml:space="preserve">   年   月   日</w:t>
      </w:r>
    </w:p>
    <w:p w14:paraId="244ED20B" w14:textId="77777777" w:rsidR="00401786" w:rsidRPr="00B144D5" w:rsidRDefault="00401786" w:rsidP="00B144D5">
      <w:pPr>
        <w:pageBreakBefore/>
        <w:widowControl/>
        <w:suppressAutoHyphens w:val="0"/>
        <w:snapToGrid w:val="0"/>
        <w:spacing w:line="240" w:lineRule="atLeast"/>
        <w:ind w:left="284"/>
        <w:rPr>
          <w:rFonts w:ascii="標楷體" w:eastAsia="標楷體" w:hAnsi="標楷體"/>
          <w:sz w:val="28"/>
          <w:szCs w:val="28"/>
        </w:rPr>
      </w:pPr>
    </w:p>
    <w:p w14:paraId="7EDCC303" w14:textId="77777777" w:rsidR="00401786" w:rsidRPr="00B144D5" w:rsidRDefault="00C64FB3" w:rsidP="00931AC2">
      <w:pPr>
        <w:snapToGrid w:val="0"/>
        <w:spacing w:line="240" w:lineRule="atLeast"/>
        <w:ind w:left="3" w:right="-352" w:firstLine="281"/>
        <w:rPr>
          <w:b/>
          <w:bCs/>
          <w:sz w:val="22"/>
          <w:szCs w:val="20"/>
        </w:rPr>
      </w:pPr>
      <w:r w:rsidRPr="00B144D5">
        <w:rPr>
          <w:rFonts w:eastAsia="標楷體"/>
          <w:b/>
          <w:bCs/>
          <w:color w:val="000000"/>
          <w:szCs w:val="24"/>
        </w:rPr>
        <w:t>附表二十二之四：全民健康保險</w:t>
      </w:r>
      <w:proofErr w:type="gramStart"/>
      <w:r w:rsidRPr="00B144D5">
        <w:rPr>
          <w:rFonts w:eastAsia="標楷體"/>
          <w:b/>
          <w:bCs/>
          <w:color w:val="000000"/>
          <w:szCs w:val="24"/>
        </w:rPr>
        <w:t>乾癬性脊椎</w:t>
      </w:r>
      <w:proofErr w:type="gramEnd"/>
      <w:r w:rsidRPr="00B144D5">
        <w:rPr>
          <w:rFonts w:eastAsia="標楷體"/>
          <w:b/>
          <w:bCs/>
          <w:color w:val="000000"/>
          <w:szCs w:val="24"/>
        </w:rPr>
        <w:t>病變使用</w:t>
      </w:r>
      <w:r w:rsidRPr="00B144D5">
        <w:rPr>
          <w:rFonts w:eastAsia="標楷體"/>
          <w:b/>
          <w:bCs/>
          <w:szCs w:val="24"/>
        </w:rPr>
        <w:t>生物製劑</w:t>
      </w:r>
      <w:r w:rsidRPr="00B144D5">
        <w:rPr>
          <w:rFonts w:eastAsia="標楷體"/>
          <w:b/>
          <w:bCs/>
          <w:color w:val="000000"/>
          <w:szCs w:val="24"/>
        </w:rPr>
        <w:t>申請表</w:t>
      </w:r>
      <w:r w:rsidRPr="00B144D5">
        <w:rPr>
          <w:rFonts w:eastAsia="標楷體"/>
          <w:b/>
          <w:bCs/>
          <w:color w:val="000000"/>
          <w:szCs w:val="24"/>
        </w:rPr>
        <w:t>(</w:t>
      </w:r>
      <w:r w:rsidRPr="00B144D5">
        <w:rPr>
          <w:rFonts w:eastAsia="標楷體"/>
          <w:b/>
          <w:bCs/>
          <w:color w:val="000000"/>
          <w:szCs w:val="24"/>
        </w:rPr>
        <w:t>第一頁</w:t>
      </w:r>
      <w:r w:rsidRPr="00B144D5">
        <w:rPr>
          <w:rFonts w:eastAsia="標楷體"/>
          <w:b/>
          <w:bCs/>
          <w:color w:val="000000"/>
          <w:szCs w:val="24"/>
        </w:rPr>
        <w:t>)</w:t>
      </w:r>
    </w:p>
    <w:tbl>
      <w:tblPr>
        <w:tblW w:w="9575" w:type="dxa"/>
        <w:tblInd w:w="309" w:type="dxa"/>
        <w:tblLayout w:type="fixed"/>
        <w:tblCellMar>
          <w:left w:w="10" w:type="dxa"/>
          <w:right w:w="10" w:type="dxa"/>
        </w:tblCellMar>
        <w:tblLook w:val="0000" w:firstRow="0" w:lastRow="0" w:firstColumn="0" w:lastColumn="0" w:noHBand="0" w:noVBand="0"/>
      </w:tblPr>
      <w:tblGrid>
        <w:gridCol w:w="1477"/>
        <w:gridCol w:w="1547"/>
        <w:gridCol w:w="1408"/>
        <w:gridCol w:w="1601"/>
        <w:gridCol w:w="1050"/>
        <w:gridCol w:w="2492"/>
      </w:tblGrid>
      <w:tr w:rsidR="00401786" w14:paraId="35CA683C" w14:textId="77777777">
        <w:trPr>
          <w:cantSplit/>
          <w:trHeight w:val="376"/>
        </w:trPr>
        <w:tc>
          <w:tcPr>
            <w:tcW w:w="147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632542E"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3D45FED" w14:textId="77777777" w:rsidR="00401786" w:rsidRDefault="00401786" w:rsidP="000E757E">
            <w:pPr>
              <w:snapToGrid w:val="0"/>
              <w:spacing w:line="240" w:lineRule="atLeast"/>
              <w:rPr>
                <w:rFonts w:ascii="標楷體" w:eastAsia="標楷體" w:hAnsi="標楷體"/>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70BA47"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0A6EB97" w14:textId="77777777" w:rsidR="00401786" w:rsidRDefault="00401786" w:rsidP="000E757E">
            <w:pPr>
              <w:snapToGrid w:val="0"/>
              <w:spacing w:line="240" w:lineRule="atLeast"/>
              <w:rPr>
                <w:rFonts w:ascii="標楷體" w:eastAsia="標楷體" w:hAnsi="標楷體"/>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A8E9BB"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492"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11B77AA" w14:textId="77777777" w:rsidR="00401786" w:rsidRDefault="00401786" w:rsidP="000E757E">
            <w:pPr>
              <w:snapToGrid w:val="0"/>
              <w:spacing w:line="240" w:lineRule="atLeast"/>
              <w:rPr>
                <w:rFonts w:ascii="標楷體" w:eastAsia="標楷體" w:hAnsi="標楷體"/>
              </w:rPr>
            </w:pPr>
          </w:p>
        </w:tc>
      </w:tr>
      <w:tr w:rsidR="00401786" w14:paraId="73B53E53" w14:textId="77777777">
        <w:trPr>
          <w:cantSplit/>
          <w:trHeight w:val="332"/>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10D9778"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78AFFB"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0424C6"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038BAF" w14:textId="77777777" w:rsidR="00401786" w:rsidRDefault="00401786" w:rsidP="000E757E">
            <w:pPr>
              <w:snapToGrid w:val="0"/>
              <w:spacing w:line="240" w:lineRule="atLeast"/>
              <w:rPr>
                <w:rFonts w:ascii="標楷體" w:eastAsia="標楷體" w:hAnsi="標楷體"/>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12848D"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873F61B" w14:textId="77777777" w:rsidR="00401786" w:rsidRDefault="00401786" w:rsidP="000E757E">
            <w:pPr>
              <w:snapToGrid w:val="0"/>
              <w:spacing w:line="240" w:lineRule="atLeast"/>
              <w:rPr>
                <w:rFonts w:ascii="標楷體" w:eastAsia="標楷體" w:hAnsi="標楷體"/>
              </w:rPr>
            </w:pPr>
          </w:p>
        </w:tc>
      </w:tr>
      <w:tr w:rsidR="00401786" w14:paraId="27BC4164" w14:textId="77777777">
        <w:trPr>
          <w:cantSplit/>
          <w:trHeight w:val="356"/>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24F22A"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6ADA0D"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3BDF51"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F301E9" w14:textId="77777777" w:rsidR="00401786" w:rsidRDefault="00401786" w:rsidP="000E757E">
            <w:pPr>
              <w:snapToGrid w:val="0"/>
              <w:spacing w:line="240" w:lineRule="atLeast"/>
              <w:rPr>
                <w:rFonts w:ascii="標楷體" w:eastAsia="標楷體" w:hAnsi="標楷體"/>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99D3F88"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09B0FDD"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7CE56CCA" w14:textId="77777777">
        <w:trPr>
          <w:cantSplit/>
          <w:trHeight w:val="337"/>
        </w:trPr>
        <w:tc>
          <w:tcPr>
            <w:tcW w:w="147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C256454"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186E3E6"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EE1D248"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84D0B4A" w14:textId="77777777" w:rsidR="00401786" w:rsidRDefault="00401786" w:rsidP="000E757E">
            <w:pPr>
              <w:snapToGrid w:val="0"/>
              <w:spacing w:line="240" w:lineRule="atLeast"/>
              <w:rPr>
                <w:rFonts w:ascii="標楷體" w:eastAsia="標楷體" w:hAnsi="標楷體"/>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EB70EE4" w14:textId="77777777" w:rsidR="00401786" w:rsidRDefault="00401786" w:rsidP="000E757E">
            <w:pPr>
              <w:snapToGrid w:val="0"/>
              <w:spacing w:line="240" w:lineRule="atLeast"/>
              <w:rPr>
                <w:rFonts w:ascii="標楷體" w:eastAsia="標楷體" w:hAnsi="標楷體"/>
              </w:rPr>
            </w:pPr>
          </w:p>
        </w:tc>
        <w:tc>
          <w:tcPr>
            <w:tcW w:w="2492"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FC32813"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088B8662" w14:textId="77777777" w:rsidR="00401786" w:rsidRDefault="00401786" w:rsidP="000E757E">
      <w:pPr>
        <w:snapToGrid w:val="0"/>
        <w:spacing w:line="240" w:lineRule="atLeast"/>
        <w:rPr>
          <w:rFonts w:ascii="標楷體" w:eastAsia="標楷體" w:hAnsi="標楷體"/>
          <w:sz w:val="28"/>
        </w:rPr>
      </w:pPr>
    </w:p>
    <w:tbl>
      <w:tblPr>
        <w:tblW w:w="9536" w:type="dxa"/>
        <w:tblInd w:w="332" w:type="dxa"/>
        <w:tblCellMar>
          <w:left w:w="10" w:type="dxa"/>
          <w:right w:w="10" w:type="dxa"/>
        </w:tblCellMar>
        <w:tblLook w:val="0000" w:firstRow="0" w:lastRow="0" w:firstColumn="0" w:lastColumn="0" w:noHBand="0" w:noVBand="0"/>
      </w:tblPr>
      <w:tblGrid>
        <w:gridCol w:w="9536"/>
      </w:tblGrid>
      <w:tr w:rsidR="00401786" w14:paraId="17B4BC63" w14:textId="77777777">
        <w:trPr>
          <w:trHeight w:val="10460"/>
        </w:trPr>
        <w:tc>
          <w:tcPr>
            <w:tcW w:w="9536"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6BAF20F6" w14:textId="77777777" w:rsidR="00401786" w:rsidRDefault="00C64FB3" w:rsidP="000E757E">
            <w:pPr>
              <w:snapToGrid w:val="0"/>
              <w:spacing w:before="180" w:line="240" w:lineRule="atLeast"/>
            </w:pPr>
            <w:r>
              <w:rPr>
                <w:rFonts w:ascii="Webdings" w:eastAsia="Webdings" w:hAnsi="Webdings" w:cs="Webdings"/>
                <w:bCs/>
                <w:color w:val="000000"/>
              </w:rPr>
              <w:t></w:t>
            </w:r>
            <w:r>
              <w:rPr>
                <w:rFonts w:ascii="Times New Roman" w:eastAsia="標楷體" w:hAnsi="Times New Roman"/>
                <w:b/>
                <w:bCs/>
                <w:color w:val="000000"/>
              </w:rPr>
              <w:t xml:space="preserve"> </w:t>
            </w:r>
            <w:r>
              <w:rPr>
                <w:rFonts w:ascii="Times New Roman" w:eastAsia="標楷體" w:hAnsi="Times New Roman"/>
                <w:b/>
                <w:bCs/>
              </w:rPr>
              <w:t>符合下列所有條件：</w:t>
            </w:r>
          </w:p>
          <w:p w14:paraId="38906285" w14:textId="77777777" w:rsidR="00401786" w:rsidRDefault="00C64FB3" w:rsidP="002144EC">
            <w:pPr>
              <w:numPr>
                <w:ilvl w:val="0"/>
                <w:numId w:val="90"/>
              </w:numPr>
              <w:tabs>
                <w:tab w:val="left" w:pos="515"/>
              </w:tabs>
              <w:snapToGrid w:val="0"/>
              <w:spacing w:line="240" w:lineRule="atLeast"/>
              <w:ind w:left="941" w:hanging="709"/>
            </w:pPr>
            <w:r>
              <w:rPr>
                <w:rFonts w:ascii="Webdings" w:eastAsia="Webdings" w:hAnsi="Webdings" w:cs="Webdings"/>
                <w:bCs/>
                <w:color w:val="000000"/>
              </w:rPr>
              <w:t></w:t>
            </w:r>
            <w:r>
              <w:rPr>
                <w:rFonts w:ascii="Times New Roman" w:eastAsia="標楷體" w:hAnsi="Times New Roman"/>
                <w:b/>
                <w:bCs/>
                <w:color w:val="000000"/>
              </w:rPr>
              <w:t xml:space="preserve"> </w:t>
            </w:r>
            <w:r>
              <w:rPr>
                <w:rFonts w:ascii="Times New Roman" w:eastAsia="標楷體" w:hAnsi="Times New Roman"/>
                <w:szCs w:val="13"/>
              </w:rPr>
              <w:t>經內科專科醫師且具有風濕或免疫專科醫師證書者診斷為</w:t>
            </w:r>
            <w:proofErr w:type="gramStart"/>
            <w:r>
              <w:rPr>
                <w:rFonts w:ascii="Times New Roman" w:eastAsia="標楷體" w:hAnsi="Times New Roman"/>
                <w:szCs w:val="13"/>
              </w:rPr>
              <w:t>乾癬性關節炎</w:t>
            </w:r>
            <w:proofErr w:type="gramEnd"/>
            <w:r>
              <w:rPr>
                <w:rFonts w:ascii="Times New Roman" w:eastAsia="標楷體" w:hAnsi="Times New Roman"/>
                <w:szCs w:val="13"/>
              </w:rPr>
              <w:t>患者。</w:t>
            </w:r>
          </w:p>
          <w:p w14:paraId="16206A8D" w14:textId="77777777" w:rsidR="00401786" w:rsidRDefault="00C64FB3" w:rsidP="002144EC">
            <w:pPr>
              <w:numPr>
                <w:ilvl w:val="0"/>
                <w:numId w:val="90"/>
              </w:numPr>
              <w:tabs>
                <w:tab w:val="left" w:pos="515"/>
              </w:tabs>
              <w:snapToGrid w:val="0"/>
              <w:spacing w:line="240" w:lineRule="atLeast"/>
              <w:ind w:left="941" w:hanging="709"/>
            </w:pPr>
            <w:r>
              <w:rPr>
                <w:rFonts w:ascii="Webdings" w:eastAsia="Webdings" w:hAnsi="Webdings" w:cs="Webdings"/>
                <w:bCs/>
                <w:color w:val="000000"/>
              </w:rPr>
              <w:t></w:t>
            </w:r>
            <w:r>
              <w:rPr>
                <w:rFonts w:ascii="Times New Roman" w:eastAsia="標楷體" w:hAnsi="Times New Roman"/>
              </w:rPr>
              <w:t xml:space="preserve"> </w:t>
            </w:r>
            <w:r>
              <w:rPr>
                <w:rFonts w:ascii="Times New Roman" w:eastAsia="標楷體" w:hAnsi="Times New Roman"/>
              </w:rPr>
              <w:t>曾經皮膚科醫師診斷為</w:t>
            </w:r>
            <w:proofErr w:type="gramStart"/>
            <w:r>
              <w:rPr>
                <w:rFonts w:ascii="Times New Roman" w:eastAsia="標楷體" w:hAnsi="Times New Roman"/>
              </w:rPr>
              <w:t>乾癬者</w:t>
            </w:r>
            <w:proofErr w:type="gramEnd"/>
            <w:r>
              <w:rPr>
                <w:rFonts w:ascii="Times New Roman" w:eastAsia="標楷體" w:hAnsi="Times New Roman"/>
              </w:rPr>
              <w:t>，或經皮膚切片診斷為乾癬患者。</w:t>
            </w:r>
          </w:p>
          <w:p w14:paraId="74A45BB7" w14:textId="77777777" w:rsidR="00401786" w:rsidRDefault="00C64FB3" w:rsidP="002144EC">
            <w:pPr>
              <w:numPr>
                <w:ilvl w:val="0"/>
                <w:numId w:val="90"/>
              </w:numPr>
              <w:tabs>
                <w:tab w:val="left" w:pos="515"/>
              </w:tabs>
              <w:snapToGrid w:val="0"/>
              <w:spacing w:line="240" w:lineRule="atLeast"/>
              <w:ind w:left="941" w:hanging="709"/>
            </w:pPr>
            <w:r>
              <w:rPr>
                <w:rFonts w:ascii="Webdings" w:eastAsia="Webdings" w:hAnsi="Webdings" w:cs="Webdings"/>
                <w:bCs/>
                <w:color w:val="000000"/>
              </w:rPr>
              <w:t></w:t>
            </w:r>
            <w:r>
              <w:rPr>
                <w:rFonts w:ascii="Times New Roman" w:eastAsia="標楷體" w:hAnsi="Times New Roman"/>
                <w:b/>
                <w:bCs/>
                <w:color w:val="000000"/>
              </w:rPr>
              <w:t xml:space="preserve"> </w:t>
            </w:r>
            <w:r>
              <w:rPr>
                <w:rFonts w:ascii="Times New Roman" w:eastAsia="標楷體" w:hAnsi="Times New Roman"/>
              </w:rPr>
              <w:t>下列</w:t>
            </w:r>
            <w:proofErr w:type="gramStart"/>
            <w:r>
              <w:rPr>
                <w:rFonts w:ascii="Times New Roman" w:eastAsia="標楷體" w:hAnsi="Times New Roman"/>
              </w:rPr>
              <w:t>三</w:t>
            </w:r>
            <w:proofErr w:type="gramEnd"/>
            <w:r>
              <w:rPr>
                <w:rFonts w:ascii="Times New Roman" w:eastAsia="標楷體" w:hAnsi="Times New Roman"/>
              </w:rPr>
              <w:t>條件至少需符合二項</w:t>
            </w:r>
          </w:p>
          <w:p w14:paraId="605F7A08" w14:textId="77777777" w:rsidR="00401786" w:rsidRDefault="00C64FB3" w:rsidP="002144EC">
            <w:pPr>
              <w:numPr>
                <w:ilvl w:val="1"/>
                <w:numId w:val="83"/>
              </w:numPr>
              <w:tabs>
                <w:tab w:val="left" w:pos="941"/>
              </w:tabs>
              <w:snapToGrid w:val="0"/>
              <w:spacing w:line="240" w:lineRule="atLeast"/>
              <w:ind w:left="1224" w:hanging="744"/>
            </w:pPr>
            <w:r>
              <w:rPr>
                <w:rFonts w:ascii="Webdings" w:eastAsia="Webdings" w:hAnsi="Webdings" w:cs="Webdings"/>
                <w:bCs/>
                <w:color w:val="000000"/>
              </w:rPr>
              <w:t></w:t>
            </w:r>
            <w:r>
              <w:rPr>
                <w:rFonts w:ascii="Times New Roman" w:eastAsia="標楷體" w:hAnsi="Times New Roman"/>
                <w:bCs/>
                <w:color w:val="000000"/>
              </w:rPr>
              <w:t xml:space="preserve"> </w:t>
            </w:r>
            <w:r>
              <w:rPr>
                <w:rFonts w:ascii="Times New Roman" w:eastAsia="標楷體" w:hAnsi="Times New Roman"/>
                <w:bCs/>
                <w:color w:val="000000"/>
              </w:rPr>
              <w:t>下背痛及晨間僵硬的症狀持續</w:t>
            </w:r>
            <w:r>
              <w:rPr>
                <w:rFonts w:ascii="Times New Roman" w:eastAsia="標楷體" w:hAnsi="Times New Roman"/>
                <w:bCs/>
                <w:color w:val="000000"/>
              </w:rPr>
              <w:t>3</w:t>
            </w:r>
            <w:r>
              <w:rPr>
                <w:rFonts w:ascii="Times New Roman" w:eastAsia="標楷體" w:hAnsi="Times New Roman"/>
                <w:bCs/>
                <w:color w:val="000000"/>
              </w:rPr>
              <w:t>個月以上</w:t>
            </w:r>
          </w:p>
          <w:p w14:paraId="49D97D2A" w14:textId="77777777" w:rsidR="00401786" w:rsidRDefault="00C64FB3" w:rsidP="002144EC">
            <w:pPr>
              <w:numPr>
                <w:ilvl w:val="1"/>
                <w:numId w:val="83"/>
              </w:numPr>
              <w:tabs>
                <w:tab w:val="left" w:pos="941"/>
              </w:tabs>
              <w:snapToGrid w:val="0"/>
              <w:spacing w:line="240" w:lineRule="atLeast"/>
              <w:ind w:left="1224" w:hanging="744"/>
            </w:pPr>
            <w:r>
              <w:rPr>
                <w:rFonts w:ascii="Webdings" w:eastAsia="Webdings" w:hAnsi="Webdings" w:cs="Webdings"/>
                <w:bCs/>
                <w:color w:val="000000"/>
              </w:rPr>
              <w:t></w:t>
            </w:r>
            <w:r>
              <w:rPr>
                <w:rFonts w:ascii="Times New Roman" w:eastAsia="標楷體" w:hAnsi="Times New Roman"/>
                <w:bCs/>
                <w:color w:val="000000"/>
              </w:rPr>
              <w:t xml:space="preserve"> </w:t>
            </w:r>
            <w:r>
              <w:rPr>
                <w:rFonts w:ascii="Times New Roman" w:eastAsia="標楷體" w:hAnsi="Times New Roman"/>
                <w:bCs/>
                <w:color w:val="000000"/>
              </w:rPr>
              <w:t>腰椎前屈活動受限</w:t>
            </w:r>
          </w:p>
          <w:p w14:paraId="37A3A28E" w14:textId="77777777" w:rsidR="00401786" w:rsidRDefault="00C64FB3" w:rsidP="002144EC">
            <w:pPr>
              <w:numPr>
                <w:ilvl w:val="1"/>
                <w:numId w:val="83"/>
              </w:numPr>
              <w:tabs>
                <w:tab w:val="left" w:pos="941"/>
              </w:tabs>
              <w:snapToGrid w:val="0"/>
              <w:spacing w:line="240" w:lineRule="atLeast"/>
              <w:ind w:left="1224" w:hanging="744"/>
            </w:pPr>
            <w:r>
              <w:rPr>
                <w:rFonts w:ascii="Webdings" w:eastAsia="Webdings" w:hAnsi="Webdings" w:cs="Webdings"/>
                <w:bCs/>
                <w:color w:val="000000"/>
              </w:rPr>
              <w:t></w:t>
            </w:r>
            <w:r>
              <w:rPr>
                <w:rFonts w:ascii="Times New Roman" w:eastAsia="標楷體" w:hAnsi="Times New Roman"/>
                <w:bCs/>
                <w:color w:val="000000"/>
              </w:rPr>
              <w:t xml:space="preserve"> </w:t>
            </w:r>
            <w:r>
              <w:rPr>
                <w:rFonts w:ascii="Times New Roman" w:eastAsia="標楷體" w:hAnsi="Times New Roman"/>
                <w:bCs/>
                <w:color w:val="000000"/>
              </w:rPr>
              <w:t>胸廓擴張受限</w:t>
            </w:r>
          </w:p>
          <w:p w14:paraId="1B9FE373" w14:textId="77777777" w:rsidR="00401786" w:rsidRDefault="00C64FB3" w:rsidP="002144EC">
            <w:pPr>
              <w:numPr>
                <w:ilvl w:val="0"/>
                <w:numId w:val="90"/>
              </w:numPr>
              <w:tabs>
                <w:tab w:val="left" w:pos="515"/>
              </w:tabs>
              <w:snapToGrid w:val="0"/>
              <w:spacing w:line="240" w:lineRule="atLeast"/>
              <w:ind w:left="941" w:hanging="709"/>
            </w:pPr>
            <w:r>
              <w:rPr>
                <w:rFonts w:ascii="Times New Roman" w:eastAsia="標楷體" w:hAnsi="Times New Roman"/>
              </w:rPr>
              <w:t>X</w:t>
            </w:r>
            <w:r>
              <w:rPr>
                <w:rFonts w:ascii="Times New Roman" w:eastAsia="標楷體" w:hAnsi="Times New Roman"/>
              </w:rPr>
              <w:t>光</w:t>
            </w:r>
            <w:r>
              <w:rPr>
                <w:rFonts w:ascii="Times New Roman" w:eastAsia="標楷體" w:hAnsi="Times New Roman"/>
              </w:rPr>
              <w:t>(</w:t>
            </w:r>
            <w:proofErr w:type="spellStart"/>
            <w:r>
              <w:rPr>
                <w:rFonts w:ascii="Times New Roman" w:eastAsia="標楷體" w:hAnsi="Times New Roman"/>
              </w:rPr>
              <w:t>plainXRay</w:t>
            </w:r>
            <w:proofErr w:type="spellEnd"/>
            <w:r>
              <w:rPr>
                <w:rFonts w:ascii="Times New Roman" w:eastAsia="標楷體" w:hAnsi="Times New Roman"/>
              </w:rPr>
              <w:t>)</w:t>
            </w:r>
            <w:r>
              <w:rPr>
                <w:rFonts w:ascii="Times New Roman" w:eastAsia="標楷體" w:hAnsi="Times New Roman"/>
              </w:rPr>
              <w:t>檢查需</w:t>
            </w:r>
            <w:proofErr w:type="gramStart"/>
            <w:r>
              <w:rPr>
                <w:rFonts w:ascii="Times New Roman" w:eastAsia="標楷體" w:hAnsi="Times New Roman"/>
              </w:rPr>
              <w:t>有薦腸</w:t>
            </w:r>
            <w:proofErr w:type="gramEnd"/>
            <w:r>
              <w:rPr>
                <w:rFonts w:ascii="Times New Roman" w:eastAsia="標楷體" w:hAnsi="Times New Roman"/>
              </w:rPr>
              <w:t>關節炎：</w:t>
            </w:r>
            <w:proofErr w:type="gramStart"/>
            <w:r>
              <w:rPr>
                <w:rFonts w:ascii="Times New Roman" w:eastAsia="標楷體" w:hAnsi="Times New Roman"/>
              </w:rPr>
              <w:t>單側性二級</w:t>
            </w:r>
            <w:proofErr w:type="gramEnd"/>
            <w:r>
              <w:rPr>
                <w:rFonts w:ascii="Times New Roman" w:eastAsia="標楷體" w:hAnsi="Times New Roman"/>
              </w:rPr>
              <w:t>以上、附有報告影印及</w:t>
            </w:r>
            <w:r>
              <w:rPr>
                <w:rFonts w:ascii="Times New Roman" w:eastAsia="標楷體" w:hAnsi="Times New Roman"/>
              </w:rPr>
              <w:t>X</w:t>
            </w:r>
            <w:r>
              <w:rPr>
                <w:rFonts w:ascii="Times New Roman" w:eastAsia="標楷體" w:hAnsi="Times New Roman"/>
              </w:rPr>
              <w:t>光影像光碟。</w:t>
            </w:r>
          </w:p>
          <w:p w14:paraId="5FE57FA7" w14:textId="77777777" w:rsidR="00401786" w:rsidRDefault="00C64FB3" w:rsidP="002144EC">
            <w:pPr>
              <w:numPr>
                <w:ilvl w:val="0"/>
                <w:numId w:val="90"/>
              </w:numPr>
              <w:tabs>
                <w:tab w:val="left" w:pos="515"/>
              </w:tabs>
              <w:snapToGrid w:val="0"/>
              <w:spacing w:line="240" w:lineRule="atLeast"/>
              <w:ind w:left="941" w:hanging="709"/>
            </w:pPr>
            <w:r>
              <w:rPr>
                <w:rFonts w:ascii="Times New Roman" w:eastAsia="標楷體" w:hAnsi="Times New Roman"/>
              </w:rPr>
              <w:t>病患必須曾使用過至少</w:t>
            </w:r>
            <w:r>
              <w:rPr>
                <w:rFonts w:ascii="Times New Roman" w:eastAsia="標楷體" w:hAnsi="Times New Roman"/>
              </w:rPr>
              <w:t>2</w:t>
            </w:r>
            <w:r>
              <w:rPr>
                <w:rFonts w:ascii="Times New Roman" w:eastAsia="標楷體" w:hAnsi="Times New Roman"/>
              </w:rPr>
              <w:t>種</w:t>
            </w:r>
            <w:r>
              <w:rPr>
                <w:rFonts w:ascii="Times New Roman" w:eastAsia="標楷體" w:hAnsi="Times New Roman"/>
              </w:rPr>
              <w:t>(NSAIDs)</w:t>
            </w:r>
            <w:r>
              <w:rPr>
                <w:rFonts w:ascii="Times New Roman" w:eastAsia="標楷體" w:hAnsi="Times New Roman"/>
              </w:rPr>
              <w:t>進行充分的治療，但療效</w:t>
            </w:r>
            <w:proofErr w:type="gramStart"/>
            <w:r>
              <w:rPr>
                <w:rFonts w:ascii="Times New Roman" w:eastAsia="標楷體" w:hAnsi="Times New Roman"/>
              </w:rPr>
              <w:t>不</w:t>
            </w:r>
            <w:proofErr w:type="gramEnd"/>
            <w:r>
              <w:rPr>
                <w:rFonts w:ascii="Times New Roman" w:eastAsia="標楷體" w:hAnsi="Times New Roman"/>
              </w:rPr>
              <w:t>彰。（定義請參照給付規定）</w:t>
            </w:r>
          </w:p>
          <w:p w14:paraId="025F1173" w14:textId="77777777" w:rsidR="00401786" w:rsidRDefault="00C64FB3" w:rsidP="000E757E">
            <w:pPr>
              <w:snapToGrid w:val="0"/>
              <w:spacing w:line="240" w:lineRule="atLeast"/>
              <w:ind w:left="799" w:hanging="2"/>
              <w:rPr>
                <w:rFonts w:ascii="Times New Roman" w:eastAsia="標楷體" w:hAnsi="Times New Roman"/>
              </w:rPr>
            </w:pPr>
            <w:r>
              <w:rPr>
                <w:rFonts w:ascii="Times New Roman" w:eastAsia="標楷體" w:hAnsi="Times New Roman"/>
              </w:rPr>
              <w:t>NSAID1</w:t>
            </w:r>
            <w:r>
              <w:rPr>
                <w:rFonts w:ascii="Times New Roman" w:eastAsia="標楷體" w:hAnsi="Times New Roman"/>
              </w:rPr>
              <w:t>藥名</w:t>
            </w:r>
            <w:r>
              <w:rPr>
                <w:rFonts w:ascii="Times New Roman" w:eastAsia="標楷體" w:hAnsi="Times New Roman"/>
              </w:rPr>
              <w:t>________</w:t>
            </w:r>
            <w:r>
              <w:rPr>
                <w:rFonts w:ascii="Times New Roman" w:eastAsia="標楷體" w:hAnsi="Times New Roman"/>
              </w:rPr>
              <w:t>劑量</w:t>
            </w:r>
            <w:r>
              <w:rPr>
                <w:rFonts w:ascii="Times New Roman" w:eastAsia="標楷體" w:hAnsi="Times New Roman"/>
              </w:rPr>
              <w:t>_______________</w:t>
            </w:r>
            <w:r>
              <w:rPr>
                <w:rFonts w:ascii="Times New Roman" w:eastAsia="標楷體" w:hAnsi="Times New Roman"/>
              </w:rPr>
              <w:t>使用期限</w:t>
            </w:r>
            <w:r>
              <w:rPr>
                <w:rFonts w:ascii="Times New Roman" w:eastAsia="標楷體" w:hAnsi="Times New Roman"/>
              </w:rPr>
              <w:t>___________________</w:t>
            </w:r>
          </w:p>
          <w:p w14:paraId="142D0BD9" w14:textId="77777777" w:rsidR="00401786" w:rsidRDefault="00C64FB3" w:rsidP="000E757E">
            <w:pPr>
              <w:snapToGrid w:val="0"/>
              <w:spacing w:line="240" w:lineRule="atLeast"/>
              <w:ind w:left="799" w:hanging="2"/>
              <w:rPr>
                <w:rFonts w:ascii="Times New Roman" w:eastAsia="標楷體" w:hAnsi="Times New Roman"/>
              </w:rPr>
            </w:pPr>
            <w:r>
              <w:rPr>
                <w:rFonts w:ascii="Times New Roman" w:eastAsia="標楷體" w:hAnsi="Times New Roman"/>
              </w:rPr>
              <w:t>NSAID2</w:t>
            </w:r>
            <w:r>
              <w:rPr>
                <w:rFonts w:ascii="Times New Roman" w:eastAsia="標楷體" w:hAnsi="Times New Roman"/>
              </w:rPr>
              <w:t>藥名</w:t>
            </w:r>
            <w:r>
              <w:rPr>
                <w:rFonts w:ascii="Times New Roman" w:eastAsia="標楷體" w:hAnsi="Times New Roman"/>
              </w:rPr>
              <w:t>________</w:t>
            </w:r>
            <w:r>
              <w:rPr>
                <w:rFonts w:ascii="Times New Roman" w:eastAsia="標楷體" w:hAnsi="Times New Roman"/>
              </w:rPr>
              <w:t>劑量</w:t>
            </w:r>
            <w:r>
              <w:rPr>
                <w:rFonts w:ascii="Times New Roman" w:eastAsia="標楷體" w:hAnsi="Times New Roman"/>
              </w:rPr>
              <w:t>_______________</w:t>
            </w:r>
            <w:r>
              <w:rPr>
                <w:rFonts w:ascii="Times New Roman" w:eastAsia="標楷體" w:hAnsi="Times New Roman"/>
              </w:rPr>
              <w:t>使用期限</w:t>
            </w:r>
            <w:r>
              <w:rPr>
                <w:rFonts w:ascii="Times New Roman" w:eastAsia="標楷體" w:hAnsi="Times New Roman"/>
              </w:rPr>
              <w:t>___________________</w:t>
            </w:r>
          </w:p>
          <w:p w14:paraId="1F2C379D" w14:textId="77777777" w:rsidR="00401786" w:rsidRDefault="00C64FB3" w:rsidP="002144EC">
            <w:pPr>
              <w:numPr>
                <w:ilvl w:val="0"/>
                <w:numId w:val="90"/>
              </w:numPr>
              <w:tabs>
                <w:tab w:val="left" w:pos="515"/>
              </w:tabs>
              <w:snapToGrid w:val="0"/>
              <w:spacing w:line="240" w:lineRule="atLeast"/>
              <w:ind w:left="941" w:hanging="709"/>
            </w:pPr>
            <w:r>
              <w:rPr>
                <w:rFonts w:ascii="Times New Roman" w:eastAsia="標楷體" w:hAnsi="Times New Roman"/>
              </w:rPr>
              <w:t>活動性疾病持續四</w:t>
            </w:r>
            <w:proofErr w:type="gramStart"/>
            <w:r>
              <w:rPr>
                <w:rFonts w:ascii="Times New Roman" w:eastAsia="標楷體" w:hAnsi="Times New Roman"/>
              </w:rPr>
              <w:t>週</w:t>
            </w:r>
            <w:proofErr w:type="gramEnd"/>
            <w:r>
              <w:rPr>
                <w:rFonts w:ascii="Times New Roman" w:eastAsia="標楷體" w:hAnsi="Times New Roman"/>
              </w:rPr>
              <w:t>以上。（需連續二次檢查</w:t>
            </w:r>
            <w:r>
              <w:rPr>
                <w:rFonts w:ascii="Times New Roman" w:eastAsia="標楷體" w:hAnsi="Times New Roman"/>
              </w:rPr>
              <w:t>BASDAI</w:t>
            </w:r>
            <w:r>
              <w:rPr>
                <w:rFonts w:ascii="Times New Roman" w:eastAsia="標楷體" w:hAnsi="Times New Roman"/>
              </w:rPr>
              <w:t>6</w:t>
            </w:r>
            <w:r>
              <w:rPr>
                <w:rFonts w:ascii="Times New Roman" w:eastAsia="標楷體" w:hAnsi="Times New Roman"/>
              </w:rPr>
              <w:t>、</w:t>
            </w:r>
            <w:r>
              <w:rPr>
                <w:rFonts w:ascii="Times New Roman" w:eastAsia="標楷體" w:hAnsi="Times New Roman"/>
              </w:rPr>
              <w:t>ESR&gt;28mm/1hr</w:t>
            </w:r>
            <w:r>
              <w:rPr>
                <w:rFonts w:ascii="Times New Roman" w:eastAsia="標楷體" w:hAnsi="Times New Roman"/>
              </w:rPr>
              <w:t>且</w:t>
            </w:r>
            <w:r>
              <w:rPr>
                <w:rFonts w:ascii="Times New Roman" w:eastAsia="標楷體" w:hAnsi="Times New Roman"/>
              </w:rPr>
              <w:t>CRP&gt;1mg/dL</w:t>
            </w:r>
            <w:r>
              <w:rPr>
                <w:rFonts w:ascii="Times New Roman" w:eastAsia="標楷體" w:hAnsi="Times New Roman"/>
              </w:rPr>
              <w:t>，且二次檢查之間隔需經過至少</w:t>
            </w:r>
            <w:r>
              <w:rPr>
                <w:rFonts w:ascii="Times New Roman" w:eastAsia="標楷體" w:hAnsi="Times New Roman"/>
              </w:rPr>
              <w:t>4</w:t>
            </w:r>
            <w:r>
              <w:rPr>
                <w:rFonts w:ascii="Times New Roman" w:eastAsia="標楷體" w:hAnsi="Times New Roman"/>
              </w:rPr>
              <w:t>周以上充分治療）</w:t>
            </w:r>
          </w:p>
          <w:p w14:paraId="7E5E39DA" w14:textId="77777777" w:rsidR="00401786" w:rsidRDefault="00C64FB3" w:rsidP="000E757E">
            <w:pPr>
              <w:snapToGrid w:val="0"/>
              <w:spacing w:line="240" w:lineRule="atLeast"/>
              <w:ind w:left="799" w:hanging="2"/>
            </w:pPr>
            <w:r>
              <w:rPr>
                <w:rFonts w:ascii="Times New Roman" w:eastAsia="標楷體" w:hAnsi="Times New Roman"/>
              </w:rPr>
              <w:t>評估日期</w:t>
            </w:r>
            <w:r>
              <w:rPr>
                <w:rFonts w:ascii="Times New Roman" w:eastAsia="標楷體" w:hAnsi="Times New Roman"/>
                <w:u w:val="single"/>
              </w:rPr>
              <w:t xml:space="preserve">　　</w:t>
            </w:r>
            <w:r>
              <w:rPr>
                <w:rFonts w:ascii="Times New Roman" w:eastAsia="標楷體" w:hAnsi="Times New Roman"/>
              </w:rPr>
              <w:t>年</w:t>
            </w:r>
            <w:r>
              <w:rPr>
                <w:rFonts w:ascii="Times New Roman" w:eastAsia="標楷體" w:hAnsi="Times New Roman"/>
                <w:u w:val="single"/>
              </w:rPr>
              <w:t xml:space="preserve">　　</w:t>
            </w:r>
            <w:r>
              <w:rPr>
                <w:rFonts w:ascii="Times New Roman" w:eastAsia="標楷體" w:hAnsi="Times New Roman"/>
              </w:rPr>
              <w:t>月</w:t>
            </w:r>
            <w:r>
              <w:rPr>
                <w:rFonts w:ascii="Times New Roman" w:eastAsia="標楷體" w:hAnsi="Times New Roman"/>
                <w:u w:val="single"/>
              </w:rPr>
              <w:t xml:space="preserve">　　</w:t>
            </w:r>
            <w:r>
              <w:rPr>
                <w:rFonts w:ascii="Times New Roman" w:eastAsia="標楷體" w:hAnsi="Times New Roman"/>
              </w:rPr>
              <w:t>日</w:t>
            </w:r>
            <w:r>
              <w:rPr>
                <w:rFonts w:ascii="Times New Roman" w:eastAsia="標楷體" w:hAnsi="Times New Roman"/>
                <w:u w:val="single"/>
              </w:rPr>
              <w:t xml:space="preserve">　　</w:t>
            </w:r>
            <w:r>
              <w:rPr>
                <w:rFonts w:ascii="Times New Roman" w:eastAsia="標楷體" w:hAnsi="Times New Roman"/>
              </w:rPr>
              <w:t>年</w:t>
            </w:r>
            <w:r>
              <w:rPr>
                <w:rFonts w:ascii="Times New Roman" w:eastAsia="標楷體" w:hAnsi="Times New Roman"/>
                <w:u w:val="single"/>
              </w:rPr>
              <w:t xml:space="preserve">　　</w:t>
            </w:r>
            <w:r>
              <w:rPr>
                <w:rFonts w:ascii="Times New Roman" w:eastAsia="標楷體" w:hAnsi="Times New Roman"/>
              </w:rPr>
              <w:t>月</w:t>
            </w:r>
            <w:r>
              <w:rPr>
                <w:rFonts w:ascii="Times New Roman" w:eastAsia="標楷體" w:hAnsi="Times New Roman"/>
                <w:u w:val="single"/>
              </w:rPr>
              <w:t xml:space="preserve">　　</w:t>
            </w:r>
            <w:r>
              <w:rPr>
                <w:rFonts w:ascii="Times New Roman" w:eastAsia="標楷體" w:hAnsi="Times New Roman"/>
              </w:rPr>
              <w:t>日</w:t>
            </w:r>
          </w:p>
          <w:p w14:paraId="7FDE6CC2" w14:textId="77777777" w:rsidR="00401786" w:rsidRDefault="00C64FB3" w:rsidP="000E757E">
            <w:pPr>
              <w:snapToGrid w:val="0"/>
              <w:spacing w:line="240" w:lineRule="atLeast"/>
              <w:ind w:left="799" w:hanging="2"/>
              <w:rPr>
                <w:rFonts w:ascii="Times New Roman" w:eastAsia="標楷體" w:hAnsi="Times New Roman"/>
              </w:rPr>
            </w:pPr>
            <w:r>
              <w:rPr>
                <w:rFonts w:ascii="Times New Roman" w:eastAsia="標楷體" w:hAnsi="Times New Roman"/>
              </w:rPr>
              <w:t>BASDAI</w:t>
            </w:r>
            <w:r>
              <w:rPr>
                <w:rFonts w:ascii="Times New Roman" w:eastAsia="標楷體" w:hAnsi="Times New Roman"/>
              </w:rPr>
              <w:t>分數</w:t>
            </w:r>
            <w:r>
              <w:rPr>
                <w:rFonts w:ascii="Times New Roman" w:eastAsia="標楷體" w:hAnsi="Times New Roman"/>
              </w:rPr>
              <w:t>_________________________________</w:t>
            </w:r>
          </w:p>
          <w:p w14:paraId="12FF4564" w14:textId="77777777" w:rsidR="00401786" w:rsidRDefault="00C64FB3" w:rsidP="000E757E">
            <w:pPr>
              <w:snapToGrid w:val="0"/>
              <w:spacing w:line="240" w:lineRule="atLeast"/>
              <w:ind w:left="799" w:hanging="2"/>
              <w:rPr>
                <w:rFonts w:ascii="Times New Roman" w:eastAsia="標楷體" w:hAnsi="Times New Roman"/>
              </w:rPr>
            </w:pPr>
            <w:proofErr w:type="gramStart"/>
            <w:r>
              <w:rPr>
                <w:rFonts w:ascii="Times New Roman" w:eastAsia="標楷體" w:hAnsi="Times New Roman"/>
              </w:rPr>
              <w:t>ESR(</w:t>
            </w:r>
            <w:proofErr w:type="gramEnd"/>
            <w:r>
              <w:rPr>
                <w:rFonts w:ascii="Times New Roman" w:eastAsia="標楷體" w:hAnsi="Times New Roman"/>
              </w:rPr>
              <w:t>mm/1hr)________________________________</w:t>
            </w:r>
          </w:p>
          <w:p w14:paraId="6615CAFE" w14:textId="77777777" w:rsidR="00401786" w:rsidRDefault="00C64FB3" w:rsidP="000E757E">
            <w:pPr>
              <w:snapToGrid w:val="0"/>
              <w:spacing w:line="240" w:lineRule="atLeast"/>
              <w:ind w:left="799" w:hanging="2"/>
              <w:rPr>
                <w:rFonts w:ascii="Times New Roman" w:eastAsia="標楷體" w:hAnsi="Times New Roman"/>
              </w:rPr>
            </w:pPr>
            <w:proofErr w:type="gramStart"/>
            <w:r>
              <w:rPr>
                <w:rFonts w:ascii="Times New Roman" w:eastAsia="標楷體" w:hAnsi="Times New Roman"/>
              </w:rPr>
              <w:t>CRP(</w:t>
            </w:r>
            <w:proofErr w:type="gramEnd"/>
            <w:r>
              <w:rPr>
                <w:rFonts w:ascii="Times New Roman" w:eastAsia="標楷體" w:hAnsi="Times New Roman"/>
              </w:rPr>
              <w:t>mg/dL)_________________________________</w:t>
            </w:r>
          </w:p>
          <w:p w14:paraId="6D195EEB" w14:textId="77777777" w:rsidR="00401786" w:rsidRDefault="00C64FB3" w:rsidP="002144EC">
            <w:pPr>
              <w:numPr>
                <w:ilvl w:val="0"/>
                <w:numId w:val="86"/>
              </w:numPr>
              <w:snapToGrid w:val="0"/>
              <w:spacing w:line="240" w:lineRule="atLeast"/>
            </w:pPr>
            <w:r>
              <w:rPr>
                <w:rFonts w:ascii="Times New Roman" w:eastAsia="標楷體" w:hAnsi="Times New Roman"/>
                <w:b/>
                <w:bCs/>
              </w:rPr>
              <w:t>符合</w:t>
            </w:r>
            <w:r>
              <w:rPr>
                <w:rFonts w:ascii="Times New Roman" w:eastAsia="標楷體" w:hAnsi="Times New Roman"/>
                <w:b/>
                <w:color w:val="292526"/>
              </w:rPr>
              <w:t>繼續使用之療效評估：</w:t>
            </w:r>
          </w:p>
          <w:p w14:paraId="015B45C0" w14:textId="77777777" w:rsidR="00401786" w:rsidRDefault="00C64FB3" w:rsidP="002144EC">
            <w:pPr>
              <w:numPr>
                <w:ilvl w:val="0"/>
                <w:numId w:val="91"/>
              </w:numPr>
              <w:snapToGrid w:val="0"/>
              <w:spacing w:line="240" w:lineRule="atLeast"/>
              <w:ind w:left="657" w:hanging="297"/>
            </w:pPr>
            <w:r>
              <w:rPr>
                <w:rFonts w:ascii="Times New Roman" w:eastAsia="標楷體" w:hAnsi="Times New Roman"/>
                <w:sz w:val="26"/>
                <w:szCs w:val="26"/>
              </w:rPr>
              <w:t>初次使用者治療</w:t>
            </w:r>
            <w:r>
              <w:rPr>
                <w:rFonts w:ascii="Times New Roman" w:eastAsia="標楷體" w:hAnsi="Times New Roman"/>
                <w:kern w:val="0"/>
                <w:sz w:val="26"/>
                <w:szCs w:val="26"/>
              </w:rPr>
              <w:t>12</w:t>
            </w:r>
            <w:proofErr w:type="gramStart"/>
            <w:r>
              <w:rPr>
                <w:rFonts w:ascii="Times New Roman" w:eastAsia="標楷體" w:hAnsi="Times New Roman"/>
                <w:kern w:val="0"/>
                <w:sz w:val="26"/>
                <w:szCs w:val="26"/>
              </w:rPr>
              <w:t>週</w:t>
            </w:r>
            <w:proofErr w:type="gramEnd"/>
            <w:r>
              <w:rPr>
                <w:rFonts w:ascii="Times New Roman" w:eastAsia="標楷體" w:hAnsi="Times New Roman"/>
                <w:sz w:val="26"/>
                <w:szCs w:val="26"/>
              </w:rPr>
              <w:t>評估</w:t>
            </w:r>
            <w:r>
              <w:rPr>
                <w:rFonts w:ascii="Times New Roman" w:eastAsia="標楷體" w:hAnsi="Times New Roman"/>
                <w:sz w:val="26"/>
                <w:szCs w:val="26"/>
              </w:rPr>
              <w:t>BASDAI</w:t>
            </w:r>
            <w:r>
              <w:rPr>
                <w:rFonts w:ascii="Times New Roman" w:eastAsia="標楷體" w:hAnsi="Times New Roman"/>
                <w:sz w:val="26"/>
                <w:szCs w:val="26"/>
              </w:rPr>
              <w:t>：與使用前比較，出現</w:t>
            </w:r>
            <w:r>
              <w:rPr>
                <w:rFonts w:ascii="Times New Roman" w:eastAsia="標楷體" w:hAnsi="Times New Roman"/>
                <w:sz w:val="26"/>
                <w:szCs w:val="26"/>
              </w:rPr>
              <w:t>50%</w:t>
            </w:r>
            <w:r>
              <w:rPr>
                <w:rFonts w:ascii="Times New Roman" w:eastAsia="標楷體" w:hAnsi="Times New Roman"/>
                <w:sz w:val="26"/>
                <w:szCs w:val="26"/>
              </w:rPr>
              <w:t>以上的進步或減少</w:t>
            </w:r>
            <w:r>
              <w:rPr>
                <w:rFonts w:ascii="Times New Roman" w:eastAsia="標楷體" w:hAnsi="Times New Roman"/>
                <w:sz w:val="26"/>
                <w:szCs w:val="26"/>
              </w:rPr>
              <w:t>2</w:t>
            </w:r>
            <w:r>
              <w:rPr>
                <w:rFonts w:ascii="Times New Roman" w:eastAsia="標楷體" w:hAnsi="Times New Roman"/>
                <w:sz w:val="26"/>
                <w:szCs w:val="26"/>
              </w:rPr>
              <w:t>分以上，方得繼續使用。</w:t>
            </w:r>
          </w:p>
          <w:p w14:paraId="258F8B47" w14:textId="77777777" w:rsidR="00401786" w:rsidRDefault="00C64FB3" w:rsidP="002144EC">
            <w:pPr>
              <w:numPr>
                <w:ilvl w:val="0"/>
                <w:numId w:val="91"/>
              </w:numPr>
              <w:snapToGrid w:val="0"/>
              <w:spacing w:line="240" w:lineRule="atLeast"/>
              <w:ind w:left="657" w:hanging="297"/>
            </w:pPr>
            <w:r>
              <w:rPr>
                <w:rFonts w:ascii="Times New Roman" w:eastAsia="標楷體" w:hAnsi="Times New Roman"/>
                <w:sz w:val="26"/>
                <w:szCs w:val="26"/>
              </w:rPr>
              <w:t>繼續使用者，</w:t>
            </w:r>
            <w:proofErr w:type="gramStart"/>
            <w:r>
              <w:rPr>
                <w:rFonts w:ascii="Times New Roman" w:eastAsia="標楷體" w:hAnsi="Times New Roman"/>
                <w:sz w:val="26"/>
                <w:szCs w:val="26"/>
              </w:rPr>
              <w:t>需</w:t>
            </w:r>
            <w:r>
              <w:rPr>
                <w:rFonts w:ascii="Times New Roman" w:eastAsia="標楷體" w:hAnsi="Times New Roman"/>
                <w:kern w:val="0"/>
                <w:sz w:val="26"/>
                <w:szCs w:val="26"/>
              </w:rPr>
              <w:t>每</w:t>
            </w:r>
            <w:r>
              <w:rPr>
                <w:rFonts w:ascii="Times New Roman" w:eastAsia="標楷體" w:hAnsi="Times New Roman"/>
                <w:kern w:val="0"/>
                <w:sz w:val="26"/>
                <w:szCs w:val="26"/>
              </w:rPr>
              <w:t>12</w:t>
            </w:r>
            <w:r>
              <w:rPr>
                <w:rFonts w:ascii="Times New Roman" w:eastAsia="標楷體" w:hAnsi="Times New Roman"/>
                <w:kern w:val="0"/>
                <w:sz w:val="26"/>
                <w:szCs w:val="26"/>
              </w:rPr>
              <w:t>週</w:t>
            </w:r>
            <w:proofErr w:type="gramEnd"/>
            <w:r>
              <w:rPr>
                <w:rFonts w:ascii="Times New Roman" w:eastAsia="標楷體" w:hAnsi="Times New Roman"/>
                <w:kern w:val="0"/>
                <w:sz w:val="26"/>
                <w:szCs w:val="26"/>
              </w:rPr>
              <w:t>評估一次，再次提出申請續用</w:t>
            </w:r>
            <w:r>
              <w:rPr>
                <w:rFonts w:ascii="Times New Roman" w:eastAsia="標楷體" w:hAnsi="Times New Roman"/>
                <w:sz w:val="26"/>
                <w:szCs w:val="26"/>
              </w:rPr>
              <w:t>。</w:t>
            </w:r>
          </w:p>
          <w:p w14:paraId="0EDEE2F0" w14:textId="77777777" w:rsidR="00401786" w:rsidRDefault="00C64FB3" w:rsidP="000E757E">
            <w:pPr>
              <w:snapToGrid w:val="0"/>
              <w:spacing w:line="240" w:lineRule="atLeast"/>
              <w:ind w:left="372" w:hanging="2"/>
            </w:pPr>
            <w:r>
              <w:rPr>
                <w:rFonts w:ascii="Times New Roman" w:eastAsia="標楷體" w:hAnsi="Times New Roman"/>
                <w:kern w:val="0"/>
                <w:sz w:val="26"/>
                <w:szCs w:val="26"/>
              </w:rPr>
              <w:t>申請續用者</w:t>
            </w:r>
            <w:r>
              <w:rPr>
                <w:rFonts w:ascii="Times New Roman" w:eastAsia="標楷體" w:hAnsi="Times New Roman"/>
                <w:sz w:val="26"/>
                <w:szCs w:val="26"/>
              </w:rPr>
              <w:t>，</w:t>
            </w:r>
            <w:r>
              <w:rPr>
                <w:rFonts w:ascii="Times New Roman" w:eastAsia="標楷體" w:hAnsi="Times New Roman"/>
                <w:kern w:val="0"/>
                <w:sz w:val="26"/>
                <w:szCs w:val="26"/>
              </w:rPr>
              <w:t>請填寫初次</w:t>
            </w:r>
            <w:r>
              <w:rPr>
                <w:rFonts w:ascii="Times New Roman" w:eastAsia="標楷體" w:hAnsi="Times New Roman"/>
                <w:sz w:val="26"/>
                <w:szCs w:val="26"/>
              </w:rPr>
              <w:t>使用</w:t>
            </w:r>
            <w:r>
              <w:rPr>
                <w:rFonts w:eastAsia="標楷體"/>
                <w:bCs/>
                <w:sz w:val="26"/>
                <w:szCs w:val="26"/>
              </w:rPr>
              <w:t>治療藥名</w:t>
            </w:r>
            <w:r>
              <w:rPr>
                <w:rFonts w:eastAsia="標楷體"/>
                <w:bCs/>
                <w:sz w:val="26"/>
                <w:szCs w:val="26"/>
                <w:u w:val="single"/>
              </w:rPr>
              <w:t>____________</w:t>
            </w:r>
            <w:r>
              <w:rPr>
                <w:rFonts w:ascii="Times New Roman" w:eastAsia="標楷體" w:hAnsi="Times New Roman"/>
                <w:sz w:val="26"/>
                <w:szCs w:val="26"/>
              </w:rPr>
              <w:t>前之</w:t>
            </w:r>
            <w:proofErr w:type="gramStart"/>
            <w:r>
              <w:rPr>
                <w:rFonts w:ascii="Times New Roman" w:eastAsia="標楷體" w:hAnsi="Times New Roman"/>
                <w:sz w:val="26"/>
                <w:szCs w:val="26"/>
              </w:rPr>
              <w:t>BASDAI</w:t>
            </w:r>
            <w:r>
              <w:rPr>
                <w:rFonts w:ascii="Times New Roman" w:eastAsia="標楷體" w:hAnsi="Times New Roman"/>
                <w:sz w:val="26"/>
                <w:szCs w:val="26"/>
              </w:rPr>
              <w:t>分數</w:t>
            </w:r>
            <w:r>
              <w:rPr>
                <w:rFonts w:ascii="Times New Roman" w:eastAsia="標楷體" w:hAnsi="Times New Roman"/>
                <w:sz w:val="26"/>
                <w:szCs w:val="26"/>
              </w:rPr>
              <w:t>BASDAI</w:t>
            </w:r>
            <w:r>
              <w:rPr>
                <w:rFonts w:ascii="Times New Roman" w:eastAsia="標楷體" w:hAnsi="Times New Roman"/>
                <w:sz w:val="26"/>
                <w:szCs w:val="26"/>
              </w:rPr>
              <w:t>分數</w:t>
            </w:r>
            <w:proofErr w:type="gramEnd"/>
            <w:r>
              <w:rPr>
                <w:rFonts w:ascii="Times New Roman" w:eastAsia="標楷體" w:hAnsi="Times New Roman"/>
                <w:sz w:val="26"/>
                <w:szCs w:val="26"/>
              </w:rPr>
              <w:t>：</w:t>
            </w:r>
            <w:r>
              <w:rPr>
                <w:rFonts w:ascii="Times New Roman" w:eastAsia="標楷體" w:hAnsi="Times New Roman"/>
                <w:sz w:val="26"/>
                <w:szCs w:val="26"/>
              </w:rPr>
              <w:t>_______(</w:t>
            </w:r>
            <w:r>
              <w:rPr>
                <w:rFonts w:ascii="Times New Roman" w:eastAsia="標楷體" w:hAnsi="Times New Roman"/>
                <w:sz w:val="26"/>
                <w:szCs w:val="26"/>
              </w:rPr>
              <w:t>評估日期：</w:t>
            </w:r>
            <w:r>
              <w:rPr>
                <w:rFonts w:ascii="Times New Roman" w:eastAsia="標楷體" w:hAnsi="Times New Roman"/>
                <w:sz w:val="26"/>
                <w:szCs w:val="26"/>
                <w:u w:val="single"/>
              </w:rPr>
              <w:t xml:space="preserve">　　</w:t>
            </w:r>
            <w:r>
              <w:rPr>
                <w:rFonts w:ascii="Times New Roman" w:eastAsia="標楷體" w:hAnsi="Times New Roman"/>
                <w:sz w:val="26"/>
                <w:szCs w:val="26"/>
              </w:rPr>
              <w:t>年</w:t>
            </w:r>
            <w:r>
              <w:rPr>
                <w:rFonts w:ascii="Times New Roman" w:eastAsia="標楷體" w:hAnsi="Times New Roman"/>
                <w:sz w:val="26"/>
                <w:szCs w:val="26"/>
                <w:u w:val="single"/>
              </w:rPr>
              <w:t xml:space="preserve">　　</w:t>
            </w:r>
            <w:r>
              <w:rPr>
                <w:rFonts w:ascii="Times New Roman" w:eastAsia="標楷體" w:hAnsi="Times New Roman"/>
                <w:sz w:val="26"/>
                <w:szCs w:val="26"/>
              </w:rPr>
              <w:t>月</w:t>
            </w:r>
            <w:r>
              <w:rPr>
                <w:rFonts w:ascii="Times New Roman" w:eastAsia="標楷體" w:hAnsi="Times New Roman"/>
                <w:sz w:val="26"/>
                <w:szCs w:val="26"/>
                <w:u w:val="single"/>
              </w:rPr>
              <w:t xml:space="preserve">　　</w:t>
            </w:r>
            <w:r>
              <w:rPr>
                <w:rFonts w:ascii="Times New Roman" w:eastAsia="標楷體" w:hAnsi="Times New Roman"/>
                <w:sz w:val="26"/>
                <w:szCs w:val="26"/>
              </w:rPr>
              <w:t>日</w:t>
            </w:r>
            <w:r>
              <w:rPr>
                <w:rFonts w:ascii="Times New Roman" w:eastAsia="標楷體" w:hAnsi="Times New Roman"/>
                <w:sz w:val="26"/>
                <w:szCs w:val="26"/>
              </w:rPr>
              <w:t>)</w:t>
            </w:r>
          </w:p>
        </w:tc>
      </w:tr>
    </w:tbl>
    <w:p w14:paraId="0BABDDB9" w14:textId="77777777" w:rsidR="00401786" w:rsidRDefault="00401786" w:rsidP="000E757E">
      <w:pPr>
        <w:snapToGrid w:val="0"/>
        <w:spacing w:line="240" w:lineRule="atLeast"/>
        <w:ind w:left="-628" w:right="-704"/>
        <w:jc w:val="center"/>
        <w:rPr>
          <w:rFonts w:ascii="標楷體" w:eastAsia="標楷體" w:hAnsi="標楷體"/>
          <w:sz w:val="28"/>
          <w:szCs w:val="28"/>
        </w:rPr>
      </w:pPr>
    </w:p>
    <w:p w14:paraId="5B65C36E" w14:textId="77777777" w:rsidR="00401786" w:rsidRDefault="00401786" w:rsidP="000E757E">
      <w:pPr>
        <w:snapToGrid w:val="0"/>
        <w:spacing w:line="240" w:lineRule="atLeast"/>
        <w:ind w:left="-628" w:right="-704"/>
        <w:jc w:val="center"/>
        <w:rPr>
          <w:rFonts w:ascii="標楷體" w:eastAsia="標楷體" w:hAnsi="標楷體"/>
          <w:szCs w:val="24"/>
        </w:rPr>
      </w:pPr>
    </w:p>
    <w:p w14:paraId="6A074483" w14:textId="77777777" w:rsidR="00401786" w:rsidRDefault="00401786" w:rsidP="000E757E">
      <w:pPr>
        <w:snapToGrid w:val="0"/>
        <w:spacing w:line="240" w:lineRule="atLeast"/>
        <w:ind w:left="-628" w:right="-704"/>
        <w:jc w:val="center"/>
        <w:rPr>
          <w:rFonts w:ascii="標楷體" w:eastAsia="標楷體" w:hAnsi="標楷體"/>
          <w:szCs w:val="24"/>
        </w:rPr>
      </w:pPr>
    </w:p>
    <w:p w14:paraId="33DC4D2D" w14:textId="77777777" w:rsidR="00401786" w:rsidRDefault="00401786" w:rsidP="000E757E">
      <w:pPr>
        <w:pageBreakBefore/>
        <w:widowControl/>
        <w:suppressAutoHyphens w:val="0"/>
        <w:spacing w:line="240" w:lineRule="atLeast"/>
        <w:rPr>
          <w:rFonts w:ascii="標楷體" w:eastAsia="標楷體" w:hAnsi="標楷體"/>
          <w:sz w:val="28"/>
          <w:szCs w:val="28"/>
        </w:rPr>
      </w:pPr>
    </w:p>
    <w:p w14:paraId="25898D4B" w14:textId="77777777" w:rsidR="00401786" w:rsidRPr="00CD29B3" w:rsidRDefault="00C64FB3" w:rsidP="00CD29B3">
      <w:pPr>
        <w:snapToGrid w:val="0"/>
        <w:spacing w:line="240" w:lineRule="atLeast"/>
        <w:ind w:left="3" w:right="-352" w:hanging="3"/>
        <w:rPr>
          <w:rFonts w:eastAsia="標楷體"/>
          <w:b/>
          <w:bCs/>
          <w:color w:val="000000"/>
          <w:szCs w:val="24"/>
        </w:rPr>
      </w:pPr>
      <w:r w:rsidRPr="00CD29B3">
        <w:rPr>
          <w:rFonts w:eastAsia="標楷體"/>
          <w:b/>
          <w:bCs/>
          <w:color w:val="000000"/>
          <w:szCs w:val="24"/>
        </w:rPr>
        <w:t>附表二十二之四：全民健康保險</w:t>
      </w:r>
      <w:proofErr w:type="gramStart"/>
      <w:r w:rsidRPr="00CD29B3">
        <w:rPr>
          <w:rFonts w:eastAsia="標楷體"/>
          <w:b/>
          <w:bCs/>
          <w:color w:val="000000"/>
          <w:szCs w:val="24"/>
        </w:rPr>
        <w:t>乾癬性脊椎</w:t>
      </w:r>
      <w:proofErr w:type="gramEnd"/>
      <w:r w:rsidRPr="00CD29B3">
        <w:rPr>
          <w:rFonts w:eastAsia="標楷體"/>
          <w:b/>
          <w:bCs/>
          <w:color w:val="000000"/>
          <w:szCs w:val="24"/>
        </w:rPr>
        <w:t>病變使用生物製劑申請表</w:t>
      </w:r>
      <w:r w:rsidRPr="00CD29B3">
        <w:rPr>
          <w:rFonts w:eastAsia="標楷體"/>
          <w:b/>
          <w:bCs/>
          <w:color w:val="000000"/>
          <w:szCs w:val="24"/>
        </w:rPr>
        <w:t>(</w:t>
      </w:r>
      <w:r w:rsidRPr="00CD29B3">
        <w:rPr>
          <w:rFonts w:eastAsia="標楷體"/>
          <w:b/>
          <w:bCs/>
          <w:color w:val="000000"/>
          <w:szCs w:val="24"/>
        </w:rPr>
        <w:t>第二頁</w:t>
      </w:r>
      <w:r w:rsidRPr="00CD29B3">
        <w:rPr>
          <w:rFonts w:eastAsia="標楷體"/>
          <w:b/>
          <w:bCs/>
          <w:color w:val="000000"/>
          <w:szCs w:val="24"/>
        </w:rPr>
        <w:t>)</w:t>
      </w:r>
    </w:p>
    <w:tbl>
      <w:tblPr>
        <w:tblW w:w="9536" w:type="dxa"/>
        <w:tblInd w:w="12" w:type="dxa"/>
        <w:tblCellMar>
          <w:left w:w="10" w:type="dxa"/>
          <w:right w:w="10" w:type="dxa"/>
        </w:tblCellMar>
        <w:tblLook w:val="0000" w:firstRow="0" w:lastRow="0" w:firstColumn="0" w:lastColumn="0" w:noHBand="0" w:noVBand="0"/>
      </w:tblPr>
      <w:tblGrid>
        <w:gridCol w:w="656"/>
        <w:gridCol w:w="1320"/>
        <w:gridCol w:w="4080"/>
        <w:gridCol w:w="3480"/>
      </w:tblGrid>
      <w:tr w:rsidR="00401786" w14:paraId="3B8A793F" w14:textId="77777777">
        <w:trPr>
          <w:cantSplit/>
          <w:trHeight w:val="281"/>
        </w:trPr>
        <w:tc>
          <w:tcPr>
            <w:tcW w:w="9536"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28FE36D6" w14:textId="77777777" w:rsidR="00401786" w:rsidRDefault="00C64FB3" w:rsidP="000E757E">
            <w:pPr>
              <w:snapToGrid w:val="0"/>
              <w:spacing w:before="180" w:line="240" w:lineRule="atLeast"/>
              <w:ind w:left="120"/>
            </w:pPr>
            <w:r>
              <w:rPr>
                <w:rFonts w:ascii="Webdings" w:eastAsia="Webdings" w:hAnsi="Webdings" w:cs="Webdings"/>
                <w:color w:val="000000"/>
              </w:rPr>
              <w:t></w:t>
            </w:r>
            <w:r>
              <w:rPr>
                <w:rFonts w:ascii="標楷體" w:eastAsia="標楷體" w:hAnsi="標楷體"/>
                <w:b/>
              </w:rPr>
              <w:t xml:space="preserve"> 無「需排除或停止生物製劑使用之情形」</w:t>
            </w:r>
          </w:p>
        </w:tc>
      </w:tr>
      <w:tr w:rsidR="00401786" w14:paraId="6AD7C657"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A5A46FE"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6267B4"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4E31074F"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9F22DE7" w14:textId="77777777" w:rsidR="00401786" w:rsidRDefault="00C64FB3" w:rsidP="000E757E">
            <w:pPr>
              <w:snapToGrid w:val="0"/>
              <w:spacing w:line="240" w:lineRule="atLeast"/>
              <w:textAlignment w:val="center"/>
            </w:pPr>
            <w:r>
              <w:rPr>
                <w:rFonts w:ascii="標楷體" w:eastAsia="標楷體" w:hAnsi="標楷體"/>
              </w:rPr>
              <w:t>是否有藥名_____________仿單記載之禁忌情形。</w:t>
            </w:r>
          </w:p>
        </w:tc>
      </w:tr>
      <w:tr w:rsidR="00401786" w14:paraId="0C5F16B5"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2E0E61F"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E93078"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64F53326"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DB8248E"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婦女是否正在懷孕</w:t>
            </w:r>
            <w:proofErr w:type="gramStart"/>
            <w:r>
              <w:rPr>
                <w:rFonts w:ascii="標楷體" w:eastAsia="標楷體" w:hAnsi="標楷體"/>
              </w:rPr>
              <w:t>或授乳</w:t>
            </w:r>
            <w:proofErr w:type="gramEnd"/>
            <w:r>
              <w:rPr>
                <w:rFonts w:ascii="標楷體" w:eastAsia="標楷體" w:hAnsi="標楷體"/>
              </w:rPr>
              <w:t>。</w:t>
            </w:r>
          </w:p>
        </w:tc>
      </w:tr>
      <w:tr w:rsidR="00401786" w14:paraId="460B4F46"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6F6DD4B"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946149"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5264FB98"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714DA67"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患活動性感染之疾病</w:t>
            </w:r>
            <w:r>
              <w:rPr>
                <w:rFonts w:ascii="標楷體" w:eastAsia="標楷體" w:hAnsi="標楷體"/>
                <w:bCs/>
              </w:rPr>
              <w:t>或有</w:t>
            </w:r>
            <w:proofErr w:type="gramStart"/>
            <w:r>
              <w:rPr>
                <w:rFonts w:ascii="標楷體" w:eastAsia="標楷體" w:hAnsi="標楷體"/>
                <w:bCs/>
              </w:rPr>
              <w:t>Ｂ</w:t>
            </w:r>
            <w:proofErr w:type="gramEnd"/>
            <w:r>
              <w:rPr>
                <w:rFonts w:ascii="標楷體" w:eastAsia="標楷體" w:hAnsi="標楷體"/>
                <w:bCs/>
              </w:rPr>
              <w:t>肝、</w:t>
            </w:r>
            <w:proofErr w:type="gramStart"/>
            <w:r>
              <w:rPr>
                <w:rFonts w:ascii="標楷體" w:eastAsia="標楷體" w:hAnsi="標楷體"/>
                <w:bCs/>
              </w:rPr>
              <w:t>Ｃ</w:t>
            </w:r>
            <w:proofErr w:type="gramEnd"/>
            <w:r>
              <w:rPr>
                <w:rFonts w:ascii="標楷體" w:eastAsia="標楷體" w:hAnsi="標楷體"/>
                <w:bCs/>
              </w:rPr>
              <w:t>肝活動性感染或結核病</w:t>
            </w:r>
            <w:r>
              <w:rPr>
                <w:rFonts w:ascii="標楷體" w:eastAsia="標楷體" w:hAnsi="標楷體"/>
              </w:rPr>
              <w:t>。</w:t>
            </w:r>
          </w:p>
        </w:tc>
      </w:tr>
      <w:tr w:rsidR="00401786" w14:paraId="19D377A3"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AED1090"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A13FE0"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4C1C4CDD"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4BDA7FA"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病患是否具有高度感染機會之情形，其中包括：</w:t>
            </w:r>
          </w:p>
          <w:p w14:paraId="2AE21F07"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3FCD171A" w14:textId="77777777" w:rsidR="00401786" w:rsidRDefault="00C64FB3" w:rsidP="000E757E">
            <w:pPr>
              <w:snapToGrid w:val="0"/>
              <w:spacing w:line="240" w:lineRule="atLeast"/>
              <w:ind w:left="290" w:hanging="290"/>
              <w:textAlignment w:val="center"/>
              <w:rPr>
                <w:rFonts w:ascii="標楷體" w:eastAsia="標楷體" w:hAnsi="標楷體"/>
              </w:rPr>
            </w:pPr>
            <w:r>
              <w:rPr>
                <w:rFonts w:ascii="標楷體" w:eastAsia="標楷體" w:hAnsi="標楷體"/>
              </w:rPr>
              <w:t>2.未經完整治療之結核病的病患（包括潛伏結核感染治療未達四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p w14:paraId="39FC05D4"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3.過去12個月內曾</w:t>
            </w:r>
            <w:proofErr w:type="gramStart"/>
            <w:r>
              <w:rPr>
                <w:rFonts w:ascii="標楷體" w:eastAsia="標楷體" w:hAnsi="標楷體"/>
              </w:rPr>
              <w:t>罹</w:t>
            </w:r>
            <w:proofErr w:type="gramEnd"/>
            <w:r>
              <w:rPr>
                <w:rFonts w:ascii="標楷體" w:eastAsia="標楷體" w:hAnsi="標楷體"/>
              </w:rPr>
              <w:t>患感染性關節炎者。</w:t>
            </w:r>
          </w:p>
          <w:p w14:paraId="14787780" w14:textId="77777777" w:rsidR="00401786" w:rsidRDefault="00C64FB3" w:rsidP="000E757E">
            <w:pPr>
              <w:snapToGrid w:val="0"/>
              <w:spacing w:line="240" w:lineRule="atLeast"/>
              <w:ind w:left="240" w:hanging="240"/>
              <w:textAlignment w:val="center"/>
            </w:pPr>
            <w:r>
              <w:rPr>
                <w:rFonts w:ascii="標楷體" w:eastAsia="標楷體" w:hAnsi="標楷體"/>
              </w:rPr>
              <w:t>4.曾有</w:t>
            </w:r>
            <w:r>
              <w:rPr>
                <w:rFonts w:ascii="標楷體" w:eastAsia="標楷體" w:hAnsi="標楷體"/>
                <w:bCs/>
              </w:rPr>
              <w:t>人工關節感染，若該人工關節未去除前，不可使用。</w:t>
            </w:r>
          </w:p>
          <w:p w14:paraId="6C8D2909"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5.頑固性或復發性的胸腔感染疾病。</w:t>
            </w:r>
          </w:p>
          <w:p w14:paraId="7E6C3FAB"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6.具有留置導尿管之情形。</w:t>
            </w:r>
          </w:p>
        </w:tc>
      </w:tr>
      <w:tr w:rsidR="00401786" w14:paraId="58578ECF"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0A16D13"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E248F8"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23162E7C"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501FD1A"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proofErr w:type="gramStart"/>
            <w:r>
              <w:rPr>
                <w:rFonts w:ascii="標楷體" w:eastAsia="標楷體" w:hAnsi="標楷體"/>
              </w:rPr>
              <w:t>惡性腫瘤或癌前</w:t>
            </w:r>
            <w:proofErr w:type="gramEnd"/>
            <w:r>
              <w:rPr>
                <w:rFonts w:ascii="標楷體" w:eastAsia="標楷體" w:hAnsi="標楷體"/>
              </w:rPr>
              <w:t>狀態之腫瘤</w:t>
            </w:r>
          </w:p>
        </w:tc>
      </w:tr>
      <w:tr w:rsidR="00401786" w14:paraId="48E58066"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0E762A"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D7F05D"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4A2D0816"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C9C07D6"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r>
              <w:rPr>
                <w:rFonts w:ascii="標楷體" w:eastAsia="標楷體" w:hAnsi="標楷體"/>
                <w:bCs/>
              </w:rPr>
              <w:t>狼瘡或</w:t>
            </w:r>
            <w:r>
              <w:rPr>
                <w:rFonts w:ascii="標楷體" w:eastAsia="標楷體" w:hAnsi="標楷體"/>
              </w:rPr>
              <w:t>多發性硬化症(</w:t>
            </w:r>
            <w:proofErr w:type="spellStart"/>
            <w:r>
              <w:rPr>
                <w:rFonts w:ascii="標楷體" w:eastAsia="標楷體" w:hAnsi="標楷體"/>
              </w:rPr>
              <w:t>multiplesclerosis</w:t>
            </w:r>
            <w:proofErr w:type="spellEnd"/>
            <w:r>
              <w:rPr>
                <w:rFonts w:ascii="標楷體" w:eastAsia="標楷體" w:hAnsi="標楷體"/>
              </w:rPr>
              <w:t>)</w:t>
            </w:r>
          </w:p>
        </w:tc>
      </w:tr>
      <w:tr w:rsidR="00401786" w14:paraId="577A65D7" w14:textId="77777777">
        <w:trPr>
          <w:cantSplit/>
          <w:trHeight w:val="400"/>
        </w:trPr>
        <w:tc>
          <w:tcPr>
            <w:tcW w:w="656"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277B92DC"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4ABDD88A"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7028FF12" w14:textId="77777777" w:rsidR="00401786"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FCE46AE" w14:textId="77777777" w:rsidR="00401786" w:rsidRDefault="00C64FB3" w:rsidP="000E757E">
            <w:pPr>
              <w:snapToGrid w:val="0"/>
              <w:spacing w:line="240" w:lineRule="atLeast"/>
              <w:textAlignment w:val="center"/>
            </w:pPr>
            <w:r>
              <w:rPr>
                <w:rFonts w:ascii="標楷體" w:eastAsia="標楷體" w:hAnsi="標楷體"/>
              </w:rPr>
              <w:t>使用藥名_____________發生懷孕或不良事件(包括：惡性腫瘤、該藥物引起的嚴重毒性、嚴重的感染性疾病)</w:t>
            </w:r>
          </w:p>
        </w:tc>
      </w:tr>
      <w:tr w:rsidR="00401786" w14:paraId="6DB5D787" w14:textId="77777777">
        <w:trPr>
          <w:cantSplit/>
          <w:trHeight w:val="1048"/>
        </w:trPr>
        <w:tc>
          <w:tcPr>
            <w:tcW w:w="6056" w:type="dxa"/>
            <w:gridSpan w:val="3"/>
            <w:shd w:val="clear" w:color="auto" w:fill="auto"/>
            <w:tcMar>
              <w:top w:w="0" w:type="dxa"/>
              <w:left w:w="28" w:type="dxa"/>
              <w:bottom w:w="0" w:type="dxa"/>
              <w:right w:w="28" w:type="dxa"/>
            </w:tcMar>
          </w:tcPr>
          <w:p w14:paraId="0DA1C0DA" w14:textId="77777777" w:rsidR="00401786" w:rsidRDefault="00401786" w:rsidP="000E757E">
            <w:pPr>
              <w:snapToGrid w:val="0"/>
              <w:spacing w:line="240" w:lineRule="atLeast"/>
              <w:textAlignment w:val="center"/>
              <w:rPr>
                <w:rFonts w:ascii="標楷體" w:eastAsia="標楷體" w:hAnsi="標楷體"/>
              </w:rPr>
            </w:pPr>
          </w:p>
          <w:p w14:paraId="11701336" w14:textId="77777777" w:rsidR="00401786" w:rsidRDefault="00401786" w:rsidP="000E757E">
            <w:pPr>
              <w:snapToGrid w:val="0"/>
              <w:spacing w:line="240" w:lineRule="atLeast"/>
              <w:textAlignment w:val="center"/>
              <w:rPr>
                <w:rFonts w:ascii="標楷體" w:eastAsia="標楷體" w:hAnsi="標楷體"/>
              </w:rPr>
            </w:pPr>
          </w:p>
          <w:p w14:paraId="139DB1F2" w14:textId="77777777" w:rsidR="00401786" w:rsidRDefault="00C64FB3" w:rsidP="000E757E">
            <w:pPr>
              <w:snapToGrid w:val="0"/>
              <w:spacing w:line="240" w:lineRule="atLeast"/>
              <w:textAlignment w:val="center"/>
            </w:pPr>
            <w:r>
              <w:rPr>
                <w:rFonts w:ascii="標楷體" w:eastAsia="標楷體" w:hAnsi="標楷體"/>
              </w:rPr>
              <w:t>申請醫師（簽名蓋章）：</w:t>
            </w:r>
            <w:r>
              <w:rPr>
                <w:rFonts w:ascii="標楷體" w:eastAsia="標楷體" w:hAnsi="標楷體"/>
                <w:u w:val="single"/>
              </w:rPr>
              <w:t xml:space="preserve">　　　　　　　</w:t>
            </w:r>
          </w:p>
          <w:p w14:paraId="23C054A7" w14:textId="77777777" w:rsidR="00401786" w:rsidRDefault="00C64FB3" w:rsidP="000E757E">
            <w:pPr>
              <w:snapToGrid w:val="0"/>
              <w:spacing w:line="240" w:lineRule="atLeast"/>
              <w:textAlignment w:val="center"/>
            </w:pPr>
            <w:r>
              <w:rPr>
                <w:rFonts w:ascii="標楷體" w:eastAsia="標楷體" w:hAnsi="標楷體"/>
              </w:rPr>
              <w:t>內科專科醫師證書：內專字第</w:t>
            </w:r>
            <w:r>
              <w:rPr>
                <w:rFonts w:ascii="標楷體" w:eastAsia="標楷體" w:hAnsi="標楷體"/>
                <w:u w:val="single"/>
              </w:rPr>
              <w:t xml:space="preserve">　　　　　</w:t>
            </w:r>
            <w:r>
              <w:rPr>
                <w:rFonts w:ascii="標楷體" w:eastAsia="標楷體" w:hAnsi="標楷體"/>
              </w:rPr>
              <w:t>號</w:t>
            </w:r>
          </w:p>
          <w:p w14:paraId="247C45F0" w14:textId="77777777" w:rsidR="00401786" w:rsidRDefault="00C64FB3" w:rsidP="000E757E">
            <w:pPr>
              <w:tabs>
                <w:tab w:val="left" w:pos="2912"/>
              </w:tabs>
              <w:snapToGrid w:val="0"/>
              <w:spacing w:line="240" w:lineRule="atLeast"/>
              <w:textAlignment w:val="center"/>
            </w:pPr>
            <w:r>
              <w:rPr>
                <w:rFonts w:ascii="標楷體" w:eastAsia="標楷體" w:hAnsi="標楷體"/>
              </w:rPr>
              <w:t>風濕病專科醫師證書：中</w:t>
            </w:r>
            <w:proofErr w:type="gramStart"/>
            <w:r>
              <w:rPr>
                <w:rFonts w:ascii="標楷體" w:eastAsia="標楷體" w:hAnsi="標楷體"/>
              </w:rPr>
              <w:t>僂</w:t>
            </w:r>
            <w:proofErr w:type="gramEnd"/>
            <w:r>
              <w:rPr>
                <w:rFonts w:ascii="標楷體" w:eastAsia="標楷體" w:hAnsi="標楷體"/>
              </w:rPr>
              <w:t>字第</w:t>
            </w:r>
            <w:r>
              <w:rPr>
                <w:rFonts w:ascii="標楷體" w:eastAsia="標楷體" w:hAnsi="標楷體"/>
                <w:u w:val="single"/>
              </w:rPr>
              <w:t xml:space="preserve">　　　　　　</w:t>
            </w:r>
            <w:r>
              <w:rPr>
                <w:rFonts w:ascii="標楷體" w:eastAsia="標楷體" w:hAnsi="標楷體"/>
              </w:rPr>
              <w:t>號</w:t>
            </w:r>
          </w:p>
          <w:p w14:paraId="4E93D5AA" w14:textId="77777777" w:rsidR="00401786" w:rsidRDefault="00C64FB3" w:rsidP="000E757E">
            <w:pPr>
              <w:tabs>
                <w:tab w:val="left" w:pos="2912"/>
              </w:tabs>
              <w:snapToGrid w:val="0"/>
              <w:spacing w:line="240" w:lineRule="atLeast"/>
              <w:textAlignment w:val="center"/>
            </w:pPr>
            <w:r>
              <w:rPr>
                <w:rFonts w:ascii="標楷體" w:eastAsia="標楷體" w:hAnsi="標楷體"/>
              </w:rPr>
              <w:t>免疫專科醫師證書：</w:t>
            </w:r>
            <w:proofErr w:type="gramStart"/>
            <w:r>
              <w:rPr>
                <w:rFonts w:ascii="標楷體" w:eastAsia="標楷體" w:hAnsi="標楷體"/>
              </w:rPr>
              <w:t>中免專字</w:t>
            </w:r>
            <w:proofErr w:type="gramEnd"/>
            <w:r>
              <w:rPr>
                <w:rFonts w:ascii="標楷體" w:eastAsia="標楷體" w:hAnsi="標楷體"/>
              </w:rPr>
              <w:t>第</w:t>
            </w:r>
            <w:r>
              <w:rPr>
                <w:rFonts w:ascii="標楷體" w:eastAsia="標楷體" w:hAnsi="標楷體"/>
                <w:u w:val="single"/>
              </w:rPr>
              <w:t xml:space="preserve">　　　　　　</w:t>
            </w:r>
            <w:r>
              <w:rPr>
                <w:rFonts w:ascii="標楷體" w:eastAsia="標楷體" w:hAnsi="標楷體"/>
              </w:rPr>
              <w:t>號</w:t>
            </w:r>
          </w:p>
        </w:tc>
        <w:tc>
          <w:tcPr>
            <w:tcW w:w="3480" w:type="dxa"/>
            <w:shd w:val="clear" w:color="auto" w:fill="auto"/>
            <w:tcMar>
              <w:top w:w="0" w:type="dxa"/>
              <w:left w:w="28" w:type="dxa"/>
              <w:bottom w:w="0" w:type="dxa"/>
              <w:right w:w="28" w:type="dxa"/>
            </w:tcMar>
          </w:tcPr>
          <w:p w14:paraId="1878AD8E" w14:textId="77777777" w:rsidR="00401786" w:rsidRDefault="00401786" w:rsidP="000E757E">
            <w:pPr>
              <w:snapToGrid w:val="0"/>
              <w:spacing w:line="240" w:lineRule="atLeast"/>
              <w:textAlignment w:val="center"/>
              <w:rPr>
                <w:rFonts w:ascii="標楷體" w:eastAsia="標楷體" w:hAnsi="標楷體"/>
              </w:rPr>
            </w:pPr>
          </w:p>
          <w:p w14:paraId="68A6EF69" w14:textId="77777777" w:rsidR="00401786" w:rsidRDefault="00401786" w:rsidP="000E757E">
            <w:pPr>
              <w:snapToGrid w:val="0"/>
              <w:spacing w:line="240" w:lineRule="atLeast"/>
              <w:textAlignment w:val="center"/>
              <w:rPr>
                <w:rFonts w:ascii="標楷體" w:eastAsia="標楷體" w:hAnsi="標楷體"/>
              </w:rPr>
            </w:pPr>
          </w:p>
          <w:p w14:paraId="673B6C47" w14:textId="77777777" w:rsidR="00401786" w:rsidRDefault="00C64FB3" w:rsidP="000E757E">
            <w:pPr>
              <w:snapToGrid w:val="0"/>
              <w:spacing w:line="240" w:lineRule="atLeast"/>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tc>
      </w:tr>
    </w:tbl>
    <w:p w14:paraId="741A39EB" w14:textId="77777777" w:rsidR="00401786" w:rsidRDefault="00401786" w:rsidP="000E757E">
      <w:pPr>
        <w:snapToGrid w:val="0"/>
        <w:spacing w:line="240" w:lineRule="atLeast"/>
        <w:rPr>
          <w:rFonts w:ascii="標楷體" w:eastAsia="標楷體" w:hAnsi="標楷體"/>
        </w:rPr>
      </w:pPr>
    </w:p>
    <w:p w14:paraId="2D2CF185" w14:textId="77777777" w:rsidR="00401786" w:rsidRPr="00CD29B3" w:rsidRDefault="00C64FB3" w:rsidP="000E757E">
      <w:pPr>
        <w:pageBreakBefore/>
        <w:snapToGrid w:val="0"/>
        <w:spacing w:line="240" w:lineRule="atLeast"/>
        <w:rPr>
          <w:b/>
        </w:rPr>
      </w:pPr>
      <w:r w:rsidRPr="00CD29B3">
        <w:rPr>
          <w:rFonts w:ascii="標楷體" w:eastAsia="標楷體" w:hAnsi="標楷體"/>
          <w:b/>
          <w:color w:val="000000"/>
          <w:sz w:val="28"/>
          <w:szCs w:val="28"/>
        </w:rPr>
        <w:lastRenderedPageBreak/>
        <w:t>附表二十二之五：NSAID藥物副作用</w:t>
      </w:r>
    </w:p>
    <w:p w14:paraId="303A4C9D" w14:textId="77777777" w:rsidR="00401786" w:rsidRDefault="00C64FB3" w:rsidP="000E757E">
      <w:pPr>
        <w:autoSpaceDE w:val="0"/>
        <w:snapToGrid w:val="0"/>
        <w:spacing w:line="240" w:lineRule="atLeast"/>
      </w:pPr>
      <w:r>
        <w:rPr>
          <w:rFonts w:ascii="標楷體" w:eastAsia="標楷體" w:hAnsi="標楷體" w:cs="Arial"/>
          <w:kern w:val="0"/>
        </w:rPr>
        <w:t>準備使用TNF</w:t>
      </w:r>
      <w:r>
        <w:rPr>
          <w:rFonts w:ascii="標楷體" w:eastAsia="標楷體" w:hAnsi="標楷體" w:cs="Symbol"/>
          <w:kern w:val="0"/>
        </w:rPr>
        <w:t></w:t>
      </w:r>
      <w:proofErr w:type="gramStart"/>
      <w:r>
        <w:rPr>
          <w:rFonts w:ascii="標楷體" w:eastAsia="標楷體" w:hAnsi="標楷體" w:cs="Arial"/>
          <w:kern w:val="0"/>
        </w:rPr>
        <w:t>拮抗劑</w:t>
      </w:r>
      <w:proofErr w:type="gramEnd"/>
      <w:r>
        <w:rPr>
          <w:rFonts w:ascii="標楷體" w:eastAsia="標楷體" w:hAnsi="標楷體" w:cs="Arial"/>
          <w:kern w:val="0"/>
        </w:rPr>
        <w:t>治療僵直性脊椎炎與</w:t>
      </w:r>
      <w:proofErr w:type="gramStart"/>
      <w:r>
        <w:rPr>
          <w:rFonts w:ascii="標楷體" w:eastAsia="標楷體" w:hAnsi="標楷體" w:cs="Arial"/>
          <w:kern w:val="0"/>
        </w:rPr>
        <w:t>乾癬性關節炎</w:t>
      </w:r>
      <w:proofErr w:type="gramEnd"/>
      <w:r>
        <w:rPr>
          <w:rFonts w:ascii="標楷體" w:eastAsia="標楷體" w:hAnsi="標楷體" w:cs="Arial"/>
          <w:kern w:val="0"/>
        </w:rPr>
        <w:t>時的非類固醇類消炎止痛劑(NSAIDs)毒性標準及嚴重度說明</w:t>
      </w:r>
    </w:p>
    <w:p w14:paraId="4799FFF2" w14:textId="77777777" w:rsidR="00401786" w:rsidRDefault="00401786" w:rsidP="000E757E">
      <w:pPr>
        <w:snapToGrid w:val="0"/>
        <w:spacing w:line="240" w:lineRule="atLeast"/>
        <w:rPr>
          <w:rFonts w:ascii="標楷體" w:eastAsia="標楷體" w:hAnsi="標楷體" w:cs="Arial"/>
        </w:rPr>
      </w:pPr>
    </w:p>
    <w:p w14:paraId="79FCC9BE" w14:textId="77777777" w:rsidR="00401786" w:rsidRDefault="00C64FB3" w:rsidP="000E757E">
      <w:pPr>
        <w:snapToGrid w:val="0"/>
        <w:spacing w:line="240" w:lineRule="atLeast"/>
        <w:jc w:val="center"/>
      </w:pPr>
      <w:r>
        <w:rPr>
          <w:rFonts w:ascii="標楷體" w:eastAsia="標楷體" w:hAnsi="標楷體" w:cs="Arial"/>
          <w:b/>
          <w:bCs/>
          <w:kern w:val="0"/>
        </w:rPr>
        <w:t>ULN=正常值上限</w:t>
      </w:r>
      <w:r>
        <w:rPr>
          <w:rFonts w:ascii="標楷體" w:eastAsia="標楷體" w:hAnsi="標楷體" w:cs="Arial"/>
          <w:b/>
          <w:bCs/>
          <w:kern w:val="0"/>
        </w:rPr>
        <w:tab/>
      </w:r>
      <w:r>
        <w:rPr>
          <w:rFonts w:ascii="標楷體" w:eastAsia="標楷體" w:hAnsi="標楷體" w:cs="Arial"/>
          <w:b/>
          <w:bCs/>
          <w:kern w:val="0"/>
        </w:rPr>
        <w:tab/>
        <w:t>LLN=正常值下限</w:t>
      </w:r>
    </w:p>
    <w:tbl>
      <w:tblPr>
        <w:tblW w:w="9564" w:type="dxa"/>
        <w:tblCellMar>
          <w:left w:w="10" w:type="dxa"/>
          <w:right w:w="10" w:type="dxa"/>
        </w:tblCellMar>
        <w:tblLook w:val="0000" w:firstRow="0" w:lastRow="0" w:firstColumn="0" w:lastColumn="0" w:noHBand="0" w:noVBand="0"/>
      </w:tblPr>
      <w:tblGrid>
        <w:gridCol w:w="2140"/>
        <w:gridCol w:w="6086"/>
        <w:gridCol w:w="1338"/>
      </w:tblGrid>
      <w:tr w:rsidR="00401786" w14:paraId="71CFFB45" w14:textId="77777777">
        <w:trPr>
          <w:trHeight w:val="515"/>
        </w:trPr>
        <w:tc>
          <w:tcPr>
            <w:tcW w:w="2140"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71D46E43" w14:textId="77777777" w:rsidR="00401786" w:rsidRDefault="00C64FB3" w:rsidP="000E757E">
            <w:pPr>
              <w:snapToGrid w:val="0"/>
              <w:spacing w:line="240" w:lineRule="atLeast"/>
              <w:ind w:left="113" w:right="113"/>
            </w:pPr>
            <w:r>
              <w:rPr>
                <w:rFonts w:ascii="標楷體" w:eastAsia="標楷體" w:hAnsi="標楷體" w:cs="Arial"/>
                <w:b/>
                <w:bCs/>
                <w:kern w:val="0"/>
              </w:rPr>
              <w:t>不良事件</w:t>
            </w:r>
          </w:p>
        </w:tc>
        <w:tc>
          <w:tcPr>
            <w:tcW w:w="6086"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7D97046F" w14:textId="77777777" w:rsidR="00401786" w:rsidRDefault="00C64FB3" w:rsidP="000E757E">
            <w:pPr>
              <w:snapToGrid w:val="0"/>
              <w:spacing w:line="240" w:lineRule="atLeast"/>
              <w:ind w:left="113" w:right="113"/>
            </w:pPr>
            <w:r>
              <w:rPr>
                <w:rFonts w:ascii="標楷體" w:eastAsia="標楷體" w:hAnsi="標楷體" w:cs="Arial"/>
                <w:b/>
                <w:bCs/>
                <w:kern w:val="0"/>
              </w:rPr>
              <w:t>最低等級簡述</w:t>
            </w:r>
          </w:p>
        </w:tc>
        <w:tc>
          <w:tcPr>
            <w:tcW w:w="1338"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25921F85" w14:textId="77777777" w:rsidR="00401786" w:rsidRDefault="00C64FB3" w:rsidP="000E757E">
            <w:pPr>
              <w:snapToGrid w:val="0"/>
              <w:spacing w:line="240" w:lineRule="atLeast"/>
              <w:ind w:left="113" w:right="113"/>
            </w:pPr>
            <w:r>
              <w:rPr>
                <w:rFonts w:ascii="標楷體" w:eastAsia="標楷體" w:hAnsi="標楷體" w:cs="Arial"/>
                <w:b/>
                <w:bCs/>
                <w:kern w:val="0"/>
              </w:rPr>
              <w:t>毒性分級</w:t>
            </w:r>
          </w:p>
        </w:tc>
      </w:tr>
      <w:tr w:rsidR="00401786" w14:paraId="12F2269D"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52E76A9F"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消化道</w:t>
            </w:r>
          </w:p>
        </w:tc>
      </w:tr>
      <w:tr w:rsidR="00401786" w14:paraId="1E120D0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C00822" w14:textId="77777777" w:rsidR="00401786" w:rsidRDefault="00C64FB3" w:rsidP="000E757E">
            <w:pPr>
              <w:snapToGrid w:val="0"/>
              <w:spacing w:line="240" w:lineRule="atLeast"/>
              <w:ind w:left="113" w:right="113"/>
            </w:pPr>
            <w:r>
              <w:rPr>
                <w:rFonts w:ascii="標楷體" w:eastAsia="標楷體" w:hAnsi="標楷體" w:cs="Arial"/>
                <w:kern w:val="0"/>
                <w:sz w:val="22"/>
              </w:rPr>
              <w:t>厭食</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04FBE8" w14:textId="77777777" w:rsidR="00401786" w:rsidRDefault="00C64FB3" w:rsidP="000E757E">
            <w:pPr>
              <w:snapToGrid w:val="0"/>
              <w:spacing w:line="240" w:lineRule="atLeast"/>
              <w:ind w:left="113" w:right="113"/>
            </w:pPr>
            <w:r>
              <w:rPr>
                <w:rFonts w:ascii="標楷體" w:eastAsia="標楷體" w:hAnsi="標楷體" w:cs="Arial"/>
                <w:kern w:val="0"/>
                <w:sz w:val="22"/>
              </w:rPr>
              <w:t>食量改變，但無體重明顯減輕的現象。需使用口服營養補充劑。</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40E15A"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3FE92F71"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58A2BB2" w14:textId="77777777" w:rsidR="00401786" w:rsidRDefault="00C64FB3" w:rsidP="000E757E">
            <w:pPr>
              <w:snapToGrid w:val="0"/>
              <w:spacing w:line="240" w:lineRule="atLeast"/>
              <w:ind w:left="113" w:right="113"/>
            </w:pPr>
            <w:r>
              <w:rPr>
                <w:rFonts w:ascii="標楷體" w:eastAsia="標楷體" w:hAnsi="標楷體" w:cs="Arial"/>
                <w:kern w:val="0"/>
                <w:sz w:val="22"/>
              </w:rPr>
              <w:t>便秘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BB0BF5" w14:textId="77777777" w:rsidR="00401786" w:rsidRDefault="00C64FB3" w:rsidP="000E757E">
            <w:pPr>
              <w:snapToGrid w:val="0"/>
              <w:spacing w:line="240" w:lineRule="atLeast"/>
              <w:ind w:left="113" w:right="113"/>
            </w:pPr>
            <w:r>
              <w:rPr>
                <w:rFonts w:ascii="標楷體" w:eastAsia="標楷體" w:hAnsi="標楷體" w:cs="Arial"/>
                <w:kern w:val="0"/>
                <w:sz w:val="22"/>
              </w:rPr>
              <w:t>症狀會對日常生活(ADLs)造成干擾，需按時使用緩瀉劑或使用灌腸劑。</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C663A2"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1F94CE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CDE9F9" w14:textId="77777777" w:rsidR="00401786" w:rsidRDefault="00C64FB3" w:rsidP="000E757E">
            <w:pPr>
              <w:snapToGrid w:val="0"/>
              <w:spacing w:line="240" w:lineRule="atLeast"/>
              <w:ind w:left="113" w:right="113"/>
            </w:pPr>
            <w:r>
              <w:rPr>
                <w:rFonts w:ascii="標楷體" w:eastAsia="標楷體" w:hAnsi="標楷體" w:cs="Arial"/>
                <w:kern w:val="0"/>
                <w:sz w:val="22"/>
              </w:rPr>
              <w:t>腹瀉</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95F330" w14:textId="77777777" w:rsidR="00401786" w:rsidRDefault="00C64FB3" w:rsidP="000E757E">
            <w:pPr>
              <w:snapToGrid w:val="0"/>
              <w:spacing w:line="240" w:lineRule="atLeast"/>
              <w:ind w:left="113" w:right="113"/>
            </w:pPr>
            <w:r>
              <w:rPr>
                <w:rFonts w:ascii="標楷體" w:eastAsia="標楷體" w:hAnsi="標楷體" w:cs="Arial"/>
                <w:kern w:val="0"/>
                <w:sz w:val="22"/>
              </w:rPr>
              <w:t>比治療之前，每日排便次數增加4-6次。</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89F4A7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2FE167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088CFE" w14:textId="77777777" w:rsidR="00401786" w:rsidRDefault="00C64FB3" w:rsidP="000E757E">
            <w:pPr>
              <w:snapToGrid w:val="0"/>
              <w:spacing w:line="240" w:lineRule="atLeast"/>
              <w:ind w:left="113" w:right="113"/>
            </w:pPr>
            <w:r>
              <w:rPr>
                <w:rFonts w:ascii="標楷體" w:eastAsia="標楷體" w:hAnsi="標楷體" w:cs="Arial"/>
                <w:kern w:val="0"/>
                <w:sz w:val="22"/>
              </w:rPr>
              <w:t>噁心</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15B9E7" w14:textId="77777777" w:rsidR="00401786" w:rsidRDefault="00C64FB3" w:rsidP="000E757E">
            <w:pPr>
              <w:snapToGrid w:val="0"/>
              <w:spacing w:line="240" w:lineRule="atLeast"/>
              <w:ind w:left="113" w:right="113"/>
            </w:pPr>
            <w:r>
              <w:rPr>
                <w:rFonts w:ascii="標楷體" w:eastAsia="標楷體" w:hAnsi="標楷體" w:cs="Arial"/>
                <w:kern w:val="0"/>
                <w:sz w:val="22"/>
              </w:rPr>
              <w:t>食量明顯降低。</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898D4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8C597E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B0B11D" w14:textId="77777777" w:rsidR="00401786" w:rsidRDefault="00C64FB3" w:rsidP="000E757E">
            <w:pPr>
              <w:snapToGrid w:val="0"/>
              <w:spacing w:line="240" w:lineRule="atLeast"/>
              <w:ind w:left="113" w:right="113"/>
            </w:pPr>
            <w:r>
              <w:rPr>
                <w:rFonts w:ascii="標楷體" w:eastAsia="標楷體" w:hAnsi="標楷體" w:cs="Arial"/>
                <w:kern w:val="0"/>
                <w:sz w:val="22"/>
              </w:rPr>
              <w:t>非潰瘍性消化不良</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87963B" w14:textId="77777777" w:rsidR="00401786" w:rsidRDefault="00C64FB3" w:rsidP="000E757E">
            <w:pPr>
              <w:snapToGrid w:val="0"/>
              <w:spacing w:line="240" w:lineRule="atLeast"/>
              <w:ind w:left="113" w:right="113"/>
            </w:pPr>
            <w:r>
              <w:rPr>
                <w:rFonts w:ascii="標楷體" w:eastAsia="標楷體" w:hAnsi="標楷體" w:cs="Arial"/>
                <w:kern w:val="0"/>
                <w:sz w:val="22"/>
              </w:rPr>
              <w:t>每24小時發作大於2次，至少連續5天，且無法對同時施行的標準消化不良治療產生反應。重新使用NSAID治療至少一次，結果仍然失敗。</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9B101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62567B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614651" w14:textId="77777777" w:rsidR="00401786" w:rsidRDefault="00C64FB3" w:rsidP="000E757E">
            <w:pPr>
              <w:snapToGrid w:val="0"/>
              <w:spacing w:line="240" w:lineRule="atLeast"/>
              <w:ind w:left="113" w:right="113"/>
            </w:pPr>
            <w:r>
              <w:rPr>
                <w:rFonts w:ascii="標楷體" w:eastAsia="標楷體" w:hAnsi="標楷體" w:cs="Arial"/>
                <w:kern w:val="0"/>
                <w:sz w:val="22"/>
              </w:rPr>
              <w:t>口腔炎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D3839E"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出現疼痛性紅斑、水腫或潰瘍，但仍可進食或吞嚥。</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6D175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C4BB41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0945D4" w14:textId="77777777" w:rsidR="00401786" w:rsidRDefault="00C64FB3" w:rsidP="000E757E">
            <w:pPr>
              <w:snapToGrid w:val="0"/>
              <w:spacing w:line="240" w:lineRule="atLeast"/>
              <w:ind w:left="113" w:right="113"/>
            </w:pPr>
            <w:r>
              <w:rPr>
                <w:rFonts w:ascii="標楷體" w:eastAsia="標楷體" w:hAnsi="標楷體" w:cs="Arial"/>
                <w:kern w:val="0"/>
                <w:sz w:val="22"/>
              </w:rPr>
              <w:t>嘔吐</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C8A823" w14:textId="77777777" w:rsidR="00401786" w:rsidRDefault="00C64FB3" w:rsidP="000E757E">
            <w:pPr>
              <w:snapToGrid w:val="0"/>
              <w:spacing w:line="240" w:lineRule="atLeast"/>
              <w:ind w:left="113" w:right="113"/>
            </w:pPr>
            <w:r>
              <w:rPr>
                <w:rFonts w:ascii="標楷體" w:eastAsia="標楷體" w:hAnsi="標楷體" w:cs="Arial"/>
                <w:kern w:val="0"/>
                <w:sz w:val="22"/>
              </w:rPr>
              <w:t>24小時內發生兩次(含)以上。</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E7238D"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7A051E7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487DFD" w14:textId="77777777" w:rsidR="00401786" w:rsidRDefault="00C64FB3" w:rsidP="000E757E">
            <w:pPr>
              <w:snapToGrid w:val="0"/>
              <w:spacing w:line="240" w:lineRule="atLeast"/>
              <w:ind w:left="113" w:right="113"/>
            </w:pPr>
            <w:r>
              <w:rPr>
                <w:rFonts w:ascii="標楷體" w:eastAsia="標楷體" w:hAnsi="標楷體" w:cs="Arial"/>
                <w:kern w:val="0"/>
                <w:sz w:val="22"/>
              </w:rPr>
              <w:t>體重增加/減輕</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165690" w14:textId="77777777" w:rsidR="00401786" w:rsidRDefault="00C64FB3" w:rsidP="000E757E">
            <w:pPr>
              <w:snapToGrid w:val="0"/>
              <w:spacing w:line="240" w:lineRule="atLeast"/>
              <w:ind w:left="113" w:right="113"/>
            </w:pPr>
            <w:r>
              <w:rPr>
                <w:rFonts w:ascii="標楷體" w:eastAsia="標楷體" w:hAnsi="標楷體" w:cs="Arial"/>
                <w:kern w:val="0"/>
                <w:sz w:val="22"/>
              </w:rPr>
              <w:t>體重增加或減輕20%</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038B55"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751D7A1"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16F5663"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血液</w:t>
            </w:r>
          </w:p>
        </w:tc>
      </w:tr>
      <w:tr w:rsidR="00401786" w14:paraId="67AC50A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C9EFCA" w14:textId="77777777" w:rsidR="00401786" w:rsidRDefault="00C64FB3" w:rsidP="000E757E">
            <w:pPr>
              <w:snapToGrid w:val="0"/>
              <w:spacing w:line="240" w:lineRule="atLeast"/>
              <w:ind w:left="113" w:right="113"/>
            </w:pPr>
            <w:r>
              <w:rPr>
                <w:rFonts w:ascii="標楷體" w:eastAsia="標楷體" w:hAnsi="標楷體" w:cs="Wingdings"/>
                <w:kern w:val="0"/>
                <w:sz w:val="22"/>
              </w:rPr>
              <w:t></w:t>
            </w:r>
            <w:r>
              <w:rPr>
                <w:rFonts w:ascii="標楷體" w:eastAsia="標楷體" w:hAnsi="標楷體" w:cs="Arial"/>
                <w:kern w:val="0"/>
                <w:sz w:val="22"/>
              </w:rPr>
              <w:t>凝血酶原時間(PT)</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300E9FC" w14:textId="77777777" w:rsidR="00401786" w:rsidRDefault="00C64FB3" w:rsidP="000E757E">
            <w:pPr>
              <w:snapToGrid w:val="0"/>
              <w:spacing w:line="240" w:lineRule="atLeast"/>
              <w:ind w:left="113" w:right="113"/>
            </w:pPr>
            <w:r>
              <w:rPr>
                <w:rFonts w:ascii="標楷體" w:eastAsia="標楷體" w:hAnsi="標楷體" w:cs="Arial"/>
                <w:kern w:val="0"/>
                <w:sz w:val="22"/>
              </w:rPr>
              <w:t>PT&gt;2xULN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1D149B"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2C6B6ED3"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9F0868" w14:textId="77777777" w:rsidR="00401786" w:rsidRDefault="00C64FB3" w:rsidP="000E757E">
            <w:pPr>
              <w:snapToGrid w:val="0"/>
              <w:spacing w:line="240" w:lineRule="atLeast"/>
              <w:ind w:left="113" w:right="113"/>
            </w:pPr>
            <w:r>
              <w:rPr>
                <w:rFonts w:ascii="標楷體" w:eastAsia="標楷體" w:hAnsi="標楷體" w:cs="Arial"/>
                <w:kern w:val="0"/>
                <w:sz w:val="22"/>
              </w:rPr>
              <w:t>貧血</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1273A4" w14:textId="77777777" w:rsidR="00401786" w:rsidRDefault="00C64FB3" w:rsidP="000E757E">
            <w:pPr>
              <w:snapToGrid w:val="0"/>
              <w:spacing w:line="240" w:lineRule="atLeast"/>
              <w:ind w:left="113" w:right="113"/>
            </w:pPr>
            <w:r>
              <w:rPr>
                <w:rFonts w:ascii="標楷體" w:eastAsia="標楷體" w:hAnsi="標楷體" w:cs="Arial"/>
                <w:kern w:val="0"/>
                <w:sz w:val="22"/>
              </w:rPr>
              <w:t>Hb&lt;8.0g/dL</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EB501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6BA808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087558B" w14:textId="77777777" w:rsidR="00401786" w:rsidRDefault="00C64FB3" w:rsidP="000E757E">
            <w:pPr>
              <w:snapToGrid w:val="0"/>
              <w:spacing w:line="240" w:lineRule="atLeast"/>
              <w:ind w:left="113" w:right="113"/>
            </w:pPr>
            <w:r>
              <w:rPr>
                <w:rFonts w:ascii="標楷體" w:eastAsia="標楷體" w:hAnsi="標楷體" w:cs="Arial"/>
                <w:kern w:val="0"/>
                <w:sz w:val="22"/>
              </w:rPr>
              <w:t>溶血現象</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E97483" w14:textId="77777777" w:rsidR="00401786" w:rsidRDefault="00C64FB3" w:rsidP="000E757E">
            <w:pPr>
              <w:snapToGrid w:val="0"/>
              <w:spacing w:line="240" w:lineRule="atLeast"/>
              <w:ind w:left="113" w:right="113"/>
            </w:pPr>
            <w:r>
              <w:rPr>
                <w:rFonts w:ascii="標楷體" w:eastAsia="標楷體" w:hAnsi="標楷體" w:cs="Arial"/>
                <w:kern w:val="0"/>
                <w:sz w:val="22"/>
              </w:rPr>
              <w:t>有證據顯示紅血球破壞程度且Hb下降</w:t>
            </w:r>
            <w:r>
              <w:rPr>
                <w:rFonts w:ascii="標楷體" w:eastAsia="標楷體" w:hAnsi="標楷體" w:cs="Symbol"/>
                <w:kern w:val="0"/>
                <w:sz w:val="22"/>
              </w:rPr>
              <w:t></w:t>
            </w:r>
            <w:r>
              <w:rPr>
                <w:rFonts w:ascii="標楷體" w:eastAsia="標楷體" w:hAnsi="標楷體" w:cs="Arial"/>
                <w:kern w:val="0"/>
                <w:sz w:val="22"/>
              </w:rPr>
              <w:t>2gm/dL，但不需輸血。</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27963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9C4103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E20FB0" w14:textId="77777777" w:rsidR="00401786" w:rsidRDefault="00C64FB3" w:rsidP="000E757E">
            <w:pPr>
              <w:snapToGrid w:val="0"/>
              <w:spacing w:line="240" w:lineRule="atLeast"/>
              <w:ind w:left="113" w:right="113"/>
            </w:pPr>
            <w:r>
              <w:rPr>
                <w:rFonts w:ascii="標楷體" w:eastAsia="標楷體" w:hAnsi="標楷體" w:cs="Arial"/>
                <w:kern w:val="0"/>
                <w:sz w:val="22"/>
              </w:rPr>
              <w:t>出血</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80BFCF" w14:textId="77777777" w:rsidR="00401786" w:rsidRDefault="00C64FB3" w:rsidP="000E757E">
            <w:pPr>
              <w:snapToGrid w:val="0"/>
              <w:spacing w:line="240" w:lineRule="atLeast"/>
              <w:ind w:left="113" w:right="113"/>
            </w:pPr>
            <w:r>
              <w:rPr>
                <w:rFonts w:ascii="標楷體" w:eastAsia="標楷體" w:hAnsi="標楷體" w:cs="Arial"/>
                <w:kern w:val="0"/>
                <w:sz w:val="22"/>
              </w:rPr>
              <w:t>出現症狀，需進行輸血/手術或內視鏡治療。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4B3F3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D2581D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AF10E2" w14:textId="77777777" w:rsidR="00401786" w:rsidRDefault="00C64FB3" w:rsidP="000E757E">
            <w:pPr>
              <w:snapToGrid w:val="0"/>
              <w:spacing w:line="240" w:lineRule="atLeast"/>
              <w:ind w:left="113" w:right="113"/>
            </w:pPr>
            <w:r>
              <w:rPr>
                <w:rFonts w:ascii="標楷體" w:eastAsia="標楷體" w:hAnsi="標楷體" w:cs="Arial"/>
                <w:kern w:val="0"/>
                <w:sz w:val="22"/>
              </w:rPr>
              <w:t>白血球減少症</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276E17" w14:textId="77777777" w:rsidR="00401786" w:rsidRDefault="00C64FB3" w:rsidP="000E757E">
            <w:pPr>
              <w:snapToGrid w:val="0"/>
              <w:spacing w:line="240" w:lineRule="atLeast"/>
              <w:ind w:left="113" w:right="113"/>
            </w:pPr>
            <w:r>
              <w:rPr>
                <w:rFonts w:ascii="標楷體" w:eastAsia="標楷體" w:hAnsi="標楷體" w:cs="Arial"/>
                <w:kern w:val="0"/>
                <w:sz w:val="22"/>
              </w:rPr>
              <w:t>WBC&lt;3,000/mm</w:t>
            </w:r>
            <w:r>
              <w:rPr>
                <w:rFonts w:ascii="標楷體" w:eastAsia="標楷體" w:hAnsi="標楷體" w:cs="Arial"/>
                <w:kern w:val="0"/>
                <w:position w:val="6"/>
                <w:sz w:val="22"/>
              </w:rPr>
              <w:t>3</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B746D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F61297E"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F2155A"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中性白血球低下症</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C2A0326"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中性白血球計數&lt;1,500/mm</w:t>
            </w:r>
            <w:r>
              <w:rPr>
                <w:rFonts w:ascii="標楷體" w:eastAsia="標楷體" w:hAnsi="標楷體" w:cs="Arial"/>
                <w:kern w:val="0"/>
                <w:position w:val="6"/>
                <w:sz w:val="22"/>
              </w:rPr>
              <w:t>3</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C7A065"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0C8DC9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81A8B4" w14:textId="77777777" w:rsidR="00401786" w:rsidRDefault="00C64FB3" w:rsidP="000E757E">
            <w:pPr>
              <w:snapToGrid w:val="0"/>
              <w:spacing w:line="240" w:lineRule="atLeast"/>
              <w:ind w:left="113" w:right="113"/>
            </w:pPr>
            <w:r>
              <w:rPr>
                <w:rFonts w:ascii="標楷體" w:eastAsia="標楷體" w:hAnsi="標楷體" w:cs="Arial"/>
                <w:kern w:val="0"/>
                <w:sz w:val="22"/>
              </w:rPr>
              <w:t>靜脈炎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31EABD" w14:textId="77777777" w:rsidR="00401786" w:rsidRDefault="00C64FB3" w:rsidP="000E757E">
            <w:pPr>
              <w:snapToGrid w:val="0"/>
              <w:spacing w:line="240" w:lineRule="atLeast"/>
              <w:ind w:left="113" w:right="113"/>
            </w:pPr>
            <w:r>
              <w:rPr>
                <w:rFonts w:ascii="標楷體" w:eastAsia="標楷體" w:hAnsi="標楷體" w:cs="Arial"/>
                <w:kern w:val="0"/>
                <w:sz w:val="22"/>
              </w:rPr>
              <w:t>發生靜脈炎。</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0073D55"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43FC0F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C275BB" w14:textId="77777777" w:rsidR="00401786" w:rsidRDefault="00C64FB3" w:rsidP="000E757E">
            <w:pPr>
              <w:snapToGrid w:val="0"/>
              <w:spacing w:line="240" w:lineRule="atLeast"/>
              <w:ind w:left="113" w:right="113"/>
            </w:pPr>
            <w:r>
              <w:rPr>
                <w:rFonts w:ascii="標楷體" w:eastAsia="標楷體" w:hAnsi="標楷體" w:cs="Arial"/>
                <w:kern w:val="0"/>
                <w:sz w:val="22"/>
              </w:rPr>
              <w:t>血小板減少症</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2B2C40" w14:textId="77777777" w:rsidR="00401786" w:rsidRDefault="00C64FB3" w:rsidP="000E757E">
            <w:pPr>
              <w:snapToGrid w:val="0"/>
              <w:spacing w:line="240" w:lineRule="atLeast"/>
              <w:ind w:left="113" w:right="113"/>
            </w:pPr>
            <w:r>
              <w:rPr>
                <w:rFonts w:ascii="標楷體" w:eastAsia="標楷體" w:hAnsi="標楷體" w:cs="Arial"/>
                <w:kern w:val="0"/>
                <w:sz w:val="22"/>
              </w:rPr>
              <w:t>血小板計數&lt;100,000/mm</w:t>
            </w:r>
            <w:r>
              <w:rPr>
                <w:rFonts w:ascii="標楷體" w:eastAsia="標楷體" w:hAnsi="標楷體" w:cs="Arial"/>
                <w:kern w:val="0"/>
                <w:position w:val="6"/>
                <w:sz w:val="22"/>
              </w:rPr>
              <w:t>3</w:t>
            </w:r>
            <w:r>
              <w:rPr>
                <w:rFonts w:ascii="標楷體" w:eastAsia="標楷體" w:hAnsi="標楷體" w:cs="Arial"/>
                <w:kern w:val="0"/>
                <w:sz w:val="22"/>
              </w:rPr>
              <w:t>。</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4D584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0003CAE"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CDB3154"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心血管</w:t>
            </w:r>
          </w:p>
        </w:tc>
      </w:tr>
      <w:tr w:rsidR="00401786" w14:paraId="1E6E70B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24BEE4" w14:textId="77777777" w:rsidR="00401786" w:rsidRDefault="00C64FB3" w:rsidP="000E757E">
            <w:pPr>
              <w:snapToGrid w:val="0"/>
              <w:spacing w:line="240" w:lineRule="atLeast"/>
              <w:ind w:left="113" w:right="113"/>
            </w:pPr>
            <w:r>
              <w:rPr>
                <w:rFonts w:ascii="標楷體" w:eastAsia="標楷體" w:hAnsi="標楷體" w:cs="Arial"/>
                <w:kern w:val="0"/>
                <w:sz w:val="22"/>
              </w:rPr>
              <w:t>心律不整</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0BC2F4E" w14:textId="77777777" w:rsidR="00401786" w:rsidRDefault="00C64FB3" w:rsidP="000E757E">
            <w:pPr>
              <w:snapToGrid w:val="0"/>
              <w:spacing w:line="240" w:lineRule="atLeast"/>
              <w:ind w:left="113" w:right="113"/>
            </w:pPr>
            <w:r>
              <w:rPr>
                <w:rFonts w:ascii="標楷體" w:eastAsia="標楷體" w:hAnsi="標楷體" w:cs="Arial"/>
                <w:kern w:val="0"/>
                <w:sz w:val="22"/>
              </w:rPr>
              <w:t>出現症狀且需接受治療。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6FB48D"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A42360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E81C0B" w14:textId="77777777" w:rsidR="00401786" w:rsidRDefault="00C64FB3" w:rsidP="000E757E">
            <w:pPr>
              <w:snapToGrid w:val="0"/>
              <w:spacing w:line="240" w:lineRule="atLeast"/>
              <w:ind w:left="113" w:right="113"/>
            </w:pPr>
            <w:r>
              <w:rPr>
                <w:rFonts w:ascii="標楷體" w:eastAsia="標楷體" w:hAnsi="標楷體" w:cs="Arial"/>
                <w:kern w:val="0"/>
                <w:sz w:val="22"/>
              </w:rPr>
              <w:t>心臟功能</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C887E82" w14:textId="77777777" w:rsidR="00401786" w:rsidRDefault="00C64FB3" w:rsidP="000E757E">
            <w:pPr>
              <w:snapToGrid w:val="0"/>
              <w:spacing w:line="240" w:lineRule="atLeast"/>
              <w:ind w:left="113" w:right="113"/>
            </w:pPr>
            <w:r>
              <w:rPr>
                <w:rFonts w:ascii="標楷體" w:eastAsia="標楷體" w:hAnsi="標楷體" w:cs="Arial"/>
                <w:kern w:val="0"/>
                <w:sz w:val="22"/>
              </w:rPr>
              <w:t>對治療產生鬱血性心臟衰竭。</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69F0A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EED92B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9203C1C" w14:textId="77777777" w:rsidR="00401786" w:rsidRDefault="00C64FB3" w:rsidP="000E757E">
            <w:pPr>
              <w:snapToGrid w:val="0"/>
              <w:spacing w:line="240" w:lineRule="atLeast"/>
              <w:ind w:left="113" w:right="113"/>
            </w:pPr>
            <w:r>
              <w:rPr>
                <w:rFonts w:ascii="標楷體" w:eastAsia="標楷體" w:hAnsi="標楷體" w:cs="Arial"/>
                <w:kern w:val="0"/>
                <w:sz w:val="22"/>
              </w:rPr>
              <w:t>高血壓</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AEB82B" w14:textId="77777777" w:rsidR="00401786" w:rsidRDefault="00C64FB3" w:rsidP="000E757E">
            <w:pPr>
              <w:snapToGrid w:val="0"/>
              <w:spacing w:line="240" w:lineRule="atLeast"/>
              <w:ind w:left="113" w:right="113"/>
            </w:pPr>
            <w:r>
              <w:rPr>
                <w:rFonts w:ascii="標楷體" w:eastAsia="標楷體" w:hAnsi="標楷體" w:cs="Arial"/>
                <w:kern w:val="0"/>
                <w:sz w:val="22"/>
              </w:rPr>
              <w:t>收縮壓上升20mmHg，或原本正常的血壓升高至&gt;150/100。</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DC13B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6CAF8C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21A57C" w14:textId="77777777" w:rsidR="00401786" w:rsidRDefault="00C64FB3" w:rsidP="000E757E">
            <w:pPr>
              <w:snapToGrid w:val="0"/>
              <w:spacing w:line="240" w:lineRule="atLeast"/>
              <w:ind w:left="113" w:right="113"/>
            </w:pPr>
            <w:r>
              <w:rPr>
                <w:rFonts w:ascii="標楷體" w:eastAsia="標楷體" w:hAnsi="標楷體" w:cs="Arial"/>
                <w:kern w:val="0"/>
                <w:sz w:val="22"/>
              </w:rPr>
              <w:t>局部缺血</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D65266" w14:textId="77777777" w:rsidR="00401786" w:rsidRDefault="00C64FB3" w:rsidP="000E757E">
            <w:pPr>
              <w:snapToGrid w:val="0"/>
              <w:spacing w:line="240" w:lineRule="atLeast"/>
              <w:ind w:left="113" w:right="113"/>
            </w:pPr>
            <w:r>
              <w:rPr>
                <w:rFonts w:ascii="標楷體" w:eastAsia="標楷體" w:hAnsi="標楷體" w:cs="Arial"/>
                <w:kern w:val="0"/>
                <w:sz w:val="22"/>
              </w:rPr>
              <w:t>需接受手術治療。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23F06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04F09D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B70E9D" w14:textId="77777777" w:rsidR="00401786" w:rsidRDefault="00C64FB3" w:rsidP="000E757E">
            <w:pPr>
              <w:snapToGrid w:val="0"/>
              <w:spacing w:line="240" w:lineRule="atLeast"/>
              <w:ind w:left="113" w:right="113"/>
            </w:pPr>
            <w:r>
              <w:rPr>
                <w:rFonts w:ascii="標楷體" w:eastAsia="標楷體" w:hAnsi="標楷體" w:cs="Arial"/>
                <w:kern w:val="0"/>
                <w:sz w:val="22"/>
              </w:rPr>
              <w:t>心包積水/心包炎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B85D7A" w14:textId="77777777" w:rsidR="00401786" w:rsidRDefault="00C64FB3" w:rsidP="000E757E">
            <w:pPr>
              <w:snapToGrid w:val="0"/>
              <w:spacing w:line="240" w:lineRule="atLeast"/>
              <w:ind w:left="113" w:right="113"/>
            </w:pPr>
            <w:r>
              <w:rPr>
                <w:rFonts w:ascii="標楷體" w:eastAsia="標楷體" w:hAnsi="標楷體" w:cs="Arial"/>
                <w:kern w:val="0"/>
                <w:sz w:val="22"/>
              </w:rPr>
              <w:t>心包炎(心包摩擦音、ECG出現變化、或胸痛)。</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E6CCE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3C4497C"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338593D"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中樞神經系統</w:t>
            </w:r>
          </w:p>
        </w:tc>
      </w:tr>
      <w:tr w:rsidR="00401786" w14:paraId="573BF993"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C43E918" w14:textId="77777777" w:rsidR="00401786" w:rsidRDefault="00C64FB3" w:rsidP="000E757E">
            <w:pPr>
              <w:snapToGrid w:val="0"/>
              <w:spacing w:line="240" w:lineRule="atLeast"/>
              <w:ind w:left="113" w:right="113"/>
            </w:pPr>
            <w:r>
              <w:rPr>
                <w:rFonts w:ascii="標楷體" w:eastAsia="標楷體" w:hAnsi="標楷體" w:cs="Arial"/>
                <w:kern w:val="0"/>
                <w:sz w:val="22"/>
              </w:rPr>
              <w:t>運動失調</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522FC3"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FF10FF"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58417CE9"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E26EAB" w14:textId="77777777" w:rsidR="00401786" w:rsidRDefault="00C64FB3" w:rsidP="000E757E">
            <w:pPr>
              <w:snapToGrid w:val="0"/>
              <w:spacing w:line="240" w:lineRule="atLeast"/>
              <w:ind w:left="113" w:right="113"/>
            </w:pPr>
            <w:r>
              <w:rPr>
                <w:rFonts w:ascii="標楷體" w:eastAsia="標楷體" w:hAnsi="標楷體" w:cs="Arial"/>
                <w:kern w:val="0"/>
                <w:sz w:val="22"/>
              </w:rPr>
              <w:t>意識程度降低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BC7009" w14:textId="77777777" w:rsidR="00401786" w:rsidRDefault="00C64FB3" w:rsidP="000E757E">
            <w:pPr>
              <w:snapToGrid w:val="0"/>
              <w:spacing w:line="240" w:lineRule="atLeast"/>
              <w:ind w:left="113" w:right="113"/>
            </w:pPr>
            <w:r>
              <w:rPr>
                <w:rFonts w:ascii="標楷體" w:eastAsia="標楷體" w:hAnsi="標楷體" w:cs="Arial"/>
                <w:kern w:val="0"/>
                <w:sz w:val="22"/>
              </w:rPr>
              <w:t>出現嗜睡或鎮靜反應，會干擾身體功能，但不影響日常活動。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22E1E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214976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61EB9B" w14:textId="77777777" w:rsidR="00401786" w:rsidRDefault="00C64FB3" w:rsidP="000E757E">
            <w:pPr>
              <w:snapToGrid w:val="0"/>
              <w:spacing w:line="240" w:lineRule="atLeast"/>
              <w:ind w:left="113" w:right="113"/>
            </w:pPr>
            <w:r>
              <w:rPr>
                <w:rFonts w:ascii="標楷體" w:eastAsia="標楷體" w:hAnsi="標楷體" w:cs="Arial"/>
                <w:kern w:val="0"/>
                <w:sz w:val="22"/>
              </w:rPr>
              <w:t>頭痛(嚴重)</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9887E7" w14:textId="77777777" w:rsidR="00401786" w:rsidRDefault="00C64FB3" w:rsidP="000E757E">
            <w:pPr>
              <w:snapToGrid w:val="0"/>
              <w:spacing w:line="240" w:lineRule="atLeast"/>
              <w:ind w:left="113" w:right="113"/>
            </w:pPr>
            <w:r>
              <w:rPr>
                <w:rFonts w:ascii="標楷體" w:eastAsia="標楷體" w:hAnsi="標楷體" w:cs="Arial"/>
                <w:kern w:val="0"/>
                <w:sz w:val="22"/>
              </w:rPr>
              <w:t>嚴重頭痛(需使用複合鎮痛劑)，且疼痛程度或鎮痛劑的使用會對日常生活造成干擾。非細菌性腦膜炎。</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CA286A6"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8850A5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B01F3A8" w14:textId="77777777" w:rsidR="00401786" w:rsidRDefault="00C64FB3" w:rsidP="000E757E">
            <w:pPr>
              <w:snapToGrid w:val="0"/>
              <w:spacing w:line="240" w:lineRule="atLeast"/>
              <w:ind w:left="113" w:right="113"/>
            </w:pPr>
            <w:r>
              <w:rPr>
                <w:rFonts w:ascii="標楷體" w:eastAsia="標楷體" w:hAnsi="標楷體" w:cs="Arial"/>
                <w:kern w:val="0"/>
                <w:sz w:val="22"/>
              </w:rPr>
              <w:t>聽力</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ED63AD" w14:textId="77777777" w:rsidR="00401786" w:rsidRDefault="00C64FB3" w:rsidP="000E757E">
            <w:pPr>
              <w:snapToGrid w:val="0"/>
              <w:spacing w:line="240" w:lineRule="atLeast"/>
              <w:ind w:left="113" w:right="113"/>
            </w:pPr>
            <w:r>
              <w:rPr>
                <w:rFonts w:ascii="標楷體" w:eastAsia="標楷體" w:hAnsi="標楷體" w:cs="Arial"/>
                <w:kern w:val="0"/>
                <w:sz w:val="22"/>
              </w:rPr>
              <w:t>耳鳴或聽力減弱，但不需治療。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15C72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105293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E98A49" w14:textId="77777777" w:rsidR="00401786" w:rsidRDefault="00C64FB3" w:rsidP="000E757E">
            <w:pPr>
              <w:snapToGrid w:val="0"/>
              <w:spacing w:line="240" w:lineRule="atLeast"/>
              <w:ind w:left="113" w:right="113"/>
            </w:pPr>
            <w:r>
              <w:rPr>
                <w:rFonts w:ascii="標楷體" w:eastAsia="標楷體" w:hAnsi="標楷體" w:cs="Arial"/>
                <w:kern w:val="0"/>
                <w:sz w:val="22"/>
              </w:rPr>
              <w:t>失眠</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6AE9A9" w14:textId="77777777" w:rsidR="00401786" w:rsidRDefault="00C64FB3" w:rsidP="000E757E">
            <w:pPr>
              <w:snapToGrid w:val="0"/>
              <w:spacing w:line="240" w:lineRule="atLeast"/>
              <w:ind w:left="113" w:right="113"/>
            </w:pPr>
            <w:r>
              <w:rPr>
                <w:rFonts w:ascii="標楷體" w:eastAsia="標楷體" w:hAnsi="標楷體" w:cs="Arial"/>
                <w:kern w:val="0"/>
                <w:sz w:val="22"/>
              </w:rPr>
              <w:t>經常難以入睡，並會對日常生活造成干擾。</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92DBC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471866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E0A31D7" w14:textId="77777777" w:rsidR="00401786" w:rsidRDefault="00C64FB3" w:rsidP="000E757E">
            <w:pPr>
              <w:snapToGrid w:val="0"/>
              <w:spacing w:line="240" w:lineRule="atLeast"/>
              <w:ind w:left="113" w:right="113"/>
            </w:pPr>
            <w:r>
              <w:rPr>
                <w:rFonts w:ascii="標楷體" w:eastAsia="標楷體" w:hAnsi="標楷體" w:cs="Arial"/>
                <w:kern w:val="0"/>
                <w:sz w:val="22"/>
              </w:rPr>
              <w:t>情緒轉變</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26D44D" w14:textId="77777777" w:rsidR="00401786" w:rsidRDefault="00C64FB3" w:rsidP="000E757E">
            <w:pPr>
              <w:snapToGrid w:val="0"/>
              <w:spacing w:line="240" w:lineRule="atLeast"/>
              <w:ind w:left="113" w:right="113"/>
            </w:pPr>
            <w:r>
              <w:rPr>
                <w:rFonts w:ascii="標楷體" w:eastAsia="標楷體" w:hAnsi="標楷體" w:cs="Arial"/>
                <w:kern w:val="0"/>
                <w:sz w:val="22"/>
              </w:rPr>
              <w:t>情緒轉變，會干擾身體功能，但不影響日常活動。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AB8DF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2FAD7F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3E2988" w14:textId="77777777" w:rsidR="00401786" w:rsidRDefault="00C64FB3" w:rsidP="000E757E">
            <w:pPr>
              <w:snapToGrid w:val="0"/>
              <w:spacing w:line="240" w:lineRule="atLeast"/>
              <w:ind w:left="113" w:right="113"/>
            </w:pPr>
            <w:r>
              <w:rPr>
                <w:rFonts w:ascii="標楷體" w:eastAsia="標楷體" w:hAnsi="標楷體" w:cs="Arial"/>
                <w:kern w:val="0"/>
                <w:sz w:val="22"/>
              </w:rPr>
              <w:lastRenderedPageBreak/>
              <w:t>感覺(神經病變)</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5CC39DF" w14:textId="77777777" w:rsidR="00401786" w:rsidRDefault="00C64FB3" w:rsidP="000E757E">
            <w:pPr>
              <w:snapToGrid w:val="0"/>
              <w:spacing w:line="240" w:lineRule="atLeast"/>
              <w:ind w:left="113" w:right="113"/>
            </w:pPr>
            <w:r>
              <w:rPr>
                <w:rFonts w:ascii="標楷體" w:eastAsia="標楷體" w:hAnsi="標楷體" w:cs="Arial"/>
                <w:kern w:val="0"/>
                <w:sz w:val="22"/>
              </w:rPr>
              <w:t>深部肌腱反射減弱或出現感覺異常的現象，但不影響身體功能。</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D4F653"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2CB5636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C3B3A40" w14:textId="77777777" w:rsidR="00401786" w:rsidRDefault="00C64FB3" w:rsidP="000E757E">
            <w:pPr>
              <w:snapToGrid w:val="0"/>
              <w:spacing w:line="240" w:lineRule="atLeast"/>
              <w:ind w:left="113" w:right="113"/>
            </w:pPr>
            <w:r>
              <w:rPr>
                <w:rFonts w:ascii="標楷體" w:eastAsia="標楷體" w:hAnsi="標楷體" w:cs="Arial"/>
                <w:kern w:val="0"/>
                <w:sz w:val="22"/>
              </w:rPr>
              <w:t>動作協調不良</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369334"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3B9DF3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808E6B4"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B41EA5" w14:textId="77777777" w:rsidR="00401786" w:rsidRDefault="00C64FB3" w:rsidP="000E757E">
            <w:pPr>
              <w:snapToGrid w:val="0"/>
              <w:spacing w:line="240" w:lineRule="atLeast"/>
              <w:ind w:left="113" w:right="113"/>
            </w:pPr>
            <w:r>
              <w:rPr>
                <w:rFonts w:ascii="標楷體" w:eastAsia="標楷體" w:hAnsi="標楷體" w:cs="Arial"/>
                <w:kern w:val="0"/>
                <w:sz w:val="22"/>
              </w:rPr>
              <w:t>視力</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0875D0" w14:textId="77777777" w:rsidR="00401786" w:rsidRDefault="00C64FB3" w:rsidP="000E757E">
            <w:pPr>
              <w:snapToGrid w:val="0"/>
              <w:spacing w:line="240" w:lineRule="atLeast"/>
              <w:ind w:left="113" w:right="113"/>
            </w:pPr>
            <w:r>
              <w:rPr>
                <w:rFonts w:ascii="標楷體" w:eastAsia="標楷體" w:hAnsi="標楷體" w:cs="Arial"/>
                <w:kern w:val="0"/>
                <w:sz w:val="22"/>
              </w:rPr>
              <w:t>出現症狀並會干擾身體功能，但不影響日常活動。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9C662F"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7F29C6C"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588741C2"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皮膚</w:t>
            </w:r>
          </w:p>
        </w:tc>
      </w:tr>
      <w:tr w:rsidR="00401786" w14:paraId="076C87E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67B91F" w14:textId="77777777" w:rsidR="00401786" w:rsidRDefault="00C64FB3" w:rsidP="000E757E">
            <w:pPr>
              <w:snapToGrid w:val="0"/>
              <w:spacing w:line="240" w:lineRule="atLeast"/>
              <w:ind w:left="113" w:right="113"/>
            </w:pPr>
            <w:r>
              <w:rPr>
                <w:rFonts w:ascii="標楷體" w:eastAsia="標楷體" w:hAnsi="標楷體" w:cs="Arial"/>
                <w:kern w:val="0"/>
                <w:sz w:val="22"/>
              </w:rPr>
              <w:t>禿髮</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35A497" w14:textId="77777777" w:rsidR="00401786" w:rsidRDefault="00C64FB3" w:rsidP="000E757E">
            <w:pPr>
              <w:snapToGrid w:val="0"/>
              <w:spacing w:line="240" w:lineRule="atLeast"/>
              <w:ind w:left="113" w:right="113"/>
            </w:pPr>
            <w:r>
              <w:rPr>
                <w:rFonts w:ascii="標楷體" w:eastAsia="標楷體" w:hAnsi="標楷體" w:cs="Arial"/>
                <w:kern w:val="0"/>
                <w:sz w:val="22"/>
              </w:rPr>
              <w:t>毛髮明顯減少。</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F815E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2215ED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A73622" w14:textId="77777777" w:rsidR="00401786" w:rsidRDefault="00C64FB3" w:rsidP="000E757E">
            <w:pPr>
              <w:snapToGrid w:val="0"/>
              <w:spacing w:line="240" w:lineRule="atLeast"/>
              <w:ind w:left="113" w:right="113"/>
            </w:pPr>
            <w:r>
              <w:rPr>
                <w:rFonts w:ascii="標楷體" w:eastAsia="標楷體" w:hAnsi="標楷體" w:cs="Arial"/>
                <w:kern w:val="0"/>
                <w:sz w:val="22"/>
              </w:rPr>
              <w:t>發癢</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ED4A88B" w14:textId="77777777" w:rsidR="00401786" w:rsidRDefault="00C64FB3" w:rsidP="000E757E">
            <w:pPr>
              <w:snapToGrid w:val="0"/>
              <w:spacing w:line="240" w:lineRule="atLeast"/>
              <w:ind w:left="113" w:right="113"/>
            </w:pPr>
            <w:r>
              <w:rPr>
                <w:rFonts w:ascii="標楷體" w:eastAsia="標楷體" w:hAnsi="標楷體" w:cs="Arial"/>
                <w:kern w:val="0"/>
                <w:sz w:val="22"/>
              </w:rPr>
              <w:t>症狀強烈且分佈範圍廣泛，並會對日常生活造成干擾。</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52AF7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A89DF3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3F2675" w14:textId="77777777" w:rsidR="00401786" w:rsidRDefault="00C64FB3" w:rsidP="000E757E">
            <w:pPr>
              <w:snapToGrid w:val="0"/>
              <w:spacing w:line="240" w:lineRule="atLeast"/>
              <w:ind w:left="113" w:right="113"/>
            </w:pPr>
            <w:r>
              <w:rPr>
                <w:rFonts w:ascii="標楷體" w:eastAsia="標楷體" w:hAnsi="標楷體" w:cs="Arial"/>
                <w:kern w:val="0"/>
                <w:sz w:val="22"/>
              </w:rPr>
              <w:t>光敏感</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B328A1"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出現疼痛性紅斑及(或)水泡。</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E2A5EF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EF8F0EE"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45A870" w14:textId="77777777" w:rsidR="00401786" w:rsidRDefault="00C64FB3" w:rsidP="000E757E">
            <w:pPr>
              <w:snapToGrid w:val="0"/>
              <w:spacing w:line="240" w:lineRule="atLeast"/>
              <w:ind w:left="113" w:right="113"/>
            </w:pPr>
            <w:r>
              <w:rPr>
                <w:rFonts w:ascii="標楷體" w:eastAsia="標楷體" w:hAnsi="標楷體" w:cs="Arial"/>
                <w:kern w:val="0"/>
                <w:sz w:val="22"/>
              </w:rPr>
              <w:t>皮疹/脫皮</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5B8789" w14:textId="77777777" w:rsidR="00401786" w:rsidRDefault="00C64FB3" w:rsidP="000E757E">
            <w:pPr>
              <w:snapToGrid w:val="0"/>
              <w:spacing w:line="240" w:lineRule="atLeast"/>
              <w:ind w:left="113" w:right="113"/>
            </w:pPr>
            <w:r>
              <w:rPr>
                <w:rFonts w:ascii="標楷體" w:eastAsia="標楷體" w:hAnsi="標楷體" w:cs="Arial"/>
                <w:kern w:val="0"/>
                <w:sz w:val="22"/>
              </w:rPr>
              <w:t>出現分散的</w:t>
            </w:r>
            <w:proofErr w:type="gramStart"/>
            <w:r>
              <w:rPr>
                <w:rFonts w:ascii="標楷體" w:eastAsia="標楷體" w:hAnsi="標楷體" w:cs="Arial"/>
                <w:kern w:val="0"/>
                <w:sz w:val="22"/>
              </w:rPr>
              <w:t>斑狀或丘狀</w:t>
            </w:r>
            <w:proofErr w:type="gramEnd"/>
            <w:r>
              <w:rPr>
                <w:rFonts w:ascii="標楷體" w:eastAsia="標楷體" w:hAnsi="標楷體" w:cs="Arial"/>
                <w:kern w:val="0"/>
                <w:sz w:val="22"/>
              </w:rPr>
              <w:t>皮疹或紅斑，並有搔癢或其它相關症狀，分佈範圍&lt;50%體表面積；或出現局部脫皮的現象或其它病變，分佈範圍&lt;50%體表面積。</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76B6B1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59CD74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F3FB98C" w14:textId="77777777" w:rsidR="00401786" w:rsidRDefault="00C64FB3" w:rsidP="000E757E">
            <w:pPr>
              <w:snapToGrid w:val="0"/>
              <w:spacing w:line="240" w:lineRule="atLeast"/>
              <w:ind w:left="113" w:right="113"/>
            </w:pPr>
            <w:r>
              <w:rPr>
                <w:rFonts w:ascii="標楷體" w:eastAsia="標楷體" w:hAnsi="標楷體" w:cs="Arial"/>
                <w:kern w:val="0"/>
                <w:sz w:val="22"/>
              </w:rPr>
              <w:t>蕁麻疹</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BDF698" w14:textId="77777777" w:rsidR="00401786" w:rsidRDefault="00C64FB3" w:rsidP="000E757E">
            <w:pPr>
              <w:snapToGrid w:val="0"/>
              <w:spacing w:line="240" w:lineRule="atLeast"/>
              <w:ind w:left="113" w:right="113"/>
            </w:pPr>
            <w:r>
              <w:rPr>
                <w:rFonts w:ascii="標楷體" w:eastAsia="標楷體" w:hAnsi="標楷體" w:cs="Arial"/>
                <w:kern w:val="0"/>
                <w:sz w:val="22"/>
              </w:rPr>
              <w:t>需接受&lt;24小時的藥物治療。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A9EAA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497035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CFC6063" w14:textId="77777777" w:rsidR="00401786" w:rsidRDefault="00C64FB3" w:rsidP="000E757E">
            <w:pPr>
              <w:snapToGrid w:val="0"/>
              <w:spacing w:line="240" w:lineRule="atLeast"/>
              <w:ind w:left="113" w:right="113"/>
            </w:pPr>
            <w:r>
              <w:rPr>
                <w:rFonts w:ascii="標楷體" w:eastAsia="標楷體" w:hAnsi="標楷體" w:cs="Arial"/>
                <w:kern w:val="0"/>
                <w:sz w:val="22"/>
              </w:rPr>
              <w:t>血管炎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90AB7BE"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37BE94"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F6FFF8D"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7067F6B2"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肝臟</w:t>
            </w:r>
          </w:p>
        </w:tc>
      </w:tr>
      <w:tr w:rsidR="00401786" w14:paraId="510D7739"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ABABD9"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血清鹼性磷酸酶</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EC85B0" w14:textId="77777777" w:rsidR="00401786" w:rsidRDefault="00C64FB3" w:rsidP="000E757E">
            <w:pPr>
              <w:snapToGrid w:val="0"/>
              <w:spacing w:line="240" w:lineRule="atLeast"/>
              <w:ind w:left="113" w:right="113"/>
            </w:pPr>
            <w:r>
              <w:rPr>
                <w:rFonts w:ascii="標楷體" w:eastAsia="標楷體" w:hAnsi="標楷體" w:cs="Arial"/>
                <w:kern w:val="0"/>
                <w:sz w:val="22"/>
              </w:rPr>
              <w:t>2.5xULN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D19352"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70F5EA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A395A9" w14:textId="77777777" w:rsidR="00401786" w:rsidRDefault="00C64FB3" w:rsidP="000E757E">
            <w:pPr>
              <w:snapToGrid w:val="0"/>
              <w:spacing w:line="240" w:lineRule="atLeast"/>
              <w:ind w:left="113" w:right="113"/>
            </w:pPr>
            <w:r>
              <w:rPr>
                <w:rFonts w:ascii="標楷體" w:eastAsia="標楷體" w:hAnsi="標楷體" w:cs="Arial"/>
                <w:kern w:val="0"/>
                <w:sz w:val="22"/>
              </w:rPr>
              <w:t>膽紅素升高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B12099" w14:textId="77777777" w:rsidR="00401786" w:rsidRDefault="00C64FB3" w:rsidP="000E757E">
            <w:pPr>
              <w:snapToGrid w:val="0"/>
              <w:spacing w:line="240" w:lineRule="atLeast"/>
              <w:ind w:left="113" w:right="113"/>
            </w:pPr>
            <w:r>
              <w:rPr>
                <w:rFonts w:ascii="標楷體" w:eastAsia="標楷體" w:hAnsi="標楷體" w:cs="Arial"/>
                <w:kern w:val="0"/>
                <w:sz w:val="22"/>
              </w:rPr>
              <w:t>&gt;1.5xULN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3C943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970759C"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AEB73C" w14:textId="77777777" w:rsidR="00401786" w:rsidRDefault="00C64FB3" w:rsidP="000E757E">
            <w:pPr>
              <w:snapToGrid w:val="0"/>
              <w:spacing w:line="240" w:lineRule="atLeast"/>
              <w:ind w:left="113" w:right="113"/>
            </w:pPr>
            <w:r>
              <w:rPr>
                <w:rFonts w:ascii="標楷體" w:eastAsia="標楷體" w:hAnsi="標楷體" w:cs="Arial"/>
                <w:kern w:val="0"/>
                <w:sz w:val="22"/>
              </w:rPr>
              <w:t>轉胺酶升高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0B843B9" w14:textId="77777777" w:rsidR="00401786" w:rsidRDefault="00C64FB3" w:rsidP="000E757E">
            <w:pPr>
              <w:snapToGrid w:val="0"/>
              <w:spacing w:line="240" w:lineRule="atLeast"/>
              <w:ind w:left="113" w:right="113"/>
            </w:pPr>
            <w:r>
              <w:rPr>
                <w:rFonts w:ascii="標楷體" w:eastAsia="標楷體" w:hAnsi="標楷體" w:cs="Arial"/>
                <w:kern w:val="0"/>
                <w:sz w:val="22"/>
              </w:rPr>
              <w:t>一次檢查的結果顯示ALT及(或)AST&gt;2.5xULN，或3次檢查的結果顯示&gt;1.5xULN。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80B029F"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6E7F057"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1A5CD870"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呼吸道</w:t>
            </w:r>
          </w:p>
        </w:tc>
      </w:tr>
      <w:tr w:rsidR="00401786" w14:paraId="2D6B0D36"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FC2787" w14:textId="77777777" w:rsidR="00401786" w:rsidRDefault="00C64FB3" w:rsidP="000E757E">
            <w:pPr>
              <w:snapToGrid w:val="0"/>
              <w:spacing w:line="240" w:lineRule="atLeast"/>
              <w:ind w:left="113" w:right="113"/>
            </w:pPr>
            <w:r>
              <w:rPr>
                <w:rFonts w:ascii="標楷體" w:eastAsia="標楷體" w:hAnsi="標楷體" w:cs="Arial"/>
                <w:kern w:val="0"/>
                <w:sz w:val="22"/>
              </w:rPr>
              <w:t>咳嗽(嚴重)</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852B80" w14:textId="77777777" w:rsidR="00401786" w:rsidRDefault="00C64FB3" w:rsidP="000E757E">
            <w:pPr>
              <w:snapToGrid w:val="0"/>
              <w:spacing w:line="240" w:lineRule="atLeast"/>
              <w:ind w:left="113" w:right="113"/>
            </w:pPr>
            <w:r>
              <w:rPr>
                <w:rFonts w:ascii="標楷體" w:eastAsia="標楷體" w:hAnsi="標楷體" w:cs="Arial"/>
                <w:kern w:val="0"/>
                <w:sz w:val="22"/>
              </w:rPr>
              <w:t>嚴重咳嗽或咳嗽性痙攣，且治療控制效果不佳或無法對治療產生反應。證據顯示停止治療後可恢復正常。</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E2B5F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5AF7A1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E693AD" w14:textId="77777777" w:rsidR="00401786" w:rsidRDefault="00C64FB3" w:rsidP="000E757E">
            <w:pPr>
              <w:snapToGrid w:val="0"/>
              <w:spacing w:line="240" w:lineRule="atLeast"/>
              <w:ind w:left="113" w:right="113"/>
            </w:pPr>
            <w:r>
              <w:rPr>
                <w:rFonts w:ascii="標楷體" w:eastAsia="標楷體" w:hAnsi="標楷體" w:cs="Arial"/>
                <w:kern w:val="0"/>
                <w:sz w:val="22"/>
              </w:rPr>
              <w:t>呼吸困難</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BC437D" w14:textId="77777777" w:rsidR="00401786" w:rsidRDefault="00C64FB3" w:rsidP="000E757E">
            <w:pPr>
              <w:snapToGrid w:val="0"/>
              <w:spacing w:line="240" w:lineRule="atLeast"/>
              <w:ind w:left="113" w:right="113"/>
            </w:pPr>
            <w:r>
              <w:rPr>
                <w:rFonts w:ascii="標楷體" w:eastAsia="標楷體" w:hAnsi="標楷體" w:cs="Arial"/>
                <w:kern w:val="0"/>
                <w:sz w:val="22"/>
              </w:rPr>
              <w:t>用力時會出現呼吸短促的現象，進行一般的日常活動時也會出現症狀。</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76052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DC6488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EA7EB3" w14:textId="77777777" w:rsidR="00401786" w:rsidRDefault="00C64FB3" w:rsidP="000E757E">
            <w:pPr>
              <w:snapToGrid w:val="0"/>
              <w:spacing w:line="240" w:lineRule="atLeast"/>
              <w:ind w:left="113" w:right="113"/>
            </w:pPr>
            <w:r>
              <w:rPr>
                <w:rFonts w:ascii="標楷體" w:eastAsia="標楷體" w:hAnsi="標楷體" w:cs="Arial"/>
                <w:kern w:val="0"/>
                <w:sz w:val="22"/>
              </w:rPr>
              <w:t>肺炎/肺浸潤</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A0B460F" w14:textId="77777777" w:rsidR="00401786" w:rsidRDefault="00C64FB3" w:rsidP="000E757E">
            <w:pPr>
              <w:snapToGrid w:val="0"/>
              <w:spacing w:line="240" w:lineRule="atLeast"/>
              <w:ind w:left="113" w:right="113"/>
            </w:pPr>
            <w:r>
              <w:rPr>
                <w:rFonts w:ascii="標楷體" w:eastAsia="標楷體" w:hAnsi="標楷體" w:cs="Arial"/>
                <w:kern w:val="0"/>
                <w:sz w:val="22"/>
              </w:rPr>
              <w:t>X光檢查發現變化，且需使用類固醇或利尿劑治療。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8B8DA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722C38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DA90AF" w14:textId="77777777" w:rsidR="00401786" w:rsidRDefault="00C64FB3" w:rsidP="000E757E">
            <w:pPr>
              <w:snapToGrid w:val="0"/>
              <w:spacing w:line="240" w:lineRule="atLeast"/>
              <w:ind w:left="113" w:right="113"/>
            </w:pPr>
            <w:r>
              <w:rPr>
                <w:rFonts w:ascii="標楷體" w:eastAsia="標楷體" w:hAnsi="標楷體" w:cs="Arial"/>
                <w:kern w:val="0"/>
                <w:sz w:val="22"/>
              </w:rPr>
              <w:t>肺纖維化</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ED5148"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需使用類固醇或利尿劑治療。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540A7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05686F1"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1BB52B9B" w14:textId="77777777" w:rsidR="00401786" w:rsidRDefault="00C64FB3" w:rsidP="000E757E">
            <w:pPr>
              <w:snapToGrid w:val="0"/>
              <w:spacing w:before="60" w:after="60" w:line="240" w:lineRule="atLeast"/>
              <w:ind w:left="113" w:right="113"/>
              <w:rPr>
                <w:rFonts w:ascii="標楷體" w:eastAsia="標楷體" w:hAnsi="標楷體" w:cs="Arial"/>
                <w:b/>
                <w:sz w:val="28"/>
                <w:szCs w:val="28"/>
              </w:rPr>
            </w:pPr>
            <w:r>
              <w:rPr>
                <w:rFonts w:ascii="標楷體" w:eastAsia="標楷體" w:hAnsi="標楷體" w:cs="Arial"/>
                <w:b/>
                <w:sz w:val="28"/>
                <w:szCs w:val="28"/>
              </w:rPr>
              <w:t>腎臟</w:t>
            </w:r>
          </w:p>
        </w:tc>
      </w:tr>
      <w:tr w:rsidR="00401786" w14:paraId="1A407F2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8396C7"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尿素</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3C3837"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2.5xULN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4593B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517915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5B442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膀胱炎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515F9C"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經常排尿困難；有肉眼可見的血尿現象；細菌培養呈陰性反應。重新治療仍會再度發生。</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3CDB14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2EE018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2FA38E"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血鉀升高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2A2361D"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6.0mmol/L</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029A8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38BA26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BDB7DD"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C4383FC"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血尿現象肉眼明顯可見。</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2B273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8D0291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E1F8D8"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水腫</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1475D9" w14:textId="77777777" w:rsidR="00401786" w:rsidRDefault="00C64FB3" w:rsidP="000E757E">
            <w:pPr>
              <w:snapToGrid w:val="0"/>
              <w:spacing w:line="240" w:lineRule="atLeast"/>
              <w:ind w:left="113" w:right="113"/>
              <w:rPr>
                <w:rFonts w:ascii="標楷體" w:eastAsia="標楷體" w:hAnsi="標楷體" w:cs="Arial"/>
                <w:kern w:val="0"/>
                <w:sz w:val="22"/>
              </w:rPr>
            </w:pPr>
            <w:proofErr w:type="gramStart"/>
            <w:r>
              <w:rPr>
                <w:rFonts w:ascii="標楷體" w:eastAsia="標楷體" w:hAnsi="標楷體" w:cs="Arial"/>
                <w:kern w:val="0"/>
                <w:sz w:val="22"/>
              </w:rPr>
              <w:t>膝部或較</w:t>
            </w:r>
            <w:proofErr w:type="gramEnd"/>
            <w:r>
              <w:rPr>
                <w:rFonts w:ascii="標楷體" w:eastAsia="標楷體" w:hAnsi="標楷體" w:cs="Arial"/>
                <w:kern w:val="0"/>
                <w:sz w:val="22"/>
              </w:rPr>
              <w:t>高的部位出現凹陷性水腫。</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F9D794"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9B61D5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C67ABB"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蛋白尿</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5F241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2+級(含)以上(或1.0</w:t>
            </w:r>
            <w:proofErr w:type="gramStart"/>
            <w:r>
              <w:rPr>
                <w:rFonts w:ascii="標楷體" w:eastAsia="標楷體" w:hAnsi="標楷體" w:cs="Arial"/>
                <w:kern w:val="0"/>
                <w:sz w:val="22"/>
              </w:rPr>
              <w:t>–</w:t>
            </w:r>
            <w:proofErr w:type="gramEnd"/>
            <w:r>
              <w:rPr>
                <w:rFonts w:ascii="標楷體" w:eastAsia="標楷體" w:hAnsi="標楷體" w:cs="Arial"/>
                <w:kern w:val="0"/>
                <w:sz w:val="22"/>
              </w:rPr>
              <w:t>3.5克/24小時)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F74245"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A98685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908F5C" w14:textId="77777777" w:rsidR="00401786" w:rsidRDefault="00C64FB3" w:rsidP="000E757E">
            <w:pPr>
              <w:snapToGrid w:val="0"/>
              <w:spacing w:line="240" w:lineRule="atLeast"/>
              <w:ind w:left="113" w:right="113"/>
            </w:pPr>
            <w:r>
              <w:rPr>
                <w:rFonts w:ascii="標楷體" w:eastAsia="標楷體" w:hAnsi="標楷體" w:cs="Arial"/>
                <w:kern w:val="0"/>
                <w:sz w:val="22"/>
              </w:rPr>
              <w:t>腎功能損害</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6D8A6D2"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肌</w:t>
            </w:r>
            <w:proofErr w:type="gramEnd"/>
            <w:r>
              <w:rPr>
                <w:rFonts w:ascii="標楷體" w:eastAsia="標楷體" w:hAnsi="標楷體" w:cs="Arial"/>
                <w:kern w:val="0"/>
                <w:sz w:val="22"/>
              </w:rPr>
              <w:t>酸酐廓清率&lt;30毫升/分鐘。</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849D6F"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0655E890"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3E6BFB9" w14:textId="77777777" w:rsidR="00401786" w:rsidRDefault="00C64FB3" w:rsidP="000E757E">
            <w:pPr>
              <w:snapToGrid w:val="0"/>
              <w:spacing w:before="60" w:after="60" w:line="240" w:lineRule="atLeast"/>
              <w:ind w:left="113" w:right="113"/>
            </w:pPr>
            <w:r>
              <w:rPr>
                <w:rFonts w:ascii="標楷體" w:eastAsia="標楷體" w:hAnsi="標楷體" w:cs="Arial"/>
                <w:b/>
                <w:sz w:val="28"/>
                <w:szCs w:val="28"/>
              </w:rPr>
              <w:t>其它</w:t>
            </w:r>
          </w:p>
        </w:tc>
      </w:tr>
      <w:tr w:rsidR="00401786" w14:paraId="20E99414"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C79350" w14:textId="77777777" w:rsidR="00401786" w:rsidRDefault="00C64FB3" w:rsidP="000E757E">
            <w:pPr>
              <w:snapToGrid w:val="0"/>
              <w:spacing w:line="240" w:lineRule="atLeast"/>
              <w:ind w:left="113" w:right="113"/>
            </w:pPr>
            <w:r>
              <w:rPr>
                <w:rFonts w:ascii="標楷體" w:eastAsia="標楷體" w:hAnsi="標楷體" w:cs="Arial"/>
                <w:kern w:val="0"/>
                <w:sz w:val="22"/>
              </w:rPr>
              <w:t>過敏</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6B23FB" w14:textId="77777777" w:rsidR="00401786" w:rsidRDefault="00C64FB3" w:rsidP="000E757E">
            <w:pPr>
              <w:snapToGrid w:val="0"/>
              <w:spacing w:line="240" w:lineRule="atLeast"/>
              <w:ind w:left="113" w:right="113"/>
            </w:pPr>
            <w:r>
              <w:rPr>
                <w:rFonts w:ascii="標楷體" w:eastAsia="標楷體" w:hAnsi="標楷體" w:cs="Arial"/>
                <w:kern w:val="0"/>
                <w:sz w:val="22"/>
              </w:rPr>
              <w:t>蕁麻疹、藥物熱&gt;38°C、或支氣管痙攣。</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500557"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E8F0E5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E282F5" w14:textId="77777777" w:rsidR="00401786" w:rsidRDefault="00C64FB3" w:rsidP="000E757E">
            <w:pPr>
              <w:snapToGrid w:val="0"/>
              <w:spacing w:line="240" w:lineRule="atLeast"/>
              <w:ind w:left="113" w:right="113"/>
            </w:pPr>
            <w:r>
              <w:rPr>
                <w:rFonts w:ascii="標楷體" w:eastAsia="標楷體" w:hAnsi="標楷體" w:cs="Arial"/>
                <w:kern w:val="0"/>
                <w:sz w:val="22"/>
              </w:rPr>
              <w:t>發燒(未出現</w:t>
            </w: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中性白血球減少的現象)</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C6B39D" w14:textId="77777777" w:rsidR="00401786" w:rsidRDefault="00C64FB3" w:rsidP="000E757E">
            <w:pPr>
              <w:snapToGrid w:val="0"/>
              <w:spacing w:line="240" w:lineRule="atLeast"/>
              <w:ind w:left="113" w:right="113"/>
            </w:pPr>
            <w:r>
              <w:rPr>
                <w:rFonts w:ascii="標楷體" w:eastAsia="標楷體" w:hAnsi="標楷體" w:cs="Arial"/>
                <w:kern w:val="0"/>
                <w:sz w:val="22"/>
              </w:rPr>
              <w:t>體溫&gt;39°C(</w:t>
            </w:r>
            <w:proofErr w:type="gramStart"/>
            <w:r>
              <w:rPr>
                <w:rFonts w:ascii="標楷體" w:eastAsia="標楷體" w:hAnsi="標楷體" w:cs="Arial"/>
                <w:kern w:val="0"/>
                <w:sz w:val="22"/>
              </w:rPr>
              <w:t>口溫或耳</w:t>
            </w:r>
            <w:proofErr w:type="gramEnd"/>
            <w:r>
              <w:rPr>
                <w:rFonts w:ascii="標楷體" w:eastAsia="標楷體" w:hAnsi="標楷體" w:cs="Arial"/>
                <w:kern w:val="0"/>
                <w:sz w:val="22"/>
              </w:rPr>
              <w:t>溫)。</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E57A3C"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E23A77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26D2F6" w14:textId="77777777" w:rsidR="00401786" w:rsidRDefault="00C64FB3" w:rsidP="000E757E">
            <w:pPr>
              <w:snapToGrid w:val="0"/>
              <w:spacing w:line="240" w:lineRule="atLeast"/>
              <w:ind w:left="113" w:right="113"/>
            </w:pPr>
            <w:r>
              <w:rPr>
                <w:rFonts w:ascii="標楷體" w:eastAsia="標楷體" w:hAnsi="標楷體" w:cs="Arial"/>
                <w:kern w:val="0"/>
                <w:sz w:val="22"/>
              </w:rPr>
              <w:t>感染</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97804A8" w14:textId="77777777" w:rsidR="00401786" w:rsidRDefault="00C64FB3" w:rsidP="000E757E">
            <w:pPr>
              <w:snapToGrid w:val="0"/>
              <w:spacing w:line="240" w:lineRule="atLeast"/>
              <w:ind w:left="113" w:right="113"/>
            </w:pPr>
            <w:r>
              <w:rPr>
                <w:rFonts w:ascii="標楷體" w:eastAsia="標楷體" w:hAnsi="標楷體" w:cs="Arial"/>
                <w:kern w:val="0"/>
                <w:sz w:val="22"/>
              </w:rPr>
              <w:t>嚴重的全身性感染，需接受IV抗菌治療或住院治療。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C5759F9"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71BCD79"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DC1309"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冒汗</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D330D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經常發生，並會汗濕全身，72小時內發生&gt;4次。</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046ECF"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bl>
    <w:p w14:paraId="40A65F5E" w14:textId="77777777" w:rsidR="00401786" w:rsidRDefault="00401786" w:rsidP="000E757E">
      <w:pPr>
        <w:snapToGrid w:val="0"/>
        <w:spacing w:line="240" w:lineRule="atLeast"/>
        <w:rPr>
          <w:rFonts w:ascii="標楷體" w:eastAsia="標楷體" w:hAnsi="標楷體" w:cs="Arial"/>
        </w:rPr>
      </w:pPr>
    </w:p>
    <w:p w14:paraId="49A56CC5" w14:textId="77777777" w:rsidR="00401786" w:rsidRDefault="00401786" w:rsidP="000E757E">
      <w:pPr>
        <w:pageBreakBefore/>
        <w:widowControl/>
        <w:suppressAutoHyphens w:val="0"/>
        <w:spacing w:line="240" w:lineRule="atLeast"/>
        <w:rPr>
          <w:rFonts w:ascii="標楷體" w:eastAsia="標楷體" w:hAnsi="標楷體" w:cs="Arial"/>
        </w:rPr>
      </w:pPr>
    </w:p>
    <w:p w14:paraId="6A4A9050" w14:textId="77777777" w:rsidR="00401786" w:rsidRPr="005C51CB" w:rsidRDefault="00C64FB3" w:rsidP="000E757E">
      <w:pPr>
        <w:widowControl/>
        <w:spacing w:line="240" w:lineRule="atLeast"/>
        <w:jc w:val="center"/>
        <w:rPr>
          <w:rFonts w:ascii="標楷體" w:eastAsia="標楷體" w:hAnsi="標楷體"/>
          <w:b/>
          <w:bCs/>
          <w:szCs w:val="24"/>
        </w:rPr>
      </w:pPr>
      <w:r w:rsidRPr="005C51CB">
        <w:rPr>
          <w:rFonts w:ascii="標楷體" w:eastAsia="標楷體" w:hAnsi="標楷體"/>
          <w:b/>
          <w:bCs/>
          <w:szCs w:val="24"/>
        </w:rPr>
        <w:t>附表二十二之六：全民健康保險</w:t>
      </w:r>
      <w:proofErr w:type="gramStart"/>
      <w:r w:rsidRPr="005C51CB">
        <w:rPr>
          <w:rFonts w:ascii="標楷體" w:eastAsia="標楷體" w:hAnsi="標楷體"/>
          <w:b/>
          <w:bCs/>
          <w:szCs w:val="24"/>
        </w:rPr>
        <w:t>乾癬性周邊</w:t>
      </w:r>
      <w:proofErr w:type="gramEnd"/>
      <w:r w:rsidRPr="005C51CB">
        <w:rPr>
          <w:rFonts w:ascii="標楷體" w:eastAsia="標楷體" w:hAnsi="標楷體"/>
          <w:b/>
          <w:bCs/>
          <w:szCs w:val="24"/>
        </w:rPr>
        <w:t>關節炎使用</w:t>
      </w:r>
    </w:p>
    <w:p w14:paraId="498F4998" w14:textId="77777777" w:rsidR="00401786" w:rsidRPr="005C51CB" w:rsidRDefault="00C64FB3" w:rsidP="000E757E">
      <w:pPr>
        <w:widowControl/>
        <w:spacing w:line="240" w:lineRule="atLeast"/>
        <w:jc w:val="center"/>
        <w:rPr>
          <w:rFonts w:ascii="標楷體" w:eastAsia="標楷體" w:hAnsi="標楷體"/>
          <w:b/>
          <w:bCs/>
          <w:szCs w:val="24"/>
        </w:rPr>
      </w:pPr>
      <w:proofErr w:type="spellStart"/>
      <w:r w:rsidRPr="005C51CB">
        <w:rPr>
          <w:rFonts w:ascii="標楷體" w:eastAsia="標楷體" w:hAnsi="標楷體"/>
          <w:b/>
          <w:bCs/>
          <w:szCs w:val="24"/>
        </w:rPr>
        <w:t>ustekinumab</w:t>
      </w:r>
      <w:proofErr w:type="spellEnd"/>
      <w:r w:rsidRPr="005C51CB">
        <w:rPr>
          <w:rFonts w:ascii="標楷體" w:eastAsia="標楷體" w:hAnsi="標楷體"/>
          <w:b/>
          <w:bCs/>
          <w:szCs w:val="24"/>
        </w:rPr>
        <w:t>/</w:t>
      </w:r>
      <w:proofErr w:type="spellStart"/>
      <w:r w:rsidRPr="005C51CB">
        <w:rPr>
          <w:rFonts w:ascii="標楷體" w:eastAsia="標楷體" w:hAnsi="標楷體"/>
          <w:b/>
          <w:bCs/>
          <w:szCs w:val="24"/>
        </w:rPr>
        <w:t>guselkumab</w:t>
      </w:r>
      <w:proofErr w:type="spellEnd"/>
      <w:r w:rsidRPr="005C51CB">
        <w:rPr>
          <w:rFonts w:ascii="標楷體" w:eastAsia="標楷體" w:hAnsi="標楷體"/>
          <w:b/>
          <w:bCs/>
          <w:szCs w:val="24"/>
        </w:rPr>
        <w:t>/</w:t>
      </w:r>
      <w:proofErr w:type="spellStart"/>
      <w:r w:rsidRPr="005C51CB">
        <w:rPr>
          <w:rFonts w:ascii="標楷體" w:eastAsia="標楷體" w:hAnsi="標楷體"/>
          <w:b/>
          <w:bCs/>
          <w:szCs w:val="24"/>
        </w:rPr>
        <w:t>risankizumab</w:t>
      </w:r>
      <w:proofErr w:type="spellEnd"/>
      <w:r w:rsidRPr="005C51CB">
        <w:rPr>
          <w:rFonts w:ascii="標楷體" w:eastAsia="標楷體" w:hAnsi="標楷體"/>
          <w:b/>
          <w:bCs/>
          <w:szCs w:val="24"/>
        </w:rPr>
        <w:t>申請表(第一頁)</w:t>
      </w:r>
    </w:p>
    <w:tbl>
      <w:tblPr>
        <w:tblW w:w="9930" w:type="dxa"/>
        <w:tblCellMar>
          <w:left w:w="10" w:type="dxa"/>
          <w:right w:w="10" w:type="dxa"/>
        </w:tblCellMar>
        <w:tblLook w:val="0000" w:firstRow="0" w:lastRow="0" w:firstColumn="0" w:lastColumn="0" w:noHBand="0" w:noVBand="0"/>
      </w:tblPr>
      <w:tblGrid>
        <w:gridCol w:w="1560"/>
        <w:gridCol w:w="1524"/>
        <w:gridCol w:w="1388"/>
        <w:gridCol w:w="470"/>
        <w:gridCol w:w="1114"/>
        <w:gridCol w:w="1025"/>
        <w:gridCol w:w="2849"/>
      </w:tblGrid>
      <w:tr w:rsidR="00401786" w14:paraId="20163A89" w14:textId="77777777">
        <w:trPr>
          <w:trHeight w:val="300"/>
        </w:trPr>
        <w:tc>
          <w:tcPr>
            <w:tcW w:w="1560"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90721B7"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醫院代號</w:t>
            </w:r>
          </w:p>
        </w:tc>
        <w:tc>
          <w:tcPr>
            <w:tcW w:w="1524"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A5269F"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7C783FD"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醫院名稱</w:t>
            </w:r>
          </w:p>
        </w:tc>
        <w:tc>
          <w:tcPr>
            <w:tcW w:w="1584"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C1F8622"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0699EB2"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申請日期</w:t>
            </w:r>
          </w:p>
        </w:tc>
        <w:tc>
          <w:tcPr>
            <w:tcW w:w="2849"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EF9CC10"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r>
      <w:tr w:rsidR="00401786" w14:paraId="5B7DAB18" w14:textId="77777777">
        <w:trPr>
          <w:trHeight w:val="285"/>
        </w:trPr>
        <w:tc>
          <w:tcPr>
            <w:tcW w:w="156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FD06081"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病人姓名</w:t>
            </w:r>
          </w:p>
        </w:tc>
        <w:tc>
          <w:tcPr>
            <w:tcW w:w="152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12FA52"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1A043E"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性別</w:t>
            </w:r>
          </w:p>
        </w:tc>
        <w:tc>
          <w:tcPr>
            <w:tcW w:w="158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02179F1"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F4FEDF7"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出生日期</w:t>
            </w:r>
          </w:p>
        </w:tc>
        <w:tc>
          <w:tcPr>
            <w:tcW w:w="284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868E749"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r>
      <w:tr w:rsidR="00401786" w14:paraId="64D3E77C" w14:textId="77777777">
        <w:trPr>
          <w:trHeight w:val="315"/>
        </w:trPr>
        <w:tc>
          <w:tcPr>
            <w:tcW w:w="156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F198DCF"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身分證號</w:t>
            </w:r>
          </w:p>
        </w:tc>
        <w:tc>
          <w:tcPr>
            <w:tcW w:w="152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2623317"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4EBA9E"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病歷號碼</w:t>
            </w:r>
          </w:p>
        </w:tc>
        <w:tc>
          <w:tcPr>
            <w:tcW w:w="158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5A2141"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43BA9CFF"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使用期間</w:t>
            </w:r>
          </w:p>
        </w:tc>
        <w:tc>
          <w:tcPr>
            <w:tcW w:w="284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925A911"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自　　年　　月　　日</w:t>
            </w:r>
          </w:p>
        </w:tc>
      </w:tr>
      <w:tr w:rsidR="00401786" w14:paraId="0C3ABF84" w14:textId="77777777">
        <w:trPr>
          <w:trHeight w:val="285"/>
        </w:trPr>
        <w:tc>
          <w:tcPr>
            <w:tcW w:w="1560"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06478FB"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藥品代碼</w:t>
            </w:r>
          </w:p>
        </w:tc>
        <w:tc>
          <w:tcPr>
            <w:tcW w:w="1524"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9821578"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E7E5FBB"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用法用量</w:t>
            </w:r>
          </w:p>
        </w:tc>
        <w:tc>
          <w:tcPr>
            <w:tcW w:w="1584" w:type="dxa"/>
            <w:gridSpan w:val="2"/>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12B592F"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7092828" w14:textId="77777777" w:rsidR="00401786" w:rsidRDefault="00401786" w:rsidP="000E757E">
            <w:pPr>
              <w:suppressAutoHyphens w:val="0"/>
              <w:spacing w:line="240" w:lineRule="atLeast"/>
              <w:textAlignment w:val="auto"/>
              <w:rPr>
                <w:rFonts w:ascii="新細明體" w:hAnsi="新細明體"/>
                <w:szCs w:val="24"/>
              </w:rPr>
            </w:pPr>
          </w:p>
        </w:tc>
        <w:tc>
          <w:tcPr>
            <w:tcW w:w="2849"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5565654"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至　　年　　月　　日</w:t>
            </w:r>
          </w:p>
        </w:tc>
      </w:tr>
      <w:tr w:rsidR="00401786" w14:paraId="5C143F43" w14:textId="77777777">
        <w:trPr>
          <w:trHeight w:val="2175"/>
        </w:trPr>
        <w:tc>
          <w:tcPr>
            <w:tcW w:w="9930" w:type="dxa"/>
            <w:gridSpan w:val="7"/>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44D1ED1D" w14:textId="77777777" w:rsidR="00401786" w:rsidRDefault="00C64FB3" w:rsidP="000E757E">
            <w:pPr>
              <w:widowControl/>
              <w:suppressAutoHyphens w:val="0"/>
              <w:spacing w:before="100" w:after="100" w:line="240" w:lineRule="atLeast"/>
              <w:ind w:left="188" w:hanging="188"/>
              <w:textAlignment w:val="auto"/>
            </w:pPr>
            <w:r>
              <w:rPr>
                <w:rFonts w:ascii="標楷體" w:eastAsia="標楷體" w:hAnsi="標楷體" w:cs="新細明體"/>
                <w:kern w:val="0"/>
                <w:sz w:val="20"/>
                <w:szCs w:val="20"/>
              </w:rPr>
              <w:t>符合抗腫瘤壞死因子（</w:t>
            </w:r>
            <w:r>
              <w:rPr>
                <w:rFonts w:ascii="Times New Roman" w:hAnsi="Times New Roman"/>
                <w:kern w:val="0"/>
                <w:sz w:val="20"/>
                <w:szCs w:val="20"/>
              </w:rPr>
              <w:t>anti-TNF</w:t>
            </w:r>
            <w:r>
              <w:rPr>
                <w:rFonts w:ascii="標楷體" w:eastAsia="標楷體" w:hAnsi="標楷體" w:cs="新細明體"/>
                <w:kern w:val="0"/>
                <w:sz w:val="20"/>
                <w:szCs w:val="20"/>
              </w:rPr>
              <w:t>）、</w:t>
            </w:r>
            <w:proofErr w:type="spellStart"/>
            <w:r>
              <w:rPr>
                <w:rFonts w:ascii="Times New Roman" w:hAnsi="Times New Roman"/>
                <w:kern w:val="0"/>
                <w:sz w:val="20"/>
                <w:szCs w:val="20"/>
              </w:rPr>
              <w:t>secukinumab</w:t>
            </w:r>
            <w:proofErr w:type="spellEnd"/>
            <w:r>
              <w:rPr>
                <w:rFonts w:ascii="標楷體" w:eastAsia="標楷體" w:hAnsi="標楷體" w:cs="新細明體"/>
                <w:kern w:val="0"/>
                <w:sz w:val="20"/>
                <w:szCs w:val="20"/>
              </w:rPr>
              <w:t>、</w:t>
            </w:r>
            <w:proofErr w:type="spellStart"/>
            <w:r>
              <w:rPr>
                <w:rFonts w:ascii="Times New Roman" w:hAnsi="Times New Roman"/>
                <w:kern w:val="0"/>
                <w:sz w:val="20"/>
                <w:szCs w:val="20"/>
              </w:rPr>
              <w:t>ixekizumab</w:t>
            </w:r>
            <w:proofErr w:type="spellEnd"/>
            <w:r>
              <w:rPr>
                <w:rFonts w:ascii="新細明體" w:hAnsi="新細明體" w:cs="新細明體"/>
                <w:kern w:val="0"/>
                <w:szCs w:val="24"/>
              </w:rPr>
              <w:t>、</w:t>
            </w:r>
            <w:r>
              <w:rPr>
                <w:rFonts w:ascii="Times New Roman" w:hAnsi="Times New Roman"/>
                <w:kern w:val="0"/>
                <w:sz w:val="20"/>
                <w:szCs w:val="20"/>
              </w:rPr>
              <w:t>tofacitinib</w:t>
            </w:r>
            <w:r>
              <w:rPr>
                <w:rFonts w:ascii="標楷體" w:eastAsia="標楷體" w:hAnsi="標楷體" w:cs="新細明體"/>
                <w:kern w:val="0"/>
                <w:sz w:val="20"/>
                <w:szCs w:val="20"/>
              </w:rPr>
              <w:t>、</w:t>
            </w:r>
            <w:proofErr w:type="spellStart"/>
            <w:r>
              <w:rPr>
                <w:rFonts w:ascii="Times New Roman" w:hAnsi="Times New Roman"/>
                <w:kern w:val="0"/>
                <w:sz w:val="20"/>
                <w:szCs w:val="20"/>
              </w:rPr>
              <w:t>upadacitinib</w:t>
            </w:r>
            <w:proofErr w:type="spellEnd"/>
            <w:r>
              <w:rPr>
                <w:rFonts w:ascii="標楷體" w:eastAsia="標楷體" w:hAnsi="標楷體" w:cs="新細明體"/>
                <w:kern w:val="0"/>
                <w:sz w:val="20"/>
                <w:szCs w:val="20"/>
              </w:rPr>
              <w:t>或</w:t>
            </w:r>
            <w:proofErr w:type="spellStart"/>
            <w:r>
              <w:rPr>
                <w:rFonts w:ascii="Times New Roman" w:hAnsi="Times New Roman"/>
                <w:color w:val="000000"/>
                <w:kern w:val="0"/>
                <w:sz w:val="20"/>
                <w:szCs w:val="20"/>
              </w:rPr>
              <w:t>brodalumab</w:t>
            </w:r>
            <w:proofErr w:type="spellEnd"/>
            <w:r>
              <w:rPr>
                <w:rFonts w:ascii="標楷體" w:eastAsia="標楷體" w:hAnsi="標楷體" w:cs="新細明體"/>
                <w:kern w:val="0"/>
                <w:sz w:val="20"/>
                <w:szCs w:val="20"/>
              </w:rPr>
              <w:t>未達</w:t>
            </w:r>
            <w:proofErr w:type="gramStart"/>
            <w:r>
              <w:rPr>
                <w:rFonts w:ascii="標楷體" w:eastAsia="標楷體" w:hAnsi="標楷體" w:cs="新細明體"/>
                <w:kern w:val="0"/>
                <w:sz w:val="20"/>
                <w:szCs w:val="20"/>
              </w:rPr>
              <w:t>療效療效</w:t>
            </w:r>
            <w:proofErr w:type="gramEnd"/>
            <w:r>
              <w:rPr>
                <w:rFonts w:ascii="標楷體" w:eastAsia="標楷體" w:hAnsi="標楷體" w:cs="新細明體"/>
                <w:kern w:val="0"/>
                <w:sz w:val="20"/>
                <w:szCs w:val="20"/>
              </w:rPr>
              <w:t>定義：治療</w:t>
            </w:r>
            <w:r>
              <w:rPr>
                <w:rFonts w:ascii="Times New Roman" w:hAnsi="Times New Roman"/>
                <w:kern w:val="0"/>
                <w:sz w:val="20"/>
                <w:szCs w:val="20"/>
              </w:rPr>
              <w:t>12</w:t>
            </w:r>
            <w:proofErr w:type="gramStart"/>
            <w:r>
              <w:rPr>
                <w:rFonts w:ascii="標楷體" w:eastAsia="標楷體" w:hAnsi="標楷體" w:cs="新細明體"/>
                <w:kern w:val="0"/>
                <w:sz w:val="20"/>
                <w:szCs w:val="20"/>
              </w:rPr>
              <w:t>週</w:t>
            </w:r>
            <w:proofErr w:type="gramEnd"/>
            <w:r>
              <w:rPr>
                <w:rFonts w:ascii="標楷體" w:eastAsia="標楷體" w:hAnsi="標楷體" w:cs="新細明體"/>
                <w:kern w:val="0"/>
                <w:sz w:val="20"/>
                <w:szCs w:val="20"/>
              </w:rPr>
              <w:t>後，評估乾癬關節炎反應標準</w:t>
            </w:r>
            <w:proofErr w:type="gramStart"/>
            <w:r>
              <w:rPr>
                <w:rFonts w:ascii="標楷體" w:eastAsia="標楷體" w:hAnsi="標楷體" w:cs="新細明體"/>
                <w:kern w:val="0"/>
                <w:sz w:val="20"/>
                <w:szCs w:val="20"/>
              </w:rPr>
              <w:t>﹝</w:t>
            </w:r>
            <w:proofErr w:type="gramEnd"/>
            <w:r>
              <w:rPr>
                <w:rFonts w:ascii="標楷體" w:eastAsia="標楷體" w:hAnsi="標楷體" w:cs="新細明體"/>
                <w:kern w:val="0"/>
                <w:sz w:val="20"/>
                <w:szCs w:val="20"/>
              </w:rPr>
              <w:t>附表二十二之三</w:t>
            </w:r>
            <w:proofErr w:type="gramStart"/>
            <w:r>
              <w:rPr>
                <w:rFonts w:ascii="標楷體" w:eastAsia="標楷體" w:hAnsi="標楷體" w:cs="新細明體"/>
                <w:kern w:val="0"/>
                <w:sz w:val="20"/>
                <w:szCs w:val="20"/>
              </w:rPr>
              <w:t>﹞</w:t>
            </w:r>
            <w:proofErr w:type="gramEnd"/>
            <w:r>
              <w:rPr>
                <w:rFonts w:ascii="標楷體" w:eastAsia="標楷體" w:hAnsi="標楷體" w:cs="新細明體"/>
                <w:kern w:val="0"/>
                <w:sz w:val="20"/>
                <w:szCs w:val="20"/>
              </w:rPr>
              <w:t>，其標準為下列四項中至少有二項較原基礎值改善，且其中一項需為疼痛關節或腫脹關節的關節總數，且下述各種指標不得有任一項惡化。</w:t>
            </w:r>
          </w:p>
          <w:p w14:paraId="44825A49"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疼痛關節的關節總數較原基礎值改善。</w:t>
            </w:r>
          </w:p>
          <w:p w14:paraId="57CE79CF"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腫脹關節的關節總數較原基礎值改善。</w:t>
            </w:r>
          </w:p>
          <w:p w14:paraId="2723EB7E"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醫師的整體評估較原基礎值改善。</w:t>
            </w:r>
          </w:p>
          <w:p w14:paraId="280E0CD4"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病患的整體評估較原基礎值改善。</w:t>
            </w:r>
          </w:p>
          <w:p w14:paraId="3E0EE281" w14:textId="77777777" w:rsidR="00401786" w:rsidRDefault="00C64FB3" w:rsidP="000E757E">
            <w:pPr>
              <w:widowControl/>
              <w:suppressAutoHyphens w:val="0"/>
              <w:spacing w:before="100" w:after="100" w:line="240" w:lineRule="atLeast"/>
              <w:ind w:left="329"/>
              <w:textAlignment w:val="auto"/>
            </w:pPr>
            <w:r>
              <w:rPr>
                <w:rFonts w:ascii="標楷體" w:eastAsia="標楷體" w:hAnsi="標楷體" w:cs="新細明體"/>
                <w:kern w:val="0"/>
                <w:sz w:val="20"/>
                <w:szCs w:val="20"/>
              </w:rPr>
              <w:t>□ 上述4種指標皆無惡化。</w:t>
            </w:r>
          </w:p>
        </w:tc>
      </w:tr>
      <w:tr w:rsidR="00401786" w14:paraId="382BCD91" w14:textId="77777777">
        <w:trPr>
          <w:trHeight w:val="195"/>
        </w:trPr>
        <w:tc>
          <w:tcPr>
            <w:tcW w:w="4942" w:type="dxa"/>
            <w:gridSpan w:val="4"/>
            <w:tcBorders>
              <w:top w:val="single" w:sz="6" w:space="0" w:color="000000"/>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0FCBC35C" w14:textId="77777777" w:rsidR="00401786" w:rsidRDefault="00C64FB3" w:rsidP="000E757E">
            <w:pPr>
              <w:suppressAutoHyphens w:val="0"/>
              <w:spacing w:before="100" w:after="100" w:line="240" w:lineRule="atLeast"/>
              <w:textAlignment w:val="auto"/>
            </w:pPr>
            <w:r>
              <w:rPr>
                <w:rFonts w:ascii="新細明體" w:hAnsi="新細明體" w:cs="新細明體"/>
                <w:szCs w:val="24"/>
              </w:rPr>
              <w:t xml:space="preserve">□ </w:t>
            </w:r>
            <w:r>
              <w:rPr>
                <w:rFonts w:ascii="Times New Roman" w:hAnsi="Times New Roman"/>
                <w:sz w:val="20"/>
                <w:szCs w:val="20"/>
              </w:rPr>
              <w:t xml:space="preserve">Etanercept </w:t>
            </w:r>
            <w:r>
              <w:rPr>
                <w:rFonts w:ascii="Times New Roman" w:hAnsi="Times New Roman"/>
                <w:sz w:val="20"/>
                <w:szCs w:val="20"/>
                <w:u w:val="single"/>
              </w:rPr>
              <w:t xml:space="preserve">    </w:t>
            </w:r>
            <w:r>
              <w:rPr>
                <w:rFonts w:ascii="Times New Roman" w:hAnsi="Times New Roman"/>
                <w:sz w:val="20"/>
                <w:szCs w:val="20"/>
              </w:rPr>
              <w:t>mg/ week</w:t>
            </w:r>
          </w:p>
        </w:tc>
        <w:tc>
          <w:tcPr>
            <w:tcW w:w="4988" w:type="dxa"/>
            <w:gridSpan w:val="3"/>
            <w:tcBorders>
              <w:top w:val="single" w:sz="6" w:space="0" w:color="000000"/>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171267FB"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Secukinumab</w:t>
            </w:r>
            <w:proofErr w:type="spellEnd"/>
            <w:r>
              <w:rPr>
                <w:rFonts w:ascii="Times New Roman" w:hAnsi="Times New Roman"/>
                <w:kern w:val="0"/>
                <w:sz w:val="20"/>
                <w:szCs w:val="20"/>
              </w:rPr>
              <w:t xml:space="preserve"> </w:t>
            </w:r>
            <w:r>
              <w:rPr>
                <w:rFonts w:ascii="Times New Roman" w:hAnsi="Times New Roman"/>
                <w:sz w:val="20"/>
                <w:szCs w:val="20"/>
                <w:u w:val="single"/>
              </w:rPr>
              <w:t xml:space="preserve">    </w:t>
            </w:r>
            <w:r>
              <w:rPr>
                <w:rFonts w:ascii="Times New Roman" w:hAnsi="Times New Roman"/>
                <w:kern w:val="0"/>
                <w:sz w:val="20"/>
                <w:szCs w:val="20"/>
              </w:rPr>
              <w:t>mg/four weeks</w:t>
            </w:r>
          </w:p>
        </w:tc>
      </w:tr>
      <w:tr w:rsidR="00401786" w14:paraId="462DCE5D" w14:textId="77777777">
        <w:trPr>
          <w:trHeight w:val="300"/>
        </w:trPr>
        <w:tc>
          <w:tcPr>
            <w:tcW w:w="4942" w:type="dxa"/>
            <w:gridSpan w:val="4"/>
            <w:tcBorders>
              <w:top w:val="single" w:sz="6" w:space="0" w:color="A6A6A6"/>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037A1529"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Adalimumab </w:t>
            </w:r>
            <w:r>
              <w:rPr>
                <w:rFonts w:ascii="Times New Roman" w:hAnsi="Times New Roman"/>
                <w:sz w:val="20"/>
                <w:szCs w:val="20"/>
                <w:u w:val="single"/>
              </w:rPr>
              <w:t xml:space="preserve">    </w:t>
            </w:r>
            <w:r>
              <w:rPr>
                <w:rFonts w:ascii="Times New Roman" w:hAnsi="Times New Roman"/>
                <w:kern w:val="0"/>
                <w:sz w:val="20"/>
                <w:szCs w:val="20"/>
              </w:rPr>
              <w:t>mg/ two weeks</w:t>
            </w:r>
          </w:p>
        </w:tc>
        <w:tc>
          <w:tcPr>
            <w:tcW w:w="4988" w:type="dxa"/>
            <w:gridSpan w:val="3"/>
            <w:tcBorders>
              <w:top w:val="single" w:sz="6" w:space="0" w:color="A6A6A6"/>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7D8A856E"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Ixekizumab</w:t>
            </w:r>
            <w:proofErr w:type="spellEnd"/>
            <w:r>
              <w:rPr>
                <w:rFonts w:ascii="Times New Roman" w:hAnsi="Times New Roman"/>
                <w:kern w:val="0"/>
                <w:sz w:val="20"/>
                <w:szCs w:val="20"/>
              </w:rPr>
              <w:t xml:space="preserve"> </w:t>
            </w:r>
            <w:r>
              <w:rPr>
                <w:rFonts w:ascii="Times New Roman" w:hAnsi="Times New Roman"/>
                <w:sz w:val="20"/>
                <w:szCs w:val="20"/>
                <w:u w:val="single"/>
              </w:rPr>
              <w:t xml:space="preserve">    </w:t>
            </w:r>
            <w:r>
              <w:rPr>
                <w:rFonts w:ascii="Times New Roman" w:hAnsi="Times New Roman"/>
                <w:kern w:val="0"/>
                <w:sz w:val="20"/>
                <w:szCs w:val="20"/>
              </w:rPr>
              <w:t>mg/ four weeks</w:t>
            </w:r>
          </w:p>
        </w:tc>
      </w:tr>
      <w:tr w:rsidR="00401786" w14:paraId="32047A8E" w14:textId="77777777">
        <w:trPr>
          <w:trHeight w:val="195"/>
        </w:trPr>
        <w:tc>
          <w:tcPr>
            <w:tcW w:w="4942" w:type="dxa"/>
            <w:gridSpan w:val="4"/>
            <w:tcBorders>
              <w:top w:val="single" w:sz="6" w:space="0" w:color="A6A6A6"/>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665293EF"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Golimumab </w:t>
            </w:r>
            <w:r>
              <w:rPr>
                <w:rFonts w:ascii="Times New Roman" w:hAnsi="Times New Roman"/>
                <w:sz w:val="20"/>
                <w:szCs w:val="20"/>
                <w:u w:val="single"/>
              </w:rPr>
              <w:t xml:space="preserve">    </w:t>
            </w:r>
            <w:r>
              <w:rPr>
                <w:rFonts w:ascii="Times New Roman" w:hAnsi="Times New Roman"/>
                <w:kern w:val="0"/>
                <w:sz w:val="20"/>
                <w:szCs w:val="20"/>
              </w:rPr>
              <w:t>mg/ month</w:t>
            </w:r>
          </w:p>
        </w:tc>
        <w:tc>
          <w:tcPr>
            <w:tcW w:w="4988" w:type="dxa"/>
            <w:gridSpan w:val="3"/>
            <w:tcBorders>
              <w:top w:val="single" w:sz="6" w:space="0" w:color="A6A6A6"/>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090222FA"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Tofacitinib </w:t>
            </w:r>
            <w:r>
              <w:rPr>
                <w:rFonts w:ascii="Times New Roman" w:hAnsi="Times New Roman"/>
                <w:sz w:val="20"/>
                <w:szCs w:val="20"/>
                <w:u w:val="single"/>
              </w:rPr>
              <w:t xml:space="preserve">    </w:t>
            </w:r>
            <w:r>
              <w:rPr>
                <w:rFonts w:ascii="Times New Roman" w:hAnsi="Times New Roman"/>
                <w:kern w:val="0"/>
                <w:sz w:val="20"/>
                <w:szCs w:val="20"/>
              </w:rPr>
              <w:t>mg/</w:t>
            </w:r>
            <w:r>
              <w:rPr>
                <w:rFonts w:ascii="標楷體" w:eastAsia="標楷體" w:hAnsi="標楷體" w:cs="新細明體"/>
                <w:kern w:val="0"/>
                <w:sz w:val="20"/>
                <w:szCs w:val="20"/>
              </w:rPr>
              <w:t xml:space="preserve">次 </w:t>
            </w:r>
            <w:r>
              <w:rPr>
                <w:rFonts w:ascii="Times New Roman" w:hAnsi="Times New Roman"/>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p>
        </w:tc>
      </w:tr>
      <w:tr w:rsidR="00401786" w14:paraId="458276CD" w14:textId="77777777">
        <w:trPr>
          <w:trHeight w:val="195"/>
        </w:trPr>
        <w:tc>
          <w:tcPr>
            <w:tcW w:w="4942" w:type="dxa"/>
            <w:gridSpan w:val="4"/>
            <w:tcBorders>
              <w:top w:val="single" w:sz="6" w:space="0" w:color="A6A6A6"/>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70DE7A17"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Certolizumab </w:t>
            </w:r>
            <w:r>
              <w:rPr>
                <w:rFonts w:ascii="Times New Roman" w:hAnsi="Times New Roman"/>
                <w:sz w:val="20"/>
                <w:szCs w:val="20"/>
                <w:u w:val="single"/>
              </w:rPr>
              <w:t xml:space="preserve">    </w:t>
            </w:r>
            <w:r>
              <w:rPr>
                <w:rFonts w:ascii="Times New Roman" w:hAnsi="Times New Roman"/>
                <w:kern w:val="0"/>
                <w:sz w:val="20"/>
                <w:szCs w:val="20"/>
              </w:rPr>
              <w:t>mg/ weeks</w:t>
            </w:r>
          </w:p>
        </w:tc>
        <w:tc>
          <w:tcPr>
            <w:tcW w:w="4988" w:type="dxa"/>
            <w:gridSpan w:val="3"/>
            <w:tcBorders>
              <w:top w:val="single" w:sz="6" w:space="0" w:color="A6A6A6"/>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21FEC2C3"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w:t>
            </w:r>
            <w:r>
              <w:rPr>
                <w:rFonts w:ascii="新細明體" w:hAnsi="新細明體" w:cs="新細明體"/>
                <w:color w:val="FF0000"/>
                <w:kern w:val="0"/>
                <w:szCs w:val="24"/>
              </w:rPr>
              <w:t xml:space="preserve"> </w:t>
            </w:r>
            <w:proofErr w:type="spellStart"/>
            <w:r>
              <w:rPr>
                <w:rFonts w:ascii="Times New Roman" w:hAnsi="Times New Roman"/>
                <w:color w:val="000000"/>
                <w:kern w:val="0"/>
                <w:sz w:val="20"/>
                <w:szCs w:val="20"/>
              </w:rPr>
              <w:t>Brodalumab</w:t>
            </w:r>
            <w:proofErr w:type="spellEnd"/>
            <w:r>
              <w:rPr>
                <w:rFonts w:ascii="Times New Roman" w:hAnsi="Times New Roman"/>
                <w:color w:val="000000"/>
                <w:kern w:val="0"/>
                <w:sz w:val="20"/>
                <w:szCs w:val="20"/>
              </w:rPr>
              <w:t xml:space="preserve"> </w:t>
            </w:r>
            <w:r>
              <w:rPr>
                <w:rFonts w:ascii="Times New Roman" w:hAnsi="Times New Roman"/>
                <w:sz w:val="20"/>
                <w:szCs w:val="20"/>
                <w:u w:val="single"/>
              </w:rPr>
              <w:t xml:space="preserve">    </w:t>
            </w:r>
            <w:r>
              <w:rPr>
                <w:rFonts w:ascii="Times New Roman" w:hAnsi="Times New Roman"/>
                <w:color w:val="000000"/>
                <w:kern w:val="0"/>
                <w:sz w:val="20"/>
                <w:szCs w:val="20"/>
              </w:rPr>
              <w:t>mg/ two weeks</w:t>
            </w:r>
          </w:p>
        </w:tc>
      </w:tr>
      <w:tr w:rsidR="00401786" w14:paraId="08006FCB" w14:textId="77777777">
        <w:trPr>
          <w:trHeight w:val="201"/>
        </w:trPr>
        <w:tc>
          <w:tcPr>
            <w:tcW w:w="4942" w:type="dxa"/>
            <w:gridSpan w:val="4"/>
            <w:tcBorders>
              <w:top w:val="single" w:sz="6" w:space="0" w:color="A6A6A6"/>
              <w:left w:val="double" w:sz="4" w:space="0" w:color="000000"/>
              <w:bottom w:val="single" w:sz="6" w:space="0" w:color="000000"/>
              <w:right w:val="single" w:sz="6" w:space="0" w:color="A6A6A6"/>
            </w:tcBorders>
            <w:shd w:val="clear" w:color="auto" w:fill="auto"/>
            <w:tcMar>
              <w:top w:w="0" w:type="dxa"/>
              <w:left w:w="28" w:type="dxa"/>
              <w:bottom w:w="0" w:type="dxa"/>
              <w:right w:w="0" w:type="dxa"/>
            </w:tcMar>
            <w:vAlign w:val="center"/>
          </w:tcPr>
          <w:p w14:paraId="391466A6"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Upadacitinib </w:t>
            </w:r>
            <w:r>
              <w:rPr>
                <w:rFonts w:ascii="Times New Roman" w:hAnsi="Times New Roman"/>
                <w:sz w:val="20"/>
                <w:szCs w:val="20"/>
                <w:u w:val="single"/>
              </w:rPr>
              <w:t xml:space="preserve">    </w:t>
            </w:r>
            <w:r>
              <w:rPr>
                <w:rFonts w:ascii="Times New Roman" w:hAnsi="Times New Roman"/>
                <w:kern w:val="0"/>
                <w:sz w:val="20"/>
                <w:szCs w:val="20"/>
              </w:rPr>
              <w:t>mg/</w:t>
            </w:r>
            <w:r>
              <w:rPr>
                <w:rFonts w:ascii="標楷體" w:eastAsia="標楷體" w:hAnsi="標楷體" w:cs="新細明體"/>
                <w:kern w:val="0"/>
                <w:sz w:val="20"/>
                <w:szCs w:val="20"/>
              </w:rPr>
              <w:t xml:space="preserve">次 </w:t>
            </w:r>
            <w:r>
              <w:rPr>
                <w:rFonts w:ascii="Times New Roman" w:hAnsi="Times New Roman"/>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p>
        </w:tc>
        <w:tc>
          <w:tcPr>
            <w:tcW w:w="4988" w:type="dxa"/>
            <w:gridSpan w:val="3"/>
            <w:tcBorders>
              <w:top w:val="single" w:sz="6" w:space="0" w:color="A6A6A6"/>
              <w:left w:val="single" w:sz="6" w:space="0" w:color="A6A6A6"/>
              <w:bottom w:val="single" w:sz="6" w:space="0" w:color="000000"/>
              <w:right w:val="double" w:sz="4" w:space="0" w:color="000000"/>
            </w:tcBorders>
            <w:shd w:val="clear" w:color="auto" w:fill="auto"/>
            <w:tcMar>
              <w:top w:w="0" w:type="dxa"/>
              <w:left w:w="0" w:type="dxa"/>
              <w:bottom w:w="0" w:type="dxa"/>
              <w:right w:w="11" w:type="dxa"/>
            </w:tcMar>
            <w:vAlign w:val="center"/>
          </w:tcPr>
          <w:p w14:paraId="5EB2AF6A"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r>
      <w:tr w:rsidR="00401786" w14:paraId="4E27A969" w14:textId="77777777">
        <w:trPr>
          <w:trHeight w:val="405"/>
        </w:trPr>
        <w:tc>
          <w:tcPr>
            <w:tcW w:w="9930" w:type="dxa"/>
            <w:gridSpan w:val="7"/>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13CD8302" w14:textId="77777777" w:rsidR="00401786" w:rsidRDefault="00C64FB3" w:rsidP="000E757E">
            <w:pPr>
              <w:widowControl/>
              <w:suppressAutoHyphens w:val="0"/>
              <w:spacing w:before="100" w:after="100" w:line="240" w:lineRule="atLeast"/>
              <w:textAlignment w:val="auto"/>
            </w:pPr>
            <w:r>
              <w:rPr>
                <w:rFonts w:ascii="Times New Roman" w:hAnsi="Times New Roman"/>
                <w:kern w:val="0"/>
                <w:sz w:val="20"/>
                <w:szCs w:val="20"/>
              </w:rPr>
              <w:t>(</w:t>
            </w:r>
            <w:r>
              <w:rPr>
                <w:rFonts w:ascii="標楷體" w:eastAsia="標楷體" w:hAnsi="標楷體" w:cs="新細明體"/>
                <w:kern w:val="0"/>
                <w:sz w:val="20"/>
                <w:szCs w:val="20"/>
              </w:rPr>
              <w:t>請檢附使用</w:t>
            </w:r>
            <w:r>
              <w:rPr>
                <w:rFonts w:ascii="Times New Roman" w:hAnsi="Times New Roman"/>
                <w:kern w:val="0"/>
                <w:sz w:val="20"/>
                <w:szCs w:val="20"/>
              </w:rPr>
              <w:t>etanercept</w:t>
            </w:r>
            <w:r>
              <w:rPr>
                <w:rFonts w:ascii="標楷體" w:eastAsia="標楷體" w:hAnsi="標楷體" w:cs="新細明體"/>
                <w:kern w:val="0"/>
                <w:sz w:val="20"/>
                <w:szCs w:val="20"/>
              </w:rPr>
              <w:t>、</w:t>
            </w:r>
            <w:r>
              <w:rPr>
                <w:rFonts w:ascii="Times New Roman" w:hAnsi="Times New Roman"/>
                <w:kern w:val="0"/>
                <w:sz w:val="20"/>
                <w:szCs w:val="20"/>
              </w:rPr>
              <w:t>adalimumab</w:t>
            </w:r>
            <w:r>
              <w:rPr>
                <w:rFonts w:ascii="標楷體" w:eastAsia="標楷體" w:hAnsi="標楷體" w:cs="新細明體"/>
                <w:kern w:val="0"/>
                <w:sz w:val="20"/>
                <w:szCs w:val="20"/>
              </w:rPr>
              <w:t>、</w:t>
            </w:r>
            <w:r>
              <w:rPr>
                <w:rFonts w:ascii="Times New Roman" w:hAnsi="Times New Roman"/>
                <w:kern w:val="0"/>
                <w:sz w:val="20"/>
                <w:szCs w:val="20"/>
              </w:rPr>
              <w:t>golimumab</w:t>
            </w:r>
            <w:r>
              <w:rPr>
                <w:rFonts w:ascii="標楷體" w:eastAsia="標楷體" w:hAnsi="標楷體" w:cs="新細明體"/>
                <w:kern w:val="0"/>
                <w:sz w:val="20"/>
                <w:szCs w:val="20"/>
              </w:rPr>
              <w:t>、</w:t>
            </w:r>
            <w:r>
              <w:rPr>
                <w:rFonts w:ascii="Times New Roman" w:hAnsi="Times New Roman"/>
                <w:kern w:val="0"/>
                <w:sz w:val="20"/>
                <w:szCs w:val="20"/>
              </w:rPr>
              <w:t>certolizumab</w:t>
            </w:r>
            <w:r>
              <w:rPr>
                <w:rFonts w:ascii="標楷體" w:eastAsia="標楷體" w:hAnsi="標楷體" w:cs="新細明體"/>
                <w:kern w:val="0"/>
                <w:sz w:val="20"/>
                <w:szCs w:val="20"/>
              </w:rPr>
              <w:t>、</w:t>
            </w:r>
            <w:proofErr w:type="spellStart"/>
            <w:r>
              <w:rPr>
                <w:rFonts w:ascii="Times New Roman" w:hAnsi="Times New Roman"/>
                <w:kern w:val="0"/>
                <w:sz w:val="20"/>
                <w:szCs w:val="20"/>
              </w:rPr>
              <w:t>secukinumab</w:t>
            </w:r>
            <w:proofErr w:type="spellEnd"/>
            <w:r>
              <w:rPr>
                <w:rFonts w:ascii="標楷體" w:eastAsia="標楷體" w:hAnsi="標楷體" w:cs="新細明體"/>
                <w:kern w:val="0"/>
                <w:sz w:val="20"/>
                <w:szCs w:val="20"/>
              </w:rPr>
              <w:t>、</w:t>
            </w:r>
            <w:proofErr w:type="spellStart"/>
            <w:r>
              <w:rPr>
                <w:rFonts w:ascii="Times New Roman" w:hAnsi="Times New Roman"/>
                <w:kern w:val="0"/>
                <w:sz w:val="20"/>
                <w:szCs w:val="20"/>
              </w:rPr>
              <w:t>ixekizumab</w:t>
            </w:r>
            <w:proofErr w:type="spellEnd"/>
            <w:r>
              <w:rPr>
                <w:rFonts w:ascii="新細明體" w:hAnsi="新細明體" w:cs="新細明體"/>
                <w:kern w:val="0"/>
                <w:szCs w:val="24"/>
              </w:rPr>
              <w:t>、</w:t>
            </w:r>
            <w:r>
              <w:rPr>
                <w:rFonts w:ascii="Times New Roman" w:hAnsi="Times New Roman"/>
                <w:kern w:val="0"/>
                <w:sz w:val="20"/>
                <w:szCs w:val="20"/>
              </w:rPr>
              <w:t>tofacitinib</w:t>
            </w:r>
            <w:r>
              <w:rPr>
                <w:rFonts w:ascii="標楷體" w:eastAsia="標楷體" w:hAnsi="標楷體" w:cs="新細明體"/>
                <w:kern w:val="0"/>
                <w:sz w:val="20"/>
                <w:szCs w:val="20"/>
              </w:rPr>
              <w:t>、</w:t>
            </w:r>
            <w:proofErr w:type="spellStart"/>
            <w:r>
              <w:rPr>
                <w:rFonts w:ascii="Times New Roman" w:hAnsi="Times New Roman"/>
                <w:kern w:val="0"/>
                <w:sz w:val="20"/>
                <w:szCs w:val="20"/>
              </w:rPr>
              <w:t>upadacitinib</w:t>
            </w:r>
            <w:proofErr w:type="spellEnd"/>
            <w:r>
              <w:rPr>
                <w:rFonts w:ascii="標楷體" w:eastAsia="標楷體" w:hAnsi="標楷體" w:cs="新細明體"/>
                <w:kern w:val="0"/>
                <w:sz w:val="20"/>
                <w:szCs w:val="20"/>
              </w:rPr>
              <w:t>或</w:t>
            </w:r>
            <w:proofErr w:type="spellStart"/>
            <w:r>
              <w:rPr>
                <w:rFonts w:ascii="Times New Roman" w:hAnsi="Times New Roman"/>
                <w:color w:val="000000"/>
                <w:kern w:val="0"/>
                <w:sz w:val="20"/>
                <w:szCs w:val="20"/>
              </w:rPr>
              <w:t>brodalumab</w:t>
            </w:r>
            <w:proofErr w:type="spellEnd"/>
            <w:r>
              <w:rPr>
                <w:rFonts w:ascii="標楷體" w:eastAsia="標楷體" w:hAnsi="標楷體" w:cs="新細明體"/>
                <w:kern w:val="0"/>
                <w:sz w:val="20"/>
                <w:szCs w:val="20"/>
              </w:rPr>
              <w:t>或</w:t>
            </w:r>
            <w:r>
              <w:rPr>
                <w:rFonts w:ascii="Times New Roman" w:hAnsi="Times New Roman"/>
                <w:kern w:val="0"/>
                <w:sz w:val="20"/>
                <w:szCs w:val="20"/>
              </w:rPr>
              <w:t>12</w:t>
            </w:r>
            <w:proofErr w:type="gramStart"/>
            <w:r>
              <w:rPr>
                <w:rFonts w:ascii="標楷體" w:eastAsia="標楷體" w:hAnsi="標楷體" w:cs="新細明體"/>
                <w:kern w:val="0"/>
                <w:sz w:val="20"/>
                <w:szCs w:val="20"/>
              </w:rPr>
              <w:t>週</w:t>
            </w:r>
            <w:proofErr w:type="gramEnd"/>
            <w:r>
              <w:rPr>
                <w:rFonts w:ascii="標楷體" w:eastAsia="標楷體" w:hAnsi="標楷體" w:cs="新細明體"/>
                <w:kern w:val="0"/>
                <w:sz w:val="20"/>
                <w:szCs w:val="20"/>
              </w:rPr>
              <w:t>或以上之病歷影本</w:t>
            </w:r>
            <w:r>
              <w:rPr>
                <w:rFonts w:ascii="Times New Roman" w:hAnsi="Times New Roman"/>
                <w:kern w:val="0"/>
                <w:sz w:val="20"/>
                <w:szCs w:val="20"/>
              </w:rPr>
              <w:t>)</w:t>
            </w:r>
          </w:p>
        </w:tc>
      </w:tr>
    </w:tbl>
    <w:p w14:paraId="629AF822" w14:textId="77777777" w:rsidR="00401786" w:rsidRDefault="00401786" w:rsidP="000E757E">
      <w:pPr>
        <w:widowControl/>
        <w:spacing w:line="240" w:lineRule="atLeast"/>
        <w:rPr>
          <w:rFonts w:ascii="Times New Roman" w:hAnsi="Times New Roman"/>
          <w:sz w:val="28"/>
          <w:szCs w:val="20"/>
        </w:rPr>
      </w:pPr>
    </w:p>
    <w:tbl>
      <w:tblPr>
        <w:tblW w:w="9915" w:type="dxa"/>
        <w:tblCellMar>
          <w:left w:w="10" w:type="dxa"/>
          <w:right w:w="10" w:type="dxa"/>
        </w:tblCellMar>
        <w:tblLook w:val="0000" w:firstRow="0" w:lastRow="0" w:firstColumn="0" w:lastColumn="0" w:noHBand="0" w:noVBand="0"/>
      </w:tblPr>
      <w:tblGrid>
        <w:gridCol w:w="1793"/>
        <w:gridCol w:w="8122"/>
      </w:tblGrid>
      <w:tr w:rsidR="00401786" w14:paraId="7C5FF0E2" w14:textId="77777777">
        <w:trPr>
          <w:trHeight w:val="180"/>
        </w:trPr>
        <w:tc>
          <w:tcPr>
            <w:tcW w:w="9915" w:type="dxa"/>
            <w:gridSpan w:val="2"/>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28" w:type="dxa"/>
            </w:tcMar>
          </w:tcPr>
          <w:p w14:paraId="6E2E2C21" w14:textId="77777777" w:rsidR="00401786" w:rsidRDefault="00C64FB3" w:rsidP="000E757E">
            <w:pPr>
              <w:widowControl/>
              <w:suppressAutoHyphens w:val="0"/>
              <w:spacing w:before="100" w:after="100" w:line="240" w:lineRule="atLeast"/>
              <w:ind w:left="56"/>
              <w:textAlignment w:val="auto"/>
            </w:pPr>
            <w:r>
              <w:rPr>
                <w:rFonts w:ascii="新細明體" w:hAnsi="新細明體" w:cs="新細明體"/>
                <w:kern w:val="0"/>
                <w:szCs w:val="24"/>
              </w:rPr>
              <w:t>□</w:t>
            </w:r>
            <w:r>
              <w:rPr>
                <w:rFonts w:ascii="標楷體" w:eastAsia="標楷體" w:hAnsi="標楷體" w:cs="新細明體"/>
                <w:kern w:val="0"/>
                <w:sz w:val="20"/>
                <w:szCs w:val="20"/>
              </w:rPr>
              <w:t>符合腫瘤壞死因子</w:t>
            </w:r>
            <w:r>
              <w:rPr>
                <w:rFonts w:ascii="Times New Roman" w:hAnsi="Times New Roman"/>
                <w:kern w:val="0"/>
                <w:sz w:val="20"/>
                <w:szCs w:val="20"/>
              </w:rPr>
              <w:t>(TNF)</w:t>
            </w:r>
            <w:r>
              <w:rPr>
                <w:rFonts w:ascii="標楷體" w:eastAsia="標楷體" w:hAnsi="標楷體" w:cs="新細明體"/>
                <w:kern w:val="0"/>
                <w:sz w:val="20"/>
                <w:szCs w:val="20"/>
              </w:rPr>
              <w:t>抑制、</w:t>
            </w:r>
            <w:proofErr w:type="spellStart"/>
            <w:r>
              <w:rPr>
                <w:rFonts w:ascii="Times New Roman" w:hAnsi="Times New Roman"/>
                <w:kern w:val="0"/>
                <w:sz w:val="20"/>
                <w:szCs w:val="20"/>
              </w:rPr>
              <w:t>secukinumab</w:t>
            </w:r>
            <w:proofErr w:type="spellEnd"/>
            <w:r>
              <w:rPr>
                <w:rFonts w:ascii="標楷體" w:eastAsia="標楷體" w:hAnsi="標楷體" w:cs="新細明體"/>
                <w:kern w:val="0"/>
                <w:sz w:val="20"/>
                <w:szCs w:val="20"/>
              </w:rPr>
              <w:t>、</w:t>
            </w:r>
            <w:proofErr w:type="spellStart"/>
            <w:r>
              <w:rPr>
                <w:rFonts w:ascii="Times New Roman" w:hAnsi="Times New Roman"/>
                <w:kern w:val="0"/>
                <w:sz w:val="20"/>
                <w:szCs w:val="20"/>
              </w:rPr>
              <w:t>ixekizumab</w:t>
            </w:r>
            <w:proofErr w:type="spellEnd"/>
            <w:r>
              <w:rPr>
                <w:rFonts w:ascii="新細明體" w:hAnsi="新細明體" w:cs="新細明體"/>
                <w:kern w:val="0"/>
                <w:szCs w:val="24"/>
              </w:rPr>
              <w:t>、</w:t>
            </w:r>
            <w:r>
              <w:rPr>
                <w:rFonts w:ascii="Times New Roman" w:hAnsi="Times New Roman"/>
                <w:kern w:val="0"/>
                <w:sz w:val="20"/>
                <w:szCs w:val="20"/>
              </w:rPr>
              <w:t>tofacitinib</w:t>
            </w:r>
            <w:r>
              <w:rPr>
                <w:rFonts w:ascii="標楷體" w:eastAsia="標楷體" w:hAnsi="標楷體" w:cs="新細明體"/>
                <w:kern w:val="0"/>
                <w:sz w:val="20"/>
                <w:szCs w:val="20"/>
              </w:rPr>
              <w:t>、</w:t>
            </w:r>
            <w:proofErr w:type="spellStart"/>
            <w:r>
              <w:rPr>
                <w:rFonts w:ascii="Times New Roman" w:hAnsi="Times New Roman"/>
                <w:kern w:val="0"/>
                <w:sz w:val="20"/>
                <w:szCs w:val="20"/>
              </w:rPr>
              <w:t>upadacitinib</w:t>
            </w:r>
            <w:proofErr w:type="spellEnd"/>
            <w:r>
              <w:rPr>
                <w:rFonts w:ascii="標楷體" w:eastAsia="標楷體" w:hAnsi="標楷體" w:cs="新細明體"/>
                <w:kern w:val="0"/>
                <w:sz w:val="20"/>
                <w:szCs w:val="20"/>
              </w:rPr>
              <w:t>或</w:t>
            </w:r>
            <w:proofErr w:type="spellStart"/>
            <w:r>
              <w:rPr>
                <w:rFonts w:ascii="Times New Roman" w:hAnsi="Times New Roman"/>
                <w:color w:val="000000"/>
                <w:kern w:val="0"/>
                <w:sz w:val="20"/>
                <w:szCs w:val="20"/>
              </w:rPr>
              <w:t>brodalumab</w:t>
            </w:r>
            <w:proofErr w:type="spellEnd"/>
            <w:r>
              <w:rPr>
                <w:rFonts w:ascii="標楷體" w:eastAsia="標楷體" w:hAnsi="標楷體" w:cs="新細明體"/>
                <w:kern w:val="0"/>
                <w:sz w:val="20"/>
                <w:szCs w:val="20"/>
              </w:rPr>
              <w:t xml:space="preserve">療法無法耐受 </w:t>
            </w:r>
            <w:r>
              <w:rPr>
                <w:rFonts w:ascii="Times New Roman" w:hAnsi="Times New Roman"/>
                <w:kern w:val="0"/>
                <w:sz w:val="20"/>
                <w:szCs w:val="20"/>
              </w:rPr>
              <w:t>(</w:t>
            </w:r>
            <w:r>
              <w:rPr>
                <w:rFonts w:ascii="標楷體" w:eastAsia="標楷體" w:hAnsi="標楷體" w:cs="新細明體"/>
                <w:kern w:val="0"/>
                <w:sz w:val="20"/>
                <w:szCs w:val="20"/>
              </w:rPr>
              <w:t>請檢附病歷影本</w:t>
            </w:r>
            <w:r>
              <w:rPr>
                <w:rFonts w:ascii="Times New Roman" w:hAnsi="Times New Roman"/>
                <w:kern w:val="0"/>
                <w:sz w:val="20"/>
                <w:szCs w:val="20"/>
              </w:rPr>
              <w:t>)(</w:t>
            </w:r>
            <w:r>
              <w:rPr>
                <w:rFonts w:ascii="標楷體" w:eastAsia="標楷體" w:hAnsi="標楷體" w:cs="新細明體"/>
                <w:kern w:val="0"/>
                <w:sz w:val="20"/>
                <w:szCs w:val="20"/>
              </w:rPr>
              <w:t>請說明藥物引起不良反應之情形如副作用、發生</w:t>
            </w:r>
            <w:r>
              <w:rPr>
                <w:rFonts w:ascii="Times New Roman" w:hAnsi="Times New Roman"/>
                <w:kern w:val="0"/>
                <w:sz w:val="20"/>
                <w:szCs w:val="20"/>
              </w:rPr>
              <w:t>TB</w:t>
            </w:r>
            <w:r>
              <w:rPr>
                <w:rFonts w:ascii="標楷體" w:eastAsia="標楷體" w:hAnsi="標楷體" w:cs="新細明體"/>
                <w:kern w:val="0"/>
                <w:sz w:val="20"/>
                <w:szCs w:val="20"/>
              </w:rPr>
              <w:t>或惡性腫瘤等</w:t>
            </w:r>
            <w:r>
              <w:rPr>
                <w:rFonts w:ascii="Times New Roman" w:hAnsi="Times New Roman"/>
                <w:kern w:val="0"/>
                <w:sz w:val="20"/>
                <w:szCs w:val="20"/>
              </w:rPr>
              <w:t>)</w:t>
            </w:r>
            <w:r>
              <w:rPr>
                <w:rFonts w:ascii="標楷體" w:eastAsia="標楷體" w:hAnsi="標楷體" w:cs="新細明體"/>
                <w:kern w:val="0"/>
                <w:sz w:val="20"/>
                <w:szCs w:val="20"/>
              </w:rPr>
              <w:t>：</w:t>
            </w:r>
          </w:p>
        </w:tc>
      </w:tr>
      <w:tr w:rsidR="00401786" w14:paraId="398ABB9E"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07A91AE5"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Etanercept</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7D79825A"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week</w:t>
            </w:r>
            <w:r>
              <w:rPr>
                <w:rFonts w:ascii="標楷體" w:eastAsia="標楷體" w:hAnsi="標楷體" w:cs="新細明體"/>
                <w:kern w:val="0"/>
                <w:sz w:val="20"/>
                <w:szCs w:val="20"/>
              </w:rPr>
              <w:t>引起之不良事件：</w:t>
            </w:r>
          </w:p>
        </w:tc>
      </w:tr>
      <w:tr w:rsidR="00401786" w14:paraId="08AD0EA7"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1A4C7F3B"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Adalimumab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03B9C451" w14:textId="77777777" w:rsidR="00401786" w:rsidRDefault="00C64FB3" w:rsidP="000E757E">
            <w:pPr>
              <w:widowControl/>
              <w:suppressAutoHyphens w:val="0"/>
              <w:spacing w:before="100" w:after="100" w:line="240" w:lineRule="atLeast"/>
              <w:ind w:left="663"/>
              <w:textAlignment w:val="auto"/>
            </w:pPr>
            <w:r>
              <w:rPr>
                <w:rFonts w:ascii="Times New Roman" w:hAnsi="Times New Roman"/>
                <w:kern w:val="0"/>
                <w:sz w:val="20"/>
                <w:szCs w:val="20"/>
              </w:rPr>
              <w:t>______ mg/ two weeks</w:t>
            </w:r>
            <w:r>
              <w:rPr>
                <w:rFonts w:ascii="標楷體" w:eastAsia="標楷體" w:hAnsi="標楷體" w:cs="新細明體"/>
                <w:kern w:val="0"/>
                <w:sz w:val="20"/>
                <w:szCs w:val="20"/>
              </w:rPr>
              <w:t>引起之不良事件：</w:t>
            </w:r>
          </w:p>
        </w:tc>
      </w:tr>
      <w:tr w:rsidR="00401786" w14:paraId="275F9454"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7217CB1F"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Golimumab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15D855C8"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______mg/ month</w:t>
            </w:r>
          </w:p>
        </w:tc>
      </w:tr>
      <w:tr w:rsidR="00401786" w14:paraId="68F1A0BA"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18CA169C"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Certolizumab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1BD22C13"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weeks</w:t>
            </w:r>
            <w:r>
              <w:rPr>
                <w:rFonts w:ascii="標楷體" w:eastAsia="標楷體" w:hAnsi="標楷體" w:cs="新細明體"/>
                <w:kern w:val="0"/>
                <w:sz w:val="20"/>
                <w:szCs w:val="20"/>
              </w:rPr>
              <w:t>引起之不良事件：</w:t>
            </w:r>
          </w:p>
        </w:tc>
      </w:tr>
      <w:tr w:rsidR="00401786" w14:paraId="39457F65"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18AFF8E2"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Secukinumab</w:t>
            </w:r>
            <w:proofErr w:type="spellEnd"/>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31EBAC80"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four weeks</w:t>
            </w:r>
            <w:r>
              <w:rPr>
                <w:rFonts w:ascii="標楷體" w:eastAsia="標楷體" w:hAnsi="標楷體" w:cs="新細明體"/>
                <w:kern w:val="0"/>
                <w:sz w:val="20"/>
                <w:szCs w:val="20"/>
              </w:rPr>
              <w:t>引起之不良事件：</w:t>
            </w:r>
          </w:p>
        </w:tc>
      </w:tr>
      <w:tr w:rsidR="00401786" w14:paraId="11F51BEB"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3A3517D0"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Ixekizumab</w:t>
            </w:r>
            <w:proofErr w:type="spellEnd"/>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21DF6367"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four weeks</w:t>
            </w:r>
            <w:r>
              <w:rPr>
                <w:rFonts w:ascii="標楷體" w:eastAsia="標楷體" w:hAnsi="標楷體" w:cs="新細明體"/>
                <w:kern w:val="0"/>
                <w:sz w:val="20"/>
                <w:szCs w:val="20"/>
              </w:rPr>
              <w:t>引起之不良事件：</w:t>
            </w:r>
          </w:p>
        </w:tc>
      </w:tr>
      <w:tr w:rsidR="00401786" w14:paraId="18FD1A8D"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033CD460"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Tofacitinib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4FAC1DB9" w14:textId="77777777" w:rsidR="00401786" w:rsidRDefault="00C64FB3" w:rsidP="000E757E">
            <w:pPr>
              <w:widowControl/>
              <w:suppressAutoHyphens w:val="0"/>
              <w:spacing w:before="100" w:after="100" w:line="240" w:lineRule="atLeast"/>
              <w:ind w:left="709"/>
              <w:textAlignment w:val="auto"/>
            </w:pPr>
            <w:r>
              <w:rPr>
                <w:rFonts w:ascii="Times New Roman" w:hAnsi="Times New Roman"/>
                <w:color w:val="000000"/>
                <w:kern w:val="0"/>
                <w:sz w:val="20"/>
                <w:szCs w:val="20"/>
              </w:rPr>
              <w:t>______</w:t>
            </w:r>
            <w:r>
              <w:rPr>
                <w:rFonts w:ascii="Times New Roman" w:hAnsi="Times New Roman"/>
                <w:color w:val="000000"/>
                <w:kern w:val="0"/>
                <w:sz w:val="20"/>
                <w:szCs w:val="20"/>
                <w:u w:val="single"/>
              </w:rPr>
              <w:t xml:space="preserve"> </w:t>
            </w:r>
            <w:r>
              <w:rPr>
                <w:rFonts w:ascii="Times New Roman" w:hAnsi="Times New Roman"/>
                <w:color w:val="000000"/>
                <w:kern w:val="0"/>
                <w:sz w:val="20"/>
                <w:szCs w:val="20"/>
              </w:rPr>
              <w:t>mg/ two weeks</w:t>
            </w:r>
            <w:r>
              <w:rPr>
                <w:rFonts w:ascii="標楷體" w:eastAsia="標楷體" w:hAnsi="標楷體" w:cs="新細明體"/>
                <w:color w:val="000000"/>
                <w:kern w:val="0"/>
                <w:sz w:val="20"/>
                <w:szCs w:val="20"/>
              </w:rPr>
              <w:t>引起之不良事件：</w:t>
            </w:r>
          </w:p>
        </w:tc>
      </w:tr>
      <w:tr w:rsidR="00401786" w14:paraId="3B66E037"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40F0639F"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Upadacitinib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612AA0C7"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______mg/</w:t>
            </w:r>
            <w:r>
              <w:rPr>
                <w:rFonts w:ascii="標楷體" w:eastAsia="標楷體" w:hAnsi="標楷體" w:cs="新細明體"/>
                <w:kern w:val="0"/>
                <w:sz w:val="20"/>
                <w:szCs w:val="20"/>
              </w:rPr>
              <w:t>次</w:t>
            </w:r>
            <w:r>
              <w:rPr>
                <w:rFonts w:ascii="標楷體" w:eastAsia="標楷體" w:hAnsi="標楷體" w:cs="新細明體"/>
                <w:kern w:val="0"/>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r>
              <w:rPr>
                <w:rFonts w:ascii="標楷體" w:eastAsia="標楷體" w:hAnsi="標楷體" w:cs="新細明體"/>
                <w:kern w:val="0"/>
                <w:sz w:val="20"/>
                <w:szCs w:val="20"/>
              </w:rPr>
              <w:t>引起之不良事件：</w:t>
            </w:r>
          </w:p>
        </w:tc>
      </w:tr>
      <w:tr w:rsidR="00401786" w14:paraId="1A93BEAF"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74B4635C"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lastRenderedPageBreak/>
              <w:t xml:space="preserve">□ </w:t>
            </w:r>
            <w:proofErr w:type="spellStart"/>
            <w:r>
              <w:rPr>
                <w:rFonts w:ascii="Times New Roman" w:hAnsi="Times New Roman"/>
                <w:color w:val="000000"/>
                <w:kern w:val="0"/>
                <w:sz w:val="20"/>
                <w:szCs w:val="20"/>
              </w:rPr>
              <w:t>Brodalumab</w:t>
            </w:r>
            <w:proofErr w:type="spellEnd"/>
            <w:r>
              <w:rPr>
                <w:rFonts w:ascii="Times New Roman" w:hAnsi="Times New Roman"/>
                <w:kern w:val="0"/>
                <w:sz w:val="20"/>
                <w:szCs w:val="20"/>
              </w:rPr>
              <w:t xml:space="preserve"> </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4754C844"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______mg/</w:t>
            </w:r>
            <w:r>
              <w:rPr>
                <w:rFonts w:ascii="標楷體" w:eastAsia="標楷體" w:hAnsi="標楷體" w:cs="新細明體"/>
                <w:kern w:val="0"/>
                <w:sz w:val="20"/>
                <w:szCs w:val="20"/>
              </w:rPr>
              <w:t>次</w:t>
            </w:r>
            <w:r>
              <w:rPr>
                <w:rFonts w:ascii="標楷體" w:eastAsia="標楷體" w:hAnsi="標楷體" w:cs="新細明體"/>
                <w:kern w:val="0"/>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r>
              <w:rPr>
                <w:rFonts w:ascii="標楷體" w:eastAsia="標楷體" w:hAnsi="標楷體" w:cs="新細明體"/>
                <w:kern w:val="0"/>
                <w:sz w:val="20"/>
                <w:szCs w:val="20"/>
              </w:rPr>
              <w:t>引起之不良事件：</w:t>
            </w:r>
          </w:p>
        </w:tc>
      </w:tr>
    </w:tbl>
    <w:p w14:paraId="3106FB38" w14:textId="77777777" w:rsidR="00401786" w:rsidRDefault="00401786" w:rsidP="000E757E">
      <w:pPr>
        <w:widowControl/>
        <w:spacing w:line="240" w:lineRule="atLeast"/>
        <w:rPr>
          <w:rFonts w:ascii="標楷體" w:eastAsia="標楷體" w:hAnsi="標楷體"/>
          <w:sz w:val="20"/>
          <w:szCs w:val="20"/>
        </w:rPr>
      </w:pPr>
    </w:p>
    <w:p w14:paraId="73E05D4C" w14:textId="77777777" w:rsidR="00401786" w:rsidRPr="005C51CB" w:rsidRDefault="00401786" w:rsidP="000E757E">
      <w:pPr>
        <w:pageBreakBefore/>
        <w:widowControl/>
        <w:suppressAutoHyphens w:val="0"/>
        <w:spacing w:line="240" w:lineRule="atLeast"/>
        <w:rPr>
          <w:rFonts w:ascii="標楷體" w:eastAsia="標楷體" w:hAnsi="標楷體"/>
          <w:b/>
          <w:bCs/>
          <w:sz w:val="22"/>
        </w:rPr>
      </w:pPr>
    </w:p>
    <w:p w14:paraId="0168112B" w14:textId="77777777" w:rsidR="00401786" w:rsidRPr="005C51CB" w:rsidRDefault="00C64FB3" w:rsidP="000E757E">
      <w:pPr>
        <w:widowControl/>
        <w:spacing w:line="240" w:lineRule="atLeast"/>
        <w:jc w:val="center"/>
        <w:rPr>
          <w:rFonts w:ascii="標楷體" w:eastAsia="標楷體" w:hAnsi="標楷體"/>
          <w:b/>
          <w:bCs/>
          <w:szCs w:val="24"/>
        </w:rPr>
      </w:pPr>
      <w:r w:rsidRPr="005C51CB">
        <w:rPr>
          <w:rFonts w:ascii="標楷體" w:eastAsia="標楷體" w:hAnsi="標楷體"/>
          <w:b/>
          <w:bCs/>
          <w:szCs w:val="24"/>
        </w:rPr>
        <w:t>附表二十二之六：全民健康保險</w:t>
      </w:r>
      <w:proofErr w:type="gramStart"/>
      <w:r w:rsidRPr="005C51CB">
        <w:rPr>
          <w:rFonts w:ascii="標楷體" w:eastAsia="標楷體" w:hAnsi="標楷體"/>
          <w:b/>
          <w:bCs/>
          <w:szCs w:val="24"/>
        </w:rPr>
        <w:t>乾癬性周邊</w:t>
      </w:r>
      <w:proofErr w:type="gramEnd"/>
      <w:r w:rsidRPr="005C51CB">
        <w:rPr>
          <w:rFonts w:ascii="標楷體" w:eastAsia="標楷體" w:hAnsi="標楷體"/>
          <w:b/>
          <w:bCs/>
          <w:szCs w:val="24"/>
        </w:rPr>
        <w:t>關節炎使用</w:t>
      </w:r>
    </w:p>
    <w:p w14:paraId="1067491C" w14:textId="77777777" w:rsidR="00401786" w:rsidRPr="005C51CB" w:rsidRDefault="00C64FB3" w:rsidP="000E757E">
      <w:pPr>
        <w:widowControl/>
        <w:spacing w:line="240" w:lineRule="atLeast"/>
        <w:jc w:val="center"/>
        <w:rPr>
          <w:sz w:val="20"/>
          <w:szCs w:val="20"/>
        </w:rPr>
      </w:pPr>
      <w:proofErr w:type="spellStart"/>
      <w:r w:rsidRPr="005C51CB">
        <w:rPr>
          <w:rFonts w:ascii="標楷體" w:eastAsia="標楷體" w:hAnsi="標楷體"/>
          <w:b/>
          <w:bCs/>
          <w:szCs w:val="24"/>
        </w:rPr>
        <w:t>ustekinumab</w:t>
      </w:r>
      <w:proofErr w:type="spellEnd"/>
      <w:r w:rsidRPr="005C51CB">
        <w:rPr>
          <w:rFonts w:ascii="標楷體" w:eastAsia="標楷體" w:hAnsi="標楷體"/>
          <w:b/>
          <w:bCs/>
          <w:szCs w:val="24"/>
        </w:rPr>
        <w:t xml:space="preserve">/ </w:t>
      </w:r>
      <w:proofErr w:type="spellStart"/>
      <w:r w:rsidRPr="005C51CB">
        <w:rPr>
          <w:rFonts w:ascii="標楷體" w:eastAsia="標楷體" w:hAnsi="標楷體"/>
          <w:b/>
          <w:bCs/>
          <w:szCs w:val="24"/>
        </w:rPr>
        <w:t>guselkumab</w:t>
      </w:r>
      <w:proofErr w:type="spellEnd"/>
      <w:r w:rsidRPr="005C51CB">
        <w:rPr>
          <w:rFonts w:ascii="標楷體" w:eastAsia="標楷體" w:hAnsi="標楷體"/>
          <w:b/>
          <w:bCs/>
          <w:szCs w:val="24"/>
        </w:rPr>
        <w:t xml:space="preserve">/ </w:t>
      </w:r>
      <w:proofErr w:type="spellStart"/>
      <w:r w:rsidRPr="005C51CB">
        <w:rPr>
          <w:rFonts w:ascii="標楷體" w:eastAsia="標楷體" w:hAnsi="標楷體"/>
          <w:b/>
          <w:bCs/>
          <w:szCs w:val="24"/>
        </w:rPr>
        <w:t>risankizumab</w:t>
      </w:r>
      <w:proofErr w:type="spellEnd"/>
      <w:r w:rsidRPr="005C51CB">
        <w:rPr>
          <w:rFonts w:ascii="標楷體" w:eastAsia="標楷體" w:hAnsi="標楷體"/>
          <w:b/>
          <w:bCs/>
          <w:szCs w:val="24"/>
        </w:rPr>
        <w:t>申請表(第二頁)</w:t>
      </w:r>
      <w:r w:rsidRPr="005C51CB">
        <w:rPr>
          <w:rFonts w:ascii="Times New Roman" w:hAnsi="Times New Roman"/>
          <w:sz w:val="20"/>
          <w:szCs w:val="20"/>
        </w:rPr>
        <w:t xml:space="preserve"> </w:t>
      </w:r>
    </w:p>
    <w:tbl>
      <w:tblPr>
        <w:tblW w:w="9450" w:type="dxa"/>
        <w:tblCellMar>
          <w:left w:w="10" w:type="dxa"/>
          <w:right w:w="10" w:type="dxa"/>
        </w:tblCellMar>
        <w:tblLook w:val="0000" w:firstRow="0" w:lastRow="0" w:firstColumn="0" w:lastColumn="0" w:noHBand="0" w:noVBand="0"/>
      </w:tblPr>
      <w:tblGrid>
        <w:gridCol w:w="582"/>
        <w:gridCol w:w="1271"/>
        <w:gridCol w:w="7597"/>
      </w:tblGrid>
      <w:tr w:rsidR="00401786" w:rsidRPr="009E653D" w14:paraId="645F6BC4" w14:textId="77777777">
        <w:trPr>
          <w:trHeight w:val="3813"/>
        </w:trPr>
        <w:tc>
          <w:tcPr>
            <w:tcW w:w="9450" w:type="dxa"/>
            <w:gridSpan w:val="3"/>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656C6A46" w14:textId="77777777" w:rsidR="00401786" w:rsidRPr="009E653D" w:rsidRDefault="00C64FB3" w:rsidP="000E757E">
            <w:pPr>
              <w:spacing w:line="240" w:lineRule="atLeast"/>
              <w:rPr>
                <w:szCs w:val="24"/>
              </w:rPr>
            </w:pPr>
            <w:r w:rsidRPr="009E653D">
              <w:rPr>
                <w:rFonts w:ascii="標楷體" w:eastAsia="標楷體" w:hAnsi="標楷體"/>
                <w:szCs w:val="24"/>
              </w:rPr>
              <w:t xml:space="preserve">□ </w:t>
            </w:r>
            <w:r w:rsidRPr="009E653D">
              <w:rPr>
                <w:rFonts w:ascii="標楷體" w:eastAsia="標楷體" w:hAnsi="標楷體"/>
                <w:b/>
                <w:szCs w:val="24"/>
              </w:rPr>
              <w:t>符合繼續使用之療效評估：</w:t>
            </w:r>
          </w:p>
          <w:p w14:paraId="0B35E021" w14:textId="77777777" w:rsidR="00401786" w:rsidRPr="009E653D" w:rsidRDefault="00C64FB3" w:rsidP="000E757E">
            <w:pPr>
              <w:spacing w:line="240" w:lineRule="atLeast"/>
              <w:ind w:left="970" w:hanging="970"/>
              <w:rPr>
                <w:szCs w:val="24"/>
              </w:rPr>
            </w:pPr>
            <w:r w:rsidRPr="009E653D">
              <w:rPr>
                <w:rFonts w:ascii="標楷體" w:eastAsia="標楷體" w:hAnsi="標楷體"/>
                <w:szCs w:val="24"/>
              </w:rPr>
              <w:t>療效定義：初次申請後，Ustekinumab</w:t>
            </w:r>
            <w:r w:rsidRPr="009E653D">
              <w:rPr>
                <w:rFonts w:ascii="標楷體" w:eastAsia="標楷體" w:hAnsi="標楷體"/>
                <w:color w:val="000000"/>
                <w:szCs w:val="24"/>
              </w:rPr>
              <w:t>、</w:t>
            </w:r>
            <w:proofErr w:type="spellStart"/>
            <w:r w:rsidRPr="009E653D">
              <w:rPr>
                <w:rFonts w:ascii="標楷體" w:eastAsia="標楷體" w:hAnsi="標楷體"/>
                <w:color w:val="000000"/>
                <w:szCs w:val="24"/>
              </w:rPr>
              <w:t>guselkumab</w:t>
            </w:r>
            <w:proofErr w:type="spellEnd"/>
            <w:r w:rsidRPr="009E653D">
              <w:rPr>
                <w:rFonts w:ascii="標楷體" w:eastAsia="標楷體" w:hAnsi="標楷體"/>
                <w:szCs w:val="24"/>
              </w:rPr>
              <w:t xml:space="preserve"> 及</w:t>
            </w:r>
            <w:proofErr w:type="spellStart"/>
            <w:r w:rsidRPr="009E653D">
              <w:rPr>
                <w:rFonts w:ascii="標楷體" w:eastAsia="標楷體" w:hAnsi="標楷體"/>
                <w:color w:val="000000"/>
                <w:szCs w:val="24"/>
              </w:rPr>
              <w:t>risankizumab</w:t>
            </w:r>
            <w:proofErr w:type="spellEnd"/>
            <w:r w:rsidRPr="009E653D">
              <w:rPr>
                <w:rFonts w:ascii="標楷體" w:eastAsia="標楷體" w:hAnsi="標楷體"/>
                <w:szCs w:val="24"/>
              </w:rPr>
              <w:t>於24</w:t>
            </w:r>
            <w:proofErr w:type="gramStart"/>
            <w:r w:rsidRPr="009E653D">
              <w:rPr>
                <w:rFonts w:ascii="標楷體" w:eastAsia="標楷體" w:hAnsi="標楷體"/>
                <w:szCs w:val="24"/>
              </w:rPr>
              <w:t>週</w:t>
            </w:r>
            <w:proofErr w:type="gramEnd"/>
            <w:r w:rsidRPr="009E653D">
              <w:rPr>
                <w:rFonts w:ascii="標楷體" w:eastAsia="標楷體" w:hAnsi="標楷體"/>
                <w:szCs w:val="24"/>
              </w:rPr>
              <w:t>評估乾癬關節炎反應</w:t>
            </w:r>
          </w:p>
          <w:p w14:paraId="2CE401F2" w14:textId="77777777" w:rsidR="00401786" w:rsidRPr="009E653D" w:rsidRDefault="00C64FB3" w:rsidP="000E757E">
            <w:pPr>
              <w:spacing w:line="240" w:lineRule="atLeast"/>
              <w:ind w:left="262" w:firstLine="1"/>
              <w:rPr>
                <w:rFonts w:ascii="標楷體" w:eastAsia="標楷體" w:hAnsi="標楷體"/>
                <w:szCs w:val="24"/>
              </w:rPr>
            </w:pPr>
            <w:r w:rsidRPr="009E653D">
              <w:rPr>
                <w:rFonts w:ascii="標楷體" w:eastAsia="標楷體" w:hAnsi="標楷體"/>
                <w:szCs w:val="24"/>
              </w:rPr>
              <w:t>標準</w:t>
            </w:r>
            <w:proofErr w:type="gramStart"/>
            <w:r w:rsidRPr="009E653D">
              <w:rPr>
                <w:rFonts w:ascii="標楷體" w:eastAsia="標楷體" w:hAnsi="標楷體"/>
                <w:szCs w:val="24"/>
              </w:rPr>
              <w:t>﹝</w:t>
            </w:r>
            <w:proofErr w:type="gramEnd"/>
            <w:r w:rsidRPr="009E653D">
              <w:rPr>
                <w:rFonts w:ascii="標楷體" w:eastAsia="標楷體" w:hAnsi="標楷體"/>
                <w:szCs w:val="24"/>
              </w:rPr>
              <w:t>附表二十二之三</w:t>
            </w:r>
            <w:proofErr w:type="gramStart"/>
            <w:r w:rsidRPr="009E653D">
              <w:rPr>
                <w:rFonts w:ascii="標楷體" w:eastAsia="標楷體" w:hAnsi="標楷體"/>
                <w:szCs w:val="24"/>
              </w:rPr>
              <w:t>﹞</w:t>
            </w:r>
            <w:proofErr w:type="gramEnd"/>
            <w:r w:rsidRPr="009E653D">
              <w:rPr>
                <w:rFonts w:ascii="標楷體" w:eastAsia="標楷體" w:hAnsi="標楷體"/>
                <w:szCs w:val="24"/>
              </w:rPr>
              <w:t>，其標準為下列四項中至少有二項較原基礎值改善，且其中一項需為疼痛關節或腫脹關節的關節總數，且下述各種指標不得有任一項惡化，方得繼續使用。繼續使用者，</w:t>
            </w:r>
            <w:proofErr w:type="gramStart"/>
            <w:r w:rsidRPr="009E653D">
              <w:rPr>
                <w:rFonts w:ascii="標楷體" w:eastAsia="標楷體" w:hAnsi="標楷體"/>
                <w:szCs w:val="24"/>
              </w:rPr>
              <w:t>需每12週</w:t>
            </w:r>
            <w:proofErr w:type="gramEnd"/>
            <w:r w:rsidRPr="009E653D">
              <w:rPr>
                <w:rFonts w:ascii="標楷體" w:eastAsia="標楷體" w:hAnsi="標楷體"/>
                <w:szCs w:val="24"/>
              </w:rPr>
              <w:t>評估一次，再次提出申請續用。</w:t>
            </w:r>
          </w:p>
          <w:p w14:paraId="422B5DFB"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疼痛關節的關節總數較原基礎值改善。</w:t>
            </w:r>
          </w:p>
          <w:p w14:paraId="14C14173"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腫脹關節的關節總數較原基礎值改善。</w:t>
            </w:r>
          </w:p>
          <w:p w14:paraId="54F89565"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醫師的整體評估較原基礎值改善。</w:t>
            </w:r>
          </w:p>
          <w:p w14:paraId="5F881B81"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病患的整體評估較原基礎值改善。</w:t>
            </w:r>
          </w:p>
          <w:p w14:paraId="03941F93"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上述4種指標皆無惡化。</w:t>
            </w:r>
          </w:p>
          <w:p w14:paraId="648BF99B" w14:textId="77777777" w:rsidR="00401786" w:rsidRPr="009E653D" w:rsidRDefault="00401786" w:rsidP="000E757E">
            <w:pPr>
              <w:spacing w:line="240" w:lineRule="atLeast"/>
              <w:rPr>
                <w:rFonts w:ascii="標楷體" w:eastAsia="標楷體" w:hAnsi="標楷體" w:cs="新細明體"/>
                <w:kern w:val="0"/>
                <w:szCs w:val="24"/>
              </w:rPr>
            </w:pPr>
          </w:p>
          <w:p w14:paraId="68F399C8" w14:textId="77777777" w:rsidR="00401786" w:rsidRPr="009E653D" w:rsidRDefault="00C64FB3" w:rsidP="000E757E">
            <w:pPr>
              <w:spacing w:line="240" w:lineRule="atLeast"/>
              <w:rPr>
                <w:szCs w:val="24"/>
              </w:rPr>
            </w:pPr>
            <w:proofErr w:type="gramStart"/>
            <w:r w:rsidRPr="009E653D">
              <w:rPr>
                <w:rFonts w:ascii="標楷體" w:eastAsia="標楷體" w:hAnsi="標楷體" w:cs="新細明體"/>
                <w:kern w:val="0"/>
                <w:szCs w:val="24"/>
              </w:rPr>
              <w:t>註</w:t>
            </w:r>
            <w:proofErr w:type="gramEnd"/>
            <w:r w:rsidRPr="009E653D">
              <w:rPr>
                <w:rFonts w:ascii="標楷體" w:eastAsia="標楷體" w:hAnsi="標楷體" w:cs="新細明體"/>
                <w:kern w:val="0"/>
                <w:szCs w:val="24"/>
              </w:rPr>
              <w:t>：改善之定義請參照給付規定</w:t>
            </w:r>
          </w:p>
        </w:tc>
      </w:tr>
      <w:tr w:rsidR="00401786" w:rsidRPr="009E653D" w14:paraId="5494265B" w14:textId="77777777">
        <w:trPr>
          <w:trHeight w:val="210"/>
        </w:trPr>
        <w:tc>
          <w:tcPr>
            <w:tcW w:w="9450"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3BB61D70" w14:textId="77777777" w:rsidR="00401786" w:rsidRPr="009E653D" w:rsidRDefault="00C64FB3" w:rsidP="000E757E">
            <w:pPr>
              <w:spacing w:line="240" w:lineRule="atLeast"/>
              <w:jc w:val="center"/>
              <w:rPr>
                <w:szCs w:val="24"/>
              </w:rPr>
            </w:pPr>
            <w:r w:rsidRPr="009E653D">
              <w:rPr>
                <w:rFonts w:ascii="新細明體" w:hAnsi="新細明體" w:cs="新細明體"/>
                <w:szCs w:val="24"/>
              </w:rPr>
              <w:t xml:space="preserve">□ </w:t>
            </w:r>
            <w:r w:rsidRPr="009E653D">
              <w:rPr>
                <w:rFonts w:ascii="標楷體" w:eastAsia="標楷體" w:hAnsi="標楷體" w:cs="新細明體"/>
                <w:b/>
                <w:szCs w:val="24"/>
              </w:rPr>
              <w:t>無「需排除或停止</w:t>
            </w:r>
            <w:proofErr w:type="spellStart"/>
            <w:r w:rsidRPr="009E653D">
              <w:rPr>
                <w:rFonts w:ascii="Times New Roman" w:hAnsi="Times New Roman"/>
                <w:b/>
                <w:szCs w:val="24"/>
              </w:rPr>
              <w:t>ustekinumab</w:t>
            </w:r>
            <w:proofErr w:type="spellEnd"/>
            <w:r w:rsidRPr="009E653D">
              <w:rPr>
                <w:rFonts w:ascii="標楷體" w:eastAsia="標楷體" w:hAnsi="標楷體" w:cs="新細明體"/>
                <w:b/>
                <w:szCs w:val="24"/>
              </w:rPr>
              <w:t>、</w:t>
            </w:r>
            <w:proofErr w:type="spellStart"/>
            <w:r w:rsidRPr="009E653D">
              <w:rPr>
                <w:rFonts w:ascii="Times New Roman" w:hAnsi="Times New Roman"/>
                <w:b/>
                <w:szCs w:val="24"/>
              </w:rPr>
              <w:t>guselkumab</w:t>
            </w:r>
            <w:proofErr w:type="spellEnd"/>
            <w:r w:rsidRPr="009E653D">
              <w:rPr>
                <w:rFonts w:ascii="標楷體" w:eastAsia="標楷體" w:hAnsi="標楷體" w:cs="新細明體"/>
                <w:b/>
                <w:szCs w:val="24"/>
              </w:rPr>
              <w:t>及</w:t>
            </w:r>
            <w:proofErr w:type="spellStart"/>
            <w:r w:rsidRPr="009E653D">
              <w:rPr>
                <w:rFonts w:ascii="Times New Roman" w:hAnsi="Times New Roman"/>
                <w:b/>
                <w:color w:val="000000"/>
                <w:szCs w:val="24"/>
              </w:rPr>
              <w:t>risankizumab</w:t>
            </w:r>
            <w:proofErr w:type="spellEnd"/>
            <w:r w:rsidRPr="009E653D">
              <w:rPr>
                <w:rFonts w:ascii="標楷體" w:eastAsia="標楷體" w:hAnsi="標楷體" w:cs="新細明體"/>
                <w:b/>
                <w:szCs w:val="24"/>
              </w:rPr>
              <w:t>使用之情形」</w:t>
            </w:r>
          </w:p>
        </w:tc>
      </w:tr>
      <w:tr w:rsidR="00401786" w:rsidRPr="009E653D" w14:paraId="53B15C71" w14:textId="77777777">
        <w:trPr>
          <w:trHeight w:val="284"/>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529054A3"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060BDA6B"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0FC6EF40"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D51C73" w14:textId="77777777" w:rsidR="00401786" w:rsidRPr="009E653D" w:rsidRDefault="00C64FB3" w:rsidP="000E757E">
            <w:pPr>
              <w:spacing w:line="240" w:lineRule="atLeast"/>
              <w:rPr>
                <w:szCs w:val="24"/>
              </w:rPr>
            </w:pPr>
            <w:r w:rsidRPr="009E653D">
              <w:rPr>
                <w:rFonts w:ascii="標楷體" w:eastAsia="標楷體" w:hAnsi="標楷體" w:cs="新細明體"/>
                <w:szCs w:val="24"/>
              </w:rPr>
              <w:t>是否有藥名</w:t>
            </w:r>
            <w:r w:rsidRPr="009E653D">
              <w:rPr>
                <w:rFonts w:ascii="標楷體" w:eastAsia="標楷體" w:hAnsi="標楷體"/>
                <w:szCs w:val="24"/>
              </w:rPr>
              <w:t>_____________</w:t>
            </w:r>
            <w:r w:rsidRPr="009E653D">
              <w:rPr>
                <w:rFonts w:ascii="標楷體" w:eastAsia="標楷體" w:hAnsi="標楷體" w:cs="新細明體"/>
                <w:szCs w:val="24"/>
              </w:rPr>
              <w:t>仿單記載之禁忌情形。</w:t>
            </w:r>
          </w:p>
        </w:tc>
      </w:tr>
      <w:tr w:rsidR="00401786" w:rsidRPr="009E653D" w14:paraId="7B0B4CC8" w14:textId="77777777">
        <w:trPr>
          <w:trHeight w:val="723"/>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56342DC5"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2ACCCCCA"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0DD91C48"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1EA0CA"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婦女是否正在懷孕</w:t>
            </w:r>
            <w:proofErr w:type="gramStart"/>
            <w:r w:rsidRPr="009E653D">
              <w:rPr>
                <w:rFonts w:ascii="標楷體" w:eastAsia="標楷體" w:hAnsi="標楷體" w:cs="新細明體"/>
                <w:szCs w:val="24"/>
              </w:rPr>
              <w:t>或授乳</w:t>
            </w:r>
            <w:proofErr w:type="gramEnd"/>
            <w:r w:rsidRPr="009E653D">
              <w:rPr>
                <w:rFonts w:ascii="標楷體" w:eastAsia="標楷體" w:hAnsi="標楷體" w:cs="新細明體"/>
                <w:szCs w:val="24"/>
              </w:rPr>
              <w:t>。</w:t>
            </w:r>
          </w:p>
        </w:tc>
      </w:tr>
      <w:tr w:rsidR="00401786" w:rsidRPr="009E653D" w14:paraId="1CD440CE"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7B8D87F8"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7FA623E9"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23BC945D"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4946ADC"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病患是否</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患活動性感染之疾病或有</w:t>
            </w:r>
            <w:proofErr w:type="gramStart"/>
            <w:r w:rsidRPr="009E653D">
              <w:rPr>
                <w:rFonts w:ascii="標楷體" w:eastAsia="標楷體" w:hAnsi="標楷體" w:cs="新細明體"/>
                <w:szCs w:val="24"/>
              </w:rPr>
              <w:t>Ｂ</w:t>
            </w:r>
            <w:proofErr w:type="gramEnd"/>
            <w:r w:rsidRPr="009E653D">
              <w:rPr>
                <w:rFonts w:ascii="標楷體" w:eastAsia="標楷體" w:hAnsi="標楷體" w:cs="新細明體"/>
                <w:szCs w:val="24"/>
              </w:rPr>
              <w:t>肝、</w:t>
            </w:r>
            <w:proofErr w:type="gramStart"/>
            <w:r w:rsidRPr="009E653D">
              <w:rPr>
                <w:rFonts w:ascii="標楷體" w:eastAsia="標楷體" w:hAnsi="標楷體" w:cs="新細明體"/>
                <w:szCs w:val="24"/>
              </w:rPr>
              <w:t>Ｃ</w:t>
            </w:r>
            <w:proofErr w:type="gramEnd"/>
            <w:r w:rsidRPr="009E653D">
              <w:rPr>
                <w:rFonts w:ascii="標楷體" w:eastAsia="標楷體" w:hAnsi="標楷體" w:cs="新細明體"/>
                <w:szCs w:val="24"/>
              </w:rPr>
              <w:t>肝活動性感染或結核病。</w:t>
            </w:r>
          </w:p>
        </w:tc>
      </w:tr>
      <w:tr w:rsidR="00401786" w:rsidRPr="009E653D" w14:paraId="4FC39A44"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15C6F23C"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0C47A1A5"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3310F31C"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4B4D8B"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病患是否具有高度感染機會之情形，其中包括：</w:t>
            </w:r>
          </w:p>
          <w:p w14:paraId="5FEA9533" w14:textId="77777777" w:rsidR="00401786" w:rsidRPr="009E653D" w:rsidRDefault="00C64FB3" w:rsidP="000E757E">
            <w:pPr>
              <w:spacing w:line="240" w:lineRule="atLeast"/>
              <w:rPr>
                <w:szCs w:val="24"/>
              </w:rPr>
            </w:pPr>
            <w:r w:rsidRPr="009E653D">
              <w:rPr>
                <w:rFonts w:ascii="標楷體" w:eastAsia="標楷體" w:hAnsi="標楷體"/>
                <w:szCs w:val="24"/>
              </w:rPr>
              <w:t>1.</w:t>
            </w:r>
            <w:proofErr w:type="gramStart"/>
            <w:r w:rsidRPr="009E653D">
              <w:rPr>
                <w:rFonts w:ascii="標楷體" w:eastAsia="標楷體" w:hAnsi="標楷體" w:cs="新細明體"/>
                <w:szCs w:val="24"/>
              </w:rPr>
              <w:t>慢性腿部</w:t>
            </w:r>
            <w:proofErr w:type="gramEnd"/>
            <w:r w:rsidRPr="009E653D">
              <w:rPr>
                <w:rFonts w:ascii="標楷體" w:eastAsia="標楷體" w:hAnsi="標楷體" w:cs="新細明體"/>
                <w:szCs w:val="24"/>
              </w:rPr>
              <w:t>潰瘍。</w:t>
            </w:r>
          </w:p>
          <w:p w14:paraId="456ABF36" w14:textId="77777777" w:rsidR="00401786" w:rsidRPr="009E653D" w:rsidRDefault="00C64FB3" w:rsidP="000E757E">
            <w:pPr>
              <w:spacing w:line="240" w:lineRule="atLeast"/>
              <w:ind w:left="220" w:hanging="220"/>
              <w:rPr>
                <w:szCs w:val="24"/>
              </w:rPr>
            </w:pPr>
            <w:r w:rsidRPr="009E653D">
              <w:rPr>
                <w:rFonts w:ascii="標楷體" w:eastAsia="標楷體" w:hAnsi="標楷體"/>
                <w:szCs w:val="24"/>
              </w:rPr>
              <w:t>2.</w:t>
            </w:r>
            <w:r w:rsidRPr="009E653D">
              <w:rPr>
                <w:rFonts w:ascii="標楷體" w:eastAsia="標楷體" w:hAnsi="標楷體" w:cs="新細明體"/>
                <w:szCs w:val="24"/>
              </w:rPr>
              <w:t>未經完整治療之結核病的病患（包括潛伏結核感染治療未達四</w:t>
            </w:r>
            <w:proofErr w:type="gramStart"/>
            <w:r w:rsidRPr="009E653D">
              <w:rPr>
                <w:rFonts w:ascii="標楷體" w:eastAsia="標楷體" w:hAnsi="標楷體" w:cs="新細明體"/>
                <w:szCs w:val="24"/>
              </w:rPr>
              <w:t>週</w:t>
            </w:r>
            <w:proofErr w:type="gramEnd"/>
            <w:r w:rsidRPr="009E653D">
              <w:rPr>
                <w:rFonts w:ascii="標楷體" w:eastAsia="標楷體" w:hAnsi="標楷體" w:cs="新細明體"/>
                <w:szCs w:val="24"/>
              </w:rPr>
              <w:t>者，申請時應檢附潛伏結核感染篩檢紀錄及治療紀錄供審查）。</w:t>
            </w:r>
          </w:p>
          <w:p w14:paraId="2B3653DC" w14:textId="77777777" w:rsidR="00401786" w:rsidRPr="009E653D" w:rsidRDefault="00C64FB3" w:rsidP="000E757E">
            <w:pPr>
              <w:spacing w:line="240" w:lineRule="atLeast"/>
              <w:rPr>
                <w:szCs w:val="24"/>
              </w:rPr>
            </w:pPr>
            <w:r w:rsidRPr="009E653D">
              <w:rPr>
                <w:rFonts w:ascii="標楷體" w:eastAsia="標楷體" w:hAnsi="標楷體"/>
                <w:szCs w:val="24"/>
              </w:rPr>
              <w:t>3.</w:t>
            </w:r>
            <w:r w:rsidRPr="009E653D">
              <w:rPr>
                <w:rFonts w:ascii="標楷體" w:eastAsia="標楷體" w:hAnsi="標楷體" w:cs="新細明體"/>
                <w:szCs w:val="24"/>
              </w:rPr>
              <w:t>過去</w:t>
            </w:r>
            <w:r w:rsidRPr="009E653D">
              <w:rPr>
                <w:rFonts w:ascii="標楷體" w:eastAsia="標楷體" w:hAnsi="標楷體"/>
                <w:szCs w:val="24"/>
              </w:rPr>
              <w:t>12</w:t>
            </w:r>
            <w:r w:rsidRPr="009E653D">
              <w:rPr>
                <w:rFonts w:ascii="標楷體" w:eastAsia="標楷體" w:hAnsi="標楷體" w:cs="新細明體"/>
                <w:szCs w:val="24"/>
              </w:rPr>
              <w:t>個月內曾</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患感染性關節炎者。</w:t>
            </w:r>
          </w:p>
          <w:p w14:paraId="5E3BDF35" w14:textId="77777777" w:rsidR="00401786" w:rsidRPr="009E653D" w:rsidRDefault="00C64FB3" w:rsidP="000E757E">
            <w:pPr>
              <w:spacing w:line="240" w:lineRule="atLeast"/>
              <w:rPr>
                <w:szCs w:val="24"/>
              </w:rPr>
            </w:pPr>
            <w:r w:rsidRPr="009E653D">
              <w:rPr>
                <w:rFonts w:ascii="標楷體" w:eastAsia="標楷體" w:hAnsi="標楷體"/>
                <w:szCs w:val="24"/>
              </w:rPr>
              <w:t>4.</w:t>
            </w:r>
            <w:r w:rsidRPr="009E653D">
              <w:rPr>
                <w:rFonts w:ascii="標楷體" w:eastAsia="標楷體" w:hAnsi="標楷體" w:cs="新細明體"/>
                <w:szCs w:val="24"/>
              </w:rPr>
              <w:t>曾有人工關節感染，若該人工關節未去除前，不可使用。</w:t>
            </w:r>
          </w:p>
          <w:p w14:paraId="39EEEE9D" w14:textId="77777777" w:rsidR="00401786" w:rsidRPr="009E653D" w:rsidRDefault="00C64FB3" w:rsidP="000E757E">
            <w:pPr>
              <w:spacing w:line="240" w:lineRule="atLeast"/>
              <w:rPr>
                <w:szCs w:val="24"/>
              </w:rPr>
            </w:pPr>
            <w:r w:rsidRPr="009E653D">
              <w:rPr>
                <w:rFonts w:ascii="標楷體" w:eastAsia="標楷體" w:hAnsi="標楷體"/>
                <w:szCs w:val="24"/>
              </w:rPr>
              <w:t>5.</w:t>
            </w:r>
            <w:r w:rsidRPr="009E653D">
              <w:rPr>
                <w:rFonts w:ascii="標楷體" w:eastAsia="標楷體" w:hAnsi="標楷體" w:cs="新細明體"/>
                <w:szCs w:val="24"/>
              </w:rPr>
              <w:t>頑固性或復發性的胸腔感染疾病。</w:t>
            </w:r>
          </w:p>
          <w:p w14:paraId="1E44C844" w14:textId="77777777" w:rsidR="00401786" w:rsidRPr="009E653D" w:rsidRDefault="00C64FB3" w:rsidP="000E757E">
            <w:pPr>
              <w:spacing w:line="240" w:lineRule="atLeast"/>
              <w:rPr>
                <w:szCs w:val="24"/>
              </w:rPr>
            </w:pPr>
            <w:r w:rsidRPr="009E653D">
              <w:rPr>
                <w:rFonts w:ascii="標楷體" w:eastAsia="標楷體" w:hAnsi="標楷體"/>
                <w:szCs w:val="24"/>
              </w:rPr>
              <w:t>6.</w:t>
            </w:r>
            <w:r w:rsidRPr="009E653D">
              <w:rPr>
                <w:rFonts w:ascii="標楷體" w:eastAsia="標楷體" w:hAnsi="標楷體" w:cs="新細明體"/>
                <w:szCs w:val="24"/>
              </w:rPr>
              <w:t>具有留置導尿管之情形。</w:t>
            </w:r>
          </w:p>
        </w:tc>
      </w:tr>
      <w:tr w:rsidR="00401786" w:rsidRPr="009E653D" w14:paraId="70B3A600"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1E01FA12"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4CE3566F"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4877CE9E"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73E6BA0"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病患是否</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w:t>
            </w:r>
            <w:proofErr w:type="gramStart"/>
            <w:r w:rsidRPr="009E653D">
              <w:rPr>
                <w:rFonts w:ascii="標楷體" w:eastAsia="標楷體" w:hAnsi="標楷體" w:cs="新細明體"/>
                <w:szCs w:val="24"/>
              </w:rPr>
              <w:t>惡性腫瘤或癌前</w:t>
            </w:r>
            <w:proofErr w:type="gramEnd"/>
            <w:r w:rsidRPr="009E653D">
              <w:rPr>
                <w:rFonts w:ascii="標楷體" w:eastAsia="標楷體" w:hAnsi="標楷體" w:cs="新細明體"/>
                <w:szCs w:val="24"/>
              </w:rPr>
              <w:t>狀態之腫瘤</w:t>
            </w:r>
          </w:p>
        </w:tc>
      </w:tr>
      <w:tr w:rsidR="00401786" w:rsidRPr="009E653D" w14:paraId="1C392110"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36F435C7"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51BFDCCC"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48865F37"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5FFAA67" w14:textId="77777777" w:rsidR="00401786" w:rsidRPr="009E653D" w:rsidRDefault="00C64FB3" w:rsidP="000E757E">
            <w:pPr>
              <w:spacing w:line="240" w:lineRule="atLeast"/>
              <w:rPr>
                <w:szCs w:val="24"/>
              </w:rPr>
            </w:pPr>
            <w:r w:rsidRPr="009E653D">
              <w:rPr>
                <w:rFonts w:ascii="標楷體" w:eastAsia="標楷體" w:hAnsi="標楷體" w:cs="新細明體"/>
                <w:szCs w:val="24"/>
              </w:rPr>
              <w:t>病患是否</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患狼瘡或多發性硬化症</w:t>
            </w:r>
            <w:r w:rsidRPr="009E653D">
              <w:rPr>
                <w:rFonts w:ascii="標楷體" w:eastAsia="標楷體" w:hAnsi="標楷體"/>
                <w:szCs w:val="24"/>
              </w:rPr>
              <w:t>(multiple sclerosis)</w:t>
            </w:r>
          </w:p>
        </w:tc>
      </w:tr>
      <w:tr w:rsidR="00401786" w:rsidRPr="009E653D" w14:paraId="1789E6E2" w14:textId="77777777">
        <w:trPr>
          <w:trHeight w:val="315"/>
        </w:trPr>
        <w:tc>
          <w:tcPr>
            <w:tcW w:w="582" w:type="dxa"/>
            <w:tcBorders>
              <w:top w:val="single" w:sz="6" w:space="0" w:color="000000"/>
              <w:left w:val="double" w:sz="4" w:space="0" w:color="000000"/>
              <w:bottom w:val="double" w:sz="4" w:space="0" w:color="000000"/>
            </w:tcBorders>
            <w:shd w:val="clear" w:color="auto" w:fill="auto"/>
            <w:tcMar>
              <w:top w:w="0" w:type="dxa"/>
              <w:left w:w="28" w:type="dxa"/>
              <w:bottom w:w="0" w:type="dxa"/>
              <w:right w:w="0" w:type="dxa"/>
            </w:tcMar>
            <w:vAlign w:val="center"/>
          </w:tcPr>
          <w:p w14:paraId="56B62F03"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double" w:sz="4" w:space="0" w:color="000000"/>
              <w:right w:val="single" w:sz="6" w:space="0" w:color="000000"/>
            </w:tcBorders>
            <w:shd w:val="clear" w:color="auto" w:fill="auto"/>
            <w:tcMar>
              <w:top w:w="0" w:type="dxa"/>
              <w:left w:w="0" w:type="dxa"/>
              <w:bottom w:w="0" w:type="dxa"/>
              <w:right w:w="28" w:type="dxa"/>
            </w:tcMar>
            <w:vAlign w:val="center"/>
          </w:tcPr>
          <w:p w14:paraId="26367BE1"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133B2EE6"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082DDF5" w14:textId="77777777" w:rsidR="00401786" w:rsidRPr="009E653D" w:rsidRDefault="00C64FB3" w:rsidP="000E757E">
            <w:pPr>
              <w:widowControl/>
              <w:suppressAutoHyphens w:val="0"/>
              <w:spacing w:before="100" w:after="100" w:line="240" w:lineRule="atLeast"/>
              <w:textAlignment w:val="auto"/>
              <w:rPr>
                <w:szCs w:val="24"/>
              </w:rPr>
            </w:pPr>
            <w:r w:rsidRPr="009E653D">
              <w:rPr>
                <w:rFonts w:ascii="標楷體" w:eastAsia="標楷體" w:hAnsi="標楷體" w:cs="新細明體"/>
                <w:kern w:val="0"/>
                <w:szCs w:val="24"/>
              </w:rPr>
              <w:t>使用</w:t>
            </w:r>
            <w:proofErr w:type="spellStart"/>
            <w:r w:rsidRPr="009E653D">
              <w:rPr>
                <w:rFonts w:ascii="標楷體" w:eastAsia="標楷體" w:hAnsi="標楷體"/>
                <w:kern w:val="0"/>
                <w:szCs w:val="24"/>
              </w:rPr>
              <w:t>ustekinumab</w:t>
            </w:r>
            <w:proofErr w:type="spellEnd"/>
            <w:r w:rsidRPr="009E653D">
              <w:rPr>
                <w:rFonts w:ascii="標楷體" w:eastAsia="標楷體" w:hAnsi="標楷體"/>
                <w:kern w:val="0"/>
                <w:szCs w:val="24"/>
              </w:rPr>
              <w:t xml:space="preserve">/ </w:t>
            </w:r>
            <w:proofErr w:type="spellStart"/>
            <w:r w:rsidRPr="009E653D">
              <w:rPr>
                <w:rFonts w:ascii="標楷體" w:eastAsia="標楷體" w:hAnsi="標楷體"/>
                <w:kern w:val="0"/>
                <w:szCs w:val="24"/>
              </w:rPr>
              <w:t>guselkumab</w:t>
            </w:r>
            <w:proofErr w:type="spellEnd"/>
            <w:r w:rsidRPr="009E653D">
              <w:rPr>
                <w:rFonts w:ascii="標楷體" w:eastAsia="標楷體" w:hAnsi="標楷體"/>
                <w:kern w:val="0"/>
                <w:szCs w:val="24"/>
              </w:rPr>
              <w:t>/</w:t>
            </w:r>
            <w:proofErr w:type="spellStart"/>
            <w:r w:rsidRPr="009E653D">
              <w:rPr>
                <w:rFonts w:ascii="標楷體" w:eastAsia="標楷體" w:hAnsi="標楷體"/>
                <w:kern w:val="0"/>
                <w:szCs w:val="24"/>
              </w:rPr>
              <w:t>risankizumab</w:t>
            </w:r>
            <w:proofErr w:type="spellEnd"/>
            <w:r w:rsidRPr="009E653D">
              <w:rPr>
                <w:rFonts w:ascii="標楷體" w:eastAsia="標楷體" w:hAnsi="標楷體" w:cs="新細明體"/>
                <w:kern w:val="0"/>
                <w:szCs w:val="24"/>
              </w:rPr>
              <w:t>發生懷孕或不良事件</w:t>
            </w:r>
            <w:r w:rsidRPr="009E653D">
              <w:rPr>
                <w:rFonts w:ascii="標楷體" w:eastAsia="標楷體" w:hAnsi="標楷體"/>
                <w:kern w:val="0"/>
                <w:szCs w:val="24"/>
              </w:rPr>
              <w:t>(</w:t>
            </w:r>
            <w:r w:rsidRPr="009E653D">
              <w:rPr>
                <w:rFonts w:ascii="標楷體" w:eastAsia="標楷體" w:hAnsi="標楷體" w:cs="新細明體"/>
                <w:kern w:val="0"/>
                <w:szCs w:val="24"/>
              </w:rPr>
              <w:t>包括：惡性腫瘤、該藥物引起的嚴重毒性、嚴重的感染性疾病</w:t>
            </w:r>
            <w:r w:rsidRPr="009E653D">
              <w:rPr>
                <w:rFonts w:ascii="標楷體" w:eastAsia="標楷體" w:hAnsi="標楷體"/>
                <w:kern w:val="0"/>
                <w:szCs w:val="24"/>
              </w:rPr>
              <w:t>)</w:t>
            </w:r>
          </w:p>
        </w:tc>
      </w:tr>
    </w:tbl>
    <w:p w14:paraId="206B2EA4" w14:textId="77777777" w:rsidR="00401786" w:rsidRPr="009E653D" w:rsidRDefault="00401786" w:rsidP="000E757E">
      <w:pPr>
        <w:widowControl/>
        <w:spacing w:line="240" w:lineRule="atLeast"/>
        <w:jc w:val="center"/>
        <w:rPr>
          <w:rFonts w:ascii="Times New Roman" w:hAnsi="Times New Roman"/>
          <w:szCs w:val="24"/>
        </w:rPr>
      </w:pPr>
    </w:p>
    <w:p w14:paraId="4AE90871" w14:textId="77777777" w:rsidR="00401786" w:rsidRDefault="00401786" w:rsidP="000E757E">
      <w:pPr>
        <w:pageBreakBefore/>
        <w:widowControl/>
        <w:suppressAutoHyphens w:val="0"/>
        <w:spacing w:line="240" w:lineRule="atLeast"/>
        <w:rPr>
          <w:rFonts w:ascii="標楷體" w:eastAsia="標楷體" w:hAnsi="標楷體"/>
          <w:szCs w:val="24"/>
        </w:rPr>
      </w:pPr>
    </w:p>
    <w:p w14:paraId="68F5C019" w14:textId="77777777" w:rsidR="00401786" w:rsidRPr="00190A34" w:rsidRDefault="00C64FB3" w:rsidP="000E757E">
      <w:pPr>
        <w:widowControl/>
        <w:spacing w:line="240" w:lineRule="atLeast"/>
        <w:jc w:val="center"/>
        <w:rPr>
          <w:b/>
          <w:bCs/>
          <w:sz w:val="28"/>
          <w:szCs w:val="24"/>
        </w:rPr>
      </w:pPr>
      <w:r w:rsidRPr="00190A34">
        <w:rPr>
          <w:rFonts w:ascii="標楷體" w:eastAsia="標楷體" w:hAnsi="標楷體"/>
          <w:b/>
          <w:bCs/>
          <w:sz w:val="28"/>
          <w:szCs w:val="28"/>
        </w:rPr>
        <w:t>附表二十三</w:t>
      </w:r>
      <w:r w:rsidRPr="00190A34">
        <w:rPr>
          <w:rFonts w:ascii="標楷體" w:eastAsia="標楷體" w:hAnsi="標楷體"/>
          <w:b/>
          <w:bCs/>
          <w:color w:val="000000"/>
          <w:sz w:val="28"/>
          <w:szCs w:val="28"/>
        </w:rPr>
        <w:t>：</w:t>
      </w:r>
      <w:r w:rsidRPr="00190A34">
        <w:rPr>
          <w:rFonts w:ascii="標楷體" w:eastAsia="標楷體" w:hAnsi="標楷體"/>
          <w:b/>
          <w:bCs/>
          <w:sz w:val="28"/>
          <w:szCs w:val="28"/>
        </w:rPr>
        <w:t>全民健康保險使用</w:t>
      </w:r>
      <w:r w:rsidRPr="00190A34">
        <w:rPr>
          <w:rFonts w:ascii="標楷體" w:eastAsia="標楷體" w:hAnsi="標楷體"/>
          <w:b/>
          <w:bCs/>
          <w:color w:val="000000"/>
          <w:sz w:val="28"/>
          <w:szCs w:val="28"/>
        </w:rPr>
        <w:t>rituximab申</w:t>
      </w:r>
      <w:r w:rsidRPr="00190A34">
        <w:rPr>
          <w:rFonts w:ascii="標楷體" w:eastAsia="標楷體" w:hAnsi="標楷體"/>
          <w:b/>
          <w:bCs/>
          <w:sz w:val="28"/>
          <w:szCs w:val="28"/>
        </w:rPr>
        <w:t>請表</w:t>
      </w:r>
    </w:p>
    <w:p w14:paraId="36D7723F" w14:textId="77777777" w:rsidR="00401786" w:rsidRDefault="00C64FB3" w:rsidP="000E757E">
      <w:pPr>
        <w:snapToGrid w:val="0"/>
        <w:spacing w:line="240" w:lineRule="atLeast"/>
        <w:ind w:left="13606" w:right="126" w:hanging="13606"/>
        <w:jc w:val="right"/>
      </w:pPr>
      <w:r>
        <w:rPr>
          <w:rFonts w:ascii="標楷體" w:eastAsia="標楷體" w:hAnsi="標楷體" w:cs="Webdings"/>
          <w:sz w:val="32"/>
          <w:szCs w:val="32"/>
        </w:rPr>
        <w:t></w:t>
      </w:r>
      <w:r w:rsidRPr="00190A34">
        <w:rPr>
          <w:rFonts w:ascii="標楷體" w:eastAsia="標楷體" w:hAnsi="標楷體"/>
          <w:sz w:val="28"/>
          <w:szCs w:val="28"/>
        </w:rPr>
        <w:t>初次治療</w:t>
      </w:r>
    </w:p>
    <w:tbl>
      <w:tblPr>
        <w:tblW w:w="9639" w:type="dxa"/>
        <w:tblInd w:w="28" w:type="dxa"/>
        <w:tblLayout w:type="fixed"/>
        <w:tblCellMar>
          <w:left w:w="10" w:type="dxa"/>
          <w:right w:w="10" w:type="dxa"/>
        </w:tblCellMar>
        <w:tblLook w:val="0000" w:firstRow="0" w:lastRow="0" w:firstColumn="0" w:lastColumn="0" w:noHBand="0" w:noVBand="0"/>
      </w:tblPr>
      <w:tblGrid>
        <w:gridCol w:w="1246"/>
        <w:gridCol w:w="1638"/>
        <w:gridCol w:w="1148"/>
        <w:gridCol w:w="1889"/>
        <w:gridCol w:w="1218"/>
        <w:gridCol w:w="2500"/>
      </w:tblGrid>
      <w:tr w:rsidR="00401786" w14:paraId="228E1B3A" w14:textId="77777777">
        <w:trPr>
          <w:cantSplit/>
          <w:trHeight w:val="376"/>
        </w:trPr>
        <w:tc>
          <w:tcPr>
            <w:tcW w:w="1246"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246BBB3"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63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9B6936" w14:textId="77777777" w:rsidR="00401786" w:rsidRDefault="00401786" w:rsidP="000E757E">
            <w:pPr>
              <w:snapToGrid w:val="0"/>
              <w:spacing w:line="240" w:lineRule="atLeast"/>
              <w:rPr>
                <w:rFonts w:ascii="標楷體" w:eastAsia="標楷體" w:hAnsi="標楷體"/>
              </w:rPr>
            </w:pPr>
          </w:p>
        </w:tc>
        <w:tc>
          <w:tcPr>
            <w:tcW w:w="114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203CBF"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8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EC74D2A" w14:textId="77777777" w:rsidR="00401786" w:rsidRDefault="00401786" w:rsidP="000E757E">
            <w:pPr>
              <w:snapToGrid w:val="0"/>
              <w:spacing w:line="240" w:lineRule="atLeast"/>
              <w:rPr>
                <w:rFonts w:ascii="標楷體" w:eastAsia="標楷體" w:hAnsi="標楷體"/>
              </w:rPr>
            </w:pPr>
          </w:p>
        </w:tc>
        <w:tc>
          <w:tcPr>
            <w:tcW w:w="121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E84609"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500"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FD391D2" w14:textId="77777777" w:rsidR="00401786" w:rsidRDefault="00401786" w:rsidP="000E757E">
            <w:pPr>
              <w:snapToGrid w:val="0"/>
              <w:spacing w:line="240" w:lineRule="atLeast"/>
              <w:rPr>
                <w:rFonts w:ascii="標楷體" w:eastAsia="標楷體" w:hAnsi="標楷體"/>
              </w:rPr>
            </w:pPr>
          </w:p>
        </w:tc>
      </w:tr>
      <w:tr w:rsidR="00401786" w14:paraId="44F11896" w14:textId="77777777">
        <w:trPr>
          <w:cantSplit/>
          <w:trHeight w:val="332"/>
        </w:trPr>
        <w:tc>
          <w:tcPr>
            <w:tcW w:w="124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0B75650"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6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771786" w14:textId="77777777" w:rsidR="00401786" w:rsidRDefault="00401786" w:rsidP="000E757E">
            <w:pPr>
              <w:snapToGrid w:val="0"/>
              <w:spacing w:line="240" w:lineRule="atLeast"/>
              <w:rPr>
                <w:rFonts w:ascii="標楷體" w:eastAsia="標楷體" w:hAnsi="標楷體"/>
              </w:rPr>
            </w:pPr>
          </w:p>
        </w:tc>
        <w:tc>
          <w:tcPr>
            <w:tcW w:w="114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7CE4F0F"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8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BBFB6B" w14:textId="77777777" w:rsidR="00401786" w:rsidRDefault="00401786" w:rsidP="000E757E">
            <w:pPr>
              <w:snapToGrid w:val="0"/>
              <w:spacing w:line="240" w:lineRule="atLeast"/>
              <w:rPr>
                <w:rFonts w:ascii="標楷體" w:eastAsia="標楷體" w:hAnsi="標楷體"/>
              </w:rPr>
            </w:pP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A91336"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50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F52C234" w14:textId="77777777" w:rsidR="00401786" w:rsidRDefault="00401786" w:rsidP="000E757E">
            <w:pPr>
              <w:snapToGrid w:val="0"/>
              <w:spacing w:line="240" w:lineRule="atLeast"/>
              <w:rPr>
                <w:rFonts w:ascii="標楷體" w:eastAsia="標楷體" w:hAnsi="標楷體"/>
              </w:rPr>
            </w:pPr>
          </w:p>
        </w:tc>
      </w:tr>
      <w:tr w:rsidR="00401786" w14:paraId="364EDB6C" w14:textId="77777777">
        <w:trPr>
          <w:cantSplit/>
          <w:trHeight w:val="356"/>
        </w:trPr>
        <w:tc>
          <w:tcPr>
            <w:tcW w:w="124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0490835"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6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CCCD1AA" w14:textId="77777777" w:rsidR="00401786" w:rsidRDefault="00401786" w:rsidP="000E757E">
            <w:pPr>
              <w:snapToGrid w:val="0"/>
              <w:spacing w:line="240" w:lineRule="atLeast"/>
              <w:rPr>
                <w:rFonts w:ascii="標楷體" w:eastAsia="標楷體" w:hAnsi="標楷體"/>
              </w:rPr>
            </w:pPr>
          </w:p>
        </w:tc>
        <w:tc>
          <w:tcPr>
            <w:tcW w:w="114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943CB4"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8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E985FC" w14:textId="77777777" w:rsidR="00401786" w:rsidRDefault="00401786" w:rsidP="000E757E">
            <w:pPr>
              <w:snapToGrid w:val="0"/>
              <w:spacing w:line="240" w:lineRule="atLeast"/>
              <w:rPr>
                <w:rFonts w:ascii="標楷體" w:eastAsia="標楷體" w:hAnsi="標楷體"/>
              </w:rPr>
            </w:pPr>
          </w:p>
        </w:tc>
        <w:tc>
          <w:tcPr>
            <w:tcW w:w="1218"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EC5B7B0"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50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224BC0B"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0B7B8368" w14:textId="77777777">
        <w:trPr>
          <w:cantSplit/>
          <w:trHeight w:val="337"/>
        </w:trPr>
        <w:tc>
          <w:tcPr>
            <w:tcW w:w="1246"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A448785"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63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20F9F29" w14:textId="77777777" w:rsidR="00401786" w:rsidRDefault="00401786" w:rsidP="000E757E">
            <w:pPr>
              <w:snapToGrid w:val="0"/>
              <w:spacing w:line="240" w:lineRule="atLeast"/>
              <w:rPr>
                <w:rFonts w:ascii="標楷體" w:eastAsia="標楷體" w:hAnsi="標楷體"/>
              </w:rPr>
            </w:pPr>
          </w:p>
        </w:tc>
        <w:tc>
          <w:tcPr>
            <w:tcW w:w="114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C5990F5"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8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31ACF2B" w14:textId="77777777" w:rsidR="00401786" w:rsidRDefault="00401786" w:rsidP="000E757E">
            <w:pPr>
              <w:snapToGrid w:val="0"/>
              <w:spacing w:line="240" w:lineRule="atLeast"/>
              <w:rPr>
                <w:rFonts w:ascii="標楷體" w:eastAsia="標楷體" w:hAnsi="標楷體"/>
              </w:rPr>
            </w:pPr>
          </w:p>
        </w:tc>
        <w:tc>
          <w:tcPr>
            <w:tcW w:w="1218"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68A45AA" w14:textId="77777777" w:rsidR="00401786" w:rsidRDefault="00401786" w:rsidP="000E757E">
            <w:pPr>
              <w:snapToGrid w:val="0"/>
              <w:spacing w:line="240" w:lineRule="atLeast"/>
              <w:rPr>
                <w:rFonts w:ascii="標楷體" w:eastAsia="標楷體" w:hAnsi="標楷體"/>
              </w:rPr>
            </w:pPr>
          </w:p>
        </w:tc>
        <w:tc>
          <w:tcPr>
            <w:tcW w:w="2500"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19F6891"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1C6CE2A8" w14:textId="77777777" w:rsidR="00401786" w:rsidRDefault="00401786" w:rsidP="000E757E">
      <w:pPr>
        <w:snapToGrid w:val="0"/>
        <w:spacing w:line="240" w:lineRule="atLeast"/>
        <w:ind w:left="-540" w:right="-286" w:firstLine="540"/>
        <w:rPr>
          <w:rFonts w:ascii="標楷體" w:eastAsia="標楷體" w:hAnsi="標楷體"/>
          <w:sz w:val="20"/>
        </w:rPr>
      </w:pPr>
    </w:p>
    <w:tbl>
      <w:tblPr>
        <w:tblW w:w="9639" w:type="dxa"/>
        <w:tblInd w:w="28" w:type="dxa"/>
        <w:tblLayout w:type="fixed"/>
        <w:tblCellMar>
          <w:left w:w="10" w:type="dxa"/>
          <w:right w:w="10" w:type="dxa"/>
        </w:tblCellMar>
        <w:tblLook w:val="0000" w:firstRow="0" w:lastRow="0" w:firstColumn="0" w:lastColumn="0" w:noHBand="0" w:noVBand="0"/>
      </w:tblPr>
      <w:tblGrid>
        <w:gridCol w:w="9639"/>
      </w:tblGrid>
      <w:tr w:rsidR="00401786" w:rsidRPr="00190A34" w14:paraId="658C93A2" w14:textId="77777777">
        <w:trPr>
          <w:cantSplit/>
          <w:trHeight w:val="1589"/>
        </w:trPr>
        <w:tc>
          <w:tcPr>
            <w:tcW w:w="9639" w:type="dxa"/>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18401183"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符合抗腫瘤壞死因子（anti-TNF）未達療效</w:t>
            </w:r>
          </w:p>
          <w:p w14:paraId="6CEC9731"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Etanercept</w:t>
            </w:r>
            <w:r w:rsidRPr="00190A34">
              <w:rPr>
                <w:rFonts w:ascii="標楷體" w:eastAsia="標楷體" w:hAnsi="標楷體"/>
                <w:szCs w:val="24"/>
                <w:u w:val="single"/>
              </w:rPr>
              <w:t xml:space="preserve">　　　</w:t>
            </w:r>
            <w:r w:rsidRPr="00190A34">
              <w:rPr>
                <w:rFonts w:ascii="標楷體" w:eastAsia="標楷體" w:hAnsi="標楷體"/>
                <w:szCs w:val="24"/>
              </w:rPr>
              <w:t>mg/week</w:t>
            </w:r>
            <w:r w:rsidRPr="00190A34">
              <w:rPr>
                <w:rFonts w:ascii="標楷體" w:eastAsia="標楷體" w:hAnsi="標楷體" w:cs="Webdings"/>
                <w:szCs w:val="24"/>
              </w:rPr>
              <w:t></w:t>
            </w:r>
            <w:r w:rsidRPr="00190A34">
              <w:rPr>
                <w:rFonts w:ascii="標楷體" w:eastAsia="標楷體" w:hAnsi="標楷體"/>
                <w:szCs w:val="24"/>
              </w:rPr>
              <w:t>DAS28總積分下降程度＜1.2</w:t>
            </w:r>
          </w:p>
          <w:p w14:paraId="4B713361" w14:textId="77777777" w:rsidR="00401786" w:rsidRPr="00190A34" w:rsidRDefault="00C64FB3" w:rsidP="000E757E">
            <w:pPr>
              <w:tabs>
                <w:tab w:val="left" w:pos="752"/>
              </w:tabs>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Adalimumab</w:t>
            </w:r>
            <w:r w:rsidRPr="00190A34">
              <w:rPr>
                <w:rFonts w:ascii="標楷體" w:eastAsia="標楷體" w:hAnsi="標楷體"/>
                <w:szCs w:val="24"/>
                <w:u w:val="single"/>
              </w:rPr>
              <w:t xml:space="preserve">　　　</w:t>
            </w:r>
            <w:r w:rsidRPr="00190A34">
              <w:rPr>
                <w:rFonts w:ascii="標楷體" w:eastAsia="標楷體" w:hAnsi="標楷體"/>
                <w:szCs w:val="24"/>
              </w:rPr>
              <w:t>mg/twoweeks</w:t>
            </w:r>
            <w:r w:rsidRPr="00190A34">
              <w:rPr>
                <w:rFonts w:ascii="標楷體" w:eastAsia="標楷體" w:hAnsi="標楷體" w:cs="Webdings"/>
                <w:szCs w:val="24"/>
              </w:rPr>
              <w:t></w:t>
            </w:r>
            <w:r w:rsidRPr="00190A34">
              <w:rPr>
                <w:rFonts w:ascii="標楷體" w:eastAsia="標楷體" w:hAnsi="標楷體"/>
                <w:szCs w:val="24"/>
              </w:rPr>
              <w:t>DAS28總積分仍</w:t>
            </w:r>
            <w:proofErr w:type="gramStart"/>
            <w:r w:rsidRPr="00190A34">
              <w:rPr>
                <w:rFonts w:ascii="標楷體" w:eastAsia="標楷體" w:hAnsi="標楷體"/>
                <w:szCs w:val="24"/>
              </w:rPr>
              <w:t>≧</w:t>
            </w:r>
            <w:proofErr w:type="gramEnd"/>
            <w:r w:rsidRPr="00190A34">
              <w:rPr>
                <w:rFonts w:ascii="標楷體" w:eastAsia="標楷體" w:hAnsi="標楷體"/>
                <w:szCs w:val="24"/>
              </w:rPr>
              <w:t>3.2者</w:t>
            </w:r>
          </w:p>
          <w:p w14:paraId="50CCDE63" w14:textId="77777777" w:rsidR="00401786" w:rsidRPr="00190A34" w:rsidRDefault="00C64FB3" w:rsidP="000E757E">
            <w:pPr>
              <w:tabs>
                <w:tab w:val="left" w:pos="462"/>
                <w:tab w:val="left" w:pos="630"/>
              </w:tabs>
              <w:snapToGrid w:val="0"/>
              <w:spacing w:line="240" w:lineRule="atLeast"/>
              <w:ind w:left="538"/>
              <w:rPr>
                <w:szCs w:val="24"/>
              </w:rPr>
            </w:pPr>
            <w:r w:rsidRPr="00190A34">
              <w:rPr>
                <w:rFonts w:ascii="標楷體" w:eastAsia="標楷體" w:hAnsi="標楷體" w:cs="Webdings"/>
                <w:szCs w:val="24"/>
              </w:rPr>
              <w:t></w:t>
            </w:r>
            <w:r w:rsidRPr="00190A34">
              <w:rPr>
                <w:rFonts w:ascii="標楷體" w:eastAsia="標楷體" w:hAnsi="標楷體"/>
                <w:szCs w:val="24"/>
              </w:rPr>
              <w:t>Golimumab</w:t>
            </w:r>
            <w:r w:rsidRPr="00190A34">
              <w:rPr>
                <w:rFonts w:ascii="標楷體" w:eastAsia="標楷體" w:hAnsi="標楷體"/>
                <w:szCs w:val="24"/>
                <w:u w:val="single"/>
              </w:rPr>
              <w:t xml:space="preserve">　　　</w:t>
            </w:r>
            <w:r w:rsidRPr="00190A34">
              <w:rPr>
                <w:rFonts w:ascii="標楷體" w:eastAsia="標楷體" w:hAnsi="標楷體"/>
                <w:szCs w:val="24"/>
              </w:rPr>
              <w:t>mg/month</w:t>
            </w:r>
          </w:p>
          <w:p w14:paraId="5E7C671C" w14:textId="77777777" w:rsidR="00401786" w:rsidRPr="00190A34" w:rsidRDefault="00C64FB3" w:rsidP="000E757E">
            <w:pPr>
              <w:snapToGrid w:val="0"/>
              <w:spacing w:line="240" w:lineRule="atLeast"/>
              <w:rPr>
                <w:szCs w:val="24"/>
              </w:rPr>
            </w:pPr>
            <w:r w:rsidRPr="00190A34">
              <w:rPr>
                <w:rFonts w:ascii="標楷體" w:eastAsia="標楷體" w:hAnsi="標楷體"/>
                <w:szCs w:val="24"/>
              </w:rPr>
              <w:t>(請檢附使用etanercept、adalimumab或golimumab六個月或以上之病歷影本)</w:t>
            </w:r>
          </w:p>
        </w:tc>
      </w:tr>
      <w:tr w:rsidR="00401786" w:rsidRPr="00190A34" w14:paraId="363E941E" w14:textId="77777777">
        <w:trPr>
          <w:cantSplit/>
          <w:trHeight w:val="281"/>
        </w:trPr>
        <w:tc>
          <w:tcPr>
            <w:tcW w:w="9639" w:type="dxa"/>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5D088E5C" w14:textId="77777777" w:rsidR="00401786" w:rsidRPr="00190A34" w:rsidRDefault="00C64FB3" w:rsidP="000E757E">
            <w:pPr>
              <w:snapToGrid w:val="0"/>
              <w:spacing w:line="240" w:lineRule="atLeast"/>
              <w:ind w:left="86"/>
              <w:jc w:val="both"/>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符合腫瘤壞死因子(TNF)抑制療法無法耐受(請檢附病歷影本)</w:t>
            </w:r>
          </w:p>
          <w:p w14:paraId="2C4A3777" w14:textId="77777777" w:rsidR="00401786" w:rsidRPr="00190A34" w:rsidRDefault="00C64FB3" w:rsidP="000E757E">
            <w:pPr>
              <w:snapToGrid w:val="0"/>
              <w:spacing w:line="240" w:lineRule="atLeast"/>
              <w:ind w:left="120"/>
              <w:rPr>
                <w:szCs w:val="24"/>
              </w:rPr>
            </w:pPr>
            <w:r w:rsidRPr="00190A34">
              <w:rPr>
                <w:rFonts w:ascii="標楷體" w:eastAsia="標楷體" w:hAnsi="標楷體"/>
                <w:szCs w:val="24"/>
              </w:rPr>
              <w:t>(請說明藥物引起不良反應之情形如副作用、發生TB或惡性腫瘤等)：</w:t>
            </w:r>
          </w:p>
        </w:tc>
      </w:tr>
      <w:tr w:rsidR="00401786" w:rsidRPr="00190A34" w14:paraId="6C46FDA1" w14:textId="77777777">
        <w:trPr>
          <w:cantSplit/>
          <w:trHeight w:val="2847"/>
        </w:trPr>
        <w:tc>
          <w:tcPr>
            <w:tcW w:w="9639" w:type="dxa"/>
            <w:tcBorders>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9C50C1B"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Etanercept</w:t>
            </w:r>
          </w:p>
          <w:p w14:paraId="376E2D0B" w14:textId="77777777" w:rsidR="00401786" w:rsidRPr="00190A34" w:rsidRDefault="00C64FB3" w:rsidP="000E757E">
            <w:pPr>
              <w:snapToGrid w:val="0"/>
              <w:spacing w:line="240" w:lineRule="atLeast"/>
              <w:ind w:left="91"/>
              <w:textAlignment w:val="center"/>
              <w:rPr>
                <w:szCs w:val="24"/>
              </w:rPr>
            </w:pPr>
            <w:r w:rsidRPr="00190A34">
              <w:rPr>
                <w:rFonts w:ascii="標楷體" w:eastAsia="標楷體" w:hAnsi="標楷體"/>
                <w:szCs w:val="24"/>
                <w:u w:val="single"/>
              </w:rPr>
              <w:t xml:space="preserve">　　　</w:t>
            </w:r>
            <w:r w:rsidRPr="00190A34">
              <w:rPr>
                <w:rFonts w:ascii="標楷體" w:eastAsia="標楷體" w:hAnsi="標楷體"/>
                <w:szCs w:val="24"/>
              </w:rPr>
              <w:t>mg/week引起之不良事件:________________________________________________</w:t>
            </w:r>
          </w:p>
          <w:p w14:paraId="18C2D28B" w14:textId="77777777" w:rsidR="00401786" w:rsidRPr="00190A34" w:rsidRDefault="00C64FB3" w:rsidP="000E757E">
            <w:pPr>
              <w:snapToGrid w:val="0"/>
              <w:spacing w:line="240" w:lineRule="atLeast"/>
              <w:ind w:left="91"/>
              <w:textAlignment w:val="center"/>
              <w:rPr>
                <w:rFonts w:ascii="標楷體" w:eastAsia="標楷體" w:hAnsi="標楷體"/>
                <w:szCs w:val="24"/>
              </w:rPr>
            </w:pPr>
            <w:r w:rsidRPr="00190A34">
              <w:rPr>
                <w:rFonts w:ascii="標楷體" w:eastAsia="標楷體" w:hAnsi="標楷體"/>
                <w:szCs w:val="24"/>
              </w:rPr>
              <w:t>____________________________________________</w:t>
            </w:r>
          </w:p>
          <w:p w14:paraId="0513E648" w14:textId="77777777" w:rsidR="00401786" w:rsidRPr="00190A34" w:rsidRDefault="00C64FB3" w:rsidP="000E757E">
            <w:pPr>
              <w:snapToGrid w:val="0"/>
              <w:spacing w:line="240" w:lineRule="atLeast"/>
              <w:ind w:left="91"/>
              <w:textAlignment w:val="center"/>
              <w:rPr>
                <w:rFonts w:ascii="標楷體" w:eastAsia="標楷體" w:hAnsi="標楷體"/>
                <w:szCs w:val="24"/>
              </w:rPr>
            </w:pPr>
            <w:r w:rsidRPr="00190A34">
              <w:rPr>
                <w:rFonts w:ascii="標楷體" w:eastAsia="標楷體" w:hAnsi="標楷體"/>
                <w:szCs w:val="24"/>
              </w:rPr>
              <w:t>____________________________________________</w:t>
            </w:r>
          </w:p>
          <w:p w14:paraId="67760C14"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Adalimumab</w:t>
            </w:r>
          </w:p>
          <w:p w14:paraId="36BA56C0"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szCs w:val="24"/>
                <w:u w:val="single"/>
              </w:rPr>
              <w:t xml:space="preserve">　　　</w:t>
            </w:r>
            <w:r w:rsidRPr="00190A34">
              <w:rPr>
                <w:rFonts w:ascii="標楷體" w:eastAsia="標楷體" w:hAnsi="標楷體"/>
                <w:szCs w:val="24"/>
              </w:rPr>
              <w:t>mg/</w:t>
            </w:r>
            <w:proofErr w:type="spellStart"/>
            <w:r w:rsidRPr="00190A34">
              <w:rPr>
                <w:rFonts w:ascii="標楷體" w:eastAsia="標楷體" w:hAnsi="標楷體"/>
                <w:szCs w:val="24"/>
              </w:rPr>
              <w:t>twoweeks</w:t>
            </w:r>
            <w:proofErr w:type="spellEnd"/>
            <w:r w:rsidRPr="00190A34">
              <w:rPr>
                <w:rFonts w:ascii="標楷體" w:eastAsia="標楷體" w:hAnsi="標楷體"/>
                <w:szCs w:val="24"/>
              </w:rPr>
              <w:t>引起之不良事件:__________________________________________</w:t>
            </w:r>
          </w:p>
          <w:p w14:paraId="259EC46A"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56E1E6FB"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3367082C"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Golimumab</w:t>
            </w:r>
          </w:p>
          <w:p w14:paraId="12B1436C"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szCs w:val="24"/>
                <w:u w:val="single"/>
              </w:rPr>
              <w:t xml:space="preserve">　　　</w:t>
            </w:r>
            <w:r w:rsidRPr="00190A34">
              <w:rPr>
                <w:rFonts w:ascii="標楷體" w:eastAsia="標楷體" w:hAnsi="標楷體"/>
                <w:szCs w:val="24"/>
              </w:rPr>
              <w:t>mg/month引起之不良事件:__________________________________________</w:t>
            </w:r>
          </w:p>
          <w:p w14:paraId="35744BFE"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49942D3C"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54982818" w14:textId="77777777" w:rsidR="00401786" w:rsidRPr="00190A34" w:rsidRDefault="00401786" w:rsidP="000E757E">
            <w:pPr>
              <w:snapToGrid w:val="0"/>
              <w:spacing w:line="240" w:lineRule="atLeast"/>
              <w:textAlignment w:val="center"/>
              <w:rPr>
                <w:rFonts w:ascii="標楷體" w:eastAsia="標楷體" w:hAnsi="標楷體"/>
                <w:szCs w:val="24"/>
              </w:rPr>
            </w:pPr>
          </w:p>
        </w:tc>
      </w:tr>
    </w:tbl>
    <w:p w14:paraId="7A7CEC51" w14:textId="77777777" w:rsidR="00401786" w:rsidRPr="00190A34" w:rsidRDefault="00401786" w:rsidP="000E757E">
      <w:pPr>
        <w:snapToGrid w:val="0"/>
        <w:spacing w:line="240" w:lineRule="atLeast"/>
        <w:jc w:val="both"/>
        <w:rPr>
          <w:rFonts w:ascii="標楷體" w:eastAsia="標楷體" w:hAnsi="標楷體"/>
          <w:szCs w:val="24"/>
        </w:rPr>
      </w:pPr>
    </w:p>
    <w:tbl>
      <w:tblPr>
        <w:tblW w:w="9639" w:type="dxa"/>
        <w:tblInd w:w="28" w:type="dxa"/>
        <w:tblLayout w:type="fixed"/>
        <w:tblCellMar>
          <w:left w:w="10" w:type="dxa"/>
          <w:right w:w="10" w:type="dxa"/>
        </w:tblCellMar>
        <w:tblLook w:val="0000" w:firstRow="0" w:lastRow="0" w:firstColumn="0" w:lastColumn="0" w:noHBand="0" w:noVBand="0"/>
      </w:tblPr>
      <w:tblGrid>
        <w:gridCol w:w="9639"/>
      </w:tblGrid>
      <w:tr w:rsidR="00401786" w:rsidRPr="00190A34" w14:paraId="266890A7" w14:textId="77777777">
        <w:trPr>
          <w:cantSplit/>
          <w:trHeight w:val="373"/>
        </w:trPr>
        <w:tc>
          <w:tcPr>
            <w:tcW w:w="9639" w:type="dxa"/>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2582CFBF" w14:textId="77777777" w:rsidR="00401786" w:rsidRPr="00190A34" w:rsidRDefault="00C64FB3" w:rsidP="000E757E">
            <w:pPr>
              <w:snapToGrid w:val="0"/>
              <w:spacing w:line="240" w:lineRule="atLeast"/>
              <w:rPr>
                <w:szCs w:val="24"/>
              </w:rPr>
            </w:pPr>
            <w:r w:rsidRPr="00190A34">
              <w:rPr>
                <w:rFonts w:ascii="標楷體" w:eastAsia="標楷體" w:hAnsi="標楷體" w:cs="Webdings"/>
                <w:szCs w:val="24"/>
              </w:rPr>
              <w:t></w:t>
            </w:r>
            <w:r w:rsidRPr="00190A34">
              <w:rPr>
                <w:rFonts w:ascii="標楷體" w:eastAsia="標楷體" w:hAnsi="標楷體"/>
                <w:szCs w:val="24"/>
              </w:rPr>
              <w:t>HBsAg＋－</w:t>
            </w:r>
            <w:r w:rsidRPr="00190A34">
              <w:rPr>
                <w:rFonts w:ascii="標楷體" w:eastAsia="標楷體" w:hAnsi="標楷體" w:cs="Webdings"/>
                <w:szCs w:val="24"/>
              </w:rPr>
              <w:t></w:t>
            </w:r>
            <w:r w:rsidRPr="00190A34">
              <w:rPr>
                <w:rFonts w:ascii="標楷體" w:eastAsia="標楷體" w:hAnsi="標楷體"/>
                <w:szCs w:val="24"/>
              </w:rPr>
              <w:t>Anti-HCV＋－</w:t>
            </w:r>
          </w:p>
        </w:tc>
      </w:tr>
    </w:tbl>
    <w:p w14:paraId="14822E56" w14:textId="77777777" w:rsidR="00401786" w:rsidRPr="00190A34" w:rsidRDefault="00401786" w:rsidP="000E757E">
      <w:pPr>
        <w:snapToGrid w:val="0"/>
        <w:spacing w:line="240" w:lineRule="atLeast"/>
        <w:jc w:val="both"/>
        <w:rPr>
          <w:rFonts w:ascii="標楷體" w:eastAsia="標楷體" w:hAnsi="標楷體"/>
          <w:szCs w:val="24"/>
        </w:rPr>
      </w:pPr>
    </w:p>
    <w:tbl>
      <w:tblPr>
        <w:tblW w:w="9639" w:type="dxa"/>
        <w:tblInd w:w="28" w:type="dxa"/>
        <w:tblLayout w:type="fixed"/>
        <w:tblCellMar>
          <w:left w:w="10" w:type="dxa"/>
          <w:right w:w="10" w:type="dxa"/>
        </w:tblCellMar>
        <w:tblLook w:val="0000" w:firstRow="0" w:lastRow="0" w:firstColumn="0" w:lastColumn="0" w:noHBand="0" w:noVBand="0"/>
      </w:tblPr>
      <w:tblGrid>
        <w:gridCol w:w="740"/>
        <w:gridCol w:w="1320"/>
        <w:gridCol w:w="7579"/>
      </w:tblGrid>
      <w:tr w:rsidR="00401786" w:rsidRPr="00190A34" w14:paraId="4AE09E1D" w14:textId="77777777">
        <w:trPr>
          <w:cantSplit/>
          <w:trHeight w:val="450"/>
        </w:trPr>
        <w:tc>
          <w:tcPr>
            <w:tcW w:w="9639"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vAlign w:val="center"/>
          </w:tcPr>
          <w:p w14:paraId="613860A6" w14:textId="77777777" w:rsidR="00401786" w:rsidRPr="00190A34" w:rsidRDefault="00C64FB3" w:rsidP="000E757E">
            <w:pPr>
              <w:snapToGrid w:val="0"/>
              <w:spacing w:line="240" w:lineRule="atLeast"/>
              <w:ind w:left="120"/>
              <w:jc w:val="both"/>
              <w:rPr>
                <w:szCs w:val="24"/>
              </w:rPr>
            </w:pPr>
            <w:r w:rsidRPr="00190A34">
              <w:rPr>
                <w:rFonts w:ascii="標楷體" w:eastAsia="標楷體" w:hAnsi="標楷體" w:cs="Webdings"/>
                <w:szCs w:val="24"/>
              </w:rPr>
              <w:t></w:t>
            </w:r>
            <w:r w:rsidRPr="00190A34">
              <w:rPr>
                <w:rFonts w:ascii="標楷體" w:eastAsia="標楷體" w:hAnsi="標楷體"/>
                <w:szCs w:val="24"/>
              </w:rPr>
              <w:t>符合「須排除或停止rituximab使用之情形」</w:t>
            </w:r>
          </w:p>
        </w:tc>
      </w:tr>
      <w:tr w:rsidR="00401786" w:rsidRPr="00190A34" w14:paraId="47CFBAC4"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61EA843"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29D122"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3C48C112"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E23A076"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是否有rituximab仿單記載之禁忌情形。</w:t>
            </w:r>
          </w:p>
        </w:tc>
      </w:tr>
      <w:tr w:rsidR="00401786" w:rsidRPr="00190A34" w14:paraId="20CB0D07"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73CBA43"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FC253A3"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1D0F7001"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4489D64"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是否對rituximab過敏。</w:t>
            </w:r>
          </w:p>
        </w:tc>
      </w:tr>
      <w:tr w:rsidR="00401786" w:rsidRPr="00190A34" w14:paraId="6A62EDEC"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8BF7739"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4D8997"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3DA4556D"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46DFBD4"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患重度活動性感染症。</w:t>
            </w:r>
          </w:p>
        </w:tc>
      </w:tr>
      <w:tr w:rsidR="00401786" w:rsidRPr="00190A34" w14:paraId="6919A299"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04E64E0"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80E608"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0E056FBD"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19C6D4C"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未經完整治療之結核病的病患（包括潛伏結核感染治療未達四</w:t>
            </w:r>
            <w:proofErr w:type="gramStart"/>
            <w:r w:rsidRPr="00190A34">
              <w:rPr>
                <w:rFonts w:ascii="標楷體" w:eastAsia="標楷體" w:hAnsi="標楷體"/>
                <w:szCs w:val="24"/>
              </w:rPr>
              <w:t>週</w:t>
            </w:r>
            <w:proofErr w:type="gramEnd"/>
            <w:r w:rsidRPr="00190A34">
              <w:rPr>
                <w:rFonts w:ascii="標楷體" w:eastAsia="標楷體" w:hAnsi="標楷體"/>
                <w:szCs w:val="24"/>
              </w:rPr>
              <w:t>者，申請時應檢附潛伏結核感染篩檢紀錄及治療紀錄供審查）。</w:t>
            </w:r>
          </w:p>
        </w:tc>
      </w:tr>
      <w:tr w:rsidR="00401786" w:rsidRPr="00190A34" w14:paraId="5D1D053C"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77FA4F2"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E7A34B"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4F7043BF"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0E3C583"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w:t>
            </w:r>
            <w:proofErr w:type="gramStart"/>
            <w:r w:rsidRPr="00190A34">
              <w:rPr>
                <w:rFonts w:ascii="標楷體" w:eastAsia="標楷體" w:hAnsi="標楷體"/>
                <w:szCs w:val="24"/>
              </w:rPr>
              <w:t>重度心衰竭</w:t>
            </w:r>
            <w:proofErr w:type="gramEnd"/>
            <w:r w:rsidRPr="00190A34">
              <w:rPr>
                <w:rFonts w:ascii="標楷體" w:eastAsia="標楷體" w:hAnsi="標楷體"/>
                <w:szCs w:val="24"/>
              </w:rPr>
              <w:t>（</w:t>
            </w:r>
            <w:proofErr w:type="spellStart"/>
            <w:r w:rsidRPr="00190A34">
              <w:rPr>
                <w:rFonts w:ascii="標楷體" w:eastAsia="標楷體" w:hAnsi="標楷體"/>
                <w:szCs w:val="24"/>
              </w:rPr>
              <w:t>NewYorkHeartAssociationclassIV</w:t>
            </w:r>
            <w:proofErr w:type="spellEnd"/>
            <w:r w:rsidRPr="00190A34">
              <w:rPr>
                <w:rFonts w:ascii="標楷體" w:eastAsia="標楷體" w:hAnsi="標楷體"/>
                <w:szCs w:val="24"/>
              </w:rPr>
              <w:t>）。</w:t>
            </w:r>
          </w:p>
        </w:tc>
      </w:tr>
      <w:tr w:rsidR="00401786" w:rsidRPr="00190A34" w14:paraId="20CC27D3" w14:textId="77777777">
        <w:trPr>
          <w:cantSplit/>
          <w:trHeight w:val="400"/>
        </w:trPr>
        <w:tc>
          <w:tcPr>
            <w:tcW w:w="740"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3D5EB60C"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757ACFBC"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03805649"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D7AF314"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婦女是否正在懷孕</w:t>
            </w:r>
            <w:proofErr w:type="gramStart"/>
            <w:r w:rsidRPr="00190A34">
              <w:rPr>
                <w:rFonts w:ascii="標楷體" w:eastAsia="標楷體" w:hAnsi="標楷體"/>
                <w:szCs w:val="24"/>
              </w:rPr>
              <w:t>或授乳</w:t>
            </w:r>
            <w:proofErr w:type="gramEnd"/>
            <w:r w:rsidRPr="00190A34">
              <w:rPr>
                <w:rFonts w:ascii="標楷體" w:eastAsia="標楷體" w:hAnsi="標楷體"/>
                <w:szCs w:val="24"/>
              </w:rPr>
              <w:t>。</w:t>
            </w:r>
          </w:p>
        </w:tc>
      </w:tr>
    </w:tbl>
    <w:p w14:paraId="5320904F" w14:textId="77777777" w:rsidR="00401786" w:rsidRDefault="00C64FB3" w:rsidP="000E757E">
      <w:pPr>
        <w:pageBreakBefore/>
        <w:snapToGrid w:val="0"/>
        <w:spacing w:line="240" w:lineRule="atLeast"/>
        <w:ind w:right="-286"/>
        <w:jc w:val="right"/>
      </w:pPr>
      <w:r>
        <w:rPr>
          <w:rFonts w:ascii="標楷體" w:eastAsia="標楷體" w:hAnsi="標楷體" w:cs="Webdings"/>
          <w:sz w:val="32"/>
          <w:szCs w:val="32"/>
        </w:rPr>
        <w:lastRenderedPageBreak/>
        <w:t></w:t>
      </w:r>
      <w:r w:rsidRPr="00190A34">
        <w:rPr>
          <w:rFonts w:ascii="標楷體" w:eastAsia="標楷體" w:hAnsi="標楷體"/>
          <w:sz w:val="28"/>
          <w:szCs w:val="28"/>
        </w:rPr>
        <w:t>重複療程</w:t>
      </w:r>
    </w:p>
    <w:tbl>
      <w:tblPr>
        <w:tblW w:w="9795" w:type="dxa"/>
        <w:tblInd w:w="14" w:type="dxa"/>
        <w:tblLayout w:type="fixed"/>
        <w:tblCellMar>
          <w:left w:w="10" w:type="dxa"/>
          <w:right w:w="10" w:type="dxa"/>
        </w:tblCellMar>
        <w:tblLook w:val="0000" w:firstRow="0" w:lastRow="0" w:firstColumn="0" w:lastColumn="0" w:noHBand="0" w:noVBand="0"/>
      </w:tblPr>
      <w:tblGrid>
        <w:gridCol w:w="1274"/>
        <w:gridCol w:w="1717"/>
        <w:gridCol w:w="1190"/>
        <w:gridCol w:w="1787"/>
        <w:gridCol w:w="1232"/>
        <w:gridCol w:w="2595"/>
      </w:tblGrid>
      <w:tr w:rsidR="00401786" w14:paraId="1B6A4C2C" w14:textId="77777777">
        <w:trPr>
          <w:cantSplit/>
          <w:trHeight w:val="376"/>
        </w:trPr>
        <w:tc>
          <w:tcPr>
            <w:tcW w:w="1274"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34D0B8E"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71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C10CCB" w14:textId="77777777" w:rsidR="00401786" w:rsidRDefault="00401786" w:rsidP="000E757E">
            <w:pPr>
              <w:snapToGrid w:val="0"/>
              <w:spacing w:line="240" w:lineRule="atLeast"/>
              <w:rPr>
                <w:rFonts w:ascii="標楷體" w:eastAsia="標楷體" w:hAnsi="標楷體"/>
              </w:rPr>
            </w:pPr>
          </w:p>
        </w:tc>
        <w:tc>
          <w:tcPr>
            <w:tcW w:w="119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14A927"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7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AA1C19" w14:textId="77777777" w:rsidR="00401786" w:rsidRDefault="00401786" w:rsidP="000E757E">
            <w:pPr>
              <w:snapToGrid w:val="0"/>
              <w:spacing w:line="240" w:lineRule="atLeast"/>
              <w:rPr>
                <w:rFonts w:ascii="標楷體" w:eastAsia="標楷體" w:hAnsi="標楷體"/>
              </w:rPr>
            </w:pPr>
          </w:p>
        </w:tc>
        <w:tc>
          <w:tcPr>
            <w:tcW w:w="1232"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204F09C"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595"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28F382A" w14:textId="77777777" w:rsidR="00401786" w:rsidRDefault="00401786" w:rsidP="000E757E">
            <w:pPr>
              <w:snapToGrid w:val="0"/>
              <w:spacing w:line="240" w:lineRule="atLeast"/>
              <w:rPr>
                <w:rFonts w:ascii="標楷體" w:eastAsia="標楷體" w:hAnsi="標楷體"/>
              </w:rPr>
            </w:pPr>
          </w:p>
        </w:tc>
      </w:tr>
      <w:tr w:rsidR="00401786" w14:paraId="26AD8017" w14:textId="77777777">
        <w:trPr>
          <w:cantSplit/>
          <w:trHeight w:val="332"/>
        </w:trPr>
        <w:tc>
          <w:tcPr>
            <w:tcW w:w="127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7F90535"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71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499833" w14:textId="77777777" w:rsidR="00401786" w:rsidRDefault="00401786" w:rsidP="000E757E">
            <w:pPr>
              <w:snapToGrid w:val="0"/>
              <w:spacing w:line="240" w:lineRule="atLeast"/>
              <w:rPr>
                <w:rFonts w:ascii="標楷體" w:eastAsia="標楷體" w:hAnsi="標楷體"/>
              </w:rPr>
            </w:pPr>
          </w:p>
        </w:tc>
        <w:tc>
          <w:tcPr>
            <w:tcW w:w="11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609D1E"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7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785167" w14:textId="77777777" w:rsidR="00401786" w:rsidRDefault="00401786" w:rsidP="000E757E">
            <w:pPr>
              <w:snapToGrid w:val="0"/>
              <w:spacing w:line="240" w:lineRule="atLeast"/>
              <w:rPr>
                <w:rFonts w:ascii="標楷體" w:eastAsia="標楷體" w:hAnsi="標楷體"/>
              </w:rPr>
            </w:pPr>
          </w:p>
        </w:tc>
        <w:tc>
          <w:tcPr>
            <w:tcW w:w="123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D7BD87"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59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78EA71B" w14:textId="77777777" w:rsidR="00401786" w:rsidRDefault="00401786" w:rsidP="000E757E">
            <w:pPr>
              <w:snapToGrid w:val="0"/>
              <w:spacing w:line="240" w:lineRule="atLeast"/>
              <w:rPr>
                <w:rFonts w:ascii="標楷體" w:eastAsia="標楷體" w:hAnsi="標楷體"/>
              </w:rPr>
            </w:pPr>
          </w:p>
        </w:tc>
      </w:tr>
      <w:tr w:rsidR="00401786" w14:paraId="3247FD05" w14:textId="77777777">
        <w:trPr>
          <w:cantSplit/>
          <w:trHeight w:val="356"/>
        </w:trPr>
        <w:tc>
          <w:tcPr>
            <w:tcW w:w="127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917BE8E"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71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EF6435F" w14:textId="77777777" w:rsidR="00401786" w:rsidRDefault="00401786" w:rsidP="000E757E">
            <w:pPr>
              <w:snapToGrid w:val="0"/>
              <w:spacing w:line="240" w:lineRule="atLeast"/>
              <w:rPr>
                <w:rFonts w:ascii="標楷體" w:eastAsia="標楷體" w:hAnsi="標楷體"/>
              </w:rPr>
            </w:pPr>
          </w:p>
        </w:tc>
        <w:tc>
          <w:tcPr>
            <w:tcW w:w="11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8838208"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7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2043AC" w14:textId="77777777" w:rsidR="00401786" w:rsidRDefault="00401786" w:rsidP="000E757E">
            <w:pPr>
              <w:snapToGrid w:val="0"/>
              <w:spacing w:line="240" w:lineRule="atLeast"/>
              <w:rPr>
                <w:rFonts w:ascii="標楷體" w:eastAsia="標楷體" w:hAnsi="標楷體"/>
              </w:rPr>
            </w:pPr>
          </w:p>
        </w:tc>
        <w:tc>
          <w:tcPr>
            <w:tcW w:w="1232"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8D1045D"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59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5A12653"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58365AEC" w14:textId="77777777">
        <w:trPr>
          <w:cantSplit/>
          <w:trHeight w:val="337"/>
        </w:trPr>
        <w:tc>
          <w:tcPr>
            <w:tcW w:w="1274"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EC26B82"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71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3A300AA" w14:textId="77777777" w:rsidR="00401786" w:rsidRDefault="00401786" w:rsidP="000E757E">
            <w:pPr>
              <w:snapToGrid w:val="0"/>
              <w:spacing w:line="240" w:lineRule="atLeast"/>
              <w:rPr>
                <w:rFonts w:ascii="標楷體" w:eastAsia="標楷體" w:hAnsi="標楷體"/>
              </w:rPr>
            </w:pPr>
          </w:p>
        </w:tc>
        <w:tc>
          <w:tcPr>
            <w:tcW w:w="1190"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F5D5A91"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7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B683A3A" w14:textId="77777777" w:rsidR="00401786" w:rsidRDefault="00401786" w:rsidP="000E757E">
            <w:pPr>
              <w:snapToGrid w:val="0"/>
              <w:spacing w:line="240" w:lineRule="atLeast"/>
              <w:rPr>
                <w:rFonts w:ascii="標楷體" w:eastAsia="標楷體" w:hAnsi="標楷體"/>
              </w:rPr>
            </w:pPr>
          </w:p>
        </w:tc>
        <w:tc>
          <w:tcPr>
            <w:tcW w:w="1232"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88E9CD5" w14:textId="77777777" w:rsidR="00401786" w:rsidRDefault="00401786" w:rsidP="000E757E">
            <w:pPr>
              <w:snapToGrid w:val="0"/>
              <w:spacing w:line="240" w:lineRule="atLeast"/>
              <w:rPr>
                <w:rFonts w:ascii="標楷體" w:eastAsia="標楷體" w:hAnsi="標楷體"/>
              </w:rPr>
            </w:pPr>
          </w:p>
        </w:tc>
        <w:tc>
          <w:tcPr>
            <w:tcW w:w="2595"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2238871"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384B03F3" w14:textId="77777777" w:rsidR="00401786" w:rsidRDefault="00401786" w:rsidP="000E757E">
      <w:pPr>
        <w:snapToGrid w:val="0"/>
        <w:spacing w:line="240" w:lineRule="atLeast"/>
        <w:ind w:left="120"/>
        <w:rPr>
          <w:rFonts w:ascii="標楷體" w:eastAsia="標楷體" w:hAnsi="標楷體"/>
          <w:sz w:val="28"/>
        </w:rPr>
      </w:pPr>
    </w:p>
    <w:tbl>
      <w:tblPr>
        <w:tblW w:w="9837" w:type="dxa"/>
        <w:tblInd w:w="52" w:type="dxa"/>
        <w:tblCellMar>
          <w:left w:w="10" w:type="dxa"/>
          <w:right w:w="10" w:type="dxa"/>
        </w:tblCellMar>
        <w:tblLook w:val="0000" w:firstRow="0" w:lastRow="0" w:firstColumn="0" w:lastColumn="0" w:noHBand="0" w:noVBand="0"/>
      </w:tblPr>
      <w:tblGrid>
        <w:gridCol w:w="9837"/>
      </w:tblGrid>
      <w:tr w:rsidR="00401786" w:rsidRPr="00190A34" w14:paraId="33F8373F" w14:textId="77777777">
        <w:tc>
          <w:tcPr>
            <w:tcW w:w="9837"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30E3508D"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使用rituximab療效：</w:t>
            </w:r>
          </w:p>
          <w:p w14:paraId="1B9611CF"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(申請第1次重複療程者，填寫初次療效;申請第2次以上重複療程者，填寫前兩次療效)</w:t>
            </w:r>
          </w:p>
          <w:p w14:paraId="6735EAD8"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日mg,DAS28總積分</w:t>
            </w:r>
          </w:p>
          <w:p w14:paraId="1A7F4699"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Day15</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w:t>
            </w:r>
          </w:p>
          <w:p w14:paraId="1FC4252A" w14:textId="77777777" w:rsidR="00401786" w:rsidRPr="00190A34" w:rsidRDefault="00C64FB3" w:rsidP="000E757E">
            <w:pPr>
              <w:snapToGrid w:val="0"/>
              <w:spacing w:line="240" w:lineRule="atLeast"/>
              <w:rPr>
                <w:szCs w:val="24"/>
              </w:rPr>
            </w:pPr>
            <w:r w:rsidRPr="00190A34">
              <w:rPr>
                <w:rFonts w:ascii="標楷體" w:eastAsia="標楷體" w:hAnsi="標楷體"/>
                <w:szCs w:val="24"/>
              </w:rPr>
              <w:t>Week21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日,DAS28總積分</w:t>
            </w:r>
          </w:p>
          <w:p w14:paraId="42D27DF8"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DAS28總積分下降程度</w:t>
            </w:r>
            <w:proofErr w:type="gramStart"/>
            <w:r w:rsidRPr="00190A34">
              <w:rPr>
                <w:rFonts w:ascii="標楷體" w:eastAsia="標楷體" w:hAnsi="標楷體"/>
                <w:szCs w:val="24"/>
              </w:rPr>
              <w:t>≧</w:t>
            </w:r>
            <w:proofErr w:type="gramEnd"/>
            <w:r w:rsidRPr="00190A34">
              <w:rPr>
                <w:rFonts w:ascii="標楷體" w:eastAsia="標楷體" w:hAnsi="標楷體"/>
                <w:szCs w:val="24"/>
              </w:rPr>
              <w:t>1.2(下降_________分)，或</w:t>
            </w:r>
            <w:r w:rsidRPr="00190A34">
              <w:rPr>
                <w:rFonts w:ascii="標楷體" w:eastAsia="標楷體" w:hAnsi="標楷體" w:cs="Webdings"/>
                <w:szCs w:val="24"/>
              </w:rPr>
              <w:t></w:t>
            </w:r>
            <w:r w:rsidRPr="00190A34">
              <w:rPr>
                <w:rFonts w:ascii="標楷體" w:eastAsia="標楷體" w:hAnsi="標楷體"/>
                <w:szCs w:val="24"/>
              </w:rPr>
              <w:t>DAS28總積分&lt;3.2者</w:t>
            </w:r>
          </w:p>
          <w:p w14:paraId="20377866" w14:textId="77777777" w:rsidR="00401786" w:rsidRPr="00190A34" w:rsidRDefault="00401786" w:rsidP="000E757E">
            <w:pPr>
              <w:snapToGrid w:val="0"/>
              <w:spacing w:line="240" w:lineRule="atLeast"/>
              <w:ind w:left="120"/>
              <w:rPr>
                <w:rFonts w:ascii="標楷體" w:eastAsia="標楷體" w:hAnsi="標楷體"/>
                <w:szCs w:val="24"/>
              </w:rPr>
            </w:pPr>
          </w:p>
          <w:p w14:paraId="0B12AAB6"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日mg,DAS28總積分</w:t>
            </w:r>
          </w:p>
          <w:p w14:paraId="662BD0CC"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Day15</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日mg(給藥時機為</w:t>
            </w:r>
            <w:r w:rsidRPr="00190A34">
              <w:rPr>
                <w:rFonts w:ascii="標楷體" w:eastAsia="標楷體" w:hAnsi="標楷體" w:cs="Webdings"/>
                <w:szCs w:val="24"/>
              </w:rPr>
              <w:t></w:t>
            </w:r>
            <w:r w:rsidRPr="00190A34">
              <w:rPr>
                <w:rFonts w:ascii="標楷體" w:eastAsia="標楷體" w:hAnsi="標楷體"/>
                <w:szCs w:val="24"/>
              </w:rPr>
              <w:t>DAS28總積分</w:t>
            </w:r>
            <w:proofErr w:type="gramStart"/>
            <w:r w:rsidRPr="00190A34">
              <w:rPr>
                <w:rFonts w:ascii="標楷體" w:eastAsia="標楷體" w:hAnsi="標楷體"/>
                <w:szCs w:val="24"/>
              </w:rPr>
              <w:t>≧</w:t>
            </w:r>
            <w:proofErr w:type="gramEnd"/>
            <w:r w:rsidRPr="00190A34">
              <w:rPr>
                <w:rFonts w:ascii="標楷體" w:eastAsia="標楷體" w:hAnsi="標楷體"/>
                <w:szCs w:val="24"/>
              </w:rPr>
              <w:t>3.2</w:t>
            </w:r>
          </w:p>
          <w:p w14:paraId="39F6034B" w14:textId="77777777" w:rsidR="00401786" w:rsidRPr="00190A34" w:rsidRDefault="00C64FB3" w:rsidP="000E757E">
            <w:pPr>
              <w:snapToGrid w:val="0"/>
              <w:spacing w:line="240" w:lineRule="atLeast"/>
              <w:rPr>
                <w:szCs w:val="24"/>
              </w:rPr>
            </w:pPr>
            <w:r w:rsidRPr="00190A34">
              <w:rPr>
                <w:rFonts w:ascii="標楷體" w:eastAsia="標楷體" w:hAnsi="標楷體"/>
                <w:szCs w:val="24"/>
              </w:rPr>
              <w:t>者，或</w:t>
            </w:r>
            <w:r w:rsidRPr="00190A34">
              <w:rPr>
                <w:rFonts w:ascii="標楷體" w:eastAsia="標楷體" w:hAnsi="標楷體" w:cs="Webdings"/>
                <w:szCs w:val="24"/>
              </w:rPr>
              <w:t></w:t>
            </w:r>
            <w:r w:rsidRPr="00190A34">
              <w:rPr>
                <w:rFonts w:ascii="標楷體" w:eastAsia="標楷體" w:hAnsi="標楷體"/>
                <w:szCs w:val="24"/>
              </w:rPr>
              <w:t>DAS28總積分上升</w:t>
            </w:r>
            <w:proofErr w:type="gramStart"/>
            <w:r w:rsidRPr="00190A34">
              <w:rPr>
                <w:rFonts w:ascii="標楷體" w:eastAsia="標楷體" w:hAnsi="標楷體"/>
                <w:szCs w:val="24"/>
              </w:rPr>
              <w:t>≧</w:t>
            </w:r>
            <w:proofErr w:type="gramEnd"/>
            <w:r w:rsidRPr="00190A34">
              <w:rPr>
                <w:rFonts w:ascii="標楷體" w:eastAsia="標楷體" w:hAnsi="標楷體"/>
                <w:szCs w:val="24"/>
              </w:rPr>
              <w:t>0.6)</w:t>
            </w:r>
          </w:p>
          <w:p w14:paraId="2DE91E47" w14:textId="77777777" w:rsidR="00401786" w:rsidRPr="00190A34" w:rsidRDefault="00C64FB3" w:rsidP="000E757E">
            <w:pPr>
              <w:snapToGrid w:val="0"/>
              <w:spacing w:line="240" w:lineRule="atLeast"/>
              <w:rPr>
                <w:szCs w:val="24"/>
              </w:rPr>
            </w:pPr>
            <w:r w:rsidRPr="00190A34">
              <w:rPr>
                <w:rFonts w:ascii="標楷體" w:eastAsia="標楷體" w:hAnsi="標楷體"/>
                <w:szCs w:val="24"/>
              </w:rPr>
              <w:t>Week21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日,DAS28總積分</w:t>
            </w:r>
          </w:p>
          <w:p w14:paraId="633B4EF3"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DAS28總積分下降程度</w:t>
            </w:r>
            <w:proofErr w:type="gramStart"/>
            <w:r w:rsidRPr="00190A34">
              <w:rPr>
                <w:rFonts w:ascii="標楷體" w:eastAsia="標楷體" w:hAnsi="標楷體"/>
                <w:szCs w:val="24"/>
              </w:rPr>
              <w:t>≧</w:t>
            </w:r>
            <w:proofErr w:type="gramEnd"/>
            <w:r w:rsidRPr="00190A34">
              <w:rPr>
                <w:rFonts w:ascii="標楷體" w:eastAsia="標楷體" w:hAnsi="標楷體"/>
                <w:szCs w:val="24"/>
              </w:rPr>
              <w:t>1.2(下降_________分)，或</w:t>
            </w:r>
            <w:r w:rsidRPr="00190A34">
              <w:rPr>
                <w:rFonts w:ascii="標楷體" w:eastAsia="標楷體" w:hAnsi="標楷體" w:cs="Webdings"/>
                <w:szCs w:val="24"/>
              </w:rPr>
              <w:t></w:t>
            </w:r>
            <w:r w:rsidRPr="00190A34">
              <w:rPr>
                <w:rFonts w:ascii="標楷體" w:eastAsia="標楷體" w:hAnsi="標楷體"/>
                <w:szCs w:val="24"/>
              </w:rPr>
              <w:t>DAS28總積分&lt;3.2者</w:t>
            </w:r>
          </w:p>
          <w:p w14:paraId="7550B337" w14:textId="77777777" w:rsidR="00401786" w:rsidRPr="00190A34" w:rsidRDefault="00C64FB3" w:rsidP="000E757E">
            <w:pPr>
              <w:snapToGrid w:val="0"/>
              <w:spacing w:line="240" w:lineRule="atLeast"/>
              <w:rPr>
                <w:szCs w:val="24"/>
              </w:rPr>
            </w:pPr>
            <w:r w:rsidRPr="00190A34">
              <w:rPr>
                <w:rFonts w:ascii="標楷體" w:eastAsia="標楷體" w:hAnsi="標楷體"/>
                <w:szCs w:val="24"/>
              </w:rPr>
              <w:t>(請檢附當時申報rituximab之相關資料)</w:t>
            </w:r>
          </w:p>
        </w:tc>
      </w:tr>
    </w:tbl>
    <w:p w14:paraId="546C45E0" w14:textId="77777777" w:rsidR="00401786" w:rsidRPr="00190A34" w:rsidRDefault="00401786" w:rsidP="000E757E">
      <w:pPr>
        <w:snapToGrid w:val="0"/>
        <w:spacing w:line="240" w:lineRule="atLeast"/>
        <w:ind w:left="-540" w:right="-286" w:firstLine="540"/>
        <w:rPr>
          <w:rFonts w:ascii="標楷體" w:eastAsia="標楷體" w:hAnsi="標楷體"/>
          <w:szCs w:val="24"/>
        </w:rPr>
      </w:pPr>
    </w:p>
    <w:tbl>
      <w:tblPr>
        <w:tblW w:w="9837" w:type="dxa"/>
        <w:tblInd w:w="12" w:type="dxa"/>
        <w:tblLayout w:type="fixed"/>
        <w:tblCellMar>
          <w:left w:w="10" w:type="dxa"/>
          <w:right w:w="10" w:type="dxa"/>
        </w:tblCellMar>
        <w:tblLook w:val="0000" w:firstRow="0" w:lastRow="0" w:firstColumn="0" w:lastColumn="0" w:noHBand="0" w:noVBand="0"/>
      </w:tblPr>
      <w:tblGrid>
        <w:gridCol w:w="9837"/>
      </w:tblGrid>
      <w:tr w:rsidR="00401786" w:rsidRPr="00190A34" w14:paraId="2E48C04A" w14:textId="77777777">
        <w:trPr>
          <w:cantSplit/>
          <w:trHeight w:val="1721"/>
        </w:trPr>
        <w:tc>
          <w:tcPr>
            <w:tcW w:w="9837" w:type="dxa"/>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tcPr>
          <w:p w14:paraId="58C181FB" w14:textId="77777777" w:rsidR="00401786" w:rsidRPr="00190A34" w:rsidRDefault="00C64FB3" w:rsidP="000E757E">
            <w:pPr>
              <w:widowControl/>
              <w:snapToGrid w:val="0"/>
              <w:spacing w:line="240" w:lineRule="atLeast"/>
              <w:rPr>
                <w:szCs w:val="24"/>
              </w:rPr>
            </w:pPr>
            <w:r w:rsidRPr="00190A34">
              <w:rPr>
                <w:rFonts w:ascii="標楷體" w:eastAsia="標楷體" w:hAnsi="標楷體"/>
                <w:szCs w:val="24"/>
              </w:rPr>
              <w:t>治療過程中是否發生不良事件(請說明不良事件:如肝炎或嚴重感染等,及不良事件發生之時間)：</w:t>
            </w:r>
          </w:p>
          <w:p w14:paraId="12A471B3" w14:textId="77777777" w:rsidR="00401786" w:rsidRPr="00190A34" w:rsidRDefault="00401786" w:rsidP="000E757E">
            <w:pPr>
              <w:snapToGrid w:val="0"/>
              <w:spacing w:line="240" w:lineRule="atLeast"/>
              <w:textAlignment w:val="center"/>
              <w:rPr>
                <w:rFonts w:ascii="標楷體" w:eastAsia="標楷體" w:hAnsi="標楷體"/>
                <w:szCs w:val="24"/>
              </w:rPr>
            </w:pPr>
          </w:p>
          <w:p w14:paraId="49AA88A3" w14:textId="77777777" w:rsidR="00401786" w:rsidRPr="00190A34" w:rsidRDefault="00401786" w:rsidP="000E757E">
            <w:pPr>
              <w:snapToGrid w:val="0"/>
              <w:spacing w:line="240" w:lineRule="atLeast"/>
              <w:textAlignment w:val="center"/>
              <w:rPr>
                <w:rFonts w:ascii="標楷體" w:eastAsia="標楷體" w:hAnsi="標楷體"/>
                <w:szCs w:val="24"/>
              </w:rPr>
            </w:pPr>
          </w:p>
        </w:tc>
      </w:tr>
    </w:tbl>
    <w:p w14:paraId="3805A003" w14:textId="77777777" w:rsidR="00401786" w:rsidRDefault="00401786" w:rsidP="000E757E">
      <w:pPr>
        <w:snapToGrid w:val="0"/>
        <w:spacing w:line="240" w:lineRule="atLeast"/>
        <w:jc w:val="both"/>
        <w:rPr>
          <w:rFonts w:ascii="標楷體" w:eastAsia="標楷體" w:hAnsi="標楷體"/>
        </w:rPr>
      </w:pPr>
    </w:p>
    <w:tbl>
      <w:tblPr>
        <w:tblW w:w="9809" w:type="dxa"/>
        <w:tblLayout w:type="fixed"/>
        <w:tblCellMar>
          <w:left w:w="10" w:type="dxa"/>
          <w:right w:w="10" w:type="dxa"/>
        </w:tblCellMar>
        <w:tblLook w:val="0000" w:firstRow="0" w:lastRow="0" w:firstColumn="0" w:lastColumn="0" w:noHBand="0" w:noVBand="0"/>
      </w:tblPr>
      <w:tblGrid>
        <w:gridCol w:w="628"/>
        <w:gridCol w:w="1320"/>
        <w:gridCol w:w="7861"/>
      </w:tblGrid>
      <w:tr w:rsidR="00401786" w14:paraId="6D75A582" w14:textId="77777777">
        <w:trPr>
          <w:cantSplit/>
          <w:trHeight w:val="281"/>
        </w:trPr>
        <w:tc>
          <w:tcPr>
            <w:tcW w:w="9809"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4AD877B8"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符合「須排除或停止rituximab使用之情形」</w:t>
            </w:r>
          </w:p>
        </w:tc>
      </w:tr>
      <w:tr w:rsidR="00401786" w14:paraId="52157202"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55B59FF"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986986"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E150402"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747A1C2"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是否有rituximab仿單記載之禁忌情形。</w:t>
            </w:r>
          </w:p>
        </w:tc>
      </w:tr>
      <w:tr w:rsidR="00401786" w14:paraId="08EA4225"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BC38B19"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BC05CA"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4336E9B4"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B077A2"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是否對rituximab過敏。</w:t>
            </w:r>
          </w:p>
        </w:tc>
      </w:tr>
      <w:tr w:rsidR="00401786" w14:paraId="0CBFB4C6"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DF83313"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5CC2B21"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149F78EB"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4EE8060"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患重度活動性感染症。</w:t>
            </w:r>
          </w:p>
        </w:tc>
      </w:tr>
      <w:tr w:rsidR="00401786" w14:paraId="3A7E5A57"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186D7DD"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13FB26"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2296ADAF"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991D3FE"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未經完整治療之結核病的病患（包括潛伏結核感染治療未達四</w:t>
            </w:r>
            <w:proofErr w:type="gramStart"/>
            <w:r w:rsidRPr="00190A34">
              <w:rPr>
                <w:rFonts w:ascii="標楷體" w:eastAsia="標楷體" w:hAnsi="標楷體"/>
                <w:szCs w:val="24"/>
              </w:rPr>
              <w:t>週</w:t>
            </w:r>
            <w:proofErr w:type="gramEnd"/>
            <w:r w:rsidRPr="00190A34">
              <w:rPr>
                <w:rFonts w:ascii="標楷體" w:eastAsia="標楷體" w:hAnsi="標楷體"/>
                <w:szCs w:val="24"/>
              </w:rPr>
              <w:t>者，申請時應檢附潛伏結核感染篩檢紀錄及治療紀錄供審查）。</w:t>
            </w:r>
          </w:p>
        </w:tc>
      </w:tr>
      <w:tr w:rsidR="00401786" w14:paraId="39CE8C3F"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C5C95BF"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6E98792"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802B4F1"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AE477A3"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w:t>
            </w:r>
            <w:proofErr w:type="gramStart"/>
            <w:r w:rsidRPr="00190A34">
              <w:rPr>
                <w:rFonts w:ascii="標楷體" w:eastAsia="標楷體" w:hAnsi="標楷體"/>
                <w:szCs w:val="24"/>
              </w:rPr>
              <w:t>重度心衰竭</w:t>
            </w:r>
            <w:proofErr w:type="gramEnd"/>
            <w:r w:rsidRPr="00190A34">
              <w:rPr>
                <w:rFonts w:ascii="標楷體" w:eastAsia="標楷體" w:hAnsi="標楷體"/>
                <w:szCs w:val="24"/>
              </w:rPr>
              <w:t>（</w:t>
            </w:r>
            <w:proofErr w:type="spellStart"/>
            <w:r w:rsidRPr="00190A34">
              <w:rPr>
                <w:rFonts w:ascii="標楷體" w:eastAsia="標楷體" w:hAnsi="標楷體"/>
                <w:szCs w:val="24"/>
              </w:rPr>
              <w:t>NewYorkHeartAssociationclassIV</w:t>
            </w:r>
            <w:proofErr w:type="spellEnd"/>
            <w:r w:rsidRPr="00190A34">
              <w:rPr>
                <w:rFonts w:ascii="標楷體" w:eastAsia="標楷體" w:hAnsi="標楷體"/>
                <w:szCs w:val="24"/>
              </w:rPr>
              <w:t>）。</w:t>
            </w:r>
          </w:p>
        </w:tc>
      </w:tr>
      <w:tr w:rsidR="00401786" w14:paraId="72E42F3D"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3E7132B"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D74100"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6E55173"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6728851"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婦女是否正在懷孕</w:t>
            </w:r>
            <w:proofErr w:type="gramStart"/>
            <w:r w:rsidRPr="00190A34">
              <w:rPr>
                <w:rFonts w:ascii="標楷體" w:eastAsia="標楷體" w:hAnsi="標楷體"/>
                <w:szCs w:val="24"/>
              </w:rPr>
              <w:t>或授乳</w:t>
            </w:r>
            <w:proofErr w:type="gramEnd"/>
            <w:r w:rsidRPr="00190A34">
              <w:rPr>
                <w:rFonts w:ascii="標楷體" w:eastAsia="標楷體" w:hAnsi="標楷體"/>
                <w:szCs w:val="24"/>
              </w:rPr>
              <w:t>。</w:t>
            </w:r>
          </w:p>
        </w:tc>
      </w:tr>
      <w:tr w:rsidR="00401786" w14:paraId="28AD859E" w14:textId="77777777">
        <w:trPr>
          <w:cantSplit/>
          <w:trHeight w:val="400"/>
        </w:trPr>
        <w:tc>
          <w:tcPr>
            <w:tcW w:w="628"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36F5309F"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7757082B"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0E1539A" w14:textId="77777777" w:rsidR="00401786" w:rsidRPr="00190A34"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3F51300F"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使用rituximab發生不良事件(如藥物引起的嚴重毒性、嚴重的感染性疾病)</w:t>
            </w:r>
          </w:p>
        </w:tc>
      </w:tr>
    </w:tbl>
    <w:p w14:paraId="23EBD3E5" w14:textId="77777777" w:rsidR="00401786" w:rsidRDefault="00401786" w:rsidP="000E757E">
      <w:pPr>
        <w:pageBreakBefore/>
        <w:snapToGrid w:val="0"/>
        <w:spacing w:line="240" w:lineRule="atLeast"/>
        <w:ind w:right="-286"/>
        <w:rPr>
          <w:rFonts w:ascii="標楷體" w:eastAsia="標楷體" w:hAnsi="標楷體"/>
          <w:sz w:val="32"/>
        </w:rPr>
      </w:pPr>
    </w:p>
    <w:tbl>
      <w:tblPr>
        <w:tblW w:w="9800" w:type="dxa"/>
        <w:tblInd w:w="12" w:type="dxa"/>
        <w:tblLayout w:type="fixed"/>
        <w:tblCellMar>
          <w:left w:w="10" w:type="dxa"/>
          <w:right w:w="10" w:type="dxa"/>
        </w:tblCellMar>
        <w:tblLook w:val="0000" w:firstRow="0" w:lastRow="0" w:firstColumn="0" w:lastColumn="0" w:noHBand="0" w:noVBand="0"/>
      </w:tblPr>
      <w:tblGrid>
        <w:gridCol w:w="2540"/>
        <w:gridCol w:w="907"/>
        <w:gridCol w:w="907"/>
        <w:gridCol w:w="907"/>
        <w:gridCol w:w="907"/>
        <w:gridCol w:w="907"/>
        <w:gridCol w:w="907"/>
        <w:gridCol w:w="907"/>
        <w:gridCol w:w="911"/>
      </w:tblGrid>
      <w:tr w:rsidR="00401786" w14:paraId="3335601C" w14:textId="77777777">
        <w:trPr>
          <w:cantSplit/>
          <w:trHeight w:val="402"/>
        </w:trPr>
        <w:tc>
          <w:tcPr>
            <w:tcW w:w="9800" w:type="dxa"/>
            <w:gridSpan w:val="9"/>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292CB556" w14:textId="77777777" w:rsidR="00401786" w:rsidRPr="00190A34" w:rsidRDefault="00C64FB3" w:rsidP="000E757E">
            <w:pPr>
              <w:snapToGrid w:val="0"/>
              <w:spacing w:line="240" w:lineRule="atLeast"/>
              <w:jc w:val="center"/>
              <w:rPr>
                <w:szCs w:val="24"/>
              </w:rPr>
            </w:pPr>
            <w:r w:rsidRPr="00190A34">
              <w:rPr>
                <w:rFonts w:ascii="標楷體" w:eastAsia="標楷體" w:hAnsi="標楷體"/>
                <w:szCs w:val="24"/>
              </w:rPr>
              <w:t>28處關節疾病活動度評估〈DiseaseActivityScore,DAS28〉</w:t>
            </w:r>
          </w:p>
        </w:tc>
      </w:tr>
      <w:tr w:rsidR="00401786" w14:paraId="009748A9" w14:textId="77777777">
        <w:trPr>
          <w:cantSplit/>
          <w:trHeight w:hRule="exact" w:val="851"/>
        </w:trPr>
        <w:tc>
          <w:tcPr>
            <w:tcW w:w="2540" w:type="dxa"/>
            <w:vMerge w:val="restart"/>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B4F109" w14:textId="77777777" w:rsidR="00401786" w:rsidRPr="00190A34" w:rsidRDefault="00401786" w:rsidP="000E757E">
            <w:pPr>
              <w:snapToGrid w:val="0"/>
              <w:spacing w:line="240" w:lineRule="atLeast"/>
              <w:rPr>
                <w:rFonts w:ascii="標楷體" w:eastAsia="標楷體" w:hAnsi="標楷體"/>
                <w:szCs w:val="24"/>
              </w:rPr>
            </w:pPr>
          </w:p>
          <w:p w14:paraId="358F9819" w14:textId="77777777" w:rsidR="00401786" w:rsidRPr="00190A34" w:rsidRDefault="00401786" w:rsidP="000E757E">
            <w:pPr>
              <w:snapToGrid w:val="0"/>
              <w:spacing w:line="240" w:lineRule="atLeast"/>
              <w:rPr>
                <w:rFonts w:ascii="標楷體" w:eastAsia="標楷體" w:hAnsi="標楷體"/>
                <w:szCs w:val="24"/>
              </w:rPr>
            </w:pPr>
          </w:p>
          <w:p w14:paraId="60CAC8E7" w14:textId="77777777" w:rsidR="00401786" w:rsidRPr="00190A34" w:rsidRDefault="00401786" w:rsidP="000E757E">
            <w:pPr>
              <w:snapToGrid w:val="0"/>
              <w:spacing w:line="240" w:lineRule="atLeast"/>
              <w:rPr>
                <w:rFonts w:ascii="標楷體" w:eastAsia="標楷體" w:hAnsi="標楷體"/>
                <w:szCs w:val="24"/>
              </w:rPr>
            </w:pPr>
          </w:p>
          <w:p w14:paraId="5E8A2D3E" w14:textId="77777777" w:rsidR="00401786" w:rsidRPr="00190A34" w:rsidRDefault="00401786" w:rsidP="000E757E">
            <w:pPr>
              <w:snapToGrid w:val="0"/>
              <w:spacing w:line="240" w:lineRule="atLeast"/>
              <w:rPr>
                <w:rFonts w:ascii="標楷體" w:eastAsia="標楷體" w:hAnsi="標楷體"/>
                <w:szCs w:val="24"/>
              </w:rPr>
            </w:pPr>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F68FDE" w14:textId="77777777" w:rsidR="00401786" w:rsidRPr="00190A34" w:rsidRDefault="00C64FB3" w:rsidP="000E757E">
            <w:pPr>
              <w:snapToGrid w:val="0"/>
              <w:spacing w:line="240" w:lineRule="atLeast"/>
              <w:rPr>
                <w:szCs w:val="24"/>
              </w:rPr>
            </w:pPr>
            <w:r w:rsidRPr="00190A34">
              <w:rPr>
                <w:rFonts w:ascii="標楷體" w:eastAsia="標楷體" w:hAnsi="標楷體"/>
                <w:szCs w:val="24"/>
              </w:rPr>
              <w:t>評估時間</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w:t>
            </w:r>
          </w:p>
          <w:p w14:paraId="0EFA2A84"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DAS28積分：________________</w:t>
            </w: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E3DCEF7" w14:textId="77777777" w:rsidR="00401786" w:rsidRPr="00190A34" w:rsidRDefault="00C64FB3" w:rsidP="000E757E">
            <w:pPr>
              <w:snapToGrid w:val="0"/>
              <w:spacing w:line="240" w:lineRule="atLeast"/>
              <w:rPr>
                <w:szCs w:val="24"/>
              </w:rPr>
            </w:pPr>
            <w:r w:rsidRPr="00190A34">
              <w:rPr>
                <w:rFonts w:ascii="標楷體" w:eastAsia="標楷體" w:hAnsi="標楷體"/>
                <w:szCs w:val="24"/>
              </w:rPr>
              <w:t>評估時間</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w:t>
            </w:r>
          </w:p>
          <w:p w14:paraId="14399860" w14:textId="77777777" w:rsidR="00401786" w:rsidRPr="00190A34" w:rsidRDefault="00C64FB3" w:rsidP="000E757E">
            <w:pPr>
              <w:snapToGrid w:val="0"/>
              <w:spacing w:line="240" w:lineRule="atLeast"/>
              <w:ind w:left="240" w:hanging="240"/>
              <w:rPr>
                <w:rFonts w:ascii="標楷體" w:eastAsia="標楷體" w:hAnsi="標楷體"/>
                <w:szCs w:val="24"/>
              </w:rPr>
            </w:pPr>
            <w:r w:rsidRPr="00190A34">
              <w:rPr>
                <w:rFonts w:ascii="標楷體" w:eastAsia="標楷體" w:hAnsi="標楷體"/>
                <w:szCs w:val="24"/>
              </w:rPr>
              <w:t>DAS28積分：</w:t>
            </w:r>
          </w:p>
        </w:tc>
      </w:tr>
      <w:tr w:rsidR="00401786" w14:paraId="73BE1C35" w14:textId="77777777">
        <w:trPr>
          <w:cantSplit/>
          <w:trHeight w:hRule="exact" w:val="340"/>
        </w:trPr>
        <w:tc>
          <w:tcPr>
            <w:tcW w:w="2540" w:type="dxa"/>
            <w:vMerge/>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CB2E32" w14:textId="77777777" w:rsidR="00401786" w:rsidRPr="00190A34" w:rsidRDefault="00401786" w:rsidP="000E757E">
            <w:pPr>
              <w:pStyle w:val="a7"/>
              <w:tabs>
                <w:tab w:val="clear" w:pos="4153"/>
                <w:tab w:val="clear" w:pos="8306"/>
              </w:tabs>
              <w:spacing w:line="240" w:lineRule="atLeast"/>
              <w:rPr>
                <w:rFonts w:ascii="標楷體" w:eastAsia="標楷體" w:hAnsi="標楷體"/>
                <w:sz w:val="24"/>
                <w:szCs w:val="24"/>
              </w:rPr>
            </w:pPr>
          </w:p>
        </w:tc>
        <w:tc>
          <w:tcPr>
            <w:tcW w:w="18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B813D8"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右</w:t>
            </w:r>
          </w:p>
        </w:tc>
        <w:tc>
          <w:tcPr>
            <w:tcW w:w="18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DE4F69"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左</w:t>
            </w:r>
          </w:p>
        </w:tc>
        <w:tc>
          <w:tcPr>
            <w:tcW w:w="18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99586B"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右</w:t>
            </w:r>
          </w:p>
        </w:tc>
        <w:tc>
          <w:tcPr>
            <w:tcW w:w="18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BE1E295"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左</w:t>
            </w:r>
          </w:p>
        </w:tc>
      </w:tr>
      <w:tr w:rsidR="00401786" w14:paraId="22EB40D6" w14:textId="77777777">
        <w:trPr>
          <w:cantSplit/>
          <w:trHeight w:hRule="exact" w:val="440"/>
        </w:trPr>
        <w:tc>
          <w:tcPr>
            <w:tcW w:w="2540" w:type="dxa"/>
            <w:vMerge/>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4D124A" w14:textId="77777777" w:rsidR="00401786" w:rsidRPr="00190A34" w:rsidRDefault="00401786" w:rsidP="000E757E">
            <w:pPr>
              <w:snapToGrid w:val="0"/>
              <w:spacing w:line="240" w:lineRule="atLeast"/>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C39699"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C752CC5"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6435C75"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3EB4A6"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A4E3FF"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CBA779"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E4993C"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0D76931"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r>
      <w:tr w:rsidR="00401786" w14:paraId="2B7E1379"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362328E2" w14:textId="77777777" w:rsidR="00401786" w:rsidRPr="00190A34" w:rsidRDefault="00C64FB3" w:rsidP="000E757E">
            <w:pPr>
              <w:pStyle w:val="a7"/>
              <w:tabs>
                <w:tab w:val="clear" w:pos="4153"/>
                <w:tab w:val="clear" w:pos="8306"/>
              </w:tabs>
              <w:spacing w:line="240" w:lineRule="atLeast"/>
              <w:ind w:firstLine="452"/>
              <w:rPr>
                <w:rFonts w:ascii="標楷體" w:eastAsia="標楷體" w:hAnsi="標楷體"/>
                <w:sz w:val="24"/>
                <w:szCs w:val="24"/>
              </w:rPr>
            </w:pPr>
            <w:proofErr w:type="gramStart"/>
            <w:r w:rsidRPr="00190A34">
              <w:rPr>
                <w:rFonts w:ascii="標楷體" w:eastAsia="標楷體" w:hAnsi="標楷體"/>
                <w:sz w:val="24"/>
                <w:szCs w:val="24"/>
              </w:rPr>
              <w:t>肩</w:t>
            </w:r>
            <w:proofErr w:type="gramEnd"/>
            <w:r w:rsidRPr="00190A34">
              <w:rPr>
                <w:rFonts w:ascii="標楷體" w:eastAsia="標楷體" w:hAnsi="標楷體"/>
                <w:sz w:val="24"/>
                <w:szCs w:val="24"/>
              </w:rPr>
              <w:t>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E44974"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E2E1C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FD364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186CEE"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17BB3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75A47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3241C4"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411D75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1BED8A56" w14:textId="77777777">
        <w:trPr>
          <w:cantSplit/>
          <w:trHeight w:hRule="exact" w:val="38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1EBDC2A7"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手肘關節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E1554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F90C7F4"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53A29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91A1F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FE9D00"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D9EBE8"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3BF42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4116F74"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72BD20B6"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02E0CCE1"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手腕關節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2079BB"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9EAB1EF"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B8F4BB"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1918F77"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39806E"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00B847"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AA5E1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9E8CAE8"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7C953B10"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5C9CDED3"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1D367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BF7010"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3AE0D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CCF84F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2C1BA4"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2D59C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1DA73EC"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49E00E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1756F06F"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0407C7E8"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8CC2C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185E2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E0B133"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FA996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DB5D1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8EBA9C"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99AD30"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596055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76DA21D9"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7D529D79"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703247"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45A96F"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81C06C"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BFB273"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02D96A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F888D0"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A563B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FF00AC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1F5CE7D3"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29516C75"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BA8A43"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570A4E"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32FD4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2B1CFA"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0385A7"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2B218B"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B2D57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5EB34B4E"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0B68B8CF"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4A364020"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46E77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2B746A"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1DBD5C"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EF6246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DF3CD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62CD6A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33650A"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6BB7F617"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53A2F47E"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4B8698C4" w14:textId="77777777" w:rsidR="00401786" w:rsidRPr="00190A34" w:rsidRDefault="00C64FB3" w:rsidP="000E757E">
            <w:pPr>
              <w:snapToGrid w:val="0"/>
              <w:spacing w:line="240" w:lineRule="atLeast"/>
              <w:ind w:firstLine="452"/>
              <w:rPr>
                <w:rFonts w:ascii="標楷體" w:eastAsia="標楷體" w:hAnsi="標楷體"/>
                <w:szCs w:val="24"/>
              </w:rPr>
            </w:pPr>
            <w:proofErr w:type="gramStart"/>
            <w:r w:rsidRPr="00190A34">
              <w:rPr>
                <w:rFonts w:ascii="標楷體" w:eastAsia="標楷體" w:hAnsi="標楷體"/>
                <w:szCs w:val="24"/>
              </w:rPr>
              <w:t>姆指指</w:t>
            </w:r>
            <w:proofErr w:type="gramEnd"/>
            <w:r w:rsidRPr="00190A34">
              <w:rPr>
                <w:rFonts w:ascii="標楷體" w:eastAsia="標楷體" w:hAnsi="標楷體"/>
                <w:szCs w:val="24"/>
              </w:rPr>
              <w:t>間關節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9F808E"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1389E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F9E0CE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60E2C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E92B0F"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25C9D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BC624B"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E13AB63"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0EA3225F"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2D8A659C"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168D15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349F6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D3D1E4"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27D66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58ADDF"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12FAEF"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231822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05A2DF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7FDF748C"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236A59B9"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PIP關節III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200E56C"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6E4A8F"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2F2020"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F02CB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FF1229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0C8726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D92C03"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A7A461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4B1C5C24" w14:textId="77777777">
        <w:trPr>
          <w:cantSplit/>
          <w:trHeight w:hRule="exact" w:val="44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3A870A02"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PIP關節IV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97BEF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8644E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0E21B8"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30548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2894B8"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DE151B"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DCAAD8"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5A92C1A9"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2DA9F022" w14:textId="77777777">
        <w:trPr>
          <w:cantSplit/>
          <w:trHeight w:hRule="exact" w:val="44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1A07B290"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59FDDA"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B6C6F3B"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F41EE0"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5513556"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782CC3"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5A0CE1"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1ACFDFC"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4989C1D"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5A2220AB" w14:textId="77777777">
        <w:trPr>
          <w:cantSplit/>
          <w:trHeight w:hRule="exact" w:val="44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6B6E1BE5"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膝關節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310E55"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6FFD3AE"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F689D57"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68F85C"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50CAE87"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902100"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E4EBA12"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D44F96F" w14:textId="77777777" w:rsidR="00401786" w:rsidRPr="00190A34" w:rsidRDefault="00401786" w:rsidP="002144EC">
            <w:pPr>
              <w:numPr>
                <w:ilvl w:val="0"/>
                <w:numId w:val="92"/>
              </w:numPr>
              <w:tabs>
                <w:tab w:val="left" w:pos="425"/>
              </w:tabs>
              <w:snapToGrid w:val="0"/>
              <w:spacing w:line="240" w:lineRule="atLeast"/>
              <w:ind w:left="425" w:hanging="213"/>
              <w:textAlignment w:val="center"/>
              <w:rPr>
                <w:rFonts w:ascii="標楷體" w:eastAsia="標楷體" w:hAnsi="標楷體"/>
                <w:szCs w:val="24"/>
              </w:rPr>
            </w:pPr>
          </w:p>
        </w:tc>
      </w:tr>
      <w:tr w:rsidR="00401786" w14:paraId="69B799FE" w14:textId="77777777">
        <w:trPr>
          <w:cantSplit/>
          <w:trHeight w:hRule="exact" w:val="90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4C1802"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觸痛關節之總數(左邊+</w:t>
            </w:r>
            <w:proofErr w:type="gramStart"/>
            <w:r w:rsidRPr="00190A34">
              <w:rPr>
                <w:rFonts w:ascii="標楷體" w:eastAsia="標楷體" w:hAnsi="標楷體"/>
                <w:szCs w:val="24"/>
              </w:rPr>
              <w:t>右邊)</w:t>
            </w:r>
            <w:proofErr w:type="gramEnd"/>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420768" w14:textId="77777777" w:rsidR="00401786" w:rsidRPr="00190A34" w:rsidRDefault="00401786" w:rsidP="000E757E">
            <w:pPr>
              <w:snapToGrid w:val="0"/>
              <w:spacing w:line="240" w:lineRule="atLeast"/>
              <w:rPr>
                <w:rFonts w:ascii="標楷體" w:eastAsia="標楷體" w:hAnsi="標楷體"/>
                <w:szCs w:val="24"/>
              </w:rPr>
            </w:pPr>
          </w:p>
          <w:p w14:paraId="7422CBDD" w14:textId="77777777" w:rsidR="00401786" w:rsidRPr="00190A34" w:rsidRDefault="00401786" w:rsidP="000E757E">
            <w:pPr>
              <w:snapToGrid w:val="0"/>
              <w:spacing w:line="240" w:lineRule="atLeast"/>
              <w:rPr>
                <w:rFonts w:ascii="標楷體" w:eastAsia="標楷體" w:hAnsi="標楷體"/>
                <w:szCs w:val="24"/>
              </w:rPr>
            </w:pP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5F3C821" w14:textId="77777777" w:rsidR="00401786" w:rsidRPr="00190A34" w:rsidRDefault="00401786" w:rsidP="000E757E">
            <w:pPr>
              <w:snapToGrid w:val="0"/>
              <w:spacing w:line="240" w:lineRule="atLeast"/>
              <w:rPr>
                <w:rFonts w:ascii="標楷體" w:eastAsia="標楷體" w:hAnsi="標楷體"/>
                <w:szCs w:val="24"/>
              </w:rPr>
            </w:pPr>
          </w:p>
          <w:p w14:paraId="24519B17" w14:textId="77777777" w:rsidR="00401786" w:rsidRPr="00190A34" w:rsidRDefault="00401786" w:rsidP="000E757E">
            <w:pPr>
              <w:snapToGrid w:val="0"/>
              <w:spacing w:line="240" w:lineRule="atLeast"/>
              <w:rPr>
                <w:rFonts w:ascii="標楷體" w:eastAsia="標楷體" w:hAnsi="標楷體"/>
                <w:szCs w:val="24"/>
              </w:rPr>
            </w:pPr>
          </w:p>
        </w:tc>
      </w:tr>
      <w:tr w:rsidR="00401786" w14:paraId="7487CDA7" w14:textId="77777777">
        <w:trPr>
          <w:cantSplit/>
          <w:trHeight w:hRule="exact" w:val="843"/>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9BA0E8"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腫脹關節之總數(左邊+</w:t>
            </w:r>
            <w:proofErr w:type="gramStart"/>
            <w:r w:rsidRPr="00190A34">
              <w:rPr>
                <w:rFonts w:ascii="標楷體" w:eastAsia="標楷體" w:hAnsi="標楷體"/>
                <w:szCs w:val="24"/>
              </w:rPr>
              <w:t>右邊)</w:t>
            </w:r>
            <w:proofErr w:type="gramEnd"/>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78B2E2" w14:textId="77777777" w:rsidR="00401786" w:rsidRPr="00190A34" w:rsidRDefault="00401786" w:rsidP="000E757E">
            <w:pPr>
              <w:snapToGrid w:val="0"/>
              <w:spacing w:line="240" w:lineRule="atLeast"/>
              <w:rPr>
                <w:rFonts w:ascii="標楷體" w:eastAsia="標楷體" w:hAnsi="標楷體"/>
                <w:szCs w:val="24"/>
              </w:rPr>
            </w:pPr>
          </w:p>
          <w:p w14:paraId="65735055" w14:textId="77777777" w:rsidR="00401786" w:rsidRPr="00190A34" w:rsidRDefault="00401786" w:rsidP="000E757E">
            <w:pPr>
              <w:snapToGrid w:val="0"/>
              <w:spacing w:line="240" w:lineRule="atLeast"/>
              <w:rPr>
                <w:rFonts w:ascii="標楷體" w:eastAsia="標楷體" w:hAnsi="標楷體"/>
                <w:szCs w:val="24"/>
              </w:rPr>
            </w:pP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13DDAA9E" w14:textId="77777777" w:rsidR="00401786" w:rsidRPr="00190A34" w:rsidRDefault="00401786" w:rsidP="000E757E">
            <w:pPr>
              <w:snapToGrid w:val="0"/>
              <w:spacing w:line="240" w:lineRule="atLeast"/>
              <w:rPr>
                <w:rFonts w:ascii="標楷體" w:eastAsia="標楷體" w:hAnsi="標楷體"/>
                <w:szCs w:val="24"/>
              </w:rPr>
            </w:pPr>
          </w:p>
          <w:p w14:paraId="39E72BCB" w14:textId="77777777" w:rsidR="00401786" w:rsidRPr="00190A34" w:rsidRDefault="00401786" w:rsidP="000E757E">
            <w:pPr>
              <w:snapToGrid w:val="0"/>
              <w:spacing w:line="240" w:lineRule="atLeast"/>
              <w:rPr>
                <w:rFonts w:ascii="標楷體" w:eastAsia="標楷體" w:hAnsi="標楷體"/>
                <w:szCs w:val="24"/>
              </w:rPr>
            </w:pPr>
          </w:p>
        </w:tc>
      </w:tr>
      <w:tr w:rsidR="00401786" w14:paraId="71BCD83E" w14:textId="77777777">
        <w:trPr>
          <w:cantSplit/>
          <w:trHeight w:hRule="exact" w:val="558"/>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E987BE" w14:textId="77777777" w:rsidR="00401786" w:rsidRPr="00190A34" w:rsidRDefault="00C64FB3" w:rsidP="000E757E">
            <w:pPr>
              <w:snapToGrid w:val="0"/>
              <w:spacing w:line="240" w:lineRule="atLeast"/>
              <w:rPr>
                <w:szCs w:val="24"/>
              </w:rPr>
            </w:pPr>
            <w:r w:rsidRPr="00190A34">
              <w:rPr>
                <w:rFonts w:ascii="標楷體" w:eastAsia="標楷體" w:hAnsi="標楷體"/>
                <w:szCs w:val="24"/>
              </w:rPr>
              <w:t>紅血球</w:t>
            </w:r>
            <w:proofErr w:type="gramStart"/>
            <w:r w:rsidRPr="00190A34">
              <w:rPr>
                <w:rFonts w:ascii="標楷體" w:eastAsia="標楷體" w:hAnsi="標楷體"/>
                <w:szCs w:val="24"/>
              </w:rPr>
              <w:t>沉</w:t>
            </w:r>
            <w:proofErr w:type="gramEnd"/>
            <w:r w:rsidRPr="00190A34">
              <w:rPr>
                <w:rFonts w:ascii="標楷體" w:eastAsia="標楷體" w:hAnsi="標楷體"/>
                <w:szCs w:val="24"/>
              </w:rPr>
              <w:t>降速率</w:t>
            </w:r>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09321B" w14:textId="77777777" w:rsidR="00401786" w:rsidRPr="00190A34" w:rsidRDefault="00C64FB3" w:rsidP="000E757E">
            <w:pPr>
              <w:snapToGrid w:val="0"/>
              <w:spacing w:line="240" w:lineRule="atLeast"/>
              <w:rPr>
                <w:szCs w:val="24"/>
              </w:rPr>
            </w:pPr>
            <w:r w:rsidRPr="00190A34">
              <w:rPr>
                <w:rFonts w:ascii="標楷體" w:eastAsia="標楷體" w:hAnsi="標楷體"/>
                <w:szCs w:val="24"/>
              </w:rPr>
              <w:t>毫米/小時</w:t>
            </w: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5D4047C" w14:textId="77777777" w:rsidR="00401786" w:rsidRPr="00190A34" w:rsidRDefault="00C64FB3" w:rsidP="000E757E">
            <w:pPr>
              <w:snapToGrid w:val="0"/>
              <w:spacing w:line="240" w:lineRule="atLeast"/>
              <w:rPr>
                <w:szCs w:val="24"/>
              </w:rPr>
            </w:pPr>
            <w:r w:rsidRPr="00190A34">
              <w:rPr>
                <w:rFonts w:ascii="標楷體" w:eastAsia="標楷體" w:hAnsi="標楷體"/>
                <w:szCs w:val="24"/>
              </w:rPr>
              <w:t>毫米/小時</w:t>
            </w:r>
          </w:p>
        </w:tc>
      </w:tr>
      <w:tr w:rsidR="00401786" w14:paraId="7EB0027B" w14:textId="77777777">
        <w:trPr>
          <w:cantSplit/>
          <w:trHeight w:hRule="exact" w:val="454"/>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C0C280"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整體健康狀態評估</w:t>
            </w:r>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F28BA2" w14:textId="77777777" w:rsidR="00401786" w:rsidRPr="00190A34" w:rsidRDefault="00401786" w:rsidP="000E757E">
            <w:pPr>
              <w:snapToGrid w:val="0"/>
              <w:spacing w:line="240" w:lineRule="atLeast"/>
              <w:rPr>
                <w:rFonts w:ascii="標楷體" w:eastAsia="標楷體" w:hAnsi="標楷體"/>
                <w:szCs w:val="24"/>
              </w:rPr>
            </w:pPr>
          </w:p>
          <w:p w14:paraId="70E38550" w14:textId="77777777" w:rsidR="00401786" w:rsidRPr="00190A34" w:rsidRDefault="00401786" w:rsidP="000E757E">
            <w:pPr>
              <w:snapToGrid w:val="0"/>
              <w:spacing w:line="240" w:lineRule="atLeast"/>
              <w:rPr>
                <w:rFonts w:ascii="標楷體" w:eastAsia="標楷體" w:hAnsi="標楷體"/>
                <w:szCs w:val="24"/>
              </w:rPr>
            </w:pP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637E487E" w14:textId="77777777" w:rsidR="00401786" w:rsidRPr="00190A34" w:rsidRDefault="00401786" w:rsidP="000E757E">
            <w:pPr>
              <w:snapToGrid w:val="0"/>
              <w:spacing w:line="240" w:lineRule="atLeast"/>
              <w:rPr>
                <w:rFonts w:ascii="標楷體" w:eastAsia="標楷體" w:hAnsi="標楷體"/>
                <w:szCs w:val="24"/>
              </w:rPr>
            </w:pPr>
          </w:p>
        </w:tc>
      </w:tr>
      <w:tr w:rsidR="00401786" w14:paraId="056E9740" w14:textId="77777777">
        <w:trPr>
          <w:cantSplit/>
          <w:trHeight w:val="400"/>
        </w:trPr>
        <w:tc>
          <w:tcPr>
            <w:tcW w:w="9800" w:type="dxa"/>
            <w:gridSpan w:val="9"/>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415C1A6D" w14:textId="77777777" w:rsidR="00401786" w:rsidRPr="00190A34" w:rsidRDefault="00C64FB3" w:rsidP="000E757E">
            <w:pPr>
              <w:snapToGrid w:val="0"/>
              <w:spacing w:line="240" w:lineRule="atLeast"/>
              <w:ind w:left="92"/>
              <w:jc w:val="center"/>
              <w:textAlignment w:val="center"/>
              <w:rPr>
                <w:rFonts w:ascii="標楷體" w:eastAsia="標楷體" w:hAnsi="標楷體"/>
                <w:szCs w:val="24"/>
              </w:rPr>
            </w:pPr>
            <w:r w:rsidRPr="00190A34">
              <w:rPr>
                <w:rFonts w:ascii="標楷體" w:eastAsia="標楷體" w:hAnsi="標楷體"/>
                <w:szCs w:val="24"/>
              </w:rPr>
              <w:t>整體健康狀態評估(</w:t>
            </w:r>
            <w:proofErr w:type="spellStart"/>
            <w:r w:rsidRPr="00190A34">
              <w:rPr>
                <w:rFonts w:ascii="標楷體" w:eastAsia="標楷體" w:hAnsi="標楷體"/>
                <w:szCs w:val="24"/>
              </w:rPr>
              <w:t>generalhealthassessment</w:t>
            </w:r>
            <w:proofErr w:type="spellEnd"/>
            <w:r w:rsidRPr="00190A34">
              <w:rPr>
                <w:rFonts w:ascii="標楷體" w:eastAsia="標楷體" w:hAnsi="標楷體"/>
                <w:szCs w:val="24"/>
              </w:rPr>
              <w:t>)：100mm圖像模擬量表中所呈現的整體健康狀態。</w:t>
            </w:r>
          </w:p>
        </w:tc>
      </w:tr>
      <w:tr w:rsidR="00401786" w14:paraId="4568884F" w14:textId="77777777">
        <w:trPr>
          <w:cantSplit/>
          <w:trHeight w:val="2347"/>
        </w:trPr>
        <w:tc>
          <w:tcPr>
            <w:tcW w:w="9800" w:type="dxa"/>
            <w:gridSpan w:val="9"/>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7EAD28F2"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申請醫師（簽名蓋章）：</w:t>
            </w:r>
            <w:r w:rsidRPr="00190A34">
              <w:rPr>
                <w:rFonts w:ascii="標楷體" w:eastAsia="標楷體" w:hAnsi="標楷體"/>
                <w:szCs w:val="24"/>
                <w:u w:val="single"/>
              </w:rPr>
              <w:t xml:space="preserve">　　　　　　　</w:t>
            </w:r>
            <w:proofErr w:type="gramStart"/>
            <w:r w:rsidRPr="00190A34">
              <w:rPr>
                <w:rFonts w:ascii="標楷體" w:eastAsia="標楷體" w:hAnsi="標楷體"/>
                <w:szCs w:val="24"/>
              </w:rPr>
              <w:t>醫</w:t>
            </w:r>
            <w:proofErr w:type="gramEnd"/>
            <w:r w:rsidRPr="00190A34">
              <w:rPr>
                <w:rFonts w:ascii="標楷體" w:eastAsia="標楷體" w:hAnsi="標楷體"/>
                <w:szCs w:val="24"/>
              </w:rPr>
              <w:t>事機構章戳：</w:t>
            </w:r>
          </w:p>
          <w:p w14:paraId="5408BCAE"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內科專科醫師證書：內專字第</w:t>
            </w:r>
            <w:r w:rsidRPr="00190A34">
              <w:rPr>
                <w:rFonts w:ascii="標楷體" w:eastAsia="標楷體" w:hAnsi="標楷體"/>
                <w:szCs w:val="24"/>
                <w:u w:val="single"/>
              </w:rPr>
              <w:t xml:space="preserve">　　　　　　</w:t>
            </w:r>
            <w:r w:rsidRPr="00190A34">
              <w:rPr>
                <w:rFonts w:ascii="標楷體" w:eastAsia="標楷體" w:hAnsi="標楷體"/>
                <w:szCs w:val="24"/>
              </w:rPr>
              <w:t>號</w:t>
            </w:r>
          </w:p>
          <w:p w14:paraId="6E3B4749" w14:textId="77777777" w:rsidR="00401786" w:rsidRPr="00190A34" w:rsidRDefault="00C64FB3" w:rsidP="000E757E">
            <w:pPr>
              <w:tabs>
                <w:tab w:val="left" w:pos="2912"/>
              </w:tabs>
              <w:snapToGrid w:val="0"/>
              <w:spacing w:line="240" w:lineRule="atLeast"/>
              <w:textAlignment w:val="center"/>
              <w:rPr>
                <w:szCs w:val="24"/>
              </w:rPr>
            </w:pPr>
            <w:r w:rsidRPr="00190A34">
              <w:rPr>
                <w:rFonts w:ascii="標楷體" w:eastAsia="標楷體" w:hAnsi="標楷體"/>
                <w:szCs w:val="24"/>
              </w:rPr>
              <w:t>風濕病專科醫師證書：中</w:t>
            </w:r>
            <w:proofErr w:type="gramStart"/>
            <w:r w:rsidRPr="00190A34">
              <w:rPr>
                <w:rFonts w:ascii="標楷體" w:eastAsia="標楷體" w:hAnsi="標楷體"/>
                <w:szCs w:val="24"/>
              </w:rPr>
              <w:t>僂</w:t>
            </w:r>
            <w:proofErr w:type="gramEnd"/>
            <w:r w:rsidRPr="00190A34">
              <w:rPr>
                <w:rFonts w:ascii="標楷體" w:eastAsia="標楷體" w:hAnsi="標楷體"/>
                <w:szCs w:val="24"/>
              </w:rPr>
              <w:t>專字第</w:t>
            </w:r>
            <w:r w:rsidRPr="00190A34">
              <w:rPr>
                <w:rFonts w:ascii="標楷體" w:eastAsia="標楷體" w:hAnsi="標楷體"/>
                <w:szCs w:val="24"/>
                <w:u w:val="single"/>
              </w:rPr>
              <w:t xml:space="preserve">　　　　　　</w:t>
            </w:r>
            <w:r w:rsidRPr="00190A34">
              <w:rPr>
                <w:rFonts w:ascii="標楷體" w:eastAsia="標楷體" w:hAnsi="標楷體"/>
                <w:szCs w:val="24"/>
              </w:rPr>
              <w:t>號</w:t>
            </w:r>
          </w:p>
          <w:p w14:paraId="732AA0D2"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免疫專科醫師證書：</w:t>
            </w:r>
            <w:proofErr w:type="gramStart"/>
            <w:r w:rsidRPr="00190A34">
              <w:rPr>
                <w:rFonts w:ascii="標楷體" w:eastAsia="標楷體" w:hAnsi="標楷體"/>
                <w:szCs w:val="24"/>
              </w:rPr>
              <w:t>中免專字</w:t>
            </w:r>
            <w:proofErr w:type="gramEnd"/>
            <w:r w:rsidRPr="00190A34">
              <w:rPr>
                <w:rFonts w:ascii="標楷體" w:eastAsia="標楷體" w:hAnsi="標楷體"/>
                <w:szCs w:val="24"/>
              </w:rPr>
              <w:t>第</w:t>
            </w:r>
            <w:r w:rsidRPr="00190A34">
              <w:rPr>
                <w:rFonts w:ascii="標楷體" w:eastAsia="標楷體" w:hAnsi="標楷體"/>
                <w:szCs w:val="24"/>
                <w:u w:val="single"/>
              </w:rPr>
              <w:t xml:space="preserve">　　　　　　</w:t>
            </w:r>
            <w:r w:rsidRPr="00190A34">
              <w:rPr>
                <w:rFonts w:ascii="標楷體" w:eastAsia="標楷體" w:hAnsi="標楷體"/>
                <w:szCs w:val="24"/>
              </w:rPr>
              <w:t>號</w:t>
            </w:r>
          </w:p>
        </w:tc>
      </w:tr>
    </w:tbl>
    <w:p w14:paraId="56420774" w14:textId="77777777" w:rsidR="00401786" w:rsidRDefault="00401786" w:rsidP="000E757E">
      <w:pPr>
        <w:widowControl/>
        <w:snapToGrid w:val="0"/>
        <w:spacing w:line="240" w:lineRule="atLeast"/>
        <w:rPr>
          <w:rFonts w:ascii="標楷體" w:eastAsia="標楷體" w:hAnsi="標楷體"/>
        </w:rPr>
      </w:pPr>
    </w:p>
    <w:p w14:paraId="3E24D54B" w14:textId="77777777" w:rsidR="00401786" w:rsidRDefault="00401786" w:rsidP="000E757E">
      <w:pPr>
        <w:pageBreakBefore/>
        <w:widowControl/>
        <w:snapToGrid w:val="0"/>
        <w:spacing w:line="240" w:lineRule="atLeast"/>
        <w:rPr>
          <w:rFonts w:ascii="標楷體" w:eastAsia="標楷體" w:hAnsi="標楷體"/>
        </w:rPr>
      </w:pPr>
    </w:p>
    <w:p w14:paraId="26176428" w14:textId="77777777" w:rsidR="00401786" w:rsidRPr="005C51CB" w:rsidRDefault="00C64FB3" w:rsidP="000E757E">
      <w:pPr>
        <w:pStyle w:val="a7"/>
        <w:spacing w:after="360" w:line="240" w:lineRule="atLeast"/>
        <w:jc w:val="center"/>
        <w:rPr>
          <w:rFonts w:eastAsia="標楷體"/>
          <w:b/>
          <w:sz w:val="24"/>
          <w:szCs w:val="24"/>
        </w:rPr>
      </w:pPr>
      <w:r w:rsidRPr="005C51CB">
        <w:rPr>
          <w:rFonts w:eastAsia="標楷體"/>
          <w:b/>
          <w:sz w:val="24"/>
          <w:szCs w:val="24"/>
        </w:rPr>
        <w:t>附表二十四之</w:t>
      </w:r>
      <w:proofErr w:type="gramStart"/>
      <w:r w:rsidRPr="005C51CB">
        <w:rPr>
          <w:rFonts w:eastAsia="標楷體"/>
          <w:b/>
          <w:sz w:val="24"/>
          <w:szCs w:val="24"/>
        </w:rPr>
        <w:t>一</w:t>
      </w:r>
      <w:proofErr w:type="gramEnd"/>
      <w:r w:rsidRPr="005C51CB">
        <w:rPr>
          <w:rFonts w:eastAsia="標楷體"/>
          <w:b/>
          <w:sz w:val="24"/>
          <w:szCs w:val="24"/>
        </w:rPr>
        <w:t>：全民健康保險乾癬使用生物製劑申請表</w:t>
      </w:r>
    </w:p>
    <w:tbl>
      <w:tblPr>
        <w:tblW w:w="9576" w:type="dxa"/>
        <w:jc w:val="center"/>
        <w:tblLayout w:type="fixed"/>
        <w:tblCellMar>
          <w:left w:w="10" w:type="dxa"/>
          <w:right w:w="10" w:type="dxa"/>
        </w:tblCellMar>
        <w:tblLook w:val="0000" w:firstRow="0" w:lastRow="0" w:firstColumn="0" w:lastColumn="0" w:noHBand="0" w:noVBand="0"/>
      </w:tblPr>
      <w:tblGrid>
        <w:gridCol w:w="44"/>
        <w:gridCol w:w="17"/>
        <w:gridCol w:w="1297"/>
        <w:gridCol w:w="1691"/>
        <w:gridCol w:w="1267"/>
        <w:gridCol w:w="1551"/>
        <w:gridCol w:w="1127"/>
        <w:gridCol w:w="2539"/>
        <w:gridCol w:w="43"/>
      </w:tblGrid>
      <w:tr w:rsidR="00401786" w:rsidRPr="007215CF" w14:paraId="06D2E2BF" w14:textId="77777777">
        <w:trPr>
          <w:cantSplit/>
          <w:trHeight w:val="376"/>
          <w:jc w:val="center"/>
        </w:trPr>
        <w:tc>
          <w:tcPr>
            <w:tcW w:w="44" w:type="dxa"/>
            <w:shd w:val="clear" w:color="auto" w:fill="auto"/>
            <w:tcMar>
              <w:top w:w="0" w:type="dxa"/>
              <w:left w:w="10" w:type="dxa"/>
              <w:bottom w:w="0" w:type="dxa"/>
              <w:right w:w="10" w:type="dxa"/>
            </w:tcMar>
          </w:tcPr>
          <w:p w14:paraId="6A6A1810" w14:textId="77777777" w:rsidR="00401786" w:rsidRPr="007215CF" w:rsidRDefault="00401786" w:rsidP="000E757E">
            <w:pPr>
              <w:snapToGrid w:val="0"/>
              <w:spacing w:line="240" w:lineRule="atLeast"/>
              <w:ind w:firstLine="71"/>
              <w:jc w:val="both"/>
              <w:rPr>
                <w:rFonts w:ascii="標楷體" w:eastAsia="標楷體" w:hAnsi="標楷體"/>
                <w:szCs w:val="24"/>
              </w:rPr>
            </w:pPr>
          </w:p>
        </w:tc>
        <w:tc>
          <w:tcPr>
            <w:tcW w:w="1314"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32A0D3C" w14:textId="77777777" w:rsidR="00401786" w:rsidRPr="007215CF" w:rsidRDefault="00C64FB3" w:rsidP="000E757E">
            <w:pPr>
              <w:snapToGrid w:val="0"/>
              <w:spacing w:line="240" w:lineRule="atLeast"/>
              <w:ind w:firstLine="71"/>
              <w:jc w:val="both"/>
              <w:rPr>
                <w:rFonts w:ascii="標楷體" w:eastAsia="標楷體" w:hAnsi="標楷體"/>
                <w:szCs w:val="24"/>
              </w:rPr>
            </w:pPr>
            <w:r w:rsidRPr="007215CF">
              <w:rPr>
                <w:rFonts w:ascii="標楷體" w:eastAsia="標楷體" w:hAnsi="標楷體"/>
                <w:szCs w:val="24"/>
              </w:rPr>
              <w:t>醫院代號</w:t>
            </w:r>
          </w:p>
        </w:tc>
        <w:tc>
          <w:tcPr>
            <w:tcW w:w="169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4A6E17"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26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6E6A82" w14:textId="77777777" w:rsidR="00401786" w:rsidRPr="007215CF" w:rsidRDefault="00C64FB3" w:rsidP="000E757E">
            <w:pPr>
              <w:snapToGrid w:val="0"/>
              <w:spacing w:line="240" w:lineRule="atLeast"/>
              <w:jc w:val="both"/>
              <w:rPr>
                <w:rFonts w:ascii="標楷體" w:eastAsia="標楷體" w:hAnsi="標楷體"/>
                <w:szCs w:val="24"/>
              </w:rPr>
            </w:pPr>
            <w:r w:rsidRPr="007215CF">
              <w:rPr>
                <w:rFonts w:ascii="標楷體" w:eastAsia="標楷體" w:hAnsi="標楷體"/>
                <w:szCs w:val="24"/>
              </w:rPr>
              <w:t>醫院名稱</w:t>
            </w:r>
          </w:p>
        </w:tc>
        <w:tc>
          <w:tcPr>
            <w:tcW w:w="155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7F8DB43"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12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00719C" w14:textId="77777777" w:rsidR="00401786" w:rsidRPr="007215CF" w:rsidRDefault="00C64FB3" w:rsidP="000E757E">
            <w:pPr>
              <w:snapToGrid w:val="0"/>
              <w:spacing w:line="240" w:lineRule="atLeast"/>
              <w:jc w:val="both"/>
              <w:rPr>
                <w:rFonts w:ascii="標楷體" w:eastAsia="標楷體" w:hAnsi="標楷體"/>
                <w:szCs w:val="24"/>
              </w:rPr>
            </w:pPr>
            <w:r w:rsidRPr="007215CF">
              <w:rPr>
                <w:rFonts w:ascii="標楷體" w:eastAsia="標楷體" w:hAnsi="標楷體"/>
                <w:szCs w:val="24"/>
              </w:rPr>
              <w:t>申請日期</w:t>
            </w:r>
          </w:p>
        </w:tc>
        <w:tc>
          <w:tcPr>
            <w:tcW w:w="2539"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913201A"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43" w:type="dxa"/>
            <w:shd w:val="clear" w:color="auto" w:fill="auto"/>
            <w:tcMar>
              <w:top w:w="0" w:type="dxa"/>
              <w:left w:w="10" w:type="dxa"/>
              <w:bottom w:w="0" w:type="dxa"/>
              <w:right w:w="10" w:type="dxa"/>
            </w:tcMar>
          </w:tcPr>
          <w:p w14:paraId="3DC3424A" w14:textId="77777777" w:rsidR="00401786" w:rsidRPr="007215CF" w:rsidRDefault="00401786" w:rsidP="000E757E">
            <w:pPr>
              <w:snapToGrid w:val="0"/>
              <w:spacing w:line="240" w:lineRule="atLeast"/>
              <w:ind w:hanging="567"/>
              <w:jc w:val="both"/>
              <w:rPr>
                <w:rFonts w:ascii="標楷體" w:eastAsia="標楷體" w:hAnsi="標楷體"/>
                <w:szCs w:val="24"/>
              </w:rPr>
            </w:pPr>
          </w:p>
        </w:tc>
      </w:tr>
      <w:tr w:rsidR="00401786" w:rsidRPr="007215CF" w14:paraId="54976D6E" w14:textId="77777777">
        <w:trPr>
          <w:cantSplit/>
          <w:trHeight w:val="332"/>
          <w:jc w:val="center"/>
        </w:trPr>
        <w:tc>
          <w:tcPr>
            <w:tcW w:w="44" w:type="dxa"/>
            <w:shd w:val="clear" w:color="auto" w:fill="auto"/>
            <w:tcMar>
              <w:top w:w="0" w:type="dxa"/>
              <w:left w:w="10" w:type="dxa"/>
              <w:bottom w:w="0" w:type="dxa"/>
              <w:right w:w="10" w:type="dxa"/>
            </w:tcMar>
          </w:tcPr>
          <w:p w14:paraId="63516AB0" w14:textId="77777777" w:rsidR="00401786" w:rsidRPr="007215CF" w:rsidRDefault="00401786" w:rsidP="000E757E">
            <w:pPr>
              <w:spacing w:line="240" w:lineRule="atLeast"/>
              <w:ind w:firstLine="70"/>
              <w:jc w:val="both"/>
              <w:rPr>
                <w:rFonts w:ascii="標楷體" w:eastAsia="標楷體" w:hAnsi="標楷體"/>
                <w:szCs w:val="24"/>
              </w:rPr>
            </w:pPr>
          </w:p>
        </w:tc>
        <w:tc>
          <w:tcPr>
            <w:tcW w:w="1314"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576CFB5" w14:textId="77777777" w:rsidR="00401786" w:rsidRPr="007215CF" w:rsidRDefault="00C64FB3" w:rsidP="000E757E">
            <w:pPr>
              <w:spacing w:line="240" w:lineRule="atLeast"/>
              <w:ind w:firstLine="70"/>
              <w:jc w:val="both"/>
              <w:rPr>
                <w:rFonts w:ascii="標楷體" w:eastAsia="標楷體" w:hAnsi="標楷體"/>
                <w:szCs w:val="24"/>
              </w:rPr>
            </w:pPr>
            <w:r w:rsidRPr="007215CF">
              <w:rPr>
                <w:rFonts w:ascii="標楷體" w:eastAsia="標楷體" w:hAnsi="標楷體"/>
                <w:szCs w:val="24"/>
              </w:rPr>
              <w:t>病人姓名</w:t>
            </w:r>
          </w:p>
        </w:tc>
        <w:tc>
          <w:tcPr>
            <w:tcW w:w="169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0B3090" w14:textId="77777777" w:rsidR="00401786" w:rsidRPr="007215CF" w:rsidRDefault="00401786" w:rsidP="000E757E">
            <w:pPr>
              <w:spacing w:line="240" w:lineRule="atLeast"/>
              <w:ind w:hanging="567"/>
              <w:jc w:val="both"/>
              <w:rPr>
                <w:rFonts w:ascii="標楷體" w:eastAsia="標楷體" w:hAnsi="標楷體"/>
                <w:szCs w:val="24"/>
              </w:rPr>
            </w:pPr>
          </w:p>
        </w:tc>
        <w:tc>
          <w:tcPr>
            <w:tcW w:w="12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52EE0A"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性別</w:t>
            </w:r>
          </w:p>
        </w:tc>
        <w:tc>
          <w:tcPr>
            <w:tcW w:w="1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82B47F" w14:textId="77777777" w:rsidR="00401786" w:rsidRPr="007215CF" w:rsidRDefault="00401786" w:rsidP="000E757E">
            <w:pPr>
              <w:spacing w:line="240" w:lineRule="atLeast"/>
              <w:ind w:hanging="567"/>
              <w:jc w:val="both"/>
              <w:rPr>
                <w:rFonts w:ascii="標楷體" w:eastAsia="標楷體" w:hAnsi="標楷體"/>
                <w:szCs w:val="24"/>
              </w:rPr>
            </w:pPr>
          </w:p>
        </w:tc>
        <w:tc>
          <w:tcPr>
            <w:tcW w:w="112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3535531" w14:textId="77777777" w:rsidR="00401786" w:rsidRPr="007215CF" w:rsidRDefault="00C64FB3" w:rsidP="000E757E">
            <w:pPr>
              <w:spacing w:line="240" w:lineRule="atLeast"/>
              <w:ind w:firstLine="34"/>
              <w:jc w:val="both"/>
              <w:rPr>
                <w:rFonts w:ascii="標楷體" w:eastAsia="標楷體" w:hAnsi="標楷體"/>
                <w:szCs w:val="24"/>
              </w:rPr>
            </w:pPr>
            <w:r w:rsidRPr="007215CF">
              <w:rPr>
                <w:rFonts w:ascii="標楷體" w:eastAsia="標楷體" w:hAnsi="標楷體"/>
                <w:szCs w:val="24"/>
              </w:rPr>
              <w:t>出生日期</w:t>
            </w:r>
          </w:p>
        </w:tc>
        <w:tc>
          <w:tcPr>
            <w:tcW w:w="253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EF7DF64" w14:textId="77777777" w:rsidR="00401786" w:rsidRPr="007215CF" w:rsidRDefault="00401786" w:rsidP="000E757E">
            <w:pPr>
              <w:spacing w:line="240" w:lineRule="atLeast"/>
              <w:ind w:hanging="567"/>
              <w:jc w:val="both"/>
              <w:rPr>
                <w:rFonts w:ascii="標楷體" w:eastAsia="標楷體" w:hAnsi="標楷體"/>
                <w:szCs w:val="24"/>
              </w:rPr>
            </w:pPr>
          </w:p>
        </w:tc>
        <w:tc>
          <w:tcPr>
            <w:tcW w:w="43" w:type="dxa"/>
            <w:shd w:val="clear" w:color="auto" w:fill="auto"/>
            <w:tcMar>
              <w:top w:w="0" w:type="dxa"/>
              <w:left w:w="10" w:type="dxa"/>
              <w:bottom w:w="0" w:type="dxa"/>
              <w:right w:w="10" w:type="dxa"/>
            </w:tcMar>
          </w:tcPr>
          <w:p w14:paraId="7641C7B5"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602B61FE" w14:textId="77777777">
        <w:trPr>
          <w:cantSplit/>
          <w:trHeight w:val="356"/>
          <w:jc w:val="center"/>
        </w:trPr>
        <w:tc>
          <w:tcPr>
            <w:tcW w:w="44" w:type="dxa"/>
            <w:shd w:val="clear" w:color="auto" w:fill="auto"/>
            <w:tcMar>
              <w:top w:w="0" w:type="dxa"/>
              <w:left w:w="10" w:type="dxa"/>
              <w:bottom w:w="0" w:type="dxa"/>
              <w:right w:w="10" w:type="dxa"/>
            </w:tcMar>
          </w:tcPr>
          <w:p w14:paraId="504DE668" w14:textId="77777777" w:rsidR="00401786" w:rsidRPr="007215CF" w:rsidRDefault="00401786" w:rsidP="000E757E">
            <w:pPr>
              <w:spacing w:line="240" w:lineRule="atLeast"/>
              <w:ind w:firstLine="71"/>
              <w:jc w:val="both"/>
              <w:rPr>
                <w:rFonts w:ascii="標楷體" w:eastAsia="標楷體" w:hAnsi="標楷體"/>
                <w:szCs w:val="24"/>
              </w:rPr>
            </w:pPr>
          </w:p>
        </w:tc>
        <w:tc>
          <w:tcPr>
            <w:tcW w:w="1314"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78D0EA1" w14:textId="77777777" w:rsidR="00401786" w:rsidRPr="007215CF" w:rsidRDefault="00C64FB3" w:rsidP="000E757E">
            <w:pPr>
              <w:spacing w:line="240" w:lineRule="atLeast"/>
              <w:ind w:firstLine="71"/>
              <w:jc w:val="both"/>
              <w:rPr>
                <w:rFonts w:ascii="標楷體" w:eastAsia="標楷體" w:hAnsi="標楷體"/>
                <w:szCs w:val="24"/>
              </w:rPr>
            </w:pPr>
            <w:r w:rsidRPr="007215CF">
              <w:rPr>
                <w:rFonts w:ascii="標楷體" w:eastAsia="標楷體" w:hAnsi="標楷體"/>
                <w:szCs w:val="24"/>
              </w:rPr>
              <w:t>身分證號</w:t>
            </w:r>
          </w:p>
        </w:tc>
        <w:tc>
          <w:tcPr>
            <w:tcW w:w="169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771113" w14:textId="77777777" w:rsidR="00401786" w:rsidRPr="007215CF" w:rsidRDefault="00401786" w:rsidP="000E757E">
            <w:pPr>
              <w:spacing w:line="240" w:lineRule="atLeast"/>
              <w:ind w:hanging="567"/>
              <w:jc w:val="both"/>
              <w:rPr>
                <w:rFonts w:ascii="標楷體" w:eastAsia="標楷體" w:hAnsi="標楷體"/>
                <w:szCs w:val="24"/>
              </w:rPr>
            </w:pPr>
          </w:p>
        </w:tc>
        <w:tc>
          <w:tcPr>
            <w:tcW w:w="12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D6F6E5"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病歷號碼</w:t>
            </w:r>
          </w:p>
        </w:tc>
        <w:tc>
          <w:tcPr>
            <w:tcW w:w="1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CA85BC" w14:textId="77777777" w:rsidR="00401786" w:rsidRPr="007215CF" w:rsidRDefault="00401786" w:rsidP="000E757E">
            <w:pPr>
              <w:spacing w:line="240" w:lineRule="atLeast"/>
              <w:ind w:hanging="567"/>
              <w:jc w:val="both"/>
              <w:rPr>
                <w:rFonts w:ascii="標楷體" w:eastAsia="標楷體" w:hAnsi="標楷體"/>
                <w:szCs w:val="24"/>
              </w:rPr>
            </w:pPr>
          </w:p>
        </w:tc>
        <w:tc>
          <w:tcPr>
            <w:tcW w:w="1127"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0794F45" w14:textId="77777777" w:rsidR="00401786" w:rsidRPr="007215CF" w:rsidRDefault="00C64FB3" w:rsidP="000E757E">
            <w:pPr>
              <w:spacing w:line="240" w:lineRule="atLeast"/>
              <w:ind w:firstLine="34"/>
              <w:jc w:val="both"/>
              <w:rPr>
                <w:rFonts w:ascii="標楷體" w:eastAsia="標楷體" w:hAnsi="標楷體"/>
                <w:szCs w:val="24"/>
              </w:rPr>
            </w:pPr>
            <w:r w:rsidRPr="007215CF">
              <w:rPr>
                <w:rFonts w:ascii="標楷體" w:eastAsia="標楷體" w:hAnsi="標楷體"/>
                <w:szCs w:val="24"/>
              </w:rPr>
              <w:t>使用期間</w:t>
            </w:r>
          </w:p>
        </w:tc>
        <w:tc>
          <w:tcPr>
            <w:tcW w:w="253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8E2D8F7"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 xml:space="preserve">自　　自   年　 月　 日　　</w:t>
            </w:r>
          </w:p>
        </w:tc>
        <w:tc>
          <w:tcPr>
            <w:tcW w:w="43" w:type="dxa"/>
            <w:tcBorders>
              <w:left w:val="double" w:sz="6" w:space="0" w:color="000000"/>
            </w:tcBorders>
            <w:shd w:val="clear" w:color="auto" w:fill="auto"/>
            <w:tcMar>
              <w:top w:w="0" w:type="dxa"/>
              <w:left w:w="10" w:type="dxa"/>
              <w:bottom w:w="0" w:type="dxa"/>
              <w:right w:w="10" w:type="dxa"/>
            </w:tcMar>
          </w:tcPr>
          <w:p w14:paraId="61AA5FD5"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055F9EA0" w14:textId="77777777">
        <w:trPr>
          <w:cantSplit/>
          <w:trHeight w:val="337"/>
          <w:jc w:val="center"/>
        </w:trPr>
        <w:tc>
          <w:tcPr>
            <w:tcW w:w="44" w:type="dxa"/>
            <w:shd w:val="clear" w:color="auto" w:fill="auto"/>
            <w:tcMar>
              <w:top w:w="0" w:type="dxa"/>
              <w:left w:w="10" w:type="dxa"/>
              <w:bottom w:w="0" w:type="dxa"/>
              <w:right w:w="10" w:type="dxa"/>
            </w:tcMar>
          </w:tcPr>
          <w:p w14:paraId="7B5B3186" w14:textId="77777777" w:rsidR="00401786" w:rsidRPr="007215CF" w:rsidRDefault="00401786" w:rsidP="000E757E">
            <w:pPr>
              <w:spacing w:line="240" w:lineRule="atLeast"/>
              <w:ind w:firstLine="71"/>
              <w:jc w:val="both"/>
              <w:rPr>
                <w:rFonts w:ascii="標楷體" w:eastAsia="標楷體" w:hAnsi="標楷體"/>
                <w:szCs w:val="24"/>
              </w:rPr>
            </w:pPr>
          </w:p>
        </w:tc>
        <w:tc>
          <w:tcPr>
            <w:tcW w:w="1314" w:type="dxa"/>
            <w:gridSpan w:val="2"/>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487E33A" w14:textId="77777777" w:rsidR="00401786" w:rsidRPr="007215CF" w:rsidRDefault="00C64FB3" w:rsidP="000E757E">
            <w:pPr>
              <w:spacing w:line="240" w:lineRule="atLeast"/>
              <w:ind w:firstLine="71"/>
              <w:jc w:val="both"/>
              <w:rPr>
                <w:rFonts w:ascii="標楷體" w:eastAsia="標楷體" w:hAnsi="標楷體"/>
                <w:szCs w:val="24"/>
              </w:rPr>
            </w:pPr>
            <w:r w:rsidRPr="007215CF">
              <w:rPr>
                <w:rFonts w:ascii="標楷體" w:eastAsia="標楷體" w:hAnsi="標楷體"/>
                <w:szCs w:val="24"/>
              </w:rPr>
              <w:t>藥品代碼</w:t>
            </w:r>
          </w:p>
        </w:tc>
        <w:tc>
          <w:tcPr>
            <w:tcW w:w="169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C252A86" w14:textId="77777777" w:rsidR="00401786" w:rsidRPr="007215CF" w:rsidRDefault="00401786" w:rsidP="000E757E">
            <w:pPr>
              <w:spacing w:line="240" w:lineRule="atLeast"/>
              <w:ind w:hanging="567"/>
              <w:jc w:val="both"/>
              <w:rPr>
                <w:rFonts w:ascii="標楷體" w:eastAsia="標楷體" w:hAnsi="標楷體"/>
                <w:szCs w:val="24"/>
              </w:rPr>
            </w:pPr>
          </w:p>
        </w:tc>
        <w:tc>
          <w:tcPr>
            <w:tcW w:w="126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8DD134C" w14:textId="77777777" w:rsidR="00401786" w:rsidRPr="007215CF" w:rsidRDefault="00C64FB3" w:rsidP="000E757E">
            <w:pPr>
              <w:spacing w:line="240" w:lineRule="atLeast"/>
              <w:ind w:firstLine="25"/>
              <w:jc w:val="both"/>
              <w:rPr>
                <w:rFonts w:ascii="標楷體" w:eastAsia="標楷體" w:hAnsi="標楷體"/>
                <w:szCs w:val="24"/>
              </w:rPr>
            </w:pPr>
            <w:r w:rsidRPr="007215CF">
              <w:rPr>
                <w:rFonts w:ascii="標楷體" w:eastAsia="標楷體" w:hAnsi="標楷體"/>
                <w:szCs w:val="24"/>
              </w:rPr>
              <w:t>用法用量</w:t>
            </w:r>
          </w:p>
        </w:tc>
        <w:tc>
          <w:tcPr>
            <w:tcW w:w="155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43A226D" w14:textId="77777777" w:rsidR="00401786" w:rsidRPr="007215CF" w:rsidRDefault="00401786" w:rsidP="000E757E">
            <w:pPr>
              <w:spacing w:line="240" w:lineRule="atLeast"/>
              <w:ind w:hanging="567"/>
              <w:jc w:val="both"/>
              <w:rPr>
                <w:rFonts w:ascii="標楷體" w:eastAsia="標楷體" w:hAnsi="標楷體"/>
                <w:szCs w:val="24"/>
              </w:rPr>
            </w:pPr>
          </w:p>
        </w:tc>
        <w:tc>
          <w:tcPr>
            <w:tcW w:w="1127"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54784F1" w14:textId="77777777" w:rsidR="00401786" w:rsidRPr="007215CF" w:rsidRDefault="00401786" w:rsidP="000E757E">
            <w:pPr>
              <w:widowControl/>
              <w:spacing w:line="240" w:lineRule="atLeast"/>
              <w:ind w:hanging="567"/>
              <w:jc w:val="both"/>
              <w:rPr>
                <w:rFonts w:ascii="標楷體" w:eastAsia="標楷體" w:hAnsi="標楷體"/>
                <w:szCs w:val="24"/>
              </w:rPr>
            </w:pPr>
          </w:p>
        </w:tc>
        <w:tc>
          <w:tcPr>
            <w:tcW w:w="2539" w:type="dxa"/>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tcPr>
          <w:p w14:paraId="13C3E71F"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年　　至   年   月　 日</w:t>
            </w:r>
          </w:p>
        </w:tc>
        <w:tc>
          <w:tcPr>
            <w:tcW w:w="43" w:type="dxa"/>
            <w:tcBorders>
              <w:left w:val="double" w:sz="6" w:space="0" w:color="000000"/>
            </w:tcBorders>
            <w:shd w:val="clear" w:color="auto" w:fill="auto"/>
            <w:tcMar>
              <w:top w:w="0" w:type="dxa"/>
              <w:left w:w="10" w:type="dxa"/>
              <w:bottom w:w="0" w:type="dxa"/>
              <w:right w:w="10" w:type="dxa"/>
            </w:tcMar>
          </w:tcPr>
          <w:p w14:paraId="5D86545F"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1E71A5B6" w14:textId="77777777">
        <w:trPr>
          <w:jc w:val="center"/>
        </w:trPr>
        <w:tc>
          <w:tcPr>
            <w:tcW w:w="61" w:type="dxa"/>
            <w:gridSpan w:val="2"/>
            <w:shd w:val="clear" w:color="auto" w:fill="auto"/>
            <w:tcMar>
              <w:top w:w="0" w:type="dxa"/>
              <w:left w:w="10" w:type="dxa"/>
              <w:bottom w:w="0" w:type="dxa"/>
              <w:right w:w="10" w:type="dxa"/>
            </w:tcMar>
          </w:tcPr>
          <w:p w14:paraId="405518FF" w14:textId="77777777" w:rsidR="00401786" w:rsidRPr="007215CF" w:rsidRDefault="00401786" w:rsidP="000E757E">
            <w:pPr>
              <w:spacing w:line="240" w:lineRule="atLeast"/>
              <w:ind w:left="372" w:hanging="372"/>
              <w:jc w:val="both"/>
              <w:rPr>
                <w:rFonts w:ascii="標楷體" w:eastAsia="標楷體" w:hAnsi="標楷體"/>
                <w:szCs w:val="24"/>
              </w:rPr>
            </w:pPr>
          </w:p>
        </w:tc>
        <w:tc>
          <w:tcPr>
            <w:tcW w:w="9515" w:type="dxa"/>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BACC34F" w14:textId="77777777" w:rsidR="00401786" w:rsidRPr="007215CF" w:rsidRDefault="00C64FB3" w:rsidP="000E757E">
            <w:pPr>
              <w:spacing w:line="240" w:lineRule="atLeast"/>
              <w:ind w:left="372" w:hanging="372"/>
              <w:jc w:val="both"/>
              <w:rPr>
                <w:szCs w:val="24"/>
              </w:rPr>
            </w:pPr>
            <w:r w:rsidRPr="007215CF">
              <w:rPr>
                <w:rFonts w:ascii="標楷體" w:eastAsia="標楷體" w:hAnsi="標楷體"/>
                <w:szCs w:val="24"/>
              </w:rPr>
              <w:t>□ 符合照光治療及其他</w:t>
            </w:r>
            <w:r w:rsidRPr="007215CF">
              <w:rPr>
                <w:rFonts w:ascii="標楷體" w:eastAsia="標楷體" w:hAnsi="標楷體"/>
                <w:szCs w:val="24"/>
                <w:u w:val="single"/>
              </w:rPr>
              <w:t>全身</w:t>
            </w:r>
            <w:r w:rsidRPr="007215CF">
              <w:rPr>
                <w:rFonts w:ascii="標楷體" w:eastAsia="標楷體" w:hAnsi="標楷體"/>
                <w:szCs w:val="24"/>
              </w:rPr>
              <w:t>性治療無效，或因醫療因素而無法接受其他系統性治療之全身慢性中、重度之</w:t>
            </w:r>
            <w:proofErr w:type="gramStart"/>
            <w:r w:rsidRPr="007215CF">
              <w:rPr>
                <w:rFonts w:ascii="標楷體" w:eastAsia="標楷體" w:hAnsi="標楷體"/>
                <w:szCs w:val="24"/>
              </w:rPr>
              <w:t>乾癬或頑固</w:t>
            </w:r>
            <w:proofErr w:type="gramEnd"/>
            <w:r w:rsidRPr="007215CF">
              <w:rPr>
                <w:rFonts w:ascii="標楷體" w:eastAsia="標楷體" w:hAnsi="標楷體"/>
                <w:szCs w:val="24"/>
              </w:rPr>
              <w:t>之掌</w:t>
            </w:r>
            <w:proofErr w:type="gramStart"/>
            <w:r w:rsidRPr="007215CF">
              <w:rPr>
                <w:rFonts w:ascii="標楷體" w:eastAsia="標楷體" w:hAnsi="標楷體"/>
                <w:szCs w:val="24"/>
              </w:rPr>
              <w:t>蹠性乾</w:t>
            </w:r>
            <w:proofErr w:type="gramEnd"/>
            <w:r w:rsidRPr="007215CF">
              <w:rPr>
                <w:rFonts w:ascii="標楷體" w:eastAsia="標楷體" w:hAnsi="標楷體"/>
                <w:szCs w:val="24"/>
              </w:rPr>
              <w:t>癬，且影響功能：（定義請參照給付規定）</w:t>
            </w:r>
          </w:p>
          <w:p w14:paraId="4DCD6AEA" w14:textId="77777777" w:rsidR="00401786" w:rsidRPr="007215CF" w:rsidRDefault="00C64FB3" w:rsidP="002144EC">
            <w:pPr>
              <w:numPr>
                <w:ilvl w:val="1"/>
                <w:numId w:val="93"/>
              </w:numPr>
              <w:spacing w:line="240" w:lineRule="atLeast"/>
              <w:ind w:left="601" w:hanging="317"/>
              <w:jc w:val="both"/>
              <w:rPr>
                <w:szCs w:val="24"/>
              </w:rPr>
            </w:pPr>
            <w:r w:rsidRPr="007215CF">
              <w:rPr>
                <w:rFonts w:ascii="標楷體" w:eastAsia="標楷體" w:hAnsi="標楷體"/>
                <w:szCs w:val="24"/>
              </w:rPr>
              <w:t xml:space="preserve"> □ 符合照光治療無效（檢附詳細3個月照光劑量記錄）。</w:t>
            </w:r>
          </w:p>
          <w:p w14:paraId="5C8B7C35" w14:textId="77777777" w:rsidR="00401786" w:rsidRPr="007215CF" w:rsidRDefault="00C64FB3" w:rsidP="002144EC">
            <w:pPr>
              <w:numPr>
                <w:ilvl w:val="1"/>
                <w:numId w:val="93"/>
              </w:numPr>
              <w:spacing w:line="240" w:lineRule="atLeast"/>
              <w:ind w:left="544" w:hanging="260"/>
              <w:jc w:val="both"/>
              <w:rPr>
                <w:szCs w:val="24"/>
              </w:rPr>
            </w:pPr>
            <w:r w:rsidRPr="007215CF">
              <w:rPr>
                <w:rFonts w:ascii="標楷體" w:eastAsia="標楷體" w:hAnsi="標楷體"/>
                <w:szCs w:val="24"/>
              </w:rPr>
              <w:t xml:space="preserve">  □ 符合其他</w:t>
            </w:r>
            <w:r w:rsidRPr="007215CF">
              <w:rPr>
                <w:rFonts w:ascii="標楷體" w:eastAsia="標楷體" w:hAnsi="標楷體"/>
                <w:szCs w:val="24"/>
                <w:u w:val="single"/>
              </w:rPr>
              <w:t>全身</w:t>
            </w:r>
            <w:r w:rsidRPr="007215CF">
              <w:rPr>
                <w:rFonts w:ascii="標楷體" w:eastAsia="標楷體" w:hAnsi="標楷體"/>
                <w:szCs w:val="24"/>
              </w:rPr>
              <w:t>性治療無效（目前未達PASI或BSA申請標準者，需同時附治療前後資料）。</w:t>
            </w:r>
          </w:p>
          <w:p w14:paraId="6E28D7FD" w14:textId="77777777" w:rsidR="00401786" w:rsidRPr="007215CF" w:rsidRDefault="00C64FB3" w:rsidP="000E757E">
            <w:pPr>
              <w:spacing w:line="240" w:lineRule="atLeast"/>
              <w:ind w:left="2" w:firstLine="31"/>
              <w:jc w:val="center"/>
              <w:rPr>
                <w:rFonts w:ascii="標楷體" w:eastAsia="標楷體" w:hAnsi="標楷體"/>
                <w:szCs w:val="24"/>
              </w:rPr>
            </w:pPr>
            <w:r w:rsidRPr="007215CF">
              <w:rPr>
                <w:rFonts w:ascii="標楷體" w:eastAsia="標楷體" w:hAnsi="標楷體"/>
                <w:szCs w:val="24"/>
              </w:rPr>
              <w:t>至少2種其他系統性用藥之使用時間、劑量及停用理由</w:t>
            </w:r>
          </w:p>
          <w:tbl>
            <w:tblPr>
              <w:tblW w:w="8562" w:type="dxa"/>
              <w:tblInd w:w="256" w:type="dxa"/>
              <w:tblLayout w:type="fixed"/>
              <w:tblCellMar>
                <w:left w:w="10" w:type="dxa"/>
                <w:right w:w="10" w:type="dxa"/>
              </w:tblCellMar>
              <w:tblLook w:val="0000" w:firstRow="0" w:lastRow="0" w:firstColumn="0" w:lastColumn="0" w:noHBand="0" w:noVBand="0"/>
            </w:tblPr>
            <w:tblGrid>
              <w:gridCol w:w="2126"/>
              <w:gridCol w:w="1417"/>
              <w:gridCol w:w="2127"/>
              <w:gridCol w:w="2892"/>
            </w:tblGrid>
            <w:tr w:rsidR="00401786" w:rsidRPr="007215CF" w14:paraId="0CD47996"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F303D7" w14:textId="77777777" w:rsidR="00401786" w:rsidRPr="007215CF" w:rsidRDefault="00401786" w:rsidP="000E757E">
                  <w:pPr>
                    <w:spacing w:line="240" w:lineRule="atLeast"/>
                    <w:ind w:hanging="567"/>
                    <w:jc w:val="both"/>
                    <w:rPr>
                      <w:rFonts w:ascii="標楷體" w:eastAsia="標楷體" w:hAnsi="標楷體"/>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E71D8F"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使用劑量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5B13E" w14:textId="77777777" w:rsidR="00401786" w:rsidRPr="007215CF" w:rsidRDefault="00C64FB3" w:rsidP="000E757E">
                  <w:pPr>
                    <w:spacing w:line="240" w:lineRule="atLeast"/>
                    <w:ind w:hanging="567"/>
                    <w:jc w:val="center"/>
                    <w:rPr>
                      <w:rFonts w:ascii="標楷體" w:eastAsia="標楷體" w:hAnsi="標楷體"/>
                      <w:szCs w:val="24"/>
                    </w:rPr>
                  </w:pPr>
                  <w:r w:rsidRPr="007215CF">
                    <w:rPr>
                      <w:rFonts w:ascii="標楷體" w:eastAsia="標楷體" w:hAnsi="標楷體"/>
                      <w:szCs w:val="24"/>
                    </w:rPr>
                    <w:t>使用時間</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D7D80"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停用理由</w:t>
                  </w:r>
                </w:p>
              </w:tc>
            </w:tr>
            <w:tr w:rsidR="00401786" w:rsidRPr="007215CF" w14:paraId="21C93AAE"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91A0D"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Acitretin</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94527"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5EE09A"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 xml:space="preserve">__年__月__日至 </w:t>
                  </w:r>
                </w:p>
                <w:p w14:paraId="6ADB6250"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578654"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2F71EC80"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CE9EC"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Methotrexate</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06CBDE"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___mg/week</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C7C1EA"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6E6705AC"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518542"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408FAF07"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8AB4D5"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Cyclosporine</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48158D"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6F8CFF"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5E811D7A"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54C17E"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297329EE"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3A787B"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Apremilast</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2CF7D3"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2C3E22"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71586814"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9DBD47"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193074DD"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1C60D5" w14:textId="77777777" w:rsidR="00401786" w:rsidRPr="007215CF" w:rsidRDefault="00C64FB3" w:rsidP="000E757E">
                  <w:pPr>
                    <w:spacing w:line="240" w:lineRule="atLeast"/>
                    <w:jc w:val="both"/>
                    <w:rPr>
                      <w:rFonts w:ascii="標楷體" w:eastAsia="標楷體" w:hAnsi="標楷體"/>
                      <w:szCs w:val="24"/>
                    </w:rPr>
                  </w:pPr>
                  <w:proofErr w:type="spellStart"/>
                  <w:r w:rsidRPr="007215CF">
                    <w:rPr>
                      <w:rFonts w:ascii="標楷體" w:eastAsia="標楷體" w:hAnsi="標楷體"/>
                      <w:szCs w:val="24"/>
                    </w:rPr>
                    <w:t>Deucravacitinib</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BBAF42"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3F55B0"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44C70B31"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0530DE" w14:textId="77777777" w:rsidR="00401786" w:rsidRPr="007215CF" w:rsidRDefault="00401786" w:rsidP="000E757E">
                  <w:pPr>
                    <w:spacing w:line="240" w:lineRule="atLeast"/>
                    <w:ind w:hanging="567"/>
                    <w:jc w:val="both"/>
                    <w:rPr>
                      <w:rFonts w:ascii="標楷體" w:eastAsia="標楷體" w:hAnsi="標楷體"/>
                      <w:szCs w:val="24"/>
                    </w:rPr>
                  </w:pPr>
                </w:p>
              </w:tc>
            </w:tr>
          </w:tbl>
          <w:p w14:paraId="73000F4F" w14:textId="77777777" w:rsidR="00401786" w:rsidRPr="007215CF" w:rsidRDefault="00C64FB3" w:rsidP="000E757E">
            <w:pPr>
              <w:spacing w:line="240" w:lineRule="atLeast"/>
              <w:ind w:left="1025" w:hanging="567"/>
              <w:jc w:val="both"/>
              <w:rPr>
                <w:szCs w:val="24"/>
              </w:rPr>
            </w:pPr>
            <w:r w:rsidRPr="007215CF">
              <w:rPr>
                <w:rFonts w:ascii="標楷體" w:eastAsia="標楷體" w:hAnsi="標楷體"/>
                <w:szCs w:val="24"/>
              </w:rPr>
              <w:t>患者體重: _____ kg</w:t>
            </w:r>
          </w:p>
          <w:p w14:paraId="64583F69" w14:textId="77777777" w:rsidR="00401786" w:rsidRPr="007215CF" w:rsidRDefault="00C64FB3" w:rsidP="000E757E">
            <w:pPr>
              <w:spacing w:line="240" w:lineRule="atLeast"/>
              <w:ind w:left="1167" w:hanging="850"/>
              <w:jc w:val="both"/>
              <w:rPr>
                <w:rFonts w:ascii="標楷體" w:eastAsia="標楷體" w:hAnsi="標楷體"/>
                <w:szCs w:val="24"/>
              </w:rPr>
            </w:pPr>
            <w:r w:rsidRPr="007215CF">
              <w:rPr>
                <w:rFonts w:ascii="標楷體" w:eastAsia="標楷體" w:hAnsi="標楷體"/>
                <w:szCs w:val="24"/>
              </w:rPr>
              <w:t>3-1 □ 符合全身慢性中、重度之乾癬（檢附至少6個月病歷影本，治療已滿3個月，未滿6個月，得合併它院就診病歷）。</w:t>
            </w:r>
          </w:p>
          <w:p w14:paraId="288586C6" w14:textId="77777777" w:rsidR="00401786" w:rsidRPr="007215CF" w:rsidRDefault="00C64FB3" w:rsidP="000E757E">
            <w:pPr>
              <w:spacing w:line="240" w:lineRule="atLeast"/>
              <w:ind w:left="1167" w:hanging="850"/>
              <w:jc w:val="both"/>
              <w:rPr>
                <w:rFonts w:ascii="標楷體" w:eastAsia="標楷體" w:hAnsi="標楷體"/>
                <w:szCs w:val="24"/>
              </w:rPr>
            </w:pPr>
            <w:r w:rsidRPr="007215CF">
              <w:rPr>
                <w:rFonts w:ascii="標楷體" w:eastAsia="標楷體" w:hAnsi="標楷體"/>
                <w:szCs w:val="24"/>
              </w:rPr>
              <w:t>3-2 □ 符合頑固之掌</w:t>
            </w:r>
            <w:proofErr w:type="gramStart"/>
            <w:r w:rsidRPr="007215CF">
              <w:rPr>
                <w:rFonts w:ascii="標楷體" w:eastAsia="標楷體" w:hAnsi="標楷體"/>
                <w:szCs w:val="24"/>
              </w:rPr>
              <w:t>蹠性乾癬者</w:t>
            </w:r>
            <w:proofErr w:type="gramEnd"/>
            <w:r w:rsidRPr="007215CF">
              <w:rPr>
                <w:rFonts w:ascii="標楷體" w:eastAsia="標楷體" w:hAnsi="標楷體"/>
                <w:szCs w:val="24"/>
              </w:rPr>
              <w:t>（檢附照片應包括前、後、左、右至少四張，並視需要加附頭部、掌、</w:t>
            </w:r>
            <w:proofErr w:type="gramStart"/>
            <w:r w:rsidRPr="007215CF">
              <w:rPr>
                <w:rFonts w:ascii="標楷體" w:eastAsia="標楷體" w:hAnsi="標楷體"/>
                <w:szCs w:val="24"/>
              </w:rPr>
              <w:t>蹠</w:t>
            </w:r>
            <w:proofErr w:type="gramEnd"/>
            <w:r w:rsidRPr="007215CF">
              <w:rPr>
                <w:rFonts w:ascii="標楷體" w:eastAsia="標楷體" w:hAnsi="標楷體"/>
                <w:szCs w:val="24"/>
              </w:rPr>
              <w:t>照片）。</w:t>
            </w:r>
          </w:p>
          <w:p w14:paraId="2590156D" w14:textId="77777777" w:rsidR="00401786" w:rsidRPr="007215CF" w:rsidRDefault="00C64FB3" w:rsidP="002144EC">
            <w:pPr>
              <w:numPr>
                <w:ilvl w:val="0"/>
                <w:numId w:val="94"/>
              </w:numPr>
              <w:spacing w:line="240" w:lineRule="atLeast"/>
              <w:ind w:left="601" w:hanging="284"/>
              <w:jc w:val="both"/>
              <w:rPr>
                <w:szCs w:val="24"/>
              </w:rPr>
            </w:pPr>
            <w:r w:rsidRPr="007215CF">
              <w:rPr>
                <w:rFonts w:ascii="標楷體" w:eastAsia="標楷體" w:hAnsi="標楷體"/>
                <w:szCs w:val="24"/>
              </w:rPr>
              <w:t>□ 乾癬面積暨嚴重度指數〔Psoriasis Area Severity Index（PASI）〕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 xml:space="preserve">10 </w:t>
            </w:r>
            <w:proofErr w:type="gramStart"/>
            <w:r w:rsidRPr="007215CF">
              <w:rPr>
                <w:rFonts w:ascii="標楷體" w:eastAsia="標楷體" w:hAnsi="標楷體"/>
                <w:szCs w:val="24"/>
              </w:rPr>
              <w:t>（</w:t>
            </w:r>
            <w:proofErr w:type="gramEnd"/>
            <w:r w:rsidRPr="007215CF">
              <w:rPr>
                <w:rFonts w:ascii="標楷體" w:eastAsia="標楷體" w:hAnsi="標楷體"/>
                <w:szCs w:val="24"/>
              </w:rPr>
              <w:t>不適</w:t>
            </w:r>
          </w:p>
          <w:p w14:paraId="2392B29E" w14:textId="77777777" w:rsidR="00401786" w:rsidRPr="007215CF" w:rsidRDefault="00C64FB3" w:rsidP="000E757E">
            <w:pPr>
              <w:spacing w:line="240" w:lineRule="atLeast"/>
              <w:ind w:left="1017" w:hanging="52"/>
              <w:jc w:val="both"/>
              <w:rPr>
                <w:szCs w:val="24"/>
              </w:rPr>
            </w:pPr>
            <w:r w:rsidRPr="007215CF">
              <w:rPr>
                <w:rFonts w:ascii="標楷體" w:eastAsia="標楷體" w:hAnsi="標楷體"/>
                <w:szCs w:val="24"/>
              </w:rPr>
              <w:t xml:space="preserve">用PASI測定如膿疱性乾癬，則以範圍 </w:t>
            </w:r>
            <w:r w:rsidRPr="007215CF">
              <w:rPr>
                <w:rFonts w:ascii="標楷體" w:eastAsia="標楷體" w:hAnsi="標楷體" w:cs="新細明體"/>
                <w:szCs w:val="24"/>
              </w:rPr>
              <w:t>≧</w:t>
            </w:r>
            <w:r w:rsidRPr="007215CF">
              <w:rPr>
                <w:rFonts w:ascii="標楷體" w:eastAsia="標楷體" w:hAnsi="標楷體"/>
                <w:szCs w:val="24"/>
              </w:rPr>
              <w:t>10%體表面積）。</w:t>
            </w:r>
          </w:p>
          <w:p w14:paraId="4DDB1DD5" w14:textId="77777777" w:rsidR="00401786" w:rsidRPr="007215CF" w:rsidRDefault="00C64FB3" w:rsidP="000E757E">
            <w:pPr>
              <w:spacing w:line="240" w:lineRule="atLeast"/>
              <w:ind w:left="905" w:hanging="567"/>
              <w:jc w:val="both"/>
              <w:rPr>
                <w:szCs w:val="24"/>
              </w:rPr>
            </w:pPr>
            <w:r w:rsidRPr="007215CF">
              <w:rPr>
                <w:rFonts w:ascii="標楷體" w:eastAsia="標楷體" w:hAnsi="標楷體"/>
                <w:szCs w:val="24"/>
              </w:rPr>
              <w:t xml:space="preserve">  PASI＝0.1×（</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___）×___＋0.3×（</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6A144453" w14:textId="77777777" w:rsidR="00401786" w:rsidRPr="007215CF" w:rsidRDefault="00C64FB3" w:rsidP="000E757E">
            <w:pPr>
              <w:spacing w:line="240" w:lineRule="atLeast"/>
              <w:ind w:left="1910" w:hanging="12"/>
              <w:jc w:val="both"/>
              <w:rPr>
                <w:rFonts w:ascii="標楷體" w:eastAsia="標楷體" w:hAnsi="標楷體"/>
                <w:szCs w:val="24"/>
              </w:rPr>
            </w:pPr>
            <w:r w:rsidRPr="007215CF">
              <w:rPr>
                <w:rFonts w:ascii="標楷體" w:eastAsia="標楷體" w:hAnsi="標楷體"/>
                <w:szCs w:val="24"/>
              </w:rPr>
              <w:t>0.2×（</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___）×___＋0.4×（</w:t>
            </w:r>
            <w:proofErr w:type="gramStart"/>
            <w:r w:rsidRPr="007215CF">
              <w:rPr>
                <w:rFonts w:ascii="標楷體" w:eastAsia="標楷體" w:hAnsi="標楷體"/>
                <w:szCs w:val="24"/>
              </w:rPr>
              <w:t>___＋___＋</w:t>
            </w:r>
            <w:proofErr w:type="gramEnd"/>
            <w:r w:rsidRPr="007215CF">
              <w:rPr>
                <w:rFonts w:ascii="標楷體" w:eastAsia="標楷體" w:hAnsi="標楷體"/>
                <w:szCs w:val="24"/>
              </w:rPr>
              <w:t xml:space="preserve">___）×___         </w:t>
            </w:r>
          </w:p>
          <w:p w14:paraId="268E1D17" w14:textId="77777777" w:rsidR="00401786" w:rsidRPr="007215CF" w:rsidRDefault="00C64FB3" w:rsidP="000E757E">
            <w:pPr>
              <w:spacing w:line="240" w:lineRule="atLeast"/>
              <w:ind w:left="372" w:hanging="372"/>
              <w:jc w:val="both"/>
              <w:rPr>
                <w:szCs w:val="24"/>
              </w:rPr>
            </w:pPr>
            <w:r w:rsidRPr="007215CF">
              <w:rPr>
                <w:rFonts w:ascii="標楷體" w:eastAsia="標楷體" w:hAnsi="標楷體"/>
                <w:szCs w:val="24"/>
              </w:rPr>
              <w:t>□ 暫緩續用後疾病再復發之重新申請：</w:t>
            </w:r>
          </w:p>
          <w:p w14:paraId="34FEB547" w14:textId="77777777" w:rsidR="00401786" w:rsidRPr="007215CF" w:rsidRDefault="00C64FB3" w:rsidP="000E757E">
            <w:pPr>
              <w:tabs>
                <w:tab w:val="left" w:pos="1386"/>
                <w:tab w:val="left" w:pos="1788"/>
              </w:tabs>
              <w:spacing w:line="240" w:lineRule="atLeast"/>
              <w:ind w:left="905" w:hanging="250"/>
              <w:jc w:val="both"/>
              <w:rPr>
                <w:szCs w:val="24"/>
              </w:rPr>
            </w:pPr>
            <w:r w:rsidRPr="007215CF">
              <w:rPr>
                <w:rFonts w:ascii="標楷體" w:eastAsia="標楷體" w:hAnsi="標楷體"/>
                <w:szCs w:val="24"/>
              </w:rPr>
              <w:t>□ 符合至少有50%復發（需附上次療程治療前、後，及本次照片）。</w:t>
            </w:r>
          </w:p>
          <w:p w14:paraId="2A7D27EE" w14:textId="77777777" w:rsidR="00401786" w:rsidRPr="007215CF" w:rsidRDefault="00C64FB3" w:rsidP="000E757E">
            <w:pPr>
              <w:tabs>
                <w:tab w:val="left" w:pos="1386"/>
                <w:tab w:val="left" w:pos="1788"/>
              </w:tabs>
              <w:spacing w:line="240" w:lineRule="atLeast"/>
              <w:ind w:left="905" w:hanging="250"/>
              <w:jc w:val="both"/>
              <w:rPr>
                <w:szCs w:val="24"/>
              </w:rPr>
            </w:pPr>
            <w:r w:rsidRPr="007215CF">
              <w:rPr>
                <w:rFonts w:ascii="標楷體" w:eastAsia="標楷體" w:hAnsi="標楷體"/>
                <w:szCs w:val="24"/>
              </w:rPr>
              <w:t>□ 符合連續兩次暫緩用藥後復發病史者（停藥後6個月內PASI&gt;10或50%復發）</w:t>
            </w:r>
          </w:p>
        </w:tc>
      </w:tr>
      <w:tr w:rsidR="00401786" w:rsidRPr="007215CF" w14:paraId="287F858D" w14:textId="77777777">
        <w:trPr>
          <w:jc w:val="center"/>
        </w:trPr>
        <w:tc>
          <w:tcPr>
            <w:tcW w:w="61" w:type="dxa"/>
            <w:gridSpan w:val="2"/>
            <w:shd w:val="clear" w:color="auto" w:fill="auto"/>
            <w:tcMar>
              <w:top w:w="0" w:type="dxa"/>
              <w:left w:w="10" w:type="dxa"/>
              <w:bottom w:w="0" w:type="dxa"/>
              <w:right w:w="10" w:type="dxa"/>
            </w:tcMar>
          </w:tcPr>
          <w:p w14:paraId="08EEFF34" w14:textId="77777777" w:rsidR="00401786" w:rsidRPr="007215CF" w:rsidRDefault="00401786" w:rsidP="000E757E">
            <w:pPr>
              <w:spacing w:line="240" w:lineRule="atLeast"/>
              <w:ind w:left="372" w:hanging="372"/>
              <w:jc w:val="both"/>
              <w:rPr>
                <w:rFonts w:ascii="標楷體" w:eastAsia="標楷體" w:hAnsi="標楷體"/>
                <w:szCs w:val="24"/>
              </w:rPr>
            </w:pPr>
          </w:p>
        </w:tc>
        <w:tc>
          <w:tcPr>
            <w:tcW w:w="9515" w:type="dxa"/>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53C11753" w14:textId="77777777" w:rsidR="00401786" w:rsidRPr="007215CF" w:rsidRDefault="00C64FB3" w:rsidP="000E757E">
            <w:pPr>
              <w:spacing w:before="180" w:line="240" w:lineRule="atLeast"/>
              <w:ind w:firstLine="106"/>
              <w:jc w:val="both"/>
              <w:rPr>
                <w:szCs w:val="24"/>
              </w:rPr>
            </w:pPr>
            <w:r w:rsidRPr="007215CF">
              <w:rPr>
                <w:rFonts w:ascii="標楷體" w:eastAsia="標楷體" w:hAnsi="標楷體"/>
                <w:szCs w:val="24"/>
              </w:rPr>
              <w:t>□ 符合繼續使用之療效評估：</w:t>
            </w:r>
          </w:p>
          <w:p w14:paraId="31A8B627" w14:textId="77777777" w:rsidR="00401786" w:rsidRPr="007215CF" w:rsidRDefault="00C64FB3" w:rsidP="000E757E">
            <w:pPr>
              <w:spacing w:line="240" w:lineRule="atLeast"/>
              <w:ind w:left="317" w:hanging="211"/>
              <w:jc w:val="both"/>
              <w:rPr>
                <w:rFonts w:ascii="標楷體" w:eastAsia="標楷體" w:hAnsi="標楷體"/>
                <w:szCs w:val="24"/>
              </w:rPr>
            </w:pPr>
            <w:r w:rsidRPr="007215CF">
              <w:rPr>
                <w:rFonts w:ascii="標楷體" w:eastAsia="標楷體" w:hAnsi="標楷體"/>
                <w:szCs w:val="24"/>
              </w:rPr>
              <w:t>初次療程</w:t>
            </w:r>
          </w:p>
          <w:p w14:paraId="3060B855" w14:textId="77777777" w:rsidR="00401786" w:rsidRPr="007215CF" w:rsidRDefault="00C64FB3" w:rsidP="002144EC">
            <w:pPr>
              <w:numPr>
                <w:ilvl w:val="1"/>
                <w:numId w:val="95"/>
              </w:numPr>
              <w:spacing w:line="240" w:lineRule="atLeast"/>
              <w:ind w:left="601" w:hanging="317"/>
              <w:jc w:val="both"/>
              <w:rPr>
                <w:rFonts w:ascii="標楷體" w:eastAsia="標楷體" w:hAnsi="標楷體"/>
                <w:szCs w:val="24"/>
              </w:rPr>
            </w:pPr>
            <w:r w:rsidRPr="007215CF">
              <w:rPr>
                <w:rFonts w:ascii="標楷體" w:eastAsia="標楷體" w:hAnsi="標楷體"/>
                <w:szCs w:val="24"/>
              </w:rPr>
              <w:t>□ 於初次療程之第12</w:t>
            </w:r>
            <w:proofErr w:type="gramStart"/>
            <w:r w:rsidRPr="007215CF">
              <w:rPr>
                <w:rFonts w:ascii="標楷體" w:eastAsia="標楷體" w:hAnsi="標楷體"/>
                <w:szCs w:val="24"/>
              </w:rPr>
              <w:t>週</w:t>
            </w:r>
            <w:proofErr w:type="gramEnd"/>
            <w:r w:rsidRPr="007215CF">
              <w:rPr>
                <w:rFonts w:ascii="標楷體" w:eastAsia="標楷體" w:hAnsi="標楷體"/>
                <w:szCs w:val="24"/>
              </w:rPr>
              <w:t>（使用</w:t>
            </w:r>
            <w:proofErr w:type="spellStart"/>
            <w:r w:rsidRPr="007215CF">
              <w:rPr>
                <w:rFonts w:ascii="標楷體" w:eastAsia="標楷體" w:hAnsi="標楷體"/>
                <w:szCs w:val="24"/>
              </w:rPr>
              <w:t>ustekinumab</w:t>
            </w:r>
            <w:proofErr w:type="spellEnd"/>
            <w:r w:rsidRPr="007215CF">
              <w:rPr>
                <w:rFonts w:ascii="標楷體" w:eastAsia="標楷體" w:hAnsi="標楷體"/>
                <w:szCs w:val="24"/>
              </w:rPr>
              <w:t>者為第16</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）評估時，至少有PASI 25療效。</w:t>
            </w:r>
            <w:proofErr w:type="spellStart"/>
            <w:r w:rsidRPr="007215CF">
              <w:rPr>
                <w:rFonts w:ascii="標楷體" w:eastAsia="標楷體" w:hAnsi="標楷體"/>
                <w:szCs w:val="24"/>
              </w:rPr>
              <w:t>risankizumab</w:t>
            </w:r>
            <w:proofErr w:type="spellEnd"/>
            <w:r w:rsidRPr="007215CF">
              <w:rPr>
                <w:rFonts w:ascii="標楷體" w:eastAsia="標楷體" w:hAnsi="標楷體"/>
                <w:szCs w:val="24"/>
              </w:rPr>
              <w:t>於16</w:t>
            </w:r>
            <w:proofErr w:type="gramStart"/>
            <w:r w:rsidRPr="007215CF">
              <w:rPr>
                <w:rFonts w:ascii="標楷體" w:eastAsia="標楷體" w:hAnsi="標楷體"/>
                <w:szCs w:val="24"/>
              </w:rPr>
              <w:t>週</w:t>
            </w:r>
            <w:proofErr w:type="gramEnd"/>
            <w:r w:rsidRPr="007215CF">
              <w:rPr>
                <w:rFonts w:ascii="標楷體" w:eastAsia="標楷體" w:hAnsi="標楷體"/>
                <w:szCs w:val="24"/>
              </w:rPr>
              <w:t>時，須先行評估至少有PASI 75療效。</w:t>
            </w:r>
          </w:p>
          <w:p w14:paraId="098C5745" w14:textId="77777777" w:rsidR="00401786" w:rsidRPr="007215CF" w:rsidRDefault="00C64FB3" w:rsidP="002144EC">
            <w:pPr>
              <w:numPr>
                <w:ilvl w:val="1"/>
                <w:numId w:val="95"/>
              </w:numPr>
              <w:spacing w:line="240" w:lineRule="atLeast"/>
              <w:ind w:left="601" w:hanging="317"/>
              <w:jc w:val="both"/>
              <w:rPr>
                <w:rFonts w:ascii="標楷體" w:eastAsia="標楷體" w:hAnsi="標楷體"/>
                <w:szCs w:val="24"/>
              </w:rPr>
            </w:pPr>
            <w:r w:rsidRPr="007215CF">
              <w:rPr>
                <w:rFonts w:ascii="標楷體" w:eastAsia="標楷體" w:hAnsi="標楷體"/>
                <w:szCs w:val="24"/>
              </w:rPr>
              <w:t>□ 於初次療程，經過6個月治療後，PASI或體表面積改善達50%。</w:t>
            </w:r>
          </w:p>
          <w:p w14:paraId="67FCA2FE" w14:textId="77777777" w:rsidR="00401786" w:rsidRPr="007215CF" w:rsidRDefault="00C64FB3" w:rsidP="002144EC">
            <w:pPr>
              <w:numPr>
                <w:ilvl w:val="1"/>
                <w:numId w:val="95"/>
              </w:numPr>
              <w:spacing w:line="240" w:lineRule="atLeast"/>
              <w:ind w:left="601" w:hanging="317"/>
              <w:jc w:val="both"/>
              <w:rPr>
                <w:szCs w:val="24"/>
              </w:rPr>
            </w:pPr>
            <w:r w:rsidRPr="007215CF">
              <w:rPr>
                <w:rFonts w:ascii="標楷體" w:eastAsia="標楷體" w:hAnsi="標楷體"/>
                <w:szCs w:val="24"/>
              </w:rPr>
              <w:t>□ 原先使用cyclosporin控制</w:t>
            </w:r>
            <w:proofErr w:type="gramStart"/>
            <w:r w:rsidRPr="007215CF">
              <w:rPr>
                <w:rFonts w:ascii="標楷體" w:eastAsia="標楷體" w:hAnsi="標楷體"/>
                <w:szCs w:val="24"/>
              </w:rPr>
              <w:t>有效且腎功能</w:t>
            </w:r>
            <w:proofErr w:type="gramEnd"/>
            <w:r w:rsidRPr="007215CF">
              <w:rPr>
                <w:rFonts w:ascii="標楷體" w:eastAsia="標楷體" w:hAnsi="標楷體"/>
                <w:szCs w:val="24"/>
              </w:rPr>
              <w:t>異常（Creatinine基礎值上升</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30%）者，於6個月療程（初次療程）結束後，因回復使用cyclosporin產生腎功能異常，或其他無法有效控制之副作用，經減藥後仍無法有效控制乾癬。（不符合者下</w:t>
            </w:r>
            <w:r w:rsidRPr="007215CF">
              <w:rPr>
                <w:rFonts w:ascii="標楷體" w:eastAsia="標楷體" w:hAnsi="標楷體"/>
                <w:szCs w:val="24"/>
              </w:rPr>
              <w:lastRenderedPageBreak/>
              <w:t>次申請應於1年後）</w:t>
            </w:r>
          </w:p>
          <w:p w14:paraId="6205DB90" w14:textId="77777777" w:rsidR="00401786" w:rsidRPr="007215CF" w:rsidRDefault="00C64FB3" w:rsidP="002144EC">
            <w:pPr>
              <w:numPr>
                <w:ilvl w:val="1"/>
                <w:numId w:val="95"/>
              </w:numPr>
              <w:spacing w:line="240" w:lineRule="atLeast"/>
              <w:ind w:left="601" w:hanging="317"/>
              <w:jc w:val="both"/>
              <w:rPr>
                <w:szCs w:val="24"/>
              </w:rPr>
            </w:pPr>
            <w:r w:rsidRPr="007215CF">
              <w:rPr>
                <w:rFonts w:ascii="標楷體" w:eastAsia="標楷體" w:hAnsi="標楷體"/>
                <w:szCs w:val="24"/>
              </w:rPr>
              <w:t>□ 符合連續兩次暫緩用藥後復發病史者。</w:t>
            </w:r>
          </w:p>
          <w:p w14:paraId="15C515BB" w14:textId="77777777" w:rsidR="00401786" w:rsidRPr="007215CF" w:rsidRDefault="00C64FB3" w:rsidP="000E757E">
            <w:pPr>
              <w:spacing w:line="240" w:lineRule="atLeast"/>
              <w:ind w:left="317" w:hanging="211"/>
              <w:jc w:val="both"/>
              <w:rPr>
                <w:rFonts w:ascii="標楷體" w:eastAsia="標楷體" w:hAnsi="標楷體"/>
                <w:szCs w:val="24"/>
              </w:rPr>
            </w:pPr>
            <w:r w:rsidRPr="007215CF">
              <w:rPr>
                <w:rFonts w:ascii="標楷體" w:eastAsia="標楷體" w:hAnsi="標楷體"/>
                <w:szCs w:val="24"/>
              </w:rPr>
              <w:t>重複療程</w:t>
            </w:r>
          </w:p>
          <w:p w14:paraId="44DF686C" w14:textId="77777777" w:rsidR="00401786" w:rsidRPr="007215CF" w:rsidRDefault="00C64FB3" w:rsidP="002144EC">
            <w:pPr>
              <w:numPr>
                <w:ilvl w:val="1"/>
                <w:numId w:val="95"/>
              </w:numPr>
              <w:spacing w:line="240" w:lineRule="atLeast"/>
              <w:ind w:left="601" w:hanging="317"/>
              <w:jc w:val="both"/>
              <w:rPr>
                <w:rFonts w:ascii="標楷體" w:eastAsia="標楷體" w:hAnsi="標楷體"/>
                <w:szCs w:val="24"/>
              </w:rPr>
            </w:pPr>
            <w:r w:rsidRPr="007215CF">
              <w:rPr>
                <w:rFonts w:ascii="標楷體" w:eastAsia="標楷體" w:hAnsi="標楷體"/>
                <w:szCs w:val="24"/>
              </w:rPr>
              <w:t xml:space="preserve"> □ 再次申請時，符合下列條件之</w:t>
            </w:r>
            <w:proofErr w:type="gramStart"/>
            <w:r w:rsidRPr="007215CF">
              <w:rPr>
                <w:rFonts w:ascii="標楷體" w:eastAsia="標楷體" w:hAnsi="標楷體"/>
                <w:szCs w:val="24"/>
              </w:rPr>
              <w:t>一</w:t>
            </w:r>
            <w:proofErr w:type="gramEnd"/>
            <w:r w:rsidRPr="007215CF">
              <w:rPr>
                <w:rFonts w:ascii="標楷體" w:eastAsia="標楷體" w:hAnsi="標楷體"/>
                <w:szCs w:val="24"/>
              </w:rPr>
              <w:t>：</w:t>
            </w:r>
          </w:p>
          <w:p w14:paraId="49B5C7A2" w14:textId="77777777" w:rsidR="00401786" w:rsidRPr="007215CF" w:rsidRDefault="00C64FB3" w:rsidP="002144EC">
            <w:pPr>
              <w:numPr>
                <w:ilvl w:val="2"/>
                <w:numId w:val="95"/>
              </w:numPr>
              <w:spacing w:line="240" w:lineRule="atLeast"/>
              <w:ind w:left="1086" w:hanging="360"/>
              <w:jc w:val="both"/>
              <w:rPr>
                <w:rFonts w:ascii="標楷體" w:eastAsia="標楷體" w:hAnsi="標楷體"/>
                <w:szCs w:val="24"/>
              </w:rPr>
            </w:pPr>
            <w:r w:rsidRPr="007215CF">
              <w:rPr>
                <w:rFonts w:ascii="標楷體" w:eastAsia="標楷體" w:hAnsi="標楷體"/>
                <w:szCs w:val="24"/>
              </w:rPr>
              <w:t>□ 與初次治療前之療效達PASI 50；</w:t>
            </w:r>
            <w:proofErr w:type="spellStart"/>
            <w:r w:rsidRPr="007215CF">
              <w:rPr>
                <w:rFonts w:ascii="標楷體" w:eastAsia="標楷體" w:hAnsi="標楷體"/>
                <w:szCs w:val="24"/>
              </w:rPr>
              <w:t>risankizumab</w:t>
            </w:r>
            <w:proofErr w:type="spellEnd"/>
            <w:r w:rsidRPr="007215CF">
              <w:rPr>
                <w:rFonts w:ascii="標楷體" w:eastAsia="標楷體" w:hAnsi="標楷體"/>
                <w:szCs w:val="24"/>
              </w:rPr>
              <w:t>於16</w:t>
            </w:r>
            <w:proofErr w:type="gramStart"/>
            <w:r w:rsidRPr="007215CF">
              <w:rPr>
                <w:rFonts w:ascii="標楷體" w:eastAsia="標楷體" w:hAnsi="標楷體"/>
                <w:szCs w:val="24"/>
              </w:rPr>
              <w:t>週</w:t>
            </w:r>
            <w:proofErr w:type="gramEnd"/>
            <w:r w:rsidRPr="007215CF">
              <w:rPr>
                <w:rFonts w:ascii="標楷體" w:eastAsia="標楷體" w:hAnsi="標楷體"/>
                <w:szCs w:val="24"/>
              </w:rPr>
              <w:t>時，須先行評估至少有PASI 75療效。</w:t>
            </w:r>
          </w:p>
          <w:p w14:paraId="5DB867DE" w14:textId="77777777" w:rsidR="00401786" w:rsidRPr="007215CF" w:rsidRDefault="00C64FB3" w:rsidP="002144EC">
            <w:pPr>
              <w:numPr>
                <w:ilvl w:val="2"/>
                <w:numId w:val="95"/>
              </w:numPr>
              <w:spacing w:line="240" w:lineRule="atLeast"/>
              <w:ind w:left="1086" w:hanging="360"/>
              <w:jc w:val="both"/>
              <w:rPr>
                <w:rFonts w:ascii="標楷體" w:eastAsia="標楷體" w:hAnsi="標楷體"/>
                <w:szCs w:val="24"/>
              </w:rPr>
            </w:pPr>
            <w:r w:rsidRPr="007215CF">
              <w:rPr>
                <w:rFonts w:ascii="標楷體" w:eastAsia="標楷體" w:hAnsi="標楷體"/>
                <w:szCs w:val="24"/>
              </w:rPr>
              <w:t>□ 暫緩續用後至少有50%復發（需附上次療程治療前、後及本次照片）。</w:t>
            </w:r>
          </w:p>
          <w:p w14:paraId="06759D92" w14:textId="77777777" w:rsidR="00401786" w:rsidRPr="007215CF" w:rsidRDefault="00C64FB3" w:rsidP="002144EC">
            <w:pPr>
              <w:numPr>
                <w:ilvl w:val="2"/>
                <w:numId w:val="95"/>
              </w:numPr>
              <w:spacing w:line="240" w:lineRule="atLeast"/>
              <w:ind w:left="1086" w:hanging="360"/>
              <w:jc w:val="both"/>
              <w:rPr>
                <w:szCs w:val="24"/>
              </w:rPr>
            </w:pPr>
            <w:r w:rsidRPr="007215CF">
              <w:rPr>
                <w:rFonts w:ascii="標楷體" w:eastAsia="標楷體" w:hAnsi="標楷體"/>
                <w:szCs w:val="24"/>
              </w:rPr>
              <w:t>□ 符合連續兩次暫緩用藥後復發病史者。</w:t>
            </w:r>
          </w:p>
          <w:p w14:paraId="692AAF6C" w14:textId="77777777" w:rsidR="00401786" w:rsidRPr="007215CF" w:rsidRDefault="00C64FB3" w:rsidP="002144EC">
            <w:pPr>
              <w:numPr>
                <w:ilvl w:val="1"/>
                <w:numId w:val="95"/>
              </w:numPr>
              <w:spacing w:line="240" w:lineRule="atLeast"/>
              <w:ind w:left="601" w:hanging="317"/>
              <w:jc w:val="both"/>
              <w:rPr>
                <w:rFonts w:ascii="標楷體" w:eastAsia="標楷體" w:hAnsi="標楷體"/>
                <w:szCs w:val="24"/>
              </w:rPr>
            </w:pPr>
            <w:r w:rsidRPr="007215CF">
              <w:rPr>
                <w:rFonts w:ascii="標楷體" w:eastAsia="標楷體" w:hAnsi="標楷體"/>
                <w:szCs w:val="24"/>
              </w:rPr>
              <w:t xml:space="preserve"> □ 上次治療至今病歷影本（至多附6個月），以及申請日期之臨床照片。</w:t>
            </w:r>
          </w:p>
          <w:p w14:paraId="2598A3B8" w14:textId="77777777" w:rsidR="00401786" w:rsidRPr="007215CF" w:rsidRDefault="00C64FB3" w:rsidP="000E757E">
            <w:pPr>
              <w:spacing w:line="240" w:lineRule="atLeast"/>
              <w:ind w:left="960" w:firstLine="1"/>
              <w:jc w:val="both"/>
              <w:rPr>
                <w:rFonts w:ascii="標楷體" w:eastAsia="標楷體" w:hAnsi="標楷體"/>
                <w:szCs w:val="24"/>
              </w:rPr>
            </w:pPr>
            <w:r w:rsidRPr="007215CF">
              <w:rPr>
                <w:rFonts w:ascii="標楷體" w:eastAsia="標楷體" w:hAnsi="標楷體"/>
                <w:szCs w:val="24"/>
              </w:rPr>
              <w:t>上次申請之生物製劑使用時間及使用劑量：</w:t>
            </w:r>
          </w:p>
          <w:tbl>
            <w:tblPr>
              <w:tblW w:w="8394" w:type="dxa"/>
              <w:tblInd w:w="915" w:type="dxa"/>
              <w:tblLayout w:type="fixed"/>
              <w:tblCellMar>
                <w:left w:w="10" w:type="dxa"/>
                <w:right w:w="10" w:type="dxa"/>
              </w:tblCellMar>
              <w:tblLook w:val="0000" w:firstRow="0" w:lastRow="0" w:firstColumn="0" w:lastColumn="0" w:noHBand="0" w:noVBand="0"/>
            </w:tblPr>
            <w:tblGrid>
              <w:gridCol w:w="2075"/>
              <w:gridCol w:w="1776"/>
              <w:gridCol w:w="2127"/>
              <w:gridCol w:w="2416"/>
            </w:tblGrid>
            <w:tr w:rsidR="00401786" w:rsidRPr="007215CF" w14:paraId="6D3178F1"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CD8961" w14:textId="77777777" w:rsidR="00401786" w:rsidRPr="007215CF" w:rsidRDefault="00C64FB3" w:rsidP="000E757E">
                  <w:pPr>
                    <w:spacing w:line="240" w:lineRule="atLeast"/>
                    <w:ind w:hanging="567"/>
                    <w:jc w:val="center"/>
                    <w:rPr>
                      <w:rFonts w:ascii="標楷體" w:eastAsia="標楷體" w:hAnsi="標楷體"/>
                      <w:szCs w:val="24"/>
                    </w:rPr>
                  </w:pPr>
                  <w:r w:rsidRPr="007215CF">
                    <w:rPr>
                      <w:rFonts w:ascii="標楷體" w:eastAsia="標楷體" w:hAnsi="標楷體"/>
                      <w:szCs w:val="24"/>
                    </w:rPr>
                    <w:t>使用生物製劑</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1C4FA4" w14:textId="77777777" w:rsidR="00401786" w:rsidRPr="007215CF" w:rsidRDefault="00C64FB3" w:rsidP="000E757E">
                  <w:pPr>
                    <w:spacing w:line="240" w:lineRule="atLeast"/>
                    <w:ind w:hanging="567"/>
                    <w:jc w:val="center"/>
                    <w:rPr>
                      <w:szCs w:val="24"/>
                    </w:rPr>
                  </w:pPr>
                  <w:r w:rsidRPr="007215CF">
                    <w:rPr>
                      <w:rFonts w:ascii="標楷體" w:eastAsia="標楷體" w:hAnsi="標楷體"/>
                      <w:szCs w:val="24"/>
                    </w:rPr>
                    <w:t>使用劑量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2814BB" w14:textId="77777777" w:rsidR="00401786" w:rsidRPr="007215CF" w:rsidRDefault="00C64FB3" w:rsidP="000E757E">
                  <w:pPr>
                    <w:spacing w:line="240" w:lineRule="atLeast"/>
                    <w:ind w:hanging="567"/>
                    <w:jc w:val="center"/>
                    <w:rPr>
                      <w:szCs w:val="24"/>
                    </w:rPr>
                  </w:pPr>
                  <w:r w:rsidRPr="007215CF">
                    <w:rPr>
                      <w:rFonts w:ascii="標楷體" w:eastAsia="標楷體" w:hAnsi="標楷體"/>
                      <w:szCs w:val="24"/>
                    </w:rPr>
                    <w:t>使用時間</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B00EB8" w14:textId="77777777" w:rsidR="00401786" w:rsidRPr="007215CF" w:rsidRDefault="00C64FB3" w:rsidP="000E757E">
                  <w:pPr>
                    <w:spacing w:line="240" w:lineRule="atLeast"/>
                    <w:ind w:hanging="231"/>
                    <w:jc w:val="center"/>
                    <w:rPr>
                      <w:szCs w:val="24"/>
                    </w:rPr>
                  </w:pPr>
                  <w:r w:rsidRPr="007215CF">
                    <w:rPr>
                      <w:rFonts w:ascii="標楷體" w:eastAsia="標楷體" w:hAnsi="標楷體"/>
                      <w:szCs w:val="24"/>
                    </w:rPr>
                    <w:t>PASI治療前後數值</w:t>
                  </w:r>
                </w:p>
              </w:tc>
            </w:tr>
            <w:tr w:rsidR="00401786" w:rsidRPr="007215CF" w14:paraId="68386741"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F99610" w14:textId="77777777" w:rsidR="00401786" w:rsidRPr="007215CF" w:rsidRDefault="00401786" w:rsidP="000E757E">
                  <w:pPr>
                    <w:spacing w:line="240" w:lineRule="atLeast"/>
                    <w:ind w:hanging="567"/>
                    <w:jc w:val="both"/>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E957E" w14:textId="77777777" w:rsidR="00401786" w:rsidRPr="007215CF" w:rsidRDefault="00C64FB3" w:rsidP="000E757E">
                  <w:pPr>
                    <w:spacing w:line="240" w:lineRule="atLeast"/>
                    <w:ind w:hanging="28"/>
                    <w:jc w:val="both"/>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B9C6A8"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__年__月__日至</w:t>
                  </w:r>
                </w:p>
                <w:p w14:paraId="69070A99"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2E7B2E"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15CA3E32"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DE16C2" w14:textId="77777777" w:rsidR="00401786" w:rsidRPr="007215CF" w:rsidRDefault="00401786" w:rsidP="000E757E">
                  <w:pPr>
                    <w:spacing w:line="240" w:lineRule="atLeast"/>
                    <w:ind w:hanging="567"/>
                    <w:jc w:val="both"/>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BEAC4" w14:textId="77777777" w:rsidR="00401786" w:rsidRPr="007215CF" w:rsidRDefault="00C64FB3" w:rsidP="000E757E">
                  <w:pPr>
                    <w:spacing w:line="240" w:lineRule="atLeast"/>
                    <w:ind w:hanging="28"/>
                    <w:jc w:val="both"/>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0A3652"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__年__月__日至</w:t>
                  </w:r>
                </w:p>
                <w:p w14:paraId="6DD2CED0"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54F866"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58F6DF67"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C0AF2D" w14:textId="77777777" w:rsidR="00401786" w:rsidRPr="007215CF" w:rsidRDefault="00401786" w:rsidP="000E757E">
                  <w:pPr>
                    <w:spacing w:line="240" w:lineRule="atLeast"/>
                    <w:ind w:hanging="567"/>
                    <w:jc w:val="both"/>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0D0EDE" w14:textId="77777777" w:rsidR="00401786" w:rsidRPr="007215CF" w:rsidRDefault="00C64FB3" w:rsidP="000E757E">
                  <w:pPr>
                    <w:spacing w:line="240" w:lineRule="atLeast"/>
                    <w:ind w:hanging="28"/>
                    <w:jc w:val="both"/>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0012FF"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__年__月__日至</w:t>
                  </w:r>
                </w:p>
                <w:p w14:paraId="32E58AE4"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0E26E5" w14:textId="77777777" w:rsidR="00401786" w:rsidRPr="007215CF" w:rsidRDefault="00401786" w:rsidP="000E757E">
                  <w:pPr>
                    <w:spacing w:line="240" w:lineRule="atLeast"/>
                    <w:ind w:hanging="567"/>
                    <w:jc w:val="both"/>
                    <w:rPr>
                      <w:rFonts w:ascii="標楷體" w:eastAsia="標楷體" w:hAnsi="標楷體"/>
                      <w:szCs w:val="24"/>
                    </w:rPr>
                  </w:pPr>
                </w:p>
              </w:tc>
            </w:tr>
          </w:tbl>
          <w:p w14:paraId="11E565D0" w14:textId="77777777" w:rsidR="00401786" w:rsidRPr="007215CF" w:rsidRDefault="00401786" w:rsidP="000E757E">
            <w:pPr>
              <w:spacing w:line="240" w:lineRule="atLeast"/>
              <w:ind w:left="338" w:hanging="567"/>
              <w:jc w:val="both"/>
              <w:rPr>
                <w:rFonts w:ascii="標楷體" w:eastAsia="標楷體" w:hAnsi="標楷體"/>
                <w:szCs w:val="24"/>
              </w:rPr>
            </w:pPr>
          </w:p>
        </w:tc>
      </w:tr>
    </w:tbl>
    <w:p w14:paraId="3F333369" w14:textId="77777777" w:rsidR="00401786" w:rsidRPr="007215CF" w:rsidRDefault="00401786" w:rsidP="000E757E">
      <w:pPr>
        <w:pageBreakBefore/>
        <w:spacing w:line="240" w:lineRule="atLeast"/>
        <w:rPr>
          <w:rFonts w:ascii="標楷體" w:eastAsia="標楷體" w:hAnsi="標楷體"/>
          <w:szCs w:val="24"/>
        </w:rPr>
      </w:pPr>
    </w:p>
    <w:tbl>
      <w:tblPr>
        <w:tblW w:w="9562" w:type="dxa"/>
        <w:jc w:val="center"/>
        <w:tblCellMar>
          <w:left w:w="10" w:type="dxa"/>
          <w:right w:w="10" w:type="dxa"/>
        </w:tblCellMar>
        <w:tblLook w:val="0000" w:firstRow="0" w:lastRow="0" w:firstColumn="0" w:lastColumn="0" w:noHBand="0" w:noVBand="0"/>
      </w:tblPr>
      <w:tblGrid>
        <w:gridCol w:w="675"/>
        <w:gridCol w:w="1320"/>
        <w:gridCol w:w="4159"/>
        <w:gridCol w:w="3381"/>
        <w:gridCol w:w="27"/>
      </w:tblGrid>
      <w:tr w:rsidR="00401786" w:rsidRPr="007215CF" w14:paraId="59B72534" w14:textId="77777777">
        <w:trPr>
          <w:cantSplit/>
          <w:trHeight w:val="281"/>
          <w:jc w:val="center"/>
        </w:trPr>
        <w:tc>
          <w:tcPr>
            <w:tcW w:w="9535"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2A481E09" w14:textId="77777777" w:rsidR="00401786" w:rsidRPr="007215CF" w:rsidRDefault="00C64FB3" w:rsidP="000E757E">
            <w:pPr>
              <w:spacing w:line="240" w:lineRule="atLeast"/>
              <w:ind w:left="120" w:firstLine="128"/>
              <w:jc w:val="both"/>
              <w:rPr>
                <w:szCs w:val="24"/>
              </w:rPr>
            </w:pPr>
            <w:r w:rsidRPr="007215CF">
              <w:rPr>
                <w:rFonts w:ascii="標楷體" w:eastAsia="標楷體" w:hAnsi="標楷體"/>
                <w:szCs w:val="24"/>
              </w:rPr>
              <w:t>無「需排除或停止使用之情形」</w:t>
            </w:r>
          </w:p>
        </w:tc>
        <w:tc>
          <w:tcPr>
            <w:tcW w:w="27" w:type="dxa"/>
            <w:shd w:val="clear" w:color="auto" w:fill="auto"/>
            <w:tcMar>
              <w:top w:w="0" w:type="dxa"/>
              <w:left w:w="10" w:type="dxa"/>
              <w:bottom w:w="0" w:type="dxa"/>
              <w:right w:w="10" w:type="dxa"/>
            </w:tcMar>
          </w:tcPr>
          <w:p w14:paraId="2BB4FF69" w14:textId="77777777" w:rsidR="00401786" w:rsidRPr="007215CF" w:rsidRDefault="00401786" w:rsidP="000E757E">
            <w:pPr>
              <w:spacing w:line="240" w:lineRule="atLeast"/>
              <w:ind w:left="120" w:hanging="567"/>
              <w:jc w:val="both"/>
              <w:rPr>
                <w:rFonts w:ascii="標楷體" w:eastAsia="標楷體" w:hAnsi="標楷體"/>
                <w:szCs w:val="24"/>
              </w:rPr>
            </w:pPr>
          </w:p>
        </w:tc>
      </w:tr>
      <w:tr w:rsidR="00401786" w:rsidRPr="007215CF" w14:paraId="4A8A303A" w14:textId="77777777">
        <w:trPr>
          <w:cantSplit/>
          <w:trHeight w:val="799"/>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21B0F5C"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292399" w14:textId="77777777" w:rsidR="00401786" w:rsidRPr="007215CF" w:rsidRDefault="00C64FB3" w:rsidP="002144EC">
            <w:pPr>
              <w:numPr>
                <w:ilvl w:val="0"/>
                <w:numId w:val="96"/>
              </w:numPr>
              <w:tabs>
                <w:tab w:val="left" w:pos="520"/>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1C4782FF" w14:textId="77777777" w:rsidR="00401786" w:rsidRPr="007215CF" w:rsidRDefault="00C64FB3" w:rsidP="002144EC">
            <w:pPr>
              <w:numPr>
                <w:ilvl w:val="0"/>
                <w:numId w:val="96"/>
              </w:numPr>
              <w:tabs>
                <w:tab w:val="left" w:pos="520"/>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E791F04"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是否有生物製劑仿單記載之禁忌情形。</w:t>
            </w:r>
          </w:p>
        </w:tc>
        <w:tc>
          <w:tcPr>
            <w:tcW w:w="27" w:type="dxa"/>
            <w:shd w:val="clear" w:color="auto" w:fill="auto"/>
            <w:tcMar>
              <w:top w:w="0" w:type="dxa"/>
              <w:left w:w="10" w:type="dxa"/>
              <w:bottom w:w="0" w:type="dxa"/>
              <w:right w:w="10" w:type="dxa"/>
            </w:tcMar>
          </w:tcPr>
          <w:p w14:paraId="07A7C701"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42E334CA"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690A1F"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02B61411"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2C8A9F"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2DCEC351"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027C4D4"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27" w:type="dxa"/>
            <w:shd w:val="clear" w:color="auto" w:fill="auto"/>
            <w:tcMar>
              <w:top w:w="0" w:type="dxa"/>
              <w:left w:w="10" w:type="dxa"/>
              <w:bottom w:w="0" w:type="dxa"/>
              <w:right w:w="10" w:type="dxa"/>
            </w:tcMar>
          </w:tcPr>
          <w:p w14:paraId="40B6E104"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F13B8D5"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16CF72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52A833"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3A0B913B"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8CF6311"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27" w:type="dxa"/>
            <w:shd w:val="clear" w:color="auto" w:fill="auto"/>
            <w:tcMar>
              <w:top w:w="0" w:type="dxa"/>
              <w:left w:w="10" w:type="dxa"/>
              <w:bottom w:w="0" w:type="dxa"/>
              <w:right w:w="10" w:type="dxa"/>
            </w:tcMar>
          </w:tcPr>
          <w:p w14:paraId="77186CD2"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696ABC8"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A6D005"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872768"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0FFFA796"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CCE10F" w14:textId="77777777" w:rsidR="00401786" w:rsidRPr="007215CF" w:rsidRDefault="00C64FB3" w:rsidP="000E757E">
            <w:pPr>
              <w:spacing w:line="240" w:lineRule="atLeast"/>
              <w:ind w:left="86"/>
              <w:jc w:val="both"/>
              <w:textAlignment w:val="center"/>
              <w:rPr>
                <w:rFonts w:ascii="標楷體" w:eastAsia="標楷體" w:hAnsi="標楷體"/>
                <w:szCs w:val="24"/>
              </w:rPr>
            </w:pPr>
            <w:r w:rsidRPr="007215CF">
              <w:rPr>
                <w:rFonts w:ascii="標楷體" w:eastAsia="標楷體" w:hAnsi="標楷體"/>
                <w:szCs w:val="24"/>
              </w:rPr>
              <w:t>病患是否具有高度感染機會之情形，其中包括1.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患感染性關節炎者，4.人工關節受到感染〈該人工關節未除去前，不可使用生物製劑〉，5.頑固性或復發性的胸腔感染疾病，6.具有留置導尿管之情形。</w:t>
            </w:r>
          </w:p>
        </w:tc>
        <w:tc>
          <w:tcPr>
            <w:tcW w:w="27" w:type="dxa"/>
            <w:shd w:val="clear" w:color="auto" w:fill="auto"/>
            <w:tcMar>
              <w:top w:w="0" w:type="dxa"/>
              <w:left w:w="10" w:type="dxa"/>
              <w:bottom w:w="0" w:type="dxa"/>
              <w:right w:w="10" w:type="dxa"/>
            </w:tcMar>
          </w:tcPr>
          <w:p w14:paraId="17E2E5CD"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00596A90"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D490E5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B81505"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1F0B2C7F"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AB6C926"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27" w:type="dxa"/>
            <w:shd w:val="clear" w:color="auto" w:fill="auto"/>
            <w:tcMar>
              <w:top w:w="0" w:type="dxa"/>
              <w:left w:w="10" w:type="dxa"/>
              <w:bottom w:w="0" w:type="dxa"/>
              <w:right w:w="10" w:type="dxa"/>
            </w:tcMar>
          </w:tcPr>
          <w:p w14:paraId="214F7572"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28DE8621"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159C91E"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853D38"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4E8A73D5"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08A9390"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患多發性硬化症（multiple sclerosis）</w:t>
            </w:r>
          </w:p>
        </w:tc>
        <w:tc>
          <w:tcPr>
            <w:tcW w:w="27" w:type="dxa"/>
            <w:shd w:val="clear" w:color="auto" w:fill="auto"/>
            <w:tcMar>
              <w:top w:w="0" w:type="dxa"/>
              <w:left w:w="10" w:type="dxa"/>
              <w:bottom w:w="0" w:type="dxa"/>
              <w:right w:w="10" w:type="dxa"/>
            </w:tcMar>
          </w:tcPr>
          <w:p w14:paraId="4F4BC557"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2816E5ED"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BCC6C90"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6DC293"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49CE81C1"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254A8CD"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於初次療程，經過6個月治療後PASI下降程度未達50%</w:t>
            </w:r>
          </w:p>
        </w:tc>
        <w:tc>
          <w:tcPr>
            <w:tcW w:w="27" w:type="dxa"/>
            <w:shd w:val="clear" w:color="auto" w:fill="auto"/>
            <w:tcMar>
              <w:top w:w="0" w:type="dxa"/>
              <w:left w:w="10" w:type="dxa"/>
              <w:bottom w:w="0" w:type="dxa"/>
              <w:right w:w="10" w:type="dxa"/>
            </w:tcMar>
          </w:tcPr>
          <w:p w14:paraId="54DC723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DE5241B" w14:textId="77777777">
        <w:trPr>
          <w:cantSplit/>
          <w:trHeight w:val="834"/>
          <w:jc w:val="center"/>
        </w:trPr>
        <w:tc>
          <w:tcPr>
            <w:tcW w:w="675"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117F7A2F"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627F22AE"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42626399"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5393BE1F" w14:textId="77777777" w:rsidR="00401786" w:rsidRPr="007215CF" w:rsidRDefault="00C64FB3" w:rsidP="000E757E">
            <w:pPr>
              <w:spacing w:line="240" w:lineRule="atLeast"/>
              <w:ind w:left="86" w:firstLine="1"/>
              <w:jc w:val="both"/>
              <w:textAlignment w:val="center"/>
              <w:rPr>
                <w:szCs w:val="24"/>
              </w:rPr>
            </w:pPr>
            <w:r w:rsidRPr="007215CF">
              <w:rPr>
                <w:rFonts w:ascii="標楷體" w:eastAsia="標楷體" w:hAnsi="標楷體"/>
                <w:szCs w:val="24"/>
              </w:rPr>
              <w:t>使用生物製劑期間發生懷孕或不良事件</w:t>
            </w:r>
            <w:proofErr w:type="gramStart"/>
            <w:r w:rsidRPr="007215CF">
              <w:rPr>
                <w:rFonts w:ascii="標楷體" w:eastAsia="標楷體" w:hAnsi="標楷體"/>
                <w:szCs w:val="24"/>
              </w:rPr>
              <w:t>（</w:t>
            </w:r>
            <w:proofErr w:type="gramEnd"/>
            <w:r w:rsidRPr="007215CF">
              <w:rPr>
                <w:rFonts w:ascii="標楷體" w:eastAsia="標楷體" w:hAnsi="標楷體"/>
                <w:szCs w:val="24"/>
              </w:rPr>
              <w:t>包括：惡性腫瘤、該藥物引起的嚴重毒性、嚴重的感染性疾病</w:t>
            </w:r>
            <w:proofErr w:type="gramStart"/>
            <w:r w:rsidRPr="007215CF">
              <w:rPr>
                <w:rFonts w:ascii="標楷體" w:eastAsia="標楷體" w:hAnsi="標楷體"/>
                <w:szCs w:val="24"/>
              </w:rPr>
              <w:t>）</w:t>
            </w:r>
            <w:proofErr w:type="gramEnd"/>
          </w:p>
        </w:tc>
        <w:tc>
          <w:tcPr>
            <w:tcW w:w="27" w:type="dxa"/>
            <w:shd w:val="clear" w:color="auto" w:fill="auto"/>
            <w:tcMar>
              <w:top w:w="0" w:type="dxa"/>
              <w:left w:w="10" w:type="dxa"/>
              <w:bottom w:w="0" w:type="dxa"/>
              <w:right w:w="10" w:type="dxa"/>
            </w:tcMar>
          </w:tcPr>
          <w:p w14:paraId="65F1876C"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4C9835C" w14:textId="77777777">
        <w:trPr>
          <w:cantSplit/>
          <w:trHeight w:val="663"/>
          <w:jc w:val="center"/>
        </w:trPr>
        <w:tc>
          <w:tcPr>
            <w:tcW w:w="9535" w:type="dxa"/>
            <w:gridSpan w:val="4"/>
            <w:tcBorders>
              <w:top w:val="double" w:sz="4" w:space="0" w:color="000000"/>
              <w:left w:val="double" w:sz="4" w:space="0" w:color="000000"/>
              <w:bottom w:val="single" w:sz="4" w:space="0" w:color="000000"/>
              <w:right w:val="double" w:sz="4" w:space="0" w:color="000000"/>
            </w:tcBorders>
            <w:shd w:val="clear" w:color="auto" w:fill="auto"/>
            <w:tcMar>
              <w:top w:w="0" w:type="dxa"/>
              <w:left w:w="28" w:type="dxa"/>
              <w:bottom w:w="0" w:type="dxa"/>
              <w:right w:w="28" w:type="dxa"/>
            </w:tcMar>
            <w:vAlign w:val="center"/>
          </w:tcPr>
          <w:p w14:paraId="5AA712E6"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無「需暫緩續用之情形」</w:t>
            </w:r>
          </w:p>
        </w:tc>
        <w:tc>
          <w:tcPr>
            <w:tcW w:w="27" w:type="dxa"/>
            <w:shd w:val="clear" w:color="auto" w:fill="auto"/>
            <w:tcMar>
              <w:top w:w="0" w:type="dxa"/>
              <w:left w:w="10" w:type="dxa"/>
              <w:bottom w:w="0" w:type="dxa"/>
              <w:right w:w="10" w:type="dxa"/>
            </w:tcMar>
          </w:tcPr>
          <w:p w14:paraId="568CDB65"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05E2115F" w14:textId="77777777">
        <w:trPr>
          <w:cantSplit/>
          <w:trHeight w:val="834"/>
          <w:jc w:val="center"/>
        </w:trPr>
        <w:tc>
          <w:tcPr>
            <w:tcW w:w="675" w:type="dxa"/>
            <w:tcBorders>
              <w:top w:val="single" w:sz="4"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71C1602C"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4"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22936CA6"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0CBBEF1B" w14:textId="77777777" w:rsidR="00401786" w:rsidRPr="007215CF" w:rsidRDefault="00C64FB3" w:rsidP="002144EC">
            <w:pPr>
              <w:numPr>
                <w:ilvl w:val="0"/>
                <w:numId w:val="96"/>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4"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0D08746" w14:textId="77777777" w:rsidR="00401786" w:rsidRPr="007215CF" w:rsidRDefault="00C64FB3" w:rsidP="000E757E">
            <w:pPr>
              <w:spacing w:line="240" w:lineRule="atLeast"/>
              <w:ind w:firstLine="88"/>
              <w:jc w:val="both"/>
              <w:textAlignment w:val="center"/>
              <w:rPr>
                <w:szCs w:val="24"/>
              </w:rPr>
            </w:pPr>
            <w:r w:rsidRPr="007215CF">
              <w:rPr>
                <w:rFonts w:ascii="標楷體" w:eastAsia="標楷體" w:hAnsi="標楷體"/>
                <w:szCs w:val="24"/>
              </w:rPr>
              <w:t>使用生物製劑治療2年後符合PASI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10</w:t>
            </w:r>
          </w:p>
          <w:p w14:paraId="7AE23F33"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（生物製劑使用/轉用時間計算方式之定義請參照給付規定）</w:t>
            </w:r>
          </w:p>
        </w:tc>
        <w:tc>
          <w:tcPr>
            <w:tcW w:w="27" w:type="dxa"/>
            <w:shd w:val="clear" w:color="auto" w:fill="auto"/>
            <w:tcMar>
              <w:top w:w="0" w:type="dxa"/>
              <w:left w:w="10" w:type="dxa"/>
              <w:bottom w:w="0" w:type="dxa"/>
              <w:right w:w="10" w:type="dxa"/>
            </w:tcMar>
          </w:tcPr>
          <w:p w14:paraId="549F7F43"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59982CDC" w14:textId="77777777">
        <w:trPr>
          <w:cantSplit/>
          <w:trHeight w:val="1048"/>
          <w:jc w:val="center"/>
        </w:trPr>
        <w:tc>
          <w:tcPr>
            <w:tcW w:w="6154" w:type="dxa"/>
            <w:gridSpan w:val="3"/>
            <w:shd w:val="clear" w:color="auto" w:fill="auto"/>
            <w:tcMar>
              <w:top w:w="0" w:type="dxa"/>
              <w:left w:w="28" w:type="dxa"/>
              <w:bottom w:w="0" w:type="dxa"/>
              <w:right w:w="28" w:type="dxa"/>
            </w:tcMar>
          </w:tcPr>
          <w:p w14:paraId="4CC12FCB"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2A53671F"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r w:rsidRPr="007215CF">
              <w:rPr>
                <w:rFonts w:ascii="標楷體" w:eastAsia="標楷體" w:hAnsi="標楷體"/>
                <w:szCs w:val="24"/>
              </w:rPr>
              <w:t xml:space="preserve">  </w:t>
            </w:r>
          </w:p>
          <w:p w14:paraId="5CA7EB13"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專科醫師證書：</w:t>
            </w:r>
            <w:r w:rsidRPr="007215CF">
              <w:rPr>
                <w:rFonts w:ascii="標楷體" w:eastAsia="標楷體" w:hAnsi="標楷體"/>
                <w:szCs w:val="24"/>
                <w:u w:val="single"/>
              </w:rPr>
              <w:t xml:space="preserve">    </w:t>
            </w:r>
            <w:r w:rsidRPr="007215CF">
              <w:rPr>
                <w:rFonts w:ascii="標楷體" w:eastAsia="標楷體" w:hAnsi="標楷體"/>
                <w:szCs w:val="24"/>
              </w:rPr>
              <w:t>專字第</w:t>
            </w:r>
            <w:r w:rsidRPr="007215CF">
              <w:rPr>
                <w:rFonts w:ascii="標楷體" w:eastAsia="標楷體" w:hAnsi="標楷體"/>
                <w:szCs w:val="24"/>
                <w:u w:val="single"/>
              </w:rPr>
              <w:t xml:space="preserve">　　　　 　  </w:t>
            </w:r>
            <w:r w:rsidRPr="007215CF">
              <w:rPr>
                <w:rFonts w:ascii="標楷體" w:eastAsia="標楷體" w:hAnsi="標楷體"/>
                <w:szCs w:val="24"/>
              </w:rPr>
              <w:t>號</w:t>
            </w:r>
          </w:p>
          <w:p w14:paraId="30F21770" w14:textId="77777777" w:rsidR="00401786" w:rsidRPr="007215CF" w:rsidRDefault="00401786" w:rsidP="000E757E">
            <w:pPr>
              <w:tabs>
                <w:tab w:val="left" w:pos="2912"/>
              </w:tabs>
              <w:spacing w:line="240" w:lineRule="atLeast"/>
              <w:ind w:hanging="567"/>
              <w:jc w:val="both"/>
              <w:textAlignment w:val="center"/>
              <w:rPr>
                <w:rFonts w:ascii="標楷體" w:eastAsia="標楷體" w:hAnsi="標楷體"/>
                <w:szCs w:val="24"/>
                <w:u w:val="single"/>
              </w:rPr>
            </w:pPr>
          </w:p>
        </w:tc>
        <w:tc>
          <w:tcPr>
            <w:tcW w:w="3381" w:type="dxa"/>
            <w:shd w:val="clear" w:color="auto" w:fill="auto"/>
            <w:tcMar>
              <w:top w:w="0" w:type="dxa"/>
              <w:left w:w="28" w:type="dxa"/>
              <w:bottom w:w="0" w:type="dxa"/>
              <w:right w:w="28" w:type="dxa"/>
            </w:tcMar>
          </w:tcPr>
          <w:p w14:paraId="5279EDDE"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2AA730BF" w14:textId="77777777" w:rsidR="00401786" w:rsidRPr="007215CF" w:rsidRDefault="00C64FB3" w:rsidP="000E757E">
            <w:pPr>
              <w:spacing w:line="240" w:lineRule="atLeast"/>
              <w:ind w:hanging="567"/>
              <w:jc w:val="both"/>
              <w:textAlignment w:val="center"/>
              <w:rPr>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27" w:type="dxa"/>
            <w:shd w:val="clear" w:color="auto" w:fill="auto"/>
            <w:tcMar>
              <w:top w:w="0" w:type="dxa"/>
              <w:left w:w="10" w:type="dxa"/>
              <w:bottom w:w="0" w:type="dxa"/>
              <w:right w:w="10" w:type="dxa"/>
            </w:tcMar>
          </w:tcPr>
          <w:p w14:paraId="6B05D3B8"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bl>
    <w:p w14:paraId="3DFDC6DE" w14:textId="77777777" w:rsidR="00401786" w:rsidRPr="007215CF" w:rsidRDefault="00401786" w:rsidP="000E757E">
      <w:pPr>
        <w:snapToGrid w:val="0"/>
        <w:spacing w:line="240" w:lineRule="atLeast"/>
        <w:rPr>
          <w:rFonts w:ascii="標楷體" w:eastAsia="標楷體" w:hAnsi="標楷體"/>
          <w:szCs w:val="24"/>
        </w:rPr>
      </w:pPr>
    </w:p>
    <w:p w14:paraId="4BC30F69" w14:textId="77777777" w:rsidR="00401786" w:rsidRPr="007215CF" w:rsidRDefault="00C64FB3" w:rsidP="000E757E">
      <w:pPr>
        <w:pStyle w:val="a7"/>
        <w:pageBreakBefore/>
        <w:spacing w:after="180" w:line="240" w:lineRule="atLeast"/>
        <w:jc w:val="center"/>
        <w:rPr>
          <w:sz w:val="24"/>
          <w:szCs w:val="24"/>
        </w:rPr>
      </w:pPr>
      <w:r w:rsidRPr="007215CF">
        <w:rPr>
          <w:rFonts w:ascii="標楷體" w:eastAsia="標楷體" w:hAnsi="標楷體"/>
          <w:b/>
          <w:sz w:val="24"/>
          <w:szCs w:val="24"/>
        </w:rPr>
        <w:lastRenderedPageBreak/>
        <w:t>附表二十四之二：全民健康保險乾癬（慢性紅皮症乾癬部分）使用Etanercept/Adalimumab/Ustekinumab/</w:t>
      </w:r>
      <w:proofErr w:type="spellStart"/>
      <w:r w:rsidRPr="007215CF">
        <w:rPr>
          <w:rFonts w:ascii="標楷體" w:eastAsia="標楷體" w:hAnsi="標楷體"/>
          <w:b/>
          <w:sz w:val="24"/>
          <w:szCs w:val="24"/>
        </w:rPr>
        <w:t>Secukinumab</w:t>
      </w:r>
      <w:proofErr w:type="spellEnd"/>
      <w:r w:rsidRPr="007215CF">
        <w:rPr>
          <w:rFonts w:ascii="標楷體" w:eastAsia="標楷體" w:hAnsi="標楷體"/>
          <w:b/>
          <w:sz w:val="24"/>
          <w:szCs w:val="24"/>
        </w:rPr>
        <w:t>申請表</w:t>
      </w:r>
    </w:p>
    <w:tbl>
      <w:tblPr>
        <w:tblW w:w="9547" w:type="dxa"/>
        <w:tblInd w:w="266" w:type="dxa"/>
        <w:tblLayout w:type="fixed"/>
        <w:tblCellMar>
          <w:left w:w="10" w:type="dxa"/>
          <w:right w:w="10" w:type="dxa"/>
        </w:tblCellMar>
        <w:tblLook w:val="0000" w:firstRow="0" w:lastRow="0" w:firstColumn="0" w:lastColumn="0" w:noHBand="0" w:noVBand="0"/>
      </w:tblPr>
      <w:tblGrid>
        <w:gridCol w:w="1322"/>
        <w:gridCol w:w="1701"/>
        <w:gridCol w:w="1275"/>
        <w:gridCol w:w="1560"/>
        <w:gridCol w:w="1134"/>
        <w:gridCol w:w="2555"/>
      </w:tblGrid>
      <w:tr w:rsidR="00401786" w:rsidRPr="007215CF" w14:paraId="74B0FE9A" w14:textId="77777777">
        <w:trPr>
          <w:cantSplit/>
          <w:trHeight w:val="376"/>
        </w:trPr>
        <w:tc>
          <w:tcPr>
            <w:tcW w:w="1322"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533040B"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醫院代號</w:t>
            </w:r>
          </w:p>
        </w:tc>
        <w:tc>
          <w:tcPr>
            <w:tcW w:w="17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12EC5C1"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A6559F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醫院名稱</w:t>
            </w:r>
          </w:p>
        </w:tc>
        <w:tc>
          <w:tcPr>
            <w:tcW w:w="156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389B23" w14:textId="77777777" w:rsidR="00401786" w:rsidRPr="007215CF" w:rsidRDefault="00401786" w:rsidP="000E757E">
            <w:pPr>
              <w:snapToGrid w:val="0"/>
              <w:spacing w:line="240" w:lineRule="atLeast"/>
              <w:rPr>
                <w:rFonts w:ascii="標楷體" w:eastAsia="標楷體" w:hAnsi="標楷體"/>
                <w:szCs w:val="24"/>
              </w:rPr>
            </w:pPr>
          </w:p>
        </w:tc>
        <w:tc>
          <w:tcPr>
            <w:tcW w:w="1134"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A4821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申請日期</w:t>
            </w:r>
          </w:p>
        </w:tc>
        <w:tc>
          <w:tcPr>
            <w:tcW w:w="2555"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51F168D"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53D88807" w14:textId="77777777">
        <w:trPr>
          <w:cantSplit/>
          <w:trHeight w:val="332"/>
        </w:trPr>
        <w:tc>
          <w:tcPr>
            <w:tcW w:w="132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52462E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病人姓名</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FF38659"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75C7E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性別</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835611" w14:textId="77777777" w:rsidR="00401786" w:rsidRPr="007215CF" w:rsidRDefault="00401786" w:rsidP="000E757E">
            <w:pPr>
              <w:snapToGrid w:val="0"/>
              <w:spacing w:line="240" w:lineRule="atLeast"/>
              <w:rPr>
                <w:rFonts w:ascii="標楷體" w:eastAsia="標楷體" w:hAnsi="標楷體"/>
                <w:szCs w:val="24"/>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899FE5"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出生日期</w:t>
            </w:r>
          </w:p>
        </w:tc>
        <w:tc>
          <w:tcPr>
            <w:tcW w:w="25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4C7E63E"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03A8DC7C" w14:textId="77777777">
        <w:trPr>
          <w:cantSplit/>
          <w:trHeight w:val="356"/>
        </w:trPr>
        <w:tc>
          <w:tcPr>
            <w:tcW w:w="132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4E7548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身分證號</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9A28CAC"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FB5CD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病歷號碼</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260424" w14:textId="77777777" w:rsidR="00401786" w:rsidRPr="007215CF" w:rsidRDefault="00401786" w:rsidP="000E757E">
            <w:pPr>
              <w:snapToGrid w:val="0"/>
              <w:spacing w:line="240" w:lineRule="atLeast"/>
              <w:rPr>
                <w:rFonts w:ascii="標楷體" w:eastAsia="標楷體" w:hAnsi="標楷體"/>
                <w:szCs w:val="24"/>
              </w:rPr>
            </w:pPr>
          </w:p>
        </w:tc>
        <w:tc>
          <w:tcPr>
            <w:tcW w:w="1134"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E79B6F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使用期間</w:t>
            </w:r>
          </w:p>
        </w:tc>
        <w:tc>
          <w:tcPr>
            <w:tcW w:w="25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E6CEC10"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自　　年　　月　　日</w:t>
            </w:r>
          </w:p>
        </w:tc>
      </w:tr>
      <w:tr w:rsidR="00401786" w:rsidRPr="007215CF" w14:paraId="5EB88206" w14:textId="77777777">
        <w:trPr>
          <w:cantSplit/>
          <w:trHeight w:val="337"/>
        </w:trPr>
        <w:tc>
          <w:tcPr>
            <w:tcW w:w="1322"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01F3D25"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藥品代碼</w:t>
            </w:r>
          </w:p>
        </w:tc>
        <w:tc>
          <w:tcPr>
            <w:tcW w:w="17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9795B7B"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FB7498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用法用量</w:t>
            </w:r>
          </w:p>
        </w:tc>
        <w:tc>
          <w:tcPr>
            <w:tcW w:w="1560"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58C07EC" w14:textId="77777777" w:rsidR="00401786" w:rsidRPr="007215CF" w:rsidRDefault="00401786" w:rsidP="000E757E">
            <w:pPr>
              <w:snapToGrid w:val="0"/>
              <w:spacing w:line="240" w:lineRule="atLeast"/>
              <w:rPr>
                <w:rFonts w:ascii="標楷體" w:eastAsia="標楷體" w:hAnsi="標楷體"/>
                <w:szCs w:val="24"/>
              </w:rPr>
            </w:pPr>
          </w:p>
        </w:tc>
        <w:tc>
          <w:tcPr>
            <w:tcW w:w="1134"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818C0B4" w14:textId="77777777" w:rsidR="00401786" w:rsidRPr="007215CF" w:rsidRDefault="00401786" w:rsidP="000E757E">
            <w:pPr>
              <w:snapToGrid w:val="0"/>
              <w:spacing w:line="240" w:lineRule="atLeast"/>
              <w:rPr>
                <w:rFonts w:ascii="標楷體" w:eastAsia="標楷體" w:hAnsi="標楷體"/>
                <w:szCs w:val="24"/>
              </w:rPr>
            </w:pPr>
          </w:p>
        </w:tc>
        <w:tc>
          <w:tcPr>
            <w:tcW w:w="2555"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58A5764E"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至　　年　　月　　日</w:t>
            </w:r>
          </w:p>
        </w:tc>
      </w:tr>
    </w:tbl>
    <w:p w14:paraId="67610B66" w14:textId="77777777" w:rsidR="00401786" w:rsidRPr="007215CF" w:rsidRDefault="00401786" w:rsidP="000E757E">
      <w:pPr>
        <w:snapToGrid w:val="0"/>
        <w:spacing w:line="240" w:lineRule="atLeast"/>
        <w:rPr>
          <w:rFonts w:ascii="標楷體" w:eastAsia="標楷體" w:hAnsi="標楷體" w:cs="Arial"/>
          <w:szCs w:val="24"/>
        </w:rPr>
      </w:pPr>
    </w:p>
    <w:tbl>
      <w:tblPr>
        <w:tblW w:w="9536" w:type="dxa"/>
        <w:tblInd w:w="339" w:type="dxa"/>
        <w:tblCellMar>
          <w:left w:w="10" w:type="dxa"/>
          <w:right w:w="10" w:type="dxa"/>
        </w:tblCellMar>
        <w:tblLook w:val="0000" w:firstRow="0" w:lastRow="0" w:firstColumn="0" w:lastColumn="0" w:noHBand="0" w:noVBand="0"/>
      </w:tblPr>
      <w:tblGrid>
        <w:gridCol w:w="649"/>
        <w:gridCol w:w="80"/>
        <w:gridCol w:w="1240"/>
        <w:gridCol w:w="4150"/>
        <w:gridCol w:w="3391"/>
        <w:gridCol w:w="26"/>
      </w:tblGrid>
      <w:tr w:rsidR="00401786" w:rsidRPr="007215CF" w14:paraId="38DCC272" w14:textId="77777777">
        <w:tc>
          <w:tcPr>
            <w:tcW w:w="9536" w:type="dxa"/>
            <w:gridSpan w:val="6"/>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0FF457D" w14:textId="77777777" w:rsidR="00401786" w:rsidRPr="007215CF" w:rsidRDefault="00C64FB3" w:rsidP="000E757E">
            <w:pPr>
              <w:snapToGrid w:val="0"/>
              <w:spacing w:line="240" w:lineRule="atLeast"/>
              <w:ind w:left="372" w:hanging="372"/>
              <w:rPr>
                <w:szCs w:val="24"/>
              </w:rPr>
            </w:pPr>
            <w:r w:rsidRPr="007215CF">
              <w:rPr>
                <w:rFonts w:ascii="標楷體" w:eastAsia="標楷體" w:hAnsi="標楷體"/>
                <w:szCs w:val="24"/>
              </w:rPr>
              <w:t>□</w:t>
            </w:r>
            <w:r w:rsidRPr="007215CF">
              <w:rPr>
                <w:rFonts w:ascii="標楷體" w:eastAsia="標楷體" w:hAnsi="標楷體"/>
                <w:b/>
                <w:szCs w:val="24"/>
              </w:rPr>
              <w:t>符合經系統性治療無效，或因醫療因素而無法接受其他系統性治療之慢性紅</w:t>
            </w:r>
            <w:proofErr w:type="gramStart"/>
            <w:r w:rsidRPr="007215CF">
              <w:rPr>
                <w:rFonts w:ascii="標楷體" w:eastAsia="標楷體" w:hAnsi="標楷體"/>
                <w:b/>
                <w:szCs w:val="24"/>
              </w:rPr>
              <w:t>皮症乾癬</w:t>
            </w:r>
            <w:proofErr w:type="gramEnd"/>
            <w:r w:rsidRPr="007215CF">
              <w:rPr>
                <w:rFonts w:ascii="標楷體" w:eastAsia="標楷體" w:hAnsi="標楷體"/>
                <w:b/>
                <w:szCs w:val="24"/>
              </w:rPr>
              <w:t>：（定義請參照給付規定）</w:t>
            </w:r>
          </w:p>
          <w:p w14:paraId="2C19826F" w14:textId="77777777" w:rsidR="00401786" w:rsidRPr="007215CF" w:rsidRDefault="00C64FB3" w:rsidP="002144EC">
            <w:pPr>
              <w:numPr>
                <w:ilvl w:val="0"/>
                <w:numId w:val="97"/>
              </w:numPr>
              <w:snapToGrid w:val="0"/>
              <w:spacing w:line="240" w:lineRule="atLeast"/>
              <w:ind w:left="512" w:hanging="197"/>
              <w:rPr>
                <w:rFonts w:ascii="標楷體" w:eastAsia="標楷體" w:hAnsi="標楷體"/>
                <w:szCs w:val="24"/>
              </w:rPr>
            </w:pPr>
            <w:r w:rsidRPr="007215CF">
              <w:rPr>
                <w:rFonts w:ascii="標楷體" w:eastAsia="標楷體" w:hAnsi="標楷體"/>
                <w:szCs w:val="24"/>
              </w:rPr>
              <w:t>□符合範圍</w:t>
            </w:r>
            <w:proofErr w:type="gramStart"/>
            <w:r w:rsidRPr="007215CF">
              <w:rPr>
                <w:rFonts w:ascii="標楷體" w:eastAsia="標楷體" w:hAnsi="標楷體"/>
                <w:szCs w:val="24"/>
              </w:rPr>
              <w:t>≧</w:t>
            </w:r>
            <w:proofErr w:type="gramEnd"/>
            <w:r w:rsidRPr="007215CF">
              <w:rPr>
                <w:rFonts w:ascii="標楷體" w:eastAsia="標楷體" w:hAnsi="標楷體"/>
                <w:szCs w:val="24"/>
              </w:rPr>
              <w:t>75%體表面積，且病史超過1年。</w:t>
            </w:r>
          </w:p>
          <w:p w14:paraId="69ADB4BD" w14:textId="77777777" w:rsidR="00401786" w:rsidRPr="007215CF" w:rsidRDefault="00C64FB3" w:rsidP="002144EC">
            <w:pPr>
              <w:numPr>
                <w:ilvl w:val="0"/>
                <w:numId w:val="97"/>
              </w:numPr>
              <w:snapToGrid w:val="0"/>
              <w:spacing w:line="240" w:lineRule="atLeast"/>
              <w:ind w:left="1019" w:hanging="704"/>
              <w:rPr>
                <w:rFonts w:ascii="標楷體" w:eastAsia="標楷體" w:hAnsi="標楷體"/>
                <w:szCs w:val="24"/>
              </w:rPr>
            </w:pPr>
            <w:r w:rsidRPr="007215CF">
              <w:rPr>
                <w:rFonts w:ascii="標楷體" w:eastAsia="標楷體" w:hAnsi="標楷體"/>
                <w:szCs w:val="24"/>
              </w:rPr>
              <w:t>□符合以cyclosporin足量（5mg/kg/d，除非有明顯不良反應）治療6個月以上，停藥未滿3個月即復發到PASI＞10或體表面積＞30（需經皮膚科醫師評估）。</w:t>
            </w:r>
          </w:p>
          <w:tbl>
            <w:tblPr>
              <w:tblW w:w="7797" w:type="dxa"/>
              <w:tblInd w:w="1021" w:type="dxa"/>
              <w:tblCellMar>
                <w:left w:w="10" w:type="dxa"/>
                <w:right w:w="10" w:type="dxa"/>
              </w:tblCellMar>
              <w:tblLook w:val="0000" w:firstRow="0" w:lastRow="0" w:firstColumn="0" w:lastColumn="0" w:noHBand="0" w:noVBand="0"/>
            </w:tblPr>
            <w:tblGrid>
              <w:gridCol w:w="1656"/>
              <w:gridCol w:w="1455"/>
              <w:gridCol w:w="2056"/>
              <w:gridCol w:w="2630"/>
            </w:tblGrid>
            <w:tr w:rsidR="00401786" w:rsidRPr="007215CF" w14:paraId="5FE97AAA"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FB9D63" w14:textId="77777777" w:rsidR="00401786" w:rsidRPr="007215CF" w:rsidRDefault="00401786" w:rsidP="000E757E">
                  <w:pPr>
                    <w:snapToGrid w:val="0"/>
                    <w:spacing w:line="240" w:lineRule="atLeast"/>
                    <w:rPr>
                      <w:rFonts w:ascii="標楷體" w:eastAsia="標楷體" w:hAnsi="標楷體"/>
                      <w:szCs w:val="24"/>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D1B9EE"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使用劑量</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D6A691" w14:textId="77777777" w:rsidR="00401786" w:rsidRPr="007215CF" w:rsidRDefault="00C64FB3" w:rsidP="000E757E">
                  <w:pPr>
                    <w:snapToGrid w:val="0"/>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C0F0FB"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停用理由</w:t>
                  </w:r>
                </w:p>
              </w:tc>
            </w:tr>
            <w:tr w:rsidR="00401786" w:rsidRPr="007215CF" w14:paraId="4F7ADC64"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13AF6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cyclosporin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3D3F50"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B2B6AF"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10170A2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D44F2" w14:textId="77777777" w:rsidR="00401786" w:rsidRPr="007215CF" w:rsidRDefault="00401786" w:rsidP="000E757E">
                  <w:pPr>
                    <w:snapToGrid w:val="0"/>
                    <w:spacing w:line="240" w:lineRule="atLeast"/>
                    <w:rPr>
                      <w:rFonts w:ascii="標楷體" w:eastAsia="標楷體" w:hAnsi="標楷體"/>
                      <w:szCs w:val="24"/>
                    </w:rPr>
                  </w:pPr>
                </w:p>
              </w:tc>
            </w:tr>
          </w:tbl>
          <w:p w14:paraId="3765D86C" w14:textId="77777777" w:rsidR="00401786" w:rsidRPr="007215CF" w:rsidRDefault="00C64FB3" w:rsidP="002144EC">
            <w:pPr>
              <w:numPr>
                <w:ilvl w:val="0"/>
                <w:numId w:val="97"/>
              </w:numPr>
              <w:snapToGrid w:val="0"/>
              <w:spacing w:line="240" w:lineRule="atLeast"/>
              <w:ind w:left="1019" w:hanging="704"/>
              <w:rPr>
                <w:rFonts w:ascii="標楷體" w:eastAsia="標楷體" w:hAnsi="標楷體"/>
                <w:szCs w:val="24"/>
              </w:rPr>
            </w:pPr>
            <w:r w:rsidRPr="007215CF">
              <w:rPr>
                <w:rFonts w:ascii="標楷體" w:eastAsia="標楷體" w:hAnsi="標楷體"/>
                <w:szCs w:val="24"/>
              </w:rPr>
              <w:t>□符合以methotrexate及acitretin治療無效（目前未達PASI或BSA申請標準者，需同時附治療前後資料）。</w:t>
            </w:r>
          </w:p>
          <w:tbl>
            <w:tblPr>
              <w:tblW w:w="7797" w:type="dxa"/>
              <w:tblInd w:w="1021" w:type="dxa"/>
              <w:tblCellMar>
                <w:left w:w="10" w:type="dxa"/>
                <w:right w:w="10" w:type="dxa"/>
              </w:tblCellMar>
              <w:tblLook w:val="0000" w:firstRow="0" w:lastRow="0" w:firstColumn="0" w:lastColumn="0" w:noHBand="0" w:noVBand="0"/>
            </w:tblPr>
            <w:tblGrid>
              <w:gridCol w:w="1656"/>
              <w:gridCol w:w="1455"/>
              <w:gridCol w:w="2056"/>
              <w:gridCol w:w="2630"/>
            </w:tblGrid>
            <w:tr w:rsidR="00401786" w:rsidRPr="007215CF" w14:paraId="4405EA07"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2C76E2" w14:textId="77777777" w:rsidR="00401786" w:rsidRPr="007215CF" w:rsidRDefault="00401786" w:rsidP="000E757E">
                  <w:pPr>
                    <w:snapToGrid w:val="0"/>
                    <w:spacing w:line="240" w:lineRule="atLeast"/>
                    <w:rPr>
                      <w:rFonts w:ascii="標楷體" w:eastAsia="標楷體" w:hAnsi="標楷體"/>
                      <w:szCs w:val="24"/>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9992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使用劑量</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D5AAA9" w14:textId="77777777" w:rsidR="00401786" w:rsidRPr="007215CF" w:rsidRDefault="00C64FB3" w:rsidP="000E757E">
                  <w:pPr>
                    <w:snapToGrid w:val="0"/>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00FD65"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停用理由</w:t>
                  </w:r>
                </w:p>
              </w:tc>
            </w:tr>
            <w:tr w:rsidR="00401786" w:rsidRPr="007215CF" w14:paraId="1369FBCC"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EFDC52"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Acitretin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3FE18"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7C36D"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4B30E4DE"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C9024C"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3FAC2B6F"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ED80F2"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Methotrexate</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78BAD4"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A4149C"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0CB763FD"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83A70A" w14:textId="77777777" w:rsidR="00401786" w:rsidRPr="007215CF" w:rsidRDefault="00401786" w:rsidP="000E757E">
                  <w:pPr>
                    <w:snapToGrid w:val="0"/>
                    <w:spacing w:line="240" w:lineRule="atLeast"/>
                    <w:rPr>
                      <w:rFonts w:ascii="標楷體" w:eastAsia="標楷體" w:hAnsi="標楷體"/>
                      <w:szCs w:val="24"/>
                    </w:rPr>
                  </w:pPr>
                </w:p>
              </w:tc>
            </w:tr>
          </w:tbl>
          <w:p w14:paraId="4B0B2474" w14:textId="77777777" w:rsidR="00401786" w:rsidRPr="007215CF" w:rsidRDefault="00C64FB3" w:rsidP="000E757E">
            <w:pPr>
              <w:snapToGrid w:val="0"/>
              <w:spacing w:line="240" w:lineRule="atLeast"/>
              <w:ind w:left="1025"/>
              <w:rPr>
                <w:rFonts w:ascii="標楷體" w:eastAsia="標楷體" w:hAnsi="標楷體"/>
                <w:szCs w:val="24"/>
              </w:rPr>
            </w:pPr>
            <w:r w:rsidRPr="007215CF">
              <w:rPr>
                <w:rFonts w:ascii="標楷體" w:eastAsia="標楷體" w:hAnsi="標楷體"/>
                <w:szCs w:val="24"/>
              </w:rPr>
              <w:t>患者體重:_____kg</w:t>
            </w:r>
          </w:p>
          <w:p w14:paraId="05825BE6" w14:textId="77777777" w:rsidR="00401786" w:rsidRPr="007215CF" w:rsidRDefault="00C64FB3" w:rsidP="002144EC">
            <w:pPr>
              <w:numPr>
                <w:ilvl w:val="0"/>
                <w:numId w:val="97"/>
              </w:numPr>
              <w:snapToGrid w:val="0"/>
              <w:spacing w:line="240" w:lineRule="atLeast"/>
              <w:ind w:left="1019" w:hanging="704"/>
              <w:rPr>
                <w:rFonts w:ascii="標楷體" w:eastAsia="標楷體" w:hAnsi="標楷體"/>
                <w:szCs w:val="24"/>
              </w:rPr>
            </w:pPr>
            <w:r w:rsidRPr="007215CF">
              <w:rPr>
                <w:rFonts w:ascii="標楷體" w:eastAsia="標楷體" w:hAnsi="標楷體"/>
                <w:szCs w:val="24"/>
              </w:rPr>
              <w:t>□乾癬面積暨嚴重度指數〔</w:t>
            </w:r>
            <w:proofErr w:type="spellStart"/>
            <w:r w:rsidRPr="007215CF">
              <w:rPr>
                <w:rFonts w:ascii="標楷體" w:eastAsia="標楷體" w:hAnsi="標楷體"/>
                <w:szCs w:val="24"/>
              </w:rPr>
              <w:t>PsoriasisAreaSeverityIndex</w:t>
            </w:r>
            <w:proofErr w:type="spellEnd"/>
            <w:r w:rsidRPr="007215CF">
              <w:rPr>
                <w:rFonts w:ascii="標楷體" w:eastAsia="標楷體" w:hAnsi="標楷體"/>
                <w:szCs w:val="24"/>
              </w:rPr>
              <w:t>（PASI）〕</w:t>
            </w:r>
            <w:proofErr w:type="gramStart"/>
            <w:r w:rsidRPr="007215CF">
              <w:rPr>
                <w:rFonts w:ascii="標楷體" w:eastAsia="標楷體" w:hAnsi="標楷體"/>
                <w:szCs w:val="24"/>
              </w:rPr>
              <w:t>≧</w:t>
            </w:r>
            <w:proofErr w:type="gramEnd"/>
            <w:r w:rsidRPr="007215CF">
              <w:rPr>
                <w:rFonts w:ascii="標楷體" w:eastAsia="標楷體" w:hAnsi="標楷體"/>
                <w:szCs w:val="24"/>
              </w:rPr>
              <w:t>10(不適用PASI測定如膿疱性乾癬，則以範圍≧10%體表面積)。</w:t>
            </w:r>
          </w:p>
          <w:p w14:paraId="750C2D4A" w14:textId="77777777" w:rsidR="00401786" w:rsidRPr="007215CF" w:rsidRDefault="00C64FB3" w:rsidP="000E757E">
            <w:pPr>
              <w:snapToGrid w:val="0"/>
              <w:spacing w:line="240" w:lineRule="atLeast"/>
              <w:ind w:left="905"/>
              <w:rPr>
                <w:rFonts w:ascii="標楷體" w:eastAsia="標楷體" w:hAnsi="標楷體"/>
                <w:szCs w:val="24"/>
              </w:rPr>
            </w:pPr>
            <w:r w:rsidRPr="007215CF">
              <w:rPr>
                <w:rFonts w:ascii="標楷體" w:eastAsia="標楷體" w:hAnsi="標楷體"/>
                <w:szCs w:val="24"/>
              </w:rPr>
              <w:t>PASI＝0.1*（</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___）*___＋0.3*（</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6F326C90" w14:textId="77777777" w:rsidR="00401786" w:rsidRPr="007215CF" w:rsidRDefault="00C64FB3" w:rsidP="000E757E">
            <w:pPr>
              <w:snapToGrid w:val="0"/>
              <w:spacing w:line="240" w:lineRule="atLeast"/>
              <w:ind w:left="1910" w:hanging="12"/>
              <w:rPr>
                <w:rFonts w:ascii="標楷體" w:eastAsia="標楷體" w:hAnsi="標楷體"/>
                <w:szCs w:val="24"/>
              </w:rPr>
            </w:pPr>
            <w:r w:rsidRPr="007215CF">
              <w:rPr>
                <w:rFonts w:ascii="標楷體" w:eastAsia="標楷體" w:hAnsi="標楷體"/>
                <w:szCs w:val="24"/>
              </w:rPr>
              <w:t>0.2*（</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___）*___＋0.4*（</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7C7BB3BD" w14:textId="77777777" w:rsidR="00401786" w:rsidRPr="007215CF" w:rsidRDefault="00C64FB3" w:rsidP="000E757E">
            <w:pPr>
              <w:tabs>
                <w:tab w:val="left" w:pos="1504"/>
              </w:tabs>
              <w:snapToGrid w:val="0"/>
              <w:spacing w:line="240" w:lineRule="atLeast"/>
              <w:ind w:left="1690"/>
              <w:rPr>
                <w:rFonts w:ascii="標楷體" w:eastAsia="標楷體" w:hAnsi="標楷體"/>
                <w:szCs w:val="24"/>
              </w:rPr>
            </w:pPr>
            <w:r w:rsidRPr="007215CF">
              <w:rPr>
                <w:rFonts w:ascii="標楷體" w:eastAsia="標楷體" w:hAnsi="標楷體"/>
                <w:szCs w:val="24"/>
              </w:rPr>
              <w:t>＝</w:t>
            </w:r>
          </w:p>
          <w:p w14:paraId="30AB5B5D" w14:textId="77777777" w:rsidR="00401786" w:rsidRPr="007215CF" w:rsidRDefault="00401786" w:rsidP="000E757E">
            <w:pPr>
              <w:tabs>
                <w:tab w:val="left" w:pos="1386"/>
                <w:tab w:val="left" w:pos="1788"/>
              </w:tabs>
              <w:snapToGrid w:val="0"/>
              <w:spacing w:line="240" w:lineRule="atLeast"/>
              <w:ind w:left="905"/>
              <w:rPr>
                <w:rFonts w:ascii="標楷體" w:eastAsia="標楷體" w:hAnsi="標楷體"/>
                <w:szCs w:val="24"/>
              </w:rPr>
            </w:pPr>
          </w:p>
        </w:tc>
      </w:tr>
      <w:tr w:rsidR="00401786" w:rsidRPr="007215CF" w14:paraId="04FD355B" w14:textId="77777777">
        <w:tc>
          <w:tcPr>
            <w:tcW w:w="9510" w:type="dxa"/>
            <w:gridSpan w:val="5"/>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081C6A15" w14:textId="77777777" w:rsidR="00401786" w:rsidRPr="007215CF" w:rsidRDefault="00C64FB3" w:rsidP="000E757E">
            <w:pPr>
              <w:snapToGrid w:val="0"/>
              <w:spacing w:before="360" w:line="240" w:lineRule="atLeast"/>
              <w:rPr>
                <w:szCs w:val="24"/>
              </w:rPr>
            </w:pPr>
            <w:r w:rsidRPr="007215CF">
              <w:rPr>
                <w:rFonts w:ascii="標楷體" w:eastAsia="標楷體" w:hAnsi="標楷體"/>
                <w:szCs w:val="24"/>
              </w:rPr>
              <w:t>□</w:t>
            </w:r>
            <w:r w:rsidRPr="007215CF">
              <w:rPr>
                <w:rFonts w:ascii="標楷體" w:eastAsia="標楷體" w:hAnsi="標楷體"/>
                <w:b/>
                <w:szCs w:val="24"/>
              </w:rPr>
              <w:t>符合繼續使用之療效評估：</w:t>
            </w:r>
          </w:p>
          <w:p w14:paraId="451E52DD" w14:textId="77777777" w:rsidR="00401786" w:rsidRPr="007215CF" w:rsidRDefault="00C64FB3" w:rsidP="000E757E">
            <w:pPr>
              <w:snapToGrid w:val="0"/>
              <w:spacing w:line="240" w:lineRule="atLeast"/>
              <w:ind w:left="317"/>
              <w:rPr>
                <w:rFonts w:ascii="標楷體" w:eastAsia="標楷體" w:hAnsi="標楷體"/>
                <w:b/>
                <w:szCs w:val="24"/>
              </w:rPr>
            </w:pPr>
            <w:r w:rsidRPr="007215CF">
              <w:rPr>
                <w:rFonts w:ascii="標楷體" w:eastAsia="標楷體" w:hAnsi="標楷體"/>
                <w:b/>
                <w:szCs w:val="24"/>
              </w:rPr>
              <w:t>初次療程</w:t>
            </w:r>
          </w:p>
          <w:p w14:paraId="375DBAB5" w14:textId="77777777" w:rsidR="00401786" w:rsidRPr="007215CF" w:rsidRDefault="00C64FB3" w:rsidP="002144EC">
            <w:pPr>
              <w:numPr>
                <w:ilvl w:val="0"/>
                <w:numId w:val="98"/>
              </w:numPr>
              <w:snapToGrid w:val="0"/>
              <w:spacing w:line="240" w:lineRule="atLeast"/>
              <w:ind w:left="1019" w:hanging="702"/>
              <w:rPr>
                <w:rFonts w:ascii="標楷體" w:eastAsia="標楷體" w:hAnsi="標楷體"/>
                <w:szCs w:val="24"/>
              </w:rPr>
            </w:pPr>
            <w:r w:rsidRPr="007215CF">
              <w:rPr>
                <w:rFonts w:ascii="標楷體" w:eastAsia="標楷體" w:hAnsi="標楷體"/>
                <w:szCs w:val="24"/>
              </w:rPr>
              <w:t>□於初次療程之第12</w:t>
            </w:r>
            <w:proofErr w:type="gramStart"/>
            <w:r w:rsidRPr="007215CF">
              <w:rPr>
                <w:rFonts w:ascii="標楷體" w:eastAsia="標楷體" w:hAnsi="標楷體"/>
                <w:szCs w:val="24"/>
              </w:rPr>
              <w:t>週</w:t>
            </w:r>
            <w:proofErr w:type="gramEnd"/>
            <w:r w:rsidRPr="007215CF">
              <w:rPr>
                <w:rFonts w:ascii="標楷體" w:eastAsia="標楷體" w:hAnsi="標楷體"/>
                <w:szCs w:val="24"/>
              </w:rPr>
              <w:t>（使用</w:t>
            </w:r>
            <w:proofErr w:type="spellStart"/>
            <w:r w:rsidRPr="007215CF">
              <w:rPr>
                <w:rFonts w:ascii="標楷體" w:eastAsia="標楷體" w:hAnsi="標楷體"/>
                <w:szCs w:val="24"/>
              </w:rPr>
              <w:t>ustekinumab</w:t>
            </w:r>
            <w:proofErr w:type="spellEnd"/>
            <w:r w:rsidRPr="007215CF">
              <w:rPr>
                <w:rFonts w:ascii="標楷體" w:eastAsia="標楷體" w:hAnsi="標楷體"/>
                <w:szCs w:val="24"/>
              </w:rPr>
              <w:t>者為第16</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）評估時，至少有PASI25療效。</w:t>
            </w:r>
          </w:p>
          <w:p w14:paraId="21D0841A" w14:textId="77777777" w:rsidR="00401786" w:rsidRPr="007215CF" w:rsidRDefault="00C64FB3" w:rsidP="002144EC">
            <w:pPr>
              <w:numPr>
                <w:ilvl w:val="0"/>
                <w:numId w:val="98"/>
              </w:numPr>
              <w:snapToGrid w:val="0"/>
              <w:spacing w:line="240" w:lineRule="atLeast"/>
              <w:ind w:left="1019" w:hanging="702"/>
              <w:rPr>
                <w:rFonts w:ascii="標楷體" w:eastAsia="標楷體" w:hAnsi="標楷體"/>
                <w:szCs w:val="24"/>
              </w:rPr>
            </w:pPr>
            <w:r w:rsidRPr="007215CF">
              <w:rPr>
                <w:rFonts w:ascii="標楷體" w:eastAsia="標楷體" w:hAnsi="標楷體"/>
                <w:szCs w:val="24"/>
              </w:rPr>
              <w:t>□經過6個月療程治療後，因回復使用cyclosporin而產生腎功能異常（Creatinine基礎值上升</w:t>
            </w:r>
            <w:proofErr w:type="gramStart"/>
            <w:r w:rsidRPr="007215CF">
              <w:rPr>
                <w:rFonts w:ascii="標楷體" w:eastAsia="標楷體" w:hAnsi="標楷體"/>
                <w:szCs w:val="24"/>
              </w:rPr>
              <w:t>≧</w:t>
            </w:r>
            <w:proofErr w:type="gramEnd"/>
            <w:r w:rsidRPr="007215CF">
              <w:rPr>
                <w:rFonts w:ascii="標楷體" w:eastAsia="標楷體" w:hAnsi="標楷體"/>
                <w:szCs w:val="24"/>
              </w:rPr>
              <w:t>30%），或其他無法有效控制之副作用，經減藥後仍無法有效控制乾癬。</w:t>
            </w:r>
          </w:p>
          <w:p w14:paraId="5768A4D2" w14:textId="77777777" w:rsidR="00401786" w:rsidRPr="007215CF" w:rsidRDefault="00C64FB3" w:rsidP="000E757E">
            <w:pPr>
              <w:snapToGrid w:val="0"/>
              <w:spacing w:line="240" w:lineRule="atLeast"/>
              <w:ind w:left="317"/>
              <w:rPr>
                <w:rFonts w:ascii="標楷體" w:eastAsia="標楷體" w:hAnsi="標楷體"/>
                <w:b/>
                <w:szCs w:val="24"/>
              </w:rPr>
            </w:pPr>
            <w:r w:rsidRPr="007215CF">
              <w:rPr>
                <w:rFonts w:ascii="標楷體" w:eastAsia="標楷體" w:hAnsi="標楷體"/>
                <w:b/>
                <w:szCs w:val="24"/>
              </w:rPr>
              <w:t>重複療程</w:t>
            </w:r>
          </w:p>
          <w:p w14:paraId="64880226" w14:textId="77777777" w:rsidR="00401786" w:rsidRPr="007215CF" w:rsidRDefault="00C64FB3" w:rsidP="002144EC">
            <w:pPr>
              <w:numPr>
                <w:ilvl w:val="0"/>
                <w:numId w:val="98"/>
              </w:numPr>
              <w:snapToGrid w:val="0"/>
              <w:spacing w:line="240" w:lineRule="atLeast"/>
              <w:ind w:left="865" w:hanging="548"/>
              <w:rPr>
                <w:rFonts w:ascii="標楷體" w:eastAsia="標楷體" w:hAnsi="標楷體"/>
                <w:szCs w:val="24"/>
              </w:rPr>
            </w:pPr>
            <w:r w:rsidRPr="007215CF">
              <w:rPr>
                <w:rFonts w:ascii="標楷體" w:eastAsia="標楷體" w:hAnsi="標楷體"/>
                <w:szCs w:val="24"/>
              </w:rPr>
              <w:t>□再次申請時，符合下列條件之</w:t>
            </w:r>
            <w:proofErr w:type="gramStart"/>
            <w:r w:rsidRPr="007215CF">
              <w:rPr>
                <w:rFonts w:ascii="標楷體" w:eastAsia="標楷體" w:hAnsi="標楷體"/>
                <w:szCs w:val="24"/>
              </w:rPr>
              <w:t>一</w:t>
            </w:r>
            <w:proofErr w:type="gramEnd"/>
            <w:r w:rsidRPr="007215CF">
              <w:rPr>
                <w:rFonts w:ascii="標楷體" w:eastAsia="標楷體" w:hAnsi="標楷體"/>
                <w:szCs w:val="24"/>
              </w:rPr>
              <w:t>：</w:t>
            </w:r>
          </w:p>
          <w:p w14:paraId="50C7614B" w14:textId="77777777" w:rsidR="00401786" w:rsidRPr="007215CF" w:rsidRDefault="00C64FB3" w:rsidP="002144EC">
            <w:pPr>
              <w:numPr>
                <w:ilvl w:val="0"/>
                <w:numId w:val="99"/>
              </w:numPr>
              <w:snapToGrid w:val="0"/>
              <w:spacing w:line="240" w:lineRule="atLeast"/>
              <w:ind w:left="793" w:hanging="164"/>
              <w:rPr>
                <w:rFonts w:ascii="標楷體" w:eastAsia="標楷體" w:hAnsi="標楷體"/>
                <w:szCs w:val="24"/>
              </w:rPr>
            </w:pPr>
            <w:r w:rsidRPr="007215CF">
              <w:rPr>
                <w:rFonts w:ascii="標楷體" w:eastAsia="標楷體" w:hAnsi="標楷體"/>
                <w:szCs w:val="24"/>
              </w:rPr>
              <w:t>□與初次治療前之療效達PASI50；</w:t>
            </w:r>
          </w:p>
          <w:p w14:paraId="0BEC4CE5" w14:textId="77777777" w:rsidR="00401786" w:rsidRPr="007215CF" w:rsidRDefault="00C64FB3" w:rsidP="002144EC">
            <w:pPr>
              <w:numPr>
                <w:ilvl w:val="0"/>
                <w:numId w:val="99"/>
              </w:numPr>
              <w:snapToGrid w:val="0"/>
              <w:spacing w:line="240" w:lineRule="atLeast"/>
              <w:ind w:left="795" w:hanging="69"/>
              <w:rPr>
                <w:rFonts w:ascii="標楷體" w:eastAsia="標楷體" w:hAnsi="標楷體"/>
                <w:szCs w:val="24"/>
              </w:rPr>
            </w:pPr>
            <w:r w:rsidRPr="007215CF">
              <w:rPr>
                <w:rFonts w:ascii="標楷體" w:eastAsia="標楷體" w:hAnsi="標楷體"/>
                <w:szCs w:val="24"/>
              </w:rPr>
              <w:t>□暫緩續用後至少有50%復發（需附上次療程治療前、後及本次照片）。</w:t>
            </w:r>
          </w:p>
          <w:p w14:paraId="034EAE15" w14:textId="77777777" w:rsidR="00401786" w:rsidRDefault="00C64FB3" w:rsidP="002144EC">
            <w:pPr>
              <w:numPr>
                <w:ilvl w:val="0"/>
                <w:numId w:val="98"/>
              </w:numPr>
              <w:snapToGrid w:val="0"/>
              <w:spacing w:line="240" w:lineRule="atLeast"/>
              <w:rPr>
                <w:rFonts w:ascii="標楷體" w:eastAsia="標楷體" w:hAnsi="標楷體"/>
                <w:szCs w:val="24"/>
              </w:rPr>
            </w:pPr>
            <w:r w:rsidRPr="007215CF">
              <w:rPr>
                <w:rFonts w:ascii="標楷體" w:eastAsia="標楷體" w:hAnsi="標楷體"/>
                <w:szCs w:val="24"/>
              </w:rPr>
              <w:t>□上次治療至今病歷影本(至多附6個月)，以及申請日期之臨床照片。</w:t>
            </w:r>
          </w:p>
          <w:p w14:paraId="46A9EBAA" w14:textId="77777777" w:rsidR="009E653D" w:rsidRDefault="009E653D" w:rsidP="009E653D">
            <w:pPr>
              <w:snapToGrid w:val="0"/>
              <w:spacing w:line="240" w:lineRule="atLeast"/>
              <w:rPr>
                <w:rFonts w:ascii="標楷體" w:eastAsia="標楷體" w:hAnsi="標楷體"/>
                <w:szCs w:val="24"/>
              </w:rPr>
            </w:pPr>
          </w:p>
          <w:p w14:paraId="69C09AF8" w14:textId="77777777" w:rsidR="009E653D" w:rsidRPr="007215CF" w:rsidRDefault="009E653D" w:rsidP="009E653D">
            <w:pPr>
              <w:snapToGrid w:val="0"/>
              <w:spacing w:line="240" w:lineRule="atLeast"/>
              <w:rPr>
                <w:rFonts w:ascii="標楷體" w:eastAsia="標楷體" w:hAnsi="標楷體"/>
                <w:szCs w:val="24"/>
              </w:rPr>
            </w:pPr>
          </w:p>
          <w:p w14:paraId="7C791AA4" w14:textId="77777777" w:rsidR="00401786" w:rsidRPr="007215CF" w:rsidRDefault="00C64FB3" w:rsidP="000E757E">
            <w:pPr>
              <w:snapToGrid w:val="0"/>
              <w:spacing w:line="240" w:lineRule="atLeast"/>
              <w:ind w:left="2" w:firstLine="1"/>
              <w:jc w:val="center"/>
              <w:rPr>
                <w:rFonts w:ascii="標楷體" w:eastAsia="標楷體" w:hAnsi="標楷體"/>
                <w:b/>
                <w:szCs w:val="24"/>
              </w:rPr>
            </w:pPr>
            <w:r w:rsidRPr="007215CF">
              <w:rPr>
                <w:rFonts w:ascii="標楷體" w:eastAsia="標楷體" w:hAnsi="標楷體"/>
                <w:b/>
                <w:szCs w:val="24"/>
              </w:rPr>
              <w:lastRenderedPageBreak/>
              <w:t>上次申請之Etanercept/Adalimumab/Ustekinumab/</w:t>
            </w:r>
            <w:proofErr w:type="spellStart"/>
            <w:r w:rsidRPr="007215CF">
              <w:rPr>
                <w:rFonts w:ascii="標楷體" w:eastAsia="標楷體" w:hAnsi="標楷體"/>
                <w:b/>
                <w:szCs w:val="24"/>
              </w:rPr>
              <w:t>Secukinumab</w:t>
            </w:r>
            <w:proofErr w:type="spellEnd"/>
            <w:r w:rsidRPr="007215CF">
              <w:rPr>
                <w:rFonts w:ascii="標楷體" w:eastAsia="標楷體" w:hAnsi="標楷體"/>
                <w:b/>
                <w:szCs w:val="24"/>
              </w:rPr>
              <w:t>使用時間及使用劑量：</w:t>
            </w:r>
          </w:p>
          <w:tbl>
            <w:tblPr>
              <w:tblW w:w="7859" w:type="dxa"/>
              <w:tblInd w:w="675" w:type="dxa"/>
              <w:tblCellMar>
                <w:left w:w="10" w:type="dxa"/>
                <w:right w:w="10" w:type="dxa"/>
              </w:tblCellMar>
              <w:tblLook w:val="0000" w:firstRow="0" w:lastRow="0" w:firstColumn="0" w:lastColumn="0" w:noHBand="0" w:noVBand="0"/>
            </w:tblPr>
            <w:tblGrid>
              <w:gridCol w:w="2189"/>
              <w:gridCol w:w="2977"/>
              <w:gridCol w:w="2693"/>
            </w:tblGrid>
            <w:tr w:rsidR="00401786" w:rsidRPr="007215CF" w14:paraId="169675E5"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FFFC91"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使用劑量</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892251" w14:textId="77777777" w:rsidR="00401786" w:rsidRPr="007215CF" w:rsidRDefault="00C64FB3" w:rsidP="000E757E">
                  <w:pPr>
                    <w:snapToGrid w:val="0"/>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F6368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PASI治療前後數值</w:t>
                  </w:r>
                </w:p>
              </w:tc>
            </w:tr>
            <w:tr w:rsidR="00401786" w:rsidRPr="007215CF" w14:paraId="34B0CA64"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35830C"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F1275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0E7E44F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2878D8"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27B70051"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51229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C08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60EF454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4171C9"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74185A57"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93E42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A4F6B2"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499909E4"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1D5A28" w14:textId="77777777" w:rsidR="00401786" w:rsidRPr="007215CF" w:rsidRDefault="00401786" w:rsidP="000E757E">
                  <w:pPr>
                    <w:snapToGrid w:val="0"/>
                    <w:spacing w:line="240" w:lineRule="atLeast"/>
                    <w:rPr>
                      <w:rFonts w:ascii="標楷體" w:eastAsia="標楷體" w:hAnsi="標楷體"/>
                      <w:szCs w:val="24"/>
                    </w:rPr>
                  </w:pPr>
                </w:p>
              </w:tc>
            </w:tr>
          </w:tbl>
          <w:p w14:paraId="654EA314" w14:textId="77777777" w:rsidR="00401786" w:rsidRPr="007215CF" w:rsidRDefault="00401786" w:rsidP="000E757E">
            <w:pPr>
              <w:snapToGrid w:val="0"/>
              <w:spacing w:line="240" w:lineRule="atLeast"/>
              <w:ind w:left="338"/>
              <w:rPr>
                <w:rFonts w:ascii="標楷體" w:eastAsia="標楷體" w:hAnsi="標楷體"/>
                <w:szCs w:val="24"/>
              </w:rPr>
            </w:pPr>
          </w:p>
        </w:tc>
        <w:tc>
          <w:tcPr>
            <w:tcW w:w="26" w:type="dxa"/>
            <w:shd w:val="clear" w:color="auto" w:fill="auto"/>
            <w:tcMar>
              <w:top w:w="0" w:type="dxa"/>
              <w:left w:w="10" w:type="dxa"/>
              <w:bottom w:w="0" w:type="dxa"/>
              <w:right w:w="10" w:type="dxa"/>
            </w:tcMar>
          </w:tcPr>
          <w:p w14:paraId="14D330A0" w14:textId="77777777" w:rsidR="00401786" w:rsidRPr="007215CF" w:rsidRDefault="00401786" w:rsidP="000E757E">
            <w:pPr>
              <w:snapToGrid w:val="0"/>
              <w:spacing w:line="240" w:lineRule="atLeast"/>
              <w:ind w:left="338"/>
              <w:rPr>
                <w:rFonts w:ascii="標楷體" w:eastAsia="標楷體" w:hAnsi="標楷體"/>
                <w:szCs w:val="24"/>
              </w:rPr>
            </w:pPr>
          </w:p>
        </w:tc>
      </w:tr>
      <w:tr w:rsidR="00401786" w:rsidRPr="007215CF" w14:paraId="61AC6FE2" w14:textId="77777777">
        <w:trPr>
          <w:cantSplit/>
          <w:trHeight w:val="281"/>
        </w:trPr>
        <w:tc>
          <w:tcPr>
            <w:tcW w:w="9510" w:type="dxa"/>
            <w:gridSpan w:val="5"/>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00F4A5A0" w14:textId="77777777" w:rsidR="00401786" w:rsidRPr="007215CF" w:rsidRDefault="00C64FB3" w:rsidP="000E757E">
            <w:pPr>
              <w:snapToGrid w:val="0"/>
              <w:spacing w:line="240" w:lineRule="atLeast"/>
              <w:ind w:left="120"/>
              <w:rPr>
                <w:szCs w:val="24"/>
              </w:rPr>
            </w:pPr>
            <w:r w:rsidRPr="007215CF">
              <w:rPr>
                <w:rFonts w:ascii="標楷體" w:eastAsia="標楷體" w:hAnsi="標楷體" w:cs="Webdings"/>
                <w:szCs w:val="24"/>
              </w:rPr>
              <w:t></w:t>
            </w:r>
            <w:r w:rsidRPr="007215CF">
              <w:rPr>
                <w:rFonts w:ascii="標楷體" w:eastAsia="標楷體" w:hAnsi="標楷體"/>
                <w:b/>
                <w:szCs w:val="24"/>
              </w:rPr>
              <w:t>符合「需排除或停止使用之情形」</w:t>
            </w:r>
          </w:p>
        </w:tc>
        <w:tc>
          <w:tcPr>
            <w:tcW w:w="26" w:type="dxa"/>
            <w:shd w:val="clear" w:color="auto" w:fill="auto"/>
            <w:tcMar>
              <w:top w:w="0" w:type="dxa"/>
              <w:left w:w="10" w:type="dxa"/>
              <w:bottom w:w="0" w:type="dxa"/>
              <w:right w:w="10" w:type="dxa"/>
            </w:tcMar>
          </w:tcPr>
          <w:p w14:paraId="44829C21" w14:textId="77777777" w:rsidR="00401786" w:rsidRPr="007215CF" w:rsidRDefault="00401786" w:rsidP="000E757E">
            <w:pPr>
              <w:snapToGrid w:val="0"/>
              <w:spacing w:line="240" w:lineRule="atLeast"/>
              <w:ind w:left="120"/>
              <w:rPr>
                <w:rFonts w:ascii="標楷體" w:eastAsia="標楷體" w:hAnsi="標楷體"/>
                <w:szCs w:val="24"/>
              </w:rPr>
            </w:pPr>
          </w:p>
        </w:tc>
      </w:tr>
      <w:tr w:rsidR="00401786" w:rsidRPr="007215CF" w14:paraId="56B16843" w14:textId="77777777">
        <w:trPr>
          <w:cantSplit/>
          <w:trHeight w:val="799"/>
        </w:trPr>
        <w:tc>
          <w:tcPr>
            <w:tcW w:w="649"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F4D2ADD"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320"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721A21" w14:textId="77777777" w:rsidR="00401786" w:rsidRPr="007215CF" w:rsidRDefault="00C64FB3" w:rsidP="002144EC">
            <w:pPr>
              <w:numPr>
                <w:ilvl w:val="0"/>
                <w:numId w:val="85"/>
              </w:numPr>
              <w:tabs>
                <w:tab w:val="left" w:pos="492"/>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3A614685"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0DB30B0"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是否有Etanercept/Adalimumab/Ustekinumab/</w:t>
            </w:r>
            <w:proofErr w:type="spellStart"/>
            <w:r w:rsidRPr="007215CF">
              <w:rPr>
                <w:rFonts w:ascii="標楷體" w:eastAsia="標楷體" w:hAnsi="標楷體"/>
                <w:szCs w:val="24"/>
              </w:rPr>
              <w:t>Secukinumab</w:t>
            </w:r>
            <w:proofErr w:type="spellEnd"/>
            <w:r w:rsidRPr="007215CF">
              <w:rPr>
                <w:rFonts w:ascii="標楷體" w:eastAsia="標楷體" w:hAnsi="標楷體"/>
                <w:szCs w:val="24"/>
              </w:rPr>
              <w:t>仿單記載之禁忌情形。</w:t>
            </w:r>
          </w:p>
        </w:tc>
        <w:tc>
          <w:tcPr>
            <w:tcW w:w="26" w:type="dxa"/>
            <w:shd w:val="clear" w:color="auto" w:fill="auto"/>
            <w:tcMar>
              <w:top w:w="0" w:type="dxa"/>
              <w:left w:w="10" w:type="dxa"/>
              <w:bottom w:w="0" w:type="dxa"/>
              <w:right w:w="10" w:type="dxa"/>
            </w:tcMar>
          </w:tcPr>
          <w:p w14:paraId="33E797A5"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31E83672"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EF9AB94" w14:textId="77777777" w:rsidR="00401786" w:rsidRPr="007215CF" w:rsidRDefault="00401786" w:rsidP="000E757E">
            <w:pPr>
              <w:snapToGrid w:val="0"/>
              <w:spacing w:line="240" w:lineRule="atLeast"/>
              <w:textAlignment w:val="center"/>
              <w:rPr>
                <w:rFonts w:ascii="標楷體" w:eastAsia="標楷體" w:hAnsi="標楷體"/>
                <w:szCs w:val="24"/>
              </w:rPr>
            </w:pPr>
          </w:p>
          <w:p w14:paraId="7B38336A"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196404"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071EC6B2"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2B95AF4"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26" w:type="dxa"/>
            <w:shd w:val="clear" w:color="auto" w:fill="auto"/>
            <w:tcMar>
              <w:top w:w="0" w:type="dxa"/>
              <w:left w:w="10" w:type="dxa"/>
              <w:bottom w:w="0" w:type="dxa"/>
              <w:right w:w="10" w:type="dxa"/>
            </w:tcMar>
          </w:tcPr>
          <w:p w14:paraId="5BE316A2"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0B14C87F"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47D74FA"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FD7230"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55126D55"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EF9442C"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26" w:type="dxa"/>
            <w:shd w:val="clear" w:color="auto" w:fill="auto"/>
            <w:tcMar>
              <w:top w:w="0" w:type="dxa"/>
              <w:left w:w="10" w:type="dxa"/>
              <w:bottom w:w="0" w:type="dxa"/>
              <w:right w:w="10" w:type="dxa"/>
            </w:tcMar>
          </w:tcPr>
          <w:p w14:paraId="7BB93435"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222105A8"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75C71B3"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082B764"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61C26F96"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B3FBBDC"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病患是否具有高度感染機會之情形，其中包括1.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患感染性關節炎者，4.人工關節受到感染</w:t>
            </w:r>
            <w:proofErr w:type="gramStart"/>
            <w:r w:rsidRPr="007215CF">
              <w:rPr>
                <w:rFonts w:ascii="標楷體" w:eastAsia="標楷體" w:hAnsi="標楷體"/>
                <w:szCs w:val="24"/>
              </w:rPr>
              <w:t>〈</w:t>
            </w:r>
            <w:proofErr w:type="gramEnd"/>
            <w:r w:rsidRPr="007215CF">
              <w:rPr>
                <w:rFonts w:ascii="標楷體" w:eastAsia="標楷體" w:hAnsi="標楷體"/>
                <w:szCs w:val="24"/>
              </w:rPr>
              <w:t>該人工關節未除去前，不可使用Etanercept/Adalimumab/Ustekinumab/</w:t>
            </w:r>
            <w:proofErr w:type="spellStart"/>
            <w:r w:rsidRPr="007215CF">
              <w:rPr>
                <w:rFonts w:ascii="標楷體" w:eastAsia="標楷體" w:hAnsi="標楷體"/>
                <w:szCs w:val="24"/>
              </w:rPr>
              <w:t>Secukinumab</w:t>
            </w:r>
            <w:proofErr w:type="spellEnd"/>
            <w:r w:rsidRPr="007215CF">
              <w:rPr>
                <w:rFonts w:ascii="標楷體" w:eastAsia="標楷體" w:hAnsi="標楷體"/>
                <w:szCs w:val="24"/>
              </w:rPr>
              <w:t>，5.頑固性或復發性的胸腔感染疾病，6.具有留置導尿管之情形。</w:t>
            </w:r>
          </w:p>
        </w:tc>
        <w:tc>
          <w:tcPr>
            <w:tcW w:w="26" w:type="dxa"/>
            <w:shd w:val="clear" w:color="auto" w:fill="auto"/>
            <w:tcMar>
              <w:top w:w="0" w:type="dxa"/>
              <w:left w:w="10" w:type="dxa"/>
              <w:bottom w:w="0" w:type="dxa"/>
              <w:right w:w="10" w:type="dxa"/>
            </w:tcMar>
          </w:tcPr>
          <w:p w14:paraId="5716D61D"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32F6BBAB"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7E2BFD1"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0E5A134"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0465E711"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45E19DE"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26" w:type="dxa"/>
            <w:shd w:val="clear" w:color="auto" w:fill="auto"/>
            <w:tcMar>
              <w:top w:w="0" w:type="dxa"/>
              <w:left w:w="10" w:type="dxa"/>
              <w:bottom w:w="0" w:type="dxa"/>
              <w:right w:w="10" w:type="dxa"/>
            </w:tcMar>
          </w:tcPr>
          <w:p w14:paraId="391342CE"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78B4FD9E"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E8A5900"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853296"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7CF2794F"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D24BD36"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w:t>
            </w:r>
            <w:proofErr w:type="spellStart"/>
            <w:r w:rsidRPr="007215CF">
              <w:rPr>
                <w:rFonts w:ascii="標楷體" w:eastAsia="標楷體" w:hAnsi="標楷體"/>
                <w:szCs w:val="24"/>
              </w:rPr>
              <w:t>multiplesclerosis</w:t>
            </w:r>
            <w:proofErr w:type="spellEnd"/>
            <w:r w:rsidRPr="007215CF">
              <w:rPr>
                <w:rFonts w:ascii="標楷體" w:eastAsia="標楷體" w:hAnsi="標楷體"/>
                <w:szCs w:val="24"/>
              </w:rPr>
              <w:t>)</w:t>
            </w:r>
          </w:p>
        </w:tc>
        <w:tc>
          <w:tcPr>
            <w:tcW w:w="26" w:type="dxa"/>
            <w:shd w:val="clear" w:color="auto" w:fill="auto"/>
            <w:tcMar>
              <w:top w:w="0" w:type="dxa"/>
              <w:left w:w="10" w:type="dxa"/>
              <w:bottom w:w="0" w:type="dxa"/>
              <w:right w:w="10" w:type="dxa"/>
            </w:tcMar>
          </w:tcPr>
          <w:p w14:paraId="057BC804"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36CF1425"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2729121"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0368D36"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17D40B83"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CCA7196"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於初次療程，經過6個月治療後PASI下降程度未達50%</w:t>
            </w:r>
          </w:p>
        </w:tc>
        <w:tc>
          <w:tcPr>
            <w:tcW w:w="26" w:type="dxa"/>
            <w:shd w:val="clear" w:color="auto" w:fill="auto"/>
            <w:tcMar>
              <w:top w:w="0" w:type="dxa"/>
              <w:left w:w="10" w:type="dxa"/>
              <w:bottom w:w="0" w:type="dxa"/>
              <w:right w:w="10" w:type="dxa"/>
            </w:tcMar>
          </w:tcPr>
          <w:p w14:paraId="3D746EE5"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281AA776" w14:textId="77777777">
        <w:trPr>
          <w:cantSplit/>
          <w:trHeight w:val="834"/>
        </w:trPr>
        <w:tc>
          <w:tcPr>
            <w:tcW w:w="729" w:type="dxa"/>
            <w:gridSpan w:val="2"/>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414497D3"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7F813EF5"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1C593DE2" w14:textId="77777777" w:rsidR="00401786" w:rsidRPr="007215CF" w:rsidRDefault="00C64FB3" w:rsidP="002144EC">
            <w:pPr>
              <w:numPr>
                <w:ilvl w:val="0"/>
                <w:numId w:val="85"/>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6A7CAC4"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使用Etanercept/Adalimumab/Ustekinumab/</w:t>
            </w:r>
            <w:proofErr w:type="spellStart"/>
            <w:r w:rsidRPr="007215CF">
              <w:rPr>
                <w:rFonts w:ascii="標楷體" w:eastAsia="標楷體" w:hAnsi="標楷體"/>
                <w:szCs w:val="24"/>
              </w:rPr>
              <w:t>Secukinumab</w:t>
            </w:r>
            <w:proofErr w:type="spellEnd"/>
            <w:r w:rsidRPr="007215CF">
              <w:rPr>
                <w:rFonts w:ascii="標楷體" w:eastAsia="標楷體" w:hAnsi="標楷體"/>
                <w:szCs w:val="24"/>
              </w:rPr>
              <w:t>發生懷孕或不良事件(包括：惡性腫瘤、該藥物引起的嚴重毒性、嚴重的感染性疾病)</w:t>
            </w:r>
          </w:p>
        </w:tc>
        <w:tc>
          <w:tcPr>
            <w:tcW w:w="26" w:type="dxa"/>
            <w:shd w:val="clear" w:color="auto" w:fill="auto"/>
            <w:tcMar>
              <w:top w:w="0" w:type="dxa"/>
              <w:left w:w="10" w:type="dxa"/>
              <w:bottom w:w="0" w:type="dxa"/>
              <w:right w:w="10" w:type="dxa"/>
            </w:tcMar>
          </w:tcPr>
          <w:p w14:paraId="0E1A7582"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14BC66DF" w14:textId="77777777">
        <w:trPr>
          <w:cantSplit/>
          <w:trHeight w:val="1048"/>
        </w:trPr>
        <w:tc>
          <w:tcPr>
            <w:tcW w:w="6119" w:type="dxa"/>
            <w:gridSpan w:val="4"/>
            <w:shd w:val="clear" w:color="auto" w:fill="auto"/>
            <w:tcMar>
              <w:top w:w="0" w:type="dxa"/>
              <w:left w:w="28" w:type="dxa"/>
              <w:bottom w:w="0" w:type="dxa"/>
              <w:right w:w="28" w:type="dxa"/>
            </w:tcMar>
          </w:tcPr>
          <w:p w14:paraId="21972C4A" w14:textId="77777777" w:rsidR="00401786" w:rsidRPr="007215CF" w:rsidRDefault="00401786" w:rsidP="000E757E">
            <w:pPr>
              <w:snapToGrid w:val="0"/>
              <w:spacing w:line="240" w:lineRule="atLeast"/>
              <w:textAlignment w:val="center"/>
              <w:rPr>
                <w:rFonts w:ascii="標楷體" w:eastAsia="標楷體" w:hAnsi="標楷體"/>
                <w:szCs w:val="24"/>
              </w:rPr>
            </w:pPr>
          </w:p>
          <w:p w14:paraId="3F8AE53B" w14:textId="77777777" w:rsidR="00401786" w:rsidRPr="007215CF" w:rsidRDefault="00C64FB3" w:rsidP="000E757E">
            <w:pPr>
              <w:snapToGrid w:val="0"/>
              <w:spacing w:line="240" w:lineRule="atLeast"/>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p>
          <w:p w14:paraId="4E88D3D0" w14:textId="77777777" w:rsidR="00401786" w:rsidRPr="007215CF" w:rsidRDefault="00C64FB3" w:rsidP="000E757E">
            <w:pPr>
              <w:snapToGrid w:val="0"/>
              <w:spacing w:line="240" w:lineRule="atLeast"/>
              <w:textAlignment w:val="center"/>
              <w:rPr>
                <w:szCs w:val="24"/>
              </w:rPr>
            </w:pPr>
            <w:r w:rsidRPr="007215CF">
              <w:rPr>
                <w:rFonts w:ascii="標楷體" w:eastAsia="標楷體" w:hAnsi="標楷體"/>
                <w:szCs w:val="24"/>
              </w:rPr>
              <w:t>專科醫師證書：專字第</w:t>
            </w:r>
            <w:r w:rsidRPr="007215CF">
              <w:rPr>
                <w:rFonts w:ascii="標楷體" w:eastAsia="標楷體" w:hAnsi="標楷體"/>
                <w:szCs w:val="24"/>
                <w:u w:val="single"/>
              </w:rPr>
              <w:t xml:space="preserve">　　　　　</w:t>
            </w:r>
            <w:r w:rsidRPr="007215CF">
              <w:rPr>
                <w:rFonts w:ascii="標楷體" w:eastAsia="標楷體" w:hAnsi="標楷體"/>
                <w:szCs w:val="24"/>
              </w:rPr>
              <w:t>號</w:t>
            </w:r>
          </w:p>
          <w:p w14:paraId="7232A20F" w14:textId="77777777" w:rsidR="00401786" w:rsidRPr="007215CF" w:rsidRDefault="00401786" w:rsidP="000E757E">
            <w:pPr>
              <w:tabs>
                <w:tab w:val="left" w:pos="2912"/>
              </w:tabs>
              <w:snapToGrid w:val="0"/>
              <w:spacing w:line="240" w:lineRule="atLeast"/>
              <w:textAlignment w:val="center"/>
              <w:rPr>
                <w:rFonts w:ascii="標楷體" w:eastAsia="標楷體" w:hAnsi="標楷體"/>
                <w:szCs w:val="24"/>
                <w:u w:val="single"/>
              </w:rPr>
            </w:pPr>
          </w:p>
        </w:tc>
        <w:tc>
          <w:tcPr>
            <w:tcW w:w="3391" w:type="dxa"/>
            <w:shd w:val="clear" w:color="auto" w:fill="auto"/>
            <w:tcMar>
              <w:top w:w="0" w:type="dxa"/>
              <w:left w:w="28" w:type="dxa"/>
              <w:bottom w:w="0" w:type="dxa"/>
              <w:right w:w="28" w:type="dxa"/>
            </w:tcMar>
          </w:tcPr>
          <w:p w14:paraId="1B800EF0" w14:textId="77777777" w:rsidR="00401786" w:rsidRPr="007215CF" w:rsidRDefault="00401786" w:rsidP="000E757E">
            <w:pPr>
              <w:snapToGrid w:val="0"/>
              <w:spacing w:line="240" w:lineRule="atLeast"/>
              <w:textAlignment w:val="center"/>
              <w:rPr>
                <w:rFonts w:ascii="標楷體" w:eastAsia="標楷體" w:hAnsi="標楷體"/>
                <w:szCs w:val="24"/>
              </w:rPr>
            </w:pPr>
          </w:p>
          <w:p w14:paraId="1AC9DFD6" w14:textId="77777777" w:rsidR="00401786" w:rsidRPr="007215CF" w:rsidRDefault="00C64FB3" w:rsidP="000E757E">
            <w:pPr>
              <w:snapToGrid w:val="0"/>
              <w:spacing w:line="240" w:lineRule="atLeast"/>
              <w:textAlignment w:val="center"/>
              <w:rPr>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26" w:type="dxa"/>
            <w:shd w:val="clear" w:color="auto" w:fill="auto"/>
            <w:tcMar>
              <w:top w:w="0" w:type="dxa"/>
              <w:left w:w="10" w:type="dxa"/>
              <w:bottom w:w="0" w:type="dxa"/>
              <w:right w:w="10" w:type="dxa"/>
            </w:tcMar>
          </w:tcPr>
          <w:p w14:paraId="4D9CD5A1" w14:textId="77777777" w:rsidR="00401786" w:rsidRPr="007215CF" w:rsidRDefault="00401786" w:rsidP="000E757E">
            <w:pPr>
              <w:snapToGrid w:val="0"/>
              <w:spacing w:line="240" w:lineRule="atLeast"/>
              <w:textAlignment w:val="center"/>
              <w:rPr>
                <w:rFonts w:ascii="標楷體" w:eastAsia="標楷體" w:hAnsi="標楷體"/>
                <w:szCs w:val="24"/>
              </w:rPr>
            </w:pPr>
          </w:p>
        </w:tc>
      </w:tr>
    </w:tbl>
    <w:p w14:paraId="1AC32346" w14:textId="77777777" w:rsidR="00401786" w:rsidRDefault="00401786" w:rsidP="000E757E">
      <w:pPr>
        <w:snapToGrid w:val="0"/>
        <w:spacing w:line="240" w:lineRule="atLeast"/>
        <w:rPr>
          <w:rFonts w:ascii="標楷體" w:eastAsia="標楷體" w:hAnsi="標楷體"/>
        </w:rPr>
      </w:pPr>
    </w:p>
    <w:p w14:paraId="4B2CF8FD" w14:textId="77777777" w:rsidR="00401786" w:rsidRDefault="00C64FB3" w:rsidP="000E757E">
      <w:pPr>
        <w:pageBreakBefore/>
        <w:widowControl/>
        <w:snapToGrid w:val="0"/>
        <w:spacing w:line="240" w:lineRule="atLeast"/>
        <w:jc w:val="center"/>
      </w:pPr>
      <w:r>
        <w:rPr>
          <w:rFonts w:ascii="標楷體" w:eastAsia="標楷體" w:hAnsi="標楷體"/>
          <w:b/>
        </w:rPr>
        <w:lastRenderedPageBreak/>
        <w:t>附表二十四之</w:t>
      </w:r>
      <w:proofErr w:type="gramStart"/>
      <w:r>
        <w:rPr>
          <w:rFonts w:ascii="標楷體" w:eastAsia="標楷體" w:hAnsi="標楷體"/>
          <w:b/>
        </w:rPr>
        <w:t>三</w:t>
      </w:r>
      <w:proofErr w:type="gramEnd"/>
      <w:r>
        <w:rPr>
          <w:rFonts w:ascii="標楷體" w:eastAsia="標楷體" w:hAnsi="標楷體"/>
          <w:b/>
        </w:rPr>
        <w:t>：</w:t>
      </w:r>
      <w:r>
        <w:rPr>
          <w:rFonts w:ascii="標楷體" w:eastAsia="標楷體" w:hAnsi="標楷體"/>
          <w:b/>
          <w:bCs/>
        </w:rPr>
        <w:t>乾癬面積暨嚴重度指數【</w:t>
      </w:r>
      <w:proofErr w:type="spellStart"/>
      <w:r>
        <w:rPr>
          <w:rFonts w:ascii="標楷體" w:eastAsia="標楷體" w:hAnsi="標楷體"/>
          <w:b/>
          <w:bCs/>
        </w:rPr>
        <w:t>PsoriasisAreaSeverityIndex</w:t>
      </w:r>
      <w:proofErr w:type="spellEnd"/>
      <w:r>
        <w:rPr>
          <w:rFonts w:ascii="標楷體" w:eastAsia="標楷體" w:hAnsi="標楷體"/>
          <w:b/>
          <w:bCs/>
        </w:rPr>
        <w:t>(PASI)】</w:t>
      </w:r>
    </w:p>
    <w:p w14:paraId="1758E378" w14:textId="77777777" w:rsidR="00401786" w:rsidRDefault="00401786" w:rsidP="000E757E">
      <w:pPr>
        <w:snapToGrid w:val="0"/>
        <w:spacing w:line="240" w:lineRule="atLeast"/>
        <w:ind w:left="2"/>
        <w:rPr>
          <w:rFonts w:ascii="標楷體" w:eastAsia="標楷體" w:hAnsi="標楷體"/>
          <w:b/>
          <w:u w:val="single"/>
        </w:rPr>
      </w:pPr>
    </w:p>
    <w:p w14:paraId="481B391A" w14:textId="77777777" w:rsidR="00401786" w:rsidRDefault="00C64FB3" w:rsidP="000E757E">
      <w:pPr>
        <w:snapToGrid w:val="0"/>
        <w:spacing w:line="240" w:lineRule="atLeast"/>
        <w:ind w:left="2"/>
      </w:pPr>
      <w:r>
        <w:rPr>
          <w:rFonts w:ascii="標楷體" w:eastAsia="標楷體" w:hAnsi="標楷體"/>
          <w:b/>
          <w:u w:val="single"/>
        </w:rPr>
        <w:t>乾癬面積</w:t>
      </w:r>
      <w:r>
        <w:rPr>
          <w:rFonts w:ascii="標楷體" w:eastAsia="標楷體" w:hAnsi="標楷體"/>
          <w:u w:val="single"/>
        </w:rPr>
        <w:t>（</w:t>
      </w:r>
      <w:r>
        <w:rPr>
          <w:rFonts w:ascii="標楷體" w:eastAsia="標楷體" w:hAnsi="標楷體"/>
          <w:bCs/>
          <w:u w:val="single"/>
        </w:rPr>
        <w:t>A</w:t>
      </w:r>
      <w:r>
        <w:rPr>
          <w:rFonts w:ascii="標楷體" w:eastAsia="標楷體" w:hAnsi="標楷體"/>
          <w:u w:val="single"/>
        </w:rPr>
        <w:t>rea）</w:t>
      </w:r>
      <w:r>
        <w:rPr>
          <w:rFonts w:ascii="標楷體" w:eastAsia="標楷體" w:hAnsi="標楷體"/>
        </w:rPr>
        <w:t>：合併總面積</w:t>
      </w:r>
      <w:proofErr w:type="gramStart"/>
      <w:r>
        <w:rPr>
          <w:rFonts w:ascii="標楷體" w:eastAsia="標楷體" w:hAnsi="標楷體"/>
        </w:rPr>
        <w:t>佔</w:t>
      </w:r>
      <w:proofErr w:type="gramEnd"/>
      <w:r>
        <w:rPr>
          <w:rFonts w:ascii="標楷體" w:eastAsia="標楷體" w:hAnsi="標楷體"/>
        </w:rPr>
        <w:t>體表%____________</w:t>
      </w:r>
    </w:p>
    <w:tbl>
      <w:tblPr>
        <w:tblW w:w="5000" w:type="pct"/>
        <w:tblCellMar>
          <w:left w:w="10" w:type="dxa"/>
          <w:right w:w="10" w:type="dxa"/>
        </w:tblCellMar>
        <w:tblLook w:val="0000" w:firstRow="0" w:lastRow="0" w:firstColumn="0" w:lastColumn="0" w:noHBand="0" w:noVBand="0"/>
      </w:tblPr>
      <w:tblGrid>
        <w:gridCol w:w="1064"/>
        <w:gridCol w:w="1062"/>
        <w:gridCol w:w="1062"/>
        <w:gridCol w:w="1213"/>
        <w:gridCol w:w="1213"/>
        <w:gridCol w:w="1152"/>
        <w:gridCol w:w="1276"/>
        <w:gridCol w:w="1466"/>
      </w:tblGrid>
      <w:tr w:rsidR="00401786" w14:paraId="619547EC" w14:textId="77777777">
        <w:tc>
          <w:tcPr>
            <w:tcW w:w="1064"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tcPr>
          <w:p w14:paraId="576A715C"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涵蓋</w:t>
            </w:r>
          </w:p>
          <w:p w14:paraId="298BCB3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程度</w:t>
            </w:r>
          </w:p>
        </w:tc>
        <w:tc>
          <w:tcPr>
            <w:tcW w:w="106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3009D74"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0</w:t>
            </w:r>
            <w:proofErr w:type="gramStart"/>
            <w:r>
              <w:rPr>
                <w:rFonts w:ascii="標楷體" w:eastAsia="標楷體" w:hAnsi="標楷體"/>
                <w:caps/>
              </w:rPr>
              <w:t>﹪</w:t>
            </w:r>
            <w:proofErr w:type="gramEnd"/>
          </w:p>
        </w:tc>
        <w:tc>
          <w:tcPr>
            <w:tcW w:w="106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9A5511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＜10</w:t>
            </w:r>
            <w:proofErr w:type="gramStart"/>
            <w:r>
              <w:rPr>
                <w:rFonts w:ascii="標楷體" w:eastAsia="標楷體" w:hAnsi="標楷體"/>
                <w:caps/>
              </w:rPr>
              <w:t>﹪</w:t>
            </w:r>
            <w:proofErr w:type="gramEnd"/>
          </w:p>
        </w:tc>
        <w:tc>
          <w:tcPr>
            <w:tcW w:w="1213"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625CDFB"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10-29</w:t>
            </w:r>
            <w:proofErr w:type="gramStart"/>
            <w:r>
              <w:rPr>
                <w:rFonts w:ascii="標楷體" w:eastAsia="標楷體" w:hAnsi="標楷體"/>
                <w:caps/>
              </w:rPr>
              <w:t>﹪</w:t>
            </w:r>
            <w:proofErr w:type="gramEnd"/>
          </w:p>
        </w:tc>
        <w:tc>
          <w:tcPr>
            <w:tcW w:w="1213"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35BE72F"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30-49</w:t>
            </w:r>
            <w:proofErr w:type="gramStart"/>
            <w:r>
              <w:rPr>
                <w:rFonts w:ascii="標楷體" w:eastAsia="標楷體" w:hAnsi="標楷體"/>
                <w:caps/>
              </w:rPr>
              <w:t>﹪</w:t>
            </w:r>
            <w:proofErr w:type="gramEnd"/>
          </w:p>
        </w:tc>
        <w:tc>
          <w:tcPr>
            <w:tcW w:w="115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7C0B71C"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50-69</w:t>
            </w:r>
            <w:proofErr w:type="gramStart"/>
            <w:r>
              <w:rPr>
                <w:rFonts w:ascii="標楷體" w:eastAsia="標楷體" w:hAnsi="標楷體"/>
                <w:caps/>
              </w:rPr>
              <w:t>﹪</w:t>
            </w:r>
            <w:proofErr w:type="gramEnd"/>
          </w:p>
        </w:tc>
        <w:tc>
          <w:tcPr>
            <w:tcW w:w="127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373DA07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70-89</w:t>
            </w:r>
            <w:proofErr w:type="gramStart"/>
            <w:r>
              <w:rPr>
                <w:rFonts w:ascii="標楷體" w:eastAsia="標楷體" w:hAnsi="標楷體"/>
                <w:caps/>
              </w:rPr>
              <w:t>﹪</w:t>
            </w:r>
            <w:proofErr w:type="gramEnd"/>
          </w:p>
        </w:tc>
        <w:tc>
          <w:tcPr>
            <w:tcW w:w="1466"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5242A3D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90-100</w:t>
            </w:r>
            <w:proofErr w:type="gramStart"/>
            <w:r>
              <w:rPr>
                <w:rFonts w:ascii="標楷體" w:eastAsia="標楷體" w:hAnsi="標楷體"/>
                <w:caps/>
              </w:rPr>
              <w:t>﹪</w:t>
            </w:r>
            <w:proofErr w:type="gramEnd"/>
          </w:p>
        </w:tc>
      </w:tr>
      <w:tr w:rsidR="00401786" w14:paraId="2C5E2B06" w14:textId="77777777">
        <w:trPr>
          <w:trHeight w:val="777"/>
        </w:trPr>
        <w:tc>
          <w:tcPr>
            <w:tcW w:w="1064" w:type="dxa"/>
            <w:tcBorders>
              <w:top w:val="single" w:sz="6" w:space="0" w:color="000000"/>
              <w:left w:val="double" w:sz="6" w:space="0" w:color="000000"/>
              <w:bottom w:val="double" w:sz="4" w:space="0" w:color="000000"/>
              <w:right w:val="single" w:sz="6" w:space="0" w:color="000000"/>
            </w:tcBorders>
            <w:shd w:val="clear" w:color="auto" w:fill="E6E6E6"/>
            <w:tcMar>
              <w:top w:w="0" w:type="dxa"/>
              <w:left w:w="108" w:type="dxa"/>
              <w:bottom w:w="0" w:type="dxa"/>
              <w:right w:w="108" w:type="dxa"/>
            </w:tcMar>
          </w:tcPr>
          <w:p w14:paraId="36F5257E" w14:textId="77777777" w:rsidR="00401786" w:rsidRDefault="00C64FB3" w:rsidP="000E757E">
            <w:pPr>
              <w:snapToGrid w:val="0"/>
              <w:spacing w:line="240" w:lineRule="atLeast"/>
              <w:jc w:val="center"/>
              <w:rPr>
                <w:rFonts w:ascii="標楷體" w:eastAsia="標楷體" w:hAnsi="標楷體"/>
                <w:sz w:val="22"/>
              </w:rPr>
            </w:pPr>
            <w:r>
              <w:rPr>
                <w:rFonts w:ascii="標楷體" w:eastAsia="標楷體" w:hAnsi="標楷體"/>
                <w:sz w:val="22"/>
              </w:rPr>
              <w:t>分數</w:t>
            </w:r>
          </w:p>
          <w:p w14:paraId="75AC16CE" w14:textId="77777777" w:rsidR="00401786" w:rsidRDefault="00401786" w:rsidP="000E757E">
            <w:pPr>
              <w:snapToGrid w:val="0"/>
              <w:spacing w:line="240" w:lineRule="atLeast"/>
              <w:jc w:val="center"/>
              <w:rPr>
                <w:rFonts w:ascii="標楷體" w:eastAsia="標楷體" w:hAnsi="標楷體"/>
                <w:sz w:val="22"/>
              </w:rPr>
            </w:pPr>
          </w:p>
          <w:p w14:paraId="65F3DA57" w14:textId="77777777" w:rsidR="00401786" w:rsidRDefault="00C64FB3" w:rsidP="000E757E">
            <w:pPr>
              <w:snapToGrid w:val="0"/>
              <w:spacing w:line="240" w:lineRule="atLeast"/>
              <w:jc w:val="center"/>
              <w:rPr>
                <w:rFonts w:ascii="標楷體" w:eastAsia="標楷體" w:hAnsi="標楷體"/>
                <w:sz w:val="22"/>
              </w:rPr>
            </w:pPr>
            <w:r>
              <w:rPr>
                <w:rFonts w:ascii="標楷體" w:eastAsia="標楷體" w:hAnsi="標楷體"/>
                <w:sz w:val="22"/>
              </w:rPr>
              <w:t>皮膚</w:t>
            </w:r>
          </w:p>
          <w:p w14:paraId="570C1F09" w14:textId="77777777" w:rsidR="00401786" w:rsidRDefault="00C64FB3" w:rsidP="000E757E">
            <w:pPr>
              <w:snapToGrid w:val="0"/>
              <w:spacing w:line="240" w:lineRule="atLeast"/>
              <w:jc w:val="center"/>
              <w:rPr>
                <w:rFonts w:ascii="標楷體" w:eastAsia="標楷體" w:hAnsi="標楷體"/>
                <w:sz w:val="22"/>
              </w:rPr>
            </w:pPr>
            <w:r>
              <w:rPr>
                <w:rFonts w:ascii="標楷體" w:eastAsia="標楷體" w:hAnsi="標楷體"/>
                <w:sz w:val="22"/>
              </w:rPr>
              <w:t>部位</w:t>
            </w:r>
          </w:p>
        </w:tc>
        <w:tc>
          <w:tcPr>
            <w:tcW w:w="1062"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070F7789"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0</w:t>
            </w:r>
          </w:p>
        </w:tc>
        <w:tc>
          <w:tcPr>
            <w:tcW w:w="1062"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77697F62"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1</w:t>
            </w:r>
          </w:p>
        </w:tc>
        <w:tc>
          <w:tcPr>
            <w:tcW w:w="1213"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2548D0C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2</w:t>
            </w:r>
          </w:p>
        </w:tc>
        <w:tc>
          <w:tcPr>
            <w:tcW w:w="1213"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757E5DFF"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3</w:t>
            </w:r>
          </w:p>
        </w:tc>
        <w:tc>
          <w:tcPr>
            <w:tcW w:w="1152"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0BE8FB92"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4</w:t>
            </w:r>
          </w:p>
        </w:tc>
        <w:tc>
          <w:tcPr>
            <w:tcW w:w="1276"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0407D44D"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5</w:t>
            </w:r>
          </w:p>
        </w:tc>
        <w:tc>
          <w:tcPr>
            <w:tcW w:w="1466" w:type="dxa"/>
            <w:tcBorders>
              <w:top w:val="single" w:sz="6" w:space="0" w:color="000000"/>
              <w:left w:val="single" w:sz="6" w:space="0" w:color="000000"/>
              <w:bottom w:val="double" w:sz="6" w:space="0" w:color="000000"/>
              <w:right w:val="double" w:sz="6" w:space="0" w:color="000000"/>
            </w:tcBorders>
            <w:shd w:val="clear" w:color="auto" w:fill="E6E6E6"/>
            <w:tcMar>
              <w:top w:w="0" w:type="dxa"/>
              <w:left w:w="108" w:type="dxa"/>
              <w:bottom w:w="0" w:type="dxa"/>
              <w:right w:w="108" w:type="dxa"/>
            </w:tcMar>
            <w:vAlign w:val="center"/>
          </w:tcPr>
          <w:p w14:paraId="3B6853A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6</w:t>
            </w:r>
          </w:p>
        </w:tc>
      </w:tr>
    </w:tbl>
    <w:p w14:paraId="33A55A99" w14:textId="77777777" w:rsidR="00401786" w:rsidRDefault="00C64FB3" w:rsidP="000E757E">
      <w:pPr>
        <w:snapToGrid w:val="0"/>
        <w:spacing w:line="240" w:lineRule="atLeast"/>
        <w:ind w:firstLine="720"/>
        <w:rPr>
          <w:rFonts w:ascii="標楷體" w:eastAsia="標楷體" w:hAnsi="標楷體"/>
        </w:rPr>
      </w:pPr>
      <w:r>
        <w:rPr>
          <w:rFonts w:ascii="標楷體" w:eastAsia="標楷體" w:hAnsi="標楷體"/>
        </w:rPr>
        <w:t>部位：頭部(h)、軀幹(t)、上肢(u)、下肢(l)</w:t>
      </w:r>
    </w:p>
    <w:p w14:paraId="69917C1E" w14:textId="77777777" w:rsidR="00401786" w:rsidRDefault="00401786" w:rsidP="000E757E">
      <w:pPr>
        <w:snapToGrid w:val="0"/>
        <w:spacing w:line="240" w:lineRule="atLeast"/>
        <w:ind w:left="763"/>
        <w:rPr>
          <w:rFonts w:ascii="標楷體" w:eastAsia="標楷體" w:hAnsi="標楷體"/>
          <w:u w:val="single"/>
        </w:rPr>
      </w:pPr>
    </w:p>
    <w:p w14:paraId="0D537141" w14:textId="77777777" w:rsidR="00401786" w:rsidRDefault="00C64FB3" w:rsidP="000E757E">
      <w:pPr>
        <w:snapToGrid w:val="0"/>
        <w:spacing w:line="240" w:lineRule="atLeast"/>
      </w:pPr>
      <w:r>
        <w:rPr>
          <w:rFonts w:ascii="標楷體" w:eastAsia="標楷體" w:hAnsi="標楷體"/>
          <w:b/>
          <w:u w:val="single"/>
        </w:rPr>
        <w:t>乾癬嚴重度</w:t>
      </w:r>
      <w:r>
        <w:rPr>
          <w:rFonts w:ascii="標楷體" w:eastAsia="標楷體" w:hAnsi="標楷體"/>
          <w:u w:val="single"/>
        </w:rPr>
        <w:t>（Severity）</w:t>
      </w:r>
      <w:r>
        <w:rPr>
          <w:rFonts w:ascii="標楷體" w:eastAsia="標楷體" w:hAnsi="標楷體"/>
        </w:rPr>
        <w:t>：</w:t>
      </w:r>
    </w:p>
    <w:tbl>
      <w:tblPr>
        <w:tblW w:w="9508" w:type="dxa"/>
        <w:tblLayout w:type="fixed"/>
        <w:tblCellMar>
          <w:left w:w="10" w:type="dxa"/>
          <w:right w:w="10" w:type="dxa"/>
        </w:tblCellMar>
        <w:tblLook w:val="0000" w:firstRow="0" w:lastRow="0" w:firstColumn="0" w:lastColumn="0" w:noHBand="0" w:noVBand="0"/>
      </w:tblPr>
      <w:tblGrid>
        <w:gridCol w:w="828"/>
        <w:gridCol w:w="850"/>
        <w:gridCol w:w="1560"/>
        <w:gridCol w:w="1984"/>
        <w:gridCol w:w="2126"/>
        <w:gridCol w:w="2160"/>
      </w:tblGrid>
      <w:tr w:rsidR="00401786" w14:paraId="48979211" w14:textId="77777777">
        <w:tc>
          <w:tcPr>
            <w:tcW w:w="828"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52C82B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嚴重度</w:t>
            </w:r>
          </w:p>
        </w:tc>
        <w:tc>
          <w:tcPr>
            <w:tcW w:w="850"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7A04203"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4A112D27"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Some</w:t>
            </w:r>
          </w:p>
        </w:tc>
        <w:tc>
          <w:tcPr>
            <w:tcW w:w="1984"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FFE16A0"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Moderate</w:t>
            </w:r>
          </w:p>
        </w:tc>
        <w:tc>
          <w:tcPr>
            <w:tcW w:w="212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1B6A95B"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Severe</w:t>
            </w:r>
          </w:p>
        </w:tc>
        <w:tc>
          <w:tcPr>
            <w:tcW w:w="2160"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778BC87E"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Maximum</w:t>
            </w:r>
          </w:p>
        </w:tc>
      </w:tr>
      <w:tr w:rsidR="00401786" w14:paraId="4BE60780" w14:textId="77777777">
        <w:tc>
          <w:tcPr>
            <w:tcW w:w="828" w:type="dxa"/>
            <w:tcBorders>
              <w:top w:val="sing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9CB7F99"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分數</w:t>
            </w:r>
          </w:p>
        </w:tc>
        <w:tc>
          <w:tcPr>
            <w:tcW w:w="850"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EEB003B"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68747D6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1</w:t>
            </w:r>
          </w:p>
        </w:tc>
        <w:tc>
          <w:tcPr>
            <w:tcW w:w="1984"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7FC759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2</w:t>
            </w:r>
          </w:p>
        </w:tc>
        <w:tc>
          <w:tcPr>
            <w:tcW w:w="2126"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B382E80"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3</w:t>
            </w:r>
          </w:p>
        </w:tc>
        <w:tc>
          <w:tcPr>
            <w:tcW w:w="2160" w:type="dxa"/>
            <w:tcBorders>
              <w:top w:val="sing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055C95A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4</w:t>
            </w:r>
          </w:p>
        </w:tc>
      </w:tr>
      <w:tr w:rsidR="00401786" w14:paraId="1C313703" w14:textId="77777777">
        <w:tc>
          <w:tcPr>
            <w:tcW w:w="828"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2BA9F8D"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發紅</w:t>
            </w:r>
          </w:p>
          <w:p w14:paraId="5C87CD32" w14:textId="77777777" w:rsidR="00401786" w:rsidRDefault="00C64FB3" w:rsidP="000E757E">
            <w:pPr>
              <w:snapToGrid w:val="0"/>
              <w:spacing w:line="240" w:lineRule="atLeast"/>
              <w:jc w:val="center"/>
            </w:pPr>
            <w:r>
              <w:rPr>
                <w:rFonts w:ascii="標楷體" w:eastAsia="標楷體" w:hAnsi="標楷體"/>
              </w:rPr>
              <w:t>（</w:t>
            </w:r>
            <w:r>
              <w:rPr>
                <w:rFonts w:ascii="標楷體" w:eastAsia="標楷體" w:hAnsi="標楷體"/>
                <w:b/>
                <w:bCs/>
              </w:rPr>
              <w:t>E</w:t>
            </w:r>
            <w:r>
              <w:rPr>
                <w:rFonts w:ascii="標楷體" w:eastAsia="標楷體" w:hAnsi="標楷體"/>
              </w:rPr>
              <w:t>）</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0D7E35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53A2559"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Slightpink</w:t>
            </w:r>
            <w:proofErr w:type="spellEnd"/>
          </w:p>
        </w:tc>
        <w:tc>
          <w:tcPr>
            <w:tcW w:w="198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2B7BADF"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Pink</w:t>
            </w:r>
          </w:p>
        </w:tc>
        <w:tc>
          <w:tcPr>
            <w:tcW w:w="21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D88DA4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Red</w:t>
            </w:r>
          </w:p>
        </w:tc>
        <w:tc>
          <w:tcPr>
            <w:tcW w:w="2160"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162B74EC"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Darkred</w:t>
            </w:r>
            <w:proofErr w:type="spellEnd"/>
            <w:r>
              <w:rPr>
                <w:rFonts w:ascii="標楷體" w:eastAsia="標楷體" w:hAnsi="標楷體"/>
              </w:rPr>
              <w:t>/purpura</w:t>
            </w:r>
          </w:p>
        </w:tc>
      </w:tr>
      <w:tr w:rsidR="00401786" w14:paraId="23DD6AFE" w14:textId="77777777">
        <w:tc>
          <w:tcPr>
            <w:tcW w:w="828"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7182730" w14:textId="77777777" w:rsidR="00401786" w:rsidRDefault="00C64FB3" w:rsidP="000E757E">
            <w:pPr>
              <w:snapToGrid w:val="0"/>
              <w:spacing w:line="240" w:lineRule="atLeast"/>
              <w:jc w:val="center"/>
            </w:pPr>
            <w:r>
              <w:rPr>
                <w:rFonts w:ascii="標楷體" w:eastAsia="標楷體" w:hAnsi="標楷體"/>
              </w:rPr>
              <w:t>病灶厚度（</w:t>
            </w:r>
            <w:r>
              <w:rPr>
                <w:rFonts w:ascii="標楷體" w:eastAsia="標楷體" w:hAnsi="標楷體"/>
                <w:b/>
                <w:bCs/>
              </w:rPr>
              <w:t>I</w:t>
            </w:r>
            <w:r>
              <w:rPr>
                <w:rFonts w:ascii="標楷體" w:eastAsia="標楷體" w:hAnsi="標楷體"/>
              </w:rPr>
              <w:t>）</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4A41FA5"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75EFA86"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Slightelevation</w:t>
            </w:r>
            <w:proofErr w:type="spellEnd"/>
          </w:p>
        </w:tc>
        <w:tc>
          <w:tcPr>
            <w:tcW w:w="198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1BDAAA3"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Moderateelevationwithroundedorslopededges</w:t>
            </w:r>
            <w:proofErr w:type="spellEnd"/>
          </w:p>
        </w:tc>
        <w:tc>
          <w:tcPr>
            <w:tcW w:w="21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44825C0"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Markedelevationwithmarkedsharpedges</w:t>
            </w:r>
            <w:proofErr w:type="spellEnd"/>
          </w:p>
        </w:tc>
        <w:tc>
          <w:tcPr>
            <w:tcW w:w="2160"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1EDD1E3A"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Verymarkedelevationwithveryhardsharpedges</w:t>
            </w:r>
            <w:proofErr w:type="spellEnd"/>
          </w:p>
        </w:tc>
      </w:tr>
      <w:tr w:rsidR="00401786" w14:paraId="378FEDBD" w14:textId="77777777">
        <w:tc>
          <w:tcPr>
            <w:tcW w:w="828" w:type="dxa"/>
            <w:tcBorders>
              <w:top w:val="single" w:sz="6" w:space="0" w:color="000000"/>
              <w:left w:val="doub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005E568A" w14:textId="77777777" w:rsidR="00401786" w:rsidRDefault="00C64FB3" w:rsidP="000E757E">
            <w:pPr>
              <w:snapToGrid w:val="0"/>
              <w:spacing w:line="240" w:lineRule="atLeast"/>
              <w:jc w:val="center"/>
            </w:pPr>
            <w:r>
              <w:rPr>
                <w:rFonts w:ascii="標楷體" w:eastAsia="標楷體" w:hAnsi="標楷體"/>
              </w:rPr>
              <w:t>脫屑狀況（</w:t>
            </w:r>
            <w:r>
              <w:rPr>
                <w:rFonts w:ascii="標楷體" w:eastAsia="標楷體" w:hAnsi="標楷體"/>
                <w:b/>
                <w:bCs/>
              </w:rPr>
              <w:t>D</w:t>
            </w:r>
            <w:r>
              <w:rPr>
                <w:rFonts w:ascii="標楷體" w:eastAsia="標楷體" w:hAnsi="標楷體"/>
              </w:rPr>
              <w:t>）</w:t>
            </w:r>
          </w:p>
        </w:tc>
        <w:tc>
          <w:tcPr>
            <w:tcW w:w="850"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3E2A8B74"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0134B823"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Finescale</w:t>
            </w:r>
            <w:proofErr w:type="spellEnd"/>
          </w:p>
        </w:tc>
        <w:tc>
          <w:tcPr>
            <w:tcW w:w="1984"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5E88D428"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Coarsescaleswithmostlesionspartiallycoveredbyscale</w:t>
            </w:r>
            <w:proofErr w:type="spellEnd"/>
          </w:p>
        </w:tc>
        <w:tc>
          <w:tcPr>
            <w:tcW w:w="2126"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423FDA46"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Coarsescaleswithalmostalllesionscoveredbyaroughsurface</w:t>
            </w:r>
            <w:proofErr w:type="spellEnd"/>
          </w:p>
        </w:tc>
        <w:tc>
          <w:tcPr>
            <w:tcW w:w="2160" w:type="dxa"/>
            <w:tcBorders>
              <w:top w:val="single" w:sz="6" w:space="0" w:color="000000"/>
              <w:left w:val="single" w:sz="6" w:space="0" w:color="000000"/>
              <w:bottom w:val="double" w:sz="6" w:space="0" w:color="000000"/>
              <w:right w:val="double" w:sz="6" w:space="0" w:color="000000"/>
            </w:tcBorders>
            <w:shd w:val="clear" w:color="auto" w:fill="auto"/>
            <w:tcMar>
              <w:top w:w="0" w:type="dxa"/>
              <w:left w:w="108" w:type="dxa"/>
              <w:bottom w:w="0" w:type="dxa"/>
              <w:right w:w="108" w:type="dxa"/>
            </w:tcMar>
            <w:vAlign w:val="center"/>
          </w:tcPr>
          <w:p w14:paraId="26A58945" w14:textId="77777777" w:rsidR="00401786" w:rsidRDefault="00C64FB3" w:rsidP="000E757E">
            <w:pPr>
              <w:snapToGrid w:val="0"/>
              <w:spacing w:line="240" w:lineRule="atLeast"/>
              <w:jc w:val="center"/>
              <w:rPr>
                <w:rFonts w:ascii="標楷體" w:eastAsia="標楷體" w:hAnsi="標楷體"/>
              </w:rPr>
            </w:pPr>
            <w:proofErr w:type="spellStart"/>
            <w:proofErr w:type="gramStart"/>
            <w:r>
              <w:rPr>
                <w:rFonts w:ascii="標楷體" w:eastAsia="標楷體" w:hAnsi="標楷體"/>
              </w:rPr>
              <w:t>Verycoarsethickscalescoveringalllesions,veryroughsurface</w:t>
            </w:r>
            <w:proofErr w:type="spellEnd"/>
            <w:proofErr w:type="gramEnd"/>
          </w:p>
        </w:tc>
      </w:tr>
    </w:tbl>
    <w:p w14:paraId="27A0450D" w14:textId="77777777" w:rsidR="00401786" w:rsidRDefault="00401786" w:rsidP="000E757E">
      <w:pPr>
        <w:snapToGrid w:val="0"/>
        <w:spacing w:line="240" w:lineRule="atLeast"/>
        <w:ind w:left="763"/>
        <w:rPr>
          <w:rFonts w:ascii="標楷體" w:eastAsia="標楷體" w:hAnsi="標楷體"/>
        </w:rPr>
      </w:pPr>
    </w:p>
    <w:p w14:paraId="4A85D1F3" w14:textId="77777777" w:rsidR="00401786" w:rsidRDefault="00C64FB3" w:rsidP="000E757E">
      <w:pPr>
        <w:snapToGrid w:val="0"/>
        <w:spacing w:line="240" w:lineRule="atLeast"/>
        <w:ind w:left="1" w:firstLine="721"/>
      </w:pPr>
      <w:r>
        <w:rPr>
          <w:rFonts w:ascii="標楷體" w:eastAsia="標楷體" w:hAnsi="標楷體"/>
          <w:b/>
        </w:rPr>
        <w:t>PASI＝0.1*（E</w:t>
      </w:r>
      <w:r>
        <w:rPr>
          <w:rFonts w:ascii="標楷體" w:eastAsia="標楷體" w:hAnsi="標楷體"/>
          <w:b/>
          <w:vertAlign w:val="subscript"/>
        </w:rPr>
        <w:t>h</w:t>
      </w:r>
      <w:r>
        <w:rPr>
          <w:rFonts w:ascii="標楷體" w:eastAsia="標楷體" w:hAnsi="標楷體"/>
          <w:b/>
        </w:rPr>
        <w:t>＋</w:t>
      </w:r>
      <w:proofErr w:type="spellStart"/>
      <w:r>
        <w:rPr>
          <w:rFonts w:ascii="標楷體" w:eastAsia="標楷體" w:hAnsi="標楷體"/>
          <w:b/>
        </w:rPr>
        <w:t>I</w:t>
      </w:r>
      <w:r>
        <w:rPr>
          <w:rFonts w:ascii="標楷體" w:eastAsia="標楷體" w:hAnsi="標楷體"/>
          <w:b/>
          <w:vertAlign w:val="subscript"/>
        </w:rPr>
        <w:t>h</w:t>
      </w:r>
      <w:proofErr w:type="spellEnd"/>
      <w:r>
        <w:rPr>
          <w:rFonts w:ascii="標楷體" w:eastAsia="標楷體" w:hAnsi="標楷體"/>
          <w:b/>
        </w:rPr>
        <w:t>＋D</w:t>
      </w:r>
      <w:r>
        <w:rPr>
          <w:rFonts w:ascii="標楷體" w:eastAsia="標楷體" w:hAnsi="標楷體"/>
          <w:b/>
          <w:vertAlign w:val="subscript"/>
        </w:rPr>
        <w:t>h</w:t>
      </w:r>
      <w:r>
        <w:rPr>
          <w:rFonts w:ascii="標楷體" w:eastAsia="標楷體" w:hAnsi="標楷體"/>
          <w:b/>
        </w:rPr>
        <w:t>）*A</w:t>
      </w:r>
      <w:r>
        <w:rPr>
          <w:rFonts w:ascii="標楷體" w:eastAsia="標楷體" w:hAnsi="標楷體"/>
          <w:b/>
          <w:vertAlign w:val="subscript"/>
        </w:rPr>
        <w:t>h</w:t>
      </w:r>
      <w:r>
        <w:rPr>
          <w:rFonts w:ascii="標楷體" w:eastAsia="標楷體" w:hAnsi="標楷體"/>
          <w:b/>
        </w:rPr>
        <w:t>＋0.3*（E</w:t>
      </w:r>
      <w:r>
        <w:rPr>
          <w:rFonts w:ascii="標楷體" w:eastAsia="標楷體" w:hAnsi="標楷體"/>
          <w:b/>
          <w:vertAlign w:val="subscript"/>
        </w:rPr>
        <w:t>t</w:t>
      </w:r>
      <w:r>
        <w:rPr>
          <w:rFonts w:ascii="標楷體" w:eastAsia="標楷體" w:hAnsi="標楷體"/>
          <w:b/>
        </w:rPr>
        <w:t>＋I</w:t>
      </w:r>
      <w:r>
        <w:rPr>
          <w:rFonts w:ascii="標楷體" w:eastAsia="標楷體" w:hAnsi="標楷體"/>
          <w:b/>
          <w:vertAlign w:val="subscript"/>
        </w:rPr>
        <w:t>t</w:t>
      </w:r>
      <w:r>
        <w:rPr>
          <w:rFonts w:ascii="標楷體" w:eastAsia="標楷體" w:hAnsi="標楷體"/>
          <w:b/>
        </w:rPr>
        <w:t>＋D</w:t>
      </w:r>
      <w:r>
        <w:rPr>
          <w:rFonts w:ascii="標楷體" w:eastAsia="標楷體" w:hAnsi="標楷體"/>
          <w:b/>
          <w:vertAlign w:val="subscript"/>
        </w:rPr>
        <w:t>t</w:t>
      </w:r>
      <w:r>
        <w:rPr>
          <w:rFonts w:ascii="標楷體" w:eastAsia="標楷體" w:hAnsi="標楷體"/>
          <w:b/>
        </w:rPr>
        <w:t>）*A</w:t>
      </w:r>
      <w:r>
        <w:rPr>
          <w:rFonts w:ascii="標楷體" w:eastAsia="標楷體" w:hAnsi="標楷體"/>
          <w:b/>
          <w:vertAlign w:val="subscript"/>
        </w:rPr>
        <w:t>t</w:t>
      </w:r>
      <w:r>
        <w:rPr>
          <w:rFonts w:ascii="標楷體" w:eastAsia="標楷體" w:hAnsi="標楷體"/>
          <w:b/>
        </w:rPr>
        <w:t>＋</w:t>
      </w:r>
    </w:p>
    <w:p w14:paraId="0AD42309" w14:textId="77777777" w:rsidR="00401786" w:rsidRDefault="00C64FB3" w:rsidP="000E757E">
      <w:pPr>
        <w:snapToGrid w:val="0"/>
        <w:spacing w:line="240" w:lineRule="atLeast"/>
      </w:pPr>
      <w:r>
        <w:rPr>
          <w:rFonts w:ascii="標楷體" w:eastAsia="標楷體" w:hAnsi="標楷體"/>
          <w:b/>
        </w:rPr>
        <w:t xml:space="preserve">            0.2*（E</w:t>
      </w:r>
      <w:r>
        <w:rPr>
          <w:rFonts w:ascii="標楷體" w:eastAsia="標楷體" w:hAnsi="標楷體"/>
          <w:b/>
          <w:vertAlign w:val="subscript"/>
        </w:rPr>
        <w:t>u</w:t>
      </w:r>
      <w:r>
        <w:rPr>
          <w:rFonts w:ascii="標楷體" w:eastAsia="標楷體" w:hAnsi="標楷體"/>
          <w:b/>
        </w:rPr>
        <w:t>＋</w:t>
      </w:r>
      <w:proofErr w:type="spellStart"/>
      <w:r>
        <w:rPr>
          <w:rFonts w:ascii="標楷體" w:eastAsia="標楷體" w:hAnsi="標楷體"/>
          <w:b/>
        </w:rPr>
        <w:t>I</w:t>
      </w:r>
      <w:r>
        <w:rPr>
          <w:rFonts w:ascii="標楷體" w:eastAsia="標楷體" w:hAnsi="標楷體"/>
          <w:b/>
          <w:vertAlign w:val="subscript"/>
        </w:rPr>
        <w:t>u</w:t>
      </w:r>
      <w:proofErr w:type="spellEnd"/>
      <w:r>
        <w:rPr>
          <w:rFonts w:ascii="標楷體" w:eastAsia="標楷體" w:hAnsi="標楷體"/>
          <w:b/>
        </w:rPr>
        <w:t>＋D</w:t>
      </w:r>
      <w:r>
        <w:rPr>
          <w:rFonts w:ascii="標楷體" w:eastAsia="標楷體" w:hAnsi="標楷體"/>
          <w:b/>
          <w:vertAlign w:val="subscript"/>
        </w:rPr>
        <w:t>u</w:t>
      </w:r>
      <w:r>
        <w:rPr>
          <w:rFonts w:ascii="標楷體" w:eastAsia="標楷體" w:hAnsi="標楷體"/>
          <w:b/>
        </w:rPr>
        <w:t>）*A</w:t>
      </w:r>
      <w:r>
        <w:rPr>
          <w:rFonts w:ascii="標楷體" w:eastAsia="標楷體" w:hAnsi="標楷體"/>
          <w:b/>
          <w:vertAlign w:val="subscript"/>
        </w:rPr>
        <w:t>u</w:t>
      </w:r>
      <w:r>
        <w:rPr>
          <w:rFonts w:ascii="標楷體" w:eastAsia="標楷體" w:hAnsi="標楷體"/>
          <w:b/>
        </w:rPr>
        <w:t>＋0.4*（E</w:t>
      </w:r>
      <w:r>
        <w:rPr>
          <w:rFonts w:ascii="標楷體" w:eastAsia="標楷體" w:hAnsi="標楷體"/>
          <w:b/>
          <w:vertAlign w:val="subscript"/>
        </w:rPr>
        <w:t>l</w:t>
      </w:r>
      <w:r>
        <w:rPr>
          <w:rFonts w:ascii="標楷體" w:eastAsia="標楷體" w:hAnsi="標楷體"/>
          <w:b/>
        </w:rPr>
        <w:t>＋I</w:t>
      </w:r>
      <w:r>
        <w:rPr>
          <w:rFonts w:ascii="標楷體" w:eastAsia="標楷體" w:hAnsi="標楷體"/>
          <w:b/>
          <w:vertAlign w:val="subscript"/>
        </w:rPr>
        <w:t>l</w:t>
      </w:r>
      <w:r>
        <w:rPr>
          <w:rFonts w:ascii="標楷體" w:eastAsia="標楷體" w:hAnsi="標楷體"/>
          <w:b/>
        </w:rPr>
        <w:t>＋D</w:t>
      </w:r>
      <w:r>
        <w:rPr>
          <w:rFonts w:ascii="標楷體" w:eastAsia="標楷體" w:hAnsi="標楷體"/>
          <w:b/>
          <w:vertAlign w:val="subscript"/>
        </w:rPr>
        <w:t>l</w:t>
      </w:r>
      <w:r>
        <w:rPr>
          <w:rFonts w:ascii="標楷體" w:eastAsia="標楷體" w:hAnsi="標楷體"/>
          <w:b/>
        </w:rPr>
        <w:t>）*A</w:t>
      </w:r>
      <w:r>
        <w:rPr>
          <w:rFonts w:ascii="標楷體" w:eastAsia="標楷體" w:hAnsi="標楷體"/>
          <w:b/>
          <w:vertAlign w:val="subscript"/>
        </w:rPr>
        <w:t>l</w:t>
      </w:r>
    </w:p>
    <w:p w14:paraId="0750B5E3" w14:textId="77777777" w:rsidR="00401786" w:rsidRDefault="00401786" w:rsidP="000E757E">
      <w:pPr>
        <w:snapToGrid w:val="0"/>
        <w:spacing w:line="240" w:lineRule="atLeast"/>
        <w:ind w:left="653" w:hanging="283"/>
        <w:rPr>
          <w:rFonts w:eastAsia="標楷體"/>
        </w:rPr>
      </w:pPr>
    </w:p>
    <w:p w14:paraId="3E5E7FFC" w14:textId="77777777" w:rsidR="00401786" w:rsidRDefault="00401786" w:rsidP="000E757E">
      <w:pPr>
        <w:pageBreakBefore/>
        <w:widowControl/>
        <w:suppressAutoHyphens w:val="0"/>
        <w:spacing w:line="240" w:lineRule="atLeast"/>
        <w:rPr>
          <w:rFonts w:ascii="標楷體" w:eastAsia="標楷體" w:hAnsi="標楷體"/>
          <w:b/>
          <w:sz w:val="28"/>
          <w:szCs w:val="28"/>
        </w:rPr>
      </w:pPr>
    </w:p>
    <w:p w14:paraId="4A60BB11" w14:textId="77777777" w:rsidR="00401786" w:rsidRPr="007215CF" w:rsidRDefault="00C64FB3" w:rsidP="000E757E">
      <w:pPr>
        <w:pStyle w:val="a7"/>
        <w:overflowPunct w:val="0"/>
        <w:spacing w:after="180" w:line="240" w:lineRule="atLeast"/>
        <w:ind w:left="620" w:hanging="140"/>
        <w:jc w:val="center"/>
        <w:rPr>
          <w:sz w:val="24"/>
          <w:szCs w:val="24"/>
        </w:rPr>
      </w:pPr>
      <w:r w:rsidRPr="007215CF">
        <w:rPr>
          <w:rFonts w:ascii="標楷體" w:eastAsia="標楷體" w:hAnsi="標楷體"/>
          <w:b/>
          <w:sz w:val="24"/>
          <w:szCs w:val="24"/>
        </w:rPr>
        <w:t>附表二十四之四：全民健康保險乾癬(全身型急性膿疱性乾癬部分)使用生物製劑申請表</w:t>
      </w:r>
    </w:p>
    <w:tbl>
      <w:tblPr>
        <w:tblW w:w="9665" w:type="dxa"/>
        <w:tblInd w:w="170" w:type="dxa"/>
        <w:tblLayout w:type="fixed"/>
        <w:tblCellMar>
          <w:left w:w="10" w:type="dxa"/>
          <w:right w:w="10" w:type="dxa"/>
        </w:tblCellMar>
        <w:tblLook w:val="0000" w:firstRow="0" w:lastRow="0" w:firstColumn="0" w:lastColumn="0" w:noHBand="0" w:noVBand="0"/>
      </w:tblPr>
      <w:tblGrid>
        <w:gridCol w:w="811"/>
        <w:gridCol w:w="88"/>
        <w:gridCol w:w="515"/>
        <w:gridCol w:w="723"/>
        <w:gridCol w:w="976"/>
        <w:gridCol w:w="1273"/>
        <w:gridCol w:w="1558"/>
        <w:gridCol w:w="266"/>
        <w:gridCol w:w="867"/>
        <w:gridCol w:w="2505"/>
        <w:gridCol w:w="40"/>
        <w:gridCol w:w="43"/>
      </w:tblGrid>
      <w:tr w:rsidR="00401786" w:rsidRPr="007215CF" w14:paraId="73F45E9D" w14:textId="77777777">
        <w:trPr>
          <w:trHeight w:val="376"/>
        </w:trPr>
        <w:tc>
          <w:tcPr>
            <w:tcW w:w="1414" w:type="dxa"/>
            <w:gridSpan w:val="3"/>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BF550D1"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醫院代號</w:t>
            </w:r>
          </w:p>
        </w:tc>
        <w:tc>
          <w:tcPr>
            <w:tcW w:w="1699"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2A535F" w14:textId="77777777" w:rsidR="00401786" w:rsidRPr="007215CF" w:rsidRDefault="00401786" w:rsidP="000E757E">
            <w:pPr>
              <w:snapToGrid w:val="0"/>
              <w:spacing w:line="240" w:lineRule="atLeast"/>
              <w:rPr>
                <w:rFonts w:ascii="標楷體" w:eastAsia="標楷體" w:hAnsi="標楷體"/>
                <w:szCs w:val="24"/>
              </w:rPr>
            </w:pPr>
          </w:p>
        </w:tc>
        <w:tc>
          <w:tcPr>
            <w:tcW w:w="127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CD174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醫院名稱</w:t>
            </w:r>
          </w:p>
        </w:tc>
        <w:tc>
          <w:tcPr>
            <w:tcW w:w="155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6033910" w14:textId="77777777" w:rsidR="00401786" w:rsidRPr="007215CF" w:rsidRDefault="00401786" w:rsidP="000E757E">
            <w:pPr>
              <w:snapToGrid w:val="0"/>
              <w:spacing w:line="240" w:lineRule="atLeast"/>
              <w:rPr>
                <w:rFonts w:ascii="標楷體" w:eastAsia="標楷體" w:hAnsi="標楷體"/>
                <w:szCs w:val="24"/>
              </w:rPr>
            </w:pPr>
          </w:p>
        </w:tc>
        <w:tc>
          <w:tcPr>
            <w:tcW w:w="1133"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B10A14"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申請日期</w:t>
            </w:r>
          </w:p>
        </w:tc>
        <w:tc>
          <w:tcPr>
            <w:tcW w:w="2545" w:type="dxa"/>
            <w:gridSpan w:val="2"/>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6DC976D" w14:textId="77777777" w:rsidR="00401786" w:rsidRPr="007215CF" w:rsidRDefault="00401786" w:rsidP="000E757E">
            <w:pPr>
              <w:snapToGrid w:val="0"/>
              <w:spacing w:line="240" w:lineRule="atLeast"/>
              <w:rPr>
                <w:rFonts w:ascii="標楷體" w:eastAsia="標楷體" w:hAnsi="標楷體"/>
                <w:szCs w:val="24"/>
              </w:rPr>
            </w:pPr>
          </w:p>
        </w:tc>
        <w:tc>
          <w:tcPr>
            <w:tcW w:w="43" w:type="dxa"/>
            <w:shd w:val="clear" w:color="auto" w:fill="auto"/>
            <w:tcMar>
              <w:top w:w="0" w:type="dxa"/>
              <w:left w:w="10" w:type="dxa"/>
              <w:bottom w:w="0" w:type="dxa"/>
              <w:right w:w="10" w:type="dxa"/>
            </w:tcMar>
          </w:tcPr>
          <w:p w14:paraId="17AA1BAC"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1877F1B1" w14:textId="77777777">
        <w:trPr>
          <w:trHeight w:val="332"/>
        </w:trPr>
        <w:tc>
          <w:tcPr>
            <w:tcW w:w="1414" w:type="dxa"/>
            <w:gridSpan w:val="3"/>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0DE91A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病人姓名</w:t>
            </w:r>
          </w:p>
        </w:tc>
        <w:tc>
          <w:tcPr>
            <w:tcW w:w="169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586FE7F" w14:textId="77777777" w:rsidR="00401786" w:rsidRPr="007215CF" w:rsidRDefault="00401786" w:rsidP="000E757E">
            <w:pPr>
              <w:spacing w:line="240" w:lineRule="atLeast"/>
              <w:rPr>
                <w:rFonts w:ascii="標楷體" w:eastAsia="標楷體" w:hAnsi="標楷體"/>
                <w:szCs w:val="24"/>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DE42E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性別</w:t>
            </w: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B8709B" w14:textId="77777777" w:rsidR="00401786" w:rsidRPr="007215CF" w:rsidRDefault="00401786" w:rsidP="000E757E">
            <w:pPr>
              <w:spacing w:line="240" w:lineRule="atLeast"/>
              <w:rPr>
                <w:rFonts w:ascii="標楷體" w:eastAsia="標楷體" w:hAnsi="標楷體"/>
                <w:szCs w:val="24"/>
              </w:rPr>
            </w:pPr>
          </w:p>
        </w:tc>
        <w:tc>
          <w:tcPr>
            <w:tcW w:w="113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C4ACF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出生日期</w:t>
            </w:r>
          </w:p>
        </w:tc>
        <w:tc>
          <w:tcPr>
            <w:tcW w:w="2545" w:type="dxa"/>
            <w:gridSpan w:val="2"/>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92D7F70" w14:textId="77777777" w:rsidR="00401786" w:rsidRPr="007215CF" w:rsidRDefault="00401786" w:rsidP="000E757E">
            <w:pPr>
              <w:spacing w:line="240" w:lineRule="atLeast"/>
              <w:rPr>
                <w:rFonts w:ascii="標楷體" w:eastAsia="標楷體" w:hAnsi="標楷體"/>
                <w:szCs w:val="24"/>
              </w:rPr>
            </w:pPr>
          </w:p>
        </w:tc>
        <w:tc>
          <w:tcPr>
            <w:tcW w:w="43" w:type="dxa"/>
            <w:shd w:val="clear" w:color="auto" w:fill="auto"/>
            <w:tcMar>
              <w:top w:w="0" w:type="dxa"/>
              <w:left w:w="10" w:type="dxa"/>
              <w:bottom w:w="0" w:type="dxa"/>
              <w:right w:w="10" w:type="dxa"/>
            </w:tcMar>
          </w:tcPr>
          <w:p w14:paraId="217ECC7F" w14:textId="77777777" w:rsidR="00401786" w:rsidRPr="007215CF" w:rsidRDefault="00401786" w:rsidP="000E757E">
            <w:pPr>
              <w:spacing w:line="240" w:lineRule="atLeast"/>
              <w:rPr>
                <w:rFonts w:ascii="標楷體" w:eastAsia="標楷體" w:hAnsi="標楷體"/>
                <w:szCs w:val="24"/>
              </w:rPr>
            </w:pPr>
          </w:p>
        </w:tc>
      </w:tr>
      <w:tr w:rsidR="00401786" w:rsidRPr="007215CF" w14:paraId="097F8803" w14:textId="77777777">
        <w:trPr>
          <w:trHeight w:val="356"/>
        </w:trPr>
        <w:tc>
          <w:tcPr>
            <w:tcW w:w="1414" w:type="dxa"/>
            <w:gridSpan w:val="3"/>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C7FC6B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身分證號</w:t>
            </w:r>
          </w:p>
        </w:tc>
        <w:tc>
          <w:tcPr>
            <w:tcW w:w="169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F6B218" w14:textId="77777777" w:rsidR="00401786" w:rsidRPr="007215CF" w:rsidRDefault="00401786" w:rsidP="000E757E">
            <w:pPr>
              <w:spacing w:line="240" w:lineRule="atLeast"/>
              <w:rPr>
                <w:rFonts w:ascii="標楷體" w:eastAsia="標楷體" w:hAnsi="標楷體"/>
                <w:szCs w:val="24"/>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1B203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病歷號碼</w:t>
            </w: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EB04549" w14:textId="77777777" w:rsidR="00401786" w:rsidRPr="007215CF" w:rsidRDefault="00401786" w:rsidP="000E757E">
            <w:pPr>
              <w:spacing w:line="240" w:lineRule="atLeast"/>
              <w:rPr>
                <w:rFonts w:ascii="標楷體" w:eastAsia="標楷體" w:hAnsi="標楷體"/>
                <w:szCs w:val="24"/>
              </w:rPr>
            </w:pPr>
          </w:p>
        </w:tc>
        <w:tc>
          <w:tcPr>
            <w:tcW w:w="1133" w:type="dxa"/>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B5ED0D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使用期間</w:t>
            </w:r>
          </w:p>
        </w:tc>
        <w:tc>
          <w:tcPr>
            <w:tcW w:w="2545" w:type="dxa"/>
            <w:gridSpan w:val="2"/>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F7FBC3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自　　年　　月　　日</w:t>
            </w:r>
          </w:p>
        </w:tc>
        <w:tc>
          <w:tcPr>
            <w:tcW w:w="43" w:type="dxa"/>
            <w:shd w:val="clear" w:color="auto" w:fill="auto"/>
            <w:tcMar>
              <w:top w:w="0" w:type="dxa"/>
              <w:left w:w="10" w:type="dxa"/>
              <w:bottom w:w="0" w:type="dxa"/>
              <w:right w:w="10" w:type="dxa"/>
            </w:tcMar>
          </w:tcPr>
          <w:p w14:paraId="4263CB6A" w14:textId="77777777" w:rsidR="00401786" w:rsidRPr="007215CF" w:rsidRDefault="00401786" w:rsidP="000E757E">
            <w:pPr>
              <w:spacing w:line="240" w:lineRule="atLeast"/>
              <w:rPr>
                <w:rFonts w:ascii="標楷體" w:eastAsia="標楷體" w:hAnsi="標楷體"/>
                <w:szCs w:val="24"/>
              </w:rPr>
            </w:pPr>
          </w:p>
        </w:tc>
      </w:tr>
      <w:tr w:rsidR="00401786" w:rsidRPr="007215CF" w14:paraId="29895432" w14:textId="77777777">
        <w:trPr>
          <w:trHeight w:val="337"/>
        </w:trPr>
        <w:tc>
          <w:tcPr>
            <w:tcW w:w="1414" w:type="dxa"/>
            <w:gridSpan w:val="3"/>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C91A12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藥品代碼</w:t>
            </w:r>
          </w:p>
        </w:tc>
        <w:tc>
          <w:tcPr>
            <w:tcW w:w="1699" w:type="dxa"/>
            <w:gridSpan w:val="2"/>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9E00246" w14:textId="77777777" w:rsidR="00401786" w:rsidRPr="007215CF" w:rsidRDefault="00401786" w:rsidP="000E757E">
            <w:pPr>
              <w:spacing w:line="240" w:lineRule="atLeast"/>
              <w:rPr>
                <w:rFonts w:ascii="標楷體" w:eastAsia="標楷體" w:hAnsi="標楷體"/>
                <w:szCs w:val="24"/>
              </w:rPr>
            </w:pPr>
          </w:p>
        </w:tc>
        <w:tc>
          <w:tcPr>
            <w:tcW w:w="127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1C41EC2"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用法用量</w:t>
            </w:r>
          </w:p>
        </w:tc>
        <w:tc>
          <w:tcPr>
            <w:tcW w:w="155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BDCBE88" w14:textId="77777777" w:rsidR="00401786" w:rsidRPr="007215CF" w:rsidRDefault="00401786" w:rsidP="000E757E">
            <w:pPr>
              <w:spacing w:line="240" w:lineRule="atLeast"/>
              <w:rPr>
                <w:rFonts w:ascii="標楷體" w:eastAsia="標楷體" w:hAnsi="標楷體"/>
                <w:szCs w:val="24"/>
              </w:rPr>
            </w:pPr>
          </w:p>
        </w:tc>
        <w:tc>
          <w:tcPr>
            <w:tcW w:w="1133" w:type="dxa"/>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E86613D" w14:textId="77777777" w:rsidR="00401786" w:rsidRPr="007215CF" w:rsidRDefault="00401786" w:rsidP="000E757E">
            <w:pPr>
              <w:spacing w:line="240" w:lineRule="atLeast"/>
              <w:rPr>
                <w:rFonts w:ascii="標楷體" w:eastAsia="標楷體" w:hAnsi="標楷體"/>
                <w:szCs w:val="24"/>
              </w:rPr>
            </w:pPr>
          </w:p>
        </w:tc>
        <w:tc>
          <w:tcPr>
            <w:tcW w:w="2545" w:type="dxa"/>
            <w:gridSpan w:val="2"/>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44D487C"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至　　年　　月　　日</w:t>
            </w:r>
          </w:p>
        </w:tc>
        <w:tc>
          <w:tcPr>
            <w:tcW w:w="43" w:type="dxa"/>
            <w:shd w:val="clear" w:color="auto" w:fill="auto"/>
            <w:tcMar>
              <w:top w:w="0" w:type="dxa"/>
              <w:left w:w="10" w:type="dxa"/>
              <w:bottom w:w="0" w:type="dxa"/>
              <w:right w:w="10" w:type="dxa"/>
            </w:tcMar>
          </w:tcPr>
          <w:p w14:paraId="03E2A966" w14:textId="77777777" w:rsidR="00401786" w:rsidRPr="007215CF" w:rsidRDefault="00401786" w:rsidP="000E757E">
            <w:pPr>
              <w:spacing w:line="240" w:lineRule="atLeast"/>
              <w:rPr>
                <w:rFonts w:ascii="標楷體" w:eastAsia="標楷體" w:hAnsi="標楷體"/>
                <w:szCs w:val="24"/>
              </w:rPr>
            </w:pPr>
          </w:p>
        </w:tc>
      </w:tr>
      <w:tr w:rsidR="00401786" w:rsidRPr="007215CF" w14:paraId="2DFE4EB3" w14:textId="77777777">
        <w:trPr>
          <w:trHeight w:val="10729"/>
        </w:trPr>
        <w:tc>
          <w:tcPr>
            <w:tcW w:w="9622" w:type="dxa"/>
            <w:gridSpan w:val="11"/>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46FC71A"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符合確診為全身型急性膿疱性乾癬之初次療程：</w:t>
            </w:r>
            <w:r w:rsidRPr="007215CF">
              <w:rPr>
                <w:rFonts w:ascii="標楷體" w:eastAsia="標楷體" w:hAnsi="標楷體"/>
                <w:szCs w:val="24"/>
              </w:rPr>
              <w:t xml:space="preserve"> </w:t>
            </w:r>
          </w:p>
          <w:p w14:paraId="1F35E81F" w14:textId="77777777" w:rsidR="00401786" w:rsidRPr="007215CF" w:rsidRDefault="00C64FB3" w:rsidP="002144EC">
            <w:pPr>
              <w:numPr>
                <w:ilvl w:val="0"/>
                <w:numId w:val="100"/>
              </w:numPr>
              <w:spacing w:line="240" w:lineRule="atLeast"/>
              <w:ind w:left="811" w:hanging="567"/>
              <w:rPr>
                <w:szCs w:val="24"/>
              </w:rPr>
            </w:pPr>
            <w:r w:rsidRPr="007215CF">
              <w:rPr>
                <w:rFonts w:ascii="標楷體" w:eastAsia="標楷體" w:hAnsi="標楷體"/>
                <w:szCs w:val="24"/>
              </w:rPr>
              <w:t xml:space="preserve">□ </w:t>
            </w:r>
            <w:proofErr w:type="gramStart"/>
            <w:r w:rsidRPr="007215CF">
              <w:rPr>
                <w:rFonts w:ascii="標楷體" w:eastAsia="標楷體" w:hAnsi="標楷體"/>
                <w:szCs w:val="24"/>
              </w:rPr>
              <w:t>孕齡女性</w:t>
            </w:r>
            <w:proofErr w:type="gramEnd"/>
            <w:r w:rsidRPr="007215CF">
              <w:rPr>
                <w:rFonts w:ascii="標楷體" w:eastAsia="標楷體" w:hAnsi="標楷體"/>
                <w:szCs w:val="24"/>
              </w:rPr>
              <w:t>(患者年齡: _____ 歲_____ 月)，且有懷孕可能者。</w:t>
            </w:r>
          </w:p>
          <w:p w14:paraId="72169F29" w14:textId="77777777" w:rsidR="00401786" w:rsidRPr="007215CF" w:rsidRDefault="00C64FB3" w:rsidP="002144EC">
            <w:pPr>
              <w:numPr>
                <w:ilvl w:val="0"/>
                <w:numId w:val="100"/>
              </w:numPr>
              <w:spacing w:line="240" w:lineRule="atLeast"/>
              <w:ind w:left="811" w:hanging="567"/>
              <w:rPr>
                <w:szCs w:val="24"/>
              </w:rPr>
            </w:pPr>
            <w:r w:rsidRPr="007215CF">
              <w:rPr>
                <w:rFonts w:ascii="標楷體" w:eastAsia="標楷體" w:hAnsi="標楷體"/>
                <w:szCs w:val="24"/>
              </w:rPr>
              <w:t>□ 伴有膿疱之紅腫部位侵犯體表面積BSA:_____%（需附上治療前照片）。</w:t>
            </w:r>
          </w:p>
          <w:p w14:paraId="68E4E70C" w14:textId="77777777" w:rsidR="00401786" w:rsidRPr="007215CF" w:rsidRDefault="00C64FB3" w:rsidP="002144EC">
            <w:pPr>
              <w:numPr>
                <w:ilvl w:val="0"/>
                <w:numId w:val="100"/>
              </w:numPr>
              <w:spacing w:line="240" w:lineRule="atLeast"/>
              <w:ind w:left="811" w:hanging="567"/>
              <w:rPr>
                <w:rFonts w:ascii="標楷體" w:eastAsia="標楷體" w:hAnsi="標楷體"/>
                <w:szCs w:val="24"/>
              </w:rPr>
            </w:pPr>
            <w:r w:rsidRPr="007215CF">
              <w:rPr>
                <w:rFonts w:ascii="標楷體" w:eastAsia="標楷體" w:hAnsi="標楷體"/>
                <w:szCs w:val="24"/>
              </w:rPr>
              <w:t>□ 伴有系統性症狀包括發燒及白血球增多症等</w:t>
            </w:r>
          </w:p>
          <w:p w14:paraId="30809AA4" w14:textId="77777777" w:rsidR="00401786" w:rsidRPr="007215CF" w:rsidRDefault="00C64FB3" w:rsidP="000E757E">
            <w:pPr>
              <w:spacing w:line="240" w:lineRule="atLeast"/>
              <w:rPr>
                <w:szCs w:val="24"/>
              </w:rPr>
            </w:pPr>
            <w:r w:rsidRPr="007215CF">
              <w:rPr>
                <w:rFonts w:ascii="標楷體" w:eastAsia="標楷體" w:hAnsi="標楷體"/>
                <w:szCs w:val="24"/>
              </w:rPr>
              <w:t xml:space="preserve">□ </w:t>
            </w:r>
            <w:r w:rsidRPr="007215CF">
              <w:rPr>
                <w:rFonts w:ascii="標楷體" w:eastAsia="標楷體" w:hAnsi="標楷體"/>
                <w:b/>
                <w:szCs w:val="24"/>
              </w:rPr>
              <w:t>符合繼續使用之療效評估：</w:t>
            </w:r>
          </w:p>
          <w:p w14:paraId="50B952E7" w14:textId="77777777" w:rsidR="00401786" w:rsidRPr="007215CF" w:rsidRDefault="00C64FB3" w:rsidP="000E757E">
            <w:pPr>
              <w:spacing w:line="240" w:lineRule="atLeast"/>
              <w:ind w:left="811"/>
              <w:rPr>
                <w:rFonts w:ascii="標楷體" w:eastAsia="標楷體" w:hAnsi="標楷體"/>
                <w:szCs w:val="24"/>
              </w:rPr>
            </w:pPr>
            <w:r w:rsidRPr="007215CF">
              <w:rPr>
                <w:rFonts w:ascii="標楷體" w:eastAsia="標楷體" w:hAnsi="標楷體"/>
                <w:szCs w:val="24"/>
              </w:rPr>
              <w:t>□ 於療程之第4</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評估時，經治療後仍有膿疱持續超過四周。</w:t>
            </w:r>
          </w:p>
          <w:p w14:paraId="70AE5323" w14:textId="77777777" w:rsidR="00401786" w:rsidRPr="007215CF" w:rsidRDefault="00C64FB3" w:rsidP="000E757E">
            <w:pPr>
              <w:spacing w:line="240" w:lineRule="atLeast"/>
              <w:ind w:left="2" w:firstLine="1"/>
              <w:jc w:val="center"/>
              <w:rPr>
                <w:szCs w:val="24"/>
              </w:rPr>
            </w:pPr>
            <w:r w:rsidRPr="007215CF">
              <w:rPr>
                <w:rFonts w:ascii="標楷體" w:eastAsia="標楷體" w:hAnsi="標楷體"/>
                <w:b/>
                <w:szCs w:val="24"/>
              </w:rPr>
              <w:t>當次申請之</w:t>
            </w:r>
            <w:r w:rsidRPr="007215CF">
              <w:rPr>
                <w:rFonts w:ascii="標楷體" w:eastAsia="標楷體" w:hAnsi="標楷體"/>
                <w:b/>
                <w:szCs w:val="24"/>
                <w:u w:val="single"/>
              </w:rPr>
              <w:t>生物製劑</w:t>
            </w:r>
            <w:r w:rsidRPr="007215CF">
              <w:rPr>
                <w:rFonts w:ascii="標楷體" w:eastAsia="標楷體" w:hAnsi="標楷體"/>
                <w:b/>
                <w:szCs w:val="24"/>
              </w:rPr>
              <w:t>使用時間及使用劑量：</w:t>
            </w:r>
          </w:p>
          <w:tbl>
            <w:tblPr>
              <w:tblW w:w="8452" w:type="dxa"/>
              <w:tblInd w:w="675" w:type="dxa"/>
              <w:tblLayout w:type="fixed"/>
              <w:tblCellMar>
                <w:left w:w="10" w:type="dxa"/>
                <w:right w:w="10" w:type="dxa"/>
              </w:tblCellMar>
              <w:tblLook w:val="0000" w:firstRow="0" w:lastRow="0" w:firstColumn="0" w:lastColumn="0" w:noHBand="0" w:noVBand="0"/>
            </w:tblPr>
            <w:tblGrid>
              <w:gridCol w:w="1816"/>
              <w:gridCol w:w="1816"/>
              <w:gridCol w:w="1985"/>
              <w:gridCol w:w="2835"/>
            </w:tblGrid>
            <w:tr w:rsidR="00401786" w:rsidRPr="007215CF" w14:paraId="3E1A9062" w14:textId="77777777">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B8632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使用生物製劑</w:t>
                  </w: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05EFA"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使用劑量</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08832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9D0D78"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治療前後BSA數值</w:t>
                  </w:r>
                </w:p>
              </w:tc>
            </w:tr>
            <w:tr w:rsidR="00401786" w:rsidRPr="007215CF" w14:paraId="43EBA51A" w14:textId="77777777">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21C6A3"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E162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35E10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1D071FE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602156" w14:textId="77777777" w:rsidR="00401786" w:rsidRPr="007215CF" w:rsidRDefault="00401786" w:rsidP="000E757E">
                  <w:pPr>
                    <w:spacing w:line="240" w:lineRule="atLeast"/>
                    <w:rPr>
                      <w:rFonts w:ascii="標楷體" w:eastAsia="標楷體" w:hAnsi="標楷體"/>
                      <w:szCs w:val="24"/>
                    </w:rPr>
                  </w:pPr>
                </w:p>
              </w:tc>
            </w:tr>
            <w:tr w:rsidR="00401786" w:rsidRPr="007215CF" w14:paraId="7AAB78A4" w14:textId="77777777">
              <w:trPr>
                <w:trHeight w:val="878"/>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29AD83"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F256FA" w14:textId="77777777" w:rsidR="00401786" w:rsidRPr="007215CF" w:rsidRDefault="00401786" w:rsidP="000E757E">
                  <w:pPr>
                    <w:spacing w:line="240" w:lineRule="atLeast"/>
                    <w:rPr>
                      <w:rFonts w:ascii="標楷體" w:eastAsia="標楷體" w:hAnsi="標楷體"/>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F8D3D" w14:textId="77777777" w:rsidR="00401786" w:rsidRPr="007215CF" w:rsidRDefault="00401786" w:rsidP="000E757E">
                  <w:pPr>
                    <w:spacing w:line="240" w:lineRule="atLeast"/>
                    <w:rPr>
                      <w:rFonts w:ascii="標楷體" w:eastAsia="標楷體" w:hAnsi="標楷體"/>
                      <w:szCs w:val="24"/>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DA1D85" w14:textId="77777777" w:rsidR="00401786" w:rsidRPr="007215CF" w:rsidRDefault="00401786" w:rsidP="000E757E">
                  <w:pPr>
                    <w:spacing w:line="240" w:lineRule="atLeast"/>
                    <w:rPr>
                      <w:rFonts w:ascii="標楷體" w:eastAsia="標楷體" w:hAnsi="標楷體"/>
                      <w:szCs w:val="24"/>
                    </w:rPr>
                  </w:pPr>
                </w:p>
              </w:tc>
            </w:tr>
          </w:tbl>
          <w:p w14:paraId="1F401933"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符合疾病再復發之重新申請：</w:t>
            </w:r>
            <w:r w:rsidRPr="007215CF">
              <w:rPr>
                <w:rFonts w:ascii="標楷體" w:eastAsia="標楷體" w:hAnsi="標楷體"/>
                <w:szCs w:val="24"/>
              </w:rPr>
              <w:t xml:space="preserve"> </w:t>
            </w:r>
          </w:p>
          <w:p w14:paraId="79138979" w14:textId="77777777" w:rsidR="00401786" w:rsidRPr="007215CF" w:rsidRDefault="00C64FB3" w:rsidP="002144EC">
            <w:pPr>
              <w:numPr>
                <w:ilvl w:val="0"/>
                <w:numId w:val="101"/>
              </w:numPr>
              <w:spacing w:line="240" w:lineRule="atLeast"/>
              <w:ind w:left="811" w:hanging="567"/>
              <w:rPr>
                <w:szCs w:val="24"/>
              </w:rPr>
            </w:pPr>
            <w:r w:rsidRPr="007215CF">
              <w:rPr>
                <w:rFonts w:ascii="標楷體" w:eastAsia="標楷體" w:hAnsi="標楷體"/>
                <w:szCs w:val="24"/>
              </w:rPr>
              <w:t xml:space="preserve">□ </w:t>
            </w:r>
            <w:proofErr w:type="gramStart"/>
            <w:r w:rsidRPr="007215CF">
              <w:rPr>
                <w:rFonts w:ascii="標楷體" w:eastAsia="標楷體" w:hAnsi="標楷體"/>
                <w:szCs w:val="24"/>
              </w:rPr>
              <w:t>孕齡女性</w:t>
            </w:r>
            <w:proofErr w:type="gramEnd"/>
            <w:r w:rsidRPr="007215CF">
              <w:rPr>
                <w:rFonts w:ascii="標楷體" w:eastAsia="標楷體" w:hAnsi="標楷體"/>
                <w:szCs w:val="24"/>
              </w:rPr>
              <w:t>(患者年齡: _____ 歲_____ 月)，且有懷孕可能者。</w:t>
            </w:r>
          </w:p>
          <w:p w14:paraId="7D8DDFE3" w14:textId="77777777" w:rsidR="00401786" w:rsidRPr="007215CF" w:rsidRDefault="00C64FB3" w:rsidP="002144EC">
            <w:pPr>
              <w:numPr>
                <w:ilvl w:val="0"/>
                <w:numId w:val="101"/>
              </w:numPr>
              <w:spacing w:line="240" w:lineRule="atLeast"/>
              <w:ind w:left="811" w:hanging="567"/>
              <w:rPr>
                <w:rFonts w:ascii="標楷體" w:eastAsia="標楷體" w:hAnsi="標楷體"/>
                <w:szCs w:val="24"/>
              </w:rPr>
            </w:pPr>
            <w:r w:rsidRPr="007215CF">
              <w:rPr>
                <w:rFonts w:ascii="標楷體" w:eastAsia="標楷體" w:hAnsi="標楷體"/>
                <w:szCs w:val="24"/>
              </w:rPr>
              <w:t>□ 伴有膿疱之紅腫部位侵犯體表面積BSA:_____%（需附上前次治療前後照片）。</w:t>
            </w:r>
          </w:p>
          <w:p w14:paraId="46D30E43" w14:textId="77777777" w:rsidR="00401786" w:rsidRPr="007215CF" w:rsidRDefault="00C64FB3" w:rsidP="002144EC">
            <w:pPr>
              <w:numPr>
                <w:ilvl w:val="0"/>
                <w:numId w:val="101"/>
              </w:numPr>
              <w:spacing w:line="240" w:lineRule="atLeast"/>
              <w:ind w:left="811" w:hanging="567"/>
              <w:rPr>
                <w:rFonts w:ascii="標楷體" w:eastAsia="標楷體" w:hAnsi="標楷體"/>
                <w:szCs w:val="24"/>
              </w:rPr>
            </w:pPr>
            <w:r w:rsidRPr="007215CF">
              <w:rPr>
                <w:rFonts w:ascii="標楷體" w:eastAsia="標楷體" w:hAnsi="標楷體"/>
                <w:szCs w:val="24"/>
              </w:rPr>
              <w:t>□ 伴有系統性症狀包括發燒及白血球增多症等</w:t>
            </w:r>
          </w:p>
          <w:p w14:paraId="29D6F17D" w14:textId="77777777" w:rsidR="00401786" w:rsidRPr="007215CF" w:rsidRDefault="00C64FB3" w:rsidP="000E757E">
            <w:pPr>
              <w:spacing w:line="240" w:lineRule="atLeast"/>
              <w:jc w:val="center"/>
              <w:rPr>
                <w:szCs w:val="24"/>
              </w:rPr>
            </w:pPr>
            <w:r w:rsidRPr="007215CF">
              <w:rPr>
                <w:rFonts w:ascii="標楷體" w:eastAsia="標楷體" w:hAnsi="標楷體"/>
                <w:b/>
                <w:szCs w:val="24"/>
              </w:rPr>
              <w:t>上次申請之</w:t>
            </w:r>
            <w:r w:rsidRPr="007215CF">
              <w:rPr>
                <w:rFonts w:ascii="標楷體" w:eastAsia="標楷體" w:hAnsi="標楷體"/>
                <w:b/>
                <w:szCs w:val="24"/>
                <w:u w:val="single"/>
              </w:rPr>
              <w:t>生物製劑</w:t>
            </w:r>
            <w:r w:rsidRPr="007215CF">
              <w:rPr>
                <w:rFonts w:ascii="標楷體" w:eastAsia="標楷體" w:hAnsi="標楷體"/>
                <w:b/>
                <w:szCs w:val="24"/>
              </w:rPr>
              <w:t>使用時間及使用劑量：</w:t>
            </w:r>
          </w:p>
          <w:tbl>
            <w:tblPr>
              <w:tblW w:w="8452" w:type="dxa"/>
              <w:tblInd w:w="675" w:type="dxa"/>
              <w:tblLayout w:type="fixed"/>
              <w:tblCellMar>
                <w:left w:w="10" w:type="dxa"/>
                <w:right w:w="10" w:type="dxa"/>
              </w:tblCellMar>
              <w:tblLook w:val="0000" w:firstRow="0" w:lastRow="0" w:firstColumn="0" w:lastColumn="0" w:noHBand="0" w:noVBand="0"/>
            </w:tblPr>
            <w:tblGrid>
              <w:gridCol w:w="1816"/>
              <w:gridCol w:w="1816"/>
              <w:gridCol w:w="1985"/>
              <w:gridCol w:w="2835"/>
            </w:tblGrid>
            <w:tr w:rsidR="00401786" w:rsidRPr="007215CF" w14:paraId="64090884" w14:textId="77777777">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FB176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使用生物製劑</w:t>
                  </w: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BCF5AC"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使用劑量</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29B6F9"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5D7972"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治療前後BSA數值</w:t>
                  </w:r>
                </w:p>
              </w:tc>
            </w:tr>
            <w:tr w:rsidR="00401786" w:rsidRPr="007215CF" w14:paraId="75D31A25" w14:textId="77777777">
              <w:trPr>
                <w:trHeight w:val="533"/>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98A4C4"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F5D3D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CD84E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2B704DA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F3724" w14:textId="77777777" w:rsidR="00401786" w:rsidRPr="007215CF" w:rsidRDefault="00401786" w:rsidP="000E757E">
                  <w:pPr>
                    <w:spacing w:line="240" w:lineRule="atLeast"/>
                    <w:rPr>
                      <w:rFonts w:ascii="標楷體" w:eastAsia="標楷體" w:hAnsi="標楷體"/>
                      <w:szCs w:val="24"/>
                    </w:rPr>
                  </w:pPr>
                </w:p>
              </w:tc>
            </w:tr>
            <w:tr w:rsidR="00401786" w:rsidRPr="007215CF" w14:paraId="366AB775" w14:textId="77777777">
              <w:trPr>
                <w:trHeight w:val="1116"/>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EF4E1"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523E4" w14:textId="77777777" w:rsidR="00401786" w:rsidRPr="007215CF" w:rsidRDefault="00401786" w:rsidP="000E757E">
                  <w:pPr>
                    <w:spacing w:line="240" w:lineRule="atLeast"/>
                    <w:rPr>
                      <w:rFonts w:ascii="標楷體" w:eastAsia="標楷體" w:hAnsi="標楷體"/>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DEDEF5" w14:textId="77777777" w:rsidR="00401786" w:rsidRPr="007215CF" w:rsidRDefault="00401786" w:rsidP="000E757E">
                  <w:pPr>
                    <w:spacing w:line="240" w:lineRule="atLeast"/>
                    <w:rPr>
                      <w:rFonts w:ascii="標楷體" w:eastAsia="標楷體" w:hAnsi="標楷體"/>
                      <w:szCs w:val="24"/>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1C4407" w14:textId="77777777" w:rsidR="00401786" w:rsidRPr="007215CF" w:rsidRDefault="00401786" w:rsidP="000E757E">
                  <w:pPr>
                    <w:spacing w:line="240" w:lineRule="atLeast"/>
                    <w:rPr>
                      <w:rFonts w:ascii="標楷體" w:eastAsia="標楷體" w:hAnsi="標楷體"/>
                      <w:szCs w:val="24"/>
                    </w:rPr>
                  </w:pPr>
                </w:p>
              </w:tc>
            </w:tr>
            <w:tr w:rsidR="00401786" w:rsidRPr="007215CF" w14:paraId="6533AA1C" w14:textId="77777777">
              <w:trPr>
                <w:trHeight w:val="1116"/>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0CC12C"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5B7B43" w14:textId="77777777" w:rsidR="00401786" w:rsidRPr="007215CF" w:rsidRDefault="00401786" w:rsidP="000E757E">
                  <w:pPr>
                    <w:spacing w:line="240" w:lineRule="atLeast"/>
                    <w:rPr>
                      <w:rFonts w:ascii="標楷體" w:eastAsia="標楷體" w:hAnsi="標楷體"/>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4C813" w14:textId="77777777" w:rsidR="00401786" w:rsidRPr="007215CF" w:rsidRDefault="00401786" w:rsidP="000E757E">
                  <w:pPr>
                    <w:spacing w:line="240" w:lineRule="atLeast"/>
                    <w:rPr>
                      <w:rFonts w:ascii="標楷體" w:eastAsia="標楷體" w:hAnsi="標楷體"/>
                      <w:szCs w:val="24"/>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CC8228" w14:textId="77777777" w:rsidR="00401786" w:rsidRPr="007215CF" w:rsidRDefault="00401786" w:rsidP="000E757E">
                  <w:pPr>
                    <w:spacing w:line="240" w:lineRule="atLeast"/>
                    <w:rPr>
                      <w:rFonts w:ascii="標楷體" w:eastAsia="標楷體" w:hAnsi="標楷體"/>
                      <w:szCs w:val="24"/>
                    </w:rPr>
                  </w:pPr>
                </w:p>
                <w:p w14:paraId="19A9F8BF" w14:textId="77777777" w:rsidR="00401786" w:rsidRPr="007215CF" w:rsidRDefault="00401786" w:rsidP="000E757E">
                  <w:pPr>
                    <w:spacing w:line="240" w:lineRule="atLeast"/>
                    <w:rPr>
                      <w:rFonts w:ascii="標楷體" w:eastAsia="標楷體" w:hAnsi="標楷體"/>
                      <w:szCs w:val="24"/>
                    </w:rPr>
                  </w:pPr>
                </w:p>
                <w:p w14:paraId="28B8846A" w14:textId="77777777" w:rsidR="00401786" w:rsidRPr="007215CF" w:rsidRDefault="00401786" w:rsidP="000E757E">
                  <w:pPr>
                    <w:spacing w:line="240" w:lineRule="atLeast"/>
                    <w:rPr>
                      <w:rFonts w:ascii="標楷體" w:eastAsia="標楷體" w:hAnsi="標楷體"/>
                      <w:szCs w:val="24"/>
                    </w:rPr>
                  </w:pPr>
                </w:p>
                <w:p w14:paraId="49BCA5DB" w14:textId="77777777" w:rsidR="00401786" w:rsidRPr="007215CF" w:rsidRDefault="00401786" w:rsidP="000E757E">
                  <w:pPr>
                    <w:spacing w:line="240" w:lineRule="atLeast"/>
                    <w:rPr>
                      <w:rFonts w:ascii="標楷體" w:eastAsia="標楷體" w:hAnsi="標楷體"/>
                      <w:szCs w:val="24"/>
                    </w:rPr>
                  </w:pPr>
                </w:p>
              </w:tc>
            </w:tr>
          </w:tbl>
          <w:p w14:paraId="0A11CF10" w14:textId="77777777" w:rsidR="00401786" w:rsidRPr="007215CF" w:rsidRDefault="00401786" w:rsidP="000E757E">
            <w:pPr>
              <w:spacing w:line="240" w:lineRule="atLeast"/>
              <w:rPr>
                <w:rFonts w:ascii="標楷體" w:eastAsia="標楷體" w:hAnsi="標楷體"/>
                <w:szCs w:val="24"/>
              </w:rPr>
            </w:pPr>
          </w:p>
        </w:tc>
        <w:tc>
          <w:tcPr>
            <w:tcW w:w="43" w:type="dxa"/>
            <w:shd w:val="clear" w:color="auto" w:fill="auto"/>
            <w:tcMar>
              <w:top w:w="0" w:type="dxa"/>
              <w:left w:w="10" w:type="dxa"/>
              <w:bottom w:w="0" w:type="dxa"/>
              <w:right w:w="10" w:type="dxa"/>
            </w:tcMar>
          </w:tcPr>
          <w:p w14:paraId="684158F3" w14:textId="77777777" w:rsidR="00401786" w:rsidRPr="007215CF" w:rsidRDefault="00401786" w:rsidP="000E757E">
            <w:pPr>
              <w:spacing w:line="240" w:lineRule="atLeast"/>
              <w:rPr>
                <w:rFonts w:ascii="標楷體" w:eastAsia="標楷體" w:hAnsi="標楷體"/>
                <w:szCs w:val="24"/>
              </w:rPr>
            </w:pPr>
          </w:p>
        </w:tc>
      </w:tr>
      <w:tr w:rsidR="00401786" w:rsidRPr="007215CF" w14:paraId="01C38A7A" w14:textId="77777777">
        <w:trPr>
          <w:trHeight w:val="281"/>
        </w:trPr>
        <w:tc>
          <w:tcPr>
            <w:tcW w:w="9622" w:type="dxa"/>
            <w:gridSpan w:val="11"/>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101DFC80" w14:textId="77777777" w:rsidR="00401786" w:rsidRPr="007215CF" w:rsidRDefault="00C64FB3" w:rsidP="000E757E">
            <w:pPr>
              <w:spacing w:line="240" w:lineRule="atLeast"/>
              <w:ind w:left="120"/>
              <w:rPr>
                <w:szCs w:val="24"/>
              </w:rPr>
            </w:pPr>
            <w:r w:rsidRPr="007215CF">
              <w:rPr>
                <w:rFonts w:ascii="標楷體" w:eastAsia="標楷體" w:hAnsi="標楷體" w:cs="Webdings"/>
                <w:szCs w:val="24"/>
              </w:rPr>
              <w:t></w:t>
            </w:r>
            <w:r w:rsidRPr="007215CF">
              <w:rPr>
                <w:rFonts w:ascii="標楷體" w:eastAsia="標楷體" w:hAnsi="標楷體"/>
                <w:b/>
                <w:szCs w:val="24"/>
              </w:rPr>
              <w:t>無「需排除或停止使用之情形」</w:t>
            </w:r>
          </w:p>
        </w:tc>
        <w:tc>
          <w:tcPr>
            <w:tcW w:w="43" w:type="dxa"/>
            <w:shd w:val="clear" w:color="auto" w:fill="auto"/>
            <w:tcMar>
              <w:top w:w="0" w:type="dxa"/>
              <w:left w:w="10" w:type="dxa"/>
              <w:bottom w:w="0" w:type="dxa"/>
              <w:right w:w="10" w:type="dxa"/>
            </w:tcMar>
          </w:tcPr>
          <w:p w14:paraId="696C7B50" w14:textId="77777777" w:rsidR="00401786" w:rsidRPr="007215CF" w:rsidRDefault="00401786" w:rsidP="000E757E">
            <w:pPr>
              <w:spacing w:line="240" w:lineRule="atLeast"/>
              <w:ind w:left="120"/>
              <w:rPr>
                <w:rFonts w:ascii="標楷體" w:eastAsia="標楷體" w:hAnsi="標楷體"/>
                <w:szCs w:val="24"/>
              </w:rPr>
            </w:pPr>
          </w:p>
        </w:tc>
      </w:tr>
      <w:tr w:rsidR="00401786" w:rsidRPr="007215CF" w14:paraId="222FC37A" w14:textId="77777777">
        <w:trPr>
          <w:trHeight w:val="799"/>
        </w:trPr>
        <w:tc>
          <w:tcPr>
            <w:tcW w:w="811"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5A418B3" w14:textId="77777777" w:rsidR="00401786" w:rsidRPr="007215CF" w:rsidRDefault="00401786" w:rsidP="000E757E">
            <w:pPr>
              <w:spacing w:line="240" w:lineRule="atLeast"/>
              <w:textAlignment w:val="center"/>
              <w:rPr>
                <w:rFonts w:ascii="標楷體" w:eastAsia="標楷體" w:hAnsi="標楷體"/>
                <w:szCs w:val="24"/>
              </w:rPr>
            </w:pPr>
          </w:p>
        </w:tc>
        <w:tc>
          <w:tcPr>
            <w:tcW w:w="1326" w:type="dxa"/>
            <w:gridSpan w:val="3"/>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547594" w14:textId="77777777" w:rsidR="00401786" w:rsidRPr="007215CF" w:rsidRDefault="00C64FB3" w:rsidP="002144EC">
            <w:pPr>
              <w:numPr>
                <w:ilvl w:val="0"/>
                <w:numId w:val="102"/>
              </w:numPr>
              <w:tabs>
                <w:tab w:val="left" w:pos="425"/>
              </w:tabs>
              <w:spacing w:line="240" w:lineRule="atLeast"/>
              <w:ind w:left="425" w:hanging="255"/>
              <w:textAlignment w:val="center"/>
              <w:rPr>
                <w:rFonts w:ascii="標楷體" w:eastAsia="標楷體" w:hAnsi="標楷體"/>
                <w:szCs w:val="24"/>
              </w:rPr>
            </w:pPr>
            <w:r w:rsidRPr="007215CF">
              <w:rPr>
                <w:rFonts w:ascii="標楷體" w:eastAsia="標楷體" w:hAnsi="標楷體"/>
                <w:szCs w:val="24"/>
              </w:rPr>
              <w:t xml:space="preserve"> 是</w:t>
            </w:r>
          </w:p>
          <w:p w14:paraId="1A2F847C" w14:textId="77777777" w:rsidR="00401786" w:rsidRPr="007215CF" w:rsidRDefault="00C64FB3" w:rsidP="002144EC">
            <w:pPr>
              <w:numPr>
                <w:ilvl w:val="0"/>
                <w:numId w:val="102"/>
              </w:numPr>
              <w:tabs>
                <w:tab w:val="left" w:pos="425"/>
              </w:tabs>
              <w:spacing w:line="240" w:lineRule="atLeast"/>
              <w:ind w:left="425" w:hanging="255"/>
              <w:textAlignment w:val="center"/>
              <w:rPr>
                <w:rFonts w:ascii="標楷體" w:eastAsia="標楷體" w:hAnsi="標楷體"/>
                <w:szCs w:val="24"/>
              </w:rPr>
            </w:pPr>
            <w:r w:rsidRPr="007215CF">
              <w:rPr>
                <w:rFonts w:ascii="標楷體" w:eastAsia="標楷體" w:hAnsi="標楷體"/>
                <w:szCs w:val="24"/>
              </w:rPr>
              <w:t xml:space="preserve"> 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BFA5B18"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是否有生物製劑仿單記載之禁忌情形。</w:t>
            </w:r>
          </w:p>
        </w:tc>
        <w:tc>
          <w:tcPr>
            <w:tcW w:w="43" w:type="dxa"/>
            <w:shd w:val="clear" w:color="auto" w:fill="auto"/>
            <w:tcMar>
              <w:top w:w="0" w:type="dxa"/>
              <w:left w:w="10" w:type="dxa"/>
              <w:bottom w:w="0" w:type="dxa"/>
              <w:right w:w="10" w:type="dxa"/>
            </w:tcMar>
          </w:tcPr>
          <w:p w14:paraId="3E857D96"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35CD5413"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D6AECF3" w14:textId="77777777" w:rsidR="00401786" w:rsidRPr="007215CF" w:rsidRDefault="00401786" w:rsidP="000E757E">
            <w:pPr>
              <w:spacing w:line="240" w:lineRule="atLeast"/>
              <w:textAlignment w:val="center"/>
              <w:rPr>
                <w:rFonts w:ascii="標楷體" w:eastAsia="標楷體" w:hAnsi="標楷體"/>
                <w:szCs w:val="24"/>
              </w:rPr>
            </w:pPr>
          </w:p>
          <w:p w14:paraId="2A10E0A6"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8706E3"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2B20105A"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8201707"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43" w:type="dxa"/>
            <w:shd w:val="clear" w:color="auto" w:fill="auto"/>
            <w:tcMar>
              <w:top w:w="0" w:type="dxa"/>
              <w:left w:w="10" w:type="dxa"/>
              <w:bottom w:w="0" w:type="dxa"/>
              <w:right w:w="10" w:type="dxa"/>
            </w:tcMar>
          </w:tcPr>
          <w:p w14:paraId="52202236"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744F882C"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11F2A4E"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A6BE2A"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6EDA2433"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1ABBBA7"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43" w:type="dxa"/>
            <w:shd w:val="clear" w:color="auto" w:fill="auto"/>
            <w:tcMar>
              <w:top w:w="0" w:type="dxa"/>
              <w:left w:w="10" w:type="dxa"/>
              <w:bottom w:w="0" w:type="dxa"/>
              <w:right w:w="10" w:type="dxa"/>
            </w:tcMar>
          </w:tcPr>
          <w:p w14:paraId="744ACAB5"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609E732C"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A27FB18"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D88BFA"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407EE1DE"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EABD8A3"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病患是否具有高度感染機會之情形，其中包括1.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患感染性關節炎者，4.人工關節受到感染〈該人工關節未除去前，不可使用生物製劑〉，5.頑固性或復發性的胸腔感染疾病，6.具有留置導尿管之情形。</w:t>
            </w:r>
          </w:p>
        </w:tc>
        <w:tc>
          <w:tcPr>
            <w:tcW w:w="43" w:type="dxa"/>
            <w:shd w:val="clear" w:color="auto" w:fill="auto"/>
            <w:tcMar>
              <w:top w:w="0" w:type="dxa"/>
              <w:left w:w="10" w:type="dxa"/>
              <w:bottom w:w="0" w:type="dxa"/>
              <w:right w:w="10" w:type="dxa"/>
            </w:tcMar>
          </w:tcPr>
          <w:p w14:paraId="01A2E100"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31634B11"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9B54557"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A31DE30"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6625D17E"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3E2CAEE"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43" w:type="dxa"/>
            <w:shd w:val="clear" w:color="auto" w:fill="auto"/>
            <w:tcMar>
              <w:top w:w="0" w:type="dxa"/>
              <w:left w:w="10" w:type="dxa"/>
              <w:bottom w:w="0" w:type="dxa"/>
              <w:right w:w="10" w:type="dxa"/>
            </w:tcMar>
          </w:tcPr>
          <w:p w14:paraId="3E8FE57A"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25A64684"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943AB89"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1870E0"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78AF0D80"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EA5D651"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患多發性硬化症(multiple sclerosis)</w:t>
            </w:r>
          </w:p>
        </w:tc>
        <w:tc>
          <w:tcPr>
            <w:tcW w:w="43" w:type="dxa"/>
            <w:shd w:val="clear" w:color="auto" w:fill="auto"/>
            <w:tcMar>
              <w:top w:w="0" w:type="dxa"/>
              <w:left w:w="10" w:type="dxa"/>
              <w:bottom w:w="0" w:type="dxa"/>
              <w:right w:w="10" w:type="dxa"/>
            </w:tcMar>
          </w:tcPr>
          <w:p w14:paraId="6B1BD424"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5A686BEB"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6EBFCE8"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525102"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2EFA95F7"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E57EF35"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於初次療程，經</w:t>
            </w:r>
            <w:proofErr w:type="gramStart"/>
            <w:r w:rsidRPr="007215CF">
              <w:rPr>
                <w:rFonts w:ascii="標楷體" w:eastAsia="標楷體" w:hAnsi="標楷體"/>
                <w:szCs w:val="24"/>
              </w:rPr>
              <w:t>治療後體表面積</w:t>
            </w:r>
            <w:proofErr w:type="gramEnd"/>
            <w:r w:rsidRPr="007215CF">
              <w:rPr>
                <w:rFonts w:ascii="標楷體" w:eastAsia="標楷體" w:hAnsi="標楷體"/>
                <w:szCs w:val="24"/>
              </w:rPr>
              <w:t>下降程度未達50%</w:t>
            </w:r>
          </w:p>
        </w:tc>
        <w:tc>
          <w:tcPr>
            <w:tcW w:w="43" w:type="dxa"/>
            <w:shd w:val="clear" w:color="auto" w:fill="auto"/>
            <w:tcMar>
              <w:top w:w="0" w:type="dxa"/>
              <w:left w:w="10" w:type="dxa"/>
              <w:bottom w:w="0" w:type="dxa"/>
              <w:right w:w="10" w:type="dxa"/>
            </w:tcMar>
          </w:tcPr>
          <w:p w14:paraId="6E80B338"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352969EA" w14:textId="77777777">
        <w:trPr>
          <w:trHeight w:val="834"/>
        </w:trPr>
        <w:tc>
          <w:tcPr>
            <w:tcW w:w="899" w:type="dxa"/>
            <w:gridSpan w:val="2"/>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73010AE2"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0A0B6B41"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731E467F" w14:textId="77777777" w:rsidR="00401786" w:rsidRPr="007215CF" w:rsidRDefault="00C64FB3" w:rsidP="002144EC">
            <w:pPr>
              <w:numPr>
                <w:ilvl w:val="0"/>
                <w:numId w:val="102"/>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B836494" w14:textId="77777777" w:rsidR="00401786" w:rsidRPr="007215CF" w:rsidRDefault="00C64FB3" w:rsidP="000E757E">
            <w:pPr>
              <w:spacing w:line="240" w:lineRule="atLeast"/>
              <w:textAlignment w:val="center"/>
              <w:rPr>
                <w:szCs w:val="24"/>
              </w:rPr>
            </w:pPr>
            <w:r w:rsidRPr="007215CF">
              <w:rPr>
                <w:rFonts w:ascii="標楷體" w:eastAsia="標楷體" w:hAnsi="標楷體"/>
                <w:szCs w:val="24"/>
              </w:rPr>
              <w:t>使用</w:t>
            </w:r>
            <w:r w:rsidRPr="007215CF">
              <w:rPr>
                <w:rFonts w:ascii="標楷體" w:eastAsia="標楷體" w:hAnsi="標楷體"/>
                <w:szCs w:val="24"/>
                <w:u w:val="single"/>
              </w:rPr>
              <w:t>生物製劑期間</w:t>
            </w:r>
            <w:r w:rsidRPr="007215CF">
              <w:rPr>
                <w:rFonts w:ascii="標楷體" w:eastAsia="標楷體" w:hAnsi="標楷體"/>
                <w:szCs w:val="24"/>
              </w:rPr>
              <w:t>發生懷孕或不良事件(包括：惡性腫瘤、該藥物引起的嚴重毒性、嚴重的感染性疾病)</w:t>
            </w:r>
          </w:p>
        </w:tc>
        <w:tc>
          <w:tcPr>
            <w:tcW w:w="43" w:type="dxa"/>
            <w:shd w:val="clear" w:color="auto" w:fill="auto"/>
            <w:tcMar>
              <w:top w:w="0" w:type="dxa"/>
              <w:left w:w="10" w:type="dxa"/>
              <w:bottom w:w="0" w:type="dxa"/>
              <w:right w:w="10" w:type="dxa"/>
            </w:tcMar>
          </w:tcPr>
          <w:p w14:paraId="2AB67814"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7B672871" w14:textId="77777777">
        <w:trPr>
          <w:trHeight w:val="1048"/>
        </w:trPr>
        <w:tc>
          <w:tcPr>
            <w:tcW w:w="6210" w:type="dxa"/>
            <w:gridSpan w:val="8"/>
            <w:shd w:val="clear" w:color="auto" w:fill="auto"/>
            <w:tcMar>
              <w:top w:w="0" w:type="dxa"/>
              <w:left w:w="28" w:type="dxa"/>
              <w:bottom w:w="0" w:type="dxa"/>
              <w:right w:w="28" w:type="dxa"/>
            </w:tcMar>
          </w:tcPr>
          <w:p w14:paraId="10D0F6E6" w14:textId="77777777" w:rsidR="00401786" w:rsidRPr="007215CF" w:rsidRDefault="00401786" w:rsidP="000E757E">
            <w:pPr>
              <w:spacing w:line="240" w:lineRule="atLeast"/>
              <w:textAlignment w:val="center"/>
              <w:rPr>
                <w:rFonts w:ascii="標楷體" w:eastAsia="標楷體" w:hAnsi="標楷體"/>
                <w:szCs w:val="24"/>
              </w:rPr>
            </w:pPr>
          </w:p>
          <w:p w14:paraId="3B9C9492" w14:textId="77777777" w:rsidR="00401786" w:rsidRPr="007215CF" w:rsidRDefault="00C64FB3" w:rsidP="000E757E">
            <w:pPr>
              <w:spacing w:line="240" w:lineRule="atLeast"/>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r w:rsidRPr="007215CF">
              <w:rPr>
                <w:rFonts w:ascii="標楷體" w:eastAsia="標楷體" w:hAnsi="標楷體"/>
                <w:szCs w:val="24"/>
              </w:rPr>
              <w:t xml:space="preserve">  </w:t>
            </w:r>
          </w:p>
          <w:p w14:paraId="00FC75AB" w14:textId="77777777" w:rsidR="00401786" w:rsidRPr="007215CF" w:rsidRDefault="00C64FB3" w:rsidP="000E757E">
            <w:pPr>
              <w:spacing w:line="240" w:lineRule="atLeast"/>
              <w:textAlignment w:val="center"/>
              <w:rPr>
                <w:szCs w:val="24"/>
              </w:rPr>
            </w:pPr>
            <w:r w:rsidRPr="007215CF">
              <w:rPr>
                <w:rFonts w:ascii="標楷體" w:eastAsia="標楷體" w:hAnsi="標楷體"/>
                <w:szCs w:val="24"/>
              </w:rPr>
              <w:t>專科醫師證書：</w:t>
            </w:r>
            <w:r w:rsidRPr="007215CF">
              <w:rPr>
                <w:rFonts w:ascii="標楷體" w:eastAsia="標楷體" w:hAnsi="標楷體"/>
                <w:szCs w:val="24"/>
                <w:u w:val="single"/>
              </w:rPr>
              <w:t xml:space="preserve">    </w:t>
            </w:r>
            <w:r w:rsidRPr="007215CF">
              <w:rPr>
                <w:rFonts w:ascii="標楷體" w:eastAsia="標楷體" w:hAnsi="標楷體"/>
                <w:szCs w:val="24"/>
              </w:rPr>
              <w:t>專字第</w:t>
            </w:r>
            <w:r w:rsidRPr="007215CF">
              <w:rPr>
                <w:rFonts w:ascii="標楷體" w:eastAsia="標楷體" w:hAnsi="標楷體"/>
                <w:szCs w:val="24"/>
                <w:u w:val="single"/>
              </w:rPr>
              <w:t xml:space="preserve">　　　　 　  </w:t>
            </w:r>
            <w:r w:rsidRPr="007215CF">
              <w:rPr>
                <w:rFonts w:ascii="標楷體" w:eastAsia="標楷體" w:hAnsi="標楷體"/>
                <w:szCs w:val="24"/>
              </w:rPr>
              <w:t>號</w:t>
            </w:r>
          </w:p>
          <w:p w14:paraId="703ABF51" w14:textId="77777777" w:rsidR="00401786" w:rsidRPr="007215CF" w:rsidRDefault="00401786" w:rsidP="000E757E">
            <w:pPr>
              <w:tabs>
                <w:tab w:val="left" w:pos="2912"/>
              </w:tabs>
              <w:spacing w:line="240" w:lineRule="atLeast"/>
              <w:textAlignment w:val="center"/>
              <w:rPr>
                <w:rFonts w:ascii="標楷體" w:eastAsia="標楷體" w:hAnsi="標楷體"/>
                <w:szCs w:val="24"/>
                <w:u w:val="single"/>
              </w:rPr>
            </w:pPr>
          </w:p>
        </w:tc>
        <w:tc>
          <w:tcPr>
            <w:tcW w:w="3372" w:type="dxa"/>
            <w:gridSpan w:val="2"/>
            <w:shd w:val="clear" w:color="auto" w:fill="auto"/>
            <w:tcMar>
              <w:top w:w="0" w:type="dxa"/>
              <w:left w:w="28" w:type="dxa"/>
              <w:bottom w:w="0" w:type="dxa"/>
              <w:right w:w="28" w:type="dxa"/>
            </w:tcMar>
          </w:tcPr>
          <w:p w14:paraId="18CA67FC" w14:textId="77777777" w:rsidR="00401786" w:rsidRPr="007215CF" w:rsidRDefault="00401786" w:rsidP="000E757E">
            <w:pPr>
              <w:spacing w:line="240" w:lineRule="atLeast"/>
              <w:textAlignment w:val="center"/>
              <w:rPr>
                <w:rFonts w:ascii="標楷體" w:eastAsia="標楷體" w:hAnsi="標楷體"/>
                <w:szCs w:val="24"/>
              </w:rPr>
            </w:pPr>
          </w:p>
          <w:p w14:paraId="28040098" w14:textId="77777777" w:rsidR="00401786" w:rsidRPr="007215CF" w:rsidRDefault="00C64FB3" w:rsidP="000E757E">
            <w:pPr>
              <w:spacing w:line="240" w:lineRule="atLeast"/>
              <w:textAlignment w:val="center"/>
              <w:rPr>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40" w:type="dxa"/>
            <w:shd w:val="clear" w:color="auto" w:fill="auto"/>
            <w:tcMar>
              <w:top w:w="0" w:type="dxa"/>
              <w:left w:w="10" w:type="dxa"/>
              <w:bottom w:w="0" w:type="dxa"/>
              <w:right w:w="10" w:type="dxa"/>
            </w:tcMar>
          </w:tcPr>
          <w:p w14:paraId="3C979D16" w14:textId="77777777" w:rsidR="00401786" w:rsidRPr="007215CF" w:rsidRDefault="00401786" w:rsidP="000E757E">
            <w:pPr>
              <w:spacing w:line="240" w:lineRule="atLeast"/>
              <w:textAlignment w:val="center"/>
              <w:rPr>
                <w:rFonts w:ascii="標楷體" w:eastAsia="標楷體" w:hAnsi="標楷體"/>
                <w:szCs w:val="24"/>
              </w:rPr>
            </w:pPr>
          </w:p>
        </w:tc>
        <w:tc>
          <w:tcPr>
            <w:tcW w:w="43" w:type="dxa"/>
            <w:shd w:val="clear" w:color="auto" w:fill="auto"/>
            <w:tcMar>
              <w:top w:w="0" w:type="dxa"/>
              <w:left w:w="10" w:type="dxa"/>
              <w:bottom w:w="0" w:type="dxa"/>
              <w:right w:w="10" w:type="dxa"/>
            </w:tcMar>
          </w:tcPr>
          <w:p w14:paraId="1F7234FA" w14:textId="77777777" w:rsidR="00401786" w:rsidRPr="007215CF" w:rsidRDefault="00401786" w:rsidP="000E757E">
            <w:pPr>
              <w:spacing w:line="240" w:lineRule="atLeast"/>
              <w:textAlignment w:val="center"/>
              <w:rPr>
                <w:rFonts w:ascii="標楷體" w:eastAsia="標楷體" w:hAnsi="標楷體"/>
                <w:szCs w:val="24"/>
              </w:rPr>
            </w:pPr>
          </w:p>
        </w:tc>
      </w:tr>
    </w:tbl>
    <w:p w14:paraId="3F877E26" w14:textId="77777777" w:rsidR="00401786" w:rsidRDefault="00401786" w:rsidP="000E757E">
      <w:pPr>
        <w:widowControl/>
        <w:spacing w:line="240" w:lineRule="atLeast"/>
        <w:rPr>
          <w:rFonts w:ascii="標楷體" w:eastAsia="標楷體" w:hAnsi="標楷體"/>
          <w:sz w:val="28"/>
          <w:szCs w:val="28"/>
        </w:rPr>
      </w:pPr>
    </w:p>
    <w:p w14:paraId="4BFF3E76" w14:textId="77777777" w:rsidR="00401786" w:rsidRDefault="00401786" w:rsidP="000E757E">
      <w:pPr>
        <w:pStyle w:val="Standard"/>
        <w:spacing w:line="240" w:lineRule="atLeast"/>
        <w:ind w:hanging="560"/>
        <w:jc w:val="center"/>
        <w:rPr>
          <w:rFonts w:ascii="標楷體" w:eastAsia="標楷體" w:hAnsi="標楷體"/>
          <w:szCs w:val="22"/>
        </w:rPr>
      </w:pPr>
    </w:p>
    <w:p w14:paraId="1A0C19B9" w14:textId="77777777" w:rsidR="00401786" w:rsidRDefault="00401786" w:rsidP="000E757E">
      <w:pPr>
        <w:widowControl/>
        <w:suppressAutoHyphens w:val="0"/>
        <w:spacing w:line="240" w:lineRule="atLeast"/>
        <w:rPr>
          <w:rFonts w:eastAsia="標楷體"/>
        </w:rPr>
      </w:pPr>
    </w:p>
    <w:p w14:paraId="5D43946A" w14:textId="77777777" w:rsidR="00401786" w:rsidRDefault="00401786" w:rsidP="000E757E">
      <w:pPr>
        <w:widowControl/>
        <w:suppressAutoHyphens w:val="0"/>
        <w:spacing w:line="240" w:lineRule="atLeast"/>
        <w:rPr>
          <w:rFonts w:eastAsia="標楷體"/>
        </w:rPr>
      </w:pPr>
    </w:p>
    <w:p w14:paraId="04A187EB" w14:textId="77777777" w:rsidR="00401786" w:rsidRDefault="00401786" w:rsidP="000E757E">
      <w:pPr>
        <w:widowControl/>
        <w:suppressAutoHyphens w:val="0"/>
        <w:spacing w:line="240" w:lineRule="atLeast"/>
        <w:rPr>
          <w:rFonts w:eastAsia="標楷體"/>
        </w:rPr>
      </w:pPr>
    </w:p>
    <w:p w14:paraId="43E7FAF1" w14:textId="77777777" w:rsidR="00401786" w:rsidRDefault="00401786" w:rsidP="000E757E">
      <w:pPr>
        <w:widowControl/>
        <w:suppressAutoHyphens w:val="0"/>
        <w:spacing w:line="240" w:lineRule="atLeast"/>
        <w:rPr>
          <w:rFonts w:eastAsia="標楷體"/>
        </w:rPr>
      </w:pPr>
    </w:p>
    <w:p w14:paraId="3592CEB6" w14:textId="77777777" w:rsidR="00401786" w:rsidRDefault="00401786" w:rsidP="000E757E">
      <w:pPr>
        <w:pageBreakBefore/>
        <w:widowControl/>
        <w:suppressAutoHyphens w:val="0"/>
        <w:spacing w:line="240" w:lineRule="atLeast"/>
        <w:rPr>
          <w:rFonts w:eastAsia="標楷體"/>
        </w:rPr>
      </w:pPr>
    </w:p>
    <w:p w14:paraId="5C10E9D1" w14:textId="77777777" w:rsidR="00401786" w:rsidRPr="007215CF" w:rsidRDefault="00C64FB3" w:rsidP="000E757E">
      <w:pPr>
        <w:widowControl/>
        <w:spacing w:line="240" w:lineRule="atLeast"/>
        <w:jc w:val="center"/>
        <w:rPr>
          <w:szCs w:val="24"/>
        </w:rPr>
      </w:pPr>
      <w:r w:rsidRPr="007215CF">
        <w:rPr>
          <w:rFonts w:ascii="標楷體" w:eastAsia="標楷體" w:hAnsi="標楷體"/>
          <w:b/>
          <w:szCs w:val="24"/>
        </w:rPr>
        <w:t>附表二十四之五：</w:t>
      </w:r>
      <w:r w:rsidRPr="007215CF">
        <w:rPr>
          <w:rFonts w:ascii="標楷體" w:eastAsia="標楷體" w:hAnsi="標楷體"/>
          <w:b/>
          <w:bCs/>
          <w:szCs w:val="24"/>
        </w:rPr>
        <w:t>掌</w:t>
      </w:r>
      <w:proofErr w:type="gramStart"/>
      <w:r w:rsidRPr="007215CF">
        <w:rPr>
          <w:rFonts w:ascii="標楷體" w:eastAsia="標楷體" w:hAnsi="標楷體"/>
          <w:b/>
          <w:bCs/>
          <w:szCs w:val="24"/>
        </w:rPr>
        <w:t>蹠膿皰症面積</w:t>
      </w:r>
      <w:proofErr w:type="gramEnd"/>
      <w:r w:rsidRPr="007215CF">
        <w:rPr>
          <w:rFonts w:ascii="標楷體" w:eastAsia="標楷體" w:hAnsi="標楷體"/>
          <w:b/>
          <w:bCs/>
          <w:szCs w:val="24"/>
        </w:rPr>
        <w:t>暨嚴重度指數【Palmoplantar Pustulosis Area Severity Index (PPPASI)】</w:t>
      </w:r>
    </w:p>
    <w:p w14:paraId="0FE6DEA1" w14:textId="77777777" w:rsidR="00401786" w:rsidRPr="007215CF" w:rsidRDefault="00C64FB3" w:rsidP="000E757E">
      <w:pPr>
        <w:spacing w:line="240" w:lineRule="atLeast"/>
        <w:rPr>
          <w:szCs w:val="24"/>
        </w:rPr>
      </w:pPr>
      <w:r w:rsidRPr="007215CF">
        <w:rPr>
          <w:rFonts w:ascii="標楷體" w:eastAsia="標楷體" w:hAnsi="標楷體"/>
          <w:b/>
          <w:bCs/>
          <w:szCs w:val="24"/>
        </w:rPr>
        <w:t>1.掌</w:t>
      </w:r>
      <w:proofErr w:type="gramStart"/>
      <w:r w:rsidRPr="007215CF">
        <w:rPr>
          <w:rFonts w:ascii="標楷體" w:eastAsia="標楷體" w:hAnsi="標楷體"/>
          <w:b/>
          <w:bCs/>
          <w:szCs w:val="24"/>
        </w:rPr>
        <w:t>蹠膿皰症</w:t>
      </w:r>
      <w:r w:rsidRPr="007215CF">
        <w:rPr>
          <w:rFonts w:ascii="標楷體" w:eastAsia="標楷體" w:hAnsi="標楷體"/>
          <w:b/>
          <w:szCs w:val="24"/>
        </w:rPr>
        <w:t>面積</w:t>
      </w:r>
      <w:proofErr w:type="gramEnd"/>
      <w:r w:rsidRPr="007215CF">
        <w:rPr>
          <w:rFonts w:ascii="標楷體" w:eastAsia="標楷體" w:hAnsi="標楷體"/>
          <w:szCs w:val="24"/>
        </w:rPr>
        <w:t>（</w:t>
      </w:r>
      <w:r w:rsidRPr="007215CF">
        <w:rPr>
          <w:rFonts w:ascii="標楷體" w:eastAsia="標楷體" w:hAnsi="標楷體"/>
          <w:bCs/>
          <w:szCs w:val="24"/>
        </w:rPr>
        <w:t>A</w:t>
      </w:r>
      <w:r w:rsidRPr="007215CF">
        <w:rPr>
          <w:rFonts w:ascii="標楷體" w:eastAsia="標楷體" w:hAnsi="標楷體"/>
          <w:szCs w:val="24"/>
        </w:rPr>
        <w:t>rea）</w:t>
      </w:r>
    </w:p>
    <w:tbl>
      <w:tblPr>
        <w:tblW w:w="0" w:type="dxa"/>
        <w:tblInd w:w="261" w:type="dxa"/>
        <w:tblCellMar>
          <w:left w:w="10" w:type="dxa"/>
          <w:right w:w="10" w:type="dxa"/>
        </w:tblCellMar>
        <w:tblLook w:val="0000" w:firstRow="0" w:lastRow="0" w:firstColumn="0" w:lastColumn="0" w:noHBand="0" w:noVBand="0"/>
      </w:tblPr>
      <w:tblGrid>
        <w:gridCol w:w="1399"/>
        <w:gridCol w:w="987"/>
        <w:gridCol w:w="987"/>
        <w:gridCol w:w="1128"/>
        <w:gridCol w:w="1128"/>
        <w:gridCol w:w="1071"/>
        <w:gridCol w:w="1186"/>
        <w:gridCol w:w="1361"/>
      </w:tblGrid>
      <w:tr w:rsidR="00401786" w:rsidRPr="007215CF" w14:paraId="7F689C72" w14:textId="77777777">
        <w:tc>
          <w:tcPr>
            <w:tcW w:w="1399"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tcPr>
          <w:p w14:paraId="26F788F4"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涵蓋</w:t>
            </w:r>
          </w:p>
          <w:p w14:paraId="014DB08B"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程度</w:t>
            </w:r>
          </w:p>
        </w:tc>
        <w:tc>
          <w:tcPr>
            <w:tcW w:w="987"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C7A64F1"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0</w:t>
            </w:r>
            <w:proofErr w:type="gramStart"/>
            <w:r w:rsidRPr="007215CF">
              <w:rPr>
                <w:rFonts w:ascii="標楷體" w:eastAsia="標楷體" w:hAnsi="標楷體"/>
                <w:caps/>
                <w:szCs w:val="24"/>
              </w:rPr>
              <w:t>﹪</w:t>
            </w:r>
            <w:proofErr w:type="gramEnd"/>
          </w:p>
        </w:tc>
        <w:tc>
          <w:tcPr>
            <w:tcW w:w="987"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E7F3DFB"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＜10</w:t>
            </w:r>
            <w:proofErr w:type="gramStart"/>
            <w:r w:rsidRPr="007215CF">
              <w:rPr>
                <w:rFonts w:ascii="標楷體" w:eastAsia="標楷體" w:hAnsi="標楷體"/>
                <w:caps/>
                <w:szCs w:val="24"/>
              </w:rPr>
              <w:t>﹪</w:t>
            </w:r>
            <w:proofErr w:type="gramEnd"/>
          </w:p>
        </w:tc>
        <w:tc>
          <w:tcPr>
            <w:tcW w:w="1128"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2798FA7"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10-29</w:t>
            </w:r>
            <w:proofErr w:type="gramStart"/>
            <w:r w:rsidRPr="007215CF">
              <w:rPr>
                <w:rFonts w:ascii="標楷體" w:eastAsia="標楷體" w:hAnsi="標楷體"/>
                <w:caps/>
                <w:szCs w:val="24"/>
              </w:rPr>
              <w:t>﹪</w:t>
            </w:r>
            <w:proofErr w:type="gramEnd"/>
          </w:p>
        </w:tc>
        <w:tc>
          <w:tcPr>
            <w:tcW w:w="1128"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C88C41C"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30-49</w:t>
            </w:r>
            <w:proofErr w:type="gramStart"/>
            <w:r w:rsidRPr="007215CF">
              <w:rPr>
                <w:rFonts w:ascii="標楷體" w:eastAsia="標楷體" w:hAnsi="標楷體"/>
                <w:caps/>
                <w:szCs w:val="24"/>
              </w:rPr>
              <w:t>﹪</w:t>
            </w:r>
            <w:proofErr w:type="gramEnd"/>
          </w:p>
        </w:tc>
        <w:tc>
          <w:tcPr>
            <w:tcW w:w="1071"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5D83E7B"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50-69</w:t>
            </w:r>
            <w:proofErr w:type="gramStart"/>
            <w:r w:rsidRPr="007215CF">
              <w:rPr>
                <w:rFonts w:ascii="標楷體" w:eastAsia="標楷體" w:hAnsi="標楷體"/>
                <w:caps/>
                <w:szCs w:val="24"/>
              </w:rPr>
              <w:t>﹪</w:t>
            </w:r>
            <w:proofErr w:type="gramEnd"/>
          </w:p>
        </w:tc>
        <w:tc>
          <w:tcPr>
            <w:tcW w:w="118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3E19773"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70-89</w:t>
            </w:r>
            <w:proofErr w:type="gramStart"/>
            <w:r w:rsidRPr="007215CF">
              <w:rPr>
                <w:rFonts w:ascii="標楷體" w:eastAsia="標楷體" w:hAnsi="標楷體"/>
                <w:caps/>
                <w:szCs w:val="24"/>
              </w:rPr>
              <w:t>﹪</w:t>
            </w:r>
            <w:proofErr w:type="gramEnd"/>
          </w:p>
        </w:tc>
        <w:tc>
          <w:tcPr>
            <w:tcW w:w="1361"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107BFB69"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90-100</w:t>
            </w:r>
            <w:proofErr w:type="gramStart"/>
            <w:r w:rsidRPr="007215CF">
              <w:rPr>
                <w:rFonts w:ascii="標楷體" w:eastAsia="標楷體" w:hAnsi="標楷體"/>
                <w:caps/>
                <w:szCs w:val="24"/>
              </w:rPr>
              <w:t>﹪</w:t>
            </w:r>
            <w:proofErr w:type="gramEnd"/>
          </w:p>
        </w:tc>
      </w:tr>
      <w:tr w:rsidR="00401786" w:rsidRPr="007215CF" w14:paraId="3DC19BF7" w14:textId="77777777">
        <w:trPr>
          <w:trHeight w:val="554"/>
        </w:trPr>
        <w:tc>
          <w:tcPr>
            <w:tcW w:w="1399" w:type="dxa"/>
            <w:tcBorders>
              <w:top w:val="single" w:sz="6" w:space="0" w:color="000000"/>
              <w:left w:val="double" w:sz="6" w:space="0" w:color="000000"/>
              <w:bottom w:val="double" w:sz="4" w:space="0" w:color="000000"/>
              <w:right w:val="single" w:sz="6" w:space="0" w:color="000000"/>
            </w:tcBorders>
            <w:shd w:val="clear" w:color="auto" w:fill="E6E6E6"/>
            <w:tcMar>
              <w:top w:w="0" w:type="dxa"/>
              <w:left w:w="108" w:type="dxa"/>
              <w:bottom w:w="0" w:type="dxa"/>
              <w:right w:w="108" w:type="dxa"/>
            </w:tcMar>
          </w:tcPr>
          <w:p w14:paraId="6B46AF2F" w14:textId="77777777" w:rsidR="00401786" w:rsidRPr="007215CF" w:rsidRDefault="00C64FB3" w:rsidP="000E757E">
            <w:pPr>
              <w:spacing w:line="240" w:lineRule="atLeast"/>
              <w:jc w:val="right"/>
              <w:rPr>
                <w:rFonts w:ascii="標楷體" w:eastAsia="標楷體" w:hAnsi="標楷體"/>
                <w:szCs w:val="24"/>
              </w:rPr>
            </w:pPr>
            <w:r w:rsidRPr="007215CF">
              <w:rPr>
                <w:rFonts w:ascii="標楷體" w:eastAsia="標楷體" w:hAnsi="標楷體"/>
                <w:szCs w:val="24"/>
              </w:rPr>
              <w:t>分數</w:t>
            </w:r>
          </w:p>
          <w:p w14:paraId="11BB7BF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皮膚部位</w:t>
            </w:r>
          </w:p>
        </w:tc>
        <w:tc>
          <w:tcPr>
            <w:tcW w:w="987"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608F56C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0</w:t>
            </w:r>
          </w:p>
        </w:tc>
        <w:tc>
          <w:tcPr>
            <w:tcW w:w="987"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7600AB9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1</w:t>
            </w:r>
          </w:p>
        </w:tc>
        <w:tc>
          <w:tcPr>
            <w:tcW w:w="1128"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12C2B80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2</w:t>
            </w:r>
          </w:p>
        </w:tc>
        <w:tc>
          <w:tcPr>
            <w:tcW w:w="1128"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531A18F1"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3</w:t>
            </w:r>
          </w:p>
        </w:tc>
        <w:tc>
          <w:tcPr>
            <w:tcW w:w="1071"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2B3BA4D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4</w:t>
            </w:r>
          </w:p>
        </w:tc>
        <w:tc>
          <w:tcPr>
            <w:tcW w:w="1186"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2A2F133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5</w:t>
            </w:r>
          </w:p>
        </w:tc>
        <w:tc>
          <w:tcPr>
            <w:tcW w:w="1361" w:type="dxa"/>
            <w:tcBorders>
              <w:top w:val="single" w:sz="6" w:space="0" w:color="000000"/>
              <w:left w:val="single" w:sz="6" w:space="0" w:color="000000"/>
              <w:bottom w:val="double" w:sz="6" w:space="0" w:color="000000"/>
              <w:right w:val="double" w:sz="6" w:space="0" w:color="000000"/>
            </w:tcBorders>
            <w:shd w:val="clear" w:color="auto" w:fill="E6E6E6"/>
            <w:tcMar>
              <w:top w:w="0" w:type="dxa"/>
              <w:left w:w="108" w:type="dxa"/>
              <w:bottom w:w="0" w:type="dxa"/>
              <w:right w:w="108" w:type="dxa"/>
            </w:tcMar>
            <w:vAlign w:val="center"/>
          </w:tcPr>
          <w:p w14:paraId="6B01C3CE"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6</w:t>
            </w:r>
          </w:p>
        </w:tc>
      </w:tr>
    </w:tbl>
    <w:p w14:paraId="47891C6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  部位：右手掌(RP)、左手掌(LP)、</w:t>
      </w:r>
      <w:proofErr w:type="gramStart"/>
      <w:r w:rsidRPr="007215CF">
        <w:rPr>
          <w:rFonts w:ascii="標楷體" w:eastAsia="標楷體" w:hAnsi="標楷體"/>
          <w:szCs w:val="24"/>
        </w:rPr>
        <w:t>右足底</w:t>
      </w:r>
      <w:proofErr w:type="gramEnd"/>
      <w:r w:rsidRPr="007215CF">
        <w:rPr>
          <w:rFonts w:ascii="標楷體" w:eastAsia="標楷體" w:hAnsi="標楷體"/>
          <w:szCs w:val="24"/>
        </w:rPr>
        <w:t>(RS)、</w:t>
      </w:r>
      <w:proofErr w:type="gramStart"/>
      <w:r w:rsidRPr="007215CF">
        <w:rPr>
          <w:rFonts w:ascii="標楷體" w:eastAsia="標楷體" w:hAnsi="標楷體"/>
          <w:szCs w:val="24"/>
        </w:rPr>
        <w:t>左足底</w:t>
      </w:r>
      <w:proofErr w:type="gramEnd"/>
      <w:r w:rsidRPr="007215CF">
        <w:rPr>
          <w:rFonts w:ascii="標楷體" w:eastAsia="標楷體" w:hAnsi="標楷體"/>
          <w:szCs w:val="24"/>
        </w:rPr>
        <w:t>(LS)</w:t>
      </w:r>
    </w:p>
    <w:p w14:paraId="7212CAA4" w14:textId="77777777" w:rsidR="00401786" w:rsidRPr="007215CF" w:rsidRDefault="00C64FB3" w:rsidP="000E757E">
      <w:pPr>
        <w:spacing w:line="240" w:lineRule="atLeast"/>
        <w:rPr>
          <w:szCs w:val="24"/>
        </w:rPr>
      </w:pPr>
      <w:r w:rsidRPr="007215CF">
        <w:rPr>
          <w:rFonts w:ascii="標楷體" w:eastAsia="標楷體" w:hAnsi="標楷體"/>
          <w:b/>
          <w:bCs/>
          <w:szCs w:val="24"/>
        </w:rPr>
        <w:t>2.掌</w:t>
      </w:r>
      <w:proofErr w:type="gramStart"/>
      <w:r w:rsidRPr="007215CF">
        <w:rPr>
          <w:rFonts w:ascii="標楷體" w:eastAsia="標楷體" w:hAnsi="標楷體"/>
          <w:b/>
          <w:bCs/>
          <w:szCs w:val="24"/>
        </w:rPr>
        <w:t>蹠膿皰症</w:t>
      </w:r>
      <w:r w:rsidRPr="007215CF">
        <w:rPr>
          <w:rFonts w:ascii="標楷體" w:eastAsia="標楷體" w:hAnsi="標楷體"/>
          <w:b/>
          <w:szCs w:val="24"/>
        </w:rPr>
        <w:t>嚴重</w:t>
      </w:r>
      <w:proofErr w:type="gramEnd"/>
      <w:r w:rsidRPr="007215CF">
        <w:rPr>
          <w:rFonts w:ascii="標楷體" w:eastAsia="標楷體" w:hAnsi="標楷體"/>
          <w:b/>
          <w:szCs w:val="24"/>
        </w:rPr>
        <w:t>度</w:t>
      </w:r>
      <w:r w:rsidRPr="007215CF">
        <w:rPr>
          <w:rFonts w:ascii="標楷體" w:eastAsia="標楷體" w:hAnsi="標楷體"/>
          <w:szCs w:val="24"/>
        </w:rPr>
        <w:t>（Severity）：</w:t>
      </w:r>
    </w:p>
    <w:tbl>
      <w:tblPr>
        <w:tblW w:w="0" w:type="dxa"/>
        <w:tblInd w:w="261" w:type="dxa"/>
        <w:tblCellMar>
          <w:left w:w="10" w:type="dxa"/>
          <w:right w:w="10" w:type="dxa"/>
        </w:tblCellMar>
        <w:tblLook w:val="0000" w:firstRow="0" w:lastRow="0" w:firstColumn="0" w:lastColumn="0" w:noHBand="0" w:noVBand="0"/>
      </w:tblPr>
      <w:tblGrid>
        <w:gridCol w:w="1834"/>
        <w:gridCol w:w="1421"/>
        <w:gridCol w:w="1426"/>
        <w:gridCol w:w="1455"/>
        <w:gridCol w:w="1442"/>
        <w:gridCol w:w="1669"/>
      </w:tblGrid>
      <w:tr w:rsidR="00401786" w:rsidRPr="007215CF" w14:paraId="0FB15AD3" w14:textId="77777777">
        <w:tc>
          <w:tcPr>
            <w:tcW w:w="1834"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5F4FD1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嚴重度</w:t>
            </w:r>
          </w:p>
        </w:tc>
        <w:tc>
          <w:tcPr>
            <w:tcW w:w="1421"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329F7EB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BCD981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Slight</w:t>
            </w:r>
          </w:p>
        </w:tc>
        <w:tc>
          <w:tcPr>
            <w:tcW w:w="1455"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94F6646"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Moderate</w:t>
            </w:r>
          </w:p>
        </w:tc>
        <w:tc>
          <w:tcPr>
            <w:tcW w:w="144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46133158"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Severe</w:t>
            </w:r>
          </w:p>
        </w:tc>
        <w:tc>
          <w:tcPr>
            <w:tcW w:w="1669"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6958D35C"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Very Severe</w:t>
            </w:r>
          </w:p>
        </w:tc>
      </w:tr>
      <w:tr w:rsidR="00401786" w:rsidRPr="007215CF" w14:paraId="05BA8A1D" w14:textId="77777777">
        <w:tc>
          <w:tcPr>
            <w:tcW w:w="1834" w:type="dxa"/>
            <w:tcBorders>
              <w:top w:val="sing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1F6016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分數</w:t>
            </w:r>
          </w:p>
        </w:tc>
        <w:tc>
          <w:tcPr>
            <w:tcW w:w="1421"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5A1BC5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0</w:t>
            </w:r>
          </w:p>
        </w:tc>
        <w:tc>
          <w:tcPr>
            <w:tcW w:w="1426"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8C243B8"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1</w:t>
            </w:r>
          </w:p>
        </w:tc>
        <w:tc>
          <w:tcPr>
            <w:tcW w:w="1455"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FACD10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2</w:t>
            </w:r>
          </w:p>
        </w:tc>
        <w:tc>
          <w:tcPr>
            <w:tcW w:w="1442"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3DB8B3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3</w:t>
            </w:r>
          </w:p>
        </w:tc>
        <w:tc>
          <w:tcPr>
            <w:tcW w:w="1669" w:type="dxa"/>
            <w:tcBorders>
              <w:top w:val="sing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687904D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4</w:t>
            </w:r>
          </w:p>
        </w:tc>
      </w:tr>
      <w:tr w:rsidR="00401786" w:rsidRPr="007215CF" w14:paraId="72DA8DB4" w14:textId="77777777">
        <w:tc>
          <w:tcPr>
            <w:tcW w:w="1834"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0513940" w14:textId="77777777" w:rsidR="00401786" w:rsidRPr="007215CF" w:rsidRDefault="00C64FB3" w:rsidP="000E757E">
            <w:pPr>
              <w:spacing w:line="240" w:lineRule="atLeast"/>
              <w:jc w:val="center"/>
              <w:rPr>
                <w:szCs w:val="24"/>
              </w:rPr>
            </w:pPr>
            <w:r w:rsidRPr="007215CF">
              <w:rPr>
                <w:rFonts w:ascii="標楷體" w:eastAsia="標楷體" w:hAnsi="標楷體"/>
                <w:szCs w:val="24"/>
              </w:rPr>
              <w:t>發紅（</w:t>
            </w:r>
            <w:r w:rsidRPr="007215CF">
              <w:rPr>
                <w:rFonts w:ascii="標楷體" w:eastAsia="標楷體" w:hAnsi="標楷體"/>
                <w:b/>
                <w:bCs/>
                <w:szCs w:val="24"/>
              </w:rPr>
              <w:t>E</w:t>
            </w:r>
            <w:r w:rsidRPr="007215CF">
              <w:rPr>
                <w:rFonts w:ascii="標楷體" w:eastAsia="標楷體" w:hAnsi="標楷體"/>
                <w:szCs w:val="24"/>
              </w:rPr>
              <w:t>）</w:t>
            </w:r>
          </w:p>
        </w:tc>
        <w:tc>
          <w:tcPr>
            <w:tcW w:w="142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70E275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508EFD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Slight pink</w:t>
            </w:r>
          </w:p>
        </w:tc>
        <w:tc>
          <w:tcPr>
            <w:tcW w:w="145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2E5781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Pink</w:t>
            </w:r>
          </w:p>
        </w:tc>
        <w:tc>
          <w:tcPr>
            <w:tcW w:w="144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83C457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Red</w:t>
            </w:r>
          </w:p>
        </w:tc>
        <w:tc>
          <w:tcPr>
            <w:tcW w:w="1669"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1B42F5C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Dark red/purpura</w:t>
            </w:r>
          </w:p>
        </w:tc>
      </w:tr>
      <w:tr w:rsidR="00401786" w:rsidRPr="007215CF" w14:paraId="654C400E" w14:textId="77777777">
        <w:tc>
          <w:tcPr>
            <w:tcW w:w="1834"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57B331E" w14:textId="77777777" w:rsidR="00401786" w:rsidRPr="007215CF" w:rsidRDefault="00C64FB3" w:rsidP="000E757E">
            <w:pPr>
              <w:spacing w:line="240" w:lineRule="atLeast"/>
              <w:rPr>
                <w:szCs w:val="24"/>
              </w:rPr>
            </w:pPr>
            <w:r w:rsidRPr="007215CF">
              <w:rPr>
                <w:rFonts w:ascii="標楷體" w:eastAsia="標楷體" w:hAnsi="標楷體"/>
                <w:szCs w:val="24"/>
              </w:rPr>
              <w:t>膿皰/小水皰（</w:t>
            </w:r>
            <w:r w:rsidRPr="007215CF">
              <w:rPr>
                <w:rFonts w:ascii="標楷體" w:eastAsia="標楷體" w:hAnsi="標楷體"/>
                <w:b/>
                <w:bCs/>
                <w:szCs w:val="24"/>
              </w:rPr>
              <w:t>P</w:t>
            </w:r>
            <w:r w:rsidRPr="007215CF">
              <w:rPr>
                <w:rFonts w:ascii="標楷體" w:eastAsia="標楷體" w:hAnsi="標楷體"/>
                <w:szCs w:val="24"/>
              </w:rPr>
              <w:t>）</w:t>
            </w:r>
          </w:p>
        </w:tc>
        <w:tc>
          <w:tcPr>
            <w:tcW w:w="142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264E22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3442332"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Slight</w:t>
            </w:r>
          </w:p>
        </w:tc>
        <w:tc>
          <w:tcPr>
            <w:tcW w:w="145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806FDC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Moderate</w:t>
            </w:r>
          </w:p>
        </w:tc>
        <w:tc>
          <w:tcPr>
            <w:tcW w:w="144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F4248C7"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Severe</w:t>
            </w:r>
          </w:p>
        </w:tc>
        <w:tc>
          <w:tcPr>
            <w:tcW w:w="1669"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2CEEEEC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Very Severe</w:t>
            </w:r>
          </w:p>
        </w:tc>
      </w:tr>
      <w:tr w:rsidR="00401786" w:rsidRPr="007215CF" w14:paraId="3D4C1AC2" w14:textId="77777777">
        <w:tc>
          <w:tcPr>
            <w:tcW w:w="1834" w:type="dxa"/>
            <w:tcBorders>
              <w:top w:val="single" w:sz="6" w:space="0" w:color="000000"/>
              <w:left w:val="doub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39425684" w14:textId="77777777" w:rsidR="00401786" w:rsidRPr="007215CF" w:rsidRDefault="00C64FB3" w:rsidP="000E757E">
            <w:pPr>
              <w:spacing w:line="240" w:lineRule="atLeast"/>
              <w:jc w:val="center"/>
              <w:rPr>
                <w:szCs w:val="24"/>
              </w:rPr>
            </w:pPr>
            <w:r w:rsidRPr="007215CF">
              <w:rPr>
                <w:rFonts w:ascii="標楷體" w:eastAsia="標楷體" w:hAnsi="標楷體"/>
                <w:szCs w:val="24"/>
              </w:rPr>
              <w:t>脫屑狀況（</w:t>
            </w:r>
            <w:r w:rsidRPr="007215CF">
              <w:rPr>
                <w:rFonts w:ascii="標楷體" w:eastAsia="標楷體" w:hAnsi="標楷體"/>
                <w:b/>
                <w:bCs/>
                <w:szCs w:val="24"/>
              </w:rPr>
              <w:t>D</w:t>
            </w:r>
            <w:r w:rsidRPr="007215CF">
              <w:rPr>
                <w:rFonts w:ascii="標楷體" w:eastAsia="標楷體" w:hAnsi="標楷體"/>
                <w:szCs w:val="24"/>
              </w:rPr>
              <w:t>）</w:t>
            </w:r>
          </w:p>
        </w:tc>
        <w:tc>
          <w:tcPr>
            <w:tcW w:w="1421"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40FDE257"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66E0FC0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Fine scale</w:t>
            </w:r>
          </w:p>
        </w:tc>
        <w:tc>
          <w:tcPr>
            <w:tcW w:w="1455"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6031328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Coarse scales with most lesions partially covered by scale</w:t>
            </w:r>
          </w:p>
        </w:tc>
        <w:tc>
          <w:tcPr>
            <w:tcW w:w="1442"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5A6CD97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Coarse scales with almost all lesions covered by a rough surface</w:t>
            </w:r>
          </w:p>
        </w:tc>
        <w:tc>
          <w:tcPr>
            <w:tcW w:w="1669" w:type="dxa"/>
            <w:tcBorders>
              <w:top w:val="single" w:sz="6" w:space="0" w:color="000000"/>
              <w:left w:val="single" w:sz="6" w:space="0" w:color="000000"/>
              <w:bottom w:val="double" w:sz="6" w:space="0" w:color="000000"/>
              <w:right w:val="double" w:sz="6" w:space="0" w:color="000000"/>
            </w:tcBorders>
            <w:shd w:val="clear" w:color="auto" w:fill="auto"/>
            <w:tcMar>
              <w:top w:w="0" w:type="dxa"/>
              <w:left w:w="108" w:type="dxa"/>
              <w:bottom w:w="0" w:type="dxa"/>
              <w:right w:w="108" w:type="dxa"/>
            </w:tcMar>
            <w:vAlign w:val="center"/>
          </w:tcPr>
          <w:p w14:paraId="1CDF4AFA"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Very coarse thick scales covering all lesions, very rough surface</w:t>
            </w:r>
          </w:p>
        </w:tc>
      </w:tr>
    </w:tbl>
    <w:p w14:paraId="2BAB5853" w14:textId="77777777" w:rsidR="00401786" w:rsidRPr="007215CF" w:rsidRDefault="00C64FB3" w:rsidP="002144EC">
      <w:pPr>
        <w:pStyle w:val="af"/>
        <w:widowControl/>
        <w:numPr>
          <w:ilvl w:val="0"/>
          <w:numId w:val="103"/>
        </w:numPr>
        <w:suppressAutoHyphens w:val="0"/>
        <w:spacing w:before="100" w:after="142" w:line="240" w:lineRule="atLeast"/>
        <w:ind w:left="765"/>
        <w:textAlignment w:val="auto"/>
        <w:rPr>
          <w:szCs w:val="24"/>
        </w:rPr>
      </w:pPr>
      <w:r w:rsidRPr="007215CF">
        <w:rPr>
          <w:rFonts w:ascii="標楷體" w:eastAsia="標楷體" w:hAnsi="標楷體"/>
          <w:b/>
          <w:bCs/>
          <w:szCs w:val="24"/>
        </w:rPr>
        <w:t>掌</w:t>
      </w:r>
      <w:proofErr w:type="gramStart"/>
      <w:r w:rsidRPr="007215CF">
        <w:rPr>
          <w:rFonts w:ascii="標楷體" w:eastAsia="標楷體" w:hAnsi="標楷體"/>
          <w:b/>
          <w:bCs/>
          <w:szCs w:val="24"/>
        </w:rPr>
        <w:t>蹠膿皰症面積</w:t>
      </w:r>
      <w:proofErr w:type="gramEnd"/>
      <w:r w:rsidRPr="007215CF">
        <w:rPr>
          <w:rFonts w:ascii="標楷體" w:eastAsia="標楷體" w:hAnsi="標楷體"/>
          <w:b/>
          <w:bCs/>
          <w:szCs w:val="24"/>
        </w:rPr>
        <w:t>暨嚴重度指數</w:t>
      </w:r>
      <w:r w:rsidRPr="007215CF">
        <w:rPr>
          <w:rFonts w:ascii="標楷體" w:eastAsia="標楷體" w:hAnsi="標楷體" w:cs="Liberation Serif"/>
          <w:b/>
          <w:bCs/>
          <w:szCs w:val="24"/>
        </w:rPr>
        <w:t>(PPPASI)</w:t>
      </w:r>
      <w:r w:rsidRPr="007215CF">
        <w:rPr>
          <w:rFonts w:ascii="標楷體" w:eastAsia="標楷體" w:hAnsi="標楷體"/>
          <w:b/>
          <w:bCs/>
          <w:szCs w:val="24"/>
        </w:rPr>
        <w:t>評分表：</w:t>
      </w:r>
    </w:p>
    <w:p w14:paraId="67682571" w14:textId="77777777" w:rsidR="00401786" w:rsidRPr="007215CF" w:rsidRDefault="00C64FB3" w:rsidP="000E757E">
      <w:pPr>
        <w:pStyle w:val="af"/>
        <w:spacing w:before="100" w:after="142" w:line="240" w:lineRule="atLeast"/>
        <w:ind w:left="765"/>
        <w:rPr>
          <w:szCs w:val="24"/>
        </w:rPr>
      </w:pPr>
      <w:r w:rsidRPr="007215CF">
        <w:rPr>
          <w:rFonts w:ascii="標楷體" w:eastAsia="標楷體" w:hAnsi="標楷體"/>
          <w:b/>
          <w:szCs w:val="24"/>
        </w:rPr>
        <w:t>PPPASI＝0.2*（E</w:t>
      </w:r>
      <w:r w:rsidRPr="007215CF">
        <w:rPr>
          <w:rFonts w:ascii="標楷體" w:eastAsia="標楷體" w:hAnsi="標楷體"/>
          <w:b/>
          <w:szCs w:val="24"/>
          <w:vertAlign w:val="subscript"/>
        </w:rPr>
        <w:t>RP</w:t>
      </w:r>
      <w:r w:rsidRPr="007215CF">
        <w:rPr>
          <w:rFonts w:ascii="標楷體" w:eastAsia="標楷體" w:hAnsi="標楷體"/>
          <w:b/>
          <w:szCs w:val="24"/>
        </w:rPr>
        <w:t>＋P</w:t>
      </w:r>
      <w:r w:rsidRPr="007215CF">
        <w:rPr>
          <w:rFonts w:ascii="標楷體" w:eastAsia="標楷體" w:hAnsi="標楷體"/>
          <w:b/>
          <w:szCs w:val="24"/>
          <w:vertAlign w:val="subscript"/>
        </w:rPr>
        <w:t>RP</w:t>
      </w:r>
      <w:r w:rsidRPr="007215CF">
        <w:rPr>
          <w:rFonts w:ascii="標楷體" w:eastAsia="標楷體" w:hAnsi="標楷體"/>
          <w:b/>
          <w:szCs w:val="24"/>
        </w:rPr>
        <w:t>＋D</w:t>
      </w:r>
      <w:r w:rsidRPr="007215CF">
        <w:rPr>
          <w:rFonts w:ascii="標楷體" w:eastAsia="標楷體" w:hAnsi="標楷體"/>
          <w:b/>
          <w:szCs w:val="24"/>
          <w:vertAlign w:val="subscript"/>
        </w:rPr>
        <w:t>RP</w:t>
      </w:r>
      <w:r w:rsidRPr="007215CF">
        <w:rPr>
          <w:rFonts w:ascii="標楷體" w:eastAsia="標楷體" w:hAnsi="標楷體"/>
          <w:b/>
          <w:szCs w:val="24"/>
        </w:rPr>
        <w:t>）*A</w:t>
      </w:r>
      <w:r w:rsidRPr="007215CF">
        <w:rPr>
          <w:rFonts w:ascii="標楷體" w:eastAsia="標楷體" w:hAnsi="標楷體"/>
          <w:b/>
          <w:szCs w:val="24"/>
          <w:vertAlign w:val="subscript"/>
        </w:rPr>
        <w:t>RP</w:t>
      </w:r>
      <w:r w:rsidRPr="007215CF">
        <w:rPr>
          <w:rFonts w:ascii="標楷體" w:eastAsia="標楷體" w:hAnsi="標楷體"/>
          <w:b/>
          <w:szCs w:val="24"/>
        </w:rPr>
        <w:t>＋0.2*（E</w:t>
      </w:r>
      <w:r w:rsidRPr="007215CF">
        <w:rPr>
          <w:rFonts w:ascii="標楷體" w:eastAsia="標楷體" w:hAnsi="標楷體"/>
          <w:b/>
          <w:szCs w:val="24"/>
          <w:vertAlign w:val="subscript"/>
        </w:rPr>
        <w:t>LP</w:t>
      </w:r>
      <w:r w:rsidRPr="007215CF">
        <w:rPr>
          <w:rFonts w:ascii="標楷體" w:eastAsia="標楷體" w:hAnsi="標楷體"/>
          <w:b/>
          <w:szCs w:val="24"/>
        </w:rPr>
        <w:t>＋P</w:t>
      </w:r>
      <w:r w:rsidRPr="007215CF">
        <w:rPr>
          <w:rFonts w:ascii="標楷體" w:eastAsia="標楷體" w:hAnsi="標楷體"/>
          <w:b/>
          <w:szCs w:val="24"/>
          <w:vertAlign w:val="subscript"/>
        </w:rPr>
        <w:t>LP</w:t>
      </w:r>
      <w:r w:rsidRPr="007215CF">
        <w:rPr>
          <w:rFonts w:ascii="標楷體" w:eastAsia="標楷體" w:hAnsi="標楷體"/>
          <w:b/>
          <w:szCs w:val="24"/>
        </w:rPr>
        <w:t>＋D</w:t>
      </w:r>
      <w:r w:rsidRPr="007215CF">
        <w:rPr>
          <w:rFonts w:ascii="標楷體" w:eastAsia="標楷體" w:hAnsi="標楷體"/>
          <w:b/>
          <w:szCs w:val="24"/>
          <w:vertAlign w:val="subscript"/>
        </w:rPr>
        <w:t>LP</w:t>
      </w:r>
      <w:r w:rsidRPr="007215CF">
        <w:rPr>
          <w:rFonts w:ascii="標楷體" w:eastAsia="標楷體" w:hAnsi="標楷體"/>
          <w:b/>
          <w:szCs w:val="24"/>
        </w:rPr>
        <w:t>）*A</w:t>
      </w:r>
      <w:r w:rsidRPr="007215CF">
        <w:rPr>
          <w:rFonts w:ascii="標楷體" w:eastAsia="標楷體" w:hAnsi="標楷體"/>
          <w:b/>
          <w:szCs w:val="24"/>
          <w:vertAlign w:val="subscript"/>
        </w:rPr>
        <w:t>LP</w:t>
      </w:r>
      <w:r w:rsidRPr="007215CF">
        <w:rPr>
          <w:rFonts w:ascii="標楷體" w:eastAsia="標楷體" w:hAnsi="標楷體"/>
          <w:b/>
          <w:szCs w:val="24"/>
        </w:rPr>
        <w:t xml:space="preserve"> + 0.3*（E</w:t>
      </w:r>
      <w:r w:rsidRPr="007215CF">
        <w:rPr>
          <w:rFonts w:ascii="標楷體" w:eastAsia="標楷體" w:hAnsi="標楷體"/>
          <w:b/>
          <w:szCs w:val="24"/>
          <w:vertAlign w:val="subscript"/>
        </w:rPr>
        <w:t>RS</w:t>
      </w:r>
      <w:r w:rsidRPr="007215CF">
        <w:rPr>
          <w:rFonts w:ascii="標楷體" w:eastAsia="標楷體" w:hAnsi="標楷體"/>
          <w:b/>
          <w:szCs w:val="24"/>
        </w:rPr>
        <w:t>＋P</w:t>
      </w:r>
      <w:r w:rsidRPr="007215CF">
        <w:rPr>
          <w:rFonts w:ascii="標楷體" w:eastAsia="標楷體" w:hAnsi="標楷體"/>
          <w:b/>
          <w:szCs w:val="24"/>
          <w:vertAlign w:val="subscript"/>
        </w:rPr>
        <w:t>RS</w:t>
      </w:r>
      <w:r w:rsidRPr="007215CF">
        <w:rPr>
          <w:rFonts w:ascii="標楷體" w:eastAsia="標楷體" w:hAnsi="標楷體"/>
          <w:b/>
          <w:szCs w:val="24"/>
        </w:rPr>
        <w:t>＋D</w:t>
      </w:r>
      <w:r w:rsidRPr="007215CF">
        <w:rPr>
          <w:rFonts w:ascii="標楷體" w:eastAsia="標楷體" w:hAnsi="標楷體"/>
          <w:b/>
          <w:szCs w:val="24"/>
          <w:vertAlign w:val="subscript"/>
        </w:rPr>
        <w:t>RS</w:t>
      </w:r>
      <w:r w:rsidRPr="007215CF">
        <w:rPr>
          <w:rFonts w:ascii="標楷體" w:eastAsia="標楷體" w:hAnsi="標楷體"/>
          <w:b/>
          <w:szCs w:val="24"/>
        </w:rPr>
        <w:t>）*A</w:t>
      </w:r>
      <w:r w:rsidRPr="007215CF">
        <w:rPr>
          <w:rFonts w:ascii="標楷體" w:eastAsia="標楷體" w:hAnsi="標楷體"/>
          <w:b/>
          <w:szCs w:val="24"/>
          <w:vertAlign w:val="subscript"/>
        </w:rPr>
        <w:t>RS</w:t>
      </w:r>
      <w:r w:rsidRPr="007215CF">
        <w:rPr>
          <w:rFonts w:ascii="標楷體" w:eastAsia="標楷體" w:hAnsi="標楷體"/>
          <w:b/>
          <w:szCs w:val="24"/>
        </w:rPr>
        <w:t xml:space="preserve"> + 0.3*（E</w:t>
      </w:r>
      <w:r w:rsidRPr="007215CF">
        <w:rPr>
          <w:rFonts w:ascii="標楷體" w:eastAsia="標楷體" w:hAnsi="標楷體"/>
          <w:b/>
          <w:szCs w:val="24"/>
          <w:vertAlign w:val="subscript"/>
        </w:rPr>
        <w:t>LS</w:t>
      </w:r>
      <w:r w:rsidRPr="007215CF">
        <w:rPr>
          <w:rFonts w:ascii="標楷體" w:eastAsia="標楷體" w:hAnsi="標楷體"/>
          <w:b/>
          <w:szCs w:val="24"/>
        </w:rPr>
        <w:t>＋P</w:t>
      </w:r>
      <w:r w:rsidRPr="007215CF">
        <w:rPr>
          <w:rFonts w:ascii="標楷體" w:eastAsia="標楷體" w:hAnsi="標楷體"/>
          <w:b/>
          <w:szCs w:val="24"/>
          <w:vertAlign w:val="subscript"/>
        </w:rPr>
        <w:t>LS</w:t>
      </w:r>
      <w:r w:rsidRPr="007215CF">
        <w:rPr>
          <w:rFonts w:ascii="標楷體" w:eastAsia="標楷體" w:hAnsi="標楷體"/>
          <w:b/>
          <w:szCs w:val="24"/>
        </w:rPr>
        <w:t>＋D</w:t>
      </w:r>
      <w:r w:rsidRPr="007215CF">
        <w:rPr>
          <w:rFonts w:ascii="標楷體" w:eastAsia="標楷體" w:hAnsi="標楷體"/>
          <w:b/>
          <w:szCs w:val="24"/>
          <w:vertAlign w:val="subscript"/>
        </w:rPr>
        <w:t>LS</w:t>
      </w:r>
      <w:r w:rsidRPr="007215CF">
        <w:rPr>
          <w:rFonts w:ascii="標楷體" w:eastAsia="標楷體" w:hAnsi="標楷體"/>
          <w:b/>
          <w:szCs w:val="24"/>
        </w:rPr>
        <w:t>）*A</w:t>
      </w:r>
      <w:r w:rsidRPr="007215CF">
        <w:rPr>
          <w:rFonts w:ascii="標楷體" w:eastAsia="標楷體" w:hAnsi="標楷體"/>
          <w:b/>
          <w:szCs w:val="24"/>
          <w:vertAlign w:val="subscript"/>
        </w:rPr>
        <w:t>LS</w:t>
      </w:r>
      <w:r w:rsidRPr="007215CF">
        <w:rPr>
          <w:rFonts w:ascii="標楷體" w:eastAsia="標楷體" w:hAnsi="標楷體"/>
          <w:b/>
          <w:szCs w:val="24"/>
        </w:rPr>
        <w:t>＝________</w:t>
      </w:r>
    </w:p>
    <w:tbl>
      <w:tblPr>
        <w:tblW w:w="9369" w:type="dxa"/>
        <w:jc w:val="center"/>
        <w:tblLayout w:type="fixed"/>
        <w:tblCellMar>
          <w:left w:w="10" w:type="dxa"/>
          <w:right w:w="10" w:type="dxa"/>
        </w:tblCellMar>
        <w:tblLook w:val="0000" w:firstRow="0" w:lastRow="0" w:firstColumn="0" w:lastColumn="0" w:noHBand="0" w:noVBand="0"/>
      </w:tblPr>
      <w:tblGrid>
        <w:gridCol w:w="1485"/>
        <w:gridCol w:w="1134"/>
        <w:gridCol w:w="1340"/>
        <w:gridCol w:w="1560"/>
        <w:gridCol w:w="1466"/>
        <w:gridCol w:w="1275"/>
        <w:gridCol w:w="1109"/>
      </w:tblGrid>
      <w:tr w:rsidR="00401786" w:rsidRPr="007215CF" w14:paraId="766BF4DD" w14:textId="77777777">
        <w:trPr>
          <w:jc w:val="center"/>
        </w:trPr>
        <w:tc>
          <w:tcPr>
            <w:tcW w:w="1485" w:type="dxa"/>
            <w:tcBorders>
              <w:top w:val="single" w:sz="8" w:space="0" w:color="000000"/>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21715038"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身體部位</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31F4AF7"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Erythema</w:t>
            </w:r>
          </w:p>
          <w:p w14:paraId="328B984F"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發紅</w:t>
            </w:r>
          </w:p>
          <w:p w14:paraId="305ED97B"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b/>
                <w:bCs/>
                <w:kern w:val="0"/>
                <w:szCs w:val="24"/>
              </w:rPr>
              <w:t>(0-4)</w:t>
            </w:r>
          </w:p>
        </w:tc>
        <w:tc>
          <w:tcPr>
            <w:tcW w:w="134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41CA01CD"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Pustules</w:t>
            </w:r>
          </w:p>
          <w:p w14:paraId="7DB3DF33" w14:textId="77777777" w:rsidR="00401786" w:rsidRPr="007215CF" w:rsidRDefault="00C64FB3" w:rsidP="000E757E">
            <w:pPr>
              <w:widowControl/>
              <w:spacing w:line="240" w:lineRule="atLeast"/>
              <w:jc w:val="center"/>
              <w:rPr>
                <w:szCs w:val="24"/>
              </w:rPr>
            </w:pPr>
            <w:r w:rsidRPr="007215CF">
              <w:rPr>
                <w:rFonts w:ascii="標楷體" w:eastAsia="標楷體" w:hAnsi="標楷體"/>
                <w:szCs w:val="24"/>
              </w:rPr>
              <w:t>膿皰/小水皰</w:t>
            </w:r>
            <w:r w:rsidRPr="007215CF">
              <w:rPr>
                <w:rFonts w:ascii="標楷體" w:eastAsia="標楷體" w:hAnsi="標楷體" w:cs="新細明體"/>
                <w:b/>
                <w:bCs/>
                <w:kern w:val="0"/>
                <w:szCs w:val="24"/>
              </w:rPr>
              <w:t>(0-4)</w:t>
            </w:r>
          </w:p>
        </w:tc>
        <w:tc>
          <w:tcPr>
            <w:tcW w:w="156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78869D89"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Desquamation</w:t>
            </w:r>
          </w:p>
          <w:p w14:paraId="5F569444" w14:textId="77777777" w:rsidR="00401786" w:rsidRPr="007215CF" w:rsidRDefault="00C64FB3" w:rsidP="000E757E">
            <w:pPr>
              <w:widowControl/>
              <w:spacing w:line="240" w:lineRule="atLeast"/>
              <w:jc w:val="center"/>
              <w:rPr>
                <w:szCs w:val="24"/>
              </w:rPr>
            </w:pPr>
            <w:r w:rsidRPr="007215CF">
              <w:rPr>
                <w:rFonts w:ascii="標楷體" w:eastAsia="標楷體" w:hAnsi="標楷體"/>
                <w:szCs w:val="24"/>
              </w:rPr>
              <w:t>脫屑狀況</w:t>
            </w:r>
            <w:r w:rsidRPr="007215CF">
              <w:rPr>
                <w:rFonts w:ascii="標楷體" w:eastAsia="標楷體" w:hAnsi="標楷體" w:cs="新細明體"/>
                <w:b/>
                <w:bCs/>
                <w:kern w:val="0"/>
                <w:szCs w:val="24"/>
              </w:rPr>
              <w:t>(0-4)</w:t>
            </w:r>
          </w:p>
        </w:tc>
        <w:tc>
          <w:tcPr>
            <w:tcW w:w="1466"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782EC84"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Region involved</w:t>
            </w:r>
          </w:p>
          <w:p w14:paraId="14B84871"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面積分數</w:t>
            </w:r>
          </w:p>
          <w:p w14:paraId="7CBFCB46"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b/>
                <w:bCs/>
                <w:kern w:val="0"/>
                <w:szCs w:val="24"/>
              </w:rPr>
              <w:t>(0-6)</w:t>
            </w:r>
          </w:p>
        </w:tc>
        <w:tc>
          <w:tcPr>
            <w:tcW w:w="1275"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64E62D6B"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Multiplier</w:t>
            </w:r>
          </w:p>
          <w:p w14:paraId="6D695EC6" w14:textId="77777777" w:rsidR="00401786" w:rsidRPr="007215CF" w:rsidRDefault="00401786" w:rsidP="000E757E">
            <w:pPr>
              <w:widowControl/>
              <w:spacing w:line="240" w:lineRule="atLeast"/>
              <w:jc w:val="center"/>
              <w:rPr>
                <w:rFonts w:ascii="標楷體" w:eastAsia="標楷體" w:hAnsi="標楷體" w:cs="新細明體"/>
                <w:kern w:val="0"/>
                <w:szCs w:val="24"/>
              </w:rPr>
            </w:pPr>
          </w:p>
          <w:p w14:paraId="7E65CA43"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乘數</w:t>
            </w:r>
          </w:p>
        </w:tc>
        <w:tc>
          <w:tcPr>
            <w:tcW w:w="1109"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20D61C1"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身體部位分數</w:t>
            </w:r>
          </w:p>
        </w:tc>
      </w:tr>
      <w:tr w:rsidR="00401786" w:rsidRPr="007215CF" w14:paraId="20CDF84A"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269DB4A1"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Right palm右手掌</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0B273F29"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7BAEC3FC"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7AA18E4F"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22DD5EF8"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219103B9"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0.2</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53488974"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77A76EA9"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18BAFDDC"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Left palm</w:t>
            </w:r>
          </w:p>
          <w:p w14:paraId="58A9A5A1"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左手掌</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F4400FA"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6EE681CF"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1C0EE04E"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01BFDECA"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38D2A5AE"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0.2</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042AC3D5"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5F4D54F8"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6D4D30A5"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Right sole</w:t>
            </w:r>
          </w:p>
          <w:p w14:paraId="45500F78" w14:textId="77777777" w:rsidR="00401786" w:rsidRPr="007215CF" w:rsidRDefault="00C64FB3" w:rsidP="000E757E">
            <w:pPr>
              <w:widowControl/>
              <w:spacing w:before="100" w:line="240" w:lineRule="atLeast"/>
              <w:rPr>
                <w:rFonts w:ascii="標楷體" w:eastAsia="標楷體" w:hAnsi="標楷體"/>
                <w:szCs w:val="24"/>
              </w:rPr>
            </w:pPr>
            <w:proofErr w:type="gramStart"/>
            <w:r w:rsidRPr="007215CF">
              <w:rPr>
                <w:rFonts w:ascii="標楷體" w:eastAsia="標楷體" w:hAnsi="標楷體"/>
                <w:szCs w:val="24"/>
              </w:rPr>
              <w:t>右足底</w:t>
            </w:r>
            <w:proofErr w:type="gramEnd"/>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2B6E4D3B"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419593B8"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2250D808"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127C6AC0"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4A17F1EF"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0.3</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13A941C8"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3EC7B3AD"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34C19A97"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Left sole</w:t>
            </w:r>
          </w:p>
          <w:p w14:paraId="02546D4C" w14:textId="77777777" w:rsidR="00401786" w:rsidRPr="007215CF" w:rsidRDefault="00C64FB3" w:rsidP="000E757E">
            <w:pPr>
              <w:widowControl/>
              <w:spacing w:before="100" w:line="240" w:lineRule="atLeast"/>
              <w:rPr>
                <w:rFonts w:ascii="標楷體" w:eastAsia="標楷體" w:hAnsi="標楷體"/>
                <w:szCs w:val="24"/>
              </w:rPr>
            </w:pPr>
            <w:proofErr w:type="gramStart"/>
            <w:r w:rsidRPr="007215CF">
              <w:rPr>
                <w:rFonts w:ascii="標楷體" w:eastAsia="標楷體" w:hAnsi="標楷體"/>
                <w:szCs w:val="24"/>
              </w:rPr>
              <w:t>左足底</w:t>
            </w:r>
            <w:proofErr w:type="gramEnd"/>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BF1B94C"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035E9DC3"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5FD703B3"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56B5DD44"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19F6617B"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0.3</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1C06751E"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10D09095" w14:textId="77777777">
        <w:trPr>
          <w:trHeight w:val="728"/>
          <w:jc w:val="center"/>
        </w:trPr>
        <w:tc>
          <w:tcPr>
            <w:tcW w:w="8260" w:type="dxa"/>
            <w:gridSpan w:val="6"/>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0E44BB08"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b/>
                <w:bCs/>
                <w:kern w:val="0"/>
                <w:szCs w:val="24"/>
              </w:rPr>
              <w:t>PPPASI總分由四項身體部位分數加總</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7DC7EACF" w14:textId="77777777" w:rsidR="00401786" w:rsidRPr="007215CF" w:rsidRDefault="00C64FB3" w:rsidP="000E757E">
            <w:pPr>
              <w:widowControl/>
              <w:spacing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p w14:paraId="7987FD48" w14:textId="77777777" w:rsidR="00401786" w:rsidRPr="007215CF" w:rsidRDefault="00C64FB3" w:rsidP="000E757E">
            <w:pPr>
              <w:widowControl/>
              <w:spacing w:line="240" w:lineRule="atLeast"/>
              <w:rPr>
                <w:rFonts w:ascii="標楷體" w:eastAsia="標楷體" w:hAnsi="標楷體" w:cs="新細明體"/>
                <w:kern w:val="0"/>
                <w:szCs w:val="24"/>
              </w:rPr>
            </w:pPr>
            <w:r w:rsidRPr="007215CF">
              <w:rPr>
                <w:rFonts w:ascii="標楷體" w:eastAsia="標楷體" w:hAnsi="標楷體" w:cs="新細明體"/>
                <w:kern w:val="0"/>
                <w:szCs w:val="24"/>
              </w:rPr>
              <w:t xml:space="preserve">      </w:t>
            </w:r>
          </w:p>
          <w:p w14:paraId="710CBD8C"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b/>
                <w:bCs/>
                <w:kern w:val="0"/>
                <w:szCs w:val="24"/>
              </w:rPr>
              <w:t>(0-72)</w:t>
            </w:r>
          </w:p>
        </w:tc>
      </w:tr>
    </w:tbl>
    <w:p w14:paraId="2C476D2F" w14:textId="77777777" w:rsidR="00401786" w:rsidRPr="007215CF" w:rsidRDefault="00401786" w:rsidP="000E757E">
      <w:pPr>
        <w:pageBreakBefore/>
        <w:widowControl/>
        <w:spacing w:line="240" w:lineRule="atLeast"/>
        <w:jc w:val="center"/>
        <w:rPr>
          <w:szCs w:val="24"/>
        </w:rPr>
      </w:pPr>
    </w:p>
    <w:p w14:paraId="4B3481BC" w14:textId="77777777" w:rsidR="00401786" w:rsidRPr="007215CF" w:rsidRDefault="00C64FB3" w:rsidP="000E757E">
      <w:pPr>
        <w:pStyle w:val="a7"/>
        <w:spacing w:after="360" w:line="240" w:lineRule="atLeast"/>
        <w:jc w:val="center"/>
        <w:rPr>
          <w:rFonts w:ascii="標楷體" w:eastAsia="標楷體" w:hAnsi="標楷體"/>
          <w:b/>
          <w:sz w:val="24"/>
          <w:szCs w:val="24"/>
        </w:rPr>
      </w:pPr>
      <w:r w:rsidRPr="007215CF">
        <w:rPr>
          <w:rFonts w:ascii="標楷體" w:eastAsia="標楷體" w:hAnsi="標楷體"/>
          <w:b/>
          <w:sz w:val="24"/>
          <w:szCs w:val="24"/>
        </w:rPr>
        <w:t>附表二十四之六：全民健康保險掌</w:t>
      </w:r>
      <w:proofErr w:type="gramStart"/>
      <w:r w:rsidRPr="007215CF">
        <w:rPr>
          <w:rFonts w:ascii="標楷體" w:eastAsia="標楷體" w:hAnsi="標楷體"/>
          <w:b/>
          <w:sz w:val="24"/>
          <w:szCs w:val="24"/>
        </w:rPr>
        <w:t>蹠膿皰症使用</w:t>
      </w:r>
      <w:proofErr w:type="gramEnd"/>
      <w:r w:rsidRPr="007215CF">
        <w:rPr>
          <w:rFonts w:ascii="標楷體" w:eastAsia="標楷體" w:hAnsi="標楷體"/>
          <w:b/>
          <w:sz w:val="24"/>
          <w:szCs w:val="24"/>
        </w:rPr>
        <w:t>生物製劑申請表</w:t>
      </w:r>
    </w:p>
    <w:tbl>
      <w:tblPr>
        <w:tblW w:w="5000" w:type="pct"/>
        <w:tblCellMar>
          <w:left w:w="10" w:type="dxa"/>
          <w:right w:w="10" w:type="dxa"/>
        </w:tblCellMar>
        <w:tblLook w:val="0000" w:firstRow="0" w:lastRow="0" w:firstColumn="0" w:lastColumn="0" w:noHBand="0" w:noVBand="0"/>
      </w:tblPr>
      <w:tblGrid>
        <w:gridCol w:w="1262"/>
        <w:gridCol w:w="1553"/>
        <w:gridCol w:w="1746"/>
        <w:gridCol w:w="1067"/>
        <w:gridCol w:w="1552"/>
        <w:gridCol w:w="2328"/>
      </w:tblGrid>
      <w:tr w:rsidR="00401786" w:rsidRPr="007215CF" w14:paraId="1B392AAF" w14:textId="77777777">
        <w:trPr>
          <w:cantSplit/>
          <w:trHeight w:val="376"/>
        </w:trPr>
        <w:tc>
          <w:tcPr>
            <w:tcW w:w="1262"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861E51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醫院代號</w:t>
            </w:r>
          </w:p>
        </w:tc>
        <w:tc>
          <w:tcPr>
            <w:tcW w:w="155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9E4407" w14:textId="77777777" w:rsidR="00401786" w:rsidRPr="007215CF" w:rsidRDefault="00401786" w:rsidP="000E757E">
            <w:pPr>
              <w:snapToGrid w:val="0"/>
              <w:spacing w:line="240" w:lineRule="atLeast"/>
              <w:rPr>
                <w:rFonts w:ascii="標楷體" w:eastAsia="標楷體" w:hAnsi="標楷體"/>
                <w:szCs w:val="24"/>
              </w:rPr>
            </w:pPr>
          </w:p>
        </w:tc>
        <w:tc>
          <w:tcPr>
            <w:tcW w:w="1746"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A47B8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醫院名稱</w:t>
            </w:r>
          </w:p>
        </w:tc>
        <w:tc>
          <w:tcPr>
            <w:tcW w:w="106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23288F" w14:textId="77777777" w:rsidR="00401786" w:rsidRPr="007215CF" w:rsidRDefault="00401786" w:rsidP="000E757E">
            <w:pPr>
              <w:snapToGrid w:val="0"/>
              <w:spacing w:line="240" w:lineRule="atLeast"/>
              <w:rPr>
                <w:rFonts w:ascii="標楷體" w:eastAsia="標楷體" w:hAnsi="標楷體"/>
                <w:szCs w:val="24"/>
              </w:rPr>
            </w:pPr>
          </w:p>
        </w:tc>
        <w:tc>
          <w:tcPr>
            <w:tcW w:w="1552"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D7B2DD"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申請日期</w:t>
            </w:r>
          </w:p>
        </w:tc>
        <w:tc>
          <w:tcPr>
            <w:tcW w:w="2328"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1F5BBFA"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1343422C" w14:textId="77777777">
        <w:trPr>
          <w:cantSplit/>
          <w:trHeight w:val="332"/>
        </w:trPr>
        <w:tc>
          <w:tcPr>
            <w:tcW w:w="126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B272C4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病人姓名</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DA7C2E" w14:textId="77777777" w:rsidR="00401786" w:rsidRPr="007215CF" w:rsidRDefault="00401786" w:rsidP="000E757E">
            <w:pPr>
              <w:spacing w:line="240" w:lineRule="atLeast"/>
              <w:rPr>
                <w:rFonts w:ascii="標楷體" w:eastAsia="標楷體" w:hAnsi="標楷體"/>
                <w:szCs w:val="24"/>
              </w:rPr>
            </w:pPr>
          </w:p>
        </w:tc>
        <w:tc>
          <w:tcPr>
            <w:tcW w:w="174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0DAC93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性別</w:t>
            </w:r>
          </w:p>
        </w:tc>
        <w:tc>
          <w:tcPr>
            <w:tcW w:w="10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659739" w14:textId="77777777" w:rsidR="00401786" w:rsidRPr="007215CF" w:rsidRDefault="00401786" w:rsidP="000E757E">
            <w:pPr>
              <w:spacing w:line="240" w:lineRule="atLeast"/>
              <w:rPr>
                <w:rFonts w:ascii="標楷體" w:eastAsia="標楷體" w:hAnsi="標楷體"/>
                <w:szCs w:val="24"/>
              </w:rPr>
            </w:pPr>
          </w:p>
        </w:tc>
        <w:tc>
          <w:tcPr>
            <w:tcW w:w="155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673C8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出生日期</w:t>
            </w:r>
          </w:p>
        </w:tc>
        <w:tc>
          <w:tcPr>
            <w:tcW w:w="2328"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B8AB4B3" w14:textId="77777777" w:rsidR="00401786" w:rsidRPr="007215CF" w:rsidRDefault="00401786" w:rsidP="000E757E">
            <w:pPr>
              <w:spacing w:line="240" w:lineRule="atLeast"/>
              <w:rPr>
                <w:rFonts w:ascii="標楷體" w:eastAsia="標楷體" w:hAnsi="標楷體"/>
                <w:szCs w:val="24"/>
              </w:rPr>
            </w:pPr>
          </w:p>
        </w:tc>
      </w:tr>
      <w:tr w:rsidR="00401786" w:rsidRPr="007215CF" w14:paraId="0704492D" w14:textId="77777777">
        <w:trPr>
          <w:cantSplit/>
          <w:trHeight w:val="356"/>
        </w:trPr>
        <w:tc>
          <w:tcPr>
            <w:tcW w:w="126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64E514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身分證號</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91BD1B" w14:textId="77777777" w:rsidR="00401786" w:rsidRPr="007215CF" w:rsidRDefault="00401786" w:rsidP="000E757E">
            <w:pPr>
              <w:spacing w:line="240" w:lineRule="atLeast"/>
              <w:rPr>
                <w:rFonts w:ascii="標楷體" w:eastAsia="標楷體" w:hAnsi="標楷體"/>
                <w:szCs w:val="24"/>
              </w:rPr>
            </w:pPr>
          </w:p>
        </w:tc>
        <w:tc>
          <w:tcPr>
            <w:tcW w:w="174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108F3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病歷號碼</w:t>
            </w:r>
          </w:p>
        </w:tc>
        <w:tc>
          <w:tcPr>
            <w:tcW w:w="10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D5446F1" w14:textId="77777777" w:rsidR="00401786" w:rsidRPr="007215CF" w:rsidRDefault="00401786" w:rsidP="000E757E">
            <w:pPr>
              <w:spacing w:line="240" w:lineRule="atLeast"/>
              <w:rPr>
                <w:rFonts w:ascii="標楷體" w:eastAsia="標楷體" w:hAnsi="標楷體"/>
                <w:szCs w:val="24"/>
              </w:rPr>
            </w:pPr>
          </w:p>
        </w:tc>
        <w:tc>
          <w:tcPr>
            <w:tcW w:w="1552"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5326A5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使用期間</w:t>
            </w:r>
          </w:p>
        </w:tc>
        <w:tc>
          <w:tcPr>
            <w:tcW w:w="2328"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A26367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自　 年　　月　　日</w:t>
            </w:r>
          </w:p>
        </w:tc>
      </w:tr>
      <w:tr w:rsidR="00401786" w:rsidRPr="007215CF" w14:paraId="6CE3EDE1" w14:textId="77777777">
        <w:trPr>
          <w:cantSplit/>
          <w:trHeight w:val="337"/>
        </w:trPr>
        <w:tc>
          <w:tcPr>
            <w:tcW w:w="1262"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4A7803E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藥品代碼</w:t>
            </w:r>
          </w:p>
        </w:tc>
        <w:tc>
          <w:tcPr>
            <w:tcW w:w="155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93BD7B0" w14:textId="77777777" w:rsidR="00401786" w:rsidRPr="007215CF" w:rsidRDefault="00401786" w:rsidP="000E757E">
            <w:pPr>
              <w:spacing w:line="240" w:lineRule="atLeast"/>
              <w:rPr>
                <w:rFonts w:ascii="標楷體" w:eastAsia="標楷體" w:hAnsi="標楷體"/>
                <w:szCs w:val="24"/>
              </w:rPr>
            </w:pPr>
          </w:p>
        </w:tc>
        <w:tc>
          <w:tcPr>
            <w:tcW w:w="1746"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7CE826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用法用量</w:t>
            </w:r>
          </w:p>
        </w:tc>
        <w:tc>
          <w:tcPr>
            <w:tcW w:w="106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86DB935" w14:textId="77777777" w:rsidR="00401786" w:rsidRPr="007215CF" w:rsidRDefault="00401786" w:rsidP="000E757E">
            <w:pPr>
              <w:spacing w:line="240" w:lineRule="atLeast"/>
              <w:rPr>
                <w:rFonts w:ascii="標楷體" w:eastAsia="標楷體" w:hAnsi="標楷體"/>
                <w:szCs w:val="24"/>
              </w:rPr>
            </w:pPr>
          </w:p>
        </w:tc>
        <w:tc>
          <w:tcPr>
            <w:tcW w:w="1552"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4466EF89" w14:textId="77777777" w:rsidR="00401786" w:rsidRPr="007215CF" w:rsidRDefault="00401786" w:rsidP="000E757E">
            <w:pPr>
              <w:spacing w:line="240" w:lineRule="atLeast"/>
              <w:rPr>
                <w:rFonts w:ascii="標楷體" w:eastAsia="標楷體" w:hAnsi="標楷體"/>
                <w:szCs w:val="24"/>
              </w:rPr>
            </w:pPr>
          </w:p>
        </w:tc>
        <w:tc>
          <w:tcPr>
            <w:tcW w:w="2328"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C0026F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至　 年　　月　　日</w:t>
            </w:r>
          </w:p>
        </w:tc>
      </w:tr>
    </w:tbl>
    <w:p w14:paraId="7F29BF41" w14:textId="77777777" w:rsidR="00401786" w:rsidRPr="007215CF" w:rsidRDefault="00401786" w:rsidP="000E757E">
      <w:pPr>
        <w:snapToGrid w:val="0"/>
        <w:spacing w:line="240" w:lineRule="atLeast"/>
        <w:rPr>
          <w:rFonts w:ascii="標楷體" w:eastAsia="標楷體" w:hAnsi="標楷體" w:cs="Arial"/>
          <w:szCs w:val="24"/>
          <w:u w:val="single"/>
        </w:rPr>
      </w:pPr>
    </w:p>
    <w:tbl>
      <w:tblPr>
        <w:tblW w:w="5000" w:type="pct"/>
        <w:tblCellMar>
          <w:left w:w="10" w:type="dxa"/>
          <w:right w:w="10" w:type="dxa"/>
        </w:tblCellMar>
        <w:tblLook w:val="0000" w:firstRow="0" w:lastRow="0" w:firstColumn="0" w:lastColumn="0" w:noHBand="0" w:noVBand="0"/>
      </w:tblPr>
      <w:tblGrid>
        <w:gridCol w:w="26"/>
        <w:gridCol w:w="2146"/>
        <w:gridCol w:w="1212"/>
        <w:gridCol w:w="3322"/>
        <w:gridCol w:w="2807"/>
        <w:gridCol w:w="26"/>
      </w:tblGrid>
      <w:tr w:rsidR="00401786" w:rsidRPr="007215CF" w14:paraId="608743E5" w14:textId="77777777">
        <w:tc>
          <w:tcPr>
            <w:tcW w:w="26" w:type="dxa"/>
            <w:shd w:val="clear" w:color="auto" w:fill="auto"/>
            <w:tcMar>
              <w:top w:w="0" w:type="dxa"/>
              <w:left w:w="10" w:type="dxa"/>
              <w:bottom w:w="0" w:type="dxa"/>
              <w:right w:w="10" w:type="dxa"/>
            </w:tcMar>
          </w:tcPr>
          <w:p w14:paraId="7F9B1DD1" w14:textId="77777777" w:rsidR="00401786" w:rsidRPr="007215CF" w:rsidRDefault="00401786" w:rsidP="000E757E">
            <w:pPr>
              <w:spacing w:line="240" w:lineRule="atLeast"/>
              <w:ind w:left="372" w:hanging="372"/>
              <w:rPr>
                <w:rFonts w:ascii="標楷體" w:eastAsia="標楷體" w:hAnsi="標楷體"/>
                <w:szCs w:val="24"/>
              </w:rPr>
            </w:pPr>
          </w:p>
        </w:tc>
        <w:tc>
          <w:tcPr>
            <w:tcW w:w="9513" w:type="dxa"/>
            <w:gridSpan w:val="5"/>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7CD3C8D8"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符合照光治療及其他全身性治療無效，或因醫療因素而無法接受其他全身性治療之中、重度掌</w:t>
            </w:r>
            <w:proofErr w:type="gramStart"/>
            <w:r w:rsidRPr="007215CF">
              <w:rPr>
                <w:rFonts w:ascii="標楷體" w:eastAsia="標楷體" w:hAnsi="標楷體"/>
                <w:b/>
                <w:szCs w:val="24"/>
              </w:rPr>
              <w:t>蹠膿皰症</w:t>
            </w:r>
            <w:proofErr w:type="gramEnd"/>
            <w:r w:rsidRPr="007215CF">
              <w:rPr>
                <w:rFonts w:ascii="標楷體" w:eastAsia="標楷體" w:hAnsi="標楷體"/>
                <w:b/>
                <w:szCs w:val="24"/>
              </w:rPr>
              <w:t>，且影響功能：（定義請參照給付規定）</w:t>
            </w:r>
          </w:p>
          <w:p w14:paraId="63CCF24A" w14:textId="77777777" w:rsidR="00401786" w:rsidRPr="007215CF" w:rsidRDefault="00C64FB3" w:rsidP="002144EC">
            <w:pPr>
              <w:numPr>
                <w:ilvl w:val="1"/>
                <w:numId w:val="104"/>
              </w:numPr>
              <w:spacing w:line="240" w:lineRule="atLeast"/>
              <w:ind w:left="601" w:hanging="317"/>
              <w:rPr>
                <w:szCs w:val="24"/>
              </w:rPr>
            </w:pPr>
            <w:r w:rsidRPr="007215CF">
              <w:rPr>
                <w:rFonts w:ascii="標楷體" w:eastAsia="標楷體" w:hAnsi="標楷體"/>
                <w:szCs w:val="24"/>
              </w:rPr>
              <w:t>□ 符合照光治療無效（檢附詳細3個月照光劑量記錄</w:t>
            </w:r>
            <w:r w:rsidRPr="007215CF">
              <w:rPr>
                <w:rFonts w:ascii="標楷體" w:eastAsia="標楷體" w:hAnsi="標楷體"/>
                <w:b/>
                <w:szCs w:val="24"/>
              </w:rPr>
              <w:t>）</w:t>
            </w:r>
            <w:r w:rsidRPr="007215CF">
              <w:rPr>
                <w:rFonts w:ascii="標楷體" w:eastAsia="標楷體" w:hAnsi="標楷體"/>
                <w:szCs w:val="24"/>
              </w:rPr>
              <w:t>。</w:t>
            </w:r>
          </w:p>
          <w:p w14:paraId="4877E968" w14:textId="77777777" w:rsidR="00401786" w:rsidRPr="007215CF" w:rsidRDefault="00C64FB3" w:rsidP="002144EC">
            <w:pPr>
              <w:numPr>
                <w:ilvl w:val="1"/>
                <w:numId w:val="104"/>
              </w:numPr>
              <w:spacing w:line="240" w:lineRule="atLeast"/>
              <w:ind w:left="601" w:hanging="317"/>
              <w:rPr>
                <w:rFonts w:ascii="標楷體" w:eastAsia="標楷體" w:hAnsi="標楷體"/>
                <w:szCs w:val="24"/>
              </w:rPr>
            </w:pPr>
            <w:r w:rsidRPr="007215CF">
              <w:rPr>
                <w:rFonts w:ascii="標楷體" w:eastAsia="標楷體" w:hAnsi="標楷體"/>
                <w:szCs w:val="24"/>
              </w:rPr>
              <w:t>□ 符合其他全身性治療無效（目前未達PPPASI申請標準者，需同時附治療前後資料）。</w:t>
            </w:r>
          </w:p>
          <w:p w14:paraId="3B422388" w14:textId="77777777" w:rsidR="00401786" w:rsidRPr="007215CF" w:rsidRDefault="00C64FB3" w:rsidP="000E757E">
            <w:pPr>
              <w:spacing w:line="240" w:lineRule="atLeast"/>
              <w:ind w:left="2" w:firstLine="31"/>
              <w:jc w:val="center"/>
              <w:rPr>
                <w:rFonts w:ascii="標楷體" w:eastAsia="標楷體" w:hAnsi="標楷體"/>
                <w:b/>
                <w:szCs w:val="24"/>
              </w:rPr>
            </w:pPr>
            <w:r w:rsidRPr="007215CF">
              <w:rPr>
                <w:rFonts w:ascii="標楷體" w:eastAsia="標楷體" w:hAnsi="標楷體"/>
                <w:b/>
                <w:szCs w:val="24"/>
              </w:rPr>
              <w:t>至少2種其他全身性治療用藥之使用時間、劑量及停用理由</w:t>
            </w:r>
          </w:p>
          <w:tbl>
            <w:tblPr>
              <w:tblW w:w="7797" w:type="dxa"/>
              <w:tblInd w:w="1021" w:type="dxa"/>
              <w:tblCellMar>
                <w:left w:w="10" w:type="dxa"/>
                <w:right w:w="10" w:type="dxa"/>
              </w:tblCellMar>
              <w:tblLook w:val="0000" w:firstRow="0" w:lastRow="0" w:firstColumn="0" w:lastColumn="0" w:noHBand="0" w:noVBand="0"/>
            </w:tblPr>
            <w:tblGrid>
              <w:gridCol w:w="1656"/>
              <w:gridCol w:w="1455"/>
              <w:gridCol w:w="2056"/>
              <w:gridCol w:w="2630"/>
            </w:tblGrid>
            <w:tr w:rsidR="00401786" w:rsidRPr="007215CF" w14:paraId="6B3DD295"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59EFB2" w14:textId="77777777" w:rsidR="00401786" w:rsidRPr="007215CF" w:rsidRDefault="00401786" w:rsidP="000E757E">
                  <w:pPr>
                    <w:spacing w:line="240" w:lineRule="atLeast"/>
                    <w:rPr>
                      <w:rFonts w:ascii="標楷體" w:eastAsia="標楷體" w:hAnsi="標楷體"/>
                      <w:szCs w:val="24"/>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D70F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使用劑量</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F3330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A87F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停用理由</w:t>
                  </w:r>
                </w:p>
              </w:tc>
            </w:tr>
            <w:tr w:rsidR="00401786" w:rsidRPr="007215CF" w14:paraId="370FA178"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C49A8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Acitretin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685B2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7D863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__年__月__日至 </w:t>
                  </w:r>
                </w:p>
                <w:p w14:paraId="7A91C0E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A2DD46" w14:textId="77777777" w:rsidR="00401786" w:rsidRPr="007215CF" w:rsidRDefault="00401786" w:rsidP="000E757E">
                  <w:pPr>
                    <w:spacing w:line="240" w:lineRule="atLeast"/>
                    <w:rPr>
                      <w:rFonts w:ascii="標楷體" w:eastAsia="標楷體" w:hAnsi="標楷體"/>
                      <w:szCs w:val="24"/>
                    </w:rPr>
                  </w:pPr>
                </w:p>
              </w:tc>
            </w:tr>
            <w:tr w:rsidR="00401786" w:rsidRPr="007215CF" w14:paraId="21497B8D"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B246A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Methotrexate</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4DF24C"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___mg/week</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55484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6AC23FE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97926" w14:textId="77777777" w:rsidR="00401786" w:rsidRPr="007215CF" w:rsidRDefault="00401786" w:rsidP="000E757E">
                  <w:pPr>
                    <w:spacing w:line="240" w:lineRule="atLeast"/>
                    <w:rPr>
                      <w:rFonts w:ascii="標楷體" w:eastAsia="標楷體" w:hAnsi="標楷體"/>
                      <w:szCs w:val="24"/>
                    </w:rPr>
                  </w:pPr>
                </w:p>
              </w:tc>
            </w:tr>
            <w:tr w:rsidR="00401786" w:rsidRPr="007215CF" w14:paraId="44BC9E01"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15946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Cyclosporin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EB3ED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D7590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7C7F834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DD741F" w14:textId="77777777" w:rsidR="00401786" w:rsidRPr="007215CF" w:rsidRDefault="00401786" w:rsidP="000E757E">
                  <w:pPr>
                    <w:spacing w:line="240" w:lineRule="atLeast"/>
                    <w:rPr>
                      <w:rFonts w:ascii="標楷體" w:eastAsia="標楷體" w:hAnsi="標楷體"/>
                      <w:szCs w:val="24"/>
                    </w:rPr>
                  </w:pPr>
                </w:p>
              </w:tc>
            </w:tr>
          </w:tbl>
          <w:p w14:paraId="130676EA" w14:textId="77777777" w:rsidR="00401786" w:rsidRPr="007215CF" w:rsidRDefault="00C64FB3" w:rsidP="000E757E">
            <w:pPr>
              <w:spacing w:line="240" w:lineRule="atLeast"/>
              <w:ind w:left="1025"/>
              <w:rPr>
                <w:rFonts w:ascii="標楷體" w:eastAsia="標楷體" w:hAnsi="標楷體"/>
                <w:szCs w:val="24"/>
              </w:rPr>
            </w:pPr>
            <w:r w:rsidRPr="007215CF">
              <w:rPr>
                <w:rFonts w:ascii="標楷體" w:eastAsia="標楷體" w:hAnsi="標楷體"/>
                <w:szCs w:val="24"/>
              </w:rPr>
              <w:t>患者體重: _____ kg</w:t>
            </w:r>
          </w:p>
          <w:p w14:paraId="7A0CADB8" w14:textId="77777777" w:rsidR="00401786" w:rsidRPr="007215CF" w:rsidRDefault="00C64FB3" w:rsidP="000E757E">
            <w:pPr>
              <w:spacing w:line="240" w:lineRule="atLeast"/>
              <w:ind w:left="1167" w:hanging="850"/>
              <w:rPr>
                <w:rFonts w:ascii="標楷體" w:eastAsia="標楷體" w:hAnsi="標楷體"/>
                <w:szCs w:val="24"/>
              </w:rPr>
            </w:pPr>
            <w:r w:rsidRPr="007215CF">
              <w:rPr>
                <w:rFonts w:ascii="標楷體" w:eastAsia="標楷體" w:hAnsi="標楷體"/>
                <w:szCs w:val="24"/>
              </w:rPr>
              <w:t>3. □ 符合中、重度之掌</w:t>
            </w:r>
            <w:proofErr w:type="gramStart"/>
            <w:r w:rsidRPr="007215CF">
              <w:rPr>
                <w:rFonts w:ascii="標楷體" w:eastAsia="標楷體" w:hAnsi="標楷體"/>
                <w:szCs w:val="24"/>
              </w:rPr>
              <w:t>蹠膿皰症</w:t>
            </w:r>
            <w:proofErr w:type="gramEnd"/>
            <w:r w:rsidRPr="007215CF">
              <w:rPr>
                <w:rFonts w:ascii="標楷體" w:eastAsia="標楷體" w:hAnsi="標楷體"/>
                <w:szCs w:val="24"/>
              </w:rPr>
              <w:t>（檢附照片應包括掌、</w:t>
            </w:r>
            <w:proofErr w:type="gramStart"/>
            <w:r w:rsidRPr="007215CF">
              <w:rPr>
                <w:rFonts w:ascii="標楷體" w:eastAsia="標楷體" w:hAnsi="標楷體"/>
                <w:szCs w:val="24"/>
              </w:rPr>
              <w:t>蹠</w:t>
            </w:r>
            <w:proofErr w:type="gramEnd"/>
            <w:r w:rsidRPr="007215CF">
              <w:rPr>
                <w:rFonts w:ascii="標楷體" w:eastAsia="標楷體" w:hAnsi="標楷體"/>
                <w:szCs w:val="24"/>
              </w:rPr>
              <w:t>照片）。</w:t>
            </w:r>
          </w:p>
          <w:p w14:paraId="53716D52" w14:textId="77777777" w:rsidR="00401786" w:rsidRPr="007215CF" w:rsidRDefault="00C64FB3" w:rsidP="002144EC">
            <w:pPr>
              <w:numPr>
                <w:ilvl w:val="0"/>
                <w:numId w:val="105"/>
              </w:numPr>
              <w:spacing w:line="240" w:lineRule="atLeast"/>
              <w:ind w:left="601" w:hanging="284"/>
              <w:rPr>
                <w:szCs w:val="24"/>
              </w:rPr>
            </w:pPr>
            <w:r w:rsidRPr="007215CF">
              <w:rPr>
                <w:rFonts w:ascii="標楷體" w:eastAsia="標楷體" w:hAnsi="標楷體"/>
                <w:szCs w:val="24"/>
              </w:rPr>
              <w:t>□</w:t>
            </w:r>
            <w:bookmarkStart w:id="107" w:name="_Hlk51776971"/>
            <w:r w:rsidRPr="007215CF">
              <w:rPr>
                <w:rFonts w:ascii="標楷體" w:eastAsia="標楷體" w:hAnsi="標楷體"/>
                <w:szCs w:val="24"/>
              </w:rPr>
              <w:t>掌</w:t>
            </w:r>
            <w:proofErr w:type="gramStart"/>
            <w:r w:rsidRPr="007215CF">
              <w:rPr>
                <w:rFonts w:ascii="標楷體" w:eastAsia="標楷體" w:hAnsi="標楷體"/>
                <w:szCs w:val="24"/>
              </w:rPr>
              <w:t>蹠膿皰症面積</w:t>
            </w:r>
            <w:proofErr w:type="gramEnd"/>
            <w:r w:rsidRPr="007215CF">
              <w:rPr>
                <w:rFonts w:ascii="標楷體" w:eastAsia="標楷體" w:hAnsi="標楷體"/>
                <w:szCs w:val="24"/>
              </w:rPr>
              <w:t>暨嚴重度指數</w:t>
            </w:r>
            <w:bookmarkEnd w:id="107"/>
            <w:r w:rsidRPr="007215CF">
              <w:rPr>
                <w:rFonts w:ascii="標楷體" w:eastAsia="標楷體" w:hAnsi="標楷體"/>
                <w:szCs w:val="24"/>
              </w:rPr>
              <w:t>〔Palmoplantar Pustulosis Area Severity Index（PPPASI）〕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12。</w:t>
            </w:r>
          </w:p>
          <w:p w14:paraId="417BB7D5" w14:textId="77777777" w:rsidR="00401786" w:rsidRPr="007215CF" w:rsidRDefault="00C64FB3" w:rsidP="000E757E">
            <w:pPr>
              <w:spacing w:line="240" w:lineRule="atLeast"/>
              <w:rPr>
                <w:rFonts w:ascii="標楷體" w:eastAsia="標楷體" w:hAnsi="標楷體"/>
                <w:szCs w:val="24"/>
              </w:rPr>
            </w:pPr>
            <w:bookmarkStart w:id="108" w:name="_Hlk51777532"/>
            <w:r w:rsidRPr="007215CF">
              <w:rPr>
                <w:rFonts w:ascii="標楷體" w:eastAsia="標楷體" w:hAnsi="標楷體"/>
                <w:szCs w:val="24"/>
              </w:rPr>
              <w:t xml:space="preserve"> PPPASI＝[（E＋P＋D）*area*0.2 (右手掌) ]＋[（E＋P＋D）*area*0.2 (左手掌) ] + [（E＋P＋D）*area*0.3 (</w:t>
            </w:r>
            <w:proofErr w:type="gramStart"/>
            <w:r w:rsidRPr="007215CF">
              <w:rPr>
                <w:rFonts w:ascii="標楷體" w:eastAsia="標楷體" w:hAnsi="標楷體"/>
                <w:szCs w:val="24"/>
              </w:rPr>
              <w:t>右足底</w:t>
            </w:r>
            <w:proofErr w:type="gramEnd"/>
            <w:r w:rsidRPr="007215CF">
              <w:rPr>
                <w:rFonts w:ascii="標楷體" w:eastAsia="標楷體" w:hAnsi="標楷體"/>
                <w:szCs w:val="24"/>
              </w:rPr>
              <w:t>) ] + [（E＋P＋D）*area*0.3 (</w:t>
            </w:r>
            <w:proofErr w:type="gramStart"/>
            <w:r w:rsidRPr="007215CF">
              <w:rPr>
                <w:rFonts w:ascii="標楷體" w:eastAsia="標楷體" w:hAnsi="標楷體"/>
                <w:szCs w:val="24"/>
              </w:rPr>
              <w:t>左足底</w:t>
            </w:r>
            <w:proofErr w:type="gramEnd"/>
            <w:r w:rsidRPr="007215CF">
              <w:rPr>
                <w:rFonts w:ascii="標楷體" w:eastAsia="標楷體" w:hAnsi="標楷體"/>
                <w:szCs w:val="24"/>
              </w:rPr>
              <w:t>) ]＝________</w:t>
            </w:r>
            <w:bookmarkEnd w:id="108"/>
          </w:p>
          <w:tbl>
            <w:tblPr>
              <w:tblW w:w="0" w:type="dxa"/>
              <w:tblInd w:w="248" w:type="dxa"/>
              <w:tblCellMar>
                <w:left w:w="10" w:type="dxa"/>
                <w:right w:w="10" w:type="dxa"/>
              </w:tblCellMar>
              <w:tblLook w:val="0000" w:firstRow="0" w:lastRow="0" w:firstColumn="0" w:lastColumn="0" w:noHBand="0" w:noVBand="0"/>
            </w:tblPr>
            <w:tblGrid>
              <w:gridCol w:w="987"/>
              <w:gridCol w:w="1832"/>
              <w:gridCol w:w="1832"/>
              <w:gridCol w:w="2117"/>
              <w:gridCol w:w="2241"/>
            </w:tblGrid>
            <w:tr w:rsidR="00401786" w:rsidRPr="007215CF" w14:paraId="20A319F5"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48467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Score</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C30B48" w14:textId="77777777" w:rsidR="00401786" w:rsidRPr="007215CF" w:rsidRDefault="00C64FB3" w:rsidP="000E757E">
                  <w:pPr>
                    <w:spacing w:line="240" w:lineRule="atLeast"/>
                    <w:rPr>
                      <w:rFonts w:ascii="標楷體" w:eastAsia="標楷體" w:hAnsi="標楷體"/>
                      <w:szCs w:val="24"/>
                    </w:rPr>
                  </w:pPr>
                  <w:proofErr w:type="spellStart"/>
                  <w:r w:rsidRPr="007215CF">
                    <w:rPr>
                      <w:rFonts w:ascii="標楷體" w:eastAsia="標楷體" w:hAnsi="標楷體"/>
                      <w:szCs w:val="24"/>
                    </w:rPr>
                    <w:t>Ertthma</w:t>
                  </w:r>
                  <w:proofErr w:type="spellEnd"/>
                  <w:r w:rsidRPr="007215CF">
                    <w:rPr>
                      <w:rFonts w:ascii="標楷體" w:eastAsia="標楷體" w:hAnsi="標楷體"/>
                      <w:szCs w:val="24"/>
                    </w:rPr>
                    <w:t xml:space="preserve"> (E)</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94A5C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Pustules (P)</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83D8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Desquamation (D)</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4D181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Area involved (%)</w:t>
                  </w:r>
                </w:p>
              </w:tc>
            </w:tr>
            <w:tr w:rsidR="00401786" w:rsidRPr="007215CF" w14:paraId="4DF505FF"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27846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0</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101AD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None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E1C03C"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None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87E6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None</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357C7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0</w:t>
                  </w:r>
                </w:p>
              </w:tc>
            </w:tr>
            <w:tr w:rsidR="00401786" w:rsidRPr="007215CF" w14:paraId="3A86CA5E"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F3F1F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1</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63A8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Slight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50A79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Slight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3ADF9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Slight </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A08E7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0-10</w:t>
                  </w:r>
                </w:p>
              </w:tc>
            </w:tr>
            <w:tr w:rsidR="00401786" w:rsidRPr="007215CF" w14:paraId="069BB9C9"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0E4F2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2</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FEED8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Moderate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E9FDA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Moderate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B595D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Moderate </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2113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10-30</w:t>
                  </w:r>
                </w:p>
              </w:tc>
            </w:tr>
            <w:tr w:rsidR="00401786" w:rsidRPr="007215CF" w14:paraId="138911DD"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33141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3</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64F1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Severe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64B03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Severe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C93B2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Severe </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EEDC6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30-50</w:t>
                  </w:r>
                </w:p>
              </w:tc>
            </w:tr>
            <w:tr w:rsidR="00401786" w:rsidRPr="007215CF" w14:paraId="5E5FFF44"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7F0D9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4</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976E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Very severe</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3715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Very severe</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6F958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Very severe</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C95F7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50-70</w:t>
                  </w:r>
                </w:p>
              </w:tc>
            </w:tr>
            <w:tr w:rsidR="00401786" w:rsidRPr="007215CF" w14:paraId="6E4BA347"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D0C5E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5</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44B52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E5DC7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8093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96551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70-90</w:t>
                  </w:r>
                </w:p>
              </w:tc>
            </w:tr>
            <w:tr w:rsidR="00401786" w:rsidRPr="007215CF" w14:paraId="21502C97"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C3DD0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6</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02D6F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FDACE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DE03D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46204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90-100</w:t>
                  </w:r>
                </w:p>
              </w:tc>
            </w:tr>
          </w:tbl>
          <w:p w14:paraId="1BCB6191" w14:textId="77777777" w:rsidR="00401786" w:rsidRPr="007215CF" w:rsidRDefault="00401786" w:rsidP="000E757E">
            <w:pPr>
              <w:tabs>
                <w:tab w:val="left" w:pos="1386"/>
                <w:tab w:val="left" w:pos="1788"/>
              </w:tabs>
              <w:spacing w:line="240" w:lineRule="atLeast"/>
              <w:ind w:left="905"/>
              <w:rPr>
                <w:rFonts w:ascii="標楷體" w:eastAsia="標楷體" w:hAnsi="標楷體"/>
                <w:szCs w:val="24"/>
              </w:rPr>
            </w:pPr>
          </w:p>
          <w:p w14:paraId="646AC0CE"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暫緩續用後疾病再復發之重新申請：</w:t>
            </w:r>
          </w:p>
          <w:p w14:paraId="6E738376" w14:textId="77777777" w:rsidR="00401786" w:rsidRPr="007215CF" w:rsidRDefault="00C64FB3" w:rsidP="000E757E">
            <w:pPr>
              <w:tabs>
                <w:tab w:val="left" w:pos="1386"/>
                <w:tab w:val="left" w:pos="1788"/>
              </w:tabs>
              <w:spacing w:line="240" w:lineRule="atLeast"/>
              <w:ind w:left="905" w:hanging="250"/>
              <w:rPr>
                <w:szCs w:val="24"/>
              </w:rPr>
            </w:pPr>
            <w:r w:rsidRPr="007215CF">
              <w:rPr>
                <w:rFonts w:ascii="標楷體" w:eastAsia="標楷體" w:hAnsi="標楷體"/>
                <w:szCs w:val="24"/>
              </w:rPr>
              <w:t>□ 符合至少有50%復發（需附上次療程治療前、後，及本次照片</w:t>
            </w:r>
            <w:r w:rsidRPr="007215CF">
              <w:rPr>
                <w:rFonts w:ascii="標楷體" w:eastAsia="標楷體" w:hAnsi="標楷體"/>
                <w:b/>
                <w:szCs w:val="24"/>
              </w:rPr>
              <w:t>）</w:t>
            </w:r>
            <w:r w:rsidRPr="007215CF">
              <w:rPr>
                <w:rFonts w:ascii="標楷體" w:eastAsia="標楷體" w:hAnsi="標楷體"/>
                <w:szCs w:val="24"/>
              </w:rPr>
              <w:t>。</w:t>
            </w:r>
          </w:p>
        </w:tc>
      </w:tr>
      <w:tr w:rsidR="00401786" w:rsidRPr="007215CF" w14:paraId="0076C440" w14:textId="77777777">
        <w:tc>
          <w:tcPr>
            <w:tcW w:w="26" w:type="dxa"/>
            <w:shd w:val="clear" w:color="auto" w:fill="auto"/>
            <w:tcMar>
              <w:top w:w="0" w:type="dxa"/>
              <w:left w:w="10" w:type="dxa"/>
              <w:bottom w:w="0" w:type="dxa"/>
              <w:right w:w="10" w:type="dxa"/>
            </w:tcMar>
          </w:tcPr>
          <w:p w14:paraId="4044961D" w14:textId="77777777" w:rsidR="00401786" w:rsidRPr="007215CF" w:rsidRDefault="00401786" w:rsidP="000E757E">
            <w:pPr>
              <w:spacing w:before="180" w:line="240" w:lineRule="atLeast"/>
              <w:rPr>
                <w:szCs w:val="24"/>
              </w:rPr>
            </w:pPr>
          </w:p>
        </w:tc>
        <w:tc>
          <w:tcPr>
            <w:tcW w:w="9487"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23F9BEC" w14:textId="77777777" w:rsidR="00401786" w:rsidRPr="007215CF" w:rsidRDefault="00C64FB3" w:rsidP="000E757E">
            <w:pPr>
              <w:spacing w:before="180" w:line="240" w:lineRule="atLeast"/>
              <w:rPr>
                <w:szCs w:val="24"/>
              </w:rPr>
            </w:pPr>
            <w:r w:rsidRPr="007215CF">
              <w:rPr>
                <w:rFonts w:ascii="標楷體" w:eastAsia="標楷體" w:hAnsi="標楷體"/>
                <w:szCs w:val="24"/>
              </w:rPr>
              <w:t xml:space="preserve">□ </w:t>
            </w:r>
            <w:r w:rsidRPr="007215CF">
              <w:rPr>
                <w:rFonts w:ascii="標楷體" w:eastAsia="標楷體" w:hAnsi="標楷體"/>
                <w:b/>
                <w:szCs w:val="24"/>
              </w:rPr>
              <w:t>符合繼續使用之療效評估：</w:t>
            </w:r>
          </w:p>
          <w:p w14:paraId="7D4D67D9" w14:textId="77777777" w:rsidR="00401786" w:rsidRPr="007215CF" w:rsidRDefault="00C64FB3" w:rsidP="000E757E">
            <w:pPr>
              <w:spacing w:line="240" w:lineRule="atLeast"/>
              <w:ind w:left="317"/>
              <w:rPr>
                <w:rFonts w:ascii="標楷體" w:eastAsia="標楷體" w:hAnsi="標楷體"/>
                <w:b/>
                <w:szCs w:val="24"/>
              </w:rPr>
            </w:pPr>
            <w:r w:rsidRPr="007215CF">
              <w:rPr>
                <w:rFonts w:ascii="標楷體" w:eastAsia="標楷體" w:hAnsi="標楷體"/>
                <w:b/>
                <w:szCs w:val="24"/>
              </w:rPr>
              <w:t>初次療程</w:t>
            </w:r>
          </w:p>
          <w:p w14:paraId="1D95FC1A" w14:textId="77777777" w:rsidR="00401786" w:rsidRPr="007215CF" w:rsidRDefault="00C64FB3" w:rsidP="002144EC">
            <w:pPr>
              <w:numPr>
                <w:ilvl w:val="1"/>
                <w:numId w:val="103"/>
              </w:numPr>
              <w:spacing w:line="240" w:lineRule="atLeast"/>
              <w:ind w:left="886" w:hanging="602"/>
              <w:rPr>
                <w:rFonts w:ascii="標楷體" w:eastAsia="標楷體" w:hAnsi="標楷體"/>
                <w:szCs w:val="24"/>
              </w:rPr>
            </w:pPr>
            <w:r w:rsidRPr="007215CF">
              <w:rPr>
                <w:rFonts w:ascii="標楷體" w:eastAsia="標楷體" w:hAnsi="標楷體"/>
                <w:szCs w:val="24"/>
              </w:rPr>
              <w:t xml:space="preserve"> □ 於初次療程之第16</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評估時，至少有PPPASI25療效。</w:t>
            </w:r>
          </w:p>
          <w:p w14:paraId="1DF5261F" w14:textId="77777777" w:rsidR="00401786" w:rsidRPr="007215CF" w:rsidRDefault="00C64FB3" w:rsidP="002144EC">
            <w:pPr>
              <w:numPr>
                <w:ilvl w:val="1"/>
                <w:numId w:val="103"/>
              </w:numPr>
              <w:spacing w:line="240" w:lineRule="atLeast"/>
              <w:ind w:left="886" w:hanging="602"/>
              <w:rPr>
                <w:rFonts w:ascii="標楷體" w:eastAsia="標楷體" w:hAnsi="標楷體"/>
                <w:szCs w:val="24"/>
              </w:rPr>
            </w:pPr>
            <w:r w:rsidRPr="007215CF">
              <w:rPr>
                <w:rFonts w:ascii="標楷體" w:eastAsia="標楷體" w:hAnsi="標楷體"/>
                <w:szCs w:val="24"/>
              </w:rPr>
              <w:t xml:space="preserve"> □ 於初次療程，經過6個月治療後，PPPASI改善達50%。</w:t>
            </w:r>
          </w:p>
          <w:p w14:paraId="60C44156" w14:textId="77777777" w:rsidR="00401786" w:rsidRPr="007215CF" w:rsidRDefault="00C64FB3" w:rsidP="002144EC">
            <w:pPr>
              <w:numPr>
                <w:ilvl w:val="1"/>
                <w:numId w:val="103"/>
              </w:numPr>
              <w:spacing w:line="240" w:lineRule="atLeast"/>
              <w:ind w:left="886" w:hanging="602"/>
              <w:rPr>
                <w:szCs w:val="24"/>
              </w:rPr>
            </w:pPr>
            <w:r w:rsidRPr="007215CF">
              <w:rPr>
                <w:rFonts w:ascii="標楷體" w:eastAsia="標楷體" w:hAnsi="標楷體"/>
                <w:szCs w:val="24"/>
              </w:rPr>
              <w:lastRenderedPageBreak/>
              <w:t xml:space="preserve"> □ 原先使用cyclosporin控制</w:t>
            </w:r>
            <w:proofErr w:type="gramStart"/>
            <w:r w:rsidRPr="007215CF">
              <w:rPr>
                <w:rFonts w:ascii="標楷體" w:eastAsia="標楷體" w:hAnsi="標楷體"/>
                <w:szCs w:val="24"/>
              </w:rPr>
              <w:t>有效且腎功能</w:t>
            </w:r>
            <w:proofErr w:type="gramEnd"/>
            <w:r w:rsidRPr="007215CF">
              <w:rPr>
                <w:rFonts w:ascii="標楷體" w:eastAsia="標楷體" w:hAnsi="標楷體"/>
                <w:szCs w:val="24"/>
              </w:rPr>
              <w:t>異常（Creatinine基礎值上升</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30%）者，於6個月療程（初次療程）結束後，因回復使用cyclosporin產生腎功能異常，或其他無法有效控制之副作用，經減藥後仍無法有效控制掌</w:t>
            </w:r>
            <w:proofErr w:type="gramStart"/>
            <w:r w:rsidRPr="007215CF">
              <w:rPr>
                <w:rFonts w:ascii="標楷體" w:eastAsia="標楷體" w:hAnsi="標楷體"/>
                <w:szCs w:val="24"/>
              </w:rPr>
              <w:t>蹠膿皰症</w:t>
            </w:r>
            <w:proofErr w:type="gramEnd"/>
            <w:r w:rsidRPr="007215CF">
              <w:rPr>
                <w:rFonts w:ascii="標楷體" w:eastAsia="標楷體" w:hAnsi="標楷體"/>
                <w:szCs w:val="24"/>
              </w:rPr>
              <w:t>。（不符合者下次申請應於1年後）</w:t>
            </w:r>
          </w:p>
          <w:p w14:paraId="640B646B" w14:textId="77777777" w:rsidR="00401786" w:rsidRPr="007215CF" w:rsidRDefault="00C64FB3" w:rsidP="000E757E">
            <w:pPr>
              <w:spacing w:line="240" w:lineRule="atLeast"/>
              <w:ind w:left="317"/>
              <w:rPr>
                <w:rFonts w:ascii="標楷體" w:eastAsia="標楷體" w:hAnsi="標楷體"/>
                <w:b/>
                <w:color w:val="0D0D0D"/>
                <w:szCs w:val="24"/>
              </w:rPr>
            </w:pPr>
            <w:r w:rsidRPr="007215CF">
              <w:rPr>
                <w:rFonts w:ascii="標楷體" w:eastAsia="標楷體" w:hAnsi="標楷體"/>
                <w:b/>
                <w:color w:val="0D0D0D"/>
                <w:szCs w:val="24"/>
              </w:rPr>
              <w:t>重複療程</w:t>
            </w:r>
          </w:p>
          <w:p w14:paraId="24185775" w14:textId="77777777" w:rsidR="00401786" w:rsidRPr="007215CF" w:rsidRDefault="00C64FB3" w:rsidP="002144EC">
            <w:pPr>
              <w:numPr>
                <w:ilvl w:val="1"/>
                <w:numId w:val="103"/>
              </w:numPr>
              <w:spacing w:line="240" w:lineRule="atLeast"/>
              <w:ind w:left="858" w:hanging="574"/>
              <w:rPr>
                <w:rFonts w:ascii="標楷體" w:eastAsia="標楷體" w:hAnsi="標楷體"/>
                <w:color w:val="0D0D0D"/>
                <w:szCs w:val="24"/>
              </w:rPr>
            </w:pPr>
            <w:r w:rsidRPr="007215CF">
              <w:rPr>
                <w:rFonts w:ascii="標楷體" w:eastAsia="標楷體" w:hAnsi="標楷體"/>
                <w:color w:val="0D0D0D"/>
                <w:szCs w:val="24"/>
              </w:rPr>
              <w:t xml:space="preserve"> □ 再次申請時，符合下列條件之</w:t>
            </w:r>
            <w:proofErr w:type="gramStart"/>
            <w:r w:rsidRPr="007215CF">
              <w:rPr>
                <w:rFonts w:ascii="標楷體" w:eastAsia="標楷體" w:hAnsi="標楷體"/>
                <w:color w:val="0D0D0D"/>
                <w:szCs w:val="24"/>
              </w:rPr>
              <w:t>一</w:t>
            </w:r>
            <w:proofErr w:type="gramEnd"/>
            <w:r w:rsidRPr="007215CF">
              <w:rPr>
                <w:rFonts w:ascii="標楷體" w:eastAsia="標楷體" w:hAnsi="標楷體"/>
                <w:color w:val="0D0D0D"/>
                <w:szCs w:val="24"/>
              </w:rPr>
              <w:t>：</w:t>
            </w:r>
          </w:p>
          <w:p w14:paraId="54DFDD46" w14:textId="77777777" w:rsidR="00401786" w:rsidRPr="007215CF" w:rsidRDefault="00C64FB3" w:rsidP="002144EC">
            <w:pPr>
              <w:numPr>
                <w:ilvl w:val="2"/>
                <w:numId w:val="103"/>
              </w:numPr>
              <w:spacing w:line="240" w:lineRule="atLeast"/>
              <w:ind w:left="1086" w:hanging="360"/>
              <w:rPr>
                <w:rFonts w:ascii="標楷體" w:eastAsia="標楷體" w:hAnsi="標楷體"/>
                <w:color w:val="0D0D0D"/>
                <w:szCs w:val="24"/>
              </w:rPr>
            </w:pPr>
            <w:r w:rsidRPr="007215CF">
              <w:rPr>
                <w:rFonts w:ascii="標楷體" w:eastAsia="標楷體" w:hAnsi="標楷體"/>
                <w:color w:val="0D0D0D"/>
                <w:szCs w:val="24"/>
              </w:rPr>
              <w:t>□ 與初次治療前之療效達PPPASI50；</w:t>
            </w:r>
          </w:p>
          <w:p w14:paraId="2B38A1FE" w14:textId="77777777" w:rsidR="00401786" w:rsidRPr="007215CF" w:rsidRDefault="00C64FB3" w:rsidP="002144EC">
            <w:pPr>
              <w:numPr>
                <w:ilvl w:val="2"/>
                <w:numId w:val="103"/>
              </w:numPr>
              <w:spacing w:line="240" w:lineRule="atLeast"/>
              <w:ind w:left="1086" w:hanging="360"/>
              <w:rPr>
                <w:rFonts w:ascii="標楷體" w:eastAsia="標楷體" w:hAnsi="標楷體"/>
                <w:color w:val="0D0D0D"/>
                <w:szCs w:val="24"/>
              </w:rPr>
            </w:pPr>
            <w:r w:rsidRPr="007215CF">
              <w:rPr>
                <w:rFonts w:ascii="標楷體" w:eastAsia="標楷體" w:hAnsi="標楷體"/>
                <w:color w:val="0D0D0D"/>
                <w:szCs w:val="24"/>
              </w:rPr>
              <w:t>□ 暫緩續用後至少有50%復發（需附上次療程治療前、後及本次照片）。</w:t>
            </w:r>
          </w:p>
          <w:p w14:paraId="36AB65C4" w14:textId="77777777" w:rsidR="00401786" w:rsidRPr="007215CF" w:rsidRDefault="00C64FB3" w:rsidP="002144EC">
            <w:pPr>
              <w:numPr>
                <w:ilvl w:val="1"/>
                <w:numId w:val="103"/>
              </w:numPr>
              <w:spacing w:line="240" w:lineRule="atLeast"/>
              <w:ind w:left="984" w:hanging="700"/>
              <w:rPr>
                <w:rFonts w:ascii="標楷體" w:eastAsia="標楷體" w:hAnsi="標楷體"/>
                <w:szCs w:val="24"/>
              </w:rPr>
            </w:pPr>
            <w:r w:rsidRPr="007215CF">
              <w:rPr>
                <w:rFonts w:ascii="標楷體" w:eastAsia="標楷體" w:hAnsi="標楷體"/>
                <w:szCs w:val="24"/>
              </w:rPr>
              <w:t xml:space="preserve"> □ 上次治療至今病歷影本(至多附6個月)，以及申請日期之臨床照片。</w:t>
            </w:r>
          </w:p>
          <w:p w14:paraId="686BD788" w14:textId="77777777" w:rsidR="00401786" w:rsidRPr="007215CF" w:rsidRDefault="00C64FB3" w:rsidP="000E757E">
            <w:pPr>
              <w:spacing w:line="240" w:lineRule="atLeast"/>
              <w:ind w:left="960" w:firstLine="1"/>
              <w:rPr>
                <w:rFonts w:ascii="標楷體" w:eastAsia="標楷體" w:hAnsi="標楷體"/>
                <w:b/>
                <w:szCs w:val="24"/>
              </w:rPr>
            </w:pPr>
            <w:r w:rsidRPr="007215CF">
              <w:rPr>
                <w:rFonts w:ascii="標楷體" w:eastAsia="標楷體" w:hAnsi="標楷體"/>
                <w:b/>
                <w:szCs w:val="24"/>
              </w:rPr>
              <w:t>上次申請之生物製劑使用時間及使用劑量：</w:t>
            </w:r>
          </w:p>
          <w:tbl>
            <w:tblPr>
              <w:tblW w:w="8394" w:type="dxa"/>
              <w:tblInd w:w="915" w:type="dxa"/>
              <w:tblCellMar>
                <w:left w:w="10" w:type="dxa"/>
                <w:right w:w="10" w:type="dxa"/>
              </w:tblCellMar>
              <w:tblLook w:val="0000" w:firstRow="0" w:lastRow="0" w:firstColumn="0" w:lastColumn="0" w:noHBand="0" w:noVBand="0"/>
            </w:tblPr>
            <w:tblGrid>
              <w:gridCol w:w="2075"/>
              <w:gridCol w:w="1776"/>
              <w:gridCol w:w="2127"/>
              <w:gridCol w:w="2416"/>
            </w:tblGrid>
            <w:tr w:rsidR="00401786" w:rsidRPr="007215CF" w14:paraId="4CF6073E"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38799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使用生物製劑</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9E438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使用劑量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103B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49029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PPPASI治療前後數值</w:t>
                  </w:r>
                </w:p>
              </w:tc>
            </w:tr>
            <w:tr w:rsidR="00401786" w:rsidRPr="007215CF" w14:paraId="24D4FFA8"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80B6EF"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6A76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80ACD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7D73F4E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6DCE4" w14:textId="77777777" w:rsidR="00401786" w:rsidRPr="007215CF" w:rsidRDefault="00401786" w:rsidP="000E757E">
                  <w:pPr>
                    <w:spacing w:line="240" w:lineRule="atLeast"/>
                    <w:rPr>
                      <w:rFonts w:ascii="標楷體" w:eastAsia="標楷體" w:hAnsi="標楷體"/>
                      <w:szCs w:val="24"/>
                    </w:rPr>
                  </w:pPr>
                </w:p>
              </w:tc>
            </w:tr>
            <w:tr w:rsidR="00401786" w:rsidRPr="007215CF" w14:paraId="3D3697FD"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6087EE"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4B7C4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B2F7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7F89D91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5A9C99" w14:textId="77777777" w:rsidR="00401786" w:rsidRPr="007215CF" w:rsidRDefault="00401786" w:rsidP="000E757E">
                  <w:pPr>
                    <w:spacing w:line="240" w:lineRule="atLeast"/>
                    <w:rPr>
                      <w:rFonts w:ascii="標楷體" w:eastAsia="標楷體" w:hAnsi="標楷體"/>
                      <w:szCs w:val="24"/>
                    </w:rPr>
                  </w:pPr>
                </w:p>
              </w:tc>
            </w:tr>
            <w:tr w:rsidR="00401786" w:rsidRPr="007215CF" w14:paraId="0DE2A960"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7188CB"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9C35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E6BFB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685669C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261439" w14:textId="77777777" w:rsidR="00401786" w:rsidRPr="007215CF" w:rsidRDefault="00401786" w:rsidP="000E757E">
                  <w:pPr>
                    <w:spacing w:line="240" w:lineRule="atLeast"/>
                    <w:rPr>
                      <w:rFonts w:ascii="標楷體" w:eastAsia="標楷體" w:hAnsi="標楷體"/>
                      <w:szCs w:val="24"/>
                    </w:rPr>
                  </w:pPr>
                </w:p>
              </w:tc>
            </w:tr>
            <w:tr w:rsidR="00401786" w:rsidRPr="007215CF" w14:paraId="6385AE95"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88731C"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B4CB98" w14:textId="77777777" w:rsidR="00401786" w:rsidRPr="007215CF" w:rsidRDefault="00401786" w:rsidP="000E757E">
                  <w:pPr>
                    <w:spacing w:line="240" w:lineRule="atLeast"/>
                    <w:rPr>
                      <w:rFonts w:ascii="標楷體" w:eastAsia="標楷體" w:hAnsi="標楷體"/>
                      <w:szCs w:val="24"/>
                    </w:rPr>
                  </w:pP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35890" w14:textId="77777777" w:rsidR="00401786" w:rsidRPr="007215CF" w:rsidRDefault="00401786" w:rsidP="000E757E">
                  <w:pPr>
                    <w:spacing w:line="240" w:lineRule="atLeast"/>
                    <w:rPr>
                      <w:rFonts w:ascii="標楷體" w:eastAsia="標楷體" w:hAnsi="標楷體"/>
                      <w:szCs w:val="24"/>
                    </w:rPr>
                  </w:pP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97E0D" w14:textId="77777777" w:rsidR="00401786" w:rsidRPr="007215CF" w:rsidRDefault="00401786" w:rsidP="000E757E">
                  <w:pPr>
                    <w:spacing w:line="240" w:lineRule="atLeast"/>
                    <w:rPr>
                      <w:rFonts w:ascii="標楷體" w:eastAsia="標楷體" w:hAnsi="標楷體"/>
                      <w:szCs w:val="24"/>
                    </w:rPr>
                  </w:pPr>
                </w:p>
              </w:tc>
            </w:tr>
          </w:tbl>
          <w:p w14:paraId="1A877F9E" w14:textId="77777777" w:rsidR="00401786" w:rsidRPr="007215CF" w:rsidRDefault="00401786" w:rsidP="000E757E">
            <w:pPr>
              <w:spacing w:line="240" w:lineRule="atLeast"/>
              <w:ind w:left="338"/>
              <w:rPr>
                <w:rFonts w:ascii="標楷體" w:eastAsia="標楷體" w:hAnsi="標楷體"/>
                <w:szCs w:val="24"/>
              </w:rPr>
            </w:pPr>
          </w:p>
        </w:tc>
        <w:tc>
          <w:tcPr>
            <w:tcW w:w="26" w:type="dxa"/>
            <w:shd w:val="clear" w:color="auto" w:fill="auto"/>
            <w:tcMar>
              <w:top w:w="0" w:type="dxa"/>
              <w:left w:w="10" w:type="dxa"/>
              <w:bottom w:w="0" w:type="dxa"/>
              <w:right w:w="10" w:type="dxa"/>
            </w:tcMar>
          </w:tcPr>
          <w:p w14:paraId="5B37A30B" w14:textId="77777777" w:rsidR="00401786" w:rsidRPr="007215CF" w:rsidRDefault="00401786" w:rsidP="000E757E">
            <w:pPr>
              <w:spacing w:line="240" w:lineRule="atLeast"/>
              <w:ind w:left="338"/>
              <w:rPr>
                <w:rFonts w:ascii="標楷體" w:eastAsia="標楷體" w:hAnsi="標楷體"/>
                <w:szCs w:val="24"/>
              </w:rPr>
            </w:pPr>
          </w:p>
        </w:tc>
      </w:tr>
      <w:tr w:rsidR="00401786" w:rsidRPr="007215CF" w14:paraId="20141D8B" w14:textId="77777777">
        <w:tc>
          <w:tcPr>
            <w:tcW w:w="9513" w:type="dxa"/>
            <w:gridSpan w:val="5"/>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67538A43" w14:textId="77777777" w:rsidR="00401786" w:rsidRPr="007215CF" w:rsidRDefault="00C64FB3" w:rsidP="000E757E">
            <w:pPr>
              <w:spacing w:line="240" w:lineRule="atLeast"/>
              <w:ind w:left="120"/>
              <w:rPr>
                <w:szCs w:val="24"/>
              </w:rPr>
            </w:pPr>
            <w:r w:rsidRPr="007215CF">
              <w:rPr>
                <w:rFonts w:ascii="標楷體" w:eastAsia="標楷體" w:hAnsi="標楷體" w:cs="Webdings"/>
                <w:szCs w:val="24"/>
              </w:rPr>
              <w:t></w:t>
            </w:r>
            <w:r w:rsidRPr="007215CF">
              <w:rPr>
                <w:rFonts w:ascii="標楷體" w:eastAsia="標楷體" w:hAnsi="標楷體"/>
                <w:b/>
                <w:szCs w:val="24"/>
              </w:rPr>
              <w:t>無「需排除或停止使用之情形」</w:t>
            </w:r>
          </w:p>
        </w:tc>
        <w:tc>
          <w:tcPr>
            <w:tcW w:w="26" w:type="dxa"/>
            <w:shd w:val="clear" w:color="auto" w:fill="auto"/>
            <w:tcMar>
              <w:top w:w="0" w:type="dxa"/>
              <w:left w:w="10" w:type="dxa"/>
              <w:bottom w:w="0" w:type="dxa"/>
              <w:right w:w="10" w:type="dxa"/>
            </w:tcMar>
          </w:tcPr>
          <w:p w14:paraId="0AEC2355" w14:textId="77777777" w:rsidR="00401786" w:rsidRPr="007215CF" w:rsidRDefault="00401786" w:rsidP="000E757E">
            <w:pPr>
              <w:spacing w:line="240" w:lineRule="atLeast"/>
              <w:ind w:left="120"/>
              <w:rPr>
                <w:rFonts w:ascii="標楷體" w:eastAsia="標楷體" w:hAnsi="標楷體"/>
                <w:szCs w:val="24"/>
                <w:u w:val="single"/>
              </w:rPr>
            </w:pPr>
          </w:p>
        </w:tc>
      </w:tr>
      <w:tr w:rsidR="00401786" w:rsidRPr="007215CF" w14:paraId="286D7BE6"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EBE10AC"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9272A6" w14:textId="77777777" w:rsidR="00401786" w:rsidRPr="007215CF" w:rsidRDefault="00C64FB3" w:rsidP="002144EC">
            <w:pPr>
              <w:numPr>
                <w:ilvl w:val="0"/>
                <w:numId w:val="106"/>
              </w:numPr>
              <w:tabs>
                <w:tab w:val="left" w:pos="520"/>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39450DD1" w14:textId="77777777" w:rsidR="00401786" w:rsidRPr="007215CF" w:rsidRDefault="00C64FB3" w:rsidP="002144EC">
            <w:pPr>
              <w:numPr>
                <w:ilvl w:val="0"/>
                <w:numId w:val="106"/>
              </w:numPr>
              <w:tabs>
                <w:tab w:val="left" w:pos="520"/>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92FD7A7"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是否有生物製劑仿單記載之禁忌情形。</w:t>
            </w:r>
          </w:p>
        </w:tc>
        <w:tc>
          <w:tcPr>
            <w:tcW w:w="26" w:type="dxa"/>
            <w:shd w:val="clear" w:color="auto" w:fill="auto"/>
            <w:tcMar>
              <w:top w:w="0" w:type="dxa"/>
              <w:left w:w="10" w:type="dxa"/>
              <w:bottom w:w="0" w:type="dxa"/>
              <w:right w:w="10" w:type="dxa"/>
            </w:tcMar>
          </w:tcPr>
          <w:p w14:paraId="2B70FB82"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1F0D8C0B"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B36FFF3" w14:textId="77777777" w:rsidR="00401786" w:rsidRPr="007215CF" w:rsidRDefault="00401786" w:rsidP="000E757E">
            <w:pPr>
              <w:spacing w:line="240" w:lineRule="atLeast"/>
              <w:textAlignment w:val="center"/>
              <w:rPr>
                <w:rFonts w:ascii="標楷體" w:eastAsia="標楷體" w:hAnsi="標楷體"/>
                <w:szCs w:val="24"/>
                <w:u w:val="single"/>
              </w:rPr>
            </w:pPr>
          </w:p>
          <w:p w14:paraId="5805B523"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02F1D4"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0204445C"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8BF3816"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26" w:type="dxa"/>
            <w:shd w:val="clear" w:color="auto" w:fill="auto"/>
            <w:tcMar>
              <w:top w:w="0" w:type="dxa"/>
              <w:left w:w="10" w:type="dxa"/>
              <w:bottom w:w="0" w:type="dxa"/>
              <w:right w:w="10" w:type="dxa"/>
            </w:tcMar>
          </w:tcPr>
          <w:p w14:paraId="5AD7ACD0"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414DF13D"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5C24BB9"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DFEE38"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4EC2B767"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F02DB30"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26" w:type="dxa"/>
            <w:shd w:val="clear" w:color="auto" w:fill="auto"/>
            <w:tcMar>
              <w:top w:w="0" w:type="dxa"/>
              <w:left w:w="10" w:type="dxa"/>
              <w:bottom w:w="0" w:type="dxa"/>
              <w:right w:w="10" w:type="dxa"/>
            </w:tcMar>
          </w:tcPr>
          <w:p w14:paraId="4B9F8213"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6D8E53D8"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62C7EEF"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0E857E"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4C24177A"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FA581F5"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病患是否具有高度感染機會之情形，包括下列：</w:t>
            </w:r>
          </w:p>
          <w:p w14:paraId="2B77574B"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w:t>
            </w:r>
          </w:p>
          <w:p w14:paraId="1C5C9012"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w:t>
            </w:r>
          </w:p>
          <w:p w14:paraId="260FC261"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w:t>
            </w:r>
          </w:p>
          <w:p w14:paraId="45A0D3C9"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4.人工關節受到感染〈該人工關節未除去前，不可使用生物製劑〉</w:t>
            </w:r>
          </w:p>
          <w:p w14:paraId="45E9A9F9"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5.頑固性或復發性的胸腔感染疾病，6.具有留置導尿管之情形</w:t>
            </w:r>
          </w:p>
        </w:tc>
        <w:tc>
          <w:tcPr>
            <w:tcW w:w="26" w:type="dxa"/>
            <w:shd w:val="clear" w:color="auto" w:fill="auto"/>
            <w:tcMar>
              <w:top w:w="0" w:type="dxa"/>
              <w:left w:w="10" w:type="dxa"/>
              <w:bottom w:w="0" w:type="dxa"/>
              <w:right w:w="10" w:type="dxa"/>
            </w:tcMar>
          </w:tcPr>
          <w:p w14:paraId="302A9B23"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1BF3F3DD"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8338646"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B2E832"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5982ABEA"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50A237A"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26" w:type="dxa"/>
            <w:shd w:val="clear" w:color="auto" w:fill="auto"/>
            <w:tcMar>
              <w:top w:w="0" w:type="dxa"/>
              <w:left w:w="10" w:type="dxa"/>
              <w:bottom w:w="0" w:type="dxa"/>
              <w:right w:w="10" w:type="dxa"/>
            </w:tcMar>
          </w:tcPr>
          <w:p w14:paraId="70FFAF46"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2034F012"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8DF1A42"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FF3FED"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58443AF1"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C961334"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患多發性硬化症(multiple sclerosis)</w:t>
            </w:r>
          </w:p>
        </w:tc>
        <w:tc>
          <w:tcPr>
            <w:tcW w:w="26" w:type="dxa"/>
            <w:shd w:val="clear" w:color="auto" w:fill="auto"/>
            <w:tcMar>
              <w:top w:w="0" w:type="dxa"/>
              <w:left w:w="10" w:type="dxa"/>
              <w:bottom w:w="0" w:type="dxa"/>
              <w:right w:w="10" w:type="dxa"/>
            </w:tcMar>
          </w:tcPr>
          <w:p w14:paraId="346BA20F"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07A0A3D6"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9EA951E"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676AAE"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45745354"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AD873F"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於初次療程，經過6個月治療後PPPASI下降程度未達50%</w:t>
            </w:r>
          </w:p>
        </w:tc>
        <w:tc>
          <w:tcPr>
            <w:tcW w:w="26" w:type="dxa"/>
            <w:shd w:val="clear" w:color="auto" w:fill="auto"/>
            <w:tcMar>
              <w:top w:w="0" w:type="dxa"/>
              <w:left w:w="10" w:type="dxa"/>
              <w:bottom w:w="0" w:type="dxa"/>
              <w:right w:w="10" w:type="dxa"/>
            </w:tcMar>
          </w:tcPr>
          <w:p w14:paraId="0E2A4B8A"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5A89BE1F" w14:textId="77777777">
        <w:tc>
          <w:tcPr>
            <w:tcW w:w="2162" w:type="dxa"/>
            <w:gridSpan w:val="2"/>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38B9ECC9"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4FBD9CA8"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382FB75E"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99A5EED"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使用生物製劑期間發生懷孕或不良事件(包括：惡性腫瘤、該藥物引起的嚴重毒性、嚴重的感染性疾病)</w:t>
            </w:r>
          </w:p>
        </w:tc>
        <w:tc>
          <w:tcPr>
            <w:tcW w:w="26" w:type="dxa"/>
            <w:shd w:val="clear" w:color="auto" w:fill="auto"/>
            <w:tcMar>
              <w:top w:w="0" w:type="dxa"/>
              <w:left w:w="10" w:type="dxa"/>
              <w:bottom w:w="0" w:type="dxa"/>
              <w:right w:w="10" w:type="dxa"/>
            </w:tcMar>
          </w:tcPr>
          <w:p w14:paraId="52387267"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6488B970" w14:textId="77777777">
        <w:tc>
          <w:tcPr>
            <w:tcW w:w="9513" w:type="dxa"/>
            <w:gridSpan w:val="5"/>
            <w:tcBorders>
              <w:top w:val="double" w:sz="4" w:space="0" w:color="000000"/>
              <w:left w:val="double" w:sz="4" w:space="0" w:color="000000"/>
              <w:bottom w:val="single" w:sz="4" w:space="0" w:color="000000"/>
              <w:right w:val="double" w:sz="4" w:space="0" w:color="000000"/>
            </w:tcBorders>
            <w:shd w:val="clear" w:color="auto" w:fill="auto"/>
            <w:tcMar>
              <w:top w:w="0" w:type="dxa"/>
              <w:left w:w="28" w:type="dxa"/>
              <w:bottom w:w="0" w:type="dxa"/>
              <w:right w:w="28" w:type="dxa"/>
            </w:tcMar>
            <w:vAlign w:val="center"/>
          </w:tcPr>
          <w:p w14:paraId="714F89E5" w14:textId="77777777" w:rsidR="00401786" w:rsidRPr="007215CF" w:rsidRDefault="00C64FB3" w:rsidP="000E757E">
            <w:pPr>
              <w:spacing w:line="240" w:lineRule="atLeast"/>
              <w:textAlignment w:val="center"/>
              <w:rPr>
                <w:szCs w:val="24"/>
              </w:rPr>
            </w:pPr>
            <w:r w:rsidRPr="007215CF">
              <w:rPr>
                <w:rFonts w:ascii="標楷體" w:eastAsia="標楷體" w:hAnsi="標楷體" w:cs="Webdings"/>
                <w:szCs w:val="24"/>
              </w:rPr>
              <w:t></w:t>
            </w:r>
            <w:r w:rsidRPr="007215CF">
              <w:rPr>
                <w:rFonts w:ascii="標楷體" w:eastAsia="標楷體" w:hAnsi="標楷體"/>
                <w:b/>
                <w:szCs w:val="24"/>
              </w:rPr>
              <w:t>無「需暫緩續用之情形」</w:t>
            </w:r>
          </w:p>
        </w:tc>
        <w:tc>
          <w:tcPr>
            <w:tcW w:w="26" w:type="dxa"/>
            <w:shd w:val="clear" w:color="auto" w:fill="auto"/>
            <w:tcMar>
              <w:top w:w="0" w:type="dxa"/>
              <w:left w:w="10" w:type="dxa"/>
              <w:bottom w:w="0" w:type="dxa"/>
              <w:right w:w="10" w:type="dxa"/>
            </w:tcMar>
          </w:tcPr>
          <w:p w14:paraId="1369FFD8"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224B1204" w14:textId="77777777">
        <w:tc>
          <w:tcPr>
            <w:tcW w:w="2162" w:type="dxa"/>
            <w:gridSpan w:val="2"/>
            <w:tcBorders>
              <w:top w:val="single" w:sz="4"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6C3EF1D3"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4"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45D01A52"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u w:val="single"/>
              </w:rPr>
            </w:pPr>
            <w:r w:rsidRPr="007215CF">
              <w:rPr>
                <w:rFonts w:ascii="標楷體" w:eastAsia="標楷體" w:hAnsi="標楷體"/>
                <w:szCs w:val="24"/>
                <w:u w:val="single"/>
              </w:rPr>
              <w:t>是</w:t>
            </w:r>
          </w:p>
          <w:p w14:paraId="5B8EA091" w14:textId="77777777" w:rsidR="00401786" w:rsidRPr="007215CF" w:rsidRDefault="00C64FB3" w:rsidP="002144EC">
            <w:pPr>
              <w:numPr>
                <w:ilvl w:val="0"/>
                <w:numId w:val="106"/>
              </w:numPr>
              <w:tabs>
                <w:tab w:val="left" w:pos="425"/>
              </w:tabs>
              <w:spacing w:line="240" w:lineRule="atLeast"/>
              <w:ind w:left="918" w:hanging="480"/>
              <w:textAlignment w:val="center"/>
              <w:rPr>
                <w:rFonts w:ascii="標楷體" w:eastAsia="標楷體" w:hAnsi="標楷體"/>
                <w:szCs w:val="24"/>
                <w:u w:val="single"/>
              </w:rPr>
            </w:pPr>
            <w:r w:rsidRPr="007215CF">
              <w:rPr>
                <w:rFonts w:ascii="標楷體" w:eastAsia="標楷體" w:hAnsi="標楷體"/>
                <w:szCs w:val="24"/>
                <w:u w:val="single"/>
              </w:rPr>
              <w:lastRenderedPageBreak/>
              <w:t>否</w:t>
            </w:r>
          </w:p>
        </w:tc>
        <w:tc>
          <w:tcPr>
            <w:tcW w:w="6176" w:type="dxa"/>
            <w:gridSpan w:val="2"/>
            <w:tcBorders>
              <w:top w:val="single" w:sz="4"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9B2C048"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lastRenderedPageBreak/>
              <w:t>使用生物製劑治療2年後符合PPPASI&lt;12</w:t>
            </w:r>
          </w:p>
          <w:p w14:paraId="29874953"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lastRenderedPageBreak/>
              <w:t>（生物製劑使用/轉用時間計算方式之定義請參照給付規定）</w:t>
            </w:r>
          </w:p>
        </w:tc>
        <w:tc>
          <w:tcPr>
            <w:tcW w:w="26" w:type="dxa"/>
            <w:shd w:val="clear" w:color="auto" w:fill="auto"/>
            <w:tcMar>
              <w:top w:w="0" w:type="dxa"/>
              <w:left w:w="10" w:type="dxa"/>
              <w:bottom w:w="0" w:type="dxa"/>
              <w:right w:w="10" w:type="dxa"/>
            </w:tcMar>
          </w:tcPr>
          <w:p w14:paraId="4614AD59"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0E19751D" w14:textId="77777777">
        <w:tc>
          <w:tcPr>
            <w:tcW w:w="6700" w:type="dxa"/>
            <w:gridSpan w:val="4"/>
            <w:shd w:val="clear" w:color="auto" w:fill="auto"/>
            <w:tcMar>
              <w:top w:w="0" w:type="dxa"/>
              <w:left w:w="28" w:type="dxa"/>
              <w:bottom w:w="0" w:type="dxa"/>
              <w:right w:w="28" w:type="dxa"/>
            </w:tcMar>
          </w:tcPr>
          <w:p w14:paraId="34FEDF66" w14:textId="77777777" w:rsidR="00401786" w:rsidRPr="007215CF" w:rsidRDefault="00401786" w:rsidP="000E757E">
            <w:pPr>
              <w:spacing w:line="240" w:lineRule="atLeast"/>
              <w:textAlignment w:val="center"/>
              <w:rPr>
                <w:rFonts w:ascii="標楷體" w:eastAsia="標楷體" w:hAnsi="標楷體"/>
                <w:szCs w:val="24"/>
              </w:rPr>
            </w:pPr>
          </w:p>
          <w:p w14:paraId="30CD0B85"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 xml:space="preserve">申請醫師（簽名蓋章）：　　　　　　　    </w:t>
            </w:r>
          </w:p>
          <w:p w14:paraId="453FC163"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專科醫師證書：    專字第　　　　 　  號</w:t>
            </w:r>
          </w:p>
          <w:p w14:paraId="39EAC529" w14:textId="77777777" w:rsidR="00401786" w:rsidRPr="007215CF" w:rsidRDefault="00401786" w:rsidP="000E757E">
            <w:pPr>
              <w:tabs>
                <w:tab w:val="left" w:pos="2912"/>
              </w:tabs>
              <w:spacing w:line="240" w:lineRule="atLeast"/>
              <w:textAlignment w:val="center"/>
              <w:rPr>
                <w:rFonts w:ascii="標楷體" w:eastAsia="標楷體" w:hAnsi="標楷體"/>
                <w:szCs w:val="24"/>
              </w:rPr>
            </w:pPr>
          </w:p>
        </w:tc>
        <w:tc>
          <w:tcPr>
            <w:tcW w:w="2813" w:type="dxa"/>
            <w:shd w:val="clear" w:color="auto" w:fill="auto"/>
            <w:tcMar>
              <w:top w:w="0" w:type="dxa"/>
              <w:left w:w="28" w:type="dxa"/>
              <w:bottom w:w="0" w:type="dxa"/>
              <w:right w:w="28" w:type="dxa"/>
            </w:tcMar>
          </w:tcPr>
          <w:p w14:paraId="7E9A99B2" w14:textId="77777777" w:rsidR="00401786" w:rsidRPr="007215CF" w:rsidRDefault="00401786" w:rsidP="000E757E">
            <w:pPr>
              <w:spacing w:line="240" w:lineRule="atLeast"/>
              <w:textAlignment w:val="center"/>
              <w:rPr>
                <w:rFonts w:ascii="標楷體" w:eastAsia="標楷體" w:hAnsi="標楷體"/>
                <w:szCs w:val="24"/>
              </w:rPr>
            </w:pPr>
          </w:p>
          <w:p w14:paraId="0C073FC6" w14:textId="77777777" w:rsidR="00401786" w:rsidRPr="007215CF" w:rsidRDefault="00C64FB3" w:rsidP="000E757E">
            <w:pPr>
              <w:spacing w:line="240" w:lineRule="atLeast"/>
              <w:textAlignment w:val="center"/>
              <w:rPr>
                <w:rFonts w:ascii="標楷體" w:eastAsia="標楷體" w:hAnsi="標楷體"/>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26" w:type="dxa"/>
            <w:shd w:val="clear" w:color="auto" w:fill="auto"/>
            <w:tcMar>
              <w:top w:w="0" w:type="dxa"/>
              <w:left w:w="10" w:type="dxa"/>
              <w:bottom w:w="0" w:type="dxa"/>
              <w:right w:w="10" w:type="dxa"/>
            </w:tcMar>
          </w:tcPr>
          <w:p w14:paraId="0D263705" w14:textId="77777777" w:rsidR="00401786" w:rsidRPr="007215CF" w:rsidRDefault="00401786" w:rsidP="000E757E">
            <w:pPr>
              <w:spacing w:line="240" w:lineRule="atLeast"/>
              <w:textAlignment w:val="center"/>
              <w:rPr>
                <w:rFonts w:ascii="標楷體" w:eastAsia="標楷體" w:hAnsi="標楷體"/>
                <w:szCs w:val="24"/>
              </w:rPr>
            </w:pPr>
          </w:p>
        </w:tc>
      </w:tr>
    </w:tbl>
    <w:p w14:paraId="01AE9927" w14:textId="77777777" w:rsidR="00401786" w:rsidRDefault="00401786" w:rsidP="000E757E">
      <w:pPr>
        <w:spacing w:line="240" w:lineRule="atLeast"/>
        <w:ind w:left="1" w:firstLine="221"/>
        <w:rPr>
          <w:rFonts w:ascii="標楷體" w:eastAsia="標楷體" w:hAnsi="標楷體"/>
          <w:sz w:val="20"/>
          <w:szCs w:val="20"/>
        </w:rPr>
      </w:pPr>
      <w:bookmarkStart w:id="109" w:name="_Hlk51776939"/>
    </w:p>
    <w:p w14:paraId="223628D0" w14:textId="77777777" w:rsidR="00401786" w:rsidRDefault="00401786" w:rsidP="000E757E">
      <w:pPr>
        <w:spacing w:line="240" w:lineRule="atLeast"/>
        <w:ind w:left="1" w:firstLine="221"/>
        <w:rPr>
          <w:rFonts w:ascii="標楷體" w:eastAsia="標楷體" w:hAnsi="標楷體"/>
          <w:sz w:val="20"/>
          <w:szCs w:val="20"/>
        </w:rPr>
      </w:pPr>
    </w:p>
    <w:p w14:paraId="12C87D86" w14:textId="77777777" w:rsidR="00401786" w:rsidRDefault="00401786" w:rsidP="000E757E">
      <w:pPr>
        <w:spacing w:line="240" w:lineRule="atLeast"/>
        <w:ind w:left="1" w:firstLine="221"/>
        <w:rPr>
          <w:rFonts w:ascii="標楷體" w:eastAsia="標楷體" w:hAnsi="標楷體"/>
          <w:sz w:val="20"/>
          <w:szCs w:val="20"/>
        </w:rPr>
      </w:pPr>
    </w:p>
    <w:bookmarkEnd w:id="109"/>
    <w:p w14:paraId="30842C83" w14:textId="409FDDB1" w:rsidR="007215CF" w:rsidRDefault="007215CF">
      <w:pPr>
        <w:widowControl/>
        <w:suppressAutoHyphens w:val="0"/>
      </w:pPr>
      <w:r>
        <w:br w:type="page"/>
      </w:r>
    </w:p>
    <w:p w14:paraId="59AC6538" w14:textId="77777777" w:rsidR="00401786" w:rsidRPr="007215CF" w:rsidRDefault="00C64FB3" w:rsidP="000E757E">
      <w:pPr>
        <w:spacing w:before="180" w:line="240" w:lineRule="atLeast"/>
        <w:jc w:val="center"/>
        <w:rPr>
          <w:szCs w:val="24"/>
        </w:rPr>
      </w:pPr>
      <w:r w:rsidRPr="007215CF">
        <w:rPr>
          <w:rFonts w:ascii="標楷體" w:eastAsia="標楷體" w:hAnsi="標楷體"/>
          <w:b/>
          <w:kern w:val="0"/>
          <w:szCs w:val="24"/>
        </w:rPr>
        <w:lastRenderedPageBreak/>
        <w:t>附表二十四之七：全民健康保險乾癬使用apremilast、</w:t>
      </w:r>
      <w:proofErr w:type="spellStart"/>
      <w:r w:rsidRPr="007215CF">
        <w:rPr>
          <w:rFonts w:ascii="標楷體" w:eastAsia="標楷體" w:hAnsi="標楷體"/>
          <w:b/>
          <w:kern w:val="0"/>
          <w:szCs w:val="24"/>
        </w:rPr>
        <w:t>deucravacitinib</w:t>
      </w:r>
      <w:proofErr w:type="spellEnd"/>
      <w:r w:rsidRPr="007215CF">
        <w:rPr>
          <w:rFonts w:ascii="標楷體" w:eastAsia="標楷體" w:hAnsi="標楷體"/>
          <w:b/>
          <w:kern w:val="0"/>
          <w:szCs w:val="24"/>
        </w:rPr>
        <w:t>申請表</w:t>
      </w:r>
    </w:p>
    <w:tbl>
      <w:tblPr>
        <w:tblW w:w="9590" w:type="dxa"/>
        <w:jc w:val="center"/>
        <w:tblLayout w:type="fixed"/>
        <w:tblCellMar>
          <w:left w:w="10" w:type="dxa"/>
          <w:right w:w="10" w:type="dxa"/>
        </w:tblCellMar>
        <w:tblLook w:val="0000" w:firstRow="0" w:lastRow="0" w:firstColumn="0" w:lastColumn="0" w:noHBand="0" w:noVBand="0"/>
      </w:tblPr>
      <w:tblGrid>
        <w:gridCol w:w="43"/>
        <w:gridCol w:w="661"/>
        <w:gridCol w:w="642"/>
        <w:gridCol w:w="318"/>
        <w:gridCol w:w="1362"/>
        <w:gridCol w:w="1258"/>
        <w:gridCol w:w="1540"/>
        <w:gridCol w:w="325"/>
        <w:gridCol w:w="795"/>
        <w:gridCol w:w="2504"/>
        <w:gridCol w:w="16"/>
        <w:gridCol w:w="46"/>
        <w:gridCol w:w="40"/>
        <w:gridCol w:w="40"/>
      </w:tblGrid>
      <w:tr w:rsidR="00401786" w:rsidRPr="007215CF" w14:paraId="242F55C3" w14:textId="77777777">
        <w:trPr>
          <w:cantSplit/>
          <w:trHeight w:val="367"/>
          <w:jc w:val="center"/>
        </w:trPr>
        <w:tc>
          <w:tcPr>
            <w:tcW w:w="43" w:type="dxa"/>
            <w:shd w:val="clear" w:color="auto" w:fill="auto"/>
            <w:tcMar>
              <w:top w:w="0" w:type="dxa"/>
              <w:left w:w="10" w:type="dxa"/>
              <w:bottom w:w="0" w:type="dxa"/>
              <w:right w:w="10" w:type="dxa"/>
            </w:tcMar>
          </w:tcPr>
          <w:p w14:paraId="45B4080F" w14:textId="77777777" w:rsidR="00401786" w:rsidRPr="007215CF" w:rsidRDefault="00401786" w:rsidP="000E757E">
            <w:pPr>
              <w:snapToGrid w:val="0"/>
              <w:spacing w:line="240" w:lineRule="atLeast"/>
              <w:ind w:firstLine="231"/>
              <w:jc w:val="both"/>
              <w:rPr>
                <w:rFonts w:ascii="標楷體" w:eastAsia="標楷體" w:hAnsi="標楷體"/>
                <w:szCs w:val="24"/>
              </w:rPr>
            </w:pPr>
          </w:p>
        </w:tc>
        <w:tc>
          <w:tcPr>
            <w:tcW w:w="1303"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6A604D0" w14:textId="77777777" w:rsidR="00401786" w:rsidRPr="007215CF" w:rsidRDefault="00C64FB3" w:rsidP="000E757E">
            <w:pPr>
              <w:snapToGrid w:val="0"/>
              <w:spacing w:line="240" w:lineRule="atLeast"/>
              <w:ind w:firstLine="231"/>
              <w:jc w:val="both"/>
              <w:rPr>
                <w:rFonts w:ascii="標楷體" w:eastAsia="標楷體" w:hAnsi="標楷體"/>
                <w:szCs w:val="24"/>
              </w:rPr>
            </w:pPr>
            <w:r w:rsidRPr="007215CF">
              <w:rPr>
                <w:rFonts w:ascii="標楷體" w:eastAsia="標楷體" w:hAnsi="標楷體"/>
                <w:szCs w:val="24"/>
              </w:rPr>
              <w:t>醫院代號</w:t>
            </w:r>
          </w:p>
        </w:tc>
        <w:tc>
          <w:tcPr>
            <w:tcW w:w="1680"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A135F7A"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25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42A2D6" w14:textId="77777777" w:rsidR="00401786" w:rsidRPr="007215CF" w:rsidRDefault="00C64FB3" w:rsidP="000E757E">
            <w:pPr>
              <w:snapToGrid w:val="0"/>
              <w:spacing w:line="240" w:lineRule="atLeast"/>
              <w:jc w:val="both"/>
              <w:rPr>
                <w:rFonts w:ascii="標楷體" w:eastAsia="標楷體" w:hAnsi="標楷體"/>
                <w:szCs w:val="24"/>
              </w:rPr>
            </w:pPr>
            <w:r w:rsidRPr="007215CF">
              <w:rPr>
                <w:rFonts w:ascii="標楷體" w:eastAsia="標楷體" w:hAnsi="標楷體"/>
                <w:szCs w:val="24"/>
              </w:rPr>
              <w:t>醫院名稱</w:t>
            </w:r>
          </w:p>
        </w:tc>
        <w:tc>
          <w:tcPr>
            <w:tcW w:w="154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B6DCB93"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120"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27AC74" w14:textId="77777777" w:rsidR="00401786" w:rsidRPr="007215CF" w:rsidRDefault="00C64FB3" w:rsidP="000E757E">
            <w:pPr>
              <w:snapToGrid w:val="0"/>
              <w:spacing w:line="240" w:lineRule="atLeast"/>
              <w:ind w:firstLine="33"/>
              <w:jc w:val="both"/>
              <w:rPr>
                <w:rFonts w:ascii="標楷體" w:eastAsia="標楷體" w:hAnsi="標楷體"/>
                <w:szCs w:val="24"/>
              </w:rPr>
            </w:pPr>
            <w:r w:rsidRPr="007215CF">
              <w:rPr>
                <w:rFonts w:ascii="標楷體" w:eastAsia="標楷體" w:hAnsi="標楷體"/>
                <w:szCs w:val="24"/>
              </w:rPr>
              <w:t>申請日期</w:t>
            </w:r>
          </w:p>
        </w:tc>
        <w:tc>
          <w:tcPr>
            <w:tcW w:w="2520" w:type="dxa"/>
            <w:gridSpan w:val="2"/>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30FC745"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46" w:type="dxa"/>
            <w:shd w:val="clear" w:color="auto" w:fill="auto"/>
            <w:tcMar>
              <w:top w:w="0" w:type="dxa"/>
              <w:left w:w="10" w:type="dxa"/>
              <w:bottom w:w="0" w:type="dxa"/>
              <w:right w:w="10" w:type="dxa"/>
            </w:tcMar>
          </w:tcPr>
          <w:p w14:paraId="0F5C4F8D"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63649184" w14:textId="77777777" w:rsidR="00401786" w:rsidRPr="007215CF" w:rsidRDefault="00401786" w:rsidP="000E757E">
            <w:pPr>
              <w:snapToGrid w:val="0"/>
              <w:spacing w:line="240" w:lineRule="atLeast"/>
              <w:ind w:hanging="567"/>
              <w:jc w:val="both"/>
              <w:rPr>
                <w:rFonts w:ascii="標楷體" w:eastAsia="標楷體" w:hAnsi="標楷體"/>
                <w:szCs w:val="24"/>
              </w:rPr>
            </w:pPr>
          </w:p>
        </w:tc>
      </w:tr>
      <w:tr w:rsidR="00401786" w:rsidRPr="007215CF" w14:paraId="10751624" w14:textId="77777777">
        <w:trPr>
          <w:cantSplit/>
          <w:trHeight w:val="324"/>
          <w:jc w:val="center"/>
        </w:trPr>
        <w:tc>
          <w:tcPr>
            <w:tcW w:w="43" w:type="dxa"/>
            <w:shd w:val="clear" w:color="auto" w:fill="auto"/>
            <w:tcMar>
              <w:top w:w="0" w:type="dxa"/>
              <w:left w:w="10" w:type="dxa"/>
              <w:bottom w:w="0" w:type="dxa"/>
              <w:right w:w="10" w:type="dxa"/>
            </w:tcMar>
          </w:tcPr>
          <w:p w14:paraId="46F9E764" w14:textId="77777777" w:rsidR="00401786" w:rsidRPr="007215CF" w:rsidRDefault="00401786" w:rsidP="000E757E">
            <w:pPr>
              <w:spacing w:line="240" w:lineRule="atLeast"/>
              <w:ind w:firstLine="231"/>
              <w:jc w:val="both"/>
              <w:rPr>
                <w:rFonts w:ascii="標楷體" w:eastAsia="標楷體" w:hAnsi="標楷體"/>
                <w:szCs w:val="24"/>
              </w:rPr>
            </w:pPr>
          </w:p>
        </w:tc>
        <w:tc>
          <w:tcPr>
            <w:tcW w:w="1303"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C2EC117" w14:textId="77777777" w:rsidR="00401786" w:rsidRPr="007215CF" w:rsidRDefault="00C64FB3" w:rsidP="000E757E">
            <w:pPr>
              <w:spacing w:line="240" w:lineRule="atLeast"/>
              <w:ind w:firstLine="231"/>
              <w:jc w:val="both"/>
              <w:rPr>
                <w:rFonts w:ascii="標楷體" w:eastAsia="標楷體" w:hAnsi="標楷體"/>
                <w:szCs w:val="24"/>
              </w:rPr>
            </w:pPr>
            <w:r w:rsidRPr="007215CF">
              <w:rPr>
                <w:rFonts w:ascii="標楷體" w:eastAsia="標楷體" w:hAnsi="標楷體"/>
                <w:szCs w:val="24"/>
              </w:rPr>
              <w:t>病人姓名</w:t>
            </w:r>
          </w:p>
        </w:tc>
        <w:tc>
          <w:tcPr>
            <w:tcW w:w="16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B2806D" w14:textId="77777777" w:rsidR="00401786" w:rsidRPr="007215CF" w:rsidRDefault="00401786" w:rsidP="000E757E">
            <w:pPr>
              <w:spacing w:line="240" w:lineRule="atLeast"/>
              <w:ind w:hanging="567"/>
              <w:jc w:val="both"/>
              <w:rPr>
                <w:rFonts w:ascii="標楷體" w:eastAsia="標楷體" w:hAnsi="標楷體"/>
                <w:szCs w:val="24"/>
              </w:rPr>
            </w:pPr>
          </w:p>
        </w:tc>
        <w:tc>
          <w:tcPr>
            <w:tcW w:w="12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2F58CD1"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性別</w:t>
            </w:r>
          </w:p>
        </w:tc>
        <w:tc>
          <w:tcPr>
            <w:tcW w:w="15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28291D" w14:textId="77777777" w:rsidR="00401786" w:rsidRPr="007215CF" w:rsidRDefault="00401786" w:rsidP="000E757E">
            <w:pPr>
              <w:spacing w:line="240" w:lineRule="atLeast"/>
              <w:ind w:hanging="567"/>
              <w:jc w:val="both"/>
              <w:rPr>
                <w:rFonts w:ascii="標楷體" w:eastAsia="標楷體" w:hAnsi="標楷體"/>
                <w:szCs w:val="24"/>
              </w:rPr>
            </w:pPr>
          </w:p>
        </w:tc>
        <w:tc>
          <w:tcPr>
            <w:tcW w:w="112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CBDE252" w14:textId="77777777" w:rsidR="00401786" w:rsidRPr="007215CF" w:rsidRDefault="00C64FB3" w:rsidP="000E757E">
            <w:pPr>
              <w:spacing w:line="240" w:lineRule="atLeast"/>
              <w:ind w:firstLine="33"/>
              <w:jc w:val="both"/>
              <w:rPr>
                <w:rFonts w:ascii="標楷體" w:eastAsia="標楷體" w:hAnsi="標楷體"/>
                <w:szCs w:val="24"/>
              </w:rPr>
            </w:pPr>
            <w:r w:rsidRPr="007215CF">
              <w:rPr>
                <w:rFonts w:ascii="標楷體" w:eastAsia="標楷體" w:hAnsi="標楷體"/>
                <w:szCs w:val="24"/>
              </w:rPr>
              <w:t>出生日期</w:t>
            </w:r>
          </w:p>
        </w:tc>
        <w:tc>
          <w:tcPr>
            <w:tcW w:w="2520" w:type="dxa"/>
            <w:gridSpan w:val="2"/>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BA06B1D" w14:textId="77777777" w:rsidR="00401786" w:rsidRPr="007215CF" w:rsidRDefault="00401786" w:rsidP="000E757E">
            <w:pPr>
              <w:spacing w:line="240" w:lineRule="atLeast"/>
              <w:ind w:hanging="567"/>
              <w:jc w:val="both"/>
              <w:rPr>
                <w:rFonts w:ascii="標楷體" w:eastAsia="標楷體" w:hAnsi="標楷體"/>
                <w:szCs w:val="24"/>
              </w:rPr>
            </w:pPr>
          </w:p>
        </w:tc>
        <w:tc>
          <w:tcPr>
            <w:tcW w:w="46" w:type="dxa"/>
            <w:shd w:val="clear" w:color="auto" w:fill="auto"/>
            <w:tcMar>
              <w:top w:w="0" w:type="dxa"/>
              <w:left w:w="10" w:type="dxa"/>
              <w:bottom w:w="0" w:type="dxa"/>
              <w:right w:w="10" w:type="dxa"/>
            </w:tcMar>
          </w:tcPr>
          <w:p w14:paraId="7439F832" w14:textId="77777777" w:rsidR="00401786" w:rsidRPr="007215CF" w:rsidRDefault="00401786" w:rsidP="000E757E">
            <w:pPr>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6EF38CFF"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0346F682" w14:textId="77777777">
        <w:trPr>
          <w:cantSplit/>
          <w:trHeight w:val="347"/>
          <w:jc w:val="center"/>
        </w:trPr>
        <w:tc>
          <w:tcPr>
            <w:tcW w:w="43" w:type="dxa"/>
            <w:shd w:val="clear" w:color="auto" w:fill="auto"/>
            <w:tcMar>
              <w:top w:w="0" w:type="dxa"/>
              <w:left w:w="10" w:type="dxa"/>
              <w:bottom w:w="0" w:type="dxa"/>
              <w:right w:w="10" w:type="dxa"/>
            </w:tcMar>
          </w:tcPr>
          <w:p w14:paraId="76DF0E29" w14:textId="77777777" w:rsidR="00401786" w:rsidRPr="007215CF" w:rsidRDefault="00401786" w:rsidP="000E757E">
            <w:pPr>
              <w:spacing w:line="240" w:lineRule="atLeast"/>
              <w:ind w:firstLine="231"/>
              <w:jc w:val="both"/>
              <w:rPr>
                <w:rFonts w:ascii="標楷體" w:eastAsia="標楷體" w:hAnsi="標楷體"/>
                <w:szCs w:val="24"/>
              </w:rPr>
            </w:pPr>
          </w:p>
        </w:tc>
        <w:tc>
          <w:tcPr>
            <w:tcW w:w="1303"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62F25BE" w14:textId="77777777" w:rsidR="00401786" w:rsidRPr="007215CF" w:rsidRDefault="00C64FB3" w:rsidP="000E757E">
            <w:pPr>
              <w:spacing w:line="240" w:lineRule="atLeast"/>
              <w:ind w:firstLine="231"/>
              <w:jc w:val="both"/>
              <w:rPr>
                <w:rFonts w:ascii="標楷體" w:eastAsia="標楷體" w:hAnsi="標楷體"/>
                <w:szCs w:val="24"/>
              </w:rPr>
            </w:pPr>
            <w:r w:rsidRPr="007215CF">
              <w:rPr>
                <w:rFonts w:ascii="標楷體" w:eastAsia="標楷體" w:hAnsi="標楷體"/>
                <w:szCs w:val="24"/>
              </w:rPr>
              <w:t>身分證號</w:t>
            </w:r>
          </w:p>
        </w:tc>
        <w:tc>
          <w:tcPr>
            <w:tcW w:w="16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C7C4C3" w14:textId="77777777" w:rsidR="00401786" w:rsidRPr="007215CF" w:rsidRDefault="00401786" w:rsidP="000E757E">
            <w:pPr>
              <w:spacing w:line="240" w:lineRule="atLeast"/>
              <w:ind w:hanging="567"/>
              <w:jc w:val="both"/>
              <w:rPr>
                <w:rFonts w:ascii="標楷體" w:eastAsia="標楷體" w:hAnsi="標楷體"/>
                <w:szCs w:val="24"/>
              </w:rPr>
            </w:pPr>
          </w:p>
        </w:tc>
        <w:tc>
          <w:tcPr>
            <w:tcW w:w="12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D44568"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病歷號碼</w:t>
            </w:r>
          </w:p>
        </w:tc>
        <w:tc>
          <w:tcPr>
            <w:tcW w:w="15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777515" w14:textId="77777777" w:rsidR="00401786" w:rsidRPr="007215CF" w:rsidRDefault="00401786" w:rsidP="000E757E">
            <w:pPr>
              <w:spacing w:line="240" w:lineRule="atLeast"/>
              <w:ind w:hanging="567"/>
              <w:jc w:val="both"/>
              <w:rPr>
                <w:rFonts w:ascii="標楷體" w:eastAsia="標楷體" w:hAnsi="標楷體"/>
                <w:szCs w:val="24"/>
              </w:rPr>
            </w:pPr>
          </w:p>
        </w:tc>
        <w:tc>
          <w:tcPr>
            <w:tcW w:w="1120" w:type="dxa"/>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7AD37959" w14:textId="77777777" w:rsidR="00401786" w:rsidRPr="007215CF" w:rsidRDefault="00C64FB3" w:rsidP="000E757E">
            <w:pPr>
              <w:spacing w:line="240" w:lineRule="atLeast"/>
              <w:ind w:firstLine="33"/>
              <w:jc w:val="both"/>
              <w:rPr>
                <w:rFonts w:ascii="標楷體" w:eastAsia="標楷體" w:hAnsi="標楷體"/>
                <w:szCs w:val="24"/>
              </w:rPr>
            </w:pPr>
            <w:r w:rsidRPr="007215CF">
              <w:rPr>
                <w:rFonts w:ascii="標楷體" w:eastAsia="標楷體" w:hAnsi="標楷體"/>
                <w:szCs w:val="24"/>
              </w:rPr>
              <w:t>使用日期</w:t>
            </w:r>
          </w:p>
        </w:tc>
        <w:tc>
          <w:tcPr>
            <w:tcW w:w="2520" w:type="dxa"/>
            <w:gridSpan w:val="2"/>
            <w:vMerge w:val="restart"/>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vAlign w:val="center"/>
          </w:tcPr>
          <w:p w14:paraId="1DE3398E"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自　　  年　　月　　日</w:t>
            </w:r>
          </w:p>
        </w:tc>
        <w:tc>
          <w:tcPr>
            <w:tcW w:w="46" w:type="dxa"/>
            <w:shd w:val="clear" w:color="auto" w:fill="auto"/>
            <w:tcMar>
              <w:top w:w="0" w:type="dxa"/>
              <w:left w:w="10" w:type="dxa"/>
              <w:bottom w:w="0" w:type="dxa"/>
              <w:right w:w="10" w:type="dxa"/>
            </w:tcMar>
          </w:tcPr>
          <w:p w14:paraId="3123B78E" w14:textId="77777777" w:rsidR="00401786" w:rsidRPr="007215CF" w:rsidRDefault="00401786" w:rsidP="000E757E">
            <w:pPr>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42459A8D"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0852E492" w14:textId="77777777">
        <w:trPr>
          <w:cantSplit/>
          <w:trHeight w:val="329"/>
          <w:jc w:val="center"/>
        </w:trPr>
        <w:tc>
          <w:tcPr>
            <w:tcW w:w="43" w:type="dxa"/>
            <w:shd w:val="clear" w:color="auto" w:fill="auto"/>
            <w:tcMar>
              <w:top w:w="0" w:type="dxa"/>
              <w:left w:w="10" w:type="dxa"/>
              <w:bottom w:w="0" w:type="dxa"/>
              <w:right w:w="10" w:type="dxa"/>
            </w:tcMar>
          </w:tcPr>
          <w:p w14:paraId="546B8030" w14:textId="77777777" w:rsidR="00401786" w:rsidRPr="007215CF" w:rsidRDefault="00401786" w:rsidP="000E757E">
            <w:pPr>
              <w:spacing w:line="240" w:lineRule="atLeast"/>
              <w:ind w:firstLine="231"/>
              <w:jc w:val="both"/>
              <w:rPr>
                <w:rFonts w:ascii="標楷體" w:eastAsia="標楷體" w:hAnsi="標楷體"/>
                <w:szCs w:val="24"/>
              </w:rPr>
            </w:pPr>
          </w:p>
        </w:tc>
        <w:tc>
          <w:tcPr>
            <w:tcW w:w="1303" w:type="dxa"/>
            <w:gridSpan w:val="2"/>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B219CAA" w14:textId="77777777" w:rsidR="00401786" w:rsidRPr="007215CF" w:rsidRDefault="00C64FB3" w:rsidP="000E757E">
            <w:pPr>
              <w:spacing w:line="240" w:lineRule="atLeast"/>
              <w:ind w:firstLine="231"/>
              <w:jc w:val="both"/>
              <w:rPr>
                <w:rFonts w:ascii="標楷體" w:eastAsia="標楷體" w:hAnsi="標楷體"/>
                <w:szCs w:val="24"/>
              </w:rPr>
            </w:pPr>
            <w:r w:rsidRPr="007215CF">
              <w:rPr>
                <w:rFonts w:ascii="標楷體" w:eastAsia="標楷體" w:hAnsi="標楷體"/>
                <w:szCs w:val="24"/>
              </w:rPr>
              <w:t>藥品代碼</w:t>
            </w:r>
          </w:p>
        </w:tc>
        <w:tc>
          <w:tcPr>
            <w:tcW w:w="1680" w:type="dxa"/>
            <w:gridSpan w:val="2"/>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383ED78" w14:textId="77777777" w:rsidR="00401786" w:rsidRPr="007215CF" w:rsidRDefault="00401786" w:rsidP="000E757E">
            <w:pPr>
              <w:spacing w:line="240" w:lineRule="atLeast"/>
              <w:ind w:hanging="567"/>
              <w:jc w:val="both"/>
              <w:rPr>
                <w:rFonts w:ascii="標楷體" w:eastAsia="標楷體" w:hAnsi="標楷體"/>
                <w:szCs w:val="24"/>
              </w:rPr>
            </w:pPr>
          </w:p>
        </w:tc>
        <w:tc>
          <w:tcPr>
            <w:tcW w:w="125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739C18D"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用法用量</w:t>
            </w:r>
          </w:p>
        </w:tc>
        <w:tc>
          <w:tcPr>
            <w:tcW w:w="1540"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DC31777" w14:textId="77777777" w:rsidR="00401786" w:rsidRPr="007215CF" w:rsidRDefault="00401786" w:rsidP="000E757E">
            <w:pPr>
              <w:spacing w:line="240" w:lineRule="atLeast"/>
              <w:ind w:hanging="567"/>
              <w:jc w:val="both"/>
              <w:rPr>
                <w:rFonts w:ascii="標楷體" w:eastAsia="標楷體" w:hAnsi="標楷體"/>
                <w:szCs w:val="24"/>
              </w:rPr>
            </w:pPr>
          </w:p>
        </w:tc>
        <w:tc>
          <w:tcPr>
            <w:tcW w:w="1120" w:type="dxa"/>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067F086" w14:textId="77777777" w:rsidR="00401786" w:rsidRPr="007215CF" w:rsidRDefault="00401786" w:rsidP="000E757E">
            <w:pPr>
              <w:widowControl/>
              <w:spacing w:line="240" w:lineRule="atLeast"/>
              <w:ind w:hanging="567"/>
              <w:jc w:val="both"/>
              <w:rPr>
                <w:rFonts w:ascii="標楷體" w:eastAsia="標楷體" w:hAnsi="標楷體"/>
                <w:szCs w:val="24"/>
              </w:rPr>
            </w:pPr>
          </w:p>
        </w:tc>
        <w:tc>
          <w:tcPr>
            <w:tcW w:w="2520" w:type="dxa"/>
            <w:gridSpan w:val="2"/>
            <w:vMerge/>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vAlign w:val="center"/>
          </w:tcPr>
          <w:p w14:paraId="7E82F24F" w14:textId="77777777" w:rsidR="00401786" w:rsidRPr="007215CF" w:rsidRDefault="00401786" w:rsidP="000E757E">
            <w:pPr>
              <w:spacing w:line="240" w:lineRule="atLeast"/>
              <w:ind w:hanging="567"/>
              <w:jc w:val="both"/>
              <w:rPr>
                <w:rFonts w:ascii="標楷體" w:eastAsia="標楷體" w:hAnsi="標楷體"/>
                <w:szCs w:val="24"/>
              </w:rPr>
            </w:pPr>
          </w:p>
        </w:tc>
        <w:tc>
          <w:tcPr>
            <w:tcW w:w="46" w:type="dxa"/>
            <w:shd w:val="clear" w:color="auto" w:fill="auto"/>
            <w:tcMar>
              <w:top w:w="0" w:type="dxa"/>
              <w:left w:w="10" w:type="dxa"/>
              <w:bottom w:w="0" w:type="dxa"/>
              <w:right w:w="10" w:type="dxa"/>
            </w:tcMar>
          </w:tcPr>
          <w:p w14:paraId="0096B24B" w14:textId="77777777" w:rsidR="00401786" w:rsidRPr="007215CF" w:rsidRDefault="00401786" w:rsidP="000E757E">
            <w:pPr>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3042A8CF"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4D861C6C" w14:textId="77777777" w:rsidTr="00190A34">
        <w:trPr>
          <w:trHeight w:val="6972"/>
          <w:jc w:val="center"/>
        </w:trPr>
        <w:tc>
          <w:tcPr>
            <w:tcW w:w="43" w:type="dxa"/>
            <w:shd w:val="clear" w:color="auto" w:fill="auto"/>
            <w:tcMar>
              <w:top w:w="0" w:type="dxa"/>
              <w:left w:w="10" w:type="dxa"/>
              <w:bottom w:w="0" w:type="dxa"/>
              <w:right w:w="10" w:type="dxa"/>
            </w:tcMar>
          </w:tcPr>
          <w:p w14:paraId="6F176C12" w14:textId="77777777" w:rsidR="00401786" w:rsidRPr="007215CF" w:rsidRDefault="00401786" w:rsidP="000E757E">
            <w:pPr>
              <w:spacing w:line="240" w:lineRule="atLeast"/>
              <w:ind w:left="372" w:hanging="372"/>
              <w:jc w:val="both"/>
              <w:rPr>
                <w:rFonts w:ascii="標楷體" w:eastAsia="標楷體" w:hAnsi="標楷體"/>
                <w:szCs w:val="24"/>
              </w:rPr>
            </w:pPr>
          </w:p>
        </w:tc>
        <w:tc>
          <w:tcPr>
            <w:tcW w:w="9467" w:type="dxa"/>
            <w:gridSpan w:val="11"/>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7099EB7B" w14:textId="77777777" w:rsidR="00401786" w:rsidRPr="007215CF" w:rsidRDefault="00C64FB3" w:rsidP="000E757E">
            <w:pPr>
              <w:spacing w:line="240" w:lineRule="atLeast"/>
              <w:ind w:left="372" w:hanging="372"/>
              <w:jc w:val="both"/>
              <w:rPr>
                <w:szCs w:val="24"/>
              </w:rPr>
            </w:pPr>
            <w:r w:rsidRPr="007215CF">
              <w:rPr>
                <w:rFonts w:ascii="標楷體" w:eastAsia="標楷體" w:hAnsi="標楷體"/>
                <w:szCs w:val="24"/>
              </w:rPr>
              <w:t xml:space="preserve">□ </w:t>
            </w:r>
            <w:r w:rsidRPr="007215CF">
              <w:rPr>
                <w:rFonts w:ascii="標楷體" w:eastAsia="標楷體" w:hAnsi="標楷體"/>
                <w:b/>
                <w:szCs w:val="24"/>
              </w:rPr>
              <w:t>符合對傳統全身性治療療效反應不佳、無法耐受或具有禁忌症的中度至</w:t>
            </w:r>
            <w:proofErr w:type="gramStart"/>
            <w:r w:rsidRPr="007215CF">
              <w:rPr>
                <w:rFonts w:ascii="標楷體" w:eastAsia="標楷體" w:hAnsi="標楷體"/>
                <w:b/>
                <w:szCs w:val="24"/>
              </w:rPr>
              <w:t>重度斑塊</w:t>
            </w:r>
            <w:proofErr w:type="gramEnd"/>
            <w:r w:rsidRPr="007215CF">
              <w:rPr>
                <w:rFonts w:ascii="標楷體" w:eastAsia="標楷體" w:hAnsi="標楷體"/>
                <w:b/>
                <w:szCs w:val="24"/>
              </w:rPr>
              <w:t>乾癬之成年病人：</w:t>
            </w:r>
            <w:r w:rsidRPr="007215CF">
              <w:rPr>
                <w:rFonts w:ascii="標楷體" w:eastAsia="標楷體" w:hAnsi="標楷體"/>
                <w:szCs w:val="24"/>
              </w:rPr>
              <w:t xml:space="preserve"> </w:t>
            </w:r>
          </w:p>
          <w:p w14:paraId="5BEBB65B" w14:textId="77777777" w:rsidR="00401786" w:rsidRPr="007215CF" w:rsidRDefault="00C64FB3" w:rsidP="002144EC">
            <w:pPr>
              <w:numPr>
                <w:ilvl w:val="1"/>
                <w:numId w:val="107"/>
              </w:numPr>
              <w:spacing w:line="240" w:lineRule="atLeast"/>
              <w:ind w:left="601" w:hanging="317"/>
              <w:jc w:val="both"/>
              <w:rPr>
                <w:szCs w:val="24"/>
              </w:rPr>
            </w:pPr>
            <w:r w:rsidRPr="007215CF">
              <w:rPr>
                <w:rFonts w:ascii="標楷體" w:eastAsia="標楷體" w:hAnsi="標楷體"/>
                <w:szCs w:val="24"/>
              </w:rPr>
              <w:t xml:space="preserve"> □ 符合照光治療無效或無法耐受（檢附詳細3個月照光劑量記錄</w:t>
            </w:r>
            <w:r w:rsidRPr="007215CF">
              <w:rPr>
                <w:rFonts w:ascii="標楷體" w:eastAsia="標楷體" w:hAnsi="標楷體"/>
                <w:b/>
                <w:szCs w:val="24"/>
              </w:rPr>
              <w:t>）</w:t>
            </w:r>
            <w:r w:rsidRPr="007215CF">
              <w:rPr>
                <w:rFonts w:ascii="標楷體" w:eastAsia="標楷體" w:hAnsi="標楷體"/>
                <w:szCs w:val="24"/>
              </w:rPr>
              <w:t>。</w:t>
            </w:r>
          </w:p>
          <w:p w14:paraId="7CBFB7D1" w14:textId="77777777" w:rsidR="00401786" w:rsidRPr="007215CF" w:rsidRDefault="00C64FB3" w:rsidP="002144EC">
            <w:pPr>
              <w:numPr>
                <w:ilvl w:val="1"/>
                <w:numId w:val="107"/>
              </w:numPr>
              <w:spacing w:line="240" w:lineRule="atLeast"/>
              <w:ind w:left="601" w:hanging="317"/>
              <w:jc w:val="both"/>
              <w:rPr>
                <w:rFonts w:ascii="標楷體" w:eastAsia="標楷體" w:hAnsi="標楷體"/>
                <w:szCs w:val="24"/>
              </w:rPr>
            </w:pPr>
            <w:r w:rsidRPr="007215CF">
              <w:rPr>
                <w:rFonts w:ascii="標楷體" w:eastAsia="標楷體" w:hAnsi="標楷體"/>
                <w:szCs w:val="24"/>
              </w:rPr>
              <w:t xml:space="preserve"> □ 符合其他全身性治療無效。</w:t>
            </w:r>
          </w:p>
          <w:p w14:paraId="61FBC94E" w14:textId="77777777" w:rsidR="00401786" w:rsidRPr="007215CF" w:rsidRDefault="00C64FB3" w:rsidP="000E757E">
            <w:pPr>
              <w:spacing w:line="240" w:lineRule="atLeast"/>
              <w:ind w:left="2" w:firstLine="31"/>
              <w:jc w:val="center"/>
              <w:rPr>
                <w:szCs w:val="24"/>
              </w:rPr>
            </w:pPr>
            <w:r w:rsidRPr="007215CF">
              <w:rPr>
                <w:rFonts w:ascii="標楷體" w:eastAsia="標楷體" w:hAnsi="標楷體"/>
                <w:b/>
                <w:szCs w:val="24"/>
              </w:rPr>
              <w:t>至少以下任一種藥物之使用時間、劑量及停用</w:t>
            </w:r>
            <w:r w:rsidRPr="007215CF">
              <w:rPr>
                <w:rFonts w:ascii="標楷體" w:eastAsia="標楷體" w:hAnsi="標楷體"/>
                <w:b/>
                <w:szCs w:val="24"/>
                <w:u w:val="single"/>
              </w:rPr>
              <w:t>或無法耐受</w:t>
            </w:r>
            <w:r w:rsidRPr="007215CF">
              <w:rPr>
                <w:rFonts w:ascii="標楷體" w:eastAsia="標楷體" w:hAnsi="標楷體"/>
                <w:b/>
                <w:szCs w:val="24"/>
              </w:rPr>
              <w:t>理由</w:t>
            </w:r>
          </w:p>
          <w:tbl>
            <w:tblPr>
              <w:tblW w:w="7836" w:type="dxa"/>
              <w:tblInd w:w="1027" w:type="dxa"/>
              <w:tblLayout w:type="fixed"/>
              <w:tblCellMar>
                <w:left w:w="10" w:type="dxa"/>
                <w:right w:w="10" w:type="dxa"/>
              </w:tblCellMar>
              <w:tblLook w:val="0000" w:firstRow="0" w:lastRow="0" w:firstColumn="0" w:lastColumn="0" w:noHBand="0" w:noVBand="0"/>
            </w:tblPr>
            <w:tblGrid>
              <w:gridCol w:w="1664"/>
              <w:gridCol w:w="1463"/>
              <w:gridCol w:w="2066"/>
              <w:gridCol w:w="2643"/>
            </w:tblGrid>
            <w:tr w:rsidR="00401786" w:rsidRPr="007215CF" w14:paraId="5F2BC453" w14:textId="77777777">
              <w:trPr>
                <w:trHeight w:val="138"/>
              </w:trPr>
              <w:tc>
                <w:tcPr>
                  <w:tcW w:w="16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66A342" w14:textId="77777777" w:rsidR="00401786" w:rsidRPr="007215CF" w:rsidRDefault="00401786" w:rsidP="000E757E">
                  <w:pPr>
                    <w:spacing w:line="240" w:lineRule="atLeast"/>
                    <w:ind w:hanging="567"/>
                    <w:jc w:val="both"/>
                    <w:rPr>
                      <w:rFonts w:ascii="標楷體" w:eastAsia="標楷體" w:hAnsi="標楷體"/>
                      <w:szCs w:val="24"/>
                    </w:rPr>
                  </w:pPr>
                </w:p>
              </w:tc>
              <w:tc>
                <w:tcPr>
                  <w:tcW w:w="14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91E05C"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使用劑量</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590AE7" w14:textId="77777777" w:rsidR="00401786" w:rsidRPr="007215CF" w:rsidRDefault="00C64FB3" w:rsidP="000E757E">
                  <w:pPr>
                    <w:spacing w:line="240" w:lineRule="atLeast"/>
                    <w:ind w:hanging="567"/>
                    <w:jc w:val="center"/>
                    <w:rPr>
                      <w:rFonts w:ascii="標楷體" w:eastAsia="標楷體" w:hAnsi="標楷體"/>
                      <w:szCs w:val="24"/>
                    </w:rPr>
                  </w:pPr>
                  <w:r w:rsidRPr="007215CF">
                    <w:rPr>
                      <w:rFonts w:ascii="標楷體" w:eastAsia="標楷體" w:hAnsi="標楷體"/>
                      <w:szCs w:val="24"/>
                    </w:rPr>
                    <w:t>使用時間</w:t>
                  </w:r>
                </w:p>
              </w:tc>
              <w:tc>
                <w:tcPr>
                  <w:tcW w:w="26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0425D1" w14:textId="77777777" w:rsidR="00401786" w:rsidRPr="007215CF" w:rsidRDefault="00C64FB3" w:rsidP="000E757E">
                  <w:pPr>
                    <w:spacing w:line="240" w:lineRule="atLeast"/>
                    <w:ind w:firstLine="50"/>
                    <w:jc w:val="both"/>
                    <w:rPr>
                      <w:szCs w:val="24"/>
                    </w:rPr>
                  </w:pPr>
                  <w:r w:rsidRPr="007215CF">
                    <w:rPr>
                      <w:rFonts w:ascii="標楷體" w:eastAsia="標楷體" w:hAnsi="標楷體"/>
                      <w:szCs w:val="24"/>
                    </w:rPr>
                    <w:t>停用</w:t>
                  </w:r>
                  <w:r w:rsidRPr="007215CF">
                    <w:rPr>
                      <w:rFonts w:ascii="標楷體" w:eastAsia="標楷體" w:hAnsi="標楷體"/>
                      <w:szCs w:val="24"/>
                      <w:u w:val="single"/>
                    </w:rPr>
                    <w:t>或無法耐受</w:t>
                  </w:r>
                  <w:r w:rsidRPr="007215CF">
                    <w:rPr>
                      <w:rFonts w:ascii="標楷體" w:eastAsia="標楷體" w:hAnsi="標楷體"/>
                      <w:szCs w:val="24"/>
                    </w:rPr>
                    <w:t>理由</w:t>
                  </w:r>
                </w:p>
              </w:tc>
            </w:tr>
            <w:tr w:rsidR="00401786" w:rsidRPr="007215CF" w14:paraId="6317C8CF" w14:textId="77777777">
              <w:trPr>
                <w:trHeight w:val="138"/>
              </w:trPr>
              <w:tc>
                <w:tcPr>
                  <w:tcW w:w="16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179898"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Methotrexate</w:t>
                  </w:r>
                </w:p>
              </w:tc>
              <w:tc>
                <w:tcPr>
                  <w:tcW w:w="14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45BD08"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___mg/week</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71D67C"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__年__月__日至</w:t>
                  </w:r>
                </w:p>
                <w:p w14:paraId="653E598B"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w:t>
                  </w:r>
                </w:p>
              </w:tc>
              <w:tc>
                <w:tcPr>
                  <w:tcW w:w="26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E0523"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2B4BF35C" w14:textId="77777777">
              <w:trPr>
                <w:trHeight w:val="138"/>
              </w:trPr>
              <w:tc>
                <w:tcPr>
                  <w:tcW w:w="16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F96C6"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Cyclosporine</w:t>
                  </w:r>
                </w:p>
              </w:tc>
              <w:tc>
                <w:tcPr>
                  <w:tcW w:w="14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C80126"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___mg/day</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E0D2C3"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__年__月__日至</w:t>
                  </w:r>
                </w:p>
                <w:p w14:paraId="1E027961"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w:t>
                  </w:r>
                </w:p>
              </w:tc>
              <w:tc>
                <w:tcPr>
                  <w:tcW w:w="26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F73F80" w14:textId="77777777" w:rsidR="00401786" w:rsidRPr="007215CF" w:rsidRDefault="00401786" w:rsidP="000E757E">
                  <w:pPr>
                    <w:spacing w:line="240" w:lineRule="atLeast"/>
                    <w:ind w:hanging="567"/>
                    <w:jc w:val="both"/>
                    <w:rPr>
                      <w:rFonts w:ascii="標楷體" w:eastAsia="標楷體" w:hAnsi="標楷體"/>
                      <w:szCs w:val="24"/>
                    </w:rPr>
                  </w:pPr>
                </w:p>
              </w:tc>
            </w:tr>
          </w:tbl>
          <w:p w14:paraId="1BC3CC71" w14:textId="77777777" w:rsidR="00401786" w:rsidRPr="007215CF" w:rsidRDefault="00C64FB3" w:rsidP="000E757E">
            <w:pPr>
              <w:spacing w:line="240" w:lineRule="atLeast"/>
              <w:ind w:left="1592" w:hanging="567"/>
              <w:jc w:val="both"/>
              <w:rPr>
                <w:rFonts w:ascii="標楷體" w:eastAsia="標楷體" w:hAnsi="標楷體"/>
                <w:szCs w:val="24"/>
              </w:rPr>
            </w:pPr>
            <w:r w:rsidRPr="007215CF">
              <w:rPr>
                <w:rFonts w:ascii="標楷體" w:eastAsia="標楷體" w:hAnsi="標楷體"/>
                <w:szCs w:val="24"/>
              </w:rPr>
              <w:t>患者體重: _____ kg</w:t>
            </w:r>
          </w:p>
          <w:p w14:paraId="4186D17C" w14:textId="77777777" w:rsidR="00401786" w:rsidRPr="007215CF" w:rsidRDefault="00C64FB3" w:rsidP="000E757E">
            <w:pPr>
              <w:spacing w:line="240" w:lineRule="atLeast"/>
              <w:ind w:left="1167" w:hanging="850"/>
              <w:jc w:val="both"/>
              <w:rPr>
                <w:rFonts w:ascii="標楷體" w:eastAsia="標楷體" w:hAnsi="標楷體"/>
                <w:szCs w:val="24"/>
              </w:rPr>
            </w:pPr>
            <w:r w:rsidRPr="007215CF">
              <w:rPr>
                <w:rFonts w:ascii="標楷體" w:eastAsia="標楷體" w:hAnsi="標楷體"/>
                <w:szCs w:val="24"/>
              </w:rPr>
              <w:t>3 □ 符合全身中至重</w:t>
            </w:r>
            <w:proofErr w:type="gramStart"/>
            <w:r w:rsidRPr="007215CF">
              <w:rPr>
                <w:rFonts w:ascii="標楷體" w:eastAsia="標楷體" w:hAnsi="標楷體"/>
                <w:szCs w:val="24"/>
              </w:rPr>
              <w:t>度之斑塊</w:t>
            </w:r>
            <w:proofErr w:type="gramEnd"/>
            <w:r w:rsidRPr="007215CF">
              <w:rPr>
                <w:rFonts w:ascii="標楷體" w:eastAsia="標楷體" w:hAnsi="標楷體"/>
                <w:szCs w:val="24"/>
              </w:rPr>
              <w:t>乾癬（檢附至少6個月病歷影本，治療已滿3個月，未滿6個月，得合併它院就診病歷）。</w:t>
            </w:r>
          </w:p>
          <w:p w14:paraId="6C1F51FE" w14:textId="77777777" w:rsidR="00401786" w:rsidRPr="007215CF" w:rsidRDefault="00C64FB3" w:rsidP="002144EC">
            <w:pPr>
              <w:numPr>
                <w:ilvl w:val="0"/>
                <w:numId w:val="108"/>
              </w:numPr>
              <w:spacing w:line="240" w:lineRule="atLeast"/>
              <w:ind w:left="601" w:hanging="284"/>
              <w:jc w:val="both"/>
              <w:rPr>
                <w:szCs w:val="24"/>
              </w:rPr>
            </w:pPr>
            <w:r w:rsidRPr="007215CF">
              <w:rPr>
                <w:rFonts w:ascii="標楷體" w:eastAsia="標楷體" w:hAnsi="標楷體"/>
                <w:szCs w:val="24"/>
              </w:rPr>
              <w:t>□ 乾癬面積暨嚴重度指數〔Psoriasis Area Severity Index（PASI）〕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 xml:space="preserve">10 </w:t>
            </w:r>
            <w:proofErr w:type="gramStart"/>
            <w:r w:rsidRPr="007215CF">
              <w:rPr>
                <w:rFonts w:ascii="標楷體" w:eastAsia="標楷體" w:hAnsi="標楷體"/>
                <w:szCs w:val="24"/>
              </w:rPr>
              <w:t>（</w:t>
            </w:r>
            <w:proofErr w:type="gramEnd"/>
            <w:r w:rsidRPr="007215CF">
              <w:rPr>
                <w:rFonts w:ascii="標楷體" w:eastAsia="標楷體" w:hAnsi="標楷體"/>
                <w:szCs w:val="24"/>
              </w:rPr>
              <w:t>不適</w:t>
            </w:r>
          </w:p>
          <w:p w14:paraId="08997636" w14:textId="77777777" w:rsidR="00401786" w:rsidRPr="007215CF" w:rsidRDefault="00C64FB3" w:rsidP="000E757E">
            <w:pPr>
              <w:spacing w:line="240" w:lineRule="atLeast"/>
              <w:ind w:left="1017" w:hanging="52"/>
              <w:jc w:val="both"/>
              <w:rPr>
                <w:szCs w:val="24"/>
              </w:rPr>
            </w:pPr>
            <w:r w:rsidRPr="007215CF">
              <w:rPr>
                <w:rFonts w:ascii="標楷體" w:eastAsia="標楷體" w:hAnsi="標楷體"/>
                <w:szCs w:val="24"/>
              </w:rPr>
              <w:t xml:space="preserve">用PASI測定如膿疱性乾癬，則以範圍 </w:t>
            </w:r>
            <w:r w:rsidRPr="007215CF">
              <w:rPr>
                <w:rFonts w:ascii="標楷體" w:eastAsia="標楷體" w:hAnsi="標楷體" w:cs="新細明體"/>
                <w:szCs w:val="24"/>
              </w:rPr>
              <w:t>≧</w:t>
            </w:r>
            <w:r w:rsidRPr="007215CF">
              <w:rPr>
                <w:rFonts w:ascii="標楷體" w:eastAsia="標楷體" w:hAnsi="標楷體"/>
                <w:szCs w:val="24"/>
              </w:rPr>
              <w:t>10%體表面積）。</w:t>
            </w:r>
          </w:p>
          <w:p w14:paraId="0258AFB1" w14:textId="77777777" w:rsidR="00401786" w:rsidRPr="007215CF" w:rsidRDefault="00C64FB3" w:rsidP="000E757E">
            <w:pPr>
              <w:spacing w:line="240" w:lineRule="atLeast"/>
              <w:ind w:left="1472" w:hanging="567"/>
              <w:jc w:val="both"/>
              <w:rPr>
                <w:rFonts w:ascii="標楷體" w:eastAsia="標楷體" w:hAnsi="標楷體"/>
                <w:szCs w:val="24"/>
              </w:rPr>
            </w:pPr>
            <w:r w:rsidRPr="007215CF">
              <w:rPr>
                <w:rFonts w:ascii="標楷體" w:eastAsia="標楷體" w:hAnsi="標楷體"/>
                <w:szCs w:val="24"/>
              </w:rPr>
              <w:t xml:space="preserve">  PASI＝0.1×（</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___）×___＋0.3×（</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1F58C403" w14:textId="77777777" w:rsidR="00401786" w:rsidRPr="007215CF" w:rsidRDefault="00C64FB3" w:rsidP="000E757E">
            <w:pPr>
              <w:spacing w:line="240" w:lineRule="atLeast"/>
              <w:ind w:left="1910" w:hanging="12"/>
              <w:jc w:val="both"/>
              <w:rPr>
                <w:rFonts w:ascii="標楷體" w:eastAsia="標楷體" w:hAnsi="標楷體"/>
                <w:szCs w:val="24"/>
              </w:rPr>
            </w:pPr>
            <w:r w:rsidRPr="007215CF">
              <w:rPr>
                <w:rFonts w:ascii="標楷體" w:eastAsia="標楷體" w:hAnsi="標楷體"/>
                <w:szCs w:val="24"/>
              </w:rPr>
              <w:t>0.2×（</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___）×___＋0.4×（</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2B646F1A" w14:textId="77777777" w:rsidR="00401786" w:rsidRPr="007215CF" w:rsidRDefault="00C64FB3" w:rsidP="000E757E">
            <w:pPr>
              <w:tabs>
                <w:tab w:val="left" w:pos="1504"/>
              </w:tabs>
              <w:spacing w:line="240" w:lineRule="atLeast"/>
              <w:ind w:left="2211" w:hanging="567"/>
              <w:jc w:val="both"/>
              <w:rPr>
                <w:szCs w:val="24"/>
              </w:rPr>
            </w:pPr>
            <w:r w:rsidRPr="007215CF">
              <w:rPr>
                <w:rFonts w:ascii="標楷體" w:eastAsia="標楷體" w:hAnsi="標楷體"/>
                <w:szCs w:val="24"/>
              </w:rPr>
              <w:t>＝</w:t>
            </w:r>
            <w:r w:rsidRPr="007215CF">
              <w:rPr>
                <w:rFonts w:ascii="標楷體" w:eastAsia="標楷體" w:hAnsi="標楷體"/>
                <w:szCs w:val="24"/>
                <w:u w:val="single"/>
              </w:rPr>
              <w:t xml:space="preserve">          </w:t>
            </w:r>
          </w:p>
        </w:tc>
        <w:tc>
          <w:tcPr>
            <w:tcW w:w="40" w:type="dxa"/>
            <w:shd w:val="clear" w:color="auto" w:fill="auto"/>
            <w:tcMar>
              <w:top w:w="0" w:type="dxa"/>
              <w:left w:w="10" w:type="dxa"/>
              <w:bottom w:w="0" w:type="dxa"/>
              <w:right w:w="10" w:type="dxa"/>
            </w:tcMar>
          </w:tcPr>
          <w:p w14:paraId="4706F1EA" w14:textId="77777777" w:rsidR="00401786" w:rsidRPr="007215CF" w:rsidRDefault="00401786" w:rsidP="000E757E">
            <w:pPr>
              <w:tabs>
                <w:tab w:val="left" w:pos="1504"/>
              </w:tabs>
              <w:spacing w:line="240" w:lineRule="atLeast"/>
              <w:ind w:left="2211" w:hanging="567"/>
              <w:jc w:val="both"/>
              <w:rPr>
                <w:rFonts w:ascii="標楷體" w:eastAsia="標楷體" w:hAnsi="標楷體"/>
                <w:szCs w:val="24"/>
              </w:rPr>
            </w:pPr>
          </w:p>
        </w:tc>
        <w:tc>
          <w:tcPr>
            <w:tcW w:w="40" w:type="dxa"/>
            <w:shd w:val="clear" w:color="auto" w:fill="auto"/>
            <w:tcMar>
              <w:top w:w="0" w:type="dxa"/>
              <w:left w:w="10" w:type="dxa"/>
              <w:bottom w:w="0" w:type="dxa"/>
              <w:right w:w="10" w:type="dxa"/>
            </w:tcMar>
          </w:tcPr>
          <w:p w14:paraId="707B840F" w14:textId="77777777" w:rsidR="00401786" w:rsidRPr="007215CF" w:rsidRDefault="00401786" w:rsidP="000E757E">
            <w:pPr>
              <w:tabs>
                <w:tab w:val="left" w:pos="1504"/>
              </w:tabs>
              <w:spacing w:line="240" w:lineRule="atLeast"/>
              <w:ind w:left="2211" w:hanging="567"/>
              <w:jc w:val="both"/>
              <w:rPr>
                <w:rFonts w:ascii="標楷體" w:eastAsia="標楷體" w:hAnsi="標楷體"/>
                <w:szCs w:val="24"/>
              </w:rPr>
            </w:pPr>
          </w:p>
        </w:tc>
      </w:tr>
      <w:tr w:rsidR="00401786" w:rsidRPr="007215CF" w14:paraId="0DD63CFC" w14:textId="77777777">
        <w:trPr>
          <w:cantSplit/>
          <w:trHeight w:val="504"/>
          <w:jc w:val="center"/>
        </w:trPr>
        <w:tc>
          <w:tcPr>
            <w:tcW w:w="43" w:type="dxa"/>
            <w:shd w:val="clear" w:color="auto" w:fill="auto"/>
            <w:tcMar>
              <w:top w:w="0" w:type="dxa"/>
              <w:left w:w="10" w:type="dxa"/>
              <w:bottom w:w="0" w:type="dxa"/>
              <w:right w:w="10" w:type="dxa"/>
            </w:tcMar>
          </w:tcPr>
          <w:p w14:paraId="2CFD4782" w14:textId="77777777" w:rsidR="00401786" w:rsidRPr="007215CF" w:rsidRDefault="00401786" w:rsidP="000E757E">
            <w:pPr>
              <w:spacing w:line="240" w:lineRule="atLeast"/>
              <w:ind w:left="687" w:hanging="567"/>
              <w:jc w:val="both"/>
              <w:rPr>
                <w:rFonts w:ascii="標楷體" w:eastAsia="標楷體" w:hAnsi="標楷體"/>
                <w:szCs w:val="24"/>
              </w:rPr>
            </w:pPr>
          </w:p>
        </w:tc>
        <w:tc>
          <w:tcPr>
            <w:tcW w:w="9467" w:type="dxa"/>
            <w:gridSpan w:val="11"/>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0BAD0BC3" w14:textId="77777777" w:rsidR="00401786" w:rsidRPr="007215CF" w:rsidRDefault="00C64FB3" w:rsidP="000E757E">
            <w:pPr>
              <w:spacing w:line="240" w:lineRule="atLeast"/>
              <w:ind w:left="687" w:hanging="567"/>
              <w:jc w:val="both"/>
              <w:rPr>
                <w:szCs w:val="24"/>
              </w:rPr>
            </w:pPr>
            <w:r w:rsidRPr="007215CF">
              <w:rPr>
                <w:rFonts w:ascii="標楷體" w:eastAsia="標楷體" w:hAnsi="標楷體"/>
                <w:szCs w:val="24"/>
              </w:rPr>
              <w:t></w:t>
            </w:r>
            <w:r w:rsidRPr="007215CF">
              <w:rPr>
                <w:rFonts w:ascii="標楷體" w:eastAsia="標楷體" w:hAnsi="標楷體"/>
                <w:b/>
                <w:szCs w:val="24"/>
              </w:rPr>
              <w:t xml:space="preserve"> 無「需排除或停止使用之情形」</w:t>
            </w:r>
          </w:p>
        </w:tc>
        <w:tc>
          <w:tcPr>
            <w:tcW w:w="40" w:type="dxa"/>
            <w:shd w:val="clear" w:color="auto" w:fill="auto"/>
            <w:tcMar>
              <w:top w:w="0" w:type="dxa"/>
              <w:left w:w="10" w:type="dxa"/>
              <w:bottom w:w="0" w:type="dxa"/>
              <w:right w:w="10" w:type="dxa"/>
            </w:tcMar>
          </w:tcPr>
          <w:p w14:paraId="08A900E6" w14:textId="77777777" w:rsidR="00401786" w:rsidRPr="007215CF" w:rsidRDefault="00401786" w:rsidP="000E757E">
            <w:pPr>
              <w:spacing w:line="240" w:lineRule="atLeast"/>
              <w:ind w:left="687" w:hanging="567"/>
              <w:jc w:val="both"/>
              <w:rPr>
                <w:rFonts w:ascii="標楷體" w:eastAsia="標楷體" w:hAnsi="標楷體"/>
                <w:szCs w:val="24"/>
              </w:rPr>
            </w:pPr>
          </w:p>
        </w:tc>
        <w:tc>
          <w:tcPr>
            <w:tcW w:w="40" w:type="dxa"/>
            <w:shd w:val="clear" w:color="auto" w:fill="auto"/>
            <w:tcMar>
              <w:top w:w="0" w:type="dxa"/>
              <w:left w:w="10" w:type="dxa"/>
              <w:bottom w:w="0" w:type="dxa"/>
              <w:right w:w="10" w:type="dxa"/>
            </w:tcMar>
          </w:tcPr>
          <w:p w14:paraId="56942EDA" w14:textId="77777777" w:rsidR="00401786" w:rsidRPr="007215CF" w:rsidRDefault="00401786" w:rsidP="000E757E">
            <w:pPr>
              <w:spacing w:line="240" w:lineRule="atLeast"/>
              <w:ind w:left="687" w:hanging="567"/>
              <w:jc w:val="both"/>
              <w:rPr>
                <w:rFonts w:ascii="標楷體" w:eastAsia="標楷體" w:hAnsi="標楷體"/>
                <w:szCs w:val="24"/>
              </w:rPr>
            </w:pPr>
          </w:p>
        </w:tc>
      </w:tr>
      <w:tr w:rsidR="00401786" w:rsidRPr="007215CF" w14:paraId="428C16CF" w14:textId="77777777">
        <w:trPr>
          <w:cantSplit/>
          <w:trHeight w:val="767"/>
          <w:jc w:val="center"/>
        </w:trPr>
        <w:tc>
          <w:tcPr>
            <w:tcW w:w="43" w:type="dxa"/>
            <w:shd w:val="clear" w:color="auto" w:fill="auto"/>
            <w:tcMar>
              <w:top w:w="0" w:type="dxa"/>
              <w:left w:w="10" w:type="dxa"/>
              <w:bottom w:w="0" w:type="dxa"/>
              <w:right w:w="10" w:type="dxa"/>
            </w:tcMar>
          </w:tcPr>
          <w:p w14:paraId="6EEE5694"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61"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87C4D1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960"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A6901F" w14:textId="77777777" w:rsidR="00401786" w:rsidRPr="007215CF" w:rsidRDefault="00C64FB3" w:rsidP="002144EC">
            <w:pPr>
              <w:numPr>
                <w:ilvl w:val="0"/>
                <w:numId w:val="109"/>
              </w:numPr>
              <w:tabs>
                <w:tab w:val="left" w:pos="520"/>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是</w:t>
            </w:r>
          </w:p>
          <w:p w14:paraId="07F3DF84" w14:textId="77777777" w:rsidR="00401786" w:rsidRPr="007215CF" w:rsidRDefault="00C64FB3" w:rsidP="002144EC">
            <w:pPr>
              <w:numPr>
                <w:ilvl w:val="0"/>
                <w:numId w:val="109"/>
              </w:numPr>
              <w:tabs>
                <w:tab w:val="left" w:pos="520"/>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否</w:t>
            </w:r>
          </w:p>
        </w:tc>
        <w:tc>
          <w:tcPr>
            <w:tcW w:w="7846" w:type="dxa"/>
            <w:gridSpan w:val="8"/>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1D26DCC" w14:textId="77777777" w:rsidR="00401786" w:rsidRPr="007215CF" w:rsidRDefault="00C64FB3" w:rsidP="000E757E">
            <w:pPr>
              <w:spacing w:line="240" w:lineRule="atLeast"/>
              <w:ind w:hanging="1"/>
              <w:jc w:val="both"/>
              <w:textAlignment w:val="center"/>
              <w:rPr>
                <w:szCs w:val="24"/>
              </w:rPr>
            </w:pPr>
            <w:r w:rsidRPr="007215CF">
              <w:rPr>
                <w:rFonts w:ascii="標楷體" w:eastAsia="標楷體" w:hAnsi="標楷體"/>
                <w:szCs w:val="24"/>
              </w:rPr>
              <w:t>是否有apremilast、</w:t>
            </w:r>
            <w:proofErr w:type="spellStart"/>
            <w:r w:rsidRPr="007215CF">
              <w:rPr>
                <w:rFonts w:ascii="標楷體" w:eastAsia="標楷體" w:hAnsi="標楷體"/>
                <w:szCs w:val="24"/>
              </w:rPr>
              <w:t>deucravacitinib</w:t>
            </w:r>
            <w:proofErr w:type="spellEnd"/>
            <w:r w:rsidRPr="007215CF">
              <w:rPr>
                <w:rFonts w:ascii="標楷體" w:eastAsia="標楷體" w:hAnsi="標楷體"/>
                <w:szCs w:val="24"/>
              </w:rPr>
              <w:t>仿單記載之禁忌情形。</w:t>
            </w:r>
          </w:p>
        </w:tc>
        <w:tc>
          <w:tcPr>
            <w:tcW w:w="40" w:type="dxa"/>
            <w:shd w:val="clear" w:color="auto" w:fill="auto"/>
            <w:tcMar>
              <w:top w:w="0" w:type="dxa"/>
              <w:left w:w="10" w:type="dxa"/>
              <w:bottom w:w="0" w:type="dxa"/>
              <w:right w:w="10" w:type="dxa"/>
            </w:tcMar>
          </w:tcPr>
          <w:p w14:paraId="70CAF057" w14:textId="77777777" w:rsidR="00401786" w:rsidRPr="007215CF" w:rsidRDefault="00401786" w:rsidP="000E757E">
            <w:pPr>
              <w:spacing w:line="240" w:lineRule="atLeast"/>
              <w:ind w:hanging="1"/>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34733384" w14:textId="77777777" w:rsidR="00401786" w:rsidRPr="007215CF" w:rsidRDefault="00401786" w:rsidP="000E757E">
            <w:pPr>
              <w:spacing w:line="240" w:lineRule="atLeast"/>
              <w:ind w:hanging="1"/>
              <w:jc w:val="both"/>
              <w:textAlignment w:val="center"/>
              <w:rPr>
                <w:rFonts w:ascii="標楷體" w:eastAsia="標楷體" w:hAnsi="標楷體"/>
                <w:szCs w:val="24"/>
              </w:rPr>
            </w:pPr>
          </w:p>
        </w:tc>
      </w:tr>
      <w:tr w:rsidR="00401786" w:rsidRPr="007215CF" w14:paraId="52B015B3" w14:textId="77777777">
        <w:trPr>
          <w:cantSplit/>
          <w:trHeight w:val="383"/>
          <w:jc w:val="center"/>
        </w:trPr>
        <w:tc>
          <w:tcPr>
            <w:tcW w:w="43" w:type="dxa"/>
            <w:shd w:val="clear" w:color="auto" w:fill="auto"/>
            <w:tcMar>
              <w:top w:w="0" w:type="dxa"/>
              <w:left w:w="10" w:type="dxa"/>
              <w:bottom w:w="0" w:type="dxa"/>
              <w:right w:w="10" w:type="dxa"/>
            </w:tcMar>
          </w:tcPr>
          <w:p w14:paraId="1353E476"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61"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4702D81"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2E8E6EE7"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960"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94160DF" w14:textId="77777777" w:rsidR="00401786" w:rsidRPr="007215CF" w:rsidRDefault="00C64FB3" w:rsidP="002144EC">
            <w:pPr>
              <w:numPr>
                <w:ilvl w:val="0"/>
                <w:numId w:val="109"/>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是</w:t>
            </w:r>
          </w:p>
          <w:p w14:paraId="4C2E1364" w14:textId="77777777" w:rsidR="00401786" w:rsidRPr="007215CF" w:rsidRDefault="00C64FB3" w:rsidP="002144EC">
            <w:pPr>
              <w:numPr>
                <w:ilvl w:val="0"/>
                <w:numId w:val="109"/>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否</w:t>
            </w:r>
          </w:p>
        </w:tc>
        <w:tc>
          <w:tcPr>
            <w:tcW w:w="7846" w:type="dxa"/>
            <w:gridSpan w:val="8"/>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EAACF01" w14:textId="77777777" w:rsidR="00401786" w:rsidRPr="007215CF" w:rsidRDefault="00C64FB3" w:rsidP="000E757E">
            <w:pPr>
              <w:spacing w:line="240" w:lineRule="atLeast"/>
              <w:jc w:val="both"/>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40" w:type="dxa"/>
            <w:shd w:val="clear" w:color="auto" w:fill="auto"/>
            <w:tcMar>
              <w:top w:w="0" w:type="dxa"/>
              <w:left w:w="10" w:type="dxa"/>
              <w:bottom w:w="0" w:type="dxa"/>
              <w:right w:w="10" w:type="dxa"/>
            </w:tcMar>
          </w:tcPr>
          <w:p w14:paraId="19D40D84" w14:textId="77777777" w:rsidR="00401786" w:rsidRPr="007215CF" w:rsidRDefault="00401786" w:rsidP="000E757E">
            <w:pPr>
              <w:spacing w:line="240" w:lineRule="atLeast"/>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7717449C" w14:textId="77777777" w:rsidR="00401786" w:rsidRPr="007215CF" w:rsidRDefault="00401786" w:rsidP="000E757E">
            <w:pPr>
              <w:spacing w:line="240" w:lineRule="atLeast"/>
              <w:jc w:val="both"/>
              <w:textAlignment w:val="center"/>
              <w:rPr>
                <w:rFonts w:ascii="標楷體" w:eastAsia="標楷體" w:hAnsi="標楷體"/>
                <w:szCs w:val="24"/>
              </w:rPr>
            </w:pPr>
          </w:p>
        </w:tc>
      </w:tr>
      <w:tr w:rsidR="00401786" w:rsidRPr="007215CF" w14:paraId="0B05D63D" w14:textId="77777777" w:rsidTr="008D405D">
        <w:trPr>
          <w:cantSplit/>
          <w:trHeight w:val="1196"/>
          <w:jc w:val="center"/>
        </w:trPr>
        <w:tc>
          <w:tcPr>
            <w:tcW w:w="43" w:type="dxa"/>
            <w:shd w:val="clear" w:color="auto" w:fill="auto"/>
            <w:tcMar>
              <w:top w:w="0" w:type="dxa"/>
              <w:left w:w="10" w:type="dxa"/>
              <w:bottom w:w="0" w:type="dxa"/>
              <w:right w:w="10" w:type="dxa"/>
            </w:tcMar>
          </w:tcPr>
          <w:p w14:paraId="483D45C6"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61"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71AA9D4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960" w:type="dxa"/>
            <w:gridSpan w:val="2"/>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3960E9FD" w14:textId="77777777" w:rsidR="00401786" w:rsidRPr="007215CF" w:rsidRDefault="00C64FB3" w:rsidP="002144EC">
            <w:pPr>
              <w:numPr>
                <w:ilvl w:val="0"/>
                <w:numId w:val="109"/>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是</w:t>
            </w:r>
          </w:p>
          <w:p w14:paraId="55FD5B1C" w14:textId="77777777" w:rsidR="00401786" w:rsidRPr="007215CF" w:rsidRDefault="00C64FB3" w:rsidP="002144EC">
            <w:pPr>
              <w:numPr>
                <w:ilvl w:val="0"/>
                <w:numId w:val="109"/>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否</w:t>
            </w:r>
          </w:p>
        </w:tc>
        <w:tc>
          <w:tcPr>
            <w:tcW w:w="7846" w:type="dxa"/>
            <w:gridSpan w:val="8"/>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739D36F5" w14:textId="77777777" w:rsidR="00401786" w:rsidRPr="007215CF" w:rsidRDefault="00C64FB3" w:rsidP="000E757E">
            <w:pPr>
              <w:spacing w:line="240" w:lineRule="atLeast"/>
              <w:ind w:hanging="1"/>
              <w:jc w:val="both"/>
              <w:textAlignment w:val="center"/>
              <w:rPr>
                <w:szCs w:val="24"/>
              </w:rPr>
            </w:pPr>
            <w:r w:rsidRPr="007215CF">
              <w:rPr>
                <w:rFonts w:ascii="標楷體" w:eastAsia="標楷體" w:hAnsi="標楷體"/>
                <w:szCs w:val="24"/>
              </w:rPr>
              <w:t>使用apremilas</w:t>
            </w:r>
            <w:r w:rsidRPr="007215CF">
              <w:rPr>
                <w:rFonts w:ascii="標楷體" w:eastAsia="標楷體" w:hAnsi="標楷體"/>
                <w:szCs w:val="24"/>
                <w:u w:val="single"/>
              </w:rPr>
              <w:t>t、</w:t>
            </w:r>
            <w:proofErr w:type="spellStart"/>
            <w:r w:rsidRPr="007215CF">
              <w:rPr>
                <w:rFonts w:ascii="標楷體" w:eastAsia="標楷體" w:hAnsi="標楷體"/>
                <w:szCs w:val="24"/>
                <w:u w:val="single"/>
              </w:rPr>
              <w:t>deucravacitinib</w:t>
            </w:r>
            <w:proofErr w:type="spellEnd"/>
            <w:r w:rsidRPr="007215CF">
              <w:rPr>
                <w:rFonts w:ascii="標楷體" w:eastAsia="標楷體" w:hAnsi="標楷體"/>
                <w:szCs w:val="24"/>
              </w:rPr>
              <w:t>期間發生懷孕或不良事件</w:t>
            </w:r>
            <w:proofErr w:type="gramStart"/>
            <w:r w:rsidRPr="007215CF">
              <w:rPr>
                <w:rFonts w:ascii="標楷體" w:eastAsia="標楷體" w:hAnsi="標楷體"/>
                <w:szCs w:val="24"/>
              </w:rPr>
              <w:t>（</w:t>
            </w:r>
            <w:proofErr w:type="gramEnd"/>
            <w:r w:rsidRPr="007215CF">
              <w:rPr>
                <w:rFonts w:ascii="標楷體" w:eastAsia="標楷體" w:hAnsi="標楷體"/>
                <w:szCs w:val="24"/>
              </w:rPr>
              <w:t>包括：該藥物引起的嚴重毒性、嚴重的感染性疾病</w:t>
            </w:r>
            <w:proofErr w:type="gramStart"/>
            <w:r w:rsidRPr="007215CF">
              <w:rPr>
                <w:rFonts w:ascii="標楷體" w:eastAsia="標楷體" w:hAnsi="標楷體"/>
                <w:szCs w:val="24"/>
              </w:rPr>
              <w:t>）</w:t>
            </w:r>
            <w:proofErr w:type="gramEnd"/>
          </w:p>
        </w:tc>
        <w:tc>
          <w:tcPr>
            <w:tcW w:w="40" w:type="dxa"/>
            <w:shd w:val="clear" w:color="auto" w:fill="auto"/>
            <w:tcMar>
              <w:top w:w="0" w:type="dxa"/>
              <w:left w:w="10" w:type="dxa"/>
              <w:bottom w:w="0" w:type="dxa"/>
              <w:right w:w="10" w:type="dxa"/>
            </w:tcMar>
          </w:tcPr>
          <w:p w14:paraId="71524385" w14:textId="77777777" w:rsidR="00401786" w:rsidRPr="007215CF" w:rsidRDefault="00401786" w:rsidP="000E757E">
            <w:pPr>
              <w:spacing w:line="240" w:lineRule="atLeast"/>
              <w:ind w:hanging="1"/>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7BF54285" w14:textId="77777777" w:rsidR="00401786" w:rsidRPr="007215CF" w:rsidRDefault="00401786" w:rsidP="000E757E">
            <w:pPr>
              <w:spacing w:line="240" w:lineRule="atLeast"/>
              <w:ind w:hanging="1"/>
              <w:jc w:val="both"/>
              <w:textAlignment w:val="center"/>
              <w:rPr>
                <w:rFonts w:ascii="標楷體" w:eastAsia="標楷體" w:hAnsi="標楷體"/>
                <w:szCs w:val="24"/>
              </w:rPr>
            </w:pPr>
          </w:p>
        </w:tc>
      </w:tr>
      <w:tr w:rsidR="00401786" w:rsidRPr="007215CF" w14:paraId="74DAA7EC" w14:textId="77777777" w:rsidTr="008D405D">
        <w:trPr>
          <w:cantSplit/>
          <w:trHeight w:val="1489"/>
          <w:jc w:val="center"/>
        </w:trPr>
        <w:tc>
          <w:tcPr>
            <w:tcW w:w="43" w:type="dxa"/>
            <w:shd w:val="clear" w:color="auto" w:fill="auto"/>
            <w:tcMar>
              <w:top w:w="0" w:type="dxa"/>
              <w:left w:w="10" w:type="dxa"/>
              <w:bottom w:w="0" w:type="dxa"/>
              <w:right w:w="10" w:type="dxa"/>
            </w:tcMar>
          </w:tcPr>
          <w:p w14:paraId="79F8A79E"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106" w:type="dxa"/>
            <w:gridSpan w:val="7"/>
            <w:shd w:val="clear" w:color="auto" w:fill="auto"/>
            <w:tcMar>
              <w:top w:w="0" w:type="dxa"/>
              <w:left w:w="28" w:type="dxa"/>
              <w:bottom w:w="0" w:type="dxa"/>
              <w:right w:w="28" w:type="dxa"/>
            </w:tcMar>
          </w:tcPr>
          <w:p w14:paraId="534340D9"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r w:rsidRPr="007215CF">
              <w:rPr>
                <w:rFonts w:ascii="標楷體" w:eastAsia="標楷體" w:hAnsi="標楷體"/>
                <w:szCs w:val="24"/>
              </w:rPr>
              <w:t xml:space="preserve">  </w:t>
            </w:r>
          </w:p>
          <w:p w14:paraId="561BA6C3"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專科醫師證書：</w:t>
            </w:r>
            <w:r w:rsidRPr="007215CF">
              <w:rPr>
                <w:rFonts w:ascii="標楷體" w:eastAsia="標楷體" w:hAnsi="標楷體"/>
                <w:szCs w:val="24"/>
                <w:u w:val="single"/>
              </w:rPr>
              <w:t xml:space="preserve">    </w:t>
            </w:r>
            <w:r w:rsidRPr="007215CF">
              <w:rPr>
                <w:rFonts w:ascii="標楷體" w:eastAsia="標楷體" w:hAnsi="標楷體"/>
                <w:szCs w:val="24"/>
              </w:rPr>
              <w:t>專字第</w:t>
            </w:r>
            <w:r w:rsidRPr="007215CF">
              <w:rPr>
                <w:rFonts w:ascii="標楷體" w:eastAsia="標楷體" w:hAnsi="標楷體"/>
                <w:szCs w:val="24"/>
                <w:u w:val="single"/>
              </w:rPr>
              <w:t xml:space="preserve">　　　　 　  </w:t>
            </w:r>
            <w:r w:rsidRPr="007215CF">
              <w:rPr>
                <w:rFonts w:ascii="標楷體" w:eastAsia="標楷體" w:hAnsi="標楷體"/>
                <w:szCs w:val="24"/>
              </w:rPr>
              <w:t>號</w:t>
            </w:r>
          </w:p>
        </w:tc>
        <w:tc>
          <w:tcPr>
            <w:tcW w:w="3299" w:type="dxa"/>
            <w:gridSpan w:val="2"/>
            <w:shd w:val="clear" w:color="auto" w:fill="auto"/>
            <w:tcMar>
              <w:top w:w="0" w:type="dxa"/>
              <w:left w:w="28" w:type="dxa"/>
              <w:bottom w:w="0" w:type="dxa"/>
              <w:right w:w="28" w:type="dxa"/>
            </w:tcMar>
          </w:tcPr>
          <w:p w14:paraId="7DD97030"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19B1CA1D" w14:textId="77777777" w:rsidR="00401786" w:rsidRPr="007215CF" w:rsidRDefault="00C64FB3" w:rsidP="000E757E">
            <w:pPr>
              <w:spacing w:line="240" w:lineRule="atLeast"/>
              <w:ind w:hanging="567"/>
              <w:jc w:val="both"/>
              <w:textAlignment w:val="center"/>
              <w:rPr>
                <w:rFonts w:ascii="標楷體" w:eastAsia="標楷體" w:hAnsi="標楷體"/>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62" w:type="dxa"/>
            <w:gridSpan w:val="2"/>
            <w:shd w:val="clear" w:color="auto" w:fill="auto"/>
            <w:tcMar>
              <w:top w:w="0" w:type="dxa"/>
              <w:left w:w="10" w:type="dxa"/>
              <w:bottom w:w="0" w:type="dxa"/>
              <w:right w:w="10" w:type="dxa"/>
            </w:tcMar>
          </w:tcPr>
          <w:p w14:paraId="54A38AEF" w14:textId="77777777" w:rsidR="00401786" w:rsidRPr="007215CF" w:rsidRDefault="00401786" w:rsidP="000E757E">
            <w:pPr>
              <w:spacing w:line="240" w:lineRule="atLeast"/>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2115C8D8"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5BC6CE06"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bl>
    <w:p w14:paraId="56A39F67" w14:textId="487ECED9" w:rsidR="00662B9B" w:rsidRPr="007215CF" w:rsidRDefault="00662B9B" w:rsidP="007215CF">
      <w:pPr>
        <w:widowControl/>
        <w:spacing w:line="300" w:lineRule="exact"/>
        <w:jc w:val="center"/>
        <w:rPr>
          <w:szCs w:val="24"/>
        </w:rPr>
      </w:pPr>
    </w:p>
    <w:p w14:paraId="14AD41CD" w14:textId="5F1AB990" w:rsidR="00190A34" w:rsidRDefault="00190A34">
      <w:pPr>
        <w:widowControl/>
        <w:suppressAutoHyphens w:val="0"/>
        <w:rPr>
          <w:rFonts w:ascii="標楷體" w:eastAsia="標楷體" w:hAnsi="標楷體"/>
          <w:kern w:val="0"/>
          <w:szCs w:val="24"/>
        </w:rPr>
      </w:pPr>
      <w:r>
        <w:rPr>
          <w:rFonts w:ascii="標楷體" w:eastAsia="標楷體" w:hAnsi="標楷體"/>
          <w:kern w:val="0"/>
          <w:szCs w:val="24"/>
        </w:rPr>
        <w:br w:type="page"/>
      </w:r>
    </w:p>
    <w:p w14:paraId="66B12F58" w14:textId="43D22B01" w:rsidR="00190A34" w:rsidRDefault="00190A34" w:rsidP="007215CF">
      <w:pPr>
        <w:widowControl/>
        <w:spacing w:after="120" w:line="300" w:lineRule="exact"/>
        <w:rPr>
          <w:rFonts w:ascii="標楷體" w:eastAsia="標楷體" w:hAnsi="標楷體"/>
          <w:kern w:val="0"/>
          <w:szCs w:val="24"/>
        </w:rPr>
      </w:pPr>
      <w:r w:rsidRPr="007215CF">
        <w:rPr>
          <w:rFonts w:ascii="標楷體" w:eastAsia="標楷體" w:hAnsi="標楷體"/>
          <w:noProof/>
          <w:kern w:val="0"/>
          <w:szCs w:val="24"/>
        </w:rPr>
        <w:lastRenderedPageBreak/>
        <mc:AlternateContent>
          <mc:Choice Requires="wps">
            <w:drawing>
              <wp:anchor distT="0" distB="0" distL="114300" distR="114300" simplePos="0" relativeHeight="251677696" behindDoc="0" locked="0" layoutInCell="1" allowOverlap="1" wp14:anchorId="455B0BAE" wp14:editId="368517C1">
                <wp:simplePos x="0" y="0"/>
                <wp:positionH relativeFrom="margin">
                  <wp:posOffset>5168900</wp:posOffset>
                </wp:positionH>
                <wp:positionV relativeFrom="paragraph">
                  <wp:posOffset>82794</wp:posOffset>
                </wp:positionV>
                <wp:extent cx="1264286" cy="403863"/>
                <wp:effectExtent l="0" t="0" r="0" b="0"/>
                <wp:wrapNone/>
                <wp:docPr id="25" name="文字方塊 18"/>
                <wp:cNvGraphicFramePr/>
                <a:graphic xmlns:a="http://schemas.openxmlformats.org/drawingml/2006/main">
                  <a:graphicData uri="http://schemas.microsoft.com/office/word/2010/wordprocessingShape">
                    <wps:wsp>
                      <wps:cNvSpPr txBox="1"/>
                      <wps:spPr>
                        <a:xfrm>
                          <a:off x="0" y="0"/>
                          <a:ext cx="1264286" cy="403863"/>
                        </a:xfrm>
                        <a:prstGeom prst="rect">
                          <a:avLst/>
                        </a:prstGeom>
                        <a:noFill/>
                        <a:ln>
                          <a:noFill/>
                          <a:prstDash/>
                        </a:ln>
                      </wps:spPr>
                      <wps:txbx>
                        <w:txbxContent>
                          <w:p w14:paraId="798A0AA4" w14:textId="77777777" w:rsidR="00C6448D" w:rsidRPr="00DF18F3" w:rsidRDefault="00C6448D" w:rsidP="00DF18F3">
                            <w:pPr>
                              <w:rPr>
                                <w:rFonts w:ascii="標楷體" w:eastAsia="標楷體" w:hAnsi="標楷體"/>
                              </w:rPr>
                            </w:pPr>
                            <w:r w:rsidRPr="00DF18F3">
                              <w:rPr>
                                <w:rFonts w:ascii="標楷體" w:eastAsia="標楷體" w:hAnsi="標楷體"/>
                              </w:rPr>
                              <w:t>(114.9.1</w:t>
                            </w:r>
                            <w:r w:rsidRPr="00DF18F3">
                              <w:rPr>
                                <w:rFonts w:ascii="標楷體" w:eastAsia="標楷體" w:hAnsi="標楷體" w:hint="eastAsia"/>
                              </w:rPr>
                              <w:t>生效</w:t>
                            </w:r>
                            <w:r w:rsidRPr="00DF18F3">
                              <w:rPr>
                                <w:rFonts w:ascii="標楷體" w:eastAsia="標楷體" w:hAnsi="標楷體"/>
                              </w:rPr>
                              <w:t>)</w:t>
                            </w:r>
                          </w:p>
                        </w:txbxContent>
                      </wps:txbx>
                      <wps:bodyPr vert="horz" wrap="square" lIns="91440" tIns="45720" rIns="91440" bIns="45720" anchor="t" anchorCtr="0" compatLnSpc="1">
                        <a:noAutofit/>
                      </wps:bodyPr>
                    </wps:wsp>
                  </a:graphicData>
                </a:graphic>
              </wp:anchor>
            </w:drawing>
          </mc:Choice>
          <mc:Fallback>
            <w:pict>
              <v:shape w14:anchorId="455B0BAE" id="文字方塊 18" o:spid="_x0000_s1041" type="#_x0000_t202" style="position:absolute;margin-left:407pt;margin-top:6.5pt;width:99.55pt;height:31.8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" filled="f" stroked="f">
                <v:textbox>
                  <w:txbxContent>
                    <w:p w14:paraId="798A0AA4" w14:textId="77777777" w:rsidR="00C6448D" w:rsidRPr="00DF18F3" w:rsidRDefault="00C6448D" w:rsidP="00DF18F3">
                      <w:pPr>
                        <w:rPr>
                          <w:rFonts w:ascii="標楷體" w:eastAsia="標楷體" w:hAnsi="標楷體"/>
                        </w:rPr>
                      </w:pPr>
                      <w:r w:rsidRPr="00DF18F3">
                        <w:rPr>
                          <w:rFonts w:ascii="標楷體" w:eastAsia="標楷體" w:hAnsi="標楷體"/>
                        </w:rPr>
                        <w:t>(114.9.1</w:t>
                      </w:r>
                      <w:r w:rsidRPr="00DF18F3">
                        <w:rPr>
                          <w:rFonts w:ascii="標楷體" w:eastAsia="標楷體" w:hAnsi="標楷體" w:hint="eastAsia"/>
                        </w:rPr>
                        <w:t>生效</w:t>
                      </w:r>
                      <w:r w:rsidRPr="00DF18F3">
                        <w:rPr>
                          <w:rFonts w:ascii="標楷體" w:eastAsia="標楷體" w:hAnsi="標楷體"/>
                        </w:rPr>
                        <w:t>)</w:t>
                      </w:r>
                    </w:p>
                  </w:txbxContent>
                </v:textbox>
                <w10:wrap anchorx="margin"/>
              </v:shape>
            </w:pict>
          </mc:Fallback>
        </mc:AlternateContent>
      </w:r>
    </w:p>
    <w:p w14:paraId="5E271FA9" w14:textId="50CA35BF" w:rsidR="00DF18F3" w:rsidRPr="00190A34" w:rsidRDefault="00DF18F3" w:rsidP="00190A34">
      <w:pPr>
        <w:widowControl/>
        <w:suppressAutoHyphens w:val="0"/>
        <w:rPr>
          <w:rFonts w:ascii="標楷體" w:eastAsia="標楷體" w:hAnsi="標楷體"/>
          <w:kern w:val="0"/>
          <w:szCs w:val="24"/>
        </w:rPr>
      </w:pPr>
      <w:r w:rsidRPr="007215CF">
        <w:rPr>
          <w:rFonts w:ascii="標楷體" w:eastAsia="標楷體" w:hAnsi="標楷體"/>
          <w:kern w:val="0"/>
          <w:szCs w:val="24"/>
        </w:rPr>
        <w:t>附表二十六之</w:t>
      </w:r>
      <w:proofErr w:type="gramStart"/>
      <w:r w:rsidRPr="007215CF">
        <w:rPr>
          <w:rFonts w:ascii="標楷體" w:eastAsia="標楷體" w:hAnsi="標楷體"/>
          <w:kern w:val="0"/>
          <w:szCs w:val="24"/>
        </w:rPr>
        <w:t>一</w:t>
      </w:r>
      <w:proofErr w:type="gramEnd"/>
      <w:r w:rsidRPr="007215CF">
        <w:rPr>
          <w:rFonts w:ascii="標楷體" w:eastAsia="標楷體" w:hAnsi="標楷體"/>
          <w:kern w:val="0"/>
          <w:szCs w:val="24"/>
        </w:rPr>
        <w:t>全民健康保險克隆氏症使用生物製劑申請表</w:t>
      </w:r>
    </w:p>
    <w:tbl>
      <w:tblPr>
        <w:tblW w:w="10082" w:type="dxa"/>
        <w:jc w:val="center"/>
        <w:tblLayout w:type="fixed"/>
        <w:tblCellMar>
          <w:left w:w="10" w:type="dxa"/>
          <w:right w:w="10" w:type="dxa"/>
        </w:tblCellMar>
        <w:tblLook w:val="04A0" w:firstRow="1" w:lastRow="0" w:firstColumn="1" w:lastColumn="0" w:noHBand="0" w:noVBand="1"/>
      </w:tblPr>
      <w:tblGrid>
        <w:gridCol w:w="1252"/>
        <w:gridCol w:w="217"/>
        <w:gridCol w:w="1541"/>
        <w:gridCol w:w="1403"/>
        <w:gridCol w:w="1596"/>
        <w:gridCol w:w="37"/>
        <w:gridCol w:w="1010"/>
        <w:gridCol w:w="2943"/>
        <w:gridCol w:w="43"/>
        <w:gridCol w:w="40"/>
      </w:tblGrid>
      <w:tr w:rsidR="00DF18F3" w:rsidRPr="007215CF" w14:paraId="082C600A" w14:textId="77777777" w:rsidTr="00DF18F3">
        <w:trPr>
          <w:cantSplit/>
          <w:trHeight w:val="376"/>
          <w:jc w:val="center"/>
        </w:trPr>
        <w:tc>
          <w:tcPr>
            <w:tcW w:w="1469"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DF69028" w14:textId="77777777" w:rsidR="00DF18F3" w:rsidRPr="007215CF" w:rsidRDefault="00DF18F3" w:rsidP="007215CF">
            <w:pPr>
              <w:widowControl/>
              <w:snapToGrid w:val="0"/>
              <w:spacing w:after="120" w:line="300" w:lineRule="exact"/>
              <w:rPr>
                <w:szCs w:val="24"/>
              </w:rPr>
            </w:pPr>
            <w:r w:rsidRPr="007215CF">
              <w:rPr>
                <w:rFonts w:ascii="標楷體" w:eastAsia="標楷體" w:hAnsi="標楷體"/>
                <w:kern w:val="0"/>
                <w:szCs w:val="24"/>
              </w:rPr>
              <w:t>醫院代號</w:t>
            </w:r>
          </w:p>
        </w:tc>
        <w:tc>
          <w:tcPr>
            <w:tcW w:w="154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7050861"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140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1F2D68" w14:textId="77777777" w:rsidR="00DF18F3" w:rsidRPr="007215CF" w:rsidRDefault="00DF18F3" w:rsidP="007215CF">
            <w:pPr>
              <w:widowControl/>
              <w:snapToGrid w:val="0"/>
              <w:spacing w:after="120" w:line="300" w:lineRule="exact"/>
              <w:rPr>
                <w:rFonts w:ascii="標楷體" w:eastAsia="標楷體" w:hAnsi="標楷體"/>
                <w:kern w:val="0"/>
                <w:szCs w:val="24"/>
              </w:rPr>
            </w:pPr>
            <w:r w:rsidRPr="007215CF">
              <w:rPr>
                <w:rFonts w:ascii="標楷體" w:eastAsia="標楷體" w:hAnsi="標楷體"/>
                <w:kern w:val="0"/>
                <w:szCs w:val="24"/>
              </w:rPr>
              <w:t>醫院名稱</w:t>
            </w:r>
          </w:p>
        </w:tc>
        <w:tc>
          <w:tcPr>
            <w:tcW w:w="1596"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21DC327"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1047"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D476E1" w14:textId="77777777" w:rsidR="00DF18F3" w:rsidRPr="007215CF" w:rsidRDefault="00DF18F3" w:rsidP="007215CF">
            <w:pPr>
              <w:widowControl/>
              <w:snapToGrid w:val="0"/>
              <w:spacing w:after="120" w:line="300" w:lineRule="exact"/>
              <w:rPr>
                <w:rFonts w:ascii="標楷體" w:eastAsia="標楷體" w:hAnsi="標楷體"/>
                <w:kern w:val="0"/>
                <w:szCs w:val="24"/>
              </w:rPr>
            </w:pPr>
            <w:r w:rsidRPr="007215CF">
              <w:rPr>
                <w:rFonts w:ascii="標楷體" w:eastAsia="標楷體" w:hAnsi="標楷體"/>
                <w:kern w:val="0"/>
                <w:szCs w:val="24"/>
              </w:rPr>
              <w:t>申請日期</w:t>
            </w:r>
          </w:p>
        </w:tc>
        <w:tc>
          <w:tcPr>
            <w:tcW w:w="2943"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3E142B3"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43" w:type="dxa"/>
            <w:shd w:val="clear" w:color="auto" w:fill="auto"/>
            <w:tcMar>
              <w:top w:w="0" w:type="dxa"/>
              <w:left w:w="10" w:type="dxa"/>
              <w:bottom w:w="0" w:type="dxa"/>
              <w:right w:w="10" w:type="dxa"/>
            </w:tcMar>
          </w:tcPr>
          <w:p w14:paraId="43C87FE7"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7DDFA791" w14:textId="77777777" w:rsidR="00DF18F3" w:rsidRPr="007215CF" w:rsidRDefault="00DF18F3" w:rsidP="007215CF">
            <w:pPr>
              <w:widowControl/>
              <w:snapToGrid w:val="0"/>
              <w:spacing w:after="120" w:line="300" w:lineRule="exact"/>
              <w:rPr>
                <w:rFonts w:ascii="標楷體" w:eastAsia="標楷體" w:hAnsi="標楷體"/>
                <w:kern w:val="0"/>
                <w:szCs w:val="24"/>
              </w:rPr>
            </w:pPr>
          </w:p>
        </w:tc>
      </w:tr>
      <w:tr w:rsidR="00DF18F3" w:rsidRPr="007215CF" w14:paraId="19659476" w14:textId="77777777" w:rsidTr="00DF18F3">
        <w:trPr>
          <w:cantSplit/>
          <w:trHeight w:val="332"/>
          <w:jc w:val="center"/>
        </w:trPr>
        <w:tc>
          <w:tcPr>
            <w:tcW w:w="1469"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96D0493"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病人姓名</w:t>
            </w:r>
          </w:p>
        </w:tc>
        <w:tc>
          <w:tcPr>
            <w:tcW w:w="154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5543EF" w14:textId="77777777" w:rsidR="00DF18F3" w:rsidRPr="007215CF" w:rsidRDefault="00DF18F3" w:rsidP="007215CF">
            <w:pPr>
              <w:widowControl/>
              <w:spacing w:after="120" w:line="300" w:lineRule="exact"/>
              <w:rPr>
                <w:rFonts w:ascii="標楷體" w:eastAsia="標楷體" w:hAnsi="標楷體"/>
                <w:kern w:val="0"/>
                <w:szCs w:val="24"/>
              </w:rPr>
            </w:pPr>
          </w:p>
        </w:tc>
        <w:tc>
          <w:tcPr>
            <w:tcW w:w="14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01BFB12"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性別</w:t>
            </w:r>
          </w:p>
        </w:tc>
        <w:tc>
          <w:tcPr>
            <w:tcW w:w="15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C7BB3CF" w14:textId="77777777" w:rsidR="00DF18F3" w:rsidRPr="007215CF" w:rsidRDefault="00DF18F3" w:rsidP="007215CF">
            <w:pPr>
              <w:widowControl/>
              <w:spacing w:after="120" w:line="300" w:lineRule="exact"/>
              <w:rPr>
                <w:rFonts w:ascii="標楷體" w:eastAsia="標楷體" w:hAnsi="標楷體"/>
                <w:kern w:val="0"/>
                <w:szCs w:val="24"/>
              </w:rPr>
            </w:pPr>
          </w:p>
        </w:tc>
        <w:tc>
          <w:tcPr>
            <w:tcW w:w="1047"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0ADF6F8"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出生日期</w:t>
            </w:r>
          </w:p>
        </w:tc>
        <w:tc>
          <w:tcPr>
            <w:tcW w:w="2943"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CE88228" w14:textId="77777777" w:rsidR="00DF18F3" w:rsidRPr="007215CF" w:rsidRDefault="00DF18F3" w:rsidP="007215CF">
            <w:pPr>
              <w:widowControl/>
              <w:spacing w:after="120" w:line="300" w:lineRule="exact"/>
              <w:rPr>
                <w:rFonts w:ascii="標楷體" w:eastAsia="標楷體" w:hAnsi="標楷體"/>
                <w:kern w:val="0"/>
                <w:szCs w:val="24"/>
              </w:rPr>
            </w:pPr>
          </w:p>
        </w:tc>
        <w:tc>
          <w:tcPr>
            <w:tcW w:w="43" w:type="dxa"/>
            <w:shd w:val="clear" w:color="auto" w:fill="auto"/>
            <w:tcMar>
              <w:top w:w="0" w:type="dxa"/>
              <w:left w:w="10" w:type="dxa"/>
              <w:bottom w:w="0" w:type="dxa"/>
              <w:right w:w="10" w:type="dxa"/>
            </w:tcMar>
          </w:tcPr>
          <w:p w14:paraId="4ED5E7E3" w14:textId="77777777" w:rsidR="00DF18F3" w:rsidRPr="007215CF" w:rsidRDefault="00DF18F3" w:rsidP="007215CF">
            <w:pPr>
              <w:widowControl/>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7F2DC182" w14:textId="77777777" w:rsidR="00DF18F3" w:rsidRPr="007215CF" w:rsidRDefault="00DF18F3" w:rsidP="007215CF">
            <w:pPr>
              <w:widowControl/>
              <w:spacing w:after="120" w:line="300" w:lineRule="exact"/>
              <w:rPr>
                <w:rFonts w:ascii="標楷體" w:eastAsia="標楷體" w:hAnsi="標楷體"/>
                <w:kern w:val="0"/>
                <w:szCs w:val="24"/>
              </w:rPr>
            </w:pPr>
          </w:p>
        </w:tc>
      </w:tr>
      <w:tr w:rsidR="00DF18F3" w:rsidRPr="007215CF" w14:paraId="0BF9D8FE" w14:textId="77777777" w:rsidTr="00DF18F3">
        <w:trPr>
          <w:cantSplit/>
          <w:trHeight w:val="356"/>
          <w:jc w:val="center"/>
        </w:trPr>
        <w:tc>
          <w:tcPr>
            <w:tcW w:w="1469"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8FD2CA2"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身分證號</w:t>
            </w:r>
          </w:p>
        </w:tc>
        <w:tc>
          <w:tcPr>
            <w:tcW w:w="154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A644C7" w14:textId="77777777" w:rsidR="00DF18F3" w:rsidRPr="007215CF" w:rsidRDefault="00DF18F3" w:rsidP="007215CF">
            <w:pPr>
              <w:widowControl/>
              <w:spacing w:after="120" w:line="300" w:lineRule="exact"/>
              <w:rPr>
                <w:rFonts w:ascii="標楷體" w:eastAsia="標楷體" w:hAnsi="標楷體"/>
                <w:kern w:val="0"/>
                <w:szCs w:val="24"/>
              </w:rPr>
            </w:pPr>
          </w:p>
        </w:tc>
        <w:tc>
          <w:tcPr>
            <w:tcW w:w="14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CA95EC9"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病歷號碼</w:t>
            </w:r>
          </w:p>
        </w:tc>
        <w:tc>
          <w:tcPr>
            <w:tcW w:w="15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8A60C59" w14:textId="77777777" w:rsidR="00DF18F3" w:rsidRPr="007215CF" w:rsidRDefault="00DF18F3" w:rsidP="007215CF">
            <w:pPr>
              <w:widowControl/>
              <w:spacing w:after="120" w:line="300" w:lineRule="exact"/>
              <w:rPr>
                <w:rFonts w:ascii="標楷體" w:eastAsia="標楷體" w:hAnsi="標楷體"/>
                <w:kern w:val="0"/>
                <w:szCs w:val="24"/>
              </w:rPr>
            </w:pPr>
          </w:p>
        </w:tc>
        <w:tc>
          <w:tcPr>
            <w:tcW w:w="1047" w:type="dxa"/>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534AF8A"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使用期間</w:t>
            </w:r>
          </w:p>
        </w:tc>
        <w:tc>
          <w:tcPr>
            <w:tcW w:w="2943"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13F08B1"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自　　年　　月　　日</w:t>
            </w:r>
          </w:p>
        </w:tc>
        <w:tc>
          <w:tcPr>
            <w:tcW w:w="43" w:type="dxa"/>
            <w:shd w:val="clear" w:color="auto" w:fill="auto"/>
            <w:tcMar>
              <w:top w:w="0" w:type="dxa"/>
              <w:left w:w="10" w:type="dxa"/>
              <w:bottom w:w="0" w:type="dxa"/>
              <w:right w:w="10" w:type="dxa"/>
            </w:tcMar>
          </w:tcPr>
          <w:p w14:paraId="0A3D33B0" w14:textId="77777777" w:rsidR="00DF18F3" w:rsidRPr="007215CF" w:rsidRDefault="00DF18F3" w:rsidP="007215CF">
            <w:pPr>
              <w:widowControl/>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68F4A20E" w14:textId="77777777" w:rsidR="00DF18F3" w:rsidRPr="007215CF" w:rsidRDefault="00DF18F3" w:rsidP="007215CF">
            <w:pPr>
              <w:widowControl/>
              <w:spacing w:after="120" w:line="300" w:lineRule="exact"/>
              <w:rPr>
                <w:rFonts w:ascii="標楷體" w:eastAsia="標楷體" w:hAnsi="標楷體"/>
                <w:kern w:val="0"/>
                <w:szCs w:val="24"/>
              </w:rPr>
            </w:pPr>
          </w:p>
        </w:tc>
      </w:tr>
      <w:tr w:rsidR="00DF18F3" w:rsidRPr="007215CF" w14:paraId="2AEEB4F1" w14:textId="77777777" w:rsidTr="00DF18F3">
        <w:trPr>
          <w:cantSplit/>
          <w:trHeight w:val="337"/>
          <w:jc w:val="center"/>
        </w:trPr>
        <w:tc>
          <w:tcPr>
            <w:tcW w:w="1469" w:type="dxa"/>
            <w:gridSpan w:val="2"/>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B063CF4"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藥品代碼</w:t>
            </w:r>
          </w:p>
        </w:tc>
        <w:tc>
          <w:tcPr>
            <w:tcW w:w="154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95D045B" w14:textId="77777777" w:rsidR="00DF18F3" w:rsidRPr="007215CF" w:rsidRDefault="00DF18F3" w:rsidP="007215CF">
            <w:pPr>
              <w:widowControl/>
              <w:spacing w:after="120" w:line="300" w:lineRule="exact"/>
              <w:rPr>
                <w:rFonts w:ascii="標楷體" w:eastAsia="標楷體" w:hAnsi="標楷體"/>
                <w:kern w:val="0"/>
                <w:szCs w:val="24"/>
              </w:rPr>
            </w:pPr>
          </w:p>
        </w:tc>
        <w:tc>
          <w:tcPr>
            <w:tcW w:w="140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07CD4E0"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用法用量</w:t>
            </w:r>
          </w:p>
        </w:tc>
        <w:tc>
          <w:tcPr>
            <w:tcW w:w="1596"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FFF6998" w14:textId="77777777" w:rsidR="00DF18F3" w:rsidRPr="007215CF" w:rsidRDefault="00DF18F3" w:rsidP="007215CF">
            <w:pPr>
              <w:widowControl/>
              <w:spacing w:after="120" w:line="300" w:lineRule="exact"/>
              <w:rPr>
                <w:rFonts w:ascii="標楷體" w:eastAsia="標楷體" w:hAnsi="標楷體"/>
                <w:kern w:val="0"/>
                <w:szCs w:val="24"/>
              </w:rPr>
            </w:pPr>
          </w:p>
        </w:tc>
        <w:tc>
          <w:tcPr>
            <w:tcW w:w="1047" w:type="dxa"/>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482CC5A" w14:textId="77777777" w:rsidR="00DF18F3" w:rsidRPr="007215CF" w:rsidRDefault="00DF18F3" w:rsidP="007215CF">
            <w:pPr>
              <w:widowControl/>
              <w:spacing w:line="300" w:lineRule="exact"/>
              <w:rPr>
                <w:rFonts w:ascii="標楷體" w:eastAsia="標楷體" w:hAnsi="標楷體"/>
                <w:kern w:val="0"/>
                <w:szCs w:val="24"/>
              </w:rPr>
            </w:pPr>
          </w:p>
        </w:tc>
        <w:tc>
          <w:tcPr>
            <w:tcW w:w="2943"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8E67443"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至　　年　　月　　日</w:t>
            </w:r>
          </w:p>
        </w:tc>
        <w:tc>
          <w:tcPr>
            <w:tcW w:w="43" w:type="dxa"/>
            <w:shd w:val="clear" w:color="auto" w:fill="auto"/>
            <w:tcMar>
              <w:top w:w="0" w:type="dxa"/>
              <w:left w:w="10" w:type="dxa"/>
              <w:bottom w:w="0" w:type="dxa"/>
              <w:right w:w="10" w:type="dxa"/>
            </w:tcMar>
          </w:tcPr>
          <w:p w14:paraId="0C06E078" w14:textId="77777777" w:rsidR="00DF18F3" w:rsidRPr="007215CF" w:rsidRDefault="00DF18F3" w:rsidP="007215CF">
            <w:pPr>
              <w:widowControl/>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7EDE22EC" w14:textId="77777777" w:rsidR="00DF18F3" w:rsidRPr="007215CF" w:rsidRDefault="00DF18F3" w:rsidP="007215CF">
            <w:pPr>
              <w:widowControl/>
              <w:spacing w:after="120" w:line="300" w:lineRule="exact"/>
              <w:rPr>
                <w:rFonts w:ascii="標楷體" w:eastAsia="標楷體" w:hAnsi="標楷體"/>
                <w:kern w:val="0"/>
                <w:szCs w:val="24"/>
              </w:rPr>
            </w:pPr>
          </w:p>
        </w:tc>
      </w:tr>
      <w:tr w:rsidR="00DF18F3" w:rsidRPr="007215CF" w14:paraId="26F0C60B" w14:textId="77777777" w:rsidTr="00DF18F3">
        <w:trPr>
          <w:trHeight w:val="679"/>
          <w:jc w:val="center"/>
        </w:trPr>
        <w:tc>
          <w:tcPr>
            <w:tcW w:w="10042" w:type="dxa"/>
            <w:gridSpan w:val="9"/>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2A0491C" w14:textId="77777777" w:rsidR="00DF18F3" w:rsidRPr="007215CF" w:rsidRDefault="00DF18F3" w:rsidP="007215CF">
            <w:pPr>
              <w:widowControl/>
              <w:spacing w:after="120" w:line="300" w:lineRule="exact"/>
              <w:rPr>
                <w:szCs w:val="24"/>
              </w:rPr>
            </w:pPr>
            <w:r w:rsidRPr="007215CF">
              <w:rPr>
                <w:rFonts w:ascii="標楷體" w:eastAsia="標楷體" w:hAnsi="標楷體" w:cs="新細明體"/>
                <w:b/>
                <w:bCs/>
                <w:kern w:val="0"/>
                <w:szCs w:val="24"/>
              </w:rPr>
              <w:t>□符合下列所有條件：</w:t>
            </w:r>
          </w:p>
          <w:p w14:paraId="7A217C8D" w14:textId="77777777" w:rsidR="00DF18F3" w:rsidRPr="007215CF" w:rsidRDefault="00DF18F3" w:rsidP="007215CF">
            <w:pPr>
              <w:widowControl/>
              <w:spacing w:after="120" w:line="300" w:lineRule="exact"/>
              <w:ind w:left="860" w:hanging="860"/>
              <w:rPr>
                <w:szCs w:val="24"/>
              </w:rPr>
            </w:pPr>
            <w:r w:rsidRPr="007215CF">
              <w:rPr>
                <w:rFonts w:ascii="標楷體" w:eastAsia="標楷體" w:hAnsi="標楷體" w:cs="新細明體"/>
                <w:b/>
                <w:bCs/>
                <w:kern w:val="0"/>
                <w:szCs w:val="24"/>
              </w:rPr>
              <w:t xml:space="preserve">    </w:t>
            </w:r>
            <w:r w:rsidRPr="007215CF">
              <w:rPr>
                <w:rFonts w:ascii="標楷體" w:eastAsia="標楷體" w:hAnsi="標楷體" w:cs="新細明體"/>
                <w:bCs/>
                <w:kern w:val="0"/>
                <w:szCs w:val="24"/>
              </w:rPr>
              <w:t>□</w:t>
            </w:r>
            <w:r w:rsidRPr="007215CF">
              <w:rPr>
                <w:rFonts w:ascii="標楷體" w:eastAsia="標楷體" w:hAnsi="標楷體" w:cs="新細明體"/>
                <w:kern w:val="0"/>
                <w:szCs w:val="24"/>
              </w:rPr>
              <w:t>診斷為克隆</w:t>
            </w:r>
            <w:proofErr w:type="gramStart"/>
            <w:r w:rsidRPr="007215CF">
              <w:rPr>
                <w:rFonts w:ascii="標楷體" w:eastAsia="標楷體" w:hAnsi="標楷體" w:cs="新細明體"/>
                <w:kern w:val="0"/>
                <w:szCs w:val="24"/>
              </w:rPr>
              <w:t>氏症且領有</w:t>
            </w:r>
            <w:proofErr w:type="gramEnd"/>
            <w:r w:rsidRPr="007215CF">
              <w:rPr>
                <w:rFonts w:ascii="標楷體" w:eastAsia="標楷體" w:hAnsi="標楷體" w:cs="新細明體"/>
                <w:kern w:val="0"/>
                <w:szCs w:val="24"/>
              </w:rPr>
              <w:t>該症重大傷病卡，有效期限：____年____月至      ____年____月</w:t>
            </w:r>
          </w:p>
          <w:p w14:paraId="71B43511" w14:textId="77777777" w:rsidR="00DF18F3" w:rsidRPr="007215CF" w:rsidRDefault="00DF18F3" w:rsidP="007215CF">
            <w:pPr>
              <w:widowControl/>
              <w:spacing w:after="120" w:line="300" w:lineRule="exact"/>
              <w:rPr>
                <w:szCs w:val="24"/>
              </w:rPr>
            </w:pPr>
            <w:r w:rsidRPr="007215CF">
              <w:rPr>
                <w:rFonts w:ascii="標楷體" w:eastAsia="標楷體" w:hAnsi="標楷體" w:cs="新細明體"/>
                <w:b/>
                <w:bCs/>
                <w:kern w:val="0"/>
                <w:szCs w:val="24"/>
              </w:rPr>
              <w:t xml:space="preserve">    </w:t>
            </w:r>
            <w:r w:rsidRPr="007215CF">
              <w:rPr>
                <w:rFonts w:ascii="標楷體" w:eastAsia="標楷體" w:hAnsi="標楷體" w:cs="新細明體"/>
                <w:bCs/>
                <w:kern w:val="0"/>
                <w:szCs w:val="24"/>
              </w:rPr>
              <w:t>□</w:t>
            </w:r>
            <w:r w:rsidRPr="007215CF">
              <w:rPr>
                <w:rFonts w:ascii="標楷體" w:eastAsia="標楷體" w:hAnsi="標楷體" w:cs="新細明體"/>
                <w:kern w:val="0"/>
                <w:szCs w:val="24"/>
              </w:rPr>
              <w:t>符合下列條件之一，且附上影像診斷評估報告。</w:t>
            </w:r>
          </w:p>
          <w:p w14:paraId="2964B328" w14:textId="77777777" w:rsidR="00DF18F3" w:rsidRPr="007215CF" w:rsidRDefault="00DF18F3" w:rsidP="007215CF">
            <w:pPr>
              <w:widowControl/>
              <w:spacing w:after="120" w:line="300" w:lineRule="exact"/>
              <w:ind w:left="1968" w:hanging="1968"/>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一、經5-aminosalicylic acid藥物、類固醇、及/或免疫抑制劑充分治療超過</w:t>
            </w:r>
            <w:r w:rsidRPr="007215CF">
              <w:rPr>
                <w:rFonts w:ascii="標楷體" w:eastAsia="標楷體" w:hAnsi="標楷體"/>
                <w:kern w:val="0"/>
                <w:szCs w:val="24"/>
              </w:rPr>
              <w:t>六個月，仍然無法控制病情(CDAI</w:t>
            </w:r>
            <w:r w:rsidRPr="007215CF">
              <w:rPr>
                <w:rFonts w:eastAsia="標楷體"/>
                <w:kern w:val="0"/>
                <w:szCs w:val="24"/>
              </w:rPr>
              <w:t>≥</w:t>
            </w:r>
            <w:r w:rsidRPr="007215CF">
              <w:rPr>
                <w:rFonts w:ascii="標楷體" w:eastAsia="標楷體" w:hAnsi="標楷體"/>
                <w:kern w:val="0"/>
                <w:szCs w:val="24"/>
              </w:rPr>
              <w:t>300)或產生嚴重藥物副作用時，且病況不適合手術者。</w:t>
            </w:r>
          </w:p>
          <w:p w14:paraId="1739C140" w14:textId="77777777" w:rsidR="00DF18F3" w:rsidRPr="007215CF" w:rsidRDefault="00DF18F3" w:rsidP="007215CF">
            <w:pPr>
              <w:widowControl/>
              <w:spacing w:after="120" w:line="300" w:lineRule="exact"/>
              <w:ind w:left="1711"/>
              <w:rPr>
                <w:szCs w:val="24"/>
              </w:rPr>
            </w:pPr>
            <w:r w:rsidRPr="007215CF">
              <w:rPr>
                <w:rFonts w:ascii="標楷體" w:eastAsia="標楷體" w:hAnsi="標楷體" w:cs="新細明體"/>
                <w:bCs/>
                <w:kern w:val="0"/>
                <w:szCs w:val="24"/>
              </w:rPr>
              <w:t>□</w:t>
            </w:r>
            <w:r w:rsidRPr="007215CF">
              <w:rPr>
                <w:rFonts w:ascii="標楷體" w:eastAsia="標楷體" w:hAnsi="標楷體" w:cs="新細明體"/>
                <w:kern w:val="0"/>
                <w:szCs w:val="24"/>
              </w:rPr>
              <w:t>無法控制病情</w:t>
            </w:r>
            <w:proofErr w:type="gramStart"/>
            <w:r w:rsidRPr="007215CF">
              <w:rPr>
                <w:rFonts w:ascii="標楷體" w:eastAsia="標楷體" w:hAnsi="標楷體" w:cs="新細明體"/>
                <w:kern w:val="0"/>
                <w:szCs w:val="24"/>
              </w:rPr>
              <w:t>（</w:t>
            </w:r>
            <w:proofErr w:type="gramEnd"/>
            <w:r w:rsidRPr="007215CF">
              <w:rPr>
                <w:rFonts w:ascii="標楷體" w:eastAsia="標楷體" w:hAnsi="標楷體" w:cs="新細明體"/>
                <w:kern w:val="0"/>
                <w:szCs w:val="24"/>
              </w:rPr>
              <w:t>CDAI分數：_______</w:t>
            </w:r>
            <w:proofErr w:type="gramStart"/>
            <w:r w:rsidRPr="007215CF">
              <w:rPr>
                <w:rFonts w:ascii="標楷體" w:eastAsia="標楷體" w:hAnsi="標楷體" w:cs="新細明體"/>
                <w:kern w:val="0"/>
                <w:szCs w:val="24"/>
              </w:rPr>
              <w:t>）</w:t>
            </w:r>
            <w:proofErr w:type="gramEnd"/>
          </w:p>
          <w:p w14:paraId="1DB7852D" w14:textId="77777777" w:rsidR="00DF18F3" w:rsidRPr="007215CF" w:rsidRDefault="00DF18F3" w:rsidP="007215CF">
            <w:pPr>
              <w:widowControl/>
              <w:spacing w:after="120" w:line="300" w:lineRule="exact"/>
              <w:ind w:left="1711"/>
              <w:rPr>
                <w:szCs w:val="24"/>
              </w:rPr>
            </w:pPr>
            <w:r w:rsidRPr="007215CF">
              <w:rPr>
                <w:rFonts w:ascii="標楷體" w:eastAsia="標楷體" w:hAnsi="標楷體" w:cs="新細明體"/>
                <w:bCs/>
                <w:kern w:val="0"/>
                <w:szCs w:val="24"/>
              </w:rPr>
              <w:t>□</w:t>
            </w:r>
            <w:r w:rsidRPr="007215CF">
              <w:rPr>
                <w:rFonts w:ascii="標楷體" w:eastAsia="標楷體" w:hAnsi="標楷體" w:cs="新細明體"/>
                <w:kern w:val="0"/>
                <w:szCs w:val="24"/>
              </w:rPr>
              <w:t>產生嚴重藥物副作用：藥名_________________時間_________</w:t>
            </w:r>
          </w:p>
          <w:p w14:paraId="247CC96B" w14:textId="77777777" w:rsidR="00DF18F3" w:rsidRPr="007215CF" w:rsidRDefault="00DF18F3" w:rsidP="007215CF">
            <w:pPr>
              <w:widowControl/>
              <w:spacing w:after="120" w:line="300" w:lineRule="exact"/>
              <w:ind w:firstLine="1884"/>
              <w:rPr>
                <w:rFonts w:ascii="標楷體" w:eastAsia="標楷體" w:hAnsi="標楷體"/>
                <w:kern w:val="0"/>
                <w:szCs w:val="24"/>
              </w:rPr>
            </w:pPr>
            <w:r w:rsidRPr="007215CF">
              <w:rPr>
                <w:rFonts w:ascii="標楷體" w:eastAsia="標楷體" w:hAnsi="標楷體"/>
                <w:kern w:val="0"/>
                <w:szCs w:val="24"/>
              </w:rPr>
              <w:t>副作用說明：___________________________</w:t>
            </w:r>
          </w:p>
          <w:p w14:paraId="6247DEF1" w14:textId="77777777" w:rsidR="00DF18F3" w:rsidRPr="007215CF" w:rsidRDefault="00DF18F3" w:rsidP="007215CF">
            <w:pPr>
              <w:widowControl/>
              <w:spacing w:after="120" w:line="300" w:lineRule="exact"/>
              <w:ind w:left="1711"/>
              <w:rPr>
                <w:szCs w:val="24"/>
              </w:rPr>
            </w:pPr>
            <w:r w:rsidRPr="007215CF">
              <w:rPr>
                <w:rFonts w:ascii="標楷體" w:eastAsia="標楷體" w:hAnsi="標楷體" w:cs="新細明體"/>
                <w:bCs/>
                <w:kern w:val="0"/>
                <w:szCs w:val="24"/>
              </w:rPr>
              <w:t>□</w:t>
            </w:r>
            <w:r w:rsidRPr="007215CF">
              <w:rPr>
                <w:rFonts w:ascii="標楷體" w:eastAsia="標楷體" w:hAnsi="標楷體" w:cs="新細明體"/>
                <w:kern w:val="0"/>
                <w:szCs w:val="24"/>
              </w:rPr>
              <w:t>不適合手術之原因：___________________________________</w:t>
            </w:r>
          </w:p>
          <w:p w14:paraId="7A40B1EB" w14:textId="77777777" w:rsidR="00DF18F3" w:rsidRPr="007215CF" w:rsidRDefault="00DF18F3" w:rsidP="007215CF">
            <w:pPr>
              <w:widowControl/>
              <w:spacing w:after="120" w:line="300" w:lineRule="exact"/>
              <w:ind w:left="1995" w:hanging="1964"/>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二、經5-aminosalicylic acid藥物、類固醇、及免疫抑制劑充分治療超過六個</w:t>
            </w:r>
            <w:r w:rsidRPr="007215CF">
              <w:rPr>
                <w:rFonts w:ascii="標楷體" w:eastAsia="標楷體" w:hAnsi="標楷體"/>
                <w:kern w:val="0"/>
                <w:szCs w:val="24"/>
              </w:rPr>
              <w:t>月，或外科手術治療，肛門周圍</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管或腹壁</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管仍無法癒合且CDAI</w:t>
            </w:r>
            <w:r w:rsidRPr="007215CF">
              <w:rPr>
                <w:rFonts w:eastAsia="標楷體"/>
                <w:kern w:val="0"/>
                <w:szCs w:val="24"/>
              </w:rPr>
              <w:t>≥</w:t>
            </w:r>
            <w:r w:rsidRPr="007215CF">
              <w:rPr>
                <w:rFonts w:ascii="標楷體" w:eastAsia="標楷體" w:hAnsi="標楷體"/>
                <w:color w:val="000000"/>
                <w:kern w:val="0"/>
                <w:szCs w:val="24"/>
              </w:rPr>
              <w:t>100</w:t>
            </w:r>
            <w:r w:rsidRPr="007215CF">
              <w:rPr>
                <w:rFonts w:ascii="標楷體" w:eastAsia="標楷體" w:hAnsi="標楷體"/>
                <w:kern w:val="0"/>
                <w:szCs w:val="24"/>
              </w:rPr>
              <w:t>者。</w:t>
            </w:r>
          </w:p>
          <w:p w14:paraId="1EF67391" w14:textId="77777777" w:rsidR="00DF18F3" w:rsidRPr="007215CF" w:rsidRDefault="00DF18F3" w:rsidP="007215CF">
            <w:pPr>
              <w:widowControl/>
              <w:spacing w:after="120" w:line="300" w:lineRule="exact"/>
              <w:ind w:left="1649"/>
              <w:rPr>
                <w:rFonts w:ascii="標楷體" w:eastAsia="標楷體" w:hAnsi="標楷體"/>
                <w:kern w:val="0"/>
                <w:szCs w:val="24"/>
              </w:rPr>
            </w:pPr>
            <w:r w:rsidRPr="007215CF">
              <w:rPr>
                <w:rFonts w:ascii="標楷體" w:eastAsia="標楷體" w:hAnsi="標楷體"/>
                <w:kern w:val="0"/>
                <w:szCs w:val="24"/>
              </w:rPr>
              <w:t></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管無法癒合</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CDAI分數：______</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，自___年___月起</w:t>
            </w:r>
          </w:p>
          <w:p w14:paraId="6FBC4A6E" w14:textId="77777777" w:rsidR="00DF18F3" w:rsidRPr="007215CF" w:rsidRDefault="00DF18F3" w:rsidP="007215CF">
            <w:pPr>
              <w:widowControl/>
              <w:spacing w:after="120" w:line="300" w:lineRule="exact"/>
              <w:ind w:left="1995" w:hanging="1995"/>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三、經5-aminosalicylic acid 藥物如、類固醇、及免疫抑制劑充分治療，仍於</w:t>
            </w:r>
            <w:r w:rsidRPr="007215CF">
              <w:rPr>
                <w:rFonts w:ascii="標楷體" w:eastAsia="標楷體" w:hAnsi="標楷體"/>
                <w:kern w:val="0"/>
                <w:szCs w:val="24"/>
              </w:rPr>
              <w:t>一年內因克隆氏症之併發症接受二次(含)以上之手術治療且CDAI</w:t>
            </w:r>
            <w:r w:rsidRPr="007215CF">
              <w:rPr>
                <w:rFonts w:eastAsia="標楷體"/>
                <w:kern w:val="0"/>
                <w:szCs w:val="24"/>
              </w:rPr>
              <w:t>≥</w:t>
            </w:r>
            <w:r w:rsidRPr="007215CF">
              <w:rPr>
                <w:rFonts w:ascii="標楷體" w:eastAsia="標楷體" w:hAnsi="標楷體"/>
                <w:color w:val="000000"/>
                <w:kern w:val="0"/>
                <w:szCs w:val="24"/>
              </w:rPr>
              <w:t>100</w:t>
            </w:r>
            <w:r w:rsidRPr="007215CF">
              <w:rPr>
                <w:rFonts w:ascii="標楷體" w:eastAsia="標楷體" w:hAnsi="標楷體"/>
                <w:kern w:val="0"/>
                <w:szCs w:val="24"/>
              </w:rPr>
              <w:t>者。</w:t>
            </w:r>
          </w:p>
          <w:p w14:paraId="2580461D" w14:textId="77777777" w:rsidR="00DF18F3" w:rsidRPr="007215CF" w:rsidRDefault="00DF18F3" w:rsidP="007215CF">
            <w:pPr>
              <w:widowControl/>
              <w:spacing w:after="120" w:line="300" w:lineRule="exact"/>
              <w:ind w:left="1920" w:hanging="1920"/>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一年內因克隆氏症併發症接受二次(含)以上之手術_____年_____月與_____年_____月</w:t>
            </w:r>
          </w:p>
          <w:p w14:paraId="450E8C98" w14:textId="77777777" w:rsidR="00DF18F3" w:rsidRPr="007215CF" w:rsidRDefault="00DF18F3" w:rsidP="007215CF">
            <w:pPr>
              <w:widowControl/>
              <w:spacing w:before="180" w:line="300" w:lineRule="exact"/>
              <w:rPr>
                <w:szCs w:val="24"/>
              </w:rPr>
            </w:pPr>
            <w:r w:rsidRPr="007215CF">
              <w:rPr>
                <w:rFonts w:ascii="標楷體" w:eastAsia="標楷體" w:hAnsi="標楷體" w:cs="新細明體"/>
                <w:b/>
                <w:bCs/>
                <w:kern w:val="0"/>
                <w:szCs w:val="24"/>
              </w:rPr>
              <w:t>□</w:t>
            </w:r>
            <w:r w:rsidRPr="007215CF">
              <w:rPr>
                <w:rFonts w:ascii="標楷體" w:eastAsia="標楷體" w:hAnsi="標楷體"/>
                <w:b/>
                <w:bCs/>
                <w:kern w:val="0"/>
                <w:szCs w:val="24"/>
              </w:rPr>
              <w:t>符合繼續使用之療效評估：</w:t>
            </w:r>
          </w:p>
          <w:p w14:paraId="5A3476B0" w14:textId="77777777" w:rsidR="00DF18F3" w:rsidRPr="007215CF" w:rsidRDefault="00DF18F3" w:rsidP="007215CF">
            <w:pPr>
              <w:widowControl/>
              <w:spacing w:after="120" w:line="300" w:lineRule="exact"/>
              <w:ind w:left="799" w:hanging="427"/>
              <w:rPr>
                <w:szCs w:val="24"/>
              </w:rPr>
            </w:pPr>
            <w:r w:rsidRPr="007215CF">
              <w:rPr>
                <w:rFonts w:ascii="標楷體" w:eastAsia="標楷體" w:hAnsi="標楷體"/>
                <w:b/>
                <w:bCs/>
                <w:kern w:val="0"/>
                <w:szCs w:val="24"/>
              </w:rPr>
              <w:t>□</w:t>
            </w:r>
            <w:r w:rsidRPr="007215CF">
              <w:rPr>
                <w:rFonts w:ascii="標楷體" w:eastAsia="標楷體" w:hAnsi="標楷體"/>
                <w:kern w:val="0"/>
                <w:szCs w:val="24"/>
              </w:rPr>
              <w:t>初次使用者：adalimumab、或infliximab、或vedolizumab或</w:t>
            </w:r>
            <w:proofErr w:type="spellStart"/>
            <w:r w:rsidRPr="007215CF">
              <w:rPr>
                <w:rFonts w:ascii="標楷體" w:eastAsia="標楷體" w:hAnsi="標楷體"/>
                <w:kern w:val="0"/>
                <w:szCs w:val="24"/>
              </w:rPr>
              <w:t>risankizumab</w:t>
            </w:r>
            <w:proofErr w:type="spellEnd"/>
            <w:r w:rsidRPr="007215CF">
              <w:rPr>
                <w:rFonts w:ascii="標楷體" w:eastAsia="標楷體" w:hAnsi="標楷體"/>
                <w:kern w:val="0"/>
                <w:szCs w:val="24"/>
              </w:rPr>
              <w:t>治療第三劑後、或infliximab治療第二劑後、或</w:t>
            </w:r>
            <w:proofErr w:type="spellStart"/>
            <w:r w:rsidRPr="007215CF">
              <w:rPr>
                <w:rFonts w:ascii="標楷體" w:eastAsia="標楷體" w:hAnsi="標楷體"/>
                <w:kern w:val="0"/>
                <w:szCs w:val="24"/>
              </w:rPr>
              <w:t>ustekinumab</w:t>
            </w:r>
            <w:proofErr w:type="spellEnd"/>
            <w:r w:rsidRPr="007215CF">
              <w:rPr>
                <w:rFonts w:ascii="標楷體" w:eastAsia="標楷體" w:hAnsi="標楷體"/>
                <w:kern w:val="0"/>
                <w:szCs w:val="24"/>
              </w:rPr>
              <w:t>治療第一劑後</w:t>
            </w:r>
            <w:r w:rsidRPr="007215CF">
              <w:rPr>
                <w:rFonts w:ascii="標楷體" w:eastAsia="標楷體" w:hAnsi="標楷體"/>
                <w:color w:val="000000"/>
                <w:kern w:val="0"/>
                <w:szCs w:val="24"/>
                <w:u w:val="single"/>
              </w:rPr>
              <w:t>、</w:t>
            </w:r>
            <w:r w:rsidRPr="007215CF">
              <w:rPr>
                <w:rFonts w:ascii="標楷體" w:eastAsia="標楷體" w:hAnsi="標楷體"/>
                <w:color w:val="000000"/>
                <w:kern w:val="0"/>
                <w:szCs w:val="24"/>
              </w:rPr>
              <w:t>或</w:t>
            </w:r>
            <w:proofErr w:type="spellStart"/>
            <w:r w:rsidRPr="007215CF">
              <w:rPr>
                <w:rFonts w:ascii="標楷體" w:eastAsia="標楷體" w:hAnsi="標楷體"/>
                <w:color w:val="000000"/>
                <w:kern w:val="0"/>
                <w:szCs w:val="24"/>
              </w:rPr>
              <w:t>upadacitinib</w:t>
            </w:r>
            <w:proofErr w:type="spellEnd"/>
            <w:r w:rsidRPr="007215CF">
              <w:rPr>
                <w:rFonts w:ascii="標楷體" w:eastAsia="標楷體" w:hAnsi="標楷體"/>
                <w:color w:val="000000"/>
                <w:kern w:val="0"/>
                <w:szCs w:val="24"/>
              </w:rPr>
              <w:t>以12</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為限(限用於其他生物製劑治療失敗或無法耐受之中至重度克隆氏症病人，另使用前應排除有血栓風險之病患，且不建議與azathioprine合併使用)，</w:t>
            </w:r>
            <w:r w:rsidRPr="007215CF">
              <w:rPr>
                <w:rFonts w:ascii="標楷體" w:eastAsia="標楷體" w:hAnsi="標楷體"/>
                <w:kern w:val="0"/>
                <w:szCs w:val="24"/>
              </w:rPr>
              <w:t>達到</w:t>
            </w:r>
            <w:proofErr w:type="gramStart"/>
            <w:r w:rsidRPr="007215CF">
              <w:rPr>
                <w:rFonts w:ascii="標楷體" w:eastAsia="標楷體" w:hAnsi="標楷體"/>
                <w:kern w:val="0"/>
                <w:szCs w:val="24"/>
              </w:rPr>
              <w:t>有效緩</w:t>
            </w:r>
            <w:proofErr w:type="gramEnd"/>
            <w:r w:rsidRPr="007215CF">
              <w:rPr>
                <w:rFonts w:ascii="標楷體" w:eastAsia="標楷體" w:hAnsi="標楷體"/>
                <w:kern w:val="0"/>
                <w:szCs w:val="24"/>
              </w:rPr>
              <w:t>解或部份</w:t>
            </w:r>
            <w:proofErr w:type="gramStart"/>
            <w:r w:rsidRPr="007215CF">
              <w:rPr>
                <w:rFonts w:ascii="標楷體" w:eastAsia="標楷體" w:hAnsi="標楷體"/>
                <w:kern w:val="0"/>
                <w:szCs w:val="24"/>
              </w:rPr>
              <w:t>有效緩</w:t>
            </w:r>
            <w:proofErr w:type="gramEnd"/>
            <w:r w:rsidRPr="007215CF">
              <w:rPr>
                <w:rFonts w:ascii="標楷體" w:eastAsia="標楷體" w:hAnsi="標楷體"/>
                <w:kern w:val="0"/>
                <w:szCs w:val="24"/>
              </w:rPr>
              <w:t>解之誘導，誘導緩解失敗者，得提出申請</w:t>
            </w:r>
            <w:proofErr w:type="gramStart"/>
            <w:r w:rsidRPr="007215CF">
              <w:rPr>
                <w:rFonts w:ascii="標楷體" w:eastAsia="標楷體" w:hAnsi="標楷體"/>
                <w:kern w:val="0"/>
                <w:szCs w:val="24"/>
              </w:rPr>
              <w:t>轉換他類生物</w:t>
            </w:r>
            <w:proofErr w:type="gramEnd"/>
            <w:r w:rsidRPr="007215CF">
              <w:rPr>
                <w:rFonts w:ascii="標楷體" w:eastAsia="標楷體" w:hAnsi="標楷體"/>
                <w:kern w:val="0"/>
                <w:szCs w:val="24"/>
              </w:rPr>
              <w:t>製劑，然同一療程不得合併使用。</w:t>
            </w:r>
          </w:p>
          <w:p w14:paraId="29BA251E" w14:textId="77777777" w:rsidR="00DF18F3" w:rsidRPr="007215CF" w:rsidRDefault="00DF18F3" w:rsidP="007215CF">
            <w:pPr>
              <w:widowControl/>
              <w:spacing w:after="120" w:line="300" w:lineRule="exact"/>
              <w:ind w:left="797"/>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達到</w:t>
            </w:r>
            <w:proofErr w:type="gramStart"/>
            <w:r w:rsidRPr="007215CF">
              <w:rPr>
                <w:rFonts w:ascii="標楷體" w:eastAsia="標楷體" w:hAnsi="標楷體"/>
                <w:color w:val="000000"/>
                <w:kern w:val="0"/>
                <w:szCs w:val="24"/>
              </w:rPr>
              <w:t>有效緩</w:t>
            </w:r>
            <w:proofErr w:type="gramEnd"/>
            <w:r w:rsidRPr="007215CF">
              <w:rPr>
                <w:rFonts w:ascii="標楷體" w:eastAsia="標楷體" w:hAnsi="標楷體"/>
                <w:color w:val="000000"/>
                <w:kern w:val="0"/>
                <w:szCs w:val="24"/>
              </w:rPr>
              <w:t>解之誘導（CDAI&lt;150或</w:t>
            </w:r>
            <w:proofErr w:type="gramStart"/>
            <w:r w:rsidRPr="007215CF">
              <w:rPr>
                <w:rFonts w:ascii="標楷體" w:eastAsia="標楷體" w:hAnsi="標楷體"/>
                <w:color w:val="000000"/>
                <w:kern w:val="0"/>
                <w:szCs w:val="24"/>
              </w:rPr>
              <w:t>廔</w:t>
            </w:r>
            <w:proofErr w:type="gramEnd"/>
            <w:r w:rsidRPr="007215CF">
              <w:rPr>
                <w:rFonts w:ascii="標楷體" w:eastAsia="標楷體" w:hAnsi="標楷體"/>
                <w:color w:val="000000"/>
                <w:kern w:val="0"/>
                <w:szCs w:val="24"/>
              </w:rPr>
              <w:t>管痊癒）</w:t>
            </w:r>
          </w:p>
          <w:p w14:paraId="652EA7F1" w14:textId="77777777" w:rsidR="00DF18F3" w:rsidRPr="007215CF" w:rsidRDefault="00DF18F3" w:rsidP="007215CF">
            <w:pPr>
              <w:widowControl/>
              <w:spacing w:after="120" w:line="300" w:lineRule="exact"/>
              <w:ind w:left="1222" w:hanging="425"/>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達到部份</w:t>
            </w:r>
            <w:proofErr w:type="gramStart"/>
            <w:r w:rsidRPr="007215CF">
              <w:rPr>
                <w:rFonts w:ascii="標楷體" w:eastAsia="標楷體" w:hAnsi="標楷體"/>
                <w:color w:val="000000"/>
                <w:kern w:val="0"/>
                <w:szCs w:val="24"/>
              </w:rPr>
              <w:t>有效緩</w:t>
            </w:r>
            <w:proofErr w:type="gramEnd"/>
            <w:r w:rsidRPr="007215CF">
              <w:rPr>
                <w:rFonts w:ascii="標楷體" w:eastAsia="標楷體" w:hAnsi="標楷體"/>
                <w:color w:val="000000"/>
                <w:kern w:val="0"/>
                <w:szCs w:val="24"/>
              </w:rPr>
              <w:t>解之誘導</w:t>
            </w:r>
            <w:proofErr w:type="gramStart"/>
            <w:r w:rsidRPr="007215CF">
              <w:rPr>
                <w:rFonts w:ascii="標楷體" w:eastAsia="標楷體" w:hAnsi="標楷體"/>
                <w:color w:val="000000"/>
                <w:kern w:val="0"/>
                <w:szCs w:val="24"/>
              </w:rPr>
              <w:t>（</w:t>
            </w:r>
            <w:proofErr w:type="gramEnd"/>
            <w:r w:rsidRPr="007215CF">
              <w:rPr>
                <w:rFonts w:ascii="標楷體" w:eastAsia="標楷體" w:hAnsi="標楷體"/>
                <w:color w:val="000000"/>
                <w:kern w:val="0"/>
                <w:szCs w:val="24"/>
              </w:rPr>
              <w:t>CDAI分數下降</w:t>
            </w:r>
            <w:r w:rsidRPr="007215CF">
              <w:rPr>
                <w:rFonts w:eastAsia="標楷體"/>
                <w:color w:val="000000"/>
                <w:kern w:val="0"/>
                <w:szCs w:val="24"/>
              </w:rPr>
              <w:t>≥</w:t>
            </w:r>
            <w:r w:rsidRPr="007215CF">
              <w:rPr>
                <w:rFonts w:ascii="標楷體" w:eastAsia="標楷體" w:hAnsi="標楷體"/>
                <w:color w:val="000000"/>
                <w:kern w:val="0"/>
                <w:szCs w:val="24"/>
              </w:rPr>
              <w:t>100或廔管數量減少）</w:t>
            </w:r>
          </w:p>
          <w:p w14:paraId="49EDC3A8" w14:textId="77777777" w:rsidR="00DF18F3" w:rsidRPr="007215CF" w:rsidRDefault="00DF18F3" w:rsidP="007215CF">
            <w:pPr>
              <w:widowControl/>
              <w:spacing w:after="120" w:line="300" w:lineRule="exact"/>
              <w:ind w:left="1222" w:hanging="425"/>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緩解誘導之使用期間：____年_____月至_____年_____月</w:t>
            </w:r>
          </w:p>
          <w:p w14:paraId="4177EE94" w14:textId="77777777" w:rsidR="00DF18F3" w:rsidRPr="007215CF" w:rsidRDefault="00DF18F3" w:rsidP="007215CF">
            <w:pPr>
              <w:widowControl/>
              <w:spacing w:after="120" w:line="300" w:lineRule="exact"/>
              <w:ind w:left="666" w:hanging="296"/>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繼續使用者：adalimumab</w:t>
            </w:r>
            <w:proofErr w:type="gramStart"/>
            <w:r w:rsidRPr="007215CF">
              <w:rPr>
                <w:rFonts w:ascii="標楷體" w:eastAsia="標楷體" w:hAnsi="標楷體"/>
                <w:color w:val="000000"/>
                <w:kern w:val="0"/>
                <w:szCs w:val="24"/>
              </w:rPr>
              <w:t>需每24週</w:t>
            </w:r>
            <w:proofErr w:type="gramEnd"/>
            <w:r w:rsidRPr="007215CF">
              <w:rPr>
                <w:rFonts w:ascii="標楷體" w:eastAsia="標楷體" w:hAnsi="標楷體"/>
                <w:color w:val="000000"/>
                <w:kern w:val="0"/>
                <w:szCs w:val="24"/>
              </w:rPr>
              <w:t>(使用12劑)；infliximab</w:t>
            </w:r>
            <w:proofErr w:type="gramStart"/>
            <w:r w:rsidRPr="007215CF">
              <w:rPr>
                <w:rFonts w:ascii="標楷體" w:eastAsia="標楷體" w:hAnsi="標楷體"/>
                <w:color w:val="000000"/>
                <w:kern w:val="0"/>
                <w:szCs w:val="24"/>
              </w:rPr>
              <w:t>需每16週</w:t>
            </w:r>
            <w:proofErr w:type="gramEnd"/>
            <w:r w:rsidRPr="007215CF">
              <w:rPr>
                <w:rFonts w:ascii="標楷體" w:eastAsia="標楷體" w:hAnsi="標楷體"/>
                <w:color w:val="000000"/>
                <w:kern w:val="0"/>
                <w:szCs w:val="24"/>
              </w:rPr>
              <w:t>(使用靜脈注射2劑)或24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(使用靜脈注射3劑)，或第6</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起，每24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(使用皮下注射12劑)；vedolizumab</w:t>
            </w:r>
            <w:proofErr w:type="gramStart"/>
            <w:r w:rsidRPr="007215CF">
              <w:rPr>
                <w:rFonts w:ascii="標楷體" w:eastAsia="標楷體" w:hAnsi="標楷體"/>
                <w:color w:val="000000"/>
                <w:kern w:val="0"/>
                <w:szCs w:val="24"/>
              </w:rPr>
              <w:t>需每16週</w:t>
            </w:r>
            <w:proofErr w:type="gramEnd"/>
            <w:r w:rsidRPr="007215CF">
              <w:rPr>
                <w:rFonts w:ascii="標楷體" w:eastAsia="標楷體" w:hAnsi="標楷體"/>
                <w:color w:val="000000"/>
                <w:kern w:val="0"/>
                <w:szCs w:val="24"/>
              </w:rPr>
              <w:t>(使用2劑)或24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(使用3劑)評估一次；</w:t>
            </w:r>
            <w:proofErr w:type="spellStart"/>
            <w:r w:rsidRPr="007215CF">
              <w:rPr>
                <w:rFonts w:ascii="標楷體" w:eastAsia="標楷體" w:hAnsi="標楷體"/>
                <w:color w:val="000000"/>
                <w:kern w:val="0"/>
                <w:szCs w:val="24"/>
              </w:rPr>
              <w:t>ustekinumab</w:t>
            </w:r>
            <w:proofErr w:type="spellEnd"/>
            <w:proofErr w:type="gramStart"/>
            <w:r w:rsidRPr="007215CF">
              <w:rPr>
                <w:rFonts w:ascii="標楷體" w:eastAsia="標楷體" w:hAnsi="標楷體"/>
                <w:color w:val="000000"/>
                <w:kern w:val="0"/>
                <w:szCs w:val="24"/>
              </w:rPr>
              <w:t>需每24週</w:t>
            </w:r>
            <w:proofErr w:type="gramEnd"/>
            <w:r w:rsidRPr="007215CF">
              <w:rPr>
                <w:rFonts w:ascii="標楷體" w:eastAsia="標楷體" w:hAnsi="標楷體"/>
                <w:color w:val="000000"/>
                <w:kern w:val="0"/>
                <w:szCs w:val="24"/>
              </w:rPr>
              <w:t>(使用2劑或3劑)</w:t>
            </w:r>
            <w:r w:rsidRPr="007215CF">
              <w:rPr>
                <w:rFonts w:ascii="標楷體" w:eastAsia="標楷體" w:hAnsi="標楷體"/>
                <w:szCs w:val="24"/>
              </w:rPr>
              <w:t xml:space="preserve"> </w:t>
            </w:r>
            <w:r w:rsidRPr="007215CF">
              <w:rPr>
                <w:rFonts w:ascii="標楷體" w:eastAsia="標楷體" w:hAnsi="標楷體"/>
                <w:color w:val="000000"/>
                <w:kern w:val="0"/>
                <w:szCs w:val="24"/>
              </w:rPr>
              <w:t>；</w:t>
            </w:r>
            <w:proofErr w:type="spellStart"/>
            <w:r w:rsidRPr="007215CF">
              <w:rPr>
                <w:rFonts w:ascii="標楷體" w:eastAsia="標楷體" w:hAnsi="標楷體"/>
                <w:color w:val="000000"/>
                <w:kern w:val="0"/>
                <w:szCs w:val="24"/>
              </w:rPr>
              <w:t>upadacitinib</w:t>
            </w:r>
            <w:proofErr w:type="spellEnd"/>
            <w:proofErr w:type="gramStart"/>
            <w:r w:rsidRPr="007215CF">
              <w:rPr>
                <w:rFonts w:ascii="標楷體" w:eastAsia="標楷體" w:hAnsi="標楷體"/>
                <w:color w:val="000000"/>
                <w:kern w:val="0"/>
                <w:szCs w:val="24"/>
              </w:rPr>
              <w:t>需每24週</w:t>
            </w:r>
            <w:proofErr w:type="gramEnd"/>
            <w:r w:rsidRPr="007215CF">
              <w:rPr>
                <w:rFonts w:ascii="標楷體" w:eastAsia="標楷體" w:hAnsi="標楷體"/>
                <w:color w:val="000000"/>
                <w:kern w:val="0"/>
                <w:szCs w:val="24"/>
              </w:rPr>
              <w:t>評估一次。評估仍維持前一次療程有效或部份</w:t>
            </w:r>
            <w:proofErr w:type="gramStart"/>
            <w:r w:rsidRPr="007215CF">
              <w:rPr>
                <w:rFonts w:ascii="標楷體" w:eastAsia="標楷體" w:hAnsi="標楷體"/>
                <w:color w:val="000000"/>
                <w:kern w:val="0"/>
                <w:szCs w:val="24"/>
              </w:rPr>
              <w:t>有效緩解</w:t>
            </w:r>
            <w:r w:rsidRPr="007215CF">
              <w:rPr>
                <w:rFonts w:ascii="標楷體" w:eastAsia="標楷體" w:hAnsi="標楷體"/>
                <w:color w:val="000000"/>
                <w:kern w:val="0"/>
                <w:szCs w:val="24"/>
              </w:rPr>
              <w:lastRenderedPageBreak/>
              <w:t>時</w:t>
            </w:r>
            <w:proofErr w:type="gramEnd"/>
            <w:r w:rsidRPr="007215CF">
              <w:rPr>
                <w:rFonts w:ascii="標楷體" w:eastAsia="標楷體" w:hAnsi="標楷體"/>
                <w:color w:val="000000"/>
                <w:kern w:val="0"/>
                <w:szCs w:val="24"/>
              </w:rPr>
              <w:t>之CDAI分數，方得提出申請續用。</w:t>
            </w:r>
            <w:proofErr w:type="spellStart"/>
            <w:r w:rsidRPr="007215CF">
              <w:rPr>
                <w:rFonts w:ascii="標楷體" w:eastAsia="標楷體" w:hAnsi="標楷體"/>
                <w:color w:val="000000"/>
                <w:kern w:val="0"/>
                <w:szCs w:val="24"/>
              </w:rPr>
              <w:t>ustekinumab</w:t>
            </w:r>
            <w:proofErr w:type="spellEnd"/>
            <w:r w:rsidRPr="007215CF">
              <w:rPr>
                <w:rFonts w:ascii="標楷體" w:eastAsia="標楷體" w:hAnsi="標楷體"/>
                <w:color w:val="000000"/>
                <w:kern w:val="0"/>
                <w:szCs w:val="24"/>
              </w:rPr>
              <w:t>治療達到部分</w:t>
            </w:r>
            <w:proofErr w:type="gramStart"/>
            <w:r w:rsidRPr="007215CF">
              <w:rPr>
                <w:rFonts w:ascii="標楷體" w:eastAsia="標楷體" w:hAnsi="標楷體"/>
                <w:color w:val="000000"/>
                <w:kern w:val="0"/>
                <w:szCs w:val="24"/>
              </w:rPr>
              <w:t>有效緩解者</w:t>
            </w:r>
            <w:proofErr w:type="gramEnd"/>
            <w:r w:rsidRPr="007215CF">
              <w:rPr>
                <w:rFonts w:ascii="標楷體" w:eastAsia="標楷體" w:hAnsi="標楷體"/>
                <w:color w:val="000000"/>
                <w:kern w:val="0"/>
                <w:szCs w:val="24"/>
              </w:rPr>
              <w:t>，經消化系專科醫師評估後，得申請繼續使用，以每隔8</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給予皮下注射維持劑量90mg。</w:t>
            </w:r>
          </w:p>
          <w:p w14:paraId="310888D8" w14:textId="77777777" w:rsidR="00DF18F3" w:rsidRPr="007215CF" w:rsidRDefault="00DF18F3" w:rsidP="007215CF">
            <w:pPr>
              <w:widowControl/>
              <w:spacing w:after="120" w:line="300" w:lineRule="exact"/>
              <w:ind w:left="624" w:hanging="254"/>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adalimumab治療期滿54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(使用28劑)；infliximab治療期滿46</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(使用8劑)</w:t>
            </w:r>
            <w:r w:rsidRPr="007215CF">
              <w:rPr>
                <w:rFonts w:ascii="標楷體" w:eastAsia="標楷體" w:hAnsi="標楷體"/>
                <w:szCs w:val="24"/>
              </w:rPr>
              <w:t xml:space="preserve"> </w:t>
            </w:r>
            <w:r w:rsidRPr="007215CF">
              <w:rPr>
                <w:rFonts w:ascii="標楷體" w:eastAsia="標楷體" w:hAnsi="標楷體"/>
                <w:color w:val="000000"/>
                <w:kern w:val="0"/>
                <w:szCs w:val="24"/>
              </w:rPr>
              <w:t>;infliximab靜脈注射搭配皮下注射共治療52</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，使用靜脈注射2劑，皮下注射24劑(療效持續至54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);vedolizumab治療期滿46</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(使用8劑)；</w:t>
            </w:r>
            <w:proofErr w:type="spellStart"/>
            <w:r w:rsidRPr="007215CF">
              <w:rPr>
                <w:rFonts w:ascii="標楷體" w:eastAsia="標楷體" w:hAnsi="標楷體"/>
                <w:color w:val="000000"/>
                <w:kern w:val="0"/>
                <w:szCs w:val="24"/>
              </w:rPr>
              <w:t>ustekinumab</w:t>
            </w:r>
            <w:proofErr w:type="spellEnd"/>
            <w:r w:rsidRPr="007215CF">
              <w:rPr>
                <w:rFonts w:ascii="標楷體" w:eastAsia="標楷體" w:hAnsi="標楷體"/>
                <w:color w:val="000000"/>
                <w:kern w:val="0"/>
                <w:szCs w:val="24"/>
              </w:rPr>
              <w:t>治療期滿44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(使用5劑)或48</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使用7劑；</w:t>
            </w:r>
            <w:proofErr w:type="spellStart"/>
            <w:r w:rsidRPr="007215CF">
              <w:rPr>
                <w:rFonts w:ascii="標楷體" w:eastAsia="標楷體" w:hAnsi="標楷體"/>
                <w:color w:val="000000"/>
                <w:kern w:val="0"/>
                <w:szCs w:val="24"/>
              </w:rPr>
              <w:t>upadacitinib</w:t>
            </w:r>
            <w:proofErr w:type="spellEnd"/>
            <w:r w:rsidRPr="007215CF">
              <w:rPr>
                <w:rFonts w:ascii="標楷體" w:eastAsia="標楷體" w:hAnsi="標楷體"/>
                <w:color w:val="000000"/>
                <w:kern w:val="0"/>
                <w:szCs w:val="24"/>
              </w:rPr>
              <w:t>治療60</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。再提出續用者，必須距離前次生物製劑治療結束間隔3個月以上，且因病情復發或以其他治療難以控制達規定之標準(惟其中經5-aminosalicylic acid藥物、類固醇、及/或免疫抑制劑充分治療，連續超過3個月)。</w:t>
            </w:r>
          </w:p>
          <w:p w14:paraId="2F76A195" w14:textId="77777777" w:rsidR="00DF18F3" w:rsidRPr="007215CF" w:rsidRDefault="00DF18F3" w:rsidP="007215CF">
            <w:pPr>
              <w:widowControl/>
              <w:spacing w:after="120" w:line="300" w:lineRule="exact"/>
              <w:ind w:left="666" w:hanging="280"/>
              <w:rPr>
                <w:szCs w:val="24"/>
              </w:rPr>
            </w:pPr>
            <w:r w:rsidRPr="007215CF">
              <w:rPr>
                <w:rFonts w:ascii="標楷體" w:eastAsia="標楷體" w:hAnsi="標楷體" w:cs="新細明體"/>
                <w:b/>
                <w:bCs/>
                <w:kern w:val="0"/>
                <w:szCs w:val="24"/>
              </w:rPr>
              <w:t>□</w:t>
            </w:r>
            <w:r w:rsidRPr="007215CF">
              <w:rPr>
                <w:rFonts w:ascii="標楷體" w:eastAsia="標楷體" w:hAnsi="標楷體" w:cs="新細明體"/>
                <w:color w:val="000000"/>
                <w:kern w:val="0"/>
                <w:szCs w:val="24"/>
              </w:rPr>
              <w:t>連續兩次因療程結束暫緩用藥而疾病復發(CDAI</w:t>
            </w:r>
            <w:r w:rsidRPr="007215CF">
              <w:rPr>
                <w:rFonts w:eastAsia="標楷體"/>
                <w:color w:val="000000"/>
                <w:kern w:val="0"/>
                <w:szCs w:val="24"/>
              </w:rPr>
              <w:t>≥</w:t>
            </w:r>
            <w:r w:rsidRPr="007215CF">
              <w:rPr>
                <w:rFonts w:ascii="標楷體" w:eastAsia="標楷體" w:hAnsi="標楷體" w:cs="新細明體"/>
                <w:color w:val="000000"/>
                <w:kern w:val="0"/>
                <w:szCs w:val="24"/>
              </w:rPr>
              <w:t>300)，且第二次復發於藥效終止後3個月內發生，則可持續使用，惟需每24週提出續用事前審查。仍維持前一療程有效或部分</w:t>
            </w:r>
            <w:proofErr w:type="gramStart"/>
            <w:r w:rsidRPr="007215CF">
              <w:rPr>
                <w:rFonts w:ascii="標楷體" w:eastAsia="標楷體" w:hAnsi="標楷體" w:cs="新細明體"/>
                <w:color w:val="000000"/>
                <w:kern w:val="0"/>
                <w:szCs w:val="24"/>
              </w:rPr>
              <w:t>有效緩</w:t>
            </w:r>
            <w:proofErr w:type="gramEnd"/>
            <w:r w:rsidRPr="007215CF">
              <w:rPr>
                <w:rFonts w:ascii="標楷體" w:eastAsia="標楷體" w:hAnsi="標楷體" w:cs="新細明體"/>
                <w:color w:val="000000"/>
                <w:kern w:val="0"/>
                <w:szCs w:val="24"/>
              </w:rPr>
              <w:t>解之CDAI分數，才可繼續申請續用。連續2年(4次評估)達到CDAI&lt;150，則應考慮停藥。</w:t>
            </w:r>
          </w:p>
        </w:tc>
        <w:tc>
          <w:tcPr>
            <w:tcW w:w="40" w:type="dxa"/>
            <w:shd w:val="clear" w:color="auto" w:fill="auto"/>
            <w:tcMar>
              <w:top w:w="0" w:type="dxa"/>
              <w:left w:w="10" w:type="dxa"/>
              <w:bottom w:w="0" w:type="dxa"/>
              <w:right w:w="10" w:type="dxa"/>
            </w:tcMar>
          </w:tcPr>
          <w:p w14:paraId="7521A62B" w14:textId="77777777" w:rsidR="00DF18F3" w:rsidRPr="007215CF" w:rsidRDefault="00DF18F3" w:rsidP="007215CF">
            <w:pPr>
              <w:widowControl/>
              <w:spacing w:after="120" w:line="300" w:lineRule="exact"/>
              <w:ind w:left="666" w:hanging="280"/>
              <w:rPr>
                <w:szCs w:val="24"/>
              </w:rPr>
            </w:pPr>
          </w:p>
        </w:tc>
      </w:tr>
      <w:tr w:rsidR="00DF18F3" w:rsidRPr="007215CF" w14:paraId="1BF1A77C" w14:textId="77777777" w:rsidTr="00DF18F3">
        <w:trPr>
          <w:cantSplit/>
          <w:trHeight w:val="281"/>
          <w:jc w:val="center"/>
        </w:trPr>
        <w:tc>
          <w:tcPr>
            <w:tcW w:w="10042" w:type="dxa"/>
            <w:gridSpan w:val="9"/>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7DEA68BD" w14:textId="77777777" w:rsidR="00DF18F3" w:rsidRPr="007215CF" w:rsidRDefault="00DF18F3" w:rsidP="007215CF">
            <w:pPr>
              <w:widowControl/>
              <w:spacing w:before="180" w:line="300" w:lineRule="exact"/>
              <w:ind w:left="120"/>
              <w:rPr>
                <w:szCs w:val="24"/>
              </w:rPr>
            </w:pPr>
            <w:r w:rsidRPr="007215CF">
              <w:rPr>
                <w:rFonts w:ascii="標楷體" w:eastAsia="標楷體" w:hAnsi="標楷體" w:cs="新細明體"/>
                <w:b/>
                <w:bCs/>
                <w:kern w:val="0"/>
                <w:szCs w:val="24"/>
              </w:rPr>
              <w:t>□</w:t>
            </w:r>
            <w:r w:rsidRPr="007215CF">
              <w:rPr>
                <w:rFonts w:ascii="標楷體" w:eastAsia="標楷體" w:hAnsi="標楷體"/>
                <w:b/>
                <w:kern w:val="0"/>
                <w:szCs w:val="24"/>
              </w:rPr>
              <w:t>符合「須排除或停止生物製劑使用之情形」</w:t>
            </w:r>
          </w:p>
        </w:tc>
        <w:tc>
          <w:tcPr>
            <w:tcW w:w="40" w:type="dxa"/>
            <w:shd w:val="clear" w:color="auto" w:fill="auto"/>
            <w:tcMar>
              <w:top w:w="0" w:type="dxa"/>
              <w:left w:w="10" w:type="dxa"/>
              <w:bottom w:w="0" w:type="dxa"/>
              <w:right w:w="10" w:type="dxa"/>
            </w:tcMar>
          </w:tcPr>
          <w:p w14:paraId="24C10536" w14:textId="77777777" w:rsidR="00DF18F3" w:rsidRPr="007215CF" w:rsidRDefault="00DF18F3" w:rsidP="007215CF">
            <w:pPr>
              <w:widowControl/>
              <w:spacing w:before="180" w:line="300" w:lineRule="exact"/>
              <w:ind w:left="120"/>
              <w:rPr>
                <w:rFonts w:ascii="標楷體" w:eastAsia="標楷體" w:hAnsi="標楷體"/>
                <w:kern w:val="0"/>
                <w:szCs w:val="24"/>
              </w:rPr>
            </w:pPr>
          </w:p>
        </w:tc>
      </w:tr>
      <w:tr w:rsidR="00DF18F3" w:rsidRPr="007215CF" w14:paraId="293C0FB0" w14:textId="77777777" w:rsidTr="00DF18F3">
        <w:trPr>
          <w:cantSplit/>
          <w:trHeight w:hRule="exact" w:val="1134"/>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0B302BC" w14:textId="77777777" w:rsidR="00DF18F3" w:rsidRPr="007215CF" w:rsidRDefault="00DF18F3" w:rsidP="002144EC">
            <w:pPr>
              <w:widowControl/>
              <w:numPr>
                <w:ilvl w:val="0"/>
                <w:numId w:val="139"/>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0E7CB31A" w14:textId="77777777" w:rsidR="00DF18F3" w:rsidRPr="007215CF" w:rsidRDefault="00DF18F3" w:rsidP="002144EC">
            <w:pPr>
              <w:widowControl/>
              <w:numPr>
                <w:ilvl w:val="0"/>
                <w:numId w:val="139"/>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60EFA6E3"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2800" w:hanging="400"/>
              <w:textAlignment w:val="center"/>
              <w:rPr>
                <w:szCs w:val="24"/>
              </w:rPr>
            </w:pPr>
            <w:r w:rsidRPr="007215CF">
              <w:rPr>
                <w:rFonts w:ascii="標楷體" w:eastAsia="標楷體" w:hAnsi="標楷體"/>
                <w:kern w:val="0"/>
                <w:szCs w:val="24"/>
              </w:rPr>
              <w:t>否是</w:t>
            </w:r>
          </w:p>
          <w:p w14:paraId="64E24661"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7B2D100"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是否有</w:t>
            </w:r>
            <w:r w:rsidRPr="007215CF">
              <w:rPr>
                <w:rFonts w:ascii="標楷體" w:eastAsia="標楷體" w:hAnsi="標楷體"/>
                <w:kern w:val="0"/>
                <w:szCs w:val="24"/>
              </w:rPr>
              <w:softHyphen/>
            </w:r>
            <w:r w:rsidRPr="007215CF">
              <w:rPr>
                <w:rFonts w:ascii="標楷體" w:eastAsia="標楷體" w:hAnsi="標楷體"/>
                <w:kern w:val="0"/>
                <w:szCs w:val="24"/>
              </w:rPr>
              <w:softHyphen/>
            </w:r>
            <w:r w:rsidRPr="007215CF">
              <w:rPr>
                <w:rFonts w:ascii="標楷體" w:eastAsia="標楷體" w:hAnsi="標楷體"/>
                <w:kern w:val="0"/>
                <w:szCs w:val="24"/>
              </w:rPr>
              <w:softHyphen/>
            </w:r>
            <w:r w:rsidRPr="007215CF">
              <w:rPr>
                <w:rFonts w:ascii="標楷體" w:eastAsia="標楷體" w:hAnsi="標楷體"/>
                <w:kern w:val="0"/>
                <w:szCs w:val="24"/>
              </w:rPr>
              <w:softHyphen/>
            </w:r>
            <w:r w:rsidRPr="007215CF">
              <w:rPr>
                <w:rFonts w:ascii="標楷體" w:eastAsia="標楷體" w:hAnsi="標楷體"/>
                <w:kern w:val="0"/>
                <w:szCs w:val="24"/>
              </w:rPr>
              <w:softHyphen/>
              <w:t>_____________仿單記載之禁忌情形。</w:t>
            </w:r>
          </w:p>
        </w:tc>
        <w:tc>
          <w:tcPr>
            <w:tcW w:w="40" w:type="dxa"/>
            <w:shd w:val="clear" w:color="auto" w:fill="auto"/>
            <w:tcMar>
              <w:top w:w="0" w:type="dxa"/>
              <w:left w:w="10" w:type="dxa"/>
              <w:bottom w:w="0" w:type="dxa"/>
              <w:right w:w="10" w:type="dxa"/>
            </w:tcMar>
          </w:tcPr>
          <w:p w14:paraId="0208DE12"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2131ED7F" w14:textId="77777777" w:rsidTr="00DF18F3">
        <w:trPr>
          <w:cantSplit/>
          <w:trHeight w:hRule="exact" w:val="1134"/>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032A0CB"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314F4BA9"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4A1669E9" w14:textId="77777777" w:rsidR="00DF18F3" w:rsidRPr="007215CF" w:rsidRDefault="00DF18F3" w:rsidP="007215CF">
            <w:pPr>
              <w:widowControl/>
              <w:tabs>
                <w:tab w:val="left" w:pos="0"/>
                <w:tab w:val="left" w:pos="425"/>
              </w:tabs>
              <w:suppressAutoHyphens w:val="0"/>
              <w:spacing w:after="120" w:line="300" w:lineRule="exact"/>
              <w:textAlignment w:val="center"/>
              <w:rPr>
                <w:rFonts w:ascii="標楷體" w:eastAsia="標楷體" w:hAnsi="標楷體"/>
                <w:kern w:val="0"/>
                <w:szCs w:val="24"/>
              </w:rPr>
            </w:pP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8E9FDDD"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婦女是否正在懷孕</w:t>
            </w:r>
            <w:proofErr w:type="gramStart"/>
            <w:r w:rsidRPr="007215CF">
              <w:rPr>
                <w:rFonts w:ascii="標楷體" w:eastAsia="標楷體" w:hAnsi="標楷體"/>
                <w:kern w:val="0"/>
                <w:szCs w:val="24"/>
              </w:rPr>
              <w:t>或授乳</w:t>
            </w:r>
            <w:proofErr w:type="gramEnd"/>
            <w:r w:rsidRPr="007215CF">
              <w:rPr>
                <w:rFonts w:ascii="標楷體" w:eastAsia="標楷體" w:hAnsi="標楷體"/>
                <w:kern w:val="0"/>
                <w:szCs w:val="24"/>
              </w:rPr>
              <w:t>。</w:t>
            </w:r>
          </w:p>
        </w:tc>
        <w:tc>
          <w:tcPr>
            <w:tcW w:w="40" w:type="dxa"/>
            <w:shd w:val="clear" w:color="auto" w:fill="auto"/>
            <w:tcMar>
              <w:top w:w="0" w:type="dxa"/>
              <w:left w:w="10" w:type="dxa"/>
              <w:bottom w:w="0" w:type="dxa"/>
              <w:right w:w="10" w:type="dxa"/>
            </w:tcMar>
          </w:tcPr>
          <w:p w14:paraId="23BCE88B"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25843834" w14:textId="77777777" w:rsidTr="00DF18F3">
        <w:trPr>
          <w:cantSplit/>
          <w:trHeight w:hRule="exact" w:val="1206"/>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370E22D"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6CA1A54C"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104F435B"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BD7BF84"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病患是否有活動性感染症。</w:t>
            </w:r>
          </w:p>
        </w:tc>
        <w:tc>
          <w:tcPr>
            <w:tcW w:w="40" w:type="dxa"/>
            <w:shd w:val="clear" w:color="auto" w:fill="auto"/>
            <w:tcMar>
              <w:top w:w="0" w:type="dxa"/>
              <w:left w:w="10" w:type="dxa"/>
              <w:bottom w:w="0" w:type="dxa"/>
              <w:right w:w="10" w:type="dxa"/>
            </w:tcMar>
          </w:tcPr>
          <w:p w14:paraId="2EDB1368"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6A4DF480" w14:textId="77777777" w:rsidTr="00DF18F3">
        <w:trPr>
          <w:cantSplit/>
          <w:trHeight w:hRule="exact" w:val="1134"/>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C6CD7F0"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56A5031A"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1374F263"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是</w:t>
            </w:r>
          </w:p>
          <w:p w14:paraId="08836FB3"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3560CE31" w14:textId="77777777" w:rsidR="00DF18F3" w:rsidRPr="007215CF" w:rsidRDefault="00DF18F3" w:rsidP="007215CF">
            <w:pPr>
              <w:widowControl/>
              <w:spacing w:after="120" w:line="300" w:lineRule="exact"/>
              <w:textAlignment w:val="center"/>
              <w:rPr>
                <w:rFonts w:ascii="標楷體" w:eastAsia="標楷體" w:hAnsi="標楷體"/>
                <w:kern w:val="0"/>
                <w:szCs w:val="24"/>
              </w:rPr>
            </w:pPr>
            <w:bookmarkStart w:id="110" w:name="_Hlk203665492"/>
            <w:r w:rsidRPr="007215CF">
              <w:rPr>
                <w:rFonts w:ascii="標楷體" w:eastAsia="標楷體" w:hAnsi="標楷體"/>
                <w:kern w:val="0"/>
                <w:szCs w:val="24"/>
              </w:rPr>
              <w:t>未經完整治療之結核病的病患</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包括潛伏結核感染治療未達四</w:t>
            </w:r>
            <w:proofErr w:type="gramStart"/>
            <w:r w:rsidRPr="007215CF">
              <w:rPr>
                <w:rFonts w:ascii="標楷體" w:eastAsia="標楷體" w:hAnsi="標楷體"/>
                <w:kern w:val="0"/>
                <w:szCs w:val="24"/>
              </w:rPr>
              <w:t>週</w:t>
            </w:r>
            <w:proofErr w:type="gramEnd"/>
            <w:r w:rsidRPr="007215CF">
              <w:rPr>
                <w:rFonts w:ascii="標楷體" w:eastAsia="標楷體" w:hAnsi="標楷體"/>
                <w:kern w:val="0"/>
                <w:szCs w:val="24"/>
              </w:rPr>
              <w:t>者，申</w:t>
            </w:r>
          </w:p>
          <w:p w14:paraId="5DD2EF10" w14:textId="77777777" w:rsidR="00DF18F3" w:rsidRPr="007215CF" w:rsidRDefault="00DF18F3" w:rsidP="007215CF">
            <w:pPr>
              <w:widowControl/>
              <w:spacing w:after="120" w:line="300" w:lineRule="exact"/>
              <w:textAlignment w:val="center"/>
              <w:rPr>
                <w:rFonts w:ascii="標楷體" w:eastAsia="標楷體" w:hAnsi="標楷體"/>
                <w:kern w:val="0"/>
                <w:szCs w:val="24"/>
              </w:rPr>
            </w:pPr>
            <w:proofErr w:type="gramStart"/>
            <w:r w:rsidRPr="007215CF">
              <w:rPr>
                <w:rFonts w:ascii="標楷體" w:eastAsia="標楷體" w:hAnsi="標楷體"/>
                <w:kern w:val="0"/>
                <w:szCs w:val="24"/>
              </w:rPr>
              <w:t>請時應</w:t>
            </w:r>
            <w:proofErr w:type="gramEnd"/>
            <w:r w:rsidRPr="007215CF">
              <w:rPr>
                <w:rFonts w:ascii="標楷體" w:eastAsia="標楷體" w:hAnsi="標楷體"/>
                <w:kern w:val="0"/>
                <w:szCs w:val="24"/>
              </w:rPr>
              <w:t>檢附潛伏結核感染篩檢紀錄及治療紀錄供審查</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w:t>
            </w:r>
            <w:bookmarkEnd w:id="110"/>
          </w:p>
        </w:tc>
        <w:tc>
          <w:tcPr>
            <w:tcW w:w="40" w:type="dxa"/>
            <w:tcBorders>
              <w:left w:val="double" w:sz="4" w:space="0" w:color="000000"/>
            </w:tcBorders>
            <w:shd w:val="clear" w:color="auto" w:fill="auto"/>
            <w:tcMar>
              <w:top w:w="0" w:type="dxa"/>
              <w:left w:w="10" w:type="dxa"/>
              <w:bottom w:w="0" w:type="dxa"/>
              <w:right w:w="10" w:type="dxa"/>
            </w:tcMar>
          </w:tcPr>
          <w:p w14:paraId="002A1AAC"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1B11E16E" w14:textId="77777777" w:rsidTr="00DF18F3">
        <w:trPr>
          <w:cantSplit/>
          <w:trHeight w:val="400"/>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BA9BF4C"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4A1CA4F2"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47F0A5B1"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是</w:t>
            </w:r>
          </w:p>
          <w:p w14:paraId="76113F9B"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EC20204"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病患是否具有高度感染機會之情形，其中包括：</w:t>
            </w:r>
          </w:p>
          <w:p w14:paraId="43D40BB9"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1.</w:t>
            </w:r>
            <w:proofErr w:type="gramStart"/>
            <w:r w:rsidRPr="007215CF">
              <w:rPr>
                <w:rFonts w:ascii="標楷體" w:eastAsia="標楷體" w:hAnsi="標楷體"/>
                <w:kern w:val="0"/>
                <w:szCs w:val="24"/>
              </w:rPr>
              <w:t>慢性腿部</w:t>
            </w:r>
            <w:proofErr w:type="gramEnd"/>
            <w:r w:rsidRPr="007215CF">
              <w:rPr>
                <w:rFonts w:ascii="標楷體" w:eastAsia="標楷體" w:hAnsi="標楷體"/>
                <w:kern w:val="0"/>
                <w:szCs w:val="24"/>
              </w:rPr>
              <w:t>潰瘍。</w:t>
            </w:r>
          </w:p>
          <w:p w14:paraId="38D2A1DB"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r w:rsidRPr="007215CF">
              <w:rPr>
                <w:rFonts w:ascii="標楷體" w:eastAsia="標楷體" w:hAnsi="標楷體"/>
                <w:kern w:val="0"/>
                <w:szCs w:val="24"/>
              </w:rPr>
              <w:t>2.具有留置導尿管或身上有引流管之情形。</w:t>
            </w:r>
          </w:p>
          <w:p w14:paraId="03982CBF"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r w:rsidRPr="007215CF">
              <w:rPr>
                <w:rFonts w:ascii="標楷體" w:eastAsia="標楷體" w:hAnsi="標楷體"/>
                <w:kern w:val="0"/>
                <w:szCs w:val="24"/>
              </w:rPr>
              <w:t>3.人工關節感染，該人工關節尚未摘除。</w:t>
            </w:r>
          </w:p>
          <w:p w14:paraId="7FF95B39"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r w:rsidRPr="007215CF">
              <w:rPr>
                <w:rFonts w:ascii="標楷體" w:eastAsia="標楷體" w:hAnsi="標楷體"/>
                <w:kern w:val="0"/>
                <w:szCs w:val="24"/>
              </w:rPr>
              <w:t>4.頑固性或復發性的胸腔感染疾病。</w:t>
            </w:r>
          </w:p>
        </w:tc>
        <w:tc>
          <w:tcPr>
            <w:tcW w:w="40" w:type="dxa"/>
            <w:shd w:val="clear" w:color="auto" w:fill="auto"/>
            <w:tcMar>
              <w:top w:w="0" w:type="dxa"/>
              <w:left w:w="10" w:type="dxa"/>
              <w:bottom w:w="0" w:type="dxa"/>
              <w:right w:w="10" w:type="dxa"/>
            </w:tcMar>
          </w:tcPr>
          <w:p w14:paraId="1C2D909F"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p>
        </w:tc>
      </w:tr>
      <w:tr w:rsidR="00DF18F3" w:rsidRPr="007215CF" w14:paraId="57A685F3" w14:textId="77777777" w:rsidTr="00DF18F3">
        <w:trPr>
          <w:cantSplit/>
          <w:trHeight w:hRule="exact" w:val="1291"/>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801FF3F" w14:textId="77777777" w:rsidR="00DF18F3" w:rsidRPr="007215CF" w:rsidRDefault="00DF18F3" w:rsidP="007215CF">
            <w:pPr>
              <w:widowControl/>
              <w:tabs>
                <w:tab w:val="left" w:pos="0"/>
                <w:tab w:val="left" w:pos="425"/>
              </w:tabs>
              <w:spacing w:after="120" w:line="300" w:lineRule="exact"/>
              <w:ind w:left="2800"/>
              <w:textAlignment w:val="center"/>
              <w:rPr>
                <w:rFonts w:ascii="標楷體" w:eastAsia="標楷體" w:hAnsi="標楷體"/>
                <w:kern w:val="0"/>
                <w:szCs w:val="24"/>
              </w:rPr>
            </w:pPr>
            <w:r w:rsidRPr="007215CF">
              <w:rPr>
                <w:rFonts w:ascii="標楷體" w:eastAsia="標楷體" w:hAnsi="標楷體"/>
                <w:kern w:val="0"/>
                <w:szCs w:val="24"/>
              </w:rPr>
              <w:t>是</w:t>
            </w:r>
          </w:p>
          <w:p w14:paraId="1FA9D5E7"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517FB35E"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2B10FCAF"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5BA8FC1"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w:t>
            </w:r>
            <w:proofErr w:type="gramStart"/>
            <w:r w:rsidRPr="007215CF">
              <w:rPr>
                <w:rFonts w:ascii="標楷體" w:eastAsia="標楷體" w:hAnsi="標楷體"/>
                <w:kern w:val="0"/>
                <w:szCs w:val="24"/>
              </w:rPr>
              <w:t>罹</w:t>
            </w:r>
            <w:proofErr w:type="gramEnd"/>
            <w:r w:rsidRPr="007215CF">
              <w:rPr>
                <w:rFonts w:ascii="標楷體" w:eastAsia="標楷體" w:hAnsi="標楷體"/>
                <w:kern w:val="0"/>
                <w:szCs w:val="24"/>
              </w:rPr>
              <w:t>患惡性腫瘤或具有癌症前兆(pre-malignancy)</w:t>
            </w:r>
          </w:p>
        </w:tc>
        <w:tc>
          <w:tcPr>
            <w:tcW w:w="40" w:type="dxa"/>
            <w:shd w:val="clear" w:color="auto" w:fill="auto"/>
            <w:tcMar>
              <w:top w:w="0" w:type="dxa"/>
              <w:left w:w="10" w:type="dxa"/>
              <w:bottom w:w="0" w:type="dxa"/>
              <w:right w:w="10" w:type="dxa"/>
            </w:tcMar>
          </w:tcPr>
          <w:p w14:paraId="2129B236"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45812C13" w14:textId="77777777" w:rsidTr="00DF18F3">
        <w:trPr>
          <w:cantSplit/>
          <w:trHeight w:hRule="exact" w:val="1280"/>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A6DAE4B"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是</w:t>
            </w:r>
          </w:p>
          <w:p w14:paraId="4CC4461E"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20C2C2B2"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6AB3D950" w14:textId="77777777" w:rsidR="00DF18F3" w:rsidRPr="007215CF" w:rsidRDefault="00DF18F3" w:rsidP="002144EC">
            <w:pPr>
              <w:widowControl/>
              <w:numPr>
                <w:ilvl w:val="0"/>
                <w:numId w:val="140"/>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0A4CA2D"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w:t>
            </w:r>
            <w:proofErr w:type="gramStart"/>
            <w:r w:rsidRPr="007215CF">
              <w:rPr>
                <w:rFonts w:ascii="標楷體" w:eastAsia="標楷體" w:hAnsi="標楷體"/>
                <w:kern w:val="0"/>
                <w:szCs w:val="24"/>
              </w:rPr>
              <w:t>罹</w:t>
            </w:r>
            <w:proofErr w:type="gramEnd"/>
            <w:r w:rsidRPr="007215CF">
              <w:rPr>
                <w:rFonts w:ascii="標楷體" w:eastAsia="標楷體" w:hAnsi="標楷體"/>
                <w:kern w:val="0"/>
                <w:szCs w:val="24"/>
              </w:rPr>
              <w:t>患多發性硬化症(multiple sclerosis)</w:t>
            </w:r>
          </w:p>
        </w:tc>
        <w:tc>
          <w:tcPr>
            <w:tcW w:w="40" w:type="dxa"/>
            <w:shd w:val="clear" w:color="auto" w:fill="auto"/>
            <w:tcMar>
              <w:top w:w="0" w:type="dxa"/>
              <w:left w:w="10" w:type="dxa"/>
              <w:bottom w:w="0" w:type="dxa"/>
              <w:right w:w="10" w:type="dxa"/>
            </w:tcMar>
          </w:tcPr>
          <w:p w14:paraId="1CECDA58"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05924EE6" w14:textId="77777777" w:rsidTr="00DF18F3">
        <w:trPr>
          <w:cantSplit/>
          <w:trHeight w:val="1396"/>
          <w:jc w:val="center"/>
        </w:trPr>
        <w:tc>
          <w:tcPr>
            <w:tcW w:w="1252" w:type="dxa"/>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784A109"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lastRenderedPageBreak/>
              <w:t>是</w:t>
            </w:r>
          </w:p>
          <w:p w14:paraId="0622785E" w14:textId="77777777" w:rsidR="00DF18F3" w:rsidRPr="007215CF" w:rsidRDefault="00DF18F3" w:rsidP="002144EC">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7370540F"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使用____________發生懷孕或不良事件(包括：惡性腫瘤、該藥物引起</w:t>
            </w:r>
          </w:p>
          <w:p w14:paraId="3755C035"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的嚴重毒性、嚴重的感染性疾病)</w:t>
            </w:r>
          </w:p>
        </w:tc>
        <w:tc>
          <w:tcPr>
            <w:tcW w:w="40" w:type="dxa"/>
            <w:shd w:val="clear" w:color="auto" w:fill="auto"/>
            <w:tcMar>
              <w:top w:w="0" w:type="dxa"/>
              <w:left w:w="10" w:type="dxa"/>
              <w:bottom w:w="0" w:type="dxa"/>
              <w:right w:w="10" w:type="dxa"/>
            </w:tcMar>
          </w:tcPr>
          <w:p w14:paraId="6FBB755C"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6C1D70CB" w14:textId="77777777" w:rsidTr="00DF18F3">
        <w:trPr>
          <w:cantSplit/>
          <w:trHeight w:val="1766"/>
          <w:jc w:val="center"/>
        </w:trPr>
        <w:tc>
          <w:tcPr>
            <w:tcW w:w="6046" w:type="dxa"/>
            <w:gridSpan w:val="6"/>
            <w:shd w:val="clear" w:color="auto" w:fill="auto"/>
            <w:tcMar>
              <w:top w:w="0" w:type="dxa"/>
              <w:left w:w="28" w:type="dxa"/>
              <w:bottom w:w="0" w:type="dxa"/>
              <w:right w:w="28" w:type="dxa"/>
            </w:tcMar>
          </w:tcPr>
          <w:p w14:paraId="58E9866D" w14:textId="77777777" w:rsidR="00DF18F3" w:rsidRPr="007215CF" w:rsidRDefault="00DF18F3" w:rsidP="007215CF">
            <w:pPr>
              <w:widowControl/>
              <w:spacing w:after="120" w:line="300" w:lineRule="exact"/>
              <w:textAlignment w:val="center"/>
              <w:rPr>
                <w:szCs w:val="24"/>
              </w:rPr>
            </w:pPr>
            <w:r w:rsidRPr="007215CF">
              <w:rPr>
                <w:rFonts w:ascii="標楷體" w:eastAsia="標楷體" w:hAnsi="標楷體"/>
                <w:kern w:val="0"/>
                <w:szCs w:val="24"/>
              </w:rPr>
              <w:t>申請醫師（簽名蓋章）：</w:t>
            </w:r>
            <w:r w:rsidRPr="007215CF">
              <w:rPr>
                <w:rFonts w:ascii="標楷體" w:eastAsia="標楷體" w:hAnsi="標楷體"/>
                <w:kern w:val="0"/>
                <w:szCs w:val="24"/>
                <w:u w:val="single"/>
              </w:rPr>
              <w:t xml:space="preserve">　　　　　　　      </w:t>
            </w:r>
          </w:p>
          <w:p w14:paraId="11D6D845" w14:textId="77777777" w:rsidR="00DF18F3" w:rsidRPr="007215CF" w:rsidRDefault="00DF18F3" w:rsidP="007215CF">
            <w:pPr>
              <w:widowControl/>
              <w:spacing w:after="120" w:line="300" w:lineRule="exact"/>
              <w:textAlignment w:val="center"/>
              <w:rPr>
                <w:szCs w:val="24"/>
              </w:rPr>
            </w:pPr>
            <w:r w:rsidRPr="007215CF">
              <w:rPr>
                <w:rFonts w:ascii="標楷體" w:eastAsia="標楷體" w:hAnsi="標楷體"/>
                <w:kern w:val="0"/>
                <w:szCs w:val="24"/>
              </w:rPr>
              <w:t>消化系專科醫師證書：</w:t>
            </w:r>
            <w:r w:rsidRPr="007215CF">
              <w:rPr>
                <w:rFonts w:ascii="標楷體" w:eastAsia="標楷體" w:hAnsi="標楷體"/>
                <w:kern w:val="0"/>
                <w:szCs w:val="24"/>
                <w:u w:val="single"/>
              </w:rPr>
              <w:t xml:space="preserve">　　                  </w:t>
            </w:r>
          </w:p>
        </w:tc>
        <w:tc>
          <w:tcPr>
            <w:tcW w:w="3996" w:type="dxa"/>
            <w:gridSpan w:val="3"/>
            <w:shd w:val="clear" w:color="auto" w:fill="auto"/>
            <w:tcMar>
              <w:top w:w="0" w:type="dxa"/>
              <w:left w:w="28" w:type="dxa"/>
              <w:bottom w:w="0" w:type="dxa"/>
              <w:right w:w="28" w:type="dxa"/>
            </w:tcMar>
          </w:tcPr>
          <w:p w14:paraId="7A338C48" w14:textId="77777777" w:rsidR="00DF18F3" w:rsidRPr="007215CF" w:rsidRDefault="00DF18F3" w:rsidP="007215CF">
            <w:pPr>
              <w:widowControl/>
              <w:spacing w:after="120" w:line="300" w:lineRule="exact"/>
              <w:textAlignment w:val="center"/>
              <w:rPr>
                <w:rFonts w:ascii="標楷體" w:eastAsia="標楷體" w:hAnsi="標楷體"/>
                <w:kern w:val="0"/>
                <w:szCs w:val="24"/>
              </w:rPr>
            </w:pPr>
            <w:proofErr w:type="gramStart"/>
            <w:r w:rsidRPr="007215CF">
              <w:rPr>
                <w:rFonts w:ascii="標楷體" w:eastAsia="標楷體" w:hAnsi="標楷體"/>
                <w:kern w:val="0"/>
                <w:szCs w:val="24"/>
              </w:rPr>
              <w:t>醫</w:t>
            </w:r>
            <w:proofErr w:type="gramEnd"/>
            <w:r w:rsidRPr="007215CF">
              <w:rPr>
                <w:rFonts w:ascii="標楷體" w:eastAsia="標楷體" w:hAnsi="標楷體"/>
                <w:kern w:val="0"/>
                <w:szCs w:val="24"/>
              </w:rPr>
              <w:t>事機構章戳：</w:t>
            </w:r>
          </w:p>
        </w:tc>
        <w:tc>
          <w:tcPr>
            <w:tcW w:w="40" w:type="dxa"/>
            <w:shd w:val="clear" w:color="auto" w:fill="auto"/>
            <w:tcMar>
              <w:top w:w="0" w:type="dxa"/>
              <w:left w:w="10" w:type="dxa"/>
              <w:bottom w:w="0" w:type="dxa"/>
              <w:right w:w="10" w:type="dxa"/>
            </w:tcMar>
          </w:tcPr>
          <w:p w14:paraId="26998F5C"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bl>
    <w:p w14:paraId="407D1AAD" w14:textId="77777777" w:rsidR="00401786" w:rsidRPr="007215CF" w:rsidRDefault="00C64FB3" w:rsidP="007215CF">
      <w:pPr>
        <w:pageBreakBefore/>
        <w:snapToGrid w:val="0"/>
        <w:spacing w:line="300" w:lineRule="exact"/>
        <w:jc w:val="center"/>
        <w:rPr>
          <w:szCs w:val="24"/>
        </w:rPr>
      </w:pPr>
      <w:r w:rsidRPr="007215CF">
        <w:rPr>
          <w:rFonts w:ascii="標楷體" w:eastAsia="標楷體" w:hAnsi="標楷體"/>
          <w:b/>
          <w:bCs/>
          <w:color w:val="000000"/>
          <w:szCs w:val="24"/>
        </w:rPr>
        <w:lastRenderedPageBreak/>
        <w:t>附表二十六之二</w:t>
      </w:r>
      <w:r w:rsidRPr="007215CF">
        <w:rPr>
          <w:rFonts w:ascii="標楷體" w:eastAsia="標楷體" w:hAnsi="標楷體"/>
          <w:b/>
          <w:bCs/>
          <w:szCs w:val="24"/>
        </w:rPr>
        <w:t>CDAI（</w:t>
      </w:r>
      <w:proofErr w:type="spellStart"/>
      <w:r w:rsidRPr="007215CF">
        <w:rPr>
          <w:rFonts w:ascii="標楷體" w:eastAsia="標楷體" w:hAnsi="標楷體"/>
          <w:b/>
          <w:bCs/>
          <w:szCs w:val="24"/>
        </w:rPr>
        <w:t>Crohn’sdiseaseactivityindex</w:t>
      </w:r>
      <w:proofErr w:type="spellEnd"/>
      <w:r w:rsidRPr="007215CF">
        <w:rPr>
          <w:rFonts w:ascii="標楷體" w:eastAsia="標楷體" w:hAnsi="標楷體"/>
          <w:b/>
          <w:bCs/>
          <w:szCs w:val="24"/>
        </w:rPr>
        <w:t>）</w:t>
      </w:r>
      <w:r w:rsidRPr="007215CF">
        <w:rPr>
          <w:rFonts w:ascii="標楷體" w:eastAsia="標楷體" w:hAnsi="標楷體"/>
          <w:b/>
          <w:bCs/>
          <w:color w:val="000000"/>
          <w:szCs w:val="24"/>
        </w:rPr>
        <w:t>總分最高為600分</w:t>
      </w:r>
    </w:p>
    <w:tbl>
      <w:tblPr>
        <w:tblW w:w="9662" w:type="dxa"/>
        <w:tblInd w:w="85" w:type="dxa"/>
        <w:tblCellMar>
          <w:left w:w="10" w:type="dxa"/>
          <w:right w:w="10" w:type="dxa"/>
        </w:tblCellMar>
        <w:tblLook w:val="0000" w:firstRow="0" w:lastRow="0" w:firstColumn="0" w:lastColumn="0" w:noHBand="0" w:noVBand="0"/>
      </w:tblPr>
      <w:tblGrid>
        <w:gridCol w:w="6948"/>
        <w:gridCol w:w="1155"/>
        <w:gridCol w:w="1559"/>
      </w:tblGrid>
      <w:tr w:rsidR="00401786" w:rsidRPr="007215CF" w14:paraId="72813837"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752D4D"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臨床或檢驗項目</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579D45"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加權</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91FAE"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得分</w:t>
            </w:r>
          </w:p>
        </w:tc>
      </w:tr>
      <w:tr w:rsidR="00401786" w:rsidRPr="007215CF" w14:paraId="1703E16D"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56864C"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每星期中每天</w:t>
            </w:r>
            <w:proofErr w:type="gramStart"/>
            <w:r w:rsidRPr="007215CF">
              <w:rPr>
                <w:rFonts w:ascii="標楷體" w:eastAsia="標楷體" w:hAnsi="標楷體"/>
                <w:szCs w:val="24"/>
              </w:rPr>
              <w:t>稀便與軟便</w:t>
            </w:r>
            <w:proofErr w:type="gramEnd"/>
            <w:r w:rsidRPr="007215CF">
              <w:rPr>
                <w:rFonts w:ascii="標楷體" w:eastAsia="標楷體" w:hAnsi="標楷體"/>
                <w:szCs w:val="24"/>
              </w:rPr>
              <w:t>次數之總和</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6AF63D"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X2</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7559D4"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5AAF3FD7" w14:textId="77777777">
        <w:trPr>
          <w:trHeight w:val="882"/>
        </w:trPr>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EBCA0C"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每星期中每天腹痛分數之總和</w:t>
            </w:r>
          </w:p>
          <w:p w14:paraId="12B2F1B9"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(0=無，1=輕微，2=中度，3=嚴重；每星期總和：0-21)</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004FE"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FC8CB9"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01D1EC0F" w14:textId="77777777">
        <w:trPr>
          <w:trHeight w:val="909"/>
        </w:trPr>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310282"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每星期中每天身體狀況分數之總和</w:t>
            </w:r>
          </w:p>
          <w:p w14:paraId="433A022E"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(0=好，1=稍差，2=差，3=很差，4=極差；每星期總和：0-28)</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726718"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X7</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E9C906"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1EC6D232"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59BF1B"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併發症之發生</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056FD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X20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A04D6B"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5B09106C"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A973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服用強的止瀉藥或鴉片類藥物來止瀉</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07E4A9"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X30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DBEC67"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3CF33C2B"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C7D362"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腹部有腫塊</w:t>
            </w:r>
          </w:p>
          <w:p w14:paraId="5E05096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(0=無，2=可能有摸到，5=確定有)</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6941B"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X10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C818F"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2D6D46FE"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5819B5"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血紅素hematocrit與正常值(男47%,女42%)之差距(差1%=1分)</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F17AA"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X6</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9B7F3F"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197E6EF8"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49389B"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與標準體重之百分比差距(差1%=1分)</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0D689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X1</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723595"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0014368F" w14:textId="77777777">
        <w:trPr>
          <w:trHeight w:val="3545"/>
        </w:trPr>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3F1C5"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有下列項目各加1分</w:t>
            </w:r>
          </w:p>
          <w:p w14:paraId="550EC597" w14:textId="77777777" w:rsidR="00401786" w:rsidRPr="007215CF" w:rsidRDefault="00C64FB3" w:rsidP="002144EC">
            <w:pPr>
              <w:numPr>
                <w:ilvl w:val="0"/>
                <w:numId w:val="110"/>
              </w:numPr>
              <w:snapToGrid w:val="0"/>
              <w:spacing w:line="300" w:lineRule="exact"/>
              <w:rPr>
                <w:rFonts w:ascii="標楷體" w:eastAsia="標楷體" w:hAnsi="標楷體"/>
                <w:szCs w:val="24"/>
              </w:rPr>
            </w:pPr>
            <w:r w:rsidRPr="007215CF">
              <w:rPr>
                <w:rFonts w:ascii="標楷體" w:eastAsia="標楷體" w:hAnsi="標楷體"/>
                <w:szCs w:val="24"/>
              </w:rPr>
              <w:t>關節痛或關節炎</w:t>
            </w:r>
          </w:p>
          <w:p w14:paraId="32BF2672" w14:textId="77777777" w:rsidR="00401786" w:rsidRPr="007215CF" w:rsidRDefault="00C64FB3" w:rsidP="002144EC">
            <w:pPr>
              <w:numPr>
                <w:ilvl w:val="0"/>
                <w:numId w:val="110"/>
              </w:numPr>
              <w:snapToGrid w:val="0"/>
              <w:spacing w:line="300" w:lineRule="exact"/>
              <w:rPr>
                <w:szCs w:val="24"/>
              </w:rPr>
            </w:pPr>
            <w:r w:rsidRPr="007215CF">
              <w:rPr>
                <w:rFonts w:ascii="標楷體" w:eastAsia="標楷體" w:hAnsi="標楷體"/>
                <w:szCs w:val="24"/>
              </w:rPr>
              <w:t>眼睛炎</w:t>
            </w:r>
            <w:r w:rsidRPr="007215CF">
              <w:rPr>
                <w:szCs w:val="24"/>
              </w:rPr>
              <w:fldChar w:fldCharType="begin"/>
            </w:r>
            <w:r w:rsidRPr="007215CF">
              <w:rPr>
                <w:szCs w:val="24"/>
              </w:rPr>
              <w:instrText>HYPERLINK "http://en.wikipedia.org/wiki/Iris_(anatomy)" \o "Iris (anatomy)"</w:instrText>
            </w:r>
            <w:r w:rsidRPr="007215CF">
              <w:rPr>
                <w:szCs w:val="24"/>
              </w:rPr>
            </w:r>
            <w:r w:rsidRPr="007215CF">
              <w:rPr>
                <w:szCs w:val="24"/>
              </w:rPr>
              <w:fldChar w:fldCharType="separate"/>
            </w:r>
            <w:r w:rsidRPr="007215CF">
              <w:rPr>
                <w:rFonts w:ascii="標楷體" w:eastAsia="標楷體" w:hAnsi="標楷體"/>
                <w:kern w:val="0"/>
                <w:szCs w:val="24"/>
              </w:rPr>
              <w:t>iris</w:t>
            </w:r>
            <w:r w:rsidRPr="007215CF">
              <w:rPr>
                <w:rFonts w:ascii="標楷體" w:eastAsia="標楷體" w:hAnsi="標楷體"/>
                <w:kern w:val="0"/>
                <w:szCs w:val="24"/>
              </w:rPr>
              <w:fldChar w:fldCharType="end"/>
            </w:r>
            <w:r w:rsidRPr="007215CF">
              <w:rPr>
                <w:rFonts w:ascii="標楷體" w:eastAsia="標楷體" w:hAnsi="標楷體"/>
                <w:kern w:val="0"/>
                <w:szCs w:val="24"/>
              </w:rPr>
              <w:t>or</w:t>
            </w:r>
            <w:hyperlink r:id="rId34" w:tooltip="Uveitis" w:history="1">
              <w:r w:rsidRPr="007215CF">
                <w:rPr>
                  <w:rFonts w:ascii="標楷體" w:eastAsia="標楷體" w:hAnsi="標楷體"/>
                  <w:kern w:val="0"/>
                  <w:szCs w:val="24"/>
                </w:rPr>
                <w:t>uveitis</w:t>
              </w:r>
            </w:hyperlink>
          </w:p>
          <w:p w14:paraId="6A32AF2A" w14:textId="77777777" w:rsidR="00401786" w:rsidRPr="007215CF" w:rsidRDefault="00C64FB3" w:rsidP="002144EC">
            <w:pPr>
              <w:numPr>
                <w:ilvl w:val="0"/>
                <w:numId w:val="110"/>
              </w:numPr>
              <w:snapToGrid w:val="0"/>
              <w:spacing w:line="300" w:lineRule="exact"/>
              <w:rPr>
                <w:szCs w:val="24"/>
              </w:rPr>
            </w:pPr>
            <w:r w:rsidRPr="007215CF">
              <w:rPr>
                <w:rFonts w:ascii="標楷體" w:eastAsia="標楷體" w:hAnsi="標楷體"/>
                <w:kern w:val="0"/>
                <w:szCs w:val="24"/>
              </w:rPr>
              <w:t>發生</w:t>
            </w:r>
            <w:r w:rsidRPr="007215CF">
              <w:rPr>
                <w:szCs w:val="24"/>
              </w:rPr>
              <w:fldChar w:fldCharType="begin"/>
            </w:r>
            <w:r w:rsidRPr="007215CF">
              <w:rPr>
                <w:szCs w:val="24"/>
              </w:rPr>
              <w:instrText>HYPERLINK "http://en.wikipedia.org/wiki/Erythema_nodosum" \o "Erythema nodosum"</w:instrText>
            </w:r>
            <w:r w:rsidRPr="007215CF">
              <w:rPr>
                <w:szCs w:val="24"/>
              </w:rPr>
            </w:r>
            <w:r w:rsidRPr="007215CF">
              <w:rPr>
                <w:szCs w:val="24"/>
              </w:rPr>
              <w:fldChar w:fldCharType="separate"/>
            </w:r>
            <w:r w:rsidRPr="007215CF">
              <w:rPr>
                <w:rFonts w:ascii="標楷體" w:eastAsia="標楷體" w:hAnsi="標楷體"/>
                <w:kern w:val="0"/>
                <w:szCs w:val="24"/>
              </w:rPr>
              <w:t>erythemanodosum</w:t>
            </w:r>
            <w:r w:rsidRPr="007215CF">
              <w:rPr>
                <w:rFonts w:ascii="標楷體" w:eastAsia="標楷體" w:hAnsi="標楷體"/>
                <w:kern w:val="0"/>
                <w:szCs w:val="24"/>
              </w:rPr>
              <w:fldChar w:fldCharType="end"/>
            </w:r>
            <w:r w:rsidRPr="007215CF">
              <w:rPr>
                <w:rFonts w:ascii="標楷體" w:eastAsia="標楷體" w:hAnsi="標楷體"/>
                <w:kern w:val="0"/>
                <w:szCs w:val="24"/>
              </w:rPr>
              <w:t>,</w:t>
            </w:r>
            <w:hyperlink r:id="rId35" w:tooltip="Pyoderma gangrenosum" w:history="1">
              <w:r w:rsidRPr="007215CF">
                <w:rPr>
                  <w:rFonts w:ascii="標楷體" w:eastAsia="標楷體" w:hAnsi="標楷體"/>
                  <w:kern w:val="0"/>
                  <w:szCs w:val="24"/>
                </w:rPr>
                <w:t>pyodermagangrenosum</w:t>
              </w:r>
            </w:hyperlink>
            <w:r w:rsidRPr="007215CF">
              <w:rPr>
                <w:rFonts w:ascii="標楷體" w:eastAsia="標楷體" w:hAnsi="標楷體"/>
                <w:kern w:val="0"/>
                <w:szCs w:val="24"/>
              </w:rPr>
              <w:t>,或</w:t>
            </w:r>
            <w:r w:rsidRPr="007215CF">
              <w:rPr>
                <w:szCs w:val="24"/>
              </w:rPr>
              <w:fldChar w:fldCharType="begin"/>
            </w:r>
            <w:r w:rsidRPr="007215CF">
              <w:rPr>
                <w:szCs w:val="24"/>
              </w:rPr>
              <w:instrText>HYPERLINK "http://en.wikipedia.org/wiki/Mouth_ulcer" \o "Mouth ulcer"</w:instrText>
            </w:r>
            <w:r w:rsidRPr="007215CF">
              <w:rPr>
                <w:szCs w:val="24"/>
              </w:rPr>
            </w:r>
            <w:r w:rsidRPr="007215CF">
              <w:rPr>
                <w:szCs w:val="24"/>
              </w:rPr>
              <w:fldChar w:fldCharType="separate"/>
            </w:r>
            <w:r w:rsidRPr="007215CF">
              <w:rPr>
                <w:rFonts w:ascii="標楷體" w:eastAsia="標楷體" w:hAnsi="標楷體"/>
                <w:kern w:val="0"/>
                <w:szCs w:val="24"/>
              </w:rPr>
              <w:t>aphthousulcers</w:t>
            </w:r>
            <w:r w:rsidRPr="007215CF">
              <w:rPr>
                <w:rFonts w:ascii="標楷體" w:eastAsia="標楷體" w:hAnsi="標楷體"/>
                <w:kern w:val="0"/>
                <w:szCs w:val="24"/>
              </w:rPr>
              <w:fldChar w:fldCharType="end"/>
            </w:r>
          </w:p>
          <w:p w14:paraId="3576D099" w14:textId="77777777" w:rsidR="00401786" w:rsidRPr="007215CF" w:rsidRDefault="00C64FB3" w:rsidP="002144EC">
            <w:pPr>
              <w:numPr>
                <w:ilvl w:val="0"/>
                <w:numId w:val="110"/>
              </w:numPr>
              <w:snapToGrid w:val="0"/>
              <w:spacing w:line="300" w:lineRule="exact"/>
              <w:rPr>
                <w:szCs w:val="24"/>
              </w:rPr>
            </w:pPr>
            <w:r w:rsidRPr="007215CF">
              <w:rPr>
                <w:rFonts w:ascii="標楷體" w:eastAsia="標楷體" w:hAnsi="標楷體"/>
                <w:kern w:val="0"/>
                <w:szCs w:val="24"/>
              </w:rPr>
              <w:t>肛裂或肛門</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管或膿瘍</w:t>
            </w:r>
          </w:p>
          <w:p w14:paraId="2A2D5E77" w14:textId="77777777" w:rsidR="00401786" w:rsidRPr="007215CF" w:rsidRDefault="00C64FB3" w:rsidP="002144EC">
            <w:pPr>
              <w:numPr>
                <w:ilvl w:val="0"/>
                <w:numId w:val="110"/>
              </w:numPr>
              <w:snapToGrid w:val="0"/>
              <w:spacing w:line="300" w:lineRule="exact"/>
              <w:rPr>
                <w:szCs w:val="24"/>
              </w:rPr>
            </w:pPr>
            <w:r w:rsidRPr="007215CF">
              <w:rPr>
                <w:rFonts w:ascii="標楷體" w:eastAsia="標楷體" w:hAnsi="標楷體"/>
                <w:kern w:val="0"/>
                <w:szCs w:val="24"/>
              </w:rPr>
              <w:t>身體其他地方</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w:t>
            </w:r>
          </w:p>
          <w:p w14:paraId="298DCFC0" w14:textId="77777777" w:rsidR="00401786" w:rsidRPr="007215CF" w:rsidRDefault="00C64FB3" w:rsidP="002144EC">
            <w:pPr>
              <w:numPr>
                <w:ilvl w:val="0"/>
                <w:numId w:val="110"/>
              </w:numPr>
              <w:snapToGrid w:val="0"/>
              <w:spacing w:line="300" w:lineRule="exact"/>
              <w:rPr>
                <w:szCs w:val="24"/>
              </w:rPr>
            </w:pPr>
            <w:r w:rsidRPr="007215CF">
              <w:rPr>
                <w:rFonts w:ascii="標楷體" w:eastAsia="標楷體" w:hAnsi="標楷體"/>
                <w:kern w:val="0"/>
                <w:szCs w:val="24"/>
              </w:rPr>
              <w:t>最近</w:t>
            </w:r>
            <w:proofErr w:type="gramStart"/>
            <w:r w:rsidRPr="007215CF">
              <w:rPr>
                <w:rFonts w:ascii="標楷體" w:eastAsia="標楷體" w:hAnsi="標楷體"/>
                <w:kern w:val="0"/>
                <w:szCs w:val="24"/>
              </w:rPr>
              <w:t>一週</w:t>
            </w:r>
            <w:proofErr w:type="gramEnd"/>
            <w:r w:rsidRPr="007215CF">
              <w:rPr>
                <w:rFonts w:ascii="標楷體" w:eastAsia="標楷體" w:hAnsi="標楷體"/>
                <w:kern w:val="0"/>
                <w:szCs w:val="24"/>
              </w:rPr>
              <w:t>內曾有發燒體溫超過38.5℃</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67CE65" w14:textId="77777777" w:rsidR="00401786" w:rsidRPr="007215CF" w:rsidRDefault="00401786" w:rsidP="007215CF">
            <w:pPr>
              <w:snapToGrid w:val="0"/>
              <w:spacing w:line="300" w:lineRule="exact"/>
              <w:rPr>
                <w:rFonts w:ascii="標楷體" w:eastAsia="標楷體" w:hAnsi="標楷體"/>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65C3C4"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5F6439AC" w14:textId="77777777">
        <w:trPr>
          <w:trHeight w:val="563"/>
        </w:trPr>
        <w:tc>
          <w:tcPr>
            <w:tcW w:w="810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DC532"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總分</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02E050" w14:textId="77777777" w:rsidR="00401786" w:rsidRPr="007215CF" w:rsidRDefault="00401786" w:rsidP="007215CF">
            <w:pPr>
              <w:snapToGrid w:val="0"/>
              <w:spacing w:line="300" w:lineRule="exact"/>
              <w:rPr>
                <w:rFonts w:ascii="標楷體" w:eastAsia="標楷體" w:hAnsi="標楷體"/>
                <w:szCs w:val="24"/>
              </w:rPr>
            </w:pPr>
          </w:p>
        </w:tc>
      </w:tr>
    </w:tbl>
    <w:p w14:paraId="230568CF" w14:textId="77777777" w:rsidR="00401786" w:rsidRPr="007215CF" w:rsidRDefault="00401786" w:rsidP="000E757E">
      <w:pPr>
        <w:widowControl/>
        <w:suppressAutoHyphens w:val="0"/>
        <w:spacing w:line="240" w:lineRule="atLeast"/>
        <w:ind w:firstLine="283"/>
        <w:textAlignment w:val="auto"/>
        <w:rPr>
          <w:rFonts w:ascii="標楷體" w:eastAsia="標楷體" w:hAnsi="標楷體"/>
          <w:szCs w:val="24"/>
        </w:rPr>
      </w:pPr>
    </w:p>
    <w:p w14:paraId="21928134" w14:textId="77777777" w:rsidR="00401786" w:rsidRDefault="00401786" w:rsidP="000E757E">
      <w:pPr>
        <w:pageBreakBefore/>
        <w:widowControl/>
        <w:suppressAutoHyphens w:val="0"/>
        <w:spacing w:line="240" w:lineRule="atLeast"/>
        <w:rPr>
          <w:rFonts w:ascii="標楷體" w:eastAsia="標楷體" w:hAnsi="標楷體"/>
          <w:szCs w:val="24"/>
        </w:rPr>
      </w:pPr>
    </w:p>
    <w:p w14:paraId="0C735D9E" w14:textId="77777777" w:rsidR="00401786" w:rsidRPr="005C51CB" w:rsidRDefault="00C64FB3" w:rsidP="000E757E">
      <w:pPr>
        <w:widowControl/>
        <w:suppressAutoHyphens w:val="0"/>
        <w:spacing w:line="240" w:lineRule="atLeast"/>
        <w:ind w:firstLine="283"/>
        <w:jc w:val="center"/>
        <w:textAlignment w:val="auto"/>
        <w:rPr>
          <w:rFonts w:ascii="標楷體" w:eastAsia="標楷體" w:hAnsi="標楷體"/>
          <w:b/>
          <w:bCs/>
          <w:szCs w:val="24"/>
        </w:rPr>
      </w:pPr>
      <w:r w:rsidRPr="005C51CB">
        <w:rPr>
          <w:rFonts w:ascii="標楷體" w:eastAsia="標楷體" w:hAnsi="標楷體"/>
          <w:b/>
          <w:bCs/>
          <w:szCs w:val="24"/>
        </w:rPr>
        <w:t>附表二十六之三</w:t>
      </w:r>
    </w:p>
    <w:p w14:paraId="40DB32F1" w14:textId="77777777" w:rsidR="00401786" w:rsidRDefault="00C64FB3" w:rsidP="000E757E">
      <w:pPr>
        <w:widowControl/>
        <w:suppressAutoHyphens w:val="0"/>
        <w:spacing w:line="240" w:lineRule="atLeast"/>
        <w:ind w:firstLine="283"/>
        <w:jc w:val="center"/>
        <w:textAlignment w:val="auto"/>
        <w:rPr>
          <w:rFonts w:ascii="標楷體" w:eastAsia="標楷體" w:hAnsi="標楷體"/>
          <w:szCs w:val="24"/>
        </w:rPr>
      </w:pPr>
      <w:r w:rsidRPr="005C51CB">
        <w:rPr>
          <w:rFonts w:ascii="標楷體" w:eastAsia="標楷體" w:hAnsi="標楷體"/>
          <w:b/>
          <w:bCs/>
          <w:szCs w:val="24"/>
        </w:rPr>
        <w:t>全民健康保險小兒克隆氏症使用adalimumab、infliximab、</w:t>
      </w:r>
      <w:proofErr w:type="spellStart"/>
      <w:r w:rsidRPr="005C51CB">
        <w:rPr>
          <w:rFonts w:ascii="標楷體" w:eastAsia="標楷體" w:hAnsi="標楷體"/>
          <w:b/>
          <w:bCs/>
          <w:szCs w:val="24"/>
        </w:rPr>
        <w:t>risankizumab</w:t>
      </w:r>
      <w:proofErr w:type="spellEnd"/>
      <w:r w:rsidRPr="005C51CB">
        <w:rPr>
          <w:rFonts w:ascii="標楷體" w:eastAsia="標楷體" w:hAnsi="標楷體"/>
          <w:b/>
          <w:bCs/>
          <w:szCs w:val="24"/>
        </w:rPr>
        <w:t>申請</w:t>
      </w:r>
      <w:r>
        <w:rPr>
          <w:rFonts w:ascii="標楷體" w:eastAsia="標楷體" w:hAnsi="標楷體"/>
          <w:szCs w:val="24"/>
        </w:rPr>
        <w:t>表</w:t>
      </w:r>
    </w:p>
    <w:tbl>
      <w:tblPr>
        <w:tblW w:w="9695" w:type="dxa"/>
        <w:tblInd w:w="261" w:type="dxa"/>
        <w:tblLayout w:type="fixed"/>
        <w:tblCellMar>
          <w:left w:w="10" w:type="dxa"/>
          <w:right w:w="10" w:type="dxa"/>
        </w:tblCellMar>
        <w:tblLook w:val="0000" w:firstRow="0" w:lastRow="0" w:firstColumn="0" w:lastColumn="0" w:noHBand="0" w:noVBand="0"/>
      </w:tblPr>
      <w:tblGrid>
        <w:gridCol w:w="51"/>
        <w:gridCol w:w="1477"/>
        <w:gridCol w:w="1547"/>
        <w:gridCol w:w="1408"/>
        <w:gridCol w:w="1601"/>
        <w:gridCol w:w="1050"/>
        <w:gridCol w:w="2492"/>
        <w:gridCol w:w="69"/>
      </w:tblGrid>
      <w:tr w:rsidR="00401786" w14:paraId="01827815" w14:textId="77777777">
        <w:trPr>
          <w:trHeight w:val="376"/>
        </w:trPr>
        <w:tc>
          <w:tcPr>
            <w:tcW w:w="51" w:type="dxa"/>
            <w:shd w:val="clear" w:color="auto" w:fill="auto"/>
            <w:tcMar>
              <w:top w:w="0" w:type="dxa"/>
              <w:left w:w="10" w:type="dxa"/>
              <w:bottom w:w="0" w:type="dxa"/>
              <w:right w:w="10" w:type="dxa"/>
            </w:tcMar>
          </w:tcPr>
          <w:p w14:paraId="343E1866" w14:textId="77777777" w:rsidR="00401786" w:rsidRDefault="00401786" w:rsidP="000E757E">
            <w:pPr>
              <w:suppressAutoHyphens w:val="0"/>
              <w:autoSpaceDE w:val="0"/>
              <w:spacing w:line="240" w:lineRule="atLeast"/>
              <w:textAlignment w:val="auto"/>
            </w:pPr>
          </w:p>
        </w:tc>
        <w:tc>
          <w:tcPr>
            <w:tcW w:w="1477" w:type="dxa"/>
            <w:tcBorders>
              <w:top w:val="single" w:sz="18" w:space="0" w:color="000000"/>
              <w:left w:val="single" w:sz="18" w:space="0" w:color="000000"/>
              <w:bottom w:val="single" w:sz="6" w:space="0" w:color="000000"/>
              <w:right w:val="single" w:sz="6" w:space="0" w:color="000000"/>
            </w:tcBorders>
            <w:shd w:val="clear" w:color="auto" w:fill="FFFFFF"/>
            <w:tcMar>
              <w:top w:w="0" w:type="dxa"/>
              <w:left w:w="28" w:type="dxa"/>
              <w:bottom w:w="0" w:type="dxa"/>
              <w:right w:w="28" w:type="dxa"/>
            </w:tcMar>
          </w:tcPr>
          <w:p w14:paraId="4D3ADA85"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醫院代號</w:t>
            </w:r>
          </w:p>
        </w:tc>
        <w:tc>
          <w:tcPr>
            <w:tcW w:w="1547"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65DDF582"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0F206A39"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醫院名稱</w:t>
            </w:r>
          </w:p>
        </w:tc>
        <w:tc>
          <w:tcPr>
            <w:tcW w:w="1601"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6997D90F"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016EF1D0"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申請日期</w:t>
            </w:r>
          </w:p>
        </w:tc>
        <w:tc>
          <w:tcPr>
            <w:tcW w:w="2492" w:type="dxa"/>
            <w:tcBorders>
              <w:top w:val="single" w:sz="18" w:space="0" w:color="000000"/>
              <w:left w:val="single" w:sz="6" w:space="0" w:color="000000"/>
              <w:bottom w:val="single" w:sz="6" w:space="0" w:color="000000"/>
              <w:right w:val="single" w:sz="18" w:space="0" w:color="000000"/>
            </w:tcBorders>
            <w:shd w:val="clear" w:color="auto" w:fill="FFFFFF"/>
            <w:tcMar>
              <w:top w:w="0" w:type="dxa"/>
              <w:left w:w="28" w:type="dxa"/>
              <w:bottom w:w="0" w:type="dxa"/>
              <w:right w:w="28" w:type="dxa"/>
            </w:tcMar>
          </w:tcPr>
          <w:p w14:paraId="183F787B"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69" w:type="dxa"/>
            <w:shd w:val="clear" w:color="auto" w:fill="auto"/>
            <w:tcMar>
              <w:top w:w="0" w:type="dxa"/>
              <w:left w:w="10" w:type="dxa"/>
              <w:bottom w:w="0" w:type="dxa"/>
              <w:right w:w="10" w:type="dxa"/>
            </w:tcMar>
          </w:tcPr>
          <w:p w14:paraId="55FDB7D6"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r>
      <w:tr w:rsidR="00401786" w14:paraId="29E337F2" w14:textId="77777777">
        <w:trPr>
          <w:trHeight w:val="332"/>
        </w:trPr>
        <w:tc>
          <w:tcPr>
            <w:tcW w:w="51" w:type="dxa"/>
            <w:shd w:val="clear" w:color="auto" w:fill="auto"/>
            <w:tcMar>
              <w:top w:w="0" w:type="dxa"/>
              <w:left w:w="10" w:type="dxa"/>
              <w:bottom w:w="0" w:type="dxa"/>
              <w:right w:w="10" w:type="dxa"/>
            </w:tcMar>
          </w:tcPr>
          <w:p w14:paraId="054565A5" w14:textId="77777777" w:rsidR="00401786" w:rsidRDefault="00401786" w:rsidP="000E757E">
            <w:pPr>
              <w:suppressAutoHyphens w:val="0"/>
              <w:autoSpaceDE w:val="0"/>
              <w:spacing w:line="240" w:lineRule="atLeast"/>
              <w:textAlignment w:val="auto"/>
            </w:pPr>
          </w:p>
        </w:tc>
        <w:tc>
          <w:tcPr>
            <w:tcW w:w="1477" w:type="dxa"/>
            <w:tcBorders>
              <w:top w:val="single" w:sz="6" w:space="0" w:color="000000"/>
              <w:left w:val="single" w:sz="18" w:space="0" w:color="000000"/>
              <w:bottom w:val="single" w:sz="6" w:space="0" w:color="000000"/>
              <w:right w:val="single" w:sz="6" w:space="0" w:color="000000"/>
            </w:tcBorders>
            <w:shd w:val="clear" w:color="auto" w:fill="FFFFFF"/>
            <w:tcMar>
              <w:top w:w="0" w:type="dxa"/>
              <w:left w:w="28" w:type="dxa"/>
              <w:bottom w:w="0" w:type="dxa"/>
              <w:right w:w="28" w:type="dxa"/>
            </w:tcMar>
          </w:tcPr>
          <w:p w14:paraId="52591E45"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3FEB0C4C"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3743A849"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399BC8D8"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2874D585"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出生日期</w:t>
            </w:r>
          </w:p>
        </w:tc>
        <w:tc>
          <w:tcPr>
            <w:tcW w:w="2492" w:type="dxa"/>
            <w:tcBorders>
              <w:top w:val="single" w:sz="6" w:space="0" w:color="000000"/>
              <w:left w:val="single" w:sz="6" w:space="0" w:color="000000"/>
              <w:bottom w:val="single" w:sz="6" w:space="0" w:color="000000"/>
              <w:right w:val="single" w:sz="18" w:space="0" w:color="000000"/>
            </w:tcBorders>
            <w:shd w:val="clear" w:color="auto" w:fill="FFFFFF"/>
            <w:tcMar>
              <w:top w:w="0" w:type="dxa"/>
              <w:left w:w="28" w:type="dxa"/>
              <w:bottom w:w="0" w:type="dxa"/>
              <w:right w:w="28" w:type="dxa"/>
            </w:tcMar>
          </w:tcPr>
          <w:p w14:paraId="25301AFF"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69" w:type="dxa"/>
            <w:shd w:val="clear" w:color="auto" w:fill="auto"/>
            <w:tcMar>
              <w:top w:w="0" w:type="dxa"/>
              <w:left w:w="10" w:type="dxa"/>
              <w:bottom w:w="0" w:type="dxa"/>
              <w:right w:w="10" w:type="dxa"/>
            </w:tcMar>
          </w:tcPr>
          <w:p w14:paraId="41886DA5"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r>
      <w:tr w:rsidR="00401786" w14:paraId="368E3813" w14:textId="77777777">
        <w:trPr>
          <w:trHeight w:val="356"/>
        </w:trPr>
        <w:tc>
          <w:tcPr>
            <w:tcW w:w="51" w:type="dxa"/>
            <w:shd w:val="clear" w:color="auto" w:fill="auto"/>
            <w:tcMar>
              <w:top w:w="0" w:type="dxa"/>
              <w:left w:w="10" w:type="dxa"/>
              <w:bottom w:w="0" w:type="dxa"/>
              <w:right w:w="10" w:type="dxa"/>
            </w:tcMar>
          </w:tcPr>
          <w:p w14:paraId="0CE61310" w14:textId="77777777" w:rsidR="00401786" w:rsidRDefault="00401786" w:rsidP="000E757E">
            <w:pPr>
              <w:suppressAutoHyphens w:val="0"/>
              <w:autoSpaceDE w:val="0"/>
              <w:spacing w:line="240" w:lineRule="atLeast"/>
              <w:textAlignment w:val="auto"/>
            </w:pPr>
          </w:p>
        </w:tc>
        <w:tc>
          <w:tcPr>
            <w:tcW w:w="1477" w:type="dxa"/>
            <w:tcBorders>
              <w:top w:val="single" w:sz="6" w:space="0" w:color="000000"/>
              <w:left w:val="single" w:sz="18" w:space="0" w:color="000000"/>
              <w:bottom w:val="single" w:sz="6" w:space="0" w:color="000000"/>
              <w:right w:val="single" w:sz="6" w:space="0" w:color="000000"/>
            </w:tcBorders>
            <w:shd w:val="clear" w:color="auto" w:fill="FFFFFF"/>
            <w:tcMar>
              <w:top w:w="0" w:type="dxa"/>
              <w:left w:w="28" w:type="dxa"/>
              <w:bottom w:w="0" w:type="dxa"/>
              <w:right w:w="28" w:type="dxa"/>
            </w:tcMar>
          </w:tcPr>
          <w:p w14:paraId="7175FF9C"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56DC09B8"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526DB009"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55071B17"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vMerge w:val="restart"/>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vAlign w:val="center"/>
          </w:tcPr>
          <w:p w14:paraId="0CA728AF"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使用期間</w:t>
            </w:r>
          </w:p>
        </w:tc>
        <w:tc>
          <w:tcPr>
            <w:tcW w:w="2492" w:type="dxa"/>
            <w:tcBorders>
              <w:top w:val="single" w:sz="6" w:space="0" w:color="000000"/>
              <w:left w:val="single" w:sz="6" w:space="0" w:color="000000"/>
              <w:bottom w:val="single" w:sz="6" w:space="0" w:color="000000"/>
              <w:right w:val="single" w:sz="18" w:space="0" w:color="000000"/>
            </w:tcBorders>
            <w:shd w:val="clear" w:color="auto" w:fill="FFFFFF"/>
            <w:tcMar>
              <w:top w:w="0" w:type="dxa"/>
              <w:left w:w="28" w:type="dxa"/>
              <w:bottom w:w="0" w:type="dxa"/>
              <w:right w:w="28" w:type="dxa"/>
            </w:tcMar>
          </w:tcPr>
          <w:p w14:paraId="03D08790"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自　　年　　月　　日</w:t>
            </w:r>
          </w:p>
        </w:tc>
        <w:tc>
          <w:tcPr>
            <w:tcW w:w="69" w:type="dxa"/>
            <w:shd w:val="clear" w:color="auto" w:fill="auto"/>
            <w:tcMar>
              <w:top w:w="0" w:type="dxa"/>
              <w:left w:w="10" w:type="dxa"/>
              <w:bottom w:w="0" w:type="dxa"/>
              <w:right w:w="10" w:type="dxa"/>
            </w:tcMar>
          </w:tcPr>
          <w:p w14:paraId="71ED4573" w14:textId="77777777" w:rsidR="00401786" w:rsidRDefault="00401786" w:rsidP="000E757E">
            <w:pPr>
              <w:suppressAutoHyphens w:val="0"/>
              <w:autoSpaceDE w:val="0"/>
              <w:spacing w:line="240" w:lineRule="atLeast"/>
              <w:textAlignment w:val="auto"/>
            </w:pPr>
          </w:p>
        </w:tc>
      </w:tr>
      <w:tr w:rsidR="00401786" w14:paraId="28CEFA78" w14:textId="77777777">
        <w:trPr>
          <w:trHeight w:val="337"/>
        </w:trPr>
        <w:tc>
          <w:tcPr>
            <w:tcW w:w="51" w:type="dxa"/>
            <w:shd w:val="clear" w:color="auto" w:fill="auto"/>
            <w:tcMar>
              <w:top w:w="0" w:type="dxa"/>
              <w:left w:w="10" w:type="dxa"/>
              <w:bottom w:w="0" w:type="dxa"/>
              <w:right w:w="10" w:type="dxa"/>
            </w:tcMar>
          </w:tcPr>
          <w:p w14:paraId="090A0EF1" w14:textId="77777777" w:rsidR="00401786" w:rsidRDefault="00401786" w:rsidP="000E757E">
            <w:pPr>
              <w:suppressAutoHyphens w:val="0"/>
              <w:autoSpaceDE w:val="0"/>
              <w:spacing w:line="240" w:lineRule="atLeast"/>
              <w:textAlignment w:val="auto"/>
            </w:pPr>
          </w:p>
        </w:tc>
        <w:tc>
          <w:tcPr>
            <w:tcW w:w="1477" w:type="dxa"/>
            <w:tcBorders>
              <w:top w:val="single" w:sz="6" w:space="0" w:color="000000"/>
              <w:left w:val="single" w:sz="18" w:space="0" w:color="000000"/>
              <w:bottom w:val="single" w:sz="18" w:space="0" w:color="000000"/>
              <w:right w:val="single" w:sz="6" w:space="0" w:color="000000"/>
            </w:tcBorders>
            <w:shd w:val="clear" w:color="auto" w:fill="FFFFFF"/>
            <w:tcMar>
              <w:top w:w="0" w:type="dxa"/>
              <w:left w:w="28" w:type="dxa"/>
              <w:bottom w:w="0" w:type="dxa"/>
              <w:right w:w="28" w:type="dxa"/>
            </w:tcMar>
          </w:tcPr>
          <w:p w14:paraId="61EBE574"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藥品代碼</w:t>
            </w:r>
          </w:p>
        </w:tc>
        <w:tc>
          <w:tcPr>
            <w:tcW w:w="1547" w:type="dxa"/>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tcPr>
          <w:p w14:paraId="31CE6BEF"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tcPr>
          <w:p w14:paraId="570F6CAA"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用法用量</w:t>
            </w:r>
          </w:p>
        </w:tc>
        <w:tc>
          <w:tcPr>
            <w:tcW w:w="1601" w:type="dxa"/>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tcPr>
          <w:p w14:paraId="05C8A27C"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vMerge/>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vAlign w:val="center"/>
          </w:tcPr>
          <w:p w14:paraId="7D0E11A9" w14:textId="77777777" w:rsidR="00401786" w:rsidRDefault="00401786" w:rsidP="000E757E">
            <w:pPr>
              <w:suppressAutoHyphens w:val="0"/>
              <w:autoSpaceDE w:val="0"/>
              <w:spacing w:after="200" w:line="240" w:lineRule="atLeast"/>
              <w:textAlignment w:val="auto"/>
              <w:rPr>
                <w:rFonts w:ascii="標楷體" w:eastAsia="標楷體" w:hAnsi="標楷體"/>
                <w:kern w:val="0"/>
                <w:sz w:val="22"/>
                <w:lang w:val="zh-TW"/>
              </w:rPr>
            </w:pPr>
          </w:p>
        </w:tc>
        <w:tc>
          <w:tcPr>
            <w:tcW w:w="2492" w:type="dxa"/>
            <w:tcBorders>
              <w:top w:val="single" w:sz="6" w:space="0" w:color="000000"/>
              <w:left w:val="single" w:sz="6" w:space="0" w:color="000000"/>
              <w:bottom w:val="single" w:sz="18" w:space="0" w:color="000000"/>
              <w:right w:val="single" w:sz="18" w:space="0" w:color="000000"/>
            </w:tcBorders>
            <w:shd w:val="clear" w:color="auto" w:fill="FFFFFF"/>
            <w:tcMar>
              <w:top w:w="0" w:type="dxa"/>
              <w:left w:w="28" w:type="dxa"/>
              <w:bottom w:w="0" w:type="dxa"/>
              <w:right w:w="28" w:type="dxa"/>
            </w:tcMar>
          </w:tcPr>
          <w:p w14:paraId="1FC87D74"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至　　年　　月　　日</w:t>
            </w:r>
          </w:p>
        </w:tc>
        <w:tc>
          <w:tcPr>
            <w:tcW w:w="69" w:type="dxa"/>
            <w:shd w:val="clear" w:color="auto" w:fill="auto"/>
            <w:tcMar>
              <w:top w:w="0" w:type="dxa"/>
              <w:left w:w="10" w:type="dxa"/>
              <w:bottom w:w="0" w:type="dxa"/>
              <w:right w:w="10" w:type="dxa"/>
            </w:tcMar>
          </w:tcPr>
          <w:p w14:paraId="698184C2" w14:textId="77777777" w:rsidR="00401786" w:rsidRDefault="00401786" w:rsidP="000E757E">
            <w:pPr>
              <w:suppressAutoHyphens w:val="0"/>
              <w:autoSpaceDE w:val="0"/>
              <w:spacing w:line="240" w:lineRule="atLeast"/>
              <w:textAlignment w:val="auto"/>
            </w:pPr>
          </w:p>
        </w:tc>
      </w:tr>
      <w:tr w:rsidR="00401786" w14:paraId="2EA52BDC" w14:textId="77777777">
        <w:trPr>
          <w:trHeight w:val="11003"/>
        </w:trPr>
        <w:tc>
          <w:tcPr>
            <w:tcW w:w="9695" w:type="dxa"/>
            <w:gridSpan w:val="8"/>
            <w:tcBorders>
              <w:top w:val="single" w:sz="12" w:space="0" w:color="000000"/>
              <w:left w:val="single" w:sz="12" w:space="0" w:color="000000"/>
              <w:bottom w:val="single" w:sz="12" w:space="0" w:color="000000"/>
              <w:right w:val="single" w:sz="12" w:space="0" w:color="000000"/>
            </w:tcBorders>
            <w:shd w:val="clear" w:color="auto" w:fill="FFFFFF"/>
            <w:tcMar>
              <w:top w:w="0" w:type="dxa"/>
              <w:left w:w="108" w:type="dxa"/>
              <w:bottom w:w="0" w:type="dxa"/>
              <w:right w:w="108" w:type="dxa"/>
            </w:tcMar>
          </w:tcPr>
          <w:p w14:paraId="276B87F7" w14:textId="77777777" w:rsidR="00401786" w:rsidRDefault="00C64FB3" w:rsidP="000E757E">
            <w:pPr>
              <w:widowControl/>
              <w:suppressAutoHyphens w:val="0"/>
              <w:autoSpaceDE w:val="0"/>
              <w:spacing w:before="202" w:line="240" w:lineRule="atLeast"/>
              <w:textAlignment w:val="auto"/>
              <w:rPr>
                <w:rFonts w:ascii="標楷體" w:eastAsia="標楷體" w:hAnsi="標楷體" w:cs="新細明體"/>
                <w:b/>
                <w:bCs/>
                <w:kern w:val="0"/>
                <w:szCs w:val="24"/>
                <w:lang w:val="zh-TW"/>
              </w:rPr>
            </w:pPr>
            <w:r>
              <w:rPr>
                <w:rFonts w:ascii="標楷體" w:eastAsia="標楷體" w:hAnsi="標楷體" w:cs="新細明體"/>
                <w:b/>
                <w:bCs/>
                <w:kern w:val="0"/>
                <w:szCs w:val="24"/>
                <w:lang w:val="zh-TW"/>
              </w:rPr>
              <w:t>□符合下列所有條件：</w:t>
            </w:r>
          </w:p>
          <w:p w14:paraId="634BD550" w14:textId="77777777" w:rsidR="00401786" w:rsidRDefault="00C64FB3" w:rsidP="000E757E">
            <w:pPr>
              <w:widowControl/>
              <w:suppressAutoHyphens w:val="0"/>
              <w:autoSpaceDE w:val="0"/>
              <w:spacing w:line="240" w:lineRule="atLeast"/>
              <w:ind w:left="480"/>
              <w:textAlignment w:val="auto"/>
            </w:pPr>
            <w:r>
              <w:rPr>
                <w:rFonts w:ascii="標楷體" w:eastAsia="標楷體" w:hAnsi="標楷體" w:cs="新細明體"/>
                <w:bCs/>
                <w:kern w:val="0"/>
                <w:szCs w:val="24"/>
                <w:lang w:val="zh-TW"/>
              </w:rPr>
              <w:t>□</w:t>
            </w:r>
            <w:r>
              <w:rPr>
                <w:rFonts w:ascii="標楷體" w:eastAsia="標楷體" w:hAnsi="標楷體" w:cs="新細明體"/>
                <w:kern w:val="0"/>
                <w:szCs w:val="24"/>
              </w:rPr>
              <w:t>六歲(</w:t>
            </w:r>
            <w:r>
              <w:rPr>
                <w:rFonts w:ascii="標楷體" w:eastAsia="標楷體" w:hAnsi="標楷體" w:cs="新細明體"/>
                <w:kern w:val="0"/>
                <w:szCs w:val="24"/>
                <w:lang w:val="zh-TW"/>
              </w:rPr>
              <w:t>含</w:t>
            </w:r>
            <w:r>
              <w:rPr>
                <w:rFonts w:ascii="標楷體" w:eastAsia="標楷體" w:hAnsi="標楷體" w:cs="新細明體"/>
                <w:kern w:val="0"/>
                <w:szCs w:val="24"/>
              </w:rPr>
              <w:t>)</w:t>
            </w:r>
            <w:r>
              <w:rPr>
                <w:rFonts w:ascii="標楷體" w:eastAsia="標楷體" w:hAnsi="標楷體" w:cs="新細明體"/>
                <w:kern w:val="0"/>
                <w:szCs w:val="24"/>
                <w:lang w:val="zh-TW"/>
              </w:rPr>
              <w:t>以上診斷為小兒克隆氏症。</w:t>
            </w:r>
            <w:r>
              <w:rPr>
                <w:rFonts w:ascii="標楷體" w:eastAsia="標楷體" w:hAnsi="標楷體" w:cs="新細明體"/>
                <w:kern w:val="0"/>
                <w:szCs w:val="24"/>
              </w:rPr>
              <w:t xml:space="preserve"> </w:t>
            </w:r>
          </w:p>
          <w:p w14:paraId="6F433BF2" w14:textId="77777777" w:rsidR="00401786" w:rsidRDefault="00C64FB3" w:rsidP="000E757E">
            <w:pPr>
              <w:widowControl/>
              <w:suppressAutoHyphens w:val="0"/>
              <w:autoSpaceDE w:val="0"/>
              <w:spacing w:line="240" w:lineRule="atLeast"/>
              <w:ind w:left="480"/>
              <w:textAlignment w:val="auto"/>
            </w:pPr>
            <w:r>
              <w:rPr>
                <w:rFonts w:ascii="標楷體" w:eastAsia="標楷體" w:hAnsi="標楷體" w:cs="新細明體"/>
                <w:bCs/>
                <w:kern w:val="0"/>
                <w:szCs w:val="24"/>
                <w:lang w:val="zh-TW"/>
              </w:rPr>
              <w:t>□</w:t>
            </w:r>
            <w:r>
              <w:rPr>
                <w:rFonts w:ascii="標楷體" w:eastAsia="標楷體" w:hAnsi="標楷體" w:cs="新細明體"/>
                <w:kern w:val="0"/>
                <w:szCs w:val="24"/>
                <w:lang w:val="zh-TW"/>
              </w:rPr>
              <w:t>符合下列條件之一，且附上影像診斷評估報告。</w:t>
            </w:r>
          </w:p>
          <w:p w14:paraId="015FA39C" w14:textId="77777777" w:rsidR="00401786" w:rsidRDefault="00C64FB3" w:rsidP="000E757E">
            <w:pPr>
              <w:suppressAutoHyphens w:val="0"/>
              <w:autoSpaceDE w:val="0"/>
              <w:spacing w:line="240" w:lineRule="atLeast"/>
              <w:textAlignment w:val="auto"/>
            </w:pPr>
            <w:r>
              <w:rPr>
                <w:rFonts w:ascii="標楷體" w:eastAsia="標楷體" w:hAnsi="標楷體" w:cs="新細明體"/>
                <w:bCs/>
                <w:kern w:val="0"/>
                <w:szCs w:val="24"/>
                <w:lang w:val="zh-TW"/>
              </w:rPr>
              <w:t xml:space="preserve">        □</w:t>
            </w:r>
            <w:r>
              <w:rPr>
                <w:rFonts w:ascii="標楷體" w:eastAsia="標楷體" w:hAnsi="標楷體"/>
                <w:kern w:val="0"/>
                <w:szCs w:val="24"/>
                <w:lang w:val="zh-TW"/>
              </w:rPr>
              <w:t>一、經類固醇、及</w:t>
            </w:r>
            <w:r>
              <w:rPr>
                <w:rFonts w:ascii="標楷體" w:eastAsia="標楷體" w:hAnsi="標楷體"/>
                <w:kern w:val="0"/>
                <w:szCs w:val="24"/>
              </w:rPr>
              <w:t>/</w:t>
            </w:r>
            <w:r>
              <w:rPr>
                <w:rFonts w:ascii="標楷體" w:eastAsia="標楷體" w:hAnsi="標楷體"/>
                <w:kern w:val="0"/>
                <w:szCs w:val="24"/>
                <w:lang w:val="zh-TW"/>
              </w:rPr>
              <w:t>或免疫抑制劑充分治療超過三個月，仍然無法控制病情</w:t>
            </w:r>
          </w:p>
          <w:p w14:paraId="4D145257" w14:textId="77777777" w:rsidR="00401786" w:rsidRDefault="00C64FB3" w:rsidP="000E757E">
            <w:pPr>
              <w:suppressAutoHyphens w:val="0"/>
              <w:autoSpaceDE w:val="0"/>
              <w:spacing w:line="240" w:lineRule="atLeast"/>
              <w:ind w:left="1157" w:firstLine="480"/>
              <w:textAlignment w:val="auto"/>
            </w:pPr>
            <w:r>
              <w:rPr>
                <w:rFonts w:ascii="標楷體" w:eastAsia="標楷體" w:hAnsi="標楷體"/>
                <w:kern w:val="0"/>
                <w:szCs w:val="24"/>
              </w:rPr>
              <w:t>(PCDAI</w:t>
            </w:r>
            <w:r>
              <w:rPr>
                <w:rFonts w:ascii="Times New Roman" w:eastAsia="標楷體" w:hAnsi="Times New Roman"/>
                <w:kern w:val="0"/>
                <w:szCs w:val="24"/>
                <w:lang w:val="zh-TW"/>
              </w:rPr>
              <w:t>≥</w:t>
            </w:r>
            <w:r>
              <w:rPr>
                <w:rFonts w:ascii="標楷體" w:eastAsia="標楷體" w:hAnsi="標楷體"/>
                <w:kern w:val="0"/>
                <w:szCs w:val="24"/>
              </w:rPr>
              <w:t>30</w:t>
            </w:r>
            <w:r>
              <w:rPr>
                <w:rFonts w:ascii="標楷體" w:eastAsia="標楷體" w:hAnsi="標楷體"/>
                <w:kern w:val="0"/>
                <w:szCs w:val="24"/>
                <w:lang w:val="zh-TW"/>
              </w:rPr>
              <w:t>或產生過敏或其他嚴重藥物副作用時。</w:t>
            </w:r>
          </w:p>
          <w:p w14:paraId="1FA7B611"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lang w:val="zh-TW"/>
              </w:rPr>
              <w:t xml:space="preserve">             □</w:t>
            </w:r>
            <w:r>
              <w:rPr>
                <w:rFonts w:ascii="標楷體" w:eastAsia="標楷體" w:hAnsi="標楷體" w:cs="新細明體"/>
                <w:kern w:val="0"/>
                <w:szCs w:val="24"/>
                <w:lang w:val="zh-TW"/>
              </w:rPr>
              <w:t>無法控制病情</w:t>
            </w:r>
            <w:proofErr w:type="gramStart"/>
            <w:r>
              <w:rPr>
                <w:rFonts w:ascii="標楷體" w:eastAsia="標楷體" w:hAnsi="標楷體" w:cs="新細明體"/>
                <w:kern w:val="0"/>
                <w:szCs w:val="24"/>
                <w:lang w:val="zh-TW"/>
              </w:rPr>
              <w:t>（</w:t>
            </w:r>
            <w:proofErr w:type="gramEnd"/>
            <w:r>
              <w:rPr>
                <w:rFonts w:ascii="標楷體" w:eastAsia="標楷體" w:hAnsi="標楷體" w:cs="新細明體"/>
                <w:kern w:val="0"/>
                <w:szCs w:val="24"/>
              </w:rPr>
              <w:t>PCDAI</w:t>
            </w:r>
            <w:r>
              <w:rPr>
                <w:rFonts w:ascii="標楷體" w:eastAsia="標楷體" w:hAnsi="標楷體" w:cs="新細明體"/>
                <w:kern w:val="0"/>
                <w:szCs w:val="24"/>
                <w:lang w:val="zh-TW"/>
              </w:rPr>
              <w:t>分數：</w:t>
            </w:r>
            <w:r>
              <w:rPr>
                <w:rFonts w:ascii="標楷體" w:eastAsia="標楷體" w:hAnsi="標楷體" w:cs="新細明體"/>
                <w:kern w:val="0"/>
                <w:szCs w:val="24"/>
              </w:rPr>
              <w:t>_______</w:t>
            </w:r>
            <w:proofErr w:type="gramStart"/>
            <w:r>
              <w:rPr>
                <w:rFonts w:ascii="標楷體" w:eastAsia="標楷體" w:hAnsi="標楷體" w:cs="新細明體"/>
                <w:kern w:val="0"/>
                <w:szCs w:val="24"/>
                <w:lang w:val="zh-TW"/>
              </w:rPr>
              <w:t>）</w:t>
            </w:r>
            <w:proofErr w:type="gramEnd"/>
          </w:p>
          <w:p w14:paraId="00005CAF"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lang w:val="zh-TW"/>
              </w:rPr>
              <w:t xml:space="preserve">             □</w:t>
            </w:r>
            <w:r>
              <w:rPr>
                <w:rFonts w:ascii="標楷體" w:eastAsia="標楷體" w:hAnsi="標楷體" w:cs="新細明體"/>
                <w:kern w:val="0"/>
                <w:szCs w:val="24"/>
                <w:lang w:val="zh-TW"/>
              </w:rPr>
              <w:t>產生嚴重藥物副作用：藥名</w:t>
            </w:r>
            <w:r>
              <w:rPr>
                <w:rFonts w:ascii="標楷體" w:eastAsia="標楷體" w:hAnsi="標楷體" w:cs="新細明體"/>
                <w:kern w:val="0"/>
                <w:szCs w:val="24"/>
              </w:rPr>
              <w:t>_________________</w:t>
            </w:r>
            <w:r>
              <w:rPr>
                <w:rFonts w:ascii="標楷體" w:eastAsia="標楷體" w:hAnsi="標楷體" w:cs="新細明體"/>
                <w:kern w:val="0"/>
                <w:szCs w:val="24"/>
                <w:lang w:val="zh-TW"/>
              </w:rPr>
              <w:t>時間</w:t>
            </w:r>
            <w:r>
              <w:rPr>
                <w:rFonts w:ascii="標楷體" w:eastAsia="標楷體" w:hAnsi="標楷體" w:cs="新細明體"/>
                <w:kern w:val="0"/>
                <w:szCs w:val="24"/>
              </w:rPr>
              <w:t>__________</w:t>
            </w:r>
          </w:p>
          <w:p w14:paraId="28F04306"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 xml:space="preserve">                  副作用說明</w:t>
            </w:r>
            <w:r>
              <w:rPr>
                <w:rFonts w:ascii="標楷體" w:eastAsia="標楷體" w:hAnsi="標楷體"/>
                <w:kern w:val="0"/>
                <w:szCs w:val="24"/>
              </w:rPr>
              <w:t>：___________________________</w:t>
            </w:r>
          </w:p>
          <w:p w14:paraId="2447FF6B" w14:textId="77777777" w:rsidR="00401786" w:rsidRDefault="00C64FB3" w:rsidP="000E757E">
            <w:pPr>
              <w:suppressAutoHyphens w:val="0"/>
              <w:autoSpaceDE w:val="0"/>
              <w:spacing w:line="240" w:lineRule="atLeast"/>
              <w:ind w:left="1440" w:hanging="1440"/>
              <w:textAlignment w:val="auto"/>
            </w:pPr>
            <w:r>
              <w:rPr>
                <w:rFonts w:ascii="標楷體" w:eastAsia="標楷體" w:hAnsi="標楷體" w:cs="新細明體"/>
                <w:bCs/>
                <w:kern w:val="0"/>
                <w:szCs w:val="24"/>
              </w:rPr>
              <w:t xml:space="preserve">        □</w:t>
            </w:r>
            <w:r>
              <w:rPr>
                <w:rFonts w:ascii="標楷體" w:eastAsia="標楷體" w:hAnsi="標楷體"/>
                <w:kern w:val="0"/>
                <w:szCs w:val="24"/>
                <w:lang w:val="zh-TW"/>
              </w:rPr>
              <w:t>二、小兒克隆氏症病童腹部或肛門</w:t>
            </w:r>
            <w:proofErr w:type="gramStart"/>
            <w:r>
              <w:rPr>
                <w:rFonts w:ascii="標楷體" w:eastAsia="標楷體" w:hAnsi="標楷體"/>
                <w:kern w:val="0"/>
                <w:szCs w:val="24"/>
                <w:lang w:val="zh-TW"/>
              </w:rPr>
              <w:t>廔</w:t>
            </w:r>
            <w:proofErr w:type="gramEnd"/>
            <w:r>
              <w:rPr>
                <w:rFonts w:ascii="標楷體" w:eastAsia="標楷體" w:hAnsi="標楷體"/>
                <w:kern w:val="0"/>
                <w:szCs w:val="24"/>
                <w:lang w:val="zh-TW"/>
              </w:rPr>
              <w:t>管合併生長遲緩者</w:t>
            </w:r>
            <w:r>
              <w:rPr>
                <w:rFonts w:ascii="標楷體" w:eastAsia="標楷體" w:hAnsi="標楷體"/>
                <w:kern w:val="0"/>
                <w:szCs w:val="24"/>
              </w:rPr>
              <w:t>(height velocity Z Score -1 to -2.5)</w:t>
            </w:r>
            <w:r>
              <w:rPr>
                <w:rFonts w:ascii="標楷體" w:eastAsia="標楷體" w:hAnsi="標楷體"/>
                <w:kern w:val="0"/>
                <w:szCs w:val="24"/>
                <w:lang w:val="zh-TW"/>
              </w:rPr>
              <w:t>。</w:t>
            </w:r>
          </w:p>
          <w:p w14:paraId="791E8302"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rPr>
              <w:t xml:space="preserve">             □</w:t>
            </w:r>
            <w:proofErr w:type="gramStart"/>
            <w:r>
              <w:rPr>
                <w:rFonts w:ascii="標楷體" w:eastAsia="標楷體" w:hAnsi="標楷體" w:cs="新細明體"/>
                <w:kern w:val="0"/>
                <w:szCs w:val="24"/>
                <w:lang w:val="zh-TW"/>
              </w:rPr>
              <w:t>廔</w:t>
            </w:r>
            <w:proofErr w:type="gramEnd"/>
            <w:r>
              <w:rPr>
                <w:rFonts w:ascii="標楷體" w:eastAsia="標楷體" w:hAnsi="標楷體" w:cs="新細明體"/>
                <w:kern w:val="0"/>
                <w:szCs w:val="24"/>
                <w:lang w:val="zh-TW"/>
              </w:rPr>
              <w:t>管無法癒合</w:t>
            </w:r>
            <w:proofErr w:type="gramStart"/>
            <w:r>
              <w:rPr>
                <w:rFonts w:ascii="標楷體" w:eastAsia="標楷體" w:hAnsi="標楷體" w:cs="新細明體"/>
                <w:kern w:val="0"/>
                <w:szCs w:val="24"/>
                <w:lang w:val="zh-TW"/>
              </w:rPr>
              <w:t>（</w:t>
            </w:r>
            <w:proofErr w:type="gramEnd"/>
            <w:r>
              <w:rPr>
                <w:rFonts w:ascii="標楷體" w:eastAsia="標楷體" w:hAnsi="標楷體" w:cs="新細明體"/>
                <w:kern w:val="0"/>
                <w:szCs w:val="24"/>
              </w:rPr>
              <w:t>PCDAI</w:t>
            </w:r>
            <w:r>
              <w:rPr>
                <w:rFonts w:ascii="標楷體" w:eastAsia="標楷體" w:hAnsi="標楷體" w:cs="新細明體"/>
                <w:kern w:val="0"/>
                <w:szCs w:val="24"/>
                <w:lang w:val="zh-TW"/>
              </w:rPr>
              <w:t>分數：</w:t>
            </w:r>
            <w:r>
              <w:rPr>
                <w:rFonts w:ascii="標楷體" w:eastAsia="標楷體" w:hAnsi="標楷體" w:cs="新細明體"/>
                <w:kern w:val="0"/>
                <w:szCs w:val="24"/>
              </w:rPr>
              <w:t>______</w:t>
            </w:r>
            <w:proofErr w:type="gramStart"/>
            <w:r>
              <w:rPr>
                <w:rFonts w:ascii="標楷體" w:eastAsia="標楷體" w:hAnsi="標楷體" w:cs="新細明體"/>
                <w:kern w:val="0"/>
                <w:szCs w:val="24"/>
                <w:lang w:val="zh-TW"/>
              </w:rPr>
              <w:t>）</w:t>
            </w:r>
            <w:proofErr w:type="gramEnd"/>
            <w:r>
              <w:rPr>
                <w:rFonts w:ascii="標楷體" w:eastAsia="標楷體" w:hAnsi="標楷體" w:cs="新細明體"/>
                <w:kern w:val="0"/>
                <w:szCs w:val="24"/>
                <w:lang w:val="zh-TW"/>
              </w:rPr>
              <w:t>，自</w:t>
            </w:r>
            <w:r>
              <w:rPr>
                <w:rFonts w:ascii="標楷體" w:eastAsia="標楷體" w:hAnsi="標楷體" w:cs="新細明體"/>
                <w:kern w:val="0"/>
                <w:szCs w:val="24"/>
              </w:rPr>
              <w:t>___</w:t>
            </w:r>
            <w:r>
              <w:rPr>
                <w:rFonts w:ascii="標楷體" w:eastAsia="標楷體" w:hAnsi="標楷體" w:cs="新細明體"/>
                <w:kern w:val="0"/>
                <w:szCs w:val="24"/>
                <w:lang w:val="zh-TW"/>
              </w:rPr>
              <w:t>年</w:t>
            </w:r>
            <w:r>
              <w:rPr>
                <w:rFonts w:ascii="標楷體" w:eastAsia="標楷體" w:hAnsi="標楷體" w:cs="新細明體"/>
                <w:kern w:val="0"/>
                <w:szCs w:val="24"/>
              </w:rPr>
              <w:t>___</w:t>
            </w:r>
            <w:r>
              <w:rPr>
                <w:rFonts w:ascii="標楷體" w:eastAsia="標楷體" w:hAnsi="標楷體" w:cs="新細明體"/>
                <w:kern w:val="0"/>
                <w:szCs w:val="24"/>
                <w:lang w:val="zh-TW"/>
              </w:rPr>
              <w:t>月起</w:t>
            </w:r>
          </w:p>
          <w:p w14:paraId="2294ED72" w14:textId="77777777" w:rsidR="00401786" w:rsidRDefault="00C64FB3" w:rsidP="000E757E">
            <w:pPr>
              <w:widowControl/>
              <w:suppressAutoHyphens w:val="0"/>
              <w:autoSpaceDE w:val="0"/>
              <w:spacing w:line="240" w:lineRule="atLeast"/>
              <w:ind w:left="1440" w:hanging="14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三、小兒克隆氏症病情發作且生長遲緩</w:t>
            </w:r>
            <w:r>
              <w:rPr>
                <w:rFonts w:ascii="標楷體" w:eastAsia="標楷體" w:hAnsi="標楷體" w:cs="新細明體"/>
                <w:kern w:val="0"/>
                <w:szCs w:val="24"/>
              </w:rPr>
              <w:t>(height velocity Z Score -1 to -2.5)</w:t>
            </w:r>
            <w:r>
              <w:rPr>
                <w:rFonts w:ascii="標楷體" w:eastAsia="標楷體" w:hAnsi="標楷體" w:cs="新細明體"/>
                <w:kern w:val="0"/>
                <w:szCs w:val="24"/>
                <w:lang w:val="zh-TW"/>
              </w:rPr>
              <w:t>病童</w:t>
            </w:r>
            <w:r>
              <w:rPr>
                <w:rFonts w:ascii="標楷體" w:eastAsia="標楷體" w:hAnsi="標楷體" w:cs="新細明體"/>
                <w:kern w:val="0"/>
                <w:szCs w:val="24"/>
              </w:rPr>
              <w:t>，</w:t>
            </w:r>
            <w:r>
              <w:rPr>
                <w:rFonts w:ascii="標楷體" w:eastAsia="標楷體" w:hAnsi="標楷體" w:cs="新細明體"/>
                <w:kern w:val="0"/>
                <w:szCs w:val="24"/>
                <w:lang w:val="zh-TW"/>
              </w:rPr>
              <w:t>經營養治療與免疫抑制劑治療失敗者。</w:t>
            </w:r>
          </w:p>
          <w:p w14:paraId="466602DC" w14:textId="77777777" w:rsidR="00401786" w:rsidRDefault="00401786" w:rsidP="000E757E">
            <w:pPr>
              <w:suppressAutoHyphens w:val="0"/>
              <w:autoSpaceDE w:val="0"/>
              <w:spacing w:line="240" w:lineRule="atLeast"/>
              <w:ind w:left="2074" w:hanging="425"/>
              <w:textAlignment w:val="auto"/>
              <w:rPr>
                <w:rFonts w:ascii="標楷體" w:eastAsia="標楷體" w:hAnsi="標楷體"/>
                <w:kern w:val="0"/>
                <w:sz w:val="22"/>
              </w:rPr>
            </w:pPr>
          </w:p>
          <w:p w14:paraId="52888099" w14:textId="77777777" w:rsidR="00401786" w:rsidRDefault="00C64FB3" w:rsidP="000E757E">
            <w:pPr>
              <w:widowControl/>
              <w:suppressAutoHyphens w:val="0"/>
              <w:autoSpaceDE w:val="0"/>
              <w:spacing w:before="202" w:line="240" w:lineRule="atLeast"/>
              <w:textAlignment w:val="auto"/>
            </w:pPr>
            <w:r>
              <w:rPr>
                <w:rFonts w:ascii="標楷體" w:eastAsia="標楷體" w:hAnsi="標楷體" w:cs="新細明體"/>
                <w:b/>
                <w:bCs/>
                <w:kern w:val="0"/>
                <w:szCs w:val="24"/>
              </w:rPr>
              <w:t>□</w:t>
            </w:r>
            <w:r>
              <w:rPr>
                <w:rFonts w:ascii="標楷體" w:eastAsia="標楷體" w:hAnsi="標楷體" w:cs="新細明體"/>
                <w:b/>
                <w:bCs/>
                <w:kern w:val="0"/>
                <w:szCs w:val="24"/>
                <w:lang w:val="zh-TW"/>
              </w:rPr>
              <w:t>符合繼續使用之療效評估：</w:t>
            </w:r>
          </w:p>
          <w:p w14:paraId="59BA3CC8"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初次使用者：治療第三劑後，達到臨床反應者，方得申請繼續使用，誘導緩解失敗者，得提出申請</w:t>
            </w:r>
            <w:proofErr w:type="gramStart"/>
            <w:r>
              <w:rPr>
                <w:rFonts w:ascii="標楷體" w:eastAsia="標楷體" w:hAnsi="標楷體" w:cs="新細明體"/>
                <w:kern w:val="0"/>
                <w:szCs w:val="24"/>
                <w:lang w:val="zh-TW"/>
              </w:rPr>
              <w:t>轉換他類生物</w:t>
            </w:r>
            <w:proofErr w:type="gramEnd"/>
            <w:r>
              <w:rPr>
                <w:rFonts w:ascii="標楷體" w:eastAsia="標楷體" w:hAnsi="標楷體" w:cs="新細明體"/>
                <w:kern w:val="0"/>
                <w:szCs w:val="24"/>
                <w:lang w:val="zh-TW"/>
              </w:rPr>
              <w:t>製劑，然同一療程不得合併使用。</w:t>
            </w:r>
          </w:p>
          <w:p w14:paraId="58BA9E45"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達到</w:t>
            </w:r>
            <w:proofErr w:type="gramStart"/>
            <w:r>
              <w:rPr>
                <w:rFonts w:ascii="標楷體" w:eastAsia="標楷體" w:hAnsi="標楷體" w:cs="新細明體"/>
                <w:kern w:val="0"/>
                <w:szCs w:val="24"/>
                <w:lang w:val="zh-TW"/>
              </w:rPr>
              <w:t>有效緩</w:t>
            </w:r>
            <w:proofErr w:type="gramEnd"/>
            <w:r>
              <w:rPr>
                <w:rFonts w:ascii="標楷體" w:eastAsia="標楷體" w:hAnsi="標楷體" w:cs="新細明體"/>
                <w:kern w:val="0"/>
                <w:szCs w:val="24"/>
                <w:lang w:val="zh-TW"/>
              </w:rPr>
              <w:t>解之誘導</w:t>
            </w:r>
            <w:r>
              <w:rPr>
                <w:rFonts w:ascii="標楷體" w:eastAsia="標楷體" w:hAnsi="標楷體" w:cs="新細明體"/>
                <w:kern w:val="0"/>
                <w:szCs w:val="24"/>
              </w:rPr>
              <w:t>(PCDAI</w:t>
            </w:r>
            <w:r>
              <w:rPr>
                <w:rFonts w:ascii="標楷體" w:eastAsia="標楷體" w:hAnsi="標楷體" w:cs="新細明體"/>
                <w:kern w:val="0"/>
                <w:szCs w:val="24"/>
                <w:lang w:val="zh-TW"/>
              </w:rPr>
              <w:t>降低</w:t>
            </w:r>
            <w:r>
              <w:rPr>
                <w:rFonts w:ascii="標楷體" w:eastAsia="標楷體" w:hAnsi="標楷體" w:cs="新細明體"/>
                <w:kern w:val="0"/>
                <w:szCs w:val="24"/>
              </w:rPr>
              <w:t xml:space="preserve">&gt;=15 或 PCDAI =&lt; 15) </w:t>
            </w:r>
          </w:p>
          <w:p w14:paraId="0A56A033"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緩解誘導之使用期間：</w:t>
            </w:r>
            <w:r>
              <w:rPr>
                <w:rFonts w:ascii="標楷體" w:eastAsia="標楷體" w:hAnsi="標楷體" w:cs="新細明體"/>
                <w:kern w:val="0"/>
                <w:szCs w:val="24"/>
              </w:rPr>
              <w:t>____</w:t>
            </w:r>
            <w:r>
              <w:rPr>
                <w:rFonts w:ascii="標楷體" w:eastAsia="標楷體" w:hAnsi="標楷體" w:cs="新細明體"/>
                <w:kern w:val="0"/>
                <w:szCs w:val="24"/>
                <w:lang w:val="zh-TW"/>
              </w:rPr>
              <w:t>年</w:t>
            </w:r>
            <w:r>
              <w:rPr>
                <w:rFonts w:ascii="標楷體" w:eastAsia="標楷體" w:hAnsi="標楷體" w:cs="新細明體"/>
                <w:kern w:val="0"/>
                <w:szCs w:val="24"/>
              </w:rPr>
              <w:t>_____</w:t>
            </w:r>
            <w:r>
              <w:rPr>
                <w:rFonts w:ascii="標楷體" w:eastAsia="標楷體" w:hAnsi="標楷體" w:cs="新細明體"/>
                <w:kern w:val="0"/>
                <w:szCs w:val="24"/>
                <w:lang w:val="zh-TW"/>
              </w:rPr>
              <w:t>月至</w:t>
            </w:r>
            <w:r>
              <w:rPr>
                <w:rFonts w:ascii="標楷體" w:eastAsia="標楷體" w:hAnsi="標楷體" w:cs="新細明體"/>
                <w:kern w:val="0"/>
                <w:szCs w:val="24"/>
              </w:rPr>
              <w:t>_____</w:t>
            </w:r>
            <w:r>
              <w:rPr>
                <w:rFonts w:ascii="標楷體" w:eastAsia="標楷體" w:hAnsi="標楷體" w:cs="新細明體"/>
                <w:kern w:val="0"/>
                <w:szCs w:val="24"/>
                <w:lang w:val="zh-TW"/>
              </w:rPr>
              <w:t>年</w:t>
            </w:r>
            <w:r>
              <w:rPr>
                <w:rFonts w:ascii="標楷體" w:eastAsia="標楷體" w:hAnsi="標楷體" w:cs="新細明體"/>
                <w:kern w:val="0"/>
                <w:szCs w:val="24"/>
              </w:rPr>
              <w:t>_____</w:t>
            </w:r>
            <w:r>
              <w:rPr>
                <w:rFonts w:ascii="標楷體" w:eastAsia="標楷體" w:hAnsi="標楷體" w:cs="新細明體"/>
                <w:kern w:val="0"/>
                <w:szCs w:val="24"/>
                <w:lang w:val="zh-TW"/>
              </w:rPr>
              <w:t>月</w:t>
            </w:r>
          </w:p>
          <w:p w14:paraId="384C83EB"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繼續使用者：adalimumab</w:t>
            </w:r>
            <w:proofErr w:type="gramStart"/>
            <w:r>
              <w:rPr>
                <w:rFonts w:ascii="標楷體" w:eastAsia="標楷體" w:hAnsi="標楷體" w:cs="新細明體"/>
                <w:kern w:val="0"/>
                <w:szCs w:val="24"/>
                <w:lang w:val="zh-TW"/>
              </w:rPr>
              <w:t>需每24週</w:t>
            </w:r>
            <w:proofErr w:type="gramEnd"/>
            <w:r>
              <w:rPr>
                <w:rFonts w:ascii="標楷體" w:eastAsia="標楷體" w:hAnsi="標楷體" w:cs="新細明體"/>
                <w:kern w:val="0"/>
                <w:szCs w:val="24"/>
                <w:lang w:val="zh-TW"/>
              </w:rPr>
              <w:t>(使用12劑)；infliximab</w:t>
            </w:r>
            <w:proofErr w:type="gramStart"/>
            <w:r>
              <w:rPr>
                <w:rFonts w:ascii="標楷體" w:eastAsia="標楷體" w:hAnsi="標楷體" w:cs="新細明體"/>
                <w:kern w:val="0"/>
                <w:szCs w:val="24"/>
                <w:lang w:val="zh-TW"/>
              </w:rPr>
              <w:t>需每16週</w:t>
            </w:r>
            <w:proofErr w:type="gramEnd"/>
            <w:r>
              <w:rPr>
                <w:rFonts w:ascii="標楷體" w:eastAsia="標楷體" w:hAnsi="標楷體" w:cs="新細明體"/>
                <w:kern w:val="0"/>
                <w:szCs w:val="24"/>
                <w:lang w:val="zh-TW"/>
              </w:rPr>
              <w:t>(使用2劑)或24</w:t>
            </w:r>
            <w:proofErr w:type="gramStart"/>
            <w:r>
              <w:rPr>
                <w:rFonts w:ascii="標楷體" w:eastAsia="標楷體" w:hAnsi="標楷體" w:cs="新細明體"/>
                <w:kern w:val="0"/>
                <w:szCs w:val="24"/>
                <w:lang w:val="zh-TW"/>
              </w:rPr>
              <w:t>週</w:t>
            </w:r>
            <w:proofErr w:type="gramEnd"/>
            <w:r>
              <w:rPr>
                <w:rFonts w:ascii="標楷體" w:eastAsia="標楷體" w:hAnsi="標楷體" w:cs="新細明體"/>
                <w:kern w:val="0"/>
                <w:szCs w:val="24"/>
                <w:lang w:val="zh-TW"/>
              </w:rPr>
              <w:t>(使用3劑)；risankizumab</w:t>
            </w:r>
            <w:proofErr w:type="gramStart"/>
            <w:r>
              <w:rPr>
                <w:rFonts w:ascii="標楷體" w:eastAsia="標楷體" w:hAnsi="標楷體" w:cs="新細明體"/>
                <w:kern w:val="0"/>
                <w:szCs w:val="24"/>
                <w:lang w:val="zh-TW"/>
              </w:rPr>
              <w:t>需每16週</w:t>
            </w:r>
            <w:proofErr w:type="gramEnd"/>
            <w:r>
              <w:rPr>
                <w:rFonts w:ascii="標楷體" w:eastAsia="標楷體" w:hAnsi="標楷體" w:cs="新細明體"/>
                <w:kern w:val="0"/>
                <w:szCs w:val="24"/>
                <w:lang w:val="zh-TW"/>
              </w:rPr>
              <w:t>(使用皮下注射2劑)或24</w:t>
            </w:r>
            <w:proofErr w:type="gramStart"/>
            <w:r>
              <w:rPr>
                <w:rFonts w:ascii="標楷體" w:eastAsia="標楷體" w:hAnsi="標楷體" w:cs="新細明體"/>
                <w:kern w:val="0"/>
                <w:szCs w:val="24"/>
                <w:lang w:val="zh-TW"/>
              </w:rPr>
              <w:t>週</w:t>
            </w:r>
            <w:proofErr w:type="gramEnd"/>
            <w:r>
              <w:rPr>
                <w:rFonts w:ascii="標楷體" w:eastAsia="標楷體" w:hAnsi="標楷體" w:cs="新細明體"/>
                <w:kern w:val="0"/>
                <w:szCs w:val="24"/>
                <w:lang w:val="zh-TW"/>
              </w:rPr>
              <w:t>(使用皮下注射3劑)，評估仍維持前一次療程有效或部份</w:t>
            </w:r>
            <w:proofErr w:type="gramStart"/>
            <w:r>
              <w:rPr>
                <w:rFonts w:ascii="標楷體" w:eastAsia="標楷體" w:hAnsi="標楷體" w:cs="新細明體"/>
                <w:kern w:val="0"/>
                <w:szCs w:val="24"/>
                <w:lang w:val="zh-TW"/>
              </w:rPr>
              <w:t>有效緩解時</w:t>
            </w:r>
            <w:proofErr w:type="gramEnd"/>
            <w:r>
              <w:rPr>
                <w:rFonts w:ascii="標楷體" w:eastAsia="標楷體" w:hAnsi="標楷體" w:cs="新細明體"/>
                <w:kern w:val="0"/>
                <w:szCs w:val="24"/>
                <w:lang w:val="zh-TW"/>
              </w:rPr>
              <w:t>之CDAI分數。</w:t>
            </w:r>
          </w:p>
          <w:p w14:paraId="6A6D9B78"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rPr>
              <w:t>adalimumab治療期滿54</w:t>
            </w:r>
            <w:proofErr w:type="gramStart"/>
            <w:r>
              <w:rPr>
                <w:rFonts w:ascii="標楷體" w:eastAsia="標楷體" w:hAnsi="標楷體" w:cs="新細明體"/>
                <w:kern w:val="0"/>
                <w:szCs w:val="24"/>
              </w:rPr>
              <w:t>週</w:t>
            </w:r>
            <w:proofErr w:type="gramEnd"/>
            <w:r>
              <w:rPr>
                <w:rFonts w:ascii="標楷體" w:eastAsia="標楷體" w:hAnsi="標楷體" w:cs="新細明體"/>
                <w:kern w:val="0"/>
                <w:szCs w:val="24"/>
              </w:rPr>
              <w:t>(使用28劑)；infliximab治療期滿46</w:t>
            </w:r>
            <w:proofErr w:type="gramStart"/>
            <w:r>
              <w:rPr>
                <w:rFonts w:ascii="標楷體" w:eastAsia="標楷體" w:hAnsi="標楷體" w:cs="新細明體"/>
                <w:kern w:val="0"/>
                <w:szCs w:val="24"/>
              </w:rPr>
              <w:t>週</w:t>
            </w:r>
            <w:proofErr w:type="gramEnd"/>
            <w:r>
              <w:rPr>
                <w:rFonts w:ascii="標楷體" w:eastAsia="標楷體" w:hAnsi="標楷體" w:cs="新細明體"/>
                <w:kern w:val="0"/>
                <w:szCs w:val="24"/>
              </w:rPr>
              <w:t xml:space="preserve"> (使用8劑)；</w:t>
            </w:r>
            <w:proofErr w:type="spellStart"/>
            <w:r>
              <w:rPr>
                <w:rFonts w:ascii="標楷體" w:eastAsia="標楷體" w:hAnsi="標楷體" w:cs="新細明體"/>
                <w:kern w:val="0"/>
                <w:szCs w:val="24"/>
              </w:rPr>
              <w:t>risankizumab</w:t>
            </w:r>
            <w:proofErr w:type="spellEnd"/>
            <w:r>
              <w:rPr>
                <w:rFonts w:ascii="標楷體" w:eastAsia="標楷體" w:hAnsi="標楷體" w:cs="新細明體"/>
                <w:kern w:val="0"/>
                <w:szCs w:val="24"/>
              </w:rPr>
              <w:t>治療期滿44</w:t>
            </w:r>
            <w:proofErr w:type="gramStart"/>
            <w:r>
              <w:rPr>
                <w:rFonts w:ascii="標楷體" w:eastAsia="標楷體" w:hAnsi="標楷體" w:cs="新細明體"/>
                <w:kern w:val="0"/>
                <w:szCs w:val="24"/>
              </w:rPr>
              <w:t>週</w:t>
            </w:r>
            <w:proofErr w:type="gramEnd"/>
            <w:r>
              <w:rPr>
                <w:rFonts w:ascii="標楷體" w:eastAsia="標楷體" w:hAnsi="標楷體" w:cs="新細明體"/>
                <w:kern w:val="0"/>
                <w:szCs w:val="24"/>
              </w:rPr>
              <w:t>(使用8劑)，再提出續用者，必須距離前次生物製劑治療結束間隔3個月以上，且因病情復發或以其他治療難以控制達規定之標準。</w:t>
            </w:r>
          </w:p>
          <w:p w14:paraId="09F24747"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rPr>
              <w:t>連續2次因療程結束而暫緩用藥疾病復發，且第2次復發於藥效終止後3個月內發生，則可持續使用，惟</w:t>
            </w:r>
            <w:proofErr w:type="gramStart"/>
            <w:r>
              <w:rPr>
                <w:rFonts w:ascii="標楷體" w:eastAsia="標楷體" w:hAnsi="標楷體" w:cs="新細明體"/>
                <w:kern w:val="0"/>
                <w:szCs w:val="24"/>
              </w:rPr>
              <w:t>需每24週</w:t>
            </w:r>
            <w:proofErr w:type="gramEnd"/>
            <w:r>
              <w:rPr>
                <w:rFonts w:ascii="標楷體" w:eastAsia="標楷體" w:hAnsi="標楷體" w:cs="新細明體"/>
                <w:kern w:val="0"/>
                <w:szCs w:val="24"/>
              </w:rPr>
              <w:t>提出續用事前審查。連續2年(4次評估)達到PCDAI&lt;10分則應考慮停藥。</w:t>
            </w:r>
          </w:p>
        </w:tc>
      </w:tr>
    </w:tbl>
    <w:p w14:paraId="11907230" w14:textId="77777777" w:rsidR="00401786" w:rsidRDefault="00401786" w:rsidP="000E757E">
      <w:pPr>
        <w:pageBreakBefore/>
        <w:widowControl/>
        <w:suppressAutoHyphens w:val="0"/>
        <w:spacing w:line="240" w:lineRule="atLeast"/>
        <w:textAlignment w:val="auto"/>
        <w:rPr>
          <w:rFonts w:ascii="標楷體" w:eastAsia="標楷體" w:hAnsi="標楷體"/>
          <w:sz w:val="28"/>
          <w:szCs w:val="28"/>
        </w:rPr>
      </w:pPr>
    </w:p>
    <w:p w14:paraId="6D79580D" w14:textId="77777777" w:rsidR="00401786" w:rsidRPr="005C51CB" w:rsidRDefault="00C64FB3" w:rsidP="000E757E">
      <w:pPr>
        <w:snapToGrid w:val="0"/>
        <w:spacing w:line="240" w:lineRule="atLeast"/>
        <w:ind w:left="600" w:hanging="600"/>
        <w:jc w:val="center"/>
        <w:rPr>
          <w:rFonts w:ascii="標楷體" w:eastAsia="標楷體" w:hAnsi="標楷體"/>
          <w:b/>
          <w:bCs/>
        </w:rPr>
      </w:pPr>
      <w:r w:rsidRPr="005C51CB">
        <w:rPr>
          <w:rFonts w:ascii="標楷體" w:eastAsia="標楷體" w:hAnsi="標楷體"/>
          <w:b/>
          <w:bCs/>
        </w:rPr>
        <w:t>附表二十六之三</w:t>
      </w:r>
    </w:p>
    <w:p w14:paraId="6333E8E6" w14:textId="77777777" w:rsidR="00401786" w:rsidRPr="005C51CB" w:rsidRDefault="00C64FB3" w:rsidP="000E757E">
      <w:pPr>
        <w:snapToGrid w:val="0"/>
        <w:spacing w:line="240" w:lineRule="atLeast"/>
        <w:ind w:left="600" w:hanging="600"/>
        <w:jc w:val="center"/>
        <w:rPr>
          <w:rFonts w:ascii="標楷體" w:eastAsia="標楷體" w:hAnsi="標楷體"/>
          <w:b/>
          <w:bCs/>
        </w:rPr>
      </w:pPr>
      <w:r w:rsidRPr="005C51CB">
        <w:rPr>
          <w:rFonts w:ascii="標楷體" w:eastAsia="標楷體" w:hAnsi="標楷體"/>
          <w:b/>
          <w:bCs/>
        </w:rPr>
        <w:t>全民健康保險小兒克隆氏症使用adalimumab、infliximab、</w:t>
      </w:r>
      <w:proofErr w:type="spellStart"/>
      <w:r w:rsidRPr="005C51CB">
        <w:rPr>
          <w:rFonts w:ascii="標楷體" w:eastAsia="標楷體" w:hAnsi="標楷體"/>
          <w:b/>
          <w:bCs/>
        </w:rPr>
        <w:t>risankizumab</w:t>
      </w:r>
      <w:proofErr w:type="spellEnd"/>
      <w:r w:rsidRPr="005C51CB">
        <w:rPr>
          <w:rFonts w:ascii="標楷體" w:eastAsia="標楷體" w:hAnsi="標楷體"/>
          <w:b/>
          <w:bCs/>
        </w:rPr>
        <w:t>申請表</w:t>
      </w:r>
    </w:p>
    <w:tbl>
      <w:tblPr>
        <w:tblW w:w="9938" w:type="dxa"/>
        <w:tblCellMar>
          <w:left w:w="10" w:type="dxa"/>
          <w:right w:w="10" w:type="dxa"/>
        </w:tblCellMar>
        <w:tblLook w:val="0000" w:firstRow="0" w:lastRow="0" w:firstColumn="0" w:lastColumn="0" w:noHBand="0" w:noVBand="0"/>
      </w:tblPr>
      <w:tblGrid>
        <w:gridCol w:w="685"/>
        <w:gridCol w:w="1351"/>
        <w:gridCol w:w="4177"/>
        <w:gridCol w:w="3725"/>
      </w:tblGrid>
      <w:tr w:rsidR="00401786" w14:paraId="546ECEE8" w14:textId="77777777">
        <w:trPr>
          <w:cantSplit/>
          <w:trHeight w:val="282"/>
        </w:trPr>
        <w:tc>
          <w:tcPr>
            <w:tcW w:w="9938"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597ABB43" w14:textId="77777777" w:rsidR="00401786" w:rsidRDefault="00C64FB3" w:rsidP="000E757E">
            <w:pPr>
              <w:snapToGrid w:val="0"/>
              <w:spacing w:before="202" w:line="240" w:lineRule="atLeast"/>
              <w:ind w:left="120"/>
            </w:pPr>
            <w:r>
              <w:rPr>
                <w:rFonts w:ascii="標楷體" w:eastAsia="標楷體" w:hAnsi="標楷體" w:cs="Webdings"/>
              </w:rPr>
              <w:t></w:t>
            </w:r>
            <w:r>
              <w:rPr>
                <w:rFonts w:ascii="標楷體" w:eastAsia="標楷體" w:hAnsi="標楷體"/>
              </w:rPr>
              <w:t xml:space="preserve"> </w:t>
            </w:r>
            <w:r>
              <w:rPr>
                <w:rFonts w:ascii="標楷體" w:eastAsia="標楷體" w:hAnsi="標楷體"/>
                <w:b/>
              </w:rPr>
              <w:t>符合「須排除或停止adalimumab、infliximab、</w:t>
            </w:r>
            <w:proofErr w:type="spellStart"/>
            <w:r>
              <w:rPr>
                <w:rFonts w:ascii="標楷體" w:eastAsia="標楷體" w:hAnsi="標楷體"/>
                <w:b/>
              </w:rPr>
              <w:t>risankizumab</w:t>
            </w:r>
            <w:proofErr w:type="spellEnd"/>
            <w:r>
              <w:rPr>
                <w:rFonts w:ascii="標楷體" w:eastAsia="標楷體" w:hAnsi="標楷體"/>
                <w:b/>
              </w:rPr>
              <w:t>使用之情形」</w:t>
            </w:r>
          </w:p>
        </w:tc>
      </w:tr>
      <w:tr w:rsidR="00401786" w14:paraId="038A58ED"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A0484C1"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65BE39"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0C3F6FF2"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8B64537"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是否有adalimumab、infliximab、</w:t>
            </w:r>
            <w:proofErr w:type="spellStart"/>
            <w:r>
              <w:rPr>
                <w:rFonts w:ascii="標楷體" w:eastAsia="標楷體" w:hAnsi="標楷體"/>
              </w:rPr>
              <w:t>risankizumab</w:t>
            </w:r>
            <w:proofErr w:type="spellEnd"/>
            <w:r>
              <w:rPr>
                <w:rFonts w:ascii="標楷體" w:eastAsia="標楷體" w:hAnsi="標楷體"/>
              </w:rPr>
              <w:t>仿單記載之禁忌情形。</w:t>
            </w:r>
          </w:p>
        </w:tc>
      </w:tr>
      <w:tr w:rsidR="00401786" w14:paraId="420E98B9"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D823F02"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B8116F"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0881A3C6"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0748B3D"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病患是否有活動性感染症。</w:t>
            </w:r>
          </w:p>
        </w:tc>
      </w:tr>
      <w:tr w:rsidR="00401786" w14:paraId="48FF38C2"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505CAE5"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459D4B"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2BB00184"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36F26E"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tc>
      </w:tr>
      <w:tr w:rsidR="00401786" w14:paraId="38A3CDC3"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231394E"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5701C1C"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28F32F8C" w14:textId="77777777" w:rsidR="00401786" w:rsidRDefault="00401786" w:rsidP="000E757E">
            <w:pPr>
              <w:snapToGrid w:val="0"/>
              <w:spacing w:line="240" w:lineRule="atLeast"/>
              <w:ind w:left="92"/>
              <w:textAlignment w:val="center"/>
              <w:rPr>
                <w:rFonts w:ascii="標楷體" w:eastAsia="標楷體" w:hAnsi="標楷體"/>
              </w:rPr>
            </w:pPr>
          </w:p>
          <w:p w14:paraId="1473E262"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CC078E2"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病患是否具有高度感染機會之情形，其中包括：</w:t>
            </w:r>
          </w:p>
          <w:p w14:paraId="3EEA412E"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3BD35BB3"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2.具有留置導尿管或身上有引流管之情形。</w:t>
            </w:r>
          </w:p>
          <w:p w14:paraId="3671C1A3"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3.人工關節感染，該人工關節尚未摘除。</w:t>
            </w:r>
          </w:p>
          <w:p w14:paraId="451E5B5D"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4.頑固性或復發性的胸腔感染疾病。</w:t>
            </w:r>
          </w:p>
        </w:tc>
      </w:tr>
      <w:tr w:rsidR="00401786" w14:paraId="7AF51BB1"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F19768C"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E5C85B"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20440954"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D268CD1"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患惡性腫瘤或具有癌症前兆(pre-malignancy)</w:t>
            </w:r>
          </w:p>
        </w:tc>
      </w:tr>
      <w:tr w:rsidR="00401786" w14:paraId="734EC224"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834598D"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5C40A0"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1D282221"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7B203F6"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患多發性硬化症(multiple sclerosis)</w:t>
            </w:r>
          </w:p>
        </w:tc>
      </w:tr>
      <w:tr w:rsidR="00401786" w14:paraId="14C20457" w14:textId="77777777">
        <w:trPr>
          <w:cantSplit/>
          <w:trHeight w:val="401"/>
        </w:trPr>
        <w:tc>
          <w:tcPr>
            <w:tcW w:w="685"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2F7ACDC0"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1533FD2B"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068419DD" w14:textId="77777777" w:rsidR="00401786" w:rsidRDefault="00C64FB3" w:rsidP="002144EC">
            <w:pPr>
              <w:numPr>
                <w:ilvl w:val="0"/>
                <w:numId w:val="111"/>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4E0F274"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使用adalimumab、infliximab、</w:t>
            </w:r>
            <w:proofErr w:type="spellStart"/>
            <w:r>
              <w:rPr>
                <w:rFonts w:ascii="標楷體" w:eastAsia="標楷體" w:hAnsi="標楷體"/>
              </w:rPr>
              <w:t>risankizumab</w:t>
            </w:r>
            <w:proofErr w:type="spellEnd"/>
            <w:r>
              <w:rPr>
                <w:rFonts w:ascii="標楷體" w:eastAsia="標楷體" w:hAnsi="標楷體"/>
              </w:rPr>
              <w:t xml:space="preserve">發生懷孕或不良事件(包括：惡性腫瘤、該藥物引起的嚴重毒性、嚴重的感染性疾病) </w:t>
            </w:r>
          </w:p>
        </w:tc>
      </w:tr>
      <w:tr w:rsidR="00401786" w14:paraId="393C1962" w14:textId="77777777">
        <w:trPr>
          <w:cantSplit/>
          <w:trHeight w:val="1772"/>
        </w:trPr>
        <w:tc>
          <w:tcPr>
            <w:tcW w:w="6213" w:type="dxa"/>
            <w:gridSpan w:val="3"/>
            <w:shd w:val="clear" w:color="auto" w:fill="auto"/>
            <w:tcMar>
              <w:top w:w="0" w:type="dxa"/>
              <w:left w:w="28" w:type="dxa"/>
              <w:bottom w:w="0" w:type="dxa"/>
              <w:right w:w="28" w:type="dxa"/>
            </w:tcMar>
          </w:tcPr>
          <w:p w14:paraId="722D39EC"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申請醫師（簽名蓋章）：_______________</w:t>
            </w:r>
          </w:p>
          <w:p w14:paraId="4C13F50A"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消化系專科醫師證書：_______________</w:t>
            </w:r>
          </w:p>
          <w:p w14:paraId="34AC6676" w14:textId="77777777" w:rsidR="00401786" w:rsidRDefault="00C64FB3" w:rsidP="000E757E">
            <w:pPr>
              <w:tabs>
                <w:tab w:val="left" w:pos="2912"/>
              </w:tabs>
              <w:snapToGrid w:val="0"/>
              <w:spacing w:line="240" w:lineRule="atLeast"/>
              <w:textAlignment w:val="center"/>
              <w:rPr>
                <w:rFonts w:ascii="標楷體" w:eastAsia="標楷體" w:hAnsi="標楷體"/>
              </w:rPr>
            </w:pPr>
            <w:r>
              <w:rPr>
                <w:rFonts w:ascii="標楷體" w:eastAsia="標楷體" w:hAnsi="標楷體"/>
              </w:rPr>
              <w:t>小兒專科醫師證書：_______________</w:t>
            </w:r>
          </w:p>
        </w:tc>
        <w:tc>
          <w:tcPr>
            <w:tcW w:w="3725" w:type="dxa"/>
            <w:shd w:val="clear" w:color="auto" w:fill="auto"/>
            <w:tcMar>
              <w:top w:w="0" w:type="dxa"/>
              <w:left w:w="28" w:type="dxa"/>
              <w:bottom w:w="0" w:type="dxa"/>
              <w:right w:w="28" w:type="dxa"/>
            </w:tcMar>
          </w:tcPr>
          <w:p w14:paraId="54E390F0" w14:textId="77777777" w:rsidR="00401786" w:rsidRDefault="00C64FB3" w:rsidP="000E757E">
            <w:pPr>
              <w:snapToGrid w:val="0"/>
              <w:spacing w:line="240" w:lineRule="atLeast"/>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tc>
      </w:tr>
    </w:tbl>
    <w:p w14:paraId="51A6A868" w14:textId="77777777" w:rsidR="00401786" w:rsidRDefault="00401786" w:rsidP="000E757E">
      <w:pPr>
        <w:pStyle w:val="af3"/>
        <w:spacing w:line="240" w:lineRule="atLeast"/>
      </w:pPr>
    </w:p>
    <w:p w14:paraId="01977587" w14:textId="77777777" w:rsidR="00401786" w:rsidRDefault="00401786" w:rsidP="007215CF">
      <w:pPr>
        <w:pageBreakBefore/>
        <w:widowControl/>
        <w:suppressAutoHyphens w:val="0"/>
        <w:spacing w:line="300" w:lineRule="exact"/>
      </w:pPr>
    </w:p>
    <w:p w14:paraId="2A84640E" w14:textId="77777777" w:rsidR="00401786" w:rsidRPr="005C51CB" w:rsidRDefault="00C64FB3" w:rsidP="007215CF">
      <w:pPr>
        <w:spacing w:line="300" w:lineRule="exact"/>
        <w:jc w:val="center"/>
        <w:rPr>
          <w:sz w:val="22"/>
          <w:szCs w:val="20"/>
        </w:rPr>
      </w:pPr>
      <w:r w:rsidRPr="005C51CB">
        <w:rPr>
          <w:rFonts w:ascii="Times New Roman" w:eastAsia="標楷體" w:hAnsi="Times New Roman"/>
          <w:b/>
          <w:szCs w:val="24"/>
        </w:rPr>
        <w:t>附表二十六之四</w:t>
      </w:r>
      <w:r w:rsidRPr="005C51CB">
        <w:rPr>
          <w:rFonts w:ascii="Times New Roman" w:eastAsia="標楷體" w:hAnsi="Times New Roman"/>
          <w:b/>
          <w:szCs w:val="24"/>
        </w:rPr>
        <w:t>P</w:t>
      </w:r>
      <w:r w:rsidRPr="005C51CB">
        <w:rPr>
          <w:rFonts w:ascii="Times New Roman" w:eastAsia="標楷體" w:hAnsi="Times New Roman"/>
          <w:b/>
          <w:bCs/>
          <w:szCs w:val="24"/>
        </w:rPr>
        <w:t>CDAI</w:t>
      </w:r>
      <w:r w:rsidRPr="005C51CB">
        <w:rPr>
          <w:rFonts w:ascii="Times New Roman" w:eastAsia="標楷體" w:hAnsi="Times New Roman"/>
          <w:b/>
          <w:bCs/>
          <w:szCs w:val="24"/>
        </w:rPr>
        <w:t>（</w:t>
      </w:r>
      <w:r w:rsidRPr="005C51CB">
        <w:rPr>
          <w:rFonts w:ascii="Times New Roman" w:eastAsia="標楷體" w:hAnsi="Times New Roman"/>
          <w:b/>
          <w:bCs/>
          <w:szCs w:val="24"/>
        </w:rPr>
        <w:t>Pediatric Crohn’s disease activity index</w:t>
      </w:r>
      <w:r w:rsidRPr="005C51CB">
        <w:rPr>
          <w:rFonts w:ascii="Times New Roman" w:eastAsia="標楷體" w:hAnsi="Times New Roman"/>
          <w:b/>
          <w:bCs/>
          <w:szCs w:val="24"/>
        </w:rPr>
        <w:t>）</w:t>
      </w:r>
    </w:p>
    <w:tbl>
      <w:tblPr>
        <w:tblW w:w="10199" w:type="dxa"/>
        <w:jc w:val="center"/>
        <w:tblCellMar>
          <w:left w:w="10" w:type="dxa"/>
          <w:right w:w="10" w:type="dxa"/>
        </w:tblCellMar>
        <w:tblLook w:val="0000" w:firstRow="0" w:lastRow="0" w:firstColumn="0" w:lastColumn="0" w:noHBand="0" w:noVBand="0"/>
      </w:tblPr>
      <w:tblGrid>
        <w:gridCol w:w="1476"/>
        <w:gridCol w:w="1477"/>
        <w:gridCol w:w="1476"/>
        <w:gridCol w:w="1477"/>
        <w:gridCol w:w="1476"/>
        <w:gridCol w:w="1477"/>
        <w:gridCol w:w="1340"/>
      </w:tblGrid>
      <w:tr w:rsidR="00401786" w14:paraId="634B0F87" w14:textId="77777777">
        <w:trPr>
          <w:trHeight w:val="496"/>
          <w:jc w:val="center"/>
        </w:trPr>
        <w:tc>
          <w:tcPr>
            <w:tcW w:w="10199" w:type="dxa"/>
            <w:gridSpan w:val="7"/>
            <w:tcBorders>
              <w:top w:val="single" w:sz="4" w:space="0" w:color="000000"/>
              <w:left w:val="single" w:sz="4" w:space="0" w:color="000000"/>
              <w:bottom w:val="single" w:sz="4" w:space="0" w:color="000000"/>
              <w:right w:val="single" w:sz="4" w:space="0" w:color="000000"/>
            </w:tcBorders>
            <w:shd w:val="clear" w:color="auto" w:fill="92D050"/>
            <w:noWrap/>
            <w:tcMar>
              <w:top w:w="0" w:type="dxa"/>
              <w:left w:w="28" w:type="dxa"/>
              <w:bottom w:w="0" w:type="dxa"/>
              <w:right w:w="28" w:type="dxa"/>
            </w:tcMar>
            <w:vAlign w:val="center"/>
          </w:tcPr>
          <w:p w14:paraId="33FF46C7"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History (Recall, 1 week) </w:t>
            </w:r>
            <w:r>
              <w:rPr>
                <w:rFonts w:ascii="Times New Roman" w:eastAsia="標楷體" w:hAnsi="Times New Roman" w:cs="新細明體"/>
                <w:b/>
                <w:bCs/>
                <w:kern w:val="0"/>
                <w:szCs w:val="24"/>
              </w:rPr>
              <w:t>病史</w:t>
            </w:r>
            <w:r>
              <w:rPr>
                <w:rFonts w:ascii="Times New Roman" w:eastAsia="標楷體" w:hAnsi="Times New Roman" w:cs="新細明體"/>
                <w:b/>
                <w:bCs/>
                <w:kern w:val="0"/>
                <w:szCs w:val="24"/>
              </w:rPr>
              <w:t>(</w:t>
            </w:r>
            <w:r>
              <w:rPr>
                <w:rFonts w:ascii="Times New Roman" w:eastAsia="標楷體" w:hAnsi="Times New Roman" w:cs="新細明體"/>
                <w:b/>
                <w:bCs/>
                <w:kern w:val="0"/>
                <w:szCs w:val="24"/>
              </w:rPr>
              <w:t>過去一周</w:t>
            </w:r>
            <w:r>
              <w:rPr>
                <w:rFonts w:ascii="Times New Roman" w:eastAsia="標楷體" w:hAnsi="Times New Roman" w:cs="新細明體"/>
                <w:b/>
                <w:bCs/>
                <w:kern w:val="0"/>
                <w:szCs w:val="24"/>
              </w:rPr>
              <w:t>)</w:t>
            </w:r>
          </w:p>
        </w:tc>
      </w:tr>
      <w:tr w:rsidR="00401786" w14:paraId="02686983"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F9E53"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Abdominal Pain</w:t>
            </w:r>
            <w:r>
              <w:rPr>
                <w:rFonts w:ascii="Times New Roman" w:eastAsia="標楷體" w:hAnsi="Times New Roman" w:cs="新細明體"/>
                <w:b/>
                <w:bCs/>
                <w:kern w:val="0"/>
                <w:szCs w:val="24"/>
              </w:rPr>
              <w:t>腹痛</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389A41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5DBFFF6" w14:textId="77777777">
        <w:trPr>
          <w:trHeight w:val="1698"/>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A47CC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None</w:t>
            </w:r>
          </w:p>
          <w:p w14:paraId="13532B3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無</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ACEC5C"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Mild: Brief, does not interfere with activities</w:t>
            </w:r>
          </w:p>
          <w:p w14:paraId="1CF4856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輕微</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短暫，不影響活動</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AE7D2F"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10 = Moderate/ Severe: Daily, longer lasting, affects activities, nocturnal</w:t>
            </w:r>
          </w:p>
          <w:p w14:paraId="200559D4"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中度</w:t>
            </w:r>
            <w:r>
              <w:rPr>
                <w:rFonts w:ascii="Times New Roman" w:eastAsia="標楷體" w:hAnsi="Times New Roman" w:cs="新細明體"/>
                <w:kern w:val="0"/>
                <w:szCs w:val="24"/>
              </w:rPr>
              <w:t>/</w:t>
            </w:r>
            <w:r>
              <w:rPr>
                <w:rFonts w:ascii="Times New Roman" w:eastAsia="標楷體" w:hAnsi="Times New Roman" w:cs="新細明體"/>
                <w:kern w:val="0"/>
                <w:szCs w:val="24"/>
              </w:rPr>
              <w:t>嚴重：每天，持續較長時間，影響活動，夜間痛</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853E74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B4E2B80"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F73531"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Patient Functioning, General Well-Being </w:t>
            </w:r>
            <w:r>
              <w:rPr>
                <w:rFonts w:ascii="Times New Roman" w:eastAsia="標楷體" w:hAnsi="Times New Roman" w:cs="新細明體"/>
                <w:b/>
                <w:bCs/>
                <w:kern w:val="0"/>
                <w:szCs w:val="24"/>
              </w:rPr>
              <w:t>病人的功能、一般健康狀況</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DC074D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4519D88A" w14:textId="77777777">
        <w:trPr>
          <w:trHeight w:val="1773"/>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E7A279"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No limitation of activities, well </w:t>
            </w:r>
          </w:p>
          <w:p w14:paraId="2150AEB0"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活動自主，狀況良好</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4A484A"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Occasional difficulty in maintaining age-appropriate activities, below par</w:t>
            </w:r>
          </w:p>
          <w:p w14:paraId="4FC41B1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維持該年齡應有的活動偶爾會有困難，低於平均值</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513EB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10 = Frequent limitation of activity, very poor</w:t>
            </w:r>
          </w:p>
          <w:p w14:paraId="14E0C7A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活動經常受限，非常虛弱</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E5745B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81CE91F"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951149"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Stools (per day)</w:t>
            </w:r>
            <w:r>
              <w:rPr>
                <w:rFonts w:ascii="Times New Roman" w:eastAsia="標楷體" w:hAnsi="Times New Roman" w:cs="新細明體"/>
                <w:b/>
                <w:bCs/>
                <w:kern w:val="0"/>
                <w:szCs w:val="24"/>
              </w:rPr>
              <w:t>糞便</w:t>
            </w:r>
            <w:r>
              <w:rPr>
                <w:rFonts w:ascii="Times New Roman" w:eastAsia="標楷體" w:hAnsi="Times New Roman" w:cs="新細明體"/>
                <w:b/>
                <w:bCs/>
                <w:kern w:val="0"/>
                <w:szCs w:val="24"/>
              </w:rPr>
              <w:t>(</w:t>
            </w:r>
            <w:r>
              <w:rPr>
                <w:rFonts w:ascii="Times New Roman" w:eastAsia="標楷體" w:hAnsi="Times New Roman" w:cs="新細明體"/>
                <w:b/>
                <w:bCs/>
                <w:kern w:val="0"/>
                <w:szCs w:val="24"/>
              </w:rPr>
              <w:t>每天</w:t>
            </w:r>
            <w:r>
              <w:rPr>
                <w:rFonts w:ascii="Times New Roman" w:eastAsia="標楷體" w:hAnsi="Times New Roman" w:cs="新細明體"/>
                <w:b/>
                <w:bCs/>
                <w:kern w:val="0"/>
                <w:szCs w:val="24"/>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0C4C74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4A3AB15" w14:textId="77777777">
        <w:trPr>
          <w:trHeight w:val="1713"/>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28224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0-1 liquid stools, no blood  0-1</w:t>
            </w:r>
            <w:r>
              <w:rPr>
                <w:rFonts w:ascii="Times New Roman" w:eastAsia="標楷體" w:hAnsi="Times New Roman" w:cs="新細明體"/>
                <w:kern w:val="0"/>
                <w:szCs w:val="24"/>
              </w:rPr>
              <w:t>次流質糞便，沒有血絲</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B8CE38"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Up to 2 </w:t>
            </w:r>
            <w:proofErr w:type="spellStart"/>
            <w:r>
              <w:rPr>
                <w:rFonts w:ascii="Times New Roman" w:eastAsia="標楷體" w:hAnsi="Times New Roman" w:cs="新細明體"/>
                <w:kern w:val="0"/>
                <w:szCs w:val="24"/>
              </w:rPr>
              <w:t>semiformed</w:t>
            </w:r>
            <w:proofErr w:type="spellEnd"/>
            <w:r>
              <w:rPr>
                <w:rFonts w:ascii="Times New Roman" w:eastAsia="標楷體" w:hAnsi="Times New Roman" w:cs="新細明體"/>
                <w:kern w:val="0"/>
                <w:szCs w:val="24"/>
              </w:rPr>
              <w:t xml:space="preserve"> with small blood, or 2-5 liquid  </w:t>
            </w:r>
          </w:p>
          <w:p w14:paraId="0ACC29EA"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最多</w:t>
            </w:r>
            <w:r>
              <w:rPr>
                <w:rFonts w:ascii="Times New Roman" w:eastAsia="標楷體" w:hAnsi="Times New Roman" w:cs="新細明體"/>
                <w:kern w:val="0"/>
                <w:szCs w:val="24"/>
              </w:rPr>
              <w:t>2</w:t>
            </w:r>
            <w:r>
              <w:rPr>
                <w:rFonts w:ascii="Times New Roman" w:eastAsia="標楷體" w:hAnsi="Times New Roman" w:cs="新細明體"/>
                <w:kern w:val="0"/>
                <w:szCs w:val="24"/>
              </w:rPr>
              <w:t>次的半成形及輕微血絲糞便，或是</w:t>
            </w:r>
            <w:r>
              <w:rPr>
                <w:rFonts w:ascii="Times New Roman" w:eastAsia="標楷體" w:hAnsi="Times New Roman" w:cs="新細明體"/>
                <w:kern w:val="0"/>
                <w:szCs w:val="24"/>
              </w:rPr>
              <w:t>2-5</w:t>
            </w:r>
            <w:r>
              <w:rPr>
                <w:rFonts w:ascii="Times New Roman" w:eastAsia="標楷體" w:hAnsi="Times New Roman" w:cs="新細明體"/>
                <w:kern w:val="0"/>
                <w:szCs w:val="24"/>
              </w:rPr>
              <w:t>次流質糞便</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70BB3E"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Gross bleeding, or </w:t>
            </w:r>
            <w:r>
              <w:rPr>
                <w:rFonts w:ascii="Times New Roman" w:eastAsia="標楷體" w:hAnsi="Times New Roman"/>
                <w:kern w:val="0"/>
                <w:szCs w:val="24"/>
              </w:rPr>
              <w:t>≥</w:t>
            </w:r>
            <w:r>
              <w:rPr>
                <w:rFonts w:ascii="Times New Roman" w:eastAsia="標楷體" w:hAnsi="Times New Roman" w:cs="新細明體"/>
                <w:kern w:val="0"/>
                <w:szCs w:val="24"/>
              </w:rPr>
              <w:t xml:space="preserve"> 6 liquid, or nocturnal diarrhea </w:t>
            </w:r>
          </w:p>
          <w:p w14:paraId="60CC0D11"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血便，或多於</w:t>
            </w:r>
            <w:r>
              <w:rPr>
                <w:rFonts w:ascii="Times New Roman" w:eastAsia="標楷體" w:hAnsi="Times New Roman" w:cs="新細明體"/>
                <w:kern w:val="0"/>
                <w:szCs w:val="24"/>
              </w:rPr>
              <w:t>6</w:t>
            </w:r>
            <w:r>
              <w:rPr>
                <w:rFonts w:ascii="Times New Roman" w:eastAsia="標楷體" w:hAnsi="Times New Roman" w:cs="新細明體"/>
                <w:kern w:val="0"/>
                <w:szCs w:val="24"/>
              </w:rPr>
              <w:t>次流質糞便，或夜間腹瀉</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F1E335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6813DDA0" w14:textId="77777777">
        <w:trPr>
          <w:trHeight w:val="496"/>
          <w:jc w:val="center"/>
        </w:trPr>
        <w:tc>
          <w:tcPr>
            <w:tcW w:w="10199" w:type="dxa"/>
            <w:gridSpan w:val="7"/>
            <w:tcBorders>
              <w:top w:val="single" w:sz="4" w:space="0" w:color="000000"/>
              <w:left w:val="single" w:sz="4" w:space="0" w:color="000000"/>
              <w:bottom w:val="single" w:sz="4" w:space="0" w:color="000000"/>
              <w:right w:val="single" w:sz="4" w:space="0" w:color="000000"/>
            </w:tcBorders>
            <w:shd w:val="clear" w:color="auto" w:fill="92D050"/>
            <w:noWrap/>
            <w:tcMar>
              <w:top w:w="0" w:type="dxa"/>
              <w:left w:w="28" w:type="dxa"/>
              <w:bottom w:w="0" w:type="dxa"/>
              <w:right w:w="28" w:type="dxa"/>
            </w:tcMar>
            <w:vAlign w:val="center"/>
          </w:tcPr>
          <w:p w14:paraId="65E6F362"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Laboratory </w:t>
            </w:r>
            <w:r>
              <w:rPr>
                <w:rFonts w:ascii="Times New Roman" w:eastAsia="標楷體" w:hAnsi="Times New Roman" w:cs="新細明體"/>
                <w:b/>
                <w:bCs/>
                <w:kern w:val="0"/>
                <w:szCs w:val="24"/>
              </w:rPr>
              <w:t>檢驗值</w:t>
            </w:r>
          </w:p>
        </w:tc>
      </w:tr>
      <w:tr w:rsidR="00401786" w14:paraId="3702B97F"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2A39F6"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HCT</w:t>
            </w:r>
            <w:proofErr w:type="gramStart"/>
            <w:r>
              <w:rPr>
                <w:rFonts w:ascii="Times New Roman" w:eastAsia="標楷體" w:hAnsi="Times New Roman" w:cs="新細明體"/>
                <w:b/>
                <w:bCs/>
                <w:kern w:val="0"/>
                <w:szCs w:val="24"/>
              </w:rPr>
              <w:t>血比容</w:t>
            </w:r>
            <w:proofErr w:type="gramEnd"/>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7FE6F5B"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63DE6801" w14:textId="77777777">
        <w:trPr>
          <w:trHeight w:val="496"/>
          <w:jc w:val="center"/>
        </w:trPr>
        <w:tc>
          <w:tcPr>
            <w:tcW w:w="4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9302E4"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&lt; 10 years (Male and Female):</w:t>
            </w:r>
          </w:p>
          <w:p w14:paraId="68E2E92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&lt; 10 </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男</w:t>
            </w:r>
            <w:r>
              <w:rPr>
                <w:rFonts w:ascii="Times New Roman" w:eastAsia="標楷體" w:hAnsi="Times New Roman" w:cs="新細明體"/>
                <w:kern w:val="0"/>
                <w:szCs w:val="24"/>
              </w:rPr>
              <w:t>/</w:t>
            </w:r>
            <w:r>
              <w:rPr>
                <w:rFonts w:ascii="Times New Roman" w:eastAsia="標楷體" w:hAnsi="Times New Roman" w:cs="新細明體"/>
                <w:kern w:val="0"/>
                <w:szCs w:val="24"/>
              </w:rPr>
              <w:t>女</w:t>
            </w:r>
            <w:r>
              <w:rPr>
                <w:rFonts w:ascii="Times New Roman" w:eastAsia="標楷體" w:hAnsi="Times New Roman" w:cs="新細明體"/>
                <w:kern w:val="0"/>
                <w:szCs w:val="24"/>
              </w:rPr>
              <w:t>)</w:t>
            </w:r>
          </w:p>
        </w:tc>
        <w:tc>
          <w:tcPr>
            <w:tcW w:w="4430" w:type="dxa"/>
            <w:gridSpan w:val="3"/>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174E9D"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11-14 years (Male): </w:t>
            </w:r>
          </w:p>
          <w:p w14:paraId="6D2FC7E1"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11-14</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男</w:t>
            </w:r>
            <w:r>
              <w:rPr>
                <w:rFonts w:ascii="Times New Roman" w:eastAsia="標楷體" w:hAnsi="Times New Roman" w:cs="新細明體"/>
                <w:kern w:val="0"/>
                <w:szCs w:val="24"/>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D1403B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7FB0BEE6" w14:textId="77777777">
        <w:trPr>
          <w:trHeight w:val="496"/>
          <w:jc w:val="center"/>
        </w:trPr>
        <w:tc>
          <w:tcPr>
            <w:tcW w:w="147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48CBDF"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0 = &gt; 33%</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1C21E3B"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2.5 = 28%-32%</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F0E6658"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28%</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6791E8D" w14:textId="77777777" w:rsidR="00401786" w:rsidRDefault="00C64FB3" w:rsidP="007215CF">
            <w:pPr>
              <w:widowControl/>
              <w:spacing w:line="300" w:lineRule="exact"/>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35%</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F95E63C"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 xml:space="preserve">2.5 = 30%-34% </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4AE4B90"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30%</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D959CE4"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19DFB62A" w14:textId="77777777">
        <w:trPr>
          <w:trHeight w:val="496"/>
          <w:jc w:val="center"/>
        </w:trPr>
        <w:tc>
          <w:tcPr>
            <w:tcW w:w="4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988939"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11-19 years (Female):</w:t>
            </w:r>
          </w:p>
          <w:p w14:paraId="08D5195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11-19</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女</w:t>
            </w:r>
            <w:r>
              <w:rPr>
                <w:rFonts w:ascii="Times New Roman" w:eastAsia="標楷體" w:hAnsi="Times New Roman" w:cs="新細明體"/>
                <w:kern w:val="0"/>
                <w:szCs w:val="24"/>
              </w:rPr>
              <w:t>)</w:t>
            </w:r>
          </w:p>
        </w:tc>
        <w:tc>
          <w:tcPr>
            <w:tcW w:w="4430" w:type="dxa"/>
            <w:gridSpan w:val="3"/>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3ACD7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15-19 years (Male):</w:t>
            </w:r>
          </w:p>
          <w:p w14:paraId="54E92F69"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15-19 </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男</w:t>
            </w:r>
            <w:r>
              <w:rPr>
                <w:rFonts w:ascii="Times New Roman" w:eastAsia="標楷體" w:hAnsi="Times New Roman" w:cs="新細明體"/>
                <w:kern w:val="0"/>
                <w:szCs w:val="24"/>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0CCBF9D"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DC81930" w14:textId="77777777">
        <w:trPr>
          <w:trHeight w:val="496"/>
          <w:jc w:val="center"/>
        </w:trPr>
        <w:tc>
          <w:tcPr>
            <w:tcW w:w="147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5C31B7" w14:textId="77777777" w:rsidR="00401786" w:rsidRDefault="00C64FB3" w:rsidP="007215CF">
            <w:pPr>
              <w:widowControl/>
              <w:spacing w:line="300" w:lineRule="exact"/>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34%</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9EC05C3"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2.5 = 29%-33%</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EA5B9DF"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29%</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6D8640B" w14:textId="77777777" w:rsidR="00401786" w:rsidRDefault="00C64FB3" w:rsidP="007215CF">
            <w:pPr>
              <w:widowControl/>
              <w:spacing w:line="300" w:lineRule="exact"/>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37%</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682F780"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2.5 = 32%-36%</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95DCCEE"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32%</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E8BA1BA"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3E12493"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7B1E41"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ESR</w:t>
            </w:r>
            <w:r>
              <w:rPr>
                <w:rFonts w:ascii="Times New Roman" w:eastAsia="標楷體" w:hAnsi="Times New Roman" w:cs="新細明體"/>
                <w:b/>
                <w:bCs/>
                <w:kern w:val="0"/>
                <w:szCs w:val="24"/>
              </w:rPr>
              <w:t>紅血球沈降速率</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E4478F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3ADB5F2D" w14:textId="77777777">
        <w:trPr>
          <w:trHeight w:val="496"/>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44DF8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&lt; 20 mm/</w:t>
            </w:r>
            <w:proofErr w:type="spellStart"/>
            <w:r>
              <w:rPr>
                <w:rFonts w:ascii="Times New Roman" w:eastAsia="標楷體" w:hAnsi="Times New Roman" w:cs="新細明體"/>
                <w:kern w:val="0"/>
                <w:szCs w:val="24"/>
              </w:rPr>
              <w:t>hr</w:t>
            </w:r>
            <w:proofErr w:type="spellEnd"/>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3F82B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2.5 = 20-50 mm/</w:t>
            </w:r>
            <w:proofErr w:type="spellStart"/>
            <w:r>
              <w:rPr>
                <w:rFonts w:ascii="Times New Roman" w:eastAsia="標楷體" w:hAnsi="Times New Roman" w:cs="新細明體"/>
                <w:kern w:val="0"/>
                <w:szCs w:val="24"/>
              </w:rPr>
              <w:t>hr</w:t>
            </w:r>
            <w:proofErr w:type="spellEnd"/>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85EC4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&gt; 50 mm/</w:t>
            </w:r>
            <w:proofErr w:type="spellStart"/>
            <w:r>
              <w:rPr>
                <w:rFonts w:ascii="Times New Roman" w:eastAsia="標楷體" w:hAnsi="Times New Roman" w:cs="新細明體"/>
                <w:kern w:val="0"/>
                <w:szCs w:val="24"/>
              </w:rPr>
              <w:t>hr</w:t>
            </w:r>
            <w:proofErr w:type="spellEnd"/>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FC59B1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7E256128"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F266E"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Albumin</w:t>
            </w:r>
            <w:r>
              <w:rPr>
                <w:rFonts w:ascii="Times New Roman" w:eastAsia="標楷體" w:hAnsi="Times New Roman" w:cs="新細明體"/>
                <w:b/>
                <w:bCs/>
                <w:kern w:val="0"/>
                <w:szCs w:val="24"/>
              </w:rPr>
              <w:t>白蛋白</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7D1FEB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79AF951A" w14:textId="77777777">
        <w:trPr>
          <w:trHeight w:val="496"/>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0D41F3"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3.5 g/dL</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A8026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3.1-3.4 g/dL</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70543A"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w:t>
            </w:r>
            <w:r>
              <w:rPr>
                <w:rFonts w:ascii="Times New Roman" w:eastAsia="標楷體" w:hAnsi="Times New Roman"/>
                <w:kern w:val="0"/>
                <w:szCs w:val="24"/>
              </w:rPr>
              <w:t>≤</w:t>
            </w:r>
            <w:r>
              <w:rPr>
                <w:rFonts w:ascii="Times New Roman" w:eastAsia="標楷體" w:hAnsi="Times New Roman" w:cs="新細明體"/>
                <w:kern w:val="0"/>
                <w:szCs w:val="24"/>
              </w:rPr>
              <w:t xml:space="preserve"> 3.0 g/dL</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E5BFAC2"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bl>
    <w:p w14:paraId="5FF8023A" w14:textId="77777777" w:rsidR="00401786" w:rsidRDefault="00401786" w:rsidP="007215CF">
      <w:pPr>
        <w:pageBreakBefore/>
        <w:spacing w:line="300" w:lineRule="exact"/>
      </w:pPr>
    </w:p>
    <w:tbl>
      <w:tblPr>
        <w:tblW w:w="10199" w:type="dxa"/>
        <w:jc w:val="center"/>
        <w:tblCellMar>
          <w:left w:w="10" w:type="dxa"/>
          <w:right w:w="10" w:type="dxa"/>
        </w:tblCellMar>
        <w:tblLook w:val="0000" w:firstRow="0" w:lastRow="0" w:firstColumn="0" w:lastColumn="0" w:noHBand="0" w:noVBand="0"/>
      </w:tblPr>
      <w:tblGrid>
        <w:gridCol w:w="2953"/>
        <w:gridCol w:w="2953"/>
        <w:gridCol w:w="2953"/>
        <w:gridCol w:w="1340"/>
      </w:tblGrid>
      <w:tr w:rsidR="00401786" w14:paraId="1619EBAA" w14:textId="77777777">
        <w:trPr>
          <w:trHeight w:val="496"/>
          <w:jc w:val="center"/>
        </w:trPr>
        <w:tc>
          <w:tcPr>
            <w:tcW w:w="10199" w:type="dxa"/>
            <w:gridSpan w:val="4"/>
            <w:tcBorders>
              <w:top w:val="single" w:sz="4" w:space="0" w:color="000000"/>
              <w:left w:val="single" w:sz="4" w:space="0" w:color="000000"/>
              <w:bottom w:val="single" w:sz="4" w:space="0" w:color="000000"/>
              <w:right w:val="single" w:sz="4" w:space="0" w:color="000000"/>
            </w:tcBorders>
            <w:shd w:val="clear" w:color="auto" w:fill="92D050"/>
            <w:tcMar>
              <w:top w:w="0" w:type="dxa"/>
              <w:left w:w="28" w:type="dxa"/>
              <w:bottom w:w="0" w:type="dxa"/>
              <w:right w:w="28" w:type="dxa"/>
            </w:tcMar>
            <w:vAlign w:val="center"/>
          </w:tcPr>
          <w:p w14:paraId="487A479B" w14:textId="77777777" w:rsidR="00401786" w:rsidRDefault="00C64FB3" w:rsidP="007215CF">
            <w:pPr>
              <w:widowControl/>
              <w:spacing w:line="300" w:lineRule="exact"/>
              <w:jc w:val="center"/>
            </w:pPr>
            <w:r>
              <w:rPr>
                <w:rFonts w:ascii="Times New Roman" w:eastAsia="標楷體" w:hAnsi="Times New Roman" w:cs="新細明體"/>
                <w:b/>
                <w:bCs/>
                <w:kern w:val="0"/>
                <w:szCs w:val="24"/>
              </w:rPr>
              <w:t>Examination</w:t>
            </w:r>
            <w:r>
              <w:rPr>
                <w:rFonts w:ascii="Times New Roman" w:eastAsia="標楷體" w:hAnsi="Times New Roman" w:cs="新細明體"/>
                <w:b/>
                <w:bCs/>
                <w:kern w:val="0"/>
                <w:szCs w:val="24"/>
              </w:rPr>
              <w:t>檢查</w:t>
            </w:r>
          </w:p>
        </w:tc>
      </w:tr>
      <w:tr w:rsidR="00401786" w14:paraId="561E9934"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7290E0"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Weight</w:t>
            </w:r>
            <w:r>
              <w:rPr>
                <w:rFonts w:ascii="Times New Roman" w:eastAsia="標楷體" w:hAnsi="Times New Roman" w:cs="新細明體"/>
                <w:b/>
                <w:bCs/>
                <w:kern w:val="0"/>
                <w:szCs w:val="24"/>
              </w:rPr>
              <w:t>體重</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52CE37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249843AC" w14:textId="77777777">
        <w:trPr>
          <w:trHeight w:val="1087"/>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E8456A"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Weight gain or voluntary weight stable/loss </w:t>
            </w:r>
          </w:p>
          <w:p w14:paraId="5FBBF86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體重增加，</w:t>
            </w:r>
          </w:p>
          <w:p w14:paraId="493676CB"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或刻意維持的體重</w:t>
            </w:r>
            <w:r>
              <w:rPr>
                <w:rFonts w:ascii="Times New Roman" w:eastAsia="標楷體" w:hAnsi="Times New Roman" w:cs="新細明體"/>
                <w:kern w:val="0"/>
                <w:szCs w:val="24"/>
              </w:rPr>
              <w:t>/</w:t>
            </w:r>
            <w:r>
              <w:rPr>
                <w:rFonts w:ascii="Times New Roman" w:eastAsia="標楷體" w:hAnsi="Times New Roman" w:cs="新細明體"/>
                <w:kern w:val="0"/>
                <w:szCs w:val="24"/>
              </w:rPr>
              <w:t>刻意減重</w:t>
            </w:r>
            <w:r>
              <w:rPr>
                <w:rFonts w:ascii="Times New Roman" w:eastAsia="標楷體" w:hAnsi="Times New Roman" w:cs="新細明體"/>
                <w:kern w:val="0"/>
                <w:szCs w:val="24"/>
              </w:rPr>
              <w:t xml:space="preserve"> </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7813A0"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Involuntary weight stable, weight loss 1%-9% </w:t>
            </w:r>
          </w:p>
          <w:p w14:paraId="1E95BEB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非刻意維持的體重，體重降低</w:t>
            </w:r>
            <w:r>
              <w:rPr>
                <w:rFonts w:ascii="Times New Roman" w:eastAsia="標楷體" w:hAnsi="Times New Roman" w:cs="新細明體"/>
                <w:kern w:val="0"/>
                <w:szCs w:val="24"/>
              </w:rPr>
              <w:t>1%-9%</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C220EF"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Weight loss </w:t>
            </w:r>
            <w:r>
              <w:rPr>
                <w:rFonts w:ascii="Times New Roman" w:eastAsia="標楷體" w:hAnsi="Times New Roman"/>
                <w:kern w:val="0"/>
                <w:szCs w:val="24"/>
              </w:rPr>
              <w:t>≥</w:t>
            </w:r>
            <w:r>
              <w:rPr>
                <w:rFonts w:ascii="Times New Roman" w:eastAsia="標楷體" w:hAnsi="Times New Roman" w:cs="新細明體"/>
                <w:kern w:val="0"/>
                <w:szCs w:val="24"/>
              </w:rPr>
              <w:t xml:space="preserve"> 10%</w:t>
            </w:r>
          </w:p>
          <w:p w14:paraId="3F76625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體重降低</w:t>
            </w:r>
            <w:r>
              <w:rPr>
                <w:rFonts w:ascii="Times New Roman" w:eastAsia="標楷體" w:hAnsi="Times New Roman" w:cs="新細明體"/>
                <w:kern w:val="0"/>
                <w:szCs w:val="24"/>
              </w:rPr>
              <w:t>10%</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BA784A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B1B5A31"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68EAE4"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Height at Diagnosis</w:t>
            </w:r>
            <w:r>
              <w:rPr>
                <w:rFonts w:ascii="Times New Roman" w:eastAsia="標楷體" w:hAnsi="Times New Roman" w:cs="新細明體"/>
                <w:b/>
                <w:bCs/>
                <w:kern w:val="0"/>
                <w:szCs w:val="24"/>
              </w:rPr>
              <w:t>診斷時身高</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407D24B"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63B3BE75" w14:textId="77777777">
        <w:trPr>
          <w:trHeight w:val="715"/>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5FF4F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&lt; 1 channel decrease </w:t>
            </w:r>
          </w:p>
          <w:p w14:paraId="4344DE60"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&lt; 1 </w:t>
            </w:r>
            <w:r>
              <w:rPr>
                <w:rFonts w:ascii="Times New Roman" w:eastAsia="標楷體" w:hAnsi="Times New Roman" w:cs="新細明體"/>
                <w:kern w:val="0"/>
                <w:szCs w:val="24"/>
              </w:rPr>
              <w:t>間距</w:t>
            </w:r>
            <w:r>
              <w:rPr>
                <w:rFonts w:ascii="Times New Roman" w:eastAsia="標楷體" w:hAnsi="Times New Roman" w:cs="新細明體"/>
                <w:kern w:val="0"/>
                <w:szCs w:val="24"/>
              </w:rPr>
              <w:t>( channel)</w:t>
            </w:r>
            <w:r>
              <w:rPr>
                <w:rFonts w:ascii="Times New Roman" w:eastAsia="標楷體" w:hAnsi="Times New Roman" w:cs="新細明體"/>
                <w:kern w:val="0"/>
                <w:szCs w:val="24"/>
              </w:rPr>
              <w:t>減少</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3E975"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5 = </w:t>
            </w:r>
            <w:r>
              <w:rPr>
                <w:rFonts w:ascii="Times New Roman" w:eastAsia="標楷體" w:hAnsi="Times New Roman"/>
                <w:kern w:val="0"/>
                <w:szCs w:val="24"/>
              </w:rPr>
              <w:t>≥</w:t>
            </w:r>
            <w:r>
              <w:rPr>
                <w:rFonts w:ascii="Times New Roman" w:eastAsia="標楷體" w:hAnsi="Times New Roman" w:cs="新細明體"/>
                <w:kern w:val="0"/>
                <w:szCs w:val="24"/>
              </w:rPr>
              <w:t xml:space="preserve"> 1, &lt; 2 channel decrease &lt; 2</w:t>
            </w:r>
            <w:r>
              <w:rPr>
                <w:rFonts w:ascii="Times New Roman" w:eastAsia="標楷體" w:hAnsi="Times New Roman" w:cs="新細明體"/>
                <w:kern w:val="0"/>
                <w:szCs w:val="24"/>
              </w:rPr>
              <w:t>間距</w:t>
            </w:r>
            <w:r>
              <w:rPr>
                <w:rFonts w:ascii="Times New Roman" w:eastAsia="標楷體" w:hAnsi="Times New Roman" w:cs="新細明體"/>
                <w:kern w:val="0"/>
                <w:szCs w:val="24"/>
              </w:rPr>
              <w:t>( channel)</w:t>
            </w:r>
            <w:r>
              <w:rPr>
                <w:rFonts w:ascii="Times New Roman" w:eastAsia="標楷體" w:hAnsi="Times New Roman" w:cs="新細明體"/>
                <w:kern w:val="0"/>
                <w:szCs w:val="24"/>
              </w:rPr>
              <w:t>減少</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F00C8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10 = &gt; 2 channel decrease  </w:t>
            </w:r>
          </w:p>
          <w:p w14:paraId="761CE3B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&gt;2</w:t>
            </w:r>
            <w:r>
              <w:rPr>
                <w:rFonts w:ascii="Times New Roman" w:eastAsia="標楷體" w:hAnsi="Times New Roman" w:cs="新細明體"/>
                <w:kern w:val="0"/>
                <w:szCs w:val="24"/>
              </w:rPr>
              <w:t>間距</w:t>
            </w:r>
            <w:r>
              <w:rPr>
                <w:rFonts w:ascii="Times New Roman" w:eastAsia="標楷體" w:hAnsi="Times New Roman" w:cs="新細明體"/>
                <w:kern w:val="0"/>
                <w:szCs w:val="24"/>
              </w:rPr>
              <w:t>( channel)</w:t>
            </w:r>
            <w:r>
              <w:rPr>
                <w:rFonts w:ascii="Times New Roman" w:eastAsia="標楷體" w:hAnsi="Times New Roman" w:cs="新細明體"/>
                <w:kern w:val="0"/>
                <w:szCs w:val="24"/>
              </w:rPr>
              <w:t>減少</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D58D36C"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2723AAE8"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9E81BF"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Height at Follow-Up </w:t>
            </w:r>
            <w:r>
              <w:rPr>
                <w:rFonts w:ascii="Times New Roman" w:eastAsia="標楷體" w:hAnsi="Times New Roman" w:cs="新細明體"/>
                <w:b/>
                <w:bCs/>
                <w:kern w:val="0"/>
                <w:szCs w:val="24"/>
              </w:rPr>
              <w:t>追蹤時身高</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8E43DCD"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28963EF" w14:textId="77777777">
        <w:trPr>
          <w:trHeight w:val="1043"/>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04586"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0 = Height velocity </w:t>
            </w:r>
            <w:r>
              <w:rPr>
                <w:rFonts w:ascii="Times New Roman" w:eastAsia="標楷體" w:hAnsi="Times New Roman"/>
                <w:kern w:val="0"/>
                <w:szCs w:val="24"/>
              </w:rPr>
              <w:t>≥</w:t>
            </w:r>
            <w:r>
              <w:rPr>
                <w:rFonts w:ascii="Times New Roman" w:eastAsia="標楷體" w:hAnsi="Times New Roman" w:cs="新細明體"/>
                <w:kern w:val="0"/>
                <w:szCs w:val="24"/>
              </w:rPr>
              <w:t xml:space="preserve"> -1 SD </w:t>
            </w:r>
          </w:p>
          <w:p w14:paraId="6E57E4D7" w14:textId="77777777" w:rsidR="00401786" w:rsidRDefault="00C64FB3" w:rsidP="007215CF">
            <w:pPr>
              <w:widowControl/>
              <w:spacing w:line="300" w:lineRule="exact"/>
              <w:jc w:val="center"/>
            </w:pPr>
            <w:r>
              <w:rPr>
                <w:rFonts w:ascii="Times New Roman" w:eastAsia="標楷體" w:hAnsi="Times New Roman" w:cs="新細明體"/>
                <w:kern w:val="0"/>
                <w:szCs w:val="24"/>
              </w:rPr>
              <w:t>身高生長速度</w:t>
            </w:r>
            <w:r>
              <w:rPr>
                <w:rFonts w:ascii="Times New Roman" w:eastAsia="標楷體" w:hAnsi="Times New Roman" w:cs="新細明體"/>
                <w:kern w:val="0"/>
                <w:szCs w:val="24"/>
              </w:rPr>
              <w:t xml:space="preserve"> </w:t>
            </w:r>
            <w:r>
              <w:rPr>
                <w:rFonts w:ascii="Times New Roman" w:eastAsia="標楷體" w:hAnsi="Times New Roman"/>
                <w:kern w:val="0"/>
                <w:szCs w:val="24"/>
              </w:rPr>
              <w:t>≥</w:t>
            </w:r>
            <w:r>
              <w:rPr>
                <w:rFonts w:ascii="Times New Roman" w:eastAsia="標楷體" w:hAnsi="Times New Roman" w:cs="新細明體"/>
                <w:kern w:val="0"/>
                <w:szCs w:val="24"/>
              </w:rPr>
              <w:t xml:space="preserve"> -1 </w:t>
            </w:r>
            <w:r>
              <w:rPr>
                <w:rFonts w:ascii="Times New Roman" w:eastAsia="標楷體" w:hAnsi="Times New Roman" w:cs="新細明體"/>
                <w:kern w:val="0"/>
                <w:szCs w:val="24"/>
              </w:rPr>
              <w:t>個標準差</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F3110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Height velocity &lt; -1 SD, &gt; -2 SD   </w:t>
            </w:r>
          </w:p>
          <w:p w14:paraId="53E11C5F"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身高生長速度介於</w:t>
            </w:r>
            <w:r>
              <w:rPr>
                <w:rFonts w:ascii="Times New Roman" w:eastAsia="標楷體" w:hAnsi="Times New Roman" w:cs="新細明體"/>
                <w:kern w:val="0"/>
                <w:szCs w:val="24"/>
              </w:rPr>
              <w:t xml:space="preserve">-1~ -2 </w:t>
            </w:r>
            <w:proofErr w:type="gramStart"/>
            <w:r>
              <w:rPr>
                <w:rFonts w:ascii="Times New Roman" w:eastAsia="標楷體" w:hAnsi="Times New Roman" w:cs="新細明體"/>
                <w:kern w:val="0"/>
                <w:szCs w:val="24"/>
              </w:rPr>
              <w:t>個</w:t>
            </w:r>
            <w:proofErr w:type="gramEnd"/>
            <w:r>
              <w:rPr>
                <w:rFonts w:ascii="Times New Roman" w:eastAsia="標楷體" w:hAnsi="Times New Roman" w:cs="新細明體"/>
                <w:kern w:val="0"/>
                <w:szCs w:val="24"/>
              </w:rPr>
              <w:t>標準差</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0A58C0"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Height velocity </w:t>
            </w:r>
            <w:r>
              <w:rPr>
                <w:rFonts w:ascii="Times New Roman" w:eastAsia="標楷體" w:hAnsi="Times New Roman"/>
                <w:kern w:val="0"/>
                <w:szCs w:val="24"/>
              </w:rPr>
              <w:t>≤</w:t>
            </w:r>
            <w:r>
              <w:rPr>
                <w:rFonts w:ascii="Times New Roman" w:eastAsia="標楷體" w:hAnsi="Times New Roman" w:cs="新細明體"/>
                <w:kern w:val="0"/>
                <w:szCs w:val="24"/>
              </w:rPr>
              <w:t xml:space="preserve"> -2 SD  </w:t>
            </w:r>
          </w:p>
          <w:p w14:paraId="6DFBC1B2" w14:textId="77777777" w:rsidR="00401786" w:rsidRDefault="00C64FB3" w:rsidP="007215CF">
            <w:pPr>
              <w:widowControl/>
              <w:spacing w:line="300" w:lineRule="exact"/>
              <w:jc w:val="center"/>
            </w:pPr>
            <w:r>
              <w:rPr>
                <w:rFonts w:ascii="Times New Roman" w:eastAsia="標楷體" w:hAnsi="Times New Roman" w:cs="新細明體"/>
                <w:kern w:val="0"/>
                <w:szCs w:val="24"/>
              </w:rPr>
              <w:t>身高生長速度</w:t>
            </w:r>
            <w:r>
              <w:rPr>
                <w:rFonts w:ascii="Times New Roman" w:eastAsia="標楷體" w:hAnsi="Times New Roman"/>
                <w:kern w:val="0"/>
                <w:szCs w:val="24"/>
              </w:rPr>
              <w:t>≤</w:t>
            </w:r>
            <w:r>
              <w:rPr>
                <w:rFonts w:ascii="Times New Roman" w:eastAsia="標楷體" w:hAnsi="Times New Roman" w:cs="新細明體"/>
                <w:kern w:val="0"/>
                <w:szCs w:val="24"/>
              </w:rPr>
              <w:t xml:space="preserve"> -2</w:t>
            </w:r>
            <w:r>
              <w:rPr>
                <w:rFonts w:ascii="Times New Roman" w:eastAsia="標楷體" w:hAnsi="Times New Roman" w:cs="新細明體"/>
                <w:kern w:val="0"/>
                <w:szCs w:val="24"/>
              </w:rPr>
              <w:t>個標準差</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E42C4EB"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AEEA2AE"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CB8557"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Abdomen</w:t>
            </w:r>
            <w:r>
              <w:rPr>
                <w:rFonts w:ascii="Times New Roman" w:eastAsia="標楷體" w:hAnsi="Times New Roman" w:cs="新細明體"/>
                <w:b/>
                <w:bCs/>
                <w:kern w:val="0"/>
                <w:szCs w:val="24"/>
              </w:rPr>
              <w:t>腹部</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9C73952"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721CE27" w14:textId="77777777">
        <w:trPr>
          <w:trHeight w:val="1490"/>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E3C74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No tenderness, no mass </w:t>
            </w:r>
          </w:p>
          <w:p w14:paraId="1060AF0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沒有壓痛、沒有腫塊</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26ACD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Tenderness or mass without tenderness </w:t>
            </w:r>
          </w:p>
          <w:p w14:paraId="2EC1175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有壓痛，或有不痛的腫塊</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A8FB4F"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10 = Tenderness, involuntary guarding, definite mass</w:t>
            </w:r>
          </w:p>
          <w:p w14:paraId="2DBDE0F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有壓痛，觸診時不自主的防衛，有明顯的腫塊</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86C2058"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7FB036FB"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EE5D27"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Perirectal Disease</w:t>
            </w:r>
            <w:r>
              <w:rPr>
                <w:rFonts w:ascii="Times New Roman" w:eastAsia="標楷體" w:hAnsi="Times New Roman" w:cs="新細明體"/>
                <w:b/>
                <w:bCs/>
                <w:kern w:val="0"/>
                <w:szCs w:val="24"/>
              </w:rPr>
              <w:t>直腸周邊的疾病</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178506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6B554D4F" w14:textId="77777777">
        <w:trPr>
          <w:trHeight w:val="1281"/>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3A3FA9"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0 = None, asymptomatic tags </w:t>
            </w:r>
            <w:r>
              <w:rPr>
                <w:rFonts w:ascii="Times New Roman" w:eastAsia="標楷體" w:hAnsi="Times New Roman" w:cs="新細明體"/>
                <w:kern w:val="0"/>
                <w:szCs w:val="24"/>
              </w:rPr>
              <w:t>沒有，無症狀的</w:t>
            </w:r>
            <w:r>
              <w:rPr>
                <w:rFonts w:ascii="Times New Roman" w:eastAsia="標楷體" w:hAnsi="Times New Roman" w:cs="Arial"/>
                <w:szCs w:val="24"/>
                <w:shd w:val="clear" w:color="auto" w:fill="FFFFFF"/>
              </w:rPr>
              <w:t>贅瘤</w:t>
            </w:r>
            <w:r>
              <w:rPr>
                <w:rFonts w:ascii="Times New Roman" w:eastAsia="標楷體" w:hAnsi="Times New Roman" w:cs="Arial"/>
                <w:szCs w:val="24"/>
                <w:shd w:val="clear" w:color="auto" w:fill="FFFFFF"/>
              </w:rPr>
              <w:t>(</w:t>
            </w:r>
            <w:r>
              <w:rPr>
                <w:rFonts w:ascii="Times New Roman" w:eastAsia="標楷體" w:hAnsi="Times New Roman" w:cs="Arial"/>
                <w:szCs w:val="24"/>
                <w:shd w:val="clear" w:color="auto" w:fill="FFFFFF"/>
              </w:rPr>
              <w:t>表皮</w:t>
            </w:r>
            <w:proofErr w:type="gramStart"/>
            <w:r>
              <w:rPr>
                <w:rFonts w:ascii="Times New Roman" w:eastAsia="標楷體" w:hAnsi="Times New Roman" w:cs="Arial"/>
                <w:szCs w:val="24"/>
                <w:shd w:val="clear" w:color="auto" w:fill="FFFFFF"/>
              </w:rPr>
              <w:t>小肉球</w:t>
            </w:r>
            <w:proofErr w:type="gramEnd"/>
            <w:r>
              <w:rPr>
                <w:rFonts w:ascii="Times New Roman" w:eastAsia="標楷體" w:hAnsi="Times New Roman" w:cs="Arial"/>
                <w:szCs w:val="24"/>
                <w:shd w:val="clear" w:color="auto" w:fill="FFFFFF"/>
              </w:rPr>
              <w:t>)</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A8FACE" w14:textId="77777777" w:rsidR="00401786" w:rsidRDefault="00C64FB3" w:rsidP="007215CF">
            <w:pPr>
              <w:widowControl/>
              <w:spacing w:line="300" w:lineRule="exact"/>
              <w:jc w:val="center"/>
              <w:rPr>
                <w:rFonts w:ascii="Times New Roman" w:eastAsia="標楷體" w:hAnsi="Times New Roman" w:cs="新細明體"/>
                <w:kern w:val="0"/>
                <w:szCs w:val="24"/>
                <w:lang w:val="it-IT"/>
              </w:rPr>
            </w:pPr>
            <w:r>
              <w:rPr>
                <w:rFonts w:ascii="Times New Roman" w:eastAsia="標楷體" w:hAnsi="Times New Roman" w:cs="新細明體"/>
                <w:kern w:val="0"/>
                <w:szCs w:val="24"/>
                <w:lang w:val="it-IT"/>
              </w:rPr>
              <w:t xml:space="preserve">5 = 1-2 indolent fistula, scant drainage, no tenderness </w:t>
            </w:r>
          </w:p>
          <w:p w14:paraId="24AA8475"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1-2 </w:t>
            </w:r>
            <w:proofErr w:type="gramStart"/>
            <w:r>
              <w:rPr>
                <w:rFonts w:ascii="Times New Roman" w:eastAsia="標楷體" w:hAnsi="Times New Roman" w:cs="新細明體"/>
                <w:kern w:val="0"/>
                <w:szCs w:val="24"/>
              </w:rPr>
              <w:t>個</w:t>
            </w:r>
            <w:proofErr w:type="gramEnd"/>
            <w:r>
              <w:rPr>
                <w:rFonts w:ascii="Times New Roman" w:eastAsia="標楷體" w:hAnsi="Times New Roman" w:cs="新細明體"/>
                <w:kern w:val="0"/>
                <w:szCs w:val="24"/>
              </w:rPr>
              <w:t>不痛的</w:t>
            </w:r>
            <w:proofErr w:type="gramStart"/>
            <w:r>
              <w:rPr>
                <w:rFonts w:ascii="Times New Roman" w:eastAsia="標楷體" w:hAnsi="Times New Roman" w:cs="新細明體"/>
                <w:kern w:val="0"/>
                <w:szCs w:val="24"/>
              </w:rPr>
              <w:t>廔</w:t>
            </w:r>
            <w:proofErr w:type="gramEnd"/>
            <w:r>
              <w:rPr>
                <w:rFonts w:ascii="Times New Roman" w:eastAsia="標楷體" w:hAnsi="Times New Roman" w:cs="新細明體"/>
                <w:kern w:val="0"/>
                <w:szCs w:val="24"/>
              </w:rPr>
              <w:t>管，少量流出分泌物，</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沒有壓痛</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A84B41"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10 = Active fistula, drainage, tenderness, or abscess </w:t>
            </w:r>
          </w:p>
          <w:p w14:paraId="1F5BD2C8"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活動性</w:t>
            </w:r>
            <w:proofErr w:type="gramStart"/>
            <w:r>
              <w:rPr>
                <w:rFonts w:ascii="Times New Roman" w:eastAsia="標楷體" w:hAnsi="Times New Roman" w:cs="新細明體"/>
                <w:kern w:val="0"/>
                <w:szCs w:val="24"/>
              </w:rPr>
              <w:t>廔</w:t>
            </w:r>
            <w:proofErr w:type="gramEnd"/>
            <w:r>
              <w:rPr>
                <w:rFonts w:ascii="Times New Roman" w:eastAsia="標楷體" w:hAnsi="Times New Roman" w:cs="新細明體"/>
                <w:kern w:val="0"/>
                <w:szCs w:val="24"/>
              </w:rPr>
              <w:t>管，有流出分泌物，有壓痛或是膿瘡</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0B21827"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226BFDA"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83B1EE"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Extraintestinal Manifestations</w:t>
            </w:r>
            <w:r>
              <w:rPr>
                <w:rFonts w:ascii="Times New Roman" w:eastAsia="標楷體" w:hAnsi="Times New Roman" w:cs="新細明體"/>
                <w:b/>
                <w:bCs/>
                <w:kern w:val="0"/>
                <w:szCs w:val="24"/>
              </w:rPr>
              <w:t>腸道外症狀</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14DD66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529B0AED" w14:textId="77777777">
        <w:trPr>
          <w:trHeight w:val="1073"/>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ADBE6"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(Fever </w:t>
            </w:r>
            <w:r>
              <w:rPr>
                <w:rFonts w:ascii="Times New Roman" w:eastAsia="標楷體" w:hAnsi="Times New Roman"/>
                <w:kern w:val="0"/>
                <w:szCs w:val="24"/>
              </w:rPr>
              <w:t>≥</w:t>
            </w:r>
            <w:r>
              <w:rPr>
                <w:rFonts w:ascii="Times New Roman" w:eastAsia="標楷體" w:hAnsi="Times New Roman" w:cs="新細明體"/>
                <w:kern w:val="0"/>
                <w:szCs w:val="24"/>
              </w:rPr>
              <w:t xml:space="preserve"> 38.5°C for 3 days over past week, definite arthritis, uveitis, E. nodosum, P. gangrenosum)</w:t>
            </w:r>
          </w:p>
          <w:p w14:paraId="36F2C7E5" w14:textId="77777777" w:rsidR="00401786" w:rsidRDefault="00C64FB3" w:rsidP="007215CF">
            <w:pPr>
              <w:widowControl/>
              <w:spacing w:line="300" w:lineRule="exact"/>
              <w:jc w:val="center"/>
            </w:pPr>
            <w:r>
              <w:rPr>
                <w:rFonts w:ascii="Times New Roman" w:eastAsia="標楷體" w:hAnsi="Times New Roman" w:cs="新細明體"/>
                <w:kern w:val="0"/>
                <w:szCs w:val="24"/>
              </w:rPr>
              <w:t>(</w:t>
            </w:r>
            <w:r>
              <w:rPr>
                <w:rFonts w:ascii="Times New Roman" w:eastAsia="標楷體" w:hAnsi="Times New Roman" w:cs="新細明體"/>
                <w:kern w:val="0"/>
                <w:szCs w:val="24"/>
              </w:rPr>
              <w:t>在過去一周發燒</w:t>
            </w:r>
            <w:r>
              <w:rPr>
                <w:rFonts w:ascii="Times New Roman" w:eastAsia="標楷體" w:hAnsi="Times New Roman"/>
                <w:kern w:val="0"/>
                <w:szCs w:val="24"/>
              </w:rPr>
              <w:t>≥</w:t>
            </w:r>
            <w:r>
              <w:rPr>
                <w:rFonts w:ascii="Times New Roman" w:eastAsia="標楷體" w:hAnsi="Times New Roman" w:cs="新細明體"/>
                <w:kern w:val="0"/>
                <w:szCs w:val="24"/>
              </w:rPr>
              <w:t xml:space="preserve"> 38.5°C</w:t>
            </w:r>
            <w:r>
              <w:rPr>
                <w:rFonts w:ascii="Times New Roman" w:eastAsia="標楷體" w:hAnsi="Times New Roman" w:cs="新細明體"/>
                <w:kern w:val="0"/>
                <w:szCs w:val="24"/>
              </w:rPr>
              <w:t>至少</w:t>
            </w:r>
            <w:r>
              <w:rPr>
                <w:rFonts w:ascii="Times New Roman" w:eastAsia="標楷體" w:hAnsi="Times New Roman" w:cs="新細明體"/>
                <w:kern w:val="0"/>
                <w:szCs w:val="24"/>
              </w:rPr>
              <w:t>3</w:t>
            </w:r>
            <w:r>
              <w:rPr>
                <w:rFonts w:ascii="Times New Roman" w:eastAsia="標楷體" w:hAnsi="Times New Roman" w:cs="新細明體"/>
                <w:kern w:val="0"/>
                <w:szCs w:val="24"/>
              </w:rPr>
              <w:t>天，</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關節炎</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虹彩炎，結節性紅斑</w:t>
            </w:r>
            <w:r>
              <w:rPr>
                <w:rFonts w:ascii="Times New Roman" w:eastAsia="標楷體" w:hAnsi="Times New Roman" w:cs="新細明體"/>
                <w:kern w:val="0"/>
                <w:szCs w:val="24"/>
              </w:rPr>
              <w:t>(Erythema nodosum)</w:t>
            </w:r>
            <w:r>
              <w:rPr>
                <w:rFonts w:ascii="Times New Roman" w:eastAsia="標楷體" w:hAnsi="Times New Roman" w:cs="新細明體"/>
                <w:kern w:val="0"/>
                <w:szCs w:val="24"/>
              </w:rPr>
              <w:t>，</w:t>
            </w:r>
            <w:r>
              <w:rPr>
                <w:rFonts w:ascii="Times New Roman" w:eastAsia="標楷體" w:hAnsi="Times New Roman" w:cs="Arial"/>
                <w:szCs w:val="24"/>
                <w:shd w:val="clear" w:color="auto" w:fill="FFFFFF"/>
              </w:rPr>
              <w:t>壞疽性膿皮症</w:t>
            </w:r>
            <w:r>
              <w:rPr>
                <w:rFonts w:ascii="Times New Roman" w:eastAsia="標楷體" w:hAnsi="Times New Roman" w:cs="Arial"/>
                <w:szCs w:val="24"/>
                <w:shd w:val="clear" w:color="auto" w:fill="FFFFFF"/>
              </w:rPr>
              <w:t>(pyoderma </w:t>
            </w:r>
            <w:r>
              <w:rPr>
                <w:rFonts w:ascii="Times New Roman" w:eastAsia="標楷體" w:hAnsi="Times New Roman" w:cs="Arial"/>
                <w:i/>
                <w:iCs/>
                <w:szCs w:val="24"/>
                <w:shd w:val="clear" w:color="auto" w:fill="FFFFFF"/>
              </w:rPr>
              <w:t>gangrenosum</w:t>
            </w:r>
            <w:r>
              <w:rPr>
                <w:rFonts w:ascii="Times New Roman" w:eastAsia="標楷體" w:hAnsi="Times New Roman" w:cs="Arial"/>
                <w:szCs w:val="24"/>
                <w:shd w:val="clear" w:color="auto" w:fill="FFFFFF"/>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AEB5EA8"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D98BEB5" w14:textId="77777777">
        <w:trPr>
          <w:trHeight w:val="496"/>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FF1345"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None</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930A7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1</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06681A"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w:t>
            </w:r>
            <w:r>
              <w:rPr>
                <w:rFonts w:ascii="Times New Roman" w:eastAsia="標楷體" w:hAnsi="Times New Roman"/>
                <w:kern w:val="0"/>
                <w:szCs w:val="24"/>
              </w:rPr>
              <w:t>≥</w:t>
            </w:r>
            <w:r>
              <w:rPr>
                <w:rFonts w:ascii="Times New Roman" w:eastAsia="標楷體" w:hAnsi="Times New Roman" w:cs="新細明體"/>
                <w:kern w:val="0"/>
                <w:szCs w:val="24"/>
              </w:rPr>
              <w:t xml:space="preserve"> 2</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8D48FAD"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5443599F"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D8FDF1" w14:textId="77777777" w:rsidR="00401786" w:rsidRDefault="00C64FB3" w:rsidP="007215CF">
            <w:pPr>
              <w:widowControl/>
              <w:spacing w:line="300" w:lineRule="exact"/>
              <w:jc w:val="right"/>
              <w:rPr>
                <w:rFonts w:ascii="Times New Roman" w:eastAsia="標楷體" w:hAnsi="Times New Roman" w:cs="新細明體"/>
                <w:b/>
                <w:bCs/>
                <w:kern w:val="0"/>
                <w:szCs w:val="24"/>
              </w:rPr>
            </w:pPr>
            <w:r>
              <w:rPr>
                <w:rFonts w:ascii="Times New Roman" w:eastAsia="標楷體" w:hAnsi="Times New Roman" w:cs="新細明體"/>
                <w:b/>
                <w:bCs/>
                <w:kern w:val="0"/>
                <w:szCs w:val="24"/>
              </w:rPr>
              <w:t>Total Score</w:t>
            </w:r>
            <w:r>
              <w:rPr>
                <w:rFonts w:ascii="Times New Roman" w:eastAsia="標楷體" w:hAnsi="Times New Roman" w:cs="新細明體"/>
                <w:b/>
                <w:bCs/>
                <w:kern w:val="0"/>
                <w:szCs w:val="24"/>
              </w:rPr>
              <w:t>總分</w:t>
            </w:r>
            <w:r>
              <w:rPr>
                <w:rFonts w:ascii="Times New Roman" w:eastAsia="標楷體" w:hAnsi="Times New Roman" w:cs="新細明體"/>
                <w:b/>
                <w:bCs/>
                <w:kern w:val="0"/>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92FEBC"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bl>
    <w:p w14:paraId="36D2151C" w14:textId="77777777" w:rsidR="00401786" w:rsidRDefault="00401786" w:rsidP="000E757E">
      <w:pPr>
        <w:spacing w:line="240" w:lineRule="atLeast"/>
      </w:pPr>
    </w:p>
    <w:p w14:paraId="34809FAD" w14:textId="77777777" w:rsidR="000B622C" w:rsidRPr="005C51CB" w:rsidRDefault="000B622C" w:rsidP="000B622C">
      <w:pPr>
        <w:pageBreakBefore/>
        <w:widowControl/>
        <w:spacing w:line="300" w:lineRule="exact"/>
        <w:ind w:leftChars="-1" w:left="-2" w:firstLineChars="51" w:firstLine="123"/>
        <w:rPr>
          <w:b/>
          <w:bCs/>
        </w:rPr>
      </w:pPr>
      <w:r w:rsidRPr="005C51CB">
        <w:rPr>
          <w:rFonts w:ascii="標楷體" w:eastAsia="標楷體" w:hAnsi="標楷體"/>
          <w:b/>
          <w:bCs/>
        </w:rPr>
        <w:lastRenderedPageBreak/>
        <w:t>附表二十六之五：全民健康保險潰瘍性結腸炎使用生物製劑申請表</w:t>
      </w:r>
    </w:p>
    <w:tbl>
      <w:tblPr>
        <w:tblW w:w="0" w:type="auto"/>
        <w:tblInd w:w="119" w:type="dxa"/>
        <w:tblCellMar>
          <w:left w:w="10" w:type="dxa"/>
          <w:right w:w="10" w:type="dxa"/>
        </w:tblCellMar>
        <w:tblLook w:val="04A0" w:firstRow="1" w:lastRow="0" w:firstColumn="1" w:lastColumn="0" w:noHBand="0" w:noVBand="1"/>
      </w:tblPr>
      <w:tblGrid>
        <w:gridCol w:w="1376"/>
        <w:gridCol w:w="304"/>
        <w:gridCol w:w="2201"/>
        <w:gridCol w:w="290"/>
        <w:gridCol w:w="1095"/>
        <w:gridCol w:w="1037"/>
        <w:gridCol w:w="3086"/>
      </w:tblGrid>
      <w:tr w:rsidR="000B622C" w14:paraId="297C0F6B" w14:textId="77777777" w:rsidTr="000B622C">
        <w:trPr>
          <w:cantSplit/>
          <w:trHeight w:val="376"/>
        </w:trPr>
        <w:tc>
          <w:tcPr>
            <w:tcW w:w="0" w:type="auto"/>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57A74C8" w14:textId="77777777" w:rsidR="000B622C" w:rsidRDefault="000B622C" w:rsidP="0003266F">
            <w:pPr>
              <w:snapToGrid w:val="0"/>
            </w:pPr>
            <w:r>
              <w:rPr>
                <w:rFonts w:ascii="標楷體" w:eastAsia="標楷體" w:hAnsi="標楷體"/>
              </w:rPr>
              <w:t>醫院代號</w:t>
            </w:r>
          </w:p>
        </w:tc>
        <w:tc>
          <w:tcPr>
            <w:tcW w:w="0" w:type="auto"/>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DEFAB2" w14:textId="77777777" w:rsidR="000B622C" w:rsidRDefault="000B622C" w:rsidP="0003266F">
            <w:pPr>
              <w:snapToGrid w:val="0"/>
              <w:rPr>
                <w:rFonts w:ascii="標楷體" w:eastAsia="標楷體" w:hAnsi="標楷體"/>
              </w:rPr>
            </w:pPr>
          </w:p>
        </w:tc>
        <w:tc>
          <w:tcPr>
            <w:tcW w:w="0" w:type="auto"/>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443091" w14:textId="77777777" w:rsidR="000B622C" w:rsidRDefault="000B622C" w:rsidP="0003266F">
            <w:pPr>
              <w:snapToGrid w:val="0"/>
              <w:rPr>
                <w:rFonts w:ascii="標楷體" w:eastAsia="標楷體" w:hAnsi="標楷體"/>
              </w:rPr>
            </w:pPr>
            <w:r>
              <w:rPr>
                <w:rFonts w:ascii="標楷體" w:eastAsia="標楷體" w:hAnsi="標楷體"/>
              </w:rPr>
              <w:t>醫院名稱</w:t>
            </w:r>
          </w:p>
        </w:tc>
        <w:tc>
          <w:tcPr>
            <w:tcW w:w="0" w:type="auto"/>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1080378" w14:textId="77777777" w:rsidR="000B622C" w:rsidRDefault="000B622C" w:rsidP="0003266F">
            <w:pPr>
              <w:snapToGrid w:val="0"/>
              <w:rPr>
                <w:rFonts w:ascii="標楷體" w:eastAsia="標楷體" w:hAnsi="標楷體"/>
              </w:rPr>
            </w:pPr>
          </w:p>
        </w:tc>
        <w:tc>
          <w:tcPr>
            <w:tcW w:w="0" w:type="auto"/>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B79CF6F" w14:textId="77777777" w:rsidR="000B622C" w:rsidRDefault="000B622C" w:rsidP="0003266F">
            <w:pPr>
              <w:snapToGrid w:val="0"/>
              <w:rPr>
                <w:rFonts w:ascii="標楷體" w:eastAsia="標楷體" w:hAnsi="標楷體"/>
              </w:rPr>
            </w:pPr>
            <w:r>
              <w:rPr>
                <w:rFonts w:ascii="標楷體" w:eastAsia="標楷體" w:hAnsi="標楷體"/>
              </w:rPr>
              <w:t>申請日期</w:t>
            </w:r>
          </w:p>
        </w:tc>
        <w:tc>
          <w:tcPr>
            <w:tcW w:w="0" w:type="auto"/>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B17C20C" w14:textId="77777777" w:rsidR="000B622C" w:rsidRDefault="00551DC0" w:rsidP="0003266F">
            <w:pPr>
              <w:snapToGrid w:val="0"/>
              <w:ind w:firstLine="480"/>
              <w:rPr>
                <w:rFonts w:ascii="標楷體" w:eastAsia="標楷體" w:hAnsi="標楷體"/>
              </w:rPr>
            </w:pPr>
            <w:r>
              <w:rPr>
                <w:rFonts w:ascii="標楷體" w:eastAsia="標楷體" w:hAnsi="標楷體"/>
                <w:noProof/>
                <w:kern w:val="0"/>
                <w:sz w:val="28"/>
                <w:szCs w:val="28"/>
              </w:rPr>
              <mc:AlternateContent>
                <mc:Choice Requires="wps">
                  <w:drawing>
                    <wp:anchor distT="0" distB="0" distL="114300" distR="114300" simplePos="0" relativeHeight="251679744" behindDoc="0" locked="0" layoutInCell="1" allowOverlap="1" wp14:anchorId="1F5A87A4" wp14:editId="6F125234">
                      <wp:simplePos x="0" y="0"/>
                      <wp:positionH relativeFrom="margin">
                        <wp:posOffset>664210</wp:posOffset>
                      </wp:positionH>
                      <wp:positionV relativeFrom="paragraph">
                        <wp:posOffset>-273685</wp:posOffset>
                      </wp:positionV>
                      <wp:extent cx="1264286" cy="320040"/>
                      <wp:effectExtent l="0" t="0" r="0" b="3810"/>
                      <wp:wrapNone/>
                      <wp:docPr id="32" name="文字方塊 23"/>
                      <wp:cNvGraphicFramePr/>
                      <a:graphic xmlns:a="http://schemas.openxmlformats.org/drawingml/2006/main">
                        <a:graphicData uri="http://schemas.microsoft.com/office/word/2010/wordprocessingShape">
                          <wps:wsp>
                            <wps:cNvSpPr txBox="1"/>
                            <wps:spPr>
                              <a:xfrm>
                                <a:off x="0" y="0"/>
                                <a:ext cx="1264286" cy="320040"/>
                              </a:xfrm>
                              <a:prstGeom prst="rect">
                                <a:avLst/>
                              </a:prstGeom>
                              <a:noFill/>
                              <a:ln>
                                <a:noFill/>
                                <a:prstDash/>
                              </a:ln>
                            </wps:spPr>
                            <wps:txbx>
                              <w:txbxContent>
                                <w:p w14:paraId="5980BEBA" w14:textId="77777777" w:rsidR="00C6448D" w:rsidRPr="005A1231" w:rsidRDefault="00C6448D" w:rsidP="000B622C">
                                  <w:pPr>
                                    <w:rPr>
                                      <w:rFonts w:ascii="標楷體" w:eastAsia="標楷體" w:hAnsi="標楷體"/>
                                    </w:rPr>
                                  </w:pPr>
                                  <w:r w:rsidRPr="005A1231">
                                    <w:rPr>
                                      <w:rFonts w:ascii="標楷體" w:eastAsia="標楷體" w:hAnsi="標楷體"/>
                                    </w:rPr>
                                    <w:t>(114.9.1</w:t>
                                  </w:r>
                                  <w:r w:rsidRPr="005A1231">
                                    <w:rPr>
                                      <w:rFonts w:ascii="標楷體" w:eastAsia="標楷體" w:hAnsi="標楷體" w:hint="eastAsia"/>
                                    </w:rPr>
                                    <w:t>生效</w:t>
                                  </w:r>
                                  <w:r w:rsidRPr="005A1231">
                                    <w:rPr>
                                      <w:rFonts w:ascii="標楷體" w:eastAsia="標楷體" w:hAnsi="標楷體"/>
                                    </w:rPr>
                                    <w:t>)</w:t>
                                  </w:r>
                                </w:p>
                              </w:txbxContent>
                            </wps:txbx>
                            <wps:bodyPr vert="horz" wrap="square" lIns="91440" tIns="45720" rIns="91440" bIns="45720" anchor="t" anchorCtr="0" compatLnSpc="1">
                              <a:noAutofit/>
                            </wps:bodyPr>
                          </wps:wsp>
                        </a:graphicData>
                      </a:graphic>
                    </wp:anchor>
                  </w:drawing>
                </mc:Choice>
                <mc:Fallback>
                  <w:pict>
                    <v:shape w14:anchorId="1F5A87A4" id="文字方塊 23" o:spid="_x0000_s1042" type="#_x0000_t202" style="position:absolute;left:0;text-align:left;margin-left:52.3pt;margin-top:-21.55pt;width:99.55pt;height:25.2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" filled="f" stroked="f">
                      <v:textbox>
                        <w:txbxContent>
                          <w:p w14:paraId="5980BEBA" w14:textId="77777777" w:rsidR="00C6448D" w:rsidRPr="005A1231" w:rsidRDefault="00C6448D" w:rsidP="000B622C">
                            <w:pPr>
                              <w:rPr>
                                <w:rFonts w:ascii="標楷體" w:eastAsia="標楷體" w:hAnsi="標楷體"/>
                              </w:rPr>
                            </w:pPr>
                            <w:r w:rsidRPr="005A1231">
                              <w:rPr>
                                <w:rFonts w:ascii="標楷體" w:eastAsia="標楷體" w:hAnsi="標楷體"/>
                              </w:rPr>
                              <w:t>(114.9.1</w:t>
                            </w:r>
                            <w:r w:rsidRPr="005A1231">
                              <w:rPr>
                                <w:rFonts w:ascii="標楷體" w:eastAsia="標楷體" w:hAnsi="標楷體" w:hint="eastAsia"/>
                              </w:rPr>
                              <w:t>生效</w:t>
                            </w:r>
                            <w:r w:rsidRPr="005A1231">
                              <w:rPr>
                                <w:rFonts w:ascii="標楷體" w:eastAsia="標楷體" w:hAnsi="標楷體"/>
                              </w:rPr>
                              <w:t>)</w:t>
                            </w:r>
                          </w:p>
                        </w:txbxContent>
                      </v:textbox>
                      <w10:wrap anchorx="margin"/>
                    </v:shape>
                  </w:pict>
                </mc:Fallback>
              </mc:AlternateContent>
            </w:r>
            <w:r w:rsidR="000B622C">
              <w:rPr>
                <w:rFonts w:ascii="標楷體" w:eastAsia="標楷體" w:hAnsi="標楷體"/>
              </w:rPr>
              <w:t>年   月  日</w:t>
            </w:r>
          </w:p>
        </w:tc>
      </w:tr>
      <w:tr w:rsidR="000B622C" w14:paraId="25D73FD1" w14:textId="77777777" w:rsidTr="000B622C">
        <w:trPr>
          <w:cantSplit/>
          <w:trHeight w:val="332"/>
        </w:trPr>
        <w:tc>
          <w:tcPr>
            <w:tcW w:w="0" w:type="auto"/>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768332C" w14:textId="77777777" w:rsidR="000B622C" w:rsidRDefault="000B622C" w:rsidP="0003266F">
            <w:pPr>
              <w:rPr>
                <w:rFonts w:ascii="標楷體" w:eastAsia="標楷體" w:hAnsi="標楷體"/>
              </w:rPr>
            </w:pPr>
            <w:r>
              <w:rPr>
                <w:rFonts w:ascii="標楷體" w:eastAsia="標楷體" w:hAnsi="標楷體"/>
              </w:rPr>
              <w:t>病人姓名</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7FD469"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04872E" w14:textId="77777777" w:rsidR="000B622C" w:rsidRDefault="000B622C" w:rsidP="0003266F">
            <w:pPr>
              <w:rPr>
                <w:rFonts w:ascii="標楷體" w:eastAsia="標楷體" w:hAnsi="標楷體"/>
              </w:rPr>
            </w:pPr>
            <w:r>
              <w:rPr>
                <w:rFonts w:ascii="標楷體" w:eastAsia="標楷體" w:hAnsi="標楷體"/>
              </w:rPr>
              <w:t>性別</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C2AAAF" w14:textId="77777777" w:rsidR="000B622C" w:rsidRDefault="000B622C" w:rsidP="0003266F">
            <w:pPr>
              <w:rPr>
                <w:rFonts w:ascii="標楷體" w:eastAsia="標楷體" w:hAnsi="標楷體"/>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1AAD2D" w14:textId="77777777" w:rsidR="000B622C" w:rsidRDefault="000B622C" w:rsidP="0003266F">
            <w:pPr>
              <w:rPr>
                <w:rFonts w:ascii="標楷體" w:eastAsia="標楷體" w:hAnsi="標楷體"/>
              </w:rPr>
            </w:pPr>
            <w:r>
              <w:rPr>
                <w:rFonts w:ascii="標楷體" w:eastAsia="標楷體" w:hAnsi="標楷體"/>
              </w:rPr>
              <w:t>出生日期</w:t>
            </w:r>
          </w:p>
        </w:tc>
        <w:tc>
          <w:tcPr>
            <w:tcW w:w="0" w:type="auto"/>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F727AA1" w14:textId="77777777" w:rsidR="000B622C" w:rsidRDefault="000B622C" w:rsidP="0003266F">
            <w:pPr>
              <w:ind w:firstLine="480"/>
              <w:rPr>
                <w:rFonts w:ascii="標楷體" w:eastAsia="標楷體" w:hAnsi="標楷體"/>
              </w:rPr>
            </w:pPr>
            <w:r>
              <w:rPr>
                <w:rFonts w:ascii="標楷體" w:eastAsia="標楷體" w:hAnsi="標楷體"/>
              </w:rPr>
              <w:t>年   月  日</w:t>
            </w:r>
          </w:p>
        </w:tc>
      </w:tr>
      <w:tr w:rsidR="000B622C" w14:paraId="0BED8E4B" w14:textId="77777777" w:rsidTr="000B622C">
        <w:trPr>
          <w:cantSplit/>
          <w:trHeight w:val="356"/>
        </w:trPr>
        <w:tc>
          <w:tcPr>
            <w:tcW w:w="0" w:type="auto"/>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DB7F9C9" w14:textId="77777777" w:rsidR="000B622C" w:rsidRDefault="000B622C" w:rsidP="0003266F">
            <w:pPr>
              <w:rPr>
                <w:rFonts w:ascii="標楷體" w:eastAsia="標楷體" w:hAnsi="標楷體"/>
              </w:rPr>
            </w:pPr>
            <w:r>
              <w:rPr>
                <w:rFonts w:ascii="標楷體" w:eastAsia="標楷體" w:hAnsi="標楷體"/>
              </w:rPr>
              <w:t>身分證號</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F66B17"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9770760" w14:textId="77777777" w:rsidR="000B622C" w:rsidRDefault="000B622C" w:rsidP="0003266F">
            <w:pPr>
              <w:rPr>
                <w:rFonts w:ascii="標楷體" w:eastAsia="標楷體" w:hAnsi="標楷體"/>
              </w:rPr>
            </w:pPr>
            <w:r>
              <w:rPr>
                <w:rFonts w:ascii="標楷體" w:eastAsia="標楷體" w:hAnsi="標楷體"/>
              </w:rPr>
              <w:t>病歷號碼</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62ECA7" w14:textId="77777777" w:rsidR="000B622C" w:rsidRDefault="000B622C" w:rsidP="0003266F">
            <w:pPr>
              <w:rPr>
                <w:rFonts w:ascii="標楷體" w:eastAsia="標楷體" w:hAnsi="標楷體"/>
              </w:rPr>
            </w:pPr>
          </w:p>
        </w:tc>
        <w:tc>
          <w:tcPr>
            <w:tcW w:w="0" w:type="auto"/>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7C1DA964" w14:textId="77777777" w:rsidR="000B622C" w:rsidRDefault="000B622C" w:rsidP="0003266F">
            <w:pPr>
              <w:rPr>
                <w:rFonts w:ascii="標楷體" w:eastAsia="標楷體" w:hAnsi="標楷體"/>
              </w:rPr>
            </w:pPr>
            <w:r>
              <w:rPr>
                <w:rFonts w:ascii="標楷體" w:eastAsia="標楷體" w:hAnsi="標楷體"/>
              </w:rPr>
              <w:t>使用期間</w:t>
            </w:r>
          </w:p>
        </w:tc>
        <w:tc>
          <w:tcPr>
            <w:tcW w:w="0" w:type="auto"/>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8F862A8" w14:textId="77777777" w:rsidR="000B622C" w:rsidRDefault="000B622C" w:rsidP="0003266F">
            <w:pPr>
              <w:rPr>
                <w:rFonts w:ascii="標楷體" w:eastAsia="標楷體" w:hAnsi="標楷體"/>
              </w:rPr>
            </w:pPr>
            <w:r>
              <w:rPr>
                <w:rFonts w:ascii="標楷體" w:eastAsia="標楷體" w:hAnsi="標楷體"/>
              </w:rPr>
              <w:t>自  年   月  日</w:t>
            </w:r>
          </w:p>
        </w:tc>
      </w:tr>
      <w:tr w:rsidR="000B622C" w14:paraId="1863B73C" w14:textId="77777777" w:rsidTr="000B622C">
        <w:trPr>
          <w:cantSplit/>
          <w:trHeight w:val="337"/>
        </w:trPr>
        <w:tc>
          <w:tcPr>
            <w:tcW w:w="0" w:type="auto"/>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3787CC2" w14:textId="77777777" w:rsidR="000B622C" w:rsidRDefault="000B622C" w:rsidP="0003266F">
            <w:pPr>
              <w:rPr>
                <w:rFonts w:ascii="標楷體" w:eastAsia="標楷體" w:hAnsi="標楷體"/>
              </w:rPr>
            </w:pPr>
            <w:r>
              <w:rPr>
                <w:rFonts w:ascii="標楷體" w:eastAsia="標楷體" w:hAnsi="標楷體"/>
              </w:rPr>
              <w:t>藥品代碼</w:t>
            </w:r>
          </w:p>
        </w:tc>
        <w:tc>
          <w:tcPr>
            <w:tcW w:w="0" w:type="auto"/>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056EA15"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15EE5AC" w14:textId="77777777" w:rsidR="000B622C" w:rsidRDefault="000B622C" w:rsidP="0003266F">
            <w:pPr>
              <w:rPr>
                <w:rFonts w:ascii="標楷體" w:eastAsia="標楷體" w:hAnsi="標楷體"/>
              </w:rPr>
            </w:pPr>
            <w:r>
              <w:rPr>
                <w:rFonts w:ascii="標楷體" w:eastAsia="標楷體" w:hAnsi="標楷體"/>
              </w:rPr>
              <w:t>用法用量</w:t>
            </w:r>
          </w:p>
        </w:tc>
        <w:tc>
          <w:tcPr>
            <w:tcW w:w="0" w:type="auto"/>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09DBA40" w14:textId="77777777" w:rsidR="000B622C" w:rsidRDefault="000B622C" w:rsidP="0003266F">
            <w:pPr>
              <w:rPr>
                <w:rFonts w:ascii="標楷體" w:eastAsia="標楷體" w:hAnsi="標楷體"/>
              </w:rPr>
            </w:pPr>
          </w:p>
        </w:tc>
        <w:tc>
          <w:tcPr>
            <w:tcW w:w="0" w:type="auto"/>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DFED6A8"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47DC7B7" w14:textId="77777777" w:rsidR="000B622C" w:rsidRDefault="000B622C" w:rsidP="0003266F">
            <w:pPr>
              <w:rPr>
                <w:rFonts w:ascii="標楷體" w:eastAsia="標楷體" w:hAnsi="標楷體"/>
              </w:rPr>
            </w:pPr>
            <w:r>
              <w:rPr>
                <w:rFonts w:ascii="標楷體" w:eastAsia="標楷體" w:hAnsi="標楷體"/>
              </w:rPr>
              <w:t>至　年   月　日</w:t>
            </w:r>
          </w:p>
        </w:tc>
      </w:tr>
      <w:tr w:rsidR="000B622C" w14:paraId="4FB28E6F" w14:textId="77777777" w:rsidTr="000B622C">
        <w:trPr>
          <w:trHeight w:val="35"/>
        </w:trPr>
        <w:tc>
          <w:tcPr>
            <w:tcW w:w="0" w:type="auto"/>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44794719" w14:textId="77777777" w:rsidR="000B622C" w:rsidRDefault="000B622C" w:rsidP="0003266F">
            <w:pPr>
              <w:spacing w:before="202"/>
            </w:pPr>
            <w:r>
              <w:rPr>
                <w:rFonts w:ascii="Webdings" w:eastAsia="Webdings" w:hAnsi="Webdings" w:cs="Webdings"/>
              </w:rPr>
              <w:t></w:t>
            </w:r>
            <w:r>
              <w:rPr>
                <w:rFonts w:ascii="標楷體" w:eastAsia="標楷體" w:hAnsi="標楷體"/>
                <w:bCs/>
                <w:szCs w:val="17"/>
              </w:rPr>
              <w:t>初次使用符合下列所有條件：(中度以上之潰瘍性結腸炎)</w:t>
            </w:r>
          </w:p>
          <w:p w14:paraId="7BA95CCD" w14:textId="77777777" w:rsidR="000B622C" w:rsidRDefault="000B622C" w:rsidP="0003266F">
            <w:pPr>
              <w:ind w:left="653" w:hanging="283"/>
            </w:pPr>
            <w:r>
              <w:rPr>
                <w:rFonts w:ascii="Webdings" w:eastAsia="Webdings" w:hAnsi="Webdings" w:cs="Webdings"/>
              </w:rPr>
              <w:t></w:t>
            </w:r>
            <w:r>
              <w:rPr>
                <w:rFonts w:ascii="標楷體" w:eastAsia="標楷體" w:hAnsi="標楷體"/>
              </w:rPr>
              <w:t>診斷為潰瘍性結腸炎且領有該症重大傷病卡。</w:t>
            </w:r>
          </w:p>
          <w:p w14:paraId="2B5A12B2" w14:textId="77777777" w:rsidR="000B622C" w:rsidRDefault="000B622C" w:rsidP="0003266F">
            <w:pPr>
              <w:ind w:left="799" w:hanging="427"/>
            </w:pPr>
            <w:r>
              <w:rPr>
                <w:rFonts w:ascii="Webdings" w:eastAsia="Webdings" w:hAnsi="Webdings" w:cs="Webdings"/>
              </w:rPr>
              <w:t></w:t>
            </w:r>
            <w:r>
              <w:rPr>
                <w:rFonts w:ascii="標楷體" w:eastAsia="標楷體" w:hAnsi="標楷體"/>
                <w:color w:val="000000"/>
              </w:rPr>
              <w:t>符合下列條件之一，且附上影像診斷評估報告。</w:t>
            </w:r>
          </w:p>
          <w:p w14:paraId="398BF1A2" w14:textId="77777777" w:rsidR="000B622C" w:rsidRDefault="000B622C" w:rsidP="0003266F">
            <w:pPr>
              <w:ind w:left="1025" w:hanging="339"/>
            </w:pPr>
            <w:r>
              <w:rPr>
                <w:rFonts w:ascii="Webdings" w:eastAsia="Webdings" w:hAnsi="Webdings" w:cs="Webdings"/>
              </w:rPr>
              <w:t></w:t>
            </w:r>
            <w:r>
              <w:rPr>
                <w:rFonts w:ascii="標楷體" w:eastAsia="標楷體" w:hAnsi="標楷體"/>
              </w:rPr>
              <w:t xml:space="preserve">經5-ASA、皮質類固醇和6-mercaptopurine (6-MP)或azathioprine (AZA)充分治療六個月，仍然無法控制病情(Mayo score </w:t>
            </w:r>
            <w:proofErr w:type="gramStart"/>
            <w:r>
              <w:rPr>
                <w:rFonts w:ascii="標楷體" w:eastAsia="標楷體" w:hAnsi="標楷體" w:cs="新細明體"/>
              </w:rPr>
              <w:t>≧</w:t>
            </w:r>
            <w:proofErr w:type="gramEnd"/>
            <w:r>
              <w:rPr>
                <w:rFonts w:ascii="標楷體" w:eastAsia="標楷體" w:hAnsi="標楷體"/>
              </w:rPr>
              <w:t xml:space="preserve">9和 endoscopy </w:t>
            </w:r>
            <w:proofErr w:type="spellStart"/>
            <w:r>
              <w:rPr>
                <w:rFonts w:ascii="標楷體" w:eastAsia="標楷體" w:hAnsi="標楷體"/>
              </w:rPr>
              <w:t>subscore</w:t>
            </w:r>
            <w:proofErr w:type="spellEnd"/>
            <w:proofErr w:type="gramStart"/>
            <w:r>
              <w:rPr>
                <w:rFonts w:ascii="標楷體" w:eastAsia="標楷體" w:hAnsi="標楷體" w:cs="新細明體"/>
              </w:rPr>
              <w:t>≧</w:t>
            </w:r>
            <w:proofErr w:type="gramEnd"/>
            <w:r>
              <w:rPr>
                <w:rFonts w:ascii="標楷體" w:eastAsia="標楷體" w:hAnsi="標楷體"/>
              </w:rPr>
              <w:t xml:space="preserve"> 2) 或對這種療法無法耐受或有醫療禁者。</w:t>
            </w:r>
          </w:p>
          <w:p w14:paraId="48C1ABD1" w14:textId="77777777" w:rsidR="000B622C" w:rsidRDefault="000B622C" w:rsidP="0003266F">
            <w:pPr>
              <w:ind w:left="721" w:firstLine="29"/>
            </w:pPr>
            <w:r>
              <w:rPr>
                <w:rFonts w:ascii="Webdings" w:eastAsia="Webdings" w:hAnsi="Webdings" w:cs="Webdings"/>
              </w:rPr>
              <w:t></w:t>
            </w:r>
            <w:r>
              <w:rPr>
                <w:rFonts w:ascii="標楷體" w:eastAsia="標楷體" w:hAnsi="標楷體"/>
              </w:rPr>
              <w:t>無法控制病情</w:t>
            </w:r>
            <w:proofErr w:type="gramStart"/>
            <w:r>
              <w:rPr>
                <w:rFonts w:ascii="標楷體" w:eastAsia="標楷體" w:hAnsi="標楷體"/>
              </w:rPr>
              <w:t>（</w:t>
            </w:r>
            <w:proofErr w:type="gramEnd"/>
            <w:r>
              <w:rPr>
                <w:rFonts w:ascii="標楷體" w:eastAsia="標楷體" w:hAnsi="標楷體"/>
              </w:rPr>
              <w:t>Mayo score： _______；endoscopy score：_______</w:t>
            </w:r>
            <w:proofErr w:type="gramStart"/>
            <w:r>
              <w:rPr>
                <w:rFonts w:ascii="標楷體" w:eastAsia="標楷體" w:hAnsi="標楷體"/>
              </w:rPr>
              <w:t>）</w:t>
            </w:r>
            <w:proofErr w:type="gramEnd"/>
          </w:p>
          <w:p w14:paraId="48E95435" w14:textId="77777777" w:rsidR="000B622C" w:rsidRDefault="000B622C" w:rsidP="0003266F">
            <w:pPr>
              <w:ind w:left="735" w:firstLine="34"/>
            </w:pPr>
            <w:r>
              <w:rPr>
                <w:rFonts w:ascii="Webdings" w:eastAsia="Webdings" w:hAnsi="Webdings" w:cs="Webdings"/>
              </w:rPr>
              <w:t></w:t>
            </w:r>
            <w:r>
              <w:rPr>
                <w:rFonts w:ascii="標楷體" w:eastAsia="標楷體" w:hAnsi="標楷體"/>
              </w:rPr>
              <w:t>產生嚴重藥物副作用：</w:t>
            </w:r>
          </w:p>
          <w:p w14:paraId="3A504295" w14:textId="77777777" w:rsidR="000B622C" w:rsidRDefault="000B622C" w:rsidP="0003266F">
            <w:pPr>
              <w:ind w:left="735" w:firstLine="34"/>
              <w:rPr>
                <w:rFonts w:ascii="標楷體" w:eastAsia="標楷體" w:hAnsi="標楷體"/>
              </w:rPr>
            </w:pPr>
            <w:r>
              <w:rPr>
                <w:rFonts w:ascii="標楷體" w:eastAsia="標楷體" w:hAnsi="標楷體"/>
              </w:rPr>
              <w:t>藥名_________________時間__________副作用說明：___________________________</w:t>
            </w:r>
          </w:p>
          <w:p w14:paraId="341712FD" w14:textId="77777777" w:rsidR="000B622C" w:rsidRDefault="000B622C" w:rsidP="0003266F">
            <w:pPr>
              <w:rPr>
                <w:rFonts w:ascii="標楷體" w:eastAsia="標楷體" w:hAnsi="標楷體"/>
              </w:rPr>
            </w:pPr>
          </w:p>
          <w:p w14:paraId="74404AF9" w14:textId="77777777" w:rsidR="000B622C" w:rsidRDefault="000B622C" w:rsidP="0003266F">
            <w:pPr>
              <w:ind w:left="1987" w:hanging="1956"/>
            </w:pPr>
            <w:r>
              <w:rPr>
                <w:rFonts w:ascii="Webdings" w:eastAsia="Webdings" w:hAnsi="Webdings" w:cs="Webdings"/>
              </w:rPr>
              <w:t></w:t>
            </w:r>
            <w:r>
              <w:rPr>
                <w:rFonts w:ascii="標楷體" w:eastAsia="標楷體" w:hAnsi="標楷體"/>
                <w:color w:val="000000"/>
              </w:rPr>
              <w:t>初次使用符合下列所有條件：(急性嚴重之潰瘍性結腸炎)</w:t>
            </w:r>
          </w:p>
          <w:p w14:paraId="61893535" w14:textId="77777777" w:rsidR="000B622C" w:rsidRDefault="000B622C" w:rsidP="0003266F">
            <w:pPr>
              <w:ind w:left="1596" w:hanging="1423"/>
            </w:pPr>
            <w:r>
              <w:rPr>
                <w:rFonts w:ascii="Webdings" w:eastAsia="Webdings" w:hAnsi="Webdings" w:cs="Webdings"/>
              </w:rPr>
              <w:t></w:t>
            </w:r>
            <w:r>
              <w:rPr>
                <w:rFonts w:ascii="標楷體" w:eastAsia="標楷體" w:hAnsi="標楷體"/>
                <w:bCs/>
                <w:szCs w:val="17"/>
              </w:rPr>
              <w:t>診斷為</w:t>
            </w:r>
            <w:r>
              <w:rPr>
                <w:rFonts w:ascii="標楷體" w:eastAsia="標楷體" w:hAnsi="標楷體"/>
                <w:color w:val="000000"/>
              </w:rPr>
              <w:t>潰瘍性結腸炎，同時符合下列四要件：</w:t>
            </w:r>
          </w:p>
          <w:p w14:paraId="67CB0ABE" w14:textId="77777777" w:rsidR="000B622C" w:rsidRDefault="000B622C" w:rsidP="0003266F">
            <w:pPr>
              <w:ind w:left="1557" w:hanging="1243"/>
              <w:rPr>
                <w:rFonts w:ascii="標楷體" w:eastAsia="標楷體" w:hAnsi="標楷體"/>
                <w:color w:val="000000"/>
              </w:rPr>
            </w:pPr>
            <w:r>
              <w:rPr>
                <w:rFonts w:ascii="標楷體" w:eastAsia="標楷體" w:hAnsi="標楷體"/>
                <w:color w:val="000000"/>
              </w:rPr>
              <w:t>Ⅰ.內視鏡下符合潰瘍性結腸炎。</w:t>
            </w:r>
          </w:p>
          <w:p w14:paraId="736808B7" w14:textId="77777777" w:rsidR="000B622C" w:rsidRDefault="000B622C" w:rsidP="0003266F">
            <w:pPr>
              <w:ind w:left="1560" w:hanging="1229"/>
              <w:rPr>
                <w:rFonts w:ascii="標楷體" w:eastAsia="標楷體" w:hAnsi="標楷體"/>
                <w:color w:val="000000"/>
              </w:rPr>
            </w:pPr>
            <w:r>
              <w:rPr>
                <w:rFonts w:ascii="標楷體" w:eastAsia="標楷體" w:hAnsi="標楷體"/>
                <w:color w:val="000000"/>
              </w:rPr>
              <w:t>Ⅱ.病理切片排除巨細胞病毒腸炎、阿米巴結腸炎、淋巴癌。</w:t>
            </w:r>
          </w:p>
          <w:p w14:paraId="792351AF" w14:textId="77777777" w:rsidR="000B622C" w:rsidRDefault="000B622C" w:rsidP="0003266F">
            <w:pPr>
              <w:ind w:left="1560" w:hanging="1243"/>
              <w:rPr>
                <w:rFonts w:ascii="標楷體" w:eastAsia="標楷體" w:hAnsi="標楷體"/>
                <w:color w:val="000000"/>
              </w:rPr>
            </w:pPr>
            <w:r>
              <w:rPr>
                <w:rFonts w:ascii="標楷體" w:eastAsia="標楷體" w:hAnsi="標楷體"/>
                <w:color w:val="000000"/>
              </w:rPr>
              <w:t>Ⅲ.糞便檢測排除</w:t>
            </w:r>
            <w:proofErr w:type="gramStart"/>
            <w:r>
              <w:rPr>
                <w:rFonts w:ascii="標楷體" w:eastAsia="標楷體" w:hAnsi="標楷體"/>
                <w:color w:val="000000"/>
              </w:rPr>
              <w:t>困難梭狀</w:t>
            </w:r>
            <w:proofErr w:type="gramEnd"/>
            <w:r>
              <w:rPr>
                <w:rFonts w:ascii="標楷體" w:eastAsia="標楷體" w:hAnsi="標楷體"/>
                <w:color w:val="000000"/>
              </w:rPr>
              <w:t>桿菌感染。</w:t>
            </w:r>
          </w:p>
          <w:p w14:paraId="5B01947E" w14:textId="77777777" w:rsidR="000B622C" w:rsidRDefault="000B622C" w:rsidP="0003266F">
            <w:pPr>
              <w:ind w:left="739" w:hanging="425"/>
            </w:pPr>
            <w:r>
              <w:rPr>
                <w:rFonts w:ascii="標楷體" w:eastAsia="標楷體" w:hAnsi="標楷體"/>
                <w:color w:val="000000"/>
              </w:rPr>
              <w:t>Ⅳ.</w:t>
            </w:r>
            <w:r>
              <w:rPr>
                <w:rFonts w:ascii="標楷體" w:eastAsia="標楷體" w:hAnsi="標楷體"/>
              </w:rPr>
              <w:t xml:space="preserve"> </w:t>
            </w:r>
            <w:r>
              <w:rPr>
                <w:rFonts w:ascii="標楷體" w:eastAsia="標楷體" w:hAnsi="標楷體"/>
                <w:color w:val="000000"/>
              </w:rPr>
              <w:t>Mayo Score為12分，經類固醇全劑量靜脈注射(如methylprednisolone 40-60mg/day等)連續治療5天無效。</w:t>
            </w:r>
          </w:p>
          <w:p w14:paraId="66AA9198" w14:textId="77777777" w:rsidR="000B622C" w:rsidRDefault="000B622C" w:rsidP="0003266F">
            <w:pPr>
              <w:ind w:left="1591" w:hanging="1849"/>
            </w:pPr>
            <w:r>
              <w:rPr>
                <w:rFonts w:ascii="標楷體" w:eastAsia="標楷體" w:hAnsi="標楷體"/>
              </w:rPr>
              <w:t></w:t>
            </w:r>
            <w:r>
              <w:rPr>
                <w:rFonts w:ascii="Webdings" w:eastAsia="Webdings" w:hAnsi="Webdings" w:cs="Webdings"/>
              </w:rPr>
              <w:t></w:t>
            </w:r>
            <w:r>
              <w:rPr>
                <w:rFonts w:ascii="標楷體" w:eastAsia="標楷體" w:hAnsi="標楷體"/>
              </w:rPr>
              <w:t>無法控制病情</w:t>
            </w:r>
            <w:proofErr w:type="gramStart"/>
            <w:r>
              <w:rPr>
                <w:rFonts w:ascii="標楷體" w:eastAsia="標楷體" w:hAnsi="標楷體"/>
              </w:rPr>
              <w:t>（</w:t>
            </w:r>
            <w:proofErr w:type="gramEnd"/>
            <w:r>
              <w:rPr>
                <w:rFonts w:ascii="標楷體" w:eastAsia="標楷體" w:hAnsi="標楷體"/>
              </w:rPr>
              <w:t>Mayo score： _______；endoscopy score：_______</w:t>
            </w:r>
            <w:proofErr w:type="gramStart"/>
            <w:r>
              <w:rPr>
                <w:rFonts w:ascii="標楷體" w:eastAsia="標楷體" w:hAnsi="標楷體"/>
              </w:rPr>
              <w:t>）</w:t>
            </w:r>
            <w:proofErr w:type="gramEnd"/>
          </w:p>
          <w:p w14:paraId="38A05CAB" w14:textId="77777777" w:rsidR="000B622C" w:rsidRDefault="000B622C" w:rsidP="0003266F">
            <w:pPr>
              <w:spacing w:before="202"/>
            </w:pPr>
            <w:r>
              <w:rPr>
                <w:rFonts w:ascii="Webdings" w:eastAsia="Webdings" w:hAnsi="Webdings" w:cs="Webdings"/>
              </w:rPr>
              <w:t></w:t>
            </w:r>
            <w:r>
              <w:rPr>
                <w:rFonts w:ascii="標楷體" w:eastAsia="標楷體" w:hAnsi="標楷體"/>
                <w:bCs/>
                <w:szCs w:val="17"/>
              </w:rPr>
              <w:t>符合繼續使用之療效評估：</w:t>
            </w:r>
          </w:p>
          <w:p w14:paraId="7B0FEDE6" w14:textId="77777777" w:rsidR="000B622C" w:rsidRDefault="000B622C" w:rsidP="0003266F">
            <w:pPr>
              <w:ind w:left="694" w:hanging="322"/>
            </w:pPr>
            <w:r>
              <w:rPr>
                <w:rFonts w:ascii="Webdings" w:eastAsia="Webdings" w:hAnsi="Webdings" w:cs="Webdings"/>
              </w:rPr>
              <w:t></w:t>
            </w:r>
            <w:r>
              <w:rPr>
                <w:rFonts w:ascii="標楷體" w:eastAsia="標楷體" w:hAnsi="標楷體"/>
              </w:rPr>
              <w:t>初次使用者：golimumab以2</w:t>
            </w:r>
            <w:proofErr w:type="gramStart"/>
            <w:r>
              <w:rPr>
                <w:rFonts w:ascii="標楷體" w:eastAsia="標楷體" w:hAnsi="標楷體"/>
              </w:rPr>
              <w:t>週</w:t>
            </w:r>
            <w:proofErr w:type="gramEnd"/>
            <w:r>
              <w:rPr>
                <w:rFonts w:ascii="標楷體" w:eastAsia="標楷體" w:hAnsi="標楷體"/>
              </w:rPr>
              <w:t>(使用2劑)、adalimumab以6</w:t>
            </w:r>
            <w:proofErr w:type="gramStart"/>
            <w:r>
              <w:rPr>
                <w:rFonts w:ascii="標楷體" w:eastAsia="標楷體" w:hAnsi="標楷體"/>
              </w:rPr>
              <w:t>週</w:t>
            </w:r>
            <w:proofErr w:type="gramEnd"/>
            <w:r>
              <w:rPr>
                <w:rFonts w:ascii="標楷體" w:eastAsia="標楷體" w:hAnsi="標楷體"/>
              </w:rPr>
              <w:t>(使用4劑)、</w:t>
            </w:r>
          </w:p>
          <w:p w14:paraId="2D269255" w14:textId="77777777" w:rsidR="000B622C" w:rsidRDefault="000B622C" w:rsidP="0003266F">
            <w:pPr>
              <w:ind w:left="694" w:hanging="95"/>
            </w:pPr>
            <w:r>
              <w:rPr>
                <w:rFonts w:ascii="標楷體" w:eastAsia="標楷體" w:hAnsi="標楷體"/>
              </w:rPr>
              <w:t>vedolizumab以6</w:t>
            </w:r>
            <w:proofErr w:type="gramStart"/>
            <w:r>
              <w:rPr>
                <w:rFonts w:ascii="標楷體" w:eastAsia="標楷體" w:hAnsi="標楷體"/>
              </w:rPr>
              <w:t>週</w:t>
            </w:r>
            <w:proofErr w:type="gramEnd"/>
            <w:r>
              <w:rPr>
                <w:rFonts w:ascii="標楷體" w:eastAsia="標楷體" w:hAnsi="標楷體"/>
              </w:rPr>
              <w:t>(使用3劑)、infliximab以6</w:t>
            </w:r>
            <w:proofErr w:type="gramStart"/>
            <w:r>
              <w:rPr>
                <w:rFonts w:ascii="標楷體" w:eastAsia="標楷體" w:hAnsi="標楷體"/>
              </w:rPr>
              <w:t>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3劑</w:t>
            </w:r>
            <w:r>
              <w:rPr>
                <w:rFonts w:ascii="標楷體" w:eastAsia="標楷體" w:hAnsi="標楷體"/>
                <w:u w:val="single"/>
              </w:rPr>
              <w:t>為限</w:t>
            </w:r>
            <w:r>
              <w:rPr>
                <w:rFonts w:ascii="標楷體" w:eastAsia="標楷體" w:hAnsi="標楷體"/>
              </w:rPr>
              <w:t>)</w:t>
            </w:r>
            <w:r>
              <w:rPr>
                <w:rFonts w:ascii="標楷體" w:eastAsia="標楷體" w:hAnsi="標楷體"/>
                <w:u w:val="single"/>
              </w:rPr>
              <w:t>，或以2</w:t>
            </w:r>
            <w:proofErr w:type="gramStart"/>
            <w:r>
              <w:rPr>
                <w:rFonts w:ascii="標楷體" w:eastAsia="標楷體" w:hAnsi="標楷體"/>
                <w:u w:val="single"/>
              </w:rPr>
              <w:t>週</w:t>
            </w:r>
            <w:proofErr w:type="gramEnd"/>
            <w:r>
              <w:rPr>
                <w:rFonts w:ascii="標楷體" w:eastAsia="標楷體" w:hAnsi="標楷體"/>
                <w:u w:val="single"/>
              </w:rPr>
              <w:t>(使用靜脈注射2劑為限)</w:t>
            </w:r>
            <w:r>
              <w:rPr>
                <w:rFonts w:ascii="標楷體" w:eastAsia="標楷體" w:hAnsi="標楷體"/>
              </w:rPr>
              <w:t xml:space="preserve">、tofacitinib 以 8 </w:t>
            </w:r>
            <w:proofErr w:type="gramStart"/>
            <w:r>
              <w:rPr>
                <w:rFonts w:ascii="標楷體" w:eastAsia="標楷體" w:hAnsi="標楷體"/>
              </w:rPr>
              <w:t>週</w:t>
            </w:r>
            <w:proofErr w:type="gramEnd"/>
            <w:r>
              <w:rPr>
                <w:rFonts w:ascii="標楷體" w:eastAsia="標楷體" w:hAnsi="標楷體"/>
              </w:rPr>
              <w:t>為限、</w:t>
            </w:r>
            <w:proofErr w:type="spellStart"/>
            <w:r>
              <w:rPr>
                <w:rFonts w:ascii="標楷體" w:eastAsia="標楷體" w:hAnsi="標楷體"/>
              </w:rPr>
              <w:t>upadacitinib</w:t>
            </w:r>
            <w:proofErr w:type="spellEnd"/>
            <w:r>
              <w:rPr>
                <w:rFonts w:ascii="標楷體" w:eastAsia="標楷體" w:hAnsi="標楷體"/>
              </w:rPr>
              <w:t>以8</w:t>
            </w:r>
            <w:proofErr w:type="gramStart"/>
            <w:r>
              <w:rPr>
                <w:rFonts w:ascii="標楷體" w:eastAsia="標楷體" w:hAnsi="標楷體"/>
              </w:rPr>
              <w:t>週</w:t>
            </w:r>
            <w:proofErr w:type="gramEnd"/>
            <w:r>
              <w:rPr>
                <w:rFonts w:ascii="標楷體" w:eastAsia="標楷體" w:hAnsi="標楷體"/>
              </w:rPr>
              <w:t>為限(且tofacitinib及</w:t>
            </w:r>
            <w:proofErr w:type="spellStart"/>
            <w:r>
              <w:rPr>
                <w:rFonts w:ascii="標楷體" w:eastAsia="標楷體" w:hAnsi="標楷體"/>
              </w:rPr>
              <w:t>upadacitinib</w:t>
            </w:r>
            <w:proofErr w:type="spellEnd"/>
            <w:r>
              <w:rPr>
                <w:rFonts w:ascii="標楷體" w:eastAsia="標楷體" w:hAnsi="標楷體"/>
              </w:rPr>
              <w:t>限用於其他生物製劑 治療失敗或無法耐受之中至重度活動性潰瘍性結腸炎病人，另使用前應排除有血栓風險之病患，且不建議與azathioprine 與 cyclosporine 合併使用)、</w:t>
            </w:r>
            <w:proofErr w:type="spellStart"/>
            <w:r>
              <w:rPr>
                <w:rFonts w:ascii="標楷體" w:eastAsia="標楷體" w:hAnsi="標楷體"/>
              </w:rPr>
              <w:t>ustekinumab</w:t>
            </w:r>
            <w:proofErr w:type="spellEnd"/>
            <w:r>
              <w:rPr>
                <w:rFonts w:ascii="標楷體" w:eastAsia="標楷體" w:hAnsi="標楷體"/>
              </w:rPr>
              <w:t>以使用靜脈注射1劑為限，治療後達到臨床反應評估，誘導緩解失敗者，得提出申請</w:t>
            </w:r>
            <w:proofErr w:type="gramStart"/>
            <w:r>
              <w:rPr>
                <w:rFonts w:ascii="標楷體" w:eastAsia="標楷體" w:hAnsi="標楷體"/>
              </w:rPr>
              <w:t>轉換他類生物</w:t>
            </w:r>
            <w:proofErr w:type="gramEnd"/>
            <w:r>
              <w:rPr>
                <w:rFonts w:ascii="標楷體" w:eastAsia="標楷體" w:hAnsi="標楷體"/>
              </w:rPr>
              <w:t>製劑，然同一療程不得合併使用。</w:t>
            </w:r>
          </w:p>
          <w:p w14:paraId="3BC8916F" w14:textId="77777777" w:rsidR="000B622C" w:rsidRDefault="000B622C" w:rsidP="0003266F">
            <w:pPr>
              <w:ind w:left="1164" w:hanging="427"/>
            </w:pPr>
            <w:r>
              <w:rPr>
                <w:rFonts w:ascii="Webdings" w:eastAsia="Webdings" w:hAnsi="Webdings" w:cs="Webdings"/>
              </w:rPr>
              <w:t></w:t>
            </w:r>
            <w:r>
              <w:rPr>
                <w:rFonts w:ascii="標楷體" w:eastAsia="標楷體" w:hAnsi="標楷體"/>
              </w:rPr>
              <w:t>達到</w:t>
            </w:r>
            <w:proofErr w:type="gramStart"/>
            <w:r>
              <w:rPr>
                <w:rFonts w:ascii="標楷體" w:eastAsia="標楷體" w:hAnsi="標楷體"/>
              </w:rPr>
              <w:t>有效緩</w:t>
            </w:r>
            <w:proofErr w:type="gramEnd"/>
            <w:r>
              <w:rPr>
                <w:rFonts w:ascii="標楷體" w:eastAsia="標楷體" w:hAnsi="標楷體"/>
              </w:rPr>
              <w:t>解之誘導(</w:t>
            </w:r>
            <w:r>
              <w:rPr>
                <w:rFonts w:ascii="標楷體" w:eastAsia="標楷體" w:hAnsi="標楷體"/>
                <w:color w:val="000000"/>
              </w:rPr>
              <w:t>partial Mayo score評估，相較於初次申請，partial Mayo score減少</w:t>
            </w:r>
            <w:proofErr w:type="gramStart"/>
            <w:r>
              <w:rPr>
                <w:rFonts w:ascii="標楷體" w:eastAsia="標楷體" w:hAnsi="標楷體" w:cs="新細明體"/>
                <w:color w:val="000000"/>
              </w:rPr>
              <w:t>≧</w:t>
            </w:r>
            <w:proofErr w:type="gramEnd"/>
            <w:r>
              <w:rPr>
                <w:rFonts w:ascii="標楷體" w:eastAsia="標楷體" w:hAnsi="標楷體"/>
                <w:color w:val="000000"/>
              </w:rPr>
              <w:t>2分且血便項</w:t>
            </w:r>
            <w:proofErr w:type="gramStart"/>
            <w:r>
              <w:rPr>
                <w:rFonts w:ascii="標楷體" w:eastAsia="標楷體" w:hAnsi="標楷體"/>
                <w:color w:val="000000"/>
              </w:rPr>
              <w:t>”</w:t>
            </w:r>
            <w:proofErr w:type="gramEnd"/>
            <w:r>
              <w:rPr>
                <w:rFonts w:ascii="標楷體" w:eastAsia="標楷體" w:hAnsi="標楷體"/>
                <w:color w:val="000000"/>
              </w:rPr>
              <w:t>rectal bleeding</w:t>
            </w:r>
            <w:proofErr w:type="gramStart"/>
            <w:r>
              <w:rPr>
                <w:rFonts w:ascii="標楷體" w:eastAsia="標楷體" w:hAnsi="標楷體"/>
                <w:color w:val="000000"/>
              </w:rPr>
              <w:t>”</w:t>
            </w:r>
            <w:proofErr w:type="gramEnd"/>
            <w:r>
              <w:rPr>
                <w:rFonts w:ascii="標楷體" w:eastAsia="標楷體" w:hAnsi="標楷體"/>
                <w:color w:val="000000"/>
              </w:rPr>
              <w:t>減少</w:t>
            </w:r>
            <w:proofErr w:type="gramStart"/>
            <w:r>
              <w:rPr>
                <w:rFonts w:ascii="標楷體" w:eastAsia="標楷體" w:hAnsi="標楷體" w:cs="新細明體"/>
                <w:color w:val="000000"/>
              </w:rPr>
              <w:t>≧</w:t>
            </w:r>
            <w:proofErr w:type="gramEnd"/>
            <w:r>
              <w:rPr>
                <w:rFonts w:ascii="標楷體" w:eastAsia="標楷體" w:hAnsi="標楷體"/>
                <w:color w:val="000000"/>
              </w:rPr>
              <w:t>1分以上。</w:t>
            </w:r>
            <w:r>
              <w:rPr>
                <w:rFonts w:ascii="標楷體" w:eastAsia="標楷體" w:hAnsi="標楷體"/>
              </w:rPr>
              <w:t xml:space="preserve">) </w:t>
            </w:r>
          </w:p>
          <w:p w14:paraId="18801EE7" w14:textId="77777777" w:rsidR="000B622C" w:rsidRDefault="000B622C" w:rsidP="0003266F">
            <w:pPr>
              <w:ind w:left="1222" w:hanging="425"/>
            </w:pPr>
            <w:r>
              <w:rPr>
                <w:rFonts w:ascii="Webdings" w:eastAsia="Webdings" w:hAnsi="Webdings" w:cs="Webdings"/>
              </w:rPr>
              <w:t></w:t>
            </w:r>
            <w:r>
              <w:rPr>
                <w:rFonts w:ascii="標楷體" w:eastAsia="標楷體" w:hAnsi="標楷體"/>
              </w:rPr>
              <w:t xml:space="preserve"> 緩解誘導之使用期間：____年____月至_____年___月</w:t>
            </w:r>
          </w:p>
          <w:p w14:paraId="062E33A7" w14:textId="77777777" w:rsidR="000B622C" w:rsidRDefault="000B622C" w:rsidP="0003266F">
            <w:pPr>
              <w:ind w:left="599" w:hanging="229"/>
            </w:pPr>
            <w:r>
              <w:rPr>
                <w:rFonts w:ascii="Webdings" w:eastAsia="Webdings" w:hAnsi="Webdings" w:cs="Webdings"/>
              </w:rPr>
              <w:t></w:t>
            </w:r>
            <w:r>
              <w:rPr>
                <w:rFonts w:ascii="標楷體" w:eastAsia="標楷體" w:hAnsi="標楷體"/>
              </w:rPr>
              <w:t>繼續使用者：第一次續用評估</w:t>
            </w:r>
            <w:proofErr w:type="gramStart"/>
            <w:r>
              <w:rPr>
                <w:rFonts w:ascii="標楷體" w:eastAsia="標楷體" w:hAnsi="標楷體"/>
              </w:rPr>
              <w:t>採</w:t>
            </w:r>
            <w:proofErr w:type="gramEnd"/>
            <w:r>
              <w:rPr>
                <w:rFonts w:ascii="標楷體" w:eastAsia="標楷體" w:hAnsi="標楷體"/>
              </w:rPr>
              <w:t>Partial Mayo Score評估，最長24</w:t>
            </w:r>
            <w:proofErr w:type="gramStart"/>
            <w:r>
              <w:rPr>
                <w:rFonts w:ascii="標楷體" w:eastAsia="標楷體" w:hAnsi="標楷體"/>
              </w:rPr>
              <w:t>週</w:t>
            </w:r>
            <w:proofErr w:type="gramEnd"/>
            <w:r>
              <w:rPr>
                <w:rFonts w:ascii="標楷體" w:eastAsia="標楷體" w:hAnsi="標楷體"/>
              </w:rPr>
              <w:t>需再續用評估一次。第二次續用評估，必須Mayo Score</w:t>
            </w:r>
            <w:proofErr w:type="gramStart"/>
            <w:r>
              <w:rPr>
                <w:rFonts w:ascii="標楷體" w:eastAsia="標楷體" w:hAnsi="標楷體"/>
              </w:rPr>
              <w:t>≦</w:t>
            </w:r>
            <w:proofErr w:type="gramEnd"/>
            <w:r>
              <w:rPr>
                <w:rFonts w:ascii="標楷體" w:eastAsia="標楷體" w:hAnsi="標楷體"/>
              </w:rPr>
              <w:t xml:space="preserve"> 6分，且Mayo Endoscopic </w:t>
            </w:r>
            <w:proofErr w:type="spellStart"/>
            <w:r>
              <w:rPr>
                <w:rFonts w:ascii="標楷體" w:eastAsia="標楷體" w:hAnsi="標楷體"/>
              </w:rPr>
              <w:t>subscore</w:t>
            </w:r>
            <w:proofErr w:type="spellEnd"/>
            <w:proofErr w:type="gramStart"/>
            <w:r>
              <w:rPr>
                <w:rFonts w:ascii="標楷體" w:eastAsia="標楷體" w:hAnsi="標楷體"/>
              </w:rPr>
              <w:t>≦</w:t>
            </w:r>
            <w:proofErr w:type="gramEnd"/>
            <w:r>
              <w:rPr>
                <w:rFonts w:ascii="標楷體" w:eastAsia="標楷體" w:hAnsi="標楷體"/>
              </w:rPr>
              <w:t xml:space="preserve"> 1分方可再申請繼續使用。</w:t>
            </w:r>
            <w:proofErr w:type="spellStart"/>
            <w:r>
              <w:rPr>
                <w:rFonts w:ascii="標楷體" w:eastAsia="標楷體" w:hAnsi="標楷體"/>
              </w:rPr>
              <w:t>ustekinumab</w:t>
            </w:r>
            <w:proofErr w:type="spellEnd"/>
            <w:r>
              <w:rPr>
                <w:rFonts w:ascii="標楷體" w:eastAsia="標楷體" w:hAnsi="標楷體"/>
              </w:rPr>
              <w:t>治療達到部分</w:t>
            </w:r>
            <w:proofErr w:type="gramStart"/>
            <w:r>
              <w:rPr>
                <w:rFonts w:ascii="標楷體" w:eastAsia="標楷體" w:hAnsi="標楷體"/>
              </w:rPr>
              <w:t>有效緩解者</w:t>
            </w:r>
            <w:proofErr w:type="gramEnd"/>
            <w:r>
              <w:rPr>
                <w:rFonts w:ascii="標楷體" w:eastAsia="標楷體" w:hAnsi="標楷體"/>
              </w:rPr>
              <w:t>，經消化系專科醫師評估後，得申請繼續使用，以每隔8</w:t>
            </w:r>
            <w:proofErr w:type="gramStart"/>
            <w:r>
              <w:rPr>
                <w:rFonts w:ascii="標楷體" w:eastAsia="標楷體" w:hAnsi="標楷體"/>
              </w:rPr>
              <w:t>週</w:t>
            </w:r>
            <w:proofErr w:type="gramEnd"/>
            <w:r>
              <w:rPr>
                <w:rFonts w:ascii="標楷體" w:eastAsia="標楷體" w:hAnsi="標楷體"/>
              </w:rPr>
              <w:t>給予皮下注射維持劑量90mg。golimumab(使用6劑)、adalimumab</w:t>
            </w:r>
            <w:proofErr w:type="gramStart"/>
            <w:r>
              <w:rPr>
                <w:rFonts w:ascii="標楷體" w:eastAsia="標楷體" w:hAnsi="標楷體"/>
              </w:rPr>
              <w:t>需每24週</w:t>
            </w:r>
            <w:proofErr w:type="gramEnd"/>
            <w:r>
              <w:rPr>
                <w:rFonts w:ascii="標楷體" w:eastAsia="標楷體" w:hAnsi="標楷體"/>
              </w:rPr>
              <w:t>(使用12劑)；infliximab</w:t>
            </w:r>
            <w:proofErr w:type="gramStart"/>
            <w:r>
              <w:rPr>
                <w:rFonts w:ascii="標楷體" w:eastAsia="標楷體" w:hAnsi="標楷體"/>
              </w:rPr>
              <w:t>需每16週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2劑)或24</w:t>
            </w:r>
            <w:proofErr w:type="gramStart"/>
            <w:r>
              <w:rPr>
                <w:rFonts w:ascii="標楷體" w:eastAsia="標楷體" w:hAnsi="標楷體"/>
              </w:rPr>
              <w:t>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3劑)</w:t>
            </w:r>
            <w:r>
              <w:rPr>
                <w:rFonts w:ascii="標楷體" w:eastAsia="標楷體" w:hAnsi="標楷體"/>
                <w:u w:val="single"/>
              </w:rPr>
              <w:t>，或第6</w:t>
            </w:r>
            <w:proofErr w:type="gramStart"/>
            <w:r>
              <w:rPr>
                <w:rFonts w:ascii="標楷體" w:eastAsia="標楷體" w:hAnsi="標楷體"/>
                <w:u w:val="single"/>
              </w:rPr>
              <w:t>週</w:t>
            </w:r>
            <w:proofErr w:type="gramEnd"/>
            <w:r>
              <w:rPr>
                <w:rFonts w:ascii="標楷體" w:eastAsia="標楷體" w:hAnsi="標楷體"/>
                <w:u w:val="single"/>
              </w:rPr>
              <w:t>起，每24</w:t>
            </w:r>
            <w:proofErr w:type="gramStart"/>
            <w:r>
              <w:rPr>
                <w:rFonts w:ascii="標楷體" w:eastAsia="標楷體" w:hAnsi="標楷體"/>
                <w:u w:val="single"/>
              </w:rPr>
              <w:t>週</w:t>
            </w:r>
            <w:proofErr w:type="gramEnd"/>
            <w:r>
              <w:rPr>
                <w:rFonts w:ascii="標楷體" w:eastAsia="標楷體" w:hAnsi="標楷體"/>
                <w:u w:val="single"/>
              </w:rPr>
              <w:t>(使用皮下注射12劑)</w:t>
            </w:r>
            <w:r>
              <w:rPr>
                <w:rFonts w:ascii="標楷體" w:eastAsia="標楷體" w:hAnsi="標楷體"/>
              </w:rPr>
              <w:t xml:space="preserve"> vedolizumab</w:t>
            </w:r>
            <w:proofErr w:type="gramStart"/>
            <w:r>
              <w:rPr>
                <w:rFonts w:ascii="標楷體" w:eastAsia="標楷體" w:hAnsi="標楷體"/>
              </w:rPr>
              <w:t>需每16週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2劑)或24</w:t>
            </w:r>
            <w:proofErr w:type="gramStart"/>
            <w:r>
              <w:rPr>
                <w:rFonts w:ascii="標楷體" w:eastAsia="標楷體" w:hAnsi="標楷體"/>
              </w:rPr>
              <w:t>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3劑)，</w:t>
            </w:r>
            <w:r>
              <w:rPr>
                <w:rFonts w:ascii="標楷體" w:eastAsia="標楷體" w:hAnsi="標楷體"/>
                <w:u w:val="single"/>
              </w:rPr>
              <w:t>或第6</w:t>
            </w:r>
            <w:proofErr w:type="gramStart"/>
            <w:r>
              <w:rPr>
                <w:rFonts w:ascii="標楷體" w:eastAsia="標楷體" w:hAnsi="標楷體"/>
                <w:u w:val="single"/>
              </w:rPr>
              <w:t>週</w:t>
            </w:r>
            <w:proofErr w:type="gramEnd"/>
            <w:r>
              <w:rPr>
                <w:rFonts w:ascii="標楷體" w:eastAsia="標楷體" w:hAnsi="標楷體"/>
                <w:u w:val="single"/>
              </w:rPr>
              <w:t>起，每24</w:t>
            </w:r>
            <w:proofErr w:type="gramStart"/>
            <w:r>
              <w:rPr>
                <w:rFonts w:ascii="標楷體" w:eastAsia="標楷體" w:hAnsi="標楷體"/>
                <w:u w:val="single"/>
              </w:rPr>
              <w:t>週</w:t>
            </w:r>
            <w:proofErr w:type="gramEnd"/>
            <w:r>
              <w:rPr>
                <w:rFonts w:ascii="標楷體" w:eastAsia="標楷體" w:hAnsi="標楷體"/>
                <w:u w:val="single"/>
              </w:rPr>
              <w:t>(使用皮下注射12劑)</w:t>
            </w:r>
            <w:r>
              <w:rPr>
                <w:rFonts w:ascii="標楷體" w:eastAsia="標楷體" w:hAnsi="標楷體"/>
              </w:rPr>
              <w:t>評估一次，以及tofacitinib每24</w:t>
            </w:r>
            <w:proofErr w:type="gramStart"/>
            <w:r>
              <w:rPr>
                <w:rFonts w:ascii="標楷體" w:eastAsia="標楷體" w:hAnsi="標楷體"/>
              </w:rPr>
              <w:t>週</w:t>
            </w:r>
            <w:proofErr w:type="gramEnd"/>
            <w:r>
              <w:rPr>
                <w:rFonts w:ascii="標楷體" w:eastAsia="標楷體" w:hAnsi="標楷體"/>
              </w:rPr>
              <w:t>(使用2劑)、</w:t>
            </w:r>
            <w:proofErr w:type="spellStart"/>
            <w:r>
              <w:rPr>
                <w:rFonts w:ascii="標楷體" w:eastAsia="標楷體" w:hAnsi="標楷體"/>
              </w:rPr>
              <w:t>ustekinumab</w:t>
            </w:r>
            <w:proofErr w:type="spellEnd"/>
            <w:r>
              <w:rPr>
                <w:rFonts w:ascii="標楷體" w:eastAsia="標楷體" w:hAnsi="標楷體"/>
              </w:rPr>
              <w:t>繼續使用以24</w:t>
            </w:r>
            <w:proofErr w:type="gramStart"/>
            <w:r>
              <w:rPr>
                <w:rFonts w:ascii="標楷體" w:eastAsia="標楷體" w:hAnsi="標楷體"/>
              </w:rPr>
              <w:t>週</w:t>
            </w:r>
            <w:proofErr w:type="gramEnd"/>
            <w:r>
              <w:rPr>
                <w:rFonts w:ascii="標楷體" w:eastAsia="標楷體" w:hAnsi="標楷體"/>
              </w:rPr>
              <w:t>(2劑或3劑)為限。</w:t>
            </w:r>
            <w:proofErr w:type="spellStart"/>
            <w:r>
              <w:rPr>
                <w:rFonts w:ascii="標楷體" w:eastAsia="標楷體" w:hAnsi="標楷體"/>
              </w:rPr>
              <w:t>upadacitinib</w:t>
            </w:r>
            <w:proofErr w:type="spellEnd"/>
            <w:r>
              <w:rPr>
                <w:rFonts w:ascii="標楷體" w:eastAsia="標楷體" w:hAnsi="標楷體"/>
              </w:rPr>
              <w:t>繼續</w:t>
            </w:r>
            <w:r>
              <w:rPr>
                <w:rFonts w:ascii="標楷體" w:eastAsia="標楷體" w:hAnsi="標楷體"/>
              </w:rPr>
              <w:lastRenderedPageBreak/>
              <w:t>使用以24</w:t>
            </w:r>
            <w:proofErr w:type="gramStart"/>
            <w:r>
              <w:rPr>
                <w:rFonts w:ascii="標楷體" w:eastAsia="標楷體" w:hAnsi="標楷體"/>
              </w:rPr>
              <w:t>週</w:t>
            </w:r>
            <w:proofErr w:type="gramEnd"/>
            <w:r>
              <w:rPr>
                <w:rFonts w:ascii="標楷體" w:eastAsia="標楷體" w:hAnsi="標楷體"/>
              </w:rPr>
              <w:t>為限。</w:t>
            </w:r>
          </w:p>
          <w:p w14:paraId="358035D5" w14:textId="77777777" w:rsidR="000B622C" w:rsidRDefault="000B622C" w:rsidP="0003266F">
            <w:pPr>
              <w:ind w:left="599" w:hanging="229"/>
            </w:pPr>
            <w:r>
              <w:rPr>
                <w:rFonts w:ascii="Webdings" w:eastAsia="Webdings" w:hAnsi="Webdings" w:cs="Webdings"/>
              </w:rPr>
              <w:t></w:t>
            </w:r>
            <w:r>
              <w:rPr>
                <w:rFonts w:ascii="標楷體" w:eastAsia="標楷體" w:hAnsi="標楷體"/>
              </w:rPr>
              <w:t>golimumab治療期滿50</w:t>
            </w:r>
            <w:proofErr w:type="gramStart"/>
            <w:r>
              <w:rPr>
                <w:rFonts w:ascii="標楷體" w:eastAsia="標楷體" w:hAnsi="標楷體"/>
              </w:rPr>
              <w:t>週</w:t>
            </w:r>
            <w:proofErr w:type="gramEnd"/>
            <w:r>
              <w:rPr>
                <w:rFonts w:ascii="標楷體" w:eastAsia="標楷體" w:hAnsi="標楷體"/>
              </w:rPr>
              <w:t>(使用14劑)、adalimumab治療期滿54</w:t>
            </w:r>
            <w:proofErr w:type="gramStart"/>
            <w:r>
              <w:rPr>
                <w:rFonts w:ascii="標楷體" w:eastAsia="標楷體" w:hAnsi="標楷體"/>
              </w:rPr>
              <w:t>週</w:t>
            </w:r>
            <w:proofErr w:type="gramEnd"/>
            <w:r>
              <w:rPr>
                <w:rFonts w:ascii="標楷體" w:eastAsia="標楷體" w:hAnsi="標楷體"/>
              </w:rPr>
              <w:t>(使用28劑)；</w:t>
            </w:r>
            <w:r>
              <w:rPr>
                <w:rFonts w:ascii="標楷體" w:eastAsia="標楷體" w:hAnsi="標楷體"/>
                <w:u w:val="single"/>
              </w:rPr>
              <w:t>vedolizumab治療46</w:t>
            </w:r>
            <w:proofErr w:type="gramStart"/>
            <w:r>
              <w:rPr>
                <w:rFonts w:ascii="標楷體" w:eastAsia="標楷體" w:hAnsi="標楷體"/>
                <w:u w:val="single"/>
              </w:rPr>
              <w:t>週</w:t>
            </w:r>
            <w:proofErr w:type="gramEnd"/>
            <w:r>
              <w:rPr>
                <w:rFonts w:ascii="標楷體" w:eastAsia="標楷體" w:hAnsi="標楷體"/>
                <w:u w:val="single"/>
              </w:rPr>
              <w:t>(使用靜脈注射8劑)，或第0、2</w:t>
            </w:r>
            <w:proofErr w:type="gramStart"/>
            <w:r>
              <w:rPr>
                <w:rFonts w:ascii="標楷體" w:eastAsia="標楷體" w:hAnsi="標楷體"/>
                <w:u w:val="single"/>
              </w:rPr>
              <w:t>週</w:t>
            </w:r>
            <w:proofErr w:type="gramEnd"/>
            <w:r>
              <w:rPr>
                <w:rFonts w:ascii="標楷體" w:eastAsia="標楷體" w:hAnsi="標楷體"/>
                <w:u w:val="single"/>
              </w:rPr>
              <w:t>給予</w:t>
            </w:r>
            <w:proofErr w:type="gramStart"/>
            <w:r>
              <w:rPr>
                <w:rFonts w:ascii="標楷體" w:eastAsia="標楷體" w:hAnsi="標楷體"/>
                <w:u w:val="single"/>
              </w:rPr>
              <w:t>靜脈輸注</w:t>
            </w:r>
            <w:proofErr w:type="gramEnd"/>
            <w:r>
              <w:rPr>
                <w:rFonts w:ascii="標楷體" w:eastAsia="標楷體" w:hAnsi="標楷體"/>
                <w:u w:val="single"/>
              </w:rPr>
              <w:t>300mg作為緩解之誘導；第6</w:t>
            </w:r>
            <w:proofErr w:type="gramStart"/>
            <w:r>
              <w:rPr>
                <w:rFonts w:ascii="標楷體" w:eastAsia="標楷體" w:hAnsi="標楷體"/>
                <w:u w:val="single"/>
              </w:rPr>
              <w:t>週</w:t>
            </w:r>
            <w:proofErr w:type="gramEnd"/>
            <w:r>
              <w:rPr>
                <w:rFonts w:ascii="標楷體" w:eastAsia="標楷體" w:hAnsi="標楷體"/>
                <w:u w:val="single"/>
              </w:rPr>
              <w:t>開始給予皮下注射維持劑量108mg，之後每隔2</w:t>
            </w:r>
            <w:proofErr w:type="gramStart"/>
            <w:r>
              <w:rPr>
                <w:rFonts w:ascii="標楷體" w:eastAsia="標楷體" w:hAnsi="標楷體"/>
                <w:u w:val="single"/>
              </w:rPr>
              <w:t>週</w:t>
            </w:r>
            <w:proofErr w:type="gramEnd"/>
            <w:r>
              <w:rPr>
                <w:rFonts w:ascii="標楷體" w:eastAsia="標楷體" w:hAnsi="標楷體"/>
                <w:u w:val="single"/>
              </w:rPr>
              <w:t>給予皮下注射維持劑量108mg，可持續治療至第52</w:t>
            </w:r>
            <w:proofErr w:type="gramStart"/>
            <w:r>
              <w:rPr>
                <w:rFonts w:ascii="標楷體" w:eastAsia="標楷體" w:hAnsi="標楷體"/>
                <w:u w:val="single"/>
              </w:rPr>
              <w:t>週</w:t>
            </w:r>
            <w:proofErr w:type="gramEnd"/>
            <w:r>
              <w:rPr>
                <w:rFonts w:ascii="標楷體" w:eastAsia="標楷體" w:hAnsi="標楷體"/>
                <w:u w:val="single"/>
              </w:rPr>
              <w:t>(總共使用靜脈注射2劑，皮下注射24劑，療效持續至54</w:t>
            </w:r>
            <w:proofErr w:type="gramStart"/>
            <w:r>
              <w:rPr>
                <w:rFonts w:ascii="標楷體" w:eastAsia="標楷體" w:hAnsi="標楷體"/>
                <w:u w:val="single"/>
              </w:rPr>
              <w:t>週</w:t>
            </w:r>
            <w:proofErr w:type="gramEnd"/>
            <w:r>
              <w:rPr>
                <w:rFonts w:ascii="標楷體" w:eastAsia="標楷體" w:hAnsi="標楷體"/>
                <w:u w:val="single"/>
              </w:rPr>
              <w:t>)；infliximab治療46</w:t>
            </w:r>
            <w:proofErr w:type="gramStart"/>
            <w:r>
              <w:rPr>
                <w:rFonts w:ascii="標楷體" w:eastAsia="標楷體" w:hAnsi="標楷體"/>
                <w:u w:val="single"/>
              </w:rPr>
              <w:t>週</w:t>
            </w:r>
            <w:proofErr w:type="gramEnd"/>
            <w:r>
              <w:rPr>
                <w:rFonts w:ascii="標楷體" w:eastAsia="標楷體" w:hAnsi="標楷體"/>
                <w:u w:val="single"/>
              </w:rPr>
              <w:t>(使用靜脈注射8劑)，或第0、2</w:t>
            </w:r>
            <w:proofErr w:type="gramStart"/>
            <w:r>
              <w:rPr>
                <w:rFonts w:ascii="標楷體" w:eastAsia="標楷體" w:hAnsi="標楷體"/>
                <w:u w:val="single"/>
              </w:rPr>
              <w:t>週</w:t>
            </w:r>
            <w:proofErr w:type="gramEnd"/>
            <w:r>
              <w:rPr>
                <w:rFonts w:ascii="標楷體" w:eastAsia="標楷體" w:hAnsi="標楷體"/>
                <w:u w:val="single"/>
              </w:rPr>
              <w:t>給予</w:t>
            </w:r>
            <w:proofErr w:type="gramStart"/>
            <w:r>
              <w:rPr>
                <w:rFonts w:ascii="標楷體" w:eastAsia="標楷體" w:hAnsi="標楷體"/>
                <w:u w:val="single"/>
              </w:rPr>
              <w:t>靜脈輸注2劑</w:t>
            </w:r>
            <w:proofErr w:type="gramEnd"/>
            <w:r>
              <w:rPr>
                <w:rFonts w:ascii="標楷體" w:eastAsia="標楷體" w:hAnsi="標楷體"/>
                <w:u w:val="single"/>
              </w:rPr>
              <w:t>作為緩解之誘導；第6</w:t>
            </w:r>
            <w:proofErr w:type="gramStart"/>
            <w:r>
              <w:rPr>
                <w:rFonts w:ascii="標楷體" w:eastAsia="標楷體" w:hAnsi="標楷體"/>
                <w:u w:val="single"/>
              </w:rPr>
              <w:t>週</w:t>
            </w:r>
            <w:proofErr w:type="gramEnd"/>
            <w:r>
              <w:rPr>
                <w:rFonts w:ascii="標楷體" w:eastAsia="標楷體" w:hAnsi="標楷體"/>
                <w:u w:val="single"/>
              </w:rPr>
              <w:t>開始給予皮下注射維持劑量120mg，之後每隔2</w:t>
            </w:r>
            <w:proofErr w:type="gramStart"/>
            <w:r>
              <w:rPr>
                <w:rFonts w:ascii="標楷體" w:eastAsia="標楷體" w:hAnsi="標楷體"/>
                <w:u w:val="single"/>
              </w:rPr>
              <w:t>週</w:t>
            </w:r>
            <w:proofErr w:type="gramEnd"/>
            <w:r>
              <w:rPr>
                <w:rFonts w:ascii="標楷體" w:eastAsia="標楷體" w:hAnsi="標楷體"/>
                <w:u w:val="single"/>
              </w:rPr>
              <w:t>給予皮下注射維持劑量120mg，可持續治療至第52</w:t>
            </w:r>
            <w:proofErr w:type="gramStart"/>
            <w:r>
              <w:rPr>
                <w:rFonts w:ascii="標楷體" w:eastAsia="標楷體" w:hAnsi="標楷體"/>
                <w:u w:val="single"/>
              </w:rPr>
              <w:t>週</w:t>
            </w:r>
            <w:proofErr w:type="gramEnd"/>
            <w:r>
              <w:rPr>
                <w:rFonts w:ascii="標楷體" w:eastAsia="標楷體" w:hAnsi="標楷體"/>
                <w:u w:val="single"/>
              </w:rPr>
              <w:t>(總共使用靜脈注射2劑，皮下注射24劑，療效持續至54</w:t>
            </w:r>
            <w:proofErr w:type="gramStart"/>
            <w:r>
              <w:rPr>
                <w:rFonts w:ascii="標楷體" w:eastAsia="標楷體" w:hAnsi="標楷體"/>
                <w:u w:val="single"/>
              </w:rPr>
              <w:t>週</w:t>
            </w:r>
            <w:proofErr w:type="gramEnd"/>
            <w:r>
              <w:rPr>
                <w:rFonts w:ascii="標楷體" w:eastAsia="標楷體" w:hAnsi="標楷體"/>
                <w:u w:val="single"/>
              </w:rPr>
              <w:t>)</w:t>
            </w:r>
            <w:r>
              <w:rPr>
                <w:rFonts w:ascii="標楷體" w:eastAsia="標楷體" w:hAnsi="標楷體"/>
              </w:rPr>
              <w:t>；以及tofacitinib治療56</w:t>
            </w:r>
            <w:proofErr w:type="gramStart"/>
            <w:r>
              <w:rPr>
                <w:rFonts w:ascii="標楷體" w:eastAsia="標楷體" w:hAnsi="標楷體"/>
              </w:rPr>
              <w:t>週</w:t>
            </w:r>
            <w:proofErr w:type="gramEnd"/>
            <w:r>
              <w:rPr>
                <w:rFonts w:ascii="標楷體" w:eastAsia="標楷體" w:hAnsi="標楷體"/>
              </w:rPr>
              <w:t>後；</w:t>
            </w:r>
            <w:proofErr w:type="spellStart"/>
            <w:r>
              <w:rPr>
                <w:rFonts w:ascii="標楷體" w:eastAsia="標楷體" w:hAnsi="標楷體"/>
              </w:rPr>
              <w:t>ustekinumab</w:t>
            </w:r>
            <w:proofErr w:type="spellEnd"/>
            <w:r>
              <w:rPr>
                <w:rFonts w:ascii="標楷體" w:eastAsia="標楷體" w:hAnsi="標楷體"/>
              </w:rPr>
              <w:t xml:space="preserve"> 治療44 </w:t>
            </w:r>
            <w:proofErr w:type="gramStart"/>
            <w:r>
              <w:rPr>
                <w:rFonts w:ascii="標楷體" w:eastAsia="標楷體" w:hAnsi="標楷體"/>
              </w:rPr>
              <w:t>週</w:t>
            </w:r>
            <w:proofErr w:type="gramEnd"/>
            <w:r>
              <w:rPr>
                <w:rFonts w:ascii="標楷體" w:eastAsia="標楷體" w:hAnsi="標楷體"/>
              </w:rPr>
              <w:t>使用5 劑(共使用1 劑靜脈注射及4 劑皮下注射)或48</w:t>
            </w:r>
            <w:proofErr w:type="gramStart"/>
            <w:r>
              <w:rPr>
                <w:rFonts w:ascii="標楷體" w:eastAsia="標楷體" w:hAnsi="標楷體"/>
              </w:rPr>
              <w:t>週</w:t>
            </w:r>
            <w:proofErr w:type="gramEnd"/>
            <w:r>
              <w:rPr>
                <w:rFonts w:ascii="標楷體" w:eastAsia="標楷體" w:hAnsi="標楷體"/>
              </w:rPr>
              <w:t>(使用5劑或7劑)後；</w:t>
            </w:r>
            <w:proofErr w:type="spellStart"/>
            <w:r>
              <w:rPr>
                <w:rFonts w:ascii="標楷體" w:eastAsia="標楷體" w:hAnsi="標楷體"/>
              </w:rPr>
              <w:t>upadacitinib</w:t>
            </w:r>
            <w:proofErr w:type="spellEnd"/>
            <w:r>
              <w:rPr>
                <w:rFonts w:ascii="標楷體" w:eastAsia="標楷體" w:hAnsi="標楷體"/>
              </w:rPr>
              <w:t>治療56</w:t>
            </w:r>
            <w:proofErr w:type="gramStart"/>
            <w:r>
              <w:rPr>
                <w:rFonts w:ascii="標楷體" w:eastAsia="標楷體" w:hAnsi="標楷體"/>
              </w:rPr>
              <w:t>週</w:t>
            </w:r>
            <w:proofErr w:type="gramEnd"/>
            <w:r>
              <w:rPr>
                <w:rFonts w:ascii="標楷體" w:eastAsia="標楷體" w:hAnsi="標楷體"/>
              </w:rPr>
              <w:t>後，再提出續用者，必須 距離前次生物製劑治療結束間隔3個月以上，若病情復發，依初次使用標準(其中經5-aminosalicylic acid藥物、類固醇、及/或免疫抑制劑充分治療，連續超過3個月)再次提出申請。</w:t>
            </w:r>
          </w:p>
          <w:p w14:paraId="129DEDA5" w14:textId="77777777" w:rsidR="000B622C" w:rsidRDefault="000B622C" w:rsidP="0003266F">
            <w:pPr>
              <w:ind w:left="599" w:hanging="229"/>
            </w:pPr>
            <w:r>
              <w:rPr>
                <w:rFonts w:ascii="Webdings" w:eastAsia="Webdings" w:hAnsi="Webdings" w:cs="Webdings"/>
              </w:rPr>
              <w:t></w:t>
            </w:r>
            <w:r>
              <w:rPr>
                <w:rFonts w:ascii="標楷體" w:eastAsia="標楷體" w:hAnsi="標楷體"/>
              </w:rPr>
              <w:t>連續2次因療程結束暫緩用藥而疾病復發，且第2次復發於藥效終止後3個月內發生，則可持續使用；惟</w:t>
            </w:r>
            <w:proofErr w:type="gramStart"/>
            <w:r>
              <w:rPr>
                <w:rFonts w:ascii="標楷體" w:eastAsia="標楷體" w:hAnsi="標楷體"/>
              </w:rPr>
              <w:t>需每24週</w:t>
            </w:r>
            <w:proofErr w:type="gramEnd"/>
            <w:r>
              <w:rPr>
                <w:rFonts w:ascii="標楷體" w:eastAsia="標楷體" w:hAnsi="標楷體"/>
              </w:rPr>
              <w:t>提出續用事前審查。必須Mayo score</w:t>
            </w:r>
            <w:proofErr w:type="gramStart"/>
            <w:r>
              <w:rPr>
                <w:rFonts w:ascii="標楷體" w:eastAsia="標楷體" w:hAnsi="標楷體"/>
              </w:rPr>
              <w:t>≦</w:t>
            </w:r>
            <w:proofErr w:type="gramEnd"/>
            <w:r>
              <w:rPr>
                <w:rFonts w:ascii="標楷體" w:eastAsia="標楷體" w:hAnsi="標楷體"/>
              </w:rPr>
              <w:t>6分且Mayo endoscopic subscore</w:t>
            </w:r>
            <w:proofErr w:type="gramStart"/>
            <w:r>
              <w:rPr>
                <w:rFonts w:ascii="標楷體" w:eastAsia="標楷體" w:hAnsi="標楷體"/>
              </w:rPr>
              <w:t>≦</w:t>
            </w:r>
            <w:proofErr w:type="gramEnd"/>
            <w:r>
              <w:rPr>
                <w:rFonts w:ascii="標楷體" w:eastAsia="標楷體" w:hAnsi="標楷體"/>
              </w:rPr>
              <w:t>1分，才可繼續使用。連續2年(4次評估)達到Mayo score</w:t>
            </w:r>
            <w:proofErr w:type="gramStart"/>
            <w:r>
              <w:rPr>
                <w:rFonts w:ascii="標楷體" w:eastAsia="標楷體" w:hAnsi="標楷體"/>
              </w:rPr>
              <w:t>≦</w:t>
            </w:r>
            <w:proofErr w:type="gramEnd"/>
            <w:r>
              <w:rPr>
                <w:rFonts w:ascii="標楷體" w:eastAsia="標楷體" w:hAnsi="標楷體"/>
              </w:rPr>
              <w:t xml:space="preserve">2分，且Mayo endoscopic </w:t>
            </w:r>
            <w:proofErr w:type="spellStart"/>
            <w:r>
              <w:rPr>
                <w:rFonts w:ascii="標楷體" w:eastAsia="標楷體" w:hAnsi="標楷體"/>
              </w:rPr>
              <w:t>subscore</w:t>
            </w:r>
            <w:proofErr w:type="spellEnd"/>
            <w:r>
              <w:rPr>
                <w:rFonts w:ascii="標楷體" w:eastAsia="標楷體" w:hAnsi="標楷體"/>
              </w:rPr>
              <w:t xml:space="preserve"> </w:t>
            </w:r>
            <w:proofErr w:type="gramStart"/>
            <w:r>
              <w:rPr>
                <w:rFonts w:ascii="標楷體" w:eastAsia="標楷體" w:hAnsi="標楷體"/>
              </w:rPr>
              <w:t>≦</w:t>
            </w:r>
            <w:proofErr w:type="gramEnd"/>
            <w:r>
              <w:rPr>
                <w:rFonts w:ascii="標楷體" w:eastAsia="標楷體" w:hAnsi="標楷體"/>
              </w:rPr>
              <w:t>1，則應考慮停藥。</w:t>
            </w:r>
          </w:p>
        </w:tc>
      </w:tr>
      <w:tr w:rsidR="000B622C" w14:paraId="2E805830" w14:textId="77777777" w:rsidTr="000B622C">
        <w:trPr>
          <w:trHeight w:val="35"/>
        </w:trPr>
        <w:tc>
          <w:tcPr>
            <w:tcW w:w="0" w:type="auto"/>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00F1AB5" w14:textId="77777777" w:rsidR="000B622C" w:rsidRDefault="000B622C" w:rsidP="0003266F">
            <w:pPr>
              <w:spacing w:before="202"/>
            </w:pPr>
            <w:r>
              <w:rPr>
                <w:rFonts w:ascii="Webdings" w:eastAsia="Webdings" w:hAnsi="Webdings" w:cs="Webdings"/>
                <w:b/>
              </w:rPr>
              <w:t></w:t>
            </w:r>
            <w:r>
              <w:rPr>
                <w:rFonts w:ascii="標楷體" w:eastAsia="標楷體" w:hAnsi="標楷體"/>
                <w:b/>
              </w:rPr>
              <w:t>符合「須排除或停止生物製劑使用之情形」</w:t>
            </w:r>
          </w:p>
        </w:tc>
      </w:tr>
      <w:tr w:rsidR="000B622C" w14:paraId="0CBC693A" w14:textId="77777777" w:rsidTr="000B622C">
        <w:trPr>
          <w:cantSplit/>
          <w:trHeight w:val="885"/>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CC3F964"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55431D89"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AD0F10E" w14:textId="77777777" w:rsidR="000B622C" w:rsidRDefault="000B622C" w:rsidP="0003266F">
            <w:pPr>
              <w:textAlignment w:val="center"/>
            </w:pPr>
            <w:r>
              <w:rPr>
                <w:rFonts w:ascii="標楷體" w:eastAsia="標楷體" w:hAnsi="標楷體"/>
                <w:noProof/>
              </w:rPr>
              <mc:AlternateContent>
                <mc:Choice Requires="wps">
                  <w:drawing>
                    <wp:anchor distT="0" distB="0" distL="114300" distR="114300" simplePos="0" relativeHeight="251680768" behindDoc="0" locked="0" layoutInCell="1" allowOverlap="1" wp14:anchorId="2CE87480" wp14:editId="6CCA23A5">
                      <wp:simplePos x="0" y="0"/>
                      <wp:positionH relativeFrom="column">
                        <wp:posOffset>441956</wp:posOffset>
                      </wp:positionH>
                      <wp:positionV relativeFrom="paragraph">
                        <wp:posOffset>199394</wp:posOffset>
                      </wp:positionV>
                      <wp:extent cx="695329" cy="0"/>
                      <wp:effectExtent l="0" t="0" r="0" b="0"/>
                      <wp:wrapNone/>
                      <wp:docPr id="33" name="直線接點 37"/>
                      <wp:cNvGraphicFramePr/>
                      <a:graphic xmlns:a="http://schemas.openxmlformats.org/drawingml/2006/main">
                        <a:graphicData uri="http://schemas.microsoft.com/office/word/2010/wordprocessingShape">
                          <wps:wsp>
                            <wps:cNvCnPr/>
                            <wps:spPr>
                              <a:xfrm>
                                <a:off x="0" y="0"/>
                                <a:ext cx="695329" cy="0"/>
                              </a:xfrm>
                              <a:prstGeom prst="straightConnector1">
                                <a:avLst/>
                              </a:prstGeom>
                              <a:noFill/>
                              <a:ln w="9528" cap="flat">
                                <a:solidFill>
                                  <a:srgbClr val="4A7EBB"/>
                                </a:solidFill>
                                <a:prstDash val="solid"/>
                                <a:miter/>
                              </a:ln>
                            </wps:spPr>
                            <wps:bodyPr/>
                          </wps:wsp>
                        </a:graphicData>
                      </a:graphic>
                    </wp:anchor>
                  </w:drawing>
                </mc:Choice>
                <mc:Fallback>
                  <w:pict>
                    <v:shapetype w14:anchorId="2EC46764" id="_x0000_t32" coordsize="21600,21600" o:spt="32" o:oned="t" path="m,l21600,21600e" filled="f">
                      <v:path arrowok="t" fillok="f" o:connecttype="none"/>
                      <o:lock v:ext="edit" shapetype="t"/>
                    </v:shapetype>
                    <v:shape id="直線接點 37" o:spid="_x0000_s1026" type="#_x0000_t32" style="position:absolute;margin-left:34.8pt;margin-top:15.7pt;width:54.7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" strokecolor="#4a7ebb" strokeweight=".26467mm">
                      <v:stroke joinstyle="miter"/>
                    </v:shape>
                  </w:pict>
                </mc:Fallback>
              </mc:AlternateContent>
            </w:r>
            <w:r>
              <w:rPr>
                <w:rFonts w:ascii="標楷體" w:eastAsia="標楷體" w:hAnsi="標楷體"/>
              </w:rPr>
              <w:t>是否有         仿單記載之禁忌情形。</w:t>
            </w:r>
          </w:p>
        </w:tc>
      </w:tr>
      <w:tr w:rsidR="000B622C" w14:paraId="31723162" w14:textId="77777777" w:rsidTr="000B622C">
        <w:trPr>
          <w:cantSplit/>
          <w:trHeight w:val="829"/>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331D7FF5"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0DC2A217" w14:textId="77777777" w:rsidR="000B622C" w:rsidRDefault="000B622C" w:rsidP="0003266F">
            <w:pPr>
              <w:tabs>
                <w:tab w:val="left" w:pos="425"/>
              </w:tabs>
              <w:ind w:firstLine="89"/>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ED0F5CA" w14:textId="77777777" w:rsidR="000B622C" w:rsidRDefault="000B622C" w:rsidP="0003266F">
            <w:pPr>
              <w:textAlignment w:val="center"/>
              <w:rPr>
                <w:rFonts w:ascii="標楷體" w:eastAsia="標楷體" w:hAnsi="標楷體"/>
              </w:rPr>
            </w:pPr>
            <w:r>
              <w:rPr>
                <w:rFonts w:ascii="標楷體" w:eastAsia="標楷體" w:hAnsi="標楷體"/>
              </w:rPr>
              <w:t>婦女是否正在懷孕</w:t>
            </w:r>
            <w:proofErr w:type="gramStart"/>
            <w:r>
              <w:rPr>
                <w:rFonts w:ascii="標楷體" w:eastAsia="標楷體" w:hAnsi="標楷體"/>
              </w:rPr>
              <w:t>或授乳</w:t>
            </w:r>
            <w:proofErr w:type="gramEnd"/>
            <w:r>
              <w:rPr>
                <w:rFonts w:ascii="標楷體" w:eastAsia="標楷體" w:hAnsi="標楷體"/>
              </w:rPr>
              <w:t>。</w:t>
            </w:r>
          </w:p>
        </w:tc>
      </w:tr>
      <w:tr w:rsidR="000B622C" w14:paraId="52F833BB" w14:textId="77777777" w:rsidTr="000B622C">
        <w:trPr>
          <w:cantSplit/>
          <w:trHeight w:val="841"/>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4DD3EC4"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36BDA797"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4D32326" w14:textId="77777777" w:rsidR="000B622C" w:rsidRDefault="000B622C" w:rsidP="0003266F">
            <w:pPr>
              <w:textAlignment w:val="center"/>
              <w:rPr>
                <w:rFonts w:ascii="標楷體" w:eastAsia="標楷體" w:hAnsi="標楷體"/>
              </w:rPr>
            </w:pPr>
            <w:r>
              <w:rPr>
                <w:rFonts w:ascii="標楷體" w:eastAsia="標楷體" w:hAnsi="標楷體"/>
              </w:rPr>
              <w:t>病患是否有活動性感染症。</w:t>
            </w:r>
          </w:p>
        </w:tc>
      </w:tr>
      <w:tr w:rsidR="000B622C" w14:paraId="37EBB00D" w14:textId="77777777" w:rsidTr="000B622C">
        <w:trPr>
          <w:cantSplit/>
          <w:trHeight w:val="825"/>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6E57F5A"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7D53612E"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2C4187A" w14:textId="77777777" w:rsidR="000B622C" w:rsidRDefault="000B622C" w:rsidP="0003266F">
            <w:pPr>
              <w:textAlignment w:val="center"/>
              <w:rPr>
                <w:rFonts w:ascii="標楷體" w:eastAsia="標楷體" w:hAnsi="標楷體"/>
              </w:rPr>
            </w:pPr>
            <w:r>
              <w:rPr>
                <w:rFonts w:ascii="標楷體" w:eastAsia="標楷體" w:hAnsi="標楷體"/>
              </w:rPr>
              <w:t>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tc>
      </w:tr>
      <w:tr w:rsidR="000B622C" w14:paraId="7098AEE8" w14:textId="77777777" w:rsidTr="000B622C">
        <w:trPr>
          <w:cantSplit/>
          <w:trHeight w:val="1829"/>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7CDB13F" w14:textId="77777777" w:rsidR="000B622C" w:rsidRDefault="000B622C" w:rsidP="0003266F">
            <w:pPr>
              <w:tabs>
                <w:tab w:val="left" w:pos="425"/>
              </w:tabs>
              <w:ind w:firstLine="600"/>
              <w:textAlignment w:val="center"/>
              <w:rPr>
                <w:rFonts w:ascii="標楷體" w:eastAsia="標楷體" w:hAnsi="標楷體"/>
              </w:rPr>
            </w:pPr>
            <w:r>
              <w:rPr>
                <w:rFonts w:ascii="標楷體" w:eastAsia="標楷體" w:hAnsi="標楷體"/>
              </w:rPr>
              <w:t></w:t>
            </w:r>
          </w:p>
          <w:p w14:paraId="5915BC84"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31EDECBF" w14:textId="77777777" w:rsidR="000B622C" w:rsidRDefault="000B622C" w:rsidP="0003266F">
            <w:pPr>
              <w:tabs>
                <w:tab w:val="left" w:pos="425"/>
              </w:tabs>
              <w:ind w:firstLine="89"/>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FA0183B" w14:textId="77777777" w:rsidR="000B622C" w:rsidRDefault="000B622C" w:rsidP="0003266F">
            <w:pPr>
              <w:textAlignment w:val="center"/>
              <w:rPr>
                <w:rFonts w:ascii="標楷體" w:eastAsia="標楷體" w:hAnsi="標楷體"/>
              </w:rPr>
            </w:pPr>
            <w:r>
              <w:rPr>
                <w:rFonts w:ascii="標楷體" w:eastAsia="標楷體" w:hAnsi="標楷體"/>
              </w:rPr>
              <w:t>病患是否具有高度感染機會之情形，其中包括：</w:t>
            </w:r>
          </w:p>
          <w:p w14:paraId="0BCE55CB" w14:textId="77777777" w:rsidR="000B622C" w:rsidRDefault="000B622C" w:rsidP="0003266F">
            <w:pPr>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05BE15BB" w14:textId="77777777" w:rsidR="000B622C" w:rsidRDefault="000B622C" w:rsidP="0003266F">
            <w:pPr>
              <w:ind w:left="240" w:hanging="240"/>
              <w:textAlignment w:val="center"/>
              <w:rPr>
                <w:rFonts w:ascii="標楷體" w:eastAsia="標楷體" w:hAnsi="標楷體"/>
              </w:rPr>
            </w:pPr>
            <w:r>
              <w:rPr>
                <w:rFonts w:ascii="標楷體" w:eastAsia="標楷體" w:hAnsi="標楷體"/>
              </w:rPr>
              <w:t>2.具有留置導尿管或身上有引流管之情形。</w:t>
            </w:r>
          </w:p>
          <w:p w14:paraId="68545743" w14:textId="77777777" w:rsidR="000B622C" w:rsidRDefault="000B622C" w:rsidP="0003266F">
            <w:pPr>
              <w:ind w:left="240" w:hanging="240"/>
              <w:textAlignment w:val="center"/>
              <w:rPr>
                <w:rFonts w:ascii="標楷體" w:eastAsia="標楷體" w:hAnsi="標楷體"/>
              </w:rPr>
            </w:pPr>
            <w:r>
              <w:rPr>
                <w:rFonts w:ascii="標楷體" w:eastAsia="標楷體" w:hAnsi="標楷體"/>
              </w:rPr>
              <w:t>3.人工關節感染，該人工關節尚未摘除。</w:t>
            </w:r>
          </w:p>
          <w:p w14:paraId="06A48540" w14:textId="77777777" w:rsidR="000B622C" w:rsidRDefault="000B622C" w:rsidP="0003266F">
            <w:pPr>
              <w:ind w:left="240" w:hanging="240"/>
              <w:textAlignment w:val="center"/>
              <w:rPr>
                <w:rFonts w:ascii="標楷體" w:eastAsia="標楷體" w:hAnsi="標楷體"/>
              </w:rPr>
            </w:pPr>
            <w:r>
              <w:rPr>
                <w:rFonts w:ascii="標楷體" w:eastAsia="標楷體" w:hAnsi="標楷體"/>
              </w:rPr>
              <w:t>4.頑固性或復發性的胸腔感染疾病。</w:t>
            </w:r>
          </w:p>
        </w:tc>
      </w:tr>
      <w:tr w:rsidR="000B622C" w14:paraId="353779CC" w14:textId="77777777" w:rsidTr="000B622C">
        <w:trPr>
          <w:cantSplit/>
          <w:trHeight w:val="991"/>
        </w:trPr>
        <w:tc>
          <w:tcPr>
            <w:tcW w:w="0" w:type="auto"/>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7ADF23"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00CF0814"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17589E2" w14:textId="77777777" w:rsidR="000B622C" w:rsidRDefault="000B622C" w:rsidP="0003266F">
            <w:pPr>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患惡性腫瘤或具有癌症前兆(pre-malignancy)</w:t>
            </w:r>
          </w:p>
        </w:tc>
      </w:tr>
      <w:tr w:rsidR="000B622C" w14:paraId="3865081E" w14:textId="77777777" w:rsidTr="000B622C">
        <w:trPr>
          <w:cantSplit/>
          <w:trHeight w:val="821"/>
        </w:trPr>
        <w:tc>
          <w:tcPr>
            <w:tcW w:w="0" w:type="auto"/>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484C28"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6C9E6FD6"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5354A03" w14:textId="77777777" w:rsidR="000B622C" w:rsidRDefault="000B622C" w:rsidP="0003266F">
            <w:pPr>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患多發性硬化症(multiple sclerosis)</w:t>
            </w:r>
          </w:p>
        </w:tc>
      </w:tr>
      <w:tr w:rsidR="000B622C" w14:paraId="1C1D97DE" w14:textId="77777777" w:rsidTr="000B622C">
        <w:trPr>
          <w:cantSplit/>
          <w:trHeight w:val="1272"/>
        </w:trPr>
        <w:tc>
          <w:tcPr>
            <w:tcW w:w="0" w:type="auto"/>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6F53520"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5803D860"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690CD38" w14:textId="77777777" w:rsidR="000B622C" w:rsidRDefault="000B622C" w:rsidP="0003266F">
            <w:pPr>
              <w:textAlignment w:val="center"/>
              <w:rPr>
                <w:rFonts w:ascii="標楷體" w:eastAsia="標楷體" w:hAnsi="標楷體"/>
              </w:rPr>
            </w:pPr>
            <w:r>
              <w:rPr>
                <w:rFonts w:ascii="標楷體" w:eastAsia="標楷體" w:hAnsi="標楷體"/>
              </w:rPr>
              <w:t>使用</w:t>
            </w:r>
            <w:proofErr w:type="spellStart"/>
            <w:r>
              <w:rPr>
                <w:rFonts w:ascii="標楷體" w:eastAsia="標楷體" w:hAnsi="標楷體"/>
              </w:rPr>
              <w:t>infliximab,golimumab,adalimumab,vedolizumab,tofacitinib</w:t>
            </w:r>
            <w:proofErr w:type="spellEnd"/>
            <w:r>
              <w:rPr>
                <w:rFonts w:ascii="標楷體" w:eastAsia="標楷體" w:hAnsi="標楷體"/>
              </w:rPr>
              <w:t xml:space="preserve">, </w:t>
            </w:r>
            <w:proofErr w:type="spellStart"/>
            <w:r>
              <w:rPr>
                <w:rFonts w:ascii="標楷體" w:eastAsia="標楷體" w:hAnsi="標楷體"/>
              </w:rPr>
              <w:t>ustekinumab</w:t>
            </w:r>
            <w:proofErr w:type="spellEnd"/>
            <w:r>
              <w:rPr>
                <w:rFonts w:ascii="標楷體" w:eastAsia="標楷體" w:hAnsi="標楷體"/>
              </w:rPr>
              <w:t>發生懷孕或不良事件(包括：惡性腫瘤、該藥物引起的嚴重毒性、嚴重的感染性疾病)</w:t>
            </w:r>
          </w:p>
        </w:tc>
      </w:tr>
      <w:tr w:rsidR="000B622C" w14:paraId="715DD09F" w14:textId="77777777" w:rsidTr="000B622C">
        <w:trPr>
          <w:cantSplit/>
          <w:trHeight w:val="786"/>
        </w:trPr>
        <w:tc>
          <w:tcPr>
            <w:tcW w:w="0" w:type="auto"/>
            <w:gridSpan w:val="5"/>
            <w:tcBorders>
              <w:top w:val="double" w:sz="4" w:space="0" w:color="000000"/>
            </w:tcBorders>
            <w:shd w:val="clear" w:color="auto" w:fill="auto"/>
            <w:tcMar>
              <w:top w:w="0" w:type="dxa"/>
              <w:left w:w="28" w:type="dxa"/>
              <w:bottom w:w="0" w:type="dxa"/>
              <w:right w:w="28" w:type="dxa"/>
            </w:tcMar>
          </w:tcPr>
          <w:p w14:paraId="3657CDCE" w14:textId="77777777" w:rsidR="000B622C" w:rsidRDefault="000B622C" w:rsidP="0003266F">
            <w:pPr>
              <w:textAlignment w:val="center"/>
              <w:rPr>
                <w:rFonts w:ascii="標楷體" w:eastAsia="標楷體" w:hAnsi="標楷體"/>
              </w:rPr>
            </w:pPr>
            <w:r>
              <w:rPr>
                <w:rFonts w:ascii="標楷體" w:eastAsia="標楷體" w:hAnsi="標楷體"/>
              </w:rPr>
              <w:lastRenderedPageBreak/>
              <w:t>申請醫師（簽名蓋章）：________________</w:t>
            </w:r>
          </w:p>
          <w:p w14:paraId="617F2D7A" w14:textId="77777777" w:rsidR="000B622C" w:rsidRDefault="000B622C" w:rsidP="0003266F">
            <w:pPr>
              <w:textAlignment w:val="center"/>
              <w:rPr>
                <w:rFonts w:ascii="標楷體" w:eastAsia="標楷體" w:hAnsi="標楷體"/>
              </w:rPr>
            </w:pPr>
            <w:r>
              <w:rPr>
                <w:rFonts w:ascii="標楷體" w:eastAsia="標楷體" w:hAnsi="標楷體"/>
              </w:rPr>
              <w:t>消化系專科醫師證書：________________</w:t>
            </w:r>
          </w:p>
        </w:tc>
        <w:tc>
          <w:tcPr>
            <w:tcW w:w="0" w:type="auto"/>
            <w:gridSpan w:val="2"/>
            <w:tcBorders>
              <w:top w:val="double" w:sz="4" w:space="0" w:color="000000"/>
            </w:tcBorders>
            <w:shd w:val="clear" w:color="auto" w:fill="auto"/>
            <w:tcMar>
              <w:top w:w="0" w:type="dxa"/>
              <w:left w:w="28" w:type="dxa"/>
              <w:bottom w:w="0" w:type="dxa"/>
              <w:right w:w="28" w:type="dxa"/>
            </w:tcMar>
          </w:tcPr>
          <w:p w14:paraId="670092C2" w14:textId="77777777" w:rsidR="000B622C" w:rsidRDefault="000B622C" w:rsidP="0003266F">
            <w:pPr>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p w14:paraId="1C0B1CD5" w14:textId="77777777" w:rsidR="000B622C" w:rsidRDefault="000B622C" w:rsidP="0003266F">
            <w:pPr>
              <w:textAlignment w:val="center"/>
              <w:rPr>
                <w:rFonts w:ascii="標楷體" w:eastAsia="標楷體" w:hAnsi="標楷體"/>
              </w:rPr>
            </w:pPr>
          </w:p>
        </w:tc>
      </w:tr>
    </w:tbl>
    <w:p w14:paraId="37195B46" w14:textId="77777777" w:rsidR="000B622C" w:rsidRDefault="000B622C" w:rsidP="000B622C">
      <w:pPr>
        <w:ind w:firstLineChars="236" w:firstLine="566"/>
      </w:pPr>
    </w:p>
    <w:p w14:paraId="62CF5B7A" w14:textId="77777777" w:rsidR="000B622C" w:rsidRPr="00C16B0F" w:rsidRDefault="000B622C" w:rsidP="000B622C"/>
    <w:p w14:paraId="47F5495C" w14:textId="77777777" w:rsidR="0000010B" w:rsidRDefault="0000010B" w:rsidP="000E757E">
      <w:pPr>
        <w:spacing w:line="240" w:lineRule="atLeast"/>
        <w:ind w:firstLineChars="236" w:firstLine="566"/>
      </w:pPr>
    </w:p>
    <w:p w14:paraId="280C39CC" w14:textId="77777777" w:rsidR="0000010B" w:rsidRPr="00C16B0F" w:rsidRDefault="0000010B" w:rsidP="000E757E">
      <w:pPr>
        <w:spacing w:line="240" w:lineRule="atLeast"/>
      </w:pPr>
    </w:p>
    <w:p w14:paraId="781205BF" w14:textId="77777777" w:rsidR="00401786" w:rsidRDefault="00401786" w:rsidP="000E757E">
      <w:pPr>
        <w:pageBreakBefore/>
        <w:spacing w:line="240" w:lineRule="atLeast"/>
      </w:pPr>
    </w:p>
    <w:p w14:paraId="66736AE4" w14:textId="77777777" w:rsidR="00401786" w:rsidRPr="005C51CB" w:rsidRDefault="00C64FB3" w:rsidP="000E757E">
      <w:pPr>
        <w:widowControl/>
        <w:suppressAutoHyphens w:val="0"/>
        <w:spacing w:line="240" w:lineRule="atLeast"/>
        <w:ind w:firstLine="425"/>
        <w:jc w:val="center"/>
        <w:textAlignment w:val="auto"/>
        <w:rPr>
          <w:rFonts w:ascii="標楷體" w:eastAsia="標楷體" w:hAnsi="標楷體"/>
          <w:b/>
          <w:bCs/>
          <w:szCs w:val="24"/>
        </w:rPr>
      </w:pPr>
      <w:r w:rsidRPr="005C51CB">
        <w:rPr>
          <w:rFonts w:ascii="標楷體" w:eastAsia="標楷體" w:hAnsi="標楷體"/>
          <w:b/>
          <w:bCs/>
          <w:szCs w:val="24"/>
        </w:rPr>
        <w:t>附表二十六之六：Mayo Score</w:t>
      </w:r>
    </w:p>
    <w:tbl>
      <w:tblPr>
        <w:tblW w:w="9691" w:type="dxa"/>
        <w:tblInd w:w="-147" w:type="dxa"/>
        <w:tblCellMar>
          <w:left w:w="10" w:type="dxa"/>
          <w:right w:w="10" w:type="dxa"/>
        </w:tblCellMar>
        <w:tblLook w:val="0000" w:firstRow="0" w:lastRow="0" w:firstColumn="0" w:lastColumn="0" w:noHBand="0" w:noVBand="0"/>
      </w:tblPr>
      <w:tblGrid>
        <w:gridCol w:w="2269"/>
        <w:gridCol w:w="5415"/>
        <w:gridCol w:w="1156"/>
        <w:gridCol w:w="851"/>
      </w:tblGrid>
      <w:tr w:rsidR="00401786" w14:paraId="0FDC8E91" w14:textId="77777777">
        <w:trPr>
          <w:trHeight w:val="558"/>
        </w:trPr>
        <w:tc>
          <w:tcPr>
            <w:tcW w:w="22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D8AC6E" w14:textId="77777777" w:rsidR="00401786" w:rsidRDefault="00401786" w:rsidP="000E757E">
            <w:pPr>
              <w:suppressAutoHyphens w:val="0"/>
              <w:autoSpaceDE w:val="0"/>
              <w:spacing w:line="240" w:lineRule="atLeast"/>
              <w:ind w:left="940" w:hanging="700"/>
              <w:jc w:val="center"/>
              <w:textAlignment w:val="auto"/>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5BDE9D"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r>
              <w:rPr>
                <w:rFonts w:ascii="標楷體" w:eastAsia="標楷體" w:hAnsi="標楷體"/>
                <w:bCs/>
                <w:color w:val="000000"/>
                <w:kern w:val="0"/>
                <w:sz w:val="28"/>
                <w:szCs w:val="28"/>
              </w:rPr>
              <w:t>DESCRIPTION</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78012E"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r>
              <w:rPr>
                <w:rFonts w:ascii="標楷體" w:eastAsia="標楷體" w:hAnsi="標楷體"/>
                <w:bCs/>
                <w:color w:val="000000"/>
                <w:kern w:val="0"/>
                <w:sz w:val="28"/>
                <w:szCs w:val="28"/>
              </w:rPr>
              <w:t>Score</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21AE0"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r>
              <w:rPr>
                <w:rFonts w:ascii="標楷體" w:eastAsia="標楷體" w:hAnsi="標楷體"/>
                <w:bCs/>
                <w:color w:val="000000"/>
                <w:kern w:val="0"/>
                <w:sz w:val="28"/>
                <w:szCs w:val="28"/>
              </w:rPr>
              <w:t>√</w:t>
            </w:r>
          </w:p>
          <w:p w14:paraId="3F5DE30F"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p>
        </w:tc>
      </w:tr>
      <w:tr w:rsidR="00401786" w14:paraId="619FDEAA"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561B88"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排便頻率</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6AF57D"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排便次數正常</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58A863"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4087A0"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4763B81F"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DFBEB"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6503E"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排便次數比正常多出1-2次</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E14D9C"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6B59E1"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471B1207"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B5D9E"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6366DD"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排便次數比正常多出3-4次</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E1EC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9F80C1"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BFFC9BB"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8F6CEF"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52F73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排便次數比正常多出5次（含）以上</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E31CDA"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D69430"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411F6666"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EAF209"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直腸出血</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541AB5"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未看見血</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9190FC"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73D782"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EC979D0"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A83E87"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73BB54"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不到一半的情況下，糞便帶有血絲</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E649C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A91CFA"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A208B04"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52F5FB"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B37AB8"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多數情況下，糞便帶有明顯的血跡</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77CB33"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B1BA6"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05780CA"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81FEE2"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1BE330"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只排出血</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E7A665"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E7313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63A1B51"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F4AA9D"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內視鏡檢查發現</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20BB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正常或非活動性疾病</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C88503"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A37E89"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CCE53C5" w14:textId="77777777">
        <w:trPr>
          <w:trHeight w:hRule="exact" w:val="595"/>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36F28D"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03FC4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輕度疾病（發紅，血管分布減少，黏膜易脆）</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F28065"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34708B"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9D198D0" w14:textId="77777777">
        <w:trPr>
          <w:trHeight w:hRule="exact" w:val="751"/>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708D2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E3C9D0"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中度疾病（明顯發紅，無正常血管分佈，輕度脆性，糜爛）</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C216B0"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ED4DE1"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69B983F"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E048DE"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8364E"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嚴重疾病（自發性出血或潰瘍）</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281704"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07D5A3"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61BACB5"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2C6E0D"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醫師整體評估</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868EEF"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正常(sub scores are mostly 0)</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265916"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34A14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C44902C"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D710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A5C1C8"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輕度疾病(sub scores are mostly 1)</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07DDF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DB0B13"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C439439" w14:textId="77777777">
        <w:trPr>
          <w:trHeight w:hRule="exact" w:val="437"/>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BD1A3"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86122F"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中度疾病(sub scores are mostly 1 to 2)</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74893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C0CB49"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CCB2E93" w14:textId="77777777">
        <w:trPr>
          <w:trHeight w:hRule="exact" w:val="429"/>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9A2D57"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A4C54"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重度疾病(sub scores are mostly 2 to 3)</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F17BF"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9EBD26"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3123248" w14:textId="77777777">
        <w:trPr>
          <w:trHeight w:hRule="exact" w:val="454"/>
        </w:trPr>
        <w:tc>
          <w:tcPr>
            <w:tcW w:w="969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C69A16"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Mayo score總分： ；Endoscopy score：</w:t>
            </w:r>
          </w:p>
        </w:tc>
      </w:tr>
      <w:tr w:rsidR="00401786" w14:paraId="6AA48784" w14:textId="77777777">
        <w:trPr>
          <w:trHeight w:hRule="exact" w:val="454"/>
        </w:trPr>
        <w:tc>
          <w:tcPr>
            <w:tcW w:w="969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1FCA65"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評分者簽章:                        日期:</w:t>
            </w:r>
          </w:p>
        </w:tc>
      </w:tr>
    </w:tbl>
    <w:p w14:paraId="44EFB27D" w14:textId="77777777" w:rsidR="00401786" w:rsidRDefault="00401786" w:rsidP="000E757E">
      <w:pPr>
        <w:widowControl/>
        <w:suppressAutoHyphens w:val="0"/>
        <w:spacing w:line="240" w:lineRule="atLeast"/>
        <w:textAlignment w:val="auto"/>
        <w:rPr>
          <w:rFonts w:ascii="標楷體" w:eastAsia="標楷體" w:hAnsi="標楷體"/>
          <w:sz w:val="28"/>
          <w:szCs w:val="28"/>
        </w:rPr>
      </w:pPr>
    </w:p>
    <w:tbl>
      <w:tblPr>
        <w:tblW w:w="5949" w:type="dxa"/>
        <w:tblInd w:w="421" w:type="dxa"/>
        <w:tblCellMar>
          <w:left w:w="10" w:type="dxa"/>
          <w:right w:w="10" w:type="dxa"/>
        </w:tblCellMar>
        <w:tblLook w:val="0000" w:firstRow="0" w:lastRow="0" w:firstColumn="0" w:lastColumn="0" w:noHBand="0" w:noVBand="0"/>
      </w:tblPr>
      <w:tblGrid>
        <w:gridCol w:w="2974"/>
        <w:gridCol w:w="2975"/>
      </w:tblGrid>
      <w:tr w:rsidR="00401786" w14:paraId="57D302F9" w14:textId="77777777">
        <w:trPr>
          <w:trHeigh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9F2F97"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Mayo score</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F186F4"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73FE3CF" w14:textId="77777777">
        <w:trPr>
          <w:trHeight w:hRule="exac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25FD7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3-5</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79DDD4"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Mild Activity</w:t>
            </w:r>
          </w:p>
        </w:tc>
      </w:tr>
      <w:tr w:rsidR="00401786" w14:paraId="02F7EFEF" w14:textId="77777777">
        <w:trPr>
          <w:trHeight w:hRule="exac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135537"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6-10</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B8F0BA"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Moderate Activity</w:t>
            </w:r>
          </w:p>
        </w:tc>
      </w:tr>
      <w:tr w:rsidR="00401786" w14:paraId="7FD92B5E" w14:textId="77777777">
        <w:trPr>
          <w:trHeight w:hRule="exac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BC4790"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11-12</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1251CE"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Severe Activity</w:t>
            </w:r>
          </w:p>
        </w:tc>
      </w:tr>
    </w:tbl>
    <w:p w14:paraId="4961A5B1" w14:textId="77777777" w:rsidR="00401786" w:rsidRDefault="00401786" w:rsidP="000E757E">
      <w:pPr>
        <w:pageBreakBefore/>
        <w:spacing w:line="240" w:lineRule="atLeast"/>
      </w:pPr>
    </w:p>
    <w:p w14:paraId="421E4A8C" w14:textId="77777777" w:rsidR="00401786" w:rsidRPr="005C51CB" w:rsidRDefault="00C64FB3" w:rsidP="000E757E">
      <w:pPr>
        <w:widowControl/>
        <w:suppressAutoHyphens w:val="0"/>
        <w:spacing w:line="240" w:lineRule="atLeast"/>
        <w:jc w:val="right"/>
        <w:textAlignment w:val="auto"/>
        <w:rPr>
          <w:rFonts w:ascii="標楷體" w:eastAsia="標楷體" w:hAnsi="標楷體"/>
          <w:b/>
          <w:bCs/>
          <w:szCs w:val="24"/>
        </w:rPr>
      </w:pPr>
      <w:r>
        <w:rPr>
          <w:rFonts w:ascii="標楷體" w:eastAsia="標楷體" w:hAnsi="標楷體"/>
          <w:szCs w:val="24"/>
        </w:rPr>
        <w:t xml:space="preserve"> </w:t>
      </w:r>
      <w:r w:rsidRPr="005C51CB">
        <w:rPr>
          <w:rFonts w:ascii="標楷體" w:eastAsia="標楷體" w:hAnsi="標楷體"/>
          <w:b/>
          <w:bCs/>
          <w:szCs w:val="24"/>
        </w:rPr>
        <w:t xml:space="preserve">  附表二十六之七 全民健康保險小兒潰瘍性結腸炎使用adalimumab、infliximab申請表</w:t>
      </w:r>
    </w:p>
    <w:tbl>
      <w:tblPr>
        <w:tblW w:w="9695" w:type="dxa"/>
        <w:tblInd w:w="403" w:type="dxa"/>
        <w:tblLayout w:type="fixed"/>
        <w:tblCellMar>
          <w:left w:w="10" w:type="dxa"/>
          <w:right w:w="10" w:type="dxa"/>
        </w:tblCellMar>
        <w:tblLook w:val="0000" w:firstRow="0" w:lastRow="0" w:firstColumn="0" w:lastColumn="0" w:noHBand="0" w:noVBand="0"/>
      </w:tblPr>
      <w:tblGrid>
        <w:gridCol w:w="1477"/>
        <w:gridCol w:w="1547"/>
        <w:gridCol w:w="1408"/>
        <w:gridCol w:w="1601"/>
        <w:gridCol w:w="1050"/>
        <w:gridCol w:w="2556"/>
        <w:gridCol w:w="56"/>
      </w:tblGrid>
      <w:tr w:rsidR="00401786" w14:paraId="49272DDB" w14:textId="77777777">
        <w:trPr>
          <w:cantSplit/>
          <w:trHeight w:val="376"/>
        </w:trPr>
        <w:tc>
          <w:tcPr>
            <w:tcW w:w="147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F1EAF22" w14:textId="77777777" w:rsidR="00401786" w:rsidRDefault="00C64FB3" w:rsidP="000E757E">
            <w:pPr>
              <w:suppressAutoHyphens w:val="0"/>
              <w:snapToGrid w:val="0"/>
              <w:spacing w:line="240" w:lineRule="atLeast"/>
              <w:textAlignment w:val="auto"/>
            </w:pPr>
            <w:r>
              <w:rPr>
                <w:rFonts w:ascii="標楷體" w:eastAsia="標楷體" w:hAnsi="標楷體"/>
                <w:szCs w:val="24"/>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7316FC2" w14:textId="77777777" w:rsidR="00401786" w:rsidRDefault="00401786" w:rsidP="000E757E">
            <w:pPr>
              <w:suppressAutoHyphens w:val="0"/>
              <w:snapToGrid w:val="0"/>
              <w:spacing w:line="240" w:lineRule="atLeast"/>
              <w:textAlignment w:val="auto"/>
              <w:rPr>
                <w:rFonts w:ascii="標楷體" w:eastAsia="標楷體" w:hAnsi="標楷體"/>
                <w:szCs w:val="24"/>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995F76" w14:textId="77777777" w:rsidR="00401786" w:rsidRDefault="00C64FB3" w:rsidP="000E757E">
            <w:pPr>
              <w:suppressAutoHyphens w:val="0"/>
              <w:snapToGrid w:val="0"/>
              <w:spacing w:line="240" w:lineRule="atLeast"/>
              <w:textAlignment w:val="auto"/>
              <w:rPr>
                <w:rFonts w:ascii="標楷體" w:eastAsia="標楷體" w:hAnsi="標楷體"/>
                <w:szCs w:val="24"/>
              </w:rPr>
            </w:pPr>
            <w:r>
              <w:rPr>
                <w:rFonts w:ascii="標楷體" w:eastAsia="標楷體" w:hAnsi="標楷體"/>
                <w:szCs w:val="24"/>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F0009F" w14:textId="77777777" w:rsidR="00401786" w:rsidRDefault="00401786" w:rsidP="000E757E">
            <w:pPr>
              <w:suppressAutoHyphens w:val="0"/>
              <w:snapToGrid w:val="0"/>
              <w:spacing w:line="240" w:lineRule="atLeast"/>
              <w:textAlignment w:val="auto"/>
              <w:rPr>
                <w:rFonts w:ascii="標楷體" w:eastAsia="標楷體" w:hAnsi="標楷體"/>
                <w:szCs w:val="24"/>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548391" w14:textId="77777777" w:rsidR="00401786" w:rsidRDefault="00C64FB3" w:rsidP="000E757E">
            <w:pPr>
              <w:suppressAutoHyphens w:val="0"/>
              <w:snapToGrid w:val="0"/>
              <w:spacing w:line="240" w:lineRule="atLeast"/>
              <w:textAlignment w:val="auto"/>
              <w:rPr>
                <w:rFonts w:ascii="標楷體" w:eastAsia="標楷體" w:hAnsi="標楷體"/>
                <w:szCs w:val="24"/>
              </w:rPr>
            </w:pPr>
            <w:r>
              <w:rPr>
                <w:rFonts w:ascii="標楷體" w:eastAsia="標楷體" w:hAnsi="標楷體"/>
                <w:szCs w:val="24"/>
              </w:rPr>
              <w:t>申請日期</w:t>
            </w:r>
          </w:p>
        </w:tc>
        <w:tc>
          <w:tcPr>
            <w:tcW w:w="2556"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B48272B" w14:textId="77777777" w:rsidR="00401786" w:rsidRDefault="00C64FB3" w:rsidP="000E757E">
            <w:pPr>
              <w:suppressAutoHyphens w:val="0"/>
              <w:snapToGrid w:val="0"/>
              <w:spacing w:line="240" w:lineRule="atLeast"/>
              <w:ind w:firstLine="480"/>
              <w:textAlignment w:val="auto"/>
              <w:rPr>
                <w:rFonts w:ascii="標楷體" w:eastAsia="標楷體" w:hAnsi="標楷體"/>
                <w:szCs w:val="24"/>
              </w:rPr>
            </w:pPr>
            <w:r>
              <w:rPr>
                <w:rFonts w:ascii="標楷體" w:eastAsia="標楷體" w:hAnsi="標楷體"/>
                <w:szCs w:val="24"/>
              </w:rPr>
              <w:t>年   月  日</w:t>
            </w:r>
          </w:p>
        </w:tc>
        <w:tc>
          <w:tcPr>
            <w:tcW w:w="56" w:type="dxa"/>
            <w:shd w:val="clear" w:color="auto" w:fill="auto"/>
            <w:tcMar>
              <w:top w:w="0" w:type="dxa"/>
              <w:left w:w="10" w:type="dxa"/>
              <w:bottom w:w="0" w:type="dxa"/>
              <w:right w:w="10" w:type="dxa"/>
            </w:tcMar>
          </w:tcPr>
          <w:p w14:paraId="2A138021" w14:textId="77777777" w:rsidR="00401786" w:rsidRDefault="00401786" w:rsidP="000E757E">
            <w:pPr>
              <w:suppressAutoHyphens w:val="0"/>
              <w:snapToGrid w:val="0"/>
              <w:spacing w:line="240" w:lineRule="atLeast"/>
              <w:ind w:firstLine="480"/>
              <w:textAlignment w:val="auto"/>
              <w:rPr>
                <w:rFonts w:ascii="標楷體" w:eastAsia="標楷體" w:hAnsi="標楷體"/>
                <w:szCs w:val="24"/>
              </w:rPr>
            </w:pPr>
          </w:p>
        </w:tc>
      </w:tr>
      <w:tr w:rsidR="00401786" w14:paraId="57AF8887" w14:textId="77777777">
        <w:trPr>
          <w:cantSplit/>
          <w:trHeight w:val="332"/>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F17096A"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1D12610" w14:textId="77777777" w:rsidR="00401786" w:rsidRDefault="00401786" w:rsidP="000E757E">
            <w:pPr>
              <w:suppressAutoHyphens w:val="0"/>
              <w:spacing w:line="240" w:lineRule="atLeast"/>
              <w:textAlignment w:val="auto"/>
              <w:rPr>
                <w:rFonts w:ascii="標楷體" w:eastAsia="標楷體" w:hAnsi="標楷體"/>
                <w:szCs w:val="24"/>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AE05B6"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21DDF0D" w14:textId="77777777" w:rsidR="00401786" w:rsidRDefault="00401786" w:rsidP="000E757E">
            <w:pPr>
              <w:suppressAutoHyphens w:val="0"/>
              <w:spacing w:line="240" w:lineRule="atLeast"/>
              <w:textAlignment w:val="auto"/>
              <w:rPr>
                <w:rFonts w:ascii="標楷體" w:eastAsia="標楷體" w:hAnsi="標楷體"/>
                <w:szCs w:val="24"/>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F02B796"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出生日期</w:t>
            </w:r>
          </w:p>
        </w:tc>
        <w:tc>
          <w:tcPr>
            <w:tcW w:w="2556"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649C25E" w14:textId="77777777" w:rsidR="00401786" w:rsidRDefault="00C64FB3" w:rsidP="000E757E">
            <w:pPr>
              <w:suppressAutoHyphens w:val="0"/>
              <w:spacing w:line="240" w:lineRule="atLeast"/>
              <w:ind w:firstLine="480"/>
              <w:textAlignment w:val="auto"/>
              <w:rPr>
                <w:rFonts w:ascii="標楷體" w:eastAsia="標楷體" w:hAnsi="標楷體"/>
                <w:szCs w:val="24"/>
              </w:rPr>
            </w:pPr>
            <w:r>
              <w:rPr>
                <w:rFonts w:ascii="標楷體" w:eastAsia="標楷體" w:hAnsi="標楷體"/>
                <w:szCs w:val="24"/>
              </w:rPr>
              <w:t>年   月  日</w:t>
            </w:r>
          </w:p>
        </w:tc>
        <w:tc>
          <w:tcPr>
            <w:tcW w:w="56" w:type="dxa"/>
            <w:shd w:val="clear" w:color="auto" w:fill="auto"/>
            <w:tcMar>
              <w:top w:w="0" w:type="dxa"/>
              <w:left w:w="10" w:type="dxa"/>
              <w:bottom w:w="0" w:type="dxa"/>
              <w:right w:w="10" w:type="dxa"/>
            </w:tcMar>
          </w:tcPr>
          <w:p w14:paraId="16B277ED" w14:textId="77777777" w:rsidR="00401786" w:rsidRDefault="00401786" w:rsidP="000E757E">
            <w:pPr>
              <w:suppressAutoHyphens w:val="0"/>
              <w:spacing w:line="240" w:lineRule="atLeast"/>
              <w:ind w:firstLine="480"/>
              <w:textAlignment w:val="auto"/>
              <w:rPr>
                <w:rFonts w:ascii="標楷體" w:eastAsia="標楷體" w:hAnsi="標楷體"/>
                <w:szCs w:val="24"/>
              </w:rPr>
            </w:pPr>
          </w:p>
        </w:tc>
      </w:tr>
      <w:tr w:rsidR="00401786" w14:paraId="20819D62" w14:textId="77777777">
        <w:trPr>
          <w:cantSplit/>
          <w:trHeight w:val="356"/>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4157D30"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703B42" w14:textId="77777777" w:rsidR="00401786" w:rsidRDefault="00401786" w:rsidP="000E757E">
            <w:pPr>
              <w:suppressAutoHyphens w:val="0"/>
              <w:spacing w:line="240" w:lineRule="atLeast"/>
              <w:textAlignment w:val="auto"/>
              <w:rPr>
                <w:rFonts w:ascii="標楷體" w:eastAsia="標楷體" w:hAnsi="標楷體"/>
                <w:szCs w:val="24"/>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9E1BE2"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A07CD3" w14:textId="77777777" w:rsidR="00401786" w:rsidRDefault="00401786" w:rsidP="000E757E">
            <w:pPr>
              <w:suppressAutoHyphens w:val="0"/>
              <w:spacing w:line="240" w:lineRule="atLeast"/>
              <w:textAlignment w:val="auto"/>
              <w:rPr>
                <w:rFonts w:ascii="標楷體" w:eastAsia="標楷體" w:hAnsi="標楷體"/>
                <w:szCs w:val="24"/>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72E18EAE"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使用期間</w:t>
            </w:r>
          </w:p>
        </w:tc>
        <w:tc>
          <w:tcPr>
            <w:tcW w:w="2556"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22B95DB"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自    年   月   日</w:t>
            </w:r>
          </w:p>
        </w:tc>
        <w:tc>
          <w:tcPr>
            <w:tcW w:w="56" w:type="dxa"/>
            <w:shd w:val="clear" w:color="auto" w:fill="auto"/>
            <w:tcMar>
              <w:top w:w="0" w:type="dxa"/>
              <w:left w:w="10" w:type="dxa"/>
              <w:bottom w:w="0" w:type="dxa"/>
              <w:right w:w="10" w:type="dxa"/>
            </w:tcMar>
          </w:tcPr>
          <w:p w14:paraId="6D20DB15" w14:textId="77777777" w:rsidR="00401786" w:rsidRDefault="00401786" w:rsidP="000E757E">
            <w:pPr>
              <w:suppressAutoHyphens w:val="0"/>
              <w:spacing w:line="240" w:lineRule="atLeast"/>
              <w:textAlignment w:val="auto"/>
              <w:rPr>
                <w:rFonts w:ascii="標楷體" w:eastAsia="標楷體" w:hAnsi="標楷體"/>
                <w:szCs w:val="24"/>
              </w:rPr>
            </w:pPr>
          </w:p>
        </w:tc>
      </w:tr>
      <w:tr w:rsidR="00401786" w14:paraId="45C89995" w14:textId="77777777">
        <w:trPr>
          <w:cantSplit/>
          <w:trHeight w:val="434"/>
        </w:trPr>
        <w:tc>
          <w:tcPr>
            <w:tcW w:w="147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277F69AE"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E061113" w14:textId="77777777" w:rsidR="00401786" w:rsidRDefault="00401786" w:rsidP="000E757E">
            <w:pPr>
              <w:suppressAutoHyphens w:val="0"/>
              <w:spacing w:line="240" w:lineRule="atLeast"/>
              <w:textAlignment w:val="auto"/>
              <w:rPr>
                <w:rFonts w:ascii="標楷體" w:eastAsia="標楷體" w:hAnsi="標楷體"/>
                <w:szCs w:val="24"/>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9C9F014"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30BF181" w14:textId="77777777" w:rsidR="00401786" w:rsidRDefault="00401786" w:rsidP="000E757E">
            <w:pPr>
              <w:suppressAutoHyphens w:val="0"/>
              <w:spacing w:line="240" w:lineRule="atLeast"/>
              <w:textAlignment w:val="auto"/>
              <w:rPr>
                <w:rFonts w:ascii="標楷體" w:eastAsia="標楷體" w:hAnsi="標楷體"/>
                <w:szCs w:val="24"/>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C3CAB38" w14:textId="77777777" w:rsidR="00401786" w:rsidRDefault="00401786" w:rsidP="000E757E">
            <w:pPr>
              <w:suppressAutoHyphens w:val="0"/>
              <w:spacing w:line="240" w:lineRule="atLeast"/>
              <w:textAlignment w:val="auto"/>
              <w:rPr>
                <w:rFonts w:ascii="標楷體" w:eastAsia="標楷體" w:hAnsi="標楷體"/>
                <w:szCs w:val="24"/>
              </w:rPr>
            </w:pPr>
          </w:p>
        </w:tc>
        <w:tc>
          <w:tcPr>
            <w:tcW w:w="2556"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E815683"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至　年  月　日</w:t>
            </w:r>
          </w:p>
        </w:tc>
        <w:tc>
          <w:tcPr>
            <w:tcW w:w="56" w:type="dxa"/>
            <w:shd w:val="clear" w:color="auto" w:fill="auto"/>
            <w:tcMar>
              <w:top w:w="0" w:type="dxa"/>
              <w:left w:w="10" w:type="dxa"/>
              <w:bottom w:w="0" w:type="dxa"/>
              <w:right w:w="10" w:type="dxa"/>
            </w:tcMar>
          </w:tcPr>
          <w:p w14:paraId="42E0D142" w14:textId="77777777" w:rsidR="00401786" w:rsidRDefault="00401786" w:rsidP="000E757E">
            <w:pPr>
              <w:suppressAutoHyphens w:val="0"/>
              <w:spacing w:line="240" w:lineRule="atLeast"/>
              <w:textAlignment w:val="auto"/>
              <w:rPr>
                <w:rFonts w:ascii="標楷體" w:eastAsia="標楷體" w:hAnsi="標楷體"/>
                <w:szCs w:val="24"/>
              </w:rPr>
            </w:pPr>
          </w:p>
        </w:tc>
      </w:tr>
      <w:tr w:rsidR="00401786" w14:paraId="1D413EFB" w14:textId="77777777">
        <w:trPr>
          <w:trHeight w:val="35"/>
        </w:trPr>
        <w:tc>
          <w:tcPr>
            <w:tcW w:w="9695" w:type="dxa"/>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3BB8C358" w14:textId="77777777" w:rsidR="00401786" w:rsidRDefault="00C64FB3" w:rsidP="000E757E">
            <w:pPr>
              <w:suppressAutoHyphens w:val="0"/>
              <w:spacing w:before="202" w:line="240" w:lineRule="atLeast"/>
              <w:textAlignment w:val="auto"/>
            </w:pPr>
            <w:r>
              <w:rPr>
                <w:rFonts w:ascii="Webdings" w:eastAsia="Webdings" w:hAnsi="Webdings" w:cs="Webdings"/>
                <w:szCs w:val="24"/>
              </w:rPr>
              <w:t></w:t>
            </w:r>
            <w:r>
              <w:rPr>
                <w:rFonts w:ascii="標楷體" w:eastAsia="標楷體" w:hAnsi="標楷體"/>
                <w:b/>
                <w:bCs/>
                <w:szCs w:val="17"/>
              </w:rPr>
              <w:t>符合下列所有條件：</w:t>
            </w:r>
          </w:p>
          <w:p w14:paraId="3A2AD51F" w14:textId="77777777" w:rsidR="00401786" w:rsidRDefault="00C64FB3" w:rsidP="000E757E">
            <w:pPr>
              <w:suppressAutoHyphens w:val="0"/>
              <w:spacing w:line="240" w:lineRule="atLeast"/>
              <w:ind w:left="653" w:hanging="283"/>
              <w:textAlignment w:val="auto"/>
            </w:pPr>
            <w:r>
              <w:rPr>
                <w:rFonts w:ascii="Webdings" w:eastAsia="Webdings" w:hAnsi="Webdings" w:cs="Webdings"/>
                <w:szCs w:val="24"/>
              </w:rPr>
              <w:t></w:t>
            </w:r>
            <w:r>
              <w:rPr>
                <w:rFonts w:ascii="標楷體" w:eastAsia="標楷體" w:hAnsi="標楷體"/>
                <w:szCs w:val="24"/>
              </w:rPr>
              <w:t>六歲(含)以上診斷為小兒</w:t>
            </w:r>
            <w:r>
              <w:rPr>
                <w:rFonts w:ascii="標楷體" w:eastAsia="標楷體" w:hAnsi="標楷體"/>
                <w:color w:val="000000"/>
                <w:szCs w:val="24"/>
              </w:rPr>
              <w:t>潰瘍性結腸炎</w:t>
            </w:r>
            <w:r>
              <w:rPr>
                <w:rFonts w:ascii="標楷體" w:eastAsia="標楷體" w:hAnsi="標楷體"/>
                <w:szCs w:val="24"/>
              </w:rPr>
              <w:t xml:space="preserve">。 </w:t>
            </w:r>
          </w:p>
          <w:p w14:paraId="183ECB0C" w14:textId="77777777" w:rsidR="00401786" w:rsidRDefault="00C64FB3" w:rsidP="000E757E">
            <w:pPr>
              <w:suppressAutoHyphens w:val="0"/>
              <w:spacing w:line="240" w:lineRule="atLeast"/>
              <w:ind w:left="799" w:hanging="427"/>
              <w:textAlignment w:val="auto"/>
            </w:pPr>
            <w:r>
              <w:rPr>
                <w:rFonts w:ascii="Webdings" w:eastAsia="Webdings" w:hAnsi="Webdings" w:cs="Webdings"/>
                <w:szCs w:val="24"/>
              </w:rPr>
              <w:t></w:t>
            </w:r>
            <w:r>
              <w:rPr>
                <w:rFonts w:ascii="標楷體" w:eastAsia="標楷體" w:hAnsi="標楷體"/>
                <w:color w:val="000000"/>
                <w:szCs w:val="24"/>
              </w:rPr>
              <w:t>符合下列條件之</w:t>
            </w:r>
            <w:proofErr w:type="gramStart"/>
            <w:r>
              <w:rPr>
                <w:rFonts w:ascii="標楷體" w:eastAsia="標楷體" w:hAnsi="標楷體"/>
                <w:color w:val="000000"/>
                <w:szCs w:val="24"/>
              </w:rPr>
              <w:t>一</w:t>
            </w:r>
            <w:proofErr w:type="gramEnd"/>
            <w:r>
              <w:rPr>
                <w:rFonts w:ascii="標楷體" w:eastAsia="標楷體" w:hAnsi="標楷體"/>
                <w:color w:val="000000"/>
                <w:szCs w:val="24"/>
              </w:rPr>
              <w:t>：</w:t>
            </w:r>
          </w:p>
          <w:p w14:paraId="3C005B75" w14:textId="77777777" w:rsidR="00401786" w:rsidRDefault="00C64FB3" w:rsidP="000E757E">
            <w:pPr>
              <w:suppressAutoHyphens w:val="0"/>
              <w:spacing w:line="240" w:lineRule="atLeast"/>
              <w:ind w:left="1596" w:hanging="799"/>
              <w:textAlignment w:val="auto"/>
            </w:pPr>
            <w:r>
              <w:rPr>
                <w:rFonts w:ascii="Webdings" w:eastAsia="Webdings" w:hAnsi="Webdings" w:cs="Webdings"/>
                <w:szCs w:val="24"/>
              </w:rPr>
              <w:t></w:t>
            </w:r>
            <w:r>
              <w:rPr>
                <w:rFonts w:ascii="標楷體" w:eastAsia="標楷體" w:hAnsi="標楷體"/>
                <w:szCs w:val="24"/>
              </w:rPr>
              <w:t>一、</w:t>
            </w:r>
            <w:r>
              <w:rPr>
                <w:rFonts w:ascii="標楷體" w:eastAsia="標楷體" w:hAnsi="標楷體"/>
                <w:color w:val="000000"/>
                <w:szCs w:val="24"/>
              </w:rPr>
              <w:t>同時符合下列條件</w:t>
            </w:r>
          </w:p>
          <w:p w14:paraId="74C17802" w14:textId="77777777" w:rsidR="00401786" w:rsidRDefault="00C64FB3" w:rsidP="000E757E">
            <w:pPr>
              <w:suppressAutoHyphens w:val="0"/>
              <w:spacing w:line="240" w:lineRule="atLeast"/>
              <w:ind w:left="1994" w:hanging="424"/>
              <w:textAlignment w:val="auto"/>
            </w:pPr>
            <w:r>
              <w:rPr>
                <w:rFonts w:ascii="Webdings" w:eastAsia="Webdings" w:hAnsi="Webdings" w:cs="Webdings"/>
                <w:szCs w:val="24"/>
              </w:rPr>
              <w:t></w:t>
            </w:r>
            <w:r>
              <w:rPr>
                <w:rFonts w:ascii="標楷體" w:eastAsia="標楷體" w:hAnsi="標楷體"/>
                <w:szCs w:val="24"/>
              </w:rPr>
              <w:t>經5-aminosalicylic acid藥物、類固醇、及/或免疫調節劑充分治療無效，或對5-aminosalicylic acid藥物、免疫調節劑產生嚴重藥物副作用。</w:t>
            </w:r>
          </w:p>
          <w:p w14:paraId="3D25E322" w14:textId="77777777" w:rsidR="00401786" w:rsidRDefault="00C64FB3" w:rsidP="000E757E">
            <w:pPr>
              <w:suppressAutoHyphens w:val="0"/>
              <w:spacing w:line="240" w:lineRule="atLeast"/>
              <w:ind w:left="1649" w:firstLine="343"/>
              <w:textAlignment w:val="auto"/>
            </w:pPr>
            <w:r>
              <w:rPr>
                <w:rFonts w:ascii="Webdings" w:eastAsia="Webdings" w:hAnsi="Webdings" w:cs="Webdings"/>
                <w:szCs w:val="24"/>
              </w:rPr>
              <w:t></w:t>
            </w:r>
            <w:r>
              <w:rPr>
                <w:rFonts w:ascii="標楷體" w:eastAsia="標楷體" w:hAnsi="標楷體"/>
                <w:szCs w:val="24"/>
              </w:rPr>
              <w:t>無法控制病情</w:t>
            </w:r>
            <w:proofErr w:type="gramStart"/>
            <w:r>
              <w:rPr>
                <w:rFonts w:ascii="標楷體" w:eastAsia="標楷體" w:hAnsi="標楷體"/>
                <w:szCs w:val="24"/>
              </w:rPr>
              <w:t>（</w:t>
            </w:r>
            <w:proofErr w:type="gramEnd"/>
            <w:r>
              <w:rPr>
                <w:rFonts w:ascii="標楷體" w:eastAsia="標楷體" w:hAnsi="標楷體"/>
                <w:color w:val="000000"/>
                <w:szCs w:val="24"/>
              </w:rPr>
              <w:t>PUCAI</w:t>
            </w:r>
            <w:r>
              <w:rPr>
                <w:rFonts w:ascii="標楷體" w:eastAsia="標楷體" w:hAnsi="標楷體"/>
                <w:szCs w:val="24"/>
              </w:rPr>
              <w:t>分數：_______</w:t>
            </w:r>
            <w:proofErr w:type="gramStart"/>
            <w:r>
              <w:rPr>
                <w:rFonts w:ascii="標楷體" w:eastAsia="標楷體" w:hAnsi="標楷體"/>
                <w:szCs w:val="24"/>
              </w:rPr>
              <w:t>）</w:t>
            </w:r>
            <w:proofErr w:type="gramEnd"/>
          </w:p>
          <w:p w14:paraId="7187534F" w14:textId="77777777" w:rsidR="00401786" w:rsidRDefault="00C64FB3" w:rsidP="000E757E">
            <w:pPr>
              <w:suppressAutoHyphens w:val="0"/>
              <w:spacing w:line="240" w:lineRule="atLeast"/>
              <w:ind w:left="1649" w:firstLine="343"/>
              <w:textAlignment w:val="auto"/>
            </w:pPr>
            <w:r>
              <w:rPr>
                <w:rFonts w:ascii="Webdings" w:eastAsia="Webdings" w:hAnsi="Webdings" w:cs="Webdings"/>
                <w:szCs w:val="24"/>
              </w:rPr>
              <w:t></w:t>
            </w:r>
            <w:r>
              <w:rPr>
                <w:rFonts w:ascii="標楷體" w:eastAsia="標楷體" w:hAnsi="標楷體"/>
                <w:szCs w:val="24"/>
              </w:rPr>
              <w:t>產生嚴重藥物副作用：藥名_________________時間__________</w:t>
            </w:r>
          </w:p>
          <w:p w14:paraId="6F93F43C" w14:textId="77777777" w:rsidR="00401786" w:rsidRDefault="00C64FB3" w:rsidP="000E757E">
            <w:pPr>
              <w:suppressAutoHyphens w:val="0"/>
              <w:spacing w:line="240" w:lineRule="atLeast"/>
              <w:ind w:left="1990"/>
              <w:textAlignment w:val="auto"/>
              <w:rPr>
                <w:rFonts w:ascii="標楷體" w:eastAsia="標楷體" w:hAnsi="標楷體"/>
                <w:szCs w:val="24"/>
              </w:rPr>
            </w:pPr>
            <w:r>
              <w:rPr>
                <w:rFonts w:ascii="標楷體" w:eastAsia="標楷體" w:hAnsi="標楷體"/>
                <w:szCs w:val="24"/>
              </w:rPr>
              <w:t>副作用說明：___________________________</w:t>
            </w:r>
          </w:p>
          <w:p w14:paraId="1A0D896D" w14:textId="77777777" w:rsidR="00401786" w:rsidRDefault="00C64FB3" w:rsidP="000E757E">
            <w:pPr>
              <w:suppressAutoHyphens w:val="0"/>
              <w:spacing w:line="240" w:lineRule="atLeast"/>
              <w:ind w:left="1989" w:hanging="422"/>
              <w:textAlignment w:val="auto"/>
            </w:pPr>
            <w:r>
              <w:rPr>
                <w:rFonts w:ascii="Webdings" w:eastAsia="Webdings" w:hAnsi="Webdings" w:cs="Webdings"/>
                <w:szCs w:val="24"/>
              </w:rPr>
              <w:t></w:t>
            </w:r>
            <w:r>
              <w:rPr>
                <w:rFonts w:ascii="標楷體" w:eastAsia="標楷體" w:hAnsi="標楷體"/>
                <w:color w:val="000000"/>
                <w:szCs w:val="24"/>
              </w:rPr>
              <w:t>PUCAI</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35分，或合併生長遲緩(height velocity Z score -1 to -2.5)孩童經營養治療與免疫抑制劑治療失敗者。</w:t>
            </w:r>
          </w:p>
          <w:p w14:paraId="145DD62B" w14:textId="77777777" w:rsidR="00401786" w:rsidRDefault="00C64FB3" w:rsidP="000E757E">
            <w:pPr>
              <w:suppressAutoHyphens w:val="0"/>
              <w:spacing w:line="240" w:lineRule="atLeast"/>
              <w:ind w:left="1596" w:hanging="799"/>
              <w:textAlignment w:val="auto"/>
            </w:pPr>
            <w:r>
              <w:rPr>
                <w:rFonts w:ascii="Webdings" w:eastAsia="Webdings" w:hAnsi="Webdings" w:cs="Webdings"/>
                <w:szCs w:val="24"/>
              </w:rPr>
              <w:t></w:t>
            </w:r>
            <w:r>
              <w:rPr>
                <w:rFonts w:ascii="標楷體" w:eastAsia="標楷體" w:hAnsi="標楷體"/>
                <w:szCs w:val="24"/>
              </w:rPr>
              <w:t>二、</w:t>
            </w:r>
            <w:r>
              <w:rPr>
                <w:rFonts w:ascii="標楷體" w:eastAsia="標楷體" w:hAnsi="標楷體"/>
                <w:color w:val="000000"/>
                <w:szCs w:val="24"/>
              </w:rPr>
              <w:t>急性嚴重的潰瘍性結腸炎，同時符合下列四要件：</w:t>
            </w:r>
          </w:p>
          <w:p w14:paraId="6EEDF29B"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內視鏡下符合潰瘍性結腸炎。</w:t>
            </w:r>
          </w:p>
          <w:p w14:paraId="39810CFC"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病理切片排除巨細胞病毒腸炎、阿米巴結腸炎、淋巴癌。</w:t>
            </w:r>
          </w:p>
          <w:p w14:paraId="26DBEFF2"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糞便檢測排除</w:t>
            </w:r>
            <w:proofErr w:type="gramStart"/>
            <w:r>
              <w:rPr>
                <w:rFonts w:ascii="標楷體" w:eastAsia="標楷體" w:hAnsi="標楷體"/>
                <w:color w:val="000000"/>
                <w:szCs w:val="24"/>
              </w:rPr>
              <w:t>困難梭狀</w:t>
            </w:r>
            <w:proofErr w:type="gramEnd"/>
            <w:r>
              <w:rPr>
                <w:rFonts w:ascii="標楷體" w:eastAsia="標楷體" w:hAnsi="標楷體"/>
                <w:color w:val="000000"/>
                <w:szCs w:val="24"/>
              </w:rPr>
              <w:t>桿菌感染。</w:t>
            </w:r>
          </w:p>
          <w:p w14:paraId="5E90ECEE"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PUCAI為50分，經類固醇全劑量靜脈注射連續治療5天無效。</w:t>
            </w:r>
          </w:p>
          <w:p w14:paraId="78DE5461" w14:textId="77777777" w:rsidR="00401786" w:rsidRDefault="00401786" w:rsidP="000E757E">
            <w:pPr>
              <w:suppressAutoHyphens w:val="0"/>
              <w:spacing w:line="240" w:lineRule="atLeast"/>
              <w:ind w:left="2074" w:hanging="425"/>
              <w:textAlignment w:val="auto"/>
              <w:rPr>
                <w:rFonts w:ascii="標楷體" w:eastAsia="標楷體" w:hAnsi="標楷體"/>
                <w:szCs w:val="24"/>
              </w:rPr>
            </w:pPr>
          </w:p>
          <w:p w14:paraId="0457F8FD" w14:textId="77777777" w:rsidR="00401786" w:rsidRDefault="00C64FB3" w:rsidP="000E757E">
            <w:pPr>
              <w:suppressAutoHyphens w:val="0"/>
              <w:spacing w:before="202" w:line="240" w:lineRule="atLeast"/>
              <w:textAlignment w:val="auto"/>
            </w:pPr>
            <w:r>
              <w:rPr>
                <w:rFonts w:ascii="Webdings" w:eastAsia="Webdings" w:hAnsi="Webdings" w:cs="Webdings"/>
                <w:szCs w:val="24"/>
              </w:rPr>
              <w:t></w:t>
            </w:r>
            <w:r>
              <w:rPr>
                <w:rFonts w:ascii="標楷體" w:eastAsia="標楷體" w:hAnsi="標楷體"/>
                <w:b/>
                <w:bCs/>
                <w:szCs w:val="17"/>
              </w:rPr>
              <w:t>符合繼續使用之療效評估：</w:t>
            </w:r>
          </w:p>
          <w:p w14:paraId="3DF7BD2E" w14:textId="77777777" w:rsidR="00401786" w:rsidRDefault="00C64FB3" w:rsidP="000E757E">
            <w:pPr>
              <w:suppressAutoHyphens w:val="0"/>
              <w:spacing w:line="240" w:lineRule="atLeast"/>
              <w:ind w:left="694" w:hanging="322"/>
              <w:textAlignment w:val="auto"/>
            </w:pPr>
            <w:r>
              <w:rPr>
                <w:rFonts w:ascii="Webdings" w:eastAsia="Webdings" w:hAnsi="Webdings" w:cs="Webdings"/>
                <w:szCs w:val="24"/>
              </w:rPr>
              <w:t></w:t>
            </w:r>
            <w:r>
              <w:rPr>
                <w:rFonts w:ascii="標楷體" w:eastAsia="標楷體" w:hAnsi="標楷體"/>
                <w:szCs w:val="24"/>
              </w:rPr>
              <w:t>初次使用者：</w:t>
            </w:r>
            <w:r>
              <w:rPr>
                <w:rFonts w:ascii="標楷體" w:eastAsia="標楷體" w:hAnsi="標楷體"/>
                <w:color w:val="000000"/>
                <w:szCs w:val="24"/>
              </w:rPr>
              <w:t>infliximab以6</w:t>
            </w:r>
            <w:proofErr w:type="gramStart"/>
            <w:r>
              <w:rPr>
                <w:rFonts w:ascii="標楷體" w:eastAsia="標楷體" w:hAnsi="標楷體"/>
                <w:color w:val="000000"/>
                <w:szCs w:val="24"/>
              </w:rPr>
              <w:t>週</w:t>
            </w:r>
            <w:proofErr w:type="gramEnd"/>
            <w:r>
              <w:rPr>
                <w:rFonts w:ascii="標楷體" w:eastAsia="標楷體" w:hAnsi="標楷體"/>
                <w:color w:val="000000"/>
                <w:szCs w:val="24"/>
              </w:rPr>
              <w:t>(使用3劑)為限</w:t>
            </w:r>
            <w:r>
              <w:rPr>
                <w:rFonts w:ascii="標楷體" w:eastAsia="標楷體" w:hAnsi="標楷體"/>
                <w:szCs w:val="24"/>
              </w:rPr>
              <w:t>，達到</w:t>
            </w:r>
            <w:r>
              <w:rPr>
                <w:rFonts w:ascii="標楷體" w:eastAsia="標楷體" w:hAnsi="標楷體"/>
                <w:color w:val="000000"/>
                <w:szCs w:val="24"/>
              </w:rPr>
              <w:t>臨床反應評估者</w:t>
            </w:r>
            <w:r>
              <w:rPr>
                <w:rFonts w:ascii="標楷體" w:eastAsia="標楷體" w:hAnsi="標楷體"/>
                <w:szCs w:val="24"/>
              </w:rPr>
              <w:t>，方得申請繼續使用。</w:t>
            </w:r>
          </w:p>
          <w:p w14:paraId="64215B2F" w14:textId="77777777" w:rsidR="00401786" w:rsidRDefault="00C64FB3" w:rsidP="000E757E">
            <w:pPr>
              <w:suppressAutoHyphens w:val="0"/>
              <w:spacing w:line="240" w:lineRule="atLeast"/>
              <w:ind w:left="797"/>
              <w:textAlignment w:val="auto"/>
            </w:pPr>
            <w:r>
              <w:rPr>
                <w:rFonts w:ascii="Webdings" w:eastAsia="Webdings" w:hAnsi="Webdings" w:cs="Webdings"/>
                <w:szCs w:val="24"/>
              </w:rPr>
              <w:t></w:t>
            </w:r>
            <w:r>
              <w:rPr>
                <w:rFonts w:ascii="標楷體" w:eastAsia="標楷體" w:hAnsi="標楷體"/>
                <w:szCs w:val="24"/>
              </w:rPr>
              <w:t>達到</w:t>
            </w:r>
            <w:proofErr w:type="gramStart"/>
            <w:r>
              <w:rPr>
                <w:rFonts w:ascii="標楷體" w:eastAsia="標楷體" w:hAnsi="標楷體"/>
                <w:szCs w:val="24"/>
              </w:rPr>
              <w:t>有效緩</w:t>
            </w:r>
            <w:proofErr w:type="gramEnd"/>
            <w:r>
              <w:rPr>
                <w:rFonts w:ascii="標楷體" w:eastAsia="標楷體" w:hAnsi="標楷體"/>
                <w:szCs w:val="24"/>
              </w:rPr>
              <w:t>解之誘導(</w:t>
            </w:r>
            <w:r>
              <w:rPr>
                <w:rFonts w:ascii="標楷體" w:eastAsia="標楷體" w:hAnsi="標楷體"/>
                <w:color w:val="000000"/>
                <w:szCs w:val="24"/>
              </w:rPr>
              <w:t>PUCAI減少20分或PUCAI＜10分</w:t>
            </w:r>
            <w:r>
              <w:rPr>
                <w:rFonts w:ascii="標楷體" w:eastAsia="標楷體" w:hAnsi="標楷體"/>
                <w:szCs w:val="24"/>
              </w:rPr>
              <w:t xml:space="preserve">) </w:t>
            </w:r>
          </w:p>
          <w:p w14:paraId="6EB4133B" w14:textId="77777777" w:rsidR="00401786" w:rsidRDefault="00C64FB3" w:rsidP="000E757E">
            <w:pPr>
              <w:suppressAutoHyphens w:val="0"/>
              <w:spacing w:line="240" w:lineRule="atLeast"/>
              <w:ind w:left="1222" w:hanging="425"/>
              <w:textAlignment w:val="auto"/>
            </w:pPr>
            <w:r>
              <w:rPr>
                <w:rFonts w:ascii="Webdings" w:eastAsia="Webdings" w:hAnsi="Webdings" w:cs="Webdings"/>
                <w:szCs w:val="24"/>
              </w:rPr>
              <w:t></w:t>
            </w:r>
            <w:r>
              <w:rPr>
                <w:rFonts w:ascii="標楷體" w:eastAsia="標楷體" w:hAnsi="標楷體"/>
                <w:szCs w:val="24"/>
              </w:rPr>
              <w:t>緩解誘導之使用期間：____年____月至_____年___月</w:t>
            </w:r>
          </w:p>
          <w:p w14:paraId="0D52B3A0" w14:textId="77777777" w:rsidR="00401786" w:rsidRDefault="00C64FB3" w:rsidP="000E757E">
            <w:pPr>
              <w:suppressAutoHyphens w:val="0"/>
              <w:spacing w:line="240" w:lineRule="atLeast"/>
              <w:ind w:left="694" w:hanging="324"/>
              <w:textAlignment w:val="auto"/>
            </w:pPr>
            <w:r>
              <w:rPr>
                <w:rFonts w:ascii="Webdings" w:eastAsia="Webdings" w:hAnsi="Webdings" w:cs="Webdings"/>
                <w:szCs w:val="24"/>
              </w:rPr>
              <w:t></w:t>
            </w:r>
            <w:r>
              <w:rPr>
                <w:rFonts w:ascii="標楷體" w:eastAsia="標楷體" w:hAnsi="標楷體"/>
                <w:szCs w:val="24"/>
              </w:rPr>
              <w:t>繼續使用者：</w:t>
            </w:r>
            <w:r>
              <w:rPr>
                <w:rFonts w:ascii="標楷體" w:eastAsia="標楷體" w:hAnsi="標楷體"/>
                <w:color w:val="000000"/>
                <w:szCs w:val="24"/>
              </w:rPr>
              <w:t>以申請一次24</w:t>
            </w:r>
            <w:proofErr w:type="gramStart"/>
            <w:r>
              <w:rPr>
                <w:rFonts w:ascii="標楷體" w:eastAsia="標楷體" w:hAnsi="標楷體"/>
                <w:color w:val="000000"/>
                <w:szCs w:val="24"/>
              </w:rPr>
              <w:t>週</w:t>
            </w:r>
            <w:proofErr w:type="gramEnd"/>
            <w:r>
              <w:rPr>
                <w:rFonts w:ascii="標楷體" w:eastAsia="標楷體" w:hAnsi="標楷體"/>
                <w:color w:val="000000"/>
                <w:szCs w:val="24"/>
              </w:rPr>
              <w:t>(使用3劑)為限</w:t>
            </w:r>
            <w:r>
              <w:rPr>
                <w:rFonts w:ascii="標楷體" w:eastAsia="標楷體" w:hAnsi="標楷體"/>
                <w:szCs w:val="24"/>
              </w:rPr>
              <w:t>。</w:t>
            </w:r>
          </w:p>
          <w:p w14:paraId="38C1B7E6" w14:textId="77777777" w:rsidR="00401786" w:rsidRDefault="00C64FB3" w:rsidP="000E757E">
            <w:pPr>
              <w:suppressAutoHyphens w:val="0"/>
              <w:spacing w:line="240" w:lineRule="atLeast"/>
              <w:ind w:left="694" w:hanging="324"/>
              <w:textAlignment w:val="auto"/>
            </w:pPr>
            <w:r>
              <w:rPr>
                <w:rFonts w:ascii="Webdings" w:eastAsia="Webdings" w:hAnsi="Webdings" w:cs="Webdings"/>
                <w:szCs w:val="24"/>
              </w:rPr>
              <w:t></w:t>
            </w:r>
            <w:r>
              <w:rPr>
                <w:rFonts w:ascii="標楷體" w:eastAsia="標楷體" w:hAnsi="標楷體"/>
                <w:szCs w:val="24"/>
              </w:rPr>
              <w:t>infliximab治療期滿46</w:t>
            </w:r>
            <w:proofErr w:type="gramStart"/>
            <w:r>
              <w:rPr>
                <w:rFonts w:ascii="標楷體" w:eastAsia="標楷體" w:hAnsi="標楷體"/>
                <w:szCs w:val="24"/>
              </w:rPr>
              <w:t>週</w:t>
            </w:r>
            <w:proofErr w:type="gramEnd"/>
            <w:r>
              <w:rPr>
                <w:rFonts w:ascii="標楷體" w:eastAsia="標楷體" w:hAnsi="標楷體"/>
                <w:szCs w:val="24"/>
              </w:rPr>
              <w:t xml:space="preserve"> (使用8劑)，再提出續用者，必須距離前次生物製劑治療結束間隔3個月以上，且因病情復發或以其他治療難以控制達規定之標準。</w:t>
            </w:r>
          </w:p>
          <w:p w14:paraId="7AB8C3EC" w14:textId="77777777" w:rsidR="00401786" w:rsidRDefault="00C64FB3" w:rsidP="000E757E">
            <w:pPr>
              <w:suppressAutoHyphens w:val="0"/>
              <w:spacing w:line="240" w:lineRule="atLeast"/>
              <w:ind w:left="694" w:hanging="324"/>
              <w:textAlignment w:val="auto"/>
            </w:pPr>
            <w:r>
              <w:rPr>
                <w:rFonts w:ascii="Webdings" w:eastAsia="Webdings" w:hAnsi="Webdings" w:cs="Webdings"/>
                <w:szCs w:val="24"/>
              </w:rPr>
              <w:t></w:t>
            </w:r>
            <w:r>
              <w:rPr>
                <w:rFonts w:ascii="標楷體" w:eastAsia="標楷體" w:hAnsi="標楷體"/>
                <w:szCs w:val="24"/>
              </w:rPr>
              <w:t>連續2次因療程結束而暫緩用藥疾病復發，且第2次復發於藥效終止後3個月內發生，則可持續使用，惟</w:t>
            </w:r>
            <w:proofErr w:type="gramStart"/>
            <w:r>
              <w:rPr>
                <w:rFonts w:ascii="標楷體" w:eastAsia="標楷體" w:hAnsi="標楷體"/>
                <w:szCs w:val="24"/>
              </w:rPr>
              <w:t>需每24週</w:t>
            </w:r>
            <w:proofErr w:type="gramEnd"/>
            <w:r>
              <w:rPr>
                <w:rFonts w:ascii="標楷體" w:eastAsia="標楷體" w:hAnsi="標楷體"/>
                <w:szCs w:val="24"/>
              </w:rPr>
              <w:t>提出續用事前審查。連續2年(4次評估)達到PUCIA &lt; 5分，則應考慮停藥。</w:t>
            </w:r>
          </w:p>
        </w:tc>
      </w:tr>
    </w:tbl>
    <w:p w14:paraId="6B19DB9A" w14:textId="77777777" w:rsidR="00401786" w:rsidRDefault="00C64FB3" w:rsidP="000E757E">
      <w:pPr>
        <w:widowControl/>
        <w:suppressAutoHyphens w:val="0"/>
        <w:spacing w:line="240" w:lineRule="atLeast"/>
        <w:textAlignment w:val="auto"/>
        <w:rPr>
          <w:rFonts w:ascii="標楷體" w:eastAsia="標楷體" w:hAnsi="標楷體"/>
          <w:sz w:val="28"/>
          <w:szCs w:val="28"/>
        </w:rPr>
      </w:pPr>
      <w:r>
        <w:rPr>
          <w:rFonts w:ascii="標楷體" w:eastAsia="標楷體" w:hAnsi="標楷體"/>
          <w:sz w:val="28"/>
          <w:szCs w:val="28"/>
        </w:rPr>
        <w:t xml:space="preserve"> </w:t>
      </w:r>
    </w:p>
    <w:p w14:paraId="5A0A9A88" w14:textId="77777777" w:rsidR="00401786" w:rsidRPr="005C51CB" w:rsidRDefault="00401786" w:rsidP="000E757E">
      <w:pPr>
        <w:pageBreakBefore/>
        <w:widowControl/>
        <w:suppressAutoHyphens w:val="0"/>
        <w:spacing w:line="240" w:lineRule="atLeast"/>
        <w:rPr>
          <w:rFonts w:ascii="標楷體" w:eastAsia="標楷體" w:hAnsi="標楷體"/>
          <w:b/>
          <w:bCs/>
          <w:sz w:val="28"/>
          <w:szCs w:val="28"/>
        </w:rPr>
      </w:pPr>
    </w:p>
    <w:p w14:paraId="63D72959" w14:textId="77777777" w:rsidR="00401786" w:rsidRPr="005C51CB" w:rsidRDefault="00C64FB3" w:rsidP="000E757E">
      <w:pPr>
        <w:widowControl/>
        <w:suppressAutoHyphens w:val="0"/>
        <w:spacing w:line="240" w:lineRule="atLeast"/>
        <w:ind w:firstLine="283"/>
        <w:textAlignment w:val="auto"/>
        <w:rPr>
          <w:rFonts w:ascii="標楷體" w:eastAsia="標楷體" w:hAnsi="標楷體"/>
          <w:b/>
          <w:bCs/>
          <w:szCs w:val="24"/>
        </w:rPr>
      </w:pPr>
      <w:r w:rsidRPr="005C51CB">
        <w:rPr>
          <w:rFonts w:ascii="標楷體" w:eastAsia="標楷體" w:hAnsi="標楷體"/>
          <w:b/>
          <w:bCs/>
          <w:szCs w:val="24"/>
        </w:rPr>
        <w:t>附表</w:t>
      </w:r>
      <w:bookmarkStart w:id="111" w:name="_Hlk167692776"/>
      <w:r w:rsidRPr="005C51CB">
        <w:rPr>
          <w:rFonts w:ascii="標楷體" w:eastAsia="標楷體" w:hAnsi="標楷體"/>
          <w:b/>
          <w:bCs/>
          <w:szCs w:val="24"/>
        </w:rPr>
        <w:t>二十六之</w:t>
      </w:r>
      <w:bookmarkEnd w:id="111"/>
      <w:r w:rsidRPr="005C51CB">
        <w:rPr>
          <w:rFonts w:ascii="標楷體" w:eastAsia="標楷體" w:hAnsi="標楷體"/>
          <w:b/>
          <w:bCs/>
          <w:szCs w:val="24"/>
        </w:rPr>
        <w:t>七 全民健康保險小兒潰瘍性結腸炎使用adalimumab、infliximab申請表</w:t>
      </w:r>
    </w:p>
    <w:tbl>
      <w:tblPr>
        <w:tblW w:w="9938" w:type="dxa"/>
        <w:tblInd w:w="269" w:type="dxa"/>
        <w:tblCellMar>
          <w:left w:w="10" w:type="dxa"/>
          <w:right w:w="10" w:type="dxa"/>
        </w:tblCellMar>
        <w:tblLook w:val="0000" w:firstRow="0" w:lastRow="0" w:firstColumn="0" w:lastColumn="0" w:noHBand="0" w:noVBand="0"/>
      </w:tblPr>
      <w:tblGrid>
        <w:gridCol w:w="896"/>
        <w:gridCol w:w="1324"/>
        <w:gridCol w:w="4074"/>
        <w:gridCol w:w="3644"/>
      </w:tblGrid>
      <w:tr w:rsidR="00401786" w14:paraId="2CE21407" w14:textId="77777777">
        <w:trPr>
          <w:cantSplit/>
          <w:trHeight w:val="282"/>
        </w:trPr>
        <w:tc>
          <w:tcPr>
            <w:tcW w:w="9938"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505A2248" w14:textId="77777777" w:rsidR="00401786" w:rsidRDefault="00C64FB3" w:rsidP="000E757E">
            <w:pPr>
              <w:suppressAutoHyphens w:val="0"/>
              <w:spacing w:before="202" w:line="240" w:lineRule="atLeast"/>
              <w:ind w:left="120"/>
              <w:textAlignment w:val="auto"/>
            </w:pPr>
            <w:r>
              <w:rPr>
                <w:rFonts w:ascii="Webdings" w:eastAsia="Webdings" w:hAnsi="Webdings" w:cs="Webdings"/>
                <w:szCs w:val="24"/>
              </w:rPr>
              <w:t></w:t>
            </w:r>
            <w:r>
              <w:rPr>
                <w:rFonts w:ascii="標楷體" w:eastAsia="標楷體" w:hAnsi="標楷體"/>
                <w:b/>
                <w:szCs w:val="24"/>
              </w:rPr>
              <w:t>符合「須排除或停止adalimumab、infliximab使用之情形」</w:t>
            </w:r>
          </w:p>
        </w:tc>
      </w:tr>
      <w:tr w:rsidR="00401786" w14:paraId="57249E76"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8270B49"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E8D8F2"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5BD78544"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6207B3C"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是否有adalimumab、infliximab仿單記載之禁忌情形。</w:t>
            </w:r>
          </w:p>
        </w:tc>
      </w:tr>
      <w:tr w:rsidR="00401786" w14:paraId="387E4186"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E003D6"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0002F4"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367E3F28"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449A651"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病患是否有活動性感染症。</w:t>
            </w:r>
          </w:p>
        </w:tc>
      </w:tr>
      <w:tr w:rsidR="00401786" w14:paraId="11D79920"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EA49230"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89137A"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27BD1992"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C8ABF3F"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未經完整治療之結核病的病患（包括潛伏結核感染治療未達四</w:t>
            </w:r>
            <w:proofErr w:type="gramStart"/>
            <w:r>
              <w:rPr>
                <w:rFonts w:ascii="標楷體" w:eastAsia="標楷體" w:hAnsi="標楷體"/>
                <w:szCs w:val="24"/>
              </w:rPr>
              <w:t>週</w:t>
            </w:r>
            <w:proofErr w:type="gramEnd"/>
            <w:r>
              <w:rPr>
                <w:rFonts w:ascii="標楷體" w:eastAsia="標楷體" w:hAnsi="標楷體"/>
                <w:szCs w:val="24"/>
              </w:rPr>
              <w:t>者，申請時應檢附潛伏結核感染篩檢紀錄及治療紀錄供審查）。</w:t>
            </w:r>
          </w:p>
        </w:tc>
      </w:tr>
      <w:tr w:rsidR="00401786" w14:paraId="68487D6F"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71A0DCF" w14:textId="77777777" w:rsidR="00401786" w:rsidRDefault="00C64FB3" w:rsidP="000E757E">
            <w:pPr>
              <w:tabs>
                <w:tab w:val="left" w:pos="425"/>
              </w:tabs>
              <w:suppressAutoHyphens w:val="0"/>
              <w:spacing w:line="240" w:lineRule="atLeast"/>
              <w:ind w:firstLine="600"/>
              <w:textAlignment w:val="center"/>
              <w:rPr>
                <w:rFonts w:ascii="標楷體" w:eastAsia="標楷體" w:hAnsi="標楷體"/>
                <w:szCs w:val="24"/>
              </w:rPr>
            </w:pPr>
            <w:r>
              <w:rPr>
                <w:rFonts w:ascii="標楷體" w:eastAsia="標楷體" w:hAnsi="標楷體"/>
                <w:szCs w:val="24"/>
              </w:rPr>
              <w:t></w:t>
            </w:r>
          </w:p>
          <w:p w14:paraId="5D9085FB"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70C87A"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5DC79F13" w14:textId="77777777" w:rsidR="00401786" w:rsidRDefault="00C64FB3" w:rsidP="000E757E">
            <w:pPr>
              <w:tabs>
                <w:tab w:val="left" w:pos="425"/>
              </w:tabs>
              <w:suppressAutoHyphens w:val="0"/>
              <w:spacing w:line="240" w:lineRule="atLeast"/>
              <w:ind w:firstLine="89"/>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E2E82EE"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病患是否具有高度感染機會之情形，其中包括：</w:t>
            </w:r>
          </w:p>
          <w:p w14:paraId="6961B4EF"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1.</w:t>
            </w:r>
            <w:proofErr w:type="gramStart"/>
            <w:r>
              <w:rPr>
                <w:rFonts w:ascii="標楷體" w:eastAsia="標楷體" w:hAnsi="標楷體"/>
                <w:szCs w:val="24"/>
              </w:rPr>
              <w:t>慢性腿部</w:t>
            </w:r>
            <w:proofErr w:type="gramEnd"/>
            <w:r>
              <w:rPr>
                <w:rFonts w:ascii="標楷體" w:eastAsia="標楷體" w:hAnsi="標楷體"/>
                <w:szCs w:val="24"/>
              </w:rPr>
              <w:t>潰瘍。</w:t>
            </w:r>
          </w:p>
          <w:p w14:paraId="646711CF" w14:textId="77777777" w:rsidR="00401786" w:rsidRDefault="00C64FB3" w:rsidP="000E757E">
            <w:pPr>
              <w:suppressAutoHyphens w:val="0"/>
              <w:spacing w:line="240" w:lineRule="atLeast"/>
              <w:ind w:left="240" w:hanging="240"/>
              <w:textAlignment w:val="center"/>
              <w:rPr>
                <w:rFonts w:ascii="標楷體" w:eastAsia="標楷體" w:hAnsi="標楷體"/>
                <w:szCs w:val="24"/>
              </w:rPr>
            </w:pPr>
            <w:r>
              <w:rPr>
                <w:rFonts w:ascii="標楷體" w:eastAsia="標楷體" w:hAnsi="標楷體"/>
                <w:szCs w:val="24"/>
              </w:rPr>
              <w:t>2.具有留置導尿管或身上有引流管之情形。</w:t>
            </w:r>
          </w:p>
          <w:p w14:paraId="61231BFF" w14:textId="77777777" w:rsidR="00401786" w:rsidRDefault="00C64FB3" w:rsidP="000E757E">
            <w:pPr>
              <w:suppressAutoHyphens w:val="0"/>
              <w:spacing w:line="240" w:lineRule="atLeast"/>
              <w:ind w:left="240" w:hanging="240"/>
              <w:textAlignment w:val="center"/>
              <w:rPr>
                <w:rFonts w:ascii="標楷體" w:eastAsia="標楷體" w:hAnsi="標楷體"/>
                <w:szCs w:val="24"/>
              </w:rPr>
            </w:pPr>
            <w:r>
              <w:rPr>
                <w:rFonts w:ascii="標楷體" w:eastAsia="標楷體" w:hAnsi="標楷體"/>
                <w:szCs w:val="24"/>
              </w:rPr>
              <w:t>3.人工關節感染，該人工關節尚未摘除。</w:t>
            </w:r>
          </w:p>
          <w:p w14:paraId="1AF5F1C3" w14:textId="77777777" w:rsidR="00401786" w:rsidRDefault="00C64FB3" w:rsidP="000E757E">
            <w:pPr>
              <w:suppressAutoHyphens w:val="0"/>
              <w:spacing w:line="240" w:lineRule="atLeast"/>
              <w:ind w:left="240" w:hanging="240"/>
              <w:textAlignment w:val="center"/>
              <w:rPr>
                <w:rFonts w:ascii="標楷體" w:eastAsia="標楷體" w:hAnsi="標楷體"/>
                <w:szCs w:val="24"/>
              </w:rPr>
            </w:pPr>
            <w:r>
              <w:rPr>
                <w:rFonts w:ascii="標楷體" w:eastAsia="標楷體" w:hAnsi="標楷體"/>
                <w:szCs w:val="24"/>
              </w:rPr>
              <w:t>4.頑固性或復發性的胸腔感染疾病。</w:t>
            </w:r>
          </w:p>
        </w:tc>
      </w:tr>
      <w:tr w:rsidR="00401786" w14:paraId="359237ED"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00102FC"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DC5A76"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7D871D55"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37D3620"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w:t>
            </w:r>
            <w:proofErr w:type="gramStart"/>
            <w:r>
              <w:rPr>
                <w:rFonts w:ascii="標楷體" w:eastAsia="標楷體" w:hAnsi="標楷體"/>
                <w:szCs w:val="24"/>
              </w:rPr>
              <w:t>罹</w:t>
            </w:r>
            <w:proofErr w:type="gramEnd"/>
            <w:r>
              <w:rPr>
                <w:rFonts w:ascii="標楷體" w:eastAsia="標楷體" w:hAnsi="標楷體"/>
                <w:szCs w:val="24"/>
              </w:rPr>
              <w:t>患惡性腫瘤或具有癌症前兆(pre-malignancy)</w:t>
            </w:r>
          </w:p>
        </w:tc>
      </w:tr>
      <w:tr w:rsidR="00401786" w14:paraId="63AD8E94"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57851D2"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E7AD25"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59EA45B2"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B80B507"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w:t>
            </w:r>
            <w:proofErr w:type="gramStart"/>
            <w:r>
              <w:rPr>
                <w:rFonts w:ascii="標楷體" w:eastAsia="標楷體" w:hAnsi="標楷體"/>
                <w:szCs w:val="24"/>
              </w:rPr>
              <w:t>罹</w:t>
            </w:r>
            <w:proofErr w:type="gramEnd"/>
            <w:r>
              <w:rPr>
                <w:rFonts w:ascii="標楷體" w:eastAsia="標楷體" w:hAnsi="標楷體"/>
                <w:szCs w:val="24"/>
              </w:rPr>
              <w:t>患多發性硬化症(multiple sclerosis)</w:t>
            </w:r>
          </w:p>
        </w:tc>
      </w:tr>
      <w:tr w:rsidR="00401786" w14:paraId="366F60B3" w14:textId="77777777">
        <w:trPr>
          <w:cantSplit/>
          <w:trHeight w:val="401"/>
        </w:trPr>
        <w:tc>
          <w:tcPr>
            <w:tcW w:w="896" w:type="dxa"/>
            <w:tcBorders>
              <w:top w:val="single" w:sz="6" w:space="0" w:color="000000"/>
              <w:left w:val="double" w:sz="4" w:space="0" w:color="000000"/>
            </w:tcBorders>
            <w:shd w:val="clear" w:color="auto" w:fill="auto"/>
            <w:tcMar>
              <w:top w:w="0" w:type="dxa"/>
              <w:left w:w="28" w:type="dxa"/>
              <w:bottom w:w="0" w:type="dxa"/>
              <w:right w:w="28" w:type="dxa"/>
            </w:tcMar>
            <w:vAlign w:val="center"/>
          </w:tcPr>
          <w:p w14:paraId="1443B715"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D36903"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3D705D66"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BBEC92"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 xml:space="preserve">使用infliximab發生懷孕或不良事件(包括：惡性腫瘤、該藥物引起的嚴重毒性、嚴重的感染性疾病) </w:t>
            </w:r>
          </w:p>
        </w:tc>
      </w:tr>
      <w:tr w:rsidR="00401786" w14:paraId="558AE2FF" w14:textId="77777777">
        <w:trPr>
          <w:cantSplit/>
          <w:trHeight w:val="830"/>
        </w:trPr>
        <w:tc>
          <w:tcPr>
            <w:tcW w:w="6294" w:type="dxa"/>
            <w:gridSpan w:val="3"/>
            <w:tcBorders>
              <w:top w:val="double" w:sz="4" w:space="0" w:color="000000"/>
            </w:tcBorders>
            <w:shd w:val="clear" w:color="auto" w:fill="auto"/>
            <w:tcMar>
              <w:top w:w="0" w:type="dxa"/>
              <w:left w:w="28" w:type="dxa"/>
              <w:bottom w:w="0" w:type="dxa"/>
              <w:right w:w="28" w:type="dxa"/>
            </w:tcMar>
          </w:tcPr>
          <w:p w14:paraId="69DD8DB0"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申請醫師（簽名蓋章）：_____________</w:t>
            </w:r>
          </w:p>
          <w:p w14:paraId="739190E5"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消化系專科醫師證書：_____________</w:t>
            </w:r>
          </w:p>
          <w:p w14:paraId="327099FA" w14:textId="77777777" w:rsidR="00401786" w:rsidRDefault="00C64FB3" w:rsidP="000E757E">
            <w:pPr>
              <w:tabs>
                <w:tab w:val="left" w:pos="2912"/>
              </w:tabs>
              <w:suppressAutoHyphens w:val="0"/>
              <w:spacing w:line="240" w:lineRule="atLeast"/>
              <w:textAlignment w:val="center"/>
              <w:rPr>
                <w:rFonts w:ascii="標楷體" w:eastAsia="標楷體" w:hAnsi="標楷體"/>
                <w:szCs w:val="24"/>
              </w:rPr>
            </w:pPr>
            <w:r>
              <w:rPr>
                <w:rFonts w:ascii="標楷體" w:eastAsia="標楷體" w:hAnsi="標楷體"/>
                <w:szCs w:val="24"/>
              </w:rPr>
              <w:t>小兒專科醫師證書：_____________</w:t>
            </w:r>
          </w:p>
        </w:tc>
        <w:tc>
          <w:tcPr>
            <w:tcW w:w="3644" w:type="dxa"/>
            <w:tcBorders>
              <w:top w:val="double" w:sz="4" w:space="0" w:color="000000"/>
            </w:tcBorders>
            <w:shd w:val="clear" w:color="auto" w:fill="auto"/>
            <w:tcMar>
              <w:top w:w="0" w:type="dxa"/>
              <w:left w:w="28" w:type="dxa"/>
              <w:bottom w:w="0" w:type="dxa"/>
              <w:right w:w="28" w:type="dxa"/>
            </w:tcMar>
          </w:tcPr>
          <w:p w14:paraId="24CFDE2B" w14:textId="77777777" w:rsidR="00401786" w:rsidRDefault="00C64FB3" w:rsidP="000E757E">
            <w:pPr>
              <w:suppressAutoHyphens w:val="0"/>
              <w:spacing w:line="240" w:lineRule="atLeast"/>
              <w:textAlignment w:val="center"/>
              <w:rPr>
                <w:rFonts w:ascii="標楷體" w:eastAsia="標楷體" w:hAnsi="標楷體"/>
                <w:szCs w:val="24"/>
              </w:rPr>
            </w:pPr>
            <w:proofErr w:type="gramStart"/>
            <w:r>
              <w:rPr>
                <w:rFonts w:ascii="標楷體" w:eastAsia="標楷體" w:hAnsi="標楷體"/>
                <w:szCs w:val="24"/>
              </w:rPr>
              <w:t>醫</w:t>
            </w:r>
            <w:proofErr w:type="gramEnd"/>
            <w:r>
              <w:rPr>
                <w:rFonts w:ascii="標楷體" w:eastAsia="標楷體" w:hAnsi="標楷體"/>
                <w:szCs w:val="24"/>
              </w:rPr>
              <w:t>事機構章戳：</w:t>
            </w:r>
          </w:p>
        </w:tc>
      </w:tr>
    </w:tbl>
    <w:p w14:paraId="4C334680" w14:textId="77777777" w:rsidR="00401786" w:rsidRPr="00F52432" w:rsidRDefault="00401786" w:rsidP="00F52432">
      <w:pPr>
        <w:pageBreakBefore/>
        <w:spacing w:line="300" w:lineRule="exact"/>
        <w:rPr>
          <w:szCs w:val="24"/>
        </w:rPr>
      </w:pPr>
    </w:p>
    <w:p w14:paraId="66246B9F" w14:textId="77777777" w:rsidR="00401786" w:rsidRPr="005C51CB" w:rsidRDefault="00C64FB3" w:rsidP="00F52432">
      <w:pPr>
        <w:widowControl/>
        <w:suppressAutoHyphens w:val="0"/>
        <w:spacing w:line="300" w:lineRule="exact"/>
        <w:jc w:val="center"/>
        <w:textAlignment w:val="auto"/>
        <w:rPr>
          <w:b/>
          <w:bCs/>
          <w:szCs w:val="24"/>
        </w:rPr>
      </w:pPr>
      <w:r w:rsidRPr="005C51CB">
        <w:rPr>
          <w:rFonts w:ascii="標楷體" w:eastAsia="標楷體" w:hAnsi="標楷體"/>
          <w:b/>
          <w:bCs/>
          <w:szCs w:val="24"/>
        </w:rPr>
        <w:t>附表二十六之八 小兒潰瘍性結腸炎PUCAI Score</w:t>
      </w:r>
    </w:p>
    <w:tbl>
      <w:tblPr>
        <w:tblW w:w="9835" w:type="dxa"/>
        <w:tblInd w:w="-74" w:type="dxa"/>
        <w:tblLayout w:type="fixed"/>
        <w:tblCellMar>
          <w:left w:w="10" w:type="dxa"/>
          <w:right w:w="10" w:type="dxa"/>
        </w:tblCellMar>
        <w:tblLook w:val="0000" w:firstRow="0" w:lastRow="0" w:firstColumn="0" w:lastColumn="0" w:noHBand="0" w:noVBand="0"/>
      </w:tblPr>
      <w:tblGrid>
        <w:gridCol w:w="2358"/>
        <w:gridCol w:w="5155"/>
        <w:gridCol w:w="1121"/>
        <w:gridCol w:w="1201"/>
      </w:tblGrid>
      <w:tr w:rsidR="00401786" w:rsidRPr="00F52432" w14:paraId="490807ED" w14:textId="77777777">
        <w:trPr>
          <w:trHeight w:val="567"/>
        </w:trPr>
        <w:tc>
          <w:tcPr>
            <w:tcW w:w="235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E41ABC6" w14:textId="77777777" w:rsidR="00401786" w:rsidRPr="00F52432" w:rsidRDefault="00401786" w:rsidP="00F52432">
            <w:pPr>
              <w:widowControl/>
              <w:suppressAutoHyphens w:val="0"/>
              <w:snapToGrid w:val="0"/>
              <w:spacing w:line="300" w:lineRule="exact"/>
              <w:jc w:val="both"/>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8678BD1" w14:textId="77777777" w:rsidR="00401786" w:rsidRPr="00F52432" w:rsidRDefault="00C64FB3" w:rsidP="00F52432">
            <w:pPr>
              <w:widowControl/>
              <w:suppressAutoHyphens w:val="0"/>
              <w:spacing w:line="300" w:lineRule="exact"/>
              <w:jc w:val="center"/>
              <w:textAlignment w:val="auto"/>
              <w:rPr>
                <w:szCs w:val="24"/>
              </w:rPr>
            </w:pPr>
            <w:r w:rsidRPr="00F52432">
              <w:rPr>
                <w:rFonts w:ascii="標楷體" w:eastAsia="標楷體" w:hAnsi="標楷體"/>
                <w:bCs/>
                <w:szCs w:val="24"/>
              </w:rPr>
              <w:t>疾病特性</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76BB64E" w14:textId="77777777" w:rsidR="00401786" w:rsidRPr="00F52432" w:rsidRDefault="00C64FB3" w:rsidP="00F52432">
            <w:pPr>
              <w:widowControl/>
              <w:suppressAutoHyphens w:val="0"/>
              <w:spacing w:line="300" w:lineRule="exact"/>
              <w:jc w:val="center"/>
              <w:textAlignment w:val="auto"/>
              <w:rPr>
                <w:szCs w:val="24"/>
              </w:rPr>
            </w:pPr>
            <w:r w:rsidRPr="00F52432">
              <w:rPr>
                <w:rFonts w:ascii="標楷體" w:eastAsia="標楷體" w:hAnsi="標楷體"/>
                <w:bCs/>
                <w:szCs w:val="24"/>
              </w:rPr>
              <w:t>分數</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3D9EF6" w14:textId="77777777" w:rsidR="00401786" w:rsidRPr="00F52432" w:rsidRDefault="00C64FB3" w:rsidP="00F52432">
            <w:pPr>
              <w:widowControl/>
              <w:suppressAutoHyphens w:val="0"/>
              <w:spacing w:line="300" w:lineRule="exact"/>
              <w:jc w:val="center"/>
              <w:textAlignment w:val="auto"/>
              <w:rPr>
                <w:szCs w:val="24"/>
              </w:rPr>
            </w:pPr>
            <w:r w:rsidRPr="00F52432">
              <w:rPr>
                <w:rFonts w:ascii="標楷體" w:eastAsia="標楷體" w:hAnsi="標楷體"/>
                <w:bCs/>
                <w:szCs w:val="24"/>
              </w:rPr>
              <w:t>√</w:t>
            </w:r>
          </w:p>
        </w:tc>
      </w:tr>
      <w:tr w:rsidR="00401786" w:rsidRPr="00F52432" w14:paraId="2CE1FED7" w14:textId="77777777">
        <w:trPr>
          <w:trHeight w:val="567"/>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5424F0A7"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p w14:paraId="2831238A"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p w14:paraId="002D3C0E"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Abdominal pain</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2658D2C" w14:textId="77777777" w:rsidR="00401786" w:rsidRPr="00F52432" w:rsidRDefault="00C64FB3" w:rsidP="00F52432">
            <w:pPr>
              <w:widowControl/>
              <w:suppressAutoHyphens w:val="0"/>
              <w:spacing w:line="300" w:lineRule="exact"/>
              <w:textAlignment w:val="auto"/>
              <w:rPr>
                <w:rFonts w:ascii="標楷體" w:eastAsia="標楷體" w:hAnsi="標楷體"/>
                <w:bCs/>
                <w:szCs w:val="24"/>
              </w:rPr>
            </w:pPr>
            <w:r w:rsidRPr="00F52432">
              <w:rPr>
                <w:rFonts w:ascii="標楷體" w:eastAsia="標楷體" w:hAnsi="標楷體"/>
                <w:bCs/>
                <w:szCs w:val="24"/>
              </w:rPr>
              <w:t>No pain</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CE5B1A4" w14:textId="77777777" w:rsidR="00401786" w:rsidRPr="00F52432" w:rsidRDefault="00C64FB3" w:rsidP="00F52432">
            <w:pPr>
              <w:widowControl/>
              <w:suppressAutoHyphens w:val="0"/>
              <w:spacing w:line="300" w:lineRule="exact"/>
              <w:jc w:val="center"/>
              <w:textAlignment w:val="auto"/>
              <w:rPr>
                <w:rFonts w:ascii="標楷體" w:eastAsia="標楷體" w:hAnsi="標楷體"/>
                <w:bCs/>
                <w:szCs w:val="24"/>
              </w:rPr>
            </w:pPr>
            <w:r w:rsidRPr="00F52432">
              <w:rPr>
                <w:rFonts w:ascii="標楷體" w:eastAsia="標楷體" w:hAnsi="標楷體"/>
                <w:bCs/>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DCD4F1" w14:textId="77777777" w:rsidR="00401786" w:rsidRPr="00F52432" w:rsidRDefault="00401786" w:rsidP="00F52432">
            <w:pPr>
              <w:widowControl/>
              <w:suppressAutoHyphens w:val="0"/>
              <w:spacing w:line="300" w:lineRule="exact"/>
              <w:jc w:val="center"/>
              <w:textAlignment w:val="auto"/>
              <w:rPr>
                <w:rFonts w:ascii="標楷體" w:eastAsia="標楷體" w:hAnsi="標楷體"/>
                <w:bCs/>
                <w:szCs w:val="24"/>
              </w:rPr>
            </w:pPr>
          </w:p>
        </w:tc>
      </w:tr>
      <w:tr w:rsidR="00401786" w:rsidRPr="00F52432" w14:paraId="11CD902C" w14:textId="77777777">
        <w:trPr>
          <w:trHeight w:val="567"/>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4FA370C"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E1EC95C" w14:textId="77777777" w:rsidR="00401786" w:rsidRPr="00F52432" w:rsidRDefault="00C64FB3" w:rsidP="00F52432">
            <w:pPr>
              <w:widowControl/>
              <w:suppressAutoHyphens w:val="0"/>
              <w:spacing w:line="300" w:lineRule="exact"/>
              <w:textAlignment w:val="auto"/>
              <w:rPr>
                <w:rFonts w:ascii="標楷體" w:eastAsia="標楷體" w:hAnsi="標楷體"/>
                <w:bCs/>
                <w:szCs w:val="24"/>
              </w:rPr>
            </w:pPr>
            <w:r w:rsidRPr="00F52432">
              <w:rPr>
                <w:rFonts w:ascii="標楷體" w:eastAsia="標楷體" w:hAnsi="標楷體"/>
                <w:bCs/>
                <w:szCs w:val="24"/>
              </w:rPr>
              <w:t>Pain can be ignored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E1FADF5" w14:textId="77777777" w:rsidR="00401786" w:rsidRPr="00F52432" w:rsidRDefault="00C64FB3" w:rsidP="00F52432">
            <w:pPr>
              <w:widowControl/>
              <w:suppressAutoHyphens w:val="0"/>
              <w:spacing w:line="300" w:lineRule="exact"/>
              <w:jc w:val="center"/>
              <w:textAlignment w:val="auto"/>
              <w:rPr>
                <w:rFonts w:ascii="標楷體" w:eastAsia="標楷體" w:hAnsi="標楷體"/>
                <w:bCs/>
                <w:szCs w:val="24"/>
              </w:rPr>
            </w:pPr>
            <w:r w:rsidRPr="00F52432">
              <w:rPr>
                <w:rFonts w:ascii="標楷體" w:eastAsia="標楷體" w:hAnsi="標楷體"/>
                <w:bCs/>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615A2E" w14:textId="77777777" w:rsidR="00401786" w:rsidRPr="00F52432" w:rsidRDefault="00401786" w:rsidP="00F52432">
            <w:pPr>
              <w:widowControl/>
              <w:suppressAutoHyphens w:val="0"/>
              <w:spacing w:line="300" w:lineRule="exact"/>
              <w:jc w:val="center"/>
              <w:textAlignment w:val="auto"/>
              <w:rPr>
                <w:rFonts w:ascii="標楷體" w:eastAsia="標楷體" w:hAnsi="標楷體"/>
                <w:bCs/>
                <w:szCs w:val="24"/>
              </w:rPr>
            </w:pPr>
          </w:p>
        </w:tc>
      </w:tr>
      <w:tr w:rsidR="00401786" w:rsidRPr="00F52432" w14:paraId="5CA2BDDF" w14:textId="77777777">
        <w:trPr>
          <w:trHeight w:val="567"/>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620AC52"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E7F9270" w14:textId="77777777" w:rsidR="00401786" w:rsidRPr="00F52432" w:rsidRDefault="00C64FB3" w:rsidP="00F52432">
            <w:pPr>
              <w:widowControl/>
              <w:suppressAutoHyphens w:val="0"/>
              <w:spacing w:line="300" w:lineRule="exact"/>
              <w:textAlignment w:val="auto"/>
              <w:rPr>
                <w:rFonts w:ascii="標楷體" w:eastAsia="標楷體" w:hAnsi="標楷體"/>
                <w:bCs/>
                <w:szCs w:val="24"/>
              </w:rPr>
            </w:pPr>
            <w:r w:rsidRPr="00F52432">
              <w:rPr>
                <w:rFonts w:ascii="標楷體" w:eastAsia="標楷體" w:hAnsi="標楷體"/>
                <w:bCs/>
                <w:szCs w:val="24"/>
              </w:rPr>
              <w:t>Pain cannot be ignored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F21CBEB" w14:textId="77777777" w:rsidR="00401786" w:rsidRPr="00F52432" w:rsidRDefault="00C64FB3" w:rsidP="00F52432">
            <w:pPr>
              <w:widowControl/>
              <w:suppressAutoHyphens w:val="0"/>
              <w:spacing w:line="300" w:lineRule="exact"/>
              <w:jc w:val="center"/>
              <w:textAlignment w:val="auto"/>
              <w:rPr>
                <w:rFonts w:ascii="標楷體" w:eastAsia="標楷體" w:hAnsi="標楷體"/>
                <w:bCs/>
                <w:szCs w:val="24"/>
              </w:rPr>
            </w:pPr>
            <w:r w:rsidRPr="00F52432">
              <w:rPr>
                <w:rFonts w:ascii="標楷體" w:eastAsia="標楷體" w:hAnsi="標楷體"/>
                <w:bCs/>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98F2AD" w14:textId="77777777" w:rsidR="00401786" w:rsidRPr="00F52432" w:rsidRDefault="00401786" w:rsidP="00F52432">
            <w:pPr>
              <w:widowControl/>
              <w:suppressAutoHyphens w:val="0"/>
              <w:spacing w:line="300" w:lineRule="exact"/>
              <w:jc w:val="center"/>
              <w:textAlignment w:val="auto"/>
              <w:rPr>
                <w:rFonts w:ascii="標楷體" w:eastAsia="標楷體" w:hAnsi="標楷體"/>
                <w:bCs/>
                <w:szCs w:val="24"/>
              </w:rPr>
            </w:pPr>
          </w:p>
        </w:tc>
      </w:tr>
      <w:tr w:rsidR="00401786" w:rsidRPr="00F52432" w14:paraId="27A8C77A"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A5B0AD9"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Rectal bleeding</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1BC03D1"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None</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4EB52B9"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16F54"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4E20440"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0F9649F"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A95DE4F"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Small amount only, in &lt; 50% of stools</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27E5F8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3AE48"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641A589F"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DCA1472"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C7F235E"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Small amount of most stools</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47CB1B3"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20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BA173E"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71D0B78"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1C6C751"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1D95C6C"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 xml:space="preserve">Large amount </w:t>
            </w:r>
            <w:proofErr w:type="gramStart"/>
            <w:r w:rsidRPr="00F52432">
              <w:rPr>
                <w:rFonts w:ascii="標楷體" w:eastAsia="標楷體" w:hAnsi="標楷體"/>
                <w:szCs w:val="24"/>
              </w:rPr>
              <w:t>( &gt;</w:t>
            </w:r>
            <w:proofErr w:type="gramEnd"/>
            <w:r w:rsidRPr="00F52432">
              <w:rPr>
                <w:rFonts w:ascii="標楷體" w:eastAsia="標楷體" w:hAnsi="標楷體"/>
                <w:szCs w:val="24"/>
              </w:rPr>
              <w:t>50% of stool content)</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ABB679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30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81C2DA"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0BD93662"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04DF88D"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Stool consistency of most stools</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A44F9BD"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Formed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32D8A33"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B8565"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6153B249"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7080B09"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A9C20C0"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Partial formed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2A15FCF"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E55DFF"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6DB349F5"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2EB92A1"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650ADA"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Complete unformed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95DF0EF"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0F352"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1A09554"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2292C8D"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 xml:space="preserve">Number of stools per 24 </w:t>
            </w:r>
            <w:proofErr w:type="spellStart"/>
            <w:r w:rsidRPr="00F52432">
              <w:rPr>
                <w:rFonts w:ascii="標楷體" w:eastAsia="標楷體" w:hAnsi="標楷體"/>
                <w:szCs w:val="24"/>
              </w:rPr>
              <w:t>hrs</w:t>
            </w:r>
            <w:proofErr w:type="spellEnd"/>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09ECA1B"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&lt; 2</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6BC4014"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32A0A"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5BB1170"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88D8D3C"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97008D7"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3-5</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A101C56"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1BEF60"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1A5E845"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498CE2E"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52A820A"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6-8</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ACBB6D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321D96"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318C711D"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4CC84AC"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50A79A6"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&gt;8</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E9B3DD"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A607F7"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2A30318C" w14:textId="77777777">
        <w:trPr>
          <w:cantSplit/>
        </w:trPr>
        <w:tc>
          <w:tcPr>
            <w:tcW w:w="2358" w:type="dxa"/>
            <w:vMerge w:val="restart"/>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73DC2BF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 xml:space="preserve">Nocturnal stools </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08F990A"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No</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FEF0DA3"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EB33D5"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3BE69A28" w14:textId="77777777">
        <w:trPr>
          <w:cantSplit/>
        </w:trPr>
        <w:tc>
          <w:tcPr>
            <w:tcW w:w="2358"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15E9800F"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9E27BC4"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Yes</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0B2F082"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1910E"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8A3EF9E"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8B4C2BB"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Activity level</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99F3D5F"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No limitation of activity</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D02639E"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472C5"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3EFEBF0"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42C6A92" w14:textId="77777777" w:rsidR="00401786" w:rsidRPr="00F52432" w:rsidRDefault="00401786" w:rsidP="00F52432">
            <w:pPr>
              <w:widowControl/>
              <w:suppressAutoHyphens w:val="0"/>
              <w:spacing w:line="300" w:lineRule="exact"/>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7014BA4"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Occasional limitation of activity</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7BF9BF0"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CDF2FF"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9E5BC1A"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63B4515" w14:textId="77777777" w:rsidR="00401786" w:rsidRPr="00F52432" w:rsidRDefault="00401786" w:rsidP="00F52432">
            <w:pPr>
              <w:widowControl/>
              <w:suppressAutoHyphens w:val="0"/>
              <w:spacing w:line="300" w:lineRule="exact"/>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AD609E0"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Severe restricted activity</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045A8A6"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63ACB7"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500A5455" w14:textId="77777777">
        <w:trPr>
          <w:trHeight w:val="601"/>
        </w:trPr>
        <w:tc>
          <w:tcPr>
            <w:tcW w:w="98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6E0033"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 xml:space="preserve">   Total PUCAI score _____   分</w:t>
            </w:r>
          </w:p>
        </w:tc>
      </w:tr>
    </w:tbl>
    <w:p w14:paraId="3752165F" w14:textId="77777777" w:rsidR="0016529A" w:rsidRDefault="0016529A" w:rsidP="000E757E">
      <w:pPr>
        <w:spacing w:line="240" w:lineRule="atLeast"/>
        <w:rPr>
          <w:vanish/>
        </w:rPr>
        <w:sectPr w:rsidR="0016529A">
          <w:headerReference w:type="default" r:id="rId36"/>
          <w:footerReference w:type="default" r:id="rId37"/>
          <w:pgSz w:w="11907" w:h="16840"/>
          <w:pgMar w:top="851" w:right="1106" w:bottom="851" w:left="1247" w:header="720" w:footer="720" w:gutter="0"/>
          <w:cols w:space="720"/>
          <w:docGrid w:type="lines"/>
        </w:sectPr>
      </w:pPr>
    </w:p>
    <w:tbl>
      <w:tblPr>
        <w:tblW w:w="14436" w:type="dxa"/>
        <w:tblInd w:w="227" w:type="dxa"/>
        <w:tblLayout w:type="fixed"/>
        <w:tblCellMar>
          <w:left w:w="10" w:type="dxa"/>
          <w:right w:w="10" w:type="dxa"/>
        </w:tblCellMar>
        <w:tblLook w:val="0000" w:firstRow="0" w:lastRow="0" w:firstColumn="0" w:lastColumn="0" w:noHBand="0" w:noVBand="0"/>
      </w:tblPr>
      <w:tblGrid>
        <w:gridCol w:w="388"/>
        <w:gridCol w:w="401"/>
        <w:gridCol w:w="428"/>
        <w:gridCol w:w="1555"/>
        <w:gridCol w:w="10"/>
        <w:gridCol w:w="359"/>
        <w:gridCol w:w="1165"/>
        <w:gridCol w:w="1588"/>
        <w:gridCol w:w="599"/>
        <w:gridCol w:w="359"/>
        <w:gridCol w:w="1011"/>
        <w:gridCol w:w="990"/>
        <w:gridCol w:w="849"/>
        <w:gridCol w:w="282"/>
        <w:gridCol w:w="142"/>
        <w:gridCol w:w="562"/>
        <w:gridCol w:w="359"/>
        <w:gridCol w:w="494"/>
        <w:gridCol w:w="346"/>
        <w:gridCol w:w="220"/>
        <w:gridCol w:w="142"/>
        <w:gridCol w:w="235"/>
        <w:gridCol w:w="47"/>
        <w:gridCol w:w="424"/>
        <w:gridCol w:w="133"/>
        <w:gridCol w:w="13"/>
        <w:gridCol w:w="337"/>
        <w:gridCol w:w="7"/>
        <w:gridCol w:w="951"/>
        <w:gridCol w:w="40"/>
      </w:tblGrid>
      <w:tr w:rsidR="00401786" w14:paraId="1CB2C0D0" w14:textId="77777777">
        <w:trPr>
          <w:cantSplit/>
          <w:trHeight w:val="476"/>
        </w:trPr>
        <w:tc>
          <w:tcPr>
            <w:tcW w:w="10126"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311E04" w14:textId="676C12EC" w:rsidR="00401786" w:rsidRPr="005C51CB" w:rsidRDefault="00C64FB3" w:rsidP="000E757E">
            <w:pPr>
              <w:snapToGrid w:val="0"/>
              <w:spacing w:line="240" w:lineRule="atLeast"/>
              <w:ind w:left="1758" w:hanging="1418"/>
              <w:jc w:val="center"/>
              <w:rPr>
                <w:b/>
                <w:bCs/>
                <w:szCs w:val="24"/>
              </w:rPr>
            </w:pPr>
            <w:r w:rsidRPr="005C51CB">
              <w:rPr>
                <w:rFonts w:ascii="標楷體" w:eastAsia="標楷體" w:hAnsi="標楷體" w:cs="標楷體"/>
                <w:b/>
                <w:bCs/>
                <w:color w:val="000000"/>
                <w:szCs w:val="24"/>
              </w:rPr>
              <w:lastRenderedPageBreak/>
              <w:t>附表二十七</w:t>
            </w:r>
            <w:r w:rsidR="00190A34">
              <w:rPr>
                <w:rFonts w:ascii="標楷體" w:eastAsia="標楷體" w:hAnsi="標楷體" w:cs="標楷體" w:hint="eastAsia"/>
                <w:b/>
                <w:bCs/>
                <w:color w:val="000000"/>
                <w:szCs w:val="24"/>
              </w:rPr>
              <w:t xml:space="preserve"> </w:t>
            </w:r>
            <w:r w:rsidRPr="005C51CB">
              <w:rPr>
                <w:rFonts w:ascii="標楷體" w:eastAsia="標楷體" w:hAnsi="標楷體" w:cs="標楷體"/>
                <w:b/>
                <w:bCs/>
                <w:color w:val="000000"/>
                <w:szCs w:val="24"/>
              </w:rPr>
              <w:t>全民健康保險眼科含</w:t>
            </w:r>
            <w:r w:rsidRPr="005C51CB">
              <w:rPr>
                <w:rFonts w:ascii="標楷體" w:eastAsia="標楷體" w:hAnsi="標楷體" w:cs="Arial"/>
                <w:b/>
                <w:bCs/>
                <w:color w:val="000000"/>
                <w:szCs w:val="24"/>
              </w:rPr>
              <w:t>cyclosporine製劑</w:t>
            </w:r>
            <w:r w:rsidRPr="005C51CB">
              <w:rPr>
                <w:rFonts w:ascii="標楷體" w:eastAsia="標楷體" w:hAnsi="標楷體" w:cs="標楷體"/>
                <w:b/>
                <w:bCs/>
                <w:color w:val="000000"/>
                <w:szCs w:val="24"/>
              </w:rPr>
              <w:t>事前審查申請書</w:t>
            </w:r>
          </w:p>
        </w:tc>
        <w:tc>
          <w:tcPr>
            <w:tcW w:w="1415"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5961A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□送核</w:t>
            </w:r>
          </w:p>
          <w:p w14:paraId="7605556E" w14:textId="77777777" w:rsidR="00401786" w:rsidRPr="00F52432" w:rsidRDefault="00C64FB3" w:rsidP="000E757E">
            <w:pPr>
              <w:snapToGrid w:val="0"/>
              <w:spacing w:line="240" w:lineRule="atLeast"/>
              <w:ind w:left="320" w:hanging="320"/>
              <w:rPr>
                <w:szCs w:val="24"/>
              </w:rPr>
            </w:pPr>
            <w:r w:rsidRPr="00F52432">
              <w:rPr>
                <w:rFonts w:ascii="標楷體" w:eastAsia="標楷體" w:hAnsi="標楷體" w:cs="標楷體"/>
                <w:color w:val="000000"/>
                <w:szCs w:val="24"/>
              </w:rPr>
              <w:t>□申覆</w:t>
            </w:r>
          </w:p>
        </w:tc>
        <w:tc>
          <w:tcPr>
            <w:tcW w:w="56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AB5BAA"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受理</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E86897"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日期</w:t>
            </w:r>
          </w:p>
        </w:tc>
        <w:tc>
          <w:tcPr>
            <w:tcW w:w="144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014EE8"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013D0343"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27660D53" w14:textId="77777777">
        <w:trPr>
          <w:cantSplit/>
          <w:trHeight w:val="215"/>
        </w:trPr>
        <w:tc>
          <w:tcPr>
            <w:tcW w:w="10126"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9BAA22" w14:textId="77777777" w:rsidR="00401786" w:rsidRPr="00F52432" w:rsidRDefault="00401786" w:rsidP="000E757E">
            <w:pPr>
              <w:snapToGrid w:val="0"/>
              <w:spacing w:line="240" w:lineRule="atLeast"/>
              <w:ind w:left="1758" w:hanging="1418"/>
              <w:rPr>
                <w:rFonts w:ascii="標楷體" w:eastAsia="標楷體" w:hAnsi="標楷體" w:cs="標楷體"/>
                <w:color w:val="000000"/>
                <w:szCs w:val="24"/>
              </w:rPr>
            </w:pPr>
          </w:p>
        </w:tc>
        <w:tc>
          <w:tcPr>
            <w:tcW w:w="1415"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DA8CAB" w14:textId="77777777" w:rsidR="00401786" w:rsidRPr="00F52432" w:rsidRDefault="00401786" w:rsidP="000E757E">
            <w:pPr>
              <w:snapToGrid w:val="0"/>
              <w:spacing w:line="240" w:lineRule="atLeast"/>
              <w:rPr>
                <w:rFonts w:ascii="標楷體" w:eastAsia="標楷體" w:hAnsi="標楷體" w:cs="標楷體"/>
                <w:color w:val="000000"/>
                <w:szCs w:val="24"/>
              </w:rPr>
            </w:pPr>
          </w:p>
        </w:tc>
        <w:tc>
          <w:tcPr>
            <w:tcW w:w="566"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5341B1" w14:textId="77777777" w:rsidR="00401786" w:rsidRPr="00F52432" w:rsidRDefault="00401786" w:rsidP="000E757E">
            <w:pPr>
              <w:snapToGrid w:val="0"/>
              <w:spacing w:line="240" w:lineRule="atLeast"/>
              <w:rPr>
                <w:rFonts w:ascii="標楷體" w:eastAsia="標楷體" w:hAnsi="標楷體"/>
                <w:color w:val="000000"/>
                <w:szCs w:val="24"/>
              </w:rPr>
            </w:pP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0C030F"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編號</w:t>
            </w:r>
          </w:p>
        </w:tc>
        <w:tc>
          <w:tcPr>
            <w:tcW w:w="144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DE3589"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34B88F81"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1B3E817C" w14:textId="77777777">
        <w:trPr>
          <w:cantSplit/>
          <w:trHeight w:val="517"/>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19EB3E"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6264F1"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名稱</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C74CF7"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E06A49"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保</w:t>
            </w:r>
          </w:p>
          <w:p w14:paraId="075A4219"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險</w:t>
            </w:r>
          </w:p>
          <w:p w14:paraId="2CA668D0"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對</w:t>
            </w:r>
          </w:p>
          <w:p w14:paraId="070FC217" w14:textId="77777777" w:rsidR="00401786" w:rsidRPr="00F52432" w:rsidRDefault="00C64FB3" w:rsidP="000E757E">
            <w:pPr>
              <w:snapToGrid w:val="0"/>
              <w:spacing w:line="240" w:lineRule="atLeast"/>
              <w:jc w:val="center"/>
              <w:rPr>
                <w:szCs w:val="24"/>
              </w:rPr>
            </w:pPr>
            <w:proofErr w:type="gramStart"/>
            <w:r w:rsidRPr="00F52432">
              <w:rPr>
                <w:rFonts w:ascii="標楷體" w:eastAsia="標楷體" w:hAnsi="標楷體" w:cs="標楷體"/>
                <w:color w:val="000000"/>
                <w:szCs w:val="24"/>
              </w:rPr>
              <w:t>象</w:t>
            </w:r>
            <w:proofErr w:type="gramEnd"/>
          </w:p>
        </w:tc>
        <w:tc>
          <w:tcPr>
            <w:tcW w:w="11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95AD9F"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姓名</w:t>
            </w:r>
          </w:p>
        </w:tc>
        <w:tc>
          <w:tcPr>
            <w:tcW w:w="15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326841" w14:textId="77777777" w:rsidR="00401786" w:rsidRPr="00F52432" w:rsidRDefault="00401786" w:rsidP="000E757E">
            <w:pPr>
              <w:snapToGrid w:val="0"/>
              <w:spacing w:line="240" w:lineRule="atLeast"/>
              <w:rPr>
                <w:rFonts w:ascii="標楷體" w:eastAsia="標楷體" w:hAnsi="標楷體"/>
                <w:color w:val="000000"/>
                <w:szCs w:val="24"/>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D667F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出生</w:t>
            </w:r>
          </w:p>
        </w:tc>
        <w:tc>
          <w:tcPr>
            <w:tcW w:w="13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607F12"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年月日</w:t>
            </w:r>
          </w:p>
        </w:tc>
        <w:tc>
          <w:tcPr>
            <w:tcW w:w="18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F7C2DD"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原受理編號</w:t>
            </w:r>
          </w:p>
        </w:tc>
        <w:tc>
          <w:tcPr>
            <w:tcW w:w="183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FB4C4A" w14:textId="77777777" w:rsidR="00401786" w:rsidRPr="00F52432" w:rsidRDefault="00401786" w:rsidP="000E757E">
            <w:pPr>
              <w:snapToGrid w:val="0"/>
              <w:spacing w:line="240" w:lineRule="atLeast"/>
              <w:rPr>
                <w:rFonts w:ascii="標楷體" w:eastAsia="標楷體" w:hAnsi="標楷體"/>
                <w:color w:val="000000"/>
                <w:szCs w:val="24"/>
              </w:rPr>
            </w:pPr>
          </w:p>
        </w:tc>
        <w:tc>
          <w:tcPr>
            <w:tcW w:w="99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AA689C"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預定實施日期</w:t>
            </w:r>
          </w:p>
        </w:tc>
        <w:tc>
          <w:tcPr>
            <w:tcW w:w="186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7BE537"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年月日</w:t>
            </w:r>
          </w:p>
        </w:tc>
        <w:tc>
          <w:tcPr>
            <w:tcW w:w="40" w:type="dxa"/>
            <w:shd w:val="clear" w:color="auto" w:fill="auto"/>
            <w:tcMar>
              <w:top w:w="0" w:type="dxa"/>
              <w:left w:w="10" w:type="dxa"/>
              <w:bottom w:w="0" w:type="dxa"/>
              <w:right w:w="10" w:type="dxa"/>
            </w:tcMar>
          </w:tcPr>
          <w:p w14:paraId="05153FD5"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1E2FA418" w14:textId="77777777">
        <w:trPr>
          <w:cantSplit/>
          <w:trHeight w:val="530"/>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FA20E0" w14:textId="77777777" w:rsidR="00401786" w:rsidRPr="00F52432" w:rsidRDefault="00401786" w:rsidP="000E757E">
            <w:pPr>
              <w:snapToGrid w:val="0"/>
              <w:spacing w:line="240" w:lineRule="atLeast"/>
              <w:rPr>
                <w:rFonts w:ascii="標楷體" w:eastAsia="標楷體" w:hAnsi="標楷體"/>
                <w:color w:val="000000"/>
                <w:szCs w:val="24"/>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CC1F5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代號</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DC4BDC"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573AA6" w14:textId="77777777" w:rsidR="00401786" w:rsidRPr="00F52432" w:rsidRDefault="00401786" w:rsidP="000E757E">
            <w:pPr>
              <w:snapToGrid w:val="0"/>
              <w:spacing w:line="240" w:lineRule="atLeast"/>
              <w:rPr>
                <w:rFonts w:ascii="標楷體" w:eastAsia="標楷體" w:hAnsi="標楷體"/>
                <w:color w:val="000000"/>
                <w:szCs w:val="24"/>
              </w:rPr>
            </w:pPr>
          </w:p>
        </w:tc>
        <w:tc>
          <w:tcPr>
            <w:tcW w:w="11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71B25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身分證</w:t>
            </w:r>
          </w:p>
          <w:p w14:paraId="31D4A59A"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統一編號</w:t>
            </w:r>
          </w:p>
        </w:tc>
        <w:tc>
          <w:tcPr>
            <w:tcW w:w="218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E1DCB0"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DC1A51"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科</w:t>
            </w:r>
          </w:p>
          <w:p w14:paraId="0AEA48C1"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別</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F5D7D9" w14:textId="77777777" w:rsidR="00401786" w:rsidRPr="00F52432" w:rsidRDefault="00401786" w:rsidP="000E757E">
            <w:pPr>
              <w:snapToGrid w:val="0"/>
              <w:spacing w:line="240" w:lineRule="atLeast"/>
              <w:rPr>
                <w:rFonts w:ascii="標楷體" w:eastAsia="標楷體" w:hAnsi="標楷體"/>
                <w:color w:val="000000"/>
                <w:szCs w:val="24"/>
              </w:rPr>
            </w:pPr>
          </w:p>
        </w:tc>
        <w:tc>
          <w:tcPr>
            <w:tcW w:w="18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668176"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□門診□住院</w:t>
            </w:r>
          </w:p>
        </w:tc>
        <w:tc>
          <w:tcPr>
            <w:tcW w:w="42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817FB4"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病歷號碼</w:t>
            </w:r>
          </w:p>
        </w:tc>
        <w:tc>
          <w:tcPr>
            <w:tcW w:w="141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0D158C" w14:textId="77777777" w:rsidR="00401786" w:rsidRPr="00F52432" w:rsidRDefault="00401786" w:rsidP="000E757E">
            <w:pPr>
              <w:snapToGrid w:val="0"/>
              <w:spacing w:line="240" w:lineRule="atLeast"/>
              <w:rPr>
                <w:rFonts w:ascii="標楷體" w:eastAsia="標楷體" w:hAnsi="標楷體"/>
                <w:color w:val="000000"/>
                <w:szCs w:val="24"/>
              </w:rPr>
            </w:pPr>
          </w:p>
        </w:tc>
        <w:tc>
          <w:tcPr>
            <w:tcW w:w="94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009120" w14:textId="77777777" w:rsidR="00401786" w:rsidRPr="00F52432" w:rsidRDefault="00C64FB3" w:rsidP="000E757E">
            <w:pPr>
              <w:snapToGrid w:val="0"/>
              <w:spacing w:line="240" w:lineRule="atLeast"/>
              <w:rPr>
                <w:rFonts w:ascii="標楷體" w:eastAsia="標楷體" w:hAnsi="標楷體" w:cs="標楷體"/>
                <w:color w:val="000000"/>
                <w:szCs w:val="24"/>
              </w:rPr>
            </w:pPr>
            <w:r w:rsidRPr="00F52432">
              <w:rPr>
                <w:rFonts w:ascii="標楷體" w:eastAsia="標楷體" w:hAnsi="標楷體" w:cs="標楷體"/>
                <w:color w:val="000000"/>
                <w:szCs w:val="24"/>
              </w:rPr>
              <w:t>申請醫師姓名</w:t>
            </w:r>
          </w:p>
          <w:p w14:paraId="15CC3672"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身分證號</w:t>
            </w:r>
          </w:p>
        </w:tc>
        <w:tc>
          <w:tcPr>
            <w:tcW w:w="1912"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516145"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0B0D7434"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025C0A5A" w14:textId="77777777">
        <w:trPr>
          <w:cantSplit/>
          <w:trHeight w:val="674"/>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B6DED9" w14:textId="77777777" w:rsidR="00401786" w:rsidRPr="00F52432" w:rsidRDefault="00C64FB3" w:rsidP="000E757E">
            <w:pPr>
              <w:pStyle w:val="a7"/>
              <w:tabs>
                <w:tab w:val="clear" w:pos="4153"/>
                <w:tab w:val="clear" w:pos="8306"/>
              </w:tabs>
              <w:spacing w:line="240" w:lineRule="atLeast"/>
              <w:rPr>
                <w:rFonts w:ascii="標楷體" w:eastAsia="標楷體" w:hAnsi="標楷體"/>
                <w:color w:val="000000"/>
                <w:sz w:val="24"/>
                <w:szCs w:val="24"/>
              </w:rPr>
            </w:pPr>
            <w:r w:rsidRPr="00F52432">
              <w:rPr>
                <w:rFonts w:ascii="標楷體" w:eastAsia="標楷體" w:hAnsi="標楷體"/>
                <w:color w:val="000000"/>
                <w:sz w:val="24"/>
                <w:szCs w:val="24"/>
              </w:rPr>
              <w:t>診斷代碼</w:t>
            </w:r>
          </w:p>
          <w:p w14:paraId="168FF22B" w14:textId="77777777" w:rsidR="00401786" w:rsidRPr="00F52432" w:rsidRDefault="00C64FB3" w:rsidP="000E757E">
            <w:pPr>
              <w:pStyle w:val="a7"/>
              <w:tabs>
                <w:tab w:val="clear" w:pos="4153"/>
                <w:tab w:val="clear" w:pos="8306"/>
              </w:tabs>
              <w:spacing w:line="240" w:lineRule="atLeast"/>
              <w:rPr>
                <w:rFonts w:ascii="標楷體" w:eastAsia="標楷體" w:hAnsi="標楷體"/>
                <w:color w:val="000000"/>
                <w:sz w:val="24"/>
                <w:szCs w:val="24"/>
              </w:rPr>
            </w:pPr>
            <w:r w:rsidRPr="00F52432">
              <w:rPr>
                <w:rFonts w:ascii="標楷體" w:eastAsia="標楷體" w:hAnsi="標楷體"/>
                <w:color w:val="000000"/>
                <w:sz w:val="24"/>
                <w:szCs w:val="24"/>
              </w:rPr>
              <w:t>(</w:t>
            </w:r>
            <w:proofErr w:type="gramStart"/>
            <w:r w:rsidRPr="00F52432">
              <w:rPr>
                <w:rFonts w:ascii="標楷體" w:eastAsia="標楷體" w:hAnsi="標楷體"/>
                <w:color w:val="000000"/>
                <w:sz w:val="24"/>
                <w:szCs w:val="24"/>
              </w:rPr>
              <w:t>必填</w:t>
            </w:r>
            <w:proofErr w:type="gramEnd"/>
            <w:r w:rsidRPr="00F52432">
              <w:rPr>
                <w:rFonts w:ascii="標楷體" w:eastAsia="標楷體" w:hAnsi="標楷體"/>
                <w:color w:val="000000"/>
                <w:sz w:val="24"/>
                <w:szCs w:val="24"/>
              </w:rPr>
              <w:t>)</w:t>
            </w:r>
          </w:p>
        </w:tc>
        <w:tc>
          <w:tcPr>
            <w:tcW w:w="664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4A0C1A" w14:textId="77777777" w:rsidR="00401786" w:rsidRPr="00F52432" w:rsidRDefault="00401786" w:rsidP="000E757E">
            <w:pPr>
              <w:snapToGrid w:val="0"/>
              <w:spacing w:before="180" w:after="180" w:line="240" w:lineRule="atLeast"/>
              <w:rPr>
                <w:rFonts w:ascii="標楷體" w:eastAsia="標楷體" w:hAnsi="標楷體"/>
                <w:szCs w:val="24"/>
              </w:rPr>
            </w:pPr>
          </w:p>
        </w:tc>
        <w:tc>
          <w:tcPr>
            <w:tcW w:w="18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BF08ED"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使用日期</w:t>
            </w:r>
          </w:p>
        </w:tc>
        <w:tc>
          <w:tcPr>
            <w:tcW w:w="4694" w:type="dxa"/>
            <w:gridSpan w:val="16"/>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5C650E1"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年月日至年月日</w:t>
            </w:r>
          </w:p>
        </w:tc>
        <w:tc>
          <w:tcPr>
            <w:tcW w:w="40" w:type="dxa"/>
            <w:shd w:val="clear" w:color="auto" w:fill="auto"/>
            <w:tcMar>
              <w:top w:w="0" w:type="dxa"/>
              <w:left w:w="10" w:type="dxa"/>
              <w:bottom w:w="0" w:type="dxa"/>
              <w:right w:w="10" w:type="dxa"/>
            </w:tcMar>
          </w:tcPr>
          <w:p w14:paraId="241986FB" w14:textId="77777777" w:rsidR="00401786" w:rsidRPr="00F52432" w:rsidRDefault="00401786" w:rsidP="000E757E">
            <w:pPr>
              <w:snapToGrid w:val="0"/>
              <w:spacing w:line="240" w:lineRule="atLeast"/>
              <w:rPr>
                <w:rFonts w:ascii="標楷體" w:eastAsia="標楷體" w:hAnsi="標楷體"/>
                <w:szCs w:val="24"/>
              </w:rPr>
            </w:pPr>
          </w:p>
        </w:tc>
      </w:tr>
      <w:tr w:rsidR="00401786" w14:paraId="1187C582" w14:textId="77777777">
        <w:trPr>
          <w:cantSplit/>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5D6E5"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藥品代碼</w:t>
            </w:r>
          </w:p>
        </w:tc>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11CB83"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申請類別</w:t>
            </w:r>
          </w:p>
        </w:tc>
        <w:tc>
          <w:tcPr>
            <w:tcW w:w="5091"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B9338A"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給付規定</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AEB88"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用法</w:t>
            </w:r>
          </w:p>
          <w:p w14:paraId="782A954C"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用量</w:t>
            </w:r>
          </w:p>
        </w:tc>
        <w:tc>
          <w:tcPr>
            <w:tcW w:w="84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E7D19"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申請</w:t>
            </w:r>
          </w:p>
          <w:p w14:paraId="0501DE8F"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數量</w:t>
            </w:r>
          </w:p>
        </w:tc>
        <w:tc>
          <w:tcPr>
            <w:tcW w:w="4694" w:type="dxa"/>
            <w:gridSpan w:val="16"/>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3C3C973"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保險人核定欄</w:t>
            </w:r>
          </w:p>
        </w:tc>
        <w:tc>
          <w:tcPr>
            <w:tcW w:w="40" w:type="dxa"/>
            <w:shd w:val="clear" w:color="auto" w:fill="auto"/>
            <w:tcMar>
              <w:top w:w="0" w:type="dxa"/>
              <w:left w:w="10" w:type="dxa"/>
              <w:bottom w:w="0" w:type="dxa"/>
              <w:right w:w="10" w:type="dxa"/>
            </w:tcMar>
          </w:tcPr>
          <w:p w14:paraId="79140EC6" w14:textId="77777777" w:rsidR="00401786" w:rsidRPr="00F52432" w:rsidRDefault="00401786" w:rsidP="000E757E">
            <w:pPr>
              <w:snapToGrid w:val="0"/>
              <w:spacing w:line="240" w:lineRule="atLeast"/>
              <w:jc w:val="center"/>
              <w:rPr>
                <w:rFonts w:ascii="標楷體" w:eastAsia="標楷體" w:hAnsi="標楷體"/>
                <w:szCs w:val="24"/>
              </w:rPr>
            </w:pPr>
          </w:p>
        </w:tc>
      </w:tr>
      <w:tr w:rsidR="00401786" w14:paraId="1F7B7DFF" w14:textId="77777777">
        <w:trPr>
          <w:cantSplit/>
          <w:trHeight w:val="1853"/>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B0BE35" w14:textId="77777777" w:rsidR="00401786" w:rsidRPr="00F52432" w:rsidRDefault="00401786" w:rsidP="000E757E">
            <w:pPr>
              <w:snapToGrid w:val="0"/>
              <w:spacing w:line="240" w:lineRule="atLeast"/>
              <w:rPr>
                <w:rFonts w:ascii="標楷體" w:eastAsia="標楷體" w:hAnsi="標楷體"/>
                <w:szCs w:val="24"/>
                <w:u w:val="single"/>
              </w:rPr>
            </w:pPr>
          </w:p>
          <w:p w14:paraId="377DB0A6" w14:textId="77777777" w:rsidR="00401786" w:rsidRPr="00F52432" w:rsidRDefault="00C64FB3" w:rsidP="000E757E">
            <w:pPr>
              <w:snapToGrid w:val="0"/>
              <w:spacing w:line="240" w:lineRule="atLeast"/>
              <w:rPr>
                <w:rFonts w:ascii="標楷體" w:eastAsia="標楷體" w:hAnsi="標楷體" w:cs="Arial"/>
                <w:szCs w:val="24"/>
              </w:rPr>
            </w:pPr>
            <w:r w:rsidRPr="00F52432">
              <w:rPr>
                <w:rFonts w:ascii="標楷體" w:eastAsia="標楷體" w:hAnsi="標楷體" w:cs="Arial"/>
                <w:szCs w:val="24"/>
              </w:rPr>
              <w:t>Restasis</w:t>
            </w:r>
          </w:p>
          <w:p w14:paraId="6BEEAF63" w14:textId="77777777" w:rsidR="00401786" w:rsidRPr="00F52432" w:rsidRDefault="00401786" w:rsidP="000E757E">
            <w:pPr>
              <w:snapToGrid w:val="0"/>
              <w:spacing w:line="240" w:lineRule="atLeast"/>
              <w:rPr>
                <w:rFonts w:ascii="標楷體" w:eastAsia="標楷體" w:hAnsi="標楷體" w:cs="Arial"/>
                <w:szCs w:val="24"/>
              </w:rPr>
            </w:pP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B5610" w14:textId="77777777" w:rsidR="00401786" w:rsidRPr="00F52432" w:rsidRDefault="00401786" w:rsidP="000E757E">
            <w:pPr>
              <w:snapToGrid w:val="0"/>
              <w:spacing w:line="240" w:lineRule="atLeast"/>
              <w:rPr>
                <w:rFonts w:ascii="標楷體" w:eastAsia="標楷體" w:hAnsi="標楷體"/>
                <w:color w:val="000000"/>
                <w:szCs w:val="24"/>
              </w:rPr>
            </w:pPr>
          </w:p>
          <w:p w14:paraId="19B16946" w14:textId="77777777" w:rsidR="00401786" w:rsidRPr="00F52432" w:rsidRDefault="00C64FB3" w:rsidP="002144EC">
            <w:pPr>
              <w:numPr>
                <w:ilvl w:val="0"/>
                <w:numId w:val="112"/>
              </w:numPr>
              <w:snapToGrid w:val="0"/>
              <w:spacing w:line="240" w:lineRule="atLeast"/>
              <w:ind w:left="255" w:hanging="283"/>
              <w:rPr>
                <w:szCs w:val="24"/>
              </w:rPr>
            </w:pPr>
            <w:r w:rsidRPr="00F52432">
              <w:rPr>
                <w:rFonts w:ascii="標楷體" w:eastAsia="標楷體" w:hAnsi="標楷體" w:cs="標楷體"/>
                <w:color w:val="000000"/>
                <w:szCs w:val="24"/>
              </w:rPr>
              <w:t>第一次申請</w:t>
            </w:r>
          </w:p>
          <w:p w14:paraId="46206484" w14:textId="77777777" w:rsidR="00401786" w:rsidRPr="00F52432" w:rsidRDefault="00401786" w:rsidP="000E757E">
            <w:pPr>
              <w:snapToGrid w:val="0"/>
              <w:spacing w:line="240" w:lineRule="atLeast"/>
              <w:ind w:left="403" w:hanging="283"/>
              <w:rPr>
                <w:rFonts w:ascii="標楷體" w:eastAsia="標楷體" w:hAnsi="標楷體" w:cs="標楷體"/>
                <w:color w:val="000000"/>
                <w:szCs w:val="24"/>
              </w:rPr>
            </w:pPr>
          </w:p>
          <w:p w14:paraId="63BCFDBC" w14:textId="77777777" w:rsidR="00401786" w:rsidRPr="00F52432" w:rsidRDefault="00C64FB3" w:rsidP="002144EC">
            <w:pPr>
              <w:numPr>
                <w:ilvl w:val="0"/>
                <w:numId w:val="112"/>
              </w:numPr>
              <w:snapToGrid w:val="0"/>
              <w:spacing w:line="240" w:lineRule="atLeast"/>
              <w:ind w:left="255" w:hanging="283"/>
              <w:rPr>
                <w:szCs w:val="24"/>
              </w:rPr>
            </w:pPr>
            <w:r w:rsidRPr="00F52432">
              <w:rPr>
                <w:rFonts w:ascii="標楷體" w:eastAsia="標楷體" w:hAnsi="標楷體" w:cs="標楷體"/>
                <w:color w:val="000000"/>
                <w:szCs w:val="24"/>
              </w:rPr>
              <w:t>治療後第次申請</w:t>
            </w:r>
          </w:p>
        </w:tc>
        <w:tc>
          <w:tcPr>
            <w:tcW w:w="5091" w:type="dxa"/>
            <w:gridSpan w:val="7"/>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5EF0B5"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□淚液分泌測試</w:t>
            </w:r>
            <w:r w:rsidRPr="00F52432">
              <w:rPr>
                <w:rFonts w:ascii="標楷體" w:eastAsia="標楷體" w:hAnsi="標楷體"/>
              </w:rPr>
              <w:t>（</w:t>
            </w:r>
            <w:proofErr w:type="spellStart"/>
            <w:r w:rsidRPr="00F52432">
              <w:rPr>
                <w:rFonts w:ascii="標楷體" w:eastAsia="標楷體" w:hAnsi="標楷體"/>
              </w:rPr>
              <w:t>Schirmer’stestwithoutanesthesia</w:t>
            </w:r>
            <w:proofErr w:type="spellEnd"/>
            <w:r w:rsidRPr="00F52432">
              <w:rPr>
                <w:rFonts w:ascii="標楷體" w:eastAsia="標楷體" w:hAnsi="標楷體"/>
              </w:rPr>
              <w:t>）少於5mm/5min，需附檢查試紙</w:t>
            </w:r>
          </w:p>
          <w:p w14:paraId="294540AC" w14:textId="77777777" w:rsidR="00401786" w:rsidRPr="00F52432" w:rsidRDefault="00C64FB3" w:rsidP="000E757E">
            <w:pPr>
              <w:pStyle w:val="Default"/>
              <w:widowControl/>
              <w:snapToGrid w:val="0"/>
              <w:spacing w:line="240" w:lineRule="atLeast"/>
            </w:pPr>
            <w:r w:rsidRPr="00F52432">
              <w:rPr>
                <w:rFonts w:ascii="標楷體" w:eastAsia="標楷體" w:hAnsi="標楷體" w:cs="Arial"/>
              </w:rPr>
              <w:t>□</w:t>
            </w:r>
            <w:proofErr w:type="gramStart"/>
            <w:r w:rsidRPr="00F52432">
              <w:rPr>
                <w:rFonts w:ascii="標楷體" w:eastAsia="標楷體" w:hAnsi="標楷體" w:cs="Arial"/>
              </w:rPr>
              <w:t>淚膜崩裂</w:t>
            </w:r>
            <w:proofErr w:type="gramEnd"/>
            <w:r w:rsidRPr="00F52432">
              <w:rPr>
                <w:rFonts w:ascii="標楷體" w:eastAsia="標楷體" w:hAnsi="標楷體" w:cs="Arial"/>
              </w:rPr>
              <w:t>時間</w:t>
            </w:r>
            <w:r w:rsidRPr="00F52432">
              <w:rPr>
                <w:rFonts w:ascii="標楷體" w:eastAsia="標楷體" w:hAnsi="標楷體"/>
              </w:rPr>
              <w:t>（</w:t>
            </w:r>
            <w:proofErr w:type="spellStart"/>
            <w:r w:rsidRPr="00F52432">
              <w:rPr>
                <w:rFonts w:ascii="標楷體" w:eastAsia="標楷體" w:hAnsi="標楷體"/>
              </w:rPr>
              <w:t>TearFilmBreak-UpTime</w:t>
            </w:r>
            <w:proofErr w:type="spellEnd"/>
            <w:r w:rsidRPr="00F52432">
              <w:rPr>
                <w:rFonts w:ascii="標楷體" w:eastAsia="標楷體" w:hAnsi="標楷體"/>
              </w:rPr>
              <w:t>）小</w:t>
            </w:r>
            <w:r w:rsidRPr="00F52432">
              <w:rPr>
                <w:rFonts w:ascii="標楷體" w:eastAsia="標楷體" w:hAnsi="標楷體" w:cs="Arial"/>
              </w:rPr>
              <w:t>於或等於</w:t>
            </w:r>
            <w:r w:rsidRPr="00F52432">
              <w:rPr>
                <w:rFonts w:ascii="標楷體" w:eastAsia="標楷體" w:hAnsi="標楷體"/>
              </w:rPr>
              <w:t>5</w:t>
            </w:r>
            <w:r w:rsidRPr="00F52432">
              <w:rPr>
                <w:rFonts w:ascii="標楷體" w:eastAsia="標楷體" w:hAnsi="標楷體" w:cs="Arial"/>
              </w:rPr>
              <w:t>秒</w:t>
            </w:r>
          </w:p>
          <w:p w14:paraId="60CED60E"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w:t>
            </w:r>
            <w:proofErr w:type="gramStart"/>
            <w:r w:rsidRPr="00F52432">
              <w:rPr>
                <w:rFonts w:ascii="標楷體" w:eastAsia="標楷體" w:hAnsi="標楷體" w:cs="Arial"/>
              </w:rPr>
              <w:t>彩色外眼照片</w:t>
            </w:r>
            <w:proofErr w:type="gramEnd"/>
            <w:r w:rsidRPr="00F52432">
              <w:rPr>
                <w:rFonts w:ascii="標楷體" w:eastAsia="標楷體" w:hAnsi="標楷體" w:cs="Arial"/>
              </w:rPr>
              <w:t>及螢光染色之照片(顯示有嚴重角膜點狀上皮缺損，結膜充血染色且有絲狀角膜炎，角膜潰瘍，或眼瞼結膜粘連，角膜結膜角質化之情形)</w:t>
            </w:r>
          </w:p>
          <w:p w14:paraId="79F6D38A"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□曾使用局部抗發炎藥物</w:t>
            </w:r>
            <w:proofErr w:type="gramStart"/>
            <w:r w:rsidRPr="00F52432">
              <w:rPr>
                <w:rFonts w:ascii="標楷體" w:eastAsia="標楷體" w:hAnsi="標楷體" w:cs="Arial"/>
              </w:rPr>
              <w:t>或淚點塞或</w:t>
            </w:r>
            <w:proofErr w:type="gramEnd"/>
            <w:r w:rsidRPr="00F52432">
              <w:rPr>
                <w:rFonts w:ascii="標楷體" w:eastAsia="標楷體" w:hAnsi="標楷體" w:cs="Arial"/>
              </w:rPr>
              <w:t>人工淚液未見改善</w:t>
            </w:r>
          </w:p>
          <w:p w14:paraId="0D1E4A06"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□續用條件</w:t>
            </w:r>
            <w:proofErr w:type="gramStart"/>
            <w:r w:rsidRPr="00F52432">
              <w:rPr>
                <w:rFonts w:ascii="標楷體" w:eastAsia="標楷體" w:hAnsi="標楷體" w:cs="Arial"/>
              </w:rPr>
              <w:t>—</w:t>
            </w:r>
            <w:proofErr w:type="gramEnd"/>
            <w:r w:rsidRPr="00F52432">
              <w:rPr>
                <w:rFonts w:ascii="標楷體" w:eastAsia="標楷體" w:hAnsi="標楷體" w:cs="Arial"/>
              </w:rPr>
              <w:t>主述症狀改善：乾澀、畏光或產生眼睛分泌物</w:t>
            </w:r>
          </w:p>
          <w:p w14:paraId="5E0A8971" w14:textId="77777777" w:rsidR="00401786" w:rsidRPr="00F52432" w:rsidRDefault="00C64FB3" w:rsidP="000E757E">
            <w:pPr>
              <w:pStyle w:val="Default"/>
              <w:widowControl/>
              <w:snapToGrid w:val="0"/>
              <w:spacing w:line="240" w:lineRule="atLeast"/>
              <w:ind w:hanging="200"/>
            </w:pPr>
            <w:r w:rsidRPr="00F52432">
              <w:rPr>
                <w:rFonts w:ascii="標楷體" w:eastAsia="標楷體" w:hAnsi="標楷體" w:cs="Arial"/>
              </w:rPr>
              <w:t>合併以下任</w:t>
            </w:r>
            <w:proofErr w:type="gramStart"/>
            <w:r w:rsidRPr="00F52432">
              <w:rPr>
                <w:rFonts w:ascii="標楷體" w:eastAsia="標楷體" w:hAnsi="標楷體" w:cs="Arial"/>
              </w:rPr>
              <w:t>一</w:t>
            </w:r>
            <w:proofErr w:type="gramEnd"/>
            <w:r w:rsidRPr="00F52432">
              <w:rPr>
                <w:rFonts w:ascii="標楷體" w:eastAsia="標楷體" w:hAnsi="標楷體" w:cs="Arial"/>
              </w:rPr>
              <w:t>條件改善□淚眼分泌測試、□</w:t>
            </w:r>
            <w:proofErr w:type="gramStart"/>
            <w:r w:rsidRPr="00F52432">
              <w:rPr>
                <w:rFonts w:ascii="標楷體" w:eastAsia="標楷體" w:hAnsi="標楷體" w:cs="Arial"/>
              </w:rPr>
              <w:t>淚膜崩裂</w:t>
            </w:r>
            <w:proofErr w:type="gramEnd"/>
            <w:r w:rsidRPr="00F52432">
              <w:rPr>
                <w:rFonts w:ascii="標楷體" w:eastAsia="標楷體" w:hAnsi="標楷體" w:cs="Arial"/>
              </w:rPr>
              <w:t>時間、□角膜病變-螢光染色照片、□結膜充血或結膜染色-症狀改善</w:t>
            </w:r>
          </w:p>
        </w:tc>
        <w:tc>
          <w:tcPr>
            <w:tcW w:w="99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795E8" w14:textId="77777777" w:rsidR="00401786" w:rsidRPr="00F52432" w:rsidRDefault="00401786" w:rsidP="000E757E">
            <w:pPr>
              <w:snapToGrid w:val="0"/>
              <w:spacing w:line="240" w:lineRule="atLeast"/>
              <w:rPr>
                <w:rFonts w:ascii="標楷體" w:eastAsia="標楷體" w:hAnsi="標楷體"/>
                <w:color w:val="000000"/>
                <w:szCs w:val="24"/>
              </w:rPr>
            </w:pPr>
          </w:p>
          <w:p w14:paraId="364EC7AA" w14:textId="77777777" w:rsidR="00401786" w:rsidRPr="00F52432" w:rsidRDefault="00401786" w:rsidP="000E757E">
            <w:pPr>
              <w:snapToGrid w:val="0"/>
              <w:spacing w:line="240" w:lineRule="atLeast"/>
              <w:rPr>
                <w:rFonts w:ascii="標楷體" w:eastAsia="標楷體" w:hAnsi="標楷體"/>
                <w:color w:val="000000"/>
                <w:szCs w:val="24"/>
              </w:rPr>
            </w:pPr>
          </w:p>
          <w:p w14:paraId="074E8B32" w14:textId="77777777" w:rsidR="00401786" w:rsidRPr="00F52432" w:rsidRDefault="00401786" w:rsidP="000E757E">
            <w:pPr>
              <w:snapToGrid w:val="0"/>
              <w:spacing w:line="240" w:lineRule="atLeast"/>
              <w:rPr>
                <w:rFonts w:ascii="標楷體" w:eastAsia="標楷體" w:hAnsi="標楷體"/>
                <w:color w:val="000000"/>
                <w:szCs w:val="24"/>
              </w:rPr>
            </w:pPr>
          </w:p>
        </w:tc>
        <w:tc>
          <w:tcPr>
            <w:tcW w:w="8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3EA6BF" w14:textId="77777777" w:rsidR="00401786" w:rsidRPr="00F52432" w:rsidRDefault="00401786" w:rsidP="000E757E">
            <w:pPr>
              <w:snapToGrid w:val="0"/>
              <w:spacing w:line="240" w:lineRule="atLeast"/>
              <w:rPr>
                <w:rFonts w:ascii="標楷體" w:eastAsia="標楷體" w:hAnsi="標楷體"/>
                <w:color w:val="000000"/>
                <w:szCs w:val="24"/>
              </w:rPr>
            </w:pPr>
          </w:p>
          <w:p w14:paraId="5D8FE652" w14:textId="77777777" w:rsidR="00401786" w:rsidRPr="00F52432" w:rsidRDefault="00401786" w:rsidP="000E757E">
            <w:pPr>
              <w:snapToGrid w:val="0"/>
              <w:spacing w:line="240" w:lineRule="atLeast"/>
              <w:rPr>
                <w:rFonts w:ascii="標楷體" w:eastAsia="標楷體" w:hAnsi="標楷體"/>
                <w:color w:val="000000"/>
                <w:szCs w:val="24"/>
              </w:rPr>
            </w:pPr>
          </w:p>
        </w:tc>
        <w:tc>
          <w:tcPr>
            <w:tcW w:w="4694" w:type="dxa"/>
            <w:gridSpan w:val="16"/>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7483B838" w14:textId="77777777" w:rsidR="00401786" w:rsidRPr="00F52432" w:rsidRDefault="00C64FB3" w:rsidP="002144EC">
            <w:pPr>
              <w:numPr>
                <w:ilvl w:val="0"/>
                <w:numId w:val="113"/>
              </w:numPr>
              <w:tabs>
                <w:tab w:val="left" w:pos="240"/>
              </w:tabs>
              <w:snapToGrid w:val="0"/>
              <w:spacing w:line="240" w:lineRule="atLeast"/>
              <w:ind w:left="240" w:hanging="240"/>
              <w:rPr>
                <w:szCs w:val="24"/>
              </w:rPr>
            </w:pPr>
            <w:r w:rsidRPr="00F52432">
              <w:rPr>
                <w:rFonts w:ascii="標楷體" w:eastAsia="標楷體" w:hAnsi="標楷體" w:cs="標楷體"/>
                <w:color w:val="000000"/>
                <w:szCs w:val="24"/>
              </w:rPr>
              <w:t>同意備查。</w:t>
            </w:r>
          </w:p>
          <w:p w14:paraId="7C3F33C7" w14:textId="77777777" w:rsidR="00401786" w:rsidRPr="00F52432" w:rsidRDefault="00C64FB3" w:rsidP="002144EC">
            <w:pPr>
              <w:numPr>
                <w:ilvl w:val="0"/>
                <w:numId w:val="113"/>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使用劑量不符合常規，核定量為</w:t>
            </w:r>
          </w:p>
          <w:p w14:paraId="1FB247D1"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□不同意</w:t>
            </w:r>
          </w:p>
          <w:p w14:paraId="1579CD68" w14:textId="77777777" w:rsidR="00401786" w:rsidRPr="00F52432" w:rsidRDefault="00C64FB3" w:rsidP="002144EC">
            <w:pPr>
              <w:numPr>
                <w:ilvl w:val="0"/>
                <w:numId w:val="113"/>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不符合適應症。</w:t>
            </w:r>
          </w:p>
          <w:p w14:paraId="7CC9D642" w14:textId="77777777" w:rsidR="00401786" w:rsidRPr="00F52432" w:rsidRDefault="00C64FB3" w:rsidP="002144EC">
            <w:pPr>
              <w:numPr>
                <w:ilvl w:val="0"/>
                <w:numId w:val="113"/>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不符給付規定。</w:t>
            </w:r>
          </w:p>
          <w:p w14:paraId="662DAD1E" w14:textId="77777777" w:rsidR="00401786" w:rsidRPr="00F52432" w:rsidRDefault="00C64FB3" w:rsidP="002144EC">
            <w:pPr>
              <w:numPr>
                <w:ilvl w:val="0"/>
                <w:numId w:val="113"/>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相關檢驗、檢查報告不</w:t>
            </w:r>
            <w:proofErr w:type="gramStart"/>
            <w:r w:rsidRPr="00F52432">
              <w:rPr>
                <w:rFonts w:ascii="標楷體" w:eastAsia="標楷體" w:hAnsi="標楷體" w:cs="標楷體"/>
                <w:color w:val="000000"/>
                <w:szCs w:val="24"/>
              </w:rPr>
              <w:t>全補附</w:t>
            </w:r>
            <w:proofErr w:type="gramEnd"/>
            <w:r w:rsidRPr="00F52432">
              <w:rPr>
                <w:rFonts w:ascii="標楷體" w:eastAsia="標楷體" w:hAnsi="標楷體" w:cs="標楷體"/>
                <w:color w:val="000000"/>
                <w:szCs w:val="24"/>
              </w:rPr>
              <w:t>資料再審，請補充以下資料</w:t>
            </w:r>
          </w:p>
          <w:p w14:paraId="01573D95" w14:textId="77777777" w:rsidR="00401786" w:rsidRPr="00F52432" w:rsidRDefault="00C64FB3" w:rsidP="002144EC">
            <w:pPr>
              <w:numPr>
                <w:ilvl w:val="0"/>
                <w:numId w:val="113"/>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其他：</w:t>
            </w:r>
          </w:p>
        </w:tc>
        <w:tc>
          <w:tcPr>
            <w:tcW w:w="40" w:type="dxa"/>
            <w:shd w:val="clear" w:color="auto" w:fill="auto"/>
            <w:tcMar>
              <w:top w:w="0" w:type="dxa"/>
              <w:left w:w="10" w:type="dxa"/>
              <w:bottom w:w="0" w:type="dxa"/>
              <w:right w:w="10" w:type="dxa"/>
            </w:tcMar>
          </w:tcPr>
          <w:p w14:paraId="0AE21CE7" w14:textId="77777777" w:rsidR="00401786" w:rsidRPr="00F52432" w:rsidRDefault="00401786" w:rsidP="000E757E">
            <w:pPr>
              <w:tabs>
                <w:tab w:val="left" w:pos="240"/>
              </w:tabs>
              <w:snapToGrid w:val="0"/>
              <w:spacing w:line="240" w:lineRule="atLeast"/>
              <w:ind w:left="478" w:hanging="238"/>
              <w:rPr>
                <w:rFonts w:ascii="標楷體" w:eastAsia="標楷體" w:hAnsi="標楷體"/>
                <w:szCs w:val="24"/>
              </w:rPr>
            </w:pPr>
          </w:p>
        </w:tc>
      </w:tr>
      <w:tr w:rsidR="00401786" w14:paraId="689F5879" w14:textId="77777777">
        <w:trPr>
          <w:cantSplit/>
          <w:trHeight w:val="419"/>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9D67D4" w14:textId="77777777" w:rsidR="00401786" w:rsidRPr="00F52432" w:rsidRDefault="00C64FB3" w:rsidP="000E757E">
            <w:pPr>
              <w:snapToGrid w:val="0"/>
              <w:spacing w:line="240" w:lineRule="atLeast"/>
              <w:rPr>
                <w:szCs w:val="24"/>
              </w:rPr>
            </w:pPr>
            <w:r w:rsidRPr="00F52432">
              <w:rPr>
                <w:rFonts w:ascii="標楷體" w:eastAsia="標楷體" w:hAnsi="標楷體" w:cs="Arial"/>
                <w:szCs w:val="24"/>
              </w:rPr>
              <w:t>項次:1</w:t>
            </w: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A51D73" w14:textId="77777777" w:rsidR="00401786" w:rsidRPr="00F52432" w:rsidRDefault="00401786" w:rsidP="000E757E">
            <w:pPr>
              <w:snapToGrid w:val="0"/>
              <w:spacing w:before="180" w:line="240" w:lineRule="atLeast"/>
              <w:ind w:left="269" w:hanging="269"/>
              <w:rPr>
                <w:rFonts w:ascii="標楷體" w:eastAsia="標楷體" w:hAnsi="標楷體"/>
                <w:szCs w:val="24"/>
                <w:u w:val="single"/>
              </w:rPr>
            </w:pPr>
          </w:p>
        </w:tc>
        <w:tc>
          <w:tcPr>
            <w:tcW w:w="5091" w:type="dxa"/>
            <w:gridSpan w:val="7"/>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679673" w14:textId="77777777" w:rsidR="00401786" w:rsidRPr="00F52432" w:rsidRDefault="00401786" w:rsidP="000E757E">
            <w:pPr>
              <w:pStyle w:val="Default"/>
              <w:snapToGrid w:val="0"/>
              <w:spacing w:line="240" w:lineRule="atLeast"/>
              <w:rPr>
                <w:rFonts w:ascii="標楷體" w:eastAsia="標楷體" w:hAnsi="標楷體" w:cs="Arial"/>
              </w:rPr>
            </w:pPr>
          </w:p>
        </w:tc>
        <w:tc>
          <w:tcPr>
            <w:tcW w:w="9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03932B" w14:textId="77777777" w:rsidR="00401786" w:rsidRPr="00F52432" w:rsidRDefault="00401786" w:rsidP="000E757E">
            <w:pPr>
              <w:snapToGrid w:val="0"/>
              <w:spacing w:line="240" w:lineRule="atLeast"/>
              <w:rPr>
                <w:rFonts w:ascii="標楷體" w:eastAsia="標楷體" w:hAnsi="標楷體"/>
                <w:color w:val="000000"/>
                <w:szCs w:val="24"/>
              </w:rPr>
            </w:pPr>
          </w:p>
        </w:tc>
        <w:tc>
          <w:tcPr>
            <w:tcW w:w="8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1A6DA" w14:textId="77777777" w:rsidR="00401786" w:rsidRPr="00F52432" w:rsidRDefault="00401786" w:rsidP="000E757E">
            <w:pPr>
              <w:snapToGrid w:val="0"/>
              <w:spacing w:line="240" w:lineRule="atLeast"/>
              <w:rPr>
                <w:rFonts w:ascii="標楷體" w:eastAsia="標楷體" w:hAnsi="標楷體"/>
                <w:color w:val="000000"/>
                <w:szCs w:val="24"/>
              </w:rPr>
            </w:pPr>
          </w:p>
        </w:tc>
        <w:tc>
          <w:tcPr>
            <w:tcW w:w="4694" w:type="dxa"/>
            <w:gridSpan w:val="16"/>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9DA9E96" w14:textId="77777777" w:rsidR="00401786" w:rsidRPr="00F52432" w:rsidRDefault="00401786" w:rsidP="002144EC">
            <w:pPr>
              <w:numPr>
                <w:ilvl w:val="0"/>
                <w:numId w:val="113"/>
              </w:numPr>
              <w:tabs>
                <w:tab w:val="left" w:pos="240"/>
              </w:tabs>
              <w:snapToGrid w:val="0"/>
              <w:spacing w:line="240" w:lineRule="atLeast"/>
              <w:ind w:left="240" w:hanging="240"/>
              <w:rPr>
                <w:rFonts w:ascii="標楷體" w:eastAsia="標楷體" w:hAnsi="標楷體" w:cs="標楷體"/>
                <w:color w:val="000000"/>
                <w:szCs w:val="24"/>
              </w:rPr>
            </w:pPr>
          </w:p>
        </w:tc>
        <w:tc>
          <w:tcPr>
            <w:tcW w:w="40" w:type="dxa"/>
            <w:shd w:val="clear" w:color="auto" w:fill="auto"/>
            <w:tcMar>
              <w:top w:w="0" w:type="dxa"/>
              <w:left w:w="10" w:type="dxa"/>
              <w:bottom w:w="0" w:type="dxa"/>
              <w:right w:w="10" w:type="dxa"/>
            </w:tcMar>
          </w:tcPr>
          <w:p w14:paraId="1302AC79" w14:textId="77777777" w:rsidR="00401786" w:rsidRPr="00F52432" w:rsidRDefault="00401786" w:rsidP="000E757E">
            <w:pPr>
              <w:tabs>
                <w:tab w:val="left" w:pos="240"/>
              </w:tabs>
              <w:snapToGrid w:val="0"/>
              <w:spacing w:line="240" w:lineRule="atLeast"/>
              <w:ind w:left="240" w:hanging="240"/>
              <w:rPr>
                <w:rFonts w:ascii="標楷體" w:eastAsia="標楷體" w:hAnsi="標楷體" w:cs="標楷體"/>
                <w:color w:val="000000"/>
                <w:szCs w:val="24"/>
              </w:rPr>
            </w:pPr>
          </w:p>
        </w:tc>
      </w:tr>
      <w:tr w:rsidR="00401786" w14:paraId="59A6043A" w14:textId="77777777">
        <w:trPr>
          <w:cantSplit/>
          <w:trHeight w:val="284"/>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1214D7" w14:textId="77777777" w:rsidR="00401786" w:rsidRPr="00F52432" w:rsidRDefault="00C64FB3" w:rsidP="000E757E">
            <w:pPr>
              <w:snapToGrid w:val="0"/>
              <w:spacing w:line="240" w:lineRule="atLeast"/>
              <w:rPr>
                <w:szCs w:val="24"/>
              </w:rPr>
            </w:pPr>
            <w:r w:rsidRPr="00F52432">
              <w:rPr>
                <w:rFonts w:ascii="標楷體" w:eastAsia="標楷體" w:hAnsi="標楷體" w:cs="Arial"/>
                <w:szCs w:val="24"/>
              </w:rPr>
              <w:t>項目類別:1</w:t>
            </w: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B651C1" w14:textId="77777777" w:rsidR="00401786" w:rsidRPr="00F52432" w:rsidRDefault="00401786" w:rsidP="000E757E">
            <w:pPr>
              <w:snapToGrid w:val="0"/>
              <w:spacing w:before="180" w:line="240" w:lineRule="atLeast"/>
              <w:ind w:left="269" w:hanging="269"/>
              <w:rPr>
                <w:rFonts w:ascii="標楷體" w:eastAsia="標楷體" w:hAnsi="標楷體"/>
                <w:szCs w:val="24"/>
                <w:u w:val="single"/>
              </w:rPr>
            </w:pPr>
          </w:p>
        </w:tc>
        <w:tc>
          <w:tcPr>
            <w:tcW w:w="5091" w:type="dxa"/>
            <w:gridSpan w:val="7"/>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6AFDD4" w14:textId="77777777" w:rsidR="00401786" w:rsidRPr="00F52432" w:rsidRDefault="00401786" w:rsidP="000E757E">
            <w:pPr>
              <w:pStyle w:val="Default"/>
              <w:snapToGrid w:val="0"/>
              <w:spacing w:line="240" w:lineRule="atLeast"/>
              <w:rPr>
                <w:rFonts w:ascii="標楷體" w:eastAsia="標楷體" w:hAnsi="標楷體" w:cs="Arial"/>
              </w:rPr>
            </w:pPr>
          </w:p>
        </w:tc>
        <w:tc>
          <w:tcPr>
            <w:tcW w:w="9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88801" w14:textId="77777777" w:rsidR="00401786" w:rsidRPr="00F52432" w:rsidRDefault="00401786" w:rsidP="000E757E">
            <w:pPr>
              <w:snapToGrid w:val="0"/>
              <w:spacing w:line="240" w:lineRule="atLeast"/>
              <w:rPr>
                <w:rFonts w:ascii="標楷體" w:eastAsia="標楷體" w:hAnsi="標楷體"/>
                <w:color w:val="000000"/>
                <w:szCs w:val="24"/>
              </w:rPr>
            </w:pPr>
          </w:p>
        </w:tc>
        <w:tc>
          <w:tcPr>
            <w:tcW w:w="8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A66DF9" w14:textId="77777777" w:rsidR="00401786" w:rsidRPr="00F52432" w:rsidRDefault="00401786" w:rsidP="000E757E">
            <w:pPr>
              <w:snapToGrid w:val="0"/>
              <w:spacing w:line="240" w:lineRule="atLeast"/>
              <w:rPr>
                <w:rFonts w:ascii="標楷體" w:eastAsia="標楷體" w:hAnsi="標楷體"/>
                <w:color w:val="000000"/>
                <w:szCs w:val="24"/>
              </w:rPr>
            </w:pPr>
          </w:p>
        </w:tc>
        <w:tc>
          <w:tcPr>
            <w:tcW w:w="4694" w:type="dxa"/>
            <w:gridSpan w:val="16"/>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9D5BA9B" w14:textId="77777777" w:rsidR="00401786" w:rsidRPr="00F52432" w:rsidRDefault="00401786" w:rsidP="002144EC">
            <w:pPr>
              <w:numPr>
                <w:ilvl w:val="0"/>
                <w:numId w:val="113"/>
              </w:numPr>
              <w:tabs>
                <w:tab w:val="left" w:pos="240"/>
              </w:tabs>
              <w:snapToGrid w:val="0"/>
              <w:spacing w:line="240" w:lineRule="atLeast"/>
              <w:ind w:left="240" w:hanging="240"/>
              <w:rPr>
                <w:rFonts w:ascii="標楷體" w:eastAsia="標楷體" w:hAnsi="標楷體" w:cs="標楷體"/>
                <w:color w:val="000000"/>
                <w:szCs w:val="24"/>
              </w:rPr>
            </w:pPr>
          </w:p>
        </w:tc>
        <w:tc>
          <w:tcPr>
            <w:tcW w:w="40" w:type="dxa"/>
            <w:shd w:val="clear" w:color="auto" w:fill="auto"/>
            <w:tcMar>
              <w:top w:w="0" w:type="dxa"/>
              <w:left w:w="10" w:type="dxa"/>
              <w:bottom w:w="0" w:type="dxa"/>
              <w:right w:w="10" w:type="dxa"/>
            </w:tcMar>
          </w:tcPr>
          <w:p w14:paraId="27649B49" w14:textId="77777777" w:rsidR="00401786" w:rsidRPr="00F52432" w:rsidRDefault="00401786" w:rsidP="000E757E">
            <w:pPr>
              <w:tabs>
                <w:tab w:val="left" w:pos="240"/>
              </w:tabs>
              <w:snapToGrid w:val="0"/>
              <w:spacing w:line="240" w:lineRule="atLeast"/>
              <w:ind w:left="240" w:hanging="240"/>
              <w:rPr>
                <w:rFonts w:ascii="標楷體" w:eastAsia="標楷體" w:hAnsi="標楷體" w:cs="標楷體"/>
                <w:color w:val="000000"/>
                <w:szCs w:val="24"/>
              </w:rPr>
            </w:pPr>
          </w:p>
        </w:tc>
      </w:tr>
      <w:tr w:rsidR="00401786" w14:paraId="5739AB79" w14:textId="77777777">
        <w:trPr>
          <w:cantSplit/>
          <w:trHeight w:val="639"/>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FD1490"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注意</w:t>
            </w:r>
            <w:r w:rsidRPr="00F52432">
              <w:rPr>
                <w:rFonts w:ascii="標楷體" w:eastAsia="標楷體" w:hAnsi="標楷體" w:cs="標楷體"/>
                <w:color w:val="000000"/>
                <w:szCs w:val="24"/>
              </w:rPr>
              <w:lastRenderedPageBreak/>
              <w:t>事項項</w:t>
            </w:r>
          </w:p>
          <w:p w14:paraId="180ABCF2" w14:textId="77777777" w:rsidR="00401786" w:rsidRPr="00F52432" w:rsidRDefault="00401786" w:rsidP="000E757E">
            <w:pPr>
              <w:snapToGrid w:val="0"/>
              <w:spacing w:line="240" w:lineRule="atLeast"/>
              <w:ind w:hanging="211"/>
              <w:rPr>
                <w:rFonts w:ascii="標楷體" w:eastAsia="標楷體" w:hAnsi="標楷體"/>
                <w:color w:val="000000"/>
                <w:szCs w:val="24"/>
              </w:rPr>
            </w:pPr>
          </w:p>
        </w:tc>
        <w:tc>
          <w:tcPr>
            <w:tcW w:w="9314"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FF4137"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lastRenderedPageBreak/>
              <w:t>1.本申請書限一人一案，由本保險特約</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事服務機構填報，</w:t>
            </w:r>
            <w:proofErr w:type="gramStart"/>
            <w:r w:rsidRPr="00F52432">
              <w:rPr>
                <w:rFonts w:ascii="標楷體" w:eastAsia="標楷體" w:hAnsi="標楷體"/>
                <w:color w:val="000000"/>
                <w:kern w:val="0"/>
                <w:szCs w:val="24"/>
              </w:rPr>
              <w:t>不</w:t>
            </w:r>
            <w:proofErr w:type="gramEnd"/>
            <w:r w:rsidRPr="00F52432">
              <w:rPr>
                <w:rFonts w:ascii="標楷體" w:eastAsia="標楷體" w:hAnsi="標楷體"/>
                <w:color w:val="000000"/>
                <w:kern w:val="0"/>
                <w:szCs w:val="24"/>
              </w:rPr>
              <w:t>必備文，請</w:t>
            </w:r>
            <w:proofErr w:type="gramStart"/>
            <w:r w:rsidRPr="00F52432">
              <w:rPr>
                <w:rFonts w:ascii="標楷體" w:eastAsia="標楷體" w:hAnsi="標楷體"/>
                <w:color w:val="000000"/>
                <w:kern w:val="0"/>
                <w:szCs w:val="24"/>
              </w:rPr>
              <w:t>逕</w:t>
            </w:r>
            <w:proofErr w:type="gramEnd"/>
            <w:r w:rsidRPr="00F52432">
              <w:rPr>
                <w:rFonts w:ascii="標楷體" w:eastAsia="標楷體" w:hAnsi="標楷體"/>
                <w:color w:val="000000"/>
                <w:kern w:val="0"/>
                <w:szCs w:val="24"/>
              </w:rPr>
              <w:t>向保險人各分區業務組申請審核。</w:t>
            </w:r>
          </w:p>
          <w:p w14:paraId="5175C8C0"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lastRenderedPageBreak/>
              <w:t>2.「原受理編號」申復時填寫，初次送核不須填寫。</w:t>
            </w:r>
          </w:p>
          <w:p w14:paraId="2EA34BA3"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3.應事前審查之項目未依規定事前申請核准者，不予給付費用；事前申請核准之個案，日後如經審定保險對象或</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事服務機構有不符全民健康保險給付規定者，亦不予給付費用。</w:t>
            </w:r>
          </w:p>
          <w:p w14:paraId="4999768B"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4.對核定結果如有異議，得於收到核定通知之日起六十日內，重行填寫乙份申請書(應勾</w:t>
            </w:r>
            <w:proofErr w:type="gramStart"/>
            <w:r w:rsidRPr="00F52432">
              <w:rPr>
                <w:rFonts w:ascii="標楷體" w:eastAsia="標楷體" w:hAnsi="標楷體"/>
                <w:color w:val="000000"/>
                <w:kern w:val="0"/>
                <w:szCs w:val="24"/>
              </w:rPr>
              <w:t>註</w:t>
            </w:r>
            <w:proofErr w:type="gramEnd"/>
            <w:r w:rsidRPr="00F52432">
              <w:rPr>
                <w:rFonts w:ascii="標楷體" w:eastAsia="標楷體" w:hAnsi="標楷體"/>
                <w:color w:val="000000"/>
                <w:kern w:val="0"/>
                <w:szCs w:val="24"/>
              </w:rPr>
              <w:t>申復，</w:t>
            </w:r>
            <w:proofErr w:type="gramStart"/>
            <w:r w:rsidRPr="00F52432">
              <w:rPr>
                <w:rFonts w:ascii="標楷體" w:eastAsia="標楷體" w:hAnsi="標楷體"/>
                <w:color w:val="000000"/>
                <w:kern w:val="0"/>
                <w:szCs w:val="24"/>
              </w:rPr>
              <w:t>並填明原</w:t>
            </w:r>
            <w:proofErr w:type="gramEnd"/>
            <w:r w:rsidRPr="00F52432">
              <w:rPr>
                <w:rFonts w:ascii="標楷體" w:eastAsia="標楷體" w:hAnsi="標楷體"/>
                <w:color w:val="000000"/>
                <w:kern w:val="0"/>
                <w:szCs w:val="24"/>
              </w:rPr>
              <w:t>受理編號)向原核定單位申請複核。</w:t>
            </w:r>
          </w:p>
          <w:p w14:paraId="1F659388"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5.對複核結果如有異議，得於收到複核通知之日起六十日內向全民健康保險爭議審議會申請審議。</w:t>
            </w:r>
          </w:p>
          <w:p w14:paraId="16D98480"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6.對核定結果有異議者，應循上述申</w:t>
            </w:r>
            <w:proofErr w:type="gramStart"/>
            <w:r w:rsidRPr="00F52432">
              <w:rPr>
                <w:rFonts w:ascii="標楷體" w:eastAsia="標楷體" w:hAnsi="標楷體"/>
                <w:color w:val="000000"/>
                <w:kern w:val="0"/>
                <w:szCs w:val="24"/>
              </w:rPr>
              <w:t>複</w:t>
            </w:r>
            <w:proofErr w:type="gramEnd"/>
            <w:r w:rsidRPr="00F52432">
              <w:rPr>
                <w:rFonts w:ascii="標楷體" w:eastAsia="標楷體" w:hAnsi="標楷體"/>
                <w:color w:val="000000"/>
                <w:kern w:val="0"/>
                <w:szCs w:val="24"/>
              </w:rPr>
              <w:t>及爭議審議途徑申請複核或審議，不得以新個案重新申請送核，否則不予受理。</w:t>
            </w:r>
          </w:p>
          <w:p w14:paraId="31BCEFE7"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7.保險</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事服務機構如因事出緊急，得以書面說明電傳保險人報備後，先行處理治療，並立即備齊應附文件備查。</w:t>
            </w:r>
          </w:p>
          <w:p w14:paraId="384C3CBF" w14:textId="77777777" w:rsidR="00401786" w:rsidRPr="00F52432" w:rsidRDefault="00C64FB3" w:rsidP="000E757E">
            <w:pPr>
              <w:snapToGrid w:val="0"/>
              <w:spacing w:line="240" w:lineRule="atLeast"/>
              <w:ind w:left="196" w:hanging="196"/>
              <w:rPr>
                <w:szCs w:val="24"/>
              </w:rPr>
            </w:pPr>
            <w:r w:rsidRPr="00F52432">
              <w:rPr>
                <w:rFonts w:ascii="標楷體" w:eastAsia="標楷體" w:hAnsi="標楷體"/>
                <w:color w:val="000000"/>
                <w:kern w:val="0"/>
                <w:szCs w:val="24"/>
              </w:rPr>
              <w:t>8.診斷代碼</w:t>
            </w:r>
            <w:proofErr w:type="gramStart"/>
            <w:r w:rsidRPr="00F52432">
              <w:rPr>
                <w:rFonts w:ascii="標楷體" w:eastAsia="標楷體" w:hAnsi="標楷體"/>
                <w:color w:val="000000"/>
                <w:kern w:val="0"/>
                <w:szCs w:val="24"/>
              </w:rPr>
              <w:t>為必填欄位</w:t>
            </w:r>
            <w:proofErr w:type="gramEnd"/>
            <w:r w:rsidRPr="00F52432">
              <w:rPr>
                <w:rFonts w:ascii="標楷體" w:eastAsia="標楷體" w:hAnsi="標楷體"/>
                <w:color w:val="000000"/>
                <w:kern w:val="0"/>
                <w:szCs w:val="24"/>
              </w:rPr>
              <w:t>，並請依代碼勾選或自行鍵入(無代碼可勾選者)，且</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令申報本藥品時診斷代碼需相同。</w:t>
            </w:r>
          </w:p>
        </w:tc>
        <w:tc>
          <w:tcPr>
            <w:tcW w:w="4694" w:type="dxa"/>
            <w:gridSpan w:val="16"/>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5FC33E55"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603B1FA3"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4D921642" w14:textId="77777777">
        <w:trPr>
          <w:cantSplit/>
          <w:trHeight w:val="753"/>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741314"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9314"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0CC31A"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3399" w:type="dxa"/>
            <w:gridSpan w:val="13"/>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A5984F" w14:textId="77777777" w:rsidR="00401786" w:rsidRPr="00F52432" w:rsidRDefault="00C64FB3" w:rsidP="000E757E">
            <w:pPr>
              <w:snapToGrid w:val="0"/>
              <w:spacing w:line="240" w:lineRule="atLeast"/>
              <w:jc w:val="both"/>
              <w:rPr>
                <w:szCs w:val="24"/>
              </w:rPr>
            </w:pPr>
            <w:r w:rsidRPr="00F52432">
              <w:rPr>
                <w:rFonts w:ascii="標楷體" w:eastAsia="標楷體" w:hAnsi="標楷體" w:cs="標楷體"/>
                <w:color w:val="000000"/>
                <w:szCs w:val="24"/>
              </w:rPr>
              <w:t>保險人日期章戳</w:t>
            </w: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D0DCB4"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AF9C3C"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4009A880"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11990AC0" w14:textId="77777777">
        <w:trPr>
          <w:cantSplit/>
          <w:trHeight w:val="710"/>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6CC10F"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9314"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37498B"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3399" w:type="dxa"/>
            <w:gridSpan w:val="13"/>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0D4552" w14:textId="77777777" w:rsidR="00401786" w:rsidRPr="00F52432" w:rsidRDefault="00401786" w:rsidP="000E757E">
            <w:pPr>
              <w:snapToGrid w:val="0"/>
              <w:spacing w:line="240" w:lineRule="atLeast"/>
              <w:jc w:val="both"/>
              <w:rPr>
                <w:rFonts w:ascii="標楷體" w:eastAsia="標楷體" w:hAnsi="標楷體"/>
                <w:color w:val="000000"/>
                <w:szCs w:val="24"/>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291CF4" w14:textId="77777777" w:rsidR="00401786" w:rsidRPr="00F52432" w:rsidRDefault="00401786" w:rsidP="000E757E">
            <w:pPr>
              <w:snapToGrid w:val="0"/>
              <w:spacing w:line="240" w:lineRule="atLeast"/>
              <w:rPr>
                <w:rFonts w:ascii="標楷體" w:eastAsia="標楷體" w:hAnsi="標楷體" w:cs="標楷體"/>
                <w:color w:val="000000"/>
                <w:szCs w:val="24"/>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87F06"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273E06D6"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7E372174" w14:textId="77777777">
        <w:trPr>
          <w:cantSplit/>
          <w:trHeight w:val="838"/>
        </w:trPr>
        <w:tc>
          <w:tcPr>
            <w:tcW w:w="78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3E1468" w14:textId="77777777" w:rsidR="00401786" w:rsidRPr="00F52432" w:rsidRDefault="00C64FB3" w:rsidP="000E757E">
            <w:pPr>
              <w:snapToGrid w:val="0"/>
              <w:spacing w:line="240" w:lineRule="atLeast"/>
              <w:rPr>
                <w:szCs w:val="24"/>
              </w:rPr>
            </w:pPr>
            <w:proofErr w:type="gramStart"/>
            <w:r w:rsidRPr="00F52432">
              <w:rPr>
                <w:rFonts w:ascii="標楷體" w:eastAsia="標楷體" w:hAnsi="標楷體" w:cs="標楷體"/>
                <w:color w:val="000000"/>
                <w:szCs w:val="24"/>
              </w:rPr>
              <w:t>醫</w:t>
            </w:r>
            <w:proofErr w:type="gramEnd"/>
            <w:r w:rsidRPr="00F52432">
              <w:rPr>
                <w:rFonts w:ascii="標楷體" w:eastAsia="標楷體" w:hAnsi="標楷體" w:cs="標楷體"/>
                <w:color w:val="000000"/>
                <w:szCs w:val="24"/>
              </w:rPr>
              <w:t>事服務機構</w:t>
            </w:r>
          </w:p>
        </w:tc>
        <w:tc>
          <w:tcPr>
            <w:tcW w:w="8913"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A1BD82"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負責醫師申請日期：年月日</w:t>
            </w:r>
          </w:p>
          <w:p w14:paraId="4EF01B5D" w14:textId="77777777" w:rsidR="00401786" w:rsidRPr="00F52432" w:rsidRDefault="00401786" w:rsidP="000E757E">
            <w:pPr>
              <w:snapToGrid w:val="0"/>
              <w:spacing w:line="240" w:lineRule="atLeast"/>
              <w:rPr>
                <w:rFonts w:ascii="標楷體" w:eastAsia="標楷體" w:hAnsi="標楷體"/>
                <w:color w:val="000000"/>
                <w:szCs w:val="24"/>
              </w:rPr>
            </w:pPr>
          </w:p>
          <w:p w14:paraId="6C569147"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印信</w:t>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s="標楷體"/>
                <w:color w:val="000000"/>
                <w:szCs w:val="24"/>
              </w:rPr>
              <w:t>文號：</w:t>
            </w:r>
          </w:p>
        </w:tc>
        <w:tc>
          <w:tcPr>
            <w:tcW w:w="28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105078" w14:textId="77777777" w:rsidR="00401786" w:rsidRPr="00F52432" w:rsidRDefault="00C64FB3" w:rsidP="000E757E">
            <w:pPr>
              <w:widowControl/>
              <w:snapToGrid w:val="0"/>
              <w:spacing w:line="240" w:lineRule="atLeast"/>
              <w:rPr>
                <w:szCs w:val="24"/>
              </w:rPr>
            </w:pPr>
            <w:r w:rsidRPr="00F52432">
              <w:rPr>
                <w:rFonts w:ascii="標楷體" w:eastAsia="標楷體" w:hAnsi="標楷體" w:cs="標楷體"/>
                <w:color w:val="000000"/>
                <w:szCs w:val="24"/>
              </w:rPr>
              <w:t>承辦人</w:t>
            </w:r>
          </w:p>
        </w:tc>
        <w:tc>
          <w:tcPr>
            <w:tcW w:w="70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EBF937"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C482DB" w14:textId="77777777" w:rsidR="00401786" w:rsidRPr="00F52432" w:rsidRDefault="00C64FB3" w:rsidP="000E757E">
            <w:pPr>
              <w:widowControl/>
              <w:snapToGrid w:val="0"/>
              <w:spacing w:line="240" w:lineRule="atLeast"/>
              <w:rPr>
                <w:szCs w:val="24"/>
              </w:rPr>
            </w:pPr>
            <w:r w:rsidRPr="00F52432">
              <w:rPr>
                <w:rFonts w:ascii="標楷體" w:eastAsia="標楷體" w:hAnsi="標楷體" w:cs="標楷體"/>
                <w:color w:val="000000"/>
                <w:szCs w:val="24"/>
              </w:rPr>
              <w:t>複核</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DCD729" w14:textId="77777777" w:rsidR="00401786" w:rsidRPr="00F52432" w:rsidRDefault="00401786" w:rsidP="000E757E">
            <w:pPr>
              <w:widowControl/>
              <w:snapToGrid w:val="0"/>
              <w:spacing w:line="240" w:lineRule="atLeast"/>
              <w:rPr>
                <w:rFonts w:ascii="標楷體" w:eastAsia="標楷體" w:hAnsi="標楷體"/>
                <w:color w:val="000000"/>
                <w:szCs w:val="24"/>
              </w:rPr>
            </w:pPr>
          </w:p>
          <w:p w14:paraId="6737244C" w14:textId="77777777" w:rsidR="00401786" w:rsidRPr="00F52432" w:rsidRDefault="00401786" w:rsidP="000E757E">
            <w:pPr>
              <w:snapToGrid w:val="0"/>
              <w:spacing w:line="240" w:lineRule="atLeast"/>
              <w:rPr>
                <w:rFonts w:ascii="標楷體" w:eastAsia="標楷體" w:hAnsi="標楷體"/>
                <w:color w:val="000000"/>
                <w:szCs w:val="24"/>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7860BC"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科長</w:t>
            </w:r>
          </w:p>
        </w:tc>
        <w:tc>
          <w:tcPr>
            <w:tcW w:w="839"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23E012" w14:textId="77777777" w:rsidR="00401786" w:rsidRPr="00F52432" w:rsidRDefault="00401786" w:rsidP="000E757E">
            <w:pPr>
              <w:widowControl/>
              <w:snapToGrid w:val="0"/>
              <w:spacing w:line="240" w:lineRule="atLeast"/>
              <w:rPr>
                <w:rFonts w:ascii="標楷體" w:eastAsia="標楷體" w:hAnsi="標楷體"/>
                <w:color w:val="000000"/>
                <w:szCs w:val="24"/>
              </w:rPr>
            </w:pPr>
          </w:p>
          <w:p w14:paraId="3D57C8DD" w14:textId="77777777" w:rsidR="00401786" w:rsidRPr="00F52432" w:rsidRDefault="00401786" w:rsidP="000E757E">
            <w:pPr>
              <w:snapToGrid w:val="0"/>
              <w:spacing w:line="240" w:lineRule="atLeast"/>
              <w:rPr>
                <w:rFonts w:ascii="標楷體" w:eastAsia="標楷體" w:hAnsi="標楷體"/>
                <w:color w:val="000000"/>
                <w:szCs w:val="24"/>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C19435" w14:textId="77777777" w:rsidR="00401786" w:rsidRPr="00F52432" w:rsidRDefault="00C64FB3" w:rsidP="000E757E">
            <w:pPr>
              <w:widowControl/>
              <w:snapToGrid w:val="0"/>
              <w:spacing w:line="240" w:lineRule="atLeast"/>
              <w:rPr>
                <w:szCs w:val="24"/>
              </w:rPr>
            </w:pPr>
            <w:r w:rsidRPr="00F52432">
              <w:rPr>
                <w:rFonts w:ascii="標楷體" w:eastAsia="標楷體" w:hAnsi="標楷體" w:cs="標楷體"/>
                <w:color w:val="000000"/>
                <w:szCs w:val="24"/>
              </w:rPr>
              <w:t>決行</w:t>
            </w: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FB1DB" w14:textId="77777777" w:rsidR="00401786" w:rsidRPr="00F52432" w:rsidRDefault="00401786" w:rsidP="000E757E">
            <w:pPr>
              <w:snapToGrid w:val="0"/>
              <w:spacing w:line="240" w:lineRule="atLeast"/>
              <w:rPr>
                <w:rFonts w:ascii="標楷體" w:eastAsia="標楷體" w:hAnsi="標楷體"/>
                <w:color w:val="000000"/>
                <w:szCs w:val="24"/>
              </w:rPr>
            </w:pPr>
          </w:p>
        </w:tc>
      </w:tr>
    </w:tbl>
    <w:p w14:paraId="240B6BEF" w14:textId="77777777" w:rsidR="0016529A" w:rsidRDefault="0016529A" w:rsidP="000E757E">
      <w:pPr>
        <w:spacing w:line="240" w:lineRule="atLeast"/>
        <w:rPr>
          <w:vanish/>
        </w:rPr>
        <w:sectPr w:rsidR="0016529A">
          <w:headerReference w:type="default" r:id="rId38"/>
          <w:footerReference w:type="default" r:id="rId39"/>
          <w:pgSz w:w="16840" w:h="11907" w:orient="landscape"/>
          <w:pgMar w:top="720" w:right="720" w:bottom="720" w:left="720" w:header="720" w:footer="720" w:gutter="0"/>
          <w:cols w:space="720"/>
          <w:docGrid w:type="lines" w:linePitch="327"/>
        </w:sectPr>
      </w:pPr>
    </w:p>
    <w:tbl>
      <w:tblPr>
        <w:tblW w:w="14925" w:type="dxa"/>
        <w:tblInd w:w="-289" w:type="dxa"/>
        <w:tblLayout w:type="fixed"/>
        <w:tblCellMar>
          <w:left w:w="10" w:type="dxa"/>
          <w:right w:w="10" w:type="dxa"/>
        </w:tblCellMar>
        <w:tblLook w:val="0000" w:firstRow="0" w:lastRow="0" w:firstColumn="0" w:lastColumn="0" w:noHBand="0" w:noVBand="0"/>
      </w:tblPr>
      <w:tblGrid>
        <w:gridCol w:w="424"/>
        <w:gridCol w:w="554"/>
        <w:gridCol w:w="164"/>
        <w:gridCol w:w="569"/>
        <w:gridCol w:w="1318"/>
        <w:gridCol w:w="368"/>
        <w:gridCol w:w="1095"/>
        <w:gridCol w:w="754"/>
        <w:gridCol w:w="766"/>
        <w:gridCol w:w="584"/>
        <w:gridCol w:w="368"/>
        <w:gridCol w:w="1825"/>
        <w:gridCol w:w="709"/>
        <w:gridCol w:w="425"/>
        <w:gridCol w:w="417"/>
        <w:gridCol w:w="619"/>
        <w:gridCol w:w="138"/>
        <w:gridCol w:w="286"/>
        <w:gridCol w:w="206"/>
        <w:gridCol w:w="476"/>
        <w:gridCol w:w="144"/>
        <w:gridCol w:w="44"/>
        <w:gridCol w:w="396"/>
        <w:gridCol w:w="209"/>
        <w:gridCol w:w="335"/>
        <w:gridCol w:w="127"/>
        <w:gridCol w:w="283"/>
        <w:gridCol w:w="1282"/>
        <w:gridCol w:w="40"/>
      </w:tblGrid>
      <w:tr w:rsidR="00AF3846" w:rsidRPr="00F52432" w14:paraId="6A86184E" w14:textId="77777777" w:rsidTr="00844839">
        <w:trPr>
          <w:trHeight w:val="430"/>
        </w:trPr>
        <w:tc>
          <w:tcPr>
            <w:tcW w:w="9498" w:type="dxa"/>
            <w:gridSpan w:val="1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4E1D5C" w14:textId="77777777" w:rsidR="00AF3846" w:rsidRPr="005C51CB" w:rsidRDefault="00AF3846" w:rsidP="00F52432">
            <w:pPr>
              <w:pStyle w:val="ab"/>
              <w:spacing w:line="300" w:lineRule="exact"/>
              <w:ind w:left="527" w:hanging="280"/>
              <w:rPr>
                <w:rFonts w:ascii="標楷體" w:eastAsia="標楷體" w:hAnsi="標楷體"/>
                <w:b/>
                <w:bCs/>
              </w:rPr>
            </w:pPr>
            <w:r w:rsidRPr="005C51CB">
              <w:rPr>
                <w:rFonts w:ascii="標楷體" w:eastAsia="標楷體" w:hAnsi="標楷體" w:cs="Arial"/>
                <w:b/>
                <w:bCs/>
              </w:rPr>
              <w:lastRenderedPageBreak/>
              <w:t>附表二十九之</w:t>
            </w:r>
            <w:proofErr w:type="gramStart"/>
            <w:r w:rsidRPr="005C51CB">
              <w:rPr>
                <w:rFonts w:ascii="標楷體" w:eastAsia="標楷體" w:hAnsi="標楷體" w:cs="Arial"/>
                <w:b/>
                <w:bCs/>
              </w:rPr>
              <w:t>一</w:t>
            </w:r>
            <w:proofErr w:type="gramEnd"/>
            <w:r w:rsidRPr="005C51CB">
              <w:rPr>
                <w:rFonts w:ascii="標楷體" w:eastAsia="標楷體" w:hAnsi="標楷體" w:cs="Arial"/>
                <w:b/>
                <w:bCs/>
              </w:rPr>
              <w:t xml:space="preserve"> 全民健康保險新生血管抑制劑(Anti-angiogenic agents)</w:t>
            </w:r>
          </w:p>
          <w:p w14:paraId="19C9272B" w14:textId="77777777" w:rsidR="00AF3846" w:rsidRPr="00F52432" w:rsidRDefault="00AF3846" w:rsidP="005C51CB">
            <w:pPr>
              <w:pStyle w:val="ab"/>
              <w:spacing w:line="300" w:lineRule="exact"/>
              <w:ind w:left="277" w:hanging="30"/>
              <w:rPr>
                <w:rFonts w:ascii="標楷體" w:eastAsia="標楷體" w:hAnsi="標楷體"/>
              </w:rPr>
            </w:pPr>
            <w:r w:rsidRPr="005C51CB">
              <w:rPr>
                <w:rFonts w:ascii="標楷體" w:eastAsia="標楷體" w:hAnsi="標楷體" w:cs="Arial"/>
                <w:b/>
                <w:bCs/>
              </w:rPr>
              <w:t xml:space="preserve"> 事前審查申請表(DME、CRVO、CNV、BRVO)</w:t>
            </w:r>
          </w:p>
        </w:tc>
        <w:tc>
          <w:tcPr>
            <w:tcW w:w="2091" w:type="dxa"/>
            <w:gridSpan w:val="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F060CE"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□送核</w:t>
            </w:r>
          </w:p>
          <w:p w14:paraId="24BEA3EB"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□申覆</w:t>
            </w:r>
          </w:p>
        </w:tc>
        <w:tc>
          <w:tcPr>
            <w:tcW w:w="47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A3231F"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受</w:t>
            </w:r>
          </w:p>
          <w:p w14:paraId="4D87314E"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理</w:t>
            </w:r>
          </w:p>
        </w:tc>
        <w:tc>
          <w:tcPr>
            <w:tcW w:w="7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7B5D65"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日期</w:t>
            </w:r>
          </w:p>
        </w:tc>
        <w:tc>
          <w:tcPr>
            <w:tcW w:w="202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5BAC049" w14:textId="77777777" w:rsidR="00AF3846" w:rsidRPr="00F52432" w:rsidRDefault="00AF3846" w:rsidP="00F52432">
            <w:pPr>
              <w:pStyle w:val="ab"/>
              <w:spacing w:line="300" w:lineRule="exact"/>
              <w:ind w:left="527" w:hanging="280"/>
              <w:rPr>
                <w:rFonts w:ascii="標楷體" w:eastAsia="標楷體" w:hAnsi="標楷體"/>
              </w:rPr>
            </w:pPr>
          </w:p>
        </w:tc>
        <w:tc>
          <w:tcPr>
            <w:tcW w:w="40" w:type="dxa"/>
            <w:shd w:val="clear" w:color="auto" w:fill="auto"/>
            <w:tcMar>
              <w:top w:w="0" w:type="dxa"/>
              <w:left w:w="10" w:type="dxa"/>
              <w:bottom w:w="0" w:type="dxa"/>
              <w:right w:w="10" w:type="dxa"/>
            </w:tcMar>
          </w:tcPr>
          <w:p w14:paraId="786F8D21"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076C5EF6" w14:textId="77777777" w:rsidTr="00844839">
        <w:trPr>
          <w:trHeight w:val="269"/>
        </w:trPr>
        <w:tc>
          <w:tcPr>
            <w:tcW w:w="9498" w:type="dxa"/>
            <w:gridSpan w:val="13"/>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5F6923" w14:textId="77777777" w:rsidR="00AF3846" w:rsidRPr="00F52432" w:rsidRDefault="00AF3846" w:rsidP="00F52432">
            <w:pPr>
              <w:widowControl/>
              <w:spacing w:line="300" w:lineRule="exact"/>
              <w:rPr>
                <w:rFonts w:ascii="標楷體" w:eastAsia="標楷體" w:hAnsi="標楷體"/>
                <w:szCs w:val="24"/>
              </w:rPr>
            </w:pPr>
          </w:p>
        </w:tc>
        <w:tc>
          <w:tcPr>
            <w:tcW w:w="2091" w:type="dxa"/>
            <w:gridSpan w:val="6"/>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85146C6" w14:textId="77777777" w:rsidR="00AF3846" w:rsidRPr="00F52432" w:rsidRDefault="00AF3846" w:rsidP="00F52432">
            <w:pPr>
              <w:widowControl/>
              <w:spacing w:line="300" w:lineRule="exact"/>
              <w:rPr>
                <w:rFonts w:ascii="標楷體" w:eastAsia="標楷體" w:hAnsi="標楷體"/>
                <w:szCs w:val="24"/>
              </w:rPr>
            </w:pPr>
          </w:p>
        </w:tc>
        <w:tc>
          <w:tcPr>
            <w:tcW w:w="4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114D25A" w14:textId="77777777" w:rsidR="00AF3846" w:rsidRPr="00F52432" w:rsidRDefault="00AF3846" w:rsidP="00F52432">
            <w:pPr>
              <w:widowControl/>
              <w:spacing w:line="300" w:lineRule="exact"/>
              <w:rPr>
                <w:rFonts w:ascii="標楷體" w:eastAsia="標楷體" w:hAnsi="標楷體"/>
                <w:szCs w:val="24"/>
              </w:rPr>
            </w:pPr>
          </w:p>
        </w:tc>
        <w:tc>
          <w:tcPr>
            <w:tcW w:w="7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6D697EB"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編號</w:t>
            </w:r>
          </w:p>
        </w:tc>
        <w:tc>
          <w:tcPr>
            <w:tcW w:w="202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8EE851" w14:textId="77777777" w:rsidR="00AF3846" w:rsidRPr="00F52432" w:rsidRDefault="00AF3846" w:rsidP="00F52432">
            <w:pPr>
              <w:pStyle w:val="ab"/>
              <w:spacing w:line="300" w:lineRule="exact"/>
              <w:ind w:left="527" w:hanging="280"/>
              <w:rPr>
                <w:rFonts w:ascii="標楷體" w:eastAsia="標楷體" w:hAnsi="標楷體"/>
              </w:rPr>
            </w:pPr>
          </w:p>
        </w:tc>
        <w:tc>
          <w:tcPr>
            <w:tcW w:w="40" w:type="dxa"/>
            <w:shd w:val="clear" w:color="auto" w:fill="auto"/>
            <w:tcMar>
              <w:top w:w="0" w:type="dxa"/>
              <w:left w:w="10" w:type="dxa"/>
              <w:bottom w:w="0" w:type="dxa"/>
              <w:right w:w="10" w:type="dxa"/>
            </w:tcMar>
          </w:tcPr>
          <w:p w14:paraId="32732C04"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27B34A8D" w14:textId="77777777" w:rsidTr="00844839">
        <w:trPr>
          <w:trHeight w:val="231"/>
        </w:trPr>
        <w:tc>
          <w:tcPr>
            <w:tcW w:w="42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83BE1C" w14:textId="6F0880E0" w:rsidR="00AF3846" w:rsidRPr="00F52432" w:rsidRDefault="00AF3846" w:rsidP="00F52432">
            <w:pPr>
              <w:pStyle w:val="ab"/>
              <w:spacing w:line="300" w:lineRule="exact"/>
              <w:ind w:left="527" w:hanging="504"/>
              <w:jc w:val="center"/>
              <w:rPr>
                <w:rFonts w:ascii="標楷體" w:eastAsia="標楷體" w:hAnsi="標楷體"/>
              </w:rPr>
            </w:pPr>
            <w:r w:rsidRPr="00F52432">
              <w:rPr>
                <w:noProof/>
              </w:rPr>
              <mc:AlternateContent>
                <mc:Choice Requires="wps">
                  <w:drawing>
                    <wp:anchor distT="0" distB="0" distL="114297" distR="114297" simplePos="0" relativeHeight="251683840" behindDoc="0" locked="0" layoutInCell="1" allowOverlap="1" wp14:anchorId="4114ADCA" wp14:editId="47DC71DA">
                      <wp:simplePos x="0" y="0"/>
                      <wp:positionH relativeFrom="column">
                        <wp:posOffset>-7621</wp:posOffset>
                      </wp:positionH>
                      <wp:positionV relativeFrom="paragraph">
                        <wp:posOffset>191770</wp:posOffset>
                      </wp:positionV>
                      <wp:extent cx="0" cy="27940"/>
                      <wp:effectExtent l="0" t="0" r="38100" b="29210"/>
                      <wp:wrapNone/>
                      <wp:docPr id="31" name="直線單箭頭接點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940"/>
                              </a:xfrm>
                              <a:prstGeom prst="straightConnector1">
                                <a:avLst/>
                              </a:prstGeom>
                              <a:noFill/>
                              <a:ln w="9363" cap="flat">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type w14:anchorId="0AAA2B31" id="_x0000_t32" coordsize="21600,21600" o:spt="32" o:oned="t" path="m,l21600,21600e" filled="f">
                      <v:path arrowok="t" fillok="f" o:connecttype="none"/>
                      <o:lock v:ext="edit" shapetype="t"/>
                    </v:shapetype>
                    <v:shape id="直線單箭頭接點 31" o:spid="_x0000_s1026" type="#_x0000_t32" style="position:absolute;margin-left:-.6pt;margin-top:15.1pt;width:0;height:2.2pt;z-index:2516838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" strokeweight=".26008mm">
                      <o:lock v:ext="edit" shapetype="f"/>
                    </v:shape>
                  </w:pict>
                </mc:Fallback>
              </mc:AlternateContent>
            </w:r>
            <w:proofErr w:type="gramStart"/>
            <w:r w:rsidRPr="00F52432">
              <w:rPr>
                <w:rFonts w:ascii="標楷體" w:eastAsia="標楷體" w:hAnsi="標楷體"/>
              </w:rPr>
              <w:t>醫</w:t>
            </w:r>
            <w:proofErr w:type="gramEnd"/>
          </w:p>
          <w:p w14:paraId="50212198" w14:textId="77777777" w:rsidR="00AF3846" w:rsidRPr="00F52432" w:rsidRDefault="00AF3846" w:rsidP="00F52432">
            <w:pPr>
              <w:pStyle w:val="ab"/>
              <w:spacing w:line="300" w:lineRule="exact"/>
              <w:ind w:left="527" w:hanging="504"/>
              <w:jc w:val="center"/>
              <w:rPr>
                <w:rFonts w:ascii="標楷體" w:eastAsia="標楷體" w:hAnsi="標楷體"/>
              </w:rPr>
            </w:pPr>
            <w:proofErr w:type="gramStart"/>
            <w:r w:rsidRPr="00F52432">
              <w:rPr>
                <w:rFonts w:ascii="標楷體" w:eastAsia="標楷體" w:hAnsi="標楷體"/>
              </w:rPr>
              <w:t>療</w:t>
            </w:r>
            <w:proofErr w:type="gramEnd"/>
          </w:p>
          <w:p w14:paraId="2212B3DD"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機</w:t>
            </w:r>
          </w:p>
          <w:p w14:paraId="428AF17D"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構</w:t>
            </w:r>
          </w:p>
        </w:tc>
        <w:tc>
          <w:tcPr>
            <w:tcW w:w="55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5F17D5"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名稱</w:t>
            </w:r>
          </w:p>
        </w:tc>
        <w:tc>
          <w:tcPr>
            <w:tcW w:w="20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62234E6" w14:textId="77777777" w:rsidR="00AF3846" w:rsidRPr="00F52432" w:rsidRDefault="00AF3846" w:rsidP="00F52432">
            <w:pPr>
              <w:pStyle w:val="ab"/>
              <w:spacing w:line="300" w:lineRule="exact"/>
              <w:ind w:left="527" w:hanging="280"/>
              <w:rPr>
                <w:rFonts w:ascii="標楷體" w:eastAsia="標楷體" w:hAnsi="標楷體"/>
              </w:rPr>
            </w:pPr>
          </w:p>
        </w:tc>
        <w:tc>
          <w:tcPr>
            <w:tcW w:w="3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9543253" w14:textId="77777777" w:rsidR="00AF3846" w:rsidRPr="00F52432" w:rsidRDefault="00AF3846" w:rsidP="00F52432">
            <w:pPr>
              <w:pStyle w:val="ab"/>
              <w:spacing w:line="300" w:lineRule="exact"/>
              <w:jc w:val="center"/>
              <w:rPr>
                <w:rFonts w:ascii="標楷體" w:eastAsia="標楷體" w:hAnsi="標楷體"/>
              </w:rPr>
            </w:pPr>
            <w:r w:rsidRPr="00F52432">
              <w:rPr>
                <w:rFonts w:ascii="標楷體" w:eastAsia="標楷體" w:hAnsi="標楷體" w:cs="標楷體"/>
              </w:rPr>
              <w:t>保</w:t>
            </w:r>
          </w:p>
          <w:p w14:paraId="1E1B5AAB" w14:textId="77777777" w:rsidR="00AF3846" w:rsidRPr="00F52432" w:rsidRDefault="00AF3846" w:rsidP="00F52432">
            <w:pPr>
              <w:pStyle w:val="ab"/>
              <w:spacing w:line="300" w:lineRule="exact"/>
              <w:jc w:val="center"/>
              <w:rPr>
                <w:rFonts w:ascii="標楷體" w:eastAsia="標楷體" w:hAnsi="標楷體"/>
              </w:rPr>
            </w:pPr>
            <w:r w:rsidRPr="00F52432">
              <w:rPr>
                <w:rFonts w:ascii="標楷體" w:eastAsia="標楷體" w:hAnsi="標楷體" w:cs="標楷體"/>
              </w:rPr>
              <w:t>險對</w:t>
            </w:r>
          </w:p>
          <w:p w14:paraId="1A7214A9" w14:textId="77777777" w:rsidR="00AF3846" w:rsidRPr="00F52432" w:rsidRDefault="00AF3846" w:rsidP="00F52432">
            <w:pPr>
              <w:pStyle w:val="ab"/>
              <w:spacing w:line="300" w:lineRule="exact"/>
              <w:jc w:val="center"/>
              <w:rPr>
                <w:rFonts w:ascii="標楷體" w:eastAsia="標楷體" w:hAnsi="標楷體"/>
              </w:rPr>
            </w:pPr>
            <w:proofErr w:type="gramStart"/>
            <w:r w:rsidRPr="00F52432">
              <w:rPr>
                <w:rFonts w:ascii="標楷體" w:eastAsia="標楷體" w:hAnsi="標楷體" w:cs="標楷體"/>
              </w:rPr>
              <w:t>象</w:t>
            </w:r>
            <w:proofErr w:type="gramEnd"/>
          </w:p>
        </w:tc>
        <w:tc>
          <w:tcPr>
            <w:tcW w:w="109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8F5643" w14:textId="77777777" w:rsidR="00AF3846" w:rsidRPr="00F52432" w:rsidRDefault="00AF3846" w:rsidP="00F52432">
            <w:pPr>
              <w:pStyle w:val="ab"/>
              <w:spacing w:line="300" w:lineRule="exact"/>
              <w:ind w:left="527" w:hanging="280"/>
              <w:jc w:val="center"/>
              <w:rPr>
                <w:rFonts w:ascii="標楷體" w:eastAsia="標楷體" w:hAnsi="標楷體"/>
              </w:rPr>
            </w:pPr>
            <w:r w:rsidRPr="00F52432">
              <w:rPr>
                <w:rFonts w:ascii="標楷體" w:eastAsia="標楷體" w:hAnsi="標楷體" w:cs="標楷體"/>
              </w:rPr>
              <w:t>姓名</w:t>
            </w:r>
          </w:p>
        </w:tc>
        <w:tc>
          <w:tcPr>
            <w:tcW w:w="15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6ED0B08" w14:textId="77777777" w:rsidR="00AF3846" w:rsidRPr="00F52432" w:rsidRDefault="00AF3846" w:rsidP="00F52432">
            <w:pPr>
              <w:pStyle w:val="ab"/>
              <w:spacing w:line="300" w:lineRule="exact"/>
              <w:ind w:left="527" w:hanging="280"/>
              <w:rPr>
                <w:rFonts w:ascii="標楷體" w:eastAsia="標楷體" w:hAnsi="標楷體"/>
              </w:rPr>
            </w:pPr>
          </w:p>
        </w:tc>
        <w:tc>
          <w:tcPr>
            <w:tcW w:w="5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CCD858"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出生</w:t>
            </w:r>
          </w:p>
          <w:p w14:paraId="239488C7"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日期</w:t>
            </w:r>
          </w:p>
        </w:tc>
        <w:tc>
          <w:tcPr>
            <w:tcW w:w="21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45007D9"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 xml:space="preserve">   年   月   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49C33B" w14:textId="77777777" w:rsidR="00AF3846" w:rsidRPr="00F52432" w:rsidRDefault="00AF3846" w:rsidP="00F52432">
            <w:pPr>
              <w:pStyle w:val="ab"/>
              <w:spacing w:line="300" w:lineRule="exact"/>
              <w:ind w:left="8"/>
              <w:rPr>
                <w:rFonts w:ascii="標楷體" w:eastAsia="標楷體" w:hAnsi="標楷體" w:cs="標楷體"/>
              </w:rPr>
            </w:pPr>
            <w:r w:rsidRPr="00F52432">
              <w:rPr>
                <w:rFonts w:ascii="標楷體" w:eastAsia="標楷體" w:hAnsi="標楷體" w:cs="標楷體"/>
              </w:rPr>
              <w:t>原受理</w:t>
            </w:r>
          </w:p>
          <w:p w14:paraId="71D39F7F"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編號</w:t>
            </w:r>
          </w:p>
        </w:tc>
        <w:tc>
          <w:tcPr>
            <w:tcW w:w="159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E9ACF02" w14:textId="77777777" w:rsidR="00AF3846" w:rsidRPr="00F52432" w:rsidRDefault="00AF3846" w:rsidP="00F52432">
            <w:pPr>
              <w:pStyle w:val="ab"/>
              <w:spacing w:line="300" w:lineRule="exact"/>
              <w:ind w:left="527" w:hanging="280"/>
              <w:rPr>
                <w:rFonts w:ascii="標楷體" w:eastAsia="標楷體" w:hAnsi="標楷體"/>
              </w:rPr>
            </w:pPr>
          </w:p>
        </w:tc>
        <w:tc>
          <w:tcPr>
            <w:tcW w:w="115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0473F0" w14:textId="77777777" w:rsidR="00AF3846" w:rsidRPr="00F52432" w:rsidRDefault="00AF3846" w:rsidP="00F52432">
            <w:pPr>
              <w:pStyle w:val="ab"/>
              <w:spacing w:line="300" w:lineRule="exact"/>
              <w:ind w:firstLine="8"/>
              <w:jc w:val="center"/>
              <w:rPr>
                <w:rFonts w:ascii="標楷體" w:eastAsia="標楷體" w:hAnsi="標楷體" w:cs="標楷體"/>
              </w:rPr>
            </w:pPr>
            <w:r w:rsidRPr="00F52432">
              <w:rPr>
                <w:rFonts w:ascii="標楷體" w:eastAsia="標楷體" w:hAnsi="標楷體" w:cs="標楷體"/>
              </w:rPr>
              <w:t>預定實施日期</w:t>
            </w:r>
          </w:p>
        </w:tc>
        <w:tc>
          <w:tcPr>
            <w:tcW w:w="2632"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E0B3D3"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 xml:space="preserve">     年    月    日</w:t>
            </w:r>
          </w:p>
        </w:tc>
        <w:tc>
          <w:tcPr>
            <w:tcW w:w="40" w:type="dxa"/>
            <w:shd w:val="clear" w:color="auto" w:fill="auto"/>
            <w:tcMar>
              <w:top w:w="0" w:type="dxa"/>
              <w:left w:w="10" w:type="dxa"/>
              <w:bottom w:w="0" w:type="dxa"/>
              <w:right w:w="10" w:type="dxa"/>
            </w:tcMar>
          </w:tcPr>
          <w:p w14:paraId="6C5F8662"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339EBD5E" w14:textId="77777777" w:rsidTr="00844839">
        <w:trPr>
          <w:trHeight w:val="923"/>
        </w:trPr>
        <w:tc>
          <w:tcPr>
            <w:tcW w:w="42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43FBAE5" w14:textId="77777777" w:rsidR="00AF3846" w:rsidRPr="00F52432" w:rsidRDefault="00AF3846" w:rsidP="00F52432">
            <w:pPr>
              <w:widowControl/>
              <w:spacing w:line="300" w:lineRule="exact"/>
              <w:rPr>
                <w:rFonts w:ascii="標楷體" w:eastAsia="標楷體" w:hAnsi="標楷體"/>
                <w:szCs w:val="24"/>
              </w:rPr>
            </w:pPr>
          </w:p>
        </w:tc>
        <w:tc>
          <w:tcPr>
            <w:tcW w:w="55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F1BB75"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代號</w:t>
            </w:r>
          </w:p>
        </w:tc>
        <w:tc>
          <w:tcPr>
            <w:tcW w:w="20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B1504B" w14:textId="77777777" w:rsidR="00AF3846" w:rsidRPr="00F52432" w:rsidRDefault="00AF3846" w:rsidP="00F52432">
            <w:pPr>
              <w:pStyle w:val="ab"/>
              <w:spacing w:line="300" w:lineRule="exact"/>
              <w:ind w:left="527" w:hanging="280"/>
              <w:rPr>
                <w:rFonts w:ascii="標楷體" w:eastAsia="標楷體" w:hAnsi="標楷體"/>
              </w:rPr>
            </w:pPr>
          </w:p>
        </w:tc>
        <w:tc>
          <w:tcPr>
            <w:tcW w:w="3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4623075" w14:textId="77777777" w:rsidR="00AF3846" w:rsidRPr="00F52432" w:rsidRDefault="00AF3846" w:rsidP="00F52432">
            <w:pPr>
              <w:widowControl/>
              <w:spacing w:line="300" w:lineRule="exact"/>
              <w:rPr>
                <w:rFonts w:ascii="標楷體" w:eastAsia="標楷體" w:hAnsi="標楷體"/>
                <w:szCs w:val="24"/>
              </w:rPr>
            </w:pPr>
          </w:p>
        </w:tc>
        <w:tc>
          <w:tcPr>
            <w:tcW w:w="109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E99880" w14:textId="77777777" w:rsidR="00AF3846" w:rsidRPr="00F52432" w:rsidRDefault="00AF3846" w:rsidP="00F52432">
            <w:pPr>
              <w:pStyle w:val="ab"/>
              <w:spacing w:line="300" w:lineRule="exact"/>
              <w:ind w:left="527" w:hanging="519"/>
              <w:jc w:val="center"/>
              <w:rPr>
                <w:rFonts w:ascii="標楷體" w:eastAsia="標楷體" w:hAnsi="標楷體"/>
              </w:rPr>
            </w:pPr>
            <w:r w:rsidRPr="00F52432">
              <w:rPr>
                <w:rFonts w:ascii="標楷體" w:eastAsia="標楷體" w:hAnsi="標楷體" w:cs="標楷體"/>
              </w:rPr>
              <w:t>身分證</w:t>
            </w:r>
          </w:p>
          <w:p w14:paraId="2D8C2F7B" w14:textId="77777777" w:rsidR="00AF3846" w:rsidRPr="00F52432" w:rsidRDefault="00AF3846" w:rsidP="00F52432">
            <w:pPr>
              <w:pStyle w:val="ab"/>
              <w:spacing w:line="300" w:lineRule="exact"/>
              <w:ind w:left="527" w:hanging="519"/>
              <w:jc w:val="center"/>
              <w:rPr>
                <w:rFonts w:ascii="標楷體" w:eastAsia="標楷體" w:hAnsi="標楷體"/>
              </w:rPr>
            </w:pPr>
            <w:r w:rsidRPr="00F52432">
              <w:rPr>
                <w:rFonts w:ascii="標楷體" w:eastAsia="標楷體" w:hAnsi="標楷體" w:cs="標楷體"/>
              </w:rPr>
              <w:t>統一編號</w:t>
            </w:r>
          </w:p>
        </w:tc>
        <w:tc>
          <w:tcPr>
            <w:tcW w:w="210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606585F" w14:textId="77777777" w:rsidR="00AF3846" w:rsidRPr="00F52432" w:rsidRDefault="00AF3846" w:rsidP="00F52432">
            <w:pPr>
              <w:pStyle w:val="ab"/>
              <w:spacing w:line="300" w:lineRule="exact"/>
              <w:ind w:left="527" w:hanging="280"/>
              <w:rPr>
                <w:rFonts w:ascii="標楷體" w:eastAsia="標楷體" w:hAnsi="標楷體"/>
              </w:rPr>
            </w:pPr>
          </w:p>
        </w:tc>
        <w:tc>
          <w:tcPr>
            <w:tcW w:w="3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C793AC8"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科</w:t>
            </w:r>
          </w:p>
          <w:p w14:paraId="01D0F7AE"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別</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8BA8CC7" w14:textId="77777777" w:rsidR="00AF3846" w:rsidRPr="00F52432" w:rsidRDefault="00AF3846" w:rsidP="00F52432">
            <w:pPr>
              <w:pStyle w:val="ab"/>
              <w:spacing w:line="300" w:lineRule="exact"/>
              <w:ind w:left="527" w:hanging="280"/>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7B77B79"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rPr>
              <w:t xml:space="preserve">□ 門診  </w:t>
            </w:r>
          </w:p>
          <w:p w14:paraId="15089EE3"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cs="標楷體"/>
              </w:rPr>
              <w:t xml:space="preserve">□ </w:t>
            </w:r>
            <w:r w:rsidRPr="00F52432">
              <w:rPr>
                <w:rFonts w:ascii="標楷體" w:eastAsia="標楷體" w:hAnsi="標楷體"/>
              </w:rPr>
              <w:t>住院</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6C41A59" w14:textId="77777777" w:rsidR="00AF3846" w:rsidRPr="00F52432" w:rsidRDefault="00AF3846" w:rsidP="00F52432">
            <w:pPr>
              <w:pStyle w:val="ab"/>
              <w:spacing w:line="300" w:lineRule="exact"/>
              <w:ind w:left="51" w:hanging="52"/>
              <w:rPr>
                <w:rFonts w:ascii="標楷體" w:eastAsia="標楷體" w:hAnsi="標楷體" w:cs="標楷體"/>
              </w:rPr>
            </w:pPr>
            <w:r w:rsidRPr="00F52432">
              <w:rPr>
                <w:rFonts w:ascii="標楷體" w:eastAsia="標楷體" w:hAnsi="標楷體" w:cs="標楷體"/>
              </w:rPr>
              <w:t>病歷號碼</w:t>
            </w:r>
          </w:p>
        </w:tc>
        <w:tc>
          <w:tcPr>
            <w:tcW w:w="124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337E6F" w14:textId="77777777" w:rsidR="00AF3846" w:rsidRPr="00F52432" w:rsidRDefault="00AF3846" w:rsidP="00F52432">
            <w:pPr>
              <w:pStyle w:val="ab"/>
              <w:spacing w:line="300" w:lineRule="exact"/>
              <w:ind w:left="527" w:hanging="280"/>
              <w:rPr>
                <w:rFonts w:ascii="標楷體" w:eastAsia="標楷體" w:hAnsi="標楷體"/>
              </w:rPr>
            </w:pPr>
          </w:p>
        </w:tc>
        <w:tc>
          <w:tcPr>
            <w:tcW w:w="160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862158" w14:textId="77777777" w:rsidR="00AF3846" w:rsidRPr="00F52432" w:rsidRDefault="00AF3846" w:rsidP="00F52432">
            <w:pPr>
              <w:pStyle w:val="ab"/>
              <w:spacing w:line="300" w:lineRule="exact"/>
              <w:ind w:left="527" w:hanging="489"/>
              <w:rPr>
                <w:rFonts w:ascii="標楷體" w:eastAsia="標楷體" w:hAnsi="標楷體"/>
              </w:rPr>
            </w:pPr>
            <w:r w:rsidRPr="00F52432">
              <w:rPr>
                <w:rFonts w:ascii="標楷體" w:eastAsia="標楷體" w:hAnsi="標楷體"/>
              </w:rPr>
              <w:t>申請醫師姓名</w:t>
            </w:r>
          </w:p>
          <w:p w14:paraId="0ABA0F94"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身分證號</w:t>
            </w:r>
          </w:p>
        </w:tc>
        <w:tc>
          <w:tcPr>
            <w:tcW w:w="16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EF455BE" w14:textId="77777777" w:rsidR="00AF3846" w:rsidRPr="00F52432" w:rsidRDefault="00AF3846" w:rsidP="00F52432">
            <w:pPr>
              <w:pStyle w:val="ab"/>
              <w:spacing w:line="300" w:lineRule="exact"/>
              <w:ind w:left="527" w:hanging="280"/>
              <w:rPr>
                <w:rFonts w:ascii="標楷體" w:eastAsia="標楷體" w:hAnsi="標楷體"/>
              </w:rPr>
            </w:pPr>
          </w:p>
        </w:tc>
        <w:tc>
          <w:tcPr>
            <w:tcW w:w="40" w:type="dxa"/>
            <w:shd w:val="clear" w:color="auto" w:fill="auto"/>
            <w:tcMar>
              <w:top w:w="0" w:type="dxa"/>
              <w:left w:w="10" w:type="dxa"/>
              <w:bottom w:w="0" w:type="dxa"/>
              <w:right w:w="10" w:type="dxa"/>
            </w:tcMar>
          </w:tcPr>
          <w:p w14:paraId="1E8A1D9C"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4C69F7B2" w14:textId="77777777" w:rsidTr="00844839">
        <w:trPr>
          <w:trHeight w:val="848"/>
        </w:trPr>
        <w:tc>
          <w:tcPr>
            <w:tcW w:w="1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D394DD" w14:textId="77777777" w:rsidR="00AF3846" w:rsidRPr="00F52432" w:rsidRDefault="00AF3846" w:rsidP="00F52432">
            <w:pPr>
              <w:pStyle w:val="ab"/>
              <w:spacing w:line="300" w:lineRule="exact"/>
              <w:ind w:left="527" w:hanging="523"/>
              <w:rPr>
                <w:rFonts w:ascii="標楷體" w:eastAsia="標楷體" w:hAnsi="標楷體"/>
              </w:rPr>
            </w:pPr>
            <w:r w:rsidRPr="00F52432">
              <w:rPr>
                <w:rFonts w:ascii="標楷體" w:eastAsia="標楷體" w:hAnsi="標楷體"/>
              </w:rPr>
              <w:t>ICD-10-CM代碼</w:t>
            </w:r>
          </w:p>
        </w:tc>
        <w:tc>
          <w:tcPr>
            <w:tcW w:w="7078"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02DAB2"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w:t>
            </w:r>
            <w:r w:rsidRPr="00F52432">
              <w:rPr>
                <w:rFonts w:ascii="標楷體" w:eastAsia="標楷體" w:hAnsi="標楷體" w:cs="Arial"/>
              </w:rPr>
              <w:t>DME:</w:t>
            </w:r>
            <w:r w:rsidRPr="00F52432">
              <w:rPr>
                <w:rFonts w:ascii="標楷體" w:eastAsia="標楷體" w:hAnsi="標楷體"/>
              </w:rPr>
              <w:t>__________________　　 □</w:t>
            </w:r>
            <w:r w:rsidRPr="00F52432">
              <w:rPr>
                <w:rFonts w:ascii="標楷體" w:eastAsia="標楷體" w:hAnsi="標楷體" w:cs="Arial"/>
              </w:rPr>
              <w:t>CNV:</w:t>
            </w:r>
            <w:r w:rsidRPr="00F52432">
              <w:rPr>
                <w:rFonts w:ascii="標楷體" w:eastAsia="標楷體" w:hAnsi="標楷體"/>
              </w:rPr>
              <w:t>___________________</w:t>
            </w:r>
          </w:p>
          <w:p w14:paraId="1B8CB49C" w14:textId="77777777" w:rsidR="00AF3846" w:rsidRPr="00F52432" w:rsidRDefault="00AF3846" w:rsidP="00F52432">
            <w:pPr>
              <w:pStyle w:val="ab"/>
              <w:tabs>
                <w:tab w:val="left" w:pos="3916"/>
              </w:tabs>
              <w:spacing w:line="300" w:lineRule="exact"/>
              <w:ind w:left="527" w:hanging="280"/>
              <w:rPr>
                <w:rFonts w:ascii="標楷體" w:eastAsia="標楷體" w:hAnsi="標楷體"/>
              </w:rPr>
            </w:pPr>
            <w:r w:rsidRPr="00F52432">
              <w:rPr>
                <w:rFonts w:ascii="標楷體" w:eastAsia="標楷體" w:hAnsi="標楷體"/>
              </w:rPr>
              <w:t>□</w:t>
            </w:r>
            <w:r w:rsidRPr="00F52432">
              <w:rPr>
                <w:rFonts w:ascii="標楷體" w:eastAsia="標楷體" w:hAnsi="標楷體" w:cs="Arial"/>
              </w:rPr>
              <w:t>CRVO:</w:t>
            </w:r>
            <w:r w:rsidRPr="00F52432">
              <w:rPr>
                <w:rFonts w:ascii="標楷體" w:eastAsia="標楷體" w:hAnsi="標楷體"/>
              </w:rPr>
              <w:t>___________________　□</w:t>
            </w:r>
            <w:r w:rsidRPr="00F52432">
              <w:rPr>
                <w:rFonts w:ascii="標楷體" w:eastAsia="標楷體" w:hAnsi="標楷體" w:cs="Arial"/>
              </w:rPr>
              <w:t>BRVO:</w:t>
            </w:r>
            <w:r w:rsidRPr="00F52432">
              <w:rPr>
                <w:rFonts w:ascii="標楷體" w:eastAsia="標楷體" w:hAnsi="標楷體"/>
              </w:rPr>
              <w:t xml:space="preserve">___________________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F98542"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cs="標楷體"/>
              </w:rPr>
              <w:t>使用日期</w:t>
            </w:r>
          </w:p>
        </w:tc>
        <w:tc>
          <w:tcPr>
            <w:tcW w:w="5387" w:type="dxa"/>
            <w:gridSpan w:val="15"/>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227A24D9"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 xml:space="preserve">     年    月    日至     年    月    日</w:t>
            </w:r>
          </w:p>
        </w:tc>
        <w:tc>
          <w:tcPr>
            <w:tcW w:w="40" w:type="dxa"/>
            <w:shd w:val="clear" w:color="auto" w:fill="auto"/>
            <w:tcMar>
              <w:top w:w="0" w:type="dxa"/>
              <w:left w:w="10" w:type="dxa"/>
              <w:bottom w:w="0" w:type="dxa"/>
              <w:right w:w="10" w:type="dxa"/>
            </w:tcMar>
          </w:tcPr>
          <w:p w14:paraId="42E453A7"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0C08624C" w14:textId="77777777" w:rsidTr="00844839">
        <w:trPr>
          <w:trHeight w:val="300"/>
        </w:trPr>
        <w:tc>
          <w:tcPr>
            <w:tcW w:w="1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505330" w14:textId="77777777" w:rsidR="00AF3846" w:rsidRPr="00F52432" w:rsidRDefault="00AF3846" w:rsidP="00F52432">
            <w:pPr>
              <w:pStyle w:val="ab"/>
              <w:spacing w:line="300" w:lineRule="exact"/>
              <w:ind w:left="527" w:hanging="527"/>
              <w:rPr>
                <w:rFonts w:ascii="標楷體" w:eastAsia="標楷體" w:hAnsi="標楷體"/>
              </w:rPr>
            </w:pPr>
            <w:r w:rsidRPr="00F52432">
              <w:rPr>
                <w:rFonts w:ascii="標楷體" w:eastAsia="標楷體" w:hAnsi="標楷體" w:cs="標楷體"/>
              </w:rPr>
              <w:t>藥品名稱及代碼</w:t>
            </w:r>
          </w:p>
        </w:tc>
        <w:tc>
          <w:tcPr>
            <w:tcW w:w="35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C942503"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申請適應症、類別及數量</w:t>
            </w:r>
          </w:p>
        </w:tc>
        <w:tc>
          <w:tcPr>
            <w:tcW w:w="354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5CD65B"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檢附資料</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983AFA"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cs="標楷體"/>
              </w:rPr>
              <w:t>用法用量</w:t>
            </w:r>
          </w:p>
        </w:tc>
        <w:tc>
          <w:tcPr>
            <w:tcW w:w="5387"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1B3B18"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健 保 署 核 定 欄</w:t>
            </w:r>
          </w:p>
        </w:tc>
        <w:tc>
          <w:tcPr>
            <w:tcW w:w="40" w:type="dxa"/>
            <w:shd w:val="clear" w:color="auto" w:fill="auto"/>
            <w:tcMar>
              <w:top w:w="0" w:type="dxa"/>
              <w:left w:w="10" w:type="dxa"/>
              <w:bottom w:w="0" w:type="dxa"/>
              <w:right w:w="10" w:type="dxa"/>
            </w:tcMar>
          </w:tcPr>
          <w:p w14:paraId="54B70359"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3A7EE1CB" w14:textId="77777777" w:rsidTr="00844839">
        <w:trPr>
          <w:trHeight w:val="300"/>
        </w:trPr>
        <w:tc>
          <w:tcPr>
            <w:tcW w:w="1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AFC5D7" w14:textId="77777777" w:rsidR="00AF3846" w:rsidRPr="00F52432" w:rsidRDefault="00AF3846" w:rsidP="00F52432">
            <w:pPr>
              <w:pStyle w:val="ab"/>
              <w:spacing w:line="300" w:lineRule="exact"/>
              <w:ind w:left="527" w:hanging="523"/>
              <w:rPr>
                <w:rFonts w:ascii="標楷體" w:eastAsia="標楷體" w:hAnsi="標楷體"/>
              </w:rPr>
            </w:pPr>
            <w:r w:rsidRPr="00F52432">
              <w:rPr>
                <w:rFonts w:ascii="標楷體" w:eastAsia="標楷體" w:hAnsi="標楷體"/>
              </w:rPr>
              <w:t>□</w:t>
            </w:r>
            <w:r w:rsidRPr="00F52432">
              <w:rPr>
                <w:rFonts w:ascii="標楷體" w:eastAsia="標楷體" w:hAnsi="標楷體" w:cs="Arial"/>
              </w:rPr>
              <w:t>ranibizumab</w:t>
            </w:r>
          </w:p>
          <w:p w14:paraId="4A45A6D7" w14:textId="77777777" w:rsidR="00AF3846" w:rsidRPr="00F52432" w:rsidRDefault="00AF3846" w:rsidP="00F52432">
            <w:pPr>
              <w:pStyle w:val="ab"/>
              <w:spacing w:line="300" w:lineRule="exact"/>
              <w:ind w:left="527" w:hanging="280"/>
              <w:rPr>
                <w:rFonts w:ascii="標楷體" w:eastAsia="標楷體" w:hAnsi="標楷體" w:cs="Arial"/>
              </w:rPr>
            </w:pPr>
          </w:p>
          <w:p w14:paraId="6D1E68DC" w14:textId="77777777" w:rsidR="00AF3846" w:rsidRPr="00F52432" w:rsidRDefault="00AF3846" w:rsidP="00F52432">
            <w:pPr>
              <w:pStyle w:val="ab"/>
              <w:spacing w:line="300" w:lineRule="exact"/>
              <w:ind w:left="527" w:hanging="280"/>
              <w:rPr>
                <w:rFonts w:ascii="標楷體" w:eastAsia="標楷體" w:hAnsi="標楷體"/>
              </w:rPr>
            </w:pPr>
          </w:p>
          <w:p w14:paraId="42A9A932" w14:textId="77777777" w:rsidR="00AF3846" w:rsidRPr="00F52432" w:rsidRDefault="00AF3846" w:rsidP="00F52432">
            <w:pPr>
              <w:pStyle w:val="ab"/>
              <w:spacing w:line="300" w:lineRule="exact"/>
              <w:ind w:left="527" w:hanging="523"/>
              <w:rPr>
                <w:rFonts w:ascii="標楷體" w:eastAsia="標楷體" w:hAnsi="標楷體" w:cs="Arial"/>
              </w:rPr>
            </w:pPr>
            <w:r w:rsidRPr="00F52432">
              <w:rPr>
                <w:rFonts w:ascii="標楷體" w:eastAsia="標楷體" w:hAnsi="標楷體"/>
              </w:rPr>
              <w:t>□</w:t>
            </w:r>
            <w:r w:rsidRPr="00F52432">
              <w:rPr>
                <w:rFonts w:ascii="標楷體" w:eastAsia="標楷體" w:hAnsi="標楷體" w:cs="Arial"/>
              </w:rPr>
              <w:t>aflibercept</w:t>
            </w:r>
          </w:p>
          <w:p w14:paraId="01CCC4F3" w14:textId="77777777" w:rsidR="00AF3846" w:rsidRPr="00F52432" w:rsidRDefault="00AF3846" w:rsidP="00F52432">
            <w:pPr>
              <w:pStyle w:val="ab"/>
              <w:spacing w:line="300" w:lineRule="exact"/>
              <w:ind w:left="527" w:hanging="280"/>
              <w:rPr>
                <w:rFonts w:ascii="標楷體" w:eastAsia="標楷體" w:hAnsi="標楷體"/>
              </w:rPr>
            </w:pPr>
          </w:p>
          <w:p w14:paraId="27AC5354" w14:textId="77777777" w:rsidR="00AF3846" w:rsidRPr="00F52432" w:rsidRDefault="00AF3846" w:rsidP="00F52432">
            <w:pPr>
              <w:pStyle w:val="ab"/>
              <w:spacing w:line="300" w:lineRule="exact"/>
              <w:ind w:left="527" w:hanging="280"/>
              <w:rPr>
                <w:rFonts w:ascii="標楷體" w:eastAsia="標楷體" w:hAnsi="標楷體"/>
              </w:rPr>
            </w:pPr>
          </w:p>
          <w:p w14:paraId="19058813" w14:textId="77777777" w:rsidR="00AF3846" w:rsidRPr="00F52432" w:rsidRDefault="00AF3846" w:rsidP="00F52432">
            <w:pPr>
              <w:pStyle w:val="ab"/>
              <w:spacing w:line="300" w:lineRule="exact"/>
              <w:ind w:left="527" w:hanging="523"/>
              <w:rPr>
                <w:rFonts w:ascii="標楷體" w:eastAsia="標楷體" w:hAnsi="標楷體" w:cs="Arial"/>
              </w:rPr>
            </w:pPr>
            <w:r w:rsidRPr="00F52432">
              <w:rPr>
                <w:rFonts w:ascii="標楷體" w:eastAsia="標楷體" w:hAnsi="標楷體"/>
              </w:rPr>
              <w:t>□</w:t>
            </w:r>
            <w:proofErr w:type="spellStart"/>
            <w:r w:rsidRPr="00F52432">
              <w:rPr>
                <w:rFonts w:ascii="標楷體" w:eastAsia="標楷體" w:hAnsi="標楷體"/>
              </w:rPr>
              <w:t>f</w:t>
            </w:r>
            <w:r w:rsidRPr="00F52432">
              <w:rPr>
                <w:rFonts w:ascii="標楷體" w:eastAsia="標楷體" w:hAnsi="標楷體" w:cs="Arial"/>
              </w:rPr>
              <w:t>aricimab</w:t>
            </w:r>
            <w:proofErr w:type="spellEnd"/>
          </w:p>
          <w:p w14:paraId="0442011F" w14:textId="77777777" w:rsidR="00AF3846" w:rsidRPr="00F52432" w:rsidRDefault="00AF3846" w:rsidP="00F52432">
            <w:pPr>
              <w:pStyle w:val="ab"/>
              <w:spacing w:line="300" w:lineRule="exact"/>
              <w:ind w:left="527" w:hanging="280"/>
              <w:rPr>
                <w:rFonts w:ascii="標楷體" w:eastAsia="標楷體" w:hAnsi="標楷體"/>
              </w:rPr>
            </w:pPr>
          </w:p>
          <w:p w14:paraId="7331A8EC" w14:textId="77777777" w:rsidR="00AF3846" w:rsidRPr="00F52432" w:rsidRDefault="00AF3846" w:rsidP="00F52432">
            <w:pPr>
              <w:pStyle w:val="ab"/>
              <w:spacing w:line="300" w:lineRule="exact"/>
              <w:ind w:left="527" w:hanging="280"/>
              <w:rPr>
                <w:rFonts w:ascii="標楷體" w:eastAsia="標楷體" w:hAnsi="標楷體"/>
              </w:rPr>
            </w:pPr>
          </w:p>
          <w:p w14:paraId="532A5B72" w14:textId="77777777" w:rsidR="00AF3846" w:rsidRPr="00F52432" w:rsidRDefault="00AF3846" w:rsidP="00F52432">
            <w:pPr>
              <w:pStyle w:val="ab"/>
              <w:spacing w:line="300" w:lineRule="exact"/>
              <w:ind w:left="527" w:hanging="523"/>
              <w:rPr>
                <w:rFonts w:ascii="標楷體" w:eastAsia="標楷體" w:hAnsi="標楷體"/>
              </w:rPr>
            </w:pPr>
          </w:p>
          <w:p w14:paraId="1B030C0B" w14:textId="77777777" w:rsidR="00AF3846" w:rsidRPr="00F52432" w:rsidRDefault="00AF3846" w:rsidP="00F52432">
            <w:pPr>
              <w:pStyle w:val="ab"/>
              <w:spacing w:line="300" w:lineRule="exact"/>
              <w:ind w:left="527" w:hanging="280"/>
              <w:rPr>
                <w:rFonts w:ascii="標楷體" w:eastAsia="標楷體" w:hAnsi="標楷體"/>
              </w:rPr>
            </w:pPr>
          </w:p>
          <w:p w14:paraId="5EF1BD7D" w14:textId="77777777" w:rsidR="00AF3846" w:rsidRPr="00F52432" w:rsidRDefault="00AF3846" w:rsidP="00F52432">
            <w:pPr>
              <w:pStyle w:val="ab"/>
              <w:spacing w:line="300" w:lineRule="exact"/>
              <w:ind w:left="527" w:hanging="280"/>
              <w:rPr>
                <w:rFonts w:ascii="標楷體" w:eastAsia="標楷體" w:hAnsi="標楷體"/>
              </w:rPr>
            </w:pPr>
          </w:p>
        </w:tc>
        <w:tc>
          <w:tcPr>
            <w:tcW w:w="35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AFF46CA"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lastRenderedPageBreak/>
              <w:t>□</w:t>
            </w:r>
            <w:r w:rsidRPr="00F52432">
              <w:rPr>
                <w:rFonts w:ascii="標楷體" w:eastAsia="標楷體" w:hAnsi="標楷體" w:cs="Arial"/>
              </w:rPr>
              <w:t>DME：</w:t>
            </w:r>
            <w:r w:rsidRPr="00F52432">
              <w:rPr>
                <w:rFonts w:ascii="標楷體" w:eastAsia="標楷體" w:hAnsi="標楷體"/>
              </w:rPr>
              <w:t>限ranibizumab、aflibercept</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w:t>
            </w:r>
            <w:r w:rsidRPr="00F52432">
              <w:rPr>
                <w:rFonts w:ascii="標楷體" w:eastAsia="標楷體" w:hAnsi="標楷體" w:cs="Arial"/>
              </w:rPr>
              <w:t>。第一次申請以5支為限，每眼上限為14支，須於第一次申請核准後5年內使用完畢</w:t>
            </w:r>
          </w:p>
          <w:p w14:paraId="2E4BA02E"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cs="標楷體"/>
              </w:rPr>
              <w:t>第</w:t>
            </w:r>
            <w:r w:rsidRPr="00F52432">
              <w:rPr>
                <w:rFonts w:ascii="標楷體" w:eastAsia="標楷體" w:hAnsi="標楷體"/>
              </w:rPr>
              <w:t>一次申請(  支)</w:t>
            </w:r>
          </w:p>
          <w:p w14:paraId="264CD4A9"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rPr>
              <w:t>第__次申請(  支)</w:t>
            </w:r>
          </w:p>
          <w:p w14:paraId="6C8729F7"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cs="標楷體"/>
              </w:rPr>
              <w:t>第__次申復</w:t>
            </w:r>
          </w:p>
          <w:p w14:paraId="1861C904"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t>□</w:t>
            </w:r>
            <w:r w:rsidRPr="00F52432">
              <w:rPr>
                <w:rFonts w:ascii="標楷體" w:eastAsia="標楷體" w:hAnsi="標楷體" w:cs="Arial"/>
              </w:rPr>
              <w:t>CNV：限ranibizumab及aflibercept擇</w:t>
            </w:r>
            <w:proofErr w:type="gramStart"/>
            <w:r w:rsidRPr="00F52432">
              <w:rPr>
                <w:rFonts w:ascii="標楷體" w:eastAsia="標楷體" w:hAnsi="標楷體" w:cs="Arial"/>
              </w:rPr>
              <w:t>一</w:t>
            </w:r>
            <w:proofErr w:type="gramEnd"/>
            <w:r w:rsidRPr="00F52432">
              <w:rPr>
                <w:rFonts w:ascii="標楷體" w:eastAsia="標楷體" w:hAnsi="標楷體" w:cs="Arial"/>
              </w:rPr>
              <w:t>申請。申請以一次為限，每眼最多給付3支，申請核准後有效期限為5</w:t>
            </w:r>
            <w:r w:rsidRPr="00F52432">
              <w:rPr>
                <w:rFonts w:ascii="標楷體" w:eastAsia="標楷體" w:hAnsi="標楷體" w:cs="Arial"/>
              </w:rPr>
              <w:lastRenderedPageBreak/>
              <w:t>年。</w:t>
            </w:r>
          </w:p>
          <w:p w14:paraId="7A6961A9"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t>□</w:t>
            </w:r>
            <w:r w:rsidRPr="00F52432">
              <w:rPr>
                <w:rFonts w:ascii="標楷體" w:eastAsia="標楷體" w:hAnsi="標楷體" w:cs="Arial"/>
              </w:rPr>
              <w:t>CRVO：</w:t>
            </w:r>
            <w:r w:rsidRPr="00F52432">
              <w:rPr>
                <w:rFonts w:ascii="標楷體" w:eastAsia="標楷體" w:hAnsi="標楷體"/>
              </w:rPr>
              <w:t>限ranibizumab、aflibercept及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w:t>
            </w:r>
            <w:r w:rsidRPr="00F52432">
              <w:rPr>
                <w:rFonts w:ascii="標楷體" w:eastAsia="標楷體" w:hAnsi="標楷體" w:cs="Arial"/>
              </w:rPr>
              <w:t>，且未曾申請給付dexamethasone眼後</w:t>
            </w:r>
            <w:proofErr w:type="gramStart"/>
            <w:r w:rsidRPr="00F52432">
              <w:rPr>
                <w:rFonts w:ascii="標楷體" w:eastAsia="標楷體" w:hAnsi="標楷體" w:cs="Arial"/>
              </w:rPr>
              <w:t>段植入劑者</w:t>
            </w:r>
            <w:proofErr w:type="gramEnd"/>
            <w:r w:rsidRPr="00F52432">
              <w:rPr>
                <w:rFonts w:ascii="標楷體" w:eastAsia="標楷體" w:hAnsi="標楷體" w:cs="Arial"/>
              </w:rPr>
              <w:t>。第一次申請以5支為限，每眼上限為14支，須於第一次申請核准後5年內使用完畢</w:t>
            </w:r>
          </w:p>
          <w:p w14:paraId="37D48DFA"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cs="標楷體"/>
              </w:rPr>
              <w:t>第</w:t>
            </w:r>
            <w:r w:rsidRPr="00F52432">
              <w:rPr>
                <w:rFonts w:ascii="標楷體" w:eastAsia="標楷體" w:hAnsi="標楷體"/>
              </w:rPr>
              <w:t>一次申請(  支)</w:t>
            </w:r>
          </w:p>
          <w:p w14:paraId="705773C7"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rPr>
              <w:t>第__次申請(  支)</w:t>
            </w:r>
          </w:p>
          <w:p w14:paraId="66018FD4"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cs="標楷體"/>
              </w:rPr>
              <w:t>第__次申復</w:t>
            </w:r>
          </w:p>
          <w:p w14:paraId="64F79FA4"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t>□</w:t>
            </w:r>
            <w:r w:rsidRPr="00F52432">
              <w:rPr>
                <w:rFonts w:ascii="標楷體" w:eastAsia="標楷體" w:hAnsi="標楷體" w:cs="Arial"/>
              </w:rPr>
              <w:t>BRVO：</w:t>
            </w:r>
            <w:r w:rsidRPr="00F52432">
              <w:rPr>
                <w:rFonts w:ascii="標楷體" w:eastAsia="標楷體" w:hAnsi="標楷體"/>
              </w:rPr>
              <w:t>限ranibizumab、aflibercept及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w:t>
            </w:r>
            <w:r w:rsidRPr="00F52432">
              <w:rPr>
                <w:rFonts w:ascii="標楷體" w:eastAsia="標楷體" w:hAnsi="標楷體" w:cs="Arial"/>
              </w:rPr>
              <w:t>。第一次申請以3支為限，每眼上限為9支，須於第一次申請核准後5年內使用完畢</w:t>
            </w:r>
          </w:p>
          <w:p w14:paraId="0AB43870"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rPr>
              <w:t>第一次申請(  支)</w:t>
            </w:r>
          </w:p>
          <w:p w14:paraId="3EE5DCB5"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rPr>
              <w:t>第__次申請(  支)</w:t>
            </w:r>
          </w:p>
          <w:p w14:paraId="1350D231" w14:textId="77777777" w:rsidR="00AF3846" w:rsidRPr="00F52432" w:rsidRDefault="00AF3846" w:rsidP="002144EC">
            <w:pPr>
              <w:pStyle w:val="ab"/>
              <w:numPr>
                <w:ilvl w:val="0"/>
                <w:numId w:val="182"/>
              </w:numPr>
              <w:spacing w:after="0" w:line="300" w:lineRule="exact"/>
              <w:ind w:left="527" w:hanging="280"/>
              <w:rPr>
                <w:rFonts w:ascii="標楷體" w:eastAsia="標楷體" w:hAnsi="標楷體"/>
              </w:rPr>
            </w:pPr>
            <w:r w:rsidRPr="00F52432">
              <w:rPr>
                <w:rFonts w:ascii="標楷體" w:eastAsia="標楷體" w:hAnsi="標楷體" w:cs="標楷體"/>
              </w:rPr>
              <w:t>第__次申復</w:t>
            </w:r>
          </w:p>
        </w:tc>
        <w:tc>
          <w:tcPr>
            <w:tcW w:w="354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E9C4B63" w14:textId="77777777" w:rsidR="00AF3846" w:rsidRPr="00F52432" w:rsidRDefault="00AF3846" w:rsidP="00F52432">
            <w:pPr>
              <w:pStyle w:val="11"/>
              <w:numPr>
                <w:ilvl w:val="0"/>
                <w:numId w:val="1"/>
              </w:numPr>
              <w:spacing w:before="180" w:line="300" w:lineRule="exact"/>
              <w:rPr>
                <w:sz w:val="24"/>
                <w:szCs w:val="24"/>
              </w:rPr>
            </w:pPr>
            <w:r w:rsidRPr="00F52432">
              <w:rPr>
                <w:sz w:val="24"/>
                <w:szCs w:val="24"/>
              </w:rPr>
              <w:lastRenderedPageBreak/>
              <w:t>□</w:t>
            </w:r>
            <w:r w:rsidRPr="00F52432">
              <w:rPr>
                <w:sz w:val="24"/>
                <w:szCs w:val="24"/>
              </w:rPr>
              <w:t>右眼</w:t>
            </w:r>
            <w:r w:rsidRPr="00F52432">
              <w:rPr>
                <w:sz w:val="24"/>
                <w:szCs w:val="24"/>
              </w:rPr>
              <w:t xml:space="preserve">       □</w:t>
            </w:r>
            <w:r w:rsidRPr="00F52432">
              <w:rPr>
                <w:sz w:val="24"/>
                <w:szCs w:val="24"/>
              </w:rPr>
              <w:t>左眼</w:t>
            </w:r>
          </w:p>
          <w:p w14:paraId="6D04E789" w14:textId="77777777" w:rsidR="00AF3846" w:rsidRPr="00F52432" w:rsidRDefault="00AF3846" w:rsidP="002144EC">
            <w:pPr>
              <w:pStyle w:val="11"/>
              <w:widowControl/>
              <w:numPr>
                <w:ilvl w:val="0"/>
                <w:numId w:val="183"/>
              </w:numPr>
              <w:autoSpaceDE w:val="0"/>
              <w:spacing w:before="180" w:line="300" w:lineRule="exact"/>
              <w:ind w:left="284" w:hanging="284"/>
              <w:rPr>
                <w:sz w:val="24"/>
                <w:szCs w:val="24"/>
              </w:rPr>
            </w:pPr>
            <w:proofErr w:type="gramStart"/>
            <w:r w:rsidRPr="00F52432">
              <w:rPr>
                <w:sz w:val="24"/>
                <w:szCs w:val="24"/>
              </w:rPr>
              <w:t>病眼最佳</w:t>
            </w:r>
            <w:proofErr w:type="gramEnd"/>
            <w:r w:rsidRPr="00F52432">
              <w:rPr>
                <w:sz w:val="24"/>
                <w:szCs w:val="24"/>
              </w:rPr>
              <w:t>矯正視力：</w:t>
            </w:r>
          </w:p>
          <w:p w14:paraId="7033530D" w14:textId="77777777" w:rsidR="00AF3846" w:rsidRPr="00F52432" w:rsidRDefault="00AF3846" w:rsidP="002144EC">
            <w:pPr>
              <w:pStyle w:val="11"/>
              <w:widowControl/>
              <w:numPr>
                <w:ilvl w:val="0"/>
                <w:numId w:val="183"/>
              </w:numPr>
              <w:autoSpaceDE w:val="0"/>
              <w:spacing w:before="180" w:line="300" w:lineRule="exact"/>
              <w:ind w:left="284" w:hanging="284"/>
              <w:rPr>
                <w:sz w:val="24"/>
                <w:szCs w:val="24"/>
              </w:rPr>
            </w:pPr>
            <w:r w:rsidRPr="00F52432">
              <w:rPr>
                <w:sz w:val="24"/>
                <w:szCs w:val="24"/>
              </w:rPr>
              <w:t>1</w:t>
            </w:r>
            <w:r w:rsidRPr="00F52432">
              <w:rPr>
                <w:sz w:val="24"/>
                <w:szCs w:val="24"/>
              </w:rPr>
              <w:t>個月內有效之</w:t>
            </w:r>
          </w:p>
          <w:p w14:paraId="7C06034B"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□fluorescein angiography (FAG)</w:t>
            </w:r>
          </w:p>
          <w:p w14:paraId="0DB951E7"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□optical coherence tomography (OCT)</w:t>
            </w:r>
          </w:p>
          <w:p w14:paraId="1987D5ED"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w:t>
            </w:r>
            <w:r w:rsidRPr="00F52432">
              <w:rPr>
                <w:sz w:val="24"/>
                <w:szCs w:val="24"/>
              </w:rPr>
              <w:t>彩色眼底照片</w:t>
            </w:r>
          </w:p>
          <w:p w14:paraId="0B2691C2" w14:textId="77777777" w:rsidR="00AF3846" w:rsidRPr="00F52432" w:rsidRDefault="00AF3846" w:rsidP="002144EC">
            <w:pPr>
              <w:pStyle w:val="11"/>
              <w:widowControl/>
              <w:numPr>
                <w:ilvl w:val="0"/>
                <w:numId w:val="183"/>
              </w:numPr>
              <w:autoSpaceDE w:val="0"/>
              <w:spacing w:before="180" w:line="300" w:lineRule="exact"/>
              <w:ind w:left="284" w:hanging="284"/>
              <w:rPr>
                <w:sz w:val="24"/>
                <w:szCs w:val="24"/>
              </w:rPr>
            </w:pPr>
            <w:r w:rsidRPr="00F52432">
              <w:rPr>
                <w:sz w:val="24"/>
                <w:szCs w:val="24"/>
              </w:rPr>
              <w:t>DME</w:t>
            </w:r>
            <w:r w:rsidRPr="00F52432">
              <w:rPr>
                <w:sz w:val="24"/>
                <w:szCs w:val="24"/>
              </w:rPr>
              <w:t>需另行檢</w:t>
            </w:r>
            <w:proofErr w:type="gramStart"/>
            <w:r w:rsidRPr="00F52432">
              <w:rPr>
                <w:sz w:val="24"/>
                <w:szCs w:val="24"/>
              </w:rPr>
              <w:t>附</w:t>
            </w:r>
            <w:proofErr w:type="gramEnd"/>
            <w:r w:rsidRPr="00F52432">
              <w:rPr>
                <w:sz w:val="24"/>
                <w:szCs w:val="24"/>
              </w:rPr>
              <w:t>：</w:t>
            </w:r>
          </w:p>
          <w:p w14:paraId="61B27CD7"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lastRenderedPageBreak/>
              <w:t>□</w:t>
            </w:r>
            <w:r w:rsidRPr="00F52432">
              <w:rPr>
                <w:sz w:val="24"/>
                <w:szCs w:val="24"/>
              </w:rPr>
              <w:t>中央視網膜厚度</w:t>
            </w:r>
            <w:r w:rsidRPr="00F52432">
              <w:rPr>
                <w:sz w:val="24"/>
                <w:szCs w:val="24"/>
              </w:rPr>
              <w:t xml:space="preserve">:        </w:t>
            </w:r>
            <w:proofErr w:type="spellStart"/>
            <w:r w:rsidRPr="00F52432">
              <w:rPr>
                <w:sz w:val="24"/>
                <w:szCs w:val="24"/>
              </w:rPr>
              <w:t>μm</w:t>
            </w:r>
            <w:proofErr w:type="spellEnd"/>
          </w:p>
          <w:p w14:paraId="176C3B3F"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w:t>
            </w:r>
            <w:r w:rsidRPr="00F52432">
              <w:rPr>
                <w:sz w:val="24"/>
                <w:szCs w:val="24"/>
              </w:rPr>
              <w:t>近</w:t>
            </w:r>
            <w:r w:rsidRPr="00F52432">
              <w:rPr>
                <w:sz w:val="24"/>
                <w:szCs w:val="24"/>
              </w:rPr>
              <w:t>3</w:t>
            </w:r>
            <w:r w:rsidRPr="00F52432">
              <w:rPr>
                <w:sz w:val="24"/>
                <w:szCs w:val="24"/>
              </w:rPr>
              <w:t>個月之</w:t>
            </w:r>
            <w:r w:rsidRPr="00F52432">
              <w:rPr>
                <w:sz w:val="24"/>
                <w:szCs w:val="24"/>
              </w:rPr>
              <w:t>HbA1c</w:t>
            </w:r>
            <w:r w:rsidRPr="00F52432">
              <w:rPr>
                <w:sz w:val="24"/>
                <w:szCs w:val="24"/>
              </w:rPr>
              <w:t>數值：</w:t>
            </w:r>
            <w:r w:rsidRPr="00F52432">
              <w:rPr>
                <w:sz w:val="24"/>
                <w:szCs w:val="24"/>
              </w:rPr>
              <w:t>______</w:t>
            </w:r>
          </w:p>
          <w:p w14:paraId="2E298C05" w14:textId="77777777" w:rsidR="00AF3846" w:rsidRPr="00F52432" w:rsidRDefault="00AF3846" w:rsidP="002144EC">
            <w:pPr>
              <w:pStyle w:val="11"/>
              <w:widowControl/>
              <w:numPr>
                <w:ilvl w:val="0"/>
                <w:numId w:val="183"/>
              </w:numPr>
              <w:autoSpaceDE w:val="0"/>
              <w:spacing w:before="180" w:line="300" w:lineRule="exact"/>
              <w:ind w:left="284" w:hanging="284"/>
              <w:rPr>
                <w:sz w:val="24"/>
                <w:szCs w:val="24"/>
              </w:rPr>
            </w:pPr>
            <w:r w:rsidRPr="00F52432">
              <w:rPr>
                <w:sz w:val="24"/>
                <w:szCs w:val="24"/>
              </w:rPr>
              <w:t>CRVO</w:t>
            </w:r>
            <w:r w:rsidRPr="00F52432">
              <w:rPr>
                <w:sz w:val="24"/>
                <w:szCs w:val="24"/>
              </w:rPr>
              <w:t>、</w:t>
            </w:r>
            <w:r w:rsidRPr="00F52432">
              <w:rPr>
                <w:sz w:val="24"/>
                <w:szCs w:val="24"/>
              </w:rPr>
              <w:t>BRVO</w:t>
            </w:r>
            <w:r w:rsidRPr="00F52432">
              <w:rPr>
                <w:sz w:val="24"/>
                <w:szCs w:val="24"/>
              </w:rPr>
              <w:t>需另行檢</w:t>
            </w:r>
            <w:proofErr w:type="gramStart"/>
            <w:r w:rsidRPr="00F52432">
              <w:rPr>
                <w:sz w:val="24"/>
                <w:szCs w:val="24"/>
              </w:rPr>
              <w:t>附</w:t>
            </w:r>
            <w:proofErr w:type="gramEnd"/>
            <w:r w:rsidRPr="00F52432">
              <w:rPr>
                <w:sz w:val="24"/>
                <w:szCs w:val="24"/>
              </w:rPr>
              <w:t>：</w:t>
            </w:r>
          </w:p>
          <w:p w14:paraId="0AED7522"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w:t>
            </w:r>
            <w:r w:rsidRPr="00F52432">
              <w:rPr>
                <w:sz w:val="24"/>
                <w:szCs w:val="24"/>
              </w:rPr>
              <w:t>中央視網膜厚度</w:t>
            </w:r>
            <w:r w:rsidRPr="00F52432">
              <w:rPr>
                <w:sz w:val="24"/>
                <w:szCs w:val="24"/>
              </w:rPr>
              <w:t xml:space="preserve">:        </w:t>
            </w:r>
            <w:proofErr w:type="spellStart"/>
            <w:r w:rsidRPr="00F52432">
              <w:rPr>
                <w:sz w:val="24"/>
                <w:szCs w:val="24"/>
              </w:rPr>
              <w:t>μm</w:t>
            </w:r>
            <w:proofErr w:type="spellEnd"/>
          </w:p>
          <w:p w14:paraId="52B3609C" w14:textId="77777777" w:rsidR="00AF3846" w:rsidRPr="00F52432" w:rsidRDefault="00AF3846" w:rsidP="002144EC">
            <w:pPr>
              <w:pStyle w:val="11"/>
              <w:widowControl/>
              <w:numPr>
                <w:ilvl w:val="0"/>
                <w:numId w:val="183"/>
              </w:numPr>
              <w:autoSpaceDE w:val="0"/>
              <w:spacing w:before="180" w:line="300" w:lineRule="exact"/>
              <w:ind w:left="284" w:hanging="284"/>
              <w:rPr>
                <w:sz w:val="24"/>
                <w:szCs w:val="24"/>
              </w:rPr>
            </w:pPr>
            <w:r w:rsidRPr="00F52432">
              <w:rPr>
                <w:sz w:val="24"/>
                <w:szCs w:val="24"/>
              </w:rPr>
              <w:t>CNV</w:t>
            </w:r>
            <w:r w:rsidRPr="00F52432">
              <w:rPr>
                <w:sz w:val="24"/>
                <w:szCs w:val="24"/>
              </w:rPr>
              <w:t>需另行檢</w:t>
            </w:r>
            <w:proofErr w:type="gramStart"/>
            <w:r w:rsidRPr="00F52432">
              <w:rPr>
                <w:sz w:val="24"/>
                <w:szCs w:val="24"/>
              </w:rPr>
              <w:t>附</w:t>
            </w:r>
            <w:proofErr w:type="gramEnd"/>
            <w:r w:rsidRPr="00F52432">
              <w:rPr>
                <w:sz w:val="24"/>
                <w:szCs w:val="24"/>
              </w:rPr>
              <w:t>：</w:t>
            </w:r>
          </w:p>
          <w:p w14:paraId="468E108C"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 xml:space="preserve">  □</w:t>
            </w:r>
            <w:r w:rsidRPr="00F52432">
              <w:rPr>
                <w:sz w:val="24"/>
                <w:szCs w:val="24"/>
              </w:rPr>
              <w:t>近視度數</w:t>
            </w:r>
            <w:r w:rsidRPr="00F52432">
              <w:rPr>
                <w:sz w:val="24"/>
                <w:szCs w:val="24"/>
              </w:rPr>
              <w:t>_______</w:t>
            </w:r>
            <w:r w:rsidRPr="00F52432">
              <w:rPr>
                <w:sz w:val="24"/>
                <w:szCs w:val="24"/>
              </w:rPr>
              <w:t>。</w:t>
            </w:r>
          </w:p>
          <w:p w14:paraId="531D9676"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 xml:space="preserve">  □</w:t>
            </w:r>
            <w:r w:rsidRPr="00F52432">
              <w:rPr>
                <w:sz w:val="24"/>
                <w:szCs w:val="24"/>
              </w:rPr>
              <w:t>眼軸長</w:t>
            </w:r>
            <w:r w:rsidRPr="00F52432">
              <w:rPr>
                <w:sz w:val="24"/>
                <w:szCs w:val="24"/>
              </w:rPr>
              <w:t>_______mm</w:t>
            </w:r>
            <w:r w:rsidRPr="00F52432">
              <w:rPr>
                <w:sz w:val="24"/>
                <w:szCs w:val="24"/>
              </w:rPr>
              <w:t>。</w:t>
            </w:r>
          </w:p>
          <w:p w14:paraId="31221146"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 xml:space="preserve">  □</w:t>
            </w:r>
            <w:r w:rsidRPr="00F52432">
              <w:rPr>
                <w:sz w:val="24"/>
                <w:szCs w:val="24"/>
              </w:rPr>
              <w:t>因</w:t>
            </w:r>
            <w:r w:rsidRPr="00F52432">
              <w:rPr>
                <w:sz w:val="24"/>
                <w:szCs w:val="24"/>
              </w:rPr>
              <w:t>CNV</w:t>
            </w:r>
            <w:r w:rsidRPr="00F52432">
              <w:rPr>
                <w:sz w:val="24"/>
                <w:szCs w:val="24"/>
              </w:rPr>
              <w:t>病變而導致動態滲漏或中央視網膜內或</w:t>
            </w:r>
            <w:proofErr w:type="gramStart"/>
            <w:r w:rsidRPr="00F52432">
              <w:rPr>
                <w:sz w:val="24"/>
                <w:szCs w:val="24"/>
              </w:rPr>
              <w:t>視網膜下液</w:t>
            </w:r>
            <w:proofErr w:type="gramEnd"/>
            <w:r w:rsidRPr="00F52432">
              <w:rPr>
                <w:sz w:val="24"/>
                <w:szCs w:val="24"/>
              </w:rPr>
              <w:t>。</w:t>
            </w:r>
          </w:p>
          <w:p w14:paraId="02FD6D32" w14:textId="77777777" w:rsidR="00AF3846" w:rsidRPr="00F52432" w:rsidRDefault="00AF3846" w:rsidP="002144EC">
            <w:pPr>
              <w:pStyle w:val="11"/>
              <w:widowControl/>
              <w:numPr>
                <w:ilvl w:val="0"/>
                <w:numId w:val="183"/>
              </w:numPr>
              <w:autoSpaceDE w:val="0"/>
              <w:spacing w:before="180" w:line="300" w:lineRule="exact"/>
              <w:ind w:left="284" w:hanging="284"/>
              <w:rPr>
                <w:sz w:val="24"/>
                <w:szCs w:val="24"/>
              </w:rPr>
            </w:pPr>
            <w:r w:rsidRPr="00F52432">
              <w:rPr>
                <w:sz w:val="24"/>
                <w:szCs w:val="24"/>
              </w:rPr>
              <w:t>前次申請資料</w:t>
            </w:r>
            <w:r w:rsidRPr="00F52432">
              <w:rPr>
                <w:sz w:val="24"/>
                <w:szCs w:val="24"/>
              </w:rPr>
              <w:t>(</w:t>
            </w:r>
            <w:r w:rsidRPr="00F52432">
              <w:rPr>
                <w:sz w:val="24"/>
                <w:szCs w:val="24"/>
              </w:rPr>
              <w:t>已核准</w:t>
            </w:r>
            <w:r w:rsidRPr="00F52432">
              <w:rPr>
                <w:sz w:val="24"/>
                <w:szCs w:val="24"/>
              </w:rPr>
              <w:t>1</w:t>
            </w:r>
            <w:r w:rsidRPr="00F52432">
              <w:rPr>
                <w:sz w:val="24"/>
                <w:szCs w:val="24"/>
              </w:rPr>
              <w:t>次之後申請者</w:t>
            </w:r>
            <w:r w:rsidRPr="00F52432">
              <w:rPr>
                <w:sz w:val="24"/>
                <w:szCs w:val="24"/>
              </w:rPr>
              <w:t>)</w:t>
            </w:r>
          </w:p>
          <w:p w14:paraId="4F52C492" w14:textId="77777777" w:rsidR="00AF3846" w:rsidRPr="00F52432" w:rsidRDefault="00AF3846" w:rsidP="00F52432">
            <w:pPr>
              <w:pStyle w:val="11"/>
              <w:numPr>
                <w:ilvl w:val="0"/>
                <w:numId w:val="1"/>
              </w:numPr>
              <w:spacing w:before="180" w:line="300" w:lineRule="exact"/>
              <w:rPr>
                <w:sz w:val="24"/>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54BF1BB" w14:textId="77777777" w:rsidR="00AF3846" w:rsidRPr="00F52432" w:rsidRDefault="00AF3846" w:rsidP="00F52432">
            <w:pPr>
              <w:pStyle w:val="ab"/>
              <w:spacing w:line="300" w:lineRule="exact"/>
              <w:ind w:left="527" w:hanging="280"/>
              <w:rPr>
                <w:rFonts w:ascii="標楷體" w:eastAsia="標楷體" w:hAnsi="標楷體"/>
              </w:rPr>
            </w:pPr>
          </w:p>
        </w:tc>
        <w:tc>
          <w:tcPr>
            <w:tcW w:w="5387"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D855180"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□同意備查。</w:t>
            </w:r>
          </w:p>
          <w:p w14:paraId="3E9468AD"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 xml:space="preserve">□使用劑量不符合常規，核定量為               </w:t>
            </w:r>
          </w:p>
          <w:p w14:paraId="5E809222"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□不同意</w:t>
            </w:r>
          </w:p>
          <w:p w14:paraId="057301AA" w14:textId="77777777" w:rsidR="00AF3846" w:rsidRPr="00F52432" w:rsidRDefault="00AF3846" w:rsidP="00F52432">
            <w:pPr>
              <w:pStyle w:val="ab"/>
              <w:tabs>
                <w:tab w:val="left" w:pos="-1124"/>
              </w:tabs>
              <w:spacing w:line="300" w:lineRule="exact"/>
              <w:ind w:left="527" w:hanging="280"/>
              <w:rPr>
                <w:rFonts w:ascii="標楷體" w:eastAsia="標楷體" w:hAnsi="標楷體" w:cs="標楷體"/>
              </w:rPr>
            </w:pPr>
            <w:r w:rsidRPr="00F52432">
              <w:rPr>
                <w:rFonts w:ascii="標楷體" w:eastAsia="標楷體" w:hAnsi="標楷體" w:cs="標楷體"/>
              </w:rPr>
              <w:t>□不符合適應症。</w:t>
            </w:r>
          </w:p>
          <w:p w14:paraId="28138C09" w14:textId="77777777" w:rsidR="00AF3846" w:rsidRPr="00F52432" w:rsidRDefault="00AF3846" w:rsidP="00F52432">
            <w:pPr>
              <w:pStyle w:val="ab"/>
              <w:tabs>
                <w:tab w:val="left" w:pos="-1124"/>
              </w:tabs>
              <w:spacing w:line="300" w:lineRule="exact"/>
              <w:ind w:left="527" w:hanging="280"/>
              <w:rPr>
                <w:rFonts w:ascii="標楷體" w:eastAsia="標楷體" w:hAnsi="標楷體" w:cs="標楷體"/>
              </w:rPr>
            </w:pPr>
            <w:r w:rsidRPr="00F52432">
              <w:rPr>
                <w:rFonts w:ascii="標楷體" w:eastAsia="標楷體" w:hAnsi="標楷體" w:cs="標楷體"/>
              </w:rPr>
              <w:t>□不符給付規定。</w:t>
            </w:r>
          </w:p>
          <w:p w14:paraId="10EFEE5E" w14:textId="77777777" w:rsidR="00AF3846" w:rsidRPr="00F52432" w:rsidRDefault="00AF3846" w:rsidP="00F52432">
            <w:pPr>
              <w:pStyle w:val="ab"/>
              <w:tabs>
                <w:tab w:val="left" w:pos="-1124"/>
              </w:tabs>
              <w:spacing w:line="300" w:lineRule="exact"/>
              <w:ind w:left="527" w:hanging="280"/>
              <w:rPr>
                <w:rFonts w:ascii="標楷體" w:eastAsia="標楷體" w:hAnsi="標楷體"/>
              </w:rPr>
            </w:pPr>
            <w:r w:rsidRPr="00F52432">
              <w:rPr>
                <w:rFonts w:ascii="標楷體" w:eastAsia="標楷體" w:hAnsi="標楷體" w:cs="標楷體"/>
              </w:rPr>
              <w:t>□下</w:t>
            </w:r>
            <w:r w:rsidRPr="00F52432">
              <w:rPr>
                <w:rFonts w:ascii="標楷體" w:eastAsia="標楷體" w:hAnsi="標楷體"/>
              </w:rPr>
              <w:t>列需排除之情況未排除：</w:t>
            </w:r>
          </w:p>
          <w:p w14:paraId="5F984F5C" w14:textId="77777777" w:rsidR="00AF3846" w:rsidRPr="00F52432" w:rsidRDefault="00AF3846" w:rsidP="00F52432">
            <w:pPr>
              <w:pStyle w:val="ab"/>
              <w:spacing w:line="300" w:lineRule="exact"/>
              <w:ind w:left="527" w:hanging="280"/>
              <w:rPr>
                <w:rFonts w:ascii="標楷體" w:eastAsia="標楷體" w:hAnsi="標楷體"/>
              </w:rPr>
            </w:pPr>
          </w:p>
          <w:p w14:paraId="712953A3" w14:textId="77777777" w:rsidR="00AF3846" w:rsidRPr="00F52432" w:rsidRDefault="00AF3846" w:rsidP="00F52432">
            <w:pPr>
              <w:pStyle w:val="ab"/>
              <w:spacing w:line="300" w:lineRule="exact"/>
              <w:ind w:left="527" w:hanging="280"/>
              <w:rPr>
                <w:rFonts w:ascii="標楷體" w:eastAsia="標楷體" w:hAnsi="標楷體"/>
              </w:rPr>
            </w:pPr>
          </w:p>
          <w:p w14:paraId="597A7E89" w14:textId="77777777" w:rsidR="00AF3846" w:rsidRPr="00F52432" w:rsidRDefault="00AF3846" w:rsidP="00F52432">
            <w:pPr>
              <w:pStyle w:val="ab"/>
              <w:spacing w:line="300" w:lineRule="exact"/>
              <w:ind w:left="527" w:hanging="280"/>
              <w:rPr>
                <w:rFonts w:ascii="標楷體" w:eastAsia="標楷體" w:hAnsi="標楷體"/>
              </w:rPr>
            </w:pPr>
          </w:p>
          <w:p w14:paraId="4B554461" w14:textId="77777777" w:rsidR="00AF3846" w:rsidRPr="00F52432" w:rsidRDefault="00AF3846" w:rsidP="00F52432">
            <w:pPr>
              <w:pStyle w:val="ab"/>
              <w:tabs>
                <w:tab w:val="left" w:pos="-1124"/>
              </w:tabs>
              <w:spacing w:line="300" w:lineRule="exact"/>
              <w:ind w:left="527" w:hanging="280"/>
              <w:rPr>
                <w:rFonts w:ascii="標楷體" w:eastAsia="標楷體" w:hAnsi="標楷體"/>
              </w:rPr>
            </w:pPr>
            <w:r w:rsidRPr="00F52432">
              <w:rPr>
                <w:rFonts w:ascii="標楷體" w:eastAsia="標楷體" w:hAnsi="標楷體" w:cs="標楷體"/>
              </w:rPr>
              <w:t>□相關檢驗、檢查報告不全，</w:t>
            </w:r>
            <w:proofErr w:type="gramStart"/>
            <w:r w:rsidRPr="00F52432">
              <w:rPr>
                <w:rFonts w:ascii="標楷體" w:eastAsia="標楷體" w:hAnsi="標楷體" w:cs="標楷體"/>
              </w:rPr>
              <w:t>補附資料</w:t>
            </w:r>
            <w:proofErr w:type="gramEnd"/>
            <w:r w:rsidRPr="00F52432">
              <w:rPr>
                <w:rFonts w:ascii="標楷體" w:eastAsia="標楷體" w:hAnsi="標楷體" w:cs="標楷體"/>
              </w:rPr>
              <w:t>再審，請</w:t>
            </w:r>
            <w:r w:rsidRPr="00F52432">
              <w:rPr>
                <w:rFonts w:ascii="標楷體" w:eastAsia="標楷體" w:hAnsi="標楷體" w:cs="標楷體"/>
              </w:rPr>
              <w:lastRenderedPageBreak/>
              <w:t>補充以下資料：</w:t>
            </w:r>
          </w:p>
          <w:p w14:paraId="212D2BAF" w14:textId="77777777" w:rsidR="00AF3846" w:rsidRPr="00F52432" w:rsidRDefault="00AF3846" w:rsidP="00F52432">
            <w:pPr>
              <w:pStyle w:val="ab"/>
              <w:spacing w:line="300" w:lineRule="exact"/>
              <w:ind w:left="527" w:hanging="280"/>
              <w:rPr>
                <w:rFonts w:ascii="標楷體" w:eastAsia="標楷體" w:hAnsi="標楷體"/>
              </w:rPr>
            </w:pPr>
          </w:p>
          <w:p w14:paraId="5CF1A85F" w14:textId="77777777" w:rsidR="00AF3846" w:rsidRPr="00F52432" w:rsidRDefault="00AF3846" w:rsidP="00F52432">
            <w:pPr>
              <w:pStyle w:val="ab"/>
              <w:spacing w:line="300" w:lineRule="exact"/>
              <w:ind w:left="527" w:hanging="280"/>
              <w:rPr>
                <w:rFonts w:ascii="標楷體" w:eastAsia="標楷體" w:hAnsi="標楷體"/>
              </w:rPr>
            </w:pPr>
          </w:p>
          <w:p w14:paraId="3DD52F83" w14:textId="77777777" w:rsidR="00AF3846" w:rsidRPr="00F52432" w:rsidRDefault="00AF3846" w:rsidP="00F52432">
            <w:pPr>
              <w:pStyle w:val="ab"/>
              <w:spacing w:line="300" w:lineRule="exact"/>
              <w:ind w:left="527" w:hanging="280"/>
              <w:rPr>
                <w:rFonts w:ascii="標楷體" w:eastAsia="標楷體" w:hAnsi="標楷體"/>
              </w:rPr>
            </w:pPr>
          </w:p>
          <w:p w14:paraId="368C76C1" w14:textId="77777777" w:rsidR="00AF3846" w:rsidRPr="00F52432" w:rsidRDefault="00AF3846" w:rsidP="00F52432">
            <w:pPr>
              <w:pStyle w:val="ab"/>
              <w:tabs>
                <w:tab w:val="left" w:pos="-1124"/>
              </w:tabs>
              <w:spacing w:line="300" w:lineRule="exact"/>
              <w:ind w:left="527" w:hanging="280"/>
              <w:rPr>
                <w:rFonts w:ascii="標楷體" w:eastAsia="標楷體" w:hAnsi="標楷體"/>
              </w:rPr>
            </w:pPr>
            <w:r w:rsidRPr="00F52432">
              <w:rPr>
                <w:rFonts w:ascii="標楷體" w:eastAsia="標楷體" w:hAnsi="標楷體" w:cs="標楷體"/>
              </w:rPr>
              <w:t>□其他：</w:t>
            </w:r>
          </w:p>
        </w:tc>
        <w:tc>
          <w:tcPr>
            <w:tcW w:w="40" w:type="dxa"/>
            <w:shd w:val="clear" w:color="auto" w:fill="auto"/>
            <w:tcMar>
              <w:top w:w="0" w:type="dxa"/>
              <w:left w:w="10" w:type="dxa"/>
              <w:bottom w:w="0" w:type="dxa"/>
              <w:right w:w="10" w:type="dxa"/>
            </w:tcMar>
          </w:tcPr>
          <w:p w14:paraId="45B48C80"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077853EA" w14:textId="77777777" w:rsidTr="00844839">
        <w:trPr>
          <w:trHeight w:val="2732"/>
        </w:trPr>
        <w:tc>
          <w:tcPr>
            <w:tcW w:w="42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0A8F3AD"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注  意  事  項</w:t>
            </w:r>
          </w:p>
        </w:tc>
        <w:tc>
          <w:tcPr>
            <w:tcW w:w="9074"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C98FFE6"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本申請書限一人一案，由本保險特約</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事服務機構填報，</w:t>
            </w:r>
            <w:proofErr w:type="gramStart"/>
            <w:r w:rsidRPr="00F52432">
              <w:rPr>
                <w:rFonts w:ascii="標楷體" w:eastAsia="標楷體" w:hAnsi="標楷體"/>
                <w:kern w:val="0"/>
              </w:rPr>
              <w:t>不</w:t>
            </w:r>
            <w:proofErr w:type="gramEnd"/>
            <w:r w:rsidRPr="00F52432">
              <w:rPr>
                <w:rFonts w:ascii="標楷體" w:eastAsia="標楷體" w:hAnsi="標楷體"/>
                <w:kern w:val="0"/>
              </w:rPr>
              <w:t>必備文，請</w:t>
            </w:r>
            <w:proofErr w:type="gramStart"/>
            <w:r w:rsidRPr="00F52432">
              <w:rPr>
                <w:rFonts w:ascii="標楷體" w:eastAsia="標楷體" w:hAnsi="標楷體"/>
                <w:kern w:val="0"/>
              </w:rPr>
              <w:t>逕</w:t>
            </w:r>
            <w:proofErr w:type="gramEnd"/>
            <w:r w:rsidRPr="00F52432">
              <w:rPr>
                <w:rFonts w:ascii="標楷體" w:eastAsia="標楷體" w:hAnsi="標楷體"/>
                <w:kern w:val="0"/>
              </w:rPr>
              <w:t>向健保署各分區業務組申請審核。</w:t>
            </w:r>
          </w:p>
          <w:p w14:paraId="749E0267"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「原受理編號」申復時填寫，初次送核不須填寫。</w:t>
            </w:r>
          </w:p>
          <w:p w14:paraId="6CCF202D"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應事前審查之項目未依規定事前申請核准者，不予給付費用；事前申請核准之個案，日後如經審定保險對象或</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事服務機構有不符全民健康保險給付規定者，亦不予給付費用。</w:t>
            </w:r>
          </w:p>
          <w:p w14:paraId="61125ACD"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對核定結果如有異議，得於收到核定通知之日起六十日內，重行填寫乙份申請書(應勾</w:t>
            </w:r>
            <w:proofErr w:type="gramStart"/>
            <w:r w:rsidRPr="00F52432">
              <w:rPr>
                <w:rFonts w:ascii="標楷體" w:eastAsia="標楷體" w:hAnsi="標楷體"/>
                <w:kern w:val="0"/>
              </w:rPr>
              <w:t>註</w:t>
            </w:r>
            <w:proofErr w:type="gramEnd"/>
            <w:r w:rsidRPr="00F52432">
              <w:rPr>
                <w:rFonts w:ascii="標楷體" w:eastAsia="標楷體" w:hAnsi="標楷體"/>
                <w:kern w:val="0"/>
              </w:rPr>
              <w:t>申復，</w:t>
            </w:r>
            <w:proofErr w:type="gramStart"/>
            <w:r w:rsidRPr="00F52432">
              <w:rPr>
                <w:rFonts w:ascii="標楷體" w:eastAsia="標楷體" w:hAnsi="標楷體"/>
                <w:kern w:val="0"/>
              </w:rPr>
              <w:t>並填明原</w:t>
            </w:r>
            <w:proofErr w:type="gramEnd"/>
            <w:r w:rsidRPr="00F52432">
              <w:rPr>
                <w:rFonts w:ascii="標楷體" w:eastAsia="標楷體" w:hAnsi="標楷體"/>
                <w:kern w:val="0"/>
              </w:rPr>
              <w:t>受理編號)向原核定單位申請複核。</w:t>
            </w:r>
          </w:p>
          <w:p w14:paraId="18325F70"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對複核結果如有異議，得於收到複核通知之日起六十日內向全民健保爭議審議委</w:t>
            </w:r>
            <w:r w:rsidRPr="00F52432">
              <w:rPr>
                <w:rFonts w:ascii="標楷體" w:eastAsia="標楷體" w:hAnsi="標楷體"/>
                <w:kern w:val="0"/>
              </w:rPr>
              <w:lastRenderedPageBreak/>
              <w:t>員會申請審議。</w:t>
            </w:r>
          </w:p>
          <w:p w14:paraId="5F8413EB"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kern w:val="0"/>
              </w:rPr>
            </w:pPr>
            <w:r w:rsidRPr="00F52432">
              <w:rPr>
                <w:rFonts w:ascii="標楷體" w:eastAsia="標楷體" w:hAnsi="標楷體"/>
                <w:kern w:val="0"/>
              </w:rPr>
              <w:t>對核定結果有異議者，應循上述申</w:t>
            </w:r>
            <w:proofErr w:type="gramStart"/>
            <w:r w:rsidRPr="00F52432">
              <w:rPr>
                <w:rFonts w:ascii="標楷體" w:eastAsia="標楷體" w:hAnsi="標楷體"/>
                <w:kern w:val="0"/>
              </w:rPr>
              <w:t>複</w:t>
            </w:r>
            <w:proofErr w:type="gramEnd"/>
            <w:r w:rsidRPr="00F52432">
              <w:rPr>
                <w:rFonts w:ascii="標楷體" w:eastAsia="標楷體" w:hAnsi="標楷體"/>
                <w:kern w:val="0"/>
              </w:rPr>
              <w:t>及爭議審議途徑申請複核或審議，不得以新個案重新申請送核，否則不予受理。</w:t>
            </w:r>
          </w:p>
          <w:p w14:paraId="68FCFC1B"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kern w:val="0"/>
              </w:rPr>
            </w:pPr>
            <w:r w:rsidRPr="00F52432">
              <w:rPr>
                <w:rFonts w:ascii="標楷體" w:eastAsia="標楷體" w:hAnsi="標楷體"/>
                <w:kern w:val="0"/>
              </w:rPr>
              <w:t>保險</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事服務機構如因事出緊急，得以書面說明電傳保險人報備後，先行處理治療，並立即備齊應附文件備查。</w:t>
            </w:r>
          </w:p>
          <w:p w14:paraId="4C607A90" w14:textId="77777777" w:rsidR="00AF3846" w:rsidRPr="00F52432" w:rsidRDefault="00AF3846" w:rsidP="002144EC">
            <w:pPr>
              <w:pStyle w:val="ab"/>
              <w:numPr>
                <w:ilvl w:val="0"/>
                <w:numId w:val="184"/>
              </w:numPr>
              <w:tabs>
                <w:tab w:val="left" w:pos="-749"/>
              </w:tabs>
              <w:spacing w:after="0" w:line="300" w:lineRule="exact"/>
              <w:ind w:left="476" w:hanging="227"/>
              <w:rPr>
                <w:rFonts w:ascii="標楷體" w:eastAsia="標楷體" w:hAnsi="標楷體"/>
              </w:rPr>
            </w:pPr>
            <w:r w:rsidRPr="00F52432">
              <w:rPr>
                <w:rFonts w:ascii="標楷體" w:eastAsia="標楷體" w:hAnsi="標楷體"/>
              </w:rPr>
              <w:t>經核准使用者，</w:t>
            </w:r>
            <w:proofErr w:type="gramStart"/>
            <w:r w:rsidRPr="00F52432">
              <w:rPr>
                <w:rFonts w:ascii="標楷體" w:eastAsia="標楷體" w:hAnsi="標楷體"/>
              </w:rPr>
              <w:t>醫</w:t>
            </w:r>
            <w:proofErr w:type="gramEnd"/>
            <w:r w:rsidRPr="00F52432">
              <w:rPr>
                <w:rFonts w:ascii="標楷體" w:eastAsia="標楷體" w:hAnsi="標楷體"/>
              </w:rPr>
              <w:t>令申報請選</w:t>
            </w:r>
            <w:r w:rsidRPr="00F52432">
              <w:rPr>
                <w:rFonts w:ascii="標楷體" w:eastAsia="標楷體" w:hAnsi="標楷體"/>
                <w:kern w:val="0"/>
              </w:rPr>
              <w:t>擇符合適應症之ICD-10-CM代碼申報，以利檢討及統計。</w:t>
            </w:r>
          </w:p>
        </w:tc>
        <w:tc>
          <w:tcPr>
            <w:tcW w:w="3822" w:type="dxa"/>
            <w:gridSpan w:val="1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C4ACF97" w14:textId="12B086B9" w:rsidR="00AF3846" w:rsidRPr="00F52432" w:rsidRDefault="00AF3846" w:rsidP="00F52432">
            <w:pPr>
              <w:pStyle w:val="ab"/>
              <w:spacing w:line="300" w:lineRule="exact"/>
              <w:rPr>
                <w:rFonts w:ascii="標楷體" w:eastAsia="標楷體" w:hAnsi="標楷體"/>
              </w:rPr>
            </w:pPr>
            <w:r w:rsidRPr="00F52432">
              <w:rPr>
                <w:noProof/>
              </w:rPr>
              <w:lastRenderedPageBreak/>
              <mc:AlternateContent>
                <mc:Choice Requires="wps">
                  <w:drawing>
                    <wp:anchor distT="0" distB="0" distL="114297" distR="114297" simplePos="0" relativeHeight="251682816" behindDoc="0" locked="0" layoutInCell="1" allowOverlap="1" wp14:anchorId="515C058F" wp14:editId="5DA80ABB">
                      <wp:simplePos x="0" y="0"/>
                      <wp:positionH relativeFrom="column">
                        <wp:posOffset>14180184</wp:posOffset>
                      </wp:positionH>
                      <wp:positionV relativeFrom="paragraph">
                        <wp:posOffset>-6350</wp:posOffset>
                      </wp:positionV>
                      <wp:extent cx="0" cy="8255"/>
                      <wp:effectExtent l="0" t="0" r="38100" b="29845"/>
                      <wp:wrapNone/>
                      <wp:docPr id="30" name="直線單箭頭接點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255"/>
                              </a:xfrm>
                              <a:prstGeom prst="straightConnector1">
                                <a:avLst/>
                              </a:prstGeom>
                              <a:noFill/>
                              <a:ln w="9363" cap="flat">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61FBCCAC" id="直線單箭頭接點 30" o:spid="_x0000_s1026" type="#_x0000_t32" style="position:absolute;margin-left:1116.55pt;margin-top:-.5pt;width:0;height:.65pt;z-index:2516828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" strokeweight=".26008mm">
                      <o:lock v:ext="edit" shapetype="f"/>
                    </v:shape>
                  </w:pict>
                </mc:Fallback>
              </mc:AlternateContent>
            </w:r>
            <w:r w:rsidRPr="00F52432">
              <w:rPr>
                <w:rFonts w:ascii="標楷體" w:eastAsia="標楷體" w:hAnsi="標楷體" w:cs="標楷體"/>
              </w:rPr>
              <w:t>衛生福利部中央健康保險署</w:t>
            </w:r>
          </w:p>
          <w:p w14:paraId="4D0A8F33"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日期章戳</w:t>
            </w:r>
          </w:p>
        </w:tc>
        <w:tc>
          <w:tcPr>
            <w:tcW w:w="2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9246BF9"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審查醫師</w:t>
            </w:r>
          </w:p>
        </w:tc>
        <w:tc>
          <w:tcPr>
            <w:tcW w:w="128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4EFE21" w14:textId="77777777" w:rsidR="00AF3846" w:rsidRPr="00F52432" w:rsidRDefault="00AF3846" w:rsidP="00F52432">
            <w:pPr>
              <w:pStyle w:val="ab"/>
              <w:spacing w:line="300" w:lineRule="exact"/>
              <w:ind w:left="447" w:hanging="200"/>
              <w:rPr>
                <w:rFonts w:ascii="標楷體" w:eastAsia="標楷體" w:hAnsi="標楷體" w:cs="標楷體"/>
              </w:rPr>
            </w:pPr>
          </w:p>
        </w:tc>
        <w:tc>
          <w:tcPr>
            <w:tcW w:w="40" w:type="dxa"/>
            <w:vMerge w:val="restart"/>
            <w:tcBorders>
              <w:left w:val="single" w:sz="4" w:space="0" w:color="000000"/>
            </w:tcBorders>
            <w:shd w:val="clear" w:color="auto" w:fill="auto"/>
            <w:tcMar>
              <w:top w:w="0" w:type="dxa"/>
              <w:left w:w="10" w:type="dxa"/>
              <w:bottom w:w="0" w:type="dxa"/>
              <w:right w:w="10" w:type="dxa"/>
            </w:tcMar>
          </w:tcPr>
          <w:p w14:paraId="72782D8C"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72423CCE" w14:textId="77777777" w:rsidTr="00844839">
        <w:trPr>
          <w:trHeight w:val="2009"/>
        </w:trPr>
        <w:tc>
          <w:tcPr>
            <w:tcW w:w="42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E37FBD2" w14:textId="77777777" w:rsidR="00AF3846" w:rsidRPr="00F52432" w:rsidRDefault="00AF3846" w:rsidP="00F52432">
            <w:pPr>
              <w:widowControl/>
              <w:spacing w:line="300" w:lineRule="exact"/>
              <w:rPr>
                <w:rFonts w:ascii="標楷體" w:eastAsia="標楷體" w:hAnsi="標楷體"/>
                <w:szCs w:val="24"/>
              </w:rPr>
            </w:pPr>
          </w:p>
        </w:tc>
        <w:tc>
          <w:tcPr>
            <w:tcW w:w="9074"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4C46987" w14:textId="77777777" w:rsidR="00AF3846" w:rsidRPr="00F52432" w:rsidRDefault="00AF3846" w:rsidP="00F52432">
            <w:pPr>
              <w:widowControl/>
              <w:spacing w:line="300" w:lineRule="exact"/>
              <w:rPr>
                <w:rFonts w:ascii="標楷體" w:eastAsia="標楷體" w:hAnsi="標楷體"/>
                <w:szCs w:val="24"/>
              </w:rPr>
            </w:pPr>
          </w:p>
        </w:tc>
        <w:tc>
          <w:tcPr>
            <w:tcW w:w="3822" w:type="dxa"/>
            <w:gridSpan w:val="13"/>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E112965" w14:textId="77777777" w:rsidR="00AF3846" w:rsidRPr="00F52432" w:rsidRDefault="00AF3846" w:rsidP="00F52432">
            <w:pPr>
              <w:widowControl/>
              <w:spacing w:line="300" w:lineRule="exact"/>
              <w:rPr>
                <w:rFonts w:ascii="標楷體" w:eastAsia="標楷體" w:hAnsi="標楷體"/>
                <w:szCs w:val="24"/>
              </w:rPr>
            </w:pPr>
          </w:p>
        </w:tc>
        <w:tc>
          <w:tcPr>
            <w:tcW w:w="2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36E013A" w14:textId="77777777" w:rsidR="00AF3846" w:rsidRPr="00F52432" w:rsidRDefault="00AF3846" w:rsidP="00F52432">
            <w:pPr>
              <w:widowControl/>
              <w:spacing w:line="300" w:lineRule="exact"/>
              <w:rPr>
                <w:rFonts w:ascii="標楷體" w:eastAsia="標楷體" w:hAnsi="標楷體"/>
                <w:szCs w:val="24"/>
              </w:rPr>
            </w:pPr>
          </w:p>
        </w:tc>
        <w:tc>
          <w:tcPr>
            <w:tcW w:w="128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E31D986" w14:textId="77777777" w:rsidR="00AF3846" w:rsidRPr="00F52432" w:rsidRDefault="00AF3846" w:rsidP="00F52432">
            <w:pPr>
              <w:pStyle w:val="ab"/>
              <w:spacing w:line="300" w:lineRule="exact"/>
              <w:ind w:left="447" w:hanging="200"/>
              <w:rPr>
                <w:rFonts w:ascii="標楷體" w:eastAsia="標楷體" w:hAnsi="標楷體" w:cs="標楷體"/>
              </w:rPr>
            </w:pPr>
          </w:p>
        </w:tc>
        <w:tc>
          <w:tcPr>
            <w:tcW w:w="40" w:type="dxa"/>
            <w:vMerge/>
            <w:tcBorders>
              <w:left w:val="single" w:sz="4" w:space="0" w:color="000000"/>
            </w:tcBorders>
            <w:shd w:val="clear" w:color="auto" w:fill="auto"/>
            <w:tcMar>
              <w:top w:w="0" w:type="dxa"/>
              <w:left w:w="10" w:type="dxa"/>
              <w:bottom w:w="0" w:type="dxa"/>
              <w:right w:w="10" w:type="dxa"/>
            </w:tcMar>
          </w:tcPr>
          <w:p w14:paraId="6972C025" w14:textId="77777777" w:rsidR="00AF3846" w:rsidRPr="00F52432" w:rsidRDefault="00AF3846" w:rsidP="00844839">
            <w:pPr>
              <w:widowControl/>
              <w:spacing w:line="400" w:lineRule="exact"/>
              <w:rPr>
                <w:rFonts w:ascii="標楷體" w:eastAsia="標楷體" w:hAnsi="標楷體"/>
                <w:szCs w:val="24"/>
              </w:rPr>
            </w:pPr>
          </w:p>
        </w:tc>
      </w:tr>
      <w:tr w:rsidR="00AF3846" w:rsidRPr="00F52432" w14:paraId="5767421D" w14:textId="77777777" w:rsidTr="00844839">
        <w:trPr>
          <w:trHeight w:val="1704"/>
        </w:trPr>
        <w:tc>
          <w:tcPr>
            <w:tcW w:w="114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23A438" w14:textId="77777777" w:rsidR="00AF3846" w:rsidRPr="00F52432" w:rsidRDefault="00AF3846" w:rsidP="00F52432">
            <w:pPr>
              <w:pStyle w:val="ab"/>
              <w:spacing w:line="300" w:lineRule="exact"/>
              <w:jc w:val="center"/>
              <w:rPr>
                <w:rFonts w:ascii="標楷體" w:eastAsia="標楷體" w:hAnsi="標楷體" w:cs="標楷體"/>
              </w:rPr>
            </w:pPr>
            <w:proofErr w:type="gramStart"/>
            <w:r w:rsidRPr="00F52432">
              <w:rPr>
                <w:rFonts w:ascii="標楷體" w:eastAsia="標楷體" w:hAnsi="標楷體" w:cs="標楷體"/>
              </w:rPr>
              <w:t>醫</w:t>
            </w:r>
            <w:proofErr w:type="gramEnd"/>
            <w:r w:rsidRPr="00F52432">
              <w:rPr>
                <w:rFonts w:ascii="標楷體" w:eastAsia="標楷體" w:hAnsi="標楷體" w:cs="標楷體"/>
              </w:rPr>
              <w:t>事</w:t>
            </w:r>
          </w:p>
          <w:p w14:paraId="5C5FDC12"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服務</w:t>
            </w:r>
          </w:p>
          <w:p w14:paraId="648A95C0"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機構</w:t>
            </w:r>
          </w:p>
        </w:tc>
        <w:tc>
          <w:tcPr>
            <w:tcW w:w="835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39FC037"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負責醫師                            申請日期：    年     月     日</w:t>
            </w:r>
          </w:p>
          <w:p w14:paraId="129DD32D" w14:textId="77777777" w:rsidR="00AF3846" w:rsidRPr="00F52432" w:rsidRDefault="00AF3846" w:rsidP="00F52432">
            <w:pPr>
              <w:pStyle w:val="ab"/>
              <w:spacing w:line="300" w:lineRule="exact"/>
              <w:ind w:left="527" w:hanging="280"/>
              <w:rPr>
                <w:rFonts w:ascii="標楷體" w:eastAsia="標楷體" w:hAnsi="標楷體"/>
              </w:rPr>
            </w:pPr>
          </w:p>
          <w:p w14:paraId="4BBB2CFB" w14:textId="77777777" w:rsidR="00AF3846" w:rsidRPr="00F52432" w:rsidRDefault="00AF3846" w:rsidP="00F52432">
            <w:pPr>
              <w:pStyle w:val="ab"/>
              <w:spacing w:before="180" w:line="300" w:lineRule="exact"/>
              <w:ind w:right="-170"/>
              <w:rPr>
                <w:rFonts w:ascii="標楷體" w:eastAsia="標楷體" w:hAnsi="標楷體"/>
              </w:rPr>
            </w:pPr>
            <w:r w:rsidRPr="00F52432">
              <w:rPr>
                <w:rFonts w:ascii="標楷體" w:eastAsia="標楷體" w:hAnsi="標楷體" w:cs="標楷體"/>
              </w:rPr>
              <w:t>印信</w:t>
            </w:r>
            <w:r w:rsidRPr="00F52432">
              <w:rPr>
                <w:rFonts w:ascii="標楷體" w:eastAsia="標楷體" w:hAnsi="標楷體"/>
              </w:rPr>
              <w:t xml:space="preserve">　　                                 </w:t>
            </w:r>
            <w:r w:rsidRPr="00F52432">
              <w:rPr>
                <w:rFonts w:ascii="標楷體" w:eastAsia="標楷體" w:hAnsi="標楷體" w:cs="標楷體"/>
              </w:rPr>
              <w:t>文號：</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6B96589"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承辦人</w:t>
            </w:r>
          </w:p>
        </w:tc>
        <w:tc>
          <w:tcPr>
            <w:tcW w:w="103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1791621" w14:textId="77777777" w:rsidR="00AF3846" w:rsidRPr="00F52432" w:rsidRDefault="00AF3846" w:rsidP="00F52432">
            <w:pPr>
              <w:pStyle w:val="ab"/>
              <w:spacing w:line="300" w:lineRule="exact"/>
              <w:jc w:val="center"/>
              <w:rPr>
                <w:rFonts w:ascii="標楷體" w:eastAsia="標楷體" w:hAnsi="標楷體" w:cs="標楷體"/>
              </w:rPr>
            </w:pPr>
          </w:p>
        </w:tc>
        <w:tc>
          <w:tcPr>
            <w:tcW w:w="42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D52D644"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複核</w:t>
            </w:r>
          </w:p>
        </w:tc>
        <w:tc>
          <w:tcPr>
            <w:tcW w:w="82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F2C64A" w14:textId="77777777" w:rsidR="00AF3846" w:rsidRPr="00F52432" w:rsidRDefault="00AF3846" w:rsidP="00F52432">
            <w:pPr>
              <w:pStyle w:val="ab"/>
              <w:spacing w:line="300" w:lineRule="exact"/>
              <w:jc w:val="center"/>
              <w:rPr>
                <w:rFonts w:ascii="標楷體" w:eastAsia="標楷體" w:hAnsi="標楷體" w:cs="標楷體"/>
              </w:rPr>
            </w:pPr>
          </w:p>
        </w:tc>
        <w:tc>
          <w:tcPr>
            <w:tcW w:w="4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AE120C"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科長</w:t>
            </w:r>
          </w:p>
        </w:tc>
        <w:tc>
          <w:tcPr>
            <w:tcW w:w="67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1F7384A" w14:textId="77777777" w:rsidR="00AF3846" w:rsidRPr="00F52432" w:rsidRDefault="00AF3846" w:rsidP="00F52432">
            <w:pPr>
              <w:pStyle w:val="ab"/>
              <w:spacing w:line="300" w:lineRule="exact"/>
              <w:ind w:left="527" w:hanging="280"/>
              <w:rPr>
                <w:rFonts w:ascii="標楷體" w:eastAsia="標楷體" w:hAnsi="標楷體" w:cs="標楷體"/>
              </w:rPr>
            </w:pPr>
          </w:p>
        </w:tc>
        <w:tc>
          <w:tcPr>
            <w:tcW w:w="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437583B"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決行</w:t>
            </w:r>
          </w:p>
          <w:p w14:paraId="3A40B81C" w14:textId="77777777" w:rsidR="00AF3846" w:rsidRPr="00F52432" w:rsidRDefault="00AF3846" w:rsidP="00F52432">
            <w:pPr>
              <w:pStyle w:val="ab"/>
              <w:spacing w:line="300" w:lineRule="exact"/>
              <w:ind w:left="527" w:hanging="280"/>
              <w:rPr>
                <w:rFonts w:ascii="標楷體" w:eastAsia="標楷體" w:hAnsi="標楷體" w:cs="標楷體"/>
              </w:rPr>
            </w:pPr>
          </w:p>
        </w:tc>
        <w:tc>
          <w:tcPr>
            <w:tcW w:w="128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FE3DA7E" w14:textId="77777777" w:rsidR="00AF3846" w:rsidRPr="00F52432" w:rsidRDefault="00AF3846" w:rsidP="00F52432">
            <w:pPr>
              <w:pStyle w:val="ab"/>
              <w:spacing w:line="300" w:lineRule="exact"/>
              <w:ind w:left="447" w:hanging="200"/>
              <w:rPr>
                <w:rFonts w:ascii="標楷體" w:eastAsia="標楷體" w:hAnsi="標楷體" w:cs="標楷體"/>
              </w:rPr>
            </w:pPr>
          </w:p>
        </w:tc>
        <w:tc>
          <w:tcPr>
            <w:tcW w:w="40" w:type="dxa"/>
            <w:shd w:val="clear" w:color="auto" w:fill="auto"/>
            <w:tcMar>
              <w:top w:w="0" w:type="dxa"/>
              <w:left w:w="10" w:type="dxa"/>
              <w:bottom w:w="0" w:type="dxa"/>
              <w:right w:w="10" w:type="dxa"/>
            </w:tcMar>
          </w:tcPr>
          <w:p w14:paraId="43420930" w14:textId="77777777" w:rsidR="00AF3846" w:rsidRPr="00F52432" w:rsidRDefault="00AF3846" w:rsidP="00844839">
            <w:pPr>
              <w:pStyle w:val="ab"/>
              <w:spacing w:line="400" w:lineRule="exact"/>
              <w:ind w:left="527" w:hanging="280"/>
              <w:rPr>
                <w:rFonts w:ascii="標楷體" w:eastAsia="標楷體" w:hAnsi="標楷體"/>
              </w:rPr>
            </w:pPr>
          </w:p>
        </w:tc>
      </w:tr>
    </w:tbl>
    <w:p w14:paraId="2F603DE9" w14:textId="77777777" w:rsidR="00AF3846" w:rsidRPr="00F52432" w:rsidRDefault="00AF3846" w:rsidP="00AF3846">
      <w:pPr>
        <w:rPr>
          <w:szCs w:val="24"/>
        </w:rPr>
      </w:pPr>
    </w:p>
    <w:p w14:paraId="53C3483B" w14:textId="77777777" w:rsidR="007554E9" w:rsidRPr="00F52432" w:rsidRDefault="00C64FB3" w:rsidP="000E757E">
      <w:pPr>
        <w:pageBreakBefore/>
        <w:snapToGrid w:val="0"/>
        <w:spacing w:line="240" w:lineRule="atLeast"/>
        <w:rPr>
          <w:rFonts w:ascii="標楷體" w:eastAsia="標楷體" w:hAnsi="標楷體"/>
          <w:szCs w:val="24"/>
        </w:rPr>
      </w:pPr>
      <w:r w:rsidRPr="00F52432">
        <w:rPr>
          <w:rFonts w:ascii="標楷體" w:eastAsia="標楷體" w:hAnsi="標楷體"/>
          <w:szCs w:val="24"/>
        </w:rPr>
        <w:lastRenderedPageBreak/>
        <w:t xml:space="preserve"> </w:t>
      </w:r>
    </w:p>
    <w:tbl>
      <w:tblPr>
        <w:tblW w:w="14870" w:type="dxa"/>
        <w:tblInd w:w="-274" w:type="dxa"/>
        <w:tblLayout w:type="fixed"/>
        <w:tblCellMar>
          <w:left w:w="10" w:type="dxa"/>
          <w:right w:w="10" w:type="dxa"/>
        </w:tblCellMar>
        <w:tblLook w:val="0000" w:firstRow="0" w:lastRow="0" w:firstColumn="0" w:lastColumn="0" w:noHBand="0" w:noVBand="0"/>
      </w:tblPr>
      <w:tblGrid>
        <w:gridCol w:w="585"/>
        <w:gridCol w:w="535"/>
        <w:gridCol w:w="16"/>
        <w:gridCol w:w="690"/>
        <w:gridCol w:w="1335"/>
        <w:gridCol w:w="374"/>
        <w:gridCol w:w="1067"/>
        <w:gridCol w:w="770"/>
        <w:gridCol w:w="725"/>
        <w:gridCol w:w="580"/>
        <w:gridCol w:w="374"/>
        <w:gridCol w:w="1723"/>
        <w:gridCol w:w="1002"/>
        <w:gridCol w:w="359"/>
        <w:gridCol w:w="90"/>
        <w:gridCol w:w="197"/>
        <w:gridCol w:w="545"/>
        <w:gridCol w:w="222"/>
        <w:gridCol w:w="230"/>
        <w:gridCol w:w="285"/>
        <w:gridCol w:w="436"/>
        <w:gridCol w:w="48"/>
        <w:gridCol w:w="217"/>
        <w:gridCol w:w="73"/>
        <w:gridCol w:w="549"/>
        <w:gridCol w:w="308"/>
        <w:gridCol w:w="293"/>
        <w:gridCol w:w="1242"/>
      </w:tblGrid>
      <w:tr w:rsidR="007554E9" w:rsidRPr="00F52432" w14:paraId="7BA0942B" w14:textId="77777777" w:rsidTr="00844839">
        <w:trPr>
          <w:trHeight w:val="430"/>
        </w:trPr>
        <w:tc>
          <w:tcPr>
            <w:tcW w:w="10135" w:type="dxa"/>
            <w:gridSpan w:val="1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63A7F7" w14:textId="2AED29DF" w:rsidR="007554E9" w:rsidRPr="005C51CB" w:rsidRDefault="007554E9" w:rsidP="00F52432">
            <w:pPr>
              <w:pStyle w:val="ab"/>
              <w:spacing w:line="300" w:lineRule="exact"/>
              <w:ind w:left="527" w:hanging="280"/>
              <w:rPr>
                <w:rFonts w:ascii="標楷體" w:eastAsia="標楷體" w:hAnsi="標楷體"/>
                <w:b/>
                <w:bCs/>
              </w:rPr>
            </w:pPr>
            <w:r w:rsidRPr="00F52432">
              <w:rPr>
                <w:rFonts w:ascii="標楷體" w:eastAsia="標楷體" w:hAnsi="標楷體"/>
              </w:rPr>
              <w:br w:type="page"/>
            </w:r>
            <w:r w:rsidRPr="00F52432">
              <w:rPr>
                <w:rFonts w:ascii="標楷體" w:eastAsia="標楷體" w:hAnsi="標楷體"/>
              </w:rPr>
              <w:br w:type="page"/>
            </w:r>
            <w:r w:rsidRPr="005C51CB">
              <w:rPr>
                <w:rFonts w:ascii="標楷體" w:eastAsia="標楷體" w:hAnsi="標楷體"/>
                <w:b/>
                <w:bCs/>
              </w:rPr>
              <w:t>附表二十九之二</w:t>
            </w:r>
            <w:r w:rsidR="00190A34">
              <w:rPr>
                <w:rFonts w:ascii="標楷體" w:eastAsia="標楷體" w:hAnsi="標楷體" w:hint="eastAsia"/>
                <w:b/>
                <w:bCs/>
              </w:rPr>
              <w:t xml:space="preserve"> </w:t>
            </w:r>
            <w:r w:rsidRPr="005C51CB">
              <w:rPr>
                <w:rFonts w:ascii="標楷體" w:eastAsia="標楷體" w:hAnsi="標楷體"/>
                <w:b/>
                <w:bCs/>
              </w:rPr>
              <w:t>全民健康保險新生血管抑制劑(Anti-angiogenic agents)</w:t>
            </w:r>
          </w:p>
          <w:p w14:paraId="0E2F82F4" w14:textId="77777777" w:rsidR="007554E9" w:rsidRPr="00F52432" w:rsidRDefault="007554E9" w:rsidP="00F52432">
            <w:pPr>
              <w:pStyle w:val="ab"/>
              <w:spacing w:line="300" w:lineRule="exact"/>
              <w:ind w:left="527" w:hanging="280"/>
              <w:rPr>
                <w:rFonts w:ascii="標楷體" w:eastAsia="標楷體" w:hAnsi="標楷體"/>
              </w:rPr>
            </w:pPr>
            <w:r w:rsidRPr="005C51CB">
              <w:rPr>
                <w:rFonts w:ascii="標楷體" w:eastAsia="標楷體" w:hAnsi="標楷體"/>
                <w:b/>
                <w:bCs/>
              </w:rPr>
              <w:t>事前審查申請表(</w:t>
            </w:r>
            <w:proofErr w:type="spellStart"/>
            <w:r w:rsidRPr="005C51CB">
              <w:rPr>
                <w:rFonts w:ascii="標楷體" w:eastAsia="標楷體" w:hAnsi="標楷體"/>
                <w:b/>
                <w:bCs/>
              </w:rPr>
              <w:t>wAMD</w:t>
            </w:r>
            <w:proofErr w:type="spellEnd"/>
            <w:r w:rsidRPr="005C51CB">
              <w:rPr>
                <w:rFonts w:ascii="標楷體" w:eastAsia="標楷體" w:hAnsi="標楷體"/>
                <w:b/>
                <w:bCs/>
              </w:rPr>
              <w:t>、PCV)</w:t>
            </w:r>
          </w:p>
        </w:tc>
        <w:tc>
          <w:tcPr>
            <w:tcW w:w="1569" w:type="dxa"/>
            <w:gridSpan w:val="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FBF8469"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 □送核</w:t>
            </w:r>
          </w:p>
          <w:p w14:paraId="01478BB6"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 □申覆</w:t>
            </w:r>
          </w:p>
        </w:tc>
        <w:tc>
          <w:tcPr>
            <w:tcW w:w="48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C7773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受</w:t>
            </w:r>
          </w:p>
          <w:p w14:paraId="6F367338"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理</w:t>
            </w:r>
          </w:p>
        </w:tc>
        <w:tc>
          <w:tcPr>
            <w:tcW w:w="83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EF0DB1"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日期</w:t>
            </w:r>
          </w:p>
        </w:tc>
        <w:tc>
          <w:tcPr>
            <w:tcW w:w="184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ECEF2D" w14:textId="77777777" w:rsidR="007554E9" w:rsidRPr="00F52432" w:rsidRDefault="007554E9" w:rsidP="00F52432">
            <w:pPr>
              <w:pStyle w:val="ab"/>
              <w:spacing w:line="300" w:lineRule="exact"/>
              <w:ind w:left="527" w:hanging="280"/>
              <w:rPr>
                <w:rFonts w:ascii="標楷體" w:eastAsia="標楷體" w:hAnsi="標楷體"/>
              </w:rPr>
            </w:pPr>
          </w:p>
        </w:tc>
      </w:tr>
      <w:tr w:rsidR="007554E9" w:rsidRPr="00F52432" w14:paraId="1A48719B" w14:textId="77777777" w:rsidTr="00844839">
        <w:trPr>
          <w:trHeight w:val="269"/>
        </w:trPr>
        <w:tc>
          <w:tcPr>
            <w:tcW w:w="10135"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613B84" w14:textId="77777777" w:rsidR="007554E9" w:rsidRPr="00F52432" w:rsidRDefault="007554E9" w:rsidP="00F52432">
            <w:pPr>
              <w:widowControl/>
              <w:spacing w:line="300" w:lineRule="exact"/>
              <w:rPr>
                <w:rFonts w:ascii="標楷體" w:eastAsia="標楷體" w:hAnsi="標楷體"/>
                <w:szCs w:val="24"/>
              </w:rPr>
            </w:pPr>
          </w:p>
        </w:tc>
        <w:tc>
          <w:tcPr>
            <w:tcW w:w="1569" w:type="dxa"/>
            <w:gridSpan w:val="6"/>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352792" w14:textId="77777777" w:rsidR="007554E9" w:rsidRPr="00F52432" w:rsidRDefault="007554E9" w:rsidP="00F52432">
            <w:pPr>
              <w:widowControl/>
              <w:spacing w:line="300" w:lineRule="exact"/>
              <w:rPr>
                <w:rFonts w:ascii="標楷體" w:eastAsia="標楷體" w:hAnsi="標楷體"/>
                <w:szCs w:val="24"/>
              </w:rPr>
            </w:pPr>
          </w:p>
        </w:tc>
        <w:tc>
          <w:tcPr>
            <w:tcW w:w="48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3BE61B" w14:textId="77777777" w:rsidR="007554E9" w:rsidRPr="00F52432" w:rsidRDefault="007554E9" w:rsidP="00F52432">
            <w:pPr>
              <w:widowControl/>
              <w:spacing w:line="300" w:lineRule="exact"/>
              <w:rPr>
                <w:rFonts w:ascii="標楷體" w:eastAsia="標楷體" w:hAnsi="標楷體"/>
                <w:szCs w:val="24"/>
              </w:rPr>
            </w:pPr>
          </w:p>
        </w:tc>
        <w:tc>
          <w:tcPr>
            <w:tcW w:w="83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F75A06"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編號</w:t>
            </w:r>
          </w:p>
        </w:tc>
        <w:tc>
          <w:tcPr>
            <w:tcW w:w="184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D456534" w14:textId="77777777" w:rsidR="007554E9" w:rsidRPr="00F52432" w:rsidRDefault="007554E9" w:rsidP="00F52432">
            <w:pPr>
              <w:pStyle w:val="ab"/>
              <w:spacing w:line="300" w:lineRule="exact"/>
              <w:ind w:left="527" w:hanging="280"/>
              <w:rPr>
                <w:rFonts w:ascii="標楷體" w:eastAsia="標楷體" w:hAnsi="標楷體"/>
              </w:rPr>
            </w:pPr>
          </w:p>
        </w:tc>
      </w:tr>
      <w:tr w:rsidR="007554E9" w:rsidRPr="00F52432" w14:paraId="5A1798E2" w14:textId="77777777" w:rsidTr="00844839">
        <w:trPr>
          <w:trHeight w:val="231"/>
        </w:trPr>
        <w:tc>
          <w:tcPr>
            <w:tcW w:w="5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83B0892" w14:textId="017FDB9E" w:rsidR="007554E9" w:rsidRPr="00F52432" w:rsidRDefault="007554E9" w:rsidP="00F52432">
            <w:pPr>
              <w:pStyle w:val="ab"/>
              <w:spacing w:line="300" w:lineRule="exact"/>
              <w:ind w:left="527" w:hanging="504"/>
              <w:jc w:val="center"/>
              <w:rPr>
                <w:rFonts w:ascii="標楷體" w:eastAsia="標楷體" w:hAnsi="標楷體"/>
              </w:rPr>
            </w:pPr>
            <w:r w:rsidRPr="00F52432">
              <w:rPr>
                <w:noProof/>
              </w:rPr>
              <mc:AlternateContent>
                <mc:Choice Requires="wps">
                  <w:drawing>
                    <wp:anchor distT="0" distB="0" distL="114296" distR="114296" simplePos="0" relativeHeight="251685888" behindDoc="0" locked="0" layoutInCell="1" allowOverlap="1" wp14:anchorId="05B6E45E" wp14:editId="4DA9ADDD">
                      <wp:simplePos x="0" y="0"/>
                      <wp:positionH relativeFrom="column">
                        <wp:posOffset>-7621</wp:posOffset>
                      </wp:positionH>
                      <wp:positionV relativeFrom="paragraph">
                        <wp:posOffset>191770</wp:posOffset>
                      </wp:positionV>
                      <wp:extent cx="0" cy="27940"/>
                      <wp:effectExtent l="0" t="0" r="38100" b="29210"/>
                      <wp:wrapNone/>
                      <wp:docPr id="34" name="直線單箭頭接點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940"/>
                              </a:xfrm>
                              <a:prstGeom prst="straightConnector1">
                                <a:avLst/>
                              </a:prstGeom>
                              <a:noFill/>
                              <a:ln w="9363" cap="flat">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57F1AECA" id="直線單箭頭接點 34" o:spid="_x0000_s1026" type="#_x0000_t32" style="position:absolute;margin-left:-.6pt;margin-top:15.1pt;width:0;height:2.2pt;z-index:251685888;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" strokeweight=".26008mm">
                      <o:lock v:ext="edit" shapetype="f"/>
                    </v:shape>
                  </w:pict>
                </mc:Fallback>
              </mc:AlternateContent>
            </w:r>
            <w:proofErr w:type="gramStart"/>
            <w:r w:rsidRPr="00F52432">
              <w:rPr>
                <w:rFonts w:ascii="標楷體" w:eastAsia="標楷體" w:hAnsi="標楷體"/>
              </w:rPr>
              <w:t>醫</w:t>
            </w:r>
            <w:proofErr w:type="gramEnd"/>
          </w:p>
          <w:p w14:paraId="3BC4AAE5" w14:textId="77777777" w:rsidR="007554E9" w:rsidRPr="00F52432" w:rsidRDefault="007554E9" w:rsidP="00F52432">
            <w:pPr>
              <w:pStyle w:val="ab"/>
              <w:spacing w:line="300" w:lineRule="exact"/>
              <w:ind w:left="527" w:hanging="504"/>
              <w:jc w:val="center"/>
              <w:rPr>
                <w:rFonts w:ascii="標楷體" w:eastAsia="標楷體" w:hAnsi="標楷體"/>
              </w:rPr>
            </w:pPr>
            <w:proofErr w:type="gramStart"/>
            <w:r w:rsidRPr="00F52432">
              <w:rPr>
                <w:rFonts w:ascii="標楷體" w:eastAsia="標楷體" w:hAnsi="標楷體"/>
              </w:rPr>
              <w:t>療</w:t>
            </w:r>
            <w:proofErr w:type="gramEnd"/>
          </w:p>
          <w:p w14:paraId="02DCF594"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機</w:t>
            </w:r>
          </w:p>
          <w:p w14:paraId="71C5CED5"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構</w:t>
            </w:r>
          </w:p>
        </w:tc>
        <w:tc>
          <w:tcPr>
            <w:tcW w:w="5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C9CB7B1"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名稱</w:t>
            </w:r>
          </w:p>
        </w:tc>
        <w:tc>
          <w:tcPr>
            <w:tcW w:w="20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33FEAE0" w14:textId="77777777" w:rsidR="007554E9" w:rsidRPr="00F52432" w:rsidRDefault="007554E9" w:rsidP="00F52432">
            <w:pPr>
              <w:pStyle w:val="ab"/>
              <w:spacing w:line="300" w:lineRule="exact"/>
              <w:ind w:left="527" w:hanging="280"/>
              <w:rPr>
                <w:rFonts w:ascii="標楷體" w:eastAsia="標楷體" w:hAnsi="標楷體"/>
              </w:rPr>
            </w:pPr>
          </w:p>
        </w:tc>
        <w:tc>
          <w:tcPr>
            <w:tcW w:w="37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226A98"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保</w:t>
            </w:r>
          </w:p>
          <w:p w14:paraId="61600D2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險</w:t>
            </w:r>
          </w:p>
          <w:p w14:paraId="3CE66DE2"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對</w:t>
            </w:r>
          </w:p>
          <w:p w14:paraId="6F125E93" w14:textId="77777777" w:rsidR="007554E9" w:rsidRPr="00F52432" w:rsidRDefault="007554E9" w:rsidP="00F52432">
            <w:pPr>
              <w:pStyle w:val="ab"/>
              <w:spacing w:line="300" w:lineRule="exact"/>
              <w:ind w:left="527" w:hanging="504"/>
              <w:jc w:val="center"/>
              <w:rPr>
                <w:rFonts w:ascii="標楷體" w:eastAsia="標楷體" w:hAnsi="標楷體"/>
              </w:rPr>
            </w:pPr>
            <w:proofErr w:type="gramStart"/>
            <w:r w:rsidRPr="00F52432">
              <w:rPr>
                <w:rFonts w:ascii="標楷體" w:eastAsia="標楷體" w:hAnsi="標楷體"/>
              </w:rPr>
              <w:t>象</w:t>
            </w:r>
            <w:proofErr w:type="gramEnd"/>
          </w:p>
        </w:tc>
        <w:tc>
          <w:tcPr>
            <w:tcW w:w="1067"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C327B0"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姓名</w:t>
            </w:r>
          </w:p>
        </w:tc>
        <w:tc>
          <w:tcPr>
            <w:tcW w:w="14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FD64F33" w14:textId="77777777" w:rsidR="007554E9" w:rsidRPr="00F52432" w:rsidRDefault="007554E9" w:rsidP="00F52432">
            <w:pPr>
              <w:pStyle w:val="ab"/>
              <w:spacing w:line="300" w:lineRule="exact"/>
              <w:ind w:left="527" w:hanging="280"/>
              <w:rPr>
                <w:rFonts w:ascii="標楷體" w:eastAsia="標楷體" w:hAnsi="標楷體"/>
              </w:rPr>
            </w:pPr>
          </w:p>
        </w:tc>
        <w:tc>
          <w:tcPr>
            <w:tcW w:w="58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A91D36"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出生</w:t>
            </w:r>
          </w:p>
          <w:p w14:paraId="11D2779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日期</w:t>
            </w:r>
          </w:p>
        </w:tc>
        <w:tc>
          <w:tcPr>
            <w:tcW w:w="209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437117"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xml:space="preserve">   年   月   日</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565BE5"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原受理</w:t>
            </w:r>
          </w:p>
          <w:p w14:paraId="0C10202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編號</w:t>
            </w:r>
          </w:p>
        </w:tc>
        <w:tc>
          <w:tcPr>
            <w:tcW w:w="141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AF6332" w14:textId="77777777" w:rsidR="007554E9" w:rsidRPr="00F52432" w:rsidRDefault="007554E9" w:rsidP="00F52432">
            <w:pPr>
              <w:pStyle w:val="ab"/>
              <w:spacing w:line="300" w:lineRule="exact"/>
              <w:ind w:left="527" w:hanging="280"/>
              <w:rPr>
                <w:rFonts w:ascii="標楷體" w:eastAsia="標楷體" w:hAnsi="標楷體"/>
              </w:rPr>
            </w:pPr>
          </w:p>
        </w:tc>
        <w:tc>
          <w:tcPr>
            <w:tcW w:w="12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7D5F41"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預定實施</w:t>
            </w:r>
          </w:p>
          <w:p w14:paraId="04BC12F7"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日期</w:t>
            </w:r>
          </w:p>
        </w:tc>
        <w:tc>
          <w:tcPr>
            <w:tcW w:w="24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3032B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xml:space="preserve">     年    月    日</w:t>
            </w:r>
          </w:p>
        </w:tc>
      </w:tr>
      <w:tr w:rsidR="007554E9" w:rsidRPr="00F52432" w14:paraId="7D4AD2EC" w14:textId="77777777" w:rsidTr="00844839">
        <w:trPr>
          <w:trHeight w:val="381"/>
        </w:trPr>
        <w:tc>
          <w:tcPr>
            <w:tcW w:w="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510B97" w14:textId="77777777" w:rsidR="007554E9" w:rsidRPr="00F52432" w:rsidRDefault="007554E9" w:rsidP="00F52432">
            <w:pPr>
              <w:widowControl/>
              <w:spacing w:line="300" w:lineRule="exact"/>
              <w:rPr>
                <w:rFonts w:ascii="標楷體" w:eastAsia="標楷體" w:hAnsi="標楷體"/>
                <w:szCs w:val="24"/>
              </w:rPr>
            </w:pPr>
          </w:p>
        </w:tc>
        <w:tc>
          <w:tcPr>
            <w:tcW w:w="5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E36727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代號</w:t>
            </w:r>
          </w:p>
        </w:tc>
        <w:tc>
          <w:tcPr>
            <w:tcW w:w="20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9D37FC1" w14:textId="77777777" w:rsidR="007554E9" w:rsidRPr="00F52432" w:rsidRDefault="007554E9" w:rsidP="00F52432">
            <w:pPr>
              <w:pStyle w:val="ab"/>
              <w:spacing w:line="300" w:lineRule="exact"/>
              <w:ind w:left="527" w:hanging="280"/>
              <w:rPr>
                <w:rFonts w:ascii="標楷體" w:eastAsia="標楷體" w:hAnsi="標楷體"/>
              </w:rPr>
            </w:pPr>
          </w:p>
        </w:tc>
        <w:tc>
          <w:tcPr>
            <w:tcW w:w="37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D8CE48" w14:textId="77777777" w:rsidR="007554E9" w:rsidRPr="00F52432" w:rsidRDefault="007554E9" w:rsidP="00F52432">
            <w:pPr>
              <w:widowControl/>
              <w:spacing w:line="300" w:lineRule="exact"/>
              <w:rPr>
                <w:rFonts w:ascii="標楷體" w:eastAsia="標楷體" w:hAnsi="標楷體"/>
                <w:szCs w:val="24"/>
              </w:rPr>
            </w:pPr>
          </w:p>
        </w:tc>
        <w:tc>
          <w:tcPr>
            <w:tcW w:w="1067"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6E585A"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身分證</w:t>
            </w:r>
          </w:p>
          <w:p w14:paraId="35405760"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統一編號</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64E02F" w14:textId="77777777" w:rsidR="007554E9" w:rsidRPr="00F52432" w:rsidRDefault="007554E9" w:rsidP="00F52432">
            <w:pPr>
              <w:pStyle w:val="ab"/>
              <w:spacing w:line="300" w:lineRule="exact"/>
              <w:ind w:left="527" w:hanging="280"/>
              <w:rPr>
                <w:rFonts w:ascii="標楷體" w:eastAsia="標楷體" w:hAnsi="標楷體"/>
              </w:rPr>
            </w:pPr>
          </w:p>
        </w:tc>
        <w:tc>
          <w:tcPr>
            <w:tcW w:w="37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F92A8A"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科</w:t>
            </w:r>
          </w:p>
          <w:p w14:paraId="49E1C434"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別</w:t>
            </w:r>
          </w:p>
        </w:tc>
        <w:tc>
          <w:tcPr>
            <w:tcW w:w="172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530DF78" w14:textId="77777777" w:rsidR="007554E9" w:rsidRPr="00F52432" w:rsidRDefault="007554E9" w:rsidP="00F52432">
            <w:pPr>
              <w:pStyle w:val="ab"/>
              <w:spacing w:line="300" w:lineRule="exact"/>
              <w:ind w:left="527" w:hanging="280"/>
              <w:rPr>
                <w:rFonts w:ascii="標楷體" w:eastAsia="標楷體" w:hAnsi="標楷體"/>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A03F7"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xml:space="preserve">□ 門診  </w:t>
            </w:r>
          </w:p>
          <w:p w14:paraId="087700D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住院</w:t>
            </w:r>
          </w:p>
        </w:tc>
        <w:tc>
          <w:tcPr>
            <w:tcW w:w="6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868C193"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病歷</w:t>
            </w:r>
          </w:p>
          <w:p w14:paraId="45D71372"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號碼</w:t>
            </w:r>
          </w:p>
        </w:tc>
        <w:tc>
          <w:tcPr>
            <w:tcW w:w="128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11DD98" w14:textId="77777777" w:rsidR="007554E9" w:rsidRPr="00F52432" w:rsidRDefault="007554E9" w:rsidP="00F52432">
            <w:pPr>
              <w:pStyle w:val="ab"/>
              <w:spacing w:line="300" w:lineRule="exact"/>
              <w:ind w:left="527" w:hanging="280"/>
              <w:rPr>
                <w:rFonts w:ascii="標楷體" w:eastAsia="標楷體" w:hAnsi="標楷體"/>
              </w:rPr>
            </w:pPr>
          </w:p>
        </w:tc>
        <w:tc>
          <w:tcPr>
            <w:tcW w:w="163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36F009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申請醫師姓名</w:t>
            </w:r>
          </w:p>
          <w:p w14:paraId="44774C32"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身分證號</w:t>
            </w:r>
          </w:p>
        </w:tc>
        <w:tc>
          <w:tcPr>
            <w:tcW w:w="153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B2E6BE" w14:textId="77777777" w:rsidR="007554E9" w:rsidRPr="00F52432" w:rsidRDefault="007554E9" w:rsidP="00F52432">
            <w:pPr>
              <w:pStyle w:val="ab"/>
              <w:spacing w:line="300" w:lineRule="exact"/>
              <w:ind w:left="527" w:hanging="280"/>
              <w:rPr>
                <w:rFonts w:ascii="標楷體" w:eastAsia="標楷體" w:hAnsi="標楷體"/>
              </w:rPr>
            </w:pPr>
          </w:p>
        </w:tc>
      </w:tr>
      <w:tr w:rsidR="007554E9" w:rsidRPr="00F52432" w14:paraId="31BF90BF" w14:textId="77777777" w:rsidTr="00844839">
        <w:trPr>
          <w:trHeight w:val="684"/>
        </w:trPr>
        <w:tc>
          <w:tcPr>
            <w:tcW w:w="18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8AA80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ICD-10-CM代碼</w:t>
            </w:r>
          </w:p>
        </w:tc>
        <w:tc>
          <w:tcPr>
            <w:tcW w:w="6948"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5C53BA"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w:t>
            </w:r>
            <w:proofErr w:type="spellStart"/>
            <w:r w:rsidRPr="00F52432">
              <w:rPr>
                <w:rFonts w:ascii="標楷體" w:eastAsia="標楷體" w:hAnsi="標楷體"/>
              </w:rPr>
              <w:t>wAMD</w:t>
            </w:r>
            <w:proofErr w:type="spellEnd"/>
            <w:r w:rsidRPr="00F52432">
              <w:rPr>
                <w:rFonts w:ascii="標楷體" w:eastAsia="標楷體" w:hAnsi="標楷體"/>
              </w:rPr>
              <w:t>:__________________　　　 □PCV:___________________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050234"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使用日期</w:t>
            </w:r>
          </w:p>
        </w:tc>
        <w:tc>
          <w:tcPr>
            <w:tcW w:w="509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3253A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     年    月    日至   年   月    日</w:t>
            </w:r>
          </w:p>
        </w:tc>
      </w:tr>
      <w:tr w:rsidR="007554E9" w:rsidRPr="00F52432" w14:paraId="118A34F1" w14:textId="77777777" w:rsidTr="00844839">
        <w:trPr>
          <w:trHeight w:val="300"/>
        </w:trPr>
        <w:tc>
          <w:tcPr>
            <w:tcW w:w="18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20C508"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藥品名稱及代碼</w:t>
            </w:r>
          </w:p>
        </w:tc>
        <w:tc>
          <w:tcPr>
            <w:tcW w:w="35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D338EFD"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申請適應症、類別及數量</w:t>
            </w:r>
          </w:p>
        </w:tc>
        <w:tc>
          <w:tcPr>
            <w:tcW w:w="340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E01338A"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檢附資料</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22EE60"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用法用量</w:t>
            </w:r>
          </w:p>
        </w:tc>
        <w:tc>
          <w:tcPr>
            <w:tcW w:w="509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1FD062"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健 保 署 核 定 欄</w:t>
            </w:r>
          </w:p>
        </w:tc>
      </w:tr>
      <w:tr w:rsidR="007554E9" w:rsidRPr="00F52432" w14:paraId="4C65C6A4" w14:textId="77777777" w:rsidTr="00844839">
        <w:trPr>
          <w:trHeight w:val="2400"/>
        </w:trPr>
        <w:tc>
          <w:tcPr>
            <w:tcW w:w="18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E1DC642"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□ranibizumab</w:t>
            </w:r>
          </w:p>
          <w:p w14:paraId="574BC178" w14:textId="77777777" w:rsidR="007554E9" w:rsidRPr="00F52432" w:rsidRDefault="007554E9" w:rsidP="00F52432">
            <w:pPr>
              <w:pStyle w:val="ab"/>
              <w:spacing w:line="300" w:lineRule="exact"/>
              <w:ind w:left="527" w:hanging="280"/>
              <w:rPr>
                <w:rFonts w:ascii="標楷體" w:eastAsia="標楷體" w:hAnsi="標楷體"/>
              </w:rPr>
            </w:pPr>
          </w:p>
          <w:p w14:paraId="1049FD3A"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□aflibercept</w:t>
            </w:r>
          </w:p>
          <w:p w14:paraId="01844B61" w14:textId="77777777" w:rsidR="007554E9" w:rsidRPr="00F52432" w:rsidRDefault="007554E9" w:rsidP="00F52432">
            <w:pPr>
              <w:pStyle w:val="ab"/>
              <w:spacing w:line="300" w:lineRule="exact"/>
              <w:ind w:left="527" w:hanging="280"/>
              <w:rPr>
                <w:rFonts w:ascii="標楷體" w:eastAsia="標楷體" w:hAnsi="標楷體"/>
              </w:rPr>
            </w:pPr>
          </w:p>
          <w:p w14:paraId="4B4C6948" w14:textId="77777777" w:rsidR="007554E9" w:rsidRPr="00F52432" w:rsidRDefault="007554E9" w:rsidP="00F52432">
            <w:pPr>
              <w:pStyle w:val="ab"/>
              <w:spacing w:line="300" w:lineRule="exact"/>
              <w:rPr>
                <w:rFonts w:ascii="標楷體" w:eastAsia="標楷體" w:hAnsi="標楷體" w:cs="Arial"/>
              </w:rPr>
            </w:pPr>
            <w:r w:rsidRPr="00F52432">
              <w:rPr>
                <w:rFonts w:ascii="標楷體" w:eastAsia="標楷體" w:hAnsi="標楷體" w:cs="Arial"/>
              </w:rPr>
              <w:t>□verteporfi</w:t>
            </w:r>
            <w:r w:rsidRPr="00F52432">
              <w:rPr>
                <w:rFonts w:ascii="標楷體" w:eastAsia="標楷體" w:hAnsi="標楷體" w:cs="Arial" w:hint="eastAsia"/>
              </w:rPr>
              <w:t>n</w:t>
            </w:r>
          </w:p>
          <w:p w14:paraId="4D6FCCF8" w14:textId="77777777" w:rsidR="007554E9" w:rsidRPr="00F52432" w:rsidRDefault="007554E9" w:rsidP="00F52432">
            <w:pPr>
              <w:pStyle w:val="ab"/>
              <w:spacing w:line="300" w:lineRule="exact"/>
              <w:ind w:left="527" w:hanging="280"/>
              <w:rPr>
                <w:rFonts w:ascii="標楷體" w:eastAsia="標楷體" w:hAnsi="標楷體"/>
              </w:rPr>
            </w:pPr>
          </w:p>
          <w:p w14:paraId="551714EB" w14:textId="77777777" w:rsidR="007554E9" w:rsidRPr="00F52432" w:rsidRDefault="007554E9" w:rsidP="00F52432">
            <w:pPr>
              <w:pStyle w:val="ab"/>
              <w:spacing w:line="300" w:lineRule="exact"/>
              <w:rPr>
                <w:rFonts w:ascii="標楷體" w:eastAsia="標楷體" w:hAnsi="標楷體" w:cs="Arial"/>
              </w:rPr>
            </w:pPr>
            <w:r w:rsidRPr="00F52432">
              <w:rPr>
                <w:rFonts w:ascii="標楷體" w:eastAsia="標楷體" w:hAnsi="標楷體"/>
              </w:rPr>
              <w:t>□</w:t>
            </w:r>
            <w:proofErr w:type="spellStart"/>
            <w:r w:rsidRPr="00F52432">
              <w:rPr>
                <w:rFonts w:ascii="標楷體" w:eastAsia="標楷體" w:hAnsi="標楷體"/>
              </w:rPr>
              <w:t>f</w:t>
            </w:r>
            <w:r w:rsidRPr="00F52432">
              <w:rPr>
                <w:rFonts w:ascii="標楷體" w:eastAsia="標楷體" w:hAnsi="標楷體" w:cs="Arial"/>
              </w:rPr>
              <w:t>aricimab</w:t>
            </w:r>
            <w:proofErr w:type="spellEnd"/>
          </w:p>
          <w:p w14:paraId="718A5881" w14:textId="77777777" w:rsidR="007554E9" w:rsidRPr="00F52432" w:rsidRDefault="007554E9" w:rsidP="00F52432">
            <w:pPr>
              <w:pStyle w:val="ab"/>
              <w:spacing w:line="300" w:lineRule="exact"/>
              <w:rPr>
                <w:rFonts w:ascii="標楷體" w:eastAsia="標楷體" w:hAnsi="標楷體"/>
              </w:rPr>
            </w:pPr>
          </w:p>
          <w:p w14:paraId="63724499" w14:textId="77777777" w:rsidR="007554E9" w:rsidRPr="00F52432" w:rsidRDefault="007554E9" w:rsidP="00F52432">
            <w:pPr>
              <w:pStyle w:val="ab"/>
              <w:spacing w:line="300" w:lineRule="exact"/>
              <w:ind w:left="527" w:hanging="280"/>
              <w:rPr>
                <w:rFonts w:ascii="標楷體" w:eastAsia="標楷體" w:hAnsi="標楷體"/>
              </w:rPr>
            </w:pPr>
          </w:p>
          <w:p w14:paraId="31BE859D" w14:textId="77777777" w:rsidR="007554E9" w:rsidRPr="00F52432" w:rsidRDefault="007554E9" w:rsidP="00F52432">
            <w:pPr>
              <w:pStyle w:val="ab"/>
              <w:spacing w:line="300" w:lineRule="exact"/>
              <w:ind w:left="527" w:hanging="280"/>
              <w:rPr>
                <w:rFonts w:ascii="標楷體" w:eastAsia="標楷體" w:hAnsi="標楷體"/>
              </w:rPr>
            </w:pPr>
          </w:p>
        </w:tc>
        <w:tc>
          <w:tcPr>
            <w:tcW w:w="35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189E51" w14:textId="77777777" w:rsidR="007554E9" w:rsidRPr="00F52432" w:rsidRDefault="007554E9" w:rsidP="00F52432">
            <w:pPr>
              <w:pStyle w:val="ab"/>
              <w:spacing w:line="300" w:lineRule="exact"/>
              <w:ind w:left="290" w:hanging="284"/>
              <w:rPr>
                <w:rFonts w:ascii="標楷體" w:eastAsia="標楷體" w:hAnsi="標楷體"/>
              </w:rPr>
            </w:pPr>
            <w:r w:rsidRPr="00F52432">
              <w:rPr>
                <w:rFonts w:ascii="標楷體" w:eastAsia="標楷體" w:hAnsi="標楷體"/>
              </w:rPr>
              <w:t>□</w:t>
            </w:r>
            <w:proofErr w:type="spellStart"/>
            <w:r w:rsidRPr="00F52432">
              <w:rPr>
                <w:rFonts w:ascii="標楷體" w:eastAsia="標楷體" w:hAnsi="標楷體"/>
              </w:rPr>
              <w:t>wAMD</w:t>
            </w:r>
            <w:proofErr w:type="spellEnd"/>
            <w:r w:rsidRPr="00F52432">
              <w:rPr>
                <w:rFonts w:ascii="標楷體" w:eastAsia="標楷體" w:hAnsi="標楷體"/>
              </w:rPr>
              <w:t>：限ranibizumab、aflibercept</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申請。第一次申請時以8支為限，第二次申請為3支，第三次申請3支，每眼給付以14支為限，須於第一次申請核准後5年內使用完畢</w:t>
            </w:r>
          </w:p>
          <w:p w14:paraId="4C7E71CD"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第一次申請(  支)</w:t>
            </w:r>
          </w:p>
          <w:p w14:paraId="29E0A05D"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2974CFED"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01597D29"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61233B00"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第__次申復(  支)</w:t>
            </w:r>
          </w:p>
          <w:p w14:paraId="1F9B562E" w14:textId="77777777" w:rsidR="007554E9" w:rsidRPr="00F52432" w:rsidRDefault="007554E9" w:rsidP="00F52432">
            <w:pPr>
              <w:pStyle w:val="ab"/>
              <w:spacing w:line="300" w:lineRule="exact"/>
              <w:ind w:left="290" w:hanging="284"/>
              <w:rPr>
                <w:rFonts w:ascii="標楷體" w:eastAsia="標楷體" w:hAnsi="標楷體"/>
              </w:rPr>
            </w:pPr>
            <w:r w:rsidRPr="00F52432">
              <w:rPr>
                <w:rFonts w:ascii="標楷體" w:eastAsia="標楷體" w:hAnsi="標楷體"/>
              </w:rPr>
              <w:t>□PCV：限verteporfin、aflibercept、ranibizumab</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申請。verteporfin每次申請給付1</w:t>
            </w:r>
            <w:r w:rsidRPr="00F52432">
              <w:rPr>
                <w:rFonts w:ascii="標楷體" w:eastAsia="標楷體" w:hAnsi="標楷體"/>
              </w:rPr>
              <w:lastRenderedPageBreak/>
              <w:t>支，每眼上限為3支；aflibercept、ranibizumab</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第一次申請時以8支為限，第二次申請為3支，第三次申請3支，每眼給付以14支為限</w:t>
            </w:r>
          </w:p>
          <w:p w14:paraId="2545E639"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第一次申請(  支)</w:t>
            </w:r>
          </w:p>
          <w:p w14:paraId="059DE570"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1577AD2B"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2B3AF5EE"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0FF984DB" w14:textId="77777777" w:rsidR="007554E9" w:rsidRPr="00F52432" w:rsidRDefault="007554E9" w:rsidP="002144EC">
            <w:pPr>
              <w:pStyle w:val="ab"/>
              <w:numPr>
                <w:ilvl w:val="0"/>
                <w:numId w:val="182"/>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第__次申復(  支)</w:t>
            </w:r>
          </w:p>
        </w:tc>
        <w:tc>
          <w:tcPr>
            <w:tcW w:w="340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26A6D6B" w14:textId="77777777" w:rsidR="007554E9" w:rsidRPr="00F52432" w:rsidRDefault="007554E9" w:rsidP="00F52432">
            <w:pPr>
              <w:pStyle w:val="11"/>
              <w:numPr>
                <w:ilvl w:val="0"/>
                <w:numId w:val="1"/>
              </w:numPr>
              <w:spacing w:before="180" w:line="300" w:lineRule="exact"/>
              <w:rPr>
                <w:sz w:val="24"/>
                <w:szCs w:val="24"/>
              </w:rPr>
            </w:pPr>
            <w:r w:rsidRPr="00F52432">
              <w:rPr>
                <w:sz w:val="24"/>
                <w:szCs w:val="24"/>
              </w:rPr>
              <w:lastRenderedPageBreak/>
              <w:t>□</w:t>
            </w:r>
            <w:r w:rsidRPr="00F52432">
              <w:rPr>
                <w:sz w:val="24"/>
                <w:szCs w:val="24"/>
              </w:rPr>
              <w:t>右眼</w:t>
            </w:r>
            <w:r w:rsidRPr="00F52432">
              <w:rPr>
                <w:sz w:val="24"/>
                <w:szCs w:val="24"/>
              </w:rPr>
              <w:t xml:space="preserve">          □</w:t>
            </w:r>
            <w:r w:rsidRPr="00F52432">
              <w:rPr>
                <w:sz w:val="24"/>
                <w:szCs w:val="24"/>
              </w:rPr>
              <w:t>左眼</w:t>
            </w:r>
          </w:p>
          <w:p w14:paraId="77F493FC" w14:textId="77777777" w:rsidR="007554E9" w:rsidRPr="00F52432" w:rsidRDefault="007554E9" w:rsidP="00F52432">
            <w:pPr>
              <w:pStyle w:val="11"/>
              <w:numPr>
                <w:ilvl w:val="0"/>
                <w:numId w:val="1"/>
              </w:numPr>
              <w:spacing w:before="180" w:line="300" w:lineRule="exact"/>
              <w:rPr>
                <w:b/>
                <w:sz w:val="24"/>
                <w:szCs w:val="24"/>
              </w:rPr>
            </w:pPr>
            <w:r w:rsidRPr="00F52432">
              <w:rPr>
                <w:b/>
                <w:sz w:val="24"/>
                <w:szCs w:val="24"/>
              </w:rPr>
              <w:t>第一次</w:t>
            </w:r>
            <w:r w:rsidRPr="00F52432">
              <w:rPr>
                <w:b/>
                <w:sz w:val="24"/>
                <w:szCs w:val="24"/>
              </w:rPr>
              <w:t>:</w:t>
            </w:r>
          </w:p>
          <w:p w14:paraId="7CDE1CF6" w14:textId="77777777" w:rsidR="007554E9" w:rsidRPr="00F52432" w:rsidRDefault="007554E9" w:rsidP="002144EC">
            <w:pPr>
              <w:pStyle w:val="11"/>
              <w:widowControl/>
              <w:numPr>
                <w:ilvl w:val="0"/>
                <w:numId w:val="185"/>
              </w:numPr>
              <w:autoSpaceDE w:val="0"/>
              <w:spacing w:line="300" w:lineRule="exact"/>
              <w:ind w:left="0" w:firstLine="0"/>
              <w:rPr>
                <w:sz w:val="24"/>
                <w:szCs w:val="24"/>
              </w:rPr>
            </w:pPr>
            <w:r w:rsidRPr="00F52432">
              <w:rPr>
                <w:sz w:val="24"/>
                <w:szCs w:val="24"/>
              </w:rPr>
              <w:t>申請前一個月內有效之矯正視力</w:t>
            </w:r>
            <w:r w:rsidRPr="00F52432">
              <w:rPr>
                <w:sz w:val="24"/>
                <w:szCs w:val="24"/>
              </w:rPr>
              <w:t>(</w:t>
            </w:r>
            <w:r w:rsidRPr="00F52432">
              <w:rPr>
                <w:sz w:val="24"/>
                <w:szCs w:val="24"/>
              </w:rPr>
              <w:t>介於</w:t>
            </w:r>
            <w:r w:rsidRPr="00F52432">
              <w:rPr>
                <w:sz w:val="24"/>
                <w:szCs w:val="24"/>
              </w:rPr>
              <w:t>0.05-0.5(</w:t>
            </w:r>
            <w:r w:rsidRPr="00F52432">
              <w:rPr>
                <w:sz w:val="24"/>
                <w:szCs w:val="24"/>
              </w:rPr>
              <w:t>含</w:t>
            </w:r>
            <w:r w:rsidRPr="00F52432">
              <w:rPr>
                <w:sz w:val="24"/>
                <w:szCs w:val="24"/>
              </w:rPr>
              <w:t>)</w:t>
            </w:r>
            <w:r w:rsidRPr="00F52432">
              <w:rPr>
                <w:sz w:val="24"/>
                <w:szCs w:val="24"/>
              </w:rPr>
              <w:t>之間</w:t>
            </w:r>
            <w:r w:rsidRPr="00F52432">
              <w:rPr>
                <w:sz w:val="24"/>
                <w:szCs w:val="24"/>
              </w:rPr>
              <w:t>)</w:t>
            </w:r>
          </w:p>
          <w:p w14:paraId="7009F14A" w14:textId="77777777" w:rsidR="007554E9" w:rsidRPr="00F52432" w:rsidRDefault="007554E9" w:rsidP="002144EC">
            <w:pPr>
              <w:pStyle w:val="11"/>
              <w:widowControl/>
              <w:numPr>
                <w:ilvl w:val="0"/>
                <w:numId w:val="185"/>
              </w:numPr>
              <w:autoSpaceDE w:val="0"/>
              <w:spacing w:line="300" w:lineRule="exact"/>
              <w:ind w:left="57" w:hanging="57"/>
              <w:rPr>
                <w:sz w:val="24"/>
                <w:szCs w:val="24"/>
              </w:rPr>
            </w:pPr>
            <w:r w:rsidRPr="00F52432">
              <w:rPr>
                <w:sz w:val="24"/>
                <w:szCs w:val="24"/>
              </w:rPr>
              <w:t>彩色眼底照片</w:t>
            </w:r>
          </w:p>
          <w:p w14:paraId="487AA1B0" w14:textId="77777777" w:rsidR="007554E9" w:rsidRPr="00F52432" w:rsidRDefault="007554E9" w:rsidP="002144EC">
            <w:pPr>
              <w:pStyle w:val="11"/>
              <w:widowControl/>
              <w:numPr>
                <w:ilvl w:val="0"/>
                <w:numId w:val="185"/>
              </w:numPr>
              <w:autoSpaceDE w:val="0"/>
              <w:spacing w:line="300" w:lineRule="exact"/>
              <w:ind w:left="57" w:hanging="57"/>
              <w:rPr>
                <w:sz w:val="24"/>
                <w:szCs w:val="24"/>
              </w:rPr>
            </w:pPr>
            <w:r w:rsidRPr="00F52432">
              <w:rPr>
                <w:sz w:val="24"/>
                <w:szCs w:val="24"/>
              </w:rPr>
              <w:t>Fluorescein angiography (FAG)</w:t>
            </w:r>
          </w:p>
          <w:p w14:paraId="2399B5E1" w14:textId="77777777" w:rsidR="007554E9" w:rsidRPr="00F52432" w:rsidRDefault="007554E9" w:rsidP="002144EC">
            <w:pPr>
              <w:pStyle w:val="11"/>
              <w:widowControl/>
              <w:numPr>
                <w:ilvl w:val="0"/>
                <w:numId w:val="185"/>
              </w:numPr>
              <w:autoSpaceDE w:val="0"/>
              <w:spacing w:line="300" w:lineRule="exact"/>
              <w:ind w:left="57" w:hanging="57"/>
              <w:rPr>
                <w:sz w:val="24"/>
                <w:szCs w:val="24"/>
              </w:rPr>
            </w:pPr>
            <w:r w:rsidRPr="00F52432">
              <w:rPr>
                <w:sz w:val="24"/>
                <w:szCs w:val="24"/>
              </w:rPr>
              <w:t>Optical coherence tomography (OCT)</w:t>
            </w:r>
          </w:p>
          <w:p w14:paraId="5AE34384" w14:textId="77777777" w:rsidR="007554E9" w:rsidRPr="00F52432" w:rsidRDefault="007554E9" w:rsidP="002144EC">
            <w:pPr>
              <w:pStyle w:val="11"/>
              <w:widowControl/>
              <w:numPr>
                <w:ilvl w:val="0"/>
                <w:numId w:val="185"/>
              </w:numPr>
              <w:autoSpaceDE w:val="0"/>
              <w:spacing w:line="300" w:lineRule="exact"/>
              <w:ind w:left="57" w:hanging="57"/>
              <w:rPr>
                <w:sz w:val="24"/>
                <w:szCs w:val="24"/>
              </w:rPr>
            </w:pPr>
            <w:proofErr w:type="spellStart"/>
            <w:r w:rsidRPr="00F52432">
              <w:rPr>
                <w:sz w:val="24"/>
                <w:szCs w:val="24"/>
              </w:rPr>
              <w:t>Indocyanone</w:t>
            </w:r>
            <w:proofErr w:type="spellEnd"/>
            <w:r w:rsidRPr="00F52432">
              <w:rPr>
                <w:sz w:val="24"/>
                <w:szCs w:val="24"/>
              </w:rPr>
              <w:t xml:space="preserve"> green angiography (ICGA)</w:t>
            </w:r>
            <w:r w:rsidRPr="00F52432">
              <w:rPr>
                <w:sz w:val="24"/>
                <w:szCs w:val="24"/>
              </w:rPr>
              <w:t>，</w:t>
            </w:r>
            <w:r w:rsidRPr="00F52432">
              <w:rPr>
                <w:sz w:val="24"/>
                <w:szCs w:val="24"/>
              </w:rPr>
              <w:t>PCV</w:t>
            </w:r>
            <w:r w:rsidRPr="00F52432">
              <w:rPr>
                <w:sz w:val="24"/>
                <w:szCs w:val="24"/>
              </w:rPr>
              <w:t>患者檢</w:t>
            </w:r>
            <w:proofErr w:type="gramStart"/>
            <w:r w:rsidRPr="00F52432">
              <w:rPr>
                <w:sz w:val="24"/>
                <w:szCs w:val="24"/>
              </w:rPr>
              <w:t>附</w:t>
            </w:r>
            <w:proofErr w:type="gramEnd"/>
            <w:r w:rsidRPr="00F52432">
              <w:rPr>
                <w:sz w:val="24"/>
                <w:szCs w:val="24"/>
              </w:rPr>
              <w:t>。</w:t>
            </w:r>
          </w:p>
          <w:p w14:paraId="5BA2036E" w14:textId="77777777" w:rsidR="007554E9" w:rsidRPr="00F52432" w:rsidRDefault="007554E9" w:rsidP="002144EC">
            <w:pPr>
              <w:pStyle w:val="11"/>
              <w:widowControl/>
              <w:numPr>
                <w:ilvl w:val="0"/>
                <w:numId w:val="185"/>
              </w:numPr>
              <w:autoSpaceDE w:val="0"/>
              <w:spacing w:line="300" w:lineRule="exact"/>
              <w:ind w:left="57" w:hanging="57"/>
              <w:rPr>
                <w:sz w:val="24"/>
                <w:szCs w:val="24"/>
              </w:rPr>
            </w:pPr>
            <w:r w:rsidRPr="00F52432">
              <w:rPr>
                <w:sz w:val="24"/>
                <w:szCs w:val="24"/>
              </w:rPr>
              <w:t>相關病歷紀錄資料</w:t>
            </w:r>
          </w:p>
          <w:p w14:paraId="716A830D" w14:textId="77777777" w:rsidR="007554E9" w:rsidRPr="00F52432" w:rsidRDefault="007554E9" w:rsidP="00F52432">
            <w:pPr>
              <w:pStyle w:val="11"/>
              <w:numPr>
                <w:ilvl w:val="0"/>
                <w:numId w:val="1"/>
              </w:numPr>
              <w:spacing w:before="180" w:line="300" w:lineRule="exact"/>
              <w:rPr>
                <w:b/>
                <w:sz w:val="24"/>
                <w:szCs w:val="24"/>
              </w:rPr>
            </w:pPr>
            <w:r w:rsidRPr="00F52432">
              <w:rPr>
                <w:b/>
                <w:sz w:val="24"/>
                <w:szCs w:val="24"/>
              </w:rPr>
              <w:t>第二次以後</w:t>
            </w:r>
            <w:r w:rsidRPr="00F52432">
              <w:rPr>
                <w:b/>
                <w:sz w:val="24"/>
                <w:szCs w:val="24"/>
              </w:rPr>
              <w:t>:</w:t>
            </w:r>
            <w:r w:rsidRPr="00F52432">
              <w:rPr>
                <w:b/>
                <w:sz w:val="24"/>
                <w:szCs w:val="24"/>
              </w:rPr>
              <w:t>需檢附先前之完整申請資料</w:t>
            </w:r>
          </w:p>
          <w:p w14:paraId="1E327FBD" w14:textId="77777777" w:rsidR="007554E9" w:rsidRPr="00F52432" w:rsidRDefault="007554E9" w:rsidP="002144EC">
            <w:pPr>
              <w:pStyle w:val="11"/>
              <w:widowControl/>
              <w:numPr>
                <w:ilvl w:val="0"/>
                <w:numId w:val="186"/>
              </w:numPr>
              <w:autoSpaceDE w:val="0"/>
              <w:spacing w:line="300" w:lineRule="exact"/>
              <w:ind w:left="57" w:hanging="57"/>
              <w:rPr>
                <w:sz w:val="24"/>
                <w:szCs w:val="24"/>
              </w:rPr>
            </w:pPr>
            <w:r w:rsidRPr="00F52432">
              <w:rPr>
                <w:sz w:val="24"/>
                <w:szCs w:val="24"/>
              </w:rPr>
              <w:lastRenderedPageBreak/>
              <w:t>申請前一個月內有效之矯正視力</w:t>
            </w:r>
            <w:r w:rsidRPr="00F52432">
              <w:rPr>
                <w:sz w:val="24"/>
                <w:szCs w:val="24"/>
              </w:rPr>
              <w:t>(</w:t>
            </w:r>
            <w:r w:rsidRPr="00F52432">
              <w:rPr>
                <w:sz w:val="24"/>
                <w:szCs w:val="24"/>
              </w:rPr>
              <w:t>介於</w:t>
            </w:r>
            <w:r w:rsidRPr="00F52432">
              <w:rPr>
                <w:sz w:val="24"/>
                <w:szCs w:val="24"/>
              </w:rPr>
              <w:t>0.05-0.5(</w:t>
            </w:r>
            <w:r w:rsidRPr="00F52432">
              <w:rPr>
                <w:sz w:val="24"/>
                <w:szCs w:val="24"/>
              </w:rPr>
              <w:t>含</w:t>
            </w:r>
            <w:r w:rsidRPr="00F52432">
              <w:rPr>
                <w:sz w:val="24"/>
                <w:szCs w:val="24"/>
              </w:rPr>
              <w:t>)</w:t>
            </w:r>
            <w:r w:rsidRPr="00F52432">
              <w:rPr>
                <w:sz w:val="24"/>
                <w:szCs w:val="24"/>
              </w:rPr>
              <w:t>之間</w:t>
            </w:r>
            <w:r w:rsidRPr="00F52432">
              <w:rPr>
                <w:sz w:val="24"/>
                <w:szCs w:val="24"/>
              </w:rPr>
              <w:t>)</w:t>
            </w:r>
          </w:p>
          <w:p w14:paraId="125B2C70" w14:textId="77777777" w:rsidR="007554E9" w:rsidRPr="00F52432" w:rsidRDefault="007554E9" w:rsidP="002144EC">
            <w:pPr>
              <w:pStyle w:val="11"/>
              <w:widowControl/>
              <w:numPr>
                <w:ilvl w:val="0"/>
                <w:numId w:val="186"/>
              </w:numPr>
              <w:autoSpaceDE w:val="0"/>
              <w:spacing w:line="300" w:lineRule="exact"/>
              <w:ind w:left="57" w:hanging="57"/>
              <w:rPr>
                <w:sz w:val="24"/>
                <w:szCs w:val="24"/>
              </w:rPr>
            </w:pPr>
            <w:r w:rsidRPr="00F52432">
              <w:rPr>
                <w:sz w:val="24"/>
                <w:szCs w:val="24"/>
              </w:rPr>
              <w:t>彩色眼底照片</w:t>
            </w:r>
          </w:p>
          <w:p w14:paraId="4EC46FB2" w14:textId="77777777" w:rsidR="007554E9" w:rsidRPr="00F52432" w:rsidRDefault="007554E9" w:rsidP="002144EC">
            <w:pPr>
              <w:pStyle w:val="11"/>
              <w:widowControl/>
              <w:numPr>
                <w:ilvl w:val="0"/>
                <w:numId w:val="186"/>
              </w:numPr>
              <w:autoSpaceDE w:val="0"/>
              <w:spacing w:line="300" w:lineRule="exact"/>
              <w:ind w:left="57" w:hanging="57"/>
              <w:rPr>
                <w:sz w:val="24"/>
                <w:szCs w:val="24"/>
              </w:rPr>
            </w:pPr>
            <w:r w:rsidRPr="00F52432">
              <w:rPr>
                <w:sz w:val="24"/>
                <w:szCs w:val="24"/>
              </w:rPr>
              <w:t>OCT(</w:t>
            </w:r>
            <w:r w:rsidRPr="00F52432">
              <w:rPr>
                <w:sz w:val="24"/>
                <w:szCs w:val="24"/>
              </w:rPr>
              <w:t>或</w:t>
            </w:r>
            <w:r w:rsidRPr="00F52432">
              <w:rPr>
                <w:sz w:val="24"/>
                <w:szCs w:val="24"/>
              </w:rPr>
              <w:t>OCTA)</w:t>
            </w:r>
          </w:p>
          <w:p w14:paraId="60FDE38B" w14:textId="77777777" w:rsidR="007554E9" w:rsidRPr="00F52432" w:rsidRDefault="007554E9" w:rsidP="002144EC">
            <w:pPr>
              <w:pStyle w:val="11"/>
              <w:widowControl/>
              <w:numPr>
                <w:ilvl w:val="0"/>
                <w:numId w:val="186"/>
              </w:numPr>
              <w:autoSpaceDE w:val="0"/>
              <w:spacing w:line="300" w:lineRule="exact"/>
              <w:ind w:left="57" w:hanging="57"/>
              <w:rPr>
                <w:sz w:val="24"/>
                <w:szCs w:val="24"/>
              </w:rPr>
            </w:pPr>
            <w:r w:rsidRPr="00F52432">
              <w:rPr>
                <w:sz w:val="24"/>
                <w:szCs w:val="24"/>
              </w:rPr>
              <w:t>相關病歷紀錄資料</w:t>
            </w:r>
          </w:p>
          <w:p w14:paraId="070F2A36" w14:textId="77777777" w:rsidR="007554E9" w:rsidRPr="00F52432" w:rsidRDefault="007554E9" w:rsidP="002144EC">
            <w:pPr>
              <w:pStyle w:val="11"/>
              <w:widowControl/>
              <w:numPr>
                <w:ilvl w:val="0"/>
                <w:numId w:val="186"/>
              </w:numPr>
              <w:autoSpaceDE w:val="0"/>
              <w:spacing w:line="300" w:lineRule="exact"/>
              <w:ind w:left="57" w:hanging="57"/>
              <w:rPr>
                <w:sz w:val="24"/>
                <w:szCs w:val="24"/>
              </w:rPr>
            </w:pPr>
            <w:r w:rsidRPr="00F52432">
              <w:rPr>
                <w:sz w:val="24"/>
                <w:szCs w:val="24"/>
              </w:rPr>
              <w:t>ICGA</w:t>
            </w:r>
            <w:r w:rsidRPr="00F52432">
              <w:rPr>
                <w:sz w:val="24"/>
                <w:szCs w:val="24"/>
              </w:rPr>
              <w:t>、</w:t>
            </w:r>
            <w:r w:rsidRPr="00F52432">
              <w:rPr>
                <w:sz w:val="24"/>
                <w:szCs w:val="24"/>
              </w:rPr>
              <w:t>FAG</w:t>
            </w:r>
            <w:r w:rsidRPr="00F52432">
              <w:rPr>
                <w:sz w:val="24"/>
                <w:szCs w:val="24"/>
              </w:rPr>
              <w:t>事前審查時要求</w:t>
            </w:r>
            <w:proofErr w:type="gramStart"/>
            <w:r w:rsidRPr="00F52432">
              <w:rPr>
                <w:sz w:val="24"/>
                <w:szCs w:val="24"/>
              </w:rPr>
              <w:t>補附才</w:t>
            </w:r>
            <w:proofErr w:type="gramEnd"/>
            <w:r w:rsidRPr="00F52432">
              <w:rPr>
                <w:sz w:val="24"/>
                <w:szCs w:val="24"/>
              </w:rPr>
              <w:t>需檢</w:t>
            </w:r>
            <w:proofErr w:type="gramStart"/>
            <w:r w:rsidRPr="00F52432">
              <w:rPr>
                <w:sz w:val="24"/>
                <w:szCs w:val="24"/>
              </w:rPr>
              <w:t>附</w:t>
            </w:r>
            <w:proofErr w:type="gramEnd"/>
            <w:r w:rsidRPr="00F52432">
              <w:rPr>
                <w:sz w:val="24"/>
                <w:szCs w:val="24"/>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BD2FD81" w14:textId="77777777" w:rsidR="007554E9" w:rsidRPr="00F52432" w:rsidRDefault="007554E9" w:rsidP="00F52432">
            <w:pPr>
              <w:pStyle w:val="ab"/>
              <w:spacing w:line="300" w:lineRule="exact"/>
              <w:ind w:left="527" w:hanging="280"/>
              <w:rPr>
                <w:rFonts w:ascii="標楷體" w:eastAsia="標楷體" w:hAnsi="標楷體"/>
              </w:rPr>
            </w:pPr>
          </w:p>
        </w:tc>
        <w:tc>
          <w:tcPr>
            <w:tcW w:w="509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8543E4B" w14:textId="77777777" w:rsidR="007554E9" w:rsidRPr="00F52432" w:rsidRDefault="007554E9" w:rsidP="00F52432">
            <w:pPr>
              <w:pStyle w:val="ab"/>
              <w:tabs>
                <w:tab w:val="left" w:pos="240"/>
              </w:tabs>
              <w:spacing w:line="300" w:lineRule="exact"/>
              <w:ind w:left="527" w:hanging="280"/>
              <w:rPr>
                <w:rFonts w:ascii="標楷體" w:eastAsia="標楷體" w:hAnsi="標楷體"/>
              </w:rPr>
            </w:pPr>
            <w:r w:rsidRPr="00F52432">
              <w:rPr>
                <w:rFonts w:ascii="標楷體" w:eastAsia="標楷體" w:hAnsi="標楷體"/>
              </w:rPr>
              <w:t>□同意備查。</w:t>
            </w:r>
          </w:p>
          <w:p w14:paraId="72E6839B"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□使用劑量不符合常規，核定量為               </w:t>
            </w:r>
          </w:p>
          <w:p w14:paraId="1053D2A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□不同意</w:t>
            </w:r>
          </w:p>
          <w:p w14:paraId="7AC47E78" w14:textId="77777777" w:rsidR="007554E9" w:rsidRPr="00F52432" w:rsidRDefault="007554E9" w:rsidP="002144EC">
            <w:pPr>
              <w:pStyle w:val="ab"/>
              <w:numPr>
                <w:ilvl w:val="0"/>
                <w:numId w:val="187"/>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不符合適應症。</w:t>
            </w:r>
          </w:p>
          <w:p w14:paraId="5F34B7D4" w14:textId="77777777" w:rsidR="007554E9" w:rsidRPr="00F52432" w:rsidRDefault="007554E9" w:rsidP="002144EC">
            <w:pPr>
              <w:pStyle w:val="ab"/>
              <w:numPr>
                <w:ilvl w:val="0"/>
                <w:numId w:val="187"/>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不符給付規定。</w:t>
            </w:r>
          </w:p>
          <w:p w14:paraId="047D3223" w14:textId="77777777" w:rsidR="007554E9" w:rsidRPr="00F52432" w:rsidRDefault="007554E9" w:rsidP="002144EC">
            <w:pPr>
              <w:pStyle w:val="ab"/>
              <w:numPr>
                <w:ilvl w:val="0"/>
                <w:numId w:val="187"/>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下列需排除之情況未排除：</w:t>
            </w:r>
          </w:p>
          <w:p w14:paraId="51F90E54" w14:textId="77777777" w:rsidR="007554E9" w:rsidRPr="00F52432" w:rsidRDefault="007554E9" w:rsidP="00F52432">
            <w:pPr>
              <w:pStyle w:val="ab"/>
              <w:spacing w:line="300" w:lineRule="exact"/>
              <w:ind w:left="527" w:hanging="280"/>
              <w:rPr>
                <w:rFonts w:ascii="標楷體" w:eastAsia="標楷體" w:hAnsi="標楷體"/>
              </w:rPr>
            </w:pPr>
          </w:p>
          <w:p w14:paraId="5AA78D66" w14:textId="77777777" w:rsidR="007554E9" w:rsidRPr="00F52432" w:rsidRDefault="007554E9" w:rsidP="00F52432">
            <w:pPr>
              <w:pStyle w:val="ab"/>
              <w:spacing w:line="300" w:lineRule="exact"/>
              <w:ind w:left="527" w:hanging="280"/>
              <w:rPr>
                <w:rFonts w:ascii="標楷體" w:eastAsia="標楷體" w:hAnsi="標楷體"/>
              </w:rPr>
            </w:pPr>
          </w:p>
          <w:p w14:paraId="68E85692" w14:textId="77777777" w:rsidR="007554E9" w:rsidRPr="00F52432" w:rsidRDefault="007554E9" w:rsidP="00F52432">
            <w:pPr>
              <w:pStyle w:val="ab"/>
              <w:spacing w:line="300" w:lineRule="exact"/>
              <w:ind w:left="527" w:hanging="280"/>
              <w:rPr>
                <w:rFonts w:ascii="標楷體" w:eastAsia="標楷體" w:hAnsi="標楷體"/>
              </w:rPr>
            </w:pPr>
          </w:p>
          <w:p w14:paraId="344E1B0C" w14:textId="77777777" w:rsidR="007554E9" w:rsidRPr="00F52432" w:rsidRDefault="007554E9" w:rsidP="002144EC">
            <w:pPr>
              <w:pStyle w:val="ab"/>
              <w:numPr>
                <w:ilvl w:val="0"/>
                <w:numId w:val="187"/>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相關檢驗、檢查報告不全，</w:t>
            </w:r>
            <w:proofErr w:type="gramStart"/>
            <w:r w:rsidRPr="00F52432">
              <w:rPr>
                <w:rFonts w:ascii="標楷體" w:eastAsia="標楷體" w:hAnsi="標楷體"/>
              </w:rPr>
              <w:t>補附資料</w:t>
            </w:r>
            <w:proofErr w:type="gramEnd"/>
            <w:r w:rsidRPr="00F52432">
              <w:rPr>
                <w:rFonts w:ascii="標楷體" w:eastAsia="標楷體" w:hAnsi="標楷體"/>
              </w:rPr>
              <w:t>再審，請補充以下資料：</w:t>
            </w:r>
          </w:p>
          <w:p w14:paraId="33706670" w14:textId="77777777" w:rsidR="007554E9" w:rsidRPr="00F52432" w:rsidRDefault="007554E9" w:rsidP="00F52432">
            <w:pPr>
              <w:pStyle w:val="ab"/>
              <w:spacing w:line="300" w:lineRule="exact"/>
              <w:ind w:left="527" w:hanging="280"/>
              <w:rPr>
                <w:rFonts w:ascii="標楷體" w:eastAsia="標楷體" w:hAnsi="標楷體"/>
              </w:rPr>
            </w:pPr>
          </w:p>
          <w:p w14:paraId="7A16B0AC" w14:textId="77777777" w:rsidR="007554E9" w:rsidRPr="00F52432" w:rsidRDefault="007554E9" w:rsidP="00F52432">
            <w:pPr>
              <w:pStyle w:val="ab"/>
              <w:spacing w:line="300" w:lineRule="exact"/>
              <w:ind w:left="527" w:hanging="280"/>
              <w:rPr>
                <w:rFonts w:ascii="標楷體" w:eastAsia="標楷體" w:hAnsi="標楷體"/>
              </w:rPr>
            </w:pPr>
          </w:p>
          <w:p w14:paraId="5384BC75" w14:textId="77777777" w:rsidR="007554E9" w:rsidRPr="00F52432" w:rsidRDefault="007554E9" w:rsidP="00F52432">
            <w:pPr>
              <w:pStyle w:val="ab"/>
              <w:spacing w:line="300" w:lineRule="exact"/>
              <w:ind w:left="527" w:hanging="280"/>
              <w:rPr>
                <w:rFonts w:ascii="標楷體" w:eastAsia="標楷體" w:hAnsi="標楷體"/>
              </w:rPr>
            </w:pPr>
          </w:p>
          <w:p w14:paraId="263EA5A7" w14:textId="77777777" w:rsidR="007554E9" w:rsidRPr="00F52432" w:rsidRDefault="007554E9" w:rsidP="002144EC">
            <w:pPr>
              <w:pStyle w:val="ab"/>
              <w:numPr>
                <w:ilvl w:val="0"/>
                <w:numId w:val="187"/>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其他：</w:t>
            </w:r>
          </w:p>
        </w:tc>
      </w:tr>
      <w:tr w:rsidR="007554E9" w:rsidRPr="00F52432" w14:paraId="05FD4934" w14:textId="77777777" w:rsidTr="00844839">
        <w:trPr>
          <w:trHeight w:val="3349"/>
        </w:trPr>
        <w:tc>
          <w:tcPr>
            <w:tcW w:w="5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7826CA6"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t>注  意  事  項</w:t>
            </w:r>
          </w:p>
        </w:tc>
        <w:tc>
          <w:tcPr>
            <w:tcW w:w="9191"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18F0BCC" w14:textId="77777777" w:rsidR="007554E9" w:rsidRPr="00F52432" w:rsidRDefault="007554E9" w:rsidP="002144EC">
            <w:pPr>
              <w:pStyle w:val="ab"/>
              <w:numPr>
                <w:ilvl w:val="0"/>
                <w:numId w:val="188"/>
              </w:numPr>
              <w:tabs>
                <w:tab w:val="left" w:pos="-749"/>
              </w:tabs>
              <w:spacing w:before="100" w:after="100" w:line="300" w:lineRule="exact"/>
              <w:ind w:left="527" w:hanging="278"/>
              <w:rPr>
                <w:rFonts w:ascii="標楷體" w:eastAsia="標楷體" w:hAnsi="標楷體"/>
              </w:rPr>
            </w:pPr>
            <w:r w:rsidRPr="00F52432">
              <w:rPr>
                <w:rFonts w:ascii="標楷體" w:eastAsia="標楷體" w:hAnsi="標楷體"/>
                <w:kern w:val="0"/>
              </w:rPr>
              <w:t>本申請書限一人一案，由本保險特約</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事服務機構填報，</w:t>
            </w:r>
            <w:proofErr w:type="gramStart"/>
            <w:r w:rsidRPr="00F52432">
              <w:rPr>
                <w:rFonts w:ascii="標楷體" w:eastAsia="標楷體" w:hAnsi="標楷體"/>
                <w:kern w:val="0"/>
              </w:rPr>
              <w:t>不</w:t>
            </w:r>
            <w:proofErr w:type="gramEnd"/>
            <w:r w:rsidRPr="00F52432">
              <w:rPr>
                <w:rFonts w:ascii="標楷體" w:eastAsia="標楷體" w:hAnsi="標楷體"/>
                <w:kern w:val="0"/>
              </w:rPr>
              <w:t>必備文，請</w:t>
            </w:r>
            <w:proofErr w:type="gramStart"/>
            <w:r w:rsidRPr="00F52432">
              <w:rPr>
                <w:rFonts w:ascii="標楷體" w:eastAsia="標楷體" w:hAnsi="標楷體"/>
                <w:kern w:val="0"/>
              </w:rPr>
              <w:t>逕</w:t>
            </w:r>
            <w:proofErr w:type="gramEnd"/>
            <w:r w:rsidRPr="00F52432">
              <w:rPr>
                <w:rFonts w:ascii="標楷體" w:eastAsia="標楷體" w:hAnsi="標楷體"/>
                <w:kern w:val="0"/>
              </w:rPr>
              <w:t>向健保署各分區業務組申請審核。</w:t>
            </w:r>
          </w:p>
          <w:p w14:paraId="47C475BD" w14:textId="77777777" w:rsidR="007554E9" w:rsidRPr="00F52432" w:rsidRDefault="007554E9" w:rsidP="002144EC">
            <w:pPr>
              <w:pStyle w:val="ab"/>
              <w:numPr>
                <w:ilvl w:val="0"/>
                <w:numId w:val="188"/>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「原受理編號」申復時填寫，初次送核不須填寫。</w:t>
            </w:r>
          </w:p>
          <w:p w14:paraId="56E5AB53" w14:textId="77777777" w:rsidR="007554E9" w:rsidRPr="00F52432" w:rsidRDefault="007554E9" w:rsidP="002144EC">
            <w:pPr>
              <w:pStyle w:val="ab"/>
              <w:numPr>
                <w:ilvl w:val="0"/>
                <w:numId w:val="188"/>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應事前審查之項目未依規定事前申請核准者，不予給付費用；事前申請核准之個案，日後如經審定保險對象或</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事服務機構有不符全民健康保險給付規定者，亦不予給付費用。</w:t>
            </w:r>
          </w:p>
          <w:p w14:paraId="43EA7CEC" w14:textId="77777777" w:rsidR="007554E9" w:rsidRPr="00F52432" w:rsidRDefault="007554E9" w:rsidP="002144EC">
            <w:pPr>
              <w:pStyle w:val="ab"/>
              <w:numPr>
                <w:ilvl w:val="0"/>
                <w:numId w:val="188"/>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對核定結果如有異議，得於收到核定通知之日起六十日內，重行填寫乙份申請書(應勾</w:t>
            </w:r>
            <w:proofErr w:type="gramStart"/>
            <w:r w:rsidRPr="00F52432">
              <w:rPr>
                <w:rFonts w:ascii="標楷體" w:eastAsia="標楷體" w:hAnsi="標楷體"/>
                <w:kern w:val="0"/>
              </w:rPr>
              <w:t>註</w:t>
            </w:r>
            <w:proofErr w:type="gramEnd"/>
            <w:r w:rsidRPr="00F52432">
              <w:rPr>
                <w:rFonts w:ascii="標楷體" w:eastAsia="標楷體" w:hAnsi="標楷體"/>
                <w:kern w:val="0"/>
              </w:rPr>
              <w:t>申復，</w:t>
            </w:r>
            <w:proofErr w:type="gramStart"/>
            <w:r w:rsidRPr="00F52432">
              <w:rPr>
                <w:rFonts w:ascii="標楷體" w:eastAsia="標楷體" w:hAnsi="標楷體"/>
                <w:kern w:val="0"/>
              </w:rPr>
              <w:t>並填明原</w:t>
            </w:r>
            <w:proofErr w:type="gramEnd"/>
            <w:r w:rsidRPr="00F52432">
              <w:rPr>
                <w:rFonts w:ascii="標楷體" w:eastAsia="標楷體" w:hAnsi="標楷體"/>
                <w:kern w:val="0"/>
              </w:rPr>
              <w:t>受理編號)向原核定單位申請複核。</w:t>
            </w:r>
          </w:p>
          <w:p w14:paraId="15C7478C" w14:textId="77777777" w:rsidR="007554E9" w:rsidRPr="00F52432" w:rsidRDefault="007554E9" w:rsidP="002144EC">
            <w:pPr>
              <w:pStyle w:val="ab"/>
              <w:numPr>
                <w:ilvl w:val="0"/>
                <w:numId w:val="188"/>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對複核結果如有異議，得於收到複核通知之日起六十日內向全民健保爭議審議委員會申請審議。</w:t>
            </w:r>
          </w:p>
          <w:p w14:paraId="19108939" w14:textId="77777777" w:rsidR="007554E9" w:rsidRPr="00F52432" w:rsidRDefault="007554E9" w:rsidP="002144EC">
            <w:pPr>
              <w:pStyle w:val="ab"/>
              <w:numPr>
                <w:ilvl w:val="0"/>
                <w:numId w:val="188"/>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對核定結果有異議者，應循上述申</w:t>
            </w:r>
            <w:proofErr w:type="gramStart"/>
            <w:r w:rsidRPr="00F52432">
              <w:rPr>
                <w:rFonts w:ascii="標楷體" w:eastAsia="標楷體" w:hAnsi="標楷體"/>
                <w:kern w:val="0"/>
              </w:rPr>
              <w:t>複</w:t>
            </w:r>
            <w:proofErr w:type="gramEnd"/>
            <w:r w:rsidRPr="00F52432">
              <w:rPr>
                <w:rFonts w:ascii="標楷體" w:eastAsia="標楷體" w:hAnsi="標楷體"/>
                <w:kern w:val="0"/>
              </w:rPr>
              <w:t>及爭議審議途徑申請複核或審議，不得以新個案重新申請送核，否則不予受理。</w:t>
            </w:r>
          </w:p>
          <w:p w14:paraId="2A6D0E80" w14:textId="77777777" w:rsidR="007554E9" w:rsidRPr="00F52432" w:rsidRDefault="007554E9" w:rsidP="002144EC">
            <w:pPr>
              <w:pStyle w:val="ab"/>
              <w:numPr>
                <w:ilvl w:val="0"/>
                <w:numId w:val="188"/>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保險</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事服務機構如因事出緊急，得以書面說明電傳保險人報備後，先行處理治療，並立即備齊應附文件備查。</w:t>
            </w:r>
          </w:p>
          <w:p w14:paraId="34D20038" w14:textId="77777777" w:rsidR="007554E9" w:rsidRPr="00F52432" w:rsidRDefault="007554E9" w:rsidP="002144EC">
            <w:pPr>
              <w:pStyle w:val="ab"/>
              <w:numPr>
                <w:ilvl w:val="0"/>
                <w:numId w:val="188"/>
              </w:numPr>
              <w:tabs>
                <w:tab w:val="left" w:pos="-749"/>
              </w:tabs>
              <w:spacing w:before="100" w:after="100" w:line="300" w:lineRule="exact"/>
              <w:ind w:left="527" w:hanging="280"/>
              <w:rPr>
                <w:rFonts w:ascii="標楷體" w:eastAsia="標楷體" w:hAnsi="標楷體"/>
              </w:rPr>
            </w:pPr>
            <w:r w:rsidRPr="00F52432">
              <w:rPr>
                <w:rFonts w:ascii="標楷體" w:eastAsia="標楷體" w:hAnsi="標楷體"/>
                <w:kern w:val="0"/>
              </w:rPr>
              <w:t>經核准使用者，</w:t>
            </w:r>
            <w:proofErr w:type="gramStart"/>
            <w:r w:rsidRPr="00F52432">
              <w:rPr>
                <w:rFonts w:ascii="標楷體" w:eastAsia="標楷體" w:hAnsi="標楷體"/>
                <w:kern w:val="0"/>
              </w:rPr>
              <w:t>醫</w:t>
            </w:r>
            <w:proofErr w:type="gramEnd"/>
            <w:r w:rsidRPr="00F52432">
              <w:rPr>
                <w:rFonts w:ascii="標楷體" w:eastAsia="標楷體" w:hAnsi="標楷體"/>
                <w:kern w:val="0"/>
              </w:rPr>
              <w:t>令申報請選</w:t>
            </w:r>
            <w:r w:rsidRPr="00F52432">
              <w:rPr>
                <w:rFonts w:ascii="標楷體" w:eastAsia="標楷體" w:hAnsi="標楷體"/>
              </w:rPr>
              <w:t>擇符合適應症之ICD-10-CM代碼申報，以利檢討及統計。</w:t>
            </w:r>
          </w:p>
        </w:tc>
        <w:tc>
          <w:tcPr>
            <w:tcW w:w="3559" w:type="dxa"/>
            <w:gridSpan w:val="1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75F354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衛生福利部中央健康保險署</w:t>
            </w:r>
          </w:p>
          <w:p w14:paraId="1A8B522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日期章戳</w:t>
            </w:r>
          </w:p>
        </w:tc>
        <w:tc>
          <w:tcPr>
            <w:tcW w:w="29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DDAD9DC"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審查醫師</w:t>
            </w: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FE4C242" w14:textId="77777777" w:rsidR="007554E9" w:rsidRPr="00F52432" w:rsidRDefault="007554E9" w:rsidP="00F52432">
            <w:pPr>
              <w:pStyle w:val="ab"/>
              <w:spacing w:line="300" w:lineRule="exact"/>
              <w:ind w:left="447" w:hanging="200"/>
              <w:rPr>
                <w:rFonts w:ascii="標楷體" w:eastAsia="標楷體" w:hAnsi="標楷體"/>
              </w:rPr>
            </w:pPr>
          </w:p>
        </w:tc>
      </w:tr>
      <w:tr w:rsidR="007554E9" w:rsidRPr="00F52432" w14:paraId="5DB0BDDC" w14:textId="77777777" w:rsidTr="00844839">
        <w:trPr>
          <w:trHeight w:val="1598"/>
        </w:trPr>
        <w:tc>
          <w:tcPr>
            <w:tcW w:w="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EE00AB" w14:textId="77777777" w:rsidR="007554E9" w:rsidRPr="00F52432" w:rsidRDefault="007554E9" w:rsidP="00F52432">
            <w:pPr>
              <w:widowControl/>
              <w:spacing w:line="300" w:lineRule="exact"/>
              <w:rPr>
                <w:rFonts w:ascii="標楷體" w:eastAsia="標楷體" w:hAnsi="標楷體"/>
                <w:szCs w:val="24"/>
              </w:rPr>
            </w:pPr>
          </w:p>
        </w:tc>
        <w:tc>
          <w:tcPr>
            <w:tcW w:w="9191"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59C837A" w14:textId="77777777" w:rsidR="007554E9" w:rsidRPr="00F52432" w:rsidRDefault="007554E9" w:rsidP="00F52432">
            <w:pPr>
              <w:widowControl/>
              <w:spacing w:line="300" w:lineRule="exact"/>
              <w:rPr>
                <w:rFonts w:ascii="標楷體" w:eastAsia="標楷體" w:hAnsi="標楷體"/>
                <w:szCs w:val="24"/>
              </w:rPr>
            </w:pPr>
          </w:p>
        </w:tc>
        <w:tc>
          <w:tcPr>
            <w:tcW w:w="3559" w:type="dxa"/>
            <w:gridSpan w:val="13"/>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6CB39E" w14:textId="77777777" w:rsidR="007554E9" w:rsidRPr="00F52432" w:rsidRDefault="007554E9" w:rsidP="00F52432">
            <w:pPr>
              <w:widowControl/>
              <w:spacing w:line="300" w:lineRule="exact"/>
              <w:rPr>
                <w:rFonts w:ascii="標楷體" w:eastAsia="標楷體" w:hAnsi="標楷體"/>
                <w:szCs w:val="24"/>
              </w:rPr>
            </w:pPr>
          </w:p>
        </w:tc>
        <w:tc>
          <w:tcPr>
            <w:tcW w:w="29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5337522" w14:textId="77777777" w:rsidR="007554E9" w:rsidRPr="00F52432" w:rsidRDefault="007554E9" w:rsidP="00F52432">
            <w:pPr>
              <w:widowControl/>
              <w:spacing w:line="300" w:lineRule="exact"/>
              <w:rPr>
                <w:rFonts w:ascii="標楷體" w:eastAsia="標楷體" w:hAnsi="標楷體"/>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2219729" w14:textId="77777777" w:rsidR="007554E9" w:rsidRPr="00F52432" w:rsidRDefault="007554E9" w:rsidP="00F52432">
            <w:pPr>
              <w:pStyle w:val="ab"/>
              <w:spacing w:line="300" w:lineRule="exact"/>
              <w:ind w:left="447" w:hanging="200"/>
              <w:rPr>
                <w:rFonts w:ascii="標楷體" w:eastAsia="標楷體" w:hAnsi="標楷體"/>
              </w:rPr>
            </w:pPr>
          </w:p>
        </w:tc>
      </w:tr>
      <w:tr w:rsidR="007554E9" w:rsidRPr="00F52432" w14:paraId="23F233D2" w14:textId="77777777" w:rsidTr="00844839">
        <w:trPr>
          <w:trHeight w:val="1132"/>
        </w:trPr>
        <w:tc>
          <w:tcPr>
            <w:tcW w:w="1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0708314" w14:textId="77777777" w:rsidR="007554E9" w:rsidRPr="00F52432" w:rsidRDefault="007554E9" w:rsidP="00F52432">
            <w:pPr>
              <w:pStyle w:val="ab"/>
              <w:spacing w:line="300" w:lineRule="exact"/>
              <w:ind w:left="527" w:hanging="535"/>
              <w:jc w:val="center"/>
              <w:rPr>
                <w:rFonts w:ascii="標楷體" w:eastAsia="標楷體" w:hAnsi="標楷體"/>
              </w:rPr>
            </w:pPr>
            <w:proofErr w:type="gramStart"/>
            <w:r w:rsidRPr="00F52432">
              <w:rPr>
                <w:rFonts w:ascii="標楷體" w:eastAsia="標楷體" w:hAnsi="標楷體"/>
              </w:rPr>
              <w:lastRenderedPageBreak/>
              <w:t>醫</w:t>
            </w:r>
            <w:proofErr w:type="gramEnd"/>
            <w:r w:rsidRPr="00F52432">
              <w:rPr>
                <w:rFonts w:ascii="標楷體" w:eastAsia="標楷體" w:hAnsi="標楷體"/>
              </w:rPr>
              <w:t>事</w:t>
            </w:r>
          </w:p>
          <w:p w14:paraId="57618529" w14:textId="77777777" w:rsidR="007554E9" w:rsidRPr="00F52432" w:rsidRDefault="007554E9" w:rsidP="00F52432">
            <w:pPr>
              <w:pStyle w:val="ab"/>
              <w:spacing w:line="300" w:lineRule="exact"/>
              <w:ind w:left="527" w:hanging="535"/>
              <w:jc w:val="center"/>
              <w:rPr>
                <w:rFonts w:ascii="標楷體" w:eastAsia="標楷體" w:hAnsi="標楷體"/>
              </w:rPr>
            </w:pPr>
            <w:r w:rsidRPr="00F52432">
              <w:rPr>
                <w:rFonts w:ascii="標楷體" w:eastAsia="標楷體" w:hAnsi="標楷體"/>
              </w:rPr>
              <w:t>服務</w:t>
            </w:r>
          </w:p>
          <w:p w14:paraId="533E4924" w14:textId="77777777" w:rsidR="007554E9" w:rsidRPr="00F52432" w:rsidRDefault="007554E9" w:rsidP="00F52432">
            <w:pPr>
              <w:pStyle w:val="ab"/>
              <w:spacing w:line="300" w:lineRule="exact"/>
              <w:ind w:left="527" w:hanging="535"/>
              <w:jc w:val="center"/>
              <w:rPr>
                <w:rFonts w:ascii="標楷體" w:eastAsia="標楷體" w:hAnsi="標楷體"/>
              </w:rPr>
            </w:pPr>
            <w:r w:rsidRPr="00F52432">
              <w:rPr>
                <w:rFonts w:ascii="標楷體" w:eastAsia="標楷體" w:hAnsi="標楷體"/>
              </w:rPr>
              <w:t>機構</w:t>
            </w:r>
          </w:p>
        </w:tc>
        <w:tc>
          <w:tcPr>
            <w:tcW w:w="8656"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788BC5A" w14:textId="77777777" w:rsidR="007554E9" w:rsidRPr="00F52432" w:rsidRDefault="007554E9" w:rsidP="00F52432">
            <w:pPr>
              <w:pStyle w:val="ab"/>
              <w:spacing w:line="300" w:lineRule="exact"/>
              <w:ind w:left="527" w:hanging="535"/>
              <w:jc w:val="center"/>
              <w:rPr>
                <w:rFonts w:ascii="標楷體" w:eastAsia="標楷體" w:hAnsi="標楷體" w:cs="標楷體"/>
              </w:rPr>
            </w:pPr>
            <w:r w:rsidRPr="00F52432">
              <w:rPr>
                <w:rFonts w:ascii="標楷體" w:eastAsia="標楷體" w:hAnsi="標楷體" w:cs="標楷體"/>
              </w:rPr>
              <w:t xml:space="preserve">負責醫師                            </w:t>
            </w:r>
            <w:r w:rsidRPr="00F52432">
              <w:rPr>
                <w:rFonts w:ascii="標楷體" w:eastAsia="標楷體" w:hAnsi="標楷體"/>
              </w:rPr>
              <w:t>申請</w:t>
            </w:r>
            <w:r w:rsidRPr="00F52432">
              <w:rPr>
                <w:rFonts w:ascii="標楷體" w:eastAsia="標楷體" w:hAnsi="標楷體" w:cs="標楷體"/>
              </w:rPr>
              <w:t>日期：    年     月     日</w:t>
            </w:r>
          </w:p>
          <w:p w14:paraId="73AE8D1A" w14:textId="77777777" w:rsidR="007554E9" w:rsidRPr="00F52432" w:rsidRDefault="007554E9" w:rsidP="00F52432">
            <w:pPr>
              <w:pStyle w:val="ab"/>
              <w:spacing w:line="300" w:lineRule="exact"/>
              <w:ind w:left="527" w:hanging="280"/>
              <w:rPr>
                <w:rFonts w:ascii="標楷體" w:eastAsia="標楷體" w:hAnsi="標楷體" w:cs="標楷體"/>
              </w:rPr>
            </w:pPr>
          </w:p>
          <w:p w14:paraId="0A68186F" w14:textId="77777777" w:rsidR="007554E9" w:rsidRPr="00F52432" w:rsidRDefault="007554E9" w:rsidP="00F52432">
            <w:pPr>
              <w:pStyle w:val="ab"/>
              <w:spacing w:before="180" w:line="300" w:lineRule="exact"/>
              <w:ind w:right="-170"/>
              <w:rPr>
                <w:rFonts w:ascii="標楷體" w:eastAsia="標楷體" w:hAnsi="標楷體"/>
              </w:rPr>
            </w:pPr>
            <w:r w:rsidRPr="00F52432">
              <w:rPr>
                <w:rFonts w:ascii="標楷體" w:eastAsia="標楷體" w:hAnsi="標楷體" w:cs="標楷體"/>
              </w:rPr>
              <w:t>印信　　                                  文號：</w:t>
            </w:r>
          </w:p>
        </w:tc>
        <w:tc>
          <w:tcPr>
            <w:tcW w:w="44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7E02B6"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t>承辦人</w:t>
            </w:r>
          </w:p>
        </w:tc>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3AD649" w14:textId="77777777" w:rsidR="007554E9" w:rsidRPr="00F52432" w:rsidRDefault="007554E9" w:rsidP="00F52432">
            <w:pPr>
              <w:pStyle w:val="ab"/>
              <w:spacing w:line="300" w:lineRule="exact"/>
              <w:jc w:val="center"/>
              <w:rPr>
                <w:rFonts w:ascii="標楷體" w:eastAsia="標楷體" w:hAnsi="標楷體" w:cs="標楷體"/>
              </w:rPr>
            </w:pPr>
          </w:p>
        </w:tc>
        <w:tc>
          <w:tcPr>
            <w:tcW w:w="4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3B8403"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t>複核</w:t>
            </w:r>
          </w:p>
        </w:tc>
        <w:tc>
          <w:tcPr>
            <w:tcW w:w="72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444A99" w14:textId="77777777" w:rsidR="007554E9" w:rsidRPr="00F52432" w:rsidRDefault="007554E9" w:rsidP="00F52432">
            <w:pPr>
              <w:pStyle w:val="ab"/>
              <w:spacing w:line="300" w:lineRule="exact"/>
              <w:jc w:val="center"/>
              <w:rPr>
                <w:rFonts w:ascii="標楷體" w:eastAsia="標楷體" w:hAnsi="標楷體" w:cs="標楷體"/>
              </w:rPr>
            </w:pPr>
          </w:p>
        </w:tc>
        <w:tc>
          <w:tcPr>
            <w:tcW w:w="33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7EE8B72"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t>科長</w:t>
            </w:r>
          </w:p>
        </w:tc>
        <w:tc>
          <w:tcPr>
            <w:tcW w:w="85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6899A4" w14:textId="77777777" w:rsidR="007554E9" w:rsidRPr="00F52432" w:rsidRDefault="007554E9" w:rsidP="00F52432">
            <w:pPr>
              <w:pStyle w:val="ab"/>
              <w:spacing w:line="300" w:lineRule="exact"/>
              <w:ind w:left="527" w:hanging="280"/>
              <w:rPr>
                <w:rFonts w:ascii="標楷體" w:eastAsia="標楷體" w:hAnsi="標楷體"/>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8DADA8E"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決行</w:t>
            </w:r>
          </w:p>
          <w:p w14:paraId="2EFF5958" w14:textId="77777777" w:rsidR="007554E9" w:rsidRPr="00F52432" w:rsidRDefault="007554E9" w:rsidP="00F52432">
            <w:pPr>
              <w:pStyle w:val="ab"/>
              <w:spacing w:line="300" w:lineRule="exact"/>
              <w:ind w:left="527" w:hanging="280"/>
              <w:rPr>
                <w:rFonts w:ascii="標楷體" w:eastAsia="標楷體" w:hAnsi="標楷體"/>
              </w:rPr>
            </w:pP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13640E" w14:textId="77777777" w:rsidR="007554E9" w:rsidRPr="00F52432" w:rsidRDefault="007554E9" w:rsidP="00F52432">
            <w:pPr>
              <w:pStyle w:val="ab"/>
              <w:spacing w:line="300" w:lineRule="exact"/>
              <w:ind w:left="447" w:hanging="200"/>
              <w:rPr>
                <w:rFonts w:ascii="標楷體" w:eastAsia="標楷體" w:hAnsi="標楷體"/>
              </w:rPr>
            </w:pPr>
          </w:p>
        </w:tc>
      </w:tr>
    </w:tbl>
    <w:p w14:paraId="1DBAC4C0" w14:textId="77777777" w:rsidR="007554E9" w:rsidRPr="00F52432" w:rsidRDefault="007554E9" w:rsidP="007554E9">
      <w:pPr>
        <w:spacing w:line="400" w:lineRule="exact"/>
        <w:rPr>
          <w:rFonts w:ascii="標楷體" w:eastAsia="標楷體" w:hAnsi="標楷體"/>
          <w:color w:val="000000"/>
          <w:szCs w:val="24"/>
        </w:rPr>
      </w:pPr>
    </w:p>
    <w:p w14:paraId="5B589C2A" w14:textId="02E2D99F" w:rsidR="00401786" w:rsidRDefault="00401786" w:rsidP="000E757E">
      <w:pPr>
        <w:pageBreakBefore/>
        <w:snapToGrid w:val="0"/>
        <w:spacing w:line="240" w:lineRule="atLeast"/>
        <w:rPr>
          <w:rFonts w:ascii="標楷體" w:eastAsia="標楷體" w:hAnsi="標楷體"/>
        </w:rPr>
      </w:pPr>
    </w:p>
    <w:p w14:paraId="42BFB4B0" w14:textId="381EC971" w:rsidR="00E21F86" w:rsidRPr="005C51CB" w:rsidRDefault="00E21F86" w:rsidP="00C761A6">
      <w:pPr>
        <w:snapToGrid w:val="0"/>
        <w:spacing w:line="300" w:lineRule="exact"/>
        <w:jc w:val="center"/>
        <w:rPr>
          <w:rFonts w:ascii="標楷體" w:eastAsia="標楷體" w:hAnsi="標楷體"/>
          <w:b/>
          <w:bCs/>
        </w:rPr>
      </w:pPr>
      <w:r w:rsidRPr="005C51CB">
        <w:rPr>
          <w:rFonts w:ascii="標楷體" w:eastAsia="標楷體" w:hAnsi="標楷體" w:cs="Calibri"/>
          <w:b/>
          <w:bCs/>
        </w:rPr>
        <w:t>附表三十之</w:t>
      </w:r>
      <w:proofErr w:type="gramStart"/>
      <w:r w:rsidRPr="005C51CB">
        <w:rPr>
          <w:rFonts w:ascii="標楷體" w:eastAsia="標楷體" w:hAnsi="標楷體" w:cs="Calibri"/>
          <w:b/>
          <w:bCs/>
        </w:rPr>
        <w:t>一</w:t>
      </w:r>
      <w:proofErr w:type="gramEnd"/>
      <w:r w:rsidR="00190A34">
        <w:rPr>
          <w:rFonts w:ascii="標楷體" w:eastAsia="標楷體" w:hAnsi="標楷體" w:cs="Calibri" w:hint="eastAsia"/>
          <w:b/>
          <w:bCs/>
        </w:rPr>
        <w:t xml:space="preserve"> </w:t>
      </w:r>
      <w:r w:rsidRPr="005C51CB">
        <w:rPr>
          <w:rFonts w:ascii="標楷體" w:eastAsia="標楷體" w:hAnsi="標楷體" w:cs="Calibri"/>
          <w:b/>
          <w:bCs/>
        </w:rPr>
        <w:t>全民健康保險使用陣發性夜間血紅素尿症治療藥品eculizumab、</w:t>
      </w:r>
      <w:proofErr w:type="spellStart"/>
      <w:r w:rsidRPr="005C51CB">
        <w:rPr>
          <w:rFonts w:ascii="標楷體" w:eastAsia="標楷體" w:hAnsi="標楷體" w:cs="Calibri"/>
          <w:b/>
          <w:bCs/>
        </w:rPr>
        <w:t>ravulizumab</w:t>
      </w:r>
      <w:proofErr w:type="spellEnd"/>
      <w:r w:rsidRPr="005C51CB">
        <w:rPr>
          <w:rFonts w:ascii="標楷體" w:eastAsia="標楷體" w:hAnsi="標楷體" w:cs="Calibri" w:hint="eastAsia"/>
          <w:b/>
          <w:bCs/>
        </w:rPr>
        <w:t>、</w:t>
      </w:r>
      <w:proofErr w:type="spellStart"/>
      <w:r w:rsidRPr="005C51CB">
        <w:rPr>
          <w:rFonts w:ascii="標楷體" w:eastAsia="標楷體" w:hAnsi="標楷體" w:cs="Calibri"/>
          <w:b/>
          <w:bCs/>
        </w:rPr>
        <w:t>crovalimab</w:t>
      </w:r>
      <w:proofErr w:type="spellEnd"/>
      <w:r w:rsidRPr="005C51CB">
        <w:rPr>
          <w:rFonts w:ascii="標楷體" w:eastAsia="標楷體" w:hAnsi="標楷體" w:cs="Calibri"/>
          <w:b/>
          <w:bCs/>
        </w:rPr>
        <w:t>特殊專案審查申請表</w:t>
      </w:r>
    </w:p>
    <w:tbl>
      <w:tblPr>
        <w:tblW w:w="14436" w:type="dxa"/>
        <w:tblInd w:w="227" w:type="dxa"/>
        <w:tblLayout w:type="fixed"/>
        <w:tblCellMar>
          <w:left w:w="10" w:type="dxa"/>
          <w:right w:w="10" w:type="dxa"/>
        </w:tblCellMar>
        <w:tblLook w:val="04A0" w:firstRow="1" w:lastRow="0" w:firstColumn="1" w:lastColumn="0" w:noHBand="0" w:noVBand="1"/>
      </w:tblPr>
      <w:tblGrid>
        <w:gridCol w:w="387"/>
        <w:gridCol w:w="401"/>
        <w:gridCol w:w="681"/>
        <w:gridCol w:w="953"/>
        <w:gridCol w:w="359"/>
        <w:gridCol w:w="106"/>
        <w:gridCol w:w="253"/>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350"/>
        <w:gridCol w:w="7"/>
        <w:gridCol w:w="951"/>
        <w:gridCol w:w="40"/>
      </w:tblGrid>
      <w:tr w:rsidR="00E21F86" w:rsidRPr="00AA0B1C" w14:paraId="00CB4031" w14:textId="77777777" w:rsidTr="002016D2">
        <w:trPr>
          <w:cantSplit/>
          <w:trHeight w:val="523"/>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4F83AD10" w14:textId="77777777" w:rsidR="00E21F86" w:rsidRPr="00AA0B1C" w:rsidRDefault="00E21F86" w:rsidP="00C761A6">
            <w:pPr>
              <w:snapToGrid w:val="0"/>
              <w:spacing w:line="300" w:lineRule="exact"/>
              <w:jc w:val="both"/>
              <w:rPr>
                <w:rFonts w:ascii="標楷體" w:eastAsia="標楷體" w:hAnsi="標楷體" w:cs="Calibri"/>
                <w:sz w:val="20"/>
                <w:szCs w:val="20"/>
              </w:rPr>
            </w:pPr>
            <w:r w:rsidRPr="00AA0B1C">
              <w:rPr>
                <w:rFonts w:ascii="標楷體" w:eastAsia="標楷體" w:hAnsi="標楷體" w:cs="Calibri"/>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931296"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3CBAD0"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D7B1DA"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受理編號：</w:t>
            </w:r>
          </w:p>
        </w:tc>
        <w:tc>
          <w:tcPr>
            <w:tcW w:w="28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CECE71"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緊急傳真日期：</w:t>
            </w:r>
          </w:p>
        </w:tc>
        <w:tc>
          <w:tcPr>
            <w:tcW w:w="40" w:type="dxa"/>
            <w:shd w:val="clear" w:color="auto" w:fill="auto"/>
            <w:tcMar>
              <w:top w:w="0" w:type="dxa"/>
              <w:left w:w="10" w:type="dxa"/>
              <w:bottom w:w="0" w:type="dxa"/>
              <w:right w:w="10" w:type="dxa"/>
            </w:tcMar>
          </w:tcPr>
          <w:p w14:paraId="17D27B27" w14:textId="77777777" w:rsidR="00E21F86" w:rsidRPr="00AA0B1C" w:rsidRDefault="00E21F86" w:rsidP="00C761A6">
            <w:pPr>
              <w:snapToGrid w:val="0"/>
              <w:spacing w:line="300" w:lineRule="exact"/>
              <w:rPr>
                <w:rFonts w:ascii="標楷體" w:eastAsia="標楷體" w:hAnsi="標楷體" w:cs="Calibri"/>
              </w:rPr>
            </w:pPr>
          </w:p>
        </w:tc>
      </w:tr>
      <w:tr w:rsidR="00FB2161" w:rsidRPr="00AA0B1C" w14:paraId="0FC21C57" w14:textId="77777777" w:rsidTr="002016D2">
        <w:trPr>
          <w:cantSplit/>
          <w:trHeight w:val="523"/>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42EFE330" w14:textId="77777777" w:rsidR="00FB2161" w:rsidRPr="00AA0B1C" w:rsidRDefault="00FB2161" w:rsidP="00C761A6">
            <w:pPr>
              <w:snapToGrid w:val="0"/>
              <w:spacing w:line="300" w:lineRule="exact"/>
              <w:jc w:val="both"/>
              <w:rPr>
                <w:rFonts w:ascii="標楷體" w:eastAsia="標楷體" w:hAnsi="標楷體" w:cs="Calibri"/>
                <w:sz w:val="20"/>
                <w:szCs w:val="20"/>
              </w:rPr>
            </w:pP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EB91A4" w14:textId="77777777" w:rsidR="00FB2161" w:rsidRPr="00AA0B1C" w:rsidRDefault="00FB2161" w:rsidP="00C761A6">
            <w:pPr>
              <w:snapToGrid w:val="0"/>
              <w:spacing w:line="300" w:lineRule="exact"/>
              <w:jc w:val="center"/>
              <w:rPr>
                <w:rFonts w:ascii="標楷體" w:eastAsia="標楷體" w:hAnsi="標楷體" w:cs="Calibri"/>
                <w:sz w:val="20"/>
                <w:szCs w:val="20"/>
              </w:rPr>
            </w:pP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3EF4F3" w14:textId="77777777" w:rsidR="00FB2161" w:rsidRPr="00AA0B1C" w:rsidRDefault="00FB2161" w:rsidP="00C761A6">
            <w:pPr>
              <w:snapToGrid w:val="0"/>
              <w:spacing w:line="300" w:lineRule="exact"/>
              <w:rPr>
                <w:rFonts w:ascii="標楷體" w:eastAsia="標楷體" w:hAnsi="標楷體" w:cs="Calibri"/>
                <w:sz w:val="20"/>
                <w:szCs w:val="20"/>
              </w:rPr>
            </w:pP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480D35" w14:textId="77777777" w:rsidR="00FB2161" w:rsidRPr="00AA0B1C" w:rsidRDefault="00FB2161" w:rsidP="00C761A6">
            <w:pPr>
              <w:snapToGrid w:val="0"/>
              <w:spacing w:line="300" w:lineRule="exact"/>
              <w:rPr>
                <w:rFonts w:ascii="標楷體" w:eastAsia="標楷體" w:hAnsi="標楷體" w:cs="Calibri"/>
                <w:sz w:val="20"/>
                <w:szCs w:val="20"/>
              </w:rPr>
            </w:pPr>
          </w:p>
        </w:tc>
        <w:tc>
          <w:tcPr>
            <w:tcW w:w="28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2F78B4" w14:textId="77777777" w:rsidR="00FB2161" w:rsidRPr="00AA0B1C" w:rsidRDefault="00FB2161" w:rsidP="00C761A6">
            <w:pPr>
              <w:snapToGrid w:val="0"/>
              <w:spacing w:line="300" w:lineRule="exact"/>
              <w:rPr>
                <w:rFonts w:ascii="標楷體" w:eastAsia="標楷體" w:hAnsi="標楷體" w:cs="Calibri"/>
                <w:sz w:val="20"/>
                <w:szCs w:val="20"/>
              </w:rPr>
            </w:pPr>
          </w:p>
        </w:tc>
        <w:tc>
          <w:tcPr>
            <w:tcW w:w="40" w:type="dxa"/>
            <w:shd w:val="clear" w:color="auto" w:fill="auto"/>
            <w:tcMar>
              <w:top w:w="0" w:type="dxa"/>
              <w:left w:w="10" w:type="dxa"/>
              <w:bottom w:w="0" w:type="dxa"/>
              <w:right w:w="10" w:type="dxa"/>
            </w:tcMar>
          </w:tcPr>
          <w:p w14:paraId="3C36720C" w14:textId="77777777" w:rsidR="00FB2161" w:rsidRPr="00AA0B1C" w:rsidRDefault="00FB2161" w:rsidP="00C761A6">
            <w:pPr>
              <w:snapToGrid w:val="0"/>
              <w:spacing w:line="300" w:lineRule="exact"/>
              <w:rPr>
                <w:rFonts w:ascii="標楷體" w:eastAsia="標楷體" w:hAnsi="標楷體" w:cs="Calibri"/>
              </w:rPr>
            </w:pPr>
          </w:p>
        </w:tc>
      </w:tr>
      <w:tr w:rsidR="00E21F86" w:rsidRPr="00AA0B1C" w14:paraId="1D4A3831" w14:textId="77777777" w:rsidTr="002016D2">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6A540C"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醫療機構</w:t>
            </w:r>
          </w:p>
        </w:tc>
        <w:tc>
          <w:tcPr>
            <w:tcW w:w="10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270555"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名稱</w:t>
            </w:r>
          </w:p>
        </w:tc>
        <w:tc>
          <w:tcPr>
            <w:tcW w:w="13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048355" w14:textId="77777777" w:rsidR="00E21F86" w:rsidRPr="00AA0B1C" w:rsidRDefault="00E21F86" w:rsidP="00C761A6">
            <w:pPr>
              <w:snapToGrid w:val="0"/>
              <w:spacing w:line="300" w:lineRule="exact"/>
              <w:rPr>
                <w:rFonts w:ascii="標楷體" w:eastAsia="標楷體" w:hAnsi="標楷體" w:cs="Calibri"/>
                <w:sz w:val="20"/>
                <w:szCs w:val="20"/>
              </w:rPr>
            </w:pPr>
          </w:p>
        </w:tc>
        <w:tc>
          <w:tcPr>
            <w:tcW w:w="359"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2F0FD3"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保</w:t>
            </w:r>
          </w:p>
          <w:p w14:paraId="267ED11E"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險</w:t>
            </w:r>
          </w:p>
          <w:p w14:paraId="6A293FF7"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對</w:t>
            </w:r>
          </w:p>
          <w:p w14:paraId="4B87DF4A" w14:textId="77777777" w:rsidR="00E21F86" w:rsidRPr="00AA0B1C" w:rsidRDefault="00E21F86" w:rsidP="00C761A6">
            <w:pPr>
              <w:snapToGrid w:val="0"/>
              <w:spacing w:line="300" w:lineRule="exact"/>
              <w:jc w:val="center"/>
              <w:rPr>
                <w:rFonts w:ascii="標楷體" w:eastAsia="標楷體" w:hAnsi="標楷體"/>
              </w:rPr>
            </w:pPr>
            <w:proofErr w:type="gramStart"/>
            <w:r w:rsidRPr="00AA0B1C">
              <w:rPr>
                <w:rFonts w:ascii="標楷體" w:eastAsia="標楷體" w:hAnsi="標楷體" w:cs="Calibri"/>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8DFDB0"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4A20AF" w14:textId="77777777" w:rsidR="00E21F86" w:rsidRPr="00AA0B1C" w:rsidRDefault="00E21F86" w:rsidP="00C761A6">
            <w:pPr>
              <w:snapToGrid w:val="0"/>
              <w:spacing w:line="300" w:lineRule="exact"/>
              <w:rPr>
                <w:rFonts w:ascii="標楷體" w:eastAsia="標楷體" w:hAnsi="標楷體" w:cs="Calibri"/>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D48196"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7C3130" w14:textId="77777777" w:rsidR="00E21F86" w:rsidRPr="00AA0B1C" w:rsidRDefault="00E21F86" w:rsidP="00C761A6">
            <w:pPr>
              <w:snapToGrid w:val="0"/>
              <w:spacing w:line="300" w:lineRule="exact"/>
              <w:rPr>
                <w:rFonts w:ascii="標楷體" w:eastAsia="標楷體" w:hAnsi="標楷體" w:cs="Calibri"/>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77AA32"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原受理編號</w:t>
            </w:r>
          </w:p>
          <w:p w14:paraId="5DC91D00"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6A64DE" w14:textId="77777777" w:rsidR="00E21F86" w:rsidRPr="00AA0B1C" w:rsidRDefault="00E21F86" w:rsidP="00C761A6">
            <w:pPr>
              <w:snapToGrid w:val="0"/>
              <w:spacing w:line="300" w:lineRule="exact"/>
              <w:rPr>
                <w:rFonts w:ascii="標楷體" w:eastAsia="標楷體" w:hAnsi="標楷體" w:cs="Calibri"/>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AC404A"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預定實施日期</w:t>
            </w:r>
          </w:p>
        </w:tc>
        <w:tc>
          <w:tcPr>
            <w:tcW w:w="2297"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2B0DBB" w14:textId="77777777" w:rsidR="00E21F86" w:rsidRPr="00AA0B1C" w:rsidRDefault="00E21F86" w:rsidP="00C761A6">
            <w:pPr>
              <w:snapToGrid w:val="0"/>
              <w:spacing w:line="300" w:lineRule="exact"/>
              <w:rPr>
                <w:rFonts w:ascii="標楷體" w:eastAsia="標楷體" w:hAnsi="標楷體" w:cs="Calibri"/>
                <w:sz w:val="20"/>
                <w:szCs w:val="20"/>
              </w:rPr>
            </w:pPr>
          </w:p>
        </w:tc>
        <w:tc>
          <w:tcPr>
            <w:tcW w:w="40" w:type="dxa"/>
            <w:shd w:val="clear" w:color="auto" w:fill="auto"/>
            <w:tcMar>
              <w:top w:w="0" w:type="dxa"/>
              <w:left w:w="10" w:type="dxa"/>
              <w:bottom w:w="0" w:type="dxa"/>
              <w:right w:w="10" w:type="dxa"/>
            </w:tcMar>
          </w:tcPr>
          <w:p w14:paraId="7CBA9745" w14:textId="77777777" w:rsidR="00E21F86" w:rsidRPr="00AA0B1C" w:rsidRDefault="00E21F86" w:rsidP="00C761A6">
            <w:pPr>
              <w:snapToGrid w:val="0"/>
              <w:spacing w:line="300" w:lineRule="exact"/>
              <w:rPr>
                <w:rFonts w:ascii="標楷體" w:eastAsia="標楷體" w:hAnsi="標楷體" w:cs="Calibri"/>
                <w:sz w:val="20"/>
                <w:szCs w:val="20"/>
              </w:rPr>
            </w:pPr>
          </w:p>
        </w:tc>
      </w:tr>
      <w:tr w:rsidR="00E21F86" w:rsidRPr="00AA0B1C" w14:paraId="52ACE9E0" w14:textId="77777777" w:rsidTr="002016D2">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5A68AC" w14:textId="77777777" w:rsidR="00E21F86" w:rsidRPr="00AA0B1C" w:rsidRDefault="00E21F86" w:rsidP="00C761A6">
            <w:pPr>
              <w:snapToGrid w:val="0"/>
              <w:spacing w:line="300" w:lineRule="exact"/>
              <w:rPr>
                <w:rFonts w:ascii="標楷體" w:eastAsia="標楷體" w:hAnsi="標楷體" w:cs="Calibri"/>
                <w:sz w:val="20"/>
                <w:szCs w:val="20"/>
              </w:rPr>
            </w:pPr>
          </w:p>
        </w:tc>
        <w:tc>
          <w:tcPr>
            <w:tcW w:w="10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6E6326"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代號</w:t>
            </w:r>
          </w:p>
        </w:tc>
        <w:tc>
          <w:tcPr>
            <w:tcW w:w="13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DEB2BF" w14:textId="77777777" w:rsidR="00E21F86" w:rsidRPr="00AA0B1C" w:rsidRDefault="00E21F86" w:rsidP="00C761A6">
            <w:pPr>
              <w:snapToGrid w:val="0"/>
              <w:spacing w:line="300" w:lineRule="exact"/>
              <w:rPr>
                <w:rFonts w:ascii="標楷體" w:eastAsia="標楷體" w:hAnsi="標楷體" w:cs="Calibri"/>
                <w:sz w:val="20"/>
                <w:szCs w:val="20"/>
              </w:rPr>
            </w:pPr>
          </w:p>
        </w:tc>
        <w:tc>
          <w:tcPr>
            <w:tcW w:w="359"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7C32A9" w14:textId="77777777" w:rsidR="00E21F86" w:rsidRPr="00AA0B1C" w:rsidRDefault="00E21F86" w:rsidP="00C761A6">
            <w:pPr>
              <w:snapToGrid w:val="0"/>
              <w:spacing w:line="300" w:lineRule="exact"/>
              <w:rPr>
                <w:rFonts w:ascii="標楷體" w:eastAsia="標楷體" w:hAnsi="標楷體" w:cs="Calibri"/>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B05F2E"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身分證</w:t>
            </w:r>
          </w:p>
          <w:p w14:paraId="65401CC2"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9C2F64" w14:textId="77777777" w:rsidR="00E21F86" w:rsidRPr="00AA0B1C" w:rsidRDefault="00E21F86" w:rsidP="00C761A6">
            <w:pPr>
              <w:snapToGrid w:val="0"/>
              <w:spacing w:line="300" w:lineRule="exact"/>
              <w:rPr>
                <w:rFonts w:ascii="標楷體" w:eastAsia="標楷體" w:hAnsi="標楷體" w:cs="Calibri"/>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D30543"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科</w:t>
            </w:r>
          </w:p>
          <w:p w14:paraId="537DD7CB"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CC7BB6" w14:textId="77777777" w:rsidR="00E21F86" w:rsidRPr="00AA0B1C" w:rsidRDefault="00E21F86" w:rsidP="00C761A6">
            <w:pPr>
              <w:snapToGrid w:val="0"/>
              <w:spacing w:line="300" w:lineRule="exact"/>
              <w:rPr>
                <w:rFonts w:ascii="標楷體" w:eastAsia="標楷體" w:hAnsi="標楷體" w:cs="Calibri"/>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B2BD59"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16DD12"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2BB7EE" w14:textId="77777777" w:rsidR="00E21F86" w:rsidRPr="00AA0B1C" w:rsidRDefault="00E21F86" w:rsidP="00C761A6">
            <w:pPr>
              <w:snapToGrid w:val="0"/>
              <w:spacing w:line="300" w:lineRule="exact"/>
              <w:rPr>
                <w:rFonts w:ascii="標楷體" w:eastAsia="標楷體" w:hAnsi="標楷體" w:cs="Calibri"/>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3C0EBB"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申請醫師身分證號</w:t>
            </w:r>
          </w:p>
        </w:tc>
        <w:tc>
          <w:tcPr>
            <w:tcW w:w="19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0E2401" w14:textId="77777777" w:rsidR="00E21F86" w:rsidRPr="00AA0B1C" w:rsidRDefault="00E21F86" w:rsidP="00C761A6">
            <w:pPr>
              <w:snapToGrid w:val="0"/>
              <w:spacing w:line="300" w:lineRule="exact"/>
              <w:rPr>
                <w:rFonts w:ascii="標楷體" w:eastAsia="標楷體" w:hAnsi="標楷體" w:cs="Calibri"/>
                <w:sz w:val="20"/>
                <w:szCs w:val="20"/>
              </w:rPr>
            </w:pPr>
          </w:p>
        </w:tc>
        <w:tc>
          <w:tcPr>
            <w:tcW w:w="40" w:type="dxa"/>
            <w:shd w:val="clear" w:color="auto" w:fill="auto"/>
            <w:tcMar>
              <w:top w:w="0" w:type="dxa"/>
              <w:left w:w="10" w:type="dxa"/>
              <w:bottom w:w="0" w:type="dxa"/>
              <w:right w:w="10" w:type="dxa"/>
            </w:tcMar>
          </w:tcPr>
          <w:p w14:paraId="64880ECE" w14:textId="77777777" w:rsidR="00E21F86" w:rsidRPr="00AA0B1C" w:rsidRDefault="00E21F86" w:rsidP="00C761A6">
            <w:pPr>
              <w:snapToGrid w:val="0"/>
              <w:spacing w:line="300" w:lineRule="exact"/>
              <w:rPr>
                <w:rFonts w:ascii="標楷體" w:eastAsia="標楷體" w:hAnsi="標楷體" w:cs="Calibri"/>
                <w:sz w:val="20"/>
                <w:szCs w:val="20"/>
              </w:rPr>
            </w:pPr>
          </w:p>
        </w:tc>
      </w:tr>
      <w:tr w:rsidR="00E21F86" w:rsidRPr="00AA0B1C" w14:paraId="023FF9BB" w14:textId="77777777" w:rsidTr="002016D2">
        <w:trPr>
          <w:cantSplit/>
          <w:trHeight w:val="613"/>
        </w:trPr>
        <w:tc>
          <w:tcPr>
            <w:tcW w:w="146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950593" w14:textId="77777777" w:rsidR="00E21F86" w:rsidRPr="00AA0B1C" w:rsidRDefault="00E21F86" w:rsidP="00C761A6">
            <w:pPr>
              <w:pStyle w:val="a7"/>
              <w:tabs>
                <w:tab w:val="clear" w:pos="4153"/>
                <w:tab w:val="clear" w:pos="8306"/>
              </w:tabs>
              <w:spacing w:line="300" w:lineRule="exact"/>
              <w:ind w:left="1360" w:hanging="1120"/>
              <w:rPr>
                <w:rFonts w:ascii="標楷體" w:eastAsia="標楷體" w:hAnsi="標楷體" w:cs="Calibri"/>
              </w:rPr>
            </w:pPr>
            <w:r w:rsidRPr="00AA0B1C">
              <w:rPr>
                <w:rFonts w:ascii="標楷體" w:eastAsia="標楷體" w:hAnsi="標楷體" w:cs="Calibri"/>
              </w:rPr>
              <w:t>ICD-10代碼</w:t>
            </w:r>
          </w:p>
        </w:tc>
        <w:tc>
          <w:tcPr>
            <w:tcW w:w="227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03B204" w14:textId="77777777" w:rsidR="00E21F86" w:rsidRPr="00AA0B1C" w:rsidRDefault="00E21F86" w:rsidP="00C761A6">
            <w:pPr>
              <w:snapToGrid w:val="0"/>
              <w:spacing w:line="300" w:lineRule="exact"/>
              <w:rPr>
                <w:rFonts w:ascii="標楷體" w:eastAsia="標楷體" w:hAnsi="標楷體" w:cs="Calibri"/>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D12696"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C207E1" w14:textId="77777777" w:rsidR="00E21F86" w:rsidRPr="00AA0B1C" w:rsidRDefault="00E21F86" w:rsidP="00C761A6">
            <w:pPr>
              <w:snapToGrid w:val="0"/>
              <w:spacing w:line="300" w:lineRule="exact"/>
              <w:rPr>
                <w:rFonts w:ascii="標楷體" w:eastAsia="標楷體" w:hAnsi="標楷體" w:cs="Calibri"/>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B53634"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使用日期</w:t>
            </w:r>
          </w:p>
        </w:tc>
        <w:tc>
          <w:tcPr>
            <w:tcW w:w="4906"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8ED3F48" w14:textId="77777777" w:rsidR="00E21F86" w:rsidRPr="00AA0B1C" w:rsidRDefault="00EE048C" w:rsidP="00C761A6">
            <w:pPr>
              <w:snapToGrid w:val="0"/>
              <w:spacing w:line="300" w:lineRule="exact"/>
              <w:rPr>
                <w:rFonts w:ascii="標楷體" w:eastAsia="標楷體" w:hAnsi="標楷體"/>
              </w:rPr>
            </w:pP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日至</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日</w:t>
            </w:r>
          </w:p>
        </w:tc>
        <w:tc>
          <w:tcPr>
            <w:tcW w:w="40" w:type="dxa"/>
            <w:shd w:val="clear" w:color="auto" w:fill="auto"/>
            <w:tcMar>
              <w:top w:w="0" w:type="dxa"/>
              <w:left w:w="10" w:type="dxa"/>
              <w:bottom w:w="0" w:type="dxa"/>
              <w:right w:w="10" w:type="dxa"/>
            </w:tcMar>
          </w:tcPr>
          <w:p w14:paraId="70A1978D" w14:textId="77777777" w:rsidR="00E21F86" w:rsidRPr="00AA0B1C" w:rsidRDefault="00E21F86" w:rsidP="00C761A6">
            <w:pPr>
              <w:snapToGrid w:val="0"/>
              <w:spacing w:line="300" w:lineRule="exact"/>
              <w:rPr>
                <w:rFonts w:ascii="標楷體" w:eastAsia="標楷體" w:hAnsi="標楷體" w:cs="Calibri"/>
              </w:rPr>
            </w:pPr>
          </w:p>
        </w:tc>
      </w:tr>
      <w:tr w:rsidR="00E21F86" w:rsidRPr="00AA0B1C" w14:paraId="0AF04262" w14:textId="77777777" w:rsidTr="002016D2">
        <w:trPr>
          <w:cantSplit/>
        </w:trPr>
        <w:tc>
          <w:tcPr>
            <w:tcW w:w="146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5C37FF"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藥品代碼</w:t>
            </w:r>
          </w:p>
        </w:tc>
        <w:tc>
          <w:tcPr>
            <w:tcW w:w="141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DD3344"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申請類別</w:t>
            </w:r>
          </w:p>
        </w:tc>
        <w:tc>
          <w:tcPr>
            <w:tcW w:w="492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048B67"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649DC6"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用法</w:t>
            </w:r>
          </w:p>
          <w:p w14:paraId="340586FB"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18088D"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申請</w:t>
            </w:r>
          </w:p>
          <w:p w14:paraId="5C0CD9FE"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數量</w:t>
            </w:r>
          </w:p>
        </w:tc>
        <w:tc>
          <w:tcPr>
            <w:tcW w:w="4906"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413DE21"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保險人核定欄</w:t>
            </w:r>
          </w:p>
        </w:tc>
        <w:tc>
          <w:tcPr>
            <w:tcW w:w="40" w:type="dxa"/>
            <w:shd w:val="clear" w:color="auto" w:fill="auto"/>
            <w:tcMar>
              <w:top w:w="0" w:type="dxa"/>
              <w:left w:w="10" w:type="dxa"/>
              <w:bottom w:w="0" w:type="dxa"/>
              <w:right w:w="10" w:type="dxa"/>
            </w:tcMar>
          </w:tcPr>
          <w:p w14:paraId="393D97AB" w14:textId="77777777" w:rsidR="00E21F86" w:rsidRPr="00AA0B1C" w:rsidRDefault="00E21F86" w:rsidP="00C761A6">
            <w:pPr>
              <w:snapToGrid w:val="0"/>
              <w:spacing w:line="300" w:lineRule="exact"/>
              <w:jc w:val="center"/>
              <w:rPr>
                <w:rFonts w:ascii="標楷體" w:eastAsia="標楷體" w:hAnsi="標楷體" w:cs="Calibri"/>
              </w:rPr>
            </w:pPr>
          </w:p>
        </w:tc>
      </w:tr>
      <w:tr w:rsidR="00E21F86" w:rsidRPr="00AA0B1C" w14:paraId="295DAEED" w14:textId="77777777" w:rsidTr="002C6829">
        <w:trPr>
          <w:cantSplit/>
          <w:trHeight w:val="1701"/>
        </w:trPr>
        <w:tc>
          <w:tcPr>
            <w:tcW w:w="146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13621F" w14:textId="2AEB2CE5" w:rsidR="00E21F86" w:rsidRPr="002C6829" w:rsidRDefault="00E21F86" w:rsidP="002C6829">
            <w:pPr>
              <w:snapToGrid w:val="0"/>
              <w:spacing w:line="300" w:lineRule="exact"/>
              <w:jc w:val="both"/>
              <w:rPr>
                <w:rFonts w:ascii="標楷體" w:eastAsia="標楷體" w:hAnsi="標楷體" w:cs="Calibri"/>
                <w:sz w:val="22"/>
                <w:szCs w:val="20"/>
              </w:rPr>
            </w:pPr>
            <w:r w:rsidRPr="00906411">
              <w:rPr>
                <w:rFonts w:ascii="標楷體" w:eastAsia="標楷體" w:hAnsi="標楷體" w:cs="Calibri"/>
                <w:sz w:val="22"/>
                <w:szCs w:val="20"/>
              </w:rPr>
              <w:t>Soliris</w:t>
            </w:r>
          </w:p>
          <w:p w14:paraId="7EA80205" w14:textId="77777777" w:rsidR="00E21F86" w:rsidRPr="00AA0B1C" w:rsidRDefault="00E21F86" w:rsidP="002C6829">
            <w:pPr>
              <w:snapToGrid w:val="0"/>
              <w:spacing w:line="300" w:lineRule="exact"/>
              <w:jc w:val="both"/>
              <w:rPr>
                <w:rFonts w:ascii="標楷體" w:eastAsia="標楷體" w:hAnsi="標楷體"/>
              </w:rPr>
            </w:pPr>
            <w:r w:rsidRPr="00AA0B1C">
              <w:rPr>
                <w:rFonts w:ascii="標楷體" w:eastAsia="標楷體" w:hAnsi="標楷體" w:cs="Calibri"/>
                <w:sz w:val="20"/>
                <w:szCs w:val="20"/>
              </w:rPr>
              <w:t>□</w:t>
            </w:r>
            <w:r w:rsidRPr="00906411">
              <w:rPr>
                <w:rFonts w:ascii="標楷體" w:eastAsia="標楷體" w:hAnsi="標楷體" w:cs="Calibri"/>
                <w:kern w:val="0"/>
                <w:sz w:val="20"/>
                <w:szCs w:val="16"/>
              </w:rPr>
              <w:t>YC00016243</w:t>
            </w:r>
          </w:p>
          <w:p w14:paraId="0E6273F4" w14:textId="77777777" w:rsidR="00E21F86" w:rsidRPr="00AA0B1C" w:rsidRDefault="00E21F86" w:rsidP="002C6829">
            <w:pPr>
              <w:widowControl/>
              <w:snapToGrid w:val="0"/>
              <w:spacing w:line="300" w:lineRule="exact"/>
              <w:jc w:val="both"/>
              <w:rPr>
                <w:rFonts w:ascii="標楷體" w:eastAsia="標楷體" w:hAnsi="標楷體" w:cs="Calibri"/>
                <w:sz w:val="20"/>
                <w:szCs w:val="20"/>
              </w:rPr>
            </w:pPr>
          </w:p>
          <w:p w14:paraId="72070E1C" w14:textId="77777777" w:rsidR="00E21F86" w:rsidRPr="00906411" w:rsidRDefault="00E21F86" w:rsidP="002C6829">
            <w:pPr>
              <w:widowControl/>
              <w:snapToGrid w:val="0"/>
              <w:spacing w:line="300" w:lineRule="exact"/>
              <w:jc w:val="both"/>
              <w:rPr>
                <w:rFonts w:ascii="標楷體" w:eastAsia="標楷體" w:hAnsi="標楷體" w:cs="Calibri"/>
                <w:sz w:val="22"/>
                <w:szCs w:val="20"/>
              </w:rPr>
            </w:pPr>
            <w:proofErr w:type="spellStart"/>
            <w:r w:rsidRPr="00906411">
              <w:rPr>
                <w:rFonts w:ascii="標楷體" w:eastAsia="標楷體" w:hAnsi="標楷體" w:cs="Calibri"/>
                <w:sz w:val="22"/>
                <w:szCs w:val="20"/>
              </w:rPr>
              <w:t>Ultomiris</w:t>
            </w:r>
            <w:proofErr w:type="spellEnd"/>
          </w:p>
          <w:p w14:paraId="13B54A66" w14:textId="77777777" w:rsidR="00E21F86" w:rsidRPr="00906411" w:rsidRDefault="00E21F86" w:rsidP="002C6829">
            <w:pPr>
              <w:widowControl/>
              <w:snapToGrid w:val="0"/>
              <w:spacing w:line="300" w:lineRule="exact"/>
              <w:jc w:val="both"/>
              <w:rPr>
                <w:rFonts w:ascii="標楷體" w:eastAsia="標楷體" w:hAnsi="標楷體"/>
                <w:sz w:val="32"/>
              </w:rPr>
            </w:pPr>
            <w:r w:rsidRPr="00AA0B1C">
              <w:rPr>
                <w:rFonts w:ascii="標楷體" w:eastAsia="標楷體" w:hAnsi="標楷體" w:cs="Calibri"/>
                <w:sz w:val="20"/>
                <w:szCs w:val="20"/>
              </w:rPr>
              <w:t>□</w:t>
            </w:r>
            <w:r w:rsidRPr="00906411">
              <w:rPr>
                <w:rFonts w:ascii="標楷體" w:eastAsia="標楷體" w:hAnsi="標楷體" w:cs="Calibri"/>
                <w:kern w:val="0"/>
                <w:sz w:val="20"/>
                <w:szCs w:val="16"/>
              </w:rPr>
              <w:t>YC00045216</w:t>
            </w:r>
          </w:p>
          <w:p w14:paraId="2CF3F935" w14:textId="77777777" w:rsidR="00E21F86" w:rsidRPr="00906411" w:rsidRDefault="00E21F86" w:rsidP="002C6829">
            <w:pPr>
              <w:widowControl/>
              <w:snapToGrid w:val="0"/>
              <w:spacing w:line="300" w:lineRule="exact"/>
              <w:ind w:firstLineChars="100" w:firstLine="200"/>
              <w:jc w:val="both"/>
              <w:rPr>
                <w:rFonts w:ascii="標楷體" w:eastAsia="標楷體" w:hAnsi="標楷體" w:cs="Calibri"/>
                <w:kern w:val="0"/>
                <w:sz w:val="20"/>
                <w:szCs w:val="16"/>
              </w:rPr>
            </w:pPr>
            <w:r w:rsidRPr="00906411">
              <w:rPr>
                <w:rFonts w:ascii="標楷體" w:eastAsia="標楷體" w:hAnsi="標楷體" w:cs="Calibri"/>
                <w:kern w:val="0"/>
                <w:sz w:val="20"/>
                <w:szCs w:val="16"/>
              </w:rPr>
              <w:t>YC000452C3</w:t>
            </w:r>
          </w:p>
          <w:p w14:paraId="26AC2B0A" w14:textId="77777777" w:rsidR="00E21F86" w:rsidRPr="00810862" w:rsidRDefault="00E21F86" w:rsidP="002C6829">
            <w:pPr>
              <w:widowControl/>
              <w:snapToGrid w:val="0"/>
              <w:spacing w:line="300" w:lineRule="exact"/>
              <w:jc w:val="both"/>
              <w:rPr>
                <w:rFonts w:ascii="標楷體" w:eastAsia="標楷體" w:hAnsi="標楷體"/>
              </w:rPr>
            </w:pPr>
          </w:p>
          <w:p w14:paraId="35FBEEBB" w14:textId="77777777" w:rsidR="00E21F86" w:rsidRPr="00465459" w:rsidRDefault="00E21F86" w:rsidP="002C6829">
            <w:pPr>
              <w:widowControl/>
              <w:snapToGrid w:val="0"/>
              <w:spacing w:line="300" w:lineRule="exact"/>
              <w:jc w:val="both"/>
              <w:rPr>
                <w:rFonts w:ascii="標楷體" w:eastAsia="標楷體" w:hAnsi="標楷體" w:cs="Calibri"/>
                <w:sz w:val="18"/>
                <w:szCs w:val="20"/>
              </w:rPr>
            </w:pPr>
            <w:proofErr w:type="spellStart"/>
            <w:r w:rsidRPr="00465459">
              <w:rPr>
                <w:rFonts w:ascii="標楷體" w:eastAsia="標楷體" w:hAnsi="標楷體" w:hint="eastAsia"/>
                <w:sz w:val="22"/>
              </w:rPr>
              <w:t>P</w:t>
            </w:r>
            <w:r w:rsidRPr="00465459">
              <w:rPr>
                <w:rFonts w:ascii="標楷體" w:eastAsia="標楷體" w:hAnsi="標楷體"/>
                <w:sz w:val="22"/>
              </w:rPr>
              <w:t>iasky</w:t>
            </w:r>
            <w:proofErr w:type="spellEnd"/>
          </w:p>
          <w:p w14:paraId="1D025C72" w14:textId="77777777" w:rsidR="00E21F86" w:rsidRPr="008666E1" w:rsidRDefault="00E21F86" w:rsidP="002C6829">
            <w:pPr>
              <w:widowControl/>
              <w:snapToGrid w:val="0"/>
              <w:spacing w:line="300" w:lineRule="exact"/>
              <w:jc w:val="both"/>
              <w:rPr>
                <w:rFonts w:ascii="標楷體" w:eastAsia="標楷體" w:hAnsi="標楷體"/>
                <w:u w:val="single"/>
              </w:rPr>
            </w:pPr>
            <w:r w:rsidRPr="00465459">
              <w:rPr>
                <w:rFonts w:ascii="標楷體" w:eastAsia="標楷體" w:hAnsi="標楷體" w:cs="Calibri"/>
                <w:sz w:val="20"/>
                <w:szCs w:val="20"/>
              </w:rPr>
              <w:t>□YC00055212</w:t>
            </w:r>
          </w:p>
        </w:tc>
        <w:tc>
          <w:tcPr>
            <w:tcW w:w="141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13317" w14:textId="77777777" w:rsidR="00E21F86" w:rsidRPr="00AA0B1C" w:rsidRDefault="00E21F86" w:rsidP="00C761A6">
            <w:pPr>
              <w:snapToGrid w:val="0"/>
              <w:spacing w:before="180" w:line="300" w:lineRule="exact"/>
              <w:ind w:left="269" w:hanging="269"/>
              <w:rPr>
                <w:rFonts w:ascii="標楷體" w:eastAsia="標楷體" w:hAnsi="標楷體" w:cs="Calibri"/>
              </w:rPr>
            </w:pPr>
          </w:p>
          <w:p w14:paraId="0931E39C" w14:textId="77777777" w:rsidR="00E21F86" w:rsidRPr="00AA0B1C" w:rsidRDefault="00E21F86" w:rsidP="00C761A6">
            <w:pPr>
              <w:snapToGrid w:val="0"/>
              <w:spacing w:line="300" w:lineRule="exact"/>
              <w:ind w:left="320" w:hanging="320"/>
              <w:rPr>
                <w:rFonts w:ascii="標楷體" w:eastAsia="標楷體" w:hAnsi="標楷體"/>
              </w:rPr>
            </w:pPr>
            <w:r w:rsidRPr="00AA0B1C">
              <w:rPr>
                <w:rFonts w:ascii="標楷體" w:eastAsia="標楷體" w:hAnsi="標楷體" w:cs="Calibri"/>
                <w:sz w:val="20"/>
                <w:szCs w:val="20"/>
              </w:rPr>
              <w:t>□第一次申請</w:t>
            </w:r>
          </w:p>
          <w:p w14:paraId="59F57AAA" w14:textId="77777777" w:rsidR="00E21F86" w:rsidRPr="00AA0B1C" w:rsidRDefault="00E21F86" w:rsidP="00C761A6">
            <w:pPr>
              <w:snapToGrid w:val="0"/>
              <w:spacing w:line="300" w:lineRule="exact"/>
              <w:ind w:left="220" w:hanging="100"/>
              <w:rPr>
                <w:rFonts w:ascii="標楷體" w:eastAsia="標楷體" w:hAnsi="標楷體" w:cs="Calibri"/>
                <w:sz w:val="20"/>
                <w:szCs w:val="20"/>
              </w:rPr>
            </w:pPr>
          </w:p>
          <w:p w14:paraId="396F9EEE" w14:textId="77777777" w:rsidR="00E21F86" w:rsidRPr="00AA0B1C" w:rsidRDefault="00E21F86" w:rsidP="00C761A6">
            <w:pPr>
              <w:snapToGrid w:val="0"/>
              <w:spacing w:line="300" w:lineRule="exact"/>
              <w:ind w:left="320" w:hanging="320"/>
              <w:rPr>
                <w:rFonts w:ascii="標楷體" w:eastAsia="標楷體" w:hAnsi="標楷體"/>
              </w:rPr>
            </w:pPr>
            <w:r w:rsidRPr="00AA0B1C">
              <w:rPr>
                <w:rFonts w:ascii="標楷體" w:eastAsia="標楷體" w:hAnsi="標楷體" w:cs="Calibri"/>
                <w:sz w:val="20"/>
                <w:szCs w:val="20"/>
              </w:rPr>
              <w:t>□治療後再次申請</w:t>
            </w:r>
            <w:r w:rsidRPr="00AA0B1C">
              <w:rPr>
                <w:rFonts w:ascii="標楷體" w:eastAsia="標楷體" w:hAnsi="標楷體" w:cs="Calibri"/>
                <w:kern w:val="0"/>
                <w:sz w:val="20"/>
                <w:szCs w:val="20"/>
              </w:rPr>
              <w:t>續用</w:t>
            </w:r>
          </w:p>
          <w:p w14:paraId="0A30DBC4" w14:textId="77777777" w:rsidR="00E21F86" w:rsidRPr="00AA0B1C" w:rsidRDefault="00E21F86" w:rsidP="00C761A6">
            <w:pPr>
              <w:snapToGrid w:val="0"/>
              <w:spacing w:before="180" w:line="300" w:lineRule="exact"/>
              <w:ind w:left="224" w:hanging="224"/>
              <w:rPr>
                <w:rFonts w:ascii="標楷體" w:eastAsia="標楷體" w:hAnsi="標楷體" w:cs="Calibri"/>
                <w:sz w:val="20"/>
                <w:szCs w:val="20"/>
              </w:rPr>
            </w:pPr>
          </w:p>
        </w:tc>
        <w:tc>
          <w:tcPr>
            <w:tcW w:w="492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6BB6BD" w14:textId="77777777" w:rsidR="00E21F86" w:rsidRPr="00AA0B1C" w:rsidRDefault="00E21F86" w:rsidP="00C761A6">
            <w:pPr>
              <w:pStyle w:val="ad"/>
              <w:snapToGrid w:val="0"/>
              <w:spacing w:before="162" w:after="162" w:line="300" w:lineRule="exact"/>
              <w:ind w:left="1360" w:hanging="1120"/>
              <w:rPr>
                <w:rFonts w:cs="Calibri"/>
                <w:color w:val="auto"/>
              </w:rPr>
            </w:pP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4E1D8B" w14:textId="77777777" w:rsidR="00E21F86" w:rsidRPr="00AA0B1C" w:rsidRDefault="00E21F86" w:rsidP="00C761A6">
            <w:pPr>
              <w:snapToGrid w:val="0"/>
              <w:spacing w:line="300" w:lineRule="exact"/>
              <w:rPr>
                <w:rFonts w:ascii="標楷體" w:eastAsia="標楷體" w:hAnsi="標楷體" w:cs="Calibri"/>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D02FC4" w14:textId="77777777" w:rsidR="00E21F86" w:rsidRPr="00AA0B1C" w:rsidRDefault="00E21F86" w:rsidP="00C761A6">
            <w:pPr>
              <w:snapToGrid w:val="0"/>
              <w:spacing w:line="300" w:lineRule="exact"/>
              <w:rPr>
                <w:rFonts w:ascii="標楷體" w:eastAsia="標楷體" w:hAnsi="標楷體" w:cs="Calibri"/>
                <w:sz w:val="20"/>
                <w:szCs w:val="20"/>
              </w:rPr>
            </w:pPr>
          </w:p>
        </w:tc>
        <w:tc>
          <w:tcPr>
            <w:tcW w:w="4906" w:type="dxa"/>
            <w:gridSpan w:val="14"/>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2C55CFA" w14:textId="77777777" w:rsidR="00E21F86" w:rsidRPr="00AA0B1C" w:rsidRDefault="00E21F86" w:rsidP="00C761A6">
            <w:pPr>
              <w:tabs>
                <w:tab w:val="left" w:pos="240"/>
              </w:tabs>
              <w:snapToGrid w:val="0"/>
              <w:spacing w:line="300" w:lineRule="exact"/>
              <w:rPr>
                <w:rFonts w:ascii="標楷體" w:eastAsia="標楷體" w:hAnsi="標楷體"/>
              </w:rPr>
            </w:pPr>
            <w:r w:rsidRPr="00AA0B1C">
              <w:rPr>
                <w:rFonts w:ascii="標楷體" w:eastAsia="標楷體" w:hAnsi="標楷體" w:cs="Calibri"/>
                <w:sz w:val="20"/>
                <w:szCs w:val="20"/>
              </w:rPr>
              <w:t>□同意備查。</w:t>
            </w:r>
          </w:p>
          <w:p w14:paraId="288CB684" w14:textId="77777777" w:rsidR="00E21F86" w:rsidRPr="00AA0B1C" w:rsidRDefault="00E21F86" w:rsidP="00C761A6">
            <w:pPr>
              <w:tabs>
                <w:tab w:val="left" w:pos="592"/>
              </w:tabs>
              <w:snapToGrid w:val="0"/>
              <w:spacing w:line="300" w:lineRule="exact"/>
              <w:ind w:left="307"/>
              <w:rPr>
                <w:rFonts w:ascii="標楷體" w:eastAsia="標楷體" w:hAnsi="標楷體"/>
              </w:rPr>
            </w:pPr>
            <w:r w:rsidRPr="00AA0B1C">
              <w:rPr>
                <w:rFonts w:ascii="標楷體" w:eastAsia="標楷體" w:hAnsi="標楷體" w:cs="Calibri"/>
                <w:sz w:val="20"/>
                <w:szCs w:val="20"/>
              </w:rPr>
              <w:t>□使用劑量不符合常規，核定量為</w:t>
            </w:r>
          </w:p>
          <w:p w14:paraId="3942BBAC"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□不同意</w:t>
            </w:r>
          </w:p>
          <w:p w14:paraId="50268788" w14:textId="77777777" w:rsidR="00E21F86" w:rsidRPr="00AA0B1C" w:rsidRDefault="00E21F86" w:rsidP="00C761A6">
            <w:pPr>
              <w:snapToGrid w:val="0"/>
              <w:spacing w:line="300" w:lineRule="exact"/>
              <w:ind w:left="309"/>
              <w:rPr>
                <w:rFonts w:ascii="標楷體" w:eastAsia="標楷體" w:hAnsi="標楷體"/>
              </w:rPr>
            </w:pPr>
            <w:r w:rsidRPr="00AA0B1C">
              <w:rPr>
                <w:rFonts w:ascii="標楷體" w:eastAsia="標楷體" w:hAnsi="標楷體" w:cs="Calibri"/>
                <w:sz w:val="20"/>
                <w:szCs w:val="20"/>
              </w:rPr>
              <w:t>□不符合給付規定之適應症。</w:t>
            </w:r>
          </w:p>
          <w:p w14:paraId="712A4245" w14:textId="77777777" w:rsidR="00E21F86" w:rsidRPr="00AA0B1C" w:rsidRDefault="00E21F86" w:rsidP="00C761A6">
            <w:pPr>
              <w:tabs>
                <w:tab w:val="left" w:pos="592"/>
              </w:tabs>
              <w:snapToGrid w:val="0"/>
              <w:spacing w:line="300" w:lineRule="exact"/>
              <w:ind w:left="309"/>
              <w:rPr>
                <w:rFonts w:ascii="標楷體" w:eastAsia="標楷體" w:hAnsi="標楷體"/>
              </w:rPr>
            </w:pPr>
            <w:r w:rsidRPr="00AA0B1C">
              <w:rPr>
                <w:rFonts w:ascii="標楷體" w:eastAsia="標楷體" w:hAnsi="標楷體" w:cs="Calibri"/>
                <w:sz w:val="20"/>
                <w:szCs w:val="20"/>
              </w:rPr>
              <w:t>□未有佐證資料，排除其他原因引起之貧血。</w:t>
            </w:r>
          </w:p>
          <w:p w14:paraId="7D3D5769" w14:textId="77777777" w:rsidR="00E21F86" w:rsidRPr="00AA0B1C" w:rsidRDefault="00E21F86" w:rsidP="00C761A6">
            <w:pPr>
              <w:snapToGrid w:val="0"/>
              <w:spacing w:line="300" w:lineRule="exact"/>
              <w:ind w:left="512" w:hanging="200"/>
              <w:rPr>
                <w:rFonts w:ascii="標楷體" w:eastAsia="標楷體" w:hAnsi="標楷體"/>
              </w:rPr>
            </w:pPr>
            <w:r w:rsidRPr="00AA0B1C">
              <w:rPr>
                <w:rFonts w:ascii="標楷體" w:eastAsia="標楷體" w:hAnsi="標楷體" w:cs="Calibri"/>
                <w:sz w:val="20"/>
                <w:szCs w:val="20"/>
              </w:rPr>
              <w:t>□治療計畫未註明</w:t>
            </w:r>
            <w:proofErr w:type="spellStart"/>
            <w:r w:rsidRPr="00AA0B1C">
              <w:rPr>
                <w:rFonts w:ascii="標楷體" w:eastAsia="標楷體" w:hAnsi="標楷體" w:cs="Calibri"/>
                <w:sz w:val="20"/>
                <w:szCs w:val="20"/>
              </w:rPr>
              <w:t>menigococcal</w:t>
            </w:r>
            <w:proofErr w:type="spellEnd"/>
            <w:r w:rsidRPr="00AA0B1C">
              <w:rPr>
                <w:rFonts w:ascii="標楷體" w:eastAsia="標楷體" w:hAnsi="標楷體" w:cs="Calibri"/>
                <w:sz w:val="20"/>
                <w:szCs w:val="20"/>
              </w:rPr>
              <w:t xml:space="preserve"> vaccine(流行性腦</w:t>
            </w:r>
            <w:proofErr w:type="gramStart"/>
            <w:r w:rsidRPr="00AA0B1C">
              <w:rPr>
                <w:rFonts w:ascii="標楷體" w:eastAsia="標楷體" w:hAnsi="標楷體" w:cs="Calibri"/>
                <w:sz w:val="20"/>
                <w:szCs w:val="20"/>
              </w:rPr>
              <w:t>脊髓膜炎疫苗</w:t>
            </w:r>
            <w:proofErr w:type="gramEnd"/>
            <w:r w:rsidRPr="00AA0B1C">
              <w:rPr>
                <w:rFonts w:ascii="標楷體" w:eastAsia="標楷體" w:hAnsi="標楷體" w:cs="Calibri"/>
                <w:sz w:val="20"/>
                <w:szCs w:val="20"/>
              </w:rPr>
              <w:t>)施打計畫。</w:t>
            </w:r>
          </w:p>
          <w:p w14:paraId="354F4B36" w14:textId="77777777" w:rsidR="00E21F86" w:rsidRPr="00AA0B1C" w:rsidRDefault="00E21F86" w:rsidP="00C761A6">
            <w:pPr>
              <w:snapToGrid w:val="0"/>
              <w:spacing w:line="300" w:lineRule="exact"/>
              <w:ind w:left="512" w:hanging="200"/>
              <w:rPr>
                <w:rFonts w:ascii="標楷體" w:eastAsia="標楷體" w:hAnsi="標楷體" w:cs="Calibri"/>
                <w:sz w:val="20"/>
                <w:szCs w:val="20"/>
              </w:rPr>
            </w:pPr>
            <w:r w:rsidRPr="00AA0B1C">
              <w:rPr>
                <w:rFonts w:ascii="標楷體" w:eastAsia="標楷體" w:hAnsi="標楷體" w:cs="Calibri"/>
                <w:sz w:val="20"/>
                <w:szCs w:val="20"/>
              </w:rPr>
              <w:t>□未附治療計劃(預計使用上述藥物之劑量及預計使用次數)</w:t>
            </w:r>
          </w:p>
          <w:p w14:paraId="3E051808" w14:textId="77777777" w:rsidR="00E21F86" w:rsidRPr="00AA0B1C" w:rsidRDefault="00E21F86" w:rsidP="00C761A6">
            <w:pPr>
              <w:snapToGrid w:val="0"/>
              <w:spacing w:line="300" w:lineRule="exact"/>
              <w:ind w:left="512" w:hanging="200"/>
              <w:rPr>
                <w:rFonts w:ascii="標楷體" w:eastAsia="標楷體" w:hAnsi="標楷體" w:cs="Calibri"/>
                <w:sz w:val="20"/>
                <w:szCs w:val="20"/>
              </w:rPr>
            </w:pPr>
            <w:r w:rsidRPr="00AA0B1C">
              <w:rPr>
                <w:rFonts w:ascii="標楷體" w:eastAsia="標楷體" w:hAnsi="標楷體" w:cs="Calibri"/>
                <w:sz w:val="20"/>
                <w:szCs w:val="20"/>
              </w:rPr>
              <w:t>□相關檢驗、檢查報告不全(如影像診斷報告或生化檢驗數據)</w:t>
            </w:r>
          </w:p>
          <w:p w14:paraId="6477B456" w14:textId="77777777" w:rsidR="00E21F86" w:rsidRPr="00AA0B1C" w:rsidRDefault="00E21F86" w:rsidP="00C761A6">
            <w:pPr>
              <w:snapToGrid w:val="0"/>
              <w:spacing w:line="300" w:lineRule="exact"/>
              <w:ind w:left="309"/>
              <w:rPr>
                <w:rFonts w:ascii="標楷體" w:eastAsia="標楷體" w:hAnsi="標楷體"/>
              </w:rPr>
            </w:pPr>
            <w:r w:rsidRPr="00AA0B1C">
              <w:rPr>
                <w:rFonts w:ascii="標楷體" w:eastAsia="標楷體" w:hAnsi="標楷體" w:cs="Calibri"/>
                <w:sz w:val="20"/>
                <w:szCs w:val="20"/>
              </w:rPr>
              <w:t>□</w:t>
            </w:r>
            <w:proofErr w:type="gramStart"/>
            <w:r w:rsidRPr="00AA0B1C">
              <w:rPr>
                <w:rFonts w:ascii="標楷體" w:eastAsia="標楷體" w:hAnsi="標楷體" w:cs="Calibri"/>
                <w:sz w:val="20"/>
                <w:szCs w:val="20"/>
              </w:rPr>
              <w:t>補附資料</w:t>
            </w:r>
            <w:proofErr w:type="gramEnd"/>
            <w:r w:rsidRPr="00AA0B1C">
              <w:rPr>
                <w:rFonts w:ascii="標楷體" w:eastAsia="標楷體" w:hAnsi="標楷體" w:cs="Calibri"/>
                <w:sz w:val="20"/>
                <w:szCs w:val="20"/>
              </w:rPr>
              <w:t>再審，請補充以下資料</w:t>
            </w:r>
          </w:p>
          <w:p w14:paraId="5F4E2161" w14:textId="77777777" w:rsidR="00E21F86" w:rsidRPr="00AA0B1C" w:rsidRDefault="00E21F86" w:rsidP="00C761A6">
            <w:pPr>
              <w:tabs>
                <w:tab w:val="left" w:pos="1017"/>
              </w:tabs>
              <w:snapToGrid w:val="0"/>
              <w:spacing w:line="300" w:lineRule="exact"/>
              <w:ind w:left="309"/>
              <w:rPr>
                <w:rFonts w:ascii="標楷體" w:eastAsia="標楷體" w:hAnsi="標楷體" w:cs="Calibri"/>
                <w:sz w:val="20"/>
                <w:szCs w:val="20"/>
              </w:rPr>
            </w:pPr>
            <w:r w:rsidRPr="00AA0B1C">
              <w:rPr>
                <w:rFonts w:ascii="標楷體" w:eastAsia="標楷體" w:hAnsi="標楷體" w:cs="Calibri"/>
                <w:sz w:val="20"/>
                <w:szCs w:val="20"/>
              </w:rPr>
              <w:t>□其他：</w:t>
            </w:r>
          </w:p>
        </w:tc>
        <w:tc>
          <w:tcPr>
            <w:tcW w:w="40" w:type="dxa"/>
            <w:shd w:val="clear" w:color="auto" w:fill="auto"/>
            <w:tcMar>
              <w:top w:w="0" w:type="dxa"/>
              <w:left w:w="10" w:type="dxa"/>
              <w:bottom w:w="0" w:type="dxa"/>
              <w:right w:w="10" w:type="dxa"/>
            </w:tcMar>
          </w:tcPr>
          <w:p w14:paraId="536373C8" w14:textId="77777777" w:rsidR="00E21F86" w:rsidRPr="00AA0B1C" w:rsidRDefault="00E21F86" w:rsidP="00C761A6">
            <w:pPr>
              <w:tabs>
                <w:tab w:val="left" w:pos="240"/>
              </w:tabs>
              <w:snapToGrid w:val="0"/>
              <w:spacing w:line="300" w:lineRule="exact"/>
              <w:ind w:left="478" w:hanging="238"/>
              <w:rPr>
                <w:rFonts w:ascii="標楷體" w:eastAsia="標楷體" w:hAnsi="標楷體" w:cs="Calibri"/>
                <w:sz w:val="20"/>
                <w:szCs w:val="20"/>
              </w:rPr>
            </w:pPr>
          </w:p>
        </w:tc>
      </w:tr>
      <w:tr w:rsidR="00E21F86" w:rsidRPr="00AA0B1C" w14:paraId="6991C9BE" w14:textId="77777777" w:rsidTr="002016D2">
        <w:trPr>
          <w:cantSplit/>
          <w:trHeight w:val="1285"/>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0C89D3" w14:textId="77777777" w:rsidR="00E21F86" w:rsidRPr="00AA0B1C" w:rsidRDefault="00E21F86" w:rsidP="00C761A6">
            <w:pPr>
              <w:snapToGrid w:val="0"/>
              <w:spacing w:line="300" w:lineRule="exact"/>
              <w:ind w:left="113" w:right="113"/>
              <w:rPr>
                <w:rFonts w:ascii="標楷體" w:eastAsia="標楷體" w:hAnsi="標楷體" w:cs="Calibri"/>
              </w:rPr>
            </w:pPr>
            <w:r w:rsidRPr="00AA0B1C">
              <w:rPr>
                <w:rFonts w:ascii="標楷體" w:eastAsia="標楷體" w:hAnsi="標楷體" w:cs="Calibri"/>
              </w:rPr>
              <w:t>注意事項</w:t>
            </w:r>
          </w:p>
          <w:p w14:paraId="1E102152" w14:textId="77777777" w:rsidR="00E21F86" w:rsidRPr="00AA0B1C" w:rsidRDefault="00E21F86" w:rsidP="00C761A6">
            <w:pPr>
              <w:snapToGrid w:val="0"/>
              <w:spacing w:line="300" w:lineRule="exact"/>
              <w:ind w:left="324" w:right="113" w:hanging="211"/>
              <w:rPr>
                <w:rFonts w:ascii="標楷體" w:eastAsia="標楷體" w:hAnsi="標楷體" w:cs="Calibri"/>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DB0D12"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lastRenderedPageBreak/>
              <w:t>1.本申請書限一人一案，由本保險特約</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事服務機構填報，</w:t>
            </w:r>
            <w:proofErr w:type="gramStart"/>
            <w:r w:rsidRPr="00AA0B1C">
              <w:rPr>
                <w:rFonts w:ascii="標楷體" w:eastAsia="標楷體" w:hAnsi="標楷體" w:cs="Calibri"/>
                <w:kern w:val="0"/>
                <w:sz w:val="20"/>
                <w:szCs w:val="20"/>
              </w:rPr>
              <w:t>併</w:t>
            </w:r>
            <w:proofErr w:type="gramEnd"/>
            <w:r w:rsidRPr="00AA0B1C">
              <w:rPr>
                <w:rFonts w:ascii="標楷體" w:eastAsia="標楷體" w:hAnsi="標楷體" w:cs="Calibri"/>
                <w:kern w:val="0"/>
                <w:sz w:val="20"/>
                <w:szCs w:val="20"/>
              </w:rPr>
              <w:t>附3份相關之病歷及佐證資料，</w:t>
            </w:r>
            <w:proofErr w:type="gramStart"/>
            <w:r w:rsidRPr="00AA0B1C">
              <w:rPr>
                <w:rFonts w:ascii="標楷體" w:eastAsia="標楷體" w:hAnsi="標楷體" w:cs="Calibri"/>
                <w:kern w:val="0"/>
                <w:sz w:val="20"/>
                <w:szCs w:val="20"/>
              </w:rPr>
              <w:t>不</w:t>
            </w:r>
            <w:proofErr w:type="gramEnd"/>
            <w:r w:rsidRPr="00AA0B1C">
              <w:rPr>
                <w:rFonts w:ascii="標楷體" w:eastAsia="標楷體" w:hAnsi="標楷體" w:cs="Calibri"/>
                <w:kern w:val="0"/>
                <w:sz w:val="20"/>
                <w:szCs w:val="20"/>
              </w:rPr>
              <w:t>必備文，請</w:t>
            </w:r>
            <w:proofErr w:type="gramStart"/>
            <w:r w:rsidRPr="00AA0B1C">
              <w:rPr>
                <w:rFonts w:ascii="標楷體" w:eastAsia="標楷體" w:hAnsi="標楷體" w:cs="Calibri"/>
                <w:kern w:val="0"/>
                <w:sz w:val="20"/>
                <w:szCs w:val="20"/>
              </w:rPr>
              <w:t>逕</w:t>
            </w:r>
            <w:proofErr w:type="gramEnd"/>
            <w:r w:rsidRPr="00AA0B1C">
              <w:rPr>
                <w:rFonts w:ascii="標楷體" w:eastAsia="標楷體" w:hAnsi="標楷體" w:cs="Calibri"/>
                <w:kern w:val="0"/>
                <w:sz w:val="20"/>
                <w:szCs w:val="20"/>
              </w:rPr>
              <w:t>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w:t>
            </w:r>
          </w:p>
          <w:p w14:paraId="4D9153EA"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2.本案藥品續用之申請，請於</w:t>
            </w:r>
            <w:proofErr w:type="gramStart"/>
            <w:r w:rsidRPr="00AA0B1C">
              <w:rPr>
                <w:rFonts w:ascii="標楷體" w:eastAsia="標楷體" w:hAnsi="標楷體" w:cs="Calibri"/>
                <w:kern w:val="0"/>
                <w:sz w:val="20"/>
                <w:szCs w:val="20"/>
              </w:rPr>
              <w:t>前次准用</w:t>
            </w:r>
            <w:proofErr w:type="gramEnd"/>
            <w:r w:rsidRPr="00AA0B1C">
              <w:rPr>
                <w:rFonts w:ascii="標楷體" w:eastAsia="標楷體" w:hAnsi="標楷體" w:cs="Calibri"/>
                <w:kern w:val="0"/>
                <w:sz w:val="20"/>
                <w:szCs w:val="20"/>
              </w:rPr>
              <w:t>期限一個月前，向保險人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北業務組申請審核，以免斷藥。</w:t>
            </w:r>
          </w:p>
          <w:p w14:paraId="5B4D12E5"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3.使用本項藥品前必須施打流行性腦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，申請使用之治療計畫書必須含流行性腦</w:t>
            </w:r>
            <w:proofErr w:type="gramStart"/>
            <w:r w:rsidRPr="00AA0B1C">
              <w:rPr>
                <w:rFonts w:ascii="標楷體" w:eastAsia="標楷體" w:hAnsi="標楷體" w:cs="Calibri"/>
                <w:kern w:val="0"/>
                <w:sz w:val="20"/>
                <w:szCs w:val="20"/>
              </w:rPr>
              <w:t>脊髓膜炎疫</w:t>
            </w:r>
            <w:r w:rsidRPr="00AA0B1C">
              <w:rPr>
                <w:rFonts w:ascii="標楷體" w:eastAsia="標楷體" w:hAnsi="標楷體" w:cs="Calibri"/>
                <w:kern w:val="0"/>
                <w:sz w:val="20"/>
                <w:szCs w:val="20"/>
              </w:rPr>
              <w:lastRenderedPageBreak/>
              <w:t>苗</w:t>
            </w:r>
            <w:proofErr w:type="gramEnd"/>
            <w:r w:rsidRPr="00AA0B1C">
              <w:rPr>
                <w:rFonts w:ascii="標楷體" w:eastAsia="標楷體" w:hAnsi="標楷體" w:cs="Calibri"/>
                <w:kern w:val="0"/>
                <w:sz w:val="20"/>
                <w:szCs w:val="20"/>
              </w:rPr>
              <w:t>施打計畫，申請續用時，請檢附最近一次流行性腦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施打之資料供參。</w:t>
            </w:r>
          </w:p>
          <w:p w14:paraId="36DAC1B2"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4.原受理編號」申復時填寫，初次送核不須填寫。</w:t>
            </w:r>
          </w:p>
          <w:p w14:paraId="01458FBA" w14:textId="77777777" w:rsidR="00E21F86" w:rsidRPr="00AA0B1C" w:rsidRDefault="00E21F86" w:rsidP="00C761A6">
            <w:pPr>
              <w:snapToGrid w:val="0"/>
              <w:spacing w:line="300" w:lineRule="exact"/>
              <w:ind w:left="206" w:hanging="206"/>
              <w:rPr>
                <w:rFonts w:ascii="標楷體" w:eastAsia="標楷體" w:hAnsi="標楷體"/>
              </w:rPr>
            </w:pPr>
            <w:r w:rsidRPr="00AA0B1C">
              <w:rPr>
                <w:rFonts w:ascii="標楷體" w:eastAsia="標楷體" w:hAnsi="標楷體" w:cs="Calibri"/>
                <w:kern w:val="0"/>
                <w:sz w:val="20"/>
                <w:szCs w:val="20"/>
              </w:rPr>
              <w:t>5.本案藥品之審查歸屬專家小組特殊專案審查，不適用本標準第64條及第65條之規定。</w:t>
            </w:r>
          </w:p>
          <w:p w14:paraId="64A77FAD"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6.應專案審查之項目，未依規定專案審查申請核准者，不予給付費用；專案審查申請核准之個案，日後如經審定保險對象或</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事服務機構有不符全民健康保險給付規定者，亦不予給付費用。</w:t>
            </w:r>
          </w:p>
          <w:p w14:paraId="08D9F707"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7.對核定結果如有異議，得於收到核定通知之日起六十日內，重行填寫乙份申請書(應勾</w:t>
            </w:r>
            <w:proofErr w:type="gramStart"/>
            <w:r w:rsidRPr="00AA0B1C">
              <w:rPr>
                <w:rFonts w:ascii="標楷體" w:eastAsia="標楷體" w:hAnsi="標楷體" w:cs="Calibri"/>
                <w:kern w:val="0"/>
                <w:sz w:val="20"/>
                <w:szCs w:val="20"/>
              </w:rPr>
              <w:t>註</w:t>
            </w:r>
            <w:proofErr w:type="gramEnd"/>
            <w:r w:rsidRPr="00AA0B1C">
              <w:rPr>
                <w:rFonts w:ascii="標楷體" w:eastAsia="標楷體" w:hAnsi="標楷體" w:cs="Calibri"/>
                <w:kern w:val="0"/>
                <w:sz w:val="20"/>
                <w:szCs w:val="20"/>
              </w:rPr>
              <w:t>申復，</w:t>
            </w:r>
            <w:proofErr w:type="gramStart"/>
            <w:r w:rsidRPr="00AA0B1C">
              <w:rPr>
                <w:rFonts w:ascii="標楷體" w:eastAsia="標楷體" w:hAnsi="標楷體" w:cs="Calibri"/>
                <w:kern w:val="0"/>
                <w:sz w:val="20"/>
                <w:szCs w:val="20"/>
              </w:rPr>
              <w:t>並填明原</w:t>
            </w:r>
            <w:proofErr w:type="gramEnd"/>
            <w:r w:rsidRPr="00AA0B1C">
              <w:rPr>
                <w:rFonts w:ascii="標楷體" w:eastAsia="標楷體" w:hAnsi="標楷體" w:cs="Calibri"/>
                <w:kern w:val="0"/>
                <w:sz w:val="20"/>
                <w:szCs w:val="20"/>
              </w:rPr>
              <w:t>受理編號)向原核定單位申請複核。</w:t>
            </w:r>
          </w:p>
          <w:p w14:paraId="2CE68B0E"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8.對複核結果如有異議，得於收到複核通知之日起六十日內向全民健康保險爭議審議會申請審議。</w:t>
            </w:r>
          </w:p>
          <w:p w14:paraId="237164D1" w14:textId="77777777" w:rsidR="00E21F86" w:rsidRPr="00AA0B1C" w:rsidRDefault="00E21F86" w:rsidP="00C761A6">
            <w:pPr>
              <w:snapToGrid w:val="0"/>
              <w:spacing w:line="300" w:lineRule="exact"/>
              <w:ind w:left="206" w:hanging="206"/>
              <w:rPr>
                <w:rFonts w:ascii="標楷體" w:eastAsia="標楷體" w:hAnsi="標楷體"/>
              </w:rPr>
            </w:pPr>
            <w:r w:rsidRPr="00AA0B1C">
              <w:rPr>
                <w:rFonts w:ascii="標楷體" w:eastAsia="標楷體" w:hAnsi="標楷體" w:cs="Calibri"/>
                <w:kern w:val="0"/>
                <w:sz w:val="20"/>
                <w:szCs w:val="20"/>
              </w:rPr>
              <w:t>9.對核定結果有異議者，應循上述申</w:t>
            </w:r>
            <w:proofErr w:type="gramStart"/>
            <w:r w:rsidRPr="00AA0B1C">
              <w:rPr>
                <w:rFonts w:ascii="標楷體" w:eastAsia="標楷體" w:hAnsi="標楷體" w:cs="Calibri"/>
                <w:kern w:val="0"/>
                <w:sz w:val="20"/>
                <w:szCs w:val="20"/>
              </w:rPr>
              <w:t>複</w:t>
            </w:r>
            <w:proofErr w:type="gramEnd"/>
            <w:r w:rsidRPr="00AA0B1C">
              <w:rPr>
                <w:rFonts w:ascii="標楷體" w:eastAsia="標楷體" w:hAnsi="標楷體" w:cs="Calibri"/>
                <w:kern w:val="0"/>
                <w:sz w:val="20"/>
                <w:szCs w:val="20"/>
              </w:rPr>
              <w:t>及爭議審議途徑申請複核或審議，不得以新個案重新申請送核，否則不予受理。</w:t>
            </w:r>
          </w:p>
        </w:tc>
        <w:tc>
          <w:tcPr>
            <w:tcW w:w="4906" w:type="dxa"/>
            <w:gridSpan w:val="14"/>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50355967" w14:textId="77777777" w:rsidR="00E21F86" w:rsidRPr="00AA0B1C" w:rsidRDefault="00E21F86" w:rsidP="00C761A6">
            <w:pPr>
              <w:snapToGrid w:val="0"/>
              <w:spacing w:line="300" w:lineRule="exact"/>
              <w:rPr>
                <w:rFonts w:ascii="標楷體" w:eastAsia="標楷體" w:hAnsi="標楷體" w:cs="Calibri"/>
                <w:sz w:val="20"/>
                <w:szCs w:val="20"/>
              </w:rPr>
            </w:pPr>
          </w:p>
        </w:tc>
        <w:tc>
          <w:tcPr>
            <w:tcW w:w="40" w:type="dxa"/>
            <w:shd w:val="clear" w:color="auto" w:fill="auto"/>
            <w:tcMar>
              <w:top w:w="0" w:type="dxa"/>
              <w:left w:w="10" w:type="dxa"/>
              <w:bottom w:w="0" w:type="dxa"/>
              <w:right w:w="10" w:type="dxa"/>
            </w:tcMar>
          </w:tcPr>
          <w:p w14:paraId="29B39617" w14:textId="77777777" w:rsidR="00E21F86" w:rsidRPr="00AA0B1C" w:rsidRDefault="00E21F86" w:rsidP="00C761A6">
            <w:pPr>
              <w:snapToGrid w:val="0"/>
              <w:spacing w:line="300" w:lineRule="exact"/>
              <w:rPr>
                <w:rFonts w:ascii="標楷體" w:eastAsia="標楷體" w:hAnsi="標楷體" w:cs="Calibri"/>
                <w:sz w:val="20"/>
                <w:szCs w:val="20"/>
              </w:rPr>
            </w:pPr>
          </w:p>
        </w:tc>
      </w:tr>
      <w:tr w:rsidR="00E21F86" w:rsidRPr="00AA0B1C" w14:paraId="58ED23F8" w14:textId="77777777" w:rsidTr="002016D2">
        <w:trPr>
          <w:cantSplit/>
          <w:trHeight w:val="1368"/>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F5729D" w14:textId="77777777" w:rsidR="00E21F86" w:rsidRPr="00AA0B1C" w:rsidRDefault="00E21F86" w:rsidP="00C761A6">
            <w:pPr>
              <w:snapToGrid w:val="0"/>
              <w:spacing w:line="300" w:lineRule="exact"/>
              <w:ind w:left="211" w:hanging="211"/>
              <w:rPr>
                <w:rFonts w:ascii="標楷體" w:eastAsia="標楷體" w:hAnsi="標楷體" w:cs="Calibri"/>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3ABCCA" w14:textId="77777777" w:rsidR="00E21F86" w:rsidRPr="00AA0B1C" w:rsidRDefault="00E21F86" w:rsidP="00C761A6">
            <w:pPr>
              <w:snapToGrid w:val="0"/>
              <w:spacing w:line="300" w:lineRule="exact"/>
              <w:ind w:left="211" w:hanging="211"/>
              <w:rPr>
                <w:rFonts w:ascii="標楷體" w:eastAsia="標楷體" w:hAnsi="標楷體" w:cs="Calibri"/>
              </w:rPr>
            </w:pPr>
          </w:p>
        </w:tc>
        <w:tc>
          <w:tcPr>
            <w:tcW w:w="3955" w:type="dxa"/>
            <w:gridSpan w:val="13"/>
            <w:tcBorders>
              <w:left w:val="single" w:sz="4" w:space="0" w:color="000000"/>
              <w:bottom w:val="single" w:sz="4" w:space="0" w:color="000000"/>
            </w:tcBorders>
            <w:shd w:val="clear" w:color="auto" w:fill="auto"/>
            <w:tcMar>
              <w:top w:w="0" w:type="dxa"/>
              <w:left w:w="28" w:type="dxa"/>
              <w:bottom w:w="0" w:type="dxa"/>
              <w:right w:w="28" w:type="dxa"/>
            </w:tcMar>
          </w:tcPr>
          <w:p w14:paraId="37695D5C" w14:textId="77777777" w:rsidR="00E21F86" w:rsidRPr="00AA0B1C" w:rsidRDefault="00E21F86" w:rsidP="00C761A6">
            <w:pPr>
              <w:snapToGrid w:val="0"/>
              <w:spacing w:line="300" w:lineRule="exact"/>
              <w:jc w:val="both"/>
              <w:rPr>
                <w:rFonts w:ascii="標楷體" w:eastAsia="標楷體" w:hAnsi="標楷體" w:cs="Calibri"/>
              </w:rPr>
            </w:pPr>
          </w:p>
          <w:p w14:paraId="602F734D" w14:textId="77777777" w:rsidR="00E21F86" w:rsidRPr="00AA0B1C" w:rsidRDefault="00E21F86" w:rsidP="00C761A6">
            <w:pPr>
              <w:snapToGrid w:val="0"/>
              <w:spacing w:line="300" w:lineRule="exact"/>
              <w:jc w:val="both"/>
              <w:rPr>
                <w:rFonts w:ascii="標楷體" w:eastAsia="標楷體" w:hAnsi="標楷體"/>
              </w:rPr>
            </w:pPr>
            <w:r w:rsidRPr="00AA0B1C">
              <w:rPr>
                <w:rFonts w:ascii="標楷體" w:eastAsia="標楷體" w:hAnsi="標楷體" w:cs="Calibri"/>
                <w:sz w:val="20"/>
                <w:szCs w:val="20"/>
              </w:rPr>
              <w:t>保險人日期章戳</w:t>
            </w:r>
          </w:p>
        </w:tc>
        <w:tc>
          <w:tcPr>
            <w:tcW w:w="951" w:type="dxa"/>
            <w:tcBorders>
              <w:bottom w:val="single" w:sz="4" w:space="0" w:color="000000"/>
              <w:right w:val="single" w:sz="4" w:space="0" w:color="000000"/>
            </w:tcBorders>
            <w:shd w:val="clear" w:color="auto" w:fill="auto"/>
            <w:tcMar>
              <w:top w:w="0" w:type="dxa"/>
              <w:left w:w="28" w:type="dxa"/>
              <w:bottom w:w="0" w:type="dxa"/>
              <w:right w:w="28" w:type="dxa"/>
            </w:tcMar>
          </w:tcPr>
          <w:p w14:paraId="17674BDC" w14:textId="77777777" w:rsidR="00E21F86" w:rsidRPr="00AA0B1C" w:rsidRDefault="00E21F86" w:rsidP="00C761A6">
            <w:pPr>
              <w:snapToGrid w:val="0"/>
              <w:spacing w:line="300" w:lineRule="exact"/>
              <w:rPr>
                <w:rFonts w:ascii="標楷體" w:eastAsia="標楷體" w:hAnsi="標楷體" w:cs="Calibri"/>
              </w:rPr>
            </w:pPr>
          </w:p>
        </w:tc>
        <w:tc>
          <w:tcPr>
            <w:tcW w:w="40" w:type="dxa"/>
            <w:shd w:val="clear" w:color="auto" w:fill="auto"/>
            <w:tcMar>
              <w:top w:w="0" w:type="dxa"/>
              <w:left w:w="10" w:type="dxa"/>
              <w:bottom w:w="0" w:type="dxa"/>
              <w:right w:w="10" w:type="dxa"/>
            </w:tcMar>
          </w:tcPr>
          <w:p w14:paraId="70D5E633" w14:textId="77777777" w:rsidR="00E21F86" w:rsidRPr="00AA0B1C" w:rsidRDefault="00E21F86" w:rsidP="00C761A6">
            <w:pPr>
              <w:snapToGrid w:val="0"/>
              <w:spacing w:line="300" w:lineRule="exact"/>
              <w:rPr>
                <w:rFonts w:ascii="標楷體" w:eastAsia="標楷體" w:hAnsi="標楷體" w:cs="Calibri"/>
              </w:rPr>
            </w:pPr>
          </w:p>
        </w:tc>
      </w:tr>
      <w:tr w:rsidR="00E21F86" w:rsidRPr="00AA0B1C" w14:paraId="2FC6200C" w14:textId="77777777" w:rsidTr="002016D2">
        <w:trPr>
          <w:cantSplit/>
          <w:trHeight w:val="730"/>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89BB3C" w14:textId="77777777" w:rsidR="00E21F86" w:rsidRPr="00AA0B1C" w:rsidRDefault="00E21F86" w:rsidP="00C761A6">
            <w:pPr>
              <w:snapToGrid w:val="0"/>
              <w:spacing w:line="300" w:lineRule="exact"/>
              <w:rPr>
                <w:rFonts w:ascii="標楷體" w:eastAsia="標楷體" w:hAnsi="標楷體" w:cs="Calibri"/>
              </w:rPr>
            </w:pPr>
          </w:p>
          <w:p w14:paraId="6AE0B3FA" w14:textId="77777777" w:rsidR="00E21F86" w:rsidRPr="00AA0B1C" w:rsidRDefault="00E21F86" w:rsidP="00C761A6">
            <w:pPr>
              <w:snapToGrid w:val="0"/>
              <w:spacing w:line="300" w:lineRule="exact"/>
              <w:rPr>
                <w:rFonts w:ascii="標楷體" w:eastAsia="標楷體" w:hAnsi="標楷體" w:cs="Calibri"/>
              </w:rPr>
            </w:pPr>
            <w:proofErr w:type="gramStart"/>
            <w:r w:rsidRPr="00AA0B1C">
              <w:rPr>
                <w:rFonts w:ascii="標楷體" w:eastAsia="標楷體" w:hAnsi="標楷體" w:cs="Calibri"/>
              </w:rPr>
              <w:t>醫</w:t>
            </w:r>
            <w:proofErr w:type="gramEnd"/>
            <w:r w:rsidRPr="00AA0B1C">
              <w:rPr>
                <w:rFonts w:ascii="標楷體" w:eastAsia="標楷體" w:hAnsi="標楷體" w:cs="Calibri"/>
              </w:rPr>
              <w:t>事服務機構</w:t>
            </w: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656D17" w14:textId="77777777" w:rsidR="00E21F86" w:rsidRPr="00AA0B1C" w:rsidRDefault="00E21F86" w:rsidP="00C761A6">
            <w:pPr>
              <w:snapToGrid w:val="0"/>
              <w:spacing w:line="300" w:lineRule="exact"/>
              <w:rPr>
                <w:rFonts w:ascii="標楷體" w:eastAsia="標楷體" w:hAnsi="標楷體" w:cs="Calibri"/>
              </w:rPr>
            </w:pPr>
            <w:r w:rsidRPr="00AA0B1C">
              <w:rPr>
                <w:rFonts w:ascii="標楷體" w:eastAsia="標楷體" w:hAnsi="標楷體" w:cs="Calibri"/>
              </w:rPr>
              <w:t>醫院申請日期：年月日</w:t>
            </w:r>
          </w:p>
          <w:p w14:paraId="5316DB27" w14:textId="77777777" w:rsidR="00E21F86" w:rsidRPr="00AA0B1C" w:rsidRDefault="00E21F86" w:rsidP="00C761A6">
            <w:pPr>
              <w:snapToGrid w:val="0"/>
              <w:spacing w:line="300" w:lineRule="exact"/>
              <w:rPr>
                <w:rFonts w:ascii="標楷體" w:eastAsia="標楷體" w:hAnsi="標楷體" w:cs="Calibri"/>
              </w:rPr>
            </w:pPr>
          </w:p>
          <w:p w14:paraId="2EE2522B" w14:textId="77777777" w:rsidR="00E21F86" w:rsidRPr="00AA0B1C" w:rsidRDefault="00E21F86" w:rsidP="00C761A6">
            <w:pPr>
              <w:snapToGrid w:val="0"/>
              <w:spacing w:line="300" w:lineRule="exact"/>
              <w:rPr>
                <w:rFonts w:ascii="標楷體" w:eastAsia="標楷體" w:hAnsi="標楷體" w:cs="Calibri"/>
              </w:rPr>
            </w:pPr>
            <w:r w:rsidRPr="00AA0B1C">
              <w:rPr>
                <w:rFonts w:ascii="標楷體" w:eastAsia="標楷體" w:hAnsi="標楷體" w:cs="Calibri"/>
              </w:rPr>
              <w:t>印信</w:t>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76FDC9" w14:textId="77777777" w:rsidR="00E21F86" w:rsidRPr="00AA0B1C" w:rsidRDefault="00E21F86" w:rsidP="00C761A6">
            <w:pPr>
              <w:widowControl/>
              <w:snapToGrid w:val="0"/>
              <w:spacing w:line="300" w:lineRule="exact"/>
              <w:rPr>
                <w:rFonts w:ascii="標楷體" w:eastAsia="標楷體" w:hAnsi="標楷體" w:cs="Calibri"/>
              </w:rPr>
            </w:pPr>
            <w:r w:rsidRPr="00AA0B1C">
              <w:rPr>
                <w:rFonts w:ascii="標楷體" w:eastAsia="標楷體" w:hAnsi="標楷體" w:cs="Calibri"/>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2CA68" w14:textId="77777777" w:rsidR="00E21F86" w:rsidRPr="00AA0B1C" w:rsidRDefault="00E21F86" w:rsidP="00C761A6">
            <w:pPr>
              <w:widowControl/>
              <w:snapToGrid w:val="0"/>
              <w:spacing w:line="300" w:lineRule="exact"/>
              <w:rPr>
                <w:rFonts w:ascii="標楷體" w:eastAsia="標楷體" w:hAnsi="標楷體" w:cs="Calibri"/>
              </w:rPr>
            </w:pPr>
          </w:p>
          <w:p w14:paraId="234BCF13" w14:textId="77777777" w:rsidR="00E21F86" w:rsidRPr="00AA0B1C" w:rsidRDefault="00E21F86" w:rsidP="00C761A6">
            <w:pPr>
              <w:snapToGrid w:val="0"/>
              <w:spacing w:line="300" w:lineRule="exact"/>
              <w:rPr>
                <w:rFonts w:ascii="標楷體" w:eastAsia="標楷體" w:hAnsi="標楷體" w:cs="Calibri"/>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53D6D5" w14:textId="77777777" w:rsidR="00E21F86" w:rsidRPr="00AA0B1C" w:rsidRDefault="00E21F86" w:rsidP="00C761A6">
            <w:pPr>
              <w:widowControl/>
              <w:snapToGrid w:val="0"/>
              <w:spacing w:line="300" w:lineRule="exact"/>
              <w:rPr>
                <w:rFonts w:ascii="標楷體" w:eastAsia="標楷體" w:hAnsi="標楷體" w:cs="Calibri"/>
              </w:rPr>
            </w:pPr>
            <w:r w:rsidRPr="00AA0B1C">
              <w:rPr>
                <w:rFonts w:ascii="標楷體" w:eastAsia="標楷體" w:hAnsi="標楷體" w:cs="Calibri"/>
              </w:rPr>
              <w:t>複核</w:t>
            </w:r>
          </w:p>
          <w:p w14:paraId="6165756E" w14:textId="77777777" w:rsidR="00E21F86" w:rsidRPr="00AA0B1C" w:rsidRDefault="00E21F86" w:rsidP="00C761A6">
            <w:pPr>
              <w:widowControl/>
              <w:snapToGrid w:val="0"/>
              <w:spacing w:line="300" w:lineRule="exact"/>
              <w:rPr>
                <w:rFonts w:ascii="標楷體" w:eastAsia="標楷體" w:hAnsi="標楷體" w:cs="Calibri"/>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56E4D1" w14:textId="77777777" w:rsidR="00E21F86" w:rsidRPr="00AA0B1C" w:rsidRDefault="00E21F86" w:rsidP="00C761A6">
            <w:pPr>
              <w:widowControl/>
              <w:snapToGrid w:val="0"/>
              <w:spacing w:line="300" w:lineRule="exact"/>
              <w:rPr>
                <w:rFonts w:ascii="標楷體" w:eastAsia="標楷體" w:hAnsi="標楷體" w:cs="Calibri"/>
              </w:rPr>
            </w:pPr>
          </w:p>
          <w:p w14:paraId="7C94CFF5" w14:textId="77777777" w:rsidR="00E21F86" w:rsidRPr="00AA0B1C" w:rsidRDefault="00E21F86" w:rsidP="00C761A6">
            <w:pPr>
              <w:snapToGrid w:val="0"/>
              <w:spacing w:line="300" w:lineRule="exact"/>
              <w:rPr>
                <w:rFonts w:ascii="標楷體" w:eastAsia="標楷體" w:hAnsi="標楷體" w:cs="Calibri"/>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FAE662" w14:textId="77777777" w:rsidR="00E21F86" w:rsidRPr="00AA0B1C" w:rsidRDefault="00E21F86" w:rsidP="00C761A6">
            <w:pPr>
              <w:snapToGrid w:val="0"/>
              <w:spacing w:line="300" w:lineRule="exact"/>
              <w:rPr>
                <w:rFonts w:ascii="標楷體" w:eastAsia="標楷體" w:hAnsi="標楷體" w:cs="Calibri"/>
              </w:rPr>
            </w:pPr>
            <w:r w:rsidRPr="00AA0B1C">
              <w:rPr>
                <w:rFonts w:ascii="標楷體" w:eastAsia="標楷體" w:hAnsi="標楷體" w:cs="Calibri"/>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652B85" w14:textId="77777777" w:rsidR="00E21F86" w:rsidRPr="00AA0B1C" w:rsidRDefault="00E21F86" w:rsidP="00C761A6">
            <w:pPr>
              <w:widowControl/>
              <w:snapToGrid w:val="0"/>
              <w:spacing w:line="300" w:lineRule="exact"/>
              <w:rPr>
                <w:rFonts w:ascii="標楷體" w:eastAsia="標楷體" w:hAnsi="標楷體" w:cs="Calibri"/>
              </w:rPr>
            </w:pPr>
          </w:p>
          <w:p w14:paraId="73437923" w14:textId="77777777" w:rsidR="00E21F86" w:rsidRPr="00AA0B1C" w:rsidRDefault="00E21F86" w:rsidP="00C761A6">
            <w:pPr>
              <w:snapToGrid w:val="0"/>
              <w:spacing w:line="300" w:lineRule="exact"/>
              <w:rPr>
                <w:rFonts w:ascii="標楷體" w:eastAsia="標楷體" w:hAnsi="標楷體" w:cs="Calibri"/>
              </w:rPr>
            </w:pPr>
          </w:p>
        </w:tc>
        <w:tc>
          <w:tcPr>
            <w:tcW w:w="35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8B1C3C" w14:textId="77777777" w:rsidR="00E21F86" w:rsidRPr="00AA0B1C" w:rsidRDefault="00E21F86" w:rsidP="00C761A6">
            <w:pPr>
              <w:widowControl/>
              <w:snapToGrid w:val="0"/>
              <w:spacing w:line="300" w:lineRule="exact"/>
              <w:rPr>
                <w:rFonts w:ascii="標楷體" w:eastAsia="標楷體" w:hAnsi="標楷體" w:cs="Calibri"/>
              </w:rPr>
            </w:pPr>
            <w:r w:rsidRPr="00AA0B1C">
              <w:rPr>
                <w:rFonts w:ascii="標楷體" w:eastAsia="標楷體" w:hAnsi="標楷體" w:cs="Calibri"/>
              </w:rPr>
              <w:t>決行</w:t>
            </w:r>
          </w:p>
          <w:p w14:paraId="39C738FC" w14:textId="77777777" w:rsidR="00E21F86" w:rsidRPr="00AA0B1C" w:rsidRDefault="00E21F86" w:rsidP="00C761A6">
            <w:pPr>
              <w:widowControl/>
              <w:snapToGrid w:val="0"/>
              <w:spacing w:line="300" w:lineRule="exact"/>
              <w:rPr>
                <w:rFonts w:ascii="標楷體" w:eastAsia="標楷體" w:hAnsi="標楷體" w:cs="Calibri"/>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E1F9E2" w14:textId="77777777" w:rsidR="00E21F86" w:rsidRPr="00AA0B1C" w:rsidRDefault="00E21F86" w:rsidP="00C761A6">
            <w:pPr>
              <w:widowControl/>
              <w:snapToGrid w:val="0"/>
              <w:spacing w:line="300" w:lineRule="exact"/>
              <w:rPr>
                <w:rFonts w:ascii="標楷體" w:eastAsia="標楷體" w:hAnsi="標楷體" w:cs="Calibri"/>
              </w:rPr>
            </w:pPr>
          </w:p>
          <w:p w14:paraId="3A3C20E1" w14:textId="77777777" w:rsidR="00E21F86" w:rsidRPr="00AA0B1C" w:rsidRDefault="00E21F86" w:rsidP="00C761A6">
            <w:pPr>
              <w:snapToGrid w:val="0"/>
              <w:spacing w:line="300" w:lineRule="exact"/>
              <w:rPr>
                <w:rFonts w:ascii="標楷體" w:eastAsia="標楷體" w:hAnsi="標楷體" w:cs="Calibri"/>
              </w:rPr>
            </w:pPr>
          </w:p>
        </w:tc>
      </w:tr>
    </w:tbl>
    <w:p w14:paraId="5EC82AB3" w14:textId="77777777" w:rsidR="0016529A" w:rsidRDefault="0016529A" w:rsidP="000E757E">
      <w:pPr>
        <w:spacing w:line="240" w:lineRule="atLeast"/>
        <w:sectPr w:rsidR="0016529A">
          <w:footerReference w:type="default" r:id="rId40"/>
          <w:pgSz w:w="16838" w:h="11906" w:orient="landscape"/>
          <w:pgMar w:top="284" w:right="1134" w:bottom="567" w:left="1134" w:header="851" w:footer="992" w:gutter="0"/>
          <w:cols w:space="720"/>
          <w:docGrid w:type="linesAndChars"/>
        </w:sectPr>
      </w:pPr>
    </w:p>
    <w:p w14:paraId="401AF3A9" w14:textId="1022C880" w:rsidR="000B1800" w:rsidRPr="005C51CB" w:rsidRDefault="000B1800" w:rsidP="00C761A6">
      <w:pPr>
        <w:snapToGrid w:val="0"/>
        <w:spacing w:line="300" w:lineRule="exact"/>
        <w:jc w:val="center"/>
        <w:rPr>
          <w:rFonts w:ascii="標楷體" w:eastAsia="標楷體" w:hAnsi="標楷體"/>
          <w:b/>
          <w:bCs/>
        </w:rPr>
      </w:pPr>
      <w:r w:rsidRPr="005C51CB">
        <w:rPr>
          <w:rFonts w:ascii="標楷體" w:eastAsia="標楷體" w:hAnsi="標楷體"/>
          <w:b/>
          <w:bCs/>
        </w:rPr>
        <w:lastRenderedPageBreak/>
        <w:t>附表三十之二</w:t>
      </w:r>
      <w:r w:rsidR="00190A34">
        <w:rPr>
          <w:rFonts w:ascii="標楷體" w:eastAsia="標楷體" w:hAnsi="標楷體" w:hint="eastAsia"/>
          <w:b/>
          <w:bCs/>
        </w:rPr>
        <w:t xml:space="preserve"> </w:t>
      </w:r>
      <w:r w:rsidRPr="005C51CB">
        <w:rPr>
          <w:rFonts w:ascii="標楷體" w:eastAsia="標楷體" w:hAnsi="標楷體"/>
          <w:b/>
          <w:bCs/>
        </w:rPr>
        <w:t>陣發性夜間血紅素尿症患者特殊專案審查申請Soliris(eculizumab)、</w:t>
      </w:r>
      <w:proofErr w:type="spellStart"/>
      <w:r w:rsidRPr="005C51CB">
        <w:rPr>
          <w:rFonts w:ascii="標楷體" w:eastAsia="標楷體" w:hAnsi="標楷體"/>
          <w:b/>
          <w:bCs/>
        </w:rPr>
        <w:t>Ultomiris</w:t>
      </w:r>
      <w:proofErr w:type="spellEnd"/>
      <w:r w:rsidRPr="005C51CB">
        <w:rPr>
          <w:rFonts w:ascii="標楷體" w:eastAsia="標楷體" w:hAnsi="標楷體"/>
          <w:b/>
          <w:bCs/>
        </w:rPr>
        <w:t>(</w:t>
      </w:r>
      <w:proofErr w:type="spellStart"/>
      <w:r w:rsidRPr="005C51CB">
        <w:rPr>
          <w:rFonts w:ascii="標楷體" w:eastAsia="標楷體" w:hAnsi="標楷體"/>
          <w:b/>
          <w:bCs/>
        </w:rPr>
        <w:t>ravulizumab</w:t>
      </w:r>
      <w:proofErr w:type="spellEnd"/>
      <w:r w:rsidRPr="005C51CB">
        <w:rPr>
          <w:rFonts w:ascii="標楷體" w:eastAsia="標楷體" w:hAnsi="標楷體"/>
          <w:b/>
          <w:bCs/>
        </w:rPr>
        <w:t>)、</w:t>
      </w:r>
      <w:proofErr w:type="spellStart"/>
      <w:r w:rsidRPr="005C51CB">
        <w:rPr>
          <w:rFonts w:ascii="標楷體" w:eastAsia="標楷體" w:hAnsi="標楷體"/>
          <w:b/>
          <w:bCs/>
        </w:rPr>
        <w:t>Piasky</w:t>
      </w:r>
      <w:proofErr w:type="spellEnd"/>
      <w:r w:rsidRPr="005C51CB">
        <w:rPr>
          <w:rFonts w:ascii="標楷體" w:eastAsia="標楷體" w:hAnsi="標楷體"/>
          <w:b/>
          <w:bCs/>
        </w:rPr>
        <w:t>(</w:t>
      </w:r>
      <w:proofErr w:type="spellStart"/>
      <w:r w:rsidRPr="005C51CB">
        <w:rPr>
          <w:rFonts w:ascii="標楷體" w:eastAsia="標楷體" w:hAnsi="標楷體"/>
          <w:b/>
          <w:bCs/>
        </w:rPr>
        <w:t>crovalimab</w:t>
      </w:r>
      <w:proofErr w:type="spellEnd"/>
      <w:r w:rsidRPr="005C51CB">
        <w:rPr>
          <w:rFonts w:ascii="標楷體" w:eastAsia="標楷體" w:hAnsi="標楷體"/>
          <w:b/>
          <w:bCs/>
        </w:rPr>
        <w:t>)用藥檢附資料查檢表</w:t>
      </w:r>
    </w:p>
    <w:p w14:paraId="6502840B" w14:textId="77777777" w:rsidR="000B1800" w:rsidRDefault="000B1800" w:rsidP="00C761A6">
      <w:pPr>
        <w:snapToGrid w:val="0"/>
        <w:spacing w:line="300" w:lineRule="exact"/>
        <w:jc w:val="center"/>
      </w:pPr>
      <w:r>
        <w:rPr>
          <w:rFonts w:ascii="標楷體" w:eastAsia="標楷體" w:hAnsi="標楷體" w:hint="eastAsia"/>
        </w:rPr>
        <w:t>115</w:t>
      </w:r>
      <w:r>
        <w:rPr>
          <w:rFonts w:ascii="標楷體" w:eastAsia="標楷體" w:hAnsi="標楷體"/>
        </w:rPr>
        <w:t>年</w:t>
      </w:r>
      <w:r>
        <w:rPr>
          <w:rFonts w:ascii="標楷體" w:eastAsia="標楷體" w:hAnsi="標楷體" w:hint="eastAsia"/>
        </w:rPr>
        <w:t>3</w:t>
      </w:r>
      <w:r>
        <w:rPr>
          <w:rFonts w:ascii="標楷體" w:eastAsia="標楷體" w:hAnsi="標楷體"/>
        </w:rPr>
        <w:t>月1日修訂</w:t>
      </w:r>
    </w:p>
    <w:tbl>
      <w:tblPr>
        <w:tblW w:w="5553" w:type="pct"/>
        <w:tblInd w:w="-289" w:type="dxa"/>
        <w:tblCellMar>
          <w:left w:w="10" w:type="dxa"/>
          <w:right w:w="10" w:type="dxa"/>
        </w:tblCellMar>
        <w:tblLook w:val="0000" w:firstRow="0" w:lastRow="0" w:firstColumn="0" w:lastColumn="0" w:noHBand="0" w:noVBand="0"/>
      </w:tblPr>
      <w:tblGrid>
        <w:gridCol w:w="3970"/>
        <w:gridCol w:w="4948"/>
        <w:gridCol w:w="1901"/>
      </w:tblGrid>
      <w:tr w:rsidR="000B1800" w14:paraId="3D5F62EA" w14:textId="77777777" w:rsidTr="000B1800">
        <w:tc>
          <w:tcPr>
            <w:tcW w:w="1081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90782F" w14:textId="77777777" w:rsidR="000B1800" w:rsidRDefault="000B1800" w:rsidP="00C761A6">
            <w:pPr>
              <w:snapToGrid w:val="0"/>
              <w:spacing w:line="300" w:lineRule="exact"/>
            </w:pPr>
            <w:r>
              <w:rPr>
                <w:rFonts w:ascii="標楷體" w:eastAsia="標楷體" w:hAnsi="標楷體" w:cs="Calibri"/>
                <w:b/>
              </w:rPr>
              <w:t>新個案初次申請</w:t>
            </w:r>
          </w:p>
        </w:tc>
      </w:tr>
      <w:tr w:rsidR="000B1800" w14:paraId="2CC782B2" w14:textId="77777777" w:rsidTr="000B1800">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627B8F" w14:textId="77777777" w:rsidR="000B1800" w:rsidRDefault="000B1800" w:rsidP="00C761A6">
            <w:pPr>
              <w:widowControl/>
              <w:snapToGrid w:val="0"/>
              <w:spacing w:line="300" w:lineRule="exact"/>
              <w:ind w:left="480"/>
              <w:jc w:val="both"/>
              <w:rPr>
                <w:rFonts w:ascii="標楷體" w:eastAsia="標楷體" w:hAnsi="標楷體" w:cs="Calibri"/>
                <w:kern w:val="0"/>
              </w:rPr>
            </w:pPr>
            <w:r>
              <w:rPr>
                <w:rFonts w:ascii="標楷體" w:eastAsia="標楷體" w:hAnsi="標楷體" w:cs="Calibri"/>
                <w:kern w:val="0"/>
              </w:rPr>
              <w:t>給付規定</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2ADA8A" w14:textId="77777777" w:rsidR="000B1800" w:rsidRDefault="000B1800" w:rsidP="00C761A6">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EC5D0" w14:textId="77777777" w:rsidR="000B1800" w:rsidRDefault="000B1800" w:rsidP="00C761A6">
            <w:pPr>
              <w:snapToGrid w:val="0"/>
              <w:spacing w:line="300" w:lineRule="exact"/>
              <w:rPr>
                <w:rFonts w:ascii="標楷體" w:eastAsia="標楷體" w:hAnsi="標楷體" w:cs="Calibri"/>
              </w:rPr>
            </w:pPr>
            <w:r>
              <w:rPr>
                <w:rFonts w:ascii="標楷體" w:eastAsia="標楷體" w:hAnsi="標楷體" w:cs="Calibri"/>
              </w:rPr>
              <w:t>資料確認</w:t>
            </w:r>
          </w:p>
        </w:tc>
      </w:tr>
      <w:tr w:rsidR="000B1800" w14:paraId="55F2077B" w14:textId="77777777" w:rsidTr="000B1800">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EDC119" w14:textId="77777777" w:rsidR="000B1800" w:rsidRDefault="000B1800" w:rsidP="002144EC">
            <w:pPr>
              <w:numPr>
                <w:ilvl w:val="0"/>
                <w:numId w:val="165"/>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限用於陣發性夜間血紅素尿症患者且PNH granulocyte clone size經兩種抗體確認大於50%，並符合下列條件之</w:t>
            </w:r>
            <w:proofErr w:type="gramStart"/>
            <w:r>
              <w:rPr>
                <w:rFonts w:ascii="標楷體" w:eastAsia="標楷體" w:hAnsi="標楷體" w:cs="Calibri"/>
                <w:kern w:val="0"/>
              </w:rPr>
              <w:t>一</w:t>
            </w:r>
            <w:proofErr w:type="gramEnd"/>
            <w:r>
              <w:rPr>
                <w:rFonts w:ascii="標楷體" w:eastAsia="標楷體" w:hAnsi="標楷體" w:cs="Calibri"/>
                <w:kern w:val="0"/>
              </w:rPr>
              <w:t>者使用：</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15E580" w14:textId="77777777" w:rsidR="000B1800" w:rsidRDefault="000B1800" w:rsidP="00C761A6">
            <w:pPr>
              <w:snapToGrid w:val="0"/>
              <w:spacing w:line="300" w:lineRule="exact"/>
              <w:rPr>
                <w:rFonts w:ascii="標楷體" w:eastAsia="標楷體" w:hAnsi="標楷體" w:cs="Calibri"/>
                <w:b/>
              </w:rPr>
            </w:pPr>
            <w:r>
              <w:rPr>
                <w:rFonts w:ascii="標楷體" w:eastAsia="標楷體" w:hAnsi="標楷體" w:cs="Calibri"/>
                <w:b/>
              </w:rPr>
              <w:t>診斷依據(必備)：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123E70" w14:textId="77777777" w:rsidR="000B1800" w:rsidRDefault="000B1800" w:rsidP="00C761A6">
            <w:pPr>
              <w:snapToGrid w:val="0"/>
              <w:spacing w:line="300" w:lineRule="exact"/>
              <w:rPr>
                <w:rFonts w:ascii="標楷體" w:eastAsia="標楷體" w:hAnsi="標楷體" w:cs="Calibri"/>
              </w:rPr>
            </w:pPr>
          </w:p>
        </w:tc>
      </w:tr>
      <w:tr w:rsidR="000B1800" w14:paraId="4AA2B430"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15EDBF"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4EA017" w14:textId="77777777" w:rsidR="000B1800" w:rsidRDefault="000B1800" w:rsidP="002144EC">
            <w:pPr>
              <w:numPr>
                <w:ilvl w:val="0"/>
                <w:numId w:val="166"/>
              </w:numPr>
              <w:snapToGrid w:val="0"/>
              <w:spacing w:line="300" w:lineRule="exact"/>
              <w:rPr>
                <w:rFonts w:ascii="標楷體" w:eastAsia="標楷體" w:hAnsi="標楷體" w:cs="Calibri"/>
              </w:rPr>
            </w:pPr>
            <w:r>
              <w:rPr>
                <w:rFonts w:ascii="標楷體" w:eastAsia="標楷體" w:hAnsi="標楷體" w:cs="Calibri"/>
              </w:rPr>
              <w:t>病史摘要說明。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6054D1" w14:textId="77777777" w:rsidR="000B1800" w:rsidRDefault="000B1800" w:rsidP="00C761A6">
            <w:pPr>
              <w:snapToGrid w:val="0"/>
              <w:spacing w:line="300" w:lineRule="exact"/>
              <w:rPr>
                <w:rFonts w:ascii="標楷體" w:eastAsia="標楷體" w:hAnsi="標楷體" w:cs="Calibri"/>
              </w:rPr>
            </w:pPr>
          </w:p>
        </w:tc>
      </w:tr>
      <w:tr w:rsidR="000B1800" w14:paraId="3E0B3B82"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E767B5"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827586" w14:textId="77777777" w:rsidR="000B1800" w:rsidRDefault="000B1800" w:rsidP="002144EC">
            <w:pPr>
              <w:numPr>
                <w:ilvl w:val="0"/>
                <w:numId w:val="166"/>
              </w:numPr>
              <w:snapToGrid w:val="0"/>
              <w:spacing w:line="300" w:lineRule="exact"/>
              <w:rPr>
                <w:rFonts w:ascii="標楷體" w:eastAsia="標楷體" w:hAnsi="標楷體" w:cs="Calibri"/>
              </w:rPr>
            </w:pPr>
            <w:r>
              <w:rPr>
                <w:rFonts w:ascii="標楷體" w:eastAsia="標楷體" w:hAnsi="標楷體" w:cs="Calibri"/>
              </w:rPr>
              <w:t>治療計畫，必須包含meningococcal vaccine之施打計畫。</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E38FAA" w14:textId="77777777" w:rsidR="000B1800" w:rsidRDefault="000B1800" w:rsidP="00C761A6">
            <w:pPr>
              <w:snapToGrid w:val="0"/>
              <w:spacing w:line="300" w:lineRule="exact"/>
              <w:rPr>
                <w:rFonts w:ascii="標楷體" w:eastAsia="標楷體" w:hAnsi="標楷體" w:cs="Calibri"/>
              </w:rPr>
            </w:pPr>
          </w:p>
        </w:tc>
      </w:tr>
      <w:tr w:rsidR="000B1800" w14:paraId="0F83FE80"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F6C065"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3FB82F" w14:textId="77777777" w:rsidR="000B1800" w:rsidRDefault="000B1800" w:rsidP="002144EC">
            <w:pPr>
              <w:numPr>
                <w:ilvl w:val="0"/>
                <w:numId w:val="166"/>
              </w:numPr>
              <w:snapToGrid w:val="0"/>
              <w:spacing w:line="300" w:lineRule="exact"/>
              <w:jc w:val="both"/>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月內之CBC、WBC分類及reticulocyte至少兩次。</w:t>
            </w:r>
          </w:p>
          <w:p w14:paraId="4F89C694" w14:textId="77777777" w:rsidR="000B1800" w:rsidRDefault="000B1800" w:rsidP="00C761A6">
            <w:pPr>
              <w:snapToGrid w:val="0"/>
              <w:spacing w:line="300" w:lineRule="exact"/>
              <w:ind w:left="317"/>
              <w:jc w:val="both"/>
              <w:rPr>
                <w:rFonts w:ascii="標楷體" w:eastAsia="標楷體" w:hAnsi="標楷體" w:cs="Calibri"/>
              </w:rPr>
            </w:pPr>
            <w:r>
              <w:rPr>
                <w:rFonts w:ascii="標楷體" w:eastAsia="標楷體" w:hAnsi="標楷體" w:cs="Calibri"/>
              </w:rPr>
              <w:t>若病患已接受長期輸血中，可酌加附診斷時或開始接受輸血時之CBC、WBC分類及reticulocyte，並附加說明近三</w:t>
            </w:r>
            <w:proofErr w:type="gramStart"/>
            <w:r>
              <w:rPr>
                <w:rFonts w:ascii="標楷體" w:eastAsia="標楷體" w:hAnsi="標楷體" w:cs="Calibri"/>
              </w:rPr>
              <w:t>個</w:t>
            </w:r>
            <w:proofErr w:type="gramEnd"/>
            <w:r>
              <w:rPr>
                <w:rFonts w:ascii="標楷體" w:eastAsia="標楷體" w:hAnsi="標楷體" w:cs="Calibri"/>
              </w:rPr>
              <w:t>月內之CBC結果與輸血之關係，以利評估目前之造血功能。</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3FDFE" w14:textId="77777777" w:rsidR="000B1800" w:rsidRDefault="000B1800" w:rsidP="00C761A6">
            <w:pPr>
              <w:snapToGrid w:val="0"/>
              <w:spacing w:line="300" w:lineRule="exact"/>
              <w:rPr>
                <w:rFonts w:ascii="標楷體" w:eastAsia="標楷體" w:hAnsi="標楷體" w:cs="Calibri"/>
              </w:rPr>
            </w:pPr>
          </w:p>
        </w:tc>
      </w:tr>
      <w:tr w:rsidR="000B1800" w14:paraId="03640F6F"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C7267A"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1BF614" w14:textId="77777777" w:rsidR="000B1800" w:rsidRDefault="000B1800" w:rsidP="002144EC">
            <w:pPr>
              <w:numPr>
                <w:ilvl w:val="0"/>
                <w:numId w:val="166"/>
              </w:numPr>
              <w:snapToGrid w:val="0"/>
              <w:spacing w:line="300" w:lineRule="exact"/>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月內有關溶血性貧血活性之評估檢驗報告。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BC3C59" w14:textId="77777777" w:rsidR="000B1800" w:rsidRDefault="000B1800" w:rsidP="00C761A6">
            <w:pPr>
              <w:snapToGrid w:val="0"/>
              <w:spacing w:line="300" w:lineRule="exact"/>
              <w:rPr>
                <w:rFonts w:ascii="標楷體" w:eastAsia="標楷體" w:hAnsi="標楷體" w:cs="Calibri"/>
              </w:rPr>
            </w:pPr>
          </w:p>
        </w:tc>
      </w:tr>
      <w:tr w:rsidR="000B1800" w14:paraId="02631875"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0B46C"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065553" w14:textId="77777777" w:rsidR="000B1800" w:rsidRDefault="000B1800" w:rsidP="002144EC">
            <w:pPr>
              <w:numPr>
                <w:ilvl w:val="0"/>
                <w:numId w:val="166"/>
              </w:numPr>
              <w:snapToGrid w:val="0"/>
              <w:spacing w:line="300" w:lineRule="exact"/>
              <w:rPr>
                <w:rFonts w:ascii="標楷體" w:eastAsia="標楷體" w:hAnsi="標楷體" w:cs="Calibri"/>
              </w:rPr>
            </w:pPr>
            <w:r>
              <w:rPr>
                <w:rFonts w:ascii="標楷體" w:eastAsia="標楷體" w:hAnsi="標楷體" w:cs="Calibri"/>
              </w:rPr>
              <w:t>六個月內之骨髓檢查報告。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040C92" w14:textId="77777777" w:rsidR="000B1800" w:rsidRDefault="000B1800" w:rsidP="00C761A6">
            <w:pPr>
              <w:snapToGrid w:val="0"/>
              <w:spacing w:line="300" w:lineRule="exact"/>
              <w:rPr>
                <w:rFonts w:ascii="標楷體" w:eastAsia="標楷體" w:hAnsi="標楷體" w:cs="Calibri"/>
              </w:rPr>
            </w:pPr>
          </w:p>
        </w:tc>
      </w:tr>
      <w:tr w:rsidR="000B1800" w14:paraId="64B2A66F"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DE4B2"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B503D" w14:textId="77777777" w:rsidR="000B1800" w:rsidRDefault="000B1800" w:rsidP="002144EC">
            <w:pPr>
              <w:numPr>
                <w:ilvl w:val="0"/>
                <w:numId w:val="166"/>
              </w:numPr>
              <w:snapToGrid w:val="0"/>
              <w:spacing w:line="300" w:lineRule="exact"/>
              <w:jc w:val="both"/>
              <w:rPr>
                <w:rFonts w:ascii="標楷體" w:eastAsia="標楷體" w:hAnsi="標楷體" w:cs="Calibri"/>
              </w:rPr>
            </w:pPr>
            <w:r>
              <w:rPr>
                <w:rFonts w:ascii="標楷體" w:eastAsia="標楷體" w:hAnsi="標楷體" w:cs="Calibri"/>
              </w:rPr>
              <w:t>六個月內之流式細胞儀的診斷報告，須包含細胞圈選(gating)圖及細胞表面抗原-抗體作用強度圖(即histogram或</w:t>
            </w:r>
            <w:proofErr w:type="spellStart"/>
            <w:r>
              <w:rPr>
                <w:rFonts w:ascii="標楷體" w:eastAsia="標楷體" w:hAnsi="標楷體" w:cs="Calibri"/>
              </w:rPr>
              <w:t>dotplots</w:t>
            </w:r>
            <w:proofErr w:type="spellEnd"/>
            <w:r>
              <w:rPr>
                <w:rFonts w:ascii="標楷體" w:eastAsia="標楷體" w:hAnsi="標楷體" w:cs="Calibri"/>
              </w:rPr>
              <w:t>圖)：須符合經兩種以上抗體確認PNH之granulocyte clone size均大於50%</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B22141" w14:textId="77777777" w:rsidR="000B1800" w:rsidRDefault="000B1800" w:rsidP="00C761A6">
            <w:pPr>
              <w:snapToGrid w:val="0"/>
              <w:spacing w:line="300" w:lineRule="exact"/>
              <w:rPr>
                <w:rFonts w:ascii="標楷體" w:eastAsia="標楷體" w:hAnsi="標楷體" w:cs="Calibri"/>
              </w:rPr>
            </w:pPr>
          </w:p>
        </w:tc>
      </w:tr>
      <w:tr w:rsidR="000B1800" w14:paraId="1270662A" w14:textId="77777777" w:rsidTr="000B1800">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A7D8DA" w14:textId="77777777" w:rsidR="000B1800" w:rsidRDefault="000B1800" w:rsidP="002144EC">
            <w:pPr>
              <w:numPr>
                <w:ilvl w:val="0"/>
                <w:numId w:val="167"/>
              </w:numPr>
              <w:snapToGrid w:val="0"/>
              <w:spacing w:line="300" w:lineRule="exact"/>
              <w:jc w:val="both"/>
              <w:rPr>
                <w:rFonts w:ascii="標楷體" w:eastAsia="標楷體" w:hAnsi="標楷體" w:cs="Calibri"/>
              </w:rPr>
            </w:pPr>
            <w:r>
              <w:rPr>
                <w:rFonts w:ascii="標楷體" w:eastAsia="標楷體" w:hAnsi="標楷體" w:cs="Calibri"/>
              </w:rPr>
              <w:t>有溶血性貧血，血紅素濃度至少有兩次檢測數值低於7g/dL或有心肺功能不全症狀（</w:t>
            </w:r>
            <w:proofErr w:type="spellStart"/>
            <w:r>
              <w:rPr>
                <w:rFonts w:ascii="標楷體" w:eastAsia="標楷體" w:hAnsi="標楷體" w:cs="Calibri"/>
              </w:rPr>
              <w:t>NewYork</w:t>
            </w:r>
            <w:proofErr w:type="spellEnd"/>
            <w:r>
              <w:rPr>
                <w:rFonts w:ascii="標楷體" w:eastAsia="標楷體" w:hAnsi="標楷體" w:cs="Calibri"/>
              </w:rPr>
              <w:t xml:space="preserve"> Heart Association </w:t>
            </w:r>
            <w:proofErr w:type="spellStart"/>
            <w:r>
              <w:rPr>
                <w:rFonts w:ascii="標楷體" w:eastAsia="標楷體" w:hAnsi="標楷體" w:cs="Calibri"/>
              </w:rPr>
              <w:t>ClassIII</w:t>
            </w:r>
            <w:proofErr w:type="spellEnd"/>
            <w:r>
              <w:rPr>
                <w:rFonts w:ascii="標楷體" w:eastAsia="標楷體" w:hAnsi="標楷體" w:cs="Calibri"/>
              </w:rPr>
              <w:t>或IV）且血紅素濃度低於9g/dL，並須長期大量輸血（3個月內至少輸血6個單位以上）。須排除其他原因引起之貧血，包括缺鐵性貧血或出血等。</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36E595" w14:textId="77777777" w:rsidR="000B1800" w:rsidRDefault="000B1800" w:rsidP="002144EC">
            <w:pPr>
              <w:numPr>
                <w:ilvl w:val="0"/>
                <w:numId w:val="168"/>
              </w:numPr>
              <w:tabs>
                <w:tab w:val="left" w:pos="391"/>
                <w:tab w:val="left" w:pos="459"/>
              </w:tabs>
              <w:snapToGrid w:val="0"/>
              <w:spacing w:line="300" w:lineRule="exact"/>
              <w:ind w:left="371" w:hanging="357"/>
              <w:rPr>
                <w:rFonts w:ascii="標楷體" w:eastAsia="標楷體" w:hAnsi="標楷體" w:cs="Calibri"/>
                <w:kern w:val="0"/>
              </w:rPr>
            </w:pPr>
            <w:r>
              <w:rPr>
                <w:rFonts w:ascii="標楷體" w:eastAsia="標楷體" w:hAnsi="標楷體" w:cs="Calibri"/>
                <w:kern w:val="0"/>
              </w:rPr>
              <w:t>溶血性貧血：近三</w:t>
            </w:r>
            <w:proofErr w:type="gramStart"/>
            <w:r>
              <w:rPr>
                <w:rFonts w:ascii="標楷體" w:eastAsia="標楷體" w:hAnsi="標楷體" w:cs="Calibri"/>
                <w:kern w:val="0"/>
              </w:rPr>
              <w:t>個</w:t>
            </w:r>
            <w:proofErr w:type="gramEnd"/>
            <w:r>
              <w:rPr>
                <w:rFonts w:ascii="標楷體" w:eastAsia="標楷體" w:hAnsi="標楷體" w:cs="Calibri"/>
                <w:kern w:val="0"/>
              </w:rPr>
              <w:t>月以內兩次以上Hb小於7.0gm/dL之CBC及WBC分類報告。若病患已接受長期輸血中，可酌加附診斷時或開始接受輸血時Hb小於7.0gm/dL之CBC、WBC分類及reticulocyte報告，並附加說明近三</w:t>
            </w:r>
            <w:proofErr w:type="gramStart"/>
            <w:r>
              <w:rPr>
                <w:rFonts w:ascii="標楷體" w:eastAsia="標楷體" w:hAnsi="標楷體" w:cs="Calibri"/>
                <w:kern w:val="0"/>
              </w:rPr>
              <w:t>個</w:t>
            </w:r>
            <w:proofErr w:type="gramEnd"/>
            <w:r>
              <w:rPr>
                <w:rFonts w:ascii="標楷體" w:eastAsia="標楷體" w:hAnsi="標楷體" w:cs="Calibri"/>
                <w:kern w:val="0"/>
              </w:rPr>
              <w:t>月內之CBC結果與輸血之關係，以利評估目前之造血功能。</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125C6C" w14:textId="77777777" w:rsidR="000B1800" w:rsidRDefault="000B1800" w:rsidP="00C761A6">
            <w:pPr>
              <w:snapToGrid w:val="0"/>
              <w:spacing w:line="300" w:lineRule="exact"/>
              <w:rPr>
                <w:rFonts w:ascii="標楷體" w:eastAsia="標楷體" w:hAnsi="標楷體" w:cs="Calibri"/>
              </w:rPr>
            </w:pPr>
          </w:p>
        </w:tc>
      </w:tr>
      <w:tr w:rsidR="000B1800" w14:paraId="3A1CDD85"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0C254E"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002F8C" w14:textId="77777777" w:rsidR="000B1800" w:rsidRDefault="000B1800" w:rsidP="002144EC">
            <w:pPr>
              <w:numPr>
                <w:ilvl w:val="0"/>
                <w:numId w:val="168"/>
              </w:numPr>
              <w:tabs>
                <w:tab w:val="left" w:pos="391"/>
              </w:tabs>
              <w:snapToGrid w:val="0"/>
              <w:spacing w:line="300" w:lineRule="exact"/>
              <w:ind w:left="371" w:hanging="357"/>
              <w:rPr>
                <w:rFonts w:ascii="標楷體" w:eastAsia="標楷體" w:hAnsi="標楷體" w:cs="Calibri"/>
                <w:kern w:val="0"/>
              </w:rPr>
            </w:pPr>
            <w:r>
              <w:rPr>
                <w:rFonts w:ascii="標楷體" w:eastAsia="標楷體" w:hAnsi="標楷體" w:cs="Calibri"/>
                <w:kern w:val="0"/>
              </w:rPr>
              <w:t>心肺功能不全症狀（</w:t>
            </w:r>
            <w:proofErr w:type="spellStart"/>
            <w:r>
              <w:rPr>
                <w:rFonts w:ascii="標楷體" w:eastAsia="標楷體" w:hAnsi="標楷體" w:cs="Calibri"/>
                <w:kern w:val="0"/>
              </w:rPr>
              <w:t>NewYork</w:t>
            </w:r>
            <w:proofErr w:type="spellEnd"/>
            <w:r>
              <w:rPr>
                <w:rFonts w:ascii="標楷體" w:eastAsia="標楷體" w:hAnsi="標楷體" w:cs="Calibri"/>
                <w:kern w:val="0"/>
              </w:rPr>
              <w:t xml:space="preserve"> Heart Association </w:t>
            </w:r>
            <w:proofErr w:type="spellStart"/>
            <w:r>
              <w:rPr>
                <w:rFonts w:ascii="標楷體" w:eastAsia="標楷體" w:hAnsi="標楷體" w:cs="Calibri"/>
                <w:kern w:val="0"/>
              </w:rPr>
              <w:t>ClassIII</w:t>
            </w:r>
            <w:proofErr w:type="spellEnd"/>
            <w:r>
              <w:rPr>
                <w:rFonts w:ascii="標楷體" w:eastAsia="標楷體" w:hAnsi="標楷體" w:cs="Calibri"/>
                <w:kern w:val="0"/>
              </w:rPr>
              <w:t>或IV）：檢附六個月內評估為</w:t>
            </w:r>
            <w:proofErr w:type="spellStart"/>
            <w:r>
              <w:rPr>
                <w:rFonts w:ascii="標楷體" w:eastAsia="標楷體" w:hAnsi="標楷體" w:cs="Calibri"/>
                <w:kern w:val="0"/>
              </w:rPr>
              <w:t>NewYork</w:t>
            </w:r>
            <w:proofErr w:type="spellEnd"/>
            <w:r>
              <w:rPr>
                <w:rFonts w:ascii="標楷體" w:eastAsia="標楷體" w:hAnsi="標楷體" w:cs="Calibri"/>
                <w:kern w:val="0"/>
              </w:rPr>
              <w:t xml:space="preserve"> Heart Association </w:t>
            </w:r>
            <w:proofErr w:type="spellStart"/>
            <w:r>
              <w:rPr>
                <w:rFonts w:ascii="標楷體" w:eastAsia="標楷體" w:hAnsi="標楷體" w:cs="Calibri"/>
                <w:kern w:val="0"/>
              </w:rPr>
              <w:t>ClassIII</w:t>
            </w:r>
            <w:proofErr w:type="spellEnd"/>
            <w:r>
              <w:rPr>
                <w:rFonts w:ascii="標楷體" w:eastAsia="標楷體" w:hAnsi="標楷體" w:cs="Calibri"/>
                <w:kern w:val="0"/>
              </w:rPr>
              <w:t>或IV之</w:t>
            </w:r>
            <w:proofErr w:type="gramStart"/>
            <w:r>
              <w:rPr>
                <w:rFonts w:ascii="標楷體" w:eastAsia="標楷體" w:hAnsi="標楷體" w:cs="Calibri"/>
                <w:kern w:val="0"/>
              </w:rPr>
              <w:t>門住診病歷影</w:t>
            </w:r>
            <w:proofErr w:type="gramEnd"/>
            <w:r>
              <w:rPr>
                <w:rFonts w:ascii="標楷體" w:eastAsia="標楷體" w:hAnsi="標楷體" w:cs="Calibri"/>
                <w:kern w:val="0"/>
              </w:rPr>
              <w:t>本(含症狀描述)，並需加附相關之心肺功能評估檢驗或檢查報告，及血紅素濃度低於9.0g/dL之CBC及WBC分類報告。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D04C5" w14:textId="77777777" w:rsidR="000B1800" w:rsidRDefault="000B1800" w:rsidP="00C761A6">
            <w:pPr>
              <w:snapToGrid w:val="0"/>
              <w:spacing w:line="300" w:lineRule="exact"/>
              <w:rPr>
                <w:rFonts w:ascii="標楷體" w:eastAsia="標楷體" w:hAnsi="標楷體" w:cs="Calibri"/>
              </w:rPr>
            </w:pPr>
          </w:p>
        </w:tc>
      </w:tr>
      <w:tr w:rsidR="000B1800" w14:paraId="0ABD5CEC"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6B1D00"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4428C5" w14:textId="77777777" w:rsidR="000B1800" w:rsidRDefault="000B1800" w:rsidP="002144EC">
            <w:pPr>
              <w:numPr>
                <w:ilvl w:val="0"/>
                <w:numId w:val="168"/>
              </w:numPr>
              <w:tabs>
                <w:tab w:val="left" w:pos="391"/>
              </w:tabs>
              <w:snapToGrid w:val="0"/>
              <w:spacing w:line="300" w:lineRule="exact"/>
              <w:ind w:left="371" w:hanging="357"/>
              <w:rPr>
                <w:rFonts w:ascii="標楷體" w:eastAsia="標楷體" w:hAnsi="標楷體" w:cs="Calibri"/>
                <w:kern w:val="0"/>
              </w:rPr>
            </w:pPr>
            <w:r>
              <w:rPr>
                <w:rFonts w:ascii="標楷體" w:eastAsia="標楷體" w:hAnsi="標楷體" w:cs="Calibri"/>
                <w:kern w:val="0"/>
              </w:rPr>
              <w:t>近三</w:t>
            </w:r>
            <w:proofErr w:type="gramStart"/>
            <w:r>
              <w:rPr>
                <w:rFonts w:ascii="標楷體" w:eastAsia="標楷體" w:hAnsi="標楷體" w:cs="Calibri"/>
                <w:kern w:val="0"/>
              </w:rPr>
              <w:t>個</w:t>
            </w:r>
            <w:proofErr w:type="gramEnd"/>
            <w:r>
              <w:rPr>
                <w:rFonts w:ascii="標楷體" w:eastAsia="標楷體" w:hAnsi="標楷體" w:cs="Calibri"/>
                <w:kern w:val="0"/>
              </w:rPr>
              <w:t>月內輸血超過packed RBCs六個單位之病歷記錄影本。</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CE801" w14:textId="77777777" w:rsidR="000B1800" w:rsidRDefault="000B1800" w:rsidP="00C761A6">
            <w:pPr>
              <w:snapToGrid w:val="0"/>
              <w:spacing w:line="300" w:lineRule="exact"/>
              <w:rPr>
                <w:rFonts w:ascii="標楷體" w:eastAsia="標楷體" w:hAnsi="標楷體" w:cs="Calibri"/>
              </w:rPr>
            </w:pPr>
          </w:p>
        </w:tc>
      </w:tr>
      <w:tr w:rsidR="000B1800" w14:paraId="747BA293"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A290C5"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98908A" w14:textId="77777777" w:rsidR="000B1800" w:rsidRDefault="000B1800" w:rsidP="002144EC">
            <w:pPr>
              <w:numPr>
                <w:ilvl w:val="0"/>
                <w:numId w:val="168"/>
              </w:numPr>
              <w:tabs>
                <w:tab w:val="left" w:pos="391"/>
              </w:tabs>
              <w:snapToGrid w:val="0"/>
              <w:spacing w:line="300" w:lineRule="exact"/>
              <w:ind w:left="371" w:hanging="357"/>
              <w:rPr>
                <w:rFonts w:ascii="標楷體" w:eastAsia="標楷體" w:hAnsi="標楷體" w:cs="Calibri"/>
                <w:kern w:val="0"/>
              </w:rPr>
            </w:pPr>
            <w:r>
              <w:rPr>
                <w:rFonts w:ascii="標楷體" w:eastAsia="標楷體" w:hAnsi="標楷體" w:cs="Calibri"/>
                <w:kern w:val="0"/>
              </w:rPr>
              <w:t>近三</w:t>
            </w:r>
            <w:proofErr w:type="gramStart"/>
            <w:r>
              <w:rPr>
                <w:rFonts w:ascii="標楷體" w:eastAsia="標楷體" w:hAnsi="標楷體" w:cs="Calibri"/>
                <w:kern w:val="0"/>
              </w:rPr>
              <w:t>個</w:t>
            </w:r>
            <w:proofErr w:type="gramEnd"/>
            <w:r>
              <w:rPr>
                <w:rFonts w:ascii="標楷體" w:eastAsia="標楷體" w:hAnsi="標楷體" w:cs="Calibri"/>
                <w:kern w:val="0"/>
              </w:rPr>
              <w:t>月內之Iron profiles。</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EDAFBB" w14:textId="77777777" w:rsidR="000B1800" w:rsidRDefault="000B1800" w:rsidP="00C761A6">
            <w:pPr>
              <w:snapToGrid w:val="0"/>
              <w:spacing w:line="300" w:lineRule="exact"/>
              <w:rPr>
                <w:rFonts w:ascii="標楷體" w:eastAsia="標楷體" w:hAnsi="標楷體" w:cs="Calibri"/>
              </w:rPr>
            </w:pPr>
          </w:p>
        </w:tc>
      </w:tr>
      <w:tr w:rsidR="000B1800" w14:paraId="5C4539DD" w14:textId="77777777" w:rsidTr="000B1800">
        <w:trPr>
          <w:trHeight w:val="969"/>
        </w:trPr>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18E0B5" w14:textId="77777777" w:rsidR="000B1800" w:rsidRDefault="000B1800" w:rsidP="002144EC">
            <w:pPr>
              <w:numPr>
                <w:ilvl w:val="0"/>
                <w:numId w:val="167"/>
              </w:numPr>
              <w:snapToGrid w:val="0"/>
              <w:spacing w:line="300" w:lineRule="exact"/>
              <w:jc w:val="both"/>
              <w:rPr>
                <w:rFonts w:ascii="標楷體" w:eastAsia="標楷體" w:hAnsi="標楷體" w:cs="Calibri"/>
              </w:rPr>
            </w:pPr>
            <w:r>
              <w:rPr>
                <w:rFonts w:ascii="標楷體" w:eastAsia="標楷體" w:hAnsi="標楷體" w:cs="Calibri"/>
              </w:rPr>
              <w:t>有發生危及生命之虞之血栓並導致明顯器官功能受損者，但須排除其他已知原因引起之血栓。</w:t>
            </w:r>
          </w:p>
          <w:p w14:paraId="43714A9B" w14:textId="77777777" w:rsidR="000B1800" w:rsidRDefault="000B1800" w:rsidP="002144EC">
            <w:pPr>
              <w:numPr>
                <w:ilvl w:val="0"/>
                <w:numId w:val="169"/>
              </w:numPr>
              <w:snapToGrid w:val="0"/>
              <w:spacing w:line="300" w:lineRule="exact"/>
              <w:ind w:left="941" w:hanging="340"/>
              <w:jc w:val="both"/>
              <w:rPr>
                <w:rFonts w:ascii="標楷體" w:eastAsia="標楷體" w:hAnsi="標楷體" w:cs="Calibri"/>
              </w:rPr>
            </w:pPr>
            <w:r>
              <w:rPr>
                <w:rFonts w:ascii="標楷體" w:eastAsia="標楷體" w:hAnsi="標楷體" w:cs="Calibri"/>
              </w:rPr>
              <w:lastRenderedPageBreak/>
              <w:t>任何位置之動脈血栓。</w:t>
            </w:r>
          </w:p>
          <w:p w14:paraId="6C4807C1" w14:textId="77777777" w:rsidR="000B1800" w:rsidRDefault="000B1800" w:rsidP="002144EC">
            <w:pPr>
              <w:numPr>
                <w:ilvl w:val="0"/>
                <w:numId w:val="169"/>
              </w:numPr>
              <w:snapToGrid w:val="0"/>
              <w:spacing w:line="300" w:lineRule="exact"/>
              <w:ind w:left="941" w:hanging="340"/>
              <w:jc w:val="both"/>
              <w:rPr>
                <w:rFonts w:ascii="標楷體" w:eastAsia="標楷體" w:hAnsi="標楷體" w:cs="Calibri"/>
              </w:rPr>
            </w:pPr>
            <w:r>
              <w:rPr>
                <w:rFonts w:ascii="標楷體" w:eastAsia="標楷體" w:hAnsi="標楷體" w:cs="Calibri"/>
              </w:rPr>
              <w:t>重要部位之靜脈性血栓，包括腦部靜脈、靜脈竇、上下</w:t>
            </w:r>
            <w:proofErr w:type="gramStart"/>
            <w:r>
              <w:rPr>
                <w:rFonts w:ascii="標楷體" w:eastAsia="標楷體" w:hAnsi="標楷體" w:cs="Calibri"/>
              </w:rPr>
              <w:t>腔</w:t>
            </w:r>
            <w:proofErr w:type="gramEnd"/>
            <w:r>
              <w:rPr>
                <w:rFonts w:ascii="標楷體" w:eastAsia="標楷體" w:hAnsi="標楷體" w:cs="Calibri"/>
              </w:rPr>
              <w:t>靜脈、近</w:t>
            </w:r>
            <w:proofErr w:type="gramStart"/>
            <w:r>
              <w:rPr>
                <w:rFonts w:ascii="標楷體" w:eastAsia="標楷體" w:hAnsi="標楷體" w:cs="Calibri"/>
              </w:rPr>
              <w:t>端深部</w:t>
            </w:r>
            <w:proofErr w:type="gramEnd"/>
            <w:r>
              <w:rPr>
                <w:rFonts w:ascii="標楷體" w:eastAsia="標楷體" w:hAnsi="標楷體" w:cs="Calibri"/>
              </w:rPr>
              <w:t>靜脈、肝</w:t>
            </w:r>
            <w:proofErr w:type="gramStart"/>
            <w:r>
              <w:rPr>
                <w:rFonts w:ascii="標楷體" w:eastAsia="標楷體" w:hAnsi="標楷體" w:cs="Calibri"/>
              </w:rPr>
              <w:t>靜脈或肝門靜脈</w:t>
            </w:r>
            <w:proofErr w:type="gramEnd"/>
            <w:r>
              <w:rPr>
                <w:rFonts w:ascii="標楷體" w:eastAsia="標楷體" w:hAnsi="標楷體" w:cs="Calibri"/>
              </w:rPr>
              <w:t>血栓等。</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E6316" w14:textId="77777777" w:rsidR="000B1800" w:rsidRDefault="000B1800" w:rsidP="002144EC">
            <w:pPr>
              <w:numPr>
                <w:ilvl w:val="0"/>
                <w:numId w:val="170"/>
              </w:numPr>
              <w:tabs>
                <w:tab w:val="left" w:pos="3661"/>
              </w:tabs>
              <w:snapToGrid w:val="0"/>
              <w:spacing w:line="300" w:lineRule="exact"/>
            </w:pPr>
            <w:r>
              <w:rPr>
                <w:rFonts w:ascii="標楷體" w:eastAsia="標楷體" w:hAnsi="標楷體" w:cs="Calibri"/>
                <w:kern w:val="0"/>
              </w:rPr>
              <w:lastRenderedPageBreak/>
              <w:t>確認發生動脈或靜脈血栓(包括腦部靜脈、靜脈竇、上下</w:t>
            </w:r>
            <w:proofErr w:type="gramStart"/>
            <w:r>
              <w:rPr>
                <w:rFonts w:ascii="標楷體" w:eastAsia="標楷體" w:hAnsi="標楷體" w:cs="Calibri"/>
                <w:kern w:val="0"/>
              </w:rPr>
              <w:t>腔</w:t>
            </w:r>
            <w:proofErr w:type="gramEnd"/>
            <w:r>
              <w:rPr>
                <w:rFonts w:ascii="標楷體" w:eastAsia="標楷體" w:hAnsi="標楷體" w:cs="Calibri"/>
                <w:kern w:val="0"/>
              </w:rPr>
              <w:t>靜脈、近</w:t>
            </w:r>
            <w:proofErr w:type="gramStart"/>
            <w:r>
              <w:rPr>
                <w:rFonts w:ascii="標楷體" w:eastAsia="標楷體" w:hAnsi="標楷體" w:cs="Calibri"/>
                <w:kern w:val="0"/>
              </w:rPr>
              <w:t>端深部</w:t>
            </w:r>
            <w:proofErr w:type="gramEnd"/>
            <w:r>
              <w:rPr>
                <w:rFonts w:ascii="標楷體" w:eastAsia="標楷體" w:hAnsi="標楷體" w:cs="Calibri"/>
                <w:kern w:val="0"/>
              </w:rPr>
              <w:t>靜脈、肺栓塞、肝</w:t>
            </w:r>
            <w:proofErr w:type="gramStart"/>
            <w:r>
              <w:rPr>
                <w:rFonts w:ascii="標楷體" w:eastAsia="標楷體" w:hAnsi="標楷體" w:cs="Calibri"/>
                <w:kern w:val="0"/>
              </w:rPr>
              <w:t>靜脈或肝門靜脈</w:t>
            </w:r>
            <w:proofErr w:type="gramEnd"/>
            <w:r>
              <w:rPr>
                <w:rFonts w:ascii="標楷體" w:eastAsia="標楷體" w:hAnsi="標楷體" w:cs="Calibri"/>
                <w:kern w:val="0"/>
              </w:rPr>
              <w:t>血栓等)之檢驗或檢查報告。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0C1318" w14:textId="77777777" w:rsidR="000B1800" w:rsidRDefault="000B1800" w:rsidP="00C761A6">
            <w:pPr>
              <w:snapToGrid w:val="0"/>
              <w:spacing w:line="300" w:lineRule="exact"/>
              <w:rPr>
                <w:rFonts w:ascii="標楷體" w:eastAsia="標楷體" w:hAnsi="標楷體" w:cs="Calibri"/>
              </w:rPr>
            </w:pPr>
          </w:p>
        </w:tc>
      </w:tr>
      <w:tr w:rsidR="000B1800" w14:paraId="4997185C" w14:textId="77777777" w:rsidTr="000B1800">
        <w:trPr>
          <w:trHeight w:val="968"/>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C9AB53"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BE7966" w14:textId="77777777" w:rsidR="000B1800" w:rsidRDefault="000B1800" w:rsidP="002144EC">
            <w:pPr>
              <w:numPr>
                <w:ilvl w:val="0"/>
                <w:numId w:val="170"/>
              </w:numPr>
              <w:tabs>
                <w:tab w:val="left" w:pos="3661"/>
              </w:tabs>
              <w:snapToGrid w:val="0"/>
              <w:spacing w:line="300" w:lineRule="exact"/>
              <w:rPr>
                <w:rFonts w:ascii="標楷體" w:eastAsia="標楷體" w:hAnsi="標楷體" w:cs="Calibri"/>
                <w:kern w:val="0"/>
              </w:rPr>
            </w:pPr>
            <w:r>
              <w:rPr>
                <w:rFonts w:ascii="標楷體" w:eastAsia="標楷體" w:hAnsi="標楷體" w:cs="Calibri"/>
                <w:kern w:val="0"/>
              </w:rPr>
              <w:t>排除凝血功能異常(如Protein C、Protein S等因子之功能)之檢驗評估報告。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42D9F" w14:textId="77777777" w:rsidR="000B1800" w:rsidRDefault="000B1800" w:rsidP="00C761A6">
            <w:pPr>
              <w:snapToGrid w:val="0"/>
              <w:spacing w:line="300" w:lineRule="exact"/>
              <w:rPr>
                <w:rFonts w:ascii="標楷體" w:eastAsia="標楷體" w:hAnsi="標楷體" w:cs="Calibri"/>
              </w:rPr>
            </w:pPr>
          </w:p>
        </w:tc>
      </w:tr>
      <w:tr w:rsidR="000B1800" w14:paraId="2B700AE1" w14:textId="77777777" w:rsidTr="000B1800">
        <w:trPr>
          <w:trHeight w:val="968"/>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8E54F8"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5E75E1" w14:textId="77777777" w:rsidR="000B1800" w:rsidRDefault="000B1800" w:rsidP="002144EC">
            <w:pPr>
              <w:numPr>
                <w:ilvl w:val="0"/>
                <w:numId w:val="170"/>
              </w:numPr>
              <w:tabs>
                <w:tab w:val="left" w:pos="3661"/>
              </w:tabs>
              <w:snapToGrid w:val="0"/>
              <w:spacing w:line="300" w:lineRule="exact"/>
              <w:rPr>
                <w:rFonts w:ascii="標楷體" w:eastAsia="標楷體" w:hAnsi="標楷體" w:cs="Calibri"/>
                <w:kern w:val="0"/>
              </w:rPr>
            </w:pPr>
            <w:r>
              <w:rPr>
                <w:rFonts w:ascii="標楷體" w:eastAsia="標楷體" w:hAnsi="標楷體" w:cs="Calibri"/>
                <w:kern w:val="0"/>
              </w:rPr>
              <w:t>排除其他血栓誘發原因(如長期臥床、手術、estrogen)等之評估，可以病歷說明並</w:t>
            </w:r>
            <w:proofErr w:type="gramStart"/>
            <w:r>
              <w:rPr>
                <w:rFonts w:ascii="標楷體" w:eastAsia="標楷體" w:hAnsi="標楷體" w:cs="Calibri"/>
                <w:kern w:val="0"/>
              </w:rPr>
              <w:t>檢附影本</w:t>
            </w:r>
            <w:proofErr w:type="gramEnd"/>
            <w:r>
              <w:rPr>
                <w:rFonts w:ascii="標楷體" w:eastAsia="標楷體" w:hAnsi="標楷體" w:cs="Calibri"/>
                <w:kern w:val="0"/>
              </w:rPr>
              <w:t>為之。</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DCECA9" w14:textId="77777777" w:rsidR="000B1800" w:rsidRDefault="000B1800" w:rsidP="00C761A6">
            <w:pPr>
              <w:snapToGrid w:val="0"/>
              <w:spacing w:line="300" w:lineRule="exact"/>
              <w:rPr>
                <w:rFonts w:ascii="標楷體" w:eastAsia="標楷體" w:hAnsi="標楷體" w:cs="Calibri"/>
              </w:rPr>
            </w:pPr>
          </w:p>
        </w:tc>
      </w:tr>
      <w:tr w:rsidR="000B1800" w14:paraId="2322995D" w14:textId="77777777" w:rsidTr="000B1800">
        <w:trPr>
          <w:trHeight w:val="1353"/>
        </w:trPr>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5E1A68" w14:textId="77777777" w:rsidR="000B1800" w:rsidRDefault="000B1800" w:rsidP="002144EC">
            <w:pPr>
              <w:numPr>
                <w:ilvl w:val="0"/>
                <w:numId w:val="167"/>
              </w:numPr>
              <w:snapToGrid w:val="0"/>
              <w:spacing w:line="300" w:lineRule="exact"/>
              <w:jc w:val="both"/>
              <w:rPr>
                <w:rFonts w:ascii="標楷體" w:eastAsia="標楷體" w:hAnsi="標楷體" w:cs="Calibri"/>
              </w:rPr>
            </w:pPr>
            <w:r>
              <w:rPr>
                <w:rFonts w:ascii="標楷體" w:eastAsia="標楷體" w:hAnsi="標楷體" w:cs="Calibri"/>
              </w:rPr>
              <w:t>發生因血管內溶血導致的</w:t>
            </w:r>
            <w:proofErr w:type="gramStart"/>
            <w:r>
              <w:rPr>
                <w:rFonts w:ascii="標楷體" w:eastAsia="標楷體" w:hAnsi="標楷體" w:cs="Calibri"/>
              </w:rPr>
              <w:t>進行性腎功能</w:t>
            </w:r>
            <w:proofErr w:type="gramEnd"/>
            <w:r>
              <w:rPr>
                <w:rFonts w:ascii="標楷體" w:eastAsia="標楷體" w:hAnsi="標楷體" w:cs="Calibri"/>
              </w:rPr>
              <w:t>衰竭（serum creatinine大於2.0mg/dL），且無法以其他原因解釋者。</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27B1E5" w14:textId="77777777" w:rsidR="000B1800" w:rsidRDefault="000B1800" w:rsidP="002144EC">
            <w:pPr>
              <w:numPr>
                <w:ilvl w:val="0"/>
                <w:numId w:val="171"/>
              </w:numPr>
              <w:tabs>
                <w:tab w:val="left" w:pos="401"/>
                <w:tab w:val="left" w:pos="3661"/>
              </w:tabs>
              <w:snapToGrid w:val="0"/>
              <w:spacing w:line="300" w:lineRule="exact"/>
              <w:ind w:left="380" w:hanging="340"/>
              <w:rPr>
                <w:rFonts w:ascii="標楷體" w:eastAsia="標楷體" w:hAnsi="標楷體" w:cs="Calibri"/>
                <w:kern w:val="0"/>
              </w:rPr>
            </w:pPr>
            <w:r>
              <w:rPr>
                <w:rFonts w:ascii="標楷體" w:eastAsia="標楷體" w:hAnsi="標楷體" w:cs="Calibri"/>
                <w:kern w:val="0"/>
              </w:rPr>
              <w:t>兩次以上之serum creatinine報告證明病患處於</w:t>
            </w:r>
            <w:proofErr w:type="gramStart"/>
            <w:r>
              <w:rPr>
                <w:rFonts w:ascii="標楷體" w:eastAsia="標楷體" w:hAnsi="標楷體" w:cs="Calibri"/>
                <w:kern w:val="0"/>
              </w:rPr>
              <w:t>進行性腎功能</w:t>
            </w:r>
            <w:proofErr w:type="gramEnd"/>
            <w:r>
              <w:rPr>
                <w:rFonts w:ascii="標楷體" w:eastAsia="標楷體" w:hAnsi="標楷體" w:cs="Calibri"/>
                <w:kern w:val="0"/>
              </w:rPr>
              <w:t>惡化中，且送審前一個月內之serum creatinine已超過2.0mg/dL。</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E054D0" w14:textId="77777777" w:rsidR="000B1800" w:rsidRDefault="000B1800" w:rsidP="00C761A6">
            <w:pPr>
              <w:snapToGrid w:val="0"/>
              <w:spacing w:line="300" w:lineRule="exact"/>
              <w:rPr>
                <w:rFonts w:ascii="標楷體" w:eastAsia="標楷體" w:hAnsi="標楷體" w:cs="Calibri"/>
              </w:rPr>
            </w:pPr>
          </w:p>
        </w:tc>
      </w:tr>
      <w:tr w:rsidR="000B1800" w14:paraId="410229E3" w14:textId="77777777" w:rsidTr="000B1800">
        <w:trPr>
          <w:trHeight w:val="1352"/>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624A8C"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29475" w14:textId="77777777" w:rsidR="000B1800" w:rsidRDefault="000B1800" w:rsidP="002144EC">
            <w:pPr>
              <w:numPr>
                <w:ilvl w:val="0"/>
                <w:numId w:val="171"/>
              </w:numPr>
              <w:tabs>
                <w:tab w:val="left" w:pos="401"/>
                <w:tab w:val="left" w:pos="3661"/>
              </w:tabs>
              <w:snapToGrid w:val="0"/>
              <w:spacing w:line="300" w:lineRule="exact"/>
              <w:ind w:left="380" w:hanging="340"/>
              <w:rPr>
                <w:rFonts w:ascii="標楷體" w:eastAsia="標楷體" w:hAnsi="標楷體" w:cs="Calibri"/>
                <w:kern w:val="0"/>
              </w:rPr>
            </w:pPr>
            <w:r>
              <w:rPr>
                <w:rFonts w:ascii="標楷體" w:eastAsia="標楷體" w:hAnsi="標楷體" w:cs="Calibri"/>
                <w:kern w:val="0"/>
              </w:rPr>
              <w:t>可排除其他</w:t>
            </w:r>
            <w:proofErr w:type="gramStart"/>
            <w:r>
              <w:rPr>
                <w:rFonts w:ascii="標楷體" w:eastAsia="標楷體" w:hAnsi="標楷體" w:cs="Calibri"/>
                <w:kern w:val="0"/>
              </w:rPr>
              <w:t>常見腎</w:t>
            </w:r>
            <w:proofErr w:type="gramEnd"/>
            <w:r>
              <w:rPr>
                <w:rFonts w:ascii="標楷體" w:eastAsia="標楷體" w:hAnsi="標楷體" w:cs="Calibri"/>
                <w:kern w:val="0"/>
              </w:rPr>
              <w:t>功能異常原因(如糖尿病、高血壓、自體免疫疾病或藥物引起之腎毒性)之病歷影本或檢驗報告。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961DCD" w14:textId="77777777" w:rsidR="000B1800" w:rsidRDefault="000B1800" w:rsidP="00C761A6">
            <w:pPr>
              <w:snapToGrid w:val="0"/>
              <w:spacing w:line="300" w:lineRule="exact"/>
              <w:rPr>
                <w:rFonts w:ascii="標楷體" w:eastAsia="標楷體" w:hAnsi="標楷體" w:cs="Calibri"/>
              </w:rPr>
            </w:pPr>
          </w:p>
        </w:tc>
      </w:tr>
      <w:tr w:rsidR="000B1800" w14:paraId="771F67AF" w14:textId="77777777" w:rsidTr="000B1800">
        <w:trPr>
          <w:trHeight w:val="1352"/>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0DB48C"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D4127D" w14:textId="77777777" w:rsidR="000B1800" w:rsidRDefault="000B1800" w:rsidP="002144EC">
            <w:pPr>
              <w:numPr>
                <w:ilvl w:val="0"/>
                <w:numId w:val="171"/>
              </w:numPr>
              <w:tabs>
                <w:tab w:val="left" w:pos="401"/>
                <w:tab w:val="left" w:pos="3661"/>
              </w:tabs>
              <w:snapToGrid w:val="0"/>
              <w:spacing w:line="300" w:lineRule="exact"/>
              <w:ind w:left="380" w:hanging="340"/>
              <w:rPr>
                <w:rFonts w:ascii="標楷體" w:eastAsia="標楷體" w:hAnsi="標楷體" w:cs="Calibri"/>
                <w:kern w:val="0"/>
              </w:rPr>
            </w:pPr>
            <w:r>
              <w:rPr>
                <w:rFonts w:ascii="標楷體" w:eastAsia="標楷體" w:hAnsi="標楷體" w:cs="Calibri"/>
                <w:kern w:val="0"/>
              </w:rPr>
              <w:t>腎臟切片病理報告。</w:t>
            </w:r>
          </w:p>
          <w:p w14:paraId="0DD5FEA9" w14:textId="77777777" w:rsidR="000B1800" w:rsidRDefault="000B1800" w:rsidP="00C761A6">
            <w:pPr>
              <w:widowControl/>
              <w:tabs>
                <w:tab w:val="left" w:pos="401"/>
              </w:tabs>
              <w:snapToGrid w:val="0"/>
              <w:spacing w:line="300" w:lineRule="exact"/>
              <w:ind w:left="380" w:hanging="340"/>
              <w:rPr>
                <w:rFonts w:ascii="標楷體" w:eastAsia="標楷體" w:hAnsi="標楷體" w:cs="Calibri"/>
                <w:kern w:val="0"/>
              </w:rPr>
            </w:pPr>
            <w:r>
              <w:rPr>
                <w:rFonts w:ascii="標楷體" w:eastAsia="標楷體" w:hAnsi="標楷體" w:cs="Calibri" w:hint="eastAsia"/>
                <w:kern w:val="0"/>
              </w:rPr>
              <w:t xml:space="preserve">   </w:t>
            </w:r>
            <w:r>
              <w:rPr>
                <w:rFonts w:ascii="標楷體" w:eastAsia="標楷體" w:hAnsi="標楷體" w:cs="Calibri"/>
                <w:kern w:val="0"/>
              </w:rPr>
              <w:t>若病患有腎臟切片之禁忌症，請加以說明並附病歷或報告影本，並須另行檢附腎臟專科醫師關於腎功能惡化原因評估之門或住</w:t>
            </w:r>
            <w:proofErr w:type="gramStart"/>
            <w:r>
              <w:rPr>
                <w:rFonts w:ascii="標楷體" w:eastAsia="標楷體" w:hAnsi="標楷體" w:cs="Calibri"/>
                <w:kern w:val="0"/>
              </w:rPr>
              <w:t>診病歷影本</w:t>
            </w:r>
            <w:proofErr w:type="gramEnd"/>
            <w:r>
              <w:rPr>
                <w:rFonts w:ascii="標楷體" w:eastAsia="標楷體" w:hAnsi="標楷體" w:cs="Calibri"/>
                <w:kern w:val="0"/>
              </w:rPr>
              <w:t>。</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97442D" w14:textId="77777777" w:rsidR="000B1800" w:rsidRDefault="000B1800" w:rsidP="00C761A6">
            <w:pPr>
              <w:snapToGrid w:val="0"/>
              <w:spacing w:line="300" w:lineRule="exact"/>
              <w:rPr>
                <w:rFonts w:ascii="標楷體" w:eastAsia="標楷體" w:hAnsi="標楷體" w:cs="Calibri"/>
              </w:rPr>
            </w:pPr>
          </w:p>
        </w:tc>
      </w:tr>
      <w:tr w:rsidR="000B1800" w14:paraId="0563FC34" w14:textId="77777777" w:rsidTr="000B1800">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D98FA6" w14:textId="77777777" w:rsidR="000B1800" w:rsidRDefault="000B1800" w:rsidP="002144EC">
            <w:pPr>
              <w:numPr>
                <w:ilvl w:val="0"/>
                <w:numId w:val="165"/>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排除有高危險之骨髓化生不良症候群（RAEB-1或RAEB-2）的病患。</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689C82" w14:textId="77777777" w:rsidR="000B1800" w:rsidRDefault="000B1800" w:rsidP="00C761A6">
            <w:pPr>
              <w:snapToGrid w:val="0"/>
              <w:spacing w:line="300" w:lineRule="exact"/>
              <w:rPr>
                <w:rFonts w:ascii="標楷體" w:eastAsia="標楷體" w:hAnsi="標楷體" w:cs="Calibri"/>
              </w:rPr>
            </w:pPr>
            <w:r>
              <w:rPr>
                <w:rFonts w:ascii="標楷體" w:eastAsia="標楷體" w:hAnsi="標楷體" w:cs="Calibri"/>
              </w:rPr>
              <w:t>六個月內骨髓檢查報告(新申請案必備)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912D2" w14:textId="77777777" w:rsidR="000B1800" w:rsidRDefault="000B1800" w:rsidP="00C761A6">
            <w:pPr>
              <w:snapToGrid w:val="0"/>
              <w:spacing w:line="300" w:lineRule="exact"/>
              <w:rPr>
                <w:rFonts w:ascii="標楷體" w:eastAsia="標楷體" w:hAnsi="標楷體" w:cs="Calibri"/>
              </w:rPr>
            </w:pPr>
          </w:p>
        </w:tc>
      </w:tr>
      <w:tr w:rsidR="000B1800" w14:paraId="75F45E91" w14:textId="77777777" w:rsidTr="000B1800">
        <w:trPr>
          <w:trHeight w:val="110"/>
        </w:trPr>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EF84E" w14:textId="77777777" w:rsidR="000B1800" w:rsidRDefault="000B1800" w:rsidP="002144EC">
            <w:pPr>
              <w:numPr>
                <w:ilvl w:val="0"/>
                <w:numId w:val="165"/>
              </w:numPr>
              <w:snapToGrid w:val="0"/>
              <w:spacing w:line="300" w:lineRule="exact"/>
              <w:ind w:left="603" w:hanging="567"/>
              <w:jc w:val="both"/>
              <w:rPr>
                <w:rFonts w:ascii="標楷體" w:eastAsia="標楷體" w:hAnsi="標楷體" w:cs="Calibri"/>
                <w:kern w:val="0"/>
              </w:rPr>
            </w:pPr>
            <w:r w:rsidRPr="009121BF">
              <w:rPr>
                <w:rFonts w:ascii="標楷體" w:eastAsia="標楷體" w:hAnsi="標楷體" w:cs="Calibri"/>
                <w:kern w:val="0"/>
              </w:rPr>
              <w:t>需經</w:t>
            </w:r>
            <w:r w:rsidRPr="00B5225B">
              <w:rPr>
                <w:rFonts w:ascii="標楷體" w:eastAsia="標楷體" w:hAnsi="標楷體" w:cs="Calibri" w:hint="eastAsia"/>
                <w:kern w:val="0"/>
              </w:rPr>
              <w:t>特殊專案審查</w:t>
            </w:r>
            <w:r w:rsidRPr="009121BF">
              <w:rPr>
                <w:rFonts w:ascii="標楷體" w:eastAsia="標楷體" w:hAnsi="標楷體" w:cs="Calibri"/>
                <w:kern w:val="0"/>
              </w:rPr>
              <w:t>核准後使用，每次申請期限為6個月。</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18C8FE" w14:textId="77777777" w:rsidR="000B1800" w:rsidRDefault="000B1800" w:rsidP="00C761A6">
            <w:pPr>
              <w:snapToGrid w:val="0"/>
              <w:spacing w:line="300" w:lineRule="exact"/>
              <w:rPr>
                <w:rFonts w:ascii="標楷體" w:eastAsia="標楷體" w:hAnsi="標楷體" w:cs="Calibri"/>
              </w:rPr>
            </w:pP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E36707" w14:textId="77777777" w:rsidR="000B1800" w:rsidRDefault="000B1800" w:rsidP="00C761A6">
            <w:pPr>
              <w:snapToGrid w:val="0"/>
              <w:spacing w:line="300" w:lineRule="exact"/>
              <w:rPr>
                <w:rFonts w:ascii="標楷體" w:eastAsia="標楷體" w:hAnsi="標楷體" w:cs="Calibri"/>
              </w:rPr>
            </w:pPr>
          </w:p>
        </w:tc>
      </w:tr>
      <w:tr w:rsidR="000B1800" w14:paraId="45477985" w14:textId="77777777" w:rsidTr="000B1800">
        <w:trPr>
          <w:trHeight w:val="315"/>
        </w:trPr>
        <w:tc>
          <w:tcPr>
            <w:tcW w:w="1081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DCD796" w14:textId="77777777" w:rsidR="000B1800" w:rsidRDefault="000B1800" w:rsidP="00C761A6">
            <w:pPr>
              <w:snapToGrid w:val="0"/>
              <w:spacing w:line="300" w:lineRule="exact"/>
              <w:jc w:val="both"/>
              <w:rPr>
                <w:rFonts w:ascii="標楷體" w:eastAsia="標楷體" w:hAnsi="標楷體" w:cs="Calibri"/>
                <w:b/>
              </w:rPr>
            </w:pPr>
            <w:r>
              <w:rPr>
                <w:rFonts w:ascii="標楷體" w:eastAsia="標楷體" w:hAnsi="標楷體" w:cs="Calibri"/>
                <w:b/>
              </w:rPr>
              <w:t>續用申請</w:t>
            </w:r>
          </w:p>
        </w:tc>
      </w:tr>
      <w:tr w:rsidR="000B1800" w14:paraId="0003D048" w14:textId="77777777" w:rsidTr="000B1800">
        <w:trPr>
          <w:trHeight w:val="272"/>
        </w:trPr>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DCFF6" w14:textId="77777777" w:rsidR="000B1800" w:rsidRDefault="000B1800" w:rsidP="00C761A6">
            <w:pPr>
              <w:widowControl/>
              <w:snapToGrid w:val="0"/>
              <w:spacing w:line="300" w:lineRule="exact"/>
              <w:ind w:left="480"/>
              <w:rPr>
                <w:rFonts w:ascii="標楷體" w:eastAsia="標楷體" w:hAnsi="標楷體" w:cs="Calibri"/>
                <w:kern w:val="0"/>
              </w:rPr>
            </w:pPr>
            <w:r>
              <w:rPr>
                <w:rFonts w:ascii="標楷體" w:eastAsia="標楷體" w:hAnsi="標楷體" w:cs="Calibri"/>
                <w:kern w:val="0"/>
              </w:rPr>
              <w:t>給付規定</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EFF8BE" w14:textId="77777777" w:rsidR="000B1800" w:rsidRDefault="000B1800" w:rsidP="00C761A6">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266BD5" w14:textId="77777777" w:rsidR="000B1800" w:rsidRDefault="000B1800" w:rsidP="00C761A6">
            <w:pPr>
              <w:snapToGrid w:val="0"/>
              <w:spacing w:line="300" w:lineRule="exact"/>
              <w:rPr>
                <w:rFonts w:ascii="標楷體" w:eastAsia="標楷體" w:hAnsi="標楷體" w:cs="Calibri"/>
              </w:rPr>
            </w:pPr>
            <w:r>
              <w:rPr>
                <w:rFonts w:ascii="標楷體" w:eastAsia="標楷體" w:hAnsi="標楷體" w:cs="Calibri"/>
              </w:rPr>
              <w:t>資料確認</w:t>
            </w:r>
          </w:p>
        </w:tc>
      </w:tr>
      <w:tr w:rsidR="000B1800" w14:paraId="591FA6EA" w14:textId="77777777" w:rsidTr="000B1800">
        <w:trPr>
          <w:trHeight w:val="332"/>
        </w:trPr>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59FE0C" w14:textId="77777777" w:rsidR="000B1800" w:rsidRDefault="000B1800" w:rsidP="002144EC">
            <w:pPr>
              <w:numPr>
                <w:ilvl w:val="0"/>
                <w:numId w:val="178"/>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每6個月須重新評估治療結果。</w:t>
            </w:r>
          </w:p>
          <w:p w14:paraId="7073EC6C" w14:textId="77777777" w:rsidR="000B1800" w:rsidRDefault="000B1800" w:rsidP="002144EC">
            <w:pPr>
              <w:numPr>
                <w:ilvl w:val="0"/>
                <w:numId w:val="178"/>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若符合下列條件之一，則不予同意使用。</w:t>
            </w:r>
          </w:p>
          <w:p w14:paraId="2A41DFA3" w14:textId="77777777" w:rsidR="000B1800" w:rsidRDefault="000B1800" w:rsidP="002144EC">
            <w:pPr>
              <w:numPr>
                <w:ilvl w:val="0"/>
                <w:numId w:val="173"/>
              </w:numPr>
              <w:snapToGrid w:val="0"/>
              <w:spacing w:line="300" w:lineRule="exact"/>
              <w:ind w:left="1026"/>
              <w:jc w:val="both"/>
              <w:rPr>
                <w:rFonts w:ascii="標楷體" w:eastAsia="標楷體" w:hAnsi="標楷體" w:cs="Calibri"/>
              </w:rPr>
            </w:pPr>
            <w:r>
              <w:rPr>
                <w:rFonts w:ascii="標楷體" w:eastAsia="標楷體" w:hAnsi="標楷體" w:cs="Calibri"/>
              </w:rPr>
              <w:t>接受治療的患者用藥後病情沒有改善者（LDH超過正常值上限的1.5倍或最近3個月內輸血多於2個單位）。</w:t>
            </w:r>
          </w:p>
          <w:p w14:paraId="3C2D3DC4" w14:textId="77777777" w:rsidR="000B1800" w:rsidRPr="00FD4151" w:rsidRDefault="000B1800" w:rsidP="002144EC">
            <w:pPr>
              <w:numPr>
                <w:ilvl w:val="0"/>
                <w:numId w:val="173"/>
              </w:numPr>
              <w:snapToGrid w:val="0"/>
              <w:spacing w:line="300" w:lineRule="exact"/>
              <w:ind w:left="1026"/>
              <w:jc w:val="both"/>
              <w:rPr>
                <w:rFonts w:ascii="標楷體" w:eastAsia="標楷體" w:hAnsi="標楷體" w:cs="Calibri"/>
              </w:rPr>
            </w:pPr>
            <w:r>
              <w:rPr>
                <w:rFonts w:ascii="標楷體" w:eastAsia="標楷體" w:hAnsi="標楷體" w:cs="Calibri"/>
              </w:rPr>
              <w:t>PNH granulocyte clone size</w:t>
            </w:r>
            <w:proofErr w:type="gramStart"/>
            <w:r w:rsidRPr="00FD4151">
              <w:rPr>
                <w:rFonts w:ascii="標楷體" w:eastAsia="標楷體" w:hAnsi="標楷體" w:cs="Calibri"/>
              </w:rPr>
              <w:t>≦</w:t>
            </w:r>
            <w:proofErr w:type="gramEnd"/>
            <w:r w:rsidRPr="00FD4151">
              <w:rPr>
                <w:rFonts w:ascii="標楷體" w:eastAsia="標楷體" w:hAnsi="標楷體" w:cs="Calibri"/>
              </w:rPr>
              <w:t>50%。</w:t>
            </w:r>
          </w:p>
          <w:p w14:paraId="2EA761F8" w14:textId="77777777" w:rsidR="000B1800" w:rsidRDefault="000B1800" w:rsidP="002144EC">
            <w:pPr>
              <w:numPr>
                <w:ilvl w:val="0"/>
                <w:numId w:val="173"/>
              </w:numPr>
              <w:snapToGrid w:val="0"/>
              <w:spacing w:line="300" w:lineRule="exact"/>
              <w:ind w:left="1026"/>
              <w:jc w:val="both"/>
              <w:rPr>
                <w:rFonts w:ascii="標楷體" w:eastAsia="標楷體" w:hAnsi="標楷體" w:cs="Calibri"/>
              </w:rPr>
            </w:pPr>
            <w:r>
              <w:rPr>
                <w:rFonts w:ascii="標楷體" w:eastAsia="標楷體" w:hAnsi="標楷體" w:cs="Calibri"/>
              </w:rPr>
              <w:t>發生嚴重再生不良性貧血，其檢查結果符合下列兩項或兩項以上者：</w:t>
            </w:r>
          </w:p>
          <w:p w14:paraId="666631CC" w14:textId="77777777" w:rsidR="000B1800" w:rsidRDefault="000B1800" w:rsidP="002144EC">
            <w:pPr>
              <w:numPr>
                <w:ilvl w:val="0"/>
                <w:numId w:val="174"/>
              </w:numPr>
              <w:snapToGrid w:val="0"/>
              <w:spacing w:line="300" w:lineRule="exact"/>
              <w:ind w:left="1452"/>
              <w:jc w:val="both"/>
            </w:pPr>
            <w:r>
              <w:rPr>
                <w:rFonts w:ascii="標楷體" w:eastAsia="標楷體" w:hAnsi="標楷體" w:cs="Calibri"/>
              </w:rPr>
              <w:t>中性白血球數目（neutrophil count）＜0.5x10</w:t>
            </w:r>
            <w:r>
              <w:rPr>
                <w:rFonts w:ascii="標楷體" w:eastAsia="標楷體" w:hAnsi="標楷體" w:cs="Calibri"/>
                <w:vertAlign w:val="superscript"/>
              </w:rPr>
              <w:t>9</w:t>
            </w:r>
            <w:r>
              <w:rPr>
                <w:rFonts w:ascii="標楷體" w:eastAsia="標楷體" w:hAnsi="標楷體" w:cs="Calibri"/>
              </w:rPr>
              <w:t>/L。</w:t>
            </w:r>
          </w:p>
          <w:p w14:paraId="79913C9E" w14:textId="77777777" w:rsidR="000B1800" w:rsidRDefault="000B1800" w:rsidP="002144EC">
            <w:pPr>
              <w:numPr>
                <w:ilvl w:val="0"/>
                <w:numId w:val="174"/>
              </w:numPr>
              <w:snapToGrid w:val="0"/>
              <w:spacing w:line="300" w:lineRule="exact"/>
              <w:ind w:left="1452"/>
              <w:jc w:val="both"/>
            </w:pPr>
            <w:r>
              <w:rPr>
                <w:rFonts w:ascii="標楷體" w:eastAsia="標楷體" w:hAnsi="標楷體" w:cs="Calibri"/>
              </w:rPr>
              <w:t>血小板數目（platelet count）</w:t>
            </w:r>
            <w:r>
              <w:rPr>
                <w:rFonts w:ascii="標楷體" w:eastAsia="標楷體" w:hAnsi="標楷體" w:cs="Calibri"/>
              </w:rPr>
              <w:lastRenderedPageBreak/>
              <w:t>＜20x10</w:t>
            </w:r>
            <w:r>
              <w:rPr>
                <w:rFonts w:ascii="標楷體" w:eastAsia="標楷體" w:hAnsi="標楷體" w:cs="Calibri"/>
                <w:vertAlign w:val="superscript"/>
              </w:rPr>
              <w:t>9</w:t>
            </w:r>
            <w:r>
              <w:rPr>
                <w:rFonts w:ascii="標楷體" w:eastAsia="標楷體" w:hAnsi="標楷體" w:cs="Calibri"/>
              </w:rPr>
              <w:t>/L。</w:t>
            </w:r>
          </w:p>
          <w:p w14:paraId="53CF6D9D" w14:textId="77777777" w:rsidR="000B1800" w:rsidRDefault="000B1800" w:rsidP="002144EC">
            <w:pPr>
              <w:numPr>
                <w:ilvl w:val="0"/>
                <w:numId w:val="174"/>
              </w:numPr>
              <w:snapToGrid w:val="0"/>
              <w:spacing w:line="300" w:lineRule="exact"/>
              <w:ind w:left="1452"/>
              <w:jc w:val="both"/>
              <w:rPr>
                <w:rFonts w:ascii="標楷體" w:eastAsia="標楷體" w:hAnsi="標楷體" w:cs="Calibri"/>
              </w:rPr>
            </w:pPr>
            <w:r>
              <w:rPr>
                <w:rFonts w:ascii="標楷體" w:eastAsia="標楷體" w:hAnsi="標楷體" w:cs="Calibri"/>
              </w:rPr>
              <w:t>網狀細胞（reticulocytes）</w:t>
            </w:r>
          </w:p>
          <w:p w14:paraId="57ACEF62" w14:textId="77777777" w:rsidR="000B1800" w:rsidRDefault="000B1800" w:rsidP="00C761A6">
            <w:pPr>
              <w:snapToGrid w:val="0"/>
              <w:spacing w:line="300" w:lineRule="exact"/>
              <w:ind w:left="1452"/>
              <w:jc w:val="both"/>
            </w:pPr>
            <w:r>
              <w:rPr>
                <w:rFonts w:ascii="標楷體" w:eastAsia="標楷體" w:hAnsi="標楷體" w:cs="Calibri"/>
              </w:rPr>
              <w:t>＜25x10</w:t>
            </w:r>
            <w:r>
              <w:rPr>
                <w:rFonts w:ascii="標楷體" w:eastAsia="標楷體" w:hAnsi="標楷體" w:cs="Calibri"/>
                <w:vertAlign w:val="superscript"/>
              </w:rPr>
              <w:t>9</w:t>
            </w:r>
            <w:r>
              <w:rPr>
                <w:rFonts w:ascii="標楷體" w:eastAsia="標楷體" w:hAnsi="標楷體" w:cs="Calibri"/>
              </w:rPr>
              <w:t>/L。</w:t>
            </w:r>
          </w:p>
          <w:p w14:paraId="20686A28" w14:textId="77777777" w:rsidR="000B1800" w:rsidRDefault="000B1800" w:rsidP="002144EC">
            <w:pPr>
              <w:numPr>
                <w:ilvl w:val="0"/>
                <w:numId w:val="174"/>
              </w:numPr>
              <w:snapToGrid w:val="0"/>
              <w:spacing w:line="300" w:lineRule="exact"/>
              <w:ind w:left="1452"/>
              <w:jc w:val="both"/>
              <w:rPr>
                <w:rFonts w:ascii="標楷體" w:eastAsia="標楷體" w:hAnsi="標楷體" w:cs="Calibri"/>
              </w:rPr>
            </w:pPr>
            <w:r>
              <w:rPr>
                <w:rFonts w:ascii="標楷體" w:eastAsia="標楷體" w:hAnsi="標楷體" w:cs="Calibri"/>
              </w:rPr>
              <w:t>骨髓內造血細胞密度＜30%。</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BD350E" w14:textId="77777777" w:rsidR="000B1800" w:rsidRDefault="000B1800" w:rsidP="00C761A6">
            <w:pPr>
              <w:snapToGrid w:val="0"/>
              <w:spacing w:line="300" w:lineRule="exact"/>
              <w:rPr>
                <w:rFonts w:ascii="標楷體" w:eastAsia="標楷體" w:hAnsi="標楷體" w:cs="Calibri"/>
                <w:b/>
              </w:rPr>
            </w:pPr>
            <w:r>
              <w:rPr>
                <w:rFonts w:ascii="標楷體" w:eastAsia="標楷體" w:hAnsi="標楷體" w:cs="Calibri"/>
                <w:b/>
              </w:rPr>
              <w:lastRenderedPageBreak/>
              <w:t>必備：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94096" w14:textId="77777777" w:rsidR="000B1800" w:rsidRDefault="000B1800" w:rsidP="00C761A6">
            <w:pPr>
              <w:snapToGrid w:val="0"/>
              <w:spacing w:line="300" w:lineRule="exact"/>
              <w:rPr>
                <w:rFonts w:ascii="標楷體" w:eastAsia="標楷體" w:hAnsi="標楷體" w:cs="Calibri"/>
              </w:rPr>
            </w:pPr>
          </w:p>
        </w:tc>
      </w:tr>
      <w:tr w:rsidR="000B1800" w14:paraId="30BB3E9B"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53327B" w14:textId="77777777" w:rsidR="000B1800" w:rsidRDefault="000B1800" w:rsidP="002144EC">
            <w:pPr>
              <w:numPr>
                <w:ilvl w:val="0"/>
                <w:numId w:val="175"/>
              </w:numPr>
              <w:snapToGrid w:val="0"/>
              <w:spacing w:line="300" w:lineRule="exact"/>
              <w:ind w:left="2400"/>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C4597F" w14:textId="77777777" w:rsidR="000B1800" w:rsidRDefault="000B1800" w:rsidP="002144EC">
            <w:pPr>
              <w:numPr>
                <w:ilvl w:val="0"/>
                <w:numId w:val="176"/>
              </w:numPr>
              <w:snapToGrid w:val="0"/>
              <w:spacing w:line="300" w:lineRule="exact"/>
              <w:ind w:hanging="480"/>
              <w:rPr>
                <w:rFonts w:ascii="標楷體" w:eastAsia="標楷體" w:hAnsi="標楷體" w:cs="Calibri"/>
              </w:rPr>
            </w:pPr>
            <w:r>
              <w:rPr>
                <w:rFonts w:ascii="標楷體" w:eastAsia="標楷體" w:hAnsi="標楷體" w:cs="Calibri"/>
              </w:rPr>
              <w:t>病史摘要說明及治療後療效評估說明。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AA3B8C" w14:textId="77777777" w:rsidR="000B1800" w:rsidRDefault="000B1800" w:rsidP="00C761A6">
            <w:pPr>
              <w:snapToGrid w:val="0"/>
              <w:spacing w:line="300" w:lineRule="exact"/>
              <w:rPr>
                <w:rFonts w:ascii="標楷體" w:eastAsia="標楷體" w:hAnsi="標楷體" w:cs="Calibri"/>
              </w:rPr>
            </w:pPr>
          </w:p>
        </w:tc>
      </w:tr>
      <w:tr w:rsidR="000B1800" w14:paraId="169A63BF"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5D847F"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B0BADB" w14:textId="77777777" w:rsidR="000B1800" w:rsidRDefault="000B1800" w:rsidP="002144EC">
            <w:pPr>
              <w:numPr>
                <w:ilvl w:val="0"/>
                <w:numId w:val="176"/>
              </w:numPr>
              <w:snapToGrid w:val="0"/>
              <w:spacing w:line="300" w:lineRule="exact"/>
              <w:ind w:hanging="480"/>
              <w:rPr>
                <w:rFonts w:ascii="標楷體" w:eastAsia="標楷體" w:hAnsi="標楷體" w:cs="Calibri"/>
              </w:rPr>
            </w:pPr>
            <w:r>
              <w:rPr>
                <w:rFonts w:ascii="標楷體" w:eastAsia="標楷體" w:hAnsi="標楷體" w:cs="Calibri"/>
              </w:rPr>
              <w:t>治療計畫書，須說明eculizumab申請續治療期間已在過往施打meningococcal vaccine效期內，或是有再次施打之計畫。</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FD184E" w14:textId="77777777" w:rsidR="000B1800" w:rsidRDefault="000B1800" w:rsidP="00C761A6">
            <w:pPr>
              <w:snapToGrid w:val="0"/>
              <w:spacing w:line="300" w:lineRule="exact"/>
              <w:rPr>
                <w:rFonts w:ascii="標楷體" w:eastAsia="標楷體" w:hAnsi="標楷體" w:cs="Calibri"/>
              </w:rPr>
            </w:pPr>
          </w:p>
        </w:tc>
      </w:tr>
      <w:tr w:rsidR="000B1800" w14:paraId="527D55BF"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F15015"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9A0A39" w14:textId="77777777" w:rsidR="000B1800" w:rsidRDefault="000B1800" w:rsidP="002144EC">
            <w:pPr>
              <w:numPr>
                <w:ilvl w:val="0"/>
                <w:numId w:val="176"/>
              </w:numPr>
              <w:snapToGrid w:val="0"/>
              <w:spacing w:line="300" w:lineRule="exact"/>
              <w:ind w:hanging="480"/>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月內之CBC、WBC分類、LDH及reticulocyte至少兩次。</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70952" w14:textId="77777777" w:rsidR="000B1800" w:rsidRDefault="000B1800" w:rsidP="00C761A6">
            <w:pPr>
              <w:snapToGrid w:val="0"/>
              <w:spacing w:line="300" w:lineRule="exact"/>
              <w:rPr>
                <w:rFonts w:ascii="標楷體" w:eastAsia="標楷體" w:hAnsi="標楷體" w:cs="Calibri"/>
              </w:rPr>
            </w:pPr>
          </w:p>
        </w:tc>
      </w:tr>
      <w:tr w:rsidR="000B1800" w14:paraId="641B8027"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4F5AC0"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5953D6" w14:textId="77777777" w:rsidR="000B1800" w:rsidRDefault="000B1800" w:rsidP="002144EC">
            <w:pPr>
              <w:numPr>
                <w:ilvl w:val="0"/>
                <w:numId w:val="176"/>
              </w:numPr>
              <w:snapToGrid w:val="0"/>
              <w:spacing w:line="300" w:lineRule="exact"/>
              <w:ind w:hanging="480"/>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月內之溶血性貧血活性評估，必須包含LDH。因嚴重貧血而通過申請者，LDH仍超過正常值上限的1.5倍且排除因其他疾病因素所致之LDH上升(如感染等)，則不再核准，但病人呈現</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為陽性(須檢附</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陽性之檢驗報告)且輸血量及頻率未超過用藥前者除外。</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21BA5" w14:textId="77777777" w:rsidR="000B1800" w:rsidRDefault="000B1800" w:rsidP="00C761A6">
            <w:pPr>
              <w:snapToGrid w:val="0"/>
              <w:spacing w:line="300" w:lineRule="exact"/>
              <w:rPr>
                <w:rFonts w:ascii="標楷體" w:eastAsia="標楷體" w:hAnsi="標楷體" w:cs="Calibri"/>
              </w:rPr>
            </w:pPr>
          </w:p>
        </w:tc>
      </w:tr>
      <w:tr w:rsidR="000B1800" w14:paraId="060484D5"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1031B6"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4FC8EB" w14:textId="77777777" w:rsidR="000B1800" w:rsidRDefault="000B1800" w:rsidP="002144EC">
            <w:pPr>
              <w:numPr>
                <w:ilvl w:val="0"/>
                <w:numId w:val="176"/>
              </w:numPr>
              <w:snapToGrid w:val="0"/>
              <w:spacing w:line="300" w:lineRule="exact"/>
              <w:ind w:hanging="480"/>
              <w:rPr>
                <w:rFonts w:ascii="標楷體" w:eastAsia="標楷體" w:hAnsi="標楷體" w:cs="Calibri"/>
              </w:rPr>
            </w:pPr>
            <w:r>
              <w:rPr>
                <w:rFonts w:ascii="標楷體" w:eastAsia="標楷體" w:hAnsi="標楷體" w:cs="Calibri"/>
              </w:rPr>
              <w:t>第一次送審時所附之CBC及WBC分類</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DBA2E1" w14:textId="77777777" w:rsidR="000B1800" w:rsidRDefault="000B1800" w:rsidP="00C761A6">
            <w:pPr>
              <w:snapToGrid w:val="0"/>
              <w:spacing w:line="300" w:lineRule="exact"/>
              <w:rPr>
                <w:rFonts w:ascii="標楷體" w:eastAsia="標楷體" w:hAnsi="標楷體" w:cs="Calibri"/>
              </w:rPr>
            </w:pPr>
          </w:p>
        </w:tc>
      </w:tr>
      <w:tr w:rsidR="000B1800" w14:paraId="2779F19F" w14:textId="77777777" w:rsidTr="000B1800">
        <w:trPr>
          <w:trHeight w:val="25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6892DA"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D6AD3C" w14:textId="77777777" w:rsidR="000B1800" w:rsidRDefault="000B1800" w:rsidP="002144EC">
            <w:pPr>
              <w:numPr>
                <w:ilvl w:val="0"/>
                <w:numId w:val="176"/>
              </w:numPr>
              <w:snapToGrid w:val="0"/>
              <w:spacing w:line="300" w:lineRule="exact"/>
              <w:ind w:hanging="480"/>
              <w:rPr>
                <w:rFonts w:ascii="標楷體" w:eastAsia="標楷體" w:hAnsi="標楷體" w:cs="Calibri"/>
              </w:rPr>
            </w:pPr>
            <w:r>
              <w:rPr>
                <w:rFonts w:ascii="標楷體" w:eastAsia="標楷體" w:hAnsi="標楷體" w:cs="Calibri"/>
              </w:rPr>
              <w:t>六個月內之流式細胞儀的診斷報告及細胞</w:t>
            </w:r>
            <w:r>
              <w:rPr>
                <w:rFonts w:ascii="標楷體" w:eastAsia="標楷體" w:hAnsi="標楷體" w:cs="Calibri"/>
              </w:rPr>
              <w:lastRenderedPageBreak/>
              <w:t>圈選(gating)圖：仍須符合經兩種以上抗體確認PNH之granulocyte clone size均大於50%</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C089F9" w14:textId="77777777" w:rsidR="000B1800" w:rsidRDefault="000B1800" w:rsidP="00C761A6">
            <w:pPr>
              <w:snapToGrid w:val="0"/>
              <w:spacing w:line="300" w:lineRule="exact"/>
              <w:rPr>
                <w:rFonts w:ascii="標楷體" w:eastAsia="標楷體" w:hAnsi="標楷體" w:cs="Calibri"/>
              </w:rPr>
            </w:pPr>
          </w:p>
        </w:tc>
      </w:tr>
      <w:tr w:rsidR="000B1800" w14:paraId="6722542E" w14:textId="77777777" w:rsidTr="000B1800">
        <w:trPr>
          <w:trHeight w:val="250"/>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372447"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775E28" w14:textId="77777777" w:rsidR="000B1800" w:rsidRDefault="000B1800" w:rsidP="00C761A6">
            <w:pPr>
              <w:snapToGrid w:val="0"/>
              <w:spacing w:line="300" w:lineRule="exact"/>
            </w:pPr>
            <w:r>
              <w:rPr>
                <w:rFonts w:ascii="標楷體" w:eastAsia="標楷體" w:hAnsi="標楷體" w:cs="Calibri"/>
              </w:rPr>
              <w:t>其他</w:t>
            </w:r>
            <w:r>
              <w:rPr>
                <w:rFonts w:ascii="標楷體" w:eastAsia="標楷體" w:hAnsi="標楷體" w:cs="Calibri"/>
                <w:b/>
              </w:rPr>
              <w:t>應備</w:t>
            </w:r>
            <w:r>
              <w:rPr>
                <w:rFonts w:ascii="標楷體" w:eastAsia="標楷體" w:hAnsi="標楷體" w:cs="Calibri"/>
              </w:rPr>
              <w:t>項目：</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63FE60" w14:textId="77777777" w:rsidR="000B1800" w:rsidRDefault="000B1800" w:rsidP="00C761A6">
            <w:pPr>
              <w:snapToGrid w:val="0"/>
              <w:spacing w:line="300" w:lineRule="exact"/>
              <w:rPr>
                <w:rFonts w:ascii="標楷體" w:eastAsia="標楷體" w:hAnsi="標楷體" w:cs="Calibri"/>
              </w:rPr>
            </w:pPr>
          </w:p>
        </w:tc>
      </w:tr>
      <w:tr w:rsidR="000B1800" w14:paraId="7C4E36F3"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046877"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286B74" w14:textId="77777777" w:rsidR="000B1800" w:rsidRDefault="000B1800" w:rsidP="002144EC">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若初次申請依溶血性貧血或心肺功能不全症狀（</w:t>
            </w:r>
            <w:proofErr w:type="spellStart"/>
            <w:r>
              <w:rPr>
                <w:rFonts w:ascii="標楷體" w:eastAsia="標楷體" w:hAnsi="標楷體" w:cs="Calibri"/>
              </w:rPr>
              <w:t>NewYork</w:t>
            </w:r>
            <w:proofErr w:type="spellEnd"/>
            <w:r>
              <w:rPr>
                <w:rFonts w:ascii="標楷體" w:eastAsia="標楷體" w:hAnsi="標楷體" w:cs="Calibri"/>
              </w:rPr>
              <w:t xml:space="preserve"> Heart Association Class III或IV）申請者需附六個月內完整輸血紀錄或相關說明。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F3342" w14:textId="77777777" w:rsidR="000B1800" w:rsidRDefault="000B1800" w:rsidP="00C761A6">
            <w:pPr>
              <w:snapToGrid w:val="0"/>
              <w:spacing w:line="300" w:lineRule="exact"/>
              <w:rPr>
                <w:rFonts w:ascii="標楷體" w:eastAsia="標楷體" w:hAnsi="標楷體" w:cs="Calibri"/>
              </w:rPr>
            </w:pPr>
          </w:p>
        </w:tc>
      </w:tr>
      <w:tr w:rsidR="000B1800" w14:paraId="58955AF4"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9F0F85"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35C45" w14:textId="77777777" w:rsidR="000B1800" w:rsidRDefault="000B1800" w:rsidP="002144EC">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若第一次申請時依有發生危及生命之虞之血栓並導致明顯器官功能受損申請者需附原血栓部位之評估(病歷影本或檢驗報告任擇)及是否發生新血栓之說明。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97C60B" w14:textId="77777777" w:rsidR="000B1800" w:rsidRDefault="000B1800" w:rsidP="00C761A6">
            <w:pPr>
              <w:snapToGrid w:val="0"/>
              <w:spacing w:line="300" w:lineRule="exact"/>
              <w:rPr>
                <w:rFonts w:ascii="標楷體" w:eastAsia="標楷體" w:hAnsi="標楷體" w:cs="Calibri"/>
              </w:rPr>
            </w:pPr>
          </w:p>
        </w:tc>
      </w:tr>
      <w:tr w:rsidR="000B1800" w14:paraId="40F2F34B"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CF1D00"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988B73" w14:textId="77777777" w:rsidR="000B1800" w:rsidRDefault="000B1800" w:rsidP="002144EC">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若第一次申請時依發生因血管內溶血導致的</w:t>
            </w:r>
            <w:proofErr w:type="gramStart"/>
            <w:r>
              <w:rPr>
                <w:rFonts w:ascii="標楷體" w:eastAsia="標楷體" w:hAnsi="標楷體" w:cs="Calibri"/>
              </w:rPr>
              <w:t>進行性腎功能</w:t>
            </w:r>
            <w:proofErr w:type="gramEnd"/>
            <w:r>
              <w:rPr>
                <w:rFonts w:ascii="標楷體" w:eastAsia="標楷體" w:hAnsi="標楷體" w:cs="Calibri"/>
              </w:rPr>
              <w:t>衰竭申請者須附</w:t>
            </w:r>
            <w:proofErr w:type="gramStart"/>
            <w:r>
              <w:rPr>
                <w:rFonts w:ascii="標楷體" w:eastAsia="標楷體" w:hAnsi="標楷體" w:cs="Calibri"/>
              </w:rPr>
              <w:t>治療後腎功能</w:t>
            </w:r>
            <w:proofErr w:type="gramEnd"/>
            <w:r>
              <w:rPr>
                <w:rFonts w:ascii="標楷體" w:eastAsia="標楷體" w:hAnsi="標楷體" w:cs="Calibri"/>
              </w:rPr>
              <w:t>之評估，以</w:t>
            </w:r>
            <w:proofErr w:type="gramStart"/>
            <w:r>
              <w:rPr>
                <w:rFonts w:ascii="標楷體" w:eastAsia="標楷體" w:hAnsi="標楷體" w:cs="Calibri"/>
              </w:rPr>
              <w:t>證明腎</w:t>
            </w:r>
            <w:proofErr w:type="gramEnd"/>
            <w:r>
              <w:rPr>
                <w:rFonts w:ascii="標楷體" w:eastAsia="標楷體" w:hAnsi="標楷體" w:cs="Calibri"/>
              </w:rPr>
              <w:t>功能未續有明顯惡化。如病患：係以「發生因血管內溶血導致的</w:t>
            </w:r>
            <w:proofErr w:type="gramStart"/>
            <w:r>
              <w:rPr>
                <w:rFonts w:ascii="標楷體" w:eastAsia="標楷體" w:hAnsi="標楷體" w:cs="Calibri"/>
              </w:rPr>
              <w:t>進行性腎功能</w:t>
            </w:r>
            <w:proofErr w:type="gramEnd"/>
            <w:r>
              <w:rPr>
                <w:rFonts w:ascii="標楷體" w:eastAsia="標楷體" w:hAnsi="標楷體" w:cs="Calibri"/>
              </w:rPr>
              <w:t>衰竭(serum creatinine大於2.0mg/dL)，且無法以其他原因解釋者」之條件申請者，serum creatinine以上一次數值計算，上升超過該數值達2.0mg/dL或以上者，例如serum creatinine由3.0mg/dL升高至5.0mg/dL，或4.0mg/dL升高至6.0mg/dL，則不再核准。</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A9DC3" w14:textId="77777777" w:rsidR="000B1800" w:rsidRDefault="000B1800" w:rsidP="00C761A6">
            <w:pPr>
              <w:snapToGrid w:val="0"/>
              <w:spacing w:line="300" w:lineRule="exact"/>
              <w:rPr>
                <w:rFonts w:ascii="標楷體" w:eastAsia="標楷體" w:hAnsi="標楷體" w:cs="Calibri"/>
              </w:rPr>
            </w:pPr>
          </w:p>
        </w:tc>
      </w:tr>
      <w:tr w:rsidR="000B1800" w14:paraId="1F0B75DE" w14:textId="77777777" w:rsidTr="000B1800">
        <w:trPr>
          <w:trHeight w:val="1440"/>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6C5997" w14:textId="77777777" w:rsidR="000B1800" w:rsidRDefault="000B1800" w:rsidP="002144EC">
            <w:pPr>
              <w:numPr>
                <w:ilvl w:val="0"/>
                <w:numId w:val="172"/>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B5CB6D" w14:textId="77777777" w:rsidR="000B1800" w:rsidRDefault="000B1800" w:rsidP="002144EC">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若再次申請之CBC、WBC分類及reticulocyte和第一次送審之報告有除血紅素上升外之明顯惡化，建議再次申請時加附六個月內之骨髓檢查報告。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49D8B6" w14:textId="77777777" w:rsidR="000B1800" w:rsidRDefault="000B1800" w:rsidP="00C761A6">
            <w:pPr>
              <w:snapToGrid w:val="0"/>
              <w:spacing w:line="300" w:lineRule="exact"/>
              <w:rPr>
                <w:rFonts w:ascii="標楷體" w:eastAsia="標楷體" w:hAnsi="標楷體" w:cs="Calibri"/>
              </w:rPr>
            </w:pPr>
          </w:p>
        </w:tc>
      </w:tr>
    </w:tbl>
    <w:p w14:paraId="15B57E86" w14:textId="77777777" w:rsidR="002016D2" w:rsidRPr="000B1800" w:rsidRDefault="002016D2" w:rsidP="002016D2"/>
    <w:p w14:paraId="6EC388FC" w14:textId="77777777" w:rsidR="0097713B" w:rsidRDefault="0097713B" w:rsidP="000E757E">
      <w:pPr>
        <w:snapToGrid w:val="0"/>
        <w:spacing w:line="240" w:lineRule="atLeast"/>
        <w:rPr>
          <w:rFonts w:ascii="標楷體" w:eastAsia="標楷體" w:hAnsi="標楷體"/>
        </w:rPr>
      </w:pPr>
    </w:p>
    <w:p w14:paraId="5E6B0F20" w14:textId="77777777" w:rsidR="0097713B" w:rsidRDefault="0097713B">
      <w:pPr>
        <w:widowControl/>
        <w:suppressAutoHyphens w:val="0"/>
        <w:rPr>
          <w:rFonts w:ascii="標楷體" w:eastAsia="標楷體" w:hAnsi="標楷體"/>
        </w:rPr>
      </w:pPr>
      <w:r>
        <w:rPr>
          <w:rFonts w:ascii="標楷體" w:eastAsia="標楷體" w:hAnsi="標楷體"/>
        </w:rPr>
        <w:br w:type="page"/>
      </w:r>
    </w:p>
    <w:p w14:paraId="4C3027E6" w14:textId="77777777" w:rsidR="00463E8D" w:rsidRDefault="00463E8D" w:rsidP="0097713B">
      <w:pPr>
        <w:snapToGrid w:val="0"/>
        <w:rPr>
          <w:rFonts w:ascii="標楷體" w:eastAsia="標楷體" w:hAnsi="標楷體" w:cs="Calibri"/>
        </w:rPr>
        <w:sectPr w:rsidR="00463E8D">
          <w:footerReference w:type="default" r:id="rId41"/>
          <w:pgSz w:w="11906" w:h="16838"/>
          <w:pgMar w:top="1077" w:right="1077" w:bottom="1077" w:left="1077" w:header="720" w:footer="720" w:gutter="0"/>
          <w:cols w:space="720"/>
          <w:docGrid w:type="lines" w:linePitch="810"/>
        </w:sectPr>
      </w:pPr>
      <w:bookmarkStart w:id="112" w:name="_Hlk222900897"/>
    </w:p>
    <w:p w14:paraId="6E778442" w14:textId="5EBF1839" w:rsidR="0097713B" w:rsidRPr="00190A34" w:rsidRDefault="0097713B" w:rsidP="0097713B">
      <w:pPr>
        <w:snapToGrid w:val="0"/>
        <w:rPr>
          <w:rFonts w:ascii="標楷體" w:eastAsia="標楷體" w:hAnsi="標楷體"/>
          <w:b/>
          <w:bCs/>
        </w:rPr>
      </w:pPr>
      <w:r w:rsidRPr="00190A34">
        <w:rPr>
          <w:rFonts w:ascii="標楷體" w:eastAsia="標楷體" w:hAnsi="標楷體" w:cs="Calibri"/>
          <w:b/>
          <w:bCs/>
        </w:rPr>
        <w:lastRenderedPageBreak/>
        <w:t>附表三十之</w:t>
      </w:r>
      <w:r w:rsidRPr="00190A34">
        <w:rPr>
          <w:rFonts w:ascii="標楷體" w:eastAsia="標楷體" w:hAnsi="標楷體" w:cs="Calibri" w:hint="eastAsia"/>
          <w:b/>
          <w:bCs/>
        </w:rPr>
        <w:t>三</w:t>
      </w:r>
      <w:bookmarkEnd w:id="112"/>
      <w:r w:rsidR="00190A34" w:rsidRPr="00190A34">
        <w:rPr>
          <w:rFonts w:ascii="標楷體" w:eastAsia="標楷體" w:hAnsi="標楷體" w:cs="Calibri" w:hint="eastAsia"/>
          <w:b/>
          <w:bCs/>
        </w:rPr>
        <w:t xml:space="preserve"> </w:t>
      </w:r>
      <w:r w:rsidRPr="00190A34">
        <w:rPr>
          <w:rFonts w:ascii="標楷體" w:eastAsia="標楷體" w:hAnsi="標楷體" w:cs="Calibri"/>
          <w:b/>
          <w:bCs/>
        </w:rPr>
        <w:t>全民健康保險使用陣發性夜間血紅素</w:t>
      </w:r>
      <w:proofErr w:type="gramStart"/>
      <w:r w:rsidRPr="00190A34">
        <w:rPr>
          <w:rFonts w:ascii="標楷體" w:eastAsia="標楷體" w:hAnsi="標楷體" w:cs="Calibri"/>
          <w:b/>
          <w:bCs/>
        </w:rPr>
        <w:t>尿症</w:t>
      </w:r>
      <w:r w:rsidRPr="00190A34">
        <w:rPr>
          <w:rFonts w:ascii="標楷體" w:eastAsia="標楷體" w:hAnsi="標楷體" w:cs="Calibri" w:hint="eastAsia"/>
          <w:b/>
          <w:bCs/>
        </w:rPr>
        <w:t>第二線</w:t>
      </w:r>
      <w:proofErr w:type="gramEnd"/>
      <w:r w:rsidRPr="00190A34">
        <w:rPr>
          <w:rFonts w:ascii="標楷體" w:eastAsia="標楷體" w:hAnsi="標楷體" w:cs="Calibri"/>
          <w:b/>
          <w:bCs/>
        </w:rPr>
        <w:t>治療藥品</w:t>
      </w:r>
      <w:proofErr w:type="spellStart"/>
      <w:r w:rsidR="001B5BB0" w:rsidRPr="001B5BB0">
        <w:rPr>
          <w:rFonts w:ascii="標楷體" w:eastAsia="標楷體" w:hAnsi="標楷體" w:cs="Calibri" w:hint="eastAsia"/>
          <w:b/>
          <w:bCs/>
        </w:rPr>
        <w:t>danicopan+eculizumab</w:t>
      </w:r>
      <w:proofErr w:type="spellEnd"/>
      <w:r w:rsidR="001B5BB0" w:rsidRPr="001B5BB0">
        <w:rPr>
          <w:rFonts w:ascii="標楷體" w:eastAsia="標楷體" w:hAnsi="標楷體" w:cs="Calibri" w:hint="eastAsia"/>
          <w:b/>
          <w:bCs/>
        </w:rPr>
        <w:t>/</w:t>
      </w:r>
      <w:proofErr w:type="spellStart"/>
      <w:r w:rsidR="001B5BB0" w:rsidRPr="001B5BB0">
        <w:rPr>
          <w:rFonts w:ascii="標楷體" w:eastAsia="標楷體" w:hAnsi="標楷體" w:cs="Calibri" w:hint="eastAsia"/>
          <w:b/>
          <w:bCs/>
        </w:rPr>
        <w:t>ravulizumab</w:t>
      </w:r>
      <w:proofErr w:type="spellEnd"/>
      <w:r w:rsidR="001B5BB0" w:rsidRPr="001B5BB0">
        <w:rPr>
          <w:rFonts w:ascii="標楷體" w:eastAsia="標楷體" w:hAnsi="標楷體" w:cs="Calibri" w:hint="eastAsia"/>
          <w:b/>
          <w:bCs/>
        </w:rPr>
        <w:t>或</w:t>
      </w:r>
      <w:proofErr w:type="spellStart"/>
      <w:r w:rsidR="001B5BB0" w:rsidRPr="001B5BB0">
        <w:rPr>
          <w:rFonts w:ascii="標楷體" w:eastAsia="標楷體" w:hAnsi="標楷體" w:cs="Calibri" w:hint="eastAsia"/>
          <w:b/>
          <w:bCs/>
        </w:rPr>
        <w:t>iptacopan</w:t>
      </w:r>
      <w:proofErr w:type="spellEnd"/>
      <w:r w:rsidR="001B5BB0" w:rsidRPr="001B5BB0">
        <w:rPr>
          <w:rFonts w:ascii="標楷體" w:eastAsia="標楷體" w:hAnsi="標楷體" w:cs="Calibri" w:hint="eastAsia"/>
          <w:b/>
          <w:bCs/>
        </w:rPr>
        <w:t>或</w:t>
      </w:r>
      <w:proofErr w:type="spellStart"/>
      <w:r w:rsidR="001B5BB0" w:rsidRPr="001B5BB0">
        <w:rPr>
          <w:rFonts w:ascii="標楷體" w:eastAsia="標楷體" w:hAnsi="標楷體" w:cs="Calibri" w:hint="eastAsia"/>
          <w:b/>
          <w:bCs/>
        </w:rPr>
        <w:t>pegcetacoplan</w:t>
      </w:r>
      <w:proofErr w:type="spellEnd"/>
      <w:r w:rsidR="001B5BB0" w:rsidRPr="001B5BB0">
        <w:rPr>
          <w:rFonts w:ascii="標楷體" w:eastAsia="標楷體" w:hAnsi="標楷體" w:cs="Calibri" w:hint="eastAsia"/>
          <w:b/>
          <w:bCs/>
        </w:rPr>
        <w:t>特殊專案審查申請表</w:t>
      </w:r>
    </w:p>
    <w:tbl>
      <w:tblPr>
        <w:tblW w:w="5000" w:type="pct"/>
        <w:tblCellMar>
          <w:left w:w="10" w:type="dxa"/>
          <w:right w:w="10" w:type="dxa"/>
        </w:tblCellMar>
        <w:tblLook w:val="04A0" w:firstRow="1" w:lastRow="0" w:firstColumn="1" w:lastColumn="0" w:noHBand="0" w:noVBand="1"/>
      </w:tblPr>
      <w:tblGrid>
        <w:gridCol w:w="571"/>
        <w:gridCol w:w="555"/>
        <w:gridCol w:w="1277"/>
        <w:gridCol w:w="593"/>
        <w:gridCol w:w="341"/>
        <w:gridCol w:w="85"/>
        <w:gridCol w:w="235"/>
        <w:gridCol w:w="593"/>
        <w:gridCol w:w="549"/>
        <w:gridCol w:w="376"/>
        <w:gridCol w:w="1195"/>
        <w:gridCol w:w="593"/>
        <w:gridCol w:w="343"/>
        <w:gridCol w:w="954"/>
        <w:gridCol w:w="831"/>
        <w:gridCol w:w="361"/>
        <w:gridCol w:w="455"/>
        <w:gridCol w:w="343"/>
        <w:gridCol w:w="223"/>
        <w:gridCol w:w="587"/>
        <w:gridCol w:w="352"/>
        <w:gridCol w:w="461"/>
        <w:gridCol w:w="352"/>
        <w:gridCol w:w="188"/>
        <w:gridCol w:w="138"/>
        <w:gridCol w:w="217"/>
        <w:gridCol w:w="596"/>
        <w:gridCol w:w="341"/>
        <w:gridCol w:w="948"/>
        <w:gridCol w:w="26"/>
      </w:tblGrid>
      <w:tr w:rsidR="0097713B" w:rsidRPr="00AA0B1C" w14:paraId="1DA267AD" w14:textId="77777777" w:rsidTr="00463E8D">
        <w:trPr>
          <w:cantSplit/>
          <w:trHeight w:val="235"/>
        </w:trPr>
        <w:tc>
          <w:tcPr>
            <w:tcW w:w="1021" w:type="pct"/>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A19D2C8" w14:textId="77777777" w:rsidR="0097713B" w:rsidRPr="00AA0B1C" w:rsidRDefault="0097713B" w:rsidP="006D18A7">
            <w:pPr>
              <w:snapToGrid w:val="0"/>
              <w:jc w:val="both"/>
              <w:rPr>
                <w:rFonts w:ascii="標楷體" w:eastAsia="標楷體" w:hAnsi="標楷體" w:cs="Calibri"/>
                <w:sz w:val="20"/>
                <w:szCs w:val="20"/>
              </w:rPr>
            </w:pPr>
            <w:r w:rsidRPr="00AA0B1C">
              <w:rPr>
                <w:rFonts w:ascii="標楷體" w:eastAsia="標楷體" w:hAnsi="標楷體" w:cs="Calibri"/>
                <w:sz w:val="20"/>
                <w:szCs w:val="20"/>
              </w:rPr>
              <w:t>申請類別:</w:t>
            </w:r>
          </w:p>
        </w:tc>
        <w:tc>
          <w:tcPr>
            <w:tcW w:w="1351" w:type="pct"/>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837C5" w14:textId="77777777" w:rsidR="0097713B" w:rsidRPr="00AA0B1C" w:rsidRDefault="0097713B" w:rsidP="006D18A7">
            <w:pPr>
              <w:snapToGrid w:val="0"/>
              <w:jc w:val="center"/>
              <w:rPr>
                <w:rFonts w:ascii="標楷體" w:eastAsia="標楷體" w:hAnsi="標楷體"/>
              </w:rPr>
            </w:pPr>
            <w:r w:rsidRPr="00AA0B1C">
              <w:rPr>
                <w:rFonts w:ascii="標楷體" w:eastAsia="標楷體" w:hAnsi="標楷體" w:cs="Calibri"/>
                <w:sz w:val="20"/>
                <w:szCs w:val="20"/>
              </w:rPr>
              <w:t>□送核□補資料□申復□資料異動</w:t>
            </w:r>
          </w:p>
        </w:tc>
        <w:tc>
          <w:tcPr>
            <w:tcW w:w="84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4056CE" w14:textId="77777777" w:rsidR="0097713B" w:rsidRPr="00AA0B1C" w:rsidRDefault="0097713B" w:rsidP="006D18A7">
            <w:pPr>
              <w:snapToGrid w:val="0"/>
              <w:rPr>
                <w:rFonts w:ascii="標楷體" w:eastAsia="標楷體" w:hAnsi="標楷體"/>
              </w:rPr>
            </w:pPr>
            <w:r w:rsidRPr="00AA0B1C">
              <w:rPr>
                <w:rFonts w:ascii="標楷體" w:eastAsia="標楷體" w:hAnsi="標楷體" w:cs="Calibri"/>
                <w:sz w:val="20"/>
                <w:szCs w:val="20"/>
              </w:rPr>
              <w:t>受理日期：</w:t>
            </w:r>
          </w:p>
        </w:tc>
        <w:tc>
          <w:tcPr>
            <w:tcW w:w="825" w:type="pct"/>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4F1FA9" w14:textId="77777777" w:rsidR="0097713B" w:rsidRPr="00AA0B1C" w:rsidRDefault="0097713B" w:rsidP="006D18A7">
            <w:pPr>
              <w:snapToGrid w:val="0"/>
              <w:rPr>
                <w:rFonts w:ascii="標楷體" w:eastAsia="標楷體" w:hAnsi="標楷體"/>
              </w:rPr>
            </w:pPr>
            <w:r w:rsidRPr="00AA0B1C">
              <w:rPr>
                <w:rFonts w:ascii="標楷體" w:eastAsia="標楷體" w:hAnsi="標楷體" w:cs="Calibri"/>
                <w:sz w:val="20"/>
                <w:szCs w:val="20"/>
              </w:rPr>
              <w:t>受理編號：</w:t>
            </w:r>
          </w:p>
        </w:tc>
        <w:tc>
          <w:tcPr>
            <w:tcW w:w="947" w:type="pct"/>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7E75EE" w14:textId="77777777" w:rsidR="0097713B" w:rsidRPr="00AA0B1C" w:rsidRDefault="0097713B" w:rsidP="006D18A7">
            <w:pPr>
              <w:snapToGrid w:val="0"/>
              <w:rPr>
                <w:rFonts w:ascii="標楷體" w:eastAsia="標楷體" w:hAnsi="標楷體"/>
              </w:rPr>
            </w:pPr>
            <w:r w:rsidRPr="00AA0B1C">
              <w:rPr>
                <w:rFonts w:ascii="標楷體" w:eastAsia="標楷體" w:hAnsi="標楷體" w:cs="Calibri"/>
                <w:sz w:val="20"/>
                <w:szCs w:val="20"/>
              </w:rPr>
              <w:t>緊急傳真日期：</w:t>
            </w:r>
          </w:p>
        </w:tc>
        <w:tc>
          <w:tcPr>
            <w:tcW w:w="9" w:type="pct"/>
            <w:shd w:val="clear" w:color="auto" w:fill="auto"/>
            <w:tcMar>
              <w:top w:w="0" w:type="dxa"/>
              <w:left w:w="10" w:type="dxa"/>
              <w:bottom w:w="0" w:type="dxa"/>
              <w:right w:w="10" w:type="dxa"/>
            </w:tcMar>
          </w:tcPr>
          <w:p w14:paraId="2C7EF5A4" w14:textId="77777777" w:rsidR="0097713B" w:rsidRPr="00AA0B1C" w:rsidRDefault="0097713B" w:rsidP="006D18A7">
            <w:pPr>
              <w:snapToGrid w:val="0"/>
              <w:rPr>
                <w:rFonts w:ascii="標楷體" w:eastAsia="標楷體" w:hAnsi="標楷體" w:cs="Calibri"/>
              </w:rPr>
            </w:pPr>
          </w:p>
        </w:tc>
      </w:tr>
      <w:tr w:rsidR="0097713B" w:rsidRPr="00AA0B1C" w14:paraId="24622391" w14:textId="77777777" w:rsidTr="001B5BB0">
        <w:trPr>
          <w:cantSplit/>
          <w:trHeight w:val="272"/>
        </w:trPr>
        <w:tc>
          <w:tcPr>
            <w:tcW w:w="195"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701C2E"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醫療機構</w:t>
            </w:r>
          </w:p>
        </w:tc>
        <w:tc>
          <w:tcPr>
            <w:tcW w:w="624"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F603BA"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名稱</w:t>
            </w:r>
          </w:p>
        </w:tc>
        <w:tc>
          <w:tcPr>
            <w:tcW w:w="31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F9C984" w14:textId="77777777" w:rsidR="0097713B" w:rsidRPr="00AA0B1C" w:rsidRDefault="0097713B" w:rsidP="006D18A7">
            <w:pPr>
              <w:snapToGrid w:val="0"/>
              <w:spacing w:line="200" w:lineRule="exact"/>
              <w:rPr>
                <w:rFonts w:ascii="標楷體" w:eastAsia="標楷體" w:hAnsi="標楷體" w:cs="Calibri"/>
                <w:sz w:val="20"/>
                <w:szCs w:val="20"/>
              </w:rPr>
            </w:pPr>
          </w:p>
        </w:tc>
        <w:tc>
          <w:tcPr>
            <w:tcW w:w="109" w:type="pct"/>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B4A9B6"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保</w:t>
            </w:r>
          </w:p>
          <w:p w14:paraId="47DFA660"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險</w:t>
            </w:r>
          </w:p>
          <w:p w14:paraId="69FE82FF"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對</w:t>
            </w:r>
          </w:p>
          <w:p w14:paraId="63F44D79" w14:textId="77777777" w:rsidR="0097713B" w:rsidRPr="00AA0B1C" w:rsidRDefault="0097713B" w:rsidP="006D18A7">
            <w:pPr>
              <w:snapToGrid w:val="0"/>
              <w:spacing w:line="200" w:lineRule="exact"/>
              <w:jc w:val="center"/>
              <w:rPr>
                <w:rFonts w:ascii="標楷體" w:eastAsia="標楷體" w:hAnsi="標楷體"/>
              </w:rPr>
            </w:pPr>
            <w:proofErr w:type="gramStart"/>
            <w:r w:rsidRPr="00AA0B1C">
              <w:rPr>
                <w:rFonts w:ascii="標楷體" w:eastAsia="標楷體" w:hAnsi="標楷體" w:cs="Calibri"/>
                <w:sz w:val="20"/>
                <w:szCs w:val="20"/>
              </w:rPr>
              <w:t>象</w:t>
            </w:r>
            <w:proofErr w:type="gramEnd"/>
          </w:p>
        </w:tc>
        <w:tc>
          <w:tcPr>
            <w:tcW w:w="389"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4CF6D2"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姓名</w:t>
            </w:r>
          </w:p>
        </w:tc>
        <w:tc>
          <w:tcPr>
            <w:tcW w:w="53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A5A44A" w14:textId="77777777" w:rsidR="0097713B" w:rsidRPr="00AA0B1C" w:rsidRDefault="0097713B" w:rsidP="006D18A7">
            <w:pPr>
              <w:snapToGrid w:val="0"/>
              <w:spacing w:line="200" w:lineRule="exact"/>
              <w:rPr>
                <w:rFonts w:ascii="標楷體" w:eastAsia="標楷體" w:hAnsi="標楷體" w:cs="Calibri"/>
                <w:sz w:val="20"/>
                <w:szCs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9C8818"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出生</w:t>
            </w:r>
          </w:p>
        </w:tc>
        <w:tc>
          <w:tcPr>
            <w:tcW w:w="442"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1DD910" w14:textId="77777777" w:rsidR="0097713B" w:rsidRPr="00AA0B1C" w:rsidRDefault="0097713B" w:rsidP="006D18A7">
            <w:pPr>
              <w:snapToGrid w:val="0"/>
              <w:spacing w:line="200" w:lineRule="exact"/>
              <w:rPr>
                <w:rFonts w:ascii="標楷體" w:eastAsia="標楷體" w:hAnsi="標楷體" w:cs="Calibri"/>
                <w:sz w:val="20"/>
                <w:szCs w:val="20"/>
              </w:rPr>
            </w:pPr>
          </w:p>
        </w:tc>
        <w:tc>
          <w:tcPr>
            <w:tcW w:w="56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1CF435"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原受理編號</w:t>
            </w:r>
          </w:p>
          <w:p w14:paraId="0FD17457"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（申復時填用）</w:t>
            </w:r>
          </w:p>
        </w:tc>
        <w:tc>
          <w:tcPr>
            <w:tcW w:w="513"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68F456" w14:textId="77777777" w:rsidR="0097713B" w:rsidRPr="00AA0B1C" w:rsidRDefault="0097713B" w:rsidP="006D18A7">
            <w:pPr>
              <w:snapToGrid w:val="0"/>
              <w:spacing w:line="200" w:lineRule="exact"/>
              <w:rPr>
                <w:rFonts w:ascii="標楷體" w:eastAsia="標楷體" w:hAnsi="標楷體" w:cs="Calibri"/>
                <w:sz w:val="20"/>
                <w:szCs w:val="20"/>
              </w:rPr>
            </w:pPr>
          </w:p>
        </w:tc>
        <w:tc>
          <w:tcPr>
            <w:tcW w:w="34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727310"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預定實施日期</w:t>
            </w:r>
          </w:p>
        </w:tc>
        <w:tc>
          <w:tcPr>
            <w:tcW w:w="763"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B51556" w14:textId="77777777" w:rsidR="0097713B" w:rsidRPr="00AA0B1C" w:rsidRDefault="0097713B" w:rsidP="006D18A7">
            <w:pPr>
              <w:snapToGrid w:val="0"/>
              <w:spacing w:line="200" w:lineRule="exact"/>
              <w:rPr>
                <w:rFonts w:ascii="標楷體" w:eastAsia="標楷體" w:hAnsi="標楷體" w:cs="Calibri"/>
                <w:sz w:val="20"/>
                <w:szCs w:val="20"/>
              </w:rPr>
            </w:pPr>
          </w:p>
        </w:tc>
        <w:tc>
          <w:tcPr>
            <w:tcW w:w="9" w:type="pct"/>
            <w:shd w:val="clear" w:color="auto" w:fill="auto"/>
            <w:tcMar>
              <w:top w:w="0" w:type="dxa"/>
              <w:left w:w="10" w:type="dxa"/>
              <w:bottom w:w="0" w:type="dxa"/>
              <w:right w:w="10" w:type="dxa"/>
            </w:tcMar>
          </w:tcPr>
          <w:p w14:paraId="4D006CFE" w14:textId="77777777" w:rsidR="0097713B" w:rsidRPr="00AA0B1C" w:rsidRDefault="0097713B" w:rsidP="006D18A7">
            <w:pPr>
              <w:snapToGrid w:val="0"/>
              <w:spacing w:line="200" w:lineRule="exact"/>
              <w:rPr>
                <w:rFonts w:ascii="標楷體" w:eastAsia="標楷體" w:hAnsi="標楷體" w:cs="Calibri"/>
                <w:sz w:val="20"/>
                <w:szCs w:val="20"/>
              </w:rPr>
            </w:pPr>
          </w:p>
        </w:tc>
      </w:tr>
      <w:tr w:rsidR="0097713B" w:rsidRPr="00AA0B1C" w14:paraId="64C9BFFB" w14:textId="77777777" w:rsidTr="001B5BB0">
        <w:trPr>
          <w:cantSplit/>
          <w:trHeight w:val="530"/>
        </w:trPr>
        <w:tc>
          <w:tcPr>
            <w:tcW w:w="195"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FB3C9A" w14:textId="77777777" w:rsidR="0097713B" w:rsidRPr="00AA0B1C" w:rsidRDefault="0097713B" w:rsidP="006D18A7">
            <w:pPr>
              <w:snapToGrid w:val="0"/>
              <w:spacing w:line="200" w:lineRule="exact"/>
              <w:rPr>
                <w:rFonts w:ascii="標楷體" w:eastAsia="標楷體" w:hAnsi="標楷體" w:cs="Calibri"/>
                <w:sz w:val="20"/>
                <w:szCs w:val="20"/>
              </w:rPr>
            </w:pPr>
          </w:p>
        </w:tc>
        <w:tc>
          <w:tcPr>
            <w:tcW w:w="624"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50D25D"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代號</w:t>
            </w:r>
          </w:p>
        </w:tc>
        <w:tc>
          <w:tcPr>
            <w:tcW w:w="31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A2FB47" w14:textId="77777777" w:rsidR="0097713B" w:rsidRPr="00AA0B1C" w:rsidRDefault="0097713B" w:rsidP="006D18A7">
            <w:pPr>
              <w:snapToGrid w:val="0"/>
              <w:spacing w:line="200" w:lineRule="exact"/>
              <w:rPr>
                <w:rFonts w:ascii="標楷體" w:eastAsia="標楷體" w:hAnsi="標楷體" w:cs="Calibri"/>
                <w:sz w:val="20"/>
                <w:szCs w:val="20"/>
              </w:rPr>
            </w:pPr>
          </w:p>
        </w:tc>
        <w:tc>
          <w:tcPr>
            <w:tcW w:w="109" w:type="pct"/>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8E7CD3" w14:textId="77777777" w:rsidR="0097713B" w:rsidRPr="00AA0B1C" w:rsidRDefault="0097713B" w:rsidP="006D18A7">
            <w:pPr>
              <w:snapToGrid w:val="0"/>
              <w:spacing w:line="200" w:lineRule="exact"/>
              <w:rPr>
                <w:rFonts w:ascii="標楷體" w:eastAsia="標楷體" w:hAnsi="標楷體" w:cs="Calibri"/>
                <w:sz w:val="20"/>
                <w:szCs w:val="20"/>
              </w:rPr>
            </w:pPr>
          </w:p>
        </w:tc>
        <w:tc>
          <w:tcPr>
            <w:tcW w:w="389"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57A708"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身分證</w:t>
            </w:r>
          </w:p>
          <w:p w14:paraId="08AFCBD4"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統一編號</w:t>
            </w:r>
          </w:p>
        </w:tc>
        <w:tc>
          <w:tcPr>
            <w:tcW w:w="7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2B4966" w14:textId="77777777" w:rsidR="0097713B" w:rsidRPr="00AA0B1C" w:rsidRDefault="0097713B" w:rsidP="006D18A7">
            <w:pPr>
              <w:snapToGrid w:val="0"/>
              <w:spacing w:line="200" w:lineRule="exact"/>
              <w:rPr>
                <w:rFonts w:ascii="標楷體" w:eastAsia="標楷體" w:hAnsi="標楷體" w:cs="Calibri"/>
                <w:sz w:val="20"/>
                <w:szCs w:val="20"/>
              </w:rPr>
            </w:pPr>
          </w:p>
        </w:tc>
        <w:tc>
          <w:tcPr>
            <w:tcW w:w="11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ABAF8A"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科</w:t>
            </w:r>
          </w:p>
          <w:p w14:paraId="237A00AD"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別</w:t>
            </w:r>
          </w:p>
        </w:tc>
        <w:tc>
          <w:tcPr>
            <w:tcW w:w="32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78A186" w14:textId="77777777" w:rsidR="0097713B" w:rsidRPr="00AA0B1C" w:rsidRDefault="0097713B" w:rsidP="006D18A7">
            <w:pPr>
              <w:snapToGrid w:val="0"/>
              <w:spacing w:line="200" w:lineRule="exact"/>
              <w:rPr>
                <w:rFonts w:ascii="標楷體" w:eastAsia="標楷體" w:hAnsi="標楷體" w:cs="Calibri"/>
                <w:sz w:val="20"/>
                <w:szCs w:val="20"/>
              </w:rPr>
            </w:pPr>
          </w:p>
        </w:tc>
        <w:tc>
          <w:tcPr>
            <w:tcW w:w="56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D95FC2"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□門診□住院</w:t>
            </w:r>
          </w:p>
        </w:tc>
        <w:tc>
          <w:tcPr>
            <w:tcW w:w="19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3B534B"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病歷號碼</w:t>
            </w:r>
          </w:p>
        </w:tc>
        <w:tc>
          <w:tcPr>
            <w:tcW w:w="477"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F73877" w14:textId="77777777" w:rsidR="0097713B" w:rsidRPr="00AA0B1C" w:rsidRDefault="0097713B" w:rsidP="006D18A7">
            <w:pPr>
              <w:snapToGrid w:val="0"/>
              <w:spacing w:line="200" w:lineRule="exact"/>
              <w:rPr>
                <w:rFonts w:ascii="標楷體" w:eastAsia="標楷體" w:hAnsi="標楷體" w:cs="Calibri"/>
                <w:sz w:val="20"/>
                <w:szCs w:val="20"/>
              </w:rPr>
            </w:pPr>
          </w:p>
        </w:tc>
        <w:tc>
          <w:tcPr>
            <w:tcW w:w="305"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3E0D5D"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申請醫師身分證號</w:t>
            </w:r>
          </w:p>
        </w:tc>
        <w:tc>
          <w:tcPr>
            <w:tcW w:w="64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93845A" w14:textId="77777777" w:rsidR="0097713B" w:rsidRPr="00AA0B1C" w:rsidRDefault="0097713B" w:rsidP="006D18A7">
            <w:pPr>
              <w:snapToGrid w:val="0"/>
              <w:spacing w:line="200" w:lineRule="exact"/>
              <w:rPr>
                <w:rFonts w:ascii="標楷體" w:eastAsia="標楷體" w:hAnsi="標楷體" w:cs="Calibri"/>
                <w:sz w:val="20"/>
                <w:szCs w:val="20"/>
              </w:rPr>
            </w:pPr>
          </w:p>
        </w:tc>
        <w:tc>
          <w:tcPr>
            <w:tcW w:w="9" w:type="pct"/>
            <w:shd w:val="clear" w:color="auto" w:fill="auto"/>
            <w:tcMar>
              <w:top w:w="0" w:type="dxa"/>
              <w:left w:w="10" w:type="dxa"/>
              <w:bottom w:w="0" w:type="dxa"/>
              <w:right w:w="10" w:type="dxa"/>
            </w:tcMar>
          </w:tcPr>
          <w:p w14:paraId="644922D2" w14:textId="77777777" w:rsidR="0097713B" w:rsidRPr="00AA0B1C" w:rsidRDefault="0097713B" w:rsidP="006D18A7">
            <w:pPr>
              <w:snapToGrid w:val="0"/>
              <w:spacing w:line="200" w:lineRule="exact"/>
              <w:rPr>
                <w:rFonts w:ascii="標楷體" w:eastAsia="標楷體" w:hAnsi="標楷體" w:cs="Calibri"/>
                <w:sz w:val="20"/>
                <w:szCs w:val="20"/>
              </w:rPr>
            </w:pPr>
          </w:p>
        </w:tc>
      </w:tr>
      <w:tr w:rsidR="0097713B" w:rsidRPr="00AA0B1C" w14:paraId="08BEBD9C" w14:textId="77777777" w:rsidTr="001B5BB0">
        <w:trPr>
          <w:cantSplit/>
          <w:trHeight w:val="328"/>
        </w:trPr>
        <w:tc>
          <w:tcPr>
            <w:tcW w:w="81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D6FD64" w14:textId="77777777" w:rsidR="0097713B" w:rsidRPr="00AA0B1C" w:rsidRDefault="0097713B" w:rsidP="006D18A7">
            <w:pPr>
              <w:pStyle w:val="a7"/>
              <w:tabs>
                <w:tab w:val="clear" w:pos="4153"/>
                <w:tab w:val="clear" w:pos="8306"/>
              </w:tabs>
              <w:spacing w:line="200" w:lineRule="exact"/>
              <w:ind w:left="1600" w:hanging="1120"/>
              <w:rPr>
                <w:rFonts w:ascii="標楷體" w:eastAsia="標楷體" w:hAnsi="標楷體" w:cs="Calibri"/>
              </w:rPr>
            </w:pPr>
            <w:r w:rsidRPr="00AA0B1C">
              <w:rPr>
                <w:rFonts w:ascii="標楷體" w:eastAsia="標楷體" w:hAnsi="標楷體" w:cs="Calibri"/>
              </w:rPr>
              <w:t>ICD-10代碼</w:t>
            </w:r>
          </w:p>
        </w:tc>
        <w:tc>
          <w:tcPr>
            <w:tcW w:w="629"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C3ACD0" w14:textId="77777777" w:rsidR="0097713B" w:rsidRPr="00AA0B1C" w:rsidRDefault="0097713B" w:rsidP="006D18A7">
            <w:pPr>
              <w:snapToGrid w:val="0"/>
              <w:spacing w:line="200" w:lineRule="exact"/>
              <w:rPr>
                <w:rFonts w:ascii="標楷體" w:eastAsia="標楷體" w:hAnsi="標楷體" w:cs="Calibri"/>
                <w:sz w:val="20"/>
                <w:szCs w:val="20"/>
              </w:rPr>
            </w:pPr>
          </w:p>
        </w:tc>
        <w:tc>
          <w:tcPr>
            <w:tcW w:w="31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C965FB"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疾病名稱</w:t>
            </w:r>
          </w:p>
        </w:tc>
        <w:tc>
          <w:tcPr>
            <w:tcW w:w="1050"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5A0D6D" w14:textId="77777777" w:rsidR="0097713B" w:rsidRPr="00AA0B1C" w:rsidRDefault="0097713B" w:rsidP="006D18A7">
            <w:pPr>
              <w:snapToGrid w:val="0"/>
              <w:spacing w:line="200" w:lineRule="exact"/>
              <w:rPr>
                <w:rFonts w:ascii="標楷體" w:eastAsia="標楷體" w:hAnsi="標楷體" w:cs="Calibri"/>
                <w:sz w:val="20"/>
                <w:szCs w:val="20"/>
              </w:rPr>
            </w:pPr>
          </w:p>
        </w:tc>
        <w:tc>
          <w:tcPr>
            <w:tcW w:w="56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C1CDC4"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使用日期</w:t>
            </w:r>
          </w:p>
        </w:tc>
        <w:tc>
          <w:tcPr>
            <w:tcW w:w="1617" w:type="pct"/>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0FF9067" w14:textId="77777777" w:rsidR="0097713B" w:rsidRPr="00AA0B1C" w:rsidRDefault="00FC4CED" w:rsidP="006D18A7">
            <w:pPr>
              <w:snapToGrid w:val="0"/>
              <w:spacing w:line="200" w:lineRule="exact"/>
              <w:rPr>
                <w:rFonts w:ascii="標楷體" w:eastAsia="標楷體" w:hAnsi="標楷體"/>
              </w:rPr>
            </w:pP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日至</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日</w:t>
            </w:r>
          </w:p>
        </w:tc>
        <w:tc>
          <w:tcPr>
            <w:tcW w:w="9" w:type="pct"/>
            <w:shd w:val="clear" w:color="auto" w:fill="auto"/>
            <w:tcMar>
              <w:top w:w="0" w:type="dxa"/>
              <w:left w:w="10" w:type="dxa"/>
              <w:bottom w:w="0" w:type="dxa"/>
              <w:right w:w="10" w:type="dxa"/>
            </w:tcMar>
          </w:tcPr>
          <w:p w14:paraId="67537BBC" w14:textId="77777777" w:rsidR="0097713B" w:rsidRPr="00AA0B1C" w:rsidRDefault="0097713B" w:rsidP="006D18A7">
            <w:pPr>
              <w:snapToGrid w:val="0"/>
              <w:spacing w:line="200" w:lineRule="exact"/>
              <w:rPr>
                <w:rFonts w:ascii="標楷體" w:eastAsia="標楷體" w:hAnsi="標楷體" w:cs="Calibri"/>
              </w:rPr>
            </w:pPr>
          </w:p>
        </w:tc>
      </w:tr>
      <w:tr w:rsidR="0097713B" w:rsidRPr="00AA0B1C" w14:paraId="1FD62A4F" w14:textId="77777777" w:rsidTr="001B5BB0">
        <w:trPr>
          <w:cantSplit/>
          <w:trHeight w:val="281"/>
        </w:trPr>
        <w:tc>
          <w:tcPr>
            <w:tcW w:w="81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7CAE3D"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藥品代碼</w:t>
            </w:r>
          </w:p>
        </w:tc>
        <w:tc>
          <w:tcPr>
            <w:tcW w:w="347"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352637"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申請類別</w:t>
            </w:r>
          </w:p>
        </w:tc>
        <w:tc>
          <w:tcPr>
            <w:tcW w:w="1647" w:type="pct"/>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07CD78"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給付規定</w:t>
            </w:r>
          </w:p>
        </w:tc>
        <w:tc>
          <w:tcPr>
            <w:tcW w:w="283"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6244FE"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用法</w:t>
            </w:r>
          </w:p>
          <w:p w14:paraId="6EFDB14B"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用量</w:t>
            </w:r>
          </w:p>
        </w:tc>
        <w:tc>
          <w:tcPr>
            <w:tcW w:w="27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876F1A"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申請</w:t>
            </w:r>
          </w:p>
          <w:p w14:paraId="07BDFECF"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數量</w:t>
            </w:r>
          </w:p>
        </w:tc>
        <w:tc>
          <w:tcPr>
            <w:tcW w:w="1617" w:type="pct"/>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EE4EDD2"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保險人核定欄</w:t>
            </w:r>
          </w:p>
        </w:tc>
        <w:tc>
          <w:tcPr>
            <w:tcW w:w="9" w:type="pct"/>
            <w:shd w:val="clear" w:color="auto" w:fill="auto"/>
            <w:tcMar>
              <w:top w:w="0" w:type="dxa"/>
              <w:left w:w="10" w:type="dxa"/>
              <w:bottom w:w="0" w:type="dxa"/>
              <w:right w:w="10" w:type="dxa"/>
            </w:tcMar>
          </w:tcPr>
          <w:p w14:paraId="4F84419E" w14:textId="77777777" w:rsidR="0097713B" w:rsidRPr="00AA0B1C" w:rsidRDefault="0097713B" w:rsidP="006D18A7">
            <w:pPr>
              <w:snapToGrid w:val="0"/>
              <w:spacing w:line="200" w:lineRule="exact"/>
              <w:jc w:val="center"/>
              <w:rPr>
                <w:rFonts w:ascii="標楷體" w:eastAsia="標楷體" w:hAnsi="標楷體" w:cs="Calibri"/>
              </w:rPr>
            </w:pPr>
          </w:p>
        </w:tc>
      </w:tr>
      <w:tr w:rsidR="0097713B" w:rsidRPr="00AA0B1C" w14:paraId="623D2137" w14:textId="77777777" w:rsidTr="001B5BB0">
        <w:trPr>
          <w:cantSplit/>
          <w:trHeight w:val="2095"/>
        </w:trPr>
        <w:tc>
          <w:tcPr>
            <w:tcW w:w="81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3A3A7E" w14:textId="77777777" w:rsidR="001B5BB0" w:rsidRPr="001B5BB0" w:rsidRDefault="001B5BB0" w:rsidP="001B5BB0">
            <w:pPr>
              <w:widowControl/>
              <w:suppressAutoHyphens w:val="0"/>
              <w:autoSpaceDN/>
              <w:snapToGrid w:val="0"/>
              <w:textAlignment w:val="auto"/>
              <w:rPr>
                <w:rFonts w:ascii="標楷體" w:eastAsia="標楷體" w:hAnsi="標楷體"/>
                <w:kern w:val="0"/>
                <w:sz w:val="22"/>
                <w:szCs w:val="24"/>
              </w:rPr>
            </w:pPr>
            <w:proofErr w:type="spellStart"/>
            <w:r w:rsidRPr="001B5BB0">
              <w:rPr>
                <w:rFonts w:ascii="標楷體" w:eastAsia="標楷體" w:hAnsi="標楷體" w:hint="eastAsia"/>
                <w:kern w:val="0"/>
                <w:sz w:val="22"/>
                <w:szCs w:val="24"/>
              </w:rPr>
              <w:t>Voydeya</w:t>
            </w:r>
            <w:proofErr w:type="spellEnd"/>
            <w:r w:rsidRPr="001B5BB0">
              <w:rPr>
                <w:rFonts w:ascii="標楷體" w:eastAsia="標楷體" w:hAnsi="標楷體" w:hint="eastAsia"/>
                <w:kern w:val="0"/>
                <w:sz w:val="22"/>
                <w:szCs w:val="24"/>
              </w:rPr>
              <w:t xml:space="preserve"> + Soliris</w:t>
            </w:r>
          </w:p>
          <w:p w14:paraId="7DE2BBDA" w14:textId="77777777" w:rsidR="001B5BB0" w:rsidRPr="001B5BB0" w:rsidRDefault="001B5BB0" w:rsidP="001B5BB0">
            <w:pPr>
              <w:widowControl/>
              <w:suppressAutoHyphens w:val="0"/>
              <w:autoSpaceDN/>
              <w:snapToGrid w:val="0"/>
              <w:textAlignment w:val="auto"/>
              <w:rPr>
                <w:rFonts w:ascii="標楷體" w:eastAsia="標楷體" w:hAnsi="標楷體"/>
                <w:kern w:val="0"/>
                <w:sz w:val="20"/>
                <w:szCs w:val="20"/>
              </w:rPr>
            </w:pPr>
            <w:r w:rsidRPr="001B5BB0">
              <w:rPr>
                <w:rFonts w:ascii="標楷體" w:eastAsia="標楷體" w:hAnsi="標楷體" w:hint="eastAsia"/>
                <w:kern w:val="0"/>
                <w:sz w:val="20"/>
                <w:szCs w:val="20"/>
              </w:rPr>
              <w:t>□VC00098100/</w:t>
            </w:r>
          </w:p>
          <w:p w14:paraId="7E4D905B" w14:textId="77777777" w:rsidR="001B5BB0" w:rsidRPr="001B5BB0" w:rsidRDefault="001B5BB0" w:rsidP="001B5BB0">
            <w:pPr>
              <w:widowControl/>
              <w:suppressAutoHyphens w:val="0"/>
              <w:autoSpaceDN/>
              <w:snapToGrid w:val="0"/>
              <w:ind w:firstLine="200"/>
              <w:textAlignment w:val="auto"/>
              <w:rPr>
                <w:rFonts w:ascii="標楷體" w:eastAsia="標楷體" w:hAnsi="標楷體"/>
                <w:kern w:val="0"/>
                <w:szCs w:val="24"/>
              </w:rPr>
            </w:pPr>
            <w:r w:rsidRPr="001B5BB0">
              <w:rPr>
                <w:rFonts w:ascii="標楷體" w:eastAsia="標楷體" w:hAnsi="標楷體" w:hint="eastAsia"/>
                <w:kern w:val="0"/>
                <w:sz w:val="20"/>
                <w:szCs w:val="20"/>
              </w:rPr>
              <w:t xml:space="preserve">VC00097100 ＋ </w:t>
            </w:r>
          </w:p>
          <w:p w14:paraId="00A7DE23" w14:textId="77777777" w:rsidR="001B5BB0" w:rsidRPr="001B5BB0" w:rsidRDefault="001B5BB0" w:rsidP="001B5BB0">
            <w:pPr>
              <w:widowControl/>
              <w:suppressAutoHyphens w:val="0"/>
              <w:autoSpaceDN/>
              <w:snapToGrid w:val="0"/>
              <w:ind w:firstLine="200"/>
              <w:textAlignment w:val="auto"/>
              <w:rPr>
                <w:rFonts w:ascii="標楷體" w:eastAsia="標楷體" w:hAnsi="標楷體"/>
                <w:kern w:val="0"/>
                <w:sz w:val="20"/>
                <w:szCs w:val="20"/>
              </w:rPr>
            </w:pPr>
            <w:r w:rsidRPr="001B5BB0">
              <w:rPr>
                <w:rFonts w:ascii="標楷體" w:eastAsia="標楷體" w:hAnsi="標楷體" w:hint="eastAsia"/>
                <w:kern w:val="0"/>
                <w:sz w:val="20"/>
                <w:szCs w:val="20"/>
              </w:rPr>
              <w:t>YC00016243</w:t>
            </w:r>
          </w:p>
          <w:p w14:paraId="4301878F" w14:textId="77777777" w:rsidR="001B5BB0" w:rsidRPr="001B5BB0" w:rsidRDefault="001B5BB0" w:rsidP="001B5BB0">
            <w:pPr>
              <w:widowControl/>
              <w:suppressAutoHyphens w:val="0"/>
              <w:autoSpaceDN/>
              <w:snapToGrid w:val="0"/>
              <w:textAlignment w:val="auto"/>
              <w:rPr>
                <w:rFonts w:ascii="標楷體" w:eastAsia="標楷體" w:hAnsi="標楷體"/>
                <w:kern w:val="0"/>
                <w:sz w:val="22"/>
                <w:szCs w:val="24"/>
              </w:rPr>
            </w:pPr>
            <w:proofErr w:type="spellStart"/>
            <w:r w:rsidRPr="001B5BB0">
              <w:rPr>
                <w:rFonts w:ascii="標楷體" w:eastAsia="標楷體" w:hAnsi="標楷體" w:hint="eastAsia"/>
                <w:kern w:val="0"/>
                <w:sz w:val="22"/>
                <w:szCs w:val="24"/>
              </w:rPr>
              <w:t>Voydeya</w:t>
            </w:r>
            <w:proofErr w:type="spellEnd"/>
            <w:r w:rsidRPr="001B5BB0">
              <w:rPr>
                <w:rFonts w:ascii="標楷體" w:eastAsia="標楷體" w:hAnsi="標楷體" w:hint="eastAsia"/>
                <w:kern w:val="0"/>
                <w:sz w:val="22"/>
                <w:szCs w:val="24"/>
              </w:rPr>
              <w:t xml:space="preserve"> + </w:t>
            </w:r>
            <w:proofErr w:type="spellStart"/>
            <w:r w:rsidRPr="001B5BB0">
              <w:rPr>
                <w:rFonts w:ascii="標楷體" w:eastAsia="標楷體" w:hAnsi="標楷體" w:hint="eastAsia"/>
                <w:kern w:val="0"/>
                <w:sz w:val="22"/>
                <w:szCs w:val="24"/>
              </w:rPr>
              <w:t>Ultomiris</w:t>
            </w:r>
            <w:proofErr w:type="spellEnd"/>
          </w:p>
          <w:p w14:paraId="2CBA3E30" w14:textId="77777777" w:rsidR="001B5BB0" w:rsidRPr="001B5BB0" w:rsidRDefault="001B5BB0" w:rsidP="001B5BB0">
            <w:pPr>
              <w:widowControl/>
              <w:suppressAutoHyphens w:val="0"/>
              <w:autoSpaceDN/>
              <w:snapToGrid w:val="0"/>
              <w:textAlignment w:val="auto"/>
              <w:rPr>
                <w:rFonts w:ascii="標楷體" w:eastAsia="標楷體" w:hAnsi="標楷體"/>
                <w:kern w:val="0"/>
                <w:sz w:val="20"/>
                <w:szCs w:val="20"/>
              </w:rPr>
            </w:pPr>
            <w:r w:rsidRPr="001B5BB0">
              <w:rPr>
                <w:rFonts w:ascii="標楷體" w:eastAsia="標楷體" w:hAnsi="標楷體" w:hint="eastAsia"/>
                <w:kern w:val="0"/>
                <w:sz w:val="20"/>
                <w:szCs w:val="20"/>
              </w:rPr>
              <w:t>□VC00098100/</w:t>
            </w:r>
          </w:p>
          <w:p w14:paraId="7FF07014" w14:textId="77777777" w:rsidR="001B5BB0" w:rsidRPr="001B5BB0" w:rsidRDefault="001B5BB0" w:rsidP="001B5BB0">
            <w:pPr>
              <w:widowControl/>
              <w:suppressAutoHyphens w:val="0"/>
              <w:autoSpaceDN/>
              <w:snapToGrid w:val="0"/>
              <w:ind w:firstLine="200"/>
              <w:textAlignment w:val="auto"/>
              <w:rPr>
                <w:rFonts w:ascii="標楷體" w:eastAsia="標楷體" w:hAnsi="標楷體"/>
                <w:kern w:val="0"/>
                <w:szCs w:val="24"/>
              </w:rPr>
            </w:pPr>
            <w:r w:rsidRPr="001B5BB0">
              <w:rPr>
                <w:rFonts w:ascii="標楷體" w:eastAsia="標楷體" w:hAnsi="標楷體" w:hint="eastAsia"/>
                <w:kern w:val="0"/>
                <w:sz w:val="20"/>
                <w:szCs w:val="20"/>
              </w:rPr>
              <w:t xml:space="preserve">VC00097100 ＋ </w:t>
            </w:r>
          </w:p>
          <w:p w14:paraId="4608BBC2" w14:textId="77777777" w:rsidR="001B5BB0" w:rsidRPr="001B5BB0" w:rsidRDefault="001B5BB0" w:rsidP="001B5BB0">
            <w:pPr>
              <w:widowControl/>
              <w:suppressAutoHyphens w:val="0"/>
              <w:autoSpaceDN/>
              <w:snapToGrid w:val="0"/>
              <w:ind w:firstLine="200"/>
              <w:textAlignment w:val="auto"/>
              <w:rPr>
                <w:rFonts w:ascii="標楷體" w:eastAsia="標楷體" w:hAnsi="標楷體"/>
                <w:kern w:val="0"/>
                <w:sz w:val="20"/>
                <w:szCs w:val="20"/>
              </w:rPr>
            </w:pPr>
            <w:r w:rsidRPr="001B5BB0">
              <w:rPr>
                <w:rFonts w:ascii="標楷體" w:eastAsia="標楷體" w:hAnsi="標楷體" w:hint="eastAsia"/>
                <w:kern w:val="0"/>
                <w:sz w:val="20"/>
                <w:szCs w:val="20"/>
              </w:rPr>
              <w:t>YC00045216/</w:t>
            </w:r>
          </w:p>
          <w:p w14:paraId="5817CB21" w14:textId="77777777" w:rsidR="001B5BB0" w:rsidRPr="001B5BB0" w:rsidRDefault="001B5BB0" w:rsidP="001B5BB0">
            <w:pPr>
              <w:widowControl/>
              <w:suppressAutoHyphens w:val="0"/>
              <w:autoSpaceDN/>
              <w:snapToGrid w:val="0"/>
              <w:ind w:leftChars="103" w:left="247"/>
              <w:textAlignment w:val="auto"/>
              <w:rPr>
                <w:rFonts w:ascii="標楷體" w:eastAsia="標楷體" w:hAnsi="標楷體"/>
                <w:kern w:val="0"/>
                <w:sz w:val="20"/>
                <w:szCs w:val="20"/>
                <w:u w:val="single"/>
              </w:rPr>
            </w:pPr>
            <w:r w:rsidRPr="001B5BB0">
              <w:rPr>
                <w:rFonts w:ascii="標楷體" w:eastAsia="標楷體" w:hAnsi="標楷體" w:hint="eastAsia"/>
                <w:kern w:val="0"/>
                <w:sz w:val="20"/>
                <w:szCs w:val="20"/>
              </w:rPr>
              <w:t>YC000452C3</w:t>
            </w:r>
          </w:p>
          <w:p w14:paraId="23D8A009" w14:textId="77777777" w:rsidR="001B5BB0" w:rsidRPr="001B5BB0" w:rsidRDefault="001B5BB0" w:rsidP="001B5BB0">
            <w:pPr>
              <w:widowControl/>
              <w:suppressAutoHyphens w:val="0"/>
              <w:autoSpaceDN/>
              <w:snapToGrid w:val="0"/>
              <w:textAlignment w:val="auto"/>
              <w:rPr>
                <w:rFonts w:ascii="標楷體" w:eastAsia="標楷體" w:hAnsi="標楷體"/>
                <w:kern w:val="0"/>
                <w:sz w:val="20"/>
                <w:szCs w:val="20"/>
              </w:rPr>
            </w:pPr>
            <w:proofErr w:type="spellStart"/>
            <w:r w:rsidRPr="001B5BB0">
              <w:rPr>
                <w:rFonts w:ascii="標楷體" w:eastAsia="標楷體" w:hAnsi="標楷體" w:hint="eastAsia"/>
                <w:kern w:val="0"/>
                <w:sz w:val="20"/>
                <w:szCs w:val="20"/>
              </w:rPr>
              <w:t>Fabhalta</w:t>
            </w:r>
            <w:proofErr w:type="spellEnd"/>
          </w:p>
          <w:p w14:paraId="48803417" w14:textId="77777777" w:rsidR="001B5BB0" w:rsidRPr="001B5BB0" w:rsidRDefault="001B5BB0" w:rsidP="001B5BB0">
            <w:pPr>
              <w:widowControl/>
              <w:suppressAutoHyphens w:val="0"/>
              <w:autoSpaceDN/>
              <w:snapToGrid w:val="0"/>
              <w:textAlignment w:val="auto"/>
              <w:rPr>
                <w:rFonts w:ascii="標楷體" w:eastAsia="標楷體" w:hAnsi="標楷體"/>
                <w:kern w:val="0"/>
                <w:sz w:val="20"/>
                <w:szCs w:val="20"/>
              </w:rPr>
            </w:pPr>
            <w:r w:rsidRPr="001B5BB0">
              <w:rPr>
                <w:rFonts w:ascii="標楷體" w:eastAsia="標楷體" w:hAnsi="標楷體" w:hint="eastAsia"/>
                <w:kern w:val="0"/>
                <w:sz w:val="20"/>
                <w:szCs w:val="20"/>
              </w:rPr>
              <w:t xml:space="preserve">□VC00102100 </w:t>
            </w:r>
          </w:p>
          <w:p w14:paraId="795B2062" w14:textId="77777777" w:rsidR="001B5BB0" w:rsidRPr="001B5BB0" w:rsidRDefault="001B5BB0" w:rsidP="001B5BB0">
            <w:pPr>
              <w:widowControl/>
              <w:suppressAutoHyphens w:val="0"/>
              <w:autoSpaceDN/>
              <w:snapToGrid w:val="0"/>
              <w:textAlignment w:val="auto"/>
              <w:rPr>
                <w:rFonts w:ascii="標楷體" w:eastAsia="標楷體" w:hAnsi="標楷體"/>
                <w:kern w:val="0"/>
                <w:sz w:val="20"/>
                <w:szCs w:val="20"/>
              </w:rPr>
            </w:pPr>
            <w:proofErr w:type="spellStart"/>
            <w:r w:rsidRPr="001B5BB0">
              <w:rPr>
                <w:rFonts w:ascii="標楷體" w:eastAsia="標楷體" w:hAnsi="標楷體" w:hint="eastAsia"/>
                <w:kern w:val="0"/>
                <w:sz w:val="20"/>
                <w:szCs w:val="20"/>
              </w:rPr>
              <w:t>Aspaveli</w:t>
            </w:r>
            <w:proofErr w:type="spellEnd"/>
            <w:r w:rsidRPr="001B5BB0">
              <w:rPr>
                <w:rFonts w:ascii="標楷體" w:eastAsia="標楷體" w:hAnsi="標楷體" w:hint="eastAsia"/>
                <w:kern w:val="0"/>
                <w:sz w:val="20"/>
                <w:szCs w:val="20"/>
              </w:rPr>
              <w:t>/</w:t>
            </w:r>
            <w:proofErr w:type="spellStart"/>
            <w:r w:rsidRPr="001B5BB0">
              <w:rPr>
                <w:rFonts w:ascii="標楷體" w:eastAsia="標楷體" w:hAnsi="標楷體" w:hint="eastAsia"/>
                <w:kern w:val="0"/>
                <w:sz w:val="20"/>
                <w:szCs w:val="20"/>
              </w:rPr>
              <w:t>Empaveli</w:t>
            </w:r>
            <w:proofErr w:type="spellEnd"/>
          </w:p>
          <w:p w14:paraId="0254C708" w14:textId="37F63B20" w:rsidR="0097713B" w:rsidRPr="00685E6F" w:rsidRDefault="001B5BB0" w:rsidP="001B5BB0">
            <w:pPr>
              <w:widowControl/>
              <w:snapToGrid w:val="0"/>
              <w:rPr>
                <w:rFonts w:ascii="標楷體" w:eastAsia="標楷體" w:hAnsi="標楷體" w:cs="Calibri"/>
                <w:sz w:val="20"/>
                <w:szCs w:val="20"/>
              </w:rPr>
            </w:pPr>
            <w:r w:rsidRPr="001B5BB0">
              <w:rPr>
                <w:rFonts w:ascii="標楷體" w:eastAsia="標楷體" w:hAnsi="標楷體" w:hint="eastAsia"/>
                <w:kern w:val="0"/>
                <w:sz w:val="20"/>
                <w:szCs w:val="20"/>
              </w:rPr>
              <w:t>□X000385238</w:t>
            </w:r>
          </w:p>
        </w:tc>
        <w:tc>
          <w:tcPr>
            <w:tcW w:w="347"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64253F" w14:textId="77777777" w:rsidR="0097713B" w:rsidRPr="00AA0B1C" w:rsidRDefault="0097713B" w:rsidP="006D18A7">
            <w:pPr>
              <w:snapToGrid w:val="0"/>
              <w:spacing w:before="180"/>
              <w:ind w:left="269" w:hanging="269"/>
              <w:rPr>
                <w:rFonts w:ascii="標楷體" w:eastAsia="標楷體" w:hAnsi="標楷體" w:cs="Calibri"/>
              </w:rPr>
            </w:pPr>
          </w:p>
          <w:p w14:paraId="61F5A33A" w14:textId="77777777" w:rsidR="0097713B" w:rsidRPr="00AA0B1C" w:rsidRDefault="0097713B" w:rsidP="006D18A7">
            <w:pPr>
              <w:snapToGrid w:val="0"/>
              <w:spacing w:line="200" w:lineRule="exact"/>
              <w:ind w:left="320" w:hanging="320"/>
              <w:rPr>
                <w:rFonts w:ascii="標楷體" w:eastAsia="標楷體" w:hAnsi="標楷體"/>
              </w:rPr>
            </w:pPr>
            <w:r w:rsidRPr="00AA0B1C">
              <w:rPr>
                <w:rFonts w:ascii="標楷體" w:eastAsia="標楷體" w:hAnsi="標楷體" w:cs="Calibri"/>
                <w:sz w:val="20"/>
                <w:szCs w:val="20"/>
              </w:rPr>
              <w:t>□第一次申請</w:t>
            </w:r>
          </w:p>
          <w:p w14:paraId="2783C187" w14:textId="77777777" w:rsidR="0097713B" w:rsidRPr="00AA0B1C" w:rsidRDefault="0097713B" w:rsidP="006D18A7">
            <w:pPr>
              <w:snapToGrid w:val="0"/>
              <w:spacing w:line="200" w:lineRule="exact"/>
              <w:ind w:left="220" w:hanging="100"/>
              <w:rPr>
                <w:rFonts w:ascii="標楷體" w:eastAsia="標楷體" w:hAnsi="標楷體" w:cs="Calibri"/>
                <w:sz w:val="20"/>
                <w:szCs w:val="20"/>
              </w:rPr>
            </w:pPr>
          </w:p>
          <w:p w14:paraId="04A41DF4" w14:textId="77777777" w:rsidR="0097713B" w:rsidRPr="00AA0B1C" w:rsidRDefault="0097713B" w:rsidP="006D18A7">
            <w:pPr>
              <w:snapToGrid w:val="0"/>
              <w:spacing w:line="200" w:lineRule="exact"/>
              <w:ind w:left="320" w:hanging="320"/>
              <w:rPr>
                <w:rFonts w:ascii="標楷體" w:eastAsia="標楷體" w:hAnsi="標楷體"/>
              </w:rPr>
            </w:pPr>
            <w:r w:rsidRPr="00AA0B1C">
              <w:rPr>
                <w:rFonts w:ascii="標楷體" w:eastAsia="標楷體" w:hAnsi="標楷體" w:cs="Calibri"/>
                <w:sz w:val="20"/>
                <w:szCs w:val="20"/>
              </w:rPr>
              <w:t>□治療後再次申請</w:t>
            </w:r>
            <w:r w:rsidRPr="00AA0B1C">
              <w:rPr>
                <w:rFonts w:ascii="標楷體" w:eastAsia="標楷體" w:hAnsi="標楷體" w:cs="Calibri"/>
                <w:kern w:val="0"/>
                <w:sz w:val="20"/>
                <w:szCs w:val="20"/>
              </w:rPr>
              <w:t>續用</w:t>
            </w:r>
          </w:p>
          <w:p w14:paraId="271DDF2D" w14:textId="77777777" w:rsidR="0097713B" w:rsidRPr="00AA0B1C" w:rsidRDefault="0097713B" w:rsidP="006D18A7">
            <w:pPr>
              <w:snapToGrid w:val="0"/>
              <w:spacing w:before="180"/>
              <w:ind w:left="224" w:hanging="224"/>
              <w:rPr>
                <w:rFonts w:ascii="標楷體" w:eastAsia="標楷體" w:hAnsi="標楷體" w:cs="Calibri"/>
                <w:sz w:val="20"/>
                <w:szCs w:val="20"/>
              </w:rPr>
            </w:pPr>
          </w:p>
        </w:tc>
        <w:tc>
          <w:tcPr>
            <w:tcW w:w="1647" w:type="pct"/>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078A67" w14:textId="77777777" w:rsidR="0097713B" w:rsidRPr="00463E8D" w:rsidRDefault="0097713B" w:rsidP="006D18A7">
            <w:pPr>
              <w:pStyle w:val="ad"/>
              <w:snapToGrid w:val="0"/>
              <w:spacing w:before="162" w:after="162"/>
              <w:ind w:left="1640" w:hanging="1400"/>
              <w:rPr>
                <w:rFonts w:cs="Calibri"/>
                <w:color w:val="auto"/>
              </w:rPr>
            </w:pPr>
          </w:p>
        </w:tc>
        <w:tc>
          <w:tcPr>
            <w:tcW w:w="283"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56F13" w14:textId="77777777" w:rsidR="0097713B" w:rsidRPr="00AA0B1C" w:rsidRDefault="0097713B" w:rsidP="006D18A7">
            <w:pPr>
              <w:snapToGrid w:val="0"/>
              <w:spacing w:line="200" w:lineRule="exact"/>
              <w:rPr>
                <w:rFonts w:ascii="標楷體" w:eastAsia="標楷體" w:hAnsi="標楷體" w:cs="Calibri"/>
                <w:sz w:val="20"/>
                <w:szCs w:val="20"/>
              </w:rPr>
            </w:pPr>
          </w:p>
        </w:tc>
        <w:tc>
          <w:tcPr>
            <w:tcW w:w="27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932E0D" w14:textId="77777777" w:rsidR="0097713B" w:rsidRPr="00AA0B1C" w:rsidRDefault="0097713B" w:rsidP="006D18A7">
            <w:pPr>
              <w:snapToGrid w:val="0"/>
              <w:rPr>
                <w:rFonts w:ascii="標楷體" w:eastAsia="標楷體" w:hAnsi="標楷體" w:cs="Calibri"/>
                <w:sz w:val="20"/>
                <w:szCs w:val="20"/>
              </w:rPr>
            </w:pPr>
          </w:p>
        </w:tc>
        <w:tc>
          <w:tcPr>
            <w:tcW w:w="1617" w:type="pct"/>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D5A9631" w14:textId="77777777" w:rsidR="0097713B" w:rsidRPr="00AA0B1C" w:rsidRDefault="0097713B" w:rsidP="006D18A7">
            <w:pPr>
              <w:tabs>
                <w:tab w:val="left" w:pos="240"/>
              </w:tabs>
              <w:snapToGrid w:val="0"/>
              <w:spacing w:line="240" w:lineRule="exact"/>
              <w:rPr>
                <w:rFonts w:ascii="標楷體" w:eastAsia="標楷體" w:hAnsi="標楷體"/>
              </w:rPr>
            </w:pPr>
            <w:r w:rsidRPr="00AA0B1C">
              <w:rPr>
                <w:rFonts w:ascii="標楷體" w:eastAsia="標楷體" w:hAnsi="標楷體" w:cs="Calibri"/>
                <w:sz w:val="20"/>
                <w:szCs w:val="20"/>
              </w:rPr>
              <w:t>□同意備查。</w:t>
            </w:r>
          </w:p>
          <w:p w14:paraId="2740BE2D" w14:textId="77777777" w:rsidR="0097713B" w:rsidRPr="00AA0B1C" w:rsidRDefault="0097713B" w:rsidP="006D18A7">
            <w:pPr>
              <w:tabs>
                <w:tab w:val="left" w:pos="592"/>
              </w:tabs>
              <w:snapToGrid w:val="0"/>
              <w:spacing w:line="240" w:lineRule="exact"/>
              <w:ind w:left="307"/>
              <w:rPr>
                <w:rFonts w:ascii="標楷體" w:eastAsia="標楷體" w:hAnsi="標楷體"/>
              </w:rPr>
            </w:pPr>
            <w:r w:rsidRPr="00AA0B1C">
              <w:rPr>
                <w:rFonts w:ascii="標楷體" w:eastAsia="標楷體" w:hAnsi="標楷體" w:cs="Calibri"/>
                <w:sz w:val="20"/>
                <w:szCs w:val="20"/>
              </w:rPr>
              <w:t>□使用劑量不符合常規，核定量為</w:t>
            </w:r>
          </w:p>
          <w:p w14:paraId="79CC9F28" w14:textId="77777777" w:rsidR="0097713B" w:rsidRPr="00AA0B1C" w:rsidRDefault="0097713B" w:rsidP="006D18A7">
            <w:pPr>
              <w:snapToGrid w:val="0"/>
              <w:spacing w:line="240" w:lineRule="exact"/>
              <w:rPr>
                <w:rFonts w:ascii="標楷體" w:eastAsia="標楷體" w:hAnsi="標楷體"/>
              </w:rPr>
            </w:pPr>
            <w:r w:rsidRPr="00AA0B1C">
              <w:rPr>
                <w:rFonts w:ascii="標楷體" w:eastAsia="標楷體" w:hAnsi="標楷體" w:cs="Calibri"/>
                <w:sz w:val="20"/>
                <w:szCs w:val="20"/>
              </w:rPr>
              <w:t>□不同意</w:t>
            </w:r>
          </w:p>
          <w:p w14:paraId="3A02C76E" w14:textId="77777777" w:rsidR="0097713B" w:rsidRPr="00AA0B1C" w:rsidRDefault="0097713B" w:rsidP="006D18A7">
            <w:pPr>
              <w:snapToGrid w:val="0"/>
              <w:spacing w:line="240" w:lineRule="exact"/>
              <w:ind w:left="309"/>
              <w:rPr>
                <w:rFonts w:ascii="標楷體" w:eastAsia="標楷體" w:hAnsi="標楷體"/>
              </w:rPr>
            </w:pPr>
            <w:r w:rsidRPr="00AA0B1C">
              <w:rPr>
                <w:rFonts w:ascii="標楷體" w:eastAsia="標楷體" w:hAnsi="標楷體" w:cs="Calibri"/>
                <w:sz w:val="20"/>
                <w:szCs w:val="20"/>
              </w:rPr>
              <w:t>□不符合給付規定之適應症。</w:t>
            </w:r>
          </w:p>
          <w:p w14:paraId="17A99138" w14:textId="77777777" w:rsidR="0097713B" w:rsidRPr="00AA0B1C" w:rsidRDefault="0097713B" w:rsidP="006D18A7">
            <w:pPr>
              <w:tabs>
                <w:tab w:val="left" w:pos="592"/>
              </w:tabs>
              <w:snapToGrid w:val="0"/>
              <w:spacing w:line="240" w:lineRule="exact"/>
              <w:ind w:left="309"/>
              <w:rPr>
                <w:rFonts w:ascii="標楷體" w:eastAsia="標楷體" w:hAnsi="標楷體"/>
              </w:rPr>
            </w:pPr>
            <w:r w:rsidRPr="00AA0B1C">
              <w:rPr>
                <w:rFonts w:ascii="標楷體" w:eastAsia="標楷體" w:hAnsi="標楷體" w:cs="Calibri"/>
                <w:sz w:val="20"/>
                <w:szCs w:val="20"/>
              </w:rPr>
              <w:t>□未有佐證資料，排除其他原因引起之貧血。</w:t>
            </w:r>
          </w:p>
          <w:p w14:paraId="5F34C50B" w14:textId="77777777" w:rsidR="0097713B" w:rsidRPr="00AA0B1C" w:rsidRDefault="0097713B" w:rsidP="006D18A7">
            <w:pPr>
              <w:snapToGrid w:val="0"/>
              <w:spacing w:line="240" w:lineRule="exact"/>
              <w:ind w:left="512" w:hanging="200"/>
              <w:rPr>
                <w:rFonts w:ascii="標楷體" w:eastAsia="標楷體" w:hAnsi="標楷體"/>
              </w:rPr>
            </w:pPr>
            <w:r w:rsidRPr="00AA0B1C">
              <w:rPr>
                <w:rFonts w:ascii="標楷體" w:eastAsia="標楷體" w:hAnsi="標楷體" w:cs="Calibri"/>
                <w:sz w:val="20"/>
                <w:szCs w:val="20"/>
              </w:rPr>
              <w:t>□</w:t>
            </w:r>
            <w:r w:rsidRPr="002F5647">
              <w:rPr>
                <w:rFonts w:ascii="標楷體" w:eastAsia="標楷體" w:hAnsi="標楷體" w:cs="Calibri"/>
                <w:sz w:val="20"/>
                <w:szCs w:val="20"/>
              </w:rPr>
              <w:t>治療計畫未</w:t>
            </w:r>
            <w:proofErr w:type="gramStart"/>
            <w:r w:rsidRPr="002F5647">
              <w:rPr>
                <w:rFonts w:ascii="標楷體" w:eastAsia="標楷體" w:hAnsi="標楷體" w:cs="Calibri"/>
                <w:sz w:val="20"/>
                <w:szCs w:val="20"/>
              </w:rPr>
              <w:t>註明</w:t>
            </w:r>
            <w:r w:rsidRPr="002F5647">
              <w:rPr>
                <w:rFonts w:ascii="標楷體" w:eastAsia="標楷體" w:hAnsi="標楷體" w:cs="Calibri" w:hint="eastAsia"/>
                <w:sz w:val="20"/>
                <w:szCs w:val="20"/>
              </w:rPr>
              <w:t>莢膜細菌</w:t>
            </w:r>
            <w:proofErr w:type="gramEnd"/>
            <w:r w:rsidRPr="002F5647">
              <w:rPr>
                <w:rFonts w:ascii="標楷體" w:eastAsia="標楷體" w:hAnsi="標楷體" w:cs="Calibri" w:hint="eastAsia"/>
                <w:sz w:val="20"/>
                <w:szCs w:val="20"/>
              </w:rPr>
              <w:t>相關</w:t>
            </w:r>
            <w:r w:rsidRPr="002F5647">
              <w:rPr>
                <w:rFonts w:ascii="標楷體" w:eastAsia="標楷體" w:hAnsi="標楷體" w:cs="Calibri"/>
                <w:sz w:val="20"/>
                <w:szCs w:val="20"/>
              </w:rPr>
              <w:t>疫苗</w:t>
            </w:r>
            <w:r w:rsidRPr="002F5647">
              <w:rPr>
                <w:rFonts w:ascii="標楷體" w:eastAsia="標楷體" w:hAnsi="標楷體" w:cs="Calibri" w:hint="eastAsia"/>
                <w:sz w:val="20"/>
                <w:szCs w:val="20"/>
              </w:rPr>
              <w:t>之</w:t>
            </w:r>
            <w:r w:rsidRPr="002F5647">
              <w:rPr>
                <w:rFonts w:ascii="標楷體" w:eastAsia="標楷體" w:hAnsi="標楷體" w:cs="Calibri"/>
                <w:sz w:val="20"/>
                <w:szCs w:val="20"/>
              </w:rPr>
              <w:t>施打計畫</w:t>
            </w:r>
            <w:r w:rsidRPr="00AA0B1C">
              <w:rPr>
                <w:rFonts w:ascii="標楷體" w:eastAsia="標楷體" w:hAnsi="標楷體" w:cs="Calibri"/>
                <w:sz w:val="20"/>
                <w:szCs w:val="20"/>
              </w:rPr>
              <w:t>。</w:t>
            </w:r>
          </w:p>
          <w:p w14:paraId="06781D94" w14:textId="77777777" w:rsidR="0097713B" w:rsidRPr="00AA0B1C" w:rsidRDefault="0097713B" w:rsidP="006D18A7">
            <w:pPr>
              <w:snapToGrid w:val="0"/>
              <w:spacing w:line="240" w:lineRule="exact"/>
              <w:ind w:left="512" w:hanging="200"/>
              <w:rPr>
                <w:rFonts w:ascii="標楷體" w:eastAsia="標楷體" w:hAnsi="標楷體" w:cs="Calibri"/>
                <w:sz w:val="20"/>
                <w:szCs w:val="20"/>
              </w:rPr>
            </w:pPr>
            <w:r w:rsidRPr="00AA0B1C">
              <w:rPr>
                <w:rFonts w:ascii="標楷體" w:eastAsia="標楷體" w:hAnsi="標楷體" w:cs="Calibri"/>
                <w:sz w:val="20"/>
                <w:szCs w:val="20"/>
              </w:rPr>
              <w:t>□未附治療計劃(預計使用上述藥物之劑量及預計使用次數)</w:t>
            </w:r>
          </w:p>
          <w:p w14:paraId="49135D6E" w14:textId="77777777" w:rsidR="0097713B" w:rsidRPr="00AA0B1C" w:rsidRDefault="0097713B" w:rsidP="006D18A7">
            <w:pPr>
              <w:snapToGrid w:val="0"/>
              <w:spacing w:line="240" w:lineRule="exact"/>
              <w:ind w:left="512" w:hanging="200"/>
              <w:rPr>
                <w:rFonts w:ascii="標楷體" w:eastAsia="標楷體" w:hAnsi="標楷體" w:cs="Calibri"/>
                <w:sz w:val="20"/>
                <w:szCs w:val="20"/>
              </w:rPr>
            </w:pPr>
            <w:r w:rsidRPr="00AA0B1C">
              <w:rPr>
                <w:rFonts w:ascii="標楷體" w:eastAsia="標楷體" w:hAnsi="標楷體" w:cs="Calibri"/>
                <w:sz w:val="20"/>
                <w:szCs w:val="20"/>
              </w:rPr>
              <w:t>□相關檢驗、檢查報告不全(如影像診斷報告或生化檢驗數據)</w:t>
            </w:r>
          </w:p>
          <w:p w14:paraId="06F41450" w14:textId="77777777" w:rsidR="0097713B" w:rsidRPr="00AA0B1C" w:rsidRDefault="0097713B" w:rsidP="006D18A7">
            <w:pPr>
              <w:snapToGrid w:val="0"/>
              <w:spacing w:line="240" w:lineRule="exact"/>
              <w:ind w:left="309"/>
              <w:rPr>
                <w:rFonts w:ascii="標楷體" w:eastAsia="標楷體" w:hAnsi="標楷體"/>
              </w:rPr>
            </w:pPr>
            <w:r w:rsidRPr="00AA0B1C">
              <w:rPr>
                <w:rFonts w:ascii="標楷體" w:eastAsia="標楷體" w:hAnsi="標楷體" w:cs="Calibri"/>
                <w:sz w:val="20"/>
                <w:szCs w:val="20"/>
              </w:rPr>
              <w:t>□</w:t>
            </w:r>
            <w:proofErr w:type="gramStart"/>
            <w:r w:rsidRPr="00AA0B1C">
              <w:rPr>
                <w:rFonts w:ascii="標楷體" w:eastAsia="標楷體" w:hAnsi="標楷體" w:cs="Calibri"/>
                <w:sz w:val="20"/>
                <w:szCs w:val="20"/>
              </w:rPr>
              <w:t>補附資料</w:t>
            </w:r>
            <w:proofErr w:type="gramEnd"/>
            <w:r w:rsidRPr="00AA0B1C">
              <w:rPr>
                <w:rFonts w:ascii="標楷體" w:eastAsia="標楷體" w:hAnsi="標楷體" w:cs="Calibri"/>
                <w:sz w:val="20"/>
                <w:szCs w:val="20"/>
              </w:rPr>
              <w:t>再審，請補充以下資料</w:t>
            </w:r>
          </w:p>
          <w:p w14:paraId="5CBC0240" w14:textId="77777777" w:rsidR="0097713B" w:rsidRPr="00AA0B1C" w:rsidRDefault="0097713B" w:rsidP="006D18A7">
            <w:pPr>
              <w:tabs>
                <w:tab w:val="left" w:pos="1017"/>
              </w:tabs>
              <w:snapToGrid w:val="0"/>
              <w:spacing w:line="240" w:lineRule="exact"/>
              <w:ind w:left="309"/>
              <w:rPr>
                <w:rFonts w:ascii="標楷體" w:eastAsia="標楷體" w:hAnsi="標楷體" w:cs="Calibri"/>
                <w:sz w:val="20"/>
                <w:szCs w:val="20"/>
              </w:rPr>
            </w:pPr>
            <w:r w:rsidRPr="00AA0B1C">
              <w:rPr>
                <w:rFonts w:ascii="標楷體" w:eastAsia="標楷體" w:hAnsi="標楷體" w:cs="Calibri"/>
                <w:sz w:val="20"/>
                <w:szCs w:val="20"/>
              </w:rPr>
              <w:t>□其他：</w:t>
            </w:r>
          </w:p>
        </w:tc>
        <w:tc>
          <w:tcPr>
            <w:tcW w:w="9" w:type="pct"/>
            <w:shd w:val="clear" w:color="auto" w:fill="auto"/>
            <w:tcMar>
              <w:top w:w="0" w:type="dxa"/>
              <w:left w:w="10" w:type="dxa"/>
              <w:bottom w:w="0" w:type="dxa"/>
              <w:right w:w="10" w:type="dxa"/>
            </w:tcMar>
          </w:tcPr>
          <w:p w14:paraId="33AF2C24" w14:textId="77777777" w:rsidR="0097713B" w:rsidRPr="00AA0B1C" w:rsidRDefault="0097713B" w:rsidP="006D18A7">
            <w:pPr>
              <w:tabs>
                <w:tab w:val="left" w:pos="240"/>
              </w:tabs>
              <w:snapToGrid w:val="0"/>
              <w:spacing w:line="240" w:lineRule="exact"/>
              <w:ind w:left="478" w:hanging="238"/>
              <w:rPr>
                <w:rFonts w:ascii="標楷體" w:eastAsia="標楷體" w:hAnsi="標楷體" w:cs="Calibri"/>
                <w:sz w:val="20"/>
                <w:szCs w:val="20"/>
              </w:rPr>
            </w:pPr>
          </w:p>
        </w:tc>
      </w:tr>
      <w:tr w:rsidR="0097713B" w:rsidRPr="00AA0B1C" w14:paraId="4FB80C07" w14:textId="77777777" w:rsidTr="005832B5">
        <w:trPr>
          <w:cantSplit/>
          <w:trHeight w:val="1285"/>
        </w:trPr>
        <w:tc>
          <w:tcPr>
            <w:tcW w:w="195"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302766" w14:textId="77777777" w:rsidR="0097713B" w:rsidRPr="00AA0B1C" w:rsidRDefault="0097713B" w:rsidP="006D18A7">
            <w:pPr>
              <w:snapToGrid w:val="0"/>
              <w:ind w:left="113" w:right="113"/>
              <w:rPr>
                <w:rFonts w:ascii="標楷體" w:eastAsia="標楷體" w:hAnsi="標楷體" w:cs="Calibri"/>
              </w:rPr>
            </w:pPr>
            <w:r w:rsidRPr="00AA0B1C">
              <w:rPr>
                <w:rFonts w:ascii="標楷體" w:eastAsia="標楷體" w:hAnsi="標楷體" w:cs="Calibri"/>
              </w:rPr>
              <w:t>注意事項</w:t>
            </w:r>
          </w:p>
          <w:p w14:paraId="78646DE3" w14:textId="77777777" w:rsidR="0097713B" w:rsidRPr="00AA0B1C" w:rsidRDefault="0097713B" w:rsidP="006D18A7">
            <w:pPr>
              <w:snapToGrid w:val="0"/>
              <w:spacing w:line="200" w:lineRule="exact"/>
              <w:ind w:left="324" w:right="113" w:hanging="211"/>
              <w:rPr>
                <w:rFonts w:ascii="標楷體" w:eastAsia="標楷體" w:hAnsi="標楷體" w:cs="Calibri"/>
                <w:sz w:val="20"/>
                <w:szCs w:val="20"/>
              </w:rPr>
            </w:pPr>
          </w:p>
        </w:tc>
        <w:tc>
          <w:tcPr>
            <w:tcW w:w="3180" w:type="pct"/>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D884A4"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1.本申請書限一人一案，由本保險特約</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事服務機構填報，</w:t>
            </w:r>
            <w:proofErr w:type="gramStart"/>
            <w:r w:rsidRPr="00AA0B1C">
              <w:rPr>
                <w:rFonts w:ascii="標楷體" w:eastAsia="標楷體" w:hAnsi="標楷體" w:cs="Calibri"/>
                <w:kern w:val="0"/>
                <w:sz w:val="20"/>
                <w:szCs w:val="20"/>
              </w:rPr>
              <w:t>併</w:t>
            </w:r>
            <w:proofErr w:type="gramEnd"/>
            <w:r w:rsidRPr="00AA0B1C">
              <w:rPr>
                <w:rFonts w:ascii="標楷體" w:eastAsia="標楷體" w:hAnsi="標楷體" w:cs="Calibri"/>
                <w:kern w:val="0"/>
                <w:sz w:val="20"/>
                <w:szCs w:val="20"/>
              </w:rPr>
              <w:t>附3份相關之病歷及佐證資料，</w:t>
            </w:r>
            <w:proofErr w:type="gramStart"/>
            <w:r w:rsidRPr="00AA0B1C">
              <w:rPr>
                <w:rFonts w:ascii="標楷體" w:eastAsia="標楷體" w:hAnsi="標楷體" w:cs="Calibri"/>
                <w:kern w:val="0"/>
                <w:sz w:val="20"/>
                <w:szCs w:val="20"/>
              </w:rPr>
              <w:t>不</w:t>
            </w:r>
            <w:proofErr w:type="gramEnd"/>
            <w:r w:rsidRPr="00AA0B1C">
              <w:rPr>
                <w:rFonts w:ascii="標楷體" w:eastAsia="標楷體" w:hAnsi="標楷體" w:cs="Calibri"/>
                <w:kern w:val="0"/>
                <w:sz w:val="20"/>
                <w:szCs w:val="20"/>
              </w:rPr>
              <w:t>必備文，請</w:t>
            </w:r>
            <w:proofErr w:type="gramStart"/>
            <w:r w:rsidRPr="00AA0B1C">
              <w:rPr>
                <w:rFonts w:ascii="標楷體" w:eastAsia="標楷體" w:hAnsi="標楷體" w:cs="Calibri"/>
                <w:kern w:val="0"/>
                <w:sz w:val="20"/>
                <w:szCs w:val="20"/>
              </w:rPr>
              <w:t>逕</w:t>
            </w:r>
            <w:proofErr w:type="gramEnd"/>
            <w:r w:rsidRPr="00AA0B1C">
              <w:rPr>
                <w:rFonts w:ascii="標楷體" w:eastAsia="標楷體" w:hAnsi="標楷體" w:cs="Calibri"/>
                <w:kern w:val="0"/>
                <w:sz w:val="20"/>
                <w:szCs w:val="20"/>
              </w:rPr>
              <w:t>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w:t>
            </w:r>
          </w:p>
          <w:p w14:paraId="7065660F"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2.本案藥品續用之申請，請於</w:t>
            </w:r>
            <w:proofErr w:type="gramStart"/>
            <w:r w:rsidRPr="00AA0B1C">
              <w:rPr>
                <w:rFonts w:ascii="標楷體" w:eastAsia="標楷體" w:hAnsi="標楷體" w:cs="Calibri"/>
                <w:kern w:val="0"/>
                <w:sz w:val="20"/>
                <w:szCs w:val="20"/>
              </w:rPr>
              <w:t>前次准用</w:t>
            </w:r>
            <w:proofErr w:type="gramEnd"/>
            <w:r w:rsidRPr="00AA0B1C">
              <w:rPr>
                <w:rFonts w:ascii="標楷體" w:eastAsia="標楷體" w:hAnsi="標楷體" w:cs="Calibri"/>
                <w:kern w:val="0"/>
                <w:sz w:val="20"/>
                <w:szCs w:val="20"/>
              </w:rPr>
              <w:t>期限一個月前，向保險人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北業務組申請審核，以免斷藥。</w:t>
            </w:r>
          </w:p>
          <w:p w14:paraId="7D094F85"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3.使用本項藥品前必須施打流行性腦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，申請使用之治療計畫書必須含流行性腦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施打計畫，申請續用時，請檢附最近一次流行性腦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施打之資料供參。</w:t>
            </w:r>
          </w:p>
          <w:p w14:paraId="693CAE1B"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4.原受理編號」申復時填寫，初次送核不須填寫。</w:t>
            </w:r>
          </w:p>
          <w:p w14:paraId="57F02756" w14:textId="77777777" w:rsidR="0097713B" w:rsidRPr="00AA0B1C" w:rsidRDefault="0097713B" w:rsidP="006D18A7">
            <w:pPr>
              <w:snapToGrid w:val="0"/>
              <w:spacing w:line="200" w:lineRule="exact"/>
              <w:ind w:left="206" w:hanging="206"/>
              <w:rPr>
                <w:rFonts w:ascii="標楷體" w:eastAsia="標楷體" w:hAnsi="標楷體"/>
              </w:rPr>
            </w:pPr>
            <w:r w:rsidRPr="00AA0B1C">
              <w:rPr>
                <w:rFonts w:ascii="標楷體" w:eastAsia="標楷體" w:hAnsi="標楷體" w:cs="Calibri"/>
                <w:kern w:val="0"/>
                <w:sz w:val="20"/>
                <w:szCs w:val="20"/>
              </w:rPr>
              <w:t>5.本案藥品之審查歸屬專家小組特殊專案審查，不適用本標準第64條及第65條之規定。</w:t>
            </w:r>
          </w:p>
          <w:p w14:paraId="3321ECCE"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6.應專案審查之項目，未依規定專案審查申請核准者，不予給付費用；專案審查申請核准之個案，日後如經審定保險對象或</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事服務機構有不符全民健康保險給付規定者，亦不予給付費用。</w:t>
            </w:r>
          </w:p>
          <w:p w14:paraId="37865727"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7.對核定結果如有異議，得於收到核定通知之日起六十日內，重行填寫乙份申請書(應勾</w:t>
            </w:r>
            <w:proofErr w:type="gramStart"/>
            <w:r w:rsidRPr="00AA0B1C">
              <w:rPr>
                <w:rFonts w:ascii="標楷體" w:eastAsia="標楷體" w:hAnsi="標楷體" w:cs="Calibri"/>
                <w:kern w:val="0"/>
                <w:sz w:val="20"/>
                <w:szCs w:val="20"/>
              </w:rPr>
              <w:t>註</w:t>
            </w:r>
            <w:proofErr w:type="gramEnd"/>
            <w:r w:rsidRPr="00AA0B1C">
              <w:rPr>
                <w:rFonts w:ascii="標楷體" w:eastAsia="標楷體" w:hAnsi="標楷體" w:cs="Calibri"/>
                <w:kern w:val="0"/>
                <w:sz w:val="20"/>
                <w:szCs w:val="20"/>
              </w:rPr>
              <w:t>申復，</w:t>
            </w:r>
            <w:proofErr w:type="gramStart"/>
            <w:r w:rsidRPr="00AA0B1C">
              <w:rPr>
                <w:rFonts w:ascii="標楷體" w:eastAsia="標楷體" w:hAnsi="標楷體" w:cs="Calibri"/>
                <w:kern w:val="0"/>
                <w:sz w:val="20"/>
                <w:szCs w:val="20"/>
              </w:rPr>
              <w:t>並填明原</w:t>
            </w:r>
            <w:proofErr w:type="gramEnd"/>
            <w:r w:rsidRPr="00AA0B1C">
              <w:rPr>
                <w:rFonts w:ascii="標楷體" w:eastAsia="標楷體" w:hAnsi="標楷體" w:cs="Calibri"/>
                <w:kern w:val="0"/>
                <w:sz w:val="20"/>
                <w:szCs w:val="20"/>
              </w:rPr>
              <w:t>受理編號)向原核定單位申請複核。</w:t>
            </w:r>
          </w:p>
          <w:p w14:paraId="37CA557A"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8.對複核結果如有異議，得於收到複核通知之日起六十日內向全民健康保險爭議審議會申請審議。</w:t>
            </w:r>
          </w:p>
          <w:p w14:paraId="683DE8C8" w14:textId="77777777" w:rsidR="0097713B" w:rsidRPr="00AA0B1C" w:rsidRDefault="0097713B" w:rsidP="006D18A7">
            <w:pPr>
              <w:snapToGrid w:val="0"/>
              <w:spacing w:line="200" w:lineRule="exact"/>
              <w:ind w:left="206" w:hanging="206"/>
              <w:rPr>
                <w:rFonts w:ascii="標楷體" w:eastAsia="標楷體" w:hAnsi="標楷體"/>
              </w:rPr>
            </w:pPr>
            <w:r w:rsidRPr="00AA0B1C">
              <w:rPr>
                <w:rFonts w:ascii="標楷體" w:eastAsia="標楷體" w:hAnsi="標楷體" w:cs="Calibri"/>
                <w:kern w:val="0"/>
                <w:sz w:val="20"/>
                <w:szCs w:val="20"/>
              </w:rPr>
              <w:t>9.對核定結果有異議者，應循上述申</w:t>
            </w:r>
            <w:proofErr w:type="gramStart"/>
            <w:r w:rsidRPr="00AA0B1C">
              <w:rPr>
                <w:rFonts w:ascii="標楷體" w:eastAsia="標楷體" w:hAnsi="標楷體" w:cs="Calibri"/>
                <w:kern w:val="0"/>
                <w:sz w:val="20"/>
                <w:szCs w:val="20"/>
              </w:rPr>
              <w:t>複</w:t>
            </w:r>
            <w:proofErr w:type="gramEnd"/>
            <w:r w:rsidRPr="00AA0B1C">
              <w:rPr>
                <w:rFonts w:ascii="標楷體" w:eastAsia="標楷體" w:hAnsi="標楷體" w:cs="Calibri"/>
                <w:kern w:val="0"/>
                <w:sz w:val="20"/>
                <w:szCs w:val="20"/>
              </w:rPr>
              <w:t>及爭議審議途徑申請複核或審議，不得以新個案重新申請送核，否則不予受理。</w:t>
            </w:r>
          </w:p>
        </w:tc>
        <w:tc>
          <w:tcPr>
            <w:tcW w:w="1617" w:type="pct"/>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A183B17" w14:textId="77777777" w:rsidR="0097713B" w:rsidRPr="00AA0B1C" w:rsidRDefault="0097713B" w:rsidP="006D18A7">
            <w:pPr>
              <w:snapToGrid w:val="0"/>
              <w:spacing w:line="200" w:lineRule="exact"/>
              <w:rPr>
                <w:rFonts w:ascii="標楷體" w:eastAsia="標楷體" w:hAnsi="標楷體" w:cs="Calibri"/>
                <w:sz w:val="20"/>
                <w:szCs w:val="20"/>
              </w:rPr>
            </w:pPr>
          </w:p>
        </w:tc>
        <w:tc>
          <w:tcPr>
            <w:tcW w:w="9" w:type="pct"/>
            <w:shd w:val="clear" w:color="auto" w:fill="auto"/>
            <w:tcMar>
              <w:top w:w="0" w:type="dxa"/>
              <w:left w:w="10" w:type="dxa"/>
              <w:bottom w:w="0" w:type="dxa"/>
              <w:right w:w="10" w:type="dxa"/>
            </w:tcMar>
          </w:tcPr>
          <w:p w14:paraId="7E9FB38C" w14:textId="77777777" w:rsidR="0097713B" w:rsidRPr="00AA0B1C" w:rsidRDefault="0097713B" w:rsidP="006D18A7">
            <w:pPr>
              <w:snapToGrid w:val="0"/>
              <w:spacing w:line="200" w:lineRule="exact"/>
              <w:rPr>
                <w:rFonts w:ascii="標楷體" w:eastAsia="標楷體" w:hAnsi="標楷體" w:cs="Calibri"/>
                <w:sz w:val="20"/>
                <w:szCs w:val="20"/>
              </w:rPr>
            </w:pPr>
          </w:p>
        </w:tc>
      </w:tr>
      <w:tr w:rsidR="0097713B" w:rsidRPr="00AA0B1C" w14:paraId="471C6FB2" w14:textId="77777777" w:rsidTr="005832B5">
        <w:trPr>
          <w:cantSplit/>
          <w:trHeight w:val="1368"/>
        </w:trPr>
        <w:tc>
          <w:tcPr>
            <w:tcW w:w="195"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B24048" w14:textId="77777777" w:rsidR="0097713B" w:rsidRPr="00AA0B1C" w:rsidRDefault="0097713B" w:rsidP="006D18A7">
            <w:pPr>
              <w:snapToGrid w:val="0"/>
              <w:ind w:left="211" w:hanging="211"/>
              <w:rPr>
                <w:rFonts w:ascii="標楷體" w:eastAsia="標楷體" w:hAnsi="標楷體" w:cs="Calibri"/>
              </w:rPr>
            </w:pPr>
          </w:p>
        </w:tc>
        <w:tc>
          <w:tcPr>
            <w:tcW w:w="3180" w:type="pct"/>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58FEE4" w14:textId="77777777" w:rsidR="0097713B" w:rsidRPr="00AA0B1C" w:rsidRDefault="0097713B" w:rsidP="006D18A7">
            <w:pPr>
              <w:snapToGrid w:val="0"/>
              <w:ind w:left="211" w:hanging="211"/>
              <w:rPr>
                <w:rFonts w:ascii="標楷體" w:eastAsia="標楷體" w:hAnsi="標楷體" w:cs="Calibri"/>
              </w:rPr>
            </w:pPr>
          </w:p>
        </w:tc>
        <w:tc>
          <w:tcPr>
            <w:tcW w:w="1294" w:type="pct"/>
            <w:gridSpan w:val="11"/>
            <w:tcBorders>
              <w:left w:val="single" w:sz="4" w:space="0" w:color="000000"/>
              <w:bottom w:val="single" w:sz="4" w:space="0" w:color="000000"/>
            </w:tcBorders>
            <w:shd w:val="clear" w:color="auto" w:fill="auto"/>
            <w:tcMar>
              <w:top w:w="0" w:type="dxa"/>
              <w:left w:w="28" w:type="dxa"/>
              <w:bottom w:w="0" w:type="dxa"/>
              <w:right w:w="28" w:type="dxa"/>
            </w:tcMar>
          </w:tcPr>
          <w:p w14:paraId="503770E1" w14:textId="77777777" w:rsidR="0097713B" w:rsidRPr="00AA0B1C" w:rsidRDefault="0097713B" w:rsidP="006D18A7">
            <w:pPr>
              <w:snapToGrid w:val="0"/>
              <w:jc w:val="both"/>
              <w:rPr>
                <w:rFonts w:ascii="標楷體" w:eastAsia="標楷體" w:hAnsi="標楷體" w:cs="Calibri"/>
              </w:rPr>
            </w:pPr>
          </w:p>
          <w:p w14:paraId="79F251E9" w14:textId="77777777" w:rsidR="0097713B" w:rsidRPr="00AA0B1C" w:rsidRDefault="0097713B" w:rsidP="006D18A7">
            <w:pPr>
              <w:snapToGrid w:val="0"/>
              <w:jc w:val="both"/>
              <w:rPr>
                <w:rFonts w:ascii="標楷體" w:eastAsia="標楷體" w:hAnsi="標楷體"/>
              </w:rPr>
            </w:pPr>
            <w:r w:rsidRPr="00AA0B1C">
              <w:rPr>
                <w:rFonts w:ascii="標楷體" w:eastAsia="標楷體" w:hAnsi="標楷體" w:cs="Calibri"/>
                <w:sz w:val="20"/>
                <w:szCs w:val="20"/>
              </w:rPr>
              <w:t>保險人日期章戳</w:t>
            </w:r>
          </w:p>
        </w:tc>
        <w:tc>
          <w:tcPr>
            <w:tcW w:w="323" w:type="pct"/>
            <w:tcBorders>
              <w:bottom w:val="single" w:sz="4" w:space="0" w:color="000000"/>
              <w:right w:val="single" w:sz="4" w:space="0" w:color="000000"/>
            </w:tcBorders>
            <w:shd w:val="clear" w:color="auto" w:fill="auto"/>
            <w:tcMar>
              <w:top w:w="0" w:type="dxa"/>
              <w:left w:w="28" w:type="dxa"/>
              <w:bottom w:w="0" w:type="dxa"/>
              <w:right w:w="28" w:type="dxa"/>
            </w:tcMar>
          </w:tcPr>
          <w:p w14:paraId="603D403E" w14:textId="77777777" w:rsidR="0097713B" w:rsidRPr="00AA0B1C" w:rsidRDefault="0097713B" w:rsidP="006D18A7">
            <w:pPr>
              <w:snapToGrid w:val="0"/>
              <w:rPr>
                <w:rFonts w:ascii="標楷體" w:eastAsia="標楷體" w:hAnsi="標楷體" w:cs="Calibri"/>
              </w:rPr>
            </w:pPr>
          </w:p>
        </w:tc>
        <w:tc>
          <w:tcPr>
            <w:tcW w:w="9" w:type="pct"/>
            <w:shd w:val="clear" w:color="auto" w:fill="auto"/>
            <w:tcMar>
              <w:top w:w="0" w:type="dxa"/>
              <w:left w:w="10" w:type="dxa"/>
              <w:bottom w:w="0" w:type="dxa"/>
              <w:right w:w="10" w:type="dxa"/>
            </w:tcMar>
          </w:tcPr>
          <w:p w14:paraId="28D67A3E" w14:textId="77777777" w:rsidR="0097713B" w:rsidRPr="00AA0B1C" w:rsidRDefault="0097713B" w:rsidP="006D18A7">
            <w:pPr>
              <w:snapToGrid w:val="0"/>
              <w:rPr>
                <w:rFonts w:ascii="標楷體" w:eastAsia="標楷體" w:hAnsi="標楷體" w:cs="Calibri"/>
              </w:rPr>
            </w:pPr>
          </w:p>
        </w:tc>
      </w:tr>
      <w:tr w:rsidR="0097713B" w:rsidRPr="00AA0B1C" w14:paraId="47CBB64F" w14:textId="77777777" w:rsidTr="00463E8D">
        <w:trPr>
          <w:cantSplit/>
          <w:trHeight w:val="730"/>
        </w:trPr>
        <w:tc>
          <w:tcPr>
            <w:tcW w:w="384"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F5CAF8" w14:textId="77777777" w:rsidR="0097713B" w:rsidRPr="00AA0B1C" w:rsidRDefault="0097713B" w:rsidP="006D18A7">
            <w:pPr>
              <w:snapToGrid w:val="0"/>
              <w:spacing w:line="240" w:lineRule="exact"/>
              <w:rPr>
                <w:rFonts w:ascii="標楷體" w:eastAsia="標楷體" w:hAnsi="標楷體" w:cs="Calibri"/>
              </w:rPr>
            </w:pPr>
          </w:p>
          <w:p w14:paraId="7878549F" w14:textId="77777777" w:rsidR="0097713B" w:rsidRPr="00AA0B1C" w:rsidRDefault="0097713B" w:rsidP="006D18A7">
            <w:pPr>
              <w:snapToGrid w:val="0"/>
              <w:spacing w:line="240" w:lineRule="exact"/>
              <w:rPr>
                <w:rFonts w:ascii="標楷體" w:eastAsia="標楷體" w:hAnsi="標楷體" w:cs="Calibri"/>
              </w:rPr>
            </w:pPr>
            <w:proofErr w:type="gramStart"/>
            <w:r w:rsidRPr="00AA0B1C">
              <w:rPr>
                <w:rFonts w:ascii="標楷體" w:eastAsia="標楷體" w:hAnsi="標楷體" w:cs="Calibri"/>
              </w:rPr>
              <w:t>醫</w:t>
            </w:r>
            <w:proofErr w:type="gramEnd"/>
            <w:r w:rsidRPr="00AA0B1C">
              <w:rPr>
                <w:rFonts w:ascii="標楷體" w:eastAsia="標楷體" w:hAnsi="標楷體" w:cs="Calibri"/>
              </w:rPr>
              <w:t>事服務機構</w:t>
            </w:r>
          </w:p>
        </w:tc>
        <w:tc>
          <w:tcPr>
            <w:tcW w:w="2991" w:type="pct"/>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53515F" w14:textId="5844701A" w:rsidR="0097713B" w:rsidRPr="00AA0B1C" w:rsidRDefault="0097713B" w:rsidP="006D18A7">
            <w:pPr>
              <w:snapToGrid w:val="0"/>
              <w:spacing w:line="240" w:lineRule="exact"/>
              <w:rPr>
                <w:rFonts w:ascii="標楷體" w:eastAsia="標楷體" w:hAnsi="標楷體" w:cs="Calibri"/>
              </w:rPr>
            </w:pPr>
            <w:r w:rsidRPr="00AA0B1C">
              <w:rPr>
                <w:rFonts w:ascii="標楷體" w:eastAsia="標楷體" w:hAnsi="標楷體" w:cs="Calibri"/>
              </w:rPr>
              <w:t>醫院申請日期：</w:t>
            </w:r>
            <w:r w:rsidR="00F22F50">
              <w:rPr>
                <w:rFonts w:ascii="標楷體" w:eastAsia="標楷體" w:hAnsi="標楷體" w:cs="Calibri" w:hint="eastAsia"/>
              </w:rPr>
              <w:t xml:space="preserve">  </w:t>
            </w:r>
            <w:r w:rsidRPr="00AA0B1C">
              <w:rPr>
                <w:rFonts w:ascii="標楷體" w:eastAsia="標楷體" w:hAnsi="標楷體" w:cs="Calibri"/>
              </w:rPr>
              <w:t>年</w:t>
            </w:r>
            <w:r w:rsidR="00F22F50">
              <w:rPr>
                <w:rFonts w:ascii="標楷體" w:eastAsia="標楷體" w:hAnsi="標楷體" w:cs="Calibri" w:hint="eastAsia"/>
              </w:rPr>
              <w:t xml:space="preserve">  </w:t>
            </w:r>
            <w:r w:rsidRPr="00AA0B1C">
              <w:rPr>
                <w:rFonts w:ascii="標楷體" w:eastAsia="標楷體" w:hAnsi="標楷體" w:cs="Calibri"/>
              </w:rPr>
              <w:t>月</w:t>
            </w:r>
            <w:r w:rsidR="00F22F50">
              <w:rPr>
                <w:rFonts w:ascii="標楷體" w:eastAsia="標楷體" w:hAnsi="標楷體" w:cs="Calibri" w:hint="eastAsia"/>
              </w:rPr>
              <w:t xml:space="preserve">  </w:t>
            </w:r>
            <w:r w:rsidRPr="00AA0B1C">
              <w:rPr>
                <w:rFonts w:ascii="標楷體" w:eastAsia="標楷體" w:hAnsi="標楷體" w:cs="Calibri"/>
              </w:rPr>
              <w:t>日</w:t>
            </w:r>
          </w:p>
          <w:p w14:paraId="06657BDD" w14:textId="77777777" w:rsidR="0097713B" w:rsidRPr="00AA0B1C" w:rsidRDefault="0097713B" w:rsidP="006D18A7">
            <w:pPr>
              <w:snapToGrid w:val="0"/>
              <w:spacing w:line="240" w:lineRule="exact"/>
              <w:rPr>
                <w:rFonts w:ascii="標楷體" w:eastAsia="標楷體" w:hAnsi="標楷體" w:cs="Calibri"/>
              </w:rPr>
            </w:pPr>
          </w:p>
          <w:p w14:paraId="7E4D724C" w14:textId="77777777" w:rsidR="0097713B" w:rsidRPr="00AA0B1C" w:rsidRDefault="0097713B" w:rsidP="006D18A7">
            <w:pPr>
              <w:snapToGrid w:val="0"/>
              <w:spacing w:line="240" w:lineRule="exact"/>
              <w:rPr>
                <w:rFonts w:ascii="標楷體" w:eastAsia="標楷體" w:hAnsi="標楷體" w:cs="Calibri"/>
              </w:rPr>
            </w:pPr>
            <w:r w:rsidRPr="00AA0B1C">
              <w:rPr>
                <w:rFonts w:ascii="標楷體" w:eastAsia="標楷體" w:hAnsi="標楷體" w:cs="Calibri"/>
              </w:rPr>
              <w:t>印信</w:t>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t>文號：</w:t>
            </w:r>
          </w:p>
        </w:tc>
        <w:tc>
          <w:tcPr>
            <w:tcW w:w="117" w:type="pc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26C378" w14:textId="77777777" w:rsidR="0097713B" w:rsidRPr="00AA0B1C" w:rsidRDefault="0097713B" w:rsidP="006D18A7">
            <w:pPr>
              <w:widowControl/>
              <w:snapToGrid w:val="0"/>
              <w:spacing w:line="240" w:lineRule="exact"/>
              <w:rPr>
                <w:rFonts w:ascii="標楷體" w:eastAsia="標楷體" w:hAnsi="標楷體" w:cs="Calibri"/>
              </w:rPr>
            </w:pPr>
            <w:r w:rsidRPr="00AA0B1C">
              <w:rPr>
                <w:rFonts w:ascii="標楷體" w:eastAsia="標楷體" w:hAnsi="標楷體" w:cs="Calibri"/>
              </w:rPr>
              <w:t>承辦人</w:t>
            </w:r>
          </w:p>
        </w:tc>
        <w:tc>
          <w:tcPr>
            <w:tcW w:w="276"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25C827" w14:textId="77777777" w:rsidR="0097713B" w:rsidRPr="00AA0B1C" w:rsidRDefault="0097713B" w:rsidP="006D18A7">
            <w:pPr>
              <w:widowControl/>
              <w:snapToGrid w:val="0"/>
              <w:rPr>
                <w:rFonts w:ascii="標楷體" w:eastAsia="標楷體" w:hAnsi="標楷體" w:cs="Calibri"/>
              </w:rPr>
            </w:pPr>
          </w:p>
          <w:p w14:paraId="227C8039" w14:textId="77777777" w:rsidR="0097713B" w:rsidRPr="00AA0B1C" w:rsidRDefault="0097713B" w:rsidP="006D18A7">
            <w:pPr>
              <w:snapToGrid w:val="0"/>
              <w:spacing w:line="240" w:lineRule="exact"/>
              <w:rPr>
                <w:rFonts w:ascii="標楷體" w:eastAsia="標楷體" w:hAnsi="標楷體" w:cs="Calibri"/>
              </w:rPr>
            </w:pPr>
          </w:p>
        </w:tc>
        <w:tc>
          <w:tcPr>
            <w:tcW w:w="120" w:type="pc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4FCE85" w14:textId="77777777" w:rsidR="0097713B" w:rsidRPr="00AA0B1C" w:rsidRDefault="0097713B" w:rsidP="006D18A7">
            <w:pPr>
              <w:widowControl/>
              <w:snapToGrid w:val="0"/>
              <w:spacing w:line="240" w:lineRule="exact"/>
              <w:rPr>
                <w:rFonts w:ascii="標楷體" w:eastAsia="標楷體" w:hAnsi="標楷體" w:cs="Calibri"/>
              </w:rPr>
            </w:pPr>
            <w:r w:rsidRPr="00AA0B1C">
              <w:rPr>
                <w:rFonts w:ascii="標楷體" w:eastAsia="標楷體" w:hAnsi="標楷體" w:cs="Calibri"/>
              </w:rPr>
              <w:t>複核</w:t>
            </w:r>
          </w:p>
          <w:p w14:paraId="19B2868E" w14:textId="77777777" w:rsidR="0097713B" w:rsidRPr="00AA0B1C" w:rsidRDefault="0097713B" w:rsidP="006D18A7">
            <w:pPr>
              <w:widowControl/>
              <w:snapToGrid w:val="0"/>
              <w:rPr>
                <w:rFonts w:ascii="標楷體" w:eastAsia="標楷體" w:hAnsi="標楷體" w:cs="Calibri"/>
              </w:rPr>
            </w:pPr>
          </w:p>
        </w:tc>
        <w:tc>
          <w:tcPr>
            <w:tcW w:w="277"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E0BEF0" w14:textId="77777777" w:rsidR="0097713B" w:rsidRPr="00AA0B1C" w:rsidRDefault="0097713B" w:rsidP="006D18A7">
            <w:pPr>
              <w:widowControl/>
              <w:snapToGrid w:val="0"/>
              <w:rPr>
                <w:rFonts w:ascii="標楷體" w:eastAsia="標楷體" w:hAnsi="標楷體" w:cs="Calibri"/>
              </w:rPr>
            </w:pPr>
          </w:p>
          <w:p w14:paraId="7909F6B8" w14:textId="77777777" w:rsidR="0097713B" w:rsidRPr="00AA0B1C" w:rsidRDefault="0097713B" w:rsidP="006D18A7">
            <w:pPr>
              <w:snapToGrid w:val="0"/>
              <w:spacing w:line="240" w:lineRule="exact"/>
              <w:rPr>
                <w:rFonts w:ascii="標楷體" w:eastAsia="標楷體" w:hAnsi="標楷體" w:cs="Calibri"/>
              </w:rPr>
            </w:pPr>
          </w:p>
        </w:tc>
        <w:tc>
          <w:tcPr>
            <w:tcW w:w="111"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4AE2AA" w14:textId="77777777" w:rsidR="0097713B" w:rsidRPr="00AA0B1C" w:rsidRDefault="0097713B" w:rsidP="006D18A7">
            <w:pPr>
              <w:snapToGrid w:val="0"/>
              <w:spacing w:line="240" w:lineRule="exact"/>
              <w:rPr>
                <w:rFonts w:ascii="標楷體" w:eastAsia="標楷體" w:hAnsi="標楷體" w:cs="Calibri"/>
              </w:rPr>
            </w:pPr>
            <w:r w:rsidRPr="00AA0B1C">
              <w:rPr>
                <w:rFonts w:ascii="標楷體" w:eastAsia="標楷體" w:hAnsi="標楷體" w:cs="Calibri"/>
              </w:rPr>
              <w:t>科長</w:t>
            </w:r>
          </w:p>
        </w:tc>
        <w:tc>
          <w:tcPr>
            <w:tcW w:w="277"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E643EF" w14:textId="77777777" w:rsidR="0097713B" w:rsidRPr="00AA0B1C" w:rsidRDefault="0097713B" w:rsidP="006D18A7">
            <w:pPr>
              <w:widowControl/>
              <w:snapToGrid w:val="0"/>
              <w:rPr>
                <w:rFonts w:ascii="標楷體" w:eastAsia="標楷體" w:hAnsi="標楷體" w:cs="Calibri"/>
              </w:rPr>
            </w:pPr>
          </w:p>
          <w:p w14:paraId="41C92029" w14:textId="77777777" w:rsidR="0097713B" w:rsidRPr="00AA0B1C" w:rsidRDefault="0097713B" w:rsidP="006D18A7">
            <w:pPr>
              <w:snapToGrid w:val="0"/>
              <w:spacing w:line="240" w:lineRule="exact"/>
              <w:rPr>
                <w:rFonts w:ascii="標楷體" w:eastAsia="標楷體" w:hAnsi="標楷體" w:cs="Calibri"/>
              </w:rPr>
            </w:pPr>
          </w:p>
        </w:tc>
        <w:tc>
          <w:tcPr>
            <w:tcW w:w="116" w:type="pc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E393CB" w14:textId="77777777" w:rsidR="0097713B" w:rsidRPr="00AA0B1C" w:rsidRDefault="0097713B" w:rsidP="006D18A7">
            <w:pPr>
              <w:widowControl/>
              <w:snapToGrid w:val="0"/>
              <w:spacing w:line="240" w:lineRule="exact"/>
              <w:rPr>
                <w:rFonts w:ascii="標楷體" w:eastAsia="標楷體" w:hAnsi="標楷體" w:cs="Calibri"/>
              </w:rPr>
            </w:pPr>
            <w:r w:rsidRPr="00AA0B1C">
              <w:rPr>
                <w:rFonts w:ascii="標楷體" w:eastAsia="標楷體" w:hAnsi="標楷體" w:cs="Calibri"/>
              </w:rPr>
              <w:t>決行</w:t>
            </w:r>
          </w:p>
          <w:p w14:paraId="44A9B6DA" w14:textId="77777777" w:rsidR="0097713B" w:rsidRPr="00AA0B1C" w:rsidRDefault="0097713B" w:rsidP="006D18A7">
            <w:pPr>
              <w:widowControl/>
              <w:snapToGrid w:val="0"/>
              <w:rPr>
                <w:rFonts w:ascii="標楷體" w:eastAsia="標楷體" w:hAnsi="標楷體" w:cs="Calibri"/>
              </w:rPr>
            </w:pPr>
          </w:p>
        </w:tc>
        <w:tc>
          <w:tcPr>
            <w:tcW w:w="332"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D89672" w14:textId="77777777" w:rsidR="0097713B" w:rsidRPr="00AA0B1C" w:rsidRDefault="0097713B" w:rsidP="006D18A7">
            <w:pPr>
              <w:widowControl/>
              <w:snapToGrid w:val="0"/>
              <w:rPr>
                <w:rFonts w:ascii="標楷體" w:eastAsia="標楷體" w:hAnsi="標楷體" w:cs="Calibri"/>
              </w:rPr>
            </w:pPr>
          </w:p>
          <w:p w14:paraId="391077AB" w14:textId="77777777" w:rsidR="0097713B" w:rsidRPr="00AA0B1C" w:rsidRDefault="0097713B" w:rsidP="006D18A7">
            <w:pPr>
              <w:snapToGrid w:val="0"/>
              <w:spacing w:line="240" w:lineRule="exact"/>
              <w:rPr>
                <w:rFonts w:ascii="標楷體" w:eastAsia="標楷體" w:hAnsi="標楷體" w:cs="Calibri"/>
              </w:rPr>
            </w:pPr>
          </w:p>
        </w:tc>
      </w:tr>
    </w:tbl>
    <w:p w14:paraId="6D1DD0B5" w14:textId="77777777" w:rsidR="00463E8D" w:rsidRDefault="00463E8D" w:rsidP="000E757E">
      <w:pPr>
        <w:snapToGrid w:val="0"/>
        <w:spacing w:line="240" w:lineRule="atLeast"/>
        <w:rPr>
          <w:rFonts w:ascii="標楷體" w:eastAsia="標楷體" w:hAnsi="標楷體"/>
        </w:rPr>
        <w:sectPr w:rsidR="00463E8D" w:rsidSect="00463E8D">
          <w:pgSz w:w="16838" w:h="11906" w:orient="landscape"/>
          <w:pgMar w:top="1077" w:right="1077" w:bottom="1077" w:left="1077" w:header="720" w:footer="720" w:gutter="0"/>
          <w:cols w:space="720"/>
          <w:docGrid w:type="linesAndChars" w:linePitch="810"/>
        </w:sectPr>
      </w:pPr>
    </w:p>
    <w:p w14:paraId="2BDCB20E" w14:textId="4130C4EF" w:rsidR="0097713B" w:rsidRPr="005C51CB" w:rsidRDefault="0097713B" w:rsidP="00C44BBD">
      <w:pPr>
        <w:widowControl/>
        <w:suppressAutoHyphens w:val="0"/>
        <w:spacing w:line="300" w:lineRule="exact"/>
        <w:jc w:val="center"/>
        <w:rPr>
          <w:rFonts w:ascii="標楷體" w:eastAsia="標楷體" w:hAnsi="標楷體"/>
          <w:b/>
          <w:bCs/>
        </w:rPr>
      </w:pPr>
      <w:r w:rsidRPr="005C51CB">
        <w:rPr>
          <w:rFonts w:ascii="標楷體" w:eastAsia="標楷體" w:hAnsi="標楷體"/>
          <w:b/>
          <w:bCs/>
        </w:rPr>
        <w:lastRenderedPageBreak/>
        <w:t>附表三十之</w:t>
      </w:r>
      <w:r w:rsidRPr="005C51CB">
        <w:rPr>
          <w:rFonts w:ascii="標楷體" w:eastAsia="標楷體" w:hAnsi="標楷體" w:hint="eastAsia"/>
          <w:b/>
          <w:bCs/>
        </w:rPr>
        <w:t>四</w:t>
      </w:r>
      <w:r w:rsidR="00190A34">
        <w:rPr>
          <w:rFonts w:ascii="標楷體" w:eastAsia="標楷體" w:hAnsi="標楷體" w:hint="eastAsia"/>
          <w:b/>
          <w:bCs/>
        </w:rPr>
        <w:t xml:space="preserve"> </w:t>
      </w:r>
      <w:r w:rsidR="001B5BB0" w:rsidRPr="001B5BB0">
        <w:rPr>
          <w:rFonts w:ascii="標楷體" w:eastAsia="標楷體" w:hAnsi="標楷體" w:hint="eastAsia"/>
          <w:b/>
          <w:bCs/>
        </w:rPr>
        <w:t>陣發性夜間血紅素尿症患者第二線治療藥品特殊專案審查申請</w:t>
      </w:r>
      <w:proofErr w:type="spellStart"/>
      <w:r w:rsidR="001B5BB0" w:rsidRPr="001B5BB0">
        <w:rPr>
          <w:rFonts w:ascii="標楷體" w:eastAsia="標楷體" w:hAnsi="標楷體" w:hint="eastAsia"/>
          <w:b/>
          <w:bCs/>
        </w:rPr>
        <w:t>Voydeya</w:t>
      </w:r>
      <w:proofErr w:type="spellEnd"/>
      <w:r w:rsidR="001B5BB0" w:rsidRPr="001B5BB0">
        <w:rPr>
          <w:rFonts w:ascii="標楷體" w:eastAsia="標楷體" w:hAnsi="標楷體" w:hint="eastAsia"/>
          <w:b/>
          <w:bCs/>
        </w:rPr>
        <w:t>(</w:t>
      </w:r>
      <w:proofErr w:type="spellStart"/>
      <w:r w:rsidR="001B5BB0" w:rsidRPr="001B5BB0">
        <w:rPr>
          <w:rFonts w:ascii="標楷體" w:eastAsia="標楷體" w:hAnsi="標楷體" w:hint="eastAsia"/>
          <w:b/>
          <w:bCs/>
        </w:rPr>
        <w:t>danicopan</w:t>
      </w:r>
      <w:proofErr w:type="spellEnd"/>
      <w:r w:rsidR="001B5BB0" w:rsidRPr="001B5BB0">
        <w:rPr>
          <w:rFonts w:ascii="標楷體" w:eastAsia="標楷體" w:hAnsi="標楷體" w:hint="eastAsia"/>
          <w:b/>
          <w:bCs/>
        </w:rPr>
        <w:t>)+Soliris(eculizumab)/</w:t>
      </w:r>
      <w:proofErr w:type="spellStart"/>
      <w:r w:rsidR="001B5BB0" w:rsidRPr="001B5BB0">
        <w:rPr>
          <w:rFonts w:ascii="標楷體" w:eastAsia="標楷體" w:hAnsi="標楷體" w:hint="eastAsia"/>
          <w:b/>
          <w:bCs/>
        </w:rPr>
        <w:t>Ultomiris</w:t>
      </w:r>
      <w:proofErr w:type="spellEnd"/>
      <w:r w:rsidR="001B5BB0" w:rsidRPr="001B5BB0">
        <w:rPr>
          <w:rFonts w:ascii="標楷體" w:eastAsia="標楷體" w:hAnsi="標楷體" w:hint="eastAsia"/>
          <w:b/>
          <w:bCs/>
        </w:rPr>
        <w:t>(</w:t>
      </w:r>
      <w:proofErr w:type="spellStart"/>
      <w:r w:rsidR="001B5BB0" w:rsidRPr="001B5BB0">
        <w:rPr>
          <w:rFonts w:ascii="標楷體" w:eastAsia="標楷體" w:hAnsi="標楷體" w:hint="eastAsia"/>
          <w:b/>
          <w:bCs/>
        </w:rPr>
        <w:t>ravulizumab</w:t>
      </w:r>
      <w:proofErr w:type="spellEnd"/>
      <w:r w:rsidR="001B5BB0" w:rsidRPr="001B5BB0">
        <w:rPr>
          <w:rFonts w:ascii="標楷體" w:eastAsia="標楷體" w:hAnsi="標楷體" w:hint="eastAsia"/>
          <w:b/>
          <w:bCs/>
        </w:rPr>
        <w:t>)或</w:t>
      </w:r>
      <w:proofErr w:type="spellStart"/>
      <w:r w:rsidR="001B5BB0" w:rsidRPr="001B5BB0">
        <w:rPr>
          <w:rFonts w:ascii="標楷體" w:eastAsia="標楷體" w:hAnsi="標楷體" w:hint="eastAsia"/>
          <w:b/>
          <w:bCs/>
        </w:rPr>
        <w:t>Fabhalta</w:t>
      </w:r>
      <w:proofErr w:type="spellEnd"/>
      <w:r w:rsidR="001B5BB0" w:rsidRPr="001B5BB0">
        <w:rPr>
          <w:rFonts w:ascii="標楷體" w:eastAsia="標楷體" w:hAnsi="標楷體" w:hint="eastAsia"/>
          <w:b/>
          <w:bCs/>
        </w:rPr>
        <w:t xml:space="preserve"> (</w:t>
      </w:r>
      <w:proofErr w:type="spellStart"/>
      <w:r w:rsidR="001B5BB0" w:rsidRPr="001B5BB0">
        <w:rPr>
          <w:rFonts w:ascii="標楷體" w:eastAsia="標楷體" w:hAnsi="標楷體" w:hint="eastAsia"/>
          <w:b/>
          <w:bCs/>
        </w:rPr>
        <w:t>iptacopan</w:t>
      </w:r>
      <w:proofErr w:type="spellEnd"/>
      <w:r w:rsidR="001B5BB0" w:rsidRPr="001B5BB0">
        <w:rPr>
          <w:rFonts w:ascii="標楷體" w:eastAsia="標楷體" w:hAnsi="標楷體" w:hint="eastAsia"/>
          <w:b/>
          <w:bCs/>
        </w:rPr>
        <w:t>)或</w:t>
      </w:r>
      <w:proofErr w:type="spellStart"/>
      <w:r w:rsidR="001B5BB0" w:rsidRPr="001B5BB0">
        <w:rPr>
          <w:rFonts w:ascii="標楷體" w:eastAsia="標楷體" w:hAnsi="標楷體" w:hint="eastAsia"/>
          <w:b/>
          <w:bCs/>
        </w:rPr>
        <w:t>Aspaveli</w:t>
      </w:r>
      <w:proofErr w:type="spellEnd"/>
      <w:r w:rsidR="001B5BB0" w:rsidRPr="001B5BB0">
        <w:rPr>
          <w:rFonts w:ascii="標楷體" w:eastAsia="標楷體" w:hAnsi="標楷體" w:hint="eastAsia"/>
          <w:b/>
          <w:bCs/>
        </w:rPr>
        <w:t>/</w:t>
      </w:r>
      <w:proofErr w:type="spellStart"/>
      <w:r w:rsidR="001B5BB0" w:rsidRPr="001B5BB0">
        <w:rPr>
          <w:rFonts w:ascii="標楷體" w:eastAsia="標楷體" w:hAnsi="標楷體" w:hint="eastAsia"/>
          <w:b/>
          <w:bCs/>
        </w:rPr>
        <w:t>Empaveli</w:t>
      </w:r>
      <w:proofErr w:type="spellEnd"/>
      <w:r w:rsidR="001B5BB0" w:rsidRPr="001B5BB0">
        <w:rPr>
          <w:rFonts w:ascii="標楷體" w:eastAsia="標楷體" w:hAnsi="標楷體" w:hint="eastAsia"/>
          <w:b/>
          <w:bCs/>
        </w:rPr>
        <w:t>(</w:t>
      </w:r>
      <w:proofErr w:type="spellStart"/>
      <w:r w:rsidR="001B5BB0" w:rsidRPr="001B5BB0">
        <w:rPr>
          <w:rFonts w:ascii="標楷體" w:eastAsia="標楷體" w:hAnsi="標楷體" w:hint="eastAsia"/>
          <w:b/>
          <w:bCs/>
        </w:rPr>
        <w:t>pegcetacoplan</w:t>
      </w:r>
      <w:proofErr w:type="spellEnd"/>
      <w:r w:rsidR="001B5BB0" w:rsidRPr="001B5BB0">
        <w:rPr>
          <w:rFonts w:ascii="標楷體" w:eastAsia="標楷體" w:hAnsi="標楷體" w:hint="eastAsia"/>
          <w:b/>
          <w:bCs/>
        </w:rPr>
        <w:t>)用藥</w:t>
      </w:r>
      <w:r w:rsidRPr="005C51CB">
        <w:rPr>
          <w:rFonts w:ascii="標楷體" w:eastAsia="標楷體" w:hAnsi="標楷體"/>
          <w:b/>
          <w:bCs/>
        </w:rPr>
        <w:t>檢附資料查檢表</w:t>
      </w:r>
    </w:p>
    <w:p w14:paraId="4CA79821" w14:textId="3440BA81" w:rsidR="0097713B" w:rsidRPr="00EB5138" w:rsidRDefault="0097713B" w:rsidP="00C44BBD">
      <w:pPr>
        <w:snapToGrid w:val="0"/>
        <w:spacing w:line="300" w:lineRule="exact"/>
        <w:jc w:val="center"/>
      </w:pPr>
      <w:r w:rsidRPr="00EB5138">
        <w:rPr>
          <w:rFonts w:ascii="標楷體" w:eastAsia="標楷體" w:hAnsi="標楷體" w:hint="eastAsia"/>
        </w:rPr>
        <w:t>115</w:t>
      </w:r>
      <w:r w:rsidRPr="00EB5138">
        <w:rPr>
          <w:rFonts w:ascii="標楷體" w:eastAsia="標楷體" w:hAnsi="標楷體"/>
        </w:rPr>
        <w:t>年</w:t>
      </w:r>
      <w:r w:rsidR="00BD6D72" w:rsidRPr="00BD6D72">
        <w:rPr>
          <w:rFonts w:ascii="標楷體" w:eastAsia="標楷體" w:hAnsi="標楷體" w:hint="eastAsia"/>
        </w:rPr>
        <w:t>10月1日</w:t>
      </w:r>
      <w:r w:rsidRPr="00EB5138">
        <w:rPr>
          <w:rFonts w:ascii="標楷體" w:eastAsia="標楷體" w:hAnsi="標楷體"/>
        </w:rPr>
        <w:t>修訂</w:t>
      </w:r>
    </w:p>
    <w:tbl>
      <w:tblPr>
        <w:tblW w:w="5000" w:type="pct"/>
        <w:tblCellMar>
          <w:left w:w="10" w:type="dxa"/>
          <w:right w:w="10" w:type="dxa"/>
        </w:tblCellMar>
        <w:tblLook w:val="04A0" w:firstRow="1" w:lastRow="0" w:firstColumn="1" w:lastColumn="0" w:noHBand="0" w:noVBand="1"/>
      </w:tblPr>
      <w:tblGrid>
        <w:gridCol w:w="3745"/>
        <w:gridCol w:w="4604"/>
        <w:gridCol w:w="1393"/>
      </w:tblGrid>
      <w:tr w:rsidR="0097713B" w14:paraId="688242F4" w14:textId="77777777" w:rsidTr="006D18A7">
        <w:tc>
          <w:tcPr>
            <w:tcW w:w="500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40A0C" w14:textId="77777777" w:rsidR="0097713B" w:rsidRPr="00641F9D" w:rsidRDefault="0097713B" w:rsidP="00C44BBD">
            <w:pPr>
              <w:snapToGrid w:val="0"/>
              <w:spacing w:line="300" w:lineRule="exact"/>
            </w:pPr>
            <w:r w:rsidRPr="00641F9D">
              <w:rPr>
                <w:rFonts w:ascii="標楷體" w:eastAsia="標楷體" w:hAnsi="標楷體" w:cs="Calibri"/>
                <w:b/>
              </w:rPr>
              <w:t>新個案初次申請</w:t>
            </w:r>
          </w:p>
        </w:tc>
      </w:tr>
      <w:tr w:rsidR="0097713B" w14:paraId="75A2E180" w14:textId="77777777" w:rsidTr="006D18A7">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F6740" w14:textId="77777777" w:rsidR="0097713B" w:rsidRDefault="0097713B" w:rsidP="00C44BBD">
            <w:pPr>
              <w:widowControl/>
              <w:snapToGrid w:val="0"/>
              <w:spacing w:line="300" w:lineRule="exact"/>
              <w:ind w:left="480"/>
              <w:jc w:val="both"/>
              <w:rPr>
                <w:rFonts w:ascii="標楷體" w:eastAsia="標楷體" w:hAnsi="標楷體" w:cs="Calibri"/>
                <w:kern w:val="0"/>
              </w:rPr>
            </w:pPr>
            <w:r>
              <w:rPr>
                <w:rFonts w:ascii="標楷體" w:eastAsia="標楷體" w:hAnsi="標楷體" w:cs="Calibri"/>
                <w:kern w:val="0"/>
              </w:rPr>
              <w:t>給付規定</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38EF92" w14:textId="77777777" w:rsidR="0097713B" w:rsidRDefault="0097713B" w:rsidP="00C44BBD">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4B8E68" w14:textId="77777777" w:rsidR="0097713B" w:rsidRDefault="0097713B" w:rsidP="00C44BBD">
            <w:pPr>
              <w:snapToGrid w:val="0"/>
              <w:spacing w:line="300" w:lineRule="exact"/>
              <w:rPr>
                <w:rFonts w:ascii="標楷體" w:eastAsia="標楷體" w:hAnsi="標楷體" w:cs="Calibri"/>
              </w:rPr>
            </w:pPr>
            <w:r>
              <w:rPr>
                <w:rFonts w:ascii="標楷體" w:eastAsia="標楷體" w:hAnsi="標楷體" w:cs="Calibri"/>
              </w:rPr>
              <w:t>資料確認</w:t>
            </w:r>
          </w:p>
        </w:tc>
      </w:tr>
      <w:tr w:rsidR="0097713B" w14:paraId="32395EA7" w14:textId="77777777" w:rsidTr="006D18A7">
        <w:tc>
          <w:tcPr>
            <w:tcW w:w="1922"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B1F4C6" w14:textId="77777777" w:rsidR="0097713B" w:rsidRPr="00641F9D" w:rsidRDefault="0097713B" w:rsidP="002144EC">
            <w:pPr>
              <w:numPr>
                <w:ilvl w:val="0"/>
                <w:numId w:val="142"/>
              </w:numPr>
              <w:snapToGrid w:val="0"/>
              <w:spacing w:line="300" w:lineRule="exact"/>
              <w:ind w:left="603" w:hanging="567"/>
              <w:jc w:val="both"/>
              <w:rPr>
                <w:rFonts w:ascii="標楷體" w:eastAsia="標楷體" w:hAnsi="標楷體" w:cs="Calibri"/>
                <w:kern w:val="0"/>
              </w:rPr>
            </w:pPr>
            <w:r w:rsidRPr="00641F9D">
              <w:rPr>
                <w:rFonts w:ascii="標楷體" w:eastAsia="標楷體" w:hAnsi="標楷體" w:cs="Calibri"/>
                <w:kern w:val="0"/>
              </w:rPr>
              <w:t>限用於</w:t>
            </w:r>
            <w:r w:rsidRPr="00641F9D">
              <w:rPr>
                <w:rFonts w:ascii="標楷體" w:eastAsia="標楷體" w:hAnsi="標楷體" w:cs="Calibri" w:hint="eastAsia"/>
                <w:kern w:val="0"/>
              </w:rPr>
              <w:t>經衛生福利部國民</w:t>
            </w:r>
            <w:proofErr w:type="gramStart"/>
            <w:r w:rsidRPr="00641F9D">
              <w:rPr>
                <w:rFonts w:ascii="標楷體" w:eastAsia="標楷體" w:hAnsi="標楷體" w:cs="Calibri" w:hint="eastAsia"/>
                <w:kern w:val="0"/>
              </w:rPr>
              <w:t>健康署</w:t>
            </w:r>
            <w:proofErr w:type="gramEnd"/>
            <w:r w:rsidRPr="00641F9D">
              <w:rPr>
                <w:rFonts w:ascii="標楷體" w:eastAsia="標楷體" w:hAnsi="標楷體" w:cs="Calibri" w:hint="eastAsia"/>
                <w:kern w:val="0"/>
              </w:rPr>
              <w:t>認定之陣發性夜間血紅素尿症病人，且曾經接受一種</w:t>
            </w:r>
            <w:r w:rsidRPr="00641F9D">
              <w:rPr>
                <w:rFonts w:ascii="標楷體" w:eastAsia="標楷體" w:hAnsi="標楷體" w:cs="Calibri"/>
                <w:kern w:val="0"/>
              </w:rPr>
              <w:t>C5</w:t>
            </w:r>
            <w:proofErr w:type="gramStart"/>
            <w:r w:rsidRPr="00641F9D">
              <w:rPr>
                <w:rFonts w:ascii="標楷體" w:eastAsia="標楷體" w:hAnsi="標楷體" w:cs="Calibri" w:hint="eastAsia"/>
                <w:kern w:val="0"/>
              </w:rPr>
              <w:t>補體抑制劑</w:t>
            </w:r>
            <w:proofErr w:type="gramEnd"/>
            <w:r w:rsidRPr="00641F9D">
              <w:rPr>
                <w:rFonts w:ascii="標楷體" w:eastAsia="標楷體" w:hAnsi="標楷體" w:cs="Calibri" w:hint="eastAsia"/>
                <w:kern w:val="0"/>
              </w:rPr>
              <w:t>治療</w:t>
            </w:r>
            <w:r w:rsidRPr="00641F9D">
              <w:rPr>
                <w:rFonts w:ascii="標楷體" w:eastAsia="標楷體" w:hAnsi="標楷體" w:cs="Calibri"/>
                <w:kern w:val="0"/>
              </w:rPr>
              <w:t>：</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07FA6A" w14:textId="77777777" w:rsidR="0097713B" w:rsidRPr="00641F9D" w:rsidRDefault="0097713B" w:rsidP="00C44BBD">
            <w:pPr>
              <w:snapToGrid w:val="0"/>
              <w:spacing w:line="300" w:lineRule="exact"/>
              <w:rPr>
                <w:rFonts w:ascii="標楷體" w:eastAsia="標楷體" w:hAnsi="標楷體" w:cs="Calibri"/>
                <w:b/>
              </w:rPr>
            </w:pPr>
            <w:r w:rsidRPr="00641F9D">
              <w:rPr>
                <w:rFonts w:ascii="標楷體" w:eastAsia="標楷體" w:hAnsi="標楷體" w:cs="Calibri"/>
                <w:b/>
              </w:rPr>
              <w:t>診斷依據(必備)：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1E8DF8" w14:textId="77777777" w:rsidR="0097713B" w:rsidRDefault="0097713B" w:rsidP="00C44BBD">
            <w:pPr>
              <w:snapToGrid w:val="0"/>
              <w:spacing w:line="300" w:lineRule="exact"/>
              <w:rPr>
                <w:rFonts w:ascii="標楷體" w:eastAsia="標楷體" w:hAnsi="標楷體" w:cs="Calibri"/>
              </w:rPr>
            </w:pPr>
          </w:p>
        </w:tc>
      </w:tr>
      <w:tr w:rsidR="0097713B" w14:paraId="4CADCB04"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F0F44C"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D8FA52" w14:textId="77777777" w:rsidR="0097713B" w:rsidRDefault="0097713B" w:rsidP="002144EC">
            <w:pPr>
              <w:numPr>
                <w:ilvl w:val="0"/>
                <w:numId w:val="143"/>
              </w:numPr>
              <w:snapToGrid w:val="0"/>
              <w:spacing w:line="300" w:lineRule="exact"/>
              <w:rPr>
                <w:rFonts w:ascii="標楷體" w:eastAsia="標楷體" w:hAnsi="標楷體" w:cs="Calibri"/>
              </w:rPr>
            </w:pPr>
            <w:r>
              <w:rPr>
                <w:rFonts w:ascii="標楷體" w:eastAsia="標楷體" w:hAnsi="標楷體" w:cs="Calibri"/>
              </w:rPr>
              <w:t>病史摘要說明。</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081F83" w14:textId="77777777" w:rsidR="0097713B" w:rsidRDefault="0097713B" w:rsidP="00C44BBD">
            <w:pPr>
              <w:snapToGrid w:val="0"/>
              <w:spacing w:line="300" w:lineRule="exact"/>
              <w:rPr>
                <w:rFonts w:ascii="標楷體" w:eastAsia="標楷體" w:hAnsi="標楷體" w:cs="Calibri"/>
              </w:rPr>
            </w:pPr>
          </w:p>
        </w:tc>
      </w:tr>
      <w:tr w:rsidR="0097713B" w14:paraId="50185E7E"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523DE8"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DC4DF" w14:textId="77777777" w:rsidR="0097713B" w:rsidRDefault="0097713B" w:rsidP="002144EC">
            <w:pPr>
              <w:numPr>
                <w:ilvl w:val="0"/>
                <w:numId w:val="143"/>
              </w:numPr>
              <w:snapToGrid w:val="0"/>
              <w:spacing w:line="300" w:lineRule="exact"/>
              <w:rPr>
                <w:rFonts w:ascii="標楷體" w:eastAsia="標楷體" w:hAnsi="標楷體" w:cs="Calibri"/>
              </w:rPr>
            </w:pPr>
            <w:r>
              <w:rPr>
                <w:rFonts w:ascii="標楷體" w:eastAsia="標楷體" w:hAnsi="標楷體" w:cs="Calibri" w:hint="eastAsia"/>
              </w:rPr>
              <w:t>年齡1</w:t>
            </w:r>
            <w:r>
              <w:rPr>
                <w:rFonts w:ascii="標楷體" w:eastAsia="標楷體" w:hAnsi="標楷體" w:cs="Calibri"/>
              </w:rPr>
              <w:t>8</w:t>
            </w:r>
            <w:r>
              <w:rPr>
                <w:rFonts w:ascii="標楷體" w:eastAsia="標楷體" w:hAnsi="標楷體" w:cs="Calibri" w:hint="eastAsia"/>
              </w:rPr>
              <w:t>歲以上</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1685D0" w14:textId="77777777" w:rsidR="0097713B" w:rsidRDefault="0097713B" w:rsidP="00C44BBD">
            <w:pPr>
              <w:snapToGrid w:val="0"/>
              <w:spacing w:line="300" w:lineRule="exact"/>
              <w:rPr>
                <w:rFonts w:ascii="標楷體" w:eastAsia="標楷體" w:hAnsi="標楷體" w:cs="Calibri"/>
              </w:rPr>
            </w:pPr>
          </w:p>
        </w:tc>
      </w:tr>
      <w:tr w:rsidR="0097713B" w14:paraId="4F7DD041"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EDF11F"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481AF0" w14:textId="77777777" w:rsidR="0097713B" w:rsidRPr="00463943" w:rsidRDefault="0097713B" w:rsidP="002144EC">
            <w:pPr>
              <w:numPr>
                <w:ilvl w:val="0"/>
                <w:numId w:val="143"/>
              </w:numPr>
              <w:snapToGrid w:val="0"/>
              <w:spacing w:line="300" w:lineRule="exact"/>
              <w:jc w:val="both"/>
              <w:rPr>
                <w:rFonts w:ascii="標楷體" w:eastAsia="標楷體" w:hAnsi="標楷體" w:cs="Calibri"/>
              </w:rPr>
            </w:pPr>
            <w:r>
              <w:rPr>
                <w:rFonts w:ascii="標楷體" w:eastAsia="標楷體" w:hAnsi="標楷體" w:cs="Calibri" w:hint="eastAsia"/>
              </w:rPr>
              <w:t>若為申請使用</w:t>
            </w:r>
            <w:proofErr w:type="spellStart"/>
            <w:r>
              <w:rPr>
                <w:rFonts w:ascii="標楷體" w:eastAsia="標楷體" w:hAnsi="標楷體" w:cs="Calibri" w:hint="eastAsia"/>
              </w:rPr>
              <w:t>V</w:t>
            </w:r>
            <w:r>
              <w:rPr>
                <w:rFonts w:ascii="標楷體" w:eastAsia="標楷體" w:hAnsi="標楷體" w:cs="Calibri"/>
              </w:rPr>
              <w:t>oydeya</w:t>
            </w:r>
            <w:proofErr w:type="spellEnd"/>
            <w:r>
              <w:rPr>
                <w:rFonts w:ascii="標楷體" w:eastAsia="標楷體" w:hAnsi="標楷體" w:cs="Calibri"/>
              </w:rPr>
              <w:t xml:space="preserve"> (</w:t>
            </w:r>
            <w:proofErr w:type="spellStart"/>
            <w:r>
              <w:rPr>
                <w:rFonts w:ascii="標楷體" w:eastAsia="標楷體" w:hAnsi="標楷體" w:cs="Calibri" w:hint="eastAsia"/>
              </w:rPr>
              <w:t>d</w:t>
            </w:r>
            <w:r>
              <w:rPr>
                <w:rFonts w:ascii="標楷體" w:eastAsia="標楷體" w:hAnsi="標楷體" w:cs="Calibri"/>
              </w:rPr>
              <w:t>anicopan</w:t>
            </w:r>
            <w:proofErr w:type="spellEnd"/>
            <w:r>
              <w:rPr>
                <w:rFonts w:ascii="標楷體" w:eastAsia="標楷體" w:hAnsi="標楷體" w:cs="Calibri"/>
              </w:rPr>
              <w:t>)</w:t>
            </w:r>
            <w:r>
              <w:rPr>
                <w:rFonts w:ascii="新細明體" w:hAnsi="新細明體" w:cs="Calibri" w:hint="eastAsia"/>
              </w:rPr>
              <w:t>，</w:t>
            </w:r>
            <w:r>
              <w:rPr>
                <w:rFonts w:ascii="標楷體" w:eastAsia="標楷體" w:hAnsi="標楷體" w:cs="Calibri" w:hint="eastAsia"/>
              </w:rPr>
              <w:t>則須同時申請</w:t>
            </w:r>
            <w:proofErr w:type="spellStart"/>
            <w:r>
              <w:rPr>
                <w:rFonts w:ascii="標楷體" w:eastAsia="標楷體" w:hAnsi="標楷體" w:cs="Calibri" w:hint="eastAsia"/>
              </w:rPr>
              <w:t>r</w:t>
            </w:r>
            <w:r>
              <w:rPr>
                <w:rFonts w:ascii="標楷體" w:eastAsia="標楷體" w:hAnsi="標楷體" w:cs="Calibri"/>
              </w:rPr>
              <w:t>avulizumab</w:t>
            </w:r>
            <w:proofErr w:type="spellEnd"/>
            <w:r>
              <w:rPr>
                <w:rFonts w:ascii="標楷體" w:eastAsia="標楷體" w:hAnsi="標楷體" w:cs="Calibri"/>
              </w:rPr>
              <w:t xml:space="preserve"> </w:t>
            </w:r>
            <w:r>
              <w:rPr>
                <w:rFonts w:ascii="標楷體" w:eastAsia="標楷體" w:hAnsi="標楷體" w:cs="Calibri" w:hint="eastAsia"/>
              </w:rPr>
              <w:t>或 e</w:t>
            </w:r>
            <w:r>
              <w:rPr>
                <w:rFonts w:ascii="標楷體" w:eastAsia="標楷體" w:hAnsi="標楷體" w:cs="Calibri"/>
              </w:rPr>
              <w:t>culizumab</w:t>
            </w:r>
            <w:r>
              <w:rPr>
                <w:rFonts w:ascii="新細明體" w:hAnsi="新細明體" w:cs="Calibri" w:hint="eastAsia"/>
              </w:rPr>
              <w:t>。</w:t>
            </w:r>
          </w:p>
          <w:p w14:paraId="593E3982" w14:textId="77777777" w:rsidR="0097713B" w:rsidRDefault="0097713B" w:rsidP="00C44BBD">
            <w:pPr>
              <w:snapToGrid w:val="0"/>
              <w:spacing w:line="300" w:lineRule="exact"/>
              <w:ind w:left="394"/>
              <w:jc w:val="both"/>
              <w:rPr>
                <w:rFonts w:ascii="標楷體" w:eastAsia="標楷體" w:hAnsi="標楷體" w:cs="Calibri"/>
              </w:rPr>
            </w:pPr>
            <w:r>
              <w:rPr>
                <w:rFonts w:ascii="標楷體" w:eastAsia="標楷體" w:hAnsi="標楷體" w:cs="Calibri" w:hint="eastAsia"/>
              </w:rPr>
              <w:t>若</w:t>
            </w:r>
            <w:proofErr w:type="spellStart"/>
            <w:r>
              <w:rPr>
                <w:rFonts w:ascii="標楷體" w:eastAsia="標楷體" w:hAnsi="標楷體" w:cs="Calibri" w:hint="eastAsia"/>
              </w:rPr>
              <w:t>Vo</w:t>
            </w:r>
            <w:r>
              <w:rPr>
                <w:rFonts w:ascii="標楷體" w:eastAsia="標楷體" w:hAnsi="標楷體" w:cs="Calibri"/>
              </w:rPr>
              <w:t>ydeya</w:t>
            </w:r>
            <w:proofErr w:type="spellEnd"/>
            <w:r>
              <w:rPr>
                <w:rFonts w:ascii="標楷體" w:eastAsia="標楷體" w:hAnsi="標楷體" w:cs="Calibri" w:hint="eastAsia"/>
              </w:rPr>
              <w:t>獲同意使用則</w:t>
            </w:r>
            <w:proofErr w:type="spellStart"/>
            <w:r>
              <w:rPr>
                <w:rFonts w:ascii="標楷體" w:eastAsia="標楷體" w:hAnsi="標楷體" w:cs="Calibri" w:hint="eastAsia"/>
              </w:rPr>
              <w:t>r</w:t>
            </w:r>
            <w:r>
              <w:rPr>
                <w:rFonts w:ascii="標楷體" w:eastAsia="標楷體" w:hAnsi="標楷體" w:cs="Calibri"/>
              </w:rPr>
              <w:t>avulizumab</w:t>
            </w:r>
            <w:proofErr w:type="spellEnd"/>
            <w:r>
              <w:rPr>
                <w:rFonts w:ascii="標楷體" w:eastAsia="標楷體" w:hAnsi="標楷體" w:cs="Calibri"/>
              </w:rPr>
              <w:t xml:space="preserve"> </w:t>
            </w:r>
            <w:r>
              <w:rPr>
                <w:rFonts w:ascii="標楷體" w:eastAsia="標楷體" w:hAnsi="標楷體" w:cs="Calibri" w:hint="eastAsia"/>
              </w:rPr>
              <w:t>或 e</w:t>
            </w:r>
            <w:r>
              <w:rPr>
                <w:rFonts w:ascii="標楷體" w:eastAsia="標楷體" w:hAnsi="標楷體" w:cs="Calibri"/>
              </w:rPr>
              <w:t>culizumab</w:t>
            </w:r>
            <w:r>
              <w:rPr>
                <w:rFonts w:ascii="標楷體" w:eastAsia="標楷體" w:hAnsi="標楷體" w:cs="Calibri" w:hint="eastAsia"/>
              </w:rPr>
              <w:t>也可同時使用</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3125A4" w14:textId="77777777" w:rsidR="0097713B" w:rsidRDefault="0097713B" w:rsidP="00C44BBD">
            <w:pPr>
              <w:snapToGrid w:val="0"/>
              <w:spacing w:line="300" w:lineRule="exact"/>
              <w:rPr>
                <w:rFonts w:ascii="標楷體" w:eastAsia="標楷體" w:hAnsi="標楷體" w:cs="Calibri"/>
              </w:rPr>
            </w:pPr>
          </w:p>
        </w:tc>
      </w:tr>
      <w:tr w:rsidR="0097713B" w14:paraId="50B4F050"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AB38FD"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6008D" w14:textId="77777777" w:rsidR="0097713B" w:rsidRDefault="0097713B" w:rsidP="002144EC">
            <w:pPr>
              <w:numPr>
                <w:ilvl w:val="0"/>
                <w:numId w:val="143"/>
              </w:numPr>
              <w:snapToGrid w:val="0"/>
              <w:spacing w:line="300" w:lineRule="exact"/>
              <w:jc w:val="both"/>
              <w:rPr>
                <w:rFonts w:ascii="標楷體" w:eastAsia="標楷體" w:hAnsi="標楷體" w:cs="Calibri"/>
              </w:rPr>
            </w:pPr>
            <w:r>
              <w:rPr>
                <w:rFonts w:ascii="標楷體" w:eastAsia="標楷體" w:hAnsi="標楷體" w:cs="Calibri"/>
              </w:rPr>
              <w:t>治療計畫，必須</w:t>
            </w:r>
            <w:proofErr w:type="gramStart"/>
            <w:r>
              <w:rPr>
                <w:rFonts w:ascii="標楷體" w:eastAsia="標楷體" w:hAnsi="標楷體" w:cs="Calibri"/>
              </w:rPr>
              <w:t>包含</w:t>
            </w:r>
            <w:r>
              <w:rPr>
                <w:rFonts w:ascii="標楷體" w:eastAsia="標楷體" w:hAnsi="標楷體" w:cs="Calibri" w:hint="eastAsia"/>
              </w:rPr>
              <w:t>莢膜細菌</w:t>
            </w:r>
            <w:proofErr w:type="gramEnd"/>
            <w:r>
              <w:rPr>
                <w:rFonts w:ascii="標楷體" w:eastAsia="標楷體" w:hAnsi="標楷體" w:cs="Calibri" w:hint="eastAsia"/>
              </w:rPr>
              <w:t xml:space="preserve"> (</w:t>
            </w:r>
            <w:r w:rsidRPr="0008233A">
              <w:rPr>
                <w:rFonts w:ascii="標楷體" w:eastAsia="標楷體" w:hAnsi="標楷體" w:cs="Calibri" w:hint="eastAsia"/>
              </w:rPr>
              <w:t>腦膜炎雙球菌、肺炎鏈球菌和 B 型</w:t>
            </w:r>
            <w:proofErr w:type="gramStart"/>
            <w:r w:rsidRPr="0008233A">
              <w:rPr>
                <w:rFonts w:ascii="標楷體" w:eastAsia="標楷體" w:hAnsi="標楷體" w:cs="Calibri" w:hint="eastAsia"/>
              </w:rPr>
              <w:t>流感嗜血</w:t>
            </w:r>
            <w:proofErr w:type="gramEnd"/>
            <w:r w:rsidRPr="0008233A">
              <w:rPr>
                <w:rFonts w:ascii="標楷體" w:eastAsia="標楷體" w:hAnsi="標楷體" w:cs="Calibri" w:hint="eastAsia"/>
              </w:rPr>
              <w:t>桿菌</w:t>
            </w:r>
            <w:r>
              <w:rPr>
                <w:rFonts w:ascii="標楷體" w:eastAsia="標楷體" w:hAnsi="標楷體" w:cs="Calibri" w:hint="eastAsia"/>
              </w:rPr>
              <w:t>)</w:t>
            </w:r>
            <w:r>
              <w:rPr>
                <w:rFonts w:ascii="標楷體" w:eastAsia="標楷體" w:hAnsi="標楷體" w:cs="Calibri"/>
              </w:rPr>
              <w:t>之</w:t>
            </w:r>
            <w:r>
              <w:rPr>
                <w:rFonts w:ascii="標楷體" w:eastAsia="標楷體" w:hAnsi="標楷體" w:cs="Calibri" w:hint="eastAsia"/>
              </w:rPr>
              <w:t>疫苗</w:t>
            </w:r>
            <w:r>
              <w:rPr>
                <w:rFonts w:ascii="標楷體" w:eastAsia="標楷體" w:hAnsi="標楷體" w:cs="Calibri"/>
              </w:rPr>
              <w:t>施打計畫。</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3FF55F" w14:textId="77777777" w:rsidR="0097713B" w:rsidRDefault="0097713B" w:rsidP="00C44BBD">
            <w:pPr>
              <w:snapToGrid w:val="0"/>
              <w:spacing w:line="300" w:lineRule="exact"/>
              <w:rPr>
                <w:rFonts w:ascii="標楷體" w:eastAsia="標楷體" w:hAnsi="標楷體" w:cs="Calibri"/>
              </w:rPr>
            </w:pPr>
          </w:p>
        </w:tc>
      </w:tr>
      <w:tr w:rsidR="0097713B" w14:paraId="73368111"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740CBF"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19D381" w14:textId="77777777" w:rsidR="0097713B" w:rsidRDefault="0097713B" w:rsidP="002144EC">
            <w:pPr>
              <w:numPr>
                <w:ilvl w:val="0"/>
                <w:numId w:val="143"/>
              </w:numPr>
              <w:snapToGrid w:val="0"/>
              <w:spacing w:line="300" w:lineRule="exact"/>
              <w:rPr>
                <w:rFonts w:ascii="標楷體" w:eastAsia="標楷體" w:hAnsi="標楷體" w:cs="Calibri"/>
              </w:rPr>
            </w:pPr>
            <w:r w:rsidRPr="00806F98">
              <w:rPr>
                <w:rFonts w:ascii="標楷體" w:eastAsia="標楷體" w:hAnsi="標楷體" w:cs="Calibri" w:hint="eastAsia"/>
              </w:rPr>
              <w:t>曾經接受C5</w:t>
            </w:r>
            <w:proofErr w:type="gramStart"/>
            <w:r w:rsidRPr="00806F98">
              <w:rPr>
                <w:rFonts w:ascii="標楷體" w:eastAsia="標楷體" w:hAnsi="標楷體" w:cs="Calibri" w:hint="eastAsia"/>
              </w:rPr>
              <w:t>補體抑制劑</w:t>
            </w:r>
            <w:proofErr w:type="gramEnd"/>
            <w:r w:rsidRPr="00806F98">
              <w:rPr>
                <w:rFonts w:ascii="標楷體" w:eastAsia="標楷體" w:hAnsi="標楷體" w:cs="Calibri" w:hint="eastAsia"/>
              </w:rPr>
              <w:t>治療</w:t>
            </w:r>
            <w:r>
              <w:rPr>
                <w:rFonts w:ascii="標楷體" w:eastAsia="標楷體" w:hAnsi="標楷體" w:cs="Calibri" w:hint="eastAsia"/>
              </w:rPr>
              <w:t>之紀錄</w:t>
            </w:r>
            <w:r>
              <w:rPr>
                <w:rFonts w:ascii="新細明體" w:hAnsi="新細明體" w:cs="Calibri" w:hint="eastAsia"/>
              </w:rPr>
              <w:t>。</w:t>
            </w:r>
          </w:p>
          <w:p w14:paraId="24D3C6B8" w14:textId="77777777" w:rsidR="0097713B" w:rsidRDefault="0097713B" w:rsidP="00C44BBD">
            <w:pPr>
              <w:snapToGrid w:val="0"/>
              <w:spacing w:line="300" w:lineRule="exact"/>
              <w:ind w:left="394"/>
              <w:jc w:val="both"/>
              <w:rPr>
                <w:rFonts w:ascii="標楷體" w:eastAsia="標楷體" w:hAnsi="標楷體" w:cs="Calibri"/>
              </w:rPr>
            </w:pPr>
            <w:r>
              <w:rPr>
                <w:rFonts w:ascii="標楷體" w:eastAsia="標楷體" w:hAnsi="標楷體" w:cs="Calibri" w:hint="eastAsia"/>
              </w:rPr>
              <w:t>若為申請使用</w:t>
            </w:r>
            <w:proofErr w:type="spellStart"/>
            <w:r>
              <w:rPr>
                <w:rFonts w:ascii="標楷體" w:eastAsia="標楷體" w:hAnsi="標楷體" w:cs="Calibri" w:hint="eastAsia"/>
              </w:rPr>
              <w:t>V</w:t>
            </w:r>
            <w:r>
              <w:rPr>
                <w:rFonts w:ascii="標楷體" w:eastAsia="標楷體" w:hAnsi="標楷體" w:cs="Calibri"/>
              </w:rPr>
              <w:t>oydeya</w:t>
            </w:r>
            <w:proofErr w:type="spellEnd"/>
            <w:r>
              <w:rPr>
                <w:rFonts w:ascii="標楷體" w:eastAsia="標楷體" w:hAnsi="標楷體" w:cs="Calibri"/>
              </w:rPr>
              <w:t xml:space="preserve"> (</w:t>
            </w:r>
            <w:proofErr w:type="spellStart"/>
            <w:r>
              <w:rPr>
                <w:rFonts w:ascii="標楷體" w:eastAsia="標楷體" w:hAnsi="標楷體" w:cs="Calibri" w:hint="eastAsia"/>
              </w:rPr>
              <w:t>d</w:t>
            </w:r>
            <w:r>
              <w:rPr>
                <w:rFonts w:ascii="標楷體" w:eastAsia="標楷體" w:hAnsi="標楷體" w:cs="Calibri"/>
              </w:rPr>
              <w:t>anicopan</w:t>
            </w:r>
            <w:proofErr w:type="spellEnd"/>
            <w:r>
              <w:rPr>
                <w:rFonts w:ascii="標楷體" w:eastAsia="標楷體" w:hAnsi="標楷體" w:cs="Calibri"/>
              </w:rPr>
              <w:t>)</w:t>
            </w:r>
            <w:r>
              <w:rPr>
                <w:rFonts w:ascii="新細明體" w:hAnsi="新細明體" w:cs="Calibri" w:hint="eastAsia"/>
              </w:rPr>
              <w:t>，</w:t>
            </w:r>
            <w:r>
              <w:rPr>
                <w:rFonts w:ascii="標楷體" w:eastAsia="標楷體" w:hAnsi="標楷體" w:cs="Calibri" w:hint="eastAsia"/>
              </w:rPr>
              <w:t>則須檢附使用</w:t>
            </w:r>
            <w:proofErr w:type="spellStart"/>
            <w:r>
              <w:rPr>
                <w:rFonts w:ascii="標楷體" w:eastAsia="標楷體" w:hAnsi="標楷體" w:cs="Calibri" w:hint="eastAsia"/>
              </w:rPr>
              <w:t>r</w:t>
            </w:r>
            <w:r>
              <w:rPr>
                <w:rFonts w:ascii="標楷體" w:eastAsia="標楷體" w:hAnsi="標楷體" w:cs="Calibri"/>
              </w:rPr>
              <w:t>avulizumab</w:t>
            </w:r>
            <w:proofErr w:type="spellEnd"/>
            <w:r>
              <w:rPr>
                <w:rFonts w:ascii="標楷體" w:eastAsia="標楷體" w:hAnsi="標楷體" w:cs="Calibri"/>
              </w:rPr>
              <w:t xml:space="preserve"> </w:t>
            </w:r>
            <w:r>
              <w:rPr>
                <w:rFonts w:ascii="標楷體" w:eastAsia="標楷體" w:hAnsi="標楷體" w:cs="Calibri" w:hint="eastAsia"/>
              </w:rPr>
              <w:t>或 e</w:t>
            </w:r>
            <w:r>
              <w:rPr>
                <w:rFonts w:ascii="標楷體" w:eastAsia="標楷體" w:hAnsi="標楷體" w:cs="Calibri"/>
              </w:rPr>
              <w:t xml:space="preserve">culizumab </w:t>
            </w:r>
            <w:r>
              <w:rPr>
                <w:rFonts w:ascii="標楷體" w:eastAsia="標楷體" w:hAnsi="標楷體" w:cs="Calibri" w:hint="eastAsia"/>
              </w:rPr>
              <w:t>的使用紀錄</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7B45ED" w14:textId="77777777" w:rsidR="0097713B" w:rsidRDefault="0097713B" w:rsidP="00C44BBD">
            <w:pPr>
              <w:snapToGrid w:val="0"/>
              <w:spacing w:line="300" w:lineRule="exact"/>
              <w:rPr>
                <w:rFonts w:ascii="標楷體" w:eastAsia="標楷體" w:hAnsi="標楷體" w:cs="Calibri"/>
              </w:rPr>
            </w:pPr>
          </w:p>
        </w:tc>
      </w:tr>
      <w:tr w:rsidR="0097713B" w14:paraId="319B9D57"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025FA4"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1BD0CC" w14:textId="77777777" w:rsidR="0097713B" w:rsidRDefault="0097713B" w:rsidP="002144EC">
            <w:pPr>
              <w:numPr>
                <w:ilvl w:val="0"/>
                <w:numId w:val="143"/>
              </w:numPr>
              <w:snapToGrid w:val="0"/>
              <w:spacing w:line="300" w:lineRule="exact"/>
              <w:jc w:val="both"/>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月內之CBC、WBC分類及reticulocyte至少兩次。</w:t>
            </w:r>
          </w:p>
          <w:p w14:paraId="5926011E" w14:textId="77777777" w:rsidR="0097713B" w:rsidRDefault="0097713B" w:rsidP="00C44BBD">
            <w:pPr>
              <w:snapToGrid w:val="0"/>
              <w:spacing w:line="300" w:lineRule="exact"/>
              <w:ind w:left="317"/>
              <w:jc w:val="both"/>
              <w:rPr>
                <w:rFonts w:ascii="標楷體" w:eastAsia="標楷體" w:hAnsi="標楷體" w:cs="Calibri"/>
              </w:rPr>
            </w:pPr>
            <w:r>
              <w:rPr>
                <w:rFonts w:ascii="標楷體" w:eastAsia="標楷體" w:hAnsi="標楷體" w:cs="Calibri" w:hint="eastAsia"/>
              </w:rPr>
              <w:t>在</w:t>
            </w:r>
            <w:r w:rsidRPr="00F91B0C">
              <w:rPr>
                <w:rFonts w:ascii="標楷體" w:eastAsia="標楷體" w:hAnsi="標楷體" w:cs="Calibri" w:hint="eastAsia"/>
              </w:rPr>
              <w:t>使用C5抑制劑下</w:t>
            </w:r>
            <w:r>
              <w:rPr>
                <w:rFonts w:ascii="新細明體" w:hAnsi="新細明體" w:cs="Calibri" w:hint="eastAsia"/>
              </w:rPr>
              <w:t>，</w:t>
            </w:r>
            <w:proofErr w:type="gramStart"/>
            <w:r w:rsidRPr="00F91B0C">
              <w:rPr>
                <w:rFonts w:ascii="標楷體" w:eastAsia="標楷體" w:hAnsi="標楷體" w:cs="Calibri" w:hint="eastAsia"/>
              </w:rPr>
              <w:t>血紅素</w:t>
            </w:r>
            <w:r>
              <w:rPr>
                <w:rFonts w:ascii="標楷體" w:eastAsia="標楷體" w:hAnsi="標楷體" w:cs="Calibri" w:hint="eastAsia"/>
              </w:rPr>
              <w:t>需</w:t>
            </w:r>
            <w:r w:rsidRPr="00F91B0C">
              <w:rPr>
                <w:rFonts w:ascii="標楷體" w:eastAsia="標楷體" w:hAnsi="標楷體" w:cs="Calibri" w:hint="eastAsia"/>
              </w:rPr>
              <w:t>仍小於</w:t>
            </w:r>
            <w:proofErr w:type="gramEnd"/>
            <w:r w:rsidRPr="00F91B0C">
              <w:rPr>
                <w:rFonts w:ascii="標楷體" w:eastAsia="標楷體" w:hAnsi="標楷體" w:cs="Calibri" w:hint="eastAsia"/>
              </w:rPr>
              <w:t>或等於9.5g/dL</w:t>
            </w:r>
            <w:r>
              <w:rPr>
                <w:rFonts w:ascii="新細明體" w:hAnsi="新細明體" w:cs="Calibri" w:hint="eastAsia"/>
              </w:rPr>
              <w:t>，</w:t>
            </w:r>
            <w:r>
              <w:rPr>
                <w:rFonts w:ascii="標楷體" w:eastAsia="標楷體" w:hAnsi="標楷體" w:cs="Calibri" w:hint="eastAsia"/>
              </w:rPr>
              <w:t>並排除其他可能造成貧血的原因</w:t>
            </w:r>
            <w:r>
              <w:rPr>
                <w:rFonts w:ascii="新細明體" w:hAnsi="新細明體" w:cs="Calibri" w:hint="eastAsia"/>
              </w:rPr>
              <w:t>。</w:t>
            </w:r>
          </w:p>
          <w:p w14:paraId="2205C207" w14:textId="77777777" w:rsidR="0097713B" w:rsidRDefault="0097713B" w:rsidP="00C44BBD">
            <w:pPr>
              <w:snapToGrid w:val="0"/>
              <w:spacing w:line="300" w:lineRule="exact"/>
              <w:ind w:left="317"/>
              <w:jc w:val="both"/>
              <w:rPr>
                <w:rFonts w:ascii="標楷體" w:eastAsia="標楷體" w:hAnsi="標楷體" w:cs="Calibri"/>
              </w:rPr>
            </w:pPr>
            <w:r>
              <w:rPr>
                <w:rFonts w:ascii="標楷體" w:eastAsia="標楷體" w:hAnsi="標楷體" w:cs="Calibri" w:hint="eastAsia"/>
              </w:rPr>
              <w:t>同時需有</w:t>
            </w:r>
            <w:r w:rsidRPr="00DB61A8">
              <w:rPr>
                <w:rFonts w:ascii="標楷體" w:eastAsia="標楷體" w:hAnsi="標楷體" w:cs="Calibri" w:hint="eastAsia"/>
              </w:rPr>
              <w:t>絕對網狀紅血球計數大於或等於120×10</w:t>
            </w:r>
            <w:r w:rsidRPr="0073737E">
              <w:rPr>
                <w:rFonts w:ascii="標楷體" w:eastAsia="標楷體" w:hAnsi="標楷體" w:cs="Calibri" w:hint="eastAsia"/>
                <w:vertAlign w:val="superscript"/>
              </w:rPr>
              <w:t>9</w:t>
            </w:r>
            <w:r w:rsidRPr="00DB61A8">
              <w:rPr>
                <w:rFonts w:ascii="標楷體" w:eastAsia="標楷體" w:hAnsi="標楷體" w:cs="Calibri" w:hint="eastAsia"/>
              </w:rPr>
              <w:t>/L，或</w:t>
            </w:r>
            <w:r>
              <w:rPr>
                <w:rFonts w:ascii="標楷體" w:eastAsia="標楷體" w:hAnsi="標楷體" w:cs="Calibri" w:hint="eastAsia"/>
              </w:rPr>
              <w:t>是</w:t>
            </w:r>
            <w:r w:rsidRPr="00DB61A8">
              <w:rPr>
                <w:rFonts w:ascii="標楷體" w:eastAsia="標楷體" w:hAnsi="標楷體" w:cs="Calibri" w:hint="eastAsia"/>
              </w:rPr>
              <w:t>網狀紅血球</w:t>
            </w:r>
            <w:r>
              <w:rPr>
                <w:rFonts w:ascii="標楷體" w:eastAsia="標楷體" w:hAnsi="標楷體" w:cs="Calibri" w:hint="eastAsia"/>
              </w:rPr>
              <w:t>比例</w:t>
            </w:r>
            <w:r w:rsidRPr="00DB61A8">
              <w:rPr>
                <w:rFonts w:ascii="標楷體" w:eastAsia="標楷體" w:hAnsi="標楷體" w:cs="Calibri" w:hint="eastAsia"/>
              </w:rPr>
              <w:t>大於或等於3%。</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F1501F" w14:textId="77777777" w:rsidR="0097713B" w:rsidRDefault="0097713B" w:rsidP="00C44BBD">
            <w:pPr>
              <w:snapToGrid w:val="0"/>
              <w:spacing w:line="300" w:lineRule="exact"/>
              <w:rPr>
                <w:rFonts w:ascii="標楷體" w:eastAsia="標楷體" w:hAnsi="標楷體" w:cs="Calibri"/>
              </w:rPr>
            </w:pPr>
          </w:p>
        </w:tc>
      </w:tr>
      <w:tr w:rsidR="0097713B" w14:paraId="21083060"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EFD18C"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B184" w14:textId="77777777" w:rsidR="0097713B" w:rsidRDefault="0097713B" w:rsidP="002144EC">
            <w:pPr>
              <w:numPr>
                <w:ilvl w:val="0"/>
                <w:numId w:val="143"/>
              </w:numPr>
              <w:snapToGrid w:val="0"/>
              <w:spacing w:line="300" w:lineRule="exact"/>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月內有關溶血性貧血活性之評估檢驗報告。</w:t>
            </w:r>
          </w:p>
          <w:p w14:paraId="7314DDA1" w14:textId="77777777" w:rsidR="0097713B" w:rsidRDefault="0097713B" w:rsidP="00C44BBD">
            <w:pPr>
              <w:snapToGrid w:val="0"/>
              <w:spacing w:line="300" w:lineRule="exact"/>
              <w:ind w:left="394"/>
              <w:rPr>
                <w:rFonts w:ascii="標楷體" w:eastAsia="標楷體" w:hAnsi="標楷體" w:cs="Calibri"/>
              </w:rPr>
            </w:pPr>
            <w:r>
              <w:rPr>
                <w:rFonts w:ascii="標楷體" w:eastAsia="標楷體" w:hAnsi="標楷體" w:cs="Calibri" w:hint="eastAsia"/>
              </w:rPr>
              <w:t>需排除血管內溶血持續存在之情形</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87710A" w14:textId="77777777" w:rsidR="0097713B" w:rsidRDefault="0097713B" w:rsidP="00C44BBD">
            <w:pPr>
              <w:snapToGrid w:val="0"/>
              <w:spacing w:line="300" w:lineRule="exact"/>
              <w:rPr>
                <w:rFonts w:ascii="標楷體" w:eastAsia="標楷體" w:hAnsi="標楷體" w:cs="Calibri"/>
              </w:rPr>
            </w:pPr>
          </w:p>
        </w:tc>
      </w:tr>
      <w:tr w:rsidR="0097713B" w14:paraId="69DC3A80"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349F01"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C4C8D2" w14:textId="77777777" w:rsidR="0097713B" w:rsidRDefault="0097713B" w:rsidP="002144EC">
            <w:pPr>
              <w:numPr>
                <w:ilvl w:val="0"/>
                <w:numId w:val="143"/>
              </w:numPr>
              <w:snapToGrid w:val="0"/>
              <w:spacing w:line="300" w:lineRule="exact"/>
              <w:rPr>
                <w:rFonts w:ascii="標楷體" w:eastAsia="標楷體" w:hAnsi="標楷體" w:cs="Calibri"/>
              </w:rPr>
            </w:pPr>
            <w:r>
              <w:rPr>
                <w:rFonts w:ascii="標楷體" w:eastAsia="標楷體" w:hAnsi="標楷體" w:cs="Calibri"/>
              </w:rPr>
              <w:t>六個月內之骨髓檢查報告。</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5909DC" w14:textId="77777777" w:rsidR="0097713B" w:rsidRDefault="0097713B" w:rsidP="00C44BBD">
            <w:pPr>
              <w:snapToGrid w:val="0"/>
              <w:spacing w:line="300" w:lineRule="exact"/>
              <w:rPr>
                <w:rFonts w:ascii="標楷體" w:eastAsia="標楷體" w:hAnsi="標楷體" w:cs="Calibri"/>
              </w:rPr>
            </w:pPr>
          </w:p>
        </w:tc>
      </w:tr>
      <w:tr w:rsidR="0097713B" w14:paraId="75BCA3E8"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BD2AD3"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20B0D4" w14:textId="77777777" w:rsidR="0097713B" w:rsidRDefault="0097713B" w:rsidP="002144EC">
            <w:pPr>
              <w:numPr>
                <w:ilvl w:val="0"/>
                <w:numId w:val="143"/>
              </w:numPr>
              <w:snapToGrid w:val="0"/>
              <w:spacing w:line="300" w:lineRule="exact"/>
              <w:jc w:val="both"/>
              <w:rPr>
                <w:rFonts w:ascii="標楷體" w:eastAsia="標楷體" w:hAnsi="標楷體" w:cs="Calibri"/>
              </w:rPr>
            </w:pPr>
            <w:r>
              <w:rPr>
                <w:rFonts w:ascii="標楷體" w:eastAsia="標楷體" w:hAnsi="標楷體" w:cs="Calibri"/>
              </w:rPr>
              <w:t>六個月內之流式細胞儀的診斷報告，須包含細胞圈選(gating)圖及細胞表面抗原-抗體作用強度圖(即histogram或</w:t>
            </w:r>
            <w:proofErr w:type="spellStart"/>
            <w:r>
              <w:rPr>
                <w:rFonts w:ascii="標楷體" w:eastAsia="標楷體" w:hAnsi="標楷體" w:cs="Calibri"/>
              </w:rPr>
              <w:t>dotplots</w:t>
            </w:r>
            <w:proofErr w:type="spellEnd"/>
            <w:r>
              <w:rPr>
                <w:rFonts w:ascii="標楷體" w:eastAsia="標楷體" w:hAnsi="標楷體" w:cs="Calibri"/>
              </w:rPr>
              <w:t>圖)：須符合經兩種以上抗體確認PNH之granulocyte clone size均大於50%</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C7620" w14:textId="77777777" w:rsidR="0097713B" w:rsidRDefault="0097713B" w:rsidP="00C44BBD">
            <w:pPr>
              <w:snapToGrid w:val="0"/>
              <w:spacing w:line="300" w:lineRule="exact"/>
              <w:rPr>
                <w:rFonts w:ascii="標楷體" w:eastAsia="標楷體" w:hAnsi="標楷體" w:cs="Calibri"/>
              </w:rPr>
            </w:pPr>
          </w:p>
        </w:tc>
      </w:tr>
      <w:tr w:rsidR="0097713B" w14:paraId="0ED33485" w14:textId="77777777" w:rsidTr="006D18A7">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E8E5E7" w14:textId="77777777" w:rsidR="0097713B" w:rsidRDefault="0097713B" w:rsidP="002144EC">
            <w:pPr>
              <w:numPr>
                <w:ilvl w:val="0"/>
                <w:numId w:val="142"/>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排除有高危險之骨髓化生不良症候群（RAEB-1或RAEB-2）的病患。</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C8BB0A" w14:textId="77777777" w:rsidR="0097713B" w:rsidRDefault="0097713B" w:rsidP="00C44BBD">
            <w:pPr>
              <w:snapToGrid w:val="0"/>
              <w:spacing w:line="300" w:lineRule="exact"/>
              <w:rPr>
                <w:rFonts w:ascii="標楷體" w:eastAsia="標楷體" w:hAnsi="標楷體" w:cs="Calibri"/>
              </w:rPr>
            </w:pPr>
            <w:r>
              <w:rPr>
                <w:rFonts w:ascii="標楷體" w:eastAsia="標楷體" w:hAnsi="標楷體" w:cs="Calibri"/>
              </w:rPr>
              <w:t>六個月內骨髓檢查報告(新申請案必備)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C4C97" w14:textId="77777777" w:rsidR="0097713B" w:rsidRDefault="0097713B" w:rsidP="00C44BBD">
            <w:pPr>
              <w:snapToGrid w:val="0"/>
              <w:spacing w:line="300" w:lineRule="exact"/>
              <w:rPr>
                <w:rFonts w:ascii="標楷體" w:eastAsia="標楷體" w:hAnsi="標楷體" w:cs="Calibri"/>
              </w:rPr>
            </w:pPr>
          </w:p>
        </w:tc>
      </w:tr>
      <w:tr w:rsidR="0097713B" w14:paraId="59669914" w14:textId="77777777" w:rsidTr="006D18A7">
        <w:trPr>
          <w:trHeight w:val="110"/>
        </w:trPr>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288F0" w14:textId="77777777" w:rsidR="0097713B" w:rsidRDefault="0097713B" w:rsidP="002144EC">
            <w:pPr>
              <w:numPr>
                <w:ilvl w:val="0"/>
                <w:numId w:val="142"/>
              </w:numPr>
              <w:snapToGrid w:val="0"/>
              <w:spacing w:line="300" w:lineRule="exact"/>
              <w:ind w:left="603" w:hanging="567"/>
              <w:jc w:val="both"/>
              <w:rPr>
                <w:rFonts w:ascii="標楷體" w:eastAsia="標楷體" w:hAnsi="標楷體" w:cs="Calibri"/>
                <w:kern w:val="0"/>
              </w:rPr>
            </w:pPr>
            <w:r w:rsidRPr="009121BF">
              <w:rPr>
                <w:rFonts w:ascii="標楷體" w:eastAsia="標楷體" w:hAnsi="標楷體" w:cs="Calibri"/>
                <w:kern w:val="0"/>
              </w:rPr>
              <w:t>需經</w:t>
            </w:r>
            <w:r w:rsidRPr="00FD4151">
              <w:rPr>
                <w:rFonts w:ascii="標楷體" w:eastAsia="標楷體" w:hAnsi="標楷體" w:cs="Calibri" w:hint="eastAsia"/>
                <w:kern w:val="0"/>
              </w:rPr>
              <w:t>特殊專案審查</w:t>
            </w:r>
            <w:r w:rsidRPr="00FD4151">
              <w:rPr>
                <w:rFonts w:ascii="標楷體" w:eastAsia="標楷體" w:hAnsi="標楷體" w:cs="Calibri"/>
                <w:kern w:val="0"/>
              </w:rPr>
              <w:t>核准</w:t>
            </w:r>
            <w:r w:rsidRPr="009121BF">
              <w:rPr>
                <w:rFonts w:ascii="標楷體" w:eastAsia="標楷體" w:hAnsi="標楷體" w:cs="Calibri"/>
                <w:kern w:val="0"/>
              </w:rPr>
              <w:t>後使用，每次申請期限為6個月。</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9C48FD" w14:textId="77777777" w:rsidR="0097713B" w:rsidRDefault="0097713B" w:rsidP="00C44BBD">
            <w:pPr>
              <w:snapToGrid w:val="0"/>
              <w:spacing w:line="300" w:lineRule="exact"/>
              <w:rPr>
                <w:rFonts w:ascii="標楷體" w:eastAsia="標楷體" w:hAnsi="標楷體" w:cs="Calibri"/>
              </w:rPr>
            </w:pP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8D7AC" w14:textId="77777777" w:rsidR="0097713B" w:rsidRDefault="0097713B" w:rsidP="00C44BBD">
            <w:pPr>
              <w:snapToGrid w:val="0"/>
              <w:spacing w:line="300" w:lineRule="exact"/>
              <w:rPr>
                <w:rFonts w:ascii="標楷體" w:eastAsia="標楷體" w:hAnsi="標楷體" w:cs="Calibri"/>
              </w:rPr>
            </w:pPr>
          </w:p>
        </w:tc>
      </w:tr>
      <w:tr w:rsidR="0097713B" w14:paraId="6603E002" w14:textId="77777777" w:rsidTr="006D18A7">
        <w:trPr>
          <w:trHeight w:val="315"/>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0B8BED" w14:textId="77777777" w:rsidR="0097713B" w:rsidRDefault="0097713B" w:rsidP="00C44BBD">
            <w:pPr>
              <w:snapToGrid w:val="0"/>
              <w:spacing w:line="300" w:lineRule="exact"/>
              <w:jc w:val="both"/>
              <w:rPr>
                <w:rFonts w:ascii="標楷體" w:eastAsia="標楷體" w:hAnsi="標楷體" w:cs="Calibri"/>
                <w:b/>
              </w:rPr>
            </w:pPr>
            <w:r>
              <w:rPr>
                <w:rFonts w:ascii="標楷體" w:eastAsia="標楷體" w:hAnsi="標楷體" w:cs="Calibri"/>
                <w:b/>
              </w:rPr>
              <w:t>續用申請</w:t>
            </w:r>
          </w:p>
        </w:tc>
      </w:tr>
      <w:tr w:rsidR="0097713B" w14:paraId="1D22BCD7" w14:textId="77777777" w:rsidTr="006D18A7">
        <w:trPr>
          <w:trHeight w:val="272"/>
        </w:trPr>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B58F8F" w14:textId="77777777" w:rsidR="0097713B" w:rsidRDefault="0097713B" w:rsidP="00C44BBD">
            <w:pPr>
              <w:widowControl/>
              <w:snapToGrid w:val="0"/>
              <w:spacing w:line="300" w:lineRule="exact"/>
              <w:ind w:left="480"/>
              <w:jc w:val="both"/>
              <w:rPr>
                <w:rFonts w:ascii="標楷體" w:eastAsia="標楷體" w:hAnsi="標楷體" w:cs="Calibri"/>
                <w:kern w:val="0"/>
              </w:rPr>
            </w:pPr>
            <w:r>
              <w:rPr>
                <w:rFonts w:ascii="標楷體" w:eastAsia="標楷體" w:hAnsi="標楷體" w:cs="Calibri"/>
                <w:kern w:val="0"/>
              </w:rPr>
              <w:t>給付規定</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512AD3" w14:textId="77777777" w:rsidR="0097713B" w:rsidRDefault="0097713B" w:rsidP="00C44BBD">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4E49A" w14:textId="77777777" w:rsidR="0097713B" w:rsidRDefault="0097713B" w:rsidP="00C44BBD">
            <w:pPr>
              <w:snapToGrid w:val="0"/>
              <w:spacing w:line="300" w:lineRule="exact"/>
              <w:rPr>
                <w:rFonts w:ascii="標楷體" w:eastAsia="標楷體" w:hAnsi="標楷體" w:cs="Calibri"/>
              </w:rPr>
            </w:pPr>
            <w:r>
              <w:rPr>
                <w:rFonts w:ascii="標楷體" w:eastAsia="標楷體" w:hAnsi="標楷體" w:cs="Calibri"/>
              </w:rPr>
              <w:t>資料確認</w:t>
            </w:r>
          </w:p>
        </w:tc>
      </w:tr>
      <w:tr w:rsidR="0097713B" w14:paraId="43F85855" w14:textId="77777777" w:rsidTr="006D18A7">
        <w:trPr>
          <w:trHeight w:val="332"/>
        </w:trPr>
        <w:tc>
          <w:tcPr>
            <w:tcW w:w="1922"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B3563A" w14:textId="77777777" w:rsidR="0097713B" w:rsidRDefault="0097713B" w:rsidP="002144EC">
            <w:pPr>
              <w:numPr>
                <w:ilvl w:val="0"/>
                <w:numId w:val="144"/>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lastRenderedPageBreak/>
              <w:t>每6個月須重新評估治療結果。</w:t>
            </w:r>
          </w:p>
          <w:p w14:paraId="72FFCBE7" w14:textId="77777777" w:rsidR="0097713B" w:rsidRDefault="0097713B" w:rsidP="002144EC">
            <w:pPr>
              <w:numPr>
                <w:ilvl w:val="0"/>
                <w:numId w:val="144"/>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若符合下列條件之一，則不予同意使用。</w:t>
            </w:r>
          </w:p>
          <w:p w14:paraId="5A3E5F24" w14:textId="77777777" w:rsidR="0097713B" w:rsidRDefault="0097713B" w:rsidP="002144EC">
            <w:pPr>
              <w:numPr>
                <w:ilvl w:val="0"/>
                <w:numId w:val="145"/>
              </w:numPr>
              <w:snapToGrid w:val="0"/>
              <w:spacing w:line="300" w:lineRule="exact"/>
              <w:jc w:val="both"/>
              <w:rPr>
                <w:rFonts w:ascii="標楷體" w:eastAsia="標楷體" w:hAnsi="標楷體" w:cs="Calibri"/>
              </w:rPr>
            </w:pPr>
            <w:r>
              <w:rPr>
                <w:rFonts w:ascii="標楷體" w:eastAsia="標楷體" w:hAnsi="標楷體" w:cs="Calibri"/>
              </w:rPr>
              <w:t>接受治療的患者用藥後病情沒有改善者（LDH超過正常值上限的1.5倍或最近3個月內輸血多於2個單位）。</w:t>
            </w:r>
          </w:p>
          <w:p w14:paraId="25D4DC98" w14:textId="77777777" w:rsidR="0097713B" w:rsidRDefault="0097713B" w:rsidP="002144EC">
            <w:pPr>
              <w:numPr>
                <w:ilvl w:val="0"/>
                <w:numId w:val="145"/>
              </w:numPr>
              <w:snapToGrid w:val="0"/>
              <w:spacing w:line="300" w:lineRule="exact"/>
              <w:jc w:val="both"/>
              <w:rPr>
                <w:rFonts w:ascii="標楷體" w:eastAsia="標楷體" w:hAnsi="標楷體" w:cs="Calibri"/>
              </w:rPr>
            </w:pPr>
            <w:r>
              <w:rPr>
                <w:rFonts w:ascii="標楷體" w:eastAsia="標楷體" w:hAnsi="標楷體" w:cs="Calibri"/>
              </w:rPr>
              <w:t>PNH granulocyte clone size</w:t>
            </w:r>
          </w:p>
          <w:p w14:paraId="721F7800" w14:textId="77777777" w:rsidR="0097713B" w:rsidRDefault="0097713B" w:rsidP="00C44BBD">
            <w:pPr>
              <w:snapToGrid w:val="0"/>
              <w:spacing w:line="300" w:lineRule="exact"/>
              <w:ind w:left="602" w:firstLine="240"/>
              <w:jc w:val="both"/>
            </w:pPr>
            <w:proofErr w:type="gramStart"/>
            <w:r>
              <w:rPr>
                <w:rFonts w:ascii="標楷體" w:eastAsia="標楷體" w:hAnsi="標楷體" w:cs="新細明體"/>
              </w:rPr>
              <w:t>≦</w:t>
            </w:r>
            <w:proofErr w:type="gramEnd"/>
            <w:r>
              <w:rPr>
                <w:rFonts w:ascii="標楷體" w:eastAsia="標楷體" w:hAnsi="標楷體" w:cs="Calibri"/>
              </w:rPr>
              <w:t>50%。</w:t>
            </w:r>
          </w:p>
          <w:p w14:paraId="3C4B8E76" w14:textId="77777777" w:rsidR="0097713B" w:rsidRDefault="0097713B" w:rsidP="002144EC">
            <w:pPr>
              <w:numPr>
                <w:ilvl w:val="0"/>
                <w:numId w:val="145"/>
              </w:numPr>
              <w:snapToGrid w:val="0"/>
              <w:spacing w:line="300" w:lineRule="exact"/>
              <w:jc w:val="both"/>
              <w:rPr>
                <w:rFonts w:ascii="標楷體" w:eastAsia="標楷體" w:hAnsi="標楷體" w:cs="Calibri"/>
              </w:rPr>
            </w:pPr>
            <w:r>
              <w:rPr>
                <w:rFonts w:ascii="標楷體" w:eastAsia="標楷體" w:hAnsi="標楷體" w:cs="Calibri"/>
              </w:rPr>
              <w:t>發生嚴重再生不良性貧血，其檢查結果符合下列兩項或兩項以上者：</w:t>
            </w:r>
          </w:p>
          <w:p w14:paraId="39A52573" w14:textId="77777777" w:rsidR="0097713B" w:rsidRDefault="0097713B" w:rsidP="002144EC">
            <w:pPr>
              <w:numPr>
                <w:ilvl w:val="0"/>
                <w:numId w:val="146"/>
              </w:numPr>
              <w:snapToGrid w:val="0"/>
              <w:spacing w:line="300" w:lineRule="exact"/>
              <w:ind w:left="1018" w:hanging="284"/>
              <w:jc w:val="both"/>
            </w:pPr>
            <w:r>
              <w:rPr>
                <w:rFonts w:ascii="標楷體" w:eastAsia="標楷體" w:hAnsi="標楷體" w:cs="Calibri"/>
              </w:rPr>
              <w:t>中性白血球數目（neutrophil count）＜0.5x10</w:t>
            </w:r>
            <w:r>
              <w:rPr>
                <w:rFonts w:ascii="標楷體" w:eastAsia="標楷體" w:hAnsi="標楷體" w:cs="Calibri"/>
                <w:vertAlign w:val="superscript"/>
              </w:rPr>
              <w:t>9</w:t>
            </w:r>
            <w:r>
              <w:rPr>
                <w:rFonts w:ascii="標楷體" w:eastAsia="標楷體" w:hAnsi="標楷體" w:cs="Calibri"/>
              </w:rPr>
              <w:t>/L。</w:t>
            </w:r>
          </w:p>
          <w:p w14:paraId="0F9A8BCA" w14:textId="77777777" w:rsidR="0097713B" w:rsidRDefault="0097713B" w:rsidP="002144EC">
            <w:pPr>
              <w:numPr>
                <w:ilvl w:val="0"/>
                <w:numId w:val="146"/>
              </w:numPr>
              <w:snapToGrid w:val="0"/>
              <w:spacing w:line="300" w:lineRule="exact"/>
              <w:ind w:left="1018" w:hanging="284"/>
              <w:jc w:val="both"/>
            </w:pPr>
            <w:r>
              <w:rPr>
                <w:rFonts w:ascii="標楷體" w:eastAsia="標楷體" w:hAnsi="標楷體" w:cs="Calibri"/>
              </w:rPr>
              <w:t>血小板數目（platelet count）＜20x10</w:t>
            </w:r>
            <w:r>
              <w:rPr>
                <w:rFonts w:ascii="標楷體" w:eastAsia="標楷體" w:hAnsi="標楷體" w:cs="Calibri"/>
                <w:vertAlign w:val="superscript"/>
              </w:rPr>
              <w:t>9</w:t>
            </w:r>
            <w:r>
              <w:rPr>
                <w:rFonts w:ascii="標楷體" w:eastAsia="標楷體" w:hAnsi="標楷體" w:cs="Calibri"/>
              </w:rPr>
              <w:t>/L。</w:t>
            </w:r>
          </w:p>
          <w:p w14:paraId="36F18426" w14:textId="77777777" w:rsidR="0097713B" w:rsidRDefault="0097713B" w:rsidP="002144EC">
            <w:pPr>
              <w:numPr>
                <w:ilvl w:val="0"/>
                <w:numId w:val="146"/>
              </w:numPr>
              <w:snapToGrid w:val="0"/>
              <w:spacing w:line="300" w:lineRule="exact"/>
              <w:ind w:left="1018" w:hanging="284"/>
              <w:jc w:val="both"/>
              <w:rPr>
                <w:rFonts w:ascii="標楷體" w:eastAsia="標楷體" w:hAnsi="標楷體" w:cs="Calibri"/>
              </w:rPr>
            </w:pPr>
            <w:r>
              <w:rPr>
                <w:rFonts w:ascii="標楷體" w:eastAsia="標楷體" w:hAnsi="標楷體" w:cs="Calibri"/>
              </w:rPr>
              <w:t>網狀細胞（reticulocytes）</w:t>
            </w:r>
          </w:p>
          <w:p w14:paraId="6A676F62" w14:textId="77777777" w:rsidR="0097713B" w:rsidRDefault="0097713B" w:rsidP="00C44BBD">
            <w:pPr>
              <w:snapToGrid w:val="0"/>
              <w:spacing w:line="300" w:lineRule="exact"/>
              <w:ind w:left="1018"/>
              <w:jc w:val="both"/>
            </w:pPr>
            <w:r>
              <w:rPr>
                <w:rFonts w:ascii="標楷體" w:eastAsia="標楷體" w:hAnsi="標楷體" w:cs="Calibri"/>
              </w:rPr>
              <w:t>＜25x10</w:t>
            </w:r>
            <w:r>
              <w:rPr>
                <w:rFonts w:ascii="標楷體" w:eastAsia="標楷體" w:hAnsi="標楷體" w:cs="Calibri"/>
                <w:vertAlign w:val="superscript"/>
              </w:rPr>
              <w:t>9</w:t>
            </w:r>
            <w:r>
              <w:rPr>
                <w:rFonts w:ascii="標楷體" w:eastAsia="標楷體" w:hAnsi="標楷體" w:cs="Calibri"/>
              </w:rPr>
              <w:t>/L。</w:t>
            </w:r>
          </w:p>
          <w:p w14:paraId="1D28EAAE" w14:textId="77777777" w:rsidR="0097713B" w:rsidRDefault="0097713B" w:rsidP="002144EC">
            <w:pPr>
              <w:numPr>
                <w:ilvl w:val="0"/>
                <w:numId w:val="146"/>
              </w:numPr>
              <w:snapToGrid w:val="0"/>
              <w:spacing w:line="300" w:lineRule="exact"/>
              <w:ind w:left="1018" w:hanging="284"/>
              <w:jc w:val="both"/>
              <w:rPr>
                <w:rFonts w:ascii="標楷體" w:eastAsia="標楷體" w:hAnsi="標楷體" w:cs="Calibri"/>
              </w:rPr>
            </w:pPr>
            <w:r>
              <w:rPr>
                <w:rFonts w:ascii="標楷體" w:eastAsia="標楷體" w:hAnsi="標楷體" w:cs="Calibri"/>
              </w:rPr>
              <w:t>骨髓內造血細胞密度＜30%。</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FD427" w14:textId="77777777" w:rsidR="0097713B" w:rsidRDefault="0097713B" w:rsidP="00C44BBD">
            <w:pPr>
              <w:snapToGrid w:val="0"/>
              <w:spacing w:line="300" w:lineRule="exact"/>
              <w:rPr>
                <w:rFonts w:ascii="標楷體" w:eastAsia="標楷體" w:hAnsi="標楷體" w:cs="Calibri"/>
                <w:b/>
              </w:rPr>
            </w:pPr>
            <w:r>
              <w:rPr>
                <w:rFonts w:ascii="標楷體" w:eastAsia="標楷體" w:hAnsi="標楷體" w:cs="Calibri"/>
                <w:b/>
              </w:rPr>
              <w:t>必備：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AA5D2" w14:textId="77777777" w:rsidR="0097713B" w:rsidRDefault="0097713B" w:rsidP="00C44BBD">
            <w:pPr>
              <w:snapToGrid w:val="0"/>
              <w:spacing w:line="300" w:lineRule="exact"/>
              <w:rPr>
                <w:rFonts w:ascii="標楷體" w:eastAsia="標楷體" w:hAnsi="標楷體" w:cs="Calibri"/>
              </w:rPr>
            </w:pPr>
          </w:p>
        </w:tc>
      </w:tr>
      <w:tr w:rsidR="0097713B" w14:paraId="680C1978"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619636" w14:textId="77777777" w:rsidR="0097713B" w:rsidRDefault="0097713B" w:rsidP="002144EC">
            <w:pPr>
              <w:numPr>
                <w:ilvl w:val="0"/>
                <w:numId w:val="147"/>
              </w:numPr>
              <w:snapToGrid w:val="0"/>
              <w:spacing w:line="300" w:lineRule="exact"/>
              <w:ind w:left="839" w:hanging="357"/>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C6D96" w14:textId="77777777" w:rsidR="0097713B" w:rsidRDefault="0097713B" w:rsidP="002144EC">
            <w:pPr>
              <w:numPr>
                <w:ilvl w:val="0"/>
                <w:numId w:val="148"/>
              </w:numPr>
              <w:snapToGrid w:val="0"/>
              <w:spacing w:line="300" w:lineRule="exact"/>
              <w:jc w:val="both"/>
              <w:rPr>
                <w:rFonts w:ascii="標楷體" w:eastAsia="標楷體" w:hAnsi="標楷體" w:cs="Calibri"/>
              </w:rPr>
            </w:pPr>
            <w:r>
              <w:rPr>
                <w:rFonts w:ascii="標楷體" w:eastAsia="標楷體" w:hAnsi="標楷體" w:cs="Calibri"/>
              </w:rPr>
              <w:t>病史摘要說明及治療後療效評估說明。</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94D06A" w14:textId="77777777" w:rsidR="0097713B" w:rsidRDefault="0097713B" w:rsidP="00C44BBD">
            <w:pPr>
              <w:snapToGrid w:val="0"/>
              <w:spacing w:line="300" w:lineRule="exact"/>
              <w:rPr>
                <w:rFonts w:ascii="標楷體" w:eastAsia="標楷體" w:hAnsi="標楷體" w:cs="Calibri"/>
              </w:rPr>
            </w:pPr>
          </w:p>
        </w:tc>
      </w:tr>
      <w:tr w:rsidR="0097713B" w14:paraId="27AE78F3"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39FBD2" w14:textId="77777777" w:rsidR="0097713B" w:rsidRDefault="0097713B" w:rsidP="002144EC">
            <w:pPr>
              <w:numPr>
                <w:ilvl w:val="0"/>
                <w:numId w:val="147"/>
              </w:numPr>
              <w:snapToGrid w:val="0"/>
              <w:spacing w:line="300" w:lineRule="exact"/>
              <w:ind w:left="839" w:hanging="357"/>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7E6375" w14:textId="77777777" w:rsidR="0097713B" w:rsidRPr="00D14B25" w:rsidRDefault="0097713B" w:rsidP="002144EC">
            <w:pPr>
              <w:numPr>
                <w:ilvl w:val="0"/>
                <w:numId w:val="148"/>
              </w:numPr>
              <w:snapToGrid w:val="0"/>
              <w:spacing w:line="300" w:lineRule="exact"/>
              <w:jc w:val="both"/>
              <w:rPr>
                <w:rFonts w:ascii="標楷體" w:eastAsia="標楷體" w:hAnsi="標楷體" w:cs="Calibri"/>
              </w:rPr>
            </w:pPr>
            <w:r w:rsidRPr="00D14B25">
              <w:rPr>
                <w:rFonts w:ascii="標楷體" w:eastAsia="標楷體" w:hAnsi="標楷體" w:cs="Calibri" w:hint="eastAsia"/>
              </w:rPr>
              <w:t>若為申請</w:t>
            </w:r>
            <w:r>
              <w:rPr>
                <w:rFonts w:ascii="標楷體" w:eastAsia="標楷體" w:hAnsi="標楷體" w:cs="Calibri" w:hint="eastAsia"/>
              </w:rPr>
              <w:t>續</w:t>
            </w:r>
            <w:r w:rsidRPr="00D14B25">
              <w:rPr>
                <w:rFonts w:ascii="標楷體" w:eastAsia="標楷體" w:hAnsi="標楷體" w:cs="Calibri" w:hint="eastAsia"/>
              </w:rPr>
              <w:t>使用</w:t>
            </w:r>
            <w:proofErr w:type="spellStart"/>
            <w:r w:rsidRPr="00D14B25">
              <w:rPr>
                <w:rFonts w:ascii="標楷體" w:eastAsia="標楷體" w:hAnsi="標楷體" w:cs="Calibri" w:hint="eastAsia"/>
              </w:rPr>
              <w:t>Voydeya</w:t>
            </w:r>
            <w:proofErr w:type="spellEnd"/>
            <w:r w:rsidRPr="00D14B25">
              <w:rPr>
                <w:rFonts w:ascii="標楷體" w:eastAsia="標楷體" w:hAnsi="標楷體" w:cs="Calibri" w:hint="eastAsia"/>
              </w:rPr>
              <w:t xml:space="preserve"> (</w:t>
            </w:r>
            <w:proofErr w:type="spellStart"/>
            <w:r w:rsidRPr="00D14B25">
              <w:rPr>
                <w:rFonts w:ascii="標楷體" w:eastAsia="標楷體" w:hAnsi="標楷體" w:cs="Calibri" w:hint="eastAsia"/>
              </w:rPr>
              <w:t>danicopan</w:t>
            </w:r>
            <w:proofErr w:type="spellEnd"/>
            <w:r w:rsidRPr="00D14B25">
              <w:rPr>
                <w:rFonts w:ascii="標楷體" w:eastAsia="標楷體" w:hAnsi="標楷體" w:cs="Calibri" w:hint="eastAsia"/>
              </w:rPr>
              <w:t>)，則須同時申請</w:t>
            </w:r>
            <w:proofErr w:type="spellStart"/>
            <w:r w:rsidRPr="00D14B25">
              <w:rPr>
                <w:rFonts w:ascii="標楷體" w:eastAsia="標楷體" w:hAnsi="標楷體" w:cs="Calibri" w:hint="eastAsia"/>
              </w:rPr>
              <w:t>ravulizumab</w:t>
            </w:r>
            <w:proofErr w:type="spellEnd"/>
            <w:r w:rsidRPr="00D14B25">
              <w:rPr>
                <w:rFonts w:ascii="標楷體" w:eastAsia="標楷體" w:hAnsi="標楷體" w:cs="Calibri" w:hint="eastAsia"/>
              </w:rPr>
              <w:t xml:space="preserve"> 或 eculizumab。</w:t>
            </w:r>
          </w:p>
          <w:p w14:paraId="55BA53DF" w14:textId="77777777" w:rsidR="0097713B" w:rsidRDefault="0097713B" w:rsidP="00C44BBD">
            <w:pPr>
              <w:snapToGrid w:val="0"/>
              <w:spacing w:line="300" w:lineRule="exact"/>
              <w:ind w:left="394"/>
              <w:jc w:val="both"/>
              <w:rPr>
                <w:rFonts w:ascii="標楷體" w:eastAsia="標楷體" w:hAnsi="標楷體" w:cs="Calibri"/>
              </w:rPr>
            </w:pPr>
            <w:r w:rsidRPr="00D14B25">
              <w:rPr>
                <w:rFonts w:ascii="標楷體" w:eastAsia="標楷體" w:hAnsi="標楷體" w:cs="Calibri" w:hint="eastAsia"/>
              </w:rPr>
              <w:t>若</w:t>
            </w:r>
            <w:proofErr w:type="spellStart"/>
            <w:r w:rsidRPr="00D14B25">
              <w:rPr>
                <w:rFonts w:ascii="標楷體" w:eastAsia="標楷體" w:hAnsi="標楷體" w:cs="Calibri" w:hint="eastAsia"/>
              </w:rPr>
              <w:t>Voydeya</w:t>
            </w:r>
            <w:proofErr w:type="spellEnd"/>
            <w:r w:rsidRPr="00D14B25">
              <w:rPr>
                <w:rFonts w:ascii="標楷體" w:eastAsia="標楷體" w:hAnsi="標楷體" w:cs="Calibri" w:hint="eastAsia"/>
              </w:rPr>
              <w:t>獲同意使用則</w:t>
            </w:r>
            <w:proofErr w:type="spellStart"/>
            <w:r w:rsidRPr="00D14B25">
              <w:rPr>
                <w:rFonts w:ascii="標楷體" w:eastAsia="標楷體" w:hAnsi="標楷體" w:cs="Calibri" w:hint="eastAsia"/>
              </w:rPr>
              <w:t>ravulizumab</w:t>
            </w:r>
            <w:proofErr w:type="spellEnd"/>
            <w:r w:rsidRPr="00D14B25">
              <w:rPr>
                <w:rFonts w:ascii="標楷體" w:eastAsia="標楷體" w:hAnsi="標楷體" w:cs="Calibri" w:hint="eastAsia"/>
              </w:rPr>
              <w:t xml:space="preserve"> 或 eculizumab也可同時使用。</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08014" w14:textId="77777777" w:rsidR="0097713B" w:rsidRDefault="0097713B" w:rsidP="00C44BBD">
            <w:pPr>
              <w:snapToGrid w:val="0"/>
              <w:spacing w:line="300" w:lineRule="exact"/>
              <w:rPr>
                <w:rFonts w:ascii="標楷體" w:eastAsia="標楷體" w:hAnsi="標楷體" w:cs="Calibri"/>
              </w:rPr>
            </w:pPr>
          </w:p>
        </w:tc>
      </w:tr>
      <w:tr w:rsidR="0097713B" w14:paraId="6570364E"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62DB84" w14:textId="77777777" w:rsidR="0097713B" w:rsidRDefault="0097713B" w:rsidP="002144EC">
            <w:pPr>
              <w:numPr>
                <w:ilvl w:val="0"/>
                <w:numId w:val="144"/>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8C3D9B" w14:textId="77777777" w:rsidR="0097713B" w:rsidRDefault="0097713B" w:rsidP="002144EC">
            <w:pPr>
              <w:numPr>
                <w:ilvl w:val="0"/>
                <w:numId w:val="148"/>
              </w:numPr>
              <w:snapToGrid w:val="0"/>
              <w:spacing w:line="300" w:lineRule="exact"/>
              <w:jc w:val="both"/>
              <w:rPr>
                <w:rFonts w:ascii="標楷體" w:eastAsia="標楷體" w:hAnsi="標楷體" w:cs="Calibri"/>
              </w:rPr>
            </w:pPr>
            <w:r>
              <w:rPr>
                <w:rFonts w:ascii="標楷體" w:eastAsia="標楷體" w:hAnsi="標楷體" w:cs="Calibri"/>
              </w:rPr>
              <w:t>治療計畫書，須說明申請續治療期間</w:t>
            </w:r>
            <w:r>
              <w:rPr>
                <w:rFonts w:ascii="標楷體" w:eastAsia="標楷體" w:hAnsi="標楷體" w:cs="Calibri" w:hint="eastAsia"/>
              </w:rPr>
              <w:t>仍</w:t>
            </w:r>
            <w:r>
              <w:rPr>
                <w:rFonts w:ascii="標楷體" w:eastAsia="標楷體" w:hAnsi="標楷體" w:cs="Calibri"/>
              </w:rPr>
              <w:t>在過往施</w:t>
            </w:r>
            <w:proofErr w:type="gramStart"/>
            <w:r>
              <w:rPr>
                <w:rFonts w:ascii="標楷體" w:eastAsia="標楷體" w:hAnsi="標楷體" w:cs="Calibri"/>
              </w:rPr>
              <w:t>打</w:t>
            </w:r>
            <w:r w:rsidRPr="005D7147">
              <w:rPr>
                <w:rFonts w:ascii="標楷體" w:eastAsia="標楷體" w:hAnsi="標楷體" w:cs="Calibri" w:hint="eastAsia"/>
              </w:rPr>
              <w:t>莢膜細菌</w:t>
            </w:r>
            <w:proofErr w:type="gramEnd"/>
            <w:r w:rsidRPr="005D7147">
              <w:rPr>
                <w:rFonts w:ascii="標楷體" w:eastAsia="標楷體" w:hAnsi="標楷體" w:cs="Calibri" w:hint="eastAsia"/>
              </w:rPr>
              <w:t xml:space="preserve"> (腦膜炎雙球菌、肺炎鏈球菌和 B 型</w:t>
            </w:r>
            <w:proofErr w:type="gramStart"/>
            <w:r w:rsidRPr="005D7147">
              <w:rPr>
                <w:rFonts w:ascii="標楷體" w:eastAsia="標楷體" w:hAnsi="標楷體" w:cs="Calibri" w:hint="eastAsia"/>
              </w:rPr>
              <w:t>流感嗜血</w:t>
            </w:r>
            <w:proofErr w:type="gramEnd"/>
            <w:r w:rsidRPr="005D7147">
              <w:rPr>
                <w:rFonts w:ascii="標楷體" w:eastAsia="標楷體" w:hAnsi="標楷體" w:cs="Calibri" w:hint="eastAsia"/>
              </w:rPr>
              <w:t>桿菌)之疫苗</w:t>
            </w:r>
            <w:r>
              <w:rPr>
                <w:rFonts w:ascii="標楷體" w:eastAsia="標楷體" w:hAnsi="標楷體" w:cs="Calibri" w:hint="eastAsia"/>
              </w:rPr>
              <w:t>有效</w:t>
            </w:r>
            <w:proofErr w:type="gramStart"/>
            <w:r>
              <w:rPr>
                <w:rFonts w:ascii="標楷體" w:eastAsia="標楷體" w:hAnsi="標楷體" w:cs="Calibri" w:hint="eastAsia"/>
              </w:rPr>
              <w:t>期間</w:t>
            </w:r>
            <w:r>
              <w:rPr>
                <w:rFonts w:ascii="標楷體" w:eastAsia="標楷體" w:hAnsi="標楷體" w:cs="Calibri"/>
              </w:rPr>
              <w:t>，</w:t>
            </w:r>
            <w:proofErr w:type="gramEnd"/>
            <w:r>
              <w:rPr>
                <w:rFonts w:ascii="標楷體" w:eastAsia="標楷體" w:hAnsi="標楷體" w:cs="Calibri"/>
              </w:rPr>
              <w:t>或是有再次施打之計畫。</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243775" w14:textId="77777777" w:rsidR="0097713B" w:rsidRDefault="0097713B" w:rsidP="00C44BBD">
            <w:pPr>
              <w:snapToGrid w:val="0"/>
              <w:spacing w:line="300" w:lineRule="exact"/>
              <w:rPr>
                <w:rFonts w:ascii="標楷體" w:eastAsia="標楷體" w:hAnsi="標楷體" w:cs="Calibri"/>
              </w:rPr>
            </w:pPr>
          </w:p>
        </w:tc>
      </w:tr>
      <w:tr w:rsidR="0097713B" w14:paraId="285DE591"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E02E06" w14:textId="77777777" w:rsidR="0097713B" w:rsidRDefault="0097713B" w:rsidP="002144EC">
            <w:pPr>
              <w:numPr>
                <w:ilvl w:val="0"/>
                <w:numId w:val="144"/>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25965" w14:textId="77777777" w:rsidR="0097713B" w:rsidRDefault="0097713B" w:rsidP="002144EC">
            <w:pPr>
              <w:numPr>
                <w:ilvl w:val="0"/>
                <w:numId w:val="148"/>
              </w:numPr>
              <w:snapToGrid w:val="0"/>
              <w:spacing w:line="300" w:lineRule="exact"/>
              <w:jc w:val="both"/>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月內之CBC、WBC分類、LDH及reticulocyte至少兩次。</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3C60E3" w14:textId="77777777" w:rsidR="0097713B" w:rsidRDefault="0097713B" w:rsidP="00C44BBD">
            <w:pPr>
              <w:snapToGrid w:val="0"/>
              <w:spacing w:line="300" w:lineRule="exact"/>
              <w:rPr>
                <w:rFonts w:ascii="標楷體" w:eastAsia="標楷體" w:hAnsi="標楷體" w:cs="Calibri"/>
              </w:rPr>
            </w:pPr>
          </w:p>
        </w:tc>
      </w:tr>
      <w:tr w:rsidR="0097713B" w14:paraId="21B33403"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3CC451" w14:textId="77777777" w:rsidR="0097713B" w:rsidRDefault="0097713B" w:rsidP="002144EC">
            <w:pPr>
              <w:numPr>
                <w:ilvl w:val="0"/>
                <w:numId w:val="144"/>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442CB1" w14:textId="77777777" w:rsidR="0097713B" w:rsidRDefault="0097713B" w:rsidP="002144EC">
            <w:pPr>
              <w:numPr>
                <w:ilvl w:val="0"/>
                <w:numId w:val="148"/>
              </w:numPr>
              <w:snapToGrid w:val="0"/>
              <w:spacing w:line="300" w:lineRule="exact"/>
              <w:jc w:val="both"/>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月內之溶血性貧血活性評估，必須包含LDH。</w:t>
            </w:r>
            <w:r>
              <w:rPr>
                <w:rFonts w:ascii="標楷體" w:eastAsia="標楷體" w:hAnsi="標楷體" w:cs="Calibri" w:hint="eastAsia"/>
              </w:rPr>
              <w:t>若</w:t>
            </w:r>
            <w:r>
              <w:rPr>
                <w:rFonts w:ascii="標楷體" w:eastAsia="標楷體" w:hAnsi="標楷體" w:cs="Calibri"/>
              </w:rPr>
              <w:t>LDH仍超過正常值上限的1.5倍且排除因其他疾病因素所致之LDH上升(如感染等)，則不再核准，但病人呈現</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為陽性(須檢附</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陽性之檢驗報告)且輸血量及頻率未超過用藥前者除外。</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37744" w14:textId="77777777" w:rsidR="0097713B" w:rsidRDefault="0097713B" w:rsidP="00C44BBD">
            <w:pPr>
              <w:snapToGrid w:val="0"/>
              <w:spacing w:line="300" w:lineRule="exact"/>
              <w:rPr>
                <w:rFonts w:ascii="標楷體" w:eastAsia="標楷體" w:hAnsi="標楷體" w:cs="Calibri"/>
              </w:rPr>
            </w:pPr>
          </w:p>
        </w:tc>
      </w:tr>
      <w:tr w:rsidR="0097713B" w14:paraId="348905C8"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DF156D" w14:textId="77777777" w:rsidR="0097713B" w:rsidRDefault="0097713B" w:rsidP="002144EC">
            <w:pPr>
              <w:numPr>
                <w:ilvl w:val="0"/>
                <w:numId w:val="144"/>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5FB98" w14:textId="77777777" w:rsidR="0097713B" w:rsidRDefault="0097713B" w:rsidP="002144EC">
            <w:pPr>
              <w:numPr>
                <w:ilvl w:val="0"/>
                <w:numId w:val="148"/>
              </w:numPr>
              <w:snapToGrid w:val="0"/>
              <w:spacing w:line="300" w:lineRule="exact"/>
              <w:jc w:val="both"/>
              <w:rPr>
                <w:rFonts w:ascii="標楷體" w:eastAsia="標楷體" w:hAnsi="標楷體" w:cs="Calibri"/>
              </w:rPr>
            </w:pPr>
            <w:r>
              <w:rPr>
                <w:rFonts w:ascii="標楷體" w:eastAsia="標楷體" w:hAnsi="標楷體" w:cs="Calibri"/>
              </w:rPr>
              <w:t>第一次送審時所附之CBC及WBC分類</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D1DFF1" w14:textId="77777777" w:rsidR="0097713B" w:rsidRDefault="0097713B" w:rsidP="00C44BBD">
            <w:pPr>
              <w:snapToGrid w:val="0"/>
              <w:spacing w:line="300" w:lineRule="exact"/>
              <w:rPr>
                <w:rFonts w:ascii="標楷體" w:eastAsia="標楷體" w:hAnsi="標楷體" w:cs="Calibri"/>
              </w:rPr>
            </w:pPr>
          </w:p>
        </w:tc>
      </w:tr>
      <w:tr w:rsidR="0097713B" w14:paraId="6EE6D66C" w14:textId="77777777" w:rsidTr="006D18A7">
        <w:trPr>
          <w:trHeight w:val="25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AF8C59" w14:textId="77777777" w:rsidR="0097713B" w:rsidRDefault="0097713B" w:rsidP="002144EC">
            <w:pPr>
              <w:numPr>
                <w:ilvl w:val="0"/>
                <w:numId w:val="144"/>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A7D8C4" w14:textId="77777777" w:rsidR="0097713B" w:rsidRDefault="0097713B" w:rsidP="002144EC">
            <w:pPr>
              <w:numPr>
                <w:ilvl w:val="0"/>
                <w:numId w:val="148"/>
              </w:numPr>
              <w:snapToGrid w:val="0"/>
              <w:spacing w:line="300" w:lineRule="exact"/>
              <w:jc w:val="both"/>
              <w:rPr>
                <w:rFonts w:ascii="標楷體" w:eastAsia="標楷體" w:hAnsi="標楷體" w:cs="Calibri"/>
              </w:rPr>
            </w:pPr>
            <w:r>
              <w:rPr>
                <w:rFonts w:ascii="標楷體" w:eastAsia="標楷體" w:hAnsi="標楷體" w:cs="Calibri"/>
              </w:rPr>
              <w:t>六個月內之流式細胞儀的診斷報告及細胞圈選(gating)圖：仍須符合經兩種以上抗體確認PNH之granulocyte clone size均大於50%</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33DE5F" w14:textId="77777777" w:rsidR="0097713B" w:rsidRDefault="0097713B" w:rsidP="00C44BBD">
            <w:pPr>
              <w:snapToGrid w:val="0"/>
              <w:spacing w:line="300" w:lineRule="exact"/>
              <w:rPr>
                <w:rFonts w:ascii="標楷體" w:eastAsia="標楷體" w:hAnsi="標楷體" w:cs="Calibri"/>
              </w:rPr>
            </w:pPr>
          </w:p>
        </w:tc>
      </w:tr>
      <w:tr w:rsidR="0097713B" w14:paraId="07EDE285" w14:textId="77777777" w:rsidTr="006D18A7">
        <w:trPr>
          <w:trHeight w:val="250"/>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BCED5D" w14:textId="77777777" w:rsidR="0097713B" w:rsidRDefault="0097713B" w:rsidP="002144EC">
            <w:pPr>
              <w:numPr>
                <w:ilvl w:val="0"/>
                <w:numId w:val="144"/>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EAD3A3" w14:textId="77777777" w:rsidR="0097713B" w:rsidRDefault="0097713B" w:rsidP="00C44BBD">
            <w:pPr>
              <w:snapToGrid w:val="0"/>
              <w:spacing w:line="300" w:lineRule="exact"/>
              <w:jc w:val="both"/>
            </w:pPr>
            <w:r>
              <w:rPr>
                <w:rFonts w:ascii="標楷體" w:eastAsia="標楷體" w:hAnsi="標楷體" w:cs="Calibri"/>
              </w:rPr>
              <w:t>其他</w:t>
            </w:r>
            <w:r>
              <w:rPr>
                <w:rFonts w:ascii="標楷體" w:eastAsia="標楷體" w:hAnsi="標楷體" w:cs="Calibri"/>
                <w:b/>
              </w:rPr>
              <w:t>應備</w:t>
            </w:r>
            <w:r>
              <w:rPr>
                <w:rFonts w:ascii="標楷體" w:eastAsia="標楷體" w:hAnsi="標楷體" w:cs="Calibri"/>
              </w:rPr>
              <w:t>項目：</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C5FFAA" w14:textId="77777777" w:rsidR="0097713B" w:rsidRDefault="0097713B" w:rsidP="00C44BBD">
            <w:pPr>
              <w:snapToGrid w:val="0"/>
              <w:spacing w:line="300" w:lineRule="exact"/>
              <w:rPr>
                <w:rFonts w:ascii="標楷體" w:eastAsia="標楷體" w:hAnsi="標楷體" w:cs="Calibri"/>
              </w:rPr>
            </w:pPr>
          </w:p>
        </w:tc>
      </w:tr>
      <w:tr w:rsidR="0097713B" w14:paraId="5F10B9B7" w14:textId="77777777" w:rsidTr="006D18A7">
        <w:trPr>
          <w:trHeight w:val="1440"/>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17BFEA" w14:textId="77777777" w:rsidR="0097713B" w:rsidRDefault="0097713B" w:rsidP="002144EC">
            <w:pPr>
              <w:numPr>
                <w:ilvl w:val="0"/>
                <w:numId w:val="144"/>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2A454E" w14:textId="77777777" w:rsidR="0097713B" w:rsidRDefault="0097713B" w:rsidP="00C44BBD">
            <w:pPr>
              <w:snapToGrid w:val="0"/>
              <w:spacing w:line="300" w:lineRule="exact"/>
              <w:jc w:val="both"/>
              <w:rPr>
                <w:rFonts w:ascii="標楷體" w:eastAsia="標楷體" w:hAnsi="標楷體" w:cs="Calibri"/>
              </w:rPr>
            </w:pPr>
            <w:r>
              <w:rPr>
                <w:rFonts w:ascii="標楷體" w:eastAsia="標楷體" w:hAnsi="標楷體" w:cs="Calibri"/>
              </w:rPr>
              <w:t>若再次申請之CBC、WBC分類及reticulocyte和第一次送審之報告有除血紅素上升外之明顯惡化，建議再次申請時加附六個月內之骨髓檢查報告。</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B19E3F" w14:textId="77777777" w:rsidR="0097713B" w:rsidRDefault="0097713B" w:rsidP="00C44BBD">
            <w:pPr>
              <w:snapToGrid w:val="0"/>
              <w:spacing w:line="300" w:lineRule="exact"/>
              <w:rPr>
                <w:rFonts w:ascii="標楷體" w:eastAsia="標楷體" w:hAnsi="標楷體" w:cs="Calibri"/>
              </w:rPr>
            </w:pPr>
          </w:p>
        </w:tc>
      </w:tr>
    </w:tbl>
    <w:p w14:paraId="1FB191BA" w14:textId="560DC87B" w:rsidR="005C51CB" w:rsidRDefault="005C51CB" w:rsidP="000E757E">
      <w:pPr>
        <w:snapToGrid w:val="0"/>
        <w:spacing w:line="240" w:lineRule="atLeast"/>
        <w:rPr>
          <w:rFonts w:ascii="標楷體" w:eastAsia="標楷體" w:hAnsi="標楷體"/>
        </w:rPr>
      </w:pPr>
    </w:p>
    <w:p w14:paraId="63064C58" w14:textId="0E143197" w:rsidR="00754BCA" w:rsidRPr="00190A34" w:rsidRDefault="005C51CB" w:rsidP="00190A34">
      <w:pPr>
        <w:widowControl/>
        <w:suppressAutoHyphens w:val="0"/>
        <w:spacing w:line="300" w:lineRule="exact"/>
        <w:jc w:val="center"/>
        <w:rPr>
          <w:rFonts w:ascii="Times New Roman" w:eastAsia="標楷體" w:hAnsi="Times New Roman"/>
          <w:b/>
          <w:bCs/>
          <w:color w:val="000000"/>
          <w:kern w:val="2"/>
          <w:szCs w:val="24"/>
        </w:rPr>
      </w:pPr>
      <w:r>
        <w:rPr>
          <w:rFonts w:ascii="標楷體" w:eastAsia="標楷體" w:hAnsi="標楷體"/>
        </w:rPr>
        <w:br w:type="page"/>
      </w:r>
      <w:r w:rsidR="00754BCA" w:rsidRPr="00190A34">
        <w:rPr>
          <w:rFonts w:ascii="Times New Roman" w:eastAsia="標楷體" w:hAnsi="標楷體"/>
          <w:b/>
          <w:bCs/>
          <w:color w:val="000000"/>
          <w:kern w:val="2"/>
          <w:szCs w:val="24"/>
        </w:rPr>
        <w:lastRenderedPageBreak/>
        <w:t>附表</w:t>
      </w:r>
      <w:r w:rsidR="00754BCA" w:rsidRPr="00190A34">
        <w:rPr>
          <w:rFonts w:ascii="Times New Roman" w:eastAsia="標楷體" w:hAnsi="標楷體" w:hint="eastAsia"/>
          <w:b/>
          <w:bCs/>
          <w:color w:val="000000"/>
          <w:kern w:val="2"/>
          <w:szCs w:val="24"/>
        </w:rPr>
        <w:t>三十一</w:t>
      </w:r>
      <w:r w:rsidR="00754BCA" w:rsidRPr="00190A34">
        <w:rPr>
          <w:rFonts w:ascii="Times New Roman" w:eastAsia="標楷體" w:hAnsi="Times New Roman" w:hint="eastAsia"/>
          <w:b/>
          <w:bCs/>
          <w:color w:val="000000"/>
          <w:kern w:val="2"/>
          <w:szCs w:val="24"/>
        </w:rPr>
        <w:t>：</w:t>
      </w:r>
      <w:r w:rsidR="00754BCA" w:rsidRPr="00190A34">
        <w:rPr>
          <w:rFonts w:ascii="Times New Roman" w:eastAsia="標楷體" w:hAnsi="標楷體"/>
          <w:b/>
          <w:bCs/>
          <w:color w:val="000000"/>
          <w:kern w:val="2"/>
          <w:szCs w:val="24"/>
        </w:rPr>
        <w:t>全民健康保險使用</w:t>
      </w:r>
      <w:r w:rsidR="00754BCA" w:rsidRPr="00190A34">
        <w:rPr>
          <w:rFonts w:ascii="Times New Roman" w:eastAsia="標楷體" w:hAnsi="標楷體" w:hint="eastAsia"/>
          <w:b/>
          <w:bCs/>
          <w:color w:val="000000"/>
          <w:kern w:val="2"/>
          <w:szCs w:val="24"/>
        </w:rPr>
        <w:t>abatacept</w:t>
      </w:r>
      <w:r w:rsidR="00754BCA" w:rsidRPr="00190A34">
        <w:rPr>
          <w:rFonts w:ascii="Times New Roman" w:eastAsia="標楷體" w:hAnsi="標楷體"/>
          <w:b/>
          <w:bCs/>
          <w:color w:val="000000"/>
          <w:kern w:val="2"/>
          <w:szCs w:val="24"/>
        </w:rPr>
        <w:t>申請表</w:t>
      </w:r>
    </w:p>
    <w:p w14:paraId="03ABB7DF" w14:textId="77777777" w:rsidR="00754BCA" w:rsidRPr="00190A34" w:rsidRDefault="00754BCA" w:rsidP="00190A34">
      <w:pPr>
        <w:suppressAutoHyphens w:val="0"/>
        <w:autoSpaceDN/>
        <w:snapToGrid w:val="0"/>
        <w:spacing w:line="300" w:lineRule="exact"/>
        <w:jc w:val="center"/>
        <w:textAlignment w:val="auto"/>
        <w:rPr>
          <w:rFonts w:ascii="Times New Roman" w:eastAsia="標楷體" w:hAnsi="Times New Roman"/>
          <w:b/>
          <w:bCs/>
          <w:color w:val="000000"/>
          <w:kern w:val="2"/>
          <w:szCs w:val="24"/>
        </w:rPr>
      </w:pPr>
      <w:r w:rsidRPr="00190A34">
        <w:rPr>
          <w:rFonts w:ascii="Times New Roman" w:eastAsia="標楷體" w:hAnsi="Times New Roman"/>
          <w:b/>
          <w:bCs/>
          <w:color w:val="000000"/>
          <w:kern w:val="2"/>
          <w:szCs w:val="24"/>
        </w:rPr>
        <w:t>(</w:t>
      </w:r>
      <w:r w:rsidRPr="00190A34">
        <w:rPr>
          <w:rFonts w:ascii="Times New Roman" w:eastAsia="標楷體" w:hAnsi="標楷體" w:hint="eastAsia"/>
          <w:b/>
          <w:bCs/>
          <w:color w:val="000000"/>
          <w:kern w:val="2"/>
          <w:szCs w:val="24"/>
        </w:rPr>
        <w:t>六歲至十七歲兒童</w:t>
      </w:r>
      <w:r w:rsidRPr="00190A34">
        <w:rPr>
          <w:rFonts w:ascii="Times New Roman" w:eastAsia="標楷體" w:hAnsi="Times New Roman"/>
          <w:b/>
          <w:bCs/>
          <w:color w:val="000000"/>
          <w:kern w:val="2"/>
          <w:szCs w:val="24"/>
        </w:rPr>
        <w:t>)</w:t>
      </w:r>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08"/>
        <w:gridCol w:w="1256"/>
        <w:gridCol w:w="216"/>
        <w:gridCol w:w="850"/>
        <w:gridCol w:w="993"/>
        <w:gridCol w:w="1701"/>
        <w:gridCol w:w="567"/>
        <w:gridCol w:w="1134"/>
        <w:gridCol w:w="1842"/>
      </w:tblGrid>
      <w:tr w:rsidR="00754BCA" w:rsidRPr="00754BCA" w14:paraId="116D67CA" w14:textId="77777777" w:rsidTr="00397BA1">
        <w:tc>
          <w:tcPr>
            <w:tcW w:w="1108" w:type="dxa"/>
            <w:tcBorders>
              <w:top w:val="single" w:sz="4" w:space="0" w:color="auto"/>
              <w:left w:val="single" w:sz="4" w:space="0" w:color="auto"/>
              <w:bottom w:val="single" w:sz="4" w:space="0" w:color="auto"/>
              <w:right w:val="single" w:sz="4" w:space="0" w:color="auto"/>
            </w:tcBorders>
          </w:tcPr>
          <w:p w14:paraId="6DB988B3"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醫院代號</w:t>
            </w:r>
          </w:p>
        </w:tc>
        <w:tc>
          <w:tcPr>
            <w:tcW w:w="2322" w:type="dxa"/>
            <w:gridSpan w:val="3"/>
            <w:tcBorders>
              <w:top w:val="single" w:sz="4" w:space="0" w:color="auto"/>
              <w:left w:val="single" w:sz="4" w:space="0" w:color="auto"/>
              <w:bottom w:val="single" w:sz="4" w:space="0" w:color="auto"/>
              <w:right w:val="single" w:sz="4" w:space="0" w:color="auto"/>
            </w:tcBorders>
          </w:tcPr>
          <w:p w14:paraId="01BE3F0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7A85B1A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醫院名稱</w:t>
            </w:r>
          </w:p>
        </w:tc>
        <w:tc>
          <w:tcPr>
            <w:tcW w:w="2268" w:type="dxa"/>
            <w:gridSpan w:val="2"/>
            <w:tcBorders>
              <w:top w:val="single" w:sz="4" w:space="0" w:color="auto"/>
              <w:left w:val="single" w:sz="4" w:space="0" w:color="auto"/>
              <w:bottom w:val="single" w:sz="4" w:space="0" w:color="auto"/>
              <w:right w:val="single" w:sz="4" w:space="0" w:color="auto"/>
            </w:tcBorders>
          </w:tcPr>
          <w:p w14:paraId="75FD755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78C60F5"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申請日期</w:t>
            </w:r>
          </w:p>
        </w:tc>
        <w:tc>
          <w:tcPr>
            <w:tcW w:w="1842" w:type="dxa"/>
            <w:tcBorders>
              <w:top w:val="single" w:sz="4" w:space="0" w:color="auto"/>
              <w:left w:val="single" w:sz="4" w:space="0" w:color="auto"/>
              <w:bottom w:val="single" w:sz="4" w:space="0" w:color="auto"/>
              <w:right w:val="single" w:sz="4" w:space="0" w:color="auto"/>
            </w:tcBorders>
          </w:tcPr>
          <w:p w14:paraId="7F70475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r>
      <w:tr w:rsidR="00754BCA" w:rsidRPr="00754BCA" w14:paraId="1D06B046" w14:textId="77777777" w:rsidTr="00397BA1">
        <w:tc>
          <w:tcPr>
            <w:tcW w:w="1108" w:type="dxa"/>
            <w:tcBorders>
              <w:top w:val="single" w:sz="4" w:space="0" w:color="auto"/>
              <w:left w:val="single" w:sz="4" w:space="0" w:color="auto"/>
              <w:bottom w:val="single" w:sz="4" w:space="0" w:color="auto"/>
              <w:right w:val="single" w:sz="4" w:space="0" w:color="auto"/>
            </w:tcBorders>
          </w:tcPr>
          <w:p w14:paraId="2D33770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病人姓名</w:t>
            </w:r>
          </w:p>
        </w:tc>
        <w:tc>
          <w:tcPr>
            <w:tcW w:w="2322" w:type="dxa"/>
            <w:gridSpan w:val="3"/>
            <w:tcBorders>
              <w:top w:val="single" w:sz="4" w:space="0" w:color="auto"/>
              <w:left w:val="single" w:sz="4" w:space="0" w:color="auto"/>
              <w:bottom w:val="single" w:sz="4" w:space="0" w:color="auto"/>
              <w:right w:val="single" w:sz="4" w:space="0" w:color="auto"/>
            </w:tcBorders>
          </w:tcPr>
          <w:p w14:paraId="2A6A9F7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5775449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性别</w:t>
            </w:r>
          </w:p>
        </w:tc>
        <w:tc>
          <w:tcPr>
            <w:tcW w:w="2268" w:type="dxa"/>
            <w:gridSpan w:val="2"/>
            <w:tcBorders>
              <w:top w:val="single" w:sz="4" w:space="0" w:color="auto"/>
              <w:left w:val="single" w:sz="4" w:space="0" w:color="auto"/>
              <w:bottom w:val="single" w:sz="4" w:space="0" w:color="auto"/>
              <w:right w:val="single" w:sz="4" w:space="0" w:color="auto"/>
            </w:tcBorders>
          </w:tcPr>
          <w:p w14:paraId="48D642C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ECDB7C5"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出生日期</w:t>
            </w:r>
          </w:p>
        </w:tc>
        <w:tc>
          <w:tcPr>
            <w:tcW w:w="1842" w:type="dxa"/>
            <w:tcBorders>
              <w:top w:val="single" w:sz="4" w:space="0" w:color="auto"/>
              <w:left w:val="single" w:sz="4" w:space="0" w:color="auto"/>
              <w:bottom w:val="single" w:sz="4" w:space="0" w:color="auto"/>
              <w:right w:val="single" w:sz="4" w:space="0" w:color="auto"/>
            </w:tcBorders>
          </w:tcPr>
          <w:p w14:paraId="150FDFB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r>
      <w:tr w:rsidR="00754BCA" w:rsidRPr="00754BCA" w14:paraId="5BD4FB9F" w14:textId="77777777" w:rsidTr="00397BA1">
        <w:trPr>
          <w:cantSplit/>
        </w:trPr>
        <w:tc>
          <w:tcPr>
            <w:tcW w:w="1108" w:type="dxa"/>
            <w:tcBorders>
              <w:top w:val="single" w:sz="4" w:space="0" w:color="auto"/>
              <w:left w:val="single" w:sz="4" w:space="0" w:color="auto"/>
              <w:bottom w:val="single" w:sz="4" w:space="0" w:color="auto"/>
              <w:right w:val="single" w:sz="4" w:space="0" w:color="auto"/>
            </w:tcBorders>
          </w:tcPr>
          <w:p w14:paraId="24A52EC5"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身份證號</w:t>
            </w:r>
          </w:p>
        </w:tc>
        <w:tc>
          <w:tcPr>
            <w:tcW w:w="2322" w:type="dxa"/>
            <w:gridSpan w:val="3"/>
            <w:tcBorders>
              <w:top w:val="single" w:sz="4" w:space="0" w:color="auto"/>
              <w:left w:val="single" w:sz="4" w:space="0" w:color="auto"/>
              <w:bottom w:val="single" w:sz="4" w:space="0" w:color="auto"/>
              <w:right w:val="single" w:sz="4" w:space="0" w:color="auto"/>
            </w:tcBorders>
          </w:tcPr>
          <w:p w14:paraId="6FFFFE0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4AC130C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病歷號碼</w:t>
            </w:r>
          </w:p>
        </w:tc>
        <w:tc>
          <w:tcPr>
            <w:tcW w:w="2268" w:type="dxa"/>
            <w:gridSpan w:val="2"/>
            <w:tcBorders>
              <w:top w:val="single" w:sz="4" w:space="0" w:color="auto"/>
              <w:left w:val="single" w:sz="4" w:space="0" w:color="auto"/>
              <w:bottom w:val="single" w:sz="4" w:space="0" w:color="auto"/>
              <w:right w:val="single" w:sz="4" w:space="0" w:color="auto"/>
            </w:tcBorders>
          </w:tcPr>
          <w:p w14:paraId="707A15C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6A2E71D" w14:textId="77777777" w:rsidR="00754BCA" w:rsidRPr="00754BCA" w:rsidRDefault="00754BCA" w:rsidP="00190A34">
            <w:pPr>
              <w:suppressAutoHyphens w:val="0"/>
              <w:autoSpaceDN/>
              <w:spacing w:line="300" w:lineRule="exact"/>
              <w:jc w:val="center"/>
              <w:textAlignment w:val="auto"/>
              <w:rPr>
                <w:rFonts w:ascii="Times New Roman" w:eastAsia="標楷體" w:hAnsi="Times New Roman"/>
                <w:kern w:val="2"/>
                <w:sz w:val="20"/>
                <w:szCs w:val="20"/>
              </w:rPr>
            </w:pPr>
            <w:r w:rsidRPr="00754BCA">
              <w:rPr>
                <w:rFonts w:ascii="Times New Roman" w:eastAsia="標楷體" w:hAnsi="Times New Roman" w:cs="標楷體" w:hint="eastAsia"/>
                <w:kern w:val="2"/>
                <w:sz w:val="20"/>
                <w:szCs w:val="20"/>
              </w:rPr>
              <w:t>使用期間</w:t>
            </w:r>
          </w:p>
        </w:tc>
        <w:tc>
          <w:tcPr>
            <w:tcW w:w="1842" w:type="dxa"/>
            <w:tcBorders>
              <w:top w:val="single" w:sz="4" w:space="0" w:color="auto"/>
              <w:left w:val="single" w:sz="4" w:space="0" w:color="auto"/>
              <w:bottom w:val="single" w:sz="4" w:space="0" w:color="auto"/>
              <w:right w:val="single" w:sz="4" w:space="0" w:color="auto"/>
            </w:tcBorders>
          </w:tcPr>
          <w:p w14:paraId="0288F96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自</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日</w:t>
            </w:r>
          </w:p>
        </w:tc>
      </w:tr>
      <w:tr w:rsidR="00754BCA" w:rsidRPr="00754BCA" w14:paraId="31E29B1F" w14:textId="77777777" w:rsidTr="00397BA1">
        <w:trPr>
          <w:cantSplit/>
        </w:trPr>
        <w:tc>
          <w:tcPr>
            <w:tcW w:w="1108" w:type="dxa"/>
            <w:tcBorders>
              <w:top w:val="single" w:sz="4" w:space="0" w:color="auto"/>
              <w:left w:val="single" w:sz="4" w:space="0" w:color="auto"/>
              <w:bottom w:val="single" w:sz="4" w:space="0" w:color="auto"/>
              <w:right w:val="single" w:sz="4" w:space="0" w:color="auto"/>
            </w:tcBorders>
          </w:tcPr>
          <w:p w14:paraId="14C5F1B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藥品代碼</w:t>
            </w:r>
          </w:p>
        </w:tc>
        <w:tc>
          <w:tcPr>
            <w:tcW w:w="2322" w:type="dxa"/>
            <w:gridSpan w:val="3"/>
            <w:tcBorders>
              <w:top w:val="single" w:sz="4" w:space="0" w:color="auto"/>
              <w:left w:val="single" w:sz="4" w:space="0" w:color="auto"/>
              <w:bottom w:val="single" w:sz="4" w:space="0" w:color="auto"/>
              <w:right w:val="single" w:sz="4" w:space="0" w:color="auto"/>
            </w:tcBorders>
          </w:tcPr>
          <w:p w14:paraId="08D78427"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4EF59140"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用法用量</w:t>
            </w:r>
          </w:p>
        </w:tc>
        <w:tc>
          <w:tcPr>
            <w:tcW w:w="2268" w:type="dxa"/>
            <w:gridSpan w:val="2"/>
            <w:tcBorders>
              <w:top w:val="single" w:sz="4" w:space="0" w:color="auto"/>
              <w:left w:val="single" w:sz="4" w:space="0" w:color="auto"/>
              <w:bottom w:val="single" w:sz="4" w:space="0" w:color="auto"/>
              <w:right w:val="single" w:sz="4" w:space="0" w:color="auto"/>
            </w:tcBorders>
          </w:tcPr>
          <w:p w14:paraId="3DD2303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vMerge/>
            <w:tcBorders>
              <w:top w:val="single" w:sz="4" w:space="0" w:color="auto"/>
              <w:left w:val="single" w:sz="4" w:space="0" w:color="auto"/>
              <w:bottom w:val="single" w:sz="4" w:space="0" w:color="auto"/>
              <w:right w:val="single" w:sz="4" w:space="0" w:color="auto"/>
            </w:tcBorders>
          </w:tcPr>
          <w:p w14:paraId="4390CAB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842" w:type="dxa"/>
            <w:tcBorders>
              <w:top w:val="single" w:sz="4" w:space="0" w:color="auto"/>
              <w:left w:val="single" w:sz="4" w:space="0" w:color="auto"/>
              <w:bottom w:val="single" w:sz="4" w:space="0" w:color="auto"/>
              <w:right w:val="single" w:sz="4" w:space="0" w:color="auto"/>
            </w:tcBorders>
          </w:tcPr>
          <w:p w14:paraId="24BE417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至</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日</w:t>
            </w:r>
          </w:p>
        </w:tc>
      </w:tr>
      <w:tr w:rsidR="00754BCA" w:rsidRPr="00754BCA" w14:paraId="3D5B4DDF" w14:textId="77777777" w:rsidTr="00397BA1">
        <w:trPr>
          <w:cantSplit/>
        </w:trPr>
        <w:tc>
          <w:tcPr>
            <w:tcW w:w="9667" w:type="dxa"/>
            <w:gridSpan w:val="9"/>
            <w:tcBorders>
              <w:top w:val="single" w:sz="4" w:space="0" w:color="auto"/>
              <w:left w:val="single" w:sz="4" w:space="0" w:color="auto"/>
              <w:bottom w:val="single" w:sz="4" w:space="0" w:color="auto"/>
              <w:right w:val="single" w:sz="4" w:space="0" w:color="auto"/>
            </w:tcBorders>
          </w:tcPr>
          <w:p w14:paraId="5D65B7C5" w14:textId="77777777" w:rsidR="00754BCA" w:rsidRPr="00754BCA" w:rsidRDefault="00754BCA" w:rsidP="00190A34">
            <w:pPr>
              <w:suppressAutoHyphens w:val="0"/>
              <w:autoSpaceDN/>
              <w:textAlignment w:val="auto"/>
              <w:rPr>
                <w:rFonts w:ascii="Times New Roman" w:eastAsia="標楷體" w:hAnsi="Times New Roman"/>
                <w:kern w:val="2"/>
                <w:sz w:val="28"/>
                <w:szCs w:val="28"/>
              </w:rPr>
            </w:pPr>
            <w:r w:rsidRPr="00754BCA">
              <w:rPr>
                <w:rFonts w:ascii="Times New Roman" w:eastAsia="標楷體" w:hAnsi="Times New Roman" w:hint="eastAsia"/>
                <w:kern w:val="2"/>
                <w:sz w:val="28"/>
                <w:szCs w:val="28"/>
              </w:rPr>
              <w:t>□</w:t>
            </w:r>
            <w:r w:rsidRPr="00754BCA">
              <w:rPr>
                <w:rFonts w:ascii="Times New Roman" w:eastAsia="標楷體" w:hAnsi="Times New Roman" w:hint="eastAsia"/>
                <w:kern w:val="2"/>
                <w:sz w:val="28"/>
                <w:szCs w:val="28"/>
              </w:rPr>
              <w:t xml:space="preserve"> </w:t>
            </w:r>
            <w:r w:rsidRPr="00754BCA">
              <w:rPr>
                <w:rFonts w:ascii="Times New Roman" w:eastAsia="標楷體" w:hAnsi="Times New Roman" w:hint="eastAsia"/>
                <w:kern w:val="2"/>
                <w:sz w:val="28"/>
                <w:szCs w:val="28"/>
              </w:rPr>
              <w:t>符合曾經接受抗腫瘤壞死因子</w:t>
            </w:r>
            <w:proofErr w:type="gramStart"/>
            <w:r w:rsidRPr="00754BCA">
              <w:rPr>
                <w:rFonts w:ascii="Times New Roman" w:eastAsia="標楷體" w:hAnsi="Times New Roman" w:hint="eastAsia"/>
                <w:kern w:val="2"/>
                <w:sz w:val="28"/>
                <w:szCs w:val="28"/>
              </w:rPr>
              <w:t>拮抗劑</w:t>
            </w:r>
            <w:proofErr w:type="gramEnd"/>
            <w:r w:rsidRPr="00754BCA">
              <w:rPr>
                <w:rFonts w:ascii="Times New Roman" w:eastAsia="標楷體" w:hAnsi="Times New Roman" w:hint="eastAsia"/>
                <w:kern w:val="2"/>
                <w:sz w:val="28"/>
                <w:szCs w:val="28"/>
              </w:rPr>
              <w:t>治療，但未達療效（請附治療前後關節腫脹之相關照片或關節</w:t>
            </w:r>
            <w:r w:rsidRPr="00754BCA">
              <w:rPr>
                <w:rFonts w:ascii="Times New Roman" w:eastAsia="標楷體" w:hAnsi="Times New Roman"/>
                <w:kern w:val="2"/>
                <w:sz w:val="28"/>
                <w:szCs w:val="28"/>
              </w:rPr>
              <w:t>X</w:t>
            </w:r>
            <w:r w:rsidRPr="00754BCA">
              <w:rPr>
                <w:rFonts w:ascii="Times New Roman" w:eastAsia="標楷體" w:hAnsi="Times New Roman" w:hint="eastAsia"/>
                <w:kern w:val="2"/>
                <w:sz w:val="28"/>
                <w:szCs w:val="28"/>
              </w:rPr>
              <w:t>光檢查報告）</w:t>
            </w:r>
          </w:p>
          <w:p w14:paraId="2247F3A9" w14:textId="77777777" w:rsidR="00754BCA" w:rsidRPr="00754BCA" w:rsidRDefault="00754BCA" w:rsidP="00190A34">
            <w:pPr>
              <w:suppressAutoHyphens w:val="0"/>
              <w:autoSpaceDN/>
              <w:ind w:leftChars="200" w:left="480"/>
              <w:textAlignment w:val="auto"/>
              <w:rPr>
                <w:rFonts w:ascii="標楷體" w:eastAsia="標楷體" w:hAnsi="標楷體"/>
                <w:color w:val="000000"/>
                <w:kern w:val="2"/>
                <w:szCs w:val="24"/>
              </w:rPr>
            </w:pPr>
            <w:r w:rsidRPr="00754BCA">
              <w:rPr>
                <w:rFonts w:ascii="Times New Roman" w:eastAsia="標楷體" w:hAnsi="Times New Roman" w:hint="eastAsia"/>
                <w:kern w:val="2"/>
                <w:szCs w:val="24"/>
              </w:rPr>
              <w:sym w:font="Webdings" w:char="F063"/>
            </w:r>
            <w:r w:rsidRPr="00754BCA">
              <w:rPr>
                <w:rFonts w:ascii="Times New Roman" w:eastAsia="標楷體" w:hAnsi="Times New Roman" w:hint="eastAsia"/>
                <w:kern w:val="2"/>
                <w:szCs w:val="24"/>
              </w:rPr>
              <w:t xml:space="preserve">  </w:t>
            </w:r>
            <w:r w:rsidRPr="00754BCA">
              <w:rPr>
                <w:rFonts w:ascii="Times New Roman" w:eastAsia="標楷體" w:hAnsi="Times New Roman"/>
                <w:kern w:val="2"/>
                <w:szCs w:val="24"/>
              </w:rPr>
              <w:t>E</w:t>
            </w:r>
            <w:r w:rsidRPr="00754BCA">
              <w:rPr>
                <w:rFonts w:ascii="Times New Roman" w:eastAsia="標楷體" w:hAnsi="Times New Roman" w:hint="eastAsia"/>
                <w:kern w:val="2"/>
                <w:szCs w:val="24"/>
              </w:rPr>
              <w:t xml:space="preserve">tanercept   </w:t>
            </w:r>
            <w:r w:rsidRPr="00754BCA">
              <w:rPr>
                <w:rFonts w:ascii="Times New Roman" w:eastAsia="標楷體" w:hAnsi="Times New Roman" w:hint="eastAsia"/>
                <w:kern w:val="2"/>
                <w:szCs w:val="24"/>
                <w:u w:val="single"/>
              </w:rPr>
              <w:t xml:space="preserve">　　　</w:t>
            </w:r>
            <w:r w:rsidRPr="00754BCA">
              <w:rPr>
                <w:rFonts w:ascii="Times New Roman" w:eastAsia="標楷體" w:hAnsi="Times New Roman"/>
                <w:kern w:val="2"/>
                <w:szCs w:val="24"/>
              </w:rPr>
              <w:t xml:space="preserve"> </w:t>
            </w:r>
            <w:r w:rsidRPr="00754BCA">
              <w:rPr>
                <w:rFonts w:ascii="Times New Roman" w:hAnsi="Times New Roman"/>
                <w:kern w:val="2"/>
                <w:szCs w:val="24"/>
              </w:rPr>
              <w:t>mg/</w:t>
            </w:r>
            <w:r w:rsidRPr="00754BCA">
              <w:rPr>
                <w:rFonts w:ascii="Times New Roman" w:hAnsi="Times New Roman" w:hint="eastAsia"/>
                <w:kern w:val="2"/>
                <w:szCs w:val="24"/>
              </w:rPr>
              <w:t xml:space="preserve"> </w:t>
            </w:r>
            <w:r w:rsidRPr="00754BCA">
              <w:rPr>
                <w:rFonts w:ascii="Times New Roman" w:hAnsi="Times New Roman"/>
                <w:kern w:val="2"/>
                <w:szCs w:val="24"/>
              </w:rPr>
              <w:t>week</w:t>
            </w:r>
          </w:p>
        </w:tc>
      </w:tr>
      <w:tr w:rsidR="00754BCA" w:rsidRPr="00754BCA" w14:paraId="07967AA1" w14:textId="77777777" w:rsidTr="00397BA1">
        <w:trPr>
          <w:trHeight w:val="315"/>
        </w:trPr>
        <w:tc>
          <w:tcPr>
            <w:tcW w:w="2580" w:type="dxa"/>
            <w:gridSpan w:val="3"/>
            <w:tcBorders>
              <w:top w:val="single" w:sz="4" w:space="0" w:color="auto"/>
              <w:left w:val="single" w:sz="4" w:space="0" w:color="auto"/>
              <w:bottom w:val="single" w:sz="4" w:space="0" w:color="auto"/>
              <w:right w:val="single" w:sz="4" w:space="0" w:color="auto"/>
            </w:tcBorders>
          </w:tcPr>
          <w:p w14:paraId="72C735A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3544" w:type="dxa"/>
            <w:gridSpan w:val="3"/>
            <w:tcBorders>
              <w:top w:val="single" w:sz="4" w:space="0" w:color="auto"/>
              <w:left w:val="single" w:sz="4" w:space="0" w:color="auto"/>
              <w:bottom w:val="single" w:sz="4" w:space="0" w:color="auto"/>
              <w:right w:val="single" w:sz="4" w:space="0" w:color="auto"/>
            </w:tcBorders>
          </w:tcPr>
          <w:p w14:paraId="5F6353F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評估時間</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日</w:t>
            </w:r>
          </w:p>
        </w:tc>
        <w:tc>
          <w:tcPr>
            <w:tcW w:w="3543" w:type="dxa"/>
            <w:gridSpan w:val="3"/>
            <w:tcBorders>
              <w:top w:val="single" w:sz="4" w:space="0" w:color="auto"/>
              <w:left w:val="single" w:sz="4" w:space="0" w:color="auto"/>
              <w:bottom w:val="single" w:sz="4" w:space="0" w:color="auto"/>
              <w:right w:val="single" w:sz="4" w:space="0" w:color="auto"/>
            </w:tcBorders>
          </w:tcPr>
          <w:p w14:paraId="0098F90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評估時間</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日</w:t>
            </w:r>
          </w:p>
        </w:tc>
      </w:tr>
      <w:tr w:rsidR="00754BCA" w:rsidRPr="00754BCA" w14:paraId="392F80A6" w14:textId="77777777" w:rsidTr="00397BA1">
        <w:trPr>
          <w:cantSplit/>
          <w:trHeight w:val="980"/>
        </w:trPr>
        <w:tc>
          <w:tcPr>
            <w:tcW w:w="2580" w:type="dxa"/>
            <w:gridSpan w:val="3"/>
            <w:tcBorders>
              <w:top w:val="single" w:sz="4" w:space="0" w:color="auto"/>
              <w:left w:val="single" w:sz="4" w:space="0" w:color="auto"/>
              <w:bottom w:val="single" w:sz="4" w:space="0" w:color="auto"/>
              <w:right w:val="single" w:sz="4" w:space="0" w:color="auto"/>
            </w:tcBorders>
          </w:tcPr>
          <w:p w14:paraId="32EB3A5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腫脹關節</w:t>
            </w:r>
          </w:p>
          <w:p w14:paraId="052A2EB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4" w:type="dxa"/>
            <w:gridSpan w:val="3"/>
            <w:tcBorders>
              <w:top w:val="single" w:sz="4" w:space="0" w:color="auto"/>
              <w:left w:val="single" w:sz="4" w:space="0" w:color="auto"/>
              <w:bottom w:val="single" w:sz="4" w:space="0" w:color="auto"/>
              <w:right w:val="single" w:sz="4" w:space="0" w:color="auto"/>
            </w:tcBorders>
          </w:tcPr>
          <w:p w14:paraId="3E4F7537"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0950A6C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761B99C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1BE8486F"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191C44AC" w14:textId="77777777" w:rsidTr="00397BA1">
        <w:trPr>
          <w:cantSplit/>
          <w:trHeight w:val="1078"/>
        </w:trPr>
        <w:tc>
          <w:tcPr>
            <w:tcW w:w="2580" w:type="dxa"/>
            <w:gridSpan w:val="3"/>
            <w:tcBorders>
              <w:top w:val="single" w:sz="4" w:space="0" w:color="auto"/>
              <w:left w:val="single" w:sz="4" w:space="0" w:color="auto"/>
              <w:bottom w:val="single" w:sz="4" w:space="0" w:color="auto"/>
              <w:right w:val="single" w:sz="4" w:space="0" w:color="auto"/>
            </w:tcBorders>
          </w:tcPr>
          <w:p w14:paraId="6E672E3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疼痛或壓痛關節</w:t>
            </w:r>
          </w:p>
          <w:p w14:paraId="076563A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4" w:type="dxa"/>
            <w:gridSpan w:val="3"/>
            <w:tcBorders>
              <w:top w:val="single" w:sz="4" w:space="0" w:color="auto"/>
              <w:left w:val="single" w:sz="4" w:space="0" w:color="auto"/>
              <w:bottom w:val="single" w:sz="4" w:space="0" w:color="auto"/>
              <w:right w:val="single" w:sz="4" w:space="0" w:color="auto"/>
            </w:tcBorders>
          </w:tcPr>
          <w:p w14:paraId="57ADC062"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3FBA55F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6A80501F"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578EB75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3A53AA15" w14:textId="77777777" w:rsidTr="00397BA1">
        <w:trPr>
          <w:cantSplit/>
          <w:trHeight w:val="1064"/>
        </w:trPr>
        <w:tc>
          <w:tcPr>
            <w:tcW w:w="2580" w:type="dxa"/>
            <w:gridSpan w:val="3"/>
            <w:tcBorders>
              <w:top w:val="single" w:sz="4" w:space="0" w:color="auto"/>
              <w:left w:val="single" w:sz="4" w:space="0" w:color="auto"/>
              <w:bottom w:val="single" w:sz="4" w:space="0" w:color="auto"/>
              <w:right w:val="single" w:sz="4" w:space="0" w:color="auto"/>
            </w:tcBorders>
          </w:tcPr>
          <w:p w14:paraId="6C833992"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活動範圍受到限制關節</w:t>
            </w:r>
          </w:p>
          <w:p w14:paraId="014493FF"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4" w:type="dxa"/>
            <w:gridSpan w:val="3"/>
            <w:tcBorders>
              <w:top w:val="single" w:sz="4" w:space="0" w:color="auto"/>
              <w:left w:val="single" w:sz="4" w:space="0" w:color="auto"/>
              <w:bottom w:val="single" w:sz="4" w:space="0" w:color="auto"/>
              <w:right w:val="single" w:sz="4" w:space="0" w:color="auto"/>
            </w:tcBorders>
          </w:tcPr>
          <w:p w14:paraId="3EEE5E2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tc>
        <w:tc>
          <w:tcPr>
            <w:tcW w:w="3543" w:type="dxa"/>
            <w:gridSpan w:val="3"/>
            <w:tcBorders>
              <w:top w:val="single" w:sz="4" w:space="0" w:color="auto"/>
              <w:left w:val="single" w:sz="4" w:space="0" w:color="auto"/>
              <w:bottom w:val="single" w:sz="4" w:space="0" w:color="auto"/>
              <w:right w:val="single" w:sz="4" w:space="0" w:color="auto"/>
            </w:tcBorders>
          </w:tcPr>
          <w:p w14:paraId="599EC0B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tc>
      </w:tr>
      <w:tr w:rsidR="00754BCA" w:rsidRPr="00754BCA" w14:paraId="514CD669" w14:textId="77777777" w:rsidTr="00397BA1">
        <w:trPr>
          <w:cantSplit/>
          <w:trHeight w:val="632"/>
        </w:trPr>
        <w:tc>
          <w:tcPr>
            <w:tcW w:w="2580" w:type="dxa"/>
            <w:gridSpan w:val="3"/>
            <w:tcBorders>
              <w:top w:val="single" w:sz="4" w:space="0" w:color="auto"/>
              <w:left w:val="single" w:sz="4" w:space="0" w:color="auto"/>
              <w:bottom w:val="single" w:sz="4" w:space="0" w:color="auto"/>
              <w:right w:val="single" w:sz="4" w:space="0" w:color="auto"/>
            </w:tcBorders>
          </w:tcPr>
          <w:p w14:paraId="36B0C8A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腫脹關節的總數</w:t>
            </w:r>
          </w:p>
        </w:tc>
        <w:tc>
          <w:tcPr>
            <w:tcW w:w="3544" w:type="dxa"/>
            <w:gridSpan w:val="3"/>
            <w:tcBorders>
              <w:top w:val="single" w:sz="4" w:space="0" w:color="auto"/>
              <w:left w:val="single" w:sz="4" w:space="0" w:color="auto"/>
              <w:bottom w:val="single" w:sz="4" w:space="0" w:color="auto"/>
              <w:right w:val="single" w:sz="4" w:space="0" w:color="auto"/>
            </w:tcBorders>
          </w:tcPr>
          <w:p w14:paraId="370EDDD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5061C19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7C04ECF0" w14:textId="77777777" w:rsidTr="00397BA1">
        <w:trPr>
          <w:cantSplit/>
          <w:trHeight w:val="708"/>
        </w:trPr>
        <w:tc>
          <w:tcPr>
            <w:tcW w:w="2580" w:type="dxa"/>
            <w:gridSpan w:val="3"/>
            <w:tcBorders>
              <w:top w:val="single" w:sz="4" w:space="0" w:color="auto"/>
              <w:left w:val="single" w:sz="4" w:space="0" w:color="auto"/>
              <w:bottom w:val="single" w:sz="4" w:space="0" w:color="auto"/>
              <w:right w:val="single" w:sz="4" w:space="0" w:color="auto"/>
            </w:tcBorders>
          </w:tcPr>
          <w:p w14:paraId="0BCA4D1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疼痛或壓痛關節的總數</w:t>
            </w:r>
          </w:p>
        </w:tc>
        <w:tc>
          <w:tcPr>
            <w:tcW w:w="3544" w:type="dxa"/>
            <w:gridSpan w:val="3"/>
            <w:tcBorders>
              <w:top w:val="single" w:sz="4" w:space="0" w:color="auto"/>
              <w:left w:val="single" w:sz="4" w:space="0" w:color="auto"/>
              <w:bottom w:val="single" w:sz="4" w:space="0" w:color="auto"/>
              <w:right w:val="single" w:sz="4" w:space="0" w:color="auto"/>
            </w:tcBorders>
          </w:tcPr>
          <w:p w14:paraId="6AFC481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6B677BC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1A05419E" w14:textId="77777777" w:rsidTr="00397BA1">
        <w:trPr>
          <w:cantSplit/>
          <w:trHeight w:val="360"/>
        </w:trPr>
        <w:tc>
          <w:tcPr>
            <w:tcW w:w="2580" w:type="dxa"/>
            <w:gridSpan w:val="3"/>
            <w:tcBorders>
              <w:top w:val="single" w:sz="4" w:space="0" w:color="auto"/>
              <w:left w:val="single" w:sz="4" w:space="0" w:color="auto"/>
              <w:bottom w:val="single" w:sz="4" w:space="0" w:color="auto"/>
              <w:right w:val="single" w:sz="4" w:space="0" w:color="auto"/>
            </w:tcBorders>
          </w:tcPr>
          <w:p w14:paraId="6402BD6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活動範圍受到限制的關節總數</w:t>
            </w:r>
          </w:p>
        </w:tc>
        <w:tc>
          <w:tcPr>
            <w:tcW w:w="3544" w:type="dxa"/>
            <w:gridSpan w:val="3"/>
            <w:tcBorders>
              <w:top w:val="single" w:sz="4" w:space="0" w:color="auto"/>
              <w:left w:val="single" w:sz="4" w:space="0" w:color="auto"/>
              <w:bottom w:val="single" w:sz="4" w:space="0" w:color="auto"/>
              <w:right w:val="single" w:sz="4" w:space="0" w:color="auto"/>
            </w:tcBorders>
          </w:tcPr>
          <w:p w14:paraId="582A03B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5EDE879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5ECE0475" w14:textId="77777777" w:rsidTr="00397BA1">
        <w:trPr>
          <w:cantSplit/>
          <w:trHeight w:val="614"/>
        </w:trPr>
        <w:tc>
          <w:tcPr>
            <w:tcW w:w="2580" w:type="dxa"/>
            <w:gridSpan w:val="3"/>
            <w:tcBorders>
              <w:top w:val="single" w:sz="4" w:space="0" w:color="auto"/>
              <w:left w:val="single" w:sz="4" w:space="0" w:color="auto"/>
              <w:bottom w:val="single" w:sz="4" w:space="0" w:color="auto"/>
              <w:right w:val="single" w:sz="4" w:space="0" w:color="auto"/>
            </w:tcBorders>
          </w:tcPr>
          <w:p w14:paraId="56B30AF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醫師的整體評估</w:t>
            </w:r>
          </w:p>
        </w:tc>
        <w:tc>
          <w:tcPr>
            <w:tcW w:w="3544" w:type="dxa"/>
            <w:gridSpan w:val="3"/>
            <w:tcBorders>
              <w:top w:val="single" w:sz="4" w:space="0" w:color="auto"/>
              <w:left w:val="single" w:sz="4" w:space="0" w:color="auto"/>
              <w:bottom w:val="single" w:sz="4" w:space="0" w:color="auto"/>
              <w:right w:val="single" w:sz="4" w:space="0" w:color="auto"/>
            </w:tcBorders>
          </w:tcPr>
          <w:p w14:paraId="2DB9556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3A0EA49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52AE5653" w14:textId="77777777" w:rsidTr="00397BA1">
        <w:trPr>
          <w:trHeight w:val="553"/>
        </w:trPr>
        <w:tc>
          <w:tcPr>
            <w:tcW w:w="2580" w:type="dxa"/>
            <w:gridSpan w:val="3"/>
            <w:tcBorders>
              <w:top w:val="single" w:sz="4" w:space="0" w:color="auto"/>
              <w:left w:val="single" w:sz="4" w:space="0" w:color="auto"/>
              <w:bottom w:val="single" w:sz="4" w:space="0" w:color="auto"/>
              <w:right w:val="single" w:sz="4" w:space="0" w:color="auto"/>
            </w:tcBorders>
          </w:tcPr>
          <w:p w14:paraId="208DEC26" w14:textId="77777777" w:rsidR="00754BCA" w:rsidRPr="00754BCA" w:rsidRDefault="00754BCA" w:rsidP="00190A34">
            <w:pPr>
              <w:suppressAutoHyphens w:val="0"/>
              <w:autoSpaceDN/>
              <w:spacing w:line="300" w:lineRule="exact"/>
              <w:textAlignment w:val="auto"/>
              <w:rPr>
                <w:rFonts w:ascii="Times New Roman" w:eastAsia="標楷體" w:hAnsi="Times New Roman"/>
                <w:color w:val="000000"/>
                <w:kern w:val="2"/>
                <w:szCs w:val="24"/>
              </w:rPr>
            </w:pPr>
            <w:r w:rsidRPr="00754BCA">
              <w:rPr>
                <w:rFonts w:ascii="Times New Roman" w:eastAsia="標楷體" w:hAnsi="標楷體"/>
                <w:color w:val="000000"/>
                <w:kern w:val="2"/>
                <w:szCs w:val="24"/>
              </w:rPr>
              <w:t>紅血球沈降速率</w:t>
            </w:r>
            <w:r w:rsidRPr="00754BCA">
              <w:rPr>
                <w:rFonts w:ascii="Times New Roman" w:eastAsia="標楷體" w:hAnsi="Times New Roman"/>
                <w:color w:val="000000"/>
                <w:kern w:val="2"/>
                <w:szCs w:val="24"/>
              </w:rPr>
              <w:t>(ESR)</w:t>
            </w:r>
          </w:p>
        </w:tc>
        <w:tc>
          <w:tcPr>
            <w:tcW w:w="3544" w:type="dxa"/>
            <w:gridSpan w:val="3"/>
            <w:tcBorders>
              <w:top w:val="single" w:sz="4" w:space="0" w:color="auto"/>
              <w:left w:val="single" w:sz="4" w:space="0" w:color="auto"/>
              <w:bottom w:val="single" w:sz="4" w:space="0" w:color="auto"/>
              <w:right w:val="single" w:sz="4" w:space="0" w:color="auto"/>
            </w:tcBorders>
          </w:tcPr>
          <w:p w14:paraId="7FA93A01"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1A232E27"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r>
      <w:tr w:rsidR="00754BCA" w:rsidRPr="00754BCA" w14:paraId="61897B3F" w14:textId="77777777" w:rsidTr="00397BA1">
        <w:trPr>
          <w:trHeight w:val="716"/>
        </w:trPr>
        <w:tc>
          <w:tcPr>
            <w:tcW w:w="2580" w:type="dxa"/>
            <w:gridSpan w:val="3"/>
            <w:tcBorders>
              <w:top w:val="single" w:sz="4" w:space="0" w:color="auto"/>
              <w:left w:val="single" w:sz="4" w:space="0" w:color="auto"/>
              <w:bottom w:val="single" w:sz="4" w:space="0" w:color="auto"/>
              <w:right w:val="single" w:sz="4" w:space="0" w:color="auto"/>
            </w:tcBorders>
          </w:tcPr>
          <w:p w14:paraId="053284EC" w14:textId="77777777" w:rsidR="00754BCA" w:rsidRPr="00754BCA" w:rsidRDefault="00754BCA" w:rsidP="00190A34">
            <w:pPr>
              <w:suppressAutoHyphens w:val="0"/>
              <w:autoSpaceDN/>
              <w:spacing w:line="300" w:lineRule="exact"/>
              <w:textAlignment w:val="auto"/>
              <w:rPr>
                <w:rFonts w:ascii="Times New Roman" w:eastAsia="標楷體" w:hAnsi="Times New Roman"/>
                <w:color w:val="000000"/>
                <w:kern w:val="2"/>
                <w:szCs w:val="24"/>
              </w:rPr>
            </w:pPr>
            <w:r w:rsidRPr="00754BCA">
              <w:rPr>
                <w:rFonts w:ascii="Times New Roman" w:eastAsia="標楷體" w:hAnsi="Times New Roman"/>
                <w:color w:val="000000"/>
                <w:kern w:val="2"/>
                <w:szCs w:val="24"/>
              </w:rPr>
              <w:t>CRP</w:t>
            </w:r>
            <w:r w:rsidRPr="00754BCA">
              <w:rPr>
                <w:rFonts w:ascii="Times New Roman" w:eastAsia="標楷體" w:hAnsi="Times New Roman" w:hint="eastAsia"/>
                <w:color w:val="000000"/>
                <w:kern w:val="2"/>
                <w:szCs w:val="24"/>
              </w:rPr>
              <w:t xml:space="preserve"> </w:t>
            </w:r>
            <w:r w:rsidRPr="00754BCA">
              <w:rPr>
                <w:rFonts w:ascii="Times New Roman" w:eastAsia="標楷體" w:hAnsi="Times New Roman"/>
                <w:color w:val="000000"/>
                <w:kern w:val="2"/>
                <w:szCs w:val="24"/>
              </w:rPr>
              <w:t>(mg/dL)</w:t>
            </w:r>
          </w:p>
        </w:tc>
        <w:tc>
          <w:tcPr>
            <w:tcW w:w="3544" w:type="dxa"/>
            <w:gridSpan w:val="3"/>
            <w:tcBorders>
              <w:top w:val="single" w:sz="4" w:space="0" w:color="auto"/>
              <w:left w:val="single" w:sz="4" w:space="0" w:color="auto"/>
              <w:bottom w:val="single" w:sz="4" w:space="0" w:color="auto"/>
              <w:right w:val="single" w:sz="4" w:space="0" w:color="auto"/>
            </w:tcBorders>
          </w:tcPr>
          <w:p w14:paraId="7E22123F"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7C22E3C8"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r>
      <w:tr w:rsidR="00754BCA" w:rsidRPr="00754BCA" w14:paraId="032A53C3" w14:textId="77777777" w:rsidTr="00397BA1">
        <w:trPr>
          <w:trHeight w:val="277"/>
        </w:trPr>
        <w:tc>
          <w:tcPr>
            <w:tcW w:w="9667" w:type="dxa"/>
            <w:gridSpan w:val="9"/>
            <w:tcBorders>
              <w:top w:val="single" w:sz="4" w:space="0" w:color="auto"/>
              <w:left w:val="single" w:sz="4" w:space="0" w:color="auto"/>
              <w:bottom w:val="nil"/>
              <w:right w:val="single" w:sz="4" w:space="0" w:color="auto"/>
            </w:tcBorders>
          </w:tcPr>
          <w:p w14:paraId="724A0902" w14:textId="77777777" w:rsidR="00754BCA" w:rsidRPr="00754BCA" w:rsidRDefault="00754BCA" w:rsidP="00190A34">
            <w:pPr>
              <w:numPr>
                <w:ilvl w:val="12"/>
                <w:numId w:val="0"/>
              </w:numPr>
              <w:suppressAutoHyphens w:val="0"/>
              <w:autoSpaceDN/>
              <w:ind w:left="86"/>
              <w:jc w:val="both"/>
              <w:textAlignment w:val="center"/>
              <w:rPr>
                <w:rFonts w:ascii="Times New Roman" w:eastAsia="標楷體" w:hAnsi="Times New Roman"/>
                <w:kern w:val="2"/>
                <w:sz w:val="28"/>
                <w:szCs w:val="24"/>
              </w:rPr>
            </w:pPr>
            <w:r w:rsidRPr="00754BCA">
              <w:rPr>
                <w:rFonts w:ascii="Times New Roman" w:eastAsia="標楷體" w:hAnsi="Times New Roman" w:hint="eastAsia"/>
                <w:kern w:val="2"/>
                <w:sz w:val="28"/>
                <w:szCs w:val="24"/>
              </w:rPr>
              <w:sym w:font="Webdings" w:char="F063"/>
            </w:r>
            <w:r w:rsidRPr="00754BCA">
              <w:rPr>
                <w:rFonts w:ascii="Times New Roman" w:eastAsia="標楷體" w:hAnsi="Times New Roman" w:hint="eastAsia"/>
                <w:kern w:val="2"/>
                <w:sz w:val="28"/>
                <w:szCs w:val="24"/>
              </w:rPr>
              <w:t xml:space="preserve"> </w:t>
            </w:r>
            <w:r w:rsidRPr="00754BCA">
              <w:rPr>
                <w:rFonts w:ascii="Times New Roman" w:eastAsia="標楷體" w:hAnsi="Times New Roman" w:hint="eastAsia"/>
                <w:kern w:val="2"/>
                <w:sz w:val="28"/>
                <w:szCs w:val="24"/>
              </w:rPr>
              <w:t>符合腫瘤壞死因子</w:t>
            </w:r>
            <w:r w:rsidRPr="00754BCA">
              <w:rPr>
                <w:rFonts w:ascii="Times New Roman" w:eastAsia="標楷體" w:hAnsi="Times New Roman" w:hint="eastAsia"/>
                <w:kern w:val="2"/>
                <w:sz w:val="28"/>
                <w:szCs w:val="24"/>
              </w:rPr>
              <w:t>(TNF)</w:t>
            </w:r>
            <w:r w:rsidRPr="00754BCA">
              <w:rPr>
                <w:rFonts w:ascii="Times New Roman" w:eastAsia="標楷體" w:hAnsi="Times New Roman" w:hint="eastAsia"/>
                <w:kern w:val="2"/>
                <w:sz w:val="28"/>
                <w:szCs w:val="24"/>
              </w:rPr>
              <w:t>抑制療法無法耐受</w:t>
            </w:r>
            <w:r w:rsidRPr="00754BCA">
              <w:rPr>
                <w:rFonts w:ascii="標楷體" w:eastAsia="標楷體" w:hAnsi="標楷體" w:hint="eastAsia"/>
                <w:kern w:val="2"/>
                <w:sz w:val="28"/>
                <w:szCs w:val="28"/>
              </w:rPr>
              <w:t>(請檢附病歷影本)</w:t>
            </w:r>
          </w:p>
          <w:p w14:paraId="1D488BDD" w14:textId="77777777" w:rsidR="00754BCA" w:rsidRPr="00754BCA" w:rsidRDefault="00754BCA" w:rsidP="00190A34">
            <w:pPr>
              <w:suppressAutoHyphens w:val="0"/>
              <w:autoSpaceDN/>
              <w:textAlignment w:val="auto"/>
              <w:rPr>
                <w:rFonts w:ascii="標楷體" w:eastAsia="標楷體" w:hAnsi="標楷體" w:cs="標楷體"/>
                <w:color w:val="000000"/>
                <w:kern w:val="2"/>
                <w:szCs w:val="24"/>
              </w:rPr>
            </w:pPr>
            <w:r w:rsidRPr="00754BCA">
              <w:rPr>
                <w:rFonts w:ascii="Times New Roman" w:eastAsia="標楷體" w:hAnsi="Times New Roman" w:hint="eastAsia"/>
                <w:kern w:val="2"/>
                <w:sz w:val="28"/>
                <w:szCs w:val="24"/>
              </w:rPr>
              <w:t>(</w:t>
            </w:r>
            <w:r w:rsidRPr="00754BCA">
              <w:rPr>
                <w:rFonts w:ascii="Times New Roman" w:eastAsia="標楷體" w:hAnsi="Times New Roman" w:hint="eastAsia"/>
                <w:kern w:val="2"/>
                <w:szCs w:val="24"/>
              </w:rPr>
              <w:t>請說明藥物引起不良反應之情形如副作用、發生</w:t>
            </w:r>
            <w:r w:rsidRPr="00754BCA">
              <w:rPr>
                <w:rFonts w:ascii="Times New Roman" w:eastAsia="標楷體" w:hAnsi="Times New Roman" w:hint="eastAsia"/>
                <w:kern w:val="2"/>
                <w:szCs w:val="24"/>
              </w:rPr>
              <w:t>TB</w:t>
            </w:r>
            <w:r w:rsidRPr="00754BCA">
              <w:rPr>
                <w:rFonts w:ascii="Times New Roman" w:eastAsia="標楷體" w:hAnsi="Times New Roman" w:hint="eastAsia"/>
                <w:kern w:val="2"/>
                <w:szCs w:val="24"/>
              </w:rPr>
              <w:t>或惡性腫瘤等</w:t>
            </w:r>
            <w:r w:rsidRPr="00754BCA">
              <w:rPr>
                <w:rFonts w:ascii="Times New Roman" w:eastAsia="標楷體" w:hAnsi="Times New Roman" w:hint="eastAsia"/>
                <w:kern w:val="2"/>
                <w:szCs w:val="24"/>
              </w:rPr>
              <w:t>)</w:t>
            </w:r>
            <w:r w:rsidRPr="00754BCA">
              <w:rPr>
                <w:rFonts w:ascii="Times New Roman" w:eastAsia="標楷體" w:hAnsi="Times New Roman" w:hint="eastAsia"/>
                <w:kern w:val="2"/>
                <w:szCs w:val="24"/>
              </w:rPr>
              <w:t>：</w:t>
            </w:r>
          </w:p>
        </w:tc>
      </w:tr>
      <w:tr w:rsidR="00754BCA" w:rsidRPr="00754BCA" w14:paraId="6BE09DFB" w14:textId="77777777" w:rsidTr="00397BA1">
        <w:trPr>
          <w:trHeight w:val="277"/>
        </w:trPr>
        <w:tc>
          <w:tcPr>
            <w:tcW w:w="9667" w:type="dxa"/>
            <w:gridSpan w:val="9"/>
            <w:tcBorders>
              <w:top w:val="nil"/>
              <w:left w:val="single" w:sz="4" w:space="0" w:color="auto"/>
              <w:bottom w:val="single" w:sz="4" w:space="0" w:color="auto"/>
              <w:right w:val="single" w:sz="4" w:space="0" w:color="auto"/>
            </w:tcBorders>
          </w:tcPr>
          <w:p w14:paraId="7427A025" w14:textId="77777777" w:rsidR="00754BCA" w:rsidRDefault="00754BCA" w:rsidP="00190A34">
            <w:pPr>
              <w:numPr>
                <w:ilvl w:val="12"/>
                <w:numId w:val="0"/>
              </w:numPr>
              <w:suppressAutoHyphens w:val="0"/>
              <w:autoSpaceDN/>
              <w:ind w:leftChars="138" w:left="331"/>
              <w:textAlignment w:val="center"/>
              <w:rPr>
                <w:rFonts w:ascii="Times New Roman" w:eastAsia="標楷體" w:hAnsi="Times New Roman"/>
                <w:kern w:val="2"/>
                <w:szCs w:val="24"/>
              </w:rPr>
            </w:pPr>
          </w:p>
          <w:p w14:paraId="09DC1558" w14:textId="4465101A"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 w:val="22"/>
                <w:szCs w:val="24"/>
              </w:rPr>
            </w:pPr>
            <w:r w:rsidRPr="00754BCA">
              <w:rPr>
                <w:rFonts w:ascii="Times New Roman" w:eastAsia="標楷體" w:hAnsi="Times New Roman" w:hint="eastAsia"/>
                <w:kern w:val="2"/>
                <w:szCs w:val="24"/>
              </w:rPr>
              <w:sym w:font="Webdings" w:char="F063"/>
            </w:r>
            <w:r w:rsidRPr="00754BCA">
              <w:rPr>
                <w:rFonts w:ascii="Times New Roman" w:eastAsia="標楷體" w:hAnsi="Times New Roman" w:hint="eastAsia"/>
                <w:kern w:val="2"/>
                <w:szCs w:val="24"/>
              </w:rPr>
              <w:t xml:space="preserve"> </w:t>
            </w:r>
            <w:r w:rsidRPr="00754BCA">
              <w:rPr>
                <w:rFonts w:ascii="Times New Roman" w:eastAsia="標楷體" w:hAnsi="Times New Roman"/>
                <w:kern w:val="2"/>
                <w:sz w:val="22"/>
                <w:szCs w:val="24"/>
              </w:rPr>
              <w:t>E</w:t>
            </w:r>
            <w:r w:rsidRPr="00754BCA">
              <w:rPr>
                <w:rFonts w:ascii="Times New Roman" w:eastAsia="標楷體" w:hAnsi="Times New Roman" w:hint="eastAsia"/>
                <w:kern w:val="2"/>
                <w:sz w:val="22"/>
                <w:szCs w:val="24"/>
              </w:rPr>
              <w:t xml:space="preserve">tanercept   </w:t>
            </w:r>
          </w:p>
          <w:p w14:paraId="5B2B789B" w14:textId="77777777"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 w:val="22"/>
                <w:szCs w:val="24"/>
                <w:u w:val="single"/>
              </w:rPr>
            </w:pPr>
            <w:r w:rsidRPr="00754BCA">
              <w:rPr>
                <w:rFonts w:ascii="Times New Roman" w:eastAsia="標楷體" w:hAnsi="Times New Roman" w:hint="eastAsia"/>
                <w:kern w:val="2"/>
                <w:sz w:val="22"/>
                <w:szCs w:val="24"/>
              </w:rPr>
              <w:t xml:space="preserve"> </w:t>
            </w:r>
            <w:r w:rsidRPr="00754BCA">
              <w:rPr>
                <w:rFonts w:ascii="Times New Roman" w:eastAsia="標楷體" w:hAnsi="Times New Roman" w:hint="eastAsia"/>
                <w:kern w:val="2"/>
                <w:sz w:val="22"/>
                <w:szCs w:val="24"/>
                <w:u w:val="single"/>
              </w:rPr>
              <w:t xml:space="preserve"> </w:t>
            </w:r>
            <w:r w:rsidRPr="00754BCA">
              <w:rPr>
                <w:rFonts w:ascii="Times New Roman" w:eastAsia="標楷體" w:hAnsi="Times New Roman" w:hint="eastAsia"/>
                <w:kern w:val="2"/>
                <w:sz w:val="22"/>
                <w:szCs w:val="24"/>
                <w:u w:val="single"/>
              </w:rPr>
              <w:t xml:space="preserve">　　　</w:t>
            </w:r>
            <w:r w:rsidRPr="00754BCA">
              <w:rPr>
                <w:rFonts w:ascii="Times New Roman" w:eastAsia="標楷體" w:hAnsi="Times New Roman"/>
                <w:kern w:val="2"/>
                <w:sz w:val="22"/>
                <w:szCs w:val="24"/>
                <w:u w:val="single"/>
              </w:rPr>
              <w:t xml:space="preserve"> </w:t>
            </w:r>
            <w:r w:rsidRPr="00754BCA">
              <w:rPr>
                <w:rFonts w:ascii="Times New Roman" w:eastAsia="標楷體" w:hAnsi="Times New Roman"/>
                <w:kern w:val="2"/>
                <w:sz w:val="22"/>
                <w:szCs w:val="24"/>
              </w:rPr>
              <w:t>mg/week</w:t>
            </w:r>
            <w:r w:rsidRPr="00754BCA">
              <w:rPr>
                <w:rFonts w:ascii="Times New Roman" w:eastAsia="標楷體" w:hAnsi="Times New Roman" w:hint="eastAsia"/>
                <w:kern w:val="2"/>
                <w:sz w:val="22"/>
                <w:szCs w:val="24"/>
              </w:rPr>
              <w:t>引起之不良事件</w:t>
            </w:r>
            <w:r w:rsidRPr="00754BCA">
              <w:rPr>
                <w:rFonts w:ascii="Times New Roman" w:eastAsia="標楷體" w:hAnsi="Times New Roman" w:hint="eastAsia"/>
                <w:kern w:val="2"/>
                <w:sz w:val="22"/>
                <w:szCs w:val="24"/>
              </w:rPr>
              <w:t>:________________________________________________</w:t>
            </w:r>
          </w:p>
          <w:p w14:paraId="2DBEC684" w14:textId="77777777"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Cs w:val="24"/>
              </w:rPr>
            </w:pPr>
            <w:r w:rsidRPr="00754BCA">
              <w:rPr>
                <w:rFonts w:ascii="Times New Roman" w:eastAsia="標楷體" w:hAnsi="Times New Roman" w:hint="eastAsia"/>
                <w:kern w:val="2"/>
                <w:szCs w:val="24"/>
              </w:rPr>
              <w:t xml:space="preserve">                             ___________________________________________</w:t>
            </w:r>
          </w:p>
          <w:p w14:paraId="47037D09" w14:textId="2F378F19"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Cs w:val="24"/>
              </w:rPr>
            </w:pPr>
            <w:r w:rsidRPr="00754BCA">
              <w:rPr>
                <w:rFonts w:ascii="Times New Roman" w:eastAsia="標楷體" w:hAnsi="Times New Roman" w:hint="eastAsia"/>
                <w:kern w:val="2"/>
                <w:szCs w:val="24"/>
              </w:rPr>
              <w:t xml:space="preserve">                             ___________________________________________</w:t>
            </w:r>
          </w:p>
        </w:tc>
      </w:tr>
      <w:tr w:rsidR="00754BCA" w:rsidRPr="00754BCA" w14:paraId="26342234" w14:textId="77777777" w:rsidTr="00397BA1">
        <w:trPr>
          <w:trHeight w:val="277"/>
        </w:trPr>
        <w:tc>
          <w:tcPr>
            <w:tcW w:w="9667" w:type="dxa"/>
            <w:gridSpan w:val="9"/>
            <w:tcBorders>
              <w:top w:val="single" w:sz="4" w:space="0" w:color="auto"/>
              <w:left w:val="single" w:sz="4" w:space="0" w:color="auto"/>
              <w:bottom w:val="single" w:sz="4" w:space="0" w:color="auto"/>
              <w:right w:val="single" w:sz="4" w:space="0" w:color="auto"/>
            </w:tcBorders>
          </w:tcPr>
          <w:p w14:paraId="23198C9D" w14:textId="77777777" w:rsidR="00754BCA" w:rsidRPr="00754BCA" w:rsidRDefault="00754BCA" w:rsidP="00190A34">
            <w:pPr>
              <w:numPr>
                <w:ilvl w:val="12"/>
                <w:numId w:val="0"/>
              </w:numPr>
              <w:suppressAutoHyphens w:val="0"/>
              <w:autoSpaceDN/>
              <w:textAlignment w:val="center"/>
              <w:rPr>
                <w:rFonts w:ascii="Times New Roman" w:eastAsia="標楷體" w:hAnsi="Times New Roman"/>
                <w:kern w:val="2"/>
                <w:szCs w:val="24"/>
              </w:rPr>
            </w:pPr>
            <w:r w:rsidRPr="00754BCA">
              <w:rPr>
                <w:rFonts w:ascii="Times New Roman" w:eastAsia="標楷體" w:hAnsi="Times New Roman" w:hint="eastAsia"/>
                <w:kern w:val="2"/>
                <w:sz w:val="28"/>
                <w:szCs w:val="24"/>
              </w:rPr>
              <w:t>□</w:t>
            </w:r>
            <w:r w:rsidRPr="00754BCA">
              <w:rPr>
                <w:rFonts w:ascii="Times New Roman" w:eastAsia="標楷體" w:hAnsi="Times New Roman" w:hint="eastAsia"/>
                <w:kern w:val="2"/>
                <w:sz w:val="28"/>
                <w:szCs w:val="24"/>
              </w:rPr>
              <w:t xml:space="preserve"> </w:t>
            </w:r>
            <w:r w:rsidRPr="00754BCA">
              <w:rPr>
                <w:rFonts w:ascii="Times New Roman" w:eastAsia="標楷體" w:hAnsi="Times New Roman" w:hint="eastAsia"/>
                <w:kern w:val="2"/>
                <w:sz w:val="28"/>
                <w:szCs w:val="24"/>
              </w:rPr>
              <w:t>符合「須排除或停止</w:t>
            </w:r>
            <w:r w:rsidRPr="00754BCA">
              <w:rPr>
                <w:rFonts w:ascii="Times New Roman" w:eastAsia="標楷體" w:hAnsi="Times New Roman"/>
                <w:kern w:val="2"/>
                <w:sz w:val="28"/>
                <w:szCs w:val="24"/>
              </w:rPr>
              <w:t>abatacept</w:t>
            </w:r>
            <w:r w:rsidRPr="00754BCA">
              <w:rPr>
                <w:rFonts w:ascii="Times New Roman" w:eastAsia="標楷體" w:hAnsi="Times New Roman" w:hint="eastAsia"/>
                <w:kern w:val="2"/>
                <w:sz w:val="28"/>
                <w:szCs w:val="24"/>
              </w:rPr>
              <w:t>使用之情形」</w:t>
            </w:r>
          </w:p>
        </w:tc>
      </w:tr>
      <w:tr w:rsidR="00754BCA" w:rsidRPr="00754BCA" w14:paraId="29CCA236"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3910DD16"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56FE77AC"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7B41E3C9" w14:textId="77777777" w:rsidR="00754BCA" w:rsidRPr="00754BCA" w:rsidRDefault="00754BCA" w:rsidP="00190A34">
            <w:pPr>
              <w:suppressAutoHyphens w:val="0"/>
              <w:autoSpaceDN/>
              <w:snapToGrid w:val="0"/>
              <w:jc w:val="both"/>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是否有</w:t>
            </w:r>
            <w:r w:rsidRPr="00754BCA">
              <w:rPr>
                <w:rFonts w:ascii="Times New Roman" w:eastAsia="標楷體" w:hAnsi="Times New Roman"/>
                <w:kern w:val="2"/>
                <w:sz w:val="22"/>
                <w:szCs w:val="24"/>
              </w:rPr>
              <w:t>abatacept</w:t>
            </w:r>
            <w:r w:rsidRPr="00754BCA">
              <w:rPr>
                <w:rFonts w:ascii="Times New Roman" w:eastAsia="標楷體" w:hAnsi="Times New Roman" w:hint="eastAsia"/>
                <w:kern w:val="2"/>
                <w:sz w:val="22"/>
                <w:szCs w:val="24"/>
              </w:rPr>
              <w:t>仿單記載之禁忌情形。</w:t>
            </w:r>
          </w:p>
        </w:tc>
      </w:tr>
      <w:tr w:rsidR="00754BCA" w:rsidRPr="00754BCA" w14:paraId="743ECD79"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2A77C5C3"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4FEAA301"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777C3D0B" w14:textId="77777777" w:rsidR="00754BCA" w:rsidRPr="00754BCA" w:rsidRDefault="00754BCA" w:rsidP="00190A34">
            <w:pPr>
              <w:suppressAutoHyphens w:val="0"/>
              <w:autoSpaceDN/>
              <w:snapToGrid w:val="0"/>
              <w:jc w:val="both"/>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病患是否懷孕或</w:t>
            </w:r>
            <w:proofErr w:type="gramStart"/>
            <w:r w:rsidRPr="00754BCA">
              <w:rPr>
                <w:rFonts w:ascii="Times New Roman" w:eastAsia="標楷體" w:hAnsi="Times New Roman" w:hint="eastAsia"/>
                <w:kern w:val="2"/>
                <w:sz w:val="22"/>
                <w:szCs w:val="24"/>
              </w:rPr>
              <w:t>正在授乳</w:t>
            </w:r>
            <w:proofErr w:type="gramEnd"/>
            <w:r w:rsidRPr="00754BCA">
              <w:rPr>
                <w:rFonts w:ascii="Times New Roman" w:eastAsia="標楷體" w:hAnsi="Times New Roman" w:hint="eastAsia"/>
                <w:kern w:val="2"/>
                <w:sz w:val="22"/>
                <w:szCs w:val="24"/>
              </w:rPr>
              <w:t>。</w:t>
            </w:r>
          </w:p>
        </w:tc>
      </w:tr>
      <w:tr w:rsidR="00754BCA" w:rsidRPr="00754BCA" w14:paraId="6AAC0CBC"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285D8C2D"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27D75F82"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0C77CACF"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患活動性的感染症。</w:t>
            </w:r>
          </w:p>
        </w:tc>
      </w:tr>
      <w:tr w:rsidR="00754BCA" w:rsidRPr="00754BCA" w14:paraId="08D5364E"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65718892"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lastRenderedPageBreak/>
              <w:t>是</w:t>
            </w:r>
          </w:p>
          <w:p w14:paraId="4F91480B"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1385A344"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未經完整治療之結核病的患者（包括潛伏結核感染治療未達四</w:t>
            </w:r>
            <w:proofErr w:type="gramStart"/>
            <w:r w:rsidRPr="00754BCA">
              <w:rPr>
                <w:rFonts w:ascii="Times New Roman" w:eastAsia="標楷體" w:hAnsi="Times New Roman" w:hint="eastAsia"/>
                <w:kern w:val="2"/>
                <w:sz w:val="22"/>
                <w:szCs w:val="24"/>
              </w:rPr>
              <w:t>週</w:t>
            </w:r>
            <w:proofErr w:type="gramEnd"/>
            <w:r w:rsidRPr="00754BCA">
              <w:rPr>
                <w:rFonts w:ascii="Times New Roman" w:eastAsia="標楷體" w:hAnsi="Times New Roman" w:hint="eastAsia"/>
                <w:kern w:val="2"/>
                <w:sz w:val="22"/>
                <w:szCs w:val="24"/>
              </w:rPr>
              <w:t>者，申請時應檢附潛伏結核感染篩檢紀錄及治療紀錄供審查）。</w:t>
            </w:r>
          </w:p>
        </w:tc>
      </w:tr>
      <w:tr w:rsidR="00754BCA" w:rsidRPr="00754BCA" w14:paraId="40726CB3"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76911690"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371B9669"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38661CFA"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病患身上是否帶有人工關節，</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患或先前曾</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患敗血症（</w:t>
            </w:r>
            <w:r w:rsidRPr="00754BCA">
              <w:rPr>
                <w:rFonts w:ascii="Times New Roman" w:eastAsia="標楷體" w:hAnsi="Times New Roman" w:hint="eastAsia"/>
                <w:kern w:val="2"/>
                <w:sz w:val="22"/>
                <w:szCs w:val="24"/>
              </w:rPr>
              <w:t>sepsis</w:t>
            </w:r>
            <w:r w:rsidRPr="00754BCA">
              <w:rPr>
                <w:rFonts w:ascii="Times New Roman" w:eastAsia="標楷體" w:hAnsi="Times New Roman" w:hint="eastAsia"/>
                <w:kern w:val="2"/>
                <w:sz w:val="22"/>
                <w:szCs w:val="24"/>
              </w:rPr>
              <w:t>）。</w:t>
            </w:r>
          </w:p>
        </w:tc>
      </w:tr>
      <w:tr w:rsidR="00754BCA" w:rsidRPr="00754BCA" w14:paraId="0BC0ED93"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00C0EC9E"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044217DC"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7699F7B6"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患惡性腫瘤或具有癌症前兆（</w:t>
            </w:r>
            <w:r w:rsidRPr="00754BCA">
              <w:rPr>
                <w:rFonts w:ascii="Times New Roman" w:eastAsia="標楷體" w:hAnsi="Times New Roman" w:hint="eastAsia"/>
                <w:kern w:val="2"/>
                <w:sz w:val="22"/>
                <w:szCs w:val="24"/>
              </w:rPr>
              <w:t>pre-malignancy</w:t>
            </w:r>
            <w:r w:rsidRPr="00754BCA">
              <w:rPr>
                <w:rFonts w:ascii="Times New Roman" w:eastAsia="標楷體" w:hAnsi="Times New Roman" w:hint="eastAsia"/>
                <w:kern w:val="2"/>
                <w:sz w:val="22"/>
                <w:szCs w:val="24"/>
              </w:rPr>
              <w:t>）。</w:t>
            </w:r>
          </w:p>
        </w:tc>
      </w:tr>
      <w:tr w:rsidR="00754BCA" w:rsidRPr="00754BCA" w14:paraId="69BE7E83"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0366DC93"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1C28A169"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5DC500D9"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病患是否有免疫功能不全。</w:t>
            </w:r>
          </w:p>
        </w:tc>
      </w:tr>
      <w:tr w:rsidR="00754BCA" w:rsidRPr="00754BCA" w14:paraId="595C5904"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4C086731"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796BA973"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32509B23"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使用</w:t>
            </w:r>
            <w:r w:rsidRPr="00754BCA">
              <w:rPr>
                <w:rFonts w:ascii="Times New Roman" w:eastAsia="標楷體" w:hAnsi="Times New Roman"/>
                <w:kern w:val="2"/>
                <w:sz w:val="22"/>
                <w:szCs w:val="24"/>
              </w:rPr>
              <w:t>abatacept</w:t>
            </w:r>
            <w:r w:rsidRPr="00754BCA">
              <w:rPr>
                <w:rFonts w:ascii="Times New Roman" w:eastAsia="標楷體" w:hAnsi="Times New Roman" w:hint="eastAsia"/>
                <w:kern w:val="2"/>
                <w:sz w:val="22"/>
                <w:szCs w:val="24"/>
              </w:rPr>
              <w:t>療效</w:t>
            </w:r>
            <w:proofErr w:type="gramStart"/>
            <w:r w:rsidRPr="00754BCA">
              <w:rPr>
                <w:rFonts w:ascii="Times New Roman" w:eastAsia="標楷體" w:hAnsi="Times New Roman" w:hint="eastAsia"/>
                <w:kern w:val="2"/>
                <w:sz w:val="22"/>
                <w:szCs w:val="24"/>
              </w:rPr>
              <w:t>不</w:t>
            </w:r>
            <w:proofErr w:type="gramEnd"/>
            <w:r w:rsidRPr="00754BCA">
              <w:rPr>
                <w:rFonts w:ascii="Times New Roman" w:eastAsia="標楷體" w:hAnsi="Times New Roman" w:hint="eastAsia"/>
                <w:kern w:val="2"/>
                <w:sz w:val="22"/>
                <w:szCs w:val="24"/>
              </w:rPr>
              <w:t>彰：經過</w:t>
            </w:r>
            <w:r w:rsidRPr="00754BCA">
              <w:rPr>
                <w:rFonts w:ascii="Times New Roman" w:eastAsia="標楷體" w:hAnsi="Times New Roman" w:hint="eastAsia"/>
                <w:kern w:val="2"/>
                <w:sz w:val="22"/>
                <w:szCs w:val="24"/>
              </w:rPr>
              <w:t>6</w:t>
            </w:r>
            <w:r w:rsidRPr="00754BCA">
              <w:rPr>
                <w:rFonts w:ascii="Times New Roman" w:eastAsia="標楷體" w:hAnsi="Times New Roman" w:hint="eastAsia"/>
                <w:kern w:val="2"/>
                <w:sz w:val="22"/>
                <w:szCs w:val="24"/>
              </w:rPr>
              <w:t>個月治療後，未達療效反應標準或有惡化現象。</w:t>
            </w:r>
          </w:p>
        </w:tc>
      </w:tr>
      <w:tr w:rsidR="00754BCA" w:rsidRPr="00754BCA" w14:paraId="454BC60B"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46CFDD59"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2F6B7294" w14:textId="77777777" w:rsidR="00754BCA" w:rsidRPr="00754BCA" w:rsidRDefault="00754BCA" w:rsidP="002144EC">
            <w:pPr>
              <w:numPr>
                <w:ilvl w:val="0"/>
                <w:numId w:val="216"/>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48176A09"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使用</w:t>
            </w:r>
            <w:r w:rsidRPr="00754BCA">
              <w:rPr>
                <w:rFonts w:ascii="Times New Roman" w:eastAsia="標楷體" w:hAnsi="Times New Roman"/>
                <w:kern w:val="2"/>
                <w:sz w:val="22"/>
                <w:szCs w:val="24"/>
              </w:rPr>
              <w:t>abatacept</w:t>
            </w:r>
            <w:r w:rsidRPr="00754BCA">
              <w:rPr>
                <w:rFonts w:ascii="Times New Roman" w:eastAsia="標楷體" w:hAnsi="Times New Roman" w:hint="eastAsia"/>
                <w:kern w:val="2"/>
                <w:sz w:val="22"/>
                <w:szCs w:val="24"/>
              </w:rPr>
              <w:t>發生懷孕或不良事件</w:t>
            </w:r>
            <w:r w:rsidRPr="00754BCA">
              <w:rPr>
                <w:rFonts w:ascii="Times New Roman" w:eastAsia="標楷體" w:hAnsi="Times New Roman" w:hint="eastAsia"/>
                <w:kern w:val="2"/>
                <w:sz w:val="22"/>
                <w:szCs w:val="24"/>
              </w:rPr>
              <w:t>(</w:t>
            </w:r>
            <w:r w:rsidRPr="00754BCA">
              <w:rPr>
                <w:rFonts w:ascii="Times New Roman" w:eastAsia="標楷體" w:hAnsi="Times New Roman" w:hint="eastAsia"/>
                <w:kern w:val="2"/>
                <w:sz w:val="22"/>
                <w:szCs w:val="24"/>
              </w:rPr>
              <w:t>包括：惡性腫瘤、該藥物引起的嚴重毒性、嚴重的感染性疾病</w:t>
            </w:r>
            <w:r w:rsidRPr="00754BCA">
              <w:rPr>
                <w:rFonts w:ascii="Times New Roman" w:eastAsia="標楷體" w:hAnsi="Times New Roman" w:hint="eastAsia"/>
                <w:kern w:val="2"/>
                <w:sz w:val="22"/>
                <w:szCs w:val="24"/>
              </w:rPr>
              <w:t>)</w:t>
            </w:r>
            <w:r w:rsidRPr="00754BCA">
              <w:rPr>
                <w:rFonts w:ascii="Times New Roman" w:eastAsia="標楷體" w:hAnsi="Times New Roman" w:hint="eastAsia"/>
                <w:kern w:val="2"/>
                <w:sz w:val="22"/>
                <w:szCs w:val="24"/>
              </w:rPr>
              <w:t>。</w:t>
            </w:r>
          </w:p>
        </w:tc>
      </w:tr>
    </w:tbl>
    <w:p w14:paraId="06F9679F" w14:textId="77777777" w:rsidR="00754BCA" w:rsidRPr="00754BCA" w:rsidRDefault="00754BCA" w:rsidP="00190A34">
      <w:pPr>
        <w:suppressAutoHyphens w:val="0"/>
        <w:autoSpaceDN/>
        <w:spacing w:line="300" w:lineRule="exact"/>
        <w:jc w:val="center"/>
        <w:textAlignment w:val="auto"/>
        <w:rPr>
          <w:rFonts w:ascii="Times New Roman" w:eastAsia="標楷體" w:hAnsi="標楷體"/>
          <w:color w:val="000000"/>
          <w:kern w:val="2"/>
          <w:sz w:val="32"/>
          <w:szCs w:val="32"/>
        </w:rPr>
      </w:pPr>
    </w:p>
    <w:p w14:paraId="2908E726" w14:textId="77777777" w:rsidR="00754BCA" w:rsidRPr="00754BCA" w:rsidRDefault="00754BCA" w:rsidP="00190A34">
      <w:pPr>
        <w:suppressAutoHyphens w:val="0"/>
        <w:autoSpaceDN/>
        <w:spacing w:line="300" w:lineRule="exact"/>
        <w:jc w:val="center"/>
        <w:textAlignment w:val="auto"/>
        <w:rPr>
          <w:rFonts w:ascii="標楷體" w:eastAsia="標楷體" w:hAnsi="標楷體"/>
          <w:color w:val="000000"/>
          <w:kern w:val="2"/>
          <w:szCs w:val="24"/>
        </w:rPr>
      </w:pPr>
      <w:r w:rsidRPr="00754BCA">
        <w:rPr>
          <w:rFonts w:ascii="標楷體" w:eastAsia="標楷體" w:hAnsi="標楷體"/>
          <w:color w:val="000000"/>
          <w:kern w:val="2"/>
          <w:szCs w:val="24"/>
        </w:rPr>
        <w:t xml:space="preserve"> </w:t>
      </w:r>
    </w:p>
    <w:p w14:paraId="559872F9"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u w:val="single"/>
        </w:rPr>
      </w:pPr>
      <w:r w:rsidRPr="00754BCA">
        <w:rPr>
          <w:rFonts w:ascii="標楷體" w:eastAsia="標楷體" w:hAnsi="標楷體" w:cs="標楷體" w:hint="eastAsia"/>
          <w:color w:val="000000"/>
          <w:kern w:val="2"/>
          <w:szCs w:val="24"/>
        </w:rPr>
        <w:t>申請醫師</w:t>
      </w:r>
      <w:r w:rsidRPr="00754BCA">
        <w:rPr>
          <w:rFonts w:ascii="標楷體" w:eastAsia="標楷體" w:hAnsi="標楷體" w:cs="標楷體"/>
          <w:color w:val="000000"/>
          <w:kern w:val="2"/>
          <w:szCs w:val="24"/>
        </w:rPr>
        <w:t>(</w:t>
      </w:r>
      <w:r w:rsidRPr="00754BCA">
        <w:rPr>
          <w:rFonts w:ascii="標楷體" w:eastAsia="標楷體" w:hAnsi="標楷體" w:cs="標楷體" w:hint="eastAsia"/>
          <w:color w:val="000000"/>
          <w:kern w:val="2"/>
          <w:szCs w:val="24"/>
        </w:rPr>
        <w:t>簽名蓋章</w:t>
      </w:r>
      <w:r w:rsidRPr="00754BCA">
        <w:rPr>
          <w:rFonts w:ascii="標楷體" w:eastAsia="標楷體" w:hAnsi="標楷體" w:cs="標楷體"/>
          <w:color w:val="000000"/>
          <w:kern w:val="2"/>
          <w:szCs w:val="24"/>
        </w:rPr>
        <w:t>)</w:t>
      </w:r>
      <w:r w:rsidRPr="00754BCA">
        <w:rPr>
          <w:rFonts w:ascii="標楷體" w:eastAsia="標楷體" w:hAnsi="標楷體" w:cs="標楷體" w:hint="eastAsia"/>
          <w:color w:val="000000"/>
          <w:kern w:val="2"/>
          <w:szCs w:val="24"/>
        </w:rPr>
        <w:t>：</w:t>
      </w:r>
      <w:r w:rsidRPr="00754BCA">
        <w:rPr>
          <w:rFonts w:ascii="標楷體" w:eastAsia="標楷體" w:hAnsi="標楷體" w:cs="標楷體"/>
          <w:color w:val="000000"/>
          <w:kern w:val="2"/>
          <w:szCs w:val="24"/>
          <w:u w:val="single"/>
        </w:rPr>
        <w:t xml:space="preserve">                 </w:t>
      </w:r>
    </w:p>
    <w:p w14:paraId="547F8FF3"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內科專科醫師證書：內專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p>
    <w:p w14:paraId="3CC240C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風濕病專科醫師證書：中</w:t>
      </w:r>
      <w:proofErr w:type="gramStart"/>
      <w:r w:rsidRPr="00754BCA">
        <w:rPr>
          <w:rFonts w:ascii="標楷體" w:eastAsia="標楷體" w:hAnsi="標楷體" w:cs="標楷體" w:hint="eastAsia"/>
          <w:color w:val="000000"/>
          <w:kern w:val="2"/>
          <w:szCs w:val="24"/>
        </w:rPr>
        <w:t>僂</w:t>
      </w:r>
      <w:proofErr w:type="gramEnd"/>
      <w:r w:rsidRPr="00754BCA">
        <w:rPr>
          <w:rFonts w:ascii="標楷體" w:eastAsia="標楷體" w:hAnsi="標楷體" w:cs="標楷體" w:hint="eastAsia"/>
          <w:color w:val="000000"/>
          <w:kern w:val="2"/>
          <w:szCs w:val="24"/>
        </w:rPr>
        <w:t>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r w:rsidRPr="00754BCA">
        <w:rPr>
          <w:rFonts w:ascii="標楷體" w:eastAsia="標楷體" w:hAnsi="標楷體" w:cs="標楷體"/>
          <w:color w:val="000000"/>
          <w:kern w:val="2"/>
          <w:szCs w:val="24"/>
        </w:rPr>
        <w:t xml:space="preserve">    </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事機構章戳：</w:t>
      </w:r>
    </w:p>
    <w:p w14:paraId="033C1AE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小兒科專科醫師證書：兒專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p>
    <w:p w14:paraId="33E05553"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小兒過敏免疫專科醫師證書</w:t>
      </w:r>
      <w:r w:rsidRPr="00754BCA">
        <w:rPr>
          <w:rFonts w:ascii="標楷體" w:eastAsia="標楷體" w:hAnsi="標楷體" w:cs="標楷體"/>
          <w:color w:val="000000"/>
          <w:kern w:val="2"/>
          <w:szCs w:val="24"/>
        </w:rPr>
        <w:t xml:space="preserve">: </w:t>
      </w:r>
      <w:r w:rsidRPr="00754BCA">
        <w:rPr>
          <w:rFonts w:ascii="標楷體" w:eastAsia="標楷體" w:hAnsi="標楷體" w:cs="標楷體" w:hint="eastAsia"/>
          <w:color w:val="000000"/>
          <w:kern w:val="2"/>
          <w:szCs w:val="24"/>
        </w:rPr>
        <w:t>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p>
    <w:p w14:paraId="40362958" w14:textId="77777777" w:rsidR="00754BCA" w:rsidRPr="00754BCA" w:rsidRDefault="00754BCA" w:rsidP="00754BCA">
      <w:pPr>
        <w:suppressAutoHyphens w:val="0"/>
        <w:autoSpaceDN/>
        <w:textAlignment w:val="auto"/>
        <w:rPr>
          <w:rFonts w:ascii="Times New Roman" w:hAnsi="Times New Roman"/>
          <w:kern w:val="2"/>
          <w:szCs w:val="24"/>
        </w:rPr>
      </w:pPr>
    </w:p>
    <w:p w14:paraId="13F60AAA" w14:textId="78DCFDCA" w:rsidR="00754BCA" w:rsidRPr="00754BCA" w:rsidRDefault="00754BCA">
      <w:pPr>
        <w:widowControl/>
        <w:suppressAutoHyphens w:val="0"/>
        <w:rPr>
          <w:rFonts w:ascii="標楷體" w:eastAsia="標楷體" w:hAnsi="標楷體"/>
        </w:rPr>
      </w:pPr>
    </w:p>
    <w:p w14:paraId="3EA4F39B" w14:textId="4DB6720B" w:rsidR="00754BCA" w:rsidRDefault="00754BCA">
      <w:pPr>
        <w:widowControl/>
        <w:suppressAutoHyphens w:val="0"/>
        <w:rPr>
          <w:rFonts w:ascii="標楷體" w:eastAsia="標楷體" w:hAnsi="標楷體"/>
        </w:rPr>
      </w:pPr>
      <w:r>
        <w:rPr>
          <w:rFonts w:ascii="標楷體" w:eastAsia="標楷體" w:hAnsi="標楷體"/>
        </w:rPr>
        <w:br w:type="page"/>
      </w:r>
    </w:p>
    <w:p w14:paraId="48E6B72B" w14:textId="77777777" w:rsidR="00401786" w:rsidRPr="00190A34" w:rsidRDefault="00401786" w:rsidP="000E757E">
      <w:pPr>
        <w:snapToGrid w:val="0"/>
        <w:spacing w:line="240" w:lineRule="atLeast"/>
        <w:rPr>
          <w:rFonts w:ascii="標楷體" w:eastAsia="標楷體" w:hAnsi="標楷體"/>
          <w:sz w:val="22"/>
          <w:szCs w:val="20"/>
        </w:rPr>
      </w:pPr>
    </w:p>
    <w:p w14:paraId="7A2B5F9B" w14:textId="5E0AE532" w:rsidR="00401786" w:rsidRPr="00190A34" w:rsidRDefault="00C64FB3" w:rsidP="00C44BBD">
      <w:pPr>
        <w:widowControl/>
        <w:suppressAutoHyphens w:val="0"/>
        <w:spacing w:line="300" w:lineRule="exact"/>
        <w:jc w:val="center"/>
        <w:rPr>
          <w:rFonts w:ascii="標楷體" w:eastAsia="標楷體" w:hAnsi="標楷體"/>
          <w:b/>
          <w:bCs/>
          <w:color w:val="000000"/>
          <w:szCs w:val="24"/>
        </w:rPr>
      </w:pPr>
      <w:r w:rsidRPr="00190A34">
        <w:rPr>
          <w:rFonts w:ascii="標楷體" w:eastAsia="標楷體" w:hAnsi="標楷體"/>
          <w:b/>
          <w:bCs/>
          <w:color w:val="000000"/>
          <w:szCs w:val="24"/>
        </w:rPr>
        <w:t>附表三十二：異位性皮膚炎面積暨嚴重度指數【Eczema Area and Severity Index (EASI)】</w:t>
      </w:r>
    </w:p>
    <w:p w14:paraId="6CFFB4AB" w14:textId="77777777" w:rsidR="00401786" w:rsidRDefault="00401786" w:rsidP="00C44BBD">
      <w:pPr>
        <w:widowControl/>
        <w:suppressAutoHyphens w:val="0"/>
        <w:spacing w:line="300" w:lineRule="exact"/>
      </w:pPr>
    </w:p>
    <w:p w14:paraId="28C2EB99" w14:textId="77777777" w:rsidR="00401786" w:rsidRDefault="00C64FB3" w:rsidP="00C44BBD">
      <w:pPr>
        <w:widowControl/>
        <w:spacing w:before="100" w:after="100" w:line="300" w:lineRule="exact"/>
        <w:jc w:val="both"/>
      </w:pPr>
      <w:r>
        <w:rPr>
          <w:rFonts w:ascii="標楷體" w:eastAsia="標楷體" w:hAnsi="標楷體"/>
          <w:b/>
          <w:bCs/>
          <w:color w:val="000000"/>
        </w:rPr>
        <w:t xml:space="preserve">     異位性皮膚炎面積</w:t>
      </w:r>
      <w:r>
        <w:rPr>
          <w:rFonts w:ascii="標楷體" w:eastAsia="標楷體" w:hAnsi="標楷體"/>
          <w:color w:val="000000"/>
        </w:rPr>
        <w:t>（Area）：合併總面積</w:t>
      </w:r>
      <w:proofErr w:type="gramStart"/>
      <w:r>
        <w:rPr>
          <w:rFonts w:ascii="標楷體" w:eastAsia="標楷體" w:hAnsi="標楷體"/>
          <w:color w:val="000000"/>
        </w:rPr>
        <w:t>佔</w:t>
      </w:r>
      <w:proofErr w:type="gramEnd"/>
      <w:r>
        <w:rPr>
          <w:rFonts w:ascii="標楷體" w:eastAsia="標楷體" w:hAnsi="標楷體"/>
          <w:color w:val="000000"/>
        </w:rPr>
        <w:t>體表%____________</w:t>
      </w:r>
    </w:p>
    <w:tbl>
      <w:tblPr>
        <w:tblW w:w="8818" w:type="dxa"/>
        <w:jc w:val="center"/>
        <w:tblCellMar>
          <w:left w:w="10" w:type="dxa"/>
          <w:right w:w="10" w:type="dxa"/>
        </w:tblCellMar>
        <w:tblLook w:val="0000" w:firstRow="0" w:lastRow="0" w:firstColumn="0" w:lastColumn="0" w:noHBand="0" w:noVBand="0"/>
      </w:tblPr>
      <w:tblGrid>
        <w:gridCol w:w="947"/>
        <w:gridCol w:w="959"/>
        <w:gridCol w:w="959"/>
        <w:gridCol w:w="1145"/>
        <w:gridCol w:w="1145"/>
        <w:gridCol w:w="1146"/>
        <w:gridCol w:w="1125"/>
        <w:gridCol w:w="1392"/>
      </w:tblGrid>
      <w:tr w:rsidR="00401786" w14:paraId="1AA35066" w14:textId="77777777">
        <w:trPr>
          <w:trHeight w:val="561"/>
          <w:jc w:val="center"/>
        </w:trPr>
        <w:tc>
          <w:tcPr>
            <w:tcW w:w="947" w:type="dxa"/>
            <w:tcBorders>
              <w:top w:val="double" w:sz="6" w:space="0" w:color="000000"/>
              <w:left w:val="doub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58D52093" w14:textId="77777777" w:rsidR="00401786" w:rsidRDefault="00C64FB3" w:rsidP="00C44BBD">
            <w:pPr>
              <w:widowControl/>
              <w:spacing w:before="100" w:after="142" w:line="300" w:lineRule="exact"/>
              <w:jc w:val="center"/>
            </w:pPr>
            <w:r>
              <w:rPr>
                <w:rFonts w:ascii="標楷體" w:eastAsia="標楷體" w:hAnsi="標楷體"/>
                <w:caps/>
                <w:color w:val="000000"/>
              </w:rPr>
              <w:t>涵蓋程度</w:t>
            </w:r>
          </w:p>
        </w:tc>
        <w:tc>
          <w:tcPr>
            <w:tcW w:w="959"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34F98FF" w14:textId="77777777" w:rsidR="00401786" w:rsidRDefault="00C64FB3" w:rsidP="00C44BBD">
            <w:pPr>
              <w:widowControl/>
              <w:spacing w:before="100" w:after="142" w:line="300" w:lineRule="exact"/>
              <w:jc w:val="center"/>
            </w:pPr>
            <w:r>
              <w:rPr>
                <w:rFonts w:ascii="標楷體" w:eastAsia="標楷體" w:hAnsi="標楷體"/>
                <w:caps/>
                <w:color w:val="000000"/>
              </w:rPr>
              <w:t>0</w:t>
            </w:r>
            <w:proofErr w:type="gramStart"/>
            <w:r>
              <w:rPr>
                <w:rFonts w:ascii="標楷體" w:eastAsia="標楷體" w:hAnsi="標楷體"/>
                <w:caps/>
                <w:color w:val="000000"/>
              </w:rPr>
              <w:t>﹪</w:t>
            </w:r>
            <w:proofErr w:type="gramEnd"/>
          </w:p>
        </w:tc>
        <w:tc>
          <w:tcPr>
            <w:tcW w:w="959"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1FAD3034" w14:textId="77777777" w:rsidR="00401786" w:rsidRDefault="00C64FB3" w:rsidP="00C44BBD">
            <w:pPr>
              <w:widowControl/>
              <w:spacing w:before="100" w:after="142" w:line="300" w:lineRule="exact"/>
              <w:jc w:val="center"/>
            </w:pPr>
            <w:r>
              <w:rPr>
                <w:rFonts w:ascii="標楷體" w:eastAsia="標楷體" w:hAnsi="標楷體"/>
                <w:caps/>
                <w:color w:val="000000"/>
              </w:rPr>
              <w:t>1-9</w:t>
            </w:r>
            <w:proofErr w:type="gramStart"/>
            <w:r>
              <w:rPr>
                <w:rFonts w:ascii="標楷體" w:eastAsia="標楷體" w:hAnsi="標楷體"/>
                <w:caps/>
                <w:color w:val="000000"/>
              </w:rPr>
              <w:t>﹪</w:t>
            </w:r>
            <w:proofErr w:type="gramEnd"/>
          </w:p>
        </w:tc>
        <w:tc>
          <w:tcPr>
            <w:tcW w:w="1145"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521EEBE5" w14:textId="77777777" w:rsidR="00401786" w:rsidRDefault="00C64FB3" w:rsidP="00C44BBD">
            <w:pPr>
              <w:widowControl/>
              <w:spacing w:before="100" w:after="142" w:line="300" w:lineRule="exact"/>
              <w:jc w:val="center"/>
            </w:pPr>
            <w:r>
              <w:rPr>
                <w:rFonts w:ascii="標楷體" w:eastAsia="標楷體" w:hAnsi="標楷體"/>
                <w:caps/>
                <w:color w:val="000000"/>
              </w:rPr>
              <w:t>10-29</w:t>
            </w:r>
            <w:proofErr w:type="gramStart"/>
            <w:r>
              <w:rPr>
                <w:rFonts w:ascii="標楷體" w:eastAsia="標楷體" w:hAnsi="標楷體"/>
                <w:caps/>
                <w:color w:val="000000"/>
              </w:rPr>
              <w:t>﹪</w:t>
            </w:r>
            <w:proofErr w:type="gramEnd"/>
          </w:p>
        </w:tc>
        <w:tc>
          <w:tcPr>
            <w:tcW w:w="1145"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74C9918" w14:textId="77777777" w:rsidR="00401786" w:rsidRDefault="00C64FB3" w:rsidP="00C44BBD">
            <w:pPr>
              <w:widowControl/>
              <w:spacing w:before="100" w:after="142" w:line="300" w:lineRule="exact"/>
              <w:jc w:val="center"/>
            </w:pPr>
            <w:r>
              <w:rPr>
                <w:rFonts w:ascii="標楷體" w:eastAsia="標楷體" w:hAnsi="標楷體"/>
                <w:caps/>
                <w:color w:val="000000"/>
              </w:rPr>
              <w:t>30-49</w:t>
            </w:r>
            <w:proofErr w:type="gramStart"/>
            <w:r>
              <w:rPr>
                <w:rFonts w:ascii="標楷體" w:eastAsia="標楷體" w:hAnsi="標楷體"/>
                <w:caps/>
                <w:color w:val="000000"/>
              </w:rPr>
              <w:t>﹪</w:t>
            </w:r>
            <w:proofErr w:type="gramEnd"/>
          </w:p>
        </w:tc>
        <w:tc>
          <w:tcPr>
            <w:tcW w:w="1146"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2099EC96" w14:textId="77777777" w:rsidR="00401786" w:rsidRDefault="00C64FB3" w:rsidP="00C44BBD">
            <w:pPr>
              <w:widowControl/>
              <w:spacing w:before="100" w:after="142" w:line="300" w:lineRule="exact"/>
              <w:jc w:val="center"/>
            </w:pPr>
            <w:r>
              <w:rPr>
                <w:rFonts w:ascii="標楷體" w:eastAsia="標楷體" w:hAnsi="標楷體"/>
                <w:caps/>
                <w:color w:val="000000"/>
              </w:rPr>
              <w:t>50-69</w:t>
            </w:r>
            <w:proofErr w:type="gramStart"/>
            <w:r>
              <w:rPr>
                <w:rFonts w:ascii="標楷體" w:eastAsia="標楷體" w:hAnsi="標楷體"/>
                <w:caps/>
                <w:color w:val="000000"/>
              </w:rPr>
              <w:t>﹪</w:t>
            </w:r>
            <w:proofErr w:type="gramEnd"/>
          </w:p>
        </w:tc>
        <w:tc>
          <w:tcPr>
            <w:tcW w:w="1125"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4C15F92E" w14:textId="77777777" w:rsidR="00401786" w:rsidRDefault="00C64FB3" w:rsidP="00C44BBD">
            <w:pPr>
              <w:widowControl/>
              <w:spacing w:before="100" w:after="142" w:line="300" w:lineRule="exact"/>
              <w:jc w:val="center"/>
            </w:pPr>
            <w:r>
              <w:rPr>
                <w:rFonts w:ascii="標楷體" w:eastAsia="標楷體" w:hAnsi="標楷體"/>
                <w:caps/>
                <w:color w:val="000000"/>
              </w:rPr>
              <w:t>70-89</w:t>
            </w:r>
            <w:proofErr w:type="gramStart"/>
            <w:r>
              <w:rPr>
                <w:rFonts w:ascii="標楷體" w:eastAsia="標楷體" w:hAnsi="標楷體"/>
                <w:caps/>
                <w:color w:val="000000"/>
              </w:rPr>
              <w:t>﹪</w:t>
            </w:r>
            <w:proofErr w:type="gramEnd"/>
          </w:p>
        </w:tc>
        <w:tc>
          <w:tcPr>
            <w:tcW w:w="1392" w:type="dxa"/>
            <w:tcBorders>
              <w:top w:val="double" w:sz="6" w:space="0" w:color="000000"/>
              <w:left w:val="single" w:sz="6" w:space="0" w:color="000000"/>
              <w:bottom w:val="single" w:sz="6" w:space="0" w:color="000000"/>
              <w:right w:val="double" w:sz="6" w:space="0" w:color="000000"/>
            </w:tcBorders>
            <w:shd w:val="clear" w:color="auto" w:fill="FFFFFF"/>
            <w:tcMar>
              <w:top w:w="0" w:type="dxa"/>
              <w:left w:w="108" w:type="dxa"/>
              <w:bottom w:w="0" w:type="dxa"/>
              <w:right w:w="108" w:type="dxa"/>
            </w:tcMar>
            <w:vAlign w:val="center"/>
          </w:tcPr>
          <w:p w14:paraId="02052684" w14:textId="77777777" w:rsidR="00401786" w:rsidRDefault="00C64FB3" w:rsidP="00C44BBD">
            <w:pPr>
              <w:widowControl/>
              <w:spacing w:before="100" w:after="142" w:line="300" w:lineRule="exact"/>
              <w:jc w:val="center"/>
            </w:pPr>
            <w:r>
              <w:rPr>
                <w:rFonts w:ascii="標楷體" w:eastAsia="標楷體" w:hAnsi="標楷體"/>
                <w:caps/>
                <w:color w:val="000000"/>
              </w:rPr>
              <w:t>90-100</w:t>
            </w:r>
            <w:proofErr w:type="gramStart"/>
            <w:r>
              <w:rPr>
                <w:rFonts w:ascii="標楷體" w:eastAsia="標楷體" w:hAnsi="標楷體"/>
                <w:caps/>
                <w:color w:val="000000"/>
              </w:rPr>
              <w:t>﹪</w:t>
            </w:r>
            <w:proofErr w:type="gramEnd"/>
          </w:p>
        </w:tc>
      </w:tr>
      <w:tr w:rsidR="00401786" w14:paraId="6CEAC765" w14:textId="77777777">
        <w:trPr>
          <w:trHeight w:val="609"/>
          <w:jc w:val="center"/>
        </w:trPr>
        <w:tc>
          <w:tcPr>
            <w:tcW w:w="947" w:type="dxa"/>
            <w:tcBorders>
              <w:top w:val="single" w:sz="6" w:space="0" w:color="000000"/>
              <w:left w:val="double" w:sz="6" w:space="0" w:color="000000"/>
              <w:bottom w:val="double" w:sz="4" w:space="0" w:color="000000"/>
              <w:right w:val="single" w:sz="6" w:space="0" w:color="000000"/>
            </w:tcBorders>
            <w:shd w:val="clear" w:color="auto" w:fill="FFFFFF"/>
            <w:tcMar>
              <w:top w:w="0" w:type="dxa"/>
              <w:left w:w="108" w:type="dxa"/>
              <w:bottom w:w="0" w:type="dxa"/>
              <w:right w:w="108" w:type="dxa"/>
            </w:tcMar>
          </w:tcPr>
          <w:p w14:paraId="0650269D" w14:textId="77777777" w:rsidR="00401786" w:rsidRDefault="00C64FB3" w:rsidP="00C44BBD">
            <w:pPr>
              <w:widowControl/>
              <w:spacing w:before="100" w:after="142" w:line="300" w:lineRule="exact"/>
              <w:ind w:right="110"/>
              <w:jc w:val="right"/>
            </w:pPr>
            <w:r>
              <w:rPr>
                <w:rFonts w:ascii="標楷體" w:eastAsia="標楷體" w:hAnsi="標楷體"/>
                <w:color w:val="000000"/>
              </w:rPr>
              <w:t>面積分數</w:t>
            </w:r>
          </w:p>
        </w:tc>
        <w:tc>
          <w:tcPr>
            <w:tcW w:w="959" w:type="dxa"/>
            <w:tcBorders>
              <w:top w:val="single" w:sz="6" w:space="0" w:color="000000"/>
              <w:left w:val="single" w:sz="6" w:space="0" w:color="000000"/>
              <w:bottom w:val="double" w:sz="4" w:space="0" w:color="000000"/>
              <w:right w:val="single" w:sz="6" w:space="0" w:color="000000"/>
            </w:tcBorders>
            <w:shd w:val="clear" w:color="auto" w:fill="FFFFFF"/>
            <w:tcMar>
              <w:top w:w="0" w:type="dxa"/>
              <w:left w:w="108" w:type="dxa"/>
              <w:bottom w:w="0" w:type="dxa"/>
              <w:right w:w="108" w:type="dxa"/>
            </w:tcMar>
            <w:vAlign w:val="center"/>
          </w:tcPr>
          <w:p w14:paraId="4BE5F913" w14:textId="77777777" w:rsidR="00401786" w:rsidRDefault="00C64FB3" w:rsidP="00C44BBD">
            <w:pPr>
              <w:widowControl/>
              <w:spacing w:before="100" w:after="142" w:line="300" w:lineRule="exact"/>
              <w:jc w:val="center"/>
            </w:pPr>
            <w:r>
              <w:rPr>
                <w:rFonts w:ascii="標楷體" w:eastAsia="標楷體" w:hAnsi="標楷體"/>
                <w:color w:val="000000"/>
              </w:rPr>
              <w:t>0</w:t>
            </w:r>
          </w:p>
        </w:tc>
        <w:tc>
          <w:tcPr>
            <w:tcW w:w="959" w:type="dxa"/>
            <w:tcBorders>
              <w:top w:val="single" w:sz="6" w:space="0" w:color="000000"/>
              <w:left w:val="single" w:sz="6" w:space="0" w:color="000000"/>
              <w:bottom w:val="double" w:sz="4" w:space="0" w:color="000000"/>
              <w:right w:val="single" w:sz="6" w:space="0" w:color="000000"/>
            </w:tcBorders>
            <w:shd w:val="clear" w:color="auto" w:fill="FFFFFF"/>
            <w:tcMar>
              <w:top w:w="0" w:type="dxa"/>
              <w:left w:w="108" w:type="dxa"/>
              <w:bottom w:w="0" w:type="dxa"/>
              <w:right w:w="108" w:type="dxa"/>
            </w:tcMar>
            <w:vAlign w:val="center"/>
          </w:tcPr>
          <w:p w14:paraId="509135E7" w14:textId="77777777" w:rsidR="00401786" w:rsidRDefault="00C64FB3" w:rsidP="00C44BBD">
            <w:pPr>
              <w:widowControl/>
              <w:spacing w:before="100" w:after="142" w:line="300" w:lineRule="exact"/>
              <w:jc w:val="center"/>
            </w:pPr>
            <w:r>
              <w:rPr>
                <w:rFonts w:ascii="標楷體" w:eastAsia="標楷體" w:hAnsi="標楷體"/>
                <w:color w:val="000000"/>
              </w:rPr>
              <w:t>1</w:t>
            </w:r>
          </w:p>
        </w:tc>
        <w:tc>
          <w:tcPr>
            <w:tcW w:w="1145"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6DCDBD40" w14:textId="77777777" w:rsidR="00401786" w:rsidRDefault="00C64FB3" w:rsidP="00C44BBD">
            <w:pPr>
              <w:widowControl/>
              <w:spacing w:before="100" w:after="142" w:line="300" w:lineRule="exact"/>
              <w:jc w:val="center"/>
            </w:pPr>
            <w:r>
              <w:rPr>
                <w:rFonts w:ascii="標楷體" w:eastAsia="標楷體" w:hAnsi="標楷體"/>
                <w:color w:val="000000"/>
              </w:rPr>
              <w:t>2</w:t>
            </w:r>
          </w:p>
        </w:tc>
        <w:tc>
          <w:tcPr>
            <w:tcW w:w="1145"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08E23464" w14:textId="77777777" w:rsidR="00401786" w:rsidRDefault="00C64FB3" w:rsidP="00C44BBD">
            <w:pPr>
              <w:widowControl/>
              <w:spacing w:before="100" w:after="142" w:line="300" w:lineRule="exact"/>
              <w:jc w:val="center"/>
            </w:pPr>
            <w:r>
              <w:rPr>
                <w:rFonts w:ascii="標楷體" w:eastAsia="標楷體" w:hAnsi="標楷體"/>
                <w:color w:val="000000"/>
              </w:rPr>
              <w:t>3</w:t>
            </w:r>
          </w:p>
        </w:tc>
        <w:tc>
          <w:tcPr>
            <w:tcW w:w="1146"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6900A8C8" w14:textId="77777777" w:rsidR="00401786" w:rsidRDefault="00C64FB3" w:rsidP="00C44BBD">
            <w:pPr>
              <w:widowControl/>
              <w:spacing w:before="100" w:after="142" w:line="300" w:lineRule="exact"/>
              <w:jc w:val="center"/>
            </w:pPr>
            <w:r>
              <w:rPr>
                <w:rFonts w:ascii="標楷體" w:eastAsia="標楷體" w:hAnsi="標楷體"/>
                <w:color w:val="000000"/>
              </w:rPr>
              <w:t>4</w:t>
            </w:r>
          </w:p>
        </w:tc>
        <w:tc>
          <w:tcPr>
            <w:tcW w:w="1125"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5957F34C" w14:textId="77777777" w:rsidR="00401786" w:rsidRDefault="00C64FB3" w:rsidP="00C44BBD">
            <w:pPr>
              <w:widowControl/>
              <w:spacing w:before="100" w:after="142" w:line="300" w:lineRule="exact"/>
              <w:jc w:val="center"/>
            </w:pPr>
            <w:r>
              <w:rPr>
                <w:rFonts w:ascii="標楷體" w:eastAsia="標楷體" w:hAnsi="標楷體"/>
                <w:color w:val="000000"/>
              </w:rPr>
              <w:t>5</w:t>
            </w:r>
          </w:p>
        </w:tc>
        <w:tc>
          <w:tcPr>
            <w:tcW w:w="1392" w:type="dxa"/>
            <w:tcBorders>
              <w:top w:val="single" w:sz="6" w:space="0" w:color="000000"/>
              <w:left w:val="single" w:sz="6" w:space="0" w:color="000000"/>
              <w:bottom w:val="double" w:sz="6" w:space="0" w:color="000000"/>
              <w:right w:val="double" w:sz="6" w:space="0" w:color="000000"/>
            </w:tcBorders>
            <w:shd w:val="clear" w:color="auto" w:fill="FFFFFF"/>
            <w:tcMar>
              <w:top w:w="0" w:type="dxa"/>
              <w:left w:w="108" w:type="dxa"/>
              <w:bottom w:w="0" w:type="dxa"/>
              <w:right w:w="108" w:type="dxa"/>
            </w:tcMar>
            <w:vAlign w:val="center"/>
          </w:tcPr>
          <w:p w14:paraId="1E1D8101" w14:textId="77777777" w:rsidR="00401786" w:rsidRDefault="00C64FB3" w:rsidP="00C44BBD">
            <w:pPr>
              <w:widowControl/>
              <w:spacing w:before="100" w:after="142" w:line="300" w:lineRule="exact"/>
              <w:jc w:val="center"/>
            </w:pPr>
            <w:r>
              <w:rPr>
                <w:rFonts w:ascii="標楷體" w:eastAsia="標楷體" w:hAnsi="標楷體"/>
                <w:color w:val="000000"/>
              </w:rPr>
              <w:t>6</w:t>
            </w:r>
          </w:p>
        </w:tc>
      </w:tr>
    </w:tbl>
    <w:p w14:paraId="05F06B33" w14:textId="77777777" w:rsidR="00401786" w:rsidRDefault="00C64FB3" w:rsidP="00C44BBD">
      <w:pPr>
        <w:widowControl/>
        <w:spacing w:before="100" w:after="142" w:line="300" w:lineRule="exact"/>
      </w:pPr>
      <w:r>
        <w:rPr>
          <w:rFonts w:ascii="標楷體" w:eastAsia="標楷體" w:hAnsi="標楷體"/>
          <w:color w:val="000000"/>
        </w:rPr>
        <w:t xml:space="preserve">     部位：頭部(h)、軀幹(t)、上肢(u)、下肢(l)</w:t>
      </w:r>
    </w:p>
    <w:p w14:paraId="734D4097" w14:textId="77777777" w:rsidR="00401786" w:rsidRDefault="00C64FB3" w:rsidP="00C44BBD">
      <w:pPr>
        <w:widowControl/>
        <w:snapToGrid w:val="0"/>
        <w:spacing w:before="100" w:after="142" w:line="300" w:lineRule="exact"/>
      </w:pPr>
      <w:r>
        <w:rPr>
          <w:rFonts w:ascii="標楷體" w:eastAsia="標楷體" w:hAnsi="標楷體"/>
          <w:b/>
          <w:bCs/>
          <w:color w:val="000000"/>
        </w:rPr>
        <w:t xml:space="preserve">     異位性皮膚炎嚴重度</w:t>
      </w:r>
      <w:r>
        <w:rPr>
          <w:rFonts w:ascii="標楷體" w:eastAsia="標楷體" w:hAnsi="標楷體"/>
          <w:color w:val="000000"/>
        </w:rPr>
        <w:t>（Severity）：</w:t>
      </w:r>
    </w:p>
    <w:tbl>
      <w:tblPr>
        <w:tblW w:w="8850" w:type="dxa"/>
        <w:jc w:val="center"/>
        <w:tblCellMar>
          <w:left w:w="10" w:type="dxa"/>
          <w:right w:w="10" w:type="dxa"/>
        </w:tblCellMar>
        <w:tblLook w:val="0000" w:firstRow="0" w:lastRow="0" w:firstColumn="0" w:lastColumn="0" w:noHBand="0" w:noVBand="0"/>
      </w:tblPr>
      <w:tblGrid>
        <w:gridCol w:w="1630"/>
        <w:gridCol w:w="1178"/>
        <w:gridCol w:w="1110"/>
        <w:gridCol w:w="1709"/>
        <w:gridCol w:w="3223"/>
      </w:tblGrid>
      <w:tr w:rsidR="00401786" w14:paraId="7F0023BB" w14:textId="77777777">
        <w:trPr>
          <w:jc w:val="center"/>
        </w:trPr>
        <w:tc>
          <w:tcPr>
            <w:tcW w:w="1630" w:type="dxa"/>
            <w:tcBorders>
              <w:top w:val="double" w:sz="6" w:space="0" w:color="000000"/>
              <w:left w:val="doub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75B3E27A" w14:textId="77777777" w:rsidR="00401786" w:rsidRDefault="00C64FB3" w:rsidP="00C44BBD">
            <w:pPr>
              <w:widowControl/>
              <w:spacing w:before="100" w:line="300" w:lineRule="exact"/>
              <w:jc w:val="center"/>
            </w:pPr>
            <w:r>
              <w:rPr>
                <w:rFonts w:ascii="標楷體" w:eastAsia="標楷體" w:hAnsi="標楷體"/>
                <w:color w:val="000000"/>
              </w:rPr>
              <w:t>嚴重度</w:t>
            </w:r>
          </w:p>
        </w:tc>
        <w:tc>
          <w:tcPr>
            <w:tcW w:w="1178"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11046BD1" w14:textId="77777777" w:rsidR="00401786" w:rsidRDefault="00C64FB3" w:rsidP="00C44BBD">
            <w:pPr>
              <w:widowControl/>
              <w:spacing w:before="100" w:line="300" w:lineRule="exact"/>
              <w:jc w:val="center"/>
              <w:rPr>
                <w:rFonts w:ascii="標楷體" w:eastAsia="標楷體" w:hAnsi="標楷體"/>
                <w:color w:val="000000"/>
              </w:rPr>
            </w:pPr>
            <w:r>
              <w:rPr>
                <w:rFonts w:ascii="標楷體" w:eastAsia="標楷體" w:hAnsi="標楷體"/>
                <w:color w:val="000000"/>
              </w:rPr>
              <w:t>None</w:t>
            </w:r>
          </w:p>
          <w:p w14:paraId="71A8F063" w14:textId="77777777" w:rsidR="00401786" w:rsidRDefault="00C64FB3" w:rsidP="00C44BBD">
            <w:pPr>
              <w:widowControl/>
              <w:spacing w:before="100" w:line="300" w:lineRule="exact"/>
              <w:jc w:val="center"/>
            </w:pPr>
            <w:r>
              <w:rPr>
                <w:rFonts w:ascii="標楷體" w:eastAsia="標楷體" w:hAnsi="標楷體"/>
                <w:color w:val="000000"/>
              </w:rPr>
              <w:t>無</w:t>
            </w:r>
          </w:p>
        </w:tc>
        <w:tc>
          <w:tcPr>
            <w:tcW w:w="1110"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791B0065" w14:textId="77777777" w:rsidR="00401786" w:rsidRDefault="00C64FB3" w:rsidP="00C44BBD">
            <w:pPr>
              <w:widowControl/>
              <w:spacing w:before="100" w:line="300" w:lineRule="exact"/>
              <w:jc w:val="center"/>
              <w:rPr>
                <w:rFonts w:ascii="標楷體" w:eastAsia="標楷體" w:hAnsi="標楷體"/>
                <w:color w:val="000000"/>
              </w:rPr>
            </w:pPr>
            <w:r>
              <w:rPr>
                <w:rFonts w:ascii="標楷體" w:eastAsia="標楷體" w:hAnsi="標楷體"/>
                <w:color w:val="000000"/>
              </w:rPr>
              <w:t>Mild</w:t>
            </w:r>
          </w:p>
          <w:p w14:paraId="1BEB1B67" w14:textId="77777777" w:rsidR="00401786" w:rsidRDefault="00C64FB3" w:rsidP="00C44BBD">
            <w:pPr>
              <w:widowControl/>
              <w:spacing w:before="100" w:line="300" w:lineRule="exact"/>
              <w:jc w:val="center"/>
            </w:pPr>
            <w:r>
              <w:rPr>
                <w:rFonts w:ascii="標楷體" w:eastAsia="標楷體" w:hAnsi="標楷體"/>
                <w:color w:val="000000"/>
              </w:rPr>
              <w:t>輕度</w:t>
            </w:r>
          </w:p>
        </w:tc>
        <w:tc>
          <w:tcPr>
            <w:tcW w:w="1709"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258709DF" w14:textId="77777777" w:rsidR="00401786" w:rsidRDefault="00C64FB3" w:rsidP="00C44BBD">
            <w:pPr>
              <w:widowControl/>
              <w:spacing w:before="100" w:line="300" w:lineRule="exact"/>
              <w:jc w:val="center"/>
            </w:pPr>
            <w:r>
              <w:rPr>
                <w:rFonts w:ascii="標楷體" w:eastAsia="標楷體" w:hAnsi="標楷體"/>
                <w:color w:val="000000"/>
              </w:rPr>
              <w:t>Moderate</w:t>
            </w:r>
          </w:p>
          <w:p w14:paraId="4892867B" w14:textId="77777777" w:rsidR="00401786" w:rsidRDefault="00C64FB3" w:rsidP="00C44BBD">
            <w:pPr>
              <w:widowControl/>
              <w:spacing w:before="100" w:line="300" w:lineRule="exact"/>
              <w:jc w:val="center"/>
            </w:pPr>
            <w:r>
              <w:rPr>
                <w:rFonts w:ascii="標楷體" w:eastAsia="標楷體" w:hAnsi="標楷體"/>
                <w:color w:val="000000"/>
              </w:rPr>
              <w:t>中度</w:t>
            </w:r>
          </w:p>
        </w:tc>
        <w:tc>
          <w:tcPr>
            <w:tcW w:w="3223"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383DE7B0" w14:textId="77777777" w:rsidR="00401786" w:rsidRDefault="00C64FB3" w:rsidP="00C44BBD">
            <w:pPr>
              <w:widowControl/>
              <w:spacing w:before="100" w:line="300" w:lineRule="exact"/>
              <w:jc w:val="center"/>
            </w:pPr>
            <w:r>
              <w:rPr>
                <w:rFonts w:ascii="標楷體" w:eastAsia="標楷體" w:hAnsi="標楷體"/>
                <w:color w:val="000000"/>
              </w:rPr>
              <w:t>Severe</w:t>
            </w:r>
          </w:p>
          <w:p w14:paraId="39EE1DF5" w14:textId="77777777" w:rsidR="00401786" w:rsidRDefault="00C64FB3" w:rsidP="00C44BBD">
            <w:pPr>
              <w:widowControl/>
              <w:spacing w:before="100" w:line="300" w:lineRule="exact"/>
              <w:jc w:val="center"/>
            </w:pPr>
            <w:r>
              <w:rPr>
                <w:rFonts w:ascii="標楷體" w:eastAsia="標楷體" w:hAnsi="標楷體"/>
                <w:color w:val="000000"/>
              </w:rPr>
              <w:t>重度</w:t>
            </w:r>
          </w:p>
        </w:tc>
      </w:tr>
      <w:tr w:rsidR="00401786" w14:paraId="158EA540" w14:textId="77777777">
        <w:trPr>
          <w:jc w:val="center"/>
        </w:trPr>
        <w:tc>
          <w:tcPr>
            <w:tcW w:w="1630" w:type="dxa"/>
            <w:tcBorders>
              <w:top w:val="single" w:sz="6" w:space="0" w:color="000000"/>
              <w:left w:val="doub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4367B412" w14:textId="77777777" w:rsidR="00401786" w:rsidRDefault="00C64FB3" w:rsidP="00C44BBD">
            <w:pPr>
              <w:widowControl/>
              <w:spacing w:before="100" w:line="300" w:lineRule="exact"/>
              <w:jc w:val="center"/>
            </w:pPr>
            <w:r>
              <w:rPr>
                <w:rFonts w:ascii="標楷體" w:eastAsia="標楷體" w:hAnsi="標楷體"/>
                <w:color w:val="000000"/>
              </w:rPr>
              <w:t>分數</w:t>
            </w:r>
          </w:p>
        </w:tc>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7C73E92E" w14:textId="77777777" w:rsidR="00401786" w:rsidRDefault="00C64FB3" w:rsidP="00C44BBD">
            <w:pPr>
              <w:widowControl/>
              <w:spacing w:before="100" w:line="300" w:lineRule="exact"/>
              <w:jc w:val="center"/>
            </w:pPr>
            <w:r>
              <w:rPr>
                <w:rFonts w:ascii="標楷體" w:eastAsia="標楷體" w:hAnsi="標楷體"/>
                <w:color w:val="000000"/>
              </w:rPr>
              <w:t>0</w:t>
            </w:r>
          </w:p>
        </w:tc>
        <w:tc>
          <w:tcPr>
            <w:tcW w:w="111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5C59754" w14:textId="77777777" w:rsidR="00401786" w:rsidRDefault="00C64FB3" w:rsidP="00C44BBD">
            <w:pPr>
              <w:widowControl/>
              <w:spacing w:before="100" w:line="300" w:lineRule="exact"/>
              <w:jc w:val="center"/>
            </w:pPr>
            <w:r>
              <w:rPr>
                <w:rFonts w:ascii="標楷體" w:eastAsia="標楷體" w:hAnsi="標楷體"/>
                <w:color w:val="000000"/>
              </w:rPr>
              <w:t>1</w:t>
            </w:r>
          </w:p>
        </w:tc>
        <w:tc>
          <w:tcPr>
            <w:tcW w:w="1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84B30AF" w14:textId="77777777" w:rsidR="00401786" w:rsidRDefault="00C64FB3" w:rsidP="00C44BBD">
            <w:pPr>
              <w:widowControl/>
              <w:spacing w:before="100" w:line="300" w:lineRule="exact"/>
              <w:jc w:val="center"/>
            </w:pPr>
            <w:r>
              <w:rPr>
                <w:rFonts w:ascii="標楷體" w:eastAsia="標楷體" w:hAnsi="標楷體"/>
                <w:color w:val="000000"/>
              </w:rPr>
              <w:t>2</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479761C5" w14:textId="77777777" w:rsidR="00401786" w:rsidRDefault="00C64FB3" w:rsidP="00C44BBD">
            <w:pPr>
              <w:widowControl/>
              <w:spacing w:before="100" w:line="300" w:lineRule="exact"/>
              <w:jc w:val="center"/>
            </w:pPr>
            <w:r>
              <w:rPr>
                <w:rFonts w:ascii="標楷體" w:eastAsia="標楷體" w:hAnsi="標楷體"/>
                <w:color w:val="000000"/>
              </w:rPr>
              <w:t>3</w:t>
            </w:r>
          </w:p>
        </w:tc>
      </w:tr>
    </w:tbl>
    <w:p w14:paraId="1C664432" w14:textId="77777777" w:rsidR="00401786" w:rsidRDefault="00401786" w:rsidP="00C44BBD">
      <w:pPr>
        <w:widowControl/>
        <w:spacing w:before="100" w:after="142" w:line="300" w:lineRule="exact"/>
        <w:rPr>
          <w:rFonts w:ascii="標楷體" w:eastAsia="標楷體" w:hAnsi="標楷體"/>
          <w:b/>
          <w:bCs/>
          <w:color w:val="000000"/>
        </w:rPr>
      </w:pPr>
    </w:p>
    <w:p w14:paraId="1A52F1A2" w14:textId="77777777" w:rsidR="00401786" w:rsidRDefault="00401786" w:rsidP="00C44BBD">
      <w:pPr>
        <w:widowControl/>
        <w:spacing w:before="100" w:after="142" w:line="300" w:lineRule="exact"/>
        <w:rPr>
          <w:rFonts w:ascii="標楷體" w:eastAsia="標楷體" w:hAnsi="標楷體"/>
          <w:b/>
          <w:bCs/>
          <w:color w:val="000000"/>
        </w:rPr>
      </w:pPr>
    </w:p>
    <w:p w14:paraId="7B0C818E" w14:textId="77777777" w:rsidR="00401786" w:rsidRDefault="00C64FB3" w:rsidP="00C44BBD">
      <w:pPr>
        <w:widowControl/>
        <w:spacing w:before="100" w:after="142" w:line="300" w:lineRule="exact"/>
      </w:pPr>
      <w:r>
        <w:rPr>
          <w:rFonts w:ascii="標楷體" w:eastAsia="標楷體" w:hAnsi="標楷體"/>
          <w:b/>
          <w:bCs/>
          <w:color w:val="000000"/>
        </w:rPr>
        <w:t>異位性皮膚炎面積暨嚴重程度指數(EASI)評分表：</w:t>
      </w:r>
    </w:p>
    <w:p w14:paraId="29D31D26" w14:textId="77777777" w:rsidR="00401786" w:rsidRDefault="00C64FB3" w:rsidP="00C44BBD">
      <w:pPr>
        <w:widowControl/>
        <w:spacing w:before="100" w:after="142" w:line="300" w:lineRule="exact"/>
      </w:pPr>
      <w:r>
        <w:rPr>
          <w:rFonts w:ascii="標楷體" w:eastAsia="標楷體" w:hAnsi="標楷體"/>
          <w:b/>
          <w:bCs/>
          <w:color w:val="000000"/>
        </w:rPr>
        <w:t>8歲以上病人：</w:t>
      </w:r>
    </w:p>
    <w:tbl>
      <w:tblPr>
        <w:tblW w:w="10338" w:type="dxa"/>
        <w:jc w:val="center"/>
        <w:tblLayout w:type="fixed"/>
        <w:tblCellMar>
          <w:left w:w="10" w:type="dxa"/>
          <w:right w:w="10" w:type="dxa"/>
        </w:tblCellMar>
        <w:tblLook w:val="0000" w:firstRow="0" w:lastRow="0" w:firstColumn="0" w:lastColumn="0" w:noHBand="0" w:noVBand="0"/>
      </w:tblPr>
      <w:tblGrid>
        <w:gridCol w:w="1217"/>
        <w:gridCol w:w="1134"/>
        <w:gridCol w:w="1417"/>
        <w:gridCol w:w="1467"/>
        <w:gridCol w:w="1843"/>
        <w:gridCol w:w="1134"/>
        <w:gridCol w:w="1276"/>
        <w:gridCol w:w="850"/>
      </w:tblGrid>
      <w:tr w:rsidR="00401786" w14:paraId="75C0B361" w14:textId="77777777">
        <w:trPr>
          <w:jc w:val="center"/>
        </w:trPr>
        <w:tc>
          <w:tcPr>
            <w:tcW w:w="1217" w:type="dxa"/>
            <w:tcBorders>
              <w:top w:val="single" w:sz="8" w:space="0" w:color="000000"/>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2311F853" w14:textId="77777777" w:rsidR="00401786" w:rsidRDefault="00C64FB3" w:rsidP="00C44BBD">
            <w:pPr>
              <w:widowControl/>
              <w:spacing w:line="300" w:lineRule="exact"/>
              <w:jc w:val="center"/>
            </w:pPr>
            <w:r>
              <w:rPr>
                <w:rFonts w:ascii="標楷體" w:eastAsia="標楷體" w:hAnsi="標楷體"/>
                <w:color w:val="000000"/>
              </w:rPr>
              <w:t>身體部位</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03704081" w14:textId="77777777" w:rsidR="00401786" w:rsidRDefault="00C64FB3" w:rsidP="00C44BBD">
            <w:pPr>
              <w:widowControl/>
              <w:spacing w:line="300" w:lineRule="exact"/>
              <w:jc w:val="center"/>
              <w:rPr>
                <w:rFonts w:ascii="標楷體" w:eastAsia="標楷體" w:hAnsi="標楷體"/>
                <w:color w:val="000000"/>
              </w:rPr>
            </w:pPr>
            <w:r>
              <w:rPr>
                <w:rFonts w:ascii="標楷體" w:eastAsia="標楷體" w:hAnsi="標楷體"/>
                <w:color w:val="000000"/>
              </w:rPr>
              <w:t>Redness/</w:t>
            </w:r>
          </w:p>
          <w:p w14:paraId="046738C2" w14:textId="77777777" w:rsidR="00401786" w:rsidRDefault="00C64FB3" w:rsidP="00C44BBD">
            <w:pPr>
              <w:widowControl/>
              <w:spacing w:line="300" w:lineRule="exact"/>
              <w:jc w:val="center"/>
            </w:pPr>
            <w:r>
              <w:rPr>
                <w:rFonts w:ascii="標楷體" w:eastAsia="標楷體" w:hAnsi="標楷體"/>
                <w:color w:val="000000"/>
              </w:rPr>
              <w:t>Erythema</w:t>
            </w:r>
          </w:p>
          <w:p w14:paraId="06F91E2E" w14:textId="77777777" w:rsidR="00401786" w:rsidRDefault="00C64FB3" w:rsidP="00C44BBD">
            <w:pPr>
              <w:widowControl/>
              <w:spacing w:line="300" w:lineRule="exact"/>
              <w:jc w:val="center"/>
            </w:pPr>
            <w:r>
              <w:rPr>
                <w:rFonts w:ascii="標楷體" w:eastAsia="標楷體" w:hAnsi="標楷體"/>
                <w:color w:val="000000"/>
              </w:rPr>
              <w:t>發紅</w:t>
            </w:r>
          </w:p>
          <w:p w14:paraId="1E078AED" w14:textId="77777777" w:rsidR="00401786" w:rsidRDefault="00C64FB3" w:rsidP="00C44BBD">
            <w:pPr>
              <w:widowControl/>
              <w:spacing w:line="300" w:lineRule="exact"/>
              <w:jc w:val="center"/>
            </w:pPr>
            <w:r>
              <w:rPr>
                <w:rFonts w:ascii="標楷體" w:eastAsia="標楷體" w:hAnsi="標楷體"/>
                <w:b/>
                <w:bCs/>
                <w:color w:val="000000"/>
              </w:rPr>
              <w:t>(0-3)</w:t>
            </w:r>
          </w:p>
        </w:tc>
        <w:tc>
          <w:tcPr>
            <w:tcW w:w="141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2697320" w14:textId="77777777" w:rsidR="00401786" w:rsidRDefault="00C64FB3" w:rsidP="00C44BBD">
            <w:pPr>
              <w:widowControl/>
              <w:spacing w:line="300" w:lineRule="exact"/>
              <w:jc w:val="center"/>
            </w:pPr>
            <w:r>
              <w:rPr>
                <w:rFonts w:ascii="標楷體" w:eastAsia="標楷體" w:hAnsi="標楷體"/>
                <w:color w:val="000000"/>
              </w:rPr>
              <w:t>Edema/</w:t>
            </w:r>
          </w:p>
          <w:p w14:paraId="427261F9" w14:textId="77777777" w:rsidR="00401786" w:rsidRDefault="00C64FB3" w:rsidP="00C44BBD">
            <w:pPr>
              <w:widowControl/>
              <w:spacing w:line="300" w:lineRule="exact"/>
              <w:jc w:val="center"/>
            </w:pPr>
            <w:r>
              <w:rPr>
                <w:rFonts w:ascii="標楷體" w:eastAsia="標楷體" w:hAnsi="標楷體"/>
                <w:color w:val="000000"/>
              </w:rPr>
              <w:t>Papulation</w:t>
            </w:r>
          </w:p>
          <w:p w14:paraId="39257502" w14:textId="77777777" w:rsidR="00401786" w:rsidRDefault="00C64FB3" w:rsidP="00C44BBD">
            <w:pPr>
              <w:widowControl/>
              <w:spacing w:line="300" w:lineRule="exact"/>
              <w:jc w:val="center"/>
            </w:pPr>
            <w:r>
              <w:rPr>
                <w:rFonts w:ascii="標楷體" w:eastAsia="標楷體" w:hAnsi="標楷體"/>
                <w:color w:val="000000"/>
              </w:rPr>
              <w:t>浮腫/丘疹</w:t>
            </w:r>
          </w:p>
          <w:p w14:paraId="6D06A89D" w14:textId="77777777" w:rsidR="00401786" w:rsidRDefault="00C64FB3" w:rsidP="00C44BBD">
            <w:pPr>
              <w:widowControl/>
              <w:spacing w:line="300" w:lineRule="exact"/>
              <w:jc w:val="center"/>
            </w:pPr>
            <w:r>
              <w:rPr>
                <w:rFonts w:ascii="標楷體" w:eastAsia="標楷體" w:hAnsi="標楷體"/>
                <w:b/>
                <w:bCs/>
                <w:color w:val="000000"/>
              </w:rPr>
              <w:t>(0-3)</w:t>
            </w:r>
          </w:p>
        </w:tc>
        <w:tc>
          <w:tcPr>
            <w:tcW w:w="146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37F758A" w14:textId="77777777" w:rsidR="00401786" w:rsidRDefault="00C64FB3" w:rsidP="00C44BBD">
            <w:pPr>
              <w:widowControl/>
              <w:spacing w:line="300" w:lineRule="exact"/>
              <w:jc w:val="center"/>
            </w:pPr>
            <w:r>
              <w:rPr>
                <w:rFonts w:ascii="標楷體" w:eastAsia="標楷體" w:hAnsi="標楷體"/>
                <w:color w:val="000000"/>
              </w:rPr>
              <w:t>Scratching/Excoriation</w:t>
            </w:r>
          </w:p>
          <w:p w14:paraId="3BCCF531" w14:textId="77777777" w:rsidR="00401786" w:rsidRDefault="00C64FB3" w:rsidP="00C44BBD">
            <w:pPr>
              <w:widowControl/>
              <w:spacing w:line="300" w:lineRule="exact"/>
              <w:jc w:val="center"/>
            </w:pPr>
            <w:r>
              <w:rPr>
                <w:rFonts w:ascii="標楷體" w:eastAsia="標楷體" w:hAnsi="標楷體"/>
                <w:color w:val="000000"/>
              </w:rPr>
              <w:t>抓痕</w:t>
            </w:r>
          </w:p>
          <w:p w14:paraId="40E72C45" w14:textId="77777777" w:rsidR="00401786" w:rsidRDefault="00C64FB3" w:rsidP="00C44BBD">
            <w:pPr>
              <w:widowControl/>
              <w:spacing w:line="300" w:lineRule="exact"/>
              <w:jc w:val="center"/>
            </w:pPr>
            <w:r>
              <w:rPr>
                <w:rFonts w:ascii="標楷體" w:eastAsia="標楷體" w:hAnsi="標楷體"/>
                <w:b/>
                <w:bCs/>
                <w:color w:val="000000"/>
              </w:rPr>
              <w:t>(0-3)</w:t>
            </w:r>
          </w:p>
        </w:tc>
        <w:tc>
          <w:tcPr>
            <w:tcW w:w="1843"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7F9A3A3D" w14:textId="77777777" w:rsidR="00401786" w:rsidRDefault="00C64FB3" w:rsidP="00C44BBD">
            <w:pPr>
              <w:widowControl/>
              <w:spacing w:line="300" w:lineRule="exact"/>
              <w:jc w:val="center"/>
            </w:pPr>
            <w:proofErr w:type="spellStart"/>
            <w:r>
              <w:rPr>
                <w:rFonts w:ascii="標楷體" w:eastAsia="標楷體" w:hAnsi="標楷體"/>
                <w:color w:val="000000"/>
              </w:rPr>
              <w:t>Lichenification</w:t>
            </w:r>
            <w:proofErr w:type="spellEnd"/>
          </w:p>
          <w:p w14:paraId="5AB93AEF" w14:textId="77777777" w:rsidR="00401786" w:rsidRDefault="00401786" w:rsidP="00C44BBD">
            <w:pPr>
              <w:widowControl/>
              <w:spacing w:line="300" w:lineRule="exact"/>
              <w:jc w:val="center"/>
              <w:rPr>
                <w:rFonts w:ascii="標楷體" w:eastAsia="標楷體" w:hAnsi="標楷體"/>
                <w:color w:val="000000"/>
              </w:rPr>
            </w:pPr>
          </w:p>
          <w:p w14:paraId="0F16B792" w14:textId="77777777" w:rsidR="00401786" w:rsidRDefault="00C64FB3" w:rsidP="00C44BBD">
            <w:pPr>
              <w:widowControl/>
              <w:spacing w:line="300" w:lineRule="exact"/>
              <w:jc w:val="center"/>
            </w:pPr>
            <w:r>
              <w:rPr>
                <w:rFonts w:ascii="標楷體" w:eastAsia="標楷體" w:hAnsi="標楷體"/>
                <w:color w:val="000000"/>
              </w:rPr>
              <w:t>苔癬化</w:t>
            </w:r>
          </w:p>
          <w:p w14:paraId="758D2039" w14:textId="77777777" w:rsidR="00401786" w:rsidRDefault="00C64FB3" w:rsidP="00C44BBD">
            <w:pPr>
              <w:widowControl/>
              <w:spacing w:line="300" w:lineRule="exact"/>
              <w:jc w:val="center"/>
            </w:pPr>
            <w:r>
              <w:rPr>
                <w:rFonts w:ascii="標楷體" w:eastAsia="標楷體" w:hAnsi="標楷體"/>
                <w:b/>
                <w:bCs/>
                <w:color w:val="000000"/>
              </w:rPr>
              <w:t>(0-3)</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421A0FC9" w14:textId="77777777" w:rsidR="00401786" w:rsidRDefault="00C64FB3" w:rsidP="00C44BBD">
            <w:pPr>
              <w:widowControl/>
              <w:spacing w:line="300" w:lineRule="exact"/>
              <w:jc w:val="center"/>
            </w:pPr>
            <w:r>
              <w:rPr>
                <w:rFonts w:ascii="標楷體" w:eastAsia="標楷體" w:hAnsi="標楷體"/>
                <w:color w:val="000000"/>
              </w:rPr>
              <w:t>Region score</w:t>
            </w:r>
          </w:p>
          <w:p w14:paraId="7CDC6D34" w14:textId="77777777" w:rsidR="00401786" w:rsidRDefault="00C64FB3" w:rsidP="00C44BBD">
            <w:pPr>
              <w:widowControl/>
              <w:spacing w:line="300" w:lineRule="exact"/>
              <w:jc w:val="center"/>
            </w:pPr>
            <w:r>
              <w:rPr>
                <w:rFonts w:ascii="標楷體" w:eastAsia="標楷體" w:hAnsi="標楷體"/>
                <w:color w:val="000000"/>
              </w:rPr>
              <w:t>面積分數</w:t>
            </w:r>
          </w:p>
          <w:p w14:paraId="2F566644" w14:textId="77777777" w:rsidR="00401786" w:rsidRDefault="00C64FB3" w:rsidP="00C44BBD">
            <w:pPr>
              <w:widowControl/>
              <w:spacing w:line="300" w:lineRule="exact"/>
              <w:jc w:val="center"/>
            </w:pPr>
            <w:r>
              <w:rPr>
                <w:rFonts w:ascii="標楷體" w:eastAsia="標楷體" w:hAnsi="標楷體"/>
                <w:b/>
                <w:bCs/>
                <w:color w:val="000000"/>
              </w:rPr>
              <w:t>(0-6)</w:t>
            </w:r>
          </w:p>
        </w:tc>
        <w:tc>
          <w:tcPr>
            <w:tcW w:w="1276"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09E1AA4" w14:textId="77777777" w:rsidR="00401786" w:rsidRDefault="00C64FB3" w:rsidP="00C44BBD">
            <w:pPr>
              <w:widowControl/>
              <w:spacing w:line="300" w:lineRule="exact"/>
              <w:jc w:val="center"/>
            </w:pPr>
            <w:r>
              <w:rPr>
                <w:rFonts w:ascii="標楷體" w:eastAsia="標楷體" w:hAnsi="標楷體"/>
                <w:color w:val="000000"/>
              </w:rPr>
              <w:t>Multiplier</w:t>
            </w:r>
          </w:p>
          <w:p w14:paraId="6C70DA8B" w14:textId="77777777" w:rsidR="00401786" w:rsidRDefault="00401786" w:rsidP="00C44BBD">
            <w:pPr>
              <w:widowControl/>
              <w:spacing w:line="300" w:lineRule="exact"/>
              <w:jc w:val="center"/>
              <w:rPr>
                <w:rFonts w:ascii="標楷體" w:eastAsia="標楷體" w:hAnsi="標楷體"/>
                <w:color w:val="000000"/>
              </w:rPr>
            </w:pPr>
          </w:p>
          <w:p w14:paraId="407D05F3" w14:textId="77777777" w:rsidR="00401786" w:rsidRDefault="00C64FB3" w:rsidP="00C44BBD">
            <w:pPr>
              <w:widowControl/>
              <w:spacing w:line="300" w:lineRule="exact"/>
              <w:jc w:val="center"/>
            </w:pPr>
            <w:r>
              <w:rPr>
                <w:rFonts w:ascii="標楷體" w:eastAsia="標楷體" w:hAnsi="標楷體"/>
                <w:color w:val="000000"/>
              </w:rPr>
              <w:t>乘數</w:t>
            </w:r>
          </w:p>
        </w:tc>
        <w:tc>
          <w:tcPr>
            <w:tcW w:w="85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75A1412" w14:textId="77777777" w:rsidR="00401786" w:rsidRDefault="00C64FB3" w:rsidP="00C44BBD">
            <w:pPr>
              <w:widowControl/>
              <w:spacing w:line="300" w:lineRule="exact"/>
              <w:jc w:val="center"/>
            </w:pPr>
            <w:r>
              <w:rPr>
                <w:rFonts w:ascii="標楷體" w:eastAsia="標楷體" w:hAnsi="標楷體"/>
                <w:color w:val="000000"/>
              </w:rPr>
              <w:t>身體部位分數</w:t>
            </w:r>
          </w:p>
        </w:tc>
      </w:tr>
      <w:tr w:rsidR="00401786" w14:paraId="0FC6FD23"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7CAE7CF5" w14:textId="77777777" w:rsidR="00401786" w:rsidRDefault="00C64FB3" w:rsidP="00C44BBD">
            <w:pPr>
              <w:widowControl/>
              <w:spacing w:before="100" w:line="300" w:lineRule="exact"/>
            </w:pPr>
            <w:r>
              <w:rPr>
                <w:rFonts w:ascii="標楷體" w:eastAsia="標楷體" w:hAnsi="標楷體"/>
                <w:color w:val="000000"/>
              </w:rPr>
              <w:t>Head/neck 頭/頸</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CFCB26C"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1555B6F9"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14592ADA"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3BCDB01B"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5CE9DD83"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12E3E566" w14:textId="77777777" w:rsidR="00401786" w:rsidRDefault="00C64FB3" w:rsidP="00C44BBD">
            <w:pPr>
              <w:widowControl/>
              <w:spacing w:before="100" w:line="300" w:lineRule="exact"/>
              <w:jc w:val="center"/>
            </w:pPr>
            <w:r>
              <w:rPr>
                <w:rFonts w:ascii="標楷體" w:eastAsia="標楷體" w:hAnsi="標楷體"/>
                <w:b/>
                <w:bCs/>
                <w:color w:val="000000"/>
              </w:rPr>
              <w:t>× 0.1</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4BE448BB"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616A9AEB"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5FE9DAF7" w14:textId="77777777" w:rsidR="00401786" w:rsidRDefault="00C64FB3" w:rsidP="00C44BBD">
            <w:pPr>
              <w:widowControl/>
              <w:spacing w:before="100" w:line="300" w:lineRule="exact"/>
            </w:pPr>
            <w:r>
              <w:rPr>
                <w:rFonts w:ascii="標楷體" w:eastAsia="標楷體" w:hAnsi="標楷體"/>
                <w:color w:val="000000"/>
              </w:rPr>
              <w:t xml:space="preserve">Trunk </w:t>
            </w:r>
          </w:p>
          <w:p w14:paraId="298218DD" w14:textId="77777777" w:rsidR="00401786" w:rsidRDefault="00C64FB3" w:rsidP="00C44BBD">
            <w:pPr>
              <w:widowControl/>
              <w:spacing w:line="300" w:lineRule="exact"/>
            </w:pPr>
            <w:r>
              <w:rPr>
                <w:rFonts w:ascii="標楷體" w:eastAsia="標楷體" w:hAnsi="標楷體"/>
                <w:color w:val="000000"/>
              </w:rPr>
              <w:t>軀幹</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F0095AC"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47ADAF3"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082E72AC"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78F1F484"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53E6975"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766090EE" w14:textId="77777777" w:rsidR="00401786" w:rsidRDefault="00C64FB3" w:rsidP="00C44BBD">
            <w:pPr>
              <w:widowControl/>
              <w:spacing w:before="100" w:line="300" w:lineRule="exact"/>
              <w:jc w:val="center"/>
            </w:pPr>
            <w:r>
              <w:rPr>
                <w:rFonts w:ascii="標楷體" w:eastAsia="標楷體" w:hAnsi="標楷體"/>
                <w:b/>
                <w:bCs/>
                <w:color w:val="000000"/>
              </w:rPr>
              <w:t>× 0.3</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71A4FC29"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2BFBD90E"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51C6041C" w14:textId="77777777" w:rsidR="00401786" w:rsidRDefault="00C64FB3" w:rsidP="00C44BBD">
            <w:pPr>
              <w:widowControl/>
              <w:spacing w:before="100" w:line="300" w:lineRule="exact"/>
            </w:pPr>
            <w:r>
              <w:rPr>
                <w:rFonts w:ascii="標楷體" w:eastAsia="標楷體" w:hAnsi="標楷體"/>
                <w:color w:val="000000"/>
              </w:rPr>
              <w:t>Upper limbs上肢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34987EBD"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942E6F6"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76A33E16"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6F91C036"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587B8F3"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02CF1A52" w14:textId="77777777" w:rsidR="00401786" w:rsidRDefault="00C64FB3" w:rsidP="00C44BBD">
            <w:pPr>
              <w:widowControl/>
              <w:spacing w:before="100" w:line="300" w:lineRule="exact"/>
              <w:jc w:val="center"/>
            </w:pPr>
            <w:r>
              <w:rPr>
                <w:rFonts w:ascii="標楷體" w:eastAsia="標楷體" w:hAnsi="標楷體"/>
                <w:b/>
                <w:bCs/>
                <w:color w:val="000000"/>
              </w:rPr>
              <w:t>× 0.2</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5E317FAC"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4E68922F"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77C2CA52" w14:textId="77777777" w:rsidR="00401786" w:rsidRDefault="00C64FB3" w:rsidP="00C44BBD">
            <w:pPr>
              <w:widowControl/>
              <w:spacing w:before="100" w:line="300" w:lineRule="exact"/>
            </w:pPr>
            <w:r>
              <w:rPr>
                <w:rFonts w:ascii="標楷體" w:eastAsia="標楷體" w:hAnsi="標楷體"/>
                <w:color w:val="000000"/>
              </w:rPr>
              <w:t>Lower limbs下肢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06D89CA3"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3EFDBB9B"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27131176"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2191A1C7"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AF814D3"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4A43D212" w14:textId="77777777" w:rsidR="00401786" w:rsidRDefault="00C64FB3" w:rsidP="00C44BBD">
            <w:pPr>
              <w:widowControl/>
              <w:spacing w:before="100" w:line="300" w:lineRule="exact"/>
              <w:jc w:val="center"/>
            </w:pPr>
            <w:r>
              <w:rPr>
                <w:rFonts w:ascii="標楷體" w:eastAsia="標楷體" w:hAnsi="標楷體"/>
                <w:b/>
                <w:bCs/>
                <w:color w:val="000000"/>
              </w:rPr>
              <w:t>× 0.4</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26DEDA47"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3260CFE7" w14:textId="77777777">
        <w:trPr>
          <w:trHeight w:val="728"/>
          <w:jc w:val="center"/>
        </w:trPr>
        <w:tc>
          <w:tcPr>
            <w:tcW w:w="9488" w:type="dxa"/>
            <w:gridSpan w:val="7"/>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1CBCFE5A" w14:textId="77777777" w:rsidR="00401786" w:rsidRDefault="00C64FB3" w:rsidP="00C44BBD">
            <w:pPr>
              <w:widowControl/>
              <w:spacing w:before="100" w:line="300" w:lineRule="exact"/>
              <w:jc w:val="right"/>
            </w:pPr>
            <w:r>
              <w:rPr>
                <w:rFonts w:ascii="標楷體" w:eastAsia="標楷體" w:hAnsi="標楷體"/>
                <w:color w:val="000000"/>
              </w:rPr>
              <w:t>EASI總分由四項身體部位分數加總</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19767E0B"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w:t>
            </w:r>
          </w:p>
          <w:p w14:paraId="71CE1A13"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xml:space="preserve">      </w:t>
            </w:r>
          </w:p>
          <w:p w14:paraId="0ACB3FF2" w14:textId="77777777" w:rsidR="00401786" w:rsidRDefault="00C64FB3" w:rsidP="00C44BBD">
            <w:pPr>
              <w:widowControl/>
              <w:spacing w:before="100" w:line="300" w:lineRule="exact"/>
            </w:pPr>
            <w:r>
              <w:rPr>
                <w:rFonts w:ascii="標楷體" w:eastAsia="標楷體" w:hAnsi="標楷體"/>
                <w:b/>
                <w:bCs/>
                <w:color w:val="000000"/>
              </w:rPr>
              <w:t>(0-72)</w:t>
            </w:r>
          </w:p>
        </w:tc>
      </w:tr>
    </w:tbl>
    <w:p w14:paraId="4714921B" w14:textId="77777777" w:rsidR="00401786" w:rsidRDefault="00C64FB3" w:rsidP="00C44BBD">
      <w:pPr>
        <w:widowControl/>
        <w:spacing w:before="100" w:after="142" w:line="300" w:lineRule="exact"/>
      </w:pPr>
      <w:r>
        <w:rPr>
          <w:rFonts w:ascii="標楷體" w:eastAsia="標楷體" w:hAnsi="標楷體"/>
          <w:b/>
          <w:bCs/>
          <w:color w:val="000000"/>
        </w:rPr>
        <w:t>EASI = 0.1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)×(頭部%)＋0.3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)×(軀幹%)＋0.2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)×(上肢%)＋0.4(Red＋Edema＋Scratch＋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)×(下肢%)</w:t>
      </w:r>
    </w:p>
    <w:p w14:paraId="7B35F0B1" w14:textId="77777777" w:rsidR="00401786" w:rsidRDefault="00401786" w:rsidP="00C44BBD">
      <w:pPr>
        <w:widowControl/>
        <w:spacing w:before="100" w:after="142" w:line="300" w:lineRule="exact"/>
        <w:rPr>
          <w:rFonts w:ascii="標楷體" w:eastAsia="標楷體" w:hAnsi="標楷體"/>
          <w:b/>
          <w:bCs/>
          <w:color w:val="000000"/>
        </w:rPr>
      </w:pPr>
    </w:p>
    <w:p w14:paraId="5F5FC32A" w14:textId="77777777" w:rsidR="00401786" w:rsidRDefault="00401786" w:rsidP="00C44BBD">
      <w:pPr>
        <w:widowControl/>
        <w:spacing w:before="100" w:after="142" w:line="300" w:lineRule="exact"/>
        <w:rPr>
          <w:rFonts w:ascii="標楷體" w:eastAsia="標楷體" w:hAnsi="標楷體"/>
          <w:b/>
          <w:bCs/>
          <w:color w:val="000000"/>
        </w:rPr>
      </w:pPr>
    </w:p>
    <w:p w14:paraId="77CF0EAD" w14:textId="77777777" w:rsidR="00401786" w:rsidRDefault="00C64FB3" w:rsidP="00C44BBD">
      <w:pPr>
        <w:widowControl/>
        <w:spacing w:before="100" w:after="142" w:line="300" w:lineRule="exact"/>
      </w:pPr>
      <w:r>
        <w:rPr>
          <w:rFonts w:ascii="標楷體" w:eastAsia="標楷體" w:hAnsi="標楷體"/>
          <w:b/>
          <w:bCs/>
          <w:color w:val="000000"/>
        </w:rPr>
        <w:t>未滿8歲病人：</w:t>
      </w:r>
    </w:p>
    <w:tbl>
      <w:tblPr>
        <w:tblW w:w="10338" w:type="dxa"/>
        <w:jc w:val="center"/>
        <w:tblLayout w:type="fixed"/>
        <w:tblCellMar>
          <w:left w:w="10" w:type="dxa"/>
          <w:right w:w="10" w:type="dxa"/>
        </w:tblCellMar>
        <w:tblLook w:val="0000" w:firstRow="0" w:lastRow="0" w:firstColumn="0" w:lastColumn="0" w:noHBand="0" w:noVBand="0"/>
      </w:tblPr>
      <w:tblGrid>
        <w:gridCol w:w="1217"/>
        <w:gridCol w:w="1134"/>
        <w:gridCol w:w="1417"/>
        <w:gridCol w:w="1467"/>
        <w:gridCol w:w="1843"/>
        <w:gridCol w:w="1134"/>
        <w:gridCol w:w="1276"/>
        <w:gridCol w:w="850"/>
      </w:tblGrid>
      <w:tr w:rsidR="00401786" w14:paraId="0912C707" w14:textId="77777777">
        <w:trPr>
          <w:jc w:val="center"/>
        </w:trPr>
        <w:tc>
          <w:tcPr>
            <w:tcW w:w="1217" w:type="dxa"/>
            <w:tcBorders>
              <w:top w:val="single" w:sz="8" w:space="0" w:color="000000"/>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5D72FCAE" w14:textId="77777777" w:rsidR="00401786" w:rsidRDefault="00C64FB3" w:rsidP="00C44BBD">
            <w:pPr>
              <w:widowControl/>
              <w:spacing w:line="300" w:lineRule="exact"/>
              <w:jc w:val="center"/>
            </w:pPr>
            <w:r>
              <w:rPr>
                <w:rFonts w:ascii="標楷體" w:eastAsia="標楷體" w:hAnsi="標楷體"/>
                <w:color w:val="000000"/>
              </w:rPr>
              <w:t>身體部位</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F54868A" w14:textId="77777777" w:rsidR="00401786" w:rsidRDefault="00C64FB3" w:rsidP="00C44BBD">
            <w:pPr>
              <w:widowControl/>
              <w:spacing w:line="300" w:lineRule="exact"/>
              <w:jc w:val="center"/>
              <w:rPr>
                <w:rFonts w:ascii="標楷體" w:eastAsia="標楷體" w:hAnsi="標楷體"/>
                <w:color w:val="000000"/>
              </w:rPr>
            </w:pPr>
            <w:r>
              <w:rPr>
                <w:rFonts w:ascii="標楷體" w:eastAsia="標楷體" w:hAnsi="標楷體"/>
                <w:color w:val="000000"/>
              </w:rPr>
              <w:t>Redness/</w:t>
            </w:r>
          </w:p>
          <w:p w14:paraId="08BA221F" w14:textId="77777777" w:rsidR="00401786" w:rsidRDefault="00C64FB3" w:rsidP="00C44BBD">
            <w:pPr>
              <w:widowControl/>
              <w:spacing w:line="300" w:lineRule="exact"/>
              <w:jc w:val="center"/>
            </w:pPr>
            <w:r>
              <w:rPr>
                <w:rFonts w:ascii="標楷體" w:eastAsia="標楷體" w:hAnsi="標楷體"/>
                <w:color w:val="000000"/>
              </w:rPr>
              <w:t>Erythema</w:t>
            </w:r>
          </w:p>
          <w:p w14:paraId="67BBA566" w14:textId="77777777" w:rsidR="00401786" w:rsidRDefault="00C64FB3" w:rsidP="00C44BBD">
            <w:pPr>
              <w:widowControl/>
              <w:spacing w:line="300" w:lineRule="exact"/>
              <w:jc w:val="center"/>
            </w:pPr>
            <w:r>
              <w:rPr>
                <w:rFonts w:ascii="標楷體" w:eastAsia="標楷體" w:hAnsi="標楷體"/>
                <w:color w:val="000000"/>
              </w:rPr>
              <w:t>發紅</w:t>
            </w:r>
          </w:p>
          <w:p w14:paraId="24C5255B" w14:textId="77777777" w:rsidR="00401786" w:rsidRDefault="00C64FB3" w:rsidP="00C44BBD">
            <w:pPr>
              <w:widowControl/>
              <w:spacing w:line="300" w:lineRule="exact"/>
              <w:jc w:val="center"/>
            </w:pPr>
            <w:r>
              <w:rPr>
                <w:rFonts w:ascii="標楷體" w:eastAsia="標楷體" w:hAnsi="標楷體"/>
                <w:b/>
                <w:bCs/>
                <w:color w:val="000000"/>
              </w:rPr>
              <w:t>(0-3)</w:t>
            </w:r>
          </w:p>
        </w:tc>
        <w:tc>
          <w:tcPr>
            <w:tcW w:w="141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A36CBBB" w14:textId="77777777" w:rsidR="00401786" w:rsidRDefault="00C64FB3" w:rsidP="00C44BBD">
            <w:pPr>
              <w:widowControl/>
              <w:spacing w:line="300" w:lineRule="exact"/>
              <w:jc w:val="center"/>
            </w:pPr>
            <w:r>
              <w:rPr>
                <w:rFonts w:ascii="標楷體" w:eastAsia="標楷體" w:hAnsi="標楷體"/>
                <w:color w:val="000000"/>
              </w:rPr>
              <w:t>Edema/</w:t>
            </w:r>
          </w:p>
          <w:p w14:paraId="63329D33" w14:textId="77777777" w:rsidR="00401786" w:rsidRDefault="00C64FB3" w:rsidP="00C44BBD">
            <w:pPr>
              <w:widowControl/>
              <w:spacing w:line="300" w:lineRule="exact"/>
              <w:jc w:val="center"/>
            </w:pPr>
            <w:r>
              <w:rPr>
                <w:rFonts w:ascii="標楷體" w:eastAsia="標楷體" w:hAnsi="標楷體"/>
                <w:color w:val="000000"/>
              </w:rPr>
              <w:t>Papulation</w:t>
            </w:r>
          </w:p>
          <w:p w14:paraId="27C58652" w14:textId="77777777" w:rsidR="00401786" w:rsidRDefault="00C64FB3" w:rsidP="00C44BBD">
            <w:pPr>
              <w:widowControl/>
              <w:spacing w:line="300" w:lineRule="exact"/>
              <w:jc w:val="center"/>
            </w:pPr>
            <w:r>
              <w:rPr>
                <w:rFonts w:ascii="標楷體" w:eastAsia="標楷體" w:hAnsi="標楷體"/>
                <w:color w:val="000000"/>
              </w:rPr>
              <w:t>浮腫/丘疹</w:t>
            </w:r>
          </w:p>
          <w:p w14:paraId="5FBEB4A1" w14:textId="77777777" w:rsidR="00401786" w:rsidRDefault="00C64FB3" w:rsidP="00C44BBD">
            <w:pPr>
              <w:widowControl/>
              <w:spacing w:line="300" w:lineRule="exact"/>
              <w:jc w:val="center"/>
            </w:pPr>
            <w:r>
              <w:rPr>
                <w:rFonts w:ascii="標楷體" w:eastAsia="標楷體" w:hAnsi="標楷體"/>
                <w:b/>
                <w:bCs/>
                <w:color w:val="000000"/>
              </w:rPr>
              <w:t>(0-3)</w:t>
            </w:r>
          </w:p>
        </w:tc>
        <w:tc>
          <w:tcPr>
            <w:tcW w:w="146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2247136" w14:textId="77777777" w:rsidR="00401786" w:rsidRDefault="00C64FB3" w:rsidP="00C44BBD">
            <w:pPr>
              <w:widowControl/>
              <w:spacing w:line="300" w:lineRule="exact"/>
              <w:jc w:val="center"/>
            </w:pPr>
            <w:r>
              <w:rPr>
                <w:rFonts w:ascii="標楷體" w:eastAsia="標楷體" w:hAnsi="標楷體"/>
                <w:color w:val="000000"/>
              </w:rPr>
              <w:t>Scratching/Excoriation</w:t>
            </w:r>
          </w:p>
          <w:p w14:paraId="3B17ED99" w14:textId="77777777" w:rsidR="00401786" w:rsidRDefault="00C64FB3" w:rsidP="00C44BBD">
            <w:pPr>
              <w:widowControl/>
              <w:spacing w:line="300" w:lineRule="exact"/>
              <w:jc w:val="center"/>
            </w:pPr>
            <w:r>
              <w:rPr>
                <w:rFonts w:ascii="標楷體" w:eastAsia="標楷體" w:hAnsi="標楷體"/>
                <w:color w:val="000000"/>
              </w:rPr>
              <w:t>抓痕</w:t>
            </w:r>
          </w:p>
          <w:p w14:paraId="2002DD47" w14:textId="77777777" w:rsidR="00401786" w:rsidRDefault="00C64FB3" w:rsidP="00C44BBD">
            <w:pPr>
              <w:widowControl/>
              <w:spacing w:line="300" w:lineRule="exact"/>
              <w:jc w:val="center"/>
            </w:pPr>
            <w:r>
              <w:rPr>
                <w:rFonts w:ascii="標楷體" w:eastAsia="標楷體" w:hAnsi="標楷體"/>
                <w:b/>
                <w:bCs/>
                <w:color w:val="000000"/>
              </w:rPr>
              <w:t>(0-3)</w:t>
            </w:r>
          </w:p>
        </w:tc>
        <w:tc>
          <w:tcPr>
            <w:tcW w:w="1843"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8EFA657" w14:textId="77777777" w:rsidR="00401786" w:rsidRDefault="00C64FB3" w:rsidP="00C44BBD">
            <w:pPr>
              <w:widowControl/>
              <w:spacing w:line="300" w:lineRule="exact"/>
              <w:jc w:val="center"/>
            </w:pPr>
            <w:proofErr w:type="spellStart"/>
            <w:r>
              <w:rPr>
                <w:rFonts w:ascii="標楷體" w:eastAsia="標楷體" w:hAnsi="標楷體"/>
                <w:color w:val="000000"/>
              </w:rPr>
              <w:t>Lichenification</w:t>
            </w:r>
            <w:proofErr w:type="spellEnd"/>
          </w:p>
          <w:p w14:paraId="0CCD1E44" w14:textId="77777777" w:rsidR="00401786" w:rsidRDefault="00401786" w:rsidP="00C44BBD">
            <w:pPr>
              <w:widowControl/>
              <w:spacing w:line="300" w:lineRule="exact"/>
              <w:jc w:val="center"/>
              <w:rPr>
                <w:rFonts w:ascii="標楷體" w:eastAsia="標楷體" w:hAnsi="標楷體"/>
                <w:color w:val="000000"/>
              </w:rPr>
            </w:pPr>
          </w:p>
          <w:p w14:paraId="340ED532" w14:textId="77777777" w:rsidR="00401786" w:rsidRDefault="00C64FB3" w:rsidP="00C44BBD">
            <w:pPr>
              <w:widowControl/>
              <w:spacing w:line="300" w:lineRule="exact"/>
              <w:jc w:val="center"/>
            </w:pPr>
            <w:r>
              <w:rPr>
                <w:rFonts w:ascii="標楷體" w:eastAsia="標楷體" w:hAnsi="標楷體"/>
                <w:color w:val="000000"/>
              </w:rPr>
              <w:t>苔癬化</w:t>
            </w:r>
          </w:p>
          <w:p w14:paraId="3815A55F" w14:textId="77777777" w:rsidR="00401786" w:rsidRDefault="00C64FB3" w:rsidP="00C44BBD">
            <w:pPr>
              <w:widowControl/>
              <w:spacing w:line="300" w:lineRule="exact"/>
              <w:jc w:val="center"/>
            </w:pPr>
            <w:r>
              <w:rPr>
                <w:rFonts w:ascii="標楷體" w:eastAsia="標楷體" w:hAnsi="標楷體"/>
                <w:b/>
                <w:bCs/>
                <w:color w:val="000000"/>
              </w:rPr>
              <w:t>(0-3)</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1760EEB" w14:textId="77777777" w:rsidR="00401786" w:rsidRDefault="00C64FB3" w:rsidP="00C44BBD">
            <w:pPr>
              <w:widowControl/>
              <w:spacing w:line="300" w:lineRule="exact"/>
              <w:jc w:val="center"/>
            </w:pPr>
            <w:r>
              <w:rPr>
                <w:rFonts w:ascii="標楷體" w:eastAsia="標楷體" w:hAnsi="標楷體"/>
                <w:color w:val="000000"/>
              </w:rPr>
              <w:t>Region score</w:t>
            </w:r>
          </w:p>
          <w:p w14:paraId="19272C4F" w14:textId="77777777" w:rsidR="00401786" w:rsidRDefault="00C64FB3" w:rsidP="00C44BBD">
            <w:pPr>
              <w:widowControl/>
              <w:spacing w:line="300" w:lineRule="exact"/>
              <w:jc w:val="center"/>
            </w:pPr>
            <w:r>
              <w:rPr>
                <w:rFonts w:ascii="標楷體" w:eastAsia="標楷體" w:hAnsi="標楷體"/>
                <w:color w:val="000000"/>
              </w:rPr>
              <w:t>面積分數</w:t>
            </w:r>
          </w:p>
          <w:p w14:paraId="0EDB8B80" w14:textId="77777777" w:rsidR="00401786" w:rsidRDefault="00C64FB3" w:rsidP="00C44BBD">
            <w:pPr>
              <w:widowControl/>
              <w:spacing w:line="300" w:lineRule="exact"/>
              <w:jc w:val="center"/>
            </w:pPr>
            <w:r>
              <w:rPr>
                <w:rFonts w:ascii="標楷體" w:eastAsia="標楷體" w:hAnsi="標楷體"/>
                <w:b/>
                <w:bCs/>
                <w:color w:val="000000"/>
              </w:rPr>
              <w:t>(0-6)</w:t>
            </w:r>
          </w:p>
        </w:tc>
        <w:tc>
          <w:tcPr>
            <w:tcW w:w="1276"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78354D7" w14:textId="77777777" w:rsidR="00401786" w:rsidRDefault="00C64FB3" w:rsidP="00C44BBD">
            <w:pPr>
              <w:widowControl/>
              <w:spacing w:line="300" w:lineRule="exact"/>
              <w:jc w:val="center"/>
            </w:pPr>
            <w:r>
              <w:rPr>
                <w:rFonts w:ascii="標楷體" w:eastAsia="標楷體" w:hAnsi="標楷體"/>
                <w:color w:val="000000"/>
              </w:rPr>
              <w:t>Multiplier</w:t>
            </w:r>
          </w:p>
          <w:p w14:paraId="245A7D72" w14:textId="77777777" w:rsidR="00401786" w:rsidRDefault="00401786" w:rsidP="00C44BBD">
            <w:pPr>
              <w:widowControl/>
              <w:spacing w:line="300" w:lineRule="exact"/>
              <w:jc w:val="center"/>
              <w:rPr>
                <w:rFonts w:ascii="標楷體" w:eastAsia="標楷體" w:hAnsi="標楷體"/>
                <w:color w:val="000000"/>
              </w:rPr>
            </w:pPr>
          </w:p>
          <w:p w14:paraId="3E8B40E0" w14:textId="77777777" w:rsidR="00401786" w:rsidRDefault="00C64FB3" w:rsidP="00C44BBD">
            <w:pPr>
              <w:widowControl/>
              <w:spacing w:line="300" w:lineRule="exact"/>
              <w:jc w:val="center"/>
            </w:pPr>
            <w:r>
              <w:rPr>
                <w:rFonts w:ascii="標楷體" w:eastAsia="標楷體" w:hAnsi="標楷體"/>
                <w:color w:val="000000"/>
              </w:rPr>
              <w:t>乘數</w:t>
            </w:r>
          </w:p>
        </w:tc>
        <w:tc>
          <w:tcPr>
            <w:tcW w:w="85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7F44AFA2" w14:textId="77777777" w:rsidR="00401786" w:rsidRDefault="00C64FB3" w:rsidP="00C44BBD">
            <w:pPr>
              <w:widowControl/>
              <w:spacing w:line="300" w:lineRule="exact"/>
              <w:jc w:val="center"/>
            </w:pPr>
            <w:r>
              <w:rPr>
                <w:rFonts w:ascii="標楷體" w:eastAsia="標楷體" w:hAnsi="標楷體"/>
                <w:color w:val="000000"/>
              </w:rPr>
              <w:t>身體部位分數</w:t>
            </w:r>
          </w:p>
        </w:tc>
      </w:tr>
      <w:tr w:rsidR="00401786" w14:paraId="21936577"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3069FDAF" w14:textId="77777777" w:rsidR="00401786" w:rsidRDefault="00C64FB3" w:rsidP="00C44BBD">
            <w:pPr>
              <w:widowControl/>
              <w:spacing w:before="100" w:line="300" w:lineRule="exact"/>
            </w:pPr>
            <w:r>
              <w:rPr>
                <w:rFonts w:ascii="標楷體" w:eastAsia="標楷體" w:hAnsi="標楷體"/>
                <w:color w:val="000000"/>
              </w:rPr>
              <w:t>Head/neck 頭/頸</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D35E781"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47FF4443"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26EA96AF"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10A370F9"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931B92D"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3399E072" w14:textId="77777777" w:rsidR="00401786" w:rsidRDefault="00C64FB3" w:rsidP="00C44BBD">
            <w:pPr>
              <w:widowControl/>
              <w:spacing w:before="100" w:line="300" w:lineRule="exact"/>
              <w:jc w:val="center"/>
            </w:pPr>
            <w:r>
              <w:rPr>
                <w:rFonts w:ascii="標楷體" w:eastAsia="標楷體" w:hAnsi="標楷體"/>
                <w:b/>
                <w:bCs/>
                <w:color w:val="000000"/>
              </w:rPr>
              <w:t>× 0.2</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31443AE0"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410FA473"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2EA841A6" w14:textId="77777777" w:rsidR="00401786" w:rsidRDefault="00C64FB3" w:rsidP="00C44BBD">
            <w:pPr>
              <w:widowControl/>
              <w:spacing w:before="100" w:line="300" w:lineRule="exact"/>
            </w:pPr>
            <w:r>
              <w:rPr>
                <w:rFonts w:ascii="標楷體" w:eastAsia="標楷體" w:hAnsi="標楷體"/>
                <w:color w:val="000000"/>
              </w:rPr>
              <w:t xml:space="preserve">Trunk </w:t>
            </w:r>
          </w:p>
          <w:p w14:paraId="07EB58B9" w14:textId="77777777" w:rsidR="00401786" w:rsidRDefault="00C64FB3" w:rsidP="00C44BBD">
            <w:pPr>
              <w:widowControl/>
              <w:spacing w:line="300" w:lineRule="exact"/>
            </w:pPr>
            <w:r>
              <w:rPr>
                <w:rFonts w:ascii="標楷體" w:eastAsia="標楷體" w:hAnsi="標楷體"/>
                <w:color w:val="000000"/>
              </w:rPr>
              <w:t>軀幹</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AB75565"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1653F9A2"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2E9C6B95"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41D801A7"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16C44B4C"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03895E1B" w14:textId="77777777" w:rsidR="00401786" w:rsidRDefault="00C64FB3" w:rsidP="00C44BBD">
            <w:pPr>
              <w:widowControl/>
              <w:spacing w:before="100" w:line="300" w:lineRule="exact"/>
              <w:jc w:val="center"/>
            </w:pPr>
            <w:r>
              <w:rPr>
                <w:rFonts w:ascii="標楷體" w:eastAsia="標楷體" w:hAnsi="標楷體"/>
                <w:b/>
                <w:bCs/>
                <w:color w:val="000000"/>
              </w:rPr>
              <w:t>× 0.3</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47EBEDD3"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6ACB1742"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10249FBB" w14:textId="77777777" w:rsidR="00401786" w:rsidRDefault="00C64FB3" w:rsidP="00C44BBD">
            <w:pPr>
              <w:widowControl/>
              <w:spacing w:before="100" w:line="300" w:lineRule="exact"/>
            </w:pPr>
            <w:r>
              <w:rPr>
                <w:rFonts w:ascii="標楷體" w:eastAsia="標楷體" w:hAnsi="標楷體"/>
                <w:color w:val="000000"/>
              </w:rPr>
              <w:t>Upper limbs上肢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8107524"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A6AC65C"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4D48A0EC"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76524DFB"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E8684A1"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199AE470" w14:textId="77777777" w:rsidR="00401786" w:rsidRDefault="00C64FB3" w:rsidP="00C44BBD">
            <w:pPr>
              <w:widowControl/>
              <w:spacing w:before="100" w:line="300" w:lineRule="exact"/>
              <w:jc w:val="center"/>
            </w:pPr>
            <w:r>
              <w:rPr>
                <w:rFonts w:ascii="標楷體" w:eastAsia="標楷體" w:hAnsi="標楷體"/>
                <w:b/>
                <w:bCs/>
                <w:color w:val="000000"/>
              </w:rPr>
              <w:t>× 0.2</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663A6F42"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4FD3539C"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0C48287B" w14:textId="77777777" w:rsidR="00401786" w:rsidRDefault="00C64FB3" w:rsidP="00C44BBD">
            <w:pPr>
              <w:widowControl/>
              <w:spacing w:before="100" w:line="300" w:lineRule="exact"/>
            </w:pPr>
            <w:r>
              <w:rPr>
                <w:rFonts w:ascii="標楷體" w:eastAsia="標楷體" w:hAnsi="標楷體"/>
                <w:color w:val="000000"/>
              </w:rPr>
              <w:t>Lower limbs下肢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745A092"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52DC91E"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58897A0F"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2D1C7C73"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38DF09F1"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5F8D24F0" w14:textId="77777777" w:rsidR="00401786" w:rsidRDefault="00C64FB3" w:rsidP="00C44BBD">
            <w:pPr>
              <w:widowControl/>
              <w:spacing w:before="100" w:line="300" w:lineRule="exact"/>
              <w:jc w:val="center"/>
            </w:pPr>
            <w:r>
              <w:rPr>
                <w:rFonts w:ascii="標楷體" w:eastAsia="標楷體" w:hAnsi="標楷體"/>
                <w:b/>
                <w:bCs/>
                <w:color w:val="000000"/>
              </w:rPr>
              <w:t>× 0.3</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44CEE27B"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128E4468" w14:textId="77777777">
        <w:trPr>
          <w:trHeight w:val="728"/>
          <w:jc w:val="center"/>
        </w:trPr>
        <w:tc>
          <w:tcPr>
            <w:tcW w:w="9488" w:type="dxa"/>
            <w:gridSpan w:val="7"/>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793B7A16" w14:textId="77777777" w:rsidR="00401786" w:rsidRDefault="00C64FB3" w:rsidP="00C44BBD">
            <w:pPr>
              <w:widowControl/>
              <w:spacing w:before="100" w:line="300" w:lineRule="exact"/>
              <w:jc w:val="right"/>
            </w:pPr>
            <w:r>
              <w:rPr>
                <w:rFonts w:ascii="標楷體" w:eastAsia="標楷體" w:hAnsi="標楷體"/>
                <w:color w:val="000000"/>
              </w:rPr>
              <w:t>EASI總分由四項身體部位分數加總</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79C785D7"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w:t>
            </w:r>
          </w:p>
          <w:p w14:paraId="76668004"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xml:space="preserve">      </w:t>
            </w:r>
          </w:p>
          <w:p w14:paraId="5549FD7B" w14:textId="77777777" w:rsidR="00401786" w:rsidRDefault="00C64FB3" w:rsidP="00C44BBD">
            <w:pPr>
              <w:widowControl/>
              <w:spacing w:before="100" w:line="300" w:lineRule="exact"/>
            </w:pPr>
            <w:r>
              <w:rPr>
                <w:rFonts w:ascii="標楷體" w:eastAsia="標楷體" w:hAnsi="標楷體"/>
                <w:b/>
                <w:bCs/>
                <w:color w:val="000000"/>
              </w:rPr>
              <w:t>(0-72)</w:t>
            </w:r>
          </w:p>
        </w:tc>
      </w:tr>
    </w:tbl>
    <w:p w14:paraId="76E312C2" w14:textId="77777777" w:rsidR="00401786" w:rsidRDefault="00C64FB3" w:rsidP="00C44BBD">
      <w:pPr>
        <w:widowControl/>
        <w:spacing w:before="100" w:after="142" w:line="300" w:lineRule="exact"/>
      </w:pPr>
      <w:r>
        <w:rPr>
          <w:rFonts w:ascii="標楷體" w:eastAsia="標楷體" w:hAnsi="標楷體"/>
          <w:b/>
          <w:bCs/>
          <w:color w:val="000000"/>
        </w:rPr>
        <w:t>EASI = 0.2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)×(頭部%)＋0.3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)×(軀幹%)+0.2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)×(上肢%)＋0.3(Red＋Edema＋Scratch＋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)×(下肢%)</w:t>
      </w:r>
    </w:p>
    <w:p w14:paraId="00539989" w14:textId="77777777" w:rsidR="00401786" w:rsidRDefault="00C64FB3" w:rsidP="00C44BBD">
      <w:pPr>
        <w:spacing w:line="300" w:lineRule="exact"/>
        <w:ind w:left="711" w:hanging="709"/>
      </w:pPr>
      <w:r>
        <w:rPr>
          <w:rFonts w:ascii="標楷體" w:eastAsia="標楷體" w:hAnsi="標楷體"/>
          <w:b/>
          <w:bCs/>
          <w:color w:val="000000"/>
        </w:rPr>
        <w:t>附註：Eczema area severity index (EASI)之異位性皮膚炎面積計算，只含皮膚紅腫濕疹部位，單純的皮膚</w:t>
      </w:r>
      <w:proofErr w:type="gramStart"/>
      <w:r>
        <w:rPr>
          <w:rFonts w:ascii="標楷體" w:eastAsia="標楷體" w:hAnsi="標楷體"/>
          <w:b/>
          <w:bCs/>
          <w:color w:val="000000"/>
        </w:rPr>
        <w:t>乾燥、</w:t>
      </w:r>
      <w:proofErr w:type="gramEnd"/>
      <w:r>
        <w:rPr>
          <w:rFonts w:ascii="標楷體" w:eastAsia="標楷體" w:hAnsi="標楷體"/>
          <w:b/>
          <w:bCs/>
          <w:color w:val="000000"/>
        </w:rPr>
        <w:t>脫皮、抓痕，不可列入計算。</w:t>
      </w:r>
    </w:p>
    <w:p w14:paraId="2235D664" w14:textId="77777777" w:rsidR="00401786" w:rsidRDefault="00401786" w:rsidP="000E757E">
      <w:pPr>
        <w:spacing w:line="240" w:lineRule="atLeast"/>
        <w:ind w:left="711" w:hanging="709"/>
        <w:rPr>
          <w:rFonts w:ascii="標楷體" w:eastAsia="標楷體" w:hAnsi="標楷體"/>
          <w:color w:val="000000"/>
        </w:rPr>
      </w:pPr>
    </w:p>
    <w:p w14:paraId="066E87F6" w14:textId="77777777" w:rsidR="00401786" w:rsidRPr="00190A34" w:rsidRDefault="00C64FB3" w:rsidP="00C44BBD">
      <w:pPr>
        <w:pageBreakBefore/>
        <w:spacing w:line="300" w:lineRule="exact"/>
        <w:ind w:left="-850" w:right="-617"/>
        <w:jc w:val="center"/>
        <w:rPr>
          <w:sz w:val="22"/>
          <w:szCs w:val="20"/>
        </w:rPr>
      </w:pPr>
      <w:r w:rsidRPr="00190A34">
        <w:rPr>
          <w:rFonts w:ascii="標楷體" w:eastAsia="標楷體" w:hAnsi="標楷體"/>
          <w:b/>
          <w:bCs/>
          <w:color w:val="000000"/>
          <w:szCs w:val="24"/>
        </w:rPr>
        <w:lastRenderedPageBreak/>
        <w:t>附表三十二之</w:t>
      </w:r>
      <w:proofErr w:type="gramStart"/>
      <w:r w:rsidRPr="00190A34">
        <w:rPr>
          <w:rFonts w:ascii="標楷體" w:eastAsia="標楷體" w:hAnsi="標楷體"/>
          <w:b/>
          <w:bCs/>
          <w:color w:val="000000"/>
          <w:szCs w:val="24"/>
        </w:rPr>
        <w:t>一</w:t>
      </w:r>
      <w:proofErr w:type="gramEnd"/>
      <w:r w:rsidRPr="00190A34">
        <w:rPr>
          <w:rFonts w:ascii="標楷體" w:eastAsia="標楷體" w:hAnsi="標楷體"/>
          <w:b/>
          <w:bCs/>
          <w:color w:val="000000"/>
          <w:szCs w:val="24"/>
        </w:rPr>
        <w:t>：全民健康保險12歲以上病人異位性皮膚炎使用生物製劑申請表</w:t>
      </w:r>
    </w:p>
    <w:tbl>
      <w:tblPr>
        <w:tblW w:w="10372" w:type="dxa"/>
        <w:jc w:val="center"/>
        <w:tblCellMar>
          <w:left w:w="10" w:type="dxa"/>
          <w:right w:w="10" w:type="dxa"/>
        </w:tblCellMar>
        <w:tblLook w:val="0000" w:firstRow="0" w:lastRow="0" w:firstColumn="0" w:lastColumn="0" w:noHBand="0" w:noVBand="0"/>
      </w:tblPr>
      <w:tblGrid>
        <w:gridCol w:w="2106"/>
        <w:gridCol w:w="1733"/>
        <w:gridCol w:w="1287"/>
        <w:gridCol w:w="1589"/>
        <w:gridCol w:w="1273"/>
        <w:gridCol w:w="2384"/>
      </w:tblGrid>
      <w:tr w:rsidR="00401786" w14:paraId="7DD09D1F" w14:textId="77777777">
        <w:trPr>
          <w:trHeight w:val="270"/>
          <w:jc w:val="center"/>
        </w:trPr>
        <w:tc>
          <w:tcPr>
            <w:tcW w:w="2106"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9628AC2"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醫院代號</w:t>
            </w:r>
          </w:p>
        </w:tc>
        <w:tc>
          <w:tcPr>
            <w:tcW w:w="173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721CA1" w14:textId="77777777" w:rsidR="00401786" w:rsidRDefault="00401786" w:rsidP="00C44BBD">
            <w:pPr>
              <w:spacing w:before="100" w:line="300" w:lineRule="exact"/>
              <w:rPr>
                <w:rFonts w:ascii="標楷體" w:eastAsia="標楷體" w:hAnsi="標楷體"/>
                <w:color w:val="00000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C11266"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醫院名稱</w:t>
            </w:r>
          </w:p>
        </w:tc>
        <w:tc>
          <w:tcPr>
            <w:tcW w:w="15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EB9897" w14:textId="77777777" w:rsidR="00401786" w:rsidRDefault="00401786" w:rsidP="00C44BBD">
            <w:pPr>
              <w:spacing w:before="100" w:line="300" w:lineRule="exact"/>
              <w:rPr>
                <w:rFonts w:ascii="標楷體" w:eastAsia="標楷體" w:hAnsi="標楷體"/>
                <w:color w:val="000000"/>
              </w:rPr>
            </w:pPr>
          </w:p>
        </w:tc>
        <w:tc>
          <w:tcPr>
            <w:tcW w:w="127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49A1EA"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申請日期</w:t>
            </w:r>
          </w:p>
        </w:tc>
        <w:tc>
          <w:tcPr>
            <w:tcW w:w="2384"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1D5454E" w14:textId="77777777" w:rsidR="00401786" w:rsidRDefault="00401786" w:rsidP="00C44BBD">
            <w:pPr>
              <w:spacing w:before="100" w:line="300" w:lineRule="exact"/>
              <w:rPr>
                <w:rFonts w:ascii="標楷體" w:eastAsia="標楷體" w:hAnsi="標楷體"/>
                <w:color w:val="000000"/>
              </w:rPr>
            </w:pPr>
          </w:p>
        </w:tc>
      </w:tr>
      <w:tr w:rsidR="00401786" w14:paraId="7D9FFB80" w14:textId="77777777">
        <w:trPr>
          <w:trHeight w:val="255"/>
          <w:jc w:val="center"/>
        </w:trPr>
        <w:tc>
          <w:tcPr>
            <w:tcW w:w="210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7289BA8"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病人姓名</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BE85D5C"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5290C1"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性別</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687F92F" w14:textId="77777777" w:rsidR="00401786" w:rsidRDefault="00401786" w:rsidP="00C44BBD">
            <w:pPr>
              <w:spacing w:before="100" w:line="300" w:lineRule="exact"/>
              <w:rPr>
                <w:rFonts w:ascii="標楷體" w:eastAsia="標楷體" w:hAnsi="標楷體"/>
                <w:color w:val="000000"/>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96F34F9"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出生日期</w:t>
            </w:r>
          </w:p>
        </w:tc>
        <w:tc>
          <w:tcPr>
            <w:tcW w:w="238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A501770" w14:textId="77777777" w:rsidR="00401786" w:rsidRDefault="00401786" w:rsidP="00C44BBD">
            <w:pPr>
              <w:spacing w:before="100" w:line="300" w:lineRule="exact"/>
              <w:rPr>
                <w:rFonts w:ascii="標楷體" w:eastAsia="標楷體" w:hAnsi="標楷體"/>
                <w:color w:val="000000"/>
              </w:rPr>
            </w:pPr>
          </w:p>
        </w:tc>
      </w:tr>
      <w:tr w:rsidR="00401786" w14:paraId="4E2C7FD5" w14:textId="77777777">
        <w:trPr>
          <w:trHeight w:val="255"/>
          <w:jc w:val="center"/>
        </w:trPr>
        <w:tc>
          <w:tcPr>
            <w:tcW w:w="210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D80593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身分證號</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EB1BE6"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9A11B5"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病歷號碼</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A62DB6" w14:textId="77777777" w:rsidR="00401786" w:rsidRDefault="00401786" w:rsidP="00C44BBD">
            <w:pPr>
              <w:spacing w:before="100" w:line="300" w:lineRule="exact"/>
              <w:rPr>
                <w:rFonts w:ascii="標楷體" w:eastAsia="標楷體" w:hAnsi="標楷體"/>
                <w:color w:val="000000"/>
              </w:rPr>
            </w:pPr>
          </w:p>
        </w:tc>
        <w:tc>
          <w:tcPr>
            <w:tcW w:w="1273"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0347A9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使用期間</w:t>
            </w:r>
          </w:p>
        </w:tc>
        <w:tc>
          <w:tcPr>
            <w:tcW w:w="238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8505DD5"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自　 年 　月　　日</w:t>
            </w:r>
          </w:p>
        </w:tc>
      </w:tr>
      <w:tr w:rsidR="00401786" w14:paraId="4BB96EC3" w14:textId="77777777">
        <w:trPr>
          <w:trHeight w:val="240"/>
          <w:jc w:val="center"/>
        </w:trPr>
        <w:tc>
          <w:tcPr>
            <w:tcW w:w="2106"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1C30E4D9"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藥品代碼</w:t>
            </w:r>
          </w:p>
        </w:tc>
        <w:tc>
          <w:tcPr>
            <w:tcW w:w="173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AC823D6"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B139BC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用法用量</w:t>
            </w:r>
          </w:p>
        </w:tc>
        <w:tc>
          <w:tcPr>
            <w:tcW w:w="15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A4B6B93" w14:textId="77777777" w:rsidR="00401786" w:rsidRDefault="00401786" w:rsidP="00C44BBD">
            <w:pPr>
              <w:spacing w:before="100" w:line="300" w:lineRule="exact"/>
              <w:rPr>
                <w:rFonts w:ascii="標楷體" w:eastAsia="標楷體" w:hAnsi="標楷體"/>
                <w:color w:val="000000"/>
              </w:rPr>
            </w:pPr>
          </w:p>
        </w:tc>
        <w:tc>
          <w:tcPr>
            <w:tcW w:w="1273"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A6A90D1" w14:textId="77777777" w:rsidR="00401786" w:rsidRDefault="00401786" w:rsidP="00C44BBD">
            <w:pPr>
              <w:spacing w:line="300" w:lineRule="exact"/>
              <w:rPr>
                <w:rFonts w:ascii="標楷體" w:eastAsia="標楷體" w:hAnsi="標楷體"/>
                <w:color w:val="000000"/>
              </w:rPr>
            </w:pPr>
          </w:p>
        </w:tc>
        <w:tc>
          <w:tcPr>
            <w:tcW w:w="2384"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5424E0F"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至　 年 　月　　日</w:t>
            </w:r>
          </w:p>
        </w:tc>
      </w:tr>
    </w:tbl>
    <w:p w14:paraId="23DB1C76" w14:textId="77777777" w:rsidR="00401786" w:rsidRDefault="00401786" w:rsidP="00C44BBD">
      <w:pPr>
        <w:spacing w:line="300" w:lineRule="exact"/>
        <w:rPr>
          <w:rFonts w:ascii="標楷體" w:eastAsia="標楷體" w:hAnsi="標楷體"/>
          <w:color w:val="000000"/>
        </w:rPr>
      </w:pPr>
    </w:p>
    <w:p w14:paraId="27DFAABE" w14:textId="77777777" w:rsidR="00401786" w:rsidRDefault="00401786" w:rsidP="00C44BBD">
      <w:pPr>
        <w:spacing w:line="300" w:lineRule="exact"/>
        <w:rPr>
          <w:rFonts w:ascii="標楷體" w:eastAsia="標楷體" w:hAnsi="標楷體"/>
          <w:vanish/>
          <w:color w:val="000000"/>
        </w:rPr>
      </w:pPr>
    </w:p>
    <w:tbl>
      <w:tblPr>
        <w:tblW w:w="12339" w:type="dxa"/>
        <w:tblInd w:w="-1829" w:type="dxa"/>
        <w:tblLayout w:type="fixed"/>
        <w:tblCellMar>
          <w:left w:w="10" w:type="dxa"/>
          <w:right w:w="10" w:type="dxa"/>
        </w:tblCellMar>
        <w:tblLook w:val="0000" w:firstRow="0" w:lastRow="0" w:firstColumn="0" w:lastColumn="0" w:noHBand="0" w:noVBand="0"/>
      </w:tblPr>
      <w:tblGrid>
        <w:gridCol w:w="1541"/>
        <w:gridCol w:w="1242"/>
        <w:gridCol w:w="1782"/>
        <w:gridCol w:w="3554"/>
        <w:gridCol w:w="3757"/>
        <w:gridCol w:w="35"/>
        <w:gridCol w:w="72"/>
        <w:gridCol w:w="316"/>
        <w:gridCol w:w="40"/>
      </w:tblGrid>
      <w:tr w:rsidR="00401786" w14:paraId="7985A38F" w14:textId="77777777">
        <w:tc>
          <w:tcPr>
            <w:tcW w:w="1541" w:type="dxa"/>
            <w:shd w:val="clear" w:color="auto" w:fill="auto"/>
            <w:tcMar>
              <w:top w:w="0" w:type="dxa"/>
              <w:left w:w="0" w:type="dxa"/>
              <w:bottom w:w="0" w:type="dxa"/>
              <w:right w:w="0" w:type="dxa"/>
            </w:tcMar>
          </w:tcPr>
          <w:p w14:paraId="4AA606A0" w14:textId="77777777" w:rsidR="00401786" w:rsidRDefault="00401786" w:rsidP="00C44BBD">
            <w:pPr>
              <w:spacing w:before="100" w:line="300" w:lineRule="exact"/>
              <w:ind w:left="374" w:hanging="374"/>
              <w:rPr>
                <w:rFonts w:ascii="標楷體" w:eastAsia="標楷體" w:hAnsi="標楷體"/>
                <w:color w:val="000000"/>
              </w:rPr>
            </w:pPr>
          </w:p>
        </w:tc>
        <w:tc>
          <w:tcPr>
            <w:tcW w:w="10335"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5E590C87" w14:textId="77777777" w:rsidR="00401786" w:rsidRDefault="00C64FB3" w:rsidP="00C44BBD">
            <w:pPr>
              <w:spacing w:before="100" w:line="300" w:lineRule="exact"/>
              <w:ind w:left="374" w:right="38" w:hanging="374"/>
            </w:pPr>
            <w:r>
              <w:rPr>
                <w:rFonts w:ascii="標楷體" w:eastAsia="標楷體" w:hAnsi="標楷體"/>
                <w:color w:val="000000"/>
              </w:rPr>
              <w:t xml:space="preserve">□ </w:t>
            </w:r>
            <w:r>
              <w:rPr>
                <w:rFonts w:ascii="標楷體" w:eastAsia="標楷體" w:hAnsi="標楷體"/>
                <w:b/>
                <w:color w:val="000000"/>
              </w:rPr>
              <w:t>符合照光治療及其他系統性(全身性)治療無效(治療需6個月完整療程)，或因醫療因素而無法接受其他系統性(全身性)治療之全身慢性、</w:t>
            </w:r>
            <w:proofErr w:type="gramStart"/>
            <w:r>
              <w:rPr>
                <w:rFonts w:ascii="標楷體" w:eastAsia="標楷體" w:hAnsi="標楷體"/>
                <w:b/>
                <w:color w:val="000000"/>
              </w:rPr>
              <w:t>重度異位</w:t>
            </w:r>
            <w:proofErr w:type="gramEnd"/>
            <w:r>
              <w:rPr>
                <w:rFonts w:ascii="標楷體" w:eastAsia="標楷體" w:hAnsi="標楷體"/>
                <w:b/>
                <w:color w:val="000000"/>
              </w:rPr>
              <w:t>性皮膚炎：（定義請參照給付規定）</w:t>
            </w:r>
          </w:p>
          <w:p w14:paraId="1942802C" w14:textId="77777777" w:rsidR="00401786" w:rsidRDefault="00C64FB3" w:rsidP="00C44BBD">
            <w:pPr>
              <w:spacing w:before="180" w:line="300" w:lineRule="exact"/>
              <w:ind w:left="374" w:right="38" w:hanging="374"/>
            </w:pPr>
            <w:r>
              <w:rPr>
                <w:rFonts w:ascii="標楷體" w:eastAsia="標楷體" w:hAnsi="標楷體"/>
                <w:color w:val="000000"/>
              </w:rPr>
              <w:t xml:space="preserve">□ </w:t>
            </w:r>
            <w:r>
              <w:rPr>
                <w:rFonts w:ascii="標楷體" w:eastAsia="標楷體" w:hAnsi="標楷體"/>
                <w:b/>
                <w:color w:val="000000"/>
              </w:rPr>
              <w:t xml:space="preserve">符合Eczema area severity index (EASI) </w:t>
            </w:r>
            <w:proofErr w:type="gramStart"/>
            <w:r>
              <w:rPr>
                <w:rFonts w:ascii="標楷體" w:eastAsia="標楷體" w:hAnsi="標楷體" w:cs="新細明體"/>
                <w:b/>
                <w:color w:val="000000"/>
              </w:rPr>
              <w:t>≧</w:t>
            </w:r>
            <w:proofErr w:type="gramEnd"/>
            <w:r>
              <w:rPr>
                <w:rFonts w:ascii="標楷體" w:eastAsia="標楷體" w:hAnsi="標楷體" w:cs="新細明體"/>
                <w:b/>
                <w:color w:val="000000"/>
              </w:rPr>
              <w:t>16</w:t>
            </w:r>
            <w:r>
              <w:rPr>
                <w:rFonts w:ascii="標楷體" w:eastAsia="標楷體" w:hAnsi="標楷體"/>
                <w:b/>
                <w:color w:val="000000"/>
              </w:rPr>
              <w:t>且異位性皮膚炎皮膚紅腫體表面積需</w:t>
            </w:r>
            <w:proofErr w:type="gramStart"/>
            <w:r>
              <w:rPr>
                <w:rFonts w:ascii="標楷體" w:eastAsia="標楷體" w:hAnsi="標楷體" w:cs="新細明體"/>
                <w:b/>
                <w:color w:val="000000"/>
              </w:rPr>
              <w:t>≧</w:t>
            </w:r>
            <w:proofErr w:type="gramEnd"/>
            <w:r>
              <w:rPr>
                <w:rFonts w:ascii="標楷體" w:eastAsia="標楷體" w:hAnsi="標楷體"/>
                <w:b/>
                <w:color w:val="000000"/>
              </w:rPr>
              <w:t>30%，且「Investigator</w:t>
            </w:r>
            <w:proofErr w:type="gramStart"/>
            <w:r>
              <w:rPr>
                <w:rFonts w:ascii="標楷體" w:eastAsia="標楷體" w:hAnsi="標楷體"/>
                <w:b/>
                <w:color w:val="000000"/>
              </w:rPr>
              <w:t>’</w:t>
            </w:r>
            <w:proofErr w:type="gramEnd"/>
            <w:r>
              <w:rPr>
                <w:rFonts w:ascii="標楷體" w:eastAsia="標楷體" w:hAnsi="標楷體"/>
                <w:b/>
                <w:color w:val="000000"/>
              </w:rPr>
              <w:t>s Global Assessment (IGA):3~4」之全身慢性異位性皮膚炎。(檢附至少6個月病歷影本與相關照片，得合併他院就診病歷)</w:t>
            </w:r>
          </w:p>
          <w:p w14:paraId="273BC565" w14:textId="77777777" w:rsidR="00401786" w:rsidRDefault="00C64FB3" w:rsidP="00C44BBD">
            <w:pPr>
              <w:spacing w:line="300" w:lineRule="exact"/>
              <w:ind w:left="480" w:right="38"/>
              <w:rPr>
                <w:rFonts w:ascii="標楷體" w:eastAsia="標楷體" w:hAnsi="標楷體"/>
                <w:color w:val="000000"/>
              </w:rPr>
            </w:pPr>
            <w:r>
              <w:rPr>
                <w:rFonts w:ascii="標楷體" w:eastAsia="標楷體" w:hAnsi="標楷體"/>
                <w:color w:val="000000"/>
              </w:rPr>
              <w:t>1.□ 符合照光治療無效（檢附詳細3個月照光劑量記錄）。</w:t>
            </w:r>
          </w:p>
          <w:p w14:paraId="3B106A04" w14:textId="77777777" w:rsidR="00401786" w:rsidRDefault="00C64FB3" w:rsidP="00C44BBD">
            <w:pPr>
              <w:spacing w:line="300" w:lineRule="exact"/>
              <w:ind w:left="987" w:right="38" w:hanging="507"/>
              <w:rPr>
                <w:rFonts w:ascii="標楷體" w:eastAsia="標楷體" w:hAnsi="標楷體"/>
                <w:color w:val="000000"/>
              </w:rPr>
            </w:pPr>
            <w:r>
              <w:rPr>
                <w:rFonts w:ascii="標楷體" w:eastAsia="標楷體" w:hAnsi="標楷體"/>
                <w:color w:val="000000"/>
              </w:rPr>
              <w:t>2.□ 符合其他系統性(全身性)治療無效（目前未達EASI申請標準者，需同時附治療前後資料）。</w:t>
            </w:r>
          </w:p>
          <w:p w14:paraId="7FBFE960" w14:textId="77777777" w:rsidR="00401786" w:rsidRDefault="00C64FB3" w:rsidP="00C44BBD">
            <w:pPr>
              <w:spacing w:before="180" w:after="180" w:line="300" w:lineRule="exact"/>
              <w:ind w:left="360" w:right="22"/>
            </w:pPr>
            <w:r>
              <w:rPr>
                <w:rFonts w:ascii="標楷體" w:eastAsia="標楷體" w:hAnsi="標楷體"/>
                <w:b/>
                <w:color w:val="000000"/>
              </w:rPr>
              <w:t>至少2種其他系統性(全身性)用藥之使用時間、劑量及停用</w:t>
            </w:r>
            <w:r>
              <w:rPr>
                <w:rFonts w:ascii="標楷體" w:eastAsia="標楷體" w:hAnsi="標楷體" w:cs="新細明體"/>
                <w:b/>
                <w:color w:val="000000"/>
              </w:rPr>
              <w:t>或減量</w:t>
            </w:r>
            <w:r>
              <w:rPr>
                <w:rFonts w:ascii="標楷體" w:eastAsia="標楷體" w:hAnsi="標楷體"/>
                <w:b/>
                <w:color w:val="000000"/>
              </w:rPr>
              <w:t>理由(患者目前體重:___kg)</w:t>
            </w:r>
          </w:p>
          <w:tbl>
            <w:tblPr>
              <w:tblW w:w="9351" w:type="dxa"/>
              <w:tblInd w:w="459" w:type="dxa"/>
              <w:tblLayout w:type="fixed"/>
              <w:tblCellMar>
                <w:left w:w="10" w:type="dxa"/>
                <w:right w:w="10" w:type="dxa"/>
              </w:tblCellMar>
              <w:tblLook w:val="0000" w:firstRow="0" w:lastRow="0" w:firstColumn="0" w:lastColumn="0" w:noHBand="0" w:noVBand="0"/>
            </w:tblPr>
            <w:tblGrid>
              <w:gridCol w:w="2263"/>
              <w:gridCol w:w="2045"/>
              <w:gridCol w:w="2350"/>
              <w:gridCol w:w="2693"/>
            </w:tblGrid>
            <w:tr w:rsidR="00401786" w14:paraId="6C1FC8C2" w14:textId="77777777">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069047C" w14:textId="77777777" w:rsidR="00401786" w:rsidRDefault="00401786" w:rsidP="00C44BBD">
                  <w:pPr>
                    <w:spacing w:before="100" w:line="300" w:lineRule="exact"/>
                    <w:ind w:right="38"/>
                    <w:rPr>
                      <w:rFonts w:ascii="標楷體" w:eastAsia="標楷體" w:hAnsi="標楷體"/>
                      <w:color w:val="000000"/>
                    </w:rPr>
                  </w:pP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DDBF38"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使用劑量</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0FDADB2" w14:textId="77777777" w:rsidR="00401786" w:rsidRDefault="00C64FB3" w:rsidP="00C44BBD">
                  <w:pPr>
                    <w:spacing w:before="100" w:line="300" w:lineRule="exact"/>
                    <w:ind w:right="38"/>
                    <w:jc w:val="center"/>
                    <w:rPr>
                      <w:rFonts w:ascii="標楷體" w:eastAsia="標楷體" w:hAnsi="標楷體"/>
                      <w:color w:val="000000"/>
                    </w:rPr>
                  </w:pPr>
                  <w:r>
                    <w:rPr>
                      <w:rFonts w:ascii="標楷體" w:eastAsia="標楷體" w:hAnsi="標楷體"/>
                      <w:color w:val="000000"/>
                    </w:rPr>
                    <w:t>使用時間</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EFD7289" w14:textId="77777777" w:rsidR="00401786" w:rsidRDefault="00C64FB3" w:rsidP="00C44BBD">
                  <w:pPr>
                    <w:spacing w:before="100" w:line="300" w:lineRule="exact"/>
                    <w:ind w:right="38"/>
                  </w:pPr>
                  <w:r>
                    <w:rPr>
                      <w:rFonts w:ascii="標楷體" w:eastAsia="標楷體" w:hAnsi="標楷體"/>
                      <w:color w:val="000000"/>
                    </w:rPr>
                    <w:t>停用</w:t>
                  </w:r>
                  <w:r>
                    <w:rPr>
                      <w:rFonts w:ascii="標楷體" w:eastAsia="標楷體" w:hAnsi="標楷體" w:cs="新細明體"/>
                      <w:color w:val="000000"/>
                    </w:rPr>
                    <w:t>或減量</w:t>
                  </w:r>
                  <w:r>
                    <w:rPr>
                      <w:rFonts w:ascii="標楷體" w:eastAsia="標楷體" w:hAnsi="標楷體"/>
                      <w:color w:val="000000"/>
                    </w:rPr>
                    <w:t>理由</w:t>
                  </w:r>
                </w:p>
              </w:tc>
            </w:tr>
            <w:tr w:rsidR="00401786" w14:paraId="1C53C405" w14:textId="77777777">
              <w:trPr>
                <w:trHeight w:val="691"/>
              </w:trPr>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A65B643"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Azathioprine</w:t>
                  </w:r>
                </w:p>
                <w:p w14:paraId="4B0DDE83"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(體重: ___ kg)</w:t>
                  </w: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E1E2DF0"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___mg/day</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D5550A" w14:textId="77777777" w:rsidR="00401786" w:rsidRDefault="00C64FB3" w:rsidP="00C44BBD">
                  <w:pPr>
                    <w:spacing w:line="300" w:lineRule="exact"/>
                    <w:ind w:right="38"/>
                    <w:jc w:val="center"/>
                    <w:rPr>
                      <w:rFonts w:ascii="標楷體" w:eastAsia="標楷體" w:hAnsi="標楷體"/>
                      <w:color w:val="000000"/>
                    </w:rPr>
                  </w:pPr>
                  <w:r>
                    <w:rPr>
                      <w:rFonts w:ascii="標楷體" w:eastAsia="標楷體" w:hAnsi="標楷體"/>
                      <w:color w:val="000000"/>
                    </w:rPr>
                    <w:t>__年__月__日至</w:t>
                  </w:r>
                </w:p>
                <w:p w14:paraId="112C160F"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__年__月__日</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357047B" w14:textId="77777777" w:rsidR="00401786" w:rsidRDefault="00401786" w:rsidP="00C44BBD">
                  <w:pPr>
                    <w:spacing w:before="100" w:line="300" w:lineRule="exact"/>
                    <w:ind w:right="38"/>
                    <w:rPr>
                      <w:rFonts w:ascii="標楷體" w:eastAsia="標楷體" w:hAnsi="標楷體"/>
                      <w:color w:val="000000"/>
                    </w:rPr>
                  </w:pPr>
                </w:p>
              </w:tc>
            </w:tr>
            <w:tr w:rsidR="00401786" w14:paraId="46E660ED" w14:textId="77777777">
              <w:trPr>
                <w:trHeight w:val="461"/>
              </w:trPr>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493A56B"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Methotrexate</w:t>
                  </w: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F3DDD27"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___mg/week</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359EE7E" w14:textId="77777777" w:rsidR="00401786" w:rsidRDefault="00C64FB3" w:rsidP="00C44BBD">
                  <w:pPr>
                    <w:spacing w:line="300" w:lineRule="exact"/>
                    <w:ind w:right="38"/>
                    <w:jc w:val="center"/>
                    <w:rPr>
                      <w:rFonts w:ascii="標楷體" w:eastAsia="標楷體" w:hAnsi="標楷體"/>
                      <w:color w:val="000000"/>
                    </w:rPr>
                  </w:pPr>
                  <w:r>
                    <w:rPr>
                      <w:rFonts w:ascii="標楷體" w:eastAsia="標楷體" w:hAnsi="標楷體"/>
                      <w:color w:val="000000"/>
                    </w:rPr>
                    <w:t>__年__月__日至</w:t>
                  </w:r>
                </w:p>
                <w:p w14:paraId="6C1F42FE"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__年__月__日</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65A07B5" w14:textId="77777777" w:rsidR="00401786" w:rsidRDefault="00401786" w:rsidP="00C44BBD">
                  <w:pPr>
                    <w:spacing w:before="100" w:line="300" w:lineRule="exact"/>
                    <w:ind w:right="38"/>
                    <w:rPr>
                      <w:rFonts w:ascii="標楷體" w:eastAsia="標楷體" w:hAnsi="標楷體"/>
                      <w:color w:val="000000"/>
                    </w:rPr>
                  </w:pPr>
                </w:p>
              </w:tc>
            </w:tr>
            <w:tr w:rsidR="00401786" w14:paraId="609E6E7A" w14:textId="77777777">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F214A74"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 xml:space="preserve">Cyclosporin </w:t>
                  </w:r>
                </w:p>
                <w:p w14:paraId="0B31FC44"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(體重: ___ kg)</w:t>
                  </w: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7A7720E"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___mg/day</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DCF4327" w14:textId="77777777" w:rsidR="00401786" w:rsidRDefault="00C64FB3" w:rsidP="00C44BBD">
                  <w:pPr>
                    <w:spacing w:line="300" w:lineRule="exact"/>
                    <w:ind w:right="38"/>
                    <w:jc w:val="center"/>
                    <w:rPr>
                      <w:rFonts w:ascii="標楷體" w:eastAsia="標楷體" w:hAnsi="標楷體"/>
                      <w:color w:val="000000"/>
                    </w:rPr>
                  </w:pPr>
                  <w:r>
                    <w:rPr>
                      <w:rFonts w:ascii="標楷體" w:eastAsia="標楷體" w:hAnsi="標楷體"/>
                      <w:color w:val="000000"/>
                    </w:rPr>
                    <w:t>__年__月__日至</w:t>
                  </w:r>
                </w:p>
                <w:p w14:paraId="634FEE41"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__年__月__日</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C743192" w14:textId="77777777" w:rsidR="00401786" w:rsidRDefault="00401786" w:rsidP="00C44BBD">
                  <w:pPr>
                    <w:spacing w:before="100" w:line="300" w:lineRule="exact"/>
                    <w:ind w:right="38"/>
                    <w:rPr>
                      <w:rFonts w:ascii="標楷體" w:eastAsia="標楷體" w:hAnsi="標楷體"/>
                      <w:color w:val="000000"/>
                    </w:rPr>
                  </w:pPr>
                </w:p>
              </w:tc>
            </w:tr>
          </w:tbl>
          <w:p w14:paraId="39012041" w14:textId="77777777" w:rsidR="00401786" w:rsidRDefault="00C64FB3" w:rsidP="00C44BBD">
            <w:pPr>
              <w:spacing w:before="180" w:line="300" w:lineRule="exact"/>
              <w:ind w:left="845" w:right="38" w:hanging="283"/>
              <w:rPr>
                <w:rFonts w:ascii="標楷體" w:eastAsia="標楷體" w:hAnsi="標楷體"/>
                <w:color w:val="000000"/>
              </w:rPr>
            </w:pPr>
            <w:r>
              <w:rPr>
                <w:rFonts w:ascii="標楷體" w:eastAsia="標楷體" w:hAnsi="標楷體"/>
                <w:color w:val="000000"/>
              </w:rPr>
              <w:t>□患者不曾核准使用治療乾癬之生物製劑，或</w:t>
            </w:r>
            <w:proofErr w:type="gramStart"/>
            <w:r>
              <w:rPr>
                <w:rFonts w:ascii="標楷體" w:eastAsia="標楷體" w:hAnsi="標楷體"/>
                <w:color w:val="000000"/>
              </w:rPr>
              <w:t>曾有乾癬但症狀</w:t>
            </w:r>
            <w:proofErr w:type="gramEnd"/>
            <w:r>
              <w:rPr>
                <w:rFonts w:ascii="標楷體" w:eastAsia="標楷體" w:hAnsi="標楷體"/>
                <w:color w:val="000000"/>
              </w:rPr>
              <w:t>消失已達至少兩年，或申請前已切片排除乾癬診斷，並經皮膚科專科醫師確立目前為異位性皮膚炎診斷。</w:t>
            </w:r>
          </w:p>
          <w:p w14:paraId="7B3F2099" w14:textId="77777777" w:rsidR="00401786" w:rsidRDefault="00C64FB3" w:rsidP="00C44BBD">
            <w:pPr>
              <w:tabs>
                <w:tab w:val="left" w:pos="462"/>
                <w:tab w:val="left" w:pos="9123"/>
              </w:tabs>
              <w:spacing w:line="300" w:lineRule="exact"/>
              <w:ind w:left="845" w:right="38" w:hanging="283"/>
              <w:rPr>
                <w:rFonts w:ascii="標楷體" w:eastAsia="標楷體" w:hAnsi="標楷體"/>
                <w:color w:val="000000"/>
              </w:rPr>
            </w:pPr>
            <w:r>
              <w:rPr>
                <w:rFonts w:ascii="標楷體" w:eastAsia="標楷體" w:hAnsi="標楷體"/>
                <w:color w:val="000000"/>
              </w:rPr>
              <w:t>□因醫療因素而無法接受照光治療及其他系統性(全身性)治療。請詳述原因：</w:t>
            </w:r>
          </w:p>
          <w:p w14:paraId="3FD27642" w14:textId="77777777" w:rsidR="00401786" w:rsidRDefault="00C64FB3" w:rsidP="00C44BBD">
            <w:pPr>
              <w:tabs>
                <w:tab w:val="left" w:pos="3528"/>
              </w:tabs>
              <w:spacing w:line="300" w:lineRule="exact"/>
              <w:ind w:left="684" w:right="38" w:hanging="12"/>
            </w:pPr>
            <w:r>
              <w:rPr>
                <w:rFonts w:ascii="標楷體" w:eastAsia="標楷體" w:hAnsi="標楷體"/>
                <w:color w:val="000000"/>
              </w:rPr>
              <w:tab/>
              <w:t xml:space="preserve"> </w:t>
            </w:r>
            <w:r>
              <w:rPr>
                <w:rFonts w:ascii="標楷體" w:eastAsia="標楷體" w:hAnsi="標楷體"/>
                <w:color w:val="000000"/>
                <w:u w:val="single"/>
              </w:rPr>
              <w:tab/>
            </w:r>
            <w:r>
              <w:rPr>
                <w:rFonts w:ascii="標楷體" w:eastAsia="標楷體" w:hAnsi="標楷體"/>
                <w:color w:val="000000"/>
                <w:u w:val="single"/>
              </w:rPr>
              <w:tab/>
              <w:t xml:space="preserve">                                               </w:t>
            </w:r>
          </w:p>
          <w:p w14:paraId="080F9261" w14:textId="77777777" w:rsidR="00401786" w:rsidRDefault="00C64FB3" w:rsidP="00C44BBD">
            <w:pPr>
              <w:tabs>
                <w:tab w:val="left" w:pos="9677"/>
              </w:tabs>
              <w:spacing w:line="300" w:lineRule="exact"/>
              <w:ind w:left="879" w:right="38" w:hanging="561"/>
              <w:rPr>
                <w:rFonts w:ascii="標楷體" w:eastAsia="標楷體" w:hAnsi="標楷體"/>
                <w:color w:val="000000"/>
              </w:rPr>
            </w:pPr>
            <w:r>
              <w:rPr>
                <w:rFonts w:ascii="標楷體" w:eastAsia="標楷體" w:hAnsi="標楷體"/>
                <w:color w:val="000000"/>
              </w:rPr>
              <w:t>3.□符合全身慢性重度之異位性皮膚炎（檢附至少6個月病歷影本，治療已滿3個月，未滿6個月，得合併它院就診病歷）。</w:t>
            </w:r>
          </w:p>
          <w:p w14:paraId="586F42E4" w14:textId="77777777" w:rsidR="00401786" w:rsidRDefault="00C64FB3" w:rsidP="00C44BBD">
            <w:pPr>
              <w:tabs>
                <w:tab w:val="left" w:pos="9677"/>
              </w:tabs>
              <w:spacing w:line="300" w:lineRule="exact"/>
              <w:ind w:left="879" w:right="38" w:hanging="561"/>
            </w:pPr>
            <w:r>
              <w:rPr>
                <w:rFonts w:ascii="標楷體" w:eastAsia="標楷體" w:hAnsi="標楷體"/>
                <w:color w:val="000000"/>
              </w:rPr>
              <w:t>4.□異位性皮膚炎面積暨嚴重度指數〔Eczema Area Severity Index〕</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p w14:paraId="3F6612C0" w14:textId="77777777" w:rsidR="00401786" w:rsidRDefault="00C64FB3" w:rsidP="00C44BBD">
            <w:pPr>
              <w:spacing w:before="180" w:line="300" w:lineRule="exact"/>
              <w:ind w:left="2311" w:right="38" w:hanging="1493"/>
              <w:rPr>
                <w:rFonts w:ascii="標楷體" w:eastAsia="標楷體" w:hAnsi="標楷體"/>
                <w:color w:val="000000"/>
              </w:rPr>
            </w:pPr>
            <w:r>
              <w:rPr>
                <w:rFonts w:ascii="標楷體" w:eastAsia="標楷體" w:hAnsi="標楷體"/>
                <w:color w:val="000000"/>
              </w:rPr>
              <w:t>第一次EASI＝0.1*（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49EA1522" w14:textId="77777777" w:rsidR="00401786" w:rsidRDefault="00C64FB3" w:rsidP="00C44BBD">
            <w:pPr>
              <w:spacing w:line="300" w:lineRule="exact"/>
              <w:ind w:left="3425" w:right="38" w:hanging="1366"/>
              <w:rPr>
                <w:rFonts w:ascii="標楷體" w:eastAsia="標楷體" w:hAnsi="標楷體"/>
                <w:color w:val="000000"/>
              </w:rPr>
            </w:pPr>
            <w:r>
              <w:rPr>
                <w:rFonts w:ascii="標楷體" w:eastAsia="標楷體" w:hAnsi="標楷體"/>
                <w:color w:val="000000"/>
              </w:rPr>
              <w:t>＝____</w:t>
            </w:r>
          </w:p>
          <w:p w14:paraId="34399AD6" w14:textId="77777777" w:rsidR="00401786" w:rsidRDefault="00C64FB3" w:rsidP="00C44BBD">
            <w:pPr>
              <w:spacing w:before="180" w:line="300" w:lineRule="exact"/>
              <w:ind w:left="2311" w:right="38" w:hanging="1493"/>
              <w:rPr>
                <w:rFonts w:ascii="標楷體" w:eastAsia="標楷體" w:hAnsi="標楷體"/>
                <w:color w:val="000000"/>
              </w:rPr>
            </w:pPr>
            <w:r>
              <w:rPr>
                <w:rFonts w:ascii="標楷體" w:eastAsia="標楷體" w:hAnsi="標楷體"/>
                <w:color w:val="000000"/>
              </w:rPr>
              <w:t>第二次EASI＝0.1*（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20F5C349" w14:textId="77777777" w:rsidR="00401786" w:rsidRDefault="00C64FB3" w:rsidP="00C44BBD">
            <w:pPr>
              <w:spacing w:line="300" w:lineRule="exact"/>
              <w:ind w:left="3425" w:right="38" w:hanging="1366"/>
              <w:rPr>
                <w:rFonts w:ascii="標楷體" w:eastAsia="標楷體" w:hAnsi="標楷體"/>
                <w:color w:val="000000"/>
              </w:rPr>
            </w:pPr>
            <w:r>
              <w:rPr>
                <w:rFonts w:ascii="標楷體" w:eastAsia="標楷體" w:hAnsi="標楷體"/>
                <w:color w:val="000000"/>
              </w:rPr>
              <w:t>＝____</w:t>
            </w:r>
          </w:p>
          <w:p w14:paraId="0F517C33" w14:textId="77777777" w:rsidR="00401786" w:rsidRDefault="00C64FB3" w:rsidP="00C44BBD">
            <w:pPr>
              <w:spacing w:before="180" w:line="300" w:lineRule="exact"/>
              <w:ind w:left="1345" w:right="38" w:hanging="560"/>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：Eczema area severity index (EASI)之異位性皮膚炎面積計算，只含皮膚紅腫濕疹</w:t>
            </w:r>
            <w:r>
              <w:rPr>
                <w:rFonts w:ascii="標楷體" w:eastAsia="標楷體" w:hAnsi="標楷體"/>
                <w:color w:val="000000"/>
              </w:rPr>
              <w:lastRenderedPageBreak/>
              <w:t>部位，單純的皮膚</w:t>
            </w:r>
            <w:proofErr w:type="gramStart"/>
            <w:r>
              <w:rPr>
                <w:rFonts w:ascii="標楷體" w:eastAsia="標楷體" w:hAnsi="標楷體"/>
                <w:color w:val="000000"/>
              </w:rPr>
              <w:t>乾燥、</w:t>
            </w:r>
            <w:proofErr w:type="gramEnd"/>
            <w:r>
              <w:rPr>
                <w:rFonts w:ascii="標楷體" w:eastAsia="標楷體" w:hAnsi="標楷體"/>
                <w:color w:val="000000"/>
              </w:rPr>
              <w:t>脫皮、抓痕，不可列入計算。</w:t>
            </w:r>
          </w:p>
          <w:p w14:paraId="4416583D" w14:textId="77777777" w:rsidR="00401786" w:rsidRDefault="00C64FB3" w:rsidP="00C44BBD">
            <w:pPr>
              <w:spacing w:before="180" w:line="300" w:lineRule="exact"/>
              <w:ind w:left="360" w:right="38"/>
            </w:pPr>
            <w:r>
              <w:rPr>
                <w:rFonts w:ascii="標楷體" w:eastAsia="標楷體" w:hAnsi="標楷體"/>
                <w:color w:val="000000"/>
              </w:rPr>
              <w:t>5.□異位性皮膚炎皮膚紅腫體表面積需</w:t>
            </w:r>
            <w:proofErr w:type="gramStart"/>
            <w:r>
              <w:rPr>
                <w:rFonts w:ascii="標楷體" w:eastAsia="標楷體" w:hAnsi="標楷體" w:cs="新細明體"/>
                <w:color w:val="000000"/>
              </w:rPr>
              <w:t>≧</w:t>
            </w:r>
            <w:proofErr w:type="gramEnd"/>
            <w:r>
              <w:rPr>
                <w:rFonts w:ascii="標楷體" w:eastAsia="標楷體" w:hAnsi="標楷體"/>
                <w:color w:val="000000"/>
              </w:rPr>
              <w:t>30%</w:t>
            </w:r>
          </w:p>
          <w:p w14:paraId="28440057" w14:textId="77777777" w:rsidR="00401786" w:rsidRDefault="00C64FB3" w:rsidP="00C44BBD">
            <w:pPr>
              <w:tabs>
                <w:tab w:val="left" w:pos="345"/>
              </w:tabs>
              <w:spacing w:before="180" w:line="300" w:lineRule="exact"/>
              <w:ind w:left="623" w:right="38" w:hanging="266"/>
              <w:rPr>
                <w:rFonts w:ascii="標楷體" w:eastAsia="標楷體" w:hAnsi="標楷體"/>
                <w:color w:val="000000"/>
              </w:rPr>
            </w:pPr>
            <w:r>
              <w:rPr>
                <w:rFonts w:ascii="標楷體" w:eastAsia="標楷體" w:hAnsi="標楷體"/>
                <w:color w:val="000000"/>
              </w:rPr>
              <w:t>6.□Investigator</w:t>
            </w:r>
            <w:proofErr w:type="gramStart"/>
            <w:r>
              <w:rPr>
                <w:rFonts w:ascii="標楷體" w:eastAsia="標楷體" w:hAnsi="標楷體"/>
                <w:color w:val="000000"/>
              </w:rPr>
              <w:t>’</w:t>
            </w:r>
            <w:proofErr w:type="gramEnd"/>
            <w:r>
              <w:rPr>
                <w:rFonts w:ascii="標楷體" w:eastAsia="標楷體" w:hAnsi="標楷體"/>
                <w:color w:val="000000"/>
              </w:rPr>
              <w:t>s Global Assessment (IGA):3~4。</w:t>
            </w:r>
          </w:p>
          <w:p w14:paraId="53CDDDD3" w14:textId="77777777" w:rsidR="00401786" w:rsidRDefault="00C64FB3" w:rsidP="00C44BBD">
            <w:pPr>
              <w:spacing w:line="300" w:lineRule="exact"/>
              <w:ind w:left="374" w:right="38" w:hanging="374"/>
            </w:pPr>
            <w:r>
              <w:rPr>
                <w:rFonts w:ascii="標楷體" w:eastAsia="標楷體" w:hAnsi="標楷體"/>
                <w:b/>
                <w:color w:val="000000"/>
              </w:rPr>
              <w:t>□ 暫緩續用後疾病再復發之重新申請：</w:t>
            </w:r>
            <w:r>
              <w:rPr>
                <w:rFonts w:ascii="標楷體" w:eastAsia="標楷體" w:hAnsi="標楷體"/>
                <w:color w:val="000000"/>
              </w:rPr>
              <w:t>（需附上次療程治療前、後，及本次照片）</w:t>
            </w:r>
          </w:p>
          <w:p w14:paraId="1BC3C7CA" w14:textId="77777777" w:rsidR="00401786" w:rsidRDefault="00C64FB3" w:rsidP="00C44BBD">
            <w:pPr>
              <w:spacing w:line="300" w:lineRule="exact"/>
              <w:ind w:left="623" w:right="38" w:hanging="266"/>
            </w:pPr>
            <w:r>
              <w:rPr>
                <w:rFonts w:ascii="標楷體" w:eastAsia="標楷體" w:hAnsi="標楷體"/>
                <w:color w:val="000000"/>
              </w:rPr>
              <w:t>□ 符合至少有EASI</w:t>
            </w:r>
            <w:proofErr w:type="gramStart"/>
            <w:r>
              <w:rPr>
                <w:rFonts w:ascii="標楷體" w:eastAsia="標楷體" w:hAnsi="標楷體" w:cs="新細明體"/>
                <w:color w:val="000000"/>
              </w:rPr>
              <w:t>≧</w:t>
            </w:r>
            <w:proofErr w:type="gramEnd"/>
            <w:r>
              <w:rPr>
                <w:rFonts w:ascii="標楷體" w:eastAsia="標楷體" w:hAnsi="標楷體"/>
                <w:color w:val="000000"/>
              </w:rPr>
              <w:t>50%復發或EASI</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tc>
        <w:tc>
          <w:tcPr>
            <w:tcW w:w="107" w:type="dxa"/>
            <w:gridSpan w:val="2"/>
            <w:shd w:val="clear" w:color="auto" w:fill="auto"/>
            <w:tcMar>
              <w:top w:w="0" w:type="dxa"/>
              <w:left w:w="10" w:type="dxa"/>
              <w:bottom w:w="0" w:type="dxa"/>
              <w:right w:w="10" w:type="dxa"/>
            </w:tcMar>
          </w:tcPr>
          <w:p w14:paraId="40D44595" w14:textId="77777777" w:rsidR="00401786" w:rsidRDefault="00401786" w:rsidP="00C44BBD">
            <w:pPr>
              <w:spacing w:line="300" w:lineRule="exact"/>
              <w:ind w:left="623" w:hanging="266"/>
              <w:rPr>
                <w:rFonts w:ascii="標楷體" w:eastAsia="標楷體" w:hAnsi="標楷體"/>
                <w:color w:val="000000"/>
              </w:rPr>
            </w:pPr>
          </w:p>
        </w:tc>
        <w:tc>
          <w:tcPr>
            <w:tcW w:w="316" w:type="dxa"/>
            <w:shd w:val="clear" w:color="auto" w:fill="auto"/>
            <w:tcMar>
              <w:top w:w="0" w:type="dxa"/>
              <w:left w:w="10" w:type="dxa"/>
              <w:bottom w:w="0" w:type="dxa"/>
              <w:right w:w="10" w:type="dxa"/>
            </w:tcMar>
          </w:tcPr>
          <w:p w14:paraId="2A7E3D9F" w14:textId="77777777" w:rsidR="00401786" w:rsidRDefault="00401786" w:rsidP="00C44BBD">
            <w:pPr>
              <w:spacing w:line="300" w:lineRule="exact"/>
              <w:ind w:left="623" w:hanging="266"/>
              <w:rPr>
                <w:rFonts w:ascii="標楷體" w:eastAsia="標楷體" w:hAnsi="標楷體"/>
                <w:color w:val="000000"/>
              </w:rPr>
            </w:pPr>
          </w:p>
        </w:tc>
        <w:tc>
          <w:tcPr>
            <w:tcW w:w="40" w:type="dxa"/>
            <w:shd w:val="clear" w:color="auto" w:fill="auto"/>
            <w:tcMar>
              <w:top w:w="0" w:type="dxa"/>
              <w:left w:w="10" w:type="dxa"/>
              <w:bottom w:w="0" w:type="dxa"/>
              <w:right w:w="10" w:type="dxa"/>
            </w:tcMar>
          </w:tcPr>
          <w:p w14:paraId="480EC418" w14:textId="77777777" w:rsidR="00401786" w:rsidRDefault="00401786" w:rsidP="00C44BBD">
            <w:pPr>
              <w:spacing w:line="300" w:lineRule="exact"/>
              <w:ind w:left="623" w:hanging="266"/>
              <w:rPr>
                <w:rFonts w:ascii="標楷體" w:eastAsia="標楷體" w:hAnsi="標楷體"/>
                <w:color w:val="000000"/>
              </w:rPr>
            </w:pPr>
          </w:p>
        </w:tc>
      </w:tr>
      <w:tr w:rsidR="00401786" w14:paraId="4974494A" w14:textId="77777777">
        <w:trPr>
          <w:trHeight w:val="6385"/>
        </w:trPr>
        <w:tc>
          <w:tcPr>
            <w:tcW w:w="1541" w:type="dxa"/>
            <w:shd w:val="clear" w:color="auto" w:fill="auto"/>
            <w:tcMar>
              <w:top w:w="0" w:type="dxa"/>
              <w:left w:w="0" w:type="dxa"/>
              <w:bottom w:w="0" w:type="dxa"/>
              <w:right w:w="0" w:type="dxa"/>
            </w:tcMar>
          </w:tcPr>
          <w:p w14:paraId="16E092CC" w14:textId="77777777" w:rsidR="00401786" w:rsidRDefault="00401786" w:rsidP="00C44BBD">
            <w:pPr>
              <w:spacing w:before="181" w:line="300" w:lineRule="exact"/>
              <w:rPr>
                <w:rFonts w:ascii="標楷體" w:eastAsia="標楷體" w:hAnsi="標楷體"/>
                <w:color w:val="000000"/>
              </w:rPr>
            </w:pPr>
          </w:p>
        </w:tc>
        <w:tc>
          <w:tcPr>
            <w:tcW w:w="10335"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406C5AAD"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□符合繼續使用之療效評估：</w:t>
            </w:r>
          </w:p>
          <w:p w14:paraId="17DF6C07"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初次療程</w:t>
            </w:r>
          </w:p>
          <w:p w14:paraId="713FFF76" w14:textId="77777777" w:rsidR="00401786" w:rsidRDefault="00C64FB3" w:rsidP="00C44BBD">
            <w:pPr>
              <w:spacing w:line="300" w:lineRule="exact"/>
              <w:ind w:left="345"/>
              <w:rPr>
                <w:rFonts w:ascii="標楷體" w:eastAsia="標楷體" w:hAnsi="標楷體"/>
                <w:color w:val="000000"/>
              </w:rPr>
            </w:pPr>
            <w:r>
              <w:rPr>
                <w:rFonts w:ascii="標楷體" w:eastAsia="標楷體" w:hAnsi="標楷體"/>
                <w:color w:val="000000"/>
              </w:rPr>
              <w:t>□ 於初次療程之第16</w:t>
            </w:r>
            <w:proofErr w:type="gramStart"/>
            <w:r>
              <w:rPr>
                <w:rFonts w:ascii="標楷體" w:eastAsia="標楷體" w:hAnsi="標楷體"/>
                <w:color w:val="000000"/>
              </w:rPr>
              <w:t>週</w:t>
            </w:r>
            <w:proofErr w:type="gramEnd"/>
            <w:r>
              <w:rPr>
                <w:rFonts w:ascii="標楷體" w:eastAsia="標楷體" w:hAnsi="標楷體"/>
                <w:color w:val="000000"/>
              </w:rPr>
              <w:t>先行評估時，至少有EASI 50療效，方可使用。</w:t>
            </w:r>
          </w:p>
          <w:p w14:paraId="3F38578A"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重複療程</w:t>
            </w:r>
          </w:p>
          <w:p w14:paraId="6F8324C4"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1.□再次申請時，符合下列條件之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15267907" w14:textId="77777777" w:rsidR="00401786" w:rsidRDefault="00C64FB3" w:rsidP="00C44BBD">
            <w:pPr>
              <w:spacing w:line="300" w:lineRule="exact"/>
              <w:ind w:left="960"/>
            </w:pPr>
            <w:proofErr w:type="spellStart"/>
            <w:r>
              <w:rPr>
                <w:rFonts w:ascii="標楷體" w:eastAsia="標楷體" w:hAnsi="標楷體"/>
                <w:color w:val="000000"/>
              </w:rPr>
              <w:t>i</w:t>
            </w:r>
            <w:proofErr w:type="spellEnd"/>
            <w:r>
              <w:rPr>
                <w:rFonts w:ascii="標楷體" w:eastAsia="標楷體" w:hAnsi="標楷體"/>
                <w:color w:val="000000"/>
              </w:rPr>
              <w:t>.□與初次治療前之療效達EASI 50；</w:t>
            </w:r>
          </w:p>
          <w:p w14:paraId="7FFDC4E6" w14:textId="77777777" w:rsidR="00401786" w:rsidRDefault="00C64FB3" w:rsidP="00C44BBD">
            <w:pPr>
              <w:spacing w:line="300" w:lineRule="exact"/>
              <w:ind w:left="1459" w:hanging="619"/>
            </w:pPr>
            <w:r>
              <w:rPr>
                <w:rFonts w:ascii="標楷體" w:eastAsia="標楷體" w:hAnsi="標楷體"/>
                <w:color w:val="000000"/>
              </w:rPr>
              <w:t>ii.□暫緩續用後至少有50%復發或EASI</w:t>
            </w:r>
            <w:r>
              <w:rPr>
                <w:rFonts w:ascii="標楷體" w:eastAsia="標楷體" w:hAnsi="標楷體" w:cs="新細明體"/>
                <w:color w:val="000000"/>
              </w:rPr>
              <w:t>≧</w:t>
            </w:r>
            <w:r>
              <w:rPr>
                <w:rFonts w:ascii="標楷體" w:eastAsia="標楷體" w:hAnsi="標楷體"/>
                <w:color w:val="000000"/>
              </w:rPr>
              <w:t>16（需附上次療程治療前、後及本次照片）。</w:t>
            </w:r>
          </w:p>
          <w:p w14:paraId="4577B712"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2.□上次治療至今病歷影本(至多附6個月)，以及申請日期之臨床照片。</w:t>
            </w:r>
          </w:p>
          <w:p w14:paraId="1CB70FC6" w14:textId="77777777" w:rsidR="00401786" w:rsidRDefault="00C64FB3" w:rsidP="00C44BBD">
            <w:pPr>
              <w:spacing w:line="300" w:lineRule="exact"/>
              <w:ind w:left="958"/>
              <w:rPr>
                <w:rFonts w:ascii="標楷體" w:eastAsia="標楷體" w:hAnsi="標楷體"/>
                <w:color w:val="000000"/>
              </w:rPr>
            </w:pPr>
            <w:r>
              <w:rPr>
                <w:rFonts w:ascii="標楷體" w:eastAsia="標楷體" w:hAnsi="標楷體"/>
                <w:color w:val="000000"/>
              </w:rPr>
              <w:t>上次申請之生物製劑dupilumab使用時間及使用劑量：</w:t>
            </w:r>
          </w:p>
          <w:tbl>
            <w:tblPr>
              <w:tblW w:w="9090" w:type="dxa"/>
              <w:tblInd w:w="720" w:type="dxa"/>
              <w:tblLayout w:type="fixed"/>
              <w:tblCellMar>
                <w:left w:w="10" w:type="dxa"/>
                <w:right w:w="10" w:type="dxa"/>
              </w:tblCellMar>
              <w:tblLook w:val="0000" w:firstRow="0" w:lastRow="0" w:firstColumn="0" w:lastColumn="0" w:noHBand="0" w:noVBand="0"/>
            </w:tblPr>
            <w:tblGrid>
              <w:gridCol w:w="2154"/>
              <w:gridCol w:w="2154"/>
              <w:gridCol w:w="2154"/>
              <w:gridCol w:w="2628"/>
            </w:tblGrid>
            <w:tr w:rsidR="00401786" w14:paraId="2DE44B67"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E4D76D"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使用生物製劑</w:t>
                  </w: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72948CA"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使用劑量</w:t>
                  </w: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DA3F34"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使用時間</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0B79537"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EASI治療前後數值</w:t>
                  </w:r>
                </w:p>
              </w:tc>
            </w:tr>
            <w:tr w:rsidR="00401786" w14:paraId="2E7B5B0F"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A2D81E4" w14:textId="77777777" w:rsidR="00401786" w:rsidRDefault="00401786" w:rsidP="00C44BBD">
                  <w:pPr>
                    <w:spacing w:before="100" w:line="300" w:lineRule="exact"/>
                    <w:rPr>
                      <w:rFonts w:ascii="標楷體" w:eastAsia="標楷體" w:hAnsi="標楷體"/>
                      <w:color w:val="000000"/>
                    </w:rPr>
                  </w:pP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EDCC8A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0A19FC"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0993D3A8"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72B9838" w14:textId="77777777" w:rsidR="00401786" w:rsidRDefault="00401786" w:rsidP="00C44BBD">
                  <w:pPr>
                    <w:spacing w:before="100" w:line="300" w:lineRule="exact"/>
                    <w:rPr>
                      <w:rFonts w:ascii="標楷體" w:eastAsia="標楷體" w:hAnsi="標楷體"/>
                      <w:color w:val="000000"/>
                    </w:rPr>
                  </w:pPr>
                </w:p>
              </w:tc>
            </w:tr>
            <w:tr w:rsidR="00401786" w14:paraId="54FB0AEC"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D612990" w14:textId="77777777" w:rsidR="00401786" w:rsidRDefault="00401786" w:rsidP="00C44BBD">
                  <w:pPr>
                    <w:spacing w:before="100" w:line="300" w:lineRule="exact"/>
                    <w:rPr>
                      <w:rFonts w:ascii="標楷體" w:eastAsia="標楷體" w:hAnsi="標楷體"/>
                      <w:color w:val="000000"/>
                    </w:rPr>
                  </w:pP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3844E5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5BED91E"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259C287F"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CA4662" w14:textId="77777777" w:rsidR="00401786" w:rsidRDefault="00401786" w:rsidP="00C44BBD">
                  <w:pPr>
                    <w:spacing w:before="100" w:line="300" w:lineRule="exact"/>
                    <w:rPr>
                      <w:rFonts w:ascii="標楷體" w:eastAsia="標楷體" w:hAnsi="標楷體"/>
                      <w:color w:val="000000"/>
                    </w:rPr>
                  </w:pPr>
                </w:p>
              </w:tc>
            </w:tr>
            <w:tr w:rsidR="00401786" w14:paraId="448F6D6C"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DDEDA2C" w14:textId="77777777" w:rsidR="00401786" w:rsidRDefault="00401786" w:rsidP="00C44BBD">
                  <w:pPr>
                    <w:spacing w:before="100" w:line="300" w:lineRule="exact"/>
                    <w:rPr>
                      <w:rFonts w:ascii="標楷體" w:eastAsia="標楷體" w:hAnsi="標楷體"/>
                      <w:color w:val="000000"/>
                    </w:rPr>
                  </w:pP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964AD0B"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4F376C"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780DD517"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__年__月__日</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B4CFA9" w14:textId="77777777" w:rsidR="00401786" w:rsidRDefault="00401786" w:rsidP="00C44BBD">
                  <w:pPr>
                    <w:spacing w:before="100" w:line="300" w:lineRule="exact"/>
                    <w:rPr>
                      <w:rFonts w:ascii="標楷體" w:eastAsia="標楷體" w:hAnsi="標楷體"/>
                      <w:color w:val="000000"/>
                    </w:rPr>
                  </w:pPr>
                </w:p>
              </w:tc>
            </w:tr>
          </w:tbl>
          <w:p w14:paraId="4D6598B5" w14:textId="77777777" w:rsidR="00401786" w:rsidRDefault="00401786" w:rsidP="00C44BBD">
            <w:pPr>
              <w:spacing w:before="100" w:line="300" w:lineRule="exact"/>
              <w:rPr>
                <w:rFonts w:ascii="標楷體" w:eastAsia="標楷體" w:hAnsi="標楷體"/>
                <w:color w:val="000000"/>
              </w:rPr>
            </w:pPr>
          </w:p>
        </w:tc>
        <w:tc>
          <w:tcPr>
            <w:tcW w:w="35" w:type="dxa"/>
            <w:shd w:val="clear" w:color="auto" w:fill="auto"/>
            <w:tcMar>
              <w:top w:w="0" w:type="dxa"/>
              <w:left w:w="0" w:type="dxa"/>
              <w:bottom w:w="0" w:type="dxa"/>
              <w:right w:w="0" w:type="dxa"/>
            </w:tcMar>
          </w:tcPr>
          <w:p w14:paraId="4DA034BD" w14:textId="77777777" w:rsidR="00401786" w:rsidRDefault="00401786" w:rsidP="00C44BBD">
            <w:pPr>
              <w:spacing w:before="100" w:line="300" w:lineRule="exact"/>
              <w:ind w:left="340"/>
              <w:rPr>
                <w:rFonts w:ascii="標楷體" w:eastAsia="標楷體" w:hAnsi="標楷體"/>
                <w:color w:val="000000"/>
              </w:rPr>
            </w:pPr>
          </w:p>
        </w:tc>
        <w:tc>
          <w:tcPr>
            <w:tcW w:w="72" w:type="dxa"/>
            <w:shd w:val="clear" w:color="auto" w:fill="auto"/>
            <w:tcMar>
              <w:top w:w="0" w:type="dxa"/>
              <w:left w:w="10" w:type="dxa"/>
              <w:bottom w:w="0" w:type="dxa"/>
              <w:right w:w="10" w:type="dxa"/>
            </w:tcMar>
          </w:tcPr>
          <w:p w14:paraId="16142076" w14:textId="77777777" w:rsidR="00401786" w:rsidRDefault="00401786" w:rsidP="00C44BBD">
            <w:pPr>
              <w:spacing w:before="100" w:line="300" w:lineRule="exact"/>
              <w:ind w:left="340"/>
              <w:rPr>
                <w:rFonts w:ascii="標楷體" w:eastAsia="標楷體" w:hAnsi="標楷體"/>
                <w:color w:val="000000"/>
              </w:rPr>
            </w:pPr>
          </w:p>
        </w:tc>
        <w:tc>
          <w:tcPr>
            <w:tcW w:w="316" w:type="dxa"/>
            <w:shd w:val="clear" w:color="auto" w:fill="auto"/>
            <w:tcMar>
              <w:top w:w="0" w:type="dxa"/>
              <w:left w:w="10" w:type="dxa"/>
              <w:bottom w:w="0" w:type="dxa"/>
              <w:right w:w="10" w:type="dxa"/>
            </w:tcMar>
          </w:tcPr>
          <w:p w14:paraId="1D2E14A1" w14:textId="77777777" w:rsidR="00401786" w:rsidRDefault="00401786" w:rsidP="00C44BBD">
            <w:pPr>
              <w:spacing w:before="100" w:line="300" w:lineRule="exact"/>
              <w:ind w:left="340"/>
              <w:rPr>
                <w:rFonts w:ascii="標楷體" w:eastAsia="標楷體" w:hAnsi="標楷體"/>
                <w:color w:val="000000"/>
              </w:rPr>
            </w:pPr>
          </w:p>
        </w:tc>
        <w:tc>
          <w:tcPr>
            <w:tcW w:w="40" w:type="dxa"/>
            <w:shd w:val="clear" w:color="auto" w:fill="auto"/>
            <w:tcMar>
              <w:top w:w="0" w:type="dxa"/>
              <w:left w:w="10" w:type="dxa"/>
              <w:bottom w:w="0" w:type="dxa"/>
              <w:right w:w="10" w:type="dxa"/>
            </w:tcMar>
          </w:tcPr>
          <w:p w14:paraId="0BDA1C17" w14:textId="77777777" w:rsidR="00401786" w:rsidRDefault="00401786" w:rsidP="00C44BBD">
            <w:pPr>
              <w:spacing w:before="100" w:line="300" w:lineRule="exact"/>
              <w:ind w:left="340"/>
              <w:rPr>
                <w:rFonts w:ascii="標楷體" w:eastAsia="標楷體" w:hAnsi="標楷體"/>
                <w:color w:val="000000"/>
              </w:rPr>
            </w:pPr>
          </w:p>
        </w:tc>
      </w:tr>
      <w:tr w:rsidR="00401786" w14:paraId="4066179A" w14:textId="77777777">
        <w:trPr>
          <w:trHeight w:val="291"/>
        </w:trPr>
        <w:tc>
          <w:tcPr>
            <w:tcW w:w="1541" w:type="dxa"/>
            <w:shd w:val="clear" w:color="auto" w:fill="auto"/>
            <w:tcMar>
              <w:top w:w="0" w:type="dxa"/>
              <w:left w:w="0" w:type="dxa"/>
              <w:bottom w:w="0" w:type="dxa"/>
              <w:right w:w="0" w:type="dxa"/>
            </w:tcMar>
          </w:tcPr>
          <w:p w14:paraId="0D2C78CC" w14:textId="77777777" w:rsidR="00401786" w:rsidRDefault="00401786" w:rsidP="00C44BBD">
            <w:pPr>
              <w:spacing w:before="100" w:line="300" w:lineRule="exact"/>
              <w:ind w:left="119"/>
              <w:rPr>
                <w:rFonts w:ascii="標楷體" w:eastAsia="標楷體" w:hAnsi="標楷體"/>
                <w:color w:val="000000"/>
              </w:rPr>
            </w:pPr>
          </w:p>
        </w:tc>
        <w:tc>
          <w:tcPr>
            <w:tcW w:w="10335"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7E22E693"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□符合「需排除或停止使用之情形」</w:t>
            </w:r>
          </w:p>
        </w:tc>
        <w:tc>
          <w:tcPr>
            <w:tcW w:w="423" w:type="dxa"/>
            <w:gridSpan w:val="3"/>
            <w:shd w:val="clear" w:color="auto" w:fill="auto"/>
            <w:tcMar>
              <w:top w:w="0" w:type="dxa"/>
              <w:left w:w="0" w:type="dxa"/>
              <w:bottom w:w="0" w:type="dxa"/>
              <w:right w:w="0" w:type="dxa"/>
            </w:tcMar>
          </w:tcPr>
          <w:p w14:paraId="1BF485A6" w14:textId="77777777" w:rsidR="00401786" w:rsidRDefault="00401786" w:rsidP="00C44BBD">
            <w:pPr>
              <w:spacing w:before="100" w:line="300" w:lineRule="exact"/>
              <w:ind w:left="119"/>
              <w:rPr>
                <w:rFonts w:ascii="標楷體" w:eastAsia="標楷體" w:hAnsi="標楷體"/>
                <w:color w:val="000000"/>
              </w:rPr>
            </w:pPr>
          </w:p>
        </w:tc>
        <w:tc>
          <w:tcPr>
            <w:tcW w:w="40" w:type="dxa"/>
            <w:shd w:val="clear" w:color="auto" w:fill="auto"/>
            <w:tcMar>
              <w:top w:w="0" w:type="dxa"/>
              <w:left w:w="10" w:type="dxa"/>
              <w:bottom w:w="0" w:type="dxa"/>
              <w:right w:w="10" w:type="dxa"/>
            </w:tcMar>
          </w:tcPr>
          <w:p w14:paraId="0EB7E8AE" w14:textId="77777777" w:rsidR="00401786" w:rsidRDefault="00401786" w:rsidP="00C44BBD">
            <w:pPr>
              <w:spacing w:before="100" w:line="300" w:lineRule="exact"/>
              <w:ind w:left="119"/>
              <w:rPr>
                <w:rFonts w:ascii="標楷體" w:eastAsia="標楷體" w:hAnsi="標楷體"/>
                <w:color w:val="000000"/>
              </w:rPr>
            </w:pPr>
          </w:p>
        </w:tc>
      </w:tr>
      <w:tr w:rsidR="00401786" w14:paraId="0D2113B2" w14:textId="77777777">
        <w:trPr>
          <w:trHeight w:val="414"/>
        </w:trPr>
        <w:tc>
          <w:tcPr>
            <w:tcW w:w="1541" w:type="dxa"/>
            <w:shd w:val="clear" w:color="auto" w:fill="auto"/>
            <w:tcMar>
              <w:top w:w="0" w:type="dxa"/>
              <w:left w:w="0" w:type="dxa"/>
              <w:bottom w:w="0" w:type="dxa"/>
              <w:right w:w="0" w:type="dxa"/>
            </w:tcMar>
          </w:tcPr>
          <w:p w14:paraId="27A45839"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66D93E0C"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372E4D2B"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0653394D"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1C9E7CF"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患惡性腫瘤或為癌前狀態。</w:t>
            </w:r>
          </w:p>
        </w:tc>
        <w:tc>
          <w:tcPr>
            <w:tcW w:w="463" w:type="dxa"/>
            <w:gridSpan w:val="4"/>
            <w:shd w:val="clear" w:color="auto" w:fill="auto"/>
            <w:tcMar>
              <w:top w:w="0" w:type="dxa"/>
              <w:left w:w="0" w:type="dxa"/>
              <w:bottom w:w="0" w:type="dxa"/>
              <w:right w:w="0" w:type="dxa"/>
            </w:tcMar>
          </w:tcPr>
          <w:p w14:paraId="79CEC9CF" w14:textId="77777777" w:rsidR="00401786" w:rsidRDefault="00401786" w:rsidP="00C44BBD">
            <w:pPr>
              <w:spacing w:before="100" w:line="300" w:lineRule="exact"/>
              <w:rPr>
                <w:rFonts w:ascii="標楷體" w:eastAsia="標楷體" w:hAnsi="標楷體"/>
                <w:color w:val="000000"/>
              </w:rPr>
            </w:pPr>
          </w:p>
        </w:tc>
      </w:tr>
      <w:tr w:rsidR="00401786" w14:paraId="3F77330E" w14:textId="77777777">
        <w:trPr>
          <w:trHeight w:val="419"/>
        </w:trPr>
        <w:tc>
          <w:tcPr>
            <w:tcW w:w="1541" w:type="dxa"/>
            <w:shd w:val="clear" w:color="auto" w:fill="auto"/>
            <w:tcMar>
              <w:top w:w="0" w:type="dxa"/>
              <w:left w:w="0" w:type="dxa"/>
              <w:bottom w:w="0" w:type="dxa"/>
              <w:right w:w="0" w:type="dxa"/>
            </w:tcMar>
          </w:tcPr>
          <w:p w14:paraId="48FD5321"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396AED0F" w14:textId="77777777" w:rsidR="00401786" w:rsidRDefault="00401786" w:rsidP="00C44BBD">
            <w:pPr>
              <w:spacing w:before="181" w:line="300" w:lineRule="exact"/>
              <w:rPr>
                <w:rFonts w:ascii="標楷體" w:eastAsia="標楷體" w:hAnsi="標楷體"/>
                <w:color w:val="000000"/>
              </w:rPr>
            </w:pPr>
          </w:p>
          <w:p w14:paraId="56152AA5"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0511DFC0"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19C17A21"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E77125D"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婦女是否正在懷孕</w:t>
            </w:r>
            <w:proofErr w:type="gramStart"/>
            <w:r>
              <w:rPr>
                <w:rFonts w:ascii="標楷體" w:eastAsia="標楷體" w:hAnsi="標楷體"/>
                <w:color w:val="000000"/>
              </w:rPr>
              <w:t>或授乳</w:t>
            </w:r>
            <w:proofErr w:type="gramEnd"/>
            <w:r>
              <w:rPr>
                <w:rFonts w:ascii="標楷體" w:eastAsia="標楷體" w:hAnsi="標楷體"/>
                <w:color w:val="000000"/>
              </w:rPr>
              <w:t>。</w:t>
            </w:r>
          </w:p>
        </w:tc>
        <w:tc>
          <w:tcPr>
            <w:tcW w:w="463" w:type="dxa"/>
            <w:gridSpan w:val="4"/>
            <w:shd w:val="clear" w:color="auto" w:fill="auto"/>
            <w:tcMar>
              <w:top w:w="0" w:type="dxa"/>
              <w:left w:w="0" w:type="dxa"/>
              <w:bottom w:w="0" w:type="dxa"/>
              <w:right w:w="0" w:type="dxa"/>
            </w:tcMar>
          </w:tcPr>
          <w:p w14:paraId="2908537A" w14:textId="77777777" w:rsidR="00401786" w:rsidRDefault="00401786" w:rsidP="00C44BBD">
            <w:pPr>
              <w:spacing w:before="100" w:line="300" w:lineRule="exact"/>
              <w:rPr>
                <w:rFonts w:ascii="標楷體" w:eastAsia="標楷體" w:hAnsi="標楷體"/>
                <w:color w:val="000000"/>
              </w:rPr>
            </w:pPr>
          </w:p>
        </w:tc>
      </w:tr>
      <w:tr w:rsidR="00401786" w14:paraId="04BC909C" w14:textId="77777777">
        <w:trPr>
          <w:trHeight w:val="360"/>
        </w:trPr>
        <w:tc>
          <w:tcPr>
            <w:tcW w:w="1541" w:type="dxa"/>
            <w:shd w:val="clear" w:color="auto" w:fill="auto"/>
            <w:tcMar>
              <w:top w:w="0" w:type="dxa"/>
              <w:left w:w="0" w:type="dxa"/>
              <w:bottom w:w="0" w:type="dxa"/>
              <w:right w:w="0" w:type="dxa"/>
            </w:tcMar>
          </w:tcPr>
          <w:p w14:paraId="5AEE81B7"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0AF33D53"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30844596"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5D6E5A51"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D8BB28F"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患寄生蟲 (蠕蟲) 感染。</w:t>
            </w:r>
          </w:p>
        </w:tc>
        <w:tc>
          <w:tcPr>
            <w:tcW w:w="463" w:type="dxa"/>
            <w:gridSpan w:val="4"/>
            <w:shd w:val="clear" w:color="auto" w:fill="auto"/>
            <w:tcMar>
              <w:top w:w="0" w:type="dxa"/>
              <w:left w:w="0" w:type="dxa"/>
              <w:bottom w:w="0" w:type="dxa"/>
              <w:right w:w="0" w:type="dxa"/>
            </w:tcMar>
          </w:tcPr>
          <w:p w14:paraId="234E0FB0" w14:textId="77777777" w:rsidR="00401786" w:rsidRDefault="00401786" w:rsidP="00C44BBD">
            <w:pPr>
              <w:spacing w:before="100" w:line="300" w:lineRule="exact"/>
              <w:rPr>
                <w:rFonts w:ascii="標楷體" w:eastAsia="標楷體" w:hAnsi="標楷體"/>
                <w:color w:val="000000"/>
              </w:rPr>
            </w:pPr>
          </w:p>
        </w:tc>
      </w:tr>
      <w:tr w:rsidR="00401786" w14:paraId="50051B6B" w14:textId="77777777">
        <w:trPr>
          <w:trHeight w:val="187"/>
        </w:trPr>
        <w:tc>
          <w:tcPr>
            <w:tcW w:w="1541" w:type="dxa"/>
            <w:shd w:val="clear" w:color="auto" w:fill="auto"/>
            <w:tcMar>
              <w:top w:w="0" w:type="dxa"/>
              <w:left w:w="0" w:type="dxa"/>
              <w:bottom w:w="0" w:type="dxa"/>
              <w:right w:w="0" w:type="dxa"/>
            </w:tcMar>
          </w:tcPr>
          <w:p w14:paraId="51045097" w14:textId="77777777" w:rsidR="00401786" w:rsidRDefault="00401786" w:rsidP="00C44BBD">
            <w:pPr>
              <w:spacing w:before="100" w:line="300" w:lineRule="exact"/>
              <w:rPr>
                <w:rFonts w:ascii="標楷體" w:eastAsia="標楷體" w:hAnsi="標楷體"/>
                <w:color w:val="000000"/>
              </w:rPr>
            </w:pPr>
          </w:p>
        </w:tc>
        <w:tc>
          <w:tcPr>
            <w:tcW w:w="10335" w:type="dxa"/>
            <w:gridSpan w:val="4"/>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D94993B"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□符合「需暫緩續用之情形」</w:t>
            </w:r>
          </w:p>
        </w:tc>
        <w:tc>
          <w:tcPr>
            <w:tcW w:w="463" w:type="dxa"/>
            <w:gridSpan w:val="4"/>
            <w:shd w:val="clear" w:color="auto" w:fill="auto"/>
            <w:tcMar>
              <w:top w:w="0" w:type="dxa"/>
              <w:left w:w="0" w:type="dxa"/>
              <w:bottom w:w="0" w:type="dxa"/>
              <w:right w:w="0" w:type="dxa"/>
            </w:tcMar>
          </w:tcPr>
          <w:p w14:paraId="38C7473F" w14:textId="77777777" w:rsidR="00401786" w:rsidRDefault="00401786" w:rsidP="00C44BBD">
            <w:pPr>
              <w:spacing w:before="100" w:line="300" w:lineRule="exact"/>
              <w:rPr>
                <w:rFonts w:ascii="標楷體" w:eastAsia="標楷體" w:hAnsi="標楷體"/>
                <w:color w:val="000000"/>
              </w:rPr>
            </w:pPr>
          </w:p>
        </w:tc>
      </w:tr>
      <w:tr w:rsidR="00401786" w14:paraId="1B6A6B68" w14:textId="77777777">
        <w:trPr>
          <w:trHeight w:val="795"/>
        </w:trPr>
        <w:tc>
          <w:tcPr>
            <w:tcW w:w="1541" w:type="dxa"/>
            <w:shd w:val="clear" w:color="auto" w:fill="auto"/>
            <w:tcMar>
              <w:top w:w="0" w:type="dxa"/>
              <w:left w:w="0" w:type="dxa"/>
              <w:bottom w:w="0" w:type="dxa"/>
              <w:right w:w="0" w:type="dxa"/>
            </w:tcMar>
          </w:tcPr>
          <w:p w14:paraId="6EF9C869"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double" w:sz="4" w:space="0" w:color="000000"/>
            </w:tcBorders>
            <w:shd w:val="clear" w:color="auto" w:fill="auto"/>
            <w:tcMar>
              <w:top w:w="0" w:type="dxa"/>
              <w:left w:w="28" w:type="dxa"/>
              <w:bottom w:w="0" w:type="dxa"/>
              <w:right w:w="0" w:type="dxa"/>
            </w:tcMar>
            <w:vAlign w:val="center"/>
          </w:tcPr>
          <w:p w14:paraId="7F8A5D9A"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double" w:sz="4" w:space="0" w:color="000000"/>
              <w:right w:val="single" w:sz="6" w:space="0" w:color="000000"/>
            </w:tcBorders>
            <w:shd w:val="clear" w:color="auto" w:fill="auto"/>
            <w:tcMar>
              <w:top w:w="0" w:type="dxa"/>
              <w:left w:w="0" w:type="dxa"/>
              <w:bottom w:w="0" w:type="dxa"/>
              <w:right w:w="28" w:type="dxa"/>
            </w:tcMar>
            <w:vAlign w:val="center"/>
          </w:tcPr>
          <w:p w14:paraId="7A35C7B7"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□是</w:t>
            </w:r>
          </w:p>
          <w:p w14:paraId="7C3BB189" w14:textId="77777777" w:rsidR="00401786" w:rsidRDefault="00C64FB3" w:rsidP="00C44BBD">
            <w:pPr>
              <w:spacing w:before="120" w:line="300" w:lineRule="exact"/>
              <w:rPr>
                <w:rFonts w:ascii="標楷體" w:eastAsia="標楷體" w:hAnsi="標楷體"/>
                <w:color w:val="000000"/>
              </w:rPr>
            </w:pP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916D0EE" w14:textId="77777777" w:rsidR="00401786" w:rsidRDefault="00C64FB3" w:rsidP="00C44BBD">
            <w:pPr>
              <w:spacing w:before="181" w:line="300" w:lineRule="exact"/>
            </w:pPr>
            <w:r>
              <w:rPr>
                <w:rFonts w:ascii="標楷體" w:eastAsia="標楷體" w:hAnsi="標楷體"/>
                <w:color w:val="000000"/>
              </w:rPr>
              <w:t>1.</w:t>
            </w:r>
            <w:r>
              <w:rPr>
                <w:rFonts w:ascii="標楷體" w:eastAsia="標楷體" w:hAnsi="標楷體" w:cs="新細明體"/>
                <w:color w:val="000000"/>
              </w:rPr>
              <w:t>使用生物製劑治療滿1年後，符合EASI&lt;16</w:t>
            </w:r>
          </w:p>
          <w:p w14:paraId="1B59ED31" w14:textId="77777777" w:rsidR="00401786" w:rsidRDefault="00C64FB3" w:rsidP="00C44BBD">
            <w:pPr>
              <w:spacing w:before="181" w:line="300" w:lineRule="exact"/>
            </w:pPr>
            <w:r>
              <w:rPr>
                <w:rFonts w:ascii="標楷體" w:eastAsia="標楷體" w:hAnsi="標楷體"/>
                <w:color w:val="000000"/>
              </w:rPr>
              <w:t>2.</w:t>
            </w:r>
            <w:r>
              <w:rPr>
                <w:rFonts w:ascii="標楷體" w:eastAsia="標楷體" w:hAnsi="標楷體" w:cs="新細明體"/>
                <w:color w:val="000000"/>
              </w:rPr>
              <w:t>使用生物製劑治療和初次治療前相比EASI改善未達50%</w:t>
            </w:r>
          </w:p>
        </w:tc>
        <w:tc>
          <w:tcPr>
            <w:tcW w:w="463" w:type="dxa"/>
            <w:gridSpan w:val="4"/>
            <w:shd w:val="clear" w:color="auto" w:fill="auto"/>
            <w:tcMar>
              <w:top w:w="0" w:type="dxa"/>
              <w:left w:w="0" w:type="dxa"/>
              <w:bottom w:w="0" w:type="dxa"/>
              <w:right w:w="0" w:type="dxa"/>
            </w:tcMar>
          </w:tcPr>
          <w:p w14:paraId="63ED2327" w14:textId="77777777" w:rsidR="00401786" w:rsidRDefault="00401786" w:rsidP="00C44BBD">
            <w:pPr>
              <w:spacing w:before="100" w:line="300" w:lineRule="exact"/>
              <w:rPr>
                <w:rFonts w:ascii="標楷體" w:eastAsia="標楷體" w:hAnsi="標楷體"/>
                <w:color w:val="000000"/>
              </w:rPr>
            </w:pPr>
          </w:p>
        </w:tc>
      </w:tr>
      <w:tr w:rsidR="00401786" w14:paraId="250DC5DA" w14:textId="77777777">
        <w:trPr>
          <w:trHeight w:val="1005"/>
        </w:trPr>
        <w:tc>
          <w:tcPr>
            <w:tcW w:w="1541" w:type="dxa"/>
            <w:shd w:val="clear" w:color="auto" w:fill="auto"/>
            <w:tcMar>
              <w:top w:w="0" w:type="dxa"/>
              <w:left w:w="0" w:type="dxa"/>
              <w:bottom w:w="0" w:type="dxa"/>
              <w:right w:w="0" w:type="dxa"/>
            </w:tcMar>
          </w:tcPr>
          <w:p w14:paraId="5CA73F42" w14:textId="77777777" w:rsidR="00401786" w:rsidRDefault="00401786" w:rsidP="00C44BBD">
            <w:pPr>
              <w:spacing w:before="100" w:line="300" w:lineRule="exact"/>
              <w:rPr>
                <w:rFonts w:ascii="標楷體" w:eastAsia="標楷體" w:hAnsi="標楷體"/>
                <w:color w:val="000000"/>
              </w:rPr>
            </w:pPr>
          </w:p>
        </w:tc>
        <w:tc>
          <w:tcPr>
            <w:tcW w:w="6578" w:type="dxa"/>
            <w:gridSpan w:val="3"/>
            <w:shd w:val="clear" w:color="auto" w:fill="auto"/>
            <w:tcMar>
              <w:top w:w="0" w:type="dxa"/>
              <w:left w:w="0" w:type="dxa"/>
              <w:bottom w:w="0" w:type="dxa"/>
              <w:right w:w="0" w:type="dxa"/>
            </w:tcMar>
          </w:tcPr>
          <w:p w14:paraId="1732B5F3" w14:textId="77777777" w:rsidR="00401786" w:rsidRDefault="00C64FB3" w:rsidP="00C44BBD">
            <w:pPr>
              <w:spacing w:before="100" w:line="300" w:lineRule="exact"/>
            </w:pPr>
            <w:r>
              <w:rPr>
                <w:rFonts w:ascii="標楷體" w:eastAsia="標楷體" w:hAnsi="標楷體"/>
                <w:color w:val="000000"/>
              </w:rPr>
              <w:t xml:space="preserve">申請醫師（簽名蓋章）：　　　　　　　 </w:t>
            </w:r>
          </w:p>
          <w:p w14:paraId="0F7ADF22" w14:textId="77777777" w:rsidR="00401786" w:rsidRDefault="00C64FB3" w:rsidP="00C44BBD">
            <w:pPr>
              <w:spacing w:before="100" w:line="300" w:lineRule="exact"/>
            </w:pPr>
            <w:r>
              <w:rPr>
                <w:rFonts w:ascii="標楷體" w:eastAsia="標楷體" w:hAnsi="標楷體"/>
                <w:color w:val="000000"/>
              </w:rPr>
              <w:t>專科醫師證書：  專字第　　　　 　 號</w:t>
            </w:r>
          </w:p>
        </w:tc>
        <w:tc>
          <w:tcPr>
            <w:tcW w:w="3757" w:type="dxa"/>
            <w:shd w:val="clear" w:color="auto" w:fill="auto"/>
            <w:tcMar>
              <w:top w:w="0" w:type="dxa"/>
              <w:left w:w="0" w:type="dxa"/>
              <w:bottom w:w="0" w:type="dxa"/>
              <w:right w:w="0" w:type="dxa"/>
            </w:tcMar>
          </w:tcPr>
          <w:p w14:paraId="77CEC323" w14:textId="77777777" w:rsidR="00401786" w:rsidRDefault="00C64FB3" w:rsidP="00C44BBD">
            <w:pPr>
              <w:spacing w:before="100" w:line="300" w:lineRule="exact"/>
            </w:pPr>
            <w:proofErr w:type="gramStart"/>
            <w:r>
              <w:rPr>
                <w:rFonts w:ascii="標楷體" w:eastAsia="標楷體" w:hAnsi="標楷體"/>
                <w:color w:val="000000"/>
              </w:rPr>
              <w:t>醫</w:t>
            </w:r>
            <w:proofErr w:type="gramEnd"/>
            <w:r>
              <w:rPr>
                <w:rFonts w:ascii="標楷體" w:eastAsia="標楷體" w:hAnsi="標楷體"/>
                <w:color w:val="000000"/>
              </w:rPr>
              <w:t>事機構章戳：</w:t>
            </w:r>
          </w:p>
        </w:tc>
        <w:tc>
          <w:tcPr>
            <w:tcW w:w="423" w:type="dxa"/>
            <w:gridSpan w:val="3"/>
            <w:shd w:val="clear" w:color="auto" w:fill="auto"/>
            <w:tcMar>
              <w:top w:w="0" w:type="dxa"/>
              <w:left w:w="0" w:type="dxa"/>
              <w:bottom w:w="0" w:type="dxa"/>
              <w:right w:w="0" w:type="dxa"/>
            </w:tcMar>
          </w:tcPr>
          <w:p w14:paraId="522100DD" w14:textId="77777777" w:rsidR="00401786" w:rsidRDefault="00401786" w:rsidP="00C44BBD">
            <w:pPr>
              <w:spacing w:before="100" w:line="300" w:lineRule="exact"/>
              <w:rPr>
                <w:rFonts w:ascii="標楷體" w:eastAsia="標楷體" w:hAnsi="標楷體"/>
                <w:color w:val="000000"/>
              </w:rPr>
            </w:pPr>
          </w:p>
        </w:tc>
        <w:tc>
          <w:tcPr>
            <w:tcW w:w="40" w:type="dxa"/>
            <w:shd w:val="clear" w:color="auto" w:fill="auto"/>
            <w:tcMar>
              <w:top w:w="0" w:type="dxa"/>
              <w:left w:w="10" w:type="dxa"/>
              <w:bottom w:w="0" w:type="dxa"/>
              <w:right w:w="10" w:type="dxa"/>
            </w:tcMar>
          </w:tcPr>
          <w:p w14:paraId="572AEE88" w14:textId="77777777" w:rsidR="00401786" w:rsidRDefault="00401786" w:rsidP="00C44BBD">
            <w:pPr>
              <w:spacing w:before="100" w:line="300" w:lineRule="exact"/>
              <w:rPr>
                <w:rFonts w:ascii="標楷體" w:eastAsia="標楷體" w:hAnsi="標楷體"/>
                <w:color w:val="000000"/>
              </w:rPr>
            </w:pPr>
          </w:p>
        </w:tc>
      </w:tr>
    </w:tbl>
    <w:p w14:paraId="1C6C0BFF" w14:textId="77777777" w:rsidR="00401786" w:rsidRPr="008359D5" w:rsidRDefault="00C64FB3" w:rsidP="00C44BBD">
      <w:pPr>
        <w:pageBreakBefore/>
        <w:spacing w:line="300" w:lineRule="exact"/>
        <w:ind w:left="-850" w:right="-617"/>
        <w:jc w:val="center"/>
        <w:rPr>
          <w:sz w:val="22"/>
          <w:szCs w:val="20"/>
        </w:rPr>
      </w:pPr>
      <w:r w:rsidRPr="008359D5">
        <w:rPr>
          <w:rFonts w:ascii="標楷體" w:eastAsia="標楷體" w:hAnsi="標楷體"/>
          <w:b/>
          <w:bCs/>
          <w:color w:val="000000"/>
          <w:szCs w:val="24"/>
        </w:rPr>
        <w:lastRenderedPageBreak/>
        <w:t>附表三十二之二：全民健康保險6歲以上未滿12歲兒童</w:t>
      </w:r>
    </w:p>
    <w:p w14:paraId="7814FA45" w14:textId="77777777" w:rsidR="00401786" w:rsidRPr="008359D5" w:rsidRDefault="00C64FB3" w:rsidP="00C44BBD">
      <w:pPr>
        <w:spacing w:line="300" w:lineRule="exact"/>
        <w:ind w:left="-850" w:right="-617"/>
        <w:jc w:val="center"/>
        <w:rPr>
          <w:sz w:val="22"/>
          <w:szCs w:val="20"/>
        </w:rPr>
      </w:pPr>
      <w:r w:rsidRPr="008359D5">
        <w:rPr>
          <w:rFonts w:ascii="標楷體" w:eastAsia="標楷體" w:hAnsi="標楷體"/>
          <w:b/>
          <w:bCs/>
          <w:color w:val="000000"/>
          <w:szCs w:val="24"/>
        </w:rPr>
        <w:t>異位性皮膚炎使用生物製劑申請表</w:t>
      </w:r>
    </w:p>
    <w:tbl>
      <w:tblPr>
        <w:tblW w:w="10372" w:type="dxa"/>
        <w:jc w:val="center"/>
        <w:tblCellMar>
          <w:left w:w="10" w:type="dxa"/>
          <w:right w:w="10" w:type="dxa"/>
        </w:tblCellMar>
        <w:tblLook w:val="0000" w:firstRow="0" w:lastRow="0" w:firstColumn="0" w:lastColumn="0" w:noHBand="0" w:noVBand="0"/>
      </w:tblPr>
      <w:tblGrid>
        <w:gridCol w:w="1799"/>
        <w:gridCol w:w="1733"/>
        <w:gridCol w:w="1287"/>
        <w:gridCol w:w="1589"/>
        <w:gridCol w:w="1273"/>
        <w:gridCol w:w="2691"/>
      </w:tblGrid>
      <w:tr w:rsidR="00401786" w14:paraId="36C99BF9" w14:textId="77777777">
        <w:trPr>
          <w:trHeight w:val="270"/>
          <w:jc w:val="center"/>
        </w:trPr>
        <w:tc>
          <w:tcPr>
            <w:tcW w:w="1799"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7D21197"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醫院代號</w:t>
            </w:r>
          </w:p>
        </w:tc>
        <w:tc>
          <w:tcPr>
            <w:tcW w:w="173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F9B6AE" w14:textId="77777777" w:rsidR="00401786" w:rsidRDefault="00401786" w:rsidP="00C44BBD">
            <w:pPr>
              <w:spacing w:before="100" w:line="300" w:lineRule="exact"/>
              <w:rPr>
                <w:rFonts w:ascii="標楷體" w:eastAsia="標楷體" w:hAnsi="標楷體"/>
                <w:color w:val="00000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6E20F78"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醫院名稱</w:t>
            </w:r>
          </w:p>
        </w:tc>
        <w:tc>
          <w:tcPr>
            <w:tcW w:w="15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785BC3" w14:textId="77777777" w:rsidR="00401786" w:rsidRDefault="00401786" w:rsidP="00C44BBD">
            <w:pPr>
              <w:spacing w:before="100" w:line="300" w:lineRule="exact"/>
              <w:rPr>
                <w:rFonts w:ascii="標楷體" w:eastAsia="標楷體" w:hAnsi="標楷體"/>
                <w:color w:val="000000"/>
              </w:rPr>
            </w:pPr>
          </w:p>
        </w:tc>
        <w:tc>
          <w:tcPr>
            <w:tcW w:w="127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9653AB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申請日期</w:t>
            </w:r>
          </w:p>
        </w:tc>
        <w:tc>
          <w:tcPr>
            <w:tcW w:w="2691"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B89F6B0" w14:textId="77777777" w:rsidR="00401786" w:rsidRDefault="00401786" w:rsidP="00C44BBD">
            <w:pPr>
              <w:spacing w:before="100" w:line="300" w:lineRule="exact"/>
              <w:rPr>
                <w:rFonts w:ascii="標楷體" w:eastAsia="標楷體" w:hAnsi="標楷體"/>
                <w:color w:val="000000"/>
              </w:rPr>
            </w:pPr>
          </w:p>
        </w:tc>
      </w:tr>
      <w:tr w:rsidR="00401786" w14:paraId="462B04FF" w14:textId="77777777">
        <w:trPr>
          <w:trHeight w:val="255"/>
          <w:jc w:val="center"/>
        </w:trPr>
        <w:tc>
          <w:tcPr>
            <w:tcW w:w="179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F7177B8"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病人姓名</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0ACCFF"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6735E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性別</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8C45C5" w14:textId="77777777" w:rsidR="00401786" w:rsidRDefault="00401786" w:rsidP="00C44BBD">
            <w:pPr>
              <w:spacing w:before="100" w:line="300" w:lineRule="exact"/>
              <w:rPr>
                <w:rFonts w:ascii="標楷體" w:eastAsia="標楷體" w:hAnsi="標楷體"/>
                <w:color w:val="000000"/>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5D88C3"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出生日期</w:t>
            </w:r>
          </w:p>
        </w:tc>
        <w:tc>
          <w:tcPr>
            <w:tcW w:w="2691"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D544D6D" w14:textId="77777777" w:rsidR="00401786" w:rsidRDefault="00401786" w:rsidP="00C44BBD">
            <w:pPr>
              <w:spacing w:before="100" w:line="300" w:lineRule="exact"/>
              <w:rPr>
                <w:rFonts w:ascii="標楷體" w:eastAsia="標楷體" w:hAnsi="標楷體"/>
                <w:color w:val="000000"/>
              </w:rPr>
            </w:pPr>
          </w:p>
        </w:tc>
      </w:tr>
      <w:tr w:rsidR="00401786" w14:paraId="64FE8DF7" w14:textId="77777777">
        <w:trPr>
          <w:trHeight w:val="255"/>
          <w:jc w:val="center"/>
        </w:trPr>
        <w:tc>
          <w:tcPr>
            <w:tcW w:w="179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B6B7F87"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身分證號</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085687"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EC55E0"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病歷號碼</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A7749A" w14:textId="77777777" w:rsidR="00401786" w:rsidRDefault="00401786" w:rsidP="00C44BBD">
            <w:pPr>
              <w:spacing w:before="100" w:line="300" w:lineRule="exact"/>
              <w:rPr>
                <w:rFonts w:ascii="標楷體" w:eastAsia="標楷體" w:hAnsi="標楷體"/>
                <w:color w:val="000000"/>
              </w:rPr>
            </w:pPr>
          </w:p>
        </w:tc>
        <w:tc>
          <w:tcPr>
            <w:tcW w:w="1273"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C3105F2"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使用期間</w:t>
            </w:r>
          </w:p>
        </w:tc>
        <w:tc>
          <w:tcPr>
            <w:tcW w:w="2691"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FBDF21F"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自　 年 　月　　日</w:t>
            </w:r>
          </w:p>
        </w:tc>
      </w:tr>
      <w:tr w:rsidR="00401786" w14:paraId="1972E8DD" w14:textId="77777777">
        <w:trPr>
          <w:trHeight w:val="240"/>
          <w:jc w:val="center"/>
        </w:trPr>
        <w:tc>
          <w:tcPr>
            <w:tcW w:w="1799"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14991C91"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藥品代碼</w:t>
            </w:r>
          </w:p>
        </w:tc>
        <w:tc>
          <w:tcPr>
            <w:tcW w:w="173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0E9A65D"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EA026C3"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用法用量</w:t>
            </w:r>
          </w:p>
        </w:tc>
        <w:tc>
          <w:tcPr>
            <w:tcW w:w="15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0FBCCAC" w14:textId="77777777" w:rsidR="00401786" w:rsidRDefault="00401786" w:rsidP="00C44BBD">
            <w:pPr>
              <w:spacing w:before="100" w:line="300" w:lineRule="exact"/>
              <w:rPr>
                <w:rFonts w:ascii="標楷體" w:eastAsia="標楷體" w:hAnsi="標楷體"/>
                <w:color w:val="000000"/>
              </w:rPr>
            </w:pPr>
          </w:p>
        </w:tc>
        <w:tc>
          <w:tcPr>
            <w:tcW w:w="1273"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6E7C769" w14:textId="77777777" w:rsidR="00401786" w:rsidRDefault="00401786" w:rsidP="00C44BBD">
            <w:pPr>
              <w:spacing w:line="300" w:lineRule="exact"/>
              <w:rPr>
                <w:rFonts w:ascii="標楷體" w:eastAsia="標楷體" w:hAnsi="標楷體"/>
                <w:color w:val="000000"/>
              </w:rPr>
            </w:pPr>
          </w:p>
        </w:tc>
        <w:tc>
          <w:tcPr>
            <w:tcW w:w="2691"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4D9FAAF"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至　 年 　月　　日</w:t>
            </w:r>
          </w:p>
        </w:tc>
      </w:tr>
    </w:tbl>
    <w:p w14:paraId="685C1F3B" w14:textId="77777777" w:rsidR="00401786" w:rsidRDefault="00401786" w:rsidP="00C44BBD">
      <w:pPr>
        <w:spacing w:line="300" w:lineRule="exact"/>
        <w:rPr>
          <w:rFonts w:ascii="標楷體" w:eastAsia="標楷體" w:hAnsi="標楷體"/>
          <w:color w:val="000000"/>
        </w:rPr>
      </w:pPr>
    </w:p>
    <w:p w14:paraId="3126F612" w14:textId="77777777" w:rsidR="00401786" w:rsidRDefault="00401786" w:rsidP="00C44BBD">
      <w:pPr>
        <w:spacing w:line="300" w:lineRule="exact"/>
        <w:rPr>
          <w:rFonts w:ascii="標楷體" w:eastAsia="標楷體" w:hAnsi="標楷體"/>
          <w:vanish/>
          <w:color w:val="000000"/>
        </w:rPr>
      </w:pPr>
    </w:p>
    <w:tbl>
      <w:tblPr>
        <w:tblW w:w="12075" w:type="dxa"/>
        <w:tblInd w:w="-1829" w:type="dxa"/>
        <w:tblLayout w:type="fixed"/>
        <w:tblCellMar>
          <w:left w:w="10" w:type="dxa"/>
          <w:right w:w="10" w:type="dxa"/>
        </w:tblCellMar>
        <w:tblLook w:val="0000" w:firstRow="0" w:lastRow="0" w:firstColumn="0" w:lastColumn="0" w:noHBand="0" w:noVBand="0"/>
      </w:tblPr>
      <w:tblGrid>
        <w:gridCol w:w="1545"/>
        <w:gridCol w:w="1247"/>
        <w:gridCol w:w="1786"/>
        <w:gridCol w:w="3564"/>
        <w:gridCol w:w="3752"/>
        <w:gridCol w:w="181"/>
      </w:tblGrid>
      <w:tr w:rsidR="00401786" w14:paraId="25DF84A5" w14:textId="77777777">
        <w:tc>
          <w:tcPr>
            <w:tcW w:w="1545" w:type="dxa"/>
            <w:shd w:val="clear" w:color="auto" w:fill="auto"/>
            <w:tcMar>
              <w:top w:w="0" w:type="dxa"/>
              <w:left w:w="0" w:type="dxa"/>
              <w:bottom w:w="0" w:type="dxa"/>
              <w:right w:w="0" w:type="dxa"/>
            </w:tcMar>
          </w:tcPr>
          <w:p w14:paraId="3EBAF000" w14:textId="77777777" w:rsidR="00401786" w:rsidRDefault="00401786" w:rsidP="00C44BBD">
            <w:pPr>
              <w:spacing w:before="100" w:line="300" w:lineRule="exact"/>
              <w:ind w:left="374" w:hanging="374"/>
              <w:rPr>
                <w:rFonts w:ascii="標楷體" w:eastAsia="標楷體" w:hAnsi="標楷體"/>
                <w:color w:val="000000"/>
              </w:rPr>
            </w:pPr>
          </w:p>
        </w:tc>
        <w:tc>
          <w:tcPr>
            <w:tcW w:w="10349"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495F336" w14:textId="77777777" w:rsidR="00401786" w:rsidRDefault="00C64FB3" w:rsidP="00C44BBD">
            <w:pPr>
              <w:spacing w:before="100" w:line="300" w:lineRule="exact"/>
              <w:ind w:left="374" w:hanging="374"/>
            </w:pPr>
            <w:r>
              <w:rPr>
                <w:rFonts w:ascii="標楷體" w:eastAsia="標楷體" w:hAnsi="標楷體"/>
                <w:color w:val="000000"/>
              </w:rPr>
              <w:t xml:space="preserve">□ </w:t>
            </w:r>
            <w:r>
              <w:rPr>
                <w:rFonts w:ascii="標楷體" w:eastAsia="標楷體" w:hAnsi="標楷體"/>
                <w:b/>
                <w:bCs/>
                <w:color w:val="000000"/>
              </w:rPr>
              <w:t>符合外用藥物及一種全身性免疫抑制劑治療無效(治療需3個月的完整療程)之全身慢性中重度之異位性皮膚炎：（定義請參照給付規定）</w:t>
            </w:r>
          </w:p>
          <w:p w14:paraId="27A035D6" w14:textId="77777777" w:rsidR="00401786" w:rsidRDefault="00C64FB3" w:rsidP="00C44BBD">
            <w:pPr>
              <w:spacing w:before="180" w:line="300" w:lineRule="exact"/>
              <w:ind w:left="374" w:hanging="374"/>
            </w:pPr>
            <w:r>
              <w:rPr>
                <w:rFonts w:ascii="標楷體" w:eastAsia="標楷體" w:hAnsi="標楷體"/>
                <w:color w:val="000000"/>
              </w:rPr>
              <w:t xml:space="preserve">□ </w:t>
            </w:r>
            <w:r>
              <w:rPr>
                <w:rFonts w:ascii="標楷體" w:eastAsia="標楷體" w:hAnsi="標楷體"/>
                <w:b/>
                <w:color w:val="000000"/>
              </w:rPr>
              <w:t xml:space="preserve">符合Eczema area severity index (EASI) </w:t>
            </w:r>
            <w:proofErr w:type="gramStart"/>
            <w:r>
              <w:rPr>
                <w:rFonts w:ascii="標楷體" w:eastAsia="標楷體" w:hAnsi="標楷體" w:cs="新細明體"/>
                <w:b/>
                <w:color w:val="000000"/>
              </w:rPr>
              <w:t>≧</w:t>
            </w:r>
            <w:proofErr w:type="gramEnd"/>
            <w:r>
              <w:rPr>
                <w:rFonts w:ascii="標楷體" w:eastAsia="標楷體" w:hAnsi="標楷體" w:cs="新細明體"/>
                <w:b/>
                <w:color w:val="000000"/>
              </w:rPr>
              <w:t>16</w:t>
            </w:r>
            <w:r>
              <w:rPr>
                <w:rFonts w:ascii="標楷體" w:eastAsia="標楷體" w:hAnsi="標楷體"/>
                <w:b/>
                <w:color w:val="000000"/>
              </w:rPr>
              <w:t>且「Investigator</w:t>
            </w:r>
            <w:proofErr w:type="gramStart"/>
            <w:r>
              <w:rPr>
                <w:rFonts w:ascii="標楷體" w:eastAsia="標楷體" w:hAnsi="標楷體"/>
                <w:b/>
                <w:color w:val="000000"/>
              </w:rPr>
              <w:t>’</w:t>
            </w:r>
            <w:proofErr w:type="gramEnd"/>
            <w:r>
              <w:rPr>
                <w:rFonts w:ascii="標楷體" w:eastAsia="標楷體" w:hAnsi="標楷體"/>
                <w:b/>
                <w:color w:val="000000"/>
              </w:rPr>
              <w:t>s Global Assessment (IGA)</w:t>
            </w:r>
            <w:proofErr w:type="gramStart"/>
            <w:r>
              <w:rPr>
                <w:rFonts w:ascii="標楷體" w:eastAsia="標楷體" w:hAnsi="標楷體" w:cs="新細明體"/>
                <w:b/>
                <w:color w:val="000000"/>
              </w:rPr>
              <w:t>≧</w:t>
            </w:r>
            <w:proofErr w:type="gramEnd"/>
            <w:r>
              <w:rPr>
                <w:rFonts w:ascii="標楷體" w:eastAsia="標楷體" w:hAnsi="標楷體" w:cs="新細明體"/>
                <w:b/>
                <w:color w:val="000000"/>
              </w:rPr>
              <w:t>3</w:t>
            </w:r>
            <w:r>
              <w:rPr>
                <w:rFonts w:ascii="標楷體" w:eastAsia="標楷體" w:hAnsi="標楷體"/>
                <w:b/>
                <w:color w:val="000000"/>
              </w:rPr>
              <w:t>」之全身慢性異位性皮膚炎。(檢附至少3個月病歷影本與相關照片，得合併他院就診病歷)</w:t>
            </w:r>
          </w:p>
          <w:p w14:paraId="483E16B4" w14:textId="77777777" w:rsidR="00401786" w:rsidRDefault="00C64FB3" w:rsidP="00C44BBD">
            <w:pPr>
              <w:spacing w:before="180" w:after="180" w:line="300" w:lineRule="exact"/>
              <w:ind w:left="360" w:right="-192" w:firstLine="28"/>
              <w:rPr>
                <w:rFonts w:ascii="標楷體" w:eastAsia="標楷體" w:hAnsi="標楷體"/>
                <w:b/>
                <w:color w:val="000000"/>
              </w:rPr>
            </w:pPr>
            <w:r>
              <w:rPr>
                <w:rFonts w:ascii="標楷體" w:eastAsia="標楷體" w:hAnsi="標楷體"/>
                <w:b/>
                <w:color w:val="000000"/>
              </w:rPr>
              <w:t>外用藥物及全身性免疫抑制劑之名稱、使用</w:t>
            </w:r>
            <w:proofErr w:type="gramStart"/>
            <w:r>
              <w:rPr>
                <w:rFonts w:ascii="標楷體" w:eastAsia="標楷體" w:hAnsi="標楷體"/>
                <w:b/>
                <w:color w:val="000000"/>
              </w:rPr>
              <w:t>期間、</w:t>
            </w:r>
            <w:proofErr w:type="gramEnd"/>
            <w:r>
              <w:rPr>
                <w:rFonts w:ascii="標楷體" w:eastAsia="標楷體" w:hAnsi="標楷體"/>
                <w:b/>
                <w:color w:val="000000"/>
              </w:rPr>
              <w:t>劑量及停用或減量理由 (病人目前體重：___ kg)</w:t>
            </w:r>
          </w:p>
          <w:tbl>
            <w:tblPr>
              <w:tblW w:w="9311" w:type="dxa"/>
              <w:tblInd w:w="360" w:type="dxa"/>
              <w:tblLayout w:type="fixed"/>
              <w:tblCellMar>
                <w:left w:w="10" w:type="dxa"/>
                <w:right w:w="10" w:type="dxa"/>
              </w:tblCellMar>
              <w:tblLook w:val="0000" w:firstRow="0" w:lastRow="0" w:firstColumn="0" w:lastColumn="0" w:noHBand="0" w:noVBand="0"/>
            </w:tblPr>
            <w:tblGrid>
              <w:gridCol w:w="2082"/>
              <w:gridCol w:w="1276"/>
              <w:gridCol w:w="1330"/>
              <w:gridCol w:w="2340"/>
              <w:gridCol w:w="2283"/>
            </w:tblGrid>
            <w:tr w:rsidR="00401786" w14:paraId="3FDC45B2" w14:textId="77777777">
              <w:trPr>
                <w:trHeight w:val="579"/>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F9C791" w14:textId="77777777" w:rsidR="00401786" w:rsidRDefault="00401786" w:rsidP="00C44BBD">
                  <w:pPr>
                    <w:spacing w:line="300" w:lineRule="exact"/>
                    <w:rPr>
                      <w:rFonts w:ascii="標楷體" w:eastAsia="標楷體" w:hAnsi="標楷體"/>
                      <w:color w:val="00000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69C6CA"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藥品名稱</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C074D"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使用劑量</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B0FF98"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使用期間</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4A5643"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停用或減量理由</w:t>
                  </w:r>
                </w:p>
              </w:tc>
            </w:tr>
            <w:tr w:rsidR="00401786" w14:paraId="620B66F4" w14:textId="77777777">
              <w:trPr>
                <w:trHeight w:val="170"/>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6A9329"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Topical corticosteroid</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9C490A" w14:textId="77777777" w:rsidR="00401786" w:rsidRDefault="00401786" w:rsidP="00C44BBD">
                  <w:pPr>
                    <w:spacing w:line="300" w:lineRule="exact"/>
                    <w:rPr>
                      <w:rFonts w:ascii="標楷體" w:eastAsia="標楷體" w:hAnsi="標楷體"/>
                      <w:color w:val="000000"/>
                    </w:rPr>
                  </w:pP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AAC080"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A7D8DC"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___年___月___日至</w:t>
                  </w:r>
                </w:p>
                <w:p w14:paraId="243756CD"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09B901" w14:textId="77777777" w:rsidR="00401786" w:rsidRDefault="00401786" w:rsidP="00C44BBD">
                  <w:pPr>
                    <w:spacing w:line="300" w:lineRule="exact"/>
                    <w:rPr>
                      <w:rFonts w:ascii="標楷體" w:eastAsia="標楷體" w:hAnsi="標楷體"/>
                      <w:color w:val="000000"/>
                    </w:rPr>
                  </w:pPr>
                </w:p>
              </w:tc>
            </w:tr>
            <w:tr w:rsidR="00401786" w14:paraId="7403F2C2" w14:textId="77777777">
              <w:trPr>
                <w:trHeight w:val="170"/>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7987C3"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Topical calcineurin inhibitor</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5A3DF9" w14:textId="77777777" w:rsidR="00401786" w:rsidRDefault="00401786" w:rsidP="00C44BBD">
                  <w:pPr>
                    <w:spacing w:line="300" w:lineRule="exact"/>
                    <w:rPr>
                      <w:rFonts w:ascii="標楷體" w:eastAsia="標楷體" w:hAnsi="標楷體"/>
                      <w:color w:val="000000"/>
                    </w:rPr>
                  </w:pP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085625"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DD975F"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___年___月___日至</w:t>
                  </w:r>
                </w:p>
                <w:p w14:paraId="0A04C765"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6223CA" w14:textId="77777777" w:rsidR="00401786" w:rsidRDefault="00401786" w:rsidP="00C44BBD">
                  <w:pPr>
                    <w:spacing w:line="300" w:lineRule="exact"/>
                    <w:rPr>
                      <w:rFonts w:ascii="標楷體" w:eastAsia="標楷體" w:hAnsi="標楷體"/>
                      <w:color w:val="000000"/>
                    </w:rPr>
                  </w:pPr>
                </w:p>
              </w:tc>
            </w:tr>
            <w:tr w:rsidR="00401786" w14:paraId="5836B853" w14:textId="77777777">
              <w:trPr>
                <w:trHeight w:val="170"/>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84ED3E"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全身性免疫抑制劑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8E4B99" w14:textId="77777777" w:rsidR="00401786" w:rsidRDefault="00401786" w:rsidP="00C44BBD">
                  <w:pPr>
                    <w:spacing w:line="300" w:lineRule="exact"/>
                    <w:rPr>
                      <w:rFonts w:ascii="標楷體" w:eastAsia="標楷體" w:hAnsi="標楷體"/>
                      <w:color w:val="000000"/>
                    </w:rPr>
                  </w:pP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F711E3" w14:textId="77777777" w:rsidR="00401786" w:rsidRDefault="00401786" w:rsidP="00C44BBD">
                  <w:pPr>
                    <w:spacing w:line="300" w:lineRule="exact"/>
                    <w:rPr>
                      <w:rFonts w:ascii="標楷體" w:eastAsia="標楷體" w:hAnsi="標楷體"/>
                      <w:color w:val="000000"/>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75FB1F"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___年___月___日至</w:t>
                  </w:r>
                </w:p>
                <w:p w14:paraId="2F2F9CF2"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A4AABB" w14:textId="77777777" w:rsidR="00401786" w:rsidRDefault="00401786" w:rsidP="00C44BBD">
                  <w:pPr>
                    <w:spacing w:line="300" w:lineRule="exact"/>
                    <w:rPr>
                      <w:rFonts w:ascii="標楷體" w:eastAsia="標楷體" w:hAnsi="標楷體"/>
                      <w:color w:val="000000"/>
                    </w:rPr>
                  </w:pPr>
                </w:p>
              </w:tc>
            </w:tr>
          </w:tbl>
          <w:p w14:paraId="464A33AD" w14:textId="77777777" w:rsidR="00401786" w:rsidRDefault="00C64FB3" w:rsidP="00C44BBD">
            <w:pPr>
              <w:spacing w:before="180" w:line="300" w:lineRule="exact"/>
              <w:ind w:left="845" w:hanging="283"/>
              <w:rPr>
                <w:rFonts w:ascii="標楷體" w:eastAsia="標楷體" w:hAnsi="標楷體"/>
                <w:color w:val="000000"/>
              </w:rPr>
            </w:pPr>
            <w:r>
              <w:rPr>
                <w:rFonts w:ascii="標楷體" w:eastAsia="標楷體" w:hAnsi="標楷體"/>
                <w:color w:val="000000"/>
              </w:rPr>
              <w:t>□患者不曾核准使用治療乾癬之生物製劑，或</w:t>
            </w:r>
            <w:proofErr w:type="gramStart"/>
            <w:r>
              <w:rPr>
                <w:rFonts w:ascii="標楷體" w:eastAsia="標楷體" w:hAnsi="標楷體"/>
                <w:color w:val="000000"/>
              </w:rPr>
              <w:t>曾有乾癬但症狀</w:t>
            </w:r>
            <w:proofErr w:type="gramEnd"/>
            <w:r>
              <w:rPr>
                <w:rFonts w:ascii="標楷體" w:eastAsia="標楷體" w:hAnsi="標楷體"/>
                <w:color w:val="000000"/>
              </w:rPr>
              <w:t>消失已達至少兩年，或申請前已切片排除乾癬診斷，並經皮膚科專科醫師確立目前為異位性皮膚炎診斷。</w:t>
            </w:r>
          </w:p>
          <w:p w14:paraId="27AD406D" w14:textId="77777777" w:rsidR="00401786" w:rsidRDefault="00401786" w:rsidP="00C44BBD">
            <w:pPr>
              <w:tabs>
                <w:tab w:val="left" w:pos="3528"/>
              </w:tabs>
              <w:spacing w:line="300" w:lineRule="exact"/>
              <w:rPr>
                <w:rFonts w:ascii="標楷體" w:eastAsia="標楷體" w:hAnsi="標楷體"/>
                <w:color w:val="000000"/>
              </w:rPr>
            </w:pPr>
          </w:p>
          <w:p w14:paraId="3C8D6180" w14:textId="77777777" w:rsidR="00401786" w:rsidRDefault="00C64FB3" w:rsidP="00C44BBD">
            <w:pPr>
              <w:tabs>
                <w:tab w:val="left" w:pos="9677"/>
              </w:tabs>
              <w:spacing w:line="300" w:lineRule="exact"/>
              <w:ind w:left="879" w:hanging="561"/>
              <w:rPr>
                <w:rFonts w:ascii="標楷體" w:eastAsia="標楷體" w:hAnsi="標楷體"/>
                <w:color w:val="000000"/>
              </w:rPr>
            </w:pPr>
            <w:r>
              <w:rPr>
                <w:rFonts w:ascii="標楷體" w:eastAsia="標楷體" w:hAnsi="標楷體"/>
                <w:color w:val="000000"/>
              </w:rPr>
              <w:t>1.□符合全身慢性中重度之異位性皮膚炎（檢附至少3個月病歷影本，得合併它院就診病歷）。</w:t>
            </w:r>
          </w:p>
          <w:p w14:paraId="16E2456B" w14:textId="77777777" w:rsidR="00401786" w:rsidRDefault="00C64FB3" w:rsidP="00C44BBD">
            <w:pPr>
              <w:tabs>
                <w:tab w:val="left" w:pos="9677"/>
              </w:tabs>
              <w:spacing w:line="300" w:lineRule="exact"/>
              <w:ind w:left="879" w:hanging="561"/>
            </w:pPr>
            <w:r>
              <w:rPr>
                <w:rFonts w:ascii="標楷體" w:eastAsia="標楷體" w:hAnsi="標楷體"/>
                <w:color w:val="000000"/>
              </w:rPr>
              <w:t>2.□異位性皮膚炎面積暨嚴重度指數〔Eczema Area Severity Index〕</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p w14:paraId="018DCC27"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8歲以上兒童：</w:t>
            </w:r>
          </w:p>
          <w:p w14:paraId="37DDA313"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第一次EASI＝0.1*（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4CC5DE81"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5DF5CE8F"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第二次EASI＝0.1*（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3A0219AB"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7D9F872A" w14:textId="77777777" w:rsidR="00401786" w:rsidRDefault="00401786" w:rsidP="00C44BBD">
            <w:pPr>
              <w:spacing w:before="180" w:line="300" w:lineRule="exact"/>
              <w:ind w:left="1345" w:hanging="560"/>
              <w:rPr>
                <w:rFonts w:ascii="標楷體" w:eastAsia="標楷體" w:hAnsi="標楷體"/>
                <w:color w:val="000000"/>
              </w:rPr>
            </w:pPr>
          </w:p>
          <w:p w14:paraId="6C11527D" w14:textId="77777777" w:rsidR="00401786" w:rsidRDefault="00C64FB3" w:rsidP="00C44BBD">
            <w:pPr>
              <w:spacing w:before="180" w:line="300" w:lineRule="exact"/>
              <w:ind w:left="1345" w:hanging="560"/>
              <w:rPr>
                <w:rFonts w:ascii="標楷體" w:eastAsia="標楷體" w:hAnsi="標楷體"/>
                <w:color w:val="000000"/>
              </w:rPr>
            </w:pPr>
            <w:r>
              <w:rPr>
                <w:rFonts w:ascii="標楷體" w:eastAsia="標楷體" w:hAnsi="標楷體"/>
                <w:color w:val="000000"/>
              </w:rPr>
              <w:lastRenderedPageBreak/>
              <w:t>未滿8歲兒童：</w:t>
            </w:r>
          </w:p>
          <w:p w14:paraId="6F96658A"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第一次EASI＝0.2*（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77C26121"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771534E2"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第二次EASI＝0.2*（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039AB2B9"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60C716FB" w14:textId="77777777" w:rsidR="00401786" w:rsidRDefault="00C64FB3" w:rsidP="00C44BBD">
            <w:pPr>
              <w:spacing w:before="180" w:line="300" w:lineRule="exact"/>
              <w:ind w:left="1345" w:hanging="560"/>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：Eczema area severity index (EASI)之異位性皮膚炎面積計算，只含皮膚紅腫濕疹部位，單純的皮膚</w:t>
            </w:r>
            <w:proofErr w:type="gramStart"/>
            <w:r>
              <w:rPr>
                <w:rFonts w:ascii="標楷體" w:eastAsia="標楷體" w:hAnsi="標楷體"/>
                <w:color w:val="000000"/>
              </w:rPr>
              <w:t>乾燥、</w:t>
            </w:r>
            <w:proofErr w:type="gramEnd"/>
            <w:r>
              <w:rPr>
                <w:rFonts w:ascii="標楷體" w:eastAsia="標楷體" w:hAnsi="標楷體"/>
                <w:color w:val="000000"/>
              </w:rPr>
              <w:t>脫皮、抓痕，不可列入計算。</w:t>
            </w:r>
          </w:p>
          <w:p w14:paraId="50C988BA" w14:textId="77777777" w:rsidR="00401786" w:rsidRDefault="00C64FB3" w:rsidP="00C44BBD">
            <w:pPr>
              <w:tabs>
                <w:tab w:val="left" w:pos="345"/>
              </w:tabs>
              <w:spacing w:before="180" w:line="300" w:lineRule="exact"/>
              <w:ind w:left="623" w:hanging="266"/>
            </w:pPr>
            <w:r>
              <w:rPr>
                <w:rFonts w:ascii="標楷體" w:eastAsia="標楷體" w:hAnsi="標楷體"/>
                <w:color w:val="000000"/>
              </w:rPr>
              <w:t>3.□Investigator</w:t>
            </w:r>
            <w:proofErr w:type="gramStart"/>
            <w:r>
              <w:rPr>
                <w:rFonts w:ascii="標楷體" w:eastAsia="標楷體" w:hAnsi="標楷體"/>
                <w:color w:val="000000"/>
              </w:rPr>
              <w:t>’</w:t>
            </w:r>
            <w:proofErr w:type="gramEnd"/>
            <w:r>
              <w:rPr>
                <w:rFonts w:ascii="標楷體" w:eastAsia="標楷體" w:hAnsi="標楷體"/>
                <w:color w:val="000000"/>
              </w:rPr>
              <w:t>s Global Assessment (IGA)</w:t>
            </w:r>
            <w:r>
              <w:rPr>
                <w:rFonts w:eastAsia="標楷體"/>
                <w:color w:val="000000"/>
              </w:rPr>
              <w:t>≥</w:t>
            </w:r>
            <w:r>
              <w:rPr>
                <w:rFonts w:ascii="標楷體" w:eastAsia="標楷體" w:hAnsi="標楷體"/>
                <w:color w:val="000000"/>
              </w:rPr>
              <w:t>3。</w:t>
            </w:r>
          </w:p>
          <w:p w14:paraId="5E8F36D6" w14:textId="77777777" w:rsidR="00401786" w:rsidRDefault="00C64FB3" w:rsidP="00C44BBD">
            <w:pPr>
              <w:spacing w:line="300" w:lineRule="exact"/>
              <w:ind w:left="374" w:hanging="374"/>
            </w:pPr>
            <w:r>
              <w:rPr>
                <w:rFonts w:ascii="標楷體" w:eastAsia="標楷體" w:hAnsi="標楷體"/>
                <w:b/>
                <w:color w:val="000000"/>
              </w:rPr>
              <w:t>□ 暫緩續用後疾病再復發之重新申請：</w:t>
            </w:r>
            <w:r>
              <w:rPr>
                <w:rFonts w:ascii="標楷體" w:eastAsia="標楷體" w:hAnsi="標楷體"/>
                <w:color w:val="000000"/>
              </w:rPr>
              <w:t>（需附上次療程治療前、後，及本次照片）</w:t>
            </w:r>
          </w:p>
          <w:p w14:paraId="3737A5D4" w14:textId="77777777" w:rsidR="00401786" w:rsidRDefault="00C64FB3" w:rsidP="00C44BBD">
            <w:pPr>
              <w:spacing w:line="300" w:lineRule="exact"/>
              <w:ind w:left="623" w:hanging="266"/>
            </w:pPr>
            <w:r>
              <w:rPr>
                <w:rFonts w:ascii="標楷體" w:eastAsia="標楷體" w:hAnsi="標楷體"/>
                <w:color w:val="000000"/>
              </w:rPr>
              <w:t>□ 符合至少有EASI</w:t>
            </w:r>
            <w:proofErr w:type="gramStart"/>
            <w:r>
              <w:rPr>
                <w:rFonts w:ascii="標楷體" w:eastAsia="標楷體" w:hAnsi="標楷體" w:cs="新細明體"/>
                <w:color w:val="000000"/>
              </w:rPr>
              <w:t>≧</w:t>
            </w:r>
            <w:proofErr w:type="gramEnd"/>
            <w:r>
              <w:rPr>
                <w:rFonts w:ascii="標楷體" w:eastAsia="標楷體" w:hAnsi="標楷體"/>
                <w:color w:val="000000"/>
              </w:rPr>
              <w:t>50%復發或EASI</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tc>
        <w:tc>
          <w:tcPr>
            <w:tcW w:w="181" w:type="dxa"/>
            <w:shd w:val="clear" w:color="auto" w:fill="auto"/>
            <w:tcMar>
              <w:top w:w="0" w:type="dxa"/>
              <w:left w:w="10" w:type="dxa"/>
              <w:bottom w:w="0" w:type="dxa"/>
              <w:right w:w="10" w:type="dxa"/>
            </w:tcMar>
          </w:tcPr>
          <w:p w14:paraId="6CE19A0B" w14:textId="77777777" w:rsidR="00401786" w:rsidRDefault="00401786" w:rsidP="00C44BBD">
            <w:pPr>
              <w:spacing w:line="300" w:lineRule="exact"/>
              <w:ind w:left="623" w:hanging="266"/>
              <w:rPr>
                <w:rFonts w:ascii="標楷體" w:eastAsia="標楷體" w:hAnsi="標楷體"/>
              </w:rPr>
            </w:pPr>
          </w:p>
        </w:tc>
      </w:tr>
      <w:tr w:rsidR="00401786" w14:paraId="4B401091" w14:textId="77777777">
        <w:trPr>
          <w:trHeight w:val="6250"/>
        </w:trPr>
        <w:tc>
          <w:tcPr>
            <w:tcW w:w="1545" w:type="dxa"/>
            <w:shd w:val="clear" w:color="auto" w:fill="auto"/>
            <w:tcMar>
              <w:top w:w="0" w:type="dxa"/>
              <w:left w:w="0" w:type="dxa"/>
              <w:bottom w:w="0" w:type="dxa"/>
              <w:right w:w="0" w:type="dxa"/>
            </w:tcMar>
          </w:tcPr>
          <w:p w14:paraId="0AF0701B" w14:textId="77777777" w:rsidR="00401786" w:rsidRDefault="00401786" w:rsidP="00C44BBD">
            <w:pPr>
              <w:spacing w:before="181" w:line="300" w:lineRule="exact"/>
              <w:rPr>
                <w:rFonts w:ascii="標楷體" w:eastAsia="標楷體" w:hAnsi="標楷體"/>
                <w:color w:val="000000"/>
              </w:rPr>
            </w:pPr>
          </w:p>
        </w:tc>
        <w:tc>
          <w:tcPr>
            <w:tcW w:w="10349"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45097E32"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□符合繼續使用之療效評估：</w:t>
            </w:r>
          </w:p>
          <w:p w14:paraId="183B1B75"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初次療程</w:t>
            </w:r>
          </w:p>
          <w:p w14:paraId="2E99226F" w14:textId="77777777" w:rsidR="00401786" w:rsidRDefault="00C64FB3" w:rsidP="00C44BBD">
            <w:pPr>
              <w:spacing w:line="300" w:lineRule="exact"/>
              <w:ind w:left="345"/>
              <w:rPr>
                <w:rFonts w:ascii="標楷體" w:eastAsia="標楷體" w:hAnsi="標楷體"/>
                <w:color w:val="000000"/>
              </w:rPr>
            </w:pPr>
            <w:r>
              <w:rPr>
                <w:rFonts w:ascii="標楷體" w:eastAsia="標楷體" w:hAnsi="標楷體"/>
                <w:color w:val="000000"/>
              </w:rPr>
              <w:t>□ 於初次療程之第16</w:t>
            </w:r>
            <w:proofErr w:type="gramStart"/>
            <w:r>
              <w:rPr>
                <w:rFonts w:ascii="標楷體" w:eastAsia="標楷體" w:hAnsi="標楷體"/>
                <w:color w:val="000000"/>
              </w:rPr>
              <w:t>週</w:t>
            </w:r>
            <w:proofErr w:type="gramEnd"/>
            <w:r>
              <w:rPr>
                <w:rFonts w:ascii="標楷體" w:eastAsia="標楷體" w:hAnsi="標楷體"/>
                <w:color w:val="000000"/>
              </w:rPr>
              <w:t>先行評估時，至少有EASI 50療效，方可使用。</w:t>
            </w:r>
          </w:p>
          <w:p w14:paraId="43CAC860"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重複療程</w:t>
            </w:r>
          </w:p>
          <w:p w14:paraId="5575F2BA"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1.□再次申請時，符合下列條件之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28ED99F8" w14:textId="77777777" w:rsidR="00401786" w:rsidRDefault="00C64FB3" w:rsidP="00C44BBD">
            <w:pPr>
              <w:spacing w:line="300" w:lineRule="exact"/>
              <w:ind w:left="960"/>
            </w:pPr>
            <w:proofErr w:type="spellStart"/>
            <w:r>
              <w:rPr>
                <w:rFonts w:ascii="標楷體" w:eastAsia="標楷體" w:hAnsi="標楷體"/>
                <w:color w:val="000000"/>
              </w:rPr>
              <w:t>i</w:t>
            </w:r>
            <w:proofErr w:type="spellEnd"/>
            <w:r>
              <w:rPr>
                <w:rFonts w:ascii="標楷體" w:eastAsia="標楷體" w:hAnsi="標楷體"/>
                <w:color w:val="000000"/>
              </w:rPr>
              <w:t>.□與初次治療前之療效達EASI 50；</w:t>
            </w:r>
          </w:p>
          <w:p w14:paraId="3E38951D" w14:textId="77777777" w:rsidR="00401786" w:rsidRDefault="00C64FB3" w:rsidP="00C44BBD">
            <w:pPr>
              <w:spacing w:line="300" w:lineRule="exact"/>
              <w:ind w:left="1459" w:hanging="619"/>
            </w:pPr>
            <w:r>
              <w:rPr>
                <w:rFonts w:ascii="標楷體" w:eastAsia="標楷體" w:hAnsi="標楷體"/>
                <w:color w:val="000000"/>
              </w:rPr>
              <w:t>ii.□暫緩續用後至少有50%復發或EASI</w:t>
            </w:r>
            <w:r>
              <w:rPr>
                <w:rFonts w:ascii="標楷體" w:eastAsia="標楷體" w:hAnsi="標楷體" w:cs="新細明體"/>
                <w:color w:val="000000"/>
              </w:rPr>
              <w:t>≧</w:t>
            </w:r>
            <w:r>
              <w:rPr>
                <w:rFonts w:ascii="標楷體" w:eastAsia="標楷體" w:hAnsi="標楷體"/>
                <w:color w:val="000000"/>
              </w:rPr>
              <w:t>16（需附上次療程治療前、後及本次照片）。</w:t>
            </w:r>
          </w:p>
          <w:p w14:paraId="1BBD4118"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2.□上次治療至今病歷影本(至多附3個月)，以及申請日期之臨床照片。</w:t>
            </w:r>
          </w:p>
          <w:p w14:paraId="4676FB1A" w14:textId="77777777" w:rsidR="00401786" w:rsidRDefault="00C64FB3" w:rsidP="00C44BBD">
            <w:pPr>
              <w:spacing w:line="300" w:lineRule="exact"/>
              <w:ind w:left="958"/>
              <w:rPr>
                <w:rFonts w:ascii="標楷體" w:eastAsia="標楷體" w:hAnsi="標楷體"/>
                <w:color w:val="000000"/>
              </w:rPr>
            </w:pPr>
            <w:r>
              <w:rPr>
                <w:rFonts w:ascii="標楷體" w:eastAsia="標楷體" w:hAnsi="標楷體"/>
                <w:color w:val="000000"/>
              </w:rPr>
              <w:t>上次申請之生物製劑dupilumab使用時間及使用劑量：</w:t>
            </w:r>
          </w:p>
          <w:tbl>
            <w:tblPr>
              <w:tblW w:w="8582" w:type="dxa"/>
              <w:tblInd w:w="720" w:type="dxa"/>
              <w:tblLayout w:type="fixed"/>
              <w:tblCellMar>
                <w:left w:w="10" w:type="dxa"/>
                <w:right w:w="10" w:type="dxa"/>
              </w:tblCellMar>
              <w:tblLook w:val="0000" w:firstRow="0" w:lastRow="0" w:firstColumn="0" w:lastColumn="0" w:noHBand="0" w:noVBand="0"/>
            </w:tblPr>
            <w:tblGrid>
              <w:gridCol w:w="2098"/>
              <w:gridCol w:w="2098"/>
              <w:gridCol w:w="2098"/>
              <w:gridCol w:w="2288"/>
            </w:tblGrid>
            <w:tr w:rsidR="00401786" w14:paraId="362706EF"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D8BF5ED"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使用生物製劑</w:t>
                  </w: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D666B00"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使用劑量</w:t>
                  </w: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D23BA0A"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使用時間</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EA4DFB6"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EASI治療前後數值</w:t>
                  </w:r>
                </w:p>
              </w:tc>
            </w:tr>
            <w:tr w:rsidR="00401786" w14:paraId="5A7740B3"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241D30C" w14:textId="77777777" w:rsidR="00401786" w:rsidRDefault="00401786" w:rsidP="00C44BBD">
                  <w:pPr>
                    <w:spacing w:before="100" w:line="300" w:lineRule="exact"/>
                    <w:rPr>
                      <w:rFonts w:ascii="標楷體" w:eastAsia="標楷體" w:hAnsi="標楷體"/>
                      <w:color w:val="000000"/>
                    </w:rPr>
                  </w:pP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24A2D22"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B2268C"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377DC7B7"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6395D0" w14:textId="77777777" w:rsidR="00401786" w:rsidRDefault="00401786" w:rsidP="00C44BBD">
                  <w:pPr>
                    <w:spacing w:before="100" w:line="300" w:lineRule="exact"/>
                    <w:rPr>
                      <w:rFonts w:ascii="標楷體" w:eastAsia="標楷體" w:hAnsi="標楷體"/>
                      <w:color w:val="000000"/>
                    </w:rPr>
                  </w:pPr>
                </w:p>
              </w:tc>
            </w:tr>
            <w:tr w:rsidR="00401786" w14:paraId="2A6C7455"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BFA01D9" w14:textId="77777777" w:rsidR="00401786" w:rsidRDefault="00401786" w:rsidP="00C44BBD">
                  <w:pPr>
                    <w:spacing w:before="100" w:line="300" w:lineRule="exact"/>
                    <w:rPr>
                      <w:rFonts w:ascii="標楷體" w:eastAsia="標楷體" w:hAnsi="標楷體"/>
                      <w:color w:val="000000"/>
                    </w:rPr>
                  </w:pP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125AE1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D953E91"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318E04B6"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0579143" w14:textId="77777777" w:rsidR="00401786" w:rsidRDefault="00401786" w:rsidP="00C44BBD">
                  <w:pPr>
                    <w:spacing w:before="100" w:line="300" w:lineRule="exact"/>
                    <w:rPr>
                      <w:rFonts w:ascii="標楷體" w:eastAsia="標楷體" w:hAnsi="標楷體"/>
                      <w:color w:val="000000"/>
                    </w:rPr>
                  </w:pPr>
                </w:p>
              </w:tc>
            </w:tr>
            <w:tr w:rsidR="00401786" w14:paraId="01139A47"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DB7B52D" w14:textId="77777777" w:rsidR="00401786" w:rsidRDefault="00401786" w:rsidP="00C44BBD">
                  <w:pPr>
                    <w:spacing w:before="100" w:line="300" w:lineRule="exact"/>
                    <w:rPr>
                      <w:rFonts w:ascii="標楷體" w:eastAsia="標楷體" w:hAnsi="標楷體"/>
                      <w:color w:val="000000"/>
                    </w:rPr>
                  </w:pP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BAE4016"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6DD636F"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063C7231"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__年__月__日</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F5859C" w14:textId="77777777" w:rsidR="00401786" w:rsidRDefault="00401786" w:rsidP="00C44BBD">
                  <w:pPr>
                    <w:spacing w:before="100" w:line="300" w:lineRule="exact"/>
                    <w:rPr>
                      <w:rFonts w:ascii="標楷體" w:eastAsia="標楷體" w:hAnsi="標楷體"/>
                      <w:color w:val="000000"/>
                    </w:rPr>
                  </w:pPr>
                </w:p>
              </w:tc>
            </w:tr>
          </w:tbl>
          <w:p w14:paraId="681238C8" w14:textId="77777777" w:rsidR="00401786" w:rsidRDefault="00401786" w:rsidP="00C44BBD">
            <w:pPr>
              <w:spacing w:before="100" w:line="300" w:lineRule="exact"/>
              <w:rPr>
                <w:rFonts w:ascii="標楷體" w:eastAsia="標楷體" w:hAnsi="標楷體"/>
                <w:color w:val="000000"/>
              </w:rPr>
            </w:pPr>
          </w:p>
        </w:tc>
        <w:tc>
          <w:tcPr>
            <w:tcW w:w="181" w:type="dxa"/>
            <w:shd w:val="clear" w:color="auto" w:fill="auto"/>
            <w:tcMar>
              <w:top w:w="0" w:type="dxa"/>
              <w:left w:w="0" w:type="dxa"/>
              <w:bottom w:w="0" w:type="dxa"/>
              <w:right w:w="0" w:type="dxa"/>
            </w:tcMar>
          </w:tcPr>
          <w:p w14:paraId="1E194A32" w14:textId="77777777" w:rsidR="00401786" w:rsidRDefault="00401786" w:rsidP="00C44BBD">
            <w:pPr>
              <w:spacing w:before="100" w:line="300" w:lineRule="exact"/>
              <w:ind w:left="340"/>
              <w:rPr>
                <w:rFonts w:ascii="標楷體" w:eastAsia="標楷體" w:hAnsi="標楷體"/>
                <w:color w:val="000000"/>
              </w:rPr>
            </w:pPr>
          </w:p>
        </w:tc>
      </w:tr>
      <w:tr w:rsidR="00401786" w14:paraId="6E48D588" w14:textId="77777777">
        <w:trPr>
          <w:trHeight w:val="636"/>
        </w:trPr>
        <w:tc>
          <w:tcPr>
            <w:tcW w:w="1545" w:type="dxa"/>
            <w:shd w:val="clear" w:color="auto" w:fill="auto"/>
            <w:tcMar>
              <w:top w:w="0" w:type="dxa"/>
              <w:left w:w="0" w:type="dxa"/>
              <w:bottom w:w="0" w:type="dxa"/>
              <w:right w:w="0" w:type="dxa"/>
            </w:tcMar>
          </w:tcPr>
          <w:p w14:paraId="73C8718D" w14:textId="77777777" w:rsidR="00401786" w:rsidRDefault="00401786" w:rsidP="00C44BBD">
            <w:pPr>
              <w:spacing w:before="100" w:line="300" w:lineRule="exact"/>
              <w:ind w:left="119"/>
              <w:rPr>
                <w:rFonts w:ascii="標楷體" w:eastAsia="標楷體" w:hAnsi="標楷體"/>
                <w:color w:val="000000"/>
              </w:rPr>
            </w:pPr>
          </w:p>
        </w:tc>
        <w:tc>
          <w:tcPr>
            <w:tcW w:w="10349"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6BB9171F"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□符合「需排除或停止使用之情形」</w:t>
            </w:r>
          </w:p>
        </w:tc>
        <w:tc>
          <w:tcPr>
            <w:tcW w:w="181" w:type="dxa"/>
            <w:shd w:val="clear" w:color="auto" w:fill="auto"/>
            <w:tcMar>
              <w:top w:w="0" w:type="dxa"/>
              <w:left w:w="0" w:type="dxa"/>
              <w:bottom w:w="0" w:type="dxa"/>
              <w:right w:w="0" w:type="dxa"/>
            </w:tcMar>
          </w:tcPr>
          <w:p w14:paraId="36B8E57E" w14:textId="77777777" w:rsidR="00401786" w:rsidRDefault="00401786" w:rsidP="00C44BBD">
            <w:pPr>
              <w:spacing w:before="100" w:line="300" w:lineRule="exact"/>
              <w:ind w:left="119"/>
              <w:rPr>
                <w:rFonts w:ascii="標楷體" w:eastAsia="標楷體" w:hAnsi="標楷體"/>
                <w:color w:val="000000"/>
              </w:rPr>
            </w:pPr>
          </w:p>
        </w:tc>
      </w:tr>
      <w:tr w:rsidR="00401786" w14:paraId="23043A06" w14:textId="77777777">
        <w:trPr>
          <w:trHeight w:val="414"/>
        </w:trPr>
        <w:tc>
          <w:tcPr>
            <w:tcW w:w="1545" w:type="dxa"/>
            <w:shd w:val="clear" w:color="auto" w:fill="auto"/>
            <w:tcMar>
              <w:top w:w="0" w:type="dxa"/>
              <w:left w:w="0" w:type="dxa"/>
              <w:bottom w:w="0" w:type="dxa"/>
              <w:right w:w="0" w:type="dxa"/>
            </w:tcMar>
          </w:tcPr>
          <w:p w14:paraId="7B34BC89" w14:textId="77777777" w:rsidR="00401786" w:rsidRDefault="00401786" w:rsidP="00C44BBD">
            <w:pPr>
              <w:spacing w:before="100" w:line="300" w:lineRule="exact"/>
              <w:rPr>
                <w:rFonts w:ascii="標楷體" w:eastAsia="標楷體" w:hAnsi="標楷體"/>
                <w:color w:val="000000"/>
              </w:rPr>
            </w:pPr>
          </w:p>
        </w:tc>
        <w:tc>
          <w:tcPr>
            <w:tcW w:w="1247"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3131D6F8" w14:textId="77777777" w:rsidR="00401786" w:rsidRDefault="00401786" w:rsidP="00C44BBD">
            <w:pPr>
              <w:spacing w:before="181" w:line="300" w:lineRule="exact"/>
              <w:rPr>
                <w:rFonts w:ascii="標楷體" w:eastAsia="標楷體" w:hAnsi="標楷體"/>
                <w:color w:val="000000"/>
              </w:rPr>
            </w:pPr>
          </w:p>
        </w:tc>
        <w:tc>
          <w:tcPr>
            <w:tcW w:w="1786"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6010C407"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7E3D3BDF"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E2ED978"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患惡性腫瘤或為癌前狀態。</w:t>
            </w:r>
          </w:p>
        </w:tc>
        <w:tc>
          <w:tcPr>
            <w:tcW w:w="181" w:type="dxa"/>
            <w:shd w:val="clear" w:color="auto" w:fill="auto"/>
            <w:tcMar>
              <w:top w:w="0" w:type="dxa"/>
              <w:left w:w="0" w:type="dxa"/>
              <w:bottom w:w="0" w:type="dxa"/>
              <w:right w:w="0" w:type="dxa"/>
            </w:tcMar>
          </w:tcPr>
          <w:p w14:paraId="36598305" w14:textId="77777777" w:rsidR="00401786" w:rsidRDefault="00401786" w:rsidP="00C44BBD">
            <w:pPr>
              <w:spacing w:before="100" w:line="300" w:lineRule="exact"/>
              <w:rPr>
                <w:rFonts w:ascii="標楷體" w:eastAsia="標楷體" w:hAnsi="標楷體"/>
                <w:color w:val="000000"/>
              </w:rPr>
            </w:pPr>
          </w:p>
        </w:tc>
      </w:tr>
      <w:tr w:rsidR="00401786" w14:paraId="7435214F" w14:textId="77777777">
        <w:trPr>
          <w:trHeight w:val="360"/>
        </w:trPr>
        <w:tc>
          <w:tcPr>
            <w:tcW w:w="1545" w:type="dxa"/>
            <w:shd w:val="clear" w:color="auto" w:fill="auto"/>
            <w:tcMar>
              <w:top w:w="0" w:type="dxa"/>
              <w:left w:w="0" w:type="dxa"/>
              <w:bottom w:w="0" w:type="dxa"/>
              <w:right w:w="0" w:type="dxa"/>
            </w:tcMar>
          </w:tcPr>
          <w:p w14:paraId="7432BE89" w14:textId="77777777" w:rsidR="00401786" w:rsidRDefault="00401786" w:rsidP="00C44BBD">
            <w:pPr>
              <w:spacing w:before="100" w:line="300" w:lineRule="exact"/>
              <w:rPr>
                <w:rFonts w:ascii="標楷體" w:eastAsia="標楷體" w:hAnsi="標楷體"/>
                <w:color w:val="000000"/>
              </w:rPr>
            </w:pPr>
          </w:p>
        </w:tc>
        <w:tc>
          <w:tcPr>
            <w:tcW w:w="1247"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59C47D1D" w14:textId="77777777" w:rsidR="00401786" w:rsidRDefault="00401786" w:rsidP="00C44BBD">
            <w:pPr>
              <w:spacing w:before="181" w:line="300" w:lineRule="exact"/>
              <w:rPr>
                <w:rFonts w:ascii="標楷體" w:eastAsia="標楷體" w:hAnsi="標楷體"/>
                <w:color w:val="000000"/>
              </w:rPr>
            </w:pPr>
          </w:p>
        </w:tc>
        <w:tc>
          <w:tcPr>
            <w:tcW w:w="1786"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62009860"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4BE288B8"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CA3DF9F"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患寄生蟲 (蠕蟲) 感染。</w:t>
            </w:r>
          </w:p>
        </w:tc>
        <w:tc>
          <w:tcPr>
            <w:tcW w:w="181" w:type="dxa"/>
            <w:shd w:val="clear" w:color="auto" w:fill="auto"/>
            <w:tcMar>
              <w:top w:w="0" w:type="dxa"/>
              <w:left w:w="0" w:type="dxa"/>
              <w:bottom w:w="0" w:type="dxa"/>
              <w:right w:w="0" w:type="dxa"/>
            </w:tcMar>
          </w:tcPr>
          <w:p w14:paraId="45C6BC5D" w14:textId="77777777" w:rsidR="00401786" w:rsidRDefault="00401786" w:rsidP="00C44BBD">
            <w:pPr>
              <w:spacing w:before="100" w:line="300" w:lineRule="exact"/>
              <w:rPr>
                <w:rFonts w:ascii="標楷體" w:eastAsia="標楷體" w:hAnsi="標楷體"/>
                <w:color w:val="000000"/>
              </w:rPr>
            </w:pPr>
          </w:p>
        </w:tc>
      </w:tr>
      <w:tr w:rsidR="00401786" w14:paraId="45EE67AB" w14:textId="77777777">
        <w:trPr>
          <w:trHeight w:val="622"/>
        </w:trPr>
        <w:tc>
          <w:tcPr>
            <w:tcW w:w="1545" w:type="dxa"/>
            <w:shd w:val="clear" w:color="auto" w:fill="auto"/>
            <w:tcMar>
              <w:top w:w="0" w:type="dxa"/>
              <w:left w:w="0" w:type="dxa"/>
              <w:bottom w:w="0" w:type="dxa"/>
              <w:right w:w="0" w:type="dxa"/>
            </w:tcMar>
          </w:tcPr>
          <w:p w14:paraId="354BD89F" w14:textId="77777777" w:rsidR="00401786" w:rsidRDefault="00401786" w:rsidP="00C44BBD">
            <w:pPr>
              <w:spacing w:before="100" w:line="300" w:lineRule="exact"/>
              <w:rPr>
                <w:rFonts w:ascii="標楷體" w:eastAsia="標楷體" w:hAnsi="標楷體"/>
                <w:color w:val="000000"/>
              </w:rPr>
            </w:pPr>
          </w:p>
        </w:tc>
        <w:tc>
          <w:tcPr>
            <w:tcW w:w="10349" w:type="dxa"/>
            <w:gridSpan w:val="4"/>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9C22E98"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□符合「需暫緩續用之情形」</w:t>
            </w:r>
          </w:p>
        </w:tc>
        <w:tc>
          <w:tcPr>
            <w:tcW w:w="181" w:type="dxa"/>
            <w:shd w:val="clear" w:color="auto" w:fill="auto"/>
            <w:tcMar>
              <w:top w:w="0" w:type="dxa"/>
              <w:left w:w="0" w:type="dxa"/>
              <w:bottom w:w="0" w:type="dxa"/>
              <w:right w:w="0" w:type="dxa"/>
            </w:tcMar>
          </w:tcPr>
          <w:p w14:paraId="69824719" w14:textId="77777777" w:rsidR="00401786" w:rsidRDefault="00401786" w:rsidP="00C44BBD">
            <w:pPr>
              <w:spacing w:before="100" w:line="300" w:lineRule="exact"/>
              <w:rPr>
                <w:rFonts w:ascii="標楷體" w:eastAsia="標楷體" w:hAnsi="標楷體"/>
                <w:color w:val="000000"/>
              </w:rPr>
            </w:pPr>
          </w:p>
        </w:tc>
      </w:tr>
      <w:tr w:rsidR="00401786" w14:paraId="638C1C2A" w14:textId="77777777">
        <w:trPr>
          <w:trHeight w:val="795"/>
        </w:trPr>
        <w:tc>
          <w:tcPr>
            <w:tcW w:w="1545" w:type="dxa"/>
            <w:shd w:val="clear" w:color="auto" w:fill="auto"/>
            <w:tcMar>
              <w:top w:w="0" w:type="dxa"/>
              <w:left w:w="0" w:type="dxa"/>
              <w:bottom w:w="0" w:type="dxa"/>
              <w:right w:w="0" w:type="dxa"/>
            </w:tcMar>
          </w:tcPr>
          <w:p w14:paraId="660BDFF0" w14:textId="77777777" w:rsidR="00401786" w:rsidRDefault="00401786" w:rsidP="00C44BBD">
            <w:pPr>
              <w:spacing w:before="100" w:line="300" w:lineRule="exact"/>
              <w:rPr>
                <w:rFonts w:ascii="標楷體" w:eastAsia="標楷體" w:hAnsi="標楷體"/>
                <w:color w:val="000000"/>
              </w:rPr>
            </w:pPr>
          </w:p>
        </w:tc>
        <w:tc>
          <w:tcPr>
            <w:tcW w:w="1247" w:type="dxa"/>
            <w:tcBorders>
              <w:top w:val="single" w:sz="6" w:space="0" w:color="000000"/>
              <w:left w:val="double" w:sz="4" w:space="0" w:color="000000"/>
              <w:bottom w:val="double" w:sz="4" w:space="0" w:color="000000"/>
            </w:tcBorders>
            <w:shd w:val="clear" w:color="auto" w:fill="auto"/>
            <w:tcMar>
              <w:top w:w="0" w:type="dxa"/>
              <w:left w:w="28" w:type="dxa"/>
              <w:bottom w:w="0" w:type="dxa"/>
              <w:right w:w="0" w:type="dxa"/>
            </w:tcMar>
            <w:vAlign w:val="center"/>
          </w:tcPr>
          <w:p w14:paraId="709AEBB4" w14:textId="77777777" w:rsidR="00401786" w:rsidRDefault="00401786" w:rsidP="00C44BBD">
            <w:pPr>
              <w:spacing w:before="181" w:line="300" w:lineRule="exact"/>
              <w:rPr>
                <w:rFonts w:ascii="標楷體" w:eastAsia="標楷體" w:hAnsi="標楷體"/>
                <w:color w:val="000000"/>
              </w:rPr>
            </w:pPr>
          </w:p>
        </w:tc>
        <w:tc>
          <w:tcPr>
            <w:tcW w:w="1786" w:type="dxa"/>
            <w:tcBorders>
              <w:top w:val="single" w:sz="6" w:space="0" w:color="000000"/>
              <w:bottom w:val="double" w:sz="4" w:space="0" w:color="000000"/>
              <w:right w:val="single" w:sz="6" w:space="0" w:color="000000"/>
            </w:tcBorders>
            <w:shd w:val="clear" w:color="auto" w:fill="auto"/>
            <w:tcMar>
              <w:top w:w="0" w:type="dxa"/>
              <w:left w:w="0" w:type="dxa"/>
              <w:bottom w:w="0" w:type="dxa"/>
              <w:right w:w="28" w:type="dxa"/>
            </w:tcMar>
            <w:vAlign w:val="center"/>
          </w:tcPr>
          <w:p w14:paraId="0251395A"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□是</w:t>
            </w:r>
          </w:p>
          <w:p w14:paraId="0111E6F9" w14:textId="77777777" w:rsidR="00401786" w:rsidRDefault="00C64FB3" w:rsidP="00C44BBD">
            <w:pPr>
              <w:spacing w:before="120" w:line="300" w:lineRule="exact"/>
              <w:rPr>
                <w:rFonts w:ascii="標楷體" w:eastAsia="標楷體" w:hAnsi="標楷體"/>
                <w:color w:val="000000"/>
              </w:rPr>
            </w:pPr>
            <w:proofErr w:type="gramStart"/>
            <w:r>
              <w:rPr>
                <w:rFonts w:ascii="標楷體" w:eastAsia="標楷體" w:hAnsi="標楷體"/>
                <w:color w:val="000000"/>
              </w:rPr>
              <w:t>□否</w:t>
            </w:r>
            <w:proofErr w:type="gramEnd"/>
          </w:p>
        </w:tc>
        <w:tc>
          <w:tcPr>
            <w:tcW w:w="7316"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6D6978E" w14:textId="77777777" w:rsidR="00401786" w:rsidRDefault="00C64FB3" w:rsidP="00C44BBD">
            <w:pPr>
              <w:spacing w:before="181" w:line="300" w:lineRule="exact"/>
            </w:pPr>
            <w:r>
              <w:rPr>
                <w:rFonts w:ascii="標楷體" w:eastAsia="標楷體" w:hAnsi="標楷體"/>
                <w:color w:val="000000"/>
              </w:rPr>
              <w:t>1.</w:t>
            </w:r>
            <w:r>
              <w:rPr>
                <w:rFonts w:ascii="標楷體" w:eastAsia="標楷體" w:hAnsi="標楷體" w:cs="新細明體"/>
                <w:color w:val="000000"/>
              </w:rPr>
              <w:t>使用生物製劑治療滿1年後，符合EASI&lt;16</w:t>
            </w:r>
          </w:p>
          <w:p w14:paraId="1180FCCC" w14:textId="77777777" w:rsidR="00401786" w:rsidRDefault="00C64FB3" w:rsidP="00C44BBD">
            <w:pPr>
              <w:spacing w:before="181" w:line="300" w:lineRule="exact"/>
            </w:pPr>
            <w:r>
              <w:rPr>
                <w:rFonts w:ascii="標楷體" w:eastAsia="標楷體" w:hAnsi="標楷體"/>
                <w:color w:val="000000"/>
              </w:rPr>
              <w:t>2.</w:t>
            </w:r>
            <w:r>
              <w:rPr>
                <w:rFonts w:ascii="標楷體" w:eastAsia="標楷體" w:hAnsi="標楷體" w:cs="新細明體"/>
                <w:color w:val="000000"/>
              </w:rPr>
              <w:t>使用生物製劑治療和初次治療前相比EASI改善未達50%</w:t>
            </w:r>
          </w:p>
        </w:tc>
        <w:tc>
          <w:tcPr>
            <w:tcW w:w="181" w:type="dxa"/>
            <w:shd w:val="clear" w:color="auto" w:fill="auto"/>
            <w:tcMar>
              <w:top w:w="0" w:type="dxa"/>
              <w:left w:w="0" w:type="dxa"/>
              <w:bottom w:w="0" w:type="dxa"/>
              <w:right w:w="0" w:type="dxa"/>
            </w:tcMar>
          </w:tcPr>
          <w:p w14:paraId="1C6ED91E" w14:textId="77777777" w:rsidR="00401786" w:rsidRDefault="00401786" w:rsidP="00C44BBD">
            <w:pPr>
              <w:spacing w:before="100" w:line="300" w:lineRule="exact"/>
              <w:rPr>
                <w:rFonts w:ascii="標楷體" w:eastAsia="標楷體" w:hAnsi="標楷體"/>
                <w:color w:val="000000"/>
              </w:rPr>
            </w:pPr>
          </w:p>
        </w:tc>
      </w:tr>
      <w:tr w:rsidR="00401786" w14:paraId="670B9FCC" w14:textId="77777777">
        <w:trPr>
          <w:trHeight w:val="1005"/>
        </w:trPr>
        <w:tc>
          <w:tcPr>
            <w:tcW w:w="1545" w:type="dxa"/>
            <w:shd w:val="clear" w:color="auto" w:fill="auto"/>
            <w:tcMar>
              <w:top w:w="0" w:type="dxa"/>
              <w:left w:w="0" w:type="dxa"/>
              <w:bottom w:w="0" w:type="dxa"/>
              <w:right w:w="0" w:type="dxa"/>
            </w:tcMar>
          </w:tcPr>
          <w:p w14:paraId="11216BA9" w14:textId="77777777" w:rsidR="00401786" w:rsidRDefault="00401786" w:rsidP="00C44BBD">
            <w:pPr>
              <w:spacing w:before="100" w:line="300" w:lineRule="exact"/>
              <w:rPr>
                <w:rFonts w:ascii="標楷體" w:eastAsia="標楷體" w:hAnsi="標楷體"/>
                <w:color w:val="000000"/>
              </w:rPr>
            </w:pPr>
          </w:p>
        </w:tc>
        <w:tc>
          <w:tcPr>
            <w:tcW w:w="6597" w:type="dxa"/>
            <w:gridSpan w:val="3"/>
            <w:shd w:val="clear" w:color="auto" w:fill="auto"/>
            <w:tcMar>
              <w:top w:w="0" w:type="dxa"/>
              <w:left w:w="0" w:type="dxa"/>
              <w:bottom w:w="0" w:type="dxa"/>
              <w:right w:w="0" w:type="dxa"/>
            </w:tcMar>
          </w:tcPr>
          <w:p w14:paraId="4A2BFFDF" w14:textId="77777777" w:rsidR="00401786" w:rsidRDefault="00C64FB3" w:rsidP="00C44BBD">
            <w:pPr>
              <w:spacing w:before="100" w:line="300" w:lineRule="exact"/>
            </w:pPr>
            <w:r>
              <w:rPr>
                <w:rFonts w:ascii="標楷體" w:eastAsia="標楷體" w:hAnsi="標楷體"/>
                <w:color w:val="000000"/>
              </w:rPr>
              <w:t xml:space="preserve">申請醫師（簽名蓋章）：　　　　　　　 </w:t>
            </w:r>
          </w:p>
          <w:p w14:paraId="1503E0CF" w14:textId="77777777" w:rsidR="00401786" w:rsidRDefault="00C64FB3" w:rsidP="00C44BBD">
            <w:pPr>
              <w:spacing w:before="100" w:line="300" w:lineRule="exact"/>
            </w:pPr>
            <w:r>
              <w:rPr>
                <w:rFonts w:ascii="標楷體" w:eastAsia="標楷體" w:hAnsi="標楷體"/>
                <w:color w:val="000000"/>
              </w:rPr>
              <w:t>專科醫師證書：  專字第　　　　 　 號</w:t>
            </w:r>
          </w:p>
        </w:tc>
        <w:tc>
          <w:tcPr>
            <w:tcW w:w="3752" w:type="dxa"/>
            <w:shd w:val="clear" w:color="auto" w:fill="auto"/>
            <w:tcMar>
              <w:top w:w="0" w:type="dxa"/>
              <w:left w:w="0" w:type="dxa"/>
              <w:bottom w:w="0" w:type="dxa"/>
              <w:right w:w="0" w:type="dxa"/>
            </w:tcMar>
          </w:tcPr>
          <w:p w14:paraId="50D43406" w14:textId="77777777" w:rsidR="00401786" w:rsidRDefault="00C64FB3" w:rsidP="00C44BBD">
            <w:pPr>
              <w:spacing w:before="100" w:line="300" w:lineRule="exact"/>
            </w:pPr>
            <w:proofErr w:type="gramStart"/>
            <w:r>
              <w:rPr>
                <w:rFonts w:ascii="標楷體" w:eastAsia="標楷體" w:hAnsi="標楷體"/>
                <w:color w:val="000000"/>
              </w:rPr>
              <w:t>醫</w:t>
            </w:r>
            <w:proofErr w:type="gramEnd"/>
            <w:r>
              <w:rPr>
                <w:rFonts w:ascii="標楷體" w:eastAsia="標楷體" w:hAnsi="標楷體"/>
                <w:color w:val="000000"/>
              </w:rPr>
              <w:t>事機構章戳：</w:t>
            </w:r>
          </w:p>
        </w:tc>
        <w:tc>
          <w:tcPr>
            <w:tcW w:w="181" w:type="dxa"/>
            <w:shd w:val="clear" w:color="auto" w:fill="auto"/>
            <w:tcMar>
              <w:top w:w="0" w:type="dxa"/>
              <w:left w:w="0" w:type="dxa"/>
              <w:bottom w:w="0" w:type="dxa"/>
              <w:right w:w="0" w:type="dxa"/>
            </w:tcMar>
          </w:tcPr>
          <w:p w14:paraId="77DCA750" w14:textId="77777777" w:rsidR="00401786" w:rsidRDefault="00401786" w:rsidP="00C44BBD">
            <w:pPr>
              <w:spacing w:before="100" w:line="300" w:lineRule="exact"/>
              <w:rPr>
                <w:rFonts w:ascii="標楷體" w:eastAsia="標楷體" w:hAnsi="標楷體"/>
                <w:color w:val="000000"/>
              </w:rPr>
            </w:pPr>
          </w:p>
        </w:tc>
      </w:tr>
    </w:tbl>
    <w:p w14:paraId="43FE3924" w14:textId="77777777" w:rsidR="0016529A" w:rsidRDefault="0016529A" w:rsidP="00C44BBD">
      <w:pPr>
        <w:spacing w:line="300" w:lineRule="exact"/>
        <w:sectPr w:rsidR="0016529A">
          <w:pgSz w:w="11906" w:h="16838"/>
          <w:pgMar w:top="1077" w:right="1077" w:bottom="1077" w:left="1077" w:header="720" w:footer="720" w:gutter="0"/>
          <w:cols w:space="720"/>
          <w:docGrid w:type="lines" w:linePitch="810"/>
        </w:sectPr>
      </w:pPr>
    </w:p>
    <w:p w14:paraId="0AE2E05D" w14:textId="5FF8D0DC" w:rsidR="00401786" w:rsidRPr="008359D5" w:rsidRDefault="00C64FB3" w:rsidP="00C44BBD">
      <w:pPr>
        <w:spacing w:line="300" w:lineRule="exact"/>
        <w:ind w:left="670" w:hanging="708"/>
        <w:rPr>
          <w:rFonts w:ascii="標楷體" w:eastAsia="標楷體" w:hAnsi="標楷體"/>
          <w:b/>
          <w:bCs/>
        </w:rPr>
      </w:pPr>
      <w:r w:rsidRPr="008359D5">
        <w:rPr>
          <w:rStyle w:val="15"/>
          <w:rFonts w:ascii="標楷體" w:eastAsia="標楷體" w:hAnsi="標楷體"/>
          <w:b/>
          <w:bCs/>
          <w:sz w:val="28"/>
          <w:szCs w:val="28"/>
        </w:rPr>
        <w:lastRenderedPageBreak/>
        <w:t>附表三十三 全民健康保險遺傳性血管性水腫患者使用</w:t>
      </w:r>
      <w:proofErr w:type="spellStart"/>
      <w:r w:rsidRPr="008359D5">
        <w:rPr>
          <w:rStyle w:val="15"/>
          <w:rFonts w:ascii="標楷體" w:eastAsia="標楷體" w:hAnsi="標楷體"/>
          <w:b/>
          <w:bCs/>
          <w:sz w:val="28"/>
          <w:szCs w:val="28"/>
        </w:rPr>
        <w:t>Icatibant</w:t>
      </w:r>
      <w:proofErr w:type="spellEnd"/>
      <w:r w:rsidRPr="008359D5">
        <w:rPr>
          <w:rStyle w:val="15"/>
          <w:rFonts w:ascii="標楷體" w:eastAsia="標楷體" w:hAnsi="標楷體"/>
          <w:b/>
          <w:bCs/>
          <w:sz w:val="28"/>
          <w:szCs w:val="28"/>
          <w:u w:val="single"/>
        </w:rPr>
        <w:t>/</w:t>
      </w:r>
      <w:r w:rsidRPr="008359D5">
        <w:rPr>
          <w:rFonts w:ascii="標楷體" w:eastAsia="標楷體" w:hAnsi="標楷體"/>
          <w:b/>
          <w:bCs/>
          <w:sz w:val="28"/>
          <w:szCs w:val="28"/>
          <w:u w:val="single"/>
        </w:rPr>
        <w:t>Human C1 esterase inhibitor</w:t>
      </w:r>
      <w:r w:rsidRPr="008359D5">
        <w:rPr>
          <w:rStyle w:val="15"/>
          <w:rFonts w:ascii="標楷體" w:eastAsia="標楷體" w:hAnsi="標楷體"/>
          <w:b/>
          <w:bCs/>
          <w:sz w:val="28"/>
          <w:szCs w:val="28"/>
        </w:rPr>
        <w:t>治療紀錄表</w:t>
      </w:r>
    </w:p>
    <w:p w14:paraId="3CC611CC" w14:textId="77777777" w:rsidR="00401786" w:rsidRPr="00C44BBD" w:rsidRDefault="00401786" w:rsidP="00C44BBD">
      <w:pPr>
        <w:spacing w:line="300" w:lineRule="exact"/>
        <w:jc w:val="center"/>
        <w:rPr>
          <w:rFonts w:ascii="標楷體" w:eastAsia="標楷體" w:hAnsi="標楷體"/>
          <w:sz w:val="36"/>
          <w:szCs w:val="36"/>
        </w:rPr>
      </w:pPr>
    </w:p>
    <w:p w14:paraId="15A599ED" w14:textId="77777777" w:rsidR="00401786" w:rsidRPr="00C44BBD" w:rsidRDefault="00C64FB3" w:rsidP="00C44BBD">
      <w:pPr>
        <w:pStyle w:val="14"/>
        <w:spacing w:line="300" w:lineRule="exact"/>
        <w:rPr>
          <w:rFonts w:ascii="標楷體" w:eastAsia="標楷體" w:hAnsi="標楷體"/>
        </w:rPr>
      </w:pPr>
      <w:r w:rsidRPr="00C44BBD">
        <w:rPr>
          <w:rStyle w:val="15"/>
          <w:rFonts w:ascii="標楷體" w:eastAsia="標楷體" w:hAnsi="標楷體"/>
        </w:rPr>
        <w:t>姓名：</w:t>
      </w:r>
      <w:r w:rsidRPr="00C44BBD">
        <w:rPr>
          <w:rStyle w:val="15"/>
          <w:rFonts w:ascii="標楷體" w:eastAsia="標楷體" w:hAnsi="標楷體"/>
          <w:u w:val="single"/>
        </w:rPr>
        <w:t xml:space="preserve">　　　　　　　</w:t>
      </w:r>
      <w:r w:rsidRPr="00C44BBD">
        <w:rPr>
          <w:rStyle w:val="15"/>
          <w:rFonts w:ascii="標楷體" w:eastAsia="標楷體" w:hAnsi="標楷體"/>
        </w:rPr>
        <w:t xml:space="preserve">　　　體重：</w:t>
      </w:r>
      <w:r w:rsidRPr="00C44BBD">
        <w:rPr>
          <w:rStyle w:val="15"/>
          <w:rFonts w:ascii="標楷體" w:eastAsia="標楷體" w:hAnsi="標楷體"/>
          <w:u w:val="single"/>
        </w:rPr>
        <w:t xml:space="preserve">　　　　　</w:t>
      </w:r>
      <w:r w:rsidRPr="00C44BBD">
        <w:rPr>
          <w:rStyle w:val="15"/>
          <w:rFonts w:ascii="標楷體" w:eastAsia="標楷體" w:hAnsi="標楷體"/>
        </w:rPr>
        <w:t>公斤</w:t>
      </w:r>
    </w:p>
    <w:p w14:paraId="0D0ED245" w14:textId="77777777" w:rsidR="00401786" w:rsidRPr="00C44BBD" w:rsidRDefault="00C64FB3" w:rsidP="00C44BBD">
      <w:pPr>
        <w:pStyle w:val="14"/>
        <w:spacing w:line="300" w:lineRule="exact"/>
        <w:rPr>
          <w:rFonts w:ascii="標楷體" w:eastAsia="標楷體" w:hAnsi="標楷體"/>
        </w:rPr>
      </w:pPr>
      <w:r w:rsidRPr="00C44BBD">
        <w:rPr>
          <w:rStyle w:val="15"/>
          <w:rFonts w:ascii="標楷體" w:eastAsia="標楷體" w:hAnsi="標楷體"/>
        </w:rPr>
        <w:t>領藥日(年/月/日</w:t>
      </w:r>
      <w:proofErr w:type="gramStart"/>
      <w:r w:rsidRPr="00C44BBD">
        <w:rPr>
          <w:rStyle w:val="15"/>
          <w:rFonts w:ascii="標楷體" w:eastAsia="標楷體" w:hAnsi="標楷體"/>
        </w:rPr>
        <w:t>）</w:t>
      </w:r>
      <w:proofErr w:type="gramEnd"/>
      <w:r w:rsidRPr="00C44BBD">
        <w:rPr>
          <w:rStyle w:val="15"/>
          <w:rFonts w:ascii="標楷體" w:eastAsia="標楷體" w:hAnsi="標楷體"/>
        </w:rPr>
        <w:t>：</w:t>
      </w:r>
      <w:r w:rsidRPr="00C44BBD">
        <w:rPr>
          <w:rStyle w:val="15"/>
          <w:rFonts w:ascii="標楷體" w:eastAsia="標楷體" w:hAnsi="標楷體"/>
          <w:u w:val="single"/>
        </w:rPr>
        <w:t xml:space="preserve">　　／　　／　　</w:t>
      </w:r>
      <w:r w:rsidRPr="00C44BBD">
        <w:rPr>
          <w:rStyle w:val="15"/>
          <w:rFonts w:ascii="標楷體" w:eastAsia="標楷體" w:hAnsi="標楷體"/>
        </w:rPr>
        <w:t xml:space="preserve">      領藥量(針</w:t>
      </w:r>
      <w:r w:rsidRPr="00C44BBD">
        <w:rPr>
          <w:rStyle w:val="15"/>
          <w:rFonts w:ascii="標楷體" w:eastAsia="標楷體" w:hAnsi="標楷體"/>
          <w:u w:val="single"/>
        </w:rPr>
        <w:t>/瓶</w:t>
      </w:r>
      <w:r w:rsidRPr="00C44BBD">
        <w:rPr>
          <w:rStyle w:val="15"/>
          <w:rFonts w:ascii="標楷體" w:eastAsia="標楷體" w:hAnsi="標楷體"/>
        </w:rPr>
        <w:t>)：</w:t>
      </w:r>
      <w:r w:rsidRPr="00C44BBD">
        <w:rPr>
          <w:rStyle w:val="15"/>
          <w:rFonts w:ascii="標楷體" w:eastAsia="標楷體" w:hAnsi="標楷體"/>
          <w:u w:val="single"/>
        </w:rPr>
        <w:t xml:space="preserve">               </w:t>
      </w:r>
      <w:r w:rsidRPr="00C44BBD">
        <w:rPr>
          <w:rStyle w:val="15"/>
          <w:rFonts w:ascii="標楷體" w:eastAsia="標楷體" w:hAnsi="標楷體"/>
        </w:rPr>
        <w:t>藥品名稱及批號：</w:t>
      </w:r>
      <w:r w:rsidRPr="00C44BBD">
        <w:rPr>
          <w:rStyle w:val="15"/>
          <w:rFonts w:ascii="標楷體" w:eastAsia="標楷體" w:hAnsi="標楷體"/>
          <w:u w:val="single"/>
        </w:rPr>
        <w:t xml:space="preserve">　　              </w:t>
      </w:r>
    </w:p>
    <w:p w14:paraId="0CA56B40" w14:textId="77777777" w:rsidR="00401786" w:rsidRPr="00C44BBD" w:rsidRDefault="00C64FB3" w:rsidP="00C44BBD">
      <w:pPr>
        <w:pStyle w:val="14"/>
        <w:spacing w:line="300" w:lineRule="exact"/>
        <w:rPr>
          <w:rFonts w:ascii="標楷體" w:eastAsia="標楷體" w:hAnsi="標楷體"/>
        </w:rPr>
      </w:pPr>
      <w:r w:rsidRPr="00C44BBD">
        <w:rPr>
          <w:rStyle w:val="15"/>
          <w:rFonts w:ascii="標楷體" w:eastAsia="標楷體" w:hAnsi="標楷體"/>
        </w:rPr>
        <w:t>繳</w:t>
      </w:r>
      <w:proofErr w:type="gramStart"/>
      <w:r w:rsidRPr="00C44BBD">
        <w:rPr>
          <w:rStyle w:val="15"/>
          <w:rFonts w:ascii="標楷體" w:eastAsia="標楷體" w:hAnsi="標楷體"/>
        </w:rPr>
        <w:t>回空針</w:t>
      </w:r>
      <w:proofErr w:type="gramEnd"/>
      <w:r w:rsidRPr="00C44BBD">
        <w:rPr>
          <w:rStyle w:val="15"/>
          <w:rFonts w:ascii="標楷體" w:eastAsia="標楷體" w:hAnsi="標楷體"/>
          <w:u w:val="single"/>
        </w:rPr>
        <w:t>/空瓶</w:t>
      </w:r>
      <w:r w:rsidRPr="00C44BBD">
        <w:rPr>
          <w:rStyle w:val="15"/>
          <w:rFonts w:ascii="標楷體" w:eastAsia="標楷體" w:hAnsi="標楷體"/>
        </w:rPr>
        <w:t>數量及批號：</w:t>
      </w:r>
      <w:r w:rsidRPr="00C44BBD">
        <w:rPr>
          <w:rStyle w:val="15"/>
          <w:rFonts w:ascii="標楷體" w:eastAsia="標楷體" w:hAnsi="標楷體"/>
          <w:u w:val="single"/>
        </w:rPr>
        <w:t xml:space="preserve">                   </w:t>
      </w:r>
      <w:r w:rsidRPr="00C44BBD">
        <w:rPr>
          <w:rStyle w:val="15"/>
          <w:rFonts w:ascii="標楷體" w:eastAsia="標楷體" w:hAnsi="標楷體"/>
        </w:rPr>
        <w:t xml:space="preserve"> 確認人員簽名(章)：</w:t>
      </w:r>
      <w:r w:rsidRPr="00C44BBD">
        <w:rPr>
          <w:rStyle w:val="15"/>
          <w:rFonts w:ascii="標楷體" w:eastAsia="標楷體" w:hAnsi="標楷體"/>
          <w:u w:val="single"/>
        </w:rPr>
        <w:t xml:space="preserve">                  </w:t>
      </w:r>
    </w:p>
    <w:tbl>
      <w:tblPr>
        <w:tblW w:w="14852" w:type="dxa"/>
        <w:tblInd w:w="-162" w:type="dxa"/>
        <w:tblLayout w:type="fixed"/>
        <w:tblCellMar>
          <w:left w:w="10" w:type="dxa"/>
          <w:right w:w="10" w:type="dxa"/>
        </w:tblCellMar>
        <w:tblLook w:val="0000" w:firstRow="0" w:lastRow="0" w:firstColumn="0" w:lastColumn="0" w:noHBand="0" w:noVBand="0"/>
      </w:tblPr>
      <w:tblGrid>
        <w:gridCol w:w="1811"/>
        <w:gridCol w:w="1063"/>
        <w:gridCol w:w="1063"/>
        <w:gridCol w:w="2126"/>
        <w:gridCol w:w="1417"/>
        <w:gridCol w:w="1418"/>
        <w:gridCol w:w="3828"/>
        <w:gridCol w:w="2126"/>
      </w:tblGrid>
      <w:tr w:rsidR="00401786" w:rsidRPr="00C44BBD" w14:paraId="1A6FA89F" w14:textId="77777777">
        <w:trPr>
          <w:cantSplit/>
          <w:trHeight w:val="743"/>
        </w:trPr>
        <w:tc>
          <w:tcPr>
            <w:tcW w:w="18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1022FC"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注射日</w:t>
            </w:r>
          </w:p>
        </w:tc>
        <w:tc>
          <w:tcPr>
            <w:tcW w:w="42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1AE1E2" w14:textId="77777777" w:rsidR="00401786" w:rsidRPr="00C44BBD" w:rsidRDefault="00C64FB3" w:rsidP="00C44BBD">
            <w:pPr>
              <w:pStyle w:val="14"/>
              <w:spacing w:line="300" w:lineRule="exact"/>
              <w:jc w:val="center"/>
              <w:rPr>
                <w:rFonts w:ascii="標楷體" w:eastAsia="標楷體" w:hAnsi="標楷體"/>
              </w:rPr>
            </w:pPr>
            <w:r w:rsidRPr="00C44BBD">
              <w:rPr>
                <w:rFonts w:ascii="標楷體" w:eastAsia="標楷體" w:hAnsi="標楷體"/>
              </w:rPr>
              <w:t>注射時間</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5867C1" w14:textId="77777777" w:rsidR="00401786" w:rsidRPr="00C44BBD" w:rsidRDefault="00C64FB3" w:rsidP="00C44BBD">
            <w:pPr>
              <w:pStyle w:val="14"/>
              <w:spacing w:line="300" w:lineRule="exact"/>
              <w:jc w:val="center"/>
              <w:rPr>
                <w:rFonts w:ascii="標楷體" w:eastAsia="標楷體" w:hAnsi="標楷體"/>
              </w:rPr>
            </w:pPr>
            <w:r w:rsidRPr="00C44BBD">
              <w:rPr>
                <w:rFonts w:ascii="標楷體" w:eastAsia="標楷體" w:hAnsi="標楷體"/>
              </w:rPr>
              <w:t>注射後效果</w:t>
            </w:r>
          </w:p>
        </w:tc>
        <w:tc>
          <w:tcPr>
            <w:tcW w:w="382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9129FC"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 xml:space="preserve">    注射後發生之不適症狀</w:t>
            </w:r>
          </w:p>
        </w:tc>
        <w:tc>
          <w:tcPr>
            <w:tcW w:w="212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047E56"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注射者簽名(章)</w:t>
            </w:r>
          </w:p>
        </w:tc>
      </w:tr>
      <w:tr w:rsidR="00401786" w:rsidRPr="00C44BBD" w14:paraId="6A876296" w14:textId="77777777">
        <w:trPr>
          <w:cantSplit/>
          <w:trHeight w:val="853"/>
        </w:trPr>
        <w:tc>
          <w:tcPr>
            <w:tcW w:w="18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4AD82"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(月/日)</w:t>
            </w: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A13495"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上午</w:t>
            </w: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6B2898"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下午</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0141C8"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時間 (時/分)</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458B84"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改善</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063C83"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未改善</w:t>
            </w:r>
          </w:p>
        </w:tc>
        <w:tc>
          <w:tcPr>
            <w:tcW w:w="382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4C6D92" w14:textId="77777777" w:rsidR="00401786" w:rsidRPr="00C44BBD" w:rsidRDefault="00401786" w:rsidP="00C44BBD">
            <w:pPr>
              <w:pStyle w:val="14"/>
              <w:spacing w:line="300" w:lineRule="exact"/>
              <w:rPr>
                <w:rFonts w:ascii="標楷體" w:eastAsia="標楷體" w:hAnsi="標楷體"/>
              </w:rPr>
            </w:pPr>
          </w:p>
        </w:tc>
        <w:tc>
          <w:tcPr>
            <w:tcW w:w="212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1436CE" w14:textId="77777777" w:rsidR="00401786" w:rsidRPr="00C44BBD" w:rsidRDefault="00401786" w:rsidP="00C44BBD">
            <w:pPr>
              <w:pStyle w:val="14"/>
              <w:spacing w:line="300" w:lineRule="exact"/>
              <w:rPr>
                <w:rFonts w:ascii="標楷體" w:eastAsia="標楷體" w:hAnsi="標楷體"/>
              </w:rPr>
            </w:pPr>
          </w:p>
        </w:tc>
      </w:tr>
      <w:tr w:rsidR="00401786" w:rsidRPr="00C44BBD" w14:paraId="7B1D16EC" w14:textId="77777777">
        <w:trPr>
          <w:trHeight w:val="1777"/>
        </w:trPr>
        <w:tc>
          <w:tcPr>
            <w:tcW w:w="18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DE07F4" w14:textId="77777777" w:rsidR="00401786" w:rsidRPr="00C44BBD" w:rsidRDefault="00401786" w:rsidP="00C44BBD">
            <w:pPr>
              <w:pStyle w:val="14"/>
              <w:spacing w:line="300" w:lineRule="exact"/>
              <w:rPr>
                <w:rFonts w:ascii="標楷體" w:eastAsia="標楷體" w:hAnsi="標楷體"/>
              </w:rPr>
            </w:pPr>
          </w:p>
          <w:p w14:paraId="6EE41852" w14:textId="77777777" w:rsidR="00401786" w:rsidRPr="00C44BBD" w:rsidRDefault="00401786" w:rsidP="00C44BBD">
            <w:pPr>
              <w:pStyle w:val="14"/>
              <w:spacing w:line="300" w:lineRule="exact"/>
              <w:rPr>
                <w:rFonts w:ascii="標楷體" w:eastAsia="標楷體" w:hAnsi="標楷體"/>
              </w:rPr>
            </w:pP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85E538" w14:textId="77777777" w:rsidR="00401786" w:rsidRPr="00C44BBD" w:rsidRDefault="00401786" w:rsidP="00C44BBD">
            <w:pPr>
              <w:pStyle w:val="14"/>
              <w:spacing w:line="300" w:lineRule="exact"/>
              <w:rPr>
                <w:rFonts w:ascii="標楷體" w:eastAsia="標楷體" w:hAnsi="標楷體"/>
              </w:rPr>
            </w:pP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B770AF" w14:textId="77777777" w:rsidR="00401786" w:rsidRPr="00C44BBD" w:rsidRDefault="00401786" w:rsidP="00C44BBD">
            <w:pPr>
              <w:pStyle w:val="14"/>
              <w:spacing w:line="300" w:lineRule="exact"/>
              <w:rPr>
                <w:rFonts w:ascii="標楷體" w:eastAsia="標楷體" w:hAnsi="標楷體"/>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6AAD29" w14:textId="77777777" w:rsidR="00401786" w:rsidRPr="00C44BBD" w:rsidRDefault="00401786" w:rsidP="00C44BBD">
            <w:pPr>
              <w:pStyle w:val="14"/>
              <w:spacing w:line="300" w:lineRule="exact"/>
              <w:rPr>
                <w:rFonts w:ascii="標楷體" w:eastAsia="標楷體" w:hAnsi="標楷體"/>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81D197" w14:textId="77777777" w:rsidR="00401786" w:rsidRPr="00C44BBD" w:rsidRDefault="00401786" w:rsidP="00C44BBD">
            <w:pPr>
              <w:pStyle w:val="14"/>
              <w:spacing w:line="300" w:lineRule="exact"/>
              <w:rPr>
                <w:rFonts w:ascii="標楷體" w:eastAsia="標楷體" w:hAnsi="標楷體"/>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526394" w14:textId="77777777" w:rsidR="00401786" w:rsidRPr="00C44BBD" w:rsidRDefault="00401786" w:rsidP="00C44BBD">
            <w:pPr>
              <w:pStyle w:val="14"/>
              <w:spacing w:line="300" w:lineRule="exact"/>
              <w:rPr>
                <w:rFonts w:ascii="標楷體" w:eastAsia="標楷體" w:hAnsi="標楷體"/>
              </w:rPr>
            </w:pP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2D073" w14:textId="77777777" w:rsidR="00401786" w:rsidRPr="00C44BBD" w:rsidRDefault="00401786" w:rsidP="00C44BBD">
            <w:pPr>
              <w:pStyle w:val="14"/>
              <w:spacing w:line="300" w:lineRule="exact"/>
              <w:rPr>
                <w:rFonts w:ascii="標楷體" w:eastAsia="標楷體" w:hAnsi="標楷體"/>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3A1A5" w14:textId="77777777" w:rsidR="00401786" w:rsidRPr="00C44BBD" w:rsidRDefault="00401786" w:rsidP="00C44BBD">
            <w:pPr>
              <w:pStyle w:val="14"/>
              <w:spacing w:line="300" w:lineRule="exact"/>
              <w:rPr>
                <w:rFonts w:ascii="標楷體" w:eastAsia="標楷體" w:hAnsi="標楷體"/>
              </w:rPr>
            </w:pPr>
          </w:p>
        </w:tc>
      </w:tr>
    </w:tbl>
    <w:p w14:paraId="26054FBA" w14:textId="77777777" w:rsidR="00401786" w:rsidRPr="00C44BBD" w:rsidRDefault="00C64FB3" w:rsidP="00C44BBD">
      <w:pPr>
        <w:pStyle w:val="14"/>
        <w:spacing w:line="300" w:lineRule="exact"/>
        <w:rPr>
          <w:rFonts w:ascii="標楷體" w:eastAsia="標楷體" w:hAnsi="標楷體"/>
          <w:sz w:val="22"/>
          <w:szCs w:val="22"/>
        </w:rPr>
      </w:pPr>
      <w:r w:rsidRPr="00C44BBD">
        <w:rPr>
          <w:rFonts w:ascii="標楷體" w:eastAsia="標楷體" w:hAnsi="標楷體"/>
          <w:sz w:val="22"/>
          <w:szCs w:val="22"/>
        </w:rPr>
        <w:t>備註：</w:t>
      </w:r>
    </w:p>
    <w:p w14:paraId="34D04CF1" w14:textId="77777777" w:rsidR="00401786" w:rsidRPr="00C44BBD" w:rsidRDefault="00C64FB3" w:rsidP="002144EC">
      <w:pPr>
        <w:pStyle w:val="14"/>
        <w:numPr>
          <w:ilvl w:val="0"/>
          <w:numId w:val="114"/>
        </w:numPr>
        <w:spacing w:line="300" w:lineRule="exact"/>
        <w:rPr>
          <w:rFonts w:ascii="標楷體" w:eastAsia="標楷體" w:hAnsi="標楷體"/>
        </w:rPr>
      </w:pPr>
      <w:r w:rsidRPr="00C44BBD">
        <w:rPr>
          <w:rFonts w:ascii="標楷體" w:eastAsia="標楷體" w:hAnsi="標楷體"/>
          <w:sz w:val="22"/>
          <w:szCs w:val="22"/>
        </w:rPr>
        <w:t>領藥量請詳記藥品針</w:t>
      </w:r>
      <w:r w:rsidRPr="00C44BBD">
        <w:rPr>
          <w:rFonts w:ascii="標楷體" w:eastAsia="標楷體" w:hAnsi="標楷體"/>
          <w:sz w:val="22"/>
          <w:szCs w:val="22"/>
          <w:u w:val="single"/>
        </w:rPr>
        <w:t>/</w:t>
      </w:r>
      <w:proofErr w:type="gramStart"/>
      <w:r w:rsidRPr="00C44BBD">
        <w:rPr>
          <w:rFonts w:ascii="標楷體" w:eastAsia="標楷體" w:hAnsi="標楷體"/>
          <w:sz w:val="22"/>
          <w:szCs w:val="22"/>
          <w:u w:val="single"/>
        </w:rPr>
        <w:t>瓶</w:t>
      </w:r>
      <w:r w:rsidRPr="00C44BBD">
        <w:rPr>
          <w:rFonts w:ascii="標楷體" w:eastAsia="標楷體" w:hAnsi="標楷體"/>
          <w:sz w:val="22"/>
          <w:szCs w:val="22"/>
        </w:rPr>
        <w:t>數</w:t>
      </w:r>
      <w:proofErr w:type="gramEnd"/>
      <w:r w:rsidRPr="00C44BBD">
        <w:rPr>
          <w:rFonts w:ascii="標楷體" w:eastAsia="標楷體" w:hAnsi="標楷體"/>
          <w:sz w:val="22"/>
          <w:szCs w:val="22"/>
        </w:rPr>
        <w:t>，</w:t>
      </w:r>
      <w:proofErr w:type="gramStart"/>
      <w:r w:rsidRPr="00C44BBD">
        <w:rPr>
          <w:rFonts w:ascii="標楷體" w:eastAsia="標楷體" w:hAnsi="標楷體"/>
          <w:sz w:val="22"/>
          <w:szCs w:val="22"/>
        </w:rPr>
        <w:t>使用空針</w:t>
      </w:r>
      <w:proofErr w:type="gramEnd"/>
      <w:r w:rsidRPr="00C44BBD">
        <w:rPr>
          <w:rStyle w:val="15"/>
          <w:rFonts w:ascii="標楷體" w:eastAsia="標楷體" w:hAnsi="標楷體"/>
          <w:u w:val="single"/>
        </w:rPr>
        <w:t>/空瓶</w:t>
      </w:r>
      <w:r w:rsidRPr="00C44BBD">
        <w:rPr>
          <w:rFonts w:ascii="標楷體" w:eastAsia="標楷體" w:hAnsi="標楷體"/>
          <w:sz w:val="22"/>
          <w:szCs w:val="22"/>
        </w:rPr>
        <w:t>於繳回時，請由醫療院所相關人員進行確認，並請確認人員簽名(章)。</w:t>
      </w:r>
    </w:p>
    <w:p w14:paraId="36248022" w14:textId="77777777" w:rsidR="00401786" w:rsidRPr="00C44BBD" w:rsidRDefault="00C64FB3" w:rsidP="002144EC">
      <w:pPr>
        <w:pStyle w:val="14"/>
        <w:numPr>
          <w:ilvl w:val="0"/>
          <w:numId w:val="114"/>
        </w:numPr>
        <w:spacing w:line="300" w:lineRule="exact"/>
        <w:rPr>
          <w:rFonts w:ascii="標楷體" w:eastAsia="標楷體" w:hAnsi="標楷體"/>
        </w:rPr>
      </w:pPr>
      <w:r w:rsidRPr="00C44BBD">
        <w:rPr>
          <w:rFonts w:ascii="標楷體" w:eastAsia="標楷體" w:hAnsi="標楷體"/>
          <w:sz w:val="22"/>
          <w:szCs w:val="22"/>
        </w:rPr>
        <w:t>本藥品貯存方式：</w:t>
      </w:r>
      <w:r w:rsidRPr="00C44BBD">
        <w:rPr>
          <w:rFonts w:ascii="標楷體" w:eastAsia="標楷體" w:hAnsi="標楷體"/>
          <w:sz w:val="22"/>
          <w:szCs w:val="22"/>
          <w:u w:val="single"/>
        </w:rPr>
        <w:t>請參考藥品仿單標示之溫度正確保存藥品。</w:t>
      </w:r>
    </w:p>
    <w:p w14:paraId="3154763D" w14:textId="77777777" w:rsidR="00401786" w:rsidRPr="00C44BBD" w:rsidRDefault="00C64FB3" w:rsidP="002144EC">
      <w:pPr>
        <w:pStyle w:val="14"/>
        <w:widowControl/>
        <w:numPr>
          <w:ilvl w:val="0"/>
          <w:numId w:val="114"/>
        </w:numPr>
        <w:spacing w:line="300" w:lineRule="exact"/>
        <w:rPr>
          <w:rFonts w:ascii="標楷體" w:eastAsia="標楷體" w:hAnsi="標楷體"/>
        </w:rPr>
        <w:sectPr w:rsidR="00401786" w:rsidRPr="00C44BBD">
          <w:footerReference w:type="default" r:id="rId42"/>
          <w:pgSz w:w="16838" w:h="11906" w:orient="landscape"/>
          <w:pgMar w:top="1077" w:right="1077" w:bottom="1077" w:left="1077" w:header="720" w:footer="720" w:gutter="0"/>
          <w:cols w:space="720"/>
          <w:docGrid w:type="linesAndChars" w:linePitch="1046"/>
        </w:sectPr>
      </w:pPr>
      <w:r w:rsidRPr="00C44BBD">
        <w:rPr>
          <w:rFonts w:ascii="標楷體" w:eastAsia="標楷體" w:hAnsi="標楷體"/>
          <w:sz w:val="22"/>
          <w:szCs w:val="22"/>
        </w:rPr>
        <w:t>遺傳性血管性水腫(HAE)可能症狀，請見「遺傳性血管性水腫衛教資訊及活動評估紀錄表」。</w:t>
      </w:r>
    </w:p>
    <w:p w14:paraId="1048CC7E" w14:textId="77777777" w:rsidR="00401786" w:rsidRDefault="00C64FB3" w:rsidP="000E757E">
      <w:pPr>
        <w:snapToGrid w:val="0"/>
        <w:spacing w:after="240" w:line="240" w:lineRule="atLeast"/>
        <w:jc w:val="center"/>
      </w:pPr>
      <w:r>
        <w:rPr>
          <w:rFonts w:ascii="標楷體" w:eastAsia="標楷體" w:hAnsi="標楷體"/>
          <w:b/>
          <w:bCs/>
          <w:sz w:val="28"/>
          <w:szCs w:val="28"/>
        </w:rPr>
        <w:lastRenderedPageBreak/>
        <w:t>遺傳性血管性水腫衛教資訊及活動評估紀錄表</w:t>
      </w:r>
    </w:p>
    <w:p w14:paraId="53D9B871" w14:textId="77777777" w:rsidR="00401786" w:rsidRDefault="00C64FB3" w:rsidP="000E757E">
      <w:pPr>
        <w:snapToGrid w:val="0"/>
        <w:spacing w:line="240" w:lineRule="atLeast"/>
        <w:rPr>
          <w:rFonts w:ascii="標楷體" w:eastAsia="標楷體" w:hAnsi="標楷體"/>
          <w:u w:val="thick"/>
        </w:rPr>
      </w:pPr>
      <w:r>
        <w:rPr>
          <w:rFonts w:ascii="標楷體" w:eastAsia="標楷體" w:hAnsi="標楷體"/>
          <w:u w:val="thick"/>
        </w:rPr>
        <w:t>症狀與疾病特色</w:t>
      </w:r>
    </w:p>
    <w:p w14:paraId="6285A981" w14:textId="77777777" w:rsidR="00401786" w:rsidRDefault="00C64FB3" w:rsidP="000E757E">
      <w:pPr>
        <w:snapToGrid w:val="0"/>
        <w:spacing w:line="240" w:lineRule="atLeast"/>
        <w:ind w:left="360"/>
        <w:rPr>
          <w:rFonts w:ascii="標楷體" w:eastAsia="標楷體" w:hAnsi="標楷體"/>
        </w:rPr>
      </w:pPr>
      <w:r>
        <w:rPr>
          <w:rFonts w:ascii="標楷體" w:eastAsia="標楷體" w:hAnsi="標楷體"/>
        </w:rPr>
        <w:t>腫脹是遺傳性血管性水腫的主要症狀，在起先的24至36小時內，症狀通常會逐漸加劇，並在 48 小時內逐漸改善。</w:t>
      </w:r>
      <w:r>
        <w:rPr>
          <w:rFonts w:ascii="標楷體" w:eastAsia="標楷體" w:hAnsi="標楷體"/>
        </w:rPr>
        <w:br/>
        <w:t>腫脹情形可能發生在身體的任何部位，包含喉嚨、腹部、臉部、手掌、腳掌和生殖器。</w:t>
      </w:r>
    </w:p>
    <w:p w14:paraId="3CC4ADA1" w14:textId="77777777" w:rsidR="00401786" w:rsidRDefault="00C64FB3" w:rsidP="000E757E">
      <w:pPr>
        <w:snapToGrid w:val="0"/>
        <w:spacing w:before="240" w:line="240" w:lineRule="atLeast"/>
        <w:rPr>
          <w:rFonts w:ascii="標楷體" w:eastAsia="標楷體" w:hAnsi="標楷體"/>
          <w:u w:val="thick"/>
        </w:rPr>
      </w:pPr>
      <w:r>
        <w:rPr>
          <w:rFonts w:ascii="標楷體" w:eastAsia="標楷體" w:hAnsi="標楷體"/>
          <w:u w:val="thick"/>
        </w:rPr>
        <w:t>導致遺傳性血管性水腫發生的因素</w:t>
      </w:r>
    </w:p>
    <w:p w14:paraId="6045C550" w14:textId="77777777" w:rsidR="00401786" w:rsidRDefault="00C64FB3" w:rsidP="002144EC">
      <w:pPr>
        <w:pStyle w:val="af"/>
        <w:widowControl/>
        <w:numPr>
          <w:ilvl w:val="0"/>
          <w:numId w:val="115"/>
        </w:numPr>
        <w:suppressAutoHyphens w:val="0"/>
        <w:snapToGrid w:val="0"/>
        <w:spacing w:line="240" w:lineRule="atLeast"/>
        <w:textAlignment w:val="auto"/>
        <w:rPr>
          <w:rFonts w:ascii="標楷體" w:eastAsia="標楷體" w:hAnsi="標楷體"/>
        </w:rPr>
      </w:pPr>
      <w:r>
        <w:rPr>
          <w:rFonts w:ascii="標楷體" w:eastAsia="標楷體" w:hAnsi="標楷體"/>
        </w:rPr>
        <w:t>皮膚受到壓力或創傷</w:t>
      </w:r>
    </w:p>
    <w:p w14:paraId="6FAF875E" w14:textId="77777777" w:rsidR="00401786" w:rsidRDefault="00C64FB3" w:rsidP="002144EC">
      <w:pPr>
        <w:pStyle w:val="af"/>
        <w:widowControl/>
        <w:numPr>
          <w:ilvl w:val="0"/>
          <w:numId w:val="115"/>
        </w:numPr>
        <w:suppressAutoHyphens w:val="0"/>
        <w:snapToGrid w:val="0"/>
        <w:spacing w:line="240" w:lineRule="atLeast"/>
        <w:textAlignment w:val="auto"/>
        <w:rPr>
          <w:rFonts w:ascii="標楷體" w:eastAsia="標楷體" w:hAnsi="標楷體"/>
        </w:rPr>
      </w:pPr>
      <w:r>
        <w:rPr>
          <w:rFonts w:ascii="標楷體" w:eastAsia="標楷體" w:hAnsi="標楷體"/>
        </w:rPr>
        <w:t xml:space="preserve">反覆進行相同的動作或步驟 </w:t>
      </w:r>
    </w:p>
    <w:p w14:paraId="3BE92446" w14:textId="77777777" w:rsidR="00401786" w:rsidRDefault="00C64FB3" w:rsidP="002144EC">
      <w:pPr>
        <w:pStyle w:val="af"/>
        <w:widowControl/>
        <w:numPr>
          <w:ilvl w:val="0"/>
          <w:numId w:val="115"/>
        </w:numPr>
        <w:suppressAutoHyphens w:val="0"/>
        <w:snapToGrid w:val="0"/>
        <w:spacing w:line="240" w:lineRule="atLeast"/>
        <w:textAlignment w:val="auto"/>
        <w:rPr>
          <w:rFonts w:ascii="標楷體" w:eastAsia="標楷體" w:hAnsi="標楷體"/>
        </w:rPr>
      </w:pPr>
      <w:r>
        <w:rPr>
          <w:rFonts w:ascii="標楷體" w:eastAsia="標楷體" w:hAnsi="標楷體"/>
        </w:rPr>
        <w:t>情緒壓力</w:t>
      </w:r>
    </w:p>
    <w:p w14:paraId="7A216678" w14:textId="77777777" w:rsidR="00401786" w:rsidRDefault="00C64FB3" w:rsidP="002144EC">
      <w:pPr>
        <w:pStyle w:val="af"/>
        <w:widowControl/>
        <w:numPr>
          <w:ilvl w:val="0"/>
          <w:numId w:val="115"/>
        </w:numPr>
        <w:suppressAutoHyphens w:val="0"/>
        <w:snapToGrid w:val="0"/>
        <w:spacing w:line="240" w:lineRule="atLeast"/>
        <w:textAlignment w:val="auto"/>
        <w:rPr>
          <w:rFonts w:ascii="標楷體" w:eastAsia="標楷體" w:hAnsi="標楷體"/>
        </w:rPr>
      </w:pPr>
      <w:r>
        <w:rPr>
          <w:rFonts w:ascii="標楷體" w:eastAsia="標楷體" w:hAnsi="標楷體"/>
        </w:rPr>
        <w:t>感染</w:t>
      </w:r>
    </w:p>
    <w:p w14:paraId="6E651003" w14:textId="77777777" w:rsidR="00401786" w:rsidRDefault="00C64FB3" w:rsidP="002144EC">
      <w:pPr>
        <w:pStyle w:val="af"/>
        <w:widowControl/>
        <w:numPr>
          <w:ilvl w:val="0"/>
          <w:numId w:val="115"/>
        </w:numPr>
        <w:suppressAutoHyphens w:val="0"/>
        <w:snapToGrid w:val="0"/>
        <w:spacing w:line="240" w:lineRule="atLeast"/>
        <w:textAlignment w:val="auto"/>
        <w:rPr>
          <w:rFonts w:ascii="標楷體" w:eastAsia="標楷體" w:hAnsi="標楷體"/>
        </w:rPr>
      </w:pPr>
      <w:r>
        <w:rPr>
          <w:rFonts w:ascii="標楷體" w:eastAsia="標楷體" w:hAnsi="標楷體"/>
        </w:rPr>
        <w:t>荷爾蒙改變</w:t>
      </w:r>
    </w:p>
    <w:p w14:paraId="36243E33" w14:textId="77777777" w:rsidR="00401786" w:rsidRDefault="00C64FB3" w:rsidP="000E757E">
      <w:pPr>
        <w:snapToGrid w:val="0"/>
        <w:spacing w:before="240" w:line="240" w:lineRule="atLeast"/>
        <w:rPr>
          <w:rFonts w:ascii="標楷體" w:eastAsia="標楷體" w:hAnsi="標楷體"/>
          <w:u w:val="thick"/>
        </w:rPr>
      </w:pPr>
      <w:r>
        <w:rPr>
          <w:rFonts w:ascii="標楷體" w:eastAsia="標楷體" w:hAnsi="標楷體"/>
          <w:u w:val="thick"/>
        </w:rPr>
        <w:t>部分人可能會出現下列症狀：</w:t>
      </w:r>
    </w:p>
    <w:p w14:paraId="2772EECA" w14:textId="77777777" w:rsidR="00401786" w:rsidRDefault="00C64FB3" w:rsidP="002144EC">
      <w:pPr>
        <w:pStyle w:val="af"/>
        <w:widowControl/>
        <w:numPr>
          <w:ilvl w:val="0"/>
          <w:numId w:val="115"/>
        </w:numPr>
        <w:suppressAutoHyphens w:val="0"/>
        <w:snapToGrid w:val="0"/>
        <w:spacing w:line="240" w:lineRule="atLeast"/>
        <w:ind w:left="714" w:hanging="357"/>
        <w:textAlignment w:val="auto"/>
        <w:rPr>
          <w:rFonts w:ascii="標楷體" w:eastAsia="標楷體" w:hAnsi="標楷體"/>
        </w:rPr>
      </w:pPr>
      <w:r>
        <w:rPr>
          <w:rFonts w:ascii="標楷體" w:eastAsia="標楷體" w:hAnsi="標楷體"/>
        </w:rPr>
        <w:t>刺痛感，是這種疾病的前驅症狀(可能比水腫更早發生)</w:t>
      </w:r>
    </w:p>
    <w:p w14:paraId="7F3F8110" w14:textId="77777777" w:rsidR="00401786" w:rsidRDefault="00C64FB3" w:rsidP="002144EC">
      <w:pPr>
        <w:pStyle w:val="af"/>
        <w:widowControl/>
        <w:numPr>
          <w:ilvl w:val="0"/>
          <w:numId w:val="115"/>
        </w:numPr>
        <w:suppressAutoHyphens w:val="0"/>
        <w:snapToGrid w:val="0"/>
        <w:spacing w:line="240" w:lineRule="atLeast"/>
        <w:ind w:left="714" w:hanging="357"/>
        <w:textAlignment w:val="auto"/>
        <w:rPr>
          <w:rFonts w:ascii="標楷體" w:eastAsia="標楷體" w:hAnsi="標楷體"/>
        </w:rPr>
      </w:pPr>
      <w:r>
        <w:rPr>
          <w:rFonts w:ascii="標楷體" w:eastAsia="標楷體" w:hAnsi="標楷體"/>
        </w:rPr>
        <w:t>排便習慣改變</w:t>
      </w:r>
    </w:p>
    <w:p w14:paraId="4247402B" w14:textId="77777777" w:rsidR="00401786" w:rsidRDefault="00C64FB3" w:rsidP="002144EC">
      <w:pPr>
        <w:pStyle w:val="af"/>
        <w:widowControl/>
        <w:numPr>
          <w:ilvl w:val="0"/>
          <w:numId w:val="115"/>
        </w:numPr>
        <w:suppressAutoHyphens w:val="0"/>
        <w:snapToGrid w:val="0"/>
        <w:spacing w:line="240" w:lineRule="atLeast"/>
        <w:ind w:left="714" w:hanging="357"/>
        <w:textAlignment w:val="auto"/>
        <w:rPr>
          <w:rFonts w:ascii="標楷體" w:eastAsia="標楷體" w:hAnsi="標楷體"/>
        </w:rPr>
      </w:pPr>
      <w:proofErr w:type="gramStart"/>
      <w:r>
        <w:rPr>
          <w:rFonts w:ascii="標楷體" w:eastAsia="標楷體" w:hAnsi="標楷體"/>
        </w:rPr>
        <w:t>類似流</w:t>
      </w:r>
      <w:proofErr w:type="gramEnd"/>
      <w:r>
        <w:rPr>
          <w:rFonts w:ascii="標楷體" w:eastAsia="標楷體" w:hAnsi="標楷體"/>
        </w:rPr>
        <w:t>感的症狀</w:t>
      </w:r>
    </w:p>
    <w:p w14:paraId="4275871D" w14:textId="77777777" w:rsidR="00401786" w:rsidRDefault="00C64FB3" w:rsidP="002144EC">
      <w:pPr>
        <w:pStyle w:val="af"/>
        <w:widowControl/>
        <w:numPr>
          <w:ilvl w:val="0"/>
          <w:numId w:val="115"/>
        </w:numPr>
        <w:suppressAutoHyphens w:val="0"/>
        <w:snapToGrid w:val="0"/>
        <w:spacing w:line="240" w:lineRule="atLeast"/>
        <w:textAlignment w:val="auto"/>
        <w:rPr>
          <w:rFonts w:ascii="標楷體" w:eastAsia="標楷體" w:hAnsi="標楷體"/>
        </w:rPr>
      </w:pPr>
      <w:r>
        <w:rPr>
          <w:rFonts w:ascii="標楷體" w:eastAsia="標楷體" w:hAnsi="標楷體"/>
        </w:rPr>
        <w:t>疲倦</w:t>
      </w:r>
    </w:p>
    <w:p w14:paraId="31CD470B" w14:textId="77777777" w:rsidR="00401786" w:rsidRDefault="00C64FB3" w:rsidP="002144EC">
      <w:pPr>
        <w:pStyle w:val="af"/>
        <w:widowControl/>
        <w:numPr>
          <w:ilvl w:val="0"/>
          <w:numId w:val="115"/>
        </w:numPr>
        <w:suppressAutoHyphens w:val="0"/>
        <w:snapToGrid w:val="0"/>
        <w:spacing w:line="240" w:lineRule="atLeast"/>
        <w:textAlignment w:val="auto"/>
        <w:rPr>
          <w:rFonts w:ascii="標楷體" w:eastAsia="標楷體" w:hAnsi="標楷體"/>
        </w:rPr>
      </w:pPr>
      <w:r>
        <w:rPr>
          <w:rFonts w:ascii="標楷體" w:eastAsia="標楷體" w:hAnsi="標楷體"/>
        </w:rPr>
        <w:t>範圍逐漸擴散的皮膚疹，正式醫學名稱為「邊緣性紅斑」</w:t>
      </w:r>
    </w:p>
    <w:p w14:paraId="2B2B2CDE" w14:textId="77777777" w:rsidR="00401786" w:rsidRDefault="00C64FB3" w:rsidP="000E757E">
      <w:pPr>
        <w:pStyle w:val="14"/>
        <w:spacing w:after="240" w:line="240" w:lineRule="atLeast"/>
        <w:rPr>
          <w:rFonts w:ascii="標楷體" w:hAnsi="標楷體"/>
          <w:u w:val="thick"/>
        </w:rPr>
      </w:pPr>
      <w:r>
        <w:rPr>
          <w:rFonts w:ascii="標楷體" w:hAnsi="標楷體"/>
          <w:u w:val="thick"/>
        </w:rPr>
        <w:t>活動評估紀錄表：請於注射後</w:t>
      </w:r>
      <w:r>
        <w:rPr>
          <w:rFonts w:ascii="標楷體" w:hAnsi="標楷體"/>
          <w:u w:val="thick"/>
        </w:rPr>
        <w:t>24</w:t>
      </w:r>
      <w:r>
        <w:rPr>
          <w:rFonts w:ascii="標楷體" w:hAnsi="標楷體"/>
          <w:u w:val="thick"/>
        </w:rPr>
        <w:t>小時內填寫以下評量表</w:t>
      </w:r>
    </w:p>
    <w:tbl>
      <w:tblPr>
        <w:tblW w:w="9493" w:type="dxa"/>
        <w:jc w:val="center"/>
        <w:tblCellMar>
          <w:left w:w="10" w:type="dxa"/>
          <w:right w:w="10" w:type="dxa"/>
        </w:tblCellMar>
        <w:tblLook w:val="0000" w:firstRow="0" w:lastRow="0" w:firstColumn="0" w:lastColumn="0" w:noHBand="0" w:noVBand="0"/>
      </w:tblPr>
      <w:tblGrid>
        <w:gridCol w:w="6525"/>
        <w:gridCol w:w="2968"/>
      </w:tblGrid>
      <w:tr w:rsidR="00401786" w14:paraId="0FA190AD"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64F925" w14:textId="77777777" w:rsidR="00401786" w:rsidRDefault="00C64FB3" w:rsidP="002144EC">
            <w:pPr>
              <w:pStyle w:val="af"/>
              <w:widowControl/>
              <w:numPr>
                <w:ilvl w:val="0"/>
                <w:numId w:val="116"/>
              </w:numPr>
              <w:suppressAutoHyphens w:val="0"/>
              <w:snapToGrid w:val="0"/>
              <w:spacing w:after="160" w:line="240" w:lineRule="atLeast"/>
              <w:textAlignment w:val="auto"/>
              <w:rPr>
                <w:rFonts w:ascii="標楷體" w:eastAsia="標楷體" w:hAnsi="標楷體"/>
              </w:rPr>
            </w:pPr>
            <w:r>
              <w:rPr>
                <w:rFonts w:ascii="標楷體" w:eastAsia="標楷體" w:hAnsi="標楷體"/>
              </w:rPr>
              <w:t>腫脹情形都發生在一天當中的哪些時間區段？(請勾選所有符合的時間區段)</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B6D8A1"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 xml:space="preserve">半夜 </w:t>
            </w:r>
            <w:proofErr w:type="gramStart"/>
            <w:r>
              <w:rPr>
                <w:rFonts w:ascii="標楷體" w:eastAsia="標楷體" w:hAnsi="標楷體"/>
              </w:rPr>
              <w:t>–</w:t>
            </w:r>
            <w:proofErr w:type="gramEnd"/>
            <w:r>
              <w:rPr>
                <w:rFonts w:ascii="標楷體" w:eastAsia="標楷體" w:hAnsi="標楷體"/>
              </w:rPr>
              <w:t xml:space="preserve"> 早上 8 點</w:t>
            </w:r>
          </w:p>
        </w:tc>
      </w:tr>
      <w:tr w:rsidR="00401786" w14:paraId="289CF95D"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37FDD0"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10DA8C"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早上 8 點- 下午 4 點</w:t>
            </w:r>
          </w:p>
        </w:tc>
      </w:tr>
      <w:tr w:rsidR="00401786" w14:paraId="6CF37100"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1729B9"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A855E0"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 xml:space="preserve">下午 4 點 </w:t>
            </w:r>
            <w:proofErr w:type="gramStart"/>
            <w:r>
              <w:rPr>
                <w:rFonts w:ascii="標楷體" w:eastAsia="標楷體" w:hAnsi="標楷體"/>
              </w:rPr>
              <w:t>–</w:t>
            </w:r>
            <w:proofErr w:type="gramEnd"/>
            <w:r>
              <w:rPr>
                <w:rFonts w:ascii="標楷體" w:eastAsia="標楷體" w:hAnsi="標楷體"/>
              </w:rPr>
              <w:t xml:space="preserve"> 半夜</w:t>
            </w:r>
          </w:p>
        </w:tc>
      </w:tr>
      <w:tr w:rsidR="00401786" w14:paraId="1FBB37E3"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30C4D" w14:textId="77777777" w:rsidR="00401786" w:rsidRDefault="00C64FB3" w:rsidP="002144EC">
            <w:pPr>
              <w:pStyle w:val="af"/>
              <w:widowControl/>
              <w:numPr>
                <w:ilvl w:val="0"/>
                <w:numId w:val="116"/>
              </w:numPr>
              <w:suppressAutoHyphens w:val="0"/>
              <w:snapToGrid w:val="0"/>
              <w:spacing w:after="160" w:line="240" w:lineRule="atLeast"/>
              <w:textAlignment w:val="auto"/>
              <w:rPr>
                <w:rFonts w:ascii="標楷體" w:eastAsia="標楷體" w:hAnsi="標楷體"/>
              </w:rPr>
            </w:pPr>
            <w:r>
              <w:rPr>
                <w:rFonts w:ascii="標楷體" w:eastAsia="標楷體" w:hAnsi="標楷體"/>
              </w:rPr>
              <w:t>這些腫脹情形所引起的身體不適 (如</w:t>
            </w:r>
            <w:proofErr w:type="gramStart"/>
            <w:r>
              <w:rPr>
                <w:rFonts w:ascii="標楷體" w:eastAsia="標楷體" w:hAnsi="標楷體"/>
              </w:rPr>
              <w:t>疼痛、灼熱</w:t>
            </w:r>
            <w:proofErr w:type="gramEnd"/>
            <w:r>
              <w:rPr>
                <w:rFonts w:ascii="標楷體" w:eastAsia="標楷體" w:hAnsi="標楷體"/>
              </w:rPr>
              <w:t>感、搔癢) 有多嚴重 (或曾經有多嚴重)？</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3BD730"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沒有不適</w:t>
            </w:r>
          </w:p>
        </w:tc>
      </w:tr>
      <w:tr w:rsidR="00401786" w14:paraId="6EDBE691"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5BC539"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A9F9AB"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輕微不適</w:t>
            </w:r>
          </w:p>
        </w:tc>
      </w:tr>
      <w:tr w:rsidR="00401786" w14:paraId="5E8DBF6F"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293387"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A766C"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中度不適</w:t>
            </w:r>
          </w:p>
        </w:tc>
      </w:tr>
      <w:tr w:rsidR="00401786" w14:paraId="1370DBB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5F9FC"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8431A2"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嚴重不適</w:t>
            </w:r>
          </w:p>
        </w:tc>
      </w:tr>
      <w:tr w:rsidR="00401786" w14:paraId="0E6BF779"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A99002" w14:textId="77777777" w:rsidR="00401786" w:rsidRDefault="00C64FB3" w:rsidP="002144EC">
            <w:pPr>
              <w:pStyle w:val="af"/>
              <w:widowControl/>
              <w:numPr>
                <w:ilvl w:val="0"/>
                <w:numId w:val="116"/>
              </w:numPr>
              <w:suppressAutoHyphens w:val="0"/>
              <w:snapToGrid w:val="0"/>
              <w:spacing w:after="160" w:line="240" w:lineRule="atLeast"/>
              <w:textAlignment w:val="auto"/>
              <w:rPr>
                <w:rFonts w:ascii="標楷體" w:eastAsia="標楷體" w:hAnsi="標楷體"/>
              </w:rPr>
            </w:pPr>
            <w:r>
              <w:rPr>
                <w:rFonts w:ascii="標楷體" w:eastAsia="標楷體" w:hAnsi="標楷體"/>
              </w:rPr>
              <w:t>在發生這些腫脹的</w:t>
            </w:r>
            <w:proofErr w:type="gramStart"/>
            <w:r>
              <w:rPr>
                <w:rFonts w:ascii="標楷體" w:eastAsia="標楷體" w:hAnsi="標楷體"/>
              </w:rPr>
              <w:t>期間，</w:t>
            </w:r>
            <w:proofErr w:type="gramEnd"/>
            <w:r>
              <w:rPr>
                <w:rFonts w:ascii="標楷體" w:eastAsia="標楷體" w:hAnsi="標楷體"/>
              </w:rPr>
              <w:t>您是否能夠維持日常活動？</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069416"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不受限制</w:t>
            </w:r>
          </w:p>
        </w:tc>
      </w:tr>
      <w:tr w:rsidR="00401786" w14:paraId="7BC739A9"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018A83"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2BAE36"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輕微受限</w:t>
            </w:r>
          </w:p>
        </w:tc>
      </w:tr>
      <w:tr w:rsidR="00401786" w14:paraId="7AC66A0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FC05C0"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756C3E"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嚴重受限</w:t>
            </w:r>
          </w:p>
        </w:tc>
      </w:tr>
      <w:tr w:rsidR="00401786" w14:paraId="29740F72"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70C7"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993ADC"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無法進行任何活動</w:t>
            </w:r>
          </w:p>
        </w:tc>
      </w:tr>
      <w:tr w:rsidR="00401786" w14:paraId="6C718067"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815643" w14:textId="77777777" w:rsidR="00401786" w:rsidRDefault="00C64FB3" w:rsidP="002144EC">
            <w:pPr>
              <w:pStyle w:val="af"/>
              <w:widowControl/>
              <w:numPr>
                <w:ilvl w:val="0"/>
                <w:numId w:val="116"/>
              </w:numPr>
              <w:suppressAutoHyphens w:val="0"/>
              <w:snapToGrid w:val="0"/>
              <w:spacing w:after="160" w:line="240" w:lineRule="atLeast"/>
              <w:textAlignment w:val="auto"/>
              <w:rPr>
                <w:rFonts w:ascii="標楷體" w:eastAsia="標楷體" w:hAnsi="標楷體"/>
              </w:rPr>
            </w:pPr>
            <w:r>
              <w:rPr>
                <w:rFonts w:ascii="標楷體" w:eastAsia="標楷體" w:hAnsi="標楷體"/>
              </w:rPr>
              <w:t>您覺得這些腫脹是否影響到您的外表？</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D73DFA"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沒有影響</w:t>
            </w:r>
          </w:p>
        </w:tc>
      </w:tr>
      <w:tr w:rsidR="00401786" w14:paraId="768FD62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57CE6D"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711BA"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有輕微影響</w:t>
            </w:r>
          </w:p>
        </w:tc>
      </w:tr>
      <w:tr w:rsidR="00401786" w14:paraId="1BDCA78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1757E2"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93381E"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有中度影響</w:t>
            </w:r>
          </w:p>
        </w:tc>
      </w:tr>
      <w:tr w:rsidR="00401786" w14:paraId="3DACCE80"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13843C"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C4F9B8"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有嚴重影響</w:t>
            </w:r>
          </w:p>
        </w:tc>
      </w:tr>
      <w:tr w:rsidR="00401786" w14:paraId="05CB281D"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7AE95B" w14:textId="77777777" w:rsidR="00401786" w:rsidRDefault="00C64FB3" w:rsidP="002144EC">
            <w:pPr>
              <w:pStyle w:val="af"/>
              <w:widowControl/>
              <w:numPr>
                <w:ilvl w:val="0"/>
                <w:numId w:val="116"/>
              </w:numPr>
              <w:suppressAutoHyphens w:val="0"/>
              <w:snapToGrid w:val="0"/>
              <w:spacing w:after="160" w:line="240" w:lineRule="atLeast"/>
              <w:textAlignment w:val="auto"/>
              <w:rPr>
                <w:rFonts w:ascii="標楷體" w:eastAsia="標楷體" w:hAnsi="標楷體"/>
              </w:rPr>
            </w:pPr>
            <w:r>
              <w:rPr>
                <w:rFonts w:ascii="標楷體" w:eastAsia="標楷體" w:hAnsi="標楷體"/>
              </w:rPr>
              <w:t>您認為這些腫脹的整體嚴重度如何？</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570E44"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可忽略</w:t>
            </w:r>
          </w:p>
        </w:tc>
      </w:tr>
      <w:tr w:rsidR="00401786" w14:paraId="483E1ACB"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CE991B"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D47FF7"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輕微</w:t>
            </w:r>
          </w:p>
        </w:tc>
      </w:tr>
      <w:tr w:rsidR="00401786" w14:paraId="0280F56D"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6C573"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218F3D"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中度</w:t>
            </w:r>
          </w:p>
        </w:tc>
      </w:tr>
      <w:tr w:rsidR="00401786" w14:paraId="04908392"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53F70B"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392D6D" w14:textId="77777777" w:rsidR="00401786" w:rsidRDefault="00C64FB3" w:rsidP="002144EC">
            <w:pPr>
              <w:pStyle w:val="af"/>
              <w:widowControl/>
              <w:numPr>
                <w:ilvl w:val="0"/>
                <w:numId w:val="117"/>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嚴重</w:t>
            </w:r>
          </w:p>
        </w:tc>
      </w:tr>
    </w:tbl>
    <w:p w14:paraId="25C1694F" w14:textId="77777777" w:rsidR="00C44BBD" w:rsidRDefault="00C44BBD" w:rsidP="000E757E">
      <w:pPr>
        <w:widowControl/>
        <w:spacing w:line="240" w:lineRule="atLeast"/>
        <w:ind w:left="240"/>
        <w:jc w:val="both"/>
        <w:rPr>
          <w:rFonts w:ascii="標楷體" w:eastAsia="標楷體" w:hAnsi="標楷體"/>
          <w:kern w:val="0"/>
          <w:sz w:val="32"/>
          <w:szCs w:val="32"/>
        </w:rPr>
      </w:pPr>
    </w:p>
    <w:p w14:paraId="1BB979EC" w14:textId="1B60FDD0" w:rsidR="00401786" w:rsidRPr="008359D5" w:rsidRDefault="00C64FB3" w:rsidP="00C44BBD">
      <w:pPr>
        <w:widowControl/>
        <w:suppressAutoHyphens w:val="0"/>
        <w:rPr>
          <w:rFonts w:ascii="標楷體" w:eastAsia="標楷體" w:hAnsi="標楷體"/>
          <w:b/>
          <w:bCs/>
          <w:kern w:val="0"/>
          <w:sz w:val="28"/>
          <w:szCs w:val="28"/>
        </w:rPr>
      </w:pPr>
      <w:r w:rsidRPr="008359D5">
        <w:rPr>
          <w:rFonts w:ascii="標楷體" w:eastAsia="標楷體" w:hAnsi="標楷體"/>
          <w:b/>
          <w:bCs/>
          <w:kern w:val="0"/>
          <w:sz w:val="28"/>
          <w:szCs w:val="28"/>
        </w:rPr>
        <w:lastRenderedPageBreak/>
        <w:t>附表三十四：肝炎治療醫療資源不足地區及山地離島地區一覽表</w:t>
      </w:r>
    </w:p>
    <w:tbl>
      <w:tblPr>
        <w:tblW w:w="9214" w:type="dxa"/>
        <w:jc w:val="center"/>
        <w:tblCellMar>
          <w:left w:w="10" w:type="dxa"/>
          <w:right w:w="10" w:type="dxa"/>
        </w:tblCellMar>
        <w:tblLook w:val="0000" w:firstRow="0" w:lastRow="0" w:firstColumn="0" w:lastColumn="0" w:noHBand="0" w:noVBand="0"/>
      </w:tblPr>
      <w:tblGrid>
        <w:gridCol w:w="1276"/>
        <w:gridCol w:w="1418"/>
        <w:gridCol w:w="6520"/>
      </w:tblGrid>
      <w:tr w:rsidR="00401786" w14:paraId="6EB69124" w14:textId="77777777">
        <w:trPr>
          <w:trHeight w:val="454"/>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87089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分區別</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62132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縣市別</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8587C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鄉鎮區別</w:t>
            </w:r>
          </w:p>
        </w:tc>
      </w:tr>
      <w:tr w:rsidR="00401786" w14:paraId="7A2D4122" w14:textId="77777777">
        <w:trPr>
          <w:trHeight w:val="300"/>
          <w:jc w:val="center"/>
        </w:trPr>
        <w:tc>
          <w:tcPr>
            <w:tcW w:w="127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EB0697" w14:textId="77777777" w:rsidR="00401786" w:rsidRDefault="00C64FB3" w:rsidP="000E757E">
            <w:pPr>
              <w:spacing w:line="240" w:lineRule="atLeast"/>
              <w:jc w:val="both"/>
              <w:rPr>
                <w:rFonts w:ascii="標楷體" w:eastAsia="標楷體" w:hAnsi="標楷體"/>
                <w:sz w:val="28"/>
                <w:szCs w:val="28"/>
              </w:rPr>
            </w:pPr>
            <w:proofErr w:type="gramStart"/>
            <w:r>
              <w:rPr>
                <w:rFonts w:ascii="標楷體" w:eastAsia="標楷體" w:hAnsi="標楷體"/>
                <w:sz w:val="28"/>
                <w:szCs w:val="28"/>
              </w:rPr>
              <w:t>臺</w:t>
            </w:r>
            <w:proofErr w:type="gramEnd"/>
            <w:r>
              <w:rPr>
                <w:rFonts w:ascii="標楷體" w:eastAsia="標楷體" w:hAnsi="標楷體"/>
                <w:sz w:val="28"/>
                <w:szCs w:val="28"/>
              </w:rPr>
              <w:t>北</w:t>
            </w:r>
          </w:p>
        </w:tc>
        <w:tc>
          <w:tcPr>
            <w:tcW w:w="141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F68BA1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新北市</w:t>
            </w:r>
          </w:p>
        </w:tc>
        <w:tc>
          <w:tcPr>
            <w:tcW w:w="6520" w:type="dxa"/>
            <w:tcBorders>
              <w:top w:val="single" w:sz="4" w:space="0" w:color="000000"/>
              <w:left w:val="double" w:sz="4" w:space="0" w:color="000000"/>
              <w:right w:val="single" w:sz="4" w:space="0" w:color="000000"/>
            </w:tcBorders>
            <w:shd w:val="clear" w:color="auto" w:fill="auto"/>
            <w:tcMar>
              <w:top w:w="0" w:type="dxa"/>
              <w:left w:w="108" w:type="dxa"/>
              <w:bottom w:w="0" w:type="dxa"/>
              <w:right w:w="108" w:type="dxa"/>
            </w:tcMar>
            <w:vAlign w:val="center"/>
          </w:tcPr>
          <w:p w14:paraId="3FB76868"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烏來區、石門區、坪林區、萬里區、雙溪區</w:t>
            </w:r>
          </w:p>
        </w:tc>
      </w:tr>
      <w:tr w:rsidR="00401786" w14:paraId="7410F242" w14:textId="77777777">
        <w:trPr>
          <w:trHeight w:val="340"/>
          <w:jc w:val="center"/>
        </w:trPr>
        <w:tc>
          <w:tcPr>
            <w:tcW w:w="12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28B003"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F523E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宜蘭縣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6F3353"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南澳鄉、大同鄉</w:t>
            </w:r>
          </w:p>
        </w:tc>
      </w:tr>
      <w:tr w:rsidR="00401786" w14:paraId="056D61FF" w14:textId="77777777">
        <w:trPr>
          <w:trHeight w:val="340"/>
          <w:jc w:val="center"/>
        </w:trPr>
        <w:tc>
          <w:tcPr>
            <w:tcW w:w="12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2AB899"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F8B1B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金門縣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6245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0E857FA2" w14:textId="77777777">
        <w:trPr>
          <w:trHeight w:val="340"/>
          <w:jc w:val="center"/>
        </w:trPr>
        <w:tc>
          <w:tcPr>
            <w:tcW w:w="12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552A2F"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402FE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連江縣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7AA12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7E42B65E" w14:textId="77777777">
        <w:trPr>
          <w:trHeight w:val="36"/>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327E263F"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北區</w:t>
            </w:r>
          </w:p>
        </w:tc>
        <w:tc>
          <w:tcPr>
            <w:tcW w:w="1418" w:type="dxa"/>
            <w:tcBorders>
              <w:top w:val="doub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C8E01CD"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桃園市</w:t>
            </w:r>
          </w:p>
        </w:tc>
        <w:tc>
          <w:tcPr>
            <w:tcW w:w="6520" w:type="dxa"/>
            <w:tcBorders>
              <w:top w:val="double" w:sz="4" w:space="0" w:color="000000"/>
              <w:left w:val="double" w:sz="4" w:space="0" w:color="000000"/>
              <w:right w:val="single" w:sz="4" w:space="0" w:color="000000"/>
            </w:tcBorders>
            <w:shd w:val="clear" w:color="auto" w:fill="auto"/>
            <w:tcMar>
              <w:top w:w="0" w:type="dxa"/>
              <w:left w:w="108" w:type="dxa"/>
              <w:bottom w:w="0" w:type="dxa"/>
              <w:right w:w="108" w:type="dxa"/>
            </w:tcMar>
            <w:vAlign w:val="center"/>
          </w:tcPr>
          <w:p w14:paraId="5EE7D0D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復興區</w:t>
            </w:r>
          </w:p>
        </w:tc>
      </w:tr>
      <w:tr w:rsidR="00401786" w14:paraId="482BB6ED"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605B292F"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47E5CA"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新竹縣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473791"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五峰鄉、尖石鄉</w:t>
            </w:r>
          </w:p>
        </w:tc>
      </w:tr>
      <w:tr w:rsidR="00401786" w14:paraId="46E969C2"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501588AD"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652921DF"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苗栗縣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6055DB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泰安鄉</w:t>
            </w:r>
          </w:p>
        </w:tc>
      </w:tr>
      <w:tr w:rsidR="00401786" w14:paraId="53F3DD6D" w14:textId="77777777">
        <w:trPr>
          <w:trHeight w:val="397"/>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38B128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中區</w:t>
            </w:r>
          </w:p>
        </w:tc>
        <w:tc>
          <w:tcPr>
            <w:tcW w:w="1418" w:type="dxa"/>
            <w:tcBorders>
              <w:top w:val="doub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9522008"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台中市</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390B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和平區、大安區</w:t>
            </w:r>
          </w:p>
        </w:tc>
      </w:tr>
      <w:tr w:rsidR="00401786" w14:paraId="612B66D1"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D827EBB"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44A78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彰化縣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A8BA1"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大城鄉、芳苑鄉、埤頭鄉、福興鄉、線西鄉、田尾鄉、埔鹽鄉、溪州鄉</w:t>
            </w:r>
          </w:p>
        </w:tc>
      </w:tr>
      <w:tr w:rsidR="00401786" w14:paraId="41F35C36"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59145D21"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D45A8D4"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南投縣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46AD828"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國姓鄉、信義鄉、仁愛鄉</w:t>
            </w:r>
          </w:p>
        </w:tc>
      </w:tr>
      <w:tr w:rsidR="00401786" w14:paraId="1B4061C3" w14:textId="77777777">
        <w:trPr>
          <w:trHeight w:val="340"/>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302549D4"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南區</w:t>
            </w:r>
          </w:p>
        </w:tc>
        <w:tc>
          <w:tcPr>
            <w:tcW w:w="1418" w:type="dxa"/>
            <w:tcBorders>
              <w:top w:val="doub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8E051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雲林縣</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64EF62"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7A4CF926"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FF3438B"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72ECD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嘉義市</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F4903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68180941"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5FF2AFA"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20A28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嘉義縣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0893B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6A8D0E66" w14:textId="77777777">
        <w:trPr>
          <w:trHeight w:val="758"/>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D27F5C6"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10CB41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台南市</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5F6616FF"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排除中西區、安平區、安南區及南區，其餘原台南縣鄉鎮區域持續列為醫療資源不足地區</w:t>
            </w:r>
          </w:p>
        </w:tc>
      </w:tr>
      <w:tr w:rsidR="00401786" w14:paraId="4C8B4DF4" w14:textId="77777777">
        <w:trPr>
          <w:trHeight w:val="413"/>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06E5B9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高屏</w:t>
            </w:r>
          </w:p>
        </w:tc>
        <w:tc>
          <w:tcPr>
            <w:tcW w:w="1418" w:type="dxa"/>
            <w:tcBorders>
              <w:top w:val="doub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4BC5EF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高雄市</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94CD0E"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那瑪夏區、桃源區、茂林區</w:t>
            </w:r>
          </w:p>
        </w:tc>
      </w:tr>
      <w:tr w:rsidR="00401786" w14:paraId="07634297" w14:textId="77777777">
        <w:trPr>
          <w:trHeight w:val="68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173A6881"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C7CEB1"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屏東縣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512E2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琉球鄉、新園鄉、霧台鄉、枋山鄉、獅子鄉、三地門鄉、車城鄉、來義鄉、春日鄉、泰武鄉、長治鄉、崁頂鄉、萬巒鄉、麟洛鄉、瑪家鄉、牡丹鄉</w:t>
            </w:r>
          </w:p>
        </w:tc>
      </w:tr>
      <w:tr w:rsidR="00401786" w14:paraId="5C078D58"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5FE60D8"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AD5E49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澎湖縣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AAFF99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0598AD64" w14:textId="77777777">
        <w:trPr>
          <w:trHeight w:val="340"/>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28C6413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東區</w:t>
            </w:r>
          </w:p>
        </w:tc>
        <w:tc>
          <w:tcPr>
            <w:tcW w:w="1418" w:type="dxa"/>
            <w:tcBorders>
              <w:top w:val="doub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C1739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花蓮縣</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C24B3"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秀林鄉、萬榮鄉、卓溪鄉</w:t>
            </w:r>
          </w:p>
        </w:tc>
      </w:tr>
      <w:tr w:rsidR="00401786" w14:paraId="47085A00"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D4077F2"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3D46559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台東縣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E4EFB3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海端鄉、延平鄉、金峰鄉、達仁鄉、蘭嶼鄉、綠島鄉</w:t>
            </w:r>
          </w:p>
        </w:tc>
      </w:tr>
    </w:tbl>
    <w:p w14:paraId="267196DB" w14:textId="77777777" w:rsidR="00401786" w:rsidRDefault="00401786" w:rsidP="000E757E">
      <w:pPr>
        <w:snapToGrid w:val="0"/>
        <w:spacing w:line="240" w:lineRule="atLeast"/>
        <w:rPr>
          <w:rFonts w:eastAsia="標楷體"/>
          <w:sz w:val="28"/>
          <w:szCs w:val="28"/>
        </w:rPr>
      </w:pPr>
    </w:p>
    <w:p w14:paraId="6EB515C4" w14:textId="77777777" w:rsidR="00401786" w:rsidRDefault="00401786" w:rsidP="000E757E">
      <w:pPr>
        <w:snapToGrid w:val="0"/>
        <w:spacing w:line="240" w:lineRule="atLeast"/>
        <w:rPr>
          <w:rFonts w:ascii="標楷體" w:eastAsia="標楷體" w:hAnsi="標楷體"/>
          <w:color w:val="000000"/>
        </w:rPr>
      </w:pPr>
    </w:p>
    <w:p w14:paraId="3410E19C" w14:textId="77777777" w:rsidR="00401786" w:rsidRDefault="00401786" w:rsidP="000E757E">
      <w:pPr>
        <w:snapToGrid w:val="0"/>
        <w:spacing w:line="240" w:lineRule="atLeast"/>
        <w:rPr>
          <w:rFonts w:ascii="標楷體" w:eastAsia="標楷體" w:hAnsi="標楷體"/>
          <w:color w:val="000000"/>
        </w:rPr>
      </w:pPr>
    </w:p>
    <w:p w14:paraId="06ABFC9C" w14:textId="77777777" w:rsidR="00401786" w:rsidRDefault="00401786" w:rsidP="000E757E">
      <w:pPr>
        <w:snapToGrid w:val="0"/>
        <w:spacing w:line="240" w:lineRule="atLeast"/>
        <w:rPr>
          <w:rFonts w:ascii="標楷體" w:eastAsia="標楷體" w:hAnsi="標楷體"/>
          <w:color w:val="000000"/>
        </w:rPr>
      </w:pPr>
    </w:p>
    <w:p w14:paraId="0F06A579" w14:textId="77777777" w:rsidR="00401786" w:rsidRDefault="00401786" w:rsidP="000E757E">
      <w:pPr>
        <w:snapToGrid w:val="0"/>
        <w:spacing w:line="240" w:lineRule="atLeast"/>
        <w:rPr>
          <w:rFonts w:ascii="標楷體" w:eastAsia="標楷體" w:hAnsi="標楷體"/>
          <w:color w:val="000000"/>
        </w:rPr>
      </w:pPr>
    </w:p>
    <w:p w14:paraId="0D06BA4C" w14:textId="77777777" w:rsidR="00401786" w:rsidRDefault="00401786" w:rsidP="000E757E">
      <w:pPr>
        <w:snapToGrid w:val="0"/>
        <w:spacing w:line="240" w:lineRule="atLeast"/>
        <w:rPr>
          <w:rFonts w:ascii="標楷體" w:eastAsia="標楷體" w:hAnsi="標楷體"/>
          <w:color w:val="000000"/>
        </w:rPr>
      </w:pPr>
    </w:p>
    <w:p w14:paraId="5625B6F2" w14:textId="77777777" w:rsidR="00401786" w:rsidRDefault="00401786" w:rsidP="000E757E">
      <w:pPr>
        <w:snapToGrid w:val="0"/>
        <w:spacing w:line="240" w:lineRule="atLeast"/>
        <w:rPr>
          <w:rFonts w:ascii="標楷體" w:eastAsia="標楷體" w:hAnsi="標楷體"/>
          <w:color w:val="000000"/>
        </w:rPr>
      </w:pPr>
    </w:p>
    <w:p w14:paraId="7FE84ABC" w14:textId="77777777" w:rsidR="00401786" w:rsidRDefault="00401786" w:rsidP="000E757E">
      <w:pPr>
        <w:snapToGrid w:val="0"/>
        <w:spacing w:line="240" w:lineRule="atLeast"/>
        <w:rPr>
          <w:rFonts w:ascii="標楷體" w:eastAsia="標楷體" w:hAnsi="標楷體"/>
          <w:color w:val="000000"/>
        </w:rPr>
      </w:pPr>
    </w:p>
    <w:p w14:paraId="0433551C" w14:textId="4054CAB2" w:rsidR="00C44BBD" w:rsidRDefault="00C44BBD">
      <w:pPr>
        <w:widowControl/>
        <w:suppressAutoHyphens w:val="0"/>
        <w:rPr>
          <w:rFonts w:ascii="Arial" w:eastAsia="標楷體" w:hAnsi="Arial" w:cs="Arial"/>
          <w:b/>
          <w:sz w:val="28"/>
          <w:szCs w:val="28"/>
          <w:u w:val="single"/>
        </w:rPr>
      </w:pPr>
    </w:p>
    <w:p w14:paraId="08ED74AF" w14:textId="77777777" w:rsidR="00C44BBD" w:rsidRDefault="00C44BBD">
      <w:pPr>
        <w:widowControl/>
        <w:suppressAutoHyphens w:val="0"/>
        <w:rPr>
          <w:rFonts w:ascii="Arial" w:eastAsia="標楷體" w:hAnsi="Arial" w:cs="Arial"/>
          <w:b/>
          <w:sz w:val="28"/>
          <w:szCs w:val="28"/>
          <w:u w:val="single"/>
        </w:rPr>
      </w:pPr>
      <w:r>
        <w:rPr>
          <w:rFonts w:ascii="Arial" w:eastAsia="標楷體" w:hAnsi="Arial" w:cs="Arial"/>
          <w:b/>
          <w:sz w:val="28"/>
          <w:szCs w:val="28"/>
          <w:u w:val="single"/>
        </w:rPr>
        <w:br w:type="page"/>
      </w:r>
    </w:p>
    <w:p w14:paraId="07E7E861" w14:textId="7F8E15F6" w:rsidR="00401786" w:rsidRDefault="00C64FB3" w:rsidP="008359D5">
      <w:pPr>
        <w:widowControl/>
        <w:spacing w:line="300" w:lineRule="exact"/>
        <w:ind w:left="-142"/>
        <w:jc w:val="center"/>
      </w:pPr>
      <w:r>
        <w:rPr>
          <w:rFonts w:ascii="Arial" w:eastAsia="標楷體" w:hAnsi="Arial" w:cs="Arial"/>
          <w:b/>
          <w:sz w:val="28"/>
          <w:szCs w:val="28"/>
          <w:u w:val="single"/>
        </w:rPr>
        <w:lastRenderedPageBreak/>
        <w:t>附表三十五</w:t>
      </w:r>
      <w:r>
        <w:rPr>
          <w:rFonts w:ascii="新細明體" w:hAnsi="新細明體" w:cs="Arial"/>
          <w:b/>
          <w:sz w:val="28"/>
          <w:szCs w:val="28"/>
          <w:u w:val="single"/>
        </w:rPr>
        <w:t>：</w:t>
      </w:r>
      <w:r>
        <w:rPr>
          <w:rFonts w:ascii="Arial" w:eastAsia="標楷體" w:hAnsi="Arial" w:cs="Arial"/>
          <w:b/>
          <w:sz w:val="28"/>
          <w:szCs w:val="28"/>
          <w:u w:val="single"/>
        </w:rPr>
        <w:t>成人中風後之手臂或下肢痙攣</w:t>
      </w:r>
      <w:r>
        <w:rPr>
          <w:rFonts w:ascii="Arial" w:eastAsia="標楷體" w:hAnsi="Arial" w:cs="Arial"/>
          <w:b/>
          <w:sz w:val="28"/>
          <w:szCs w:val="28"/>
          <w:u w:val="single"/>
        </w:rPr>
        <w:t xml:space="preserve"> </w:t>
      </w:r>
    </w:p>
    <w:p w14:paraId="66CA7BB8" w14:textId="77777777" w:rsidR="00401786" w:rsidRDefault="00C64FB3" w:rsidP="008359D5">
      <w:pPr>
        <w:widowControl/>
        <w:spacing w:line="300" w:lineRule="exact"/>
        <w:ind w:left="-142"/>
        <w:jc w:val="center"/>
        <w:rPr>
          <w:rFonts w:ascii="Arial" w:eastAsia="標楷體" w:hAnsi="Arial" w:cs="Arial"/>
          <w:b/>
          <w:bCs/>
          <w:color w:val="000000"/>
          <w:sz w:val="28"/>
          <w:szCs w:val="28"/>
          <w:u w:val="single"/>
        </w:rPr>
      </w:pPr>
      <w:r>
        <w:rPr>
          <w:rFonts w:ascii="Arial" w:eastAsia="標楷體" w:hAnsi="Arial" w:cs="Arial"/>
          <w:b/>
          <w:bCs/>
          <w:color w:val="000000"/>
          <w:sz w:val="28"/>
          <w:szCs w:val="28"/>
          <w:u w:val="single"/>
        </w:rPr>
        <w:t>肉毒桿菌素再次申請治療效果評估表</w:t>
      </w:r>
    </w:p>
    <w:p w14:paraId="00F941AD" w14:textId="77777777" w:rsidR="00401786" w:rsidRDefault="00C64FB3" w:rsidP="008359D5">
      <w:pPr>
        <w:pStyle w:val="ab"/>
        <w:tabs>
          <w:tab w:val="left" w:pos="2356"/>
          <w:tab w:val="left" w:pos="2552"/>
          <w:tab w:val="left" w:pos="3325"/>
        </w:tabs>
        <w:spacing w:before="240" w:line="300" w:lineRule="exact"/>
        <w:ind w:left="-142" w:firstLine="114"/>
      </w:pPr>
      <w:r>
        <w:rPr>
          <w:rFonts w:ascii="Arial" w:eastAsia="標楷體" w:hAnsi="Arial" w:cs="Arial"/>
          <w:color w:val="221815"/>
          <w:w w:val="95"/>
        </w:rPr>
        <w:t>姓名</w:t>
      </w:r>
      <w:r>
        <w:rPr>
          <w:rFonts w:ascii="Arial" w:eastAsia="標楷體" w:hAnsi="Arial" w:cs="Arial"/>
          <w:color w:val="221815"/>
          <w:w w:val="95"/>
          <w:u w:val="single" w:color="221815"/>
        </w:rPr>
        <w:t xml:space="preserve">                           </w:t>
      </w:r>
      <w:r>
        <w:rPr>
          <w:rFonts w:ascii="Arial" w:eastAsia="標楷體" w:hAnsi="Arial" w:cs="Arial"/>
          <w:color w:val="221815"/>
        </w:rPr>
        <w:t>病歷號碼</w:t>
      </w:r>
      <w:r>
        <w:rPr>
          <w:rFonts w:ascii="Arial" w:eastAsia="標楷體" w:hAnsi="Arial" w:cs="Arial"/>
          <w:color w:val="221815"/>
          <w:w w:val="95"/>
          <w:u w:val="single" w:color="221815"/>
        </w:rPr>
        <w:t xml:space="preserve">                                     </w:t>
      </w:r>
      <w:r>
        <w:rPr>
          <w:rFonts w:ascii="Arial" w:eastAsia="標楷體" w:hAnsi="Arial" w:cs="Arial"/>
          <w:color w:val="221815"/>
        </w:rPr>
        <w:t xml:space="preserve">  </w:t>
      </w:r>
      <w:r>
        <w:rPr>
          <w:rFonts w:ascii="Arial" w:eastAsia="標楷體" w:hAnsi="Arial" w:cs="Arial"/>
          <w:color w:val="221815"/>
        </w:rPr>
        <w:t>一年施打總劑量：</w:t>
      </w:r>
      <w:r>
        <w:rPr>
          <w:rFonts w:ascii="Arial" w:eastAsia="標楷體" w:hAnsi="Arial" w:cs="Arial"/>
          <w:color w:val="221815"/>
        </w:rPr>
        <w:t xml:space="preserve"> </w:t>
      </w:r>
      <w:r>
        <w:rPr>
          <w:rFonts w:ascii="Arial" w:eastAsia="標楷體" w:hAnsi="Arial" w:cs="Arial"/>
          <w:szCs w:val="28"/>
        </w:rPr>
        <w:t>手臂</w:t>
      </w:r>
      <w:r>
        <w:rPr>
          <w:rFonts w:ascii="Arial" w:eastAsia="標楷體" w:hAnsi="Arial" w:cs="Arial"/>
          <w:color w:val="221815"/>
          <w:w w:val="95"/>
          <w:u w:val="single" w:color="221815"/>
        </w:rPr>
        <w:t xml:space="preserve">      </w:t>
      </w:r>
      <w:r>
        <w:rPr>
          <w:rFonts w:ascii="Arial" w:eastAsia="標楷體" w:hAnsi="Arial" w:cs="Arial"/>
          <w:color w:val="221815"/>
          <w:w w:val="95"/>
        </w:rPr>
        <w:t xml:space="preserve">units, </w:t>
      </w:r>
      <w:r>
        <w:rPr>
          <w:rFonts w:ascii="Arial" w:eastAsia="標楷體" w:hAnsi="Arial" w:cs="Arial"/>
          <w:szCs w:val="28"/>
        </w:rPr>
        <w:t>下肢</w:t>
      </w:r>
      <w:r>
        <w:rPr>
          <w:rFonts w:ascii="Arial" w:eastAsia="標楷體" w:hAnsi="Arial" w:cs="Arial"/>
          <w:color w:val="221815"/>
          <w:w w:val="95"/>
          <w:u w:val="single" w:color="221815"/>
        </w:rPr>
        <w:t xml:space="preserve">       </w:t>
      </w:r>
      <w:r>
        <w:rPr>
          <w:rFonts w:ascii="Arial" w:eastAsia="標楷體" w:hAnsi="Arial" w:cs="Arial"/>
          <w:color w:val="221815"/>
          <w:w w:val="95"/>
        </w:rPr>
        <w:t>units</w:t>
      </w:r>
    </w:p>
    <w:p w14:paraId="755938AD" w14:textId="77777777" w:rsidR="00401786" w:rsidRDefault="00C64FB3" w:rsidP="008359D5">
      <w:pPr>
        <w:pStyle w:val="ab"/>
        <w:tabs>
          <w:tab w:val="left" w:pos="2356"/>
          <w:tab w:val="left" w:pos="2552"/>
          <w:tab w:val="left" w:pos="3325"/>
        </w:tabs>
        <w:spacing w:line="300" w:lineRule="exact"/>
        <w:ind w:left="-142" w:firstLine="114"/>
      </w:pPr>
      <w:r>
        <w:rPr>
          <w:rFonts w:ascii="Arial" w:eastAsia="標楷體" w:hAnsi="Arial" w:cs="Arial"/>
          <w:color w:val="221815"/>
          <w:w w:val="95"/>
        </w:rPr>
        <w:t>注射部位</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左側</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右側</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上肢</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下肢</w:t>
      </w:r>
      <w:r>
        <w:rPr>
          <w:rFonts w:ascii="Arial" w:eastAsia="標楷體" w:hAnsi="Arial" w:cs="Arial"/>
          <w:color w:val="221815"/>
          <w:w w:val="95"/>
        </w:rPr>
        <w:t xml:space="preserve">    </w:t>
      </w:r>
      <w:r>
        <w:rPr>
          <w:rFonts w:ascii="Arial" w:eastAsia="標楷體" w:hAnsi="Arial" w:cs="Arial"/>
          <w:color w:val="221815"/>
          <w:w w:val="95"/>
        </w:rPr>
        <w:t>注射藥物</w:t>
      </w:r>
      <w:r>
        <w:rPr>
          <w:rFonts w:ascii="Arial" w:eastAsia="標楷體" w:hAnsi="Arial" w:cs="Arial"/>
          <w:color w:val="221815"/>
          <w:w w:val="95"/>
        </w:rPr>
        <w:t xml:space="preserve"> </w:t>
      </w:r>
      <w:r>
        <w:rPr>
          <w:rFonts w:ascii="標楷體" w:eastAsia="標楷體" w:hAnsi="標楷體" w:cs="Arial"/>
          <w:color w:val="221815"/>
          <w:w w:val="95"/>
        </w:rPr>
        <w:t xml:space="preserve">□ </w:t>
      </w:r>
      <w:r>
        <w:rPr>
          <w:rFonts w:eastAsia="標楷體"/>
          <w:color w:val="221815"/>
          <w:w w:val="95"/>
        </w:rPr>
        <w:t>Botox</w:t>
      </w:r>
      <w:r>
        <w:rPr>
          <w:rFonts w:ascii="標楷體" w:eastAsia="標楷體" w:hAnsi="標楷體" w:cs="Arial"/>
          <w:color w:val="221815"/>
          <w:w w:val="95"/>
        </w:rPr>
        <w:t xml:space="preserve">   □ </w:t>
      </w:r>
      <w:r>
        <w:rPr>
          <w:rFonts w:eastAsia="標楷體"/>
          <w:color w:val="221815"/>
          <w:w w:val="95"/>
        </w:rPr>
        <w:t>Dysport</w:t>
      </w:r>
    </w:p>
    <w:tbl>
      <w:tblPr>
        <w:tblW w:w="5000" w:type="pct"/>
        <w:tblCellMar>
          <w:left w:w="10" w:type="dxa"/>
          <w:right w:w="10" w:type="dxa"/>
        </w:tblCellMar>
        <w:tblLook w:val="0000" w:firstRow="0" w:lastRow="0" w:firstColumn="0" w:lastColumn="0" w:noHBand="0" w:noVBand="0"/>
      </w:tblPr>
      <w:tblGrid>
        <w:gridCol w:w="362"/>
        <w:gridCol w:w="1690"/>
        <w:gridCol w:w="3158"/>
        <w:gridCol w:w="858"/>
        <w:gridCol w:w="1151"/>
        <w:gridCol w:w="1151"/>
        <w:gridCol w:w="410"/>
        <w:gridCol w:w="410"/>
        <w:gridCol w:w="542"/>
      </w:tblGrid>
      <w:tr w:rsidR="00401786" w14:paraId="63BB5EAF" w14:textId="77777777">
        <w:trPr>
          <w:trHeight w:val="262"/>
        </w:trPr>
        <w:tc>
          <w:tcPr>
            <w:tcW w:w="361"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7AE032D7" w14:textId="77777777" w:rsidR="00401786" w:rsidRDefault="00C64FB3" w:rsidP="000E757E">
            <w:pPr>
              <w:widowControl/>
              <w:spacing w:line="240" w:lineRule="atLeast"/>
              <w:ind w:left="-142"/>
              <w:jc w:val="center"/>
            </w:pPr>
            <w:proofErr w:type="gramStart"/>
            <w:r>
              <w:rPr>
                <w:rFonts w:eastAsia="標楷體"/>
                <w:b/>
                <w:bCs/>
                <w:color w:val="000000"/>
              </w:rPr>
              <w:t>Upper  Limb</w:t>
            </w:r>
            <w:proofErr w:type="gramEnd"/>
            <w:r>
              <w:rPr>
                <w:rFonts w:eastAsia="標楷體"/>
                <w:color w:val="000000"/>
              </w:rPr>
              <w:t xml:space="preserve"> </w:t>
            </w: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60B605D" w14:textId="77777777" w:rsidR="00401786" w:rsidRDefault="00C64FB3" w:rsidP="000E757E">
            <w:pPr>
              <w:widowControl/>
              <w:spacing w:line="240" w:lineRule="atLeast"/>
              <w:ind w:left="14"/>
              <w:rPr>
                <w:rFonts w:eastAsia="標楷體"/>
                <w:color w:val="221815"/>
              </w:rPr>
            </w:pPr>
            <w:r>
              <w:rPr>
                <w:rFonts w:eastAsia="標楷體"/>
                <w:color w:val="221815"/>
              </w:rPr>
              <w:t>Clinical Pattern</w:t>
            </w:r>
          </w:p>
        </w:tc>
        <w:tc>
          <w:tcPr>
            <w:tcW w:w="3159"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D7C85CE" w14:textId="77777777" w:rsidR="00401786" w:rsidRDefault="00C64FB3" w:rsidP="000E757E">
            <w:pPr>
              <w:widowControl/>
              <w:spacing w:line="240" w:lineRule="atLeast"/>
              <w:ind w:left="-12"/>
              <w:rPr>
                <w:rFonts w:eastAsia="標楷體"/>
                <w:color w:val="221815"/>
              </w:rPr>
            </w:pPr>
            <w:r>
              <w:rPr>
                <w:rFonts w:eastAsia="標楷體"/>
                <w:color w:val="221815"/>
              </w:rPr>
              <w:t>Potential Muscle involved</w:t>
            </w:r>
          </w:p>
        </w:tc>
        <w:tc>
          <w:tcPr>
            <w:tcW w:w="858"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D262E9E" w14:textId="77777777" w:rsidR="00401786" w:rsidRDefault="00C64FB3" w:rsidP="000E757E">
            <w:pPr>
              <w:widowControl/>
              <w:spacing w:line="240" w:lineRule="atLeast"/>
              <w:ind w:left="-142"/>
              <w:jc w:val="center"/>
            </w:pPr>
            <w:r>
              <w:rPr>
                <w:color w:val="070002"/>
              </w:rPr>
              <w:t>Modified Ashworth Scale</w:t>
            </w:r>
            <w:r>
              <w:rPr>
                <w:rFonts w:eastAsia="標楷體"/>
                <w:color w:val="000000"/>
              </w:rPr>
              <w:t xml:space="preserve"> </w:t>
            </w:r>
          </w:p>
          <w:p w14:paraId="2CD723C3" w14:textId="77777777" w:rsidR="00401786" w:rsidRDefault="00C64FB3" w:rsidP="000E757E">
            <w:pPr>
              <w:widowControl/>
              <w:spacing w:line="240" w:lineRule="atLeast"/>
              <w:ind w:left="-142"/>
              <w:jc w:val="center"/>
              <w:rPr>
                <w:rFonts w:eastAsia="標楷體"/>
                <w:color w:val="000000"/>
              </w:rPr>
            </w:pPr>
            <w:r>
              <w:rPr>
                <w:rFonts w:eastAsia="標楷體"/>
                <w:color w:val="000000"/>
              </w:rPr>
              <w:t>(</w:t>
            </w:r>
            <w:r>
              <w:rPr>
                <w:rFonts w:eastAsia="標楷體"/>
                <w:color w:val="000000"/>
              </w:rPr>
              <w:t>注射相關</w:t>
            </w:r>
          </w:p>
          <w:p w14:paraId="5483CACD" w14:textId="77777777" w:rsidR="00401786" w:rsidRDefault="00C64FB3" w:rsidP="000E757E">
            <w:pPr>
              <w:widowControl/>
              <w:spacing w:line="240" w:lineRule="atLeast"/>
              <w:ind w:left="-142"/>
              <w:jc w:val="center"/>
            </w:pPr>
            <w:proofErr w:type="gramStart"/>
            <w:r>
              <w:rPr>
                <w:rFonts w:eastAsia="標楷體"/>
                <w:color w:val="000000"/>
              </w:rPr>
              <w:t>部位必填</w:t>
            </w:r>
            <w:proofErr w:type="gramEnd"/>
            <w:r>
              <w:rPr>
                <w:rFonts w:eastAsia="標楷體"/>
                <w:color w:val="000000"/>
              </w:rPr>
              <w:t>)</w:t>
            </w:r>
          </w:p>
        </w:tc>
        <w:tc>
          <w:tcPr>
            <w:tcW w:w="2302"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F0807F1"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ROM (R1/R2) </w:t>
            </w:r>
          </w:p>
          <w:p w14:paraId="522590DA" w14:textId="77777777" w:rsidR="00401786" w:rsidRDefault="00C64FB3" w:rsidP="000E757E">
            <w:pPr>
              <w:widowControl/>
              <w:spacing w:line="240" w:lineRule="atLeast"/>
              <w:ind w:left="-142"/>
              <w:jc w:val="center"/>
              <w:rPr>
                <w:rFonts w:eastAsia="標楷體"/>
                <w:color w:val="000000"/>
              </w:rPr>
            </w:pPr>
            <w:r>
              <w:rPr>
                <w:rFonts w:eastAsia="標楷體"/>
                <w:color w:val="000000"/>
              </w:rPr>
              <w:t>(</w:t>
            </w:r>
            <w:r>
              <w:rPr>
                <w:rFonts w:eastAsia="標楷體"/>
                <w:color w:val="000000"/>
              </w:rPr>
              <w:t>依需要填寫</w:t>
            </w:r>
            <w:r>
              <w:rPr>
                <w:rFonts w:eastAsia="標楷體"/>
                <w:color w:val="000000"/>
              </w:rPr>
              <w:t>)</w:t>
            </w:r>
          </w:p>
        </w:tc>
        <w:tc>
          <w:tcPr>
            <w:tcW w:w="82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632CF0B" w14:textId="77777777" w:rsidR="00401786" w:rsidRDefault="00C64FB3" w:rsidP="000E757E">
            <w:pPr>
              <w:widowControl/>
              <w:spacing w:line="240" w:lineRule="atLeast"/>
              <w:ind w:left="-142"/>
              <w:jc w:val="center"/>
            </w:pPr>
            <w:r>
              <w:rPr>
                <w:rFonts w:eastAsia="標楷體"/>
                <w:color w:val="000000"/>
                <w:lang w:val="zh-TW"/>
              </w:rPr>
              <w:t>是否改善</w:t>
            </w:r>
          </w:p>
        </w:tc>
        <w:tc>
          <w:tcPr>
            <w:tcW w:w="542"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63D9649" w14:textId="77777777" w:rsidR="00401786" w:rsidRDefault="00C64FB3" w:rsidP="000E757E">
            <w:pPr>
              <w:widowControl/>
              <w:spacing w:line="240" w:lineRule="atLeast"/>
              <w:ind w:left="-142"/>
              <w:jc w:val="center"/>
              <w:rPr>
                <w:rFonts w:eastAsia="標楷體"/>
                <w:color w:val="000000"/>
                <w:lang w:val="zh-TW"/>
              </w:rPr>
            </w:pPr>
            <w:r>
              <w:rPr>
                <w:rFonts w:eastAsia="標楷體"/>
                <w:color w:val="000000"/>
                <w:lang w:val="zh-TW"/>
              </w:rPr>
              <w:t>擬注射劑量</w:t>
            </w:r>
            <w:r>
              <w:rPr>
                <w:rFonts w:eastAsia="標楷體"/>
                <w:color w:val="000000"/>
                <w:lang w:val="zh-TW"/>
              </w:rPr>
              <w:t>(units)</w:t>
            </w:r>
          </w:p>
        </w:tc>
      </w:tr>
      <w:tr w:rsidR="00401786" w14:paraId="522A977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62C5C8E"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EE78C87" w14:textId="77777777" w:rsidR="00401786" w:rsidRDefault="00401786" w:rsidP="000E757E">
            <w:pPr>
              <w:widowControl/>
              <w:spacing w:line="240" w:lineRule="atLeast"/>
              <w:ind w:left="14"/>
              <w:rPr>
                <w:rFonts w:eastAsia="標楷體"/>
                <w:color w:val="221815"/>
              </w:rPr>
            </w:pPr>
          </w:p>
        </w:tc>
        <w:tc>
          <w:tcPr>
            <w:tcW w:w="3159"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406E1D2" w14:textId="77777777" w:rsidR="00401786" w:rsidRDefault="00401786" w:rsidP="000E757E">
            <w:pPr>
              <w:widowControl/>
              <w:spacing w:line="240" w:lineRule="atLeast"/>
              <w:ind w:left="-12"/>
              <w:rPr>
                <w:rFonts w:eastAsia="標楷體"/>
                <w:color w:val="221815"/>
              </w:rPr>
            </w:pPr>
          </w:p>
        </w:tc>
        <w:tc>
          <w:tcPr>
            <w:tcW w:w="858"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71219C4" w14:textId="77777777" w:rsidR="00401786" w:rsidRDefault="00401786" w:rsidP="000E757E">
            <w:pPr>
              <w:widowControl/>
              <w:spacing w:line="240" w:lineRule="atLeast"/>
              <w:ind w:left="-142"/>
              <w:jc w:val="center"/>
              <w:rPr>
                <w:rFonts w:eastAsia="標楷體"/>
                <w:color w:val="000000"/>
              </w:rPr>
            </w:pPr>
          </w:p>
        </w:tc>
        <w:tc>
          <w:tcPr>
            <w:tcW w:w="1151"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C73644D"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Initial </w:t>
            </w:r>
          </w:p>
          <w:p w14:paraId="41DB8742"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Angle </w:t>
            </w:r>
          </w:p>
        </w:tc>
        <w:tc>
          <w:tcPr>
            <w:tcW w:w="1151"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1DE0CC0A"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Review </w:t>
            </w:r>
          </w:p>
          <w:p w14:paraId="54006609"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Angle </w:t>
            </w:r>
          </w:p>
        </w:tc>
        <w:tc>
          <w:tcPr>
            <w:tcW w:w="410"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E574F45" w14:textId="77777777" w:rsidR="00401786" w:rsidRDefault="00C64FB3" w:rsidP="000E757E">
            <w:pPr>
              <w:widowControl/>
              <w:spacing w:line="240" w:lineRule="atLeast"/>
              <w:ind w:left="-142"/>
              <w:jc w:val="center"/>
            </w:pPr>
            <w:r>
              <w:rPr>
                <w:rFonts w:eastAsia="標楷體"/>
                <w:color w:val="000000"/>
                <w:lang w:val="zh-TW"/>
              </w:rPr>
              <w:t>是</w:t>
            </w:r>
          </w:p>
        </w:tc>
        <w:tc>
          <w:tcPr>
            <w:tcW w:w="410"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688E866" w14:textId="77777777" w:rsidR="00401786" w:rsidRDefault="00C64FB3" w:rsidP="000E757E">
            <w:pPr>
              <w:widowControl/>
              <w:spacing w:line="240" w:lineRule="atLeast"/>
              <w:ind w:left="-142"/>
              <w:jc w:val="center"/>
            </w:pPr>
            <w:r>
              <w:rPr>
                <w:rFonts w:eastAsia="標楷體"/>
                <w:color w:val="000000"/>
                <w:lang w:val="zh-TW"/>
              </w:rPr>
              <w:t>否</w:t>
            </w:r>
          </w:p>
        </w:tc>
        <w:tc>
          <w:tcPr>
            <w:tcW w:w="542"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D488532" w14:textId="77777777" w:rsidR="00401786" w:rsidRDefault="00401786" w:rsidP="000E757E">
            <w:pPr>
              <w:widowControl/>
              <w:spacing w:line="240" w:lineRule="atLeast"/>
              <w:ind w:left="-142"/>
              <w:jc w:val="center"/>
              <w:rPr>
                <w:rFonts w:eastAsia="標楷體"/>
                <w:color w:val="000000"/>
                <w:lang w:val="zh-TW"/>
              </w:rPr>
            </w:pPr>
          </w:p>
        </w:tc>
      </w:tr>
      <w:tr w:rsidR="00401786" w14:paraId="25C4079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4701BB4C"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87B313F" w14:textId="77777777" w:rsidR="00401786" w:rsidRDefault="00C64FB3" w:rsidP="000E757E">
            <w:pPr>
              <w:widowControl/>
              <w:spacing w:line="240" w:lineRule="atLeast"/>
              <w:ind w:left="14"/>
              <w:rPr>
                <w:rFonts w:eastAsia="標楷體"/>
                <w:color w:val="000000"/>
              </w:rPr>
            </w:pPr>
            <w:r>
              <w:rPr>
                <w:rFonts w:eastAsia="標楷體"/>
                <w:color w:val="000000"/>
              </w:rPr>
              <w:t>Adducted/ Internally Rotated Shoulder</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91D012D" w14:textId="77777777" w:rsidR="00401786" w:rsidRDefault="00C64FB3" w:rsidP="000E757E">
            <w:pPr>
              <w:widowControl/>
              <w:spacing w:line="240" w:lineRule="atLeast"/>
              <w:ind w:left="-12"/>
              <w:rPr>
                <w:rFonts w:eastAsia="標楷體"/>
                <w:color w:val="221815"/>
              </w:rPr>
            </w:pPr>
            <w:r>
              <w:rPr>
                <w:rFonts w:eastAsia="標楷體"/>
                <w:color w:val="221815"/>
              </w:rPr>
              <w:t>Pectoralis complex</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08C2D32C"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52BFED3"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3DBB533"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EC3497B"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4E6D983"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17334AAA" w14:textId="77777777" w:rsidR="00401786" w:rsidRDefault="00401786" w:rsidP="000E757E">
            <w:pPr>
              <w:widowControl/>
              <w:spacing w:line="240" w:lineRule="atLeast"/>
              <w:ind w:left="-142"/>
              <w:rPr>
                <w:rFonts w:eastAsia="標楷體"/>
                <w:color w:val="000000"/>
              </w:rPr>
            </w:pPr>
          </w:p>
        </w:tc>
      </w:tr>
      <w:tr w:rsidR="00401786" w14:paraId="10BDB4BF"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C640FA8"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5B99E22"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CF4732A" w14:textId="77777777" w:rsidR="00401786" w:rsidRDefault="00C64FB3" w:rsidP="000E757E">
            <w:pPr>
              <w:widowControl/>
              <w:spacing w:line="240" w:lineRule="atLeast"/>
              <w:ind w:left="-12"/>
              <w:rPr>
                <w:rFonts w:eastAsia="標楷體"/>
                <w:color w:val="000000"/>
              </w:rPr>
            </w:pPr>
            <w:r>
              <w:rPr>
                <w:rFonts w:eastAsia="標楷體"/>
                <w:color w:val="000000"/>
              </w:rPr>
              <w:t>Latissimus dorsi</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58F2F2EA"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B5DE0FB"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B8D058D"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C1AE28A"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E71ACB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29FAACA3" w14:textId="77777777" w:rsidR="00401786" w:rsidRDefault="00401786" w:rsidP="000E757E">
            <w:pPr>
              <w:widowControl/>
              <w:spacing w:line="240" w:lineRule="atLeast"/>
              <w:ind w:left="-142"/>
              <w:rPr>
                <w:rFonts w:eastAsia="標楷體"/>
                <w:color w:val="000000"/>
              </w:rPr>
            </w:pPr>
          </w:p>
        </w:tc>
      </w:tr>
      <w:tr w:rsidR="00401786" w14:paraId="744004C6"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8CBBA75"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ABD07C1"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60DF2425" w14:textId="77777777" w:rsidR="00401786" w:rsidRDefault="00C64FB3" w:rsidP="000E757E">
            <w:pPr>
              <w:widowControl/>
              <w:spacing w:line="240" w:lineRule="atLeast"/>
              <w:ind w:left="-12"/>
              <w:rPr>
                <w:rFonts w:eastAsia="標楷體"/>
                <w:color w:val="000000"/>
              </w:rPr>
            </w:pPr>
            <w:r>
              <w:rPr>
                <w:rFonts w:eastAsia="標楷體"/>
                <w:color w:val="000000"/>
              </w:rPr>
              <w:t>Teres major</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6B7A7FA6"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57FE5D6"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6A1173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D035B1E"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4CB36BC"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12FFA3EA" w14:textId="77777777" w:rsidR="00401786" w:rsidRDefault="00401786" w:rsidP="000E757E">
            <w:pPr>
              <w:widowControl/>
              <w:spacing w:line="240" w:lineRule="atLeast"/>
              <w:ind w:left="-142"/>
              <w:rPr>
                <w:rFonts w:eastAsia="標楷體"/>
                <w:color w:val="000000"/>
              </w:rPr>
            </w:pPr>
          </w:p>
        </w:tc>
      </w:tr>
      <w:tr w:rsidR="00401786" w14:paraId="6D1D5D41"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70405AE"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05AD7D3"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8169DE8" w14:textId="77777777" w:rsidR="00401786" w:rsidRDefault="00C64FB3" w:rsidP="000E757E">
            <w:pPr>
              <w:widowControl/>
              <w:spacing w:line="240" w:lineRule="atLeast"/>
              <w:ind w:left="-12"/>
              <w:rPr>
                <w:rFonts w:eastAsia="標楷體"/>
                <w:color w:val="000000"/>
              </w:rPr>
            </w:pPr>
            <w:r>
              <w:rPr>
                <w:rFonts w:eastAsia="標楷體"/>
                <w:color w:val="000000"/>
              </w:rPr>
              <w:t>Subscapularis</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6B4A879"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7BAFDF9A"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2522193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282F5AE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BC03C85"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58DE8EE9" w14:textId="77777777" w:rsidR="00401786" w:rsidRDefault="00401786" w:rsidP="000E757E">
            <w:pPr>
              <w:widowControl/>
              <w:spacing w:line="240" w:lineRule="atLeast"/>
              <w:ind w:left="-142"/>
              <w:rPr>
                <w:rFonts w:eastAsia="標楷體"/>
                <w:color w:val="000000"/>
              </w:rPr>
            </w:pPr>
          </w:p>
        </w:tc>
      </w:tr>
      <w:tr w:rsidR="00401786" w14:paraId="1AF9DEB9"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1A8F73F0"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C5F7244" w14:textId="77777777" w:rsidR="00401786" w:rsidRDefault="00C64FB3" w:rsidP="000E757E">
            <w:pPr>
              <w:widowControl/>
              <w:spacing w:line="240" w:lineRule="atLeast"/>
              <w:ind w:left="14"/>
              <w:rPr>
                <w:rFonts w:eastAsia="標楷體"/>
                <w:color w:val="000000"/>
              </w:rPr>
            </w:pPr>
            <w:r>
              <w:rPr>
                <w:rFonts w:eastAsia="標楷體"/>
                <w:color w:val="000000"/>
              </w:rPr>
              <w:t>Flexed Elbow</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4AF5765" w14:textId="77777777" w:rsidR="00401786" w:rsidRDefault="00C64FB3" w:rsidP="000E757E">
            <w:pPr>
              <w:widowControl/>
              <w:spacing w:line="240" w:lineRule="atLeast"/>
              <w:ind w:left="-12"/>
              <w:rPr>
                <w:rFonts w:eastAsia="標楷體"/>
                <w:color w:val="000000"/>
              </w:rPr>
            </w:pPr>
            <w:r>
              <w:rPr>
                <w:rFonts w:eastAsia="標楷體"/>
                <w:color w:val="000000"/>
              </w:rPr>
              <w:t>Brachioradialis</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15B89C7B"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6657C58A"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0423B70"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7EF1EA4"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B774315"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39555DBD" w14:textId="77777777" w:rsidR="00401786" w:rsidRDefault="00401786" w:rsidP="000E757E">
            <w:pPr>
              <w:widowControl/>
              <w:spacing w:line="240" w:lineRule="atLeast"/>
              <w:ind w:left="-142"/>
              <w:rPr>
                <w:rFonts w:eastAsia="標楷體"/>
                <w:color w:val="000000"/>
              </w:rPr>
            </w:pPr>
          </w:p>
        </w:tc>
      </w:tr>
      <w:tr w:rsidR="00401786" w14:paraId="3347777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7EE2287C"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5380F9D"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2BBC98A" w14:textId="77777777" w:rsidR="00401786" w:rsidRDefault="00C64FB3" w:rsidP="000E757E">
            <w:pPr>
              <w:widowControl/>
              <w:spacing w:line="240" w:lineRule="atLeast"/>
              <w:ind w:left="-12"/>
              <w:rPr>
                <w:rFonts w:eastAsia="標楷體"/>
                <w:color w:val="000000"/>
              </w:rPr>
            </w:pPr>
            <w:r>
              <w:rPr>
                <w:rFonts w:eastAsia="標楷體"/>
                <w:color w:val="000000"/>
              </w:rPr>
              <w:t>Biceps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92F5BE5"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8E532D7"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BDC22FE"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7374FA6"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7FF78A4A"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68123CE" w14:textId="77777777" w:rsidR="00401786" w:rsidRDefault="00401786" w:rsidP="000E757E">
            <w:pPr>
              <w:widowControl/>
              <w:spacing w:line="240" w:lineRule="atLeast"/>
              <w:ind w:left="-142"/>
              <w:rPr>
                <w:rFonts w:eastAsia="標楷體"/>
                <w:color w:val="000000"/>
              </w:rPr>
            </w:pPr>
          </w:p>
        </w:tc>
      </w:tr>
      <w:tr w:rsidR="00401786" w14:paraId="27C7272C"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7BF0412"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560BF955"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4692712" w14:textId="77777777" w:rsidR="00401786" w:rsidRDefault="00C64FB3" w:rsidP="000E757E">
            <w:pPr>
              <w:widowControl/>
              <w:spacing w:line="240" w:lineRule="atLeast"/>
              <w:ind w:left="-12"/>
              <w:rPr>
                <w:rFonts w:eastAsia="標楷體"/>
                <w:color w:val="000000"/>
              </w:rPr>
            </w:pPr>
            <w:r>
              <w:rPr>
                <w:rFonts w:eastAsia="標楷體"/>
                <w:color w:val="000000"/>
              </w:rPr>
              <w:t>Brachialis</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10C944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0AA2927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19D8905B"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2426B958"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CA126FA"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4D6145FF" w14:textId="77777777" w:rsidR="00401786" w:rsidRDefault="00401786" w:rsidP="000E757E">
            <w:pPr>
              <w:widowControl/>
              <w:spacing w:line="240" w:lineRule="atLeast"/>
              <w:ind w:left="-142"/>
              <w:rPr>
                <w:rFonts w:eastAsia="標楷體"/>
                <w:color w:val="000000"/>
              </w:rPr>
            </w:pPr>
          </w:p>
        </w:tc>
      </w:tr>
      <w:tr w:rsidR="00401786" w14:paraId="363763A9"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1E368D2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DD2575B" w14:textId="77777777" w:rsidR="00401786" w:rsidRDefault="00C64FB3" w:rsidP="000E757E">
            <w:pPr>
              <w:widowControl/>
              <w:spacing w:line="240" w:lineRule="atLeast"/>
              <w:ind w:left="14"/>
              <w:rPr>
                <w:rFonts w:eastAsia="標楷體"/>
                <w:color w:val="000000"/>
              </w:rPr>
            </w:pPr>
            <w:r>
              <w:rPr>
                <w:rFonts w:eastAsia="標楷體"/>
                <w:color w:val="000000"/>
              </w:rPr>
              <w:t>Pronated Forearm</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796E0264" w14:textId="77777777" w:rsidR="00401786" w:rsidRDefault="00C64FB3" w:rsidP="000E757E">
            <w:pPr>
              <w:widowControl/>
              <w:spacing w:line="240" w:lineRule="atLeast"/>
              <w:ind w:left="-12"/>
              <w:rPr>
                <w:rFonts w:eastAsia="標楷體"/>
                <w:color w:val="000000"/>
              </w:rPr>
            </w:pPr>
            <w:r>
              <w:rPr>
                <w:rFonts w:eastAsia="標楷體"/>
                <w:color w:val="000000"/>
              </w:rPr>
              <w:t>Pronator quadratus</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0C5EA959"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69367EB"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00658C6"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E885277"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ED04AFE"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37D9B667" w14:textId="77777777" w:rsidR="00401786" w:rsidRDefault="00401786" w:rsidP="000E757E">
            <w:pPr>
              <w:widowControl/>
              <w:spacing w:line="240" w:lineRule="atLeast"/>
              <w:ind w:left="-142"/>
              <w:rPr>
                <w:rFonts w:eastAsia="標楷體"/>
                <w:color w:val="000000"/>
              </w:rPr>
            </w:pPr>
          </w:p>
        </w:tc>
      </w:tr>
      <w:tr w:rsidR="00401786" w14:paraId="53EF9A9C"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5F726DC"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59A7EF0"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304C628" w14:textId="77777777" w:rsidR="00401786" w:rsidRDefault="00C64FB3" w:rsidP="000E757E">
            <w:pPr>
              <w:widowControl/>
              <w:spacing w:line="240" w:lineRule="atLeast"/>
              <w:ind w:left="-12"/>
              <w:rPr>
                <w:rFonts w:eastAsia="標楷體"/>
                <w:color w:val="000000"/>
              </w:rPr>
            </w:pPr>
            <w:r>
              <w:rPr>
                <w:rFonts w:eastAsia="標楷體"/>
                <w:color w:val="000000"/>
              </w:rPr>
              <w:t>Pronator teres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2932C7D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C2A7999"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487B647"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5689784"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8894EA4"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669A9915" w14:textId="77777777" w:rsidR="00401786" w:rsidRDefault="00401786" w:rsidP="000E757E">
            <w:pPr>
              <w:widowControl/>
              <w:spacing w:line="240" w:lineRule="atLeast"/>
              <w:ind w:left="-142"/>
              <w:rPr>
                <w:rFonts w:eastAsia="標楷體"/>
                <w:color w:val="000000"/>
              </w:rPr>
            </w:pPr>
          </w:p>
        </w:tc>
      </w:tr>
      <w:tr w:rsidR="00401786" w14:paraId="31879A8F"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A0B46A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DA2A221" w14:textId="77777777" w:rsidR="00401786" w:rsidRDefault="00C64FB3" w:rsidP="000E757E">
            <w:pPr>
              <w:widowControl/>
              <w:spacing w:line="240" w:lineRule="atLeast"/>
              <w:ind w:left="14"/>
              <w:rPr>
                <w:rFonts w:eastAsia="標楷體"/>
                <w:color w:val="000000"/>
              </w:rPr>
            </w:pPr>
            <w:r>
              <w:rPr>
                <w:rFonts w:eastAsia="標楷體"/>
                <w:color w:val="000000"/>
              </w:rPr>
              <w:t>Flexed Wrist</w:t>
            </w: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3329292" w14:textId="77777777" w:rsidR="00401786" w:rsidRDefault="00C64FB3" w:rsidP="000E757E">
            <w:pPr>
              <w:widowControl/>
              <w:spacing w:line="240" w:lineRule="atLeast"/>
              <w:ind w:left="-12"/>
              <w:rPr>
                <w:rFonts w:eastAsia="標楷體"/>
                <w:color w:val="000000"/>
              </w:rPr>
            </w:pPr>
            <w:r>
              <w:rPr>
                <w:rFonts w:eastAsia="標楷體"/>
                <w:color w:val="000000"/>
              </w:rPr>
              <w:t>Flexor carpi radialis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362DC8ED"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581F66E"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5D794A1"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A6DC6F2"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075FF5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9D09241" w14:textId="77777777" w:rsidR="00401786" w:rsidRDefault="00401786" w:rsidP="000E757E">
            <w:pPr>
              <w:widowControl/>
              <w:spacing w:line="240" w:lineRule="atLeast"/>
              <w:ind w:left="-142"/>
              <w:rPr>
                <w:rFonts w:eastAsia="標楷體"/>
                <w:color w:val="000000"/>
              </w:rPr>
            </w:pPr>
          </w:p>
        </w:tc>
      </w:tr>
      <w:tr w:rsidR="00401786" w14:paraId="213DF321"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3A413CB6"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3C2E702"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17253037" w14:textId="77777777" w:rsidR="00401786" w:rsidRDefault="00C64FB3" w:rsidP="000E757E">
            <w:pPr>
              <w:widowControl/>
              <w:spacing w:line="240" w:lineRule="atLeast"/>
              <w:ind w:left="-12"/>
              <w:rPr>
                <w:rFonts w:eastAsia="標楷體"/>
                <w:color w:val="000000"/>
              </w:rPr>
            </w:pPr>
            <w:r>
              <w:rPr>
                <w:rFonts w:eastAsia="標楷體"/>
                <w:color w:val="000000"/>
              </w:rPr>
              <w:t xml:space="preserve">Flexor carpi </w:t>
            </w:r>
            <w:proofErr w:type="spellStart"/>
            <w:r>
              <w:rPr>
                <w:rFonts w:eastAsia="標楷體"/>
                <w:color w:val="000000"/>
              </w:rPr>
              <w:t>ulnaris</w:t>
            </w:r>
            <w:proofErr w:type="spellEnd"/>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8B76475"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7E95920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B0EFE5D"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19411313"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08578D8"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4B79F878" w14:textId="77777777" w:rsidR="00401786" w:rsidRDefault="00401786" w:rsidP="000E757E">
            <w:pPr>
              <w:widowControl/>
              <w:spacing w:line="240" w:lineRule="atLeast"/>
              <w:ind w:left="-142"/>
              <w:rPr>
                <w:rFonts w:eastAsia="標楷體"/>
                <w:color w:val="000000"/>
              </w:rPr>
            </w:pPr>
          </w:p>
        </w:tc>
      </w:tr>
      <w:tr w:rsidR="00401786" w14:paraId="4AD50570"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0A5032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5775BB8" w14:textId="77777777" w:rsidR="00401786" w:rsidRDefault="00C64FB3" w:rsidP="000E757E">
            <w:pPr>
              <w:widowControl/>
              <w:spacing w:line="240" w:lineRule="atLeast"/>
              <w:ind w:left="14"/>
              <w:rPr>
                <w:rFonts w:eastAsia="標楷體"/>
                <w:color w:val="000000"/>
              </w:rPr>
            </w:pPr>
            <w:r>
              <w:rPr>
                <w:rFonts w:eastAsia="標楷體"/>
                <w:color w:val="000000"/>
              </w:rPr>
              <w:t>Thumb-in -Palm</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F06662E" w14:textId="77777777" w:rsidR="00401786" w:rsidRDefault="00C64FB3" w:rsidP="000E757E">
            <w:pPr>
              <w:widowControl/>
              <w:spacing w:line="240" w:lineRule="atLeast"/>
              <w:ind w:left="-12"/>
              <w:rPr>
                <w:rFonts w:eastAsia="標楷體"/>
                <w:color w:val="000000"/>
              </w:rPr>
            </w:pPr>
            <w:r>
              <w:rPr>
                <w:rFonts w:eastAsia="標楷體"/>
                <w:color w:val="000000"/>
              </w:rPr>
              <w:t>Flexor pollicis longus</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738ABF5C"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CDC25A8"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49D73FA"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776FE68"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2B0ACBA7"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833807C" w14:textId="77777777" w:rsidR="00401786" w:rsidRDefault="00401786" w:rsidP="000E757E">
            <w:pPr>
              <w:widowControl/>
              <w:spacing w:line="240" w:lineRule="atLeast"/>
              <w:ind w:left="-142"/>
              <w:rPr>
                <w:rFonts w:eastAsia="標楷體"/>
                <w:color w:val="000000"/>
              </w:rPr>
            </w:pPr>
          </w:p>
        </w:tc>
      </w:tr>
      <w:tr w:rsidR="00401786" w14:paraId="5FE265CA"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93E8535"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E893532"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0CA8B12" w14:textId="77777777" w:rsidR="00401786" w:rsidRDefault="00C64FB3" w:rsidP="000E757E">
            <w:pPr>
              <w:widowControl/>
              <w:spacing w:line="240" w:lineRule="atLeast"/>
              <w:ind w:left="-12"/>
              <w:rPr>
                <w:rFonts w:eastAsia="標楷體"/>
                <w:color w:val="000000"/>
              </w:rPr>
            </w:pPr>
            <w:r>
              <w:rPr>
                <w:rFonts w:eastAsia="標楷體"/>
                <w:color w:val="000000"/>
              </w:rPr>
              <w:t>Adductor pollicis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545E517"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5727BF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40BBAE8"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10E24E2"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6A9BA55"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85E2C9D" w14:textId="77777777" w:rsidR="00401786" w:rsidRDefault="00401786" w:rsidP="000E757E">
            <w:pPr>
              <w:widowControl/>
              <w:spacing w:line="240" w:lineRule="atLeast"/>
              <w:ind w:left="-142"/>
              <w:rPr>
                <w:rFonts w:eastAsia="標楷體"/>
                <w:color w:val="000000"/>
              </w:rPr>
            </w:pPr>
          </w:p>
        </w:tc>
      </w:tr>
      <w:tr w:rsidR="00401786" w14:paraId="7AC8CC7B"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B67DFA9"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AFC11BD"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341541B" w14:textId="77777777" w:rsidR="00401786" w:rsidRDefault="00C64FB3" w:rsidP="000E757E">
            <w:pPr>
              <w:widowControl/>
              <w:spacing w:line="240" w:lineRule="atLeast"/>
              <w:ind w:left="-12"/>
              <w:rPr>
                <w:rFonts w:eastAsia="標楷體"/>
                <w:color w:val="000000"/>
              </w:rPr>
            </w:pPr>
            <w:r>
              <w:rPr>
                <w:rFonts w:eastAsia="標楷體"/>
                <w:color w:val="000000"/>
              </w:rPr>
              <w:t xml:space="preserve">Flexor pollicis brevis/ </w:t>
            </w:r>
            <w:proofErr w:type="spellStart"/>
            <w:r>
              <w:rPr>
                <w:rFonts w:eastAsia="標楷體"/>
                <w:color w:val="000000"/>
              </w:rPr>
              <w:t>opponens</w:t>
            </w:r>
            <w:proofErr w:type="spellEnd"/>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C445E7C"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05E98A4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6B696C8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6744DA1"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6D2FF5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17999A80" w14:textId="77777777" w:rsidR="00401786" w:rsidRDefault="00401786" w:rsidP="000E757E">
            <w:pPr>
              <w:widowControl/>
              <w:spacing w:line="240" w:lineRule="atLeast"/>
              <w:ind w:left="-142"/>
              <w:rPr>
                <w:rFonts w:eastAsia="標楷體"/>
                <w:color w:val="000000"/>
              </w:rPr>
            </w:pPr>
          </w:p>
        </w:tc>
      </w:tr>
      <w:tr w:rsidR="00401786" w14:paraId="437D11AB"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4597C6E"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807313E" w14:textId="77777777" w:rsidR="00401786" w:rsidRDefault="00C64FB3" w:rsidP="000E757E">
            <w:pPr>
              <w:widowControl/>
              <w:spacing w:line="240" w:lineRule="atLeast"/>
              <w:ind w:left="14"/>
              <w:rPr>
                <w:rFonts w:eastAsia="標楷體"/>
                <w:color w:val="000000"/>
              </w:rPr>
            </w:pPr>
            <w:r>
              <w:rPr>
                <w:rFonts w:eastAsia="標楷體"/>
                <w:color w:val="000000"/>
              </w:rPr>
              <w:t>Clenched Fist</w:t>
            </w:r>
          </w:p>
        </w:tc>
        <w:tc>
          <w:tcPr>
            <w:tcW w:w="3159"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46F91AF3" w14:textId="77777777" w:rsidR="00401786" w:rsidRDefault="00C64FB3" w:rsidP="000E757E">
            <w:pPr>
              <w:widowControl/>
              <w:spacing w:line="240" w:lineRule="atLeast"/>
              <w:ind w:left="-12"/>
              <w:rPr>
                <w:rFonts w:eastAsia="標楷體"/>
                <w:color w:val="000000"/>
              </w:rPr>
            </w:pPr>
            <w:r>
              <w:rPr>
                <w:rFonts w:eastAsia="標楷體"/>
                <w:color w:val="000000"/>
              </w:rPr>
              <w:t>Flexor digitorum superficialis (per fascicle)</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5D8BA6D4"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18C08F4"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4404EBD"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21950D3"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03E6FEB"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65845DD" w14:textId="77777777" w:rsidR="00401786" w:rsidRDefault="00401786" w:rsidP="000E757E">
            <w:pPr>
              <w:widowControl/>
              <w:spacing w:line="240" w:lineRule="atLeast"/>
              <w:ind w:left="-142"/>
              <w:rPr>
                <w:rFonts w:eastAsia="標楷體"/>
                <w:color w:val="000000"/>
              </w:rPr>
            </w:pPr>
          </w:p>
        </w:tc>
      </w:tr>
      <w:tr w:rsidR="00401786" w14:paraId="7A730BA9"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301B938E"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CF87E89"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41B2057" w14:textId="77777777" w:rsidR="00401786" w:rsidRDefault="00C64FB3" w:rsidP="000E757E">
            <w:pPr>
              <w:widowControl/>
              <w:spacing w:line="240" w:lineRule="atLeast"/>
              <w:ind w:left="-12"/>
              <w:rPr>
                <w:rFonts w:eastAsia="標楷體"/>
                <w:color w:val="000000"/>
              </w:rPr>
            </w:pPr>
            <w:r>
              <w:rPr>
                <w:rFonts w:eastAsia="標楷體"/>
                <w:color w:val="000000"/>
              </w:rPr>
              <w:t xml:space="preserve">Flexor digitorum </w:t>
            </w:r>
            <w:proofErr w:type="spellStart"/>
            <w:r>
              <w:rPr>
                <w:rFonts w:eastAsia="標楷體"/>
                <w:color w:val="000000"/>
              </w:rPr>
              <w:t>profundus</w:t>
            </w:r>
            <w:proofErr w:type="spellEnd"/>
            <w:r>
              <w:rPr>
                <w:rFonts w:eastAsia="標楷體"/>
                <w:color w:val="000000"/>
              </w:rPr>
              <w:t xml:space="preserve"> (per fascicle)</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FB489E4"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3C1AB2F7"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67507DFA"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15FDCE44"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4DED68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33D7D780" w14:textId="77777777" w:rsidR="00401786" w:rsidRDefault="00401786" w:rsidP="000E757E">
            <w:pPr>
              <w:widowControl/>
              <w:spacing w:line="240" w:lineRule="atLeast"/>
              <w:ind w:left="-142"/>
              <w:rPr>
                <w:rFonts w:eastAsia="標楷體"/>
                <w:color w:val="000000"/>
              </w:rPr>
            </w:pPr>
          </w:p>
        </w:tc>
      </w:tr>
      <w:tr w:rsidR="00401786" w14:paraId="5094AC5B"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A933B25" w14:textId="77777777" w:rsidR="00401786" w:rsidRDefault="00401786" w:rsidP="000E757E">
            <w:pPr>
              <w:widowControl/>
              <w:spacing w:line="240" w:lineRule="atLeast"/>
              <w:ind w:left="-142"/>
              <w:rPr>
                <w:rFonts w:eastAsia="標楷體"/>
                <w:color w:val="000000"/>
              </w:rPr>
            </w:pPr>
          </w:p>
        </w:tc>
        <w:tc>
          <w:tcPr>
            <w:tcW w:w="169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D50D1E1" w14:textId="77777777" w:rsidR="00401786" w:rsidRDefault="00C64FB3" w:rsidP="000E757E">
            <w:pPr>
              <w:widowControl/>
              <w:spacing w:line="240" w:lineRule="atLeast"/>
              <w:ind w:left="14"/>
              <w:rPr>
                <w:rFonts w:eastAsia="標楷體"/>
                <w:color w:val="221815"/>
              </w:rPr>
            </w:pPr>
            <w:r>
              <w:rPr>
                <w:rFonts w:eastAsia="標楷體"/>
                <w:color w:val="221815"/>
              </w:rPr>
              <w:t>Intrinsic plus hand</w:t>
            </w:r>
          </w:p>
        </w:tc>
        <w:tc>
          <w:tcPr>
            <w:tcW w:w="3159"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090A3F7" w14:textId="77777777" w:rsidR="00401786" w:rsidRDefault="00C64FB3" w:rsidP="000E757E">
            <w:pPr>
              <w:widowControl/>
              <w:spacing w:line="240" w:lineRule="atLeast"/>
              <w:ind w:left="-12"/>
              <w:rPr>
                <w:rFonts w:eastAsia="標楷體"/>
                <w:color w:val="000000"/>
              </w:rPr>
            </w:pPr>
            <w:proofErr w:type="spellStart"/>
            <w:r>
              <w:rPr>
                <w:rFonts w:eastAsia="標楷體"/>
                <w:color w:val="000000"/>
              </w:rPr>
              <w:t>Lumbricales</w:t>
            </w:r>
            <w:proofErr w:type="spellEnd"/>
            <w:r>
              <w:rPr>
                <w:rFonts w:eastAsia="標楷體"/>
                <w:color w:val="000000"/>
              </w:rPr>
              <w:t>/interossei (per lumbrical)</w:t>
            </w:r>
          </w:p>
        </w:tc>
        <w:tc>
          <w:tcPr>
            <w:tcW w:w="858"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7EF250D"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0C6D5A43"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A2C7D74"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77D59F0F"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5943ED12"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1DEAB7AA" w14:textId="77777777" w:rsidR="00401786" w:rsidRDefault="00401786" w:rsidP="000E757E">
            <w:pPr>
              <w:widowControl/>
              <w:spacing w:line="240" w:lineRule="atLeast"/>
              <w:ind w:left="-142"/>
              <w:rPr>
                <w:rFonts w:eastAsia="標楷體"/>
                <w:color w:val="000000"/>
              </w:rPr>
            </w:pPr>
          </w:p>
        </w:tc>
      </w:tr>
      <w:tr w:rsidR="00401786" w14:paraId="3F96364E"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72A4F05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CA5AFF8" w14:textId="77777777" w:rsidR="00401786" w:rsidRDefault="00C64FB3" w:rsidP="000E757E">
            <w:pPr>
              <w:widowControl/>
              <w:spacing w:line="240" w:lineRule="atLeast"/>
              <w:ind w:left="14"/>
              <w:rPr>
                <w:rFonts w:eastAsia="標楷體"/>
                <w:color w:val="221815"/>
              </w:rPr>
            </w:pPr>
            <w:r>
              <w:rPr>
                <w:rFonts w:eastAsia="標楷體"/>
                <w:color w:val="221815"/>
              </w:rPr>
              <w:t>Others</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B5C9FED" w14:textId="77777777" w:rsidR="00401786" w:rsidRDefault="00401786" w:rsidP="000E757E">
            <w:pPr>
              <w:widowControl/>
              <w:spacing w:line="240" w:lineRule="atLeast"/>
              <w:ind w:left="-12"/>
              <w:rPr>
                <w:rFonts w:eastAsia="標楷體"/>
                <w:color w:val="000000"/>
              </w:rPr>
            </w:pP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6B7010FA"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5482468"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BA97EAC"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06D84F8"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7492FAED"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5B15853" w14:textId="77777777" w:rsidR="00401786" w:rsidRDefault="00401786" w:rsidP="000E757E">
            <w:pPr>
              <w:widowControl/>
              <w:spacing w:line="240" w:lineRule="atLeast"/>
              <w:ind w:left="-142"/>
              <w:rPr>
                <w:rFonts w:eastAsia="標楷體"/>
                <w:color w:val="000000"/>
              </w:rPr>
            </w:pPr>
          </w:p>
        </w:tc>
      </w:tr>
      <w:tr w:rsidR="00401786" w14:paraId="5516C07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0AE1320"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1205C5C" w14:textId="77777777" w:rsidR="00401786" w:rsidRDefault="00401786" w:rsidP="000E757E">
            <w:pPr>
              <w:widowControl/>
              <w:spacing w:line="240" w:lineRule="atLeast"/>
              <w:ind w:left="14"/>
              <w:rPr>
                <w:rFonts w:eastAsia="標楷體"/>
                <w:color w:val="221815"/>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18415EE" w14:textId="77777777" w:rsidR="00401786" w:rsidRDefault="00401786" w:rsidP="000E757E">
            <w:pPr>
              <w:widowControl/>
              <w:spacing w:line="240" w:lineRule="atLeast"/>
              <w:ind w:left="-12"/>
              <w:rPr>
                <w:rFonts w:eastAsia="標楷體"/>
                <w:color w:val="000000"/>
              </w:rPr>
            </w:pP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34A2F02"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FFA0BE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6A8B01C"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078FC4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C74503E"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253749CB" w14:textId="77777777" w:rsidR="00401786" w:rsidRDefault="00401786" w:rsidP="000E757E">
            <w:pPr>
              <w:widowControl/>
              <w:spacing w:line="240" w:lineRule="atLeast"/>
              <w:ind w:left="-142"/>
              <w:rPr>
                <w:rFonts w:eastAsia="標楷體"/>
                <w:color w:val="000000"/>
              </w:rPr>
            </w:pPr>
          </w:p>
        </w:tc>
      </w:tr>
      <w:tr w:rsidR="00401786" w14:paraId="4631FC1A" w14:textId="77777777">
        <w:trPr>
          <w:trHeight w:val="262"/>
        </w:trPr>
        <w:tc>
          <w:tcPr>
            <w:tcW w:w="361"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4E29F9F" w14:textId="77777777" w:rsidR="00401786" w:rsidRDefault="00C64FB3" w:rsidP="000E757E">
            <w:pPr>
              <w:widowControl/>
              <w:spacing w:line="240" w:lineRule="atLeast"/>
              <w:ind w:left="-142"/>
              <w:jc w:val="center"/>
              <w:rPr>
                <w:rFonts w:eastAsia="標楷體"/>
                <w:b/>
                <w:bCs/>
                <w:color w:val="000000"/>
              </w:rPr>
            </w:pPr>
            <w:r>
              <w:rPr>
                <w:rFonts w:eastAsia="標楷體"/>
                <w:b/>
                <w:bCs/>
                <w:color w:val="000000"/>
              </w:rPr>
              <w:t>Lower Limb</w:t>
            </w: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5128368" w14:textId="77777777" w:rsidR="00401786" w:rsidRDefault="00C64FB3" w:rsidP="000E757E">
            <w:pPr>
              <w:widowControl/>
              <w:spacing w:line="240" w:lineRule="atLeast"/>
              <w:ind w:left="14"/>
              <w:rPr>
                <w:rFonts w:eastAsia="標楷體"/>
                <w:color w:val="000000"/>
              </w:rPr>
            </w:pPr>
            <w:r>
              <w:rPr>
                <w:rFonts w:eastAsia="標楷體"/>
                <w:color w:val="000000"/>
              </w:rPr>
              <w:t>Equinovarus Foot</w:t>
            </w:r>
          </w:p>
        </w:tc>
        <w:tc>
          <w:tcPr>
            <w:tcW w:w="3159"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12481529" w14:textId="77777777" w:rsidR="00401786" w:rsidRDefault="00C64FB3" w:rsidP="000E757E">
            <w:pPr>
              <w:widowControl/>
              <w:spacing w:line="240" w:lineRule="atLeast"/>
              <w:ind w:left="-12"/>
              <w:rPr>
                <w:rFonts w:eastAsia="標楷體"/>
                <w:color w:val="000000"/>
              </w:rPr>
            </w:pPr>
            <w:r>
              <w:rPr>
                <w:rFonts w:eastAsia="標楷體"/>
                <w:color w:val="000000"/>
              </w:rPr>
              <w:t>Gastrocnemius medial/lateral</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72607A57"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A426180"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FA35C1E"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911C50A"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9C0D7D0"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62435D4" w14:textId="77777777" w:rsidR="00401786" w:rsidRDefault="00401786" w:rsidP="000E757E">
            <w:pPr>
              <w:widowControl/>
              <w:spacing w:line="240" w:lineRule="atLeast"/>
              <w:ind w:left="-142"/>
              <w:rPr>
                <w:rFonts w:eastAsia="標楷體"/>
                <w:color w:val="000000"/>
              </w:rPr>
            </w:pPr>
          </w:p>
        </w:tc>
      </w:tr>
      <w:tr w:rsidR="00401786" w14:paraId="2B4FD022"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6A1557A"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658EF9A"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4CECCF52" w14:textId="77777777" w:rsidR="00401786" w:rsidRDefault="00C64FB3" w:rsidP="000E757E">
            <w:pPr>
              <w:widowControl/>
              <w:spacing w:line="240" w:lineRule="atLeast"/>
              <w:ind w:left="-12"/>
              <w:rPr>
                <w:rFonts w:eastAsia="標楷體"/>
                <w:color w:val="000000"/>
              </w:rPr>
            </w:pPr>
            <w:r>
              <w:rPr>
                <w:rFonts w:eastAsia="標楷體"/>
                <w:color w:val="000000"/>
              </w:rPr>
              <w:t>Soleus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33DA57AE"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A626E59"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D3038C2"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DFE1796"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67DB964E"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6E220CBE" w14:textId="77777777" w:rsidR="00401786" w:rsidRDefault="00401786" w:rsidP="000E757E">
            <w:pPr>
              <w:widowControl/>
              <w:spacing w:line="240" w:lineRule="atLeast"/>
              <w:ind w:left="-142"/>
              <w:rPr>
                <w:rFonts w:eastAsia="標楷體"/>
                <w:color w:val="000000"/>
              </w:rPr>
            </w:pPr>
          </w:p>
        </w:tc>
      </w:tr>
      <w:tr w:rsidR="00401786" w14:paraId="326FF5B0"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FF06C9D"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58388B8"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1220D1D7" w14:textId="77777777" w:rsidR="00401786" w:rsidRDefault="00C64FB3" w:rsidP="000E757E">
            <w:pPr>
              <w:widowControl/>
              <w:spacing w:line="240" w:lineRule="atLeast"/>
              <w:ind w:left="-12"/>
              <w:rPr>
                <w:rFonts w:eastAsia="標楷體"/>
                <w:color w:val="000000"/>
              </w:rPr>
            </w:pPr>
            <w:r>
              <w:rPr>
                <w:rFonts w:eastAsia="標楷體"/>
                <w:color w:val="000000"/>
              </w:rPr>
              <w:t>Tibialis posterior</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101ED42A"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9BE056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9E3335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C34628B"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00B57093"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BAC7777" w14:textId="77777777" w:rsidR="00401786" w:rsidRDefault="00401786" w:rsidP="000E757E">
            <w:pPr>
              <w:widowControl/>
              <w:spacing w:line="240" w:lineRule="atLeast"/>
              <w:ind w:left="-142"/>
              <w:rPr>
                <w:rFonts w:eastAsia="標楷體"/>
                <w:color w:val="000000"/>
              </w:rPr>
            </w:pPr>
          </w:p>
        </w:tc>
      </w:tr>
      <w:tr w:rsidR="00401786" w14:paraId="1343BDD2"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C311DA2"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534A8846"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6D5AB6A6" w14:textId="77777777" w:rsidR="00401786" w:rsidRDefault="00C64FB3" w:rsidP="000E757E">
            <w:pPr>
              <w:widowControl/>
              <w:spacing w:line="240" w:lineRule="atLeast"/>
              <w:ind w:left="-12"/>
              <w:rPr>
                <w:rFonts w:eastAsia="標楷體"/>
                <w:color w:val="000000"/>
              </w:rPr>
            </w:pPr>
            <w:r>
              <w:rPr>
                <w:rFonts w:eastAsia="標楷體"/>
                <w:color w:val="000000"/>
              </w:rPr>
              <w:t>Flexor digitorum longus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C1DFA9C"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52419B3"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4FAB88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6184E37C"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217F5D9"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2C3F4B98" w14:textId="77777777" w:rsidR="00401786" w:rsidRDefault="00401786" w:rsidP="000E757E">
            <w:pPr>
              <w:widowControl/>
              <w:spacing w:line="240" w:lineRule="atLeast"/>
              <w:ind w:left="-142"/>
              <w:rPr>
                <w:rFonts w:eastAsia="標楷體"/>
                <w:color w:val="000000"/>
              </w:rPr>
            </w:pPr>
          </w:p>
        </w:tc>
      </w:tr>
      <w:tr w:rsidR="00401786" w14:paraId="78668A2E"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8D5CC3A"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D08839F"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AAE273B" w14:textId="77777777" w:rsidR="00401786" w:rsidRDefault="00C64FB3" w:rsidP="000E757E">
            <w:pPr>
              <w:widowControl/>
              <w:spacing w:line="240" w:lineRule="atLeast"/>
              <w:ind w:left="-12"/>
              <w:rPr>
                <w:rFonts w:eastAsia="標楷體"/>
                <w:color w:val="000000"/>
              </w:rPr>
            </w:pPr>
            <w:r>
              <w:rPr>
                <w:rFonts w:eastAsia="標楷體"/>
                <w:color w:val="000000"/>
              </w:rPr>
              <w:t>Flexor hallucis longus</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623CC5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6661F6A5"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740131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02A7DC7"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9281C41"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62D09EBC" w14:textId="77777777" w:rsidR="00401786" w:rsidRDefault="00401786" w:rsidP="000E757E">
            <w:pPr>
              <w:widowControl/>
              <w:spacing w:line="240" w:lineRule="atLeast"/>
              <w:ind w:left="-142"/>
              <w:rPr>
                <w:rFonts w:eastAsia="標楷體"/>
                <w:color w:val="000000"/>
              </w:rPr>
            </w:pPr>
          </w:p>
        </w:tc>
      </w:tr>
      <w:tr w:rsidR="00401786" w14:paraId="30DE2F74"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10CFF888" w14:textId="77777777" w:rsidR="00401786" w:rsidRDefault="00401786" w:rsidP="000E757E">
            <w:pPr>
              <w:widowControl/>
              <w:spacing w:line="240" w:lineRule="atLeast"/>
              <w:ind w:left="-142"/>
              <w:rPr>
                <w:rFonts w:eastAsia="標楷體"/>
                <w:b/>
                <w:bCs/>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157E2997" w14:textId="77777777" w:rsidR="00401786" w:rsidRDefault="00C64FB3" w:rsidP="000E757E">
            <w:pPr>
              <w:widowControl/>
              <w:spacing w:line="240" w:lineRule="atLeast"/>
              <w:ind w:left="14"/>
              <w:rPr>
                <w:rFonts w:eastAsia="標楷體"/>
                <w:color w:val="000000"/>
              </w:rPr>
            </w:pPr>
            <w:r>
              <w:rPr>
                <w:rFonts w:eastAsia="標楷體"/>
                <w:color w:val="000000"/>
              </w:rPr>
              <w:t>Others</w:t>
            </w:r>
          </w:p>
        </w:tc>
        <w:tc>
          <w:tcPr>
            <w:tcW w:w="3159"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240E3177" w14:textId="77777777" w:rsidR="00401786" w:rsidRDefault="00401786" w:rsidP="000E757E">
            <w:pPr>
              <w:widowControl/>
              <w:spacing w:line="240" w:lineRule="atLeast"/>
              <w:ind w:left="-142"/>
              <w:rPr>
                <w:rFonts w:eastAsia="標楷體"/>
                <w:color w:val="000000"/>
              </w:rPr>
            </w:pP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F8C7121"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9DCE317"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A00DCF9"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E29FA59"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0B760386"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971E154" w14:textId="77777777" w:rsidR="00401786" w:rsidRDefault="00401786" w:rsidP="000E757E">
            <w:pPr>
              <w:widowControl/>
              <w:spacing w:line="240" w:lineRule="atLeast"/>
              <w:ind w:left="-142"/>
              <w:rPr>
                <w:rFonts w:eastAsia="標楷體"/>
                <w:color w:val="000000"/>
              </w:rPr>
            </w:pPr>
          </w:p>
        </w:tc>
      </w:tr>
      <w:tr w:rsidR="00401786" w14:paraId="132ECE8D"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6CF4A1C"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95AED42" w14:textId="77777777" w:rsidR="00401786" w:rsidRDefault="00401786" w:rsidP="000E757E">
            <w:pPr>
              <w:widowControl/>
              <w:spacing w:line="240" w:lineRule="atLeast"/>
              <w:ind w:left="-142"/>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604CFC0E" w14:textId="77777777" w:rsidR="00401786" w:rsidRDefault="00401786" w:rsidP="000E757E">
            <w:pPr>
              <w:widowControl/>
              <w:spacing w:line="240" w:lineRule="atLeast"/>
              <w:ind w:left="-142"/>
              <w:rPr>
                <w:rFonts w:eastAsia="標楷體"/>
                <w:color w:val="000000"/>
              </w:rPr>
            </w:pP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046E8154"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E6417A2"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0EB6A76"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625FE4B7"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3D6350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1BBBEAE3" w14:textId="77777777" w:rsidR="00401786" w:rsidRDefault="00401786" w:rsidP="000E757E">
            <w:pPr>
              <w:widowControl/>
              <w:spacing w:line="240" w:lineRule="atLeast"/>
              <w:ind w:left="-142"/>
              <w:rPr>
                <w:rFonts w:eastAsia="標楷體"/>
                <w:color w:val="000000"/>
              </w:rPr>
            </w:pPr>
          </w:p>
        </w:tc>
      </w:tr>
      <w:tr w:rsidR="00401786" w14:paraId="6A8DDE16" w14:textId="77777777">
        <w:trPr>
          <w:trHeight w:val="262"/>
        </w:trPr>
        <w:tc>
          <w:tcPr>
            <w:tcW w:w="9732"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5B6A0A9" w14:textId="77777777" w:rsidR="00401786" w:rsidRDefault="00C64FB3" w:rsidP="000E757E">
            <w:pPr>
              <w:widowControl/>
              <w:spacing w:before="115" w:after="115" w:line="240" w:lineRule="atLeast"/>
              <w:rPr>
                <w:rFonts w:eastAsia="標楷體"/>
                <w:b/>
                <w:bCs/>
                <w:color w:val="000000"/>
                <w:sz w:val="22"/>
              </w:rPr>
            </w:pPr>
            <w:r>
              <w:rPr>
                <w:rFonts w:eastAsia="標楷體"/>
                <w:b/>
                <w:bCs/>
                <w:color w:val="000000"/>
                <w:sz w:val="22"/>
              </w:rPr>
              <w:t>以下</w:t>
            </w:r>
            <w:proofErr w:type="gramStart"/>
            <w:r>
              <w:rPr>
                <w:rFonts w:eastAsia="標楷體"/>
                <w:b/>
                <w:bCs/>
                <w:color w:val="000000"/>
                <w:sz w:val="22"/>
              </w:rPr>
              <w:t>條件均須為</w:t>
            </w:r>
            <w:proofErr w:type="gramEnd"/>
            <w:r>
              <w:rPr>
                <w:rFonts w:eastAsia="標楷體"/>
                <w:b/>
                <w:bCs/>
                <w:color w:val="000000"/>
                <w:sz w:val="22"/>
              </w:rPr>
              <w:t>是</w:t>
            </w:r>
            <w:r>
              <w:rPr>
                <w:rFonts w:eastAsia="標楷體"/>
                <w:b/>
                <w:bCs/>
                <w:color w:val="000000"/>
                <w:sz w:val="22"/>
              </w:rPr>
              <w:t>:</w:t>
            </w:r>
          </w:p>
          <w:p w14:paraId="4A3E3807" w14:textId="77777777" w:rsidR="00401786" w:rsidRDefault="00C64FB3" w:rsidP="000E757E">
            <w:pPr>
              <w:widowControl/>
              <w:spacing w:before="115" w:after="115" w:line="240" w:lineRule="atLeast"/>
              <w:ind w:left="231" w:hanging="231"/>
            </w:pPr>
            <w:r>
              <w:rPr>
                <w:rFonts w:eastAsia="標楷體"/>
                <w:b/>
                <w:bCs/>
                <w:color w:val="000000"/>
                <w:sz w:val="22"/>
              </w:rPr>
              <w:t xml:space="preserve">□ </w:t>
            </w:r>
            <w:r>
              <w:rPr>
                <w:rFonts w:eastAsia="標楷體"/>
                <w:color w:val="000000"/>
                <w:sz w:val="22"/>
              </w:rPr>
              <w:t>使用</w:t>
            </w:r>
            <w:r>
              <w:rPr>
                <w:rFonts w:eastAsia="標楷體"/>
                <w:color w:val="000000"/>
                <w:sz w:val="22"/>
              </w:rPr>
              <w:t>Dysport</w:t>
            </w:r>
            <w:r>
              <w:rPr>
                <w:rFonts w:eastAsia="標楷體"/>
                <w:color w:val="000000"/>
                <w:sz w:val="22"/>
              </w:rPr>
              <w:t>者，須為腦中風經藥物</w:t>
            </w:r>
            <w:r>
              <w:rPr>
                <w:rFonts w:eastAsia="標楷體"/>
                <w:color w:val="000000"/>
                <w:sz w:val="22"/>
              </w:rPr>
              <w:t>/</w:t>
            </w:r>
            <w:r>
              <w:rPr>
                <w:rFonts w:eastAsia="標楷體"/>
                <w:color w:val="000000"/>
                <w:sz w:val="22"/>
              </w:rPr>
              <w:t>復健治療</w:t>
            </w:r>
            <w:r>
              <w:rPr>
                <w:rFonts w:eastAsia="標楷體"/>
                <w:color w:val="000000"/>
                <w:sz w:val="22"/>
              </w:rPr>
              <w:t>3</w:t>
            </w:r>
            <w:r>
              <w:rPr>
                <w:rFonts w:eastAsia="標楷體"/>
                <w:color w:val="000000"/>
                <w:sz w:val="22"/>
              </w:rPr>
              <w:t>個月後仍有手臂或下肢痙攣；</w:t>
            </w:r>
          </w:p>
          <w:p w14:paraId="4FF84D11" w14:textId="77777777" w:rsidR="00401786" w:rsidRDefault="00C64FB3" w:rsidP="000E757E">
            <w:pPr>
              <w:widowControl/>
              <w:spacing w:before="115" w:after="115" w:line="240" w:lineRule="atLeast"/>
              <w:ind w:left="1200" w:hanging="960"/>
            </w:pPr>
            <w:r>
              <w:rPr>
                <w:rFonts w:eastAsia="標楷體"/>
                <w:color w:val="000000"/>
                <w:sz w:val="22"/>
              </w:rPr>
              <w:lastRenderedPageBreak/>
              <w:t>或使用</w:t>
            </w:r>
            <w:r>
              <w:rPr>
                <w:rFonts w:eastAsia="標楷體"/>
                <w:color w:val="221815"/>
                <w:w w:val="95"/>
                <w:sz w:val="22"/>
              </w:rPr>
              <w:t>Botox</w:t>
            </w:r>
            <w:r>
              <w:rPr>
                <w:rFonts w:eastAsia="標楷體"/>
                <w:color w:val="000000"/>
                <w:sz w:val="22"/>
              </w:rPr>
              <w:t>者，須為腦中風經藥物</w:t>
            </w:r>
            <w:r>
              <w:rPr>
                <w:rFonts w:eastAsia="標楷體"/>
                <w:color w:val="000000"/>
                <w:sz w:val="22"/>
              </w:rPr>
              <w:t>/</w:t>
            </w:r>
            <w:r>
              <w:rPr>
                <w:rFonts w:eastAsia="標楷體"/>
                <w:color w:val="000000"/>
                <w:sz w:val="22"/>
              </w:rPr>
              <w:t>復健治療</w:t>
            </w:r>
            <w:r>
              <w:rPr>
                <w:rFonts w:eastAsia="標楷體"/>
                <w:color w:val="000000"/>
                <w:sz w:val="22"/>
              </w:rPr>
              <w:t>6</w:t>
            </w:r>
            <w:r>
              <w:rPr>
                <w:rFonts w:eastAsia="標楷體"/>
                <w:color w:val="000000"/>
                <w:sz w:val="22"/>
              </w:rPr>
              <w:t>個月後仍有手臂痙攣或前述治療</w:t>
            </w:r>
            <w:r>
              <w:rPr>
                <w:rFonts w:eastAsia="標楷體"/>
                <w:color w:val="000000"/>
                <w:sz w:val="22"/>
              </w:rPr>
              <w:t>3</w:t>
            </w:r>
            <w:r>
              <w:rPr>
                <w:rFonts w:eastAsia="標楷體"/>
                <w:color w:val="000000"/>
                <w:sz w:val="22"/>
              </w:rPr>
              <w:t>個月後仍有下肢痙攣</w:t>
            </w:r>
          </w:p>
          <w:p w14:paraId="03B16DEE" w14:textId="77777777" w:rsidR="00401786" w:rsidRDefault="00C64FB3" w:rsidP="000E757E">
            <w:pPr>
              <w:widowControl/>
              <w:spacing w:before="115" w:after="115" w:line="240" w:lineRule="atLeast"/>
            </w:pPr>
            <w:r>
              <w:rPr>
                <w:rFonts w:eastAsia="標楷體"/>
                <w:b/>
                <w:bCs/>
                <w:color w:val="000000"/>
                <w:sz w:val="22"/>
              </w:rPr>
              <w:t xml:space="preserve">□ </w:t>
            </w:r>
            <w:r>
              <w:rPr>
                <w:rFonts w:eastAsia="標楷體"/>
                <w:color w:val="000000"/>
                <w:sz w:val="22"/>
              </w:rPr>
              <w:t>已排除意識不清且合併臥床</w:t>
            </w:r>
          </w:p>
          <w:p w14:paraId="48D2F464" w14:textId="77777777" w:rsidR="00401786" w:rsidRDefault="00C64FB3" w:rsidP="000E757E">
            <w:pPr>
              <w:widowControl/>
              <w:spacing w:before="115" w:after="115" w:line="240" w:lineRule="atLeast"/>
            </w:pPr>
            <w:r>
              <w:rPr>
                <w:rFonts w:eastAsia="標楷體"/>
                <w:b/>
                <w:bCs/>
                <w:color w:val="000000"/>
                <w:sz w:val="22"/>
              </w:rPr>
              <w:t xml:space="preserve">□ </w:t>
            </w:r>
            <w:r>
              <w:rPr>
                <w:rFonts w:eastAsia="標楷體"/>
                <w:color w:val="000000"/>
                <w:sz w:val="22"/>
              </w:rPr>
              <w:t>已排除</w:t>
            </w:r>
            <w:proofErr w:type="gramStart"/>
            <w:r>
              <w:rPr>
                <w:rFonts w:eastAsia="標楷體"/>
                <w:color w:val="000000"/>
                <w:sz w:val="22"/>
              </w:rPr>
              <w:t>手部或下肢</w:t>
            </w:r>
            <w:proofErr w:type="gramEnd"/>
            <w:r>
              <w:rPr>
                <w:rFonts w:eastAsia="標楷體"/>
                <w:color w:val="000000"/>
                <w:sz w:val="22"/>
              </w:rPr>
              <w:t>注射部位呈現明顯不可逆攣縮肌肉或固定關節</w:t>
            </w:r>
          </w:p>
          <w:p w14:paraId="5FF66B41" w14:textId="77777777" w:rsidR="00401786" w:rsidRDefault="00C64FB3" w:rsidP="000E757E">
            <w:pPr>
              <w:widowControl/>
              <w:spacing w:before="115" w:after="115" w:line="240" w:lineRule="atLeast"/>
            </w:pPr>
            <w:r>
              <w:rPr>
                <w:rFonts w:eastAsia="標楷體"/>
                <w:b/>
                <w:bCs/>
                <w:color w:val="000000"/>
                <w:sz w:val="22"/>
              </w:rPr>
              <w:t>以下條件任</w:t>
            </w:r>
            <w:proofErr w:type="gramStart"/>
            <w:r>
              <w:rPr>
                <w:rFonts w:eastAsia="標楷體"/>
                <w:b/>
                <w:bCs/>
                <w:color w:val="000000"/>
                <w:sz w:val="22"/>
              </w:rPr>
              <w:t>一</w:t>
            </w:r>
            <w:proofErr w:type="gramEnd"/>
            <w:r>
              <w:rPr>
                <w:rFonts w:eastAsia="標楷體"/>
                <w:b/>
                <w:bCs/>
                <w:color w:val="000000"/>
                <w:sz w:val="22"/>
              </w:rPr>
              <w:t>符合</w:t>
            </w:r>
            <w:r>
              <w:rPr>
                <w:rFonts w:eastAsia="標楷體"/>
                <w:b/>
                <w:bCs/>
                <w:color w:val="000000"/>
                <w:sz w:val="22"/>
              </w:rPr>
              <w:t>:</w:t>
            </w:r>
          </w:p>
          <w:p w14:paraId="0B7D8F08" w14:textId="77777777" w:rsidR="00401786" w:rsidRDefault="00C64FB3" w:rsidP="000E757E">
            <w:pPr>
              <w:widowControl/>
              <w:spacing w:before="115" w:after="115" w:line="240" w:lineRule="atLeast"/>
              <w:rPr>
                <w:rFonts w:eastAsia="標楷體"/>
                <w:color w:val="000000"/>
                <w:sz w:val="22"/>
              </w:rPr>
            </w:pPr>
            <w:r>
              <w:rPr>
                <w:rFonts w:eastAsia="標楷體"/>
                <w:color w:val="000000"/>
                <w:sz w:val="22"/>
              </w:rPr>
              <w:t xml:space="preserve">□ </w:t>
            </w:r>
            <w:r>
              <w:rPr>
                <w:rFonts w:eastAsia="標楷體"/>
                <w:color w:val="000000"/>
                <w:sz w:val="22"/>
              </w:rPr>
              <w:t>改善病患清潔</w:t>
            </w:r>
            <w:r>
              <w:rPr>
                <w:rFonts w:eastAsia="標楷體"/>
                <w:color w:val="000000"/>
                <w:sz w:val="22"/>
              </w:rPr>
              <w:t xml:space="preserve">   □ </w:t>
            </w:r>
            <w:r>
              <w:rPr>
                <w:rFonts w:eastAsia="標楷體"/>
                <w:color w:val="000000"/>
                <w:sz w:val="22"/>
              </w:rPr>
              <w:t>降低輔具穿戴困難度</w:t>
            </w:r>
            <w:r>
              <w:rPr>
                <w:rFonts w:eastAsia="標楷體"/>
                <w:color w:val="000000"/>
                <w:sz w:val="22"/>
              </w:rPr>
              <w:t xml:space="preserve">  □ </w:t>
            </w:r>
            <w:r>
              <w:rPr>
                <w:rFonts w:eastAsia="標楷體"/>
                <w:color w:val="000000"/>
                <w:sz w:val="22"/>
              </w:rPr>
              <w:t>減低肢體痙攣所致之疼痛</w:t>
            </w:r>
            <w:r>
              <w:rPr>
                <w:rFonts w:eastAsia="標楷體"/>
                <w:color w:val="000000"/>
                <w:sz w:val="22"/>
              </w:rPr>
              <w:t xml:space="preserve">  □ </w:t>
            </w:r>
            <w:r>
              <w:rPr>
                <w:rFonts w:eastAsia="標楷體"/>
                <w:color w:val="000000"/>
                <w:sz w:val="22"/>
              </w:rPr>
              <w:t>改善關節活動度或活動能力</w:t>
            </w:r>
          </w:p>
          <w:p w14:paraId="6AE4E764" w14:textId="77777777" w:rsidR="00401786" w:rsidRDefault="00C64FB3" w:rsidP="000E757E">
            <w:pPr>
              <w:widowControl/>
              <w:spacing w:before="115" w:after="115" w:line="240" w:lineRule="atLeast"/>
            </w:pPr>
            <w:r>
              <w:rPr>
                <w:rFonts w:eastAsia="標楷體"/>
                <w:color w:val="000000"/>
                <w:sz w:val="22"/>
              </w:rPr>
              <w:t xml:space="preserve">□ </w:t>
            </w:r>
            <w:r>
              <w:rPr>
                <w:rFonts w:eastAsia="標楷體"/>
                <w:color w:val="000000"/>
                <w:sz w:val="22"/>
              </w:rPr>
              <w:t>其他因肉毒桿菌素注射所改善之功能，</w:t>
            </w:r>
            <w:r>
              <w:rPr>
                <w:rFonts w:eastAsia="標楷體"/>
                <w:color w:val="000000"/>
                <w:sz w:val="22"/>
                <w:u w:val="single"/>
              </w:rPr>
              <w:t>如</w:t>
            </w:r>
            <w:r>
              <w:rPr>
                <w:rFonts w:eastAsia="標楷體"/>
                <w:color w:val="000000"/>
                <w:sz w:val="22"/>
                <w:u w:val="single"/>
              </w:rPr>
              <w:t xml:space="preserve">:              </w:t>
            </w:r>
            <w:r>
              <w:rPr>
                <w:rFonts w:eastAsia="標楷體"/>
                <w:color w:val="000000"/>
                <w:u w:val="single"/>
              </w:rPr>
              <w:t xml:space="preserve">                                        </w:t>
            </w:r>
          </w:p>
        </w:tc>
      </w:tr>
      <w:tr w:rsidR="00401786" w14:paraId="6301804D" w14:textId="77777777">
        <w:trPr>
          <w:trHeight w:val="262"/>
        </w:trPr>
        <w:tc>
          <w:tcPr>
            <w:tcW w:w="9732"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F8DEE72" w14:textId="77777777" w:rsidR="00401786" w:rsidRDefault="00C64FB3" w:rsidP="000E757E">
            <w:pPr>
              <w:widowControl/>
              <w:spacing w:line="240" w:lineRule="atLeast"/>
              <w:ind w:left="103"/>
              <w:rPr>
                <w:rFonts w:eastAsia="標楷體"/>
                <w:color w:val="000000"/>
              </w:rPr>
            </w:pPr>
            <w:r>
              <w:rPr>
                <w:rFonts w:eastAsia="標楷體"/>
                <w:color w:val="000000"/>
              </w:rPr>
              <w:lastRenderedPageBreak/>
              <w:t xml:space="preserve">Additional </w:t>
            </w:r>
            <w:proofErr w:type="gramStart"/>
            <w:r>
              <w:rPr>
                <w:rFonts w:eastAsia="標楷體"/>
                <w:color w:val="000000"/>
              </w:rPr>
              <w:t>Comments :</w:t>
            </w:r>
            <w:proofErr w:type="gramEnd"/>
          </w:p>
        </w:tc>
      </w:tr>
      <w:tr w:rsidR="00401786" w14:paraId="6B785C70" w14:textId="77777777">
        <w:trPr>
          <w:trHeight w:val="197"/>
        </w:trPr>
        <w:tc>
          <w:tcPr>
            <w:tcW w:w="9732"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BA3F199" w14:textId="77777777" w:rsidR="00401786" w:rsidRDefault="00C64FB3" w:rsidP="000E757E">
            <w:pPr>
              <w:widowControl/>
              <w:spacing w:line="240" w:lineRule="atLeast"/>
              <w:ind w:left="103"/>
            </w:pPr>
            <w:r>
              <w:rPr>
                <w:rFonts w:eastAsia="標楷體"/>
                <w:color w:val="000000"/>
              </w:rPr>
              <w:t>主治醫師：</w:t>
            </w:r>
            <w:r>
              <w:rPr>
                <w:rFonts w:eastAsia="標楷體"/>
                <w:color w:val="000000"/>
              </w:rPr>
              <w:t xml:space="preserve">                                               </w:t>
            </w:r>
            <w:r>
              <w:rPr>
                <w:rFonts w:eastAsia="標楷體"/>
                <w:color w:val="000000"/>
              </w:rPr>
              <w:t>日期：</w:t>
            </w:r>
            <w:r>
              <w:rPr>
                <w:rFonts w:eastAsia="標楷體"/>
                <w:color w:val="221815"/>
                <w:w w:val="95"/>
                <w:u w:val="single" w:color="221815"/>
              </w:rPr>
              <w:t xml:space="preserve">        </w:t>
            </w:r>
            <w:r>
              <w:rPr>
                <w:rFonts w:eastAsia="標楷體"/>
                <w:color w:val="000000"/>
              </w:rPr>
              <w:t>年</w:t>
            </w:r>
            <w:r>
              <w:rPr>
                <w:rFonts w:eastAsia="標楷體"/>
                <w:color w:val="221815"/>
                <w:w w:val="95"/>
                <w:u w:val="single" w:color="221815"/>
              </w:rPr>
              <w:t xml:space="preserve">        </w:t>
            </w:r>
            <w:r>
              <w:rPr>
                <w:rFonts w:eastAsia="標楷體"/>
                <w:color w:val="000000"/>
              </w:rPr>
              <w:t>月</w:t>
            </w:r>
            <w:r>
              <w:rPr>
                <w:rFonts w:eastAsia="標楷體"/>
                <w:color w:val="221815"/>
                <w:w w:val="95"/>
                <w:u w:val="single" w:color="221815"/>
              </w:rPr>
              <w:t xml:space="preserve">        </w:t>
            </w:r>
            <w:r>
              <w:rPr>
                <w:rFonts w:eastAsia="標楷體"/>
                <w:color w:val="000000"/>
              </w:rPr>
              <w:t>日</w:t>
            </w:r>
          </w:p>
        </w:tc>
      </w:tr>
    </w:tbl>
    <w:p w14:paraId="037F1713" w14:textId="77777777" w:rsidR="00401786" w:rsidRDefault="00401786" w:rsidP="000E757E">
      <w:pPr>
        <w:widowControl/>
        <w:spacing w:line="240" w:lineRule="atLeast"/>
        <w:jc w:val="center"/>
        <w:rPr>
          <w:rFonts w:eastAsia="標楷體"/>
          <w:b/>
          <w:bCs/>
          <w:kern w:val="0"/>
        </w:rPr>
      </w:pPr>
    </w:p>
    <w:p w14:paraId="6B51661B" w14:textId="77777777" w:rsidR="00C44BBD" w:rsidRDefault="00C44BBD">
      <w:pPr>
        <w:widowControl/>
        <w:suppressAutoHyphens w:val="0"/>
        <w:rPr>
          <w:rFonts w:eastAsia="標楷體"/>
          <w:b/>
          <w:bCs/>
          <w:kern w:val="0"/>
        </w:rPr>
      </w:pPr>
      <w:r>
        <w:rPr>
          <w:rFonts w:eastAsia="標楷體"/>
          <w:b/>
          <w:bCs/>
          <w:kern w:val="0"/>
        </w:rPr>
        <w:br w:type="page"/>
      </w:r>
    </w:p>
    <w:p w14:paraId="7767A746" w14:textId="31D24943" w:rsidR="00401786" w:rsidRDefault="00C64FB3" w:rsidP="00C44BBD">
      <w:pPr>
        <w:widowControl/>
        <w:spacing w:line="300" w:lineRule="exact"/>
        <w:jc w:val="center"/>
      </w:pPr>
      <w:r>
        <w:rPr>
          <w:rFonts w:eastAsia="標楷體"/>
          <w:b/>
          <w:bCs/>
          <w:kern w:val="0"/>
        </w:rPr>
        <w:lastRenderedPageBreak/>
        <w:t>附表三十六：全民健康保險狼瘡腎炎使用</w:t>
      </w:r>
      <w:r>
        <w:rPr>
          <w:rFonts w:eastAsia="標楷體"/>
          <w:b/>
          <w:bCs/>
          <w:kern w:val="0"/>
        </w:rPr>
        <w:t>belimumab</w:t>
      </w:r>
      <w:r>
        <w:rPr>
          <w:rFonts w:eastAsia="標楷體"/>
          <w:b/>
          <w:bCs/>
          <w:kern w:val="0"/>
        </w:rPr>
        <w:t>生物製劑申請表</w:t>
      </w:r>
    </w:p>
    <w:tbl>
      <w:tblPr>
        <w:tblW w:w="10325" w:type="dxa"/>
        <w:jc w:val="center"/>
        <w:tblCellMar>
          <w:left w:w="10" w:type="dxa"/>
          <w:right w:w="10" w:type="dxa"/>
        </w:tblCellMar>
        <w:tblLook w:val="0000" w:firstRow="0" w:lastRow="0" w:firstColumn="0" w:lastColumn="0" w:noHBand="0" w:noVBand="0"/>
      </w:tblPr>
      <w:tblGrid>
        <w:gridCol w:w="1327"/>
        <w:gridCol w:w="1733"/>
        <w:gridCol w:w="1287"/>
        <w:gridCol w:w="1287"/>
        <w:gridCol w:w="1589"/>
        <w:gridCol w:w="1143"/>
        <w:gridCol w:w="1959"/>
      </w:tblGrid>
      <w:tr w:rsidR="00401786" w14:paraId="1B80948A" w14:textId="77777777">
        <w:trPr>
          <w:trHeight w:val="270"/>
          <w:jc w:val="center"/>
        </w:trPr>
        <w:tc>
          <w:tcPr>
            <w:tcW w:w="132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E891D3E" w14:textId="77777777" w:rsidR="00401786" w:rsidRDefault="00C64FB3" w:rsidP="00C44BBD">
            <w:pPr>
              <w:widowControl/>
              <w:spacing w:before="100" w:line="300" w:lineRule="exact"/>
              <w:rPr>
                <w:rFonts w:eastAsia="標楷體"/>
                <w:kern w:val="0"/>
              </w:rPr>
            </w:pPr>
            <w:r>
              <w:rPr>
                <w:rFonts w:eastAsia="標楷體"/>
                <w:kern w:val="0"/>
              </w:rPr>
              <w:t>醫院代號</w:t>
            </w:r>
          </w:p>
        </w:tc>
        <w:tc>
          <w:tcPr>
            <w:tcW w:w="173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33B441" w14:textId="77777777" w:rsidR="00401786" w:rsidRDefault="00401786" w:rsidP="00C44BBD">
            <w:pPr>
              <w:widowControl/>
              <w:spacing w:before="100" w:line="300" w:lineRule="exact"/>
              <w:rPr>
                <w:rFonts w:eastAsia="標楷體"/>
                <w:kern w:val="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10" w:type="dxa"/>
              <w:bottom w:w="0" w:type="dxa"/>
              <w:right w:w="10" w:type="dxa"/>
            </w:tcMar>
          </w:tcPr>
          <w:p w14:paraId="53970E8F" w14:textId="77777777" w:rsidR="00401786" w:rsidRDefault="00401786" w:rsidP="00C44BBD">
            <w:pPr>
              <w:widowControl/>
              <w:spacing w:before="100" w:line="300" w:lineRule="exact"/>
              <w:rPr>
                <w:rFonts w:eastAsia="標楷體"/>
                <w:kern w:val="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1661D5" w14:textId="77777777" w:rsidR="00401786" w:rsidRDefault="00C64FB3" w:rsidP="00C44BBD">
            <w:pPr>
              <w:widowControl/>
              <w:spacing w:before="100" w:line="300" w:lineRule="exact"/>
              <w:rPr>
                <w:rFonts w:eastAsia="標楷體"/>
                <w:kern w:val="0"/>
              </w:rPr>
            </w:pPr>
            <w:r>
              <w:rPr>
                <w:rFonts w:eastAsia="標楷體"/>
                <w:kern w:val="0"/>
              </w:rPr>
              <w:t>醫院名稱</w:t>
            </w:r>
          </w:p>
        </w:tc>
        <w:tc>
          <w:tcPr>
            <w:tcW w:w="15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6B41913" w14:textId="77777777" w:rsidR="00401786" w:rsidRDefault="00401786" w:rsidP="00C44BBD">
            <w:pPr>
              <w:widowControl/>
              <w:spacing w:before="100" w:line="300" w:lineRule="exact"/>
              <w:rPr>
                <w:rFonts w:eastAsia="標楷體"/>
                <w:kern w:val="0"/>
              </w:rPr>
            </w:pPr>
          </w:p>
        </w:tc>
        <w:tc>
          <w:tcPr>
            <w:tcW w:w="114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32A892" w14:textId="77777777" w:rsidR="00401786" w:rsidRDefault="00C64FB3" w:rsidP="00C44BBD">
            <w:pPr>
              <w:widowControl/>
              <w:spacing w:before="100" w:line="300" w:lineRule="exact"/>
              <w:rPr>
                <w:rFonts w:eastAsia="標楷體"/>
                <w:kern w:val="0"/>
              </w:rPr>
            </w:pPr>
            <w:r>
              <w:rPr>
                <w:rFonts w:eastAsia="標楷體"/>
                <w:kern w:val="0"/>
              </w:rPr>
              <w:t>申請日期</w:t>
            </w:r>
          </w:p>
        </w:tc>
        <w:tc>
          <w:tcPr>
            <w:tcW w:w="1959"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079CB7F" w14:textId="77777777" w:rsidR="00401786" w:rsidRDefault="00401786" w:rsidP="00C44BBD">
            <w:pPr>
              <w:widowControl/>
              <w:spacing w:before="100" w:line="300" w:lineRule="exact"/>
              <w:rPr>
                <w:rFonts w:eastAsia="標楷體"/>
                <w:kern w:val="0"/>
              </w:rPr>
            </w:pPr>
          </w:p>
        </w:tc>
      </w:tr>
      <w:tr w:rsidR="00401786" w14:paraId="326FEF36" w14:textId="77777777">
        <w:trPr>
          <w:trHeight w:val="255"/>
          <w:jc w:val="center"/>
        </w:trPr>
        <w:tc>
          <w:tcPr>
            <w:tcW w:w="132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ECF3DF6" w14:textId="77777777" w:rsidR="00401786" w:rsidRDefault="00C64FB3" w:rsidP="00C44BBD">
            <w:pPr>
              <w:widowControl/>
              <w:spacing w:before="100" w:line="300" w:lineRule="exact"/>
              <w:rPr>
                <w:rFonts w:eastAsia="標楷體"/>
                <w:kern w:val="0"/>
              </w:rPr>
            </w:pPr>
            <w:r>
              <w:rPr>
                <w:rFonts w:eastAsia="標楷體"/>
                <w:kern w:val="0"/>
              </w:rPr>
              <w:t>病人姓名</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F88D950"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10" w:type="dxa"/>
              <w:bottom w:w="0" w:type="dxa"/>
              <w:right w:w="10" w:type="dxa"/>
            </w:tcMar>
          </w:tcPr>
          <w:p w14:paraId="2005AED3"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510A98D" w14:textId="77777777" w:rsidR="00401786" w:rsidRDefault="00C64FB3" w:rsidP="00C44BBD">
            <w:pPr>
              <w:widowControl/>
              <w:spacing w:before="100" w:line="300" w:lineRule="exact"/>
              <w:rPr>
                <w:rFonts w:eastAsia="標楷體"/>
                <w:kern w:val="0"/>
              </w:rPr>
            </w:pPr>
            <w:r>
              <w:rPr>
                <w:rFonts w:eastAsia="標楷體"/>
                <w:kern w:val="0"/>
              </w:rPr>
              <w:t>性別</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B4531FB" w14:textId="77777777" w:rsidR="00401786" w:rsidRDefault="00401786" w:rsidP="00C44BBD">
            <w:pPr>
              <w:widowControl/>
              <w:spacing w:before="100" w:line="300" w:lineRule="exact"/>
              <w:rPr>
                <w:rFonts w:eastAsia="標楷體"/>
                <w:kern w:val="0"/>
              </w:rPr>
            </w:pPr>
          </w:p>
        </w:tc>
        <w:tc>
          <w:tcPr>
            <w:tcW w:w="11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9B4705" w14:textId="77777777" w:rsidR="00401786" w:rsidRDefault="00C64FB3" w:rsidP="00C44BBD">
            <w:pPr>
              <w:widowControl/>
              <w:spacing w:before="100" w:line="300" w:lineRule="exact"/>
              <w:rPr>
                <w:rFonts w:eastAsia="標楷體"/>
                <w:kern w:val="0"/>
              </w:rPr>
            </w:pPr>
            <w:r>
              <w:rPr>
                <w:rFonts w:eastAsia="標楷體"/>
                <w:kern w:val="0"/>
              </w:rPr>
              <w:t>出生日期</w:t>
            </w:r>
          </w:p>
        </w:tc>
        <w:tc>
          <w:tcPr>
            <w:tcW w:w="195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80066AE" w14:textId="77777777" w:rsidR="00401786" w:rsidRDefault="00401786" w:rsidP="00C44BBD">
            <w:pPr>
              <w:widowControl/>
              <w:spacing w:before="100" w:line="300" w:lineRule="exact"/>
              <w:rPr>
                <w:rFonts w:eastAsia="標楷體"/>
                <w:kern w:val="0"/>
              </w:rPr>
            </w:pPr>
          </w:p>
        </w:tc>
      </w:tr>
      <w:tr w:rsidR="00401786" w14:paraId="7379CB8A" w14:textId="77777777">
        <w:trPr>
          <w:trHeight w:val="255"/>
          <w:jc w:val="center"/>
        </w:trPr>
        <w:tc>
          <w:tcPr>
            <w:tcW w:w="132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38C7D5" w14:textId="77777777" w:rsidR="00401786" w:rsidRDefault="00C64FB3" w:rsidP="00C44BBD">
            <w:pPr>
              <w:widowControl/>
              <w:spacing w:before="100" w:line="300" w:lineRule="exact"/>
              <w:rPr>
                <w:rFonts w:eastAsia="標楷體"/>
                <w:kern w:val="0"/>
              </w:rPr>
            </w:pPr>
            <w:r>
              <w:rPr>
                <w:rFonts w:eastAsia="標楷體"/>
                <w:kern w:val="0"/>
              </w:rPr>
              <w:t>身分證號</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56E85C"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10" w:type="dxa"/>
              <w:bottom w:w="0" w:type="dxa"/>
              <w:right w:w="10" w:type="dxa"/>
            </w:tcMar>
          </w:tcPr>
          <w:p w14:paraId="4D1CCAD1"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9D9302" w14:textId="77777777" w:rsidR="00401786" w:rsidRDefault="00C64FB3" w:rsidP="00C44BBD">
            <w:pPr>
              <w:widowControl/>
              <w:spacing w:before="100" w:line="300" w:lineRule="exact"/>
              <w:rPr>
                <w:rFonts w:eastAsia="標楷體"/>
                <w:kern w:val="0"/>
              </w:rPr>
            </w:pPr>
            <w:r>
              <w:rPr>
                <w:rFonts w:eastAsia="標楷體"/>
                <w:kern w:val="0"/>
              </w:rPr>
              <w:t>病歷號碼</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1DA0D3" w14:textId="77777777" w:rsidR="00401786" w:rsidRDefault="00401786" w:rsidP="00C44BBD">
            <w:pPr>
              <w:widowControl/>
              <w:spacing w:before="100" w:line="300" w:lineRule="exact"/>
              <w:rPr>
                <w:rFonts w:eastAsia="標楷體"/>
                <w:kern w:val="0"/>
              </w:rPr>
            </w:pPr>
          </w:p>
        </w:tc>
        <w:tc>
          <w:tcPr>
            <w:tcW w:w="1143"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7AF841C" w14:textId="77777777" w:rsidR="00401786" w:rsidRDefault="00C64FB3" w:rsidP="00C44BBD">
            <w:pPr>
              <w:spacing w:before="100" w:line="300" w:lineRule="exact"/>
              <w:rPr>
                <w:rFonts w:eastAsia="標楷體"/>
                <w:kern w:val="0"/>
              </w:rPr>
            </w:pPr>
            <w:r>
              <w:rPr>
                <w:rFonts w:eastAsia="標楷體"/>
                <w:kern w:val="0"/>
              </w:rPr>
              <w:t>使用期間</w:t>
            </w:r>
          </w:p>
        </w:tc>
        <w:tc>
          <w:tcPr>
            <w:tcW w:w="195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36C0E9F" w14:textId="77777777" w:rsidR="00401786" w:rsidRDefault="00C64FB3" w:rsidP="00C44BBD">
            <w:pPr>
              <w:widowControl/>
              <w:spacing w:before="100" w:line="300" w:lineRule="exact"/>
              <w:rPr>
                <w:rFonts w:eastAsia="標楷體"/>
                <w:kern w:val="0"/>
              </w:rPr>
            </w:pPr>
            <w:r>
              <w:rPr>
                <w:rFonts w:eastAsia="標楷體"/>
                <w:kern w:val="0"/>
              </w:rPr>
              <w:t>自　　年　　月　　日</w:t>
            </w:r>
          </w:p>
        </w:tc>
      </w:tr>
      <w:tr w:rsidR="00401786" w14:paraId="7C2D320C" w14:textId="77777777">
        <w:trPr>
          <w:trHeight w:val="240"/>
          <w:jc w:val="center"/>
        </w:trPr>
        <w:tc>
          <w:tcPr>
            <w:tcW w:w="132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22826EE9" w14:textId="77777777" w:rsidR="00401786" w:rsidRDefault="00C64FB3" w:rsidP="00C44BBD">
            <w:pPr>
              <w:widowControl/>
              <w:spacing w:before="100" w:line="300" w:lineRule="exact"/>
              <w:rPr>
                <w:rFonts w:eastAsia="標楷體"/>
                <w:kern w:val="0"/>
              </w:rPr>
            </w:pPr>
            <w:r>
              <w:rPr>
                <w:rFonts w:eastAsia="標楷體"/>
                <w:kern w:val="0"/>
              </w:rPr>
              <w:t>藥品代碼</w:t>
            </w:r>
          </w:p>
        </w:tc>
        <w:tc>
          <w:tcPr>
            <w:tcW w:w="173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0E5AB34"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10" w:type="dxa"/>
              <w:bottom w:w="0" w:type="dxa"/>
              <w:right w:w="10" w:type="dxa"/>
            </w:tcMar>
          </w:tcPr>
          <w:p w14:paraId="05E5931B"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349228A" w14:textId="77777777" w:rsidR="00401786" w:rsidRDefault="00C64FB3" w:rsidP="00C44BBD">
            <w:pPr>
              <w:widowControl/>
              <w:spacing w:before="100" w:line="300" w:lineRule="exact"/>
              <w:rPr>
                <w:rFonts w:eastAsia="標楷體"/>
                <w:kern w:val="0"/>
              </w:rPr>
            </w:pPr>
            <w:r>
              <w:rPr>
                <w:rFonts w:eastAsia="標楷體"/>
                <w:kern w:val="0"/>
              </w:rPr>
              <w:t>用法用量</w:t>
            </w:r>
          </w:p>
        </w:tc>
        <w:tc>
          <w:tcPr>
            <w:tcW w:w="15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7BEE228" w14:textId="77777777" w:rsidR="00401786" w:rsidRDefault="00401786" w:rsidP="00C44BBD">
            <w:pPr>
              <w:widowControl/>
              <w:spacing w:before="100" w:line="300" w:lineRule="exact"/>
              <w:rPr>
                <w:rFonts w:eastAsia="標楷體"/>
                <w:kern w:val="0"/>
              </w:rPr>
            </w:pPr>
          </w:p>
        </w:tc>
        <w:tc>
          <w:tcPr>
            <w:tcW w:w="1143"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0F6E0D7" w14:textId="77777777" w:rsidR="00401786" w:rsidRDefault="00401786" w:rsidP="00C44BBD">
            <w:pPr>
              <w:widowControl/>
              <w:spacing w:line="300" w:lineRule="exact"/>
              <w:rPr>
                <w:rFonts w:eastAsia="標楷體"/>
                <w:kern w:val="0"/>
              </w:rPr>
            </w:pPr>
          </w:p>
        </w:tc>
        <w:tc>
          <w:tcPr>
            <w:tcW w:w="1959"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A1C5673" w14:textId="77777777" w:rsidR="00401786" w:rsidRDefault="00C64FB3" w:rsidP="00C44BBD">
            <w:pPr>
              <w:widowControl/>
              <w:spacing w:before="100" w:line="300" w:lineRule="exact"/>
              <w:rPr>
                <w:rFonts w:eastAsia="標楷體"/>
                <w:kern w:val="0"/>
              </w:rPr>
            </w:pPr>
            <w:r>
              <w:rPr>
                <w:rFonts w:eastAsia="標楷體"/>
                <w:kern w:val="0"/>
              </w:rPr>
              <w:t>至　　年　　月　　日</w:t>
            </w:r>
          </w:p>
        </w:tc>
      </w:tr>
    </w:tbl>
    <w:p w14:paraId="6CE5E002" w14:textId="77777777" w:rsidR="00401786" w:rsidRDefault="00401786" w:rsidP="00C44BBD">
      <w:pPr>
        <w:spacing w:line="300" w:lineRule="exact"/>
        <w:rPr>
          <w:vanish/>
        </w:rPr>
      </w:pPr>
    </w:p>
    <w:tbl>
      <w:tblPr>
        <w:tblW w:w="10307" w:type="dxa"/>
        <w:jc w:val="center"/>
        <w:tblCellMar>
          <w:left w:w="10" w:type="dxa"/>
          <w:right w:w="10" w:type="dxa"/>
        </w:tblCellMar>
        <w:tblLook w:val="0000" w:firstRow="0" w:lastRow="0" w:firstColumn="0" w:lastColumn="0" w:noHBand="0" w:noVBand="0"/>
      </w:tblPr>
      <w:tblGrid>
        <w:gridCol w:w="27"/>
        <w:gridCol w:w="10280"/>
      </w:tblGrid>
      <w:tr w:rsidR="00401786" w14:paraId="7F874120" w14:textId="77777777">
        <w:trPr>
          <w:trHeight w:val="10524"/>
          <w:jc w:val="center"/>
        </w:trPr>
        <w:tc>
          <w:tcPr>
            <w:tcW w:w="27" w:type="dxa"/>
            <w:shd w:val="clear" w:color="auto" w:fill="auto"/>
            <w:tcMar>
              <w:top w:w="0" w:type="dxa"/>
              <w:left w:w="0" w:type="dxa"/>
              <w:bottom w:w="0" w:type="dxa"/>
              <w:right w:w="0" w:type="dxa"/>
            </w:tcMar>
          </w:tcPr>
          <w:p w14:paraId="49CF8B10" w14:textId="77777777" w:rsidR="00401786" w:rsidRDefault="00401786" w:rsidP="00C44BBD">
            <w:pPr>
              <w:widowControl/>
              <w:spacing w:line="300" w:lineRule="exact"/>
              <w:ind w:left="374" w:hanging="374"/>
              <w:rPr>
                <w:rFonts w:eastAsia="標楷體"/>
                <w:kern w:val="0"/>
              </w:rPr>
            </w:pPr>
          </w:p>
        </w:tc>
        <w:tc>
          <w:tcPr>
            <w:tcW w:w="10280"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3A16B2AA" w14:textId="77777777" w:rsidR="00401786" w:rsidRDefault="00C64FB3" w:rsidP="00C44BBD">
            <w:pPr>
              <w:widowControl/>
              <w:spacing w:line="300" w:lineRule="exact"/>
              <w:ind w:left="374" w:hanging="374"/>
            </w:pPr>
            <w:r>
              <w:rPr>
                <w:rFonts w:ascii="標楷體" w:eastAsia="標楷體" w:hAnsi="標楷體"/>
                <w:kern w:val="0"/>
              </w:rPr>
              <w:t xml:space="preserve">□ </w:t>
            </w:r>
            <w:r>
              <w:rPr>
                <w:rFonts w:eastAsia="標楷體"/>
                <w:kern w:val="0"/>
              </w:rPr>
              <w:t>用於接受標準治療至少</w:t>
            </w:r>
            <w:r>
              <w:rPr>
                <w:rFonts w:eastAsia="標楷體"/>
                <w:kern w:val="0"/>
              </w:rPr>
              <w:t>6</w:t>
            </w:r>
            <w:r>
              <w:rPr>
                <w:rFonts w:eastAsia="標楷體"/>
                <w:kern w:val="0"/>
              </w:rPr>
              <w:t>個月但仍然無法有效控制疾病的第</w:t>
            </w:r>
            <w:r>
              <w:rPr>
                <w:rFonts w:eastAsia="標楷體"/>
                <w:kern w:val="0"/>
              </w:rPr>
              <w:t>III, IV</w:t>
            </w:r>
            <w:r>
              <w:rPr>
                <w:rFonts w:eastAsia="標楷體"/>
                <w:kern w:val="0"/>
              </w:rPr>
              <w:t>或</w:t>
            </w:r>
            <w:r>
              <w:rPr>
                <w:rFonts w:eastAsia="標楷體"/>
                <w:kern w:val="0"/>
              </w:rPr>
              <w:t>V</w:t>
            </w:r>
            <w:r>
              <w:rPr>
                <w:rFonts w:eastAsia="標楷體"/>
                <w:kern w:val="0"/>
              </w:rPr>
              <w:t>型狼瘡腎炎成人病人，且自體抗體陽性</w:t>
            </w:r>
            <w:r>
              <w:rPr>
                <w:rFonts w:eastAsia="標楷體"/>
                <w:kern w:val="0"/>
              </w:rPr>
              <w:t>(anti-nuclear antibodies</w:t>
            </w:r>
            <w:r>
              <w:rPr>
                <w:rFonts w:eastAsia="標楷體"/>
                <w:kern w:val="0"/>
              </w:rPr>
              <w:t>或</w:t>
            </w:r>
            <w:r>
              <w:rPr>
                <w:rFonts w:eastAsia="標楷體"/>
                <w:kern w:val="0"/>
              </w:rPr>
              <w:t>anti</w:t>
            </w:r>
            <w:proofErr w:type="gramStart"/>
            <w:r>
              <w:rPr>
                <w:rFonts w:eastAsia="標楷體"/>
                <w:kern w:val="0"/>
              </w:rPr>
              <w:t>–</w:t>
            </w:r>
            <w:proofErr w:type="gramEnd"/>
            <w:r>
              <w:rPr>
                <w:rFonts w:eastAsia="標楷體"/>
                <w:kern w:val="0"/>
              </w:rPr>
              <w:t xml:space="preserve">ds </w:t>
            </w:r>
            <w:proofErr w:type="spellStart"/>
            <w:r>
              <w:rPr>
                <w:rFonts w:eastAsia="標楷體"/>
                <w:kern w:val="0"/>
              </w:rPr>
              <w:t>DNAantibodies</w:t>
            </w:r>
            <w:proofErr w:type="spellEnd"/>
            <w:r>
              <w:rPr>
                <w:rFonts w:eastAsia="標楷體"/>
                <w:kern w:val="0"/>
              </w:rPr>
              <w:t>陽性</w:t>
            </w:r>
            <w:r>
              <w:rPr>
                <w:rFonts w:eastAsia="標楷體"/>
                <w:kern w:val="0"/>
              </w:rPr>
              <w:t>)</w:t>
            </w:r>
            <w:r>
              <w:rPr>
                <w:rFonts w:eastAsia="標楷體"/>
                <w:b/>
                <w:bCs/>
                <w:kern w:val="0"/>
              </w:rPr>
              <w:t xml:space="preserve"> </w:t>
            </w:r>
          </w:p>
          <w:p w14:paraId="13D0F309" w14:textId="77777777" w:rsidR="00401786" w:rsidRDefault="00C64FB3" w:rsidP="002144EC">
            <w:pPr>
              <w:widowControl/>
              <w:numPr>
                <w:ilvl w:val="1"/>
                <w:numId w:val="118"/>
              </w:numPr>
              <w:spacing w:before="240" w:line="300" w:lineRule="exact"/>
              <w:ind w:left="629" w:hanging="284"/>
            </w:pPr>
            <w:r>
              <w:rPr>
                <w:rFonts w:ascii="標楷體" w:eastAsia="標楷體" w:hAnsi="標楷體"/>
                <w:kern w:val="0"/>
              </w:rPr>
              <w:t xml:space="preserve">□ </w:t>
            </w:r>
            <w:r>
              <w:rPr>
                <w:rFonts w:eastAsia="標楷體"/>
                <w:kern w:val="0"/>
              </w:rPr>
              <w:t>標準治療係指同時使用以下藥物</w:t>
            </w:r>
            <w:r>
              <w:rPr>
                <w:rFonts w:eastAsia="標楷體"/>
                <w:kern w:val="0"/>
              </w:rPr>
              <w:t>:</w:t>
            </w:r>
          </w:p>
          <w:p w14:paraId="52085A7D" w14:textId="77777777" w:rsidR="00401786" w:rsidRDefault="00C64FB3" w:rsidP="002144EC">
            <w:pPr>
              <w:widowControl/>
              <w:numPr>
                <w:ilvl w:val="2"/>
                <w:numId w:val="118"/>
              </w:numPr>
              <w:spacing w:line="300" w:lineRule="exact"/>
              <w:ind w:left="1255" w:hanging="284"/>
            </w:pPr>
            <w:r>
              <w:rPr>
                <w:rFonts w:ascii="標楷體" w:eastAsia="標楷體" w:hAnsi="標楷體"/>
                <w:kern w:val="0"/>
              </w:rPr>
              <w:t xml:space="preserve">□ </w:t>
            </w:r>
            <w:r>
              <w:rPr>
                <w:rFonts w:eastAsia="標楷體"/>
                <w:kern w:val="0"/>
              </w:rPr>
              <w:t>Prednisolone≥ 0.5mg/kg/day(</w:t>
            </w:r>
            <w:r>
              <w:rPr>
                <w:rFonts w:eastAsia="標楷體"/>
                <w:kern w:val="0"/>
              </w:rPr>
              <w:t>或相等強度劑量之類固醇類藥物</w:t>
            </w:r>
            <w:r>
              <w:rPr>
                <w:rFonts w:eastAsia="標楷體"/>
                <w:kern w:val="0"/>
              </w:rPr>
              <w:t>)</w:t>
            </w:r>
            <w:r>
              <w:rPr>
                <w:rFonts w:eastAsia="標楷體"/>
                <w:kern w:val="0"/>
              </w:rPr>
              <w:t>且</w:t>
            </w:r>
          </w:p>
          <w:p w14:paraId="25844C6C" w14:textId="77777777" w:rsidR="00401786" w:rsidRDefault="00C64FB3" w:rsidP="002144EC">
            <w:pPr>
              <w:widowControl/>
              <w:numPr>
                <w:ilvl w:val="2"/>
                <w:numId w:val="118"/>
              </w:numPr>
              <w:spacing w:line="300" w:lineRule="exact"/>
              <w:ind w:left="1255" w:hanging="284"/>
            </w:pPr>
            <w:r>
              <w:rPr>
                <w:rFonts w:ascii="標楷體" w:eastAsia="標楷體" w:hAnsi="標楷體"/>
                <w:kern w:val="0"/>
              </w:rPr>
              <w:t xml:space="preserve">□ </w:t>
            </w:r>
            <w:r>
              <w:rPr>
                <w:rFonts w:eastAsia="標楷體"/>
                <w:kern w:val="0"/>
              </w:rPr>
              <w:t>使用足量前導治療</w:t>
            </w:r>
            <w:r>
              <w:rPr>
                <w:rFonts w:eastAsia="標楷體"/>
                <w:kern w:val="0"/>
              </w:rPr>
              <w:t>(induction phase)</w:t>
            </w:r>
            <w:r>
              <w:rPr>
                <w:rFonts w:eastAsia="標楷體"/>
                <w:kern w:val="0"/>
              </w:rPr>
              <w:t>免疫抑制劑</w:t>
            </w:r>
          </w:p>
          <w:tbl>
            <w:tblPr>
              <w:tblW w:w="9315" w:type="dxa"/>
              <w:tblInd w:w="650" w:type="dxa"/>
              <w:tblCellMar>
                <w:left w:w="10" w:type="dxa"/>
                <w:right w:w="10" w:type="dxa"/>
              </w:tblCellMar>
              <w:tblLook w:val="0000" w:firstRow="0" w:lastRow="0" w:firstColumn="0" w:lastColumn="0" w:noHBand="0" w:noVBand="0"/>
            </w:tblPr>
            <w:tblGrid>
              <w:gridCol w:w="3189"/>
              <w:gridCol w:w="2583"/>
              <w:gridCol w:w="3543"/>
            </w:tblGrid>
            <w:tr w:rsidR="00401786" w14:paraId="4B574668"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748AFF" w14:textId="77777777" w:rsidR="00401786" w:rsidRDefault="00401786" w:rsidP="00C44BBD">
                  <w:pPr>
                    <w:widowControl/>
                    <w:spacing w:line="300" w:lineRule="exact"/>
                    <w:rPr>
                      <w:rFonts w:eastAsia="標楷體"/>
                    </w:rPr>
                  </w:pP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054895" w14:textId="77777777" w:rsidR="00401786" w:rsidRDefault="00C64FB3" w:rsidP="00C44BBD">
                  <w:pPr>
                    <w:widowControl/>
                    <w:spacing w:line="300" w:lineRule="exact"/>
                    <w:rPr>
                      <w:rFonts w:eastAsia="標楷體"/>
                    </w:rPr>
                  </w:pPr>
                  <w:r>
                    <w:rPr>
                      <w:rFonts w:eastAsia="標楷體"/>
                    </w:rPr>
                    <w:t>使用劑量</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BE3DD8" w14:textId="77777777" w:rsidR="00401786" w:rsidRDefault="00C64FB3" w:rsidP="00C44BBD">
                  <w:pPr>
                    <w:widowControl/>
                    <w:spacing w:line="300" w:lineRule="exact"/>
                    <w:rPr>
                      <w:rFonts w:eastAsia="標楷體"/>
                    </w:rPr>
                  </w:pPr>
                  <w:r>
                    <w:rPr>
                      <w:rFonts w:eastAsia="標楷體"/>
                    </w:rPr>
                    <w:t>使用時間</w:t>
                  </w:r>
                </w:p>
              </w:tc>
            </w:tr>
            <w:tr w:rsidR="00401786" w14:paraId="38A94378"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34F3CC" w14:textId="77777777" w:rsidR="00401786" w:rsidRDefault="00C64FB3" w:rsidP="00C44BBD">
                  <w:pPr>
                    <w:widowControl/>
                    <w:spacing w:line="300" w:lineRule="exact"/>
                    <w:rPr>
                      <w:rFonts w:eastAsia="標楷體"/>
                    </w:rPr>
                  </w:pPr>
                  <w:r>
                    <w:rPr>
                      <w:rFonts w:eastAsia="標楷體"/>
                    </w:rPr>
                    <w:t>Mycophenolate mofetil</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79C828"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006180"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4EB2D286"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8E1AF9" w14:textId="77777777" w:rsidR="00401786" w:rsidRDefault="00C64FB3" w:rsidP="00C44BBD">
                  <w:pPr>
                    <w:widowControl/>
                    <w:spacing w:line="300" w:lineRule="exact"/>
                    <w:rPr>
                      <w:rFonts w:eastAsia="標楷體"/>
                    </w:rPr>
                  </w:pPr>
                  <w:r>
                    <w:rPr>
                      <w:rFonts w:eastAsia="標楷體"/>
                    </w:rPr>
                    <w:t xml:space="preserve">Mycophenolic </w:t>
                  </w:r>
                  <w:proofErr w:type="gramStart"/>
                  <w:r>
                    <w:rPr>
                      <w:rFonts w:eastAsia="標楷體"/>
                    </w:rPr>
                    <w:t>acid(</w:t>
                  </w:r>
                  <w:proofErr w:type="gramEnd"/>
                  <w:r>
                    <w:rPr>
                      <w:rFonts w:eastAsia="標楷體"/>
                    </w:rPr>
                    <w:t>MPA)</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ADAE20"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FE0280"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05D800A3"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43396B" w14:textId="77777777" w:rsidR="00401786" w:rsidRDefault="00C64FB3" w:rsidP="00C44BBD">
                  <w:pPr>
                    <w:widowControl/>
                    <w:spacing w:line="300" w:lineRule="exact"/>
                  </w:pPr>
                  <w:r>
                    <w:rPr>
                      <w:rFonts w:eastAsia="標楷體"/>
                      <w:color w:val="2A2720"/>
                    </w:rPr>
                    <w:t>Cyclophosphamide</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FE966F"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DE14FC"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3320F665"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9D0EB5" w14:textId="77777777" w:rsidR="00401786" w:rsidRDefault="00C64FB3" w:rsidP="00C44BBD">
                  <w:pPr>
                    <w:widowControl/>
                    <w:spacing w:line="300" w:lineRule="exact"/>
                    <w:rPr>
                      <w:rFonts w:eastAsia="標楷體"/>
                    </w:rPr>
                  </w:pPr>
                  <w:r>
                    <w:rPr>
                      <w:rFonts w:eastAsia="標楷體"/>
                    </w:rPr>
                    <w:t>Azathioprine (</w:t>
                  </w:r>
                  <w:r>
                    <w:rPr>
                      <w:rFonts w:eastAsia="標楷體"/>
                    </w:rPr>
                    <w:t>體重</w:t>
                  </w:r>
                  <w:r>
                    <w:rPr>
                      <w:rFonts w:eastAsia="標楷體"/>
                    </w:rPr>
                    <w:t>: ___ kg)</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4A1704"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619F16"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48B85D61"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94DA5" w14:textId="77777777" w:rsidR="00401786" w:rsidRDefault="00C64FB3" w:rsidP="00C44BBD">
                  <w:pPr>
                    <w:widowControl/>
                    <w:spacing w:line="300" w:lineRule="exact"/>
                    <w:rPr>
                      <w:rFonts w:eastAsia="標楷體"/>
                    </w:rPr>
                  </w:pPr>
                  <w:r>
                    <w:rPr>
                      <w:rFonts w:eastAsia="標楷體"/>
                    </w:rPr>
                    <w:t>其他免疫抑制劑</w:t>
                  </w:r>
                  <w:r>
                    <w:rPr>
                      <w:rFonts w:eastAsia="標楷體"/>
                    </w:rPr>
                    <w:t>__________</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447B53"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3BE476"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bl>
          <w:p w14:paraId="63E33C43" w14:textId="77777777" w:rsidR="00401786" w:rsidRDefault="00C64FB3" w:rsidP="002144EC">
            <w:pPr>
              <w:widowControl/>
              <w:numPr>
                <w:ilvl w:val="0"/>
                <w:numId w:val="119"/>
              </w:numPr>
              <w:tabs>
                <w:tab w:val="left" w:pos="-8640"/>
              </w:tabs>
              <w:spacing w:before="240" w:line="300" w:lineRule="exact"/>
            </w:pPr>
            <w:r>
              <w:rPr>
                <w:rFonts w:ascii="標楷體" w:eastAsia="標楷體" w:hAnsi="標楷體" w:cs="新細明體"/>
                <w:kern w:val="0"/>
              </w:rPr>
              <w:t xml:space="preserve">□ </w:t>
            </w:r>
            <w:r>
              <w:rPr>
                <w:rFonts w:eastAsia="標楷體" w:cs="新細明體"/>
                <w:kern w:val="0"/>
              </w:rPr>
              <w:t>無法有效控制疾病的定義為經標準治療至少</w:t>
            </w:r>
            <w:r>
              <w:rPr>
                <w:rFonts w:eastAsia="標楷體" w:cs="新細明體"/>
                <w:kern w:val="0"/>
              </w:rPr>
              <w:t xml:space="preserve">6 </w:t>
            </w:r>
            <w:proofErr w:type="gramStart"/>
            <w:r>
              <w:rPr>
                <w:rFonts w:eastAsia="標楷體" w:cs="新細明體"/>
                <w:kern w:val="0"/>
              </w:rPr>
              <w:t>個</w:t>
            </w:r>
            <w:proofErr w:type="gramEnd"/>
            <w:r>
              <w:rPr>
                <w:rFonts w:eastAsia="標楷體" w:cs="新細明體"/>
                <w:kern w:val="0"/>
              </w:rPr>
              <w:t>月後仍有以下情形</w:t>
            </w:r>
            <w:r>
              <w:rPr>
                <w:rFonts w:eastAsia="標楷體" w:cs="新細明體"/>
                <w:kern w:val="0"/>
              </w:rPr>
              <w:t>:</w:t>
            </w:r>
          </w:p>
          <w:p w14:paraId="1F8BB101" w14:textId="77777777" w:rsidR="00401786" w:rsidRDefault="00C64FB3" w:rsidP="002144EC">
            <w:pPr>
              <w:widowControl/>
              <w:numPr>
                <w:ilvl w:val="1"/>
                <w:numId w:val="119"/>
              </w:numPr>
              <w:tabs>
                <w:tab w:val="left" w:pos="-17465"/>
              </w:tabs>
              <w:spacing w:line="300" w:lineRule="exact"/>
              <w:ind w:hanging="469"/>
            </w:pPr>
            <w:r>
              <w:rPr>
                <w:rFonts w:ascii="標楷體" w:eastAsia="標楷體" w:hAnsi="標楷體" w:cs="新細明體"/>
                <w:kern w:val="0"/>
              </w:rPr>
              <w:t>□</w:t>
            </w:r>
            <w:r>
              <w:rPr>
                <w:rFonts w:eastAsia="標楷體" w:cs="新細明體"/>
                <w:kern w:val="0"/>
              </w:rPr>
              <w:t xml:space="preserve"> </w:t>
            </w:r>
            <w:r>
              <w:rPr>
                <w:rFonts w:eastAsia="標楷體" w:cs="新細明體"/>
                <w:kern w:val="0"/>
              </w:rPr>
              <w:t>蛋白尿</w:t>
            </w:r>
            <w:proofErr w:type="gramStart"/>
            <w:r>
              <w:rPr>
                <w:rFonts w:eastAsia="標楷體" w:cs="新細明體"/>
                <w:kern w:val="0"/>
              </w:rPr>
              <w:t>相較基期</w:t>
            </w:r>
            <w:proofErr w:type="gramEnd"/>
            <w:r>
              <w:rPr>
                <w:rFonts w:eastAsia="標楷體" w:cs="新細明體"/>
                <w:kern w:val="0"/>
              </w:rPr>
              <w:t>下降比例</w:t>
            </w:r>
            <w:r>
              <w:rPr>
                <w:rFonts w:eastAsia="標楷體" w:cs="新細明體"/>
                <w:kern w:val="0"/>
              </w:rPr>
              <w:t>&lt;50%</w:t>
            </w:r>
            <w:r>
              <w:rPr>
                <w:rFonts w:eastAsia="標楷體" w:cs="新細明體"/>
                <w:kern w:val="0"/>
              </w:rPr>
              <w:t>，且</w:t>
            </w:r>
            <w:proofErr w:type="spellStart"/>
            <w:r>
              <w:rPr>
                <w:rFonts w:eastAsia="標楷體" w:cs="新細明體"/>
                <w:kern w:val="0"/>
              </w:rPr>
              <w:t>uPCR</w:t>
            </w:r>
            <w:proofErr w:type="spellEnd"/>
            <w:r>
              <w:rPr>
                <w:rFonts w:eastAsia="標楷體" w:cs="新細明體"/>
                <w:kern w:val="0"/>
              </w:rPr>
              <w:t>或</w:t>
            </w:r>
            <w:r>
              <w:rPr>
                <w:rFonts w:eastAsia="標楷體" w:cs="新細明體"/>
                <w:kern w:val="0"/>
              </w:rPr>
              <w:t>24</w:t>
            </w:r>
            <w:r>
              <w:rPr>
                <w:rFonts w:eastAsia="標楷體" w:cs="新細明體"/>
                <w:kern w:val="0"/>
              </w:rPr>
              <w:t>小時蛋白尿</w:t>
            </w:r>
            <w:r>
              <w:rPr>
                <w:rFonts w:eastAsia="標楷體" w:cs="新細明體"/>
                <w:kern w:val="0"/>
              </w:rPr>
              <w:t>≥ 1.0</w:t>
            </w:r>
          </w:p>
          <w:p w14:paraId="4D1244F6" w14:textId="77777777" w:rsidR="00401786" w:rsidRDefault="00C64FB3" w:rsidP="002144EC">
            <w:pPr>
              <w:widowControl/>
              <w:numPr>
                <w:ilvl w:val="1"/>
                <w:numId w:val="119"/>
              </w:numPr>
              <w:tabs>
                <w:tab w:val="left" w:pos="-17465"/>
              </w:tabs>
              <w:spacing w:line="300" w:lineRule="exact"/>
              <w:ind w:hanging="469"/>
            </w:pPr>
            <w:r>
              <w:rPr>
                <w:rFonts w:ascii="標楷體" w:eastAsia="標楷體" w:hAnsi="標楷體" w:cs="新細明體"/>
                <w:kern w:val="0"/>
              </w:rPr>
              <w:t xml:space="preserve">□ </w:t>
            </w:r>
            <w:r>
              <w:rPr>
                <w:rFonts w:eastAsia="標楷體" w:cs="新細明體"/>
                <w:kern w:val="0"/>
              </w:rPr>
              <w:t>腎絲球過濾率</w:t>
            </w:r>
            <w:r>
              <w:rPr>
                <w:rFonts w:eastAsia="標楷體" w:cs="新細明體"/>
                <w:kern w:val="0"/>
              </w:rPr>
              <w:t xml:space="preserve"> (glomerular filtration </w:t>
            </w:r>
            <w:proofErr w:type="spellStart"/>
            <w:r>
              <w:rPr>
                <w:rFonts w:eastAsia="標楷體" w:cs="新細明體"/>
                <w:kern w:val="0"/>
              </w:rPr>
              <w:t>rate,GFR</w:t>
            </w:r>
            <w:proofErr w:type="spellEnd"/>
            <w:r>
              <w:rPr>
                <w:rFonts w:eastAsia="標楷體" w:cs="新細明體"/>
                <w:kern w:val="0"/>
              </w:rPr>
              <w:t>)</w:t>
            </w:r>
            <w:r>
              <w:rPr>
                <w:rFonts w:eastAsia="標楷體" w:cs="新細明體"/>
                <w:kern w:val="0"/>
              </w:rPr>
              <w:t>下降超過</w:t>
            </w:r>
            <w:r>
              <w:rPr>
                <w:rFonts w:eastAsia="標楷體" w:cs="新細明體"/>
                <w:kern w:val="0"/>
              </w:rPr>
              <w:t>20%</w:t>
            </w:r>
            <w:r>
              <w:rPr>
                <w:rFonts w:eastAsia="標楷體" w:cs="新細明體"/>
                <w:kern w:val="0"/>
              </w:rPr>
              <w:t>以上且伴隨</w:t>
            </w:r>
            <w:proofErr w:type="spellStart"/>
            <w:r>
              <w:rPr>
                <w:rFonts w:eastAsia="標楷體" w:cs="新細明體"/>
                <w:kern w:val="0"/>
              </w:rPr>
              <w:t>uPCR</w:t>
            </w:r>
            <w:proofErr w:type="spellEnd"/>
            <w:r>
              <w:rPr>
                <w:rFonts w:eastAsia="標楷體" w:cs="新細明體"/>
                <w:kern w:val="0"/>
              </w:rPr>
              <w:t>或</w:t>
            </w:r>
            <w:r>
              <w:rPr>
                <w:rFonts w:eastAsia="標楷體" w:cs="新細明體"/>
                <w:kern w:val="0"/>
              </w:rPr>
              <w:t>24</w:t>
            </w:r>
            <w:r>
              <w:rPr>
                <w:rFonts w:eastAsia="標楷體" w:cs="新細明體"/>
                <w:kern w:val="0"/>
              </w:rPr>
              <w:t>小時蛋白尿</w:t>
            </w:r>
            <w:r>
              <w:rPr>
                <w:rFonts w:eastAsia="標楷體" w:cs="新細明體"/>
                <w:kern w:val="0"/>
              </w:rPr>
              <w:t>≥ 1.0</w:t>
            </w:r>
            <w:r>
              <w:rPr>
                <w:rFonts w:eastAsia="標楷體" w:cs="新細明體"/>
                <w:kern w:val="0"/>
              </w:rPr>
              <w:t>或是出現尿沉渣。</w:t>
            </w:r>
          </w:p>
          <w:p w14:paraId="50EC63CA" w14:textId="77777777" w:rsidR="00401786" w:rsidRDefault="00C64FB3" w:rsidP="00C44BBD">
            <w:pPr>
              <w:spacing w:before="240" w:line="300" w:lineRule="exact"/>
              <w:ind w:left="406" w:hanging="406"/>
              <w:rPr>
                <w:rFonts w:eastAsia="標楷體"/>
              </w:rPr>
            </w:pPr>
            <w:r>
              <w:rPr>
                <w:rFonts w:eastAsia="標楷體"/>
              </w:rPr>
              <w:t xml:space="preserve">□ </w:t>
            </w:r>
            <w:r>
              <w:rPr>
                <w:rFonts w:eastAsia="標楷體"/>
              </w:rPr>
              <w:t>療效評估與繼續使用</w:t>
            </w:r>
            <w:r>
              <w:rPr>
                <w:rFonts w:eastAsia="標楷體"/>
              </w:rPr>
              <w:t>:</w:t>
            </w:r>
            <w:r>
              <w:rPr>
                <w:rFonts w:eastAsia="標楷體"/>
              </w:rPr>
              <w:t>每治療</w:t>
            </w:r>
            <w:r>
              <w:rPr>
                <w:rFonts w:eastAsia="標楷體"/>
              </w:rPr>
              <w:t xml:space="preserve">12 </w:t>
            </w:r>
            <w:proofErr w:type="gramStart"/>
            <w:r>
              <w:rPr>
                <w:rFonts w:eastAsia="標楷體"/>
              </w:rPr>
              <w:t>個</w:t>
            </w:r>
            <w:proofErr w:type="gramEnd"/>
            <w:r>
              <w:rPr>
                <w:rFonts w:eastAsia="標楷體"/>
              </w:rPr>
              <w:t>月需評估病人在使用期間內是否達充分改善腎臟指標，必須達到以下標準才可以繼續使用：</w:t>
            </w:r>
          </w:p>
          <w:p w14:paraId="17BD0EBB" w14:textId="77777777" w:rsidR="00401786" w:rsidRDefault="00C64FB3" w:rsidP="002144EC">
            <w:pPr>
              <w:widowControl/>
              <w:numPr>
                <w:ilvl w:val="0"/>
                <w:numId w:val="120"/>
              </w:numPr>
              <w:spacing w:before="240" w:line="300" w:lineRule="exact"/>
            </w:pPr>
            <w:r>
              <w:rPr>
                <w:rFonts w:eastAsia="標楷體"/>
                <w:kern w:val="0"/>
              </w:rPr>
              <w:t xml:space="preserve">□ </w:t>
            </w:r>
            <w:proofErr w:type="spellStart"/>
            <w:r>
              <w:rPr>
                <w:rFonts w:eastAsia="標楷體"/>
                <w:kern w:val="0"/>
              </w:rPr>
              <w:t>uPCR</w:t>
            </w:r>
            <w:proofErr w:type="spellEnd"/>
            <w:r>
              <w:rPr>
                <w:rFonts w:eastAsia="標楷體"/>
                <w:kern w:val="0"/>
              </w:rPr>
              <w:t>或</w:t>
            </w:r>
            <w:r>
              <w:rPr>
                <w:rFonts w:eastAsia="標楷體"/>
                <w:kern w:val="0"/>
              </w:rPr>
              <w:t>24</w:t>
            </w:r>
            <w:r>
              <w:rPr>
                <w:rFonts w:eastAsia="標楷體"/>
                <w:kern w:val="0"/>
              </w:rPr>
              <w:t>小時蛋白尿</w:t>
            </w:r>
            <w:r>
              <w:rPr>
                <w:rFonts w:ascii="Times New Roman" w:eastAsia="標楷體" w:hAnsi="Times New Roman"/>
                <w:kern w:val="0"/>
              </w:rPr>
              <w:t>≤</w:t>
            </w:r>
            <w:r>
              <w:rPr>
                <w:rFonts w:eastAsia="標楷體"/>
                <w:kern w:val="0"/>
              </w:rPr>
              <w:t xml:space="preserve"> 0.7gm/</w:t>
            </w:r>
            <w:r>
              <w:rPr>
                <w:rFonts w:eastAsia="標楷體"/>
                <w:kern w:val="0"/>
              </w:rPr>
              <w:t>天或相較於基期下降一半以上。</w:t>
            </w:r>
          </w:p>
          <w:p w14:paraId="4AEAE750" w14:textId="77777777" w:rsidR="00401786" w:rsidRDefault="00C64FB3" w:rsidP="002144EC">
            <w:pPr>
              <w:widowControl/>
              <w:numPr>
                <w:ilvl w:val="0"/>
                <w:numId w:val="120"/>
              </w:numPr>
              <w:spacing w:before="240" w:line="300" w:lineRule="exact"/>
              <w:rPr>
                <w:rFonts w:eastAsia="標楷體"/>
                <w:kern w:val="0"/>
              </w:rPr>
            </w:pPr>
            <w:r>
              <w:rPr>
                <w:rFonts w:eastAsia="標楷體"/>
                <w:kern w:val="0"/>
              </w:rPr>
              <w:t xml:space="preserve">□ </w:t>
            </w:r>
            <w:r>
              <w:rPr>
                <w:rFonts w:eastAsia="標楷體"/>
                <w:kern w:val="0"/>
              </w:rPr>
              <w:t>腎絲球過濾率</w:t>
            </w:r>
            <w:r>
              <w:rPr>
                <w:rFonts w:eastAsia="標楷體"/>
                <w:kern w:val="0"/>
              </w:rPr>
              <w:t>(glomerular filtration rate, GFR)</w:t>
            </w:r>
            <w:r>
              <w:rPr>
                <w:rFonts w:eastAsia="標楷體"/>
                <w:kern w:val="0"/>
              </w:rPr>
              <w:t>沒有下降超過</w:t>
            </w:r>
            <w:r>
              <w:rPr>
                <w:rFonts w:eastAsia="標楷體"/>
                <w:kern w:val="0"/>
              </w:rPr>
              <w:t xml:space="preserve"> 20%</w:t>
            </w:r>
            <w:r>
              <w:rPr>
                <w:rFonts w:eastAsia="標楷體"/>
                <w:kern w:val="0"/>
              </w:rPr>
              <w:t>以上。</w:t>
            </w:r>
          </w:p>
          <w:p w14:paraId="30B8B790" w14:textId="77777777" w:rsidR="00401786" w:rsidRDefault="00C64FB3" w:rsidP="002144EC">
            <w:pPr>
              <w:widowControl/>
              <w:numPr>
                <w:ilvl w:val="0"/>
                <w:numId w:val="120"/>
              </w:numPr>
              <w:spacing w:before="240" w:line="300" w:lineRule="exact"/>
              <w:rPr>
                <w:rFonts w:eastAsia="標楷體"/>
                <w:kern w:val="0"/>
              </w:rPr>
            </w:pPr>
            <w:r>
              <w:rPr>
                <w:rFonts w:eastAsia="標楷體"/>
                <w:kern w:val="0"/>
              </w:rPr>
              <w:t xml:space="preserve">□ </w:t>
            </w:r>
            <w:r>
              <w:rPr>
                <w:rFonts w:eastAsia="標楷體"/>
                <w:kern w:val="0"/>
              </w:rPr>
              <w:t>沒有末期腎臟病。</w:t>
            </w:r>
          </w:p>
          <w:p w14:paraId="3966DE70" w14:textId="77777777" w:rsidR="00401786" w:rsidRDefault="00C64FB3" w:rsidP="002144EC">
            <w:pPr>
              <w:widowControl/>
              <w:numPr>
                <w:ilvl w:val="0"/>
                <w:numId w:val="120"/>
              </w:numPr>
              <w:spacing w:before="240" w:line="300" w:lineRule="exact"/>
              <w:rPr>
                <w:rFonts w:eastAsia="標楷體"/>
                <w:kern w:val="0"/>
              </w:rPr>
            </w:pPr>
            <w:r>
              <w:rPr>
                <w:rFonts w:eastAsia="標楷體"/>
                <w:kern w:val="0"/>
              </w:rPr>
              <w:t xml:space="preserve">□ </w:t>
            </w:r>
            <w:proofErr w:type="gramStart"/>
            <w:r>
              <w:rPr>
                <w:rFonts w:eastAsia="標楷體"/>
                <w:kern w:val="0"/>
              </w:rPr>
              <w:t>相較基期</w:t>
            </w:r>
            <w:proofErr w:type="gramEnd"/>
            <w:r>
              <w:rPr>
                <w:rFonts w:eastAsia="標楷體"/>
                <w:kern w:val="0"/>
              </w:rPr>
              <w:t>，血清</w:t>
            </w:r>
            <w:proofErr w:type="gramStart"/>
            <w:r>
              <w:rPr>
                <w:rFonts w:eastAsia="標楷體"/>
                <w:kern w:val="0"/>
              </w:rPr>
              <w:t>肌</w:t>
            </w:r>
            <w:proofErr w:type="gramEnd"/>
            <w:r>
              <w:rPr>
                <w:rFonts w:eastAsia="標楷體"/>
                <w:kern w:val="0"/>
              </w:rPr>
              <w:t>酸酐沒有增加超過</w:t>
            </w:r>
            <w:r>
              <w:rPr>
                <w:rFonts w:eastAsia="標楷體"/>
                <w:kern w:val="0"/>
              </w:rPr>
              <w:t>1</w:t>
            </w:r>
            <w:r>
              <w:rPr>
                <w:rFonts w:eastAsia="標楷體"/>
                <w:kern w:val="0"/>
              </w:rPr>
              <w:t>倍。</w:t>
            </w:r>
          </w:p>
          <w:p w14:paraId="3A704156" w14:textId="77777777" w:rsidR="00401786" w:rsidRDefault="00C64FB3" w:rsidP="002144EC">
            <w:pPr>
              <w:widowControl/>
              <w:numPr>
                <w:ilvl w:val="0"/>
                <w:numId w:val="120"/>
              </w:numPr>
              <w:spacing w:before="240" w:line="300" w:lineRule="exact"/>
            </w:pPr>
            <w:r>
              <w:rPr>
                <w:rFonts w:eastAsia="標楷體"/>
                <w:kern w:val="0"/>
              </w:rPr>
              <w:t xml:space="preserve">□ </w:t>
            </w:r>
            <w:r>
              <w:rPr>
                <w:rFonts w:eastAsia="標楷體"/>
                <w:kern w:val="0"/>
              </w:rPr>
              <w:t>治療</w:t>
            </w:r>
            <w:r>
              <w:rPr>
                <w:rFonts w:eastAsia="標楷體"/>
                <w:kern w:val="0"/>
              </w:rPr>
              <w:t>2</w:t>
            </w:r>
            <w:r>
              <w:rPr>
                <w:rFonts w:eastAsia="標楷體"/>
                <w:kern w:val="0"/>
              </w:rPr>
              <w:t>年後，若腎炎已達</w:t>
            </w:r>
            <w:proofErr w:type="gramStart"/>
            <w:r>
              <w:rPr>
                <w:rFonts w:eastAsia="標楷體"/>
                <w:kern w:val="0"/>
              </w:rPr>
              <w:t>完全緩解者</w:t>
            </w:r>
            <w:proofErr w:type="gramEnd"/>
            <w:r>
              <w:rPr>
                <w:rFonts w:eastAsia="標楷體"/>
                <w:kern w:val="0"/>
              </w:rPr>
              <w:t>(complete renal response, CRR)</w:t>
            </w:r>
            <w:r>
              <w:rPr>
                <w:rFonts w:eastAsia="標楷體"/>
                <w:kern w:val="0"/>
              </w:rPr>
              <w:t>，應停止使用</w:t>
            </w:r>
            <w:r>
              <w:rPr>
                <w:rFonts w:eastAsia="標楷體"/>
                <w:kern w:val="0"/>
              </w:rPr>
              <w:t>belimumab</w:t>
            </w:r>
            <w:r>
              <w:rPr>
                <w:rFonts w:eastAsia="標楷體"/>
                <w:kern w:val="0"/>
              </w:rPr>
              <w:t>。</w:t>
            </w:r>
            <w:r>
              <w:rPr>
                <w:rFonts w:eastAsia="標楷體"/>
                <w:kern w:val="0"/>
              </w:rPr>
              <w:t>CRR</w:t>
            </w:r>
            <w:r>
              <w:rPr>
                <w:rFonts w:eastAsia="標楷體"/>
                <w:kern w:val="0"/>
              </w:rPr>
              <w:t>指病人</w:t>
            </w:r>
            <w:proofErr w:type="spellStart"/>
            <w:r>
              <w:rPr>
                <w:rFonts w:eastAsia="標楷體"/>
                <w:kern w:val="0"/>
              </w:rPr>
              <w:t>uPCR</w:t>
            </w:r>
            <w:proofErr w:type="spellEnd"/>
            <w:r>
              <w:rPr>
                <w:rFonts w:eastAsia="標楷體"/>
                <w:kern w:val="0"/>
              </w:rPr>
              <w:t>&lt;0.5</w:t>
            </w:r>
            <w:r>
              <w:rPr>
                <w:rFonts w:eastAsia="標楷體"/>
                <w:kern w:val="0"/>
              </w:rPr>
              <w:t>且</w:t>
            </w:r>
            <w:r>
              <w:rPr>
                <w:rFonts w:eastAsia="標楷體"/>
                <w:kern w:val="0"/>
              </w:rPr>
              <w:t>eGFR</w:t>
            </w:r>
            <w:r>
              <w:rPr>
                <w:rFonts w:eastAsia="標楷體"/>
                <w:kern w:val="0"/>
              </w:rPr>
              <w:t>下降與基期相比</w:t>
            </w:r>
            <w:r>
              <w:rPr>
                <w:rFonts w:eastAsia="標楷體"/>
                <w:kern w:val="0"/>
              </w:rPr>
              <w:t>&lt;10%</w:t>
            </w:r>
            <w:r>
              <w:rPr>
                <w:rFonts w:eastAsia="標楷體"/>
                <w:kern w:val="0"/>
              </w:rPr>
              <w:t>或持續</w:t>
            </w:r>
            <w:r>
              <w:rPr>
                <w:rFonts w:ascii="Times New Roman" w:eastAsia="標楷體" w:hAnsi="Times New Roman"/>
                <w:kern w:val="0"/>
              </w:rPr>
              <w:t>≥</w:t>
            </w:r>
            <w:r>
              <w:rPr>
                <w:rFonts w:eastAsia="標楷體"/>
                <w:kern w:val="0"/>
              </w:rPr>
              <w:t>90 ml/min/1.73 m</w:t>
            </w:r>
            <w:r>
              <w:rPr>
                <w:rFonts w:eastAsia="標楷體"/>
                <w:kern w:val="0"/>
                <w:vertAlign w:val="superscript"/>
              </w:rPr>
              <w:t>2</w:t>
            </w:r>
            <w:r>
              <w:rPr>
                <w:rFonts w:eastAsia="標楷體"/>
                <w:kern w:val="0"/>
              </w:rPr>
              <w:t>。</w:t>
            </w:r>
          </w:p>
        </w:tc>
      </w:tr>
    </w:tbl>
    <w:p w14:paraId="02DA745F" w14:textId="77777777" w:rsidR="00401786" w:rsidRDefault="00C64FB3" w:rsidP="00C44BBD">
      <w:pPr>
        <w:widowControl/>
        <w:spacing w:before="240" w:after="240" w:line="300" w:lineRule="exact"/>
      </w:pPr>
      <w:r>
        <w:rPr>
          <w:rFonts w:ascii="標楷體" w:eastAsia="標楷體" w:hAnsi="標楷體" w:cs="新細明體"/>
          <w:kern w:val="0"/>
        </w:rPr>
        <w:t>申請醫師（簽名蓋章）：</w:t>
      </w:r>
      <w:r>
        <w:rPr>
          <w:rFonts w:ascii="標楷體" w:eastAsia="標楷體" w:hAnsi="標楷體" w:cs="新細明體"/>
          <w:kern w:val="0"/>
          <w:u w:val="single"/>
        </w:rPr>
        <w:t xml:space="preserve">　　　　　　　 </w:t>
      </w:r>
      <w:r>
        <w:rPr>
          <w:rFonts w:ascii="標楷體" w:eastAsia="標楷體" w:hAnsi="標楷體" w:cs="新細明體"/>
          <w:kern w:val="0"/>
        </w:rPr>
        <w:t xml:space="preserve">     申請醫師（簽名蓋章）：</w:t>
      </w:r>
    </w:p>
    <w:p w14:paraId="6972228C" w14:textId="01C783E6" w:rsidR="00C44BBD" w:rsidRPr="00C44BBD" w:rsidRDefault="00C64FB3" w:rsidP="00C44BBD">
      <w:pPr>
        <w:spacing w:line="300" w:lineRule="exact"/>
      </w:pPr>
      <w:r>
        <w:rPr>
          <w:rFonts w:ascii="標楷體" w:eastAsia="標楷體" w:hAnsi="標楷體" w:cs="新細明體"/>
          <w:kern w:val="0"/>
        </w:rPr>
        <w:t>專科醫師證書：</w:t>
      </w:r>
      <w:r>
        <w:rPr>
          <w:rFonts w:ascii="標楷體" w:eastAsia="標楷體" w:hAnsi="標楷體" w:cs="新細明體"/>
          <w:kern w:val="0"/>
          <w:u w:val="single"/>
        </w:rPr>
        <w:t xml:space="preserve"> </w:t>
      </w:r>
      <w:r>
        <w:rPr>
          <w:rFonts w:ascii="標楷體" w:eastAsia="標楷體" w:hAnsi="標楷體" w:cs="新細明體"/>
          <w:kern w:val="0"/>
        </w:rPr>
        <w:t>專字第</w:t>
      </w:r>
      <w:r>
        <w:rPr>
          <w:rFonts w:ascii="標楷體" w:eastAsia="標楷體" w:hAnsi="標楷體" w:cs="新細明體"/>
          <w:kern w:val="0"/>
          <w:u w:val="single"/>
        </w:rPr>
        <w:t xml:space="preserve">　　　　 　 </w:t>
      </w:r>
      <w:r>
        <w:rPr>
          <w:rFonts w:ascii="標楷體" w:eastAsia="標楷體" w:hAnsi="標楷體" w:cs="新細明體"/>
          <w:kern w:val="0"/>
        </w:rPr>
        <w:t xml:space="preserve">號       </w:t>
      </w:r>
      <w:proofErr w:type="gramStart"/>
      <w:r>
        <w:rPr>
          <w:rFonts w:ascii="標楷體" w:eastAsia="標楷體" w:hAnsi="標楷體" w:cs="新細明體"/>
          <w:kern w:val="0"/>
        </w:rPr>
        <w:t>醫</w:t>
      </w:r>
      <w:proofErr w:type="gramEnd"/>
      <w:r>
        <w:rPr>
          <w:rFonts w:ascii="標楷體" w:eastAsia="標楷體" w:hAnsi="標楷體" w:cs="新細明體"/>
          <w:kern w:val="0"/>
        </w:rPr>
        <w:t>事機構章戳：</w:t>
      </w:r>
      <w:bookmarkStart w:id="113" w:name="_Hlk188445473"/>
    </w:p>
    <w:p w14:paraId="4741A7DC" w14:textId="2CC700B0" w:rsidR="00401786" w:rsidRDefault="00C64FB3" w:rsidP="000E757E">
      <w:pPr>
        <w:widowControl/>
        <w:tabs>
          <w:tab w:val="left" w:pos="6521"/>
        </w:tabs>
        <w:spacing w:line="240" w:lineRule="atLeast"/>
        <w:jc w:val="center"/>
        <w:rPr>
          <w:rFonts w:ascii="標楷體" w:eastAsia="標楷體" w:hAnsi="標楷體"/>
          <w:b/>
        </w:rPr>
      </w:pPr>
      <w:r>
        <w:rPr>
          <w:rFonts w:ascii="標楷體" w:eastAsia="標楷體" w:hAnsi="標楷體"/>
          <w:b/>
        </w:rPr>
        <w:lastRenderedPageBreak/>
        <w:t>附表三十六之</w:t>
      </w:r>
      <w:proofErr w:type="gramStart"/>
      <w:r>
        <w:rPr>
          <w:rFonts w:ascii="標楷體" w:eastAsia="標楷體" w:hAnsi="標楷體"/>
          <w:b/>
        </w:rPr>
        <w:t>一</w:t>
      </w:r>
      <w:proofErr w:type="gramEnd"/>
      <w:r>
        <w:rPr>
          <w:rFonts w:ascii="標楷體" w:eastAsia="標楷體" w:hAnsi="標楷體"/>
          <w:b/>
        </w:rPr>
        <w:t>：全民健康保險全身性狼瘡5-17歲病人使用belimumab生物製劑申請表</w:t>
      </w:r>
      <w:bookmarkEnd w:id="113"/>
    </w:p>
    <w:tbl>
      <w:tblPr>
        <w:tblW w:w="9639" w:type="dxa"/>
        <w:tblCellMar>
          <w:left w:w="10" w:type="dxa"/>
          <w:right w:w="10" w:type="dxa"/>
        </w:tblCellMar>
        <w:tblLook w:val="0000" w:firstRow="0" w:lastRow="0" w:firstColumn="0" w:lastColumn="0" w:noHBand="0" w:noVBand="0"/>
      </w:tblPr>
      <w:tblGrid>
        <w:gridCol w:w="29"/>
        <w:gridCol w:w="2374"/>
        <w:gridCol w:w="735"/>
        <w:gridCol w:w="1888"/>
        <w:gridCol w:w="702"/>
        <w:gridCol w:w="1856"/>
        <w:gridCol w:w="2145"/>
      </w:tblGrid>
      <w:tr w:rsidR="00401786" w14:paraId="29753D36" w14:textId="77777777">
        <w:trPr>
          <w:trHeight w:val="210"/>
        </w:trPr>
        <w:tc>
          <w:tcPr>
            <w:tcW w:w="28" w:type="dxa"/>
            <w:shd w:val="clear" w:color="auto" w:fill="auto"/>
            <w:tcMar>
              <w:top w:w="0" w:type="dxa"/>
              <w:left w:w="0" w:type="dxa"/>
              <w:bottom w:w="0" w:type="dxa"/>
              <w:right w:w="0" w:type="dxa"/>
            </w:tcMar>
          </w:tcPr>
          <w:p w14:paraId="3CD1871B"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D38DBAB"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醫院代號</w:t>
            </w:r>
          </w:p>
        </w:tc>
        <w:tc>
          <w:tcPr>
            <w:tcW w:w="77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500631"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0A3BD3"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醫院名稱</w:t>
            </w:r>
          </w:p>
        </w:tc>
        <w:tc>
          <w:tcPr>
            <w:tcW w:w="73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A5E611"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C7800E7"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申請日期</w:t>
            </w:r>
          </w:p>
        </w:tc>
        <w:tc>
          <w:tcPr>
            <w:tcW w:w="2155"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2C778E2"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r>
      <w:tr w:rsidR="00401786" w14:paraId="2B55F9AF" w14:textId="77777777">
        <w:trPr>
          <w:trHeight w:val="210"/>
        </w:trPr>
        <w:tc>
          <w:tcPr>
            <w:tcW w:w="28" w:type="dxa"/>
            <w:shd w:val="clear" w:color="auto" w:fill="auto"/>
            <w:tcMar>
              <w:top w:w="0" w:type="dxa"/>
              <w:left w:w="0" w:type="dxa"/>
              <w:bottom w:w="0" w:type="dxa"/>
              <w:right w:w="0" w:type="dxa"/>
            </w:tcMar>
          </w:tcPr>
          <w:p w14:paraId="11BA028F"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800D56F"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病人姓名</w:t>
            </w:r>
          </w:p>
        </w:tc>
        <w:tc>
          <w:tcPr>
            <w:tcW w:w="77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08C09E"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D23734"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性別</w:t>
            </w:r>
          </w:p>
        </w:tc>
        <w:tc>
          <w:tcPr>
            <w:tcW w:w="7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9C9C82"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B2D002A"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出生日期</w:t>
            </w:r>
          </w:p>
        </w:tc>
        <w:tc>
          <w:tcPr>
            <w:tcW w:w="21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86C3C66"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r>
      <w:tr w:rsidR="00401786" w14:paraId="2D857D55" w14:textId="77777777">
        <w:trPr>
          <w:trHeight w:val="210"/>
        </w:trPr>
        <w:tc>
          <w:tcPr>
            <w:tcW w:w="28" w:type="dxa"/>
            <w:shd w:val="clear" w:color="auto" w:fill="auto"/>
            <w:tcMar>
              <w:top w:w="0" w:type="dxa"/>
              <w:left w:w="0" w:type="dxa"/>
              <w:bottom w:w="0" w:type="dxa"/>
              <w:right w:w="0" w:type="dxa"/>
            </w:tcMar>
          </w:tcPr>
          <w:p w14:paraId="1C58863E"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22BFEF"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身分證號</w:t>
            </w:r>
          </w:p>
        </w:tc>
        <w:tc>
          <w:tcPr>
            <w:tcW w:w="77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29EB45"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339FCB"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病歷號碼</w:t>
            </w:r>
          </w:p>
        </w:tc>
        <w:tc>
          <w:tcPr>
            <w:tcW w:w="7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85ED89"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DF682DB"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使用期間</w:t>
            </w:r>
          </w:p>
        </w:tc>
        <w:tc>
          <w:tcPr>
            <w:tcW w:w="21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506B61E"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自　　年　　月　　日</w:t>
            </w:r>
          </w:p>
        </w:tc>
      </w:tr>
      <w:tr w:rsidR="00401786" w14:paraId="7E342A66" w14:textId="77777777">
        <w:trPr>
          <w:trHeight w:val="195"/>
        </w:trPr>
        <w:tc>
          <w:tcPr>
            <w:tcW w:w="28" w:type="dxa"/>
            <w:shd w:val="clear" w:color="auto" w:fill="auto"/>
            <w:tcMar>
              <w:top w:w="0" w:type="dxa"/>
              <w:left w:w="0" w:type="dxa"/>
              <w:bottom w:w="0" w:type="dxa"/>
              <w:right w:w="0" w:type="dxa"/>
            </w:tcMar>
          </w:tcPr>
          <w:p w14:paraId="7525F6F3"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4C7FB6A5"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藥品代碼</w:t>
            </w:r>
          </w:p>
        </w:tc>
        <w:tc>
          <w:tcPr>
            <w:tcW w:w="77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A8EC735"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27D3258"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用法用量</w:t>
            </w:r>
          </w:p>
        </w:tc>
        <w:tc>
          <w:tcPr>
            <w:tcW w:w="73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80117A3"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CF48E80" w14:textId="77777777" w:rsidR="00401786" w:rsidRDefault="00401786" w:rsidP="000E757E">
            <w:pPr>
              <w:widowControl/>
              <w:tabs>
                <w:tab w:val="left" w:pos="6521"/>
              </w:tabs>
              <w:suppressAutoHyphens w:val="0"/>
              <w:spacing w:line="240" w:lineRule="atLeast"/>
              <w:textAlignment w:val="auto"/>
              <w:rPr>
                <w:rFonts w:ascii="新細明體" w:hAnsi="新細明體" w:cs="新細明體"/>
                <w:kern w:val="0"/>
                <w:szCs w:val="24"/>
              </w:rPr>
            </w:pPr>
          </w:p>
        </w:tc>
        <w:tc>
          <w:tcPr>
            <w:tcW w:w="2155"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D0B8683"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至　　年　　月　　日</w:t>
            </w:r>
          </w:p>
        </w:tc>
      </w:tr>
      <w:tr w:rsidR="00401786" w14:paraId="0333954C" w14:textId="77777777">
        <w:trPr>
          <w:trHeight w:val="1050"/>
        </w:trPr>
        <w:tc>
          <w:tcPr>
            <w:tcW w:w="28" w:type="dxa"/>
            <w:shd w:val="clear" w:color="auto" w:fill="auto"/>
            <w:tcMar>
              <w:top w:w="0" w:type="dxa"/>
              <w:left w:w="0" w:type="dxa"/>
              <w:bottom w:w="0" w:type="dxa"/>
              <w:right w:w="0" w:type="dxa"/>
            </w:tcMar>
          </w:tcPr>
          <w:p w14:paraId="324B90F4" w14:textId="77777777" w:rsidR="00401786" w:rsidRDefault="00401786" w:rsidP="000E757E">
            <w:pPr>
              <w:widowControl/>
              <w:tabs>
                <w:tab w:val="left" w:pos="6521"/>
              </w:tabs>
              <w:suppressAutoHyphens w:val="0"/>
              <w:spacing w:before="100" w:after="100" w:line="240" w:lineRule="atLeast"/>
              <w:ind w:left="374" w:hanging="374"/>
              <w:textAlignment w:val="auto"/>
              <w:rPr>
                <w:rFonts w:ascii="新細明體" w:hAnsi="新細明體" w:cs="新細明體"/>
                <w:kern w:val="0"/>
                <w:szCs w:val="24"/>
              </w:rPr>
            </w:pPr>
          </w:p>
        </w:tc>
        <w:tc>
          <w:tcPr>
            <w:tcW w:w="9701" w:type="dxa"/>
            <w:gridSpan w:val="6"/>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804AAE6" w14:textId="77777777" w:rsidR="00401786" w:rsidRDefault="00C64FB3" w:rsidP="000E757E">
            <w:pPr>
              <w:widowControl/>
              <w:tabs>
                <w:tab w:val="left" w:pos="6521"/>
              </w:tabs>
              <w:suppressAutoHyphens w:val="0"/>
              <w:spacing w:before="100" w:after="100" w:line="240" w:lineRule="atLeast"/>
              <w:ind w:left="374" w:hanging="374"/>
              <w:textAlignment w:val="auto"/>
            </w:pPr>
            <w:r>
              <w:rPr>
                <w:rFonts w:ascii="新細明體" w:hAnsi="新細明體" w:cs="新細明體"/>
                <w:kern w:val="0"/>
                <w:szCs w:val="24"/>
              </w:rPr>
              <w:t xml:space="preserve">□ </w:t>
            </w:r>
            <w:r>
              <w:rPr>
                <w:rFonts w:ascii="標楷體" w:eastAsia="標楷體" w:hAnsi="標楷體" w:cs="新細明體"/>
                <w:kern w:val="0"/>
                <w:szCs w:val="24"/>
              </w:rPr>
              <w:t>限用於曾有</w:t>
            </w:r>
            <w:r>
              <w:rPr>
                <w:rFonts w:ascii="標楷體" w:eastAsia="標楷體" w:hAnsi="標楷體"/>
                <w:kern w:val="0"/>
                <w:szCs w:val="24"/>
              </w:rPr>
              <w:t>anti</w:t>
            </w:r>
            <w:proofErr w:type="gramStart"/>
            <w:r>
              <w:rPr>
                <w:rFonts w:ascii="標楷體" w:eastAsia="標楷體" w:hAnsi="標楷體"/>
                <w:kern w:val="0"/>
                <w:szCs w:val="24"/>
              </w:rPr>
              <w:t>–</w:t>
            </w:r>
            <w:proofErr w:type="gramEnd"/>
            <w:r>
              <w:rPr>
                <w:rFonts w:ascii="標楷體" w:eastAsia="標楷體" w:hAnsi="標楷體"/>
                <w:kern w:val="0"/>
                <w:szCs w:val="24"/>
              </w:rPr>
              <w:t>ds DNA</w:t>
            </w:r>
            <w:r>
              <w:rPr>
                <w:rFonts w:ascii="標楷體" w:eastAsia="標楷體" w:hAnsi="標楷體" w:cs="新細明體"/>
                <w:kern w:val="0"/>
                <w:szCs w:val="24"/>
              </w:rPr>
              <w:t>抗體陽性之報告及</w:t>
            </w:r>
            <w:proofErr w:type="gramStart"/>
            <w:r>
              <w:rPr>
                <w:rFonts w:ascii="標楷體" w:eastAsia="標楷體" w:hAnsi="標楷體" w:cs="新細明體"/>
                <w:kern w:val="0"/>
                <w:szCs w:val="24"/>
              </w:rPr>
              <w:t>低補體</w:t>
            </w:r>
            <w:proofErr w:type="gramEnd"/>
            <w:r>
              <w:rPr>
                <w:rFonts w:ascii="標楷體" w:eastAsia="標楷體" w:hAnsi="標楷體"/>
                <w:kern w:val="0"/>
                <w:szCs w:val="24"/>
              </w:rPr>
              <w:t>(C3</w:t>
            </w:r>
            <w:r>
              <w:rPr>
                <w:rFonts w:ascii="標楷體" w:eastAsia="標楷體" w:hAnsi="標楷體" w:cs="新細明體"/>
                <w:kern w:val="0"/>
                <w:szCs w:val="24"/>
              </w:rPr>
              <w:t>或</w:t>
            </w:r>
            <w:r>
              <w:rPr>
                <w:rFonts w:ascii="標楷體" w:eastAsia="標楷體" w:hAnsi="標楷體"/>
                <w:kern w:val="0"/>
                <w:szCs w:val="24"/>
              </w:rPr>
              <w:t xml:space="preserve">C4) </w:t>
            </w:r>
            <w:r>
              <w:rPr>
                <w:rFonts w:ascii="標楷體" w:eastAsia="標楷體" w:hAnsi="標楷體" w:cs="新細明體"/>
                <w:kern w:val="0"/>
                <w:szCs w:val="24"/>
              </w:rPr>
              <w:t>濃度之報告，且正在接受標準治療至少</w:t>
            </w:r>
            <w:r>
              <w:rPr>
                <w:rFonts w:ascii="標楷體" w:eastAsia="標楷體" w:hAnsi="標楷體"/>
                <w:kern w:val="0"/>
                <w:szCs w:val="24"/>
              </w:rPr>
              <w:t>3</w:t>
            </w:r>
            <w:r>
              <w:rPr>
                <w:rFonts w:ascii="標楷體" w:eastAsia="標楷體" w:hAnsi="標楷體" w:cs="新細明體"/>
                <w:kern w:val="0"/>
                <w:szCs w:val="24"/>
              </w:rPr>
              <w:t>個月但仍然無法有效控制疾病的全身性狼瘡</w:t>
            </w:r>
            <w:r>
              <w:rPr>
                <w:rFonts w:ascii="標楷體" w:eastAsia="標楷體" w:hAnsi="標楷體"/>
                <w:kern w:val="0"/>
                <w:szCs w:val="24"/>
              </w:rPr>
              <w:t>5-17</w:t>
            </w:r>
            <w:r>
              <w:rPr>
                <w:rFonts w:ascii="標楷體" w:eastAsia="標楷體" w:hAnsi="標楷體" w:cs="新細明體"/>
                <w:kern w:val="0"/>
                <w:szCs w:val="24"/>
              </w:rPr>
              <w:t>歲患者，需經事前審查核准後使用。</w:t>
            </w:r>
            <w:r>
              <w:rPr>
                <w:rFonts w:ascii="標楷體" w:eastAsia="標楷體" w:hAnsi="標楷體" w:cs="新細明體"/>
                <w:b/>
                <w:bCs/>
                <w:kern w:val="0"/>
                <w:szCs w:val="24"/>
              </w:rPr>
              <w:t xml:space="preserve"> </w:t>
            </w:r>
          </w:p>
          <w:p w14:paraId="061CED42" w14:textId="77777777" w:rsidR="00401786" w:rsidRDefault="00C64FB3" w:rsidP="000E757E">
            <w:pPr>
              <w:widowControl/>
              <w:tabs>
                <w:tab w:val="left" w:pos="6521"/>
              </w:tabs>
              <w:suppressAutoHyphens w:val="0"/>
              <w:spacing w:before="238" w:after="100" w:line="240" w:lineRule="atLeast"/>
              <w:textAlignment w:val="auto"/>
            </w:pPr>
            <w:r>
              <w:rPr>
                <w:rFonts w:ascii="新細明體" w:hAnsi="新細明體" w:cs="新細明體"/>
                <w:kern w:val="0"/>
                <w:szCs w:val="24"/>
              </w:rPr>
              <w:t xml:space="preserve">1.□ </w:t>
            </w:r>
            <w:r>
              <w:rPr>
                <w:rFonts w:ascii="標楷體" w:eastAsia="標楷體" w:hAnsi="標楷體" w:cs="新細明體"/>
                <w:kern w:val="0"/>
                <w:szCs w:val="24"/>
              </w:rPr>
              <w:t>申請前</w:t>
            </w:r>
            <w:r>
              <w:rPr>
                <w:rFonts w:ascii="標楷體" w:eastAsia="標楷體" w:hAnsi="標楷體"/>
                <w:kern w:val="0"/>
                <w:szCs w:val="24"/>
              </w:rPr>
              <w:t>3</w:t>
            </w:r>
            <w:r>
              <w:rPr>
                <w:rFonts w:ascii="標楷體" w:eastAsia="標楷體" w:hAnsi="標楷體" w:cs="新細明體"/>
                <w:kern w:val="0"/>
                <w:szCs w:val="24"/>
              </w:rPr>
              <w:t>個月同時接受下列三項標準治療之至少兩項，且達到建議劑量</w:t>
            </w:r>
            <w:r>
              <w:rPr>
                <w:rFonts w:ascii="標楷體" w:eastAsia="標楷體" w:hAnsi="標楷體"/>
                <w:kern w:val="0"/>
                <w:szCs w:val="24"/>
              </w:rPr>
              <w:t>:</w:t>
            </w:r>
          </w:p>
          <w:p w14:paraId="1EC6BD31" w14:textId="77777777" w:rsidR="00401786" w:rsidRDefault="00C64FB3" w:rsidP="000E757E">
            <w:pPr>
              <w:widowControl/>
              <w:tabs>
                <w:tab w:val="left" w:pos="6521"/>
              </w:tabs>
              <w:suppressAutoHyphens w:val="0"/>
              <w:spacing w:before="100" w:after="100" w:line="240" w:lineRule="atLeast"/>
              <w:ind w:firstLine="828"/>
              <w:textAlignment w:val="auto"/>
            </w:pPr>
            <w:proofErr w:type="gramStart"/>
            <w:r>
              <w:rPr>
                <w:rFonts w:ascii="新細明體" w:hAnsi="新細明體" w:cs="新細明體"/>
                <w:kern w:val="0"/>
                <w:szCs w:val="24"/>
              </w:rPr>
              <w:t>Ⅰ</w:t>
            </w:r>
            <w:r>
              <w:rPr>
                <w:rFonts w:ascii="標楷體" w:eastAsia="標楷體" w:hAnsi="標楷體"/>
                <w:kern w:val="0"/>
                <w:szCs w:val="24"/>
              </w:rPr>
              <w:t>.□</w:t>
            </w:r>
            <w:proofErr w:type="gramEnd"/>
            <w:r>
              <w:rPr>
                <w:rFonts w:ascii="標楷體" w:eastAsia="標楷體" w:hAnsi="標楷體" w:cs="新細明體"/>
                <w:kern w:val="0"/>
                <w:szCs w:val="24"/>
              </w:rPr>
              <w:t>類固醇</w:t>
            </w:r>
          </w:p>
          <w:tbl>
            <w:tblPr>
              <w:tblW w:w="9090" w:type="dxa"/>
              <w:tblInd w:w="720" w:type="dxa"/>
              <w:tblCellMar>
                <w:left w:w="10" w:type="dxa"/>
                <w:right w:w="10" w:type="dxa"/>
              </w:tblCellMar>
              <w:tblLook w:val="0000" w:firstRow="0" w:lastRow="0" w:firstColumn="0" w:lastColumn="0" w:noHBand="0" w:noVBand="0"/>
            </w:tblPr>
            <w:tblGrid>
              <w:gridCol w:w="3025"/>
              <w:gridCol w:w="2620"/>
              <w:gridCol w:w="3445"/>
            </w:tblGrid>
            <w:tr w:rsidR="00401786" w14:paraId="40D80E21" w14:textId="77777777">
              <w:tc>
                <w:tcPr>
                  <w:tcW w:w="302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54CDD4"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藥品名稱</w:t>
                  </w:r>
                </w:p>
              </w:tc>
              <w:tc>
                <w:tcPr>
                  <w:tcW w:w="2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5690D5D"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使用劑量</w:t>
                  </w:r>
                </w:p>
              </w:tc>
              <w:tc>
                <w:tcPr>
                  <w:tcW w:w="34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A329056"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使用時間</w:t>
                  </w:r>
                </w:p>
              </w:tc>
            </w:tr>
            <w:tr w:rsidR="00401786" w14:paraId="7FE63728" w14:textId="77777777">
              <w:tc>
                <w:tcPr>
                  <w:tcW w:w="302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BA2EE7E"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藥名</w:t>
                  </w:r>
                </w:p>
              </w:tc>
              <w:tc>
                <w:tcPr>
                  <w:tcW w:w="2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4A41DD4"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4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1947D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bl>
          <w:p w14:paraId="3DDEE5E1" w14:textId="77777777" w:rsidR="00401786" w:rsidRDefault="00C64FB3" w:rsidP="000E757E">
            <w:pPr>
              <w:widowControl/>
              <w:tabs>
                <w:tab w:val="left" w:pos="6521"/>
              </w:tabs>
              <w:suppressAutoHyphens w:val="0"/>
              <w:spacing w:before="100" w:after="100" w:line="240" w:lineRule="atLeast"/>
              <w:ind w:left="1803" w:hanging="941"/>
              <w:textAlignment w:val="auto"/>
            </w:pPr>
            <w:proofErr w:type="spellStart"/>
            <w:proofErr w:type="gramStart"/>
            <w:r>
              <w:rPr>
                <w:rFonts w:ascii="新細明體" w:hAnsi="新細明體" w:cs="新細明體"/>
                <w:kern w:val="0"/>
                <w:szCs w:val="24"/>
              </w:rPr>
              <w:t>Ⅱ</w:t>
            </w:r>
            <w:r>
              <w:rPr>
                <w:rFonts w:ascii="標楷體" w:eastAsia="標楷體" w:hAnsi="標楷體"/>
                <w:kern w:val="0"/>
                <w:szCs w:val="24"/>
              </w:rPr>
              <w:t>.□</w:t>
            </w:r>
            <w:proofErr w:type="gramEnd"/>
            <w:r>
              <w:rPr>
                <w:rFonts w:ascii="標楷體" w:eastAsia="標楷體" w:hAnsi="標楷體"/>
                <w:kern w:val="0"/>
                <w:szCs w:val="24"/>
              </w:rPr>
              <w:t>Hydroxychloroquine</w:t>
            </w:r>
            <w:proofErr w:type="spellEnd"/>
          </w:p>
          <w:tbl>
            <w:tblPr>
              <w:tblW w:w="9090" w:type="dxa"/>
              <w:tblInd w:w="720" w:type="dxa"/>
              <w:tblCellMar>
                <w:left w:w="10" w:type="dxa"/>
                <w:right w:w="10" w:type="dxa"/>
              </w:tblCellMar>
              <w:tblLook w:val="0000" w:firstRow="0" w:lastRow="0" w:firstColumn="0" w:lastColumn="0" w:noHBand="0" w:noVBand="0"/>
            </w:tblPr>
            <w:tblGrid>
              <w:gridCol w:w="2897"/>
              <w:gridCol w:w="2480"/>
              <w:gridCol w:w="3713"/>
            </w:tblGrid>
            <w:tr w:rsidR="00401786" w14:paraId="397284CE" w14:textId="77777777">
              <w:tc>
                <w:tcPr>
                  <w:tcW w:w="289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B25B564"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藥品名稱</w:t>
                  </w:r>
                </w:p>
              </w:tc>
              <w:tc>
                <w:tcPr>
                  <w:tcW w:w="2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0AC9032"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使用劑量</w:t>
                  </w:r>
                </w:p>
              </w:tc>
              <w:tc>
                <w:tcPr>
                  <w:tcW w:w="371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24CA52"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使用時間</w:t>
                  </w:r>
                </w:p>
              </w:tc>
            </w:tr>
            <w:tr w:rsidR="00401786" w14:paraId="6E53ACD2" w14:textId="77777777">
              <w:tc>
                <w:tcPr>
                  <w:tcW w:w="289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5DA494"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kern w:val="0"/>
                      <w:sz w:val="20"/>
                      <w:szCs w:val="24"/>
                    </w:rPr>
                    <w:t>Hydroxychloroquine</w:t>
                  </w:r>
                </w:p>
              </w:tc>
              <w:tc>
                <w:tcPr>
                  <w:tcW w:w="2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7FC87D"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71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3B2DA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9F4037E" w14:textId="77777777">
              <w:trPr>
                <w:trHeight w:val="165"/>
              </w:trPr>
              <w:tc>
                <w:tcPr>
                  <w:tcW w:w="909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B19DB05"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若藥物治療未達建議劑量，請說明藥物引起副作用：</w:t>
                  </w:r>
                </w:p>
              </w:tc>
            </w:tr>
          </w:tbl>
          <w:p w14:paraId="3136C6DA" w14:textId="77777777" w:rsidR="00401786" w:rsidRDefault="00C64FB3" w:rsidP="000E757E">
            <w:pPr>
              <w:widowControl/>
              <w:tabs>
                <w:tab w:val="left" w:pos="6521"/>
              </w:tabs>
              <w:suppressAutoHyphens w:val="0"/>
              <w:spacing w:before="100" w:after="100" w:line="240" w:lineRule="atLeast"/>
              <w:ind w:left="1803" w:hanging="941"/>
              <w:textAlignment w:val="auto"/>
            </w:pPr>
            <w:r>
              <w:rPr>
                <w:rFonts w:ascii="新細明體" w:hAnsi="新細明體" w:cs="新細明體"/>
                <w:kern w:val="0"/>
                <w:szCs w:val="24"/>
              </w:rPr>
              <w:t>Ⅲ</w:t>
            </w:r>
            <w:r>
              <w:rPr>
                <w:rFonts w:ascii="標楷體" w:eastAsia="標楷體" w:hAnsi="標楷體"/>
                <w:kern w:val="0"/>
                <w:szCs w:val="24"/>
              </w:rPr>
              <w:t>. □</w:t>
            </w:r>
            <w:r>
              <w:rPr>
                <w:rFonts w:ascii="標楷體" w:eastAsia="標楷體" w:hAnsi="標楷體" w:cs="新細明體"/>
                <w:kern w:val="0"/>
                <w:szCs w:val="24"/>
              </w:rPr>
              <w:t>至少一種</w:t>
            </w:r>
            <w:r>
              <w:rPr>
                <w:rFonts w:ascii="標楷體" w:eastAsia="標楷體" w:hAnsi="標楷體"/>
                <w:kern w:val="0"/>
                <w:szCs w:val="24"/>
              </w:rPr>
              <w:t>(</w:t>
            </w:r>
            <w:r>
              <w:rPr>
                <w:rFonts w:ascii="標楷體" w:eastAsia="標楷體" w:hAnsi="標楷體" w:cs="新細明體"/>
                <w:kern w:val="0"/>
                <w:szCs w:val="24"/>
              </w:rPr>
              <w:t>含</w:t>
            </w:r>
            <w:r>
              <w:rPr>
                <w:rFonts w:ascii="標楷體" w:eastAsia="標楷體" w:hAnsi="標楷體"/>
                <w:kern w:val="0"/>
                <w:szCs w:val="24"/>
              </w:rPr>
              <w:t>)</w:t>
            </w:r>
            <w:r>
              <w:rPr>
                <w:rFonts w:ascii="標楷體" w:eastAsia="標楷體" w:hAnsi="標楷體" w:cs="新細明體"/>
                <w:kern w:val="0"/>
                <w:szCs w:val="24"/>
              </w:rPr>
              <w:t>免疫抑制劑</w:t>
            </w:r>
          </w:p>
          <w:tbl>
            <w:tblPr>
              <w:tblW w:w="9030" w:type="dxa"/>
              <w:tblInd w:w="720" w:type="dxa"/>
              <w:tblCellMar>
                <w:left w:w="10" w:type="dxa"/>
                <w:right w:w="10" w:type="dxa"/>
              </w:tblCellMar>
              <w:tblLook w:val="0000" w:firstRow="0" w:lastRow="0" w:firstColumn="0" w:lastColumn="0" w:noHBand="0" w:noVBand="0"/>
            </w:tblPr>
            <w:tblGrid>
              <w:gridCol w:w="3144"/>
              <w:gridCol w:w="2034"/>
              <w:gridCol w:w="3852"/>
            </w:tblGrid>
            <w:tr w:rsidR="00401786" w14:paraId="264F56F1" w14:textId="77777777">
              <w:trPr>
                <w:trHeight w:val="30"/>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D775703"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藥品名稱</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651E250"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使用劑量</w:t>
                  </w: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63D0D6"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使用時間</w:t>
                  </w:r>
                </w:p>
              </w:tc>
            </w:tr>
            <w:tr w:rsidR="00401786" w14:paraId="6DD5C2E7"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CC7340A"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Azathioprine (體重: ___ 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1245155"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950DA5C"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4E7E028"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CA2FCB2"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注射型cyclophosphamide</w:t>
                  </w:r>
                </w:p>
                <w:p w14:paraId="53C51E57"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C29DC1A"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CEDABE1"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D95DB3E"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8F3D78"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cyclosporin(體重: ___ 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835DD64"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7B1308"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00616A6D"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908C25A"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 xml:space="preserve">Mycophenolate </w:t>
                  </w:r>
                  <w:proofErr w:type="gramStart"/>
                  <w:r>
                    <w:rPr>
                      <w:rFonts w:ascii="標楷體" w:eastAsia="標楷體" w:hAnsi="標楷體" w:cs="新細明體"/>
                      <w:kern w:val="0"/>
                      <w:sz w:val="20"/>
                      <w:szCs w:val="24"/>
                    </w:rPr>
                    <w:t>mofetil(</w:t>
                  </w:r>
                  <w:proofErr w:type="gramEnd"/>
                  <w:r>
                    <w:rPr>
                      <w:rFonts w:ascii="標楷體" w:eastAsia="標楷體" w:hAnsi="標楷體" w:cs="新細明體"/>
                      <w:kern w:val="0"/>
                      <w:sz w:val="20"/>
                      <w:szCs w:val="24"/>
                    </w:rPr>
                    <w:t>MMF)</w:t>
                  </w:r>
                </w:p>
                <w:p w14:paraId="3014AE98"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47AC407"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4BF0CF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6A234B40" w14:textId="77777777">
              <w:trPr>
                <w:trHeight w:val="361"/>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43C9364"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 xml:space="preserve">Mycophenolic </w:t>
                  </w:r>
                  <w:proofErr w:type="gramStart"/>
                  <w:r>
                    <w:rPr>
                      <w:rFonts w:ascii="標楷體" w:eastAsia="標楷體" w:hAnsi="標楷體" w:cs="新細明體"/>
                      <w:kern w:val="0"/>
                      <w:sz w:val="20"/>
                      <w:szCs w:val="24"/>
                    </w:rPr>
                    <w:t>acid(</w:t>
                  </w:r>
                  <w:proofErr w:type="gramEnd"/>
                  <w:r>
                    <w:rPr>
                      <w:rFonts w:ascii="標楷體" w:eastAsia="標楷體" w:hAnsi="標楷體" w:cs="新細明體"/>
                      <w:kern w:val="0"/>
                      <w:sz w:val="20"/>
                      <w:szCs w:val="24"/>
                    </w:rPr>
                    <w:t>MPA)</w:t>
                  </w:r>
                </w:p>
                <w:p w14:paraId="12EF3B3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EBFBE0A"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CEA78A6"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5C821DE"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0AB302"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Methotrexate</w:t>
                  </w:r>
                </w:p>
                <w:p w14:paraId="20824EFC"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21CEBAB"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89DBF4"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777CED14"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9C80FA7"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其他免疫抑制劑__________</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B0D3083"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40B104B"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2AEC528D" w14:textId="77777777">
              <w:trPr>
                <w:trHeight w:val="255"/>
              </w:trPr>
              <w:tc>
                <w:tcPr>
                  <w:tcW w:w="903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9FFE52"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lastRenderedPageBreak/>
                    <w:t>若藥物治療未達建議劑量，請說明藥物引起副作用：</w:t>
                  </w:r>
                </w:p>
              </w:tc>
            </w:tr>
          </w:tbl>
          <w:p w14:paraId="4727BEFE" w14:textId="77777777" w:rsidR="00401786" w:rsidRDefault="00C64FB3" w:rsidP="000E757E">
            <w:pPr>
              <w:widowControl/>
              <w:tabs>
                <w:tab w:val="left" w:pos="6521"/>
              </w:tabs>
              <w:suppressAutoHyphens w:val="0"/>
              <w:spacing w:before="238" w:after="100" w:line="240" w:lineRule="atLeast"/>
              <w:textAlignment w:val="auto"/>
            </w:pPr>
            <w:r>
              <w:rPr>
                <w:rFonts w:ascii="新細明體" w:hAnsi="新細明體" w:cs="新細明體"/>
                <w:kern w:val="0"/>
                <w:szCs w:val="24"/>
              </w:rPr>
              <w:t xml:space="preserve">2.□ </w:t>
            </w:r>
            <w:r>
              <w:rPr>
                <w:rFonts w:ascii="標楷體" w:eastAsia="標楷體" w:hAnsi="標楷體" w:cs="新細明體"/>
                <w:kern w:val="0"/>
                <w:szCs w:val="24"/>
              </w:rPr>
              <w:t>無法有效控制疾病的定義為經標準治療至少</w:t>
            </w:r>
            <w:r>
              <w:rPr>
                <w:rFonts w:ascii="標楷體" w:eastAsia="標楷體" w:hAnsi="標楷體"/>
                <w:kern w:val="0"/>
                <w:szCs w:val="24"/>
              </w:rPr>
              <w:t>3</w:t>
            </w:r>
            <w:r>
              <w:rPr>
                <w:rFonts w:ascii="標楷體" w:eastAsia="標楷體" w:hAnsi="標楷體" w:cs="新細明體"/>
                <w:kern w:val="0"/>
                <w:szCs w:val="24"/>
              </w:rPr>
              <w:t>個月後仍有疾病活動性</w:t>
            </w:r>
            <w:r>
              <w:rPr>
                <w:rFonts w:ascii="標楷體" w:eastAsia="標楷體" w:hAnsi="標楷體"/>
                <w:kern w:val="0"/>
                <w:szCs w:val="24"/>
              </w:rPr>
              <w:t>SELENA SLEDAI</w:t>
            </w:r>
            <w:r>
              <w:rPr>
                <w:rFonts w:ascii="標楷體" w:eastAsia="標楷體" w:hAnsi="標楷體" w:cs="新細明體"/>
                <w:kern w:val="0"/>
                <w:szCs w:val="24"/>
              </w:rPr>
              <w:t>積分</w:t>
            </w:r>
            <w:r>
              <w:rPr>
                <w:rFonts w:ascii="Times New Roman" w:eastAsia="標楷體" w:hAnsi="Times New Roman"/>
                <w:kern w:val="0"/>
                <w:szCs w:val="24"/>
              </w:rPr>
              <w:t>≥</w:t>
            </w:r>
            <w:r>
              <w:rPr>
                <w:rFonts w:ascii="標楷體" w:eastAsia="標楷體" w:hAnsi="標楷體"/>
                <w:kern w:val="0"/>
                <w:szCs w:val="24"/>
              </w:rPr>
              <w:t>8</w:t>
            </w:r>
            <w:r>
              <w:rPr>
                <w:rFonts w:ascii="標楷體" w:eastAsia="標楷體" w:hAnsi="標楷體" w:cs="新細明體"/>
                <w:kern w:val="0"/>
                <w:szCs w:val="24"/>
              </w:rPr>
              <w:t>。</w:t>
            </w:r>
          </w:p>
          <w:p w14:paraId="5AD6F2F5" w14:textId="77777777" w:rsidR="00401786" w:rsidRDefault="00C64FB3" w:rsidP="000E757E">
            <w:pPr>
              <w:widowControl/>
              <w:tabs>
                <w:tab w:val="left" w:pos="6521"/>
              </w:tabs>
              <w:suppressAutoHyphens w:val="0"/>
              <w:spacing w:before="238" w:after="100" w:line="240" w:lineRule="atLeast"/>
              <w:ind w:left="408" w:hanging="408"/>
              <w:textAlignment w:val="auto"/>
            </w:pPr>
            <w:bookmarkStart w:id="114" w:name="_Hlk168496515"/>
            <w:bookmarkEnd w:id="114"/>
            <w:r>
              <w:rPr>
                <w:rFonts w:ascii="新細明體" w:hAnsi="新細明體" w:cs="新細明體"/>
                <w:kern w:val="0"/>
                <w:szCs w:val="24"/>
              </w:rPr>
              <w:t xml:space="preserve">□ </w:t>
            </w:r>
            <w:r>
              <w:rPr>
                <w:rFonts w:ascii="標楷體" w:eastAsia="標楷體" w:hAnsi="標楷體" w:cs="新細明體"/>
                <w:kern w:val="0"/>
                <w:szCs w:val="24"/>
              </w:rPr>
              <w:t>療效評估與繼續使用</w:t>
            </w:r>
            <w:r>
              <w:rPr>
                <w:rFonts w:ascii="標楷體" w:eastAsia="標楷體" w:hAnsi="標楷體"/>
                <w:kern w:val="0"/>
                <w:szCs w:val="24"/>
              </w:rPr>
              <w:t>:</w:t>
            </w:r>
            <w:r>
              <w:rPr>
                <w:rFonts w:ascii="標楷體" w:eastAsia="標楷體" w:hAnsi="標楷體" w:cs="新細明體"/>
                <w:kern w:val="0"/>
                <w:szCs w:val="24"/>
              </w:rPr>
              <w:t>每治療</w:t>
            </w:r>
            <w:r>
              <w:rPr>
                <w:rFonts w:ascii="標楷體" w:eastAsia="標楷體" w:hAnsi="標楷體"/>
                <w:kern w:val="0"/>
                <w:szCs w:val="24"/>
              </w:rPr>
              <w:t xml:space="preserve">12 </w:t>
            </w:r>
            <w:proofErr w:type="gramStart"/>
            <w:r>
              <w:rPr>
                <w:rFonts w:ascii="標楷體" w:eastAsia="標楷體" w:hAnsi="標楷體" w:cs="新細明體"/>
                <w:kern w:val="0"/>
                <w:szCs w:val="24"/>
              </w:rPr>
              <w:t>個</w:t>
            </w:r>
            <w:proofErr w:type="gramEnd"/>
            <w:r>
              <w:rPr>
                <w:rFonts w:ascii="標楷體" w:eastAsia="標楷體" w:hAnsi="標楷體" w:cs="新細明體"/>
                <w:kern w:val="0"/>
                <w:szCs w:val="24"/>
              </w:rPr>
              <w:t>月後評估</w:t>
            </w:r>
            <w:r>
              <w:rPr>
                <w:rFonts w:ascii="標楷體" w:eastAsia="標楷體" w:hAnsi="標楷體"/>
                <w:kern w:val="0"/>
                <w:szCs w:val="24"/>
              </w:rPr>
              <w:t>SELENA SLEDAI</w:t>
            </w:r>
            <w:r>
              <w:rPr>
                <w:rFonts w:ascii="標楷體" w:eastAsia="標楷體" w:hAnsi="標楷體" w:cs="新細明體"/>
                <w:kern w:val="0"/>
                <w:szCs w:val="24"/>
              </w:rPr>
              <w:t>積分：與初次申請之積分比較，減少</w:t>
            </w:r>
            <w:r>
              <w:rPr>
                <w:rFonts w:ascii="Times New Roman" w:eastAsia="標楷體" w:hAnsi="Times New Roman"/>
                <w:kern w:val="0"/>
                <w:szCs w:val="24"/>
              </w:rPr>
              <w:t>≥</w:t>
            </w:r>
            <w:r>
              <w:rPr>
                <w:rFonts w:ascii="標楷體" w:eastAsia="標楷體" w:hAnsi="標楷體"/>
                <w:kern w:val="0"/>
                <w:szCs w:val="24"/>
              </w:rPr>
              <w:t>4</w:t>
            </w:r>
            <w:r>
              <w:rPr>
                <w:rFonts w:ascii="標楷體" w:eastAsia="標楷體" w:hAnsi="標楷體" w:cs="新細明體"/>
                <w:kern w:val="0"/>
                <w:szCs w:val="24"/>
              </w:rPr>
              <w:t>方得繼續使用。若需繼續使用，需重新提出申請。</w:t>
            </w:r>
          </w:p>
        </w:tc>
      </w:tr>
    </w:tbl>
    <w:p w14:paraId="6CF3347C" w14:textId="77777777" w:rsidR="00401786" w:rsidRDefault="00C64FB3" w:rsidP="008359D5">
      <w:pPr>
        <w:widowControl/>
        <w:tabs>
          <w:tab w:val="left" w:pos="6521"/>
        </w:tabs>
        <w:suppressAutoHyphens w:val="0"/>
        <w:spacing w:before="238" w:after="238" w:line="300" w:lineRule="exact"/>
        <w:textAlignment w:val="auto"/>
        <w:rPr>
          <w:rFonts w:ascii="標楷體" w:eastAsia="標楷體" w:hAnsi="標楷體" w:cs="新細明體"/>
          <w:kern w:val="0"/>
          <w:szCs w:val="24"/>
        </w:rPr>
      </w:pPr>
      <w:r>
        <w:rPr>
          <w:rFonts w:ascii="標楷體" w:eastAsia="標楷體" w:hAnsi="標楷體" w:cs="新細明體"/>
          <w:kern w:val="0"/>
          <w:szCs w:val="24"/>
        </w:rPr>
        <w:lastRenderedPageBreak/>
        <w:t xml:space="preserve">     申請醫師（簽名蓋章）：　　　　　　　 申請醫師（簽名蓋章）：</w:t>
      </w:r>
    </w:p>
    <w:p w14:paraId="49317BE0" w14:textId="77777777" w:rsidR="00401786" w:rsidRDefault="00C64FB3" w:rsidP="008359D5">
      <w:pPr>
        <w:widowControl/>
        <w:tabs>
          <w:tab w:val="left" w:pos="6521"/>
        </w:tabs>
        <w:suppressAutoHyphens w:val="0"/>
        <w:spacing w:before="238" w:after="238" w:line="300" w:lineRule="exact"/>
        <w:textAlignment w:val="auto"/>
        <w:rPr>
          <w:rFonts w:ascii="標楷體" w:eastAsia="標楷體" w:hAnsi="標楷體" w:cs="新細明體"/>
          <w:kern w:val="0"/>
          <w:szCs w:val="24"/>
        </w:rPr>
      </w:pPr>
      <w:r>
        <w:rPr>
          <w:rFonts w:ascii="標楷體" w:eastAsia="標楷體" w:hAnsi="標楷體" w:cs="新細明體"/>
          <w:kern w:val="0"/>
          <w:szCs w:val="24"/>
        </w:rPr>
        <w:t xml:space="preserve">     專科醫師證書：專字第　　　　 　 號   </w:t>
      </w:r>
      <w:proofErr w:type="gramStart"/>
      <w:r>
        <w:rPr>
          <w:rFonts w:ascii="標楷體" w:eastAsia="標楷體" w:hAnsi="標楷體" w:cs="新細明體"/>
          <w:kern w:val="0"/>
          <w:szCs w:val="24"/>
        </w:rPr>
        <w:t>醫</w:t>
      </w:r>
      <w:proofErr w:type="gramEnd"/>
      <w:r>
        <w:rPr>
          <w:rFonts w:ascii="標楷體" w:eastAsia="標楷體" w:hAnsi="標楷體" w:cs="新細明體"/>
          <w:kern w:val="0"/>
          <w:szCs w:val="24"/>
        </w:rPr>
        <w:t>事機構章戳：</w:t>
      </w:r>
    </w:p>
    <w:p w14:paraId="3AABDE27" w14:textId="68C6E10E" w:rsidR="008359D5" w:rsidRDefault="008359D5">
      <w:pPr>
        <w:widowControl/>
        <w:suppressAutoHyphens w:val="0"/>
        <w:rPr>
          <w:rFonts w:ascii="標楷體" w:eastAsia="標楷體" w:hAnsi="標楷體" w:cs="新細明體"/>
          <w:kern w:val="0"/>
          <w:szCs w:val="24"/>
        </w:rPr>
      </w:pPr>
      <w:r>
        <w:rPr>
          <w:rFonts w:ascii="標楷體" w:eastAsia="標楷體" w:hAnsi="標楷體" w:cs="新細明體"/>
          <w:kern w:val="0"/>
          <w:szCs w:val="24"/>
        </w:rPr>
        <w:br w:type="page"/>
      </w:r>
    </w:p>
    <w:p w14:paraId="2206D278" w14:textId="77777777" w:rsidR="00401786" w:rsidRDefault="00C64FB3" w:rsidP="008359D5">
      <w:pPr>
        <w:widowControl/>
        <w:spacing w:line="240" w:lineRule="atLeast"/>
        <w:jc w:val="center"/>
        <w:rPr>
          <w:rFonts w:ascii="標楷體" w:eastAsia="標楷體" w:hAnsi="標楷體"/>
          <w:b/>
        </w:rPr>
      </w:pPr>
      <w:bookmarkStart w:id="115" w:name="_Hlk188445756"/>
      <w:r>
        <w:rPr>
          <w:rFonts w:ascii="標楷體" w:eastAsia="標楷體" w:hAnsi="標楷體"/>
          <w:b/>
        </w:rPr>
        <w:lastRenderedPageBreak/>
        <w:t>附表三十六之二SELENA SLEDAI積分表</w:t>
      </w:r>
      <w:bookmarkEnd w:id="115"/>
    </w:p>
    <w:tbl>
      <w:tblPr>
        <w:tblW w:w="9735" w:type="dxa"/>
        <w:tblCellMar>
          <w:left w:w="10" w:type="dxa"/>
          <w:right w:w="10" w:type="dxa"/>
        </w:tblCellMar>
        <w:tblLook w:val="0000" w:firstRow="0" w:lastRow="0" w:firstColumn="0" w:lastColumn="0" w:noHBand="0" w:noVBand="0"/>
      </w:tblPr>
      <w:tblGrid>
        <w:gridCol w:w="1006"/>
        <w:gridCol w:w="1038"/>
        <w:gridCol w:w="1856"/>
        <w:gridCol w:w="5835"/>
      </w:tblGrid>
      <w:tr w:rsidR="00401786" w14:paraId="34156744"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AC4F745" w14:textId="77777777" w:rsidR="00401786" w:rsidRDefault="00C64FB3" w:rsidP="008359D5">
            <w:pPr>
              <w:widowControl/>
              <w:suppressAutoHyphens w:val="0"/>
              <w:spacing w:before="100" w:after="100" w:line="300" w:lineRule="exact"/>
              <w:textAlignment w:val="auto"/>
            </w:pPr>
            <w:bookmarkStart w:id="116" w:name="_Hlk188445809"/>
            <w:r>
              <w:rPr>
                <w:rFonts w:ascii="標楷體" w:eastAsia="標楷體" w:hAnsi="標楷體" w:cs="新細明體"/>
                <w:b/>
                <w:bCs/>
                <w:kern w:val="0"/>
                <w:szCs w:val="24"/>
              </w:rPr>
              <w:t>Check if</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4EFC50"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E3278C7"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5063E6"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r>
      <w:tr w:rsidR="00401786" w14:paraId="0B310594" w14:textId="77777777" w:rsidTr="008359D5">
        <w:trPr>
          <w:trHeight w:val="672"/>
        </w:trPr>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4276728" w14:textId="77777777" w:rsidR="00401786" w:rsidRDefault="00C64FB3" w:rsidP="008359D5">
            <w:pPr>
              <w:widowControl/>
              <w:suppressAutoHyphens w:val="0"/>
              <w:spacing w:before="100" w:after="100" w:line="300" w:lineRule="exact"/>
              <w:textAlignment w:val="auto"/>
            </w:pPr>
            <w:proofErr w:type="spellStart"/>
            <w:r>
              <w:rPr>
                <w:rFonts w:ascii="標楷體" w:eastAsia="標楷體" w:hAnsi="標楷體" w:cs="新細明體"/>
                <w:b/>
                <w:bCs/>
                <w:color w:val="020202"/>
                <w:kern w:val="0"/>
                <w:sz w:val="20"/>
                <w:szCs w:val="20"/>
              </w:rPr>
              <w:t>Wt</w:t>
            </w:r>
            <w:proofErr w:type="spellEnd"/>
          </w:p>
          <w:p w14:paraId="66AD3FFF"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color w:val="020202"/>
                <w:kern w:val="0"/>
                <w:sz w:val="20"/>
                <w:szCs w:val="20"/>
              </w:rPr>
              <w:t>權重</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F7D0B01" w14:textId="77777777" w:rsidR="00401786" w:rsidRDefault="00C64FB3" w:rsidP="008359D5">
            <w:pPr>
              <w:widowControl/>
              <w:suppressAutoHyphens w:val="0"/>
              <w:spacing w:before="100" w:after="100" w:line="300" w:lineRule="exact"/>
              <w:textAlignment w:val="auto"/>
            </w:pPr>
            <w:r>
              <w:rPr>
                <w:rFonts w:ascii="標楷體" w:eastAsia="標楷體" w:hAnsi="標楷體"/>
                <w:b/>
                <w:bCs/>
                <w:color w:val="020202"/>
                <w:kern w:val="0"/>
                <w:sz w:val="20"/>
                <w:szCs w:val="20"/>
              </w:rPr>
              <w:t>Present</w:t>
            </w:r>
            <w:r>
              <w:rPr>
                <w:rFonts w:ascii="標楷體" w:eastAsia="標楷體" w:hAnsi="標楷體" w:cs="新細明體"/>
                <w:b/>
                <w:bCs/>
                <w:kern w:val="0"/>
                <w:sz w:val="20"/>
                <w:szCs w:val="20"/>
              </w:rPr>
              <w:t>勾選</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B1BF863" w14:textId="77777777" w:rsidR="00401786" w:rsidRDefault="00C64FB3" w:rsidP="008359D5">
            <w:pPr>
              <w:widowControl/>
              <w:suppressAutoHyphens w:val="0"/>
              <w:spacing w:before="100" w:after="100" w:line="300" w:lineRule="exact"/>
              <w:textAlignment w:val="auto"/>
            </w:pPr>
            <w:r>
              <w:rPr>
                <w:rFonts w:ascii="標楷體" w:eastAsia="標楷體" w:hAnsi="標楷體"/>
                <w:b/>
                <w:bCs/>
                <w:color w:val="020202"/>
                <w:kern w:val="0"/>
                <w:sz w:val="20"/>
                <w:szCs w:val="20"/>
              </w:rPr>
              <w:t>Descriptor</w:t>
            </w:r>
            <w:r>
              <w:rPr>
                <w:rFonts w:ascii="標楷體" w:eastAsia="標楷體" w:hAnsi="標楷體"/>
                <w:b/>
                <w:bCs/>
                <w:kern w:val="0"/>
                <w:sz w:val="20"/>
                <w:szCs w:val="20"/>
              </w:rPr>
              <w:t xml:space="preserve"> </w:t>
            </w:r>
          </w:p>
          <w:p w14:paraId="1B14AB5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kern w:val="0"/>
                <w:sz w:val="20"/>
                <w:szCs w:val="20"/>
              </w:rPr>
              <w:t>描述項</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2FDACA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kern w:val="0"/>
                <w:sz w:val="20"/>
                <w:szCs w:val="20"/>
              </w:rPr>
              <w:t>Definition</w:t>
            </w:r>
          </w:p>
          <w:p w14:paraId="58D5552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kern w:val="0"/>
                <w:sz w:val="20"/>
                <w:szCs w:val="20"/>
              </w:rPr>
              <w:t>定義</w:t>
            </w:r>
          </w:p>
        </w:tc>
      </w:tr>
      <w:tr w:rsidR="00401786" w14:paraId="1C5E0BDD"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AFB6A9"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9FF5E90"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4DBAD2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60606"/>
                <w:kern w:val="0"/>
                <w:sz w:val="22"/>
              </w:rPr>
              <w:t xml:space="preserve">Seizure </w:t>
            </w:r>
          </w:p>
          <w:p w14:paraId="6A8F82A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癲癇發作</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E93D1F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Recent onset (last 10 days). Exclude metabolic, infectious or drug cause, or seizure due to past irreversible CNS damage.</w:t>
            </w:r>
          </w:p>
          <w:p w14:paraId="27EB3C1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近期發生（過去 10 天）。</w:t>
            </w:r>
          </w:p>
          <w:p w14:paraId="066CF0C9"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 xml:space="preserve">排除代謝、感染或藥物原因，或因為過去不可逆的中樞神經系統 </w:t>
            </w:r>
            <w:r>
              <w:rPr>
                <w:rFonts w:ascii="標楷體" w:eastAsia="標楷體" w:hAnsi="標楷體"/>
                <w:kern w:val="0"/>
                <w:sz w:val="22"/>
              </w:rPr>
              <w:t xml:space="preserve">(CNS) </w:t>
            </w:r>
            <w:r>
              <w:rPr>
                <w:rFonts w:ascii="標楷體" w:eastAsia="標楷體" w:hAnsi="標楷體" w:cs="新細明體"/>
                <w:kern w:val="0"/>
                <w:sz w:val="22"/>
              </w:rPr>
              <w:t>損傷導致的癲癇發作</w:t>
            </w:r>
          </w:p>
        </w:tc>
      </w:tr>
      <w:tr w:rsidR="00401786" w14:paraId="6D93025C"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EF9E3A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39EF9EC"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4E6A96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80808"/>
                <w:kern w:val="0"/>
                <w:sz w:val="22"/>
              </w:rPr>
              <w:t>Psychosis</w:t>
            </w:r>
          </w:p>
          <w:p w14:paraId="4FFE9A8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精神疾病</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7A33E2" w14:textId="77777777" w:rsidR="00401786" w:rsidRDefault="00C64FB3" w:rsidP="008359D5">
            <w:pPr>
              <w:widowControl/>
              <w:suppressAutoHyphens w:val="0"/>
              <w:spacing w:before="100" w:after="100" w:line="300" w:lineRule="exact"/>
              <w:textAlignment w:val="auto"/>
            </w:pPr>
            <w:r>
              <w:rPr>
                <w:rFonts w:ascii="標楷體" w:eastAsia="標楷體" w:hAnsi="標楷體"/>
                <w:color w:val="060606"/>
                <w:kern w:val="0"/>
                <w:sz w:val="22"/>
              </w:rPr>
              <w:t>Altered ability to function in normal activity due to severe disturbance in the perception of reality. Include hallucinations; incoherence; marked loose associations; impoverished thought content; marked illogical thinking; bizarre, disorganized or catatonic behavior. Exclude uremia and drug causes.</w:t>
            </w:r>
            <w:r>
              <w:rPr>
                <w:rFonts w:ascii="標楷體" w:eastAsia="標楷體" w:hAnsi="標楷體"/>
                <w:kern w:val="0"/>
                <w:sz w:val="22"/>
              </w:rPr>
              <w:t xml:space="preserve"> </w:t>
            </w:r>
          </w:p>
          <w:p w14:paraId="6C2549F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由於現實感的嚴重異常而導致正常活動功能的能力發生改變，包括幻覺、語無倫次、明顯的連結鬆散、思考內容貧乏、明顯不合邏輯的思考、怪異、混亂或僵直行為。排除尿毒症和藥物原因</w:t>
            </w:r>
          </w:p>
        </w:tc>
      </w:tr>
      <w:tr w:rsidR="00401786" w14:paraId="4CE6A39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BCE72D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A187FD6"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ED3DD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A0A0A"/>
                <w:kern w:val="0"/>
                <w:sz w:val="22"/>
              </w:rPr>
              <w:t>Organic brain syndrome</w:t>
            </w:r>
          </w:p>
          <w:p w14:paraId="606B0A5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器質性腦部症候群</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78C19E" w14:textId="77777777" w:rsidR="00401786" w:rsidRDefault="00C64FB3" w:rsidP="008359D5">
            <w:pPr>
              <w:widowControl/>
              <w:suppressAutoHyphens w:val="0"/>
              <w:spacing w:before="100" w:after="100" w:line="300" w:lineRule="exact"/>
              <w:textAlignment w:val="auto"/>
            </w:pPr>
            <w:r>
              <w:rPr>
                <w:rFonts w:ascii="標楷體" w:eastAsia="標楷體" w:hAnsi="標楷體"/>
                <w:color w:val="0B0B0B"/>
                <w:kern w:val="0"/>
                <w:sz w:val="22"/>
              </w:rPr>
              <w:t>Altered mental function with impaired orientation, memory or other intellectual function, with rapid onset and fluctuating clinical features. Include clouding of consciousness with reduced capacity to focus, and inability to sustain attention to environment, plus at least 2 of the following: perceptual disturbance, incoherent speech, insomnia or daytime drowsiness, or increased or decreased psychomotor activity. Exclude metabolic, infectious or drug causes.</w:t>
            </w:r>
            <w:r>
              <w:rPr>
                <w:rFonts w:ascii="標楷體" w:eastAsia="標楷體" w:hAnsi="標楷體"/>
                <w:color w:val="1F1821"/>
                <w:kern w:val="0"/>
                <w:sz w:val="22"/>
              </w:rPr>
              <w:t xml:space="preserve"> </w:t>
            </w:r>
          </w:p>
          <w:p w14:paraId="04A8703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心理功能改變，伴隨方向感、記憶力或其他智力功能損傷，具有快速發作和時好時壞的臨床特徵，包括意識模糊伴隨專注力下降，以及無法對環境維持注意力，加上至少下列兩種症狀：感覺異常、語無倫次、失眠或白天困倦，或精神活動上升或下降。排除代謝、感染或藥物原因</w:t>
            </w:r>
          </w:p>
        </w:tc>
      </w:tr>
      <w:tr w:rsidR="00401786" w14:paraId="1BBC1AAB"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71E79A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72DAC12"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E2F156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Visual disturbance</w:t>
            </w:r>
            <w:r>
              <w:rPr>
                <w:rFonts w:ascii="標楷體" w:eastAsia="標楷體" w:hAnsi="標楷體" w:cs="新細明體"/>
                <w:kern w:val="0"/>
                <w:sz w:val="22"/>
              </w:rPr>
              <w:t>視覺異常</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F556C7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 xml:space="preserve">Retinal and eye changes of SLE. Include </w:t>
            </w:r>
            <w:proofErr w:type="spellStart"/>
            <w:r>
              <w:rPr>
                <w:rFonts w:ascii="標楷體" w:eastAsia="標楷體" w:hAnsi="標楷體"/>
                <w:color w:val="090909"/>
                <w:kern w:val="0"/>
                <w:sz w:val="22"/>
              </w:rPr>
              <w:t>cytoid</w:t>
            </w:r>
            <w:proofErr w:type="spellEnd"/>
            <w:r>
              <w:rPr>
                <w:rFonts w:ascii="標楷體" w:eastAsia="標楷體" w:hAnsi="標楷體"/>
                <w:color w:val="090909"/>
                <w:kern w:val="0"/>
                <w:sz w:val="22"/>
              </w:rPr>
              <w:t xml:space="preserve"> bodies, retinal hemorrhages, serous exudate or hemorrhages in the choroid, optic neuritis, scleritis or episcleritis. Exclude hypertension, infection or drug causes.</w:t>
            </w:r>
            <w:r>
              <w:rPr>
                <w:rFonts w:ascii="標楷體" w:eastAsia="標楷體" w:hAnsi="標楷體"/>
                <w:kern w:val="0"/>
                <w:sz w:val="22"/>
              </w:rPr>
              <w:t xml:space="preserve"> </w:t>
            </w:r>
          </w:p>
          <w:p w14:paraId="6B2F96E1"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lastRenderedPageBreak/>
              <w:t xml:space="preserve">SLE </w:t>
            </w:r>
            <w:r>
              <w:rPr>
                <w:rFonts w:ascii="標楷體" w:eastAsia="標楷體" w:hAnsi="標楷體" w:cs="新細明體"/>
                <w:kern w:val="0"/>
                <w:sz w:val="22"/>
              </w:rPr>
              <w:t>的視網膜和眼部變化，包括細胞狀體、視網膜出血、脈絡膜漿液性滲出液或出血、視神經炎、鞏膜炎或表層鞏膜炎。排除高血壓、感染或藥物原因</w:t>
            </w:r>
          </w:p>
        </w:tc>
      </w:tr>
      <w:tr w:rsidR="00401786" w14:paraId="0750D953"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A57DF6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lastRenderedPageBreak/>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82123C4"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65F16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Cranial nerve disorder</w:t>
            </w:r>
          </w:p>
          <w:p w14:paraId="63EA655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腦神經疾患</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23E968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New onset of sensory or motor neuropathy involving cranial nerves. Include vertigo due to Lupus.</w:t>
            </w:r>
            <w:r>
              <w:rPr>
                <w:rFonts w:ascii="標楷體" w:eastAsia="標楷體" w:hAnsi="標楷體"/>
                <w:kern w:val="0"/>
                <w:sz w:val="22"/>
              </w:rPr>
              <w:t xml:space="preserve"> </w:t>
            </w:r>
          </w:p>
          <w:p w14:paraId="2622277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新發生的感覺或運動神經病變，涉及腦神經，包括狼瘡引起的暈眩</w:t>
            </w:r>
          </w:p>
        </w:tc>
      </w:tr>
      <w:tr w:rsidR="00401786" w14:paraId="6340DDB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3ADF78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3FCEC1B"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FA6BE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80808"/>
                <w:kern w:val="0"/>
                <w:sz w:val="22"/>
              </w:rPr>
              <w:t>Lupus headache</w:t>
            </w:r>
          </w:p>
          <w:p w14:paraId="5A0B2BB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狼瘡性頭痛</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98729A"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 xml:space="preserve">Severe persistent headache: may be </w:t>
            </w:r>
            <w:proofErr w:type="spellStart"/>
            <w:r>
              <w:rPr>
                <w:rFonts w:ascii="標楷體" w:eastAsia="標楷體" w:hAnsi="標楷體"/>
                <w:color w:val="0A0A0A"/>
                <w:kern w:val="0"/>
                <w:sz w:val="22"/>
              </w:rPr>
              <w:t>migraimous</w:t>
            </w:r>
            <w:proofErr w:type="spellEnd"/>
            <w:r>
              <w:rPr>
                <w:rFonts w:ascii="標楷體" w:eastAsia="標楷體" w:hAnsi="標楷體"/>
                <w:color w:val="0A0A0A"/>
                <w:kern w:val="0"/>
                <w:sz w:val="22"/>
              </w:rPr>
              <w:t>, but must be nonrespons1ve to narcotic analgesia.</w:t>
            </w:r>
            <w:r>
              <w:rPr>
                <w:rFonts w:ascii="標楷體" w:eastAsia="標楷體" w:hAnsi="標楷體"/>
                <w:color w:val="1F1821"/>
                <w:kern w:val="0"/>
                <w:sz w:val="22"/>
              </w:rPr>
              <w:t xml:space="preserve"> </w:t>
            </w:r>
          </w:p>
          <w:p w14:paraId="6871727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嚴重的持續性頭痛：可能為偏頭痛，但必須對麻醉性鎮痛劑無反應</w:t>
            </w:r>
          </w:p>
        </w:tc>
      </w:tr>
      <w:tr w:rsidR="00401786" w14:paraId="35CB38AD"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A86FFA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809EC9A"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C6A85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50505"/>
                <w:kern w:val="0"/>
                <w:sz w:val="22"/>
              </w:rPr>
              <w:t>CVA</w:t>
            </w:r>
          </w:p>
          <w:p w14:paraId="3335B82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腦血管事件</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EE664D8" w14:textId="77777777" w:rsidR="00401786" w:rsidRDefault="00C64FB3" w:rsidP="008359D5">
            <w:pPr>
              <w:widowControl/>
              <w:suppressAutoHyphens w:val="0"/>
              <w:spacing w:before="100" w:after="100" w:line="300" w:lineRule="exact"/>
              <w:textAlignment w:val="auto"/>
            </w:pPr>
            <w:r>
              <w:rPr>
                <w:rFonts w:ascii="標楷體" w:eastAsia="標楷體" w:hAnsi="標楷體"/>
                <w:color w:val="060606"/>
                <w:kern w:val="0"/>
                <w:sz w:val="22"/>
              </w:rPr>
              <w:t>New onset of cerebrovascular accident(s). Exclude arteriosclerosis or hypertensive causes.</w:t>
            </w:r>
            <w:r>
              <w:rPr>
                <w:rFonts w:ascii="標楷體" w:eastAsia="標楷體" w:hAnsi="標楷體"/>
                <w:kern w:val="0"/>
                <w:sz w:val="22"/>
              </w:rPr>
              <w:t xml:space="preserve"> </w:t>
            </w:r>
          </w:p>
          <w:p w14:paraId="57B7808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新發生的腦血管事件。排除動脈硬化或高血壓原因</w:t>
            </w:r>
          </w:p>
        </w:tc>
      </w:tr>
      <w:tr w:rsidR="00401786" w14:paraId="5E5ABBD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04A191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B0814F"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F5D8F4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Vasculitis</w:t>
            </w:r>
          </w:p>
          <w:p w14:paraId="634DD5D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血管炎</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C1113B6" w14:textId="77777777" w:rsidR="00401786" w:rsidRDefault="00C64FB3" w:rsidP="008359D5">
            <w:pPr>
              <w:widowControl/>
              <w:suppressAutoHyphens w:val="0"/>
              <w:spacing w:before="100" w:after="100" w:line="300" w:lineRule="exact"/>
              <w:textAlignment w:val="auto"/>
            </w:pPr>
            <w:r>
              <w:rPr>
                <w:rFonts w:ascii="標楷體" w:eastAsia="標楷體" w:hAnsi="標楷體"/>
                <w:color w:val="060606"/>
                <w:kern w:val="0"/>
                <w:sz w:val="22"/>
              </w:rPr>
              <w:t>Ulceration, gangrene, tender finger nodules, periungual infarction, splinter hemorrhages, or biopsy or angiogram proof of vasculitis.</w:t>
            </w:r>
            <w:r>
              <w:rPr>
                <w:rFonts w:ascii="標楷體" w:eastAsia="標楷體" w:hAnsi="標楷體"/>
                <w:kern w:val="0"/>
                <w:sz w:val="22"/>
              </w:rPr>
              <w:t xml:space="preserve"> </w:t>
            </w:r>
          </w:p>
          <w:p w14:paraId="762E03F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潰瘍、壞疽、手指結節壓痛、指甲周圍梗塞、指甲下線狀出血，或證實血管炎的切片或血管攝影</w:t>
            </w:r>
          </w:p>
        </w:tc>
      </w:tr>
      <w:tr w:rsidR="00401786" w14:paraId="54AE74E7"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9E558C2"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E8AFE04"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3FBCB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D0D0D"/>
                <w:kern w:val="0"/>
                <w:sz w:val="22"/>
              </w:rPr>
              <w:t>Arthritis</w:t>
            </w:r>
          </w:p>
          <w:p w14:paraId="39387DF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關節炎</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7456EB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More than 2 joints with pain and signs of inflammation (i.e., tenderness, swelling or effusion).</w:t>
            </w:r>
            <w:r>
              <w:rPr>
                <w:rFonts w:ascii="標楷體" w:eastAsia="標楷體" w:hAnsi="標楷體"/>
                <w:kern w:val="0"/>
                <w:sz w:val="22"/>
              </w:rPr>
              <w:t xml:space="preserve"> </w:t>
            </w:r>
          </w:p>
          <w:p w14:paraId="4DB5DB6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 xml:space="preserve">超過 </w:t>
            </w:r>
            <w:r>
              <w:rPr>
                <w:rFonts w:ascii="標楷體" w:eastAsia="標楷體" w:hAnsi="標楷體"/>
                <w:kern w:val="0"/>
                <w:sz w:val="22"/>
              </w:rPr>
              <w:t xml:space="preserve">2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關節發生疼痛和發炎徵象（即壓痛、腫脹或積液）</w:t>
            </w:r>
          </w:p>
        </w:tc>
      </w:tr>
      <w:tr w:rsidR="00401786" w14:paraId="28D298C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3C79922"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B4A97AC"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A9980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Myositis</w:t>
            </w:r>
          </w:p>
          <w:p w14:paraId="2039DF4B" w14:textId="77777777" w:rsidR="00401786" w:rsidRDefault="00C64FB3" w:rsidP="008359D5">
            <w:pPr>
              <w:widowControl/>
              <w:suppressAutoHyphens w:val="0"/>
              <w:spacing w:before="100" w:after="100" w:line="300" w:lineRule="exact"/>
              <w:textAlignment w:val="auto"/>
            </w:pPr>
            <w:proofErr w:type="gramStart"/>
            <w:r>
              <w:rPr>
                <w:rFonts w:ascii="標楷體" w:eastAsia="標楷體" w:hAnsi="標楷體" w:cs="新細明體"/>
                <w:kern w:val="0"/>
                <w:sz w:val="22"/>
              </w:rPr>
              <w:t>肌炎</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38142A"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Proximal muscle aching/weakness, associated with elevated creatine phosphokinase/aldolase or electromyogram changes or a biopsy showing myositis.</w:t>
            </w:r>
            <w:r>
              <w:rPr>
                <w:rFonts w:ascii="標楷體" w:eastAsia="標楷體" w:hAnsi="標楷體"/>
                <w:kern w:val="0"/>
                <w:sz w:val="22"/>
              </w:rPr>
              <w:t xml:space="preserve"> </w:t>
            </w:r>
          </w:p>
          <w:p w14:paraId="6D6A79E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近端肌肉</w:t>
            </w:r>
            <w:proofErr w:type="gramStart"/>
            <w:r>
              <w:rPr>
                <w:rFonts w:ascii="標楷體" w:eastAsia="標楷體" w:hAnsi="標楷體" w:cs="新細明體"/>
                <w:kern w:val="0"/>
                <w:sz w:val="22"/>
              </w:rPr>
              <w:t>疼痛／</w:t>
            </w:r>
            <w:proofErr w:type="gramEnd"/>
            <w:r>
              <w:rPr>
                <w:rFonts w:ascii="標楷體" w:eastAsia="標楷體" w:hAnsi="標楷體" w:cs="新細明體"/>
                <w:kern w:val="0"/>
                <w:sz w:val="22"/>
              </w:rPr>
              <w:t>虛弱，</w:t>
            </w:r>
            <w:proofErr w:type="gramStart"/>
            <w:r>
              <w:rPr>
                <w:rFonts w:ascii="標楷體" w:eastAsia="標楷體" w:hAnsi="標楷體" w:cs="新細明體"/>
                <w:kern w:val="0"/>
                <w:sz w:val="22"/>
              </w:rPr>
              <w:t>與肌酸磷酸</w:t>
            </w:r>
            <w:proofErr w:type="gramEnd"/>
            <w:r>
              <w:rPr>
                <w:rFonts w:ascii="標楷體" w:eastAsia="標楷體" w:hAnsi="標楷體" w:cs="新細明體"/>
                <w:kern w:val="0"/>
                <w:sz w:val="22"/>
              </w:rPr>
              <w:t>激酶／醛縮酶的上升或顯示為肌炎的肌電圖變化或切片有關</w:t>
            </w:r>
          </w:p>
        </w:tc>
      </w:tr>
      <w:tr w:rsidR="00401786" w14:paraId="5ECA680A"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23C2E2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C3BE40"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66718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B0B0B"/>
                <w:kern w:val="0"/>
                <w:sz w:val="22"/>
              </w:rPr>
              <w:t>Urinary casts</w:t>
            </w:r>
          </w:p>
          <w:p w14:paraId="761EC89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尿圓柱體</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026D07"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Heme-granular or red blood cell casts.</w:t>
            </w:r>
            <w:r>
              <w:rPr>
                <w:rFonts w:ascii="標楷體" w:eastAsia="標楷體" w:hAnsi="標楷體"/>
                <w:kern w:val="0"/>
                <w:sz w:val="22"/>
              </w:rPr>
              <w:t xml:space="preserve"> </w:t>
            </w:r>
          </w:p>
          <w:p w14:paraId="761D581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血紅素顆粒或紅血球圓柱體</w:t>
            </w:r>
          </w:p>
        </w:tc>
      </w:tr>
      <w:tr w:rsidR="00401786" w14:paraId="5927B34D"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062C4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DCDE03"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3DBA2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Hematuria</w:t>
            </w:r>
          </w:p>
          <w:p w14:paraId="2C1A882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血尿</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0E6769F"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&gt;5 red blood cells/high power field. Exclude stone, infection or other cause.</w:t>
            </w:r>
            <w:r>
              <w:rPr>
                <w:rFonts w:ascii="標楷體" w:eastAsia="標楷體" w:hAnsi="標楷體"/>
                <w:kern w:val="0"/>
                <w:sz w:val="22"/>
              </w:rPr>
              <w:t xml:space="preserve"> </w:t>
            </w:r>
          </w:p>
          <w:p w14:paraId="7461708C"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&gt;5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紅血球／高</w:t>
            </w:r>
            <w:proofErr w:type="gramStart"/>
            <w:r>
              <w:rPr>
                <w:rFonts w:ascii="標楷體" w:eastAsia="標楷體" w:hAnsi="標楷體" w:cs="新細明體"/>
                <w:kern w:val="0"/>
                <w:sz w:val="22"/>
              </w:rPr>
              <w:t>倍</w:t>
            </w:r>
            <w:proofErr w:type="gramEnd"/>
            <w:r>
              <w:rPr>
                <w:rFonts w:ascii="標楷體" w:eastAsia="標楷體" w:hAnsi="標楷體" w:cs="新細明體"/>
                <w:kern w:val="0"/>
                <w:sz w:val="22"/>
              </w:rPr>
              <w:t>視野。排除結石、感染或藥物原因</w:t>
            </w:r>
          </w:p>
        </w:tc>
      </w:tr>
      <w:tr w:rsidR="00401786" w14:paraId="3F18839E"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316885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790C47"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8D8F31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B0B0B"/>
                <w:kern w:val="0"/>
                <w:sz w:val="22"/>
              </w:rPr>
              <w:t>Proteinuria</w:t>
            </w:r>
          </w:p>
          <w:p w14:paraId="25F341A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蛋白尿</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02989C5"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New onset or recent increase of more than 0.5 gm/24 hours.</w:t>
            </w:r>
            <w:r>
              <w:rPr>
                <w:rFonts w:ascii="標楷體" w:eastAsia="標楷體" w:hAnsi="標楷體"/>
                <w:kern w:val="0"/>
                <w:sz w:val="22"/>
              </w:rPr>
              <w:t xml:space="preserve"> </w:t>
            </w:r>
          </w:p>
          <w:p w14:paraId="5496FA9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 xml:space="preserve">新發生或近 </w:t>
            </w:r>
            <w:r>
              <w:rPr>
                <w:rFonts w:ascii="標楷體" w:eastAsia="標楷體" w:hAnsi="標楷體"/>
                <w:kern w:val="0"/>
                <w:sz w:val="22"/>
              </w:rPr>
              <w:t xml:space="preserve">24 </w:t>
            </w:r>
            <w:r>
              <w:rPr>
                <w:rFonts w:ascii="標楷體" w:eastAsia="標楷體" w:hAnsi="標楷體" w:cs="新細明體"/>
                <w:kern w:val="0"/>
                <w:sz w:val="22"/>
              </w:rPr>
              <w:t xml:space="preserve">小時增加超過 </w:t>
            </w:r>
            <w:r>
              <w:rPr>
                <w:rFonts w:ascii="標楷體" w:eastAsia="標楷體" w:hAnsi="標楷體"/>
                <w:kern w:val="0"/>
                <w:sz w:val="22"/>
              </w:rPr>
              <w:t>0.5 gm</w:t>
            </w:r>
          </w:p>
        </w:tc>
      </w:tr>
      <w:tr w:rsidR="00401786" w14:paraId="1D0E842C"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A7E29E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1B47A8"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298DAB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Pyuria</w:t>
            </w:r>
          </w:p>
          <w:p w14:paraId="7D0B5A6B" w14:textId="77777777" w:rsidR="00401786" w:rsidRDefault="00C64FB3" w:rsidP="008359D5">
            <w:pPr>
              <w:widowControl/>
              <w:suppressAutoHyphens w:val="0"/>
              <w:spacing w:before="100" w:after="100" w:line="300" w:lineRule="exact"/>
              <w:textAlignment w:val="auto"/>
            </w:pPr>
            <w:proofErr w:type="gramStart"/>
            <w:r>
              <w:rPr>
                <w:rFonts w:ascii="標楷體" w:eastAsia="標楷體" w:hAnsi="標楷體" w:cs="新細明體"/>
                <w:kern w:val="0"/>
                <w:sz w:val="22"/>
              </w:rPr>
              <w:t>膿尿</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798C710"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&gt;5 white blood cells/high power field. Exclude infection.</w:t>
            </w:r>
            <w:r>
              <w:rPr>
                <w:rFonts w:ascii="標楷體" w:eastAsia="標楷體" w:hAnsi="標楷體"/>
                <w:kern w:val="0"/>
                <w:sz w:val="22"/>
              </w:rPr>
              <w:t xml:space="preserve"> </w:t>
            </w:r>
          </w:p>
          <w:p w14:paraId="7B1984F4"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lastRenderedPageBreak/>
              <w:t xml:space="preserve">&gt;5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白血球／高</w:t>
            </w:r>
            <w:proofErr w:type="gramStart"/>
            <w:r>
              <w:rPr>
                <w:rFonts w:ascii="標楷體" w:eastAsia="標楷體" w:hAnsi="標楷體" w:cs="新細明體"/>
                <w:kern w:val="0"/>
                <w:sz w:val="22"/>
              </w:rPr>
              <w:t>倍</w:t>
            </w:r>
            <w:proofErr w:type="gramEnd"/>
            <w:r>
              <w:rPr>
                <w:rFonts w:ascii="標楷體" w:eastAsia="標楷體" w:hAnsi="標楷體" w:cs="新細明體"/>
                <w:kern w:val="0"/>
                <w:sz w:val="22"/>
              </w:rPr>
              <w:t>視野。排除感染</w:t>
            </w:r>
          </w:p>
        </w:tc>
      </w:tr>
      <w:tr w:rsidR="00401786" w14:paraId="0DBC2721"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0F1457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lastRenderedPageBreak/>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3025931"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C2495C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60606"/>
                <w:kern w:val="0"/>
                <w:sz w:val="22"/>
              </w:rPr>
              <w:t>Rash</w:t>
            </w:r>
          </w:p>
          <w:p w14:paraId="4292B92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皮疹</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1D4E58E"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Ongoing inflammatory lupus rash.</w:t>
            </w:r>
            <w:r>
              <w:rPr>
                <w:rFonts w:ascii="標楷體" w:eastAsia="標楷體" w:hAnsi="標楷體"/>
                <w:kern w:val="0"/>
                <w:sz w:val="22"/>
              </w:rPr>
              <w:t xml:space="preserve"> </w:t>
            </w:r>
          </w:p>
          <w:p w14:paraId="2F7745C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持續的發炎性狼瘡皮疹</w:t>
            </w:r>
          </w:p>
        </w:tc>
      </w:tr>
      <w:tr w:rsidR="00401786" w14:paraId="3B32DF2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635D5F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A5D0D76"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EDA475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80808"/>
                <w:kern w:val="0"/>
                <w:sz w:val="22"/>
              </w:rPr>
              <w:t>Alopecia</w:t>
            </w:r>
          </w:p>
          <w:p w14:paraId="56EF24B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掉</w:t>
            </w:r>
            <w:proofErr w:type="gramStart"/>
            <w:r>
              <w:rPr>
                <w:rFonts w:ascii="標楷體" w:eastAsia="標楷體" w:hAnsi="標楷體" w:cs="新細明體"/>
                <w:kern w:val="0"/>
                <w:sz w:val="22"/>
              </w:rPr>
              <w:t>髮</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F60CACA"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Ongoing abnormal, patchy or diffuse loss of hair due to active lupus.</w:t>
            </w:r>
            <w:r>
              <w:rPr>
                <w:rFonts w:ascii="標楷體" w:eastAsia="標楷體" w:hAnsi="標楷體"/>
                <w:color w:val="1F1821"/>
                <w:kern w:val="0"/>
                <w:sz w:val="22"/>
              </w:rPr>
              <w:t xml:space="preserve"> </w:t>
            </w:r>
          </w:p>
          <w:p w14:paraId="2F506B5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因為活躍性狼瘡而造成持續性的異常、</w:t>
            </w:r>
            <w:proofErr w:type="gramStart"/>
            <w:r>
              <w:rPr>
                <w:rFonts w:ascii="標楷體" w:eastAsia="標楷體" w:hAnsi="標楷體" w:cs="新細明體"/>
                <w:color w:val="1F1821"/>
                <w:kern w:val="0"/>
                <w:sz w:val="22"/>
              </w:rPr>
              <w:t>斑狀性</w:t>
            </w:r>
            <w:proofErr w:type="gramEnd"/>
            <w:r>
              <w:rPr>
                <w:rFonts w:ascii="標楷體" w:eastAsia="標楷體" w:hAnsi="標楷體" w:cs="新細明體"/>
                <w:color w:val="1F1821"/>
                <w:kern w:val="0"/>
                <w:sz w:val="22"/>
              </w:rPr>
              <w:t>或瀰漫性脫髮</w:t>
            </w:r>
          </w:p>
        </w:tc>
      </w:tr>
      <w:tr w:rsidR="00401786" w14:paraId="268F1B50"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9A74F8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2A3CE82"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136157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Mucosal ulcers</w:t>
            </w:r>
          </w:p>
          <w:p w14:paraId="02E32219"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黏膜潰瘍</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E9FC9B5"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Ongoing oral or nasal ulcerations due to active lupus.</w:t>
            </w:r>
            <w:r>
              <w:rPr>
                <w:rFonts w:ascii="標楷體" w:eastAsia="標楷體" w:hAnsi="標楷體"/>
                <w:kern w:val="0"/>
                <w:sz w:val="22"/>
              </w:rPr>
              <w:t xml:space="preserve"> </w:t>
            </w:r>
          </w:p>
          <w:p w14:paraId="330A208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因為活躍性狼瘡而造成持續性的口腔或鼻腔潰瘍</w:t>
            </w:r>
          </w:p>
        </w:tc>
      </w:tr>
      <w:tr w:rsidR="00401786" w14:paraId="012B23D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B1782F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008DCDB"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F0D9932"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Pleurisy</w:t>
            </w:r>
          </w:p>
          <w:p w14:paraId="27BAF2A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胸膜炎</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FAA756"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 xml:space="preserve">Classic and severe pleuritic chest pain or pleural rub or effusion or new pleural thickening due to </w:t>
            </w:r>
            <w:r>
              <w:rPr>
                <w:rFonts w:ascii="標楷體" w:eastAsia="標楷體" w:hAnsi="標楷體"/>
                <w:color w:val="0A0A0A"/>
                <w:kern w:val="0"/>
                <w:sz w:val="22"/>
              </w:rPr>
              <w:t>Lupus.</w:t>
            </w:r>
            <w:r>
              <w:rPr>
                <w:rFonts w:ascii="標楷體" w:eastAsia="標楷體" w:hAnsi="標楷體"/>
                <w:color w:val="1F1821"/>
                <w:kern w:val="0"/>
                <w:sz w:val="22"/>
              </w:rPr>
              <w:t xml:space="preserve"> </w:t>
            </w:r>
          </w:p>
          <w:p w14:paraId="2FF2657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典型和嚴重的</w:t>
            </w:r>
            <w:proofErr w:type="gramStart"/>
            <w:r>
              <w:rPr>
                <w:rFonts w:ascii="標楷體" w:eastAsia="標楷體" w:hAnsi="標楷體" w:cs="新細明體"/>
                <w:color w:val="1F1821"/>
                <w:kern w:val="0"/>
                <w:sz w:val="22"/>
              </w:rPr>
              <w:t>胸膜炎性胸痛</w:t>
            </w:r>
            <w:proofErr w:type="gramEnd"/>
            <w:r>
              <w:rPr>
                <w:rFonts w:ascii="標楷體" w:eastAsia="標楷體" w:hAnsi="標楷體" w:cs="新細明體"/>
                <w:color w:val="1F1821"/>
                <w:kern w:val="0"/>
                <w:sz w:val="22"/>
              </w:rPr>
              <w:t>，或胸膜摩擦音</w:t>
            </w:r>
            <w:proofErr w:type="gramStart"/>
            <w:r>
              <w:rPr>
                <w:rFonts w:ascii="標楷體" w:eastAsia="標楷體" w:hAnsi="標楷體" w:cs="新細明體"/>
                <w:color w:val="1F1821"/>
                <w:kern w:val="0"/>
                <w:sz w:val="22"/>
              </w:rPr>
              <w:t>或積液</w:t>
            </w:r>
            <w:proofErr w:type="gramEnd"/>
            <w:r>
              <w:rPr>
                <w:rFonts w:ascii="標楷體" w:eastAsia="標楷體" w:hAnsi="標楷體" w:cs="新細明體"/>
                <w:color w:val="1F1821"/>
                <w:kern w:val="0"/>
                <w:sz w:val="22"/>
              </w:rPr>
              <w:t>，或因為狼瘡而造成的胸膜增厚</w:t>
            </w:r>
          </w:p>
        </w:tc>
      </w:tr>
      <w:tr w:rsidR="00401786" w14:paraId="099DFCD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0A4C3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19B4E9"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3E548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B0B0B"/>
                <w:kern w:val="0"/>
                <w:sz w:val="22"/>
              </w:rPr>
              <w:t>Pericarditis</w:t>
            </w:r>
          </w:p>
          <w:p w14:paraId="743E22BF"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心</w:t>
            </w:r>
            <w:proofErr w:type="gramStart"/>
            <w:r>
              <w:rPr>
                <w:rFonts w:ascii="標楷體" w:eastAsia="標楷體" w:hAnsi="標楷體" w:cs="新細明體"/>
                <w:kern w:val="0"/>
                <w:sz w:val="22"/>
              </w:rPr>
              <w:t>包膜炎</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C7F9D1"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Classic and severe pericardial pam or rub or effusion, or electrocardiogram confirmation.</w:t>
            </w:r>
            <w:r>
              <w:rPr>
                <w:rFonts w:ascii="標楷體" w:eastAsia="標楷體" w:hAnsi="標楷體"/>
                <w:kern w:val="0"/>
                <w:sz w:val="22"/>
              </w:rPr>
              <w:t xml:space="preserve"> </w:t>
            </w:r>
          </w:p>
          <w:p w14:paraId="28C7874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典型和嚴重的心包膜</w:t>
            </w:r>
            <w:proofErr w:type="gramStart"/>
            <w:r>
              <w:rPr>
                <w:rFonts w:ascii="標楷體" w:eastAsia="標楷體" w:hAnsi="標楷體" w:cs="新細明體"/>
                <w:kern w:val="0"/>
                <w:sz w:val="22"/>
              </w:rPr>
              <w:t>疼痛，</w:t>
            </w:r>
            <w:proofErr w:type="gramEnd"/>
            <w:r>
              <w:rPr>
                <w:rFonts w:ascii="標楷體" w:eastAsia="標楷體" w:hAnsi="標楷體" w:cs="新細明體"/>
                <w:kern w:val="0"/>
                <w:sz w:val="22"/>
              </w:rPr>
              <w:t>或摩擦音</w:t>
            </w:r>
            <w:proofErr w:type="gramStart"/>
            <w:r>
              <w:rPr>
                <w:rFonts w:ascii="標楷體" w:eastAsia="標楷體" w:hAnsi="標楷體" w:cs="新細明體"/>
                <w:kern w:val="0"/>
                <w:sz w:val="22"/>
              </w:rPr>
              <w:t>或積液</w:t>
            </w:r>
            <w:proofErr w:type="gramEnd"/>
            <w:r>
              <w:rPr>
                <w:rFonts w:ascii="標楷體" w:eastAsia="標楷體" w:hAnsi="標楷體" w:cs="新細明體"/>
                <w:kern w:val="0"/>
                <w:sz w:val="22"/>
              </w:rPr>
              <w:t>，或經心電圖證實</w:t>
            </w:r>
          </w:p>
        </w:tc>
      </w:tr>
      <w:tr w:rsidR="00401786" w14:paraId="621B2FA1"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CF9D7F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DDFA7C"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DF6141"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Low complement</w:t>
            </w:r>
            <w:proofErr w:type="gramStart"/>
            <w:r>
              <w:rPr>
                <w:rFonts w:ascii="標楷體" w:eastAsia="標楷體" w:hAnsi="標楷體" w:cs="新細明體"/>
                <w:kern w:val="0"/>
                <w:sz w:val="22"/>
              </w:rPr>
              <w:t>補體低</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9A2DE45"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Decrease in CH50, C3 or C4 below the lower limit of normal for testing laboratory.</w:t>
            </w:r>
            <w:r>
              <w:rPr>
                <w:rFonts w:ascii="標楷體" w:eastAsia="標楷體" w:hAnsi="標楷體"/>
                <w:color w:val="1F1821"/>
                <w:kern w:val="0"/>
                <w:sz w:val="22"/>
              </w:rPr>
              <w:t xml:space="preserve"> </w:t>
            </w:r>
          </w:p>
          <w:p w14:paraId="1835C6E0" w14:textId="77777777" w:rsidR="00401786" w:rsidRDefault="00C64FB3" w:rsidP="008359D5">
            <w:pPr>
              <w:widowControl/>
              <w:suppressAutoHyphens w:val="0"/>
              <w:spacing w:before="100" w:after="100" w:line="300" w:lineRule="exact"/>
              <w:textAlignment w:val="auto"/>
            </w:pPr>
            <w:r>
              <w:rPr>
                <w:rFonts w:ascii="標楷體" w:eastAsia="標楷體" w:hAnsi="標楷體"/>
                <w:color w:val="1F1821"/>
                <w:kern w:val="0"/>
                <w:sz w:val="22"/>
              </w:rPr>
              <w:t>CH50</w:t>
            </w:r>
            <w:r>
              <w:rPr>
                <w:rFonts w:ascii="標楷體" w:eastAsia="標楷體" w:hAnsi="標楷體"/>
                <w:kern w:val="0"/>
                <w:sz w:val="22"/>
              </w:rPr>
              <w:t>、C3 或 C4 下降，低於實驗室檢測的正常值下限</w:t>
            </w:r>
          </w:p>
        </w:tc>
      </w:tr>
      <w:tr w:rsidR="00401786" w14:paraId="063A93C0"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7FF0C6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E8CA2BE"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44C1124" w14:textId="77777777" w:rsidR="00401786" w:rsidRDefault="00C64FB3" w:rsidP="008359D5">
            <w:pPr>
              <w:widowControl/>
              <w:suppressAutoHyphens w:val="0"/>
              <w:spacing w:before="100" w:after="100" w:line="300" w:lineRule="exact"/>
              <w:textAlignment w:val="auto"/>
            </w:pPr>
            <w:r>
              <w:rPr>
                <w:rFonts w:ascii="標楷體" w:eastAsia="標楷體" w:hAnsi="標楷體"/>
                <w:color w:val="080808"/>
                <w:kern w:val="0"/>
                <w:sz w:val="22"/>
              </w:rPr>
              <w:t>Increased DNA binding</w:t>
            </w:r>
            <w:r>
              <w:rPr>
                <w:rFonts w:ascii="標楷體" w:eastAsia="標楷體" w:hAnsi="標楷體"/>
                <w:kern w:val="0"/>
                <w:sz w:val="22"/>
              </w:rPr>
              <w:t xml:space="preserve"> </w:t>
            </w:r>
          </w:p>
          <w:p w14:paraId="453A5BCF"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DNA </w:t>
            </w:r>
            <w:r>
              <w:rPr>
                <w:rFonts w:ascii="標楷體" w:eastAsia="標楷體" w:hAnsi="標楷體" w:cs="新細明體"/>
                <w:kern w:val="0"/>
                <w:sz w:val="22"/>
              </w:rPr>
              <w:t>結合增加</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E0E3D8"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&gt;25% binding by Farr assay or above normal range for testing laboratory.</w:t>
            </w:r>
            <w:r>
              <w:rPr>
                <w:rFonts w:ascii="標楷體" w:eastAsia="標楷體" w:hAnsi="標楷體"/>
                <w:kern w:val="0"/>
                <w:sz w:val="22"/>
              </w:rPr>
              <w:t xml:space="preserve"> </w:t>
            </w:r>
          </w:p>
          <w:p w14:paraId="5091D8E4"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Farr </w:t>
            </w:r>
            <w:r>
              <w:rPr>
                <w:rFonts w:ascii="標楷體" w:eastAsia="標楷體" w:hAnsi="標楷體" w:cs="新細明體"/>
                <w:kern w:val="0"/>
                <w:sz w:val="22"/>
              </w:rPr>
              <w:t xml:space="preserve">分析 </w:t>
            </w:r>
            <w:r>
              <w:rPr>
                <w:rFonts w:ascii="標楷體" w:eastAsia="標楷體" w:hAnsi="標楷體"/>
                <w:kern w:val="0"/>
                <w:sz w:val="22"/>
              </w:rPr>
              <w:t xml:space="preserve">&gt;25% </w:t>
            </w:r>
            <w:r>
              <w:rPr>
                <w:rFonts w:ascii="標楷體" w:eastAsia="標楷體" w:hAnsi="標楷體" w:cs="新細明體"/>
                <w:kern w:val="0"/>
                <w:sz w:val="22"/>
              </w:rPr>
              <w:t>的結合，或超過檢測實驗室的正常範圍</w:t>
            </w:r>
          </w:p>
        </w:tc>
      </w:tr>
      <w:tr w:rsidR="00401786" w14:paraId="709138BF"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042D5F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1</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171475"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378C16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50505"/>
                <w:kern w:val="0"/>
                <w:sz w:val="22"/>
              </w:rPr>
              <w:t>Fever</w:t>
            </w:r>
          </w:p>
          <w:p w14:paraId="2AA000F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發燒</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51727F"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&gt;38°C. Exclude infectious cause.</w:t>
            </w:r>
            <w:r>
              <w:rPr>
                <w:rFonts w:ascii="標楷體" w:eastAsia="標楷體" w:hAnsi="標楷體"/>
                <w:kern w:val="0"/>
                <w:sz w:val="22"/>
              </w:rPr>
              <w:t xml:space="preserve"> </w:t>
            </w:r>
          </w:p>
          <w:p w14:paraId="6AA25484"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&gt;38°C</w:t>
            </w:r>
            <w:r>
              <w:rPr>
                <w:rFonts w:ascii="標楷體" w:eastAsia="標楷體" w:hAnsi="標楷體" w:cs="新細明體"/>
                <w:kern w:val="0"/>
                <w:sz w:val="22"/>
              </w:rPr>
              <w:t>。排除感染原因</w:t>
            </w:r>
          </w:p>
        </w:tc>
      </w:tr>
      <w:tr w:rsidR="00401786" w14:paraId="294E678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3AEDB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1</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BDBEAD"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B48B3BC"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Thrombocytopenia</w:t>
            </w:r>
            <w:r>
              <w:rPr>
                <w:rFonts w:ascii="標楷體" w:eastAsia="標楷體" w:hAnsi="標楷體" w:cs="新細明體"/>
                <w:kern w:val="0"/>
                <w:sz w:val="22"/>
              </w:rPr>
              <w:t>血小板減少症</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F2418A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 xml:space="preserve">&lt;100,000 platelets/mm3 </w:t>
            </w:r>
          </w:p>
          <w:p w14:paraId="76D37578" w14:textId="77777777" w:rsidR="00401786" w:rsidRDefault="00C64FB3" w:rsidP="008359D5">
            <w:pPr>
              <w:widowControl/>
              <w:suppressAutoHyphens w:val="0"/>
              <w:spacing w:before="100" w:after="100" w:line="300" w:lineRule="exact"/>
              <w:textAlignment w:val="auto"/>
            </w:pPr>
            <w:r>
              <w:rPr>
                <w:rFonts w:ascii="標楷體" w:eastAsia="標楷體" w:hAnsi="標楷體"/>
                <w:color w:val="1F1821"/>
                <w:kern w:val="0"/>
                <w:sz w:val="22"/>
              </w:rPr>
              <w:t xml:space="preserve">&lt;100,000 </w:t>
            </w:r>
            <w:proofErr w:type="gramStart"/>
            <w:r>
              <w:rPr>
                <w:rFonts w:ascii="標楷體" w:eastAsia="標楷體" w:hAnsi="標楷體"/>
                <w:kern w:val="0"/>
                <w:sz w:val="22"/>
              </w:rPr>
              <w:t>個</w:t>
            </w:r>
            <w:proofErr w:type="gramEnd"/>
            <w:r>
              <w:rPr>
                <w:rFonts w:ascii="標楷體" w:eastAsia="標楷體" w:hAnsi="標楷體"/>
                <w:kern w:val="0"/>
                <w:sz w:val="22"/>
              </w:rPr>
              <w:t>血小板／mm</w:t>
            </w:r>
            <w:r>
              <w:rPr>
                <w:rFonts w:ascii="標楷體" w:eastAsia="標楷體" w:hAnsi="標楷體"/>
                <w:kern w:val="0"/>
                <w:sz w:val="22"/>
                <w:vertAlign w:val="superscript"/>
              </w:rPr>
              <w:t>3</w:t>
            </w:r>
          </w:p>
        </w:tc>
      </w:tr>
      <w:tr w:rsidR="00401786" w14:paraId="0B86791A"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FE6149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1</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8B08BF7"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7F67BE4"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Leukopenia</w:t>
            </w:r>
            <w:r>
              <w:rPr>
                <w:rFonts w:ascii="標楷體" w:eastAsia="標楷體" w:hAnsi="標楷體" w:cs="新細明體"/>
                <w:kern w:val="0"/>
                <w:sz w:val="22"/>
              </w:rPr>
              <w:t>白血球減少症</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FBA8B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&lt;3,000 white blood cells/mm3. Exclude drug causes.</w:t>
            </w:r>
          </w:p>
          <w:p w14:paraId="1284CBAD"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&lt;3,000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白血球細胞／</w:t>
            </w:r>
            <w:r>
              <w:rPr>
                <w:rFonts w:ascii="標楷體" w:eastAsia="標楷體" w:hAnsi="標楷體"/>
                <w:kern w:val="0"/>
                <w:sz w:val="22"/>
              </w:rPr>
              <w:t>mm</w:t>
            </w:r>
            <w:r>
              <w:rPr>
                <w:rFonts w:ascii="標楷體" w:eastAsia="標楷體" w:hAnsi="標楷體"/>
                <w:kern w:val="0"/>
                <w:sz w:val="22"/>
                <w:vertAlign w:val="superscript"/>
              </w:rPr>
              <w:t>3</w:t>
            </w:r>
            <w:r>
              <w:rPr>
                <w:rFonts w:ascii="標楷體" w:eastAsia="標楷體" w:hAnsi="標楷體" w:cs="新細明體"/>
                <w:kern w:val="0"/>
                <w:sz w:val="22"/>
              </w:rPr>
              <w:t>。排除藥物原因</w:t>
            </w:r>
          </w:p>
        </w:tc>
      </w:tr>
      <w:tr w:rsidR="00401786" w14:paraId="5D63ED65" w14:textId="77777777">
        <w:tc>
          <w:tcPr>
            <w:tcW w:w="204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0E09856"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c>
          <w:tcPr>
            <w:tcW w:w="7691"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340F66F" w14:textId="77777777" w:rsidR="00401786" w:rsidRDefault="00C64FB3" w:rsidP="008359D5">
            <w:pPr>
              <w:widowControl/>
              <w:suppressAutoHyphens w:val="0"/>
              <w:spacing w:before="100" w:after="100" w:line="300" w:lineRule="exact"/>
              <w:textAlignment w:val="auto"/>
            </w:pPr>
            <w:r>
              <w:rPr>
                <w:rFonts w:ascii="標楷體" w:eastAsia="標楷體" w:hAnsi="標楷體"/>
                <w:b/>
                <w:bCs/>
                <w:kern w:val="0"/>
                <w:sz w:val="16"/>
                <w:szCs w:val="16"/>
              </w:rPr>
              <w:t>TOTAL SCORE</w:t>
            </w:r>
            <w:r>
              <w:rPr>
                <w:rFonts w:ascii="標楷體" w:eastAsia="標楷體" w:hAnsi="標楷體"/>
                <w:kern w:val="0"/>
                <w:szCs w:val="24"/>
              </w:rPr>
              <w:t xml:space="preserve"> </w:t>
            </w:r>
            <w:r>
              <w:rPr>
                <w:rFonts w:ascii="標楷體" w:eastAsia="標楷體" w:hAnsi="標楷體"/>
                <w:b/>
                <w:bCs/>
                <w:kern w:val="0"/>
                <w:sz w:val="16"/>
                <w:szCs w:val="16"/>
              </w:rPr>
              <w:t>(Sum of weights next to descriptors marked present)</w:t>
            </w:r>
          </w:p>
          <w:p w14:paraId="6E3AB5F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總分（勾選的描述符旁邊的權重總和）</w:t>
            </w:r>
          </w:p>
        </w:tc>
      </w:tr>
      <w:bookmarkEnd w:id="116"/>
    </w:tbl>
    <w:p w14:paraId="5D9727A9" w14:textId="77777777" w:rsidR="00401786" w:rsidRDefault="00401786" w:rsidP="000E757E">
      <w:pPr>
        <w:widowControl/>
        <w:spacing w:line="240" w:lineRule="atLeast"/>
        <w:jc w:val="center"/>
        <w:rPr>
          <w:rFonts w:ascii="標楷體" w:eastAsia="標楷體" w:hAnsi="標楷體"/>
          <w:b/>
        </w:rPr>
      </w:pPr>
    </w:p>
    <w:p w14:paraId="0AD974C9" w14:textId="77777777" w:rsidR="00401786" w:rsidRPr="00910CB0" w:rsidRDefault="00401786" w:rsidP="000E757E">
      <w:pPr>
        <w:pageBreakBefore/>
        <w:widowControl/>
        <w:suppressAutoHyphens w:val="0"/>
        <w:spacing w:line="240" w:lineRule="atLeast"/>
        <w:rPr>
          <w:rFonts w:ascii="標楷體" w:eastAsia="標楷體" w:hAnsi="標楷體"/>
          <w:b/>
          <w:bCs/>
          <w:color w:val="000000"/>
          <w:sz w:val="22"/>
          <w:szCs w:val="20"/>
        </w:rPr>
      </w:pPr>
    </w:p>
    <w:tbl>
      <w:tblPr>
        <w:tblW w:w="8628" w:type="dxa"/>
        <w:jc w:val="center"/>
        <w:tblLayout w:type="fixed"/>
        <w:tblCellMar>
          <w:left w:w="10" w:type="dxa"/>
          <w:right w:w="10" w:type="dxa"/>
        </w:tblCellMar>
        <w:tblLook w:val="0000" w:firstRow="0" w:lastRow="0" w:firstColumn="0" w:lastColumn="0" w:noHBand="0" w:noVBand="0"/>
      </w:tblPr>
      <w:tblGrid>
        <w:gridCol w:w="8628"/>
      </w:tblGrid>
      <w:tr w:rsidR="00401786" w:rsidRPr="00910CB0" w14:paraId="702EB853" w14:textId="77777777">
        <w:trPr>
          <w:cantSplit/>
          <w:trHeight w:val="568"/>
          <w:jc w:val="center"/>
        </w:trPr>
        <w:tc>
          <w:tcPr>
            <w:tcW w:w="8628" w:type="dxa"/>
            <w:shd w:val="clear" w:color="auto" w:fill="auto"/>
            <w:tcMar>
              <w:top w:w="0" w:type="dxa"/>
              <w:left w:w="28" w:type="dxa"/>
              <w:bottom w:w="0" w:type="dxa"/>
              <w:right w:w="28" w:type="dxa"/>
            </w:tcMar>
          </w:tcPr>
          <w:p w14:paraId="5361F632" w14:textId="77777777" w:rsidR="00401786" w:rsidRPr="00910CB0" w:rsidRDefault="00C64FB3" w:rsidP="000E757E">
            <w:pPr>
              <w:widowControl/>
              <w:autoSpaceDE w:val="0"/>
              <w:snapToGrid w:val="0"/>
              <w:spacing w:line="240" w:lineRule="atLeast"/>
              <w:ind w:firstLine="40"/>
              <w:jc w:val="center"/>
              <w:textAlignment w:val="bottom"/>
              <w:rPr>
                <w:b/>
                <w:bCs/>
                <w:sz w:val="22"/>
                <w:szCs w:val="20"/>
              </w:rPr>
            </w:pPr>
            <w:r w:rsidRPr="00910CB0">
              <w:rPr>
                <w:rFonts w:ascii="標楷體" w:eastAsia="標楷體" w:hAnsi="標楷體"/>
                <w:b/>
                <w:bCs/>
                <w:color w:val="000000"/>
                <w:sz w:val="28"/>
              </w:rPr>
              <w:t>附表三十七-</w:t>
            </w:r>
            <w:r w:rsidRPr="00910CB0">
              <w:rPr>
                <w:rFonts w:ascii="標楷體" w:eastAsia="標楷體" w:hAnsi="標楷體"/>
                <w:b/>
                <w:bCs/>
                <w:color w:val="000000"/>
                <w:sz w:val="28"/>
                <w:u w:val="single"/>
              </w:rPr>
              <w:t>全民健康</w:t>
            </w:r>
            <w:proofErr w:type="gramStart"/>
            <w:r w:rsidRPr="00910CB0">
              <w:rPr>
                <w:rFonts w:ascii="標楷體" w:eastAsia="標楷體" w:hAnsi="標楷體"/>
                <w:b/>
                <w:bCs/>
                <w:color w:val="000000"/>
                <w:sz w:val="28"/>
                <w:u w:val="single"/>
              </w:rPr>
              <w:t>保險保險</w:t>
            </w:r>
            <w:proofErr w:type="gramEnd"/>
            <w:r w:rsidRPr="00910CB0">
              <w:rPr>
                <w:rFonts w:ascii="標楷體" w:eastAsia="標楷體" w:hAnsi="標楷體"/>
                <w:b/>
                <w:bCs/>
                <w:color w:val="000000"/>
                <w:sz w:val="28"/>
                <w:u w:val="single"/>
              </w:rPr>
              <w:t>對象使用</w:t>
            </w:r>
            <w:proofErr w:type="spellStart"/>
            <w:r w:rsidRPr="00910CB0">
              <w:rPr>
                <w:rFonts w:ascii="標楷體" w:eastAsia="標楷體" w:hAnsi="標楷體"/>
                <w:b/>
                <w:bCs/>
                <w:color w:val="000000"/>
                <w:sz w:val="28"/>
                <w:u w:val="single"/>
              </w:rPr>
              <w:t>onasemnogene</w:t>
            </w:r>
            <w:proofErr w:type="spellEnd"/>
            <w:r w:rsidRPr="00910CB0">
              <w:rPr>
                <w:rFonts w:ascii="標楷體" w:eastAsia="標楷體" w:hAnsi="標楷體"/>
                <w:b/>
                <w:bCs/>
                <w:color w:val="000000"/>
                <w:sz w:val="28"/>
                <w:u w:val="single"/>
              </w:rPr>
              <w:t xml:space="preserve"> </w:t>
            </w:r>
            <w:proofErr w:type="spellStart"/>
            <w:r w:rsidRPr="00910CB0">
              <w:rPr>
                <w:rFonts w:ascii="標楷體" w:eastAsia="標楷體" w:hAnsi="標楷體"/>
                <w:b/>
                <w:bCs/>
                <w:color w:val="000000"/>
                <w:sz w:val="28"/>
                <w:u w:val="single"/>
              </w:rPr>
              <w:t>abeparvovec</w:t>
            </w:r>
            <w:proofErr w:type="spellEnd"/>
            <w:r w:rsidRPr="00910CB0">
              <w:rPr>
                <w:rFonts w:ascii="標楷體" w:eastAsia="標楷體" w:hAnsi="標楷體"/>
                <w:b/>
                <w:bCs/>
                <w:color w:val="000000"/>
                <w:sz w:val="28"/>
                <w:u w:val="single"/>
              </w:rPr>
              <w:t>基因療法製劑協議書</w:t>
            </w:r>
          </w:p>
        </w:tc>
      </w:tr>
    </w:tbl>
    <w:p w14:paraId="4B623207" w14:textId="77777777" w:rsidR="00401786" w:rsidRDefault="00401786" w:rsidP="000E757E">
      <w:pPr>
        <w:spacing w:after="192" w:line="240" w:lineRule="atLeast"/>
        <w:rPr>
          <w:rFonts w:ascii="標楷體" w:eastAsia="標楷體" w:hAnsi="標楷體"/>
          <w:sz w:val="28"/>
          <w:szCs w:val="28"/>
        </w:rPr>
      </w:pPr>
    </w:p>
    <w:p w14:paraId="11260359" w14:textId="77777777" w:rsidR="00401786" w:rsidRDefault="00C64FB3" w:rsidP="008359D5">
      <w:pPr>
        <w:spacing w:after="192" w:line="300" w:lineRule="exact"/>
      </w:pPr>
      <w:r>
        <w:rPr>
          <w:rFonts w:ascii="標楷體" w:eastAsia="標楷體" w:hAnsi="標楷體"/>
          <w:szCs w:val="24"/>
        </w:rPr>
        <w:t>衛生福利部中央健康</w:t>
      </w:r>
      <w:proofErr w:type="gramStart"/>
      <w:r>
        <w:rPr>
          <w:rFonts w:ascii="標楷體" w:eastAsia="標楷體" w:hAnsi="標楷體"/>
          <w:szCs w:val="24"/>
        </w:rPr>
        <w:t>保險署</w:t>
      </w:r>
      <w:proofErr w:type="gramEnd"/>
      <w:r>
        <w:rPr>
          <w:rFonts w:ascii="標楷體" w:eastAsia="標楷體" w:hAnsi="標楷體"/>
          <w:szCs w:val="24"/>
        </w:rPr>
        <w:t>（以下簡稱甲方）為辦理全民健康保險（以下稱本保險）業務與保險對象</w:t>
      </w:r>
      <w:r>
        <w:rPr>
          <w:rFonts w:ascii="標楷體" w:eastAsia="標楷體" w:hAnsi="標楷體"/>
          <w:szCs w:val="24"/>
          <w:u w:val="single"/>
        </w:rPr>
        <w:t xml:space="preserve">   (姓名)    </w:t>
      </w:r>
      <w:r>
        <w:rPr>
          <w:rFonts w:ascii="標楷體" w:eastAsia="標楷體" w:hAnsi="標楷體"/>
          <w:szCs w:val="24"/>
        </w:rPr>
        <w:t>（以下簡稱乙方）</w:t>
      </w:r>
      <w:proofErr w:type="gramStart"/>
      <w:r>
        <w:rPr>
          <w:rFonts w:ascii="標楷體" w:eastAsia="標楷體" w:hAnsi="標楷體"/>
          <w:szCs w:val="24"/>
        </w:rPr>
        <w:t>就含</w:t>
      </w:r>
      <w:proofErr w:type="spellStart"/>
      <w:proofErr w:type="gramEnd"/>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基因療法製劑（商品名稱為「</w:t>
      </w:r>
      <w:proofErr w:type="spellStart"/>
      <w:r>
        <w:rPr>
          <w:rFonts w:ascii="標楷體" w:eastAsia="標楷體" w:hAnsi="標楷體"/>
          <w:szCs w:val="24"/>
        </w:rPr>
        <w:t>Zolgensma</w:t>
      </w:r>
      <w:proofErr w:type="spellEnd"/>
      <w:r>
        <w:rPr>
          <w:rFonts w:ascii="標楷體" w:eastAsia="標楷體" w:hAnsi="標楷體"/>
          <w:szCs w:val="24"/>
        </w:rPr>
        <w:t>」，以下簡稱本協議藥品）之給付事宜簽訂本協議書，內容如下：</w:t>
      </w:r>
    </w:p>
    <w:p w14:paraId="7A5B27C6" w14:textId="77777777" w:rsidR="00401786" w:rsidRDefault="00C64FB3" w:rsidP="002144EC">
      <w:pPr>
        <w:numPr>
          <w:ilvl w:val="0"/>
          <w:numId w:val="121"/>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甲方同意乙方申請使用</w:t>
      </w:r>
      <w:proofErr w:type="spellStart"/>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基因療法製劑，於符合本協議藥品給付規定並經特殊專案審查核准時，委由本保險特約</w:t>
      </w:r>
      <w:proofErr w:type="gramStart"/>
      <w:r>
        <w:rPr>
          <w:rFonts w:ascii="標楷體" w:eastAsia="標楷體" w:hAnsi="標楷體"/>
          <w:szCs w:val="24"/>
        </w:rPr>
        <w:t>醫</w:t>
      </w:r>
      <w:proofErr w:type="gramEnd"/>
      <w:r>
        <w:rPr>
          <w:rFonts w:ascii="標楷體" w:eastAsia="標楷體" w:hAnsi="標楷體"/>
          <w:szCs w:val="24"/>
        </w:rPr>
        <w:t>事服務機構（機構名稱）施打本協議藥品及相關作業事宜。</w:t>
      </w:r>
    </w:p>
    <w:p w14:paraId="1611CAD9" w14:textId="77777777" w:rsidR="00401786" w:rsidRDefault="00C64FB3" w:rsidP="002144EC">
      <w:pPr>
        <w:numPr>
          <w:ilvl w:val="0"/>
          <w:numId w:val="121"/>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甲方授權（特約</w:t>
      </w:r>
      <w:proofErr w:type="gramStart"/>
      <w:r>
        <w:rPr>
          <w:rFonts w:ascii="標楷體" w:eastAsia="標楷體" w:hAnsi="標楷體"/>
          <w:szCs w:val="24"/>
        </w:rPr>
        <w:t>醫</w:t>
      </w:r>
      <w:proofErr w:type="gramEnd"/>
      <w:r>
        <w:rPr>
          <w:rFonts w:ascii="標楷體" w:eastAsia="標楷體" w:hAnsi="標楷體"/>
          <w:szCs w:val="24"/>
        </w:rPr>
        <w:t>事服務機構名稱）（○○○醫師）代表告知乙方下列事項與應負擔義務，</w:t>
      </w:r>
      <w:proofErr w:type="gramStart"/>
      <w:r>
        <w:rPr>
          <w:rFonts w:ascii="標楷體" w:eastAsia="標楷體" w:hAnsi="標楷體"/>
          <w:szCs w:val="24"/>
        </w:rPr>
        <w:t>並經乙方</w:t>
      </w:r>
      <w:proofErr w:type="gramEnd"/>
      <w:r>
        <w:rPr>
          <w:rFonts w:ascii="標楷體" w:eastAsia="標楷體" w:hAnsi="標楷體"/>
          <w:szCs w:val="24"/>
        </w:rPr>
        <w:t>同意如下：</w:t>
      </w:r>
    </w:p>
    <w:p w14:paraId="439F9A4F" w14:textId="77777777" w:rsidR="00401786" w:rsidRDefault="00C64FB3" w:rsidP="002144EC">
      <w:pPr>
        <w:numPr>
          <w:ilvl w:val="1"/>
          <w:numId w:val="121"/>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乙方使用</w:t>
      </w:r>
      <w:proofErr w:type="spellStart"/>
      <w:r>
        <w:rPr>
          <w:rFonts w:ascii="標楷體" w:eastAsia="標楷體" w:hAnsi="標楷體"/>
          <w:kern w:val="0"/>
          <w:szCs w:val="24"/>
        </w:rPr>
        <w:t>onasemnogene</w:t>
      </w:r>
      <w:proofErr w:type="spellEnd"/>
      <w:r>
        <w:rPr>
          <w:rFonts w:ascii="標楷體" w:eastAsia="標楷體" w:hAnsi="標楷體"/>
          <w:kern w:val="0"/>
          <w:szCs w:val="24"/>
        </w:rPr>
        <w:t xml:space="preserve"> </w:t>
      </w:r>
      <w:proofErr w:type="spellStart"/>
      <w:r>
        <w:rPr>
          <w:rFonts w:ascii="標楷體" w:eastAsia="標楷體" w:hAnsi="標楷體"/>
          <w:kern w:val="0"/>
          <w:szCs w:val="24"/>
        </w:rPr>
        <w:t>abeparvovec</w:t>
      </w:r>
      <w:proofErr w:type="spellEnd"/>
      <w:r>
        <w:rPr>
          <w:rFonts w:ascii="標楷體" w:eastAsia="標楷體" w:hAnsi="標楷體"/>
          <w:kern w:val="0"/>
          <w:szCs w:val="24"/>
        </w:rPr>
        <w:t>基因療法製劑，需依照本協議藥品給付規定內容（包括且不限於施打劑量、次數、方式、地點），並於使用該基因療法製劑之日起每4個月主動回到施打該藥品之醫院進行療效評估，且至少持續10年。</w:t>
      </w:r>
    </w:p>
    <w:p w14:paraId="5CEF9A5F" w14:textId="77777777" w:rsidR="00401786" w:rsidRDefault="00C64FB3" w:rsidP="002144EC">
      <w:pPr>
        <w:numPr>
          <w:ilvl w:val="1"/>
          <w:numId w:val="121"/>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乙方應配合並同意甲方蒐集運用相關醫療資訊，作為後續醫療給付核定依據及效益評估之參考。</w:t>
      </w:r>
    </w:p>
    <w:p w14:paraId="6F0207E6" w14:textId="77777777" w:rsidR="00401786" w:rsidRDefault="00C64FB3" w:rsidP="002144EC">
      <w:pPr>
        <w:numPr>
          <w:ilvl w:val="1"/>
          <w:numId w:val="121"/>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乙方或其法定代理人任一人，如發生聯絡方式(地址、電話…)變更、遷移他地、失蹤或其他情事，致無法按時回院進行療效評估時，乙方及其法定代理人應於事由發生之日起30天以書面通知甲方及施打藥品之特約</w:t>
      </w:r>
      <w:proofErr w:type="gramStart"/>
      <w:r>
        <w:rPr>
          <w:rFonts w:ascii="標楷體" w:eastAsia="標楷體" w:hAnsi="標楷體"/>
          <w:kern w:val="0"/>
          <w:szCs w:val="24"/>
        </w:rPr>
        <w:t>醫</w:t>
      </w:r>
      <w:proofErr w:type="gramEnd"/>
      <w:r>
        <w:rPr>
          <w:rFonts w:ascii="標楷體" w:eastAsia="標楷體" w:hAnsi="標楷體"/>
          <w:kern w:val="0"/>
          <w:szCs w:val="24"/>
        </w:rPr>
        <w:t>事服務機構，並提供變更後可確實連絡之方式與地址，必要時應檢附證明資料。</w:t>
      </w:r>
    </w:p>
    <w:p w14:paraId="3BF5F725" w14:textId="77777777" w:rsidR="00401786" w:rsidRDefault="00C64FB3" w:rsidP="002144EC">
      <w:pPr>
        <w:numPr>
          <w:ilvl w:val="1"/>
          <w:numId w:val="121"/>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本協議書不因乙方之法定代理人變更或喪失資格而失其效力，但乙方之法定代理人變更時，原法定代理人應主動告知繼任者本協議書之存在與內容。</w:t>
      </w:r>
    </w:p>
    <w:p w14:paraId="66171231" w14:textId="77777777" w:rsidR="00401786" w:rsidRDefault="00C64FB3" w:rsidP="002144EC">
      <w:pPr>
        <w:numPr>
          <w:ilvl w:val="1"/>
          <w:numId w:val="121"/>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本協議書簽訂後，如發生法規變更或政策調整或廠商不再提供本協議藥品，甲方得減、免提供乙方本協議藥品，但應依全民健康保險相關法規採取其他方法協助乙方之治療。</w:t>
      </w:r>
    </w:p>
    <w:p w14:paraId="1E21D425" w14:textId="77777777" w:rsidR="00401786" w:rsidRDefault="00C64FB3" w:rsidP="002144EC">
      <w:pPr>
        <w:numPr>
          <w:ilvl w:val="1"/>
          <w:numId w:val="121"/>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乙方及其法定代理人有未遵守本條第一項至</w:t>
      </w:r>
      <w:proofErr w:type="gramStart"/>
      <w:r>
        <w:rPr>
          <w:rFonts w:ascii="標楷體" w:eastAsia="標楷體" w:hAnsi="標楷體"/>
          <w:kern w:val="0"/>
          <w:szCs w:val="24"/>
        </w:rPr>
        <w:t>第四項任</w:t>
      </w:r>
      <w:proofErr w:type="gramEnd"/>
      <w:r>
        <w:rPr>
          <w:rFonts w:ascii="標楷體" w:eastAsia="標楷體" w:hAnsi="標楷體"/>
          <w:kern w:val="0"/>
          <w:szCs w:val="24"/>
        </w:rPr>
        <w:t>一規定時，經甲方或施打藥品之特約</w:t>
      </w:r>
      <w:proofErr w:type="gramStart"/>
      <w:r>
        <w:rPr>
          <w:rFonts w:ascii="標楷體" w:eastAsia="標楷體" w:hAnsi="標楷體"/>
          <w:kern w:val="0"/>
          <w:szCs w:val="24"/>
        </w:rPr>
        <w:t>醫</w:t>
      </w:r>
      <w:proofErr w:type="gramEnd"/>
      <w:r>
        <w:rPr>
          <w:rFonts w:ascii="標楷體" w:eastAsia="標楷體" w:hAnsi="標楷體"/>
          <w:kern w:val="0"/>
          <w:szCs w:val="24"/>
        </w:rPr>
        <w:t>事服務機構通知限期改善而未改善，甲方不予給付後續治療脊髓肌肉萎縮症(Spinal Muscular Atrophy,簡稱SMA)相關用藥及費用。乙方不得異議，亦不得要求任何補償。</w:t>
      </w:r>
    </w:p>
    <w:p w14:paraId="12D449F7" w14:textId="77777777" w:rsidR="00401786" w:rsidRDefault="00C64FB3" w:rsidP="002144EC">
      <w:pPr>
        <w:numPr>
          <w:ilvl w:val="0"/>
          <w:numId w:val="121"/>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本協議書正本二份，副本一份。正本由甲方、乙雙方各執一份存照，副本一份由甲方存照。</w:t>
      </w:r>
    </w:p>
    <w:p w14:paraId="752636E2" w14:textId="77777777" w:rsidR="00401786" w:rsidRDefault="00C64FB3" w:rsidP="002144EC">
      <w:pPr>
        <w:numPr>
          <w:ilvl w:val="0"/>
          <w:numId w:val="121"/>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本協議書之成立、解釋及執行應以中華民國法律為</w:t>
      </w:r>
      <w:proofErr w:type="gramStart"/>
      <w:r>
        <w:rPr>
          <w:rFonts w:ascii="標楷體" w:eastAsia="標楷體" w:hAnsi="標楷體"/>
          <w:szCs w:val="24"/>
        </w:rPr>
        <w:t>準</w:t>
      </w:r>
      <w:proofErr w:type="gramEnd"/>
      <w:r>
        <w:rPr>
          <w:rFonts w:ascii="標楷體" w:eastAsia="標楷體" w:hAnsi="標楷體"/>
          <w:szCs w:val="24"/>
        </w:rPr>
        <w:t>據法，任何因本協議書有關之爭議，應以</w:t>
      </w:r>
      <w:proofErr w:type="gramStart"/>
      <w:r>
        <w:rPr>
          <w:rFonts w:ascii="標楷體" w:eastAsia="標楷體" w:hAnsi="標楷體"/>
          <w:szCs w:val="24"/>
        </w:rPr>
        <w:t>臺</w:t>
      </w:r>
      <w:proofErr w:type="gramEnd"/>
      <w:r>
        <w:rPr>
          <w:rFonts w:ascii="標楷體" w:eastAsia="標楷體" w:hAnsi="標楷體"/>
          <w:szCs w:val="24"/>
        </w:rPr>
        <w:t>北高等行政法院為第一審管轄法院。</w:t>
      </w:r>
    </w:p>
    <w:p w14:paraId="5614781B" w14:textId="77777777" w:rsidR="00401786" w:rsidRDefault="00C64FB3" w:rsidP="002144EC">
      <w:pPr>
        <w:numPr>
          <w:ilvl w:val="0"/>
          <w:numId w:val="121"/>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本協議書未盡事宜，概以全民健康保險法暨相關法規、行政程序法第三章行政契約及民法等辦理或補充之。</w:t>
      </w:r>
    </w:p>
    <w:p w14:paraId="6A509553" w14:textId="77777777" w:rsidR="00401786" w:rsidRDefault="00401786" w:rsidP="008359D5">
      <w:pPr>
        <w:spacing w:line="300" w:lineRule="exact"/>
        <w:ind w:left="851"/>
        <w:jc w:val="both"/>
        <w:rPr>
          <w:rFonts w:ascii="標楷體" w:eastAsia="標楷體" w:hAnsi="標楷體"/>
          <w:szCs w:val="24"/>
        </w:rPr>
      </w:pPr>
    </w:p>
    <w:p w14:paraId="307D721C"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lastRenderedPageBreak/>
        <w:t>甲方：衛生福利部中央健康保險署</w:t>
      </w:r>
    </w:p>
    <w:p w14:paraId="578F77A9"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代表人：○</w:t>
      </w:r>
    </w:p>
    <w:p w14:paraId="35EE5FEB"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地址：臺北市大安區信義路3段140號</w:t>
      </w:r>
    </w:p>
    <w:p w14:paraId="14E285D4"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電話：</w:t>
      </w:r>
    </w:p>
    <w:p w14:paraId="5134C61E" w14:textId="77777777" w:rsidR="00401786" w:rsidRDefault="00401786" w:rsidP="008359D5">
      <w:pPr>
        <w:snapToGrid w:val="0"/>
        <w:spacing w:line="300" w:lineRule="exact"/>
        <w:jc w:val="both"/>
        <w:rPr>
          <w:rFonts w:ascii="標楷體" w:eastAsia="標楷體" w:hAnsi="標楷體"/>
          <w:szCs w:val="24"/>
        </w:rPr>
      </w:pPr>
    </w:p>
    <w:p w14:paraId="70A15E43"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 xml:space="preserve">乙方： </w:t>
      </w:r>
    </w:p>
    <w:p w14:paraId="79AA29B8"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出生日期：</w:t>
      </w:r>
      <w:r>
        <w:rPr>
          <w:rFonts w:ascii="標楷體" w:eastAsia="標楷體" w:hAnsi="標楷體"/>
          <w:szCs w:val="24"/>
        </w:rPr>
        <w:tab/>
      </w:r>
      <w:r>
        <w:rPr>
          <w:rFonts w:ascii="標楷體" w:eastAsia="標楷體" w:hAnsi="標楷體"/>
          <w:szCs w:val="24"/>
        </w:rPr>
        <w:tab/>
        <w:t>年</w:t>
      </w:r>
      <w:r>
        <w:rPr>
          <w:rFonts w:ascii="標楷體" w:eastAsia="標楷體" w:hAnsi="標楷體"/>
          <w:szCs w:val="24"/>
        </w:rPr>
        <w:tab/>
      </w:r>
      <w:r>
        <w:rPr>
          <w:rFonts w:ascii="標楷體" w:eastAsia="標楷體" w:hAnsi="標楷體"/>
          <w:szCs w:val="24"/>
        </w:rPr>
        <w:tab/>
        <w:t>月</w:t>
      </w:r>
      <w:r>
        <w:rPr>
          <w:rFonts w:ascii="標楷體" w:eastAsia="標楷體" w:hAnsi="標楷體"/>
          <w:szCs w:val="24"/>
        </w:rPr>
        <w:tab/>
      </w:r>
      <w:r>
        <w:rPr>
          <w:rFonts w:ascii="標楷體" w:eastAsia="標楷體" w:hAnsi="標楷體"/>
          <w:szCs w:val="24"/>
        </w:rPr>
        <w:tab/>
        <w:t>日</w:t>
      </w:r>
    </w:p>
    <w:p w14:paraId="100F81F1"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身分證號:</w:t>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p>
    <w:p w14:paraId="3DF8A509"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地址：</w:t>
      </w:r>
    </w:p>
    <w:p w14:paraId="06E023BD"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法定代理人（未成年人需經法定代理人之同意）：</w:t>
      </w:r>
    </w:p>
    <w:p w14:paraId="5FC7B87D"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與乙方之關係：</w:t>
      </w:r>
      <w:r>
        <w:rPr>
          <w:rFonts w:ascii="標楷體" w:eastAsia="標楷體" w:hAnsi="標楷體"/>
          <w:szCs w:val="24"/>
        </w:rPr>
        <w:br/>
        <w:t>法定代理人之身分證號：</w:t>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p>
    <w:p w14:paraId="0BFD8169"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 xml:space="preserve">地址： </w:t>
      </w:r>
    </w:p>
    <w:p w14:paraId="175A3F23"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電話：</w:t>
      </w:r>
    </w:p>
    <w:p w14:paraId="7C34D8B5" w14:textId="77777777" w:rsidR="00401786" w:rsidRDefault="00C64FB3" w:rsidP="008359D5">
      <w:pPr>
        <w:spacing w:before="192" w:line="300" w:lineRule="exact"/>
        <w:jc w:val="both"/>
        <w:rPr>
          <w:rFonts w:ascii="標楷體" w:eastAsia="標楷體" w:hAnsi="標楷體"/>
          <w:szCs w:val="24"/>
        </w:rPr>
      </w:pPr>
      <w:r>
        <w:rPr>
          <w:rFonts w:ascii="標楷體" w:eastAsia="標楷體" w:hAnsi="標楷體"/>
          <w:szCs w:val="24"/>
        </w:rPr>
        <w:t>中華民國   年  月  日</w:t>
      </w:r>
    </w:p>
    <w:p w14:paraId="126AA466" w14:textId="77777777" w:rsidR="00401786" w:rsidRDefault="00401786" w:rsidP="008359D5">
      <w:pPr>
        <w:spacing w:line="300" w:lineRule="exact"/>
        <w:rPr>
          <w:szCs w:val="24"/>
        </w:rPr>
      </w:pPr>
    </w:p>
    <w:p w14:paraId="20318E49" w14:textId="77777777" w:rsidR="00E70B56" w:rsidRDefault="00E70B56" w:rsidP="008359D5">
      <w:pPr>
        <w:widowControl/>
        <w:suppressAutoHyphens w:val="0"/>
        <w:spacing w:line="300" w:lineRule="exact"/>
        <w:rPr>
          <w:rFonts w:ascii="標楷體" w:eastAsia="標楷體" w:hAnsi="標楷體"/>
          <w:color w:val="000000"/>
        </w:rPr>
      </w:pPr>
    </w:p>
    <w:p w14:paraId="282C46F6" w14:textId="77777777" w:rsidR="00E70B56" w:rsidRDefault="00E70B56">
      <w:pPr>
        <w:widowControl/>
        <w:suppressAutoHyphens w:val="0"/>
        <w:rPr>
          <w:rFonts w:ascii="標楷體" w:eastAsia="標楷體" w:hAnsi="標楷體"/>
          <w:color w:val="000000"/>
        </w:rPr>
      </w:pPr>
      <w:r>
        <w:rPr>
          <w:rFonts w:ascii="標楷體" w:eastAsia="標楷體" w:hAnsi="標楷體"/>
          <w:color w:val="000000"/>
        </w:rPr>
        <w:br w:type="page"/>
      </w:r>
    </w:p>
    <w:tbl>
      <w:tblPr>
        <w:tblW w:w="8628" w:type="dxa"/>
        <w:jc w:val="center"/>
        <w:tblLayout w:type="fixed"/>
        <w:tblCellMar>
          <w:left w:w="10" w:type="dxa"/>
          <w:right w:w="10" w:type="dxa"/>
        </w:tblCellMar>
        <w:tblLook w:val="0000" w:firstRow="0" w:lastRow="0" w:firstColumn="0" w:lastColumn="0" w:noHBand="0" w:noVBand="0"/>
      </w:tblPr>
      <w:tblGrid>
        <w:gridCol w:w="8628"/>
      </w:tblGrid>
      <w:tr w:rsidR="00E70B56" w:rsidRPr="00DE5003" w14:paraId="4D35E82C" w14:textId="77777777" w:rsidTr="00B75DDD">
        <w:trPr>
          <w:cantSplit/>
          <w:trHeight w:val="568"/>
          <w:jc w:val="center"/>
        </w:trPr>
        <w:tc>
          <w:tcPr>
            <w:tcW w:w="8628" w:type="dxa"/>
            <w:shd w:val="clear" w:color="auto" w:fill="auto"/>
            <w:tcMar>
              <w:top w:w="0" w:type="dxa"/>
              <w:left w:w="28" w:type="dxa"/>
              <w:bottom w:w="0" w:type="dxa"/>
              <w:right w:w="28" w:type="dxa"/>
            </w:tcMar>
          </w:tcPr>
          <w:p w14:paraId="45AB06EF" w14:textId="77777777" w:rsidR="00E70B56" w:rsidRPr="00910CB0" w:rsidRDefault="00E70B56" w:rsidP="00E70B56">
            <w:pPr>
              <w:widowControl/>
              <w:autoSpaceDE w:val="0"/>
              <w:snapToGrid w:val="0"/>
              <w:spacing w:line="400" w:lineRule="exact"/>
              <w:ind w:firstLine="40"/>
              <w:jc w:val="center"/>
              <w:textAlignment w:val="bottom"/>
              <w:rPr>
                <w:rFonts w:ascii="標楷體" w:eastAsia="標楷體" w:hAnsi="標楷體"/>
                <w:b/>
                <w:bCs/>
              </w:rPr>
            </w:pPr>
            <w:r w:rsidRPr="00910CB0">
              <w:rPr>
                <w:rFonts w:ascii="標楷體" w:eastAsia="標楷體" w:hAnsi="標楷體"/>
                <w:b/>
                <w:bCs/>
                <w:color w:val="000000"/>
                <w:sz w:val="28"/>
                <w:szCs w:val="20"/>
              </w:rPr>
              <w:lastRenderedPageBreak/>
              <w:t>附表</w:t>
            </w:r>
            <w:r w:rsidRPr="00910CB0">
              <w:rPr>
                <w:rFonts w:ascii="標楷體" w:eastAsia="標楷體" w:hAnsi="標楷體" w:hint="eastAsia"/>
                <w:b/>
                <w:bCs/>
                <w:color w:val="000000"/>
                <w:sz w:val="28"/>
                <w:szCs w:val="20"/>
              </w:rPr>
              <w:t>三十八</w:t>
            </w:r>
            <w:r w:rsidRPr="00910CB0">
              <w:rPr>
                <w:rFonts w:ascii="標楷體" w:eastAsia="標楷體" w:hAnsi="標楷體"/>
                <w:b/>
                <w:bCs/>
                <w:color w:val="000000"/>
                <w:sz w:val="28"/>
                <w:szCs w:val="20"/>
              </w:rPr>
              <w:t>-</w:t>
            </w:r>
            <w:r w:rsidRPr="00910CB0">
              <w:rPr>
                <w:rFonts w:ascii="標楷體" w:eastAsia="標楷體" w:hAnsi="標楷體"/>
                <w:b/>
                <w:bCs/>
                <w:color w:val="000000"/>
                <w:sz w:val="28"/>
                <w:szCs w:val="20"/>
                <w:u w:val="single"/>
              </w:rPr>
              <w:t>全民健康</w:t>
            </w:r>
            <w:proofErr w:type="gramStart"/>
            <w:r w:rsidRPr="00910CB0">
              <w:rPr>
                <w:rFonts w:ascii="標楷體" w:eastAsia="標楷體" w:hAnsi="標楷體"/>
                <w:b/>
                <w:bCs/>
                <w:color w:val="000000"/>
                <w:sz w:val="28"/>
                <w:szCs w:val="20"/>
                <w:u w:val="single"/>
              </w:rPr>
              <w:t>保險保險</w:t>
            </w:r>
            <w:proofErr w:type="gramEnd"/>
            <w:r w:rsidRPr="00910CB0">
              <w:rPr>
                <w:rFonts w:ascii="標楷體" w:eastAsia="標楷體" w:hAnsi="標楷體"/>
                <w:b/>
                <w:bCs/>
                <w:color w:val="000000"/>
                <w:sz w:val="28"/>
                <w:szCs w:val="20"/>
                <w:u w:val="single"/>
              </w:rPr>
              <w:t>對象使用</w:t>
            </w:r>
            <w:proofErr w:type="spellStart"/>
            <w:r w:rsidRPr="00910CB0">
              <w:rPr>
                <w:rFonts w:ascii="標楷體" w:eastAsia="標楷體" w:hAnsi="標楷體"/>
                <w:b/>
                <w:bCs/>
                <w:color w:val="000000"/>
                <w:sz w:val="28"/>
                <w:szCs w:val="20"/>
                <w:u w:val="single"/>
              </w:rPr>
              <w:t>eladocagene</w:t>
            </w:r>
            <w:proofErr w:type="spellEnd"/>
            <w:r w:rsidRPr="00910CB0">
              <w:rPr>
                <w:rFonts w:ascii="標楷體" w:eastAsia="標楷體" w:hAnsi="標楷體"/>
                <w:b/>
                <w:bCs/>
                <w:color w:val="000000"/>
                <w:sz w:val="28"/>
                <w:szCs w:val="20"/>
                <w:u w:val="single"/>
              </w:rPr>
              <w:t xml:space="preserve"> </w:t>
            </w:r>
            <w:proofErr w:type="spellStart"/>
            <w:r w:rsidRPr="00910CB0">
              <w:rPr>
                <w:rFonts w:ascii="標楷體" w:eastAsia="標楷體" w:hAnsi="標楷體"/>
                <w:b/>
                <w:bCs/>
                <w:color w:val="000000"/>
                <w:sz w:val="28"/>
                <w:szCs w:val="20"/>
                <w:u w:val="single"/>
              </w:rPr>
              <w:t>exuparvovec</w:t>
            </w:r>
            <w:proofErr w:type="spellEnd"/>
            <w:r w:rsidRPr="00910CB0">
              <w:rPr>
                <w:rFonts w:ascii="標楷體" w:eastAsia="標楷體" w:hAnsi="標楷體"/>
                <w:b/>
                <w:bCs/>
                <w:color w:val="000000"/>
                <w:sz w:val="28"/>
                <w:szCs w:val="20"/>
                <w:u w:val="single"/>
              </w:rPr>
              <w:t>基因療法製劑協議書</w:t>
            </w:r>
          </w:p>
        </w:tc>
      </w:tr>
    </w:tbl>
    <w:p w14:paraId="2818C8A9" w14:textId="77777777" w:rsidR="00E70B56" w:rsidRPr="00DE5003" w:rsidRDefault="00E70B56" w:rsidP="00E70B56">
      <w:pPr>
        <w:spacing w:after="192" w:line="400" w:lineRule="exact"/>
        <w:rPr>
          <w:rFonts w:ascii="標楷體" w:eastAsia="標楷體" w:hAnsi="標楷體"/>
          <w:sz w:val="28"/>
          <w:szCs w:val="28"/>
        </w:rPr>
      </w:pPr>
    </w:p>
    <w:p w14:paraId="59D6CBB7" w14:textId="77777777" w:rsidR="00E70B56" w:rsidRPr="00DE5003" w:rsidRDefault="00E70B56" w:rsidP="003B55BA">
      <w:pPr>
        <w:spacing w:after="192" w:line="300" w:lineRule="exact"/>
        <w:rPr>
          <w:rFonts w:ascii="標楷體" w:eastAsia="標楷體" w:hAnsi="標楷體"/>
        </w:rPr>
      </w:pPr>
      <w:r w:rsidRPr="00DE5003">
        <w:rPr>
          <w:rFonts w:ascii="標楷體" w:eastAsia="標楷體" w:hAnsi="標楷體"/>
        </w:rPr>
        <w:t>衛生福利部中央健康</w:t>
      </w:r>
      <w:proofErr w:type="gramStart"/>
      <w:r w:rsidRPr="00DE5003">
        <w:rPr>
          <w:rFonts w:ascii="標楷體" w:eastAsia="標楷體" w:hAnsi="標楷體"/>
        </w:rPr>
        <w:t>保險署</w:t>
      </w:r>
      <w:proofErr w:type="gramEnd"/>
      <w:r w:rsidRPr="00DE5003">
        <w:rPr>
          <w:rFonts w:ascii="標楷體" w:eastAsia="標楷體" w:hAnsi="標楷體"/>
        </w:rPr>
        <w:t>（以下簡稱甲方）為辦理全民健康保險（以下稱本保險）業務與保險對象</w:t>
      </w:r>
      <w:r w:rsidRPr="00DE5003">
        <w:rPr>
          <w:rFonts w:ascii="標楷體" w:eastAsia="標楷體" w:hAnsi="標楷體"/>
          <w:u w:val="single"/>
        </w:rPr>
        <w:t xml:space="preserve">   (姓名)    </w:t>
      </w:r>
      <w:r w:rsidRPr="00DE5003">
        <w:rPr>
          <w:rFonts w:ascii="標楷體" w:eastAsia="標楷體" w:hAnsi="標楷體"/>
        </w:rPr>
        <w:t>（以下簡稱乙方）</w:t>
      </w:r>
      <w:proofErr w:type="gramStart"/>
      <w:r w:rsidRPr="00DE5003">
        <w:rPr>
          <w:rFonts w:ascii="標楷體" w:eastAsia="標楷體" w:hAnsi="標楷體"/>
        </w:rPr>
        <w:t>就含</w:t>
      </w:r>
      <w:bookmarkStart w:id="117" w:name="_Hlk205388592"/>
      <w:proofErr w:type="spellStart"/>
      <w:proofErr w:type="gramEnd"/>
      <w:r w:rsidRPr="00DE5003">
        <w:rPr>
          <w:rFonts w:ascii="標楷體" w:eastAsia="標楷體" w:hAnsi="標楷體"/>
        </w:rPr>
        <w:t>eladocagene</w:t>
      </w:r>
      <w:proofErr w:type="spellEnd"/>
      <w:r w:rsidRPr="00DE5003">
        <w:rPr>
          <w:rFonts w:ascii="標楷體" w:eastAsia="標楷體" w:hAnsi="標楷體"/>
        </w:rPr>
        <w:t xml:space="preserve"> </w:t>
      </w:r>
      <w:proofErr w:type="spellStart"/>
      <w:r w:rsidRPr="00DE5003">
        <w:rPr>
          <w:rFonts w:ascii="標楷體" w:eastAsia="標楷體" w:hAnsi="標楷體"/>
        </w:rPr>
        <w:t>exuparvovec</w:t>
      </w:r>
      <w:bookmarkEnd w:id="117"/>
      <w:proofErr w:type="spellEnd"/>
      <w:r w:rsidRPr="00DE5003">
        <w:rPr>
          <w:rFonts w:ascii="標楷體" w:eastAsia="標楷體" w:hAnsi="標楷體"/>
        </w:rPr>
        <w:t>基因療法製劑（商品名稱為「</w:t>
      </w:r>
      <w:proofErr w:type="spellStart"/>
      <w:r w:rsidRPr="00DE5003">
        <w:rPr>
          <w:rFonts w:ascii="標楷體" w:eastAsia="標楷體" w:hAnsi="標楷體"/>
        </w:rPr>
        <w:t>Upstaza</w:t>
      </w:r>
      <w:proofErr w:type="spellEnd"/>
      <w:r w:rsidRPr="00DE5003">
        <w:rPr>
          <w:rFonts w:ascii="標楷體" w:eastAsia="標楷體" w:hAnsi="標楷體"/>
        </w:rPr>
        <w:t>」，以下簡稱本協議藥品）之給付事宜簽訂本協議書，內容如下：</w:t>
      </w:r>
    </w:p>
    <w:p w14:paraId="205220E5" w14:textId="77777777" w:rsidR="00E70B56" w:rsidRPr="00DE5003" w:rsidRDefault="00E70B56" w:rsidP="002144EC">
      <w:pPr>
        <w:numPr>
          <w:ilvl w:val="0"/>
          <w:numId w:val="121"/>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甲方同意乙方申請使用</w:t>
      </w:r>
      <w:proofErr w:type="spellStart"/>
      <w:r w:rsidRPr="00DE5003">
        <w:rPr>
          <w:rFonts w:ascii="標楷體" w:eastAsia="標楷體" w:hAnsi="標楷體"/>
        </w:rPr>
        <w:t>eladocagene</w:t>
      </w:r>
      <w:proofErr w:type="spellEnd"/>
      <w:r w:rsidRPr="00DE5003">
        <w:rPr>
          <w:rFonts w:ascii="標楷體" w:eastAsia="標楷體" w:hAnsi="標楷體"/>
        </w:rPr>
        <w:t xml:space="preserve"> </w:t>
      </w:r>
      <w:proofErr w:type="spellStart"/>
      <w:r w:rsidRPr="00DE5003">
        <w:rPr>
          <w:rFonts w:ascii="標楷體" w:eastAsia="標楷體" w:hAnsi="標楷體"/>
        </w:rPr>
        <w:t>exuparvovec</w:t>
      </w:r>
      <w:proofErr w:type="spellEnd"/>
      <w:r w:rsidRPr="00DE5003">
        <w:rPr>
          <w:rFonts w:ascii="標楷體" w:eastAsia="標楷體" w:hAnsi="標楷體"/>
        </w:rPr>
        <w:t>基因療法製劑，於符合本協議藥品給付規定並經特殊專案審查核准時，委由本保險特約</w:t>
      </w:r>
      <w:proofErr w:type="gramStart"/>
      <w:r w:rsidRPr="00DE5003">
        <w:rPr>
          <w:rFonts w:ascii="標楷體" w:eastAsia="標楷體" w:hAnsi="標楷體"/>
        </w:rPr>
        <w:t>醫</w:t>
      </w:r>
      <w:proofErr w:type="gramEnd"/>
      <w:r w:rsidRPr="00DE5003">
        <w:rPr>
          <w:rFonts w:ascii="標楷體" w:eastAsia="標楷體" w:hAnsi="標楷體"/>
        </w:rPr>
        <w:t>事服務機構（機構名稱）施打本協議藥品及相關作業事宜。</w:t>
      </w:r>
    </w:p>
    <w:p w14:paraId="09C4BCDF" w14:textId="77777777" w:rsidR="00E70B56" w:rsidRPr="00DE5003" w:rsidRDefault="00E70B56" w:rsidP="002144EC">
      <w:pPr>
        <w:numPr>
          <w:ilvl w:val="0"/>
          <w:numId w:val="121"/>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甲方授權（特約</w:t>
      </w:r>
      <w:proofErr w:type="gramStart"/>
      <w:r w:rsidRPr="00DE5003">
        <w:rPr>
          <w:rFonts w:ascii="標楷體" w:eastAsia="標楷體" w:hAnsi="標楷體"/>
        </w:rPr>
        <w:t>醫</w:t>
      </w:r>
      <w:proofErr w:type="gramEnd"/>
      <w:r w:rsidRPr="00DE5003">
        <w:rPr>
          <w:rFonts w:ascii="標楷體" w:eastAsia="標楷體" w:hAnsi="標楷體"/>
        </w:rPr>
        <w:t>事服務機構名稱）（○○○醫師）代表告知乙方下列事項與應負擔義務，</w:t>
      </w:r>
      <w:proofErr w:type="gramStart"/>
      <w:r w:rsidRPr="00DE5003">
        <w:rPr>
          <w:rFonts w:ascii="標楷體" w:eastAsia="標楷體" w:hAnsi="標楷體"/>
        </w:rPr>
        <w:t>並經乙方</w:t>
      </w:r>
      <w:proofErr w:type="gramEnd"/>
      <w:r w:rsidRPr="00DE5003">
        <w:rPr>
          <w:rFonts w:ascii="標楷體" w:eastAsia="標楷體" w:hAnsi="標楷體"/>
        </w:rPr>
        <w:t>同意如下：</w:t>
      </w:r>
    </w:p>
    <w:p w14:paraId="5B8E7C05" w14:textId="77777777" w:rsidR="00E70B56" w:rsidRPr="00DE5003" w:rsidRDefault="00E70B56" w:rsidP="002144EC">
      <w:pPr>
        <w:numPr>
          <w:ilvl w:val="1"/>
          <w:numId w:val="121"/>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乙方使用</w:t>
      </w:r>
      <w:proofErr w:type="spellStart"/>
      <w:r w:rsidRPr="00DE5003">
        <w:rPr>
          <w:rFonts w:ascii="標楷體" w:eastAsia="標楷體" w:hAnsi="標楷體"/>
          <w:kern w:val="0"/>
        </w:rPr>
        <w:t>eladocagene</w:t>
      </w:r>
      <w:proofErr w:type="spellEnd"/>
      <w:r w:rsidRPr="00DE5003">
        <w:rPr>
          <w:rFonts w:ascii="標楷體" w:eastAsia="標楷體" w:hAnsi="標楷體"/>
          <w:kern w:val="0"/>
        </w:rPr>
        <w:t xml:space="preserve"> </w:t>
      </w:r>
      <w:proofErr w:type="spellStart"/>
      <w:r w:rsidRPr="00DE5003">
        <w:rPr>
          <w:rFonts w:ascii="標楷體" w:eastAsia="標楷體" w:hAnsi="標楷體"/>
          <w:kern w:val="0"/>
        </w:rPr>
        <w:t>exuparvovec</w:t>
      </w:r>
      <w:proofErr w:type="spellEnd"/>
      <w:r w:rsidRPr="00DE5003">
        <w:rPr>
          <w:rFonts w:ascii="標楷體" w:eastAsia="標楷體" w:hAnsi="標楷體"/>
          <w:kern w:val="0"/>
        </w:rPr>
        <w:t>基因療法製劑，需依照本協議藥品給付規定內容（包括且不限於施打劑量、次數、方式、地點），並於使用該基因療法製劑之日起</w:t>
      </w:r>
      <w:r w:rsidRPr="00DE5003">
        <w:rPr>
          <w:rFonts w:ascii="標楷體" w:eastAsia="標楷體" w:hAnsi="標楷體" w:hint="eastAsia"/>
          <w:kern w:val="0"/>
        </w:rPr>
        <w:t>第一年每3個月，之後為每6個月</w:t>
      </w:r>
      <w:r w:rsidRPr="00DE5003">
        <w:rPr>
          <w:rFonts w:ascii="標楷體" w:eastAsia="標楷體" w:hAnsi="標楷體"/>
          <w:kern w:val="0"/>
        </w:rPr>
        <w:t>主動回到施打該藥品之醫院進行療效評估</w:t>
      </w:r>
      <w:r w:rsidRPr="00DE5003">
        <w:rPr>
          <w:rFonts w:ascii="標楷體" w:eastAsia="標楷體" w:hAnsi="標楷體" w:hint="eastAsia"/>
          <w:kern w:val="0"/>
        </w:rPr>
        <w:t>及復健訓練</w:t>
      </w:r>
      <w:r w:rsidRPr="00DE5003">
        <w:rPr>
          <w:rFonts w:ascii="標楷體" w:eastAsia="標楷體" w:hAnsi="標楷體"/>
          <w:kern w:val="0"/>
        </w:rPr>
        <w:t>，且至少持續10年。</w:t>
      </w:r>
    </w:p>
    <w:p w14:paraId="0438B0D3" w14:textId="77777777" w:rsidR="00E70B56" w:rsidRPr="00DE5003" w:rsidRDefault="00E70B56" w:rsidP="002144EC">
      <w:pPr>
        <w:numPr>
          <w:ilvl w:val="1"/>
          <w:numId w:val="121"/>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乙方應配合並同意甲方蒐集運用相關醫療資訊，作為後續醫療給付核定依據及效益評估之參考。</w:t>
      </w:r>
    </w:p>
    <w:p w14:paraId="0DE43C70" w14:textId="77777777" w:rsidR="00E70B56" w:rsidRPr="00DE5003" w:rsidRDefault="00E70B56" w:rsidP="002144EC">
      <w:pPr>
        <w:numPr>
          <w:ilvl w:val="1"/>
          <w:numId w:val="121"/>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乙方或其法定代理人任一人，如發生聯絡方式(地址、電話…)變更、遷移他地或其他情事，致無法按時回院進行療效評估時，乙方及其法定代理人應於事由發生之日起30天</w:t>
      </w:r>
      <w:r w:rsidRPr="00DE5003">
        <w:rPr>
          <w:rFonts w:ascii="標楷體" w:eastAsia="標楷體" w:hAnsi="標楷體" w:hint="eastAsia"/>
          <w:kern w:val="0"/>
        </w:rPr>
        <w:t>內</w:t>
      </w:r>
      <w:r w:rsidRPr="00DE5003">
        <w:rPr>
          <w:rFonts w:ascii="標楷體" w:eastAsia="標楷體" w:hAnsi="標楷體"/>
          <w:kern w:val="0"/>
        </w:rPr>
        <w:t>以書面通知甲方及施打藥品之特約</w:t>
      </w:r>
      <w:proofErr w:type="gramStart"/>
      <w:r w:rsidRPr="00DE5003">
        <w:rPr>
          <w:rFonts w:ascii="標楷體" w:eastAsia="標楷體" w:hAnsi="標楷體"/>
          <w:kern w:val="0"/>
        </w:rPr>
        <w:t>醫</w:t>
      </w:r>
      <w:proofErr w:type="gramEnd"/>
      <w:r w:rsidRPr="00DE5003">
        <w:rPr>
          <w:rFonts w:ascii="標楷體" w:eastAsia="標楷體" w:hAnsi="標楷體"/>
          <w:kern w:val="0"/>
        </w:rPr>
        <w:t>事服務機構，並提供變更後可確實連絡之方式與地址，必要時應檢附證明資料。</w:t>
      </w:r>
    </w:p>
    <w:p w14:paraId="07EF477E" w14:textId="77777777" w:rsidR="00E70B56" w:rsidRPr="00DE5003" w:rsidRDefault="00E70B56" w:rsidP="002144EC">
      <w:pPr>
        <w:numPr>
          <w:ilvl w:val="1"/>
          <w:numId w:val="121"/>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本協議書不因乙方之法定代理人變更或喪失資格而失其效力，但乙方之法定代理人變更時，原法定代理人應主動告知繼任者本協議書之存在與內容。</w:t>
      </w:r>
    </w:p>
    <w:p w14:paraId="01966619" w14:textId="77777777" w:rsidR="00E70B56" w:rsidRPr="00DE5003" w:rsidRDefault="00E70B56" w:rsidP="002144EC">
      <w:pPr>
        <w:numPr>
          <w:ilvl w:val="1"/>
          <w:numId w:val="121"/>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本協議書簽訂後，如發生法規變更或政策調整或廠商不再提供本協議藥品，甲方得減、免提供乙方本協議藥品，但應依全民健康保險相關法規採取其他方法協助乙方之治療。</w:t>
      </w:r>
    </w:p>
    <w:p w14:paraId="01D77ED7" w14:textId="77777777" w:rsidR="00E70B56" w:rsidRPr="00DE5003" w:rsidRDefault="00E70B56" w:rsidP="002144EC">
      <w:pPr>
        <w:numPr>
          <w:ilvl w:val="1"/>
          <w:numId w:val="121"/>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乙方及其法定代理人有未遵守本條第一項至</w:t>
      </w:r>
      <w:proofErr w:type="gramStart"/>
      <w:r w:rsidRPr="00DE5003">
        <w:rPr>
          <w:rFonts w:ascii="標楷體" w:eastAsia="標楷體" w:hAnsi="標楷體"/>
          <w:kern w:val="0"/>
        </w:rPr>
        <w:t>第四項任</w:t>
      </w:r>
      <w:proofErr w:type="gramEnd"/>
      <w:r w:rsidRPr="00DE5003">
        <w:rPr>
          <w:rFonts w:ascii="標楷體" w:eastAsia="標楷體" w:hAnsi="標楷體"/>
          <w:kern w:val="0"/>
        </w:rPr>
        <w:t>一規定時，經甲方或施打藥品之特約</w:t>
      </w:r>
      <w:proofErr w:type="gramStart"/>
      <w:r w:rsidRPr="00DE5003">
        <w:rPr>
          <w:rFonts w:ascii="標楷體" w:eastAsia="標楷體" w:hAnsi="標楷體"/>
          <w:kern w:val="0"/>
        </w:rPr>
        <w:t>醫</w:t>
      </w:r>
      <w:proofErr w:type="gramEnd"/>
      <w:r w:rsidRPr="00DE5003">
        <w:rPr>
          <w:rFonts w:ascii="標楷體" w:eastAsia="標楷體" w:hAnsi="標楷體"/>
          <w:kern w:val="0"/>
        </w:rPr>
        <w:t>事服務機構通知限期改善而未改善，甲方不予給付後續治療</w:t>
      </w:r>
      <w:r w:rsidRPr="00DE5003">
        <w:rPr>
          <w:rFonts w:ascii="標楷體" w:eastAsia="標楷體" w:hAnsi="標楷體" w:hint="eastAsia"/>
          <w:kern w:val="0"/>
        </w:rPr>
        <w:t>芳香族</w:t>
      </w:r>
      <w:r w:rsidRPr="00DE5003">
        <w:rPr>
          <w:rFonts w:ascii="標楷體" w:eastAsia="標楷體" w:hAnsi="標楷體"/>
          <w:kern w:val="0"/>
        </w:rPr>
        <w:t>L-</w:t>
      </w:r>
      <w:r w:rsidRPr="00DE5003">
        <w:rPr>
          <w:rFonts w:ascii="標楷體" w:eastAsia="標楷體" w:hAnsi="標楷體" w:hint="eastAsia"/>
          <w:kern w:val="0"/>
        </w:rPr>
        <w:t>胺基</w:t>
      </w:r>
      <w:proofErr w:type="gramStart"/>
      <w:r w:rsidRPr="00DE5003">
        <w:rPr>
          <w:rFonts w:ascii="標楷體" w:eastAsia="標楷體" w:hAnsi="標楷體" w:hint="eastAsia"/>
          <w:kern w:val="0"/>
        </w:rPr>
        <w:t>酸類脫羧基</w:t>
      </w:r>
      <w:proofErr w:type="gramEnd"/>
      <w:r w:rsidRPr="00DE5003">
        <w:rPr>
          <w:rFonts w:ascii="標楷體" w:eastAsia="標楷體" w:hAnsi="標楷體" w:hint="eastAsia"/>
          <w:kern w:val="0"/>
        </w:rPr>
        <w:t>酶缺乏症</w:t>
      </w:r>
      <w:r w:rsidRPr="00DE5003">
        <w:rPr>
          <w:rFonts w:ascii="標楷體" w:eastAsia="標楷體" w:hAnsi="標楷體"/>
          <w:kern w:val="0"/>
        </w:rPr>
        <w:t>(Aromatic L-Amino acid decarboxylase deficiency, AADC deficiency)相關用藥及費用。乙方不得異議，亦不得要求任何補償。</w:t>
      </w:r>
    </w:p>
    <w:p w14:paraId="4329A299" w14:textId="77777777" w:rsidR="00E70B56" w:rsidRPr="00DE5003" w:rsidRDefault="00E70B56" w:rsidP="002144EC">
      <w:pPr>
        <w:numPr>
          <w:ilvl w:val="0"/>
          <w:numId w:val="121"/>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本協議書正本二份，副本一份。正本由甲方、乙雙方各執一份存照，副本一份由甲方存照。</w:t>
      </w:r>
    </w:p>
    <w:p w14:paraId="2F4F982B" w14:textId="77777777" w:rsidR="00E70B56" w:rsidRPr="00DE5003" w:rsidRDefault="00E70B56" w:rsidP="002144EC">
      <w:pPr>
        <w:numPr>
          <w:ilvl w:val="0"/>
          <w:numId w:val="121"/>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本協議書之成立、解釋及執行應以中華民國法律為</w:t>
      </w:r>
      <w:proofErr w:type="gramStart"/>
      <w:r w:rsidRPr="00DE5003">
        <w:rPr>
          <w:rFonts w:ascii="標楷體" w:eastAsia="標楷體" w:hAnsi="標楷體"/>
        </w:rPr>
        <w:t>準</w:t>
      </w:r>
      <w:proofErr w:type="gramEnd"/>
      <w:r w:rsidRPr="00DE5003">
        <w:rPr>
          <w:rFonts w:ascii="標楷體" w:eastAsia="標楷體" w:hAnsi="標楷體"/>
        </w:rPr>
        <w:t>據法，任何因本協議書有關之爭議，應以</w:t>
      </w:r>
      <w:proofErr w:type="gramStart"/>
      <w:r w:rsidRPr="00DE5003">
        <w:rPr>
          <w:rFonts w:ascii="標楷體" w:eastAsia="標楷體" w:hAnsi="標楷體"/>
        </w:rPr>
        <w:t>臺</w:t>
      </w:r>
      <w:proofErr w:type="gramEnd"/>
      <w:r w:rsidRPr="00DE5003">
        <w:rPr>
          <w:rFonts w:ascii="標楷體" w:eastAsia="標楷體" w:hAnsi="標楷體"/>
        </w:rPr>
        <w:t>北高等行政法院為第一審管轄法院。</w:t>
      </w:r>
    </w:p>
    <w:p w14:paraId="1B8D66EA" w14:textId="77777777" w:rsidR="00E70B56" w:rsidRPr="00DE5003" w:rsidRDefault="00E70B56" w:rsidP="002144EC">
      <w:pPr>
        <w:numPr>
          <w:ilvl w:val="0"/>
          <w:numId w:val="121"/>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本協議書未盡事宜，概以全民健康保險法暨相關法規、行政程序法第三章行政契約及民法等辦理或補充之。</w:t>
      </w:r>
    </w:p>
    <w:p w14:paraId="1AB1E8D1" w14:textId="77777777" w:rsidR="00E70B56" w:rsidRPr="00DE5003" w:rsidRDefault="00E70B56" w:rsidP="003B55BA">
      <w:pPr>
        <w:spacing w:line="300" w:lineRule="exact"/>
        <w:ind w:left="851"/>
        <w:jc w:val="both"/>
        <w:rPr>
          <w:rFonts w:ascii="標楷體" w:eastAsia="標楷體" w:hAnsi="標楷體"/>
        </w:rPr>
      </w:pPr>
    </w:p>
    <w:p w14:paraId="363D4A2E"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甲方：衛生福利部中央健康保險署</w:t>
      </w:r>
    </w:p>
    <w:p w14:paraId="68539FA6"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代表人：</w:t>
      </w:r>
    </w:p>
    <w:p w14:paraId="6B209472"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地址：臺北市大安區信義路3段140號</w:t>
      </w:r>
    </w:p>
    <w:p w14:paraId="5BEBBDE4"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lastRenderedPageBreak/>
        <w:t>電話：</w:t>
      </w:r>
    </w:p>
    <w:p w14:paraId="7DE0C3FE" w14:textId="77777777" w:rsidR="00E70B56" w:rsidRPr="00DE5003" w:rsidRDefault="00E70B56" w:rsidP="003B55BA">
      <w:pPr>
        <w:snapToGrid w:val="0"/>
        <w:spacing w:line="300" w:lineRule="exact"/>
        <w:jc w:val="both"/>
        <w:rPr>
          <w:rFonts w:ascii="標楷體" w:eastAsia="標楷體" w:hAnsi="標楷體"/>
        </w:rPr>
      </w:pPr>
    </w:p>
    <w:p w14:paraId="32CBE441"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 xml:space="preserve">乙方： </w:t>
      </w:r>
    </w:p>
    <w:p w14:paraId="53006A8D"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出生日期：</w:t>
      </w:r>
      <w:r w:rsidRPr="00DE5003">
        <w:rPr>
          <w:rFonts w:ascii="標楷體" w:eastAsia="標楷體" w:hAnsi="標楷體"/>
        </w:rPr>
        <w:tab/>
      </w:r>
      <w:r w:rsidRPr="00DE5003">
        <w:rPr>
          <w:rFonts w:ascii="標楷體" w:eastAsia="標楷體" w:hAnsi="標楷體"/>
        </w:rPr>
        <w:tab/>
        <w:t>年</w:t>
      </w:r>
      <w:r w:rsidRPr="00DE5003">
        <w:rPr>
          <w:rFonts w:ascii="標楷體" w:eastAsia="標楷體" w:hAnsi="標楷體"/>
        </w:rPr>
        <w:tab/>
      </w:r>
      <w:r w:rsidRPr="00DE5003">
        <w:rPr>
          <w:rFonts w:ascii="標楷體" w:eastAsia="標楷體" w:hAnsi="標楷體"/>
        </w:rPr>
        <w:tab/>
        <w:t>月</w:t>
      </w:r>
      <w:r w:rsidRPr="00DE5003">
        <w:rPr>
          <w:rFonts w:ascii="標楷體" w:eastAsia="標楷體" w:hAnsi="標楷體"/>
        </w:rPr>
        <w:tab/>
      </w:r>
      <w:r w:rsidRPr="00DE5003">
        <w:rPr>
          <w:rFonts w:ascii="標楷體" w:eastAsia="標楷體" w:hAnsi="標楷體"/>
        </w:rPr>
        <w:tab/>
        <w:t>日</w:t>
      </w:r>
    </w:p>
    <w:p w14:paraId="5204945D"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身分證號:</w:t>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p>
    <w:p w14:paraId="14BC9844"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地址：</w:t>
      </w:r>
    </w:p>
    <w:p w14:paraId="222A326F"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法定代理人（未成年人需經法定代理人之同意）：</w:t>
      </w:r>
    </w:p>
    <w:p w14:paraId="47DD9BF9"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與乙方之關係：</w:t>
      </w:r>
      <w:r w:rsidRPr="00DE5003">
        <w:rPr>
          <w:rFonts w:ascii="標楷體" w:eastAsia="標楷體" w:hAnsi="標楷體"/>
        </w:rPr>
        <w:br/>
        <w:t>法定代理人之身分證號：</w:t>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p>
    <w:p w14:paraId="1BB57C85"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 xml:space="preserve">地址： </w:t>
      </w:r>
    </w:p>
    <w:p w14:paraId="1C76C4B9"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電話：</w:t>
      </w:r>
    </w:p>
    <w:p w14:paraId="1365AED9" w14:textId="77777777" w:rsidR="00E70B56" w:rsidRPr="00DE5003" w:rsidRDefault="00E70B56" w:rsidP="003B55BA">
      <w:pPr>
        <w:spacing w:before="192" w:line="300" w:lineRule="exact"/>
        <w:jc w:val="both"/>
        <w:rPr>
          <w:rFonts w:ascii="標楷體" w:eastAsia="標楷體" w:hAnsi="標楷體"/>
        </w:rPr>
      </w:pPr>
      <w:r w:rsidRPr="00DE5003">
        <w:rPr>
          <w:rFonts w:ascii="標楷體" w:eastAsia="標楷體" w:hAnsi="標楷體"/>
        </w:rPr>
        <w:t>中華民國   年  月  日</w:t>
      </w:r>
    </w:p>
    <w:p w14:paraId="3EF172CE" w14:textId="748CB02D" w:rsidR="005231ED" w:rsidRDefault="005231ED" w:rsidP="000E757E">
      <w:pPr>
        <w:widowControl/>
        <w:suppressAutoHyphens w:val="0"/>
        <w:spacing w:line="240" w:lineRule="atLeast"/>
        <w:rPr>
          <w:rFonts w:ascii="標楷體" w:eastAsia="標楷體" w:hAnsi="標楷體"/>
          <w:color w:val="000000"/>
        </w:rPr>
      </w:pPr>
    </w:p>
    <w:p w14:paraId="544F972C" w14:textId="77777777" w:rsidR="005231ED" w:rsidRDefault="005231ED">
      <w:pPr>
        <w:widowControl/>
        <w:suppressAutoHyphens w:val="0"/>
        <w:rPr>
          <w:rFonts w:ascii="標楷體" w:eastAsia="標楷體" w:hAnsi="標楷體"/>
          <w:color w:val="000000"/>
        </w:rPr>
      </w:pPr>
      <w:r>
        <w:rPr>
          <w:rFonts w:ascii="標楷體" w:eastAsia="標楷體" w:hAnsi="標楷體"/>
          <w:color w:val="000000"/>
        </w:rPr>
        <w:br w:type="page"/>
      </w:r>
    </w:p>
    <w:p w14:paraId="676A674F" w14:textId="77777777" w:rsidR="005231ED" w:rsidRPr="005231ED" w:rsidRDefault="005231ED" w:rsidP="005231ED">
      <w:pPr>
        <w:widowControl/>
        <w:suppressAutoHyphens w:val="0"/>
        <w:autoSpaceDN/>
        <w:spacing w:line="400" w:lineRule="exact"/>
        <w:ind w:leftChars="-118" w:left="-283" w:rightChars="-119" w:right="-286"/>
        <w:jc w:val="center"/>
        <w:textAlignment w:val="auto"/>
        <w:rPr>
          <w:rFonts w:ascii="標楷體" w:eastAsia="標楷體" w:hAnsi="標楷體" w:cs="新細明體"/>
          <w:b/>
          <w:kern w:val="0"/>
          <w:sz w:val="28"/>
          <w:szCs w:val="24"/>
        </w:rPr>
      </w:pPr>
      <w:r w:rsidRPr="005231ED">
        <w:rPr>
          <w:rFonts w:ascii="新細明體" w:eastAsia="標楷體" w:hAnsi="新細明體" w:cs="新細明體" w:hint="eastAsia"/>
          <w:b/>
          <w:bCs/>
          <w:kern w:val="0"/>
          <w:sz w:val="28"/>
          <w:szCs w:val="28"/>
        </w:rPr>
        <w:lastRenderedPageBreak/>
        <w:t>附表三十九</w:t>
      </w:r>
      <w:r w:rsidRPr="005231ED">
        <w:rPr>
          <w:rFonts w:ascii="新細明體" w:eastAsia="標楷體" w:hAnsi="新細明體" w:cs="新細明體" w:hint="eastAsia"/>
          <w:b/>
          <w:bCs/>
          <w:kern w:val="0"/>
          <w:sz w:val="28"/>
          <w:szCs w:val="28"/>
        </w:rPr>
        <w:t xml:space="preserve"> </w:t>
      </w:r>
      <w:r w:rsidRPr="005231ED">
        <w:rPr>
          <w:rFonts w:ascii="標楷體" w:eastAsia="標楷體" w:hAnsi="標楷體" w:cs="新細明體" w:hint="eastAsia"/>
          <w:b/>
          <w:sz w:val="28"/>
          <w:szCs w:val="24"/>
        </w:rPr>
        <w:t>全民健康保險阿拉吉歐症候群(ALGS)與進行性</w:t>
      </w:r>
      <w:proofErr w:type="gramStart"/>
      <w:r w:rsidRPr="005231ED">
        <w:rPr>
          <w:rFonts w:ascii="標楷體" w:eastAsia="標楷體" w:hAnsi="標楷體" w:cs="新細明體" w:hint="eastAsia"/>
          <w:b/>
          <w:sz w:val="28"/>
          <w:szCs w:val="24"/>
        </w:rPr>
        <w:t>家族性肝內</w:t>
      </w:r>
      <w:proofErr w:type="gramEnd"/>
      <w:r w:rsidRPr="005231ED">
        <w:rPr>
          <w:rFonts w:ascii="標楷體" w:eastAsia="標楷體" w:hAnsi="標楷體" w:cs="新細明體" w:hint="eastAsia"/>
          <w:b/>
          <w:sz w:val="28"/>
          <w:szCs w:val="24"/>
        </w:rPr>
        <w:t>膽汁滯留症(PFIC)使用</w:t>
      </w:r>
      <w:proofErr w:type="spellStart"/>
      <w:r w:rsidRPr="005231ED">
        <w:rPr>
          <w:rFonts w:ascii="標楷體" w:eastAsia="標楷體" w:hAnsi="標楷體" w:cs="新細明體" w:hint="eastAsia"/>
          <w:b/>
          <w:sz w:val="28"/>
          <w:szCs w:val="24"/>
        </w:rPr>
        <w:t>Livmarli</w:t>
      </w:r>
      <w:proofErr w:type="spellEnd"/>
      <w:r w:rsidRPr="005231ED">
        <w:rPr>
          <w:rFonts w:ascii="標楷體" w:eastAsia="標楷體" w:hAnsi="標楷體" w:cs="新細明體" w:hint="eastAsia"/>
          <w:b/>
          <w:sz w:val="28"/>
          <w:szCs w:val="24"/>
        </w:rPr>
        <w:t xml:space="preserve"> (</w:t>
      </w:r>
      <w:proofErr w:type="spellStart"/>
      <w:r w:rsidRPr="005231ED">
        <w:rPr>
          <w:rFonts w:ascii="標楷體" w:eastAsia="標楷體" w:hAnsi="標楷體" w:cs="新細明體" w:hint="eastAsia"/>
          <w:b/>
          <w:sz w:val="28"/>
          <w:szCs w:val="24"/>
        </w:rPr>
        <w:t>maralixibat</w:t>
      </w:r>
      <w:proofErr w:type="spellEnd"/>
      <w:r w:rsidRPr="005231ED">
        <w:rPr>
          <w:rFonts w:ascii="標楷體" w:eastAsia="標楷體" w:hAnsi="標楷體" w:cs="新細明體" w:hint="eastAsia"/>
          <w:b/>
          <w:sz w:val="28"/>
          <w:szCs w:val="24"/>
        </w:rPr>
        <w:t xml:space="preserve"> chloride)申請表</w:t>
      </w:r>
    </w:p>
    <w:tbl>
      <w:tblPr>
        <w:tblW w:w="9789" w:type="dxa"/>
        <w:jc w:val="center"/>
        <w:tblLayout w:type="fixed"/>
        <w:tblCellMar>
          <w:left w:w="10" w:type="dxa"/>
          <w:right w:w="10" w:type="dxa"/>
        </w:tblCellMar>
        <w:tblLook w:val="0000" w:firstRow="0" w:lastRow="0" w:firstColumn="0" w:lastColumn="0" w:noHBand="0" w:noVBand="0"/>
      </w:tblPr>
      <w:tblGrid>
        <w:gridCol w:w="1476"/>
        <w:gridCol w:w="1547"/>
        <w:gridCol w:w="1408"/>
        <w:gridCol w:w="1601"/>
        <w:gridCol w:w="37"/>
        <w:gridCol w:w="1013"/>
        <w:gridCol w:w="2697"/>
        <w:gridCol w:w="10"/>
      </w:tblGrid>
      <w:tr w:rsidR="005231ED" w:rsidRPr="005231ED" w14:paraId="76186C2E" w14:textId="77777777" w:rsidTr="007A65DC">
        <w:trPr>
          <w:gridAfter w:val="1"/>
          <w:wAfter w:w="10" w:type="dxa"/>
          <w:cantSplit/>
          <w:trHeight w:val="376"/>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0A24FA"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kern w:val="0"/>
                <w:sz w:val="28"/>
                <w:szCs w:val="28"/>
              </w:rPr>
              <w:br w:type="page"/>
            </w:r>
            <w:r w:rsidRPr="005231ED">
              <w:rPr>
                <w:rFonts w:ascii="標楷體" w:eastAsia="標楷體" w:hAnsi="標楷體" w:cs="新細明體"/>
                <w:szCs w:val="24"/>
              </w:rPr>
              <w:t>醫院代號</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38397E83" w14:textId="77777777" w:rsidR="005231ED" w:rsidRPr="005231ED" w:rsidRDefault="005231ED" w:rsidP="005231ED">
            <w:pPr>
              <w:widowControl/>
              <w:snapToGrid w:val="0"/>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B72C74"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szCs w:val="24"/>
              </w:rPr>
              <w:t>醫院名稱</w:t>
            </w:r>
          </w:p>
        </w:tc>
        <w:tc>
          <w:tcPr>
            <w:tcW w:w="160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E310ED8" w14:textId="77777777" w:rsidR="005231ED" w:rsidRPr="005231ED" w:rsidRDefault="005231ED" w:rsidP="005231ED">
            <w:pPr>
              <w:widowControl/>
              <w:snapToGrid w:val="0"/>
              <w:spacing w:line="300" w:lineRule="exact"/>
              <w:rPr>
                <w:rFonts w:ascii="標楷體" w:eastAsia="標楷體" w:hAnsi="標楷體" w:cs="新細明體"/>
                <w:szCs w:val="24"/>
              </w:rPr>
            </w:pPr>
          </w:p>
        </w:tc>
        <w:tc>
          <w:tcPr>
            <w:tcW w:w="105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1350DC"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szCs w:val="24"/>
              </w:rPr>
              <w:t>申請日期</w:t>
            </w: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11B9F9"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szCs w:val="24"/>
              </w:rPr>
              <w:t xml:space="preserve">　    年  月  日</w:t>
            </w:r>
          </w:p>
        </w:tc>
      </w:tr>
      <w:tr w:rsidR="005231ED" w:rsidRPr="005231ED" w14:paraId="641F9F86" w14:textId="77777777" w:rsidTr="007A65DC">
        <w:trPr>
          <w:gridAfter w:val="1"/>
          <w:wAfter w:w="10" w:type="dxa"/>
          <w:cantSplit/>
          <w:trHeight w:val="332"/>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FB220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病人姓名</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3A55A0E4" w14:textId="77777777" w:rsidR="005231ED" w:rsidRPr="005231ED" w:rsidRDefault="005231ED" w:rsidP="005231ED">
            <w:pPr>
              <w:widowControl/>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20A1AB5"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性別</w:t>
            </w:r>
          </w:p>
        </w:tc>
        <w:tc>
          <w:tcPr>
            <w:tcW w:w="1601"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58AF36FE" w14:textId="77777777" w:rsidR="005231ED" w:rsidRPr="005231ED" w:rsidRDefault="005231ED" w:rsidP="005231ED">
            <w:pPr>
              <w:widowControl/>
              <w:spacing w:line="300" w:lineRule="exact"/>
              <w:rPr>
                <w:rFonts w:ascii="標楷體" w:eastAsia="標楷體" w:hAnsi="標楷體" w:cs="新細明體"/>
                <w:szCs w:val="24"/>
              </w:rPr>
            </w:pPr>
          </w:p>
        </w:tc>
        <w:tc>
          <w:tcPr>
            <w:tcW w:w="105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DD92AE"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出生日期</w:t>
            </w: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50F6F9"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 xml:space="preserve">　　  年  月  日</w:t>
            </w:r>
          </w:p>
        </w:tc>
      </w:tr>
      <w:tr w:rsidR="005231ED" w:rsidRPr="005231ED" w14:paraId="0929D636" w14:textId="77777777" w:rsidTr="007A65DC">
        <w:trPr>
          <w:gridAfter w:val="1"/>
          <w:wAfter w:w="10" w:type="dxa"/>
          <w:cantSplit/>
          <w:trHeight w:val="356"/>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C37B531"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身分證號</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702EE6A6" w14:textId="77777777" w:rsidR="005231ED" w:rsidRPr="005231ED" w:rsidRDefault="005231ED" w:rsidP="005231ED">
            <w:pPr>
              <w:widowControl/>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5363F1"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病歷號碼</w:t>
            </w:r>
          </w:p>
        </w:tc>
        <w:tc>
          <w:tcPr>
            <w:tcW w:w="1601"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642DF548" w14:textId="77777777" w:rsidR="005231ED" w:rsidRPr="005231ED" w:rsidRDefault="005231ED" w:rsidP="005231ED">
            <w:pPr>
              <w:widowControl/>
              <w:spacing w:line="300" w:lineRule="exact"/>
              <w:rPr>
                <w:rFonts w:ascii="標楷體" w:eastAsia="標楷體" w:hAnsi="標楷體" w:cs="新細明體"/>
                <w:szCs w:val="24"/>
              </w:rPr>
            </w:pPr>
          </w:p>
        </w:tc>
        <w:tc>
          <w:tcPr>
            <w:tcW w:w="1050" w:type="dxa"/>
            <w:gridSpan w:val="2"/>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27B81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使用期間</w:t>
            </w: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CE9B54"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自    年    月　　日</w:t>
            </w:r>
          </w:p>
        </w:tc>
      </w:tr>
      <w:tr w:rsidR="005231ED" w:rsidRPr="005231ED" w14:paraId="2A99DA5D" w14:textId="77777777" w:rsidTr="007A65DC">
        <w:trPr>
          <w:gridAfter w:val="1"/>
          <w:wAfter w:w="10" w:type="dxa"/>
          <w:cantSplit/>
          <w:trHeight w:val="337"/>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0B904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藥品代碼</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47AB22FA" w14:textId="77777777" w:rsidR="005231ED" w:rsidRPr="005231ED" w:rsidRDefault="005231ED" w:rsidP="005231ED">
            <w:pPr>
              <w:widowControl/>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699E3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用法用量</w:t>
            </w:r>
          </w:p>
        </w:tc>
        <w:tc>
          <w:tcPr>
            <w:tcW w:w="1601"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6DE7BC88" w14:textId="77777777" w:rsidR="005231ED" w:rsidRPr="005231ED" w:rsidRDefault="005231ED" w:rsidP="005231ED">
            <w:pPr>
              <w:widowControl/>
              <w:spacing w:line="300" w:lineRule="exact"/>
              <w:rPr>
                <w:rFonts w:ascii="標楷體" w:eastAsia="標楷體" w:hAnsi="標楷體" w:cs="新細明體"/>
                <w:szCs w:val="24"/>
              </w:rPr>
            </w:pPr>
          </w:p>
        </w:tc>
        <w:tc>
          <w:tcPr>
            <w:tcW w:w="1050" w:type="dxa"/>
            <w:gridSpan w:val="2"/>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38A6B6" w14:textId="77777777" w:rsidR="005231ED" w:rsidRPr="005231ED" w:rsidRDefault="005231ED" w:rsidP="005231ED">
            <w:pPr>
              <w:widowControl/>
              <w:spacing w:line="300" w:lineRule="exact"/>
              <w:rPr>
                <w:rFonts w:ascii="標楷體" w:eastAsia="標楷體" w:hAnsi="標楷體" w:cs="新細明體"/>
                <w:szCs w:val="24"/>
              </w:rPr>
            </w:pP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609752"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至　　年　　月　　日</w:t>
            </w:r>
          </w:p>
        </w:tc>
      </w:tr>
      <w:tr w:rsidR="005231ED" w:rsidRPr="005231ED" w14:paraId="2891475E" w14:textId="77777777" w:rsidTr="005231ED">
        <w:trPr>
          <w:trHeight w:val="9215"/>
          <w:jc w:val="center"/>
        </w:trPr>
        <w:tc>
          <w:tcPr>
            <w:tcW w:w="9789" w:type="dxa"/>
            <w:gridSpan w:val="8"/>
            <w:tcBorders>
              <w:top w:val="double" w:sz="4" w:space="0" w:color="000000"/>
              <w:left w:val="double" w:sz="4" w:space="0" w:color="000000"/>
              <w:bottom w:val="double" w:sz="4" w:space="0" w:color="000000"/>
              <w:right w:val="double" w:sz="4" w:space="0" w:color="000000"/>
            </w:tcBorders>
            <w:tcMar>
              <w:top w:w="0" w:type="dxa"/>
              <w:left w:w="108" w:type="dxa"/>
              <w:bottom w:w="0" w:type="dxa"/>
              <w:right w:w="108" w:type="dxa"/>
            </w:tcMar>
          </w:tcPr>
          <w:p w14:paraId="6B5AF6C0" w14:textId="77777777" w:rsidR="005231ED" w:rsidRPr="005231ED" w:rsidRDefault="005231ED" w:rsidP="005231ED">
            <w:pPr>
              <w:widowControl/>
              <w:ind w:left="720"/>
              <w:contextualSpacing/>
              <w:rPr>
                <w:rFonts w:ascii="標楷體" w:eastAsia="標楷體" w:hAnsi="標楷體" w:cs="新細明體"/>
                <w:szCs w:val="24"/>
              </w:rPr>
            </w:pPr>
            <w:r w:rsidRPr="005231ED">
              <w:rPr>
                <w:rFonts w:ascii="標楷體" w:eastAsia="標楷體" w:hAnsi="標楷體" w:cs="新細明體"/>
                <w:b/>
                <w:bCs/>
                <w:szCs w:val="17"/>
              </w:rPr>
              <w:sym w:font="Webdings" w:char="F063"/>
            </w:r>
            <w:r w:rsidRPr="005231ED">
              <w:rPr>
                <w:rFonts w:ascii="標楷體" w:eastAsia="標楷體" w:hAnsi="標楷體" w:cs="新細明體"/>
                <w:b/>
                <w:bCs/>
                <w:szCs w:val="17"/>
              </w:rPr>
              <w:t>符合下列所有條件：</w:t>
            </w:r>
          </w:p>
          <w:p w14:paraId="1BB92335"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新細明體"/>
                <w:b/>
                <w:bCs/>
                <w:szCs w:val="17"/>
              </w:rPr>
              <w:sym w:font="Webdings" w:char="F063"/>
            </w:r>
            <w:r w:rsidRPr="005231ED">
              <w:rPr>
                <w:rFonts w:ascii="標楷體" w:eastAsia="標楷體" w:hAnsi="標楷體" w:cs="新細明體"/>
                <w:szCs w:val="24"/>
              </w:rPr>
              <w:t>診斷</w:t>
            </w:r>
            <w:r w:rsidRPr="005231ED">
              <w:rPr>
                <w:rFonts w:ascii="標楷體" w:eastAsia="標楷體" w:hAnsi="標楷體" w:cs="新細明體" w:hint="eastAsia"/>
                <w:szCs w:val="24"/>
              </w:rPr>
              <w:t>為經衛生福</w:t>
            </w:r>
            <w:r w:rsidRPr="005231ED">
              <w:rPr>
                <w:rFonts w:ascii="標楷體" w:eastAsia="標楷體" w:hAnsi="標楷體" w:cs="Calibri"/>
                <w:szCs w:val="24"/>
              </w:rPr>
              <w:t>利部國民</w:t>
            </w:r>
            <w:proofErr w:type="gramStart"/>
            <w:r w:rsidRPr="005231ED">
              <w:rPr>
                <w:rFonts w:ascii="標楷體" w:eastAsia="標楷體" w:hAnsi="標楷體" w:cs="Calibri"/>
                <w:szCs w:val="24"/>
              </w:rPr>
              <w:t>健康署</w:t>
            </w:r>
            <w:proofErr w:type="gramEnd"/>
            <w:r w:rsidRPr="005231ED">
              <w:rPr>
                <w:rFonts w:ascii="標楷體" w:eastAsia="標楷體" w:hAnsi="標楷體" w:cs="Calibri"/>
                <w:szCs w:val="24"/>
              </w:rPr>
              <w:t>認定之治療年齡1歲以上之進行性</w:t>
            </w:r>
            <w:proofErr w:type="gramStart"/>
            <w:r w:rsidRPr="005231ED">
              <w:rPr>
                <w:rFonts w:ascii="標楷體" w:eastAsia="標楷體" w:hAnsi="標楷體" w:cs="Calibri"/>
                <w:szCs w:val="24"/>
              </w:rPr>
              <w:t>家族性肝內</w:t>
            </w:r>
            <w:proofErr w:type="gramEnd"/>
            <w:r w:rsidRPr="005231ED">
              <w:rPr>
                <w:rFonts w:ascii="標楷體" w:eastAsia="標楷體" w:hAnsi="標楷體" w:cs="Calibri"/>
                <w:szCs w:val="24"/>
              </w:rPr>
              <w:t>膽汁滯留症(PFIC)病人或經衛生福利部國民</w:t>
            </w:r>
            <w:proofErr w:type="gramStart"/>
            <w:r w:rsidRPr="005231ED">
              <w:rPr>
                <w:rFonts w:ascii="標楷體" w:eastAsia="標楷體" w:hAnsi="標楷體" w:cs="Calibri"/>
                <w:szCs w:val="24"/>
              </w:rPr>
              <w:t>健康署</w:t>
            </w:r>
            <w:proofErr w:type="gramEnd"/>
            <w:r w:rsidRPr="005231ED">
              <w:rPr>
                <w:rFonts w:ascii="標楷體" w:eastAsia="標楷體" w:hAnsi="標楷體" w:cs="Calibri"/>
                <w:szCs w:val="24"/>
              </w:rPr>
              <w:t>認定之治療年齡1歲以上之阿拉吉歐症候群(ALGS)病人。</w:t>
            </w:r>
          </w:p>
          <w:p w14:paraId="28885AAF" w14:textId="77777777" w:rsidR="005231ED" w:rsidRPr="005231ED" w:rsidRDefault="005231ED" w:rsidP="005231ED">
            <w:pPr>
              <w:widowControl/>
              <w:suppressAutoHyphens w:val="0"/>
              <w:autoSpaceDN/>
              <w:ind w:leftChars="189" w:left="454" w:firstLineChars="100" w:firstLine="240"/>
              <w:textAlignment w:val="auto"/>
              <w:rPr>
                <w:rFonts w:ascii="標楷體" w:eastAsia="標楷體" w:hAnsi="標楷體" w:cs="Calibri"/>
                <w:kern w:val="0"/>
                <w:sz w:val="22"/>
                <w:szCs w:val="24"/>
              </w:rPr>
            </w:pPr>
            <w:r w:rsidRPr="005231ED">
              <w:rPr>
                <w:rFonts w:ascii="標楷體" w:eastAsia="標楷體" w:hAnsi="標楷體" w:cs="Calibri"/>
                <w:b/>
                <w:bCs/>
                <w:szCs w:val="17"/>
              </w:rPr>
              <w:sym w:font="Webdings" w:char="F063"/>
            </w:r>
            <w:r w:rsidRPr="005231ED">
              <w:rPr>
                <w:rFonts w:ascii="標楷體" w:eastAsia="標楷體" w:hAnsi="標楷體" w:cs="Calibri"/>
                <w:kern w:val="0"/>
                <w:sz w:val="22"/>
                <w:szCs w:val="24"/>
              </w:rPr>
              <w:t>符</w:t>
            </w:r>
            <w:r w:rsidRPr="005231ED">
              <w:rPr>
                <w:rFonts w:ascii="標楷體" w:eastAsia="標楷體" w:hAnsi="標楷體" w:cs="Calibri"/>
                <w:szCs w:val="24"/>
              </w:rPr>
              <w:t>合下列任</w:t>
            </w:r>
            <w:proofErr w:type="gramStart"/>
            <w:r w:rsidRPr="005231ED">
              <w:rPr>
                <w:rFonts w:ascii="標楷體" w:eastAsia="標楷體" w:hAnsi="標楷體" w:cs="Calibri"/>
                <w:szCs w:val="24"/>
              </w:rPr>
              <w:t>一</w:t>
            </w:r>
            <w:proofErr w:type="gramEnd"/>
            <w:r w:rsidRPr="005231ED">
              <w:rPr>
                <w:rFonts w:ascii="標楷體" w:eastAsia="標楷體" w:hAnsi="標楷體" w:cs="Calibri"/>
                <w:szCs w:val="24"/>
              </w:rPr>
              <w:t>診斷條件。</w:t>
            </w:r>
          </w:p>
          <w:p w14:paraId="120BA86B"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Calibri"/>
                <w:szCs w:val="24"/>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治療前</w:t>
            </w:r>
            <w:proofErr w:type="gramStart"/>
            <w:r w:rsidRPr="005231ED">
              <w:rPr>
                <w:rFonts w:ascii="標楷體" w:eastAsia="標楷體" w:hAnsi="標楷體" w:cs="Calibri"/>
                <w:szCs w:val="24"/>
              </w:rPr>
              <w:t>抓痕量表</w:t>
            </w:r>
            <w:proofErr w:type="gramEnd"/>
            <w:r w:rsidRPr="005231ED">
              <w:rPr>
                <w:rFonts w:ascii="標楷體" w:eastAsia="標楷體" w:hAnsi="標楷體" w:cs="Calibri"/>
                <w:szCs w:val="24"/>
              </w:rPr>
              <w:t>(CSS) score 的</w:t>
            </w:r>
            <w:proofErr w:type="gramStart"/>
            <w:r w:rsidRPr="005231ED">
              <w:rPr>
                <w:rFonts w:ascii="標楷體" w:eastAsia="標楷體" w:hAnsi="標楷體" w:cs="Calibri"/>
                <w:szCs w:val="24"/>
              </w:rPr>
              <w:t>週</w:t>
            </w:r>
            <w:proofErr w:type="gramEnd"/>
            <w:r w:rsidRPr="005231ED">
              <w:rPr>
                <w:rFonts w:ascii="標楷體" w:eastAsia="標楷體" w:hAnsi="標楷體" w:cs="Calibri"/>
                <w:szCs w:val="24"/>
              </w:rPr>
              <w:t>平均______分(</w:t>
            </w:r>
            <w:r w:rsidRPr="005231ED">
              <w:rPr>
                <w:rFonts w:ascii="Times New Roman" w:eastAsia="標楷體" w:hAnsi="Times New Roman"/>
                <w:szCs w:val="24"/>
              </w:rPr>
              <w:t>≥</w:t>
            </w:r>
            <w:r w:rsidRPr="005231ED">
              <w:rPr>
                <w:rFonts w:ascii="標楷體" w:eastAsia="標楷體" w:hAnsi="標楷體" w:cs="Calibri"/>
                <w:szCs w:val="24"/>
              </w:rPr>
              <w:t xml:space="preserve"> 3)</w:t>
            </w:r>
          </w:p>
          <w:p w14:paraId="6448D73A"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Calibri"/>
                <w:szCs w:val="24"/>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治療前血清膽汁酸(</w:t>
            </w:r>
            <w:proofErr w:type="spellStart"/>
            <w:r w:rsidRPr="005231ED">
              <w:rPr>
                <w:rFonts w:ascii="標楷體" w:eastAsia="標楷體" w:hAnsi="標楷體" w:cs="Calibri"/>
                <w:szCs w:val="24"/>
              </w:rPr>
              <w:t>sBA</w:t>
            </w:r>
            <w:proofErr w:type="spellEnd"/>
            <w:r w:rsidRPr="005231ED">
              <w:rPr>
                <w:rFonts w:ascii="標楷體" w:eastAsia="標楷體" w:hAnsi="標楷體" w:cs="Calibri"/>
                <w:szCs w:val="24"/>
              </w:rPr>
              <w:t>)檢測 ______(</w:t>
            </w:r>
            <w:r w:rsidRPr="005231ED">
              <w:rPr>
                <w:rFonts w:ascii="Times New Roman" w:eastAsia="標楷體" w:hAnsi="Times New Roman"/>
                <w:szCs w:val="24"/>
              </w:rPr>
              <w:t>≥</w:t>
            </w:r>
            <w:r w:rsidRPr="005231ED">
              <w:rPr>
                <w:rFonts w:ascii="標楷體" w:eastAsia="標楷體" w:hAnsi="標楷體" w:cs="Calibri"/>
                <w:szCs w:val="24"/>
              </w:rPr>
              <w:t xml:space="preserve">100 </w:t>
            </w:r>
            <w:r w:rsidRPr="005231ED">
              <w:rPr>
                <w:rFonts w:ascii="標楷體" w:eastAsia="標楷體" w:hAnsi="標楷體" w:cs="標楷體" w:hint="eastAsia"/>
                <w:szCs w:val="24"/>
              </w:rPr>
              <w:t>μ</w:t>
            </w:r>
            <w:r w:rsidRPr="005231ED">
              <w:rPr>
                <w:rFonts w:ascii="標楷體" w:eastAsia="標楷體" w:hAnsi="標楷體" w:cs="Calibri"/>
                <w:szCs w:val="24"/>
              </w:rPr>
              <w:t>mol/L)</w:t>
            </w:r>
          </w:p>
          <w:p w14:paraId="5975BB6A" w14:textId="77777777" w:rsidR="005231ED" w:rsidRPr="005231ED" w:rsidRDefault="005231ED" w:rsidP="005231ED">
            <w:pPr>
              <w:widowControl/>
              <w:ind w:left="720"/>
              <w:contextualSpacing/>
              <w:rPr>
                <w:rFonts w:ascii="標楷體" w:eastAsia="標楷體" w:hAnsi="標楷體" w:cs="Calibri"/>
                <w:b/>
                <w:bCs/>
                <w:szCs w:val="17"/>
              </w:rPr>
            </w:pPr>
            <w:r w:rsidRPr="005231ED">
              <w:rPr>
                <w:rFonts w:ascii="標楷體" w:eastAsia="標楷體" w:hAnsi="標楷體" w:cs="Calibri"/>
                <w:szCs w:val="24"/>
              </w:rPr>
              <w:t xml:space="preserve"> </w:t>
            </w:r>
          </w:p>
          <w:p w14:paraId="14A3A834"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Calibri"/>
                <w:b/>
                <w:bCs/>
                <w:szCs w:val="17"/>
              </w:rPr>
              <w:sym w:font="Webdings" w:char="F063"/>
            </w:r>
            <w:r w:rsidRPr="005231ED">
              <w:rPr>
                <w:rFonts w:ascii="標楷體" w:eastAsia="標楷體" w:hAnsi="標楷體" w:cs="Calibri"/>
                <w:szCs w:val="24"/>
              </w:rPr>
              <w:t>經</w:t>
            </w:r>
            <w:r w:rsidRPr="005231ED">
              <w:rPr>
                <w:rFonts w:ascii="標楷體" w:eastAsia="標楷體" w:hAnsi="標楷體" w:cs="Calibri"/>
                <w:b/>
                <w:kern w:val="0"/>
                <w:szCs w:val="28"/>
                <w:u w:val="single"/>
              </w:rPr>
              <w:t>醫學中心兒科專科醫師且領有兒科</w:t>
            </w:r>
            <w:proofErr w:type="gramStart"/>
            <w:r w:rsidRPr="005231ED">
              <w:rPr>
                <w:rFonts w:ascii="標楷體" w:eastAsia="標楷體" w:hAnsi="標楷體" w:cs="Calibri"/>
                <w:b/>
                <w:kern w:val="0"/>
                <w:szCs w:val="28"/>
                <w:u w:val="single"/>
              </w:rPr>
              <w:t>消化學次專科</w:t>
            </w:r>
            <w:proofErr w:type="gramEnd"/>
            <w:r w:rsidRPr="005231ED">
              <w:rPr>
                <w:rFonts w:ascii="標楷體" w:eastAsia="標楷體" w:hAnsi="標楷體" w:cs="Calibri"/>
                <w:b/>
                <w:kern w:val="0"/>
                <w:szCs w:val="28"/>
                <w:u w:val="single"/>
              </w:rPr>
              <w:t>醫師證書者</w:t>
            </w:r>
            <w:r w:rsidRPr="005231ED">
              <w:rPr>
                <w:rFonts w:ascii="標楷體" w:eastAsia="標楷體" w:hAnsi="標楷體" w:cs="Calibri"/>
                <w:szCs w:val="24"/>
              </w:rPr>
              <w:t>評估需接受肝臟移植治療但尚無法取得</w:t>
            </w:r>
            <w:proofErr w:type="gramStart"/>
            <w:r w:rsidRPr="005231ED">
              <w:rPr>
                <w:rFonts w:ascii="標楷體" w:eastAsia="標楷體" w:hAnsi="標楷體" w:cs="Calibri"/>
                <w:szCs w:val="24"/>
              </w:rPr>
              <w:t>肝源者</w:t>
            </w:r>
            <w:proofErr w:type="gramEnd"/>
            <w:r w:rsidRPr="005231ED">
              <w:rPr>
                <w:rFonts w:ascii="標楷體" w:eastAsia="標楷體" w:hAnsi="標楷體" w:cs="Calibri"/>
                <w:szCs w:val="24"/>
              </w:rPr>
              <w:t>，且須符合下列任</w:t>
            </w:r>
            <w:proofErr w:type="gramStart"/>
            <w:r w:rsidRPr="005231ED">
              <w:rPr>
                <w:rFonts w:ascii="標楷體" w:eastAsia="標楷體" w:hAnsi="標楷體" w:cs="Calibri"/>
                <w:szCs w:val="24"/>
              </w:rPr>
              <w:t>一</w:t>
            </w:r>
            <w:proofErr w:type="gramEnd"/>
            <w:r w:rsidRPr="005231ED">
              <w:rPr>
                <w:rFonts w:ascii="標楷體" w:eastAsia="標楷體" w:hAnsi="標楷體" w:cs="Calibri"/>
                <w:szCs w:val="24"/>
              </w:rPr>
              <w:t>臨床症狀：</w:t>
            </w:r>
          </w:p>
          <w:p w14:paraId="65788C6F" w14:textId="77777777" w:rsidR="005231ED" w:rsidRPr="005231ED" w:rsidRDefault="005231ED" w:rsidP="002144EC">
            <w:pPr>
              <w:widowControl/>
              <w:numPr>
                <w:ilvl w:val="0"/>
                <w:numId w:val="213"/>
              </w:numPr>
              <w:suppressAutoHyphens w:val="0"/>
              <w:autoSpaceDN/>
              <w:spacing w:line="360" w:lineRule="exact"/>
              <w:ind w:left="1104" w:hanging="295"/>
              <w:textAlignment w:val="auto"/>
              <w:rPr>
                <w:rFonts w:ascii="標楷體" w:eastAsia="標楷體" w:hAnsi="標楷體" w:cs="Calibri"/>
                <w:b/>
                <w:szCs w:val="24"/>
              </w:rPr>
            </w:pPr>
            <w:r w:rsidRPr="005231ED">
              <w:rPr>
                <w:rFonts w:ascii="標楷體" w:eastAsia="標楷體" w:hAnsi="標楷體" w:cs="Calibri"/>
                <w:b/>
                <w:szCs w:val="24"/>
              </w:rPr>
              <w:t>經內外科處置1個月後，仍有灰白色糞便表現。</w:t>
            </w:r>
          </w:p>
          <w:p w14:paraId="5CB06B58" w14:textId="77777777" w:rsidR="005231ED" w:rsidRPr="005231ED" w:rsidRDefault="005231ED" w:rsidP="002144EC">
            <w:pPr>
              <w:widowControl/>
              <w:numPr>
                <w:ilvl w:val="0"/>
                <w:numId w:val="213"/>
              </w:numPr>
              <w:suppressAutoHyphens w:val="0"/>
              <w:autoSpaceDN/>
              <w:spacing w:line="360" w:lineRule="exact"/>
              <w:ind w:left="1104" w:hanging="295"/>
              <w:textAlignment w:val="auto"/>
              <w:rPr>
                <w:rFonts w:ascii="標楷體" w:eastAsia="標楷體" w:hAnsi="標楷體" w:cs="Calibri"/>
                <w:szCs w:val="24"/>
              </w:rPr>
            </w:pPr>
            <w:proofErr w:type="gramStart"/>
            <w:r w:rsidRPr="005231ED">
              <w:rPr>
                <w:rFonts w:ascii="標楷體" w:eastAsia="標楷體" w:hAnsi="標楷體" w:cs="Calibri"/>
                <w:szCs w:val="24"/>
              </w:rPr>
              <w:t>顯著肝</w:t>
            </w:r>
            <w:proofErr w:type="gramEnd"/>
            <w:r w:rsidRPr="005231ED">
              <w:rPr>
                <w:rFonts w:ascii="標楷體" w:eastAsia="標楷體" w:hAnsi="標楷體" w:cs="Calibri"/>
                <w:szCs w:val="24"/>
              </w:rPr>
              <w:t>門脈高壓、肝臟纖維化 (如腹部超音波、電腦</w:t>
            </w:r>
            <w:proofErr w:type="gramStart"/>
            <w:r w:rsidRPr="005231ED">
              <w:rPr>
                <w:rFonts w:ascii="標楷體" w:eastAsia="標楷體" w:hAnsi="標楷體" w:cs="Calibri"/>
                <w:szCs w:val="24"/>
              </w:rPr>
              <w:t>斷層或磁振</w:t>
            </w:r>
            <w:proofErr w:type="gramEnd"/>
            <w:r w:rsidRPr="005231ED">
              <w:rPr>
                <w:rFonts w:ascii="標楷體" w:eastAsia="標楷體" w:hAnsi="標楷體" w:cs="Calibri"/>
                <w:szCs w:val="24"/>
              </w:rPr>
              <w:t>攝影等檢測顯示脾臟腫大，腹水，胃食道靜脈瘤，</w:t>
            </w:r>
            <w:proofErr w:type="spellStart"/>
            <w:r w:rsidRPr="005231ED">
              <w:rPr>
                <w:rFonts w:ascii="標楷體" w:eastAsia="標楷體" w:hAnsi="標楷體" w:cs="Calibri"/>
                <w:szCs w:val="24"/>
              </w:rPr>
              <w:t>Fibroscan</w:t>
            </w:r>
            <w:proofErr w:type="spellEnd"/>
            <w:r w:rsidRPr="005231ED">
              <w:rPr>
                <w:rFonts w:ascii="標楷體" w:eastAsia="標楷體" w:hAnsi="標楷體" w:cs="Calibri"/>
                <w:szCs w:val="24"/>
              </w:rPr>
              <w:t xml:space="preserve"> &gt; 7 kPa，</w:t>
            </w:r>
            <w:r w:rsidRPr="005231ED">
              <w:rPr>
                <w:rFonts w:ascii="標楷體" w:eastAsia="標楷體" w:hAnsi="標楷體" w:cs="Calibri"/>
                <w:kern w:val="0"/>
                <w:szCs w:val="24"/>
                <w:shd w:val="clear" w:color="auto" w:fill="FFFFFF"/>
              </w:rPr>
              <w:t>APRI score </w:t>
            </w:r>
            <w:r w:rsidRPr="005231ED">
              <w:rPr>
                <w:rFonts w:ascii="標楷體" w:eastAsia="標楷體" w:hAnsi="標楷體" w:cs="Calibri"/>
                <w:szCs w:val="24"/>
              </w:rPr>
              <w:t>&gt; 0.5等其中之一)</w:t>
            </w:r>
          </w:p>
          <w:p w14:paraId="7712F3D2" w14:textId="77777777" w:rsidR="005231ED" w:rsidRPr="005231ED" w:rsidRDefault="005231ED" w:rsidP="002144EC">
            <w:pPr>
              <w:widowControl/>
              <w:numPr>
                <w:ilvl w:val="0"/>
                <w:numId w:val="213"/>
              </w:numPr>
              <w:suppressAutoHyphens w:val="0"/>
              <w:autoSpaceDN/>
              <w:spacing w:line="360" w:lineRule="exact"/>
              <w:ind w:left="1104" w:hanging="323"/>
              <w:textAlignment w:val="auto"/>
              <w:rPr>
                <w:rFonts w:ascii="標楷體" w:eastAsia="標楷體" w:hAnsi="標楷體" w:cs="Calibri"/>
                <w:szCs w:val="24"/>
              </w:rPr>
            </w:pPr>
            <w:r w:rsidRPr="005231ED">
              <w:rPr>
                <w:rFonts w:ascii="標楷體" w:eastAsia="標楷體" w:hAnsi="標楷體" w:cs="Calibri"/>
                <w:szCs w:val="24"/>
              </w:rPr>
              <w:t xml:space="preserve">凝血障礙(PT 延長 </w:t>
            </w:r>
            <w:r w:rsidRPr="005231ED">
              <w:rPr>
                <w:rFonts w:ascii="Times New Roman" w:eastAsia="標楷體" w:hAnsi="Times New Roman"/>
                <w:szCs w:val="24"/>
              </w:rPr>
              <w:t>≥</w:t>
            </w:r>
            <w:r w:rsidRPr="005231ED">
              <w:rPr>
                <w:rFonts w:ascii="標楷體" w:eastAsia="標楷體" w:hAnsi="標楷體" w:cs="Calibri"/>
                <w:szCs w:val="24"/>
              </w:rPr>
              <w:t xml:space="preserve"> 1.2)</w:t>
            </w:r>
          </w:p>
          <w:p w14:paraId="2D20ABDD" w14:textId="77777777" w:rsidR="005231ED" w:rsidRPr="005231ED" w:rsidRDefault="005231ED" w:rsidP="002144EC">
            <w:pPr>
              <w:widowControl/>
              <w:numPr>
                <w:ilvl w:val="0"/>
                <w:numId w:val="213"/>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肝肺症候群</w:t>
            </w:r>
            <w:proofErr w:type="gramEnd"/>
          </w:p>
          <w:p w14:paraId="596DF867" w14:textId="77777777" w:rsidR="005231ED" w:rsidRPr="005231ED" w:rsidRDefault="005231ED" w:rsidP="002144EC">
            <w:pPr>
              <w:widowControl/>
              <w:numPr>
                <w:ilvl w:val="0"/>
                <w:numId w:val="213"/>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肺門脈</w:t>
            </w:r>
            <w:proofErr w:type="gramEnd"/>
            <w:r w:rsidRPr="005231ED">
              <w:rPr>
                <w:rFonts w:ascii="標楷體" w:eastAsia="標楷體" w:hAnsi="標楷體" w:cs="Calibri"/>
                <w:szCs w:val="24"/>
              </w:rPr>
              <w:t>高壓</w:t>
            </w:r>
          </w:p>
          <w:p w14:paraId="6ADF6D51" w14:textId="77777777" w:rsidR="005231ED" w:rsidRPr="005231ED" w:rsidRDefault="005231ED" w:rsidP="002144EC">
            <w:pPr>
              <w:widowControl/>
              <w:numPr>
                <w:ilvl w:val="0"/>
                <w:numId w:val="213"/>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高氨血症</w:t>
            </w:r>
            <w:proofErr w:type="gramEnd"/>
          </w:p>
          <w:p w14:paraId="1871BDD4" w14:textId="77777777" w:rsidR="005231ED" w:rsidRPr="005231ED" w:rsidRDefault="005231ED" w:rsidP="002144EC">
            <w:pPr>
              <w:widowControl/>
              <w:numPr>
                <w:ilvl w:val="0"/>
                <w:numId w:val="213"/>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肝腦症候群</w:t>
            </w:r>
            <w:proofErr w:type="gramEnd"/>
            <w:r w:rsidRPr="005231ED">
              <w:rPr>
                <w:rFonts w:ascii="標楷體" w:eastAsia="標楷體" w:hAnsi="標楷體" w:cs="Calibri"/>
                <w:szCs w:val="24"/>
              </w:rPr>
              <w:t xml:space="preserve"> </w:t>
            </w:r>
          </w:p>
          <w:p w14:paraId="5E8C3C2A" w14:textId="77777777" w:rsidR="005231ED" w:rsidRPr="005231ED" w:rsidRDefault="005231ED" w:rsidP="005231ED">
            <w:pPr>
              <w:widowControl/>
              <w:ind w:leftChars="165" w:left="396"/>
              <w:contextualSpacing/>
              <w:rPr>
                <w:rFonts w:ascii="標楷體" w:eastAsia="標楷體" w:hAnsi="標楷體" w:cs="Calibri"/>
                <w:b/>
                <w:szCs w:val="24"/>
              </w:rPr>
            </w:pPr>
            <w:r w:rsidRPr="005231ED">
              <w:rPr>
                <w:rFonts w:ascii="標楷體" w:eastAsia="標楷體" w:hAnsi="標楷體" w:cs="Calibri"/>
                <w:b/>
                <w:bCs/>
                <w:szCs w:val="17"/>
              </w:rPr>
              <w:sym w:font="Webdings" w:char="F063"/>
            </w:r>
            <w:r w:rsidRPr="005231ED">
              <w:rPr>
                <w:rFonts w:ascii="標楷體" w:eastAsia="標楷體" w:hAnsi="標楷體" w:cs="Calibri"/>
                <w:b/>
                <w:szCs w:val="24"/>
              </w:rPr>
              <w:t>每次申請以6個月為限</w:t>
            </w:r>
          </w:p>
          <w:p w14:paraId="44ED0268" w14:textId="77777777" w:rsidR="005231ED" w:rsidRPr="005231ED" w:rsidRDefault="005231ED" w:rsidP="005231ED">
            <w:pPr>
              <w:widowControl/>
              <w:ind w:leftChars="165" w:left="396"/>
              <w:contextualSpacing/>
              <w:rPr>
                <w:rFonts w:ascii="標楷體" w:eastAsia="標楷體" w:hAnsi="標楷體" w:cs="Calibri"/>
                <w:szCs w:val="24"/>
              </w:rPr>
            </w:pPr>
            <w:r w:rsidRPr="005231ED">
              <w:rPr>
                <w:rFonts w:ascii="標楷體" w:eastAsia="標楷體" w:hAnsi="標楷體" w:cs="Calibri"/>
                <w:b/>
                <w:bCs/>
                <w:szCs w:val="17"/>
              </w:rPr>
              <w:sym w:font="Webdings" w:char="F063"/>
            </w:r>
            <w:r w:rsidRPr="005231ED">
              <w:rPr>
                <w:rFonts w:ascii="標楷體" w:eastAsia="標楷體" w:hAnsi="標楷體" w:cs="Calibri"/>
                <w:b/>
                <w:bCs/>
                <w:szCs w:val="17"/>
              </w:rPr>
              <w:t>停用條件</w:t>
            </w:r>
            <w:r w:rsidRPr="005231ED">
              <w:rPr>
                <w:rFonts w:ascii="標楷體" w:eastAsia="標楷體" w:hAnsi="標楷體" w:cs="Calibri"/>
                <w:szCs w:val="24"/>
              </w:rPr>
              <w:t>：</w:t>
            </w:r>
            <w:r w:rsidRPr="005231ED">
              <w:rPr>
                <w:rFonts w:ascii="標楷體" w:eastAsia="標楷體" w:hAnsi="標楷體" w:cs="Calibri"/>
                <w:b/>
                <w:szCs w:val="24"/>
              </w:rPr>
              <w:t>已經接受肝臟移植</w:t>
            </w:r>
          </w:p>
          <w:p w14:paraId="53821FE1" w14:textId="77777777" w:rsidR="005231ED" w:rsidRPr="005231ED" w:rsidRDefault="005231ED" w:rsidP="005231ED">
            <w:pPr>
              <w:widowControl/>
              <w:ind w:leftChars="165" w:left="396"/>
              <w:rPr>
                <w:rFonts w:ascii="標楷體" w:eastAsia="標楷體" w:hAnsi="標楷體" w:cs="Calibri"/>
                <w:b/>
                <w:bCs/>
                <w:szCs w:val="17"/>
              </w:rPr>
            </w:pPr>
            <w:r w:rsidRPr="005231ED">
              <w:rPr>
                <w:rFonts w:ascii="標楷體" w:eastAsia="標楷體" w:hAnsi="標楷體" w:cs="Calibri"/>
                <w:b/>
                <w:bCs/>
                <w:szCs w:val="17"/>
              </w:rPr>
              <w:sym w:font="Webdings" w:char="F063"/>
            </w:r>
            <w:r w:rsidRPr="005231ED">
              <w:rPr>
                <w:rFonts w:ascii="標楷體" w:eastAsia="標楷體" w:hAnsi="標楷體" w:cs="Calibri"/>
                <w:b/>
                <w:bCs/>
                <w:szCs w:val="17"/>
              </w:rPr>
              <w:t>符合繼續使用之療效評估：</w:t>
            </w:r>
          </w:p>
          <w:p w14:paraId="420DDB3F" w14:textId="77777777" w:rsidR="005231ED" w:rsidRPr="005231ED" w:rsidRDefault="005231ED" w:rsidP="005231ED">
            <w:pPr>
              <w:widowControl/>
              <w:ind w:left="799" w:hanging="427"/>
              <w:rPr>
                <w:rFonts w:ascii="標楷體" w:eastAsia="標楷體" w:hAnsi="標楷體" w:cs="Calibri"/>
                <w:szCs w:val="24"/>
              </w:rPr>
            </w:pPr>
            <w:r w:rsidRPr="005231ED">
              <w:rPr>
                <w:rFonts w:ascii="標楷體" w:eastAsia="標楷體" w:hAnsi="標楷體" w:cs="Calibri"/>
                <w:b/>
                <w:bCs/>
                <w:szCs w:val="17"/>
              </w:rPr>
              <w:sym w:font="Webdings" w:char="F063"/>
            </w:r>
            <w:r w:rsidRPr="005231ED">
              <w:rPr>
                <w:rFonts w:ascii="標楷體" w:eastAsia="標楷體" w:hAnsi="標楷體" w:cs="Calibri"/>
                <w:szCs w:val="24"/>
              </w:rPr>
              <w:t>首次使用期間：____年_____月至_____年_____月</w:t>
            </w:r>
          </w:p>
          <w:p w14:paraId="28A0D7EE" w14:textId="77777777" w:rsidR="005231ED" w:rsidRPr="005231ED" w:rsidRDefault="005231ED" w:rsidP="005231ED">
            <w:pPr>
              <w:widowControl/>
              <w:ind w:leftChars="71" w:left="1811" w:hangingChars="683" w:hanging="1641"/>
              <w:contextualSpacing/>
              <w:rPr>
                <w:rFonts w:ascii="標楷體" w:eastAsia="標楷體" w:hAnsi="標楷體" w:cs="Calibri"/>
                <w:szCs w:val="24"/>
              </w:rPr>
            </w:pPr>
            <w:r w:rsidRPr="005231ED">
              <w:rPr>
                <w:rFonts w:ascii="標楷體" w:eastAsia="標楷體" w:hAnsi="標楷體" w:cs="Calibri"/>
                <w:b/>
                <w:bCs/>
                <w:szCs w:val="17"/>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繼續使用者：續用申請需在首次使用6個月後，</w:t>
            </w:r>
            <w:r w:rsidRPr="005231ED">
              <w:rPr>
                <w:rFonts w:ascii="標楷體" w:eastAsia="標楷體" w:hAnsi="標楷體" w:cs="Calibri"/>
                <w:b/>
                <w:szCs w:val="24"/>
              </w:rPr>
              <w:t>每次申請以6個月為限</w:t>
            </w:r>
            <w:r w:rsidRPr="005231ED">
              <w:rPr>
                <w:rFonts w:ascii="標楷體" w:eastAsia="標楷體" w:hAnsi="標楷體" w:cs="Calibri"/>
                <w:szCs w:val="24"/>
              </w:rPr>
              <w:t>，且須符合下列任</w:t>
            </w:r>
            <w:proofErr w:type="gramStart"/>
            <w:r w:rsidRPr="005231ED">
              <w:rPr>
                <w:rFonts w:ascii="標楷體" w:eastAsia="標楷體" w:hAnsi="標楷體" w:cs="Calibri"/>
                <w:szCs w:val="24"/>
              </w:rPr>
              <w:t>一</w:t>
            </w:r>
            <w:proofErr w:type="gramEnd"/>
            <w:r w:rsidRPr="005231ED">
              <w:rPr>
                <w:rFonts w:ascii="標楷體" w:eastAsia="標楷體" w:hAnsi="標楷體" w:cs="Calibri"/>
                <w:szCs w:val="24"/>
              </w:rPr>
              <w:t>診斷條件：</w:t>
            </w:r>
          </w:p>
          <w:p w14:paraId="3D888959" w14:textId="77777777" w:rsidR="005231ED" w:rsidRPr="005231ED" w:rsidRDefault="005231ED" w:rsidP="005231ED">
            <w:pPr>
              <w:widowControl/>
              <w:ind w:leftChars="-1" w:left="-2" w:firstLineChars="95" w:firstLine="228"/>
              <w:contextualSpacing/>
              <w:rPr>
                <w:rFonts w:ascii="標楷體" w:eastAsia="標楷體" w:hAnsi="標楷體" w:cs="Calibri"/>
                <w:szCs w:val="24"/>
              </w:rPr>
            </w:pPr>
            <w:r w:rsidRPr="005231ED">
              <w:rPr>
                <w:rFonts w:ascii="標楷體" w:eastAsia="標楷體" w:hAnsi="標楷體" w:cs="Calibri"/>
                <w:b/>
                <w:bCs/>
                <w:szCs w:val="17"/>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血清膽汁酸(</w:t>
            </w:r>
            <w:proofErr w:type="spellStart"/>
            <w:r w:rsidRPr="005231ED">
              <w:rPr>
                <w:rFonts w:ascii="標楷體" w:eastAsia="標楷體" w:hAnsi="標楷體" w:cs="Calibri"/>
                <w:szCs w:val="24"/>
              </w:rPr>
              <w:t>sBA</w:t>
            </w:r>
            <w:proofErr w:type="spellEnd"/>
            <w:r w:rsidRPr="005231ED">
              <w:rPr>
                <w:rFonts w:ascii="標楷體" w:eastAsia="標楷體" w:hAnsi="標楷體" w:cs="Calibri"/>
                <w:szCs w:val="24"/>
              </w:rPr>
              <w:t>)：較</w:t>
            </w:r>
            <w:proofErr w:type="gramStart"/>
            <w:r w:rsidRPr="005231ED">
              <w:rPr>
                <w:rFonts w:ascii="標楷體" w:eastAsia="標楷體" w:hAnsi="標楷體" w:cs="Calibri"/>
                <w:szCs w:val="24"/>
              </w:rPr>
              <w:t>治療前降幅</w:t>
            </w:r>
            <w:proofErr w:type="gramEnd"/>
            <w:r w:rsidRPr="005231ED">
              <w:rPr>
                <w:rFonts w:ascii="標楷體" w:eastAsia="標楷體" w:hAnsi="標楷體" w:cs="Calibri"/>
                <w:szCs w:val="24"/>
              </w:rPr>
              <w:t xml:space="preserve">達 </w:t>
            </w:r>
            <w:r w:rsidRPr="005231ED">
              <w:rPr>
                <w:rFonts w:ascii="Times New Roman" w:eastAsia="標楷體" w:hAnsi="Times New Roman"/>
                <w:szCs w:val="24"/>
              </w:rPr>
              <w:t>≥</w:t>
            </w:r>
            <w:r w:rsidRPr="005231ED">
              <w:rPr>
                <w:rFonts w:ascii="標楷體" w:eastAsia="標楷體" w:hAnsi="標楷體" w:cs="Calibri"/>
                <w:szCs w:val="24"/>
              </w:rPr>
              <w:t>30%或</w:t>
            </w:r>
            <w:r w:rsidRPr="005231ED">
              <w:rPr>
                <w:rFonts w:ascii="Times New Roman" w:eastAsia="標楷體" w:hAnsi="Times New Roman"/>
                <w:szCs w:val="24"/>
              </w:rPr>
              <w:t>≤</w:t>
            </w:r>
            <w:r w:rsidRPr="005231ED">
              <w:rPr>
                <w:rFonts w:ascii="標楷體" w:eastAsia="標楷體" w:hAnsi="標楷體" w:cs="Calibri"/>
                <w:szCs w:val="24"/>
              </w:rPr>
              <w:t>70</w:t>
            </w:r>
            <w:r w:rsidRPr="005231ED">
              <w:rPr>
                <w:rFonts w:ascii="標楷體" w:eastAsia="標楷體" w:hAnsi="標楷體" w:cs="標楷體" w:hint="eastAsia"/>
                <w:szCs w:val="24"/>
              </w:rPr>
              <w:t>μ</w:t>
            </w:r>
            <w:r w:rsidRPr="005231ED">
              <w:rPr>
                <w:rFonts w:ascii="標楷體" w:eastAsia="標楷體" w:hAnsi="標楷體" w:cs="Calibri"/>
                <w:szCs w:val="24"/>
              </w:rPr>
              <w:t>mol/L。</w:t>
            </w:r>
          </w:p>
          <w:p w14:paraId="3A09E48A" w14:textId="77777777" w:rsidR="005231ED" w:rsidRPr="005231ED" w:rsidRDefault="005231ED" w:rsidP="005231ED">
            <w:pPr>
              <w:widowControl/>
              <w:ind w:left="742" w:hanging="50"/>
              <w:rPr>
                <w:rFonts w:ascii="標楷體" w:eastAsia="標楷體" w:hAnsi="標楷體" w:cs="新細明體"/>
                <w:szCs w:val="24"/>
              </w:rPr>
            </w:pPr>
            <w:r w:rsidRPr="005231ED">
              <w:rPr>
                <w:rFonts w:ascii="標楷體" w:eastAsia="標楷體" w:hAnsi="標楷體" w:cs="Calibri"/>
                <w:b/>
                <w:bCs/>
                <w:szCs w:val="17"/>
              </w:rPr>
              <w:sym w:font="Webdings" w:char="F063"/>
            </w:r>
            <w:r w:rsidRPr="005231ED">
              <w:rPr>
                <w:rFonts w:ascii="標楷體" w:eastAsia="標楷體" w:hAnsi="標楷體" w:cs="Calibri"/>
                <w:b/>
                <w:bCs/>
                <w:szCs w:val="17"/>
              </w:rPr>
              <w:t xml:space="preserve"> </w:t>
            </w:r>
            <w:r w:rsidRPr="005231ED">
              <w:rPr>
                <w:rFonts w:ascii="標楷體" w:eastAsia="標楷體" w:hAnsi="標楷體" w:cs="Calibri"/>
                <w:szCs w:val="24"/>
              </w:rPr>
              <w:t xml:space="preserve">CSS工具評估: 膽汁淤積搔癢分數 </w:t>
            </w:r>
            <w:r w:rsidRPr="005231ED">
              <w:rPr>
                <w:rFonts w:ascii="Times New Roman" w:eastAsia="標楷體" w:hAnsi="Times New Roman"/>
                <w:szCs w:val="24"/>
              </w:rPr>
              <w:t>≤</w:t>
            </w:r>
            <w:r w:rsidRPr="005231ED">
              <w:rPr>
                <w:rFonts w:ascii="標楷體" w:eastAsia="標楷體" w:hAnsi="標楷體" w:cs="Calibri"/>
                <w:szCs w:val="24"/>
              </w:rPr>
              <w:t xml:space="preserve">1或比基準點改善達到 </w:t>
            </w:r>
            <w:r w:rsidRPr="005231ED">
              <w:rPr>
                <w:rFonts w:ascii="Times New Roman" w:eastAsia="標楷體" w:hAnsi="Times New Roman"/>
                <w:szCs w:val="24"/>
              </w:rPr>
              <w:t>≥</w:t>
            </w:r>
            <w:r w:rsidRPr="005231ED">
              <w:rPr>
                <w:rFonts w:ascii="標楷體" w:eastAsia="標楷體" w:hAnsi="標楷體" w:cs="Calibri"/>
                <w:szCs w:val="24"/>
              </w:rPr>
              <w:t>1分。</w:t>
            </w:r>
          </w:p>
        </w:tc>
      </w:tr>
      <w:tr w:rsidR="005231ED" w:rsidRPr="005231ED" w14:paraId="201F67B4" w14:textId="77777777" w:rsidTr="007A65DC">
        <w:trPr>
          <w:gridAfter w:val="1"/>
          <w:wAfter w:w="10" w:type="dxa"/>
          <w:cantSplit/>
          <w:trHeight w:val="1154"/>
          <w:jc w:val="center"/>
        </w:trPr>
        <w:tc>
          <w:tcPr>
            <w:tcW w:w="6069" w:type="dxa"/>
            <w:gridSpan w:val="5"/>
            <w:tcMar>
              <w:top w:w="0" w:type="dxa"/>
              <w:left w:w="28" w:type="dxa"/>
              <w:bottom w:w="0" w:type="dxa"/>
              <w:right w:w="28" w:type="dxa"/>
            </w:tcMar>
          </w:tcPr>
          <w:p w14:paraId="686BB4B1" w14:textId="5BE4569A" w:rsidR="005231ED" w:rsidRPr="005231ED" w:rsidRDefault="009C2BFD" w:rsidP="009C2BFD">
            <w:pPr>
              <w:widowControl/>
              <w:spacing w:line="300" w:lineRule="auto"/>
              <w:textAlignment w:val="center"/>
              <w:rPr>
                <w:rFonts w:ascii="新細明體" w:eastAsia="標楷體" w:hAnsi="新細明體" w:cs="新細明體"/>
                <w:szCs w:val="24"/>
              </w:rPr>
            </w:pPr>
            <w:r w:rsidRPr="009C2BFD">
              <w:rPr>
                <w:rFonts w:ascii="新細明體" w:eastAsia="標楷體" w:hAnsi="新細明體" w:cs="新細明體"/>
                <w:szCs w:val="24"/>
              </w:rPr>
              <w:t>申請醫師（簽名蓋章）：</w:t>
            </w:r>
            <w:r w:rsidRPr="009C2BFD">
              <w:rPr>
                <w:rFonts w:ascii="新細明體" w:eastAsia="標楷體" w:hAnsi="新細明體" w:cs="新細明體"/>
                <w:szCs w:val="24"/>
                <w:u w:val="thick"/>
              </w:rPr>
              <w:t xml:space="preserve">　　　　　　　</w:t>
            </w:r>
          </w:p>
        </w:tc>
        <w:tc>
          <w:tcPr>
            <w:tcW w:w="3710" w:type="dxa"/>
            <w:gridSpan w:val="2"/>
            <w:tcMar>
              <w:top w:w="0" w:type="dxa"/>
              <w:left w:w="28" w:type="dxa"/>
              <w:bottom w:w="0" w:type="dxa"/>
              <w:right w:w="28" w:type="dxa"/>
            </w:tcMar>
          </w:tcPr>
          <w:p w14:paraId="06FFD873" w14:textId="77777777" w:rsidR="005231ED" w:rsidRPr="005231ED" w:rsidRDefault="005231ED" w:rsidP="009C2BFD">
            <w:pPr>
              <w:widowControl/>
              <w:spacing w:line="300" w:lineRule="auto"/>
              <w:textAlignment w:val="center"/>
              <w:rPr>
                <w:rFonts w:ascii="新細明體" w:eastAsia="標楷體" w:hAnsi="新細明體" w:cs="新細明體"/>
                <w:szCs w:val="24"/>
              </w:rPr>
            </w:pPr>
            <w:proofErr w:type="gramStart"/>
            <w:r w:rsidRPr="005231ED">
              <w:rPr>
                <w:rFonts w:ascii="新細明體" w:eastAsia="標楷體" w:hAnsi="新細明體" w:cs="新細明體"/>
                <w:szCs w:val="24"/>
              </w:rPr>
              <w:t>醫</w:t>
            </w:r>
            <w:proofErr w:type="gramEnd"/>
            <w:r w:rsidRPr="005231ED">
              <w:rPr>
                <w:rFonts w:ascii="新細明體" w:eastAsia="標楷體" w:hAnsi="新細明體" w:cs="新細明體"/>
                <w:szCs w:val="24"/>
              </w:rPr>
              <w:t>事機構章戳：</w:t>
            </w:r>
          </w:p>
        </w:tc>
      </w:tr>
    </w:tbl>
    <w:p w14:paraId="6FDA3982" w14:textId="77777777" w:rsidR="005231ED" w:rsidRPr="005231ED" w:rsidRDefault="005231ED" w:rsidP="009C2BFD">
      <w:pPr>
        <w:widowControl/>
        <w:suppressAutoHyphens w:val="0"/>
        <w:autoSpaceDN/>
        <w:spacing w:line="300" w:lineRule="auto"/>
        <w:textAlignment w:val="auto"/>
        <w:rPr>
          <w:rFonts w:ascii="新細明體" w:hAnsi="新細明體" w:cs="新細明體"/>
          <w:kern w:val="0"/>
          <w:szCs w:val="24"/>
        </w:rPr>
      </w:pPr>
    </w:p>
    <w:p w14:paraId="38962EC3" w14:textId="77777777" w:rsidR="00401786" w:rsidRPr="00E70B56" w:rsidRDefault="00401786" w:rsidP="000E757E">
      <w:pPr>
        <w:widowControl/>
        <w:suppressAutoHyphens w:val="0"/>
        <w:spacing w:line="240" w:lineRule="atLeast"/>
        <w:rPr>
          <w:rFonts w:ascii="標楷體" w:eastAsia="標楷體" w:hAnsi="標楷體"/>
          <w:color w:val="000000"/>
        </w:rPr>
      </w:pPr>
    </w:p>
    <w:sectPr w:rsidR="00401786" w:rsidRPr="00E70B56">
      <w:footerReference w:type="default" r:id="rId43"/>
      <w:pgSz w:w="11906" w:h="16838"/>
      <w:pgMar w:top="1077" w:right="1077" w:bottom="1077" w:left="1077" w:header="720" w:footer="720" w:gutter="0"/>
      <w:cols w:space="720"/>
      <w:docGrid w:type="lines" w:linePitch="76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268ED" w14:textId="77777777" w:rsidR="002D6D64" w:rsidRDefault="002D6D64">
      <w:r>
        <w:separator/>
      </w:r>
    </w:p>
  </w:endnote>
  <w:endnote w:type="continuationSeparator" w:id="0">
    <w:p w14:paraId="50D5D8AD" w14:textId="77777777" w:rsidR="002D6D64" w:rsidRDefault="002D6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全真楷書">
    <w:altName w:val="Calibri"/>
    <w:charset w:val="00"/>
    <w:family w:val="modern"/>
    <w:pitch w:val="fixe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altName w:val="Malgun Gothic Semilight"/>
    <w:panose1 w:val="020B0604020202020204"/>
    <w:charset w:val="88"/>
    <w:family w:val="swiss"/>
    <w:pitch w:val="variable"/>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新細明體, PMingLiU">
    <w:charset w:val="00"/>
    <w:family w:val="roman"/>
    <w:pitch w:val="variable"/>
  </w:font>
  <w:font w:name="Cambria Math">
    <w:panose1 w:val="02040503050406030204"/>
    <w:charset w:val="00"/>
    <w:family w:val="roman"/>
    <w:pitch w:val="variable"/>
    <w:sig w:usb0="E00006FF" w:usb1="420024FF" w:usb2="02000000" w:usb3="00000000" w:csb0="0000019F" w:csb1="00000000"/>
  </w:font>
  <w:font w:name="+mn-cs">
    <w:charset w:val="00"/>
    <w:family w:val="roman"/>
    <w:pitch w:val="default"/>
  </w:font>
  <w:font w:name="標楷體.鬁...">
    <w:altName w:val="微軟正黑體"/>
    <w:charset w:val="00"/>
    <w:family w:val="roman"/>
    <w:pitch w:val="default"/>
  </w:font>
  <w:font w:name="Aptos">
    <w:altName w:val="Calibri"/>
    <w:charset w:val="00"/>
    <w:family w:val="roman"/>
    <w:pitch w:val="default"/>
  </w:font>
  <w:font w:name="Liberation Serif">
    <w:panose1 w:val="02020603050405020304"/>
    <w:charset w:val="00"/>
    <w:family w:val="roman"/>
    <w:pitch w:val="variable"/>
    <w:sig w:usb0="E0000AFF" w:usb1="500078FF" w:usb2="00000021" w:usb3="00000000" w:csb0="000001BF" w:csb1="00000000"/>
  </w:font>
  <w:font w:name="BiauKai">
    <w:altName w:val="Arial Unicode MS"/>
    <w:charset w:val="00"/>
    <w:family w:val="script"/>
    <w:pitch w:val="fixed"/>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CEB2B" w14:textId="77777777" w:rsidR="00C6448D" w:rsidRDefault="00C6448D">
    <w:pPr>
      <w:pStyle w:val="a7"/>
      <w:jc w:val="center"/>
    </w:pPr>
    <w:r>
      <w:rPr>
        <w:rFonts w:eastAsia="標楷體"/>
        <w:lang w:val="zh-TW"/>
      </w:rPr>
      <w:fldChar w:fldCharType="begin"/>
    </w:r>
    <w:r>
      <w:rPr>
        <w:rFonts w:eastAsia="標楷體"/>
        <w:lang w:val="zh-TW"/>
      </w:rPr>
      <w:instrText xml:space="preserve"> PAGE </w:instrText>
    </w:r>
    <w:r>
      <w:rPr>
        <w:rFonts w:eastAsia="標楷體"/>
        <w:lang w:val="zh-TW"/>
      </w:rPr>
      <w:fldChar w:fldCharType="separate"/>
    </w:r>
    <w:r>
      <w:rPr>
        <w:rFonts w:eastAsia="標楷體"/>
        <w:lang w:val="zh-TW"/>
      </w:rPr>
      <w:t>181</w:t>
    </w:r>
    <w:r>
      <w:rPr>
        <w:rFonts w:eastAsia="標楷體"/>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42025"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189</w:t>
    </w:r>
    <w:r>
      <w:rPr>
        <w:lang w:val="zh-T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CAF34"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211</w:t>
    </w:r>
    <w:r>
      <w:rPr>
        <w:lang w:val="zh-TW"/>
      </w:rPr>
      <w:fldChar w:fldCharType="end"/>
    </w:r>
  </w:p>
  <w:p w14:paraId="4B5A4AC3" w14:textId="77777777" w:rsidR="00C6448D" w:rsidRDefault="00C6448D">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0B4B"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212</w:t>
    </w:r>
    <w:r>
      <w:rPr>
        <w:lang w:val="zh-TW"/>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C4699"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213</w:t>
    </w:r>
    <w:r>
      <w:rPr>
        <w:lang w:val="zh-TW"/>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51256"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214</w:t>
    </w:r>
    <w:r>
      <w:rPr>
        <w:lang w:val="zh-TW"/>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C484D"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215</w:t>
    </w:r>
    <w:r>
      <w:rPr>
        <w:lang w:val="zh-TW"/>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F6A1"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216</w:t>
    </w:r>
    <w:r>
      <w:rPr>
        <w:lang w:val="zh-TW"/>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271F"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217</w:t>
    </w:r>
    <w:r>
      <w:rPr>
        <w:lang w:val="zh-TW"/>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1EB2"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230</w:t>
    </w:r>
    <w:r>
      <w:rPr>
        <w:lang w:val="zh-TW"/>
      </w:rPr>
      <w:fldChar w:fldCharType="end"/>
    </w:r>
  </w:p>
  <w:p w14:paraId="1F615188" w14:textId="77777777" w:rsidR="00C6448D" w:rsidRDefault="00C6448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9CE0D"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230</w:t>
    </w:r>
    <w:r>
      <w:rPr>
        <w:lang w:val="zh-TW"/>
      </w:rPr>
      <w:fldChar w:fldCharType="end"/>
    </w:r>
  </w:p>
  <w:p w14:paraId="15627801" w14:textId="77777777" w:rsidR="00C6448D" w:rsidRDefault="00C6448D"/>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7FC8B" w14:textId="77777777" w:rsidR="00C6448D" w:rsidRDefault="00C6448D">
    <w:pPr>
      <w:pStyle w:val="a7"/>
      <w:jc w:val="center"/>
    </w:pPr>
    <w:r>
      <w:rPr>
        <w:rStyle w:val="ae"/>
      </w:rPr>
      <w:fldChar w:fldCharType="begin"/>
    </w:r>
    <w:r>
      <w:rPr>
        <w:rStyle w:val="ae"/>
      </w:rPr>
      <w:instrText xml:space="preserve"> PAGE </w:instrText>
    </w:r>
    <w:r>
      <w:rPr>
        <w:rStyle w:val="ae"/>
      </w:rPr>
      <w:fldChar w:fldCharType="separate"/>
    </w:r>
    <w:r>
      <w:rPr>
        <w:rStyle w:val="ae"/>
      </w:rPr>
      <w:t>255</w:t>
    </w:r>
    <w:r>
      <w:rPr>
        <w:rStyle w:val="ae"/>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AA678" w14:textId="77777777" w:rsidR="00C6448D" w:rsidRDefault="00C6448D">
    <w:pPr>
      <w:pStyle w:val="a7"/>
      <w:jc w:val="center"/>
    </w:pPr>
    <w:r>
      <w:rPr>
        <w:rStyle w:val="ae"/>
      </w:rPr>
      <w:fldChar w:fldCharType="begin"/>
    </w:r>
    <w:r>
      <w:rPr>
        <w:rStyle w:val="ae"/>
      </w:rPr>
      <w:instrText xml:space="preserve"> PAGE </w:instrText>
    </w:r>
    <w:r>
      <w:rPr>
        <w:rStyle w:val="ae"/>
      </w:rPr>
      <w:fldChar w:fldCharType="separate"/>
    </w:r>
    <w:r>
      <w:rPr>
        <w:rStyle w:val="ae"/>
      </w:rPr>
      <w:t>256</w:t>
    </w:r>
    <w:r>
      <w:rPr>
        <w:rStyle w:val="ae"/>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179BE"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260</w:t>
    </w:r>
    <w:r>
      <w:rPr>
        <w:lang w:val="zh-TW"/>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77B6F"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267</w:t>
    </w:r>
    <w:r>
      <w:rPr>
        <w:lang w:val="zh-TW"/>
      </w:rPr>
      <w:fldChar w:fldCharType="end"/>
    </w:r>
  </w:p>
  <w:p w14:paraId="14971C7B" w14:textId="77777777" w:rsidR="00C6448D" w:rsidRDefault="00C6448D"/>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6048"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267</w:t>
    </w:r>
    <w:r>
      <w:rPr>
        <w:lang w:val="zh-TW"/>
      </w:rPr>
      <w:fldChar w:fldCharType="end"/>
    </w:r>
  </w:p>
  <w:p w14:paraId="5C0A7BAD" w14:textId="77777777" w:rsidR="00C6448D" w:rsidRDefault="00C6448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48EE" w14:textId="77777777" w:rsidR="00C6448D" w:rsidRDefault="00C6448D">
    <w:pPr>
      <w:pStyle w:val="17"/>
      <w:jc w:val="center"/>
    </w:pPr>
    <w:r>
      <w:rPr>
        <w:rStyle w:val="15"/>
        <w:lang w:val="zh-TW"/>
      </w:rPr>
      <w:fldChar w:fldCharType="begin"/>
    </w:r>
    <w:r>
      <w:rPr>
        <w:rStyle w:val="15"/>
        <w:lang w:val="zh-TW"/>
      </w:rPr>
      <w:instrText xml:space="preserve"> PAGE </w:instrText>
    </w:r>
    <w:r>
      <w:rPr>
        <w:rStyle w:val="15"/>
        <w:lang w:val="zh-TW"/>
      </w:rPr>
      <w:fldChar w:fldCharType="separate"/>
    </w:r>
    <w:r>
      <w:rPr>
        <w:rStyle w:val="15"/>
        <w:lang w:val="zh-TW"/>
      </w:rPr>
      <w:t>272</w:t>
    </w:r>
    <w:r>
      <w:rPr>
        <w:rStyle w:val="15"/>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FD728" w14:textId="77777777" w:rsidR="002D6D64" w:rsidRDefault="002D6D64">
      <w:r>
        <w:rPr>
          <w:color w:val="000000"/>
        </w:rPr>
        <w:separator/>
      </w:r>
    </w:p>
  </w:footnote>
  <w:footnote w:type="continuationSeparator" w:id="0">
    <w:p w14:paraId="5C59FA19" w14:textId="77777777" w:rsidR="002D6D64" w:rsidRDefault="002D6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E4732" w14:textId="0C1CB3C7" w:rsidR="00471241" w:rsidRDefault="00471241" w:rsidP="00471241">
    <w:pPr>
      <w:pStyle w:val="a5"/>
      <w:jc w:val="right"/>
    </w:pPr>
    <w:bookmarkStart w:id="3" w:name="_Hlk239070056"/>
    <w:bookmarkStart w:id="4" w:name="_Hlk239070057"/>
    <w:r>
      <w:rPr>
        <w:rFonts w:ascii="Times New Roman" w:eastAsia="標楷體" w:hAnsi="Times New Roman"/>
      </w:rPr>
      <w:t>(11</w:t>
    </w:r>
    <w:r>
      <w:rPr>
        <w:rFonts w:ascii="Times New Roman" w:eastAsia="標楷體" w:hAnsi="Times New Roman" w:hint="eastAsia"/>
      </w:rPr>
      <w:t>5</w:t>
    </w:r>
    <w:r>
      <w:rPr>
        <w:rFonts w:ascii="Times New Roman" w:eastAsia="標楷體" w:hAnsi="Times New Roman"/>
      </w:rPr>
      <w:t>.</w:t>
    </w:r>
    <w:r w:rsidR="00632B0D">
      <w:rPr>
        <w:rFonts w:ascii="Times New Roman" w:eastAsia="標楷體" w:hAnsi="Times New Roman" w:hint="eastAsia"/>
      </w:rPr>
      <w:t>10</w:t>
    </w:r>
    <w:r>
      <w:rPr>
        <w:rFonts w:ascii="Times New Roman" w:eastAsia="標楷體" w:hAnsi="Times New Roman" w:hint="eastAsia"/>
      </w:rPr>
      <w:t>.2</w:t>
    </w:r>
    <w:r w:rsidR="00847B77">
      <w:rPr>
        <w:rFonts w:ascii="Times New Roman" w:eastAsia="標楷體" w:hAnsi="Times New Roman" w:hint="eastAsia"/>
      </w:rPr>
      <w:t>2</w:t>
    </w:r>
    <w:r>
      <w:rPr>
        <w:rFonts w:ascii="Times New Roman" w:eastAsia="標楷體" w:hAnsi="Times New Roman"/>
      </w:rPr>
      <w:t>更新</w:t>
    </w:r>
    <w:r>
      <w:rPr>
        <w:rFonts w:ascii="Times New Roman" w:eastAsia="標楷體" w:hAnsi="Times New Roman"/>
      </w:rPr>
      <w:t>)</w:t>
    </w:r>
    <w:bookmarkEnd w:id="3"/>
    <w:bookmarkEnd w:id="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EEEFE" w14:textId="46BDA2ED" w:rsidR="00C6448D" w:rsidRDefault="00C6448D">
    <w:pPr>
      <w:pStyle w:val="a5"/>
      <w:jc w:val="right"/>
      <w:rPr>
        <w:rFonts w:ascii="Times New Roman" w:eastAsia="標楷體" w:hAnsi="Times New Roman"/>
      </w:rPr>
    </w:pPr>
    <w:bookmarkStart w:id="104" w:name="_Hlk239069870"/>
    <w:bookmarkStart w:id="105" w:name="_Hlk239069871"/>
    <w:r>
      <w:rPr>
        <w:rFonts w:ascii="Times New Roman" w:eastAsia="標楷體" w:hAnsi="Times New Roman"/>
      </w:rPr>
      <w:t>(11</w:t>
    </w:r>
    <w:r>
      <w:rPr>
        <w:rFonts w:ascii="Times New Roman" w:eastAsia="標楷體" w:hAnsi="Times New Roman" w:hint="eastAsia"/>
      </w:rPr>
      <w:t>5</w:t>
    </w:r>
    <w:r>
      <w:rPr>
        <w:rFonts w:ascii="Times New Roman" w:eastAsia="標楷體" w:hAnsi="Times New Roman"/>
      </w:rPr>
      <w:t>.</w:t>
    </w:r>
    <w:r w:rsidR="00632B0D">
      <w:rPr>
        <w:rFonts w:ascii="Times New Roman" w:eastAsia="標楷體" w:hAnsi="Times New Roman" w:hint="eastAsia"/>
      </w:rPr>
      <w:t>10</w:t>
    </w:r>
    <w:r>
      <w:rPr>
        <w:rFonts w:ascii="Times New Roman" w:eastAsia="標楷體" w:hAnsi="Times New Roman" w:hint="eastAsia"/>
      </w:rPr>
      <w:t>.</w:t>
    </w:r>
    <w:r w:rsidR="00632B0D">
      <w:rPr>
        <w:rFonts w:ascii="Times New Roman" w:eastAsia="標楷體" w:hAnsi="Times New Roman" w:hint="eastAsia"/>
      </w:rPr>
      <w:t>2</w:t>
    </w:r>
    <w:r w:rsidR="00847B77">
      <w:rPr>
        <w:rFonts w:ascii="Times New Roman" w:eastAsia="標楷體" w:hAnsi="Times New Roman" w:hint="eastAsia"/>
      </w:rPr>
      <w:t>2</w:t>
    </w:r>
    <w:r>
      <w:rPr>
        <w:rFonts w:ascii="Times New Roman" w:eastAsia="標楷體" w:hAnsi="Times New Roman"/>
      </w:rPr>
      <w:t>更新</w:t>
    </w:r>
    <w:r>
      <w:rPr>
        <w:rFonts w:ascii="Times New Roman" w:eastAsia="標楷體" w:hAnsi="Times New Roman"/>
      </w:rPr>
      <w:t>)</w:t>
    </w:r>
    <w:bookmarkEnd w:id="104"/>
    <w:bookmarkEnd w:id="10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F1E25" w14:textId="463E6CD3" w:rsidR="00C6448D" w:rsidRDefault="00C6448D" w:rsidP="008044CD">
    <w:pPr>
      <w:pStyle w:val="a5"/>
      <w:ind w:right="800"/>
      <w:jc w:val="right"/>
      <w:rPr>
        <w:rFonts w:ascii="Times New Roman" w:eastAsia="標楷體" w:hAnsi="Times New Roman"/>
      </w:rPr>
    </w:pPr>
    <w:r>
      <w:rPr>
        <w:rFonts w:ascii="Times New Roman" w:eastAsia="標楷體" w:hAnsi="Times New Roman"/>
      </w:rPr>
      <w:t>(115.</w:t>
    </w:r>
    <w:r w:rsidR="00632B0D">
      <w:rPr>
        <w:rFonts w:ascii="Times New Roman" w:eastAsia="標楷體" w:hAnsi="Times New Roman" w:hint="eastAsia"/>
      </w:rPr>
      <w:t>10</w:t>
    </w:r>
    <w:r>
      <w:rPr>
        <w:rFonts w:ascii="Times New Roman" w:eastAsia="標楷體" w:hAnsi="Times New Roman"/>
      </w:rPr>
      <w:t>.</w:t>
    </w:r>
    <w:r w:rsidR="00847B77">
      <w:rPr>
        <w:rFonts w:ascii="Times New Roman" w:eastAsia="標楷體" w:hAnsi="Times New Roman" w:hint="eastAsia"/>
      </w:rPr>
      <w:t>22</w:t>
    </w:r>
    <w:r>
      <w:rPr>
        <w:rFonts w:ascii="Times New Roman" w:eastAsia="標楷體" w:hAnsi="Times New Roman"/>
      </w:rPr>
      <w:t>更新</w:t>
    </w:r>
    <w:r>
      <w:rPr>
        <w:rFonts w:ascii="Times New Roman" w:eastAsia="標楷體" w:hAnsi="Times New Roman"/>
      </w:rPr>
      <w:t>)</w:t>
    </w:r>
  </w:p>
  <w:p w14:paraId="63E1BBC2" w14:textId="77777777" w:rsidR="00847B77" w:rsidRDefault="00847B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8E0A" w14:textId="6C48AA0E" w:rsidR="00C6448D" w:rsidRDefault="00471241">
    <w:pPr>
      <w:pStyle w:val="a5"/>
      <w:jc w:val="right"/>
      <w:rPr>
        <w:rFonts w:ascii="Times New Roman" w:eastAsia="標楷體" w:hAnsi="Times New Roman"/>
      </w:rPr>
    </w:pPr>
    <w:r w:rsidRPr="00471241">
      <w:rPr>
        <w:rFonts w:ascii="Times New Roman" w:eastAsia="標楷體" w:hAnsi="Times New Roman" w:hint="eastAsia"/>
      </w:rPr>
      <w:t>(115.</w:t>
    </w:r>
    <w:r w:rsidR="00632B0D">
      <w:rPr>
        <w:rFonts w:ascii="Times New Roman" w:eastAsia="標楷體" w:hAnsi="Times New Roman" w:hint="eastAsia"/>
      </w:rPr>
      <w:t>10</w:t>
    </w:r>
    <w:r w:rsidRPr="00471241">
      <w:rPr>
        <w:rFonts w:ascii="Times New Roman" w:eastAsia="標楷體" w:hAnsi="Times New Roman" w:hint="eastAsia"/>
      </w:rPr>
      <w:t>.2</w:t>
    </w:r>
    <w:r w:rsidR="00847B77">
      <w:rPr>
        <w:rFonts w:ascii="Times New Roman" w:eastAsia="標楷體" w:hAnsi="Times New Roman" w:hint="eastAsia"/>
      </w:rPr>
      <w:t>2</w:t>
    </w:r>
    <w:r w:rsidRPr="00471241">
      <w:rPr>
        <w:rFonts w:ascii="Times New Roman" w:eastAsia="標楷體" w:hAnsi="Times New Roman" w:hint="eastAsia"/>
      </w:rPr>
      <w:t>更新</w:t>
    </w:r>
    <w:r w:rsidRPr="00471241">
      <w:rPr>
        <w:rFonts w:ascii="Times New Roman" w:eastAsia="標楷體" w:hAnsi="Times New Roman" w:hint="eastAsia"/>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BE0C8" w14:textId="29CEA630" w:rsidR="00C6448D" w:rsidRDefault="00825364">
    <w:pPr>
      <w:pStyle w:val="a5"/>
      <w:jc w:val="right"/>
      <w:rPr>
        <w:rFonts w:ascii="Times New Roman" w:eastAsia="標楷體" w:hAnsi="Times New Roman"/>
      </w:rPr>
    </w:pPr>
    <w:r>
      <w:rPr>
        <w:rFonts w:ascii="Times New Roman" w:eastAsia="標楷體" w:hAnsi="Times New Roman"/>
      </w:rPr>
      <w:t>(115</w:t>
    </w:r>
    <w:r w:rsidR="00AF3846">
      <w:rPr>
        <w:rFonts w:ascii="Times New Roman" w:eastAsia="標楷體" w:hAnsi="Times New Roman" w:hint="eastAsia"/>
      </w:rPr>
      <w:t>.</w:t>
    </w:r>
    <w:r w:rsidR="00632B0D">
      <w:rPr>
        <w:rFonts w:ascii="Times New Roman" w:eastAsia="標楷體" w:hAnsi="Times New Roman" w:hint="eastAsia"/>
      </w:rPr>
      <w:t>10</w:t>
    </w:r>
    <w:r>
      <w:rPr>
        <w:rFonts w:ascii="Times New Roman" w:eastAsia="標楷體" w:hAnsi="Times New Roman"/>
      </w:rPr>
      <w:t>.2</w:t>
    </w:r>
    <w:r w:rsidR="00847B77">
      <w:rPr>
        <w:rFonts w:ascii="Times New Roman" w:eastAsia="標楷體" w:hAnsi="Times New Roman" w:hint="eastAsia"/>
      </w:rPr>
      <w:t>2</w:t>
    </w:r>
    <w:r>
      <w:rPr>
        <w:rFonts w:ascii="Times New Roman" w:eastAsia="標楷體" w:hAnsi="Times New Roman"/>
      </w:rPr>
      <w:t>更新</w:t>
    </w:r>
    <w:r>
      <w:rPr>
        <w:rFonts w:ascii="Times New Roman" w:eastAsia="標楷體" w:hAnsi="Times New Roma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49F"/>
    <w:multiLevelType w:val="hybridMultilevel"/>
    <w:tmpl w:val="0636C23A"/>
    <w:lvl w:ilvl="0" w:tplc="9D180A3C">
      <w:start w:val="1"/>
      <w:numFmt w:val="lowerRoman"/>
      <w:lvlText w:val="%1."/>
      <w:lvlJc w:val="right"/>
      <w:pPr>
        <w:ind w:left="1246" w:hanging="480"/>
      </w:pPr>
      <w:rPr>
        <w:u w:val="none"/>
      </w:rPr>
    </w:lvl>
    <w:lvl w:ilvl="1" w:tplc="FFFFFFFF" w:tentative="1">
      <w:start w:val="1"/>
      <w:numFmt w:val="ideographTraditional"/>
      <w:lvlText w:val="%2、"/>
      <w:lvlJc w:val="left"/>
      <w:pPr>
        <w:ind w:left="1726" w:hanging="480"/>
      </w:pPr>
    </w:lvl>
    <w:lvl w:ilvl="2" w:tplc="FFFFFFFF" w:tentative="1">
      <w:start w:val="1"/>
      <w:numFmt w:val="lowerRoman"/>
      <w:lvlText w:val="%3."/>
      <w:lvlJc w:val="right"/>
      <w:pPr>
        <w:ind w:left="2206" w:hanging="480"/>
      </w:pPr>
    </w:lvl>
    <w:lvl w:ilvl="3" w:tplc="FFFFFFFF" w:tentative="1">
      <w:start w:val="1"/>
      <w:numFmt w:val="decimal"/>
      <w:lvlText w:val="%4."/>
      <w:lvlJc w:val="left"/>
      <w:pPr>
        <w:ind w:left="2686" w:hanging="480"/>
      </w:pPr>
    </w:lvl>
    <w:lvl w:ilvl="4" w:tplc="FFFFFFFF" w:tentative="1">
      <w:start w:val="1"/>
      <w:numFmt w:val="ideographTraditional"/>
      <w:lvlText w:val="%5、"/>
      <w:lvlJc w:val="left"/>
      <w:pPr>
        <w:ind w:left="3166" w:hanging="480"/>
      </w:pPr>
    </w:lvl>
    <w:lvl w:ilvl="5" w:tplc="FFFFFFFF" w:tentative="1">
      <w:start w:val="1"/>
      <w:numFmt w:val="lowerRoman"/>
      <w:lvlText w:val="%6."/>
      <w:lvlJc w:val="right"/>
      <w:pPr>
        <w:ind w:left="3646" w:hanging="480"/>
      </w:pPr>
    </w:lvl>
    <w:lvl w:ilvl="6" w:tplc="FFFFFFFF" w:tentative="1">
      <w:start w:val="1"/>
      <w:numFmt w:val="decimal"/>
      <w:lvlText w:val="%7."/>
      <w:lvlJc w:val="left"/>
      <w:pPr>
        <w:ind w:left="4126" w:hanging="480"/>
      </w:pPr>
    </w:lvl>
    <w:lvl w:ilvl="7" w:tplc="FFFFFFFF" w:tentative="1">
      <w:start w:val="1"/>
      <w:numFmt w:val="ideographTraditional"/>
      <w:lvlText w:val="%8、"/>
      <w:lvlJc w:val="left"/>
      <w:pPr>
        <w:ind w:left="4606" w:hanging="480"/>
      </w:pPr>
    </w:lvl>
    <w:lvl w:ilvl="8" w:tplc="FFFFFFFF" w:tentative="1">
      <w:start w:val="1"/>
      <w:numFmt w:val="lowerRoman"/>
      <w:lvlText w:val="%9."/>
      <w:lvlJc w:val="right"/>
      <w:pPr>
        <w:ind w:left="5086" w:hanging="480"/>
      </w:pPr>
    </w:lvl>
  </w:abstractNum>
  <w:abstractNum w:abstractNumId="1" w15:restartNumberingAfterBreak="0">
    <w:nsid w:val="01443AB1"/>
    <w:multiLevelType w:val="multilevel"/>
    <w:tmpl w:val="8CF04B0C"/>
    <w:lvl w:ilvl="0">
      <w:numFmt w:val="bullet"/>
      <w:lvlText w:val="□"/>
      <w:lvlJc w:val="left"/>
      <w:pPr>
        <w:ind w:left="360" w:hanging="360"/>
      </w:pPr>
      <w:rPr>
        <w:rFonts w:ascii="標楷體" w:eastAsia="標楷體" w:hAnsi="標楷體"/>
      </w:r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2" w15:restartNumberingAfterBreak="0">
    <w:nsid w:val="0211664E"/>
    <w:multiLevelType w:val="multilevel"/>
    <w:tmpl w:val="8AA20E7E"/>
    <w:lvl w:ilvl="0">
      <w:start w:val="1"/>
      <w:numFmt w:val="decimal"/>
      <w:lvlText w:val="%1."/>
      <w:lvlJc w:val="left"/>
      <w:pPr>
        <w:ind w:left="480" w:hanging="480"/>
      </w:pPr>
      <w:rPr>
        <w:sz w:val="24"/>
        <w:szCs w:val="24"/>
        <w:u w:val="none"/>
      </w:rPr>
    </w:lvl>
    <w:lvl w:ilvl="1">
      <w:start w:val="1"/>
      <w:numFmt w:val="decimal"/>
      <w:lvlText w:val="(%2)"/>
      <w:lvlJc w:val="left"/>
      <w:pPr>
        <w:ind w:left="960" w:hanging="480"/>
      </w:pPr>
      <w:rPr>
        <w:sz w:val="24"/>
        <w:szCs w:val="24"/>
        <w:u w:val="none"/>
      </w:rPr>
    </w:lvl>
    <w:lvl w:ilvl="2">
      <w:start w:val="1"/>
      <w:numFmt w:val="upperRoman"/>
      <w:lvlText w:val="%3."/>
      <w:lvlJc w:val="left"/>
      <w:pPr>
        <w:ind w:left="1440" w:hanging="480"/>
      </w:pPr>
      <w:rPr>
        <w:rFonts w:ascii="Times New Roman" w:hAnsi="Times New Roman" w:cs="Times New Roman"/>
        <w:u w:val="single"/>
      </w:rPr>
    </w:lvl>
    <w:lvl w:ilvl="3">
      <w:start w:val="1"/>
      <w:numFmt w:val="upperLetter"/>
      <w:lvlText w:val="%4."/>
      <w:lvlJc w:val="left"/>
      <w:pPr>
        <w:ind w:left="1800" w:hanging="36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39636FE"/>
    <w:multiLevelType w:val="multilevel"/>
    <w:tmpl w:val="E410C5BE"/>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4" w15:restartNumberingAfterBreak="0">
    <w:nsid w:val="03DB1F8E"/>
    <w:multiLevelType w:val="multilevel"/>
    <w:tmpl w:val="7FD0B754"/>
    <w:lvl w:ilvl="0">
      <w:start w:val="1"/>
      <w:numFmt w:val="decimal"/>
      <w:lvlText w:val="%1."/>
      <w:lvlJc w:val="left"/>
      <w:pPr>
        <w:ind w:left="764" w:hanging="360"/>
      </w:pPr>
    </w:lvl>
    <w:lvl w:ilvl="1">
      <w:start w:val="1"/>
      <w:numFmt w:val="ideographTraditional"/>
      <w:lvlText w:val="%2、"/>
      <w:lvlJc w:val="left"/>
      <w:pPr>
        <w:ind w:left="1124" w:hanging="480"/>
      </w:pPr>
    </w:lvl>
    <w:lvl w:ilvl="2">
      <w:start w:val="1"/>
      <w:numFmt w:val="lowerRoman"/>
      <w:lvlText w:val="%3."/>
      <w:lvlJc w:val="right"/>
      <w:pPr>
        <w:ind w:left="1604" w:hanging="480"/>
      </w:pPr>
    </w:lvl>
    <w:lvl w:ilvl="3">
      <w:start w:val="1"/>
      <w:numFmt w:val="decimal"/>
      <w:lvlText w:val="%4."/>
      <w:lvlJc w:val="left"/>
      <w:pPr>
        <w:ind w:left="2084" w:hanging="480"/>
      </w:pPr>
    </w:lvl>
    <w:lvl w:ilvl="4">
      <w:start w:val="1"/>
      <w:numFmt w:val="ideographTraditional"/>
      <w:lvlText w:val="%5、"/>
      <w:lvlJc w:val="left"/>
      <w:pPr>
        <w:ind w:left="2564" w:hanging="480"/>
      </w:pPr>
    </w:lvl>
    <w:lvl w:ilvl="5">
      <w:start w:val="1"/>
      <w:numFmt w:val="lowerRoman"/>
      <w:lvlText w:val="%6."/>
      <w:lvlJc w:val="right"/>
      <w:pPr>
        <w:ind w:left="3044" w:hanging="480"/>
      </w:pPr>
    </w:lvl>
    <w:lvl w:ilvl="6">
      <w:start w:val="1"/>
      <w:numFmt w:val="decimal"/>
      <w:lvlText w:val="%7."/>
      <w:lvlJc w:val="left"/>
      <w:pPr>
        <w:ind w:left="3524" w:hanging="480"/>
      </w:pPr>
    </w:lvl>
    <w:lvl w:ilvl="7">
      <w:start w:val="1"/>
      <w:numFmt w:val="ideographTraditional"/>
      <w:lvlText w:val="%8、"/>
      <w:lvlJc w:val="left"/>
      <w:pPr>
        <w:ind w:left="4004" w:hanging="480"/>
      </w:pPr>
    </w:lvl>
    <w:lvl w:ilvl="8">
      <w:start w:val="1"/>
      <w:numFmt w:val="lowerRoman"/>
      <w:lvlText w:val="%9."/>
      <w:lvlJc w:val="right"/>
      <w:pPr>
        <w:ind w:left="4484" w:hanging="480"/>
      </w:pPr>
    </w:lvl>
  </w:abstractNum>
  <w:abstractNum w:abstractNumId="5" w15:restartNumberingAfterBreak="0">
    <w:nsid w:val="043B7D5A"/>
    <w:multiLevelType w:val="multilevel"/>
    <w:tmpl w:val="505C51A8"/>
    <w:lvl w:ilvl="0">
      <w:start w:val="1"/>
      <w:numFmt w:val="upperRoman"/>
      <w:suff w:val="nothing"/>
      <w:lvlText w:val="%1."/>
      <w:lvlJc w:val="left"/>
      <w:pPr>
        <w:ind w:left="1332" w:hanging="480"/>
      </w:pPr>
      <w:rPr>
        <w:u w:val="none"/>
      </w:rPr>
    </w:lvl>
    <w:lvl w:ilvl="1">
      <w:start w:val="1"/>
      <w:numFmt w:val="ideographTraditional"/>
      <w:lvlText w:val="%2、"/>
      <w:lvlJc w:val="left"/>
      <w:pPr>
        <w:ind w:left="1812" w:hanging="480"/>
      </w:pPr>
    </w:lvl>
    <w:lvl w:ilvl="2">
      <w:start w:val="1"/>
      <w:numFmt w:val="lowerRoman"/>
      <w:lvlText w:val="%3."/>
      <w:lvlJc w:val="right"/>
      <w:pPr>
        <w:ind w:left="2292" w:hanging="480"/>
      </w:pPr>
    </w:lvl>
    <w:lvl w:ilvl="3">
      <w:start w:val="1"/>
      <w:numFmt w:val="decimal"/>
      <w:lvlText w:val="%4."/>
      <w:lvlJc w:val="left"/>
      <w:pPr>
        <w:ind w:left="2772" w:hanging="480"/>
      </w:pPr>
    </w:lvl>
    <w:lvl w:ilvl="4">
      <w:start w:val="1"/>
      <w:numFmt w:val="ideographTraditional"/>
      <w:lvlText w:val="%5、"/>
      <w:lvlJc w:val="left"/>
      <w:pPr>
        <w:ind w:left="3252" w:hanging="480"/>
      </w:pPr>
    </w:lvl>
    <w:lvl w:ilvl="5">
      <w:start w:val="1"/>
      <w:numFmt w:val="lowerRoman"/>
      <w:lvlText w:val="%6."/>
      <w:lvlJc w:val="right"/>
      <w:pPr>
        <w:ind w:left="3732" w:hanging="480"/>
      </w:pPr>
    </w:lvl>
    <w:lvl w:ilvl="6">
      <w:start w:val="1"/>
      <w:numFmt w:val="decimal"/>
      <w:lvlText w:val="%7."/>
      <w:lvlJc w:val="left"/>
      <w:pPr>
        <w:ind w:left="4212" w:hanging="480"/>
      </w:pPr>
    </w:lvl>
    <w:lvl w:ilvl="7">
      <w:start w:val="1"/>
      <w:numFmt w:val="ideographTraditional"/>
      <w:lvlText w:val="%8、"/>
      <w:lvlJc w:val="left"/>
      <w:pPr>
        <w:ind w:left="4692" w:hanging="480"/>
      </w:pPr>
    </w:lvl>
    <w:lvl w:ilvl="8">
      <w:start w:val="1"/>
      <w:numFmt w:val="lowerRoman"/>
      <w:lvlText w:val="%9."/>
      <w:lvlJc w:val="right"/>
      <w:pPr>
        <w:ind w:left="5172" w:hanging="480"/>
      </w:pPr>
    </w:lvl>
  </w:abstractNum>
  <w:abstractNum w:abstractNumId="6" w15:restartNumberingAfterBreak="0">
    <w:nsid w:val="04D647F2"/>
    <w:multiLevelType w:val="multilevel"/>
    <w:tmpl w:val="AB9AD12E"/>
    <w:lvl w:ilvl="0">
      <w:start w:val="1"/>
      <w:numFmt w:val="upperRoman"/>
      <w:lvlText w:val="%1."/>
      <w:lvlJc w:val="left"/>
      <w:pPr>
        <w:ind w:left="1181" w:hanging="480"/>
      </w:pPr>
      <w:rPr>
        <w:u w:val="none"/>
      </w:rPr>
    </w:lvl>
    <w:lvl w:ilvl="1">
      <w:start w:val="1"/>
      <w:numFmt w:val="ideographTraditional"/>
      <w:lvlText w:val="%2、"/>
      <w:lvlJc w:val="left"/>
      <w:pPr>
        <w:ind w:left="1661" w:hanging="480"/>
      </w:pPr>
    </w:lvl>
    <w:lvl w:ilvl="2">
      <w:start w:val="1"/>
      <w:numFmt w:val="lowerRoman"/>
      <w:lvlText w:val="%3."/>
      <w:lvlJc w:val="right"/>
      <w:pPr>
        <w:ind w:left="2141" w:hanging="480"/>
      </w:pPr>
    </w:lvl>
    <w:lvl w:ilvl="3">
      <w:start w:val="1"/>
      <w:numFmt w:val="decimal"/>
      <w:lvlText w:val="%4."/>
      <w:lvlJc w:val="left"/>
      <w:pPr>
        <w:ind w:left="2621" w:hanging="480"/>
      </w:pPr>
    </w:lvl>
    <w:lvl w:ilvl="4">
      <w:start w:val="1"/>
      <w:numFmt w:val="ideographTraditional"/>
      <w:lvlText w:val="%5、"/>
      <w:lvlJc w:val="left"/>
      <w:pPr>
        <w:ind w:left="3101" w:hanging="480"/>
      </w:pPr>
    </w:lvl>
    <w:lvl w:ilvl="5">
      <w:start w:val="1"/>
      <w:numFmt w:val="lowerRoman"/>
      <w:lvlText w:val="%6."/>
      <w:lvlJc w:val="right"/>
      <w:pPr>
        <w:ind w:left="3581" w:hanging="480"/>
      </w:pPr>
    </w:lvl>
    <w:lvl w:ilvl="6">
      <w:start w:val="1"/>
      <w:numFmt w:val="decimal"/>
      <w:lvlText w:val="%7."/>
      <w:lvlJc w:val="left"/>
      <w:pPr>
        <w:ind w:left="4061" w:hanging="480"/>
      </w:pPr>
    </w:lvl>
    <w:lvl w:ilvl="7">
      <w:start w:val="1"/>
      <w:numFmt w:val="ideographTraditional"/>
      <w:lvlText w:val="%8、"/>
      <w:lvlJc w:val="left"/>
      <w:pPr>
        <w:ind w:left="4541" w:hanging="480"/>
      </w:pPr>
    </w:lvl>
    <w:lvl w:ilvl="8">
      <w:start w:val="1"/>
      <w:numFmt w:val="lowerRoman"/>
      <w:lvlText w:val="%9."/>
      <w:lvlJc w:val="right"/>
      <w:pPr>
        <w:ind w:left="5021" w:hanging="480"/>
      </w:pPr>
    </w:lvl>
  </w:abstractNum>
  <w:abstractNum w:abstractNumId="7" w15:restartNumberingAfterBreak="0">
    <w:nsid w:val="051B044F"/>
    <w:multiLevelType w:val="hybridMultilevel"/>
    <w:tmpl w:val="609A8886"/>
    <w:lvl w:ilvl="0" w:tplc="E75661E0">
      <w:start w:val="1"/>
      <w:numFmt w:val="decimal"/>
      <w:lvlText w:val="%1."/>
      <w:lvlJc w:val="left"/>
      <w:pPr>
        <w:ind w:left="480" w:hanging="360"/>
      </w:pPr>
      <w:rPr>
        <w:rFonts w:ascii="標楷體" w:eastAsia="標楷體" w:hAnsi="標楷體" w:hint="default"/>
        <w:u w:val="none"/>
      </w:rPr>
    </w:lvl>
    <w:lvl w:ilvl="1" w:tplc="FFFFFFFF" w:tentative="1">
      <w:start w:val="1"/>
      <w:numFmt w:val="ideographTraditional"/>
      <w:lvlText w:val="%2、"/>
      <w:lvlJc w:val="left"/>
      <w:pPr>
        <w:ind w:left="1080" w:hanging="480"/>
      </w:pPr>
    </w:lvl>
    <w:lvl w:ilvl="2" w:tplc="FFFFFFFF" w:tentative="1">
      <w:start w:val="1"/>
      <w:numFmt w:val="lowerRoman"/>
      <w:lvlText w:val="%3."/>
      <w:lvlJc w:val="right"/>
      <w:pPr>
        <w:ind w:left="1560" w:hanging="480"/>
      </w:pPr>
    </w:lvl>
    <w:lvl w:ilvl="3" w:tplc="FFFFFFFF" w:tentative="1">
      <w:start w:val="1"/>
      <w:numFmt w:val="decimal"/>
      <w:lvlText w:val="%4."/>
      <w:lvlJc w:val="left"/>
      <w:pPr>
        <w:ind w:left="2040" w:hanging="480"/>
      </w:pPr>
    </w:lvl>
    <w:lvl w:ilvl="4" w:tplc="FFFFFFFF" w:tentative="1">
      <w:start w:val="1"/>
      <w:numFmt w:val="ideographTraditional"/>
      <w:lvlText w:val="%5、"/>
      <w:lvlJc w:val="left"/>
      <w:pPr>
        <w:ind w:left="2520" w:hanging="480"/>
      </w:pPr>
    </w:lvl>
    <w:lvl w:ilvl="5" w:tplc="FFFFFFFF" w:tentative="1">
      <w:start w:val="1"/>
      <w:numFmt w:val="lowerRoman"/>
      <w:lvlText w:val="%6."/>
      <w:lvlJc w:val="right"/>
      <w:pPr>
        <w:ind w:left="3000" w:hanging="480"/>
      </w:pPr>
    </w:lvl>
    <w:lvl w:ilvl="6" w:tplc="FFFFFFFF" w:tentative="1">
      <w:start w:val="1"/>
      <w:numFmt w:val="decimal"/>
      <w:lvlText w:val="%7."/>
      <w:lvlJc w:val="left"/>
      <w:pPr>
        <w:ind w:left="3480" w:hanging="480"/>
      </w:pPr>
    </w:lvl>
    <w:lvl w:ilvl="7" w:tplc="FFFFFFFF" w:tentative="1">
      <w:start w:val="1"/>
      <w:numFmt w:val="ideographTraditional"/>
      <w:lvlText w:val="%8、"/>
      <w:lvlJc w:val="left"/>
      <w:pPr>
        <w:ind w:left="3960" w:hanging="480"/>
      </w:pPr>
    </w:lvl>
    <w:lvl w:ilvl="8" w:tplc="FFFFFFFF" w:tentative="1">
      <w:start w:val="1"/>
      <w:numFmt w:val="lowerRoman"/>
      <w:lvlText w:val="%9."/>
      <w:lvlJc w:val="right"/>
      <w:pPr>
        <w:ind w:left="4440" w:hanging="480"/>
      </w:pPr>
    </w:lvl>
  </w:abstractNum>
  <w:abstractNum w:abstractNumId="8" w15:restartNumberingAfterBreak="0">
    <w:nsid w:val="057333C0"/>
    <w:multiLevelType w:val="multilevel"/>
    <w:tmpl w:val="09D6C1C8"/>
    <w:lvl w:ilvl="0">
      <w:numFmt w:val="bullet"/>
      <w:lvlText w:val="□"/>
      <w:lvlJc w:val="left"/>
      <w:pPr>
        <w:ind w:left="405" w:hanging="405"/>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06330775"/>
    <w:multiLevelType w:val="multilevel"/>
    <w:tmpl w:val="82FEE376"/>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06E5210F"/>
    <w:multiLevelType w:val="multilevel"/>
    <w:tmpl w:val="EB50E05A"/>
    <w:lvl w:ilvl="0">
      <w:start w:val="1"/>
      <w:numFmt w:val="decimal"/>
      <w:lvlText w:val="%1、"/>
      <w:lvlJc w:val="left"/>
      <w:pPr>
        <w:ind w:left="720" w:hanging="720"/>
      </w:pPr>
    </w:lvl>
    <w:lvl w:ilvl="1">
      <w:numFmt w:val="bullet"/>
      <w:lvlText w:val="□"/>
      <w:lvlJc w:val="left"/>
      <w:pPr>
        <w:ind w:left="1455" w:hanging="975"/>
      </w:pPr>
      <w:rPr>
        <w:rFonts w:ascii="標楷體" w:hAnsi="標楷體"/>
        <w:lang w:val="en-US"/>
      </w:rPr>
    </w:lvl>
    <w:lvl w:ilvl="2">
      <w:start w:val="1"/>
      <w:numFmt w:val="lowerRoman"/>
      <w:lvlText w:val="%3."/>
      <w:lvlJc w:val="right"/>
      <w:pPr>
        <w:ind w:left="1440" w:firstLine="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firstLine="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firstLine="0"/>
      </w:pPr>
    </w:lvl>
  </w:abstractNum>
  <w:abstractNum w:abstractNumId="11" w15:restartNumberingAfterBreak="0">
    <w:nsid w:val="06FC2EE1"/>
    <w:multiLevelType w:val="hybridMultilevel"/>
    <w:tmpl w:val="5FD01F9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08821669"/>
    <w:multiLevelType w:val="multilevel"/>
    <w:tmpl w:val="F0EAC028"/>
    <w:lvl w:ilvl="0">
      <w:numFmt w:val="bullet"/>
      <w:lvlText w:val="□"/>
      <w:lvlJc w:val="left"/>
      <w:pPr>
        <w:ind w:left="720" w:hanging="360"/>
      </w:pPr>
      <w:rPr>
        <w:rFonts w:ascii="標楷體" w:hAnsi="標楷體"/>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095B1028"/>
    <w:multiLevelType w:val="multilevel"/>
    <w:tmpl w:val="E7821F30"/>
    <w:lvl w:ilvl="0">
      <w:start w:val="1"/>
      <w:numFmt w:val="decimal"/>
      <w:suff w:val="nothing"/>
      <w:lvlText w:val="(%1)"/>
      <w:lvlJc w:val="left"/>
      <w:pPr>
        <w:ind w:left="480" w:hanging="480"/>
      </w:pPr>
      <w:rPr>
        <w:rFonts w:ascii="標楷體" w:eastAsia="標楷體" w:hAnsi="標楷體" w:cs="Times New Roman"/>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09704946"/>
    <w:multiLevelType w:val="multilevel"/>
    <w:tmpl w:val="6882A176"/>
    <w:lvl w:ilvl="0">
      <w:start w:val="1"/>
      <w:numFmt w:val="lowerRoman"/>
      <w:lvlText w:val="%1."/>
      <w:lvlJc w:val="right"/>
      <w:pPr>
        <w:ind w:left="1723" w:hanging="480"/>
      </w:pPr>
    </w:lvl>
    <w:lvl w:ilvl="1">
      <w:start w:val="1"/>
      <w:numFmt w:val="ideographTraditional"/>
      <w:lvlText w:val="%2、"/>
      <w:lvlJc w:val="left"/>
      <w:pPr>
        <w:ind w:left="1723" w:hanging="480"/>
      </w:pPr>
    </w:lvl>
    <w:lvl w:ilvl="2">
      <w:start w:val="1"/>
      <w:numFmt w:val="lowerRoman"/>
      <w:lvlText w:val="%3."/>
      <w:lvlJc w:val="right"/>
      <w:pPr>
        <w:ind w:left="2203" w:hanging="480"/>
      </w:pPr>
    </w:lvl>
    <w:lvl w:ilvl="3">
      <w:start w:val="1"/>
      <w:numFmt w:val="decimal"/>
      <w:lvlText w:val="%4."/>
      <w:lvlJc w:val="left"/>
      <w:pPr>
        <w:ind w:left="2683" w:hanging="480"/>
      </w:pPr>
    </w:lvl>
    <w:lvl w:ilvl="4">
      <w:start w:val="1"/>
      <w:numFmt w:val="ideographTraditional"/>
      <w:lvlText w:val="%5、"/>
      <w:lvlJc w:val="left"/>
      <w:pPr>
        <w:ind w:left="3163" w:hanging="480"/>
      </w:pPr>
    </w:lvl>
    <w:lvl w:ilvl="5">
      <w:start w:val="1"/>
      <w:numFmt w:val="lowerRoman"/>
      <w:lvlText w:val="%6."/>
      <w:lvlJc w:val="right"/>
      <w:pPr>
        <w:ind w:left="3643" w:hanging="480"/>
      </w:pPr>
    </w:lvl>
    <w:lvl w:ilvl="6">
      <w:start w:val="1"/>
      <w:numFmt w:val="decimal"/>
      <w:lvlText w:val="%7."/>
      <w:lvlJc w:val="left"/>
      <w:pPr>
        <w:ind w:left="4123" w:hanging="480"/>
      </w:pPr>
    </w:lvl>
    <w:lvl w:ilvl="7">
      <w:start w:val="1"/>
      <w:numFmt w:val="ideographTraditional"/>
      <w:lvlText w:val="%8、"/>
      <w:lvlJc w:val="left"/>
      <w:pPr>
        <w:ind w:left="4603" w:hanging="480"/>
      </w:pPr>
    </w:lvl>
    <w:lvl w:ilvl="8">
      <w:start w:val="1"/>
      <w:numFmt w:val="lowerRoman"/>
      <w:lvlText w:val="%9."/>
      <w:lvlJc w:val="right"/>
      <w:pPr>
        <w:ind w:left="5083" w:hanging="480"/>
      </w:pPr>
    </w:lvl>
  </w:abstractNum>
  <w:abstractNum w:abstractNumId="15" w15:restartNumberingAfterBreak="0">
    <w:nsid w:val="09AC4096"/>
    <w:multiLevelType w:val="multilevel"/>
    <w:tmpl w:val="1FA8EFFA"/>
    <w:lvl w:ilvl="0">
      <w:start w:val="1"/>
      <w:numFmt w:val="decimal"/>
      <w:suff w:val="nothing"/>
      <w:lvlText w:val="(%1)"/>
      <w:lvlJc w:val="left"/>
      <w:pPr>
        <w:ind w:left="1320" w:hanging="720"/>
      </w:pPr>
      <w:rPr>
        <w:rFonts w:hint="eastAsia"/>
        <w:strike w:val="0"/>
        <w:dstrike w:val="0"/>
        <w:u w:val="none"/>
        <w:effect w:val="none"/>
      </w:rPr>
    </w:lvl>
    <w:lvl w:ilvl="1">
      <w:start w:val="1"/>
      <w:numFmt w:val="ideographTraditional"/>
      <w:lvlText w:val="%2、"/>
      <w:lvlJc w:val="left"/>
      <w:pPr>
        <w:ind w:left="1560" w:hanging="480"/>
      </w:pPr>
      <w:rPr>
        <w:rFonts w:hint="eastAsia"/>
      </w:rPr>
    </w:lvl>
    <w:lvl w:ilvl="2">
      <w:start w:val="1"/>
      <w:numFmt w:val="lowerRoman"/>
      <w:lvlText w:val="%3."/>
      <w:lvlJc w:val="right"/>
      <w:pPr>
        <w:ind w:left="2040" w:hanging="480"/>
      </w:pPr>
      <w:rPr>
        <w:rFonts w:hint="eastAsia"/>
      </w:rPr>
    </w:lvl>
    <w:lvl w:ilvl="3">
      <w:start w:val="1"/>
      <w:numFmt w:val="decimal"/>
      <w:lvlText w:val="%4."/>
      <w:lvlJc w:val="left"/>
      <w:pPr>
        <w:ind w:left="2520" w:hanging="480"/>
      </w:pPr>
      <w:rPr>
        <w:rFonts w:hint="eastAsia"/>
      </w:rPr>
    </w:lvl>
    <w:lvl w:ilvl="4">
      <w:start w:val="1"/>
      <w:numFmt w:val="ideographTraditional"/>
      <w:lvlText w:val="%5、"/>
      <w:lvlJc w:val="left"/>
      <w:pPr>
        <w:ind w:left="3000" w:hanging="480"/>
      </w:pPr>
      <w:rPr>
        <w:rFonts w:hint="eastAsia"/>
      </w:rPr>
    </w:lvl>
    <w:lvl w:ilvl="5">
      <w:start w:val="1"/>
      <w:numFmt w:val="lowerRoman"/>
      <w:lvlText w:val="%6."/>
      <w:lvlJc w:val="right"/>
      <w:pPr>
        <w:ind w:left="3480" w:hanging="480"/>
      </w:pPr>
      <w:rPr>
        <w:rFonts w:hint="eastAsia"/>
      </w:rPr>
    </w:lvl>
    <w:lvl w:ilvl="6">
      <w:start w:val="1"/>
      <w:numFmt w:val="decimal"/>
      <w:lvlText w:val="%7."/>
      <w:lvlJc w:val="left"/>
      <w:pPr>
        <w:ind w:left="3960" w:hanging="480"/>
      </w:pPr>
      <w:rPr>
        <w:rFonts w:hint="eastAsia"/>
      </w:rPr>
    </w:lvl>
    <w:lvl w:ilvl="7">
      <w:start w:val="1"/>
      <w:numFmt w:val="ideographTraditional"/>
      <w:lvlText w:val="%8、"/>
      <w:lvlJc w:val="left"/>
      <w:pPr>
        <w:ind w:left="4440" w:hanging="480"/>
      </w:pPr>
      <w:rPr>
        <w:rFonts w:hint="eastAsia"/>
      </w:rPr>
    </w:lvl>
    <w:lvl w:ilvl="8">
      <w:start w:val="1"/>
      <w:numFmt w:val="lowerRoman"/>
      <w:lvlText w:val="%9."/>
      <w:lvlJc w:val="right"/>
      <w:pPr>
        <w:ind w:left="4920" w:hanging="480"/>
      </w:pPr>
      <w:rPr>
        <w:rFonts w:hint="eastAsia"/>
      </w:rPr>
    </w:lvl>
  </w:abstractNum>
  <w:abstractNum w:abstractNumId="16" w15:restartNumberingAfterBreak="0">
    <w:nsid w:val="0A482DB8"/>
    <w:multiLevelType w:val="multilevel"/>
    <w:tmpl w:val="6D84BD2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0A6A256C"/>
    <w:multiLevelType w:val="multilevel"/>
    <w:tmpl w:val="A382526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0A882D4A"/>
    <w:multiLevelType w:val="multilevel"/>
    <w:tmpl w:val="7A8A6F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0AFA511F"/>
    <w:multiLevelType w:val="multilevel"/>
    <w:tmpl w:val="AB44D608"/>
    <w:lvl w:ilvl="0">
      <w:start w:val="1"/>
      <w:numFmt w:val="upperRoman"/>
      <w:suff w:val="nothing"/>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 w15:restartNumberingAfterBreak="0">
    <w:nsid w:val="0B2E0425"/>
    <w:multiLevelType w:val="multilevel"/>
    <w:tmpl w:val="44921538"/>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0B2F2AD7"/>
    <w:multiLevelType w:val="hybridMultilevel"/>
    <w:tmpl w:val="D45456A4"/>
    <w:lvl w:ilvl="0" w:tplc="463E1086">
      <w:start w:val="1"/>
      <w:numFmt w:val="decimal"/>
      <w:lvlText w:val="%1."/>
      <w:lvlJc w:val="left"/>
      <w:pPr>
        <w:ind w:left="480" w:hanging="480"/>
      </w:pPr>
      <w:rPr>
        <w:sz w:val="28"/>
        <w:szCs w:val="28"/>
        <w:u w:val="single"/>
      </w:rPr>
    </w:lvl>
    <w:lvl w:ilvl="1" w:tplc="BF420056">
      <w:start w:val="1"/>
      <w:numFmt w:val="decimal"/>
      <w:lvlText w:val="(%2)."/>
      <w:lvlJc w:val="left"/>
      <w:pPr>
        <w:ind w:left="960" w:hanging="480"/>
      </w:pPr>
      <w:rPr>
        <w:rFonts w:hint="eastAsia"/>
        <w:u w:val="none"/>
      </w:rPr>
    </w:lvl>
    <w:lvl w:ilvl="2" w:tplc="3DBE20C6">
      <w:start w:val="1"/>
      <w:numFmt w:val="upperRoman"/>
      <w:lvlText w:val="%3."/>
      <w:lvlJc w:val="left"/>
      <w:pPr>
        <w:ind w:left="1048" w:hanging="480"/>
      </w:pPr>
      <w:rPr>
        <w:u w:val="none"/>
      </w:rPr>
    </w:lvl>
    <w:lvl w:ilvl="3" w:tplc="0409001B">
      <w:start w:val="1"/>
      <w:numFmt w:val="lowerRoman"/>
      <w:lvlText w:val="%4."/>
      <w:lvlJc w:val="right"/>
      <w:pPr>
        <w:ind w:left="1757"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0BD8185A"/>
    <w:multiLevelType w:val="multilevel"/>
    <w:tmpl w:val="BEFA1440"/>
    <w:lvl w:ilvl="0">
      <w:numFmt w:val="bullet"/>
      <w:lvlText w:val=""/>
      <w:lvlJc w:val="left"/>
      <w:rPr>
        <w:rFonts w:ascii="Wingdings" w:hAnsi="Wingdings" w:cs="Wingdings"/>
        <w:sz w:val="24"/>
        <w:szCs w:val="24"/>
      </w:r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3" w15:restartNumberingAfterBreak="0">
    <w:nsid w:val="0BDE7653"/>
    <w:multiLevelType w:val="multilevel"/>
    <w:tmpl w:val="301626B4"/>
    <w:lvl w:ilvl="0">
      <w:numFmt w:val="bullet"/>
      <w:lvlText w:val="□"/>
      <w:lvlJc w:val="left"/>
      <w:pPr>
        <w:ind w:left="495" w:hanging="495"/>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4" w15:restartNumberingAfterBreak="0">
    <w:nsid w:val="0C622D38"/>
    <w:multiLevelType w:val="multilevel"/>
    <w:tmpl w:val="0FB29F00"/>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25" w15:restartNumberingAfterBreak="0">
    <w:nsid w:val="0CE90025"/>
    <w:multiLevelType w:val="multilevel"/>
    <w:tmpl w:val="E8B634B2"/>
    <w:lvl w:ilvl="0">
      <w:start w:val="1"/>
      <w:numFmt w:val="upperRoman"/>
      <w:suff w:val="nothing"/>
      <w:lvlText w:val="%1."/>
      <w:lvlJc w:val="left"/>
      <w:pPr>
        <w:ind w:left="1615" w:hanging="480"/>
      </w:pPr>
      <w:rPr>
        <w:rFonts w:ascii="標楷體" w:eastAsia="標楷體" w:hAnsi="標楷體" w:hint="eastAsia"/>
        <w:u w:val="none"/>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6" w15:restartNumberingAfterBreak="0">
    <w:nsid w:val="0D0071D5"/>
    <w:multiLevelType w:val="multilevel"/>
    <w:tmpl w:val="AF7E0516"/>
    <w:lvl w:ilvl="0">
      <w:start w:val="1"/>
      <w:numFmt w:val="decimal"/>
      <w:lvlText w:val="%1."/>
      <w:lvlJc w:val="left"/>
      <w:pPr>
        <w:ind w:left="360" w:hanging="360"/>
      </w:pPr>
      <w:rPr>
        <w:rFonts w:ascii="新細明體" w:hAnsi="新細明體" w:cs="Times New Roman"/>
      </w:rPr>
    </w:lvl>
    <w:lvl w:ilvl="1">
      <w:start w:val="1"/>
      <w:numFmt w:val="decimal"/>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0D342D51"/>
    <w:multiLevelType w:val="multilevel"/>
    <w:tmpl w:val="88C20B18"/>
    <w:lvl w:ilvl="0">
      <w:numFmt w:val="bullet"/>
      <w:lvlText w:val=""/>
      <w:lvlJc w:val="left"/>
      <w:pPr>
        <w:ind w:left="480" w:hanging="480"/>
      </w:pPr>
      <w:rPr>
        <w:rFonts w:ascii="Wingdings" w:hAnsi="Wingdings" w:cs="Wingdings"/>
        <w:sz w:val="24"/>
        <w:szCs w:val="24"/>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28" w15:restartNumberingAfterBreak="0">
    <w:nsid w:val="0DBE7729"/>
    <w:multiLevelType w:val="multilevel"/>
    <w:tmpl w:val="5EF8E61E"/>
    <w:lvl w:ilvl="0">
      <w:start w:val="1"/>
      <w:numFmt w:val="ideographLegalTraditional"/>
      <w:lvlText w:val="%1、"/>
      <w:lvlJc w:val="left"/>
      <w:pPr>
        <w:ind w:left="3256" w:hanging="420"/>
      </w:pPr>
      <w:rPr>
        <w:lang w:val="en-US"/>
      </w:rPr>
    </w:lvl>
    <w:lvl w:ilvl="1">
      <w:start w:val="1"/>
      <w:numFmt w:val="taiwaneseCountingThousand"/>
      <w:lvlText w:val="%2、"/>
      <w:lvlJc w:val="left"/>
      <w:pPr>
        <w:ind w:left="1200" w:hanging="72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0F7956D8"/>
    <w:multiLevelType w:val="multilevel"/>
    <w:tmpl w:val="E62A6C62"/>
    <w:lvl w:ilvl="0">
      <w:start w:val="1"/>
      <w:numFmt w:val="decimal"/>
      <w:lvlText w:val="%1."/>
      <w:lvlJc w:val="left"/>
      <w:pPr>
        <w:ind w:left="425" w:hanging="425"/>
      </w:pPr>
      <w:rPr>
        <w:rFonts w:ascii="Arial" w:hAnsi="Arial" w:cs="Arial"/>
        <w:sz w:val="20"/>
        <w:szCs w:val="24"/>
      </w:rPr>
    </w:lvl>
    <w:lvl w:ilvl="1">
      <w:start w:val="1"/>
      <w:numFmt w:val="ideographTraditional"/>
      <w:lvlText w:val="%2、"/>
      <w:lvlJc w:val="left"/>
      <w:pPr>
        <w:ind w:left="960" w:hanging="480"/>
      </w:pPr>
    </w:lvl>
    <w:lvl w:ilvl="2">
      <w:start w:val="1"/>
      <w:numFmt w:val="lowerRoman"/>
      <w:lvlText w:val="%3."/>
      <w:lvlJc w:val="right"/>
      <w:pPr>
        <w:ind w:left="1440" w:firstLine="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firstLine="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firstLine="0"/>
      </w:pPr>
    </w:lvl>
  </w:abstractNum>
  <w:abstractNum w:abstractNumId="30" w15:restartNumberingAfterBreak="0">
    <w:nsid w:val="0FF257DA"/>
    <w:multiLevelType w:val="multilevel"/>
    <w:tmpl w:val="073AA17A"/>
    <w:lvl w:ilvl="0">
      <w:start w:val="1"/>
      <w:numFmt w:val="decimal"/>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10665B4A"/>
    <w:multiLevelType w:val="multilevel"/>
    <w:tmpl w:val="2A1E1A7C"/>
    <w:lvl w:ilvl="0">
      <w:start w:val="1"/>
      <w:numFmt w:val="decimal"/>
      <w:lvlText w:val="(%1)"/>
      <w:lvlJc w:val="left"/>
      <w:pPr>
        <w:ind w:left="394" w:hanging="360"/>
      </w:pPr>
      <w:rPr>
        <w:rFonts w:ascii="標楷體" w:eastAsia="標楷體" w:hAnsi="標楷體"/>
      </w:r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32" w15:restartNumberingAfterBreak="0">
    <w:nsid w:val="118132A4"/>
    <w:multiLevelType w:val="multilevel"/>
    <w:tmpl w:val="F57C2984"/>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33" w15:restartNumberingAfterBreak="0">
    <w:nsid w:val="11AF0A79"/>
    <w:multiLevelType w:val="hybridMultilevel"/>
    <w:tmpl w:val="1220B5FA"/>
    <w:lvl w:ilvl="0" w:tplc="EC54049C">
      <w:start w:val="1"/>
      <w:numFmt w:val="upperRoman"/>
      <w:suff w:val="nothing"/>
      <w:lvlText w:val="%1."/>
      <w:lvlJc w:val="left"/>
      <w:pPr>
        <w:ind w:left="1756"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4" w15:restartNumberingAfterBreak="0">
    <w:nsid w:val="11C86C01"/>
    <w:multiLevelType w:val="multilevel"/>
    <w:tmpl w:val="3D8EBE0E"/>
    <w:lvl w:ilvl="0">
      <w:start w:val="1"/>
      <w:numFmt w:val="decimal"/>
      <w:lvlText w:val="%1."/>
      <w:lvlJc w:val="left"/>
      <w:pPr>
        <w:ind w:left="1361" w:hanging="598"/>
      </w:pPr>
      <w:rPr>
        <w:rFonts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12061113"/>
    <w:multiLevelType w:val="multilevel"/>
    <w:tmpl w:val="5ED0D444"/>
    <w:lvl w:ilvl="0">
      <w:start w:val="1"/>
      <w:numFmt w:val="decimal"/>
      <w:lvlText w:val="(%1)"/>
      <w:lvlJc w:val="left"/>
      <w:pPr>
        <w:ind w:left="480" w:hanging="480"/>
      </w:pPr>
      <w:rPr>
        <w:rFonts w:eastAsia="標楷體"/>
        <w:b w:val="0"/>
        <w:i w:val="0"/>
        <w:sz w:val="20"/>
      </w:rPr>
    </w:lvl>
    <w:lvl w:ilvl="1">
      <w:start w:val="1"/>
      <w:numFmt w:val="ideographTraditional"/>
      <w:lvlText w:val="%2、"/>
      <w:lvlJc w:val="left"/>
      <w:pPr>
        <w:ind w:left="960" w:hanging="480"/>
      </w:pPr>
    </w:lvl>
    <w:lvl w:ilvl="2">
      <w:start w:val="1"/>
      <w:numFmt w:val="upperRoman"/>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1273747B"/>
    <w:multiLevelType w:val="multilevel"/>
    <w:tmpl w:val="E2E28160"/>
    <w:lvl w:ilvl="0">
      <w:start w:val="1"/>
      <w:numFmt w:val="decimal"/>
      <w:lvlText w:val="%1."/>
      <w:lvlJc w:val="left"/>
      <w:pPr>
        <w:ind w:left="720" w:hanging="720"/>
      </w:pPr>
      <w:rPr>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12D23CD0"/>
    <w:multiLevelType w:val="multilevel"/>
    <w:tmpl w:val="8F02B06E"/>
    <w:lvl w:ilvl="0">
      <w:start w:val="4"/>
      <w:numFmt w:val="decimal"/>
      <w:lvlText w:val="%1."/>
      <w:lvlJc w:val="left"/>
      <w:pPr>
        <w:ind w:left="1459" w:hanging="480"/>
      </w:pPr>
      <w:rPr>
        <w:rFonts w:cs="Times New Roman"/>
      </w:rPr>
    </w:lvl>
    <w:lvl w:ilvl="1">
      <w:start w:val="1"/>
      <w:numFmt w:val="ideographTraditional"/>
      <w:lvlText w:val="%2、"/>
      <w:lvlJc w:val="left"/>
      <w:pPr>
        <w:ind w:left="1176" w:hanging="480"/>
      </w:pPr>
      <w:rPr>
        <w:rFonts w:cs="Times New Roman"/>
      </w:rPr>
    </w:lvl>
    <w:lvl w:ilvl="2">
      <w:start w:val="1"/>
      <w:numFmt w:val="lowerRoman"/>
      <w:lvlText w:val="%3."/>
      <w:lvlJc w:val="right"/>
      <w:pPr>
        <w:ind w:left="1656" w:hanging="480"/>
      </w:pPr>
      <w:rPr>
        <w:rFonts w:cs="Times New Roman"/>
      </w:rPr>
    </w:lvl>
    <w:lvl w:ilvl="3">
      <w:start w:val="1"/>
      <w:numFmt w:val="decimal"/>
      <w:lvlText w:val="%4."/>
      <w:lvlJc w:val="left"/>
      <w:pPr>
        <w:ind w:left="2136" w:hanging="480"/>
      </w:pPr>
      <w:rPr>
        <w:rFonts w:cs="Times New Roman"/>
      </w:rPr>
    </w:lvl>
    <w:lvl w:ilvl="4">
      <w:start w:val="1"/>
      <w:numFmt w:val="ideographTraditional"/>
      <w:lvlText w:val="%5、"/>
      <w:lvlJc w:val="left"/>
      <w:pPr>
        <w:ind w:left="2616" w:hanging="480"/>
      </w:pPr>
      <w:rPr>
        <w:rFonts w:cs="Times New Roman"/>
      </w:rPr>
    </w:lvl>
    <w:lvl w:ilvl="5">
      <w:start w:val="1"/>
      <w:numFmt w:val="lowerRoman"/>
      <w:lvlText w:val="%6."/>
      <w:lvlJc w:val="right"/>
      <w:pPr>
        <w:ind w:left="3096" w:hanging="480"/>
      </w:pPr>
      <w:rPr>
        <w:rFonts w:cs="Times New Roman"/>
      </w:rPr>
    </w:lvl>
    <w:lvl w:ilvl="6">
      <w:start w:val="1"/>
      <w:numFmt w:val="decimal"/>
      <w:lvlText w:val="%7."/>
      <w:lvlJc w:val="left"/>
      <w:pPr>
        <w:ind w:left="3576" w:hanging="480"/>
      </w:pPr>
      <w:rPr>
        <w:rFonts w:cs="Times New Roman"/>
      </w:rPr>
    </w:lvl>
    <w:lvl w:ilvl="7">
      <w:start w:val="1"/>
      <w:numFmt w:val="ideographTraditional"/>
      <w:lvlText w:val="%8、"/>
      <w:lvlJc w:val="left"/>
      <w:pPr>
        <w:ind w:left="4056" w:hanging="480"/>
      </w:pPr>
      <w:rPr>
        <w:rFonts w:cs="Times New Roman"/>
      </w:rPr>
    </w:lvl>
    <w:lvl w:ilvl="8">
      <w:start w:val="1"/>
      <w:numFmt w:val="lowerRoman"/>
      <w:lvlText w:val="%9."/>
      <w:lvlJc w:val="right"/>
      <w:pPr>
        <w:ind w:left="4536" w:hanging="480"/>
      </w:pPr>
      <w:rPr>
        <w:rFonts w:cs="Times New Roman"/>
      </w:rPr>
    </w:lvl>
  </w:abstractNum>
  <w:abstractNum w:abstractNumId="38" w15:restartNumberingAfterBreak="0">
    <w:nsid w:val="13EA283E"/>
    <w:multiLevelType w:val="multilevel"/>
    <w:tmpl w:val="F7A2B67C"/>
    <w:lvl w:ilvl="0">
      <w:start w:val="1"/>
      <w:numFmt w:val="decimal"/>
      <w:lvlText w:val="(%1)"/>
      <w:lvlJc w:val="left"/>
      <w:pPr>
        <w:ind w:left="480" w:hanging="480"/>
      </w:pPr>
      <w:rPr>
        <w:rFonts w:eastAsia="標楷體"/>
        <w:b w:val="0"/>
        <w:i w:val="0"/>
        <w:sz w:val="20"/>
      </w:rPr>
    </w:lvl>
    <w:lvl w:ilvl="1">
      <w:start w:val="1"/>
      <w:numFmt w:val="ideographTraditional"/>
      <w:lvlText w:val="%2、"/>
      <w:lvlJc w:val="left"/>
      <w:pPr>
        <w:ind w:left="960" w:hanging="480"/>
      </w:pPr>
    </w:lvl>
    <w:lvl w:ilvl="2">
      <w:start w:val="1"/>
      <w:numFmt w:val="upperRoman"/>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9" w15:restartNumberingAfterBreak="0">
    <w:nsid w:val="1446680E"/>
    <w:multiLevelType w:val="multilevel"/>
    <w:tmpl w:val="6E5888C4"/>
    <w:lvl w:ilvl="0">
      <w:numFmt w:val="bullet"/>
      <w:lvlText w:val="□"/>
      <w:lvlJc w:val="left"/>
      <w:pPr>
        <w:ind w:left="420" w:hanging="420"/>
      </w:pPr>
      <w:rPr>
        <w:rFonts w:ascii="標楷體" w:eastAsia="標楷體" w:hAnsi="標楷體" w:cs="Times New Roman"/>
        <w:b/>
        <w:sz w:val="28"/>
        <w:szCs w:val="28"/>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40" w15:restartNumberingAfterBreak="0">
    <w:nsid w:val="14E260AB"/>
    <w:multiLevelType w:val="multilevel"/>
    <w:tmpl w:val="8D686712"/>
    <w:lvl w:ilvl="0">
      <w:start w:val="1"/>
      <w:numFmt w:val="decimal"/>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14F76B72"/>
    <w:multiLevelType w:val="hybridMultilevel"/>
    <w:tmpl w:val="7442A2A0"/>
    <w:lvl w:ilvl="0" w:tplc="5C6273B2">
      <w:start w:val="1"/>
      <w:numFmt w:val="decimal"/>
      <w:lvlText w:val="(%1)"/>
      <w:lvlJc w:val="left"/>
      <w:pPr>
        <w:ind w:left="620" w:hanging="480"/>
      </w:pPr>
      <w:rPr>
        <w:b w:val="0"/>
        <w:color w:val="auto"/>
      </w:rPr>
    </w:lvl>
    <w:lvl w:ilvl="1" w:tplc="04090019">
      <w:start w:val="1"/>
      <w:numFmt w:val="ideographTraditional"/>
      <w:lvlText w:val="%2、"/>
      <w:lvlJc w:val="left"/>
      <w:pPr>
        <w:ind w:left="1100" w:hanging="480"/>
      </w:pPr>
    </w:lvl>
    <w:lvl w:ilvl="2" w:tplc="0409001B">
      <w:start w:val="1"/>
      <w:numFmt w:val="lowerRoman"/>
      <w:lvlText w:val="%3."/>
      <w:lvlJc w:val="right"/>
      <w:pPr>
        <w:ind w:left="1580" w:hanging="480"/>
      </w:pPr>
    </w:lvl>
    <w:lvl w:ilvl="3" w:tplc="0409000F">
      <w:start w:val="1"/>
      <w:numFmt w:val="decimal"/>
      <w:lvlText w:val="%4."/>
      <w:lvlJc w:val="left"/>
      <w:pPr>
        <w:ind w:left="2060" w:hanging="480"/>
      </w:pPr>
    </w:lvl>
    <w:lvl w:ilvl="4" w:tplc="04090019">
      <w:start w:val="1"/>
      <w:numFmt w:val="ideographTraditional"/>
      <w:lvlText w:val="%5、"/>
      <w:lvlJc w:val="left"/>
      <w:pPr>
        <w:ind w:left="2540" w:hanging="480"/>
      </w:pPr>
    </w:lvl>
    <w:lvl w:ilvl="5" w:tplc="0409001B">
      <w:start w:val="1"/>
      <w:numFmt w:val="lowerRoman"/>
      <w:lvlText w:val="%6."/>
      <w:lvlJc w:val="right"/>
      <w:pPr>
        <w:ind w:left="3020" w:hanging="480"/>
      </w:pPr>
    </w:lvl>
    <w:lvl w:ilvl="6" w:tplc="0409000F">
      <w:start w:val="1"/>
      <w:numFmt w:val="decimal"/>
      <w:lvlText w:val="%7."/>
      <w:lvlJc w:val="left"/>
      <w:pPr>
        <w:ind w:left="3500" w:hanging="480"/>
      </w:pPr>
    </w:lvl>
    <w:lvl w:ilvl="7" w:tplc="04090019">
      <w:start w:val="1"/>
      <w:numFmt w:val="ideographTraditional"/>
      <w:lvlText w:val="%8、"/>
      <w:lvlJc w:val="left"/>
      <w:pPr>
        <w:ind w:left="3980" w:hanging="480"/>
      </w:pPr>
    </w:lvl>
    <w:lvl w:ilvl="8" w:tplc="0409001B">
      <w:start w:val="1"/>
      <w:numFmt w:val="lowerRoman"/>
      <w:lvlText w:val="%9."/>
      <w:lvlJc w:val="right"/>
      <w:pPr>
        <w:ind w:left="4460" w:hanging="480"/>
      </w:pPr>
    </w:lvl>
  </w:abstractNum>
  <w:abstractNum w:abstractNumId="42" w15:restartNumberingAfterBreak="0">
    <w:nsid w:val="1552285A"/>
    <w:multiLevelType w:val="multilevel"/>
    <w:tmpl w:val="73BC6464"/>
    <w:lvl w:ilvl="0">
      <w:start w:val="1"/>
      <w:numFmt w:val="decimal"/>
      <w:lvlText w:val="%1."/>
      <w:lvlJc w:val="left"/>
      <w:pPr>
        <w:ind w:left="360" w:hanging="360"/>
      </w:pPr>
      <w:rPr>
        <w:rFonts w:ascii="新細明體" w:hAnsi="新細明體"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3" w15:restartNumberingAfterBreak="0">
    <w:nsid w:val="158A0431"/>
    <w:multiLevelType w:val="multilevel"/>
    <w:tmpl w:val="E1D40D24"/>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4" w15:restartNumberingAfterBreak="0">
    <w:nsid w:val="15E77975"/>
    <w:multiLevelType w:val="multilevel"/>
    <w:tmpl w:val="7BC22290"/>
    <w:styleLink w:val="LFO10"/>
    <w:lvl w:ilvl="0">
      <w:start w:val="1"/>
      <w:numFmt w:val="decimal"/>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45" w15:restartNumberingAfterBreak="0">
    <w:nsid w:val="1704338D"/>
    <w:multiLevelType w:val="multilevel"/>
    <w:tmpl w:val="BECE8D0C"/>
    <w:lvl w:ilvl="0">
      <w:start w:val="1"/>
      <w:numFmt w:val="decimal"/>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46" w15:restartNumberingAfterBreak="0">
    <w:nsid w:val="18077D55"/>
    <w:multiLevelType w:val="multilevel"/>
    <w:tmpl w:val="0090F18C"/>
    <w:lvl w:ilvl="0">
      <w:start w:val="1"/>
      <w:numFmt w:val="decimal"/>
      <w:lvlText w:val="(%1)"/>
      <w:lvlJc w:val="left"/>
      <w:pPr>
        <w:ind w:left="480" w:hanging="480"/>
      </w:pPr>
      <w:rPr>
        <w:rFonts w:eastAsia="標楷體"/>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189D7CF1"/>
    <w:multiLevelType w:val="hybridMultilevel"/>
    <w:tmpl w:val="1220B5FA"/>
    <w:lvl w:ilvl="0" w:tplc="EC54049C">
      <w:start w:val="1"/>
      <w:numFmt w:val="upperRoman"/>
      <w:suff w:val="nothing"/>
      <w:lvlText w:val="%1."/>
      <w:lvlJc w:val="left"/>
      <w:pPr>
        <w:ind w:left="1756"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8" w15:restartNumberingAfterBreak="0">
    <w:nsid w:val="18B462C1"/>
    <w:multiLevelType w:val="multilevel"/>
    <w:tmpl w:val="946EE990"/>
    <w:lvl w:ilvl="0">
      <w:start w:val="1"/>
      <w:numFmt w:val="decimal"/>
      <w:lvlText w:val="%1."/>
      <w:lvlJc w:val="left"/>
      <w:pPr>
        <w:ind w:left="960" w:hanging="480"/>
      </w:pPr>
      <w:rPr>
        <w:b w:val="0"/>
        <w:i w:val="0"/>
        <w:sz w:val="28"/>
      </w:rPr>
    </w:lvl>
    <w:lvl w:ilvl="1">
      <w:start w:val="1"/>
      <w:numFmt w:val="ideographTraditional"/>
      <w:lvlText w:val="%2、"/>
      <w:lvlJc w:val="left"/>
      <w:pPr>
        <w:ind w:left="1236" w:hanging="480"/>
      </w:pPr>
    </w:lvl>
    <w:lvl w:ilvl="2">
      <w:start w:val="1"/>
      <w:numFmt w:val="lowerRoman"/>
      <w:lvlText w:val="%3."/>
      <w:lvlJc w:val="right"/>
      <w:pPr>
        <w:ind w:left="1716" w:hanging="480"/>
      </w:pPr>
    </w:lvl>
    <w:lvl w:ilvl="3">
      <w:start w:val="1"/>
      <w:numFmt w:val="decimal"/>
      <w:lvlText w:val="%4."/>
      <w:lvlJc w:val="left"/>
      <w:pPr>
        <w:ind w:left="2196" w:hanging="480"/>
      </w:pPr>
    </w:lvl>
    <w:lvl w:ilvl="4">
      <w:start w:val="1"/>
      <w:numFmt w:val="ideographTraditional"/>
      <w:lvlText w:val="%5、"/>
      <w:lvlJc w:val="left"/>
      <w:pPr>
        <w:ind w:left="2676" w:hanging="480"/>
      </w:pPr>
    </w:lvl>
    <w:lvl w:ilvl="5">
      <w:start w:val="1"/>
      <w:numFmt w:val="lowerRoman"/>
      <w:lvlText w:val="%6."/>
      <w:lvlJc w:val="right"/>
      <w:pPr>
        <w:ind w:left="3156" w:hanging="480"/>
      </w:pPr>
    </w:lvl>
    <w:lvl w:ilvl="6">
      <w:start w:val="1"/>
      <w:numFmt w:val="decimal"/>
      <w:lvlText w:val="%7."/>
      <w:lvlJc w:val="left"/>
      <w:pPr>
        <w:ind w:left="3636" w:hanging="480"/>
      </w:pPr>
    </w:lvl>
    <w:lvl w:ilvl="7">
      <w:start w:val="1"/>
      <w:numFmt w:val="ideographTraditional"/>
      <w:lvlText w:val="%8、"/>
      <w:lvlJc w:val="left"/>
      <w:pPr>
        <w:ind w:left="4116" w:hanging="480"/>
      </w:pPr>
    </w:lvl>
    <w:lvl w:ilvl="8">
      <w:start w:val="1"/>
      <w:numFmt w:val="lowerRoman"/>
      <w:lvlText w:val="%9."/>
      <w:lvlJc w:val="right"/>
      <w:pPr>
        <w:ind w:left="4596" w:hanging="480"/>
      </w:pPr>
    </w:lvl>
  </w:abstractNum>
  <w:abstractNum w:abstractNumId="49" w15:restartNumberingAfterBreak="0">
    <w:nsid w:val="190F008B"/>
    <w:multiLevelType w:val="hybridMultilevel"/>
    <w:tmpl w:val="E88016C0"/>
    <w:lvl w:ilvl="0" w:tplc="F0E08B42">
      <w:start w:val="1"/>
      <w:numFmt w:val="decimal"/>
      <w:lvlText w:val="%1."/>
      <w:lvlJc w:val="left"/>
      <w:pPr>
        <w:ind w:left="1320" w:hanging="36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19EB0799"/>
    <w:multiLevelType w:val="hybridMultilevel"/>
    <w:tmpl w:val="BE041A3E"/>
    <w:lvl w:ilvl="0" w:tplc="100C0C02">
      <w:start w:val="1"/>
      <w:numFmt w:val="upperRoman"/>
      <w:lvlText w:val="%1."/>
      <w:lvlJc w:val="left"/>
      <w:pPr>
        <w:ind w:left="1446" w:hanging="480"/>
      </w:pPr>
      <w:rPr>
        <w:u w:val="none"/>
      </w:rPr>
    </w:lvl>
    <w:lvl w:ilvl="1" w:tplc="04090019" w:tentative="1">
      <w:start w:val="1"/>
      <w:numFmt w:val="ideographTraditional"/>
      <w:lvlText w:val="%2、"/>
      <w:lvlJc w:val="left"/>
      <w:pPr>
        <w:ind w:left="1926" w:hanging="480"/>
      </w:pPr>
    </w:lvl>
    <w:lvl w:ilvl="2" w:tplc="0409001B" w:tentative="1">
      <w:start w:val="1"/>
      <w:numFmt w:val="lowerRoman"/>
      <w:lvlText w:val="%3."/>
      <w:lvlJc w:val="right"/>
      <w:pPr>
        <w:ind w:left="2406" w:hanging="480"/>
      </w:pPr>
    </w:lvl>
    <w:lvl w:ilvl="3" w:tplc="0409000F" w:tentative="1">
      <w:start w:val="1"/>
      <w:numFmt w:val="decimal"/>
      <w:lvlText w:val="%4."/>
      <w:lvlJc w:val="left"/>
      <w:pPr>
        <w:ind w:left="2886" w:hanging="480"/>
      </w:pPr>
    </w:lvl>
    <w:lvl w:ilvl="4" w:tplc="04090019" w:tentative="1">
      <w:start w:val="1"/>
      <w:numFmt w:val="ideographTraditional"/>
      <w:lvlText w:val="%5、"/>
      <w:lvlJc w:val="left"/>
      <w:pPr>
        <w:ind w:left="3366" w:hanging="480"/>
      </w:pPr>
    </w:lvl>
    <w:lvl w:ilvl="5" w:tplc="0409001B" w:tentative="1">
      <w:start w:val="1"/>
      <w:numFmt w:val="lowerRoman"/>
      <w:lvlText w:val="%6."/>
      <w:lvlJc w:val="right"/>
      <w:pPr>
        <w:ind w:left="3846" w:hanging="480"/>
      </w:pPr>
    </w:lvl>
    <w:lvl w:ilvl="6" w:tplc="0409000F" w:tentative="1">
      <w:start w:val="1"/>
      <w:numFmt w:val="decimal"/>
      <w:lvlText w:val="%7."/>
      <w:lvlJc w:val="left"/>
      <w:pPr>
        <w:ind w:left="4326" w:hanging="480"/>
      </w:pPr>
    </w:lvl>
    <w:lvl w:ilvl="7" w:tplc="04090019" w:tentative="1">
      <w:start w:val="1"/>
      <w:numFmt w:val="ideographTraditional"/>
      <w:lvlText w:val="%8、"/>
      <w:lvlJc w:val="left"/>
      <w:pPr>
        <w:ind w:left="4806" w:hanging="480"/>
      </w:pPr>
    </w:lvl>
    <w:lvl w:ilvl="8" w:tplc="0409001B" w:tentative="1">
      <w:start w:val="1"/>
      <w:numFmt w:val="lowerRoman"/>
      <w:lvlText w:val="%9."/>
      <w:lvlJc w:val="right"/>
      <w:pPr>
        <w:ind w:left="5286" w:hanging="480"/>
      </w:pPr>
    </w:lvl>
  </w:abstractNum>
  <w:abstractNum w:abstractNumId="51" w15:restartNumberingAfterBreak="0">
    <w:nsid w:val="19F57B61"/>
    <w:multiLevelType w:val="hybridMultilevel"/>
    <w:tmpl w:val="74D44ED2"/>
    <w:lvl w:ilvl="0" w:tplc="64B4AB4A">
      <w:start w:val="1"/>
      <w:numFmt w:val="decimal"/>
      <w:lvlText w:val="%1."/>
      <w:lvlJc w:val="left"/>
      <w:pPr>
        <w:ind w:left="360" w:hanging="360"/>
      </w:pPr>
      <w:rPr>
        <w:rFonts w:ascii="標楷體" w:eastAsia="標楷體" w:hAnsi="標楷體" w:cs="Calibri" w:hint="default"/>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1A5C6131"/>
    <w:multiLevelType w:val="multilevel"/>
    <w:tmpl w:val="9BD81D66"/>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3" w15:restartNumberingAfterBreak="0">
    <w:nsid w:val="1A956AB6"/>
    <w:multiLevelType w:val="multilevel"/>
    <w:tmpl w:val="449458A4"/>
    <w:lvl w:ilvl="0">
      <w:start w:val="1"/>
      <w:numFmt w:val="decimal"/>
      <w:lvlText w:val="(%1)"/>
      <w:lvlJc w:val="left"/>
      <w:pPr>
        <w:ind w:left="2720" w:hanging="480"/>
      </w:pPr>
    </w:lvl>
    <w:lvl w:ilvl="1">
      <w:start w:val="1"/>
      <w:numFmt w:val="ideographTraditional"/>
      <w:lvlText w:val="%2、"/>
      <w:lvlJc w:val="left"/>
      <w:pPr>
        <w:ind w:left="1760" w:hanging="480"/>
      </w:pPr>
    </w:lvl>
    <w:lvl w:ilvl="2">
      <w:start w:val="1"/>
      <w:numFmt w:val="lowerRoman"/>
      <w:lvlText w:val="%3."/>
      <w:lvlJc w:val="right"/>
      <w:pPr>
        <w:ind w:left="1760" w:hanging="480"/>
      </w:pPr>
    </w:lvl>
    <w:lvl w:ilvl="3">
      <w:start w:val="1"/>
      <w:numFmt w:val="decimal"/>
      <w:lvlText w:val="%4."/>
      <w:lvlJc w:val="left"/>
      <w:pPr>
        <w:ind w:left="2235" w:hanging="480"/>
      </w:pPr>
    </w:lvl>
    <w:lvl w:ilvl="4">
      <w:start w:val="1"/>
      <w:numFmt w:val="ideographTraditional"/>
      <w:lvlText w:val="%5、"/>
      <w:lvlJc w:val="left"/>
      <w:pPr>
        <w:ind w:left="2715" w:hanging="480"/>
      </w:pPr>
    </w:lvl>
    <w:lvl w:ilvl="5">
      <w:start w:val="1"/>
      <w:numFmt w:val="lowerRoman"/>
      <w:lvlText w:val="%6."/>
      <w:lvlJc w:val="right"/>
      <w:pPr>
        <w:ind w:left="3195" w:hanging="480"/>
      </w:pPr>
    </w:lvl>
    <w:lvl w:ilvl="6">
      <w:start w:val="1"/>
      <w:numFmt w:val="decimal"/>
      <w:lvlText w:val="%7."/>
      <w:lvlJc w:val="left"/>
      <w:pPr>
        <w:ind w:left="3675" w:hanging="480"/>
      </w:pPr>
    </w:lvl>
    <w:lvl w:ilvl="7">
      <w:start w:val="1"/>
      <w:numFmt w:val="ideographTraditional"/>
      <w:lvlText w:val="%8、"/>
      <w:lvlJc w:val="left"/>
      <w:pPr>
        <w:ind w:left="4155" w:hanging="480"/>
      </w:pPr>
    </w:lvl>
    <w:lvl w:ilvl="8">
      <w:start w:val="1"/>
      <w:numFmt w:val="lowerRoman"/>
      <w:lvlText w:val="%9."/>
      <w:lvlJc w:val="right"/>
      <w:pPr>
        <w:ind w:left="4635" w:hanging="480"/>
      </w:pPr>
    </w:lvl>
  </w:abstractNum>
  <w:abstractNum w:abstractNumId="54" w15:restartNumberingAfterBreak="0">
    <w:nsid w:val="1BB82898"/>
    <w:multiLevelType w:val="multilevel"/>
    <w:tmpl w:val="01043844"/>
    <w:lvl w:ilvl="0">
      <w:start w:val="1"/>
      <w:numFmt w:val="decimal"/>
      <w:lvlText w:val="(%1)"/>
      <w:lvlJc w:val="left"/>
      <w:pPr>
        <w:ind w:left="1397" w:hanging="720"/>
      </w:p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55" w15:restartNumberingAfterBreak="0">
    <w:nsid w:val="1C6E5C09"/>
    <w:multiLevelType w:val="multilevel"/>
    <w:tmpl w:val="3AE48702"/>
    <w:lvl w:ilvl="0">
      <w:start w:val="1"/>
      <w:numFmt w:val="decimal"/>
      <w:lvlText w:val="%1."/>
      <w:lvlJc w:val="left"/>
      <w:pPr>
        <w:ind w:left="192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6" w15:restartNumberingAfterBreak="0">
    <w:nsid w:val="1CDE302A"/>
    <w:multiLevelType w:val="multilevel"/>
    <w:tmpl w:val="F6802524"/>
    <w:lvl w:ilvl="0">
      <w:numFmt w:val="bullet"/>
      <w:lvlText w:val="□"/>
      <w:lvlJc w:val="left"/>
      <w:pPr>
        <w:ind w:left="330" w:hanging="330"/>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7" w15:restartNumberingAfterBreak="0">
    <w:nsid w:val="1CE10DE8"/>
    <w:multiLevelType w:val="multilevel"/>
    <w:tmpl w:val="77FED45E"/>
    <w:lvl w:ilvl="0">
      <w:start w:val="1"/>
      <w:numFmt w:val="decimal"/>
      <w:suff w:val="nothing"/>
      <w:lvlText w:val="(%1)"/>
      <w:lvlJc w:val="left"/>
      <w:pPr>
        <w:ind w:left="993" w:hanging="283"/>
      </w:pPr>
      <w:rPr>
        <w:color w:val="auto"/>
        <w:sz w:val="24"/>
        <w:szCs w:val="24"/>
        <w:u w:val="none"/>
      </w:rPr>
    </w:lvl>
    <w:lvl w:ilvl="1">
      <w:start w:val="1"/>
      <w:numFmt w:val="ideographTraditional"/>
      <w:lvlText w:val="%2、"/>
      <w:lvlJc w:val="left"/>
      <w:pPr>
        <w:ind w:left="1489" w:hanging="480"/>
      </w:pPr>
    </w:lvl>
    <w:lvl w:ilvl="2">
      <w:start w:val="1"/>
      <w:numFmt w:val="lowerRoman"/>
      <w:lvlText w:val="%3."/>
      <w:lvlJc w:val="right"/>
      <w:pPr>
        <w:ind w:left="1969" w:hanging="480"/>
      </w:pPr>
    </w:lvl>
    <w:lvl w:ilvl="3">
      <w:start w:val="1"/>
      <w:numFmt w:val="decimal"/>
      <w:lvlText w:val="%4."/>
      <w:lvlJc w:val="left"/>
      <w:pPr>
        <w:ind w:left="2449" w:hanging="480"/>
      </w:pPr>
    </w:lvl>
    <w:lvl w:ilvl="4">
      <w:start w:val="1"/>
      <w:numFmt w:val="ideographTraditional"/>
      <w:lvlText w:val="%5、"/>
      <w:lvlJc w:val="left"/>
      <w:pPr>
        <w:ind w:left="2929" w:hanging="480"/>
      </w:pPr>
    </w:lvl>
    <w:lvl w:ilvl="5">
      <w:start w:val="1"/>
      <w:numFmt w:val="lowerRoman"/>
      <w:lvlText w:val="%6."/>
      <w:lvlJc w:val="right"/>
      <w:pPr>
        <w:ind w:left="3409" w:hanging="480"/>
      </w:pPr>
    </w:lvl>
    <w:lvl w:ilvl="6">
      <w:start w:val="1"/>
      <w:numFmt w:val="decimal"/>
      <w:lvlText w:val="%7."/>
      <w:lvlJc w:val="left"/>
      <w:pPr>
        <w:ind w:left="3889" w:hanging="480"/>
      </w:pPr>
    </w:lvl>
    <w:lvl w:ilvl="7">
      <w:start w:val="1"/>
      <w:numFmt w:val="ideographTraditional"/>
      <w:lvlText w:val="%8、"/>
      <w:lvlJc w:val="left"/>
      <w:pPr>
        <w:ind w:left="4369" w:hanging="480"/>
      </w:pPr>
    </w:lvl>
    <w:lvl w:ilvl="8">
      <w:start w:val="1"/>
      <w:numFmt w:val="lowerRoman"/>
      <w:lvlText w:val="%9."/>
      <w:lvlJc w:val="right"/>
      <w:pPr>
        <w:ind w:left="4849" w:hanging="480"/>
      </w:pPr>
    </w:lvl>
  </w:abstractNum>
  <w:abstractNum w:abstractNumId="58" w15:restartNumberingAfterBreak="0">
    <w:nsid w:val="1D295289"/>
    <w:multiLevelType w:val="multilevel"/>
    <w:tmpl w:val="37E81F7C"/>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59" w15:restartNumberingAfterBreak="0">
    <w:nsid w:val="1DCE2844"/>
    <w:multiLevelType w:val="multilevel"/>
    <w:tmpl w:val="CF104F52"/>
    <w:lvl w:ilvl="0">
      <w:numFmt w:val="bullet"/>
      <w:lvlText w:val="□"/>
      <w:lvlJc w:val="left"/>
      <w:pPr>
        <w:ind w:left="495" w:hanging="495"/>
      </w:pPr>
      <w:rPr>
        <w:rFonts w:ascii="全真楷書" w:eastAsia="全真楷書" w:hAnsi="全真楷書"/>
        <w:b w:val="0"/>
        <w:bCs w:val="0"/>
        <w:i w:val="0"/>
        <w:iCs w:val="0"/>
        <w:sz w:val="32"/>
        <w:szCs w:val="3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0" w15:restartNumberingAfterBreak="0">
    <w:nsid w:val="1E66712B"/>
    <w:multiLevelType w:val="multilevel"/>
    <w:tmpl w:val="BAA4C47A"/>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1" w15:restartNumberingAfterBreak="0">
    <w:nsid w:val="1E7055CF"/>
    <w:multiLevelType w:val="hybridMultilevel"/>
    <w:tmpl w:val="B0A0772E"/>
    <w:lvl w:ilvl="0" w:tplc="B9F0C2FE">
      <w:start w:val="1"/>
      <w:numFmt w:val="decimal"/>
      <w:suff w:val="nothing"/>
      <w:lvlText w:val="%1."/>
      <w:lvlJc w:val="left"/>
      <w:pPr>
        <w:ind w:left="480" w:hanging="480"/>
      </w:pPr>
    </w:lvl>
    <w:lvl w:ilvl="1" w:tplc="EEBC3D0E">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2" w15:restartNumberingAfterBreak="0">
    <w:nsid w:val="1EB12E88"/>
    <w:multiLevelType w:val="multilevel"/>
    <w:tmpl w:val="8EBAEA20"/>
    <w:lvl w:ilvl="0">
      <w:numFmt w:val="bullet"/>
      <w:lvlText w:val=""/>
      <w:lvlJc w:val="left"/>
      <w:pPr>
        <w:ind w:left="480" w:hanging="480"/>
      </w:pPr>
      <w:rPr>
        <w:rFonts w:ascii="Wingdings" w:hAnsi="Wingdings"/>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63" w15:restartNumberingAfterBreak="0">
    <w:nsid w:val="1FED026D"/>
    <w:multiLevelType w:val="multilevel"/>
    <w:tmpl w:val="8CBC9220"/>
    <w:lvl w:ilvl="0">
      <w:numFmt w:val="bullet"/>
      <w:lvlText w:val="□"/>
      <w:lvlJc w:val="left"/>
      <w:pPr>
        <w:ind w:left="495" w:hanging="495"/>
      </w:pPr>
      <w:rPr>
        <w:rFonts w:ascii="全真楷書" w:eastAsia="全真楷書" w:hAnsi="全真楷書"/>
        <w:b w:val="0"/>
        <w:bCs w:val="0"/>
        <w:i w:val="0"/>
        <w:iCs w:val="0"/>
        <w:sz w:val="32"/>
        <w:szCs w:val="3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4" w15:restartNumberingAfterBreak="0">
    <w:nsid w:val="202149BC"/>
    <w:multiLevelType w:val="multilevel"/>
    <w:tmpl w:val="E294E30E"/>
    <w:lvl w:ilvl="0">
      <w:start w:val="1"/>
      <w:numFmt w:val="decimal"/>
      <w:lvlText w:val="%1."/>
      <w:lvlJc w:val="left"/>
      <w:pPr>
        <w:ind w:left="394" w:hanging="360"/>
      </w:pPr>
    </w:lvl>
    <w:lvl w:ilvl="1">
      <w:start w:val="1"/>
      <w:numFmt w:val="decimal"/>
      <w:lvlText w:val="(%2)"/>
      <w:lvlJc w:val="left"/>
      <w:pPr>
        <w:ind w:left="994" w:hanging="480"/>
      </w:pPr>
      <w:rPr>
        <w:rFonts w:ascii="標楷體" w:eastAsia="標楷體" w:hAnsi="標楷體"/>
        <w:sz w:val="24"/>
        <w:szCs w:val="24"/>
        <w:u w:val="none"/>
      </w:r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65" w15:restartNumberingAfterBreak="0">
    <w:nsid w:val="210C7120"/>
    <w:multiLevelType w:val="hybridMultilevel"/>
    <w:tmpl w:val="B26692EC"/>
    <w:lvl w:ilvl="0" w:tplc="0409001B">
      <w:start w:val="1"/>
      <w:numFmt w:val="lowerRoman"/>
      <w:lvlText w:val="%1."/>
      <w:lvlJc w:val="right"/>
      <w:pPr>
        <w:ind w:left="1109" w:hanging="480"/>
      </w:pPr>
    </w:lvl>
    <w:lvl w:ilvl="1" w:tplc="DF28A0A2">
      <w:start w:val="1"/>
      <w:numFmt w:val="lowerRoman"/>
      <w:suff w:val="nothing"/>
      <w:lvlText w:val="%2."/>
      <w:lvlJc w:val="right"/>
      <w:pPr>
        <w:ind w:left="906" w:hanging="480"/>
      </w:pPr>
      <w:rPr>
        <w:rFonts w:hint="eastAsia"/>
        <w:u w:val="none"/>
      </w:rPr>
    </w:lvl>
    <w:lvl w:ilvl="2" w:tplc="0409001B" w:tentative="1">
      <w:start w:val="1"/>
      <w:numFmt w:val="lowerRoman"/>
      <w:lvlText w:val="%3."/>
      <w:lvlJc w:val="right"/>
      <w:pPr>
        <w:ind w:left="2069" w:hanging="480"/>
      </w:pPr>
    </w:lvl>
    <w:lvl w:ilvl="3" w:tplc="0409000F" w:tentative="1">
      <w:start w:val="1"/>
      <w:numFmt w:val="decimal"/>
      <w:lvlText w:val="%4."/>
      <w:lvlJc w:val="left"/>
      <w:pPr>
        <w:ind w:left="2549" w:hanging="480"/>
      </w:pPr>
    </w:lvl>
    <w:lvl w:ilvl="4" w:tplc="04090019" w:tentative="1">
      <w:start w:val="1"/>
      <w:numFmt w:val="ideographTraditional"/>
      <w:lvlText w:val="%5、"/>
      <w:lvlJc w:val="left"/>
      <w:pPr>
        <w:ind w:left="3029" w:hanging="480"/>
      </w:pPr>
    </w:lvl>
    <w:lvl w:ilvl="5" w:tplc="0409001B" w:tentative="1">
      <w:start w:val="1"/>
      <w:numFmt w:val="lowerRoman"/>
      <w:lvlText w:val="%6."/>
      <w:lvlJc w:val="right"/>
      <w:pPr>
        <w:ind w:left="3509" w:hanging="480"/>
      </w:pPr>
    </w:lvl>
    <w:lvl w:ilvl="6" w:tplc="0409000F" w:tentative="1">
      <w:start w:val="1"/>
      <w:numFmt w:val="decimal"/>
      <w:lvlText w:val="%7."/>
      <w:lvlJc w:val="left"/>
      <w:pPr>
        <w:ind w:left="3989" w:hanging="480"/>
      </w:pPr>
    </w:lvl>
    <w:lvl w:ilvl="7" w:tplc="04090019" w:tentative="1">
      <w:start w:val="1"/>
      <w:numFmt w:val="ideographTraditional"/>
      <w:lvlText w:val="%8、"/>
      <w:lvlJc w:val="left"/>
      <w:pPr>
        <w:ind w:left="4469" w:hanging="480"/>
      </w:pPr>
    </w:lvl>
    <w:lvl w:ilvl="8" w:tplc="0409001B" w:tentative="1">
      <w:start w:val="1"/>
      <w:numFmt w:val="lowerRoman"/>
      <w:lvlText w:val="%9."/>
      <w:lvlJc w:val="right"/>
      <w:pPr>
        <w:ind w:left="4949" w:hanging="480"/>
      </w:pPr>
    </w:lvl>
  </w:abstractNum>
  <w:abstractNum w:abstractNumId="66" w15:restartNumberingAfterBreak="0">
    <w:nsid w:val="22A67552"/>
    <w:multiLevelType w:val="multilevel"/>
    <w:tmpl w:val="39F6FD30"/>
    <w:lvl w:ilvl="0">
      <w:start w:val="1"/>
      <w:numFmt w:val="decimal"/>
      <w:lvlText w:val="%1."/>
      <w:lvlJc w:val="left"/>
      <w:pPr>
        <w:ind w:left="643" w:hanging="360"/>
      </w:pPr>
      <w:rPr>
        <w:rFonts w:ascii="標楷體" w:eastAsia="標楷體" w:hAnsi="標楷體"/>
        <w:sz w:val="24"/>
        <w:szCs w:val="24"/>
        <w:u w:val="none"/>
      </w:rPr>
    </w:lvl>
    <w:lvl w:ilvl="1">
      <w:start w:val="1"/>
      <w:numFmt w:val="ideographTraditional"/>
      <w:lvlText w:val="%2、"/>
      <w:lvlJc w:val="left"/>
      <w:pPr>
        <w:ind w:left="1243" w:hanging="480"/>
      </w:pPr>
    </w:lvl>
    <w:lvl w:ilvl="2">
      <w:start w:val="1"/>
      <w:numFmt w:val="decimal"/>
      <w:lvlText w:val="(%3)"/>
      <w:lvlJc w:val="left"/>
      <w:pPr>
        <w:ind w:left="1963" w:hanging="720"/>
      </w:pPr>
      <w:rPr>
        <w:u w:val="none"/>
      </w:r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67" w15:restartNumberingAfterBreak="0">
    <w:nsid w:val="23B21873"/>
    <w:multiLevelType w:val="multilevel"/>
    <w:tmpl w:val="6C266FDA"/>
    <w:lvl w:ilvl="0">
      <w:numFmt w:val="bullet"/>
      <w:lvlText w:val="□"/>
      <w:lvlJc w:val="left"/>
      <w:pPr>
        <w:ind w:left="420" w:hanging="420"/>
      </w:pPr>
      <w:rPr>
        <w:rFonts w:ascii="標楷體" w:eastAsia="標楷體" w:hAnsi="標楷體" w:cs="Times New Roman"/>
        <w:b/>
        <w:sz w:val="28"/>
        <w:szCs w:val="28"/>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68" w15:restartNumberingAfterBreak="0">
    <w:nsid w:val="24B57AD7"/>
    <w:multiLevelType w:val="multilevel"/>
    <w:tmpl w:val="961E8A40"/>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9" w15:restartNumberingAfterBreak="0">
    <w:nsid w:val="2588031B"/>
    <w:multiLevelType w:val="multilevel"/>
    <w:tmpl w:val="879AABB0"/>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0" w15:restartNumberingAfterBreak="0">
    <w:nsid w:val="25FA150A"/>
    <w:multiLevelType w:val="multilevel"/>
    <w:tmpl w:val="CDE45B5C"/>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1" w15:restartNumberingAfterBreak="0">
    <w:nsid w:val="2652470F"/>
    <w:multiLevelType w:val="multilevel"/>
    <w:tmpl w:val="8C90D0CA"/>
    <w:lvl w:ilvl="0">
      <w:start w:val="1"/>
      <w:numFmt w:val="decimal"/>
      <w:lvlText w:val="(%1)"/>
      <w:lvlJc w:val="left"/>
      <w:pPr>
        <w:ind w:left="96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2" w15:restartNumberingAfterBreak="0">
    <w:nsid w:val="27326211"/>
    <w:multiLevelType w:val="hybridMultilevel"/>
    <w:tmpl w:val="7442A2A0"/>
    <w:lvl w:ilvl="0" w:tplc="5C6273B2">
      <w:start w:val="1"/>
      <w:numFmt w:val="decimal"/>
      <w:lvlText w:val="(%1)"/>
      <w:lvlJc w:val="left"/>
      <w:pPr>
        <w:ind w:left="620" w:hanging="480"/>
      </w:pPr>
      <w:rPr>
        <w:b w:val="0"/>
        <w:color w:val="auto"/>
      </w:rPr>
    </w:lvl>
    <w:lvl w:ilvl="1" w:tplc="04090019">
      <w:start w:val="1"/>
      <w:numFmt w:val="ideographTraditional"/>
      <w:lvlText w:val="%2、"/>
      <w:lvlJc w:val="left"/>
      <w:pPr>
        <w:ind w:left="1100" w:hanging="480"/>
      </w:pPr>
    </w:lvl>
    <w:lvl w:ilvl="2" w:tplc="0409001B">
      <w:start w:val="1"/>
      <w:numFmt w:val="lowerRoman"/>
      <w:lvlText w:val="%3."/>
      <w:lvlJc w:val="right"/>
      <w:pPr>
        <w:ind w:left="1580" w:hanging="480"/>
      </w:pPr>
    </w:lvl>
    <w:lvl w:ilvl="3" w:tplc="0409000F">
      <w:start w:val="1"/>
      <w:numFmt w:val="decimal"/>
      <w:lvlText w:val="%4."/>
      <w:lvlJc w:val="left"/>
      <w:pPr>
        <w:ind w:left="2060" w:hanging="480"/>
      </w:pPr>
    </w:lvl>
    <w:lvl w:ilvl="4" w:tplc="04090019">
      <w:start w:val="1"/>
      <w:numFmt w:val="ideographTraditional"/>
      <w:lvlText w:val="%5、"/>
      <w:lvlJc w:val="left"/>
      <w:pPr>
        <w:ind w:left="2540" w:hanging="480"/>
      </w:pPr>
    </w:lvl>
    <w:lvl w:ilvl="5" w:tplc="0409001B">
      <w:start w:val="1"/>
      <w:numFmt w:val="lowerRoman"/>
      <w:lvlText w:val="%6."/>
      <w:lvlJc w:val="right"/>
      <w:pPr>
        <w:ind w:left="3020" w:hanging="480"/>
      </w:pPr>
    </w:lvl>
    <w:lvl w:ilvl="6" w:tplc="0409000F">
      <w:start w:val="1"/>
      <w:numFmt w:val="decimal"/>
      <w:lvlText w:val="%7."/>
      <w:lvlJc w:val="left"/>
      <w:pPr>
        <w:ind w:left="3500" w:hanging="480"/>
      </w:pPr>
    </w:lvl>
    <w:lvl w:ilvl="7" w:tplc="04090019">
      <w:start w:val="1"/>
      <w:numFmt w:val="ideographTraditional"/>
      <w:lvlText w:val="%8、"/>
      <w:lvlJc w:val="left"/>
      <w:pPr>
        <w:ind w:left="3980" w:hanging="480"/>
      </w:pPr>
    </w:lvl>
    <w:lvl w:ilvl="8" w:tplc="0409001B">
      <w:start w:val="1"/>
      <w:numFmt w:val="lowerRoman"/>
      <w:lvlText w:val="%9."/>
      <w:lvlJc w:val="right"/>
      <w:pPr>
        <w:ind w:left="4460" w:hanging="480"/>
      </w:pPr>
    </w:lvl>
  </w:abstractNum>
  <w:abstractNum w:abstractNumId="73" w15:restartNumberingAfterBreak="0">
    <w:nsid w:val="2798300A"/>
    <w:multiLevelType w:val="multilevel"/>
    <w:tmpl w:val="3934E3D0"/>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4" w15:restartNumberingAfterBreak="0">
    <w:nsid w:val="27AD41FD"/>
    <w:multiLevelType w:val="multilevel"/>
    <w:tmpl w:val="79485680"/>
    <w:lvl w:ilvl="0">
      <w:start w:val="1"/>
      <w:numFmt w:val="decimal"/>
      <w:lvlText w:val="(%1)"/>
      <w:lvlJc w:val="left"/>
      <w:pPr>
        <w:ind w:left="1397" w:hanging="720"/>
      </w:pPr>
      <w:rPr>
        <w:u w:val="none"/>
      </w:r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75" w15:restartNumberingAfterBreak="0">
    <w:nsid w:val="27CB5B56"/>
    <w:multiLevelType w:val="multilevel"/>
    <w:tmpl w:val="8166ADEA"/>
    <w:lvl w:ilvl="0">
      <w:start w:val="1"/>
      <w:numFmt w:val="decimal"/>
      <w:suff w:val="nothing"/>
      <w:lvlText w:val="(%1)"/>
      <w:lvlJc w:val="left"/>
      <w:pPr>
        <w:ind w:left="2124" w:hanging="360"/>
      </w:pPr>
    </w:lvl>
    <w:lvl w:ilvl="1">
      <w:start w:val="1"/>
      <w:numFmt w:val="ideographTraditional"/>
      <w:lvlText w:val="%2、"/>
      <w:lvlJc w:val="left"/>
      <w:pPr>
        <w:ind w:left="2244" w:hanging="480"/>
      </w:pPr>
    </w:lvl>
    <w:lvl w:ilvl="2">
      <w:start w:val="1"/>
      <w:numFmt w:val="lowerRoman"/>
      <w:lvlText w:val="%3."/>
      <w:lvlJc w:val="right"/>
      <w:pPr>
        <w:ind w:left="2724" w:hanging="480"/>
      </w:pPr>
    </w:lvl>
    <w:lvl w:ilvl="3">
      <w:start w:val="1"/>
      <w:numFmt w:val="decimal"/>
      <w:lvlText w:val="%4."/>
      <w:lvlJc w:val="left"/>
      <w:pPr>
        <w:ind w:left="3204" w:hanging="480"/>
      </w:pPr>
    </w:lvl>
    <w:lvl w:ilvl="4">
      <w:start w:val="1"/>
      <w:numFmt w:val="ideographTraditional"/>
      <w:lvlText w:val="%5、"/>
      <w:lvlJc w:val="left"/>
      <w:pPr>
        <w:ind w:left="3684" w:hanging="480"/>
      </w:pPr>
    </w:lvl>
    <w:lvl w:ilvl="5">
      <w:start w:val="1"/>
      <w:numFmt w:val="lowerRoman"/>
      <w:lvlText w:val="%6."/>
      <w:lvlJc w:val="right"/>
      <w:pPr>
        <w:ind w:left="4164" w:hanging="480"/>
      </w:pPr>
    </w:lvl>
    <w:lvl w:ilvl="6">
      <w:start w:val="1"/>
      <w:numFmt w:val="decimal"/>
      <w:lvlText w:val="%7."/>
      <w:lvlJc w:val="left"/>
      <w:pPr>
        <w:ind w:left="4644" w:hanging="480"/>
      </w:pPr>
    </w:lvl>
    <w:lvl w:ilvl="7">
      <w:start w:val="1"/>
      <w:numFmt w:val="ideographTraditional"/>
      <w:lvlText w:val="%8、"/>
      <w:lvlJc w:val="left"/>
      <w:pPr>
        <w:ind w:left="5124" w:hanging="480"/>
      </w:pPr>
    </w:lvl>
    <w:lvl w:ilvl="8">
      <w:start w:val="1"/>
      <w:numFmt w:val="lowerRoman"/>
      <w:lvlText w:val="%9."/>
      <w:lvlJc w:val="right"/>
      <w:pPr>
        <w:ind w:left="5604" w:hanging="480"/>
      </w:pPr>
    </w:lvl>
  </w:abstractNum>
  <w:abstractNum w:abstractNumId="76" w15:restartNumberingAfterBreak="0">
    <w:nsid w:val="280340C2"/>
    <w:multiLevelType w:val="multilevel"/>
    <w:tmpl w:val="283CD06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7" w15:restartNumberingAfterBreak="0">
    <w:nsid w:val="28561A86"/>
    <w:multiLevelType w:val="multilevel"/>
    <w:tmpl w:val="E93E9864"/>
    <w:lvl w:ilvl="0">
      <w:start w:val="1"/>
      <w:numFmt w:val="decimal"/>
      <w:lvlText w:val="(%1)"/>
      <w:lvlJc w:val="left"/>
      <w:pPr>
        <w:ind w:left="48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8" w15:restartNumberingAfterBreak="0">
    <w:nsid w:val="2A634D3E"/>
    <w:multiLevelType w:val="multilevel"/>
    <w:tmpl w:val="322AE6A6"/>
    <w:lvl w:ilvl="0">
      <w:start w:val="1"/>
      <w:numFmt w:val="decimal"/>
      <w:lvlText w:val="(%1)"/>
      <w:lvlJc w:val="left"/>
      <w:pPr>
        <w:ind w:left="720" w:hanging="720"/>
      </w:pPr>
      <w:rPr>
        <w:rFonts w:ascii="標楷體" w:eastAsia="標楷體" w:hAnsi="標楷體"/>
      </w:rPr>
    </w:lvl>
    <w:lvl w:ilvl="1">
      <w:start w:val="1"/>
      <w:numFmt w:val="upperRoman"/>
      <w:lvlText w:val="%2."/>
      <w:lvlJc w:val="left"/>
      <w:pPr>
        <w:ind w:left="960" w:hanging="480"/>
      </w:pPr>
    </w:lvl>
    <w:lvl w:ilvl="2">
      <w:start w:val="1"/>
      <w:numFmt w:val="lowerRoman"/>
      <w:lvlText w:val="%3."/>
      <w:lvlJc w:val="left"/>
      <w:pPr>
        <w:ind w:left="1680" w:hanging="720"/>
      </w:pPr>
      <w:rPr>
        <w:rFonts w:ascii="新細明體" w:hAnsi="新細明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9" w15:restartNumberingAfterBreak="0">
    <w:nsid w:val="2DB379F1"/>
    <w:multiLevelType w:val="multilevel"/>
    <w:tmpl w:val="87042D22"/>
    <w:lvl w:ilvl="0">
      <w:start w:val="1"/>
      <w:numFmt w:val="decimal"/>
      <w:lvlText w:val="%1."/>
      <w:lvlJc w:val="left"/>
      <w:pPr>
        <w:ind w:left="590" w:hanging="480"/>
      </w:pPr>
      <w:rPr>
        <w:strike w:val="0"/>
        <w:dstrike w:val="0"/>
        <w:u w:val="none"/>
        <w:effect w:val="none"/>
      </w:rPr>
    </w:lvl>
    <w:lvl w:ilvl="1">
      <w:start w:val="1"/>
      <w:numFmt w:val="ideographTraditional"/>
      <w:lvlText w:val="、"/>
      <w:lvlJc w:val="left"/>
      <w:pPr>
        <w:ind w:left="1070" w:hanging="480"/>
      </w:pPr>
    </w:lvl>
    <w:lvl w:ilvl="2">
      <w:start w:val="1"/>
      <w:numFmt w:val="lowerRoman"/>
      <w:lvlText w:val="."/>
      <w:lvlJc w:val="right"/>
      <w:pPr>
        <w:ind w:left="1550" w:hanging="480"/>
      </w:pPr>
    </w:lvl>
    <w:lvl w:ilvl="3">
      <w:start w:val="1"/>
      <w:numFmt w:val="decimal"/>
      <w:lvlText w:val="."/>
      <w:lvlJc w:val="left"/>
      <w:pPr>
        <w:ind w:left="2030" w:hanging="480"/>
      </w:pPr>
    </w:lvl>
    <w:lvl w:ilvl="4">
      <w:start w:val="1"/>
      <w:numFmt w:val="ideographTraditional"/>
      <w:lvlText w:val="、"/>
      <w:lvlJc w:val="left"/>
      <w:pPr>
        <w:ind w:left="2510" w:hanging="480"/>
      </w:pPr>
    </w:lvl>
    <w:lvl w:ilvl="5">
      <w:start w:val="1"/>
      <w:numFmt w:val="lowerRoman"/>
      <w:lvlText w:val="."/>
      <w:lvlJc w:val="right"/>
      <w:pPr>
        <w:ind w:left="2990" w:hanging="480"/>
      </w:pPr>
    </w:lvl>
    <w:lvl w:ilvl="6">
      <w:start w:val="1"/>
      <w:numFmt w:val="decimal"/>
      <w:lvlText w:val="."/>
      <w:lvlJc w:val="left"/>
      <w:pPr>
        <w:ind w:left="3470" w:hanging="480"/>
      </w:pPr>
    </w:lvl>
    <w:lvl w:ilvl="7">
      <w:start w:val="1"/>
      <w:numFmt w:val="ideographTraditional"/>
      <w:lvlText w:val="、"/>
      <w:lvlJc w:val="left"/>
      <w:pPr>
        <w:ind w:left="3950" w:hanging="480"/>
      </w:pPr>
    </w:lvl>
    <w:lvl w:ilvl="8">
      <w:start w:val="1"/>
      <w:numFmt w:val="lowerRoman"/>
      <w:lvlText w:val="."/>
      <w:lvlJc w:val="right"/>
      <w:pPr>
        <w:ind w:left="4430" w:hanging="480"/>
      </w:pPr>
    </w:lvl>
  </w:abstractNum>
  <w:abstractNum w:abstractNumId="80" w15:restartNumberingAfterBreak="0">
    <w:nsid w:val="2ED14A17"/>
    <w:multiLevelType w:val="multilevel"/>
    <w:tmpl w:val="1604FBF4"/>
    <w:lvl w:ilvl="0">
      <w:start w:val="1"/>
      <w:numFmt w:val="decimal"/>
      <w:lvlText w:val="%1."/>
      <w:lvlJc w:val="left"/>
      <w:pPr>
        <w:ind w:left="480" w:hanging="480"/>
      </w:pPr>
      <w:rPr>
        <w:rFonts w:ascii="標楷體" w:eastAsia="標楷體" w:hAnsi="標楷體"/>
        <w:sz w:val="24"/>
        <w:szCs w:val="24"/>
        <w:u w:val="none"/>
      </w:rPr>
    </w:lvl>
    <w:lvl w:ilvl="1">
      <w:start w:val="1"/>
      <w:numFmt w:val="decimal"/>
      <w:lvlText w:val="(%2)"/>
      <w:lvlJc w:val="left"/>
      <w:pPr>
        <w:ind w:left="960" w:hanging="480"/>
      </w:pPr>
      <w:rPr>
        <w:rFonts w:ascii="標楷體" w:eastAsia="標楷體" w:hAnsi="標楷體"/>
        <w:sz w:val="24"/>
        <w:szCs w:val="24"/>
        <w:u w:val="none"/>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1" w15:restartNumberingAfterBreak="0">
    <w:nsid w:val="2F2B3BE4"/>
    <w:multiLevelType w:val="multilevel"/>
    <w:tmpl w:val="B3C8A77A"/>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2" w15:restartNumberingAfterBreak="0">
    <w:nsid w:val="2F300F64"/>
    <w:multiLevelType w:val="multilevel"/>
    <w:tmpl w:val="55B0BBD2"/>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3" w15:restartNumberingAfterBreak="0">
    <w:nsid w:val="2F451C97"/>
    <w:multiLevelType w:val="multilevel"/>
    <w:tmpl w:val="1226AAA6"/>
    <w:lvl w:ilvl="0">
      <w:start w:val="1"/>
      <w:numFmt w:val="decimal"/>
      <w:lvlText w:val="%1."/>
      <w:lvlJc w:val="left"/>
      <w:pPr>
        <w:ind w:left="1222" w:hanging="480"/>
      </w:pPr>
      <w:rPr>
        <w:b w:val="0"/>
        <w:i w:val="0"/>
        <w:sz w:val="28"/>
      </w:rPr>
    </w:lvl>
    <w:lvl w:ilvl="1">
      <w:start w:val="1"/>
      <w:numFmt w:val="ideographTraditional"/>
      <w:lvlText w:val="%2、"/>
      <w:lvlJc w:val="left"/>
      <w:pPr>
        <w:ind w:left="1702" w:hanging="480"/>
      </w:pPr>
    </w:lvl>
    <w:lvl w:ilvl="2">
      <w:start w:val="1"/>
      <w:numFmt w:val="lowerRoman"/>
      <w:lvlText w:val="%3."/>
      <w:lvlJc w:val="right"/>
      <w:pPr>
        <w:ind w:left="2182" w:hanging="480"/>
      </w:pPr>
    </w:lvl>
    <w:lvl w:ilvl="3">
      <w:start w:val="1"/>
      <w:numFmt w:val="decimal"/>
      <w:lvlText w:val="%4."/>
      <w:lvlJc w:val="left"/>
      <w:pPr>
        <w:ind w:left="2662" w:hanging="480"/>
      </w:pPr>
    </w:lvl>
    <w:lvl w:ilvl="4">
      <w:start w:val="1"/>
      <w:numFmt w:val="ideographTraditional"/>
      <w:lvlText w:val="%5、"/>
      <w:lvlJc w:val="left"/>
      <w:pPr>
        <w:ind w:left="3142" w:hanging="480"/>
      </w:pPr>
    </w:lvl>
    <w:lvl w:ilvl="5">
      <w:start w:val="1"/>
      <w:numFmt w:val="lowerRoman"/>
      <w:lvlText w:val="%6."/>
      <w:lvlJc w:val="right"/>
      <w:pPr>
        <w:ind w:left="3622" w:hanging="480"/>
      </w:pPr>
    </w:lvl>
    <w:lvl w:ilvl="6">
      <w:start w:val="1"/>
      <w:numFmt w:val="decimal"/>
      <w:lvlText w:val="%7."/>
      <w:lvlJc w:val="left"/>
      <w:pPr>
        <w:ind w:left="4102" w:hanging="480"/>
      </w:pPr>
    </w:lvl>
    <w:lvl w:ilvl="7">
      <w:start w:val="1"/>
      <w:numFmt w:val="ideographTraditional"/>
      <w:lvlText w:val="%8、"/>
      <w:lvlJc w:val="left"/>
      <w:pPr>
        <w:ind w:left="4582" w:hanging="480"/>
      </w:pPr>
    </w:lvl>
    <w:lvl w:ilvl="8">
      <w:start w:val="1"/>
      <w:numFmt w:val="lowerRoman"/>
      <w:lvlText w:val="%9."/>
      <w:lvlJc w:val="right"/>
      <w:pPr>
        <w:ind w:left="5062" w:hanging="480"/>
      </w:pPr>
    </w:lvl>
  </w:abstractNum>
  <w:abstractNum w:abstractNumId="84" w15:restartNumberingAfterBreak="0">
    <w:nsid w:val="2F4B05D7"/>
    <w:multiLevelType w:val="multilevel"/>
    <w:tmpl w:val="80DCED82"/>
    <w:lvl w:ilvl="0">
      <w:start w:val="1"/>
      <w:numFmt w:val="decimal"/>
      <w:lvlText w:val="%1."/>
      <w:lvlJc w:val="left"/>
      <w:pPr>
        <w:ind w:left="720" w:hanging="720"/>
      </w:pPr>
      <w:rPr>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5" w15:restartNumberingAfterBreak="0">
    <w:nsid w:val="2F655F10"/>
    <w:multiLevelType w:val="multilevel"/>
    <w:tmpl w:val="77766136"/>
    <w:styleLink w:val="16"/>
    <w:lvl w:ilvl="0">
      <w:start w:val="1"/>
      <w:numFmt w:val="taiwaneseCountingThousand"/>
      <w:lvlText w:val="%1、"/>
      <w:lvlJc w:val="left"/>
      <w:pPr>
        <w:ind w:left="652" w:hanging="652"/>
      </w:pPr>
      <w:rPr>
        <w:rFonts w:ascii="標楷體" w:eastAsia="標楷體" w:hAnsi="標楷體"/>
        <w:kern w:val="3"/>
        <w:sz w:val="32"/>
      </w:rPr>
    </w:lvl>
    <w:lvl w:ilvl="1">
      <w:start w:val="1"/>
      <w:numFmt w:val="taiwaneseCountingThousand"/>
      <w:lvlText w:val="(%2)"/>
      <w:lvlJc w:val="left"/>
      <w:pPr>
        <w:ind w:left="1132" w:hanging="652"/>
      </w:pPr>
      <w:rPr>
        <w:strike w:val="0"/>
        <w:dstrike w:val="0"/>
        <w:color w:val="000000"/>
      </w:rPr>
    </w:lvl>
    <w:lvl w:ilvl="2">
      <w:numFmt w:val="bullet"/>
      <w:lvlText w:val="※"/>
      <w:lvlJc w:val="left"/>
      <w:pPr>
        <w:ind w:left="1320" w:hanging="360"/>
      </w:pPr>
      <w:rPr>
        <w:rFonts w:ascii="標楷體" w:eastAsia="標楷體" w:hAnsi="標楷體" w:cs="Times New Roman"/>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6" w15:restartNumberingAfterBreak="0">
    <w:nsid w:val="2FA87253"/>
    <w:multiLevelType w:val="multilevel"/>
    <w:tmpl w:val="61485B4C"/>
    <w:lvl w:ilvl="0">
      <w:start w:val="1"/>
      <w:numFmt w:val="taiwaneseCountingThousand"/>
      <w:lvlText w:val="(%1)"/>
      <w:lvlJc w:val="left"/>
      <w:pPr>
        <w:ind w:left="790" w:hanging="480"/>
      </w:pPr>
      <w:rPr>
        <w:rFonts w:eastAsia="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7" w15:restartNumberingAfterBreak="0">
    <w:nsid w:val="30B24E12"/>
    <w:multiLevelType w:val="multilevel"/>
    <w:tmpl w:val="930802AA"/>
    <w:lvl w:ilvl="0">
      <w:start w:val="1"/>
      <w:numFmt w:val="decimal"/>
      <w:lvlText w:val="%1."/>
      <w:lvlJc w:val="left"/>
      <w:pPr>
        <w:ind w:left="360" w:hanging="360"/>
      </w:pPr>
      <w:rPr>
        <w:rFonts w:ascii="標楷體" w:eastAsia="標楷體" w:hAnsi="標楷體" w:cs="Calibri"/>
        <w:color w:val="auto"/>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8" w15:restartNumberingAfterBreak="0">
    <w:nsid w:val="30C05FAA"/>
    <w:multiLevelType w:val="hybridMultilevel"/>
    <w:tmpl w:val="AB94DC02"/>
    <w:lvl w:ilvl="0" w:tplc="0409001B">
      <w:start w:val="1"/>
      <w:numFmt w:val="lowerRoman"/>
      <w:lvlText w:val="%1."/>
      <w:lvlJc w:val="right"/>
      <w:pPr>
        <w:ind w:left="1614" w:hanging="480"/>
      </w:p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89" w15:restartNumberingAfterBreak="0">
    <w:nsid w:val="31391D12"/>
    <w:multiLevelType w:val="multilevel"/>
    <w:tmpl w:val="03E6E5B2"/>
    <w:lvl w:ilvl="0">
      <w:start w:val="1"/>
      <w:numFmt w:val="upperLetter"/>
      <w:lvlText w:val="%1."/>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0" w15:restartNumberingAfterBreak="0">
    <w:nsid w:val="31B9345A"/>
    <w:multiLevelType w:val="hybridMultilevel"/>
    <w:tmpl w:val="08E2128E"/>
    <w:lvl w:ilvl="0" w:tplc="0F688AF2">
      <w:start w:val="1"/>
      <w:numFmt w:val="lowerRoman"/>
      <w:lvlText w:val="%1."/>
      <w:lvlJc w:val="right"/>
      <w:pPr>
        <w:ind w:left="1246" w:hanging="480"/>
      </w:pPr>
      <w:rPr>
        <w:u w:val="none"/>
      </w:rPr>
    </w:lvl>
    <w:lvl w:ilvl="1" w:tplc="FFFFFFFF" w:tentative="1">
      <w:start w:val="1"/>
      <w:numFmt w:val="ideographTraditional"/>
      <w:lvlText w:val="%2、"/>
      <w:lvlJc w:val="left"/>
      <w:pPr>
        <w:ind w:left="1726" w:hanging="480"/>
      </w:pPr>
    </w:lvl>
    <w:lvl w:ilvl="2" w:tplc="FFFFFFFF" w:tentative="1">
      <w:start w:val="1"/>
      <w:numFmt w:val="lowerRoman"/>
      <w:lvlText w:val="%3."/>
      <w:lvlJc w:val="right"/>
      <w:pPr>
        <w:ind w:left="2206" w:hanging="480"/>
      </w:pPr>
    </w:lvl>
    <w:lvl w:ilvl="3" w:tplc="FFFFFFFF" w:tentative="1">
      <w:start w:val="1"/>
      <w:numFmt w:val="decimal"/>
      <w:lvlText w:val="%4."/>
      <w:lvlJc w:val="left"/>
      <w:pPr>
        <w:ind w:left="2686" w:hanging="480"/>
      </w:pPr>
    </w:lvl>
    <w:lvl w:ilvl="4" w:tplc="FFFFFFFF" w:tentative="1">
      <w:start w:val="1"/>
      <w:numFmt w:val="ideographTraditional"/>
      <w:lvlText w:val="%5、"/>
      <w:lvlJc w:val="left"/>
      <w:pPr>
        <w:ind w:left="3166" w:hanging="480"/>
      </w:pPr>
    </w:lvl>
    <w:lvl w:ilvl="5" w:tplc="FFFFFFFF" w:tentative="1">
      <w:start w:val="1"/>
      <w:numFmt w:val="lowerRoman"/>
      <w:lvlText w:val="%6."/>
      <w:lvlJc w:val="right"/>
      <w:pPr>
        <w:ind w:left="3646" w:hanging="480"/>
      </w:pPr>
    </w:lvl>
    <w:lvl w:ilvl="6" w:tplc="FFFFFFFF" w:tentative="1">
      <w:start w:val="1"/>
      <w:numFmt w:val="decimal"/>
      <w:lvlText w:val="%7."/>
      <w:lvlJc w:val="left"/>
      <w:pPr>
        <w:ind w:left="4126" w:hanging="480"/>
      </w:pPr>
    </w:lvl>
    <w:lvl w:ilvl="7" w:tplc="FFFFFFFF" w:tentative="1">
      <w:start w:val="1"/>
      <w:numFmt w:val="ideographTraditional"/>
      <w:lvlText w:val="%8、"/>
      <w:lvlJc w:val="left"/>
      <w:pPr>
        <w:ind w:left="4606" w:hanging="480"/>
      </w:pPr>
    </w:lvl>
    <w:lvl w:ilvl="8" w:tplc="FFFFFFFF" w:tentative="1">
      <w:start w:val="1"/>
      <w:numFmt w:val="lowerRoman"/>
      <w:lvlText w:val="%9."/>
      <w:lvlJc w:val="right"/>
      <w:pPr>
        <w:ind w:left="5086" w:hanging="480"/>
      </w:pPr>
    </w:lvl>
  </w:abstractNum>
  <w:abstractNum w:abstractNumId="91" w15:restartNumberingAfterBreak="0">
    <w:nsid w:val="31D45BFD"/>
    <w:multiLevelType w:val="multilevel"/>
    <w:tmpl w:val="987AF3CC"/>
    <w:lvl w:ilvl="0">
      <w:start w:val="1"/>
      <w:numFmt w:val="upperRoman"/>
      <w:suff w:val="nothing"/>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2" w15:restartNumberingAfterBreak="0">
    <w:nsid w:val="320B0A42"/>
    <w:multiLevelType w:val="multilevel"/>
    <w:tmpl w:val="898C46AA"/>
    <w:lvl w:ilvl="0">
      <w:start w:val="4"/>
      <w:numFmt w:val="decimal"/>
      <w:lvlText w:val="%1."/>
      <w:lvlJc w:val="left"/>
      <w:pPr>
        <w:ind w:left="1459" w:hanging="480"/>
      </w:pPr>
      <w:rPr>
        <w:rFonts w:cs="Times New Roman"/>
      </w:rPr>
    </w:lvl>
    <w:lvl w:ilvl="1">
      <w:start w:val="1"/>
      <w:numFmt w:val="ideographTraditional"/>
      <w:lvlText w:val="%2、"/>
      <w:lvlJc w:val="left"/>
      <w:pPr>
        <w:ind w:left="1176" w:hanging="480"/>
      </w:pPr>
      <w:rPr>
        <w:rFonts w:cs="Times New Roman"/>
      </w:rPr>
    </w:lvl>
    <w:lvl w:ilvl="2">
      <w:start w:val="1"/>
      <w:numFmt w:val="lowerRoman"/>
      <w:lvlText w:val="%3."/>
      <w:lvlJc w:val="right"/>
      <w:pPr>
        <w:ind w:left="1656" w:hanging="480"/>
      </w:pPr>
      <w:rPr>
        <w:rFonts w:cs="Times New Roman"/>
      </w:rPr>
    </w:lvl>
    <w:lvl w:ilvl="3">
      <w:start w:val="1"/>
      <w:numFmt w:val="decimal"/>
      <w:lvlText w:val="%4."/>
      <w:lvlJc w:val="left"/>
      <w:pPr>
        <w:ind w:left="2136" w:hanging="480"/>
      </w:pPr>
      <w:rPr>
        <w:rFonts w:cs="Times New Roman"/>
      </w:rPr>
    </w:lvl>
    <w:lvl w:ilvl="4">
      <w:start w:val="1"/>
      <w:numFmt w:val="ideographTraditional"/>
      <w:lvlText w:val="%5、"/>
      <w:lvlJc w:val="left"/>
      <w:pPr>
        <w:ind w:left="2616" w:hanging="480"/>
      </w:pPr>
      <w:rPr>
        <w:rFonts w:cs="Times New Roman"/>
      </w:rPr>
    </w:lvl>
    <w:lvl w:ilvl="5">
      <w:start w:val="1"/>
      <w:numFmt w:val="lowerRoman"/>
      <w:lvlText w:val="%6."/>
      <w:lvlJc w:val="right"/>
      <w:pPr>
        <w:ind w:left="3096" w:hanging="480"/>
      </w:pPr>
      <w:rPr>
        <w:rFonts w:cs="Times New Roman"/>
      </w:rPr>
    </w:lvl>
    <w:lvl w:ilvl="6">
      <w:start w:val="1"/>
      <w:numFmt w:val="decimal"/>
      <w:lvlText w:val="%7."/>
      <w:lvlJc w:val="left"/>
      <w:pPr>
        <w:ind w:left="3576" w:hanging="480"/>
      </w:pPr>
      <w:rPr>
        <w:rFonts w:cs="Times New Roman"/>
      </w:rPr>
    </w:lvl>
    <w:lvl w:ilvl="7">
      <w:start w:val="1"/>
      <w:numFmt w:val="ideographTraditional"/>
      <w:lvlText w:val="%8、"/>
      <w:lvlJc w:val="left"/>
      <w:pPr>
        <w:ind w:left="4056" w:hanging="480"/>
      </w:pPr>
      <w:rPr>
        <w:rFonts w:cs="Times New Roman"/>
      </w:rPr>
    </w:lvl>
    <w:lvl w:ilvl="8">
      <w:start w:val="1"/>
      <w:numFmt w:val="lowerRoman"/>
      <w:lvlText w:val="%9."/>
      <w:lvlJc w:val="right"/>
      <w:pPr>
        <w:ind w:left="4536" w:hanging="480"/>
      </w:pPr>
      <w:rPr>
        <w:rFonts w:cs="Times New Roman"/>
      </w:rPr>
    </w:lvl>
  </w:abstractNum>
  <w:abstractNum w:abstractNumId="93" w15:restartNumberingAfterBreak="0">
    <w:nsid w:val="323D0136"/>
    <w:multiLevelType w:val="multilevel"/>
    <w:tmpl w:val="2970268E"/>
    <w:lvl w:ilvl="0">
      <w:start w:val="1"/>
      <w:numFmt w:val="upperRoman"/>
      <w:lvlText w:val="%1."/>
      <w:lvlJc w:val="left"/>
      <w:pPr>
        <w:ind w:left="1188" w:hanging="480"/>
      </w:pPr>
    </w:lvl>
    <w:lvl w:ilvl="1">
      <w:start w:val="1"/>
      <w:numFmt w:val="ideographTradition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4" w15:restartNumberingAfterBreak="0">
    <w:nsid w:val="32662BEB"/>
    <w:multiLevelType w:val="multilevel"/>
    <w:tmpl w:val="35D0D85E"/>
    <w:lvl w:ilvl="0">
      <w:numFmt w:val="bullet"/>
      <w:lvlText w:val="□"/>
      <w:lvlJc w:val="left"/>
      <w:pPr>
        <w:ind w:left="360" w:hanging="360"/>
      </w:pPr>
      <w:rPr>
        <w:rFonts w:ascii="新細明體" w:eastAsia="新細明體" w:hAnsi="新細明體"/>
      </w:r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95" w15:restartNumberingAfterBreak="0">
    <w:nsid w:val="32CB663B"/>
    <w:multiLevelType w:val="multilevel"/>
    <w:tmpl w:val="88B4DE0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6" w15:restartNumberingAfterBreak="0">
    <w:nsid w:val="334F2579"/>
    <w:multiLevelType w:val="multilevel"/>
    <w:tmpl w:val="851C10F6"/>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7" w15:restartNumberingAfterBreak="0">
    <w:nsid w:val="335D26CA"/>
    <w:multiLevelType w:val="multilevel"/>
    <w:tmpl w:val="96CEF83E"/>
    <w:lvl w:ilvl="0">
      <w:numFmt w:val="bullet"/>
      <w:lvlText w:val=""/>
      <w:lvlJc w:val="left"/>
      <w:rPr>
        <w:rFonts w:ascii="Wingdings" w:hAnsi="Wingdings"/>
        <w:sz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8" w15:restartNumberingAfterBreak="0">
    <w:nsid w:val="340A1432"/>
    <w:multiLevelType w:val="multilevel"/>
    <w:tmpl w:val="D8083884"/>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9" w15:restartNumberingAfterBreak="0">
    <w:nsid w:val="3445670E"/>
    <w:multiLevelType w:val="hybridMultilevel"/>
    <w:tmpl w:val="A796A9D2"/>
    <w:lvl w:ilvl="0" w:tplc="A6989932">
      <w:start w:val="1"/>
      <w:numFmt w:val="lowerRoman"/>
      <w:lvlText w:val="%1."/>
      <w:lvlJc w:val="left"/>
      <w:pPr>
        <w:ind w:left="1288" w:hanging="720"/>
      </w:pPr>
      <w:rPr>
        <w:rFonts w:hint="default"/>
      </w:rPr>
    </w:lvl>
    <w:lvl w:ilvl="1" w:tplc="04090019" w:tentative="1">
      <w:start w:val="1"/>
      <w:numFmt w:val="ideographTraditional"/>
      <w:lvlText w:val="%2、"/>
      <w:lvlJc w:val="left"/>
      <w:pPr>
        <w:ind w:left="1277" w:hanging="480"/>
      </w:pPr>
    </w:lvl>
    <w:lvl w:ilvl="2" w:tplc="0409001B" w:tentative="1">
      <w:start w:val="1"/>
      <w:numFmt w:val="lowerRoman"/>
      <w:lvlText w:val="%3."/>
      <w:lvlJc w:val="right"/>
      <w:pPr>
        <w:ind w:left="1757" w:hanging="480"/>
      </w:pPr>
    </w:lvl>
    <w:lvl w:ilvl="3" w:tplc="0409000F" w:tentative="1">
      <w:start w:val="1"/>
      <w:numFmt w:val="decimal"/>
      <w:lvlText w:val="%4."/>
      <w:lvlJc w:val="left"/>
      <w:pPr>
        <w:ind w:left="2237" w:hanging="480"/>
      </w:pPr>
    </w:lvl>
    <w:lvl w:ilvl="4" w:tplc="04090019" w:tentative="1">
      <w:start w:val="1"/>
      <w:numFmt w:val="ideographTraditional"/>
      <w:lvlText w:val="%5、"/>
      <w:lvlJc w:val="left"/>
      <w:pPr>
        <w:ind w:left="2717" w:hanging="480"/>
      </w:pPr>
    </w:lvl>
    <w:lvl w:ilvl="5" w:tplc="0409001B" w:tentative="1">
      <w:start w:val="1"/>
      <w:numFmt w:val="lowerRoman"/>
      <w:lvlText w:val="%6."/>
      <w:lvlJc w:val="right"/>
      <w:pPr>
        <w:ind w:left="3197" w:hanging="480"/>
      </w:pPr>
    </w:lvl>
    <w:lvl w:ilvl="6" w:tplc="0409000F" w:tentative="1">
      <w:start w:val="1"/>
      <w:numFmt w:val="decimal"/>
      <w:lvlText w:val="%7."/>
      <w:lvlJc w:val="left"/>
      <w:pPr>
        <w:ind w:left="3677" w:hanging="480"/>
      </w:pPr>
    </w:lvl>
    <w:lvl w:ilvl="7" w:tplc="04090019" w:tentative="1">
      <w:start w:val="1"/>
      <w:numFmt w:val="ideographTraditional"/>
      <w:lvlText w:val="%8、"/>
      <w:lvlJc w:val="left"/>
      <w:pPr>
        <w:ind w:left="4157" w:hanging="480"/>
      </w:pPr>
    </w:lvl>
    <w:lvl w:ilvl="8" w:tplc="0409001B" w:tentative="1">
      <w:start w:val="1"/>
      <w:numFmt w:val="lowerRoman"/>
      <w:lvlText w:val="%9."/>
      <w:lvlJc w:val="right"/>
      <w:pPr>
        <w:ind w:left="4637" w:hanging="480"/>
      </w:pPr>
    </w:lvl>
  </w:abstractNum>
  <w:abstractNum w:abstractNumId="100" w15:restartNumberingAfterBreak="0">
    <w:nsid w:val="349E563E"/>
    <w:multiLevelType w:val="multilevel"/>
    <w:tmpl w:val="BE321AF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1" w15:restartNumberingAfterBreak="0">
    <w:nsid w:val="35122143"/>
    <w:multiLevelType w:val="multilevel"/>
    <w:tmpl w:val="6B225CD2"/>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2" w15:restartNumberingAfterBreak="0">
    <w:nsid w:val="36A817AB"/>
    <w:multiLevelType w:val="multilevel"/>
    <w:tmpl w:val="4FE20C8A"/>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3" w15:restartNumberingAfterBreak="0">
    <w:nsid w:val="36D4127A"/>
    <w:multiLevelType w:val="multilevel"/>
    <w:tmpl w:val="0E681B6C"/>
    <w:lvl w:ilvl="0">
      <w:start w:val="1"/>
      <w:numFmt w:val="decimal"/>
      <w:suff w:val="nothing"/>
      <w:lvlText w:val="(%1)"/>
      <w:lvlJc w:val="left"/>
      <w:pPr>
        <w:ind w:left="480" w:hanging="480"/>
      </w:pPr>
      <w:rPr>
        <w:rFonts w:ascii="標楷體" w:eastAsia="標楷體" w:hAnsi="標楷體" w:cs="Times New Roman"/>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4" w15:restartNumberingAfterBreak="0">
    <w:nsid w:val="37602EA0"/>
    <w:multiLevelType w:val="multilevel"/>
    <w:tmpl w:val="C26E6962"/>
    <w:lvl w:ilvl="0">
      <w:start w:val="2"/>
      <w:numFmt w:val="decimal"/>
      <w:lvlText w:val="%1."/>
      <w:lvlJc w:val="left"/>
      <w:pPr>
        <w:ind w:left="516" w:hanging="360"/>
      </w:pPr>
      <w:rPr>
        <w:rFonts w:hint="eastAsia"/>
      </w:rPr>
    </w:lvl>
    <w:lvl w:ilvl="1">
      <w:start w:val="1"/>
      <w:numFmt w:val="decimal"/>
      <w:lvlText w:val="(%2)"/>
      <w:lvlJc w:val="left"/>
      <w:pPr>
        <w:ind w:left="1116" w:hanging="480"/>
      </w:pPr>
      <w:rPr>
        <w:rFonts w:hint="eastAsia"/>
      </w:rPr>
    </w:lvl>
    <w:lvl w:ilvl="2">
      <w:start w:val="1"/>
      <w:numFmt w:val="upperRoman"/>
      <w:lvlText w:val="%3."/>
      <w:lvlJc w:val="left"/>
      <w:pPr>
        <w:ind w:left="1596" w:hanging="480"/>
      </w:pPr>
      <w:rPr>
        <w:rFonts w:hint="eastAsia"/>
      </w:rPr>
    </w:lvl>
    <w:lvl w:ilvl="3">
      <w:start w:val="1"/>
      <w:numFmt w:val="lowerRoman"/>
      <w:lvlText w:val="%4."/>
      <w:lvlJc w:val="left"/>
      <w:pPr>
        <w:ind w:left="2316" w:hanging="720"/>
      </w:pPr>
      <w:rPr>
        <w:rFonts w:hint="eastAsia"/>
      </w:rPr>
    </w:lvl>
    <w:lvl w:ilvl="4">
      <w:start w:val="1"/>
      <w:numFmt w:val="ideographTraditional"/>
      <w:lvlText w:val="%5、"/>
      <w:lvlJc w:val="left"/>
      <w:pPr>
        <w:ind w:left="2556" w:hanging="480"/>
      </w:pPr>
      <w:rPr>
        <w:rFonts w:hint="eastAsia"/>
      </w:rPr>
    </w:lvl>
    <w:lvl w:ilvl="5">
      <w:start w:val="1"/>
      <w:numFmt w:val="lowerRoman"/>
      <w:lvlText w:val="%6."/>
      <w:lvlJc w:val="right"/>
      <w:pPr>
        <w:ind w:left="3036" w:hanging="480"/>
      </w:pPr>
      <w:rPr>
        <w:rFonts w:hint="eastAsia"/>
      </w:rPr>
    </w:lvl>
    <w:lvl w:ilvl="6">
      <w:start w:val="1"/>
      <w:numFmt w:val="decimal"/>
      <w:lvlText w:val="%7."/>
      <w:lvlJc w:val="left"/>
      <w:pPr>
        <w:ind w:left="3516" w:hanging="480"/>
      </w:pPr>
      <w:rPr>
        <w:rFonts w:hint="eastAsia"/>
      </w:rPr>
    </w:lvl>
    <w:lvl w:ilvl="7">
      <w:start w:val="1"/>
      <w:numFmt w:val="ideographTraditional"/>
      <w:lvlText w:val="%8、"/>
      <w:lvlJc w:val="left"/>
      <w:pPr>
        <w:ind w:left="3996" w:hanging="480"/>
      </w:pPr>
      <w:rPr>
        <w:rFonts w:hint="eastAsia"/>
      </w:rPr>
    </w:lvl>
    <w:lvl w:ilvl="8">
      <w:start w:val="1"/>
      <w:numFmt w:val="lowerRoman"/>
      <w:lvlText w:val="%9."/>
      <w:lvlJc w:val="right"/>
      <w:pPr>
        <w:ind w:left="4476" w:hanging="480"/>
      </w:pPr>
      <w:rPr>
        <w:rFonts w:hint="eastAsia"/>
      </w:rPr>
    </w:lvl>
  </w:abstractNum>
  <w:abstractNum w:abstractNumId="105" w15:restartNumberingAfterBreak="0">
    <w:nsid w:val="37865592"/>
    <w:multiLevelType w:val="multilevel"/>
    <w:tmpl w:val="F6F48506"/>
    <w:lvl w:ilvl="0">
      <w:start w:val="1"/>
      <w:numFmt w:val="decimal"/>
      <w:lvlText w:val="%1."/>
      <w:lvlJc w:val="left"/>
      <w:pPr>
        <w:ind w:left="960" w:hanging="480"/>
      </w:pPr>
      <w:rPr>
        <w:b w:val="0"/>
        <w:i w:val="0"/>
        <w:sz w:val="28"/>
      </w:rPr>
    </w:lvl>
    <w:lvl w:ilvl="1">
      <w:start w:val="1"/>
      <w:numFmt w:val="ideographTraditional"/>
      <w:lvlText w:val="%2、"/>
      <w:lvlJc w:val="left"/>
      <w:pPr>
        <w:ind w:left="1236" w:hanging="480"/>
      </w:pPr>
    </w:lvl>
    <w:lvl w:ilvl="2">
      <w:start w:val="1"/>
      <w:numFmt w:val="lowerRoman"/>
      <w:lvlText w:val="%3."/>
      <w:lvlJc w:val="right"/>
      <w:pPr>
        <w:ind w:left="1716" w:hanging="480"/>
      </w:pPr>
    </w:lvl>
    <w:lvl w:ilvl="3">
      <w:start w:val="1"/>
      <w:numFmt w:val="decimal"/>
      <w:lvlText w:val="%4."/>
      <w:lvlJc w:val="left"/>
      <w:pPr>
        <w:ind w:left="2196" w:hanging="480"/>
      </w:pPr>
    </w:lvl>
    <w:lvl w:ilvl="4">
      <w:start w:val="1"/>
      <w:numFmt w:val="ideographTraditional"/>
      <w:lvlText w:val="%5、"/>
      <w:lvlJc w:val="left"/>
      <w:pPr>
        <w:ind w:left="2676" w:hanging="480"/>
      </w:pPr>
    </w:lvl>
    <w:lvl w:ilvl="5">
      <w:start w:val="1"/>
      <w:numFmt w:val="lowerRoman"/>
      <w:lvlText w:val="%6."/>
      <w:lvlJc w:val="right"/>
      <w:pPr>
        <w:ind w:left="3156" w:hanging="480"/>
      </w:pPr>
    </w:lvl>
    <w:lvl w:ilvl="6">
      <w:start w:val="1"/>
      <w:numFmt w:val="decimal"/>
      <w:lvlText w:val="%7."/>
      <w:lvlJc w:val="left"/>
      <w:pPr>
        <w:ind w:left="3636" w:hanging="480"/>
      </w:pPr>
    </w:lvl>
    <w:lvl w:ilvl="7">
      <w:start w:val="1"/>
      <w:numFmt w:val="ideographTraditional"/>
      <w:lvlText w:val="%8、"/>
      <w:lvlJc w:val="left"/>
      <w:pPr>
        <w:ind w:left="4116" w:hanging="480"/>
      </w:pPr>
    </w:lvl>
    <w:lvl w:ilvl="8">
      <w:start w:val="1"/>
      <w:numFmt w:val="lowerRoman"/>
      <w:lvlText w:val="%9."/>
      <w:lvlJc w:val="right"/>
      <w:pPr>
        <w:ind w:left="4596" w:hanging="480"/>
      </w:pPr>
    </w:lvl>
  </w:abstractNum>
  <w:abstractNum w:abstractNumId="106" w15:restartNumberingAfterBreak="0">
    <w:nsid w:val="37916B09"/>
    <w:multiLevelType w:val="multilevel"/>
    <w:tmpl w:val="2108AB84"/>
    <w:lvl w:ilvl="0">
      <w:start w:val="1"/>
      <w:numFmt w:val="decimal"/>
      <w:lvlText w:val="(%1)"/>
      <w:lvlJc w:val="left"/>
      <w:pPr>
        <w:ind w:left="720" w:hanging="720"/>
      </w:pPr>
    </w:lvl>
    <w:lvl w:ilvl="1">
      <w:start w:val="1"/>
      <w:numFmt w:val="upperRoman"/>
      <w:lvlText w:val="%2."/>
      <w:lvlJc w:val="left"/>
      <w:pPr>
        <w:ind w:left="960" w:hanging="480"/>
      </w:pPr>
      <w:rPr>
        <w:rFonts w:ascii="標楷體" w:eastAsia="標楷體" w:hAnsi="標楷體"/>
      </w:rPr>
    </w:lvl>
    <w:lvl w:ilvl="2">
      <w:start w:val="1"/>
      <w:numFmt w:val="lowerRoman"/>
      <w:lvlText w:val="%3."/>
      <w:lvlJc w:val="left"/>
      <w:pPr>
        <w:ind w:left="1680" w:hanging="720"/>
      </w:pPr>
      <w:rPr>
        <w:rFonts w:ascii="標楷體" w:eastAsia="標楷體" w:hAnsi="標楷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7" w15:restartNumberingAfterBreak="0">
    <w:nsid w:val="37C66D12"/>
    <w:multiLevelType w:val="multilevel"/>
    <w:tmpl w:val="254E64F2"/>
    <w:lvl w:ilvl="0">
      <w:numFmt w:val="bullet"/>
      <w:lvlText w:val="□"/>
      <w:lvlJc w:val="left"/>
      <w:pPr>
        <w:ind w:left="918" w:hanging="480"/>
      </w:pPr>
      <w:rPr>
        <w:rFonts w:ascii="標楷體" w:eastAsia="標楷體" w:hAnsi="標楷體"/>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8" w15:restartNumberingAfterBreak="0">
    <w:nsid w:val="38457921"/>
    <w:multiLevelType w:val="multilevel"/>
    <w:tmpl w:val="6ACCAFBC"/>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109" w15:restartNumberingAfterBreak="0">
    <w:nsid w:val="386A71FE"/>
    <w:multiLevelType w:val="multilevel"/>
    <w:tmpl w:val="B96ABD4E"/>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0" w15:restartNumberingAfterBreak="0">
    <w:nsid w:val="38D9290F"/>
    <w:multiLevelType w:val="multilevel"/>
    <w:tmpl w:val="C88E9AEA"/>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1" w15:restartNumberingAfterBreak="0">
    <w:nsid w:val="38EF6BCE"/>
    <w:multiLevelType w:val="multilevel"/>
    <w:tmpl w:val="08842C0C"/>
    <w:lvl w:ilvl="0">
      <w:start w:val="4"/>
      <w:numFmt w:val="decimal"/>
      <w:lvlText w:val="%1."/>
      <w:lvlJc w:val="left"/>
      <w:pPr>
        <w:ind w:left="1459" w:hanging="480"/>
      </w:pPr>
      <w:rPr>
        <w:rFonts w:cs="Times New Roman"/>
      </w:rPr>
    </w:lvl>
    <w:lvl w:ilvl="1">
      <w:start w:val="1"/>
      <w:numFmt w:val="ideographTraditional"/>
      <w:lvlText w:val="%2、"/>
      <w:lvlJc w:val="left"/>
      <w:pPr>
        <w:ind w:left="1176" w:hanging="480"/>
      </w:pPr>
      <w:rPr>
        <w:rFonts w:cs="Times New Roman"/>
      </w:rPr>
    </w:lvl>
    <w:lvl w:ilvl="2">
      <w:start w:val="1"/>
      <w:numFmt w:val="lowerRoman"/>
      <w:lvlText w:val="%3."/>
      <w:lvlJc w:val="right"/>
      <w:pPr>
        <w:ind w:left="1656" w:hanging="480"/>
      </w:pPr>
      <w:rPr>
        <w:rFonts w:cs="Times New Roman"/>
      </w:rPr>
    </w:lvl>
    <w:lvl w:ilvl="3">
      <w:start w:val="1"/>
      <w:numFmt w:val="decimal"/>
      <w:lvlText w:val="%4."/>
      <w:lvlJc w:val="left"/>
      <w:pPr>
        <w:ind w:left="2136" w:hanging="480"/>
      </w:pPr>
      <w:rPr>
        <w:rFonts w:cs="Times New Roman"/>
      </w:rPr>
    </w:lvl>
    <w:lvl w:ilvl="4">
      <w:start w:val="1"/>
      <w:numFmt w:val="ideographTraditional"/>
      <w:lvlText w:val="%5、"/>
      <w:lvlJc w:val="left"/>
      <w:pPr>
        <w:ind w:left="2616" w:hanging="480"/>
      </w:pPr>
      <w:rPr>
        <w:rFonts w:cs="Times New Roman"/>
      </w:rPr>
    </w:lvl>
    <w:lvl w:ilvl="5">
      <w:start w:val="1"/>
      <w:numFmt w:val="lowerRoman"/>
      <w:lvlText w:val="%6."/>
      <w:lvlJc w:val="right"/>
      <w:pPr>
        <w:ind w:left="3096" w:hanging="480"/>
      </w:pPr>
      <w:rPr>
        <w:rFonts w:cs="Times New Roman"/>
      </w:rPr>
    </w:lvl>
    <w:lvl w:ilvl="6">
      <w:start w:val="1"/>
      <w:numFmt w:val="decimal"/>
      <w:lvlText w:val="%7."/>
      <w:lvlJc w:val="left"/>
      <w:pPr>
        <w:ind w:left="3576" w:hanging="480"/>
      </w:pPr>
      <w:rPr>
        <w:rFonts w:cs="Times New Roman"/>
      </w:rPr>
    </w:lvl>
    <w:lvl w:ilvl="7">
      <w:start w:val="1"/>
      <w:numFmt w:val="ideographTraditional"/>
      <w:lvlText w:val="%8、"/>
      <w:lvlJc w:val="left"/>
      <w:pPr>
        <w:ind w:left="4056" w:hanging="480"/>
      </w:pPr>
      <w:rPr>
        <w:rFonts w:cs="Times New Roman"/>
      </w:rPr>
    </w:lvl>
    <w:lvl w:ilvl="8">
      <w:start w:val="1"/>
      <w:numFmt w:val="lowerRoman"/>
      <w:lvlText w:val="%9."/>
      <w:lvlJc w:val="right"/>
      <w:pPr>
        <w:ind w:left="4536" w:hanging="480"/>
      </w:pPr>
      <w:rPr>
        <w:rFonts w:cs="Times New Roman"/>
      </w:rPr>
    </w:lvl>
  </w:abstractNum>
  <w:abstractNum w:abstractNumId="112" w15:restartNumberingAfterBreak="0">
    <w:nsid w:val="38F42DF3"/>
    <w:multiLevelType w:val="multilevel"/>
    <w:tmpl w:val="1D663E8E"/>
    <w:lvl w:ilvl="0">
      <w:start w:val="1"/>
      <w:numFmt w:val="decimal"/>
      <w:lvlText w:val="%1."/>
      <w:lvlJc w:val="left"/>
      <w:pPr>
        <w:ind w:left="1047" w:hanging="48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13" w15:restartNumberingAfterBreak="0">
    <w:nsid w:val="393A1C8B"/>
    <w:multiLevelType w:val="multilevel"/>
    <w:tmpl w:val="79680E4A"/>
    <w:lvl w:ilvl="0">
      <w:start w:val="1"/>
      <w:numFmt w:val="decimal"/>
      <w:lvlText w:val="%1."/>
      <w:lvlJc w:val="left"/>
      <w:pPr>
        <w:ind w:left="480" w:hanging="480"/>
      </w:pPr>
      <w:rPr>
        <w:rFonts w:ascii="標楷體" w:eastAsia="標楷體" w:hAnsi="標楷體"/>
        <w:sz w:val="24"/>
        <w:szCs w:val="24"/>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4" w15:restartNumberingAfterBreak="0">
    <w:nsid w:val="39507EED"/>
    <w:multiLevelType w:val="hybridMultilevel"/>
    <w:tmpl w:val="E564CFEA"/>
    <w:lvl w:ilvl="0" w:tplc="E1DE9DE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5" w15:restartNumberingAfterBreak="0">
    <w:nsid w:val="39715C50"/>
    <w:multiLevelType w:val="hybridMultilevel"/>
    <w:tmpl w:val="1220B5FA"/>
    <w:lvl w:ilvl="0" w:tplc="EC54049C">
      <w:start w:val="1"/>
      <w:numFmt w:val="upperRoman"/>
      <w:suff w:val="nothing"/>
      <w:lvlText w:val="%1."/>
      <w:lvlJc w:val="left"/>
      <w:pPr>
        <w:ind w:left="1048"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16" w15:restartNumberingAfterBreak="0">
    <w:nsid w:val="39B87C46"/>
    <w:multiLevelType w:val="hybridMultilevel"/>
    <w:tmpl w:val="C90687EC"/>
    <w:lvl w:ilvl="0" w:tplc="EB582622">
      <w:start w:val="1"/>
      <w:numFmt w:val="upperRoman"/>
      <w:lvlText w:val="%1."/>
      <w:lvlJc w:val="left"/>
      <w:pPr>
        <w:ind w:left="948" w:hanging="480"/>
      </w:pPr>
      <w:rPr>
        <w:u w:val="none"/>
      </w:rPr>
    </w:lvl>
    <w:lvl w:ilvl="1" w:tplc="04090019">
      <w:start w:val="1"/>
      <w:numFmt w:val="ideographTraditional"/>
      <w:lvlText w:val="%2、"/>
      <w:lvlJc w:val="left"/>
      <w:pPr>
        <w:ind w:left="1428" w:hanging="480"/>
      </w:pPr>
    </w:lvl>
    <w:lvl w:ilvl="2" w:tplc="0409001B">
      <w:start w:val="1"/>
      <w:numFmt w:val="lowerRoman"/>
      <w:lvlText w:val="%3."/>
      <w:lvlJc w:val="right"/>
      <w:pPr>
        <w:ind w:left="1908" w:hanging="480"/>
      </w:pPr>
    </w:lvl>
    <w:lvl w:ilvl="3" w:tplc="0409000F">
      <w:start w:val="1"/>
      <w:numFmt w:val="decimal"/>
      <w:lvlText w:val="%4."/>
      <w:lvlJc w:val="left"/>
      <w:pPr>
        <w:ind w:left="2388" w:hanging="480"/>
      </w:pPr>
    </w:lvl>
    <w:lvl w:ilvl="4" w:tplc="04090019">
      <w:start w:val="1"/>
      <w:numFmt w:val="ideographTraditional"/>
      <w:lvlText w:val="%5、"/>
      <w:lvlJc w:val="left"/>
      <w:pPr>
        <w:ind w:left="2868" w:hanging="480"/>
      </w:pPr>
    </w:lvl>
    <w:lvl w:ilvl="5" w:tplc="0409001B">
      <w:start w:val="1"/>
      <w:numFmt w:val="lowerRoman"/>
      <w:lvlText w:val="%6."/>
      <w:lvlJc w:val="right"/>
      <w:pPr>
        <w:ind w:left="3348" w:hanging="480"/>
      </w:pPr>
    </w:lvl>
    <w:lvl w:ilvl="6" w:tplc="0409000F">
      <w:start w:val="1"/>
      <w:numFmt w:val="decimal"/>
      <w:lvlText w:val="%7."/>
      <w:lvlJc w:val="left"/>
      <w:pPr>
        <w:ind w:left="3828" w:hanging="480"/>
      </w:pPr>
    </w:lvl>
    <w:lvl w:ilvl="7" w:tplc="04090019">
      <w:start w:val="1"/>
      <w:numFmt w:val="ideographTraditional"/>
      <w:lvlText w:val="%8、"/>
      <w:lvlJc w:val="left"/>
      <w:pPr>
        <w:ind w:left="4308" w:hanging="480"/>
      </w:pPr>
    </w:lvl>
    <w:lvl w:ilvl="8" w:tplc="0409001B">
      <w:start w:val="1"/>
      <w:numFmt w:val="lowerRoman"/>
      <w:lvlText w:val="%9."/>
      <w:lvlJc w:val="right"/>
      <w:pPr>
        <w:ind w:left="4788" w:hanging="480"/>
      </w:pPr>
    </w:lvl>
  </w:abstractNum>
  <w:abstractNum w:abstractNumId="117" w15:restartNumberingAfterBreak="0">
    <w:nsid w:val="39E00494"/>
    <w:multiLevelType w:val="hybridMultilevel"/>
    <w:tmpl w:val="0900B898"/>
    <w:lvl w:ilvl="0" w:tplc="3BA2426C">
      <w:start w:val="1"/>
      <w:numFmt w:val="decimal"/>
      <w:lvlText w:val="%1."/>
      <w:lvlJc w:val="left"/>
      <w:pPr>
        <w:ind w:left="480" w:hanging="480"/>
      </w:pPr>
      <w:rPr>
        <w:strike w:val="0"/>
        <w:dstrike w:val="0"/>
        <w:u w:val="none"/>
        <w:effect w:val="none"/>
      </w:rPr>
    </w:lvl>
    <w:lvl w:ilvl="1" w:tplc="FFFFFFFF">
      <w:start w:val="1"/>
      <w:numFmt w:val="decimal"/>
      <w:lvlText w:val="(%2)"/>
      <w:lvlJc w:val="left"/>
      <w:pPr>
        <w:ind w:left="960" w:hanging="480"/>
      </w:pPr>
      <w:rPr>
        <w:color w:val="auto"/>
      </w:rPr>
    </w:lvl>
    <w:lvl w:ilvl="2" w:tplc="FFFFFFFF">
      <w:start w:val="1"/>
      <w:numFmt w:val="upperRoman"/>
      <w:lvlText w:val="%3."/>
      <w:lvlJc w:val="lef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18" w15:restartNumberingAfterBreak="0">
    <w:nsid w:val="39FC295A"/>
    <w:multiLevelType w:val="multilevel"/>
    <w:tmpl w:val="2A50C75E"/>
    <w:lvl w:ilvl="0">
      <w:start w:val="1"/>
      <w:numFmt w:val="decimal"/>
      <w:lvlText w:val="%1、"/>
      <w:lvlJc w:val="left"/>
      <w:pPr>
        <w:ind w:left="720" w:hanging="720"/>
      </w:pPr>
      <w:rPr>
        <w:rFonts w:ascii="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9" w15:restartNumberingAfterBreak="0">
    <w:nsid w:val="3A550DD2"/>
    <w:multiLevelType w:val="hybridMultilevel"/>
    <w:tmpl w:val="DFB2473E"/>
    <w:lvl w:ilvl="0" w:tplc="5F245456">
      <w:start w:val="1"/>
      <w:numFmt w:val="lowerRoman"/>
      <w:suff w:val="nothing"/>
      <w:lvlText w:val="%1."/>
      <w:lvlJc w:val="righ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0" w15:restartNumberingAfterBreak="0">
    <w:nsid w:val="3A934C61"/>
    <w:multiLevelType w:val="multilevel"/>
    <w:tmpl w:val="D7323DF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3AC01CE8"/>
    <w:multiLevelType w:val="multilevel"/>
    <w:tmpl w:val="463A99B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2" w15:restartNumberingAfterBreak="0">
    <w:nsid w:val="3AD06A99"/>
    <w:multiLevelType w:val="multilevel"/>
    <w:tmpl w:val="8B3E2DC4"/>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start w:val="1"/>
      <w:numFmt w:val="decimal"/>
      <w:lvlText w:val="%7."/>
      <w:lvlJc w:val="left"/>
      <w:pPr>
        <w:ind w:left="3360" w:hanging="480"/>
      </w:p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123" w15:restartNumberingAfterBreak="0">
    <w:nsid w:val="3B6967C4"/>
    <w:multiLevelType w:val="multilevel"/>
    <w:tmpl w:val="3D1CAAAA"/>
    <w:lvl w:ilvl="0">
      <w:start w:val="1"/>
      <w:numFmt w:val="decimal"/>
      <w:lvlText w:val="%1."/>
      <w:lvlJc w:val="left"/>
      <w:pPr>
        <w:ind w:left="516" w:hanging="360"/>
      </w:pPr>
    </w:lvl>
    <w:lvl w:ilvl="1">
      <w:start w:val="1"/>
      <w:numFmt w:val="decimal"/>
      <w:lvlText w:val="(%2)"/>
      <w:lvlJc w:val="left"/>
      <w:pPr>
        <w:ind w:left="1116" w:hanging="480"/>
      </w:pPr>
    </w:lvl>
    <w:lvl w:ilvl="2">
      <w:start w:val="1"/>
      <w:numFmt w:val="upperRoman"/>
      <w:lvlText w:val="%3."/>
      <w:lvlJc w:val="left"/>
      <w:pPr>
        <w:ind w:left="1596" w:hanging="480"/>
      </w:pPr>
    </w:lvl>
    <w:lvl w:ilvl="3">
      <w:start w:val="1"/>
      <w:numFmt w:val="lowerRoman"/>
      <w:lvlText w:val="%4."/>
      <w:lvlJc w:val="left"/>
      <w:pPr>
        <w:ind w:left="2316" w:hanging="720"/>
      </w:pPr>
    </w:lvl>
    <w:lvl w:ilvl="4">
      <w:start w:val="1"/>
      <w:numFmt w:val="ideographTraditional"/>
      <w:lvlText w:val="%5、"/>
      <w:lvlJc w:val="left"/>
      <w:pPr>
        <w:ind w:left="2556" w:hanging="480"/>
      </w:pPr>
    </w:lvl>
    <w:lvl w:ilvl="5">
      <w:start w:val="1"/>
      <w:numFmt w:val="lowerRoman"/>
      <w:lvlText w:val="%6."/>
      <w:lvlJc w:val="right"/>
      <w:pPr>
        <w:ind w:left="3036" w:hanging="480"/>
      </w:pPr>
    </w:lvl>
    <w:lvl w:ilvl="6">
      <w:start w:val="1"/>
      <w:numFmt w:val="decimal"/>
      <w:lvlText w:val="%7."/>
      <w:lvlJc w:val="left"/>
      <w:pPr>
        <w:ind w:left="3516" w:hanging="480"/>
      </w:pPr>
    </w:lvl>
    <w:lvl w:ilvl="7">
      <w:start w:val="1"/>
      <w:numFmt w:val="ideographTraditional"/>
      <w:lvlText w:val="%8、"/>
      <w:lvlJc w:val="left"/>
      <w:pPr>
        <w:ind w:left="3996" w:hanging="480"/>
      </w:pPr>
    </w:lvl>
    <w:lvl w:ilvl="8">
      <w:start w:val="1"/>
      <w:numFmt w:val="lowerRoman"/>
      <w:lvlText w:val="%9."/>
      <w:lvlJc w:val="right"/>
      <w:pPr>
        <w:ind w:left="4476" w:hanging="480"/>
      </w:pPr>
    </w:lvl>
  </w:abstractNum>
  <w:abstractNum w:abstractNumId="124" w15:restartNumberingAfterBreak="0">
    <w:nsid w:val="3C4D1CFE"/>
    <w:multiLevelType w:val="multilevel"/>
    <w:tmpl w:val="F67A7188"/>
    <w:lvl w:ilvl="0">
      <w:numFmt w:val="bullet"/>
      <w:lvlText w:val=""/>
      <w:lvlJc w:val="left"/>
      <w:pPr>
        <w:ind w:left="480" w:hanging="480"/>
      </w:pPr>
      <w:rPr>
        <w:rFonts w:ascii="Wingdings" w:hAnsi="Wingdings" w:cs="Times New Roman"/>
      </w:rPr>
    </w:lvl>
    <w:lvl w:ilvl="1">
      <w:numFmt w:val="bullet"/>
      <w:lvlText w:val=""/>
      <w:lvlJc w:val="left"/>
      <w:pPr>
        <w:ind w:left="960" w:hanging="480"/>
      </w:pPr>
      <w:rPr>
        <w:rFonts w:ascii="Wingdings" w:hAnsi="Wingdings" w:cs="Times New Roman"/>
      </w:rPr>
    </w:lvl>
    <w:lvl w:ilvl="2">
      <w:numFmt w:val="bullet"/>
      <w:lvlText w:val=""/>
      <w:lvlJc w:val="left"/>
      <w:pPr>
        <w:ind w:left="1440" w:hanging="480"/>
      </w:pPr>
      <w:rPr>
        <w:rFonts w:ascii="Wingdings" w:hAnsi="Wingdings" w:cs="Times New Roman"/>
      </w:rPr>
    </w:lvl>
    <w:lvl w:ilvl="3">
      <w:numFmt w:val="bullet"/>
      <w:lvlText w:val=""/>
      <w:lvlJc w:val="left"/>
      <w:pPr>
        <w:ind w:left="1920" w:hanging="480"/>
      </w:pPr>
      <w:rPr>
        <w:rFonts w:ascii="Wingdings" w:hAnsi="Wingdings" w:cs="Times New Roman"/>
      </w:rPr>
    </w:lvl>
    <w:lvl w:ilvl="4">
      <w:numFmt w:val="bullet"/>
      <w:lvlText w:val=""/>
      <w:lvlJc w:val="left"/>
      <w:pPr>
        <w:ind w:left="2400" w:hanging="480"/>
      </w:pPr>
      <w:rPr>
        <w:rFonts w:ascii="Wingdings" w:hAnsi="Wingdings" w:cs="Times New Roman"/>
      </w:rPr>
    </w:lvl>
    <w:lvl w:ilvl="5">
      <w:numFmt w:val="bullet"/>
      <w:lvlText w:val=""/>
      <w:lvlJc w:val="left"/>
      <w:pPr>
        <w:ind w:left="2880" w:hanging="480"/>
      </w:pPr>
      <w:rPr>
        <w:rFonts w:ascii="Wingdings" w:hAnsi="Wingdings" w:cs="Times New Roman"/>
      </w:rPr>
    </w:lvl>
    <w:lvl w:ilvl="6">
      <w:numFmt w:val="bullet"/>
      <w:lvlText w:val=""/>
      <w:lvlJc w:val="left"/>
      <w:pPr>
        <w:ind w:left="3360" w:hanging="480"/>
      </w:pPr>
      <w:rPr>
        <w:rFonts w:ascii="Wingdings" w:hAnsi="Wingdings" w:cs="Times New Roman"/>
      </w:rPr>
    </w:lvl>
    <w:lvl w:ilvl="7">
      <w:numFmt w:val="bullet"/>
      <w:lvlText w:val=""/>
      <w:lvlJc w:val="left"/>
      <w:pPr>
        <w:ind w:left="3840" w:hanging="480"/>
      </w:pPr>
      <w:rPr>
        <w:rFonts w:ascii="Wingdings" w:hAnsi="Wingdings" w:cs="Times New Roman"/>
      </w:rPr>
    </w:lvl>
    <w:lvl w:ilvl="8">
      <w:numFmt w:val="bullet"/>
      <w:lvlText w:val=""/>
      <w:lvlJc w:val="left"/>
      <w:pPr>
        <w:ind w:left="4320" w:hanging="480"/>
      </w:pPr>
      <w:rPr>
        <w:rFonts w:ascii="Wingdings" w:hAnsi="Wingdings" w:cs="Times New Roman"/>
      </w:rPr>
    </w:lvl>
  </w:abstractNum>
  <w:abstractNum w:abstractNumId="125" w15:restartNumberingAfterBreak="0">
    <w:nsid w:val="3CA13128"/>
    <w:multiLevelType w:val="multilevel"/>
    <w:tmpl w:val="ACF4B832"/>
    <w:lvl w:ilvl="0">
      <w:start w:val="1"/>
      <w:numFmt w:val="upperRoman"/>
      <w:lvlText w:val="%1."/>
      <w:lvlJc w:val="left"/>
      <w:pPr>
        <w:ind w:left="144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6" w15:restartNumberingAfterBreak="0">
    <w:nsid w:val="3CEB4BDD"/>
    <w:multiLevelType w:val="multilevel"/>
    <w:tmpl w:val="4CAAAECE"/>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7" w15:restartNumberingAfterBreak="0">
    <w:nsid w:val="3D1F0162"/>
    <w:multiLevelType w:val="multilevel"/>
    <w:tmpl w:val="8048DA9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8" w15:restartNumberingAfterBreak="0">
    <w:nsid w:val="3DA232A2"/>
    <w:multiLevelType w:val="multilevel"/>
    <w:tmpl w:val="577A4FAA"/>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9" w15:restartNumberingAfterBreak="0">
    <w:nsid w:val="3DC742C3"/>
    <w:multiLevelType w:val="multilevel"/>
    <w:tmpl w:val="EFECB78E"/>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0" w15:restartNumberingAfterBreak="0">
    <w:nsid w:val="3DE539C9"/>
    <w:multiLevelType w:val="multilevel"/>
    <w:tmpl w:val="1EAAC3E6"/>
    <w:lvl w:ilvl="0">
      <w:numFmt w:val="bullet"/>
      <w:lvlText w:val="□"/>
      <w:lvlJc w:val="left"/>
      <w:pPr>
        <w:ind w:left="495" w:hanging="495"/>
      </w:pPr>
      <w:rPr>
        <w:rFonts w:ascii="全真楷書" w:eastAsia="全真楷書" w:hAnsi="全真楷書"/>
        <w:b w:val="0"/>
        <w:bCs w:val="0"/>
        <w:i w:val="0"/>
        <w:iCs w:val="0"/>
        <w:sz w:val="32"/>
        <w:szCs w:val="3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1" w15:restartNumberingAfterBreak="0">
    <w:nsid w:val="41B32488"/>
    <w:multiLevelType w:val="multilevel"/>
    <w:tmpl w:val="52EA3AC6"/>
    <w:lvl w:ilvl="0">
      <w:numFmt w:val="bullet"/>
      <w:lvlText w:val="□"/>
      <w:lvlJc w:val="left"/>
      <w:pPr>
        <w:ind w:left="360" w:hanging="360"/>
      </w:pPr>
      <w:rPr>
        <w:rFonts w:ascii="細明體" w:eastAsia="細明體" w:hAnsi="細明體"/>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32" w15:restartNumberingAfterBreak="0">
    <w:nsid w:val="41FC3039"/>
    <w:multiLevelType w:val="multilevel"/>
    <w:tmpl w:val="9164293E"/>
    <w:lvl w:ilvl="0">
      <w:start w:val="1"/>
      <w:numFmt w:val="decimal"/>
      <w:suff w:val="nothing"/>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3" w15:restartNumberingAfterBreak="0">
    <w:nsid w:val="42230339"/>
    <w:multiLevelType w:val="multilevel"/>
    <w:tmpl w:val="AD6ED428"/>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4" w15:restartNumberingAfterBreak="0">
    <w:nsid w:val="431D5F59"/>
    <w:multiLevelType w:val="multilevel"/>
    <w:tmpl w:val="5A6EBB92"/>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5" w15:restartNumberingAfterBreak="0">
    <w:nsid w:val="4370516D"/>
    <w:multiLevelType w:val="hybridMultilevel"/>
    <w:tmpl w:val="5A421248"/>
    <w:lvl w:ilvl="0" w:tplc="A7D2CEAC">
      <w:start w:val="1"/>
      <w:numFmt w:val="upp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448D227B"/>
    <w:multiLevelType w:val="multilevel"/>
    <w:tmpl w:val="21FAC576"/>
    <w:lvl w:ilvl="0">
      <w:start w:val="9"/>
      <w:numFmt w:val="upperRoman"/>
      <w:lvlText w:val="%1."/>
      <w:lvlJc w:val="left"/>
      <w:pPr>
        <w:ind w:left="1440" w:hanging="480"/>
      </w:pPr>
      <w:rPr>
        <w:u w:val="none"/>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37" w15:restartNumberingAfterBreak="0">
    <w:nsid w:val="46C254C1"/>
    <w:multiLevelType w:val="multilevel"/>
    <w:tmpl w:val="4BD4700A"/>
    <w:lvl w:ilvl="0">
      <w:start w:val="1"/>
      <w:numFmt w:val="decimal"/>
      <w:lvlText w:val="(%1)"/>
      <w:lvlJc w:val="left"/>
      <w:pPr>
        <w:ind w:left="394" w:hanging="360"/>
      </w:p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138" w15:restartNumberingAfterBreak="0">
    <w:nsid w:val="485E7E5A"/>
    <w:multiLevelType w:val="multilevel"/>
    <w:tmpl w:val="5692817C"/>
    <w:lvl w:ilvl="0">
      <w:start w:val="1"/>
      <w:numFmt w:val="decimal"/>
      <w:lvlText w:val="(%1)"/>
      <w:lvlJc w:val="left"/>
      <w:pPr>
        <w:ind w:left="612" w:hanging="492"/>
      </w:pPr>
      <w:rPr>
        <w:rFonts w:ascii="標楷體" w:eastAsia="標楷體" w:hAnsi="標楷體"/>
        <w:strike w:val="0"/>
        <w:dstrike w:val="0"/>
        <w:color w:val="auto"/>
        <w:u w:val="none"/>
        <w:effect w:val="none"/>
      </w:rPr>
    </w:lvl>
    <w:lvl w:ilvl="1">
      <w:start w:val="1"/>
      <w:numFmt w:val="upperRoman"/>
      <w:lvlText w:val="%2."/>
      <w:lvlJc w:val="left"/>
      <w:pPr>
        <w:ind w:left="1080" w:hanging="480"/>
      </w:pPr>
    </w:lvl>
    <w:lvl w:ilvl="2">
      <w:start w:val="1"/>
      <w:numFmt w:val="lowerRoman"/>
      <w:lvlText w:val="."/>
      <w:lvlJc w:val="right"/>
      <w:pPr>
        <w:ind w:left="1560" w:hanging="480"/>
      </w:pPr>
    </w:lvl>
    <w:lvl w:ilvl="3">
      <w:start w:val="1"/>
      <w:numFmt w:val="decimal"/>
      <w:lvlText w:val="."/>
      <w:lvlJc w:val="left"/>
      <w:pPr>
        <w:ind w:left="2040" w:hanging="480"/>
      </w:pPr>
    </w:lvl>
    <w:lvl w:ilvl="4">
      <w:start w:val="1"/>
      <w:numFmt w:val="ideographTraditional"/>
      <w:lvlText w:val="、"/>
      <w:lvlJc w:val="left"/>
      <w:pPr>
        <w:ind w:left="2520" w:hanging="480"/>
      </w:pPr>
    </w:lvl>
    <w:lvl w:ilvl="5">
      <w:start w:val="1"/>
      <w:numFmt w:val="lowerRoman"/>
      <w:lvlText w:val="."/>
      <w:lvlJc w:val="right"/>
      <w:pPr>
        <w:ind w:left="3000" w:hanging="480"/>
      </w:pPr>
    </w:lvl>
    <w:lvl w:ilvl="6">
      <w:start w:val="1"/>
      <w:numFmt w:val="decimal"/>
      <w:lvlText w:val="."/>
      <w:lvlJc w:val="left"/>
      <w:pPr>
        <w:ind w:left="3480" w:hanging="480"/>
      </w:pPr>
    </w:lvl>
    <w:lvl w:ilvl="7">
      <w:start w:val="1"/>
      <w:numFmt w:val="ideographTraditional"/>
      <w:lvlText w:val="、"/>
      <w:lvlJc w:val="left"/>
      <w:pPr>
        <w:ind w:left="3960" w:hanging="480"/>
      </w:pPr>
    </w:lvl>
    <w:lvl w:ilvl="8">
      <w:start w:val="1"/>
      <w:numFmt w:val="lowerRoman"/>
      <w:lvlText w:val="."/>
      <w:lvlJc w:val="right"/>
      <w:pPr>
        <w:ind w:left="4440" w:hanging="480"/>
      </w:pPr>
    </w:lvl>
  </w:abstractNum>
  <w:abstractNum w:abstractNumId="139" w15:restartNumberingAfterBreak="0">
    <w:nsid w:val="494D431F"/>
    <w:multiLevelType w:val="multilevel"/>
    <w:tmpl w:val="9F1CA32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0" w15:restartNumberingAfterBreak="0">
    <w:nsid w:val="49CF3CA3"/>
    <w:multiLevelType w:val="multilevel"/>
    <w:tmpl w:val="D7C897B2"/>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1" w15:restartNumberingAfterBreak="0">
    <w:nsid w:val="49DE1581"/>
    <w:multiLevelType w:val="multilevel"/>
    <w:tmpl w:val="5F26B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4A270195"/>
    <w:multiLevelType w:val="multilevel"/>
    <w:tmpl w:val="A072CF66"/>
    <w:styleLink w:val="LFO6"/>
    <w:lvl w:ilvl="0">
      <w:start w:val="1"/>
      <w:numFmt w:val="decimal"/>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43" w15:restartNumberingAfterBreak="0">
    <w:nsid w:val="4AEE5BB1"/>
    <w:multiLevelType w:val="hybridMultilevel"/>
    <w:tmpl w:val="01A20416"/>
    <w:lvl w:ilvl="0" w:tplc="19C2A2B8">
      <w:start w:val="1"/>
      <w:numFmt w:val="upperRoman"/>
      <w:suff w:val="nothing"/>
      <w:lvlText w:val="%1."/>
      <w:lvlJc w:val="left"/>
      <w:pPr>
        <w:ind w:left="1331" w:hanging="480"/>
      </w:pPr>
      <w:rPr>
        <w:rFonts w:hint="eastAsia"/>
      </w:rPr>
    </w:lvl>
    <w:lvl w:ilvl="1" w:tplc="04090019" w:tentative="1">
      <w:start w:val="1"/>
      <w:numFmt w:val="ideographTraditional"/>
      <w:lvlText w:val="%2、"/>
      <w:lvlJc w:val="left"/>
      <w:pPr>
        <w:ind w:left="3227" w:hanging="480"/>
      </w:pPr>
    </w:lvl>
    <w:lvl w:ilvl="2" w:tplc="0409001B" w:tentative="1">
      <w:start w:val="1"/>
      <w:numFmt w:val="lowerRoman"/>
      <w:lvlText w:val="%3."/>
      <w:lvlJc w:val="right"/>
      <w:pPr>
        <w:ind w:left="3707" w:hanging="480"/>
      </w:pPr>
    </w:lvl>
    <w:lvl w:ilvl="3" w:tplc="0409000F" w:tentative="1">
      <w:start w:val="1"/>
      <w:numFmt w:val="decimal"/>
      <w:lvlText w:val="%4."/>
      <w:lvlJc w:val="left"/>
      <w:pPr>
        <w:ind w:left="4187" w:hanging="480"/>
      </w:pPr>
    </w:lvl>
    <w:lvl w:ilvl="4" w:tplc="04090019" w:tentative="1">
      <w:start w:val="1"/>
      <w:numFmt w:val="ideographTraditional"/>
      <w:lvlText w:val="%5、"/>
      <w:lvlJc w:val="left"/>
      <w:pPr>
        <w:ind w:left="4667" w:hanging="480"/>
      </w:pPr>
    </w:lvl>
    <w:lvl w:ilvl="5" w:tplc="0409001B" w:tentative="1">
      <w:start w:val="1"/>
      <w:numFmt w:val="lowerRoman"/>
      <w:lvlText w:val="%6."/>
      <w:lvlJc w:val="right"/>
      <w:pPr>
        <w:ind w:left="5147" w:hanging="480"/>
      </w:pPr>
    </w:lvl>
    <w:lvl w:ilvl="6" w:tplc="0409000F" w:tentative="1">
      <w:start w:val="1"/>
      <w:numFmt w:val="decimal"/>
      <w:lvlText w:val="%7."/>
      <w:lvlJc w:val="left"/>
      <w:pPr>
        <w:ind w:left="5627" w:hanging="480"/>
      </w:pPr>
    </w:lvl>
    <w:lvl w:ilvl="7" w:tplc="04090019" w:tentative="1">
      <w:start w:val="1"/>
      <w:numFmt w:val="ideographTraditional"/>
      <w:lvlText w:val="%8、"/>
      <w:lvlJc w:val="left"/>
      <w:pPr>
        <w:ind w:left="6107" w:hanging="480"/>
      </w:pPr>
    </w:lvl>
    <w:lvl w:ilvl="8" w:tplc="0409001B" w:tentative="1">
      <w:start w:val="1"/>
      <w:numFmt w:val="lowerRoman"/>
      <w:lvlText w:val="%9."/>
      <w:lvlJc w:val="right"/>
      <w:pPr>
        <w:ind w:left="6587" w:hanging="480"/>
      </w:pPr>
    </w:lvl>
  </w:abstractNum>
  <w:abstractNum w:abstractNumId="144" w15:restartNumberingAfterBreak="0">
    <w:nsid w:val="4B082908"/>
    <w:multiLevelType w:val="hybridMultilevel"/>
    <w:tmpl w:val="6486EABE"/>
    <w:lvl w:ilvl="0" w:tplc="6A1403F6">
      <w:start w:val="1"/>
      <w:numFmt w:val="decimal"/>
      <w:lvlText w:val="(%1)"/>
      <w:lvlJc w:val="left"/>
      <w:pPr>
        <w:ind w:left="598" w:hanging="480"/>
      </w:pPr>
      <w:rPr>
        <w:rFonts w:hint="eastAsia"/>
      </w:rPr>
    </w:lvl>
    <w:lvl w:ilvl="1" w:tplc="04090019" w:tentative="1">
      <w:start w:val="1"/>
      <w:numFmt w:val="ideographTraditional"/>
      <w:lvlText w:val="%2、"/>
      <w:lvlJc w:val="left"/>
      <w:pPr>
        <w:ind w:left="1078" w:hanging="480"/>
      </w:pPr>
    </w:lvl>
    <w:lvl w:ilvl="2" w:tplc="0409001B" w:tentative="1">
      <w:start w:val="1"/>
      <w:numFmt w:val="lowerRoman"/>
      <w:lvlText w:val="%3."/>
      <w:lvlJc w:val="right"/>
      <w:pPr>
        <w:ind w:left="1558" w:hanging="480"/>
      </w:pPr>
    </w:lvl>
    <w:lvl w:ilvl="3" w:tplc="0409000F" w:tentative="1">
      <w:start w:val="1"/>
      <w:numFmt w:val="decimal"/>
      <w:lvlText w:val="%4."/>
      <w:lvlJc w:val="left"/>
      <w:pPr>
        <w:ind w:left="2038" w:hanging="480"/>
      </w:pPr>
    </w:lvl>
    <w:lvl w:ilvl="4" w:tplc="04090019" w:tentative="1">
      <w:start w:val="1"/>
      <w:numFmt w:val="ideographTraditional"/>
      <w:lvlText w:val="%5、"/>
      <w:lvlJc w:val="left"/>
      <w:pPr>
        <w:ind w:left="2518" w:hanging="480"/>
      </w:pPr>
    </w:lvl>
    <w:lvl w:ilvl="5" w:tplc="0409001B" w:tentative="1">
      <w:start w:val="1"/>
      <w:numFmt w:val="lowerRoman"/>
      <w:lvlText w:val="%6."/>
      <w:lvlJc w:val="right"/>
      <w:pPr>
        <w:ind w:left="2998" w:hanging="480"/>
      </w:pPr>
    </w:lvl>
    <w:lvl w:ilvl="6" w:tplc="0409000F" w:tentative="1">
      <w:start w:val="1"/>
      <w:numFmt w:val="decimal"/>
      <w:lvlText w:val="%7."/>
      <w:lvlJc w:val="left"/>
      <w:pPr>
        <w:ind w:left="3478" w:hanging="480"/>
      </w:pPr>
    </w:lvl>
    <w:lvl w:ilvl="7" w:tplc="04090019" w:tentative="1">
      <w:start w:val="1"/>
      <w:numFmt w:val="ideographTraditional"/>
      <w:lvlText w:val="%8、"/>
      <w:lvlJc w:val="left"/>
      <w:pPr>
        <w:ind w:left="3958" w:hanging="480"/>
      </w:pPr>
    </w:lvl>
    <w:lvl w:ilvl="8" w:tplc="0409001B" w:tentative="1">
      <w:start w:val="1"/>
      <w:numFmt w:val="lowerRoman"/>
      <w:lvlText w:val="%9."/>
      <w:lvlJc w:val="right"/>
      <w:pPr>
        <w:ind w:left="4438" w:hanging="480"/>
      </w:pPr>
    </w:lvl>
  </w:abstractNum>
  <w:abstractNum w:abstractNumId="145" w15:restartNumberingAfterBreak="0">
    <w:nsid w:val="4B6B0707"/>
    <w:multiLevelType w:val="multilevel"/>
    <w:tmpl w:val="9ECC767C"/>
    <w:lvl w:ilvl="0">
      <w:start w:val="1"/>
      <w:numFmt w:val="decimal"/>
      <w:lvlText w:val="(%1)"/>
      <w:lvlJc w:val="left"/>
      <w:pPr>
        <w:ind w:left="394" w:hanging="360"/>
      </w:p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146" w15:restartNumberingAfterBreak="0">
    <w:nsid w:val="4BE726B9"/>
    <w:multiLevelType w:val="hybridMultilevel"/>
    <w:tmpl w:val="673E3044"/>
    <w:lvl w:ilvl="0" w:tplc="F1B2EF56">
      <w:start w:val="1"/>
      <w:numFmt w:val="upperRoman"/>
      <w:lvlText w:val="%1."/>
      <w:lvlJc w:val="left"/>
      <w:pPr>
        <w:ind w:left="971" w:hanging="720"/>
      </w:pPr>
      <w:rPr>
        <w:strike w:val="0"/>
        <w:dstrike w:val="0"/>
        <w:u w:val="none"/>
        <w:effect w:val="none"/>
      </w:rPr>
    </w:lvl>
    <w:lvl w:ilvl="1" w:tplc="04090019">
      <w:start w:val="1"/>
      <w:numFmt w:val="ideographTraditional"/>
      <w:lvlText w:val="%2、"/>
      <w:lvlJc w:val="left"/>
      <w:pPr>
        <w:ind w:left="1211" w:hanging="480"/>
      </w:pPr>
    </w:lvl>
    <w:lvl w:ilvl="2" w:tplc="0409001B">
      <w:start w:val="1"/>
      <w:numFmt w:val="lowerRoman"/>
      <w:lvlText w:val="%3."/>
      <w:lvlJc w:val="right"/>
      <w:pPr>
        <w:ind w:left="1691" w:hanging="480"/>
      </w:pPr>
    </w:lvl>
    <w:lvl w:ilvl="3" w:tplc="0409000F">
      <w:start w:val="1"/>
      <w:numFmt w:val="decimal"/>
      <w:lvlText w:val="%4."/>
      <w:lvlJc w:val="left"/>
      <w:pPr>
        <w:ind w:left="2171" w:hanging="480"/>
      </w:pPr>
    </w:lvl>
    <w:lvl w:ilvl="4" w:tplc="04090019">
      <w:start w:val="1"/>
      <w:numFmt w:val="ideographTraditional"/>
      <w:lvlText w:val="%5、"/>
      <w:lvlJc w:val="left"/>
      <w:pPr>
        <w:ind w:left="2651" w:hanging="480"/>
      </w:pPr>
    </w:lvl>
    <w:lvl w:ilvl="5" w:tplc="0409001B">
      <w:start w:val="1"/>
      <w:numFmt w:val="lowerRoman"/>
      <w:lvlText w:val="%6."/>
      <w:lvlJc w:val="right"/>
      <w:pPr>
        <w:ind w:left="3131" w:hanging="480"/>
      </w:pPr>
    </w:lvl>
    <w:lvl w:ilvl="6" w:tplc="0409000F">
      <w:start w:val="1"/>
      <w:numFmt w:val="decimal"/>
      <w:lvlText w:val="%7."/>
      <w:lvlJc w:val="left"/>
      <w:pPr>
        <w:ind w:left="3611" w:hanging="480"/>
      </w:pPr>
    </w:lvl>
    <w:lvl w:ilvl="7" w:tplc="04090019">
      <w:start w:val="1"/>
      <w:numFmt w:val="ideographTraditional"/>
      <w:lvlText w:val="%8、"/>
      <w:lvlJc w:val="left"/>
      <w:pPr>
        <w:ind w:left="4091" w:hanging="480"/>
      </w:pPr>
    </w:lvl>
    <w:lvl w:ilvl="8" w:tplc="0409001B">
      <w:start w:val="1"/>
      <w:numFmt w:val="lowerRoman"/>
      <w:lvlText w:val="%9."/>
      <w:lvlJc w:val="right"/>
      <w:pPr>
        <w:ind w:left="4571" w:hanging="480"/>
      </w:pPr>
    </w:lvl>
  </w:abstractNum>
  <w:abstractNum w:abstractNumId="147" w15:restartNumberingAfterBreak="0">
    <w:nsid w:val="4BE7278A"/>
    <w:multiLevelType w:val="multilevel"/>
    <w:tmpl w:val="2A1E1A7C"/>
    <w:lvl w:ilvl="0">
      <w:start w:val="1"/>
      <w:numFmt w:val="decimal"/>
      <w:lvlText w:val="(%1)"/>
      <w:lvlJc w:val="left"/>
      <w:pPr>
        <w:ind w:left="394" w:hanging="360"/>
      </w:pPr>
      <w:rPr>
        <w:rFonts w:ascii="標楷體" w:eastAsia="標楷體" w:hAnsi="標楷體"/>
      </w:r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148" w15:restartNumberingAfterBreak="0">
    <w:nsid w:val="4CF1032A"/>
    <w:multiLevelType w:val="multilevel"/>
    <w:tmpl w:val="418274B2"/>
    <w:lvl w:ilvl="0">
      <w:start w:val="1"/>
      <w:numFmt w:val="lowerRoman"/>
      <w:lvlText w:val="%1."/>
      <w:lvlJc w:val="right"/>
      <w:pPr>
        <w:ind w:left="840" w:hanging="480"/>
      </w:pPr>
      <w:rPr>
        <w:rFonts w:ascii="標楷體" w:eastAsia="標楷體" w:hAnsi="標楷體"/>
      </w:rPr>
    </w:lvl>
    <w:lvl w:ilvl="1">
      <w:start w:val="1"/>
      <w:numFmt w:val="ideographTraditional"/>
      <w:lvlText w:val="、"/>
      <w:lvlJc w:val="left"/>
      <w:pPr>
        <w:ind w:left="1320" w:hanging="480"/>
      </w:pPr>
    </w:lvl>
    <w:lvl w:ilvl="2">
      <w:start w:val="1"/>
      <w:numFmt w:val="lowerRoman"/>
      <w:lvlText w:val="."/>
      <w:lvlJc w:val="right"/>
      <w:pPr>
        <w:ind w:left="1800" w:hanging="480"/>
      </w:pPr>
    </w:lvl>
    <w:lvl w:ilvl="3">
      <w:start w:val="1"/>
      <w:numFmt w:val="decimal"/>
      <w:lvlText w:val="."/>
      <w:lvlJc w:val="left"/>
      <w:pPr>
        <w:ind w:left="2280" w:hanging="480"/>
      </w:pPr>
    </w:lvl>
    <w:lvl w:ilvl="4">
      <w:start w:val="1"/>
      <w:numFmt w:val="ideographTraditional"/>
      <w:lvlText w:val="、"/>
      <w:lvlJc w:val="left"/>
      <w:pPr>
        <w:ind w:left="2760" w:hanging="480"/>
      </w:pPr>
    </w:lvl>
    <w:lvl w:ilvl="5">
      <w:start w:val="1"/>
      <w:numFmt w:val="lowerRoman"/>
      <w:lvlText w:val="."/>
      <w:lvlJc w:val="right"/>
      <w:pPr>
        <w:ind w:left="3240" w:hanging="480"/>
      </w:pPr>
    </w:lvl>
    <w:lvl w:ilvl="6">
      <w:start w:val="1"/>
      <w:numFmt w:val="decimal"/>
      <w:lvlText w:val="."/>
      <w:lvlJc w:val="left"/>
      <w:pPr>
        <w:ind w:left="3720" w:hanging="480"/>
      </w:pPr>
    </w:lvl>
    <w:lvl w:ilvl="7">
      <w:start w:val="1"/>
      <w:numFmt w:val="ideographTraditional"/>
      <w:lvlText w:val="、"/>
      <w:lvlJc w:val="left"/>
      <w:pPr>
        <w:ind w:left="4200" w:hanging="480"/>
      </w:pPr>
    </w:lvl>
    <w:lvl w:ilvl="8">
      <w:start w:val="1"/>
      <w:numFmt w:val="lowerRoman"/>
      <w:lvlText w:val="."/>
      <w:lvlJc w:val="right"/>
      <w:pPr>
        <w:ind w:left="4680" w:hanging="480"/>
      </w:pPr>
    </w:lvl>
  </w:abstractNum>
  <w:abstractNum w:abstractNumId="149" w15:restartNumberingAfterBreak="0">
    <w:nsid w:val="4D1E4928"/>
    <w:multiLevelType w:val="multilevel"/>
    <w:tmpl w:val="7BA01E30"/>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0" w15:restartNumberingAfterBreak="0">
    <w:nsid w:val="4DD93EB4"/>
    <w:multiLevelType w:val="multilevel"/>
    <w:tmpl w:val="93EA0570"/>
    <w:lvl w:ilvl="0">
      <w:start w:val="1"/>
      <w:numFmt w:val="upperRoman"/>
      <w:lvlText w:val="%1."/>
      <w:lvlJc w:val="left"/>
      <w:pPr>
        <w:ind w:left="1190" w:hanging="480"/>
      </w:pPr>
    </w:lvl>
    <w:lvl w:ilvl="1">
      <w:start w:val="1"/>
      <w:numFmt w:val="ideographTraditional"/>
      <w:lvlText w:val="%2、"/>
      <w:lvlJc w:val="left"/>
      <w:pPr>
        <w:ind w:left="1670" w:hanging="480"/>
      </w:pPr>
    </w:lvl>
    <w:lvl w:ilvl="2">
      <w:start w:val="1"/>
      <w:numFmt w:val="lowerRoman"/>
      <w:lvlText w:val="%3."/>
      <w:lvlJc w:val="right"/>
      <w:pPr>
        <w:ind w:left="2150" w:hanging="480"/>
      </w:pPr>
    </w:lvl>
    <w:lvl w:ilvl="3">
      <w:start w:val="1"/>
      <w:numFmt w:val="decimal"/>
      <w:lvlText w:val="%4."/>
      <w:lvlJc w:val="left"/>
      <w:pPr>
        <w:ind w:left="2630" w:hanging="480"/>
      </w:pPr>
    </w:lvl>
    <w:lvl w:ilvl="4">
      <w:start w:val="1"/>
      <w:numFmt w:val="ideographTraditional"/>
      <w:lvlText w:val="%5、"/>
      <w:lvlJc w:val="left"/>
      <w:pPr>
        <w:ind w:left="3110" w:hanging="480"/>
      </w:pPr>
    </w:lvl>
    <w:lvl w:ilvl="5">
      <w:start w:val="1"/>
      <w:numFmt w:val="lowerRoman"/>
      <w:lvlText w:val="%6."/>
      <w:lvlJc w:val="right"/>
      <w:pPr>
        <w:ind w:left="3590" w:hanging="480"/>
      </w:pPr>
    </w:lvl>
    <w:lvl w:ilvl="6">
      <w:start w:val="1"/>
      <w:numFmt w:val="decimal"/>
      <w:lvlText w:val="%7."/>
      <w:lvlJc w:val="left"/>
      <w:pPr>
        <w:ind w:left="4070" w:hanging="480"/>
      </w:pPr>
    </w:lvl>
    <w:lvl w:ilvl="7">
      <w:start w:val="1"/>
      <w:numFmt w:val="ideographTraditional"/>
      <w:lvlText w:val="%8、"/>
      <w:lvlJc w:val="left"/>
      <w:pPr>
        <w:ind w:left="4550" w:hanging="480"/>
      </w:pPr>
    </w:lvl>
    <w:lvl w:ilvl="8">
      <w:start w:val="1"/>
      <w:numFmt w:val="lowerRoman"/>
      <w:lvlText w:val="%9."/>
      <w:lvlJc w:val="right"/>
      <w:pPr>
        <w:ind w:left="5030" w:hanging="480"/>
      </w:pPr>
    </w:lvl>
  </w:abstractNum>
  <w:abstractNum w:abstractNumId="151" w15:restartNumberingAfterBreak="0">
    <w:nsid w:val="4DE4751F"/>
    <w:multiLevelType w:val="multilevel"/>
    <w:tmpl w:val="D6C4C08C"/>
    <w:lvl w:ilvl="0">
      <w:start w:val="1"/>
      <w:numFmt w:val="upperLetter"/>
      <w:lvlText w:val="%1."/>
      <w:lvlJc w:val="left"/>
      <w:pPr>
        <w:ind w:left="394" w:hanging="360"/>
      </w:pPr>
      <w:rPr>
        <w:rFonts w:ascii="Times New Roman" w:hAnsi="Times New Roman" w:cs="Times New Roman"/>
        <w:u w:val="none"/>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abstractNum w:abstractNumId="152" w15:restartNumberingAfterBreak="0">
    <w:nsid w:val="4E3514AD"/>
    <w:multiLevelType w:val="multilevel"/>
    <w:tmpl w:val="B82263E2"/>
    <w:lvl w:ilvl="0">
      <w:start w:val="1"/>
      <w:numFmt w:val="taiwaneseCountingThousand"/>
      <w:lvlText w:val="(%1)"/>
      <w:lvlJc w:val="left"/>
      <w:pPr>
        <w:ind w:left="790" w:hanging="480"/>
      </w:pPr>
      <w:rPr>
        <w:rFonts w:eastAsia="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3" w15:restartNumberingAfterBreak="0">
    <w:nsid w:val="4E8C1632"/>
    <w:multiLevelType w:val="multilevel"/>
    <w:tmpl w:val="3362BD5A"/>
    <w:lvl w:ilvl="0">
      <w:start w:val="1"/>
      <w:numFmt w:val="decimal"/>
      <w:lvlText w:val="%1."/>
      <w:lvlJc w:val="left"/>
      <w:pPr>
        <w:ind w:left="480" w:hanging="480"/>
      </w:pPr>
      <w:rPr>
        <w:rFonts w:ascii="標楷體" w:eastAsia="標楷體" w:hAnsi="標楷體"/>
        <w:sz w:val="24"/>
        <w:szCs w:val="24"/>
        <w:u w:val="none"/>
      </w:rPr>
    </w:lvl>
    <w:lvl w:ilvl="1">
      <w:start w:val="1"/>
      <w:numFmt w:val="decimal"/>
      <w:lvlText w:val="(%2)"/>
      <w:lvlJc w:val="left"/>
      <w:pPr>
        <w:ind w:left="960" w:hanging="480"/>
      </w:pPr>
      <w:rPr>
        <w:u w:val="single"/>
      </w:rPr>
    </w:lvl>
    <w:lvl w:ilvl="2">
      <w:start w:val="1"/>
      <w:numFmt w:val="upperRoman"/>
      <w:lvlText w:val="%3."/>
      <w:lvlJc w:val="left"/>
      <w:pPr>
        <w:ind w:left="1440" w:hanging="480"/>
      </w:pPr>
      <w:rPr>
        <w:rFonts w:ascii="Times New Roman" w:hAnsi="Times New Roman" w:cs="Times New Roman"/>
        <w:u w:val="single"/>
      </w:rPr>
    </w:lvl>
    <w:lvl w:ilvl="3">
      <w:start w:val="1"/>
      <w:numFmt w:val="upperLetter"/>
      <w:lvlText w:val="%4."/>
      <w:lvlJc w:val="left"/>
      <w:pPr>
        <w:ind w:left="1800" w:hanging="36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4" w15:restartNumberingAfterBreak="0">
    <w:nsid w:val="4EE32246"/>
    <w:multiLevelType w:val="multilevel"/>
    <w:tmpl w:val="C0AE51CC"/>
    <w:lvl w:ilvl="0">
      <w:start w:val="1"/>
      <w:numFmt w:val="decimal"/>
      <w:lvlText w:val="%1."/>
      <w:lvlJc w:val="left"/>
      <w:pPr>
        <w:ind w:left="764" w:hanging="360"/>
      </w:pPr>
      <w:rPr>
        <w:rFonts w:ascii="標楷體" w:eastAsia="標楷體" w:hAnsi="標楷體"/>
      </w:rPr>
    </w:lvl>
    <w:lvl w:ilvl="1">
      <w:start w:val="1"/>
      <w:numFmt w:val="ideographTraditional"/>
      <w:lvlText w:val="%2、"/>
      <w:lvlJc w:val="left"/>
      <w:pPr>
        <w:ind w:left="1124" w:hanging="480"/>
      </w:pPr>
    </w:lvl>
    <w:lvl w:ilvl="2">
      <w:start w:val="1"/>
      <w:numFmt w:val="lowerRoman"/>
      <w:lvlText w:val="%3."/>
      <w:lvlJc w:val="right"/>
      <w:pPr>
        <w:ind w:left="1604" w:hanging="480"/>
      </w:pPr>
    </w:lvl>
    <w:lvl w:ilvl="3">
      <w:start w:val="1"/>
      <w:numFmt w:val="decimal"/>
      <w:lvlText w:val="%4."/>
      <w:lvlJc w:val="left"/>
      <w:pPr>
        <w:ind w:left="2084" w:hanging="480"/>
      </w:pPr>
    </w:lvl>
    <w:lvl w:ilvl="4">
      <w:start w:val="1"/>
      <w:numFmt w:val="ideographTraditional"/>
      <w:lvlText w:val="%5、"/>
      <w:lvlJc w:val="left"/>
      <w:pPr>
        <w:ind w:left="2564" w:hanging="480"/>
      </w:pPr>
    </w:lvl>
    <w:lvl w:ilvl="5">
      <w:start w:val="1"/>
      <w:numFmt w:val="lowerRoman"/>
      <w:lvlText w:val="%6."/>
      <w:lvlJc w:val="right"/>
      <w:pPr>
        <w:ind w:left="3044" w:hanging="480"/>
      </w:pPr>
    </w:lvl>
    <w:lvl w:ilvl="6">
      <w:start w:val="1"/>
      <w:numFmt w:val="decimal"/>
      <w:lvlText w:val="%7."/>
      <w:lvlJc w:val="left"/>
      <w:pPr>
        <w:ind w:left="3524" w:hanging="480"/>
      </w:pPr>
    </w:lvl>
    <w:lvl w:ilvl="7">
      <w:start w:val="1"/>
      <w:numFmt w:val="ideographTraditional"/>
      <w:lvlText w:val="%8、"/>
      <w:lvlJc w:val="left"/>
      <w:pPr>
        <w:ind w:left="4004" w:hanging="480"/>
      </w:pPr>
    </w:lvl>
    <w:lvl w:ilvl="8">
      <w:start w:val="1"/>
      <w:numFmt w:val="lowerRoman"/>
      <w:lvlText w:val="%9."/>
      <w:lvlJc w:val="right"/>
      <w:pPr>
        <w:ind w:left="4484" w:hanging="480"/>
      </w:pPr>
    </w:lvl>
  </w:abstractNum>
  <w:abstractNum w:abstractNumId="155" w15:restartNumberingAfterBreak="0">
    <w:nsid w:val="4FAE1D49"/>
    <w:multiLevelType w:val="hybridMultilevel"/>
    <w:tmpl w:val="78CEF406"/>
    <w:lvl w:ilvl="0" w:tplc="64B4AB4A">
      <w:start w:val="1"/>
      <w:numFmt w:val="decimal"/>
      <w:lvlText w:val="%1."/>
      <w:lvlJc w:val="left"/>
      <w:pPr>
        <w:ind w:left="893" w:hanging="480"/>
      </w:pPr>
      <w:rPr>
        <w:rFonts w:ascii="標楷體" w:eastAsia="標楷體" w:hAnsi="標楷體" w:cs="Calibri" w:hint="default"/>
        <w:color w:val="auto"/>
        <w:u w:val="none"/>
      </w:rPr>
    </w:lvl>
    <w:lvl w:ilvl="1" w:tplc="04090019" w:tentative="1">
      <w:start w:val="1"/>
      <w:numFmt w:val="ideographTraditional"/>
      <w:lvlText w:val="%2、"/>
      <w:lvlJc w:val="left"/>
      <w:pPr>
        <w:ind w:left="1373" w:hanging="480"/>
      </w:pPr>
    </w:lvl>
    <w:lvl w:ilvl="2" w:tplc="0409001B" w:tentative="1">
      <w:start w:val="1"/>
      <w:numFmt w:val="lowerRoman"/>
      <w:lvlText w:val="%3."/>
      <w:lvlJc w:val="right"/>
      <w:pPr>
        <w:ind w:left="1853" w:hanging="480"/>
      </w:pPr>
    </w:lvl>
    <w:lvl w:ilvl="3" w:tplc="0409000F" w:tentative="1">
      <w:start w:val="1"/>
      <w:numFmt w:val="decimal"/>
      <w:lvlText w:val="%4."/>
      <w:lvlJc w:val="left"/>
      <w:pPr>
        <w:ind w:left="2333" w:hanging="480"/>
      </w:pPr>
    </w:lvl>
    <w:lvl w:ilvl="4" w:tplc="04090019" w:tentative="1">
      <w:start w:val="1"/>
      <w:numFmt w:val="ideographTraditional"/>
      <w:lvlText w:val="%5、"/>
      <w:lvlJc w:val="left"/>
      <w:pPr>
        <w:ind w:left="2813" w:hanging="480"/>
      </w:pPr>
    </w:lvl>
    <w:lvl w:ilvl="5" w:tplc="0409001B" w:tentative="1">
      <w:start w:val="1"/>
      <w:numFmt w:val="lowerRoman"/>
      <w:lvlText w:val="%6."/>
      <w:lvlJc w:val="right"/>
      <w:pPr>
        <w:ind w:left="3293" w:hanging="480"/>
      </w:pPr>
    </w:lvl>
    <w:lvl w:ilvl="6" w:tplc="0409000F" w:tentative="1">
      <w:start w:val="1"/>
      <w:numFmt w:val="decimal"/>
      <w:lvlText w:val="%7."/>
      <w:lvlJc w:val="left"/>
      <w:pPr>
        <w:ind w:left="3773" w:hanging="480"/>
      </w:pPr>
    </w:lvl>
    <w:lvl w:ilvl="7" w:tplc="04090019" w:tentative="1">
      <w:start w:val="1"/>
      <w:numFmt w:val="ideographTraditional"/>
      <w:lvlText w:val="%8、"/>
      <w:lvlJc w:val="left"/>
      <w:pPr>
        <w:ind w:left="4253" w:hanging="480"/>
      </w:pPr>
    </w:lvl>
    <w:lvl w:ilvl="8" w:tplc="0409001B" w:tentative="1">
      <w:start w:val="1"/>
      <w:numFmt w:val="lowerRoman"/>
      <w:lvlText w:val="%9."/>
      <w:lvlJc w:val="right"/>
      <w:pPr>
        <w:ind w:left="4733" w:hanging="480"/>
      </w:pPr>
    </w:lvl>
  </w:abstractNum>
  <w:abstractNum w:abstractNumId="156" w15:restartNumberingAfterBreak="0">
    <w:nsid w:val="50CB46AC"/>
    <w:multiLevelType w:val="multilevel"/>
    <w:tmpl w:val="D7DA4BD8"/>
    <w:lvl w:ilvl="0">
      <w:start w:val="1"/>
      <w:numFmt w:val="decimal"/>
      <w:lvlText w:val="%1."/>
      <w:lvlJc w:val="left"/>
      <w:pPr>
        <w:ind w:left="240" w:hanging="24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7" w15:restartNumberingAfterBreak="0">
    <w:nsid w:val="511722CE"/>
    <w:multiLevelType w:val="hybridMultilevel"/>
    <w:tmpl w:val="BF62C4F0"/>
    <w:lvl w:ilvl="0" w:tplc="4754EC74">
      <w:start w:val="1"/>
      <w:numFmt w:val="decimal"/>
      <w:suff w:val="nothing"/>
      <w:lvlText w:val="(%1)"/>
      <w:lvlJc w:val="right"/>
      <w:pPr>
        <w:ind w:left="-22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8" w15:restartNumberingAfterBreak="0">
    <w:nsid w:val="51B25D32"/>
    <w:multiLevelType w:val="multilevel"/>
    <w:tmpl w:val="2954F318"/>
    <w:lvl w:ilvl="0">
      <w:start w:val="1"/>
      <w:numFmt w:val="decimal"/>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9" w15:restartNumberingAfterBreak="0">
    <w:nsid w:val="52AD1047"/>
    <w:multiLevelType w:val="hybridMultilevel"/>
    <w:tmpl w:val="0D12B88A"/>
    <w:lvl w:ilvl="0" w:tplc="F116996A">
      <w:start w:val="1"/>
      <w:numFmt w:val="upperRoman"/>
      <w:suff w:val="nothing"/>
      <w:lvlText w:val="%1."/>
      <w:lvlJc w:val="left"/>
      <w:pPr>
        <w:ind w:left="3605" w:hanging="480"/>
      </w:pPr>
      <w:rPr>
        <w:rFonts w:hint="eastAsia"/>
        <w:color w:val="auto"/>
        <w:u w:val="none"/>
      </w:rPr>
    </w:lvl>
    <w:lvl w:ilvl="1" w:tplc="ECDEB0AC">
      <w:start w:val="1"/>
      <w:numFmt w:val="lowerRoman"/>
      <w:lvlText w:val="%2."/>
      <w:lvlJc w:val="left"/>
      <w:pPr>
        <w:ind w:left="4325" w:hanging="720"/>
      </w:pPr>
      <w:rPr>
        <w:rFonts w:hint="default"/>
        <w:u w:val="none"/>
      </w:rPr>
    </w:lvl>
    <w:lvl w:ilvl="2" w:tplc="0409001B" w:tentative="1">
      <w:start w:val="1"/>
      <w:numFmt w:val="lowerRoman"/>
      <w:lvlText w:val="%3."/>
      <w:lvlJc w:val="right"/>
      <w:pPr>
        <w:ind w:left="4565" w:hanging="480"/>
      </w:pPr>
    </w:lvl>
    <w:lvl w:ilvl="3" w:tplc="0409000F" w:tentative="1">
      <w:start w:val="1"/>
      <w:numFmt w:val="decimal"/>
      <w:lvlText w:val="%4."/>
      <w:lvlJc w:val="left"/>
      <w:pPr>
        <w:ind w:left="5045" w:hanging="480"/>
      </w:pPr>
    </w:lvl>
    <w:lvl w:ilvl="4" w:tplc="04090019" w:tentative="1">
      <w:start w:val="1"/>
      <w:numFmt w:val="ideographTraditional"/>
      <w:lvlText w:val="%5、"/>
      <w:lvlJc w:val="left"/>
      <w:pPr>
        <w:ind w:left="5525" w:hanging="480"/>
      </w:pPr>
    </w:lvl>
    <w:lvl w:ilvl="5" w:tplc="0409001B" w:tentative="1">
      <w:start w:val="1"/>
      <w:numFmt w:val="lowerRoman"/>
      <w:lvlText w:val="%6."/>
      <w:lvlJc w:val="right"/>
      <w:pPr>
        <w:ind w:left="6005" w:hanging="480"/>
      </w:pPr>
    </w:lvl>
    <w:lvl w:ilvl="6" w:tplc="0409000F" w:tentative="1">
      <w:start w:val="1"/>
      <w:numFmt w:val="decimal"/>
      <w:lvlText w:val="%7."/>
      <w:lvlJc w:val="left"/>
      <w:pPr>
        <w:ind w:left="6485" w:hanging="480"/>
      </w:pPr>
    </w:lvl>
    <w:lvl w:ilvl="7" w:tplc="04090019" w:tentative="1">
      <w:start w:val="1"/>
      <w:numFmt w:val="ideographTraditional"/>
      <w:lvlText w:val="%8、"/>
      <w:lvlJc w:val="left"/>
      <w:pPr>
        <w:ind w:left="6965" w:hanging="480"/>
      </w:pPr>
    </w:lvl>
    <w:lvl w:ilvl="8" w:tplc="0409001B" w:tentative="1">
      <w:start w:val="1"/>
      <w:numFmt w:val="lowerRoman"/>
      <w:lvlText w:val="%9."/>
      <w:lvlJc w:val="right"/>
      <w:pPr>
        <w:ind w:left="7445" w:hanging="480"/>
      </w:pPr>
    </w:lvl>
  </w:abstractNum>
  <w:abstractNum w:abstractNumId="160" w15:restartNumberingAfterBreak="0">
    <w:nsid w:val="53983E29"/>
    <w:multiLevelType w:val="multilevel"/>
    <w:tmpl w:val="BCF24530"/>
    <w:lvl w:ilvl="0">
      <w:start w:val="1"/>
      <w:numFmt w:val="decimal"/>
      <w:lvlText w:val="%1."/>
      <w:lvlJc w:val="left"/>
      <w:pPr>
        <w:ind w:left="425" w:hanging="425"/>
      </w:pPr>
      <w:rPr>
        <w:rFonts w:ascii="Arial" w:hAnsi="Arial" w:cs="Arial"/>
        <w:sz w:val="20"/>
        <w:szCs w:val="24"/>
      </w:rPr>
    </w:lvl>
    <w:lvl w:ilvl="1">
      <w:start w:val="1"/>
      <w:numFmt w:val="ideographTraditional"/>
      <w:lvlText w:val="%2、"/>
      <w:lvlJc w:val="left"/>
      <w:pPr>
        <w:ind w:left="960" w:hanging="480"/>
      </w:pPr>
    </w:lvl>
    <w:lvl w:ilvl="2">
      <w:start w:val="1"/>
      <w:numFmt w:val="lowerRoman"/>
      <w:lvlText w:val="%3."/>
      <w:lvlJc w:val="right"/>
      <w:pPr>
        <w:ind w:left="1440" w:firstLine="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firstLine="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firstLine="0"/>
      </w:pPr>
    </w:lvl>
  </w:abstractNum>
  <w:abstractNum w:abstractNumId="161" w15:restartNumberingAfterBreak="0">
    <w:nsid w:val="547C6666"/>
    <w:multiLevelType w:val="hybridMultilevel"/>
    <w:tmpl w:val="4E22EE5A"/>
    <w:lvl w:ilvl="0" w:tplc="EB582622">
      <w:start w:val="1"/>
      <w:numFmt w:val="upperRoman"/>
      <w:lvlText w:val="%1."/>
      <w:lvlJc w:val="left"/>
      <w:pPr>
        <w:ind w:left="1440" w:hanging="480"/>
      </w:pPr>
      <w:rPr>
        <w:u w:val="none"/>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2" w15:restartNumberingAfterBreak="0">
    <w:nsid w:val="54E80944"/>
    <w:multiLevelType w:val="multilevel"/>
    <w:tmpl w:val="42984BF0"/>
    <w:lvl w:ilvl="0">
      <w:start w:val="1"/>
      <w:numFmt w:val="upperLetter"/>
      <w:lvlText w:val="%1."/>
      <w:lvlJc w:val="left"/>
      <w:pPr>
        <w:ind w:left="394" w:hanging="360"/>
      </w:pPr>
      <w:rPr>
        <w:rFonts w:ascii="Times New Roman" w:hAnsi="Times New Roman" w:cs="Times New Roman"/>
        <w:u w:val="none"/>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abstractNum w:abstractNumId="163" w15:restartNumberingAfterBreak="0">
    <w:nsid w:val="5512593F"/>
    <w:multiLevelType w:val="multilevel"/>
    <w:tmpl w:val="01C2D04C"/>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4" w15:restartNumberingAfterBreak="0">
    <w:nsid w:val="55206881"/>
    <w:multiLevelType w:val="multilevel"/>
    <w:tmpl w:val="BBBC8C22"/>
    <w:lvl w:ilvl="0">
      <w:start w:val="1"/>
      <w:numFmt w:val="decimal"/>
      <w:suff w:val="nothing"/>
      <w:lvlText w:val="(%1)"/>
      <w:lvlJc w:val="left"/>
      <w:pPr>
        <w:ind w:left="480" w:hanging="480"/>
      </w:pPr>
      <w:rPr>
        <w:rFonts w:ascii="標楷體" w:eastAsia="標楷體" w:hAnsi="標楷體" w:cs="Times New Roman"/>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5" w15:restartNumberingAfterBreak="0">
    <w:nsid w:val="55223205"/>
    <w:multiLevelType w:val="multilevel"/>
    <w:tmpl w:val="4678EC68"/>
    <w:lvl w:ilvl="0">
      <w:numFmt w:val="bullet"/>
      <w:lvlText w:val=""/>
      <w:lvlJc w:val="left"/>
      <w:rPr>
        <w:rFonts w:ascii="Wingdings" w:hAnsi="Wingdings" w:cs="Wingdings"/>
        <w:sz w:val="24"/>
        <w:szCs w:val="24"/>
      </w:r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66" w15:restartNumberingAfterBreak="0">
    <w:nsid w:val="553357BF"/>
    <w:multiLevelType w:val="multilevel"/>
    <w:tmpl w:val="2A8A43B4"/>
    <w:lvl w:ilvl="0">
      <w:start w:val="1"/>
      <w:numFmt w:val="decimal"/>
      <w:lvlText w:val="%1."/>
      <w:lvlJc w:val="left"/>
      <w:pPr>
        <w:ind w:left="1222" w:hanging="480"/>
      </w:pPr>
      <w:rPr>
        <w:b w:val="0"/>
        <w:i w:val="0"/>
        <w:sz w:val="28"/>
      </w:rPr>
    </w:lvl>
    <w:lvl w:ilvl="1">
      <w:start w:val="1"/>
      <w:numFmt w:val="ideographTraditional"/>
      <w:lvlText w:val="%2、"/>
      <w:lvlJc w:val="left"/>
      <w:pPr>
        <w:ind w:left="1702" w:hanging="480"/>
      </w:pPr>
    </w:lvl>
    <w:lvl w:ilvl="2">
      <w:start w:val="1"/>
      <w:numFmt w:val="lowerRoman"/>
      <w:lvlText w:val="%3."/>
      <w:lvlJc w:val="right"/>
      <w:pPr>
        <w:ind w:left="2182" w:hanging="480"/>
      </w:pPr>
    </w:lvl>
    <w:lvl w:ilvl="3">
      <w:start w:val="1"/>
      <w:numFmt w:val="decimal"/>
      <w:lvlText w:val="%4."/>
      <w:lvlJc w:val="left"/>
      <w:pPr>
        <w:ind w:left="2662" w:hanging="480"/>
      </w:pPr>
    </w:lvl>
    <w:lvl w:ilvl="4">
      <w:start w:val="1"/>
      <w:numFmt w:val="ideographTraditional"/>
      <w:lvlText w:val="%5、"/>
      <w:lvlJc w:val="left"/>
      <w:pPr>
        <w:ind w:left="3142" w:hanging="480"/>
      </w:pPr>
    </w:lvl>
    <w:lvl w:ilvl="5">
      <w:start w:val="1"/>
      <w:numFmt w:val="lowerRoman"/>
      <w:lvlText w:val="%6."/>
      <w:lvlJc w:val="right"/>
      <w:pPr>
        <w:ind w:left="3622" w:hanging="480"/>
      </w:pPr>
    </w:lvl>
    <w:lvl w:ilvl="6">
      <w:start w:val="1"/>
      <w:numFmt w:val="decimal"/>
      <w:lvlText w:val="%7."/>
      <w:lvlJc w:val="left"/>
      <w:pPr>
        <w:ind w:left="4102" w:hanging="480"/>
      </w:pPr>
    </w:lvl>
    <w:lvl w:ilvl="7">
      <w:start w:val="1"/>
      <w:numFmt w:val="ideographTraditional"/>
      <w:lvlText w:val="%8、"/>
      <w:lvlJc w:val="left"/>
      <w:pPr>
        <w:ind w:left="4582" w:hanging="480"/>
      </w:pPr>
    </w:lvl>
    <w:lvl w:ilvl="8">
      <w:start w:val="1"/>
      <w:numFmt w:val="lowerRoman"/>
      <w:lvlText w:val="%9."/>
      <w:lvlJc w:val="right"/>
      <w:pPr>
        <w:ind w:left="5062" w:hanging="480"/>
      </w:pPr>
    </w:lvl>
  </w:abstractNum>
  <w:abstractNum w:abstractNumId="167" w15:restartNumberingAfterBreak="0">
    <w:nsid w:val="557A69C7"/>
    <w:multiLevelType w:val="multilevel"/>
    <w:tmpl w:val="6E004F32"/>
    <w:lvl w:ilvl="0">
      <w:numFmt w:val="bullet"/>
      <w:lvlText w:val="□"/>
      <w:lvlJc w:val="left"/>
      <w:pPr>
        <w:ind w:left="240" w:hanging="240"/>
      </w:pPr>
      <w:rPr>
        <w:rFonts w:ascii="標楷體" w:hAnsi="標楷體"/>
        <w:sz w:val="20"/>
        <w:szCs w:val="24"/>
      </w:r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68" w15:restartNumberingAfterBreak="0">
    <w:nsid w:val="55DA608F"/>
    <w:multiLevelType w:val="multilevel"/>
    <w:tmpl w:val="345298A4"/>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9" w15:restartNumberingAfterBreak="0">
    <w:nsid w:val="57F64192"/>
    <w:multiLevelType w:val="hybridMultilevel"/>
    <w:tmpl w:val="11706120"/>
    <w:lvl w:ilvl="0" w:tplc="6DE2E184">
      <w:start w:val="1"/>
      <w:numFmt w:val="decimal"/>
      <w:suff w:val="nothing"/>
      <w:lvlText w:val="(%1)"/>
      <w:lvlJc w:val="right"/>
      <w:pPr>
        <w:ind w:left="1331" w:hanging="480"/>
      </w:pPr>
      <w:rPr>
        <w:rFonts w:hint="eastAsia"/>
        <w:u w:val="none"/>
      </w:rPr>
    </w:lvl>
    <w:lvl w:ilvl="1" w:tplc="04090019" w:tentative="1">
      <w:start w:val="1"/>
      <w:numFmt w:val="ideographTraditional"/>
      <w:lvlText w:val="%2、"/>
      <w:lvlJc w:val="left"/>
      <w:pPr>
        <w:ind w:left="3227" w:hanging="480"/>
      </w:pPr>
    </w:lvl>
    <w:lvl w:ilvl="2" w:tplc="0409001B" w:tentative="1">
      <w:start w:val="1"/>
      <w:numFmt w:val="lowerRoman"/>
      <w:lvlText w:val="%3."/>
      <w:lvlJc w:val="right"/>
      <w:pPr>
        <w:ind w:left="3707" w:hanging="480"/>
      </w:pPr>
    </w:lvl>
    <w:lvl w:ilvl="3" w:tplc="0409000F" w:tentative="1">
      <w:start w:val="1"/>
      <w:numFmt w:val="decimal"/>
      <w:lvlText w:val="%4."/>
      <w:lvlJc w:val="left"/>
      <w:pPr>
        <w:ind w:left="4187" w:hanging="480"/>
      </w:pPr>
    </w:lvl>
    <w:lvl w:ilvl="4" w:tplc="04090019" w:tentative="1">
      <w:start w:val="1"/>
      <w:numFmt w:val="ideographTraditional"/>
      <w:lvlText w:val="%5、"/>
      <w:lvlJc w:val="left"/>
      <w:pPr>
        <w:ind w:left="4667" w:hanging="480"/>
      </w:pPr>
    </w:lvl>
    <w:lvl w:ilvl="5" w:tplc="0409001B" w:tentative="1">
      <w:start w:val="1"/>
      <w:numFmt w:val="lowerRoman"/>
      <w:lvlText w:val="%6."/>
      <w:lvlJc w:val="right"/>
      <w:pPr>
        <w:ind w:left="5147" w:hanging="480"/>
      </w:pPr>
    </w:lvl>
    <w:lvl w:ilvl="6" w:tplc="0409000F" w:tentative="1">
      <w:start w:val="1"/>
      <w:numFmt w:val="decimal"/>
      <w:lvlText w:val="%7."/>
      <w:lvlJc w:val="left"/>
      <w:pPr>
        <w:ind w:left="5627" w:hanging="480"/>
      </w:pPr>
    </w:lvl>
    <w:lvl w:ilvl="7" w:tplc="04090019" w:tentative="1">
      <w:start w:val="1"/>
      <w:numFmt w:val="ideographTraditional"/>
      <w:lvlText w:val="%8、"/>
      <w:lvlJc w:val="left"/>
      <w:pPr>
        <w:ind w:left="6107" w:hanging="480"/>
      </w:pPr>
    </w:lvl>
    <w:lvl w:ilvl="8" w:tplc="0409001B" w:tentative="1">
      <w:start w:val="1"/>
      <w:numFmt w:val="lowerRoman"/>
      <w:lvlText w:val="%9."/>
      <w:lvlJc w:val="right"/>
      <w:pPr>
        <w:ind w:left="6587" w:hanging="480"/>
      </w:pPr>
    </w:lvl>
  </w:abstractNum>
  <w:abstractNum w:abstractNumId="170" w15:restartNumberingAfterBreak="0">
    <w:nsid w:val="58E8772E"/>
    <w:multiLevelType w:val="multilevel"/>
    <w:tmpl w:val="C018F048"/>
    <w:lvl w:ilvl="0">
      <w:numFmt w:val="bullet"/>
      <w:lvlText w:val="□"/>
      <w:lvlJc w:val="left"/>
      <w:pPr>
        <w:ind w:left="480" w:hanging="480"/>
      </w:pPr>
      <w:rPr>
        <w:rFonts w:ascii="標楷體" w:eastAsia="標楷體" w:hAnsi="標楷體"/>
      </w:rPr>
    </w:lvl>
    <w:lvl w:ilvl="1">
      <w:start w:val="1"/>
      <w:numFmt w:val="ideographTraditional"/>
      <w:lvlText w:val="%2、"/>
      <w:lvlJc w:val="left"/>
      <w:pPr>
        <w:ind w:left="960" w:hanging="480"/>
      </w:pPr>
      <w:rPr>
        <w:rFonts w:ascii="標楷體" w:eastAsia="標楷體" w:hAnsi="標楷體"/>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1" w15:restartNumberingAfterBreak="0">
    <w:nsid w:val="58EF19A7"/>
    <w:multiLevelType w:val="multilevel"/>
    <w:tmpl w:val="51442DF8"/>
    <w:lvl w:ilvl="0">
      <w:start w:val="1"/>
      <w:numFmt w:val="decimal"/>
      <w:lvlText w:val="%1."/>
      <w:lvlJc w:val="left"/>
      <w:pPr>
        <w:ind w:left="480" w:hanging="480"/>
      </w:pPr>
      <w:rPr>
        <w:rFonts w:ascii="Times New Roman" w:hAnsi="Times New Roman" w:cs="Times New Roman" w:hint="eastAsia"/>
      </w:rPr>
    </w:lvl>
    <w:lvl w:ilvl="1">
      <w:start w:val="1"/>
      <w:numFmt w:val="decimal"/>
      <w:lvlText w:val="()"/>
      <w:lvlJc w:val="left"/>
      <w:pPr>
        <w:ind w:left="960" w:hanging="480"/>
      </w:pPr>
      <w:rPr>
        <w:rFonts w:ascii="標楷體" w:eastAsia="標楷體" w:hAnsi="標楷體" w:cs="Times New Roman" w:hint="eastAsia"/>
      </w:rPr>
    </w:lvl>
    <w:lvl w:ilvl="2">
      <w:start w:val="1"/>
      <w:numFmt w:val="upperRoman"/>
      <w:suff w:val="nothing"/>
      <w:lvlText w:val="%3."/>
      <w:lvlJc w:val="left"/>
      <w:pPr>
        <w:ind w:left="1440" w:hanging="480"/>
      </w:pPr>
      <w:rPr>
        <w:rFonts w:ascii="標楷體" w:eastAsia="標楷體" w:hAnsi="標楷體" w:cs="Times New Roman" w:hint="default"/>
        <w:color w:val="auto"/>
      </w:rPr>
    </w:lvl>
    <w:lvl w:ilvl="3">
      <w:start w:val="1"/>
      <w:numFmt w:val="lowerRoman"/>
      <w:lvlText w:val="."/>
      <w:lvlJc w:val="left"/>
      <w:pPr>
        <w:ind w:left="1920" w:hanging="480"/>
      </w:pPr>
      <w:rPr>
        <w:rFonts w:hint="eastAsia"/>
      </w:rPr>
    </w:lvl>
    <w:lvl w:ilvl="4">
      <w:start w:val="1"/>
      <w:numFmt w:val="ideographTraditional"/>
      <w:lvlText w:val="、"/>
      <w:lvlJc w:val="left"/>
      <w:pPr>
        <w:ind w:left="2400" w:hanging="480"/>
      </w:pPr>
      <w:rPr>
        <w:rFonts w:hint="eastAsia"/>
      </w:rPr>
    </w:lvl>
    <w:lvl w:ilvl="5">
      <w:start w:val="1"/>
      <w:numFmt w:val="lowerRoman"/>
      <w:lvlText w:val="."/>
      <w:lvlJc w:val="right"/>
      <w:pPr>
        <w:ind w:left="2880" w:hanging="480"/>
      </w:pPr>
      <w:rPr>
        <w:rFonts w:hint="eastAsia"/>
      </w:rPr>
    </w:lvl>
    <w:lvl w:ilvl="6">
      <w:start w:val="1"/>
      <w:numFmt w:val="decimal"/>
      <w:lvlText w:val="."/>
      <w:lvlJc w:val="left"/>
      <w:pPr>
        <w:ind w:left="3360" w:hanging="480"/>
      </w:pPr>
      <w:rPr>
        <w:rFonts w:hint="eastAsia"/>
      </w:rPr>
    </w:lvl>
    <w:lvl w:ilvl="7">
      <w:start w:val="1"/>
      <w:numFmt w:val="ideographTraditional"/>
      <w:lvlText w:val="、"/>
      <w:lvlJc w:val="left"/>
      <w:pPr>
        <w:ind w:left="3840" w:hanging="480"/>
      </w:pPr>
      <w:rPr>
        <w:rFonts w:hint="eastAsia"/>
      </w:rPr>
    </w:lvl>
    <w:lvl w:ilvl="8">
      <w:start w:val="1"/>
      <w:numFmt w:val="lowerRoman"/>
      <w:lvlText w:val="."/>
      <w:lvlJc w:val="right"/>
      <w:pPr>
        <w:ind w:left="4320" w:hanging="480"/>
      </w:pPr>
      <w:rPr>
        <w:rFonts w:hint="eastAsia"/>
      </w:rPr>
    </w:lvl>
  </w:abstractNum>
  <w:abstractNum w:abstractNumId="172" w15:restartNumberingAfterBreak="0">
    <w:nsid w:val="58FF64F7"/>
    <w:multiLevelType w:val="multilevel"/>
    <w:tmpl w:val="6810AB04"/>
    <w:lvl w:ilvl="0">
      <w:numFmt w:val="bullet"/>
      <w:lvlText w:val="□"/>
      <w:lvlJc w:val="left"/>
      <w:pPr>
        <w:ind w:left="480" w:hanging="480"/>
      </w:pPr>
      <w:rPr>
        <w:rFonts w:ascii="標楷體" w:eastAsia="標楷體" w:hAnsi="標楷體"/>
        <w:sz w:val="28"/>
        <w:szCs w:val="2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3" w15:restartNumberingAfterBreak="0">
    <w:nsid w:val="5A983669"/>
    <w:multiLevelType w:val="multilevel"/>
    <w:tmpl w:val="1FA08D66"/>
    <w:lvl w:ilvl="0">
      <w:start w:val="1"/>
      <w:numFmt w:val="decimal"/>
      <w:lvlText w:val="(%1)"/>
      <w:lvlJc w:val="left"/>
      <w:pPr>
        <w:ind w:left="720" w:hanging="720"/>
      </w:pPr>
    </w:lvl>
    <w:lvl w:ilvl="1">
      <w:start w:val="1"/>
      <w:numFmt w:val="upperRoman"/>
      <w:lvlText w:val="%2."/>
      <w:lvlJc w:val="left"/>
      <w:pPr>
        <w:ind w:left="960" w:hanging="480"/>
      </w:pPr>
      <w:rPr>
        <w:rFonts w:ascii="標楷體" w:eastAsia="標楷體" w:hAnsi="標楷體"/>
      </w:rPr>
    </w:lvl>
    <w:lvl w:ilvl="2">
      <w:start w:val="1"/>
      <w:numFmt w:val="lowerRoman"/>
      <w:lvlText w:val="%3."/>
      <w:lvlJc w:val="left"/>
      <w:pPr>
        <w:ind w:left="1680" w:hanging="720"/>
      </w:pPr>
      <w:rPr>
        <w:rFonts w:ascii="標楷體" w:eastAsia="標楷體" w:hAnsi="標楷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4" w15:restartNumberingAfterBreak="0">
    <w:nsid w:val="5B261A58"/>
    <w:multiLevelType w:val="multilevel"/>
    <w:tmpl w:val="CDE8BE7E"/>
    <w:lvl w:ilvl="0">
      <w:start w:val="1"/>
      <w:numFmt w:val="decimal"/>
      <w:lvlText w:val="(%1)"/>
      <w:lvlJc w:val="left"/>
      <w:pPr>
        <w:ind w:left="1397" w:hanging="720"/>
      </w:pPr>
      <w:rPr>
        <w:u w:val="none"/>
      </w:r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175" w15:restartNumberingAfterBreak="0">
    <w:nsid w:val="5B687956"/>
    <w:multiLevelType w:val="multilevel"/>
    <w:tmpl w:val="410E484A"/>
    <w:lvl w:ilvl="0">
      <w:start w:val="1"/>
      <w:numFmt w:val="decimal"/>
      <w:lvlText w:val="%1."/>
      <w:lvlJc w:val="left"/>
      <w:pPr>
        <w:ind w:left="1361" w:hanging="598"/>
      </w:pPr>
      <w:rPr>
        <w:rFonts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6" w15:restartNumberingAfterBreak="0">
    <w:nsid w:val="5B940F2A"/>
    <w:multiLevelType w:val="multilevel"/>
    <w:tmpl w:val="F53820B2"/>
    <w:lvl w:ilvl="0">
      <w:start w:val="1"/>
      <w:numFmt w:val="decimal"/>
      <w:lvlText w:val="(%1)"/>
      <w:lvlJc w:val="left"/>
      <w:pPr>
        <w:ind w:left="1514" w:hanging="720"/>
      </w:pPr>
    </w:lvl>
    <w:lvl w:ilvl="1">
      <w:start w:val="1"/>
      <w:numFmt w:val="ideographTraditional"/>
      <w:lvlText w:val="%2、"/>
      <w:lvlJc w:val="left"/>
      <w:pPr>
        <w:ind w:left="1754" w:hanging="480"/>
      </w:pPr>
    </w:lvl>
    <w:lvl w:ilvl="2">
      <w:start w:val="1"/>
      <w:numFmt w:val="lowerRoman"/>
      <w:lvlText w:val="%3."/>
      <w:lvlJc w:val="right"/>
      <w:pPr>
        <w:ind w:left="2234" w:hanging="480"/>
      </w:pPr>
    </w:lvl>
    <w:lvl w:ilvl="3">
      <w:start w:val="1"/>
      <w:numFmt w:val="decimal"/>
      <w:lvlText w:val="%4."/>
      <w:lvlJc w:val="left"/>
      <w:pPr>
        <w:ind w:left="2714" w:hanging="480"/>
      </w:pPr>
    </w:lvl>
    <w:lvl w:ilvl="4">
      <w:start w:val="1"/>
      <w:numFmt w:val="ideographTraditional"/>
      <w:lvlText w:val="%5、"/>
      <w:lvlJc w:val="left"/>
      <w:pPr>
        <w:ind w:left="3194" w:hanging="480"/>
      </w:pPr>
    </w:lvl>
    <w:lvl w:ilvl="5">
      <w:start w:val="1"/>
      <w:numFmt w:val="lowerRoman"/>
      <w:lvlText w:val="%6."/>
      <w:lvlJc w:val="right"/>
      <w:pPr>
        <w:ind w:left="3674" w:hanging="480"/>
      </w:pPr>
    </w:lvl>
    <w:lvl w:ilvl="6">
      <w:start w:val="1"/>
      <w:numFmt w:val="decimal"/>
      <w:lvlText w:val="%7."/>
      <w:lvlJc w:val="left"/>
      <w:pPr>
        <w:ind w:left="4154" w:hanging="480"/>
      </w:pPr>
    </w:lvl>
    <w:lvl w:ilvl="7">
      <w:start w:val="1"/>
      <w:numFmt w:val="ideographTraditional"/>
      <w:lvlText w:val="%8、"/>
      <w:lvlJc w:val="left"/>
      <w:pPr>
        <w:ind w:left="4634" w:hanging="480"/>
      </w:pPr>
    </w:lvl>
    <w:lvl w:ilvl="8">
      <w:start w:val="1"/>
      <w:numFmt w:val="lowerRoman"/>
      <w:lvlText w:val="%9."/>
      <w:lvlJc w:val="right"/>
      <w:pPr>
        <w:ind w:left="5114" w:hanging="480"/>
      </w:pPr>
    </w:lvl>
  </w:abstractNum>
  <w:abstractNum w:abstractNumId="177" w15:restartNumberingAfterBreak="0">
    <w:nsid w:val="5C4E7579"/>
    <w:multiLevelType w:val="hybridMultilevel"/>
    <w:tmpl w:val="E466DAC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7E82E050">
      <w:start w:val="1"/>
      <w:numFmt w:val="upperRoman"/>
      <w:suff w:val="nothing"/>
      <w:lvlText w:val="%3."/>
      <w:lvlJc w:val="left"/>
      <w:pPr>
        <w:ind w:left="1440" w:hanging="480"/>
      </w:pPr>
      <w:rPr>
        <w:rFonts w:hint="eastAsia"/>
        <w:strike w:val="0"/>
        <w:dstrike w:val="0"/>
        <w:u w:val="none"/>
        <w:effect w:val="none"/>
      </w:r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78" w15:restartNumberingAfterBreak="0">
    <w:nsid w:val="5CDA60FF"/>
    <w:multiLevelType w:val="multilevel"/>
    <w:tmpl w:val="DBD66228"/>
    <w:lvl w:ilvl="0">
      <w:numFmt w:val="bullet"/>
      <w:lvlText w:val=""/>
      <w:lvlJc w:val="left"/>
      <w:pPr>
        <w:ind w:left="567" w:hanging="567"/>
      </w:pPr>
      <w:rPr>
        <w:rFonts w:ascii="Wingdings" w:hAnsi="Wingdings" w:cs="Wingdings"/>
        <w:sz w:val="24"/>
        <w:szCs w:val="24"/>
      </w:rPr>
    </w:lvl>
    <w:lvl w:ilvl="1">
      <w:start w:val="1"/>
      <w:numFmt w:val="none"/>
      <w:lvlText w:val="%2"/>
      <w:lvlJc w:val="left"/>
      <w:pPr>
        <w:ind w:left="567" w:hanging="567"/>
      </w:pPr>
    </w:lvl>
    <w:lvl w:ilvl="2">
      <w:start w:val="1"/>
      <w:numFmt w:val="none"/>
      <w:lvlText w:val="%3"/>
      <w:lvlJc w:val="left"/>
      <w:pPr>
        <w:ind w:left="567" w:hanging="567"/>
      </w:pPr>
    </w:lvl>
    <w:lvl w:ilvl="3">
      <w:start w:val="1"/>
      <w:numFmt w:val="none"/>
      <w:lvlText w:val="%4"/>
      <w:lvlJc w:val="left"/>
      <w:pPr>
        <w:ind w:left="567" w:hanging="567"/>
      </w:pPr>
    </w:lvl>
    <w:lvl w:ilvl="4">
      <w:start w:val="1"/>
      <w:numFmt w:val="none"/>
      <w:lvlText w:val="%5"/>
      <w:lvlJc w:val="left"/>
      <w:pPr>
        <w:ind w:left="567" w:hanging="567"/>
      </w:pPr>
    </w:lvl>
    <w:lvl w:ilvl="5">
      <w:start w:val="1"/>
      <w:numFmt w:val="none"/>
      <w:lvlText w:val="%6"/>
      <w:lvlJc w:val="left"/>
      <w:pPr>
        <w:ind w:left="567" w:hanging="567"/>
      </w:pPr>
    </w:lvl>
    <w:lvl w:ilvl="6">
      <w:start w:val="1"/>
      <w:numFmt w:val="none"/>
      <w:lvlText w:val="%7"/>
      <w:lvlJc w:val="left"/>
      <w:pPr>
        <w:ind w:left="567" w:hanging="567"/>
      </w:pPr>
    </w:lvl>
    <w:lvl w:ilvl="7">
      <w:start w:val="1"/>
      <w:numFmt w:val="none"/>
      <w:lvlText w:val="%8"/>
      <w:lvlJc w:val="left"/>
      <w:pPr>
        <w:ind w:left="567" w:hanging="567"/>
      </w:pPr>
    </w:lvl>
    <w:lvl w:ilvl="8">
      <w:start w:val="1"/>
      <w:numFmt w:val="none"/>
      <w:lvlText w:val="%9"/>
      <w:lvlJc w:val="left"/>
      <w:pPr>
        <w:ind w:left="567" w:hanging="567"/>
      </w:pPr>
    </w:lvl>
  </w:abstractNum>
  <w:abstractNum w:abstractNumId="179" w15:restartNumberingAfterBreak="0">
    <w:nsid w:val="5D4C08D2"/>
    <w:multiLevelType w:val="multilevel"/>
    <w:tmpl w:val="FD3C7428"/>
    <w:lvl w:ilvl="0">
      <w:start w:val="1"/>
      <w:numFmt w:val="decimal"/>
      <w:lvlText w:val="%1."/>
      <w:lvlJc w:val="left"/>
      <w:pPr>
        <w:ind w:left="1047" w:hanging="48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80" w15:restartNumberingAfterBreak="0">
    <w:nsid w:val="5DA3772C"/>
    <w:multiLevelType w:val="multilevel"/>
    <w:tmpl w:val="33AA8A00"/>
    <w:lvl w:ilvl="0">
      <w:start w:val="1"/>
      <w:numFmt w:val="decimal"/>
      <w:lvlText w:val="%1."/>
      <w:lvlJc w:val="left"/>
      <w:pPr>
        <w:ind w:left="360" w:hanging="36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1" w15:restartNumberingAfterBreak="0">
    <w:nsid w:val="5F771354"/>
    <w:multiLevelType w:val="multilevel"/>
    <w:tmpl w:val="4508C4C6"/>
    <w:lvl w:ilvl="0">
      <w:numFmt w:val="bullet"/>
      <w:lvlText w:val="□"/>
      <w:lvlJc w:val="left"/>
      <w:pPr>
        <w:ind w:left="381" w:hanging="285"/>
      </w:pPr>
      <w:rPr>
        <w:rFonts w:ascii="全真楷書" w:eastAsia="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2" w15:restartNumberingAfterBreak="0">
    <w:nsid w:val="61042DAA"/>
    <w:multiLevelType w:val="multilevel"/>
    <w:tmpl w:val="004812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3" w15:restartNumberingAfterBreak="0">
    <w:nsid w:val="61776E31"/>
    <w:multiLevelType w:val="multilevel"/>
    <w:tmpl w:val="5852AF26"/>
    <w:lvl w:ilvl="0">
      <w:start w:val="1"/>
      <w:numFmt w:val="decimal"/>
      <w:lvlText w:val="%1."/>
      <w:lvlJc w:val="left"/>
      <w:pPr>
        <w:ind w:left="310" w:hanging="360"/>
      </w:pPr>
    </w:lvl>
    <w:lvl w:ilvl="1">
      <w:start w:val="1"/>
      <w:numFmt w:val="ideographTraditional"/>
      <w:lvlText w:val="%2、"/>
      <w:lvlJc w:val="left"/>
      <w:pPr>
        <w:ind w:left="910" w:hanging="480"/>
      </w:pPr>
    </w:lvl>
    <w:lvl w:ilvl="2">
      <w:start w:val="1"/>
      <w:numFmt w:val="lowerRoman"/>
      <w:lvlText w:val="%3."/>
      <w:lvlJc w:val="right"/>
      <w:pPr>
        <w:ind w:left="1390" w:hanging="480"/>
      </w:pPr>
    </w:lvl>
    <w:lvl w:ilvl="3">
      <w:start w:val="1"/>
      <w:numFmt w:val="decimal"/>
      <w:lvlText w:val="%4."/>
      <w:lvlJc w:val="left"/>
      <w:pPr>
        <w:ind w:left="1870" w:hanging="480"/>
      </w:pPr>
    </w:lvl>
    <w:lvl w:ilvl="4">
      <w:start w:val="1"/>
      <w:numFmt w:val="ideographTraditional"/>
      <w:lvlText w:val="%5、"/>
      <w:lvlJc w:val="left"/>
      <w:pPr>
        <w:ind w:left="2350" w:hanging="480"/>
      </w:pPr>
    </w:lvl>
    <w:lvl w:ilvl="5">
      <w:start w:val="1"/>
      <w:numFmt w:val="lowerRoman"/>
      <w:lvlText w:val="%6."/>
      <w:lvlJc w:val="right"/>
      <w:pPr>
        <w:ind w:left="2830" w:hanging="480"/>
      </w:pPr>
    </w:lvl>
    <w:lvl w:ilvl="6">
      <w:start w:val="1"/>
      <w:numFmt w:val="decimal"/>
      <w:lvlText w:val="%7."/>
      <w:lvlJc w:val="left"/>
      <w:pPr>
        <w:ind w:left="3310" w:hanging="480"/>
      </w:pPr>
    </w:lvl>
    <w:lvl w:ilvl="7">
      <w:start w:val="1"/>
      <w:numFmt w:val="ideographTraditional"/>
      <w:lvlText w:val="%8、"/>
      <w:lvlJc w:val="left"/>
      <w:pPr>
        <w:ind w:left="3790" w:hanging="480"/>
      </w:pPr>
    </w:lvl>
    <w:lvl w:ilvl="8">
      <w:start w:val="1"/>
      <w:numFmt w:val="lowerRoman"/>
      <w:lvlText w:val="%9."/>
      <w:lvlJc w:val="right"/>
      <w:pPr>
        <w:ind w:left="4270" w:hanging="480"/>
      </w:pPr>
    </w:lvl>
  </w:abstractNum>
  <w:abstractNum w:abstractNumId="184" w15:restartNumberingAfterBreak="0">
    <w:nsid w:val="61AF46E6"/>
    <w:multiLevelType w:val="hybridMultilevel"/>
    <w:tmpl w:val="36F25856"/>
    <w:lvl w:ilvl="0" w:tplc="738A042E">
      <w:start w:val="1"/>
      <w:numFmt w:val="low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5" w15:restartNumberingAfterBreak="0">
    <w:nsid w:val="62372FA1"/>
    <w:multiLevelType w:val="multilevel"/>
    <w:tmpl w:val="8C90D0CA"/>
    <w:lvl w:ilvl="0">
      <w:start w:val="1"/>
      <w:numFmt w:val="decimal"/>
      <w:lvlText w:val="(%1)"/>
      <w:lvlJc w:val="left"/>
      <w:pPr>
        <w:ind w:left="96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6" w15:restartNumberingAfterBreak="0">
    <w:nsid w:val="628E2A5D"/>
    <w:multiLevelType w:val="multilevel"/>
    <w:tmpl w:val="E1A89C34"/>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7" w15:restartNumberingAfterBreak="0">
    <w:nsid w:val="62C86548"/>
    <w:multiLevelType w:val="multilevel"/>
    <w:tmpl w:val="A2B452D8"/>
    <w:lvl w:ilvl="0">
      <w:start w:val="1"/>
      <w:numFmt w:val="decimal"/>
      <w:lvlText w:val="(%1)"/>
      <w:lvlJc w:val="left"/>
      <w:pPr>
        <w:ind w:left="96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8" w15:restartNumberingAfterBreak="0">
    <w:nsid w:val="65041230"/>
    <w:multiLevelType w:val="singleLevel"/>
    <w:tmpl w:val="D53E61D8"/>
    <w:lvl w:ilvl="0">
      <w:start w:val="1"/>
      <w:numFmt w:val="bullet"/>
      <w:lvlText w:val=""/>
      <w:lvlJc w:val="left"/>
      <w:pPr>
        <w:ind w:left="0" w:firstLine="0"/>
      </w:pPr>
      <w:rPr>
        <w:rFonts w:ascii="Wingdings" w:hAnsi="Wingdings" w:cs="Wingdings" w:hint="default"/>
        <w:sz w:val="24"/>
        <w:szCs w:val="24"/>
      </w:rPr>
    </w:lvl>
  </w:abstractNum>
  <w:abstractNum w:abstractNumId="189" w15:restartNumberingAfterBreak="0">
    <w:nsid w:val="655534ED"/>
    <w:multiLevelType w:val="multilevel"/>
    <w:tmpl w:val="462EC574"/>
    <w:lvl w:ilvl="0">
      <w:start w:val="1"/>
      <w:numFmt w:val="decimal"/>
      <w:lvlText w:val="%1."/>
      <w:lvlJc w:val="left"/>
      <w:pPr>
        <w:ind w:left="1222" w:hanging="480"/>
      </w:pPr>
      <w:rPr>
        <w:b w:val="0"/>
        <w:i w:val="0"/>
        <w:sz w:val="28"/>
      </w:rPr>
    </w:lvl>
    <w:lvl w:ilvl="1">
      <w:start w:val="1"/>
      <w:numFmt w:val="ideographTraditional"/>
      <w:lvlText w:val="%2、"/>
      <w:lvlJc w:val="left"/>
      <w:pPr>
        <w:ind w:left="1702" w:hanging="480"/>
      </w:pPr>
    </w:lvl>
    <w:lvl w:ilvl="2">
      <w:start w:val="1"/>
      <w:numFmt w:val="lowerRoman"/>
      <w:lvlText w:val="%3."/>
      <w:lvlJc w:val="right"/>
      <w:pPr>
        <w:ind w:left="2182" w:hanging="480"/>
      </w:pPr>
    </w:lvl>
    <w:lvl w:ilvl="3">
      <w:start w:val="1"/>
      <w:numFmt w:val="decimal"/>
      <w:lvlText w:val="%4."/>
      <w:lvlJc w:val="left"/>
      <w:pPr>
        <w:ind w:left="2662" w:hanging="480"/>
      </w:pPr>
    </w:lvl>
    <w:lvl w:ilvl="4">
      <w:start w:val="1"/>
      <w:numFmt w:val="ideographTraditional"/>
      <w:lvlText w:val="%5、"/>
      <w:lvlJc w:val="left"/>
      <w:pPr>
        <w:ind w:left="3142" w:hanging="480"/>
      </w:pPr>
    </w:lvl>
    <w:lvl w:ilvl="5">
      <w:start w:val="1"/>
      <w:numFmt w:val="lowerRoman"/>
      <w:lvlText w:val="%6."/>
      <w:lvlJc w:val="right"/>
      <w:pPr>
        <w:ind w:left="3622" w:hanging="480"/>
      </w:pPr>
    </w:lvl>
    <w:lvl w:ilvl="6">
      <w:start w:val="1"/>
      <w:numFmt w:val="decimal"/>
      <w:lvlText w:val="%7."/>
      <w:lvlJc w:val="left"/>
      <w:pPr>
        <w:ind w:left="4102" w:hanging="480"/>
      </w:pPr>
    </w:lvl>
    <w:lvl w:ilvl="7">
      <w:start w:val="1"/>
      <w:numFmt w:val="ideographTraditional"/>
      <w:lvlText w:val="%8、"/>
      <w:lvlJc w:val="left"/>
      <w:pPr>
        <w:ind w:left="4582" w:hanging="480"/>
      </w:pPr>
    </w:lvl>
    <w:lvl w:ilvl="8">
      <w:start w:val="1"/>
      <w:numFmt w:val="lowerRoman"/>
      <w:lvlText w:val="%9."/>
      <w:lvlJc w:val="right"/>
      <w:pPr>
        <w:ind w:left="5062" w:hanging="480"/>
      </w:pPr>
    </w:lvl>
  </w:abstractNum>
  <w:abstractNum w:abstractNumId="190" w15:restartNumberingAfterBreak="0">
    <w:nsid w:val="65647D7E"/>
    <w:multiLevelType w:val="multilevel"/>
    <w:tmpl w:val="4D08B5EE"/>
    <w:styleLink w:val="LFO33"/>
    <w:lvl w:ilvl="0">
      <w:numFmt w:val="bullet"/>
      <w:pStyle w:val="3"/>
      <w:lvlText w:val=""/>
      <w:lvlJc w:val="left"/>
      <w:pPr>
        <w:ind w:left="1800" w:hanging="360"/>
      </w:pPr>
      <w:rPr>
        <w:rFonts w:ascii="Wingdings" w:hAnsi="Wingdings"/>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1" w15:restartNumberingAfterBreak="0">
    <w:nsid w:val="6631360E"/>
    <w:multiLevelType w:val="multilevel"/>
    <w:tmpl w:val="D5F6C614"/>
    <w:lvl w:ilvl="0">
      <w:start w:val="1"/>
      <w:numFmt w:val="decimal"/>
      <w:lvlText w:val="%1."/>
      <w:lvlJc w:val="left"/>
      <w:pPr>
        <w:ind w:left="1446" w:hanging="480"/>
      </w:pPr>
      <w:rPr>
        <w:rFonts w:ascii="標楷體" w:eastAsia="標楷體" w:hAnsi="標楷體"/>
        <w:b w:val="0"/>
        <w:i w:val="0"/>
        <w:strike w:val="0"/>
        <w:dstrike w:val="0"/>
        <w:vanish w:val="0"/>
        <w:color w:val="auto"/>
        <w:position w:val="0"/>
        <w:sz w:val="24"/>
        <w:u w:val="none"/>
        <w:vertAlign w:val="baseline"/>
      </w:rPr>
    </w:lvl>
    <w:lvl w:ilvl="1">
      <w:start w:val="1"/>
      <w:numFmt w:val="ideographTraditional"/>
      <w:lvlText w:val="%2、"/>
      <w:lvlJc w:val="left"/>
      <w:pPr>
        <w:ind w:left="1446" w:hanging="480"/>
      </w:pPr>
    </w:lvl>
    <w:lvl w:ilvl="2">
      <w:start w:val="1"/>
      <w:numFmt w:val="lowerRoman"/>
      <w:lvlText w:val="%3."/>
      <w:lvlJc w:val="right"/>
      <w:pPr>
        <w:ind w:left="1446" w:hanging="480"/>
      </w:pPr>
    </w:lvl>
    <w:lvl w:ilvl="3">
      <w:start w:val="1"/>
      <w:numFmt w:val="decimal"/>
      <w:lvlText w:val="%4."/>
      <w:lvlJc w:val="left"/>
      <w:pPr>
        <w:ind w:left="1698" w:hanging="480"/>
      </w:pPr>
    </w:lvl>
    <w:lvl w:ilvl="4">
      <w:start w:val="1"/>
      <w:numFmt w:val="ideographTraditional"/>
      <w:lvlText w:val="%5、"/>
      <w:lvlJc w:val="left"/>
      <w:pPr>
        <w:ind w:left="2178" w:hanging="480"/>
      </w:pPr>
    </w:lvl>
    <w:lvl w:ilvl="5">
      <w:start w:val="1"/>
      <w:numFmt w:val="lowerRoman"/>
      <w:lvlText w:val="%6."/>
      <w:lvlJc w:val="right"/>
      <w:pPr>
        <w:ind w:left="2658" w:hanging="480"/>
      </w:pPr>
    </w:lvl>
    <w:lvl w:ilvl="6">
      <w:start w:val="1"/>
      <w:numFmt w:val="decimal"/>
      <w:lvlText w:val="%7."/>
      <w:lvlJc w:val="left"/>
      <w:pPr>
        <w:ind w:left="3138" w:hanging="480"/>
      </w:pPr>
    </w:lvl>
    <w:lvl w:ilvl="7">
      <w:start w:val="1"/>
      <w:numFmt w:val="ideographTraditional"/>
      <w:lvlText w:val="%8、"/>
      <w:lvlJc w:val="left"/>
      <w:pPr>
        <w:ind w:left="3618" w:hanging="480"/>
      </w:pPr>
    </w:lvl>
    <w:lvl w:ilvl="8">
      <w:start w:val="1"/>
      <w:numFmt w:val="lowerRoman"/>
      <w:lvlText w:val="%9."/>
      <w:lvlJc w:val="right"/>
      <w:pPr>
        <w:ind w:left="4098" w:hanging="480"/>
      </w:pPr>
    </w:lvl>
  </w:abstractNum>
  <w:abstractNum w:abstractNumId="192" w15:restartNumberingAfterBreak="0">
    <w:nsid w:val="663B4101"/>
    <w:multiLevelType w:val="multilevel"/>
    <w:tmpl w:val="DEF2A98A"/>
    <w:lvl w:ilvl="0">
      <w:start w:val="1"/>
      <w:numFmt w:val="decimal"/>
      <w:suff w:val="nothing"/>
      <w:lvlText w:val="%1."/>
      <w:lvlJc w:val="left"/>
      <w:pPr>
        <w:ind w:left="480" w:hanging="360"/>
      </w:pPr>
      <w:rPr>
        <w:rFonts w:cs="Arial" w:hint="eastAsia"/>
        <w:strike w:val="0"/>
        <w:dstrike w:val="0"/>
        <w:color w:val="000000"/>
        <w:u w:val="none"/>
        <w:effect w:val="none"/>
      </w:rPr>
    </w:lvl>
    <w:lvl w:ilvl="1">
      <w:start w:val="1"/>
      <w:numFmt w:val="ideographTraditional"/>
      <w:lvlText w:val="%2、"/>
      <w:lvlJc w:val="left"/>
      <w:pPr>
        <w:ind w:left="1080" w:hanging="480"/>
      </w:pPr>
      <w:rPr>
        <w:rFonts w:hint="eastAsia"/>
      </w:rPr>
    </w:lvl>
    <w:lvl w:ilvl="2">
      <w:start w:val="1"/>
      <w:numFmt w:val="lowerRoman"/>
      <w:lvlText w:val="%3."/>
      <w:lvlJc w:val="right"/>
      <w:pPr>
        <w:ind w:left="1560" w:hanging="480"/>
      </w:pPr>
      <w:rPr>
        <w:rFonts w:hint="eastAsia"/>
      </w:rPr>
    </w:lvl>
    <w:lvl w:ilvl="3">
      <w:start w:val="1"/>
      <w:numFmt w:val="decimal"/>
      <w:lvlText w:val="%4."/>
      <w:lvlJc w:val="left"/>
      <w:pPr>
        <w:ind w:left="2040" w:hanging="480"/>
      </w:pPr>
      <w:rPr>
        <w:rFonts w:hint="eastAsia"/>
      </w:rPr>
    </w:lvl>
    <w:lvl w:ilvl="4">
      <w:start w:val="1"/>
      <w:numFmt w:val="ideographTraditional"/>
      <w:lvlText w:val="%5、"/>
      <w:lvlJc w:val="left"/>
      <w:pPr>
        <w:ind w:left="2520" w:hanging="480"/>
      </w:pPr>
      <w:rPr>
        <w:rFonts w:hint="eastAsia"/>
      </w:rPr>
    </w:lvl>
    <w:lvl w:ilvl="5">
      <w:start w:val="1"/>
      <w:numFmt w:val="lowerRoman"/>
      <w:lvlText w:val="%6."/>
      <w:lvlJc w:val="right"/>
      <w:pPr>
        <w:ind w:left="3000" w:hanging="480"/>
      </w:pPr>
      <w:rPr>
        <w:rFonts w:hint="eastAsia"/>
      </w:rPr>
    </w:lvl>
    <w:lvl w:ilvl="6">
      <w:start w:val="1"/>
      <w:numFmt w:val="decimal"/>
      <w:lvlText w:val="%7."/>
      <w:lvlJc w:val="left"/>
      <w:pPr>
        <w:ind w:left="3480" w:hanging="480"/>
      </w:pPr>
      <w:rPr>
        <w:rFonts w:hint="eastAsia"/>
      </w:rPr>
    </w:lvl>
    <w:lvl w:ilvl="7">
      <w:start w:val="1"/>
      <w:numFmt w:val="ideographTraditional"/>
      <w:lvlText w:val="%8、"/>
      <w:lvlJc w:val="left"/>
      <w:pPr>
        <w:ind w:left="3960" w:hanging="480"/>
      </w:pPr>
      <w:rPr>
        <w:rFonts w:hint="eastAsia"/>
      </w:rPr>
    </w:lvl>
    <w:lvl w:ilvl="8">
      <w:start w:val="1"/>
      <w:numFmt w:val="lowerRoman"/>
      <w:lvlText w:val="%9."/>
      <w:lvlJc w:val="right"/>
      <w:pPr>
        <w:ind w:left="4440" w:hanging="480"/>
      </w:pPr>
      <w:rPr>
        <w:rFonts w:hint="eastAsia"/>
      </w:rPr>
    </w:lvl>
  </w:abstractNum>
  <w:abstractNum w:abstractNumId="193" w15:restartNumberingAfterBreak="0">
    <w:nsid w:val="663F4F14"/>
    <w:multiLevelType w:val="multilevel"/>
    <w:tmpl w:val="0BAAF25A"/>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4" w15:restartNumberingAfterBreak="0">
    <w:nsid w:val="66DE2E9B"/>
    <w:multiLevelType w:val="multilevel"/>
    <w:tmpl w:val="7AB28932"/>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5" w15:restartNumberingAfterBreak="0">
    <w:nsid w:val="677B319A"/>
    <w:multiLevelType w:val="multilevel"/>
    <w:tmpl w:val="463A99B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6" w15:restartNumberingAfterBreak="0">
    <w:nsid w:val="682D50DB"/>
    <w:multiLevelType w:val="multilevel"/>
    <w:tmpl w:val="7528D8BE"/>
    <w:lvl w:ilvl="0">
      <w:start w:val="4"/>
      <w:numFmt w:val="upperRoman"/>
      <w:lvlText w:val="%1."/>
      <w:lvlJc w:val="left"/>
      <w:pPr>
        <w:ind w:left="797" w:hanging="480"/>
      </w:pPr>
      <w:rPr>
        <w:u w:val="none"/>
      </w:rPr>
    </w:lvl>
    <w:lvl w:ilvl="1">
      <w:start w:val="1"/>
      <w:numFmt w:val="ideographTraditional"/>
      <w:lvlText w:val="%2、"/>
      <w:lvlJc w:val="left"/>
      <w:pPr>
        <w:ind w:left="1277" w:hanging="480"/>
      </w:pPr>
    </w:lvl>
    <w:lvl w:ilvl="2">
      <w:start w:val="1"/>
      <w:numFmt w:val="lowerRoman"/>
      <w:lvlText w:val="%3."/>
      <w:lvlJc w:val="right"/>
      <w:pPr>
        <w:ind w:left="1757" w:hanging="480"/>
      </w:pPr>
    </w:lvl>
    <w:lvl w:ilvl="3">
      <w:start w:val="1"/>
      <w:numFmt w:val="decimal"/>
      <w:lvlText w:val="%4."/>
      <w:lvlJc w:val="left"/>
      <w:pPr>
        <w:ind w:left="2237" w:hanging="480"/>
      </w:pPr>
    </w:lvl>
    <w:lvl w:ilvl="4">
      <w:start w:val="1"/>
      <w:numFmt w:val="ideographTraditional"/>
      <w:lvlText w:val="%5、"/>
      <w:lvlJc w:val="left"/>
      <w:pPr>
        <w:ind w:left="2717" w:hanging="480"/>
      </w:pPr>
    </w:lvl>
    <w:lvl w:ilvl="5">
      <w:start w:val="1"/>
      <w:numFmt w:val="lowerRoman"/>
      <w:lvlText w:val="%6."/>
      <w:lvlJc w:val="right"/>
      <w:pPr>
        <w:ind w:left="3197" w:hanging="480"/>
      </w:pPr>
    </w:lvl>
    <w:lvl w:ilvl="6">
      <w:start w:val="1"/>
      <w:numFmt w:val="decimal"/>
      <w:lvlText w:val="%7."/>
      <w:lvlJc w:val="left"/>
      <w:pPr>
        <w:ind w:left="3677" w:hanging="480"/>
      </w:pPr>
    </w:lvl>
    <w:lvl w:ilvl="7">
      <w:start w:val="1"/>
      <w:numFmt w:val="ideographTraditional"/>
      <w:lvlText w:val="%8、"/>
      <w:lvlJc w:val="left"/>
      <w:pPr>
        <w:ind w:left="4157" w:hanging="480"/>
      </w:pPr>
    </w:lvl>
    <w:lvl w:ilvl="8">
      <w:start w:val="1"/>
      <w:numFmt w:val="lowerRoman"/>
      <w:lvlText w:val="%9."/>
      <w:lvlJc w:val="right"/>
      <w:pPr>
        <w:ind w:left="4637" w:hanging="480"/>
      </w:pPr>
    </w:lvl>
  </w:abstractNum>
  <w:abstractNum w:abstractNumId="197" w15:restartNumberingAfterBreak="0">
    <w:nsid w:val="684D12D5"/>
    <w:multiLevelType w:val="multilevel"/>
    <w:tmpl w:val="30D81F02"/>
    <w:lvl w:ilvl="0">
      <w:start w:val="1"/>
      <w:numFmt w:val="upperRoman"/>
      <w:lvlText w:val="%1."/>
      <w:lvlJc w:val="left"/>
      <w:pPr>
        <w:ind w:left="1188" w:hanging="480"/>
      </w:pPr>
    </w:lvl>
    <w:lvl w:ilvl="1">
      <w:start w:val="1"/>
      <w:numFmt w:val="ideographTradition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198" w15:restartNumberingAfterBreak="0">
    <w:nsid w:val="68677DCF"/>
    <w:multiLevelType w:val="multilevel"/>
    <w:tmpl w:val="8E50354C"/>
    <w:lvl w:ilvl="0">
      <w:start w:val="1"/>
      <w:numFmt w:val="decimal"/>
      <w:lvlText w:val="%1."/>
      <w:lvlJc w:val="left"/>
      <w:pPr>
        <w:ind w:left="797" w:hanging="480"/>
      </w:pPr>
      <w:rPr>
        <w:rFonts w:cs="Times New Roman"/>
      </w:rPr>
    </w:lvl>
    <w:lvl w:ilvl="1">
      <w:start w:val="1"/>
      <w:numFmt w:val="ideographTraditional"/>
      <w:lvlText w:val="%2、"/>
      <w:lvlJc w:val="left"/>
      <w:pPr>
        <w:ind w:left="514" w:hanging="480"/>
      </w:pPr>
    </w:lvl>
    <w:lvl w:ilvl="2">
      <w:start w:val="1"/>
      <w:numFmt w:val="lowerRoman"/>
      <w:lvlText w:val="%3."/>
      <w:lvlJc w:val="right"/>
      <w:pPr>
        <w:ind w:left="994" w:hanging="480"/>
      </w:pPr>
    </w:lvl>
    <w:lvl w:ilvl="3">
      <w:start w:val="1"/>
      <w:numFmt w:val="decimal"/>
      <w:lvlText w:val="%4."/>
      <w:lvlJc w:val="left"/>
      <w:pPr>
        <w:ind w:left="1474" w:hanging="480"/>
      </w:pPr>
    </w:lvl>
    <w:lvl w:ilvl="4">
      <w:start w:val="1"/>
      <w:numFmt w:val="ideographTraditional"/>
      <w:lvlText w:val="%5、"/>
      <w:lvlJc w:val="left"/>
      <w:pPr>
        <w:ind w:left="1954" w:hanging="480"/>
      </w:pPr>
    </w:lvl>
    <w:lvl w:ilvl="5">
      <w:start w:val="1"/>
      <w:numFmt w:val="lowerRoman"/>
      <w:lvlText w:val="%6."/>
      <w:lvlJc w:val="right"/>
      <w:pPr>
        <w:ind w:left="2434" w:hanging="480"/>
      </w:pPr>
    </w:lvl>
    <w:lvl w:ilvl="6">
      <w:start w:val="1"/>
      <w:numFmt w:val="decimal"/>
      <w:lvlText w:val="%7."/>
      <w:lvlJc w:val="left"/>
      <w:pPr>
        <w:ind w:left="2914" w:hanging="480"/>
      </w:pPr>
    </w:lvl>
    <w:lvl w:ilvl="7">
      <w:start w:val="1"/>
      <w:numFmt w:val="ideographTraditional"/>
      <w:lvlText w:val="%8、"/>
      <w:lvlJc w:val="left"/>
      <w:pPr>
        <w:ind w:left="3394" w:hanging="480"/>
      </w:pPr>
    </w:lvl>
    <w:lvl w:ilvl="8">
      <w:start w:val="1"/>
      <w:numFmt w:val="lowerRoman"/>
      <w:lvlText w:val="%9."/>
      <w:lvlJc w:val="right"/>
      <w:pPr>
        <w:ind w:left="3874" w:hanging="480"/>
      </w:pPr>
    </w:lvl>
  </w:abstractNum>
  <w:abstractNum w:abstractNumId="199" w15:restartNumberingAfterBreak="0">
    <w:nsid w:val="68CB0EA6"/>
    <w:multiLevelType w:val="multilevel"/>
    <w:tmpl w:val="9DB6BC4C"/>
    <w:lvl w:ilvl="0">
      <w:start w:val="1"/>
      <w:numFmt w:val="decimal"/>
      <w:lvlText w:val="(%1)"/>
      <w:lvlJc w:val="left"/>
      <w:pPr>
        <w:ind w:left="394" w:hanging="360"/>
      </w:pPr>
      <w:rPr>
        <w:rFonts w:ascii="標楷體" w:eastAsia="標楷體" w:hAnsi="標楷體"/>
      </w:r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200" w15:restartNumberingAfterBreak="0">
    <w:nsid w:val="68CC2B9B"/>
    <w:multiLevelType w:val="multilevel"/>
    <w:tmpl w:val="26E0C8A2"/>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1" w15:restartNumberingAfterBreak="0">
    <w:nsid w:val="68FE3151"/>
    <w:multiLevelType w:val="hybridMultilevel"/>
    <w:tmpl w:val="C3AAF8D0"/>
    <w:lvl w:ilvl="0" w:tplc="EAAEB12C">
      <w:start w:val="1"/>
      <w:numFmt w:val="decimal"/>
      <w:lvlText w:val="(%1)"/>
      <w:lvlJc w:val="left"/>
      <w:pPr>
        <w:ind w:left="1200" w:hanging="720"/>
      </w:pPr>
      <w:rPr>
        <w:rFonts w:hint="default"/>
        <w:u w:val="non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2" w15:restartNumberingAfterBreak="0">
    <w:nsid w:val="69650E06"/>
    <w:multiLevelType w:val="multilevel"/>
    <w:tmpl w:val="754E8D1C"/>
    <w:lvl w:ilvl="0">
      <w:start w:val="1"/>
      <w:numFmt w:val="decimal"/>
      <w:lvlText w:val="(%1)"/>
      <w:lvlJc w:val="left"/>
      <w:pPr>
        <w:ind w:left="1397" w:hanging="720"/>
      </w:pPr>
      <w:rPr>
        <w:u w:val="none"/>
      </w:r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203" w15:restartNumberingAfterBreak="0">
    <w:nsid w:val="69827A1A"/>
    <w:multiLevelType w:val="multilevel"/>
    <w:tmpl w:val="32F2C95C"/>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4" w15:restartNumberingAfterBreak="0">
    <w:nsid w:val="6A6207BD"/>
    <w:multiLevelType w:val="multilevel"/>
    <w:tmpl w:val="F7C29868"/>
    <w:lvl w:ilvl="0">
      <w:numFmt w:val="bullet"/>
      <w:lvlText w:val="□"/>
      <w:lvlJc w:val="left"/>
      <w:pPr>
        <w:ind w:left="1320" w:hanging="360"/>
      </w:pPr>
      <w:rPr>
        <w:rFonts w:ascii="標楷體" w:eastAsia="標楷體" w:hAnsi="標楷體"/>
      </w:rPr>
    </w:lvl>
    <w:lvl w:ilvl="1">
      <w:numFmt w:val="bullet"/>
      <w:lvlText w:val=""/>
      <w:lvlJc w:val="left"/>
      <w:pPr>
        <w:ind w:left="1920" w:hanging="480"/>
      </w:pPr>
      <w:rPr>
        <w:rFonts w:ascii="Wingdings" w:hAnsi="Wingdings" w:cs="Wingdings"/>
      </w:rPr>
    </w:lvl>
    <w:lvl w:ilvl="2">
      <w:numFmt w:val="bullet"/>
      <w:lvlText w:val=""/>
      <w:lvlJc w:val="left"/>
      <w:pPr>
        <w:ind w:left="2400" w:hanging="480"/>
      </w:pPr>
      <w:rPr>
        <w:rFonts w:ascii="Wingdings" w:hAnsi="Wingdings" w:cs="Wingdings"/>
      </w:rPr>
    </w:lvl>
    <w:lvl w:ilvl="3">
      <w:numFmt w:val="bullet"/>
      <w:lvlText w:val=""/>
      <w:lvlJc w:val="left"/>
      <w:pPr>
        <w:ind w:left="2880" w:hanging="480"/>
      </w:pPr>
      <w:rPr>
        <w:rFonts w:ascii="Wingdings" w:hAnsi="Wingdings" w:cs="Wingdings"/>
      </w:rPr>
    </w:lvl>
    <w:lvl w:ilvl="4">
      <w:numFmt w:val="bullet"/>
      <w:lvlText w:val=""/>
      <w:lvlJc w:val="left"/>
      <w:pPr>
        <w:ind w:left="3360" w:hanging="480"/>
      </w:pPr>
      <w:rPr>
        <w:rFonts w:ascii="Wingdings" w:hAnsi="Wingdings" w:cs="Wingdings"/>
      </w:rPr>
    </w:lvl>
    <w:lvl w:ilvl="5">
      <w:numFmt w:val="bullet"/>
      <w:lvlText w:val=""/>
      <w:lvlJc w:val="left"/>
      <w:pPr>
        <w:ind w:left="3840" w:hanging="480"/>
      </w:pPr>
      <w:rPr>
        <w:rFonts w:ascii="Wingdings" w:hAnsi="Wingdings" w:cs="Wingdings"/>
      </w:rPr>
    </w:lvl>
    <w:lvl w:ilvl="6">
      <w:numFmt w:val="bullet"/>
      <w:lvlText w:val=""/>
      <w:lvlJc w:val="left"/>
      <w:pPr>
        <w:ind w:left="4320" w:hanging="480"/>
      </w:pPr>
      <w:rPr>
        <w:rFonts w:ascii="Wingdings" w:hAnsi="Wingdings" w:cs="Wingdings"/>
      </w:rPr>
    </w:lvl>
    <w:lvl w:ilvl="7">
      <w:numFmt w:val="bullet"/>
      <w:lvlText w:val=""/>
      <w:lvlJc w:val="left"/>
      <w:pPr>
        <w:ind w:left="4800" w:hanging="480"/>
      </w:pPr>
      <w:rPr>
        <w:rFonts w:ascii="Wingdings" w:hAnsi="Wingdings" w:cs="Wingdings"/>
      </w:rPr>
    </w:lvl>
    <w:lvl w:ilvl="8">
      <w:numFmt w:val="bullet"/>
      <w:lvlText w:val=""/>
      <w:lvlJc w:val="left"/>
      <w:pPr>
        <w:ind w:left="5280" w:hanging="480"/>
      </w:pPr>
      <w:rPr>
        <w:rFonts w:ascii="Wingdings" w:hAnsi="Wingdings" w:cs="Wingdings"/>
      </w:rPr>
    </w:lvl>
  </w:abstractNum>
  <w:abstractNum w:abstractNumId="205" w15:restartNumberingAfterBreak="0">
    <w:nsid w:val="6A686CA3"/>
    <w:multiLevelType w:val="multilevel"/>
    <w:tmpl w:val="E194908E"/>
    <w:lvl w:ilvl="0">
      <w:numFmt w:val="bullet"/>
      <w:lvlText w:val=""/>
      <w:lvlJc w:val="left"/>
      <w:pPr>
        <w:ind w:left="480" w:hanging="480"/>
      </w:pPr>
      <w:rPr>
        <w:rFonts w:ascii="Wingdings" w:hAnsi="Wingdings"/>
      </w:rPr>
    </w:lvl>
    <w:lvl w:ilvl="1">
      <w:start w:val="2"/>
      <w:numFmt w:val="decimal"/>
      <w:lvlText w:val="%2."/>
      <w:lvlJc w:val="left"/>
      <w:pPr>
        <w:ind w:left="960" w:hanging="480"/>
      </w:p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206" w15:restartNumberingAfterBreak="0">
    <w:nsid w:val="6BC2340F"/>
    <w:multiLevelType w:val="multilevel"/>
    <w:tmpl w:val="AD9EF1F4"/>
    <w:lvl w:ilvl="0">
      <w:start w:val="1"/>
      <w:numFmt w:val="decimal"/>
      <w:lvlText w:val="%1."/>
      <w:lvlJc w:val="left"/>
      <w:pPr>
        <w:ind w:left="1361" w:hanging="598"/>
      </w:pPr>
      <w:rPr>
        <w:rFonts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7" w15:restartNumberingAfterBreak="0">
    <w:nsid w:val="6BDD581D"/>
    <w:multiLevelType w:val="multilevel"/>
    <w:tmpl w:val="44E223D2"/>
    <w:lvl w:ilvl="0">
      <w:start w:val="1"/>
      <w:numFmt w:val="upperLetter"/>
      <w:lvlText w:val="%1."/>
      <w:lvlJc w:val="left"/>
      <w:pPr>
        <w:ind w:left="394" w:hanging="360"/>
      </w:pPr>
      <w:rPr>
        <w:rFonts w:ascii="Times New Roman" w:hAnsi="Times New Roman" w:cs="Times New Roman"/>
        <w:u w:val="none"/>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abstractNum w:abstractNumId="208" w15:restartNumberingAfterBreak="0">
    <w:nsid w:val="6C1B091D"/>
    <w:multiLevelType w:val="multilevel"/>
    <w:tmpl w:val="B98237E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9" w15:restartNumberingAfterBreak="0">
    <w:nsid w:val="6C9C5851"/>
    <w:multiLevelType w:val="multilevel"/>
    <w:tmpl w:val="E912F670"/>
    <w:styleLink w:val="LFO7"/>
    <w:lvl w:ilvl="0">
      <w:start w:val="1"/>
      <w:numFmt w:val="decimal"/>
      <w:pStyle w:val="05cm75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10" w15:restartNumberingAfterBreak="0">
    <w:nsid w:val="6D180157"/>
    <w:multiLevelType w:val="hybridMultilevel"/>
    <w:tmpl w:val="4D9A5BAC"/>
    <w:lvl w:ilvl="0" w:tplc="FFFFFFFF">
      <w:start w:val="1"/>
      <w:numFmt w:val="decimal"/>
      <w:lvlText w:val="%1."/>
      <w:lvlJc w:val="left"/>
      <w:pPr>
        <w:ind w:left="480" w:hanging="480"/>
      </w:pPr>
    </w:lvl>
    <w:lvl w:ilvl="1" w:tplc="8722A386">
      <w:start w:val="1"/>
      <w:numFmt w:val="decimal"/>
      <w:suff w:val="nothing"/>
      <w:lvlText w:val="(%2)"/>
      <w:lvlJc w:val="left"/>
      <w:pPr>
        <w:ind w:left="960" w:hanging="480"/>
      </w:pPr>
      <w:rPr>
        <w:rFonts w:hint="eastAsia"/>
        <w:strike w:val="0"/>
        <w:dstrike w:val="0"/>
        <w:u w:val="none"/>
        <w:effect w:val="none"/>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211" w15:restartNumberingAfterBreak="0">
    <w:nsid w:val="6EA2039E"/>
    <w:multiLevelType w:val="multilevel"/>
    <w:tmpl w:val="E7A0A7DE"/>
    <w:lvl w:ilvl="0">
      <w:start w:val="1"/>
      <w:numFmt w:val="decimal"/>
      <w:lvlText w:val="%1."/>
      <w:lvlJc w:val="left"/>
      <w:pPr>
        <w:ind w:left="192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2" w15:restartNumberingAfterBreak="0">
    <w:nsid w:val="6ED82C74"/>
    <w:multiLevelType w:val="multilevel"/>
    <w:tmpl w:val="3BF8E4D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3" w15:restartNumberingAfterBreak="0">
    <w:nsid w:val="6F3D4EC8"/>
    <w:multiLevelType w:val="multilevel"/>
    <w:tmpl w:val="44A4B4EA"/>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upperRoman"/>
      <w:lvlText w:val="%3."/>
      <w:lvlJc w:val="left"/>
      <w:pPr>
        <w:ind w:left="1584" w:hanging="792"/>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4" w15:restartNumberingAfterBreak="0">
    <w:nsid w:val="72FA1FA5"/>
    <w:multiLevelType w:val="multilevel"/>
    <w:tmpl w:val="6AB2A810"/>
    <w:styleLink w:val="LFO1"/>
    <w:lvl w:ilvl="0">
      <w:start w:val="1"/>
      <w:numFmt w:val="decimal"/>
      <w:pStyle w:val="a"/>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rPr>
        <w:rFonts w:ascii="標楷體" w:eastAsia="標楷體" w:hAnsi="標楷體"/>
        <w:sz w:val="28"/>
        <w:szCs w:val="28"/>
      </w:r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15" w15:restartNumberingAfterBreak="0">
    <w:nsid w:val="734C0559"/>
    <w:multiLevelType w:val="multilevel"/>
    <w:tmpl w:val="D040A35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6" w15:restartNumberingAfterBreak="0">
    <w:nsid w:val="73710318"/>
    <w:multiLevelType w:val="multilevel"/>
    <w:tmpl w:val="B12A0DF4"/>
    <w:lvl w:ilvl="0">
      <w:start w:val="1"/>
      <w:numFmt w:val="decimal"/>
      <w:lvlText w:val="(%1)"/>
      <w:lvlJc w:val="left"/>
      <w:pPr>
        <w:ind w:left="2055"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7" w15:restartNumberingAfterBreak="0">
    <w:nsid w:val="76450208"/>
    <w:multiLevelType w:val="multilevel"/>
    <w:tmpl w:val="2C88AC8E"/>
    <w:lvl w:ilvl="0">
      <w:start w:val="1"/>
      <w:numFmt w:val="decimal"/>
      <w:lvlText w:val="%1."/>
      <w:lvlJc w:val="left"/>
      <w:pPr>
        <w:ind w:left="764" w:hanging="360"/>
      </w:pPr>
    </w:lvl>
    <w:lvl w:ilvl="1">
      <w:start w:val="1"/>
      <w:numFmt w:val="ideographTraditional"/>
      <w:lvlText w:val="%2、"/>
      <w:lvlJc w:val="left"/>
      <w:pPr>
        <w:ind w:left="1124" w:hanging="480"/>
      </w:pPr>
    </w:lvl>
    <w:lvl w:ilvl="2">
      <w:start w:val="1"/>
      <w:numFmt w:val="lowerRoman"/>
      <w:lvlText w:val="%3."/>
      <w:lvlJc w:val="right"/>
      <w:pPr>
        <w:ind w:left="1604" w:hanging="480"/>
      </w:pPr>
    </w:lvl>
    <w:lvl w:ilvl="3">
      <w:start w:val="1"/>
      <w:numFmt w:val="decimal"/>
      <w:lvlText w:val="%4."/>
      <w:lvlJc w:val="left"/>
      <w:pPr>
        <w:ind w:left="2084" w:hanging="480"/>
      </w:pPr>
    </w:lvl>
    <w:lvl w:ilvl="4">
      <w:start w:val="1"/>
      <w:numFmt w:val="ideographTraditional"/>
      <w:lvlText w:val="%5、"/>
      <w:lvlJc w:val="left"/>
      <w:pPr>
        <w:ind w:left="2564" w:hanging="480"/>
      </w:pPr>
    </w:lvl>
    <w:lvl w:ilvl="5">
      <w:start w:val="1"/>
      <w:numFmt w:val="lowerRoman"/>
      <w:lvlText w:val="%6."/>
      <w:lvlJc w:val="right"/>
      <w:pPr>
        <w:ind w:left="3044" w:hanging="480"/>
      </w:pPr>
    </w:lvl>
    <w:lvl w:ilvl="6">
      <w:start w:val="1"/>
      <w:numFmt w:val="decimal"/>
      <w:lvlText w:val="%7."/>
      <w:lvlJc w:val="left"/>
      <w:pPr>
        <w:ind w:left="3524" w:hanging="480"/>
      </w:pPr>
    </w:lvl>
    <w:lvl w:ilvl="7">
      <w:start w:val="1"/>
      <w:numFmt w:val="ideographTraditional"/>
      <w:lvlText w:val="%8、"/>
      <w:lvlJc w:val="left"/>
      <w:pPr>
        <w:ind w:left="4004" w:hanging="480"/>
      </w:pPr>
    </w:lvl>
    <w:lvl w:ilvl="8">
      <w:start w:val="1"/>
      <w:numFmt w:val="lowerRoman"/>
      <w:lvlText w:val="%9."/>
      <w:lvlJc w:val="right"/>
      <w:pPr>
        <w:ind w:left="4484" w:hanging="480"/>
      </w:pPr>
    </w:lvl>
  </w:abstractNum>
  <w:abstractNum w:abstractNumId="218" w15:restartNumberingAfterBreak="0">
    <w:nsid w:val="772B7E1F"/>
    <w:multiLevelType w:val="hybridMultilevel"/>
    <w:tmpl w:val="94F89468"/>
    <w:lvl w:ilvl="0" w:tplc="4C4C7C50">
      <w:start w:val="1"/>
      <w:numFmt w:val="decimal"/>
      <w:lvlText w:val="%1."/>
      <w:lvlJc w:val="left"/>
      <w:pPr>
        <w:ind w:left="1757" w:hanging="480"/>
      </w:pPr>
      <w:rPr>
        <w:rFonts w:ascii="標楷體" w:eastAsia="標楷體" w:hAnsi="標楷體" w:hint="eastAsia"/>
        <w:b w:val="0"/>
        <w:color w:val="auto"/>
        <w:u w:val="none"/>
      </w:rPr>
    </w:lvl>
    <w:lvl w:ilvl="1" w:tplc="CA2CB872">
      <w:start w:val="1"/>
      <w:numFmt w:val="decimal"/>
      <w:lvlText w:val="(%2)"/>
      <w:lvlJc w:val="left"/>
      <w:pPr>
        <w:ind w:left="1200" w:hanging="720"/>
      </w:pPr>
      <w:rPr>
        <w:rFonts w:ascii="標楷體" w:eastAsia="標楷體" w:hAnsi="標楷體" w:hint="default"/>
        <w:color w:val="000000"/>
        <w:u w:val="none"/>
      </w:rPr>
    </w:lvl>
    <w:lvl w:ilvl="2" w:tplc="C75005F6">
      <w:start w:val="1"/>
      <w:numFmt w:val="upperRoman"/>
      <w:lvlText w:val="%3."/>
      <w:lvlJc w:val="left"/>
      <w:pPr>
        <w:ind w:left="1440" w:hanging="480"/>
      </w:pPr>
      <w:rPr>
        <w:rFonts w:ascii="標楷體" w:eastAsia="標楷體" w:hAnsi="標楷體" w:hint="eastAsia"/>
        <w:u w:val="none"/>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9" w15:restartNumberingAfterBreak="0">
    <w:nsid w:val="77AD7BB7"/>
    <w:multiLevelType w:val="multilevel"/>
    <w:tmpl w:val="C47EA59C"/>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0" w15:restartNumberingAfterBreak="0">
    <w:nsid w:val="78163A72"/>
    <w:multiLevelType w:val="multilevel"/>
    <w:tmpl w:val="D1A2F432"/>
    <w:styleLink w:val="LFO8"/>
    <w:lvl w:ilvl="0">
      <w:start w:val="1"/>
      <w:numFmt w:val="decimal"/>
      <w:pStyle w:val="a0"/>
      <w:lvlText w:val="（%1）"/>
      <w:lvlJc w:val="left"/>
      <w:pPr>
        <w:ind w:left="1200" w:hanging="720"/>
      </w:pPr>
      <w:rPr>
        <w:lang w:val="en-US"/>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221" w15:restartNumberingAfterBreak="0">
    <w:nsid w:val="79730048"/>
    <w:multiLevelType w:val="multilevel"/>
    <w:tmpl w:val="14C427F8"/>
    <w:lvl w:ilvl="0">
      <w:numFmt w:val="bullet"/>
      <w:lvlText w:val="◎"/>
      <w:lvlJc w:val="left"/>
      <w:pPr>
        <w:ind w:left="360" w:hanging="360"/>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2" w15:restartNumberingAfterBreak="0">
    <w:nsid w:val="79A637C2"/>
    <w:multiLevelType w:val="hybridMultilevel"/>
    <w:tmpl w:val="29620E5A"/>
    <w:lvl w:ilvl="0" w:tplc="764EEFD4">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3" w15:restartNumberingAfterBreak="0">
    <w:nsid w:val="79AE4C0F"/>
    <w:multiLevelType w:val="multilevel"/>
    <w:tmpl w:val="5C6ADF9E"/>
    <w:lvl w:ilvl="0">
      <w:numFmt w:val="bullet"/>
      <w:lvlText w:val="□"/>
      <w:lvlJc w:val="left"/>
      <w:pPr>
        <w:ind w:left="480" w:hanging="480"/>
      </w:pPr>
      <w:rPr>
        <w:rFonts w:ascii="標楷體" w:eastAsia="標楷體" w:hAnsi="標楷體"/>
        <w:sz w:val="28"/>
        <w:szCs w:val="2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4" w15:restartNumberingAfterBreak="0">
    <w:nsid w:val="7B664D24"/>
    <w:multiLevelType w:val="multilevel"/>
    <w:tmpl w:val="63C8480C"/>
    <w:lvl w:ilvl="0">
      <w:numFmt w:val="bullet"/>
      <w:lvlText w:val="□"/>
      <w:lvlJc w:val="left"/>
      <w:pPr>
        <w:ind w:left="720" w:hanging="360"/>
      </w:pPr>
      <w:rPr>
        <w:rFonts w:ascii="標楷體" w:eastAsia="標楷體" w:hAnsi="標楷體"/>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5" w15:restartNumberingAfterBreak="0">
    <w:nsid w:val="7C3966AE"/>
    <w:multiLevelType w:val="multilevel"/>
    <w:tmpl w:val="6EAE8ACE"/>
    <w:lvl w:ilvl="0">
      <w:start w:val="1"/>
      <w:numFmt w:val="upperRoman"/>
      <w:suff w:val="nothing"/>
      <w:lvlText w:val="%1."/>
      <w:lvlJc w:val="left"/>
      <w:pPr>
        <w:ind w:left="1228" w:hanging="480"/>
      </w:pPr>
      <w:rPr>
        <w:rFonts w:ascii="標楷體" w:eastAsia="標楷體" w:hAnsi="標楷體" w:hint="eastAsia"/>
        <w:b w:val="0"/>
        <w:sz w:val="24"/>
        <w:szCs w:val="24"/>
      </w:rPr>
    </w:lvl>
    <w:lvl w:ilvl="1">
      <w:start w:val="1"/>
      <w:numFmt w:val="ideographTraditional"/>
      <w:lvlText w:val="、"/>
      <w:lvlJc w:val="left"/>
      <w:pPr>
        <w:ind w:left="1708" w:hanging="480"/>
      </w:pPr>
      <w:rPr>
        <w:rFonts w:hint="eastAsia"/>
      </w:rPr>
    </w:lvl>
    <w:lvl w:ilvl="2">
      <w:start w:val="1"/>
      <w:numFmt w:val="lowerRoman"/>
      <w:lvlText w:val="."/>
      <w:lvlJc w:val="right"/>
      <w:pPr>
        <w:ind w:left="2188" w:hanging="480"/>
      </w:pPr>
      <w:rPr>
        <w:rFonts w:hint="eastAsia"/>
      </w:rPr>
    </w:lvl>
    <w:lvl w:ilvl="3">
      <w:start w:val="1"/>
      <w:numFmt w:val="decimal"/>
      <w:lvlText w:val="."/>
      <w:lvlJc w:val="left"/>
      <w:pPr>
        <w:ind w:left="2668" w:hanging="480"/>
      </w:pPr>
      <w:rPr>
        <w:rFonts w:hint="eastAsia"/>
      </w:rPr>
    </w:lvl>
    <w:lvl w:ilvl="4">
      <w:start w:val="1"/>
      <w:numFmt w:val="ideographTraditional"/>
      <w:lvlText w:val="、"/>
      <w:lvlJc w:val="left"/>
      <w:pPr>
        <w:ind w:left="3148" w:hanging="480"/>
      </w:pPr>
      <w:rPr>
        <w:rFonts w:hint="eastAsia"/>
      </w:rPr>
    </w:lvl>
    <w:lvl w:ilvl="5">
      <w:start w:val="1"/>
      <w:numFmt w:val="lowerRoman"/>
      <w:lvlText w:val="."/>
      <w:lvlJc w:val="right"/>
      <w:pPr>
        <w:ind w:left="3628" w:hanging="480"/>
      </w:pPr>
      <w:rPr>
        <w:rFonts w:hint="eastAsia"/>
      </w:rPr>
    </w:lvl>
    <w:lvl w:ilvl="6">
      <w:start w:val="1"/>
      <w:numFmt w:val="decimal"/>
      <w:lvlText w:val="."/>
      <w:lvlJc w:val="left"/>
      <w:pPr>
        <w:ind w:left="4108" w:hanging="480"/>
      </w:pPr>
      <w:rPr>
        <w:rFonts w:hint="eastAsia"/>
      </w:rPr>
    </w:lvl>
    <w:lvl w:ilvl="7">
      <w:start w:val="1"/>
      <w:numFmt w:val="ideographTraditional"/>
      <w:lvlText w:val="、"/>
      <w:lvlJc w:val="left"/>
      <w:pPr>
        <w:ind w:left="4588" w:hanging="480"/>
      </w:pPr>
      <w:rPr>
        <w:rFonts w:hint="eastAsia"/>
      </w:rPr>
    </w:lvl>
    <w:lvl w:ilvl="8">
      <w:start w:val="1"/>
      <w:numFmt w:val="lowerRoman"/>
      <w:lvlText w:val="."/>
      <w:lvlJc w:val="right"/>
      <w:pPr>
        <w:ind w:left="5068" w:hanging="480"/>
      </w:pPr>
      <w:rPr>
        <w:rFonts w:hint="eastAsia"/>
      </w:rPr>
    </w:lvl>
  </w:abstractNum>
  <w:abstractNum w:abstractNumId="226" w15:restartNumberingAfterBreak="0">
    <w:nsid w:val="7CB0491F"/>
    <w:multiLevelType w:val="hybridMultilevel"/>
    <w:tmpl w:val="33FA5AE0"/>
    <w:lvl w:ilvl="0" w:tplc="A3DA6C72">
      <w:start w:val="1"/>
      <w:numFmt w:val="decimal"/>
      <w:lvlText w:val="%1."/>
      <w:lvlJc w:val="left"/>
      <w:pPr>
        <w:ind w:left="480" w:hanging="480"/>
      </w:pPr>
      <w:rPr>
        <w:rFonts w:ascii="標楷體" w:eastAsia="標楷體" w:hAnsi="標楷體"/>
        <w:sz w:val="24"/>
        <w:szCs w:val="24"/>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27" w15:restartNumberingAfterBreak="0">
    <w:nsid w:val="7D2C4D82"/>
    <w:multiLevelType w:val="multilevel"/>
    <w:tmpl w:val="80A6C0A2"/>
    <w:lvl w:ilvl="0">
      <w:start w:val="1"/>
      <w:numFmt w:val="upperRoman"/>
      <w:lvlText w:val="%1."/>
      <w:lvlJc w:val="left"/>
      <w:pPr>
        <w:ind w:left="1526" w:hanging="480"/>
      </w:pPr>
      <w:rPr>
        <w:u w:val="none"/>
      </w:rPr>
    </w:lvl>
    <w:lvl w:ilvl="1">
      <w:start w:val="1"/>
      <w:numFmt w:val="ideographTraditional"/>
      <w:lvlText w:val="%2、"/>
      <w:lvlJc w:val="left"/>
      <w:pPr>
        <w:ind w:left="2006" w:hanging="480"/>
      </w:pPr>
    </w:lvl>
    <w:lvl w:ilvl="2">
      <w:start w:val="1"/>
      <w:numFmt w:val="lowerRoman"/>
      <w:lvlText w:val="%3."/>
      <w:lvlJc w:val="right"/>
      <w:pPr>
        <w:ind w:left="2486" w:hanging="480"/>
      </w:pPr>
    </w:lvl>
    <w:lvl w:ilvl="3">
      <w:start w:val="1"/>
      <w:numFmt w:val="decimal"/>
      <w:lvlText w:val="%4."/>
      <w:lvlJc w:val="left"/>
      <w:pPr>
        <w:ind w:left="2966" w:hanging="480"/>
      </w:pPr>
    </w:lvl>
    <w:lvl w:ilvl="4">
      <w:start w:val="1"/>
      <w:numFmt w:val="ideographTraditional"/>
      <w:lvlText w:val="%5、"/>
      <w:lvlJc w:val="left"/>
      <w:pPr>
        <w:ind w:left="3446" w:hanging="480"/>
      </w:pPr>
    </w:lvl>
    <w:lvl w:ilvl="5">
      <w:start w:val="1"/>
      <w:numFmt w:val="lowerRoman"/>
      <w:lvlText w:val="%6."/>
      <w:lvlJc w:val="right"/>
      <w:pPr>
        <w:ind w:left="3926" w:hanging="480"/>
      </w:pPr>
    </w:lvl>
    <w:lvl w:ilvl="6">
      <w:start w:val="1"/>
      <w:numFmt w:val="decimal"/>
      <w:lvlText w:val="%7."/>
      <w:lvlJc w:val="left"/>
      <w:pPr>
        <w:ind w:left="4406" w:hanging="480"/>
      </w:pPr>
    </w:lvl>
    <w:lvl w:ilvl="7">
      <w:start w:val="1"/>
      <w:numFmt w:val="ideographTraditional"/>
      <w:lvlText w:val="%8、"/>
      <w:lvlJc w:val="left"/>
      <w:pPr>
        <w:ind w:left="4886" w:hanging="480"/>
      </w:pPr>
    </w:lvl>
    <w:lvl w:ilvl="8">
      <w:start w:val="1"/>
      <w:numFmt w:val="lowerRoman"/>
      <w:lvlText w:val="%9."/>
      <w:lvlJc w:val="right"/>
      <w:pPr>
        <w:ind w:left="5366" w:hanging="480"/>
      </w:pPr>
    </w:lvl>
  </w:abstractNum>
  <w:abstractNum w:abstractNumId="228" w15:restartNumberingAfterBreak="0">
    <w:nsid w:val="7F151F18"/>
    <w:multiLevelType w:val="multilevel"/>
    <w:tmpl w:val="12CC9632"/>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229" w15:restartNumberingAfterBreak="0">
    <w:nsid w:val="7FA10E38"/>
    <w:multiLevelType w:val="multilevel"/>
    <w:tmpl w:val="718A3FB0"/>
    <w:lvl w:ilvl="0">
      <w:start w:val="1"/>
      <w:numFmt w:val="taiwaneseCountingThousand"/>
      <w:lvlText w:val="(%1)"/>
      <w:lvlJc w:val="left"/>
      <w:pPr>
        <w:ind w:left="790" w:hanging="480"/>
      </w:pPr>
      <w:rPr>
        <w:rFonts w:eastAsia="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616327126">
    <w:abstractNumId w:val="142"/>
  </w:num>
  <w:num w:numId="2" w16cid:durableId="1130632714">
    <w:abstractNumId w:val="44"/>
  </w:num>
  <w:num w:numId="3" w16cid:durableId="715738449">
    <w:abstractNumId w:val="85"/>
  </w:num>
  <w:num w:numId="4" w16cid:durableId="597450874">
    <w:abstractNumId w:val="190"/>
  </w:num>
  <w:num w:numId="5" w16cid:durableId="90441476">
    <w:abstractNumId w:val="214"/>
  </w:num>
  <w:num w:numId="6" w16cid:durableId="1716195437">
    <w:abstractNumId w:val="220"/>
  </w:num>
  <w:num w:numId="7" w16cid:durableId="1077826884">
    <w:abstractNumId w:val="209"/>
  </w:num>
  <w:num w:numId="8" w16cid:durableId="1378897810">
    <w:abstractNumId w:val="180"/>
  </w:num>
  <w:num w:numId="9" w16cid:durableId="1036353369">
    <w:abstractNumId w:val="197"/>
  </w:num>
  <w:num w:numId="10" w16cid:durableId="97675573">
    <w:abstractNumId w:val="93"/>
  </w:num>
  <w:num w:numId="11" w16cid:durableId="2052612015">
    <w:abstractNumId w:val="150"/>
  </w:num>
  <w:num w:numId="12" w16cid:durableId="1074277020">
    <w:abstractNumId w:val="196"/>
  </w:num>
  <w:num w:numId="13" w16cid:durableId="1330790813">
    <w:abstractNumId w:val="176"/>
  </w:num>
  <w:num w:numId="14" w16cid:durableId="303126051">
    <w:abstractNumId w:val="113"/>
  </w:num>
  <w:num w:numId="15" w16cid:durableId="803162475">
    <w:abstractNumId w:val="158"/>
  </w:num>
  <w:num w:numId="16" w16cid:durableId="1974485409">
    <w:abstractNumId w:val="227"/>
  </w:num>
  <w:num w:numId="17" w16cid:durableId="1253516232">
    <w:abstractNumId w:val="30"/>
  </w:num>
  <w:num w:numId="18" w16cid:durableId="621696149">
    <w:abstractNumId w:val="40"/>
  </w:num>
  <w:num w:numId="19" w16cid:durableId="943071384">
    <w:abstractNumId w:val="4"/>
  </w:num>
  <w:num w:numId="20" w16cid:durableId="1708992880">
    <w:abstractNumId w:val="154"/>
  </w:num>
  <w:num w:numId="21" w16cid:durableId="1235698801">
    <w:abstractNumId w:val="38"/>
  </w:num>
  <w:num w:numId="22" w16cid:durableId="1148518621">
    <w:abstractNumId w:val="35"/>
  </w:num>
  <w:num w:numId="23" w16cid:durableId="514275094">
    <w:abstractNumId w:val="95"/>
  </w:num>
  <w:num w:numId="24" w16cid:durableId="834342514">
    <w:abstractNumId w:val="46"/>
  </w:num>
  <w:num w:numId="25" w16cid:durableId="187374761">
    <w:abstractNumId w:val="53"/>
  </w:num>
  <w:num w:numId="26" w16cid:durableId="1286037881">
    <w:abstractNumId w:val="66"/>
  </w:num>
  <w:num w:numId="27" w16cid:durableId="246111175">
    <w:abstractNumId w:val="80"/>
  </w:num>
  <w:num w:numId="28" w16cid:durableId="313607874">
    <w:abstractNumId w:val="123"/>
  </w:num>
  <w:num w:numId="29" w16cid:durableId="1409688987">
    <w:abstractNumId w:val="217"/>
  </w:num>
  <w:num w:numId="30" w16cid:durableId="1647120859">
    <w:abstractNumId w:val="54"/>
  </w:num>
  <w:num w:numId="31" w16cid:durableId="195389335">
    <w:abstractNumId w:val="74"/>
  </w:num>
  <w:num w:numId="32" w16cid:durableId="1124926366">
    <w:abstractNumId w:val="174"/>
  </w:num>
  <w:num w:numId="33" w16cid:durableId="1836141988">
    <w:abstractNumId w:val="202"/>
  </w:num>
  <w:num w:numId="34" w16cid:durableId="2133748354">
    <w:abstractNumId w:val="132"/>
  </w:num>
  <w:num w:numId="35" w16cid:durableId="732511812">
    <w:abstractNumId w:val="13"/>
  </w:num>
  <w:num w:numId="36" w16cid:durableId="1106196566">
    <w:abstractNumId w:val="19"/>
  </w:num>
  <w:num w:numId="37" w16cid:durableId="1783912700">
    <w:abstractNumId w:val="91"/>
  </w:num>
  <w:num w:numId="38" w16cid:durableId="755324101">
    <w:abstractNumId w:val="5"/>
  </w:num>
  <w:num w:numId="39" w16cid:durableId="1361668840">
    <w:abstractNumId w:val="103"/>
  </w:num>
  <w:num w:numId="40" w16cid:durableId="1422096241">
    <w:abstractNumId w:val="164"/>
  </w:num>
  <w:num w:numId="41" w16cid:durableId="1840652551">
    <w:abstractNumId w:val="181"/>
  </w:num>
  <w:num w:numId="42" w16cid:durableId="2084837697">
    <w:abstractNumId w:val="56"/>
  </w:num>
  <w:num w:numId="43" w16cid:durableId="376857429">
    <w:abstractNumId w:val="8"/>
  </w:num>
  <w:num w:numId="44" w16cid:durableId="1277713072">
    <w:abstractNumId w:val="10"/>
  </w:num>
  <w:num w:numId="45" w16cid:durableId="487746235">
    <w:abstractNumId w:val="23"/>
  </w:num>
  <w:num w:numId="46" w16cid:durableId="1055272877">
    <w:abstractNumId w:val="63"/>
  </w:num>
  <w:num w:numId="47" w16cid:durableId="875311923">
    <w:abstractNumId w:val="59"/>
  </w:num>
  <w:num w:numId="48" w16cid:durableId="439692383">
    <w:abstractNumId w:val="130"/>
  </w:num>
  <w:num w:numId="49" w16cid:durableId="1499464287">
    <w:abstractNumId w:val="89"/>
  </w:num>
  <w:num w:numId="50" w16cid:durableId="106043814">
    <w:abstractNumId w:val="221"/>
  </w:num>
  <w:num w:numId="51" w16cid:durableId="1883981341">
    <w:abstractNumId w:val="20"/>
  </w:num>
  <w:num w:numId="52" w16cid:durableId="1364332637">
    <w:abstractNumId w:val="129"/>
  </w:num>
  <w:num w:numId="53" w16cid:durableId="1260914045">
    <w:abstractNumId w:val="110"/>
  </w:num>
  <w:num w:numId="54" w16cid:durableId="1774859670">
    <w:abstractNumId w:val="133"/>
  </w:num>
  <w:num w:numId="55" w16cid:durableId="1558277088">
    <w:abstractNumId w:val="163"/>
  </w:num>
  <w:num w:numId="56" w16cid:durableId="1617832631">
    <w:abstractNumId w:val="128"/>
  </w:num>
  <w:num w:numId="57" w16cid:durableId="1229461351">
    <w:abstractNumId w:val="186"/>
  </w:num>
  <w:num w:numId="58" w16cid:durableId="1401053714">
    <w:abstractNumId w:val="215"/>
  </w:num>
  <w:num w:numId="59" w16cid:durableId="393815073">
    <w:abstractNumId w:val="194"/>
  </w:num>
  <w:num w:numId="60" w16cid:durableId="1771973329">
    <w:abstractNumId w:val="200"/>
  </w:num>
  <w:num w:numId="61" w16cid:durableId="1583488973">
    <w:abstractNumId w:val="102"/>
  </w:num>
  <w:num w:numId="62" w16cid:durableId="1484346645">
    <w:abstractNumId w:val="96"/>
  </w:num>
  <w:num w:numId="63" w16cid:durableId="1434934883">
    <w:abstractNumId w:val="1"/>
  </w:num>
  <w:num w:numId="64" w16cid:durableId="1515411969">
    <w:abstractNumId w:val="149"/>
  </w:num>
  <w:num w:numId="65" w16cid:durableId="896086021">
    <w:abstractNumId w:val="134"/>
  </w:num>
  <w:num w:numId="66" w16cid:durableId="645400681">
    <w:abstractNumId w:val="127"/>
  </w:num>
  <w:num w:numId="67" w16cid:durableId="941032254">
    <w:abstractNumId w:val="109"/>
  </w:num>
  <w:num w:numId="68" w16cid:durableId="206836290">
    <w:abstractNumId w:val="27"/>
  </w:num>
  <w:num w:numId="69" w16cid:durableId="931622634">
    <w:abstractNumId w:val="208"/>
  </w:num>
  <w:num w:numId="70" w16cid:durableId="647788781">
    <w:abstractNumId w:val="43"/>
  </w:num>
  <w:num w:numId="71" w16cid:durableId="453521479">
    <w:abstractNumId w:val="101"/>
  </w:num>
  <w:num w:numId="72" w16cid:durableId="852190500">
    <w:abstractNumId w:val="82"/>
  </w:num>
  <w:num w:numId="73" w16cid:durableId="229003092">
    <w:abstractNumId w:val="219"/>
  </w:num>
  <w:num w:numId="74" w16cid:durableId="1703096333">
    <w:abstractNumId w:val="203"/>
  </w:num>
  <w:num w:numId="75" w16cid:durableId="1130781917">
    <w:abstractNumId w:val="100"/>
  </w:num>
  <w:num w:numId="76" w16cid:durableId="1727219851">
    <w:abstractNumId w:val="9"/>
  </w:num>
  <w:num w:numId="77" w16cid:durableId="1666127758">
    <w:abstractNumId w:val="156"/>
  </w:num>
  <w:num w:numId="78" w16cid:durableId="1760443431">
    <w:abstractNumId w:val="223"/>
  </w:num>
  <w:num w:numId="79" w16cid:durableId="749624738">
    <w:abstractNumId w:val="94"/>
  </w:num>
  <w:num w:numId="80" w16cid:durableId="761411923">
    <w:abstractNumId w:val="67"/>
  </w:num>
  <w:num w:numId="81" w16cid:durableId="1414008196">
    <w:abstractNumId w:val="204"/>
  </w:num>
  <w:num w:numId="82" w16cid:durableId="1028720020">
    <w:abstractNumId w:val="122"/>
  </w:num>
  <w:num w:numId="83" w16cid:durableId="1932858715">
    <w:abstractNumId w:val="26"/>
  </w:num>
  <w:num w:numId="84" w16cid:durableId="146635979">
    <w:abstractNumId w:val="112"/>
  </w:num>
  <w:num w:numId="85" w16cid:durableId="602307043">
    <w:abstractNumId w:val="52"/>
  </w:num>
  <w:num w:numId="86" w16cid:durableId="1887376571">
    <w:abstractNumId w:val="32"/>
  </w:num>
  <w:num w:numId="87" w16cid:durableId="1057163978">
    <w:abstractNumId w:val="16"/>
  </w:num>
  <w:num w:numId="88" w16cid:durableId="1995840668">
    <w:abstractNumId w:val="205"/>
  </w:num>
  <w:num w:numId="89" w16cid:durableId="181865930">
    <w:abstractNumId w:val="62"/>
  </w:num>
  <w:num w:numId="90" w16cid:durableId="1886982956">
    <w:abstractNumId w:val="42"/>
  </w:num>
  <w:num w:numId="91" w16cid:durableId="670065859">
    <w:abstractNumId w:val="179"/>
  </w:num>
  <w:num w:numId="92" w16cid:durableId="890775323">
    <w:abstractNumId w:val="172"/>
  </w:num>
  <w:num w:numId="93" w16cid:durableId="1714650580">
    <w:abstractNumId w:val="58"/>
  </w:num>
  <w:num w:numId="94" w16cid:durableId="788207917">
    <w:abstractNumId w:val="37"/>
  </w:num>
  <w:num w:numId="95" w16cid:durableId="1943104109">
    <w:abstractNumId w:val="3"/>
  </w:num>
  <w:num w:numId="96" w16cid:durableId="1319769902">
    <w:abstractNumId w:val="178"/>
  </w:num>
  <w:num w:numId="97" w16cid:durableId="383721245">
    <w:abstractNumId w:val="34"/>
  </w:num>
  <w:num w:numId="98" w16cid:durableId="1386950199">
    <w:abstractNumId w:val="198"/>
  </w:num>
  <w:num w:numId="99" w16cid:durableId="110636764">
    <w:abstractNumId w:val="14"/>
  </w:num>
  <w:num w:numId="100" w16cid:durableId="1532379681">
    <w:abstractNumId w:val="206"/>
  </w:num>
  <w:num w:numId="101" w16cid:durableId="1762557600">
    <w:abstractNumId w:val="175"/>
  </w:num>
  <w:num w:numId="102" w16cid:durableId="568346360">
    <w:abstractNumId w:val="193"/>
  </w:num>
  <w:num w:numId="103" w16cid:durableId="658195164">
    <w:abstractNumId w:val="228"/>
  </w:num>
  <w:num w:numId="104" w16cid:durableId="1580559398">
    <w:abstractNumId w:val="108"/>
  </w:num>
  <w:num w:numId="105" w16cid:durableId="1566181082">
    <w:abstractNumId w:val="92"/>
  </w:num>
  <w:num w:numId="106" w16cid:durableId="187186969">
    <w:abstractNumId w:val="69"/>
  </w:num>
  <w:num w:numId="107" w16cid:durableId="1606112924">
    <w:abstractNumId w:val="24"/>
  </w:num>
  <w:num w:numId="108" w16cid:durableId="1448743228">
    <w:abstractNumId w:val="111"/>
  </w:num>
  <w:num w:numId="109" w16cid:durableId="1433474899">
    <w:abstractNumId w:val="60"/>
  </w:num>
  <w:num w:numId="110" w16cid:durableId="283777430">
    <w:abstractNumId w:val="212"/>
  </w:num>
  <w:num w:numId="111" w16cid:durableId="912668529">
    <w:abstractNumId w:val="97"/>
  </w:num>
  <w:num w:numId="112" w16cid:durableId="1308434751">
    <w:abstractNumId w:val="224"/>
  </w:num>
  <w:num w:numId="113" w16cid:durableId="1597522022">
    <w:abstractNumId w:val="68"/>
  </w:num>
  <w:num w:numId="114" w16cid:durableId="909268433">
    <w:abstractNumId w:val="17"/>
  </w:num>
  <w:num w:numId="115" w16cid:durableId="2105026043">
    <w:abstractNumId w:val="76"/>
  </w:num>
  <w:num w:numId="116" w16cid:durableId="1835560049">
    <w:abstractNumId w:val="182"/>
  </w:num>
  <w:num w:numId="117" w16cid:durableId="1959682580">
    <w:abstractNumId w:val="131"/>
  </w:num>
  <w:num w:numId="118" w16cid:durableId="94597664">
    <w:abstractNumId w:val="18"/>
  </w:num>
  <w:num w:numId="119" w16cid:durableId="1460952171">
    <w:abstractNumId w:val="120"/>
  </w:num>
  <w:num w:numId="120" w16cid:durableId="367410841">
    <w:abstractNumId w:val="141"/>
  </w:num>
  <w:num w:numId="121" w16cid:durableId="69349962">
    <w:abstractNumId w:val="28"/>
  </w:num>
  <w:num w:numId="122" w16cid:durableId="690692317">
    <w:abstractNumId w:val="64"/>
  </w:num>
  <w:num w:numId="123" w16cid:durableId="732041392">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29973841">
    <w:abstractNumId w:val="6"/>
  </w:num>
  <w:num w:numId="125" w16cid:durableId="2125152513">
    <w:abstractNumId w:val="25"/>
  </w:num>
  <w:num w:numId="126" w16cid:durableId="244582617">
    <w:abstractNumId w:val="2"/>
  </w:num>
  <w:num w:numId="127" w16cid:durableId="101001550">
    <w:abstractNumId w:val="71"/>
  </w:num>
  <w:num w:numId="128" w16cid:durableId="299000411">
    <w:abstractNumId w:val="125"/>
  </w:num>
  <w:num w:numId="129" w16cid:durableId="1357535560">
    <w:abstractNumId w:val="161"/>
  </w:num>
  <w:num w:numId="130" w16cid:durableId="1076900858">
    <w:abstractNumId w:val="88"/>
  </w:num>
  <w:num w:numId="131" w16cid:durableId="1032222612">
    <w:abstractNumId w:val="185"/>
  </w:num>
  <w:num w:numId="132" w16cid:durableId="107168792">
    <w:abstractNumId w:val="153"/>
  </w:num>
  <w:num w:numId="133" w16cid:durableId="526451627">
    <w:abstractNumId w:val="187"/>
  </w:num>
  <w:num w:numId="134" w16cid:durableId="1418164474">
    <w:abstractNumId w:val="21"/>
  </w:num>
  <w:num w:numId="135" w16cid:durableId="859512647">
    <w:abstractNumId w:val="201"/>
  </w:num>
  <w:num w:numId="136" w16cid:durableId="2024017494">
    <w:abstractNumId w:val="135"/>
  </w:num>
  <w:num w:numId="137" w16cid:durableId="1603369192">
    <w:abstractNumId w:val="184"/>
  </w:num>
  <w:num w:numId="138" w16cid:durableId="362751518">
    <w:abstractNumId w:val="170"/>
  </w:num>
  <w:num w:numId="139" w16cid:durableId="418256537">
    <w:abstractNumId w:val="165"/>
  </w:num>
  <w:num w:numId="140" w16cid:durableId="2051226566">
    <w:abstractNumId w:val="22"/>
  </w:num>
  <w:num w:numId="141" w16cid:durableId="1302884165">
    <w:abstractNumId w:val="51"/>
  </w:num>
  <w:num w:numId="142" w16cid:durableId="518350924">
    <w:abstractNumId w:val="98"/>
  </w:num>
  <w:num w:numId="143" w16cid:durableId="1404916583">
    <w:abstractNumId w:val="137"/>
  </w:num>
  <w:num w:numId="144" w16cid:durableId="1949118216">
    <w:abstractNumId w:val="81"/>
  </w:num>
  <w:num w:numId="145" w16cid:durableId="2038964506">
    <w:abstractNumId w:val="152"/>
  </w:num>
  <w:num w:numId="146" w16cid:durableId="475726766">
    <w:abstractNumId w:val="83"/>
  </w:num>
  <w:num w:numId="147" w16cid:durableId="873422085">
    <w:abstractNumId w:val="48"/>
  </w:num>
  <w:num w:numId="148" w16cid:durableId="415634940">
    <w:abstractNumId w:val="199"/>
  </w:num>
  <w:num w:numId="149" w16cid:durableId="1174956796">
    <w:abstractNumId w:val="49"/>
  </w:num>
  <w:num w:numId="150" w16cid:durableId="1702247538">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58985341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93528428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861122761">
    <w:abstractNumId w:val="157"/>
  </w:num>
  <w:num w:numId="154" w16cid:durableId="1504320675">
    <w:abstractNumId w:val="33"/>
  </w:num>
  <w:num w:numId="155" w16cid:durableId="226453365">
    <w:abstractNumId w:val="119"/>
  </w:num>
  <w:num w:numId="156" w16cid:durableId="1422872618">
    <w:abstractNumId w:val="169"/>
  </w:num>
  <w:num w:numId="157" w16cid:durableId="927615847">
    <w:abstractNumId w:val="143"/>
  </w:num>
  <w:num w:numId="158" w16cid:durableId="1599366122">
    <w:abstractNumId w:val="222"/>
  </w:num>
  <w:num w:numId="159" w16cid:durableId="1473254957">
    <w:abstractNumId w:val="47"/>
  </w:num>
  <w:num w:numId="160" w16cid:durableId="902252690">
    <w:abstractNumId w:val="115"/>
  </w:num>
  <w:num w:numId="161" w16cid:durableId="1238398548">
    <w:abstractNumId w:val="87"/>
  </w:num>
  <w:num w:numId="162" w16cid:durableId="254478318">
    <w:abstractNumId w:val="78"/>
  </w:num>
  <w:num w:numId="163" w16cid:durableId="1121847376">
    <w:abstractNumId w:val="173"/>
  </w:num>
  <w:num w:numId="164" w16cid:durableId="160199777">
    <w:abstractNumId w:val="106"/>
  </w:num>
  <w:num w:numId="165" w16cid:durableId="2145811285">
    <w:abstractNumId w:val="195"/>
  </w:num>
  <w:num w:numId="166" w16cid:durableId="1980258496">
    <w:abstractNumId w:val="145"/>
  </w:num>
  <w:num w:numId="167" w16cid:durableId="455372901">
    <w:abstractNumId w:val="229"/>
  </w:num>
  <w:num w:numId="168" w16cid:durableId="955914277">
    <w:abstractNumId w:val="207"/>
  </w:num>
  <w:num w:numId="169" w16cid:durableId="1275211381">
    <w:abstractNumId w:val="166"/>
  </w:num>
  <w:num w:numId="170" w16cid:durableId="126434433">
    <w:abstractNumId w:val="162"/>
  </w:num>
  <w:num w:numId="171" w16cid:durableId="1878198020">
    <w:abstractNumId w:val="151"/>
  </w:num>
  <w:num w:numId="172" w16cid:durableId="766462440">
    <w:abstractNumId w:val="70"/>
  </w:num>
  <w:num w:numId="173" w16cid:durableId="1703703722">
    <w:abstractNumId w:val="86"/>
  </w:num>
  <w:num w:numId="174" w16cid:durableId="82145184">
    <w:abstractNumId w:val="189"/>
  </w:num>
  <w:num w:numId="175" w16cid:durableId="602030304">
    <w:abstractNumId w:val="105"/>
  </w:num>
  <w:num w:numId="176" w16cid:durableId="1188174101">
    <w:abstractNumId w:val="147"/>
  </w:num>
  <w:num w:numId="177" w16cid:durableId="926884391">
    <w:abstractNumId w:val="31"/>
  </w:num>
  <w:num w:numId="178" w16cid:durableId="787357537">
    <w:abstractNumId w:val="121"/>
  </w:num>
  <w:num w:numId="179" w16cid:durableId="1782995846">
    <w:abstractNumId w:val="139"/>
  </w:num>
  <w:num w:numId="180" w16cid:durableId="849182177">
    <w:abstractNumId w:val="77"/>
  </w:num>
  <w:num w:numId="181" w16cid:durableId="460000675">
    <w:abstractNumId w:val="57"/>
  </w:num>
  <w:num w:numId="182" w16cid:durableId="1697193820">
    <w:abstractNumId w:val="12"/>
  </w:num>
  <w:num w:numId="183" w16cid:durableId="1068577837">
    <w:abstractNumId w:val="118"/>
  </w:num>
  <w:num w:numId="184" w16cid:durableId="1619025952">
    <w:abstractNumId w:val="29"/>
  </w:num>
  <w:num w:numId="185" w16cid:durableId="745952141">
    <w:abstractNumId w:val="84"/>
  </w:num>
  <w:num w:numId="186" w16cid:durableId="2085832605">
    <w:abstractNumId w:val="36"/>
  </w:num>
  <w:num w:numId="187" w16cid:durableId="166555614">
    <w:abstractNumId w:val="167"/>
  </w:num>
  <w:num w:numId="188" w16cid:durableId="2016691674">
    <w:abstractNumId w:val="160"/>
  </w:num>
  <w:num w:numId="189" w16cid:durableId="1850022368">
    <w:abstractNumId w:val="7"/>
  </w:num>
  <w:num w:numId="190" w16cid:durableId="547112544">
    <w:abstractNumId w:val="144"/>
  </w:num>
  <w:num w:numId="191" w16cid:durableId="911742362">
    <w:abstractNumId w:val="50"/>
  </w:num>
  <w:num w:numId="192" w16cid:durableId="1391265066">
    <w:abstractNumId w:val="99"/>
  </w:num>
  <w:num w:numId="193" w16cid:durableId="35934954">
    <w:abstractNumId w:val="107"/>
  </w:num>
  <w:num w:numId="194" w16cid:durableId="1080323103">
    <w:abstractNumId w:val="45"/>
  </w:num>
  <w:num w:numId="195" w16cid:durableId="190390522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71103143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793207471">
    <w:abstractNumId w:val="13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365787938">
    <w:abstractNumId w:val="140"/>
  </w:num>
  <w:num w:numId="199" w16cid:durableId="145438956">
    <w:abstractNumId w:val="168"/>
  </w:num>
  <w:num w:numId="200" w16cid:durableId="202863512">
    <w:abstractNumId w:val="126"/>
  </w:num>
  <w:num w:numId="201" w16cid:durableId="618025851">
    <w:abstractNumId w:val="213"/>
  </w:num>
  <w:num w:numId="202" w16cid:durableId="713386135">
    <w:abstractNumId w:val="75"/>
  </w:num>
  <w:num w:numId="203" w16cid:durableId="273370241">
    <w:abstractNumId w:val="104"/>
  </w:num>
  <w:num w:numId="204" w16cid:durableId="408619088">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91111599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197893709">
    <w:abstractNumId w:val="25"/>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7" w16cid:durableId="1187211653">
    <w:abstractNumId w:val="25"/>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8" w16cid:durableId="1843886077">
    <w:abstractNumId w:val="25"/>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9" w16cid:durableId="489567822">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734279516">
    <w:abstractNumId w:val="0"/>
  </w:num>
  <w:num w:numId="211" w16cid:durableId="2124493769">
    <w:abstractNumId w:val="218"/>
  </w:num>
  <w:num w:numId="212" w16cid:durableId="716703053">
    <w:abstractNumId w:val="90"/>
  </w:num>
  <w:num w:numId="213" w16cid:durableId="756052877">
    <w:abstractNumId w:val="114"/>
  </w:num>
  <w:num w:numId="214" w16cid:durableId="1316257316">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221140355">
    <w:abstractNumId w:val="124"/>
  </w:num>
  <w:num w:numId="216" w16cid:durableId="808131781">
    <w:abstractNumId w:val="188"/>
  </w:num>
  <w:num w:numId="217" w16cid:durableId="424768879">
    <w:abstractNumId w:val="11"/>
  </w:num>
  <w:num w:numId="218" w16cid:durableId="178310868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279800577">
    <w:abstractNumId w:val="225"/>
  </w:num>
  <w:num w:numId="220" w16cid:durableId="72434926">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75328040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912857239">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2121097656">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82663224">
    <w:abstractNumId w:val="191"/>
  </w:num>
  <w:num w:numId="225" w16cid:durableId="716582939">
    <w:abstractNumId w:val="216"/>
  </w:num>
  <w:num w:numId="226" w16cid:durableId="1167743453">
    <w:abstractNumId w:val="211"/>
  </w:num>
  <w:num w:numId="227" w16cid:durableId="197281201">
    <w:abstractNumId w:val="55"/>
  </w:num>
  <w:num w:numId="228" w16cid:durableId="384183431">
    <w:abstractNumId w:val="192"/>
  </w:num>
  <w:num w:numId="229" w16cid:durableId="1140877251">
    <w:abstractNumId w:val="15"/>
  </w:num>
  <w:num w:numId="230" w16cid:durableId="10180792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749962970">
    <w:abstractNumId w:val="210"/>
  </w:num>
  <w:num w:numId="232" w16cid:durableId="463818304">
    <w:abstractNumId w:val="177"/>
  </w:num>
  <w:num w:numId="233" w16cid:durableId="294458259">
    <w:abstractNumId w:val="39"/>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80"/>
  <w:autoHyphenation/>
  <w:drawingGridHorizontalSpacing w:val="120"/>
  <w:drawingGridVerticalSpacing w:val="163"/>
  <w:displayHorizontalDrawingGridEvery w:val="2"/>
  <w:displayVerticalDrawingGridEvery w:val="2"/>
  <w:characterSpacingControl w:val="doNotCompress"/>
  <w:hdrShapeDefaults>
    <o:shapedefaults v:ext="edit" spidmax="2056"/>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86"/>
    <w:rsid w:val="0000010B"/>
    <w:rsid w:val="000025E1"/>
    <w:rsid w:val="00003FB9"/>
    <w:rsid w:val="00004295"/>
    <w:rsid w:val="00004E65"/>
    <w:rsid w:val="00015CEA"/>
    <w:rsid w:val="000170E1"/>
    <w:rsid w:val="000213E0"/>
    <w:rsid w:val="000240C6"/>
    <w:rsid w:val="00024E12"/>
    <w:rsid w:val="000308AE"/>
    <w:rsid w:val="00030F24"/>
    <w:rsid w:val="0003266F"/>
    <w:rsid w:val="000337EA"/>
    <w:rsid w:val="00044792"/>
    <w:rsid w:val="000468A8"/>
    <w:rsid w:val="000507E9"/>
    <w:rsid w:val="0005106B"/>
    <w:rsid w:val="00066D3B"/>
    <w:rsid w:val="00070670"/>
    <w:rsid w:val="00071B37"/>
    <w:rsid w:val="00077EEB"/>
    <w:rsid w:val="0008141B"/>
    <w:rsid w:val="000922F6"/>
    <w:rsid w:val="0009639E"/>
    <w:rsid w:val="000978BA"/>
    <w:rsid w:val="00097E77"/>
    <w:rsid w:val="000A744C"/>
    <w:rsid w:val="000B0CCD"/>
    <w:rsid w:val="000B1800"/>
    <w:rsid w:val="000B3B3D"/>
    <w:rsid w:val="000B622C"/>
    <w:rsid w:val="000C0F41"/>
    <w:rsid w:val="000C3B9B"/>
    <w:rsid w:val="000C693B"/>
    <w:rsid w:val="000C6EA9"/>
    <w:rsid w:val="000D1D96"/>
    <w:rsid w:val="000D43C6"/>
    <w:rsid w:val="000D760D"/>
    <w:rsid w:val="000E17A7"/>
    <w:rsid w:val="000E3146"/>
    <w:rsid w:val="000E3F65"/>
    <w:rsid w:val="000E733B"/>
    <w:rsid w:val="000E757E"/>
    <w:rsid w:val="000F54FF"/>
    <w:rsid w:val="000F6EDA"/>
    <w:rsid w:val="001001EC"/>
    <w:rsid w:val="00101A2D"/>
    <w:rsid w:val="001125DE"/>
    <w:rsid w:val="00114BA4"/>
    <w:rsid w:val="00116E8A"/>
    <w:rsid w:val="00124565"/>
    <w:rsid w:val="00125862"/>
    <w:rsid w:val="00126AE4"/>
    <w:rsid w:val="00131781"/>
    <w:rsid w:val="00134DA3"/>
    <w:rsid w:val="001372D0"/>
    <w:rsid w:val="00142F82"/>
    <w:rsid w:val="00143466"/>
    <w:rsid w:val="00144648"/>
    <w:rsid w:val="00144A9E"/>
    <w:rsid w:val="001526B8"/>
    <w:rsid w:val="00154469"/>
    <w:rsid w:val="00156D5F"/>
    <w:rsid w:val="001622E6"/>
    <w:rsid w:val="0016326E"/>
    <w:rsid w:val="00164259"/>
    <w:rsid w:val="0016529A"/>
    <w:rsid w:val="00167A9B"/>
    <w:rsid w:val="00175482"/>
    <w:rsid w:val="00182448"/>
    <w:rsid w:val="00182A07"/>
    <w:rsid w:val="00190662"/>
    <w:rsid w:val="00190A34"/>
    <w:rsid w:val="00194464"/>
    <w:rsid w:val="001961B3"/>
    <w:rsid w:val="00197FB6"/>
    <w:rsid w:val="001A3809"/>
    <w:rsid w:val="001A4041"/>
    <w:rsid w:val="001A70C4"/>
    <w:rsid w:val="001B1C78"/>
    <w:rsid w:val="001B5590"/>
    <w:rsid w:val="001B5BB0"/>
    <w:rsid w:val="001C0B11"/>
    <w:rsid w:val="001C38D5"/>
    <w:rsid w:val="001D1E9A"/>
    <w:rsid w:val="001D211A"/>
    <w:rsid w:val="001D4ADB"/>
    <w:rsid w:val="001D4E70"/>
    <w:rsid w:val="001D510A"/>
    <w:rsid w:val="001D72C9"/>
    <w:rsid w:val="001E268F"/>
    <w:rsid w:val="001E471B"/>
    <w:rsid w:val="001F25BB"/>
    <w:rsid w:val="001F2D45"/>
    <w:rsid w:val="001F7768"/>
    <w:rsid w:val="00200CBE"/>
    <w:rsid w:val="0020102F"/>
    <w:rsid w:val="00201650"/>
    <w:rsid w:val="002016D2"/>
    <w:rsid w:val="0020188E"/>
    <w:rsid w:val="00204B75"/>
    <w:rsid w:val="002068EF"/>
    <w:rsid w:val="00210F46"/>
    <w:rsid w:val="00211E48"/>
    <w:rsid w:val="002125B3"/>
    <w:rsid w:val="002144EC"/>
    <w:rsid w:val="00221BE7"/>
    <w:rsid w:val="0022426A"/>
    <w:rsid w:val="002262AC"/>
    <w:rsid w:val="00226D16"/>
    <w:rsid w:val="00231F3E"/>
    <w:rsid w:val="0023491C"/>
    <w:rsid w:val="00235000"/>
    <w:rsid w:val="00244506"/>
    <w:rsid w:val="002526C3"/>
    <w:rsid w:val="002610B2"/>
    <w:rsid w:val="00270C06"/>
    <w:rsid w:val="00271059"/>
    <w:rsid w:val="00271AE4"/>
    <w:rsid w:val="002727D3"/>
    <w:rsid w:val="0028314F"/>
    <w:rsid w:val="00295596"/>
    <w:rsid w:val="002A019A"/>
    <w:rsid w:val="002A100B"/>
    <w:rsid w:val="002A36BA"/>
    <w:rsid w:val="002A5CBD"/>
    <w:rsid w:val="002B1F0C"/>
    <w:rsid w:val="002B3EC6"/>
    <w:rsid w:val="002B7F74"/>
    <w:rsid w:val="002C2DF7"/>
    <w:rsid w:val="002C6829"/>
    <w:rsid w:val="002C73B7"/>
    <w:rsid w:val="002C7DD6"/>
    <w:rsid w:val="002D29A3"/>
    <w:rsid w:val="002D6D64"/>
    <w:rsid w:val="002F092D"/>
    <w:rsid w:val="002F0F47"/>
    <w:rsid w:val="002F1874"/>
    <w:rsid w:val="002F29C8"/>
    <w:rsid w:val="002F48FF"/>
    <w:rsid w:val="002F54D0"/>
    <w:rsid w:val="002F5A40"/>
    <w:rsid w:val="00302918"/>
    <w:rsid w:val="00302A94"/>
    <w:rsid w:val="00304717"/>
    <w:rsid w:val="003069C7"/>
    <w:rsid w:val="00310343"/>
    <w:rsid w:val="00325B02"/>
    <w:rsid w:val="00325FAE"/>
    <w:rsid w:val="00327618"/>
    <w:rsid w:val="00333AF5"/>
    <w:rsid w:val="00337238"/>
    <w:rsid w:val="00346ADE"/>
    <w:rsid w:val="003515B9"/>
    <w:rsid w:val="00353254"/>
    <w:rsid w:val="00357304"/>
    <w:rsid w:val="00361F1A"/>
    <w:rsid w:val="0036400A"/>
    <w:rsid w:val="00372294"/>
    <w:rsid w:val="003801C4"/>
    <w:rsid w:val="00382B7F"/>
    <w:rsid w:val="0038358B"/>
    <w:rsid w:val="00386400"/>
    <w:rsid w:val="00390E18"/>
    <w:rsid w:val="00395277"/>
    <w:rsid w:val="003960BB"/>
    <w:rsid w:val="003970DC"/>
    <w:rsid w:val="0039767A"/>
    <w:rsid w:val="003A6663"/>
    <w:rsid w:val="003B55BA"/>
    <w:rsid w:val="003B5F28"/>
    <w:rsid w:val="003B634E"/>
    <w:rsid w:val="003B6F03"/>
    <w:rsid w:val="003B76C4"/>
    <w:rsid w:val="003C2695"/>
    <w:rsid w:val="003C466D"/>
    <w:rsid w:val="003D2079"/>
    <w:rsid w:val="003D2A03"/>
    <w:rsid w:val="003D3398"/>
    <w:rsid w:val="003D43AA"/>
    <w:rsid w:val="003E09F1"/>
    <w:rsid w:val="003E60E9"/>
    <w:rsid w:val="003F1C76"/>
    <w:rsid w:val="003F6937"/>
    <w:rsid w:val="003F77CB"/>
    <w:rsid w:val="00400A9B"/>
    <w:rsid w:val="00401786"/>
    <w:rsid w:val="00401AA3"/>
    <w:rsid w:val="00405165"/>
    <w:rsid w:val="00411D91"/>
    <w:rsid w:val="004142F8"/>
    <w:rsid w:val="00414B60"/>
    <w:rsid w:val="00416D62"/>
    <w:rsid w:val="00425F90"/>
    <w:rsid w:val="00436B0A"/>
    <w:rsid w:val="00436B89"/>
    <w:rsid w:val="004412AC"/>
    <w:rsid w:val="004430C2"/>
    <w:rsid w:val="004444F1"/>
    <w:rsid w:val="0044680A"/>
    <w:rsid w:val="00447C04"/>
    <w:rsid w:val="004549CC"/>
    <w:rsid w:val="00455C9A"/>
    <w:rsid w:val="0046074D"/>
    <w:rsid w:val="00463E8D"/>
    <w:rsid w:val="00465459"/>
    <w:rsid w:val="00466E16"/>
    <w:rsid w:val="00467C89"/>
    <w:rsid w:val="004700C6"/>
    <w:rsid w:val="00470204"/>
    <w:rsid w:val="00471241"/>
    <w:rsid w:val="00471F0B"/>
    <w:rsid w:val="00472287"/>
    <w:rsid w:val="00473BDE"/>
    <w:rsid w:val="00477CDA"/>
    <w:rsid w:val="00484D53"/>
    <w:rsid w:val="00490817"/>
    <w:rsid w:val="004938EB"/>
    <w:rsid w:val="0049447E"/>
    <w:rsid w:val="004A0165"/>
    <w:rsid w:val="004A510E"/>
    <w:rsid w:val="004A51BC"/>
    <w:rsid w:val="004A666F"/>
    <w:rsid w:val="004B5AFE"/>
    <w:rsid w:val="004B67C5"/>
    <w:rsid w:val="004B7933"/>
    <w:rsid w:val="004C172D"/>
    <w:rsid w:val="004C4F13"/>
    <w:rsid w:val="004C506A"/>
    <w:rsid w:val="004C6DDA"/>
    <w:rsid w:val="004D2E36"/>
    <w:rsid w:val="004D49C7"/>
    <w:rsid w:val="004D4D77"/>
    <w:rsid w:val="004F6186"/>
    <w:rsid w:val="00500ED2"/>
    <w:rsid w:val="00500F1E"/>
    <w:rsid w:val="00502029"/>
    <w:rsid w:val="0050269A"/>
    <w:rsid w:val="00505051"/>
    <w:rsid w:val="00506F99"/>
    <w:rsid w:val="00507A3F"/>
    <w:rsid w:val="005169DF"/>
    <w:rsid w:val="0051715F"/>
    <w:rsid w:val="005204D5"/>
    <w:rsid w:val="0052099F"/>
    <w:rsid w:val="00520F0D"/>
    <w:rsid w:val="00521B12"/>
    <w:rsid w:val="005221CA"/>
    <w:rsid w:val="005223E6"/>
    <w:rsid w:val="005231ED"/>
    <w:rsid w:val="00523D6F"/>
    <w:rsid w:val="0052747E"/>
    <w:rsid w:val="00530FF6"/>
    <w:rsid w:val="0053128B"/>
    <w:rsid w:val="0054026A"/>
    <w:rsid w:val="005461FA"/>
    <w:rsid w:val="0054780F"/>
    <w:rsid w:val="00551DC0"/>
    <w:rsid w:val="005520B6"/>
    <w:rsid w:val="00552CA2"/>
    <w:rsid w:val="00554111"/>
    <w:rsid w:val="00563FFA"/>
    <w:rsid w:val="00576B8C"/>
    <w:rsid w:val="00580170"/>
    <w:rsid w:val="005832B5"/>
    <w:rsid w:val="005839D7"/>
    <w:rsid w:val="00585377"/>
    <w:rsid w:val="00587B3D"/>
    <w:rsid w:val="005902D2"/>
    <w:rsid w:val="00593F5E"/>
    <w:rsid w:val="00594823"/>
    <w:rsid w:val="00594EEA"/>
    <w:rsid w:val="005A05DF"/>
    <w:rsid w:val="005A1EFB"/>
    <w:rsid w:val="005A4100"/>
    <w:rsid w:val="005B193E"/>
    <w:rsid w:val="005B48DA"/>
    <w:rsid w:val="005B5C5F"/>
    <w:rsid w:val="005C1068"/>
    <w:rsid w:val="005C1CE2"/>
    <w:rsid w:val="005C2E09"/>
    <w:rsid w:val="005C51CB"/>
    <w:rsid w:val="005D0674"/>
    <w:rsid w:val="005D4B13"/>
    <w:rsid w:val="005D56BC"/>
    <w:rsid w:val="005D5E28"/>
    <w:rsid w:val="005D7018"/>
    <w:rsid w:val="005D7729"/>
    <w:rsid w:val="005E55B5"/>
    <w:rsid w:val="005E56FF"/>
    <w:rsid w:val="005F0378"/>
    <w:rsid w:val="005F0AEA"/>
    <w:rsid w:val="005F7154"/>
    <w:rsid w:val="00613332"/>
    <w:rsid w:val="00615D01"/>
    <w:rsid w:val="00615FA4"/>
    <w:rsid w:val="006200A5"/>
    <w:rsid w:val="00621523"/>
    <w:rsid w:val="00630FD8"/>
    <w:rsid w:val="00631201"/>
    <w:rsid w:val="00632B0D"/>
    <w:rsid w:val="006360BA"/>
    <w:rsid w:val="0063709B"/>
    <w:rsid w:val="0064057D"/>
    <w:rsid w:val="00646946"/>
    <w:rsid w:val="00650015"/>
    <w:rsid w:val="0065135B"/>
    <w:rsid w:val="00651706"/>
    <w:rsid w:val="006529A9"/>
    <w:rsid w:val="00655120"/>
    <w:rsid w:val="00662B9B"/>
    <w:rsid w:val="0067118A"/>
    <w:rsid w:val="00675A3A"/>
    <w:rsid w:val="0068126A"/>
    <w:rsid w:val="00692FEF"/>
    <w:rsid w:val="00693BF0"/>
    <w:rsid w:val="0069409A"/>
    <w:rsid w:val="00697C9D"/>
    <w:rsid w:val="006A3B4A"/>
    <w:rsid w:val="006B04BE"/>
    <w:rsid w:val="006B0A12"/>
    <w:rsid w:val="006B2961"/>
    <w:rsid w:val="006B3852"/>
    <w:rsid w:val="006B4FB1"/>
    <w:rsid w:val="006B67EB"/>
    <w:rsid w:val="006B6BB4"/>
    <w:rsid w:val="006C55F5"/>
    <w:rsid w:val="006C7129"/>
    <w:rsid w:val="006D17CC"/>
    <w:rsid w:val="006D58E3"/>
    <w:rsid w:val="006D7737"/>
    <w:rsid w:val="006E31A4"/>
    <w:rsid w:val="00706D1E"/>
    <w:rsid w:val="0071587C"/>
    <w:rsid w:val="007215CF"/>
    <w:rsid w:val="0072187B"/>
    <w:rsid w:val="007258F4"/>
    <w:rsid w:val="0072767A"/>
    <w:rsid w:val="0073037A"/>
    <w:rsid w:val="00732189"/>
    <w:rsid w:val="007321A5"/>
    <w:rsid w:val="007326C5"/>
    <w:rsid w:val="00733A50"/>
    <w:rsid w:val="007342BF"/>
    <w:rsid w:val="0073590B"/>
    <w:rsid w:val="007414B4"/>
    <w:rsid w:val="007436A2"/>
    <w:rsid w:val="00745E03"/>
    <w:rsid w:val="0075281B"/>
    <w:rsid w:val="00754BCA"/>
    <w:rsid w:val="007554E9"/>
    <w:rsid w:val="00755AB9"/>
    <w:rsid w:val="007576F0"/>
    <w:rsid w:val="00767FF0"/>
    <w:rsid w:val="00772C9E"/>
    <w:rsid w:val="00773A8B"/>
    <w:rsid w:val="0077543D"/>
    <w:rsid w:val="007765DF"/>
    <w:rsid w:val="007765F0"/>
    <w:rsid w:val="00776BAF"/>
    <w:rsid w:val="007770B8"/>
    <w:rsid w:val="00780733"/>
    <w:rsid w:val="00781BD9"/>
    <w:rsid w:val="00792761"/>
    <w:rsid w:val="007A4AB4"/>
    <w:rsid w:val="007B31F0"/>
    <w:rsid w:val="007B506F"/>
    <w:rsid w:val="007B5C8B"/>
    <w:rsid w:val="007B5D63"/>
    <w:rsid w:val="007C0E07"/>
    <w:rsid w:val="007C17F3"/>
    <w:rsid w:val="007C1EE7"/>
    <w:rsid w:val="007C2CC9"/>
    <w:rsid w:val="007D06AA"/>
    <w:rsid w:val="007D1838"/>
    <w:rsid w:val="007D49D3"/>
    <w:rsid w:val="007D5C24"/>
    <w:rsid w:val="007E1EFC"/>
    <w:rsid w:val="007E400D"/>
    <w:rsid w:val="007E41FE"/>
    <w:rsid w:val="007E5662"/>
    <w:rsid w:val="007E5A1B"/>
    <w:rsid w:val="007E5C03"/>
    <w:rsid w:val="007F181C"/>
    <w:rsid w:val="007F2B01"/>
    <w:rsid w:val="007F396F"/>
    <w:rsid w:val="00803EE0"/>
    <w:rsid w:val="008044CD"/>
    <w:rsid w:val="00807B9E"/>
    <w:rsid w:val="00813597"/>
    <w:rsid w:val="00813C5B"/>
    <w:rsid w:val="00813D80"/>
    <w:rsid w:val="0081597A"/>
    <w:rsid w:val="00816CC4"/>
    <w:rsid w:val="00825364"/>
    <w:rsid w:val="008313F9"/>
    <w:rsid w:val="00834393"/>
    <w:rsid w:val="008359D5"/>
    <w:rsid w:val="00836A2D"/>
    <w:rsid w:val="00837A60"/>
    <w:rsid w:val="0084061A"/>
    <w:rsid w:val="00840A45"/>
    <w:rsid w:val="00843145"/>
    <w:rsid w:val="00843532"/>
    <w:rsid w:val="00844E0E"/>
    <w:rsid w:val="00847B77"/>
    <w:rsid w:val="0085067C"/>
    <w:rsid w:val="008518C3"/>
    <w:rsid w:val="00852530"/>
    <w:rsid w:val="00853999"/>
    <w:rsid w:val="00856B82"/>
    <w:rsid w:val="00861B31"/>
    <w:rsid w:val="00873972"/>
    <w:rsid w:val="00874D72"/>
    <w:rsid w:val="008757E0"/>
    <w:rsid w:val="008849F8"/>
    <w:rsid w:val="00897BD0"/>
    <w:rsid w:val="008A38E6"/>
    <w:rsid w:val="008B5915"/>
    <w:rsid w:val="008D22B8"/>
    <w:rsid w:val="008D30B3"/>
    <w:rsid w:val="008D369E"/>
    <w:rsid w:val="008D405D"/>
    <w:rsid w:val="008E3475"/>
    <w:rsid w:val="008E5902"/>
    <w:rsid w:val="008E5C20"/>
    <w:rsid w:val="008F1F66"/>
    <w:rsid w:val="008F6A9A"/>
    <w:rsid w:val="00902168"/>
    <w:rsid w:val="009071BB"/>
    <w:rsid w:val="00910CB0"/>
    <w:rsid w:val="009111AF"/>
    <w:rsid w:val="00913843"/>
    <w:rsid w:val="009143F4"/>
    <w:rsid w:val="00921EF8"/>
    <w:rsid w:val="00931AC2"/>
    <w:rsid w:val="009338C5"/>
    <w:rsid w:val="00942358"/>
    <w:rsid w:val="009440A9"/>
    <w:rsid w:val="00946820"/>
    <w:rsid w:val="0095104C"/>
    <w:rsid w:val="00953F0F"/>
    <w:rsid w:val="009606F5"/>
    <w:rsid w:val="00971F4A"/>
    <w:rsid w:val="0097260E"/>
    <w:rsid w:val="0097354B"/>
    <w:rsid w:val="00975ED5"/>
    <w:rsid w:val="0097713B"/>
    <w:rsid w:val="00982784"/>
    <w:rsid w:val="009956B1"/>
    <w:rsid w:val="009957C3"/>
    <w:rsid w:val="00997351"/>
    <w:rsid w:val="00997580"/>
    <w:rsid w:val="009A0D80"/>
    <w:rsid w:val="009A56E8"/>
    <w:rsid w:val="009A79B1"/>
    <w:rsid w:val="009B5643"/>
    <w:rsid w:val="009B5781"/>
    <w:rsid w:val="009B6C37"/>
    <w:rsid w:val="009C2BFD"/>
    <w:rsid w:val="009C3017"/>
    <w:rsid w:val="009C3080"/>
    <w:rsid w:val="009C6DA9"/>
    <w:rsid w:val="009D02BD"/>
    <w:rsid w:val="009D4366"/>
    <w:rsid w:val="009D61DC"/>
    <w:rsid w:val="009E35F2"/>
    <w:rsid w:val="009E653D"/>
    <w:rsid w:val="009E6748"/>
    <w:rsid w:val="009F2DA0"/>
    <w:rsid w:val="009F5151"/>
    <w:rsid w:val="00A00E93"/>
    <w:rsid w:val="00A0198A"/>
    <w:rsid w:val="00A07774"/>
    <w:rsid w:val="00A214CE"/>
    <w:rsid w:val="00A226A9"/>
    <w:rsid w:val="00A30E7A"/>
    <w:rsid w:val="00A35782"/>
    <w:rsid w:val="00A41F0C"/>
    <w:rsid w:val="00A44991"/>
    <w:rsid w:val="00A47AB0"/>
    <w:rsid w:val="00A50E4A"/>
    <w:rsid w:val="00A62EBC"/>
    <w:rsid w:val="00A6396C"/>
    <w:rsid w:val="00A6573F"/>
    <w:rsid w:val="00A7036A"/>
    <w:rsid w:val="00A825AE"/>
    <w:rsid w:val="00A8438A"/>
    <w:rsid w:val="00A85EBA"/>
    <w:rsid w:val="00A90A95"/>
    <w:rsid w:val="00A940FC"/>
    <w:rsid w:val="00AA08BF"/>
    <w:rsid w:val="00AA2CD2"/>
    <w:rsid w:val="00AB0EA1"/>
    <w:rsid w:val="00AB17EF"/>
    <w:rsid w:val="00AB4566"/>
    <w:rsid w:val="00AB55BC"/>
    <w:rsid w:val="00AB6F88"/>
    <w:rsid w:val="00AC3A30"/>
    <w:rsid w:val="00AC6D93"/>
    <w:rsid w:val="00AE035B"/>
    <w:rsid w:val="00AF3846"/>
    <w:rsid w:val="00AF4237"/>
    <w:rsid w:val="00AF5BFF"/>
    <w:rsid w:val="00AF748D"/>
    <w:rsid w:val="00B03BE0"/>
    <w:rsid w:val="00B050A1"/>
    <w:rsid w:val="00B0510F"/>
    <w:rsid w:val="00B11E6B"/>
    <w:rsid w:val="00B144D5"/>
    <w:rsid w:val="00B366AA"/>
    <w:rsid w:val="00B41CB1"/>
    <w:rsid w:val="00B42B19"/>
    <w:rsid w:val="00B42D93"/>
    <w:rsid w:val="00B43888"/>
    <w:rsid w:val="00B466D1"/>
    <w:rsid w:val="00B5225B"/>
    <w:rsid w:val="00B53AB6"/>
    <w:rsid w:val="00B671CF"/>
    <w:rsid w:val="00B72F1A"/>
    <w:rsid w:val="00B75DDD"/>
    <w:rsid w:val="00B802A2"/>
    <w:rsid w:val="00B86A2D"/>
    <w:rsid w:val="00B879B1"/>
    <w:rsid w:val="00B9015E"/>
    <w:rsid w:val="00B90179"/>
    <w:rsid w:val="00B9614E"/>
    <w:rsid w:val="00B963BB"/>
    <w:rsid w:val="00B9726C"/>
    <w:rsid w:val="00BA0EB4"/>
    <w:rsid w:val="00BA3C33"/>
    <w:rsid w:val="00BA5B12"/>
    <w:rsid w:val="00BB3417"/>
    <w:rsid w:val="00BB5919"/>
    <w:rsid w:val="00BC7BC5"/>
    <w:rsid w:val="00BD1CFD"/>
    <w:rsid w:val="00BD3E19"/>
    <w:rsid w:val="00BD554D"/>
    <w:rsid w:val="00BD6D72"/>
    <w:rsid w:val="00BE0F15"/>
    <w:rsid w:val="00BE1020"/>
    <w:rsid w:val="00BF0EAE"/>
    <w:rsid w:val="00BF2894"/>
    <w:rsid w:val="00BF3E5A"/>
    <w:rsid w:val="00BF3F9A"/>
    <w:rsid w:val="00BF7477"/>
    <w:rsid w:val="00C22083"/>
    <w:rsid w:val="00C301B3"/>
    <w:rsid w:val="00C35764"/>
    <w:rsid w:val="00C44ACD"/>
    <w:rsid w:val="00C44BBD"/>
    <w:rsid w:val="00C47D97"/>
    <w:rsid w:val="00C5391A"/>
    <w:rsid w:val="00C5771A"/>
    <w:rsid w:val="00C606BA"/>
    <w:rsid w:val="00C6448D"/>
    <w:rsid w:val="00C64C8B"/>
    <w:rsid w:val="00C64FB3"/>
    <w:rsid w:val="00C72B35"/>
    <w:rsid w:val="00C75D31"/>
    <w:rsid w:val="00C761A6"/>
    <w:rsid w:val="00C815B1"/>
    <w:rsid w:val="00C8543B"/>
    <w:rsid w:val="00CA238E"/>
    <w:rsid w:val="00CB372C"/>
    <w:rsid w:val="00CB5B2A"/>
    <w:rsid w:val="00CC252C"/>
    <w:rsid w:val="00CC5994"/>
    <w:rsid w:val="00CD0DF6"/>
    <w:rsid w:val="00CD1BF5"/>
    <w:rsid w:val="00CD29B3"/>
    <w:rsid w:val="00CD2B15"/>
    <w:rsid w:val="00CD2F3D"/>
    <w:rsid w:val="00CD79F5"/>
    <w:rsid w:val="00CE22CB"/>
    <w:rsid w:val="00CE2A8A"/>
    <w:rsid w:val="00CE791C"/>
    <w:rsid w:val="00CF509F"/>
    <w:rsid w:val="00CF5A61"/>
    <w:rsid w:val="00CF7F7F"/>
    <w:rsid w:val="00D02D38"/>
    <w:rsid w:val="00D06D84"/>
    <w:rsid w:val="00D10A64"/>
    <w:rsid w:val="00D118EF"/>
    <w:rsid w:val="00D21047"/>
    <w:rsid w:val="00D213C3"/>
    <w:rsid w:val="00D2425A"/>
    <w:rsid w:val="00D27957"/>
    <w:rsid w:val="00D33791"/>
    <w:rsid w:val="00D3397A"/>
    <w:rsid w:val="00D356CF"/>
    <w:rsid w:val="00D41113"/>
    <w:rsid w:val="00D41F06"/>
    <w:rsid w:val="00D45776"/>
    <w:rsid w:val="00D55178"/>
    <w:rsid w:val="00D56A32"/>
    <w:rsid w:val="00D57C3D"/>
    <w:rsid w:val="00D62B05"/>
    <w:rsid w:val="00D70A02"/>
    <w:rsid w:val="00D7363E"/>
    <w:rsid w:val="00D74EAF"/>
    <w:rsid w:val="00D87D4D"/>
    <w:rsid w:val="00DA3534"/>
    <w:rsid w:val="00DA4202"/>
    <w:rsid w:val="00DB43BE"/>
    <w:rsid w:val="00DB4D15"/>
    <w:rsid w:val="00DB62EE"/>
    <w:rsid w:val="00DB71A0"/>
    <w:rsid w:val="00DB7A5F"/>
    <w:rsid w:val="00DC1408"/>
    <w:rsid w:val="00DC3E44"/>
    <w:rsid w:val="00DC4836"/>
    <w:rsid w:val="00DC4BB4"/>
    <w:rsid w:val="00DC724F"/>
    <w:rsid w:val="00DC7E62"/>
    <w:rsid w:val="00DD0068"/>
    <w:rsid w:val="00DD07AD"/>
    <w:rsid w:val="00DD2E67"/>
    <w:rsid w:val="00DD573C"/>
    <w:rsid w:val="00DD7161"/>
    <w:rsid w:val="00DE2FB9"/>
    <w:rsid w:val="00DE313E"/>
    <w:rsid w:val="00DE4D50"/>
    <w:rsid w:val="00DE775D"/>
    <w:rsid w:val="00DE7826"/>
    <w:rsid w:val="00DF0112"/>
    <w:rsid w:val="00DF18F3"/>
    <w:rsid w:val="00DF208B"/>
    <w:rsid w:val="00E05CF7"/>
    <w:rsid w:val="00E07E0A"/>
    <w:rsid w:val="00E20DCA"/>
    <w:rsid w:val="00E20F87"/>
    <w:rsid w:val="00E21F86"/>
    <w:rsid w:val="00E2644E"/>
    <w:rsid w:val="00E31E5A"/>
    <w:rsid w:val="00E362B4"/>
    <w:rsid w:val="00E374E5"/>
    <w:rsid w:val="00E54214"/>
    <w:rsid w:val="00E67E3E"/>
    <w:rsid w:val="00E70996"/>
    <w:rsid w:val="00E70B56"/>
    <w:rsid w:val="00E75F16"/>
    <w:rsid w:val="00E75F8F"/>
    <w:rsid w:val="00E76E04"/>
    <w:rsid w:val="00E818B3"/>
    <w:rsid w:val="00E9039D"/>
    <w:rsid w:val="00E96D16"/>
    <w:rsid w:val="00EB5138"/>
    <w:rsid w:val="00EB70C4"/>
    <w:rsid w:val="00EC0B9F"/>
    <w:rsid w:val="00EC23B9"/>
    <w:rsid w:val="00EC35D4"/>
    <w:rsid w:val="00ED3973"/>
    <w:rsid w:val="00ED43C3"/>
    <w:rsid w:val="00EE048C"/>
    <w:rsid w:val="00EE4D33"/>
    <w:rsid w:val="00EF0A30"/>
    <w:rsid w:val="00EF1F2F"/>
    <w:rsid w:val="00EF3C05"/>
    <w:rsid w:val="00F06183"/>
    <w:rsid w:val="00F07EFA"/>
    <w:rsid w:val="00F13954"/>
    <w:rsid w:val="00F13C3F"/>
    <w:rsid w:val="00F179D0"/>
    <w:rsid w:val="00F2157B"/>
    <w:rsid w:val="00F21BA8"/>
    <w:rsid w:val="00F22F50"/>
    <w:rsid w:val="00F2317E"/>
    <w:rsid w:val="00F25FF0"/>
    <w:rsid w:val="00F33B7F"/>
    <w:rsid w:val="00F37647"/>
    <w:rsid w:val="00F452FE"/>
    <w:rsid w:val="00F52432"/>
    <w:rsid w:val="00F56043"/>
    <w:rsid w:val="00F606FD"/>
    <w:rsid w:val="00F62777"/>
    <w:rsid w:val="00F66F02"/>
    <w:rsid w:val="00F675BC"/>
    <w:rsid w:val="00F6797E"/>
    <w:rsid w:val="00F72561"/>
    <w:rsid w:val="00F77DB4"/>
    <w:rsid w:val="00F83836"/>
    <w:rsid w:val="00F84217"/>
    <w:rsid w:val="00F842DD"/>
    <w:rsid w:val="00F84F30"/>
    <w:rsid w:val="00F865F5"/>
    <w:rsid w:val="00F91232"/>
    <w:rsid w:val="00F914F4"/>
    <w:rsid w:val="00F92BA5"/>
    <w:rsid w:val="00F95481"/>
    <w:rsid w:val="00FA02FE"/>
    <w:rsid w:val="00FA0AC8"/>
    <w:rsid w:val="00FA1C0D"/>
    <w:rsid w:val="00FA668C"/>
    <w:rsid w:val="00FA6A1E"/>
    <w:rsid w:val="00FA6D17"/>
    <w:rsid w:val="00FB07AF"/>
    <w:rsid w:val="00FB2161"/>
    <w:rsid w:val="00FB2849"/>
    <w:rsid w:val="00FB3670"/>
    <w:rsid w:val="00FC0023"/>
    <w:rsid w:val="00FC1FC3"/>
    <w:rsid w:val="00FC28ED"/>
    <w:rsid w:val="00FC3084"/>
    <w:rsid w:val="00FC4CED"/>
    <w:rsid w:val="00FD0A63"/>
    <w:rsid w:val="00FD182A"/>
    <w:rsid w:val="00FD6A78"/>
    <w:rsid w:val="00FE7D5A"/>
    <w:rsid w:val="00FF0A1F"/>
    <w:rsid w:val="00FF4DC8"/>
    <w:rsid w:val="00FF6E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9483B8F"/>
  <w15:docId w15:val="{2CF5C96E-9EA3-41FA-B718-B742562D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F6E21"/>
    <w:pPr>
      <w:widowControl w:val="0"/>
      <w:suppressAutoHyphens/>
    </w:pPr>
    <w:rPr>
      <w:kern w:val="3"/>
      <w:sz w:val="24"/>
      <w:szCs w:val="22"/>
    </w:rPr>
  </w:style>
  <w:style w:type="paragraph" w:styleId="1">
    <w:name w:val="heading 1"/>
    <w:basedOn w:val="a1"/>
    <w:next w:val="a1"/>
    <w:uiPriority w:val="9"/>
    <w:qFormat/>
    <w:pPr>
      <w:keepNext/>
      <w:spacing w:line="360" w:lineRule="exact"/>
      <w:jc w:val="center"/>
      <w:outlineLvl w:val="0"/>
    </w:pPr>
    <w:rPr>
      <w:rFonts w:ascii="Times New Roman" w:eastAsia="標楷體" w:hAnsi="Times New Roman"/>
      <w:b/>
      <w:bCs/>
      <w:sz w:val="32"/>
      <w:szCs w:val="32"/>
    </w:rPr>
  </w:style>
  <w:style w:type="paragraph" w:styleId="2">
    <w:name w:val="heading 2"/>
    <w:basedOn w:val="a1"/>
    <w:next w:val="a1"/>
    <w:uiPriority w:val="9"/>
    <w:unhideWhenUsed/>
    <w:qFormat/>
    <w:pPr>
      <w:snapToGrid w:val="0"/>
      <w:spacing w:line="400" w:lineRule="exact"/>
      <w:jc w:val="center"/>
      <w:outlineLvl w:val="1"/>
    </w:pPr>
    <w:rPr>
      <w:rFonts w:ascii="標楷體" w:eastAsia="標楷體" w:hAnsi="標楷體"/>
      <w:b/>
      <w:sz w:val="32"/>
      <w:szCs w:val="32"/>
    </w:rPr>
  </w:style>
  <w:style w:type="paragraph" w:styleId="5">
    <w:name w:val="heading 5"/>
    <w:basedOn w:val="a1"/>
    <w:next w:val="a1"/>
    <w:uiPriority w:val="9"/>
    <w:semiHidden/>
    <w:unhideWhenUsed/>
    <w:qFormat/>
    <w:pPr>
      <w:keepNext/>
      <w:autoSpaceDE w:val="0"/>
      <w:outlineLvl w:val="4"/>
    </w:pPr>
    <w:rPr>
      <w:rFonts w:ascii="Times New Roman" w:hAnsi="Times New Roman"/>
      <w:b/>
      <w:sz w:val="2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pPr>
      <w:tabs>
        <w:tab w:val="center" w:pos="4153"/>
        <w:tab w:val="right" w:pos="8306"/>
      </w:tabs>
      <w:snapToGrid w:val="0"/>
    </w:pPr>
    <w:rPr>
      <w:sz w:val="20"/>
      <w:szCs w:val="20"/>
    </w:rPr>
  </w:style>
  <w:style w:type="character" w:customStyle="1" w:styleId="a6">
    <w:name w:val="頁首 字元"/>
    <w:rPr>
      <w:kern w:val="3"/>
    </w:rPr>
  </w:style>
  <w:style w:type="paragraph" w:styleId="a7">
    <w:name w:val="footer"/>
    <w:basedOn w:val="a1"/>
    <w:pPr>
      <w:tabs>
        <w:tab w:val="center" w:pos="4153"/>
        <w:tab w:val="right" w:pos="8306"/>
      </w:tabs>
      <w:snapToGrid w:val="0"/>
    </w:pPr>
    <w:rPr>
      <w:sz w:val="20"/>
      <w:szCs w:val="20"/>
    </w:rPr>
  </w:style>
  <w:style w:type="character" w:customStyle="1" w:styleId="a8">
    <w:name w:val="頁尾 字元"/>
    <w:rPr>
      <w:kern w:val="3"/>
    </w:rPr>
  </w:style>
  <w:style w:type="character" w:customStyle="1" w:styleId="10">
    <w:name w:val="標題 1 字元"/>
    <w:rPr>
      <w:rFonts w:ascii="Times New Roman" w:eastAsia="標楷體" w:hAnsi="Times New Roman"/>
      <w:b/>
      <w:bCs/>
      <w:kern w:val="3"/>
      <w:sz w:val="32"/>
      <w:szCs w:val="32"/>
    </w:rPr>
  </w:style>
  <w:style w:type="paragraph" w:styleId="Web">
    <w:name w:val="Normal (Web)"/>
    <w:basedOn w:val="a1"/>
    <w:pPr>
      <w:widowControl/>
      <w:spacing w:before="100" w:after="100"/>
    </w:pPr>
    <w:rPr>
      <w:rFonts w:ascii="Arial Unicode MS" w:eastAsia="Arial Unicode MS" w:hAnsi="Arial Unicode MS" w:cs="Arial Unicode MS"/>
      <w:kern w:val="0"/>
      <w:szCs w:val="24"/>
    </w:rPr>
  </w:style>
  <w:style w:type="paragraph" w:customStyle="1" w:styleId="11">
    <w:name w:val="1."/>
    <w:basedOn w:val="a1"/>
    <w:qFormat/>
    <w:pPr>
      <w:spacing w:line="240" w:lineRule="exact"/>
      <w:ind w:left="242" w:hanging="142"/>
    </w:pPr>
    <w:rPr>
      <w:rFonts w:ascii="Times New Roman" w:eastAsia="標楷體" w:hAnsi="Times New Roman"/>
      <w:color w:val="000000"/>
      <w:kern w:val="0"/>
      <w:sz w:val="20"/>
      <w:szCs w:val="20"/>
    </w:rPr>
  </w:style>
  <w:style w:type="paragraph" w:styleId="a9">
    <w:name w:val="Balloon Text"/>
    <w:basedOn w:val="a1"/>
    <w:rPr>
      <w:rFonts w:ascii="Cambria" w:hAnsi="Cambria"/>
      <w:sz w:val="18"/>
      <w:szCs w:val="18"/>
    </w:rPr>
  </w:style>
  <w:style w:type="character" w:customStyle="1" w:styleId="aa">
    <w:name w:val="註解方塊文字 字元"/>
    <w:rPr>
      <w:rFonts w:ascii="Cambria" w:eastAsia="新細明體" w:hAnsi="Cambria" w:cs="Times New Roman"/>
      <w:kern w:val="3"/>
      <w:sz w:val="18"/>
      <w:szCs w:val="18"/>
    </w:rPr>
  </w:style>
  <w:style w:type="paragraph" w:styleId="ab">
    <w:name w:val="Body Text"/>
    <w:basedOn w:val="a1"/>
    <w:pPr>
      <w:spacing w:after="120"/>
    </w:pPr>
    <w:rPr>
      <w:rFonts w:ascii="Times New Roman" w:hAnsi="Times New Roman"/>
      <w:szCs w:val="24"/>
    </w:rPr>
  </w:style>
  <w:style w:type="character" w:customStyle="1" w:styleId="ac">
    <w:name w:val="本文 字元"/>
    <w:rPr>
      <w:rFonts w:ascii="Times New Roman" w:hAnsi="Times New Roman"/>
      <w:kern w:val="3"/>
      <w:sz w:val="24"/>
      <w:szCs w:val="24"/>
    </w:rPr>
  </w:style>
  <w:style w:type="paragraph" w:customStyle="1" w:styleId="ad">
    <w:name w:val="段落"/>
    <w:basedOn w:val="a1"/>
    <w:pPr>
      <w:spacing w:before="50" w:after="50" w:line="240" w:lineRule="exact"/>
      <w:ind w:left="100" w:hanging="100"/>
    </w:pPr>
    <w:rPr>
      <w:rFonts w:ascii="標楷體" w:eastAsia="標楷體" w:hAnsi="標楷體" w:cs="標楷體"/>
      <w:color w:val="000000"/>
      <w:sz w:val="20"/>
      <w:szCs w:val="20"/>
    </w:rPr>
  </w:style>
  <w:style w:type="character" w:styleId="ae">
    <w:name w:val="page number"/>
    <w:basedOn w:val="a2"/>
  </w:style>
  <w:style w:type="paragraph" w:customStyle="1" w:styleId="Default">
    <w:name w:val="Default"/>
    <w:pPr>
      <w:widowControl w:val="0"/>
      <w:suppressAutoHyphens/>
      <w:autoSpaceDE w:val="0"/>
    </w:pPr>
    <w:rPr>
      <w:rFonts w:ascii="Arial Black" w:hAnsi="Arial Black"/>
      <w:color w:val="000000"/>
      <w:sz w:val="24"/>
      <w:szCs w:val="24"/>
    </w:rPr>
  </w:style>
  <w:style w:type="paragraph" w:customStyle="1" w:styleId="12">
    <w:name w:val="(1)"/>
    <w:basedOn w:val="a1"/>
    <w:pPr>
      <w:spacing w:before="120" w:line="380" w:lineRule="exact"/>
      <w:ind w:left="958" w:hanging="357"/>
    </w:pPr>
    <w:rPr>
      <w:rFonts w:ascii="標楷體" w:eastAsia="標楷體" w:hAnsi="標楷體"/>
      <w:sz w:val="28"/>
      <w:szCs w:val="20"/>
    </w:rPr>
  </w:style>
  <w:style w:type="paragraph" w:styleId="af">
    <w:name w:val="List Paragraph"/>
    <w:aliases w:val="Table bullet,樣式 清單段落+標題2,Numbered para,BulletPoints,List Paragraph1,Bullets Points,Styl moj,Akapit z listą1,Akapit z listą11,Footnote,Bullet point,List Paragraph11,Recommendation,ES Paragraph,PBAC ES Paragraph,PBAC normal points,Bullet1,Bullet 1"/>
    <w:basedOn w:val="a1"/>
    <w:uiPriority w:val="34"/>
    <w:qFormat/>
    <w:pPr>
      <w:ind w:left="480"/>
    </w:pPr>
  </w:style>
  <w:style w:type="paragraph" w:customStyle="1" w:styleId="13">
    <w:name w:val="清單段落1"/>
    <w:basedOn w:val="a1"/>
    <w:pPr>
      <w:ind w:left="480"/>
    </w:pPr>
  </w:style>
  <w:style w:type="character" w:customStyle="1" w:styleId="50">
    <w:name w:val="標題 5 字元"/>
    <w:rPr>
      <w:rFonts w:ascii="Times New Roman" w:hAnsi="Times New Roman"/>
      <w:b/>
      <w:kern w:val="3"/>
      <w:sz w:val="28"/>
    </w:rPr>
  </w:style>
  <w:style w:type="paragraph" w:styleId="3">
    <w:name w:val="List Bullet 3"/>
    <w:basedOn w:val="a1"/>
    <w:autoRedefine/>
    <w:pPr>
      <w:numPr>
        <w:numId w:val="4"/>
      </w:numPr>
      <w:tabs>
        <w:tab w:val="left" w:pos="8280"/>
      </w:tabs>
    </w:pPr>
    <w:rPr>
      <w:rFonts w:ascii="Times New Roman" w:hAnsi="Times New Roman"/>
      <w:szCs w:val="20"/>
    </w:rPr>
  </w:style>
  <w:style w:type="paragraph" w:customStyle="1" w:styleId="Textbody">
    <w:name w:val="Text body"/>
    <w:pPr>
      <w:widowControl w:val="0"/>
      <w:suppressAutoHyphens/>
    </w:pPr>
    <w:rPr>
      <w:rFonts w:ascii="Times New Roman" w:hAnsi="Times New Roman"/>
      <w:kern w:val="3"/>
      <w:sz w:val="24"/>
      <w:szCs w:val="24"/>
    </w:rPr>
  </w:style>
  <w:style w:type="paragraph" w:customStyle="1" w:styleId="a">
    <w:name w:val="a."/>
    <w:basedOn w:val="Textbody"/>
    <w:pPr>
      <w:numPr>
        <w:numId w:val="5"/>
      </w:numPr>
      <w:spacing w:line="520" w:lineRule="exact"/>
      <w:jc w:val="both"/>
    </w:pPr>
    <w:rPr>
      <w:rFonts w:ascii="標楷體" w:eastAsia="標楷體" w:hAnsi="標楷體" w:cs="標楷體"/>
      <w:sz w:val="28"/>
      <w:szCs w:val="28"/>
    </w:rPr>
  </w:style>
  <w:style w:type="paragraph" w:styleId="af0">
    <w:name w:val="Date"/>
    <w:basedOn w:val="a1"/>
    <w:next w:val="a1"/>
    <w:pPr>
      <w:suppressAutoHyphens w:val="0"/>
      <w:jc w:val="right"/>
      <w:textAlignment w:val="auto"/>
    </w:pPr>
  </w:style>
  <w:style w:type="character" w:customStyle="1" w:styleId="af1">
    <w:name w:val="日期 字元"/>
    <w:basedOn w:val="a2"/>
    <w:rPr>
      <w:kern w:val="3"/>
      <w:sz w:val="24"/>
      <w:szCs w:val="22"/>
    </w:rPr>
  </w:style>
  <w:style w:type="character" w:styleId="af2">
    <w:name w:val="Hyperlink"/>
    <w:rPr>
      <w:color w:val="0000FF"/>
      <w:u w:val="single"/>
    </w:rPr>
  </w:style>
  <w:style w:type="paragraph" w:styleId="af3">
    <w:name w:val="No Spacing"/>
    <w:pPr>
      <w:widowControl w:val="0"/>
      <w:suppressAutoHyphens/>
    </w:pPr>
    <w:rPr>
      <w:kern w:val="3"/>
      <w:sz w:val="24"/>
      <w:szCs w:val="22"/>
    </w:rPr>
  </w:style>
  <w:style w:type="character" w:customStyle="1" w:styleId="20">
    <w:name w:val="標題 2 字元"/>
    <w:basedOn w:val="a2"/>
    <w:rPr>
      <w:rFonts w:ascii="標楷體" w:eastAsia="標楷體" w:hAnsi="標楷體"/>
      <w:b/>
      <w:kern w:val="3"/>
      <w:sz w:val="32"/>
      <w:szCs w:val="32"/>
    </w:rPr>
  </w:style>
  <w:style w:type="paragraph" w:customStyle="1" w:styleId="14">
    <w:name w:val="內文1"/>
    <w:pPr>
      <w:widowControl w:val="0"/>
      <w:suppressAutoHyphens/>
    </w:pPr>
    <w:rPr>
      <w:rFonts w:ascii="Times New Roman" w:hAnsi="Times New Roman"/>
      <w:kern w:val="3"/>
      <w:sz w:val="24"/>
      <w:szCs w:val="24"/>
    </w:rPr>
  </w:style>
  <w:style w:type="character" w:customStyle="1" w:styleId="15">
    <w:name w:val="預設段落字型1"/>
  </w:style>
  <w:style w:type="paragraph" w:customStyle="1" w:styleId="17">
    <w:name w:val="頁尾1"/>
    <w:basedOn w:val="14"/>
    <w:pPr>
      <w:tabs>
        <w:tab w:val="center" w:pos="4153"/>
        <w:tab w:val="right" w:pos="8306"/>
      </w:tabs>
      <w:snapToGrid w:val="0"/>
    </w:pPr>
    <w:rPr>
      <w:sz w:val="20"/>
      <w:szCs w:val="20"/>
    </w:rPr>
  </w:style>
  <w:style w:type="character" w:customStyle="1" w:styleId="af4">
    <w:name w:val="清單段落 字元"/>
    <w:rPr>
      <w:kern w:val="3"/>
      <w:sz w:val="24"/>
      <w:szCs w:val="22"/>
    </w:rPr>
  </w:style>
  <w:style w:type="paragraph" w:customStyle="1" w:styleId="msonormal0">
    <w:name w:val="msonormal"/>
    <w:basedOn w:val="a1"/>
    <w:pPr>
      <w:widowControl/>
      <w:suppressAutoHyphens w:val="0"/>
      <w:spacing w:before="100" w:after="100"/>
      <w:textAlignment w:val="auto"/>
    </w:pPr>
    <w:rPr>
      <w:rFonts w:ascii="Arial Unicode MS" w:eastAsia="Arial Unicode MS" w:hAnsi="Arial Unicode MS" w:cs="Arial Unicode MS"/>
      <w:kern w:val="0"/>
      <w:szCs w:val="24"/>
    </w:rPr>
  </w:style>
  <w:style w:type="paragraph" w:customStyle="1" w:styleId="Heading">
    <w:name w:val="Heading"/>
    <w:basedOn w:val="a1"/>
    <w:next w:val="Textbody"/>
    <w:pPr>
      <w:keepNext/>
      <w:spacing w:before="240" w:after="120"/>
    </w:pPr>
    <w:rPr>
      <w:rFonts w:ascii="Liberation Sans" w:eastAsia="微軟正黑體" w:hAnsi="Liberation Sans" w:cs="Tahoma"/>
      <w:sz w:val="28"/>
      <w:szCs w:val="28"/>
    </w:rPr>
  </w:style>
  <w:style w:type="paragraph" w:styleId="af5">
    <w:name w:val="annotation text"/>
    <w:basedOn w:val="a1"/>
  </w:style>
  <w:style w:type="character" w:customStyle="1" w:styleId="af6">
    <w:name w:val="註解文字 字元"/>
    <w:basedOn w:val="a2"/>
    <w:rPr>
      <w:kern w:val="3"/>
      <w:sz w:val="24"/>
      <w:szCs w:val="22"/>
    </w:rPr>
  </w:style>
  <w:style w:type="paragraph" w:styleId="af7">
    <w:name w:val="annotation subject"/>
    <w:basedOn w:val="af5"/>
    <w:next w:val="af5"/>
    <w:rPr>
      <w:rFonts w:ascii="Times New Roman" w:hAnsi="Times New Roman"/>
      <w:b/>
      <w:bCs/>
      <w:szCs w:val="24"/>
    </w:rPr>
  </w:style>
  <w:style w:type="character" w:customStyle="1" w:styleId="af8">
    <w:name w:val="註解主旨 字元"/>
    <w:basedOn w:val="af6"/>
    <w:rPr>
      <w:rFonts w:ascii="Times New Roman" w:hAnsi="Times New Roman"/>
      <w:b/>
      <w:bCs/>
      <w:kern w:val="3"/>
      <w:sz w:val="24"/>
      <w:szCs w:val="24"/>
    </w:rPr>
  </w:style>
  <w:style w:type="paragraph" w:customStyle="1" w:styleId="a0">
    <w:name w:val="結(一）"/>
    <w:basedOn w:val="Textbody"/>
    <w:pPr>
      <w:numPr>
        <w:numId w:val="6"/>
      </w:numPr>
      <w:tabs>
        <w:tab w:val="left" w:pos="-15593"/>
        <w:tab w:val="left" w:pos="-15540"/>
      </w:tabs>
      <w:spacing w:line="480" w:lineRule="exact"/>
    </w:pPr>
    <w:rPr>
      <w:rFonts w:ascii="標楷體" w:eastAsia="標楷體" w:hAnsi="標楷體" w:cs="標楷體"/>
      <w:sz w:val="28"/>
      <w:szCs w:val="28"/>
    </w:rPr>
  </w:style>
  <w:style w:type="paragraph" w:customStyle="1" w:styleId="05cm752">
    <w:name w:val="樣式 (一) + 左右對齊 左:  0.5 cm 凸出:  7.52 字元"/>
    <w:basedOn w:val="a1"/>
    <w:pPr>
      <w:numPr>
        <w:numId w:val="7"/>
      </w:numPr>
      <w:tabs>
        <w:tab w:val="left" w:pos="-8640"/>
      </w:tabs>
      <w:spacing w:line="500" w:lineRule="exact"/>
      <w:jc w:val="both"/>
    </w:pPr>
    <w:rPr>
      <w:rFonts w:ascii="Arial" w:eastAsia="標楷體" w:hAnsi="Arial" w:cs="新細明體"/>
      <w:sz w:val="28"/>
      <w:szCs w:val="20"/>
    </w:rPr>
  </w:style>
  <w:style w:type="paragraph" w:customStyle="1" w:styleId="af9">
    <w:name w:val="一"/>
    <w:basedOn w:val="Textbody"/>
    <w:pPr>
      <w:spacing w:line="480" w:lineRule="exact"/>
      <w:jc w:val="both"/>
    </w:pPr>
    <w:rPr>
      <w:rFonts w:eastAsia="標楷體"/>
      <w:sz w:val="28"/>
      <w:szCs w:val="28"/>
    </w:rPr>
  </w:style>
  <w:style w:type="paragraph" w:customStyle="1" w:styleId="Standard">
    <w:name w:val="Standard"/>
    <w:pPr>
      <w:textAlignment w:val="auto"/>
    </w:pPr>
    <w:rPr>
      <w:rFonts w:ascii="Times New Roman" w:eastAsia="新細明體, PMingLiU" w:hAnsi="Times New Roman"/>
    </w:rPr>
  </w:style>
  <w:style w:type="paragraph" w:customStyle="1" w:styleId="xmsonormal">
    <w:name w:val="x_msonormal"/>
    <w:basedOn w:val="a1"/>
    <w:pPr>
      <w:widowControl/>
      <w:suppressAutoHyphens w:val="0"/>
      <w:spacing w:before="100" w:after="100"/>
      <w:textAlignment w:val="auto"/>
    </w:pPr>
    <w:rPr>
      <w:rFonts w:ascii="新細明體" w:hAnsi="新細明體" w:cs="新細明體"/>
      <w:kern w:val="0"/>
      <w:szCs w:val="24"/>
    </w:rPr>
  </w:style>
  <w:style w:type="numbering" w:customStyle="1" w:styleId="LFO6">
    <w:name w:val="LFO6"/>
    <w:basedOn w:val="a4"/>
    <w:pPr>
      <w:numPr>
        <w:numId w:val="1"/>
      </w:numPr>
    </w:pPr>
  </w:style>
  <w:style w:type="numbering" w:customStyle="1" w:styleId="LFO10">
    <w:name w:val="LFO10"/>
    <w:basedOn w:val="a4"/>
    <w:pPr>
      <w:numPr>
        <w:numId w:val="2"/>
      </w:numPr>
    </w:pPr>
  </w:style>
  <w:style w:type="numbering" w:customStyle="1" w:styleId="16">
    <w:name w:val="樣式 編號 標楷體 16 點"/>
    <w:basedOn w:val="a4"/>
    <w:pPr>
      <w:numPr>
        <w:numId w:val="3"/>
      </w:numPr>
    </w:pPr>
  </w:style>
  <w:style w:type="numbering" w:customStyle="1" w:styleId="LFO33">
    <w:name w:val="LFO33"/>
    <w:basedOn w:val="a4"/>
    <w:pPr>
      <w:numPr>
        <w:numId w:val="4"/>
      </w:numPr>
    </w:pPr>
  </w:style>
  <w:style w:type="numbering" w:customStyle="1" w:styleId="LFO1">
    <w:name w:val="LFO1"/>
    <w:basedOn w:val="a4"/>
    <w:pPr>
      <w:numPr>
        <w:numId w:val="5"/>
      </w:numPr>
    </w:pPr>
  </w:style>
  <w:style w:type="numbering" w:customStyle="1" w:styleId="LFO8">
    <w:name w:val="LFO8"/>
    <w:basedOn w:val="a4"/>
    <w:pPr>
      <w:numPr>
        <w:numId w:val="6"/>
      </w:numPr>
    </w:pPr>
  </w:style>
  <w:style w:type="numbering" w:customStyle="1" w:styleId="LFO7">
    <w:name w:val="LFO7"/>
    <w:basedOn w:val="a4"/>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9379">
      <w:bodyDiv w:val="1"/>
      <w:marLeft w:val="0"/>
      <w:marRight w:val="0"/>
      <w:marTop w:val="0"/>
      <w:marBottom w:val="0"/>
      <w:divBdr>
        <w:top w:val="none" w:sz="0" w:space="0" w:color="auto"/>
        <w:left w:val="none" w:sz="0" w:space="0" w:color="auto"/>
        <w:bottom w:val="none" w:sz="0" w:space="0" w:color="auto"/>
        <w:right w:val="none" w:sz="0" w:space="0" w:color="auto"/>
      </w:divBdr>
    </w:div>
    <w:div w:id="366367859">
      <w:bodyDiv w:val="1"/>
      <w:marLeft w:val="0"/>
      <w:marRight w:val="0"/>
      <w:marTop w:val="0"/>
      <w:marBottom w:val="0"/>
      <w:divBdr>
        <w:top w:val="none" w:sz="0" w:space="0" w:color="auto"/>
        <w:left w:val="none" w:sz="0" w:space="0" w:color="auto"/>
        <w:bottom w:val="none" w:sz="0" w:space="0" w:color="auto"/>
        <w:right w:val="none" w:sz="0" w:space="0" w:color="auto"/>
      </w:divBdr>
    </w:div>
    <w:div w:id="443110110">
      <w:bodyDiv w:val="1"/>
      <w:marLeft w:val="0"/>
      <w:marRight w:val="0"/>
      <w:marTop w:val="0"/>
      <w:marBottom w:val="0"/>
      <w:divBdr>
        <w:top w:val="none" w:sz="0" w:space="0" w:color="auto"/>
        <w:left w:val="none" w:sz="0" w:space="0" w:color="auto"/>
        <w:bottom w:val="none" w:sz="0" w:space="0" w:color="auto"/>
        <w:right w:val="none" w:sz="0" w:space="0" w:color="auto"/>
      </w:divBdr>
    </w:div>
    <w:div w:id="586118782">
      <w:bodyDiv w:val="1"/>
      <w:marLeft w:val="0"/>
      <w:marRight w:val="0"/>
      <w:marTop w:val="0"/>
      <w:marBottom w:val="0"/>
      <w:divBdr>
        <w:top w:val="none" w:sz="0" w:space="0" w:color="auto"/>
        <w:left w:val="none" w:sz="0" w:space="0" w:color="auto"/>
        <w:bottom w:val="none" w:sz="0" w:space="0" w:color="auto"/>
        <w:right w:val="none" w:sz="0" w:space="0" w:color="auto"/>
      </w:divBdr>
    </w:div>
    <w:div w:id="687364795">
      <w:bodyDiv w:val="1"/>
      <w:marLeft w:val="0"/>
      <w:marRight w:val="0"/>
      <w:marTop w:val="0"/>
      <w:marBottom w:val="0"/>
      <w:divBdr>
        <w:top w:val="none" w:sz="0" w:space="0" w:color="auto"/>
        <w:left w:val="none" w:sz="0" w:space="0" w:color="auto"/>
        <w:bottom w:val="none" w:sz="0" w:space="0" w:color="auto"/>
        <w:right w:val="none" w:sz="0" w:space="0" w:color="auto"/>
      </w:divBdr>
    </w:div>
    <w:div w:id="701172610">
      <w:bodyDiv w:val="1"/>
      <w:marLeft w:val="0"/>
      <w:marRight w:val="0"/>
      <w:marTop w:val="0"/>
      <w:marBottom w:val="0"/>
      <w:divBdr>
        <w:top w:val="none" w:sz="0" w:space="0" w:color="auto"/>
        <w:left w:val="none" w:sz="0" w:space="0" w:color="auto"/>
        <w:bottom w:val="none" w:sz="0" w:space="0" w:color="auto"/>
        <w:right w:val="none" w:sz="0" w:space="0" w:color="auto"/>
      </w:divBdr>
    </w:div>
    <w:div w:id="875309385">
      <w:bodyDiv w:val="1"/>
      <w:marLeft w:val="0"/>
      <w:marRight w:val="0"/>
      <w:marTop w:val="0"/>
      <w:marBottom w:val="0"/>
      <w:divBdr>
        <w:top w:val="none" w:sz="0" w:space="0" w:color="auto"/>
        <w:left w:val="none" w:sz="0" w:space="0" w:color="auto"/>
        <w:bottom w:val="none" w:sz="0" w:space="0" w:color="auto"/>
        <w:right w:val="none" w:sz="0" w:space="0" w:color="auto"/>
      </w:divBdr>
    </w:div>
    <w:div w:id="998463943">
      <w:bodyDiv w:val="1"/>
      <w:marLeft w:val="0"/>
      <w:marRight w:val="0"/>
      <w:marTop w:val="0"/>
      <w:marBottom w:val="0"/>
      <w:divBdr>
        <w:top w:val="none" w:sz="0" w:space="0" w:color="auto"/>
        <w:left w:val="none" w:sz="0" w:space="0" w:color="auto"/>
        <w:bottom w:val="none" w:sz="0" w:space="0" w:color="auto"/>
        <w:right w:val="none" w:sz="0" w:space="0" w:color="auto"/>
      </w:divBdr>
    </w:div>
    <w:div w:id="1079328890">
      <w:bodyDiv w:val="1"/>
      <w:marLeft w:val="0"/>
      <w:marRight w:val="0"/>
      <w:marTop w:val="0"/>
      <w:marBottom w:val="0"/>
      <w:divBdr>
        <w:top w:val="none" w:sz="0" w:space="0" w:color="auto"/>
        <w:left w:val="none" w:sz="0" w:space="0" w:color="auto"/>
        <w:bottom w:val="none" w:sz="0" w:space="0" w:color="auto"/>
        <w:right w:val="none" w:sz="0" w:space="0" w:color="auto"/>
      </w:divBdr>
    </w:div>
    <w:div w:id="1088573516">
      <w:bodyDiv w:val="1"/>
      <w:marLeft w:val="0"/>
      <w:marRight w:val="0"/>
      <w:marTop w:val="0"/>
      <w:marBottom w:val="0"/>
      <w:divBdr>
        <w:top w:val="none" w:sz="0" w:space="0" w:color="auto"/>
        <w:left w:val="none" w:sz="0" w:space="0" w:color="auto"/>
        <w:bottom w:val="none" w:sz="0" w:space="0" w:color="auto"/>
        <w:right w:val="none" w:sz="0" w:space="0" w:color="auto"/>
      </w:divBdr>
    </w:div>
    <w:div w:id="1302688257">
      <w:bodyDiv w:val="1"/>
      <w:marLeft w:val="0"/>
      <w:marRight w:val="0"/>
      <w:marTop w:val="0"/>
      <w:marBottom w:val="0"/>
      <w:divBdr>
        <w:top w:val="none" w:sz="0" w:space="0" w:color="auto"/>
        <w:left w:val="none" w:sz="0" w:space="0" w:color="auto"/>
        <w:bottom w:val="none" w:sz="0" w:space="0" w:color="auto"/>
        <w:right w:val="none" w:sz="0" w:space="0" w:color="auto"/>
      </w:divBdr>
    </w:div>
    <w:div w:id="1327630048">
      <w:bodyDiv w:val="1"/>
      <w:marLeft w:val="0"/>
      <w:marRight w:val="0"/>
      <w:marTop w:val="0"/>
      <w:marBottom w:val="0"/>
      <w:divBdr>
        <w:top w:val="none" w:sz="0" w:space="0" w:color="auto"/>
        <w:left w:val="none" w:sz="0" w:space="0" w:color="auto"/>
        <w:bottom w:val="none" w:sz="0" w:space="0" w:color="auto"/>
        <w:right w:val="none" w:sz="0" w:space="0" w:color="auto"/>
      </w:divBdr>
    </w:div>
    <w:div w:id="1382291734">
      <w:bodyDiv w:val="1"/>
      <w:marLeft w:val="0"/>
      <w:marRight w:val="0"/>
      <w:marTop w:val="0"/>
      <w:marBottom w:val="0"/>
      <w:divBdr>
        <w:top w:val="none" w:sz="0" w:space="0" w:color="auto"/>
        <w:left w:val="none" w:sz="0" w:space="0" w:color="auto"/>
        <w:bottom w:val="none" w:sz="0" w:space="0" w:color="auto"/>
        <w:right w:val="none" w:sz="0" w:space="0" w:color="auto"/>
      </w:divBdr>
    </w:div>
    <w:div w:id="1425154010">
      <w:bodyDiv w:val="1"/>
      <w:marLeft w:val="0"/>
      <w:marRight w:val="0"/>
      <w:marTop w:val="0"/>
      <w:marBottom w:val="0"/>
      <w:divBdr>
        <w:top w:val="none" w:sz="0" w:space="0" w:color="auto"/>
        <w:left w:val="none" w:sz="0" w:space="0" w:color="auto"/>
        <w:bottom w:val="none" w:sz="0" w:space="0" w:color="auto"/>
        <w:right w:val="none" w:sz="0" w:space="0" w:color="auto"/>
      </w:divBdr>
    </w:div>
    <w:div w:id="1430590046">
      <w:bodyDiv w:val="1"/>
      <w:marLeft w:val="0"/>
      <w:marRight w:val="0"/>
      <w:marTop w:val="0"/>
      <w:marBottom w:val="0"/>
      <w:divBdr>
        <w:top w:val="none" w:sz="0" w:space="0" w:color="auto"/>
        <w:left w:val="none" w:sz="0" w:space="0" w:color="auto"/>
        <w:bottom w:val="none" w:sz="0" w:space="0" w:color="auto"/>
        <w:right w:val="none" w:sz="0" w:space="0" w:color="auto"/>
      </w:divBdr>
    </w:div>
    <w:div w:id="1451051358">
      <w:bodyDiv w:val="1"/>
      <w:marLeft w:val="0"/>
      <w:marRight w:val="0"/>
      <w:marTop w:val="0"/>
      <w:marBottom w:val="0"/>
      <w:divBdr>
        <w:top w:val="none" w:sz="0" w:space="0" w:color="auto"/>
        <w:left w:val="none" w:sz="0" w:space="0" w:color="auto"/>
        <w:bottom w:val="none" w:sz="0" w:space="0" w:color="auto"/>
        <w:right w:val="none" w:sz="0" w:space="0" w:color="auto"/>
      </w:divBdr>
    </w:div>
    <w:div w:id="1783379212">
      <w:bodyDiv w:val="1"/>
      <w:marLeft w:val="0"/>
      <w:marRight w:val="0"/>
      <w:marTop w:val="0"/>
      <w:marBottom w:val="0"/>
      <w:divBdr>
        <w:top w:val="none" w:sz="0" w:space="0" w:color="auto"/>
        <w:left w:val="none" w:sz="0" w:space="0" w:color="auto"/>
        <w:bottom w:val="none" w:sz="0" w:space="0" w:color="auto"/>
        <w:right w:val="none" w:sz="0" w:space="0" w:color="auto"/>
      </w:divBdr>
    </w:div>
    <w:div w:id="2022930918">
      <w:bodyDiv w:val="1"/>
      <w:marLeft w:val="0"/>
      <w:marRight w:val="0"/>
      <w:marTop w:val="0"/>
      <w:marBottom w:val="0"/>
      <w:divBdr>
        <w:top w:val="none" w:sz="0" w:space="0" w:color="auto"/>
        <w:left w:val="none" w:sz="0" w:space="0" w:color="auto"/>
        <w:bottom w:val="none" w:sz="0" w:space="0" w:color="auto"/>
        <w:right w:val="none" w:sz="0" w:space="0" w:color="auto"/>
      </w:divBdr>
    </w:div>
    <w:div w:id="2028166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203.65.100.151/DO8180T.asp?Type=Lic&amp;LicId=02024027" TargetMode="External"/><Relationship Id="rId18" Type="http://schemas.openxmlformats.org/officeDocument/2006/relationships/image" Target="media/image2.png"/><Relationship Id="rId26" Type="http://schemas.openxmlformats.org/officeDocument/2006/relationships/oleObject" Target="embeddings/oleObject2.bin"/><Relationship Id="rId39" Type="http://schemas.openxmlformats.org/officeDocument/2006/relationships/footer" Target="footer13.xml"/><Relationship Id="rId21" Type="http://schemas.openxmlformats.org/officeDocument/2006/relationships/image" Target="media/image3.emf"/><Relationship Id="rId34" Type="http://schemas.openxmlformats.org/officeDocument/2006/relationships/hyperlink" Target="http://en.wikipedia.org/wiki/Uveitis" TargetMode="External"/><Relationship Id="rId42"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2.xml"/><Relationship Id="rId40" Type="http://schemas.openxmlformats.org/officeDocument/2006/relationships/footer" Target="footer1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oleObject" Target="embeddings/oleObject4.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jfma.2018.11.017" TargetMode="External"/><Relationship Id="rId14" Type="http://schemas.openxmlformats.org/officeDocument/2006/relationships/footer" Target="footer2.xml"/><Relationship Id="rId22" Type="http://schemas.openxmlformats.org/officeDocument/2006/relationships/oleObject" Target="embeddings/oleObject1.bin"/><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yperlink" Target="http://en.wikipedia.org/wiki/Pyoderma_gangrenosum" TargetMode="External"/><Relationship Id="rId43" Type="http://schemas.openxmlformats.org/officeDocument/2006/relationships/footer" Target="footer17.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203.65.100.151/DO8180T.asp?Type=Lic&amp;LicId=02023291" TargetMode="External"/><Relationship Id="rId17" Type="http://schemas.openxmlformats.org/officeDocument/2006/relationships/footer" Target="footer3.xml"/><Relationship Id="rId25" Type="http://schemas.openxmlformats.org/officeDocument/2006/relationships/image" Target="media/image4.wmf"/><Relationship Id="rId33" Type="http://schemas.openxmlformats.org/officeDocument/2006/relationships/oleObject" Target="embeddings/oleObject5.bin"/><Relationship Id="rId38" Type="http://schemas.openxmlformats.org/officeDocument/2006/relationships/header" Target="header5.xml"/><Relationship Id="rId20" Type="http://schemas.openxmlformats.org/officeDocument/2006/relationships/footer" Target="footer5.xml"/><Relationship Id="rId41" Type="http://schemas.openxmlformats.org/officeDocument/2006/relationships/footer" Target="footer1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E221B-1E4E-439E-81D8-8BC45F00A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428</Pages>
  <Words>77469</Words>
  <Characters>441578</Characters>
  <Application>Microsoft Office Word</Application>
  <DocSecurity>0</DocSecurity>
  <Lines>3679</Lines>
  <Paragraphs>1036</Paragraphs>
  <ScaleCrop>false</ScaleCrop>
  <Company/>
  <LinksUpToDate>false</LinksUpToDate>
  <CharactersWithSpaces>518011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NHI</dc:creator>
  <cp:lastModifiedBy>廖紫羽</cp:lastModifiedBy>
  <cp:revision>4</cp:revision>
  <cp:lastPrinted>2025-05-23T08:59:00Z</cp:lastPrinted>
  <dcterms:created xsi:type="dcterms:W3CDTF">2026-10-22T06:16:00Z</dcterms:created>
  <dcterms:modified xsi:type="dcterms:W3CDTF">2026-10-27T09:29:00Z</dcterms:modified>
</cp:coreProperties>
</file>